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0"/>
        <w:rPr>
          <w:sz w:val="16"/>
        </w:rPr>
      </w:pPr>
    </w:p>
    <w:p>
      <w:pPr>
        <w:spacing w:before="0"/>
        <w:ind w:left="120" w:right="0" w:firstLine="0"/>
        <w:jc w:val="left"/>
        <w:rPr>
          <w:b/>
          <w:sz w:val="16"/>
        </w:rPr>
      </w:pPr>
      <w:bookmarkStart w:name="Cover Page " w:id="1"/>
      <w:bookmarkEnd w:id="1"/>
      <w:r>
        <w:rPr/>
      </w:r>
      <w:r>
        <w:rPr>
          <w:b/>
          <w:sz w:val="16"/>
        </w:rPr>
        <w:t>(Mark</w:t>
      </w:r>
      <w:r>
        <w:rPr>
          <w:b/>
          <w:spacing w:val="-5"/>
          <w:sz w:val="16"/>
        </w:rPr>
        <w:t> </w:t>
      </w:r>
      <w:r>
        <w:rPr>
          <w:b/>
          <w:spacing w:val="-4"/>
          <w:sz w:val="16"/>
        </w:rPr>
        <w:t>One)</w:t>
      </w:r>
    </w:p>
    <w:p>
      <w:pPr>
        <w:spacing w:before="172"/>
        <w:ind w:left="0" w:right="2251" w:firstLine="0"/>
        <w:jc w:val="center"/>
        <w:rPr>
          <w:b/>
          <w:sz w:val="28"/>
        </w:rPr>
      </w:pPr>
      <w:r>
        <w:rPr/>
        <w:br w:type="column"/>
      </w:r>
      <w:r>
        <w:rPr>
          <w:b/>
          <w:sz w:val="28"/>
        </w:rPr>
        <w:t>UNITED</w:t>
      </w:r>
      <w:r>
        <w:rPr>
          <w:b/>
          <w:spacing w:val="-6"/>
          <w:sz w:val="28"/>
        </w:rPr>
        <w:t> </w:t>
      </w:r>
      <w:r>
        <w:rPr>
          <w:b/>
          <w:spacing w:val="-2"/>
          <w:sz w:val="28"/>
        </w:rPr>
        <w:t>STATES</w:t>
      </w:r>
    </w:p>
    <w:p>
      <w:pPr>
        <w:spacing w:line="316" w:lineRule="exact" w:before="14"/>
        <w:ind w:left="0" w:right="2252" w:firstLine="0"/>
        <w:jc w:val="center"/>
        <w:rPr>
          <w:b/>
          <w:sz w:val="28"/>
        </w:rPr>
      </w:pPr>
      <w:r>
        <w:rPr/>
        <mc:AlternateContent>
          <mc:Choice Requires="wps">
            <w:drawing>
              <wp:anchor distT="0" distB="0" distL="0" distR="0" allowOverlap="1" layoutInCell="1" locked="0" behindDoc="0" simplePos="0" relativeHeight="15731200">
                <wp:simplePos x="0" y="0"/>
                <wp:positionH relativeFrom="page">
                  <wp:posOffset>596900</wp:posOffset>
                </wp:positionH>
                <wp:positionV relativeFrom="paragraph">
                  <wp:posOffset>-308592</wp:posOffset>
                </wp:positionV>
                <wp:extent cx="6565900" cy="6985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565900" cy="69850"/>
                          <a:chExt cx="6565900" cy="69850"/>
                        </a:xfrm>
                      </wpg:grpSpPr>
                      <wps:wsp>
                        <wps:cNvPr id="2" name="Graphic 2"/>
                        <wps:cNvSpPr/>
                        <wps:spPr>
                          <a:xfrm>
                            <a:off x="0" y="12700"/>
                            <a:ext cx="6565900" cy="1270"/>
                          </a:xfrm>
                          <a:custGeom>
                            <a:avLst/>
                            <a:gdLst/>
                            <a:ahLst/>
                            <a:cxnLst/>
                            <a:rect l="l" t="t" r="r" b="b"/>
                            <a:pathLst>
                              <a:path w="6565900" h="0">
                                <a:moveTo>
                                  <a:pt x="0" y="0"/>
                                </a:moveTo>
                                <a:lnTo>
                                  <a:pt x="6565900" y="0"/>
                                </a:lnTo>
                              </a:path>
                            </a:pathLst>
                          </a:custGeom>
                          <a:ln w="25400">
                            <a:solidFill>
                              <a:srgbClr val="000000"/>
                            </a:solidFill>
                            <a:prstDash val="solid"/>
                          </a:ln>
                        </wps:spPr>
                        <wps:bodyPr wrap="square" lIns="0" tIns="0" rIns="0" bIns="0" rtlCol="0">
                          <a:prstTxWarp prst="textNoShape">
                            <a:avLst/>
                          </a:prstTxWarp>
                          <a:noAutofit/>
                        </wps:bodyPr>
                      </wps:wsp>
                      <wps:wsp>
                        <wps:cNvPr id="3" name="Graphic 3"/>
                        <wps:cNvSpPr/>
                        <wps:spPr>
                          <a:xfrm>
                            <a:off x="0" y="63500"/>
                            <a:ext cx="6565900" cy="1270"/>
                          </a:xfrm>
                          <a:custGeom>
                            <a:avLst/>
                            <a:gdLst/>
                            <a:ahLst/>
                            <a:cxnLst/>
                            <a:rect l="l" t="t" r="r" b="b"/>
                            <a:pathLst>
                              <a:path w="6565900" h="0">
                                <a:moveTo>
                                  <a:pt x="0" y="0"/>
                                </a:moveTo>
                                <a:lnTo>
                                  <a:pt x="6565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pt;margin-top:-24.298634pt;width:517pt;height:5.5pt;mso-position-horizontal-relative:page;mso-position-vertical-relative:paragraph;z-index:15731200" id="docshapegroup1" coordorigin="940,-486" coordsize="10340,110">
                <v:line style="position:absolute" from="940,-466" to="11280,-466" stroked="true" strokeweight="2pt" strokecolor="#000000">
                  <v:stroke dashstyle="solid"/>
                </v:line>
                <v:line style="position:absolute" from="940,-386" to="11280,-386" stroked="true" strokeweight="1pt" strokecolor="#000000">
                  <v:stroke dashstyle="solid"/>
                </v:line>
                <w10:wrap type="none"/>
              </v:group>
            </w:pict>
          </mc:Fallback>
        </mc:AlternateContent>
      </w:r>
      <w:r>
        <w:rPr>
          <w:b/>
          <w:sz w:val="28"/>
        </w:rPr>
        <w:t>SECURITIES</w:t>
      </w:r>
      <w:r>
        <w:rPr>
          <w:b/>
          <w:spacing w:val="-18"/>
          <w:sz w:val="28"/>
        </w:rPr>
        <w:t> </w:t>
      </w:r>
      <w:r>
        <w:rPr>
          <w:b/>
          <w:sz w:val="28"/>
        </w:rPr>
        <w:t>AND</w:t>
      </w:r>
      <w:r>
        <w:rPr>
          <w:b/>
          <w:spacing w:val="-7"/>
          <w:sz w:val="28"/>
        </w:rPr>
        <w:t> </w:t>
      </w:r>
      <w:r>
        <w:rPr>
          <w:b/>
          <w:sz w:val="28"/>
        </w:rPr>
        <w:t>EXCHANGE</w:t>
      </w:r>
      <w:r>
        <w:rPr>
          <w:b/>
          <w:spacing w:val="-3"/>
          <w:sz w:val="28"/>
        </w:rPr>
        <w:t> </w:t>
      </w:r>
      <w:r>
        <w:rPr>
          <w:b/>
          <w:spacing w:val="-2"/>
          <w:sz w:val="28"/>
        </w:rPr>
        <w:t>COMMISSION</w:t>
      </w:r>
    </w:p>
    <w:p>
      <w:pPr>
        <w:spacing w:line="201" w:lineRule="exact" w:before="0"/>
        <w:ind w:left="0" w:right="2251" w:firstLine="0"/>
        <w:jc w:val="center"/>
        <w:rPr>
          <w:b/>
          <w:sz w:val="18"/>
        </w:rPr>
      </w:pPr>
      <w:r>
        <w:rPr>
          <w:b/>
          <w:sz w:val="18"/>
        </w:rPr>
        <w:t>Washington,</w:t>
      </w:r>
      <w:r>
        <w:rPr>
          <w:b/>
          <w:spacing w:val="-5"/>
          <w:sz w:val="18"/>
        </w:rPr>
        <w:t> </w:t>
      </w:r>
      <w:r>
        <w:rPr>
          <w:b/>
          <w:sz w:val="18"/>
        </w:rPr>
        <w:t>D.C.</w:t>
      </w:r>
      <w:r>
        <w:rPr>
          <w:b/>
          <w:spacing w:val="-5"/>
          <w:sz w:val="18"/>
        </w:rPr>
        <w:t> </w:t>
      </w:r>
      <w:r>
        <w:rPr>
          <w:b/>
          <w:spacing w:val="-2"/>
          <w:sz w:val="18"/>
        </w:rPr>
        <w:t>20549</w:t>
      </w:r>
    </w:p>
    <w:p>
      <w:pPr>
        <w:pStyle w:val="BodyText"/>
        <w:spacing w:before="2"/>
        <w:rPr>
          <w:b/>
          <w:sz w:val="11"/>
        </w:rPr>
      </w:pPr>
      <w:r>
        <w:rPr/>
        <mc:AlternateContent>
          <mc:Choice Requires="wps">
            <w:drawing>
              <wp:anchor distT="0" distB="0" distL="0" distR="0" allowOverlap="1" layoutInCell="1" locked="0" behindDoc="1" simplePos="0" relativeHeight="487587840">
                <wp:simplePos x="0" y="0"/>
                <wp:positionH relativeFrom="page">
                  <wp:posOffset>3149600</wp:posOffset>
                </wp:positionH>
                <wp:positionV relativeFrom="paragraph">
                  <wp:posOffset>97183</wp:posOffset>
                </wp:positionV>
                <wp:extent cx="14732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473200" cy="1270"/>
                        </a:xfrm>
                        <a:custGeom>
                          <a:avLst/>
                          <a:gdLst/>
                          <a:ahLst/>
                          <a:cxnLst/>
                          <a:rect l="l" t="t" r="r" b="b"/>
                          <a:pathLst>
                            <a:path w="1473200" h="0">
                              <a:moveTo>
                                <a:pt x="0" y="0"/>
                              </a:moveTo>
                              <a:lnTo>
                                <a:pt x="1473200"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pt;margin-top:7.652277pt;width:116pt;height:.1pt;mso-position-horizontal-relative:page;mso-position-vertical-relative:paragraph;z-index:-15728640;mso-wrap-distance-left:0;mso-wrap-distance-right:0" id="docshape2" coordorigin="4960,153" coordsize="2320,0" path="m4960,153l7280,153e" filled="false" stroked="true" strokeweight=".32pt" strokecolor="#000000">
                <v:path arrowok="t"/>
                <v:stroke dashstyle="solid"/>
                <w10:wrap type="topAndBottom"/>
              </v:shape>
            </w:pict>
          </mc:Fallback>
        </mc:AlternateContent>
      </w:r>
    </w:p>
    <w:p>
      <w:pPr>
        <w:pStyle w:val="Title"/>
      </w:pPr>
      <w:r>
        <w:rPr/>
        <w:t>FORM 10-</w:t>
      </w:r>
      <w:r>
        <w:rPr>
          <w:spacing w:val="-10"/>
        </w:rPr>
        <w:t>K</w:t>
      </w:r>
    </w:p>
    <w:p>
      <w:pPr>
        <w:spacing w:after="0"/>
        <w:sectPr>
          <w:type w:val="continuous"/>
          <w:pgSz w:w="12240" w:h="15840"/>
          <w:pgMar w:top="680" w:bottom="280" w:left="780" w:right="740"/>
          <w:cols w:num="2" w:equalWidth="0">
            <w:col w:w="982" w:space="1231"/>
            <w:col w:w="8507"/>
          </w:cols>
        </w:sectPr>
      </w:pPr>
    </w:p>
    <w:p>
      <w:pPr>
        <w:spacing w:before="180"/>
        <w:ind w:left="212" w:right="0" w:firstLine="0"/>
        <w:jc w:val="left"/>
        <w:rPr>
          <w:b/>
          <w:sz w:val="18"/>
        </w:rPr>
      </w:pPr>
      <w:r>
        <w:rPr>
          <w:position w:val="-2"/>
        </w:rPr>
        <w:drawing>
          <wp:inline distT="0" distB="0" distL="0" distR="0">
            <wp:extent cx="134620" cy="97937"/>
            <wp:effectExtent l="0" t="0" r="0" b="0"/>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134620" cy="97937"/>
                    </a:xfrm>
                    <a:prstGeom prst="rect">
                      <a:avLst/>
                    </a:prstGeom>
                  </pic:spPr>
                </pic:pic>
              </a:graphicData>
            </a:graphic>
          </wp:inline>
        </w:drawing>
      </w:r>
      <w:r>
        <w:rPr>
          <w:position w:val="-2"/>
        </w:rPr>
      </w:r>
      <w:r>
        <w:rPr>
          <w:spacing w:val="80"/>
          <w:w w:val="150"/>
          <w:sz w:val="20"/>
        </w:rPr>
        <w:t> </w:t>
      </w:r>
      <w:r>
        <w:rPr>
          <w:b/>
          <w:sz w:val="18"/>
        </w:rPr>
        <w:t>ANNUAL</w:t>
      </w:r>
      <w:r>
        <w:rPr>
          <w:b/>
          <w:spacing w:val="-8"/>
          <w:sz w:val="18"/>
        </w:rPr>
        <w:t> </w:t>
      </w:r>
      <w:r>
        <w:rPr>
          <w:b/>
          <w:sz w:val="18"/>
        </w:rPr>
        <w:t>REPORT PURSUANT</w:t>
      </w:r>
      <w:r>
        <w:rPr>
          <w:b/>
          <w:spacing w:val="-3"/>
          <w:sz w:val="18"/>
        </w:rPr>
        <w:t> </w:t>
      </w:r>
      <w:r>
        <w:rPr>
          <w:b/>
          <w:sz w:val="18"/>
        </w:rPr>
        <w:t>TO SECTION 13 OR 15(d) OF</w:t>
      </w:r>
      <w:r>
        <w:rPr>
          <w:b/>
          <w:spacing w:val="-6"/>
          <w:sz w:val="18"/>
        </w:rPr>
        <w:t> </w:t>
      </w:r>
      <w:r>
        <w:rPr>
          <w:b/>
          <w:sz w:val="18"/>
        </w:rPr>
        <w:t>THE SECURITIES EXCHANGE</w:t>
      </w:r>
      <w:r>
        <w:rPr>
          <w:b/>
          <w:spacing w:val="-6"/>
          <w:sz w:val="18"/>
        </w:rPr>
        <w:t> </w:t>
      </w:r>
      <w:r>
        <w:rPr>
          <w:b/>
          <w:sz w:val="18"/>
        </w:rPr>
        <w:t>ACT OF</w:t>
      </w:r>
      <w:r>
        <w:rPr>
          <w:b/>
          <w:spacing w:val="-3"/>
          <w:sz w:val="18"/>
        </w:rPr>
        <w:t> </w:t>
      </w:r>
      <w:r>
        <w:rPr>
          <w:b/>
          <w:sz w:val="18"/>
        </w:rPr>
        <w:t>1934</w:t>
      </w:r>
    </w:p>
    <w:p>
      <w:pPr>
        <w:spacing w:line="328" w:lineRule="auto" w:before="161"/>
        <w:ind w:left="3845" w:right="3884" w:firstLine="0"/>
        <w:jc w:val="center"/>
        <w:rPr>
          <w:b/>
          <w:sz w:val="16"/>
        </w:rPr>
      </w:pPr>
      <w:r>
        <w:rPr>
          <w:b/>
          <w:sz w:val="16"/>
        </w:rPr>
        <w:t>For</w:t>
      </w:r>
      <w:r>
        <w:rPr>
          <w:b/>
          <w:spacing w:val="-8"/>
          <w:sz w:val="16"/>
        </w:rPr>
        <w:t> </w:t>
      </w:r>
      <w:r>
        <w:rPr>
          <w:b/>
          <w:sz w:val="16"/>
        </w:rPr>
        <w:t>the</w:t>
      </w:r>
      <w:r>
        <w:rPr>
          <w:b/>
          <w:spacing w:val="-6"/>
          <w:sz w:val="16"/>
        </w:rPr>
        <w:t> </w:t>
      </w:r>
      <w:r>
        <w:rPr>
          <w:b/>
          <w:sz w:val="16"/>
        </w:rPr>
        <w:t>fiscal</w:t>
      </w:r>
      <w:r>
        <w:rPr>
          <w:b/>
          <w:spacing w:val="-6"/>
          <w:sz w:val="16"/>
        </w:rPr>
        <w:t> </w:t>
      </w:r>
      <w:r>
        <w:rPr>
          <w:b/>
          <w:sz w:val="16"/>
        </w:rPr>
        <w:t>year</w:t>
      </w:r>
      <w:r>
        <w:rPr>
          <w:b/>
          <w:spacing w:val="-9"/>
          <w:sz w:val="16"/>
        </w:rPr>
        <w:t> </w:t>
      </w:r>
      <w:r>
        <w:rPr>
          <w:b/>
          <w:sz w:val="16"/>
        </w:rPr>
        <w:t>ended</w:t>
      </w:r>
      <w:r>
        <w:rPr>
          <w:b/>
          <w:spacing w:val="-6"/>
          <w:sz w:val="16"/>
        </w:rPr>
        <w:t> </w:t>
      </w:r>
      <w:r>
        <w:rPr>
          <w:b/>
          <w:sz w:val="16"/>
        </w:rPr>
        <w:t>December</w:t>
      </w:r>
      <w:r>
        <w:rPr>
          <w:b/>
          <w:spacing w:val="-9"/>
          <w:sz w:val="16"/>
        </w:rPr>
        <w:t> </w:t>
      </w:r>
      <w:r>
        <w:rPr>
          <w:b/>
          <w:sz w:val="16"/>
        </w:rPr>
        <w:t>1,</w:t>
      </w:r>
      <w:r>
        <w:rPr>
          <w:b/>
          <w:spacing w:val="-6"/>
          <w:sz w:val="16"/>
        </w:rPr>
        <w:t> </w:t>
      </w:r>
      <w:r>
        <w:rPr>
          <w:b/>
          <w:sz w:val="16"/>
        </w:rPr>
        <w:t>2017</w:t>
      </w:r>
      <w:r>
        <w:rPr>
          <w:b/>
          <w:spacing w:val="40"/>
          <w:sz w:val="16"/>
        </w:rPr>
        <w:t> </w:t>
      </w:r>
      <w:r>
        <w:rPr>
          <w:b/>
          <w:spacing w:val="-6"/>
          <w:sz w:val="16"/>
        </w:rPr>
        <w:t>or</w:t>
      </w:r>
    </w:p>
    <w:p>
      <w:pPr>
        <w:spacing w:before="112"/>
        <w:ind w:left="250" w:right="0" w:firstLine="0"/>
        <w:jc w:val="left"/>
        <w:rPr>
          <w:b/>
          <w:sz w:val="18"/>
        </w:rPr>
      </w:pPr>
      <w:r>
        <w:rPr>
          <w:position w:val="-2"/>
        </w:rPr>
        <w:drawing>
          <wp:inline distT="0" distB="0" distL="0" distR="0">
            <wp:extent cx="110098" cy="97937"/>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10098" cy="97937"/>
                    </a:xfrm>
                    <a:prstGeom prst="rect">
                      <a:avLst/>
                    </a:prstGeom>
                  </pic:spPr>
                </pic:pic>
              </a:graphicData>
            </a:graphic>
          </wp:inline>
        </w:drawing>
      </w:r>
      <w:r>
        <w:rPr>
          <w:position w:val="-2"/>
        </w:rPr>
      </w:r>
      <w:r>
        <w:rPr>
          <w:spacing w:val="80"/>
          <w:sz w:val="20"/>
        </w:rPr>
        <w:t> </w:t>
      </w:r>
      <w:r>
        <w:rPr>
          <w:b/>
          <w:sz w:val="18"/>
        </w:rPr>
        <w:t>TRANSITION REPORT</w:t>
      </w:r>
      <w:r>
        <w:rPr>
          <w:b/>
          <w:spacing w:val="-1"/>
          <w:sz w:val="18"/>
        </w:rPr>
        <w:t> </w:t>
      </w:r>
      <w:r>
        <w:rPr>
          <w:b/>
          <w:sz w:val="18"/>
        </w:rPr>
        <w:t>PURSUANT</w:t>
      </w:r>
      <w:r>
        <w:rPr>
          <w:b/>
          <w:spacing w:val="-4"/>
          <w:sz w:val="18"/>
        </w:rPr>
        <w:t> </w:t>
      </w:r>
      <w:r>
        <w:rPr>
          <w:b/>
          <w:sz w:val="18"/>
        </w:rPr>
        <w:t>TO SECTION 13 OR 15(d) OF</w:t>
      </w:r>
      <w:r>
        <w:rPr>
          <w:b/>
          <w:spacing w:val="-7"/>
          <w:sz w:val="18"/>
        </w:rPr>
        <w:t> </w:t>
      </w:r>
      <w:r>
        <w:rPr>
          <w:b/>
          <w:sz w:val="18"/>
        </w:rPr>
        <w:t>THE SECURITIES EXCHANGE</w:t>
      </w:r>
      <w:r>
        <w:rPr>
          <w:b/>
          <w:spacing w:val="-7"/>
          <w:sz w:val="18"/>
        </w:rPr>
        <w:t> </w:t>
      </w:r>
      <w:r>
        <w:rPr>
          <w:b/>
          <w:sz w:val="18"/>
        </w:rPr>
        <w:t>ACT</w:t>
      </w:r>
      <w:r>
        <w:rPr>
          <w:b/>
          <w:spacing w:val="-1"/>
          <w:sz w:val="18"/>
        </w:rPr>
        <w:t> </w:t>
      </w:r>
      <w:r>
        <w:rPr>
          <w:b/>
          <w:sz w:val="18"/>
        </w:rPr>
        <w:t>OF</w:t>
      </w:r>
      <w:r>
        <w:rPr>
          <w:b/>
          <w:spacing w:val="-4"/>
          <w:sz w:val="18"/>
        </w:rPr>
        <w:t> </w:t>
      </w:r>
      <w:r>
        <w:rPr>
          <w:b/>
          <w:sz w:val="18"/>
        </w:rPr>
        <w:t>1934</w:t>
      </w:r>
    </w:p>
    <w:p>
      <w:pPr>
        <w:tabs>
          <w:tab w:pos="6684" w:val="left" w:leader="none"/>
          <w:tab w:pos="7613" w:val="left" w:leader="none"/>
        </w:tabs>
        <w:spacing w:before="161"/>
        <w:ind w:left="3860" w:right="0" w:firstLine="0"/>
        <w:jc w:val="left"/>
        <w:rPr>
          <w:b/>
          <w:sz w:val="16"/>
        </w:rPr>
      </w:pPr>
      <w:r>
        <w:rPr>
          <w:b/>
          <w:sz w:val="16"/>
        </w:rPr>
        <w:t>For</w:t>
      </w:r>
      <w:r>
        <w:rPr>
          <w:b/>
          <w:spacing w:val="-9"/>
          <w:sz w:val="16"/>
        </w:rPr>
        <w:t> </w:t>
      </w:r>
      <w:r>
        <w:rPr>
          <w:b/>
          <w:sz w:val="16"/>
        </w:rPr>
        <w:t>the</w:t>
      </w:r>
      <w:r>
        <w:rPr>
          <w:b/>
          <w:spacing w:val="-3"/>
          <w:sz w:val="16"/>
        </w:rPr>
        <w:t> </w:t>
      </w:r>
      <w:r>
        <w:rPr>
          <w:b/>
          <w:sz w:val="16"/>
        </w:rPr>
        <w:t>transition</w:t>
      </w:r>
      <w:r>
        <w:rPr>
          <w:b/>
          <w:spacing w:val="-5"/>
          <w:sz w:val="16"/>
        </w:rPr>
        <w:t> </w:t>
      </w:r>
      <w:r>
        <w:rPr>
          <w:b/>
          <w:sz w:val="16"/>
        </w:rPr>
        <w:t>period</w:t>
      </w:r>
      <w:r>
        <w:rPr>
          <w:b/>
          <w:spacing w:val="-4"/>
          <w:sz w:val="16"/>
        </w:rPr>
        <w:t> from</w:t>
      </w:r>
      <w:r>
        <w:rPr>
          <w:b/>
          <w:sz w:val="16"/>
          <w:u w:val="single"/>
        </w:rPr>
        <w:tab/>
      </w:r>
      <w:r>
        <w:rPr>
          <w:b/>
          <w:spacing w:val="-5"/>
          <w:sz w:val="16"/>
        </w:rPr>
        <w:t>to</w:t>
      </w:r>
      <w:r>
        <w:rPr>
          <w:b/>
          <w:sz w:val="16"/>
          <w:u w:val="single"/>
        </w:rPr>
        <w:tab/>
      </w:r>
    </w:p>
    <w:p>
      <w:pPr>
        <w:spacing w:before="176"/>
        <w:ind w:left="3846" w:right="3884" w:firstLine="0"/>
        <w:jc w:val="center"/>
        <w:rPr>
          <w:b/>
          <w:sz w:val="16"/>
        </w:rPr>
      </w:pPr>
      <w:r>
        <w:rPr>
          <w:b/>
          <w:sz w:val="16"/>
        </w:rPr>
        <w:t>Commission</w:t>
      </w:r>
      <w:r>
        <w:rPr>
          <w:b/>
          <w:spacing w:val="-4"/>
          <w:sz w:val="16"/>
        </w:rPr>
        <w:t> </w:t>
      </w:r>
      <w:r>
        <w:rPr>
          <w:b/>
          <w:sz w:val="16"/>
        </w:rPr>
        <w:t>File</w:t>
      </w:r>
      <w:r>
        <w:rPr>
          <w:b/>
          <w:spacing w:val="-3"/>
          <w:sz w:val="16"/>
        </w:rPr>
        <w:t> </w:t>
      </w:r>
      <w:r>
        <w:rPr>
          <w:b/>
          <w:sz w:val="16"/>
        </w:rPr>
        <w:t>Number:</w:t>
      </w:r>
      <w:r>
        <w:rPr>
          <w:b/>
          <w:spacing w:val="-3"/>
          <w:sz w:val="16"/>
        </w:rPr>
        <w:t> </w:t>
      </w:r>
      <w:r>
        <w:rPr>
          <w:b/>
          <w:sz w:val="16"/>
        </w:rPr>
        <w:t>0-</w:t>
      </w:r>
      <w:r>
        <w:rPr>
          <w:b/>
          <w:spacing w:val="-2"/>
          <w:sz w:val="16"/>
        </w:rPr>
        <w:t>15175</w:t>
      </w:r>
    </w:p>
    <w:p>
      <w:pPr>
        <w:spacing w:line="313" w:lineRule="exact" w:before="100"/>
        <w:ind w:left="241" w:right="280" w:firstLine="0"/>
        <w:jc w:val="center"/>
        <w:rPr>
          <w:b/>
          <w:sz w:val="28"/>
        </w:rPr>
      </w:pPr>
      <w:r>
        <w:rPr>
          <w:b/>
          <w:sz w:val="28"/>
        </w:rPr>
        <w:t>ADOBE</w:t>
      </w:r>
      <w:r>
        <w:rPr>
          <w:b/>
          <w:spacing w:val="-4"/>
          <w:sz w:val="28"/>
        </w:rPr>
        <w:t> </w:t>
      </w:r>
      <w:r>
        <w:rPr>
          <w:b/>
          <w:sz w:val="28"/>
        </w:rPr>
        <w:t>SYSTEMS</w:t>
      </w:r>
      <w:r>
        <w:rPr>
          <w:b/>
          <w:spacing w:val="-3"/>
          <w:sz w:val="28"/>
        </w:rPr>
        <w:t> </w:t>
      </w:r>
      <w:r>
        <w:rPr>
          <w:b/>
          <w:spacing w:val="-2"/>
          <w:sz w:val="28"/>
        </w:rPr>
        <w:t>INCORPORATED</w:t>
      </w:r>
    </w:p>
    <w:p>
      <w:pPr>
        <w:spacing w:line="175" w:lineRule="exact" w:before="0"/>
        <w:ind w:left="242" w:right="280" w:firstLine="0"/>
        <w:jc w:val="center"/>
        <w:rPr>
          <w:sz w:val="16"/>
        </w:rPr>
      </w:pPr>
      <w:r>
        <w:rPr>
          <w:sz w:val="16"/>
        </w:rPr>
        <w:t>(Exact</w:t>
      </w:r>
      <w:r>
        <w:rPr>
          <w:spacing w:val="-1"/>
          <w:sz w:val="16"/>
        </w:rPr>
        <w:t> </w:t>
      </w:r>
      <w:r>
        <w:rPr>
          <w:sz w:val="16"/>
        </w:rPr>
        <w:t>name of</w:t>
      </w:r>
      <w:r>
        <w:rPr>
          <w:spacing w:val="-1"/>
          <w:sz w:val="16"/>
        </w:rPr>
        <w:t> </w:t>
      </w:r>
      <w:r>
        <w:rPr>
          <w:sz w:val="16"/>
        </w:rPr>
        <w:t>registrant as</w:t>
      </w:r>
      <w:r>
        <w:rPr>
          <w:spacing w:val="-1"/>
          <w:sz w:val="16"/>
        </w:rPr>
        <w:t> </w:t>
      </w:r>
      <w:r>
        <w:rPr>
          <w:sz w:val="16"/>
        </w:rPr>
        <w:t>specified</w:t>
      </w:r>
      <w:r>
        <w:rPr>
          <w:spacing w:val="-1"/>
          <w:sz w:val="16"/>
        </w:rPr>
        <w:t> </w:t>
      </w:r>
      <w:r>
        <w:rPr>
          <w:sz w:val="16"/>
        </w:rPr>
        <w:t>in its</w:t>
      </w:r>
      <w:r>
        <w:rPr>
          <w:spacing w:val="-1"/>
          <w:sz w:val="16"/>
        </w:rPr>
        <w:t> </w:t>
      </w:r>
      <w:r>
        <w:rPr>
          <w:spacing w:val="-2"/>
          <w:sz w:val="16"/>
        </w:rPr>
        <w:t>charter)</w:t>
      </w:r>
    </w:p>
    <w:p>
      <w:pPr>
        <w:pStyle w:val="BodyText"/>
        <w:spacing w:before="6"/>
        <w:rPr>
          <w:sz w:val="11"/>
        </w:rPr>
      </w:pPr>
      <w:r>
        <w:rPr/>
        <mc:AlternateContent>
          <mc:Choice Requires="wps">
            <w:drawing>
              <wp:anchor distT="0" distB="0" distL="0" distR="0" allowOverlap="1" layoutInCell="1" locked="0" behindDoc="1" simplePos="0" relativeHeight="487588352">
                <wp:simplePos x="0" y="0"/>
                <wp:positionH relativeFrom="page">
                  <wp:posOffset>3149600</wp:posOffset>
                </wp:positionH>
                <wp:positionV relativeFrom="paragraph">
                  <wp:posOffset>99970</wp:posOffset>
                </wp:positionV>
                <wp:extent cx="14732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473200" cy="1270"/>
                        </a:xfrm>
                        <a:custGeom>
                          <a:avLst/>
                          <a:gdLst/>
                          <a:ahLst/>
                          <a:cxnLst/>
                          <a:rect l="l" t="t" r="r" b="b"/>
                          <a:pathLst>
                            <a:path w="1473200" h="0">
                              <a:moveTo>
                                <a:pt x="0" y="0"/>
                              </a:moveTo>
                              <a:lnTo>
                                <a:pt x="1473200"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pt;margin-top:7.871723pt;width:116pt;height:.1pt;mso-position-horizontal-relative:page;mso-position-vertical-relative:paragraph;z-index:-15728128;mso-wrap-distance-left:0;mso-wrap-distance-right:0" id="docshape3" coordorigin="4960,157" coordsize="2320,0" path="m4960,157l7280,157e" filled="false" stroked="true" strokeweight=".32pt" strokecolor="#000000">
                <v:path arrowok="t"/>
                <v:stroke dashstyle="solid"/>
                <w10:wrap type="topAndBottom"/>
              </v:shape>
            </w:pict>
          </mc:Fallback>
        </mc:AlternateContent>
      </w:r>
    </w:p>
    <w:p>
      <w:pPr>
        <w:pStyle w:val="BodyText"/>
        <w:spacing w:before="10"/>
        <w:rPr>
          <w:sz w:val="7"/>
        </w:rPr>
      </w:pPr>
    </w:p>
    <w:p>
      <w:pPr>
        <w:spacing w:after="0"/>
        <w:rPr>
          <w:sz w:val="7"/>
        </w:rPr>
        <w:sectPr>
          <w:type w:val="continuous"/>
          <w:pgSz w:w="12240" w:h="15840"/>
          <w:pgMar w:top="680" w:bottom="280" w:left="780" w:right="740"/>
        </w:sectPr>
      </w:pPr>
    </w:p>
    <w:p>
      <w:pPr>
        <w:spacing w:line="173" w:lineRule="exact" w:before="94"/>
        <w:ind w:left="2019" w:right="2" w:firstLine="0"/>
        <w:jc w:val="center"/>
        <w:rPr>
          <w:b/>
          <w:sz w:val="16"/>
        </w:rPr>
      </w:pPr>
      <w:r>
        <w:rPr>
          <w:b/>
          <w:spacing w:val="-2"/>
          <w:sz w:val="16"/>
        </w:rPr>
        <w:t>Delaware</w:t>
      </w:r>
    </w:p>
    <w:p>
      <w:pPr>
        <w:spacing w:line="208" w:lineRule="auto" w:before="8"/>
        <w:ind w:left="2019" w:right="0" w:firstLine="0"/>
        <w:jc w:val="center"/>
        <w:rPr>
          <w:sz w:val="16"/>
        </w:rPr>
      </w:pPr>
      <w:r>
        <w:rPr>
          <w:sz w:val="16"/>
        </w:rPr>
        <w:t>(State or other jurisdiction of</w:t>
      </w:r>
      <w:r>
        <w:rPr>
          <w:spacing w:val="40"/>
          <w:sz w:val="16"/>
        </w:rPr>
        <w:t> </w:t>
      </w:r>
      <w:r>
        <w:rPr>
          <w:sz w:val="16"/>
        </w:rPr>
        <w:t>incorporation or </w:t>
      </w:r>
      <w:r>
        <w:rPr>
          <w:spacing w:val="-2"/>
          <w:sz w:val="16"/>
        </w:rPr>
        <w:t>organization)</w:t>
      </w:r>
    </w:p>
    <w:p>
      <w:pPr>
        <w:spacing w:line="173" w:lineRule="exact" w:before="94"/>
        <w:ind w:left="1695" w:right="1573" w:firstLine="0"/>
        <w:jc w:val="center"/>
        <w:rPr>
          <w:b/>
          <w:sz w:val="16"/>
        </w:rPr>
      </w:pPr>
      <w:r>
        <w:rPr/>
        <w:br w:type="column"/>
      </w:r>
      <w:r>
        <w:rPr>
          <w:b/>
          <w:sz w:val="16"/>
        </w:rPr>
        <w:t>77-</w:t>
      </w:r>
      <w:r>
        <w:rPr>
          <w:b/>
          <w:spacing w:val="-2"/>
          <w:sz w:val="16"/>
        </w:rPr>
        <w:t>0019522</w:t>
      </w:r>
    </w:p>
    <w:p>
      <w:pPr>
        <w:spacing w:line="208" w:lineRule="auto" w:before="8"/>
        <w:ind w:left="1695" w:right="1572" w:firstLine="0"/>
        <w:jc w:val="center"/>
        <w:rPr>
          <w:sz w:val="16"/>
        </w:rPr>
      </w:pPr>
      <w:r>
        <w:rPr>
          <w:sz w:val="16"/>
        </w:rPr>
        <w:t>(I.R.S.</w:t>
      </w:r>
      <w:r>
        <w:rPr>
          <w:spacing w:val="-1"/>
          <w:sz w:val="16"/>
        </w:rPr>
        <w:t> </w:t>
      </w:r>
      <w:r>
        <w:rPr>
          <w:sz w:val="16"/>
        </w:rPr>
        <w:t>Employer</w:t>
      </w:r>
      <w:r>
        <w:rPr>
          <w:spacing w:val="40"/>
          <w:sz w:val="16"/>
        </w:rPr>
        <w:t> </w:t>
      </w:r>
      <w:r>
        <w:rPr>
          <w:sz w:val="16"/>
        </w:rPr>
        <w:t>Identification</w:t>
      </w:r>
      <w:r>
        <w:rPr>
          <w:spacing w:val="-2"/>
          <w:sz w:val="16"/>
        </w:rPr>
        <w:t> </w:t>
      </w:r>
      <w:r>
        <w:rPr>
          <w:spacing w:val="-4"/>
          <w:sz w:val="16"/>
        </w:rPr>
        <w:t>No.)</w:t>
      </w:r>
    </w:p>
    <w:p>
      <w:pPr>
        <w:spacing w:after="0" w:line="208" w:lineRule="auto"/>
        <w:jc w:val="center"/>
        <w:rPr>
          <w:sz w:val="16"/>
        </w:rPr>
        <w:sectPr>
          <w:type w:val="continuous"/>
          <w:pgSz w:w="12240" w:h="15840"/>
          <w:pgMar w:top="680" w:bottom="280" w:left="780" w:right="740"/>
          <w:cols w:num="2" w:equalWidth="0">
            <w:col w:w="4023" w:space="1514"/>
            <w:col w:w="5183"/>
          </w:cols>
        </w:sectPr>
      </w:pPr>
    </w:p>
    <w:p>
      <w:pPr>
        <w:pStyle w:val="BodyText"/>
        <w:spacing w:before="24"/>
        <w:rPr>
          <w:sz w:val="18"/>
        </w:rPr>
      </w:pPr>
    </w:p>
    <w:p>
      <w:pPr>
        <w:spacing w:before="0"/>
        <w:ind w:left="241" w:right="280" w:firstLine="0"/>
        <w:jc w:val="center"/>
        <w:rPr>
          <w:b/>
          <w:sz w:val="18"/>
        </w:rPr>
      </w:pPr>
      <w:r>
        <w:rPr>
          <w:b/>
          <w:sz w:val="18"/>
        </w:rPr>
        <w:t>345</w:t>
      </w:r>
      <w:r>
        <w:rPr>
          <w:b/>
          <w:spacing w:val="-8"/>
          <w:sz w:val="18"/>
        </w:rPr>
        <w:t> </w:t>
      </w:r>
      <w:r>
        <w:rPr>
          <w:b/>
          <w:sz w:val="18"/>
        </w:rPr>
        <w:t>Park</w:t>
      </w:r>
      <w:r>
        <w:rPr>
          <w:b/>
          <w:spacing w:val="-11"/>
          <w:sz w:val="18"/>
        </w:rPr>
        <w:t> </w:t>
      </w:r>
      <w:r>
        <w:rPr>
          <w:b/>
          <w:sz w:val="18"/>
        </w:rPr>
        <w:t>Avenue,</w:t>
      </w:r>
      <w:r>
        <w:rPr>
          <w:b/>
          <w:spacing w:val="-5"/>
          <w:sz w:val="18"/>
        </w:rPr>
        <w:t> </w:t>
      </w:r>
      <w:r>
        <w:rPr>
          <w:b/>
          <w:sz w:val="18"/>
        </w:rPr>
        <w:t>San</w:t>
      </w:r>
      <w:r>
        <w:rPr>
          <w:b/>
          <w:spacing w:val="-6"/>
          <w:sz w:val="18"/>
        </w:rPr>
        <w:t> </w:t>
      </w:r>
      <w:r>
        <w:rPr>
          <w:b/>
          <w:sz w:val="18"/>
        </w:rPr>
        <w:t>Jose,</w:t>
      </w:r>
      <w:r>
        <w:rPr>
          <w:b/>
          <w:spacing w:val="-5"/>
          <w:sz w:val="18"/>
        </w:rPr>
        <w:t> </w:t>
      </w:r>
      <w:r>
        <w:rPr>
          <w:b/>
          <w:sz w:val="18"/>
        </w:rPr>
        <w:t>California</w:t>
      </w:r>
      <w:r>
        <w:rPr>
          <w:b/>
          <w:spacing w:val="-5"/>
          <w:sz w:val="18"/>
        </w:rPr>
        <w:t> </w:t>
      </w:r>
      <w:r>
        <w:rPr>
          <w:b/>
          <w:sz w:val="18"/>
        </w:rPr>
        <w:t>95110-</w:t>
      </w:r>
      <w:r>
        <w:rPr>
          <w:b/>
          <w:spacing w:val="-4"/>
          <w:sz w:val="18"/>
        </w:rPr>
        <w:t>2704</w:t>
      </w:r>
    </w:p>
    <w:p>
      <w:pPr>
        <w:spacing w:before="4"/>
        <w:ind w:left="3845" w:right="3884" w:firstLine="0"/>
        <w:jc w:val="center"/>
        <w:rPr>
          <w:sz w:val="16"/>
        </w:rPr>
      </w:pPr>
      <w:r>
        <w:rPr>
          <w:sz w:val="16"/>
        </w:rPr>
        <w:t>(Address</w:t>
      </w:r>
      <w:r>
        <w:rPr>
          <w:spacing w:val="-3"/>
          <w:sz w:val="16"/>
        </w:rPr>
        <w:t> </w:t>
      </w:r>
      <w:r>
        <w:rPr>
          <w:sz w:val="16"/>
        </w:rPr>
        <w:t>of</w:t>
      </w:r>
      <w:r>
        <w:rPr>
          <w:spacing w:val="-2"/>
          <w:sz w:val="16"/>
        </w:rPr>
        <w:t> </w:t>
      </w:r>
      <w:r>
        <w:rPr>
          <w:sz w:val="16"/>
        </w:rPr>
        <w:t>principal</w:t>
      </w:r>
      <w:r>
        <w:rPr>
          <w:spacing w:val="-2"/>
          <w:sz w:val="16"/>
        </w:rPr>
        <w:t> </w:t>
      </w:r>
      <w:r>
        <w:rPr>
          <w:sz w:val="16"/>
        </w:rPr>
        <w:t>executive</w:t>
      </w:r>
      <w:r>
        <w:rPr>
          <w:spacing w:val="-1"/>
          <w:sz w:val="16"/>
        </w:rPr>
        <w:t> </w:t>
      </w:r>
      <w:r>
        <w:rPr>
          <w:spacing w:val="-2"/>
          <w:sz w:val="16"/>
        </w:rPr>
        <w:t>offices)</w:t>
      </w:r>
    </w:p>
    <w:p>
      <w:pPr>
        <w:spacing w:before="73"/>
        <w:ind w:left="4777" w:right="0" w:firstLine="0"/>
        <w:jc w:val="left"/>
        <w:rPr>
          <w:b/>
          <w:sz w:val="18"/>
        </w:rPr>
      </w:pPr>
      <w:r>
        <w:rPr>
          <w:b/>
          <w:sz w:val="18"/>
        </w:rPr>
        <w:t>(408) 536-</w:t>
      </w:r>
      <w:r>
        <w:rPr>
          <w:b/>
          <w:spacing w:val="-4"/>
          <w:sz w:val="18"/>
        </w:rPr>
        <w:t>6000</w:t>
      </w:r>
    </w:p>
    <w:p>
      <w:pPr>
        <w:spacing w:before="4"/>
        <w:ind w:left="3646" w:right="0" w:firstLine="0"/>
        <w:jc w:val="left"/>
        <w:rPr>
          <w:sz w:val="16"/>
        </w:rPr>
      </w:pPr>
      <w:r>
        <w:rPr>
          <w:sz w:val="16"/>
        </w:rPr>
        <w:t>(Registrant’s</w:t>
      </w:r>
      <w:r>
        <w:rPr>
          <w:spacing w:val="-5"/>
          <w:sz w:val="16"/>
        </w:rPr>
        <w:t> </w:t>
      </w:r>
      <w:r>
        <w:rPr>
          <w:sz w:val="16"/>
        </w:rPr>
        <w:t>telephone</w:t>
      </w:r>
      <w:r>
        <w:rPr>
          <w:spacing w:val="-3"/>
          <w:sz w:val="16"/>
        </w:rPr>
        <w:t> </w:t>
      </w:r>
      <w:r>
        <w:rPr>
          <w:sz w:val="16"/>
        </w:rPr>
        <w:t>number,</w:t>
      </w:r>
      <w:r>
        <w:rPr>
          <w:spacing w:val="-3"/>
          <w:sz w:val="16"/>
        </w:rPr>
        <w:t> </w:t>
      </w:r>
      <w:r>
        <w:rPr>
          <w:sz w:val="16"/>
        </w:rPr>
        <w:t>including</w:t>
      </w:r>
      <w:r>
        <w:rPr>
          <w:spacing w:val="-3"/>
          <w:sz w:val="16"/>
        </w:rPr>
        <w:t> </w:t>
      </w:r>
      <w:r>
        <w:rPr>
          <w:sz w:val="16"/>
        </w:rPr>
        <w:t>area</w:t>
      </w:r>
      <w:r>
        <w:rPr>
          <w:spacing w:val="-3"/>
          <w:sz w:val="16"/>
        </w:rPr>
        <w:t> </w:t>
      </w:r>
      <w:r>
        <w:rPr>
          <w:spacing w:val="-2"/>
          <w:sz w:val="16"/>
        </w:rPr>
        <w:t>code)</w:t>
      </w:r>
    </w:p>
    <w:p>
      <w:pPr>
        <w:pStyle w:val="BodyText"/>
        <w:spacing w:before="16"/>
        <w:rPr>
          <w:sz w:val="16"/>
        </w:rPr>
      </w:pPr>
    </w:p>
    <w:p>
      <w:pPr>
        <w:spacing w:before="0"/>
        <w:ind w:left="241" w:right="280" w:firstLine="0"/>
        <w:jc w:val="center"/>
        <w:rPr>
          <w:b/>
          <w:sz w:val="16"/>
        </w:rPr>
      </w:pPr>
      <w:r>
        <w:rPr>
          <w:b/>
          <w:sz w:val="16"/>
        </w:rPr>
        <w:t>Securities</w:t>
      </w:r>
      <w:r>
        <w:rPr>
          <w:b/>
          <w:spacing w:val="-5"/>
          <w:sz w:val="16"/>
        </w:rPr>
        <w:t> </w:t>
      </w:r>
      <w:r>
        <w:rPr>
          <w:b/>
          <w:sz w:val="16"/>
        </w:rPr>
        <w:t>registered</w:t>
      </w:r>
      <w:r>
        <w:rPr>
          <w:b/>
          <w:spacing w:val="-4"/>
          <w:sz w:val="16"/>
        </w:rPr>
        <w:t> </w:t>
      </w:r>
      <w:r>
        <w:rPr>
          <w:b/>
          <w:sz w:val="16"/>
        </w:rPr>
        <w:t>pursuant</w:t>
      </w:r>
      <w:r>
        <w:rPr>
          <w:b/>
          <w:spacing w:val="-3"/>
          <w:sz w:val="16"/>
        </w:rPr>
        <w:t> </w:t>
      </w:r>
      <w:r>
        <w:rPr>
          <w:b/>
          <w:sz w:val="16"/>
        </w:rPr>
        <w:t>to</w:t>
      </w:r>
      <w:r>
        <w:rPr>
          <w:b/>
          <w:spacing w:val="-3"/>
          <w:sz w:val="16"/>
        </w:rPr>
        <w:t> </w:t>
      </w:r>
      <w:r>
        <w:rPr>
          <w:b/>
          <w:sz w:val="16"/>
        </w:rPr>
        <w:t>Section</w:t>
      </w:r>
      <w:r>
        <w:rPr>
          <w:b/>
          <w:spacing w:val="-4"/>
          <w:sz w:val="16"/>
        </w:rPr>
        <w:t> </w:t>
      </w:r>
      <w:r>
        <w:rPr>
          <w:b/>
          <w:sz w:val="16"/>
        </w:rPr>
        <w:t>12(b)</w:t>
      </w:r>
      <w:r>
        <w:rPr>
          <w:b/>
          <w:spacing w:val="-3"/>
          <w:sz w:val="16"/>
        </w:rPr>
        <w:t> </w:t>
      </w:r>
      <w:r>
        <w:rPr>
          <w:b/>
          <w:sz w:val="16"/>
        </w:rPr>
        <w:t>of</w:t>
      </w:r>
      <w:r>
        <w:rPr>
          <w:b/>
          <w:spacing w:val="-2"/>
          <w:sz w:val="16"/>
        </w:rPr>
        <w:t> </w:t>
      </w:r>
      <w:r>
        <w:rPr>
          <w:b/>
          <w:sz w:val="16"/>
        </w:rPr>
        <w:t>the</w:t>
      </w:r>
      <w:r>
        <w:rPr>
          <w:b/>
          <w:spacing w:val="-10"/>
          <w:sz w:val="16"/>
        </w:rPr>
        <w:t> </w:t>
      </w:r>
      <w:r>
        <w:rPr>
          <w:b/>
          <w:spacing w:val="-4"/>
          <w:sz w:val="16"/>
        </w:rPr>
        <w:t>Act:</w:t>
      </w:r>
    </w:p>
    <w:p>
      <w:pPr>
        <w:pStyle w:val="BodyText"/>
        <w:rPr>
          <w:b/>
          <w:sz w:val="16"/>
        </w:rPr>
      </w:pPr>
    </w:p>
    <w:p>
      <w:pPr>
        <w:tabs>
          <w:tab w:pos="6283" w:val="left" w:leader="none"/>
        </w:tabs>
        <w:spacing w:before="0"/>
        <w:ind w:left="2078" w:right="0" w:firstLine="0"/>
        <w:jc w:val="left"/>
        <w:rPr>
          <w:b/>
          <w:sz w:val="16"/>
        </w:rPr>
      </w:pPr>
      <w:r>
        <w:rPr/>
        <mc:AlternateContent>
          <mc:Choice Requires="wps">
            <w:drawing>
              <wp:anchor distT="0" distB="0" distL="0" distR="0" allowOverlap="1" layoutInCell="1" locked="0" behindDoc="1" simplePos="0" relativeHeight="487588864">
                <wp:simplePos x="0" y="0"/>
                <wp:positionH relativeFrom="page">
                  <wp:posOffset>622300</wp:posOffset>
                </wp:positionH>
                <wp:positionV relativeFrom="paragraph">
                  <wp:posOffset>147099</wp:posOffset>
                </wp:positionV>
                <wp:extent cx="65151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515100" cy="1270"/>
                        </a:xfrm>
                        <a:custGeom>
                          <a:avLst/>
                          <a:gdLst/>
                          <a:ahLst/>
                          <a:cxnLst/>
                          <a:rect l="l" t="t" r="r" b="b"/>
                          <a:pathLst>
                            <a:path w="6515100" h="0">
                              <a:moveTo>
                                <a:pt x="0" y="0"/>
                              </a:moveTo>
                              <a:lnTo>
                                <a:pt x="3213100" y="0"/>
                              </a:lnTo>
                            </a:path>
                            <a:path w="6515100" h="0">
                              <a:moveTo>
                                <a:pt x="3213100" y="0"/>
                              </a:moveTo>
                              <a:lnTo>
                                <a:pt x="6515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pt;margin-top:11.582629pt;width:513pt;height:.1pt;mso-position-horizontal-relative:page;mso-position-vertical-relative:paragraph;z-index:-15727616;mso-wrap-distance-left:0;mso-wrap-distance-right:0" id="docshape4" coordorigin="980,232" coordsize="10260,0" path="m980,232l6040,232m6040,232l11240,232e" filled="false" stroked="true" strokeweight="1pt" strokecolor="#000000">
                <v:path arrowok="t"/>
                <v:stroke dashstyle="solid"/>
                <w10:wrap type="topAndBottom"/>
              </v:shape>
            </w:pict>
          </mc:Fallback>
        </mc:AlternateContent>
      </w:r>
      <w:r>
        <w:rPr>
          <w:b/>
          <w:sz w:val="16"/>
        </w:rPr>
        <w:t>Title</w:t>
      </w:r>
      <w:r>
        <w:rPr>
          <w:b/>
          <w:spacing w:val="-2"/>
          <w:sz w:val="16"/>
        </w:rPr>
        <w:t> </w:t>
      </w:r>
      <w:r>
        <w:rPr>
          <w:b/>
          <w:sz w:val="16"/>
        </w:rPr>
        <w:t>of</w:t>
      </w:r>
      <w:r>
        <w:rPr>
          <w:b/>
          <w:spacing w:val="-2"/>
          <w:sz w:val="16"/>
        </w:rPr>
        <w:t> </w:t>
      </w:r>
      <w:r>
        <w:rPr>
          <w:b/>
          <w:sz w:val="16"/>
        </w:rPr>
        <w:t>Each</w:t>
      </w:r>
      <w:r>
        <w:rPr>
          <w:b/>
          <w:spacing w:val="-2"/>
          <w:sz w:val="16"/>
        </w:rPr>
        <w:t> Class</w:t>
      </w:r>
      <w:r>
        <w:rPr>
          <w:b/>
          <w:sz w:val="16"/>
        </w:rPr>
        <w:tab/>
        <w:t>Name</w:t>
      </w:r>
      <w:r>
        <w:rPr>
          <w:b/>
          <w:spacing w:val="-4"/>
          <w:sz w:val="16"/>
        </w:rPr>
        <w:t> </w:t>
      </w:r>
      <w:r>
        <w:rPr>
          <w:b/>
          <w:sz w:val="16"/>
        </w:rPr>
        <w:t>of</w:t>
      </w:r>
      <w:r>
        <w:rPr>
          <w:b/>
          <w:spacing w:val="-1"/>
          <w:sz w:val="16"/>
        </w:rPr>
        <w:t> </w:t>
      </w:r>
      <w:r>
        <w:rPr>
          <w:b/>
          <w:sz w:val="16"/>
        </w:rPr>
        <w:t>Each</w:t>
      </w:r>
      <w:r>
        <w:rPr>
          <w:b/>
          <w:spacing w:val="-3"/>
          <w:sz w:val="16"/>
        </w:rPr>
        <w:t> </w:t>
      </w:r>
      <w:r>
        <w:rPr>
          <w:b/>
          <w:sz w:val="16"/>
        </w:rPr>
        <w:t>Exchange</w:t>
      </w:r>
      <w:r>
        <w:rPr>
          <w:b/>
          <w:spacing w:val="-1"/>
          <w:sz w:val="16"/>
        </w:rPr>
        <w:t> </w:t>
      </w:r>
      <w:r>
        <w:rPr>
          <w:b/>
          <w:sz w:val="16"/>
        </w:rPr>
        <w:t>on</w:t>
      </w:r>
      <w:r>
        <w:rPr>
          <w:b/>
          <w:spacing w:val="-5"/>
          <w:sz w:val="16"/>
        </w:rPr>
        <w:t> </w:t>
      </w:r>
      <w:r>
        <w:rPr>
          <w:b/>
          <w:sz w:val="16"/>
        </w:rPr>
        <w:t>Which</w:t>
      </w:r>
      <w:r>
        <w:rPr>
          <w:b/>
          <w:spacing w:val="-2"/>
          <w:sz w:val="16"/>
        </w:rPr>
        <w:t> Registered</w:t>
      </w:r>
    </w:p>
    <w:p>
      <w:pPr>
        <w:tabs>
          <w:tab w:pos="6746" w:val="left" w:leader="none"/>
        </w:tabs>
        <w:spacing w:line="208" w:lineRule="auto" w:before="21"/>
        <w:ind w:left="6759" w:right="1766" w:hanging="5466"/>
        <w:jc w:val="left"/>
        <w:rPr>
          <w:sz w:val="16"/>
        </w:rPr>
      </w:pPr>
      <w:r>
        <w:rPr>
          <w:sz w:val="16"/>
        </w:rPr>
        <w:t>Common Stock, $0.0001 par value per share</w:t>
        <w:tab/>
        <w:t>The</w:t>
      </w:r>
      <w:r>
        <w:rPr>
          <w:spacing w:val="-9"/>
          <w:sz w:val="16"/>
        </w:rPr>
        <w:t> </w:t>
      </w:r>
      <w:r>
        <w:rPr>
          <w:sz w:val="16"/>
        </w:rPr>
        <w:t>NASDAQ</w:t>
      </w:r>
      <w:r>
        <w:rPr>
          <w:spacing w:val="-10"/>
          <w:sz w:val="16"/>
        </w:rPr>
        <w:t> </w:t>
      </w:r>
      <w:r>
        <w:rPr>
          <w:sz w:val="16"/>
        </w:rPr>
        <w:t>Stock</w:t>
      </w:r>
      <w:r>
        <w:rPr>
          <w:spacing w:val="-9"/>
          <w:sz w:val="16"/>
        </w:rPr>
        <w:t> </w:t>
      </w:r>
      <w:r>
        <w:rPr>
          <w:sz w:val="16"/>
        </w:rPr>
        <w:t>Market</w:t>
      </w:r>
      <w:r>
        <w:rPr>
          <w:spacing w:val="-9"/>
          <w:sz w:val="16"/>
        </w:rPr>
        <w:t> </w:t>
      </w:r>
      <w:r>
        <w:rPr>
          <w:sz w:val="16"/>
        </w:rPr>
        <w:t>LLC</w:t>
      </w:r>
      <w:r>
        <w:rPr>
          <w:spacing w:val="40"/>
          <w:sz w:val="16"/>
        </w:rPr>
        <w:t> </w:t>
      </w:r>
      <w:r>
        <w:rPr>
          <w:sz w:val="16"/>
        </w:rPr>
        <w:t>(NASDAQ</w:t>
      </w:r>
      <w:r>
        <w:rPr>
          <w:spacing w:val="-5"/>
          <w:sz w:val="16"/>
        </w:rPr>
        <w:t> </w:t>
      </w:r>
      <w:r>
        <w:rPr>
          <w:sz w:val="16"/>
        </w:rPr>
        <w:t>Global</w:t>
      </w:r>
      <w:r>
        <w:rPr>
          <w:spacing w:val="-2"/>
          <w:sz w:val="16"/>
        </w:rPr>
        <w:t> </w:t>
      </w:r>
      <w:r>
        <w:rPr>
          <w:sz w:val="16"/>
        </w:rPr>
        <w:t>Select</w:t>
      </w:r>
      <w:r>
        <w:rPr>
          <w:spacing w:val="-2"/>
          <w:sz w:val="16"/>
        </w:rPr>
        <w:t> Market)</w:t>
      </w:r>
    </w:p>
    <w:p>
      <w:pPr>
        <w:spacing w:before="81"/>
        <w:ind w:left="242" w:right="280" w:firstLine="0"/>
        <w:jc w:val="center"/>
        <w:rPr>
          <w:b/>
          <w:sz w:val="16"/>
        </w:rPr>
      </w:pPr>
      <w:r>
        <w:rPr>
          <w:b/>
          <w:sz w:val="16"/>
        </w:rPr>
        <w:t>Securities</w:t>
      </w:r>
      <w:r>
        <w:rPr>
          <w:b/>
          <w:spacing w:val="-5"/>
          <w:sz w:val="16"/>
        </w:rPr>
        <w:t> </w:t>
      </w:r>
      <w:r>
        <w:rPr>
          <w:b/>
          <w:sz w:val="16"/>
        </w:rPr>
        <w:t>registered</w:t>
      </w:r>
      <w:r>
        <w:rPr>
          <w:b/>
          <w:spacing w:val="-3"/>
          <w:sz w:val="16"/>
        </w:rPr>
        <w:t> </w:t>
      </w:r>
      <w:r>
        <w:rPr>
          <w:b/>
          <w:sz w:val="16"/>
        </w:rPr>
        <w:t>pursuant</w:t>
      </w:r>
      <w:r>
        <w:rPr>
          <w:b/>
          <w:spacing w:val="-3"/>
          <w:sz w:val="16"/>
        </w:rPr>
        <w:t> </w:t>
      </w:r>
      <w:r>
        <w:rPr>
          <w:b/>
          <w:sz w:val="16"/>
        </w:rPr>
        <w:t>to</w:t>
      </w:r>
      <w:r>
        <w:rPr>
          <w:b/>
          <w:spacing w:val="-2"/>
          <w:sz w:val="16"/>
        </w:rPr>
        <w:t> </w:t>
      </w:r>
      <w:r>
        <w:rPr>
          <w:b/>
          <w:sz w:val="16"/>
        </w:rPr>
        <w:t>Section</w:t>
      </w:r>
      <w:r>
        <w:rPr>
          <w:b/>
          <w:spacing w:val="-4"/>
          <w:sz w:val="16"/>
        </w:rPr>
        <w:t> </w:t>
      </w:r>
      <w:r>
        <w:rPr>
          <w:b/>
          <w:sz w:val="16"/>
        </w:rPr>
        <w:t>12(g)</w:t>
      </w:r>
      <w:r>
        <w:rPr>
          <w:b/>
          <w:spacing w:val="-2"/>
          <w:sz w:val="16"/>
        </w:rPr>
        <w:t> </w:t>
      </w:r>
      <w:r>
        <w:rPr>
          <w:b/>
          <w:sz w:val="16"/>
        </w:rPr>
        <w:t>of</w:t>
      </w:r>
      <w:r>
        <w:rPr>
          <w:b/>
          <w:spacing w:val="-3"/>
          <w:sz w:val="16"/>
        </w:rPr>
        <w:t> </w:t>
      </w:r>
      <w:r>
        <w:rPr>
          <w:b/>
          <w:sz w:val="16"/>
        </w:rPr>
        <w:t>the</w:t>
      </w:r>
      <w:r>
        <w:rPr>
          <w:b/>
          <w:spacing w:val="-10"/>
          <w:sz w:val="16"/>
        </w:rPr>
        <w:t> </w:t>
      </w:r>
      <w:r>
        <w:rPr>
          <w:b/>
          <w:sz w:val="16"/>
        </w:rPr>
        <w:t>Act:</w:t>
      </w:r>
      <w:r>
        <w:rPr>
          <w:b/>
          <w:spacing w:val="-2"/>
          <w:sz w:val="16"/>
        </w:rPr>
        <w:t> </w:t>
      </w:r>
      <w:r>
        <w:rPr>
          <w:b/>
          <w:spacing w:val="-4"/>
          <w:sz w:val="16"/>
        </w:rPr>
        <w:t>None</w:t>
      </w:r>
    </w:p>
    <w:p>
      <w:pPr>
        <w:pStyle w:val="BodyText"/>
        <w:spacing w:before="5"/>
        <w:rPr>
          <w:b/>
          <w:sz w:val="9"/>
        </w:rPr>
      </w:pPr>
      <w:r>
        <w:rPr/>
        <mc:AlternateContent>
          <mc:Choice Requires="wps">
            <w:drawing>
              <wp:anchor distT="0" distB="0" distL="0" distR="0" allowOverlap="1" layoutInCell="1" locked="0" behindDoc="1" simplePos="0" relativeHeight="487589376">
                <wp:simplePos x="0" y="0"/>
                <wp:positionH relativeFrom="page">
                  <wp:posOffset>3241675</wp:posOffset>
                </wp:positionH>
                <wp:positionV relativeFrom="paragraph">
                  <wp:posOffset>84660</wp:posOffset>
                </wp:positionV>
                <wp:extent cx="128905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289050" cy="1270"/>
                        </a:xfrm>
                        <a:custGeom>
                          <a:avLst/>
                          <a:gdLst/>
                          <a:ahLst/>
                          <a:cxnLst/>
                          <a:rect l="l" t="t" r="r" b="b"/>
                          <a:pathLst>
                            <a:path w="1289050" h="0">
                              <a:moveTo>
                                <a:pt x="0" y="0"/>
                              </a:moveTo>
                              <a:lnTo>
                                <a:pt x="1289050" y="0"/>
                              </a:lnTo>
                            </a:path>
                          </a:pathLst>
                        </a:custGeom>
                        <a:ln w="355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25pt;margin-top:6.666147pt;width:101.5pt;height:.1pt;mso-position-horizontal-relative:page;mso-position-vertical-relative:paragraph;z-index:-15727104;mso-wrap-distance-left:0;mso-wrap-distance-right:0" id="docshape5" coordorigin="5105,133" coordsize="2030,0" path="m5105,133l7135,133e" filled="false" stroked="true" strokeweight=".280pt" strokecolor="#000000">
                <v:path arrowok="t"/>
                <v:stroke dashstyle="solid"/>
                <w10:wrap type="topAndBottom"/>
              </v:shape>
            </w:pict>
          </mc:Fallback>
        </mc:AlternateContent>
      </w:r>
    </w:p>
    <w:p>
      <w:pPr>
        <w:spacing w:line="408" w:lineRule="auto" w:before="127"/>
        <w:ind w:left="660" w:right="1476" w:firstLine="0"/>
        <w:jc w:val="both"/>
        <w:rPr>
          <w:sz w:val="16"/>
        </w:rPr>
      </w:pPr>
      <w:r>
        <w:rPr>
          <w:position w:val="1"/>
          <w:sz w:val="16"/>
        </w:rPr>
        <w:t>Indicate by check mark if the registrant is a well-known seasoned issuer, as defined in Rule 405 of the Securities</w:t>
      </w:r>
      <w:r>
        <w:rPr>
          <w:spacing w:val="-7"/>
          <w:position w:val="1"/>
          <w:sz w:val="16"/>
        </w:rPr>
        <w:t> </w:t>
      </w:r>
      <w:r>
        <w:rPr>
          <w:position w:val="1"/>
          <w:sz w:val="16"/>
        </w:rPr>
        <w:t>Act.</w:t>
      </w:r>
      <w:r>
        <w:rPr>
          <w:spacing w:val="-3"/>
          <w:position w:val="1"/>
          <w:sz w:val="16"/>
        </w:rPr>
        <w:t> </w:t>
      </w:r>
      <w:r>
        <w:rPr>
          <w:position w:val="1"/>
          <w:sz w:val="16"/>
        </w:rPr>
        <w:t>Yes </w:t>
      </w:r>
      <w:r>
        <w:rPr>
          <w:sz w:val="16"/>
        </w:rPr>
        <w:drawing>
          <wp:inline distT="0" distB="0" distL="0" distR="0">
            <wp:extent cx="107696" cy="8649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107696" cy="86494"/>
                    </a:xfrm>
                    <a:prstGeom prst="rect">
                      <a:avLst/>
                    </a:prstGeom>
                  </pic:spPr>
                </pic:pic>
              </a:graphicData>
            </a:graphic>
          </wp:inline>
        </w:drawing>
      </w:r>
      <w:r>
        <w:rPr>
          <w:sz w:val="16"/>
        </w:rPr>
      </w:r>
      <w:r>
        <w:rPr>
          <w:spacing w:val="40"/>
          <w:position w:val="1"/>
          <w:sz w:val="16"/>
        </w:rPr>
        <w:t> </w:t>
      </w:r>
      <w:r>
        <w:rPr>
          <w:position w:val="1"/>
          <w:sz w:val="16"/>
        </w:rPr>
        <w:t>No </w:t>
      </w:r>
      <w:r>
        <w:rPr>
          <w:sz w:val="16"/>
        </w:rPr>
        <w:drawing>
          <wp:inline distT="0" distB="0" distL="0" distR="0">
            <wp:extent cx="85946" cy="8649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85946" cy="86494"/>
                    </a:xfrm>
                    <a:prstGeom prst="rect">
                      <a:avLst/>
                    </a:prstGeom>
                  </pic:spPr>
                </pic:pic>
              </a:graphicData>
            </a:graphic>
          </wp:inline>
        </w:drawing>
      </w:r>
      <w:r>
        <w:rPr>
          <w:sz w:val="16"/>
        </w:rPr>
      </w:r>
      <w:r>
        <w:rPr>
          <w:spacing w:val="40"/>
          <w:sz w:val="16"/>
        </w:rPr>
        <w:t> </w:t>
      </w:r>
      <w:r>
        <w:rPr>
          <w:position w:val="1"/>
          <w:sz w:val="16"/>
        </w:rPr>
        <w:t>Indicate</w:t>
      </w:r>
      <w:r>
        <w:rPr>
          <w:spacing w:val="-5"/>
          <w:position w:val="1"/>
          <w:sz w:val="16"/>
        </w:rPr>
        <w:t> </w:t>
      </w:r>
      <w:r>
        <w:rPr>
          <w:position w:val="1"/>
          <w:sz w:val="16"/>
        </w:rPr>
        <w:t>by</w:t>
      </w:r>
      <w:r>
        <w:rPr>
          <w:spacing w:val="-1"/>
          <w:position w:val="1"/>
          <w:sz w:val="16"/>
        </w:rPr>
        <w:t> </w:t>
      </w:r>
      <w:r>
        <w:rPr>
          <w:position w:val="1"/>
          <w:sz w:val="16"/>
        </w:rPr>
        <w:t>check</w:t>
      </w:r>
      <w:r>
        <w:rPr>
          <w:spacing w:val="-2"/>
          <w:position w:val="1"/>
          <w:sz w:val="16"/>
        </w:rPr>
        <w:t> </w:t>
      </w:r>
      <w:r>
        <w:rPr>
          <w:position w:val="1"/>
          <w:sz w:val="16"/>
        </w:rPr>
        <w:t>mark</w:t>
      </w:r>
      <w:r>
        <w:rPr>
          <w:spacing w:val="-2"/>
          <w:position w:val="1"/>
          <w:sz w:val="16"/>
        </w:rPr>
        <w:t> </w:t>
      </w:r>
      <w:r>
        <w:rPr>
          <w:position w:val="1"/>
          <w:sz w:val="16"/>
        </w:rPr>
        <w:t>if</w:t>
      </w:r>
      <w:r>
        <w:rPr>
          <w:spacing w:val="-1"/>
          <w:position w:val="1"/>
          <w:sz w:val="16"/>
        </w:rPr>
        <w:t> </w:t>
      </w:r>
      <w:r>
        <w:rPr>
          <w:position w:val="1"/>
          <w:sz w:val="16"/>
        </w:rPr>
        <w:t>the</w:t>
      </w:r>
      <w:r>
        <w:rPr>
          <w:spacing w:val="-2"/>
          <w:position w:val="1"/>
          <w:sz w:val="16"/>
        </w:rPr>
        <w:t> </w:t>
      </w:r>
      <w:r>
        <w:rPr>
          <w:position w:val="1"/>
          <w:sz w:val="16"/>
        </w:rPr>
        <w:t>registrant</w:t>
      </w:r>
      <w:r>
        <w:rPr>
          <w:spacing w:val="-2"/>
          <w:position w:val="1"/>
          <w:sz w:val="16"/>
        </w:rPr>
        <w:t> </w:t>
      </w:r>
      <w:r>
        <w:rPr>
          <w:position w:val="1"/>
          <w:sz w:val="16"/>
        </w:rPr>
        <w:t>is</w:t>
      </w:r>
      <w:r>
        <w:rPr>
          <w:spacing w:val="-2"/>
          <w:position w:val="1"/>
          <w:sz w:val="16"/>
        </w:rPr>
        <w:t> </w:t>
      </w:r>
      <w:r>
        <w:rPr>
          <w:position w:val="1"/>
          <w:sz w:val="16"/>
        </w:rPr>
        <w:t>not</w:t>
      </w:r>
      <w:r>
        <w:rPr>
          <w:spacing w:val="-2"/>
          <w:position w:val="1"/>
          <w:sz w:val="16"/>
        </w:rPr>
        <w:t> </w:t>
      </w:r>
      <w:r>
        <w:rPr>
          <w:position w:val="1"/>
          <w:sz w:val="16"/>
        </w:rPr>
        <w:t>required</w:t>
      </w:r>
      <w:r>
        <w:rPr>
          <w:spacing w:val="-2"/>
          <w:position w:val="1"/>
          <w:sz w:val="16"/>
        </w:rPr>
        <w:t> </w:t>
      </w:r>
      <w:r>
        <w:rPr>
          <w:position w:val="1"/>
          <w:sz w:val="16"/>
        </w:rPr>
        <w:t>to</w:t>
      </w:r>
      <w:r>
        <w:rPr>
          <w:spacing w:val="-1"/>
          <w:position w:val="1"/>
          <w:sz w:val="16"/>
        </w:rPr>
        <w:t> </w:t>
      </w:r>
      <w:r>
        <w:rPr>
          <w:position w:val="1"/>
          <w:sz w:val="16"/>
        </w:rPr>
        <w:t>file</w:t>
      </w:r>
      <w:r>
        <w:rPr>
          <w:spacing w:val="-3"/>
          <w:position w:val="1"/>
          <w:sz w:val="16"/>
        </w:rPr>
        <w:t> </w:t>
      </w:r>
      <w:r>
        <w:rPr>
          <w:position w:val="1"/>
          <w:sz w:val="16"/>
        </w:rPr>
        <w:t>reports</w:t>
      </w:r>
      <w:r>
        <w:rPr>
          <w:spacing w:val="-1"/>
          <w:position w:val="1"/>
          <w:sz w:val="16"/>
        </w:rPr>
        <w:t> </w:t>
      </w:r>
      <w:r>
        <w:rPr>
          <w:position w:val="1"/>
          <w:sz w:val="16"/>
        </w:rPr>
        <w:t>pursuant</w:t>
      </w:r>
      <w:r>
        <w:rPr>
          <w:spacing w:val="-2"/>
          <w:position w:val="1"/>
          <w:sz w:val="16"/>
        </w:rPr>
        <w:t> </w:t>
      </w:r>
      <w:r>
        <w:rPr>
          <w:position w:val="1"/>
          <w:sz w:val="16"/>
        </w:rPr>
        <w:t>to</w:t>
      </w:r>
      <w:r>
        <w:rPr>
          <w:spacing w:val="-2"/>
          <w:position w:val="1"/>
          <w:sz w:val="16"/>
        </w:rPr>
        <w:t> </w:t>
      </w:r>
      <w:r>
        <w:rPr>
          <w:position w:val="1"/>
          <w:sz w:val="16"/>
        </w:rPr>
        <w:t>Section</w:t>
      </w:r>
      <w:r>
        <w:rPr>
          <w:spacing w:val="-2"/>
          <w:position w:val="1"/>
          <w:sz w:val="16"/>
        </w:rPr>
        <w:t> </w:t>
      </w:r>
      <w:r>
        <w:rPr>
          <w:position w:val="1"/>
          <w:sz w:val="16"/>
        </w:rPr>
        <w:t>13</w:t>
      </w:r>
      <w:r>
        <w:rPr>
          <w:spacing w:val="-1"/>
          <w:position w:val="1"/>
          <w:sz w:val="16"/>
        </w:rPr>
        <w:t> </w:t>
      </w:r>
      <w:r>
        <w:rPr>
          <w:position w:val="1"/>
          <w:sz w:val="16"/>
        </w:rPr>
        <w:t>or</w:t>
      </w:r>
      <w:r>
        <w:rPr>
          <w:spacing w:val="-2"/>
          <w:position w:val="1"/>
          <w:sz w:val="16"/>
        </w:rPr>
        <w:t> </w:t>
      </w:r>
      <w:r>
        <w:rPr>
          <w:position w:val="1"/>
          <w:sz w:val="16"/>
        </w:rPr>
        <w:t>Section</w:t>
      </w:r>
      <w:r>
        <w:rPr>
          <w:spacing w:val="-2"/>
          <w:position w:val="1"/>
          <w:sz w:val="16"/>
        </w:rPr>
        <w:t> </w:t>
      </w:r>
      <w:r>
        <w:rPr>
          <w:position w:val="1"/>
          <w:sz w:val="16"/>
        </w:rPr>
        <w:t>15(d)</w:t>
      </w:r>
      <w:r>
        <w:rPr>
          <w:spacing w:val="-1"/>
          <w:position w:val="1"/>
          <w:sz w:val="16"/>
        </w:rPr>
        <w:t> </w:t>
      </w:r>
      <w:r>
        <w:rPr>
          <w:position w:val="1"/>
          <w:sz w:val="16"/>
        </w:rPr>
        <w:t>of</w:t>
      </w:r>
      <w:r>
        <w:rPr>
          <w:spacing w:val="-1"/>
          <w:position w:val="1"/>
          <w:sz w:val="16"/>
        </w:rPr>
        <w:t> </w:t>
      </w:r>
      <w:r>
        <w:rPr>
          <w:position w:val="1"/>
          <w:sz w:val="16"/>
        </w:rPr>
        <w:t>the</w:t>
      </w:r>
      <w:r>
        <w:rPr>
          <w:spacing w:val="-10"/>
          <w:position w:val="1"/>
          <w:sz w:val="16"/>
        </w:rPr>
        <w:t> </w:t>
      </w:r>
      <w:r>
        <w:rPr>
          <w:position w:val="1"/>
          <w:sz w:val="16"/>
        </w:rPr>
        <w:t>Act.</w:t>
      </w:r>
      <w:r>
        <w:rPr>
          <w:spacing w:val="-8"/>
          <w:position w:val="1"/>
          <w:sz w:val="16"/>
        </w:rPr>
        <w:t> </w:t>
      </w:r>
      <w:r>
        <w:rPr>
          <w:position w:val="1"/>
          <w:sz w:val="16"/>
        </w:rPr>
        <w:t>Yes</w:t>
      </w:r>
      <w:r>
        <w:rPr>
          <w:spacing w:val="-2"/>
          <w:position w:val="1"/>
          <w:sz w:val="16"/>
        </w:rPr>
        <w:t> </w:t>
      </w:r>
      <w:r>
        <w:rPr>
          <w:spacing w:val="-1"/>
          <w:sz w:val="16"/>
        </w:rPr>
        <w:drawing>
          <wp:inline distT="0" distB="0" distL="0" distR="0">
            <wp:extent cx="85946" cy="8649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85946" cy="86494"/>
                    </a:xfrm>
                    <a:prstGeom prst="rect">
                      <a:avLst/>
                    </a:prstGeom>
                  </pic:spPr>
                </pic:pic>
              </a:graphicData>
            </a:graphic>
          </wp:inline>
        </w:drawing>
      </w:r>
      <w:r>
        <w:rPr>
          <w:spacing w:val="-1"/>
          <w:sz w:val="16"/>
        </w:rPr>
      </w:r>
      <w:r>
        <w:rPr>
          <w:spacing w:val="45"/>
          <w:position w:val="1"/>
          <w:sz w:val="16"/>
        </w:rPr>
        <w:t> </w:t>
      </w:r>
      <w:r>
        <w:rPr>
          <w:position w:val="1"/>
          <w:sz w:val="16"/>
        </w:rPr>
        <w:t>No</w:t>
      </w:r>
      <w:r>
        <w:rPr>
          <w:spacing w:val="-1"/>
          <w:position w:val="1"/>
          <w:sz w:val="16"/>
        </w:rPr>
        <w:t> </w:t>
      </w:r>
      <w:r>
        <w:rPr>
          <w:sz w:val="16"/>
        </w:rPr>
        <w:drawing>
          <wp:inline distT="0" distB="0" distL="0" distR="0">
            <wp:extent cx="107696" cy="8649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107696" cy="86494"/>
                    </a:xfrm>
                    <a:prstGeom prst="rect">
                      <a:avLst/>
                    </a:prstGeom>
                  </pic:spPr>
                </pic:pic>
              </a:graphicData>
            </a:graphic>
          </wp:inline>
        </w:drawing>
      </w:r>
      <w:r>
        <w:rPr>
          <w:sz w:val="16"/>
        </w:rPr>
      </w:r>
    </w:p>
    <w:p>
      <w:pPr>
        <w:spacing w:line="247" w:lineRule="auto" w:before="4"/>
        <w:ind w:left="120" w:right="157" w:firstLine="540"/>
        <w:jc w:val="both"/>
        <w:rPr>
          <w:sz w:val="16"/>
        </w:rPr>
      </w:pPr>
      <w:r>
        <w:rPr>
          <w:sz w:val="16"/>
        </w:rPr>
        <w:t>Indicate by check mark whether the registrant (1)</w:t>
      </w:r>
      <w:r>
        <w:rPr>
          <w:spacing w:val="-1"/>
          <w:sz w:val="16"/>
        </w:rPr>
        <w:t> </w:t>
      </w:r>
      <w:r>
        <w:rPr>
          <w:sz w:val="16"/>
        </w:rPr>
        <w:t>has filed all reports required to be filed by Section</w:t>
      </w:r>
      <w:r>
        <w:rPr>
          <w:spacing w:val="-1"/>
          <w:sz w:val="16"/>
        </w:rPr>
        <w:t> </w:t>
      </w:r>
      <w:r>
        <w:rPr>
          <w:sz w:val="16"/>
        </w:rPr>
        <w:t>13 or 15(d)</w:t>
      </w:r>
      <w:r>
        <w:rPr>
          <w:spacing w:val="-1"/>
          <w:sz w:val="16"/>
        </w:rPr>
        <w:t> </w:t>
      </w:r>
      <w:r>
        <w:rPr>
          <w:sz w:val="16"/>
        </w:rPr>
        <w:t>of the Securities Exchange</w:t>
      </w:r>
      <w:r>
        <w:rPr>
          <w:spacing w:val="-4"/>
          <w:sz w:val="16"/>
        </w:rPr>
        <w:t> </w:t>
      </w:r>
      <w:r>
        <w:rPr>
          <w:sz w:val="16"/>
        </w:rPr>
        <w:t>Act of 1934</w:t>
      </w:r>
      <w:r>
        <w:rPr>
          <w:spacing w:val="40"/>
          <w:sz w:val="16"/>
        </w:rPr>
        <w:t> </w:t>
      </w:r>
      <w:r>
        <w:rPr>
          <w:sz w:val="16"/>
        </w:rPr>
        <w:t>during</w:t>
      </w:r>
      <w:r>
        <w:rPr>
          <w:spacing w:val="-2"/>
          <w:sz w:val="16"/>
        </w:rPr>
        <w:t> </w:t>
      </w:r>
      <w:r>
        <w:rPr>
          <w:sz w:val="16"/>
        </w:rPr>
        <w:t>the</w:t>
      </w:r>
      <w:r>
        <w:rPr>
          <w:spacing w:val="-2"/>
          <w:sz w:val="16"/>
        </w:rPr>
        <w:t> </w:t>
      </w:r>
      <w:r>
        <w:rPr>
          <w:sz w:val="16"/>
        </w:rPr>
        <w:t>preceding</w:t>
      </w:r>
      <w:r>
        <w:rPr>
          <w:spacing w:val="-2"/>
          <w:sz w:val="16"/>
        </w:rPr>
        <w:t> </w:t>
      </w:r>
      <w:r>
        <w:rPr>
          <w:sz w:val="16"/>
        </w:rPr>
        <w:t>12</w:t>
      </w:r>
      <w:r>
        <w:rPr>
          <w:spacing w:val="-2"/>
          <w:sz w:val="16"/>
        </w:rPr>
        <w:t> </w:t>
      </w:r>
      <w:r>
        <w:rPr>
          <w:sz w:val="16"/>
        </w:rPr>
        <w:t>months</w:t>
      </w:r>
      <w:r>
        <w:rPr>
          <w:spacing w:val="-2"/>
          <w:sz w:val="16"/>
        </w:rPr>
        <w:t> </w:t>
      </w:r>
      <w:r>
        <w:rPr>
          <w:sz w:val="16"/>
        </w:rPr>
        <w:t>(or</w:t>
      </w:r>
      <w:r>
        <w:rPr>
          <w:spacing w:val="-2"/>
          <w:sz w:val="16"/>
        </w:rPr>
        <w:t> </w:t>
      </w:r>
      <w:r>
        <w:rPr>
          <w:sz w:val="16"/>
        </w:rPr>
        <w:t>for</w:t>
      </w:r>
      <w:r>
        <w:rPr>
          <w:spacing w:val="-2"/>
          <w:sz w:val="16"/>
        </w:rPr>
        <w:t> </w:t>
      </w:r>
      <w:r>
        <w:rPr>
          <w:sz w:val="16"/>
        </w:rPr>
        <w:t>such</w:t>
      </w:r>
      <w:r>
        <w:rPr>
          <w:spacing w:val="-2"/>
          <w:sz w:val="16"/>
        </w:rPr>
        <w:t> </w:t>
      </w:r>
      <w:r>
        <w:rPr>
          <w:sz w:val="16"/>
        </w:rPr>
        <w:t>shorter</w:t>
      </w:r>
      <w:r>
        <w:rPr>
          <w:spacing w:val="-2"/>
          <w:sz w:val="16"/>
        </w:rPr>
        <w:t> </w:t>
      </w:r>
      <w:r>
        <w:rPr>
          <w:sz w:val="16"/>
        </w:rPr>
        <w:t>period</w:t>
      </w:r>
      <w:r>
        <w:rPr>
          <w:spacing w:val="-2"/>
          <w:sz w:val="16"/>
        </w:rPr>
        <w:t> </w:t>
      </w:r>
      <w:r>
        <w:rPr>
          <w:sz w:val="16"/>
        </w:rPr>
        <w:t>that</w:t>
      </w:r>
      <w:r>
        <w:rPr>
          <w:spacing w:val="-2"/>
          <w:sz w:val="16"/>
        </w:rPr>
        <w:t> </w:t>
      </w:r>
      <w:r>
        <w:rPr>
          <w:sz w:val="16"/>
        </w:rPr>
        <w:t>the</w:t>
      </w:r>
      <w:r>
        <w:rPr>
          <w:spacing w:val="-2"/>
          <w:sz w:val="16"/>
        </w:rPr>
        <w:t> </w:t>
      </w:r>
      <w:r>
        <w:rPr>
          <w:sz w:val="16"/>
        </w:rPr>
        <w:t>registrant</w:t>
      </w:r>
      <w:r>
        <w:rPr>
          <w:spacing w:val="-2"/>
          <w:sz w:val="16"/>
        </w:rPr>
        <w:t> </w:t>
      </w:r>
      <w:r>
        <w:rPr>
          <w:sz w:val="16"/>
        </w:rPr>
        <w:t>was</w:t>
      </w:r>
      <w:r>
        <w:rPr>
          <w:spacing w:val="-2"/>
          <w:sz w:val="16"/>
        </w:rPr>
        <w:t> </w:t>
      </w:r>
      <w:r>
        <w:rPr>
          <w:sz w:val="16"/>
        </w:rPr>
        <w:t>required</w:t>
      </w:r>
      <w:r>
        <w:rPr>
          <w:spacing w:val="-2"/>
          <w:sz w:val="16"/>
        </w:rPr>
        <w:t> </w:t>
      </w:r>
      <w:r>
        <w:rPr>
          <w:sz w:val="16"/>
        </w:rPr>
        <w:t>to</w:t>
      </w:r>
      <w:r>
        <w:rPr>
          <w:spacing w:val="-2"/>
          <w:sz w:val="16"/>
        </w:rPr>
        <w:t> </w:t>
      </w:r>
      <w:r>
        <w:rPr>
          <w:sz w:val="16"/>
        </w:rPr>
        <w:t>file</w:t>
      </w:r>
      <w:r>
        <w:rPr>
          <w:spacing w:val="-2"/>
          <w:sz w:val="16"/>
        </w:rPr>
        <w:t> </w:t>
      </w:r>
      <w:r>
        <w:rPr>
          <w:sz w:val="16"/>
        </w:rPr>
        <w:t>such</w:t>
      </w:r>
      <w:r>
        <w:rPr>
          <w:spacing w:val="-2"/>
          <w:sz w:val="16"/>
        </w:rPr>
        <w:t> </w:t>
      </w:r>
      <w:r>
        <w:rPr>
          <w:sz w:val="16"/>
        </w:rPr>
        <w:t>reports),</w:t>
      </w:r>
      <w:r>
        <w:rPr>
          <w:spacing w:val="-2"/>
          <w:sz w:val="16"/>
        </w:rPr>
        <w:t> </w:t>
      </w:r>
      <w:r>
        <w:rPr>
          <w:sz w:val="16"/>
        </w:rPr>
        <w:t>and</w:t>
      </w:r>
      <w:r>
        <w:rPr>
          <w:spacing w:val="-2"/>
          <w:sz w:val="16"/>
        </w:rPr>
        <w:t> </w:t>
      </w:r>
      <w:r>
        <w:rPr>
          <w:sz w:val="16"/>
        </w:rPr>
        <w:t>(2)</w:t>
      </w:r>
      <w:r>
        <w:rPr>
          <w:spacing w:val="-1"/>
          <w:sz w:val="16"/>
        </w:rPr>
        <w:t> </w:t>
      </w:r>
      <w:r>
        <w:rPr>
          <w:sz w:val="16"/>
        </w:rPr>
        <w:t>has</w:t>
      </w:r>
      <w:r>
        <w:rPr>
          <w:spacing w:val="-2"/>
          <w:sz w:val="16"/>
        </w:rPr>
        <w:t> </w:t>
      </w:r>
      <w:r>
        <w:rPr>
          <w:sz w:val="16"/>
        </w:rPr>
        <w:t>been</w:t>
      </w:r>
      <w:r>
        <w:rPr>
          <w:spacing w:val="-2"/>
          <w:sz w:val="16"/>
        </w:rPr>
        <w:t> </w:t>
      </w:r>
      <w:r>
        <w:rPr>
          <w:sz w:val="16"/>
        </w:rPr>
        <w:t>subject</w:t>
      </w:r>
      <w:r>
        <w:rPr>
          <w:spacing w:val="-2"/>
          <w:sz w:val="16"/>
        </w:rPr>
        <w:t> </w:t>
      </w:r>
      <w:r>
        <w:rPr>
          <w:sz w:val="16"/>
        </w:rPr>
        <w:t>to</w:t>
      </w:r>
      <w:r>
        <w:rPr>
          <w:spacing w:val="-2"/>
          <w:sz w:val="16"/>
        </w:rPr>
        <w:t> </w:t>
      </w:r>
      <w:r>
        <w:rPr>
          <w:sz w:val="16"/>
        </w:rPr>
        <w:t>such</w:t>
      </w:r>
      <w:r>
        <w:rPr>
          <w:spacing w:val="-2"/>
          <w:sz w:val="16"/>
        </w:rPr>
        <w:t> </w:t>
      </w:r>
      <w:r>
        <w:rPr>
          <w:sz w:val="16"/>
        </w:rPr>
        <w:t>filing</w:t>
      </w:r>
      <w:r>
        <w:rPr>
          <w:spacing w:val="-2"/>
          <w:sz w:val="16"/>
        </w:rPr>
        <w:t> </w:t>
      </w:r>
      <w:r>
        <w:rPr>
          <w:sz w:val="16"/>
        </w:rPr>
        <w:t>requirements</w:t>
      </w:r>
      <w:r>
        <w:rPr>
          <w:spacing w:val="40"/>
          <w:sz w:val="16"/>
        </w:rPr>
        <w:t> </w:t>
      </w:r>
      <w:r>
        <w:rPr>
          <w:position w:val="1"/>
          <w:sz w:val="16"/>
        </w:rPr>
        <w:t>for the past 90 days. Yes </w:t>
      </w:r>
      <w:r>
        <w:rPr>
          <w:sz w:val="16"/>
        </w:rPr>
        <w:drawing>
          <wp:inline distT="0" distB="0" distL="0" distR="0">
            <wp:extent cx="107695" cy="8649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107695" cy="86494"/>
                    </a:xfrm>
                    <a:prstGeom prst="rect">
                      <a:avLst/>
                    </a:prstGeom>
                  </pic:spPr>
                </pic:pic>
              </a:graphicData>
            </a:graphic>
          </wp:inline>
        </w:drawing>
      </w:r>
      <w:r>
        <w:rPr>
          <w:sz w:val="16"/>
        </w:rPr>
      </w:r>
      <w:r>
        <w:rPr>
          <w:spacing w:val="40"/>
          <w:position w:val="1"/>
          <w:sz w:val="16"/>
        </w:rPr>
        <w:t> </w:t>
      </w:r>
      <w:r>
        <w:rPr>
          <w:position w:val="1"/>
          <w:sz w:val="16"/>
        </w:rPr>
        <w:t>No </w:t>
      </w:r>
      <w:r>
        <w:rPr>
          <w:spacing w:val="-1"/>
          <w:sz w:val="16"/>
        </w:rPr>
        <w:drawing>
          <wp:inline distT="0" distB="0" distL="0" distR="0">
            <wp:extent cx="85946" cy="8649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85946" cy="86494"/>
                    </a:xfrm>
                    <a:prstGeom prst="rect">
                      <a:avLst/>
                    </a:prstGeom>
                  </pic:spPr>
                </pic:pic>
              </a:graphicData>
            </a:graphic>
          </wp:inline>
        </w:drawing>
      </w:r>
      <w:r>
        <w:rPr>
          <w:spacing w:val="-1"/>
          <w:sz w:val="16"/>
        </w:rPr>
      </w:r>
    </w:p>
    <w:p>
      <w:pPr>
        <w:spacing w:line="247" w:lineRule="auto" w:before="127"/>
        <w:ind w:left="120" w:right="157" w:firstLine="540"/>
        <w:jc w:val="both"/>
        <w:rPr>
          <w:sz w:val="16"/>
        </w:rPr>
      </w:pPr>
      <w:r>
        <w:rPr>
          <w:sz w:val="16"/>
        </w:rPr>
        <w:t>Indicate</w:t>
      </w:r>
      <w:r>
        <w:rPr>
          <w:spacing w:val="-4"/>
          <w:sz w:val="16"/>
        </w:rPr>
        <w:t> </w:t>
      </w:r>
      <w:r>
        <w:rPr>
          <w:sz w:val="16"/>
        </w:rPr>
        <w:t>by</w:t>
      </w:r>
      <w:r>
        <w:rPr>
          <w:spacing w:val="-4"/>
          <w:sz w:val="16"/>
        </w:rPr>
        <w:t> </w:t>
      </w:r>
      <w:r>
        <w:rPr>
          <w:sz w:val="16"/>
        </w:rPr>
        <w:t>check</w:t>
      </w:r>
      <w:r>
        <w:rPr>
          <w:spacing w:val="-4"/>
          <w:sz w:val="16"/>
        </w:rPr>
        <w:t> </w:t>
      </w:r>
      <w:r>
        <w:rPr>
          <w:sz w:val="16"/>
        </w:rPr>
        <w:t>mark</w:t>
      </w:r>
      <w:r>
        <w:rPr>
          <w:spacing w:val="-4"/>
          <w:sz w:val="16"/>
        </w:rPr>
        <w:t> </w:t>
      </w:r>
      <w:r>
        <w:rPr>
          <w:sz w:val="16"/>
        </w:rPr>
        <w:t>whether</w:t>
      </w:r>
      <w:r>
        <w:rPr>
          <w:spacing w:val="-4"/>
          <w:sz w:val="16"/>
        </w:rPr>
        <w:t> </w:t>
      </w:r>
      <w:r>
        <w:rPr>
          <w:sz w:val="16"/>
        </w:rPr>
        <w:t>the</w:t>
      </w:r>
      <w:r>
        <w:rPr>
          <w:spacing w:val="-4"/>
          <w:sz w:val="16"/>
        </w:rPr>
        <w:t> </w:t>
      </w:r>
      <w:r>
        <w:rPr>
          <w:sz w:val="16"/>
        </w:rPr>
        <w:t>registrant</w:t>
      </w:r>
      <w:r>
        <w:rPr>
          <w:spacing w:val="-5"/>
          <w:sz w:val="16"/>
        </w:rPr>
        <w:t> </w:t>
      </w:r>
      <w:r>
        <w:rPr>
          <w:sz w:val="16"/>
        </w:rPr>
        <w:t>has</w:t>
      </w:r>
      <w:r>
        <w:rPr>
          <w:spacing w:val="-4"/>
          <w:sz w:val="16"/>
        </w:rPr>
        <w:t> </w:t>
      </w:r>
      <w:r>
        <w:rPr>
          <w:sz w:val="16"/>
        </w:rPr>
        <w:t>submitted</w:t>
      </w:r>
      <w:r>
        <w:rPr>
          <w:spacing w:val="-4"/>
          <w:sz w:val="16"/>
        </w:rPr>
        <w:t> </w:t>
      </w:r>
      <w:r>
        <w:rPr>
          <w:sz w:val="16"/>
        </w:rPr>
        <w:t>electronically</w:t>
      </w:r>
      <w:r>
        <w:rPr>
          <w:spacing w:val="-5"/>
          <w:sz w:val="16"/>
        </w:rPr>
        <w:t> </w:t>
      </w:r>
      <w:r>
        <w:rPr>
          <w:sz w:val="16"/>
        </w:rPr>
        <w:t>and</w:t>
      </w:r>
      <w:r>
        <w:rPr>
          <w:spacing w:val="-4"/>
          <w:sz w:val="16"/>
        </w:rPr>
        <w:t> </w:t>
      </w:r>
      <w:r>
        <w:rPr>
          <w:sz w:val="16"/>
        </w:rPr>
        <w:t>posted</w:t>
      </w:r>
      <w:r>
        <w:rPr>
          <w:spacing w:val="-4"/>
          <w:sz w:val="16"/>
        </w:rPr>
        <w:t> </w:t>
      </w:r>
      <w:r>
        <w:rPr>
          <w:sz w:val="16"/>
        </w:rPr>
        <w:t>on</w:t>
      </w:r>
      <w:r>
        <w:rPr>
          <w:spacing w:val="-4"/>
          <w:sz w:val="16"/>
        </w:rPr>
        <w:t> </w:t>
      </w:r>
      <w:r>
        <w:rPr>
          <w:sz w:val="16"/>
        </w:rPr>
        <w:t>its</w:t>
      </w:r>
      <w:r>
        <w:rPr>
          <w:spacing w:val="-4"/>
          <w:sz w:val="16"/>
        </w:rPr>
        <w:t> </w:t>
      </w:r>
      <w:r>
        <w:rPr>
          <w:sz w:val="16"/>
        </w:rPr>
        <w:t>corporate</w:t>
      </w:r>
      <w:r>
        <w:rPr>
          <w:spacing w:val="-8"/>
          <w:sz w:val="16"/>
        </w:rPr>
        <w:t> </w:t>
      </w:r>
      <w:r>
        <w:rPr>
          <w:sz w:val="16"/>
        </w:rPr>
        <w:t>Web</w:t>
      </w:r>
      <w:r>
        <w:rPr>
          <w:spacing w:val="-4"/>
          <w:sz w:val="16"/>
        </w:rPr>
        <w:t> </w:t>
      </w:r>
      <w:r>
        <w:rPr>
          <w:sz w:val="16"/>
        </w:rPr>
        <w:t>site,</w:t>
      </w:r>
      <w:r>
        <w:rPr>
          <w:spacing w:val="-4"/>
          <w:sz w:val="16"/>
        </w:rPr>
        <w:t> </w:t>
      </w:r>
      <w:r>
        <w:rPr>
          <w:sz w:val="16"/>
        </w:rPr>
        <w:t>if</w:t>
      </w:r>
      <w:r>
        <w:rPr>
          <w:spacing w:val="-4"/>
          <w:sz w:val="16"/>
        </w:rPr>
        <w:t> </w:t>
      </w:r>
      <w:r>
        <w:rPr>
          <w:sz w:val="16"/>
        </w:rPr>
        <w:t>any,</w:t>
      </w:r>
      <w:r>
        <w:rPr>
          <w:spacing w:val="-4"/>
          <w:sz w:val="16"/>
        </w:rPr>
        <w:t> </w:t>
      </w:r>
      <w:r>
        <w:rPr>
          <w:sz w:val="16"/>
        </w:rPr>
        <w:t>every</w:t>
      </w:r>
      <w:r>
        <w:rPr>
          <w:spacing w:val="-4"/>
          <w:sz w:val="16"/>
        </w:rPr>
        <w:t> </w:t>
      </w:r>
      <w:r>
        <w:rPr>
          <w:sz w:val="16"/>
        </w:rPr>
        <w:t>Interactive</w:t>
      </w:r>
      <w:r>
        <w:rPr>
          <w:spacing w:val="-5"/>
          <w:sz w:val="16"/>
        </w:rPr>
        <w:t> </w:t>
      </w:r>
      <w:r>
        <w:rPr>
          <w:sz w:val="16"/>
        </w:rPr>
        <w:t>Data</w:t>
      </w:r>
      <w:r>
        <w:rPr>
          <w:spacing w:val="-5"/>
          <w:sz w:val="16"/>
        </w:rPr>
        <w:t> </w:t>
      </w:r>
      <w:r>
        <w:rPr>
          <w:sz w:val="16"/>
        </w:rPr>
        <w:t>File</w:t>
      </w:r>
      <w:r>
        <w:rPr>
          <w:spacing w:val="-4"/>
          <w:sz w:val="16"/>
        </w:rPr>
        <w:t> </w:t>
      </w:r>
      <w:r>
        <w:rPr>
          <w:sz w:val="16"/>
        </w:rPr>
        <w:t>required</w:t>
      </w:r>
      <w:r>
        <w:rPr>
          <w:spacing w:val="40"/>
          <w:sz w:val="16"/>
        </w:rPr>
        <w:t> </w:t>
      </w:r>
      <w:r>
        <w:rPr>
          <w:sz w:val="16"/>
        </w:rPr>
        <w:t>to be submitted and posted pursuant to Rule 405 of Regulation S-T</w:t>
      </w:r>
      <w:r>
        <w:rPr>
          <w:spacing w:val="-1"/>
          <w:sz w:val="16"/>
        </w:rPr>
        <w:t> </w:t>
      </w:r>
      <w:r>
        <w:rPr>
          <w:sz w:val="16"/>
        </w:rPr>
        <w:t>(§ 232.405 of this chapter) during the preceding 12 months (or for such shorter period that the</w:t>
      </w:r>
      <w:r>
        <w:rPr>
          <w:spacing w:val="40"/>
          <w:sz w:val="16"/>
        </w:rPr>
        <w:t> </w:t>
      </w:r>
      <w:r>
        <w:rPr>
          <w:position w:val="1"/>
          <w:sz w:val="16"/>
        </w:rPr>
        <w:t>registrant was required to submit and post such files). Yes </w:t>
      </w:r>
      <w:r>
        <w:rPr>
          <w:spacing w:val="-1"/>
          <w:sz w:val="16"/>
        </w:rPr>
        <w:drawing>
          <wp:inline distT="0" distB="0" distL="0" distR="0">
            <wp:extent cx="107695" cy="8649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107695" cy="86494"/>
                    </a:xfrm>
                    <a:prstGeom prst="rect">
                      <a:avLst/>
                    </a:prstGeom>
                  </pic:spPr>
                </pic:pic>
              </a:graphicData>
            </a:graphic>
          </wp:inline>
        </w:drawing>
      </w:r>
      <w:r>
        <w:rPr>
          <w:spacing w:val="-1"/>
          <w:sz w:val="16"/>
        </w:rPr>
      </w:r>
      <w:r>
        <w:rPr>
          <w:spacing w:val="40"/>
          <w:position w:val="1"/>
          <w:sz w:val="16"/>
        </w:rPr>
        <w:t> </w:t>
      </w:r>
      <w:r>
        <w:rPr>
          <w:position w:val="1"/>
          <w:sz w:val="16"/>
        </w:rPr>
        <w:t>No </w:t>
      </w:r>
      <w:r>
        <w:rPr>
          <w:sz w:val="16"/>
        </w:rPr>
        <w:drawing>
          <wp:inline distT="0" distB="0" distL="0" distR="0">
            <wp:extent cx="85946" cy="8649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85946" cy="86494"/>
                    </a:xfrm>
                    <a:prstGeom prst="rect">
                      <a:avLst/>
                    </a:prstGeom>
                  </pic:spPr>
                </pic:pic>
              </a:graphicData>
            </a:graphic>
          </wp:inline>
        </w:drawing>
      </w:r>
      <w:r>
        <w:rPr>
          <w:sz w:val="16"/>
        </w:rPr>
      </w:r>
    </w:p>
    <w:p>
      <w:pPr>
        <w:spacing w:line="247" w:lineRule="auto" w:before="128"/>
        <w:ind w:left="120" w:right="157" w:firstLine="540"/>
        <w:jc w:val="both"/>
        <w:rPr>
          <w:sz w:val="16"/>
        </w:rPr>
      </w:pPr>
      <w:r>
        <w:rPr>
          <w:sz w:val="16"/>
        </w:rPr>
        <w:t>Indicate</w:t>
      </w:r>
      <w:r>
        <w:rPr>
          <w:spacing w:val="-6"/>
          <w:sz w:val="16"/>
        </w:rPr>
        <w:t> </w:t>
      </w:r>
      <w:r>
        <w:rPr>
          <w:sz w:val="16"/>
        </w:rPr>
        <w:t>by</w:t>
      </w:r>
      <w:r>
        <w:rPr>
          <w:spacing w:val="-6"/>
          <w:sz w:val="16"/>
        </w:rPr>
        <w:t> </w:t>
      </w:r>
      <w:r>
        <w:rPr>
          <w:sz w:val="16"/>
        </w:rPr>
        <w:t>check</w:t>
      </w:r>
      <w:r>
        <w:rPr>
          <w:spacing w:val="-6"/>
          <w:sz w:val="16"/>
        </w:rPr>
        <w:t> </w:t>
      </w:r>
      <w:r>
        <w:rPr>
          <w:sz w:val="16"/>
        </w:rPr>
        <w:t>mark</w:t>
      </w:r>
      <w:r>
        <w:rPr>
          <w:spacing w:val="-6"/>
          <w:sz w:val="16"/>
        </w:rPr>
        <w:t> </w:t>
      </w:r>
      <w:r>
        <w:rPr>
          <w:sz w:val="16"/>
        </w:rPr>
        <w:t>if</w:t>
      </w:r>
      <w:r>
        <w:rPr>
          <w:spacing w:val="-6"/>
          <w:sz w:val="16"/>
        </w:rPr>
        <w:t> </w:t>
      </w:r>
      <w:r>
        <w:rPr>
          <w:sz w:val="16"/>
        </w:rPr>
        <w:t>disclosure</w:t>
      </w:r>
      <w:r>
        <w:rPr>
          <w:spacing w:val="-6"/>
          <w:sz w:val="16"/>
        </w:rPr>
        <w:t> </w:t>
      </w:r>
      <w:r>
        <w:rPr>
          <w:sz w:val="16"/>
        </w:rPr>
        <w:t>of</w:t>
      </w:r>
      <w:r>
        <w:rPr>
          <w:spacing w:val="-6"/>
          <w:sz w:val="16"/>
        </w:rPr>
        <w:t> </w:t>
      </w:r>
      <w:r>
        <w:rPr>
          <w:sz w:val="16"/>
        </w:rPr>
        <w:t>delinquent</w:t>
      </w:r>
      <w:r>
        <w:rPr>
          <w:spacing w:val="-7"/>
          <w:sz w:val="16"/>
        </w:rPr>
        <w:t> </w:t>
      </w:r>
      <w:r>
        <w:rPr>
          <w:sz w:val="16"/>
        </w:rPr>
        <w:t>filers</w:t>
      </w:r>
      <w:r>
        <w:rPr>
          <w:spacing w:val="-6"/>
          <w:sz w:val="16"/>
        </w:rPr>
        <w:t> </w:t>
      </w:r>
      <w:r>
        <w:rPr>
          <w:sz w:val="16"/>
        </w:rPr>
        <w:t>pursuant</w:t>
      </w:r>
      <w:r>
        <w:rPr>
          <w:spacing w:val="-6"/>
          <w:sz w:val="16"/>
        </w:rPr>
        <w:t> </w:t>
      </w:r>
      <w:r>
        <w:rPr>
          <w:sz w:val="16"/>
        </w:rPr>
        <w:t>to</w:t>
      </w:r>
      <w:r>
        <w:rPr>
          <w:spacing w:val="-6"/>
          <w:sz w:val="16"/>
        </w:rPr>
        <w:t> </w:t>
      </w:r>
      <w:r>
        <w:rPr>
          <w:sz w:val="16"/>
        </w:rPr>
        <w:t>Item</w:t>
      </w:r>
      <w:r>
        <w:rPr>
          <w:spacing w:val="-6"/>
          <w:sz w:val="16"/>
        </w:rPr>
        <w:t> </w:t>
      </w:r>
      <w:r>
        <w:rPr>
          <w:sz w:val="16"/>
        </w:rPr>
        <w:t>405</w:t>
      </w:r>
      <w:r>
        <w:rPr>
          <w:spacing w:val="-6"/>
          <w:sz w:val="16"/>
        </w:rPr>
        <w:t> </w:t>
      </w:r>
      <w:r>
        <w:rPr>
          <w:sz w:val="16"/>
        </w:rPr>
        <w:t>of</w:t>
      </w:r>
      <w:r>
        <w:rPr>
          <w:spacing w:val="-6"/>
          <w:sz w:val="16"/>
        </w:rPr>
        <w:t> </w:t>
      </w:r>
      <w:r>
        <w:rPr>
          <w:sz w:val="16"/>
        </w:rPr>
        <w:t>Regulation</w:t>
      </w:r>
      <w:r>
        <w:rPr>
          <w:spacing w:val="-6"/>
          <w:sz w:val="16"/>
        </w:rPr>
        <w:t> </w:t>
      </w:r>
      <w:r>
        <w:rPr>
          <w:sz w:val="16"/>
        </w:rPr>
        <w:t>S-K</w:t>
      </w:r>
      <w:r>
        <w:rPr>
          <w:spacing w:val="-6"/>
          <w:sz w:val="16"/>
        </w:rPr>
        <w:t> </w:t>
      </w:r>
      <w:r>
        <w:rPr>
          <w:sz w:val="16"/>
        </w:rPr>
        <w:t>(§</w:t>
      </w:r>
      <w:r>
        <w:rPr>
          <w:spacing w:val="-6"/>
          <w:sz w:val="16"/>
        </w:rPr>
        <w:t> </w:t>
      </w:r>
      <w:r>
        <w:rPr>
          <w:sz w:val="16"/>
        </w:rPr>
        <w:t>229.405</w:t>
      </w:r>
      <w:r>
        <w:rPr>
          <w:spacing w:val="-6"/>
          <w:sz w:val="16"/>
        </w:rPr>
        <w:t> </w:t>
      </w:r>
      <w:r>
        <w:rPr>
          <w:sz w:val="16"/>
        </w:rPr>
        <w:t>of</w:t>
      </w:r>
      <w:r>
        <w:rPr>
          <w:spacing w:val="-6"/>
          <w:sz w:val="16"/>
        </w:rPr>
        <w:t> </w:t>
      </w:r>
      <w:r>
        <w:rPr>
          <w:sz w:val="16"/>
        </w:rPr>
        <w:t>this</w:t>
      </w:r>
      <w:r>
        <w:rPr>
          <w:spacing w:val="-6"/>
          <w:sz w:val="16"/>
        </w:rPr>
        <w:t> </w:t>
      </w:r>
      <w:r>
        <w:rPr>
          <w:sz w:val="16"/>
        </w:rPr>
        <w:t>chapter)</w:t>
      </w:r>
      <w:r>
        <w:rPr>
          <w:spacing w:val="-6"/>
          <w:sz w:val="16"/>
        </w:rPr>
        <w:t> </w:t>
      </w:r>
      <w:r>
        <w:rPr>
          <w:sz w:val="16"/>
        </w:rPr>
        <w:t>is</w:t>
      </w:r>
      <w:r>
        <w:rPr>
          <w:spacing w:val="-6"/>
          <w:sz w:val="16"/>
        </w:rPr>
        <w:t> </w:t>
      </w:r>
      <w:r>
        <w:rPr>
          <w:sz w:val="16"/>
        </w:rPr>
        <w:t>not</w:t>
      </w:r>
      <w:r>
        <w:rPr>
          <w:spacing w:val="-6"/>
          <w:sz w:val="16"/>
        </w:rPr>
        <w:t> </w:t>
      </w:r>
      <w:r>
        <w:rPr>
          <w:sz w:val="16"/>
        </w:rPr>
        <w:t>contained</w:t>
      </w:r>
      <w:r>
        <w:rPr>
          <w:spacing w:val="-6"/>
          <w:sz w:val="16"/>
        </w:rPr>
        <w:t> </w:t>
      </w:r>
      <w:r>
        <w:rPr>
          <w:sz w:val="16"/>
        </w:rPr>
        <w:t>herein,</w:t>
      </w:r>
      <w:r>
        <w:rPr>
          <w:spacing w:val="-6"/>
          <w:sz w:val="16"/>
        </w:rPr>
        <w:t> </w:t>
      </w:r>
      <w:r>
        <w:rPr>
          <w:sz w:val="16"/>
        </w:rPr>
        <w:t>and</w:t>
      </w:r>
      <w:r>
        <w:rPr>
          <w:spacing w:val="-6"/>
          <w:sz w:val="16"/>
        </w:rPr>
        <w:t> </w:t>
      </w:r>
      <w:r>
        <w:rPr>
          <w:sz w:val="16"/>
        </w:rPr>
        <w:t>will</w:t>
      </w:r>
      <w:r>
        <w:rPr>
          <w:spacing w:val="40"/>
          <w:sz w:val="16"/>
        </w:rPr>
        <w:t> </w:t>
      </w:r>
      <w:r>
        <w:rPr>
          <w:sz w:val="16"/>
        </w:rPr>
        <w:t>not</w:t>
      </w:r>
      <w:r>
        <w:rPr>
          <w:spacing w:val="-1"/>
          <w:sz w:val="16"/>
        </w:rPr>
        <w:t> </w:t>
      </w:r>
      <w:r>
        <w:rPr>
          <w:sz w:val="16"/>
        </w:rPr>
        <w:t>be</w:t>
      </w:r>
      <w:r>
        <w:rPr>
          <w:spacing w:val="-1"/>
          <w:sz w:val="16"/>
        </w:rPr>
        <w:t> </w:t>
      </w:r>
      <w:r>
        <w:rPr>
          <w:sz w:val="16"/>
        </w:rPr>
        <w:t>contained,</w:t>
      </w:r>
      <w:r>
        <w:rPr>
          <w:spacing w:val="-1"/>
          <w:sz w:val="16"/>
        </w:rPr>
        <w:t> </w:t>
      </w:r>
      <w:r>
        <w:rPr>
          <w:sz w:val="16"/>
        </w:rPr>
        <w:t>to</w:t>
      </w:r>
      <w:r>
        <w:rPr>
          <w:spacing w:val="-1"/>
          <w:sz w:val="16"/>
        </w:rPr>
        <w:t> </w:t>
      </w:r>
      <w:r>
        <w:rPr>
          <w:sz w:val="16"/>
        </w:rPr>
        <w:t>the</w:t>
      </w:r>
      <w:r>
        <w:rPr>
          <w:spacing w:val="-1"/>
          <w:sz w:val="16"/>
        </w:rPr>
        <w:t> </w:t>
      </w:r>
      <w:r>
        <w:rPr>
          <w:sz w:val="16"/>
        </w:rPr>
        <w:t>best</w:t>
      </w:r>
      <w:r>
        <w:rPr>
          <w:spacing w:val="-1"/>
          <w:sz w:val="16"/>
        </w:rPr>
        <w:t> </w:t>
      </w:r>
      <w:r>
        <w:rPr>
          <w:sz w:val="16"/>
        </w:rPr>
        <w:t>of</w:t>
      </w:r>
      <w:r>
        <w:rPr>
          <w:spacing w:val="-1"/>
          <w:sz w:val="16"/>
        </w:rPr>
        <w:t> </w:t>
      </w:r>
      <w:r>
        <w:rPr>
          <w:sz w:val="16"/>
        </w:rPr>
        <w:t>registrant’s</w:t>
      </w:r>
      <w:r>
        <w:rPr>
          <w:spacing w:val="-1"/>
          <w:sz w:val="16"/>
        </w:rPr>
        <w:t> </w:t>
      </w:r>
      <w:r>
        <w:rPr>
          <w:sz w:val="16"/>
        </w:rPr>
        <w:t>knowledge,</w:t>
      </w:r>
      <w:r>
        <w:rPr>
          <w:spacing w:val="-1"/>
          <w:sz w:val="16"/>
        </w:rPr>
        <w:t> </w:t>
      </w:r>
      <w:r>
        <w:rPr>
          <w:sz w:val="16"/>
        </w:rPr>
        <w:t>in</w:t>
      </w:r>
      <w:r>
        <w:rPr>
          <w:spacing w:val="-1"/>
          <w:sz w:val="16"/>
        </w:rPr>
        <w:t> </w:t>
      </w:r>
      <w:r>
        <w:rPr>
          <w:sz w:val="16"/>
        </w:rPr>
        <w:t>definitive</w:t>
      </w:r>
      <w:r>
        <w:rPr>
          <w:spacing w:val="-1"/>
          <w:sz w:val="16"/>
        </w:rPr>
        <w:t> </w:t>
      </w:r>
      <w:r>
        <w:rPr>
          <w:sz w:val="16"/>
        </w:rPr>
        <w:t>proxy</w:t>
      </w:r>
      <w:r>
        <w:rPr>
          <w:spacing w:val="-1"/>
          <w:sz w:val="16"/>
        </w:rPr>
        <w:t> </w:t>
      </w:r>
      <w:r>
        <w:rPr>
          <w:sz w:val="16"/>
        </w:rPr>
        <w:t>or</w:t>
      </w:r>
      <w:r>
        <w:rPr>
          <w:spacing w:val="-1"/>
          <w:sz w:val="16"/>
        </w:rPr>
        <w:t> </w:t>
      </w:r>
      <w:r>
        <w:rPr>
          <w:sz w:val="16"/>
        </w:rPr>
        <w:t>information</w:t>
      </w:r>
      <w:r>
        <w:rPr>
          <w:spacing w:val="-1"/>
          <w:sz w:val="16"/>
        </w:rPr>
        <w:t> </w:t>
      </w:r>
      <w:r>
        <w:rPr>
          <w:sz w:val="16"/>
        </w:rPr>
        <w:t>statements</w:t>
      </w:r>
      <w:r>
        <w:rPr>
          <w:spacing w:val="-1"/>
          <w:sz w:val="16"/>
        </w:rPr>
        <w:t> </w:t>
      </w:r>
      <w:r>
        <w:rPr>
          <w:sz w:val="16"/>
        </w:rPr>
        <w:t>incorporated</w:t>
      </w:r>
      <w:r>
        <w:rPr>
          <w:spacing w:val="-1"/>
          <w:sz w:val="16"/>
        </w:rPr>
        <w:t> </w:t>
      </w:r>
      <w:r>
        <w:rPr>
          <w:sz w:val="16"/>
        </w:rPr>
        <w:t>by</w:t>
      </w:r>
      <w:r>
        <w:rPr>
          <w:spacing w:val="-1"/>
          <w:sz w:val="16"/>
        </w:rPr>
        <w:t> </w:t>
      </w:r>
      <w:r>
        <w:rPr>
          <w:sz w:val="16"/>
        </w:rPr>
        <w:t>reference</w:t>
      </w:r>
      <w:r>
        <w:rPr>
          <w:spacing w:val="-1"/>
          <w:sz w:val="16"/>
        </w:rPr>
        <w:t> </w:t>
      </w:r>
      <w:r>
        <w:rPr>
          <w:sz w:val="16"/>
        </w:rPr>
        <w:t>in</w:t>
      </w:r>
      <w:r>
        <w:rPr>
          <w:spacing w:val="-1"/>
          <w:sz w:val="16"/>
        </w:rPr>
        <w:t> </w:t>
      </w:r>
      <w:r>
        <w:rPr>
          <w:sz w:val="16"/>
        </w:rPr>
        <w:t>Part</w:t>
      </w:r>
      <w:r>
        <w:rPr>
          <w:spacing w:val="-2"/>
          <w:sz w:val="16"/>
        </w:rPr>
        <w:t> </w:t>
      </w:r>
      <w:r>
        <w:rPr>
          <w:sz w:val="16"/>
        </w:rPr>
        <w:t>III</w:t>
      </w:r>
      <w:r>
        <w:rPr>
          <w:spacing w:val="-1"/>
          <w:sz w:val="16"/>
        </w:rPr>
        <w:t> </w:t>
      </w:r>
      <w:r>
        <w:rPr>
          <w:sz w:val="16"/>
        </w:rPr>
        <w:t>of</w:t>
      </w:r>
      <w:r>
        <w:rPr>
          <w:spacing w:val="-1"/>
          <w:sz w:val="16"/>
        </w:rPr>
        <w:t> </w:t>
      </w:r>
      <w:r>
        <w:rPr>
          <w:sz w:val="16"/>
        </w:rPr>
        <w:t>this</w:t>
      </w:r>
      <w:r>
        <w:rPr>
          <w:spacing w:val="-1"/>
          <w:sz w:val="16"/>
        </w:rPr>
        <w:t> </w:t>
      </w:r>
      <w:r>
        <w:rPr>
          <w:sz w:val="16"/>
        </w:rPr>
        <w:t>Form</w:t>
      </w:r>
      <w:r>
        <w:rPr>
          <w:spacing w:val="-2"/>
          <w:sz w:val="16"/>
        </w:rPr>
        <w:t> </w:t>
      </w:r>
      <w:r>
        <w:rPr>
          <w:sz w:val="16"/>
        </w:rPr>
        <w:t>10-K</w:t>
      </w:r>
      <w:r>
        <w:rPr>
          <w:spacing w:val="-1"/>
          <w:sz w:val="16"/>
        </w:rPr>
        <w:t> </w:t>
      </w:r>
      <w:r>
        <w:rPr>
          <w:sz w:val="16"/>
        </w:rPr>
        <w:t>or</w:t>
      </w:r>
      <w:r>
        <w:rPr>
          <w:spacing w:val="-1"/>
          <w:sz w:val="16"/>
        </w:rPr>
        <w:t> </w:t>
      </w:r>
      <w:r>
        <w:rPr>
          <w:sz w:val="16"/>
        </w:rPr>
        <w:t>any</w:t>
      </w:r>
      <w:r>
        <w:rPr>
          <w:spacing w:val="40"/>
          <w:sz w:val="16"/>
        </w:rPr>
        <w:t> </w:t>
      </w:r>
      <w:r>
        <w:rPr>
          <w:position w:val="1"/>
          <w:sz w:val="16"/>
        </w:rPr>
        <w:t>amendment to this Form 10-K.</w:t>
      </w:r>
      <w:r>
        <w:rPr>
          <w:spacing w:val="40"/>
          <w:position w:val="1"/>
          <w:sz w:val="16"/>
        </w:rPr>
        <w:t> </w:t>
      </w:r>
      <w:r>
        <w:rPr>
          <w:spacing w:val="-1"/>
          <w:sz w:val="16"/>
        </w:rPr>
        <w:drawing>
          <wp:inline distT="0" distB="0" distL="0" distR="0">
            <wp:extent cx="107695" cy="8649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0" cstate="print"/>
                    <a:stretch>
                      <a:fillRect/>
                    </a:stretch>
                  </pic:blipFill>
                  <pic:spPr>
                    <a:xfrm>
                      <a:off x="0" y="0"/>
                      <a:ext cx="107695" cy="86494"/>
                    </a:xfrm>
                    <a:prstGeom prst="rect">
                      <a:avLst/>
                    </a:prstGeom>
                  </pic:spPr>
                </pic:pic>
              </a:graphicData>
            </a:graphic>
          </wp:inline>
        </w:drawing>
      </w:r>
      <w:r>
        <w:rPr>
          <w:spacing w:val="-1"/>
          <w:sz w:val="16"/>
        </w:rPr>
      </w:r>
    </w:p>
    <w:p>
      <w:pPr>
        <w:spacing w:line="249" w:lineRule="auto" w:before="127"/>
        <w:ind w:left="120" w:right="157" w:firstLine="540"/>
        <w:jc w:val="both"/>
        <w:rPr>
          <w:sz w:val="16"/>
        </w:rPr>
      </w:pPr>
      <w:r>
        <w:rPr>
          <w:sz w:val="16"/>
        </w:rPr>
        <w:t>Indicate</w:t>
      </w:r>
      <w:r>
        <w:rPr>
          <w:spacing w:val="-7"/>
          <w:sz w:val="16"/>
        </w:rPr>
        <w:t> </w:t>
      </w:r>
      <w:r>
        <w:rPr>
          <w:sz w:val="16"/>
        </w:rPr>
        <w:t>by</w:t>
      </w:r>
      <w:r>
        <w:rPr>
          <w:spacing w:val="-7"/>
          <w:sz w:val="16"/>
        </w:rPr>
        <w:t> </w:t>
      </w:r>
      <w:r>
        <w:rPr>
          <w:sz w:val="16"/>
        </w:rPr>
        <w:t>check</w:t>
      </w:r>
      <w:r>
        <w:rPr>
          <w:spacing w:val="-7"/>
          <w:sz w:val="16"/>
        </w:rPr>
        <w:t> </w:t>
      </w:r>
      <w:r>
        <w:rPr>
          <w:sz w:val="16"/>
        </w:rPr>
        <w:t>mark</w:t>
      </w:r>
      <w:r>
        <w:rPr>
          <w:spacing w:val="-7"/>
          <w:sz w:val="16"/>
        </w:rPr>
        <w:t> </w:t>
      </w:r>
      <w:r>
        <w:rPr>
          <w:sz w:val="16"/>
        </w:rPr>
        <w:t>whether</w:t>
      </w:r>
      <w:r>
        <w:rPr>
          <w:spacing w:val="-7"/>
          <w:sz w:val="16"/>
        </w:rPr>
        <w:t> </w:t>
      </w:r>
      <w:r>
        <w:rPr>
          <w:sz w:val="16"/>
        </w:rPr>
        <w:t>the</w:t>
      </w:r>
      <w:r>
        <w:rPr>
          <w:spacing w:val="-7"/>
          <w:sz w:val="16"/>
        </w:rPr>
        <w:t> </w:t>
      </w:r>
      <w:r>
        <w:rPr>
          <w:sz w:val="16"/>
        </w:rPr>
        <w:t>registrant</w:t>
      </w:r>
      <w:r>
        <w:rPr>
          <w:spacing w:val="-8"/>
          <w:sz w:val="16"/>
        </w:rPr>
        <w:t> </w:t>
      </w:r>
      <w:r>
        <w:rPr>
          <w:sz w:val="16"/>
        </w:rPr>
        <w:t>is</w:t>
      </w:r>
      <w:r>
        <w:rPr>
          <w:spacing w:val="-7"/>
          <w:sz w:val="16"/>
        </w:rPr>
        <w:t> </w:t>
      </w:r>
      <w:r>
        <w:rPr>
          <w:sz w:val="16"/>
        </w:rPr>
        <w:t>a</w:t>
      </w:r>
      <w:r>
        <w:rPr>
          <w:spacing w:val="-7"/>
          <w:sz w:val="16"/>
        </w:rPr>
        <w:t> </w:t>
      </w:r>
      <w:r>
        <w:rPr>
          <w:sz w:val="16"/>
        </w:rPr>
        <w:t>large</w:t>
      </w:r>
      <w:r>
        <w:rPr>
          <w:spacing w:val="-7"/>
          <w:sz w:val="16"/>
        </w:rPr>
        <w:t> </w:t>
      </w:r>
      <w:r>
        <w:rPr>
          <w:sz w:val="16"/>
        </w:rPr>
        <w:t>accelerated</w:t>
      </w:r>
      <w:r>
        <w:rPr>
          <w:spacing w:val="-7"/>
          <w:sz w:val="16"/>
        </w:rPr>
        <w:t> </w:t>
      </w:r>
      <w:r>
        <w:rPr>
          <w:sz w:val="16"/>
        </w:rPr>
        <w:t>filer,</w:t>
      </w:r>
      <w:r>
        <w:rPr>
          <w:spacing w:val="-7"/>
          <w:sz w:val="16"/>
        </w:rPr>
        <w:t> </w:t>
      </w:r>
      <w:r>
        <w:rPr>
          <w:sz w:val="16"/>
        </w:rPr>
        <w:t>an</w:t>
      </w:r>
      <w:r>
        <w:rPr>
          <w:spacing w:val="-7"/>
          <w:sz w:val="16"/>
        </w:rPr>
        <w:t> </w:t>
      </w:r>
      <w:r>
        <w:rPr>
          <w:sz w:val="16"/>
        </w:rPr>
        <w:t>accelerated</w:t>
      </w:r>
      <w:r>
        <w:rPr>
          <w:spacing w:val="-7"/>
          <w:sz w:val="16"/>
        </w:rPr>
        <w:t> </w:t>
      </w:r>
      <w:r>
        <w:rPr>
          <w:sz w:val="16"/>
        </w:rPr>
        <w:t>filer,</w:t>
      </w:r>
      <w:r>
        <w:rPr>
          <w:spacing w:val="-7"/>
          <w:sz w:val="16"/>
        </w:rPr>
        <w:t> </w:t>
      </w:r>
      <w:r>
        <w:rPr>
          <w:sz w:val="16"/>
        </w:rPr>
        <w:t>a</w:t>
      </w:r>
      <w:r>
        <w:rPr>
          <w:spacing w:val="-7"/>
          <w:sz w:val="16"/>
        </w:rPr>
        <w:t> </w:t>
      </w:r>
      <w:r>
        <w:rPr>
          <w:sz w:val="16"/>
        </w:rPr>
        <w:t>non-accelerated</w:t>
      </w:r>
      <w:r>
        <w:rPr>
          <w:spacing w:val="-7"/>
          <w:sz w:val="16"/>
        </w:rPr>
        <w:t> </w:t>
      </w:r>
      <w:r>
        <w:rPr>
          <w:sz w:val="16"/>
        </w:rPr>
        <w:t>filer</w:t>
      </w:r>
      <w:r>
        <w:rPr>
          <w:spacing w:val="-7"/>
          <w:sz w:val="16"/>
        </w:rPr>
        <w:t> </w:t>
      </w:r>
      <w:r>
        <w:rPr>
          <w:sz w:val="16"/>
        </w:rPr>
        <w:t>or</w:t>
      </w:r>
      <w:r>
        <w:rPr>
          <w:spacing w:val="-7"/>
          <w:sz w:val="16"/>
        </w:rPr>
        <w:t> </w:t>
      </w:r>
      <w:r>
        <w:rPr>
          <w:sz w:val="16"/>
        </w:rPr>
        <w:t>a</w:t>
      </w:r>
      <w:r>
        <w:rPr>
          <w:spacing w:val="-7"/>
          <w:sz w:val="16"/>
        </w:rPr>
        <w:t> </w:t>
      </w:r>
      <w:r>
        <w:rPr>
          <w:sz w:val="16"/>
        </w:rPr>
        <w:t>smaller</w:t>
      </w:r>
      <w:r>
        <w:rPr>
          <w:spacing w:val="-7"/>
          <w:sz w:val="16"/>
        </w:rPr>
        <w:t> </w:t>
      </w:r>
      <w:r>
        <w:rPr>
          <w:sz w:val="16"/>
        </w:rPr>
        <w:t>reporting</w:t>
      </w:r>
      <w:r>
        <w:rPr>
          <w:spacing w:val="-7"/>
          <w:sz w:val="16"/>
        </w:rPr>
        <w:t> </w:t>
      </w:r>
      <w:r>
        <w:rPr>
          <w:sz w:val="16"/>
        </w:rPr>
        <w:t>company.</w:t>
      </w:r>
      <w:r>
        <w:rPr>
          <w:spacing w:val="-7"/>
          <w:sz w:val="16"/>
        </w:rPr>
        <w:t> </w:t>
      </w:r>
      <w:r>
        <w:rPr>
          <w:sz w:val="16"/>
        </w:rPr>
        <w:t>See</w:t>
      </w:r>
      <w:r>
        <w:rPr>
          <w:spacing w:val="-7"/>
          <w:sz w:val="16"/>
        </w:rPr>
        <w:t> </w:t>
      </w:r>
      <w:r>
        <w:rPr>
          <w:sz w:val="16"/>
        </w:rPr>
        <w:t>the</w:t>
      </w:r>
      <w:r>
        <w:rPr>
          <w:spacing w:val="40"/>
          <w:sz w:val="16"/>
        </w:rPr>
        <w:t> </w:t>
      </w:r>
      <w:r>
        <w:rPr>
          <w:sz w:val="16"/>
        </w:rPr>
        <w:t>definitions of “large accelerated filer”, “accelerated filer”, “smaller reporting company”, and “emerging growth company” in Rule 12b-2 of the Exchange</w:t>
      </w:r>
      <w:r>
        <w:rPr>
          <w:spacing w:val="-6"/>
          <w:sz w:val="16"/>
        </w:rPr>
        <w:t> </w:t>
      </w:r>
      <w:r>
        <w:rPr>
          <w:sz w:val="16"/>
        </w:rPr>
        <w:t>Act.</w:t>
      </w:r>
    </w:p>
    <w:p>
      <w:pPr>
        <w:spacing w:after="0" w:line="249" w:lineRule="auto"/>
        <w:jc w:val="both"/>
        <w:rPr>
          <w:sz w:val="16"/>
        </w:rPr>
        <w:sectPr>
          <w:type w:val="continuous"/>
          <w:pgSz w:w="12240" w:h="15840"/>
          <w:pgMar w:top="680" w:bottom="280" w:left="780" w:right="740"/>
        </w:sectPr>
      </w:pPr>
    </w:p>
    <w:p>
      <w:pPr>
        <w:tabs>
          <w:tab w:pos="2259" w:val="left" w:leader="none"/>
          <w:tab w:pos="4339" w:val="left" w:leader="none"/>
        </w:tabs>
        <w:spacing w:line="179" w:lineRule="exact" w:before="176"/>
        <w:ind w:left="180" w:right="0" w:firstLine="0"/>
        <w:jc w:val="left"/>
        <w:rPr>
          <w:sz w:val="16"/>
        </w:rPr>
      </w:pPr>
      <w:r>
        <w:rPr>
          <w:position w:val="1"/>
          <w:sz w:val="16"/>
        </w:rPr>
        <w:t>Large</w:t>
      </w:r>
      <w:r>
        <w:rPr>
          <w:spacing w:val="-2"/>
          <w:position w:val="1"/>
          <w:sz w:val="16"/>
        </w:rPr>
        <w:t> </w:t>
      </w:r>
      <w:r>
        <w:rPr>
          <w:position w:val="1"/>
          <w:sz w:val="16"/>
        </w:rPr>
        <w:t>accelerated</w:t>
      </w:r>
      <w:r>
        <w:rPr>
          <w:spacing w:val="-2"/>
          <w:position w:val="1"/>
          <w:sz w:val="16"/>
        </w:rPr>
        <w:t> </w:t>
      </w:r>
      <w:r>
        <w:rPr>
          <w:position w:val="1"/>
          <w:sz w:val="16"/>
        </w:rPr>
        <w:t>filer</w:t>
      </w:r>
      <w:r>
        <w:rPr>
          <w:spacing w:val="-3"/>
          <w:position w:val="1"/>
          <w:sz w:val="16"/>
        </w:rPr>
        <w:t> </w:t>
      </w:r>
      <w:r>
        <w:rPr>
          <w:spacing w:val="-1"/>
          <w:sz w:val="16"/>
        </w:rPr>
        <w:drawing>
          <wp:inline distT="0" distB="0" distL="0" distR="0">
            <wp:extent cx="107696" cy="8649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1" cstate="print"/>
                    <a:stretch>
                      <a:fillRect/>
                    </a:stretch>
                  </pic:blipFill>
                  <pic:spPr>
                    <a:xfrm>
                      <a:off x="0" y="0"/>
                      <a:ext cx="107696" cy="86494"/>
                    </a:xfrm>
                    <a:prstGeom prst="rect">
                      <a:avLst/>
                    </a:prstGeom>
                  </pic:spPr>
                </pic:pic>
              </a:graphicData>
            </a:graphic>
          </wp:inline>
        </w:drawing>
      </w:r>
      <w:r>
        <w:rPr>
          <w:spacing w:val="-1"/>
          <w:sz w:val="16"/>
        </w:rPr>
      </w:r>
      <w:r>
        <w:rPr>
          <w:position w:val="1"/>
          <w:sz w:val="16"/>
        </w:rPr>
        <w:tab/>
        <w:t>Accelerated</w:t>
      </w:r>
      <w:r>
        <w:rPr>
          <w:spacing w:val="-1"/>
          <w:position w:val="1"/>
          <w:sz w:val="16"/>
        </w:rPr>
        <w:t> </w:t>
      </w:r>
      <w:r>
        <w:rPr>
          <w:position w:val="1"/>
          <w:sz w:val="16"/>
        </w:rPr>
        <w:t>filer</w:t>
      </w:r>
      <w:r>
        <w:rPr>
          <w:spacing w:val="-1"/>
          <w:position w:val="1"/>
          <w:sz w:val="16"/>
        </w:rPr>
        <w:t> </w:t>
      </w:r>
      <w:r>
        <w:rPr>
          <w:sz w:val="16"/>
        </w:rPr>
        <w:drawing>
          <wp:inline distT="0" distB="0" distL="0" distR="0">
            <wp:extent cx="85946" cy="8649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2" cstate="print"/>
                    <a:stretch>
                      <a:fillRect/>
                    </a:stretch>
                  </pic:blipFill>
                  <pic:spPr>
                    <a:xfrm>
                      <a:off x="0" y="0"/>
                      <a:ext cx="85946" cy="86494"/>
                    </a:xfrm>
                    <a:prstGeom prst="rect">
                      <a:avLst/>
                    </a:prstGeom>
                  </pic:spPr>
                </pic:pic>
              </a:graphicData>
            </a:graphic>
          </wp:inline>
        </w:drawing>
      </w:r>
      <w:r>
        <w:rPr>
          <w:sz w:val="16"/>
        </w:rPr>
      </w:r>
      <w:r>
        <w:rPr>
          <w:position w:val="1"/>
          <w:sz w:val="16"/>
        </w:rPr>
        <w:tab/>
        <w:t>Non-accelerated</w:t>
      </w:r>
      <w:r>
        <w:rPr>
          <w:spacing w:val="-1"/>
          <w:position w:val="1"/>
          <w:sz w:val="16"/>
        </w:rPr>
        <w:t> </w:t>
      </w:r>
      <w:r>
        <w:rPr>
          <w:position w:val="1"/>
          <w:sz w:val="16"/>
        </w:rPr>
        <w:t>filer</w:t>
      </w:r>
      <w:r>
        <w:rPr>
          <w:spacing w:val="-1"/>
          <w:position w:val="1"/>
          <w:sz w:val="16"/>
        </w:rPr>
        <w:t> </w:t>
      </w:r>
      <w:r>
        <w:rPr>
          <w:sz w:val="16"/>
        </w:rPr>
        <w:drawing>
          <wp:inline distT="0" distB="0" distL="0" distR="0">
            <wp:extent cx="85946" cy="8649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85946" cy="86494"/>
                    </a:xfrm>
                    <a:prstGeom prst="rect">
                      <a:avLst/>
                    </a:prstGeom>
                  </pic:spPr>
                </pic:pic>
              </a:graphicData>
            </a:graphic>
          </wp:inline>
        </w:drawing>
      </w:r>
      <w:r>
        <w:rPr>
          <w:sz w:val="16"/>
        </w:rPr>
      </w:r>
    </w:p>
    <w:p>
      <w:pPr>
        <w:spacing w:line="206" w:lineRule="auto" w:before="10"/>
        <w:ind w:left="4340" w:right="0" w:firstLine="0"/>
        <w:jc w:val="left"/>
        <w:rPr>
          <w:sz w:val="12"/>
        </w:rPr>
      </w:pPr>
      <w:r>
        <w:rPr>
          <w:sz w:val="12"/>
        </w:rPr>
        <w:t>(Do</w:t>
      </w:r>
      <w:r>
        <w:rPr>
          <w:spacing w:val="-7"/>
          <w:sz w:val="12"/>
        </w:rPr>
        <w:t> </w:t>
      </w:r>
      <w:r>
        <w:rPr>
          <w:sz w:val="12"/>
        </w:rPr>
        <w:t>not</w:t>
      </w:r>
      <w:r>
        <w:rPr>
          <w:spacing w:val="-7"/>
          <w:sz w:val="12"/>
        </w:rPr>
        <w:t> </w:t>
      </w:r>
      <w:r>
        <w:rPr>
          <w:sz w:val="12"/>
        </w:rPr>
        <w:t>check</w:t>
      </w:r>
      <w:r>
        <w:rPr>
          <w:spacing w:val="-7"/>
          <w:sz w:val="12"/>
        </w:rPr>
        <w:t> </w:t>
      </w:r>
      <w:r>
        <w:rPr>
          <w:sz w:val="12"/>
        </w:rPr>
        <w:t>if</w:t>
      </w:r>
      <w:r>
        <w:rPr>
          <w:spacing w:val="-7"/>
          <w:sz w:val="12"/>
        </w:rPr>
        <w:t> </w:t>
      </w:r>
      <w:r>
        <w:rPr>
          <w:sz w:val="12"/>
        </w:rPr>
        <w:t>a</w:t>
      </w:r>
      <w:r>
        <w:rPr>
          <w:spacing w:val="-7"/>
          <w:sz w:val="12"/>
        </w:rPr>
        <w:t> </w:t>
      </w:r>
      <w:r>
        <w:rPr>
          <w:sz w:val="12"/>
        </w:rPr>
        <w:t>smaller</w:t>
      </w:r>
      <w:r>
        <w:rPr>
          <w:spacing w:val="-7"/>
          <w:sz w:val="12"/>
        </w:rPr>
        <w:t> </w:t>
      </w:r>
      <w:r>
        <w:rPr>
          <w:sz w:val="12"/>
        </w:rPr>
        <w:t>reporting</w:t>
      </w:r>
      <w:r>
        <w:rPr>
          <w:spacing w:val="40"/>
          <w:sz w:val="12"/>
        </w:rPr>
        <w:t> </w:t>
      </w:r>
      <w:r>
        <w:rPr>
          <w:spacing w:val="-2"/>
          <w:sz w:val="12"/>
        </w:rPr>
        <w:t>company)</w:t>
      </w:r>
    </w:p>
    <w:p>
      <w:pPr>
        <w:spacing w:before="176"/>
        <w:ind w:left="180" w:right="0" w:firstLine="0"/>
        <w:jc w:val="left"/>
        <w:rPr>
          <w:sz w:val="16"/>
        </w:rPr>
      </w:pPr>
      <w:r>
        <w:rPr/>
        <w:br w:type="column"/>
      </w:r>
      <w:r>
        <w:rPr>
          <w:position w:val="1"/>
          <w:sz w:val="16"/>
        </w:rPr>
        <w:t>Smaller</w:t>
      </w:r>
      <w:r>
        <w:rPr>
          <w:spacing w:val="-1"/>
          <w:position w:val="1"/>
          <w:sz w:val="16"/>
        </w:rPr>
        <w:t> </w:t>
      </w:r>
      <w:r>
        <w:rPr>
          <w:position w:val="1"/>
          <w:sz w:val="16"/>
        </w:rPr>
        <w:t>reporting</w:t>
      </w:r>
      <w:r>
        <w:rPr>
          <w:spacing w:val="-1"/>
          <w:position w:val="1"/>
          <w:sz w:val="16"/>
        </w:rPr>
        <w:t> </w:t>
      </w:r>
      <w:r>
        <w:rPr>
          <w:position w:val="1"/>
          <w:sz w:val="16"/>
        </w:rPr>
        <w:t>company</w:t>
      </w:r>
      <w:r>
        <w:rPr>
          <w:spacing w:val="-2"/>
          <w:position w:val="1"/>
          <w:sz w:val="16"/>
        </w:rPr>
        <w:t> </w:t>
      </w:r>
      <w:r>
        <w:rPr>
          <w:spacing w:val="-1"/>
          <w:sz w:val="16"/>
        </w:rPr>
        <w:drawing>
          <wp:inline distT="0" distB="0" distL="0" distR="0">
            <wp:extent cx="85946" cy="8649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85946" cy="86494"/>
                    </a:xfrm>
                    <a:prstGeom prst="rect">
                      <a:avLst/>
                    </a:prstGeom>
                  </pic:spPr>
                </pic:pic>
              </a:graphicData>
            </a:graphic>
          </wp:inline>
        </w:drawing>
      </w:r>
      <w:r>
        <w:rPr>
          <w:spacing w:val="-1"/>
          <w:sz w:val="16"/>
        </w:rPr>
      </w:r>
      <w:r>
        <w:rPr>
          <w:spacing w:val="36"/>
          <w:position w:val="1"/>
          <w:sz w:val="16"/>
        </w:rPr>
        <w:t>  </w:t>
      </w:r>
      <w:r>
        <w:rPr>
          <w:position w:val="1"/>
          <w:sz w:val="16"/>
        </w:rPr>
        <w:t>Emerging</w:t>
      </w:r>
      <w:r>
        <w:rPr>
          <w:spacing w:val="-1"/>
          <w:position w:val="1"/>
          <w:sz w:val="16"/>
        </w:rPr>
        <w:t> </w:t>
      </w:r>
      <w:r>
        <w:rPr>
          <w:position w:val="1"/>
          <w:sz w:val="16"/>
        </w:rPr>
        <w:t>growth</w:t>
      </w:r>
      <w:r>
        <w:rPr>
          <w:spacing w:val="-1"/>
          <w:position w:val="1"/>
          <w:sz w:val="16"/>
        </w:rPr>
        <w:t> </w:t>
      </w:r>
      <w:r>
        <w:rPr>
          <w:position w:val="1"/>
          <w:sz w:val="16"/>
        </w:rPr>
        <w:t>company</w:t>
      </w:r>
      <w:r>
        <w:rPr>
          <w:spacing w:val="-2"/>
          <w:position w:val="1"/>
          <w:sz w:val="16"/>
        </w:rPr>
        <w:t> </w:t>
      </w:r>
      <w:r>
        <w:rPr>
          <w:spacing w:val="-1"/>
          <w:sz w:val="16"/>
        </w:rPr>
        <w:drawing>
          <wp:inline distT="0" distB="0" distL="0" distR="0">
            <wp:extent cx="85946" cy="8649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2" cstate="print"/>
                    <a:stretch>
                      <a:fillRect/>
                    </a:stretch>
                  </pic:blipFill>
                  <pic:spPr>
                    <a:xfrm>
                      <a:off x="0" y="0"/>
                      <a:ext cx="85946" cy="86494"/>
                    </a:xfrm>
                    <a:prstGeom prst="rect">
                      <a:avLst/>
                    </a:prstGeom>
                  </pic:spPr>
                </pic:pic>
              </a:graphicData>
            </a:graphic>
          </wp:inline>
        </w:drawing>
      </w:r>
      <w:r>
        <w:rPr>
          <w:spacing w:val="-1"/>
          <w:sz w:val="16"/>
        </w:rPr>
      </w:r>
    </w:p>
    <w:p>
      <w:pPr>
        <w:spacing w:after="0"/>
        <w:jc w:val="left"/>
        <w:rPr>
          <w:sz w:val="16"/>
        </w:rPr>
        <w:sectPr>
          <w:type w:val="continuous"/>
          <w:pgSz w:w="12240" w:h="15840"/>
          <w:pgMar w:top="680" w:bottom="280" w:left="780" w:right="740"/>
          <w:cols w:num="2" w:equalWidth="0">
            <w:col w:w="6100" w:space="140"/>
            <w:col w:w="4480"/>
          </w:cols>
        </w:sectPr>
      </w:pPr>
    </w:p>
    <w:p>
      <w:pPr>
        <w:spacing w:before="134"/>
        <w:ind w:left="660" w:right="0" w:firstLine="0"/>
        <w:jc w:val="left"/>
        <w:rPr>
          <w:sz w:val="16"/>
        </w:rPr>
      </w:pPr>
      <w:r>
        <w:rPr>
          <w:position w:val="1"/>
          <w:sz w:val="16"/>
        </w:rPr>
        <w:t>Indicate</w:t>
      </w:r>
      <w:r>
        <w:rPr>
          <w:spacing w:val="-2"/>
          <w:position w:val="1"/>
          <w:sz w:val="16"/>
        </w:rPr>
        <w:t> </w:t>
      </w:r>
      <w:r>
        <w:rPr>
          <w:position w:val="1"/>
          <w:sz w:val="16"/>
        </w:rPr>
        <w:t>by</w:t>
      </w:r>
      <w:r>
        <w:rPr>
          <w:spacing w:val="-1"/>
          <w:position w:val="1"/>
          <w:sz w:val="16"/>
        </w:rPr>
        <w:t> </w:t>
      </w:r>
      <w:r>
        <w:rPr>
          <w:position w:val="1"/>
          <w:sz w:val="16"/>
        </w:rPr>
        <w:t>check</w:t>
      </w:r>
      <w:r>
        <w:rPr>
          <w:spacing w:val="-2"/>
          <w:position w:val="1"/>
          <w:sz w:val="16"/>
        </w:rPr>
        <w:t> </w:t>
      </w:r>
      <w:r>
        <w:rPr>
          <w:position w:val="1"/>
          <w:sz w:val="16"/>
        </w:rPr>
        <w:t>mark</w:t>
      </w:r>
      <w:r>
        <w:rPr>
          <w:spacing w:val="-1"/>
          <w:position w:val="1"/>
          <w:sz w:val="16"/>
        </w:rPr>
        <w:t> </w:t>
      </w:r>
      <w:r>
        <w:rPr>
          <w:position w:val="1"/>
          <w:sz w:val="16"/>
        </w:rPr>
        <w:t>whether</w:t>
      </w:r>
      <w:r>
        <w:rPr>
          <w:spacing w:val="-1"/>
          <w:position w:val="1"/>
          <w:sz w:val="16"/>
        </w:rPr>
        <w:t> </w:t>
      </w:r>
      <w:r>
        <w:rPr>
          <w:position w:val="1"/>
          <w:sz w:val="16"/>
        </w:rPr>
        <w:t>the</w:t>
      </w:r>
      <w:r>
        <w:rPr>
          <w:spacing w:val="-2"/>
          <w:position w:val="1"/>
          <w:sz w:val="16"/>
        </w:rPr>
        <w:t> </w:t>
      </w:r>
      <w:r>
        <w:rPr>
          <w:position w:val="1"/>
          <w:sz w:val="16"/>
        </w:rPr>
        <w:t>registrant</w:t>
      </w:r>
      <w:r>
        <w:rPr>
          <w:spacing w:val="-2"/>
          <w:position w:val="1"/>
          <w:sz w:val="16"/>
        </w:rPr>
        <w:t> </w:t>
      </w:r>
      <w:r>
        <w:rPr>
          <w:position w:val="1"/>
          <w:sz w:val="16"/>
        </w:rPr>
        <w:t>is</w:t>
      </w:r>
      <w:r>
        <w:rPr>
          <w:spacing w:val="-1"/>
          <w:position w:val="1"/>
          <w:sz w:val="16"/>
        </w:rPr>
        <w:t> </w:t>
      </w:r>
      <w:r>
        <w:rPr>
          <w:position w:val="1"/>
          <w:sz w:val="16"/>
        </w:rPr>
        <w:t>a</w:t>
      </w:r>
      <w:r>
        <w:rPr>
          <w:spacing w:val="-2"/>
          <w:position w:val="1"/>
          <w:sz w:val="16"/>
        </w:rPr>
        <w:t> </w:t>
      </w:r>
      <w:r>
        <w:rPr>
          <w:position w:val="1"/>
          <w:sz w:val="16"/>
        </w:rPr>
        <w:t>shell</w:t>
      </w:r>
      <w:r>
        <w:rPr>
          <w:spacing w:val="-2"/>
          <w:position w:val="1"/>
          <w:sz w:val="16"/>
        </w:rPr>
        <w:t> </w:t>
      </w:r>
      <w:r>
        <w:rPr>
          <w:position w:val="1"/>
          <w:sz w:val="16"/>
        </w:rPr>
        <w:t>company</w:t>
      </w:r>
      <w:r>
        <w:rPr>
          <w:spacing w:val="-2"/>
          <w:position w:val="1"/>
          <w:sz w:val="16"/>
        </w:rPr>
        <w:t> </w:t>
      </w:r>
      <w:r>
        <w:rPr>
          <w:position w:val="1"/>
          <w:sz w:val="16"/>
        </w:rPr>
        <w:t>(as</w:t>
      </w:r>
      <w:r>
        <w:rPr>
          <w:spacing w:val="-1"/>
          <w:position w:val="1"/>
          <w:sz w:val="16"/>
        </w:rPr>
        <w:t> </w:t>
      </w:r>
      <w:r>
        <w:rPr>
          <w:position w:val="1"/>
          <w:sz w:val="16"/>
        </w:rPr>
        <w:t>defined</w:t>
      </w:r>
      <w:r>
        <w:rPr>
          <w:spacing w:val="-1"/>
          <w:position w:val="1"/>
          <w:sz w:val="16"/>
        </w:rPr>
        <w:t> </w:t>
      </w:r>
      <w:r>
        <w:rPr>
          <w:position w:val="1"/>
          <w:sz w:val="16"/>
        </w:rPr>
        <w:t>in</w:t>
      </w:r>
      <w:r>
        <w:rPr>
          <w:spacing w:val="-2"/>
          <w:position w:val="1"/>
          <w:sz w:val="16"/>
        </w:rPr>
        <w:t> </w:t>
      </w:r>
      <w:r>
        <w:rPr>
          <w:position w:val="1"/>
          <w:sz w:val="16"/>
        </w:rPr>
        <w:t>Rule</w:t>
      </w:r>
      <w:r>
        <w:rPr>
          <w:spacing w:val="-1"/>
          <w:position w:val="1"/>
          <w:sz w:val="16"/>
        </w:rPr>
        <w:t> </w:t>
      </w:r>
      <w:r>
        <w:rPr>
          <w:position w:val="1"/>
          <w:sz w:val="16"/>
        </w:rPr>
        <w:t>12b-2</w:t>
      </w:r>
      <w:r>
        <w:rPr>
          <w:spacing w:val="-2"/>
          <w:position w:val="1"/>
          <w:sz w:val="16"/>
        </w:rPr>
        <w:t> </w:t>
      </w:r>
      <w:r>
        <w:rPr>
          <w:position w:val="1"/>
          <w:sz w:val="16"/>
        </w:rPr>
        <w:t>of</w:t>
      </w:r>
      <w:r>
        <w:rPr>
          <w:spacing w:val="-1"/>
          <w:position w:val="1"/>
          <w:sz w:val="16"/>
        </w:rPr>
        <w:t> </w:t>
      </w:r>
      <w:r>
        <w:rPr>
          <w:position w:val="1"/>
          <w:sz w:val="16"/>
        </w:rPr>
        <w:t>the</w:t>
      </w:r>
      <w:r>
        <w:rPr>
          <w:spacing w:val="-10"/>
          <w:position w:val="1"/>
          <w:sz w:val="16"/>
        </w:rPr>
        <w:t> </w:t>
      </w:r>
      <w:r>
        <w:rPr>
          <w:position w:val="1"/>
          <w:sz w:val="16"/>
        </w:rPr>
        <w:t>Act).</w:t>
      </w:r>
      <w:r>
        <w:rPr>
          <w:spacing w:val="-7"/>
          <w:position w:val="1"/>
          <w:sz w:val="16"/>
        </w:rPr>
        <w:t> </w:t>
      </w:r>
      <w:r>
        <w:rPr>
          <w:position w:val="1"/>
          <w:sz w:val="16"/>
        </w:rPr>
        <w:t>Yes</w:t>
      </w:r>
      <w:r>
        <w:rPr>
          <w:spacing w:val="-2"/>
          <w:position w:val="1"/>
          <w:sz w:val="16"/>
        </w:rPr>
        <w:t> </w:t>
      </w:r>
      <w:r>
        <w:rPr>
          <w:spacing w:val="-1"/>
          <w:sz w:val="16"/>
        </w:rPr>
        <w:drawing>
          <wp:inline distT="0" distB="0" distL="0" distR="0">
            <wp:extent cx="85946" cy="8649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85946" cy="86494"/>
                    </a:xfrm>
                    <a:prstGeom prst="rect">
                      <a:avLst/>
                    </a:prstGeom>
                  </pic:spPr>
                </pic:pic>
              </a:graphicData>
            </a:graphic>
          </wp:inline>
        </w:drawing>
      </w:r>
      <w:r>
        <w:rPr>
          <w:spacing w:val="-1"/>
          <w:sz w:val="16"/>
        </w:rPr>
      </w:r>
      <w:r>
        <w:rPr>
          <w:spacing w:val="46"/>
          <w:position w:val="1"/>
          <w:sz w:val="16"/>
        </w:rPr>
        <w:t> </w:t>
      </w:r>
      <w:r>
        <w:rPr>
          <w:position w:val="1"/>
          <w:sz w:val="16"/>
        </w:rPr>
        <w:t>No</w:t>
      </w:r>
      <w:r>
        <w:rPr>
          <w:spacing w:val="-1"/>
          <w:position w:val="1"/>
          <w:sz w:val="16"/>
        </w:rPr>
        <w:t> </w:t>
      </w:r>
      <w:r>
        <w:rPr>
          <w:sz w:val="16"/>
        </w:rPr>
        <w:drawing>
          <wp:inline distT="0" distB="0" distL="0" distR="0">
            <wp:extent cx="107696" cy="8649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7" cstate="print"/>
                    <a:stretch>
                      <a:fillRect/>
                    </a:stretch>
                  </pic:blipFill>
                  <pic:spPr>
                    <a:xfrm>
                      <a:off x="0" y="0"/>
                      <a:ext cx="107696" cy="86494"/>
                    </a:xfrm>
                    <a:prstGeom prst="rect">
                      <a:avLst/>
                    </a:prstGeom>
                  </pic:spPr>
                </pic:pic>
              </a:graphicData>
            </a:graphic>
          </wp:inline>
        </w:drawing>
      </w:r>
      <w:r>
        <w:rPr>
          <w:sz w:val="16"/>
        </w:rPr>
      </w:r>
    </w:p>
    <w:p>
      <w:pPr>
        <w:spacing w:line="249" w:lineRule="auto" w:before="133"/>
        <w:ind w:left="120" w:right="157" w:firstLine="540"/>
        <w:jc w:val="both"/>
        <w:rPr>
          <w:sz w:val="16"/>
        </w:rPr>
      </w:pPr>
      <w:r>
        <w:rPr>
          <w:sz w:val="16"/>
        </w:rPr>
        <w:t>The</w:t>
      </w:r>
      <w:r>
        <w:rPr>
          <w:spacing w:val="-1"/>
          <w:sz w:val="16"/>
        </w:rPr>
        <w:t> </w:t>
      </w:r>
      <w:r>
        <w:rPr>
          <w:sz w:val="16"/>
        </w:rPr>
        <w:t>aggregate</w:t>
      </w:r>
      <w:r>
        <w:rPr>
          <w:spacing w:val="-1"/>
          <w:sz w:val="16"/>
        </w:rPr>
        <w:t> </w:t>
      </w:r>
      <w:r>
        <w:rPr>
          <w:sz w:val="16"/>
        </w:rPr>
        <w:t>market</w:t>
      </w:r>
      <w:r>
        <w:rPr>
          <w:spacing w:val="-1"/>
          <w:sz w:val="16"/>
        </w:rPr>
        <w:t> </w:t>
      </w:r>
      <w:r>
        <w:rPr>
          <w:sz w:val="16"/>
        </w:rPr>
        <w:t>value</w:t>
      </w:r>
      <w:r>
        <w:rPr>
          <w:spacing w:val="-1"/>
          <w:sz w:val="16"/>
        </w:rPr>
        <w:t> </w:t>
      </w:r>
      <w:r>
        <w:rPr>
          <w:sz w:val="16"/>
        </w:rPr>
        <w:t>of</w:t>
      </w:r>
      <w:r>
        <w:rPr>
          <w:spacing w:val="-1"/>
          <w:sz w:val="16"/>
        </w:rPr>
        <w:t> </w:t>
      </w:r>
      <w:r>
        <w:rPr>
          <w:sz w:val="16"/>
        </w:rPr>
        <w:t>the</w:t>
      </w:r>
      <w:r>
        <w:rPr>
          <w:spacing w:val="-1"/>
          <w:sz w:val="16"/>
        </w:rPr>
        <w:t> </w:t>
      </w:r>
      <w:r>
        <w:rPr>
          <w:sz w:val="16"/>
        </w:rPr>
        <w:t>registrant’s</w:t>
      </w:r>
      <w:r>
        <w:rPr>
          <w:spacing w:val="-1"/>
          <w:sz w:val="16"/>
        </w:rPr>
        <w:t> </w:t>
      </w:r>
      <w:r>
        <w:rPr>
          <w:sz w:val="16"/>
        </w:rPr>
        <w:t>common</w:t>
      </w:r>
      <w:r>
        <w:rPr>
          <w:spacing w:val="-1"/>
          <w:sz w:val="16"/>
        </w:rPr>
        <w:t> </w:t>
      </w:r>
      <w:r>
        <w:rPr>
          <w:sz w:val="16"/>
        </w:rPr>
        <w:t>stock,</w:t>
      </w:r>
      <w:r>
        <w:rPr>
          <w:spacing w:val="-1"/>
          <w:sz w:val="16"/>
        </w:rPr>
        <w:t> </w:t>
      </w:r>
      <w:r>
        <w:rPr>
          <w:sz w:val="16"/>
        </w:rPr>
        <w:t>$0.0001</w:t>
      </w:r>
      <w:r>
        <w:rPr>
          <w:spacing w:val="-1"/>
          <w:sz w:val="16"/>
        </w:rPr>
        <w:t> </w:t>
      </w:r>
      <w:r>
        <w:rPr>
          <w:sz w:val="16"/>
        </w:rPr>
        <w:t>par</w:t>
      </w:r>
      <w:r>
        <w:rPr>
          <w:spacing w:val="-1"/>
          <w:sz w:val="16"/>
        </w:rPr>
        <w:t> </w:t>
      </w:r>
      <w:r>
        <w:rPr>
          <w:sz w:val="16"/>
        </w:rPr>
        <w:t>value</w:t>
      </w:r>
      <w:r>
        <w:rPr>
          <w:spacing w:val="-1"/>
          <w:sz w:val="16"/>
        </w:rPr>
        <w:t> </w:t>
      </w:r>
      <w:r>
        <w:rPr>
          <w:sz w:val="16"/>
        </w:rPr>
        <w:t>per</w:t>
      </w:r>
      <w:r>
        <w:rPr>
          <w:spacing w:val="-1"/>
          <w:sz w:val="16"/>
        </w:rPr>
        <w:t> </w:t>
      </w:r>
      <w:r>
        <w:rPr>
          <w:sz w:val="16"/>
        </w:rPr>
        <w:t>share,</w:t>
      </w:r>
      <w:r>
        <w:rPr>
          <w:spacing w:val="-1"/>
          <w:sz w:val="16"/>
        </w:rPr>
        <w:t> </w:t>
      </w:r>
      <w:r>
        <w:rPr>
          <w:sz w:val="16"/>
        </w:rPr>
        <w:t>held</w:t>
      </w:r>
      <w:r>
        <w:rPr>
          <w:spacing w:val="-1"/>
          <w:sz w:val="16"/>
        </w:rPr>
        <w:t> </w:t>
      </w:r>
      <w:r>
        <w:rPr>
          <w:sz w:val="16"/>
        </w:rPr>
        <w:t>by</w:t>
      </w:r>
      <w:r>
        <w:rPr>
          <w:spacing w:val="-1"/>
          <w:sz w:val="16"/>
        </w:rPr>
        <w:t> </w:t>
      </w:r>
      <w:r>
        <w:rPr>
          <w:sz w:val="16"/>
        </w:rPr>
        <w:t>non-affiliates</w:t>
      </w:r>
      <w:r>
        <w:rPr>
          <w:spacing w:val="-1"/>
          <w:sz w:val="16"/>
        </w:rPr>
        <w:t> </w:t>
      </w:r>
      <w:r>
        <w:rPr>
          <w:sz w:val="16"/>
        </w:rPr>
        <w:t>of</w:t>
      </w:r>
      <w:r>
        <w:rPr>
          <w:spacing w:val="-1"/>
          <w:sz w:val="16"/>
        </w:rPr>
        <w:t> </w:t>
      </w:r>
      <w:r>
        <w:rPr>
          <w:sz w:val="16"/>
        </w:rPr>
        <w:t>the</w:t>
      </w:r>
      <w:r>
        <w:rPr>
          <w:spacing w:val="-1"/>
          <w:sz w:val="16"/>
        </w:rPr>
        <w:t> </w:t>
      </w:r>
      <w:r>
        <w:rPr>
          <w:sz w:val="16"/>
        </w:rPr>
        <w:t>registrant</w:t>
      </w:r>
      <w:r>
        <w:rPr>
          <w:spacing w:val="-1"/>
          <w:sz w:val="16"/>
        </w:rPr>
        <w:t> </w:t>
      </w:r>
      <w:r>
        <w:rPr>
          <w:sz w:val="16"/>
        </w:rPr>
        <w:t>on</w:t>
      </w:r>
      <w:r>
        <w:rPr>
          <w:spacing w:val="-1"/>
          <w:sz w:val="16"/>
        </w:rPr>
        <w:t> </w:t>
      </w:r>
      <w:r>
        <w:rPr>
          <w:sz w:val="16"/>
        </w:rPr>
        <w:t>June</w:t>
      </w:r>
      <w:r>
        <w:rPr>
          <w:spacing w:val="-2"/>
          <w:sz w:val="16"/>
        </w:rPr>
        <w:t> </w:t>
      </w:r>
      <w:r>
        <w:rPr>
          <w:sz w:val="16"/>
        </w:rPr>
        <w:t>2,</w:t>
      </w:r>
      <w:r>
        <w:rPr>
          <w:spacing w:val="-1"/>
          <w:sz w:val="16"/>
        </w:rPr>
        <w:t> </w:t>
      </w:r>
      <w:r>
        <w:rPr>
          <w:sz w:val="16"/>
        </w:rPr>
        <w:t>2017,</w:t>
      </w:r>
      <w:r>
        <w:rPr>
          <w:spacing w:val="-1"/>
          <w:sz w:val="16"/>
        </w:rPr>
        <w:t> </w:t>
      </w:r>
      <w:r>
        <w:rPr>
          <w:sz w:val="16"/>
        </w:rPr>
        <w:t>the</w:t>
      </w:r>
      <w:r>
        <w:rPr>
          <w:spacing w:val="-1"/>
          <w:sz w:val="16"/>
        </w:rPr>
        <w:t> </w:t>
      </w:r>
      <w:r>
        <w:rPr>
          <w:sz w:val="16"/>
        </w:rPr>
        <w:t>last</w:t>
      </w:r>
      <w:r>
        <w:rPr>
          <w:spacing w:val="40"/>
          <w:sz w:val="16"/>
        </w:rPr>
        <w:t> </w:t>
      </w:r>
      <w:r>
        <w:rPr>
          <w:sz w:val="16"/>
        </w:rPr>
        <w:t>business day of the registrant’s most recently completed second fiscal quarter, was $52,575,558,763 (based on the closing sales price of the registrant’s common</w:t>
      </w:r>
      <w:r>
        <w:rPr>
          <w:spacing w:val="40"/>
          <w:sz w:val="16"/>
        </w:rPr>
        <w:t> </w:t>
      </w:r>
      <w:r>
        <w:rPr>
          <w:sz w:val="16"/>
        </w:rPr>
        <w:t>stock on that date). Shares of the registrant’s common stock held by each officer and director and each person who owns 5% or more of the outstanding common</w:t>
      </w:r>
      <w:r>
        <w:rPr>
          <w:spacing w:val="40"/>
          <w:sz w:val="16"/>
        </w:rPr>
        <w:t> </w:t>
      </w:r>
      <w:r>
        <w:rPr>
          <w:sz w:val="16"/>
        </w:rPr>
        <w:t>stock of the registrant have been excluded in that such persons may be deemed to be affiliates.</w:t>
      </w:r>
      <w:r>
        <w:rPr>
          <w:spacing w:val="-3"/>
          <w:sz w:val="16"/>
        </w:rPr>
        <w:t> </w:t>
      </w:r>
      <w:r>
        <w:rPr>
          <w:sz w:val="16"/>
        </w:rPr>
        <w:t>This determination of affiliate status is not necessarily a conclusive</w:t>
      </w:r>
      <w:r>
        <w:rPr>
          <w:spacing w:val="40"/>
          <w:sz w:val="16"/>
        </w:rPr>
        <w:t> </w:t>
      </w:r>
      <w:r>
        <w:rPr>
          <w:sz w:val="16"/>
        </w:rPr>
        <w:t>determination for other purposes. As of January</w:t>
      </w:r>
      <w:r>
        <w:rPr>
          <w:spacing w:val="-2"/>
          <w:sz w:val="16"/>
        </w:rPr>
        <w:t> </w:t>
      </w:r>
      <w:r>
        <w:rPr>
          <w:sz w:val="16"/>
        </w:rPr>
        <w:t>12, 2018, 491,578,529 shares of the registrant’s common stock, $0.0001 par value per share, were issued and</w:t>
      </w:r>
      <w:r>
        <w:rPr>
          <w:spacing w:val="40"/>
          <w:sz w:val="16"/>
        </w:rPr>
        <w:t> </w:t>
      </w:r>
      <w:r>
        <w:rPr>
          <w:spacing w:val="-2"/>
          <w:sz w:val="16"/>
        </w:rPr>
        <w:t>outstanding.</w:t>
      </w:r>
    </w:p>
    <w:p>
      <w:pPr>
        <w:spacing w:before="64"/>
        <w:ind w:left="240" w:right="280" w:firstLine="0"/>
        <w:jc w:val="center"/>
        <w:rPr>
          <w:b/>
          <w:sz w:val="16"/>
        </w:rPr>
      </w:pPr>
      <w:r>
        <w:rPr>
          <w:b/>
          <w:spacing w:val="-2"/>
          <w:sz w:val="16"/>
        </w:rPr>
        <w:t>DOCUMENTS</w:t>
      </w:r>
      <w:r>
        <w:rPr>
          <w:b/>
          <w:spacing w:val="4"/>
          <w:sz w:val="16"/>
        </w:rPr>
        <w:t> </w:t>
      </w:r>
      <w:r>
        <w:rPr>
          <w:b/>
          <w:spacing w:val="-2"/>
          <w:sz w:val="16"/>
        </w:rPr>
        <w:t>INCORPORATED</w:t>
      </w:r>
      <w:r>
        <w:rPr>
          <w:b/>
          <w:spacing w:val="4"/>
          <w:sz w:val="16"/>
        </w:rPr>
        <w:t> </w:t>
      </w:r>
      <w:r>
        <w:rPr>
          <w:b/>
          <w:spacing w:val="-2"/>
          <w:sz w:val="16"/>
        </w:rPr>
        <w:t>BY</w:t>
      </w:r>
      <w:r>
        <w:rPr>
          <w:b/>
          <w:spacing w:val="-1"/>
          <w:sz w:val="16"/>
        </w:rPr>
        <w:t> </w:t>
      </w:r>
      <w:r>
        <w:rPr>
          <w:b/>
          <w:spacing w:val="-2"/>
          <w:sz w:val="16"/>
        </w:rPr>
        <w:t>REFERENCE</w:t>
      </w:r>
    </w:p>
    <w:p>
      <w:pPr>
        <w:spacing w:line="249" w:lineRule="auto" w:before="68"/>
        <w:ind w:left="120" w:right="157" w:firstLine="540"/>
        <w:jc w:val="both"/>
        <w:rPr>
          <w:sz w:val="16"/>
        </w:rPr>
      </w:pPr>
      <w:r>
        <w:rPr>
          <w:sz w:val="16"/>
        </w:rPr>
        <w:t>Portions</w:t>
      </w:r>
      <w:r>
        <w:rPr>
          <w:spacing w:val="-7"/>
          <w:sz w:val="16"/>
        </w:rPr>
        <w:t> </w:t>
      </w:r>
      <w:r>
        <w:rPr>
          <w:sz w:val="16"/>
        </w:rPr>
        <w:t>of</w:t>
      </w:r>
      <w:r>
        <w:rPr>
          <w:spacing w:val="-5"/>
          <w:sz w:val="16"/>
        </w:rPr>
        <w:t> </w:t>
      </w:r>
      <w:r>
        <w:rPr>
          <w:sz w:val="16"/>
        </w:rPr>
        <w:t>the</w:t>
      </w:r>
      <w:r>
        <w:rPr>
          <w:spacing w:val="-5"/>
          <w:sz w:val="16"/>
        </w:rPr>
        <w:t> </w:t>
      </w:r>
      <w:r>
        <w:rPr>
          <w:sz w:val="16"/>
        </w:rPr>
        <w:t>Proxy</w:t>
      </w:r>
      <w:r>
        <w:rPr>
          <w:spacing w:val="-5"/>
          <w:sz w:val="16"/>
        </w:rPr>
        <w:t> </w:t>
      </w:r>
      <w:r>
        <w:rPr>
          <w:sz w:val="16"/>
        </w:rPr>
        <w:t>Statement</w:t>
      </w:r>
      <w:r>
        <w:rPr>
          <w:spacing w:val="-6"/>
          <w:sz w:val="16"/>
        </w:rPr>
        <w:t> </w:t>
      </w:r>
      <w:r>
        <w:rPr>
          <w:sz w:val="16"/>
        </w:rPr>
        <w:t>for</w:t>
      </w:r>
      <w:r>
        <w:rPr>
          <w:spacing w:val="-5"/>
          <w:sz w:val="16"/>
        </w:rPr>
        <w:t> </w:t>
      </w:r>
      <w:r>
        <w:rPr>
          <w:sz w:val="16"/>
        </w:rPr>
        <w:t>the</w:t>
      </w:r>
      <w:r>
        <w:rPr>
          <w:spacing w:val="-5"/>
          <w:sz w:val="16"/>
        </w:rPr>
        <w:t> </w:t>
      </w:r>
      <w:r>
        <w:rPr>
          <w:sz w:val="16"/>
        </w:rPr>
        <w:t>registrant’s</w:t>
      </w:r>
      <w:r>
        <w:rPr>
          <w:spacing w:val="-6"/>
          <w:sz w:val="16"/>
        </w:rPr>
        <w:t> </w:t>
      </w:r>
      <w:r>
        <w:rPr>
          <w:sz w:val="16"/>
        </w:rPr>
        <w:t>2018</w:t>
      </w:r>
      <w:r>
        <w:rPr>
          <w:spacing w:val="-10"/>
          <w:sz w:val="16"/>
        </w:rPr>
        <w:t> </w:t>
      </w:r>
      <w:r>
        <w:rPr>
          <w:sz w:val="16"/>
        </w:rPr>
        <w:t>Annual</w:t>
      </w:r>
      <w:r>
        <w:rPr>
          <w:spacing w:val="-5"/>
          <w:sz w:val="16"/>
        </w:rPr>
        <w:t> </w:t>
      </w:r>
      <w:r>
        <w:rPr>
          <w:sz w:val="16"/>
        </w:rPr>
        <w:t>Meeting</w:t>
      </w:r>
      <w:r>
        <w:rPr>
          <w:spacing w:val="-5"/>
          <w:sz w:val="16"/>
        </w:rPr>
        <w:t> </w:t>
      </w:r>
      <w:r>
        <w:rPr>
          <w:sz w:val="16"/>
        </w:rPr>
        <w:t>of</w:t>
      </w:r>
      <w:r>
        <w:rPr>
          <w:spacing w:val="-5"/>
          <w:sz w:val="16"/>
        </w:rPr>
        <w:t> </w:t>
      </w:r>
      <w:r>
        <w:rPr>
          <w:sz w:val="16"/>
        </w:rPr>
        <w:t>Stockholders</w:t>
      </w:r>
      <w:r>
        <w:rPr>
          <w:spacing w:val="-5"/>
          <w:sz w:val="16"/>
        </w:rPr>
        <w:t> </w:t>
      </w:r>
      <w:r>
        <w:rPr>
          <w:sz w:val="16"/>
        </w:rPr>
        <w:t>(the</w:t>
      </w:r>
      <w:r>
        <w:rPr>
          <w:spacing w:val="-6"/>
          <w:sz w:val="16"/>
        </w:rPr>
        <w:t> </w:t>
      </w:r>
      <w:r>
        <w:rPr>
          <w:sz w:val="16"/>
        </w:rPr>
        <w:t>“Proxy</w:t>
      </w:r>
      <w:r>
        <w:rPr>
          <w:spacing w:val="-5"/>
          <w:sz w:val="16"/>
        </w:rPr>
        <w:t> </w:t>
      </w:r>
      <w:r>
        <w:rPr>
          <w:sz w:val="16"/>
        </w:rPr>
        <w:t>Statement”),</w:t>
      </w:r>
      <w:r>
        <w:rPr>
          <w:spacing w:val="-5"/>
          <w:sz w:val="16"/>
        </w:rPr>
        <w:t> </w:t>
      </w:r>
      <w:r>
        <w:rPr>
          <w:sz w:val="16"/>
        </w:rPr>
        <w:t>to</w:t>
      </w:r>
      <w:r>
        <w:rPr>
          <w:spacing w:val="-5"/>
          <w:sz w:val="16"/>
        </w:rPr>
        <w:t> </w:t>
      </w:r>
      <w:r>
        <w:rPr>
          <w:sz w:val="16"/>
        </w:rPr>
        <w:t>be</w:t>
      </w:r>
      <w:r>
        <w:rPr>
          <w:spacing w:val="-5"/>
          <w:sz w:val="16"/>
        </w:rPr>
        <w:t> </w:t>
      </w:r>
      <w:r>
        <w:rPr>
          <w:sz w:val="16"/>
        </w:rPr>
        <w:t>filed</w:t>
      </w:r>
      <w:r>
        <w:rPr>
          <w:spacing w:val="-5"/>
          <w:sz w:val="16"/>
        </w:rPr>
        <w:t> </w:t>
      </w:r>
      <w:r>
        <w:rPr>
          <w:sz w:val="16"/>
        </w:rPr>
        <w:t>within</w:t>
      </w:r>
      <w:r>
        <w:rPr>
          <w:spacing w:val="-5"/>
          <w:sz w:val="16"/>
        </w:rPr>
        <w:t> </w:t>
      </w:r>
      <w:r>
        <w:rPr>
          <w:sz w:val="16"/>
        </w:rPr>
        <w:t>120</w:t>
      </w:r>
      <w:r>
        <w:rPr>
          <w:spacing w:val="-5"/>
          <w:sz w:val="16"/>
        </w:rPr>
        <w:t> </w:t>
      </w:r>
      <w:r>
        <w:rPr>
          <w:sz w:val="16"/>
        </w:rPr>
        <w:t>days</w:t>
      </w:r>
      <w:r>
        <w:rPr>
          <w:spacing w:val="-5"/>
          <w:sz w:val="16"/>
        </w:rPr>
        <w:t> </w:t>
      </w:r>
      <w:r>
        <w:rPr>
          <w:sz w:val="16"/>
        </w:rPr>
        <w:t>of</w:t>
      </w:r>
      <w:r>
        <w:rPr>
          <w:spacing w:val="-5"/>
          <w:sz w:val="16"/>
        </w:rPr>
        <w:t> </w:t>
      </w:r>
      <w:r>
        <w:rPr>
          <w:sz w:val="16"/>
        </w:rPr>
        <w:t>the</w:t>
      </w:r>
      <w:r>
        <w:rPr>
          <w:spacing w:val="-5"/>
          <w:sz w:val="16"/>
        </w:rPr>
        <w:t> </w:t>
      </w:r>
      <w:r>
        <w:rPr>
          <w:sz w:val="16"/>
        </w:rPr>
        <w:t>end</w:t>
      </w:r>
      <w:r>
        <w:rPr>
          <w:spacing w:val="-6"/>
          <w:sz w:val="16"/>
        </w:rPr>
        <w:t> </w:t>
      </w:r>
      <w:r>
        <w:rPr>
          <w:sz w:val="16"/>
        </w:rPr>
        <w:t>of</w:t>
      </w:r>
      <w:r>
        <w:rPr>
          <w:spacing w:val="40"/>
          <w:sz w:val="16"/>
        </w:rPr>
        <w:t> </w:t>
      </w:r>
      <w:r>
        <w:rPr>
          <w:sz w:val="16"/>
        </w:rPr>
        <w:t>the fiscal year ended December</w:t>
      </w:r>
      <w:r>
        <w:rPr>
          <w:spacing w:val="-2"/>
          <w:sz w:val="16"/>
        </w:rPr>
        <w:t> </w:t>
      </w:r>
      <w:r>
        <w:rPr>
          <w:sz w:val="16"/>
        </w:rPr>
        <w:t>1, 2017, are incorporated by reference in Part</w:t>
      </w:r>
      <w:r>
        <w:rPr>
          <w:spacing w:val="-2"/>
          <w:sz w:val="16"/>
        </w:rPr>
        <w:t> </w:t>
      </w:r>
      <w:r>
        <w:rPr>
          <w:sz w:val="16"/>
        </w:rPr>
        <w:t>III hereof. Except with respect to information specifically incorporated by reference</w:t>
      </w:r>
      <w:r>
        <w:rPr>
          <w:spacing w:val="40"/>
          <w:sz w:val="16"/>
        </w:rPr>
        <w:t> </w:t>
      </w:r>
      <w:r>
        <w:rPr>
          <w:sz w:val="16"/>
        </w:rPr>
        <w:t>in this Form 10-K, the Proxy Statement is not deemed to be filed as part hereof.</w:t>
      </w:r>
    </w:p>
    <w:p>
      <w:pPr>
        <w:pStyle w:val="BodyText"/>
        <w:spacing w:before="8"/>
        <w:rPr>
          <w:sz w:val="11"/>
        </w:rPr>
      </w:pPr>
      <w:r>
        <w:rPr/>
        <mc:AlternateContent>
          <mc:Choice Requires="wps">
            <w:drawing>
              <wp:anchor distT="0" distB="0" distL="0" distR="0" allowOverlap="1" layoutInCell="1" locked="0" behindDoc="1" simplePos="0" relativeHeight="487589888">
                <wp:simplePos x="0" y="0"/>
                <wp:positionH relativeFrom="page">
                  <wp:posOffset>596900</wp:posOffset>
                </wp:positionH>
                <wp:positionV relativeFrom="paragraph">
                  <wp:posOffset>100640</wp:posOffset>
                </wp:positionV>
                <wp:extent cx="6565900" cy="6985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6565900" cy="69850"/>
                          <a:chExt cx="6565900" cy="69850"/>
                        </a:xfrm>
                      </wpg:grpSpPr>
                      <wps:wsp>
                        <wps:cNvPr id="27" name="Graphic 27"/>
                        <wps:cNvSpPr/>
                        <wps:spPr>
                          <a:xfrm>
                            <a:off x="0" y="6350"/>
                            <a:ext cx="6565900" cy="1270"/>
                          </a:xfrm>
                          <a:custGeom>
                            <a:avLst/>
                            <a:gdLst/>
                            <a:ahLst/>
                            <a:cxnLst/>
                            <a:rect l="l" t="t" r="r" b="b"/>
                            <a:pathLst>
                              <a:path w="6565900" h="0">
                                <a:moveTo>
                                  <a:pt x="0" y="0"/>
                                </a:moveTo>
                                <a:lnTo>
                                  <a:pt x="6565900" y="0"/>
                                </a:lnTo>
                              </a:path>
                            </a:pathLst>
                          </a:custGeom>
                          <a:ln w="12700">
                            <a:solidFill>
                              <a:srgbClr val="000000"/>
                            </a:solidFill>
                            <a:prstDash val="solid"/>
                          </a:ln>
                        </wps:spPr>
                        <wps:bodyPr wrap="square" lIns="0" tIns="0" rIns="0" bIns="0" rtlCol="0">
                          <a:prstTxWarp prst="textNoShape">
                            <a:avLst/>
                          </a:prstTxWarp>
                          <a:noAutofit/>
                        </wps:bodyPr>
                      </wps:wsp>
                      <wps:wsp>
                        <wps:cNvPr id="28" name="Graphic 28"/>
                        <wps:cNvSpPr/>
                        <wps:spPr>
                          <a:xfrm>
                            <a:off x="0" y="57150"/>
                            <a:ext cx="6565900" cy="1270"/>
                          </a:xfrm>
                          <a:custGeom>
                            <a:avLst/>
                            <a:gdLst/>
                            <a:ahLst/>
                            <a:cxnLst/>
                            <a:rect l="l" t="t" r="r" b="b"/>
                            <a:pathLst>
                              <a:path w="6565900" h="0">
                                <a:moveTo>
                                  <a:pt x="0" y="0"/>
                                </a:moveTo>
                                <a:lnTo>
                                  <a:pt x="6565900"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pt;margin-top:7.924463pt;width:517pt;height:5.5pt;mso-position-horizontal-relative:page;mso-position-vertical-relative:paragraph;z-index:-15726592;mso-wrap-distance-left:0;mso-wrap-distance-right:0" id="docshapegroup6" coordorigin="940,158" coordsize="10340,110">
                <v:line style="position:absolute" from="940,168" to="11280,168" stroked="true" strokeweight="1pt" strokecolor="#000000">
                  <v:stroke dashstyle="solid"/>
                </v:line>
                <v:line style="position:absolute" from="940,248" to="11280,248" stroked="true" strokeweight="2pt" strokecolor="#000000">
                  <v:stroke dashstyle="solid"/>
                </v:line>
                <w10:wrap type="topAndBottom"/>
              </v:group>
            </w:pict>
          </mc:Fallback>
        </mc:AlternateContent>
      </w:r>
    </w:p>
    <w:p>
      <w:pPr>
        <w:spacing w:after="0"/>
        <w:rPr>
          <w:sz w:val="11"/>
        </w:rPr>
        <w:sectPr>
          <w:type w:val="continuous"/>
          <w:pgSz w:w="12240" w:h="15840"/>
          <w:pgMar w:top="680" w:bottom="280" w:left="780" w:right="740"/>
        </w:sect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2391"/>
        <w:gridCol w:w="5837"/>
        <w:gridCol w:w="1000"/>
      </w:tblGrid>
      <w:tr>
        <w:trPr>
          <w:trHeight w:val="590" w:hRule="atLeast"/>
        </w:trPr>
        <w:tc>
          <w:tcPr>
            <w:tcW w:w="3323" w:type="dxa"/>
            <w:gridSpan w:val="2"/>
            <w:vMerge w:val="restart"/>
          </w:tcPr>
          <w:p>
            <w:pPr>
              <w:pStyle w:val="TableParagraph"/>
              <w:rPr>
                <w:sz w:val="18"/>
              </w:rPr>
            </w:pPr>
          </w:p>
        </w:tc>
        <w:tc>
          <w:tcPr>
            <w:tcW w:w="5837" w:type="dxa"/>
          </w:tcPr>
          <w:p>
            <w:pPr>
              <w:pStyle w:val="TableParagraph"/>
              <w:spacing w:line="249" w:lineRule="auto"/>
              <w:ind w:left="1225" w:right="2373" w:hanging="1146"/>
              <w:rPr>
                <w:b/>
                <w:sz w:val="20"/>
              </w:rPr>
            </w:pPr>
            <w:bookmarkStart w:name="TABLE OF CONTENTS" w:id="2"/>
            <w:bookmarkEnd w:id="2"/>
            <w:r>
              <w:rPr/>
            </w:r>
            <w:bookmarkStart w:name="_bookmark0" w:id="3"/>
            <w:bookmarkEnd w:id="3"/>
            <w:r>
              <w:rPr/>
            </w:r>
            <w:r>
              <w:rPr>
                <w:b/>
                <w:sz w:val="20"/>
              </w:rPr>
              <w:t>ADOBE</w:t>
            </w:r>
            <w:r>
              <w:rPr>
                <w:b/>
                <w:spacing w:val="-13"/>
                <w:sz w:val="20"/>
              </w:rPr>
              <w:t> </w:t>
            </w:r>
            <w:r>
              <w:rPr>
                <w:b/>
                <w:sz w:val="20"/>
              </w:rPr>
              <w:t>SYSTEMS</w:t>
            </w:r>
            <w:r>
              <w:rPr>
                <w:b/>
                <w:spacing w:val="-12"/>
                <w:sz w:val="20"/>
              </w:rPr>
              <w:t> </w:t>
            </w:r>
            <w:r>
              <w:rPr>
                <w:b/>
                <w:sz w:val="20"/>
              </w:rPr>
              <w:t>INCORPORATED FORM 10-K</w:t>
            </w:r>
          </w:p>
        </w:tc>
        <w:tc>
          <w:tcPr>
            <w:tcW w:w="1000" w:type="dxa"/>
            <w:vMerge w:val="restart"/>
          </w:tcPr>
          <w:p>
            <w:pPr>
              <w:pStyle w:val="TableParagraph"/>
              <w:rPr>
                <w:sz w:val="18"/>
              </w:rPr>
            </w:pPr>
          </w:p>
        </w:tc>
      </w:tr>
      <w:tr>
        <w:trPr>
          <w:trHeight w:val="590" w:hRule="atLeast"/>
        </w:trPr>
        <w:tc>
          <w:tcPr>
            <w:tcW w:w="3323" w:type="dxa"/>
            <w:gridSpan w:val="2"/>
            <w:vMerge/>
            <w:tcBorders>
              <w:top w:val="nil"/>
            </w:tcBorders>
          </w:tcPr>
          <w:p>
            <w:pPr>
              <w:rPr>
                <w:sz w:val="2"/>
                <w:szCs w:val="2"/>
              </w:rPr>
            </w:pPr>
          </w:p>
        </w:tc>
        <w:tc>
          <w:tcPr>
            <w:tcW w:w="5837" w:type="dxa"/>
          </w:tcPr>
          <w:p>
            <w:pPr>
              <w:pStyle w:val="TableParagraph"/>
              <w:spacing w:before="120"/>
              <w:ind w:left="700"/>
              <w:rPr>
                <w:b/>
                <w:sz w:val="20"/>
              </w:rPr>
            </w:pPr>
            <w:r>
              <w:rPr>
                <w:b/>
                <w:sz w:val="20"/>
              </w:rPr>
              <w:t>TABLE</w:t>
            </w:r>
            <w:r>
              <w:rPr>
                <w:b/>
                <w:spacing w:val="-13"/>
                <w:sz w:val="20"/>
              </w:rPr>
              <w:t> </w:t>
            </w:r>
            <w:r>
              <w:rPr>
                <w:b/>
                <w:sz w:val="20"/>
              </w:rPr>
              <w:t>OF</w:t>
            </w:r>
            <w:r>
              <w:rPr>
                <w:b/>
                <w:spacing w:val="-12"/>
                <w:sz w:val="20"/>
              </w:rPr>
              <w:t> </w:t>
            </w:r>
            <w:r>
              <w:rPr>
                <w:b/>
                <w:spacing w:val="-2"/>
                <w:sz w:val="20"/>
              </w:rPr>
              <w:t>CONTENTS</w:t>
            </w:r>
          </w:p>
        </w:tc>
        <w:tc>
          <w:tcPr>
            <w:tcW w:w="1000" w:type="dxa"/>
            <w:vMerge/>
            <w:tcBorders>
              <w:top w:val="nil"/>
            </w:tcBorders>
          </w:tcPr>
          <w:p>
            <w:pPr>
              <w:rPr>
                <w:sz w:val="2"/>
                <w:szCs w:val="2"/>
              </w:rPr>
            </w:pPr>
          </w:p>
        </w:tc>
      </w:tr>
      <w:tr>
        <w:trPr>
          <w:trHeight w:val="456" w:hRule="atLeast"/>
        </w:trPr>
        <w:tc>
          <w:tcPr>
            <w:tcW w:w="3323" w:type="dxa"/>
            <w:gridSpan w:val="2"/>
            <w:vMerge/>
            <w:tcBorders>
              <w:top w:val="nil"/>
            </w:tcBorders>
          </w:tcPr>
          <w:p>
            <w:pPr>
              <w:rPr>
                <w:sz w:val="2"/>
                <w:szCs w:val="2"/>
              </w:rPr>
            </w:pPr>
          </w:p>
        </w:tc>
        <w:tc>
          <w:tcPr>
            <w:tcW w:w="5837" w:type="dxa"/>
          </w:tcPr>
          <w:p>
            <w:pPr>
              <w:pStyle w:val="TableParagraph"/>
              <w:rPr>
                <w:sz w:val="18"/>
              </w:rPr>
            </w:pPr>
          </w:p>
        </w:tc>
        <w:tc>
          <w:tcPr>
            <w:tcW w:w="1000" w:type="dxa"/>
            <w:tcBorders>
              <w:bottom w:val="single" w:sz="8" w:space="0" w:color="000000"/>
            </w:tcBorders>
          </w:tcPr>
          <w:p>
            <w:pPr>
              <w:pStyle w:val="TableParagraph"/>
              <w:spacing w:before="49"/>
              <w:rPr>
                <w:sz w:val="16"/>
              </w:rPr>
            </w:pPr>
          </w:p>
          <w:p>
            <w:pPr>
              <w:pStyle w:val="TableParagraph"/>
              <w:ind w:left="187"/>
              <w:rPr>
                <w:b/>
                <w:sz w:val="16"/>
              </w:rPr>
            </w:pPr>
            <w:r>
              <w:rPr>
                <w:b/>
                <w:sz w:val="16"/>
              </w:rPr>
              <w:t>Page </w:t>
            </w:r>
            <w:r>
              <w:rPr>
                <w:b/>
                <w:spacing w:val="-5"/>
                <w:sz w:val="16"/>
              </w:rPr>
              <w:t>No.</w:t>
            </w:r>
          </w:p>
        </w:tc>
      </w:tr>
      <w:tr>
        <w:trPr>
          <w:trHeight w:val="390" w:hRule="atLeast"/>
        </w:trPr>
        <w:tc>
          <w:tcPr>
            <w:tcW w:w="932" w:type="dxa"/>
          </w:tcPr>
          <w:p>
            <w:pPr>
              <w:pStyle w:val="TableParagraph"/>
              <w:spacing w:before="48"/>
              <w:ind w:left="50"/>
              <w:rPr>
                <w:b/>
                <w:sz w:val="20"/>
              </w:rPr>
            </w:pPr>
            <w:r>
              <w:rPr>
                <w:b/>
                <w:spacing w:val="-5"/>
                <w:sz w:val="20"/>
              </w:rPr>
              <w:t>PART</w:t>
            </w:r>
            <w:r>
              <w:rPr>
                <w:b/>
                <w:spacing w:val="-7"/>
                <w:sz w:val="20"/>
              </w:rPr>
              <w:t> </w:t>
            </w:r>
            <w:r>
              <w:rPr>
                <w:b/>
                <w:spacing w:val="-10"/>
                <w:sz w:val="20"/>
              </w:rPr>
              <w:t>I</w:t>
            </w:r>
          </w:p>
        </w:tc>
        <w:tc>
          <w:tcPr>
            <w:tcW w:w="2391" w:type="dxa"/>
          </w:tcPr>
          <w:p>
            <w:pPr>
              <w:pStyle w:val="TableParagraph"/>
              <w:rPr>
                <w:sz w:val="18"/>
              </w:rPr>
            </w:pPr>
          </w:p>
        </w:tc>
        <w:tc>
          <w:tcPr>
            <w:tcW w:w="5837" w:type="dxa"/>
          </w:tcPr>
          <w:p>
            <w:pPr>
              <w:pStyle w:val="TableParagraph"/>
              <w:rPr>
                <w:sz w:val="18"/>
              </w:rPr>
            </w:pPr>
          </w:p>
        </w:tc>
        <w:tc>
          <w:tcPr>
            <w:tcW w:w="1000" w:type="dxa"/>
            <w:tcBorders>
              <w:top w:val="single" w:sz="8" w:space="0" w:color="000000"/>
            </w:tcBorders>
          </w:tcPr>
          <w:p>
            <w:pPr>
              <w:pStyle w:val="TableParagraph"/>
              <w:rPr>
                <w:sz w:val="18"/>
              </w:rPr>
            </w:pPr>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1.</w:t>
            </w:r>
          </w:p>
        </w:tc>
        <w:tc>
          <w:tcPr>
            <w:tcW w:w="2391" w:type="dxa"/>
            <w:shd w:val="clear" w:color="auto" w:fill="CCEDFF"/>
          </w:tcPr>
          <w:p>
            <w:pPr>
              <w:pStyle w:val="TableParagraph"/>
              <w:spacing w:before="2"/>
              <w:ind w:left="38"/>
              <w:rPr>
                <w:sz w:val="20"/>
              </w:rPr>
            </w:pPr>
            <w:hyperlink w:history="true" w:anchor="_bookmark1">
              <w:r>
                <w:rPr>
                  <w:spacing w:val="-2"/>
                  <w:sz w:val="20"/>
                </w:rPr>
                <w:t>Business</w:t>
              </w:r>
            </w:hyperlink>
          </w:p>
        </w:tc>
        <w:tc>
          <w:tcPr>
            <w:tcW w:w="5837" w:type="dxa"/>
            <w:shd w:val="clear" w:color="auto" w:fill="CCEDFF"/>
          </w:tcPr>
          <w:p>
            <w:pPr>
              <w:pStyle w:val="TableParagraph"/>
              <w:rPr>
                <w:sz w:val="18"/>
              </w:rPr>
            </w:pPr>
          </w:p>
        </w:tc>
        <w:tc>
          <w:tcPr>
            <w:tcW w:w="1000" w:type="dxa"/>
            <w:shd w:val="clear" w:color="auto" w:fill="CCEDFF"/>
          </w:tcPr>
          <w:p>
            <w:pPr>
              <w:pStyle w:val="TableParagraph"/>
              <w:spacing w:before="20"/>
              <w:ind w:right="69"/>
              <w:jc w:val="right"/>
              <w:rPr>
                <w:sz w:val="20"/>
              </w:rPr>
            </w:pPr>
            <w:hyperlink w:history="true" w:anchor="_bookmark1">
              <w:r>
                <w:rPr>
                  <w:spacing w:val="-10"/>
                  <w:sz w:val="20"/>
                </w:rPr>
                <w:t>3</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1A.</w:t>
            </w:r>
          </w:p>
        </w:tc>
        <w:tc>
          <w:tcPr>
            <w:tcW w:w="2391" w:type="dxa"/>
          </w:tcPr>
          <w:p>
            <w:pPr>
              <w:pStyle w:val="TableParagraph"/>
              <w:spacing w:before="20"/>
              <w:ind w:left="38"/>
              <w:rPr>
                <w:sz w:val="20"/>
              </w:rPr>
            </w:pPr>
            <w:hyperlink w:history="true" w:anchor="_bookmark4">
              <w:r>
                <w:rPr>
                  <w:sz w:val="20"/>
                </w:rPr>
                <w:t>Risk </w:t>
              </w:r>
              <w:r>
                <w:rPr>
                  <w:spacing w:val="-2"/>
                  <w:sz w:val="20"/>
                </w:rPr>
                <w:t>Factors</w:t>
              </w:r>
            </w:hyperlink>
          </w:p>
        </w:tc>
        <w:tc>
          <w:tcPr>
            <w:tcW w:w="5837" w:type="dxa"/>
          </w:tcPr>
          <w:p>
            <w:pPr>
              <w:pStyle w:val="TableParagraph"/>
              <w:rPr>
                <w:sz w:val="18"/>
              </w:rPr>
            </w:pPr>
          </w:p>
        </w:tc>
        <w:tc>
          <w:tcPr>
            <w:tcW w:w="1000" w:type="dxa"/>
          </w:tcPr>
          <w:p>
            <w:pPr>
              <w:pStyle w:val="TableParagraph"/>
              <w:spacing w:before="20"/>
              <w:ind w:right="69"/>
              <w:jc w:val="right"/>
              <w:rPr>
                <w:sz w:val="20"/>
              </w:rPr>
            </w:pPr>
            <w:hyperlink w:history="true" w:anchor="_bookmark4">
              <w:r>
                <w:rPr>
                  <w:spacing w:val="-5"/>
                  <w:sz w:val="20"/>
                </w:rPr>
                <w:t>18</w:t>
              </w:r>
            </w:hyperlink>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1B.</w:t>
            </w:r>
          </w:p>
        </w:tc>
        <w:tc>
          <w:tcPr>
            <w:tcW w:w="2391" w:type="dxa"/>
            <w:shd w:val="clear" w:color="auto" w:fill="CCEDFF"/>
          </w:tcPr>
          <w:p>
            <w:pPr>
              <w:pStyle w:val="TableParagraph"/>
              <w:spacing w:before="20"/>
              <w:ind w:left="38"/>
              <w:rPr>
                <w:sz w:val="20"/>
              </w:rPr>
            </w:pPr>
            <w:hyperlink w:history="true" w:anchor="_bookmark5">
              <w:r>
                <w:rPr>
                  <w:sz w:val="20"/>
                </w:rPr>
                <w:t>Unresolved</w:t>
              </w:r>
              <w:r>
                <w:rPr>
                  <w:spacing w:val="-4"/>
                  <w:sz w:val="20"/>
                </w:rPr>
                <w:t> </w:t>
              </w:r>
              <w:r>
                <w:rPr>
                  <w:sz w:val="20"/>
                </w:rPr>
                <w:t>Staff</w:t>
              </w:r>
              <w:r>
                <w:rPr>
                  <w:spacing w:val="-2"/>
                  <w:sz w:val="20"/>
                </w:rPr>
                <w:t> Comments</w:t>
              </w:r>
            </w:hyperlink>
          </w:p>
        </w:tc>
        <w:tc>
          <w:tcPr>
            <w:tcW w:w="5837" w:type="dxa"/>
            <w:shd w:val="clear" w:color="auto" w:fill="CCEDFF"/>
          </w:tcPr>
          <w:p>
            <w:pPr>
              <w:pStyle w:val="TableParagraph"/>
              <w:rPr>
                <w:sz w:val="18"/>
              </w:rPr>
            </w:pPr>
          </w:p>
        </w:tc>
        <w:tc>
          <w:tcPr>
            <w:tcW w:w="1000" w:type="dxa"/>
            <w:shd w:val="clear" w:color="auto" w:fill="CCEDFF"/>
          </w:tcPr>
          <w:p>
            <w:pPr>
              <w:pStyle w:val="TableParagraph"/>
              <w:spacing w:before="20"/>
              <w:ind w:right="69"/>
              <w:jc w:val="right"/>
              <w:rPr>
                <w:sz w:val="20"/>
              </w:rPr>
            </w:pPr>
            <w:hyperlink w:history="true" w:anchor="_bookmark5">
              <w:r>
                <w:rPr>
                  <w:spacing w:val="-5"/>
                  <w:sz w:val="20"/>
                </w:rPr>
                <w:t>29</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2.</w:t>
            </w:r>
          </w:p>
        </w:tc>
        <w:tc>
          <w:tcPr>
            <w:tcW w:w="2391" w:type="dxa"/>
          </w:tcPr>
          <w:p>
            <w:pPr>
              <w:pStyle w:val="TableParagraph"/>
              <w:spacing w:before="20"/>
              <w:ind w:left="38"/>
              <w:rPr>
                <w:sz w:val="20"/>
              </w:rPr>
            </w:pPr>
            <w:hyperlink w:history="true" w:anchor="_bookmark6">
              <w:r>
                <w:rPr>
                  <w:spacing w:val="-2"/>
                  <w:sz w:val="20"/>
                </w:rPr>
                <w:t>Properties</w:t>
              </w:r>
            </w:hyperlink>
          </w:p>
        </w:tc>
        <w:tc>
          <w:tcPr>
            <w:tcW w:w="5837" w:type="dxa"/>
          </w:tcPr>
          <w:p>
            <w:pPr>
              <w:pStyle w:val="TableParagraph"/>
              <w:rPr>
                <w:sz w:val="18"/>
              </w:rPr>
            </w:pPr>
          </w:p>
        </w:tc>
        <w:tc>
          <w:tcPr>
            <w:tcW w:w="1000" w:type="dxa"/>
          </w:tcPr>
          <w:p>
            <w:pPr>
              <w:pStyle w:val="TableParagraph"/>
              <w:spacing w:before="20"/>
              <w:ind w:right="69"/>
              <w:jc w:val="right"/>
              <w:rPr>
                <w:sz w:val="20"/>
              </w:rPr>
            </w:pPr>
            <w:hyperlink w:history="true" w:anchor="_bookmark6">
              <w:r>
                <w:rPr>
                  <w:spacing w:val="-5"/>
                  <w:sz w:val="20"/>
                </w:rPr>
                <w:t>30</w:t>
              </w:r>
            </w:hyperlink>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3.</w:t>
            </w:r>
          </w:p>
        </w:tc>
        <w:tc>
          <w:tcPr>
            <w:tcW w:w="2391" w:type="dxa"/>
            <w:shd w:val="clear" w:color="auto" w:fill="CCEDFF"/>
          </w:tcPr>
          <w:p>
            <w:pPr>
              <w:pStyle w:val="TableParagraph"/>
              <w:spacing w:before="20"/>
              <w:ind w:left="38"/>
              <w:rPr>
                <w:sz w:val="20"/>
              </w:rPr>
            </w:pPr>
            <w:hyperlink w:history="true" w:anchor="_bookmark7">
              <w:r>
                <w:rPr>
                  <w:sz w:val="20"/>
                </w:rPr>
                <w:t>Legal </w:t>
              </w:r>
              <w:r>
                <w:rPr>
                  <w:spacing w:val="-2"/>
                  <w:sz w:val="20"/>
                </w:rPr>
                <w:t>Proceedings</w:t>
              </w:r>
            </w:hyperlink>
          </w:p>
        </w:tc>
        <w:tc>
          <w:tcPr>
            <w:tcW w:w="5837" w:type="dxa"/>
            <w:shd w:val="clear" w:color="auto" w:fill="CCEDFF"/>
          </w:tcPr>
          <w:p>
            <w:pPr>
              <w:pStyle w:val="TableParagraph"/>
              <w:rPr>
                <w:sz w:val="18"/>
              </w:rPr>
            </w:pPr>
          </w:p>
        </w:tc>
        <w:tc>
          <w:tcPr>
            <w:tcW w:w="1000" w:type="dxa"/>
            <w:shd w:val="clear" w:color="auto" w:fill="CCEDFF"/>
          </w:tcPr>
          <w:p>
            <w:pPr>
              <w:pStyle w:val="TableParagraph"/>
              <w:spacing w:before="20"/>
              <w:ind w:right="69"/>
              <w:jc w:val="right"/>
              <w:rPr>
                <w:sz w:val="20"/>
              </w:rPr>
            </w:pPr>
            <w:hyperlink w:history="true" w:anchor="_bookmark7">
              <w:r>
                <w:rPr>
                  <w:spacing w:val="-5"/>
                  <w:sz w:val="20"/>
                </w:rPr>
                <w:t>31</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4.</w:t>
            </w:r>
          </w:p>
        </w:tc>
        <w:tc>
          <w:tcPr>
            <w:tcW w:w="2391" w:type="dxa"/>
          </w:tcPr>
          <w:p>
            <w:pPr>
              <w:pStyle w:val="TableParagraph"/>
              <w:spacing w:before="20"/>
              <w:ind w:left="38"/>
              <w:rPr>
                <w:sz w:val="20"/>
              </w:rPr>
            </w:pPr>
            <w:hyperlink w:history="true" w:anchor="_bookmark8">
              <w:r>
                <w:rPr>
                  <w:sz w:val="20"/>
                </w:rPr>
                <w:t>Mine Safety </w:t>
              </w:r>
              <w:r>
                <w:rPr>
                  <w:spacing w:val="-2"/>
                  <w:sz w:val="20"/>
                </w:rPr>
                <w:t>Disclosures</w:t>
              </w:r>
            </w:hyperlink>
          </w:p>
        </w:tc>
        <w:tc>
          <w:tcPr>
            <w:tcW w:w="5837" w:type="dxa"/>
          </w:tcPr>
          <w:p>
            <w:pPr>
              <w:pStyle w:val="TableParagraph"/>
              <w:rPr>
                <w:sz w:val="18"/>
              </w:rPr>
            </w:pPr>
          </w:p>
        </w:tc>
        <w:tc>
          <w:tcPr>
            <w:tcW w:w="1000" w:type="dxa"/>
          </w:tcPr>
          <w:p>
            <w:pPr>
              <w:pStyle w:val="TableParagraph"/>
              <w:spacing w:before="20"/>
              <w:ind w:right="69"/>
              <w:jc w:val="right"/>
              <w:rPr>
                <w:sz w:val="20"/>
              </w:rPr>
            </w:pPr>
            <w:hyperlink w:history="true" w:anchor="_bookmark8">
              <w:r>
                <w:rPr>
                  <w:spacing w:val="-5"/>
                  <w:sz w:val="20"/>
                </w:rPr>
                <w:t>31</w:t>
              </w:r>
            </w:hyperlink>
          </w:p>
        </w:tc>
      </w:tr>
      <w:tr>
        <w:trPr>
          <w:trHeight w:val="300" w:hRule="atLeast"/>
        </w:trPr>
        <w:tc>
          <w:tcPr>
            <w:tcW w:w="932" w:type="dxa"/>
            <w:shd w:val="clear" w:color="auto" w:fill="CCEDFF"/>
          </w:tcPr>
          <w:p>
            <w:pPr>
              <w:pStyle w:val="TableParagraph"/>
              <w:rPr>
                <w:sz w:val="18"/>
              </w:rPr>
            </w:pPr>
          </w:p>
        </w:tc>
        <w:tc>
          <w:tcPr>
            <w:tcW w:w="2391" w:type="dxa"/>
            <w:shd w:val="clear" w:color="auto" w:fill="CCEDFF"/>
          </w:tcPr>
          <w:p>
            <w:pPr>
              <w:pStyle w:val="TableParagraph"/>
              <w:rPr>
                <w:sz w:val="18"/>
              </w:rPr>
            </w:pPr>
          </w:p>
        </w:tc>
        <w:tc>
          <w:tcPr>
            <w:tcW w:w="5837" w:type="dxa"/>
            <w:shd w:val="clear" w:color="auto" w:fill="CCEDFF"/>
          </w:tcPr>
          <w:p>
            <w:pPr>
              <w:pStyle w:val="TableParagraph"/>
              <w:rPr>
                <w:sz w:val="18"/>
              </w:rPr>
            </w:pPr>
          </w:p>
        </w:tc>
        <w:tc>
          <w:tcPr>
            <w:tcW w:w="1000" w:type="dxa"/>
            <w:shd w:val="clear" w:color="auto" w:fill="CCEDFF"/>
          </w:tcPr>
          <w:p>
            <w:pPr>
              <w:pStyle w:val="TableParagraph"/>
              <w:rPr>
                <w:sz w:val="18"/>
              </w:rPr>
            </w:pPr>
          </w:p>
        </w:tc>
      </w:tr>
      <w:tr>
        <w:trPr>
          <w:trHeight w:val="400" w:hRule="atLeast"/>
        </w:trPr>
        <w:tc>
          <w:tcPr>
            <w:tcW w:w="932" w:type="dxa"/>
          </w:tcPr>
          <w:p>
            <w:pPr>
              <w:pStyle w:val="TableParagraph"/>
              <w:spacing w:before="58"/>
              <w:ind w:left="50"/>
              <w:rPr>
                <w:b/>
                <w:sz w:val="20"/>
              </w:rPr>
            </w:pPr>
            <w:r>
              <w:rPr>
                <w:b/>
                <w:spacing w:val="-5"/>
                <w:sz w:val="20"/>
              </w:rPr>
              <w:t>PART</w:t>
            </w:r>
            <w:r>
              <w:rPr>
                <w:b/>
                <w:spacing w:val="-7"/>
                <w:sz w:val="20"/>
              </w:rPr>
              <w:t> </w:t>
            </w:r>
            <w:r>
              <w:rPr>
                <w:b/>
                <w:spacing w:val="-5"/>
                <w:sz w:val="20"/>
              </w:rPr>
              <w:t>II</w:t>
            </w:r>
          </w:p>
        </w:tc>
        <w:tc>
          <w:tcPr>
            <w:tcW w:w="2391" w:type="dxa"/>
          </w:tcPr>
          <w:p>
            <w:pPr>
              <w:pStyle w:val="TableParagraph"/>
              <w:rPr>
                <w:sz w:val="18"/>
              </w:rPr>
            </w:pPr>
          </w:p>
        </w:tc>
        <w:tc>
          <w:tcPr>
            <w:tcW w:w="5837" w:type="dxa"/>
          </w:tcPr>
          <w:p>
            <w:pPr>
              <w:pStyle w:val="TableParagraph"/>
              <w:rPr>
                <w:sz w:val="18"/>
              </w:rPr>
            </w:pPr>
          </w:p>
        </w:tc>
        <w:tc>
          <w:tcPr>
            <w:tcW w:w="1000" w:type="dxa"/>
          </w:tcPr>
          <w:p>
            <w:pPr>
              <w:pStyle w:val="TableParagraph"/>
              <w:rPr>
                <w:sz w:val="18"/>
              </w:rPr>
            </w:pPr>
          </w:p>
        </w:tc>
      </w:tr>
      <w:tr>
        <w:trPr>
          <w:trHeight w:val="480" w:hRule="atLeast"/>
        </w:trPr>
        <w:tc>
          <w:tcPr>
            <w:tcW w:w="932" w:type="dxa"/>
            <w:shd w:val="clear" w:color="auto" w:fill="CCEDFF"/>
          </w:tcPr>
          <w:p>
            <w:pPr>
              <w:pStyle w:val="TableParagraph"/>
              <w:spacing w:before="2"/>
              <w:ind w:left="50"/>
              <w:rPr>
                <w:sz w:val="20"/>
              </w:rPr>
            </w:pPr>
            <w:r>
              <w:rPr>
                <w:sz w:val="20"/>
              </w:rPr>
              <w:t>Item </w:t>
            </w:r>
            <w:r>
              <w:rPr>
                <w:spacing w:val="-5"/>
                <w:sz w:val="20"/>
              </w:rPr>
              <w:t>5.</w:t>
            </w:r>
          </w:p>
        </w:tc>
        <w:tc>
          <w:tcPr>
            <w:tcW w:w="8228" w:type="dxa"/>
            <w:gridSpan w:val="2"/>
            <w:shd w:val="clear" w:color="auto" w:fill="CCEDFF"/>
          </w:tcPr>
          <w:p>
            <w:pPr>
              <w:pStyle w:val="TableParagraph"/>
              <w:spacing w:line="208" w:lineRule="auto" w:before="26"/>
              <w:ind w:left="218" w:right="189" w:hanging="180"/>
              <w:rPr>
                <w:sz w:val="20"/>
              </w:rPr>
            </w:pPr>
            <w:hyperlink w:history="true" w:anchor="_bookmark9">
              <w:r>
                <w:rPr>
                  <w:sz w:val="20"/>
                </w:rPr>
                <w:t>Market</w:t>
              </w:r>
              <w:r>
                <w:rPr>
                  <w:spacing w:val="-5"/>
                  <w:sz w:val="20"/>
                </w:rPr>
                <w:t> </w:t>
              </w:r>
              <w:r>
                <w:rPr>
                  <w:sz w:val="20"/>
                </w:rPr>
                <w:t>for</w:t>
              </w:r>
              <w:r>
                <w:rPr>
                  <w:spacing w:val="-5"/>
                  <w:sz w:val="20"/>
                </w:rPr>
                <w:t> </w:t>
              </w:r>
              <w:r>
                <w:rPr>
                  <w:sz w:val="20"/>
                </w:rPr>
                <w:t>Registrant's</w:t>
              </w:r>
              <w:r>
                <w:rPr>
                  <w:spacing w:val="-6"/>
                  <w:sz w:val="20"/>
                </w:rPr>
                <w:t> </w:t>
              </w:r>
              <w:r>
                <w:rPr>
                  <w:sz w:val="20"/>
                </w:rPr>
                <w:t>Common</w:t>
              </w:r>
              <w:r>
                <w:rPr>
                  <w:spacing w:val="-5"/>
                  <w:sz w:val="20"/>
                </w:rPr>
                <w:t> </w:t>
              </w:r>
              <w:r>
                <w:rPr>
                  <w:sz w:val="20"/>
                </w:rPr>
                <w:t>Equity,</w:t>
              </w:r>
              <w:r>
                <w:rPr>
                  <w:spacing w:val="-5"/>
                  <w:sz w:val="20"/>
                </w:rPr>
                <w:t> </w:t>
              </w:r>
              <w:r>
                <w:rPr>
                  <w:sz w:val="20"/>
                </w:rPr>
                <w:t>Related</w:t>
              </w:r>
              <w:r>
                <w:rPr>
                  <w:spacing w:val="-5"/>
                  <w:sz w:val="20"/>
                </w:rPr>
                <w:t> </w:t>
              </w:r>
              <w:r>
                <w:rPr>
                  <w:sz w:val="20"/>
                </w:rPr>
                <w:t>Stockholder</w:t>
              </w:r>
              <w:r>
                <w:rPr>
                  <w:spacing w:val="-5"/>
                  <w:sz w:val="20"/>
                </w:rPr>
                <w:t> </w:t>
              </w:r>
              <w:r>
                <w:rPr>
                  <w:sz w:val="20"/>
                </w:rPr>
                <w:t>Matters</w:t>
              </w:r>
              <w:r>
                <w:rPr>
                  <w:spacing w:val="-6"/>
                  <w:sz w:val="20"/>
                </w:rPr>
                <w:t> </w:t>
              </w:r>
              <w:r>
                <w:rPr>
                  <w:sz w:val="20"/>
                </w:rPr>
                <w:t>and</w:t>
              </w:r>
              <w:r>
                <w:rPr>
                  <w:spacing w:val="-5"/>
                  <w:sz w:val="20"/>
                </w:rPr>
                <w:t> </w:t>
              </w:r>
              <w:r>
                <w:rPr>
                  <w:sz w:val="20"/>
                </w:rPr>
                <w:t>Issuer</w:t>
              </w:r>
              <w:r>
                <w:rPr>
                  <w:spacing w:val="-5"/>
                  <w:sz w:val="20"/>
                </w:rPr>
                <w:t> </w:t>
              </w:r>
              <w:r>
                <w:rPr>
                  <w:sz w:val="20"/>
                </w:rPr>
                <w:t>Purchases</w:t>
              </w:r>
              <w:r>
                <w:rPr>
                  <w:spacing w:val="-6"/>
                  <w:sz w:val="20"/>
                </w:rPr>
                <w:t> </w:t>
              </w:r>
              <w:r>
                <w:rPr>
                  <w:sz w:val="20"/>
                </w:rPr>
                <w:t>of</w:t>
              </w:r>
            </w:hyperlink>
            <w:r>
              <w:rPr>
                <w:sz w:val="20"/>
              </w:rPr>
              <w:t> </w:t>
            </w:r>
            <w:hyperlink w:history="true" w:anchor="_bookmark9">
              <w:r>
                <w:rPr>
                  <w:sz w:val="20"/>
                </w:rPr>
                <w:t>Equity Securities</w:t>
              </w:r>
            </w:hyperlink>
          </w:p>
        </w:tc>
        <w:tc>
          <w:tcPr>
            <w:tcW w:w="1000" w:type="dxa"/>
            <w:shd w:val="clear" w:color="auto" w:fill="CCEDFF"/>
          </w:tcPr>
          <w:p>
            <w:pPr>
              <w:pStyle w:val="TableParagraph"/>
              <w:spacing w:before="200"/>
              <w:ind w:right="69"/>
              <w:jc w:val="right"/>
              <w:rPr>
                <w:sz w:val="20"/>
              </w:rPr>
            </w:pPr>
            <w:hyperlink w:history="true" w:anchor="_bookmark9">
              <w:r>
                <w:rPr>
                  <w:spacing w:val="-5"/>
                  <w:sz w:val="20"/>
                </w:rPr>
                <w:t>32</w:t>
              </w:r>
            </w:hyperlink>
          </w:p>
        </w:tc>
      </w:tr>
      <w:tr>
        <w:trPr>
          <w:trHeight w:val="300" w:hRule="atLeast"/>
        </w:trPr>
        <w:tc>
          <w:tcPr>
            <w:tcW w:w="932" w:type="dxa"/>
          </w:tcPr>
          <w:p>
            <w:pPr>
              <w:pStyle w:val="TableParagraph"/>
              <w:spacing w:before="20"/>
              <w:ind w:left="50"/>
              <w:rPr>
                <w:sz w:val="20"/>
              </w:rPr>
            </w:pPr>
            <w:r>
              <w:rPr>
                <w:sz w:val="20"/>
              </w:rPr>
              <w:t>Item </w:t>
            </w:r>
            <w:r>
              <w:rPr>
                <w:spacing w:val="-10"/>
                <w:sz w:val="20"/>
              </w:rPr>
              <w:t>6</w:t>
            </w:r>
          </w:p>
        </w:tc>
        <w:tc>
          <w:tcPr>
            <w:tcW w:w="8228" w:type="dxa"/>
            <w:gridSpan w:val="2"/>
          </w:tcPr>
          <w:p>
            <w:pPr>
              <w:pStyle w:val="TableParagraph"/>
              <w:spacing w:before="20"/>
              <w:ind w:left="38"/>
              <w:rPr>
                <w:sz w:val="20"/>
              </w:rPr>
            </w:pPr>
            <w:hyperlink w:history="true" w:anchor="_bookmark10">
              <w:r>
                <w:rPr>
                  <w:sz w:val="20"/>
                </w:rPr>
                <w:t>Selected Financial </w:t>
              </w:r>
              <w:r>
                <w:rPr>
                  <w:spacing w:val="-4"/>
                  <w:sz w:val="20"/>
                </w:rPr>
                <w:t>Data</w:t>
              </w:r>
            </w:hyperlink>
          </w:p>
        </w:tc>
        <w:tc>
          <w:tcPr>
            <w:tcW w:w="1000" w:type="dxa"/>
          </w:tcPr>
          <w:p>
            <w:pPr>
              <w:pStyle w:val="TableParagraph"/>
              <w:spacing w:before="20"/>
              <w:ind w:right="69"/>
              <w:jc w:val="right"/>
              <w:rPr>
                <w:sz w:val="20"/>
              </w:rPr>
            </w:pPr>
            <w:hyperlink w:history="true" w:anchor="_bookmark10">
              <w:r>
                <w:rPr>
                  <w:spacing w:val="-5"/>
                  <w:sz w:val="20"/>
                </w:rPr>
                <w:t>34</w:t>
              </w:r>
            </w:hyperlink>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7.</w:t>
            </w:r>
          </w:p>
        </w:tc>
        <w:tc>
          <w:tcPr>
            <w:tcW w:w="8228" w:type="dxa"/>
            <w:gridSpan w:val="2"/>
            <w:shd w:val="clear" w:color="auto" w:fill="CCEDFF"/>
          </w:tcPr>
          <w:p>
            <w:pPr>
              <w:pStyle w:val="TableParagraph"/>
              <w:spacing w:before="20"/>
              <w:ind w:left="38"/>
              <w:rPr>
                <w:sz w:val="20"/>
              </w:rPr>
            </w:pPr>
            <w:hyperlink w:history="true" w:anchor="_bookmark11">
              <w:r>
                <w:rPr>
                  <w:sz w:val="20"/>
                </w:rPr>
                <w:t>Management's</w:t>
              </w:r>
              <w:r>
                <w:rPr>
                  <w:spacing w:val="-6"/>
                  <w:sz w:val="20"/>
                </w:rPr>
                <w:t> </w:t>
              </w:r>
              <w:r>
                <w:rPr>
                  <w:sz w:val="20"/>
                </w:rPr>
                <w:t>Discussion</w:t>
              </w:r>
              <w:r>
                <w:rPr>
                  <w:spacing w:val="-3"/>
                  <w:sz w:val="20"/>
                </w:rPr>
                <w:t> </w:t>
              </w:r>
              <w:r>
                <w:rPr>
                  <w:sz w:val="20"/>
                </w:rPr>
                <w:t>and</w:t>
              </w:r>
              <w:r>
                <w:rPr>
                  <w:spacing w:val="-12"/>
                  <w:sz w:val="20"/>
                </w:rPr>
                <w:t> </w:t>
              </w:r>
              <w:r>
                <w:rPr>
                  <w:sz w:val="20"/>
                </w:rPr>
                <w:t>Analysis</w:t>
              </w:r>
              <w:r>
                <w:rPr>
                  <w:spacing w:val="-4"/>
                  <w:sz w:val="20"/>
                </w:rPr>
                <w:t> </w:t>
              </w:r>
              <w:r>
                <w:rPr>
                  <w:sz w:val="20"/>
                </w:rPr>
                <w:t>of</w:t>
              </w:r>
              <w:r>
                <w:rPr>
                  <w:spacing w:val="-2"/>
                  <w:sz w:val="20"/>
                </w:rPr>
                <w:t> </w:t>
              </w:r>
              <w:r>
                <w:rPr>
                  <w:sz w:val="20"/>
                </w:rPr>
                <w:t>Financial</w:t>
              </w:r>
              <w:r>
                <w:rPr>
                  <w:spacing w:val="-3"/>
                  <w:sz w:val="20"/>
                </w:rPr>
                <w:t> </w:t>
              </w:r>
              <w:r>
                <w:rPr>
                  <w:sz w:val="20"/>
                </w:rPr>
                <w:t>Condition</w:t>
              </w:r>
              <w:r>
                <w:rPr>
                  <w:spacing w:val="-2"/>
                  <w:sz w:val="20"/>
                </w:rPr>
                <w:t> </w:t>
              </w:r>
              <w:r>
                <w:rPr>
                  <w:sz w:val="20"/>
                </w:rPr>
                <w:t>and</w:t>
              </w:r>
              <w:r>
                <w:rPr>
                  <w:spacing w:val="-3"/>
                  <w:sz w:val="20"/>
                </w:rPr>
                <w:t> </w:t>
              </w:r>
              <w:r>
                <w:rPr>
                  <w:sz w:val="20"/>
                </w:rPr>
                <w:t>Results</w:t>
              </w:r>
              <w:r>
                <w:rPr>
                  <w:spacing w:val="-3"/>
                  <w:sz w:val="20"/>
                </w:rPr>
                <w:t> </w:t>
              </w:r>
              <w:r>
                <w:rPr>
                  <w:sz w:val="20"/>
                </w:rPr>
                <w:t>of</w:t>
              </w:r>
              <w:r>
                <w:rPr>
                  <w:spacing w:val="-2"/>
                  <w:sz w:val="20"/>
                </w:rPr>
                <w:t> Operations</w:t>
              </w:r>
            </w:hyperlink>
          </w:p>
        </w:tc>
        <w:tc>
          <w:tcPr>
            <w:tcW w:w="1000" w:type="dxa"/>
            <w:shd w:val="clear" w:color="auto" w:fill="CCEDFF"/>
          </w:tcPr>
          <w:p>
            <w:pPr>
              <w:pStyle w:val="TableParagraph"/>
              <w:spacing w:before="20"/>
              <w:ind w:right="69"/>
              <w:jc w:val="right"/>
              <w:rPr>
                <w:sz w:val="20"/>
              </w:rPr>
            </w:pPr>
            <w:hyperlink w:history="true" w:anchor="_bookmark11">
              <w:r>
                <w:rPr>
                  <w:spacing w:val="-5"/>
                  <w:sz w:val="20"/>
                </w:rPr>
                <w:t>35</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7A.</w:t>
            </w:r>
          </w:p>
        </w:tc>
        <w:tc>
          <w:tcPr>
            <w:tcW w:w="8228" w:type="dxa"/>
            <w:gridSpan w:val="2"/>
          </w:tcPr>
          <w:p>
            <w:pPr>
              <w:pStyle w:val="TableParagraph"/>
              <w:spacing w:before="20"/>
              <w:ind w:left="38"/>
              <w:rPr>
                <w:sz w:val="20"/>
              </w:rPr>
            </w:pPr>
            <w:hyperlink w:history="true" w:anchor="_bookmark14">
              <w:r>
                <w:rPr>
                  <w:sz w:val="20"/>
                </w:rPr>
                <w:t>Quantitative</w:t>
              </w:r>
              <w:r>
                <w:rPr>
                  <w:spacing w:val="-3"/>
                  <w:sz w:val="20"/>
                </w:rPr>
                <w:t> </w:t>
              </w:r>
              <w:r>
                <w:rPr>
                  <w:sz w:val="20"/>
                </w:rPr>
                <w:t>and</w:t>
              </w:r>
              <w:r>
                <w:rPr>
                  <w:spacing w:val="-2"/>
                  <w:sz w:val="20"/>
                </w:rPr>
                <w:t> </w:t>
              </w:r>
              <w:r>
                <w:rPr>
                  <w:sz w:val="20"/>
                </w:rPr>
                <w:t>Qualitative</w:t>
              </w:r>
              <w:r>
                <w:rPr>
                  <w:spacing w:val="-2"/>
                  <w:sz w:val="20"/>
                </w:rPr>
                <w:t> </w:t>
              </w:r>
              <w:r>
                <w:rPr>
                  <w:sz w:val="20"/>
                </w:rPr>
                <w:t>Disclosures</w:t>
              </w:r>
              <w:r>
                <w:rPr>
                  <w:spacing w:val="-12"/>
                  <w:sz w:val="20"/>
                </w:rPr>
                <w:t> </w:t>
              </w:r>
              <w:r>
                <w:rPr>
                  <w:sz w:val="20"/>
                </w:rPr>
                <w:t>About</w:t>
              </w:r>
              <w:r>
                <w:rPr>
                  <w:spacing w:val="-2"/>
                  <w:sz w:val="20"/>
                </w:rPr>
                <w:t> </w:t>
              </w:r>
              <w:r>
                <w:rPr>
                  <w:sz w:val="20"/>
                </w:rPr>
                <w:t>Market</w:t>
              </w:r>
              <w:r>
                <w:rPr>
                  <w:spacing w:val="-1"/>
                  <w:sz w:val="20"/>
                </w:rPr>
                <w:t> </w:t>
              </w:r>
              <w:r>
                <w:rPr>
                  <w:spacing w:val="-4"/>
                  <w:sz w:val="20"/>
                </w:rPr>
                <w:t>Risk</w:t>
              </w:r>
            </w:hyperlink>
          </w:p>
        </w:tc>
        <w:tc>
          <w:tcPr>
            <w:tcW w:w="1000" w:type="dxa"/>
          </w:tcPr>
          <w:p>
            <w:pPr>
              <w:pStyle w:val="TableParagraph"/>
              <w:spacing w:before="20"/>
              <w:ind w:right="69"/>
              <w:jc w:val="right"/>
              <w:rPr>
                <w:sz w:val="20"/>
              </w:rPr>
            </w:pPr>
            <w:hyperlink w:history="true" w:anchor="_bookmark14">
              <w:r>
                <w:rPr>
                  <w:spacing w:val="-5"/>
                  <w:sz w:val="20"/>
                </w:rPr>
                <w:t>53</w:t>
              </w:r>
            </w:hyperlink>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8.</w:t>
            </w:r>
          </w:p>
        </w:tc>
        <w:tc>
          <w:tcPr>
            <w:tcW w:w="8228" w:type="dxa"/>
            <w:gridSpan w:val="2"/>
            <w:shd w:val="clear" w:color="auto" w:fill="CCEDFF"/>
          </w:tcPr>
          <w:p>
            <w:pPr>
              <w:pStyle w:val="TableParagraph"/>
              <w:spacing w:before="20"/>
              <w:ind w:left="38"/>
              <w:rPr>
                <w:sz w:val="20"/>
              </w:rPr>
            </w:pPr>
            <w:hyperlink w:history="true" w:anchor="_bookmark15">
              <w:r>
                <w:rPr>
                  <w:sz w:val="20"/>
                </w:rPr>
                <w:t>Financial</w:t>
              </w:r>
              <w:r>
                <w:rPr>
                  <w:spacing w:val="-3"/>
                  <w:sz w:val="20"/>
                </w:rPr>
                <w:t> </w:t>
              </w:r>
              <w:r>
                <w:rPr>
                  <w:sz w:val="20"/>
                </w:rPr>
                <w:t>Statements</w:t>
              </w:r>
              <w:r>
                <w:rPr>
                  <w:spacing w:val="-3"/>
                  <w:sz w:val="20"/>
                </w:rPr>
                <w:t> </w:t>
              </w:r>
              <w:r>
                <w:rPr>
                  <w:sz w:val="20"/>
                </w:rPr>
                <w:t>and</w:t>
              </w:r>
              <w:r>
                <w:rPr>
                  <w:spacing w:val="-2"/>
                  <w:sz w:val="20"/>
                </w:rPr>
                <w:t> </w:t>
              </w:r>
              <w:r>
                <w:rPr>
                  <w:sz w:val="20"/>
                </w:rPr>
                <w:t>Supplementary</w:t>
              </w:r>
              <w:r>
                <w:rPr>
                  <w:spacing w:val="-2"/>
                  <w:sz w:val="20"/>
                </w:rPr>
                <w:t> </w:t>
              </w:r>
              <w:r>
                <w:rPr>
                  <w:spacing w:val="-4"/>
                  <w:sz w:val="20"/>
                </w:rPr>
                <w:t>Data</w:t>
              </w:r>
            </w:hyperlink>
          </w:p>
        </w:tc>
        <w:tc>
          <w:tcPr>
            <w:tcW w:w="1000" w:type="dxa"/>
            <w:shd w:val="clear" w:color="auto" w:fill="CCEDFF"/>
          </w:tcPr>
          <w:p>
            <w:pPr>
              <w:pStyle w:val="TableParagraph"/>
              <w:spacing w:before="20"/>
              <w:ind w:right="69"/>
              <w:jc w:val="right"/>
              <w:rPr>
                <w:sz w:val="20"/>
              </w:rPr>
            </w:pPr>
            <w:hyperlink w:history="true" w:anchor="_bookmark15">
              <w:r>
                <w:rPr>
                  <w:spacing w:val="-5"/>
                  <w:sz w:val="20"/>
                </w:rPr>
                <w:t>56</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9.</w:t>
            </w:r>
          </w:p>
        </w:tc>
        <w:tc>
          <w:tcPr>
            <w:tcW w:w="8228" w:type="dxa"/>
            <w:gridSpan w:val="2"/>
          </w:tcPr>
          <w:p>
            <w:pPr>
              <w:pStyle w:val="TableParagraph"/>
              <w:spacing w:before="20"/>
              <w:ind w:left="38"/>
              <w:rPr>
                <w:sz w:val="20"/>
              </w:rPr>
            </w:pPr>
            <w:hyperlink w:history="true" w:anchor="_bookmark34">
              <w:r>
                <w:rPr>
                  <w:sz w:val="20"/>
                </w:rPr>
                <w:t>Changes</w:t>
              </w:r>
              <w:r>
                <w:rPr>
                  <w:spacing w:val="-8"/>
                  <w:sz w:val="20"/>
                </w:rPr>
                <w:t> </w:t>
              </w:r>
              <w:r>
                <w:rPr>
                  <w:sz w:val="20"/>
                </w:rPr>
                <w:t>in</w:t>
              </w:r>
              <w:r>
                <w:rPr>
                  <w:spacing w:val="-3"/>
                  <w:sz w:val="20"/>
                </w:rPr>
                <w:t> </w:t>
              </w:r>
              <w:r>
                <w:rPr>
                  <w:sz w:val="20"/>
                </w:rPr>
                <w:t>and</w:t>
              </w:r>
              <w:r>
                <w:rPr>
                  <w:spacing w:val="-3"/>
                  <w:sz w:val="20"/>
                </w:rPr>
                <w:t> </w:t>
              </w:r>
              <w:r>
                <w:rPr>
                  <w:sz w:val="20"/>
                </w:rPr>
                <w:t>Disagreements</w:t>
              </w:r>
              <w:r>
                <w:rPr>
                  <w:spacing w:val="-4"/>
                  <w:sz w:val="20"/>
                </w:rPr>
                <w:t> </w:t>
              </w:r>
              <w:r>
                <w:rPr>
                  <w:sz w:val="20"/>
                </w:rPr>
                <w:t>with</w:t>
              </w:r>
              <w:r>
                <w:rPr>
                  <w:spacing w:val="-12"/>
                  <w:sz w:val="20"/>
                </w:rPr>
                <w:t> </w:t>
              </w:r>
              <w:r>
                <w:rPr>
                  <w:sz w:val="20"/>
                </w:rPr>
                <w:t>Accountants</w:t>
              </w:r>
              <w:r>
                <w:rPr>
                  <w:spacing w:val="-4"/>
                  <w:sz w:val="20"/>
                </w:rPr>
                <w:t> </w:t>
              </w:r>
              <w:r>
                <w:rPr>
                  <w:sz w:val="20"/>
                </w:rPr>
                <w:t>on</w:t>
              </w:r>
              <w:r>
                <w:rPr>
                  <w:spacing w:val="-13"/>
                  <w:sz w:val="20"/>
                </w:rPr>
                <w:t> </w:t>
              </w:r>
              <w:r>
                <w:rPr>
                  <w:sz w:val="20"/>
                </w:rPr>
                <w:t>Accounting</w:t>
              </w:r>
              <w:r>
                <w:rPr>
                  <w:spacing w:val="-3"/>
                  <w:sz w:val="20"/>
                </w:rPr>
                <w:t> </w:t>
              </w:r>
              <w:r>
                <w:rPr>
                  <w:sz w:val="20"/>
                </w:rPr>
                <w:t>and</w:t>
              </w:r>
              <w:r>
                <w:rPr>
                  <w:spacing w:val="-3"/>
                  <w:sz w:val="20"/>
                </w:rPr>
                <w:t> </w:t>
              </w:r>
              <w:r>
                <w:rPr>
                  <w:sz w:val="20"/>
                </w:rPr>
                <w:t>Financial</w:t>
              </w:r>
              <w:r>
                <w:rPr>
                  <w:spacing w:val="-2"/>
                  <w:sz w:val="20"/>
                </w:rPr>
                <w:t> Disclosure</w:t>
              </w:r>
            </w:hyperlink>
          </w:p>
        </w:tc>
        <w:tc>
          <w:tcPr>
            <w:tcW w:w="1000" w:type="dxa"/>
          </w:tcPr>
          <w:p>
            <w:pPr>
              <w:pStyle w:val="TableParagraph"/>
              <w:spacing w:before="20"/>
              <w:ind w:right="69"/>
              <w:jc w:val="right"/>
              <w:rPr>
                <w:sz w:val="20"/>
              </w:rPr>
            </w:pPr>
            <w:hyperlink w:history="true" w:anchor="_bookmark34">
              <w:r>
                <w:rPr>
                  <w:spacing w:val="-5"/>
                  <w:sz w:val="20"/>
                </w:rPr>
                <w:t>98</w:t>
              </w:r>
            </w:hyperlink>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9A.</w:t>
            </w:r>
          </w:p>
        </w:tc>
        <w:tc>
          <w:tcPr>
            <w:tcW w:w="8228" w:type="dxa"/>
            <w:gridSpan w:val="2"/>
            <w:shd w:val="clear" w:color="auto" w:fill="CCEDFF"/>
          </w:tcPr>
          <w:p>
            <w:pPr>
              <w:pStyle w:val="TableParagraph"/>
              <w:spacing w:before="20"/>
              <w:ind w:left="38"/>
              <w:rPr>
                <w:sz w:val="20"/>
              </w:rPr>
            </w:pPr>
            <w:hyperlink w:history="true" w:anchor="_bookmark35">
              <w:r>
                <w:rPr>
                  <w:sz w:val="20"/>
                </w:rPr>
                <w:t>Controls</w:t>
              </w:r>
              <w:r>
                <w:rPr>
                  <w:spacing w:val="-5"/>
                  <w:sz w:val="20"/>
                </w:rPr>
                <w:t> </w:t>
              </w:r>
              <w:r>
                <w:rPr>
                  <w:sz w:val="20"/>
                </w:rPr>
                <w:t>and</w:t>
              </w:r>
              <w:r>
                <w:rPr>
                  <w:spacing w:val="-3"/>
                  <w:sz w:val="20"/>
                </w:rPr>
                <w:t> </w:t>
              </w:r>
              <w:r>
                <w:rPr>
                  <w:spacing w:val="-2"/>
                  <w:sz w:val="20"/>
                </w:rPr>
                <w:t>Procedures</w:t>
              </w:r>
            </w:hyperlink>
          </w:p>
        </w:tc>
        <w:tc>
          <w:tcPr>
            <w:tcW w:w="1000" w:type="dxa"/>
            <w:shd w:val="clear" w:color="auto" w:fill="CCEDFF"/>
          </w:tcPr>
          <w:p>
            <w:pPr>
              <w:pStyle w:val="TableParagraph"/>
              <w:spacing w:before="20"/>
              <w:ind w:right="69"/>
              <w:jc w:val="right"/>
              <w:rPr>
                <w:sz w:val="20"/>
              </w:rPr>
            </w:pPr>
            <w:hyperlink w:history="true" w:anchor="_bookmark35">
              <w:r>
                <w:rPr>
                  <w:spacing w:val="-5"/>
                  <w:sz w:val="20"/>
                </w:rPr>
                <w:t>98</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9B.</w:t>
            </w:r>
          </w:p>
        </w:tc>
        <w:tc>
          <w:tcPr>
            <w:tcW w:w="8228" w:type="dxa"/>
            <w:gridSpan w:val="2"/>
          </w:tcPr>
          <w:p>
            <w:pPr>
              <w:pStyle w:val="TableParagraph"/>
              <w:spacing w:before="20"/>
              <w:ind w:left="38"/>
              <w:rPr>
                <w:sz w:val="20"/>
              </w:rPr>
            </w:pPr>
            <w:hyperlink w:history="true" w:anchor="_bookmark36">
              <w:r>
                <w:rPr>
                  <w:sz w:val="20"/>
                </w:rPr>
                <w:t>Other </w:t>
              </w:r>
              <w:r>
                <w:rPr>
                  <w:spacing w:val="-2"/>
                  <w:sz w:val="20"/>
                </w:rPr>
                <w:t>Information</w:t>
              </w:r>
            </w:hyperlink>
          </w:p>
        </w:tc>
        <w:tc>
          <w:tcPr>
            <w:tcW w:w="1000" w:type="dxa"/>
          </w:tcPr>
          <w:p>
            <w:pPr>
              <w:pStyle w:val="TableParagraph"/>
              <w:spacing w:before="20"/>
              <w:ind w:right="69"/>
              <w:jc w:val="right"/>
              <w:rPr>
                <w:sz w:val="20"/>
              </w:rPr>
            </w:pPr>
            <w:hyperlink w:history="true" w:anchor="_bookmark36">
              <w:r>
                <w:rPr>
                  <w:spacing w:val="-5"/>
                  <w:sz w:val="20"/>
                </w:rPr>
                <w:t>98</w:t>
              </w:r>
            </w:hyperlink>
          </w:p>
        </w:tc>
      </w:tr>
      <w:tr>
        <w:trPr>
          <w:trHeight w:val="300" w:hRule="atLeast"/>
        </w:trPr>
        <w:tc>
          <w:tcPr>
            <w:tcW w:w="932" w:type="dxa"/>
            <w:shd w:val="clear" w:color="auto" w:fill="CCEDFF"/>
          </w:tcPr>
          <w:p>
            <w:pPr>
              <w:pStyle w:val="TableParagraph"/>
              <w:rPr>
                <w:sz w:val="18"/>
              </w:rPr>
            </w:pPr>
          </w:p>
        </w:tc>
        <w:tc>
          <w:tcPr>
            <w:tcW w:w="8228" w:type="dxa"/>
            <w:gridSpan w:val="2"/>
            <w:shd w:val="clear" w:color="auto" w:fill="CCEDFF"/>
          </w:tcPr>
          <w:p>
            <w:pPr>
              <w:pStyle w:val="TableParagraph"/>
              <w:rPr>
                <w:sz w:val="18"/>
              </w:rPr>
            </w:pPr>
          </w:p>
        </w:tc>
        <w:tc>
          <w:tcPr>
            <w:tcW w:w="1000" w:type="dxa"/>
            <w:shd w:val="clear" w:color="auto" w:fill="CCEDFF"/>
          </w:tcPr>
          <w:p>
            <w:pPr>
              <w:pStyle w:val="TableParagraph"/>
              <w:rPr>
                <w:sz w:val="18"/>
              </w:rPr>
            </w:pPr>
          </w:p>
        </w:tc>
      </w:tr>
      <w:tr>
        <w:trPr>
          <w:trHeight w:val="400" w:hRule="atLeast"/>
        </w:trPr>
        <w:tc>
          <w:tcPr>
            <w:tcW w:w="932" w:type="dxa"/>
          </w:tcPr>
          <w:p>
            <w:pPr>
              <w:pStyle w:val="TableParagraph"/>
              <w:spacing w:before="58"/>
              <w:ind w:left="50"/>
              <w:rPr>
                <w:b/>
                <w:sz w:val="20"/>
              </w:rPr>
            </w:pPr>
            <w:r>
              <w:rPr>
                <w:b/>
                <w:spacing w:val="-5"/>
                <w:sz w:val="20"/>
              </w:rPr>
              <w:t>PART</w:t>
            </w:r>
            <w:r>
              <w:rPr>
                <w:b/>
                <w:spacing w:val="-7"/>
                <w:sz w:val="20"/>
              </w:rPr>
              <w:t> </w:t>
            </w:r>
            <w:r>
              <w:rPr>
                <w:b/>
                <w:spacing w:val="-5"/>
                <w:sz w:val="20"/>
              </w:rPr>
              <w:t>III</w:t>
            </w:r>
          </w:p>
        </w:tc>
        <w:tc>
          <w:tcPr>
            <w:tcW w:w="8228" w:type="dxa"/>
            <w:gridSpan w:val="2"/>
          </w:tcPr>
          <w:p>
            <w:pPr>
              <w:pStyle w:val="TableParagraph"/>
              <w:rPr>
                <w:sz w:val="18"/>
              </w:rPr>
            </w:pPr>
          </w:p>
        </w:tc>
        <w:tc>
          <w:tcPr>
            <w:tcW w:w="1000" w:type="dxa"/>
          </w:tcPr>
          <w:p>
            <w:pPr>
              <w:pStyle w:val="TableParagraph"/>
              <w:rPr>
                <w:sz w:val="18"/>
              </w:rPr>
            </w:pPr>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10.</w:t>
            </w:r>
          </w:p>
        </w:tc>
        <w:tc>
          <w:tcPr>
            <w:tcW w:w="8228" w:type="dxa"/>
            <w:gridSpan w:val="2"/>
            <w:shd w:val="clear" w:color="auto" w:fill="CCEDFF"/>
          </w:tcPr>
          <w:p>
            <w:pPr>
              <w:pStyle w:val="TableParagraph"/>
              <w:spacing w:before="20"/>
              <w:ind w:left="38"/>
              <w:rPr>
                <w:sz w:val="20"/>
              </w:rPr>
            </w:pPr>
            <w:hyperlink w:history="true" w:anchor="_bookmark37">
              <w:r>
                <w:rPr>
                  <w:sz w:val="20"/>
                </w:rPr>
                <w:t>Directors,</w:t>
              </w:r>
              <w:r>
                <w:rPr>
                  <w:spacing w:val="-2"/>
                  <w:sz w:val="20"/>
                </w:rPr>
                <w:t> </w:t>
              </w:r>
              <w:r>
                <w:rPr>
                  <w:sz w:val="20"/>
                </w:rPr>
                <w:t>Executive</w:t>
              </w:r>
              <w:r>
                <w:rPr>
                  <w:spacing w:val="-2"/>
                  <w:sz w:val="20"/>
                </w:rPr>
                <w:t> </w:t>
              </w:r>
              <w:r>
                <w:rPr>
                  <w:sz w:val="20"/>
                </w:rPr>
                <w:t>Officers</w:t>
              </w:r>
              <w:r>
                <w:rPr>
                  <w:spacing w:val="-3"/>
                  <w:sz w:val="20"/>
                </w:rPr>
                <w:t> </w:t>
              </w:r>
              <w:r>
                <w:rPr>
                  <w:sz w:val="20"/>
                </w:rPr>
                <w:t>and</w:t>
              </w:r>
              <w:r>
                <w:rPr>
                  <w:spacing w:val="-2"/>
                  <w:sz w:val="20"/>
                </w:rPr>
                <w:t> </w:t>
              </w:r>
              <w:r>
                <w:rPr>
                  <w:sz w:val="20"/>
                </w:rPr>
                <w:t>Corporate</w:t>
              </w:r>
              <w:r>
                <w:rPr>
                  <w:spacing w:val="-1"/>
                  <w:sz w:val="20"/>
                </w:rPr>
                <w:t> </w:t>
              </w:r>
              <w:r>
                <w:rPr>
                  <w:spacing w:val="-2"/>
                  <w:sz w:val="20"/>
                </w:rPr>
                <w:t>Governance</w:t>
              </w:r>
            </w:hyperlink>
          </w:p>
        </w:tc>
        <w:tc>
          <w:tcPr>
            <w:tcW w:w="1000" w:type="dxa"/>
            <w:shd w:val="clear" w:color="auto" w:fill="CCEDFF"/>
          </w:tcPr>
          <w:p>
            <w:pPr>
              <w:pStyle w:val="TableParagraph"/>
              <w:spacing w:before="20"/>
              <w:ind w:right="69"/>
              <w:jc w:val="right"/>
              <w:rPr>
                <w:sz w:val="20"/>
              </w:rPr>
            </w:pPr>
            <w:hyperlink w:history="true" w:anchor="_bookmark37">
              <w:r>
                <w:rPr>
                  <w:spacing w:val="-5"/>
                  <w:sz w:val="20"/>
                </w:rPr>
                <w:t>99</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11.</w:t>
            </w:r>
          </w:p>
        </w:tc>
        <w:tc>
          <w:tcPr>
            <w:tcW w:w="8228" w:type="dxa"/>
            <w:gridSpan w:val="2"/>
          </w:tcPr>
          <w:p>
            <w:pPr>
              <w:pStyle w:val="TableParagraph"/>
              <w:spacing w:before="20"/>
              <w:ind w:left="38"/>
              <w:rPr>
                <w:sz w:val="20"/>
              </w:rPr>
            </w:pPr>
            <w:hyperlink w:history="true" w:anchor="_bookmark38">
              <w:r>
                <w:rPr>
                  <w:sz w:val="20"/>
                </w:rPr>
                <w:t>Executive </w:t>
              </w:r>
              <w:r>
                <w:rPr>
                  <w:spacing w:val="-2"/>
                  <w:sz w:val="20"/>
                </w:rPr>
                <w:t>Compensation</w:t>
              </w:r>
            </w:hyperlink>
          </w:p>
        </w:tc>
        <w:tc>
          <w:tcPr>
            <w:tcW w:w="1000" w:type="dxa"/>
          </w:tcPr>
          <w:p>
            <w:pPr>
              <w:pStyle w:val="TableParagraph"/>
              <w:spacing w:before="20"/>
              <w:ind w:right="69"/>
              <w:jc w:val="right"/>
              <w:rPr>
                <w:sz w:val="20"/>
              </w:rPr>
            </w:pPr>
            <w:hyperlink w:history="true" w:anchor="_bookmark38">
              <w:r>
                <w:rPr>
                  <w:spacing w:val="-5"/>
                  <w:sz w:val="20"/>
                </w:rPr>
                <w:t>99</w:t>
              </w:r>
            </w:hyperlink>
          </w:p>
        </w:tc>
      </w:tr>
      <w:tr>
        <w:trPr>
          <w:trHeight w:val="460" w:hRule="atLeast"/>
        </w:trPr>
        <w:tc>
          <w:tcPr>
            <w:tcW w:w="10160" w:type="dxa"/>
            <w:gridSpan w:val="4"/>
            <w:shd w:val="clear" w:color="auto" w:fill="CCEDFF"/>
          </w:tcPr>
          <w:p>
            <w:pPr>
              <w:pStyle w:val="TableParagraph"/>
              <w:tabs>
                <w:tab w:pos="969" w:val="left" w:leader="none"/>
              </w:tabs>
              <w:spacing w:line="205" w:lineRule="exact" w:before="2"/>
              <w:ind w:left="50"/>
              <w:rPr>
                <w:sz w:val="20"/>
              </w:rPr>
            </w:pPr>
            <w:r>
              <w:rPr>
                <w:sz w:val="20"/>
              </w:rPr>
              <w:t>Item </w:t>
            </w:r>
            <w:r>
              <w:rPr>
                <w:spacing w:val="-5"/>
                <w:sz w:val="20"/>
              </w:rPr>
              <w:t>12.</w:t>
            </w:r>
            <w:r>
              <w:rPr>
                <w:sz w:val="20"/>
              </w:rPr>
              <w:tab/>
            </w:r>
            <w:hyperlink w:history="true" w:anchor="_bookmark39">
              <w:r>
                <w:rPr>
                  <w:sz w:val="20"/>
                </w:rPr>
                <w:t>Security</w:t>
              </w:r>
              <w:r>
                <w:rPr>
                  <w:spacing w:val="-1"/>
                  <w:sz w:val="20"/>
                </w:rPr>
                <w:t> </w:t>
              </w:r>
              <w:r>
                <w:rPr>
                  <w:sz w:val="20"/>
                </w:rPr>
                <w:t>Ownership of</w:t>
              </w:r>
              <w:r>
                <w:rPr>
                  <w:spacing w:val="-1"/>
                  <w:sz w:val="20"/>
                </w:rPr>
                <w:t> </w:t>
              </w:r>
              <w:r>
                <w:rPr>
                  <w:sz w:val="20"/>
                </w:rPr>
                <w:t>Certain Beneficial</w:t>
              </w:r>
              <w:r>
                <w:rPr>
                  <w:spacing w:val="-1"/>
                  <w:sz w:val="20"/>
                </w:rPr>
                <w:t> </w:t>
              </w:r>
              <w:r>
                <w:rPr>
                  <w:sz w:val="20"/>
                </w:rPr>
                <w:t>Owners</w:t>
              </w:r>
              <w:r>
                <w:rPr>
                  <w:spacing w:val="-1"/>
                  <w:sz w:val="20"/>
                </w:rPr>
                <w:t> </w:t>
              </w:r>
              <w:r>
                <w:rPr>
                  <w:sz w:val="20"/>
                </w:rPr>
                <w:t>and</w:t>
              </w:r>
              <w:r>
                <w:rPr>
                  <w:spacing w:val="-1"/>
                  <w:sz w:val="20"/>
                </w:rPr>
                <w:t> </w:t>
              </w:r>
              <w:r>
                <w:rPr>
                  <w:sz w:val="20"/>
                </w:rPr>
                <w:t>Management and</w:t>
              </w:r>
              <w:r>
                <w:rPr>
                  <w:spacing w:val="-1"/>
                  <w:sz w:val="20"/>
                </w:rPr>
                <w:t> </w:t>
              </w:r>
              <w:r>
                <w:rPr>
                  <w:sz w:val="20"/>
                </w:rPr>
                <w:t>Related </w:t>
              </w:r>
              <w:r>
                <w:rPr>
                  <w:spacing w:val="-2"/>
                  <w:sz w:val="20"/>
                </w:rPr>
                <w:t>Stockholder</w:t>
              </w:r>
            </w:hyperlink>
          </w:p>
          <w:p>
            <w:pPr>
              <w:pStyle w:val="TableParagraph"/>
              <w:tabs>
                <w:tab w:pos="10089" w:val="right" w:leader="none"/>
              </w:tabs>
              <w:spacing w:line="225" w:lineRule="exact"/>
              <w:ind w:left="1150"/>
              <w:rPr>
                <w:sz w:val="20"/>
              </w:rPr>
            </w:pPr>
            <w:hyperlink w:history="true" w:anchor="_bookmark39">
              <w:r>
                <w:rPr>
                  <w:spacing w:val="-2"/>
                  <w:sz w:val="20"/>
                </w:rPr>
                <w:t>Matters</w:t>
              </w:r>
            </w:hyperlink>
            <w:r>
              <w:rPr>
                <w:sz w:val="20"/>
              </w:rPr>
              <w:tab/>
            </w:r>
            <w:hyperlink w:history="true" w:anchor="_bookmark39">
              <w:r>
                <w:rPr>
                  <w:spacing w:val="-5"/>
                  <w:position w:val="2"/>
                  <w:sz w:val="20"/>
                </w:rPr>
                <w:t>99</w:t>
              </w:r>
            </w:hyperlink>
          </w:p>
        </w:tc>
      </w:tr>
      <w:tr>
        <w:trPr>
          <w:trHeight w:val="300" w:hRule="atLeast"/>
        </w:trPr>
        <w:tc>
          <w:tcPr>
            <w:tcW w:w="932" w:type="dxa"/>
          </w:tcPr>
          <w:p>
            <w:pPr>
              <w:pStyle w:val="TableParagraph"/>
              <w:spacing w:before="20"/>
              <w:ind w:left="50"/>
              <w:rPr>
                <w:sz w:val="20"/>
              </w:rPr>
            </w:pPr>
            <w:r>
              <w:rPr>
                <w:sz w:val="20"/>
              </w:rPr>
              <w:t>Item </w:t>
            </w:r>
            <w:r>
              <w:rPr>
                <w:spacing w:val="-5"/>
                <w:sz w:val="20"/>
              </w:rPr>
              <w:t>13.</w:t>
            </w:r>
          </w:p>
        </w:tc>
        <w:tc>
          <w:tcPr>
            <w:tcW w:w="8228" w:type="dxa"/>
            <w:gridSpan w:val="2"/>
          </w:tcPr>
          <w:p>
            <w:pPr>
              <w:pStyle w:val="TableParagraph"/>
              <w:spacing w:before="20"/>
              <w:ind w:left="38"/>
              <w:rPr>
                <w:sz w:val="20"/>
              </w:rPr>
            </w:pPr>
            <w:hyperlink w:history="true" w:anchor="_bookmark40">
              <w:r>
                <w:rPr>
                  <w:sz w:val="20"/>
                </w:rPr>
                <w:t>Certain</w:t>
              </w:r>
              <w:r>
                <w:rPr>
                  <w:spacing w:val="-3"/>
                  <w:sz w:val="20"/>
                </w:rPr>
                <w:t> </w:t>
              </w:r>
              <w:r>
                <w:rPr>
                  <w:sz w:val="20"/>
                </w:rPr>
                <w:t>Relationships</w:t>
              </w:r>
              <w:r>
                <w:rPr>
                  <w:spacing w:val="-4"/>
                  <w:sz w:val="20"/>
                </w:rPr>
                <w:t> </w:t>
              </w:r>
              <w:r>
                <w:rPr>
                  <w:sz w:val="20"/>
                </w:rPr>
                <w:t>and</w:t>
              </w:r>
              <w:r>
                <w:rPr>
                  <w:spacing w:val="-3"/>
                  <w:sz w:val="20"/>
                </w:rPr>
                <w:t> </w:t>
              </w:r>
              <w:r>
                <w:rPr>
                  <w:sz w:val="20"/>
                </w:rPr>
                <w:t>Related</w:t>
              </w:r>
              <w:r>
                <w:rPr>
                  <w:spacing w:val="-7"/>
                  <w:sz w:val="20"/>
                </w:rPr>
                <w:t> </w:t>
              </w:r>
              <w:r>
                <w:rPr>
                  <w:sz w:val="20"/>
                </w:rPr>
                <w:t>Transactions,</w:t>
              </w:r>
              <w:r>
                <w:rPr>
                  <w:spacing w:val="-3"/>
                  <w:sz w:val="20"/>
                </w:rPr>
                <w:t> </w:t>
              </w:r>
              <w:r>
                <w:rPr>
                  <w:sz w:val="20"/>
                </w:rPr>
                <w:t>and</w:t>
              </w:r>
              <w:r>
                <w:rPr>
                  <w:spacing w:val="-3"/>
                  <w:sz w:val="20"/>
                </w:rPr>
                <w:t> </w:t>
              </w:r>
              <w:r>
                <w:rPr>
                  <w:sz w:val="20"/>
                </w:rPr>
                <w:t>Director</w:t>
              </w:r>
              <w:r>
                <w:rPr>
                  <w:spacing w:val="-2"/>
                  <w:sz w:val="20"/>
                </w:rPr>
                <w:t> Independence</w:t>
              </w:r>
            </w:hyperlink>
          </w:p>
        </w:tc>
        <w:tc>
          <w:tcPr>
            <w:tcW w:w="1000" w:type="dxa"/>
          </w:tcPr>
          <w:p>
            <w:pPr>
              <w:pStyle w:val="TableParagraph"/>
              <w:spacing w:before="20"/>
              <w:ind w:right="69"/>
              <w:jc w:val="right"/>
              <w:rPr>
                <w:sz w:val="20"/>
              </w:rPr>
            </w:pPr>
            <w:hyperlink w:history="true" w:anchor="_bookmark40">
              <w:r>
                <w:rPr>
                  <w:spacing w:val="-5"/>
                  <w:sz w:val="20"/>
                </w:rPr>
                <w:t>99</w:t>
              </w:r>
            </w:hyperlink>
          </w:p>
        </w:tc>
      </w:tr>
      <w:tr>
        <w:trPr>
          <w:trHeight w:val="300" w:hRule="atLeast"/>
        </w:trPr>
        <w:tc>
          <w:tcPr>
            <w:tcW w:w="932" w:type="dxa"/>
            <w:shd w:val="clear" w:color="auto" w:fill="CCEDFF"/>
          </w:tcPr>
          <w:p>
            <w:pPr>
              <w:pStyle w:val="TableParagraph"/>
              <w:spacing w:before="20"/>
              <w:ind w:left="50"/>
              <w:rPr>
                <w:sz w:val="20"/>
              </w:rPr>
            </w:pPr>
            <w:r>
              <w:rPr>
                <w:sz w:val="20"/>
              </w:rPr>
              <w:t>Item </w:t>
            </w:r>
            <w:r>
              <w:rPr>
                <w:spacing w:val="-5"/>
                <w:sz w:val="20"/>
              </w:rPr>
              <w:t>14.</w:t>
            </w:r>
          </w:p>
        </w:tc>
        <w:tc>
          <w:tcPr>
            <w:tcW w:w="8228" w:type="dxa"/>
            <w:gridSpan w:val="2"/>
            <w:shd w:val="clear" w:color="auto" w:fill="CCEDFF"/>
          </w:tcPr>
          <w:p>
            <w:pPr>
              <w:pStyle w:val="TableParagraph"/>
              <w:spacing w:before="20"/>
              <w:ind w:left="38"/>
              <w:rPr>
                <w:sz w:val="20"/>
              </w:rPr>
            </w:pPr>
            <w:hyperlink w:history="true" w:anchor="_bookmark41">
              <w:r>
                <w:rPr>
                  <w:sz w:val="20"/>
                </w:rPr>
                <w:t>Principal</w:t>
              </w:r>
              <w:r>
                <w:rPr>
                  <w:spacing w:val="-15"/>
                  <w:sz w:val="20"/>
                </w:rPr>
                <w:t> </w:t>
              </w:r>
              <w:r>
                <w:rPr>
                  <w:sz w:val="20"/>
                </w:rPr>
                <w:t>Accounting</w:t>
              </w:r>
              <w:r>
                <w:rPr>
                  <w:spacing w:val="-1"/>
                  <w:sz w:val="20"/>
                </w:rPr>
                <w:t> </w:t>
              </w:r>
              <w:r>
                <w:rPr>
                  <w:sz w:val="20"/>
                </w:rPr>
                <w:t>Fees</w:t>
              </w:r>
              <w:r>
                <w:rPr>
                  <w:spacing w:val="-2"/>
                  <w:sz w:val="20"/>
                </w:rPr>
                <w:t> </w:t>
              </w:r>
              <w:r>
                <w:rPr>
                  <w:sz w:val="20"/>
                </w:rPr>
                <w:t>and </w:t>
              </w:r>
              <w:r>
                <w:rPr>
                  <w:spacing w:val="-2"/>
                  <w:sz w:val="20"/>
                </w:rPr>
                <w:t>Services</w:t>
              </w:r>
            </w:hyperlink>
          </w:p>
        </w:tc>
        <w:tc>
          <w:tcPr>
            <w:tcW w:w="1000" w:type="dxa"/>
            <w:shd w:val="clear" w:color="auto" w:fill="CCEDFF"/>
          </w:tcPr>
          <w:p>
            <w:pPr>
              <w:pStyle w:val="TableParagraph"/>
              <w:spacing w:before="20"/>
              <w:ind w:right="69"/>
              <w:jc w:val="right"/>
              <w:rPr>
                <w:sz w:val="20"/>
              </w:rPr>
            </w:pPr>
            <w:hyperlink w:history="true" w:anchor="_bookmark41">
              <w:r>
                <w:rPr>
                  <w:spacing w:val="-5"/>
                  <w:sz w:val="20"/>
                </w:rPr>
                <w:t>99</w:t>
              </w:r>
            </w:hyperlink>
          </w:p>
        </w:tc>
      </w:tr>
      <w:tr>
        <w:trPr>
          <w:trHeight w:val="300" w:hRule="atLeast"/>
        </w:trPr>
        <w:tc>
          <w:tcPr>
            <w:tcW w:w="932" w:type="dxa"/>
          </w:tcPr>
          <w:p>
            <w:pPr>
              <w:pStyle w:val="TableParagraph"/>
              <w:rPr>
                <w:sz w:val="18"/>
              </w:rPr>
            </w:pPr>
          </w:p>
        </w:tc>
        <w:tc>
          <w:tcPr>
            <w:tcW w:w="8228" w:type="dxa"/>
            <w:gridSpan w:val="2"/>
          </w:tcPr>
          <w:p>
            <w:pPr>
              <w:pStyle w:val="TableParagraph"/>
              <w:rPr>
                <w:sz w:val="18"/>
              </w:rPr>
            </w:pPr>
          </w:p>
        </w:tc>
        <w:tc>
          <w:tcPr>
            <w:tcW w:w="1000" w:type="dxa"/>
          </w:tcPr>
          <w:p>
            <w:pPr>
              <w:pStyle w:val="TableParagraph"/>
              <w:rPr>
                <w:sz w:val="18"/>
              </w:rPr>
            </w:pPr>
          </w:p>
        </w:tc>
      </w:tr>
      <w:tr>
        <w:trPr>
          <w:trHeight w:val="400" w:hRule="atLeast"/>
        </w:trPr>
        <w:tc>
          <w:tcPr>
            <w:tcW w:w="932" w:type="dxa"/>
            <w:shd w:val="clear" w:color="auto" w:fill="CCEDFF"/>
          </w:tcPr>
          <w:p>
            <w:pPr>
              <w:pStyle w:val="TableParagraph"/>
              <w:spacing w:before="58"/>
              <w:ind w:left="50"/>
              <w:rPr>
                <w:b/>
                <w:sz w:val="20"/>
              </w:rPr>
            </w:pPr>
            <w:r>
              <w:rPr>
                <w:b/>
                <w:spacing w:val="-7"/>
                <w:sz w:val="20"/>
              </w:rPr>
              <w:t>PART</w:t>
            </w:r>
            <w:r>
              <w:rPr>
                <w:b/>
                <w:spacing w:val="-2"/>
                <w:sz w:val="20"/>
              </w:rPr>
              <w:t> </w:t>
            </w:r>
            <w:r>
              <w:rPr>
                <w:b/>
                <w:spacing w:val="-5"/>
                <w:sz w:val="20"/>
              </w:rPr>
              <w:t>IV</w:t>
            </w:r>
          </w:p>
        </w:tc>
        <w:tc>
          <w:tcPr>
            <w:tcW w:w="8228" w:type="dxa"/>
            <w:gridSpan w:val="2"/>
            <w:shd w:val="clear" w:color="auto" w:fill="CCEDFF"/>
          </w:tcPr>
          <w:p>
            <w:pPr>
              <w:pStyle w:val="TableParagraph"/>
              <w:rPr>
                <w:sz w:val="18"/>
              </w:rPr>
            </w:pPr>
          </w:p>
        </w:tc>
        <w:tc>
          <w:tcPr>
            <w:tcW w:w="1000" w:type="dxa"/>
            <w:shd w:val="clear" w:color="auto" w:fill="CCEDFF"/>
          </w:tcPr>
          <w:p>
            <w:pPr>
              <w:pStyle w:val="TableParagraph"/>
              <w:rPr>
                <w:sz w:val="18"/>
              </w:rPr>
            </w:pPr>
          </w:p>
        </w:tc>
      </w:tr>
      <w:tr>
        <w:trPr>
          <w:trHeight w:val="300" w:hRule="atLeast"/>
        </w:trPr>
        <w:tc>
          <w:tcPr>
            <w:tcW w:w="932" w:type="dxa"/>
          </w:tcPr>
          <w:p>
            <w:pPr>
              <w:pStyle w:val="TableParagraph"/>
              <w:spacing w:before="20"/>
              <w:ind w:left="50"/>
              <w:rPr>
                <w:sz w:val="20"/>
              </w:rPr>
            </w:pPr>
            <w:r>
              <w:rPr>
                <w:sz w:val="20"/>
              </w:rPr>
              <w:t>Item </w:t>
            </w:r>
            <w:r>
              <w:rPr>
                <w:spacing w:val="-5"/>
                <w:sz w:val="20"/>
              </w:rPr>
              <w:t>15.</w:t>
            </w:r>
          </w:p>
        </w:tc>
        <w:tc>
          <w:tcPr>
            <w:tcW w:w="8228" w:type="dxa"/>
            <w:gridSpan w:val="2"/>
          </w:tcPr>
          <w:p>
            <w:pPr>
              <w:pStyle w:val="TableParagraph"/>
              <w:spacing w:before="20"/>
              <w:ind w:left="38"/>
              <w:rPr>
                <w:sz w:val="20"/>
              </w:rPr>
            </w:pPr>
            <w:hyperlink w:history="true" w:anchor="_bookmark42">
              <w:r>
                <w:rPr>
                  <w:sz w:val="20"/>
                </w:rPr>
                <w:t>Exhibits, Financial Statement </w:t>
              </w:r>
              <w:r>
                <w:rPr>
                  <w:spacing w:val="-2"/>
                  <w:sz w:val="20"/>
                </w:rPr>
                <w:t>Schedules</w:t>
              </w:r>
            </w:hyperlink>
          </w:p>
        </w:tc>
        <w:tc>
          <w:tcPr>
            <w:tcW w:w="1000" w:type="dxa"/>
          </w:tcPr>
          <w:p>
            <w:pPr>
              <w:pStyle w:val="TableParagraph"/>
              <w:spacing w:before="20"/>
              <w:ind w:right="69"/>
              <w:jc w:val="right"/>
              <w:rPr>
                <w:sz w:val="20"/>
              </w:rPr>
            </w:pPr>
            <w:hyperlink w:history="true" w:anchor="_bookmark42">
              <w:r>
                <w:rPr>
                  <w:spacing w:val="-5"/>
                  <w:sz w:val="20"/>
                </w:rPr>
                <w:t>99</w:t>
              </w:r>
            </w:hyperlink>
          </w:p>
        </w:tc>
      </w:tr>
      <w:tr>
        <w:trPr>
          <w:trHeight w:val="300" w:hRule="atLeast"/>
        </w:trPr>
        <w:tc>
          <w:tcPr>
            <w:tcW w:w="932" w:type="dxa"/>
            <w:shd w:val="clear" w:color="auto" w:fill="CCEDFF"/>
          </w:tcPr>
          <w:p>
            <w:pPr>
              <w:pStyle w:val="TableParagraph"/>
              <w:rPr>
                <w:sz w:val="18"/>
              </w:rPr>
            </w:pPr>
          </w:p>
        </w:tc>
        <w:tc>
          <w:tcPr>
            <w:tcW w:w="8228" w:type="dxa"/>
            <w:gridSpan w:val="2"/>
            <w:shd w:val="clear" w:color="auto" w:fill="CCEDFF"/>
          </w:tcPr>
          <w:p>
            <w:pPr>
              <w:pStyle w:val="TableParagraph"/>
              <w:rPr>
                <w:sz w:val="18"/>
              </w:rPr>
            </w:pPr>
          </w:p>
        </w:tc>
        <w:tc>
          <w:tcPr>
            <w:tcW w:w="1000" w:type="dxa"/>
            <w:shd w:val="clear" w:color="auto" w:fill="CCEDFF"/>
          </w:tcPr>
          <w:p>
            <w:pPr>
              <w:pStyle w:val="TableParagraph"/>
              <w:rPr>
                <w:sz w:val="18"/>
              </w:rPr>
            </w:pPr>
          </w:p>
        </w:tc>
      </w:tr>
      <w:tr>
        <w:trPr>
          <w:trHeight w:val="300" w:hRule="atLeast"/>
        </w:trPr>
        <w:tc>
          <w:tcPr>
            <w:tcW w:w="932" w:type="dxa"/>
          </w:tcPr>
          <w:p>
            <w:pPr>
              <w:pStyle w:val="TableParagraph"/>
              <w:spacing w:before="20"/>
              <w:ind w:left="50"/>
              <w:rPr>
                <w:sz w:val="20"/>
              </w:rPr>
            </w:pPr>
            <w:hyperlink w:history="true" w:anchor="_bookmark43">
              <w:r>
                <w:rPr>
                  <w:spacing w:val="-2"/>
                  <w:sz w:val="20"/>
                </w:rPr>
                <w:t>Signatures</w:t>
              </w:r>
            </w:hyperlink>
          </w:p>
        </w:tc>
        <w:tc>
          <w:tcPr>
            <w:tcW w:w="8228" w:type="dxa"/>
            <w:gridSpan w:val="2"/>
          </w:tcPr>
          <w:p>
            <w:pPr>
              <w:pStyle w:val="TableParagraph"/>
              <w:rPr>
                <w:sz w:val="18"/>
              </w:rPr>
            </w:pPr>
          </w:p>
        </w:tc>
        <w:tc>
          <w:tcPr>
            <w:tcW w:w="1000" w:type="dxa"/>
          </w:tcPr>
          <w:p>
            <w:pPr>
              <w:pStyle w:val="TableParagraph"/>
              <w:spacing w:before="20"/>
              <w:ind w:right="69"/>
              <w:jc w:val="right"/>
              <w:rPr>
                <w:sz w:val="20"/>
              </w:rPr>
            </w:pPr>
            <w:hyperlink w:history="true" w:anchor="_bookmark43">
              <w:r>
                <w:rPr>
                  <w:spacing w:val="-5"/>
                  <w:sz w:val="20"/>
                </w:rPr>
                <w:t>105</w:t>
              </w:r>
            </w:hyperlink>
          </w:p>
        </w:tc>
      </w:tr>
      <w:tr>
        <w:trPr>
          <w:trHeight w:val="300" w:hRule="atLeast"/>
        </w:trPr>
        <w:tc>
          <w:tcPr>
            <w:tcW w:w="10160" w:type="dxa"/>
            <w:gridSpan w:val="4"/>
            <w:shd w:val="clear" w:color="auto" w:fill="CCEDFF"/>
          </w:tcPr>
          <w:p>
            <w:pPr>
              <w:pStyle w:val="TableParagraph"/>
              <w:tabs>
                <w:tab w:pos="10089" w:val="right" w:leader="none"/>
              </w:tabs>
              <w:spacing w:before="20"/>
              <w:ind w:left="50"/>
              <w:rPr>
                <w:sz w:val="20"/>
              </w:rPr>
            </w:pPr>
            <w:hyperlink w:history="true" w:anchor="_bookmark44">
              <w:r>
                <w:rPr>
                  <w:sz w:val="20"/>
                </w:rPr>
                <w:t>Summary of</w:t>
              </w:r>
              <w:r>
                <w:rPr>
                  <w:spacing w:val="-4"/>
                  <w:sz w:val="20"/>
                </w:rPr>
                <w:t> </w:t>
              </w:r>
              <w:r>
                <w:rPr>
                  <w:spacing w:val="-2"/>
                  <w:sz w:val="20"/>
                </w:rPr>
                <w:t>Trademarks</w:t>
              </w:r>
            </w:hyperlink>
            <w:r>
              <w:rPr>
                <w:sz w:val="20"/>
              </w:rPr>
              <w:tab/>
            </w:r>
            <w:hyperlink w:history="true" w:anchor="_bookmark44">
              <w:r>
                <w:rPr>
                  <w:spacing w:val="-5"/>
                  <w:sz w:val="20"/>
                </w:rPr>
                <w:t>107</w:t>
              </w:r>
            </w:hyperlink>
          </w:p>
        </w:tc>
      </w:tr>
    </w:tbl>
    <w:p>
      <w:pPr>
        <w:spacing w:after="0"/>
        <w:rPr>
          <w:sz w:val="20"/>
        </w:rPr>
        <w:sectPr>
          <w:footerReference w:type="default" r:id="rId14"/>
          <w:pgSz w:w="12240" w:h="15840"/>
          <w:pgMar w:header="0" w:footer="610" w:top="800" w:bottom="800" w:left="780" w:right="740"/>
          <w:pgNumType w:start="2"/>
        </w:sectPr>
      </w:pPr>
    </w:p>
    <w:p>
      <w:pPr>
        <w:pStyle w:val="BodyText"/>
      </w:pPr>
    </w:p>
    <w:p>
      <w:pPr>
        <w:pStyle w:val="BodyText"/>
        <w:spacing w:before="157"/>
      </w:pPr>
    </w:p>
    <w:p>
      <w:pPr>
        <w:pStyle w:val="Heading2"/>
      </w:pPr>
      <w:bookmarkStart w:name="Part I" w:id="4"/>
      <w:bookmarkEnd w:id="4"/>
      <w:r>
        <w:rPr>
          <w:b w:val="0"/>
        </w:rPr>
      </w:r>
      <w:bookmarkStart w:name="Item 1. Business" w:id="5"/>
      <w:bookmarkEnd w:id="5"/>
      <w:r>
        <w:rPr>
          <w:b w:val="0"/>
        </w:rPr>
      </w:r>
      <w:bookmarkStart w:name="_bookmark1" w:id="6"/>
      <w:bookmarkEnd w:id="6"/>
      <w:r>
        <w:rPr>
          <w:b w:val="0"/>
        </w:rPr>
      </w:r>
      <w:r>
        <w:rPr/>
        <w:t>Forward-Looking </w:t>
      </w:r>
      <w:r>
        <w:rPr>
          <w:spacing w:val="-2"/>
        </w:rPr>
        <w:t>Statements</w:t>
      </w:r>
    </w:p>
    <w:p>
      <w:pPr>
        <w:spacing w:line="249" w:lineRule="auto" w:before="190"/>
        <w:ind w:left="220" w:right="257" w:firstLine="540"/>
        <w:jc w:val="both"/>
        <w:rPr>
          <w:i/>
          <w:sz w:val="20"/>
        </w:rPr>
      </w:pPr>
      <w:r>
        <w:rPr>
          <w:i/>
          <w:sz w:val="20"/>
        </w:rPr>
        <w:t>In addition to historical information, this Annual Report on Form</w:t>
      </w:r>
      <w:r>
        <w:rPr>
          <w:i/>
          <w:spacing w:val="-4"/>
          <w:sz w:val="20"/>
        </w:rPr>
        <w:t> </w:t>
      </w:r>
      <w:r>
        <w:rPr>
          <w:i/>
          <w:sz w:val="20"/>
        </w:rPr>
        <w:t>10-K contains forward-looking statements, including statements regarding product plans, future growth, market opportunities, strategic initiatives, industry positioning, customer acquisition</w:t>
      </w:r>
      <w:r>
        <w:rPr>
          <w:i/>
          <w:spacing w:val="-4"/>
          <w:sz w:val="20"/>
        </w:rPr>
        <w:t> </w:t>
      </w:r>
      <w:r>
        <w:rPr>
          <w:i/>
          <w:sz w:val="20"/>
        </w:rPr>
        <w:t>and</w:t>
      </w:r>
      <w:r>
        <w:rPr>
          <w:i/>
          <w:spacing w:val="-4"/>
          <w:sz w:val="20"/>
        </w:rPr>
        <w:t> </w:t>
      </w:r>
      <w:r>
        <w:rPr>
          <w:i/>
          <w:sz w:val="20"/>
        </w:rPr>
        <w:t>retention,</w:t>
      </w:r>
      <w:r>
        <w:rPr>
          <w:i/>
          <w:spacing w:val="-4"/>
          <w:sz w:val="20"/>
        </w:rPr>
        <w:t> </w:t>
      </w:r>
      <w:r>
        <w:rPr>
          <w:i/>
          <w:sz w:val="20"/>
        </w:rPr>
        <w:t>the</w:t>
      </w:r>
      <w:r>
        <w:rPr>
          <w:i/>
          <w:spacing w:val="-4"/>
          <w:sz w:val="20"/>
        </w:rPr>
        <w:t> </w:t>
      </w:r>
      <w:r>
        <w:rPr>
          <w:i/>
          <w:sz w:val="20"/>
        </w:rPr>
        <w:t>amount</w:t>
      </w:r>
      <w:r>
        <w:rPr>
          <w:i/>
          <w:spacing w:val="-4"/>
          <w:sz w:val="20"/>
        </w:rPr>
        <w:t> </w:t>
      </w:r>
      <w:r>
        <w:rPr>
          <w:i/>
          <w:sz w:val="20"/>
        </w:rPr>
        <w:t>of</w:t>
      </w:r>
      <w:r>
        <w:rPr>
          <w:i/>
          <w:spacing w:val="-4"/>
          <w:sz w:val="20"/>
        </w:rPr>
        <w:t> </w:t>
      </w:r>
      <w:r>
        <w:rPr>
          <w:i/>
          <w:sz w:val="20"/>
        </w:rPr>
        <w:t>recurring</w:t>
      </w:r>
      <w:r>
        <w:rPr>
          <w:i/>
          <w:spacing w:val="-4"/>
          <w:sz w:val="20"/>
        </w:rPr>
        <w:t> </w:t>
      </w:r>
      <w:r>
        <w:rPr>
          <w:i/>
          <w:sz w:val="20"/>
        </w:rPr>
        <w:t>revenue</w:t>
      </w:r>
      <w:r>
        <w:rPr>
          <w:i/>
          <w:spacing w:val="-4"/>
          <w:sz w:val="20"/>
        </w:rPr>
        <w:t> </w:t>
      </w:r>
      <w:r>
        <w:rPr>
          <w:i/>
          <w:sz w:val="20"/>
        </w:rPr>
        <w:t>and</w:t>
      </w:r>
      <w:r>
        <w:rPr>
          <w:i/>
          <w:spacing w:val="-4"/>
          <w:sz w:val="20"/>
        </w:rPr>
        <w:t> </w:t>
      </w:r>
      <w:r>
        <w:rPr>
          <w:i/>
          <w:sz w:val="20"/>
        </w:rPr>
        <w:t>revenue</w:t>
      </w:r>
      <w:r>
        <w:rPr>
          <w:i/>
          <w:spacing w:val="-4"/>
          <w:sz w:val="20"/>
        </w:rPr>
        <w:t> </w:t>
      </w:r>
      <w:r>
        <w:rPr>
          <w:i/>
          <w:sz w:val="20"/>
        </w:rPr>
        <w:t>growth.</w:t>
      </w:r>
      <w:r>
        <w:rPr>
          <w:i/>
          <w:spacing w:val="-4"/>
          <w:sz w:val="20"/>
        </w:rPr>
        <w:t> </w:t>
      </w:r>
      <w:r>
        <w:rPr>
          <w:i/>
          <w:sz w:val="20"/>
        </w:rPr>
        <w:t>In</w:t>
      </w:r>
      <w:r>
        <w:rPr>
          <w:i/>
          <w:spacing w:val="-4"/>
          <w:sz w:val="20"/>
        </w:rPr>
        <w:t> </w:t>
      </w:r>
      <w:r>
        <w:rPr>
          <w:i/>
          <w:sz w:val="20"/>
        </w:rPr>
        <w:t>addition,</w:t>
      </w:r>
      <w:r>
        <w:rPr>
          <w:i/>
          <w:spacing w:val="-4"/>
          <w:sz w:val="20"/>
        </w:rPr>
        <w:t> </w:t>
      </w:r>
      <w:r>
        <w:rPr>
          <w:i/>
          <w:sz w:val="20"/>
        </w:rPr>
        <w:t>when</w:t>
      </w:r>
      <w:r>
        <w:rPr>
          <w:i/>
          <w:spacing w:val="-4"/>
          <w:sz w:val="20"/>
        </w:rPr>
        <w:t> </w:t>
      </w:r>
      <w:r>
        <w:rPr>
          <w:i/>
          <w:sz w:val="20"/>
        </w:rPr>
        <w:t>used</w:t>
      </w:r>
      <w:r>
        <w:rPr>
          <w:i/>
          <w:spacing w:val="-4"/>
          <w:sz w:val="20"/>
        </w:rPr>
        <w:t> </w:t>
      </w:r>
      <w:r>
        <w:rPr>
          <w:i/>
          <w:sz w:val="20"/>
        </w:rPr>
        <w:t>in</w:t>
      </w:r>
      <w:r>
        <w:rPr>
          <w:i/>
          <w:spacing w:val="-4"/>
          <w:sz w:val="20"/>
        </w:rPr>
        <w:t> </w:t>
      </w:r>
      <w:r>
        <w:rPr>
          <w:i/>
          <w:sz w:val="20"/>
        </w:rPr>
        <w:t>this</w:t>
      </w:r>
      <w:r>
        <w:rPr>
          <w:i/>
          <w:spacing w:val="-4"/>
          <w:sz w:val="20"/>
        </w:rPr>
        <w:t> </w:t>
      </w:r>
      <w:r>
        <w:rPr>
          <w:i/>
          <w:sz w:val="20"/>
        </w:rPr>
        <w:t>report,</w:t>
      </w:r>
      <w:r>
        <w:rPr>
          <w:i/>
          <w:spacing w:val="-4"/>
          <w:sz w:val="20"/>
        </w:rPr>
        <w:t> </w:t>
      </w:r>
      <w:r>
        <w:rPr>
          <w:i/>
          <w:sz w:val="20"/>
        </w:rPr>
        <w:t>the</w:t>
      </w:r>
      <w:r>
        <w:rPr>
          <w:i/>
          <w:spacing w:val="-4"/>
          <w:sz w:val="20"/>
        </w:rPr>
        <w:t> </w:t>
      </w:r>
      <w:r>
        <w:rPr>
          <w:i/>
          <w:sz w:val="20"/>
        </w:rPr>
        <w:t>words “will,”</w:t>
      </w:r>
      <w:r>
        <w:rPr>
          <w:i/>
          <w:spacing w:val="-3"/>
          <w:sz w:val="20"/>
        </w:rPr>
        <w:t> </w:t>
      </w:r>
      <w:r>
        <w:rPr>
          <w:i/>
          <w:sz w:val="20"/>
        </w:rPr>
        <w:t>“expects,”</w:t>
      </w:r>
      <w:r>
        <w:rPr>
          <w:i/>
          <w:spacing w:val="-3"/>
          <w:sz w:val="20"/>
        </w:rPr>
        <w:t> </w:t>
      </w:r>
      <w:r>
        <w:rPr>
          <w:i/>
          <w:sz w:val="20"/>
        </w:rPr>
        <w:t>“could,”</w:t>
      </w:r>
      <w:r>
        <w:rPr>
          <w:i/>
          <w:spacing w:val="-3"/>
          <w:sz w:val="20"/>
        </w:rPr>
        <w:t> </w:t>
      </w:r>
      <w:r>
        <w:rPr>
          <w:i/>
          <w:sz w:val="20"/>
        </w:rPr>
        <w:t>“would,”</w:t>
      </w:r>
      <w:r>
        <w:rPr>
          <w:i/>
          <w:spacing w:val="-3"/>
          <w:sz w:val="20"/>
        </w:rPr>
        <w:t> </w:t>
      </w:r>
      <w:r>
        <w:rPr>
          <w:i/>
          <w:sz w:val="20"/>
        </w:rPr>
        <w:t>“may,”</w:t>
      </w:r>
      <w:r>
        <w:rPr>
          <w:i/>
          <w:spacing w:val="-3"/>
          <w:sz w:val="20"/>
        </w:rPr>
        <w:t> </w:t>
      </w:r>
      <w:r>
        <w:rPr>
          <w:i/>
          <w:sz w:val="20"/>
        </w:rPr>
        <w:t>“anticipates,”</w:t>
      </w:r>
      <w:r>
        <w:rPr>
          <w:i/>
          <w:spacing w:val="-2"/>
          <w:sz w:val="20"/>
        </w:rPr>
        <w:t> </w:t>
      </w:r>
      <w:r>
        <w:rPr>
          <w:i/>
          <w:sz w:val="20"/>
        </w:rPr>
        <w:t>“intends,”</w:t>
      </w:r>
      <w:r>
        <w:rPr>
          <w:i/>
          <w:spacing w:val="-2"/>
          <w:sz w:val="20"/>
        </w:rPr>
        <w:t> </w:t>
      </w:r>
      <w:r>
        <w:rPr>
          <w:i/>
          <w:sz w:val="20"/>
        </w:rPr>
        <w:t>“plans,”</w:t>
      </w:r>
      <w:r>
        <w:rPr>
          <w:i/>
          <w:spacing w:val="-3"/>
          <w:sz w:val="20"/>
        </w:rPr>
        <w:t> </w:t>
      </w:r>
      <w:r>
        <w:rPr>
          <w:i/>
          <w:sz w:val="20"/>
        </w:rPr>
        <w:t>“believes,”</w:t>
      </w:r>
      <w:r>
        <w:rPr>
          <w:i/>
          <w:spacing w:val="-2"/>
          <w:sz w:val="20"/>
        </w:rPr>
        <w:t> </w:t>
      </w:r>
      <w:r>
        <w:rPr>
          <w:i/>
          <w:sz w:val="20"/>
        </w:rPr>
        <w:t>“seeks,”</w:t>
      </w:r>
      <w:r>
        <w:rPr>
          <w:i/>
          <w:spacing w:val="-3"/>
          <w:sz w:val="20"/>
        </w:rPr>
        <w:t> </w:t>
      </w:r>
      <w:r>
        <w:rPr>
          <w:i/>
          <w:sz w:val="20"/>
        </w:rPr>
        <w:t>“targets,”</w:t>
      </w:r>
      <w:r>
        <w:rPr>
          <w:i/>
          <w:spacing w:val="-3"/>
          <w:sz w:val="20"/>
        </w:rPr>
        <w:t> </w:t>
      </w:r>
      <w:r>
        <w:rPr>
          <w:i/>
          <w:sz w:val="20"/>
        </w:rPr>
        <w:t>“estimates,” </w:t>
      </w:r>
      <w:r>
        <w:rPr>
          <w:i/>
          <w:spacing w:val="-2"/>
          <w:sz w:val="20"/>
        </w:rPr>
        <w:t>“looks</w:t>
      </w:r>
      <w:r>
        <w:rPr>
          <w:i/>
          <w:spacing w:val="-11"/>
          <w:sz w:val="20"/>
        </w:rPr>
        <w:t> </w:t>
      </w:r>
      <w:r>
        <w:rPr>
          <w:i/>
          <w:spacing w:val="-2"/>
          <w:sz w:val="20"/>
        </w:rPr>
        <w:t>for,”</w:t>
      </w:r>
      <w:r>
        <w:rPr>
          <w:i/>
          <w:spacing w:val="-10"/>
          <w:sz w:val="20"/>
        </w:rPr>
        <w:t> </w:t>
      </w:r>
      <w:r>
        <w:rPr>
          <w:i/>
          <w:spacing w:val="-2"/>
          <w:sz w:val="20"/>
        </w:rPr>
        <w:t>“looks</w:t>
      </w:r>
      <w:r>
        <w:rPr>
          <w:i/>
          <w:spacing w:val="-11"/>
          <w:sz w:val="20"/>
        </w:rPr>
        <w:t> </w:t>
      </w:r>
      <w:r>
        <w:rPr>
          <w:i/>
          <w:spacing w:val="-2"/>
          <w:sz w:val="20"/>
        </w:rPr>
        <w:t>to,”</w:t>
      </w:r>
      <w:r>
        <w:rPr>
          <w:i/>
          <w:spacing w:val="-10"/>
          <w:sz w:val="20"/>
        </w:rPr>
        <w:t> </w:t>
      </w:r>
      <w:r>
        <w:rPr>
          <w:i/>
          <w:spacing w:val="-2"/>
          <w:sz w:val="20"/>
        </w:rPr>
        <w:t>“continues”</w:t>
      </w:r>
      <w:r>
        <w:rPr>
          <w:i/>
          <w:spacing w:val="-11"/>
          <w:sz w:val="20"/>
        </w:rPr>
        <w:t> </w:t>
      </w:r>
      <w:r>
        <w:rPr>
          <w:i/>
          <w:spacing w:val="-2"/>
          <w:sz w:val="20"/>
        </w:rPr>
        <w:t>and</w:t>
      </w:r>
      <w:r>
        <w:rPr>
          <w:i/>
          <w:spacing w:val="-10"/>
          <w:sz w:val="20"/>
        </w:rPr>
        <w:t> </w:t>
      </w:r>
      <w:r>
        <w:rPr>
          <w:i/>
          <w:spacing w:val="-2"/>
          <w:sz w:val="20"/>
        </w:rPr>
        <w:t>similar</w:t>
      </w:r>
      <w:r>
        <w:rPr>
          <w:i/>
          <w:spacing w:val="-11"/>
          <w:sz w:val="20"/>
        </w:rPr>
        <w:t> </w:t>
      </w:r>
      <w:r>
        <w:rPr>
          <w:i/>
          <w:spacing w:val="-2"/>
          <w:sz w:val="20"/>
        </w:rPr>
        <w:t>expressions,</w:t>
      </w:r>
      <w:r>
        <w:rPr>
          <w:i/>
          <w:spacing w:val="-10"/>
          <w:sz w:val="20"/>
        </w:rPr>
        <w:t> </w:t>
      </w:r>
      <w:r>
        <w:rPr>
          <w:i/>
          <w:spacing w:val="-2"/>
          <w:sz w:val="20"/>
        </w:rPr>
        <w:t>as</w:t>
      </w:r>
      <w:r>
        <w:rPr>
          <w:i/>
          <w:spacing w:val="-11"/>
          <w:sz w:val="20"/>
        </w:rPr>
        <w:t> </w:t>
      </w:r>
      <w:r>
        <w:rPr>
          <w:i/>
          <w:spacing w:val="-2"/>
          <w:sz w:val="20"/>
        </w:rPr>
        <w:t>well</w:t>
      </w:r>
      <w:r>
        <w:rPr>
          <w:i/>
          <w:spacing w:val="-10"/>
          <w:sz w:val="20"/>
        </w:rPr>
        <w:t> </w:t>
      </w:r>
      <w:r>
        <w:rPr>
          <w:i/>
          <w:spacing w:val="-2"/>
          <w:sz w:val="20"/>
        </w:rPr>
        <w:t>as</w:t>
      </w:r>
      <w:r>
        <w:rPr>
          <w:i/>
          <w:spacing w:val="-11"/>
          <w:sz w:val="20"/>
        </w:rPr>
        <w:t> </w:t>
      </w:r>
      <w:r>
        <w:rPr>
          <w:i/>
          <w:spacing w:val="-2"/>
          <w:sz w:val="20"/>
        </w:rPr>
        <w:t>statements</w:t>
      </w:r>
      <w:r>
        <w:rPr>
          <w:i/>
          <w:spacing w:val="-10"/>
          <w:sz w:val="20"/>
        </w:rPr>
        <w:t> </w:t>
      </w:r>
      <w:r>
        <w:rPr>
          <w:i/>
          <w:spacing w:val="-2"/>
          <w:sz w:val="20"/>
        </w:rPr>
        <w:t>regarding</w:t>
      </w:r>
      <w:r>
        <w:rPr>
          <w:i/>
          <w:spacing w:val="-11"/>
          <w:sz w:val="20"/>
        </w:rPr>
        <w:t> </w:t>
      </w:r>
      <w:r>
        <w:rPr>
          <w:i/>
          <w:spacing w:val="-2"/>
          <w:sz w:val="20"/>
        </w:rPr>
        <w:t>our</w:t>
      </w:r>
      <w:r>
        <w:rPr>
          <w:i/>
          <w:spacing w:val="-10"/>
          <w:sz w:val="20"/>
        </w:rPr>
        <w:t> </w:t>
      </w:r>
      <w:r>
        <w:rPr>
          <w:i/>
          <w:spacing w:val="-2"/>
          <w:sz w:val="20"/>
        </w:rPr>
        <w:t>focus</w:t>
      </w:r>
      <w:r>
        <w:rPr>
          <w:i/>
          <w:spacing w:val="-11"/>
          <w:sz w:val="20"/>
        </w:rPr>
        <w:t> </w:t>
      </w:r>
      <w:r>
        <w:rPr>
          <w:i/>
          <w:spacing w:val="-2"/>
          <w:sz w:val="20"/>
        </w:rPr>
        <w:t>for</w:t>
      </w:r>
      <w:r>
        <w:rPr>
          <w:i/>
          <w:spacing w:val="-10"/>
          <w:sz w:val="20"/>
        </w:rPr>
        <w:t> </w:t>
      </w:r>
      <w:r>
        <w:rPr>
          <w:i/>
          <w:spacing w:val="-2"/>
          <w:sz w:val="20"/>
        </w:rPr>
        <w:t>the</w:t>
      </w:r>
      <w:r>
        <w:rPr>
          <w:i/>
          <w:spacing w:val="-11"/>
          <w:sz w:val="20"/>
        </w:rPr>
        <w:t> </w:t>
      </w:r>
      <w:r>
        <w:rPr>
          <w:i/>
          <w:spacing w:val="-2"/>
          <w:sz w:val="20"/>
        </w:rPr>
        <w:t>future,</w:t>
      </w:r>
      <w:r>
        <w:rPr>
          <w:i/>
          <w:spacing w:val="-10"/>
          <w:sz w:val="20"/>
        </w:rPr>
        <w:t> </w:t>
      </w:r>
      <w:r>
        <w:rPr>
          <w:i/>
          <w:spacing w:val="-2"/>
          <w:sz w:val="20"/>
        </w:rPr>
        <w:t>are</w:t>
      </w:r>
      <w:r>
        <w:rPr>
          <w:i/>
          <w:spacing w:val="-11"/>
          <w:sz w:val="20"/>
        </w:rPr>
        <w:t> </w:t>
      </w:r>
      <w:r>
        <w:rPr>
          <w:i/>
          <w:spacing w:val="-2"/>
          <w:sz w:val="20"/>
        </w:rPr>
        <w:t>generally </w:t>
      </w:r>
      <w:r>
        <w:rPr>
          <w:i/>
          <w:sz w:val="20"/>
        </w:rPr>
        <w:t>intended</w:t>
      </w:r>
      <w:r>
        <w:rPr>
          <w:i/>
          <w:spacing w:val="-11"/>
          <w:sz w:val="20"/>
        </w:rPr>
        <w:t> </w:t>
      </w:r>
      <w:r>
        <w:rPr>
          <w:i/>
          <w:sz w:val="20"/>
        </w:rPr>
        <w:t>to</w:t>
      </w:r>
      <w:r>
        <w:rPr>
          <w:i/>
          <w:spacing w:val="-11"/>
          <w:sz w:val="20"/>
        </w:rPr>
        <w:t> </w:t>
      </w:r>
      <w:r>
        <w:rPr>
          <w:i/>
          <w:sz w:val="20"/>
        </w:rPr>
        <w:t>identify</w:t>
      </w:r>
      <w:r>
        <w:rPr>
          <w:i/>
          <w:spacing w:val="-11"/>
          <w:sz w:val="20"/>
        </w:rPr>
        <w:t> </w:t>
      </w:r>
      <w:r>
        <w:rPr>
          <w:i/>
          <w:sz w:val="20"/>
        </w:rPr>
        <w:t>forward-looking</w:t>
      </w:r>
      <w:r>
        <w:rPr>
          <w:i/>
          <w:spacing w:val="-11"/>
          <w:sz w:val="20"/>
        </w:rPr>
        <w:t> </w:t>
      </w:r>
      <w:r>
        <w:rPr>
          <w:i/>
          <w:sz w:val="20"/>
        </w:rPr>
        <w:t>statements.</w:t>
      </w:r>
      <w:r>
        <w:rPr>
          <w:i/>
          <w:spacing w:val="-11"/>
          <w:sz w:val="20"/>
        </w:rPr>
        <w:t> </w:t>
      </w:r>
      <w:r>
        <w:rPr>
          <w:i/>
          <w:sz w:val="20"/>
        </w:rPr>
        <w:t>Each</w:t>
      </w:r>
      <w:r>
        <w:rPr>
          <w:i/>
          <w:spacing w:val="-11"/>
          <w:sz w:val="20"/>
        </w:rPr>
        <w:t> </w:t>
      </w:r>
      <w:r>
        <w:rPr>
          <w:i/>
          <w:sz w:val="20"/>
        </w:rPr>
        <w:t>of</w:t>
      </w:r>
      <w:r>
        <w:rPr>
          <w:i/>
          <w:spacing w:val="-11"/>
          <w:sz w:val="20"/>
        </w:rPr>
        <w:t> </w:t>
      </w:r>
      <w:r>
        <w:rPr>
          <w:i/>
          <w:sz w:val="20"/>
        </w:rPr>
        <w:t>the</w:t>
      </w:r>
      <w:r>
        <w:rPr>
          <w:i/>
          <w:spacing w:val="-11"/>
          <w:sz w:val="20"/>
        </w:rPr>
        <w:t> </w:t>
      </w:r>
      <w:r>
        <w:rPr>
          <w:i/>
          <w:sz w:val="20"/>
        </w:rPr>
        <w:t>forward-looking</w:t>
      </w:r>
      <w:r>
        <w:rPr>
          <w:i/>
          <w:spacing w:val="-11"/>
          <w:sz w:val="20"/>
        </w:rPr>
        <w:t> </w:t>
      </w:r>
      <w:r>
        <w:rPr>
          <w:i/>
          <w:sz w:val="20"/>
        </w:rPr>
        <w:t>statements</w:t>
      </w:r>
      <w:r>
        <w:rPr>
          <w:i/>
          <w:spacing w:val="-11"/>
          <w:sz w:val="20"/>
        </w:rPr>
        <w:t> </w:t>
      </w:r>
      <w:r>
        <w:rPr>
          <w:i/>
          <w:sz w:val="20"/>
        </w:rPr>
        <w:t>we</w:t>
      </w:r>
      <w:r>
        <w:rPr>
          <w:i/>
          <w:spacing w:val="-11"/>
          <w:sz w:val="20"/>
        </w:rPr>
        <w:t> </w:t>
      </w:r>
      <w:r>
        <w:rPr>
          <w:i/>
          <w:sz w:val="20"/>
        </w:rPr>
        <w:t>make</w:t>
      </w:r>
      <w:r>
        <w:rPr>
          <w:i/>
          <w:spacing w:val="-11"/>
          <w:sz w:val="20"/>
        </w:rPr>
        <w:t> </w:t>
      </w:r>
      <w:r>
        <w:rPr>
          <w:i/>
          <w:sz w:val="20"/>
        </w:rPr>
        <w:t>in</w:t>
      </w:r>
      <w:r>
        <w:rPr>
          <w:i/>
          <w:spacing w:val="-11"/>
          <w:sz w:val="20"/>
        </w:rPr>
        <w:t> </w:t>
      </w:r>
      <w:r>
        <w:rPr>
          <w:i/>
          <w:sz w:val="20"/>
        </w:rPr>
        <w:t>this</w:t>
      </w:r>
      <w:r>
        <w:rPr>
          <w:i/>
          <w:spacing w:val="-11"/>
          <w:sz w:val="20"/>
        </w:rPr>
        <w:t> </w:t>
      </w:r>
      <w:r>
        <w:rPr>
          <w:i/>
          <w:sz w:val="20"/>
        </w:rPr>
        <w:t>report</w:t>
      </w:r>
      <w:r>
        <w:rPr>
          <w:i/>
          <w:spacing w:val="-11"/>
          <w:sz w:val="20"/>
        </w:rPr>
        <w:t> </w:t>
      </w:r>
      <w:r>
        <w:rPr>
          <w:i/>
          <w:sz w:val="20"/>
        </w:rPr>
        <w:t>involves</w:t>
      </w:r>
      <w:r>
        <w:rPr>
          <w:i/>
          <w:spacing w:val="-11"/>
          <w:sz w:val="20"/>
        </w:rPr>
        <w:t> </w:t>
      </w:r>
      <w:r>
        <w:rPr>
          <w:i/>
          <w:sz w:val="20"/>
        </w:rPr>
        <w:t>risks</w:t>
      </w:r>
      <w:r>
        <w:rPr>
          <w:i/>
          <w:spacing w:val="-11"/>
          <w:sz w:val="20"/>
        </w:rPr>
        <w:t> </w:t>
      </w:r>
      <w:r>
        <w:rPr>
          <w:i/>
          <w:sz w:val="20"/>
        </w:rPr>
        <w:t>and uncertainties</w:t>
      </w:r>
      <w:r>
        <w:rPr>
          <w:i/>
          <w:spacing w:val="-9"/>
          <w:sz w:val="20"/>
        </w:rPr>
        <w:t> </w:t>
      </w:r>
      <w:r>
        <w:rPr>
          <w:i/>
          <w:sz w:val="20"/>
        </w:rPr>
        <w:t>that</w:t>
      </w:r>
      <w:r>
        <w:rPr>
          <w:i/>
          <w:spacing w:val="-9"/>
          <w:sz w:val="20"/>
        </w:rPr>
        <w:t> </w:t>
      </w:r>
      <w:r>
        <w:rPr>
          <w:i/>
          <w:sz w:val="20"/>
        </w:rPr>
        <w:t>could</w:t>
      </w:r>
      <w:r>
        <w:rPr>
          <w:i/>
          <w:spacing w:val="-9"/>
          <w:sz w:val="20"/>
        </w:rPr>
        <w:t> </w:t>
      </w:r>
      <w:r>
        <w:rPr>
          <w:i/>
          <w:sz w:val="20"/>
        </w:rPr>
        <w:t>cause</w:t>
      </w:r>
      <w:r>
        <w:rPr>
          <w:i/>
          <w:spacing w:val="-9"/>
          <w:sz w:val="20"/>
        </w:rPr>
        <w:t> </w:t>
      </w:r>
      <w:r>
        <w:rPr>
          <w:i/>
          <w:sz w:val="20"/>
        </w:rPr>
        <w:t>actual</w:t>
      </w:r>
      <w:r>
        <w:rPr>
          <w:i/>
          <w:spacing w:val="-9"/>
          <w:sz w:val="20"/>
        </w:rPr>
        <w:t> </w:t>
      </w:r>
      <w:r>
        <w:rPr>
          <w:i/>
          <w:sz w:val="20"/>
        </w:rPr>
        <w:t>results</w:t>
      </w:r>
      <w:r>
        <w:rPr>
          <w:i/>
          <w:spacing w:val="-9"/>
          <w:sz w:val="20"/>
        </w:rPr>
        <w:t> </w:t>
      </w:r>
      <w:r>
        <w:rPr>
          <w:i/>
          <w:sz w:val="20"/>
        </w:rPr>
        <w:t>to</w:t>
      </w:r>
      <w:r>
        <w:rPr>
          <w:i/>
          <w:spacing w:val="-9"/>
          <w:sz w:val="20"/>
        </w:rPr>
        <w:t> </w:t>
      </w:r>
      <w:r>
        <w:rPr>
          <w:i/>
          <w:sz w:val="20"/>
        </w:rPr>
        <w:t>differ</w:t>
      </w:r>
      <w:r>
        <w:rPr>
          <w:i/>
          <w:spacing w:val="-9"/>
          <w:sz w:val="20"/>
        </w:rPr>
        <w:t> </w:t>
      </w:r>
      <w:r>
        <w:rPr>
          <w:i/>
          <w:sz w:val="20"/>
        </w:rPr>
        <w:t>materially</w:t>
      </w:r>
      <w:r>
        <w:rPr>
          <w:i/>
          <w:spacing w:val="-9"/>
          <w:sz w:val="20"/>
        </w:rPr>
        <w:t> </w:t>
      </w:r>
      <w:r>
        <w:rPr>
          <w:i/>
          <w:sz w:val="20"/>
        </w:rPr>
        <w:t>from</w:t>
      </w:r>
      <w:r>
        <w:rPr>
          <w:i/>
          <w:spacing w:val="-9"/>
          <w:sz w:val="20"/>
        </w:rPr>
        <w:t> </w:t>
      </w:r>
      <w:r>
        <w:rPr>
          <w:i/>
          <w:sz w:val="20"/>
        </w:rPr>
        <w:t>these</w:t>
      </w:r>
      <w:r>
        <w:rPr>
          <w:i/>
          <w:spacing w:val="-9"/>
          <w:sz w:val="20"/>
        </w:rPr>
        <w:t> </w:t>
      </w:r>
      <w:r>
        <w:rPr>
          <w:i/>
          <w:sz w:val="20"/>
        </w:rPr>
        <w:t>forward-looking</w:t>
      </w:r>
      <w:r>
        <w:rPr>
          <w:i/>
          <w:spacing w:val="-9"/>
          <w:sz w:val="20"/>
        </w:rPr>
        <w:t> </w:t>
      </w:r>
      <w:r>
        <w:rPr>
          <w:i/>
          <w:sz w:val="20"/>
        </w:rPr>
        <w:t>statements.</w:t>
      </w:r>
      <w:r>
        <w:rPr>
          <w:i/>
          <w:spacing w:val="-9"/>
          <w:sz w:val="20"/>
        </w:rPr>
        <w:t> </w:t>
      </w:r>
      <w:r>
        <w:rPr>
          <w:i/>
          <w:sz w:val="20"/>
        </w:rPr>
        <w:t>Factors</w:t>
      </w:r>
      <w:r>
        <w:rPr>
          <w:i/>
          <w:spacing w:val="-9"/>
          <w:sz w:val="20"/>
        </w:rPr>
        <w:t> </w:t>
      </w:r>
      <w:r>
        <w:rPr>
          <w:i/>
          <w:sz w:val="20"/>
        </w:rPr>
        <w:t>that</w:t>
      </w:r>
      <w:r>
        <w:rPr>
          <w:i/>
          <w:spacing w:val="-9"/>
          <w:sz w:val="20"/>
        </w:rPr>
        <w:t> </w:t>
      </w:r>
      <w:r>
        <w:rPr>
          <w:i/>
          <w:sz w:val="20"/>
        </w:rPr>
        <w:t>might</w:t>
      </w:r>
      <w:r>
        <w:rPr>
          <w:i/>
          <w:spacing w:val="-9"/>
          <w:sz w:val="20"/>
        </w:rPr>
        <w:t> </w:t>
      </w:r>
      <w:r>
        <w:rPr>
          <w:i/>
          <w:sz w:val="20"/>
        </w:rPr>
        <w:t>cause or contribute to such differences include, but are not limited to, those discussed in the section entitled “Risk Factors” in Part I, Item</w:t>
      </w:r>
      <w:r>
        <w:rPr>
          <w:i/>
          <w:spacing w:val="-13"/>
          <w:sz w:val="20"/>
        </w:rPr>
        <w:t> </w:t>
      </w:r>
      <w:r>
        <w:rPr>
          <w:i/>
          <w:sz w:val="20"/>
        </w:rPr>
        <w:t>1A</w:t>
      </w:r>
      <w:r>
        <w:rPr>
          <w:i/>
          <w:spacing w:val="-12"/>
          <w:sz w:val="20"/>
        </w:rPr>
        <w:t> </w:t>
      </w:r>
      <w:r>
        <w:rPr>
          <w:i/>
          <w:sz w:val="20"/>
        </w:rPr>
        <w:t>of</w:t>
      </w:r>
      <w:r>
        <w:rPr>
          <w:i/>
          <w:spacing w:val="-13"/>
          <w:sz w:val="20"/>
        </w:rPr>
        <w:t> </w:t>
      </w:r>
      <w:r>
        <w:rPr>
          <w:i/>
          <w:sz w:val="20"/>
        </w:rPr>
        <w:t>this</w:t>
      </w:r>
      <w:r>
        <w:rPr>
          <w:i/>
          <w:spacing w:val="-12"/>
          <w:sz w:val="20"/>
        </w:rPr>
        <w:t> </w:t>
      </w:r>
      <w:r>
        <w:rPr>
          <w:i/>
          <w:sz w:val="20"/>
        </w:rPr>
        <w:t>report.</w:t>
      </w:r>
      <w:r>
        <w:rPr>
          <w:i/>
          <w:spacing w:val="-13"/>
          <w:sz w:val="20"/>
        </w:rPr>
        <w:t> </w:t>
      </w:r>
      <w:r>
        <w:rPr>
          <w:i/>
          <w:sz w:val="20"/>
        </w:rPr>
        <w:t>You</w:t>
      </w:r>
      <w:r>
        <w:rPr>
          <w:i/>
          <w:spacing w:val="-12"/>
          <w:sz w:val="20"/>
        </w:rPr>
        <w:t> </w:t>
      </w:r>
      <w:r>
        <w:rPr>
          <w:i/>
          <w:sz w:val="20"/>
        </w:rPr>
        <w:t>should</w:t>
      </w:r>
      <w:r>
        <w:rPr>
          <w:i/>
          <w:spacing w:val="-13"/>
          <w:sz w:val="20"/>
        </w:rPr>
        <w:t> </w:t>
      </w:r>
      <w:r>
        <w:rPr>
          <w:i/>
          <w:sz w:val="20"/>
        </w:rPr>
        <w:t>carefully</w:t>
      </w:r>
      <w:r>
        <w:rPr>
          <w:i/>
          <w:spacing w:val="-12"/>
          <w:sz w:val="20"/>
        </w:rPr>
        <w:t> </w:t>
      </w:r>
      <w:r>
        <w:rPr>
          <w:i/>
          <w:sz w:val="20"/>
        </w:rPr>
        <w:t>review</w:t>
      </w:r>
      <w:r>
        <w:rPr>
          <w:i/>
          <w:spacing w:val="-13"/>
          <w:sz w:val="20"/>
        </w:rPr>
        <w:t> </w:t>
      </w:r>
      <w:r>
        <w:rPr>
          <w:i/>
          <w:sz w:val="20"/>
        </w:rPr>
        <w:t>the</w:t>
      </w:r>
      <w:r>
        <w:rPr>
          <w:i/>
          <w:spacing w:val="-12"/>
          <w:sz w:val="20"/>
        </w:rPr>
        <w:t> </w:t>
      </w:r>
      <w:r>
        <w:rPr>
          <w:i/>
          <w:sz w:val="20"/>
        </w:rPr>
        <w:t>risks</w:t>
      </w:r>
      <w:r>
        <w:rPr>
          <w:i/>
          <w:spacing w:val="-13"/>
          <w:sz w:val="20"/>
        </w:rPr>
        <w:t> </w:t>
      </w:r>
      <w:r>
        <w:rPr>
          <w:i/>
          <w:sz w:val="20"/>
        </w:rPr>
        <w:t>described</w:t>
      </w:r>
      <w:r>
        <w:rPr>
          <w:i/>
          <w:spacing w:val="-12"/>
          <w:sz w:val="20"/>
        </w:rPr>
        <w:t> </w:t>
      </w:r>
      <w:r>
        <w:rPr>
          <w:i/>
          <w:sz w:val="20"/>
        </w:rPr>
        <w:t>herein</w:t>
      </w:r>
      <w:r>
        <w:rPr>
          <w:i/>
          <w:spacing w:val="-13"/>
          <w:sz w:val="20"/>
        </w:rPr>
        <w:t> </w:t>
      </w:r>
      <w:r>
        <w:rPr>
          <w:i/>
          <w:sz w:val="20"/>
        </w:rPr>
        <w:t>and</w:t>
      </w:r>
      <w:r>
        <w:rPr>
          <w:i/>
          <w:spacing w:val="-12"/>
          <w:sz w:val="20"/>
        </w:rPr>
        <w:t> </w:t>
      </w:r>
      <w:r>
        <w:rPr>
          <w:i/>
          <w:sz w:val="20"/>
        </w:rPr>
        <w:t>in</w:t>
      </w:r>
      <w:r>
        <w:rPr>
          <w:i/>
          <w:spacing w:val="-13"/>
          <w:sz w:val="20"/>
        </w:rPr>
        <w:t> </w:t>
      </w:r>
      <w:r>
        <w:rPr>
          <w:i/>
          <w:sz w:val="20"/>
        </w:rPr>
        <w:t>other</w:t>
      </w:r>
      <w:r>
        <w:rPr>
          <w:i/>
          <w:spacing w:val="-12"/>
          <w:sz w:val="20"/>
        </w:rPr>
        <w:t> </w:t>
      </w:r>
      <w:r>
        <w:rPr>
          <w:i/>
          <w:sz w:val="20"/>
        </w:rPr>
        <w:t>documents</w:t>
      </w:r>
      <w:r>
        <w:rPr>
          <w:i/>
          <w:spacing w:val="-13"/>
          <w:sz w:val="20"/>
        </w:rPr>
        <w:t> </w:t>
      </w:r>
      <w:r>
        <w:rPr>
          <w:i/>
          <w:sz w:val="20"/>
        </w:rPr>
        <w:t>we</w:t>
      </w:r>
      <w:r>
        <w:rPr>
          <w:i/>
          <w:spacing w:val="-12"/>
          <w:sz w:val="20"/>
        </w:rPr>
        <w:t> </w:t>
      </w:r>
      <w:r>
        <w:rPr>
          <w:i/>
          <w:sz w:val="20"/>
        </w:rPr>
        <w:t>file</w:t>
      </w:r>
      <w:r>
        <w:rPr>
          <w:i/>
          <w:spacing w:val="-13"/>
          <w:sz w:val="20"/>
        </w:rPr>
        <w:t> </w:t>
      </w:r>
      <w:r>
        <w:rPr>
          <w:i/>
          <w:sz w:val="20"/>
        </w:rPr>
        <w:t>from</w:t>
      </w:r>
      <w:r>
        <w:rPr>
          <w:i/>
          <w:spacing w:val="-12"/>
          <w:sz w:val="20"/>
        </w:rPr>
        <w:t> </w:t>
      </w:r>
      <w:r>
        <w:rPr>
          <w:i/>
          <w:sz w:val="20"/>
        </w:rPr>
        <w:t>time</w:t>
      </w:r>
      <w:r>
        <w:rPr>
          <w:i/>
          <w:spacing w:val="-13"/>
          <w:sz w:val="20"/>
        </w:rPr>
        <w:t> </w:t>
      </w:r>
      <w:r>
        <w:rPr>
          <w:i/>
          <w:sz w:val="20"/>
        </w:rPr>
        <w:t>to</w:t>
      </w:r>
      <w:r>
        <w:rPr>
          <w:i/>
          <w:spacing w:val="-12"/>
          <w:sz w:val="20"/>
        </w:rPr>
        <w:t> </w:t>
      </w:r>
      <w:r>
        <w:rPr>
          <w:i/>
          <w:sz w:val="20"/>
        </w:rPr>
        <w:t>time</w:t>
      </w:r>
      <w:r>
        <w:rPr>
          <w:i/>
          <w:spacing w:val="-13"/>
          <w:sz w:val="20"/>
        </w:rPr>
        <w:t> </w:t>
      </w:r>
      <w:r>
        <w:rPr>
          <w:i/>
          <w:sz w:val="20"/>
        </w:rPr>
        <w:t>with the</w:t>
      </w:r>
      <w:r>
        <w:rPr>
          <w:i/>
          <w:spacing w:val="-1"/>
          <w:sz w:val="20"/>
        </w:rPr>
        <w:t> </w:t>
      </w:r>
      <w:r>
        <w:rPr>
          <w:i/>
          <w:sz w:val="20"/>
        </w:rPr>
        <w:t>U.S.</w:t>
      </w:r>
      <w:r>
        <w:rPr>
          <w:i/>
          <w:spacing w:val="-1"/>
          <w:sz w:val="20"/>
        </w:rPr>
        <w:t> </w:t>
      </w:r>
      <w:r>
        <w:rPr>
          <w:i/>
          <w:sz w:val="20"/>
        </w:rPr>
        <w:t>Securities</w:t>
      </w:r>
      <w:r>
        <w:rPr>
          <w:i/>
          <w:spacing w:val="-1"/>
          <w:sz w:val="20"/>
        </w:rPr>
        <w:t> </w:t>
      </w:r>
      <w:r>
        <w:rPr>
          <w:i/>
          <w:sz w:val="20"/>
        </w:rPr>
        <w:t>and</w:t>
      </w:r>
      <w:r>
        <w:rPr>
          <w:i/>
          <w:spacing w:val="-1"/>
          <w:sz w:val="20"/>
        </w:rPr>
        <w:t> </w:t>
      </w:r>
      <w:r>
        <w:rPr>
          <w:i/>
          <w:sz w:val="20"/>
        </w:rPr>
        <w:t>Exchange</w:t>
      </w:r>
      <w:r>
        <w:rPr>
          <w:i/>
          <w:spacing w:val="-1"/>
          <w:sz w:val="20"/>
        </w:rPr>
        <w:t> </w:t>
      </w:r>
      <w:r>
        <w:rPr>
          <w:i/>
          <w:sz w:val="20"/>
        </w:rPr>
        <w:t>Commission</w:t>
      </w:r>
      <w:r>
        <w:rPr>
          <w:i/>
          <w:spacing w:val="-1"/>
          <w:sz w:val="20"/>
        </w:rPr>
        <w:t> </w:t>
      </w:r>
      <w:r>
        <w:rPr>
          <w:i/>
          <w:sz w:val="20"/>
        </w:rPr>
        <w:t>(the</w:t>
      </w:r>
      <w:r>
        <w:rPr>
          <w:i/>
          <w:spacing w:val="-1"/>
          <w:sz w:val="20"/>
        </w:rPr>
        <w:t> </w:t>
      </w:r>
      <w:r>
        <w:rPr>
          <w:i/>
          <w:sz w:val="20"/>
        </w:rPr>
        <w:t>“SEC”),</w:t>
      </w:r>
      <w:r>
        <w:rPr>
          <w:i/>
          <w:spacing w:val="-1"/>
          <w:sz w:val="20"/>
        </w:rPr>
        <w:t> </w:t>
      </w:r>
      <w:r>
        <w:rPr>
          <w:i/>
          <w:sz w:val="20"/>
        </w:rPr>
        <w:t>including</w:t>
      </w:r>
      <w:r>
        <w:rPr>
          <w:i/>
          <w:spacing w:val="-1"/>
          <w:sz w:val="20"/>
        </w:rPr>
        <w:t> </w:t>
      </w:r>
      <w:r>
        <w:rPr>
          <w:i/>
          <w:sz w:val="20"/>
        </w:rPr>
        <w:t>our</w:t>
      </w:r>
      <w:r>
        <w:rPr>
          <w:i/>
          <w:spacing w:val="-1"/>
          <w:sz w:val="20"/>
        </w:rPr>
        <w:t> </w:t>
      </w:r>
      <w:r>
        <w:rPr>
          <w:i/>
          <w:sz w:val="20"/>
        </w:rPr>
        <w:t>Quarterly</w:t>
      </w:r>
      <w:r>
        <w:rPr>
          <w:i/>
          <w:spacing w:val="-2"/>
          <w:sz w:val="20"/>
        </w:rPr>
        <w:t> </w:t>
      </w:r>
      <w:r>
        <w:rPr>
          <w:i/>
          <w:sz w:val="20"/>
        </w:rPr>
        <w:t>Reports</w:t>
      </w:r>
      <w:r>
        <w:rPr>
          <w:i/>
          <w:spacing w:val="-1"/>
          <w:sz w:val="20"/>
        </w:rPr>
        <w:t> </w:t>
      </w:r>
      <w:r>
        <w:rPr>
          <w:i/>
          <w:sz w:val="20"/>
        </w:rPr>
        <w:t>on</w:t>
      </w:r>
      <w:r>
        <w:rPr>
          <w:i/>
          <w:spacing w:val="-1"/>
          <w:sz w:val="20"/>
        </w:rPr>
        <w:t> </w:t>
      </w:r>
      <w:r>
        <w:rPr>
          <w:i/>
          <w:sz w:val="20"/>
        </w:rPr>
        <w:t>Form</w:t>
      </w:r>
      <w:r>
        <w:rPr>
          <w:i/>
          <w:spacing w:val="-3"/>
          <w:sz w:val="20"/>
        </w:rPr>
        <w:t> </w:t>
      </w:r>
      <w:r>
        <w:rPr>
          <w:i/>
          <w:sz w:val="20"/>
        </w:rPr>
        <w:t>10-Q</w:t>
      </w:r>
      <w:r>
        <w:rPr>
          <w:i/>
          <w:spacing w:val="-1"/>
          <w:sz w:val="20"/>
        </w:rPr>
        <w:t> </w:t>
      </w:r>
      <w:r>
        <w:rPr>
          <w:i/>
          <w:sz w:val="20"/>
        </w:rPr>
        <w:t>to</w:t>
      </w:r>
      <w:r>
        <w:rPr>
          <w:i/>
          <w:spacing w:val="-1"/>
          <w:sz w:val="20"/>
        </w:rPr>
        <w:t> </w:t>
      </w:r>
      <w:r>
        <w:rPr>
          <w:i/>
          <w:sz w:val="20"/>
        </w:rPr>
        <w:t>be</w:t>
      </w:r>
      <w:r>
        <w:rPr>
          <w:i/>
          <w:spacing w:val="-1"/>
          <w:sz w:val="20"/>
        </w:rPr>
        <w:t> </w:t>
      </w:r>
      <w:r>
        <w:rPr>
          <w:i/>
          <w:sz w:val="20"/>
        </w:rPr>
        <w:t>filed</w:t>
      </w:r>
      <w:r>
        <w:rPr>
          <w:i/>
          <w:spacing w:val="-1"/>
          <w:sz w:val="20"/>
        </w:rPr>
        <w:t> </w:t>
      </w:r>
      <w:r>
        <w:rPr>
          <w:i/>
          <w:sz w:val="20"/>
        </w:rPr>
        <w:t>in</w:t>
      </w:r>
      <w:r>
        <w:rPr>
          <w:i/>
          <w:spacing w:val="-1"/>
          <w:sz w:val="20"/>
        </w:rPr>
        <w:t> </w:t>
      </w:r>
      <w:r>
        <w:rPr>
          <w:i/>
          <w:sz w:val="20"/>
        </w:rPr>
        <w:t>2018. You</w:t>
      </w:r>
      <w:r>
        <w:rPr>
          <w:i/>
          <w:spacing w:val="-2"/>
          <w:sz w:val="20"/>
        </w:rPr>
        <w:t> </w:t>
      </w:r>
      <w:r>
        <w:rPr>
          <w:i/>
          <w:sz w:val="20"/>
        </w:rPr>
        <w:t>should</w:t>
      </w:r>
      <w:r>
        <w:rPr>
          <w:i/>
          <w:spacing w:val="-3"/>
          <w:sz w:val="20"/>
        </w:rPr>
        <w:t> </w:t>
      </w:r>
      <w:r>
        <w:rPr>
          <w:i/>
          <w:sz w:val="20"/>
        </w:rPr>
        <w:t>not</w:t>
      </w:r>
      <w:r>
        <w:rPr>
          <w:i/>
          <w:spacing w:val="-3"/>
          <w:sz w:val="20"/>
        </w:rPr>
        <w:t> </w:t>
      </w:r>
      <w:r>
        <w:rPr>
          <w:i/>
          <w:sz w:val="20"/>
        </w:rPr>
        <w:t>place</w:t>
      </w:r>
      <w:r>
        <w:rPr>
          <w:i/>
          <w:spacing w:val="-3"/>
          <w:sz w:val="20"/>
        </w:rPr>
        <w:t> </w:t>
      </w:r>
      <w:r>
        <w:rPr>
          <w:i/>
          <w:sz w:val="20"/>
        </w:rPr>
        <w:t>undue</w:t>
      </w:r>
      <w:r>
        <w:rPr>
          <w:i/>
          <w:spacing w:val="-3"/>
          <w:sz w:val="20"/>
        </w:rPr>
        <w:t> </w:t>
      </w:r>
      <w:r>
        <w:rPr>
          <w:i/>
          <w:sz w:val="20"/>
        </w:rPr>
        <w:t>reliance</w:t>
      </w:r>
      <w:r>
        <w:rPr>
          <w:i/>
          <w:spacing w:val="-3"/>
          <w:sz w:val="20"/>
        </w:rPr>
        <w:t> </w:t>
      </w:r>
      <w:r>
        <w:rPr>
          <w:i/>
          <w:sz w:val="20"/>
        </w:rPr>
        <w:t>on</w:t>
      </w:r>
      <w:r>
        <w:rPr>
          <w:i/>
          <w:spacing w:val="-3"/>
          <w:sz w:val="20"/>
        </w:rPr>
        <w:t> </w:t>
      </w:r>
      <w:r>
        <w:rPr>
          <w:i/>
          <w:sz w:val="20"/>
        </w:rPr>
        <w:t>these</w:t>
      </w:r>
      <w:r>
        <w:rPr>
          <w:i/>
          <w:spacing w:val="-3"/>
          <w:sz w:val="20"/>
        </w:rPr>
        <w:t> </w:t>
      </w:r>
      <w:r>
        <w:rPr>
          <w:i/>
          <w:sz w:val="20"/>
        </w:rPr>
        <w:t>forward-looking</w:t>
      </w:r>
      <w:r>
        <w:rPr>
          <w:i/>
          <w:spacing w:val="-3"/>
          <w:sz w:val="20"/>
        </w:rPr>
        <w:t> </w:t>
      </w:r>
      <w:r>
        <w:rPr>
          <w:i/>
          <w:sz w:val="20"/>
        </w:rPr>
        <w:t>statements,</w:t>
      </w:r>
      <w:r>
        <w:rPr>
          <w:i/>
          <w:spacing w:val="-3"/>
          <w:sz w:val="20"/>
        </w:rPr>
        <w:t> </w:t>
      </w:r>
      <w:r>
        <w:rPr>
          <w:i/>
          <w:sz w:val="20"/>
        </w:rPr>
        <w:t>which</w:t>
      </w:r>
      <w:r>
        <w:rPr>
          <w:i/>
          <w:spacing w:val="-3"/>
          <w:sz w:val="20"/>
        </w:rPr>
        <w:t> </w:t>
      </w:r>
      <w:r>
        <w:rPr>
          <w:i/>
          <w:sz w:val="20"/>
        </w:rPr>
        <w:t>speak</w:t>
      </w:r>
      <w:r>
        <w:rPr>
          <w:i/>
          <w:spacing w:val="-3"/>
          <w:sz w:val="20"/>
        </w:rPr>
        <w:t> </w:t>
      </w:r>
      <w:r>
        <w:rPr>
          <w:i/>
          <w:sz w:val="20"/>
        </w:rPr>
        <w:t>only</w:t>
      </w:r>
      <w:r>
        <w:rPr>
          <w:i/>
          <w:spacing w:val="-3"/>
          <w:sz w:val="20"/>
        </w:rPr>
        <w:t> </w:t>
      </w:r>
      <w:r>
        <w:rPr>
          <w:i/>
          <w:sz w:val="20"/>
        </w:rPr>
        <w:t>as</w:t>
      </w:r>
      <w:r>
        <w:rPr>
          <w:i/>
          <w:spacing w:val="-3"/>
          <w:sz w:val="20"/>
        </w:rPr>
        <w:t> </w:t>
      </w:r>
      <w:r>
        <w:rPr>
          <w:i/>
          <w:sz w:val="20"/>
        </w:rPr>
        <w:t>of</w:t>
      </w:r>
      <w:r>
        <w:rPr>
          <w:i/>
          <w:spacing w:val="-3"/>
          <w:sz w:val="20"/>
        </w:rPr>
        <w:t> </w:t>
      </w:r>
      <w:r>
        <w:rPr>
          <w:i/>
          <w:sz w:val="20"/>
        </w:rPr>
        <w:t>the</w:t>
      </w:r>
      <w:r>
        <w:rPr>
          <w:i/>
          <w:spacing w:val="-3"/>
          <w:sz w:val="20"/>
        </w:rPr>
        <w:t> </w:t>
      </w:r>
      <w:r>
        <w:rPr>
          <w:i/>
          <w:sz w:val="20"/>
        </w:rPr>
        <w:t>date</w:t>
      </w:r>
      <w:r>
        <w:rPr>
          <w:i/>
          <w:spacing w:val="-3"/>
          <w:sz w:val="20"/>
        </w:rPr>
        <w:t> </w:t>
      </w:r>
      <w:r>
        <w:rPr>
          <w:i/>
          <w:sz w:val="20"/>
        </w:rPr>
        <w:t>of</w:t>
      </w:r>
      <w:r>
        <w:rPr>
          <w:i/>
          <w:spacing w:val="-3"/>
          <w:sz w:val="20"/>
        </w:rPr>
        <w:t> </w:t>
      </w:r>
      <w:r>
        <w:rPr>
          <w:i/>
          <w:sz w:val="20"/>
        </w:rPr>
        <w:t>this</w:t>
      </w:r>
      <w:r>
        <w:rPr>
          <w:i/>
          <w:spacing w:val="-6"/>
          <w:sz w:val="20"/>
        </w:rPr>
        <w:t> </w:t>
      </w:r>
      <w:r>
        <w:rPr>
          <w:i/>
          <w:sz w:val="20"/>
        </w:rPr>
        <w:t>Annual</w:t>
      </w:r>
      <w:r>
        <w:rPr>
          <w:i/>
          <w:spacing w:val="-3"/>
          <w:sz w:val="20"/>
        </w:rPr>
        <w:t> </w:t>
      </w:r>
      <w:r>
        <w:rPr>
          <w:i/>
          <w:sz w:val="20"/>
        </w:rPr>
        <w:t>Report on Form</w:t>
      </w:r>
      <w:r>
        <w:rPr>
          <w:i/>
          <w:spacing w:val="-5"/>
          <w:sz w:val="20"/>
        </w:rPr>
        <w:t> </w:t>
      </w:r>
      <w:r>
        <w:rPr>
          <w:i/>
          <w:sz w:val="20"/>
        </w:rPr>
        <w:t>10-K. We undertake</w:t>
      </w:r>
      <w:r>
        <w:rPr>
          <w:i/>
          <w:spacing w:val="-1"/>
          <w:sz w:val="20"/>
        </w:rPr>
        <w:t> </w:t>
      </w:r>
      <w:r>
        <w:rPr>
          <w:i/>
          <w:sz w:val="20"/>
        </w:rPr>
        <w:t>no obligation</w:t>
      </w:r>
      <w:r>
        <w:rPr>
          <w:i/>
          <w:spacing w:val="-1"/>
          <w:sz w:val="20"/>
        </w:rPr>
        <w:t> </w:t>
      </w:r>
      <w:r>
        <w:rPr>
          <w:i/>
          <w:sz w:val="20"/>
        </w:rPr>
        <w:t>to publicly</w:t>
      </w:r>
      <w:r>
        <w:rPr>
          <w:i/>
          <w:spacing w:val="-1"/>
          <w:sz w:val="20"/>
        </w:rPr>
        <w:t> </w:t>
      </w:r>
      <w:r>
        <w:rPr>
          <w:i/>
          <w:sz w:val="20"/>
        </w:rPr>
        <w:t>release</w:t>
      </w:r>
      <w:r>
        <w:rPr>
          <w:i/>
          <w:spacing w:val="-1"/>
          <w:sz w:val="20"/>
        </w:rPr>
        <w:t> </w:t>
      </w:r>
      <w:r>
        <w:rPr>
          <w:i/>
          <w:sz w:val="20"/>
        </w:rPr>
        <w:t>any</w:t>
      </w:r>
      <w:r>
        <w:rPr>
          <w:i/>
          <w:spacing w:val="-1"/>
          <w:sz w:val="20"/>
        </w:rPr>
        <w:t> </w:t>
      </w:r>
      <w:r>
        <w:rPr>
          <w:i/>
          <w:sz w:val="20"/>
        </w:rPr>
        <w:t>revisions to the</w:t>
      </w:r>
      <w:r>
        <w:rPr>
          <w:i/>
          <w:spacing w:val="-1"/>
          <w:sz w:val="20"/>
        </w:rPr>
        <w:t> </w:t>
      </w:r>
      <w:r>
        <w:rPr>
          <w:i/>
          <w:sz w:val="20"/>
        </w:rPr>
        <w:t>forward-looking statements or reflect</w:t>
      </w:r>
      <w:r>
        <w:rPr>
          <w:i/>
          <w:spacing w:val="-1"/>
          <w:sz w:val="20"/>
        </w:rPr>
        <w:t> </w:t>
      </w:r>
      <w:r>
        <w:rPr>
          <w:i/>
          <w:sz w:val="20"/>
        </w:rPr>
        <w:t>events or circumstances after the date of this document, except as required by law.</w:t>
      </w:r>
    </w:p>
    <w:p>
      <w:pPr>
        <w:pStyle w:val="BodyText"/>
        <w:spacing w:before="20"/>
        <w:rPr>
          <w:i/>
        </w:rPr>
      </w:pPr>
    </w:p>
    <w:p>
      <w:pPr>
        <w:pStyle w:val="Heading1"/>
      </w:pPr>
      <w:r>
        <w:rPr>
          <w:spacing w:val="-7"/>
        </w:rPr>
        <w:t>PART</w:t>
      </w:r>
      <w:r>
        <w:rPr>
          <w:spacing w:val="-2"/>
        </w:rPr>
        <w:t> </w:t>
      </w:r>
      <w:r>
        <w:rPr>
          <w:spacing w:val="-12"/>
        </w:rPr>
        <w:t>I</w:t>
      </w:r>
    </w:p>
    <w:p>
      <w:pPr>
        <w:spacing w:before="190"/>
        <w:ind w:left="220" w:right="0" w:firstLine="0"/>
        <w:jc w:val="left"/>
        <w:rPr>
          <w:b/>
          <w:sz w:val="20"/>
        </w:rPr>
      </w:pPr>
      <w:r>
        <w:rPr>
          <w:b/>
          <w:sz w:val="20"/>
        </w:rPr>
        <w:t>ITEM 1.</w:t>
      </w:r>
      <w:r>
        <w:rPr>
          <w:b/>
          <w:spacing w:val="50"/>
          <w:sz w:val="20"/>
        </w:rPr>
        <w:t> </w:t>
      </w:r>
      <w:r>
        <w:rPr>
          <w:b/>
          <w:spacing w:val="-2"/>
          <w:sz w:val="20"/>
        </w:rPr>
        <w:t>BUSINESS</w:t>
      </w:r>
    </w:p>
    <w:p>
      <w:pPr>
        <w:pStyle w:val="BodyText"/>
        <w:spacing w:line="249" w:lineRule="auto" w:before="191"/>
        <w:ind w:left="220" w:right="257" w:firstLine="540"/>
        <w:jc w:val="both"/>
        <w:rPr>
          <w:i/>
        </w:rPr>
      </w:pPr>
      <w:r>
        <w:rPr/>
        <w:t>Founded</w:t>
      </w:r>
      <w:r>
        <w:rPr>
          <w:spacing w:val="-10"/>
        </w:rPr>
        <w:t> </w:t>
      </w:r>
      <w:r>
        <w:rPr/>
        <w:t>in</w:t>
      </w:r>
      <w:r>
        <w:rPr>
          <w:spacing w:val="-7"/>
        </w:rPr>
        <w:t> </w:t>
      </w:r>
      <w:r>
        <w:rPr/>
        <w:t>1982,</w:t>
      </w:r>
      <w:r>
        <w:rPr>
          <w:spacing w:val="-13"/>
        </w:rPr>
        <w:t> </w:t>
      </w:r>
      <w:r>
        <w:rPr/>
        <w:t>Adobe</w:t>
      </w:r>
      <w:r>
        <w:rPr>
          <w:spacing w:val="-7"/>
        </w:rPr>
        <w:t> </w:t>
      </w:r>
      <w:r>
        <w:rPr/>
        <w:t>Systems</w:t>
      </w:r>
      <w:r>
        <w:rPr>
          <w:spacing w:val="-6"/>
        </w:rPr>
        <w:t> </w:t>
      </w:r>
      <w:r>
        <w:rPr/>
        <w:t>Incorporated</w:t>
      </w:r>
      <w:r>
        <w:rPr>
          <w:spacing w:val="-7"/>
        </w:rPr>
        <w:t> </w:t>
      </w:r>
      <w:r>
        <w:rPr/>
        <w:t>is</w:t>
      </w:r>
      <w:r>
        <w:rPr>
          <w:spacing w:val="-6"/>
        </w:rPr>
        <w:t> </w:t>
      </w:r>
      <w:r>
        <w:rPr/>
        <w:t>one</w:t>
      </w:r>
      <w:r>
        <w:rPr>
          <w:spacing w:val="-7"/>
        </w:rPr>
        <w:t> </w:t>
      </w:r>
      <w:r>
        <w:rPr/>
        <w:t>of</w:t>
      </w:r>
      <w:r>
        <w:rPr>
          <w:spacing w:val="-6"/>
        </w:rPr>
        <w:t> </w:t>
      </w:r>
      <w:r>
        <w:rPr/>
        <w:t>the</w:t>
      </w:r>
      <w:r>
        <w:rPr>
          <w:spacing w:val="-7"/>
        </w:rPr>
        <w:t> </w:t>
      </w:r>
      <w:r>
        <w:rPr/>
        <w:t>largest</w:t>
      </w:r>
      <w:r>
        <w:rPr>
          <w:spacing w:val="-7"/>
        </w:rPr>
        <w:t> </w:t>
      </w:r>
      <w:r>
        <w:rPr/>
        <w:t>and</w:t>
      </w:r>
      <w:r>
        <w:rPr>
          <w:spacing w:val="-7"/>
        </w:rPr>
        <w:t> </w:t>
      </w:r>
      <w:r>
        <w:rPr/>
        <w:t>most</w:t>
      </w:r>
      <w:r>
        <w:rPr>
          <w:spacing w:val="-7"/>
        </w:rPr>
        <w:t> </w:t>
      </w:r>
      <w:r>
        <w:rPr/>
        <w:t>diversified</w:t>
      </w:r>
      <w:r>
        <w:rPr>
          <w:spacing w:val="-7"/>
        </w:rPr>
        <w:t> </w:t>
      </w:r>
      <w:r>
        <w:rPr/>
        <w:t>software</w:t>
      </w:r>
      <w:r>
        <w:rPr>
          <w:spacing w:val="-7"/>
        </w:rPr>
        <w:t> </w:t>
      </w:r>
      <w:r>
        <w:rPr/>
        <w:t>companies</w:t>
      </w:r>
      <w:r>
        <w:rPr>
          <w:spacing w:val="-6"/>
        </w:rPr>
        <w:t> </w:t>
      </w:r>
      <w:r>
        <w:rPr/>
        <w:t>in</w:t>
      </w:r>
      <w:r>
        <w:rPr>
          <w:spacing w:val="-7"/>
        </w:rPr>
        <w:t> </w:t>
      </w:r>
      <w:r>
        <w:rPr/>
        <w:t>the</w:t>
      </w:r>
      <w:r>
        <w:rPr>
          <w:spacing w:val="-6"/>
        </w:rPr>
        <w:t> </w:t>
      </w:r>
      <w:r>
        <w:rPr/>
        <w:t>world. We offer a line of products and services used by creative professionals, marketers, knowledge workers, application developers, enterprises</w:t>
      </w:r>
      <w:r>
        <w:rPr>
          <w:spacing w:val="-3"/>
        </w:rPr>
        <w:t> </w:t>
      </w:r>
      <w:r>
        <w:rPr/>
        <w:t>and</w:t>
      </w:r>
      <w:r>
        <w:rPr>
          <w:spacing w:val="-3"/>
        </w:rPr>
        <w:t> </w:t>
      </w:r>
      <w:r>
        <w:rPr/>
        <w:t>consumers</w:t>
      </w:r>
      <w:r>
        <w:rPr>
          <w:spacing w:val="-3"/>
        </w:rPr>
        <w:t> </w:t>
      </w:r>
      <w:r>
        <w:rPr/>
        <w:t>for</w:t>
      </w:r>
      <w:r>
        <w:rPr>
          <w:spacing w:val="-3"/>
        </w:rPr>
        <w:t> </w:t>
      </w:r>
      <w:r>
        <w:rPr/>
        <w:t>creating,</w:t>
      </w:r>
      <w:r>
        <w:rPr>
          <w:spacing w:val="-3"/>
        </w:rPr>
        <w:t> </w:t>
      </w:r>
      <w:r>
        <w:rPr/>
        <w:t>managing,</w:t>
      </w:r>
      <w:r>
        <w:rPr>
          <w:spacing w:val="-3"/>
        </w:rPr>
        <w:t> </w:t>
      </w:r>
      <w:r>
        <w:rPr/>
        <w:t>delivering,</w:t>
      </w:r>
      <w:r>
        <w:rPr>
          <w:spacing w:val="-3"/>
        </w:rPr>
        <w:t> </w:t>
      </w:r>
      <w:r>
        <w:rPr/>
        <w:t>measuring,</w:t>
      </w:r>
      <w:r>
        <w:rPr>
          <w:spacing w:val="-3"/>
        </w:rPr>
        <w:t> </w:t>
      </w:r>
      <w:r>
        <w:rPr/>
        <w:t>optimizing</w:t>
      </w:r>
      <w:r>
        <w:rPr>
          <w:spacing w:val="-3"/>
        </w:rPr>
        <w:t> </w:t>
      </w:r>
      <w:r>
        <w:rPr/>
        <w:t>and</w:t>
      </w:r>
      <w:r>
        <w:rPr>
          <w:spacing w:val="-3"/>
        </w:rPr>
        <w:t> </w:t>
      </w:r>
      <w:r>
        <w:rPr/>
        <w:t>engaging</w:t>
      </w:r>
      <w:r>
        <w:rPr>
          <w:spacing w:val="-3"/>
        </w:rPr>
        <w:t> </w:t>
      </w:r>
      <w:r>
        <w:rPr/>
        <w:t>with</w:t>
      </w:r>
      <w:r>
        <w:rPr>
          <w:spacing w:val="-3"/>
        </w:rPr>
        <w:t> </w:t>
      </w:r>
      <w:r>
        <w:rPr/>
        <w:t>compelling</w:t>
      </w:r>
      <w:r>
        <w:rPr>
          <w:spacing w:val="-3"/>
        </w:rPr>
        <w:t> </w:t>
      </w:r>
      <w:r>
        <w:rPr/>
        <w:t>content</w:t>
      </w:r>
      <w:r>
        <w:rPr>
          <w:spacing w:val="-3"/>
        </w:rPr>
        <w:t> </w:t>
      </w:r>
      <w:r>
        <w:rPr/>
        <w:t>and experiences</w:t>
      </w:r>
      <w:r>
        <w:rPr>
          <w:spacing w:val="-8"/>
        </w:rPr>
        <w:t> </w:t>
      </w:r>
      <w:r>
        <w:rPr/>
        <w:t>across</w:t>
      </w:r>
      <w:r>
        <w:rPr>
          <w:spacing w:val="-8"/>
        </w:rPr>
        <w:t> </w:t>
      </w:r>
      <w:r>
        <w:rPr/>
        <w:t>personal</w:t>
      </w:r>
      <w:r>
        <w:rPr>
          <w:spacing w:val="-8"/>
        </w:rPr>
        <w:t> </w:t>
      </w:r>
      <w:r>
        <w:rPr/>
        <w:t>computers,</w:t>
      </w:r>
      <w:r>
        <w:rPr>
          <w:spacing w:val="-8"/>
        </w:rPr>
        <w:t> </w:t>
      </w:r>
      <w:r>
        <w:rPr/>
        <w:t>devices</w:t>
      </w:r>
      <w:r>
        <w:rPr>
          <w:spacing w:val="-8"/>
        </w:rPr>
        <w:t> </w:t>
      </w:r>
      <w:r>
        <w:rPr/>
        <w:t>and</w:t>
      </w:r>
      <w:r>
        <w:rPr>
          <w:spacing w:val="-8"/>
        </w:rPr>
        <w:t> </w:t>
      </w:r>
      <w:r>
        <w:rPr/>
        <w:t>media.</w:t>
      </w:r>
      <w:r>
        <w:rPr>
          <w:spacing w:val="-10"/>
        </w:rPr>
        <w:t> </w:t>
      </w:r>
      <w:r>
        <w:rPr/>
        <w:t>We</w:t>
      </w:r>
      <w:r>
        <w:rPr>
          <w:spacing w:val="-8"/>
        </w:rPr>
        <w:t> </w:t>
      </w:r>
      <w:r>
        <w:rPr/>
        <w:t>market</w:t>
      </w:r>
      <w:r>
        <w:rPr>
          <w:spacing w:val="-8"/>
        </w:rPr>
        <w:t> </w:t>
      </w:r>
      <w:r>
        <w:rPr/>
        <w:t>our</w:t>
      </w:r>
      <w:r>
        <w:rPr>
          <w:spacing w:val="-8"/>
        </w:rPr>
        <w:t> </w:t>
      </w:r>
      <w:r>
        <w:rPr/>
        <w:t>products</w:t>
      </w:r>
      <w:r>
        <w:rPr>
          <w:spacing w:val="-8"/>
        </w:rPr>
        <w:t> </w:t>
      </w:r>
      <w:r>
        <w:rPr/>
        <w:t>and</w:t>
      </w:r>
      <w:r>
        <w:rPr>
          <w:spacing w:val="-8"/>
        </w:rPr>
        <w:t> </w:t>
      </w:r>
      <w:r>
        <w:rPr/>
        <w:t>services</w:t>
      </w:r>
      <w:r>
        <w:rPr>
          <w:spacing w:val="-8"/>
        </w:rPr>
        <w:t> </w:t>
      </w:r>
      <w:r>
        <w:rPr/>
        <w:t>directly</w:t>
      </w:r>
      <w:r>
        <w:rPr>
          <w:spacing w:val="-8"/>
        </w:rPr>
        <w:t> </w:t>
      </w:r>
      <w:r>
        <w:rPr/>
        <w:t>to</w:t>
      </w:r>
      <w:r>
        <w:rPr>
          <w:spacing w:val="-8"/>
        </w:rPr>
        <w:t> </w:t>
      </w:r>
      <w:r>
        <w:rPr/>
        <w:t>enterprise</w:t>
      </w:r>
      <w:r>
        <w:rPr>
          <w:spacing w:val="-8"/>
        </w:rPr>
        <w:t> </w:t>
      </w:r>
      <w:r>
        <w:rPr/>
        <w:t>customers through</w:t>
      </w:r>
      <w:r>
        <w:rPr>
          <w:spacing w:val="-13"/>
        </w:rPr>
        <w:t> </w:t>
      </w:r>
      <w:r>
        <w:rPr/>
        <w:t>our</w:t>
      </w:r>
      <w:r>
        <w:rPr>
          <w:spacing w:val="-12"/>
        </w:rPr>
        <w:t> </w:t>
      </w:r>
      <w:r>
        <w:rPr/>
        <w:t>sales</w:t>
      </w:r>
      <w:r>
        <w:rPr>
          <w:spacing w:val="-13"/>
        </w:rPr>
        <w:t> </w:t>
      </w:r>
      <w:r>
        <w:rPr/>
        <w:t>force</w:t>
      </w:r>
      <w:r>
        <w:rPr>
          <w:spacing w:val="-12"/>
        </w:rPr>
        <w:t> </w:t>
      </w:r>
      <w:r>
        <w:rPr/>
        <w:t>and</w:t>
      </w:r>
      <w:r>
        <w:rPr>
          <w:spacing w:val="-13"/>
        </w:rPr>
        <w:t> </w:t>
      </w:r>
      <w:r>
        <w:rPr/>
        <w:t>certain</w:t>
      </w:r>
      <w:r>
        <w:rPr>
          <w:spacing w:val="-12"/>
        </w:rPr>
        <w:t> </w:t>
      </w:r>
      <w:r>
        <w:rPr/>
        <w:t>local</w:t>
      </w:r>
      <w:r>
        <w:rPr>
          <w:spacing w:val="-13"/>
        </w:rPr>
        <w:t> </w:t>
      </w:r>
      <w:r>
        <w:rPr/>
        <w:t>field</w:t>
      </w:r>
      <w:r>
        <w:rPr>
          <w:spacing w:val="-12"/>
        </w:rPr>
        <w:t> </w:t>
      </w:r>
      <w:r>
        <w:rPr/>
        <w:t>offices.</w:t>
      </w:r>
      <w:r>
        <w:rPr>
          <w:spacing w:val="-13"/>
        </w:rPr>
        <w:t> </w:t>
      </w:r>
      <w:r>
        <w:rPr/>
        <w:t>We</w:t>
      </w:r>
      <w:r>
        <w:rPr>
          <w:spacing w:val="-12"/>
        </w:rPr>
        <w:t> </w:t>
      </w:r>
      <w:r>
        <w:rPr/>
        <w:t>license</w:t>
      </w:r>
      <w:r>
        <w:rPr>
          <w:spacing w:val="-13"/>
        </w:rPr>
        <w:t> </w:t>
      </w:r>
      <w:r>
        <w:rPr/>
        <w:t>our</w:t>
      </w:r>
      <w:r>
        <w:rPr>
          <w:spacing w:val="-12"/>
        </w:rPr>
        <w:t> </w:t>
      </w:r>
      <w:r>
        <w:rPr/>
        <w:t>products</w:t>
      </w:r>
      <w:r>
        <w:rPr>
          <w:spacing w:val="-13"/>
        </w:rPr>
        <w:t> </w:t>
      </w:r>
      <w:r>
        <w:rPr/>
        <w:t>to</w:t>
      </w:r>
      <w:r>
        <w:rPr>
          <w:spacing w:val="-12"/>
        </w:rPr>
        <w:t> </w:t>
      </w:r>
      <w:r>
        <w:rPr/>
        <w:t>end</w:t>
      </w:r>
      <w:r>
        <w:rPr>
          <w:spacing w:val="-13"/>
        </w:rPr>
        <w:t> </w:t>
      </w:r>
      <w:r>
        <w:rPr/>
        <w:t>users</w:t>
      </w:r>
      <w:r>
        <w:rPr>
          <w:spacing w:val="-12"/>
        </w:rPr>
        <w:t> </w:t>
      </w:r>
      <w:r>
        <w:rPr/>
        <w:t>through</w:t>
      </w:r>
      <w:r>
        <w:rPr>
          <w:spacing w:val="-13"/>
        </w:rPr>
        <w:t> </w:t>
      </w:r>
      <w:r>
        <w:rPr/>
        <w:t>app</w:t>
      </w:r>
      <w:r>
        <w:rPr>
          <w:spacing w:val="-12"/>
        </w:rPr>
        <w:t> </w:t>
      </w:r>
      <w:r>
        <w:rPr/>
        <w:t>stores</w:t>
      </w:r>
      <w:r>
        <w:rPr>
          <w:spacing w:val="-13"/>
        </w:rPr>
        <w:t> </w:t>
      </w:r>
      <w:r>
        <w:rPr/>
        <w:t>and</w:t>
      </w:r>
      <w:r>
        <w:rPr>
          <w:spacing w:val="-12"/>
        </w:rPr>
        <w:t> </w:t>
      </w:r>
      <w:r>
        <w:rPr/>
        <w:t>our</w:t>
      </w:r>
      <w:r>
        <w:rPr>
          <w:spacing w:val="-13"/>
        </w:rPr>
        <w:t> </w:t>
      </w:r>
      <w:r>
        <w:rPr/>
        <w:t>own</w:t>
      </w:r>
      <w:r>
        <w:rPr>
          <w:spacing w:val="-12"/>
        </w:rPr>
        <w:t> </w:t>
      </w:r>
      <w:r>
        <w:rPr/>
        <w:t>website at </w:t>
      </w:r>
      <w:hyperlink r:id="rId17">
        <w:r>
          <w:rPr/>
          <w:t>www.adobe.com.</w:t>
        </w:r>
      </w:hyperlink>
      <w:r>
        <w:rPr/>
        <w:t> We offer many of our products via a Software-as-a-Service (“SaaS”) model or a managed services model (both of which are referred to as hosted or cloud-based) as well as through term subscription and pay-per-use models. We also distribute certain products and services through a network of distributors, value-added resellers (“VARs”), systems integrators (“SIs”),</w:t>
      </w:r>
      <w:r>
        <w:rPr>
          <w:spacing w:val="-9"/>
        </w:rPr>
        <w:t> </w:t>
      </w:r>
      <w:r>
        <w:rPr/>
        <w:t>independent</w:t>
      </w:r>
      <w:r>
        <w:rPr>
          <w:spacing w:val="-9"/>
        </w:rPr>
        <w:t> </w:t>
      </w:r>
      <w:r>
        <w:rPr/>
        <w:t>software</w:t>
      </w:r>
      <w:r>
        <w:rPr>
          <w:spacing w:val="-9"/>
        </w:rPr>
        <w:t> </w:t>
      </w:r>
      <w:r>
        <w:rPr/>
        <w:t>vendors</w:t>
      </w:r>
      <w:r>
        <w:rPr>
          <w:spacing w:val="-9"/>
        </w:rPr>
        <w:t> </w:t>
      </w:r>
      <w:r>
        <w:rPr/>
        <w:t>(“ISVs”),</w:t>
      </w:r>
      <w:r>
        <w:rPr>
          <w:spacing w:val="-9"/>
        </w:rPr>
        <w:t> </w:t>
      </w:r>
      <w:r>
        <w:rPr/>
        <w:t>retailers,</w:t>
      </w:r>
      <w:r>
        <w:rPr>
          <w:spacing w:val="-9"/>
        </w:rPr>
        <w:t> </w:t>
      </w:r>
      <w:r>
        <w:rPr/>
        <w:t>software</w:t>
      </w:r>
      <w:r>
        <w:rPr>
          <w:spacing w:val="-9"/>
        </w:rPr>
        <w:t> </w:t>
      </w:r>
      <w:r>
        <w:rPr/>
        <w:t>developers</w:t>
      </w:r>
      <w:r>
        <w:rPr>
          <w:spacing w:val="-9"/>
        </w:rPr>
        <w:t> </w:t>
      </w:r>
      <w:r>
        <w:rPr/>
        <w:t>and</w:t>
      </w:r>
      <w:r>
        <w:rPr>
          <w:spacing w:val="-9"/>
        </w:rPr>
        <w:t> </w:t>
      </w:r>
      <w:r>
        <w:rPr/>
        <w:t>original</w:t>
      </w:r>
      <w:r>
        <w:rPr>
          <w:spacing w:val="-9"/>
        </w:rPr>
        <w:t> </w:t>
      </w:r>
      <w:r>
        <w:rPr/>
        <w:t>equipment</w:t>
      </w:r>
      <w:r>
        <w:rPr>
          <w:spacing w:val="-9"/>
        </w:rPr>
        <w:t> </w:t>
      </w:r>
      <w:r>
        <w:rPr/>
        <w:t>manufacturers</w:t>
      </w:r>
      <w:r>
        <w:rPr>
          <w:spacing w:val="-9"/>
        </w:rPr>
        <w:t> </w:t>
      </w:r>
      <w:r>
        <w:rPr/>
        <w:t>(“OEMs”). In addition, we license our technology to hardware manufacturers, software developers and service providers for use in their products and solutions. Our products run on personal and server-based computers, as well as on smartphones, tablets and other devices, depending on the product. We have operations in the</w:t>
      </w:r>
      <w:r>
        <w:rPr>
          <w:spacing w:val="-7"/>
        </w:rPr>
        <w:t> </w:t>
      </w:r>
      <w:r>
        <w:rPr/>
        <w:t>Americas, Europe, Middle East and</w:t>
      </w:r>
      <w:r>
        <w:rPr>
          <w:spacing w:val="-7"/>
        </w:rPr>
        <w:t> </w:t>
      </w:r>
      <w:r>
        <w:rPr/>
        <w:t>Africa (“EMEA”) and</w:t>
      </w:r>
      <w:r>
        <w:rPr>
          <w:spacing w:val="-7"/>
        </w:rPr>
        <w:t> </w:t>
      </w:r>
      <w:r>
        <w:rPr/>
        <w:t>Asia- Pacific (“APAC”). </w:t>
      </w:r>
      <w:hyperlink w:history="true" w:anchor="_bookmark32">
        <w:r>
          <w:rPr>
            <w:i/>
          </w:rPr>
          <w:t>See Note 17 of our Notes to Consolidated Financial Statements for further geographical information.</w:t>
        </w:r>
      </w:hyperlink>
    </w:p>
    <w:p>
      <w:pPr>
        <w:pStyle w:val="BodyText"/>
        <w:spacing w:line="249" w:lineRule="auto" w:before="170"/>
        <w:ind w:left="220" w:right="257" w:firstLine="540"/>
        <w:jc w:val="both"/>
      </w:pPr>
      <w:r>
        <w:rPr/>
        <w:t>Adobe was originally incorporated in California in October</w:t>
      </w:r>
      <w:r>
        <w:rPr>
          <w:spacing w:val="-2"/>
        </w:rPr>
        <w:t> </w:t>
      </w:r>
      <w:r>
        <w:rPr/>
        <w:t>1983 and was reincorporated in Delaware in May</w:t>
      </w:r>
      <w:r>
        <w:rPr>
          <w:spacing w:val="-2"/>
        </w:rPr>
        <w:t> </w:t>
      </w:r>
      <w:r>
        <w:rPr/>
        <w:t>1997. Our executive</w:t>
      </w:r>
      <w:r>
        <w:rPr>
          <w:spacing w:val="-13"/>
        </w:rPr>
        <w:t> </w:t>
      </w:r>
      <w:r>
        <w:rPr/>
        <w:t>offices</w:t>
      </w:r>
      <w:r>
        <w:rPr>
          <w:spacing w:val="-12"/>
        </w:rPr>
        <w:t> </w:t>
      </w:r>
      <w:r>
        <w:rPr/>
        <w:t>and</w:t>
      </w:r>
      <w:r>
        <w:rPr>
          <w:spacing w:val="-11"/>
        </w:rPr>
        <w:t> </w:t>
      </w:r>
      <w:r>
        <w:rPr/>
        <w:t>principal</w:t>
      </w:r>
      <w:r>
        <w:rPr>
          <w:spacing w:val="-10"/>
        </w:rPr>
        <w:t> </w:t>
      </w:r>
      <w:r>
        <w:rPr/>
        <w:t>facilities</w:t>
      </w:r>
      <w:r>
        <w:rPr>
          <w:spacing w:val="-10"/>
        </w:rPr>
        <w:t> </w:t>
      </w:r>
      <w:r>
        <w:rPr/>
        <w:t>are</w:t>
      </w:r>
      <w:r>
        <w:rPr>
          <w:spacing w:val="-10"/>
        </w:rPr>
        <w:t> </w:t>
      </w:r>
      <w:r>
        <w:rPr/>
        <w:t>located</w:t>
      </w:r>
      <w:r>
        <w:rPr>
          <w:spacing w:val="-10"/>
        </w:rPr>
        <w:t> </w:t>
      </w:r>
      <w:r>
        <w:rPr/>
        <w:t>at</w:t>
      </w:r>
      <w:r>
        <w:rPr>
          <w:spacing w:val="-10"/>
        </w:rPr>
        <w:t> </w:t>
      </w:r>
      <w:r>
        <w:rPr/>
        <w:t>345</w:t>
      </w:r>
      <w:r>
        <w:rPr>
          <w:spacing w:val="-10"/>
        </w:rPr>
        <w:t> </w:t>
      </w:r>
      <w:r>
        <w:rPr/>
        <w:t>Park</w:t>
      </w:r>
      <w:r>
        <w:rPr>
          <w:spacing w:val="-13"/>
        </w:rPr>
        <w:t> </w:t>
      </w:r>
      <w:r>
        <w:rPr/>
        <w:t>Avenue,</w:t>
      </w:r>
      <w:r>
        <w:rPr>
          <w:spacing w:val="-9"/>
        </w:rPr>
        <w:t> </w:t>
      </w:r>
      <w:r>
        <w:rPr/>
        <w:t>San</w:t>
      </w:r>
      <w:r>
        <w:rPr>
          <w:spacing w:val="-10"/>
        </w:rPr>
        <w:t> </w:t>
      </w:r>
      <w:r>
        <w:rPr/>
        <w:t>Jose,</w:t>
      </w:r>
      <w:r>
        <w:rPr>
          <w:spacing w:val="-10"/>
        </w:rPr>
        <w:t> </w:t>
      </w:r>
      <w:r>
        <w:rPr/>
        <w:t>California</w:t>
      </w:r>
      <w:r>
        <w:rPr>
          <w:spacing w:val="-11"/>
        </w:rPr>
        <w:t> </w:t>
      </w:r>
      <w:r>
        <w:rPr/>
        <w:t>95110-2704.</w:t>
      </w:r>
      <w:r>
        <w:rPr>
          <w:spacing w:val="-10"/>
        </w:rPr>
        <w:t> </w:t>
      </w:r>
      <w:r>
        <w:rPr/>
        <w:t>Our</w:t>
      </w:r>
      <w:r>
        <w:rPr>
          <w:spacing w:val="-10"/>
        </w:rPr>
        <w:t> </w:t>
      </w:r>
      <w:r>
        <w:rPr/>
        <w:t>telephone</w:t>
      </w:r>
      <w:r>
        <w:rPr>
          <w:spacing w:val="-11"/>
        </w:rPr>
        <w:t> </w:t>
      </w:r>
      <w:r>
        <w:rPr/>
        <w:t>number is</w:t>
      </w:r>
      <w:r>
        <w:rPr>
          <w:spacing w:val="-7"/>
        </w:rPr>
        <w:t> </w:t>
      </w:r>
      <w:r>
        <w:rPr/>
        <w:t>408-536-6000</w:t>
      </w:r>
      <w:r>
        <w:rPr>
          <w:spacing w:val="-6"/>
        </w:rPr>
        <w:t> </w:t>
      </w:r>
      <w:r>
        <w:rPr/>
        <w:t>and</w:t>
      </w:r>
      <w:r>
        <w:rPr>
          <w:spacing w:val="-7"/>
        </w:rPr>
        <w:t> </w:t>
      </w:r>
      <w:r>
        <w:rPr/>
        <w:t>our</w:t>
      </w:r>
      <w:r>
        <w:rPr>
          <w:spacing w:val="-7"/>
        </w:rPr>
        <w:t> </w:t>
      </w:r>
      <w:r>
        <w:rPr/>
        <w:t>website</w:t>
      </w:r>
      <w:r>
        <w:rPr>
          <w:spacing w:val="-7"/>
        </w:rPr>
        <w:t> </w:t>
      </w:r>
      <w:r>
        <w:rPr/>
        <w:t>is</w:t>
      </w:r>
      <w:r>
        <w:rPr>
          <w:spacing w:val="-7"/>
        </w:rPr>
        <w:t> </w:t>
      </w:r>
      <w:hyperlink r:id="rId17">
        <w:r>
          <w:rPr/>
          <w:t>www.adobe.com.</w:t>
        </w:r>
      </w:hyperlink>
      <w:r>
        <w:rPr>
          <w:spacing w:val="-7"/>
        </w:rPr>
        <w:t> </w:t>
      </w:r>
      <w:r>
        <w:rPr/>
        <w:t>Investors</w:t>
      </w:r>
      <w:r>
        <w:rPr>
          <w:spacing w:val="-6"/>
        </w:rPr>
        <w:t> </w:t>
      </w:r>
      <w:r>
        <w:rPr/>
        <w:t>can</w:t>
      </w:r>
      <w:r>
        <w:rPr>
          <w:spacing w:val="-7"/>
        </w:rPr>
        <w:t> </w:t>
      </w:r>
      <w:r>
        <w:rPr/>
        <w:t>obtain</w:t>
      </w:r>
      <w:r>
        <w:rPr>
          <w:spacing w:val="-7"/>
        </w:rPr>
        <w:t> </w:t>
      </w:r>
      <w:r>
        <w:rPr/>
        <w:t>copies</w:t>
      </w:r>
      <w:r>
        <w:rPr>
          <w:spacing w:val="-6"/>
        </w:rPr>
        <w:t> </w:t>
      </w:r>
      <w:r>
        <w:rPr/>
        <w:t>of</w:t>
      </w:r>
      <w:r>
        <w:rPr>
          <w:spacing w:val="-6"/>
        </w:rPr>
        <w:t> </w:t>
      </w:r>
      <w:r>
        <w:rPr/>
        <w:t>our</w:t>
      </w:r>
      <w:r>
        <w:rPr>
          <w:spacing w:val="-7"/>
        </w:rPr>
        <w:t> </w:t>
      </w:r>
      <w:r>
        <w:rPr/>
        <w:t>SEC</w:t>
      </w:r>
      <w:r>
        <w:rPr>
          <w:spacing w:val="-7"/>
        </w:rPr>
        <w:t> </w:t>
      </w:r>
      <w:r>
        <w:rPr/>
        <w:t>filings</w:t>
      </w:r>
      <w:r>
        <w:rPr>
          <w:spacing w:val="-6"/>
        </w:rPr>
        <w:t> </w:t>
      </w:r>
      <w:r>
        <w:rPr/>
        <w:t>from</w:t>
      </w:r>
      <w:r>
        <w:rPr>
          <w:spacing w:val="-7"/>
        </w:rPr>
        <w:t> </w:t>
      </w:r>
      <w:r>
        <w:rPr/>
        <w:t>this</w:t>
      </w:r>
      <w:r>
        <w:rPr>
          <w:spacing w:val="-7"/>
        </w:rPr>
        <w:t> </w:t>
      </w:r>
      <w:r>
        <w:rPr/>
        <w:t>site</w:t>
      </w:r>
      <w:r>
        <w:rPr>
          <w:spacing w:val="-7"/>
        </w:rPr>
        <w:t> </w:t>
      </w:r>
      <w:r>
        <w:rPr/>
        <w:t>free</w:t>
      </w:r>
      <w:r>
        <w:rPr>
          <w:spacing w:val="-7"/>
        </w:rPr>
        <w:t> </w:t>
      </w:r>
      <w:r>
        <w:rPr/>
        <w:t>of</w:t>
      </w:r>
      <w:r>
        <w:rPr>
          <w:spacing w:val="-6"/>
        </w:rPr>
        <w:t> </w:t>
      </w:r>
      <w:r>
        <w:rPr/>
        <w:t>charge, </w:t>
      </w:r>
      <w:r>
        <w:rPr>
          <w:spacing w:val="-2"/>
        </w:rPr>
        <w:t>as</w:t>
      </w:r>
      <w:r>
        <w:rPr>
          <w:spacing w:val="-11"/>
        </w:rPr>
        <w:t> </w:t>
      </w:r>
      <w:r>
        <w:rPr>
          <w:spacing w:val="-2"/>
        </w:rPr>
        <w:t>well</w:t>
      </w:r>
      <w:r>
        <w:rPr>
          <w:spacing w:val="-8"/>
        </w:rPr>
        <w:t> </w:t>
      </w:r>
      <w:r>
        <w:rPr>
          <w:spacing w:val="-2"/>
        </w:rPr>
        <w:t>as</w:t>
      </w:r>
      <w:r>
        <w:rPr>
          <w:spacing w:val="-7"/>
        </w:rPr>
        <w:t> </w:t>
      </w:r>
      <w:r>
        <w:rPr>
          <w:spacing w:val="-2"/>
        </w:rPr>
        <w:t>from</w:t>
      </w:r>
      <w:r>
        <w:rPr>
          <w:spacing w:val="-7"/>
        </w:rPr>
        <w:t> </w:t>
      </w:r>
      <w:r>
        <w:rPr>
          <w:spacing w:val="-2"/>
        </w:rPr>
        <w:t>the</w:t>
      </w:r>
      <w:r>
        <w:rPr>
          <w:spacing w:val="-7"/>
        </w:rPr>
        <w:t> </w:t>
      </w:r>
      <w:r>
        <w:rPr>
          <w:spacing w:val="-2"/>
        </w:rPr>
        <w:t>SEC</w:t>
      </w:r>
      <w:r>
        <w:rPr>
          <w:spacing w:val="-7"/>
        </w:rPr>
        <w:t> </w:t>
      </w:r>
      <w:r>
        <w:rPr>
          <w:spacing w:val="-2"/>
        </w:rPr>
        <w:t>website</w:t>
      </w:r>
      <w:r>
        <w:rPr>
          <w:spacing w:val="-7"/>
        </w:rPr>
        <w:t> </w:t>
      </w:r>
      <w:r>
        <w:rPr>
          <w:spacing w:val="-2"/>
        </w:rPr>
        <w:t>at</w:t>
      </w:r>
      <w:r>
        <w:rPr>
          <w:spacing w:val="-7"/>
        </w:rPr>
        <w:t> </w:t>
      </w:r>
      <w:hyperlink r:id="rId18">
        <w:r>
          <w:rPr>
            <w:spacing w:val="-2"/>
          </w:rPr>
          <w:t>www.sec.gov.</w:t>
        </w:r>
      </w:hyperlink>
      <w:r>
        <w:rPr>
          <w:spacing w:val="-10"/>
        </w:rPr>
        <w:t> </w:t>
      </w:r>
      <w:r>
        <w:rPr>
          <w:spacing w:val="-2"/>
        </w:rPr>
        <w:t>The</w:t>
      </w:r>
      <w:r>
        <w:rPr>
          <w:spacing w:val="-7"/>
        </w:rPr>
        <w:t> </w:t>
      </w:r>
      <w:r>
        <w:rPr>
          <w:spacing w:val="-2"/>
        </w:rPr>
        <w:t>information</w:t>
      </w:r>
      <w:r>
        <w:rPr>
          <w:spacing w:val="-7"/>
        </w:rPr>
        <w:t> </w:t>
      </w:r>
      <w:r>
        <w:rPr>
          <w:spacing w:val="-2"/>
        </w:rPr>
        <w:t>posted</w:t>
      </w:r>
      <w:r>
        <w:rPr>
          <w:spacing w:val="-7"/>
        </w:rPr>
        <w:t> </w:t>
      </w:r>
      <w:r>
        <w:rPr>
          <w:spacing w:val="-2"/>
        </w:rPr>
        <w:t>to</w:t>
      </w:r>
      <w:r>
        <w:rPr>
          <w:spacing w:val="-7"/>
        </w:rPr>
        <w:t> </w:t>
      </w:r>
      <w:r>
        <w:rPr>
          <w:spacing w:val="-2"/>
        </w:rPr>
        <w:t>our</w:t>
      </w:r>
      <w:r>
        <w:rPr>
          <w:spacing w:val="-7"/>
        </w:rPr>
        <w:t> </w:t>
      </w:r>
      <w:r>
        <w:rPr>
          <w:spacing w:val="-2"/>
        </w:rPr>
        <w:t>website</w:t>
      </w:r>
      <w:r>
        <w:rPr>
          <w:spacing w:val="-7"/>
        </w:rPr>
        <w:t> </w:t>
      </w:r>
      <w:r>
        <w:rPr>
          <w:spacing w:val="-2"/>
        </w:rPr>
        <w:t>is</w:t>
      </w:r>
      <w:r>
        <w:rPr>
          <w:spacing w:val="-7"/>
        </w:rPr>
        <w:t> </w:t>
      </w:r>
      <w:r>
        <w:rPr>
          <w:spacing w:val="-2"/>
        </w:rPr>
        <w:t>not</w:t>
      </w:r>
      <w:r>
        <w:rPr>
          <w:spacing w:val="-7"/>
        </w:rPr>
        <w:t> </w:t>
      </w:r>
      <w:r>
        <w:rPr>
          <w:spacing w:val="-2"/>
        </w:rPr>
        <w:t>incorporated</w:t>
      </w:r>
      <w:r>
        <w:rPr>
          <w:spacing w:val="-7"/>
        </w:rPr>
        <w:t> </w:t>
      </w:r>
      <w:r>
        <w:rPr>
          <w:spacing w:val="-2"/>
        </w:rPr>
        <w:t>into</w:t>
      </w:r>
      <w:r>
        <w:rPr>
          <w:spacing w:val="-7"/>
        </w:rPr>
        <w:t> </w:t>
      </w:r>
      <w:r>
        <w:rPr>
          <w:spacing w:val="-2"/>
        </w:rPr>
        <w:t>this</w:t>
      </w:r>
      <w:r>
        <w:rPr>
          <w:spacing w:val="-11"/>
        </w:rPr>
        <w:t> </w:t>
      </w:r>
      <w:r>
        <w:rPr>
          <w:spacing w:val="-2"/>
        </w:rPr>
        <w:t>Annual</w:t>
      </w:r>
      <w:r>
        <w:rPr>
          <w:spacing w:val="-6"/>
        </w:rPr>
        <w:t> </w:t>
      </w:r>
      <w:r>
        <w:rPr>
          <w:spacing w:val="-2"/>
        </w:rPr>
        <w:t>Report </w:t>
      </w:r>
      <w:r>
        <w:rPr/>
        <w:t>on Form 10-K.</w:t>
      </w:r>
    </w:p>
    <w:p>
      <w:pPr>
        <w:pStyle w:val="BodyText"/>
        <w:spacing w:before="174"/>
      </w:pPr>
    </w:p>
    <w:p>
      <w:pPr>
        <w:pStyle w:val="Heading1"/>
        <w:ind w:left="3848" w:right="3884"/>
        <w:jc w:val="center"/>
      </w:pPr>
      <w:bookmarkStart w:name="Business Overview" w:id="7"/>
      <w:bookmarkEnd w:id="7"/>
      <w:r>
        <w:rPr>
          <w:b w:val="0"/>
        </w:rPr>
      </w:r>
      <w:r>
        <w:rPr/>
        <w:t>BUSINESS</w:t>
      </w:r>
      <w:r>
        <w:rPr>
          <w:spacing w:val="-8"/>
        </w:rPr>
        <w:t> </w:t>
      </w:r>
      <w:r>
        <w:rPr>
          <w:spacing w:val="-2"/>
        </w:rPr>
        <w:t>OVERVIEW</w:t>
      </w:r>
    </w:p>
    <w:p>
      <w:pPr>
        <w:pStyle w:val="BodyText"/>
        <w:spacing w:before="20"/>
        <w:rPr>
          <w:b/>
        </w:rPr>
      </w:pPr>
    </w:p>
    <w:p>
      <w:pPr>
        <w:pStyle w:val="BodyText"/>
        <w:spacing w:line="249" w:lineRule="auto"/>
        <w:ind w:left="220" w:right="257" w:firstLine="540"/>
        <w:jc w:val="both"/>
      </w:pPr>
      <w:r>
        <w:rPr/>
        <w:t>For over 35 years,</w:t>
      </w:r>
      <w:r>
        <w:rPr>
          <w:spacing w:val="-6"/>
        </w:rPr>
        <w:t> </w:t>
      </w:r>
      <w:r>
        <w:rPr/>
        <w:t>Adobe’s innovations have transformed how individuals, teams, businesses and governments interact. We help our customers create and deliver the most compelling experiences in a streamlined workflow, and optimize those experiences for greater return on investment. Our solutions turn ordinary interactions into valuable digital experiences, across media and devices, anytime, anywhere.</w:t>
      </w:r>
    </w:p>
    <w:p>
      <w:pPr>
        <w:pStyle w:val="BodyText"/>
        <w:spacing w:line="249" w:lineRule="auto" w:before="164"/>
        <w:ind w:left="220" w:right="257" w:firstLine="540"/>
        <w:jc w:val="both"/>
      </w:pPr>
      <w:r>
        <w:rPr/>
        <w:t>While</w:t>
      </w:r>
      <w:r>
        <w:rPr>
          <w:spacing w:val="-9"/>
        </w:rPr>
        <w:t> </w:t>
      </w:r>
      <w:r>
        <w:rPr/>
        <w:t>we</w:t>
      </w:r>
      <w:r>
        <w:rPr>
          <w:spacing w:val="-9"/>
        </w:rPr>
        <w:t> </w:t>
      </w:r>
      <w:r>
        <w:rPr/>
        <w:t>continue</w:t>
      </w:r>
      <w:r>
        <w:rPr>
          <w:spacing w:val="-9"/>
        </w:rPr>
        <w:t> </w:t>
      </w:r>
      <w:r>
        <w:rPr/>
        <w:t>to</w:t>
      </w:r>
      <w:r>
        <w:rPr>
          <w:spacing w:val="-9"/>
        </w:rPr>
        <w:t> </w:t>
      </w:r>
      <w:r>
        <w:rPr/>
        <w:t>offer</w:t>
      </w:r>
      <w:r>
        <w:rPr>
          <w:spacing w:val="-9"/>
        </w:rPr>
        <w:t> </w:t>
      </w:r>
      <w:r>
        <w:rPr/>
        <w:t>a</w:t>
      </w:r>
      <w:r>
        <w:rPr>
          <w:spacing w:val="-9"/>
        </w:rPr>
        <w:t> </w:t>
      </w:r>
      <w:r>
        <w:rPr/>
        <w:t>broad</w:t>
      </w:r>
      <w:r>
        <w:rPr>
          <w:spacing w:val="-9"/>
        </w:rPr>
        <w:t> </w:t>
      </w:r>
      <w:r>
        <w:rPr/>
        <w:t>portfolio</w:t>
      </w:r>
      <w:r>
        <w:rPr>
          <w:spacing w:val="-9"/>
        </w:rPr>
        <w:t> </w:t>
      </w:r>
      <w:r>
        <w:rPr/>
        <w:t>of</w:t>
      </w:r>
      <w:r>
        <w:rPr>
          <w:spacing w:val="-9"/>
        </w:rPr>
        <w:t> </w:t>
      </w:r>
      <w:r>
        <w:rPr/>
        <w:t>products,</w:t>
      </w:r>
      <w:r>
        <w:rPr>
          <w:spacing w:val="-9"/>
        </w:rPr>
        <w:t> </w:t>
      </w:r>
      <w:r>
        <w:rPr/>
        <w:t>services,</w:t>
      </w:r>
      <w:r>
        <w:rPr>
          <w:spacing w:val="-9"/>
        </w:rPr>
        <w:t> </w:t>
      </w:r>
      <w:r>
        <w:rPr/>
        <w:t>and</w:t>
      </w:r>
      <w:r>
        <w:rPr>
          <w:spacing w:val="-9"/>
        </w:rPr>
        <w:t> </w:t>
      </w:r>
      <w:r>
        <w:rPr/>
        <w:t>solutions,</w:t>
      </w:r>
      <w:r>
        <w:rPr>
          <w:spacing w:val="-9"/>
        </w:rPr>
        <w:t> </w:t>
      </w:r>
      <w:r>
        <w:rPr/>
        <w:t>we</w:t>
      </w:r>
      <w:r>
        <w:rPr>
          <w:spacing w:val="-9"/>
        </w:rPr>
        <w:t> </w:t>
      </w:r>
      <w:r>
        <w:rPr/>
        <w:t>focus</w:t>
      </w:r>
      <w:r>
        <w:rPr>
          <w:spacing w:val="-9"/>
        </w:rPr>
        <w:t> </w:t>
      </w:r>
      <w:r>
        <w:rPr/>
        <w:t>our</w:t>
      </w:r>
      <w:r>
        <w:rPr>
          <w:spacing w:val="-9"/>
        </w:rPr>
        <w:t> </w:t>
      </w:r>
      <w:r>
        <w:rPr/>
        <w:t>investments</w:t>
      </w:r>
      <w:r>
        <w:rPr>
          <w:spacing w:val="-9"/>
        </w:rPr>
        <w:t> </w:t>
      </w:r>
      <w:r>
        <w:rPr/>
        <w:t>in</w:t>
      </w:r>
      <w:r>
        <w:rPr>
          <w:spacing w:val="-9"/>
        </w:rPr>
        <w:t> </w:t>
      </w:r>
      <w:r>
        <w:rPr/>
        <w:t>two</w:t>
      </w:r>
      <w:r>
        <w:rPr>
          <w:spacing w:val="-9"/>
        </w:rPr>
        <w:t> </w:t>
      </w:r>
      <w:r>
        <w:rPr/>
        <w:t>strategic growth areas:</w:t>
      </w:r>
    </w:p>
    <w:p>
      <w:pPr>
        <w:pStyle w:val="BodyText"/>
        <w:spacing w:line="249" w:lineRule="auto" w:before="161"/>
        <w:ind w:left="220" w:right="257" w:firstLine="540"/>
        <w:jc w:val="both"/>
      </w:pPr>
      <w:r>
        <w:rPr/>
        <w:t>Digital</w:t>
      </w:r>
      <w:r>
        <w:rPr>
          <w:spacing w:val="-10"/>
        </w:rPr>
        <w:t> </w:t>
      </w:r>
      <w:r>
        <w:rPr/>
        <w:t>Media—providing</w:t>
      </w:r>
      <w:r>
        <w:rPr>
          <w:spacing w:val="-10"/>
        </w:rPr>
        <w:t> </w:t>
      </w:r>
      <w:r>
        <w:rPr/>
        <w:t>products,</w:t>
      </w:r>
      <w:r>
        <w:rPr>
          <w:spacing w:val="-10"/>
        </w:rPr>
        <w:t> </w:t>
      </w:r>
      <w:r>
        <w:rPr/>
        <w:t>services</w:t>
      </w:r>
      <w:r>
        <w:rPr>
          <w:spacing w:val="-10"/>
        </w:rPr>
        <w:t> </w:t>
      </w:r>
      <w:r>
        <w:rPr/>
        <w:t>and</w:t>
      </w:r>
      <w:r>
        <w:rPr>
          <w:spacing w:val="-10"/>
        </w:rPr>
        <w:t> </w:t>
      </w:r>
      <w:r>
        <w:rPr/>
        <w:t>solutions</w:t>
      </w:r>
      <w:r>
        <w:rPr>
          <w:spacing w:val="-10"/>
        </w:rPr>
        <w:t> </w:t>
      </w:r>
      <w:r>
        <w:rPr/>
        <w:t>that</w:t>
      </w:r>
      <w:r>
        <w:rPr>
          <w:spacing w:val="-10"/>
        </w:rPr>
        <w:t> </w:t>
      </w:r>
      <w:r>
        <w:rPr/>
        <w:t>enable</w:t>
      </w:r>
      <w:r>
        <w:rPr>
          <w:spacing w:val="-10"/>
        </w:rPr>
        <w:t> </w:t>
      </w:r>
      <w:r>
        <w:rPr/>
        <w:t>individuals,</w:t>
      </w:r>
      <w:r>
        <w:rPr>
          <w:spacing w:val="-10"/>
        </w:rPr>
        <w:t> </w:t>
      </w:r>
      <w:r>
        <w:rPr/>
        <w:t>teams</w:t>
      </w:r>
      <w:r>
        <w:rPr>
          <w:spacing w:val="-10"/>
        </w:rPr>
        <w:t> </w:t>
      </w:r>
      <w:r>
        <w:rPr/>
        <w:t>and</w:t>
      </w:r>
      <w:r>
        <w:rPr>
          <w:spacing w:val="-10"/>
        </w:rPr>
        <w:t> </w:t>
      </w:r>
      <w:r>
        <w:rPr/>
        <w:t>enterprises</w:t>
      </w:r>
      <w:r>
        <w:rPr>
          <w:spacing w:val="-10"/>
        </w:rPr>
        <w:t> </w:t>
      </w:r>
      <w:r>
        <w:rPr/>
        <w:t>to</w:t>
      </w:r>
      <w:r>
        <w:rPr>
          <w:spacing w:val="-10"/>
        </w:rPr>
        <w:t> </w:t>
      </w:r>
      <w:r>
        <w:rPr/>
        <w:t>create,</w:t>
      </w:r>
      <w:r>
        <w:rPr>
          <w:spacing w:val="-10"/>
        </w:rPr>
        <w:t> </w:t>
      </w:r>
      <w:r>
        <w:rPr/>
        <w:t>publish and promote their content anywhere. Our customers include content creators, web designers, app developers and digital media professionals, as well as management in marketing departments and agencies, companies and publishers. Our customers also include</w:t>
      </w:r>
      <w:r>
        <w:rPr>
          <w:spacing w:val="-9"/>
        </w:rPr>
        <w:t> </w:t>
      </w:r>
      <w:r>
        <w:rPr/>
        <w:t>knowledge</w:t>
      </w:r>
      <w:r>
        <w:rPr>
          <w:spacing w:val="-9"/>
        </w:rPr>
        <w:t> </w:t>
      </w:r>
      <w:r>
        <w:rPr/>
        <w:t>workers</w:t>
      </w:r>
      <w:r>
        <w:rPr>
          <w:spacing w:val="-8"/>
        </w:rPr>
        <w:t> </w:t>
      </w:r>
      <w:r>
        <w:rPr/>
        <w:t>who</w:t>
      </w:r>
      <w:r>
        <w:rPr>
          <w:spacing w:val="-9"/>
        </w:rPr>
        <w:t> </w:t>
      </w:r>
      <w:r>
        <w:rPr/>
        <w:t>create,</w:t>
      </w:r>
      <w:r>
        <w:rPr>
          <w:spacing w:val="-9"/>
        </w:rPr>
        <w:t> </w:t>
      </w:r>
      <w:r>
        <w:rPr/>
        <w:t>collaborate</w:t>
      </w:r>
      <w:r>
        <w:rPr>
          <w:spacing w:val="-9"/>
        </w:rPr>
        <w:t> </w:t>
      </w:r>
      <w:r>
        <w:rPr/>
        <w:t>and</w:t>
      </w:r>
      <w:r>
        <w:rPr>
          <w:spacing w:val="-8"/>
        </w:rPr>
        <w:t> </w:t>
      </w:r>
      <w:r>
        <w:rPr/>
        <w:t>distribute</w:t>
      </w:r>
      <w:r>
        <w:rPr>
          <w:spacing w:val="-9"/>
        </w:rPr>
        <w:t> </w:t>
      </w:r>
      <w:r>
        <w:rPr/>
        <w:t>documents.</w:t>
      </w:r>
      <w:r>
        <w:rPr>
          <w:spacing w:val="-12"/>
        </w:rPr>
        <w:t> </w:t>
      </w:r>
      <w:r>
        <w:rPr/>
        <w:t>This</w:t>
      </w:r>
      <w:r>
        <w:rPr>
          <w:spacing w:val="-8"/>
        </w:rPr>
        <w:t> </w:t>
      </w:r>
      <w:r>
        <w:rPr/>
        <w:t>is</w:t>
      </w:r>
      <w:r>
        <w:rPr>
          <w:spacing w:val="-8"/>
        </w:rPr>
        <w:t> </w:t>
      </w:r>
      <w:r>
        <w:rPr/>
        <w:t>the</w:t>
      </w:r>
      <w:r>
        <w:rPr>
          <w:spacing w:val="-9"/>
        </w:rPr>
        <w:t> </w:t>
      </w:r>
      <w:r>
        <w:rPr/>
        <w:t>core</w:t>
      </w:r>
      <w:r>
        <w:rPr>
          <w:spacing w:val="-9"/>
        </w:rPr>
        <w:t> </w:t>
      </w:r>
      <w:r>
        <w:rPr/>
        <w:t>of</w:t>
      </w:r>
      <w:r>
        <w:rPr>
          <w:spacing w:val="-8"/>
        </w:rPr>
        <w:t> </w:t>
      </w:r>
      <w:r>
        <w:rPr/>
        <w:t>what</w:t>
      </w:r>
      <w:r>
        <w:rPr>
          <w:spacing w:val="-9"/>
        </w:rPr>
        <w:t> </w:t>
      </w:r>
      <w:r>
        <w:rPr/>
        <w:t>we</w:t>
      </w:r>
      <w:r>
        <w:rPr>
          <w:spacing w:val="-9"/>
        </w:rPr>
        <w:t> </w:t>
      </w:r>
      <w:r>
        <w:rPr/>
        <w:t>have</w:t>
      </w:r>
      <w:r>
        <w:rPr>
          <w:spacing w:val="-9"/>
        </w:rPr>
        <w:t> </w:t>
      </w:r>
      <w:r>
        <w:rPr/>
        <w:t>delivered</w:t>
      </w:r>
      <w:r>
        <w:rPr>
          <w:spacing w:val="-9"/>
        </w:rPr>
        <w:t> </w:t>
      </w:r>
      <w:r>
        <w:rPr/>
        <w:t>for</w:t>
      </w:r>
      <w:r>
        <w:rPr>
          <w:spacing w:val="-8"/>
        </w:rPr>
        <w:t> </w:t>
      </w:r>
      <w:r>
        <w:rPr/>
        <w:t>over 25</w:t>
      </w:r>
      <w:r>
        <w:rPr>
          <w:spacing w:val="-4"/>
        </w:rPr>
        <w:t> </w:t>
      </w:r>
      <w:r>
        <w:rPr/>
        <w:t>years,</w:t>
      </w:r>
      <w:r>
        <w:rPr>
          <w:spacing w:val="-4"/>
        </w:rPr>
        <w:t> </w:t>
      </w:r>
      <w:r>
        <w:rPr/>
        <w:t>and</w:t>
      </w:r>
      <w:r>
        <w:rPr>
          <w:spacing w:val="-4"/>
        </w:rPr>
        <w:t> </w:t>
      </w:r>
      <w:r>
        <w:rPr/>
        <w:t>we</w:t>
      </w:r>
      <w:r>
        <w:rPr>
          <w:spacing w:val="-4"/>
        </w:rPr>
        <w:t> </w:t>
      </w:r>
      <w:r>
        <w:rPr/>
        <w:t>have</w:t>
      </w:r>
      <w:r>
        <w:rPr>
          <w:spacing w:val="-5"/>
        </w:rPr>
        <w:t> </w:t>
      </w:r>
      <w:r>
        <w:rPr/>
        <w:t>evolved</w:t>
      </w:r>
      <w:r>
        <w:rPr>
          <w:spacing w:val="-4"/>
        </w:rPr>
        <w:t> </w:t>
      </w:r>
      <w:r>
        <w:rPr/>
        <w:t>our</w:t>
      </w:r>
      <w:r>
        <w:rPr>
          <w:spacing w:val="-4"/>
        </w:rPr>
        <w:t> </w:t>
      </w:r>
      <w:r>
        <w:rPr/>
        <w:t>business</w:t>
      </w:r>
      <w:r>
        <w:rPr>
          <w:spacing w:val="-4"/>
        </w:rPr>
        <w:t> </w:t>
      </w:r>
      <w:r>
        <w:rPr/>
        <w:t>model</w:t>
      </w:r>
      <w:r>
        <w:rPr>
          <w:spacing w:val="-5"/>
        </w:rPr>
        <w:t> </w:t>
      </w:r>
      <w:r>
        <w:rPr/>
        <w:t>to</w:t>
      </w:r>
      <w:r>
        <w:rPr>
          <w:spacing w:val="-4"/>
        </w:rPr>
        <w:t> </w:t>
      </w:r>
      <w:r>
        <w:rPr/>
        <w:t>provide</w:t>
      </w:r>
      <w:r>
        <w:rPr>
          <w:spacing w:val="-5"/>
        </w:rPr>
        <w:t> </w:t>
      </w:r>
      <w:r>
        <w:rPr/>
        <w:t>our</w:t>
      </w:r>
      <w:r>
        <w:rPr>
          <w:spacing w:val="-4"/>
        </w:rPr>
        <w:t> </w:t>
      </w:r>
      <w:r>
        <w:rPr/>
        <w:t>customers</w:t>
      </w:r>
      <w:r>
        <w:rPr>
          <w:spacing w:val="-4"/>
        </w:rPr>
        <w:t> </w:t>
      </w:r>
      <w:r>
        <w:rPr/>
        <w:t>with</w:t>
      </w:r>
      <w:r>
        <w:rPr>
          <w:spacing w:val="-4"/>
        </w:rPr>
        <w:t> </w:t>
      </w:r>
      <w:r>
        <w:rPr/>
        <w:t>a</w:t>
      </w:r>
      <w:r>
        <w:rPr>
          <w:spacing w:val="-4"/>
        </w:rPr>
        <w:t> </w:t>
      </w:r>
      <w:r>
        <w:rPr/>
        <w:t>range</w:t>
      </w:r>
      <w:r>
        <w:rPr>
          <w:spacing w:val="-4"/>
        </w:rPr>
        <w:t> </w:t>
      </w:r>
      <w:r>
        <w:rPr/>
        <w:t>of</w:t>
      </w:r>
      <w:r>
        <w:rPr>
          <w:spacing w:val="-4"/>
        </w:rPr>
        <w:t> </w:t>
      </w:r>
      <w:r>
        <w:rPr/>
        <w:t>flexible</w:t>
      </w:r>
      <w:r>
        <w:rPr>
          <w:spacing w:val="-5"/>
        </w:rPr>
        <w:t> </w:t>
      </w:r>
      <w:r>
        <w:rPr/>
        <w:t>solutions</w:t>
      </w:r>
      <w:r>
        <w:rPr>
          <w:spacing w:val="-4"/>
        </w:rPr>
        <w:t> </w:t>
      </w:r>
      <w:r>
        <w:rPr/>
        <w:t>that</w:t>
      </w:r>
      <w:r>
        <w:rPr>
          <w:spacing w:val="-4"/>
        </w:rPr>
        <w:t> </w:t>
      </w:r>
      <w:r>
        <w:rPr/>
        <w:t>allow</w:t>
      </w:r>
      <w:r>
        <w:rPr>
          <w:spacing w:val="-4"/>
        </w:rPr>
        <w:t> </w:t>
      </w:r>
      <w:r>
        <w:rPr/>
        <w:t>them</w:t>
      </w:r>
      <w:r>
        <w:rPr>
          <w:spacing w:val="-4"/>
        </w:rPr>
        <w:t> </w:t>
      </w:r>
      <w:r>
        <w:rPr/>
        <w:t>to reach their full creative potential anytime, anywhere, on any device on projects of all types.</w:t>
      </w:r>
    </w:p>
    <w:p>
      <w:pPr>
        <w:pStyle w:val="BodyText"/>
        <w:spacing w:line="249" w:lineRule="auto" w:before="165"/>
        <w:ind w:left="220" w:right="257" w:firstLine="540"/>
        <w:jc w:val="both"/>
      </w:pPr>
      <w:r>
        <w:rPr/>
        <w:t>Digital</w:t>
      </w:r>
      <w:r>
        <w:rPr>
          <w:spacing w:val="-10"/>
        </w:rPr>
        <w:t> </w:t>
      </w:r>
      <w:r>
        <w:rPr/>
        <w:t>Experience—providing</w:t>
      </w:r>
      <w:r>
        <w:rPr>
          <w:spacing w:val="-10"/>
        </w:rPr>
        <w:t> </w:t>
      </w:r>
      <w:r>
        <w:rPr/>
        <w:t>solutions</w:t>
      </w:r>
      <w:r>
        <w:rPr>
          <w:spacing w:val="-10"/>
        </w:rPr>
        <w:t> </w:t>
      </w:r>
      <w:r>
        <w:rPr/>
        <w:t>and</w:t>
      </w:r>
      <w:r>
        <w:rPr>
          <w:spacing w:val="-10"/>
        </w:rPr>
        <w:t> </w:t>
      </w:r>
      <w:r>
        <w:rPr/>
        <w:t>services</w:t>
      </w:r>
      <w:r>
        <w:rPr>
          <w:spacing w:val="-10"/>
        </w:rPr>
        <w:t> </w:t>
      </w:r>
      <w:r>
        <w:rPr/>
        <w:t>for</w:t>
      </w:r>
      <w:r>
        <w:rPr>
          <w:spacing w:val="-10"/>
        </w:rPr>
        <w:t> </w:t>
      </w:r>
      <w:r>
        <w:rPr/>
        <w:t>creating,</w:t>
      </w:r>
      <w:r>
        <w:rPr>
          <w:spacing w:val="-10"/>
        </w:rPr>
        <w:t> </w:t>
      </w:r>
      <w:r>
        <w:rPr/>
        <w:t>managing,</w:t>
      </w:r>
      <w:r>
        <w:rPr>
          <w:spacing w:val="-10"/>
        </w:rPr>
        <w:t> </w:t>
      </w:r>
      <w:r>
        <w:rPr/>
        <w:t>executing,</w:t>
      </w:r>
      <w:r>
        <w:rPr>
          <w:spacing w:val="-10"/>
        </w:rPr>
        <w:t> </w:t>
      </w:r>
      <w:r>
        <w:rPr/>
        <w:t>measuring</w:t>
      </w:r>
      <w:r>
        <w:rPr>
          <w:spacing w:val="-10"/>
        </w:rPr>
        <w:t> </w:t>
      </w:r>
      <w:r>
        <w:rPr/>
        <w:t>and</w:t>
      </w:r>
      <w:r>
        <w:rPr>
          <w:spacing w:val="-10"/>
        </w:rPr>
        <w:t> </w:t>
      </w:r>
      <w:r>
        <w:rPr/>
        <w:t>optimizing</w:t>
      </w:r>
      <w:r>
        <w:rPr>
          <w:spacing w:val="-10"/>
        </w:rPr>
        <w:t> </w:t>
      </w:r>
      <w:r>
        <w:rPr/>
        <w:t>digital </w:t>
      </w:r>
      <w:r>
        <w:rPr>
          <w:spacing w:val="-2"/>
        </w:rPr>
        <w:t>marketing</w:t>
      </w:r>
      <w:r>
        <w:rPr>
          <w:spacing w:val="-5"/>
        </w:rPr>
        <w:t> </w:t>
      </w:r>
      <w:r>
        <w:rPr>
          <w:spacing w:val="-2"/>
        </w:rPr>
        <w:t>and</w:t>
      </w:r>
      <w:r>
        <w:rPr>
          <w:spacing w:val="-4"/>
        </w:rPr>
        <w:t> </w:t>
      </w:r>
      <w:r>
        <w:rPr>
          <w:spacing w:val="-2"/>
        </w:rPr>
        <w:t>advertising</w:t>
      </w:r>
      <w:r>
        <w:rPr>
          <w:spacing w:val="-5"/>
        </w:rPr>
        <w:t> </w:t>
      </w:r>
      <w:r>
        <w:rPr>
          <w:spacing w:val="-2"/>
        </w:rPr>
        <w:t>campaigns</w:t>
      </w:r>
      <w:r>
        <w:rPr>
          <w:spacing w:val="-4"/>
        </w:rPr>
        <w:t> </w:t>
      </w:r>
      <w:r>
        <w:rPr>
          <w:spacing w:val="-2"/>
        </w:rPr>
        <w:t>across</w:t>
      </w:r>
      <w:r>
        <w:rPr>
          <w:spacing w:val="-4"/>
        </w:rPr>
        <w:t> </w:t>
      </w:r>
      <w:r>
        <w:rPr>
          <w:spacing w:val="-2"/>
        </w:rPr>
        <w:t>multiple</w:t>
      </w:r>
      <w:r>
        <w:rPr>
          <w:spacing w:val="-6"/>
        </w:rPr>
        <w:t> </w:t>
      </w:r>
      <w:r>
        <w:rPr>
          <w:spacing w:val="-2"/>
        </w:rPr>
        <w:t>channels.</w:t>
      </w:r>
      <w:r>
        <w:rPr>
          <w:spacing w:val="-5"/>
        </w:rPr>
        <w:t> </w:t>
      </w:r>
      <w:r>
        <w:rPr>
          <w:spacing w:val="-2"/>
        </w:rPr>
        <w:t>Our</w:t>
      </w:r>
      <w:r>
        <w:rPr>
          <w:spacing w:val="-4"/>
        </w:rPr>
        <w:t> </w:t>
      </w:r>
      <w:r>
        <w:rPr>
          <w:spacing w:val="-2"/>
        </w:rPr>
        <w:t>customers</w:t>
      </w:r>
      <w:r>
        <w:rPr>
          <w:spacing w:val="-4"/>
        </w:rPr>
        <w:t> </w:t>
      </w:r>
      <w:r>
        <w:rPr>
          <w:spacing w:val="-2"/>
        </w:rPr>
        <w:t>include</w:t>
      </w:r>
      <w:r>
        <w:rPr>
          <w:spacing w:val="-6"/>
        </w:rPr>
        <w:t> </w:t>
      </w:r>
      <w:r>
        <w:rPr>
          <w:spacing w:val="-2"/>
        </w:rPr>
        <w:t>marketers,</w:t>
      </w:r>
      <w:r>
        <w:rPr>
          <w:spacing w:val="-5"/>
        </w:rPr>
        <w:t> </w:t>
      </w:r>
      <w:r>
        <w:rPr>
          <w:spacing w:val="-2"/>
        </w:rPr>
        <w:t>advertisers,</w:t>
      </w:r>
      <w:r>
        <w:rPr>
          <w:spacing w:val="-4"/>
        </w:rPr>
        <w:t> </w:t>
      </w:r>
      <w:r>
        <w:rPr>
          <w:spacing w:val="-2"/>
        </w:rPr>
        <w:t>agencies,</w:t>
      </w:r>
      <w:r>
        <w:rPr>
          <w:spacing w:val="-4"/>
        </w:rPr>
        <w:t> </w:t>
      </w:r>
      <w:r>
        <w:rPr>
          <w:spacing w:val="-2"/>
        </w:rPr>
        <w:t>publishers,</w:t>
      </w:r>
    </w:p>
    <w:p>
      <w:pPr>
        <w:spacing w:after="0" w:line="249" w:lineRule="auto"/>
        <w:jc w:val="both"/>
        <w:sectPr>
          <w:headerReference w:type="default" r:id="rId15"/>
          <w:footerReference w:type="default" r:id="rId16"/>
          <w:pgSz w:w="12240" w:h="15840"/>
          <w:pgMar w:header="210" w:footer="599" w:top="420" w:bottom="780" w:left="780" w:right="740"/>
        </w:sectPr>
      </w:pPr>
    </w:p>
    <w:p>
      <w:pPr>
        <w:pStyle w:val="BodyText"/>
        <w:spacing w:before="150"/>
      </w:pPr>
    </w:p>
    <w:p>
      <w:pPr>
        <w:pStyle w:val="BodyText"/>
        <w:spacing w:line="249" w:lineRule="auto"/>
        <w:ind w:left="220" w:right="257"/>
        <w:jc w:val="both"/>
      </w:pPr>
      <w:r>
        <w:rPr/>
        <w:t>merchandisers, web analysts, marketing executives, information management executives, product development executives, and sales</w:t>
      </w:r>
      <w:r>
        <w:rPr>
          <w:spacing w:val="-11"/>
        </w:rPr>
        <w:t> </w:t>
      </w:r>
      <w:r>
        <w:rPr/>
        <w:t>and</w:t>
      </w:r>
      <w:r>
        <w:rPr>
          <w:spacing w:val="-11"/>
        </w:rPr>
        <w:t> </w:t>
      </w:r>
      <w:r>
        <w:rPr/>
        <w:t>support</w:t>
      </w:r>
      <w:r>
        <w:rPr>
          <w:spacing w:val="-11"/>
        </w:rPr>
        <w:t> </w:t>
      </w:r>
      <w:r>
        <w:rPr/>
        <w:t>executives.</w:t>
      </w:r>
      <w:r>
        <w:rPr>
          <w:spacing w:val="-11"/>
        </w:rPr>
        <w:t> </w:t>
      </w:r>
      <w:r>
        <w:rPr/>
        <w:t>In</w:t>
      </w:r>
      <w:r>
        <w:rPr>
          <w:spacing w:val="-11"/>
        </w:rPr>
        <w:t> </w:t>
      </w:r>
      <w:r>
        <w:rPr/>
        <w:t>fiscal</w:t>
      </w:r>
      <w:r>
        <w:rPr>
          <w:spacing w:val="-11"/>
        </w:rPr>
        <w:t> </w:t>
      </w:r>
      <w:r>
        <w:rPr/>
        <w:t>2017,</w:t>
      </w:r>
      <w:r>
        <w:rPr>
          <w:spacing w:val="-11"/>
        </w:rPr>
        <w:t> </w:t>
      </w:r>
      <w:r>
        <w:rPr/>
        <w:t>we</w:t>
      </w:r>
      <w:r>
        <w:rPr>
          <w:spacing w:val="-11"/>
        </w:rPr>
        <w:t> </w:t>
      </w:r>
      <w:r>
        <w:rPr/>
        <w:t>processed</w:t>
      </w:r>
      <w:r>
        <w:rPr>
          <w:spacing w:val="-11"/>
        </w:rPr>
        <w:t> </w:t>
      </w:r>
      <w:r>
        <w:rPr/>
        <w:t>186</w:t>
      </w:r>
      <w:r>
        <w:rPr>
          <w:spacing w:val="-11"/>
        </w:rPr>
        <w:t> </w:t>
      </w:r>
      <w:r>
        <w:rPr/>
        <w:t>trillion</w:t>
      </w:r>
      <w:r>
        <w:rPr>
          <w:spacing w:val="-11"/>
        </w:rPr>
        <w:t> </w:t>
      </w:r>
      <w:r>
        <w:rPr/>
        <w:t>data</w:t>
      </w:r>
      <w:r>
        <w:rPr>
          <w:spacing w:val="-11"/>
        </w:rPr>
        <w:t> </w:t>
      </w:r>
      <w:r>
        <w:rPr/>
        <w:t>transactions</w:t>
      </w:r>
      <w:r>
        <w:rPr>
          <w:spacing w:val="-11"/>
        </w:rPr>
        <w:t> </w:t>
      </w:r>
      <w:r>
        <w:rPr/>
        <w:t>with</w:t>
      </w:r>
      <w:r>
        <w:rPr>
          <w:spacing w:val="-11"/>
        </w:rPr>
        <w:t> </w:t>
      </w:r>
      <w:r>
        <w:rPr/>
        <w:t>our</w:t>
      </w:r>
      <w:r>
        <w:rPr>
          <w:spacing w:val="-11"/>
        </w:rPr>
        <w:t> </w:t>
      </w:r>
      <w:r>
        <w:rPr/>
        <w:t>analytics</w:t>
      </w:r>
      <w:r>
        <w:rPr>
          <w:spacing w:val="-11"/>
        </w:rPr>
        <w:t> </w:t>
      </w:r>
      <w:r>
        <w:rPr/>
        <w:t>products,</w:t>
      </w:r>
      <w:r>
        <w:rPr>
          <w:spacing w:val="-11"/>
        </w:rPr>
        <w:t> </w:t>
      </w:r>
      <w:r>
        <w:rPr/>
        <w:t>providing</w:t>
      </w:r>
      <w:r>
        <w:rPr>
          <w:spacing w:val="-11"/>
        </w:rPr>
        <w:t> </w:t>
      </w:r>
      <w:r>
        <w:rPr/>
        <w:t>our customers</w:t>
      </w:r>
      <w:r>
        <w:rPr>
          <w:spacing w:val="-6"/>
        </w:rPr>
        <w:t> </w:t>
      </w:r>
      <w:r>
        <w:rPr/>
        <w:t>with</w:t>
      </w:r>
      <w:r>
        <w:rPr>
          <w:spacing w:val="-5"/>
        </w:rPr>
        <w:t> </w:t>
      </w:r>
      <w:r>
        <w:rPr/>
        <w:t>a</w:t>
      </w:r>
      <w:r>
        <w:rPr>
          <w:spacing w:val="-5"/>
        </w:rPr>
        <w:t> </w:t>
      </w:r>
      <w:r>
        <w:rPr/>
        <w:t>robust</w:t>
      </w:r>
      <w:r>
        <w:rPr>
          <w:spacing w:val="-5"/>
        </w:rPr>
        <w:t> </w:t>
      </w:r>
      <w:r>
        <w:rPr/>
        <w:t>data</w:t>
      </w:r>
      <w:r>
        <w:rPr>
          <w:spacing w:val="-5"/>
        </w:rPr>
        <w:t> </w:t>
      </w:r>
      <w:r>
        <w:rPr/>
        <w:t>platform</w:t>
      </w:r>
      <w:r>
        <w:rPr>
          <w:spacing w:val="-5"/>
        </w:rPr>
        <w:t> </w:t>
      </w:r>
      <w:r>
        <w:rPr/>
        <w:t>that</w:t>
      </w:r>
      <w:r>
        <w:rPr>
          <w:spacing w:val="-5"/>
        </w:rPr>
        <w:t> </w:t>
      </w:r>
      <w:r>
        <w:rPr/>
        <w:t>can</w:t>
      </w:r>
      <w:r>
        <w:rPr>
          <w:spacing w:val="-5"/>
        </w:rPr>
        <w:t> </w:t>
      </w:r>
      <w:r>
        <w:rPr/>
        <w:t>be</w:t>
      </w:r>
      <w:r>
        <w:rPr>
          <w:spacing w:val="-5"/>
        </w:rPr>
        <w:t> </w:t>
      </w:r>
      <w:r>
        <w:rPr/>
        <w:t>used</w:t>
      </w:r>
      <w:r>
        <w:rPr>
          <w:spacing w:val="-5"/>
        </w:rPr>
        <w:t> </w:t>
      </w:r>
      <w:r>
        <w:rPr/>
        <w:t>to</w:t>
      </w:r>
      <w:r>
        <w:rPr>
          <w:spacing w:val="-5"/>
        </w:rPr>
        <w:t> </w:t>
      </w:r>
      <w:r>
        <w:rPr/>
        <w:t>gain</w:t>
      </w:r>
      <w:r>
        <w:rPr>
          <w:spacing w:val="-5"/>
        </w:rPr>
        <w:t> </w:t>
      </w:r>
      <w:r>
        <w:rPr/>
        <w:t>insight</w:t>
      </w:r>
      <w:r>
        <w:rPr>
          <w:spacing w:val="-5"/>
        </w:rPr>
        <w:t> </w:t>
      </w:r>
      <w:r>
        <w:rPr/>
        <w:t>and</w:t>
      </w:r>
      <w:r>
        <w:rPr>
          <w:spacing w:val="-5"/>
        </w:rPr>
        <w:t> </w:t>
      </w:r>
      <w:r>
        <w:rPr/>
        <w:t>optimize</w:t>
      </w:r>
      <w:r>
        <w:rPr>
          <w:spacing w:val="-5"/>
        </w:rPr>
        <w:t> </w:t>
      </w:r>
      <w:r>
        <w:rPr/>
        <w:t>digital</w:t>
      </w:r>
      <w:r>
        <w:rPr>
          <w:spacing w:val="-5"/>
        </w:rPr>
        <w:t> </w:t>
      </w:r>
      <w:r>
        <w:rPr/>
        <w:t>experiences</w:t>
      </w:r>
      <w:r>
        <w:rPr>
          <w:spacing w:val="-4"/>
        </w:rPr>
        <w:t> </w:t>
      </w:r>
      <w:r>
        <w:rPr/>
        <w:t>delivered</w:t>
      </w:r>
      <w:r>
        <w:rPr>
          <w:spacing w:val="-5"/>
        </w:rPr>
        <w:t> </w:t>
      </w:r>
      <w:r>
        <w:rPr/>
        <w:t>with</w:t>
      </w:r>
      <w:r>
        <w:rPr>
          <w:spacing w:val="-5"/>
        </w:rPr>
        <w:t> </w:t>
      </w:r>
      <w:r>
        <w:rPr/>
        <w:t>our</w:t>
      </w:r>
      <w:r>
        <w:rPr>
          <w:spacing w:val="-13"/>
        </w:rPr>
        <w:t> </w:t>
      </w:r>
      <w:r>
        <w:rPr/>
        <w:t>Adobe Experience</w:t>
      </w:r>
      <w:r>
        <w:rPr>
          <w:spacing w:val="-12"/>
        </w:rPr>
        <w:t> </w:t>
      </w:r>
      <w:r>
        <w:rPr/>
        <w:t>Cloud</w:t>
      </w:r>
      <w:r>
        <w:rPr>
          <w:spacing w:val="-12"/>
        </w:rPr>
        <w:t> </w:t>
      </w:r>
      <w:r>
        <w:rPr/>
        <w:t>solutions.</w:t>
      </w:r>
      <w:r>
        <w:rPr>
          <w:spacing w:val="-11"/>
        </w:rPr>
        <w:t> </w:t>
      </w:r>
      <w:r>
        <w:rPr/>
        <w:t>By</w:t>
      </w:r>
      <w:r>
        <w:rPr>
          <w:spacing w:val="-11"/>
        </w:rPr>
        <w:t> </w:t>
      </w:r>
      <w:r>
        <w:rPr/>
        <w:t>combining</w:t>
      </w:r>
      <w:r>
        <w:rPr>
          <w:spacing w:val="-12"/>
        </w:rPr>
        <w:t> </w:t>
      </w:r>
      <w:r>
        <w:rPr/>
        <w:t>the</w:t>
      </w:r>
      <w:r>
        <w:rPr>
          <w:spacing w:val="-12"/>
        </w:rPr>
        <w:t> </w:t>
      </w:r>
      <w:r>
        <w:rPr/>
        <w:t>creativity</w:t>
      </w:r>
      <w:r>
        <w:rPr>
          <w:spacing w:val="-11"/>
        </w:rPr>
        <w:t> </w:t>
      </w:r>
      <w:r>
        <w:rPr/>
        <w:t>of</w:t>
      </w:r>
      <w:r>
        <w:rPr>
          <w:spacing w:val="-11"/>
        </w:rPr>
        <w:t> </w:t>
      </w:r>
      <w:r>
        <w:rPr/>
        <w:t>our</w:t>
      </w:r>
      <w:r>
        <w:rPr>
          <w:spacing w:val="-12"/>
        </w:rPr>
        <w:t> </w:t>
      </w:r>
      <w:r>
        <w:rPr/>
        <w:t>Digital</w:t>
      </w:r>
      <w:r>
        <w:rPr>
          <w:spacing w:val="-12"/>
        </w:rPr>
        <w:t> </w:t>
      </w:r>
      <w:r>
        <w:rPr/>
        <w:t>Media</w:t>
      </w:r>
      <w:r>
        <w:rPr>
          <w:spacing w:val="-12"/>
        </w:rPr>
        <w:t> </w:t>
      </w:r>
      <w:r>
        <w:rPr/>
        <w:t>business</w:t>
      </w:r>
      <w:r>
        <w:rPr>
          <w:spacing w:val="-11"/>
        </w:rPr>
        <w:t> </w:t>
      </w:r>
      <w:r>
        <w:rPr/>
        <w:t>with</w:t>
      </w:r>
      <w:r>
        <w:rPr>
          <w:spacing w:val="-12"/>
        </w:rPr>
        <w:t> </w:t>
      </w:r>
      <w:r>
        <w:rPr/>
        <w:t>the</w:t>
      </w:r>
      <w:r>
        <w:rPr>
          <w:spacing w:val="-11"/>
        </w:rPr>
        <w:t> </w:t>
      </w:r>
      <w:r>
        <w:rPr/>
        <w:t>science</w:t>
      </w:r>
      <w:r>
        <w:rPr>
          <w:spacing w:val="-12"/>
        </w:rPr>
        <w:t> </w:t>
      </w:r>
      <w:r>
        <w:rPr/>
        <w:t>of</w:t>
      </w:r>
      <w:r>
        <w:rPr>
          <w:spacing w:val="-12"/>
        </w:rPr>
        <w:t> </w:t>
      </w:r>
      <w:r>
        <w:rPr/>
        <w:t>our</w:t>
      </w:r>
      <w:r>
        <w:rPr>
          <w:spacing w:val="-11"/>
        </w:rPr>
        <w:t> </w:t>
      </w:r>
      <w:r>
        <w:rPr/>
        <w:t>Digital</w:t>
      </w:r>
      <w:r>
        <w:rPr>
          <w:spacing w:val="-12"/>
        </w:rPr>
        <w:t> </w:t>
      </w:r>
      <w:r>
        <w:rPr/>
        <w:t>Experience offerings,</w:t>
      </w:r>
      <w:r>
        <w:rPr>
          <w:spacing w:val="-12"/>
        </w:rPr>
        <w:t> </w:t>
      </w:r>
      <w:r>
        <w:rPr/>
        <w:t>we</w:t>
      </w:r>
      <w:r>
        <w:rPr>
          <w:spacing w:val="-12"/>
        </w:rPr>
        <w:t> </w:t>
      </w:r>
      <w:r>
        <w:rPr/>
        <w:t>help</w:t>
      </w:r>
      <w:r>
        <w:rPr>
          <w:spacing w:val="-12"/>
        </w:rPr>
        <w:t> </w:t>
      </w:r>
      <w:r>
        <w:rPr/>
        <w:t>our</w:t>
      </w:r>
      <w:r>
        <w:rPr>
          <w:spacing w:val="-12"/>
        </w:rPr>
        <w:t> </w:t>
      </w:r>
      <w:r>
        <w:rPr/>
        <w:t>customers</w:t>
      </w:r>
      <w:r>
        <w:rPr>
          <w:spacing w:val="-12"/>
        </w:rPr>
        <w:t> </w:t>
      </w:r>
      <w:r>
        <w:rPr/>
        <w:t>more</w:t>
      </w:r>
      <w:r>
        <w:rPr>
          <w:spacing w:val="-12"/>
        </w:rPr>
        <w:t> </w:t>
      </w:r>
      <w:r>
        <w:rPr/>
        <w:t>efficiently</w:t>
      </w:r>
      <w:r>
        <w:rPr>
          <w:spacing w:val="-12"/>
        </w:rPr>
        <w:t> </w:t>
      </w:r>
      <w:r>
        <w:rPr/>
        <w:t>and</w:t>
      </w:r>
      <w:r>
        <w:rPr>
          <w:spacing w:val="-12"/>
        </w:rPr>
        <w:t> </w:t>
      </w:r>
      <w:r>
        <w:rPr/>
        <w:t>effectively</w:t>
      </w:r>
      <w:r>
        <w:rPr>
          <w:spacing w:val="-12"/>
        </w:rPr>
        <w:t> </w:t>
      </w:r>
      <w:r>
        <w:rPr/>
        <w:t>make,</w:t>
      </w:r>
      <w:r>
        <w:rPr>
          <w:spacing w:val="-12"/>
        </w:rPr>
        <w:t> </w:t>
      </w:r>
      <w:r>
        <w:rPr/>
        <w:t>manage,</w:t>
      </w:r>
      <w:r>
        <w:rPr>
          <w:spacing w:val="-12"/>
        </w:rPr>
        <w:t> </w:t>
      </w:r>
      <w:r>
        <w:rPr/>
        <w:t>measure</w:t>
      </w:r>
      <w:r>
        <w:rPr>
          <w:spacing w:val="-12"/>
        </w:rPr>
        <w:t> </w:t>
      </w:r>
      <w:r>
        <w:rPr/>
        <w:t>and</w:t>
      </w:r>
      <w:r>
        <w:rPr>
          <w:spacing w:val="-12"/>
        </w:rPr>
        <w:t> </w:t>
      </w:r>
      <w:r>
        <w:rPr/>
        <w:t>monetize</w:t>
      </w:r>
      <w:r>
        <w:rPr>
          <w:spacing w:val="-12"/>
        </w:rPr>
        <w:t> </w:t>
      </w:r>
      <w:r>
        <w:rPr/>
        <w:t>their</w:t>
      </w:r>
      <w:r>
        <w:rPr>
          <w:spacing w:val="-12"/>
        </w:rPr>
        <w:t> </w:t>
      </w:r>
      <w:r>
        <w:rPr/>
        <w:t>content</w:t>
      </w:r>
      <w:r>
        <w:rPr>
          <w:spacing w:val="-12"/>
        </w:rPr>
        <w:t> </w:t>
      </w:r>
      <w:r>
        <w:rPr/>
        <w:t>across</w:t>
      </w:r>
      <w:r>
        <w:rPr>
          <w:spacing w:val="-12"/>
        </w:rPr>
        <w:t> </w:t>
      </w:r>
      <w:r>
        <w:rPr/>
        <w:t>every channel with an end-to-end workflow and feedback loop.</w:t>
      </w:r>
    </w:p>
    <w:p>
      <w:pPr>
        <w:pStyle w:val="BodyText"/>
        <w:spacing w:line="249" w:lineRule="auto" w:before="165"/>
        <w:ind w:left="220" w:right="257" w:firstLine="540"/>
        <w:jc w:val="both"/>
      </w:pPr>
      <w:r>
        <w:rPr/>
        <w:t>We</w:t>
      </w:r>
      <w:r>
        <w:rPr>
          <w:spacing w:val="-7"/>
        </w:rPr>
        <w:t> </w:t>
      </w:r>
      <w:r>
        <w:rPr/>
        <w:t>believe</w:t>
      </w:r>
      <w:r>
        <w:rPr>
          <w:spacing w:val="-7"/>
        </w:rPr>
        <w:t> </w:t>
      </w:r>
      <w:r>
        <w:rPr/>
        <w:t>we</w:t>
      </w:r>
      <w:r>
        <w:rPr>
          <w:spacing w:val="-7"/>
        </w:rPr>
        <w:t> </w:t>
      </w:r>
      <w:r>
        <w:rPr/>
        <w:t>are</w:t>
      </w:r>
      <w:r>
        <w:rPr>
          <w:spacing w:val="-7"/>
        </w:rPr>
        <w:t> </w:t>
      </w:r>
      <w:r>
        <w:rPr/>
        <w:t>uniquely</w:t>
      </w:r>
      <w:r>
        <w:rPr>
          <w:spacing w:val="-7"/>
        </w:rPr>
        <w:t> </w:t>
      </w:r>
      <w:r>
        <w:rPr/>
        <w:t>positioned</w:t>
      </w:r>
      <w:r>
        <w:rPr>
          <w:spacing w:val="-7"/>
        </w:rPr>
        <w:t> </w:t>
      </w:r>
      <w:r>
        <w:rPr/>
        <w:t>to</w:t>
      </w:r>
      <w:r>
        <w:rPr>
          <w:spacing w:val="-7"/>
        </w:rPr>
        <w:t> </w:t>
      </w:r>
      <w:r>
        <w:rPr/>
        <w:t>be</w:t>
      </w:r>
      <w:r>
        <w:rPr>
          <w:spacing w:val="-7"/>
        </w:rPr>
        <w:t> </w:t>
      </w:r>
      <w:r>
        <w:rPr/>
        <w:t>a</w:t>
      </w:r>
      <w:r>
        <w:rPr>
          <w:spacing w:val="-7"/>
        </w:rPr>
        <w:t> </w:t>
      </w:r>
      <w:r>
        <w:rPr/>
        <w:t>leader</w:t>
      </w:r>
      <w:r>
        <w:rPr>
          <w:spacing w:val="-7"/>
        </w:rPr>
        <w:t> </w:t>
      </w:r>
      <w:r>
        <w:rPr/>
        <w:t>in</w:t>
      </w:r>
      <w:r>
        <w:rPr>
          <w:spacing w:val="-7"/>
        </w:rPr>
        <w:t> </w:t>
      </w:r>
      <w:r>
        <w:rPr/>
        <w:t>both</w:t>
      </w:r>
      <w:r>
        <w:rPr>
          <w:spacing w:val="-7"/>
        </w:rPr>
        <w:t> </w:t>
      </w:r>
      <w:r>
        <w:rPr/>
        <w:t>the</w:t>
      </w:r>
      <w:r>
        <w:rPr>
          <w:spacing w:val="-7"/>
        </w:rPr>
        <w:t> </w:t>
      </w:r>
      <w:r>
        <w:rPr/>
        <w:t>Digital</w:t>
      </w:r>
      <w:r>
        <w:rPr>
          <w:spacing w:val="-7"/>
        </w:rPr>
        <w:t> </w:t>
      </w:r>
      <w:r>
        <w:rPr/>
        <w:t>Media</w:t>
      </w:r>
      <w:r>
        <w:rPr>
          <w:spacing w:val="-7"/>
        </w:rPr>
        <w:t> </w:t>
      </w:r>
      <w:r>
        <w:rPr/>
        <w:t>and</w:t>
      </w:r>
      <w:r>
        <w:rPr>
          <w:spacing w:val="-7"/>
        </w:rPr>
        <w:t> </w:t>
      </w:r>
      <w:r>
        <w:rPr/>
        <w:t>Digital</w:t>
      </w:r>
      <w:r>
        <w:rPr>
          <w:spacing w:val="-7"/>
        </w:rPr>
        <w:t> </w:t>
      </w:r>
      <w:r>
        <w:rPr/>
        <w:t>Experience</w:t>
      </w:r>
      <w:r>
        <w:rPr>
          <w:spacing w:val="-8"/>
        </w:rPr>
        <w:t> </w:t>
      </w:r>
      <w:r>
        <w:rPr/>
        <w:t>markets,</w:t>
      </w:r>
      <w:r>
        <w:rPr>
          <w:spacing w:val="-7"/>
        </w:rPr>
        <w:t> </w:t>
      </w:r>
      <w:r>
        <w:rPr/>
        <w:t>where</w:t>
      </w:r>
      <w:r>
        <w:rPr>
          <w:spacing w:val="-7"/>
        </w:rPr>
        <w:t> </w:t>
      </w:r>
      <w:r>
        <w:rPr/>
        <w:t>our mission is to change the world through digital experiences. By integrating products from each of these two areas of Adobe’s business,</w:t>
      </w:r>
      <w:r>
        <w:rPr>
          <w:spacing w:val="-9"/>
        </w:rPr>
        <w:t> </w:t>
      </w:r>
      <w:r>
        <w:rPr/>
        <w:t>our</w:t>
      </w:r>
      <w:r>
        <w:rPr>
          <w:spacing w:val="-9"/>
        </w:rPr>
        <w:t> </w:t>
      </w:r>
      <w:r>
        <w:rPr/>
        <w:t>customers</w:t>
      </w:r>
      <w:r>
        <w:rPr>
          <w:spacing w:val="-9"/>
        </w:rPr>
        <w:t> </w:t>
      </w:r>
      <w:r>
        <w:rPr/>
        <w:t>are</w:t>
      </w:r>
      <w:r>
        <w:rPr>
          <w:spacing w:val="-9"/>
        </w:rPr>
        <w:t> </w:t>
      </w:r>
      <w:r>
        <w:rPr/>
        <w:t>able</w:t>
      </w:r>
      <w:r>
        <w:rPr>
          <w:spacing w:val="-9"/>
        </w:rPr>
        <w:t> </w:t>
      </w:r>
      <w:r>
        <w:rPr/>
        <w:t>to</w:t>
      </w:r>
      <w:r>
        <w:rPr>
          <w:spacing w:val="-9"/>
        </w:rPr>
        <w:t> </w:t>
      </w:r>
      <w:r>
        <w:rPr/>
        <w:t>utilize</w:t>
      </w:r>
      <w:r>
        <w:rPr>
          <w:spacing w:val="-9"/>
        </w:rPr>
        <w:t> </w:t>
      </w:r>
      <w:r>
        <w:rPr/>
        <w:t>a</w:t>
      </w:r>
      <w:r>
        <w:rPr>
          <w:spacing w:val="-9"/>
        </w:rPr>
        <w:t> </w:t>
      </w:r>
      <w:r>
        <w:rPr/>
        <w:t>comprehensive</w:t>
      </w:r>
      <w:r>
        <w:rPr>
          <w:spacing w:val="-9"/>
        </w:rPr>
        <w:t> </w:t>
      </w:r>
      <w:r>
        <w:rPr/>
        <w:t>suite</w:t>
      </w:r>
      <w:r>
        <w:rPr>
          <w:spacing w:val="-9"/>
        </w:rPr>
        <w:t> </w:t>
      </w:r>
      <w:r>
        <w:rPr/>
        <w:t>of</w:t>
      </w:r>
      <w:r>
        <w:rPr>
          <w:spacing w:val="-9"/>
        </w:rPr>
        <w:t> </w:t>
      </w:r>
      <w:r>
        <w:rPr/>
        <w:t>solutions</w:t>
      </w:r>
      <w:r>
        <w:rPr>
          <w:spacing w:val="-9"/>
        </w:rPr>
        <w:t> </w:t>
      </w:r>
      <w:r>
        <w:rPr/>
        <w:t>and</w:t>
      </w:r>
      <w:r>
        <w:rPr>
          <w:spacing w:val="-9"/>
        </w:rPr>
        <w:t> </w:t>
      </w:r>
      <w:r>
        <w:rPr/>
        <w:t>services</w:t>
      </w:r>
      <w:r>
        <w:rPr>
          <w:spacing w:val="-9"/>
        </w:rPr>
        <w:t> </w:t>
      </w:r>
      <w:r>
        <w:rPr/>
        <w:t>that</w:t>
      </w:r>
      <w:r>
        <w:rPr>
          <w:spacing w:val="-9"/>
        </w:rPr>
        <w:t> </w:t>
      </w:r>
      <w:r>
        <w:rPr/>
        <w:t>no</w:t>
      </w:r>
      <w:r>
        <w:rPr>
          <w:spacing w:val="-9"/>
        </w:rPr>
        <w:t> </w:t>
      </w:r>
      <w:r>
        <w:rPr/>
        <w:t>other</w:t>
      </w:r>
      <w:r>
        <w:rPr>
          <w:spacing w:val="-9"/>
        </w:rPr>
        <w:t> </w:t>
      </w:r>
      <w:r>
        <w:rPr/>
        <w:t>company</w:t>
      </w:r>
      <w:r>
        <w:rPr>
          <w:spacing w:val="-9"/>
        </w:rPr>
        <w:t> </w:t>
      </w:r>
      <w:r>
        <w:rPr/>
        <w:t>currently</w:t>
      </w:r>
      <w:r>
        <w:rPr>
          <w:spacing w:val="-9"/>
        </w:rPr>
        <w:t> </w:t>
      </w:r>
      <w:r>
        <w:rPr/>
        <w:t>offers. In addition, our ability to deliver innovation and productivity improvements across customer workflows involving the creation, management,</w:t>
      </w:r>
      <w:r>
        <w:rPr>
          <w:spacing w:val="-8"/>
        </w:rPr>
        <w:t> </w:t>
      </w:r>
      <w:r>
        <w:rPr/>
        <w:t>delivery,</w:t>
      </w:r>
      <w:r>
        <w:rPr>
          <w:spacing w:val="-6"/>
        </w:rPr>
        <w:t> </w:t>
      </w:r>
      <w:r>
        <w:rPr/>
        <w:t>measurement</w:t>
      </w:r>
      <w:r>
        <w:rPr>
          <w:spacing w:val="-6"/>
        </w:rPr>
        <w:t> </w:t>
      </w:r>
      <w:r>
        <w:rPr/>
        <w:t>and</w:t>
      </w:r>
      <w:r>
        <w:rPr>
          <w:spacing w:val="-6"/>
        </w:rPr>
        <w:t> </w:t>
      </w:r>
      <w:r>
        <w:rPr/>
        <w:t>optimization</w:t>
      </w:r>
      <w:r>
        <w:rPr>
          <w:spacing w:val="-6"/>
        </w:rPr>
        <w:t> </w:t>
      </w:r>
      <w:r>
        <w:rPr/>
        <w:t>of</w:t>
      </w:r>
      <w:r>
        <w:rPr>
          <w:spacing w:val="-6"/>
        </w:rPr>
        <w:t> </w:t>
      </w:r>
      <w:r>
        <w:rPr/>
        <w:t>engaging</w:t>
      </w:r>
      <w:r>
        <w:rPr>
          <w:spacing w:val="-6"/>
        </w:rPr>
        <w:t> </w:t>
      </w:r>
      <w:r>
        <w:rPr/>
        <w:t>content</w:t>
      </w:r>
      <w:r>
        <w:rPr>
          <w:spacing w:val="-6"/>
        </w:rPr>
        <w:t> </w:t>
      </w:r>
      <w:r>
        <w:rPr/>
        <w:t>favorably</w:t>
      </w:r>
      <w:r>
        <w:rPr>
          <w:spacing w:val="-6"/>
        </w:rPr>
        <w:t> </w:t>
      </w:r>
      <w:r>
        <w:rPr/>
        <w:t>positions</w:t>
      </w:r>
      <w:r>
        <w:rPr>
          <w:spacing w:val="-13"/>
        </w:rPr>
        <w:t> </w:t>
      </w:r>
      <w:r>
        <w:rPr/>
        <w:t>Adobe</w:t>
      </w:r>
      <w:r>
        <w:rPr>
          <w:spacing w:val="-5"/>
        </w:rPr>
        <w:t> </w:t>
      </w:r>
      <w:r>
        <w:rPr/>
        <w:t>as</w:t>
      </w:r>
      <w:r>
        <w:rPr>
          <w:spacing w:val="-6"/>
        </w:rPr>
        <w:t> </w:t>
      </w:r>
      <w:r>
        <w:rPr/>
        <w:t>our</w:t>
      </w:r>
      <w:r>
        <w:rPr>
          <w:spacing w:val="-6"/>
        </w:rPr>
        <w:t> </w:t>
      </w:r>
      <w:r>
        <w:rPr/>
        <w:t>customers</w:t>
      </w:r>
      <w:r>
        <w:rPr>
          <w:spacing w:val="-6"/>
        </w:rPr>
        <w:t> </w:t>
      </w:r>
      <w:r>
        <w:rPr/>
        <w:t>continue investing in engaging their constituents digitally.</w:t>
      </w:r>
    </w:p>
    <w:p>
      <w:pPr>
        <w:pStyle w:val="BodyText"/>
        <w:spacing w:before="194"/>
      </w:pPr>
    </w:p>
    <w:p>
      <w:pPr>
        <w:pStyle w:val="Heading1"/>
        <w:spacing w:before="1"/>
        <w:ind w:left="3846" w:right="3884"/>
        <w:jc w:val="center"/>
      </w:pPr>
      <w:bookmarkStart w:name="Segments" w:id="8"/>
      <w:bookmarkEnd w:id="8"/>
      <w:r>
        <w:rPr>
          <w:b w:val="0"/>
        </w:rPr>
      </w:r>
      <w:r>
        <w:rPr>
          <w:spacing w:val="-2"/>
        </w:rPr>
        <w:t>SEGMENTS</w:t>
      </w:r>
    </w:p>
    <w:p>
      <w:pPr>
        <w:pStyle w:val="BodyText"/>
        <w:spacing w:line="249" w:lineRule="auto" w:before="214"/>
        <w:ind w:left="220" w:right="257" w:firstLine="540"/>
        <w:jc w:val="both"/>
      </w:pPr>
      <w:r>
        <w:rPr>
          <w:spacing w:val="-4"/>
        </w:rPr>
        <w:t>Effective in fiscal 2018, our business is organized into three reportable segments: Digital Media, Digital Experience (formerly </w:t>
      </w:r>
      <w:r>
        <w:rPr/>
        <w:t>Digital</w:t>
      </w:r>
      <w:r>
        <w:rPr>
          <w:spacing w:val="-8"/>
        </w:rPr>
        <w:t> </w:t>
      </w:r>
      <w:r>
        <w:rPr/>
        <w:t>Marketing),</w:t>
      </w:r>
      <w:r>
        <w:rPr>
          <w:spacing w:val="-5"/>
        </w:rPr>
        <w:t> </w:t>
      </w:r>
      <w:r>
        <w:rPr/>
        <w:t>and</w:t>
      </w:r>
      <w:r>
        <w:rPr>
          <w:spacing w:val="-4"/>
        </w:rPr>
        <w:t> </w:t>
      </w:r>
      <w:r>
        <w:rPr/>
        <w:t>Publishing</w:t>
      </w:r>
      <w:r>
        <w:rPr>
          <w:spacing w:val="-5"/>
        </w:rPr>
        <w:t> </w:t>
      </w:r>
      <w:r>
        <w:rPr/>
        <w:t>(formerly</w:t>
      </w:r>
      <w:r>
        <w:rPr>
          <w:spacing w:val="-5"/>
        </w:rPr>
        <w:t> </w:t>
      </w:r>
      <w:r>
        <w:rPr/>
        <w:t>Print</w:t>
      </w:r>
      <w:r>
        <w:rPr>
          <w:spacing w:val="-5"/>
        </w:rPr>
        <w:t> </w:t>
      </w:r>
      <w:r>
        <w:rPr/>
        <w:t>and</w:t>
      </w:r>
      <w:r>
        <w:rPr>
          <w:spacing w:val="-5"/>
        </w:rPr>
        <w:t> </w:t>
      </w:r>
      <w:r>
        <w:rPr/>
        <w:t>Publishing).</w:t>
      </w:r>
      <w:r>
        <w:rPr>
          <w:spacing w:val="-8"/>
        </w:rPr>
        <w:t> </w:t>
      </w:r>
      <w:r>
        <w:rPr/>
        <w:t>These</w:t>
      </w:r>
      <w:r>
        <w:rPr>
          <w:spacing w:val="-5"/>
        </w:rPr>
        <w:t> </w:t>
      </w:r>
      <w:r>
        <w:rPr/>
        <w:t>segments</w:t>
      </w:r>
      <w:r>
        <w:rPr>
          <w:spacing w:val="-4"/>
        </w:rPr>
        <w:t> </w:t>
      </w:r>
      <w:r>
        <w:rPr/>
        <w:t>provide</w:t>
      </w:r>
      <w:r>
        <w:rPr>
          <w:spacing w:val="-13"/>
        </w:rPr>
        <w:t> </w:t>
      </w:r>
      <w:r>
        <w:rPr/>
        <w:t>Adobe’s</w:t>
      </w:r>
      <w:r>
        <w:rPr>
          <w:spacing w:val="-5"/>
        </w:rPr>
        <w:t> </w:t>
      </w:r>
      <w:r>
        <w:rPr/>
        <w:t>senior</w:t>
      </w:r>
      <w:r>
        <w:rPr>
          <w:spacing w:val="-5"/>
        </w:rPr>
        <w:t> </w:t>
      </w:r>
      <w:r>
        <w:rPr/>
        <w:t>management</w:t>
      </w:r>
      <w:r>
        <w:rPr>
          <w:spacing w:val="-5"/>
        </w:rPr>
        <w:t> </w:t>
      </w:r>
      <w:r>
        <w:rPr/>
        <w:t>with</w:t>
      </w:r>
      <w:r>
        <w:rPr>
          <w:spacing w:val="-4"/>
        </w:rPr>
        <w:t> </w:t>
      </w:r>
      <w:r>
        <w:rPr/>
        <w:t>a comprehensive financial view of our key businesses. Our segments are aligned around our two strategic growth opportunities described above, placing our Publishing business in a third segment that contains some of our mature products and solutions.</w:t>
      </w:r>
    </w:p>
    <w:p>
      <w:pPr>
        <w:spacing w:line="249" w:lineRule="auto" w:before="163"/>
        <w:ind w:left="220" w:right="257" w:firstLine="540"/>
        <w:jc w:val="both"/>
        <w:rPr>
          <w:i/>
          <w:sz w:val="20"/>
        </w:rPr>
      </w:pPr>
      <w:r>
        <w:rPr>
          <w:sz w:val="20"/>
        </w:rPr>
        <w:t>This</w:t>
      </w:r>
      <w:r>
        <w:rPr>
          <w:spacing w:val="-11"/>
          <w:sz w:val="20"/>
        </w:rPr>
        <w:t> </w:t>
      </w:r>
      <w:r>
        <w:rPr>
          <w:sz w:val="20"/>
        </w:rPr>
        <w:t>overview</w:t>
      </w:r>
      <w:r>
        <w:rPr>
          <w:spacing w:val="-11"/>
          <w:sz w:val="20"/>
        </w:rPr>
        <w:t> </w:t>
      </w:r>
      <w:r>
        <w:rPr>
          <w:sz w:val="20"/>
        </w:rPr>
        <w:t>provides</w:t>
      </w:r>
      <w:r>
        <w:rPr>
          <w:spacing w:val="-11"/>
          <w:sz w:val="20"/>
        </w:rPr>
        <w:t> </w:t>
      </w:r>
      <w:r>
        <w:rPr>
          <w:sz w:val="20"/>
        </w:rPr>
        <w:t>an</w:t>
      </w:r>
      <w:r>
        <w:rPr>
          <w:spacing w:val="-11"/>
          <w:sz w:val="20"/>
        </w:rPr>
        <w:t> </w:t>
      </w:r>
      <w:r>
        <w:rPr>
          <w:sz w:val="20"/>
        </w:rPr>
        <w:t>explanation</w:t>
      </w:r>
      <w:r>
        <w:rPr>
          <w:spacing w:val="-11"/>
          <w:sz w:val="20"/>
        </w:rPr>
        <w:t> </w:t>
      </w:r>
      <w:r>
        <w:rPr>
          <w:sz w:val="20"/>
        </w:rPr>
        <w:t>of</w:t>
      </w:r>
      <w:r>
        <w:rPr>
          <w:spacing w:val="-11"/>
          <w:sz w:val="20"/>
        </w:rPr>
        <w:t> </w:t>
      </w:r>
      <w:r>
        <w:rPr>
          <w:sz w:val="20"/>
        </w:rPr>
        <w:t>our</w:t>
      </w:r>
      <w:r>
        <w:rPr>
          <w:spacing w:val="-11"/>
          <w:sz w:val="20"/>
        </w:rPr>
        <w:t> </w:t>
      </w:r>
      <w:r>
        <w:rPr>
          <w:sz w:val="20"/>
        </w:rPr>
        <w:t>markets</w:t>
      </w:r>
      <w:r>
        <w:rPr>
          <w:spacing w:val="-11"/>
          <w:sz w:val="20"/>
        </w:rPr>
        <w:t> </w:t>
      </w:r>
      <w:r>
        <w:rPr>
          <w:sz w:val="20"/>
        </w:rPr>
        <w:t>and</w:t>
      </w:r>
      <w:r>
        <w:rPr>
          <w:spacing w:val="-11"/>
          <w:sz w:val="20"/>
        </w:rPr>
        <w:t> </w:t>
      </w:r>
      <w:r>
        <w:rPr>
          <w:sz w:val="20"/>
        </w:rPr>
        <w:t>a</w:t>
      </w:r>
      <w:r>
        <w:rPr>
          <w:spacing w:val="-11"/>
          <w:sz w:val="20"/>
        </w:rPr>
        <w:t> </w:t>
      </w:r>
      <w:r>
        <w:rPr>
          <w:sz w:val="20"/>
        </w:rPr>
        <w:t>discussion</w:t>
      </w:r>
      <w:r>
        <w:rPr>
          <w:spacing w:val="-11"/>
          <w:sz w:val="20"/>
        </w:rPr>
        <w:t> </w:t>
      </w:r>
      <w:r>
        <w:rPr>
          <w:sz w:val="20"/>
        </w:rPr>
        <w:t>of</w:t>
      </w:r>
      <w:r>
        <w:rPr>
          <w:spacing w:val="-11"/>
          <w:sz w:val="20"/>
        </w:rPr>
        <w:t> </w:t>
      </w:r>
      <w:r>
        <w:rPr>
          <w:sz w:val="20"/>
        </w:rPr>
        <w:t>strategic</w:t>
      </w:r>
      <w:r>
        <w:rPr>
          <w:spacing w:val="-11"/>
          <w:sz w:val="20"/>
        </w:rPr>
        <w:t> </w:t>
      </w:r>
      <w:r>
        <w:rPr>
          <w:sz w:val="20"/>
        </w:rPr>
        <w:t>opportunities</w:t>
      </w:r>
      <w:r>
        <w:rPr>
          <w:spacing w:val="-11"/>
          <w:sz w:val="20"/>
        </w:rPr>
        <w:t> </w:t>
      </w:r>
      <w:r>
        <w:rPr>
          <w:sz w:val="20"/>
        </w:rPr>
        <w:t>in</w:t>
      </w:r>
      <w:r>
        <w:rPr>
          <w:spacing w:val="-11"/>
          <w:sz w:val="20"/>
        </w:rPr>
        <w:t> </w:t>
      </w:r>
      <w:r>
        <w:rPr>
          <w:sz w:val="20"/>
        </w:rPr>
        <w:t>fiscal</w:t>
      </w:r>
      <w:r>
        <w:rPr>
          <w:spacing w:val="-11"/>
          <w:sz w:val="20"/>
        </w:rPr>
        <w:t> </w:t>
      </w:r>
      <w:r>
        <w:rPr>
          <w:sz w:val="20"/>
        </w:rPr>
        <w:t>2018</w:t>
      </w:r>
      <w:r>
        <w:rPr>
          <w:spacing w:val="-11"/>
          <w:sz w:val="20"/>
        </w:rPr>
        <w:t> </w:t>
      </w:r>
      <w:r>
        <w:rPr>
          <w:sz w:val="20"/>
        </w:rPr>
        <w:t>and</w:t>
      </w:r>
      <w:r>
        <w:rPr>
          <w:spacing w:val="-11"/>
          <w:sz w:val="20"/>
        </w:rPr>
        <w:t> </w:t>
      </w:r>
      <w:r>
        <w:rPr>
          <w:sz w:val="20"/>
        </w:rPr>
        <w:t>beyond for each of our segments. </w:t>
      </w:r>
      <w:hyperlink w:history="true" w:anchor="_bookmark12">
        <w:r>
          <w:rPr>
            <w:i/>
            <w:sz w:val="20"/>
          </w:rPr>
          <w:t>See “Results of Operations” within Part II, Item</w:t>
        </w:r>
        <w:r>
          <w:rPr>
            <w:i/>
            <w:spacing w:val="-4"/>
            <w:sz w:val="20"/>
          </w:rPr>
          <w:t> </w:t>
        </w:r>
        <w:r>
          <w:rPr>
            <w:i/>
            <w:sz w:val="20"/>
          </w:rPr>
          <w:t>7 titled “Management’s Discussion and Analysis of</w:t>
        </w:r>
      </w:hyperlink>
      <w:r>
        <w:rPr>
          <w:i/>
          <w:sz w:val="20"/>
        </w:rPr>
        <w:t> </w:t>
      </w:r>
      <w:hyperlink w:history="true" w:anchor="_bookmark12">
        <w:r>
          <w:rPr>
            <w:i/>
            <w:spacing w:val="-2"/>
            <w:sz w:val="20"/>
          </w:rPr>
          <w:t>Financial</w:t>
        </w:r>
        <w:r>
          <w:rPr>
            <w:i/>
            <w:spacing w:val="-11"/>
            <w:sz w:val="20"/>
          </w:rPr>
          <w:t> </w:t>
        </w:r>
        <w:r>
          <w:rPr>
            <w:i/>
            <w:spacing w:val="-2"/>
            <w:sz w:val="20"/>
          </w:rPr>
          <w:t>Condition</w:t>
        </w:r>
        <w:r>
          <w:rPr>
            <w:i/>
            <w:spacing w:val="-10"/>
            <w:sz w:val="20"/>
          </w:rPr>
          <w:t> </w:t>
        </w:r>
        <w:r>
          <w:rPr>
            <w:i/>
            <w:spacing w:val="-2"/>
            <w:sz w:val="20"/>
          </w:rPr>
          <w:t>and</w:t>
        </w:r>
        <w:r>
          <w:rPr>
            <w:i/>
            <w:spacing w:val="-11"/>
            <w:sz w:val="20"/>
          </w:rPr>
          <w:t> </w:t>
        </w:r>
        <w:r>
          <w:rPr>
            <w:i/>
            <w:spacing w:val="-2"/>
            <w:sz w:val="20"/>
          </w:rPr>
          <w:t>Results</w:t>
        </w:r>
        <w:r>
          <w:rPr>
            <w:i/>
            <w:spacing w:val="-9"/>
            <w:sz w:val="20"/>
          </w:rPr>
          <w:t> </w:t>
        </w:r>
        <w:r>
          <w:rPr>
            <w:i/>
            <w:spacing w:val="-2"/>
            <w:sz w:val="20"/>
          </w:rPr>
          <w:t>of</w:t>
        </w:r>
        <w:r>
          <w:rPr>
            <w:i/>
            <w:spacing w:val="-10"/>
            <w:sz w:val="20"/>
          </w:rPr>
          <w:t> </w:t>
        </w:r>
        <w:r>
          <w:rPr>
            <w:i/>
            <w:spacing w:val="-2"/>
            <w:sz w:val="20"/>
          </w:rPr>
          <w:t>Operations”</w:t>
        </w:r>
      </w:hyperlink>
      <w:r>
        <w:rPr>
          <w:i/>
          <w:spacing w:val="-10"/>
          <w:sz w:val="20"/>
        </w:rPr>
        <w:t> </w:t>
      </w:r>
      <w:hyperlink w:history="true" w:anchor="_bookmark32">
        <w:r>
          <w:rPr>
            <w:i/>
            <w:spacing w:val="-2"/>
            <w:sz w:val="20"/>
          </w:rPr>
          <w:t>and</w:t>
        </w:r>
        <w:r>
          <w:rPr>
            <w:i/>
            <w:spacing w:val="-10"/>
            <w:sz w:val="20"/>
          </w:rPr>
          <w:t> </w:t>
        </w:r>
        <w:r>
          <w:rPr>
            <w:i/>
            <w:spacing w:val="-2"/>
            <w:sz w:val="20"/>
          </w:rPr>
          <w:t>Note</w:t>
        </w:r>
        <w:r>
          <w:rPr>
            <w:i/>
            <w:spacing w:val="-11"/>
            <w:sz w:val="20"/>
          </w:rPr>
          <w:t> </w:t>
        </w:r>
        <w:r>
          <w:rPr>
            <w:i/>
            <w:spacing w:val="-2"/>
            <w:sz w:val="20"/>
          </w:rPr>
          <w:t>17</w:t>
        </w:r>
        <w:r>
          <w:rPr>
            <w:i/>
            <w:spacing w:val="-10"/>
            <w:sz w:val="20"/>
          </w:rPr>
          <w:t> </w:t>
        </w:r>
        <w:r>
          <w:rPr>
            <w:i/>
            <w:spacing w:val="-2"/>
            <w:sz w:val="20"/>
          </w:rPr>
          <w:t>of</w:t>
        </w:r>
        <w:r>
          <w:rPr>
            <w:i/>
            <w:spacing w:val="-10"/>
            <w:sz w:val="20"/>
          </w:rPr>
          <w:t> </w:t>
        </w:r>
        <w:r>
          <w:rPr>
            <w:i/>
            <w:spacing w:val="-2"/>
            <w:sz w:val="20"/>
          </w:rPr>
          <w:t>our</w:t>
        </w:r>
        <w:r>
          <w:rPr>
            <w:i/>
            <w:spacing w:val="-10"/>
            <w:sz w:val="20"/>
          </w:rPr>
          <w:t> </w:t>
        </w:r>
        <w:r>
          <w:rPr>
            <w:i/>
            <w:spacing w:val="-2"/>
            <w:sz w:val="20"/>
          </w:rPr>
          <w:t>Notes</w:t>
        </w:r>
        <w:r>
          <w:rPr>
            <w:i/>
            <w:spacing w:val="-10"/>
            <w:sz w:val="20"/>
          </w:rPr>
          <w:t> </w:t>
        </w:r>
        <w:r>
          <w:rPr>
            <w:i/>
            <w:spacing w:val="-2"/>
            <w:sz w:val="20"/>
          </w:rPr>
          <w:t>to</w:t>
        </w:r>
        <w:r>
          <w:rPr>
            <w:i/>
            <w:spacing w:val="-10"/>
            <w:sz w:val="20"/>
          </w:rPr>
          <w:t> </w:t>
        </w:r>
        <w:r>
          <w:rPr>
            <w:i/>
            <w:spacing w:val="-2"/>
            <w:sz w:val="20"/>
          </w:rPr>
          <w:t>Consolidated</w:t>
        </w:r>
        <w:r>
          <w:rPr>
            <w:i/>
            <w:spacing w:val="-11"/>
            <w:sz w:val="20"/>
          </w:rPr>
          <w:t> </w:t>
        </w:r>
        <w:r>
          <w:rPr>
            <w:i/>
            <w:spacing w:val="-2"/>
            <w:sz w:val="20"/>
          </w:rPr>
          <w:t>Financial</w:t>
        </w:r>
        <w:r>
          <w:rPr>
            <w:i/>
            <w:spacing w:val="-10"/>
            <w:sz w:val="20"/>
          </w:rPr>
          <w:t> </w:t>
        </w:r>
        <w:r>
          <w:rPr>
            <w:i/>
            <w:spacing w:val="-2"/>
            <w:sz w:val="20"/>
          </w:rPr>
          <w:t>Statements</w:t>
        </w:r>
        <w:r>
          <w:rPr>
            <w:i/>
            <w:spacing w:val="-10"/>
            <w:sz w:val="20"/>
          </w:rPr>
          <w:t> </w:t>
        </w:r>
        <w:r>
          <w:rPr>
            <w:i/>
            <w:spacing w:val="-2"/>
            <w:sz w:val="20"/>
          </w:rPr>
          <w:t>for</w:t>
        </w:r>
        <w:r>
          <w:rPr>
            <w:i/>
            <w:spacing w:val="-10"/>
            <w:sz w:val="20"/>
          </w:rPr>
          <w:t> </w:t>
        </w:r>
        <w:r>
          <w:rPr>
            <w:i/>
            <w:spacing w:val="-2"/>
            <w:sz w:val="20"/>
          </w:rPr>
          <w:t>further</w:t>
        </w:r>
        <w:r>
          <w:rPr>
            <w:i/>
            <w:spacing w:val="-10"/>
            <w:sz w:val="20"/>
          </w:rPr>
          <w:t> </w:t>
        </w:r>
        <w:r>
          <w:rPr>
            <w:i/>
            <w:spacing w:val="-2"/>
            <w:sz w:val="20"/>
          </w:rPr>
          <w:t>segment</w:t>
        </w:r>
      </w:hyperlink>
      <w:r>
        <w:rPr>
          <w:i/>
          <w:spacing w:val="-2"/>
          <w:sz w:val="20"/>
        </w:rPr>
        <w:t> </w:t>
      </w:r>
      <w:hyperlink w:history="true" w:anchor="_bookmark32">
        <w:r>
          <w:rPr>
            <w:i/>
            <w:spacing w:val="-2"/>
            <w:sz w:val="20"/>
          </w:rPr>
          <w:t>information.</w:t>
        </w:r>
      </w:hyperlink>
    </w:p>
    <w:p>
      <w:pPr>
        <w:pStyle w:val="BodyText"/>
        <w:spacing w:before="13"/>
        <w:rPr>
          <w:i/>
        </w:rPr>
      </w:pPr>
    </w:p>
    <w:p>
      <w:pPr>
        <w:pStyle w:val="Heading1"/>
        <w:ind w:left="3845" w:right="3890"/>
        <w:jc w:val="center"/>
      </w:pPr>
      <w:bookmarkStart w:name="Market Overview" w:id="9"/>
      <w:bookmarkEnd w:id="9"/>
      <w:r>
        <w:rPr>
          <w:b w:val="0"/>
        </w:rPr>
      </w:r>
      <w:r>
        <w:rPr/>
        <w:t>MARKET</w:t>
      </w:r>
      <w:r>
        <w:rPr>
          <w:spacing w:val="-4"/>
        </w:rPr>
        <w:t> </w:t>
      </w:r>
      <w:r>
        <w:rPr>
          <w:spacing w:val="-2"/>
        </w:rPr>
        <w:t>OVERVIEW</w:t>
      </w:r>
    </w:p>
    <w:p>
      <w:pPr>
        <w:pStyle w:val="Heading2"/>
        <w:spacing w:before="190"/>
        <w:ind w:left="210"/>
      </w:pPr>
      <w:r>
        <w:rPr/>
        <w:t>Digital </w:t>
      </w:r>
      <w:r>
        <w:rPr>
          <w:spacing w:val="-2"/>
        </w:rPr>
        <w:t>Media</w:t>
      </w:r>
    </w:p>
    <w:p>
      <w:pPr>
        <w:spacing w:before="190"/>
        <w:ind w:left="210" w:right="0" w:firstLine="0"/>
        <w:jc w:val="left"/>
        <w:rPr>
          <w:i/>
          <w:sz w:val="20"/>
        </w:rPr>
      </w:pPr>
      <w:r>
        <w:rPr>
          <w:i/>
          <w:sz w:val="20"/>
        </w:rPr>
        <w:t>Digital Media </w:t>
      </w:r>
      <w:r>
        <w:rPr>
          <w:i/>
          <w:spacing w:val="-2"/>
          <w:sz w:val="20"/>
        </w:rPr>
        <w:t>Opportunity</w:t>
      </w:r>
    </w:p>
    <w:p>
      <w:pPr>
        <w:pStyle w:val="BodyText"/>
        <w:spacing w:line="249" w:lineRule="auto" w:before="190"/>
        <w:ind w:left="210" w:right="257" w:firstLine="540"/>
        <w:jc w:val="both"/>
      </w:pPr>
      <w:r>
        <w:rPr/>
        <w:t>Recent technology trends in digital communications continue to provide a significant market opportunity for Adobe in digital</w:t>
      </w:r>
      <w:r>
        <w:rPr>
          <w:spacing w:val="-10"/>
        </w:rPr>
        <w:t> </w:t>
      </w:r>
      <w:r>
        <w:rPr/>
        <w:t>media.</w:t>
      </w:r>
      <w:r>
        <w:rPr>
          <w:spacing w:val="-10"/>
        </w:rPr>
        <w:t> </w:t>
      </w:r>
      <w:r>
        <w:rPr/>
        <w:t>In</w:t>
      </w:r>
      <w:r>
        <w:rPr>
          <w:spacing w:val="-10"/>
        </w:rPr>
        <w:t> </w:t>
      </w:r>
      <w:r>
        <w:rPr/>
        <w:t>today’s</w:t>
      </w:r>
      <w:r>
        <w:rPr>
          <w:spacing w:val="-10"/>
        </w:rPr>
        <w:t> </w:t>
      </w:r>
      <w:r>
        <w:rPr/>
        <w:t>world</w:t>
      </w:r>
      <w:r>
        <w:rPr>
          <w:spacing w:val="-10"/>
        </w:rPr>
        <w:t> </w:t>
      </w:r>
      <w:r>
        <w:rPr/>
        <w:t>where</w:t>
      </w:r>
      <w:r>
        <w:rPr>
          <w:spacing w:val="-10"/>
        </w:rPr>
        <w:t> </w:t>
      </w:r>
      <w:r>
        <w:rPr/>
        <w:t>the</w:t>
      </w:r>
      <w:r>
        <w:rPr>
          <w:spacing w:val="-10"/>
        </w:rPr>
        <w:t> </w:t>
      </w:r>
      <w:r>
        <w:rPr/>
        <w:t>velocity</w:t>
      </w:r>
      <w:r>
        <w:rPr>
          <w:spacing w:val="-10"/>
        </w:rPr>
        <w:t> </w:t>
      </w:r>
      <w:r>
        <w:rPr/>
        <w:t>of</w:t>
      </w:r>
      <w:r>
        <w:rPr>
          <w:spacing w:val="-10"/>
        </w:rPr>
        <w:t> </w:t>
      </w:r>
      <w:r>
        <w:rPr/>
        <w:t>creation</w:t>
      </w:r>
      <w:r>
        <w:rPr>
          <w:spacing w:val="-10"/>
        </w:rPr>
        <w:t> </w:t>
      </w:r>
      <w:r>
        <w:rPr/>
        <w:t>and</w:t>
      </w:r>
      <w:r>
        <w:rPr>
          <w:spacing w:val="-10"/>
        </w:rPr>
        <w:t> </w:t>
      </w:r>
      <w:r>
        <w:rPr/>
        <w:t>consumption</w:t>
      </w:r>
      <w:r>
        <w:rPr>
          <w:spacing w:val="-10"/>
        </w:rPr>
        <w:t> </w:t>
      </w:r>
      <w:r>
        <w:rPr/>
        <w:t>of</w:t>
      </w:r>
      <w:r>
        <w:rPr>
          <w:spacing w:val="-10"/>
        </w:rPr>
        <w:t> </w:t>
      </w:r>
      <w:r>
        <w:rPr/>
        <w:t>digital</w:t>
      </w:r>
      <w:r>
        <w:rPr>
          <w:spacing w:val="-10"/>
        </w:rPr>
        <w:t> </w:t>
      </w:r>
      <w:r>
        <w:rPr/>
        <w:t>content</w:t>
      </w:r>
      <w:r>
        <w:rPr>
          <w:spacing w:val="-10"/>
        </w:rPr>
        <w:t> </w:t>
      </w:r>
      <w:r>
        <w:rPr/>
        <w:t>is</w:t>
      </w:r>
      <w:r>
        <w:rPr>
          <w:spacing w:val="-10"/>
        </w:rPr>
        <w:t> </w:t>
      </w:r>
      <w:r>
        <w:rPr/>
        <w:t>ever</w:t>
      </w:r>
      <w:r>
        <w:rPr>
          <w:spacing w:val="-10"/>
        </w:rPr>
        <w:t> </w:t>
      </w:r>
      <w:r>
        <w:rPr/>
        <w:t>increasing,</w:t>
      </w:r>
      <w:r>
        <w:rPr>
          <w:spacing w:val="-10"/>
        </w:rPr>
        <w:t> </w:t>
      </w:r>
      <w:r>
        <w:rPr/>
        <w:t>customers</w:t>
      </w:r>
      <w:r>
        <w:rPr>
          <w:spacing w:val="-10"/>
        </w:rPr>
        <w:t> </w:t>
      </w:r>
      <w:r>
        <w:rPr/>
        <w:t>are looking</w:t>
      </w:r>
      <w:r>
        <w:rPr>
          <w:spacing w:val="-13"/>
        </w:rPr>
        <w:t> </w:t>
      </w:r>
      <w:r>
        <w:rPr/>
        <w:t>for</w:t>
      </w:r>
      <w:r>
        <w:rPr>
          <w:spacing w:val="-12"/>
        </w:rPr>
        <w:t> </w:t>
      </w:r>
      <w:r>
        <w:rPr/>
        <w:t>a</w:t>
      </w:r>
      <w:r>
        <w:rPr>
          <w:spacing w:val="-13"/>
        </w:rPr>
        <w:t> </w:t>
      </w:r>
      <w:r>
        <w:rPr/>
        <w:t>way</w:t>
      </w:r>
      <w:r>
        <w:rPr>
          <w:spacing w:val="-12"/>
        </w:rPr>
        <w:t> </w:t>
      </w:r>
      <w:r>
        <w:rPr/>
        <w:t>to</w:t>
      </w:r>
      <w:r>
        <w:rPr>
          <w:spacing w:val="-13"/>
        </w:rPr>
        <w:t> </w:t>
      </w:r>
      <w:r>
        <w:rPr/>
        <w:t>meet</w:t>
      </w:r>
      <w:r>
        <w:rPr>
          <w:spacing w:val="-12"/>
        </w:rPr>
        <w:t> </w:t>
      </w:r>
      <w:r>
        <w:rPr/>
        <w:t>demand</w:t>
      </w:r>
      <w:r>
        <w:rPr>
          <w:spacing w:val="-13"/>
        </w:rPr>
        <w:t> </w:t>
      </w:r>
      <w:r>
        <w:rPr/>
        <w:t>with</w:t>
      </w:r>
      <w:r>
        <w:rPr>
          <w:spacing w:val="-12"/>
        </w:rPr>
        <w:t> </w:t>
      </w:r>
      <w:r>
        <w:rPr/>
        <w:t>engaging</w:t>
      </w:r>
      <w:r>
        <w:rPr>
          <w:spacing w:val="-13"/>
        </w:rPr>
        <w:t> </w:t>
      </w:r>
      <w:r>
        <w:rPr/>
        <w:t>online</w:t>
      </w:r>
      <w:r>
        <w:rPr>
          <w:spacing w:val="-12"/>
        </w:rPr>
        <w:t> </w:t>
      </w:r>
      <w:r>
        <w:rPr/>
        <w:t>experiences.</w:t>
      </w:r>
      <w:r>
        <w:rPr>
          <w:spacing w:val="-13"/>
        </w:rPr>
        <w:t> </w:t>
      </w:r>
      <w:r>
        <w:rPr/>
        <w:t>Adobe</w:t>
      </w:r>
      <w:r>
        <w:rPr>
          <w:spacing w:val="-12"/>
        </w:rPr>
        <w:t> </w:t>
      </w:r>
      <w:r>
        <w:rPr/>
        <w:t>is</w:t>
      </w:r>
      <w:r>
        <w:rPr>
          <w:spacing w:val="-13"/>
        </w:rPr>
        <w:t> </w:t>
      </w:r>
      <w:r>
        <w:rPr/>
        <w:t>in</w:t>
      </w:r>
      <w:r>
        <w:rPr>
          <w:spacing w:val="-12"/>
        </w:rPr>
        <w:t> </w:t>
      </w:r>
      <w:r>
        <w:rPr/>
        <w:t>a</w:t>
      </w:r>
      <w:r>
        <w:rPr>
          <w:spacing w:val="-13"/>
        </w:rPr>
        <w:t> </w:t>
      </w:r>
      <w:r>
        <w:rPr/>
        <w:t>strong</w:t>
      </w:r>
      <w:r>
        <w:rPr>
          <w:spacing w:val="-12"/>
        </w:rPr>
        <w:t> </w:t>
      </w:r>
      <w:r>
        <w:rPr/>
        <w:t>position</w:t>
      </w:r>
      <w:r>
        <w:rPr>
          <w:spacing w:val="-13"/>
        </w:rPr>
        <w:t> </w:t>
      </w:r>
      <w:r>
        <w:rPr/>
        <w:t>to</w:t>
      </w:r>
      <w:r>
        <w:rPr>
          <w:spacing w:val="-12"/>
        </w:rPr>
        <w:t> </w:t>
      </w:r>
      <w:r>
        <w:rPr/>
        <w:t>capitalize</w:t>
      </w:r>
      <w:r>
        <w:rPr>
          <w:spacing w:val="-13"/>
        </w:rPr>
        <w:t> </w:t>
      </w:r>
      <w:r>
        <w:rPr/>
        <w:t>on</w:t>
      </w:r>
      <w:r>
        <w:rPr>
          <w:spacing w:val="-12"/>
        </w:rPr>
        <w:t> </w:t>
      </w:r>
      <w:r>
        <w:rPr/>
        <w:t>this</w:t>
      </w:r>
      <w:r>
        <w:rPr>
          <w:spacing w:val="-13"/>
        </w:rPr>
        <w:t> </w:t>
      </w:r>
      <w:r>
        <w:rPr/>
        <w:t>opportunity by driving modernization and innovation that will accelerate the creative process across all platforms and devices, deepen </w:t>
      </w:r>
      <w:r>
        <w:rPr>
          <w:spacing w:val="-2"/>
        </w:rPr>
        <w:t>engagement with communities, and accelerate long-term revenue growth by focusing on cloud-based offerings, which are </w:t>
      </w:r>
      <w:r>
        <w:rPr>
          <w:spacing w:val="-2"/>
        </w:rPr>
        <w:t>licensed </w:t>
      </w:r>
      <w:r>
        <w:rPr/>
        <w:t>on a subscription basis.</w:t>
      </w:r>
    </w:p>
    <w:p>
      <w:pPr>
        <w:pStyle w:val="BodyText"/>
        <w:spacing w:line="249" w:lineRule="auto" w:before="165"/>
        <w:ind w:left="210" w:right="257" w:firstLine="540"/>
        <w:jc w:val="both"/>
      </w:pPr>
      <w:r>
        <w:rPr/>
        <w:t>The flagship of our Digital Media business is</w:t>
      </w:r>
      <w:r>
        <w:rPr>
          <w:spacing w:val="-9"/>
        </w:rPr>
        <w:t> </w:t>
      </w:r>
      <w:r>
        <w:rPr/>
        <w:t>Adobe Creative Cloud—a subscription service that allows members to use Adobe’s creative products integrated with cloud-delivered services across desktop, web and mobile devices.</w:t>
      </w:r>
      <w:r>
        <w:rPr>
          <w:spacing w:val="40"/>
        </w:rPr>
        <w:t> </w:t>
      </w:r>
      <w:r>
        <w:rPr/>
        <w:t>Creative Cloud members can download and access the latest versions of our creative products such as Photoshop CC, Illustrator CC, Premiere Pro CC, Lightroom CC, InDesign CC,</w:t>
      </w:r>
      <w:r>
        <w:rPr>
          <w:spacing w:val="-4"/>
        </w:rPr>
        <w:t> </w:t>
      </w:r>
      <w:r>
        <w:rPr/>
        <w:t>Adobe XD CC and many more creative applications.</w:t>
      </w:r>
      <w:r>
        <w:rPr>
          <w:spacing w:val="40"/>
        </w:rPr>
        <w:t> </w:t>
      </w:r>
      <w:r>
        <w:rPr/>
        <w:t>In addition, members can access built-in</w:t>
      </w:r>
      <w:r>
        <w:rPr>
          <w:spacing w:val="-3"/>
        </w:rPr>
        <w:t> </w:t>
      </w:r>
      <w:r>
        <w:rPr/>
        <w:t>templates</w:t>
      </w:r>
      <w:r>
        <w:rPr>
          <w:spacing w:val="-2"/>
        </w:rPr>
        <w:t> </w:t>
      </w:r>
      <w:r>
        <w:rPr/>
        <w:t>to</w:t>
      </w:r>
      <w:r>
        <w:rPr>
          <w:spacing w:val="-2"/>
        </w:rPr>
        <w:t> </w:t>
      </w:r>
      <w:r>
        <w:rPr/>
        <w:t>jumpstart</w:t>
      </w:r>
      <w:r>
        <w:rPr>
          <w:spacing w:val="-3"/>
        </w:rPr>
        <w:t> </w:t>
      </w:r>
      <w:r>
        <w:rPr/>
        <w:t>designs</w:t>
      </w:r>
      <w:r>
        <w:rPr>
          <w:spacing w:val="-2"/>
        </w:rPr>
        <w:t> </w:t>
      </w:r>
      <w:r>
        <w:rPr/>
        <w:t>and</w:t>
      </w:r>
      <w:r>
        <w:rPr>
          <w:spacing w:val="-2"/>
        </w:rPr>
        <w:t> </w:t>
      </w:r>
      <w:r>
        <w:rPr/>
        <w:t>step-by-step</w:t>
      </w:r>
      <w:r>
        <w:rPr>
          <w:spacing w:val="-2"/>
        </w:rPr>
        <w:t> </w:t>
      </w:r>
      <w:r>
        <w:rPr/>
        <w:t>tutorials</w:t>
      </w:r>
      <w:r>
        <w:rPr>
          <w:spacing w:val="-2"/>
        </w:rPr>
        <w:t> </w:t>
      </w:r>
      <w:r>
        <w:rPr/>
        <w:t>to</w:t>
      </w:r>
      <w:r>
        <w:rPr>
          <w:spacing w:val="-2"/>
        </w:rPr>
        <w:t> </w:t>
      </w:r>
      <w:r>
        <w:rPr/>
        <w:t>sharpen</w:t>
      </w:r>
      <w:r>
        <w:rPr>
          <w:spacing w:val="-2"/>
        </w:rPr>
        <w:t> </w:t>
      </w:r>
      <w:r>
        <w:rPr/>
        <w:t>skills</w:t>
      </w:r>
      <w:r>
        <w:rPr>
          <w:spacing w:val="-2"/>
        </w:rPr>
        <w:t> </w:t>
      </w:r>
      <w:r>
        <w:rPr/>
        <w:t>and</w:t>
      </w:r>
      <w:r>
        <w:rPr>
          <w:spacing w:val="-2"/>
        </w:rPr>
        <w:t> </w:t>
      </w:r>
      <w:r>
        <w:rPr/>
        <w:t>get</w:t>
      </w:r>
      <w:r>
        <w:rPr>
          <w:spacing w:val="-2"/>
        </w:rPr>
        <w:t> </w:t>
      </w:r>
      <w:r>
        <w:rPr/>
        <w:t>up</w:t>
      </w:r>
      <w:r>
        <w:rPr>
          <w:spacing w:val="-2"/>
        </w:rPr>
        <w:t> </w:t>
      </w:r>
      <w:r>
        <w:rPr/>
        <w:t>to</w:t>
      </w:r>
      <w:r>
        <w:rPr>
          <w:spacing w:val="-2"/>
        </w:rPr>
        <w:t> </w:t>
      </w:r>
      <w:r>
        <w:rPr/>
        <w:t>speed</w:t>
      </w:r>
      <w:r>
        <w:rPr>
          <w:spacing w:val="-2"/>
        </w:rPr>
        <w:t> </w:t>
      </w:r>
      <w:r>
        <w:rPr/>
        <w:t>quickly.</w:t>
      </w:r>
      <w:r>
        <w:rPr>
          <w:spacing w:val="-6"/>
        </w:rPr>
        <w:t> </w:t>
      </w:r>
      <w:r>
        <w:rPr/>
        <w:t>Through</w:t>
      </w:r>
      <w:r>
        <w:rPr>
          <w:spacing w:val="-2"/>
        </w:rPr>
        <w:t> </w:t>
      </w:r>
      <w:r>
        <w:rPr/>
        <w:t>Creative Cloud,</w:t>
      </w:r>
      <w:r>
        <w:rPr>
          <w:spacing w:val="-4"/>
        </w:rPr>
        <w:t> </w:t>
      </w:r>
      <w:r>
        <w:rPr/>
        <w:t>members</w:t>
      </w:r>
      <w:r>
        <w:rPr>
          <w:spacing w:val="-1"/>
        </w:rPr>
        <w:t> </w:t>
      </w:r>
      <w:r>
        <w:rPr/>
        <w:t>can</w:t>
      </w:r>
      <w:r>
        <w:rPr>
          <w:spacing w:val="-2"/>
        </w:rPr>
        <w:t> </w:t>
      </w:r>
      <w:r>
        <w:rPr/>
        <w:t>access</w:t>
      </w:r>
      <w:r>
        <w:rPr>
          <w:spacing w:val="-1"/>
        </w:rPr>
        <w:t> </w:t>
      </w:r>
      <w:r>
        <w:rPr/>
        <w:t>online</w:t>
      </w:r>
      <w:r>
        <w:rPr>
          <w:spacing w:val="-2"/>
        </w:rPr>
        <w:t> </w:t>
      </w:r>
      <w:r>
        <w:rPr/>
        <w:t>services</w:t>
      </w:r>
      <w:r>
        <w:rPr>
          <w:spacing w:val="-1"/>
        </w:rPr>
        <w:t> </w:t>
      </w:r>
      <w:r>
        <w:rPr/>
        <w:t>to</w:t>
      </w:r>
      <w:r>
        <w:rPr>
          <w:spacing w:val="-1"/>
        </w:rPr>
        <w:t> </w:t>
      </w:r>
      <w:r>
        <w:rPr/>
        <w:t>sync,</w:t>
      </w:r>
      <w:r>
        <w:rPr>
          <w:spacing w:val="-1"/>
        </w:rPr>
        <w:t> </w:t>
      </w:r>
      <w:r>
        <w:rPr/>
        <w:t>store,</w:t>
      </w:r>
      <w:r>
        <w:rPr>
          <w:spacing w:val="-1"/>
        </w:rPr>
        <w:t> </w:t>
      </w:r>
      <w:r>
        <w:rPr/>
        <w:t>and</w:t>
      </w:r>
      <w:r>
        <w:rPr>
          <w:spacing w:val="-1"/>
        </w:rPr>
        <w:t> </w:t>
      </w:r>
      <w:r>
        <w:rPr/>
        <w:t>share</w:t>
      </w:r>
      <w:r>
        <w:rPr>
          <w:spacing w:val="-2"/>
        </w:rPr>
        <w:t> </w:t>
      </w:r>
      <w:r>
        <w:rPr/>
        <w:t>files</w:t>
      </w:r>
      <w:r>
        <w:rPr>
          <w:spacing w:val="-1"/>
        </w:rPr>
        <w:t> </w:t>
      </w:r>
      <w:r>
        <w:rPr/>
        <w:t>across</w:t>
      </w:r>
      <w:r>
        <w:rPr>
          <w:spacing w:val="-1"/>
        </w:rPr>
        <w:t> </w:t>
      </w:r>
      <w:r>
        <w:rPr/>
        <w:t>users’</w:t>
      </w:r>
      <w:r>
        <w:rPr>
          <w:spacing w:val="-13"/>
        </w:rPr>
        <w:t> </w:t>
      </w:r>
      <w:r>
        <w:rPr/>
        <w:t>machines,</w:t>
      </w:r>
      <w:r>
        <w:rPr>
          <w:spacing w:val="-2"/>
        </w:rPr>
        <w:t> </w:t>
      </w:r>
      <w:r>
        <w:rPr/>
        <w:t>access</w:t>
      </w:r>
      <w:r>
        <w:rPr>
          <w:spacing w:val="-1"/>
        </w:rPr>
        <w:t> </w:t>
      </w:r>
      <w:r>
        <w:rPr/>
        <w:t>marketplace,</w:t>
      </w:r>
      <w:r>
        <w:rPr>
          <w:spacing w:val="-1"/>
        </w:rPr>
        <w:t> </w:t>
      </w:r>
      <w:r>
        <w:rPr/>
        <w:t>social</w:t>
      </w:r>
      <w:r>
        <w:rPr>
          <w:spacing w:val="-2"/>
        </w:rPr>
        <w:t> </w:t>
      </w:r>
      <w:r>
        <w:rPr/>
        <w:t>and </w:t>
      </w:r>
      <w:r>
        <w:rPr>
          <w:spacing w:val="-4"/>
        </w:rPr>
        <w:t>community-based features within our</w:t>
      </w:r>
      <w:r>
        <w:rPr>
          <w:spacing w:val="-9"/>
        </w:rPr>
        <w:t> </w:t>
      </w:r>
      <w:r>
        <w:rPr>
          <w:spacing w:val="-4"/>
        </w:rPr>
        <w:t>Adobe Stock and Behance services, and create apps and websites, all at affordable subscription </w:t>
      </w:r>
      <w:r>
        <w:rPr/>
        <w:t>pricing for cost-sensitive customers.</w:t>
      </w:r>
    </w:p>
    <w:p>
      <w:pPr>
        <w:pStyle w:val="BodyText"/>
        <w:spacing w:line="249" w:lineRule="auto" w:before="167"/>
        <w:ind w:left="210" w:right="257" w:firstLine="540"/>
        <w:jc w:val="both"/>
      </w:pPr>
      <w:r>
        <w:rPr/>
        <w:t>Adobe</w:t>
      </w:r>
      <w:r>
        <w:rPr>
          <w:spacing w:val="-13"/>
        </w:rPr>
        <w:t> </w:t>
      </w:r>
      <w:r>
        <w:rPr/>
        <w:t>continues</w:t>
      </w:r>
      <w:r>
        <w:rPr>
          <w:spacing w:val="-12"/>
        </w:rPr>
        <w:t> </w:t>
      </w:r>
      <w:r>
        <w:rPr/>
        <w:t>to</w:t>
      </w:r>
      <w:r>
        <w:rPr>
          <w:spacing w:val="-13"/>
        </w:rPr>
        <w:t> </w:t>
      </w:r>
      <w:r>
        <w:rPr/>
        <w:t>redefine</w:t>
      </w:r>
      <w:r>
        <w:rPr>
          <w:spacing w:val="-12"/>
        </w:rPr>
        <w:t> </w:t>
      </w:r>
      <w:r>
        <w:rPr/>
        <w:t>the</w:t>
      </w:r>
      <w:r>
        <w:rPr>
          <w:spacing w:val="-13"/>
        </w:rPr>
        <w:t> </w:t>
      </w:r>
      <w:r>
        <w:rPr/>
        <w:t>creative</w:t>
      </w:r>
      <w:r>
        <w:rPr>
          <w:spacing w:val="-12"/>
        </w:rPr>
        <w:t> </w:t>
      </w:r>
      <w:r>
        <w:rPr/>
        <w:t>process</w:t>
      </w:r>
      <w:r>
        <w:rPr>
          <w:spacing w:val="-13"/>
        </w:rPr>
        <w:t> </w:t>
      </w:r>
      <w:r>
        <w:rPr/>
        <w:t>with</w:t>
      </w:r>
      <w:r>
        <w:rPr>
          <w:spacing w:val="-12"/>
        </w:rPr>
        <w:t> </w:t>
      </w:r>
      <w:r>
        <w:rPr/>
        <w:t>Creative</w:t>
      </w:r>
      <w:r>
        <w:rPr>
          <w:spacing w:val="-13"/>
        </w:rPr>
        <w:t> </w:t>
      </w:r>
      <w:r>
        <w:rPr/>
        <w:t>Cloud</w:t>
      </w:r>
      <w:r>
        <w:rPr>
          <w:spacing w:val="-12"/>
        </w:rPr>
        <w:t> </w:t>
      </w:r>
      <w:r>
        <w:rPr/>
        <w:t>so</w:t>
      </w:r>
      <w:r>
        <w:rPr>
          <w:spacing w:val="-13"/>
        </w:rPr>
        <w:t> </w:t>
      </w:r>
      <w:r>
        <w:rPr/>
        <w:t>that</w:t>
      </w:r>
      <w:r>
        <w:rPr>
          <w:spacing w:val="-12"/>
        </w:rPr>
        <w:t> </w:t>
      </w:r>
      <w:r>
        <w:rPr/>
        <w:t>our</w:t>
      </w:r>
      <w:r>
        <w:rPr>
          <w:spacing w:val="-13"/>
        </w:rPr>
        <w:t> </w:t>
      </w:r>
      <w:r>
        <w:rPr/>
        <w:t>customers</w:t>
      </w:r>
      <w:r>
        <w:rPr>
          <w:spacing w:val="-12"/>
        </w:rPr>
        <w:t> </w:t>
      </w:r>
      <w:r>
        <w:rPr/>
        <w:t>can</w:t>
      </w:r>
      <w:r>
        <w:rPr>
          <w:spacing w:val="-13"/>
        </w:rPr>
        <w:t> </w:t>
      </w:r>
      <w:r>
        <w:rPr/>
        <w:t>obtain</w:t>
      </w:r>
      <w:r>
        <w:rPr>
          <w:spacing w:val="-12"/>
        </w:rPr>
        <w:t> </w:t>
      </w:r>
      <w:r>
        <w:rPr/>
        <w:t>everything</w:t>
      </w:r>
      <w:r>
        <w:rPr>
          <w:spacing w:val="-13"/>
        </w:rPr>
        <w:t> </w:t>
      </w:r>
      <w:r>
        <w:rPr/>
        <w:t>they</w:t>
      </w:r>
      <w:r>
        <w:rPr>
          <w:spacing w:val="-12"/>
        </w:rPr>
        <w:t> </w:t>
      </w:r>
      <w:r>
        <w:rPr/>
        <w:t>need to create, collaborate</w:t>
      </w:r>
      <w:r>
        <w:rPr>
          <w:spacing w:val="-1"/>
        </w:rPr>
        <w:t> </w:t>
      </w:r>
      <w:r>
        <w:rPr/>
        <w:t>and be inspired.</w:t>
      </w:r>
      <w:r>
        <w:rPr>
          <w:spacing w:val="-12"/>
        </w:rPr>
        <w:t> </w:t>
      </w:r>
      <w:r>
        <w:rPr/>
        <w:t>A</w:t>
      </w:r>
      <w:r>
        <w:rPr>
          <w:spacing w:val="-11"/>
        </w:rPr>
        <w:t> </w:t>
      </w:r>
      <w:r>
        <w:rPr/>
        <w:t>core</w:t>
      </w:r>
      <w:r>
        <w:rPr>
          <w:spacing w:val="-1"/>
        </w:rPr>
        <w:t> </w:t>
      </w:r>
      <w:r>
        <w:rPr/>
        <w:t>part</w:t>
      </w:r>
      <w:r>
        <w:rPr>
          <w:spacing w:val="-1"/>
        </w:rPr>
        <w:t> </w:t>
      </w:r>
      <w:r>
        <w:rPr/>
        <w:t>of our strategy is</w:t>
      </w:r>
      <w:r>
        <w:rPr>
          <w:spacing w:val="-12"/>
        </w:rPr>
        <w:t> </w:t>
      </w:r>
      <w:r>
        <w:rPr/>
        <w:t>Adobe</w:t>
      </w:r>
      <w:r>
        <w:rPr>
          <w:spacing w:val="-1"/>
        </w:rPr>
        <w:t> </w:t>
      </w:r>
      <w:r>
        <w:rPr/>
        <w:t>Sensei, a proprietary framework and set</w:t>
      </w:r>
      <w:r>
        <w:rPr>
          <w:spacing w:val="-1"/>
        </w:rPr>
        <w:t> </w:t>
      </w:r>
      <w:r>
        <w:rPr/>
        <w:t>of intelligent services for dramatically improving the design and delivery of digital experiences. Adobe Sensei leverages Adobe’s massive content</w:t>
      </w:r>
      <w:r>
        <w:rPr>
          <w:spacing w:val="-1"/>
        </w:rPr>
        <w:t> </w:t>
      </w:r>
      <w:r>
        <w:rPr/>
        <w:t>and</w:t>
      </w:r>
      <w:r>
        <w:rPr>
          <w:spacing w:val="-1"/>
        </w:rPr>
        <w:t> </w:t>
      </w:r>
      <w:r>
        <w:rPr/>
        <w:t>data</w:t>
      </w:r>
      <w:r>
        <w:rPr>
          <w:spacing w:val="-1"/>
        </w:rPr>
        <w:t> </w:t>
      </w:r>
      <w:r>
        <w:rPr/>
        <w:t>assets,</w:t>
      </w:r>
      <w:r>
        <w:rPr>
          <w:spacing w:val="-1"/>
        </w:rPr>
        <w:t> </w:t>
      </w:r>
      <w:r>
        <w:rPr/>
        <w:t>as</w:t>
      </w:r>
      <w:r>
        <w:rPr>
          <w:spacing w:val="-1"/>
        </w:rPr>
        <w:t> </w:t>
      </w:r>
      <w:r>
        <w:rPr/>
        <w:t>well</w:t>
      </w:r>
      <w:r>
        <w:rPr>
          <w:spacing w:val="-1"/>
        </w:rPr>
        <w:t> </w:t>
      </w:r>
      <w:r>
        <w:rPr/>
        <w:t>as</w:t>
      </w:r>
      <w:r>
        <w:rPr>
          <w:spacing w:val="-1"/>
        </w:rPr>
        <w:t> </w:t>
      </w:r>
      <w:r>
        <w:rPr/>
        <w:t>its</w:t>
      </w:r>
      <w:r>
        <w:rPr>
          <w:spacing w:val="-1"/>
        </w:rPr>
        <w:t> </w:t>
      </w:r>
      <w:r>
        <w:rPr/>
        <w:t>deep</w:t>
      </w:r>
      <w:r>
        <w:rPr>
          <w:spacing w:val="-1"/>
        </w:rPr>
        <w:t> </w:t>
      </w:r>
      <w:r>
        <w:rPr/>
        <w:t>domain</w:t>
      </w:r>
      <w:r>
        <w:rPr>
          <w:spacing w:val="-1"/>
        </w:rPr>
        <w:t> </w:t>
      </w:r>
      <w:r>
        <w:rPr/>
        <w:t>expertise</w:t>
      </w:r>
      <w:r>
        <w:rPr>
          <w:spacing w:val="-1"/>
        </w:rPr>
        <w:t> </w:t>
      </w:r>
      <w:r>
        <w:rPr/>
        <w:t>in</w:t>
      </w:r>
      <w:r>
        <w:rPr>
          <w:spacing w:val="-1"/>
        </w:rPr>
        <w:t> </w:t>
      </w:r>
      <w:r>
        <w:rPr/>
        <w:t>the</w:t>
      </w:r>
      <w:r>
        <w:rPr>
          <w:spacing w:val="-1"/>
        </w:rPr>
        <w:t> </w:t>
      </w:r>
      <w:r>
        <w:rPr/>
        <w:t>creative,</w:t>
      </w:r>
      <w:r>
        <w:rPr>
          <w:spacing w:val="-1"/>
        </w:rPr>
        <w:t> </w:t>
      </w:r>
      <w:r>
        <w:rPr/>
        <w:t>marketing</w:t>
      </w:r>
      <w:r>
        <w:rPr>
          <w:spacing w:val="-1"/>
        </w:rPr>
        <w:t> </w:t>
      </w:r>
      <w:r>
        <w:rPr/>
        <w:t>and</w:t>
      </w:r>
      <w:r>
        <w:rPr>
          <w:spacing w:val="-1"/>
        </w:rPr>
        <w:t> </w:t>
      </w:r>
      <w:r>
        <w:rPr/>
        <w:t>document</w:t>
      </w:r>
      <w:r>
        <w:rPr>
          <w:spacing w:val="-1"/>
        </w:rPr>
        <w:t> </w:t>
      </w:r>
      <w:r>
        <w:rPr/>
        <w:t>segments,</w:t>
      </w:r>
      <w:r>
        <w:rPr>
          <w:spacing w:val="-1"/>
        </w:rPr>
        <w:t> </w:t>
      </w:r>
      <w:r>
        <w:rPr/>
        <w:t>within</w:t>
      </w:r>
      <w:r>
        <w:rPr>
          <w:spacing w:val="-1"/>
        </w:rPr>
        <w:t> </w:t>
      </w:r>
      <w:r>
        <w:rPr/>
        <w:t>a</w:t>
      </w:r>
      <w:r>
        <w:rPr>
          <w:spacing w:val="-1"/>
        </w:rPr>
        <w:t> </w:t>
      </w:r>
      <w:r>
        <w:rPr/>
        <w:t>unified artificial intelligence (“AI”) and machine learning framework to tackle today’s complex creative experience challenges.</w:t>
      </w:r>
    </w:p>
    <w:p>
      <w:pPr>
        <w:pStyle w:val="BodyText"/>
        <w:spacing w:line="249" w:lineRule="auto" w:before="164"/>
        <w:ind w:left="210" w:right="257" w:firstLine="540"/>
        <w:jc w:val="both"/>
      </w:pPr>
      <w:r>
        <w:rPr/>
        <w:t>Creative Cloud addresses the needs of creative professionals such as artists, designers, developers, students and administrators.</w:t>
      </w:r>
      <w:r>
        <w:rPr>
          <w:spacing w:val="-5"/>
        </w:rPr>
        <w:t> </w:t>
      </w:r>
      <w:r>
        <w:rPr/>
        <w:t>They</w:t>
      </w:r>
      <w:r>
        <w:rPr>
          <w:spacing w:val="-1"/>
        </w:rPr>
        <w:t> </w:t>
      </w:r>
      <w:r>
        <w:rPr/>
        <w:t>rely</w:t>
      </w:r>
      <w:r>
        <w:rPr>
          <w:spacing w:val="-1"/>
        </w:rPr>
        <w:t> </w:t>
      </w:r>
      <w:r>
        <w:rPr/>
        <w:t>on</w:t>
      </w:r>
      <w:r>
        <w:rPr>
          <w:spacing w:val="-1"/>
        </w:rPr>
        <w:t> </w:t>
      </w:r>
      <w:r>
        <w:rPr/>
        <w:t>our</w:t>
      </w:r>
      <w:r>
        <w:rPr>
          <w:spacing w:val="-1"/>
        </w:rPr>
        <w:t> </w:t>
      </w:r>
      <w:r>
        <w:rPr/>
        <w:t>products</w:t>
      </w:r>
      <w:r>
        <w:rPr>
          <w:spacing w:val="-1"/>
        </w:rPr>
        <w:t> </w:t>
      </w:r>
      <w:r>
        <w:rPr/>
        <w:t>for</w:t>
      </w:r>
      <w:r>
        <w:rPr>
          <w:spacing w:val="-1"/>
        </w:rPr>
        <w:t> </w:t>
      </w:r>
      <w:r>
        <w:rPr/>
        <w:t>publishing,</w:t>
      </w:r>
      <w:r>
        <w:rPr>
          <w:spacing w:val="-1"/>
        </w:rPr>
        <w:t> </w:t>
      </w:r>
      <w:r>
        <w:rPr/>
        <w:t>web</w:t>
      </w:r>
      <w:r>
        <w:rPr>
          <w:spacing w:val="-1"/>
        </w:rPr>
        <w:t> </w:t>
      </w:r>
      <w:r>
        <w:rPr/>
        <w:t>design</w:t>
      </w:r>
      <w:r>
        <w:rPr>
          <w:spacing w:val="-1"/>
        </w:rPr>
        <w:t> </w:t>
      </w:r>
      <w:r>
        <w:rPr/>
        <w:t>and</w:t>
      </w:r>
      <w:r>
        <w:rPr>
          <w:spacing w:val="-1"/>
        </w:rPr>
        <w:t> </w:t>
      </w:r>
      <w:r>
        <w:rPr/>
        <w:t>development,</w:t>
      </w:r>
      <w:r>
        <w:rPr>
          <w:spacing w:val="-1"/>
        </w:rPr>
        <w:t> </w:t>
      </w:r>
      <w:r>
        <w:rPr/>
        <w:t>video</w:t>
      </w:r>
      <w:r>
        <w:rPr>
          <w:spacing w:val="-1"/>
        </w:rPr>
        <w:t> </w:t>
      </w:r>
      <w:r>
        <w:rPr/>
        <w:t>and</w:t>
      </w:r>
      <w:r>
        <w:rPr>
          <w:spacing w:val="-1"/>
        </w:rPr>
        <w:t> </w:t>
      </w:r>
      <w:r>
        <w:rPr/>
        <w:t>animation</w:t>
      </w:r>
      <w:r>
        <w:rPr>
          <w:spacing w:val="-1"/>
        </w:rPr>
        <w:t> </w:t>
      </w:r>
      <w:r>
        <w:rPr/>
        <w:t>production,</w:t>
      </w:r>
      <w:r>
        <w:rPr>
          <w:spacing w:val="-1"/>
        </w:rPr>
        <w:t> </w:t>
      </w:r>
      <w:r>
        <w:rPr/>
        <w:t>mobile app and gaming development, and document creation and collaboration. End users of our creative products work in businesses ranging from large publishers, media companies and global enterprises, to smaller design agencies, and individual freelancers. Moreover,</w:t>
      </w:r>
      <w:r>
        <w:rPr>
          <w:spacing w:val="-2"/>
        </w:rPr>
        <w:t> </w:t>
      </w:r>
      <w:r>
        <w:rPr/>
        <w:t>our</w:t>
      </w:r>
      <w:r>
        <w:rPr>
          <w:spacing w:val="-2"/>
        </w:rPr>
        <w:t> </w:t>
      </w:r>
      <w:r>
        <w:rPr/>
        <w:t>creative</w:t>
      </w:r>
      <w:r>
        <w:rPr>
          <w:spacing w:val="-2"/>
        </w:rPr>
        <w:t> </w:t>
      </w:r>
      <w:r>
        <w:rPr/>
        <w:t>products</w:t>
      </w:r>
      <w:r>
        <w:rPr>
          <w:spacing w:val="-2"/>
        </w:rPr>
        <w:t> </w:t>
      </w:r>
      <w:r>
        <w:rPr/>
        <w:t>are</w:t>
      </w:r>
      <w:r>
        <w:rPr>
          <w:spacing w:val="-2"/>
        </w:rPr>
        <w:t> </w:t>
      </w:r>
      <w:r>
        <w:rPr/>
        <w:t>used</w:t>
      </w:r>
      <w:r>
        <w:rPr>
          <w:spacing w:val="-2"/>
        </w:rPr>
        <w:t> </w:t>
      </w:r>
      <w:r>
        <w:rPr/>
        <w:t>to</w:t>
      </w:r>
      <w:r>
        <w:rPr>
          <w:spacing w:val="-2"/>
        </w:rPr>
        <w:t> </w:t>
      </w:r>
      <w:r>
        <w:rPr/>
        <w:t>create</w:t>
      </w:r>
      <w:r>
        <w:rPr>
          <w:spacing w:val="-2"/>
        </w:rPr>
        <w:t> </w:t>
      </w:r>
      <w:r>
        <w:rPr/>
        <w:t>much</w:t>
      </w:r>
      <w:r>
        <w:rPr>
          <w:spacing w:val="-2"/>
        </w:rPr>
        <w:t> </w:t>
      </w:r>
      <w:r>
        <w:rPr/>
        <w:t>of</w:t>
      </w:r>
      <w:r>
        <w:rPr>
          <w:spacing w:val="-2"/>
        </w:rPr>
        <w:t> </w:t>
      </w:r>
      <w:r>
        <w:rPr/>
        <w:t>the</w:t>
      </w:r>
      <w:r>
        <w:rPr>
          <w:spacing w:val="-2"/>
        </w:rPr>
        <w:t> </w:t>
      </w:r>
      <w:r>
        <w:rPr/>
        <w:t>printed</w:t>
      </w:r>
      <w:r>
        <w:rPr>
          <w:spacing w:val="-2"/>
        </w:rPr>
        <w:t> </w:t>
      </w:r>
      <w:r>
        <w:rPr/>
        <w:t>and</w:t>
      </w:r>
      <w:r>
        <w:rPr>
          <w:spacing w:val="-2"/>
        </w:rPr>
        <w:t> </w:t>
      </w:r>
      <w:r>
        <w:rPr/>
        <w:t>online</w:t>
      </w:r>
      <w:r>
        <w:rPr>
          <w:spacing w:val="-2"/>
        </w:rPr>
        <w:t> </w:t>
      </w:r>
      <w:r>
        <w:rPr/>
        <w:t>information</w:t>
      </w:r>
      <w:r>
        <w:rPr>
          <w:spacing w:val="-2"/>
        </w:rPr>
        <w:t> </w:t>
      </w:r>
      <w:r>
        <w:rPr/>
        <w:t>people</w:t>
      </w:r>
      <w:r>
        <w:rPr>
          <w:spacing w:val="-2"/>
        </w:rPr>
        <w:t> </w:t>
      </w:r>
      <w:r>
        <w:rPr/>
        <w:t>see,</w:t>
      </w:r>
      <w:r>
        <w:rPr>
          <w:spacing w:val="-2"/>
        </w:rPr>
        <w:t> </w:t>
      </w:r>
      <w:r>
        <w:rPr/>
        <w:t>read</w:t>
      </w:r>
      <w:r>
        <w:rPr>
          <w:spacing w:val="-2"/>
        </w:rPr>
        <w:t> </w:t>
      </w:r>
      <w:r>
        <w:rPr/>
        <w:t>and</w:t>
      </w:r>
      <w:r>
        <w:rPr>
          <w:spacing w:val="-2"/>
        </w:rPr>
        <w:t> </w:t>
      </w:r>
      <w:r>
        <w:rPr/>
        <w:t>interact</w:t>
      </w:r>
      <w:r>
        <w:rPr>
          <w:spacing w:val="-3"/>
        </w:rPr>
        <w:t> </w:t>
      </w:r>
      <w:r>
        <w:rPr/>
        <w:t>with every</w:t>
      </w:r>
      <w:r>
        <w:rPr>
          <w:spacing w:val="-5"/>
        </w:rPr>
        <w:t> </w:t>
      </w:r>
      <w:r>
        <w:rPr/>
        <w:t>day,</w:t>
      </w:r>
      <w:r>
        <w:rPr>
          <w:spacing w:val="-4"/>
        </w:rPr>
        <w:t> </w:t>
      </w:r>
      <w:r>
        <w:rPr/>
        <w:t>including</w:t>
      </w:r>
      <w:r>
        <w:rPr>
          <w:spacing w:val="-5"/>
        </w:rPr>
        <w:t> </w:t>
      </w:r>
      <w:r>
        <w:rPr/>
        <w:t>video,</w:t>
      </w:r>
      <w:r>
        <w:rPr>
          <w:spacing w:val="-4"/>
        </w:rPr>
        <w:t> </w:t>
      </w:r>
      <w:r>
        <w:rPr/>
        <w:t>animation,</w:t>
      </w:r>
      <w:r>
        <w:rPr>
          <w:spacing w:val="-5"/>
        </w:rPr>
        <w:t> </w:t>
      </w:r>
      <w:r>
        <w:rPr/>
        <w:t>mobile</w:t>
      </w:r>
      <w:r>
        <w:rPr>
          <w:spacing w:val="-4"/>
        </w:rPr>
        <w:t> </w:t>
      </w:r>
      <w:r>
        <w:rPr/>
        <w:t>and</w:t>
      </w:r>
      <w:r>
        <w:rPr>
          <w:spacing w:val="-5"/>
        </w:rPr>
        <w:t> </w:t>
      </w:r>
      <w:r>
        <w:rPr/>
        <w:t>advertising</w:t>
      </w:r>
      <w:r>
        <w:rPr>
          <w:spacing w:val="-4"/>
        </w:rPr>
        <w:t> </w:t>
      </w:r>
      <w:r>
        <w:rPr/>
        <w:t>content.</w:t>
      </w:r>
      <w:r>
        <w:rPr>
          <w:spacing w:val="-5"/>
        </w:rPr>
        <w:t> </w:t>
      </w:r>
      <w:r>
        <w:rPr/>
        <w:t>Knowledge</w:t>
      </w:r>
      <w:r>
        <w:rPr>
          <w:spacing w:val="-4"/>
        </w:rPr>
        <w:t> </w:t>
      </w:r>
      <w:r>
        <w:rPr/>
        <w:t>workers,</w:t>
      </w:r>
      <w:r>
        <w:rPr>
          <w:spacing w:val="-5"/>
        </w:rPr>
        <w:t> </w:t>
      </w:r>
      <w:r>
        <w:rPr/>
        <w:t>educators,</w:t>
      </w:r>
      <w:r>
        <w:rPr>
          <w:spacing w:val="-4"/>
        </w:rPr>
        <w:t> </w:t>
      </w:r>
      <w:r>
        <w:rPr/>
        <w:t>hobbyists</w:t>
      </w:r>
      <w:r>
        <w:rPr>
          <w:spacing w:val="-5"/>
        </w:rPr>
        <w:t> </w:t>
      </w:r>
      <w:r>
        <w:rPr/>
        <w:t>and</w:t>
      </w:r>
      <w:r>
        <w:rPr>
          <w:spacing w:val="-4"/>
        </w:rPr>
        <w:t> </w:t>
      </w:r>
      <w:r>
        <w:rPr>
          <w:spacing w:val="-2"/>
        </w:rPr>
        <w:t>consumers</w:t>
      </w:r>
    </w:p>
    <w:p>
      <w:pPr>
        <w:spacing w:after="0" w:line="249" w:lineRule="auto"/>
        <w:jc w:val="both"/>
        <w:sectPr>
          <w:pgSz w:w="12240" w:h="15840"/>
          <w:pgMar w:header="210" w:footer="599" w:top="420" w:bottom="800" w:left="780" w:right="740"/>
        </w:sectPr>
      </w:pPr>
    </w:p>
    <w:p>
      <w:pPr>
        <w:pStyle w:val="BodyText"/>
        <w:spacing w:before="150"/>
      </w:pPr>
    </w:p>
    <w:p>
      <w:pPr>
        <w:pStyle w:val="BodyText"/>
        <w:spacing w:line="249" w:lineRule="auto"/>
        <w:ind w:left="210" w:right="257"/>
        <w:jc w:val="both"/>
      </w:pPr>
      <w:r>
        <w:rPr/>
        <w:t>also</w:t>
      </w:r>
      <w:r>
        <w:rPr>
          <w:spacing w:val="-3"/>
        </w:rPr>
        <w:t> </w:t>
      </w:r>
      <w:r>
        <w:rPr/>
        <w:t>use</w:t>
      </w:r>
      <w:r>
        <w:rPr>
          <w:spacing w:val="-3"/>
        </w:rPr>
        <w:t> </w:t>
      </w:r>
      <w:r>
        <w:rPr/>
        <w:t>our</w:t>
      </w:r>
      <w:r>
        <w:rPr>
          <w:spacing w:val="-3"/>
        </w:rPr>
        <w:t> </w:t>
      </w:r>
      <w:r>
        <w:rPr/>
        <w:t>products</w:t>
      </w:r>
      <w:r>
        <w:rPr>
          <w:spacing w:val="-3"/>
        </w:rPr>
        <w:t> </w:t>
      </w:r>
      <w:r>
        <w:rPr/>
        <w:t>to</w:t>
      </w:r>
      <w:r>
        <w:rPr>
          <w:spacing w:val="-3"/>
        </w:rPr>
        <w:t> </w:t>
      </w:r>
      <w:r>
        <w:rPr/>
        <w:t>create</w:t>
      </w:r>
      <w:r>
        <w:rPr>
          <w:spacing w:val="-3"/>
        </w:rPr>
        <w:t> </w:t>
      </w:r>
      <w:r>
        <w:rPr/>
        <w:t>and</w:t>
      </w:r>
      <w:r>
        <w:rPr>
          <w:spacing w:val="-3"/>
        </w:rPr>
        <w:t> </w:t>
      </w:r>
      <w:r>
        <w:rPr/>
        <w:t>deliver</w:t>
      </w:r>
      <w:r>
        <w:rPr>
          <w:spacing w:val="-3"/>
        </w:rPr>
        <w:t> </w:t>
      </w:r>
      <w:r>
        <w:rPr/>
        <w:t>content.</w:t>
      </w:r>
      <w:r>
        <w:rPr>
          <w:spacing w:val="-7"/>
        </w:rPr>
        <w:t> </w:t>
      </w:r>
      <w:r>
        <w:rPr/>
        <w:t>We</w:t>
      </w:r>
      <w:r>
        <w:rPr>
          <w:spacing w:val="-3"/>
        </w:rPr>
        <w:t> </w:t>
      </w:r>
      <w:r>
        <w:rPr/>
        <w:t>have</w:t>
      </w:r>
      <w:r>
        <w:rPr>
          <w:spacing w:val="-3"/>
        </w:rPr>
        <w:t> </w:t>
      </w:r>
      <w:r>
        <w:rPr/>
        <w:t>introduced</w:t>
      </w:r>
      <w:r>
        <w:rPr>
          <w:spacing w:val="-3"/>
        </w:rPr>
        <w:t> </w:t>
      </w:r>
      <w:r>
        <w:rPr/>
        <w:t>new</w:t>
      </w:r>
      <w:r>
        <w:rPr>
          <w:spacing w:val="-3"/>
        </w:rPr>
        <w:t> </w:t>
      </w:r>
      <w:r>
        <w:rPr/>
        <w:t>products,</w:t>
      </w:r>
      <w:r>
        <w:rPr>
          <w:spacing w:val="-3"/>
        </w:rPr>
        <w:t> </w:t>
      </w:r>
      <w:r>
        <w:rPr/>
        <w:t>features</w:t>
      </w:r>
      <w:r>
        <w:rPr>
          <w:spacing w:val="-3"/>
        </w:rPr>
        <w:t> </w:t>
      </w:r>
      <w:r>
        <w:rPr/>
        <w:t>and</w:t>
      </w:r>
      <w:r>
        <w:rPr>
          <w:spacing w:val="-3"/>
        </w:rPr>
        <w:t> </w:t>
      </w:r>
      <w:r>
        <w:rPr/>
        <w:t>services</w:t>
      </w:r>
      <w:r>
        <w:rPr>
          <w:spacing w:val="-3"/>
        </w:rPr>
        <w:t> </w:t>
      </w:r>
      <w:r>
        <w:rPr/>
        <w:t>to</w:t>
      </w:r>
      <w:r>
        <w:rPr>
          <w:spacing w:val="-3"/>
        </w:rPr>
        <w:t> </w:t>
      </w:r>
      <w:r>
        <w:rPr/>
        <w:t>address</w:t>
      </w:r>
      <w:r>
        <w:rPr>
          <w:spacing w:val="-3"/>
        </w:rPr>
        <w:t> </w:t>
      </w:r>
      <w:r>
        <w:rPr/>
        <w:t>emerging categories of content creation such as 3D, augmented reality, virtual reality and user experience design. New solutions include Adobe Dimension, a tool that enables the creation of high-quality, photorealistic 3D images;</w:t>
      </w:r>
      <w:r>
        <w:rPr>
          <w:spacing w:val="-10"/>
        </w:rPr>
        <w:t> </w:t>
      </w:r>
      <w:r>
        <w:rPr/>
        <w:t>Adobe XD, a solution for creating user experiences and screen designs as part of designing websites and mobile apps; and</w:t>
      </w:r>
      <w:r>
        <w:rPr>
          <w:spacing w:val="-6"/>
        </w:rPr>
        <w:t> </w:t>
      </w:r>
      <w:r>
        <w:rPr/>
        <w:t>Adobe Spark, a set of capabilities that enables anyone to create impactful graphics, web pages and video stories in minutes.</w:t>
      </w:r>
    </w:p>
    <w:p>
      <w:pPr>
        <w:pStyle w:val="BodyText"/>
        <w:spacing w:line="249" w:lineRule="auto" w:before="164"/>
        <w:ind w:left="210" w:right="257" w:firstLine="540"/>
        <w:jc w:val="both"/>
      </w:pPr>
      <w:r>
        <w:rPr/>
        <w:t>Adobe’s</w:t>
      </w:r>
      <w:r>
        <w:rPr>
          <w:spacing w:val="-1"/>
        </w:rPr>
        <w:t> </w:t>
      </w:r>
      <w:r>
        <w:rPr/>
        <w:t>Digital</w:t>
      </w:r>
      <w:r>
        <w:rPr>
          <w:spacing w:val="-2"/>
        </w:rPr>
        <w:t> </w:t>
      </w:r>
      <w:r>
        <w:rPr/>
        <w:t>Media</w:t>
      </w:r>
      <w:r>
        <w:rPr>
          <w:spacing w:val="-2"/>
        </w:rPr>
        <w:t> </w:t>
      </w:r>
      <w:r>
        <w:rPr/>
        <w:t>segment</w:t>
      </w:r>
      <w:r>
        <w:rPr>
          <w:spacing w:val="-1"/>
        </w:rPr>
        <w:t> </w:t>
      </w:r>
      <w:r>
        <w:rPr/>
        <w:t>includes</w:t>
      </w:r>
      <w:r>
        <w:rPr>
          <w:spacing w:val="-1"/>
        </w:rPr>
        <w:t> </w:t>
      </w:r>
      <w:r>
        <w:rPr/>
        <w:t>our</w:t>
      </w:r>
      <w:r>
        <w:rPr>
          <w:spacing w:val="-1"/>
        </w:rPr>
        <w:t> </w:t>
      </w:r>
      <w:r>
        <w:rPr/>
        <w:t>Document</w:t>
      </w:r>
      <w:r>
        <w:rPr>
          <w:spacing w:val="-2"/>
        </w:rPr>
        <w:t> </w:t>
      </w:r>
      <w:r>
        <w:rPr/>
        <w:t>Cloud</w:t>
      </w:r>
      <w:r>
        <w:rPr>
          <w:spacing w:val="-1"/>
        </w:rPr>
        <w:t> </w:t>
      </w:r>
      <w:r>
        <w:rPr/>
        <w:t>business,</w:t>
      </w:r>
      <w:r>
        <w:rPr>
          <w:spacing w:val="-1"/>
        </w:rPr>
        <w:t> </w:t>
      </w:r>
      <w:r>
        <w:rPr/>
        <w:t>built</w:t>
      </w:r>
      <w:r>
        <w:rPr>
          <w:spacing w:val="-1"/>
        </w:rPr>
        <w:t> </w:t>
      </w:r>
      <w:r>
        <w:rPr/>
        <w:t>around</w:t>
      </w:r>
      <w:r>
        <w:rPr>
          <w:spacing w:val="-1"/>
        </w:rPr>
        <w:t> </w:t>
      </w:r>
      <w:r>
        <w:rPr/>
        <w:t>our</w:t>
      </w:r>
      <w:r>
        <w:rPr>
          <w:spacing w:val="-13"/>
        </w:rPr>
        <w:t> </w:t>
      </w:r>
      <w:r>
        <w:rPr/>
        <w:t>Acrobat</w:t>
      </w:r>
      <w:r>
        <w:rPr>
          <w:spacing w:val="-1"/>
        </w:rPr>
        <w:t> </w:t>
      </w:r>
      <w:r>
        <w:rPr/>
        <w:t>family</w:t>
      </w:r>
      <w:r>
        <w:rPr>
          <w:spacing w:val="-1"/>
        </w:rPr>
        <w:t> </w:t>
      </w:r>
      <w:r>
        <w:rPr/>
        <w:t>of</w:t>
      </w:r>
      <w:r>
        <w:rPr>
          <w:spacing w:val="-1"/>
        </w:rPr>
        <w:t> </w:t>
      </w:r>
      <w:r>
        <w:rPr/>
        <w:t>products,</w:t>
      </w:r>
      <w:r>
        <w:rPr>
          <w:spacing w:val="-1"/>
        </w:rPr>
        <w:t> </w:t>
      </w:r>
      <w:r>
        <w:rPr/>
        <w:t>the Adobe</w:t>
      </w:r>
      <w:r>
        <w:rPr>
          <w:spacing w:val="-13"/>
        </w:rPr>
        <w:t> </w:t>
      </w:r>
      <w:r>
        <w:rPr/>
        <w:t>Acrobat</w:t>
      </w:r>
      <w:r>
        <w:rPr>
          <w:spacing w:val="-12"/>
        </w:rPr>
        <w:t> </w:t>
      </w:r>
      <w:r>
        <w:rPr/>
        <w:t>Reader</w:t>
      </w:r>
      <w:r>
        <w:rPr>
          <w:spacing w:val="-13"/>
        </w:rPr>
        <w:t> </w:t>
      </w:r>
      <w:r>
        <w:rPr/>
        <w:t>and</w:t>
      </w:r>
      <w:r>
        <w:rPr>
          <w:spacing w:val="-12"/>
        </w:rPr>
        <w:t> </w:t>
      </w:r>
      <w:r>
        <w:rPr/>
        <w:t>a</w:t>
      </w:r>
      <w:r>
        <w:rPr>
          <w:spacing w:val="-13"/>
        </w:rPr>
        <w:t> </w:t>
      </w:r>
      <w:r>
        <w:rPr/>
        <w:t>set</w:t>
      </w:r>
      <w:r>
        <w:rPr>
          <w:spacing w:val="-12"/>
        </w:rPr>
        <w:t> </w:t>
      </w:r>
      <w:r>
        <w:rPr/>
        <w:t>of</w:t>
      </w:r>
      <w:r>
        <w:rPr>
          <w:spacing w:val="-13"/>
        </w:rPr>
        <w:t> </w:t>
      </w:r>
      <w:r>
        <w:rPr/>
        <w:t>integrated,</w:t>
      </w:r>
      <w:r>
        <w:rPr>
          <w:spacing w:val="-12"/>
        </w:rPr>
        <w:t> </w:t>
      </w:r>
      <w:r>
        <w:rPr/>
        <w:t>cloud-based</w:t>
      </w:r>
      <w:r>
        <w:rPr>
          <w:spacing w:val="-13"/>
        </w:rPr>
        <w:t> </w:t>
      </w:r>
      <w:r>
        <w:rPr/>
        <w:t>document</w:t>
      </w:r>
      <w:r>
        <w:rPr>
          <w:spacing w:val="-12"/>
        </w:rPr>
        <w:t> </w:t>
      </w:r>
      <w:r>
        <w:rPr/>
        <w:t>services.</w:t>
      </w:r>
      <w:r>
        <w:rPr>
          <w:spacing w:val="-1"/>
        </w:rPr>
        <w:t> </w:t>
      </w:r>
      <w:r>
        <w:rPr/>
        <w:t>Tens</w:t>
      </w:r>
      <w:r>
        <w:rPr>
          <w:spacing w:val="-13"/>
        </w:rPr>
        <w:t> </w:t>
      </w:r>
      <w:r>
        <w:rPr/>
        <w:t>of</w:t>
      </w:r>
      <w:r>
        <w:rPr>
          <w:spacing w:val="-12"/>
        </w:rPr>
        <w:t> </w:t>
      </w:r>
      <w:r>
        <w:rPr/>
        <w:t>millions</w:t>
      </w:r>
      <w:r>
        <w:rPr>
          <w:spacing w:val="-13"/>
        </w:rPr>
        <w:t> </w:t>
      </w:r>
      <w:r>
        <w:rPr/>
        <w:t>of</w:t>
      </w:r>
      <w:r>
        <w:rPr>
          <w:spacing w:val="-12"/>
        </w:rPr>
        <w:t> </w:t>
      </w:r>
      <w:r>
        <w:rPr/>
        <w:t>knowledge</w:t>
      </w:r>
      <w:r>
        <w:rPr>
          <w:spacing w:val="-13"/>
        </w:rPr>
        <w:t> </w:t>
      </w:r>
      <w:r>
        <w:rPr/>
        <w:t>workers</w:t>
      </w:r>
      <w:r>
        <w:rPr>
          <w:spacing w:val="-12"/>
        </w:rPr>
        <w:t> </w:t>
      </w:r>
      <w:r>
        <w:rPr/>
        <w:t>worldwide interact</w:t>
      </w:r>
      <w:r>
        <w:rPr>
          <w:spacing w:val="-13"/>
        </w:rPr>
        <w:t> </w:t>
      </w:r>
      <w:r>
        <w:rPr/>
        <w:t>with</w:t>
      </w:r>
      <w:r>
        <w:rPr>
          <w:spacing w:val="-12"/>
        </w:rPr>
        <w:t> </w:t>
      </w:r>
      <w:r>
        <w:rPr/>
        <w:t>documents</w:t>
      </w:r>
      <w:r>
        <w:rPr>
          <w:spacing w:val="-13"/>
        </w:rPr>
        <w:t> </w:t>
      </w:r>
      <w:r>
        <w:rPr/>
        <w:t>daily.</w:t>
      </w:r>
      <w:r>
        <w:rPr>
          <w:spacing w:val="18"/>
        </w:rPr>
        <w:t> </w:t>
      </w:r>
      <w:r>
        <w:rPr/>
        <w:t>For</w:t>
      </w:r>
      <w:r>
        <w:rPr>
          <w:spacing w:val="-11"/>
        </w:rPr>
        <w:t> </w:t>
      </w:r>
      <w:r>
        <w:rPr/>
        <w:t>over</w:t>
      </w:r>
      <w:r>
        <w:rPr>
          <w:spacing w:val="-12"/>
        </w:rPr>
        <w:t> </w:t>
      </w:r>
      <w:r>
        <w:rPr/>
        <w:t>25</w:t>
      </w:r>
      <w:r>
        <w:rPr>
          <w:spacing w:val="-12"/>
        </w:rPr>
        <w:t> </w:t>
      </w:r>
      <w:r>
        <w:rPr/>
        <w:t>years,</w:t>
      </w:r>
      <w:r>
        <w:rPr>
          <w:spacing w:val="-13"/>
        </w:rPr>
        <w:t> </w:t>
      </w:r>
      <w:r>
        <w:rPr/>
        <w:t>Adobe</w:t>
      </w:r>
      <w:r>
        <w:rPr>
          <w:spacing w:val="-12"/>
        </w:rPr>
        <w:t> </w:t>
      </w:r>
      <w:r>
        <w:rPr/>
        <w:t>Acrobat</w:t>
      </w:r>
      <w:r>
        <w:rPr>
          <w:spacing w:val="-12"/>
        </w:rPr>
        <w:t> </w:t>
      </w:r>
      <w:r>
        <w:rPr/>
        <w:t>has</w:t>
      </w:r>
      <w:r>
        <w:rPr>
          <w:spacing w:val="-12"/>
        </w:rPr>
        <w:t> </w:t>
      </w:r>
      <w:r>
        <w:rPr/>
        <w:t>provided</w:t>
      </w:r>
      <w:r>
        <w:rPr>
          <w:spacing w:val="-12"/>
        </w:rPr>
        <w:t> </w:t>
      </w:r>
      <w:r>
        <w:rPr/>
        <w:t>for</w:t>
      </w:r>
      <w:r>
        <w:rPr>
          <w:spacing w:val="-12"/>
        </w:rPr>
        <w:t> </w:t>
      </w:r>
      <w:r>
        <w:rPr/>
        <w:t>the</w:t>
      </w:r>
      <w:r>
        <w:rPr>
          <w:spacing w:val="-12"/>
        </w:rPr>
        <w:t> </w:t>
      </w:r>
      <w:r>
        <w:rPr/>
        <w:t>reliable</w:t>
      </w:r>
      <w:r>
        <w:rPr>
          <w:spacing w:val="-12"/>
        </w:rPr>
        <w:t> </w:t>
      </w:r>
      <w:r>
        <w:rPr/>
        <w:t>creation</w:t>
      </w:r>
      <w:r>
        <w:rPr>
          <w:spacing w:val="-12"/>
        </w:rPr>
        <w:t> </w:t>
      </w:r>
      <w:r>
        <w:rPr/>
        <w:t>and</w:t>
      </w:r>
      <w:r>
        <w:rPr>
          <w:spacing w:val="-12"/>
        </w:rPr>
        <w:t> </w:t>
      </w:r>
      <w:r>
        <w:rPr/>
        <w:t>exchange</w:t>
      </w:r>
      <w:r>
        <w:rPr>
          <w:spacing w:val="-12"/>
        </w:rPr>
        <w:t> </w:t>
      </w:r>
      <w:r>
        <w:rPr/>
        <w:t>of</w:t>
      </w:r>
      <w:r>
        <w:rPr>
          <w:spacing w:val="-12"/>
        </w:rPr>
        <w:t> </w:t>
      </w:r>
      <w:r>
        <w:rPr/>
        <w:t>electronic documents,</w:t>
      </w:r>
      <w:r>
        <w:rPr>
          <w:spacing w:val="-6"/>
        </w:rPr>
        <w:t> </w:t>
      </w:r>
      <w:r>
        <w:rPr/>
        <w:t>regardless</w:t>
      </w:r>
      <w:r>
        <w:rPr>
          <w:spacing w:val="-6"/>
        </w:rPr>
        <w:t> </w:t>
      </w:r>
      <w:r>
        <w:rPr/>
        <w:t>of</w:t>
      </w:r>
      <w:r>
        <w:rPr>
          <w:spacing w:val="-6"/>
        </w:rPr>
        <w:t> </w:t>
      </w:r>
      <w:r>
        <w:rPr/>
        <w:t>platform</w:t>
      </w:r>
      <w:r>
        <w:rPr>
          <w:spacing w:val="-7"/>
        </w:rPr>
        <w:t> </w:t>
      </w:r>
      <w:r>
        <w:rPr/>
        <w:t>or</w:t>
      </w:r>
      <w:r>
        <w:rPr>
          <w:spacing w:val="-6"/>
        </w:rPr>
        <w:t> </w:t>
      </w:r>
      <w:r>
        <w:rPr/>
        <w:t>application</w:t>
      </w:r>
      <w:r>
        <w:rPr>
          <w:spacing w:val="-6"/>
        </w:rPr>
        <w:t> </w:t>
      </w:r>
      <w:r>
        <w:rPr/>
        <w:t>source</w:t>
      </w:r>
      <w:r>
        <w:rPr>
          <w:spacing w:val="-6"/>
        </w:rPr>
        <w:t> </w:t>
      </w:r>
      <w:r>
        <w:rPr/>
        <w:t>type.</w:t>
      </w:r>
      <w:r>
        <w:rPr>
          <w:spacing w:val="-6"/>
        </w:rPr>
        <w:t> </w:t>
      </w:r>
      <w:r>
        <w:rPr/>
        <w:t>Users</w:t>
      </w:r>
      <w:r>
        <w:rPr>
          <w:spacing w:val="-6"/>
        </w:rPr>
        <w:t> </w:t>
      </w:r>
      <w:r>
        <w:rPr/>
        <w:t>can</w:t>
      </w:r>
      <w:r>
        <w:rPr>
          <w:spacing w:val="-6"/>
        </w:rPr>
        <w:t> </w:t>
      </w:r>
      <w:r>
        <w:rPr/>
        <w:t>collaborate</w:t>
      </w:r>
      <w:r>
        <w:rPr>
          <w:spacing w:val="-7"/>
        </w:rPr>
        <w:t> </w:t>
      </w:r>
      <w:r>
        <w:rPr/>
        <w:t>on</w:t>
      </w:r>
      <w:r>
        <w:rPr>
          <w:spacing w:val="-6"/>
        </w:rPr>
        <w:t> </w:t>
      </w:r>
      <w:r>
        <w:rPr/>
        <w:t>documents</w:t>
      </w:r>
      <w:r>
        <w:rPr>
          <w:spacing w:val="-6"/>
        </w:rPr>
        <w:t> </w:t>
      </w:r>
      <w:r>
        <w:rPr/>
        <w:t>with</w:t>
      </w:r>
      <w:r>
        <w:rPr>
          <w:spacing w:val="-6"/>
        </w:rPr>
        <w:t> </w:t>
      </w:r>
      <w:r>
        <w:rPr/>
        <w:t>electronic</w:t>
      </w:r>
      <w:r>
        <w:rPr>
          <w:spacing w:val="-7"/>
        </w:rPr>
        <w:t> </w:t>
      </w:r>
      <w:r>
        <w:rPr/>
        <w:t>comments</w:t>
      </w:r>
      <w:r>
        <w:rPr>
          <w:spacing w:val="-6"/>
        </w:rPr>
        <w:t> </w:t>
      </w:r>
      <w:r>
        <w:rPr/>
        <w:t>and tailor</w:t>
      </w:r>
      <w:r>
        <w:rPr>
          <w:spacing w:val="-2"/>
        </w:rPr>
        <w:t> </w:t>
      </w:r>
      <w:r>
        <w:rPr/>
        <w:t>the</w:t>
      </w:r>
      <w:r>
        <w:rPr>
          <w:spacing w:val="-2"/>
        </w:rPr>
        <w:t> </w:t>
      </w:r>
      <w:r>
        <w:rPr/>
        <w:t>security</w:t>
      </w:r>
      <w:r>
        <w:rPr>
          <w:spacing w:val="-2"/>
        </w:rPr>
        <w:t> </w:t>
      </w:r>
      <w:r>
        <w:rPr/>
        <w:t>of</w:t>
      </w:r>
      <w:r>
        <w:rPr>
          <w:spacing w:val="-2"/>
        </w:rPr>
        <w:t> </w:t>
      </w:r>
      <w:r>
        <w:rPr/>
        <w:t>a</w:t>
      </w:r>
      <w:r>
        <w:rPr>
          <w:spacing w:val="-2"/>
        </w:rPr>
        <w:t> </w:t>
      </w:r>
      <w:r>
        <w:rPr/>
        <w:t>file</w:t>
      </w:r>
      <w:r>
        <w:rPr>
          <w:spacing w:val="-2"/>
        </w:rPr>
        <w:t> </w:t>
      </w:r>
      <w:r>
        <w:rPr/>
        <w:t>in</w:t>
      </w:r>
      <w:r>
        <w:rPr>
          <w:spacing w:val="-2"/>
        </w:rPr>
        <w:t> </w:t>
      </w:r>
      <w:r>
        <w:rPr/>
        <w:t>order</w:t>
      </w:r>
      <w:r>
        <w:rPr>
          <w:spacing w:val="-2"/>
        </w:rPr>
        <w:t> </w:t>
      </w:r>
      <w:r>
        <w:rPr/>
        <w:t>to</w:t>
      </w:r>
      <w:r>
        <w:rPr>
          <w:spacing w:val="-2"/>
        </w:rPr>
        <w:t> </w:t>
      </w:r>
      <w:r>
        <w:rPr/>
        <w:t>distribute</w:t>
      </w:r>
      <w:r>
        <w:rPr>
          <w:spacing w:val="-2"/>
        </w:rPr>
        <w:t> </w:t>
      </w:r>
      <w:r>
        <w:rPr/>
        <w:t>reliable</w:t>
      </w:r>
      <w:r>
        <w:rPr>
          <w:spacing w:val="-12"/>
        </w:rPr>
        <w:t> </w:t>
      </w:r>
      <w:r>
        <w:rPr/>
        <w:t>Adobe</w:t>
      </w:r>
      <w:r>
        <w:rPr>
          <w:spacing w:val="-2"/>
        </w:rPr>
        <w:t> </w:t>
      </w:r>
      <w:r>
        <w:rPr/>
        <w:t>PDF</w:t>
      </w:r>
      <w:r>
        <w:rPr>
          <w:spacing w:val="-2"/>
        </w:rPr>
        <w:t> </w:t>
      </w:r>
      <w:r>
        <w:rPr/>
        <w:t>documents</w:t>
      </w:r>
      <w:r>
        <w:rPr>
          <w:spacing w:val="-2"/>
        </w:rPr>
        <w:t> </w:t>
      </w:r>
      <w:r>
        <w:rPr/>
        <w:t>that</w:t>
      </w:r>
      <w:r>
        <w:rPr>
          <w:spacing w:val="-2"/>
        </w:rPr>
        <w:t> </w:t>
      </w:r>
      <w:r>
        <w:rPr/>
        <w:t>can</w:t>
      </w:r>
      <w:r>
        <w:rPr>
          <w:spacing w:val="-2"/>
        </w:rPr>
        <w:t> </w:t>
      </w:r>
      <w:r>
        <w:rPr/>
        <w:t>be</w:t>
      </w:r>
      <w:r>
        <w:rPr>
          <w:spacing w:val="-2"/>
        </w:rPr>
        <w:t> </w:t>
      </w:r>
      <w:r>
        <w:rPr/>
        <w:t>viewed,</w:t>
      </w:r>
      <w:r>
        <w:rPr>
          <w:spacing w:val="-2"/>
        </w:rPr>
        <w:t> </w:t>
      </w:r>
      <w:r>
        <w:rPr/>
        <w:t>printed</w:t>
      </w:r>
      <w:r>
        <w:rPr>
          <w:spacing w:val="-2"/>
        </w:rPr>
        <w:t> </w:t>
      </w:r>
      <w:r>
        <w:rPr/>
        <w:t>or</w:t>
      </w:r>
      <w:r>
        <w:rPr>
          <w:spacing w:val="-2"/>
        </w:rPr>
        <w:t> </w:t>
      </w:r>
      <w:r>
        <w:rPr/>
        <w:t>filled</w:t>
      </w:r>
      <w:r>
        <w:rPr>
          <w:spacing w:val="-2"/>
        </w:rPr>
        <w:t> </w:t>
      </w:r>
      <w:r>
        <w:rPr/>
        <w:t>out</w:t>
      </w:r>
      <w:r>
        <w:rPr>
          <w:spacing w:val="-2"/>
        </w:rPr>
        <w:t> </w:t>
      </w:r>
      <w:r>
        <w:rPr/>
        <w:t>utilizing </w:t>
      </w:r>
      <w:r>
        <w:rPr>
          <w:spacing w:val="-2"/>
        </w:rPr>
        <w:t>our</w:t>
      </w:r>
      <w:r>
        <w:rPr>
          <w:spacing w:val="-11"/>
        </w:rPr>
        <w:t> </w:t>
      </w:r>
      <w:r>
        <w:rPr>
          <w:spacing w:val="-2"/>
        </w:rPr>
        <w:t>free</w:t>
      </w:r>
      <w:r>
        <w:rPr>
          <w:spacing w:val="-10"/>
        </w:rPr>
        <w:t> </w:t>
      </w:r>
      <w:r>
        <w:rPr>
          <w:spacing w:val="-2"/>
        </w:rPr>
        <w:t>Adobe</w:t>
      </w:r>
      <w:r>
        <w:rPr>
          <w:spacing w:val="-11"/>
        </w:rPr>
        <w:t> </w:t>
      </w:r>
      <w:r>
        <w:rPr>
          <w:spacing w:val="-2"/>
        </w:rPr>
        <w:t>Acrobat</w:t>
      </w:r>
      <w:r>
        <w:rPr>
          <w:spacing w:val="-10"/>
        </w:rPr>
        <w:t> </w:t>
      </w:r>
      <w:r>
        <w:rPr>
          <w:spacing w:val="-2"/>
        </w:rPr>
        <w:t>Reader.</w:t>
      </w:r>
      <w:r>
        <w:rPr>
          <w:spacing w:val="-11"/>
        </w:rPr>
        <w:t> </w:t>
      </w:r>
      <w:r>
        <w:rPr>
          <w:spacing w:val="-2"/>
        </w:rPr>
        <w:t>Acrobat</w:t>
      </w:r>
      <w:r>
        <w:rPr>
          <w:spacing w:val="-10"/>
        </w:rPr>
        <w:t> </w:t>
      </w:r>
      <w:r>
        <w:rPr>
          <w:spacing w:val="-2"/>
        </w:rPr>
        <w:t>provides</w:t>
      </w:r>
      <w:r>
        <w:rPr>
          <w:spacing w:val="-11"/>
        </w:rPr>
        <w:t> </w:t>
      </w:r>
      <w:r>
        <w:rPr>
          <w:spacing w:val="-2"/>
        </w:rPr>
        <w:t>essential</w:t>
      </w:r>
      <w:r>
        <w:rPr>
          <w:spacing w:val="-10"/>
        </w:rPr>
        <w:t> </w:t>
      </w:r>
      <w:r>
        <w:rPr>
          <w:spacing w:val="-2"/>
        </w:rPr>
        <w:t>electronic</w:t>
      </w:r>
      <w:r>
        <w:rPr>
          <w:spacing w:val="-11"/>
        </w:rPr>
        <w:t> </w:t>
      </w:r>
      <w:r>
        <w:rPr>
          <w:spacing w:val="-2"/>
        </w:rPr>
        <w:t>document</w:t>
      </w:r>
      <w:r>
        <w:rPr>
          <w:spacing w:val="-10"/>
        </w:rPr>
        <w:t> </w:t>
      </w:r>
      <w:r>
        <w:rPr>
          <w:spacing w:val="-2"/>
        </w:rPr>
        <w:t>capabilities</w:t>
      </w:r>
      <w:r>
        <w:rPr>
          <w:spacing w:val="-11"/>
        </w:rPr>
        <w:t> </w:t>
      </w:r>
      <w:r>
        <w:rPr>
          <w:spacing w:val="-2"/>
        </w:rPr>
        <w:t>and</w:t>
      </w:r>
      <w:r>
        <w:rPr>
          <w:spacing w:val="-10"/>
        </w:rPr>
        <w:t> </w:t>
      </w:r>
      <w:r>
        <w:rPr>
          <w:spacing w:val="-2"/>
        </w:rPr>
        <w:t>services</w:t>
      </w:r>
      <w:r>
        <w:rPr>
          <w:spacing w:val="-11"/>
        </w:rPr>
        <w:t> </w:t>
      </w:r>
      <w:r>
        <w:rPr>
          <w:spacing w:val="-2"/>
        </w:rPr>
        <w:t>to</w:t>
      </w:r>
      <w:r>
        <w:rPr>
          <w:spacing w:val="-10"/>
        </w:rPr>
        <w:t> </w:t>
      </w:r>
      <w:r>
        <w:rPr>
          <w:spacing w:val="-2"/>
        </w:rPr>
        <w:t>help</w:t>
      </w:r>
      <w:r>
        <w:rPr>
          <w:spacing w:val="-11"/>
        </w:rPr>
        <w:t> </w:t>
      </w:r>
      <w:r>
        <w:rPr>
          <w:spacing w:val="-2"/>
        </w:rPr>
        <w:t>knowledge</w:t>
      </w:r>
      <w:r>
        <w:rPr>
          <w:spacing w:val="-10"/>
        </w:rPr>
        <w:t> </w:t>
      </w:r>
      <w:r>
        <w:rPr>
          <w:spacing w:val="-2"/>
        </w:rPr>
        <w:t>workers </w:t>
      </w:r>
      <w:r>
        <w:rPr/>
        <w:t>accomplish</w:t>
      </w:r>
      <w:r>
        <w:rPr>
          <w:spacing w:val="-12"/>
        </w:rPr>
        <w:t> </w:t>
      </w:r>
      <w:r>
        <w:rPr/>
        <w:t>a</w:t>
      </w:r>
      <w:r>
        <w:rPr>
          <w:spacing w:val="-12"/>
        </w:rPr>
        <w:t> </w:t>
      </w:r>
      <w:r>
        <w:rPr/>
        <w:t>wide</w:t>
      </w:r>
      <w:r>
        <w:rPr>
          <w:spacing w:val="-12"/>
        </w:rPr>
        <w:t> </w:t>
      </w:r>
      <w:r>
        <w:rPr/>
        <w:t>variety</w:t>
      </w:r>
      <w:r>
        <w:rPr>
          <w:spacing w:val="-12"/>
        </w:rPr>
        <w:t> </w:t>
      </w:r>
      <w:r>
        <w:rPr/>
        <w:t>of</w:t>
      </w:r>
      <w:r>
        <w:rPr>
          <w:spacing w:val="-12"/>
        </w:rPr>
        <w:t> </w:t>
      </w:r>
      <w:r>
        <w:rPr/>
        <w:t>tasks</w:t>
      </w:r>
      <w:r>
        <w:rPr>
          <w:spacing w:val="-12"/>
        </w:rPr>
        <w:t> </w:t>
      </w:r>
      <w:r>
        <w:rPr/>
        <w:t>ranging</w:t>
      </w:r>
      <w:r>
        <w:rPr>
          <w:spacing w:val="-12"/>
        </w:rPr>
        <w:t> </w:t>
      </w:r>
      <w:r>
        <w:rPr/>
        <w:t>from</w:t>
      </w:r>
      <w:r>
        <w:rPr>
          <w:spacing w:val="-12"/>
        </w:rPr>
        <w:t> </w:t>
      </w:r>
      <w:r>
        <w:rPr/>
        <w:t>simple</w:t>
      </w:r>
      <w:r>
        <w:rPr>
          <w:spacing w:val="-12"/>
        </w:rPr>
        <w:t> </w:t>
      </w:r>
      <w:r>
        <w:rPr/>
        <w:t>publications</w:t>
      </w:r>
      <w:r>
        <w:rPr>
          <w:spacing w:val="-11"/>
        </w:rPr>
        <w:t> </w:t>
      </w:r>
      <w:r>
        <w:rPr/>
        <w:t>and</w:t>
      </w:r>
      <w:r>
        <w:rPr>
          <w:spacing w:val="-12"/>
        </w:rPr>
        <w:t> </w:t>
      </w:r>
      <w:r>
        <w:rPr/>
        <w:t>forms</w:t>
      </w:r>
      <w:r>
        <w:rPr>
          <w:spacing w:val="-12"/>
        </w:rPr>
        <w:t> </w:t>
      </w:r>
      <w:r>
        <w:rPr/>
        <w:t>to</w:t>
      </w:r>
      <w:r>
        <w:rPr>
          <w:spacing w:val="-12"/>
        </w:rPr>
        <w:t> </w:t>
      </w:r>
      <w:r>
        <w:rPr/>
        <w:t>mission-critical</w:t>
      </w:r>
      <w:r>
        <w:rPr>
          <w:spacing w:val="-12"/>
        </w:rPr>
        <w:t> </w:t>
      </w:r>
      <w:r>
        <w:rPr/>
        <w:t>engineering</w:t>
      </w:r>
      <w:r>
        <w:rPr>
          <w:spacing w:val="-12"/>
        </w:rPr>
        <w:t> </w:t>
      </w:r>
      <w:r>
        <w:rPr/>
        <w:t>documentation</w:t>
      </w:r>
      <w:r>
        <w:rPr>
          <w:spacing w:val="-12"/>
        </w:rPr>
        <w:t> </w:t>
      </w:r>
      <w:r>
        <w:rPr/>
        <w:t>and architectural</w:t>
      </w:r>
      <w:r>
        <w:rPr>
          <w:spacing w:val="-13"/>
        </w:rPr>
        <w:t> </w:t>
      </w:r>
      <w:r>
        <w:rPr/>
        <w:t>plans.</w:t>
      </w:r>
      <w:r>
        <w:rPr>
          <w:spacing w:val="-12"/>
        </w:rPr>
        <w:t> </w:t>
      </w:r>
      <w:r>
        <w:rPr/>
        <w:t>With</w:t>
      </w:r>
      <w:r>
        <w:rPr>
          <w:spacing w:val="-13"/>
        </w:rPr>
        <w:t> </w:t>
      </w:r>
      <w:r>
        <w:rPr/>
        <w:t>our</w:t>
      </w:r>
      <w:r>
        <w:rPr>
          <w:spacing w:val="-12"/>
        </w:rPr>
        <w:t> </w:t>
      </w:r>
      <w:r>
        <w:rPr/>
        <w:t>Acrobat</w:t>
      </w:r>
      <w:r>
        <w:rPr>
          <w:spacing w:val="-13"/>
        </w:rPr>
        <w:t> </w:t>
      </w:r>
      <w:r>
        <w:rPr/>
        <w:t>product</w:t>
      </w:r>
      <w:r>
        <w:rPr>
          <w:spacing w:val="-12"/>
        </w:rPr>
        <w:t> </w:t>
      </w:r>
      <w:r>
        <w:rPr/>
        <w:t>and</w:t>
      </w:r>
      <w:r>
        <w:rPr>
          <w:spacing w:val="-13"/>
        </w:rPr>
        <w:t> </w:t>
      </w:r>
      <w:r>
        <w:rPr/>
        <w:t>its</w:t>
      </w:r>
      <w:r>
        <w:rPr>
          <w:spacing w:val="-12"/>
        </w:rPr>
        <w:t> </w:t>
      </w:r>
      <w:r>
        <w:rPr/>
        <w:t>innovative</w:t>
      </w:r>
      <w:r>
        <w:rPr>
          <w:spacing w:val="-13"/>
        </w:rPr>
        <w:t> </w:t>
      </w:r>
      <w:r>
        <w:rPr/>
        <w:t>cloud</w:t>
      </w:r>
      <w:r>
        <w:rPr>
          <w:spacing w:val="-12"/>
        </w:rPr>
        <w:t> </w:t>
      </w:r>
      <w:r>
        <w:rPr/>
        <w:t>services,</w:t>
      </w:r>
      <w:r>
        <w:rPr>
          <w:spacing w:val="-13"/>
        </w:rPr>
        <w:t> </w:t>
      </w:r>
      <w:r>
        <w:rPr/>
        <w:t>we</w:t>
      </w:r>
      <w:r>
        <w:rPr>
          <w:spacing w:val="-12"/>
        </w:rPr>
        <w:t> </w:t>
      </w:r>
      <w:r>
        <w:rPr/>
        <w:t>have</w:t>
      </w:r>
      <w:r>
        <w:rPr>
          <w:spacing w:val="-13"/>
        </w:rPr>
        <w:t> </w:t>
      </w:r>
      <w:r>
        <w:rPr/>
        <w:t>extended</w:t>
      </w:r>
      <w:r>
        <w:rPr>
          <w:spacing w:val="-12"/>
        </w:rPr>
        <w:t> </w:t>
      </w:r>
      <w:r>
        <w:rPr/>
        <w:t>the</w:t>
      </w:r>
      <w:r>
        <w:rPr>
          <w:spacing w:val="-13"/>
        </w:rPr>
        <w:t> </w:t>
      </w:r>
      <w:r>
        <w:rPr/>
        <w:t>capabilities</w:t>
      </w:r>
      <w:r>
        <w:rPr>
          <w:spacing w:val="-12"/>
        </w:rPr>
        <w:t> </w:t>
      </w:r>
      <w:r>
        <w:rPr/>
        <w:t>of</w:t>
      </w:r>
      <w:r>
        <w:rPr>
          <w:spacing w:val="-13"/>
        </w:rPr>
        <w:t> </w:t>
      </w:r>
      <w:r>
        <w:rPr/>
        <w:t>our</w:t>
      </w:r>
      <w:r>
        <w:rPr>
          <w:spacing w:val="-12"/>
        </w:rPr>
        <w:t> </w:t>
      </w:r>
      <w:r>
        <w:rPr/>
        <w:t>solutions. Users can turn slow, manual signing processes into automated experiences and collect signatures with</w:t>
      </w:r>
      <w:r>
        <w:rPr>
          <w:spacing w:val="-11"/>
        </w:rPr>
        <w:t> </w:t>
      </w:r>
      <w:r>
        <w:rPr/>
        <w:t>Adobe Scan,</w:t>
      </w:r>
      <w:r>
        <w:rPr>
          <w:spacing w:val="-11"/>
        </w:rPr>
        <w:t> </w:t>
      </w:r>
      <w:r>
        <w:rPr/>
        <w:t>Adobe Sign and Adobe Send &amp; Track.</w:t>
      </w:r>
    </w:p>
    <w:p>
      <w:pPr>
        <w:spacing w:before="168"/>
        <w:ind w:left="210" w:right="0" w:firstLine="0"/>
        <w:jc w:val="both"/>
        <w:rPr>
          <w:i/>
          <w:sz w:val="20"/>
        </w:rPr>
      </w:pPr>
      <w:r>
        <w:rPr>
          <w:i/>
          <w:sz w:val="20"/>
        </w:rPr>
        <w:t>Digital</w:t>
      </w:r>
      <w:r>
        <w:rPr>
          <w:i/>
          <w:spacing w:val="-3"/>
          <w:sz w:val="20"/>
        </w:rPr>
        <w:t> </w:t>
      </w:r>
      <w:r>
        <w:rPr>
          <w:i/>
          <w:sz w:val="20"/>
        </w:rPr>
        <w:t>Media </w:t>
      </w:r>
      <w:r>
        <w:rPr>
          <w:i/>
          <w:spacing w:val="-2"/>
          <w:sz w:val="20"/>
        </w:rPr>
        <w:t>Strategy</w:t>
      </w:r>
    </w:p>
    <w:p>
      <w:pPr>
        <w:pStyle w:val="BodyText"/>
        <w:spacing w:line="249" w:lineRule="auto" w:before="190"/>
        <w:ind w:left="210" w:right="257" w:firstLine="540"/>
        <w:jc w:val="both"/>
      </w:pPr>
      <w:r>
        <w:rPr/>
        <w:t>Our</w:t>
      </w:r>
      <w:r>
        <w:rPr>
          <w:spacing w:val="-7"/>
        </w:rPr>
        <w:t> </w:t>
      </w:r>
      <w:r>
        <w:rPr/>
        <w:t>goal</w:t>
      </w:r>
      <w:r>
        <w:rPr>
          <w:spacing w:val="-7"/>
        </w:rPr>
        <w:t> </w:t>
      </w:r>
      <w:r>
        <w:rPr/>
        <w:t>is</w:t>
      </w:r>
      <w:r>
        <w:rPr>
          <w:spacing w:val="-7"/>
        </w:rPr>
        <w:t> </w:t>
      </w:r>
      <w:r>
        <w:rPr/>
        <w:t>to</w:t>
      </w:r>
      <w:r>
        <w:rPr>
          <w:spacing w:val="-7"/>
        </w:rPr>
        <w:t> </w:t>
      </w:r>
      <w:r>
        <w:rPr/>
        <w:t>be</w:t>
      </w:r>
      <w:r>
        <w:rPr>
          <w:spacing w:val="-7"/>
        </w:rPr>
        <w:t> </w:t>
      </w:r>
      <w:r>
        <w:rPr/>
        <w:t>the</w:t>
      </w:r>
      <w:r>
        <w:rPr>
          <w:spacing w:val="-7"/>
        </w:rPr>
        <w:t> </w:t>
      </w:r>
      <w:r>
        <w:rPr/>
        <w:t>leading</w:t>
      </w:r>
      <w:r>
        <w:rPr>
          <w:spacing w:val="-7"/>
        </w:rPr>
        <w:t> </w:t>
      </w:r>
      <w:r>
        <w:rPr/>
        <w:t>platform</w:t>
      </w:r>
      <w:r>
        <w:rPr>
          <w:spacing w:val="-7"/>
        </w:rPr>
        <w:t> </w:t>
      </w:r>
      <w:r>
        <w:rPr/>
        <w:t>for</w:t>
      </w:r>
      <w:r>
        <w:rPr>
          <w:spacing w:val="-7"/>
        </w:rPr>
        <w:t> </w:t>
      </w:r>
      <w:r>
        <w:rPr/>
        <w:t>creativity</w:t>
      </w:r>
      <w:r>
        <w:rPr>
          <w:spacing w:val="-7"/>
        </w:rPr>
        <w:t> </w:t>
      </w:r>
      <w:r>
        <w:rPr/>
        <w:t>where</w:t>
      </w:r>
      <w:r>
        <w:rPr>
          <w:spacing w:val="-7"/>
        </w:rPr>
        <w:t> </w:t>
      </w:r>
      <w:r>
        <w:rPr/>
        <w:t>we</w:t>
      </w:r>
      <w:r>
        <w:rPr>
          <w:spacing w:val="-7"/>
        </w:rPr>
        <w:t> </w:t>
      </w:r>
      <w:r>
        <w:rPr/>
        <w:t>offer</w:t>
      </w:r>
      <w:r>
        <w:rPr>
          <w:spacing w:val="-7"/>
        </w:rPr>
        <w:t> </w:t>
      </w:r>
      <w:r>
        <w:rPr/>
        <w:t>a</w:t>
      </w:r>
      <w:r>
        <w:rPr>
          <w:spacing w:val="-7"/>
        </w:rPr>
        <w:t> </w:t>
      </w:r>
      <w:r>
        <w:rPr/>
        <w:t>range</w:t>
      </w:r>
      <w:r>
        <w:rPr>
          <w:spacing w:val="-7"/>
        </w:rPr>
        <w:t> </w:t>
      </w:r>
      <w:r>
        <w:rPr/>
        <w:t>of</w:t>
      </w:r>
      <w:r>
        <w:rPr>
          <w:spacing w:val="-7"/>
        </w:rPr>
        <w:t> </w:t>
      </w:r>
      <w:r>
        <w:rPr/>
        <w:t>products</w:t>
      </w:r>
      <w:r>
        <w:rPr>
          <w:spacing w:val="-7"/>
        </w:rPr>
        <w:t> </w:t>
      </w:r>
      <w:r>
        <w:rPr/>
        <w:t>and</w:t>
      </w:r>
      <w:r>
        <w:rPr>
          <w:spacing w:val="-7"/>
        </w:rPr>
        <w:t> </w:t>
      </w:r>
      <w:r>
        <w:rPr/>
        <w:t>services</w:t>
      </w:r>
      <w:r>
        <w:rPr>
          <w:spacing w:val="-7"/>
        </w:rPr>
        <w:t> </w:t>
      </w:r>
      <w:r>
        <w:rPr/>
        <w:t>that</w:t>
      </w:r>
      <w:r>
        <w:rPr>
          <w:spacing w:val="-7"/>
        </w:rPr>
        <w:t> </w:t>
      </w:r>
      <w:r>
        <w:rPr/>
        <w:t>allow</w:t>
      </w:r>
      <w:r>
        <w:rPr>
          <w:spacing w:val="-7"/>
        </w:rPr>
        <w:t> </w:t>
      </w:r>
      <w:r>
        <w:rPr/>
        <w:t>individuals, teams and enterprises to design and deliver amazing digital content.</w:t>
      </w:r>
    </w:p>
    <w:p>
      <w:pPr>
        <w:pStyle w:val="BodyText"/>
        <w:spacing w:line="249" w:lineRule="auto" w:before="162"/>
        <w:ind w:left="210" w:right="257" w:firstLine="540"/>
        <w:jc w:val="both"/>
      </w:pPr>
      <w:r>
        <w:rPr/>
        <w:t>We</w:t>
      </w:r>
      <w:r>
        <w:rPr>
          <w:spacing w:val="-1"/>
        </w:rPr>
        <w:t> </w:t>
      </w:r>
      <w:r>
        <w:rPr/>
        <w:t>believe</w:t>
      </w:r>
      <w:r>
        <w:rPr>
          <w:spacing w:val="-2"/>
        </w:rPr>
        <w:t> </w:t>
      </w:r>
      <w:r>
        <w:rPr/>
        <w:t>there</w:t>
      </w:r>
      <w:r>
        <w:rPr>
          <w:spacing w:val="-2"/>
        </w:rPr>
        <w:t> </w:t>
      </w:r>
      <w:r>
        <w:rPr/>
        <w:t>is</w:t>
      </w:r>
      <w:r>
        <w:rPr>
          <w:spacing w:val="-1"/>
        </w:rPr>
        <w:t> </w:t>
      </w:r>
      <w:r>
        <w:rPr/>
        <w:t>significant</w:t>
      </w:r>
      <w:r>
        <w:rPr>
          <w:spacing w:val="-2"/>
        </w:rPr>
        <w:t> </w:t>
      </w:r>
      <w:r>
        <w:rPr/>
        <w:t>opportunity</w:t>
      </w:r>
      <w:r>
        <w:rPr>
          <w:spacing w:val="-1"/>
        </w:rPr>
        <w:t> </w:t>
      </w:r>
      <w:r>
        <w:rPr/>
        <w:t>for</w:t>
      </w:r>
      <w:r>
        <w:rPr>
          <w:spacing w:val="-1"/>
        </w:rPr>
        <w:t> </w:t>
      </w:r>
      <w:r>
        <w:rPr/>
        <w:t>growth</w:t>
      </w:r>
      <w:r>
        <w:rPr>
          <w:spacing w:val="-1"/>
        </w:rPr>
        <w:t> </w:t>
      </w:r>
      <w:r>
        <w:rPr/>
        <w:t>across</w:t>
      </w:r>
      <w:r>
        <w:rPr>
          <w:spacing w:val="-1"/>
        </w:rPr>
        <w:t> </w:t>
      </w:r>
      <w:r>
        <w:rPr/>
        <w:t>all</w:t>
      </w:r>
      <w:r>
        <w:rPr>
          <w:spacing w:val="-2"/>
        </w:rPr>
        <w:t> </w:t>
      </w:r>
      <w:r>
        <w:rPr/>
        <w:t>customer</w:t>
      </w:r>
      <w:r>
        <w:rPr>
          <w:spacing w:val="-1"/>
        </w:rPr>
        <w:t> </w:t>
      </w:r>
      <w:r>
        <w:rPr/>
        <w:t>segments</w:t>
      </w:r>
      <w:r>
        <w:rPr>
          <w:spacing w:val="-1"/>
        </w:rPr>
        <w:t> </w:t>
      </w:r>
      <w:r>
        <w:rPr/>
        <w:t>and</w:t>
      </w:r>
      <w:r>
        <w:rPr>
          <w:spacing w:val="-1"/>
        </w:rPr>
        <w:t> </w:t>
      </w:r>
      <w:r>
        <w:rPr/>
        <w:t>expect</w:t>
      </w:r>
      <w:r>
        <w:rPr>
          <w:spacing w:val="-2"/>
        </w:rPr>
        <w:t> </w:t>
      </w:r>
      <w:r>
        <w:rPr/>
        <w:t>Creative</w:t>
      </w:r>
      <w:r>
        <w:rPr>
          <w:spacing w:val="-2"/>
        </w:rPr>
        <w:t> </w:t>
      </w:r>
      <w:r>
        <w:rPr/>
        <w:t>Cloud</w:t>
      </w:r>
      <w:r>
        <w:rPr>
          <w:spacing w:val="-1"/>
        </w:rPr>
        <w:t> </w:t>
      </w:r>
      <w:r>
        <w:rPr/>
        <w:t>will</w:t>
      </w:r>
      <w:r>
        <w:rPr>
          <w:spacing w:val="-2"/>
        </w:rPr>
        <w:t> </w:t>
      </w:r>
      <w:r>
        <w:rPr/>
        <w:t>drive </w:t>
      </w:r>
      <w:r>
        <w:rPr>
          <w:spacing w:val="-2"/>
        </w:rPr>
        <w:t>sustained</w:t>
      </w:r>
      <w:r>
        <w:rPr>
          <w:spacing w:val="-5"/>
        </w:rPr>
        <w:t> </w:t>
      </w:r>
      <w:r>
        <w:rPr>
          <w:spacing w:val="-2"/>
        </w:rPr>
        <w:t>long-term</w:t>
      </w:r>
      <w:r>
        <w:rPr>
          <w:spacing w:val="-3"/>
        </w:rPr>
        <w:t> </w:t>
      </w:r>
      <w:r>
        <w:rPr>
          <w:spacing w:val="-2"/>
        </w:rPr>
        <w:t>revenue</w:t>
      </w:r>
      <w:r>
        <w:rPr>
          <w:spacing w:val="-3"/>
        </w:rPr>
        <w:t> </w:t>
      </w:r>
      <w:r>
        <w:rPr>
          <w:spacing w:val="-2"/>
        </w:rPr>
        <w:t>growth through a continued</w:t>
      </w:r>
      <w:r>
        <w:rPr>
          <w:spacing w:val="-3"/>
        </w:rPr>
        <w:t> </w:t>
      </w:r>
      <w:r>
        <w:rPr>
          <w:spacing w:val="-2"/>
        </w:rPr>
        <w:t>expansion of our customer</w:t>
      </w:r>
      <w:r>
        <w:rPr>
          <w:spacing w:val="-3"/>
        </w:rPr>
        <w:t> </w:t>
      </w:r>
      <w:r>
        <w:rPr>
          <w:spacing w:val="-2"/>
        </w:rPr>
        <w:t>base</w:t>
      </w:r>
      <w:r>
        <w:rPr>
          <w:spacing w:val="-3"/>
        </w:rPr>
        <w:t> </w:t>
      </w:r>
      <w:r>
        <w:rPr>
          <w:spacing w:val="-2"/>
        </w:rPr>
        <w:t>by acquiring</w:t>
      </w:r>
      <w:r>
        <w:rPr>
          <w:spacing w:val="-3"/>
        </w:rPr>
        <w:t> </w:t>
      </w:r>
      <w:r>
        <w:rPr>
          <w:spacing w:val="-2"/>
        </w:rPr>
        <w:t>new users in North</w:t>
      </w:r>
      <w:r>
        <w:rPr>
          <w:spacing w:val="-11"/>
        </w:rPr>
        <w:t> </w:t>
      </w:r>
      <w:r>
        <w:rPr>
          <w:spacing w:val="-2"/>
        </w:rPr>
        <w:t>America </w:t>
      </w:r>
      <w:r>
        <w:rPr/>
        <w:t>and international markets.</w:t>
      </w:r>
      <w:r>
        <w:rPr>
          <w:spacing w:val="40"/>
        </w:rPr>
        <w:t> </w:t>
      </w:r>
      <w:r>
        <w:rPr/>
        <w:t>We will continue to</w:t>
      </w:r>
      <w:r>
        <w:rPr>
          <w:spacing w:val="40"/>
        </w:rPr>
        <w:t> </w:t>
      </w:r>
      <w:r>
        <w:rPr/>
        <w:t>seek to deepen our relationship with existing users through meeting their needs holistically and</w:t>
      </w:r>
      <w:r>
        <w:rPr>
          <w:spacing w:val="-1"/>
        </w:rPr>
        <w:t> </w:t>
      </w:r>
      <w:r>
        <w:rPr/>
        <w:t>delivering</w:t>
      </w:r>
      <w:r>
        <w:rPr>
          <w:spacing w:val="-1"/>
        </w:rPr>
        <w:t> </w:t>
      </w:r>
      <w:r>
        <w:rPr/>
        <w:t>additional</w:t>
      </w:r>
      <w:r>
        <w:rPr>
          <w:spacing w:val="-1"/>
        </w:rPr>
        <w:t> </w:t>
      </w:r>
      <w:r>
        <w:rPr/>
        <w:t>features and</w:t>
      </w:r>
      <w:r>
        <w:rPr>
          <w:spacing w:val="-1"/>
        </w:rPr>
        <w:t> </w:t>
      </w:r>
      <w:r>
        <w:rPr/>
        <w:t>value.</w:t>
      </w:r>
      <w:r>
        <w:rPr>
          <w:spacing w:val="39"/>
        </w:rPr>
        <w:t> </w:t>
      </w:r>
      <w:r>
        <w:rPr/>
        <w:t>As</w:t>
      </w:r>
      <w:r>
        <w:rPr>
          <w:spacing w:val="-1"/>
        </w:rPr>
        <w:t> </w:t>
      </w:r>
      <w:r>
        <w:rPr/>
        <w:t>appropriate,</w:t>
      </w:r>
      <w:r>
        <w:rPr>
          <w:spacing w:val="-1"/>
        </w:rPr>
        <w:t> </w:t>
      </w:r>
      <w:r>
        <w:rPr/>
        <w:t>we</w:t>
      </w:r>
      <w:r>
        <w:rPr>
          <w:spacing w:val="-1"/>
        </w:rPr>
        <w:t> </w:t>
      </w:r>
      <w:r>
        <w:rPr/>
        <w:t>plan to</w:t>
      </w:r>
      <w:r>
        <w:rPr>
          <w:spacing w:val="-1"/>
        </w:rPr>
        <w:t> </w:t>
      </w:r>
      <w:r>
        <w:rPr/>
        <w:t>optimize</w:t>
      </w:r>
      <w:r>
        <w:rPr>
          <w:spacing w:val="-1"/>
        </w:rPr>
        <w:t> </w:t>
      </w:r>
      <w:r>
        <w:rPr/>
        <w:t>our pricing</w:t>
      </w:r>
      <w:r>
        <w:rPr>
          <w:spacing w:val="-1"/>
        </w:rPr>
        <w:t> </w:t>
      </w:r>
      <w:r>
        <w:rPr/>
        <w:t>strategy</w:t>
      </w:r>
      <w:r>
        <w:rPr>
          <w:spacing w:val="-1"/>
        </w:rPr>
        <w:t> </w:t>
      </w:r>
      <w:r>
        <w:rPr/>
        <w:t>and move</w:t>
      </w:r>
      <w:r>
        <w:rPr>
          <w:spacing w:val="-1"/>
        </w:rPr>
        <w:t> </w:t>
      </w:r>
      <w:r>
        <w:rPr/>
        <w:t>our customers</w:t>
      </w:r>
      <w:r>
        <w:rPr>
          <w:spacing w:val="-5"/>
        </w:rPr>
        <w:t> </w:t>
      </w:r>
      <w:r>
        <w:rPr/>
        <w:t>to</w:t>
      </w:r>
      <w:r>
        <w:rPr>
          <w:spacing w:val="-5"/>
        </w:rPr>
        <w:t> </w:t>
      </w:r>
      <w:r>
        <w:rPr/>
        <w:t>higher</w:t>
      </w:r>
      <w:r>
        <w:rPr>
          <w:spacing w:val="-5"/>
        </w:rPr>
        <w:t> </w:t>
      </w:r>
      <w:r>
        <w:rPr/>
        <w:t>priced</w:t>
      </w:r>
      <w:r>
        <w:rPr>
          <w:spacing w:val="-5"/>
        </w:rPr>
        <w:t> </w:t>
      </w:r>
      <w:r>
        <w:rPr/>
        <w:t>and</w:t>
      </w:r>
      <w:r>
        <w:rPr>
          <w:spacing w:val="-5"/>
        </w:rPr>
        <w:t> </w:t>
      </w:r>
      <w:r>
        <w:rPr/>
        <w:t>better</w:t>
      </w:r>
      <w:r>
        <w:rPr>
          <w:spacing w:val="-5"/>
        </w:rPr>
        <w:t> </w:t>
      </w:r>
      <w:r>
        <w:rPr/>
        <w:t>value</w:t>
      </w:r>
      <w:r>
        <w:rPr>
          <w:spacing w:val="-5"/>
        </w:rPr>
        <w:t> </w:t>
      </w:r>
      <w:r>
        <w:rPr/>
        <w:t>offerings</w:t>
      </w:r>
      <w:r>
        <w:rPr>
          <w:spacing w:val="-5"/>
        </w:rPr>
        <w:t> </w:t>
      </w:r>
      <w:r>
        <w:rPr/>
        <w:t>and</w:t>
      </w:r>
      <w:r>
        <w:rPr>
          <w:spacing w:val="-5"/>
        </w:rPr>
        <w:t> </w:t>
      </w:r>
      <w:r>
        <w:rPr/>
        <w:t>continue</w:t>
      </w:r>
      <w:r>
        <w:rPr>
          <w:spacing w:val="-5"/>
        </w:rPr>
        <w:t> </w:t>
      </w:r>
      <w:r>
        <w:rPr/>
        <w:t>to</w:t>
      </w:r>
      <w:r>
        <w:rPr>
          <w:spacing w:val="-5"/>
        </w:rPr>
        <w:t> </w:t>
      </w:r>
      <w:r>
        <w:rPr/>
        <w:t>employ</w:t>
      </w:r>
      <w:r>
        <w:rPr>
          <w:spacing w:val="-5"/>
        </w:rPr>
        <w:t> </w:t>
      </w:r>
      <w:r>
        <w:rPr/>
        <w:t>targeted</w:t>
      </w:r>
      <w:r>
        <w:rPr>
          <w:spacing w:val="-5"/>
        </w:rPr>
        <w:t> </w:t>
      </w:r>
      <w:r>
        <w:rPr/>
        <w:t>promotions</w:t>
      </w:r>
      <w:r>
        <w:rPr>
          <w:spacing w:val="-5"/>
        </w:rPr>
        <w:t> </w:t>
      </w:r>
      <w:r>
        <w:rPr/>
        <w:t>that</w:t>
      </w:r>
      <w:r>
        <w:rPr>
          <w:spacing w:val="-5"/>
        </w:rPr>
        <w:t> </w:t>
      </w:r>
      <w:r>
        <w:rPr/>
        <w:t>attract</w:t>
      </w:r>
      <w:r>
        <w:rPr>
          <w:spacing w:val="-5"/>
        </w:rPr>
        <w:t> </w:t>
      </w:r>
      <w:r>
        <w:rPr/>
        <w:t>past</w:t>
      </w:r>
      <w:r>
        <w:rPr>
          <w:spacing w:val="-5"/>
        </w:rPr>
        <w:t> </w:t>
      </w:r>
      <w:r>
        <w:rPr/>
        <w:t>customers</w:t>
      </w:r>
      <w:r>
        <w:rPr>
          <w:spacing w:val="-5"/>
        </w:rPr>
        <w:t> </w:t>
      </w:r>
      <w:r>
        <w:rPr/>
        <w:t>and potential</w:t>
      </w:r>
      <w:r>
        <w:rPr>
          <w:spacing w:val="-5"/>
        </w:rPr>
        <w:t> </w:t>
      </w:r>
      <w:r>
        <w:rPr/>
        <w:t>users</w:t>
      </w:r>
      <w:r>
        <w:rPr>
          <w:spacing w:val="-5"/>
        </w:rPr>
        <w:t> </w:t>
      </w:r>
      <w:r>
        <w:rPr/>
        <w:t>to</w:t>
      </w:r>
      <w:r>
        <w:rPr>
          <w:spacing w:val="-5"/>
        </w:rPr>
        <w:t> </w:t>
      </w:r>
      <w:r>
        <w:rPr/>
        <w:t>try</w:t>
      </w:r>
      <w:r>
        <w:rPr>
          <w:spacing w:val="-5"/>
        </w:rPr>
        <w:t> </w:t>
      </w:r>
      <w:r>
        <w:rPr/>
        <w:t>out</w:t>
      </w:r>
      <w:r>
        <w:rPr>
          <w:spacing w:val="-5"/>
        </w:rPr>
        <w:t> </w:t>
      </w:r>
      <w:r>
        <w:rPr/>
        <w:t>and</w:t>
      </w:r>
      <w:r>
        <w:rPr>
          <w:spacing w:val="-5"/>
        </w:rPr>
        <w:t> </w:t>
      </w:r>
      <w:r>
        <w:rPr/>
        <w:t>ultimately</w:t>
      </w:r>
      <w:r>
        <w:rPr>
          <w:spacing w:val="-5"/>
        </w:rPr>
        <w:t> </w:t>
      </w:r>
      <w:r>
        <w:rPr/>
        <w:t>subscribe</w:t>
      </w:r>
      <w:r>
        <w:rPr>
          <w:spacing w:val="-5"/>
        </w:rPr>
        <w:t> </w:t>
      </w:r>
      <w:r>
        <w:rPr/>
        <w:t>to</w:t>
      </w:r>
      <w:r>
        <w:rPr>
          <w:spacing w:val="-5"/>
        </w:rPr>
        <w:t> </w:t>
      </w:r>
      <w:r>
        <w:rPr/>
        <w:t>Creative</w:t>
      </w:r>
      <w:r>
        <w:rPr>
          <w:spacing w:val="-5"/>
        </w:rPr>
        <w:t> </w:t>
      </w:r>
      <w:r>
        <w:rPr/>
        <w:t>Cloud.</w:t>
      </w:r>
      <w:r>
        <w:rPr>
          <w:spacing w:val="-8"/>
        </w:rPr>
        <w:t> </w:t>
      </w:r>
      <w:r>
        <w:rPr/>
        <w:t>To</w:t>
      </w:r>
      <w:r>
        <w:rPr>
          <w:spacing w:val="-5"/>
        </w:rPr>
        <w:t> </w:t>
      </w:r>
      <w:r>
        <w:rPr/>
        <w:t>target</w:t>
      </w:r>
      <w:r>
        <w:rPr>
          <w:spacing w:val="-5"/>
        </w:rPr>
        <w:t> </w:t>
      </w:r>
      <w:r>
        <w:rPr/>
        <w:t>new</w:t>
      </w:r>
      <w:r>
        <w:rPr>
          <w:spacing w:val="-5"/>
        </w:rPr>
        <w:t> </w:t>
      </w:r>
      <w:r>
        <w:rPr/>
        <w:t>customers</w:t>
      </w:r>
      <w:r>
        <w:rPr>
          <w:spacing w:val="-5"/>
        </w:rPr>
        <w:t> </w:t>
      </w:r>
      <w:r>
        <w:rPr/>
        <w:t>and</w:t>
      </w:r>
      <w:r>
        <w:rPr>
          <w:spacing w:val="-5"/>
        </w:rPr>
        <w:t> </w:t>
      </w:r>
      <w:r>
        <w:rPr/>
        <w:t>better</w:t>
      </w:r>
      <w:r>
        <w:rPr>
          <w:spacing w:val="-5"/>
        </w:rPr>
        <w:t> </w:t>
      </w:r>
      <w:r>
        <w:rPr/>
        <w:t>address</w:t>
      </w:r>
      <w:r>
        <w:rPr>
          <w:spacing w:val="-5"/>
        </w:rPr>
        <w:t> </w:t>
      </w:r>
      <w:r>
        <w:rPr/>
        <w:t>the</w:t>
      </w:r>
      <w:r>
        <w:rPr>
          <w:spacing w:val="-5"/>
        </w:rPr>
        <w:t> </w:t>
      </w:r>
      <w:r>
        <w:rPr/>
        <w:t>needs</w:t>
      </w:r>
      <w:r>
        <w:rPr>
          <w:spacing w:val="-5"/>
        </w:rPr>
        <w:t> </w:t>
      </w:r>
      <w:r>
        <w:rPr/>
        <w:t>of</w:t>
      </w:r>
      <w:r>
        <w:rPr>
          <w:spacing w:val="-5"/>
        </w:rPr>
        <w:t> </w:t>
      </w:r>
      <w:r>
        <w:rPr/>
        <w:t>our existing</w:t>
      </w:r>
      <w:r>
        <w:rPr>
          <w:spacing w:val="-3"/>
        </w:rPr>
        <w:t> </w:t>
      </w:r>
      <w:r>
        <w:rPr/>
        <w:t>customers,</w:t>
      </w:r>
      <w:r>
        <w:rPr>
          <w:spacing w:val="-3"/>
        </w:rPr>
        <w:t> </w:t>
      </w:r>
      <w:r>
        <w:rPr/>
        <w:t>we</w:t>
      </w:r>
      <w:r>
        <w:rPr>
          <w:spacing w:val="-3"/>
        </w:rPr>
        <w:t> </w:t>
      </w:r>
      <w:r>
        <w:rPr/>
        <w:t>will</w:t>
      </w:r>
      <w:r>
        <w:rPr>
          <w:spacing w:val="-3"/>
        </w:rPr>
        <w:t> </w:t>
      </w:r>
      <w:r>
        <w:rPr/>
        <w:t>continue</w:t>
      </w:r>
      <w:r>
        <w:rPr>
          <w:spacing w:val="-4"/>
        </w:rPr>
        <w:t> </w:t>
      </w:r>
      <w:r>
        <w:rPr/>
        <w:t>to</w:t>
      </w:r>
      <w:r>
        <w:rPr>
          <w:spacing w:val="-3"/>
        </w:rPr>
        <w:t> </w:t>
      </w:r>
      <w:r>
        <w:rPr/>
        <w:t>invest</w:t>
      </w:r>
      <w:r>
        <w:rPr>
          <w:spacing w:val="-3"/>
        </w:rPr>
        <w:t> </w:t>
      </w:r>
      <w:r>
        <w:rPr/>
        <w:t>in</w:t>
      </w:r>
      <w:r>
        <w:rPr>
          <w:spacing w:val="-3"/>
        </w:rPr>
        <w:t> </w:t>
      </w:r>
      <w:r>
        <w:rPr/>
        <w:t>driving</w:t>
      </w:r>
      <w:r>
        <w:rPr>
          <w:spacing w:val="-3"/>
        </w:rPr>
        <w:t> </w:t>
      </w:r>
      <w:r>
        <w:rPr/>
        <w:t>innovation</w:t>
      </w:r>
      <w:r>
        <w:rPr>
          <w:spacing w:val="-3"/>
        </w:rPr>
        <w:t> </w:t>
      </w:r>
      <w:r>
        <w:rPr/>
        <w:t>to</w:t>
      </w:r>
      <w:r>
        <w:rPr>
          <w:spacing w:val="-3"/>
        </w:rPr>
        <w:t> </w:t>
      </w:r>
      <w:r>
        <w:rPr/>
        <w:t>maintain</w:t>
      </w:r>
      <w:r>
        <w:rPr>
          <w:spacing w:val="-3"/>
        </w:rPr>
        <w:t> </w:t>
      </w:r>
      <w:r>
        <w:rPr/>
        <w:t>the</w:t>
      </w:r>
      <w:r>
        <w:rPr>
          <w:spacing w:val="-3"/>
        </w:rPr>
        <w:t> </w:t>
      </w:r>
      <w:r>
        <w:rPr/>
        <w:t>leadership</w:t>
      </w:r>
      <w:r>
        <w:rPr>
          <w:spacing w:val="-3"/>
        </w:rPr>
        <w:t> </w:t>
      </w:r>
      <w:r>
        <w:rPr/>
        <w:t>position</w:t>
      </w:r>
      <w:r>
        <w:rPr>
          <w:spacing w:val="-3"/>
        </w:rPr>
        <w:t> </w:t>
      </w:r>
      <w:r>
        <w:rPr/>
        <w:t>that</w:t>
      </w:r>
      <w:r>
        <w:rPr>
          <w:spacing w:val="-3"/>
        </w:rPr>
        <w:t> </w:t>
      </w:r>
      <w:r>
        <w:rPr/>
        <w:t>we</w:t>
      </w:r>
      <w:r>
        <w:rPr>
          <w:spacing w:val="-3"/>
        </w:rPr>
        <w:t> </w:t>
      </w:r>
      <w:r>
        <w:rPr/>
        <w:t>have</w:t>
      </w:r>
      <w:r>
        <w:rPr>
          <w:spacing w:val="-4"/>
        </w:rPr>
        <w:t> </w:t>
      </w:r>
      <w:r>
        <w:rPr/>
        <w:t>established. We</w:t>
      </w:r>
      <w:r>
        <w:rPr>
          <w:spacing w:val="-13"/>
        </w:rPr>
        <w:t> </w:t>
      </w:r>
      <w:r>
        <w:rPr/>
        <w:t>have</w:t>
      </w:r>
      <w:r>
        <w:rPr>
          <w:spacing w:val="-12"/>
        </w:rPr>
        <w:t> </w:t>
      </w:r>
      <w:r>
        <w:rPr/>
        <w:t>also</w:t>
      </w:r>
      <w:r>
        <w:rPr>
          <w:spacing w:val="-13"/>
        </w:rPr>
        <w:t> </w:t>
      </w:r>
      <w:r>
        <w:rPr/>
        <w:t>built</w:t>
      </w:r>
      <w:r>
        <w:rPr>
          <w:spacing w:val="-12"/>
        </w:rPr>
        <w:t> </w:t>
      </w:r>
      <w:r>
        <w:rPr/>
        <w:t>a</w:t>
      </w:r>
      <w:r>
        <w:rPr>
          <w:spacing w:val="-13"/>
        </w:rPr>
        <w:t> </w:t>
      </w:r>
      <w:r>
        <w:rPr/>
        <w:t>marketplace</w:t>
      </w:r>
      <w:r>
        <w:rPr>
          <w:spacing w:val="-12"/>
        </w:rPr>
        <w:t> </w:t>
      </w:r>
      <w:r>
        <w:rPr/>
        <w:t>for</w:t>
      </w:r>
      <w:r>
        <w:rPr>
          <w:spacing w:val="-13"/>
        </w:rPr>
        <w:t> </w:t>
      </w:r>
      <w:r>
        <w:rPr/>
        <w:t>Creative</w:t>
      </w:r>
      <w:r>
        <w:rPr>
          <w:spacing w:val="-12"/>
        </w:rPr>
        <w:t> </w:t>
      </w:r>
      <w:r>
        <w:rPr/>
        <w:t>Cloud</w:t>
      </w:r>
      <w:r>
        <w:rPr>
          <w:spacing w:val="-13"/>
        </w:rPr>
        <w:t> </w:t>
      </w:r>
      <w:r>
        <w:rPr/>
        <w:t>subscribers</w:t>
      </w:r>
      <w:r>
        <w:rPr>
          <w:spacing w:val="-12"/>
        </w:rPr>
        <w:t> </w:t>
      </w:r>
      <w:r>
        <w:rPr/>
        <w:t>to</w:t>
      </w:r>
      <w:r>
        <w:rPr>
          <w:spacing w:val="-12"/>
        </w:rPr>
        <w:t> </w:t>
      </w:r>
      <w:r>
        <w:rPr/>
        <w:t>enable</w:t>
      </w:r>
      <w:r>
        <w:rPr>
          <w:spacing w:val="-12"/>
        </w:rPr>
        <w:t> </w:t>
      </w:r>
      <w:r>
        <w:rPr/>
        <w:t>the</w:t>
      </w:r>
      <w:r>
        <w:rPr>
          <w:spacing w:val="-12"/>
        </w:rPr>
        <w:t> </w:t>
      </w:r>
      <w:r>
        <w:rPr/>
        <w:t>delivery</w:t>
      </w:r>
      <w:r>
        <w:rPr>
          <w:spacing w:val="-12"/>
        </w:rPr>
        <w:t> </w:t>
      </w:r>
      <w:r>
        <w:rPr/>
        <w:t>and</w:t>
      </w:r>
      <w:r>
        <w:rPr>
          <w:spacing w:val="-12"/>
        </w:rPr>
        <w:t> </w:t>
      </w:r>
      <w:r>
        <w:rPr/>
        <w:t>purchase</w:t>
      </w:r>
      <w:r>
        <w:rPr>
          <w:spacing w:val="-12"/>
        </w:rPr>
        <w:t> </w:t>
      </w:r>
      <w:r>
        <w:rPr/>
        <w:t>of</w:t>
      </w:r>
      <w:r>
        <w:rPr>
          <w:spacing w:val="-12"/>
        </w:rPr>
        <w:t> </w:t>
      </w:r>
      <w:r>
        <w:rPr/>
        <w:t>stock</w:t>
      </w:r>
      <w:r>
        <w:rPr>
          <w:spacing w:val="-12"/>
        </w:rPr>
        <w:t> </w:t>
      </w:r>
      <w:r>
        <w:rPr/>
        <w:t>content</w:t>
      </w:r>
      <w:r>
        <w:rPr>
          <w:spacing w:val="-12"/>
        </w:rPr>
        <w:t> </w:t>
      </w:r>
      <w:r>
        <w:rPr/>
        <w:t>in</w:t>
      </w:r>
      <w:r>
        <w:rPr>
          <w:spacing w:val="-12"/>
        </w:rPr>
        <w:t> </w:t>
      </w:r>
      <w:r>
        <w:rPr/>
        <w:t>our</w:t>
      </w:r>
      <w:r>
        <w:rPr>
          <w:spacing w:val="-13"/>
        </w:rPr>
        <w:t> </w:t>
      </w:r>
      <w:r>
        <w:rPr/>
        <w:t>Adobe Stock</w:t>
      </w:r>
      <w:r>
        <w:rPr>
          <w:spacing w:val="-4"/>
        </w:rPr>
        <w:t> </w:t>
      </w:r>
      <w:r>
        <w:rPr/>
        <w:t>service.</w:t>
      </w:r>
      <w:r>
        <w:rPr>
          <w:spacing w:val="-4"/>
        </w:rPr>
        <w:t> </w:t>
      </w:r>
      <w:r>
        <w:rPr/>
        <w:t>Overall,</w:t>
      </w:r>
      <w:r>
        <w:rPr>
          <w:spacing w:val="-4"/>
        </w:rPr>
        <w:t> </w:t>
      </w:r>
      <w:r>
        <w:rPr/>
        <w:t>our</w:t>
      </w:r>
      <w:r>
        <w:rPr>
          <w:spacing w:val="-4"/>
        </w:rPr>
        <w:t> </w:t>
      </w:r>
      <w:r>
        <w:rPr/>
        <w:t>strategy</w:t>
      </w:r>
      <w:r>
        <w:rPr>
          <w:spacing w:val="-4"/>
        </w:rPr>
        <w:t> </w:t>
      </w:r>
      <w:r>
        <w:rPr/>
        <w:t>with</w:t>
      </w:r>
      <w:r>
        <w:rPr>
          <w:spacing w:val="-4"/>
        </w:rPr>
        <w:t> </w:t>
      </w:r>
      <w:r>
        <w:rPr/>
        <w:t>Creative</w:t>
      </w:r>
      <w:r>
        <w:rPr>
          <w:spacing w:val="-4"/>
        </w:rPr>
        <w:t> </w:t>
      </w:r>
      <w:r>
        <w:rPr/>
        <w:t>Cloud</w:t>
      </w:r>
      <w:r>
        <w:rPr>
          <w:spacing w:val="-4"/>
        </w:rPr>
        <w:t> </w:t>
      </w:r>
      <w:r>
        <w:rPr/>
        <w:t>is</w:t>
      </w:r>
      <w:r>
        <w:rPr>
          <w:spacing w:val="-4"/>
        </w:rPr>
        <w:t> </w:t>
      </w:r>
      <w:r>
        <w:rPr/>
        <w:t>designed</w:t>
      </w:r>
      <w:r>
        <w:rPr>
          <w:spacing w:val="-4"/>
        </w:rPr>
        <w:t> </w:t>
      </w:r>
      <w:r>
        <w:rPr/>
        <w:t>to</w:t>
      </w:r>
      <w:r>
        <w:rPr>
          <w:spacing w:val="-4"/>
        </w:rPr>
        <w:t> </w:t>
      </w:r>
      <w:r>
        <w:rPr/>
        <w:t>enable</w:t>
      </w:r>
      <w:r>
        <w:rPr>
          <w:spacing w:val="-4"/>
        </w:rPr>
        <w:t> </w:t>
      </w:r>
      <w:r>
        <w:rPr/>
        <w:t>us</w:t>
      </w:r>
      <w:r>
        <w:rPr>
          <w:spacing w:val="-4"/>
        </w:rPr>
        <w:t> </w:t>
      </w:r>
      <w:r>
        <w:rPr/>
        <w:t>to</w:t>
      </w:r>
      <w:r>
        <w:rPr>
          <w:spacing w:val="-4"/>
        </w:rPr>
        <w:t> </w:t>
      </w:r>
      <w:r>
        <w:rPr/>
        <w:t>increase</w:t>
      </w:r>
      <w:r>
        <w:rPr>
          <w:spacing w:val="-4"/>
        </w:rPr>
        <w:t> </w:t>
      </w:r>
      <w:r>
        <w:rPr/>
        <w:t>our</w:t>
      </w:r>
      <w:r>
        <w:rPr>
          <w:spacing w:val="-4"/>
        </w:rPr>
        <w:t> </w:t>
      </w:r>
      <w:r>
        <w:rPr/>
        <w:t>revenue</w:t>
      </w:r>
      <w:r>
        <w:rPr>
          <w:spacing w:val="-4"/>
        </w:rPr>
        <w:t> </w:t>
      </w:r>
      <w:r>
        <w:rPr/>
        <w:t>with</w:t>
      </w:r>
      <w:r>
        <w:rPr>
          <w:spacing w:val="-4"/>
        </w:rPr>
        <w:t> </w:t>
      </w:r>
      <w:r>
        <w:rPr/>
        <w:t>users,</w:t>
      </w:r>
      <w:r>
        <w:rPr>
          <w:spacing w:val="-4"/>
        </w:rPr>
        <w:t> </w:t>
      </w:r>
      <w:r>
        <w:rPr/>
        <w:t>attract</w:t>
      </w:r>
      <w:r>
        <w:rPr>
          <w:spacing w:val="-4"/>
        </w:rPr>
        <w:t> </w:t>
      </w:r>
      <w:r>
        <w:rPr/>
        <w:t>more new customers, and grow a recurring and predictable revenue stream that is recognized ratably.</w:t>
      </w:r>
    </w:p>
    <w:p>
      <w:pPr>
        <w:pStyle w:val="BodyText"/>
        <w:spacing w:line="249" w:lineRule="auto" w:before="168"/>
        <w:ind w:left="210" w:right="257" w:firstLine="540"/>
        <w:jc w:val="both"/>
      </w:pPr>
      <w:r>
        <w:rPr>
          <w:spacing w:val="-2"/>
        </w:rPr>
        <w:t>As</w:t>
      </w:r>
      <w:r>
        <w:rPr>
          <w:spacing w:val="-5"/>
        </w:rPr>
        <w:t> </w:t>
      </w:r>
      <w:r>
        <w:rPr>
          <w:spacing w:val="-2"/>
        </w:rPr>
        <w:t>part</w:t>
      </w:r>
      <w:r>
        <w:rPr>
          <w:spacing w:val="-5"/>
        </w:rPr>
        <w:t> </w:t>
      </w:r>
      <w:r>
        <w:rPr>
          <w:spacing w:val="-2"/>
        </w:rPr>
        <w:t>of</w:t>
      </w:r>
      <w:r>
        <w:rPr>
          <w:spacing w:val="-4"/>
        </w:rPr>
        <w:t> </w:t>
      </w:r>
      <w:r>
        <w:rPr>
          <w:spacing w:val="-2"/>
        </w:rPr>
        <w:t>our</w:t>
      </w:r>
      <w:r>
        <w:rPr>
          <w:spacing w:val="-5"/>
        </w:rPr>
        <w:t> </w:t>
      </w:r>
      <w:r>
        <w:rPr>
          <w:spacing w:val="-2"/>
        </w:rPr>
        <w:t>Creative</w:t>
      </w:r>
      <w:r>
        <w:rPr>
          <w:spacing w:val="-5"/>
        </w:rPr>
        <w:t> </w:t>
      </w:r>
      <w:r>
        <w:rPr>
          <w:spacing w:val="-2"/>
        </w:rPr>
        <w:t>Cloud</w:t>
      </w:r>
      <w:r>
        <w:rPr>
          <w:spacing w:val="-5"/>
        </w:rPr>
        <w:t> </w:t>
      </w:r>
      <w:r>
        <w:rPr>
          <w:spacing w:val="-2"/>
        </w:rPr>
        <w:t>strategy,</w:t>
      </w:r>
      <w:r>
        <w:rPr>
          <w:spacing w:val="-4"/>
        </w:rPr>
        <w:t> </w:t>
      </w:r>
      <w:r>
        <w:rPr>
          <w:spacing w:val="-2"/>
        </w:rPr>
        <w:t>we</w:t>
      </w:r>
      <w:r>
        <w:rPr>
          <w:spacing w:val="-5"/>
        </w:rPr>
        <w:t> </w:t>
      </w:r>
      <w:r>
        <w:rPr>
          <w:spacing w:val="-2"/>
        </w:rPr>
        <w:t>utilize</w:t>
      </w:r>
      <w:r>
        <w:rPr>
          <w:spacing w:val="-5"/>
        </w:rPr>
        <w:t> </w:t>
      </w:r>
      <w:r>
        <w:rPr>
          <w:spacing w:val="-2"/>
        </w:rPr>
        <w:t>our</w:t>
      </w:r>
      <w:r>
        <w:rPr>
          <w:spacing w:val="-5"/>
        </w:rPr>
        <w:t> </w:t>
      </w:r>
      <w:r>
        <w:rPr>
          <w:spacing w:val="-2"/>
        </w:rPr>
        <w:t>Experience</w:t>
      </w:r>
      <w:r>
        <w:rPr>
          <w:spacing w:val="-5"/>
        </w:rPr>
        <w:t> </w:t>
      </w:r>
      <w:r>
        <w:rPr>
          <w:spacing w:val="-2"/>
        </w:rPr>
        <w:t>Cloud</w:t>
      </w:r>
      <w:r>
        <w:rPr>
          <w:spacing w:val="-5"/>
        </w:rPr>
        <w:t> </w:t>
      </w:r>
      <w:r>
        <w:rPr>
          <w:spacing w:val="-2"/>
        </w:rPr>
        <w:t>solutions</w:t>
      </w:r>
      <w:r>
        <w:rPr>
          <w:spacing w:val="-4"/>
        </w:rPr>
        <w:t> </w:t>
      </w:r>
      <w:r>
        <w:rPr>
          <w:spacing w:val="-2"/>
        </w:rPr>
        <w:t>to</w:t>
      </w:r>
      <w:r>
        <w:rPr>
          <w:spacing w:val="-5"/>
        </w:rPr>
        <w:t> </w:t>
      </w:r>
      <w:r>
        <w:rPr>
          <w:spacing w:val="-2"/>
        </w:rPr>
        <w:t>drive</w:t>
      </w:r>
      <w:r>
        <w:rPr>
          <w:spacing w:val="-5"/>
        </w:rPr>
        <w:t> </w:t>
      </w:r>
      <w:r>
        <w:rPr>
          <w:spacing w:val="-2"/>
        </w:rPr>
        <w:t>customer</w:t>
      </w:r>
      <w:r>
        <w:rPr>
          <w:spacing w:val="-4"/>
        </w:rPr>
        <w:t> </w:t>
      </w:r>
      <w:r>
        <w:rPr>
          <w:spacing w:val="-2"/>
        </w:rPr>
        <w:t>awareness</w:t>
      </w:r>
      <w:r>
        <w:rPr>
          <w:spacing w:val="-4"/>
        </w:rPr>
        <w:t> </w:t>
      </w:r>
      <w:r>
        <w:rPr>
          <w:spacing w:val="-2"/>
        </w:rPr>
        <w:t>and</w:t>
      </w:r>
      <w:r>
        <w:rPr>
          <w:spacing w:val="-5"/>
        </w:rPr>
        <w:t> </w:t>
      </w:r>
      <w:r>
        <w:rPr>
          <w:spacing w:val="-2"/>
        </w:rPr>
        <w:t>licensing </w:t>
      </w:r>
      <w:r>
        <w:rPr/>
        <w:t>of our creative products and services through our website and across other channels.</w:t>
      </w:r>
      <w:r>
        <w:rPr>
          <w:spacing w:val="-4"/>
        </w:rPr>
        <w:t> </w:t>
      </w:r>
      <w:r>
        <w:rPr/>
        <w:t>Adobe.com is increasingly becoming the destination</w:t>
      </w:r>
      <w:r>
        <w:rPr>
          <w:spacing w:val="-7"/>
        </w:rPr>
        <w:t> </w:t>
      </w:r>
      <w:r>
        <w:rPr/>
        <w:t>site</w:t>
      </w:r>
      <w:r>
        <w:rPr>
          <w:spacing w:val="-7"/>
        </w:rPr>
        <w:t> </w:t>
      </w:r>
      <w:r>
        <w:rPr/>
        <w:t>where</w:t>
      </w:r>
      <w:r>
        <w:rPr>
          <w:spacing w:val="-7"/>
        </w:rPr>
        <w:t> </w:t>
      </w:r>
      <w:r>
        <w:rPr/>
        <w:t>we</w:t>
      </w:r>
      <w:r>
        <w:rPr>
          <w:spacing w:val="-7"/>
        </w:rPr>
        <w:t> </w:t>
      </w:r>
      <w:r>
        <w:rPr/>
        <w:t>engage</w:t>
      </w:r>
      <w:r>
        <w:rPr>
          <w:spacing w:val="-8"/>
        </w:rPr>
        <w:t> </w:t>
      </w:r>
      <w:r>
        <w:rPr/>
        <w:t>individual</w:t>
      </w:r>
      <w:r>
        <w:rPr>
          <w:spacing w:val="-8"/>
        </w:rPr>
        <w:t> </w:t>
      </w:r>
      <w:r>
        <w:rPr/>
        <w:t>and</w:t>
      </w:r>
      <w:r>
        <w:rPr>
          <w:spacing w:val="-7"/>
        </w:rPr>
        <w:t> </w:t>
      </w:r>
      <w:r>
        <w:rPr/>
        <w:t>small</w:t>
      </w:r>
      <w:r>
        <w:rPr>
          <w:spacing w:val="-7"/>
        </w:rPr>
        <w:t> </w:t>
      </w:r>
      <w:r>
        <w:rPr/>
        <w:t>business</w:t>
      </w:r>
      <w:r>
        <w:rPr>
          <w:spacing w:val="-7"/>
        </w:rPr>
        <w:t> </w:t>
      </w:r>
      <w:r>
        <w:rPr/>
        <w:t>customers</w:t>
      </w:r>
      <w:r>
        <w:rPr>
          <w:spacing w:val="-7"/>
        </w:rPr>
        <w:t> </w:t>
      </w:r>
      <w:r>
        <w:rPr/>
        <w:t>to</w:t>
      </w:r>
      <w:r>
        <w:rPr>
          <w:spacing w:val="-7"/>
        </w:rPr>
        <w:t> </w:t>
      </w:r>
      <w:r>
        <w:rPr/>
        <w:t>sign</w:t>
      </w:r>
      <w:r>
        <w:rPr>
          <w:spacing w:val="-7"/>
        </w:rPr>
        <w:t> </w:t>
      </w:r>
      <w:r>
        <w:rPr/>
        <w:t>up</w:t>
      </w:r>
      <w:r>
        <w:rPr>
          <w:spacing w:val="-7"/>
        </w:rPr>
        <w:t> </w:t>
      </w:r>
      <w:r>
        <w:rPr/>
        <w:t>for</w:t>
      </w:r>
      <w:r>
        <w:rPr>
          <w:spacing w:val="-7"/>
        </w:rPr>
        <w:t> </w:t>
      </w:r>
      <w:r>
        <w:rPr/>
        <w:t>and</w:t>
      </w:r>
      <w:r>
        <w:rPr>
          <w:spacing w:val="-7"/>
        </w:rPr>
        <w:t> </w:t>
      </w:r>
      <w:r>
        <w:rPr/>
        <w:t>renew</w:t>
      </w:r>
      <w:r>
        <w:rPr>
          <w:spacing w:val="-7"/>
        </w:rPr>
        <w:t> </w:t>
      </w:r>
      <w:r>
        <w:rPr/>
        <w:t>Creative</w:t>
      </w:r>
      <w:r>
        <w:rPr>
          <w:spacing w:val="-8"/>
        </w:rPr>
        <w:t> </w:t>
      </w:r>
      <w:r>
        <w:rPr/>
        <w:t>Cloud</w:t>
      </w:r>
      <w:r>
        <w:rPr>
          <w:spacing w:val="-7"/>
        </w:rPr>
        <w:t> </w:t>
      </w:r>
      <w:r>
        <w:rPr/>
        <w:t>subscriptions. </w:t>
      </w:r>
      <w:r>
        <w:rPr>
          <w:spacing w:val="-2"/>
        </w:rPr>
        <w:t>We</w:t>
      </w:r>
      <w:r>
        <w:rPr>
          <w:spacing w:val="-3"/>
        </w:rPr>
        <w:t> </w:t>
      </w:r>
      <w:r>
        <w:rPr>
          <w:spacing w:val="-2"/>
        </w:rPr>
        <w:t>utilize</w:t>
      </w:r>
      <w:r>
        <w:rPr>
          <w:spacing w:val="-3"/>
        </w:rPr>
        <w:t> </w:t>
      </w:r>
      <w:r>
        <w:rPr>
          <w:spacing w:val="-2"/>
        </w:rPr>
        <w:t>channel</w:t>
      </w:r>
      <w:r>
        <w:rPr>
          <w:spacing w:val="-3"/>
        </w:rPr>
        <w:t> </w:t>
      </w:r>
      <w:r>
        <w:rPr>
          <w:spacing w:val="-2"/>
        </w:rPr>
        <w:t>partners to</w:t>
      </w:r>
      <w:r>
        <w:rPr>
          <w:spacing w:val="-3"/>
        </w:rPr>
        <w:t> </w:t>
      </w:r>
      <w:r>
        <w:rPr>
          <w:spacing w:val="-2"/>
        </w:rPr>
        <w:t>target</w:t>
      </w:r>
      <w:r>
        <w:rPr>
          <w:spacing w:val="-3"/>
        </w:rPr>
        <w:t> </w:t>
      </w:r>
      <w:r>
        <w:rPr>
          <w:spacing w:val="-2"/>
        </w:rPr>
        <w:t>mid-size</w:t>
      </w:r>
      <w:r>
        <w:rPr>
          <w:spacing w:val="-3"/>
        </w:rPr>
        <w:t> </w:t>
      </w:r>
      <w:r>
        <w:rPr>
          <w:spacing w:val="-2"/>
        </w:rPr>
        <w:t>creative</w:t>
      </w:r>
      <w:r>
        <w:rPr>
          <w:spacing w:val="-3"/>
        </w:rPr>
        <w:t> </w:t>
      </w:r>
      <w:r>
        <w:rPr>
          <w:spacing w:val="-2"/>
        </w:rPr>
        <w:t>customers with</w:t>
      </w:r>
      <w:r>
        <w:rPr>
          <w:spacing w:val="-3"/>
        </w:rPr>
        <w:t> </w:t>
      </w:r>
      <w:r>
        <w:rPr>
          <w:spacing w:val="-2"/>
        </w:rPr>
        <w:t>our</w:t>
      </w:r>
      <w:r>
        <w:rPr>
          <w:spacing w:val="-3"/>
        </w:rPr>
        <w:t> </w:t>
      </w:r>
      <w:r>
        <w:rPr>
          <w:spacing w:val="-2"/>
        </w:rPr>
        <w:t>Creative</w:t>
      </w:r>
      <w:r>
        <w:rPr>
          <w:spacing w:val="-3"/>
        </w:rPr>
        <w:t> </w:t>
      </w:r>
      <w:r>
        <w:rPr>
          <w:spacing w:val="-2"/>
        </w:rPr>
        <w:t>Cloud</w:t>
      </w:r>
      <w:r>
        <w:rPr>
          <w:spacing w:val="-3"/>
        </w:rPr>
        <w:t> </w:t>
      </w:r>
      <w:r>
        <w:rPr>
          <w:spacing w:val="-2"/>
        </w:rPr>
        <w:t>for teams</w:t>
      </w:r>
      <w:r>
        <w:rPr>
          <w:spacing w:val="-3"/>
        </w:rPr>
        <w:t> </w:t>
      </w:r>
      <w:r>
        <w:rPr>
          <w:spacing w:val="-2"/>
        </w:rPr>
        <w:t>offering.</w:t>
      </w:r>
      <w:r>
        <w:rPr>
          <w:spacing w:val="-3"/>
        </w:rPr>
        <w:t> </w:t>
      </w:r>
      <w:r>
        <w:rPr>
          <w:spacing w:val="-2"/>
        </w:rPr>
        <w:t>Our</w:t>
      </w:r>
      <w:r>
        <w:rPr>
          <w:spacing w:val="-3"/>
        </w:rPr>
        <w:t> </w:t>
      </w:r>
      <w:r>
        <w:rPr>
          <w:spacing w:val="-2"/>
        </w:rPr>
        <w:t>direct</w:t>
      </w:r>
      <w:r>
        <w:rPr>
          <w:spacing w:val="-3"/>
        </w:rPr>
        <w:t> </w:t>
      </w:r>
      <w:r>
        <w:rPr>
          <w:spacing w:val="-2"/>
        </w:rPr>
        <w:t>sales</w:t>
      </w:r>
      <w:r>
        <w:rPr>
          <w:spacing w:val="-3"/>
        </w:rPr>
        <w:t> </w:t>
      </w:r>
      <w:r>
        <w:rPr>
          <w:spacing w:val="-2"/>
        </w:rPr>
        <w:t>force </w:t>
      </w:r>
      <w:r>
        <w:rPr/>
        <w:t>is</w:t>
      </w:r>
      <w:r>
        <w:rPr>
          <w:spacing w:val="-10"/>
        </w:rPr>
        <w:t> </w:t>
      </w:r>
      <w:r>
        <w:rPr/>
        <w:t>focused</w:t>
      </w:r>
      <w:r>
        <w:rPr>
          <w:spacing w:val="-9"/>
        </w:rPr>
        <w:t> </w:t>
      </w:r>
      <w:r>
        <w:rPr/>
        <w:t>on</w:t>
      </w:r>
      <w:r>
        <w:rPr>
          <w:spacing w:val="-10"/>
        </w:rPr>
        <w:t> </w:t>
      </w:r>
      <w:r>
        <w:rPr/>
        <w:t>building</w:t>
      </w:r>
      <w:r>
        <w:rPr>
          <w:spacing w:val="-9"/>
        </w:rPr>
        <w:t> </w:t>
      </w:r>
      <w:r>
        <w:rPr/>
        <w:t>relationships</w:t>
      </w:r>
      <w:r>
        <w:rPr>
          <w:spacing w:val="-9"/>
        </w:rPr>
        <w:t> </w:t>
      </w:r>
      <w:r>
        <w:rPr/>
        <w:t>with</w:t>
      </w:r>
      <w:r>
        <w:rPr>
          <w:spacing w:val="-10"/>
        </w:rPr>
        <w:t> </w:t>
      </w:r>
      <w:r>
        <w:rPr/>
        <w:t>our</w:t>
      </w:r>
      <w:r>
        <w:rPr>
          <w:spacing w:val="-9"/>
        </w:rPr>
        <w:t> </w:t>
      </w:r>
      <w:r>
        <w:rPr/>
        <w:t>largest</w:t>
      </w:r>
      <w:r>
        <w:rPr>
          <w:spacing w:val="-10"/>
        </w:rPr>
        <w:t> </w:t>
      </w:r>
      <w:r>
        <w:rPr/>
        <w:t>customers</w:t>
      </w:r>
      <w:r>
        <w:rPr>
          <w:spacing w:val="-9"/>
        </w:rPr>
        <w:t> </w:t>
      </w:r>
      <w:r>
        <w:rPr/>
        <w:t>and</w:t>
      </w:r>
      <w:r>
        <w:rPr>
          <w:spacing w:val="-9"/>
        </w:rPr>
        <w:t> </w:t>
      </w:r>
      <w:r>
        <w:rPr/>
        <w:t>driving</w:t>
      </w:r>
      <w:r>
        <w:rPr>
          <w:spacing w:val="-10"/>
        </w:rPr>
        <w:t> </w:t>
      </w:r>
      <w:r>
        <w:rPr/>
        <w:t>adoption</w:t>
      </w:r>
      <w:r>
        <w:rPr>
          <w:spacing w:val="-9"/>
        </w:rPr>
        <w:t> </w:t>
      </w:r>
      <w:r>
        <w:rPr/>
        <w:t>of</w:t>
      </w:r>
      <w:r>
        <w:rPr>
          <w:spacing w:val="-10"/>
        </w:rPr>
        <w:t> </w:t>
      </w:r>
      <w:r>
        <w:rPr/>
        <w:t>our</w:t>
      </w:r>
      <w:r>
        <w:rPr>
          <w:spacing w:val="-9"/>
        </w:rPr>
        <w:t> </w:t>
      </w:r>
      <w:r>
        <w:rPr/>
        <w:t>Creative</w:t>
      </w:r>
      <w:r>
        <w:rPr>
          <w:spacing w:val="-9"/>
        </w:rPr>
        <w:t> </w:t>
      </w:r>
      <w:r>
        <w:rPr/>
        <w:t>Cloud</w:t>
      </w:r>
      <w:r>
        <w:rPr>
          <w:spacing w:val="-10"/>
        </w:rPr>
        <w:t> </w:t>
      </w:r>
      <w:r>
        <w:rPr/>
        <w:t>for</w:t>
      </w:r>
      <w:r>
        <w:rPr>
          <w:spacing w:val="-9"/>
        </w:rPr>
        <w:t> </w:t>
      </w:r>
      <w:r>
        <w:rPr/>
        <w:t>enterprise</w:t>
      </w:r>
      <w:r>
        <w:rPr>
          <w:spacing w:val="-9"/>
        </w:rPr>
        <w:t> </w:t>
      </w:r>
      <w:r>
        <w:rPr>
          <w:spacing w:val="-2"/>
        </w:rPr>
        <w:t>offering.</w:t>
      </w:r>
    </w:p>
    <w:p>
      <w:pPr>
        <w:pStyle w:val="BodyText"/>
        <w:spacing w:line="249" w:lineRule="auto" w:before="164"/>
        <w:ind w:left="210" w:right="257" w:firstLine="540"/>
        <w:jc w:val="both"/>
      </w:pPr>
      <w:r>
        <w:rPr/>
        <w:t>We offer many of the products included in Creative Cloud on a standalone basis, including subscriptions to the Creative Cloud</w:t>
      </w:r>
      <w:r>
        <w:rPr>
          <w:spacing w:val="-13"/>
        </w:rPr>
        <w:t> </w:t>
      </w:r>
      <w:r>
        <w:rPr/>
        <w:t>version</w:t>
      </w:r>
      <w:r>
        <w:rPr>
          <w:spacing w:val="-12"/>
        </w:rPr>
        <w:t> </w:t>
      </w:r>
      <w:r>
        <w:rPr/>
        <w:t>of</w:t>
      </w:r>
      <w:r>
        <w:rPr>
          <w:spacing w:val="-12"/>
        </w:rPr>
        <w:t> </w:t>
      </w:r>
      <w:r>
        <w:rPr/>
        <w:t>certain</w:t>
      </w:r>
      <w:r>
        <w:rPr>
          <w:spacing w:val="-12"/>
        </w:rPr>
        <w:t> </w:t>
      </w:r>
      <w:r>
        <w:rPr/>
        <w:t>point</w:t>
      </w:r>
      <w:r>
        <w:rPr>
          <w:spacing w:val="-12"/>
        </w:rPr>
        <w:t> </w:t>
      </w:r>
      <w:r>
        <w:rPr/>
        <w:t>products.</w:t>
      </w:r>
      <w:r>
        <w:rPr>
          <w:spacing w:val="-13"/>
        </w:rPr>
        <w:t> </w:t>
      </w:r>
      <w:r>
        <w:rPr/>
        <w:t>We</w:t>
      </w:r>
      <w:r>
        <w:rPr>
          <w:spacing w:val="-11"/>
        </w:rPr>
        <w:t> </w:t>
      </w:r>
      <w:r>
        <w:rPr/>
        <w:t>also</w:t>
      </w:r>
      <w:r>
        <w:rPr>
          <w:spacing w:val="-12"/>
        </w:rPr>
        <w:t> </w:t>
      </w:r>
      <w:r>
        <w:rPr/>
        <w:t>offer</w:t>
      </w:r>
      <w:r>
        <w:rPr>
          <w:spacing w:val="-12"/>
        </w:rPr>
        <w:t> </w:t>
      </w:r>
      <w:r>
        <w:rPr/>
        <w:t>a</w:t>
      </w:r>
      <w:r>
        <w:rPr>
          <w:spacing w:val="-12"/>
        </w:rPr>
        <w:t> </w:t>
      </w:r>
      <w:r>
        <w:rPr/>
        <w:t>range</w:t>
      </w:r>
      <w:r>
        <w:rPr>
          <w:spacing w:val="-12"/>
        </w:rPr>
        <w:t> </w:t>
      </w:r>
      <w:r>
        <w:rPr/>
        <w:t>of</w:t>
      </w:r>
      <w:r>
        <w:rPr>
          <w:spacing w:val="-12"/>
        </w:rPr>
        <w:t> </w:t>
      </w:r>
      <w:r>
        <w:rPr/>
        <w:t>other</w:t>
      </w:r>
      <w:r>
        <w:rPr>
          <w:spacing w:val="-12"/>
        </w:rPr>
        <w:t> </w:t>
      </w:r>
      <w:r>
        <w:rPr/>
        <w:t>creative</w:t>
      </w:r>
      <w:r>
        <w:rPr>
          <w:spacing w:val="-12"/>
        </w:rPr>
        <w:t> </w:t>
      </w:r>
      <w:r>
        <w:rPr/>
        <w:t>tools</w:t>
      </w:r>
      <w:r>
        <w:rPr>
          <w:spacing w:val="-12"/>
        </w:rPr>
        <w:t> </w:t>
      </w:r>
      <w:r>
        <w:rPr/>
        <w:t>and</w:t>
      </w:r>
      <w:r>
        <w:rPr>
          <w:spacing w:val="-12"/>
        </w:rPr>
        <w:t> </w:t>
      </w:r>
      <w:r>
        <w:rPr/>
        <w:t>services,</w:t>
      </w:r>
      <w:r>
        <w:rPr>
          <w:spacing w:val="-12"/>
        </w:rPr>
        <w:t> </w:t>
      </w:r>
      <w:r>
        <w:rPr/>
        <w:t>including</w:t>
      </w:r>
      <w:r>
        <w:rPr>
          <w:spacing w:val="-12"/>
        </w:rPr>
        <w:t> </w:t>
      </w:r>
      <w:r>
        <w:rPr/>
        <w:t>our</w:t>
      </w:r>
      <w:r>
        <w:rPr>
          <w:spacing w:val="-12"/>
        </w:rPr>
        <w:t> </w:t>
      </w:r>
      <w:r>
        <w:rPr/>
        <w:t>hobbyist</w:t>
      </w:r>
      <w:r>
        <w:rPr>
          <w:spacing w:val="-12"/>
        </w:rPr>
        <w:t> </w:t>
      </w:r>
      <w:r>
        <w:rPr/>
        <w:t>products </w:t>
      </w:r>
      <w:r>
        <w:rPr>
          <w:spacing w:val="-4"/>
        </w:rPr>
        <w:t>such as Photoshop Elements and Premiere Elements, Typekit and mobile apps such as Photoshop Mix, Photoshop Sketch, Photoshop </w:t>
      </w:r>
      <w:r>
        <w:rPr>
          <w:spacing w:val="-2"/>
        </w:rPr>
        <w:t>Fix,</w:t>
      </w:r>
      <w:r>
        <w:rPr>
          <w:spacing w:val="-11"/>
        </w:rPr>
        <w:t> </w:t>
      </w:r>
      <w:r>
        <w:rPr>
          <w:spacing w:val="-2"/>
        </w:rPr>
        <w:t>Adobe</w:t>
      </w:r>
      <w:r>
        <w:rPr>
          <w:spacing w:val="-3"/>
        </w:rPr>
        <w:t> </w:t>
      </w:r>
      <w:r>
        <w:rPr>
          <w:spacing w:val="-2"/>
        </w:rPr>
        <w:t>Capture CC, and</w:t>
      </w:r>
      <w:r>
        <w:rPr>
          <w:spacing w:val="-11"/>
        </w:rPr>
        <w:t> </w:t>
      </w:r>
      <w:r>
        <w:rPr>
          <w:spacing w:val="-2"/>
        </w:rPr>
        <w:t>Adobe Spark. Further descriptions of our Digital Media products are included below under “Principal </w:t>
      </w:r>
      <w:r>
        <w:rPr/>
        <w:t>Products and Services.”</w:t>
      </w:r>
    </w:p>
    <w:p>
      <w:pPr>
        <w:pStyle w:val="BodyText"/>
        <w:spacing w:line="249" w:lineRule="auto" w:before="164"/>
        <w:ind w:left="210" w:right="257" w:firstLine="540"/>
        <w:jc w:val="both"/>
      </w:pPr>
      <w:r>
        <w:rPr/>
        <w:t>In</w:t>
      </w:r>
      <w:r>
        <w:rPr>
          <w:spacing w:val="-10"/>
        </w:rPr>
        <w:t> </w:t>
      </w:r>
      <w:r>
        <w:rPr/>
        <w:t>our</w:t>
      </w:r>
      <w:r>
        <w:rPr>
          <w:spacing w:val="-7"/>
        </w:rPr>
        <w:t> </w:t>
      </w:r>
      <w:r>
        <w:rPr/>
        <w:t>Document</w:t>
      </w:r>
      <w:r>
        <w:rPr>
          <w:spacing w:val="-7"/>
        </w:rPr>
        <w:t> </w:t>
      </w:r>
      <w:r>
        <w:rPr/>
        <w:t>Cloud</w:t>
      </w:r>
      <w:r>
        <w:rPr>
          <w:spacing w:val="-7"/>
        </w:rPr>
        <w:t> </w:t>
      </w:r>
      <w:r>
        <w:rPr/>
        <w:t>business,</w:t>
      </w:r>
      <w:r>
        <w:rPr>
          <w:spacing w:val="-7"/>
        </w:rPr>
        <w:t> </w:t>
      </w:r>
      <w:r>
        <w:rPr/>
        <w:t>although</w:t>
      </w:r>
      <w:r>
        <w:rPr>
          <w:spacing w:val="-13"/>
        </w:rPr>
        <w:t> </w:t>
      </w:r>
      <w:r>
        <w:rPr/>
        <w:t>Acrobat</w:t>
      </w:r>
      <w:r>
        <w:rPr>
          <w:spacing w:val="-6"/>
        </w:rPr>
        <w:t> </w:t>
      </w:r>
      <w:r>
        <w:rPr/>
        <w:t>has</w:t>
      </w:r>
      <w:r>
        <w:rPr>
          <w:spacing w:val="-7"/>
        </w:rPr>
        <w:t> </w:t>
      </w:r>
      <w:r>
        <w:rPr/>
        <w:t>achieved</w:t>
      </w:r>
      <w:r>
        <w:rPr>
          <w:spacing w:val="-7"/>
        </w:rPr>
        <w:t> </w:t>
      </w:r>
      <w:r>
        <w:rPr/>
        <w:t>strong</w:t>
      </w:r>
      <w:r>
        <w:rPr>
          <w:spacing w:val="-7"/>
        </w:rPr>
        <w:t> </w:t>
      </w:r>
      <w:r>
        <w:rPr/>
        <w:t>market</w:t>
      </w:r>
      <w:r>
        <w:rPr>
          <w:spacing w:val="-7"/>
        </w:rPr>
        <w:t> </w:t>
      </w:r>
      <w:r>
        <w:rPr/>
        <w:t>adoption</w:t>
      </w:r>
      <w:r>
        <w:rPr>
          <w:spacing w:val="-7"/>
        </w:rPr>
        <w:t> </w:t>
      </w:r>
      <w:r>
        <w:rPr/>
        <w:t>in</w:t>
      </w:r>
      <w:r>
        <w:rPr>
          <w:spacing w:val="-7"/>
        </w:rPr>
        <w:t> </w:t>
      </w:r>
      <w:r>
        <w:rPr/>
        <w:t>document-intensive</w:t>
      </w:r>
      <w:r>
        <w:rPr>
          <w:spacing w:val="-8"/>
        </w:rPr>
        <w:t> </w:t>
      </w:r>
      <w:r>
        <w:rPr/>
        <w:t>industries such</w:t>
      </w:r>
      <w:r>
        <w:rPr>
          <w:spacing w:val="-9"/>
        </w:rPr>
        <w:t> </w:t>
      </w:r>
      <w:r>
        <w:rPr/>
        <w:t>as</w:t>
      </w:r>
      <w:r>
        <w:rPr>
          <w:spacing w:val="-10"/>
        </w:rPr>
        <w:t> </w:t>
      </w:r>
      <w:r>
        <w:rPr/>
        <w:t>government,</w:t>
      </w:r>
      <w:r>
        <w:rPr>
          <w:spacing w:val="-10"/>
        </w:rPr>
        <w:t> </w:t>
      </w:r>
      <w:r>
        <w:rPr/>
        <w:t>financial</w:t>
      </w:r>
      <w:r>
        <w:rPr>
          <w:spacing w:val="-10"/>
        </w:rPr>
        <w:t> </w:t>
      </w:r>
      <w:r>
        <w:rPr/>
        <w:t>services,</w:t>
      </w:r>
      <w:r>
        <w:rPr>
          <w:spacing w:val="-9"/>
        </w:rPr>
        <w:t> </w:t>
      </w:r>
      <w:r>
        <w:rPr/>
        <w:t>pharmaceutical,</w:t>
      </w:r>
      <w:r>
        <w:rPr>
          <w:spacing w:val="-10"/>
        </w:rPr>
        <w:t> </w:t>
      </w:r>
      <w:r>
        <w:rPr/>
        <w:t>legal,</w:t>
      </w:r>
      <w:r>
        <w:rPr>
          <w:spacing w:val="-10"/>
        </w:rPr>
        <w:t> </w:t>
      </w:r>
      <w:r>
        <w:rPr/>
        <w:t>aerospace,</w:t>
      </w:r>
      <w:r>
        <w:rPr>
          <w:spacing w:val="-10"/>
        </w:rPr>
        <w:t> </w:t>
      </w:r>
      <w:r>
        <w:rPr/>
        <w:t>insurance</w:t>
      </w:r>
      <w:r>
        <w:rPr>
          <w:spacing w:val="-10"/>
        </w:rPr>
        <w:t> </w:t>
      </w:r>
      <w:r>
        <w:rPr/>
        <w:t>and</w:t>
      </w:r>
      <w:r>
        <w:rPr>
          <w:spacing w:val="-9"/>
        </w:rPr>
        <w:t> </w:t>
      </w:r>
      <w:r>
        <w:rPr/>
        <w:t>technical</w:t>
      </w:r>
      <w:r>
        <w:rPr>
          <w:spacing w:val="-10"/>
        </w:rPr>
        <w:t> </w:t>
      </w:r>
      <w:r>
        <w:rPr/>
        <w:t>publishing,</w:t>
      </w:r>
      <w:r>
        <w:rPr>
          <w:spacing w:val="-10"/>
        </w:rPr>
        <w:t> </w:t>
      </w:r>
      <w:r>
        <w:rPr/>
        <w:t>we</w:t>
      </w:r>
      <w:r>
        <w:rPr>
          <w:spacing w:val="-10"/>
        </w:rPr>
        <w:t> </w:t>
      </w:r>
      <w:r>
        <w:rPr/>
        <w:t>believe</w:t>
      </w:r>
      <w:r>
        <w:rPr>
          <w:spacing w:val="-10"/>
        </w:rPr>
        <w:t> </w:t>
      </w:r>
      <w:r>
        <w:rPr/>
        <w:t>there</w:t>
      </w:r>
      <w:r>
        <w:rPr>
          <w:spacing w:val="-10"/>
        </w:rPr>
        <w:t> </w:t>
      </w:r>
      <w:r>
        <w:rPr/>
        <w:t>are tens</w:t>
      </w:r>
      <w:r>
        <w:rPr>
          <w:spacing w:val="-13"/>
        </w:rPr>
        <w:t> </w:t>
      </w:r>
      <w:r>
        <w:rPr/>
        <w:t>of</w:t>
      </w:r>
      <w:r>
        <w:rPr>
          <w:spacing w:val="-12"/>
        </w:rPr>
        <w:t> </w:t>
      </w:r>
      <w:r>
        <w:rPr/>
        <w:t>millions</w:t>
      </w:r>
      <w:r>
        <w:rPr>
          <w:spacing w:val="-13"/>
        </w:rPr>
        <w:t> </w:t>
      </w:r>
      <w:r>
        <w:rPr/>
        <w:t>of</w:t>
      </w:r>
      <w:r>
        <w:rPr>
          <w:spacing w:val="-12"/>
        </w:rPr>
        <w:t> </w:t>
      </w:r>
      <w:r>
        <w:rPr/>
        <w:t>users</w:t>
      </w:r>
      <w:r>
        <w:rPr>
          <w:spacing w:val="-11"/>
        </w:rPr>
        <w:t> </w:t>
      </w:r>
      <w:r>
        <w:rPr/>
        <w:t>who</w:t>
      </w:r>
      <w:r>
        <w:rPr>
          <w:spacing w:val="-11"/>
        </w:rPr>
        <w:t> </w:t>
      </w:r>
      <w:r>
        <w:rPr/>
        <w:t>need</w:t>
      </w:r>
      <w:r>
        <w:rPr>
          <w:spacing w:val="-11"/>
        </w:rPr>
        <w:t> </w:t>
      </w:r>
      <w:r>
        <w:rPr/>
        <w:t>the</w:t>
      </w:r>
      <w:r>
        <w:rPr>
          <w:spacing w:val="-11"/>
        </w:rPr>
        <w:t> </w:t>
      </w:r>
      <w:r>
        <w:rPr/>
        <w:t>capabilities</w:t>
      </w:r>
      <w:r>
        <w:rPr>
          <w:spacing w:val="-11"/>
        </w:rPr>
        <w:t> </w:t>
      </w:r>
      <w:r>
        <w:rPr/>
        <w:t>provided</w:t>
      </w:r>
      <w:r>
        <w:rPr>
          <w:spacing w:val="-11"/>
        </w:rPr>
        <w:t> </w:t>
      </w:r>
      <w:r>
        <w:rPr/>
        <w:t>by</w:t>
      </w:r>
      <w:r>
        <w:rPr>
          <w:spacing w:val="-13"/>
        </w:rPr>
        <w:t> </w:t>
      </w:r>
      <w:r>
        <w:rPr/>
        <w:t>Acrobat</w:t>
      </w:r>
      <w:r>
        <w:rPr>
          <w:spacing w:val="-10"/>
        </w:rPr>
        <w:t> </w:t>
      </w:r>
      <w:r>
        <w:rPr/>
        <w:t>and</w:t>
      </w:r>
      <w:r>
        <w:rPr>
          <w:spacing w:val="-11"/>
        </w:rPr>
        <w:t> </w:t>
      </w:r>
      <w:r>
        <w:rPr/>
        <w:t>the</w:t>
      </w:r>
      <w:r>
        <w:rPr>
          <w:spacing w:val="-11"/>
        </w:rPr>
        <w:t> </w:t>
      </w:r>
      <w:r>
        <w:rPr/>
        <w:t>service</w:t>
      </w:r>
      <w:r>
        <w:rPr>
          <w:spacing w:val="-11"/>
        </w:rPr>
        <w:t> </w:t>
      </w:r>
      <w:r>
        <w:rPr/>
        <w:t>capabilities</w:t>
      </w:r>
      <w:r>
        <w:rPr>
          <w:spacing w:val="-11"/>
        </w:rPr>
        <w:t> </w:t>
      </w:r>
      <w:r>
        <w:rPr/>
        <w:t>found</w:t>
      </w:r>
      <w:r>
        <w:rPr>
          <w:spacing w:val="-11"/>
        </w:rPr>
        <w:t> </w:t>
      </w:r>
      <w:r>
        <w:rPr/>
        <w:t>in</w:t>
      </w:r>
      <w:r>
        <w:rPr>
          <w:spacing w:val="-11"/>
        </w:rPr>
        <w:t> </w:t>
      </w:r>
      <w:r>
        <w:rPr/>
        <w:t>Document</w:t>
      </w:r>
      <w:r>
        <w:rPr>
          <w:spacing w:val="-12"/>
        </w:rPr>
        <w:t> </w:t>
      </w:r>
      <w:r>
        <w:rPr/>
        <w:t>Cloud.</w:t>
      </w:r>
      <w:r>
        <w:rPr>
          <w:spacing w:val="-13"/>
        </w:rPr>
        <w:t> </w:t>
      </w:r>
      <w:r>
        <w:rPr/>
        <w:t>We plan to continue marketing the benefits of our Document Cloud solutions, combined with the low entry point of subscription- based</w:t>
      </w:r>
      <w:r>
        <w:rPr>
          <w:spacing w:val="-6"/>
        </w:rPr>
        <w:t> </w:t>
      </w:r>
      <w:r>
        <w:rPr/>
        <w:t>pricing,</w:t>
      </w:r>
      <w:r>
        <w:rPr>
          <w:spacing w:val="-6"/>
        </w:rPr>
        <w:t> </w:t>
      </w:r>
      <w:r>
        <w:rPr/>
        <w:t>to</w:t>
      </w:r>
      <w:r>
        <w:rPr>
          <w:spacing w:val="-6"/>
        </w:rPr>
        <w:t> </w:t>
      </w:r>
      <w:r>
        <w:rPr/>
        <w:t>individuals</w:t>
      </w:r>
      <w:r>
        <w:rPr>
          <w:spacing w:val="-6"/>
        </w:rPr>
        <w:t> </w:t>
      </w:r>
      <w:r>
        <w:rPr/>
        <w:t>as</w:t>
      </w:r>
      <w:r>
        <w:rPr>
          <w:spacing w:val="-6"/>
        </w:rPr>
        <w:t> </w:t>
      </w:r>
      <w:r>
        <w:rPr/>
        <w:t>well</w:t>
      </w:r>
      <w:r>
        <w:rPr>
          <w:spacing w:val="-6"/>
        </w:rPr>
        <w:t> </w:t>
      </w:r>
      <w:r>
        <w:rPr/>
        <w:t>as</w:t>
      </w:r>
      <w:r>
        <w:rPr>
          <w:spacing w:val="-6"/>
        </w:rPr>
        <w:t> </w:t>
      </w:r>
      <w:r>
        <w:rPr/>
        <w:t>small</w:t>
      </w:r>
      <w:r>
        <w:rPr>
          <w:spacing w:val="-6"/>
        </w:rPr>
        <w:t> </w:t>
      </w:r>
      <w:r>
        <w:rPr/>
        <w:t>and</w:t>
      </w:r>
      <w:r>
        <w:rPr>
          <w:spacing w:val="-6"/>
        </w:rPr>
        <w:t> </w:t>
      </w:r>
      <w:r>
        <w:rPr/>
        <w:t>medium-sized</w:t>
      </w:r>
      <w:r>
        <w:rPr>
          <w:spacing w:val="-6"/>
        </w:rPr>
        <w:t> </w:t>
      </w:r>
      <w:r>
        <w:rPr/>
        <w:t>businesses,</w:t>
      </w:r>
      <w:r>
        <w:rPr>
          <w:spacing w:val="-6"/>
        </w:rPr>
        <w:t> </w:t>
      </w:r>
      <w:r>
        <w:rPr/>
        <w:t>large</w:t>
      </w:r>
      <w:r>
        <w:rPr>
          <w:spacing w:val="-6"/>
        </w:rPr>
        <w:t> </w:t>
      </w:r>
      <w:r>
        <w:rPr/>
        <w:t>enterprises</w:t>
      </w:r>
      <w:r>
        <w:rPr>
          <w:spacing w:val="-6"/>
        </w:rPr>
        <w:t> </w:t>
      </w:r>
      <w:r>
        <w:rPr/>
        <w:t>and</w:t>
      </w:r>
      <w:r>
        <w:rPr>
          <w:spacing w:val="-6"/>
        </w:rPr>
        <w:t> </w:t>
      </w:r>
      <w:r>
        <w:rPr/>
        <w:t>government</w:t>
      </w:r>
      <w:r>
        <w:rPr>
          <w:spacing w:val="-7"/>
        </w:rPr>
        <w:t> </w:t>
      </w:r>
      <w:r>
        <w:rPr/>
        <w:t>institutions</w:t>
      </w:r>
      <w:r>
        <w:rPr>
          <w:spacing w:val="-6"/>
        </w:rPr>
        <w:t> </w:t>
      </w:r>
      <w:r>
        <w:rPr/>
        <w:t>around the</w:t>
      </w:r>
      <w:r>
        <w:rPr>
          <w:spacing w:val="-5"/>
        </w:rPr>
        <w:t> </w:t>
      </w:r>
      <w:r>
        <w:rPr/>
        <w:t>world.</w:t>
      </w:r>
      <w:r>
        <w:rPr>
          <w:spacing w:val="-9"/>
        </w:rPr>
        <w:t> </w:t>
      </w:r>
      <w:r>
        <w:rPr/>
        <w:t>We</w:t>
      </w:r>
      <w:r>
        <w:rPr>
          <w:spacing w:val="-5"/>
        </w:rPr>
        <w:t> </w:t>
      </w:r>
      <w:r>
        <w:rPr/>
        <w:t>aim</w:t>
      </w:r>
      <w:r>
        <w:rPr>
          <w:spacing w:val="-5"/>
        </w:rPr>
        <w:t> </w:t>
      </w:r>
      <w:r>
        <w:rPr/>
        <w:t>to</w:t>
      </w:r>
      <w:r>
        <w:rPr>
          <w:spacing w:val="-5"/>
        </w:rPr>
        <w:t> </w:t>
      </w:r>
      <w:r>
        <w:rPr/>
        <w:t>increase</w:t>
      </w:r>
      <w:r>
        <w:rPr>
          <w:spacing w:val="-5"/>
        </w:rPr>
        <w:t> </w:t>
      </w:r>
      <w:r>
        <w:rPr/>
        <w:t>our</w:t>
      </w:r>
      <w:r>
        <w:rPr>
          <w:spacing w:val="-5"/>
        </w:rPr>
        <w:t> </w:t>
      </w:r>
      <w:r>
        <w:rPr/>
        <w:t>seat</w:t>
      </w:r>
      <w:r>
        <w:rPr>
          <w:spacing w:val="-5"/>
        </w:rPr>
        <w:t> </w:t>
      </w:r>
      <w:r>
        <w:rPr/>
        <w:t>penetration</w:t>
      </w:r>
      <w:r>
        <w:rPr>
          <w:spacing w:val="-5"/>
        </w:rPr>
        <w:t> </w:t>
      </w:r>
      <w:r>
        <w:rPr/>
        <w:t>in</w:t>
      </w:r>
      <w:r>
        <w:rPr>
          <w:spacing w:val="-5"/>
        </w:rPr>
        <w:t> </w:t>
      </w:r>
      <w:r>
        <w:rPr/>
        <w:t>these</w:t>
      </w:r>
      <w:r>
        <w:rPr>
          <w:spacing w:val="-5"/>
        </w:rPr>
        <w:t> </w:t>
      </w:r>
      <w:r>
        <w:rPr/>
        <w:t>markets</w:t>
      </w:r>
      <w:r>
        <w:rPr>
          <w:spacing w:val="-5"/>
        </w:rPr>
        <w:t> </w:t>
      </w:r>
      <w:r>
        <w:rPr/>
        <w:t>through</w:t>
      </w:r>
      <w:r>
        <w:rPr>
          <w:spacing w:val="-5"/>
        </w:rPr>
        <w:t> </w:t>
      </w:r>
      <w:r>
        <w:rPr/>
        <w:t>the</w:t>
      </w:r>
      <w:r>
        <w:rPr>
          <w:spacing w:val="-5"/>
        </w:rPr>
        <w:t> </w:t>
      </w:r>
      <w:r>
        <w:rPr/>
        <w:t>utilization</w:t>
      </w:r>
      <w:r>
        <w:rPr>
          <w:spacing w:val="-5"/>
        </w:rPr>
        <w:t> </w:t>
      </w:r>
      <w:r>
        <w:rPr/>
        <w:t>of</w:t>
      </w:r>
      <w:r>
        <w:rPr>
          <w:spacing w:val="-5"/>
        </w:rPr>
        <w:t> </w:t>
      </w:r>
      <w:r>
        <w:rPr/>
        <w:t>our</w:t>
      </w:r>
      <w:r>
        <w:rPr>
          <w:spacing w:val="-5"/>
        </w:rPr>
        <w:t> </w:t>
      </w:r>
      <w:r>
        <w:rPr/>
        <w:t>corporate</w:t>
      </w:r>
      <w:r>
        <w:rPr>
          <w:spacing w:val="-5"/>
        </w:rPr>
        <w:t> </w:t>
      </w:r>
      <w:r>
        <w:rPr/>
        <w:t>and</w:t>
      </w:r>
      <w:r>
        <w:rPr>
          <w:spacing w:val="-5"/>
        </w:rPr>
        <w:t> </w:t>
      </w:r>
      <w:r>
        <w:rPr/>
        <w:t>volume</w:t>
      </w:r>
      <w:r>
        <w:rPr>
          <w:spacing w:val="-5"/>
        </w:rPr>
        <w:t> </w:t>
      </w:r>
      <w:r>
        <w:rPr/>
        <w:t>licensing programs.</w:t>
      </w:r>
      <w:r>
        <w:rPr>
          <w:spacing w:val="-13"/>
        </w:rPr>
        <w:t> </w:t>
      </w:r>
      <w:r>
        <w:rPr/>
        <w:t>We</w:t>
      </w:r>
      <w:r>
        <w:rPr>
          <w:spacing w:val="-12"/>
        </w:rPr>
        <w:t> </w:t>
      </w:r>
      <w:r>
        <w:rPr/>
        <w:t>will</w:t>
      </w:r>
      <w:r>
        <w:rPr>
          <w:spacing w:val="-13"/>
        </w:rPr>
        <w:t> </w:t>
      </w:r>
      <w:r>
        <w:rPr/>
        <w:t>continue</w:t>
      </w:r>
      <w:r>
        <w:rPr>
          <w:spacing w:val="-12"/>
        </w:rPr>
        <w:t> </w:t>
      </w:r>
      <w:r>
        <w:rPr/>
        <w:t>to</w:t>
      </w:r>
      <w:r>
        <w:rPr>
          <w:spacing w:val="-13"/>
        </w:rPr>
        <w:t> </w:t>
      </w:r>
      <w:r>
        <w:rPr/>
        <w:t>engage</w:t>
      </w:r>
      <w:r>
        <w:rPr>
          <w:spacing w:val="-12"/>
        </w:rPr>
        <w:t> </w:t>
      </w:r>
      <w:r>
        <w:rPr/>
        <w:t>in</w:t>
      </w:r>
      <w:r>
        <w:rPr>
          <w:spacing w:val="-13"/>
        </w:rPr>
        <w:t> </w:t>
      </w:r>
      <w:r>
        <w:rPr/>
        <w:t>strategic</w:t>
      </w:r>
      <w:r>
        <w:rPr>
          <w:spacing w:val="-12"/>
        </w:rPr>
        <w:t> </w:t>
      </w:r>
      <w:r>
        <w:rPr/>
        <w:t>partnerships</w:t>
      </w:r>
      <w:r>
        <w:rPr>
          <w:spacing w:val="-13"/>
        </w:rPr>
        <w:t> </w:t>
      </w:r>
      <w:r>
        <w:rPr/>
        <w:t>to</w:t>
      </w:r>
      <w:r>
        <w:rPr>
          <w:spacing w:val="-12"/>
        </w:rPr>
        <w:t> </w:t>
      </w:r>
      <w:r>
        <w:rPr/>
        <w:t>help</w:t>
      </w:r>
      <w:r>
        <w:rPr>
          <w:spacing w:val="-13"/>
        </w:rPr>
        <w:t> </w:t>
      </w:r>
      <w:r>
        <w:rPr/>
        <w:t>drive</w:t>
      </w:r>
      <w:r>
        <w:rPr>
          <w:spacing w:val="-12"/>
        </w:rPr>
        <w:t> </w:t>
      </w:r>
      <w:r>
        <w:rPr/>
        <w:t>the</w:t>
      </w:r>
      <w:r>
        <w:rPr>
          <w:spacing w:val="-13"/>
        </w:rPr>
        <w:t> </w:t>
      </w:r>
      <w:r>
        <w:rPr/>
        <w:t>business,</w:t>
      </w:r>
      <w:r>
        <w:rPr>
          <w:spacing w:val="-12"/>
        </w:rPr>
        <w:t> </w:t>
      </w:r>
      <w:r>
        <w:rPr/>
        <w:t>including</w:t>
      </w:r>
      <w:r>
        <w:rPr>
          <w:spacing w:val="-13"/>
        </w:rPr>
        <w:t> </w:t>
      </w:r>
      <w:r>
        <w:rPr/>
        <w:t>the</w:t>
      </w:r>
      <w:r>
        <w:rPr>
          <w:spacing w:val="-12"/>
        </w:rPr>
        <w:t> </w:t>
      </w:r>
      <w:r>
        <w:rPr/>
        <w:t>recently</w:t>
      </w:r>
      <w:r>
        <w:rPr>
          <w:spacing w:val="-13"/>
        </w:rPr>
        <w:t> </w:t>
      </w:r>
      <w:r>
        <w:rPr/>
        <w:t>announced</w:t>
      </w:r>
      <w:r>
        <w:rPr>
          <w:spacing w:val="-12"/>
        </w:rPr>
        <w:t> </w:t>
      </w:r>
      <w:r>
        <w:rPr/>
        <w:t>Adobe Sign partnership with Microsoft. We also intend to increase our focus on marketing and licensing</w:t>
      </w:r>
      <w:r>
        <w:rPr>
          <w:spacing w:val="-4"/>
        </w:rPr>
        <w:t> </w:t>
      </w:r>
      <w:r>
        <w:rPr/>
        <w:t>Acrobat in targeted vertical </w:t>
      </w:r>
      <w:r>
        <w:rPr>
          <w:spacing w:val="-2"/>
        </w:rPr>
        <w:t>markets</w:t>
      </w:r>
      <w:r>
        <w:rPr>
          <w:spacing w:val="-8"/>
        </w:rPr>
        <w:t> </w:t>
      </w:r>
      <w:r>
        <w:rPr>
          <w:spacing w:val="-2"/>
        </w:rPr>
        <w:t>such</w:t>
      </w:r>
      <w:r>
        <w:rPr>
          <w:spacing w:val="-8"/>
        </w:rPr>
        <w:t> </w:t>
      </w:r>
      <w:r>
        <w:rPr>
          <w:spacing w:val="-2"/>
        </w:rPr>
        <w:t>as</w:t>
      </w:r>
      <w:r>
        <w:rPr>
          <w:spacing w:val="-8"/>
        </w:rPr>
        <w:t> </w:t>
      </w:r>
      <w:r>
        <w:rPr>
          <w:spacing w:val="-2"/>
        </w:rPr>
        <w:t>education,</w:t>
      </w:r>
      <w:r>
        <w:rPr>
          <w:spacing w:val="-8"/>
        </w:rPr>
        <w:t> </w:t>
      </w:r>
      <w:r>
        <w:rPr>
          <w:spacing w:val="-2"/>
        </w:rPr>
        <w:t>financial</w:t>
      </w:r>
      <w:r>
        <w:rPr>
          <w:spacing w:val="-8"/>
        </w:rPr>
        <w:t> </w:t>
      </w:r>
      <w:r>
        <w:rPr>
          <w:spacing w:val="-2"/>
        </w:rPr>
        <w:t>services,</w:t>
      </w:r>
      <w:r>
        <w:rPr>
          <w:spacing w:val="-8"/>
        </w:rPr>
        <w:t> </w:t>
      </w:r>
      <w:r>
        <w:rPr>
          <w:spacing w:val="-2"/>
        </w:rPr>
        <w:t>telecommunications</w:t>
      </w:r>
      <w:r>
        <w:rPr>
          <w:spacing w:val="-8"/>
        </w:rPr>
        <w:t> </w:t>
      </w:r>
      <w:r>
        <w:rPr>
          <w:spacing w:val="-2"/>
        </w:rPr>
        <w:t>and</w:t>
      </w:r>
      <w:r>
        <w:rPr>
          <w:spacing w:val="-8"/>
        </w:rPr>
        <w:t> </w:t>
      </w:r>
      <w:r>
        <w:rPr>
          <w:spacing w:val="-2"/>
        </w:rPr>
        <w:t>government,</w:t>
      </w:r>
      <w:r>
        <w:rPr>
          <w:spacing w:val="-8"/>
        </w:rPr>
        <w:t> </w:t>
      </w:r>
      <w:r>
        <w:rPr>
          <w:spacing w:val="-2"/>
        </w:rPr>
        <w:t>as</w:t>
      </w:r>
      <w:r>
        <w:rPr>
          <w:spacing w:val="-8"/>
        </w:rPr>
        <w:t> </w:t>
      </w:r>
      <w:r>
        <w:rPr>
          <w:spacing w:val="-2"/>
        </w:rPr>
        <w:t>well</w:t>
      </w:r>
      <w:r>
        <w:rPr>
          <w:spacing w:val="-8"/>
        </w:rPr>
        <w:t> </w:t>
      </w:r>
      <w:r>
        <w:rPr>
          <w:spacing w:val="-2"/>
        </w:rPr>
        <w:t>as</w:t>
      </w:r>
      <w:r>
        <w:rPr>
          <w:spacing w:val="-8"/>
        </w:rPr>
        <w:t> </w:t>
      </w:r>
      <w:r>
        <w:rPr>
          <w:spacing w:val="-2"/>
        </w:rPr>
        <w:t>on</w:t>
      </w:r>
      <w:r>
        <w:rPr>
          <w:spacing w:val="-8"/>
        </w:rPr>
        <w:t> </w:t>
      </w:r>
      <w:r>
        <w:rPr>
          <w:spacing w:val="-2"/>
        </w:rPr>
        <w:t>expanding</w:t>
      </w:r>
      <w:r>
        <w:rPr>
          <w:spacing w:val="-8"/>
        </w:rPr>
        <w:t> </w:t>
      </w:r>
      <w:r>
        <w:rPr>
          <w:spacing w:val="-2"/>
        </w:rPr>
        <w:t>into</w:t>
      </w:r>
      <w:r>
        <w:rPr>
          <w:spacing w:val="-8"/>
        </w:rPr>
        <w:t> </w:t>
      </w:r>
      <w:r>
        <w:rPr>
          <w:spacing w:val="-2"/>
        </w:rPr>
        <w:t>emerging</w:t>
      </w:r>
      <w:r>
        <w:rPr>
          <w:spacing w:val="-8"/>
        </w:rPr>
        <w:t> </w:t>
      </w:r>
      <w:r>
        <w:rPr>
          <w:spacing w:val="-2"/>
        </w:rPr>
        <w:t>markets, while</w:t>
      </w:r>
      <w:r>
        <w:rPr>
          <w:spacing w:val="-11"/>
        </w:rPr>
        <w:t> </w:t>
      </w:r>
      <w:r>
        <w:rPr>
          <w:spacing w:val="-2"/>
        </w:rPr>
        <w:t>simultaneously</w:t>
      </w:r>
      <w:r>
        <w:rPr>
          <w:spacing w:val="-10"/>
        </w:rPr>
        <w:t> </w:t>
      </w:r>
      <w:r>
        <w:rPr>
          <w:spacing w:val="-2"/>
        </w:rPr>
        <w:t>enhancing</w:t>
      </w:r>
      <w:r>
        <w:rPr>
          <w:spacing w:val="-6"/>
        </w:rPr>
        <w:t> </w:t>
      </w:r>
      <w:r>
        <w:rPr>
          <w:spacing w:val="-2"/>
        </w:rPr>
        <w:t>and</w:t>
      </w:r>
      <w:r>
        <w:rPr>
          <w:spacing w:val="-5"/>
        </w:rPr>
        <w:t> </w:t>
      </w:r>
      <w:r>
        <w:rPr>
          <w:spacing w:val="-2"/>
        </w:rPr>
        <w:t>building</w:t>
      </w:r>
      <w:r>
        <w:rPr>
          <w:spacing w:val="-5"/>
        </w:rPr>
        <w:t> </w:t>
      </w:r>
      <w:r>
        <w:rPr>
          <w:spacing w:val="-2"/>
        </w:rPr>
        <w:t>out</w:t>
      </w:r>
      <w:r>
        <w:rPr>
          <w:spacing w:val="-5"/>
        </w:rPr>
        <w:t> </w:t>
      </w:r>
      <w:r>
        <w:rPr>
          <w:spacing w:val="-2"/>
        </w:rPr>
        <w:t>the</w:t>
      </w:r>
      <w:r>
        <w:rPr>
          <w:spacing w:val="-5"/>
        </w:rPr>
        <w:t> </w:t>
      </w:r>
      <w:r>
        <w:rPr>
          <w:spacing w:val="-2"/>
        </w:rPr>
        <w:t>delivery</w:t>
      </w:r>
      <w:r>
        <w:rPr>
          <w:spacing w:val="-5"/>
        </w:rPr>
        <w:t> </w:t>
      </w:r>
      <w:r>
        <w:rPr>
          <w:spacing w:val="-2"/>
        </w:rPr>
        <w:t>of</w:t>
      </w:r>
      <w:r>
        <w:rPr>
          <w:spacing w:val="-5"/>
        </w:rPr>
        <w:t> </w:t>
      </w:r>
      <w:r>
        <w:rPr>
          <w:spacing w:val="-2"/>
        </w:rPr>
        <w:t>cloud-based</w:t>
      </w:r>
      <w:r>
        <w:rPr>
          <w:spacing w:val="-5"/>
        </w:rPr>
        <w:t> </w:t>
      </w:r>
      <w:r>
        <w:rPr>
          <w:spacing w:val="-2"/>
        </w:rPr>
        <w:t>document</w:t>
      </w:r>
      <w:r>
        <w:rPr>
          <w:spacing w:val="-5"/>
        </w:rPr>
        <w:t> </w:t>
      </w:r>
      <w:r>
        <w:rPr>
          <w:spacing w:val="-2"/>
        </w:rPr>
        <w:t>services</w:t>
      </w:r>
      <w:r>
        <w:rPr>
          <w:spacing w:val="-5"/>
        </w:rPr>
        <w:t> </w:t>
      </w:r>
      <w:r>
        <w:rPr>
          <w:spacing w:val="-2"/>
        </w:rPr>
        <w:t>to</w:t>
      </w:r>
      <w:r>
        <w:rPr>
          <w:spacing w:val="-5"/>
        </w:rPr>
        <w:t> </w:t>
      </w:r>
      <w:r>
        <w:rPr>
          <w:spacing w:val="-2"/>
        </w:rPr>
        <w:t>our</w:t>
      </w:r>
      <w:r>
        <w:rPr>
          <w:spacing w:val="-11"/>
        </w:rPr>
        <w:t> </w:t>
      </w:r>
      <w:r>
        <w:rPr>
          <w:spacing w:val="-2"/>
        </w:rPr>
        <w:t>Acrobat</w:t>
      </w:r>
      <w:r>
        <w:rPr>
          <w:spacing w:val="-4"/>
        </w:rPr>
        <w:t> </w:t>
      </w:r>
      <w:r>
        <w:rPr>
          <w:spacing w:val="-2"/>
        </w:rPr>
        <w:t>and</w:t>
      </w:r>
      <w:r>
        <w:rPr>
          <w:spacing w:val="-11"/>
        </w:rPr>
        <w:t> </w:t>
      </w:r>
      <w:r>
        <w:rPr>
          <w:spacing w:val="-2"/>
        </w:rPr>
        <w:t>Adobe</w:t>
      </w:r>
      <w:r>
        <w:rPr>
          <w:spacing w:val="-10"/>
        </w:rPr>
        <w:t> </w:t>
      </w:r>
      <w:r>
        <w:rPr>
          <w:spacing w:val="-2"/>
        </w:rPr>
        <w:t>Acrobat Reader</w:t>
      </w:r>
      <w:r>
        <w:rPr>
          <w:spacing w:val="-4"/>
        </w:rPr>
        <w:t> </w:t>
      </w:r>
      <w:r>
        <w:rPr>
          <w:spacing w:val="-2"/>
        </w:rPr>
        <w:t>users.</w:t>
      </w:r>
      <w:r>
        <w:rPr>
          <w:spacing w:val="-6"/>
        </w:rPr>
        <w:t> </w:t>
      </w:r>
      <w:r>
        <w:rPr>
          <w:spacing w:val="-2"/>
        </w:rPr>
        <w:t>We intend to continue promoting the capabilities of our cloud-based document solutions to millions of</w:t>
      </w:r>
      <w:r>
        <w:rPr>
          <w:spacing w:val="-11"/>
        </w:rPr>
        <w:t> </w:t>
      </w:r>
      <w:r>
        <w:rPr>
          <w:spacing w:val="-2"/>
        </w:rPr>
        <w:t>Acrobat users </w:t>
      </w:r>
      <w:r>
        <w:rPr/>
        <w:t>and hundreds of millions of</w:t>
      </w:r>
      <w:r>
        <w:rPr>
          <w:spacing w:val="-8"/>
        </w:rPr>
        <w:t> </w:t>
      </w:r>
      <w:r>
        <w:rPr/>
        <w:t>Adobe</w:t>
      </w:r>
      <w:r>
        <w:rPr>
          <w:spacing w:val="-8"/>
        </w:rPr>
        <w:t> </w:t>
      </w:r>
      <w:r>
        <w:rPr/>
        <w:t>Acrobat Reader users. Our</w:t>
      </w:r>
      <w:r>
        <w:rPr>
          <w:spacing w:val="-8"/>
        </w:rPr>
        <w:t> </w:t>
      </w:r>
      <w:r>
        <w:rPr/>
        <w:t>Adobe Sign services provide a green alternative to costly paper- based</w:t>
      </w:r>
      <w:r>
        <w:rPr>
          <w:spacing w:val="-13"/>
        </w:rPr>
        <w:t> </w:t>
      </w:r>
      <w:r>
        <w:rPr/>
        <w:t>solutions,</w:t>
      </w:r>
      <w:r>
        <w:rPr>
          <w:spacing w:val="-10"/>
        </w:rPr>
        <w:t> </w:t>
      </w:r>
      <w:r>
        <w:rPr/>
        <w:t>and</w:t>
      </w:r>
      <w:r>
        <w:rPr>
          <w:spacing w:val="-9"/>
        </w:rPr>
        <w:t> </w:t>
      </w:r>
      <w:r>
        <w:rPr/>
        <w:t>are</w:t>
      </w:r>
      <w:r>
        <w:rPr>
          <w:spacing w:val="-9"/>
        </w:rPr>
        <w:t> </w:t>
      </w:r>
      <w:r>
        <w:rPr/>
        <w:t>an</w:t>
      </w:r>
      <w:r>
        <w:rPr>
          <w:spacing w:val="-9"/>
        </w:rPr>
        <w:t> </w:t>
      </w:r>
      <w:r>
        <w:rPr/>
        <w:t>easier</w:t>
      </w:r>
      <w:r>
        <w:rPr>
          <w:spacing w:val="-9"/>
        </w:rPr>
        <w:t> </w:t>
      </w:r>
      <w:r>
        <w:rPr/>
        <w:t>way</w:t>
      </w:r>
      <w:r>
        <w:rPr>
          <w:spacing w:val="-9"/>
        </w:rPr>
        <w:t> </w:t>
      </w:r>
      <w:r>
        <w:rPr/>
        <w:t>for</w:t>
      </w:r>
      <w:r>
        <w:rPr>
          <w:spacing w:val="-9"/>
        </w:rPr>
        <w:t> </w:t>
      </w:r>
      <w:r>
        <w:rPr/>
        <w:t>customers</w:t>
      </w:r>
      <w:r>
        <w:rPr>
          <w:spacing w:val="-9"/>
        </w:rPr>
        <w:t> </w:t>
      </w:r>
      <w:r>
        <w:rPr/>
        <w:t>to</w:t>
      </w:r>
      <w:r>
        <w:rPr>
          <w:spacing w:val="-9"/>
        </w:rPr>
        <w:t> </w:t>
      </w:r>
      <w:r>
        <w:rPr/>
        <w:t>manage</w:t>
      </w:r>
      <w:r>
        <w:rPr>
          <w:spacing w:val="-9"/>
        </w:rPr>
        <w:t> </w:t>
      </w:r>
      <w:r>
        <w:rPr/>
        <w:t>their</w:t>
      </w:r>
      <w:r>
        <w:rPr>
          <w:spacing w:val="-9"/>
        </w:rPr>
        <w:t> </w:t>
      </w:r>
      <w:r>
        <w:rPr/>
        <w:t>contract</w:t>
      </w:r>
      <w:r>
        <w:rPr>
          <w:spacing w:val="-10"/>
        </w:rPr>
        <w:t> </w:t>
      </w:r>
      <w:r>
        <w:rPr/>
        <w:t>workflows.</w:t>
      </w:r>
      <w:r>
        <w:rPr>
          <w:spacing w:val="-12"/>
        </w:rPr>
        <w:t> </w:t>
      </w:r>
      <w:r>
        <w:rPr/>
        <w:t>The</w:t>
      </w:r>
      <w:r>
        <w:rPr>
          <w:spacing w:val="-13"/>
        </w:rPr>
        <w:t> </w:t>
      </w:r>
      <w:r>
        <w:rPr/>
        <w:t>Adobe</w:t>
      </w:r>
      <w:r>
        <w:rPr>
          <w:spacing w:val="-9"/>
        </w:rPr>
        <w:t> </w:t>
      </w:r>
      <w:r>
        <w:rPr/>
        <w:t>Scan</w:t>
      </w:r>
      <w:r>
        <w:rPr>
          <w:spacing w:val="-9"/>
        </w:rPr>
        <w:t> </w:t>
      </w:r>
      <w:r>
        <w:rPr/>
        <w:t>app</w:t>
      </w:r>
      <w:r>
        <w:rPr>
          <w:spacing w:val="-9"/>
        </w:rPr>
        <w:t> </w:t>
      </w:r>
      <w:r>
        <w:rPr/>
        <w:t>for</w:t>
      </w:r>
      <w:r>
        <w:rPr>
          <w:spacing w:val="-9"/>
        </w:rPr>
        <w:t> </w:t>
      </w:r>
      <w:r>
        <w:rPr/>
        <w:t>mobile</w:t>
      </w:r>
      <w:r>
        <w:rPr>
          <w:spacing w:val="-9"/>
        </w:rPr>
        <w:t> </w:t>
      </w:r>
      <w:r>
        <w:rPr/>
        <w:t>devices </w:t>
      </w:r>
      <w:r>
        <w:rPr>
          <w:spacing w:val="-2"/>
        </w:rPr>
        <w:t>can</w:t>
      </w:r>
      <w:r>
        <w:rPr>
          <w:spacing w:val="-11"/>
        </w:rPr>
        <w:t> </w:t>
      </w:r>
      <w:r>
        <w:rPr>
          <w:spacing w:val="-2"/>
        </w:rPr>
        <w:t>be</w:t>
      </w:r>
      <w:r>
        <w:rPr>
          <w:spacing w:val="-5"/>
        </w:rPr>
        <w:t> </w:t>
      </w:r>
      <w:r>
        <w:rPr>
          <w:spacing w:val="-2"/>
        </w:rPr>
        <w:t>used</w:t>
      </w:r>
      <w:r>
        <w:rPr>
          <w:spacing w:val="-6"/>
        </w:rPr>
        <w:t> </w:t>
      </w:r>
      <w:r>
        <w:rPr>
          <w:spacing w:val="-2"/>
        </w:rPr>
        <w:t>to</w:t>
      </w:r>
      <w:r>
        <w:rPr>
          <w:spacing w:val="-6"/>
        </w:rPr>
        <w:t> </w:t>
      </w:r>
      <w:r>
        <w:rPr>
          <w:spacing w:val="-2"/>
        </w:rPr>
        <w:t>capture</w:t>
      </w:r>
      <w:r>
        <w:rPr>
          <w:spacing w:val="-6"/>
        </w:rPr>
        <w:t> </w:t>
      </w:r>
      <w:r>
        <w:rPr>
          <w:spacing w:val="-2"/>
        </w:rPr>
        <w:t>paper</w:t>
      </w:r>
      <w:r>
        <w:rPr>
          <w:spacing w:val="-6"/>
        </w:rPr>
        <w:t> </w:t>
      </w:r>
      <w:r>
        <w:rPr>
          <w:spacing w:val="-2"/>
        </w:rPr>
        <w:t>documents</w:t>
      </w:r>
      <w:r>
        <w:rPr>
          <w:spacing w:val="-6"/>
        </w:rPr>
        <w:t> </w:t>
      </w:r>
      <w:r>
        <w:rPr>
          <w:spacing w:val="-2"/>
        </w:rPr>
        <w:t>as</w:t>
      </w:r>
      <w:r>
        <w:rPr>
          <w:spacing w:val="-6"/>
        </w:rPr>
        <w:t> </w:t>
      </w:r>
      <w:r>
        <w:rPr>
          <w:spacing w:val="-2"/>
        </w:rPr>
        <w:t>images</w:t>
      </w:r>
      <w:r>
        <w:rPr>
          <w:spacing w:val="-6"/>
        </w:rPr>
        <w:t> </w:t>
      </w:r>
      <w:r>
        <w:rPr>
          <w:spacing w:val="-2"/>
        </w:rPr>
        <w:t>and</w:t>
      </w:r>
      <w:r>
        <w:rPr>
          <w:spacing w:val="-6"/>
        </w:rPr>
        <w:t> </w:t>
      </w:r>
      <w:r>
        <w:rPr>
          <w:spacing w:val="-2"/>
        </w:rPr>
        <w:t>transform</w:t>
      </w:r>
      <w:r>
        <w:rPr>
          <w:spacing w:val="-6"/>
        </w:rPr>
        <w:t> </w:t>
      </w:r>
      <w:r>
        <w:rPr>
          <w:spacing w:val="-2"/>
        </w:rPr>
        <w:t>them</w:t>
      </w:r>
      <w:r>
        <w:rPr>
          <w:spacing w:val="-6"/>
        </w:rPr>
        <w:t> </w:t>
      </w:r>
      <w:r>
        <w:rPr>
          <w:spacing w:val="-2"/>
        </w:rPr>
        <w:t>into</w:t>
      </w:r>
      <w:r>
        <w:rPr>
          <w:spacing w:val="-6"/>
        </w:rPr>
        <w:t> </w:t>
      </w:r>
      <w:r>
        <w:rPr>
          <w:spacing w:val="-2"/>
        </w:rPr>
        <w:t>full-featured</w:t>
      </w:r>
      <w:r>
        <w:rPr>
          <w:spacing w:val="-6"/>
        </w:rPr>
        <w:t> </w:t>
      </w:r>
      <w:r>
        <w:rPr>
          <w:spacing w:val="-2"/>
        </w:rPr>
        <w:t>PDFs</w:t>
      </w:r>
      <w:r>
        <w:rPr>
          <w:spacing w:val="-6"/>
        </w:rPr>
        <w:t> </w:t>
      </w:r>
      <w:r>
        <w:rPr>
          <w:spacing w:val="-2"/>
        </w:rPr>
        <w:t>via</w:t>
      </w:r>
      <w:r>
        <w:rPr>
          <w:spacing w:val="-11"/>
        </w:rPr>
        <w:t> </w:t>
      </w:r>
      <w:r>
        <w:rPr>
          <w:spacing w:val="-2"/>
        </w:rPr>
        <w:t>Adobe</w:t>
      </w:r>
      <w:r>
        <w:rPr>
          <w:spacing w:val="-5"/>
        </w:rPr>
        <w:t> </w:t>
      </w:r>
      <w:r>
        <w:rPr>
          <w:spacing w:val="-2"/>
        </w:rPr>
        <w:t>Document</w:t>
      </w:r>
      <w:r>
        <w:rPr>
          <w:spacing w:val="-6"/>
        </w:rPr>
        <w:t> </w:t>
      </w:r>
      <w:r>
        <w:rPr>
          <w:spacing w:val="-2"/>
        </w:rPr>
        <w:t>Cloud</w:t>
      </w:r>
      <w:r>
        <w:rPr>
          <w:spacing w:val="-6"/>
        </w:rPr>
        <w:t> </w:t>
      </w:r>
      <w:r>
        <w:rPr>
          <w:spacing w:val="-2"/>
        </w:rPr>
        <w:t>services </w:t>
      </w:r>
      <w:r>
        <w:rPr/>
        <w:t>that</w:t>
      </w:r>
      <w:r>
        <w:rPr>
          <w:spacing w:val="-13"/>
        </w:rPr>
        <w:t> </w:t>
      </w:r>
      <w:r>
        <w:rPr/>
        <w:t>can</w:t>
      </w:r>
      <w:r>
        <w:rPr>
          <w:spacing w:val="-12"/>
        </w:rPr>
        <w:t> </w:t>
      </w:r>
      <w:r>
        <w:rPr/>
        <w:t>be</w:t>
      </w:r>
      <w:r>
        <w:rPr>
          <w:spacing w:val="-13"/>
        </w:rPr>
        <w:t> </w:t>
      </w:r>
      <w:r>
        <w:rPr/>
        <w:t>shared</w:t>
      </w:r>
      <w:r>
        <w:rPr>
          <w:spacing w:val="-12"/>
        </w:rPr>
        <w:t> </w:t>
      </w:r>
      <w:r>
        <w:rPr/>
        <w:t>immediately,</w:t>
      </w:r>
      <w:r>
        <w:rPr>
          <w:spacing w:val="-13"/>
        </w:rPr>
        <w:t> </w:t>
      </w:r>
      <w:r>
        <w:rPr/>
        <w:t>essentially</w:t>
      </w:r>
      <w:r>
        <w:rPr>
          <w:spacing w:val="-12"/>
        </w:rPr>
        <w:t> </w:t>
      </w:r>
      <w:r>
        <w:rPr/>
        <w:t>putting</w:t>
      </w:r>
      <w:r>
        <w:rPr>
          <w:spacing w:val="-13"/>
        </w:rPr>
        <w:t> </w:t>
      </w:r>
      <w:r>
        <w:rPr/>
        <w:t>scanning</w:t>
      </w:r>
      <w:r>
        <w:rPr>
          <w:spacing w:val="-12"/>
        </w:rPr>
        <w:t> </w:t>
      </w:r>
      <w:r>
        <w:rPr/>
        <w:t>capabilities</w:t>
      </w:r>
      <w:r>
        <w:rPr>
          <w:spacing w:val="-13"/>
        </w:rPr>
        <w:t> </w:t>
      </w:r>
      <w:r>
        <w:rPr/>
        <w:t>in</w:t>
      </w:r>
      <w:r>
        <w:rPr>
          <w:spacing w:val="-12"/>
        </w:rPr>
        <w:t> </w:t>
      </w:r>
      <w:r>
        <w:rPr/>
        <w:t>the</w:t>
      </w:r>
      <w:r>
        <w:rPr>
          <w:spacing w:val="-13"/>
        </w:rPr>
        <w:t> </w:t>
      </w:r>
      <w:r>
        <w:rPr/>
        <w:t>pocket</w:t>
      </w:r>
      <w:r>
        <w:rPr>
          <w:spacing w:val="-12"/>
        </w:rPr>
        <w:t> </w:t>
      </w:r>
      <w:r>
        <w:rPr/>
        <w:t>of</w:t>
      </w:r>
      <w:r>
        <w:rPr>
          <w:spacing w:val="-13"/>
        </w:rPr>
        <w:t> </w:t>
      </w:r>
      <w:r>
        <w:rPr/>
        <w:t>every</w:t>
      </w:r>
      <w:r>
        <w:rPr>
          <w:spacing w:val="-12"/>
        </w:rPr>
        <w:t> </w:t>
      </w:r>
      <w:r>
        <w:rPr/>
        <w:t>person.</w:t>
      </w:r>
      <w:r>
        <w:rPr>
          <w:spacing w:val="-13"/>
        </w:rPr>
        <w:t> </w:t>
      </w:r>
      <w:r>
        <w:rPr/>
        <w:t>We</w:t>
      </w:r>
      <w:r>
        <w:rPr>
          <w:spacing w:val="-12"/>
        </w:rPr>
        <w:t> </w:t>
      </w:r>
      <w:r>
        <w:rPr/>
        <w:t>believe</w:t>
      </w:r>
      <w:r>
        <w:rPr>
          <w:spacing w:val="-13"/>
        </w:rPr>
        <w:t> </w:t>
      </w:r>
      <w:r>
        <w:rPr/>
        <w:t>that</w:t>
      </w:r>
      <w:r>
        <w:rPr>
          <w:spacing w:val="-12"/>
        </w:rPr>
        <w:t> </w:t>
      </w:r>
      <w:r>
        <w:rPr/>
        <w:t>by</w:t>
      </w:r>
      <w:r>
        <w:rPr>
          <w:spacing w:val="-13"/>
        </w:rPr>
        <w:t> </w:t>
      </w:r>
      <w:r>
        <w:rPr/>
        <w:t>growing the</w:t>
      </w:r>
      <w:r>
        <w:rPr>
          <w:spacing w:val="-6"/>
        </w:rPr>
        <w:t> </w:t>
      </w:r>
      <w:r>
        <w:rPr/>
        <w:t>awareness</w:t>
      </w:r>
      <w:r>
        <w:rPr>
          <w:spacing w:val="-5"/>
        </w:rPr>
        <w:t> </w:t>
      </w:r>
      <w:r>
        <w:rPr/>
        <w:t>of</w:t>
      </w:r>
      <w:r>
        <w:rPr>
          <w:spacing w:val="-6"/>
        </w:rPr>
        <w:t> </w:t>
      </w:r>
      <w:r>
        <w:rPr/>
        <w:t>electronic</w:t>
      </w:r>
      <w:r>
        <w:rPr>
          <w:spacing w:val="-6"/>
        </w:rPr>
        <w:t> </w:t>
      </w:r>
      <w:r>
        <w:rPr/>
        <w:t>signatures</w:t>
      </w:r>
      <w:r>
        <w:rPr>
          <w:spacing w:val="-6"/>
        </w:rPr>
        <w:t> </w:t>
      </w:r>
      <w:r>
        <w:rPr/>
        <w:t>in</w:t>
      </w:r>
      <w:r>
        <w:rPr>
          <w:spacing w:val="-6"/>
        </w:rPr>
        <w:t> </w:t>
      </w:r>
      <w:r>
        <w:rPr/>
        <w:t>the</w:t>
      </w:r>
      <w:r>
        <w:rPr>
          <w:spacing w:val="-6"/>
        </w:rPr>
        <w:t> </w:t>
      </w:r>
      <w:r>
        <w:rPr/>
        <w:t>broader</w:t>
      </w:r>
      <w:r>
        <w:rPr>
          <w:spacing w:val="-6"/>
        </w:rPr>
        <w:t> </w:t>
      </w:r>
      <w:r>
        <w:rPr/>
        <w:t>contract</w:t>
      </w:r>
      <w:r>
        <w:rPr>
          <w:spacing w:val="-6"/>
        </w:rPr>
        <w:t> </w:t>
      </w:r>
      <w:r>
        <w:rPr/>
        <w:t>delivery</w:t>
      </w:r>
      <w:r>
        <w:rPr>
          <w:spacing w:val="-6"/>
        </w:rPr>
        <w:t> </w:t>
      </w:r>
      <w:r>
        <w:rPr/>
        <w:t>and</w:t>
      </w:r>
      <w:r>
        <w:rPr>
          <w:spacing w:val="-6"/>
        </w:rPr>
        <w:t> </w:t>
      </w:r>
      <w:r>
        <w:rPr/>
        <w:t>signing</w:t>
      </w:r>
      <w:r>
        <w:rPr>
          <w:spacing w:val="-6"/>
        </w:rPr>
        <w:t> </w:t>
      </w:r>
      <w:r>
        <w:rPr/>
        <w:t>market</w:t>
      </w:r>
      <w:r>
        <w:rPr>
          <w:spacing w:val="-6"/>
        </w:rPr>
        <w:t> </w:t>
      </w:r>
      <w:r>
        <w:rPr/>
        <w:t>and</w:t>
      </w:r>
      <w:r>
        <w:rPr>
          <w:spacing w:val="-6"/>
        </w:rPr>
        <w:t> </w:t>
      </w:r>
      <w:r>
        <w:rPr/>
        <w:t>continuing</w:t>
      </w:r>
      <w:r>
        <w:rPr>
          <w:spacing w:val="-6"/>
        </w:rPr>
        <w:t> </w:t>
      </w:r>
      <w:r>
        <w:rPr/>
        <w:t>to</w:t>
      </w:r>
      <w:r>
        <w:rPr>
          <w:spacing w:val="-6"/>
        </w:rPr>
        <w:t> </w:t>
      </w:r>
      <w:r>
        <w:rPr/>
        <w:t>add</w:t>
      </w:r>
      <w:r>
        <w:rPr>
          <w:spacing w:val="-6"/>
        </w:rPr>
        <w:t> </w:t>
      </w:r>
      <w:r>
        <w:rPr/>
        <w:t>new</w:t>
      </w:r>
      <w:r>
        <w:rPr>
          <w:spacing w:val="-6"/>
        </w:rPr>
        <w:t> </w:t>
      </w:r>
      <w:r>
        <w:rPr/>
        <w:t>capabilities</w:t>
      </w:r>
    </w:p>
    <w:p>
      <w:pPr>
        <w:spacing w:after="0" w:line="249" w:lineRule="auto"/>
        <w:jc w:val="both"/>
        <w:sectPr>
          <w:pgSz w:w="12240" w:h="15840"/>
          <w:pgMar w:header="210" w:footer="599" w:top="420" w:bottom="800" w:left="780" w:right="740"/>
        </w:sectPr>
      </w:pPr>
    </w:p>
    <w:p>
      <w:pPr>
        <w:pStyle w:val="BodyText"/>
        <w:spacing w:before="150"/>
      </w:pPr>
    </w:p>
    <w:p>
      <w:pPr>
        <w:pStyle w:val="BodyText"/>
        <w:spacing w:line="249" w:lineRule="auto"/>
        <w:ind w:left="210"/>
      </w:pPr>
      <w:r>
        <w:rPr/>
        <w:t>to</w:t>
      </w:r>
      <w:r>
        <w:rPr>
          <w:spacing w:val="-6"/>
        </w:rPr>
        <w:t> </w:t>
      </w:r>
      <w:r>
        <w:rPr/>
        <w:t>our</w:t>
      </w:r>
      <w:r>
        <w:rPr>
          <w:spacing w:val="-13"/>
        </w:rPr>
        <w:t> </w:t>
      </w:r>
      <w:r>
        <w:rPr/>
        <w:t>Adobe</w:t>
      </w:r>
      <w:r>
        <w:rPr>
          <w:spacing w:val="-4"/>
        </w:rPr>
        <w:t> </w:t>
      </w:r>
      <w:r>
        <w:rPr/>
        <w:t>Scan</w:t>
      </w:r>
      <w:r>
        <w:rPr>
          <w:spacing w:val="-4"/>
        </w:rPr>
        <w:t> </w:t>
      </w:r>
      <w:r>
        <w:rPr/>
        <w:t>and</w:t>
      </w:r>
      <w:r>
        <w:rPr>
          <w:spacing w:val="-4"/>
        </w:rPr>
        <w:t> </w:t>
      </w:r>
      <w:r>
        <w:rPr/>
        <w:t>Sign</w:t>
      </w:r>
      <w:r>
        <w:rPr>
          <w:spacing w:val="-4"/>
        </w:rPr>
        <w:t> </w:t>
      </w:r>
      <w:r>
        <w:rPr/>
        <w:t>offerings,</w:t>
      </w:r>
      <w:r>
        <w:rPr>
          <w:spacing w:val="-4"/>
        </w:rPr>
        <w:t> </w:t>
      </w:r>
      <w:r>
        <w:rPr/>
        <w:t>we</w:t>
      </w:r>
      <w:r>
        <w:rPr>
          <w:spacing w:val="-4"/>
        </w:rPr>
        <w:t> </w:t>
      </w:r>
      <w:r>
        <w:rPr/>
        <w:t>can</w:t>
      </w:r>
      <w:r>
        <w:rPr>
          <w:spacing w:val="-4"/>
        </w:rPr>
        <w:t> </w:t>
      </w:r>
      <w:r>
        <w:rPr/>
        <w:t>help</w:t>
      </w:r>
      <w:r>
        <w:rPr>
          <w:spacing w:val="-4"/>
        </w:rPr>
        <w:t> </w:t>
      </w:r>
      <w:r>
        <w:rPr/>
        <w:t>our</w:t>
      </w:r>
      <w:r>
        <w:rPr>
          <w:spacing w:val="-4"/>
        </w:rPr>
        <w:t> </w:t>
      </w:r>
      <w:r>
        <w:rPr/>
        <w:t>customers</w:t>
      </w:r>
      <w:r>
        <w:rPr>
          <w:spacing w:val="-4"/>
        </w:rPr>
        <w:t> </w:t>
      </w:r>
      <w:r>
        <w:rPr/>
        <w:t>migrate</w:t>
      </w:r>
      <w:r>
        <w:rPr>
          <w:spacing w:val="-5"/>
        </w:rPr>
        <w:t> </w:t>
      </w:r>
      <w:r>
        <w:rPr/>
        <w:t>away</w:t>
      </w:r>
      <w:r>
        <w:rPr>
          <w:spacing w:val="-4"/>
        </w:rPr>
        <w:t> </w:t>
      </w:r>
      <w:r>
        <w:rPr/>
        <w:t>from</w:t>
      </w:r>
      <w:r>
        <w:rPr>
          <w:spacing w:val="-4"/>
        </w:rPr>
        <w:t> </w:t>
      </w:r>
      <w:r>
        <w:rPr/>
        <w:t>paper-based</w:t>
      </w:r>
      <w:r>
        <w:rPr>
          <w:spacing w:val="-4"/>
        </w:rPr>
        <w:t> </w:t>
      </w:r>
      <w:r>
        <w:rPr/>
        <w:t>express</w:t>
      </w:r>
      <w:r>
        <w:rPr>
          <w:spacing w:val="-4"/>
        </w:rPr>
        <w:t> </w:t>
      </w:r>
      <w:r>
        <w:rPr/>
        <w:t>mailing</w:t>
      </w:r>
      <w:r>
        <w:rPr>
          <w:spacing w:val="-4"/>
        </w:rPr>
        <w:t> </w:t>
      </w:r>
      <w:r>
        <w:rPr/>
        <w:t>and</w:t>
      </w:r>
      <w:r>
        <w:rPr>
          <w:spacing w:val="-4"/>
        </w:rPr>
        <w:t> </w:t>
      </w:r>
      <w:r>
        <w:rPr/>
        <w:t>adopt</w:t>
      </w:r>
      <w:r>
        <w:rPr>
          <w:spacing w:val="-4"/>
        </w:rPr>
        <w:t> </w:t>
      </w:r>
      <w:r>
        <w:rPr/>
        <w:t>our solution, growing our revenue with this business in the process.</w:t>
      </w:r>
    </w:p>
    <w:p>
      <w:pPr>
        <w:pStyle w:val="Heading2"/>
        <w:spacing w:before="161"/>
        <w:ind w:left="210"/>
      </w:pPr>
      <w:r>
        <w:rPr/>
        <w:t>Digital</w:t>
      </w:r>
      <w:r>
        <w:rPr>
          <w:spacing w:val="-1"/>
        </w:rPr>
        <w:t> </w:t>
      </w:r>
      <w:r>
        <w:rPr>
          <w:spacing w:val="-2"/>
        </w:rPr>
        <w:t>Experience</w:t>
      </w:r>
    </w:p>
    <w:p>
      <w:pPr>
        <w:spacing w:before="190"/>
        <w:ind w:left="210" w:right="0" w:firstLine="0"/>
        <w:jc w:val="left"/>
        <w:rPr>
          <w:i/>
          <w:sz w:val="20"/>
        </w:rPr>
      </w:pPr>
      <w:r>
        <w:rPr>
          <w:i/>
          <w:sz w:val="20"/>
        </w:rPr>
        <w:t>Digital Experience </w:t>
      </w:r>
      <w:r>
        <w:rPr>
          <w:i/>
          <w:spacing w:val="-2"/>
          <w:sz w:val="20"/>
        </w:rPr>
        <w:t>Opportunity</w:t>
      </w:r>
    </w:p>
    <w:p>
      <w:pPr>
        <w:pStyle w:val="BodyText"/>
        <w:spacing w:line="249" w:lineRule="auto" w:before="190"/>
        <w:ind w:left="210" w:right="257" w:firstLine="540"/>
        <w:jc w:val="both"/>
      </w:pPr>
      <w:r>
        <w:rPr/>
        <w:t>Consumers today increasingly demand personalized content and experiences in their digital interactions, across multiple channels</w:t>
      </w:r>
      <w:r>
        <w:rPr>
          <w:spacing w:val="-9"/>
        </w:rPr>
        <w:t> </w:t>
      </w:r>
      <w:r>
        <w:rPr/>
        <w:t>and</w:t>
      </w:r>
      <w:r>
        <w:rPr>
          <w:spacing w:val="-7"/>
        </w:rPr>
        <w:t> </w:t>
      </w:r>
      <w:r>
        <w:rPr/>
        <w:t>devices.</w:t>
      </w:r>
      <w:r>
        <w:rPr>
          <w:spacing w:val="-13"/>
        </w:rPr>
        <w:t> </w:t>
      </w:r>
      <w:r>
        <w:rPr/>
        <w:t>As</w:t>
      </w:r>
      <w:r>
        <w:rPr>
          <w:spacing w:val="-6"/>
        </w:rPr>
        <w:t> </w:t>
      </w:r>
      <w:r>
        <w:rPr/>
        <w:t>a</w:t>
      </w:r>
      <w:r>
        <w:rPr>
          <w:spacing w:val="-7"/>
        </w:rPr>
        <w:t> </w:t>
      </w:r>
      <w:r>
        <w:rPr/>
        <w:t>result,</w:t>
      </w:r>
      <w:r>
        <w:rPr>
          <w:spacing w:val="-6"/>
        </w:rPr>
        <w:t> </w:t>
      </w:r>
      <w:r>
        <w:rPr/>
        <w:t>businesses</w:t>
      </w:r>
      <w:r>
        <w:rPr>
          <w:spacing w:val="-6"/>
        </w:rPr>
        <w:t> </w:t>
      </w:r>
      <w:r>
        <w:rPr/>
        <w:t>must</w:t>
      </w:r>
      <w:r>
        <w:rPr>
          <w:spacing w:val="-7"/>
        </w:rPr>
        <w:t> </w:t>
      </w:r>
      <w:r>
        <w:rPr/>
        <w:t>figure</w:t>
      </w:r>
      <w:r>
        <w:rPr>
          <w:spacing w:val="-7"/>
        </w:rPr>
        <w:t> </w:t>
      </w:r>
      <w:r>
        <w:rPr/>
        <w:t>out</w:t>
      </w:r>
      <w:r>
        <w:rPr>
          <w:spacing w:val="-7"/>
        </w:rPr>
        <w:t> </w:t>
      </w:r>
      <w:r>
        <w:rPr/>
        <w:t>how</w:t>
      </w:r>
      <w:r>
        <w:rPr>
          <w:spacing w:val="-7"/>
        </w:rPr>
        <w:t> </w:t>
      </w:r>
      <w:r>
        <w:rPr/>
        <w:t>to</w:t>
      </w:r>
      <w:r>
        <w:rPr>
          <w:spacing w:val="-7"/>
        </w:rPr>
        <w:t> </w:t>
      </w:r>
      <w:r>
        <w:rPr/>
        <w:t>best</w:t>
      </w:r>
      <w:r>
        <w:rPr>
          <w:spacing w:val="-7"/>
        </w:rPr>
        <w:t> </w:t>
      </w:r>
      <w:r>
        <w:rPr/>
        <w:t>attract,</w:t>
      </w:r>
      <w:r>
        <w:rPr>
          <w:spacing w:val="-7"/>
        </w:rPr>
        <w:t> </w:t>
      </w:r>
      <w:r>
        <w:rPr/>
        <w:t>engage,</w:t>
      </w:r>
      <w:r>
        <w:rPr>
          <w:spacing w:val="-7"/>
        </w:rPr>
        <w:t> </w:t>
      </w:r>
      <w:r>
        <w:rPr/>
        <w:t>acquire</w:t>
      </w:r>
      <w:r>
        <w:rPr>
          <w:spacing w:val="-7"/>
        </w:rPr>
        <w:t> </w:t>
      </w:r>
      <w:r>
        <w:rPr/>
        <w:t>and</w:t>
      </w:r>
      <w:r>
        <w:rPr>
          <w:spacing w:val="-7"/>
        </w:rPr>
        <w:t> </w:t>
      </w:r>
      <w:r>
        <w:rPr/>
        <w:t>retain</w:t>
      </w:r>
      <w:r>
        <w:rPr>
          <w:spacing w:val="-7"/>
        </w:rPr>
        <w:t> </w:t>
      </w:r>
      <w:r>
        <w:rPr/>
        <w:t>customers</w:t>
      </w:r>
      <w:r>
        <w:rPr>
          <w:spacing w:val="-6"/>
        </w:rPr>
        <w:t> </w:t>
      </w:r>
      <w:r>
        <w:rPr/>
        <w:t>in</w:t>
      </w:r>
      <w:r>
        <w:rPr>
          <w:spacing w:val="-7"/>
        </w:rPr>
        <w:t> </w:t>
      </w:r>
      <w:r>
        <w:rPr/>
        <w:t>a</w:t>
      </w:r>
      <w:r>
        <w:rPr>
          <w:spacing w:val="-7"/>
        </w:rPr>
        <w:t> </w:t>
      </w:r>
      <w:r>
        <w:rPr/>
        <w:t>digital world</w:t>
      </w:r>
      <w:r>
        <w:rPr>
          <w:spacing w:val="-9"/>
        </w:rPr>
        <w:t> </w:t>
      </w:r>
      <w:r>
        <w:rPr/>
        <w:t>where</w:t>
      </w:r>
      <w:r>
        <w:rPr>
          <w:spacing w:val="-9"/>
        </w:rPr>
        <w:t> </w:t>
      </w:r>
      <w:r>
        <w:rPr/>
        <w:t>the</w:t>
      </w:r>
      <w:r>
        <w:rPr>
          <w:spacing w:val="-9"/>
        </w:rPr>
        <w:t> </w:t>
      </w:r>
      <w:r>
        <w:rPr/>
        <w:t>reach</w:t>
      </w:r>
      <w:r>
        <w:rPr>
          <w:spacing w:val="-9"/>
        </w:rPr>
        <w:t> </w:t>
      </w:r>
      <w:r>
        <w:rPr/>
        <w:t>and</w:t>
      </w:r>
      <w:r>
        <w:rPr>
          <w:spacing w:val="-9"/>
        </w:rPr>
        <w:t> </w:t>
      </w:r>
      <w:r>
        <w:rPr/>
        <w:t>quality</w:t>
      </w:r>
      <w:r>
        <w:rPr>
          <w:spacing w:val="-9"/>
        </w:rPr>
        <w:t> </w:t>
      </w:r>
      <w:r>
        <w:rPr/>
        <w:t>of</w:t>
      </w:r>
      <w:r>
        <w:rPr>
          <w:spacing w:val="-9"/>
        </w:rPr>
        <w:t> </w:t>
      </w:r>
      <w:r>
        <w:rPr/>
        <w:t>experiences</w:t>
      </w:r>
      <w:r>
        <w:rPr>
          <w:spacing w:val="-9"/>
        </w:rPr>
        <w:t> </w:t>
      </w:r>
      <w:r>
        <w:rPr/>
        <w:t>directly</w:t>
      </w:r>
      <w:r>
        <w:rPr>
          <w:spacing w:val="-9"/>
        </w:rPr>
        <w:t> </w:t>
      </w:r>
      <w:r>
        <w:rPr/>
        <w:t>impact</w:t>
      </w:r>
      <w:r>
        <w:rPr>
          <w:spacing w:val="-9"/>
        </w:rPr>
        <w:t> </w:t>
      </w:r>
      <w:r>
        <w:rPr/>
        <w:t>success.</w:t>
      </w:r>
      <w:r>
        <w:rPr>
          <w:spacing w:val="-9"/>
        </w:rPr>
        <w:t> </w:t>
      </w:r>
      <w:r>
        <w:rPr/>
        <w:t>Delivering</w:t>
      </w:r>
      <w:r>
        <w:rPr>
          <w:spacing w:val="-9"/>
        </w:rPr>
        <w:t> </w:t>
      </w:r>
      <w:r>
        <w:rPr/>
        <w:t>the</w:t>
      </w:r>
      <w:r>
        <w:rPr>
          <w:spacing w:val="-9"/>
        </w:rPr>
        <w:t> </w:t>
      </w:r>
      <w:r>
        <w:rPr/>
        <w:t>best</w:t>
      </w:r>
      <w:r>
        <w:rPr>
          <w:spacing w:val="-9"/>
        </w:rPr>
        <w:t> </w:t>
      </w:r>
      <w:r>
        <w:rPr/>
        <w:t>experience</w:t>
      </w:r>
      <w:r>
        <w:rPr>
          <w:spacing w:val="-9"/>
        </w:rPr>
        <w:t> </w:t>
      </w:r>
      <w:r>
        <w:rPr/>
        <w:t>to</w:t>
      </w:r>
      <w:r>
        <w:rPr>
          <w:spacing w:val="-9"/>
        </w:rPr>
        <w:t> </w:t>
      </w:r>
      <w:r>
        <w:rPr/>
        <w:t>a</w:t>
      </w:r>
      <w:r>
        <w:rPr>
          <w:spacing w:val="-9"/>
        </w:rPr>
        <w:t> </w:t>
      </w:r>
      <w:r>
        <w:rPr/>
        <w:t>consumer</w:t>
      </w:r>
      <w:r>
        <w:rPr>
          <w:spacing w:val="-9"/>
        </w:rPr>
        <w:t> </w:t>
      </w:r>
      <w:r>
        <w:rPr/>
        <w:t>at</w:t>
      </w:r>
      <w:r>
        <w:rPr>
          <w:spacing w:val="-9"/>
        </w:rPr>
        <w:t> </w:t>
      </w:r>
      <w:r>
        <w:rPr/>
        <w:t>a</w:t>
      </w:r>
      <w:r>
        <w:rPr>
          <w:spacing w:val="-9"/>
        </w:rPr>
        <w:t> </w:t>
      </w:r>
      <w:r>
        <w:rPr/>
        <w:t>given </w:t>
      </w:r>
      <w:r>
        <w:rPr>
          <w:spacing w:val="-2"/>
        </w:rPr>
        <w:t>moment</w:t>
      </w:r>
      <w:r>
        <w:rPr>
          <w:spacing w:val="-6"/>
        </w:rPr>
        <w:t> </w:t>
      </w:r>
      <w:r>
        <w:rPr>
          <w:spacing w:val="-2"/>
        </w:rPr>
        <w:t>requires</w:t>
      </w:r>
      <w:r>
        <w:rPr>
          <w:spacing w:val="-6"/>
        </w:rPr>
        <w:t> </w:t>
      </w:r>
      <w:r>
        <w:rPr>
          <w:spacing w:val="-2"/>
        </w:rPr>
        <w:t>the</w:t>
      </w:r>
      <w:r>
        <w:rPr>
          <w:spacing w:val="-6"/>
        </w:rPr>
        <w:t> </w:t>
      </w:r>
      <w:r>
        <w:rPr>
          <w:spacing w:val="-2"/>
        </w:rPr>
        <w:t>right</w:t>
      </w:r>
      <w:r>
        <w:rPr>
          <w:spacing w:val="-6"/>
        </w:rPr>
        <w:t> </w:t>
      </w:r>
      <w:r>
        <w:rPr>
          <w:spacing w:val="-2"/>
        </w:rPr>
        <w:t>combination</w:t>
      </w:r>
      <w:r>
        <w:rPr>
          <w:spacing w:val="-6"/>
        </w:rPr>
        <w:t> </w:t>
      </w:r>
      <w:r>
        <w:rPr>
          <w:spacing w:val="-2"/>
        </w:rPr>
        <w:t>of</w:t>
      </w:r>
      <w:r>
        <w:rPr>
          <w:spacing w:val="-6"/>
        </w:rPr>
        <w:t> </w:t>
      </w:r>
      <w:r>
        <w:rPr>
          <w:spacing w:val="-2"/>
        </w:rPr>
        <w:t>data,</w:t>
      </w:r>
      <w:r>
        <w:rPr>
          <w:spacing w:val="-6"/>
        </w:rPr>
        <w:t> </w:t>
      </w:r>
      <w:r>
        <w:rPr>
          <w:spacing w:val="-2"/>
        </w:rPr>
        <w:t>insights</w:t>
      </w:r>
      <w:r>
        <w:rPr>
          <w:spacing w:val="-6"/>
        </w:rPr>
        <w:t> </w:t>
      </w:r>
      <w:r>
        <w:rPr>
          <w:spacing w:val="-2"/>
        </w:rPr>
        <w:t>and</w:t>
      </w:r>
      <w:r>
        <w:rPr>
          <w:spacing w:val="-6"/>
        </w:rPr>
        <w:t> </w:t>
      </w:r>
      <w:r>
        <w:rPr>
          <w:spacing w:val="-2"/>
        </w:rPr>
        <w:t>content.</w:t>
      </w:r>
      <w:r>
        <w:rPr>
          <w:spacing w:val="-6"/>
        </w:rPr>
        <w:t> </w:t>
      </w:r>
      <w:r>
        <w:rPr>
          <w:spacing w:val="-2"/>
        </w:rPr>
        <w:t>Executives</w:t>
      </w:r>
      <w:r>
        <w:rPr>
          <w:spacing w:val="-6"/>
        </w:rPr>
        <w:t> </w:t>
      </w:r>
      <w:r>
        <w:rPr>
          <w:spacing w:val="-2"/>
        </w:rPr>
        <w:t>are</w:t>
      </w:r>
      <w:r>
        <w:rPr>
          <w:spacing w:val="-6"/>
        </w:rPr>
        <w:t> </w:t>
      </w:r>
      <w:r>
        <w:rPr>
          <w:spacing w:val="-2"/>
        </w:rPr>
        <w:t>increasingly</w:t>
      </w:r>
      <w:r>
        <w:rPr>
          <w:spacing w:val="-6"/>
        </w:rPr>
        <w:t> </w:t>
      </w:r>
      <w:r>
        <w:rPr>
          <w:spacing w:val="-2"/>
        </w:rPr>
        <w:t>demanding</w:t>
      </w:r>
      <w:r>
        <w:rPr>
          <w:spacing w:val="-6"/>
        </w:rPr>
        <w:t> </w:t>
      </w:r>
      <w:r>
        <w:rPr>
          <w:spacing w:val="-2"/>
        </w:rPr>
        <w:t>solutions</w:t>
      </w:r>
      <w:r>
        <w:rPr>
          <w:spacing w:val="-6"/>
        </w:rPr>
        <w:t> </w:t>
      </w:r>
      <w:r>
        <w:rPr>
          <w:spacing w:val="-2"/>
        </w:rPr>
        <w:t>that</w:t>
      </w:r>
      <w:r>
        <w:rPr>
          <w:spacing w:val="-6"/>
        </w:rPr>
        <w:t> </w:t>
      </w:r>
      <w:r>
        <w:rPr>
          <w:spacing w:val="-2"/>
        </w:rPr>
        <w:t>optimize </w:t>
      </w:r>
      <w:r>
        <w:rPr/>
        <w:t>their</w:t>
      </w:r>
      <w:r>
        <w:rPr>
          <w:spacing w:val="-11"/>
        </w:rPr>
        <w:t> </w:t>
      </w:r>
      <w:r>
        <w:rPr/>
        <w:t>consumers’</w:t>
      </w:r>
      <w:r>
        <w:rPr>
          <w:spacing w:val="-13"/>
        </w:rPr>
        <w:t> </w:t>
      </w:r>
      <w:r>
        <w:rPr/>
        <w:t>experiences</w:t>
      </w:r>
      <w:r>
        <w:rPr>
          <w:spacing w:val="-4"/>
        </w:rPr>
        <w:t> </w:t>
      </w:r>
      <w:r>
        <w:rPr/>
        <w:t>and</w:t>
      </w:r>
      <w:r>
        <w:rPr>
          <w:spacing w:val="-5"/>
        </w:rPr>
        <w:t> </w:t>
      </w:r>
      <w:r>
        <w:rPr/>
        <w:t>deliver</w:t>
      </w:r>
      <w:r>
        <w:rPr>
          <w:spacing w:val="-5"/>
        </w:rPr>
        <w:t> </w:t>
      </w:r>
      <w:r>
        <w:rPr/>
        <w:t>the</w:t>
      </w:r>
      <w:r>
        <w:rPr>
          <w:spacing w:val="-5"/>
        </w:rPr>
        <w:t> </w:t>
      </w:r>
      <w:r>
        <w:rPr/>
        <w:t>greatest</w:t>
      </w:r>
      <w:r>
        <w:rPr>
          <w:spacing w:val="-5"/>
        </w:rPr>
        <w:t> </w:t>
      </w:r>
      <w:r>
        <w:rPr/>
        <w:t>return</w:t>
      </w:r>
      <w:r>
        <w:rPr>
          <w:spacing w:val="-5"/>
        </w:rPr>
        <w:t> </w:t>
      </w:r>
      <w:r>
        <w:rPr/>
        <w:t>on</w:t>
      </w:r>
      <w:r>
        <w:rPr>
          <w:spacing w:val="-5"/>
        </w:rPr>
        <w:t> </w:t>
      </w:r>
      <w:r>
        <w:rPr/>
        <w:t>their</w:t>
      </w:r>
      <w:r>
        <w:rPr>
          <w:spacing w:val="-5"/>
        </w:rPr>
        <w:t> </w:t>
      </w:r>
      <w:r>
        <w:rPr/>
        <w:t>marketing</w:t>
      </w:r>
      <w:r>
        <w:rPr>
          <w:spacing w:val="-5"/>
        </w:rPr>
        <w:t> </w:t>
      </w:r>
      <w:r>
        <w:rPr/>
        <w:t>and</w:t>
      </w:r>
      <w:r>
        <w:rPr>
          <w:spacing w:val="-5"/>
        </w:rPr>
        <w:t> </w:t>
      </w:r>
      <w:r>
        <w:rPr/>
        <w:t>IT</w:t>
      </w:r>
      <w:r>
        <w:rPr>
          <w:spacing w:val="-8"/>
        </w:rPr>
        <w:t> </w:t>
      </w:r>
      <w:r>
        <w:rPr/>
        <w:t>spend</w:t>
      </w:r>
      <w:r>
        <w:rPr>
          <w:spacing w:val="-5"/>
        </w:rPr>
        <w:t> </w:t>
      </w:r>
      <w:r>
        <w:rPr/>
        <w:t>so</w:t>
      </w:r>
      <w:r>
        <w:rPr>
          <w:spacing w:val="-5"/>
        </w:rPr>
        <w:t> </w:t>
      </w:r>
      <w:r>
        <w:rPr/>
        <w:t>they</w:t>
      </w:r>
      <w:r>
        <w:rPr>
          <w:spacing w:val="-5"/>
        </w:rPr>
        <w:t> </w:t>
      </w:r>
      <w:r>
        <w:rPr/>
        <w:t>can</w:t>
      </w:r>
      <w:r>
        <w:rPr>
          <w:spacing w:val="-5"/>
        </w:rPr>
        <w:t> </w:t>
      </w:r>
      <w:r>
        <w:rPr/>
        <w:t>demonstrate</w:t>
      </w:r>
      <w:r>
        <w:rPr>
          <w:spacing w:val="-5"/>
        </w:rPr>
        <w:t> </w:t>
      </w:r>
      <w:r>
        <w:rPr/>
        <w:t>the</w:t>
      </w:r>
      <w:r>
        <w:rPr>
          <w:spacing w:val="-5"/>
        </w:rPr>
        <w:t> </w:t>
      </w:r>
      <w:r>
        <w:rPr/>
        <w:t>success of their programs using objective metrics.</w:t>
      </w:r>
    </w:p>
    <w:p>
      <w:pPr>
        <w:pStyle w:val="BodyText"/>
        <w:spacing w:line="249" w:lineRule="auto" w:before="165"/>
        <w:ind w:left="210" w:right="257" w:firstLine="540"/>
        <w:jc w:val="both"/>
      </w:pPr>
      <w:r>
        <w:rPr/>
        <w:t>We</w:t>
      </w:r>
      <w:r>
        <w:rPr>
          <w:spacing w:val="-13"/>
        </w:rPr>
        <w:t> </w:t>
      </w:r>
      <w:r>
        <w:rPr/>
        <w:t>believe</w:t>
      </w:r>
      <w:r>
        <w:rPr>
          <w:spacing w:val="-12"/>
        </w:rPr>
        <w:t> </w:t>
      </w:r>
      <w:r>
        <w:rPr/>
        <w:t>there</w:t>
      </w:r>
      <w:r>
        <w:rPr>
          <w:spacing w:val="-13"/>
        </w:rPr>
        <w:t> </w:t>
      </w:r>
      <w:r>
        <w:rPr/>
        <w:t>is</w:t>
      </w:r>
      <w:r>
        <w:rPr>
          <w:spacing w:val="-12"/>
        </w:rPr>
        <w:t> </w:t>
      </w:r>
      <w:r>
        <w:rPr/>
        <w:t>a</w:t>
      </w:r>
      <w:r>
        <w:rPr>
          <w:spacing w:val="-13"/>
        </w:rPr>
        <w:t> </w:t>
      </w:r>
      <w:r>
        <w:rPr/>
        <w:t>significant</w:t>
      </w:r>
      <w:r>
        <w:rPr>
          <w:spacing w:val="-12"/>
        </w:rPr>
        <w:t> </w:t>
      </w:r>
      <w:r>
        <w:rPr/>
        <w:t>opportunity</w:t>
      </w:r>
      <w:r>
        <w:rPr>
          <w:spacing w:val="-13"/>
        </w:rPr>
        <w:t> </w:t>
      </w:r>
      <w:r>
        <w:rPr/>
        <w:t>to</w:t>
      </w:r>
      <w:r>
        <w:rPr>
          <w:spacing w:val="-12"/>
        </w:rPr>
        <w:t> </w:t>
      </w:r>
      <w:r>
        <w:rPr/>
        <w:t>address</w:t>
      </w:r>
      <w:r>
        <w:rPr>
          <w:spacing w:val="-13"/>
        </w:rPr>
        <w:t> </w:t>
      </w:r>
      <w:r>
        <w:rPr/>
        <w:t>these</w:t>
      </w:r>
      <w:r>
        <w:rPr>
          <w:spacing w:val="-12"/>
        </w:rPr>
        <w:t> </w:t>
      </w:r>
      <w:r>
        <w:rPr/>
        <w:t>challenges</w:t>
      </w:r>
      <w:r>
        <w:rPr>
          <w:spacing w:val="-13"/>
        </w:rPr>
        <w:t> </w:t>
      </w:r>
      <w:r>
        <w:rPr/>
        <w:t>and</w:t>
      </w:r>
      <w:r>
        <w:rPr>
          <w:spacing w:val="-12"/>
        </w:rPr>
        <w:t> </w:t>
      </w:r>
      <w:r>
        <w:rPr/>
        <w:t>help</w:t>
      </w:r>
      <w:r>
        <w:rPr>
          <w:spacing w:val="-13"/>
        </w:rPr>
        <w:t> </w:t>
      </w:r>
      <w:r>
        <w:rPr/>
        <w:t>customers</w:t>
      </w:r>
      <w:r>
        <w:rPr>
          <w:spacing w:val="-12"/>
        </w:rPr>
        <w:t> </w:t>
      </w:r>
      <w:r>
        <w:rPr/>
        <w:t>transform</w:t>
      </w:r>
      <w:r>
        <w:rPr>
          <w:spacing w:val="-13"/>
        </w:rPr>
        <w:t> </w:t>
      </w:r>
      <w:r>
        <w:rPr/>
        <w:t>their</w:t>
      </w:r>
      <w:r>
        <w:rPr>
          <w:spacing w:val="-12"/>
        </w:rPr>
        <w:t> </w:t>
      </w:r>
      <w:r>
        <w:rPr/>
        <w:t>businesses.</w:t>
      </w:r>
      <w:r>
        <w:rPr>
          <w:spacing w:val="-13"/>
        </w:rPr>
        <w:t> </w:t>
      </w:r>
      <w:r>
        <w:rPr/>
        <w:t>The </w:t>
      </w:r>
      <w:r>
        <w:rPr>
          <w:spacing w:val="-2"/>
        </w:rPr>
        <w:t>world’s leading brands are increasingly steering their marketing, advertising, and development budgets toward digital experiences. </w:t>
      </w:r>
      <w:r>
        <w:rPr/>
        <w:t>As</w:t>
      </w:r>
      <w:r>
        <w:rPr>
          <w:spacing w:val="-7"/>
        </w:rPr>
        <w:t> </w:t>
      </w:r>
      <w:r>
        <w:rPr/>
        <w:t>enterprises</w:t>
      </w:r>
      <w:r>
        <w:rPr>
          <w:spacing w:val="-6"/>
        </w:rPr>
        <w:t> </w:t>
      </w:r>
      <w:r>
        <w:rPr/>
        <w:t>make</w:t>
      </w:r>
      <w:r>
        <w:rPr>
          <w:spacing w:val="-7"/>
        </w:rPr>
        <w:t> </w:t>
      </w:r>
      <w:r>
        <w:rPr/>
        <w:t>this</w:t>
      </w:r>
      <w:r>
        <w:rPr>
          <w:spacing w:val="-7"/>
        </w:rPr>
        <w:t> </w:t>
      </w:r>
      <w:r>
        <w:rPr/>
        <w:t>move</w:t>
      </w:r>
      <w:r>
        <w:rPr>
          <w:spacing w:val="-7"/>
        </w:rPr>
        <w:t> </w:t>
      </w:r>
      <w:r>
        <w:rPr/>
        <w:t>to</w:t>
      </w:r>
      <w:r>
        <w:rPr>
          <w:spacing w:val="-7"/>
        </w:rPr>
        <w:t> </w:t>
      </w:r>
      <w:r>
        <w:rPr/>
        <w:t>digital,</w:t>
      </w:r>
      <w:r>
        <w:rPr>
          <w:spacing w:val="-7"/>
        </w:rPr>
        <w:t> </w:t>
      </w:r>
      <w:r>
        <w:rPr/>
        <w:t>our</w:t>
      </w:r>
      <w:r>
        <w:rPr>
          <w:spacing w:val="-7"/>
        </w:rPr>
        <w:t> </w:t>
      </w:r>
      <w:r>
        <w:rPr/>
        <w:t>opportunity</w:t>
      </w:r>
      <w:r>
        <w:rPr>
          <w:spacing w:val="-7"/>
        </w:rPr>
        <w:t> </w:t>
      </w:r>
      <w:r>
        <w:rPr/>
        <w:t>is</w:t>
      </w:r>
      <w:r>
        <w:rPr>
          <w:spacing w:val="-7"/>
        </w:rPr>
        <w:t> </w:t>
      </w:r>
      <w:r>
        <w:rPr/>
        <w:t>accelerating</w:t>
      </w:r>
      <w:r>
        <w:rPr>
          <w:spacing w:val="-7"/>
        </w:rPr>
        <w:t> </w:t>
      </w:r>
      <w:r>
        <w:rPr/>
        <w:t>as</w:t>
      </w:r>
      <w:r>
        <w:rPr>
          <w:spacing w:val="-7"/>
        </w:rPr>
        <w:t> </w:t>
      </w:r>
      <w:r>
        <w:rPr/>
        <w:t>customers</w:t>
      </w:r>
      <w:r>
        <w:rPr>
          <w:spacing w:val="-7"/>
        </w:rPr>
        <w:t> </w:t>
      </w:r>
      <w:r>
        <w:rPr/>
        <w:t>look</w:t>
      </w:r>
      <w:r>
        <w:rPr>
          <w:spacing w:val="-7"/>
        </w:rPr>
        <w:t> </w:t>
      </w:r>
      <w:r>
        <w:rPr/>
        <w:t>for</w:t>
      </w:r>
      <w:r>
        <w:rPr>
          <w:spacing w:val="-7"/>
        </w:rPr>
        <w:t> </w:t>
      </w:r>
      <w:r>
        <w:rPr/>
        <w:t>vendors</w:t>
      </w:r>
      <w:r>
        <w:rPr>
          <w:spacing w:val="-7"/>
        </w:rPr>
        <w:t> </w:t>
      </w:r>
      <w:r>
        <w:rPr/>
        <w:t>to</w:t>
      </w:r>
      <w:r>
        <w:rPr>
          <w:spacing w:val="-7"/>
        </w:rPr>
        <w:t> </w:t>
      </w:r>
      <w:r>
        <w:rPr/>
        <w:t>help</w:t>
      </w:r>
      <w:r>
        <w:rPr>
          <w:spacing w:val="-7"/>
        </w:rPr>
        <w:t> </w:t>
      </w:r>
      <w:r>
        <w:rPr/>
        <w:t>them</w:t>
      </w:r>
      <w:r>
        <w:rPr>
          <w:spacing w:val="-7"/>
        </w:rPr>
        <w:t> </w:t>
      </w:r>
      <w:r>
        <w:rPr/>
        <w:t>navigate</w:t>
      </w:r>
      <w:r>
        <w:rPr>
          <w:spacing w:val="-7"/>
        </w:rPr>
        <w:t> </w:t>
      </w:r>
      <w:r>
        <w:rPr/>
        <w:t>this transition.</w:t>
      </w:r>
      <w:r>
        <w:rPr>
          <w:spacing w:val="-6"/>
        </w:rPr>
        <w:t> </w:t>
      </w:r>
      <w:r>
        <w:rPr/>
        <w:t>Enterprises</w:t>
      </w:r>
      <w:r>
        <w:rPr>
          <w:spacing w:val="-5"/>
        </w:rPr>
        <w:t> </w:t>
      </w:r>
      <w:r>
        <w:rPr/>
        <w:t>need</w:t>
      </w:r>
      <w:r>
        <w:rPr>
          <w:spacing w:val="-6"/>
        </w:rPr>
        <w:t> </w:t>
      </w:r>
      <w:r>
        <w:rPr/>
        <w:t>to</w:t>
      </w:r>
      <w:r>
        <w:rPr>
          <w:spacing w:val="-6"/>
        </w:rPr>
        <w:t> </w:t>
      </w:r>
      <w:r>
        <w:rPr/>
        <w:t>ensure</w:t>
      </w:r>
      <w:r>
        <w:rPr>
          <w:spacing w:val="-6"/>
        </w:rPr>
        <w:t> </w:t>
      </w:r>
      <w:r>
        <w:rPr/>
        <w:t>they</w:t>
      </w:r>
      <w:r>
        <w:rPr>
          <w:spacing w:val="-6"/>
        </w:rPr>
        <w:t> </w:t>
      </w:r>
      <w:r>
        <w:rPr/>
        <w:t>deliver</w:t>
      </w:r>
      <w:r>
        <w:rPr>
          <w:spacing w:val="-6"/>
        </w:rPr>
        <w:t> </w:t>
      </w:r>
      <w:r>
        <w:rPr/>
        <w:t>meaningful</w:t>
      </w:r>
      <w:r>
        <w:rPr>
          <w:spacing w:val="-6"/>
        </w:rPr>
        <w:t> </w:t>
      </w:r>
      <w:r>
        <w:rPr/>
        <w:t>experiences</w:t>
      </w:r>
      <w:r>
        <w:rPr>
          <w:spacing w:val="-6"/>
        </w:rPr>
        <w:t> </w:t>
      </w:r>
      <w:r>
        <w:rPr/>
        <w:t>to</w:t>
      </w:r>
      <w:r>
        <w:rPr>
          <w:spacing w:val="-6"/>
        </w:rPr>
        <w:t> </w:t>
      </w:r>
      <w:r>
        <w:rPr/>
        <w:t>their</w:t>
      </w:r>
      <w:r>
        <w:rPr>
          <w:spacing w:val="-6"/>
        </w:rPr>
        <w:t> </w:t>
      </w:r>
      <w:r>
        <w:rPr/>
        <w:t>consumers</w:t>
      </w:r>
      <w:r>
        <w:rPr>
          <w:spacing w:val="-6"/>
        </w:rPr>
        <w:t> </w:t>
      </w:r>
      <w:r>
        <w:rPr/>
        <w:t>across</w:t>
      </w:r>
      <w:r>
        <w:rPr>
          <w:spacing w:val="-6"/>
        </w:rPr>
        <w:t> </w:t>
      </w:r>
      <w:r>
        <w:rPr/>
        <w:t>digital</w:t>
      </w:r>
      <w:r>
        <w:rPr>
          <w:spacing w:val="-6"/>
        </w:rPr>
        <w:t> </w:t>
      </w:r>
      <w:r>
        <w:rPr/>
        <w:t>channels</w:t>
      </w:r>
      <w:r>
        <w:rPr>
          <w:spacing w:val="-6"/>
        </w:rPr>
        <w:t> </w:t>
      </w:r>
      <w:r>
        <w:rPr/>
        <w:t>and</w:t>
      </w:r>
      <w:r>
        <w:rPr>
          <w:spacing w:val="-6"/>
        </w:rPr>
        <w:t> </w:t>
      </w:r>
      <w:r>
        <w:rPr/>
        <w:t>in</w:t>
      </w:r>
      <w:r>
        <w:rPr>
          <w:spacing w:val="-6"/>
        </w:rPr>
        <w:t> </w:t>
      </w:r>
      <w:r>
        <w:rPr/>
        <w:t>areas such as sales, support, and product interactions where consumers expect experiences to be consistent and personalized.</w:t>
      </w:r>
    </w:p>
    <w:p>
      <w:pPr>
        <w:pStyle w:val="BodyText"/>
        <w:spacing w:line="249" w:lineRule="auto" w:before="164"/>
        <w:ind w:left="210" w:right="257" w:firstLine="540"/>
        <w:jc w:val="both"/>
      </w:pPr>
      <w:r>
        <w:rPr>
          <w:spacing w:val="-2"/>
        </w:rPr>
        <w:t>Our</w:t>
      </w:r>
      <w:r>
        <w:rPr>
          <w:spacing w:val="-11"/>
        </w:rPr>
        <w:t> </w:t>
      </w:r>
      <w:r>
        <w:rPr>
          <w:spacing w:val="-2"/>
        </w:rPr>
        <w:t>Experience</w:t>
      </w:r>
      <w:r>
        <w:rPr>
          <w:spacing w:val="-10"/>
        </w:rPr>
        <w:t> </w:t>
      </w:r>
      <w:r>
        <w:rPr>
          <w:spacing w:val="-2"/>
        </w:rPr>
        <w:t>Cloud</w:t>
      </w:r>
      <w:r>
        <w:rPr>
          <w:spacing w:val="-11"/>
        </w:rPr>
        <w:t> </w:t>
      </w:r>
      <w:r>
        <w:rPr>
          <w:spacing w:val="-2"/>
        </w:rPr>
        <w:t>business</w:t>
      </w:r>
      <w:r>
        <w:rPr>
          <w:spacing w:val="-9"/>
        </w:rPr>
        <w:t> </w:t>
      </w:r>
      <w:r>
        <w:rPr>
          <w:spacing w:val="-2"/>
        </w:rPr>
        <w:t>targets</w:t>
      </w:r>
      <w:r>
        <w:rPr>
          <w:spacing w:val="-10"/>
        </w:rPr>
        <w:t> </w:t>
      </w:r>
      <w:r>
        <w:rPr>
          <w:spacing w:val="-2"/>
        </w:rPr>
        <w:t>this</w:t>
      </w:r>
      <w:r>
        <w:rPr>
          <w:spacing w:val="-11"/>
        </w:rPr>
        <w:t> </w:t>
      </w:r>
      <w:r>
        <w:rPr>
          <w:spacing w:val="-2"/>
        </w:rPr>
        <w:t>large</w:t>
      </w:r>
      <w:r>
        <w:rPr>
          <w:spacing w:val="-10"/>
        </w:rPr>
        <w:t> </w:t>
      </w:r>
      <w:r>
        <w:rPr>
          <w:spacing w:val="-2"/>
        </w:rPr>
        <w:t>and</w:t>
      </w:r>
      <w:r>
        <w:rPr>
          <w:spacing w:val="-11"/>
        </w:rPr>
        <w:t> </w:t>
      </w:r>
      <w:r>
        <w:rPr>
          <w:spacing w:val="-2"/>
        </w:rPr>
        <w:t>growing</w:t>
      </w:r>
      <w:r>
        <w:rPr>
          <w:spacing w:val="-10"/>
        </w:rPr>
        <w:t> </w:t>
      </w:r>
      <w:r>
        <w:rPr>
          <w:spacing w:val="-2"/>
        </w:rPr>
        <w:t>opportunity</w:t>
      </w:r>
      <w:r>
        <w:rPr>
          <w:spacing w:val="-11"/>
        </w:rPr>
        <w:t> </w:t>
      </w:r>
      <w:r>
        <w:rPr>
          <w:spacing w:val="-2"/>
        </w:rPr>
        <w:t>by</w:t>
      </w:r>
      <w:r>
        <w:rPr>
          <w:spacing w:val="-10"/>
        </w:rPr>
        <w:t> </w:t>
      </w:r>
      <w:r>
        <w:rPr>
          <w:spacing w:val="-2"/>
        </w:rPr>
        <w:t>providing</w:t>
      </w:r>
      <w:r>
        <w:rPr>
          <w:spacing w:val="-11"/>
        </w:rPr>
        <w:t> </w:t>
      </w:r>
      <w:r>
        <w:rPr>
          <w:spacing w:val="-2"/>
        </w:rPr>
        <w:t>comprehensive</w:t>
      </w:r>
      <w:r>
        <w:rPr>
          <w:spacing w:val="-10"/>
        </w:rPr>
        <w:t> </w:t>
      </w:r>
      <w:r>
        <w:rPr>
          <w:spacing w:val="-2"/>
        </w:rPr>
        <w:t>solutions</w:t>
      </w:r>
      <w:r>
        <w:rPr>
          <w:spacing w:val="-11"/>
        </w:rPr>
        <w:t> </w:t>
      </w:r>
      <w:r>
        <w:rPr>
          <w:spacing w:val="-2"/>
        </w:rPr>
        <w:t>that</w:t>
      </w:r>
      <w:r>
        <w:rPr>
          <w:spacing w:val="-10"/>
        </w:rPr>
        <w:t> </w:t>
      </w:r>
      <w:r>
        <w:rPr>
          <w:spacing w:val="-2"/>
        </w:rPr>
        <w:t>include </w:t>
      </w:r>
      <w:r>
        <w:rPr/>
        <w:t>analytics, targeting, advertising optimization, digital experience management, cross-channel campaign management, </w:t>
      </w:r>
      <w:r>
        <w:rPr/>
        <w:t>audience </w:t>
      </w:r>
      <w:r>
        <w:rPr>
          <w:spacing w:val="-2"/>
        </w:rPr>
        <w:t>management, premium video delivery and monetization.</w:t>
      </w:r>
      <w:r>
        <w:rPr>
          <w:spacing w:val="-4"/>
        </w:rPr>
        <w:t> </w:t>
      </w:r>
      <w:r>
        <w:rPr>
          <w:spacing w:val="-2"/>
        </w:rPr>
        <w:t>These comprehensive solutions enable marketers to measure, personalize </w:t>
      </w:r>
      <w:r>
        <w:rPr/>
        <w:t>and optimize digital experiences across channels for optimal performance.</w:t>
      </w:r>
    </w:p>
    <w:p>
      <w:pPr>
        <w:pStyle w:val="BodyText"/>
        <w:spacing w:line="249" w:lineRule="auto" w:before="164"/>
        <w:ind w:left="210" w:right="258" w:firstLine="540"/>
        <w:jc w:val="both"/>
      </w:pPr>
      <w:r>
        <w:rPr/>
        <w:t>We believe the market for Experience Cloud is rapidly expanding, and industry analysts predict more advertising dollars will be spent in digital than in traditional media in the future.</w:t>
      </w:r>
    </w:p>
    <w:p>
      <w:pPr>
        <w:spacing w:before="161"/>
        <w:ind w:left="210" w:right="0" w:firstLine="0"/>
        <w:jc w:val="left"/>
        <w:rPr>
          <w:i/>
          <w:sz w:val="20"/>
        </w:rPr>
      </w:pPr>
      <w:r>
        <w:rPr>
          <w:i/>
          <w:sz w:val="20"/>
        </w:rPr>
        <w:t>Digital</w:t>
      </w:r>
      <w:r>
        <w:rPr>
          <w:i/>
          <w:spacing w:val="-1"/>
          <w:sz w:val="20"/>
        </w:rPr>
        <w:t> </w:t>
      </w:r>
      <w:r>
        <w:rPr>
          <w:i/>
          <w:sz w:val="20"/>
        </w:rPr>
        <w:t>Experience</w:t>
      </w:r>
      <w:r>
        <w:rPr>
          <w:i/>
          <w:spacing w:val="-1"/>
          <w:sz w:val="20"/>
        </w:rPr>
        <w:t> </w:t>
      </w:r>
      <w:r>
        <w:rPr>
          <w:i/>
          <w:spacing w:val="-2"/>
          <w:sz w:val="20"/>
        </w:rPr>
        <w:t>Strategy</w:t>
      </w:r>
    </w:p>
    <w:p>
      <w:pPr>
        <w:pStyle w:val="BodyText"/>
        <w:spacing w:line="249" w:lineRule="auto" w:before="190"/>
        <w:ind w:left="210" w:right="257" w:firstLine="540"/>
        <w:jc w:val="both"/>
      </w:pPr>
      <w:r>
        <w:rPr/>
        <w:t>Our goal is to be the leading provider of solutions that enable our customers to provide exceptional digital experiences. Our integrated cloud-based solutions enable enterprises to build personalized campaigns, manage advertising, and gain deep intelligence about their customers.</w:t>
      </w:r>
      <w:r>
        <w:rPr>
          <w:spacing w:val="40"/>
        </w:rPr>
        <w:t> </w:t>
      </w:r>
      <w:r>
        <w:rPr/>
        <w:t>Our content and data platform provides differentiation and competitive advantage.</w:t>
      </w:r>
    </w:p>
    <w:p>
      <w:pPr>
        <w:pStyle w:val="BodyText"/>
        <w:spacing w:line="249" w:lineRule="auto" w:before="163"/>
        <w:ind w:left="210" w:right="257" w:firstLine="540"/>
        <w:jc w:val="both"/>
      </w:pPr>
      <w:r>
        <w:rPr/>
        <w:t>In</w:t>
      </w:r>
      <w:r>
        <w:rPr>
          <w:spacing w:val="-9"/>
        </w:rPr>
        <w:t> </w:t>
      </w:r>
      <w:r>
        <w:rPr/>
        <w:t>March</w:t>
      </w:r>
      <w:r>
        <w:rPr>
          <w:spacing w:val="-6"/>
        </w:rPr>
        <w:t> </w:t>
      </w:r>
      <w:r>
        <w:rPr/>
        <w:t>2017,</w:t>
      </w:r>
      <w:r>
        <w:rPr>
          <w:spacing w:val="-6"/>
        </w:rPr>
        <w:t> </w:t>
      </w:r>
      <w:r>
        <w:rPr/>
        <w:t>we</w:t>
      </w:r>
      <w:r>
        <w:rPr>
          <w:spacing w:val="-6"/>
        </w:rPr>
        <w:t> </w:t>
      </w:r>
      <w:r>
        <w:rPr/>
        <w:t>migrated</w:t>
      </w:r>
      <w:r>
        <w:rPr>
          <w:spacing w:val="-6"/>
        </w:rPr>
        <w:t> </w:t>
      </w:r>
      <w:r>
        <w:rPr/>
        <w:t>our</w:t>
      </w:r>
      <w:r>
        <w:rPr>
          <w:spacing w:val="-6"/>
        </w:rPr>
        <w:t> </w:t>
      </w:r>
      <w:r>
        <w:rPr/>
        <w:t>hierarchy</w:t>
      </w:r>
      <w:r>
        <w:rPr>
          <w:spacing w:val="-6"/>
        </w:rPr>
        <w:t> </w:t>
      </w:r>
      <w:r>
        <w:rPr/>
        <w:t>of</w:t>
      </w:r>
      <w:r>
        <w:rPr>
          <w:spacing w:val="-6"/>
        </w:rPr>
        <w:t> </w:t>
      </w:r>
      <w:r>
        <w:rPr/>
        <w:t>solutions</w:t>
      </w:r>
      <w:r>
        <w:rPr>
          <w:spacing w:val="-6"/>
        </w:rPr>
        <w:t> </w:t>
      </w:r>
      <w:r>
        <w:rPr/>
        <w:t>under</w:t>
      </w:r>
      <w:r>
        <w:rPr>
          <w:spacing w:val="-6"/>
        </w:rPr>
        <w:t> </w:t>
      </w:r>
      <w:r>
        <w:rPr/>
        <w:t>what</w:t>
      </w:r>
      <w:r>
        <w:rPr>
          <w:spacing w:val="-6"/>
        </w:rPr>
        <w:t> </w:t>
      </w:r>
      <w:r>
        <w:rPr/>
        <w:t>was</w:t>
      </w:r>
      <w:r>
        <w:rPr>
          <w:spacing w:val="-6"/>
        </w:rPr>
        <w:t> </w:t>
      </w:r>
      <w:r>
        <w:rPr/>
        <w:t>formerly</w:t>
      </w:r>
      <w:r>
        <w:rPr>
          <w:spacing w:val="-6"/>
        </w:rPr>
        <w:t> </w:t>
      </w:r>
      <w:r>
        <w:rPr/>
        <w:t>known</w:t>
      </w:r>
      <w:r>
        <w:rPr>
          <w:spacing w:val="-6"/>
        </w:rPr>
        <w:t> </w:t>
      </w:r>
      <w:r>
        <w:rPr/>
        <w:t>as</w:t>
      </w:r>
      <w:r>
        <w:rPr>
          <w:spacing w:val="-13"/>
        </w:rPr>
        <w:t> </w:t>
      </w:r>
      <w:r>
        <w:rPr/>
        <w:t>Adobe</w:t>
      </w:r>
      <w:r>
        <w:rPr>
          <w:spacing w:val="-5"/>
        </w:rPr>
        <w:t> </w:t>
      </w:r>
      <w:r>
        <w:rPr/>
        <w:t>Marketing</w:t>
      </w:r>
      <w:r>
        <w:rPr>
          <w:spacing w:val="-6"/>
        </w:rPr>
        <w:t> </w:t>
      </w:r>
      <w:r>
        <w:rPr/>
        <w:t>Cloud</w:t>
      </w:r>
      <w:r>
        <w:rPr>
          <w:spacing w:val="-6"/>
        </w:rPr>
        <w:t> </w:t>
      </w:r>
      <w:r>
        <w:rPr/>
        <w:t>to</w:t>
      </w:r>
      <w:r>
        <w:rPr>
          <w:spacing w:val="-6"/>
        </w:rPr>
        <w:t> </w:t>
      </w:r>
      <w:r>
        <w:rPr/>
        <w:t>our next generation offering referred to as Adobe Experience Cloud.</w:t>
      </w:r>
    </w:p>
    <w:p>
      <w:pPr>
        <w:pStyle w:val="BodyText"/>
        <w:spacing w:before="161"/>
        <w:ind w:left="750"/>
      </w:pPr>
      <w:r>
        <w:rPr/>
        <w:t>Adobe</w:t>
      </w:r>
      <w:r>
        <w:rPr>
          <w:spacing w:val="-2"/>
        </w:rPr>
        <w:t> </w:t>
      </w:r>
      <w:r>
        <w:rPr/>
        <w:t>Experience</w:t>
      </w:r>
      <w:r>
        <w:rPr>
          <w:spacing w:val="-2"/>
        </w:rPr>
        <w:t> </w:t>
      </w:r>
      <w:r>
        <w:rPr/>
        <w:t>Cloud</w:t>
      </w:r>
      <w:r>
        <w:rPr>
          <w:spacing w:val="-1"/>
        </w:rPr>
        <w:t> </w:t>
      </w:r>
      <w:r>
        <w:rPr/>
        <w:t>consists</w:t>
      </w:r>
      <w:r>
        <w:rPr>
          <w:spacing w:val="-1"/>
        </w:rPr>
        <w:t> </w:t>
      </w:r>
      <w:r>
        <w:rPr/>
        <w:t>of</w:t>
      </w:r>
      <w:r>
        <w:rPr>
          <w:spacing w:val="-1"/>
        </w:rPr>
        <w:t> </w:t>
      </w:r>
      <w:r>
        <w:rPr/>
        <w:t>the</w:t>
      </w:r>
      <w:r>
        <w:rPr>
          <w:spacing w:val="-1"/>
        </w:rPr>
        <w:t> </w:t>
      </w:r>
      <w:r>
        <w:rPr/>
        <w:t>following</w:t>
      </w:r>
      <w:r>
        <w:rPr>
          <w:spacing w:val="-2"/>
        </w:rPr>
        <w:t> </w:t>
      </w:r>
      <w:r>
        <w:rPr/>
        <w:t>cloud </w:t>
      </w:r>
      <w:r>
        <w:rPr>
          <w:spacing w:val="-2"/>
        </w:rPr>
        <w:t>offerings:</w:t>
      </w:r>
    </w:p>
    <w:p>
      <w:pPr>
        <w:pStyle w:val="ListParagraph"/>
        <w:numPr>
          <w:ilvl w:val="0"/>
          <w:numId w:val="1"/>
        </w:numPr>
        <w:tabs>
          <w:tab w:pos="1290" w:val="left" w:leader="none"/>
        </w:tabs>
        <w:spacing w:line="249" w:lineRule="auto" w:before="171" w:after="0"/>
        <w:ind w:left="1290" w:right="257" w:hanging="360"/>
        <w:jc w:val="both"/>
        <w:rPr>
          <w:sz w:val="20"/>
        </w:rPr>
      </w:pPr>
      <w:r>
        <w:rPr>
          <w:sz w:val="20"/>
        </w:rPr>
        <w:t>Adobe Marketing Cloud—provides an integrated set of solutions to help marketers differentiate their brands and engage</w:t>
      </w:r>
      <w:r>
        <w:rPr>
          <w:spacing w:val="-11"/>
          <w:sz w:val="20"/>
        </w:rPr>
        <w:t> </w:t>
      </w:r>
      <w:r>
        <w:rPr>
          <w:sz w:val="20"/>
        </w:rPr>
        <w:t>their</w:t>
      </w:r>
      <w:r>
        <w:rPr>
          <w:spacing w:val="-11"/>
          <w:sz w:val="20"/>
        </w:rPr>
        <w:t> </w:t>
      </w:r>
      <w:r>
        <w:rPr>
          <w:sz w:val="20"/>
        </w:rPr>
        <w:t>customers,</w:t>
      </w:r>
      <w:r>
        <w:rPr>
          <w:spacing w:val="-11"/>
          <w:sz w:val="20"/>
        </w:rPr>
        <w:t> </w:t>
      </w:r>
      <w:r>
        <w:rPr>
          <w:sz w:val="20"/>
        </w:rPr>
        <w:t>helping</w:t>
      </w:r>
      <w:r>
        <w:rPr>
          <w:spacing w:val="-11"/>
          <w:sz w:val="20"/>
        </w:rPr>
        <w:t> </w:t>
      </w:r>
      <w:r>
        <w:rPr>
          <w:sz w:val="20"/>
        </w:rPr>
        <w:t>businesses</w:t>
      </w:r>
      <w:r>
        <w:rPr>
          <w:spacing w:val="-11"/>
          <w:sz w:val="20"/>
        </w:rPr>
        <w:t> </w:t>
      </w:r>
      <w:r>
        <w:rPr>
          <w:sz w:val="20"/>
        </w:rPr>
        <w:t>manage,</w:t>
      </w:r>
      <w:r>
        <w:rPr>
          <w:spacing w:val="-11"/>
          <w:sz w:val="20"/>
        </w:rPr>
        <w:t> </w:t>
      </w:r>
      <w:r>
        <w:rPr>
          <w:sz w:val="20"/>
        </w:rPr>
        <w:t>personalize,</w:t>
      </w:r>
      <w:r>
        <w:rPr>
          <w:spacing w:val="-11"/>
          <w:sz w:val="20"/>
        </w:rPr>
        <w:t> </w:t>
      </w:r>
      <w:r>
        <w:rPr>
          <w:sz w:val="20"/>
        </w:rPr>
        <w:t>and</w:t>
      </w:r>
      <w:r>
        <w:rPr>
          <w:spacing w:val="-11"/>
          <w:sz w:val="20"/>
        </w:rPr>
        <w:t> </w:t>
      </w:r>
      <w:r>
        <w:rPr>
          <w:sz w:val="20"/>
        </w:rPr>
        <w:t>orchestrate</w:t>
      </w:r>
      <w:r>
        <w:rPr>
          <w:spacing w:val="-11"/>
          <w:sz w:val="20"/>
        </w:rPr>
        <w:t> </w:t>
      </w:r>
      <w:r>
        <w:rPr>
          <w:sz w:val="20"/>
        </w:rPr>
        <w:t>campaigns</w:t>
      </w:r>
      <w:r>
        <w:rPr>
          <w:spacing w:val="-11"/>
          <w:sz w:val="20"/>
        </w:rPr>
        <w:t> </w:t>
      </w:r>
      <w:r>
        <w:rPr>
          <w:sz w:val="20"/>
        </w:rPr>
        <w:t>and</w:t>
      </w:r>
      <w:r>
        <w:rPr>
          <w:spacing w:val="-11"/>
          <w:sz w:val="20"/>
        </w:rPr>
        <w:t> </w:t>
      </w:r>
      <w:r>
        <w:rPr>
          <w:sz w:val="20"/>
        </w:rPr>
        <w:t>customer</w:t>
      </w:r>
      <w:r>
        <w:rPr>
          <w:spacing w:val="-11"/>
          <w:sz w:val="20"/>
        </w:rPr>
        <w:t> </w:t>
      </w:r>
      <w:r>
        <w:rPr>
          <w:sz w:val="20"/>
        </w:rPr>
        <w:t>journeys; includes</w:t>
      </w:r>
      <w:r>
        <w:rPr>
          <w:spacing w:val="-1"/>
          <w:sz w:val="20"/>
        </w:rPr>
        <w:t> </w:t>
      </w:r>
      <w:r>
        <w:rPr>
          <w:sz w:val="20"/>
        </w:rPr>
        <w:t>Adobe Experience Manager (“AEM”),</w:t>
      </w:r>
      <w:r>
        <w:rPr>
          <w:spacing w:val="-1"/>
          <w:sz w:val="20"/>
        </w:rPr>
        <w:t> </w:t>
      </w:r>
      <w:r>
        <w:rPr>
          <w:sz w:val="20"/>
        </w:rPr>
        <w:t>Adobe Campaign,</w:t>
      </w:r>
      <w:r>
        <w:rPr>
          <w:spacing w:val="-2"/>
          <w:sz w:val="20"/>
        </w:rPr>
        <w:t> </w:t>
      </w:r>
      <w:r>
        <w:rPr>
          <w:sz w:val="20"/>
        </w:rPr>
        <w:t>Adobe Target and</w:t>
      </w:r>
      <w:r>
        <w:rPr>
          <w:spacing w:val="-1"/>
          <w:sz w:val="20"/>
        </w:rPr>
        <w:t> </w:t>
      </w:r>
      <w:r>
        <w:rPr>
          <w:sz w:val="20"/>
        </w:rPr>
        <w:t>Adobe Primetime.</w:t>
      </w:r>
    </w:p>
    <w:p>
      <w:pPr>
        <w:pStyle w:val="ListParagraph"/>
        <w:numPr>
          <w:ilvl w:val="0"/>
          <w:numId w:val="1"/>
        </w:numPr>
        <w:tabs>
          <w:tab w:pos="1290" w:val="left" w:leader="none"/>
        </w:tabs>
        <w:spacing w:line="249" w:lineRule="auto" w:before="162" w:after="0"/>
        <w:ind w:left="1290" w:right="257" w:hanging="360"/>
        <w:jc w:val="both"/>
        <w:rPr>
          <w:sz w:val="20"/>
        </w:rPr>
      </w:pPr>
      <w:r>
        <w:rPr>
          <w:sz w:val="20"/>
        </w:rPr>
        <w:t>Adobe</w:t>
      </w:r>
      <w:r>
        <w:rPr>
          <w:spacing w:val="-9"/>
          <w:sz w:val="20"/>
        </w:rPr>
        <w:t> </w:t>
      </w:r>
      <w:r>
        <w:rPr>
          <w:sz w:val="20"/>
        </w:rPr>
        <w:t>Analytics Cloud—enables businesses to move from insights to actions in real time by uniquely integrating audiences</w:t>
      </w:r>
      <w:r>
        <w:rPr>
          <w:spacing w:val="-13"/>
          <w:sz w:val="20"/>
        </w:rPr>
        <w:t> </w:t>
      </w:r>
      <w:r>
        <w:rPr>
          <w:sz w:val="20"/>
        </w:rPr>
        <w:t>as</w:t>
      </w:r>
      <w:r>
        <w:rPr>
          <w:spacing w:val="-12"/>
          <w:sz w:val="20"/>
        </w:rPr>
        <w:t> </w:t>
      </w:r>
      <w:r>
        <w:rPr>
          <w:sz w:val="20"/>
        </w:rPr>
        <w:t>the</w:t>
      </w:r>
      <w:r>
        <w:rPr>
          <w:spacing w:val="-12"/>
          <w:sz w:val="20"/>
        </w:rPr>
        <w:t> </w:t>
      </w:r>
      <w:r>
        <w:rPr>
          <w:sz w:val="20"/>
        </w:rPr>
        <w:t>core</w:t>
      </w:r>
      <w:r>
        <w:rPr>
          <w:spacing w:val="-11"/>
          <w:sz w:val="20"/>
        </w:rPr>
        <w:t> </w:t>
      </w:r>
      <w:r>
        <w:rPr>
          <w:sz w:val="20"/>
        </w:rPr>
        <w:t>system</w:t>
      </w:r>
      <w:r>
        <w:rPr>
          <w:spacing w:val="-10"/>
          <w:sz w:val="20"/>
        </w:rPr>
        <w:t> </w:t>
      </w:r>
      <w:r>
        <w:rPr>
          <w:sz w:val="20"/>
        </w:rPr>
        <w:t>of</w:t>
      </w:r>
      <w:r>
        <w:rPr>
          <w:spacing w:val="-10"/>
          <w:sz w:val="20"/>
        </w:rPr>
        <w:t> </w:t>
      </w:r>
      <w:r>
        <w:rPr>
          <w:sz w:val="20"/>
        </w:rPr>
        <w:t>intelligence</w:t>
      </w:r>
      <w:r>
        <w:rPr>
          <w:spacing w:val="-11"/>
          <w:sz w:val="20"/>
        </w:rPr>
        <w:t> </w:t>
      </w:r>
      <w:r>
        <w:rPr>
          <w:sz w:val="20"/>
        </w:rPr>
        <w:t>for</w:t>
      </w:r>
      <w:r>
        <w:rPr>
          <w:spacing w:val="-10"/>
          <w:sz w:val="20"/>
        </w:rPr>
        <w:t> </w:t>
      </w:r>
      <w:r>
        <w:rPr>
          <w:sz w:val="20"/>
        </w:rPr>
        <w:t>the</w:t>
      </w:r>
      <w:r>
        <w:rPr>
          <w:spacing w:val="-10"/>
          <w:sz w:val="20"/>
        </w:rPr>
        <w:t> </w:t>
      </w:r>
      <w:r>
        <w:rPr>
          <w:sz w:val="20"/>
        </w:rPr>
        <w:t>enterprise;</w:t>
      </w:r>
      <w:r>
        <w:rPr>
          <w:spacing w:val="-11"/>
          <w:sz w:val="20"/>
        </w:rPr>
        <w:t> </w:t>
      </w:r>
      <w:r>
        <w:rPr>
          <w:sz w:val="20"/>
        </w:rPr>
        <w:t>makes</w:t>
      </w:r>
      <w:r>
        <w:rPr>
          <w:spacing w:val="-10"/>
          <w:sz w:val="20"/>
        </w:rPr>
        <w:t> </w:t>
      </w:r>
      <w:r>
        <w:rPr>
          <w:sz w:val="20"/>
        </w:rPr>
        <w:t>data</w:t>
      </w:r>
      <w:r>
        <w:rPr>
          <w:spacing w:val="-10"/>
          <w:sz w:val="20"/>
        </w:rPr>
        <w:t> </w:t>
      </w:r>
      <w:r>
        <w:rPr>
          <w:sz w:val="20"/>
        </w:rPr>
        <w:t>available</w:t>
      </w:r>
      <w:r>
        <w:rPr>
          <w:spacing w:val="-11"/>
          <w:sz w:val="20"/>
        </w:rPr>
        <w:t> </w:t>
      </w:r>
      <w:r>
        <w:rPr>
          <w:sz w:val="20"/>
        </w:rPr>
        <w:t>across</w:t>
      </w:r>
      <w:r>
        <w:rPr>
          <w:spacing w:val="-10"/>
          <w:sz w:val="20"/>
        </w:rPr>
        <w:t> </w:t>
      </w:r>
      <w:r>
        <w:rPr>
          <w:sz w:val="20"/>
        </w:rPr>
        <w:t>all</w:t>
      </w:r>
      <w:r>
        <w:rPr>
          <w:spacing w:val="-13"/>
          <w:sz w:val="20"/>
        </w:rPr>
        <w:t> </w:t>
      </w:r>
      <w:r>
        <w:rPr>
          <w:sz w:val="20"/>
        </w:rPr>
        <w:t>Adobe</w:t>
      </w:r>
      <w:r>
        <w:rPr>
          <w:spacing w:val="-10"/>
          <w:sz w:val="20"/>
        </w:rPr>
        <w:t> </w:t>
      </w:r>
      <w:r>
        <w:rPr>
          <w:sz w:val="20"/>
        </w:rPr>
        <w:t>clouds</w:t>
      </w:r>
      <w:r>
        <w:rPr>
          <w:spacing w:val="-10"/>
          <w:sz w:val="20"/>
        </w:rPr>
        <w:t> </w:t>
      </w:r>
      <w:r>
        <w:rPr>
          <w:sz w:val="20"/>
        </w:rPr>
        <w:t>through the capture, aggregation, rationalization and understanding of vast amounts of disparate data and then translating that data into singular customer profiles; includes</w:t>
      </w:r>
      <w:r>
        <w:rPr>
          <w:spacing w:val="-2"/>
          <w:sz w:val="20"/>
        </w:rPr>
        <w:t> </w:t>
      </w:r>
      <w:r>
        <w:rPr>
          <w:sz w:val="20"/>
        </w:rPr>
        <w:t>Adobe</w:t>
      </w:r>
      <w:r>
        <w:rPr>
          <w:spacing w:val="-3"/>
          <w:sz w:val="20"/>
        </w:rPr>
        <w:t> </w:t>
      </w:r>
      <w:r>
        <w:rPr>
          <w:sz w:val="20"/>
        </w:rPr>
        <w:t>Analytics and</w:t>
      </w:r>
      <w:r>
        <w:rPr>
          <w:spacing w:val="-2"/>
          <w:sz w:val="20"/>
        </w:rPr>
        <w:t> </w:t>
      </w:r>
      <w:r>
        <w:rPr>
          <w:sz w:val="20"/>
        </w:rPr>
        <w:t>Adobe</w:t>
      </w:r>
      <w:r>
        <w:rPr>
          <w:spacing w:val="-3"/>
          <w:sz w:val="20"/>
        </w:rPr>
        <w:t> </w:t>
      </w:r>
      <w:r>
        <w:rPr>
          <w:sz w:val="20"/>
        </w:rPr>
        <w:t>Audience Manager.</w:t>
      </w:r>
    </w:p>
    <w:p>
      <w:pPr>
        <w:pStyle w:val="ListParagraph"/>
        <w:numPr>
          <w:ilvl w:val="0"/>
          <w:numId w:val="1"/>
        </w:numPr>
        <w:tabs>
          <w:tab w:pos="1290" w:val="left" w:leader="none"/>
        </w:tabs>
        <w:spacing w:line="249" w:lineRule="auto" w:before="163" w:after="0"/>
        <w:ind w:left="1290" w:right="257" w:hanging="360"/>
        <w:jc w:val="both"/>
        <w:rPr>
          <w:sz w:val="20"/>
        </w:rPr>
      </w:pPr>
      <w:r>
        <w:rPr>
          <w:sz w:val="20"/>
        </w:rPr>
        <w:t>Adobe Advertising Cloud—delivers an end-to-end platform for managing advertising across traditional TV and digital formats, and simplifies the delivery of video, display and search advertising across channels and screens; combines capabilities from</w:t>
      </w:r>
      <w:r>
        <w:rPr>
          <w:spacing w:val="-6"/>
          <w:sz w:val="20"/>
        </w:rPr>
        <w:t> </w:t>
      </w:r>
      <w:r>
        <w:rPr>
          <w:sz w:val="20"/>
        </w:rPr>
        <w:t>Adobe Media Optimizer (“AMO”) and</w:t>
      </w:r>
      <w:r>
        <w:rPr>
          <w:spacing w:val="-6"/>
          <w:sz w:val="20"/>
        </w:rPr>
        <w:t> </w:t>
      </w:r>
      <w:r>
        <w:rPr>
          <w:sz w:val="20"/>
        </w:rPr>
        <w:t>Adobe’s acquisition of TubeMogul during the first quarter of fiscal 2017.</w:t>
      </w:r>
    </w:p>
    <w:p>
      <w:pPr>
        <w:pStyle w:val="BodyText"/>
        <w:spacing w:line="249" w:lineRule="auto" w:before="164"/>
        <w:ind w:left="210" w:right="257" w:firstLine="540"/>
        <w:jc w:val="both"/>
      </w:pPr>
      <w:r>
        <w:rPr/>
        <w:t>We</w:t>
      </w:r>
      <w:r>
        <w:rPr>
          <w:spacing w:val="-13"/>
        </w:rPr>
        <w:t> </w:t>
      </w:r>
      <w:r>
        <w:rPr/>
        <w:t>believe</w:t>
      </w:r>
      <w:r>
        <w:rPr>
          <w:spacing w:val="-12"/>
        </w:rPr>
        <w:t> </w:t>
      </w:r>
      <w:r>
        <w:rPr/>
        <w:t>the</w:t>
      </w:r>
      <w:r>
        <w:rPr>
          <w:spacing w:val="-13"/>
        </w:rPr>
        <w:t> </w:t>
      </w:r>
      <w:r>
        <w:rPr/>
        <w:t>artificial</w:t>
      </w:r>
      <w:r>
        <w:rPr>
          <w:spacing w:val="-12"/>
        </w:rPr>
        <w:t> </w:t>
      </w:r>
      <w:r>
        <w:rPr/>
        <w:t>intelligence</w:t>
      </w:r>
      <w:r>
        <w:rPr>
          <w:spacing w:val="-13"/>
        </w:rPr>
        <w:t> </w:t>
      </w:r>
      <w:r>
        <w:rPr/>
        <w:t>and</w:t>
      </w:r>
      <w:r>
        <w:rPr>
          <w:spacing w:val="-12"/>
        </w:rPr>
        <w:t> </w:t>
      </w:r>
      <w:r>
        <w:rPr/>
        <w:t>machine</w:t>
      </w:r>
      <w:r>
        <w:rPr>
          <w:spacing w:val="-13"/>
        </w:rPr>
        <w:t> </w:t>
      </w:r>
      <w:r>
        <w:rPr/>
        <w:t>learning</w:t>
      </w:r>
      <w:r>
        <w:rPr>
          <w:spacing w:val="-12"/>
        </w:rPr>
        <w:t> </w:t>
      </w:r>
      <w:r>
        <w:rPr/>
        <w:t>framework</w:t>
      </w:r>
      <w:r>
        <w:rPr>
          <w:spacing w:val="-13"/>
        </w:rPr>
        <w:t> </w:t>
      </w:r>
      <w:r>
        <w:rPr/>
        <w:t>enabled</w:t>
      </w:r>
      <w:r>
        <w:rPr>
          <w:spacing w:val="-12"/>
        </w:rPr>
        <w:t> </w:t>
      </w:r>
      <w:r>
        <w:rPr/>
        <w:t>by</w:t>
      </w:r>
      <w:r>
        <w:rPr>
          <w:spacing w:val="-13"/>
        </w:rPr>
        <w:t> </w:t>
      </w:r>
      <w:r>
        <w:rPr/>
        <w:t>our</w:t>
      </w:r>
      <w:r>
        <w:rPr>
          <w:spacing w:val="-12"/>
        </w:rPr>
        <w:t> </w:t>
      </w:r>
      <w:r>
        <w:rPr/>
        <w:t>strategy</w:t>
      </w:r>
      <w:r>
        <w:rPr>
          <w:spacing w:val="-13"/>
        </w:rPr>
        <w:t> </w:t>
      </w:r>
      <w:r>
        <w:rPr/>
        <w:t>with</w:t>
      </w:r>
      <w:r>
        <w:rPr>
          <w:spacing w:val="-12"/>
        </w:rPr>
        <w:t> </w:t>
      </w:r>
      <w:r>
        <w:rPr/>
        <w:t>Adobe</w:t>
      </w:r>
      <w:r>
        <w:rPr>
          <w:spacing w:val="-13"/>
        </w:rPr>
        <w:t> </w:t>
      </w:r>
      <w:r>
        <w:rPr/>
        <w:t>Sensei</w:t>
      </w:r>
      <w:r>
        <w:rPr>
          <w:spacing w:val="-12"/>
        </w:rPr>
        <w:t> </w:t>
      </w:r>
      <w:r>
        <w:rPr/>
        <w:t>enhances the</w:t>
      </w:r>
      <w:r>
        <w:rPr>
          <w:spacing w:val="-13"/>
        </w:rPr>
        <w:t> </w:t>
      </w:r>
      <w:r>
        <w:rPr/>
        <w:t>delivery</w:t>
      </w:r>
      <w:r>
        <w:rPr>
          <w:spacing w:val="-12"/>
        </w:rPr>
        <w:t> </w:t>
      </w:r>
      <w:r>
        <w:rPr/>
        <w:t>of</w:t>
      </w:r>
      <w:r>
        <w:rPr>
          <w:spacing w:val="-13"/>
        </w:rPr>
        <w:t> </w:t>
      </w:r>
      <w:r>
        <w:rPr/>
        <w:t>digital</w:t>
      </w:r>
      <w:r>
        <w:rPr>
          <w:spacing w:val="-12"/>
        </w:rPr>
        <w:t> </w:t>
      </w:r>
      <w:r>
        <w:rPr/>
        <w:t>experiences.</w:t>
      </w:r>
      <w:r>
        <w:rPr>
          <w:spacing w:val="-7"/>
        </w:rPr>
        <w:t> </w:t>
      </w:r>
      <w:r>
        <w:rPr/>
        <w:t>By</w:t>
      </w:r>
      <w:r>
        <w:rPr>
          <w:spacing w:val="-12"/>
        </w:rPr>
        <w:t> </w:t>
      </w:r>
      <w:r>
        <w:rPr/>
        <w:t>building</w:t>
      </w:r>
      <w:r>
        <w:rPr>
          <w:spacing w:val="-13"/>
        </w:rPr>
        <w:t> </w:t>
      </w:r>
      <w:r>
        <w:rPr/>
        <w:t>on</w:t>
      </w:r>
      <w:r>
        <w:rPr>
          <w:spacing w:val="-12"/>
        </w:rPr>
        <w:t> </w:t>
      </w:r>
      <w:r>
        <w:rPr/>
        <w:t>existing</w:t>
      </w:r>
      <w:r>
        <w:rPr>
          <w:spacing w:val="-13"/>
        </w:rPr>
        <w:t> </w:t>
      </w:r>
      <w:r>
        <w:rPr/>
        <w:t>features</w:t>
      </w:r>
      <w:r>
        <w:rPr>
          <w:spacing w:val="-12"/>
        </w:rPr>
        <w:t> </w:t>
      </w:r>
      <w:r>
        <w:rPr/>
        <w:t>such</w:t>
      </w:r>
      <w:r>
        <w:rPr>
          <w:spacing w:val="-13"/>
        </w:rPr>
        <w:t> </w:t>
      </w:r>
      <w:r>
        <w:rPr/>
        <w:t>as</w:t>
      </w:r>
      <w:r>
        <w:rPr>
          <w:spacing w:val="-12"/>
        </w:rPr>
        <w:t> </w:t>
      </w:r>
      <w:r>
        <w:rPr/>
        <w:t>Enhanced</w:t>
      </w:r>
      <w:r>
        <w:rPr>
          <w:spacing w:val="-13"/>
        </w:rPr>
        <w:t> </w:t>
      </w:r>
      <w:r>
        <w:rPr/>
        <w:t>Anomaly</w:t>
      </w:r>
      <w:r>
        <w:rPr>
          <w:spacing w:val="-12"/>
        </w:rPr>
        <w:t> </w:t>
      </w:r>
      <w:r>
        <w:rPr/>
        <w:t>Detection,</w:t>
      </w:r>
      <w:r>
        <w:rPr>
          <w:spacing w:val="-13"/>
        </w:rPr>
        <w:t> </w:t>
      </w:r>
      <w:r>
        <w:rPr/>
        <w:t>Auto-Target,</w:t>
      </w:r>
      <w:r>
        <w:rPr>
          <w:spacing w:val="-12"/>
        </w:rPr>
        <w:t> </w:t>
      </w:r>
      <w:r>
        <w:rPr/>
        <w:t>and</w:t>
      </w:r>
      <w:r>
        <w:rPr>
          <w:spacing w:val="-13"/>
        </w:rPr>
        <w:t> </w:t>
      </w:r>
      <w:r>
        <w:rPr/>
        <w:t>other capabilities, we believe</w:t>
      </w:r>
      <w:r>
        <w:rPr>
          <w:spacing w:val="-10"/>
        </w:rPr>
        <w:t> </w:t>
      </w:r>
      <w:r>
        <w:rPr/>
        <w:t>Adobe Sensei will increase the value we provide our customers and create a competitive differentiation in the market.</w:t>
      </w:r>
    </w:p>
    <w:p>
      <w:pPr>
        <w:pStyle w:val="BodyText"/>
        <w:spacing w:line="249" w:lineRule="auto" w:before="163"/>
        <w:ind w:left="210" w:right="257" w:firstLine="540"/>
        <w:jc w:val="both"/>
      </w:pPr>
      <w:r>
        <w:rPr/>
        <w:t>To drive growth of Experience Cloud, we also intend to focus on customer engagement, partner leverage, and product differentiation. We utilize a direct sales force to market and license our Experience Cloud solutions, as well as an extensive ecosystem of partners, including marketing agencies, SIs and independent software vendors that help license and deploy our solutions</w:t>
      </w:r>
      <w:r>
        <w:rPr>
          <w:spacing w:val="15"/>
        </w:rPr>
        <w:t> </w:t>
      </w:r>
      <w:r>
        <w:rPr/>
        <w:t>to</w:t>
      </w:r>
      <w:r>
        <w:rPr>
          <w:spacing w:val="16"/>
        </w:rPr>
        <w:t> </w:t>
      </w:r>
      <w:r>
        <w:rPr/>
        <w:t>their</w:t>
      </w:r>
      <w:r>
        <w:rPr>
          <w:spacing w:val="15"/>
        </w:rPr>
        <w:t> </w:t>
      </w:r>
      <w:r>
        <w:rPr/>
        <w:t>customers.</w:t>
      </w:r>
      <w:r>
        <w:rPr>
          <w:spacing w:val="16"/>
        </w:rPr>
        <w:t> </w:t>
      </w:r>
      <w:r>
        <w:rPr/>
        <w:t>Strategic</w:t>
      </w:r>
      <w:r>
        <w:rPr>
          <w:spacing w:val="14"/>
        </w:rPr>
        <w:t> </w:t>
      </w:r>
      <w:r>
        <w:rPr/>
        <w:t>partnerships,</w:t>
      </w:r>
      <w:r>
        <w:rPr>
          <w:spacing w:val="16"/>
        </w:rPr>
        <w:t> </w:t>
      </w:r>
      <w:r>
        <w:rPr/>
        <w:t>such</w:t>
      </w:r>
      <w:r>
        <w:rPr>
          <w:spacing w:val="15"/>
        </w:rPr>
        <w:t> </w:t>
      </w:r>
      <w:r>
        <w:rPr/>
        <w:t>as</w:t>
      </w:r>
      <w:r>
        <w:rPr>
          <w:spacing w:val="16"/>
        </w:rPr>
        <w:t> </w:t>
      </w:r>
      <w:r>
        <w:rPr/>
        <w:t>the</w:t>
      </w:r>
      <w:r>
        <w:rPr>
          <w:spacing w:val="15"/>
        </w:rPr>
        <w:t> </w:t>
      </w:r>
      <w:r>
        <w:rPr/>
        <w:t>one</w:t>
      </w:r>
      <w:r>
        <w:rPr>
          <w:spacing w:val="16"/>
        </w:rPr>
        <w:t> </w:t>
      </w:r>
      <w:r>
        <w:rPr/>
        <w:t>we</w:t>
      </w:r>
      <w:r>
        <w:rPr>
          <w:spacing w:val="15"/>
        </w:rPr>
        <w:t> </w:t>
      </w:r>
      <w:r>
        <w:rPr/>
        <w:t>have</w:t>
      </w:r>
      <w:r>
        <w:rPr>
          <w:spacing w:val="15"/>
        </w:rPr>
        <w:t> </w:t>
      </w:r>
      <w:r>
        <w:rPr/>
        <w:t>formed</w:t>
      </w:r>
      <w:r>
        <w:rPr>
          <w:spacing w:val="15"/>
        </w:rPr>
        <w:t> </w:t>
      </w:r>
      <w:r>
        <w:rPr/>
        <w:t>with</w:t>
      </w:r>
      <w:r>
        <w:rPr>
          <w:spacing w:val="16"/>
        </w:rPr>
        <w:t> </w:t>
      </w:r>
      <w:r>
        <w:rPr/>
        <w:t>Microsoft,</w:t>
      </w:r>
      <w:r>
        <w:rPr>
          <w:spacing w:val="15"/>
        </w:rPr>
        <w:t> </w:t>
      </w:r>
      <w:r>
        <w:rPr/>
        <w:t>continue</w:t>
      </w:r>
      <w:r>
        <w:rPr>
          <w:spacing w:val="15"/>
        </w:rPr>
        <w:t> </w:t>
      </w:r>
      <w:r>
        <w:rPr/>
        <w:t>to</w:t>
      </w:r>
      <w:r>
        <w:rPr>
          <w:spacing w:val="15"/>
        </w:rPr>
        <w:t> </w:t>
      </w:r>
      <w:r>
        <w:rPr/>
        <w:t>increase</w:t>
      </w:r>
      <w:r>
        <w:rPr>
          <w:spacing w:val="15"/>
        </w:rPr>
        <w:t> </w:t>
      </w:r>
      <w:r>
        <w:rPr>
          <w:spacing w:val="-5"/>
        </w:rPr>
        <w:t>our</w:t>
      </w:r>
    </w:p>
    <w:p>
      <w:pPr>
        <w:spacing w:after="0" w:line="249" w:lineRule="auto"/>
        <w:jc w:val="both"/>
        <w:sectPr>
          <w:pgSz w:w="12240" w:h="15840"/>
          <w:pgMar w:header="210" w:footer="599" w:top="420" w:bottom="800" w:left="780" w:right="740"/>
        </w:sectPr>
      </w:pPr>
    </w:p>
    <w:p>
      <w:pPr>
        <w:pStyle w:val="BodyText"/>
        <w:spacing w:before="150"/>
      </w:pPr>
    </w:p>
    <w:p>
      <w:pPr>
        <w:pStyle w:val="BodyText"/>
        <w:spacing w:line="249" w:lineRule="auto"/>
        <w:ind w:left="210" w:right="240"/>
      </w:pPr>
      <w:r>
        <w:rPr/>
        <w:t>market reach. We have made significant investments to broaden the scale and size of all of these routes to market, and believe these investments will result in continued growth in revenue in our Digital Experience segment in fiscal 2018 and beyond.</w:t>
      </w:r>
    </w:p>
    <w:p>
      <w:pPr>
        <w:pStyle w:val="Heading2"/>
        <w:spacing w:before="161"/>
        <w:ind w:left="210"/>
      </w:pPr>
      <w:r>
        <w:rPr>
          <w:spacing w:val="-2"/>
        </w:rPr>
        <w:t>Publishing</w:t>
      </w:r>
    </w:p>
    <w:p>
      <w:pPr>
        <w:pStyle w:val="BodyText"/>
        <w:spacing w:line="249" w:lineRule="auto" w:before="170"/>
        <w:ind w:left="210" w:right="257" w:firstLine="540"/>
        <w:jc w:val="both"/>
      </w:pPr>
      <w:r>
        <w:rPr>
          <w:spacing w:val="-2"/>
        </w:rPr>
        <w:t>Our</w:t>
      </w:r>
      <w:r>
        <w:rPr>
          <w:spacing w:val="-8"/>
        </w:rPr>
        <w:t> </w:t>
      </w:r>
      <w:r>
        <w:rPr>
          <w:spacing w:val="-2"/>
        </w:rPr>
        <w:t>Publishing</w:t>
      </w:r>
      <w:r>
        <w:rPr>
          <w:spacing w:val="-8"/>
        </w:rPr>
        <w:t> </w:t>
      </w:r>
      <w:r>
        <w:rPr>
          <w:spacing w:val="-2"/>
        </w:rPr>
        <w:t>segment</w:t>
      </w:r>
      <w:r>
        <w:rPr>
          <w:spacing w:val="-8"/>
        </w:rPr>
        <w:t> </w:t>
      </w:r>
      <w:r>
        <w:rPr>
          <w:spacing w:val="-2"/>
        </w:rPr>
        <w:t>contains</w:t>
      </w:r>
      <w:r>
        <w:rPr>
          <w:spacing w:val="-8"/>
        </w:rPr>
        <w:t> </w:t>
      </w:r>
      <w:r>
        <w:rPr>
          <w:spacing w:val="-2"/>
        </w:rPr>
        <w:t>legacy</w:t>
      </w:r>
      <w:r>
        <w:rPr>
          <w:spacing w:val="-8"/>
        </w:rPr>
        <w:t> </w:t>
      </w:r>
      <w:r>
        <w:rPr>
          <w:spacing w:val="-2"/>
        </w:rPr>
        <w:t>products</w:t>
      </w:r>
      <w:r>
        <w:rPr>
          <w:spacing w:val="-8"/>
        </w:rPr>
        <w:t> </w:t>
      </w:r>
      <w:r>
        <w:rPr>
          <w:spacing w:val="-2"/>
        </w:rPr>
        <w:t>and</w:t>
      </w:r>
      <w:r>
        <w:rPr>
          <w:spacing w:val="-8"/>
        </w:rPr>
        <w:t> </w:t>
      </w:r>
      <w:r>
        <w:rPr>
          <w:spacing w:val="-2"/>
        </w:rPr>
        <w:t>services</w:t>
      </w:r>
      <w:r>
        <w:rPr>
          <w:spacing w:val="-8"/>
        </w:rPr>
        <w:t> </w:t>
      </w:r>
      <w:r>
        <w:rPr>
          <w:spacing w:val="-2"/>
        </w:rPr>
        <w:t>that</w:t>
      </w:r>
      <w:r>
        <w:rPr>
          <w:spacing w:val="-8"/>
        </w:rPr>
        <w:t> </w:t>
      </w:r>
      <w:r>
        <w:rPr>
          <w:spacing w:val="-2"/>
        </w:rPr>
        <w:t>address</w:t>
      </w:r>
      <w:r>
        <w:rPr>
          <w:spacing w:val="-8"/>
        </w:rPr>
        <w:t> </w:t>
      </w:r>
      <w:r>
        <w:rPr>
          <w:spacing w:val="-2"/>
        </w:rPr>
        <w:t>diverse</w:t>
      </w:r>
      <w:r>
        <w:rPr>
          <w:spacing w:val="-8"/>
        </w:rPr>
        <w:t> </w:t>
      </w:r>
      <w:r>
        <w:rPr>
          <w:spacing w:val="-2"/>
        </w:rPr>
        <w:t>market</w:t>
      </w:r>
      <w:r>
        <w:rPr>
          <w:spacing w:val="-8"/>
        </w:rPr>
        <w:t> </w:t>
      </w:r>
      <w:r>
        <w:rPr>
          <w:spacing w:val="-2"/>
        </w:rPr>
        <w:t>opportunities</w:t>
      </w:r>
      <w:r>
        <w:rPr>
          <w:spacing w:val="-8"/>
        </w:rPr>
        <w:t> </w:t>
      </w:r>
      <w:r>
        <w:rPr>
          <w:spacing w:val="-2"/>
        </w:rPr>
        <w:t>including</w:t>
      </w:r>
      <w:r>
        <w:rPr>
          <w:spacing w:val="-8"/>
        </w:rPr>
        <w:t> </w:t>
      </w:r>
      <w:r>
        <w:rPr>
          <w:spacing w:val="-2"/>
        </w:rPr>
        <w:t>eLearning </w:t>
      </w:r>
      <w:r>
        <w:rPr/>
        <w:t>solutions, technical document publishing, web application development and high-end printing. Graphics professionals and professional</w:t>
      </w:r>
      <w:r>
        <w:rPr>
          <w:spacing w:val="-13"/>
        </w:rPr>
        <w:t> </w:t>
      </w:r>
      <w:r>
        <w:rPr/>
        <w:t>publishers</w:t>
      </w:r>
      <w:r>
        <w:rPr>
          <w:spacing w:val="-12"/>
        </w:rPr>
        <w:t> </w:t>
      </w:r>
      <w:r>
        <w:rPr/>
        <w:t>continue</w:t>
      </w:r>
      <w:r>
        <w:rPr>
          <w:spacing w:val="-13"/>
        </w:rPr>
        <w:t> </w:t>
      </w:r>
      <w:r>
        <w:rPr/>
        <w:t>to</w:t>
      </w:r>
      <w:r>
        <w:rPr>
          <w:spacing w:val="-11"/>
        </w:rPr>
        <w:t> </w:t>
      </w:r>
      <w:r>
        <w:rPr/>
        <w:t>require</w:t>
      </w:r>
      <w:r>
        <w:rPr>
          <w:spacing w:val="-11"/>
        </w:rPr>
        <w:t> </w:t>
      </w:r>
      <w:r>
        <w:rPr/>
        <w:t>quality,</w:t>
      </w:r>
      <w:r>
        <w:rPr>
          <w:spacing w:val="-10"/>
        </w:rPr>
        <w:t> </w:t>
      </w:r>
      <w:r>
        <w:rPr/>
        <w:t>reliability</w:t>
      </w:r>
      <w:r>
        <w:rPr>
          <w:spacing w:val="-10"/>
        </w:rPr>
        <w:t> </w:t>
      </w:r>
      <w:r>
        <w:rPr/>
        <w:t>and</w:t>
      </w:r>
      <w:r>
        <w:rPr>
          <w:spacing w:val="-10"/>
        </w:rPr>
        <w:t> </w:t>
      </w:r>
      <w:r>
        <w:rPr/>
        <w:t>efficiency</w:t>
      </w:r>
      <w:r>
        <w:rPr>
          <w:spacing w:val="-11"/>
        </w:rPr>
        <w:t> </w:t>
      </w:r>
      <w:r>
        <w:rPr/>
        <w:t>in</w:t>
      </w:r>
      <w:r>
        <w:rPr>
          <w:spacing w:val="-10"/>
        </w:rPr>
        <w:t> </w:t>
      </w:r>
      <w:r>
        <w:rPr/>
        <w:t>production</w:t>
      </w:r>
      <w:r>
        <w:rPr>
          <w:spacing w:val="-10"/>
        </w:rPr>
        <w:t> </w:t>
      </w:r>
      <w:r>
        <w:rPr/>
        <w:t>printing,</w:t>
      </w:r>
      <w:r>
        <w:rPr>
          <w:spacing w:val="-10"/>
        </w:rPr>
        <w:t> </w:t>
      </w:r>
      <w:r>
        <w:rPr/>
        <w:t>and</w:t>
      </w:r>
      <w:r>
        <w:rPr>
          <w:spacing w:val="-10"/>
        </w:rPr>
        <w:t> </w:t>
      </w:r>
      <w:r>
        <w:rPr/>
        <w:t>our</w:t>
      </w:r>
      <w:r>
        <w:rPr>
          <w:spacing w:val="-13"/>
        </w:rPr>
        <w:t> </w:t>
      </w:r>
      <w:r>
        <w:rPr/>
        <w:t>Adobe</w:t>
      </w:r>
      <w:r>
        <w:rPr>
          <w:spacing w:val="-10"/>
        </w:rPr>
        <w:t> </w:t>
      </w:r>
      <w:r>
        <w:rPr/>
        <w:t>PostScript</w:t>
      </w:r>
      <w:r>
        <w:rPr>
          <w:spacing w:val="-11"/>
        </w:rPr>
        <w:t> </w:t>
      </w:r>
      <w:r>
        <w:rPr/>
        <w:t>and Adobe</w:t>
      </w:r>
      <w:r>
        <w:rPr>
          <w:spacing w:val="-4"/>
        </w:rPr>
        <w:t> </w:t>
      </w:r>
      <w:r>
        <w:rPr/>
        <w:t>PDF</w:t>
      </w:r>
      <w:r>
        <w:rPr>
          <w:spacing w:val="-3"/>
        </w:rPr>
        <w:t> </w:t>
      </w:r>
      <w:r>
        <w:rPr/>
        <w:t>printing</w:t>
      </w:r>
      <w:r>
        <w:rPr>
          <w:spacing w:val="-3"/>
        </w:rPr>
        <w:t> </w:t>
      </w:r>
      <w:r>
        <w:rPr/>
        <w:t>technologies</w:t>
      </w:r>
      <w:r>
        <w:rPr>
          <w:spacing w:val="-2"/>
        </w:rPr>
        <w:t> </w:t>
      </w:r>
      <w:r>
        <w:rPr/>
        <w:t>provide</w:t>
      </w:r>
      <w:r>
        <w:rPr>
          <w:spacing w:val="-3"/>
        </w:rPr>
        <w:t> </w:t>
      </w:r>
      <w:r>
        <w:rPr/>
        <w:t>advanced</w:t>
      </w:r>
      <w:r>
        <w:rPr>
          <w:spacing w:val="-3"/>
        </w:rPr>
        <w:t> </w:t>
      </w:r>
      <w:r>
        <w:rPr/>
        <w:t>functionality</w:t>
      </w:r>
      <w:r>
        <w:rPr>
          <w:spacing w:val="-3"/>
        </w:rPr>
        <w:t> </w:t>
      </w:r>
      <w:r>
        <w:rPr/>
        <w:t>to</w:t>
      </w:r>
      <w:r>
        <w:rPr>
          <w:spacing w:val="-3"/>
        </w:rPr>
        <w:t> </w:t>
      </w:r>
      <w:r>
        <w:rPr/>
        <w:t>meet</w:t>
      </w:r>
      <w:r>
        <w:rPr>
          <w:spacing w:val="-3"/>
        </w:rPr>
        <w:t> </w:t>
      </w:r>
      <w:r>
        <w:rPr/>
        <w:t>the</w:t>
      </w:r>
      <w:r>
        <w:rPr>
          <w:spacing w:val="-3"/>
        </w:rPr>
        <w:t> </w:t>
      </w:r>
      <w:r>
        <w:rPr/>
        <w:t>sophisticated</w:t>
      </w:r>
      <w:r>
        <w:rPr>
          <w:spacing w:val="-3"/>
        </w:rPr>
        <w:t> </w:t>
      </w:r>
      <w:r>
        <w:rPr/>
        <w:t>requirements</w:t>
      </w:r>
      <w:r>
        <w:rPr>
          <w:spacing w:val="-2"/>
        </w:rPr>
        <w:t> </w:t>
      </w:r>
      <w:r>
        <w:rPr/>
        <w:t>of</w:t>
      </w:r>
      <w:r>
        <w:rPr>
          <w:spacing w:val="-3"/>
        </w:rPr>
        <w:t> </w:t>
      </w:r>
      <w:r>
        <w:rPr/>
        <w:t>this</w:t>
      </w:r>
      <w:r>
        <w:rPr>
          <w:spacing w:val="-3"/>
        </w:rPr>
        <w:t> </w:t>
      </w:r>
      <w:r>
        <w:rPr/>
        <w:t>marketplace.</w:t>
      </w:r>
      <w:r>
        <w:rPr>
          <w:spacing w:val="-13"/>
        </w:rPr>
        <w:t> </w:t>
      </w:r>
      <w:r>
        <w:rPr/>
        <w:t>As high-end</w:t>
      </w:r>
      <w:r>
        <w:rPr>
          <w:spacing w:val="-1"/>
        </w:rPr>
        <w:t> </w:t>
      </w:r>
      <w:r>
        <w:rPr/>
        <w:t>printing</w:t>
      </w:r>
      <w:r>
        <w:rPr>
          <w:spacing w:val="-1"/>
        </w:rPr>
        <w:t> </w:t>
      </w:r>
      <w:r>
        <w:rPr/>
        <w:t>systems</w:t>
      </w:r>
      <w:r>
        <w:rPr>
          <w:spacing w:val="-1"/>
        </w:rPr>
        <w:t> </w:t>
      </w:r>
      <w:r>
        <w:rPr/>
        <w:t>evolve</w:t>
      </w:r>
      <w:r>
        <w:rPr>
          <w:spacing w:val="-1"/>
        </w:rPr>
        <w:t> </w:t>
      </w:r>
      <w:r>
        <w:rPr/>
        <w:t>and</w:t>
      </w:r>
      <w:r>
        <w:rPr>
          <w:spacing w:val="-1"/>
        </w:rPr>
        <w:t> </w:t>
      </w:r>
      <w:r>
        <w:rPr/>
        <w:t>transition</w:t>
      </w:r>
      <w:r>
        <w:rPr>
          <w:spacing w:val="-1"/>
        </w:rPr>
        <w:t> </w:t>
      </w:r>
      <w:r>
        <w:rPr/>
        <w:t>to</w:t>
      </w:r>
      <w:r>
        <w:rPr>
          <w:spacing w:val="-1"/>
        </w:rPr>
        <w:t> </w:t>
      </w:r>
      <w:r>
        <w:rPr/>
        <w:t>fully</w:t>
      </w:r>
      <w:r>
        <w:rPr>
          <w:spacing w:val="-1"/>
        </w:rPr>
        <w:t> </w:t>
      </w:r>
      <w:r>
        <w:rPr/>
        <w:t>digital,</w:t>
      </w:r>
      <w:r>
        <w:rPr>
          <w:spacing w:val="-1"/>
        </w:rPr>
        <w:t> </w:t>
      </w:r>
      <w:r>
        <w:rPr/>
        <w:t>composite</w:t>
      </w:r>
      <w:r>
        <w:rPr>
          <w:spacing w:val="-1"/>
        </w:rPr>
        <w:t> </w:t>
      </w:r>
      <w:r>
        <w:rPr/>
        <w:t>workflows,</w:t>
      </w:r>
      <w:r>
        <w:rPr>
          <w:spacing w:val="-1"/>
        </w:rPr>
        <w:t> </w:t>
      </w:r>
      <w:r>
        <w:rPr/>
        <w:t>we</w:t>
      </w:r>
      <w:r>
        <w:rPr>
          <w:spacing w:val="-1"/>
        </w:rPr>
        <w:t> </w:t>
      </w:r>
      <w:r>
        <w:rPr/>
        <w:t>believe</w:t>
      </w:r>
      <w:r>
        <w:rPr>
          <w:spacing w:val="-1"/>
        </w:rPr>
        <w:t> </w:t>
      </w:r>
      <w:r>
        <w:rPr/>
        <w:t>we</w:t>
      </w:r>
      <w:r>
        <w:rPr>
          <w:spacing w:val="-1"/>
        </w:rPr>
        <w:t> </w:t>
      </w:r>
      <w:r>
        <w:rPr/>
        <w:t>are</w:t>
      </w:r>
      <w:r>
        <w:rPr>
          <w:spacing w:val="-1"/>
        </w:rPr>
        <w:t> </w:t>
      </w:r>
      <w:r>
        <w:rPr/>
        <w:t>well</w:t>
      </w:r>
      <w:r>
        <w:rPr>
          <w:spacing w:val="-1"/>
        </w:rPr>
        <w:t> </w:t>
      </w:r>
      <w:r>
        <w:rPr/>
        <w:t>positioned</w:t>
      </w:r>
      <w:r>
        <w:rPr>
          <w:spacing w:val="-1"/>
        </w:rPr>
        <w:t> </w:t>
      </w:r>
      <w:r>
        <w:rPr/>
        <w:t>to</w:t>
      </w:r>
      <w:r>
        <w:rPr>
          <w:spacing w:val="-1"/>
        </w:rPr>
        <w:t> </w:t>
      </w:r>
      <w:r>
        <w:rPr/>
        <w:t>be</w:t>
      </w:r>
      <w:r>
        <w:rPr>
          <w:spacing w:val="-1"/>
        </w:rPr>
        <w:t> </w:t>
      </w:r>
      <w:r>
        <w:rPr/>
        <w:t>a supplier of software and technology based on the PostScript and</w:t>
      </w:r>
      <w:r>
        <w:rPr>
          <w:spacing w:val="-5"/>
        </w:rPr>
        <w:t> </w:t>
      </w:r>
      <w:r>
        <w:rPr/>
        <w:t>Adobe PDF standards for use by this industry.</w:t>
      </w:r>
    </w:p>
    <w:p>
      <w:pPr>
        <w:pStyle w:val="BodyText"/>
        <w:spacing w:line="249" w:lineRule="auto" w:before="165"/>
        <w:ind w:left="210" w:right="257" w:firstLine="540"/>
        <w:jc w:val="both"/>
      </w:pPr>
      <w:r>
        <w:rPr/>
        <w:t>We</w:t>
      </w:r>
      <w:r>
        <w:rPr>
          <w:spacing w:val="-7"/>
        </w:rPr>
        <w:t> </w:t>
      </w:r>
      <w:r>
        <w:rPr/>
        <w:t>generate</w:t>
      </w:r>
      <w:r>
        <w:rPr>
          <w:spacing w:val="-7"/>
        </w:rPr>
        <w:t> </w:t>
      </w:r>
      <w:r>
        <w:rPr/>
        <w:t>revenue</w:t>
      </w:r>
      <w:r>
        <w:rPr>
          <w:spacing w:val="-7"/>
        </w:rPr>
        <w:t> </w:t>
      </w:r>
      <w:r>
        <w:rPr/>
        <w:t>by</w:t>
      </w:r>
      <w:r>
        <w:rPr>
          <w:spacing w:val="-7"/>
        </w:rPr>
        <w:t> </w:t>
      </w:r>
      <w:r>
        <w:rPr/>
        <w:t>licensing</w:t>
      </w:r>
      <w:r>
        <w:rPr>
          <w:spacing w:val="-7"/>
        </w:rPr>
        <w:t> </w:t>
      </w:r>
      <w:r>
        <w:rPr/>
        <w:t>our</w:t>
      </w:r>
      <w:r>
        <w:rPr>
          <w:spacing w:val="-7"/>
        </w:rPr>
        <w:t> </w:t>
      </w:r>
      <w:r>
        <w:rPr/>
        <w:t>technology</w:t>
      </w:r>
      <w:r>
        <w:rPr>
          <w:spacing w:val="-7"/>
        </w:rPr>
        <w:t> </w:t>
      </w:r>
      <w:r>
        <w:rPr/>
        <w:t>to</w:t>
      </w:r>
      <w:r>
        <w:rPr>
          <w:spacing w:val="-7"/>
        </w:rPr>
        <w:t> </w:t>
      </w:r>
      <w:r>
        <w:rPr/>
        <w:t>OEMs</w:t>
      </w:r>
      <w:r>
        <w:rPr>
          <w:spacing w:val="-7"/>
        </w:rPr>
        <w:t> </w:t>
      </w:r>
      <w:r>
        <w:rPr/>
        <w:t>that</w:t>
      </w:r>
      <w:r>
        <w:rPr>
          <w:spacing w:val="-7"/>
        </w:rPr>
        <w:t> </w:t>
      </w:r>
      <w:r>
        <w:rPr/>
        <w:t>manufacture</w:t>
      </w:r>
      <w:r>
        <w:rPr>
          <w:spacing w:val="-7"/>
        </w:rPr>
        <w:t> </w:t>
      </w:r>
      <w:r>
        <w:rPr/>
        <w:t>workflow</w:t>
      </w:r>
      <w:r>
        <w:rPr>
          <w:spacing w:val="-7"/>
        </w:rPr>
        <w:t> </w:t>
      </w:r>
      <w:r>
        <w:rPr/>
        <w:t>software,</w:t>
      </w:r>
      <w:r>
        <w:rPr>
          <w:spacing w:val="-7"/>
        </w:rPr>
        <w:t> </w:t>
      </w:r>
      <w:r>
        <w:rPr/>
        <w:t>printers</w:t>
      </w:r>
      <w:r>
        <w:rPr>
          <w:spacing w:val="-7"/>
        </w:rPr>
        <w:t> </w:t>
      </w:r>
      <w:r>
        <w:rPr/>
        <w:t>and</w:t>
      </w:r>
      <w:r>
        <w:rPr>
          <w:spacing w:val="-7"/>
        </w:rPr>
        <w:t> </w:t>
      </w:r>
      <w:r>
        <w:rPr/>
        <w:t>other</w:t>
      </w:r>
      <w:r>
        <w:rPr>
          <w:spacing w:val="-7"/>
        </w:rPr>
        <w:t> </w:t>
      </w:r>
      <w:r>
        <w:rPr/>
        <w:t>output devices.</w:t>
      </w:r>
      <w:r>
        <w:rPr>
          <w:spacing w:val="-4"/>
        </w:rPr>
        <w:t> </w:t>
      </w:r>
      <w:r>
        <w:rPr/>
        <w:t>In</w:t>
      </w:r>
      <w:r>
        <w:rPr>
          <w:spacing w:val="-4"/>
        </w:rPr>
        <w:t> </w:t>
      </w:r>
      <w:r>
        <w:rPr/>
        <w:t>fiscal</w:t>
      </w:r>
      <w:r>
        <w:rPr>
          <w:spacing w:val="-4"/>
        </w:rPr>
        <w:t> </w:t>
      </w:r>
      <w:r>
        <w:rPr/>
        <w:t>2017,</w:t>
      </w:r>
      <w:r>
        <w:rPr>
          <w:spacing w:val="-4"/>
        </w:rPr>
        <w:t> </w:t>
      </w:r>
      <w:r>
        <w:rPr/>
        <w:t>we</w:t>
      </w:r>
      <w:r>
        <w:rPr>
          <w:spacing w:val="-4"/>
        </w:rPr>
        <w:t> </w:t>
      </w:r>
      <w:r>
        <w:rPr/>
        <w:t>maintained</w:t>
      </w:r>
      <w:r>
        <w:rPr>
          <w:spacing w:val="-4"/>
        </w:rPr>
        <w:t> </w:t>
      </w:r>
      <w:r>
        <w:rPr/>
        <w:t>a</w:t>
      </w:r>
      <w:r>
        <w:rPr>
          <w:spacing w:val="-4"/>
        </w:rPr>
        <w:t> </w:t>
      </w:r>
      <w:r>
        <w:rPr/>
        <w:t>relatively</w:t>
      </w:r>
      <w:r>
        <w:rPr>
          <w:spacing w:val="-4"/>
        </w:rPr>
        <w:t> </w:t>
      </w:r>
      <w:r>
        <w:rPr/>
        <w:t>consistent</w:t>
      </w:r>
      <w:r>
        <w:rPr>
          <w:spacing w:val="-4"/>
        </w:rPr>
        <w:t> </w:t>
      </w:r>
      <w:r>
        <w:rPr/>
        <w:t>quarterly</w:t>
      </w:r>
      <w:r>
        <w:rPr>
          <w:spacing w:val="-4"/>
        </w:rPr>
        <w:t> </w:t>
      </w:r>
      <w:r>
        <w:rPr/>
        <w:t>revenue</w:t>
      </w:r>
      <w:r>
        <w:rPr>
          <w:spacing w:val="-4"/>
        </w:rPr>
        <w:t> </w:t>
      </w:r>
      <w:r>
        <w:rPr/>
        <w:t>run-rate</w:t>
      </w:r>
      <w:r>
        <w:rPr>
          <w:spacing w:val="-4"/>
        </w:rPr>
        <w:t> </w:t>
      </w:r>
      <w:r>
        <w:rPr/>
        <w:t>with</w:t>
      </w:r>
      <w:r>
        <w:rPr>
          <w:spacing w:val="-4"/>
        </w:rPr>
        <w:t> </w:t>
      </w:r>
      <w:r>
        <w:rPr/>
        <w:t>the</w:t>
      </w:r>
      <w:r>
        <w:rPr>
          <w:spacing w:val="-4"/>
        </w:rPr>
        <w:t> </w:t>
      </w:r>
      <w:r>
        <w:rPr/>
        <w:t>mature</w:t>
      </w:r>
      <w:r>
        <w:rPr>
          <w:spacing w:val="-4"/>
        </w:rPr>
        <w:t> </w:t>
      </w:r>
      <w:r>
        <w:rPr/>
        <w:t>products</w:t>
      </w:r>
      <w:r>
        <w:rPr>
          <w:spacing w:val="-4"/>
        </w:rPr>
        <w:t> </w:t>
      </w:r>
      <w:r>
        <w:rPr/>
        <w:t>we</w:t>
      </w:r>
      <w:r>
        <w:rPr>
          <w:spacing w:val="-4"/>
        </w:rPr>
        <w:t> </w:t>
      </w:r>
      <w:r>
        <w:rPr/>
        <w:t>market</w:t>
      </w:r>
      <w:r>
        <w:rPr>
          <w:spacing w:val="-4"/>
        </w:rPr>
        <w:t> </w:t>
      </w:r>
      <w:r>
        <w:rPr/>
        <w:t>and license in our Publishing business.</w:t>
      </w:r>
    </w:p>
    <w:p>
      <w:pPr>
        <w:pStyle w:val="BodyText"/>
        <w:spacing w:line="249" w:lineRule="auto" w:before="163"/>
        <w:ind w:left="210" w:right="257" w:firstLine="540"/>
        <w:jc w:val="both"/>
      </w:pPr>
      <w:r>
        <w:rPr/>
        <w:t>In December 2017, in order to more closely align our Digital Experience business with the strategic growth opportunity, we</w:t>
      </w:r>
      <w:r>
        <w:rPr>
          <w:spacing w:val="-7"/>
        </w:rPr>
        <w:t> </w:t>
      </w:r>
      <w:r>
        <w:rPr/>
        <w:t>moved</w:t>
      </w:r>
      <w:r>
        <w:rPr>
          <w:spacing w:val="-5"/>
        </w:rPr>
        <w:t> </w:t>
      </w:r>
      <w:r>
        <w:rPr/>
        <w:t>two</w:t>
      </w:r>
      <w:r>
        <w:rPr>
          <w:spacing w:val="-5"/>
        </w:rPr>
        <w:t> </w:t>
      </w:r>
      <w:r>
        <w:rPr/>
        <w:t>legacy</w:t>
      </w:r>
      <w:r>
        <w:rPr>
          <w:spacing w:val="-5"/>
        </w:rPr>
        <w:t> </w:t>
      </w:r>
      <w:r>
        <w:rPr/>
        <w:t>enterprise</w:t>
      </w:r>
      <w:r>
        <w:rPr>
          <w:spacing w:val="-5"/>
        </w:rPr>
        <w:t> </w:t>
      </w:r>
      <w:r>
        <w:rPr/>
        <w:t>software</w:t>
      </w:r>
      <w:r>
        <w:rPr>
          <w:spacing w:val="-5"/>
        </w:rPr>
        <w:t> </w:t>
      </w:r>
      <w:r>
        <w:rPr/>
        <w:t>offerings</w:t>
      </w:r>
      <w:r>
        <w:rPr>
          <w:spacing w:val="-5"/>
        </w:rPr>
        <w:t> </w:t>
      </w:r>
      <w:r>
        <w:rPr/>
        <w:t>from</w:t>
      </w:r>
      <w:r>
        <w:rPr>
          <w:spacing w:val="-5"/>
        </w:rPr>
        <w:t> </w:t>
      </w:r>
      <w:r>
        <w:rPr/>
        <w:t>our</w:t>
      </w:r>
      <w:r>
        <w:rPr>
          <w:spacing w:val="-5"/>
        </w:rPr>
        <w:t> </w:t>
      </w:r>
      <w:r>
        <w:rPr/>
        <w:t>Digital</w:t>
      </w:r>
      <w:r>
        <w:rPr>
          <w:spacing w:val="-5"/>
        </w:rPr>
        <w:t> </w:t>
      </w:r>
      <w:r>
        <w:rPr/>
        <w:t>Experience</w:t>
      </w:r>
      <w:r>
        <w:rPr>
          <w:spacing w:val="-5"/>
        </w:rPr>
        <w:t> </w:t>
      </w:r>
      <w:r>
        <w:rPr/>
        <w:t>segment</w:t>
      </w:r>
      <w:r>
        <w:rPr>
          <w:spacing w:val="-5"/>
        </w:rPr>
        <w:t> </w:t>
      </w:r>
      <w:r>
        <w:rPr/>
        <w:t>to</w:t>
      </w:r>
      <w:r>
        <w:rPr>
          <w:spacing w:val="-5"/>
        </w:rPr>
        <w:t> </w:t>
      </w:r>
      <w:r>
        <w:rPr/>
        <w:t>Publishing:</w:t>
      </w:r>
      <w:r>
        <w:rPr>
          <w:spacing w:val="-5"/>
        </w:rPr>
        <w:t> </w:t>
      </w:r>
      <w:r>
        <w:rPr/>
        <w:t>our</w:t>
      </w:r>
      <w:r>
        <w:rPr>
          <w:spacing w:val="-13"/>
        </w:rPr>
        <w:t> </w:t>
      </w:r>
      <w:r>
        <w:rPr/>
        <w:t>Adobe</w:t>
      </w:r>
      <w:r>
        <w:rPr>
          <w:spacing w:val="-4"/>
        </w:rPr>
        <w:t> </w:t>
      </w:r>
      <w:r>
        <w:rPr/>
        <w:t>Connect</w:t>
      </w:r>
      <w:r>
        <w:rPr>
          <w:spacing w:val="-5"/>
        </w:rPr>
        <w:t> </w:t>
      </w:r>
      <w:r>
        <w:rPr/>
        <w:t>web </w:t>
      </w:r>
      <w:r>
        <w:rPr>
          <w:spacing w:val="-2"/>
        </w:rPr>
        <w:t>conferencing</w:t>
      </w:r>
      <w:r>
        <w:rPr>
          <w:spacing w:val="-11"/>
        </w:rPr>
        <w:t> </w:t>
      </w:r>
      <w:r>
        <w:rPr>
          <w:spacing w:val="-2"/>
        </w:rPr>
        <w:t>platform</w:t>
      </w:r>
      <w:r>
        <w:rPr>
          <w:spacing w:val="-6"/>
        </w:rPr>
        <w:t> </w:t>
      </w:r>
      <w:r>
        <w:rPr>
          <w:spacing w:val="-2"/>
        </w:rPr>
        <w:t>and</w:t>
      </w:r>
      <w:r>
        <w:rPr>
          <w:spacing w:val="-11"/>
        </w:rPr>
        <w:t> </w:t>
      </w:r>
      <w:r>
        <w:rPr>
          <w:spacing w:val="-2"/>
        </w:rPr>
        <w:t>Adobe</w:t>
      </w:r>
      <w:r>
        <w:rPr>
          <w:spacing w:val="-6"/>
        </w:rPr>
        <w:t> </w:t>
      </w:r>
      <w:r>
        <w:rPr>
          <w:spacing w:val="-2"/>
        </w:rPr>
        <w:t>LiveCycle,</w:t>
      </w:r>
      <w:r>
        <w:rPr>
          <w:spacing w:val="-5"/>
        </w:rPr>
        <w:t> </w:t>
      </w:r>
      <w:r>
        <w:rPr>
          <w:spacing w:val="-2"/>
        </w:rPr>
        <w:t>an</w:t>
      </w:r>
      <w:r>
        <w:rPr>
          <w:spacing w:val="-6"/>
        </w:rPr>
        <w:t> </w:t>
      </w:r>
      <w:r>
        <w:rPr>
          <w:spacing w:val="-2"/>
        </w:rPr>
        <w:t>enterprise</w:t>
      </w:r>
      <w:r>
        <w:rPr>
          <w:spacing w:val="-6"/>
        </w:rPr>
        <w:t> </w:t>
      </w:r>
      <w:r>
        <w:rPr>
          <w:spacing w:val="-2"/>
        </w:rPr>
        <w:t>document</w:t>
      </w:r>
      <w:r>
        <w:rPr>
          <w:spacing w:val="-6"/>
        </w:rPr>
        <w:t> </w:t>
      </w:r>
      <w:r>
        <w:rPr>
          <w:spacing w:val="-2"/>
        </w:rPr>
        <w:t>and</w:t>
      </w:r>
      <w:r>
        <w:rPr>
          <w:spacing w:val="-5"/>
        </w:rPr>
        <w:t> </w:t>
      </w:r>
      <w:r>
        <w:rPr>
          <w:spacing w:val="-2"/>
        </w:rPr>
        <w:t>forms</w:t>
      </w:r>
      <w:r>
        <w:rPr>
          <w:spacing w:val="-5"/>
        </w:rPr>
        <w:t> </w:t>
      </w:r>
      <w:r>
        <w:rPr>
          <w:spacing w:val="-2"/>
        </w:rPr>
        <w:t>platform.</w:t>
      </w:r>
      <w:r>
        <w:rPr>
          <w:spacing w:val="-6"/>
        </w:rPr>
        <w:t> </w:t>
      </w:r>
      <w:r>
        <w:rPr>
          <w:spacing w:val="-2"/>
        </w:rPr>
        <w:t>Since</w:t>
      </w:r>
      <w:r>
        <w:rPr>
          <w:spacing w:val="-6"/>
        </w:rPr>
        <w:t> </w:t>
      </w:r>
      <w:r>
        <w:rPr>
          <w:spacing w:val="-2"/>
        </w:rPr>
        <w:t>fiscal</w:t>
      </w:r>
      <w:r>
        <w:rPr>
          <w:spacing w:val="-6"/>
        </w:rPr>
        <w:t> </w:t>
      </w:r>
      <w:r>
        <w:rPr>
          <w:spacing w:val="-2"/>
        </w:rPr>
        <w:t>2012,</w:t>
      </w:r>
      <w:r>
        <w:rPr>
          <w:spacing w:val="-5"/>
        </w:rPr>
        <w:t> </w:t>
      </w:r>
      <w:r>
        <w:rPr>
          <w:spacing w:val="-2"/>
        </w:rPr>
        <w:t>the</w:t>
      </w:r>
      <w:r>
        <w:rPr>
          <w:spacing w:val="-5"/>
        </w:rPr>
        <w:t> </w:t>
      </w:r>
      <w:r>
        <w:rPr>
          <w:spacing w:val="-2"/>
        </w:rPr>
        <w:t>focus</w:t>
      </w:r>
      <w:r>
        <w:rPr>
          <w:spacing w:val="-6"/>
        </w:rPr>
        <w:t> </w:t>
      </w:r>
      <w:r>
        <w:rPr>
          <w:spacing w:val="-2"/>
        </w:rPr>
        <w:t>of</w:t>
      </w:r>
      <w:r>
        <w:rPr>
          <w:spacing w:val="-5"/>
        </w:rPr>
        <w:t> </w:t>
      </w:r>
      <w:r>
        <w:rPr>
          <w:spacing w:val="-2"/>
        </w:rPr>
        <w:t>marketing </w:t>
      </w:r>
      <w:r>
        <w:rPr/>
        <w:t>and licensing these products has been to financial services and government markets, driven by a subset of our enterprise sales force.</w:t>
      </w:r>
      <w:r>
        <w:rPr>
          <w:spacing w:val="-11"/>
        </w:rPr>
        <w:t> </w:t>
      </w:r>
      <w:r>
        <w:rPr/>
        <w:t>We</w:t>
      </w:r>
      <w:r>
        <w:rPr>
          <w:spacing w:val="-8"/>
        </w:rPr>
        <w:t> </w:t>
      </w:r>
      <w:r>
        <w:rPr/>
        <w:t>have</w:t>
      </w:r>
      <w:r>
        <w:rPr>
          <w:spacing w:val="-8"/>
        </w:rPr>
        <w:t> </w:t>
      </w:r>
      <w:r>
        <w:rPr/>
        <w:t>also</w:t>
      </w:r>
      <w:r>
        <w:rPr>
          <w:spacing w:val="-7"/>
        </w:rPr>
        <w:t> </w:t>
      </w:r>
      <w:r>
        <w:rPr/>
        <w:t>been</w:t>
      </w:r>
      <w:r>
        <w:rPr>
          <w:spacing w:val="-8"/>
        </w:rPr>
        <w:t> </w:t>
      </w:r>
      <w:r>
        <w:rPr/>
        <w:t>focused</w:t>
      </w:r>
      <w:r>
        <w:rPr>
          <w:spacing w:val="-7"/>
        </w:rPr>
        <w:t> </w:t>
      </w:r>
      <w:r>
        <w:rPr/>
        <w:t>on</w:t>
      </w:r>
      <w:r>
        <w:rPr>
          <w:spacing w:val="-8"/>
        </w:rPr>
        <w:t> </w:t>
      </w:r>
      <w:r>
        <w:rPr/>
        <w:t>migrating</w:t>
      </w:r>
      <w:r>
        <w:rPr>
          <w:spacing w:val="-8"/>
        </w:rPr>
        <w:t> </w:t>
      </w:r>
      <w:r>
        <w:rPr/>
        <w:t>some</w:t>
      </w:r>
      <w:r>
        <w:rPr>
          <w:spacing w:val="-8"/>
        </w:rPr>
        <w:t> </w:t>
      </w:r>
      <w:r>
        <w:rPr/>
        <w:t>legacy</w:t>
      </w:r>
      <w:r>
        <w:rPr>
          <w:spacing w:val="-8"/>
        </w:rPr>
        <w:t> </w:t>
      </w:r>
      <w:r>
        <w:rPr/>
        <w:t>LiveCycle</w:t>
      </w:r>
      <w:r>
        <w:rPr>
          <w:spacing w:val="-8"/>
        </w:rPr>
        <w:t> </w:t>
      </w:r>
      <w:r>
        <w:rPr/>
        <w:t>customers</w:t>
      </w:r>
      <w:r>
        <w:rPr>
          <w:spacing w:val="-7"/>
        </w:rPr>
        <w:t> </w:t>
      </w:r>
      <w:r>
        <w:rPr/>
        <w:t>to</w:t>
      </w:r>
      <w:r>
        <w:rPr>
          <w:spacing w:val="-8"/>
        </w:rPr>
        <w:t> </w:t>
      </w:r>
      <w:r>
        <w:rPr/>
        <w:t>an</w:t>
      </w:r>
      <w:r>
        <w:rPr>
          <w:spacing w:val="-7"/>
        </w:rPr>
        <w:t> </w:t>
      </w:r>
      <w:r>
        <w:rPr/>
        <w:t>updated</w:t>
      </w:r>
      <w:r>
        <w:rPr>
          <w:spacing w:val="-8"/>
        </w:rPr>
        <w:t> </w:t>
      </w:r>
      <w:r>
        <w:rPr/>
        <w:t>offering</w:t>
      </w:r>
      <w:r>
        <w:rPr>
          <w:spacing w:val="-8"/>
        </w:rPr>
        <w:t> </w:t>
      </w:r>
      <w:r>
        <w:rPr/>
        <w:t>with</w:t>
      </w:r>
      <w:r>
        <w:rPr>
          <w:spacing w:val="-8"/>
        </w:rPr>
        <w:t> </w:t>
      </w:r>
      <w:r>
        <w:rPr/>
        <w:t>similar</w:t>
      </w:r>
      <w:r>
        <w:rPr>
          <w:spacing w:val="-8"/>
        </w:rPr>
        <w:t> </w:t>
      </w:r>
      <w:r>
        <w:rPr/>
        <w:t>capabilities based on our Adobe Experience Manager solution.</w:t>
      </w:r>
    </w:p>
    <w:p>
      <w:pPr>
        <w:pStyle w:val="Heading1"/>
        <w:spacing w:before="165"/>
        <w:ind w:left="498"/>
        <w:jc w:val="center"/>
      </w:pPr>
      <w:bookmarkStart w:name="Competition" w:id="10"/>
      <w:bookmarkEnd w:id="10"/>
      <w:r>
        <w:rPr>
          <w:b w:val="0"/>
        </w:rPr>
      </w:r>
      <w:bookmarkStart w:name="_bookmark2" w:id="11"/>
      <w:bookmarkEnd w:id="11"/>
      <w:r>
        <w:rPr>
          <w:b w:val="0"/>
        </w:rPr>
      </w:r>
      <w:r>
        <w:rPr>
          <w:spacing w:val="-2"/>
        </w:rPr>
        <w:t>COMPETITION</w:t>
      </w:r>
    </w:p>
    <w:p>
      <w:pPr>
        <w:pStyle w:val="BodyText"/>
        <w:spacing w:line="249" w:lineRule="auto" w:before="190"/>
        <w:ind w:left="220" w:right="257" w:firstLine="540"/>
        <w:jc w:val="both"/>
      </w:pPr>
      <w:r>
        <w:rPr/>
        <w:t>The markets for our products and services are characterized by intense competition, new industry standards, evolving distribution</w:t>
      </w:r>
      <w:r>
        <w:rPr>
          <w:spacing w:val="-2"/>
        </w:rPr>
        <w:t> </w:t>
      </w:r>
      <w:r>
        <w:rPr/>
        <w:t>models,</w:t>
      </w:r>
      <w:r>
        <w:rPr>
          <w:spacing w:val="-1"/>
        </w:rPr>
        <w:t> </w:t>
      </w:r>
      <w:r>
        <w:rPr/>
        <w:t>disruptive</w:t>
      </w:r>
      <w:r>
        <w:rPr>
          <w:spacing w:val="-2"/>
        </w:rPr>
        <w:t> </w:t>
      </w:r>
      <w:r>
        <w:rPr/>
        <w:t>technology</w:t>
      </w:r>
      <w:r>
        <w:rPr>
          <w:spacing w:val="-1"/>
        </w:rPr>
        <w:t> </w:t>
      </w:r>
      <w:r>
        <w:rPr/>
        <w:t>developments,</w:t>
      </w:r>
      <w:r>
        <w:rPr>
          <w:spacing w:val="-2"/>
        </w:rPr>
        <w:t> </w:t>
      </w:r>
      <w:r>
        <w:rPr/>
        <w:t>frequent</w:t>
      </w:r>
      <w:r>
        <w:rPr>
          <w:spacing w:val="-2"/>
        </w:rPr>
        <w:t> </w:t>
      </w:r>
      <w:r>
        <w:rPr/>
        <w:t>product</w:t>
      </w:r>
      <w:r>
        <w:rPr>
          <w:spacing w:val="-2"/>
        </w:rPr>
        <w:t> </w:t>
      </w:r>
      <w:r>
        <w:rPr/>
        <w:t>introductions,</w:t>
      </w:r>
      <w:r>
        <w:rPr>
          <w:spacing w:val="-2"/>
        </w:rPr>
        <w:t> </w:t>
      </w:r>
      <w:r>
        <w:rPr/>
        <w:t>short</w:t>
      </w:r>
      <w:r>
        <w:rPr>
          <w:spacing w:val="-2"/>
        </w:rPr>
        <w:t> </w:t>
      </w:r>
      <w:r>
        <w:rPr/>
        <w:t>product</w:t>
      </w:r>
      <w:r>
        <w:rPr>
          <w:spacing w:val="-2"/>
        </w:rPr>
        <w:t> </w:t>
      </w:r>
      <w:r>
        <w:rPr/>
        <w:t>life</w:t>
      </w:r>
      <w:r>
        <w:rPr>
          <w:spacing w:val="-1"/>
        </w:rPr>
        <w:t> </w:t>
      </w:r>
      <w:r>
        <w:rPr/>
        <w:t>cycles,</w:t>
      </w:r>
      <w:r>
        <w:rPr>
          <w:spacing w:val="-2"/>
        </w:rPr>
        <w:t> </w:t>
      </w:r>
      <w:r>
        <w:rPr/>
        <w:t>price</w:t>
      </w:r>
      <w:r>
        <w:rPr>
          <w:spacing w:val="-2"/>
        </w:rPr>
        <w:t> </w:t>
      </w:r>
      <w:r>
        <w:rPr/>
        <w:t>cutting with</w:t>
      </w:r>
      <w:r>
        <w:rPr>
          <w:spacing w:val="-11"/>
        </w:rPr>
        <w:t> </w:t>
      </w:r>
      <w:r>
        <w:rPr/>
        <w:t>resulting</w:t>
      </w:r>
      <w:r>
        <w:rPr>
          <w:spacing w:val="-11"/>
        </w:rPr>
        <w:t> </w:t>
      </w:r>
      <w:r>
        <w:rPr/>
        <w:t>downward</w:t>
      </w:r>
      <w:r>
        <w:rPr>
          <w:spacing w:val="-11"/>
        </w:rPr>
        <w:t> </w:t>
      </w:r>
      <w:r>
        <w:rPr/>
        <w:t>pressure</w:t>
      </w:r>
      <w:r>
        <w:rPr>
          <w:spacing w:val="-11"/>
        </w:rPr>
        <w:t> </w:t>
      </w:r>
      <w:r>
        <w:rPr/>
        <w:t>on</w:t>
      </w:r>
      <w:r>
        <w:rPr>
          <w:spacing w:val="-10"/>
        </w:rPr>
        <w:t> </w:t>
      </w:r>
      <w:r>
        <w:rPr/>
        <w:t>gross</w:t>
      </w:r>
      <w:r>
        <w:rPr>
          <w:spacing w:val="-10"/>
        </w:rPr>
        <w:t> </w:t>
      </w:r>
      <w:r>
        <w:rPr/>
        <w:t>margins</w:t>
      </w:r>
      <w:r>
        <w:rPr>
          <w:spacing w:val="-10"/>
        </w:rPr>
        <w:t> </w:t>
      </w:r>
      <w:r>
        <w:rPr/>
        <w:t>and</w:t>
      </w:r>
      <w:r>
        <w:rPr>
          <w:spacing w:val="-11"/>
        </w:rPr>
        <w:t> </w:t>
      </w:r>
      <w:r>
        <w:rPr/>
        <w:t>price</w:t>
      </w:r>
      <w:r>
        <w:rPr>
          <w:spacing w:val="-11"/>
        </w:rPr>
        <w:t> </w:t>
      </w:r>
      <w:r>
        <w:rPr/>
        <w:t>sensitivity</w:t>
      </w:r>
      <w:r>
        <w:rPr>
          <w:spacing w:val="-11"/>
        </w:rPr>
        <w:t> </w:t>
      </w:r>
      <w:r>
        <w:rPr/>
        <w:t>on</w:t>
      </w:r>
      <w:r>
        <w:rPr>
          <w:spacing w:val="-11"/>
        </w:rPr>
        <w:t> </w:t>
      </w:r>
      <w:r>
        <w:rPr/>
        <w:t>the</w:t>
      </w:r>
      <w:r>
        <w:rPr>
          <w:spacing w:val="-10"/>
        </w:rPr>
        <w:t> </w:t>
      </w:r>
      <w:r>
        <w:rPr/>
        <w:t>part</w:t>
      </w:r>
      <w:r>
        <w:rPr>
          <w:spacing w:val="-11"/>
        </w:rPr>
        <w:t> </w:t>
      </w:r>
      <w:r>
        <w:rPr/>
        <w:t>of</w:t>
      </w:r>
      <w:r>
        <w:rPr>
          <w:spacing w:val="-11"/>
        </w:rPr>
        <w:t> </w:t>
      </w:r>
      <w:r>
        <w:rPr/>
        <w:t>consumers.</w:t>
      </w:r>
      <w:r>
        <w:rPr>
          <w:spacing w:val="-10"/>
        </w:rPr>
        <w:t> </w:t>
      </w:r>
      <w:r>
        <w:rPr/>
        <w:t>Our</w:t>
      </w:r>
      <w:r>
        <w:rPr>
          <w:spacing w:val="-11"/>
        </w:rPr>
        <w:t> </w:t>
      </w:r>
      <w:r>
        <w:rPr/>
        <w:t>future</w:t>
      </w:r>
      <w:r>
        <w:rPr>
          <w:spacing w:val="-11"/>
        </w:rPr>
        <w:t> </w:t>
      </w:r>
      <w:r>
        <w:rPr/>
        <w:t>success</w:t>
      </w:r>
      <w:r>
        <w:rPr>
          <w:spacing w:val="-10"/>
        </w:rPr>
        <w:t> </w:t>
      </w:r>
      <w:r>
        <w:rPr/>
        <w:t>will</w:t>
      </w:r>
      <w:r>
        <w:rPr>
          <w:spacing w:val="-11"/>
        </w:rPr>
        <w:t> </w:t>
      </w:r>
      <w:r>
        <w:rPr/>
        <w:t>depend on</w:t>
      </w:r>
      <w:r>
        <w:rPr>
          <w:spacing w:val="-1"/>
        </w:rPr>
        <w:t> </w:t>
      </w:r>
      <w:r>
        <w:rPr/>
        <w:t>our</w:t>
      </w:r>
      <w:r>
        <w:rPr>
          <w:spacing w:val="-1"/>
        </w:rPr>
        <w:t> </w:t>
      </w:r>
      <w:r>
        <w:rPr/>
        <w:t>ability</w:t>
      </w:r>
      <w:r>
        <w:rPr>
          <w:spacing w:val="-2"/>
        </w:rPr>
        <w:t> </w:t>
      </w:r>
      <w:r>
        <w:rPr/>
        <w:t>to</w:t>
      </w:r>
      <w:r>
        <w:rPr>
          <w:spacing w:val="-1"/>
        </w:rPr>
        <w:t> </w:t>
      </w:r>
      <w:r>
        <w:rPr/>
        <w:t>enhance</w:t>
      </w:r>
      <w:r>
        <w:rPr>
          <w:spacing w:val="-2"/>
        </w:rPr>
        <w:t> </w:t>
      </w:r>
      <w:r>
        <w:rPr/>
        <w:t>and</w:t>
      </w:r>
      <w:r>
        <w:rPr>
          <w:spacing w:val="-2"/>
        </w:rPr>
        <w:t> </w:t>
      </w:r>
      <w:r>
        <w:rPr/>
        <w:t>better</w:t>
      </w:r>
      <w:r>
        <w:rPr>
          <w:spacing w:val="-1"/>
        </w:rPr>
        <w:t> </w:t>
      </w:r>
      <w:r>
        <w:rPr/>
        <w:t>integrate</w:t>
      </w:r>
      <w:r>
        <w:rPr>
          <w:spacing w:val="-2"/>
        </w:rPr>
        <w:t> </w:t>
      </w:r>
      <w:r>
        <w:rPr/>
        <w:t>our</w:t>
      </w:r>
      <w:r>
        <w:rPr>
          <w:spacing w:val="-1"/>
        </w:rPr>
        <w:t> </w:t>
      </w:r>
      <w:r>
        <w:rPr/>
        <w:t>existing</w:t>
      </w:r>
      <w:r>
        <w:rPr>
          <w:spacing w:val="-2"/>
        </w:rPr>
        <w:t> </w:t>
      </w:r>
      <w:r>
        <w:rPr/>
        <w:t>products,</w:t>
      </w:r>
      <w:r>
        <w:rPr>
          <w:spacing w:val="-1"/>
        </w:rPr>
        <w:t> </w:t>
      </w:r>
      <w:r>
        <w:rPr/>
        <w:t>introduce</w:t>
      </w:r>
      <w:r>
        <w:rPr>
          <w:spacing w:val="-2"/>
        </w:rPr>
        <w:t> </w:t>
      </w:r>
      <w:r>
        <w:rPr/>
        <w:t>new</w:t>
      </w:r>
      <w:r>
        <w:rPr>
          <w:spacing w:val="-1"/>
        </w:rPr>
        <w:t> </w:t>
      </w:r>
      <w:r>
        <w:rPr/>
        <w:t>products</w:t>
      </w:r>
      <w:r>
        <w:rPr>
          <w:spacing w:val="-1"/>
        </w:rPr>
        <w:t> </w:t>
      </w:r>
      <w:r>
        <w:rPr/>
        <w:t>on</w:t>
      </w:r>
      <w:r>
        <w:rPr>
          <w:spacing w:val="-1"/>
        </w:rPr>
        <w:t> </w:t>
      </w:r>
      <w:r>
        <w:rPr/>
        <w:t>a</w:t>
      </w:r>
      <w:r>
        <w:rPr>
          <w:spacing w:val="-1"/>
        </w:rPr>
        <w:t> </w:t>
      </w:r>
      <w:r>
        <w:rPr/>
        <w:t>timely</w:t>
      </w:r>
      <w:r>
        <w:rPr>
          <w:spacing w:val="-2"/>
        </w:rPr>
        <w:t> </w:t>
      </w:r>
      <w:r>
        <w:rPr/>
        <w:t>and</w:t>
      </w:r>
      <w:r>
        <w:rPr>
          <w:spacing w:val="-1"/>
        </w:rPr>
        <w:t> </w:t>
      </w:r>
      <w:r>
        <w:rPr/>
        <w:t>cost-effective</w:t>
      </w:r>
      <w:r>
        <w:rPr>
          <w:spacing w:val="-2"/>
        </w:rPr>
        <w:t> </w:t>
      </w:r>
      <w:r>
        <w:rPr/>
        <w:t>basis, </w:t>
      </w:r>
      <w:r>
        <w:rPr>
          <w:spacing w:val="-2"/>
        </w:rPr>
        <w:t>meet changing customer needs, provide best-in-class information security to build customer confidence and combat cyber-attacks, </w:t>
      </w:r>
      <w:r>
        <w:rPr/>
        <w:t>extend</w:t>
      </w:r>
      <w:r>
        <w:rPr>
          <w:spacing w:val="-10"/>
        </w:rPr>
        <w:t> </w:t>
      </w:r>
      <w:r>
        <w:rPr/>
        <w:t>our</w:t>
      </w:r>
      <w:r>
        <w:rPr>
          <w:spacing w:val="-10"/>
        </w:rPr>
        <w:t> </w:t>
      </w:r>
      <w:r>
        <w:rPr/>
        <w:t>core</w:t>
      </w:r>
      <w:r>
        <w:rPr>
          <w:spacing w:val="-10"/>
        </w:rPr>
        <w:t> </w:t>
      </w:r>
      <w:r>
        <w:rPr/>
        <w:t>technology</w:t>
      </w:r>
      <w:r>
        <w:rPr>
          <w:spacing w:val="-10"/>
        </w:rPr>
        <w:t> </w:t>
      </w:r>
      <w:r>
        <w:rPr/>
        <w:t>into</w:t>
      </w:r>
      <w:r>
        <w:rPr>
          <w:spacing w:val="-10"/>
        </w:rPr>
        <w:t> </w:t>
      </w:r>
      <w:r>
        <w:rPr/>
        <w:t>new</w:t>
      </w:r>
      <w:r>
        <w:rPr>
          <w:spacing w:val="-10"/>
        </w:rPr>
        <w:t> </w:t>
      </w:r>
      <w:r>
        <w:rPr/>
        <w:t>applications</w:t>
      </w:r>
      <w:r>
        <w:rPr>
          <w:spacing w:val="-10"/>
        </w:rPr>
        <w:t> </w:t>
      </w:r>
      <w:r>
        <w:rPr/>
        <w:t>and</w:t>
      </w:r>
      <w:r>
        <w:rPr>
          <w:spacing w:val="-10"/>
        </w:rPr>
        <w:t> </w:t>
      </w:r>
      <w:r>
        <w:rPr/>
        <w:t>anticipate</w:t>
      </w:r>
      <w:r>
        <w:rPr>
          <w:spacing w:val="-11"/>
        </w:rPr>
        <w:t> </w:t>
      </w:r>
      <w:r>
        <w:rPr/>
        <w:t>emerging</w:t>
      </w:r>
      <w:r>
        <w:rPr>
          <w:spacing w:val="-10"/>
        </w:rPr>
        <w:t> </w:t>
      </w:r>
      <w:r>
        <w:rPr/>
        <w:t>standards,</w:t>
      </w:r>
      <w:r>
        <w:rPr>
          <w:spacing w:val="-10"/>
        </w:rPr>
        <w:t> </w:t>
      </w:r>
      <w:r>
        <w:rPr/>
        <w:t>business</w:t>
      </w:r>
      <w:r>
        <w:rPr>
          <w:spacing w:val="-10"/>
        </w:rPr>
        <w:t> </w:t>
      </w:r>
      <w:r>
        <w:rPr/>
        <w:t>models,</w:t>
      </w:r>
      <w:r>
        <w:rPr>
          <w:spacing w:val="-10"/>
        </w:rPr>
        <w:t> </w:t>
      </w:r>
      <w:r>
        <w:rPr/>
        <w:t>software</w:t>
      </w:r>
      <w:r>
        <w:rPr>
          <w:spacing w:val="-11"/>
        </w:rPr>
        <w:t> </w:t>
      </w:r>
      <w:r>
        <w:rPr/>
        <w:t>delivery</w:t>
      </w:r>
      <w:r>
        <w:rPr>
          <w:spacing w:val="-10"/>
        </w:rPr>
        <w:t> </w:t>
      </w:r>
      <w:r>
        <w:rPr/>
        <w:t>methods and other technological changes.</w:t>
      </w:r>
    </w:p>
    <w:p>
      <w:pPr>
        <w:pStyle w:val="BodyText"/>
        <w:spacing w:before="175"/>
      </w:pPr>
    </w:p>
    <w:p>
      <w:pPr>
        <w:pStyle w:val="Heading2"/>
      </w:pPr>
      <w:r>
        <w:rPr/>
        <w:t>Digital</w:t>
      </w:r>
      <w:r>
        <w:rPr>
          <w:spacing w:val="-1"/>
        </w:rPr>
        <w:t> </w:t>
      </w:r>
      <w:r>
        <w:rPr>
          <w:spacing w:val="-2"/>
        </w:rPr>
        <w:t>Media</w:t>
      </w:r>
    </w:p>
    <w:p>
      <w:pPr>
        <w:pStyle w:val="BodyText"/>
        <w:spacing w:before="20"/>
        <w:rPr>
          <w:b/>
        </w:rPr>
      </w:pPr>
    </w:p>
    <w:p>
      <w:pPr>
        <w:pStyle w:val="BodyText"/>
        <w:spacing w:line="249" w:lineRule="auto" w:before="1"/>
        <w:ind w:left="220" w:right="257" w:firstLine="540"/>
        <w:jc w:val="both"/>
      </w:pPr>
      <w:r>
        <w:rPr/>
        <w:t>No single company has offerings that match the capabilities of our Creative Cloud products and services, but we face collective</w:t>
      </w:r>
      <w:r>
        <w:rPr>
          <w:spacing w:val="-13"/>
        </w:rPr>
        <w:t> </w:t>
      </w:r>
      <w:r>
        <w:rPr/>
        <w:t>competition</w:t>
      </w:r>
      <w:r>
        <w:rPr>
          <w:spacing w:val="-12"/>
        </w:rPr>
        <w:t> </w:t>
      </w:r>
      <w:r>
        <w:rPr/>
        <w:t>from</w:t>
      </w:r>
      <w:r>
        <w:rPr>
          <w:spacing w:val="-13"/>
        </w:rPr>
        <w:t> </w:t>
      </w:r>
      <w:r>
        <w:rPr/>
        <w:t>a</w:t>
      </w:r>
      <w:r>
        <w:rPr>
          <w:spacing w:val="-12"/>
        </w:rPr>
        <w:t> </w:t>
      </w:r>
      <w:r>
        <w:rPr/>
        <w:t>variety</w:t>
      </w:r>
      <w:r>
        <w:rPr>
          <w:spacing w:val="-13"/>
        </w:rPr>
        <w:t> </w:t>
      </w:r>
      <w:r>
        <w:rPr/>
        <w:t>of</w:t>
      </w:r>
      <w:r>
        <w:rPr>
          <w:spacing w:val="-12"/>
        </w:rPr>
        <w:t> </w:t>
      </w:r>
      <w:r>
        <w:rPr/>
        <w:t>point</w:t>
      </w:r>
      <w:r>
        <w:rPr>
          <w:spacing w:val="-13"/>
        </w:rPr>
        <w:t> </w:t>
      </w:r>
      <w:r>
        <w:rPr/>
        <w:t>offerings,</w:t>
      </w:r>
      <w:r>
        <w:rPr>
          <w:spacing w:val="-12"/>
        </w:rPr>
        <w:t> </w:t>
      </w:r>
      <w:r>
        <w:rPr/>
        <w:t>free</w:t>
      </w:r>
      <w:r>
        <w:rPr>
          <w:spacing w:val="-13"/>
        </w:rPr>
        <w:t> </w:t>
      </w:r>
      <w:r>
        <w:rPr/>
        <w:t>products</w:t>
      </w:r>
      <w:r>
        <w:rPr>
          <w:spacing w:val="-12"/>
        </w:rPr>
        <w:t> </w:t>
      </w:r>
      <w:r>
        <w:rPr/>
        <w:t>and</w:t>
      </w:r>
      <w:r>
        <w:rPr>
          <w:spacing w:val="-13"/>
        </w:rPr>
        <w:t> </w:t>
      </w:r>
      <w:r>
        <w:rPr/>
        <w:t>downloadable</w:t>
      </w:r>
      <w:r>
        <w:rPr>
          <w:spacing w:val="-12"/>
        </w:rPr>
        <w:t> </w:t>
      </w:r>
      <w:r>
        <w:rPr/>
        <w:t>apps.</w:t>
      </w:r>
      <w:r>
        <w:rPr>
          <w:spacing w:val="-13"/>
        </w:rPr>
        <w:t> </w:t>
      </w:r>
      <w:r>
        <w:rPr/>
        <w:t>Our</w:t>
      </w:r>
      <w:r>
        <w:rPr>
          <w:spacing w:val="-12"/>
        </w:rPr>
        <w:t> </w:t>
      </w:r>
      <w:r>
        <w:rPr/>
        <w:t>competition</w:t>
      </w:r>
      <w:r>
        <w:rPr>
          <w:spacing w:val="-13"/>
        </w:rPr>
        <w:t> </w:t>
      </w:r>
      <w:r>
        <w:rPr/>
        <w:t>includes</w:t>
      </w:r>
      <w:r>
        <w:rPr>
          <w:spacing w:val="-12"/>
        </w:rPr>
        <w:t> </w:t>
      </w:r>
      <w:r>
        <w:rPr/>
        <w:t>offerings from</w:t>
      </w:r>
      <w:r>
        <w:rPr>
          <w:spacing w:val="-7"/>
        </w:rPr>
        <w:t> </w:t>
      </w:r>
      <w:r>
        <w:rPr/>
        <w:t>companies</w:t>
      </w:r>
      <w:r>
        <w:rPr>
          <w:spacing w:val="-3"/>
        </w:rPr>
        <w:t> </w:t>
      </w:r>
      <w:r>
        <w:rPr/>
        <w:t>such</w:t>
      </w:r>
      <w:r>
        <w:rPr>
          <w:spacing w:val="-3"/>
        </w:rPr>
        <w:t> </w:t>
      </w:r>
      <w:r>
        <w:rPr/>
        <w:t>as</w:t>
      </w:r>
      <w:r>
        <w:rPr>
          <w:spacing w:val="-13"/>
        </w:rPr>
        <w:t> </w:t>
      </w:r>
      <w:r>
        <w:rPr/>
        <w:t>Apple,</w:t>
      </w:r>
      <w:r>
        <w:rPr>
          <w:spacing w:val="-12"/>
        </w:rPr>
        <w:t> </w:t>
      </w:r>
      <w:r>
        <w:rPr/>
        <w:t>Autodesk,</w:t>
      </w:r>
      <w:r>
        <w:rPr>
          <w:spacing w:val="-13"/>
        </w:rPr>
        <w:t> </w:t>
      </w:r>
      <w:r>
        <w:rPr/>
        <w:t>Avid,</w:t>
      </w:r>
      <w:r>
        <w:rPr>
          <w:spacing w:val="-4"/>
        </w:rPr>
        <w:t> </w:t>
      </w:r>
      <w:r>
        <w:rPr/>
        <w:t>Facebook,</w:t>
      </w:r>
      <w:r>
        <w:rPr>
          <w:spacing w:val="-3"/>
        </w:rPr>
        <w:t> </w:t>
      </w:r>
      <w:r>
        <w:rPr/>
        <w:t>Corel,</w:t>
      </w:r>
      <w:r>
        <w:rPr>
          <w:spacing w:val="-3"/>
        </w:rPr>
        <w:t> </w:t>
      </w:r>
      <w:r>
        <w:rPr/>
        <w:t>Microsoft,</w:t>
      </w:r>
      <w:r>
        <w:rPr>
          <w:spacing w:val="-3"/>
        </w:rPr>
        <w:t> </w:t>
      </w:r>
      <w:r>
        <w:rPr/>
        <w:t>Quark</w:t>
      </w:r>
      <w:r>
        <w:rPr>
          <w:spacing w:val="-3"/>
        </w:rPr>
        <w:t> </w:t>
      </w:r>
      <w:r>
        <w:rPr/>
        <w:t>and</w:t>
      </w:r>
      <w:r>
        <w:rPr>
          <w:spacing w:val="-4"/>
        </w:rPr>
        <w:t> </w:t>
      </w:r>
      <w:r>
        <w:rPr/>
        <w:t>others,</w:t>
      </w:r>
      <w:r>
        <w:rPr>
          <w:spacing w:val="-3"/>
        </w:rPr>
        <w:t> </w:t>
      </w:r>
      <w:r>
        <w:rPr/>
        <w:t>as</w:t>
      </w:r>
      <w:r>
        <w:rPr>
          <w:spacing w:val="-3"/>
        </w:rPr>
        <w:t> </w:t>
      </w:r>
      <w:r>
        <w:rPr/>
        <w:t>well</w:t>
      </w:r>
      <w:r>
        <w:rPr>
          <w:spacing w:val="-4"/>
        </w:rPr>
        <w:t> </w:t>
      </w:r>
      <w:r>
        <w:rPr/>
        <w:t>as</w:t>
      </w:r>
      <w:r>
        <w:rPr>
          <w:spacing w:val="-3"/>
        </w:rPr>
        <w:t> </w:t>
      </w:r>
      <w:r>
        <w:rPr/>
        <w:t>from</w:t>
      </w:r>
      <w:r>
        <w:rPr>
          <w:spacing w:val="-4"/>
        </w:rPr>
        <w:t> </w:t>
      </w:r>
      <w:r>
        <w:rPr/>
        <w:t>many</w:t>
      </w:r>
      <w:r>
        <w:rPr>
          <w:spacing w:val="-3"/>
        </w:rPr>
        <w:t> </w:t>
      </w:r>
      <w:r>
        <w:rPr/>
        <w:t>lower-end offerings.</w:t>
      </w:r>
      <w:r>
        <w:rPr>
          <w:spacing w:val="-4"/>
        </w:rPr>
        <w:t> </w:t>
      </w:r>
      <w:r>
        <w:rPr/>
        <w:t>We believe</w:t>
      </w:r>
      <w:r>
        <w:rPr>
          <w:spacing w:val="-1"/>
        </w:rPr>
        <w:t> </w:t>
      </w:r>
      <w:r>
        <w:rPr/>
        <w:t>our greatest advantage</w:t>
      </w:r>
      <w:r>
        <w:rPr>
          <w:spacing w:val="-1"/>
        </w:rPr>
        <w:t> </w:t>
      </w:r>
      <w:r>
        <w:rPr/>
        <w:t>in this space is the performance</w:t>
      </w:r>
      <w:r>
        <w:rPr>
          <w:spacing w:val="-1"/>
        </w:rPr>
        <w:t> </w:t>
      </w:r>
      <w:r>
        <w:rPr/>
        <w:t>and scope of our integrated solutions, which work together</w:t>
      </w:r>
      <w:r>
        <w:rPr>
          <w:spacing w:val="-7"/>
        </w:rPr>
        <w:t> </w:t>
      </w:r>
      <w:r>
        <w:rPr/>
        <w:t>as</w:t>
      </w:r>
      <w:r>
        <w:rPr>
          <w:spacing w:val="-6"/>
        </w:rPr>
        <w:t> </w:t>
      </w:r>
      <w:r>
        <w:rPr/>
        <w:t>part</w:t>
      </w:r>
      <w:r>
        <w:rPr>
          <w:spacing w:val="-7"/>
        </w:rPr>
        <w:t> </w:t>
      </w:r>
      <w:r>
        <w:rPr/>
        <w:t>of</w:t>
      </w:r>
      <w:r>
        <w:rPr>
          <w:spacing w:val="-6"/>
        </w:rPr>
        <w:t> </w:t>
      </w:r>
      <w:r>
        <w:rPr/>
        <w:t>Creative</w:t>
      </w:r>
      <w:r>
        <w:rPr>
          <w:spacing w:val="-7"/>
        </w:rPr>
        <w:t> </w:t>
      </w:r>
      <w:r>
        <w:rPr/>
        <w:t>Cloud.</w:t>
      </w:r>
      <w:r>
        <w:rPr>
          <w:spacing w:val="-10"/>
        </w:rPr>
        <w:t> </w:t>
      </w:r>
      <w:r>
        <w:rPr/>
        <w:t>With</w:t>
      </w:r>
      <w:r>
        <w:rPr>
          <w:spacing w:val="-6"/>
        </w:rPr>
        <w:t> </w:t>
      </w:r>
      <w:r>
        <w:rPr/>
        <w:t>Creative</w:t>
      </w:r>
      <w:r>
        <w:rPr>
          <w:spacing w:val="-7"/>
        </w:rPr>
        <w:t> </w:t>
      </w:r>
      <w:r>
        <w:rPr/>
        <w:t>Cloud,</w:t>
      </w:r>
      <w:r>
        <w:rPr>
          <w:spacing w:val="-6"/>
        </w:rPr>
        <w:t> </w:t>
      </w:r>
      <w:r>
        <w:rPr/>
        <w:t>we</w:t>
      </w:r>
      <w:r>
        <w:rPr>
          <w:spacing w:val="-7"/>
        </w:rPr>
        <w:t> </w:t>
      </w:r>
      <w:r>
        <w:rPr/>
        <w:t>compete</w:t>
      </w:r>
      <w:r>
        <w:rPr>
          <w:spacing w:val="-7"/>
        </w:rPr>
        <w:t> </w:t>
      </w:r>
      <w:r>
        <w:rPr/>
        <w:t>favorably</w:t>
      </w:r>
      <w:r>
        <w:rPr>
          <w:spacing w:val="-7"/>
        </w:rPr>
        <w:t> </w:t>
      </w:r>
      <w:r>
        <w:rPr/>
        <w:t>on</w:t>
      </w:r>
      <w:r>
        <w:rPr>
          <w:spacing w:val="-6"/>
        </w:rPr>
        <w:t> </w:t>
      </w:r>
      <w:r>
        <w:rPr/>
        <w:t>the</w:t>
      </w:r>
      <w:r>
        <w:rPr>
          <w:spacing w:val="-7"/>
        </w:rPr>
        <w:t> </w:t>
      </w:r>
      <w:r>
        <w:rPr/>
        <w:t>basis</w:t>
      </w:r>
      <w:r>
        <w:rPr>
          <w:spacing w:val="-6"/>
        </w:rPr>
        <w:t> </w:t>
      </w:r>
      <w:r>
        <w:rPr/>
        <w:t>of</w:t>
      </w:r>
      <w:r>
        <w:rPr>
          <w:spacing w:val="-6"/>
        </w:rPr>
        <w:t> </w:t>
      </w:r>
      <w:r>
        <w:rPr/>
        <w:t>features</w:t>
      </w:r>
      <w:r>
        <w:rPr>
          <w:spacing w:val="-6"/>
        </w:rPr>
        <w:t> </w:t>
      </w:r>
      <w:r>
        <w:rPr/>
        <w:t>and</w:t>
      </w:r>
      <w:r>
        <w:rPr>
          <w:spacing w:val="-6"/>
        </w:rPr>
        <w:t> </w:t>
      </w:r>
      <w:r>
        <w:rPr/>
        <w:t>functionality,</w:t>
      </w:r>
      <w:r>
        <w:rPr>
          <w:spacing w:val="-6"/>
        </w:rPr>
        <w:t> </w:t>
      </w:r>
      <w:r>
        <w:rPr/>
        <w:t>ease</w:t>
      </w:r>
      <w:r>
        <w:rPr>
          <w:spacing w:val="-7"/>
        </w:rPr>
        <w:t> </w:t>
      </w:r>
      <w:r>
        <w:rPr/>
        <w:t>of use, product reliability, value and performance characteristics.</w:t>
      </w:r>
    </w:p>
    <w:p>
      <w:pPr>
        <w:pStyle w:val="BodyText"/>
        <w:spacing w:line="249" w:lineRule="auto" w:before="164"/>
        <w:ind w:left="220" w:right="257" w:firstLine="540"/>
        <w:jc w:val="both"/>
      </w:pPr>
      <w:r>
        <w:rPr/>
        <w:t>Professional digital imaging, drawing and illustration products are characterized by feature-rich competition, brand awareness and price sensitivity. Competition in this space is also emerging with drawing and illustration applications on tablet and</w:t>
      </w:r>
      <w:r>
        <w:rPr>
          <w:spacing w:val="-13"/>
        </w:rPr>
        <w:t> </w:t>
      </w:r>
      <w:r>
        <w:rPr/>
        <w:t>smartphone</w:t>
      </w:r>
      <w:r>
        <w:rPr>
          <w:spacing w:val="-12"/>
        </w:rPr>
        <w:t> </w:t>
      </w:r>
      <w:r>
        <w:rPr/>
        <w:t>platforms.</w:t>
      </w:r>
      <w:r>
        <w:rPr>
          <w:spacing w:val="-13"/>
        </w:rPr>
        <w:t> </w:t>
      </w:r>
      <w:r>
        <w:rPr/>
        <w:t>The</w:t>
      </w:r>
      <w:r>
        <w:rPr>
          <w:spacing w:val="-12"/>
        </w:rPr>
        <w:t> </w:t>
      </w:r>
      <w:r>
        <w:rPr/>
        <w:t>demand</w:t>
      </w:r>
      <w:r>
        <w:rPr>
          <w:spacing w:val="-13"/>
        </w:rPr>
        <w:t> </w:t>
      </w:r>
      <w:r>
        <w:rPr/>
        <w:t>for</w:t>
      </w:r>
      <w:r>
        <w:rPr>
          <w:spacing w:val="-12"/>
        </w:rPr>
        <w:t> </w:t>
      </w:r>
      <w:r>
        <w:rPr/>
        <w:t>professional</w:t>
      </w:r>
      <w:r>
        <w:rPr>
          <w:spacing w:val="-13"/>
        </w:rPr>
        <w:t> </w:t>
      </w:r>
      <w:r>
        <w:rPr/>
        <w:t>web</w:t>
      </w:r>
      <w:r>
        <w:rPr>
          <w:spacing w:val="-12"/>
        </w:rPr>
        <w:t> </w:t>
      </w:r>
      <w:r>
        <w:rPr/>
        <w:t>page</w:t>
      </w:r>
      <w:r>
        <w:rPr>
          <w:spacing w:val="-13"/>
        </w:rPr>
        <w:t> </w:t>
      </w:r>
      <w:r>
        <w:rPr/>
        <w:t>layout</w:t>
      </w:r>
      <w:r>
        <w:rPr>
          <w:spacing w:val="-12"/>
        </w:rPr>
        <w:t> </w:t>
      </w:r>
      <w:r>
        <w:rPr/>
        <w:t>and</w:t>
      </w:r>
      <w:r>
        <w:rPr>
          <w:spacing w:val="-13"/>
        </w:rPr>
        <w:t> </w:t>
      </w:r>
      <w:r>
        <w:rPr/>
        <w:t>professional</w:t>
      </w:r>
      <w:r>
        <w:rPr>
          <w:spacing w:val="-12"/>
        </w:rPr>
        <w:t> </w:t>
      </w:r>
      <w:r>
        <w:rPr/>
        <w:t>web</w:t>
      </w:r>
      <w:r>
        <w:rPr>
          <w:spacing w:val="-13"/>
        </w:rPr>
        <w:t> </w:t>
      </w:r>
      <w:r>
        <w:rPr/>
        <w:t>content</w:t>
      </w:r>
      <w:r>
        <w:rPr>
          <w:spacing w:val="-12"/>
        </w:rPr>
        <w:t> </w:t>
      </w:r>
      <w:r>
        <w:rPr/>
        <w:t>creation</w:t>
      </w:r>
      <w:r>
        <w:rPr>
          <w:spacing w:val="-13"/>
        </w:rPr>
        <w:t> </w:t>
      </w:r>
      <w:r>
        <w:rPr/>
        <w:t>tools</w:t>
      </w:r>
      <w:r>
        <w:rPr>
          <w:spacing w:val="-12"/>
        </w:rPr>
        <w:t> </w:t>
      </w:r>
      <w:r>
        <w:rPr/>
        <w:t>is</w:t>
      </w:r>
      <w:r>
        <w:rPr>
          <w:spacing w:val="-13"/>
        </w:rPr>
        <w:t> </w:t>
      </w:r>
      <w:r>
        <w:rPr/>
        <w:t>constantly evolving and highly volatile. In this area, we face direct and indirect competition from desktop software companies and various proprietary and open source web-authoring tools.</w:t>
      </w:r>
    </w:p>
    <w:p>
      <w:pPr>
        <w:pStyle w:val="BodyText"/>
        <w:spacing w:line="249" w:lineRule="auto" w:before="165"/>
        <w:ind w:left="220" w:right="257" w:firstLine="540"/>
        <w:jc w:val="both"/>
      </w:pPr>
      <w:r>
        <w:rPr>
          <w:spacing w:val="-2"/>
        </w:rPr>
        <w:t>We</w:t>
      </w:r>
      <w:r>
        <w:rPr>
          <w:spacing w:val="-11"/>
        </w:rPr>
        <w:t> </w:t>
      </w:r>
      <w:r>
        <w:rPr>
          <w:spacing w:val="-2"/>
        </w:rPr>
        <w:t>face</w:t>
      </w:r>
      <w:r>
        <w:rPr>
          <w:spacing w:val="-10"/>
        </w:rPr>
        <w:t> </w:t>
      </w:r>
      <w:r>
        <w:rPr>
          <w:spacing w:val="-2"/>
        </w:rPr>
        <w:t>competition</w:t>
      </w:r>
      <w:r>
        <w:rPr>
          <w:spacing w:val="-10"/>
        </w:rPr>
        <w:t> </w:t>
      </w:r>
      <w:r>
        <w:rPr>
          <w:spacing w:val="-2"/>
        </w:rPr>
        <w:t>from</w:t>
      </w:r>
      <w:r>
        <w:rPr>
          <w:spacing w:val="-11"/>
        </w:rPr>
        <w:t> </w:t>
      </w:r>
      <w:r>
        <w:rPr>
          <w:spacing w:val="-2"/>
        </w:rPr>
        <w:t>device,</w:t>
      </w:r>
      <w:r>
        <w:rPr>
          <w:spacing w:val="-10"/>
        </w:rPr>
        <w:t> </w:t>
      </w:r>
      <w:r>
        <w:rPr>
          <w:spacing w:val="-2"/>
        </w:rPr>
        <w:t>hardware</w:t>
      </w:r>
      <w:r>
        <w:rPr>
          <w:spacing w:val="-11"/>
        </w:rPr>
        <w:t> </w:t>
      </w:r>
      <w:r>
        <w:rPr>
          <w:spacing w:val="-2"/>
        </w:rPr>
        <w:t>and</w:t>
      </w:r>
      <w:r>
        <w:rPr>
          <w:spacing w:val="-9"/>
        </w:rPr>
        <w:t> </w:t>
      </w:r>
      <w:r>
        <w:rPr>
          <w:spacing w:val="-2"/>
        </w:rPr>
        <w:t>camera</w:t>
      </w:r>
      <w:r>
        <w:rPr>
          <w:spacing w:val="-11"/>
        </w:rPr>
        <w:t> </w:t>
      </w:r>
      <w:r>
        <w:rPr>
          <w:spacing w:val="-2"/>
        </w:rPr>
        <w:t>manufacturers</w:t>
      </w:r>
      <w:r>
        <w:rPr>
          <w:spacing w:val="-9"/>
        </w:rPr>
        <w:t> </w:t>
      </w:r>
      <w:r>
        <w:rPr>
          <w:spacing w:val="-2"/>
        </w:rPr>
        <w:t>as</w:t>
      </w:r>
      <w:r>
        <w:rPr>
          <w:spacing w:val="-10"/>
        </w:rPr>
        <w:t> </w:t>
      </w:r>
      <w:r>
        <w:rPr>
          <w:spacing w:val="-2"/>
        </w:rPr>
        <w:t>they</w:t>
      </w:r>
      <w:r>
        <w:rPr>
          <w:spacing w:val="-10"/>
        </w:rPr>
        <w:t> </w:t>
      </w:r>
      <w:r>
        <w:rPr>
          <w:spacing w:val="-2"/>
        </w:rPr>
        <w:t>try</w:t>
      </w:r>
      <w:r>
        <w:rPr>
          <w:spacing w:val="-10"/>
        </w:rPr>
        <w:t> </w:t>
      </w:r>
      <w:r>
        <w:rPr>
          <w:spacing w:val="-2"/>
        </w:rPr>
        <w:t>to</w:t>
      </w:r>
      <w:r>
        <w:rPr>
          <w:spacing w:val="-10"/>
        </w:rPr>
        <w:t> </w:t>
      </w:r>
      <w:r>
        <w:rPr>
          <w:spacing w:val="-2"/>
        </w:rPr>
        <w:t>differentiate</w:t>
      </w:r>
      <w:r>
        <w:rPr>
          <w:spacing w:val="-11"/>
        </w:rPr>
        <w:t> </w:t>
      </w:r>
      <w:r>
        <w:rPr>
          <w:spacing w:val="-2"/>
        </w:rPr>
        <w:t>their</w:t>
      </w:r>
      <w:r>
        <w:rPr>
          <w:spacing w:val="-10"/>
        </w:rPr>
        <w:t> </w:t>
      </w:r>
      <w:r>
        <w:rPr>
          <w:spacing w:val="-2"/>
        </w:rPr>
        <w:t>offerings</w:t>
      </w:r>
      <w:r>
        <w:rPr>
          <w:spacing w:val="-10"/>
        </w:rPr>
        <w:t> </w:t>
      </w:r>
      <w:r>
        <w:rPr>
          <w:spacing w:val="-2"/>
        </w:rPr>
        <w:t>by</w:t>
      </w:r>
      <w:r>
        <w:rPr>
          <w:spacing w:val="-10"/>
        </w:rPr>
        <w:t> </w:t>
      </w:r>
      <w:r>
        <w:rPr>
          <w:spacing w:val="-2"/>
        </w:rPr>
        <w:t>bundling, </w:t>
      </w:r>
      <w:r>
        <w:rPr/>
        <w:t>for</w:t>
      </w:r>
      <w:r>
        <w:rPr>
          <w:spacing w:val="-2"/>
        </w:rPr>
        <w:t> </w:t>
      </w:r>
      <w:r>
        <w:rPr/>
        <w:t>free,</w:t>
      </w:r>
      <w:r>
        <w:rPr>
          <w:spacing w:val="-3"/>
        </w:rPr>
        <w:t> </w:t>
      </w:r>
      <w:r>
        <w:rPr/>
        <w:t>their</w:t>
      </w:r>
      <w:r>
        <w:rPr>
          <w:spacing w:val="-2"/>
        </w:rPr>
        <w:t> </w:t>
      </w:r>
      <w:r>
        <w:rPr/>
        <w:t>own</w:t>
      </w:r>
      <w:r>
        <w:rPr>
          <w:spacing w:val="-3"/>
        </w:rPr>
        <w:t> </w:t>
      </w:r>
      <w:r>
        <w:rPr/>
        <w:t>digital</w:t>
      </w:r>
      <w:r>
        <w:rPr>
          <w:spacing w:val="-3"/>
        </w:rPr>
        <w:t> </w:t>
      </w:r>
      <w:r>
        <w:rPr/>
        <w:t>imaging</w:t>
      </w:r>
      <w:r>
        <w:rPr>
          <w:spacing w:val="-3"/>
        </w:rPr>
        <w:t> </w:t>
      </w:r>
      <w:r>
        <w:rPr/>
        <w:t>software</w:t>
      </w:r>
      <w:r>
        <w:rPr>
          <w:spacing w:val="-3"/>
        </w:rPr>
        <w:t> </w:t>
      </w:r>
      <w:r>
        <w:rPr/>
        <w:t>or</w:t>
      </w:r>
      <w:r>
        <w:rPr>
          <w:spacing w:val="-2"/>
        </w:rPr>
        <w:t> </w:t>
      </w:r>
      <w:r>
        <w:rPr/>
        <w:t>those</w:t>
      </w:r>
      <w:r>
        <w:rPr>
          <w:spacing w:val="-3"/>
        </w:rPr>
        <w:t> </w:t>
      </w:r>
      <w:r>
        <w:rPr/>
        <w:t>of</w:t>
      </w:r>
      <w:r>
        <w:rPr>
          <w:spacing w:val="-2"/>
        </w:rPr>
        <w:t> </w:t>
      </w:r>
      <w:r>
        <w:rPr/>
        <w:t>our</w:t>
      </w:r>
      <w:r>
        <w:rPr>
          <w:spacing w:val="-3"/>
        </w:rPr>
        <w:t> </w:t>
      </w:r>
      <w:r>
        <w:rPr/>
        <w:t>competitors.</w:t>
      </w:r>
      <w:r>
        <w:rPr>
          <w:spacing w:val="-3"/>
        </w:rPr>
        <w:t> </w:t>
      </w:r>
      <w:r>
        <w:rPr/>
        <w:t>Similarly,</w:t>
      </w:r>
      <w:r>
        <w:rPr>
          <w:spacing w:val="-3"/>
        </w:rPr>
        <w:t> </w:t>
      </w:r>
      <w:r>
        <w:rPr/>
        <w:t>we</w:t>
      </w:r>
      <w:r>
        <w:rPr>
          <w:spacing w:val="-3"/>
        </w:rPr>
        <w:t> </w:t>
      </w:r>
      <w:r>
        <w:rPr/>
        <w:t>face</w:t>
      </w:r>
      <w:r>
        <w:rPr>
          <w:spacing w:val="-3"/>
        </w:rPr>
        <w:t> </w:t>
      </w:r>
      <w:r>
        <w:rPr/>
        <w:t>potential</w:t>
      </w:r>
      <w:r>
        <w:rPr>
          <w:spacing w:val="-3"/>
        </w:rPr>
        <w:t> </w:t>
      </w:r>
      <w:r>
        <w:rPr/>
        <w:t>competition</w:t>
      </w:r>
      <w:r>
        <w:rPr>
          <w:spacing w:val="-2"/>
        </w:rPr>
        <w:t> </w:t>
      </w:r>
      <w:r>
        <w:rPr/>
        <w:t>from</w:t>
      </w:r>
      <w:r>
        <w:rPr>
          <w:spacing w:val="-3"/>
        </w:rPr>
        <w:t> </w:t>
      </w:r>
      <w:r>
        <w:rPr/>
        <w:t>operating </w:t>
      </w:r>
      <w:r>
        <w:rPr>
          <w:spacing w:val="-2"/>
        </w:rPr>
        <w:t>system</w:t>
      </w:r>
      <w:r>
        <w:rPr>
          <w:spacing w:val="-4"/>
        </w:rPr>
        <w:t> </w:t>
      </w:r>
      <w:r>
        <w:rPr>
          <w:spacing w:val="-2"/>
        </w:rPr>
        <w:t>manufacturers</w:t>
      </w:r>
      <w:r>
        <w:rPr>
          <w:spacing w:val="-3"/>
        </w:rPr>
        <w:t> </w:t>
      </w:r>
      <w:r>
        <w:rPr>
          <w:spacing w:val="-2"/>
        </w:rPr>
        <w:t>as</w:t>
      </w:r>
      <w:r>
        <w:rPr>
          <w:spacing w:val="-4"/>
        </w:rPr>
        <w:t> </w:t>
      </w:r>
      <w:r>
        <w:rPr>
          <w:spacing w:val="-2"/>
        </w:rPr>
        <w:t>they</w:t>
      </w:r>
      <w:r>
        <w:rPr>
          <w:spacing w:val="-3"/>
        </w:rPr>
        <w:t> </w:t>
      </w:r>
      <w:r>
        <w:rPr>
          <w:spacing w:val="-2"/>
        </w:rPr>
        <w:t>integrate</w:t>
      </w:r>
      <w:r>
        <w:rPr>
          <w:spacing w:val="-4"/>
        </w:rPr>
        <w:t> </w:t>
      </w:r>
      <w:r>
        <w:rPr>
          <w:spacing w:val="-2"/>
        </w:rPr>
        <w:t>or</w:t>
      </w:r>
      <w:r>
        <w:rPr>
          <w:spacing w:val="-3"/>
        </w:rPr>
        <w:t> </w:t>
      </w:r>
      <w:r>
        <w:rPr>
          <w:spacing w:val="-2"/>
        </w:rPr>
        <w:t>offer</w:t>
      </w:r>
      <w:r>
        <w:rPr>
          <w:spacing w:val="-4"/>
        </w:rPr>
        <w:t> </w:t>
      </w:r>
      <w:r>
        <w:rPr>
          <w:spacing w:val="-2"/>
        </w:rPr>
        <w:t>hobbyist-level</w:t>
      </w:r>
      <w:r>
        <w:rPr>
          <w:spacing w:val="-4"/>
        </w:rPr>
        <w:t> </w:t>
      </w:r>
      <w:r>
        <w:rPr>
          <w:spacing w:val="-2"/>
        </w:rPr>
        <w:t>digital</w:t>
      </w:r>
      <w:r>
        <w:rPr>
          <w:spacing w:val="-4"/>
        </w:rPr>
        <w:t> </w:t>
      </w:r>
      <w:r>
        <w:rPr>
          <w:spacing w:val="-2"/>
        </w:rPr>
        <w:t>imaging</w:t>
      </w:r>
      <w:r>
        <w:rPr>
          <w:spacing w:val="-4"/>
        </w:rPr>
        <w:t> </w:t>
      </w:r>
      <w:r>
        <w:rPr>
          <w:spacing w:val="-2"/>
        </w:rPr>
        <w:t>and</w:t>
      </w:r>
      <w:r>
        <w:rPr>
          <w:spacing w:val="-4"/>
        </w:rPr>
        <w:t> </w:t>
      </w:r>
      <w:r>
        <w:rPr>
          <w:spacing w:val="-2"/>
        </w:rPr>
        <w:t>image</w:t>
      </w:r>
      <w:r>
        <w:rPr>
          <w:spacing w:val="-4"/>
        </w:rPr>
        <w:t> </w:t>
      </w:r>
      <w:r>
        <w:rPr>
          <w:spacing w:val="-2"/>
        </w:rPr>
        <w:t>management</w:t>
      </w:r>
      <w:r>
        <w:rPr>
          <w:spacing w:val="-4"/>
        </w:rPr>
        <w:t> </w:t>
      </w:r>
      <w:r>
        <w:rPr>
          <w:spacing w:val="-2"/>
        </w:rPr>
        <w:t>features</w:t>
      </w:r>
      <w:r>
        <w:rPr>
          <w:spacing w:val="-3"/>
        </w:rPr>
        <w:t> </w:t>
      </w:r>
      <w:r>
        <w:rPr>
          <w:spacing w:val="-2"/>
        </w:rPr>
        <w:t>with</w:t>
      </w:r>
      <w:r>
        <w:rPr>
          <w:spacing w:val="-3"/>
        </w:rPr>
        <w:t> </w:t>
      </w:r>
      <w:r>
        <w:rPr>
          <w:spacing w:val="-2"/>
        </w:rPr>
        <w:t>their</w:t>
      </w:r>
      <w:r>
        <w:rPr>
          <w:spacing w:val="-4"/>
        </w:rPr>
        <w:t> </w:t>
      </w:r>
      <w:r>
        <w:rPr>
          <w:spacing w:val="-2"/>
        </w:rPr>
        <w:t>operating </w:t>
      </w:r>
      <w:r>
        <w:rPr/>
        <w:t>systems.</w:t>
      </w:r>
      <w:r>
        <w:rPr>
          <w:spacing w:val="-13"/>
        </w:rPr>
        <w:t> </w:t>
      </w:r>
      <w:r>
        <w:rPr/>
        <w:t>We</w:t>
      </w:r>
      <w:r>
        <w:rPr>
          <w:spacing w:val="-10"/>
        </w:rPr>
        <w:t> </w:t>
      </w:r>
      <w:r>
        <w:rPr/>
        <w:t>also</w:t>
      </w:r>
      <w:r>
        <w:rPr>
          <w:spacing w:val="-10"/>
        </w:rPr>
        <w:t> </w:t>
      </w:r>
      <w:r>
        <w:rPr/>
        <w:t>face</w:t>
      </w:r>
      <w:r>
        <w:rPr>
          <w:spacing w:val="-10"/>
        </w:rPr>
        <w:t> </w:t>
      </w:r>
      <w:r>
        <w:rPr/>
        <w:t>competition</w:t>
      </w:r>
      <w:r>
        <w:rPr>
          <w:spacing w:val="-10"/>
        </w:rPr>
        <w:t> </w:t>
      </w:r>
      <w:r>
        <w:rPr/>
        <w:t>from</w:t>
      </w:r>
      <w:r>
        <w:rPr>
          <w:spacing w:val="-10"/>
        </w:rPr>
        <w:t> </w:t>
      </w:r>
      <w:r>
        <w:rPr/>
        <w:t>smartphone</w:t>
      </w:r>
      <w:r>
        <w:rPr>
          <w:spacing w:val="-10"/>
        </w:rPr>
        <w:t> </w:t>
      </w:r>
      <w:r>
        <w:rPr/>
        <w:t>and</w:t>
      </w:r>
      <w:r>
        <w:rPr>
          <w:spacing w:val="-10"/>
        </w:rPr>
        <w:t> </w:t>
      </w:r>
      <w:r>
        <w:rPr/>
        <w:t>tablet</w:t>
      </w:r>
      <w:r>
        <w:rPr>
          <w:spacing w:val="-10"/>
        </w:rPr>
        <w:t> </w:t>
      </w:r>
      <w:r>
        <w:rPr/>
        <w:t>manufacturers</w:t>
      </w:r>
      <w:r>
        <w:rPr>
          <w:spacing w:val="-10"/>
        </w:rPr>
        <w:t> </w:t>
      </w:r>
      <w:r>
        <w:rPr/>
        <w:t>that</w:t>
      </w:r>
      <w:r>
        <w:rPr>
          <w:spacing w:val="-10"/>
        </w:rPr>
        <w:t> </w:t>
      </w:r>
      <w:r>
        <w:rPr/>
        <w:t>integrate</w:t>
      </w:r>
      <w:r>
        <w:rPr>
          <w:spacing w:val="-11"/>
        </w:rPr>
        <w:t> </w:t>
      </w:r>
      <w:r>
        <w:rPr/>
        <w:t>imaging</w:t>
      </w:r>
      <w:r>
        <w:rPr>
          <w:spacing w:val="-10"/>
        </w:rPr>
        <w:t> </w:t>
      </w:r>
      <w:r>
        <w:rPr/>
        <w:t>and</w:t>
      </w:r>
      <w:r>
        <w:rPr>
          <w:spacing w:val="-10"/>
        </w:rPr>
        <w:t> </w:t>
      </w:r>
      <w:r>
        <w:rPr/>
        <w:t>video</w:t>
      </w:r>
      <w:r>
        <w:rPr>
          <w:spacing w:val="-10"/>
        </w:rPr>
        <w:t> </w:t>
      </w:r>
      <w:r>
        <w:rPr/>
        <w:t>software</w:t>
      </w:r>
      <w:r>
        <w:rPr>
          <w:spacing w:val="-10"/>
        </w:rPr>
        <w:t> </w:t>
      </w:r>
      <w:r>
        <w:rPr/>
        <w:t>into</w:t>
      </w:r>
      <w:r>
        <w:rPr>
          <w:spacing w:val="-10"/>
        </w:rPr>
        <w:t> </w:t>
      </w:r>
      <w:r>
        <w:rPr/>
        <w:t>their devices</w:t>
      </w:r>
      <w:r>
        <w:rPr>
          <w:spacing w:val="-7"/>
        </w:rPr>
        <w:t> </w:t>
      </w:r>
      <w:r>
        <w:rPr/>
        <w:t>to</w:t>
      </w:r>
      <w:r>
        <w:rPr>
          <w:spacing w:val="-7"/>
        </w:rPr>
        <w:t> </w:t>
      </w:r>
      <w:r>
        <w:rPr/>
        <w:t>work</w:t>
      </w:r>
      <w:r>
        <w:rPr>
          <w:spacing w:val="-7"/>
        </w:rPr>
        <w:t> </w:t>
      </w:r>
      <w:r>
        <w:rPr/>
        <w:t>with</w:t>
      </w:r>
      <w:r>
        <w:rPr>
          <w:spacing w:val="-7"/>
        </w:rPr>
        <w:t> </w:t>
      </w:r>
      <w:r>
        <w:rPr/>
        <w:t>cameras</w:t>
      </w:r>
      <w:r>
        <w:rPr>
          <w:spacing w:val="-7"/>
        </w:rPr>
        <w:t> </w:t>
      </w:r>
      <w:r>
        <w:rPr/>
        <w:t>that</w:t>
      </w:r>
      <w:r>
        <w:rPr>
          <w:spacing w:val="-7"/>
        </w:rPr>
        <w:t> </w:t>
      </w:r>
      <w:r>
        <w:rPr/>
        <w:t>come</w:t>
      </w:r>
      <w:r>
        <w:rPr>
          <w:spacing w:val="-7"/>
        </w:rPr>
        <w:t> </w:t>
      </w:r>
      <w:r>
        <w:rPr/>
        <w:t>as</w:t>
      </w:r>
      <w:r>
        <w:rPr>
          <w:spacing w:val="-7"/>
        </w:rPr>
        <w:t> </w:t>
      </w:r>
      <w:r>
        <w:rPr/>
        <w:t>part</w:t>
      </w:r>
      <w:r>
        <w:rPr>
          <w:spacing w:val="-7"/>
        </w:rPr>
        <w:t> </w:t>
      </w:r>
      <w:r>
        <w:rPr/>
        <w:t>of</w:t>
      </w:r>
      <w:r>
        <w:rPr>
          <w:spacing w:val="-7"/>
        </w:rPr>
        <w:t> </w:t>
      </w:r>
      <w:r>
        <w:rPr/>
        <w:t>their</w:t>
      </w:r>
      <w:r>
        <w:rPr>
          <w:spacing w:val="-7"/>
        </w:rPr>
        <w:t> </w:t>
      </w:r>
      <w:r>
        <w:rPr/>
        <w:t>smartphone</w:t>
      </w:r>
      <w:r>
        <w:rPr>
          <w:spacing w:val="-7"/>
        </w:rPr>
        <w:t> </w:t>
      </w:r>
      <w:r>
        <w:rPr/>
        <w:t>and</w:t>
      </w:r>
      <w:r>
        <w:rPr>
          <w:spacing w:val="-7"/>
        </w:rPr>
        <w:t> </w:t>
      </w:r>
      <w:r>
        <w:rPr/>
        <w:t>tablet</w:t>
      </w:r>
      <w:r>
        <w:rPr>
          <w:spacing w:val="-7"/>
        </w:rPr>
        <w:t> </w:t>
      </w:r>
      <w:r>
        <w:rPr/>
        <w:t>offerings.</w:t>
      </w:r>
      <w:r>
        <w:rPr>
          <w:spacing w:val="-7"/>
        </w:rPr>
        <w:t> </w:t>
      </w:r>
      <w:r>
        <w:rPr/>
        <w:t>In</w:t>
      </w:r>
      <w:r>
        <w:rPr>
          <w:spacing w:val="-7"/>
        </w:rPr>
        <w:t> </w:t>
      </w:r>
      <w:r>
        <w:rPr/>
        <w:t>addition,</w:t>
      </w:r>
      <w:r>
        <w:rPr>
          <w:spacing w:val="-7"/>
        </w:rPr>
        <w:t> </w:t>
      </w:r>
      <w:r>
        <w:rPr/>
        <w:t>social</w:t>
      </w:r>
      <w:r>
        <w:rPr>
          <w:spacing w:val="-7"/>
        </w:rPr>
        <w:t> </w:t>
      </w:r>
      <w:r>
        <w:rPr/>
        <w:t>networking</w:t>
      </w:r>
      <w:r>
        <w:rPr>
          <w:spacing w:val="-7"/>
        </w:rPr>
        <w:t> </w:t>
      </w:r>
      <w:r>
        <w:rPr/>
        <w:t>platforms such</w:t>
      </w:r>
      <w:r>
        <w:rPr>
          <w:spacing w:val="-10"/>
        </w:rPr>
        <w:t> </w:t>
      </w:r>
      <w:r>
        <w:rPr/>
        <w:t>as</w:t>
      </w:r>
      <w:r>
        <w:rPr>
          <w:spacing w:val="-8"/>
        </w:rPr>
        <w:t> </w:t>
      </w:r>
      <w:r>
        <w:rPr/>
        <w:t>Facebook</w:t>
      </w:r>
      <w:r>
        <w:rPr>
          <w:spacing w:val="-8"/>
        </w:rPr>
        <w:t> </w:t>
      </w:r>
      <w:r>
        <w:rPr/>
        <w:t>(including</w:t>
      </w:r>
      <w:r>
        <w:rPr>
          <w:spacing w:val="-8"/>
        </w:rPr>
        <w:t> </w:t>
      </w:r>
      <w:r>
        <w:rPr/>
        <w:t>Instagram),</w:t>
      </w:r>
      <w:r>
        <w:rPr>
          <w:spacing w:val="-8"/>
        </w:rPr>
        <w:t> </w:t>
      </w:r>
      <w:r>
        <w:rPr/>
        <w:t>Snapchat,</w:t>
      </w:r>
      <w:r>
        <w:rPr>
          <w:spacing w:val="-12"/>
        </w:rPr>
        <w:t> </w:t>
      </w:r>
      <w:r>
        <w:rPr/>
        <w:t>Twitter</w:t>
      </w:r>
      <w:r>
        <w:rPr>
          <w:spacing w:val="-8"/>
        </w:rPr>
        <w:t> </w:t>
      </w:r>
      <w:r>
        <w:rPr/>
        <w:t>and</w:t>
      </w:r>
      <w:r>
        <w:rPr>
          <w:spacing w:val="-8"/>
        </w:rPr>
        <w:t> </w:t>
      </w:r>
      <w:r>
        <w:rPr/>
        <w:t>Pinterest,</w:t>
      </w:r>
      <w:r>
        <w:rPr>
          <w:spacing w:val="-8"/>
        </w:rPr>
        <w:t> </w:t>
      </w:r>
      <w:r>
        <w:rPr/>
        <w:t>as</w:t>
      </w:r>
      <w:r>
        <w:rPr>
          <w:spacing w:val="-8"/>
        </w:rPr>
        <w:t> </w:t>
      </w:r>
      <w:r>
        <w:rPr/>
        <w:t>well</w:t>
      </w:r>
      <w:r>
        <w:rPr>
          <w:spacing w:val="-9"/>
        </w:rPr>
        <w:t> </w:t>
      </w:r>
      <w:r>
        <w:rPr/>
        <w:t>as</w:t>
      </w:r>
      <w:r>
        <w:rPr>
          <w:spacing w:val="-8"/>
        </w:rPr>
        <w:t> </w:t>
      </w:r>
      <w:r>
        <w:rPr/>
        <w:t>portal</w:t>
      </w:r>
      <w:r>
        <w:rPr>
          <w:spacing w:val="-9"/>
        </w:rPr>
        <w:t> </w:t>
      </w:r>
      <w:r>
        <w:rPr/>
        <w:t>sites</w:t>
      </w:r>
      <w:r>
        <w:rPr>
          <w:spacing w:val="-8"/>
        </w:rPr>
        <w:t> </w:t>
      </w:r>
      <w:r>
        <w:rPr/>
        <w:t>such</w:t>
      </w:r>
      <w:r>
        <w:rPr>
          <w:spacing w:val="-8"/>
        </w:rPr>
        <w:t> </w:t>
      </w:r>
      <w:r>
        <w:rPr/>
        <w:t>as</w:t>
      </w:r>
      <w:r>
        <w:rPr>
          <w:spacing w:val="-8"/>
        </w:rPr>
        <w:t> </w:t>
      </w:r>
      <w:r>
        <w:rPr/>
        <w:t>Google,</w:t>
      </w:r>
      <w:r>
        <w:rPr>
          <w:spacing w:val="-8"/>
        </w:rPr>
        <w:t> </w:t>
      </w:r>
      <w:r>
        <w:rPr/>
        <w:t>Bing</w:t>
      </w:r>
      <w:r>
        <w:rPr>
          <w:spacing w:val="-8"/>
        </w:rPr>
        <w:t> </w:t>
      </w:r>
      <w:r>
        <w:rPr/>
        <w:t>and</w:t>
      </w:r>
      <w:r>
        <w:rPr>
          <w:spacing w:val="-13"/>
        </w:rPr>
        <w:t> </w:t>
      </w:r>
      <w:r>
        <w:rPr/>
        <w:t>Yahoo! are</w:t>
      </w:r>
      <w:r>
        <w:rPr>
          <w:spacing w:val="-13"/>
        </w:rPr>
        <w:t> </w:t>
      </w:r>
      <w:r>
        <w:rPr/>
        <w:t>becoming</w:t>
      </w:r>
      <w:r>
        <w:rPr>
          <w:spacing w:val="-12"/>
        </w:rPr>
        <w:t> </w:t>
      </w:r>
      <w:r>
        <w:rPr/>
        <w:t>a</w:t>
      </w:r>
      <w:r>
        <w:rPr>
          <w:spacing w:val="-13"/>
        </w:rPr>
        <w:t> </w:t>
      </w:r>
      <w:r>
        <w:rPr/>
        <w:t>direct</w:t>
      </w:r>
      <w:r>
        <w:rPr>
          <w:spacing w:val="-12"/>
        </w:rPr>
        <w:t> </w:t>
      </w:r>
      <w:r>
        <w:rPr/>
        <w:t>means</w:t>
      </w:r>
      <w:r>
        <w:rPr>
          <w:spacing w:val="-13"/>
        </w:rPr>
        <w:t> </w:t>
      </w:r>
      <w:r>
        <w:rPr/>
        <w:t>to</w:t>
      </w:r>
      <w:r>
        <w:rPr>
          <w:spacing w:val="-12"/>
        </w:rPr>
        <w:t> </w:t>
      </w:r>
      <w:r>
        <w:rPr/>
        <w:t>post,</w:t>
      </w:r>
      <w:r>
        <w:rPr>
          <w:spacing w:val="-13"/>
        </w:rPr>
        <w:t> </w:t>
      </w:r>
      <w:r>
        <w:rPr/>
        <w:t>edit</w:t>
      </w:r>
      <w:r>
        <w:rPr>
          <w:spacing w:val="-12"/>
        </w:rPr>
        <w:t> </w:t>
      </w:r>
      <w:r>
        <w:rPr/>
        <w:t>and</w:t>
      </w:r>
      <w:r>
        <w:rPr>
          <w:spacing w:val="-13"/>
        </w:rPr>
        <w:t> </w:t>
      </w:r>
      <w:r>
        <w:rPr/>
        <w:t>share</w:t>
      </w:r>
      <w:r>
        <w:rPr>
          <w:spacing w:val="-12"/>
        </w:rPr>
        <w:t> </w:t>
      </w:r>
      <w:r>
        <w:rPr/>
        <w:t>images,</w:t>
      </w:r>
      <w:r>
        <w:rPr>
          <w:spacing w:val="-13"/>
        </w:rPr>
        <w:t> </w:t>
      </w:r>
      <w:r>
        <w:rPr/>
        <w:t>bypassing</w:t>
      </w:r>
      <w:r>
        <w:rPr>
          <w:spacing w:val="-12"/>
        </w:rPr>
        <w:t> </w:t>
      </w:r>
      <w:r>
        <w:rPr/>
        <w:t>the</w:t>
      </w:r>
      <w:r>
        <w:rPr>
          <w:spacing w:val="-13"/>
        </w:rPr>
        <w:t> </w:t>
      </w:r>
      <w:r>
        <w:rPr/>
        <w:t>step</w:t>
      </w:r>
      <w:r>
        <w:rPr>
          <w:spacing w:val="-12"/>
        </w:rPr>
        <w:t> </w:t>
      </w:r>
      <w:r>
        <w:rPr/>
        <w:t>of</w:t>
      </w:r>
      <w:r>
        <w:rPr>
          <w:spacing w:val="-13"/>
        </w:rPr>
        <w:t> </w:t>
      </w:r>
      <w:r>
        <w:rPr/>
        <w:t>using</w:t>
      </w:r>
      <w:r>
        <w:rPr>
          <w:spacing w:val="-12"/>
        </w:rPr>
        <w:t> </w:t>
      </w:r>
      <w:r>
        <w:rPr/>
        <w:t>image</w:t>
      </w:r>
      <w:r>
        <w:rPr>
          <w:spacing w:val="-13"/>
        </w:rPr>
        <w:t> </w:t>
      </w:r>
      <w:r>
        <w:rPr/>
        <w:t>editing</w:t>
      </w:r>
      <w:r>
        <w:rPr>
          <w:spacing w:val="-12"/>
        </w:rPr>
        <w:t> </w:t>
      </w:r>
      <w:r>
        <w:rPr/>
        <w:t>and</w:t>
      </w:r>
      <w:r>
        <w:rPr>
          <w:spacing w:val="-13"/>
        </w:rPr>
        <w:t> </w:t>
      </w:r>
      <w:r>
        <w:rPr/>
        <w:t>sharing</w:t>
      </w:r>
      <w:r>
        <w:rPr>
          <w:spacing w:val="-12"/>
        </w:rPr>
        <w:t> </w:t>
      </w:r>
      <w:r>
        <w:rPr/>
        <w:t>software.</w:t>
      </w:r>
      <w:r>
        <w:rPr>
          <w:spacing w:val="-13"/>
        </w:rPr>
        <w:t> </w:t>
      </w:r>
      <w:r>
        <w:rPr/>
        <w:t>Online storage</w:t>
      </w:r>
      <w:r>
        <w:rPr>
          <w:spacing w:val="-8"/>
        </w:rPr>
        <w:t> </w:t>
      </w:r>
      <w:r>
        <w:rPr/>
        <w:t>and</w:t>
      </w:r>
      <w:r>
        <w:rPr>
          <w:spacing w:val="-8"/>
        </w:rPr>
        <w:t> </w:t>
      </w:r>
      <w:r>
        <w:rPr/>
        <w:t>synchronization</w:t>
      </w:r>
      <w:r>
        <w:rPr>
          <w:spacing w:val="-8"/>
        </w:rPr>
        <w:t> </w:t>
      </w:r>
      <w:r>
        <w:rPr/>
        <w:t>are</w:t>
      </w:r>
      <w:r>
        <w:rPr>
          <w:spacing w:val="-8"/>
        </w:rPr>
        <w:t> </w:t>
      </w:r>
      <w:r>
        <w:rPr/>
        <w:t>becoming</w:t>
      </w:r>
      <w:r>
        <w:rPr>
          <w:spacing w:val="-8"/>
        </w:rPr>
        <w:t> </w:t>
      </w:r>
      <w:r>
        <w:rPr/>
        <w:t>free</w:t>
      </w:r>
      <w:r>
        <w:rPr>
          <w:spacing w:val="-8"/>
        </w:rPr>
        <w:t> </w:t>
      </w:r>
      <w:r>
        <w:rPr/>
        <w:t>and</w:t>
      </w:r>
      <w:r>
        <w:rPr>
          <w:spacing w:val="-8"/>
        </w:rPr>
        <w:t> </w:t>
      </w:r>
      <w:r>
        <w:rPr/>
        <w:t>ubiquitous.</w:t>
      </w:r>
      <w:r>
        <w:rPr>
          <w:spacing w:val="-8"/>
        </w:rPr>
        <w:t> </w:t>
      </w:r>
      <w:r>
        <w:rPr/>
        <w:t>Consumers</w:t>
      </w:r>
      <w:r>
        <w:rPr>
          <w:spacing w:val="-7"/>
        </w:rPr>
        <w:t> </w:t>
      </w:r>
      <w:r>
        <w:rPr/>
        <w:t>will</w:t>
      </w:r>
      <w:r>
        <w:rPr>
          <w:spacing w:val="-8"/>
        </w:rPr>
        <w:t> </w:t>
      </w:r>
      <w:r>
        <w:rPr/>
        <w:t>be</w:t>
      </w:r>
      <w:r>
        <w:rPr>
          <w:spacing w:val="-8"/>
        </w:rPr>
        <w:t> </w:t>
      </w:r>
      <w:r>
        <w:rPr/>
        <w:t>encouraged</w:t>
      </w:r>
      <w:r>
        <w:rPr>
          <w:spacing w:val="-8"/>
        </w:rPr>
        <w:t> </w:t>
      </w:r>
      <w:r>
        <w:rPr/>
        <w:t>to</w:t>
      </w:r>
      <w:r>
        <w:rPr>
          <w:spacing w:val="-8"/>
        </w:rPr>
        <w:t> </w:t>
      </w:r>
      <w:r>
        <w:rPr/>
        <w:t>use</w:t>
      </w:r>
      <w:r>
        <w:rPr>
          <w:spacing w:val="-8"/>
        </w:rPr>
        <w:t> </w:t>
      </w:r>
      <w:r>
        <w:rPr/>
        <w:t>the</w:t>
      </w:r>
      <w:r>
        <w:rPr>
          <w:spacing w:val="-8"/>
        </w:rPr>
        <w:t> </w:t>
      </w:r>
      <w:r>
        <w:rPr/>
        <w:t>image</w:t>
      </w:r>
      <w:r>
        <w:rPr>
          <w:spacing w:val="-8"/>
        </w:rPr>
        <w:t> </w:t>
      </w:r>
      <w:r>
        <w:rPr/>
        <w:t>and</w:t>
      </w:r>
      <w:r>
        <w:rPr>
          <w:spacing w:val="-8"/>
        </w:rPr>
        <w:t> </w:t>
      </w:r>
      <w:r>
        <w:rPr/>
        <w:t>video</w:t>
      </w:r>
      <w:r>
        <w:rPr>
          <w:spacing w:val="-8"/>
        </w:rPr>
        <w:t> </w:t>
      </w:r>
      <w:r>
        <w:rPr/>
        <w:t>editing software offered by those storage products, thus competing with our software.</w:t>
      </w:r>
    </w:p>
    <w:p>
      <w:pPr>
        <w:pStyle w:val="BodyText"/>
        <w:spacing w:line="249" w:lineRule="auto" w:before="167"/>
        <w:ind w:left="220" w:right="257" w:firstLine="540"/>
        <w:jc w:val="both"/>
      </w:pPr>
      <w:r>
        <w:rPr/>
        <w:t>In</w:t>
      </w:r>
      <w:r>
        <w:rPr>
          <w:spacing w:val="-3"/>
        </w:rPr>
        <w:t> </w:t>
      </w:r>
      <w:r>
        <w:rPr/>
        <w:t>addition,</w:t>
      </w:r>
      <w:r>
        <w:rPr>
          <w:spacing w:val="-3"/>
        </w:rPr>
        <w:t> </w:t>
      </w:r>
      <w:r>
        <w:rPr/>
        <w:t>the</w:t>
      </w:r>
      <w:r>
        <w:rPr>
          <w:spacing w:val="-3"/>
        </w:rPr>
        <w:t> </w:t>
      </w:r>
      <w:r>
        <w:rPr/>
        <w:t>needs</w:t>
      </w:r>
      <w:r>
        <w:rPr>
          <w:spacing w:val="-3"/>
        </w:rPr>
        <w:t> </w:t>
      </w:r>
      <w:r>
        <w:rPr/>
        <w:t>of</w:t>
      </w:r>
      <w:r>
        <w:rPr>
          <w:spacing w:val="-3"/>
        </w:rPr>
        <w:t> </w:t>
      </w:r>
      <w:r>
        <w:rPr/>
        <w:t>digital</w:t>
      </w:r>
      <w:r>
        <w:rPr>
          <w:spacing w:val="-3"/>
        </w:rPr>
        <w:t> </w:t>
      </w:r>
      <w:r>
        <w:rPr/>
        <w:t>imaging</w:t>
      </w:r>
      <w:r>
        <w:rPr>
          <w:spacing w:val="-3"/>
        </w:rPr>
        <w:t> </w:t>
      </w:r>
      <w:r>
        <w:rPr/>
        <w:t>and</w:t>
      </w:r>
      <w:r>
        <w:rPr>
          <w:spacing w:val="-3"/>
        </w:rPr>
        <w:t> </w:t>
      </w:r>
      <w:r>
        <w:rPr/>
        <w:t>video</w:t>
      </w:r>
      <w:r>
        <w:rPr>
          <w:spacing w:val="-3"/>
        </w:rPr>
        <w:t> </w:t>
      </w:r>
      <w:r>
        <w:rPr/>
        <w:t>editing</w:t>
      </w:r>
      <w:r>
        <w:rPr>
          <w:spacing w:val="-3"/>
        </w:rPr>
        <w:t> </w:t>
      </w:r>
      <w:r>
        <w:rPr/>
        <w:t>software</w:t>
      </w:r>
      <w:r>
        <w:rPr>
          <w:spacing w:val="-3"/>
        </w:rPr>
        <w:t> </w:t>
      </w:r>
      <w:r>
        <w:rPr/>
        <w:t>users</w:t>
      </w:r>
      <w:r>
        <w:rPr>
          <w:spacing w:val="-3"/>
        </w:rPr>
        <w:t> </w:t>
      </w:r>
      <w:r>
        <w:rPr/>
        <w:t>are</w:t>
      </w:r>
      <w:r>
        <w:rPr>
          <w:spacing w:val="-3"/>
        </w:rPr>
        <w:t> </w:t>
      </w:r>
      <w:r>
        <w:rPr/>
        <w:t>constantly</w:t>
      </w:r>
      <w:r>
        <w:rPr>
          <w:spacing w:val="-3"/>
        </w:rPr>
        <w:t> </w:t>
      </w:r>
      <w:r>
        <w:rPr/>
        <w:t>evolving</w:t>
      </w:r>
      <w:r>
        <w:rPr>
          <w:spacing w:val="-3"/>
        </w:rPr>
        <w:t> </w:t>
      </w:r>
      <w:r>
        <w:rPr/>
        <w:t>due</w:t>
      </w:r>
      <w:r>
        <w:rPr>
          <w:spacing w:val="-3"/>
        </w:rPr>
        <w:t> </w:t>
      </w:r>
      <w:r>
        <w:rPr/>
        <w:t>to</w:t>
      </w:r>
      <w:r>
        <w:rPr>
          <w:spacing w:val="-3"/>
        </w:rPr>
        <w:t> </w:t>
      </w:r>
      <w:r>
        <w:rPr/>
        <w:t>rapid</w:t>
      </w:r>
      <w:r>
        <w:rPr>
          <w:spacing w:val="-3"/>
        </w:rPr>
        <w:t> </w:t>
      </w:r>
      <w:r>
        <w:rPr/>
        <w:t>technology </w:t>
      </w:r>
      <w:r>
        <w:rPr>
          <w:spacing w:val="-2"/>
        </w:rPr>
        <w:t>and hardware advancements</w:t>
      </w:r>
      <w:r>
        <w:rPr>
          <w:spacing w:val="-1"/>
        </w:rPr>
        <w:t> </w:t>
      </w:r>
      <w:r>
        <w:rPr>
          <w:spacing w:val="-2"/>
        </w:rPr>
        <w:t>in digital cameras, digital video</w:t>
      </w:r>
      <w:r>
        <w:rPr>
          <w:spacing w:val="-1"/>
        </w:rPr>
        <w:t> </w:t>
      </w:r>
      <w:r>
        <w:rPr>
          <w:spacing w:val="-2"/>
        </w:rPr>
        <w:t>cameras, printers, personal computers, tablets, smartphones</w:t>
      </w:r>
      <w:r>
        <w:rPr>
          <w:spacing w:val="-1"/>
        </w:rPr>
        <w:t> </w:t>
      </w:r>
      <w:r>
        <w:rPr>
          <w:spacing w:val="-2"/>
        </w:rPr>
        <w:t>and</w:t>
      </w:r>
      <w:r>
        <w:rPr>
          <w:spacing w:val="-1"/>
        </w:rPr>
        <w:t> </w:t>
      </w:r>
      <w:r>
        <w:rPr>
          <w:spacing w:val="-2"/>
        </w:rPr>
        <w:t>other</w:t>
      </w:r>
    </w:p>
    <w:p>
      <w:pPr>
        <w:spacing w:after="0" w:line="249" w:lineRule="auto"/>
        <w:jc w:val="both"/>
        <w:sectPr>
          <w:pgSz w:w="12240" w:h="15840"/>
          <w:pgMar w:header="210" w:footer="599" w:top="420" w:bottom="800" w:left="780" w:right="740"/>
        </w:sectPr>
      </w:pPr>
    </w:p>
    <w:p>
      <w:pPr>
        <w:pStyle w:val="BodyText"/>
        <w:spacing w:before="150"/>
      </w:pPr>
    </w:p>
    <w:p>
      <w:pPr>
        <w:pStyle w:val="BodyText"/>
        <w:spacing w:line="249" w:lineRule="auto"/>
        <w:ind w:left="220"/>
      </w:pPr>
      <w:r>
        <w:rPr/>
        <w:t>new</w:t>
      </w:r>
      <w:r>
        <w:rPr>
          <w:spacing w:val="-13"/>
        </w:rPr>
        <w:t> </w:t>
      </w:r>
      <w:r>
        <w:rPr/>
        <w:t>devices.</w:t>
      </w:r>
      <w:r>
        <w:rPr>
          <w:spacing w:val="-12"/>
        </w:rPr>
        <w:t> </w:t>
      </w:r>
      <w:r>
        <w:rPr/>
        <w:t>Our</w:t>
      </w:r>
      <w:r>
        <w:rPr>
          <w:spacing w:val="-13"/>
        </w:rPr>
        <w:t> </w:t>
      </w:r>
      <w:r>
        <w:rPr/>
        <w:t>imaging</w:t>
      </w:r>
      <w:r>
        <w:rPr>
          <w:spacing w:val="-12"/>
        </w:rPr>
        <w:t> </w:t>
      </w:r>
      <w:r>
        <w:rPr/>
        <w:t>and</w:t>
      </w:r>
      <w:r>
        <w:rPr>
          <w:spacing w:val="-13"/>
        </w:rPr>
        <w:t> </w:t>
      </w:r>
      <w:r>
        <w:rPr/>
        <w:t>video</w:t>
      </w:r>
      <w:r>
        <w:rPr>
          <w:spacing w:val="-12"/>
        </w:rPr>
        <w:t> </w:t>
      </w:r>
      <w:r>
        <w:rPr/>
        <w:t>offerings,</w:t>
      </w:r>
      <w:r>
        <w:rPr>
          <w:spacing w:val="-13"/>
        </w:rPr>
        <w:t> </w:t>
      </w:r>
      <w:r>
        <w:rPr/>
        <w:t>including</w:t>
      </w:r>
      <w:r>
        <w:rPr>
          <w:spacing w:val="-12"/>
        </w:rPr>
        <w:t> </w:t>
      </w:r>
      <w:r>
        <w:rPr/>
        <w:t>Photoshop,</w:t>
      </w:r>
      <w:r>
        <w:rPr>
          <w:spacing w:val="-13"/>
        </w:rPr>
        <w:t> </w:t>
      </w:r>
      <w:r>
        <w:rPr/>
        <w:t>Lightroom,</w:t>
      </w:r>
      <w:r>
        <w:rPr>
          <w:spacing w:val="-20"/>
        </w:rPr>
        <w:t> </w:t>
      </w:r>
      <w:r>
        <w:rPr/>
        <w:t>After</w:t>
      </w:r>
      <w:r>
        <w:rPr>
          <w:spacing w:val="-12"/>
        </w:rPr>
        <w:t> </w:t>
      </w:r>
      <w:r>
        <w:rPr/>
        <w:t>Effects</w:t>
      </w:r>
      <w:r>
        <w:rPr>
          <w:spacing w:val="-13"/>
        </w:rPr>
        <w:t> </w:t>
      </w:r>
      <w:r>
        <w:rPr/>
        <w:t>and</w:t>
      </w:r>
      <w:r>
        <w:rPr>
          <w:spacing w:val="-12"/>
        </w:rPr>
        <w:t> </w:t>
      </w:r>
      <w:r>
        <w:rPr/>
        <w:t>Premiere</w:t>
      </w:r>
      <w:r>
        <w:rPr>
          <w:spacing w:val="-13"/>
        </w:rPr>
        <w:t> </w:t>
      </w:r>
      <w:r>
        <w:rPr/>
        <w:t>Pro,</w:t>
      </w:r>
      <w:r>
        <w:rPr>
          <w:spacing w:val="-12"/>
        </w:rPr>
        <w:t> </w:t>
      </w:r>
      <w:r>
        <w:rPr/>
        <w:t>face</w:t>
      </w:r>
      <w:r>
        <w:rPr>
          <w:spacing w:val="-13"/>
        </w:rPr>
        <w:t> </w:t>
      </w:r>
      <w:r>
        <w:rPr/>
        <w:t>competition from established and emerging companies offering similar products.</w:t>
      </w:r>
    </w:p>
    <w:p>
      <w:pPr>
        <w:pStyle w:val="BodyText"/>
        <w:spacing w:line="249" w:lineRule="auto" w:before="161"/>
        <w:ind w:left="220" w:right="257" w:firstLine="540"/>
        <w:jc w:val="both"/>
      </w:pPr>
      <w:r>
        <w:rPr/>
        <w:t>New image editing applications for mobile devices and tablets with features that compete with our professional tools are also</w:t>
      </w:r>
      <w:r>
        <w:rPr>
          <w:spacing w:val="-11"/>
        </w:rPr>
        <w:t> </w:t>
      </w:r>
      <w:r>
        <w:rPr/>
        <w:t>emerging</w:t>
      </w:r>
      <w:r>
        <w:rPr>
          <w:spacing w:val="-11"/>
        </w:rPr>
        <w:t> </w:t>
      </w:r>
      <w:r>
        <w:rPr/>
        <w:t>as</w:t>
      </w:r>
      <w:r>
        <w:rPr>
          <w:spacing w:val="-11"/>
        </w:rPr>
        <w:t> </w:t>
      </w:r>
      <w:r>
        <w:rPr/>
        <w:t>adoption</w:t>
      </w:r>
      <w:r>
        <w:rPr>
          <w:spacing w:val="-11"/>
        </w:rPr>
        <w:t> </w:t>
      </w:r>
      <w:r>
        <w:rPr/>
        <w:t>of</w:t>
      </w:r>
      <w:r>
        <w:rPr>
          <w:spacing w:val="-11"/>
        </w:rPr>
        <w:t> </w:t>
      </w:r>
      <w:r>
        <w:rPr/>
        <w:t>these</w:t>
      </w:r>
      <w:r>
        <w:rPr>
          <w:spacing w:val="-11"/>
        </w:rPr>
        <w:t> </w:t>
      </w:r>
      <w:r>
        <w:rPr/>
        <w:t>devices</w:t>
      </w:r>
      <w:r>
        <w:rPr>
          <w:spacing w:val="-11"/>
        </w:rPr>
        <w:t> </w:t>
      </w:r>
      <w:r>
        <w:rPr/>
        <w:t>grows.</w:t>
      </w:r>
      <w:r>
        <w:rPr>
          <w:spacing w:val="-11"/>
        </w:rPr>
        <w:t> </w:t>
      </w:r>
      <w:r>
        <w:rPr/>
        <w:t>Our</w:t>
      </w:r>
      <w:r>
        <w:rPr>
          <w:spacing w:val="-11"/>
        </w:rPr>
        <w:t> </w:t>
      </w:r>
      <w:r>
        <w:rPr/>
        <w:t>consumer</w:t>
      </w:r>
      <w:r>
        <w:rPr>
          <w:spacing w:val="-11"/>
        </w:rPr>
        <w:t> </w:t>
      </w:r>
      <w:r>
        <w:rPr/>
        <w:t>digital</w:t>
      </w:r>
      <w:r>
        <w:rPr>
          <w:spacing w:val="-11"/>
        </w:rPr>
        <w:t> </w:t>
      </w:r>
      <w:r>
        <w:rPr/>
        <w:t>imaging</w:t>
      </w:r>
      <w:r>
        <w:rPr>
          <w:spacing w:val="-11"/>
        </w:rPr>
        <w:t> </w:t>
      </w:r>
      <w:r>
        <w:rPr/>
        <w:t>and</w:t>
      </w:r>
      <w:r>
        <w:rPr>
          <w:spacing w:val="-11"/>
        </w:rPr>
        <w:t> </w:t>
      </w:r>
      <w:r>
        <w:rPr/>
        <w:t>video</w:t>
      </w:r>
      <w:r>
        <w:rPr>
          <w:spacing w:val="-11"/>
        </w:rPr>
        <w:t> </w:t>
      </w:r>
      <w:r>
        <w:rPr/>
        <w:t>editing</w:t>
      </w:r>
      <w:r>
        <w:rPr>
          <w:spacing w:val="-11"/>
        </w:rPr>
        <w:t> </w:t>
      </w:r>
      <w:r>
        <w:rPr/>
        <w:t>offerings</w:t>
      </w:r>
      <w:r>
        <w:rPr>
          <w:spacing w:val="-11"/>
        </w:rPr>
        <w:t> </w:t>
      </w:r>
      <w:r>
        <w:rPr/>
        <w:t>are</w:t>
      </w:r>
      <w:r>
        <w:rPr>
          <w:spacing w:val="-11"/>
        </w:rPr>
        <w:t> </w:t>
      </w:r>
      <w:r>
        <w:rPr/>
        <w:t>subject</w:t>
      </w:r>
      <w:r>
        <w:rPr>
          <w:spacing w:val="-11"/>
        </w:rPr>
        <w:t> </w:t>
      </w:r>
      <w:r>
        <w:rPr/>
        <w:t>to</w:t>
      </w:r>
      <w:r>
        <w:rPr>
          <w:spacing w:val="-11"/>
        </w:rPr>
        <w:t> </w:t>
      </w:r>
      <w:r>
        <w:rPr/>
        <w:t>intense competition,</w:t>
      </w:r>
      <w:r>
        <w:rPr>
          <w:spacing w:val="-7"/>
        </w:rPr>
        <w:t> </w:t>
      </w:r>
      <w:r>
        <w:rPr/>
        <w:t>including</w:t>
      </w:r>
      <w:r>
        <w:rPr>
          <w:spacing w:val="-7"/>
        </w:rPr>
        <w:t> </w:t>
      </w:r>
      <w:r>
        <w:rPr/>
        <w:t>customer</w:t>
      </w:r>
      <w:r>
        <w:rPr>
          <w:spacing w:val="-7"/>
        </w:rPr>
        <w:t> </w:t>
      </w:r>
      <w:r>
        <w:rPr/>
        <w:t>price</w:t>
      </w:r>
      <w:r>
        <w:rPr>
          <w:spacing w:val="-7"/>
        </w:rPr>
        <w:t> </w:t>
      </w:r>
      <w:r>
        <w:rPr/>
        <w:t>sensitivity</w:t>
      </w:r>
      <w:r>
        <w:rPr>
          <w:spacing w:val="-7"/>
        </w:rPr>
        <w:t> </w:t>
      </w:r>
      <w:r>
        <w:rPr/>
        <w:t>and</w:t>
      </w:r>
      <w:r>
        <w:rPr>
          <w:spacing w:val="-7"/>
        </w:rPr>
        <w:t> </w:t>
      </w:r>
      <w:r>
        <w:rPr/>
        <w:t>competitor</w:t>
      </w:r>
      <w:r>
        <w:rPr>
          <w:spacing w:val="-7"/>
        </w:rPr>
        <w:t> </w:t>
      </w:r>
      <w:r>
        <w:rPr/>
        <w:t>brand</w:t>
      </w:r>
      <w:r>
        <w:rPr>
          <w:spacing w:val="-7"/>
        </w:rPr>
        <w:t> </w:t>
      </w:r>
      <w:r>
        <w:rPr/>
        <w:t>awareness.</w:t>
      </w:r>
      <w:r>
        <w:rPr>
          <w:spacing w:val="-11"/>
        </w:rPr>
        <w:t> </w:t>
      </w:r>
      <w:r>
        <w:rPr/>
        <w:t>We</w:t>
      </w:r>
      <w:r>
        <w:rPr>
          <w:spacing w:val="-7"/>
        </w:rPr>
        <w:t> </w:t>
      </w:r>
      <w:r>
        <w:rPr/>
        <w:t>face</w:t>
      </w:r>
      <w:r>
        <w:rPr>
          <w:spacing w:val="-7"/>
        </w:rPr>
        <w:t> </w:t>
      </w:r>
      <w:r>
        <w:rPr/>
        <w:t>direct</w:t>
      </w:r>
      <w:r>
        <w:rPr>
          <w:spacing w:val="-8"/>
        </w:rPr>
        <w:t> </w:t>
      </w:r>
      <w:r>
        <w:rPr/>
        <w:t>and</w:t>
      </w:r>
      <w:r>
        <w:rPr>
          <w:spacing w:val="-7"/>
        </w:rPr>
        <w:t> </w:t>
      </w:r>
      <w:r>
        <w:rPr/>
        <w:t>indirect</w:t>
      </w:r>
      <w:r>
        <w:rPr>
          <w:spacing w:val="-8"/>
        </w:rPr>
        <w:t> </w:t>
      </w:r>
      <w:r>
        <w:rPr/>
        <w:t>competition</w:t>
      </w:r>
      <w:r>
        <w:rPr>
          <w:spacing w:val="-7"/>
        </w:rPr>
        <w:t> </w:t>
      </w:r>
      <w:r>
        <w:rPr/>
        <w:t>in</w:t>
      </w:r>
      <w:r>
        <w:rPr>
          <w:spacing w:val="-7"/>
        </w:rPr>
        <w:t> </w:t>
      </w:r>
      <w:r>
        <w:rPr/>
        <w:t>the consumer digital imaging space from a number of companies whose market software competes with our offerings.</w:t>
      </w:r>
    </w:p>
    <w:p>
      <w:pPr>
        <w:pStyle w:val="BodyText"/>
        <w:spacing w:line="249" w:lineRule="auto" w:before="164"/>
        <w:ind w:left="220" w:right="257" w:firstLine="540"/>
        <w:jc w:val="both"/>
      </w:pPr>
      <w:r>
        <w:rPr/>
        <w:t>The</w:t>
      </w:r>
      <w:r>
        <w:rPr>
          <w:spacing w:val="-1"/>
        </w:rPr>
        <w:t> </w:t>
      </w:r>
      <w:r>
        <w:rPr/>
        <w:t>stock</w:t>
      </w:r>
      <w:r>
        <w:rPr>
          <w:spacing w:val="-1"/>
        </w:rPr>
        <w:t> </w:t>
      </w:r>
      <w:r>
        <w:rPr/>
        <w:t>content</w:t>
      </w:r>
      <w:r>
        <w:rPr>
          <w:spacing w:val="-1"/>
        </w:rPr>
        <w:t> </w:t>
      </w:r>
      <w:r>
        <w:rPr/>
        <w:t>marketplace</w:t>
      </w:r>
      <w:r>
        <w:rPr>
          <w:spacing w:val="-1"/>
        </w:rPr>
        <w:t> </w:t>
      </w:r>
      <w:r>
        <w:rPr/>
        <w:t>has significant</w:t>
      </w:r>
      <w:r>
        <w:rPr>
          <w:spacing w:val="-1"/>
        </w:rPr>
        <w:t> </w:t>
      </w:r>
      <w:r>
        <w:rPr/>
        <w:t>competition,</w:t>
      </w:r>
      <w:r>
        <w:rPr>
          <w:spacing w:val="-1"/>
        </w:rPr>
        <w:t> </w:t>
      </w:r>
      <w:r>
        <w:rPr/>
        <w:t>especially</w:t>
      </w:r>
      <w:r>
        <w:rPr>
          <w:spacing w:val="-1"/>
        </w:rPr>
        <w:t> </w:t>
      </w:r>
      <w:r>
        <w:rPr/>
        <w:t>in</w:t>
      </w:r>
      <w:r>
        <w:rPr>
          <w:spacing w:val="-1"/>
        </w:rPr>
        <w:t> </w:t>
      </w:r>
      <w:r>
        <w:rPr/>
        <w:t>the</w:t>
      </w:r>
      <w:r>
        <w:rPr>
          <w:spacing w:val="-1"/>
        </w:rPr>
        <w:t> </w:t>
      </w:r>
      <w:r>
        <w:rPr/>
        <w:t>microstock</w:t>
      </w:r>
      <w:r>
        <w:rPr>
          <w:spacing w:val="-1"/>
        </w:rPr>
        <w:t> </w:t>
      </w:r>
      <w:r>
        <w:rPr/>
        <w:t>segment,</w:t>
      </w:r>
      <w:r>
        <w:rPr>
          <w:spacing w:val="-1"/>
        </w:rPr>
        <w:t> </w:t>
      </w:r>
      <w:r>
        <w:rPr/>
        <w:t>where</w:t>
      </w:r>
      <w:r>
        <w:rPr>
          <w:spacing w:val="-12"/>
        </w:rPr>
        <w:t> </w:t>
      </w:r>
      <w:r>
        <w:rPr/>
        <w:t>Adobe</w:t>
      </w:r>
      <w:r>
        <w:rPr>
          <w:spacing w:val="-1"/>
        </w:rPr>
        <w:t> </w:t>
      </w:r>
      <w:r>
        <w:rPr/>
        <w:t>primarily operates</w:t>
      </w:r>
      <w:r>
        <w:rPr>
          <w:spacing w:val="-13"/>
        </w:rPr>
        <w:t> </w:t>
      </w:r>
      <w:r>
        <w:rPr/>
        <w:t>today</w:t>
      </w:r>
      <w:r>
        <w:rPr>
          <w:spacing w:val="-8"/>
        </w:rPr>
        <w:t> </w:t>
      </w:r>
      <w:r>
        <w:rPr/>
        <w:t>with</w:t>
      </w:r>
      <w:r>
        <w:rPr>
          <w:spacing w:val="-8"/>
        </w:rPr>
        <w:t> </w:t>
      </w:r>
      <w:r>
        <w:rPr/>
        <w:t>our</w:t>
      </w:r>
      <w:r>
        <w:rPr>
          <w:spacing w:val="-13"/>
        </w:rPr>
        <w:t> </w:t>
      </w:r>
      <w:r>
        <w:rPr/>
        <w:t>Adobe</w:t>
      </w:r>
      <w:r>
        <w:rPr>
          <w:spacing w:val="-8"/>
        </w:rPr>
        <w:t> </w:t>
      </w:r>
      <w:r>
        <w:rPr/>
        <w:t>Stock</w:t>
      </w:r>
      <w:r>
        <w:rPr>
          <w:spacing w:val="-8"/>
        </w:rPr>
        <w:t> </w:t>
      </w:r>
      <w:r>
        <w:rPr/>
        <w:t>offering.</w:t>
      </w:r>
      <w:r>
        <w:rPr>
          <w:spacing w:val="-8"/>
        </w:rPr>
        <w:t> </w:t>
      </w:r>
      <w:r>
        <w:rPr/>
        <w:t>Key</w:t>
      </w:r>
      <w:r>
        <w:rPr>
          <w:spacing w:val="-8"/>
        </w:rPr>
        <w:t> </w:t>
      </w:r>
      <w:r>
        <w:rPr/>
        <w:t>competitors</w:t>
      </w:r>
      <w:r>
        <w:rPr>
          <w:spacing w:val="-8"/>
        </w:rPr>
        <w:t> </w:t>
      </w:r>
      <w:r>
        <w:rPr/>
        <w:t>in</w:t>
      </w:r>
      <w:r>
        <w:rPr>
          <w:spacing w:val="-8"/>
        </w:rPr>
        <w:t> </w:t>
      </w:r>
      <w:r>
        <w:rPr/>
        <w:t>this</w:t>
      </w:r>
      <w:r>
        <w:rPr>
          <w:spacing w:val="-8"/>
        </w:rPr>
        <w:t> </w:t>
      </w:r>
      <w:r>
        <w:rPr/>
        <w:t>segment</w:t>
      </w:r>
      <w:r>
        <w:rPr>
          <w:spacing w:val="-8"/>
        </w:rPr>
        <w:t> </w:t>
      </w:r>
      <w:r>
        <w:rPr/>
        <w:t>include</w:t>
      </w:r>
      <w:r>
        <w:rPr>
          <w:spacing w:val="-8"/>
        </w:rPr>
        <w:t> </w:t>
      </w:r>
      <w:r>
        <w:rPr/>
        <w:t>Shutterstock,</w:t>
      </w:r>
      <w:r>
        <w:rPr>
          <w:spacing w:val="-8"/>
        </w:rPr>
        <w:t> </w:t>
      </w:r>
      <w:r>
        <w:rPr/>
        <w:t>Getty</w:t>
      </w:r>
      <w:r>
        <w:rPr>
          <w:spacing w:val="-8"/>
        </w:rPr>
        <w:t> </w:t>
      </w:r>
      <w:r>
        <w:rPr/>
        <w:t>Images</w:t>
      </w:r>
      <w:r>
        <w:rPr>
          <w:spacing w:val="-8"/>
        </w:rPr>
        <w:t> </w:t>
      </w:r>
      <w:r>
        <w:rPr/>
        <w:t>and</w:t>
      </w:r>
      <w:r>
        <w:rPr>
          <w:spacing w:val="-8"/>
        </w:rPr>
        <w:t> </w:t>
      </w:r>
      <w:r>
        <w:rPr/>
        <w:t>a</w:t>
      </w:r>
      <w:r>
        <w:rPr>
          <w:spacing w:val="-8"/>
        </w:rPr>
        <w:t> </w:t>
      </w:r>
      <w:r>
        <w:rPr/>
        <w:t>number of smaller companies.</w:t>
      </w:r>
      <w:r>
        <w:rPr>
          <w:spacing w:val="40"/>
        </w:rPr>
        <w:t> </w:t>
      </w:r>
      <w:r>
        <w:rPr/>
        <w:t>Adobe Stock’s deep product integration with Creative Cloud and superior reach and relationships with creative professionals around the world differentiate our offerings.</w:t>
      </w:r>
    </w:p>
    <w:p>
      <w:pPr>
        <w:pStyle w:val="BodyText"/>
        <w:spacing w:line="249" w:lineRule="auto" w:before="163"/>
        <w:ind w:left="220" w:right="257" w:firstLine="540"/>
        <w:jc w:val="both"/>
      </w:pPr>
      <w:r>
        <w:rPr/>
        <w:t>The nature of traditional digital document creation, storage, and collaboration has been rapidly evolving as knowledge workers</w:t>
      </w:r>
      <w:r>
        <w:rPr>
          <w:spacing w:val="-12"/>
        </w:rPr>
        <w:t> </w:t>
      </w:r>
      <w:r>
        <w:rPr/>
        <w:t>and</w:t>
      </w:r>
      <w:r>
        <w:rPr>
          <w:spacing w:val="-12"/>
        </w:rPr>
        <w:t> </w:t>
      </w:r>
      <w:r>
        <w:rPr/>
        <w:t>consumers</w:t>
      </w:r>
      <w:r>
        <w:rPr>
          <w:spacing w:val="-12"/>
        </w:rPr>
        <w:t> </w:t>
      </w:r>
      <w:r>
        <w:rPr/>
        <w:t>shift</w:t>
      </w:r>
      <w:r>
        <w:rPr>
          <w:spacing w:val="-13"/>
        </w:rPr>
        <w:t> </w:t>
      </w:r>
      <w:r>
        <w:rPr/>
        <w:t>their</w:t>
      </w:r>
      <w:r>
        <w:rPr>
          <w:spacing w:val="-12"/>
        </w:rPr>
        <w:t> </w:t>
      </w:r>
      <w:r>
        <w:rPr/>
        <w:t>behavior</w:t>
      </w:r>
      <w:r>
        <w:rPr>
          <w:spacing w:val="-13"/>
        </w:rPr>
        <w:t> </w:t>
      </w:r>
      <w:r>
        <w:rPr/>
        <w:t>increasingly</w:t>
      </w:r>
      <w:r>
        <w:rPr>
          <w:spacing w:val="-12"/>
        </w:rPr>
        <w:t> </w:t>
      </w:r>
      <w:r>
        <w:rPr/>
        <w:t>to</w:t>
      </w:r>
      <w:r>
        <w:rPr>
          <w:spacing w:val="-12"/>
        </w:rPr>
        <w:t> </w:t>
      </w:r>
      <w:r>
        <w:rPr/>
        <w:t>non-desktop</w:t>
      </w:r>
      <w:r>
        <w:rPr>
          <w:spacing w:val="-13"/>
        </w:rPr>
        <w:t> </w:t>
      </w:r>
      <w:r>
        <w:rPr/>
        <w:t>workflows.</w:t>
      </w:r>
      <w:r>
        <w:rPr>
          <w:spacing w:val="-12"/>
        </w:rPr>
        <w:t> </w:t>
      </w:r>
      <w:r>
        <w:rPr/>
        <w:t>Competitors</w:t>
      </w:r>
      <w:r>
        <w:rPr>
          <w:spacing w:val="-12"/>
        </w:rPr>
        <w:t> </w:t>
      </w:r>
      <w:r>
        <w:rPr/>
        <w:t>like</w:t>
      </w:r>
      <w:r>
        <w:rPr>
          <w:spacing w:val="-12"/>
        </w:rPr>
        <w:t> </w:t>
      </w:r>
      <w:r>
        <w:rPr/>
        <w:t>Microsoft,</w:t>
      </w:r>
      <w:r>
        <w:rPr>
          <w:spacing w:val="-13"/>
        </w:rPr>
        <w:t> </w:t>
      </w:r>
      <w:r>
        <w:rPr/>
        <w:t>Google,</w:t>
      </w:r>
      <w:r>
        <w:rPr>
          <w:spacing w:val="-11"/>
        </w:rPr>
        <w:t> </w:t>
      </w:r>
      <w:r>
        <w:rPr/>
        <w:t>Box</w:t>
      </w:r>
      <w:r>
        <w:rPr>
          <w:spacing w:val="-12"/>
        </w:rPr>
        <w:t> </w:t>
      </w:r>
      <w:r>
        <w:rPr/>
        <w:t>and Dropbox all offer competitive alternatives to our Document Cloud business for creating and managing PDFs. In addition, other PDF</w:t>
      </w:r>
      <w:r>
        <w:rPr>
          <w:spacing w:val="-5"/>
        </w:rPr>
        <w:t> </w:t>
      </w:r>
      <w:r>
        <w:rPr/>
        <w:t>creation</w:t>
      </w:r>
      <w:r>
        <w:rPr>
          <w:spacing w:val="-5"/>
        </w:rPr>
        <w:t> </w:t>
      </w:r>
      <w:r>
        <w:rPr/>
        <w:t>solutions</w:t>
      </w:r>
      <w:r>
        <w:rPr>
          <w:spacing w:val="-5"/>
        </w:rPr>
        <w:t> </w:t>
      </w:r>
      <w:r>
        <w:rPr/>
        <w:t>can</w:t>
      </w:r>
      <w:r>
        <w:rPr>
          <w:spacing w:val="-5"/>
        </w:rPr>
        <w:t> </w:t>
      </w:r>
      <w:r>
        <w:rPr/>
        <w:t>be</w:t>
      </w:r>
      <w:r>
        <w:rPr>
          <w:spacing w:val="-5"/>
        </w:rPr>
        <w:t> </w:t>
      </w:r>
      <w:r>
        <w:rPr/>
        <w:t>found</w:t>
      </w:r>
      <w:r>
        <w:rPr>
          <w:spacing w:val="-5"/>
        </w:rPr>
        <w:t> </w:t>
      </w:r>
      <w:r>
        <w:rPr/>
        <w:t>at</w:t>
      </w:r>
      <w:r>
        <w:rPr>
          <w:spacing w:val="-5"/>
        </w:rPr>
        <w:t> </w:t>
      </w:r>
      <w:r>
        <w:rPr/>
        <w:t>a</w:t>
      </w:r>
      <w:r>
        <w:rPr>
          <w:spacing w:val="-5"/>
        </w:rPr>
        <w:t> </w:t>
      </w:r>
      <w:r>
        <w:rPr/>
        <w:t>low</w:t>
      </w:r>
      <w:r>
        <w:rPr>
          <w:spacing w:val="-5"/>
        </w:rPr>
        <w:t> </w:t>
      </w:r>
      <w:r>
        <w:rPr/>
        <w:t>cost</w:t>
      </w:r>
      <w:r>
        <w:rPr>
          <w:spacing w:val="-5"/>
        </w:rPr>
        <w:t> </w:t>
      </w:r>
      <w:r>
        <w:rPr/>
        <w:t>or</w:t>
      </w:r>
      <w:r>
        <w:rPr>
          <w:spacing w:val="-5"/>
        </w:rPr>
        <w:t> </w:t>
      </w:r>
      <w:r>
        <w:rPr/>
        <w:t>for</w:t>
      </w:r>
      <w:r>
        <w:rPr>
          <w:spacing w:val="-5"/>
        </w:rPr>
        <w:t> </w:t>
      </w:r>
      <w:r>
        <w:rPr/>
        <w:t>free</w:t>
      </w:r>
      <w:r>
        <w:rPr>
          <w:spacing w:val="-5"/>
        </w:rPr>
        <w:t> </w:t>
      </w:r>
      <w:r>
        <w:rPr/>
        <w:t>on</w:t>
      </w:r>
      <w:r>
        <w:rPr>
          <w:spacing w:val="-5"/>
        </w:rPr>
        <w:t> </w:t>
      </w:r>
      <w:r>
        <w:rPr/>
        <w:t>the</w:t>
      </w:r>
      <w:r>
        <w:rPr>
          <w:spacing w:val="-5"/>
        </w:rPr>
        <w:t> </w:t>
      </w:r>
      <w:r>
        <w:rPr/>
        <w:t>web</w:t>
      </w:r>
      <w:r>
        <w:rPr>
          <w:spacing w:val="-5"/>
        </w:rPr>
        <w:t> </w:t>
      </w:r>
      <w:r>
        <w:rPr/>
        <w:t>or</w:t>
      </w:r>
      <w:r>
        <w:rPr>
          <w:spacing w:val="-5"/>
        </w:rPr>
        <w:t> </w:t>
      </w:r>
      <w:r>
        <w:rPr/>
        <w:t>via</w:t>
      </w:r>
      <w:r>
        <w:rPr>
          <w:spacing w:val="-5"/>
        </w:rPr>
        <w:t> </w:t>
      </w:r>
      <w:r>
        <w:rPr/>
        <w:t>mobile</w:t>
      </w:r>
      <w:r>
        <w:rPr>
          <w:spacing w:val="-5"/>
        </w:rPr>
        <w:t> </w:t>
      </w:r>
      <w:r>
        <w:rPr/>
        <w:t>applications.</w:t>
      </w:r>
      <w:r>
        <w:rPr>
          <w:spacing w:val="-9"/>
        </w:rPr>
        <w:t> </w:t>
      </w:r>
      <w:r>
        <w:rPr/>
        <w:t>To</w:t>
      </w:r>
      <w:r>
        <w:rPr>
          <w:spacing w:val="-5"/>
        </w:rPr>
        <w:t> </w:t>
      </w:r>
      <w:r>
        <w:rPr/>
        <w:t>address</w:t>
      </w:r>
      <w:r>
        <w:rPr>
          <w:spacing w:val="-5"/>
        </w:rPr>
        <w:t> </w:t>
      </w:r>
      <w:r>
        <w:rPr/>
        <w:t>these</w:t>
      </w:r>
      <w:r>
        <w:rPr>
          <w:spacing w:val="-5"/>
        </w:rPr>
        <w:t> </w:t>
      </w:r>
      <w:r>
        <w:rPr/>
        <w:t>competitive threats, we are working to ensure our Adobe Document Cloud applications stay at the forefront of innovation in emerging opportunities such as PDF document generation, document collaboration and document security, and have developed mobile solutions such as Adobe Scan.</w:t>
      </w:r>
    </w:p>
    <w:p>
      <w:pPr>
        <w:pStyle w:val="BodyText"/>
        <w:spacing w:line="249" w:lineRule="auto" w:before="166"/>
        <w:ind w:left="220" w:right="257" w:firstLine="540"/>
        <w:jc w:val="both"/>
      </w:pPr>
      <w:r>
        <w:rPr/>
        <w:t>As e-signatures are quickly becoming a core element of digital documents, competitors to</w:t>
      </w:r>
      <w:r>
        <w:rPr>
          <w:spacing w:val="-11"/>
        </w:rPr>
        <w:t> </w:t>
      </w:r>
      <w:r>
        <w:rPr/>
        <w:t>Adobe Sign such as DocuSign have emerged. Partnerships and integrations between these companies and third-parties create an increasingly competitive landscape in this space.</w:t>
      </w:r>
    </w:p>
    <w:p>
      <w:pPr>
        <w:pStyle w:val="BodyText"/>
        <w:spacing w:before="172"/>
      </w:pPr>
    </w:p>
    <w:p>
      <w:pPr>
        <w:pStyle w:val="Heading2"/>
      </w:pPr>
      <w:r>
        <w:rPr/>
        <w:t>Digital</w:t>
      </w:r>
      <w:r>
        <w:rPr>
          <w:spacing w:val="-1"/>
        </w:rPr>
        <w:t> </w:t>
      </w:r>
      <w:r>
        <w:rPr>
          <w:spacing w:val="-2"/>
        </w:rPr>
        <w:t>Experience</w:t>
      </w:r>
    </w:p>
    <w:p>
      <w:pPr>
        <w:pStyle w:val="BodyText"/>
        <w:spacing w:before="20"/>
        <w:rPr>
          <w:b/>
        </w:rPr>
      </w:pPr>
    </w:p>
    <w:p>
      <w:pPr>
        <w:pStyle w:val="BodyText"/>
        <w:spacing w:line="249" w:lineRule="auto"/>
        <w:ind w:left="220" w:right="257" w:firstLine="540"/>
        <w:jc w:val="both"/>
      </w:pPr>
      <w:r>
        <w:rPr/>
        <w:t>The markets in which our Digital Experience business unit competes are growing rapidly and characterized by intense competition. Our Experience Cloud solutions face competition from large companies such as Google, IBM, Marketo, Oracle, salesforce.com, SAP, SAS, Verizon, Teradata and others, in addition to point product solutions and focused competitors. Additionally, new competitors are constantly entering these markets. Some of these competitors provide SaaS solutions to customers,</w:t>
      </w:r>
      <w:r>
        <w:rPr>
          <w:spacing w:val="-11"/>
        </w:rPr>
        <w:t> </w:t>
      </w:r>
      <w:r>
        <w:rPr/>
        <w:t>generally</w:t>
      </w:r>
      <w:r>
        <w:rPr>
          <w:spacing w:val="-12"/>
        </w:rPr>
        <w:t> </w:t>
      </w:r>
      <w:r>
        <w:rPr/>
        <w:t>through</w:t>
      </w:r>
      <w:r>
        <w:rPr>
          <w:spacing w:val="-11"/>
        </w:rPr>
        <w:t> </w:t>
      </w:r>
      <w:r>
        <w:rPr/>
        <w:t>a</w:t>
      </w:r>
      <w:r>
        <w:rPr>
          <w:spacing w:val="-11"/>
        </w:rPr>
        <w:t> </w:t>
      </w:r>
      <w:r>
        <w:rPr/>
        <w:t>web</w:t>
      </w:r>
      <w:r>
        <w:rPr>
          <w:spacing w:val="-11"/>
        </w:rPr>
        <w:t> </w:t>
      </w:r>
      <w:r>
        <w:rPr/>
        <w:t>browser,</w:t>
      </w:r>
      <w:r>
        <w:rPr>
          <w:spacing w:val="-11"/>
        </w:rPr>
        <w:t> </w:t>
      </w:r>
      <w:r>
        <w:rPr/>
        <w:t>while</w:t>
      </w:r>
      <w:r>
        <w:rPr>
          <w:spacing w:val="-12"/>
        </w:rPr>
        <w:t> </w:t>
      </w:r>
      <w:r>
        <w:rPr/>
        <w:t>others</w:t>
      </w:r>
      <w:r>
        <w:rPr>
          <w:spacing w:val="-11"/>
        </w:rPr>
        <w:t> </w:t>
      </w:r>
      <w:r>
        <w:rPr/>
        <w:t>provide</w:t>
      </w:r>
      <w:r>
        <w:rPr>
          <w:spacing w:val="-12"/>
        </w:rPr>
        <w:t> </w:t>
      </w:r>
      <w:r>
        <w:rPr/>
        <w:t>software</w:t>
      </w:r>
      <w:r>
        <w:rPr>
          <w:spacing w:val="-12"/>
        </w:rPr>
        <w:t> </w:t>
      </w:r>
      <w:r>
        <w:rPr/>
        <w:t>that</w:t>
      </w:r>
      <w:r>
        <w:rPr>
          <w:spacing w:val="-11"/>
        </w:rPr>
        <w:t> </w:t>
      </w:r>
      <w:r>
        <w:rPr/>
        <w:t>is</w:t>
      </w:r>
      <w:r>
        <w:rPr>
          <w:spacing w:val="-11"/>
        </w:rPr>
        <w:t> </w:t>
      </w:r>
      <w:r>
        <w:rPr/>
        <w:t>installed</w:t>
      </w:r>
      <w:r>
        <w:rPr>
          <w:spacing w:val="-12"/>
        </w:rPr>
        <w:t> </w:t>
      </w:r>
      <w:r>
        <w:rPr/>
        <w:t>by</w:t>
      </w:r>
      <w:r>
        <w:rPr>
          <w:spacing w:val="-11"/>
        </w:rPr>
        <w:t> </w:t>
      </w:r>
      <w:r>
        <w:rPr/>
        <w:t>customers</w:t>
      </w:r>
      <w:r>
        <w:rPr>
          <w:spacing w:val="-11"/>
        </w:rPr>
        <w:t> </w:t>
      </w:r>
      <w:r>
        <w:rPr/>
        <w:t>directly</w:t>
      </w:r>
      <w:r>
        <w:rPr>
          <w:spacing w:val="-12"/>
        </w:rPr>
        <w:t> </w:t>
      </w:r>
      <w:r>
        <w:rPr/>
        <w:t>on</w:t>
      </w:r>
      <w:r>
        <w:rPr>
          <w:spacing w:val="-11"/>
        </w:rPr>
        <w:t> </w:t>
      </w:r>
      <w:r>
        <w:rPr/>
        <w:t>their</w:t>
      </w:r>
      <w:r>
        <w:rPr>
          <w:spacing w:val="-11"/>
        </w:rPr>
        <w:t> </w:t>
      </w:r>
      <w:r>
        <w:rPr/>
        <w:t>servers. </w:t>
      </w:r>
      <w:r>
        <w:rPr>
          <w:spacing w:val="-2"/>
        </w:rPr>
        <w:t>In</w:t>
      </w:r>
      <w:r>
        <w:rPr>
          <w:spacing w:val="-11"/>
        </w:rPr>
        <w:t> </w:t>
      </w:r>
      <w:r>
        <w:rPr>
          <w:spacing w:val="-2"/>
        </w:rPr>
        <w:t>addition,</w:t>
      </w:r>
      <w:r>
        <w:rPr>
          <w:spacing w:val="-4"/>
        </w:rPr>
        <w:t> </w:t>
      </w:r>
      <w:r>
        <w:rPr>
          <w:spacing w:val="-2"/>
        </w:rPr>
        <w:t>we compete at times with our customers’</w:t>
      </w:r>
      <w:r>
        <w:rPr>
          <w:spacing w:val="-11"/>
        </w:rPr>
        <w:t> </w:t>
      </w:r>
      <w:r>
        <w:rPr>
          <w:spacing w:val="-2"/>
        </w:rPr>
        <w:t>or potential customers’</w:t>
      </w:r>
      <w:r>
        <w:rPr>
          <w:spacing w:val="-11"/>
        </w:rPr>
        <w:t> </w:t>
      </w:r>
      <w:r>
        <w:rPr>
          <w:spacing w:val="-2"/>
        </w:rPr>
        <w:t>internally developed applications. Of the competitors </w:t>
      </w:r>
      <w:r>
        <w:rPr/>
        <w:t>listed</w:t>
      </w:r>
      <w:r>
        <w:rPr>
          <w:spacing w:val="-13"/>
        </w:rPr>
        <w:t> </w:t>
      </w:r>
      <w:r>
        <w:rPr/>
        <w:t>above,</w:t>
      </w:r>
      <w:r>
        <w:rPr>
          <w:spacing w:val="-12"/>
        </w:rPr>
        <w:t> </w:t>
      </w:r>
      <w:r>
        <w:rPr/>
        <w:t>no</w:t>
      </w:r>
      <w:r>
        <w:rPr>
          <w:spacing w:val="-13"/>
        </w:rPr>
        <w:t> </w:t>
      </w:r>
      <w:r>
        <w:rPr/>
        <w:t>single</w:t>
      </w:r>
      <w:r>
        <w:rPr>
          <w:spacing w:val="-12"/>
        </w:rPr>
        <w:t> </w:t>
      </w:r>
      <w:r>
        <w:rPr/>
        <w:t>company</w:t>
      </w:r>
      <w:r>
        <w:rPr>
          <w:spacing w:val="-13"/>
        </w:rPr>
        <w:t> </w:t>
      </w:r>
      <w:r>
        <w:rPr/>
        <w:t>has</w:t>
      </w:r>
      <w:r>
        <w:rPr>
          <w:spacing w:val="-12"/>
        </w:rPr>
        <w:t> </w:t>
      </w:r>
      <w:r>
        <w:rPr/>
        <w:t>products</w:t>
      </w:r>
      <w:r>
        <w:rPr>
          <w:spacing w:val="-13"/>
        </w:rPr>
        <w:t> </w:t>
      </w:r>
      <w:r>
        <w:rPr/>
        <w:t>identical</w:t>
      </w:r>
      <w:r>
        <w:rPr>
          <w:spacing w:val="-12"/>
        </w:rPr>
        <w:t> </w:t>
      </w:r>
      <w:r>
        <w:rPr/>
        <w:t>to</w:t>
      </w:r>
      <w:r>
        <w:rPr>
          <w:spacing w:val="-13"/>
        </w:rPr>
        <w:t> </w:t>
      </w:r>
      <w:r>
        <w:rPr/>
        <w:t>our</w:t>
      </w:r>
      <w:r>
        <w:rPr>
          <w:spacing w:val="-12"/>
        </w:rPr>
        <w:t> </w:t>
      </w:r>
      <w:r>
        <w:rPr/>
        <w:t>Experience</w:t>
      </w:r>
      <w:r>
        <w:rPr>
          <w:spacing w:val="-13"/>
        </w:rPr>
        <w:t> </w:t>
      </w:r>
      <w:r>
        <w:rPr/>
        <w:t>Cloud</w:t>
      </w:r>
      <w:r>
        <w:rPr>
          <w:spacing w:val="-12"/>
        </w:rPr>
        <w:t> </w:t>
      </w:r>
      <w:r>
        <w:rPr/>
        <w:t>offerings.</w:t>
      </w:r>
      <w:r>
        <w:rPr>
          <w:spacing w:val="-13"/>
        </w:rPr>
        <w:t> </w:t>
      </w:r>
      <w:r>
        <w:rPr/>
        <w:t>Experience</w:t>
      </w:r>
      <w:r>
        <w:rPr>
          <w:spacing w:val="-12"/>
        </w:rPr>
        <w:t> </w:t>
      </w:r>
      <w:r>
        <w:rPr/>
        <w:t>Cloud</w:t>
      </w:r>
      <w:r>
        <w:rPr>
          <w:spacing w:val="-13"/>
        </w:rPr>
        <w:t> </w:t>
      </w:r>
      <w:r>
        <w:rPr/>
        <w:t>competes</w:t>
      </w:r>
      <w:r>
        <w:rPr>
          <w:spacing w:val="-12"/>
        </w:rPr>
        <w:t> </w:t>
      </w:r>
      <w:r>
        <w:rPr/>
        <w:t>in</w:t>
      </w:r>
      <w:r>
        <w:rPr>
          <w:spacing w:val="-13"/>
        </w:rPr>
        <w:t> </w:t>
      </w:r>
      <w:r>
        <w:rPr/>
        <w:t>a</w:t>
      </w:r>
      <w:r>
        <w:rPr>
          <w:spacing w:val="-12"/>
        </w:rPr>
        <w:t> </w:t>
      </w:r>
      <w:r>
        <w:rPr/>
        <w:t>variety of areas, including: reporting and analytics; cross-channel marketing and optimization; online and social marketing; </w:t>
      </w:r>
      <w:r>
        <w:rPr/>
        <w:t>audience management; advertising and real-time bidding technology; video delivery and monetization; web experience management and </w:t>
      </w:r>
      <w:r>
        <w:rPr>
          <w:spacing w:val="-2"/>
        </w:rPr>
        <w:t>others.</w:t>
      </w:r>
    </w:p>
    <w:p>
      <w:pPr>
        <w:pStyle w:val="BodyText"/>
        <w:spacing w:line="249" w:lineRule="auto" w:before="168"/>
        <w:ind w:left="220" w:right="257" w:firstLine="540"/>
        <w:jc w:val="both"/>
      </w:pPr>
      <w:r>
        <w:rPr/>
        <w:t>Large</w:t>
      </w:r>
      <w:r>
        <w:rPr>
          <w:spacing w:val="-10"/>
        </w:rPr>
        <w:t> </w:t>
      </w:r>
      <w:r>
        <w:rPr/>
        <w:t>software,</w:t>
      </w:r>
      <w:r>
        <w:rPr>
          <w:spacing w:val="-10"/>
        </w:rPr>
        <w:t> </w:t>
      </w:r>
      <w:r>
        <w:rPr/>
        <w:t>internet</w:t>
      </w:r>
      <w:r>
        <w:rPr>
          <w:spacing w:val="-11"/>
        </w:rPr>
        <w:t> </w:t>
      </w:r>
      <w:r>
        <w:rPr/>
        <w:t>and</w:t>
      </w:r>
      <w:r>
        <w:rPr>
          <w:spacing w:val="-10"/>
        </w:rPr>
        <w:t> </w:t>
      </w:r>
      <w:r>
        <w:rPr/>
        <w:t>database</w:t>
      </w:r>
      <w:r>
        <w:rPr>
          <w:spacing w:val="-11"/>
        </w:rPr>
        <w:t> </w:t>
      </w:r>
      <w:r>
        <w:rPr/>
        <w:t>management</w:t>
      </w:r>
      <w:r>
        <w:rPr>
          <w:spacing w:val="-11"/>
        </w:rPr>
        <w:t> </w:t>
      </w:r>
      <w:r>
        <w:rPr/>
        <w:t>companies</w:t>
      </w:r>
      <w:r>
        <w:rPr>
          <w:spacing w:val="-10"/>
        </w:rPr>
        <w:t> </w:t>
      </w:r>
      <w:r>
        <w:rPr/>
        <w:t>have</w:t>
      </w:r>
      <w:r>
        <w:rPr>
          <w:spacing w:val="-11"/>
        </w:rPr>
        <w:t> </w:t>
      </w:r>
      <w:r>
        <w:rPr/>
        <w:t>expanded</w:t>
      </w:r>
      <w:r>
        <w:rPr>
          <w:spacing w:val="-10"/>
        </w:rPr>
        <w:t> </w:t>
      </w:r>
      <w:r>
        <w:rPr/>
        <w:t>their</w:t>
      </w:r>
      <w:r>
        <w:rPr>
          <w:spacing w:val="-10"/>
        </w:rPr>
        <w:t> </w:t>
      </w:r>
      <w:r>
        <w:rPr/>
        <w:t>offerings</w:t>
      </w:r>
      <w:r>
        <w:rPr>
          <w:spacing w:val="-10"/>
        </w:rPr>
        <w:t> </w:t>
      </w:r>
      <w:r>
        <w:rPr/>
        <w:t>in</w:t>
      </w:r>
      <w:r>
        <w:rPr>
          <w:spacing w:val="-11"/>
        </w:rPr>
        <w:t> </w:t>
      </w:r>
      <w:r>
        <w:rPr/>
        <w:t>the</w:t>
      </w:r>
      <w:r>
        <w:rPr>
          <w:spacing w:val="-10"/>
        </w:rPr>
        <w:t> </w:t>
      </w:r>
      <w:r>
        <w:rPr/>
        <w:t>digital</w:t>
      </w:r>
      <w:r>
        <w:rPr>
          <w:spacing w:val="-11"/>
        </w:rPr>
        <w:t> </w:t>
      </w:r>
      <w:r>
        <w:rPr/>
        <w:t>experience</w:t>
      </w:r>
      <w:r>
        <w:rPr>
          <w:spacing w:val="-11"/>
        </w:rPr>
        <w:t> </w:t>
      </w:r>
      <w:r>
        <w:rPr/>
        <w:t>area, either</w:t>
      </w:r>
      <w:r>
        <w:rPr>
          <w:spacing w:val="-13"/>
        </w:rPr>
        <w:t> </w:t>
      </w:r>
      <w:r>
        <w:rPr/>
        <w:t>by</w:t>
      </w:r>
      <w:r>
        <w:rPr>
          <w:spacing w:val="-12"/>
        </w:rPr>
        <w:t> </w:t>
      </w:r>
      <w:r>
        <w:rPr/>
        <w:t>developing</w:t>
      </w:r>
      <w:r>
        <w:rPr>
          <w:spacing w:val="-13"/>
        </w:rPr>
        <w:t> </w:t>
      </w:r>
      <w:r>
        <w:rPr/>
        <w:t>competing</w:t>
      </w:r>
      <w:r>
        <w:rPr>
          <w:spacing w:val="-12"/>
        </w:rPr>
        <w:t> </w:t>
      </w:r>
      <w:r>
        <w:rPr/>
        <w:t>services</w:t>
      </w:r>
      <w:r>
        <w:rPr>
          <w:spacing w:val="-13"/>
        </w:rPr>
        <w:t> </w:t>
      </w:r>
      <w:r>
        <w:rPr/>
        <w:t>or</w:t>
      </w:r>
      <w:r>
        <w:rPr>
          <w:spacing w:val="-12"/>
        </w:rPr>
        <w:t> </w:t>
      </w:r>
      <w:r>
        <w:rPr/>
        <w:t>by</w:t>
      </w:r>
      <w:r>
        <w:rPr>
          <w:spacing w:val="-13"/>
        </w:rPr>
        <w:t> </w:t>
      </w:r>
      <w:r>
        <w:rPr/>
        <w:t>acquiring</w:t>
      </w:r>
      <w:r>
        <w:rPr>
          <w:spacing w:val="-12"/>
        </w:rPr>
        <w:t> </w:t>
      </w:r>
      <w:r>
        <w:rPr/>
        <w:t>existing</w:t>
      </w:r>
      <w:r>
        <w:rPr>
          <w:spacing w:val="-13"/>
        </w:rPr>
        <w:t> </w:t>
      </w:r>
      <w:r>
        <w:rPr/>
        <w:t>competitors</w:t>
      </w:r>
      <w:r>
        <w:rPr>
          <w:spacing w:val="-12"/>
        </w:rPr>
        <w:t> </w:t>
      </w:r>
      <w:r>
        <w:rPr/>
        <w:t>or</w:t>
      </w:r>
      <w:r>
        <w:rPr>
          <w:spacing w:val="-13"/>
        </w:rPr>
        <w:t> </w:t>
      </w:r>
      <w:r>
        <w:rPr/>
        <w:t>strategic</w:t>
      </w:r>
      <w:r>
        <w:rPr>
          <w:spacing w:val="-12"/>
        </w:rPr>
        <w:t> </w:t>
      </w:r>
      <w:r>
        <w:rPr/>
        <w:t>partners</w:t>
      </w:r>
      <w:r>
        <w:rPr>
          <w:spacing w:val="-13"/>
        </w:rPr>
        <w:t> </w:t>
      </w:r>
      <w:r>
        <w:rPr/>
        <w:t>of</w:t>
      </w:r>
      <w:r>
        <w:rPr>
          <w:spacing w:val="-12"/>
        </w:rPr>
        <w:t> </w:t>
      </w:r>
      <w:r>
        <w:rPr/>
        <w:t>ours.</w:t>
      </w:r>
      <w:r>
        <w:rPr>
          <w:spacing w:val="-13"/>
        </w:rPr>
        <w:t> </w:t>
      </w:r>
      <w:r>
        <w:rPr/>
        <w:t>We</w:t>
      </w:r>
      <w:r>
        <w:rPr>
          <w:spacing w:val="-12"/>
        </w:rPr>
        <w:t> </w:t>
      </w:r>
      <w:r>
        <w:rPr/>
        <w:t>believe</w:t>
      </w:r>
      <w:r>
        <w:rPr>
          <w:spacing w:val="-13"/>
        </w:rPr>
        <w:t> </w:t>
      </w:r>
      <w:r>
        <w:rPr/>
        <w:t>competitive factors in our markets include the proven performance, security, scalability, flexibility and reliability of services; the strategic relationships and integration with third-party applications; the intuitiveness and visual appeal of user interfaces; demonstrable cost-effective benefits to customers; pricing; the flexibility of services to match changing business demands; enterprise-level customer</w:t>
      </w:r>
      <w:r>
        <w:rPr>
          <w:spacing w:val="-4"/>
        </w:rPr>
        <w:t> </w:t>
      </w:r>
      <w:r>
        <w:rPr/>
        <w:t>service</w:t>
      </w:r>
      <w:r>
        <w:rPr>
          <w:spacing w:val="-4"/>
        </w:rPr>
        <w:t> </w:t>
      </w:r>
      <w:r>
        <w:rPr/>
        <w:t>and</w:t>
      </w:r>
      <w:r>
        <w:rPr>
          <w:spacing w:val="-4"/>
        </w:rPr>
        <w:t> </w:t>
      </w:r>
      <w:r>
        <w:rPr/>
        <w:t>training;</w:t>
      </w:r>
      <w:r>
        <w:rPr>
          <w:spacing w:val="-4"/>
        </w:rPr>
        <w:t> </w:t>
      </w:r>
      <w:r>
        <w:rPr/>
        <w:t>perceived</w:t>
      </w:r>
      <w:r>
        <w:rPr>
          <w:spacing w:val="-4"/>
        </w:rPr>
        <w:t> </w:t>
      </w:r>
      <w:r>
        <w:rPr/>
        <w:t>market</w:t>
      </w:r>
      <w:r>
        <w:rPr>
          <w:spacing w:val="-4"/>
        </w:rPr>
        <w:t> </w:t>
      </w:r>
      <w:r>
        <w:rPr/>
        <w:t>leadership;</w:t>
      </w:r>
      <w:r>
        <w:rPr>
          <w:spacing w:val="-4"/>
        </w:rPr>
        <w:t> </w:t>
      </w:r>
      <w:r>
        <w:rPr/>
        <w:t>the</w:t>
      </w:r>
      <w:r>
        <w:rPr>
          <w:spacing w:val="-4"/>
        </w:rPr>
        <w:t> </w:t>
      </w:r>
      <w:r>
        <w:rPr/>
        <w:t>usability</w:t>
      </w:r>
      <w:r>
        <w:rPr>
          <w:spacing w:val="-4"/>
        </w:rPr>
        <w:t> </w:t>
      </w:r>
      <w:r>
        <w:rPr/>
        <w:t>of</w:t>
      </w:r>
      <w:r>
        <w:rPr>
          <w:spacing w:val="-3"/>
        </w:rPr>
        <w:t> </w:t>
      </w:r>
      <w:r>
        <w:rPr/>
        <w:t>services;</w:t>
      </w:r>
      <w:r>
        <w:rPr>
          <w:spacing w:val="-4"/>
        </w:rPr>
        <w:t> </w:t>
      </w:r>
      <w:r>
        <w:rPr/>
        <w:t>real-time</w:t>
      </w:r>
      <w:r>
        <w:rPr>
          <w:spacing w:val="-4"/>
        </w:rPr>
        <w:t> </w:t>
      </w:r>
      <w:r>
        <w:rPr/>
        <w:t>data</w:t>
      </w:r>
      <w:r>
        <w:rPr>
          <w:spacing w:val="-4"/>
        </w:rPr>
        <w:t> </w:t>
      </w:r>
      <w:r>
        <w:rPr/>
        <w:t>and</w:t>
      </w:r>
      <w:r>
        <w:rPr>
          <w:spacing w:val="-4"/>
        </w:rPr>
        <w:t> </w:t>
      </w:r>
      <w:r>
        <w:rPr/>
        <w:t>reporting;</w:t>
      </w:r>
      <w:r>
        <w:rPr>
          <w:spacing w:val="-4"/>
        </w:rPr>
        <w:t> </w:t>
      </w:r>
      <w:r>
        <w:rPr/>
        <w:t>independence from</w:t>
      </w:r>
      <w:r>
        <w:rPr>
          <w:spacing w:val="-3"/>
        </w:rPr>
        <w:t> </w:t>
      </w:r>
      <w:r>
        <w:rPr/>
        <w:t>portals</w:t>
      </w:r>
      <w:r>
        <w:rPr>
          <w:spacing w:val="-2"/>
        </w:rPr>
        <w:t> </w:t>
      </w:r>
      <w:r>
        <w:rPr/>
        <w:t>and</w:t>
      </w:r>
      <w:r>
        <w:rPr>
          <w:spacing w:val="-3"/>
        </w:rPr>
        <w:t> </w:t>
      </w:r>
      <w:r>
        <w:rPr/>
        <w:t>search</w:t>
      </w:r>
      <w:r>
        <w:rPr>
          <w:spacing w:val="-2"/>
        </w:rPr>
        <w:t> </w:t>
      </w:r>
      <w:r>
        <w:rPr/>
        <w:t>engines;</w:t>
      </w:r>
      <w:r>
        <w:rPr>
          <w:spacing w:val="-3"/>
        </w:rPr>
        <w:t> </w:t>
      </w:r>
      <w:r>
        <w:rPr/>
        <w:t>the</w:t>
      </w:r>
      <w:r>
        <w:rPr>
          <w:spacing w:val="-3"/>
        </w:rPr>
        <w:t> </w:t>
      </w:r>
      <w:r>
        <w:rPr/>
        <w:t>ability</w:t>
      </w:r>
      <w:r>
        <w:rPr>
          <w:spacing w:val="-3"/>
        </w:rPr>
        <w:t> </w:t>
      </w:r>
      <w:r>
        <w:rPr/>
        <w:t>to</w:t>
      </w:r>
      <w:r>
        <w:rPr>
          <w:spacing w:val="-2"/>
        </w:rPr>
        <w:t> </w:t>
      </w:r>
      <w:r>
        <w:rPr/>
        <w:t>deploy</w:t>
      </w:r>
      <w:r>
        <w:rPr>
          <w:spacing w:val="-3"/>
        </w:rPr>
        <w:t> </w:t>
      </w:r>
      <w:r>
        <w:rPr/>
        <w:t>the</w:t>
      </w:r>
      <w:r>
        <w:rPr>
          <w:spacing w:val="-3"/>
        </w:rPr>
        <w:t> </w:t>
      </w:r>
      <w:r>
        <w:rPr/>
        <w:t>services</w:t>
      </w:r>
      <w:r>
        <w:rPr>
          <w:spacing w:val="-2"/>
        </w:rPr>
        <w:t> </w:t>
      </w:r>
      <w:r>
        <w:rPr/>
        <w:t>globally;</w:t>
      </w:r>
      <w:r>
        <w:rPr>
          <w:spacing w:val="-3"/>
        </w:rPr>
        <w:t> </w:t>
      </w:r>
      <w:r>
        <w:rPr/>
        <w:t>and</w:t>
      </w:r>
      <w:r>
        <w:rPr>
          <w:spacing w:val="-2"/>
        </w:rPr>
        <w:t> </w:t>
      </w:r>
      <w:r>
        <w:rPr/>
        <w:t>success</w:t>
      </w:r>
      <w:r>
        <w:rPr>
          <w:spacing w:val="-2"/>
        </w:rPr>
        <w:t> </w:t>
      </w:r>
      <w:r>
        <w:rPr/>
        <w:t>in</w:t>
      </w:r>
      <w:r>
        <w:rPr>
          <w:spacing w:val="-3"/>
        </w:rPr>
        <w:t> </w:t>
      </w:r>
      <w:r>
        <w:rPr/>
        <w:t>educating</w:t>
      </w:r>
      <w:r>
        <w:rPr>
          <w:spacing w:val="-3"/>
        </w:rPr>
        <w:t> </w:t>
      </w:r>
      <w:r>
        <w:rPr/>
        <w:t>customers</w:t>
      </w:r>
      <w:r>
        <w:rPr>
          <w:spacing w:val="-2"/>
        </w:rPr>
        <w:t> </w:t>
      </w:r>
      <w:r>
        <w:rPr/>
        <w:t>in</w:t>
      </w:r>
      <w:r>
        <w:rPr>
          <w:spacing w:val="-2"/>
        </w:rPr>
        <w:t> </w:t>
      </w:r>
      <w:r>
        <w:rPr/>
        <w:t>how</w:t>
      </w:r>
      <w:r>
        <w:rPr>
          <w:spacing w:val="-2"/>
        </w:rPr>
        <w:t> </w:t>
      </w:r>
      <w:r>
        <w:rPr/>
        <w:t>to</w:t>
      </w:r>
      <w:r>
        <w:rPr>
          <w:spacing w:val="-3"/>
        </w:rPr>
        <w:t> </w:t>
      </w:r>
      <w:r>
        <w:rPr/>
        <w:t>utilize services</w:t>
      </w:r>
      <w:r>
        <w:rPr>
          <w:spacing w:val="-6"/>
        </w:rPr>
        <w:t> </w:t>
      </w:r>
      <w:r>
        <w:rPr/>
        <w:t>effectively.</w:t>
      </w:r>
      <w:r>
        <w:rPr>
          <w:spacing w:val="-9"/>
        </w:rPr>
        <w:t> </w:t>
      </w:r>
      <w:r>
        <w:rPr/>
        <w:t>We</w:t>
      </w:r>
      <w:r>
        <w:rPr>
          <w:spacing w:val="-6"/>
        </w:rPr>
        <w:t> </w:t>
      </w:r>
      <w:r>
        <w:rPr/>
        <w:t>believe</w:t>
      </w:r>
      <w:r>
        <w:rPr>
          <w:spacing w:val="-6"/>
        </w:rPr>
        <w:t> </w:t>
      </w:r>
      <w:r>
        <w:rPr/>
        <w:t>we</w:t>
      </w:r>
      <w:r>
        <w:rPr>
          <w:spacing w:val="-6"/>
        </w:rPr>
        <w:t> </w:t>
      </w:r>
      <w:r>
        <w:rPr/>
        <w:t>compete</w:t>
      </w:r>
      <w:r>
        <w:rPr>
          <w:spacing w:val="-6"/>
        </w:rPr>
        <w:t> </w:t>
      </w:r>
      <w:r>
        <w:rPr/>
        <w:t>favorably</w:t>
      </w:r>
      <w:r>
        <w:rPr>
          <w:spacing w:val="-6"/>
        </w:rPr>
        <w:t> </w:t>
      </w:r>
      <w:r>
        <w:rPr/>
        <w:t>with</w:t>
      </w:r>
      <w:r>
        <w:rPr>
          <w:spacing w:val="-6"/>
        </w:rPr>
        <w:t> </w:t>
      </w:r>
      <w:r>
        <w:rPr/>
        <w:t>both</w:t>
      </w:r>
      <w:r>
        <w:rPr>
          <w:spacing w:val="-6"/>
        </w:rPr>
        <w:t> </w:t>
      </w:r>
      <w:r>
        <w:rPr/>
        <w:t>the</w:t>
      </w:r>
      <w:r>
        <w:rPr>
          <w:spacing w:val="-6"/>
        </w:rPr>
        <w:t> </w:t>
      </w:r>
      <w:r>
        <w:rPr/>
        <w:t>enterprise</w:t>
      </w:r>
      <w:r>
        <w:rPr>
          <w:spacing w:val="-6"/>
        </w:rPr>
        <w:t> </w:t>
      </w:r>
      <w:r>
        <w:rPr/>
        <w:t>and</w:t>
      </w:r>
      <w:r>
        <w:rPr>
          <w:spacing w:val="-6"/>
        </w:rPr>
        <w:t> </w:t>
      </w:r>
      <w:r>
        <w:rPr/>
        <w:t>low-cost</w:t>
      </w:r>
      <w:r>
        <w:rPr>
          <w:spacing w:val="-6"/>
        </w:rPr>
        <w:t> </w:t>
      </w:r>
      <w:r>
        <w:rPr/>
        <w:t>alternatives</w:t>
      </w:r>
      <w:r>
        <w:rPr>
          <w:spacing w:val="-6"/>
        </w:rPr>
        <w:t> </w:t>
      </w:r>
      <w:r>
        <w:rPr/>
        <w:t>based</w:t>
      </w:r>
      <w:r>
        <w:rPr>
          <w:spacing w:val="-6"/>
        </w:rPr>
        <w:t> </w:t>
      </w:r>
      <w:r>
        <w:rPr/>
        <w:t>on</w:t>
      </w:r>
      <w:r>
        <w:rPr>
          <w:spacing w:val="-6"/>
        </w:rPr>
        <w:t> </w:t>
      </w:r>
      <w:r>
        <w:rPr/>
        <w:t>many</w:t>
      </w:r>
      <w:r>
        <w:rPr>
          <w:spacing w:val="-6"/>
        </w:rPr>
        <w:t> </w:t>
      </w:r>
      <w:r>
        <w:rPr/>
        <w:t>of</w:t>
      </w:r>
      <w:r>
        <w:rPr>
          <w:spacing w:val="-6"/>
        </w:rPr>
        <w:t> </w:t>
      </w:r>
      <w:r>
        <w:rPr/>
        <w:t>these competitive</w:t>
      </w:r>
      <w:r>
        <w:rPr>
          <w:spacing w:val="-9"/>
        </w:rPr>
        <w:t> </w:t>
      </w:r>
      <w:r>
        <w:rPr/>
        <w:t>factors</w:t>
      </w:r>
      <w:r>
        <w:rPr>
          <w:spacing w:val="-8"/>
        </w:rPr>
        <w:t> </w:t>
      </w:r>
      <w:r>
        <w:rPr/>
        <w:t>including</w:t>
      </w:r>
      <w:r>
        <w:rPr>
          <w:spacing w:val="-9"/>
        </w:rPr>
        <w:t> </w:t>
      </w:r>
      <w:r>
        <w:rPr/>
        <w:t>our</w:t>
      </w:r>
      <w:r>
        <w:rPr>
          <w:spacing w:val="-8"/>
        </w:rPr>
        <w:t> </w:t>
      </w:r>
      <w:r>
        <w:rPr/>
        <w:t>strong</w:t>
      </w:r>
      <w:r>
        <w:rPr>
          <w:spacing w:val="-9"/>
        </w:rPr>
        <w:t> </w:t>
      </w:r>
      <w:r>
        <w:rPr/>
        <w:t>feature</w:t>
      </w:r>
      <w:r>
        <w:rPr>
          <w:spacing w:val="-9"/>
        </w:rPr>
        <w:t> </w:t>
      </w:r>
      <w:r>
        <w:rPr/>
        <w:t>set,</w:t>
      </w:r>
      <w:r>
        <w:rPr>
          <w:spacing w:val="-9"/>
        </w:rPr>
        <w:t> </w:t>
      </w:r>
      <w:r>
        <w:rPr/>
        <w:t>the</w:t>
      </w:r>
      <w:r>
        <w:rPr>
          <w:spacing w:val="-9"/>
        </w:rPr>
        <w:t> </w:t>
      </w:r>
      <w:r>
        <w:rPr/>
        <w:t>breadth</w:t>
      </w:r>
      <w:r>
        <w:rPr>
          <w:spacing w:val="-8"/>
        </w:rPr>
        <w:t> </w:t>
      </w:r>
      <w:r>
        <w:rPr/>
        <w:t>of</w:t>
      </w:r>
      <w:r>
        <w:rPr>
          <w:spacing w:val="-9"/>
        </w:rPr>
        <w:t> </w:t>
      </w:r>
      <w:r>
        <w:rPr/>
        <w:t>our</w:t>
      </w:r>
      <w:r>
        <w:rPr>
          <w:spacing w:val="-8"/>
        </w:rPr>
        <w:t> </w:t>
      </w:r>
      <w:r>
        <w:rPr/>
        <w:t>offerings,</w:t>
      </w:r>
      <w:r>
        <w:rPr>
          <w:spacing w:val="-8"/>
        </w:rPr>
        <w:t> </w:t>
      </w:r>
      <w:r>
        <w:rPr/>
        <w:t>our</w:t>
      </w:r>
      <w:r>
        <w:rPr>
          <w:spacing w:val="-9"/>
        </w:rPr>
        <w:t> </w:t>
      </w:r>
      <w:r>
        <w:rPr/>
        <w:t>focus</w:t>
      </w:r>
      <w:r>
        <w:rPr>
          <w:spacing w:val="-8"/>
        </w:rPr>
        <w:t> </w:t>
      </w:r>
      <w:r>
        <w:rPr/>
        <w:t>on</w:t>
      </w:r>
      <w:r>
        <w:rPr>
          <w:spacing w:val="-8"/>
        </w:rPr>
        <w:t> </w:t>
      </w:r>
      <w:r>
        <w:rPr/>
        <w:t>global,</w:t>
      </w:r>
      <w:r>
        <w:rPr>
          <w:spacing w:val="-9"/>
        </w:rPr>
        <w:t> </w:t>
      </w:r>
      <w:r>
        <w:rPr/>
        <w:t>multi-brand</w:t>
      </w:r>
      <w:r>
        <w:rPr>
          <w:spacing w:val="-9"/>
        </w:rPr>
        <w:t> </w:t>
      </w:r>
      <w:r>
        <w:rPr/>
        <w:t>companies,</w:t>
      </w:r>
      <w:r>
        <w:rPr>
          <w:spacing w:val="-9"/>
        </w:rPr>
        <w:t> </w:t>
      </w:r>
      <w:r>
        <w:rPr/>
        <w:t>our superior</w:t>
      </w:r>
      <w:r>
        <w:rPr>
          <w:spacing w:val="-12"/>
        </w:rPr>
        <w:t> </w:t>
      </w:r>
      <w:r>
        <w:rPr/>
        <w:t>user</w:t>
      </w:r>
      <w:r>
        <w:rPr>
          <w:spacing w:val="-12"/>
        </w:rPr>
        <w:t> </w:t>
      </w:r>
      <w:r>
        <w:rPr/>
        <w:t>experience,</w:t>
      </w:r>
      <w:r>
        <w:rPr>
          <w:spacing w:val="-12"/>
        </w:rPr>
        <w:t> </w:t>
      </w:r>
      <w:r>
        <w:rPr/>
        <w:t>tools</w:t>
      </w:r>
      <w:r>
        <w:rPr>
          <w:spacing w:val="-12"/>
        </w:rPr>
        <w:t> </w:t>
      </w:r>
      <w:r>
        <w:rPr/>
        <w:t>for</w:t>
      </w:r>
      <w:r>
        <w:rPr>
          <w:spacing w:val="-12"/>
        </w:rPr>
        <w:t> </w:t>
      </w:r>
      <w:r>
        <w:rPr/>
        <w:t>building</w:t>
      </w:r>
      <w:r>
        <w:rPr>
          <w:spacing w:val="-12"/>
        </w:rPr>
        <w:t> </w:t>
      </w:r>
      <w:r>
        <w:rPr/>
        <w:t>multi-screen,</w:t>
      </w:r>
      <w:r>
        <w:rPr>
          <w:spacing w:val="-12"/>
        </w:rPr>
        <w:t> </w:t>
      </w:r>
      <w:r>
        <w:rPr/>
        <w:t>cross-channel</w:t>
      </w:r>
      <w:r>
        <w:rPr>
          <w:spacing w:val="-12"/>
        </w:rPr>
        <w:t> </w:t>
      </w:r>
      <w:r>
        <w:rPr/>
        <w:t>applications,</w:t>
      </w:r>
      <w:r>
        <w:rPr>
          <w:spacing w:val="-12"/>
        </w:rPr>
        <w:t> </w:t>
      </w:r>
      <w:r>
        <w:rPr/>
        <w:t>standards-based</w:t>
      </w:r>
      <w:r>
        <w:rPr>
          <w:spacing w:val="-12"/>
        </w:rPr>
        <w:t> </w:t>
      </w:r>
      <w:r>
        <w:rPr/>
        <w:t>architecture,</w:t>
      </w:r>
      <w:r>
        <w:rPr>
          <w:spacing w:val="-12"/>
        </w:rPr>
        <w:t> </w:t>
      </w:r>
      <w:r>
        <w:rPr/>
        <w:t>scalability</w:t>
      </w:r>
      <w:r>
        <w:rPr>
          <w:spacing w:val="-12"/>
        </w:rPr>
        <w:t> </w:t>
      </w:r>
      <w:r>
        <w:rPr/>
        <w:t>and performance and leadership in industry standards efforts.</w:t>
      </w:r>
    </w:p>
    <w:p>
      <w:pPr>
        <w:pStyle w:val="BodyText"/>
        <w:spacing w:line="249" w:lineRule="auto" w:before="169"/>
        <w:ind w:left="220" w:right="257" w:firstLine="540"/>
        <w:jc w:val="both"/>
      </w:pPr>
      <w:r>
        <w:rPr/>
        <w:t>Creative</w:t>
      </w:r>
      <w:r>
        <w:rPr>
          <w:spacing w:val="-13"/>
        </w:rPr>
        <w:t> </w:t>
      </w:r>
      <w:r>
        <w:rPr/>
        <w:t>and</w:t>
      </w:r>
      <w:r>
        <w:rPr>
          <w:spacing w:val="-12"/>
        </w:rPr>
        <w:t> </w:t>
      </w:r>
      <w:r>
        <w:rPr/>
        <w:t>digital</w:t>
      </w:r>
      <w:r>
        <w:rPr>
          <w:spacing w:val="-13"/>
        </w:rPr>
        <w:t> </w:t>
      </w:r>
      <w:r>
        <w:rPr/>
        <w:t>agencies,</w:t>
      </w:r>
      <w:r>
        <w:rPr>
          <w:spacing w:val="-12"/>
        </w:rPr>
        <w:t> </w:t>
      </w:r>
      <w:r>
        <w:rPr/>
        <w:t>as</w:t>
      </w:r>
      <w:r>
        <w:rPr>
          <w:spacing w:val="-13"/>
        </w:rPr>
        <w:t> </w:t>
      </w:r>
      <w:r>
        <w:rPr/>
        <w:t>well</w:t>
      </w:r>
      <w:r>
        <w:rPr>
          <w:spacing w:val="-12"/>
        </w:rPr>
        <w:t> </w:t>
      </w:r>
      <w:r>
        <w:rPr/>
        <w:t>as</w:t>
      </w:r>
      <w:r>
        <w:rPr>
          <w:spacing w:val="-13"/>
        </w:rPr>
        <w:t> </w:t>
      </w:r>
      <w:r>
        <w:rPr/>
        <w:t>SIs,</w:t>
      </w:r>
      <w:r>
        <w:rPr>
          <w:spacing w:val="-12"/>
        </w:rPr>
        <w:t> </w:t>
      </w:r>
      <w:r>
        <w:rPr/>
        <w:t>are</w:t>
      </w:r>
      <w:r>
        <w:rPr>
          <w:spacing w:val="-13"/>
        </w:rPr>
        <w:t> </w:t>
      </w:r>
      <w:r>
        <w:rPr/>
        <w:t>increasingly</w:t>
      </w:r>
      <w:r>
        <w:rPr>
          <w:spacing w:val="-12"/>
        </w:rPr>
        <w:t> </w:t>
      </w:r>
      <w:r>
        <w:rPr/>
        <w:t>investing</w:t>
      </w:r>
      <w:r>
        <w:rPr>
          <w:spacing w:val="-13"/>
        </w:rPr>
        <w:t> </w:t>
      </w:r>
      <w:r>
        <w:rPr/>
        <w:t>in</w:t>
      </w:r>
      <w:r>
        <w:rPr>
          <w:spacing w:val="-12"/>
        </w:rPr>
        <w:t> </w:t>
      </w:r>
      <w:r>
        <w:rPr/>
        <w:t>acquiring</w:t>
      </w:r>
      <w:r>
        <w:rPr>
          <w:spacing w:val="-13"/>
        </w:rPr>
        <w:t> </w:t>
      </w:r>
      <w:r>
        <w:rPr/>
        <w:t>their</w:t>
      </w:r>
      <w:r>
        <w:rPr>
          <w:spacing w:val="-12"/>
        </w:rPr>
        <w:t> </w:t>
      </w:r>
      <w:r>
        <w:rPr/>
        <w:t>own</w:t>
      </w:r>
      <w:r>
        <w:rPr>
          <w:spacing w:val="-13"/>
        </w:rPr>
        <w:t> </w:t>
      </w:r>
      <w:r>
        <w:rPr/>
        <w:t>digital</w:t>
      </w:r>
      <w:r>
        <w:rPr>
          <w:spacing w:val="-12"/>
        </w:rPr>
        <w:t> </w:t>
      </w:r>
      <w:r>
        <w:rPr/>
        <w:t>experience</w:t>
      </w:r>
      <w:r>
        <w:rPr>
          <w:spacing w:val="-13"/>
        </w:rPr>
        <w:t> </w:t>
      </w:r>
      <w:r>
        <w:rPr/>
        <w:t>technology to</w:t>
      </w:r>
      <w:r>
        <w:rPr>
          <w:spacing w:val="-13"/>
        </w:rPr>
        <w:t> </w:t>
      </w:r>
      <w:r>
        <w:rPr/>
        <w:t>complement</w:t>
      </w:r>
      <w:r>
        <w:rPr>
          <w:spacing w:val="-9"/>
        </w:rPr>
        <w:t> </w:t>
      </w:r>
      <w:r>
        <w:rPr/>
        <w:t>their</w:t>
      </w:r>
      <w:r>
        <w:rPr>
          <w:spacing w:val="-8"/>
        </w:rPr>
        <w:t> </w:t>
      </w:r>
      <w:r>
        <w:rPr/>
        <w:t>creative</w:t>
      </w:r>
      <w:r>
        <w:rPr>
          <w:spacing w:val="-9"/>
        </w:rPr>
        <w:t> </w:t>
      </w:r>
      <w:r>
        <w:rPr/>
        <w:t>services</w:t>
      </w:r>
      <w:r>
        <w:rPr>
          <w:spacing w:val="-8"/>
        </w:rPr>
        <w:t> </w:t>
      </w:r>
      <w:r>
        <w:rPr/>
        <w:t>offerings.</w:t>
      </w:r>
      <w:r>
        <w:rPr>
          <w:spacing w:val="-13"/>
        </w:rPr>
        <w:t> </w:t>
      </w:r>
      <w:r>
        <w:rPr/>
        <w:t>Adobe</w:t>
      </w:r>
      <w:r>
        <w:rPr>
          <w:spacing w:val="-8"/>
        </w:rPr>
        <w:t> </w:t>
      </w:r>
      <w:r>
        <w:rPr/>
        <w:t>may</w:t>
      </w:r>
      <w:r>
        <w:rPr>
          <w:spacing w:val="-8"/>
        </w:rPr>
        <w:t> </w:t>
      </w:r>
      <w:r>
        <w:rPr/>
        <w:t>face</w:t>
      </w:r>
      <w:r>
        <w:rPr>
          <w:spacing w:val="-8"/>
        </w:rPr>
        <w:t> </w:t>
      </w:r>
      <w:r>
        <w:rPr/>
        <w:t>competition</w:t>
      </w:r>
      <w:r>
        <w:rPr>
          <w:spacing w:val="-8"/>
        </w:rPr>
        <w:t> </w:t>
      </w:r>
      <w:r>
        <w:rPr/>
        <w:t>from</w:t>
      </w:r>
      <w:r>
        <w:rPr>
          <w:spacing w:val="-8"/>
        </w:rPr>
        <w:t> </w:t>
      </w:r>
      <w:r>
        <w:rPr/>
        <w:t>these</w:t>
      </w:r>
      <w:r>
        <w:rPr>
          <w:spacing w:val="-8"/>
        </w:rPr>
        <w:t> </w:t>
      </w:r>
      <w:r>
        <w:rPr/>
        <w:t>agencies</w:t>
      </w:r>
      <w:r>
        <w:rPr>
          <w:spacing w:val="-8"/>
        </w:rPr>
        <w:t> </w:t>
      </w:r>
      <w:r>
        <w:rPr/>
        <w:t>and</w:t>
      </w:r>
      <w:r>
        <w:rPr>
          <w:spacing w:val="-8"/>
        </w:rPr>
        <w:t> </w:t>
      </w:r>
      <w:r>
        <w:rPr/>
        <w:t>SIs</w:t>
      </w:r>
      <w:r>
        <w:rPr>
          <w:spacing w:val="-8"/>
        </w:rPr>
        <w:t> </w:t>
      </w:r>
      <w:r>
        <w:rPr/>
        <w:t>as</w:t>
      </w:r>
      <w:r>
        <w:rPr>
          <w:spacing w:val="-8"/>
        </w:rPr>
        <w:t> </w:t>
      </w:r>
      <w:r>
        <w:rPr/>
        <w:t>they</w:t>
      </w:r>
      <w:r>
        <w:rPr>
          <w:spacing w:val="-8"/>
        </w:rPr>
        <w:t> </w:t>
      </w:r>
      <w:r>
        <w:rPr/>
        <w:t>come</w:t>
      </w:r>
      <w:r>
        <w:rPr>
          <w:spacing w:val="-8"/>
        </w:rPr>
        <w:t> </w:t>
      </w:r>
      <w:r>
        <w:rPr/>
        <w:t>to</w:t>
      </w:r>
      <w:r>
        <w:rPr>
          <w:spacing w:val="-8"/>
        </w:rPr>
        <w:t> </w:t>
      </w:r>
      <w:r>
        <w:rPr/>
        <w:t>market with best-of-breed offerings in one or more digital experience capabilities, or if agencies attempt to create a more complete technology platform offering. We believe our creative tools heritage differentiates us from our competitors. We have worked closely with marketing and creative</w:t>
      </w:r>
      <w:r>
        <w:rPr>
          <w:spacing w:val="-1"/>
        </w:rPr>
        <w:t> </w:t>
      </w:r>
      <w:r>
        <w:rPr/>
        <w:t>customers for over 30 years.</w:t>
      </w:r>
      <w:r>
        <w:rPr>
          <w:spacing w:val="-4"/>
        </w:rPr>
        <w:t> </w:t>
      </w:r>
      <w:r>
        <w:rPr/>
        <w:t>We also believe</w:t>
      </w:r>
      <w:r>
        <w:rPr>
          <w:spacing w:val="-1"/>
        </w:rPr>
        <w:t> </w:t>
      </w:r>
      <w:r>
        <w:rPr/>
        <w:t>we have</w:t>
      </w:r>
      <w:r>
        <w:rPr>
          <w:spacing w:val="-1"/>
        </w:rPr>
        <w:t> </w:t>
      </w:r>
      <w:r>
        <w:rPr/>
        <w:t>leadership in this space, with current customers representing leading global brands. Our comprehensive solutions extend more broadly than any other company in serving</w:t>
      </w:r>
      <w:r>
        <w:rPr>
          <w:spacing w:val="-3"/>
        </w:rPr>
        <w:t> </w:t>
      </w:r>
      <w:r>
        <w:rPr/>
        <w:t>the</w:t>
      </w:r>
      <w:r>
        <w:rPr>
          <w:spacing w:val="-3"/>
        </w:rPr>
        <w:t> </w:t>
      </w:r>
      <w:r>
        <w:rPr/>
        <w:t>needs</w:t>
      </w:r>
      <w:r>
        <w:rPr>
          <w:spacing w:val="-3"/>
        </w:rPr>
        <w:t> </w:t>
      </w:r>
      <w:r>
        <w:rPr/>
        <w:t>of</w:t>
      </w:r>
      <w:r>
        <w:rPr>
          <w:spacing w:val="-3"/>
        </w:rPr>
        <w:t> </w:t>
      </w:r>
      <w:r>
        <w:rPr/>
        <w:t>marketers</w:t>
      </w:r>
      <w:r>
        <w:rPr>
          <w:spacing w:val="-3"/>
        </w:rPr>
        <w:t> </w:t>
      </w:r>
      <w:r>
        <w:rPr/>
        <w:t>and</w:t>
      </w:r>
      <w:r>
        <w:rPr>
          <w:spacing w:val="-3"/>
        </w:rPr>
        <w:t> </w:t>
      </w:r>
      <w:r>
        <w:rPr/>
        <w:t>addressing</w:t>
      </w:r>
      <w:r>
        <w:rPr>
          <w:spacing w:val="-3"/>
        </w:rPr>
        <w:t> </w:t>
      </w:r>
      <w:r>
        <w:rPr/>
        <w:t>this</w:t>
      </w:r>
      <w:r>
        <w:rPr>
          <w:spacing w:val="-3"/>
        </w:rPr>
        <w:t> </w:t>
      </w:r>
      <w:r>
        <w:rPr/>
        <w:t>market</w:t>
      </w:r>
      <w:r>
        <w:rPr>
          <w:spacing w:val="-3"/>
        </w:rPr>
        <w:t> </w:t>
      </w:r>
      <w:r>
        <w:rPr/>
        <w:t>opportunity;</w:t>
      </w:r>
      <w:r>
        <w:rPr>
          <w:spacing w:val="-3"/>
        </w:rPr>
        <w:t> </w:t>
      </w:r>
      <w:r>
        <w:rPr/>
        <w:t>we</w:t>
      </w:r>
      <w:r>
        <w:rPr>
          <w:spacing w:val="-3"/>
        </w:rPr>
        <w:t> </w:t>
      </w:r>
      <w:r>
        <w:rPr/>
        <w:t>integrate</w:t>
      </w:r>
      <w:r>
        <w:rPr>
          <w:spacing w:val="-3"/>
        </w:rPr>
        <w:t> </w:t>
      </w:r>
      <w:r>
        <w:rPr/>
        <w:t>content</w:t>
      </w:r>
      <w:r>
        <w:rPr>
          <w:spacing w:val="-3"/>
        </w:rPr>
        <w:t> </w:t>
      </w:r>
      <w:r>
        <w:rPr/>
        <w:t>and</w:t>
      </w:r>
      <w:r>
        <w:rPr>
          <w:spacing w:val="-3"/>
        </w:rPr>
        <w:t> </w:t>
      </w:r>
      <w:r>
        <w:rPr/>
        <w:t>data,</w:t>
      </w:r>
      <w:r>
        <w:rPr>
          <w:spacing w:val="-3"/>
        </w:rPr>
        <w:t> </w:t>
      </w:r>
      <w:r>
        <w:rPr/>
        <w:t>analytics,</w:t>
      </w:r>
      <w:r>
        <w:rPr>
          <w:spacing w:val="-3"/>
        </w:rPr>
        <w:t> </w:t>
      </w:r>
      <w:r>
        <w:rPr/>
        <w:t>personalization, digital experience management, cross-channel campaign management, audience management, video delivery and </w:t>
      </w:r>
      <w:r>
        <w:rPr/>
        <w:t>monetization and</w:t>
      </w:r>
      <w:r>
        <w:rPr>
          <w:spacing w:val="-11"/>
        </w:rPr>
        <w:t> </w:t>
      </w:r>
      <w:r>
        <w:rPr/>
        <w:t>social</w:t>
      </w:r>
      <w:r>
        <w:rPr>
          <w:spacing w:val="-9"/>
        </w:rPr>
        <w:t> </w:t>
      </w:r>
      <w:r>
        <w:rPr/>
        <w:t>capabilities</w:t>
      </w:r>
      <w:r>
        <w:rPr>
          <w:spacing w:val="-9"/>
        </w:rPr>
        <w:t> </w:t>
      </w:r>
      <w:r>
        <w:rPr/>
        <w:t>in</w:t>
      </w:r>
      <w:r>
        <w:rPr>
          <w:spacing w:val="-8"/>
        </w:rPr>
        <w:t> </w:t>
      </w:r>
      <w:r>
        <w:rPr/>
        <w:t>our</w:t>
      </w:r>
      <w:r>
        <w:rPr>
          <w:spacing w:val="-9"/>
        </w:rPr>
        <w:t> </w:t>
      </w:r>
      <w:r>
        <w:rPr/>
        <w:t>Experience</w:t>
      </w:r>
      <w:r>
        <w:rPr>
          <w:spacing w:val="-9"/>
        </w:rPr>
        <w:t> </w:t>
      </w:r>
      <w:r>
        <w:rPr/>
        <w:t>Cloud.</w:t>
      </w:r>
      <w:r>
        <w:rPr>
          <w:spacing w:val="-9"/>
        </w:rPr>
        <w:t> </w:t>
      </w:r>
      <w:r>
        <w:rPr/>
        <w:t>Most</w:t>
      </w:r>
      <w:r>
        <w:rPr>
          <w:spacing w:val="-8"/>
        </w:rPr>
        <w:t> </w:t>
      </w:r>
      <w:r>
        <w:rPr/>
        <w:t>importantly,</w:t>
      </w:r>
      <w:r>
        <w:rPr>
          <w:spacing w:val="-9"/>
        </w:rPr>
        <w:t> </w:t>
      </w:r>
      <w:r>
        <w:rPr/>
        <w:t>we</w:t>
      </w:r>
      <w:r>
        <w:rPr>
          <w:spacing w:val="-9"/>
        </w:rPr>
        <w:t> </w:t>
      </w:r>
      <w:r>
        <w:rPr/>
        <w:t>provide</w:t>
      </w:r>
      <w:r>
        <w:rPr>
          <w:spacing w:val="-9"/>
        </w:rPr>
        <w:t> </w:t>
      </w:r>
      <w:r>
        <w:rPr/>
        <w:t>a</w:t>
      </w:r>
      <w:r>
        <w:rPr>
          <w:spacing w:val="-8"/>
        </w:rPr>
        <w:t> </w:t>
      </w:r>
      <w:r>
        <w:rPr/>
        <w:t>vision</w:t>
      </w:r>
      <w:r>
        <w:rPr>
          <w:spacing w:val="-9"/>
        </w:rPr>
        <w:t> </w:t>
      </w:r>
      <w:r>
        <w:rPr/>
        <w:t>for</w:t>
      </w:r>
      <w:r>
        <w:rPr>
          <w:spacing w:val="-9"/>
        </w:rPr>
        <w:t> </w:t>
      </w:r>
      <w:r>
        <w:rPr/>
        <w:t>our</w:t>
      </w:r>
      <w:r>
        <w:rPr>
          <w:spacing w:val="-9"/>
        </w:rPr>
        <w:t> </w:t>
      </w:r>
      <w:r>
        <w:rPr/>
        <w:t>digital</w:t>
      </w:r>
      <w:r>
        <w:rPr>
          <w:spacing w:val="-8"/>
        </w:rPr>
        <w:t> </w:t>
      </w:r>
      <w:r>
        <w:rPr/>
        <w:t>experience</w:t>
      </w:r>
      <w:r>
        <w:rPr>
          <w:spacing w:val="-10"/>
        </w:rPr>
        <w:t> </w:t>
      </w:r>
      <w:r>
        <w:rPr/>
        <w:t>customers</w:t>
      </w:r>
      <w:r>
        <w:rPr>
          <w:spacing w:val="-9"/>
        </w:rPr>
        <w:t> </w:t>
      </w:r>
      <w:r>
        <w:rPr/>
        <w:t>as</w:t>
      </w:r>
      <w:r>
        <w:rPr>
          <w:spacing w:val="-8"/>
        </w:rPr>
        <w:t> </w:t>
      </w:r>
      <w:r>
        <w:rPr>
          <w:spacing w:val="-5"/>
        </w:rPr>
        <w:t>we</w:t>
      </w:r>
    </w:p>
    <w:p>
      <w:pPr>
        <w:spacing w:after="0" w:line="249" w:lineRule="auto"/>
        <w:jc w:val="both"/>
        <w:sectPr>
          <w:pgSz w:w="12240" w:h="15840"/>
          <w:pgMar w:header="210" w:footer="599" w:top="420" w:bottom="800" w:left="780" w:right="740"/>
        </w:sectPr>
      </w:pPr>
    </w:p>
    <w:p>
      <w:pPr>
        <w:pStyle w:val="BodyText"/>
        <w:spacing w:before="150"/>
      </w:pPr>
    </w:p>
    <w:p>
      <w:pPr>
        <w:pStyle w:val="BodyText"/>
        <w:spacing w:line="249" w:lineRule="auto"/>
        <w:ind w:left="220" w:right="240"/>
      </w:pPr>
      <w:r>
        <w:rPr/>
        <w:t>engage</w:t>
      </w:r>
      <w:r>
        <w:rPr>
          <w:spacing w:val="-10"/>
        </w:rPr>
        <w:t> </w:t>
      </w:r>
      <w:r>
        <w:rPr/>
        <w:t>with</w:t>
      </w:r>
      <w:r>
        <w:rPr>
          <w:spacing w:val="-10"/>
        </w:rPr>
        <w:t> </w:t>
      </w:r>
      <w:r>
        <w:rPr/>
        <w:t>them</w:t>
      </w:r>
      <w:r>
        <w:rPr>
          <w:spacing w:val="-10"/>
        </w:rPr>
        <w:t> </w:t>
      </w:r>
      <w:r>
        <w:rPr/>
        <w:t>across</w:t>
      </w:r>
      <w:r>
        <w:rPr>
          <w:spacing w:val="-10"/>
        </w:rPr>
        <w:t> </w:t>
      </w:r>
      <w:r>
        <w:rPr/>
        <w:t>the</w:t>
      </w:r>
      <w:r>
        <w:rPr>
          <w:spacing w:val="-10"/>
        </w:rPr>
        <w:t> </w:t>
      </w:r>
      <w:r>
        <w:rPr/>
        <w:t>important</w:t>
      </w:r>
      <w:r>
        <w:rPr>
          <w:spacing w:val="-10"/>
        </w:rPr>
        <w:t> </w:t>
      </w:r>
      <w:r>
        <w:rPr/>
        <w:t>aspects</w:t>
      </w:r>
      <w:r>
        <w:rPr>
          <w:spacing w:val="-10"/>
        </w:rPr>
        <w:t> </w:t>
      </w:r>
      <w:r>
        <w:rPr/>
        <w:t>of</w:t>
      </w:r>
      <w:r>
        <w:rPr>
          <w:spacing w:val="-10"/>
        </w:rPr>
        <w:t> </w:t>
      </w:r>
      <w:r>
        <w:rPr/>
        <w:t>their</w:t>
      </w:r>
      <w:r>
        <w:rPr>
          <w:spacing w:val="-10"/>
        </w:rPr>
        <w:t> </w:t>
      </w:r>
      <w:r>
        <w:rPr/>
        <w:t>business,</w:t>
      </w:r>
      <w:r>
        <w:rPr>
          <w:spacing w:val="-10"/>
        </w:rPr>
        <w:t> </w:t>
      </w:r>
      <w:r>
        <w:rPr/>
        <w:t>extending</w:t>
      </w:r>
      <w:r>
        <w:rPr>
          <w:spacing w:val="-10"/>
        </w:rPr>
        <w:t> </w:t>
      </w:r>
      <w:r>
        <w:rPr/>
        <w:t>from</w:t>
      </w:r>
      <w:r>
        <w:rPr>
          <w:spacing w:val="-10"/>
        </w:rPr>
        <w:t> </w:t>
      </w:r>
      <w:r>
        <w:rPr/>
        <w:t>their</w:t>
      </w:r>
      <w:r>
        <w:rPr>
          <w:spacing w:val="-10"/>
        </w:rPr>
        <w:t> </w:t>
      </w:r>
      <w:r>
        <w:rPr/>
        <w:t>use</w:t>
      </w:r>
      <w:r>
        <w:rPr>
          <w:spacing w:val="-10"/>
        </w:rPr>
        <w:t> </w:t>
      </w:r>
      <w:r>
        <w:rPr/>
        <w:t>of</w:t>
      </w:r>
      <w:r>
        <w:rPr>
          <w:spacing w:val="-10"/>
        </w:rPr>
        <w:t> </w:t>
      </w:r>
      <w:r>
        <w:rPr/>
        <w:t>Creative</w:t>
      </w:r>
      <w:r>
        <w:rPr>
          <w:spacing w:val="-10"/>
        </w:rPr>
        <w:t> </w:t>
      </w:r>
      <w:r>
        <w:rPr/>
        <w:t>Cloud</w:t>
      </w:r>
      <w:r>
        <w:rPr>
          <w:spacing w:val="-10"/>
        </w:rPr>
        <w:t> </w:t>
      </w:r>
      <w:r>
        <w:rPr/>
        <w:t>and</w:t>
      </w:r>
      <w:r>
        <w:rPr>
          <w:spacing w:val="-10"/>
        </w:rPr>
        <w:t> </w:t>
      </w:r>
      <w:r>
        <w:rPr/>
        <w:t>Document</w:t>
      </w:r>
      <w:r>
        <w:rPr>
          <w:spacing w:val="-10"/>
        </w:rPr>
        <w:t> </w:t>
      </w:r>
      <w:r>
        <w:rPr/>
        <w:t>Cloud to how they manage, deliver, measure and monetize their content with our Experience Cloud.</w:t>
      </w:r>
    </w:p>
    <w:p>
      <w:pPr>
        <w:pStyle w:val="BodyText"/>
        <w:spacing w:before="171"/>
      </w:pPr>
    </w:p>
    <w:p>
      <w:pPr>
        <w:pStyle w:val="Heading2"/>
      </w:pPr>
      <w:r>
        <w:rPr>
          <w:spacing w:val="-2"/>
        </w:rPr>
        <w:t>Publishing</w:t>
      </w:r>
    </w:p>
    <w:p>
      <w:pPr>
        <w:pStyle w:val="BodyText"/>
        <w:spacing w:before="20"/>
        <w:rPr>
          <w:b/>
        </w:rPr>
      </w:pPr>
    </w:p>
    <w:p>
      <w:pPr>
        <w:pStyle w:val="BodyText"/>
        <w:spacing w:line="249" w:lineRule="auto"/>
        <w:ind w:left="220" w:right="257" w:firstLine="540"/>
        <w:jc w:val="both"/>
      </w:pPr>
      <w:r>
        <w:rPr>
          <w:spacing w:val="-2"/>
        </w:rPr>
        <w:t>Our Publishing product offerings face competition from large-scale publishing systems, XML-based publishing companies, </w:t>
      </w:r>
      <w:r>
        <w:rPr/>
        <w:t>as</w:t>
      </w:r>
      <w:r>
        <w:rPr>
          <w:spacing w:val="-1"/>
        </w:rPr>
        <w:t> </w:t>
      </w:r>
      <w:r>
        <w:rPr/>
        <w:t>well</w:t>
      </w:r>
      <w:r>
        <w:rPr>
          <w:spacing w:val="-1"/>
        </w:rPr>
        <w:t> </w:t>
      </w:r>
      <w:r>
        <w:rPr/>
        <w:t>as</w:t>
      </w:r>
      <w:r>
        <w:rPr>
          <w:spacing w:val="-1"/>
        </w:rPr>
        <w:t> </w:t>
      </w:r>
      <w:r>
        <w:rPr/>
        <w:t>lower-end</w:t>
      </w:r>
      <w:r>
        <w:rPr>
          <w:spacing w:val="-1"/>
        </w:rPr>
        <w:t> </w:t>
      </w:r>
      <w:r>
        <w:rPr/>
        <w:t>desktop</w:t>
      </w:r>
      <w:r>
        <w:rPr>
          <w:spacing w:val="-1"/>
        </w:rPr>
        <w:t> </w:t>
      </w:r>
      <w:r>
        <w:rPr/>
        <w:t>publishing</w:t>
      </w:r>
      <w:r>
        <w:rPr>
          <w:spacing w:val="-1"/>
        </w:rPr>
        <w:t> </w:t>
      </w:r>
      <w:r>
        <w:rPr/>
        <w:t>products.</w:t>
      </w:r>
      <w:r>
        <w:rPr>
          <w:spacing w:val="-1"/>
        </w:rPr>
        <w:t> </w:t>
      </w:r>
      <w:r>
        <w:rPr/>
        <w:t>Similarly,</w:t>
      </w:r>
      <w:r>
        <w:rPr>
          <w:spacing w:val="-1"/>
        </w:rPr>
        <w:t> </w:t>
      </w:r>
      <w:r>
        <w:rPr/>
        <w:t>our</w:t>
      </w:r>
      <w:r>
        <w:rPr>
          <w:spacing w:val="-1"/>
        </w:rPr>
        <w:t> </w:t>
      </w:r>
      <w:r>
        <w:rPr/>
        <w:t>web</w:t>
      </w:r>
      <w:r>
        <w:rPr>
          <w:spacing w:val="-1"/>
        </w:rPr>
        <w:t> </w:t>
      </w:r>
      <w:r>
        <w:rPr/>
        <w:t>conferencing</w:t>
      </w:r>
      <w:r>
        <w:rPr>
          <w:spacing w:val="-1"/>
        </w:rPr>
        <w:t> </w:t>
      </w:r>
      <w:r>
        <w:rPr/>
        <w:t>product</w:t>
      </w:r>
      <w:r>
        <w:rPr>
          <w:spacing w:val="-1"/>
        </w:rPr>
        <w:t> </w:t>
      </w:r>
      <w:r>
        <w:rPr/>
        <w:t>faces</w:t>
      </w:r>
      <w:r>
        <w:rPr>
          <w:spacing w:val="-1"/>
        </w:rPr>
        <w:t> </w:t>
      </w:r>
      <w:r>
        <w:rPr/>
        <w:t>competition</w:t>
      </w:r>
      <w:r>
        <w:rPr>
          <w:spacing w:val="-1"/>
        </w:rPr>
        <w:t> </w:t>
      </w:r>
      <w:r>
        <w:rPr/>
        <w:t>from</w:t>
      </w:r>
      <w:r>
        <w:rPr>
          <w:spacing w:val="-1"/>
        </w:rPr>
        <w:t> </w:t>
      </w:r>
      <w:r>
        <w:rPr/>
        <w:t>a</w:t>
      </w:r>
      <w:r>
        <w:rPr>
          <w:spacing w:val="-1"/>
        </w:rPr>
        <w:t> </w:t>
      </w:r>
      <w:r>
        <w:rPr/>
        <w:t>number</w:t>
      </w:r>
      <w:r>
        <w:rPr>
          <w:spacing w:val="-1"/>
        </w:rPr>
        <w:t> </w:t>
      </w:r>
      <w:r>
        <w:rPr/>
        <w:t>of established products from other companies, including Cisco, Citrix and Microsoft. Competition involves a number of factors, including:</w:t>
      </w:r>
      <w:r>
        <w:rPr>
          <w:spacing w:val="-5"/>
        </w:rPr>
        <w:t> </w:t>
      </w:r>
      <w:r>
        <w:rPr/>
        <w:t>product</w:t>
      </w:r>
      <w:r>
        <w:rPr>
          <w:spacing w:val="-4"/>
        </w:rPr>
        <w:t> </w:t>
      </w:r>
      <w:r>
        <w:rPr/>
        <w:t>features,</w:t>
      </w:r>
      <w:r>
        <w:rPr>
          <w:spacing w:val="-4"/>
        </w:rPr>
        <w:t> </w:t>
      </w:r>
      <w:r>
        <w:rPr/>
        <w:t>ease-of-use,</w:t>
      </w:r>
      <w:r>
        <w:rPr>
          <w:spacing w:val="-4"/>
        </w:rPr>
        <w:t> </w:t>
      </w:r>
      <w:r>
        <w:rPr/>
        <w:t>printer</w:t>
      </w:r>
      <w:r>
        <w:rPr>
          <w:spacing w:val="-4"/>
        </w:rPr>
        <w:t> </w:t>
      </w:r>
      <w:r>
        <w:rPr/>
        <w:t>service</w:t>
      </w:r>
      <w:r>
        <w:rPr>
          <w:spacing w:val="-5"/>
        </w:rPr>
        <w:t> </w:t>
      </w:r>
      <w:r>
        <w:rPr/>
        <w:t>support,</w:t>
      </w:r>
      <w:r>
        <w:rPr>
          <w:spacing w:val="-4"/>
        </w:rPr>
        <w:t> </w:t>
      </w:r>
      <w:r>
        <w:rPr/>
        <w:t>the</w:t>
      </w:r>
      <w:r>
        <w:rPr>
          <w:spacing w:val="-4"/>
        </w:rPr>
        <w:t> </w:t>
      </w:r>
      <w:r>
        <w:rPr/>
        <w:t>level</w:t>
      </w:r>
      <w:r>
        <w:rPr>
          <w:spacing w:val="-4"/>
        </w:rPr>
        <w:t> </w:t>
      </w:r>
      <w:r>
        <w:rPr/>
        <w:t>of</w:t>
      </w:r>
      <w:r>
        <w:rPr>
          <w:spacing w:val="-4"/>
        </w:rPr>
        <w:t> </w:t>
      </w:r>
      <w:r>
        <w:rPr/>
        <w:t>customization</w:t>
      </w:r>
      <w:r>
        <w:rPr>
          <w:spacing w:val="-4"/>
        </w:rPr>
        <w:t> </w:t>
      </w:r>
      <w:r>
        <w:rPr/>
        <w:t>and</w:t>
      </w:r>
      <w:r>
        <w:rPr>
          <w:spacing w:val="-4"/>
        </w:rPr>
        <w:t> </w:t>
      </w:r>
      <w:r>
        <w:rPr/>
        <w:t>integration</w:t>
      </w:r>
      <w:r>
        <w:rPr>
          <w:spacing w:val="-4"/>
        </w:rPr>
        <w:t> </w:t>
      </w:r>
      <w:r>
        <w:rPr/>
        <w:t>with</w:t>
      </w:r>
      <w:r>
        <w:rPr>
          <w:spacing w:val="-4"/>
        </w:rPr>
        <w:t> </w:t>
      </w:r>
      <w:r>
        <w:rPr/>
        <w:t>other</w:t>
      </w:r>
      <w:r>
        <w:rPr>
          <w:spacing w:val="-4"/>
        </w:rPr>
        <w:t> </w:t>
      </w:r>
      <w:r>
        <w:rPr/>
        <w:t>publishing system components, the number of hardware platforms supported, service and price. We believe we can successfully compete </w:t>
      </w:r>
      <w:r>
        <w:rPr>
          <w:spacing w:val="-2"/>
        </w:rPr>
        <w:t>based</w:t>
      </w:r>
      <w:r>
        <w:rPr>
          <w:spacing w:val="-4"/>
        </w:rPr>
        <w:t> </w:t>
      </w:r>
      <w:r>
        <w:rPr>
          <w:spacing w:val="-2"/>
        </w:rPr>
        <w:t>upon</w:t>
      </w:r>
      <w:r>
        <w:rPr>
          <w:spacing w:val="-4"/>
        </w:rPr>
        <w:t> </w:t>
      </w:r>
      <w:r>
        <w:rPr>
          <w:spacing w:val="-2"/>
        </w:rPr>
        <w:t>the</w:t>
      </w:r>
      <w:r>
        <w:rPr>
          <w:spacing w:val="-4"/>
        </w:rPr>
        <w:t> </w:t>
      </w:r>
      <w:r>
        <w:rPr>
          <w:spacing w:val="-2"/>
        </w:rPr>
        <w:t>quality</w:t>
      </w:r>
      <w:r>
        <w:rPr>
          <w:spacing w:val="-4"/>
        </w:rPr>
        <w:t> </w:t>
      </w:r>
      <w:r>
        <w:rPr>
          <w:spacing w:val="-2"/>
        </w:rPr>
        <w:t>and</w:t>
      </w:r>
      <w:r>
        <w:rPr>
          <w:spacing w:val="-4"/>
        </w:rPr>
        <w:t> </w:t>
      </w:r>
      <w:r>
        <w:rPr>
          <w:spacing w:val="-2"/>
        </w:rPr>
        <w:t>features</w:t>
      </w:r>
      <w:r>
        <w:rPr>
          <w:spacing w:val="-4"/>
        </w:rPr>
        <w:t> </w:t>
      </w:r>
      <w:r>
        <w:rPr>
          <w:spacing w:val="-2"/>
        </w:rPr>
        <w:t>of</w:t>
      </w:r>
      <w:r>
        <w:rPr>
          <w:spacing w:val="-4"/>
        </w:rPr>
        <w:t> </w:t>
      </w:r>
      <w:r>
        <w:rPr>
          <w:spacing w:val="-2"/>
        </w:rPr>
        <w:t>our</w:t>
      </w:r>
      <w:r>
        <w:rPr>
          <w:spacing w:val="-4"/>
        </w:rPr>
        <w:t> </w:t>
      </w:r>
      <w:r>
        <w:rPr>
          <w:spacing w:val="-2"/>
        </w:rPr>
        <w:t>products,</w:t>
      </w:r>
      <w:r>
        <w:rPr>
          <w:spacing w:val="-4"/>
        </w:rPr>
        <w:t> </w:t>
      </w:r>
      <w:r>
        <w:rPr>
          <w:spacing w:val="-2"/>
        </w:rPr>
        <w:t>our</w:t>
      </w:r>
      <w:r>
        <w:rPr>
          <w:spacing w:val="-4"/>
        </w:rPr>
        <w:t> </w:t>
      </w:r>
      <w:r>
        <w:rPr>
          <w:spacing w:val="-2"/>
        </w:rPr>
        <w:t>strong</w:t>
      </w:r>
      <w:r>
        <w:rPr>
          <w:spacing w:val="-4"/>
        </w:rPr>
        <w:t> </w:t>
      </w:r>
      <w:r>
        <w:rPr>
          <w:spacing w:val="-2"/>
        </w:rPr>
        <w:t>brand</w:t>
      </w:r>
      <w:r>
        <w:rPr>
          <w:spacing w:val="-4"/>
        </w:rPr>
        <w:t> </w:t>
      </w:r>
      <w:r>
        <w:rPr>
          <w:spacing w:val="-2"/>
        </w:rPr>
        <w:t>among</w:t>
      </w:r>
      <w:r>
        <w:rPr>
          <w:spacing w:val="-4"/>
        </w:rPr>
        <w:t> </w:t>
      </w:r>
      <w:r>
        <w:rPr>
          <w:spacing w:val="-2"/>
        </w:rPr>
        <w:t>users,</w:t>
      </w:r>
      <w:r>
        <w:rPr>
          <w:spacing w:val="-4"/>
        </w:rPr>
        <w:t> </w:t>
      </w:r>
      <w:r>
        <w:rPr>
          <w:spacing w:val="-2"/>
        </w:rPr>
        <w:t>the</w:t>
      </w:r>
      <w:r>
        <w:rPr>
          <w:spacing w:val="-4"/>
        </w:rPr>
        <w:t> </w:t>
      </w:r>
      <w:r>
        <w:rPr>
          <w:spacing w:val="-2"/>
        </w:rPr>
        <w:t>widespread</w:t>
      </w:r>
      <w:r>
        <w:rPr>
          <w:spacing w:val="-4"/>
        </w:rPr>
        <w:t> </w:t>
      </w:r>
      <w:r>
        <w:rPr>
          <w:spacing w:val="-2"/>
        </w:rPr>
        <w:t>adoption</w:t>
      </w:r>
      <w:r>
        <w:rPr>
          <w:spacing w:val="-4"/>
        </w:rPr>
        <w:t> </w:t>
      </w:r>
      <w:r>
        <w:rPr>
          <w:spacing w:val="-2"/>
        </w:rPr>
        <w:t>of</w:t>
      </w:r>
      <w:r>
        <w:rPr>
          <w:spacing w:val="-4"/>
        </w:rPr>
        <w:t> </w:t>
      </w:r>
      <w:r>
        <w:rPr>
          <w:spacing w:val="-2"/>
        </w:rPr>
        <w:t>our</w:t>
      </w:r>
      <w:r>
        <w:rPr>
          <w:spacing w:val="-4"/>
        </w:rPr>
        <w:t> </w:t>
      </w:r>
      <w:r>
        <w:rPr>
          <w:spacing w:val="-2"/>
        </w:rPr>
        <w:t>products</w:t>
      </w:r>
      <w:r>
        <w:rPr>
          <w:spacing w:val="-4"/>
        </w:rPr>
        <w:t> </w:t>
      </w:r>
      <w:r>
        <w:rPr>
          <w:spacing w:val="-2"/>
        </w:rPr>
        <w:t>among </w:t>
      </w:r>
      <w:r>
        <w:rPr/>
        <w:t>printer service bureaus, and our extensive application programming interfaces.</w:t>
      </w:r>
    </w:p>
    <w:p>
      <w:pPr>
        <w:pStyle w:val="BodyText"/>
        <w:spacing w:line="249" w:lineRule="auto" w:before="166"/>
        <w:ind w:left="220" w:right="257" w:firstLine="540"/>
        <w:jc w:val="both"/>
      </w:pPr>
      <w:r>
        <w:rPr/>
        <w:t>In printing technologies, we believe the principal competitive factors for OEMs in selecting a page description language or a printing technology are product capabilities, market leadership, reliability, price, support and engineering development assistance.</w:t>
      </w:r>
      <w:r>
        <w:rPr>
          <w:spacing w:val="-13"/>
        </w:rPr>
        <w:t> </w:t>
      </w:r>
      <w:r>
        <w:rPr/>
        <w:t>We</w:t>
      </w:r>
      <w:r>
        <w:rPr>
          <w:spacing w:val="-12"/>
        </w:rPr>
        <w:t> </w:t>
      </w:r>
      <w:r>
        <w:rPr/>
        <w:t>believe</w:t>
      </w:r>
      <w:r>
        <w:rPr>
          <w:spacing w:val="-11"/>
        </w:rPr>
        <w:t> </w:t>
      </w:r>
      <w:r>
        <w:rPr/>
        <w:t>that</w:t>
      </w:r>
      <w:r>
        <w:rPr>
          <w:spacing w:val="-11"/>
        </w:rPr>
        <w:t> </w:t>
      </w:r>
      <w:r>
        <w:rPr/>
        <w:t>our</w:t>
      </w:r>
      <w:r>
        <w:rPr>
          <w:spacing w:val="-11"/>
        </w:rPr>
        <w:t> </w:t>
      </w:r>
      <w:r>
        <w:rPr/>
        <w:t>competitive</w:t>
      </w:r>
      <w:r>
        <w:rPr>
          <w:spacing w:val="-11"/>
        </w:rPr>
        <w:t> </w:t>
      </w:r>
      <w:r>
        <w:rPr/>
        <w:t>advantages</w:t>
      </w:r>
      <w:r>
        <w:rPr>
          <w:spacing w:val="-11"/>
        </w:rPr>
        <w:t> </w:t>
      </w:r>
      <w:r>
        <w:rPr/>
        <w:t>include</w:t>
      </w:r>
      <w:r>
        <w:rPr>
          <w:spacing w:val="-11"/>
        </w:rPr>
        <w:t> </w:t>
      </w:r>
      <w:r>
        <w:rPr/>
        <w:t>our</w:t>
      </w:r>
      <w:r>
        <w:rPr>
          <w:spacing w:val="-11"/>
        </w:rPr>
        <w:t> </w:t>
      </w:r>
      <w:r>
        <w:rPr/>
        <w:t>technology</w:t>
      </w:r>
      <w:r>
        <w:rPr>
          <w:spacing w:val="-11"/>
        </w:rPr>
        <w:t> </w:t>
      </w:r>
      <w:r>
        <w:rPr/>
        <w:t>competency,</w:t>
      </w:r>
      <w:r>
        <w:rPr>
          <w:spacing w:val="-11"/>
        </w:rPr>
        <w:t> </w:t>
      </w:r>
      <w:r>
        <w:rPr/>
        <w:t>OEM</w:t>
      </w:r>
      <w:r>
        <w:rPr>
          <w:spacing w:val="-11"/>
        </w:rPr>
        <w:t> </w:t>
      </w:r>
      <w:r>
        <w:rPr/>
        <w:t>customer</w:t>
      </w:r>
      <w:r>
        <w:rPr>
          <w:spacing w:val="-11"/>
        </w:rPr>
        <w:t> </w:t>
      </w:r>
      <w:r>
        <w:rPr/>
        <w:t>relationships</w:t>
      </w:r>
      <w:r>
        <w:rPr>
          <w:spacing w:val="-11"/>
        </w:rPr>
        <w:t> </w:t>
      </w:r>
      <w:r>
        <w:rPr/>
        <w:t>and</w:t>
      </w:r>
      <w:r>
        <w:rPr>
          <w:spacing w:val="-11"/>
        </w:rPr>
        <w:t> </w:t>
      </w:r>
      <w:r>
        <w:rPr/>
        <w:t>our intellectual property portfolio.</w:t>
      </w:r>
    </w:p>
    <w:p>
      <w:pPr>
        <w:pStyle w:val="BodyText"/>
        <w:spacing w:before="173"/>
      </w:pPr>
    </w:p>
    <w:p>
      <w:pPr>
        <w:pStyle w:val="Heading1"/>
        <w:ind w:left="3754"/>
      </w:pPr>
      <w:bookmarkStart w:name="Principal Products and Services" w:id="12"/>
      <w:bookmarkEnd w:id="12"/>
      <w:r>
        <w:rPr>
          <w:b w:val="0"/>
        </w:rPr>
      </w:r>
      <w:r>
        <w:rPr>
          <w:spacing w:val="-2"/>
        </w:rPr>
        <w:t>PRINCIPAL</w:t>
      </w:r>
      <w:r>
        <w:rPr>
          <w:spacing w:val="-8"/>
        </w:rPr>
        <w:t> </w:t>
      </w:r>
      <w:r>
        <w:rPr>
          <w:spacing w:val="-2"/>
        </w:rPr>
        <w:t>PRODUCTS</w:t>
      </w:r>
      <w:r>
        <w:rPr>
          <w:spacing w:val="-6"/>
        </w:rPr>
        <w:t> </w:t>
      </w:r>
      <w:r>
        <w:rPr>
          <w:spacing w:val="-2"/>
        </w:rPr>
        <w:t>AND</w:t>
      </w:r>
      <w:r>
        <w:rPr>
          <w:spacing w:val="5"/>
        </w:rPr>
        <w:t> </w:t>
      </w:r>
      <w:r>
        <w:rPr>
          <w:spacing w:val="-2"/>
        </w:rPr>
        <w:t>SERVICES</w:t>
      </w:r>
    </w:p>
    <w:p>
      <w:pPr>
        <w:pStyle w:val="Heading2"/>
        <w:spacing w:before="191"/>
      </w:pPr>
      <w:r>
        <w:rPr/>
        <w:t>Digital Media </w:t>
      </w:r>
      <w:r>
        <w:rPr>
          <w:spacing w:val="-2"/>
        </w:rPr>
        <w:t>Offerings</w:t>
      </w:r>
    </w:p>
    <w:p>
      <w:pPr>
        <w:pStyle w:val="Heading3"/>
        <w:spacing w:before="190"/>
        <w:ind w:left="220"/>
      </w:pPr>
      <w:r>
        <w:rPr/>
        <w:t>Creative</w:t>
      </w:r>
      <w:r>
        <w:rPr>
          <w:spacing w:val="-1"/>
        </w:rPr>
        <w:t> </w:t>
      </w:r>
      <w:r>
        <w:rPr>
          <w:spacing w:val="-2"/>
        </w:rPr>
        <w:t>Cloud</w:t>
      </w:r>
    </w:p>
    <w:p>
      <w:pPr>
        <w:pStyle w:val="BodyText"/>
        <w:spacing w:line="249" w:lineRule="auto" w:before="190"/>
        <w:ind w:left="220" w:right="257" w:firstLine="540"/>
        <w:jc w:val="both"/>
      </w:pPr>
      <w:r>
        <w:rPr/>
        <w:t>Adobe Creative Cloud is a cloud-based subscription offering that enables creative professionals and enthusiasts alike to express themselves with apps and services that connect across devices, platforms and geographies. Members have access to a vibrant</w:t>
      </w:r>
      <w:r>
        <w:rPr>
          <w:spacing w:val="-11"/>
        </w:rPr>
        <w:t> </w:t>
      </w:r>
      <w:r>
        <w:rPr/>
        <w:t>creative</w:t>
      </w:r>
      <w:r>
        <w:rPr>
          <w:spacing w:val="-11"/>
        </w:rPr>
        <w:t> </w:t>
      </w:r>
      <w:r>
        <w:rPr/>
        <w:t>community,</w:t>
      </w:r>
      <w:r>
        <w:rPr>
          <w:spacing w:val="-11"/>
        </w:rPr>
        <w:t> </w:t>
      </w:r>
      <w:r>
        <w:rPr/>
        <w:t>publishing</w:t>
      </w:r>
      <w:r>
        <w:rPr>
          <w:spacing w:val="-11"/>
        </w:rPr>
        <w:t> </w:t>
      </w:r>
      <w:r>
        <w:rPr/>
        <w:t>services</w:t>
      </w:r>
      <w:r>
        <w:rPr>
          <w:spacing w:val="-11"/>
        </w:rPr>
        <w:t> </w:t>
      </w:r>
      <w:r>
        <w:rPr/>
        <w:t>to</w:t>
      </w:r>
      <w:r>
        <w:rPr>
          <w:spacing w:val="-11"/>
        </w:rPr>
        <w:t> </w:t>
      </w:r>
      <w:r>
        <w:rPr/>
        <w:t>deliver</w:t>
      </w:r>
      <w:r>
        <w:rPr>
          <w:spacing w:val="-11"/>
        </w:rPr>
        <w:t> </w:t>
      </w:r>
      <w:r>
        <w:rPr/>
        <w:t>apps</w:t>
      </w:r>
      <w:r>
        <w:rPr>
          <w:spacing w:val="-11"/>
        </w:rPr>
        <w:t> </w:t>
      </w:r>
      <w:r>
        <w:rPr/>
        <w:t>and</w:t>
      </w:r>
      <w:r>
        <w:rPr>
          <w:spacing w:val="-11"/>
        </w:rPr>
        <w:t> </w:t>
      </w:r>
      <w:r>
        <w:rPr/>
        <w:t>websites,</w:t>
      </w:r>
      <w:r>
        <w:rPr>
          <w:spacing w:val="-11"/>
        </w:rPr>
        <w:t> </w:t>
      </w:r>
      <w:r>
        <w:rPr/>
        <w:t>cloud</w:t>
      </w:r>
      <w:r>
        <w:rPr>
          <w:spacing w:val="-11"/>
        </w:rPr>
        <w:t> </w:t>
      </w:r>
      <w:r>
        <w:rPr/>
        <w:t>storage</w:t>
      </w:r>
      <w:r>
        <w:rPr>
          <w:spacing w:val="-11"/>
        </w:rPr>
        <w:t> </w:t>
      </w:r>
      <w:r>
        <w:rPr/>
        <w:t>to</w:t>
      </w:r>
      <w:r>
        <w:rPr>
          <w:spacing w:val="-11"/>
        </w:rPr>
        <w:t> </w:t>
      </w:r>
      <w:r>
        <w:rPr/>
        <w:t>easily</w:t>
      </w:r>
      <w:r>
        <w:rPr>
          <w:spacing w:val="-11"/>
        </w:rPr>
        <w:t> </w:t>
      </w:r>
      <w:r>
        <w:rPr/>
        <w:t>access</w:t>
      </w:r>
      <w:r>
        <w:rPr>
          <w:spacing w:val="-11"/>
        </w:rPr>
        <w:t> </w:t>
      </w:r>
      <w:r>
        <w:rPr/>
        <w:t>their</w:t>
      </w:r>
      <w:r>
        <w:rPr>
          <w:spacing w:val="-11"/>
        </w:rPr>
        <w:t> </w:t>
      </w:r>
      <w:r>
        <w:rPr/>
        <w:t>work,</w:t>
      </w:r>
      <w:r>
        <w:rPr>
          <w:spacing w:val="-11"/>
        </w:rPr>
        <w:t> </w:t>
      </w:r>
      <w:r>
        <w:rPr/>
        <w:t>the</w:t>
      </w:r>
      <w:r>
        <w:rPr>
          <w:spacing w:val="-11"/>
        </w:rPr>
        <w:t> </w:t>
      </w:r>
      <w:r>
        <w:rPr/>
        <w:t>ability to</w:t>
      </w:r>
      <w:r>
        <w:rPr>
          <w:spacing w:val="-5"/>
        </w:rPr>
        <w:t> </w:t>
      </w:r>
      <w:r>
        <w:rPr/>
        <w:t>sync</w:t>
      </w:r>
      <w:r>
        <w:rPr>
          <w:spacing w:val="-5"/>
        </w:rPr>
        <w:t> </w:t>
      </w:r>
      <w:r>
        <w:rPr/>
        <w:t>their</w:t>
      </w:r>
      <w:r>
        <w:rPr>
          <w:spacing w:val="-5"/>
        </w:rPr>
        <w:t> </w:t>
      </w:r>
      <w:r>
        <w:rPr/>
        <w:t>files</w:t>
      </w:r>
      <w:r>
        <w:rPr>
          <w:spacing w:val="-5"/>
        </w:rPr>
        <w:t> </w:t>
      </w:r>
      <w:r>
        <w:rPr/>
        <w:t>to</w:t>
      </w:r>
      <w:r>
        <w:rPr>
          <w:spacing w:val="-5"/>
        </w:rPr>
        <w:t> </w:t>
      </w:r>
      <w:r>
        <w:rPr/>
        <w:t>virtually</w:t>
      </w:r>
      <w:r>
        <w:rPr>
          <w:spacing w:val="-5"/>
        </w:rPr>
        <w:t> </w:t>
      </w:r>
      <w:r>
        <w:rPr/>
        <w:t>any</w:t>
      </w:r>
      <w:r>
        <w:rPr>
          <w:spacing w:val="-5"/>
        </w:rPr>
        <w:t> </w:t>
      </w:r>
      <w:r>
        <w:rPr/>
        <w:t>device,</w:t>
      </w:r>
      <w:r>
        <w:rPr>
          <w:spacing w:val="-5"/>
        </w:rPr>
        <w:t> </w:t>
      </w:r>
      <w:r>
        <w:rPr/>
        <w:t>collaboration</w:t>
      </w:r>
      <w:r>
        <w:rPr>
          <w:spacing w:val="-5"/>
        </w:rPr>
        <w:t> </w:t>
      </w:r>
      <w:r>
        <w:rPr/>
        <w:t>capabilities</w:t>
      </w:r>
      <w:r>
        <w:rPr>
          <w:spacing w:val="-5"/>
        </w:rPr>
        <w:t> </w:t>
      </w:r>
      <w:r>
        <w:rPr/>
        <w:t>with</w:t>
      </w:r>
      <w:r>
        <w:rPr>
          <w:spacing w:val="-5"/>
        </w:rPr>
        <w:t> </w:t>
      </w:r>
      <w:r>
        <w:rPr/>
        <w:t>team</w:t>
      </w:r>
      <w:r>
        <w:rPr>
          <w:spacing w:val="-5"/>
        </w:rPr>
        <w:t> </w:t>
      </w:r>
      <w:r>
        <w:rPr/>
        <w:t>members,</w:t>
      </w:r>
      <w:r>
        <w:rPr>
          <w:spacing w:val="-5"/>
        </w:rPr>
        <w:t> </w:t>
      </w:r>
      <w:r>
        <w:rPr/>
        <w:t>and</w:t>
      </w:r>
      <w:r>
        <w:rPr>
          <w:spacing w:val="-5"/>
        </w:rPr>
        <w:t> </w:t>
      </w:r>
      <w:r>
        <w:rPr/>
        <w:t>new</w:t>
      </w:r>
      <w:r>
        <w:rPr>
          <w:spacing w:val="-5"/>
        </w:rPr>
        <w:t> </w:t>
      </w:r>
      <w:r>
        <w:rPr/>
        <w:t>products</w:t>
      </w:r>
      <w:r>
        <w:rPr>
          <w:spacing w:val="-5"/>
        </w:rPr>
        <w:t> </w:t>
      </w:r>
      <w:r>
        <w:rPr/>
        <w:t>and</w:t>
      </w:r>
      <w:r>
        <w:rPr>
          <w:spacing w:val="-5"/>
        </w:rPr>
        <w:t> </w:t>
      </w:r>
      <w:r>
        <w:rPr/>
        <w:t>exclusive</w:t>
      </w:r>
      <w:r>
        <w:rPr>
          <w:spacing w:val="-5"/>
        </w:rPr>
        <w:t> </w:t>
      </w:r>
      <w:r>
        <w:rPr/>
        <w:t>updates as</w:t>
      </w:r>
      <w:r>
        <w:rPr>
          <w:spacing w:val="-1"/>
        </w:rPr>
        <w:t> </w:t>
      </w:r>
      <w:r>
        <w:rPr/>
        <w:t>they</w:t>
      </w:r>
      <w:r>
        <w:rPr>
          <w:spacing w:val="-1"/>
        </w:rPr>
        <w:t> </w:t>
      </w:r>
      <w:r>
        <w:rPr/>
        <w:t>are</w:t>
      </w:r>
      <w:r>
        <w:rPr>
          <w:spacing w:val="-1"/>
        </w:rPr>
        <w:t> </w:t>
      </w:r>
      <w:r>
        <w:rPr/>
        <w:t>developed.</w:t>
      </w:r>
      <w:r>
        <w:rPr>
          <w:spacing w:val="-2"/>
        </w:rPr>
        <w:t> </w:t>
      </w:r>
      <w:r>
        <w:rPr/>
        <w:t>Creative</w:t>
      </w:r>
      <w:r>
        <w:rPr>
          <w:spacing w:val="-2"/>
        </w:rPr>
        <w:t> </w:t>
      </w:r>
      <w:r>
        <w:rPr/>
        <w:t>Cloud</w:t>
      </w:r>
      <w:r>
        <w:rPr>
          <w:spacing w:val="-1"/>
        </w:rPr>
        <w:t> </w:t>
      </w:r>
      <w:r>
        <w:rPr/>
        <w:t>members</w:t>
      </w:r>
      <w:r>
        <w:rPr>
          <w:spacing w:val="-1"/>
        </w:rPr>
        <w:t> </w:t>
      </w:r>
      <w:r>
        <w:rPr/>
        <w:t>can</w:t>
      </w:r>
      <w:r>
        <w:rPr>
          <w:spacing w:val="-1"/>
        </w:rPr>
        <w:t> </w:t>
      </w:r>
      <w:r>
        <w:rPr/>
        <w:t>build</w:t>
      </w:r>
      <w:r>
        <w:rPr>
          <w:spacing w:val="-1"/>
        </w:rPr>
        <w:t> </w:t>
      </w:r>
      <w:r>
        <w:rPr/>
        <w:t>a</w:t>
      </w:r>
      <w:r>
        <w:rPr>
          <w:spacing w:val="-1"/>
        </w:rPr>
        <w:t> </w:t>
      </w:r>
      <w:r>
        <w:rPr/>
        <w:t>Creative</w:t>
      </w:r>
      <w:r>
        <w:rPr>
          <w:spacing w:val="-2"/>
        </w:rPr>
        <w:t> </w:t>
      </w:r>
      <w:r>
        <w:rPr/>
        <w:t>Profile</w:t>
      </w:r>
      <w:r>
        <w:rPr>
          <w:spacing w:val="-2"/>
        </w:rPr>
        <w:t> </w:t>
      </w:r>
      <w:r>
        <w:rPr/>
        <w:t>which</w:t>
      </w:r>
      <w:r>
        <w:rPr>
          <w:spacing w:val="-1"/>
        </w:rPr>
        <w:t> </w:t>
      </w:r>
      <w:r>
        <w:rPr/>
        <w:t>persists</w:t>
      </w:r>
      <w:r>
        <w:rPr>
          <w:spacing w:val="-1"/>
        </w:rPr>
        <w:t> </w:t>
      </w:r>
      <w:r>
        <w:rPr/>
        <w:t>wherever</w:t>
      </w:r>
      <w:r>
        <w:rPr>
          <w:spacing w:val="-1"/>
        </w:rPr>
        <w:t> </w:t>
      </w:r>
      <w:r>
        <w:rPr/>
        <w:t>they</w:t>
      </w:r>
      <w:r>
        <w:rPr>
          <w:spacing w:val="-1"/>
        </w:rPr>
        <w:t> </w:t>
      </w:r>
      <w:r>
        <w:rPr/>
        <w:t>are.</w:t>
      </w:r>
      <w:r>
        <w:rPr>
          <w:spacing w:val="-13"/>
        </w:rPr>
        <w:t> </w:t>
      </w:r>
      <w:r>
        <w:rPr/>
        <w:t>A</w:t>
      </w:r>
      <w:r>
        <w:rPr>
          <w:spacing w:val="-12"/>
        </w:rPr>
        <w:t> </w:t>
      </w:r>
      <w:r>
        <w:rPr/>
        <w:t>user’s</w:t>
      </w:r>
      <w:r>
        <w:rPr>
          <w:spacing w:val="-1"/>
        </w:rPr>
        <w:t> </w:t>
      </w:r>
      <w:r>
        <w:rPr/>
        <w:t>Creative Profile</w:t>
      </w:r>
      <w:r>
        <w:rPr>
          <w:spacing w:val="-9"/>
        </w:rPr>
        <w:t> </w:t>
      </w:r>
      <w:r>
        <w:rPr/>
        <w:t>moves</w:t>
      </w:r>
      <w:r>
        <w:rPr>
          <w:spacing w:val="-9"/>
        </w:rPr>
        <w:t> </w:t>
      </w:r>
      <w:r>
        <w:rPr/>
        <w:t>with</w:t>
      </w:r>
      <w:r>
        <w:rPr>
          <w:spacing w:val="-9"/>
        </w:rPr>
        <w:t> </w:t>
      </w:r>
      <w:r>
        <w:rPr/>
        <w:t>them</w:t>
      </w:r>
      <w:r>
        <w:rPr>
          <w:spacing w:val="-9"/>
        </w:rPr>
        <w:t> </w:t>
      </w:r>
      <w:r>
        <w:rPr/>
        <w:t>via</w:t>
      </w:r>
      <w:r>
        <w:rPr>
          <w:spacing w:val="-9"/>
        </w:rPr>
        <w:t> </w:t>
      </w:r>
      <w:r>
        <w:rPr/>
        <w:t>Creative</w:t>
      </w:r>
      <w:r>
        <w:rPr>
          <w:spacing w:val="-9"/>
        </w:rPr>
        <w:t> </w:t>
      </w:r>
      <w:r>
        <w:rPr/>
        <w:t>Cloud</w:t>
      </w:r>
      <w:r>
        <w:rPr>
          <w:spacing w:val="-9"/>
        </w:rPr>
        <w:t> </w:t>
      </w:r>
      <w:r>
        <w:rPr/>
        <w:t>services</w:t>
      </w:r>
      <w:r>
        <w:rPr>
          <w:spacing w:val="-9"/>
        </w:rPr>
        <w:t> </w:t>
      </w:r>
      <w:r>
        <w:rPr/>
        <w:t>from</w:t>
      </w:r>
      <w:r>
        <w:rPr>
          <w:spacing w:val="-9"/>
        </w:rPr>
        <w:t> </w:t>
      </w:r>
      <w:r>
        <w:rPr/>
        <w:t>app</w:t>
      </w:r>
      <w:r>
        <w:rPr>
          <w:spacing w:val="-9"/>
        </w:rPr>
        <w:t> </w:t>
      </w:r>
      <w:r>
        <w:rPr/>
        <w:t>to</w:t>
      </w:r>
      <w:r>
        <w:rPr>
          <w:spacing w:val="-9"/>
        </w:rPr>
        <w:t> </w:t>
      </w:r>
      <w:r>
        <w:rPr/>
        <w:t>app</w:t>
      </w:r>
      <w:r>
        <w:rPr>
          <w:spacing w:val="-9"/>
        </w:rPr>
        <w:t> </w:t>
      </w:r>
      <w:r>
        <w:rPr/>
        <w:t>and</w:t>
      </w:r>
      <w:r>
        <w:rPr>
          <w:spacing w:val="-9"/>
        </w:rPr>
        <w:t> </w:t>
      </w:r>
      <w:r>
        <w:rPr/>
        <w:t>device</w:t>
      </w:r>
      <w:r>
        <w:rPr>
          <w:spacing w:val="-9"/>
        </w:rPr>
        <w:t> </w:t>
      </w:r>
      <w:r>
        <w:rPr/>
        <w:t>to</w:t>
      </w:r>
      <w:r>
        <w:rPr>
          <w:spacing w:val="-9"/>
        </w:rPr>
        <w:t> </w:t>
      </w:r>
      <w:r>
        <w:rPr/>
        <w:t>device,</w:t>
      </w:r>
      <w:r>
        <w:rPr>
          <w:spacing w:val="-9"/>
        </w:rPr>
        <w:t> </w:t>
      </w:r>
      <w:r>
        <w:rPr/>
        <w:t>giving</w:t>
      </w:r>
      <w:r>
        <w:rPr>
          <w:spacing w:val="-9"/>
        </w:rPr>
        <w:t> </w:t>
      </w:r>
      <w:r>
        <w:rPr/>
        <w:t>them</w:t>
      </w:r>
      <w:r>
        <w:rPr>
          <w:spacing w:val="-9"/>
        </w:rPr>
        <w:t> </w:t>
      </w:r>
      <w:r>
        <w:rPr/>
        <w:t>immediate</w:t>
      </w:r>
      <w:r>
        <w:rPr>
          <w:spacing w:val="-9"/>
        </w:rPr>
        <w:t> </w:t>
      </w:r>
      <w:r>
        <w:rPr/>
        <w:t>access</w:t>
      </w:r>
      <w:r>
        <w:rPr>
          <w:spacing w:val="-9"/>
        </w:rPr>
        <w:t> </w:t>
      </w:r>
      <w:r>
        <w:rPr/>
        <w:t>to</w:t>
      </w:r>
      <w:r>
        <w:rPr>
          <w:spacing w:val="-9"/>
        </w:rPr>
        <w:t> </w:t>
      </w:r>
      <w:r>
        <w:rPr/>
        <w:t>their personal files, photos, brushes, graphics, colors, fonts, text styles, desktop setting customizations and other important assets. Creative Cloud subscriptions include all of the applications listed below and many more.</w:t>
      </w:r>
    </w:p>
    <w:p>
      <w:pPr>
        <w:spacing w:before="166"/>
        <w:ind w:left="760" w:right="0" w:firstLine="0"/>
        <w:jc w:val="left"/>
        <w:rPr>
          <w:i/>
          <w:sz w:val="20"/>
        </w:rPr>
      </w:pPr>
      <w:r>
        <w:rPr>
          <w:i/>
          <w:sz w:val="20"/>
        </w:rPr>
        <w:t>Photoshop and </w:t>
      </w:r>
      <w:r>
        <w:rPr>
          <w:i/>
          <w:spacing w:val="-2"/>
          <w:sz w:val="20"/>
        </w:rPr>
        <w:t>Lightroom</w:t>
      </w:r>
    </w:p>
    <w:p>
      <w:pPr>
        <w:pStyle w:val="BodyText"/>
        <w:spacing w:line="249" w:lineRule="auto" w:before="170"/>
        <w:ind w:left="220" w:right="257" w:firstLine="540"/>
        <w:jc w:val="both"/>
      </w:pPr>
      <w:r>
        <w:rPr/>
        <w:t>Adobe</w:t>
      </w:r>
      <w:r>
        <w:rPr>
          <w:spacing w:val="-11"/>
        </w:rPr>
        <w:t> </w:t>
      </w:r>
      <w:r>
        <w:rPr/>
        <w:t>Photoshop</w:t>
      </w:r>
      <w:r>
        <w:rPr>
          <w:spacing w:val="-11"/>
        </w:rPr>
        <w:t> </w:t>
      </w:r>
      <w:r>
        <w:rPr/>
        <w:t>is</w:t>
      </w:r>
      <w:r>
        <w:rPr>
          <w:spacing w:val="-11"/>
        </w:rPr>
        <w:t> </w:t>
      </w:r>
      <w:r>
        <w:rPr/>
        <w:t>the</w:t>
      </w:r>
      <w:r>
        <w:rPr>
          <w:spacing w:val="-11"/>
        </w:rPr>
        <w:t> </w:t>
      </w:r>
      <w:r>
        <w:rPr/>
        <w:t>world’s</w:t>
      </w:r>
      <w:r>
        <w:rPr>
          <w:spacing w:val="-11"/>
        </w:rPr>
        <w:t> </w:t>
      </w:r>
      <w:r>
        <w:rPr/>
        <w:t>most</w:t>
      </w:r>
      <w:r>
        <w:rPr>
          <w:spacing w:val="-11"/>
        </w:rPr>
        <w:t> </w:t>
      </w:r>
      <w:r>
        <w:rPr/>
        <w:t>advanced</w:t>
      </w:r>
      <w:r>
        <w:rPr>
          <w:spacing w:val="-11"/>
        </w:rPr>
        <w:t> </w:t>
      </w:r>
      <w:r>
        <w:rPr/>
        <w:t>digital</w:t>
      </w:r>
      <w:r>
        <w:rPr>
          <w:spacing w:val="-11"/>
        </w:rPr>
        <w:t> </w:t>
      </w:r>
      <w:r>
        <w:rPr/>
        <w:t>imaging</w:t>
      </w:r>
      <w:r>
        <w:rPr>
          <w:spacing w:val="-11"/>
        </w:rPr>
        <w:t> </w:t>
      </w:r>
      <w:r>
        <w:rPr/>
        <w:t>solution.</w:t>
      </w:r>
      <w:r>
        <w:rPr>
          <w:spacing w:val="-11"/>
        </w:rPr>
        <w:t> </w:t>
      </w:r>
      <w:r>
        <w:rPr/>
        <w:t>It</w:t>
      </w:r>
      <w:r>
        <w:rPr>
          <w:spacing w:val="-11"/>
        </w:rPr>
        <w:t> </w:t>
      </w:r>
      <w:r>
        <w:rPr/>
        <w:t>is</w:t>
      </w:r>
      <w:r>
        <w:rPr>
          <w:spacing w:val="-11"/>
        </w:rPr>
        <w:t> </w:t>
      </w:r>
      <w:r>
        <w:rPr/>
        <w:t>used</w:t>
      </w:r>
      <w:r>
        <w:rPr>
          <w:spacing w:val="-11"/>
        </w:rPr>
        <w:t> </w:t>
      </w:r>
      <w:r>
        <w:rPr/>
        <w:t>by</w:t>
      </w:r>
      <w:r>
        <w:rPr>
          <w:spacing w:val="-11"/>
        </w:rPr>
        <w:t> </w:t>
      </w:r>
      <w:r>
        <w:rPr/>
        <w:t>photographers,</w:t>
      </w:r>
      <w:r>
        <w:rPr>
          <w:spacing w:val="-11"/>
        </w:rPr>
        <w:t> </w:t>
      </w:r>
      <w:r>
        <w:rPr/>
        <w:t>designers,</w:t>
      </w:r>
      <w:r>
        <w:rPr>
          <w:spacing w:val="-11"/>
        </w:rPr>
        <w:t> </w:t>
      </w:r>
      <w:r>
        <w:rPr/>
        <w:t>animators, web</w:t>
      </w:r>
      <w:r>
        <w:rPr>
          <w:spacing w:val="-2"/>
        </w:rPr>
        <w:t> </w:t>
      </w:r>
      <w:r>
        <w:rPr/>
        <w:t>professionals,</w:t>
      </w:r>
      <w:r>
        <w:rPr>
          <w:spacing w:val="-2"/>
        </w:rPr>
        <w:t> </w:t>
      </w:r>
      <w:r>
        <w:rPr/>
        <w:t>and</w:t>
      </w:r>
      <w:r>
        <w:rPr>
          <w:spacing w:val="-2"/>
        </w:rPr>
        <w:t> </w:t>
      </w:r>
      <w:r>
        <w:rPr/>
        <w:t>video</w:t>
      </w:r>
      <w:r>
        <w:rPr>
          <w:spacing w:val="-2"/>
        </w:rPr>
        <w:t> </w:t>
      </w:r>
      <w:r>
        <w:rPr/>
        <w:t>professionals,</w:t>
      </w:r>
      <w:r>
        <w:rPr>
          <w:spacing w:val="-2"/>
        </w:rPr>
        <w:t> </w:t>
      </w:r>
      <w:r>
        <w:rPr/>
        <w:t>and</w:t>
      </w:r>
      <w:r>
        <w:rPr>
          <w:spacing w:val="-2"/>
        </w:rPr>
        <w:t> </w:t>
      </w:r>
      <w:r>
        <w:rPr/>
        <w:t>is</w:t>
      </w:r>
      <w:r>
        <w:rPr>
          <w:spacing w:val="-2"/>
        </w:rPr>
        <w:t> </w:t>
      </w:r>
      <w:r>
        <w:rPr/>
        <w:t>available</w:t>
      </w:r>
      <w:r>
        <w:rPr>
          <w:spacing w:val="-2"/>
        </w:rPr>
        <w:t> </w:t>
      </w:r>
      <w:r>
        <w:rPr/>
        <w:t>to</w:t>
      </w:r>
      <w:r>
        <w:rPr>
          <w:spacing w:val="-2"/>
        </w:rPr>
        <w:t> </w:t>
      </w:r>
      <w:r>
        <w:rPr/>
        <w:t>Creative</w:t>
      </w:r>
      <w:r>
        <w:rPr>
          <w:spacing w:val="-2"/>
        </w:rPr>
        <w:t> </w:t>
      </w:r>
      <w:r>
        <w:rPr/>
        <w:t>Cloud</w:t>
      </w:r>
      <w:r>
        <w:rPr>
          <w:spacing w:val="-2"/>
        </w:rPr>
        <w:t> </w:t>
      </w:r>
      <w:r>
        <w:rPr/>
        <w:t>subscribers.</w:t>
      </w:r>
      <w:r>
        <w:rPr>
          <w:spacing w:val="-2"/>
        </w:rPr>
        <w:t> </w:t>
      </w:r>
      <w:r>
        <w:rPr/>
        <w:t>Lightroom</w:t>
      </w:r>
      <w:r>
        <w:rPr>
          <w:spacing w:val="-2"/>
        </w:rPr>
        <w:t> </w:t>
      </w:r>
      <w:r>
        <w:rPr/>
        <w:t>CC,</w:t>
      </w:r>
      <w:r>
        <w:rPr>
          <w:spacing w:val="-2"/>
        </w:rPr>
        <w:t> </w:t>
      </w:r>
      <w:r>
        <w:rPr/>
        <w:t>our</w:t>
      </w:r>
      <w:r>
        <w:rPr>
          <w:spacing w:val="-2"/>
        </w:rPr>
        <w:t> </w:t>
      </w:r>
      <w:r>
        <w:rPr/>
        <w:t>new</w:t>
      </w:r>
      <w:r>
        <w:rPr>
          <w:spacing w:val="-2"/>
        </w:rPr>
        <w:t> </w:t>
      </w:r>
      <w:r>
        <w:rPr/>
        <w:t>cloud-based photo</w:t>
      </w:r>
      <w:r>
        <w:rPr>
          <w:spacing w:val="-4"/>
        </w:rPr>
        <w:t> </w:t>
      </w:r>
      <w:r>
        <w:rPr/>
        <w:t>service</w:t>
      </w:r>
      <w:r>
        <w:rPr>
          <w:spacing w:val="-4"/>
        </w:rPr>
        <w:t> </w:t>
      </w:r>
      <w:r>
        <w:rPr/>
        <w:t>for</w:t>
      </w:r>
      <w:r>
        <w:rPr>
          <w:spacing w:val="-4"/>
        </w:rPr>
        <w:t> </w:t>
      </w:r>
      <w:r>
        <w:rPr/>
        <w:t>editing,</w:t>
      </w:r>
      <w:r>
        <w:rPr>
          <w:spacing w:val="-4"/>
        </w:rPr>
        <w:t> </w:t>
      </w:r>
      <w:r>
        <w:rPr/>
        <w:t>organizing,</w:t>
      </w:r>
      <w:r>
        <w:rPr>
          <w:spacing w:val="-4"/>
        </w:rPr>
        <w:t> </w:t>
      </w:r>
      <w:r>
        <w:rPr/>
        <w:t>storing</w:t>
      </w:r>
      <w:r>
        <w:rPr>
          <w:spacing w:val="-3"/>
        </w:rPr>
        <w:t> </w:t>
      </w:r>
      <w:r>
        <w:rPr/>
        <w:t>and</w:t>
      </w:r>
      <w:r>
        <w:rPr>
          <w:spacing w:val="-4"/>
        </w:rPr>
        <w:t> </w:t>
      </w:r>
      <w:r>
        <w:rPr/>
        <w:t>sharing</w:t>
      </w:r>
      <w:r>
        <w:rPr>
          <w:spacing w:val="-4"/>
        </w:rPr>
        <w:t> </w:t>
      </w:r>
      <w:r>
        <w:rPr/>
        <w:t>photos,</w:t>
      </w:r>
      <w:r>
        <w:rPr>
          <w:spacing w:val="-4"/>
        </w:rPr>
        <w:t> </w:t>
      </w:r>
      <w:r>
        <w:rPr/>
        <w:t>is</w:t>
      </w:r>
      <w:r>
        <w:rPr>
          <w:spacing w:val="-4"/>
        </w:rPr>
        <w:t> </w:t>
      </w:r>
      <w:r>
        <w:rPr/>
        <w:t>also</w:t>
      </w:r>
      <w:r>
        <w:rPr>
          <w:spacing w:val="-3"/>
        </w:rPr>
        <w:t> </w:t>
      </w:r>
      <w:r>
        <w:rPr/>
        <w:t>available</w:t>
      </w:r>
      <w:r>
        <w:rPr>
          <w:spacing w:val="-4"/>
        </w:rPr>
        <w:t> </w:t>
      </w:r>
      <w:r>
        <w:rPr/>
        <w:t>to</w:t>
      </w:r>
      <w:r>
        <w:rPr>
          <w:spacing w:val="-4"/>
        </w:rPr>
        <w:t> </w:t>
      </w:r>
      <w:r>
        <w:rPr/>
        <w:t>Creative</w:t>
      </w:r>
      <w:r>
        <w:rPr>
          <w:spacing w:val="-4"/>
        </w:rPr>
        <w:t> </w:t>
      </w:r>
      <w:r>
        <w:rPr/>
        <w:t>Cloud</w:t>
      </w:r>
      <w:r>
        <w:rPr>
          <w:spacing w:val="-4"/>
        </w:rPr>
        <w:t> </w:t>
      </w:r>
      <w:r>
        <w:rPr/>
        <w:t>subscribers.</w:t>
      </w:r>
      <w:r>
        <w:rPr>
          <w:spacing w:val="40"/>
        </w:rPr>
        <w:t> </w:t>
      </w:r>
      <w:r>
        <w:rPr/>
        <w:t>Customers</w:t>
      </w:r>
      <w:r>
        <w:rPr>
          <w:spacing w:val="-3"/>
        </w:rPr>
        <w:t> </w:t>
      </w:r>
      <w:r>
        <w:rPr/>
        <w:t>can also subscribe to Photoshop or Lightroom CC as individual cloud-enabled subscription products, or through our Photography Plan, which is a cloud-enabled offering targeted at photographers and photo hobbyists and includes Lightroom CC, integrated cloud services, and Lightroom Classic.</w:t>
      </w:r>
    </w:p>
    <w:p>
      <w:pPr>
        <w:pStyle w:val="BodyText"/>
        <w:spacing w:line="249" w:lineRule="auto" w:before="165"/>
        <w:ind w:left="220" w:right="257" w:firstLine="540"/>
        <w:jc w:val="both"/>
      </w:pPr>
      <w:r>
        <w:rPr/>
        <w:t>We</w:t>
      </w:r>
      <w:r>
        <w:rPr>
          <w:spacing w:val="-5"/>
        </w:rPr>
        <w:t> </w:t>
      </w:r>
      <w:r>
        <w:rPr/>
        <w:t>also</w:t>
      </w:r>
      <w:r>
        <w:rPr>
          <w:spacing w:val="-5"/>
        </w:rPr>
        <w:t> </w:t>
      </w:r>
      <w:r>
        <w:rPr/>
        <w:t>offer</w:t>
      </w:r>
      <w:r>
        <w:rPr>
          <w:spacing w:val="-5"/>
        </w:rPr>
        <w:t> </w:t>
      </w:r>
      <w:r>
        <w:rPr/>
        <w:t>Photoshop</w:t>
      </w:r>
      <w:r>
        <w:rPr>
          <w:spacing w:val="-5"/>
        </w:rPr>
        <w:t> </w:t>
      </w:r>
      <w:r>
        <w:rPr/>
        <w:t>Elements,</w:t>
      </w:r>
      <w:r>
        <w:rPr>
          <w:spacing w:val="-5"/>
        </w:rPr>
        <w:t> </w:t>
      </w:r>
      <w:r>
        <w:rPr/>
        <w:t>which</w:t>
      </w:r>
      <w:r>
        <w:rPr>
          <w:spacing w:val="-5"/>
        </w:rPr>
        <w:t> </w:t>
      </w:r>
      <w:r>
        <w:rPr/>
        <w:t>is</w:t>
      </w:r>
      <w:r>
        <w:rPr>
          <w:spacing w:val="-5"/>
        </w:rPr>
        <w:t> </w:t>
      </w:r>
      <w:r>
        <w:rPr/>
        <w:t>targeted</w:t>
      </w:r>
      <w:r>
        <w:rPr>
          <w:spacing w:val="-5"/>
        </w:rPr>
        <w:t> </w:t>
      </w:r>
      <w:r>
        <w:rPr/>
        <w:t>at</w:t>
      </w:r>
      <w:r>
        <w:rPr>
          <w:spacing w:val="-5"/>
        </w:rPr>
        <w:t> </w:t>
      </w:r>
      <w:r>
        <w:rPr/>
        <w:t>consumers</w:t>
      </w:r>
      <w:r>
        <w:rPr>
          <w:spacing w:val="-5"/>
        </w:rPr>
        <w:t> </w:t>
      </w:r>
      <w:r>
        <w:rPr/>
        <w:t>who</w:t>
      </w:r>
      <w:r>
        <w:rPr>
          <w:spacing w:val="-5"/>
        </w:rPr>
        <w:t> </w:t>
      </w:r>
      <w:r>
        <w:rPr/>
        <w:t>desire</w:t>
      </w:r>
      <w:r>
        <w:rPr>
          <w:spacing w:val="-5"/>
        </w:rPr>
        <w:t> </w:t>
      </w:r>
      <w:r>
        <w:rPr/>
        <w:t>the</w:t>
      </w:r>
      <w:r>
        <w:rPr>
          <w:spacing w:val="-5"/>
        </w:rPr>
        <w:t> </w:t>
      </w:r>
      <w:r>
        <w:rPr/>
        <w:t>brand</w:t>
      </w:r>
      <w:r>
        <w:rPr>
          <w:spacing w:val="-5"/>
        </w:rPr>
        <w:t> </w:t>
      </w:r>
      <w:r>
        <w:rPr/>
        <w:t>and</w:t>
      </w:r>
      <w:r>
        <w:rPr>
          <w:spacing w:val="-5"/>
        </w:rPr>
        <w:t> </w:t>
      </w:r>
      <w:r>
        <w:rPr/>
        <w:t>power</w:t>
      </w:r>
      <w:r>
        <w:rPr>
          <w:spacing w:val="-5"/>
        </w:rPr>
        <w:t> </w:t>
      </w:r>
      <w:r>
        <w:rPr/>
        <w:t>of</w:t>
      </w:r>
      <w:r>
        <w:rPr>
          <w:spacing w:val="-5"/>
        </w:rPr>
        <w:t> </w:t>
      </w:r>
      <w:r>
        <w:rPr/>
        <w:t>Photoshop</w:t>
      </w:r>
      <w:r>
        <w:rPr>
          <w:spacing w:val="-5"/>
        </w:rPr>
        <w:t> </w:t>
      </w:r>
      <w:r>
        <w:rPr/>
        <w:t>through an</w:t>
      </w:r>
      <w:r>
        <w:rPr>
          <w:spacing w:val="-1"/>
        </w:rPr>
        <w:t> </w:t>
      </w:r>
      <w:r>
        <w:rPr/>
        <w:t>easy-to-use</w:t>
      </w:r>
      <w:r>
        <w:rPr>
          <w:spacing w:val="-1"/>
        </w:rPr>
        <w:t> </w:t>
      </w:r>
      <w:r>
        <w:rPr/>
        <w:t>interface.</w:t>
      </w:r>
      <w:r>
        <w:rPr>
          <w:spacing w:val="-1"/>
        </w:rPr>
        <w:t> </w:t>
      </w:r>
      <w:r>
        <w:rPr/>
        <w:t>For</w:t>
      </w:r>
      <w:r>
        <w:rPr>
          <w:spacing w:val="-1"/>
        </w:rPr>
        <w:t> </w:t>
      </w:r>
      <w:r>
        <w:rPr/>
        <w:t>tablet</w:t>
      </w:r>
      <w:r>
        <w:rPr>
          <w:spacing w:val="-1"/>
        </w:rPr>
        <w:t> </w:t>
      </w:r>
      <w:r>
        <w:rPr/>
        <w:t>and</w:t>
      </w:r>
      <w:r>
        <w:rPr>
          <w:spacing w:val="-1"/>
        </w:rPr>
        <w:t> </w:t>
      </w:r>
      <w:r>
        <w:rPr/>
        <w:t>smartphone</w:t>
      </w:r>
      <w:r>
        <w:rPr>
          <w:spacing w:val="-1"/>
        </w:rPr>
        <w:t> </w:t>
      </w:r>
      <w:r>
        <w:rPr/>
        <w:t>users,</w:t>
      </w:r>
      <w:r>
        <w:rPr>
          <w:spacing w:val="-1"/>
        </w:rPr>
        <w:t> </w:t>
      </w:r>
      <w:r>
        <w:rPr/>
        <w:t>we</w:t>
      </w:r>
      <w:r>
        <w:rPr>
          <w:spacing w:val="-1"/>
        </w:rPr>
        <w:t> </w:t>
      </w:r>
      <w:r>
        <w:rPr/>
        <w:t>offer</w:t>
      </w:r>
      <w:r>
        <w:rPr>
          <w:spacing w:val="-1"/>
        </w:rPr>
        <w:t> </w:t>
      </w:r>
      <w:r>
        <w:rPr/>
        <w:t>several</w:t>
      </w:r>
      <w:r>
        <w:rPr>
          <w:spacing w:val="-1"/>
        </w:rPr>
        <w:t> </w:t>
      </w:r>
      <w:r>
        <w:rPr/>
        <w:t>mobile</w:t>
      </w:r>
      <w:r>
        <w:rPr>
          <w:spacing w:val="-1"/>
        </w:rPr>
        <w:t> </w:t>
      </w:r>
      <w:r>
        <w:rPr/>
        <w:t>apps</w:t>
      </w:r>
      <w:r>
        <w:rPr>
          <w:spacing w:val="-1"/>
        </w:rPr>
        <w:t> </w:t>
      </w:r>
      <w:r>
        <w:rPr/>
        <w:t>including</w:t>
      </w:r>
      <w:r>
        <w:rPr>
          <w:spacing w:val="-1"/>
        </w:rPr>
        <w:t> </w:t>
      </w:r>
      <w:r>
        <w:rPr/>
        <w:t>Photoshop</w:t>
      </w:r>
      <w:r>
        <w:rPr>
          <w:spacing w:val="-1"/>
        </w:rPr>
        <w:t> </w:t>
      </w:r>
      <w:r>
        <w:rPr/>
        <w:t>Sketch,</w:t>
      </w:r>
      <w:r>
        <w:rPr>
          <w:spacing w:val="-1"/>
        </w:rPr>
        <w:t> </w:t>
      </w:r>
      <w:r>
        <w:rPr/>
        <w:t>Photoshop Mix,</w:t>
      </w:r>
      <w:r>
        <w:rPr>
          <w:spacing w:val="-4"/>
        </w:rPr>
        <w:t> </w:t>
      </w:r>
      <w:r>
        <w:rPr/>
        <w:t>Photoshop</w:t>
      </w:r>
      <w:r>
        <w:rPr>
          <w:spacing w:val="-4"/>
        </w:rPr>
        <w:t> </w:t>
      </w:r>
      <w:r>
        <w:rPr/>
        <w:t>Express,</w:t>
      </w:r>
      <w:r>
        <w:rPr>
          <w:spacing w:val="-4"/>
        </w:rPr>
        <w:t> </w:t>
      </w:r>
      <w:r>
        <w:rPr/>
        <w:t>Lightroom</w:t>
      </w:r>
      <w:r>
        <w:rPr>
          <w:spacing w:val="-4"/>
        </w:rPr>
        <w:t> </w:t>
      </w:r>
      <w:r>
        <w:rPr/>
        <w:t>for</w:t>
      </w:r>
      <w:r>
        <w:rPr>
          <w:spacing w:val="-4"/>
        </w:rPr>
        <w:t> </w:t>
      </w:r>
      <w:r>
        <w:rPr/>
        <w:t>mobile</w:t>
      </w:r>
      <w:r>
        <w:rPr>
          <w:spacing w:val="-4"/>
        </w:rPr>
        <w:t> </w:t>
      </w:r>
      <w:r>
        <w:rPr/>
        <w:t>and</w:t>
      </w:r>
      <w:r>
        <w:rPr>
          <w:spacing w:val="-4"/>
        </w:rPr>
        <w:t> </w:t>
      </w:r>
      <w:r>
        <w:rPr/>
        <w:t>Photoshop</w:t>
      </w:r>
      <w:r>
        <w:rPr>
          <w:spacing w:val="-4"/>
        </w:rPr>
        <w:t> </w:t>
      </w:r>
      <w:r>
        <w:rPr/>
        <w:t>Fix—all</w:t>
      </w:r>
      <w:r>
        <w:rPr>
          <w:spacing w:val="-4"/>
        </w:rPr>
        <w:t> </w:t>
      </w:r>
      <w:r>
        <w:rPr/>
        <w:t>of</w:t>
      </w:r>
      <w:r>
        <w:rPr>
          <w:spacing w:val="-4"/>
        </w:rPr>
        <w:t> </w:t>
      </w:r>
      <w:r>
        <w:rPr/>
        <w:t>which</w:t>
      </w:r>
      <w:r>
        <w:rPr>
          <w:spacing w:val="-4"/>
        </w:rPr>
        <w:t> </w:t>
      </w:r>
      <w:r>
        <w:rPr/>
        <w:t>enable</w:t>
      </w:r>
      <w:r>
        <w:rPr>
          <w:spacing w:val="-4"/>
        </w:rPr>
        <w:t> </w:t>
      </w:r>
      <w:r>
        <w:rPr/>
        <w:t>sophisticated</w:t>
      </w:r>
      <w:r>
        <w:rPr>
          <w:spacing w:val="-4"/>
        </w:rPr>
        <w:t> </w:t>
      </w:r>
      <w:r>
        <w:rPr/>
        <w:t>photo</w:t>
      </w:r>
      <w:r>
        <w:rPr>
          <w:spacing w:val="-4"/>
        </w:rPr>
        <w:t> </w:t>
      </w:r>
      <w:r>
        <w:rPr/>
        <w:t>editing</w:t>
      </w:r>
      <w:r>
        <w:rPr>
          <w:spacing w:val="-4"/>
        </w:rPr>
        <w:t> </w:t>
      </w:r>
      <w:r>
        <w:rPr/>
        <w:t>and</w:t>
      </w:r>
      <w:r>
        <w:rPr>
          <w:spacing w:val="-4"/>
        </w:rPr>
        <w:t> </w:t>
      </w:r>
      <w:r>
        <w:rPr/>
        <w:t>content creation using a touch-based interface on tablet and mobile devices.</w:t>
      </w:r>
    </w:p>
    <w:p>
      <w:pPr>
        <w:spacing w:before="163"/>
        <w:ind w:left="760" w:right="0" w:firstLine="0"/>
        <w:jc w:val="left"/>
        <w:rPr>
          <w:i/>
          <w:sz w:val="20"/>
        </w:rPr>
      </w:pPr>
      <w:r>
        <w:rPr>
          <w:i/>
          <w:spacing w:val="-2"/>
          <w:sz w:val="20"/>
        </w:rPr>
        <w:t>Illustrator</w:t>
      </w:r>
    </w:p>
    <w:p>
      <w:pPr>
        <w:pStyle w:val="BodyText"/>
        <w:spacing w:line="249" w:lineRule="auto" w:before="170"/>
        <w:ind w:left="220" w:right="257" w:firstLine="540"/>
        <w:jc w:val="both"/>
      </w:pPr>
      <w:r>
        <w:rPr/>
        <w:t>Adobe Illustrator is our industry-standard vector graphics solution used worldwide by designers of all types who want to create</w:t>
      </w:r>
      <w:r>
        <w:rPr>
          <w:spacing w:val="-7"/>
        </w:rPr>
        <w:t> </w:t>
      </w:r>
      <w:r>
        <w:rPr/>
        <w:t>digital</w:t>
      </w:r>
      <w:r>
        <w:rPr>
          <w:spacing w:val="-7"/>
        </w:rPr>
        <w:t> </w:t>
      </w:r>
      <w:r>
        <w:rPr/>
        <w:t>graphics</w:t>
      </w:r>
      <w:r>
        <w:rPr>
          <w:spacing w:val="-6"/>
        </w:rPr>
        <w:t> </w:t>
      </w:r>
      <w:r>
        <w:rPr/>
        <w:t>and</w:t>
      </w:r>
      <w:r>
        <w:rPr>
          <w:spacing w:val="-7"/>
        </w:rPr>
        <w:t> </w:t>
      </w:r>
      <w:r>
        <w:rPr/>
        <w:t>illustrations</w:t>
      </w:r>
      <w:r>
        <w:rPr>
          <w:spacing w:val="-6"/>
        </w:rPr>
        <w:t> </w:t>
      </w:r>
      <w:r>
        <w:rPr/>
        <w:t>for</w:t>
      </w:r>
      <w:r>
        <w:rPr>
          <w:spacing w:val="-7"/>
        </w:rPr>
        <w:t> </w:t>
      </w:r>
      <w:r>
        <w:rPr/>
        <w:t>all</w:t>
      </w:r>
      <w:r>
        <w:rPr>
          <w:spacing w:val="-7"/>
        </w:rPr>
        <w:t> </w:t>
      </w:r>
      <w:r>
        <w:rPr/>
        <w:t>kinds</w:t>
      </w:r>
      <w:r>
        <w:rPr>
          <w:spacing w:val="-7"/>
        </w:rPr>
        <w:t> </w:t>
      </w:r>
      <w:r>
        <w:rPr/>
        <w:t>of</w:t>
      </w:r>
      <w:r>
        <w:rPr>
          <w:spacing w:val="-7"/>
        </w:rPr>
        <w:t> </w:t>
      </w:r>
      <w:r>
        <w:rPr/>
        <w:t>media:</w:t>
      </w:r>
      <w:r>
        <w:rPr>
          <w:spacing w:val="-7"/>
        </w:rPr>
        <w:t> </w:t>
      </w:r>
      <w:r>
        <w:rPr/>
        <w:t>print,</w:t>
      </w:r>
      <w:r>
        <w:rPr>
          <w:spacing w:val="-7"/>
        </w:rPr>
        <w:t> </w:t>
      </w:r>
      <w:r>
        <w:rPr/>
        <w:t>web,</w:t>
      </w:r>
      <w:r>
        <w:rPr>
          <w:spacing w:val="-7"/>
        </w:rPr>
        <w:t> </w:t>
      </w:r>
      <w:r>
        <w:rPr/>
        <w:t>interactive,</w:t>
      </w:r>
      <w:r>
        <w:rPr>
          <w:spacing w:val="-7"/>
        </w:rPr>
        <w:t> </w:t>
      </w:r>
      <w:r>
        <w:rPr/>
        <w:t>video,</w:t>
      </w:r>
      <w:r>
        <w:rPr>
          <w:spacing w:val="-7"/>
        </w:rPr>
        <w:t> </w:t>
      </w:r>
      <w:r>
        <w:rPr/>
        <w:t>and</w:t>
      </w:r>
      <w:r>
        <w:rPr>
          <w:spacing w:val="-7"/>
        </w:rPr>
        <w:t> </w:t>
      </w:r>
      <w:r>
        <w:rPr/>
        <w:t>mobile.</w:t>
      </w:r>
      <w:r>
        <w:rPr>
          <w:spacing w:val="-7"/>
        </w:rPr>
        <w:t> </w:t>
      </w:r>
      <w:r>
        <w:rPr/>
        <w:t>Illustrator</w:t>
      </w:r>
      <w:r>
        <w:rPr>
          <w:spacing w:val="-7"/>
        </w:rPr>
        <w:t> </w:t>
      </w:r>
      <w:r>
        <w:rPr/>
        <w:t>is</w:t>
      </w:r>
      <w:r>
        <w:rPr>
          <w:spacing w:val="-7"/>
        </w:rPr>
        <w:t> </w:t>
      </w:r>
      <w:r>
        <w:rPr/>
        <w:t>available</w:t>
      </w:r>
      <w:r>
        <w:rPr>
          <w:spacing w:val="-7"/>
        </w:rPr>
        <w:t> </w:t>
      </w:r>
      <w:r>
        <w:rPr/>
        <w:t>to Creative</w:t>
      </w:r>
      <w:r>
        <w:rPr>
          <w:spacing w:val="-12"/>
        </w:rPr>
        <w:t> </w:t>
      </w:r>
      <w:r>
        <w:rPr/>
        <w:t>Cloud</w:t>
      </w:r>
      <w:r>
        <w:rPr>
          <w:spacing w:val="-12"/>
        </w:rPr>
        <w:t> </w:t>
      </w:r>
      <w:r>
        <w:rPr/>
        <w:t>subscribers,</w:t>
      </w:r>
      <w:r>
        <w:rPr>
          <w:spacing w:val="-12"/>
        </w:rPr>
        <w:t> </w:t>
      </w:r>
      <w:r>
        <w:rPr/>
        <w:t>and</w:t>
      </w:r>
      <w:r>
        <w:rPr>
          <w:spacing w:val="-12"/>
        </w:rPr>
        <w:t> </w:t>
      </w:r>
      <w:r>
        <w:rPr/>
        <w:t>customers</w:t>
      </w:r>
      <w:r>
        <w:rPr>
          <w:spacing w:val="-11"/>
        </w:rPr>
        <w:t> </w:t>
      </w:r>
      <w:r>
        <w:rPr/>
        <w:t>can</w:t>
      </w:r>
      <w:r>
        <w:rPr>
          <w:spacing w:val="-12"/>
        </w:rPr>
        <w:t> </w:t>
      </w:r>
      <w:r>
        <w:rPr/>
        <w:t>also</w:t>
      </w:r>
      <w:r>
        <w:rPr>
          <w:spacing w:val="-12"/>
        </w:rPr>
        <w:t> </w:t>
      </w:r>
      <w:r>
        <w:rPr/>
        <w:t>subscribe</w:t>
      </w:r>
      <w:r>
        <w:rPr>
          <w:spacing w:val="-12"/>
        </w:rPr>
        <w:t> </w:t>
      </w:r>
      <w:r>
        <w:rPr/>
        <w:t>to</w:t>
      </w:r>
      <w:r>
        <w:rPr>
          <w:spacing w:val="-12"/>
        </w:rPr>
        <w:t> </w:t>
      </w:r>
      <w:r>
        <w:rPr/>
        <w:t>use</w:t>
      </w:r>
      <w:r>
        <w:rPr>
          <w:spacing w:val="-12"/>
        </w:rPr>
        <w:t> </w:t>
      </w:r>
      <w:r>
        <w:rPr/>
        <w:t>it</w:t>
      </w:r>
      <w:r>
        <w:rPr>
          <w:spacing w:val="-12"/>
        </w:rPr>
        <w:t> </w:t>
      </w:r>
      <w:r>
        <w:rPr/>
        <w:t>as</w:t>
      </w:r>
      <w:r>
        <w:rPr>
          <w:spacing w:val="-12"/>
        </w:rPr>
        <w:t> </w:t>
      </w:r>
      <w:r>
        <w:rPr/>
        <w:t>an</w:t>
      </w:r>
      <w:r>
        <w:rPr>
          <w:spacing w:val="-12"/>
        </w:rPr>
        <w:t> </w:t>
      </w:r>
      <w:r>
        <w:rPr/>
        <w:t>individual</w:t>
      </w:r>
      <w:r>
        <w:rPr>
          <w:spacing w:val="-12"/>
        </w:rPr>
        <w:t> </w:t>
      </w:r>
      <w:r>
        <w:rPr/>
        <w:t>subscription</w:t>
      </w:r>
      <w:r>
        <w:rPr>
          <w:spacing w:val="-12"/>
        </w:rPr>
        <w:t> </w:t>
      </w:r>
      <w:r>
        <w:rPr/>
        <w:t>product.</w:t>
      </w:r>
      <w:r>
        <w:rPr>
          <w:spacing w:val="-12"/>
        </w:rPr>
        <w:t> </w:t>
      </w:r>
      <w:r>
        <w:rPr/>
        <w:t>Users</w:t>
      </w:r>
      <w:r>
        <w:rPr>
          <w:spacing w:val="-12"/>
        </w:rPr>
        <w:t> </w:t>
      </w:r>
      <w:r>
        <w:rPr/>
        <w:t>can</w:t>
      </w:r>
      <w:r>
        <w:rPr>
          <w:spacing w:val="-12"/>
        </w:rPr>
        <w:t> </w:t>
      </w:r>
      <w:r>
        <w:rPr/>
        <w:t>also</w:t>
      </w:r>
      <w:r>
        <w:rPr>
          <w:spacing w:val="-12"/>
        </w:rPr>
        <w:t> </w:t>
      </w:r>
      <w:r>
        <w:rPr/>
        <w:t>utilize mobile apps such as Illustrator Draw to gain access to Illustrator capabilities on their tablets and mobile devices, and sync their work through CreativeSync for use with Illustrator on their desktop.</w:t>
      </w:r>
    </w:p>
    <w:p>
      <w:pPr>
        <w:spacing w:before="164"/>
        <w:ind w:left="760" w:right="0" w:firstLine="0"/>
        <w:jc w:val="left"/>
        <w:rPr>
          <w:i/>
          <w:sz w:val="20"/>
        </w:rPr>
      </w:pPr>
      <w:r>
        <w:rPr>
          <w:i/>
          <w:sz w:val="20"/>
        </w:rPr>
        <w:t>Adobe</w:t>
      </w:r>
      <w:r>
        <w:rPr>
          <w:i/>
          <w:spacing w:val="-1"/>
          <w:sz w:val="20"/>
        </w:rPr>
        <w:t> </w:t>
      </w:r>
      <w:r>
        <w:rPr>
          <w:i/>
          <w:spacing w:val="-5"/>
          <w:sz w:val="20"/>
        </w:rPr>
        <w:t>XD</w:t>
      </w:r>
    </w:p>
    <w:p>
      <w:pPr>
        <w:pStyle w:val="BodyText"/>
        <w:spacing w:line="249" w:lineRule="auto" w:before="170"/>
        <w:ind w:left="220" w:right="257" w:firstLine="540"/>
        <w:jc w:val="both"/>
      </w:pPr>
      <w:r>
        <w:rPr/>
        <w:t>Adobe</w:t>
      </w:r>
      <w:r>
        <w:rPr>
          <w:spacing w:val="-5"/>
        </w:rPr>
        <w:t> </w:t>
      </w:r>
      <w:r>
        <w:rPr/>
        <w:t>XD</w:t>
      </w:r>
      <w:r>
        <w:rPr>
          <w:spacing w:val="-5"/>
        </w:rPr>
        <w:t> </w:t>
      </w:r>
      <w:r>
        <w:rPr/>
        <w:t>is</w:t>
      </w:r>
      <w:r>
        <w:rPr>
          <w:spacing w:val="-5"/>
        </w:rPr>
        <w:t> </w:t>
      </w:r>
      <w:r>
        <w:rPr/>
        <w:t>our</w:t>
      </w:r>
      <w:r>
        <w:rPr>
          <w:spacing w:val="-5"/>
        </w:rPr>
        <w:t> </w:t>
      </w:r>
      <w:r>
        <w:rPr/>
        <w:t>all-in-one</w:t>
      </w:r>
      <w:r>
        <w:rPr>
          <w:spacing w:val="-6"/>
        </w:rPr>
        <w:t> </w:t>
      </w:r>
      <w:r>
        <w:rPr/>
        <w:t>UX/UI</w:t>
      </w:r>
      <w:r>
        <w:rPr>
          <w:spacing w:val="-5"/>
        </w:rPr>
        <w:t> </w:t>
      </w:r>
      <w:r>
        <w:rPr/>
        <w:t>solution</w:t>
      </w:r>
      <w:r>
        <w:rPr>
          <w:spacing w:val="-5"/>
        </w:rPr>
        <w:t> </w:t>
      </w:r>
      <w:r>
        <w:rPr/>
        <w:t>for</w:t>
      </w:r>
      <w:r>
        <w:rPr>
          <w:spacing w:val="-5"/>
        </w:rPr>
        <w:t> </w:t>
      </w:r>
      <w:r>
        <w:rPr/>
        <w:t>designing</w:t>
      </w:r>
      <w:r>
        <w:rPr>
          <w:spacing w:val="-5"/>
        </w:rPr>
        <w:t> </w:t>
      </w:r>
      <w:r>
        <w:rPr/>
        <w:t>websites,</w:t>
      </w:r>
      <w:r>
        <w:rPr>
          <w:spacing w:val="-5"/>
        </w:rPr>
        <w:t> </w:t>
      </w:r>
      <w:r>
        <w:rPr/>
        <w:t>mobile</w:t>
      </w:r>
      <w:r>
        <w:rPr>
          <w:spacing w:val="-5"/>
        </w:rPr>
        <w:t> </w:t>
      </w:r>
      <w:r>
        <w:rPr/>
        <w:t>apps</w:t>
      </w:r>
      <w:r>
        <w:rPr>
          <w:spacing w:val="-5"/>
        </w:rPr>
        <w:t> </w:t>
      </w:r>
      <w:r>
        <w:rPr/>
        <w:t>and</w:t>
      </w:r>
      <w:r>
        <w:rPr>
          <w:spacing w:val="-5"/>
        </w:rPr>
        <w:t> </w:t>
      </w:r>
      <w:r>
        <w:rPr/>
        <w:t>more</w:t>
      </w:r>
      <w:r>
        <w:rPr>
          <w:spacing w:val="-5"/>
        </w:rPr>
        <w:t> </w:t>
      </w:r>
      <w:r>
        <w:rPr/>
        <w:t>that</w:t>
      </w:r>
      <w:r>
        <w:rPr>
          <w:spacing w:val="-5"/>
        </w:rPr>
        <w:t> </w:t>
      </w:r>
      <w:r>
        <w:rPr/>
        <w:t>is</w:t>
      </w:r>
      <w:r>
        <w:rPr>
          <w:spacing w:val="-5"/>
        </w:rPr>
        <w:t> </w:t>
      </w:r>
      <w:r>
        <w:rPr/>
        <w:t>designed</w:t>
      </w:r>
      <w:r>
        <w:rPr>
          <w:spacing w:val="-5"/>
        </w:rPr>
        <w:t> </w:t>
      </w:r>
      <w:r>
        <w:rPr/>
        <w:t>to</w:t>
      </w:r>
      <w:r>
        <w:rPr>
          <w:spacing w:val="-5"/>
        </w:rPr>
        <w:t> </w:t>
      </w:r>
      <w:r>
        <w:rPr/>
        <w:t>enable</w:t>
      </w:r>
      <w:r>
        <w:rPr>
          <w:spacing w:val="-6"/>
        </w:rPr>
        <w:t> </w:t>
      </w:r>
      <w:r>
        <w:rPr/>
        <w:t>users to</w:t>
      </w:r>
      <w:r>
        <w:rPr>
          <w:spacing w:val="-11"/>
        </w:rPr>
        <w:t> </w:t>
      </w:r>
      <w:r>
        <w:rPr/>
        <w:t>go</w:t>
      </w:r>
      <w:r>
        <w:rPr>
          <w:spacing w:val="-11"/>
        </w:rPr>
        <w:t> </w:t>
      </w:r>
      <w:r>
        <w:rPr/>
        <w:t>from</w:t>
      </w:r>
      <w:r>
        <w:rPr>
          <w:spacing w:val="-11"/>
        </w:rPr>
        <w:t> </w:t>
      </w:r>
      <w:r>
        <w:rPr/>
        <w:t>concept</w:t>
      </w:r>
      <w:r>
        <w:rPr>
          <w:spacing w:val="-11"/>
        </w:rPr>
        <w:t> </w:t>
      </w:r>
      <w:r>
        <w:rPr/>
        <w:t>to</w:t>
      </w:r>
      <w:r>
        <w:rPr>
          <w:spacing w:val="-11"/>
        </w:rPr>
        <w:t> </w:t>
      </w:r>
      <w:r>
        <w:rPr/>
        <w:t>prototype</w:t>
      </w:r>
      <w:r>
        <w:rPr>
          <w:spacing w:val="-11"/>
        </w:rPr>
        <w:t> </w:t>
      </w:r>
      <w:r>
        <w:rPr/>
        <w:t>faster.</w:t>
      </w:r>
      <w:r>
        <w:rPr>
          <w:spacing w:val="29"/>
        </w:rPr>
        <w:t> </w:t>
      </w:r>
      <w:r>
        <w:rPr/>
        <w:t>It</w:t>
      </w:r>
      <w:r>
        <w:rPr>
          <w:spacing w:val="-11"/>
        </w:rPr>
        <w:t> </w:t>
      </w:r>
      <w:r>
        <w:rPr/>
        <w:t>contains</w:t>
      </w:r>
      <w:r>
        <w:rPr>
          <w:spacing w:val="-10"/>
        </w:rPr>
        <w:t> </w:t>
      </w:r>
      <w:r>
        <w:rPr/>
        <w:t>intuitive</w:t>
      </w:r>
      <w:r>
        <w:rPr>
          <w:spacing w:val="-11"/>
        </w:rPr>
        <w:t> </w:t>
      </w:r>
      <w:r>
        <w:rPr/>
        <w:t>tools</w:t>
      </w:r>
      <w:r>
        <w:rPr>
          <w:spacing w:val="-11"/>
        </w:rPr>
        <w:t> </w:t>
      </w:r>
      <w:r>
        <w:rPr/>
        <w:t>that</w:t>
      </w:r>
      <w:r>
        <w:rPr>
          <w:spacing w:val="-11"/>
        </w:rPr>
        <w:t> </w:t>
      </w:r>
      <w:r>
        <w:rPr/>
        <w:t>deliver</w:t>
      </w:r>
      <w:r>
        <w:rPr>
          <w:spacing w:val="-11"/>
        </w:rPr>
        <w:t> </w:t>
      </w:r>
      <w:r>
        <w:rPr/>
        <w:t>precision</w:t>
      </w:r>
      <w:r>
        <w:rPr>
          <w:spacing w:val="-11"/>
        </w:rPr>
        <w:t> </w:t>
      </w:r>
      <w:r>
        <w:rPr/>
        <w:t>and</w:t>
      </w:r>
      <w:r>
        <w:rPr>
          <w:spacing w:val="-11"/>
        </w:rPr>
        <w:t> </w:t>
      </w:r>
      <w:r>
        <w:rPr/>
        <w:t>performance</w:t>
      </w:r>
      <w:r>
        <w:rPr>
          <w:spacing w:val="-11"/>
        </w:rPr>
        <w:t> </w:t>
      </w:r>
      <w:r>
        <w:rPr/>
        <w:t>using</w:t>
      </w:r>
      <w:r>
        <w:rPr>
          <w:spacing w:val="-11"/>
        </w:rPr>
        <w:t> </w:t>
      </w:r>
      <w:r>
        <w:rPr/>
        <w:t>timesaving</w:t>
      </w:r>
      <w:r>
        <w:rPr>
          <w:spacing w:val="-11"/>
        </w:rPr>
        <w:t> </w:t>
      </w:r>
      <w:r>
        <w:rPr/>
        <w:t>features like Repeat Grid and flexible artboards to create everything from low-fidelity wireframes to fully interactive prototypes for any screen</w:t>
      </w:r>
      <w:r>
        <w:rPr>
          <w:spacing w:val="16"/>
        </w:rPr>
        <w:t> </w:t>
      </w:r>
      <w:r>
        <w:rPr/>
        <w:t>in</w:t>
      </w:r>
      <w:r>
        <w:rPr>
          <w:spacing w:val="16"/>
        </w:rPr>
        <w:t> </w:t>
      </w:r>
      <w:r>
        <w:rPr/>
        <w:t>minutes.</w:t>
      </w:r>
      <w:r>
        <w:rPr>
          <w:spacing w:val="68"/>
        </w:rPr>
        <w:t> </w:t>
      </w:r>
      <w:r>
        <w:rPr/>
        <w:t>Adobe</w:t>
      </w:r>
      <w:r>
        <w:rPr>
          <w:spacing w:val="15"/>
        </w:rPr>
        <w:t> </w:t>
      </w:r>
      <w:r>
        <w:rPr/>
        <w:t>XD</w:t>
      </w:r>
      <w:r>
        <w:rPr>
          <w:spacing w:val="16"/>
        </w:rPr>
        <w:t> </w:t>
      </w:r>
      <w:r>
        <w:rPr/>
        <w:t>also</w:t>
      </w:r>
      <w:r>
        <w:rPr>
          <w:spacing w:val="16"/>
        </w:rPr>
        <w:t> </w:t>
      </w:r>
      <w:r>
        <w:rPr/>
        <w:t>makes</w:t>
      </w:r>
      <w:r>
        <w:rPr>
          <w:spacing w:val="16"/>
        </w:rPr>
        <w:t> </w:t>
      </w:r>
      <w:r>
        <w:rPr/>
        <w:t>it</w:t>
      </w:r>
      <w:r>
        <w:rPr>
          <w:spacing w:val="16"/>
        </w:rPr>
        <w:t> </w:t>
      </w:r>
      <w:r>
        <w:rPr/>
        <w:t>easy</w:t>
      </w:r>
      <w:r>
        <w:rPr>
          <w:spacing w:val="16"/>
        </w:rPr>
        <w:t> </w:t>
      </w:r>
      <w:r>
        <w:rPr/>
        <w:t>to</w:t>
      </w:r>
      <w:r>
        <w:rPr>
          <w:spacing w:val="16"/>
        </w:rPr>
        <w:t> </w:t>
      </w:r>
      <w:r>
        <w:rPr/>
        <w:t>share</w:t>
      </w:r>
      <w:r>
        <w:rPr>
          <w:spacing w:val="16"/>
        </w:rPr>
        <w:t> </w:t>
      </w:r>
      <w:r>
        <w:rPr/>
        <w:t>prototypes</w:t>
      </w:r>
      <w:r>
        <w:rPr>
          <w:spacing w:val="16"/>
        </w:rPr>
        <w:t> </w:t>
      </w:r>
      <w:r>
        <w:rPr/>
        <w:t>with</w:t>
      </w:r>
      <w:r>
        <w:rPr>
          <w:spacing w:val="16"/>
        </w:rPr>
        <w:t> </w:t>
      </w:r>
      <w:r>
        <w:rPr/>
        <w:t>teammates</w:t>
      </w:r>
      <w:r>
        <w:rPr>
          <w:spacing w:val="16"/>
        </w:rPr>
        <w:t> </w:t>
      </w:r>
      <w:r>
        <w:rPr/>
        <w:t>via</w:t>
      </w:r>
      <w:r>
        <w:rPr>
          <w:spacing w:val="16"/>
        </w:rPr>
        <w:t> </w:t>
      </w:r>
      <w:r>
        <w:rPr/>
        <w:t>the</w:t>
      </w:r>
      <w:r>
        <w:rPr>
          <w:spacing w:val="16"/>
        </w:rPr>
        <w:t> </w:t>
      </w:r>
      <w:r>
        <w:rPr/>
        <w:t>web</w:t>
      </w:r>
      <w:r>
        <w:rPr>
          <w:spacing w:val="16"/>
        </w:rPr>
        <w:t> </w:t>
      </w:r>
      <w:r>
        <w:rPr/>
        <w:t>and</w:t>
      </w:r>
      <w:r>
        <w:rPr>
          <w:spacing w:val="16"/>
        </w:rPr>
        <w:t> </w:t>
      </w:r>
      <w:r>
        <w:rPr/>
        <w:t>show</w:t>
      </w:r>
      <w:r>
        <w:rPr>
          <w:spacing w:val="16"/>
        </w:rPr>
        <w:t> </w:t>
      </w:r>
      <w:r>
        <w:rPr/>
        <w:t>colleagues</w:t>
      </w:r>
      <w:r>
        <w:rPr>
          <w:spacing w:val="16"/>
        </w:rPr>
        <w:t> </w:t>
      </w:r>
      <w:r>
        <w:rPr/>
        <w:t>how</w:t>
      </w:r>
    </w:p>
    <w:p>
      <w:pPr>
        <w:spacing w:after="0" w:line="249" w:lineRule="auto"/>
        <w:jc w:val="both"/>
        <w:sectPr>
          <w:pgSz w:w="12240" w:h="15840"/>
          <w:pgMar w:header="210" w:footer="599" w:top="420" w:bottom="800" w:left="780" w:right="740"/>
        </w:sectPr>
      </w:pPr>
    </w:p>
    <w:p>
      <w:pPr>
        <w:pStyle w:val="BodyText"/>
        <w:spacing w:before="150"/>
      </w:pPr>
    </w:p>
    <w:p>
      <w:pPr>
        <w:pStyle w:val="BodyText"/>
        <w:spacing w:line="249" w:lineRule="auto"/>
        <w:ind w:left="220" w:right="240"/>
      </w:pPr>
      <w:r>
        <w:rPr/>
        <w:t>multiscreen</w:t>
      </w:r>
      <w:r>
        <w:rPr>
          <w:spacing w:val="-23"/>
        </w:rPr>
        <w:t> </w:t>
      </w:r>
      <w:r>
        <w:rPr/>
        <w:t>experiences</w:t>
      </w:r>
      <w:r>
        <w:rPr>
          <w:spacing w:val="-22"/>
        </w:rPr>
        <w:t> </w:t>
      </w:r>
      <w:r>
        <w:rPr/>
        <w:t>look,</w:t>
      </w:r>
      <w:r>
        <w:rPr>
          <w:spacing w:val="-23"/>
        </w:rPr>
        <w:t> </w:t>
      </w:r>
      <w:r>
        <w:rPr/>
        <w:t>feel</w:t>
      </w:r>
      <w:r>
        <w:rPr>
          <w:spacing w:val="-23"/>
        </w:rPr>
        <w:t> </w:t>
      </w:r>
      <w:r>
        <w:rPr/>
        <w:t>and</w:t>
      </w:r>
      <w:r>
        <w:rPr>
          <w:spacing w:val="-23"/>
        </w:rPr>
        <w:t> </w:t>
      </w:r>
      <w:r>
        <w:rPr/>
        <w:t>work</w:t>
      </w:r>
      <w:r>
        <w:rPr>
          <w:spacing w:val="-23"/>
        </w:rPr>
        <w:t> </w:t>
      </w:r>
      <w:r>
        <w:rPr/>
        <w:t>with</w:t>
      </w:r>
      <w:r>
        <w:rPr>
          <w:spacing w:val="-23"/>
        </w:rPr>
        <w:t> </w:t>
      </w:r>
      <w:r>
        <w:rPr/>
        <w:t>a</w:t>
      </w:r>
      <w:r>
        <w:rPr>
          <w:spacing w:val="-23"/>
        </w:rPr>
        <w:t> </w:t>
      </w:r>
      <w:r>
        <w:rPr/>
        <w:t>single</w:t>
      </w:r>
      <w:r>
        <w:rPr>
          <w:spacing w:val="-23"/>
        </w:rPr>
        <w:t> </w:t>
      </w:r>
      <w:r>
        <w:rPr/>
        <w:t>click.</w:t>
      </w:r>
      <w:r>
        <w:rPr>
          <w:spacing w:val="-13"/>
        </w:rPr>
        <w:t> </w:t>
      </w:r>
      <w:r>
        <w:rPr/>
        <w:t>Adobe</w:t>
      </w:r>
      <w:r>
        <w:rPr>
          <w:spacing w:val="-23"/>
        </w:rPr>
        <w:t> </w:t>
      </w:r>
      <w:r>
        <w:rPr/>
        <w:t>XD</w:t>
      </w:r>
      <w:r>
        <w:rPr>
          <w:spacing w:val="-23"/>
        </w:rPr>
        <w:t> </w:t>
      </w:r>
      <w:r>
        <w:rPr/>
        <w:t>is</w:t>
      </w:r>
      <w:r>
        <w:rPr>
          <w:spacing w:val="-23"/>
        </w:rPr>
        <w:t> </w:t>
      </w:r>
      <w:r>
        <w:rPr/>
        <w:t>available</w:t>
      </w:r>
      <w:r>
        <w:rPr>
          <w:spacing w:val="-23"/>
        </w:rPr>
        <w:t> </w:t>
      </w:r>
      <w:r>
        <w:rPr/>
        <w:t>to</w:t>
      </w:r>
      <w:r>
        <w:rPr>
          <w:spacing w:val="-23"/>
        </w:rPr>
        <w:t> </w:t>
      </w:r>
      <w:r>
        <w:rPr/>
        <w:t>Creative</w:t>
      </w:r>
      <w:r>
        <w:rPr>
          <w:spacing w:val="-23"/>
        </w:rPr>
        <w:t> </w:t>
      </w:r>
      <w:r>
        <w:rPr/>
        <w:t>Cloud</w:t>
      </w:r>
      <w:r>
        <w:rPr>
          <w:spacing w:val="-23"/>
        </w:rPr>
        <w:t> </w:t>
      </w:r>
      <w:r>
        <w:rPr/>
        <w:t>subscribers,</w:t>
      </w:r>
      <w:r>
        <w:rPr>
          <w:spacing w:val="-23"/>
        </w:rPr>
        <w:t> </w:t>
      </w:r>
      <w:r>
        <w:rPr/>
        <w:t>and</w:t>
      </w:r>
      <w:r>
        <w:rPr>
          <w:spacing w:val="-23"/>
        </w:rPr>
        <w:t> </w:t>
      </w:r>
      <w:r>
        <w:rPr/>
        <w:t>customers can also subscribe to use it as an individual cloud-enabled subscription product.</w:t>
      </w:r>
    </w:p>
    <w:p>
      <w:pPr>
        <w:spacing w:before="161"/>
        <w:ind w:left="940" w:right="0" w:firstLine="0"/>
        <w:jc w:val="left"/>
        <w:rPr>
          <w:i/>
          <w:sz w:val="20"/>
        </w:rPr>
      </w:pPr>
      <w:r>
        <w:rPr>
          <w:i/>
          <w:spacing w:val="-2"/>
          <w:sz w:val="20"/>
        </w:rPr>
        <w:t>InDesign</w:t>
      </w:r>
    </w:p>
    <w:p>
      <w:pPr>
        <w:pStyle w:val="BodyText"/>
        <w:spacing w:line="249" w:lineRule="auto" w:before="170"/>
        <w:ind w:left="220" w:right="257" w:firstLine="540"/>
        <w:jc w:val="both"/>
      </w:pPr>
      <w:r>
        <w:rPr/>
        <w:t>Adobe InDesign is the leading professional page layout software for print and digital publishing. Our customers use it to design, preflight, and publish a broad range of content including newspapers and magazines for print, online, and tablet app delivery. Customers can create simple or complex layouts quickly and efficiently with precise control over typography, built-in creative tools, and an intuitive design environment.</w:t>
      </w:r>
      <w:r>
        <w:rPr>
          <w:spacing w:val="-2"/>
        </w:rPr>
        <w:t> </w:t>
      </w:r>
      <w:r>
        <w:rPr/>
        <w:t>Tight integration with other</w:t>
      </w:r>
      <w:r>
        <w:rPr>
          <w:spacing w:val="-10"/>
        </w:rPr>
        <w:t> </w:t>
      </w:r>
      <w:r>
        <w:rPr/>
        <w:t>Adobe offerings such as Photoshop, Illustrator, and</w:t>
      </w:r>
      <w:r>
        <w:rPr>
          <w:spacing w:val="-2"/>
        </w:rPr>
        <w:t> </w:t>
      </w:r>
      <w:r>
        <w:rPr/>
        <w:t>Acrobat enables customers to work productively in print and digital workflows. Customers can also access</w:t>
      </w:r>
      <w:r>
        <w:rPr>
          <w:spacing w:val="-2"/>
        </w:rPr>
        <w:t> </w:t>
      </w:r>
      <w:r>
        <w:rPr/>
        <w:t>Adobe digital publishing capabilities from within InDesign to create and publish engaging apps for a broad range of devices, including iOS, Android</w:t>
      </w:r>
      <w:r>
        <w:rPr>
          <w:spacing w:val="-13"/>
        </w:rPr>
        <w:t> </w:t>
      </w:r>
      <w:r>
        <w:rPr/>
        <w:t>and</w:t>
      </w:r>
      <w:r>
        <w:rPr>
          <w:spacing w:val="-12"/>
        </w:rPr>
        <w:t> </w:t>
      </w:r>
      <w:r>
        <w:rPr/>
        <w:t>Amazon-based</w:t>
      </w:r>
      <w:r>
        <w:rPr>
          <w:spacing w:val="-13"/>
        </w:rPr>
        <w:t> </w:t>
      </w:r>
      <w:r>
        <w:rPr/>
        <w:t>devices.</w:t>
      </w:r>
      <w:r>
        <w:rPr>
          <w:spacing w:val="-12"/>
        </w:rPr>
        <w:t> </w:t>
      </w:r>
      <w:r>
        <w:rPr/>
        <w:t>InDesign</w:t>
      </w:r>
      <w:r>
        <w:rPr>
          <w:spacing w:val="-12"/>
        </w:rPr>
        <w:t> </w:t>
      </w:r>
      <w:r>
        <w:rPr/>
        <w:t>is</w:t>
      </w:r>
      <w:r>
        <w:rPr>
          <w:spacing w:val="-11"/>
        </w:rPr>
        <w:t> </w:t>
      </w:r>
      <w:r>
        <w:rPr/>
        <w:t>available</w:t>
      </w:r>
      <w:r>
        <w:rPr>
          <w:spacing w:val="-11"/>
        </w:rPr>
        <w:t> </w:t>
      </w:r>
      <w:r>
        <w:rPr/>
        <w:t>to</w:t>
      </w:r>
      <w:r>
        <w:rPr>
          <w:spacing w:val="-11"/>
        </w:rPr>
        <w:t> </w:t>
      </w:r>
      <w:r>
        <w:rPr/>
        <w:t>Creative</w:t>
      </w:r>
      <w:r>
        <w:rPr>
          <w:spacing w:val="-11"/>
        </w:rPr>
        <w:t> </w:t>
      </w:r>
      <w:r>
        <w:rPr/>
        <w:t>Cloud</w:t>
      </w:r>
      <w:r>
        <w:rPr>
          <w:spacing w:val="-11"/>
        </w:rPr>
        <w:t> </w:t>
      </w:r>
      <w:r>
        <w:rPr/>
        <w:t>subscribers,</w:t>
      </w:r>
      <w:r>
        <w:rPr>
          <w:spacing w:val="-11"/>
        </w:rPr>
        <w:t> </w:t>
      </w:r>
      <w:r>
        <w:rPr/>
        <w:t>and</w:t>
      </w:r>
      <w:r>
        <w:rPr>
          <w:spacing w:val="-11"/>
        </w:rPr>
        <w:t> </w:t>
      </w:r>
      <w:r>
        <w:rPr/>
        <w:t>customers</w:t>
      </w:r>
      <w:r>
        <w:rPr>
          <w:spacing w:val="-11"/>
        </w:rPr>
        <w:t> </w:t>
      </w:r>
      <w:r>
        <w:rPr/>
        <w:t>can</w:t>
      </w:r>
      <w:r>
        <w:rPr>
          <w:spacing w:val="-11"/>
        </w:rPr>
        <w:t> </w:t>
      </w:r>
      <w:r>
        <w:rPr/>
        <w:t>also</w:t>
      </w:r>
      <w:r>
        <w:rPr>
          <w:spacing w:val="-11"/>
        </w:rPr>
        <w:t> </w:t>
      </w:r>
      <w:r>
        <w:rPr/>
        <w:t>subscribe</w:t>
      </w:r>
      <w:r>
        <w:rPr>
          <w:spacing w:val="-11"/>
        </w:rPr>
        <w:t> </w:t>
      </w:r>
      <w:r>
        <w:rPr/>
        <w:t>to</w:t>
      </w:r>
      <w:r>
        <w:rPr>
          <w:spacing w:val="-11"/>
        </w:rPr>
        <w:t> </w:t>
      </w:r>
      <w:r>
        <w:rPr/>
        <w:t>use InDesign as an individual cloud-enabled subscription product.</w:t>
      </w:r>
    </w:p>
    <w:p>
      <w:pPr>
        <w:spacing w:before="167"/>
        <w:ind w:left="760" w:right="0" w:firstLine="0"/>
        <w:jc w:val="left"/>
        <w:rPr>
          <w:i/>
          <w:sz w:val="20"/>
        </w:rPr>
      </w:pPr>
      <w:r>
        <w:rPr>
          <w:i/>
          <w:sz w:val="20"/>
        </w:rPr>
        <w:t>Adobe</w:t>
      </w:r>
      <w:r>
        <w:rPr>
          <w:i/>
          <w:spacing w:val="-12"/>
          <w:sz w:val="20"/>
        </w:rPr>
        <w:t> </w:t>
      </w:r>
      <w:r>
        <w:rPr>
          <w:i/>
          <w:sz w:val="20"/>
        </w:rPr>
        <w:t>Premiere</w:t>
      </w:r>
      <w:r>
        <w:rPr>
          <w:i/>
          <w:spacing w:val="-10"/>
          <w:sz w:val="20"/>
        </w:rPr>
        <w:t> </w:t>
      </w:r>
      <w:r>
        <w:rPr>
          <w:i/>
          <w:spacing w:val="-5"/>
          <w:sz w:val="20"/>
        </w:rPr>
        <w:t>Pro</w:t>
      </w:r>
    </w:p>
    <w:p>
      <w:pPr>
        <w:pStyle w:val="BodyText"/>
        <w:spacing w:line="249" w:lineRule="auto" w:before="170"/>
        <w:ind w:left="220" w:right="257" w:firstLine="540"/>
        <w:jc w:val="both"/>
      </w:pPr>
      <w:r>
        <w:rPr>
          <w:spacing w:val="-2"/>
        </w:rPr>
        <w:t>Adobe</w:t>
      </w:r>
      <w:r>
        <w:rPr>
          <w:spacing w:val="-11"/>
        </w:rPr>
        <w:t> </w:t>
      </w:r>
      <w:r>
        <w:rPr>
          <w:spacing w:val="-2"/>
        </w:rPr>
        <w:t>Premiere</w:t>
      </w:r>
      <w:r>
        <w:rPr>
          <w:spacing w:val="-10"/>
        </w:rPr>
        <w:t> </w:t>
      </w:r>
      <w:r>
        <w:rPr>
          <w:spacing w:val="-2"/>
        </w:rPr>
        <w:t>Pro</w:t>
      </w:r>
      <w:r>
        <w:rPr>
          <w:spacing w:val="-11"/>
        </w:rPr>
        <w:t> </w:t>
      </w:r>
      <w:r>
        <w:rPr>
          <w:spacing w:val="-2"/>
        </w:rPr>
        <w:t>is</w:t>
      </w:r>
      <w:r>
        <w:rPr>
          <w:spacing w:val="-10"/>
        </w:rPr>
        <w:t> </w:t>
      </w:r>
      <w:r>
        <w:rPr>
          <w:spacing w:val="-2"/>
        </w:rPr>
        <w:t>a</w:t>
      </w:r>
      <w:r>
        <w:rPr>
          <w:spacing w:val="-11"/>
        </w:rPr>
        <w:t> </w:t>
      </w:r>
      <w:r>
        <w:rPr>
          <w:spacing w:val="-2"/>
        </w:rPr>
        <w:t>leading</w:t>
      </w:r>
      <w:r>
        <w:rPr>
          <w:spacing w:val="-10"/>
        </w:rPr>
        <w:t> </w:t>
      </w:r>
      <w:r>
        <w:rPr>
          <w:spacing w:val="-2"/>
        </w:rPr>
        <w:t>nonlinear</w:t>
      </w:r>
      <w:r>
        <w:rPr>
          <w:spacing w:val="-11"/>
        </w:rPr>
        <w:t> </w:t>
      </w:r>
      <w:r>
        <w:rPr>
          <w:spacing w:val="-2"/>
        </w:rPr>
        <w:t>video</w:t>
      </w:r>
      <w:r>
        <w:rPr>
          <w:spacing w:val="-10"/>
        </w:rPr>
        <w:t> </w:t>
      </w:r>
      <w:r>
        <w:rPr>
          <w:spacing w:val="-2"/>
        </w:rPr>
        <w:t>editing</w:t>
      </w:r>
      <w:r>
        <w:rPr>
          <w:spacing w:val="-11"/>
        </w:rPr>
        <w:t> </w:t>
      </w:r>
      <w:r>
        <w:rPr>
          <w:spacing w:val="-2"/>
        </w:rPr>
        <w:t>tool</w:t>
      </w:r>
      <w:r>
        <w:rPr>
          <w:spacing w:val="-10"/>
        </w:rPr>
        <w:t> </w:t>
      </w:r>
      <w:r>
        <w:rPr>
          <w:spacing w:val="-2"/>
        </w:rPr>
        <w:t>used</w:t>
      </w:r>
      <w:r>
        <w:rPr>
          <w:spacing w:val="-11"/>
        </w:rPr>
        <w:t> </w:t>
      </w:r>
      <w:r>
        <w:rPr>
          <w:spacing w:val="-2"/>
        </w:rPr>
        <w:t>by</w:t>
      </w:r>
      <w:r>
        <w:rPr>
          <w:spacing w:val="-10"/>
        </w:rPr>
        <w:t> </w:t>
      </w:r>
      <w:r>
        <w:rPr>
          <w:spacing w:val="-2"/>
        </w:rPr>
        <w:t>video</w:t>
      </w:r>
      <w:r>
        <w:rPr>
          <w:spacing w:val="-11"/>
        </w:rPr>
        <w:t> </w:t>
      </w:r>
      <w:r>
        <w:rPr>
          <w:spacing w:val="-2"/>
        </w:rPr>
        <w:t>professionals.</w:t>
      </w:r>
      <w:r>
        <w:rPr>
          <w:spacing w:val="-10"/>
        </w:rPr>
        <w:t> </w:t>
      </w:r>
      <w:r>
        <w:rPr>
          <w:spacing w:val="-2"/>
        </w:rPr>
        <w:t>Customers</w:t>
      </w:r>
      <w:r>
        <w:rPr>
          <w:spacing w:val="-11"/>
        </w:rPr>
        <w:t> </w:t>
      </w:r>
      <w:r>
        <w:rPr>
          <w:spacing w:val="-2"/>
        </w:rPr>
        <w:t>can</w:t>
      </w:r>
      <w:r>
        <w:rPr>
          <w:spacing w:val="-10"/>
        </w:rPr>
        <w:t> </w:t>
      </w:r>
      <w:r>
        <w:rPr>
          <w:spacing w:val="-2"/>
        </w:rPr>
        <w:t>import</w:t>
      </w:r>
      <w:r>
        <w:rPr>
          <w:spacing w:val="-11"/>
        </w:rPr>
        <w:t> </w:t>
      </w:r>
      <w:r>
        <w:rPr>
          <w:spacing w:val="-2"/>
        </w:rPr>
        <w:t>and</w:t>
      </w:r>
      <w:r>
        <w:rPr>
          <w:spacing w:val="-10"/>
        </w:rPr>
        <w:t> </w:t>
      </w:r>
      <w:r>
        <w:rPr>
          <w:spacing w:val="-2"/>
        </w:rPr>
        <w:t>combine </w:t>
      </w:r>
      <w:r>
        <w:rPr/>
        <w:t>various types of media, from video shot on a smartphone to 8K to virtual reality, and then edit in its native format without transcoding.</w:t>
      </w:r>
      <w:r>
        <w:rPr>
          <w:spacing w:val="-9"/>
        </w:rPr>
        <w:t> </w:t>
      </w:r>
      <w:r>
        <w:rPr/>
        <w:t>Premiere</w:t>
      </w:r>
      <w:r>
        <w:rPr>
          <w:spacing w:val="-9"/>
        </w:rPr>
        <w:t> </w:t>
      </w:r>
      <w:r>
        <w:rPr/>
        <w:t>Pro</w:t>
      </w:r>
      <w:r>
        <w:rPr>
          <w:spacing w:val="-9"/>
        </w:rPr>
        <w:t> </w:t>
      </w:r>
      <w:r>
        <w:rPr/>
        <w:t>supports</w:t>
      </w:r>
      <w:r>
        <w:rPr>
          <w:spacing w:val="-8"/>
        </w:rPr>
        <w:t> </w:t>
      </w:r>
      <w:r>
        <w:rPr/>
        <w:t>a</w:t>
      </w:r>
      <w:r>
        <w:rPr>
          <w:spacing w:val="-9"/>
        </w:rPr>
        <w:t> </w:t>
      </w:r>
      <w:r>
        <w:rPr/>
        <w:t>vast</w:t>
      </w:r>
      <w:r>
        <w:rPr>
          <w:spacing w:val="-9"/>
        </w:rPr>
        <w:t> </w:t>
      </w:r>
      <w:r>
        <w:rPr/>
        <w:t>majority</w:t>
      </w:r>
      <w:r>
        <w:rPr>
          <w:spacing w:val="-9"/>
        </w:rPr>
        <w:t> </w:t>
      </w:r>
      <w:r>
        <w:rPr/>
        <w:t>of</w:t>
      </w:r>
      <w:r>
        <w:rPr>
          <w:spacing w:val="-9"/>
        </w:rPr>
        <w:t> </w:t>
      </w:r>
      <w:r>
        <w:rPr/>
        <w:t>formats,</w:t>
      </w:r>
      <w:r>
        <w:rPr>
          <w:spacing w:val="-9"/>
        </w:rPr>
        <w:t> </w:t>
      </w:r>
      <w:r>
        <w:rPr/>
        <w:t>and</w:t>
      </w:r>
      <w:r>
        <w:rPr>
          <w:spacing w:val="-9"/>
        </w:rPr>
        <w:t> </w:t>
      </w:r>
      <w:r>
        <w:rPr/>
        <w:t>customers</w:t>
      </w:r>
      <w:r>
        <w:rPr>
          <w:spacing w:val="-9"/>
        </w:rPr>
        <w:t> </w:t>
      </w:r>
      <w:r>
        <w:rPr/>
        <w:t>can</w:t>
      </w:r>
      <w:r>
        <w:rPr>
          <w:spacing w:val="-9"/>
        </w:rPr>
        <w:t> </w:t>
      </w:r>
      <w:r>
        <w:rPr/>
        <w:t>use</w:t>
      </w:r>
      <w:r>
        <w:rPr>
          <w:spacing w:val="-9"/>
        </w:rPr>
        <w:t> </w:t>
      </w:r>
      <w:r>
        <w:rPr/>
        <w:t>multiple</w:t>
      </w:r>
      <w:r>
        <w:rPr>
          <w:spacing w:val="-9"/>
        </w:rPr>
        <w:t> </w:t>
      </w:r>
      <w:r>
        <w:rPr/>
        <w:t>graphics</w:t>
      </w:r>
      <w:r>
        <w:rPr>
          <w:spacing w:val="-9"/>
        </w:rPr>
        <w:t> </w:t>
      </w:r>
      <w:r>
        <w:rPr/>
        <w:t>cards</w:t>
      </w:r>
      <w:r>
        <w:rPr>
          <w:spacing w:val="-9"/>
        </w:rPr>
        <w:t> </w:t>
      </w:r>
      <w:r>
        <w:rPr/>
        <w:t>to</w:t>
      </w:r>
      <w:r>
        <w:rPr>
          <w:spacing w:val="-9"/>
        </w:rPr>
        <w:t> </w:t>
      </w:r>
      <w:r>
        <w:rPr/>
        <w:t>accelerate</w:t>
      </w:r>
      <w:r>
        <w:rPr>
          <w:spacing w:val="-9"/>
        </w:rPr>
        <w:t> </w:t>
      </w:r>
      <w:r>
        <w:rPr/>
        <w:t>render and export times.</w:t>
      </w:r>
      <w:r>
        <w:rPr>
          <w:spacing w:val="-8"/>
        </w:rPr>
        <w:t> </w:t>
      </w:r>
      <w:r>
        <w:rPr/>
        <w:t>As part of Creative Cloud, Premiere Pro tightly integrates with other</w:t>
      </w:r>
      <w:r>
        <w:rPr>
          <w:spacing w:val="-8"/>
        </w:rPr>
        <w:t> </w:t>
      </w:r>
      <w:r>
        <w:rPr/>
        <w:t>Adobe creative applications. Customers can also subscribe to use it as an individual cloud-enabled subscription product.</w:t>
      </w:r>
    </w:p>
    <w:p>
      <w:pPr>
        <w:spacing w:before="164"/>
        <w:ind w:left="760" w:right="0" w:firstLine="0"/>
        <w:jc w:val="left"/>
        <w:rPr>
          <w:i/>
          <w:sz w:val="20"/>
        </w:rPr>
      </w:pPr>
      <w:r>
        <w:rPr>
          <w:i/>
          <w:sz w:val="20"/>
        </w:rPr>
        <w:t>Adobe</w:t>
      </w:r>
      <w:r>
        <w:rPr>
          <w:i/>
          <w:spacing w:val="-1"/>
          <w:sz w:val="20"/>
        </w:rPr>
        <w:t> </w:t>
      </w:r>
      <w:r>
        <w:rPr>
          <w:i/>
          <w:spacing w:val="-2"/>
          <w:sz w:val="20"/>
        </w:rPr>
        <w:t>Dimension</w:t>
      </w:r>
    </w:p>
    <w:p>
      <w:pPr>
        <w:pStyle w:val="BodyText"/>
        <w:spacing w:line="249" w:lineRule="auto" w:before="170"/>
        <w:ind w:left="220" w:right="257" w:firstLine="540"/>
        <w:jc w:val="both"/>
      </w:pPr>
      <w:r>
        <w:rPr/>
        <w:t>Adobe Dimension (formerly Project Felix) is our newly released product that is designed to make it easy for graphic designers to create high-quality, photorealistic 3D images. Users can composite 2D and 3D assets to build product shots, scene visualizations,</w:t>
      </w:r>
      <w:r>
        <w:rPr>
          <w:spacing w:val="-2"/>
        </w:rPr>
        <w:t> </w:t>
      </w:r>
      <w:r>
        <w:rPr/>
        <w:t>and</w:t>
      </w:r>
      <w:r>
        <w:rPr>
          <w:spacing w:val="-2"/>
        </w:rPr>
        <w:t> </w:t>
      </w:r>
      <w:r>
        <w:rPr/>
        <w:t>abstract</w:t>
      </w:r>
      <w:r>
        <w:rPr>
          <w:spacing w:val="-2"/>
        </w:rPr>
        <w:t> </w:t>
      </w:r>
      <w:r>
        <w:rPr/>
        <w:t>art.</w:t>
      </w:r>
      <w:r>
        <w:rPr>
          <w:spacing w:val="40"/>
        </w:rPr>
        <w:t> </w:t>
      </w:r>
      <w:r>
        <w:rPr/>
        <w:t>Dimension</w:t>
      </w:r>
      <w:r>
        <w:rPr>
          <w:spacing w:val="-2"/>
        </w:rPr>
        <w:t> </w:t>
      </w:r>
      <w:r>
        <w:rPr/>
        <w:t>integrates</w:t>
      </w:r>
      <w:r>
        <w:rPr>
          <w:spacing w:val="-2"/>
        </w:rPr>
        <w:t> </w:t>
      </w:r>
      <w:r>
        <w:rPr/>
        <w:t>well</w:t>
      </w:r>
      <w:r>
        <w:rPr>
          <w:spacing w:val="-2"/>
        </w:rPr>
        <w:t> </w:t>
      </w:r>
      <w:r>
        <w:rPr/>
        <w:t>with</w:t>
      </w:r>
      <w:r>
        <w:rPr>
          <w:spacing w:val="-2"/>
        </w:rPr>
        <w:t> </w:t>
      </w:r>
      <w:r>
        <w:rPr/>
        <w:t>other</w:t>
      </w:r>
      <w:r>
        <w:rPr>
          <w:spacing w:val="-13"/>
        </w:rPr>
        <w:t> </w:t>
      </w:r>
      <w:r>
        <w:rPr/>
        <w:t>Adobe</w:t>
      </w:r>
      <w:r>
        <w:rPr>
          <w:spacing w:val="-2"/>
        </w:rPr>
        <w:t> </w:t>
      </w:r>
      <w:r>
        <w:rPr/>
        <w:t>apps.</w:t>
      </w:r>
      <w:r>
        <w:rPr>
          <w:spacing w:val="40"/>
        </w:rPr>
        <w:t> </w:t>
      </w:r>
      <w:r>
        <w:rPr/>
        <w:t>Users</w:t>
      </w:r>
      <w:r>
        <w:rPr>
          <w:spacing w:val="-2"/>
        </w:rPr>
        <w:t> </w:t>
      </w:r>
      <w:r>
        <w:rPr/>
        <w:t>can</w:t>
      </w:r>
      <w:r>
        <w:rPr>
          <w:spacing w:val="-2"/>
        </w:rPr>
        <w:t> </w:t>
      </w:r>
      <w:r>
        <w:rPr/>
        <w:t>drag</w:t>
      </w:r>
      <w:r>
        <w:rPr>
          <w:spacing w:val="-2"/>
        </w:rPr>
        <w:t> </w:t>
      </w:r>
      <w:r>
        <w:rPr/>
        <w:t>and</w:t>
      </w:r>
      <w:r>
        <w:rPr>
          <w:spacing w:val="-2"/>
        </w:rPr>
        <w:t> </w:t>
      </w:r>
      <w:r>
        <w:rPr/>
        <w:t>drop</w:t>
      </w:r>
      <w:r>
        <w:rPr>
          <w:spacing w:val="-2"/>
        </w:rPr>
        <w:t> </w:t>
      </w:r>
      <w:r>
        <w:rPr/>
        <w:t>background</w:t>
      </w:r>
      <w:r>
        <w:rPr>
          <w:spacing w:val="-2"/>
        </w:rPr>
        <w:t> </w:t>
      </w:r>
      <w:r>
        <w:rPr/>
        <w:t>images from Photoshop and 3D models from Adobe Stock - without leaving Dimension. Dimension is available to Creative Cloud subscribers, and customers can also subscribe to use it as an individual cloud-enabled subscription product.</w:t>
      </w:r>
    </w:p>
    <w:p>
      <w:pPr>
        <w:spacing w:before="164"/>
        <w:ind w:left="760" w:right="0" w:firstLine="0"/>
        <w:jc w:val="left"/>
        <w:rPr>
          <w:i/>
          <w:sz w:val="20"/>
        </w:rPr>
      </w:pPr>
      <w:r>
        <w:rPr>
          <w:i/>
          <w:sz w:val="20"/>
        </w:rPr>
        <w:t>After</w:t>
      </w:r>
      <w:r>
        <w:rPr>
          <w:i/>
          <w:spacing w:val="-4"/>
          <w:sz w:val="20"/>
        </w:rPr>
        <w:t> </w:t>
      </w:r>
      <w:r>
        <w:rPr>
          <w:i/>
          <w:spacing w:val="-2"/>
          <w:sz w:val="20"/>
        </w:rPr>
        <w:t>Effects</w:t>
      </w:r>
    </w:p>
    <w:p>
      <w:pPr>
        <w:pStyle w:val="BodyText"/>
        <w:spacing w:line="249" w:lineRule="auto" w:before="170"/>
        <w:ind w:left="220" w:right="257" w:firstLine="540"/>
        <w:jc w:val="both"/>
      </w:pPr>
      <w:r>
        <w:rPr/>
        <w:t>Adobe</w:t>
      </w:r>
      <w:r>
        <w:rPr>
          <w:spacing w:val="-13"/>
        </w:rPr>
        <w:t> </w:t>
      </w:r>
      <w:r>
        <w:rPr/>
        <w:t>After</w:t>
      </w:r>
      <w:r>
        <w:rPr>
          <w:spacing w:val="-9"/>
        </w:rPr>
        <w:t> </w:t>
      </w:r>
      <w:r>
        <w:rPr/>
        <w:t>Effects</w:t>
      </w:r>
      <w:r>
        <w:rPr>
          <w:spacing w:val="-6"/>
        </w:rPr>
        <w:t> </w:t>
      </w:r>
      <w:r>
        <w:rPr/>
        <w:t>is</w:t>
      </w:r>
      <w:r>
        <w:rPr>
          <w:spacing w:val="-6"/>
        </w:rPr>
        <w:t> </w:t>
      </w:r>
      <w:r>
        <w:rPr/>
        <w:t>our</w:t>
      </w:r>
      <w:r>
        <w:rPr>
          <w:spacing w:val="-6"/>
        </w:rPr>
        <w:t> </w:t>
      </w:r>
      <w:r>
        <w:rPr/>
        <w:t>industry-leading</w:t>
      </w:r>
      <w:r>
        <w:rPr>
          <w:spacing w:val="-6"/>
        </w:rPr>
        <w:t> </w:t>
      </w:r>
      <w:r>
        <w:rPr/>
        <w:t>animation</w:t>
      </w:r>
      <w:r>
        <w:rPr>
          <w:spacing w:val="-6"/>
        </w:rPr>
        <w:t> </w:t>
      </w:r>
      <w:r>
        <w:rPr/>
        <w:t>and</w:t>
      </w:r>
      <w:r>
        <w:rPr>
          <w:spacing w:val="-6"/>
        </w:rPr>
        <w:t> </w:t>
      </w:r>
      <w:r>
        <w:rPr/>
        <w:t>creative</w:t>
      </w:r>
      <w:r>
        <w:rPr>
          <w:spacing w:val="-6"/>
        </w:rPr>
        <w:t> </w:t>
      </w:r>
      <w:r>
        <w:rPr/>
        <w:t>compositing</w:t>
      </w:r>
      <w:r>
        <w:rPr>
          <w:spacing w:val="-6"/>
        </w:rPr>
        <w:t> </w:t>
      </w:r>
      <w:r>
        <w:rPr/>
        <w:t>solution</w:t>
      </w:r>
      <w:r>
        <w:rPr>
          <w:spacing w:val="-6"/>
        </w:rPr>
        <w:t> </w:t>
      </w:r>
      <w:r>
        <w:rPr/>
        <w:t>used</w:t>
      </w:r>
      <w:r>
        <w:rPr>
          <w:spacing w:val="-6"/>
        </w:rPr>
        <w:t> </w:t>
      </w:r>
      <w:r>
        <w:rPr/>
        <w:t>by</w:t>
      </w:r>
      <w:r>
        <w:rPr>
          <w:spacing w:val="-6"/>
        </w:rPr>
        <w:t> </w:t>
      </w:r>
      <w:r>
        <w:rPr/>
        <w:t>a</w:t>
      </w:r>
      <w:r>
        <w:rPr>
          <w:spacing w:val="-6"/>
        </w:rPr>
        <w:t> </w:t>
      </w:r>
      <w:r>
        <w:rPr/>
        <w:t>wide</w:t>
      </w:r>
      <w:r>
        <w:rPr>
          <w:spacing w:val="-6"/>
        </w:rPr>
        <w:t> </w:t>
      </w:r>
      <w:r>
        <w:rPr/>
        <w:t>variety</w:t>
      </w:r>
      <w:r>
        <w:rPr>
          <w:spacing w:val="-6"/>
        </w:rPr>
        <w:t> </w:t>
      </w:r>
      <w:r>
        <w:rPr/>
        <w:t>of</w:t>
      </w:r>
      <w:r>
        <w:rPr>
          <w:spacing w:val="-6"/>
        </w:rPr>
        <w:t> </w:t>
      </w:r>
      <w:r>
        <w:rPr/>
        <w:t>motion </w:t>
      </w:r>
      <w:r>
        <w:rPr>
          <w:spacing w:val="-2"/>
        </w:rPr>
        <w:t>graphics</w:t>
      </w:r>
      <w:r>
        <w:rPr>
          <w:spacing w:val="-4"/>
        </w:rPr>
        <w:t> </w:t>
      </w:r>
      <w:r>
        <w:rPr>
          <w:spacing w:val="-2"/>
        </w:rPr>
        <w:t>and</w:t>
      </w:r>
      <w:r>
        <w:rPr>
          <w:spacing w:val="-4"/>
        </w:rPr>
        <w:t> </w:t>
      </w:r>
      <w:r>
        <w:rPr>
          <w:spacing w:val="-2"/>
        </w:rPr>
        <w:t>visual</w:t>
      </w:r>
      <w:r>
        <w:rPr>
          <w:spacing w:val="-6"/>
        </w:rPr>
        <w:t> </w:t>
      </w:r>
      <w:r>
        <w:rPr>
          <w:spacing w:val="-2"/>
        </w:rPr>
        <w:t>effects</w:t>
      </w:r>
      <w:r>
        <w:rPr>
          <w:spacing w:val="-4"/>
        </w:rPr>
        <w:t> </w:t>
      </w:r>
      <w:r>
        <w:rPr>
          <w:spacing w:val="-2"/>
        </w:rPr>
        <w:t>artists.</w:t>
      </w:r>
      <w:r>
        <w:rPr>
          <w:spacing w:val="-4"/>
        </w:rPr>
        <w:t> </w:t>
      </w:r>
      <w:r>
        <w:rPr>
          <w:spacing w:val="-2"/>
        </w:rPr>
        <w:t>It</w:t>
      </w:r>
      <w:r>
        <w:rPr>
          <w:spacing w:val="-4"/>
        </w:rPr>
        <w:t> </w:t>
      </w:r>
      <w:r>
        <w:rPr>
          <w:spacing w:val="-2"/>
        </w:rPr>
        <w:t>offers</w:t>
      </w:r>
      <w:r>
        <w:rPr>
          <w:spacing w:val="-4"/>
        </w:rPr>
        <w:t> </w:t>
      </w:r>
      <w:r>
        <w:rPr>
          <w:spacing w:val="-2"/>
        </w:rPr>
        <w:t>superior</w:t>
      </w:r>
      <w:r>
        <w:rPr>
          <w:spacing w:val="-4"/>
        </w:rPr>
        <w:t> </w:t>
      </w:r>
      <w:r>
        <w:rPr>
          <w:spacing w:val="-2"/>
        </w:rPr>
        <w:t>control,</w:t>
      </w:r>
      <w:r>
        <w:rPr>
          <w:spacing w:val="-4"/>
        </w:rPr>
        <w:t> </w:t>
      </w:r>
      <w:r>
        <w:rPr>
          <w:spacing w:val="-2"/>
        </w:rPr>
        <w:t>a</w:t>
      </w:r>
      <w:r>
        <w:rPr>
          <w:spacing w:val="-4"/>
        </w:rPr>
        <w:t> </w:t>
      </w:r>
      <w:r>
        <w:rPr>
          <w:spacing w:val="-2"/>
        </w:rPr>
        <w:t>wealth</w:t>
      </w:r>
      <w:r>
        <w:rPr>
          <w:spacing w:val="-4"/>
        </w:rPr>
        <w:t> </w:t>
      </w:r>
      <w:r>
        <w:rPr>
          <w:spacing w:val="-2"/>
        </w:rPr>
        <w:t>of</w:t>
      </w:r>
      <w:r>
        <w:rPr>
          <w:spacing w:val="-4"/>
        </w:rPr>
        <w:t> </w:t>
      </w:r>
      <w:r>
        <w:rPr>
          <w:spacing w:val="-2"/>
        </w:rPr>
        <w:t>creative</w:t>
      </w:r>
      <w:r>
        <w:rPr>
          <w:spacing w:val="-6"/>
        </w:rPr>
        <w:t> </w:t>
      </w:r>
      <w:r>
        <w:rPr>
          <w:spacing w:val="-2"/>
        </w:rPr>
        <w:t>options,</w:t>
      </w:r>
      <w:r>
        <w:rPr>
          <w:spacing w:val="-4"/>
        </w:rPr>
        <w:t> </w:t>
      </w:r>
      <w:r>
        <w:rPr>
          <w:spacing w:val="-2"/>
        </w:rPr>
        <w:t>and</w:t>
      </w:r>
      <w:r>
        <w:rPr>
          <w:spacing w:val="-4"/>
        </w:rPr>
        <w:t> </w:t>
      </w:r>
      <w:r>
        <w:rPr>
          <w:spacing w:val="-2"/>
        </w:rPr>
        <w:t>integration</w:t>
      </w:r>
      <w:r>
        <w:rPr>
          <w:spacing w:val="-4"/>
        </w:rPr>
        <w:t> </w:t>
      </w:r>
      <w:r>
        <w:rPr>
          <w:spacing w:val="-2"/>
        </w:rPr>
        <w:t>with</w:t>
      </w:r>
      <w:r>
        <w:rPr>
          <w:spacing w:val="-4"/>
        </w:rPr>
        <w:t> </w:t>
      </w:r>
      <w:r>
        <w:rPr>
          <w:spacing w:val="-2"/>
        </w:rPr>
        <w:t>other</w:t>
      </w:r>
      <w:r>
        <w:rPr>
          <w:spacing w:val="-4"/>
        </w:rPr>
        <w:t> </w:t>
      </w:r>
      <w:r>
        <w:rPr>
          <w:spacing w:val="-2"/>
        </w:rPr>
        <w:t>post-production </w:t>
      </w:r>
      <w:r>
        <w:rPr/>
        <w:t>applications.</w:t>
      </w:r>
      <w:r>
        <w:rPr>
          <w:spacing w:val="-5"/>
        </w:rPr>
        <w:t> </w:t>
      </w:r>
      <w:r>
        <w:rPr/>
        <w:t>After Effects works together seamlessly with other</w:t>
      </w:r>
      <w:r>
        <w:rPr>
          <w:spacing w:val="-5"/>
        </w:rPr>
        <w:t> </w:t>
      </w:r>
      <w:r>
        <w:rPr/>
        <w:t>Adobe apps such as Premiere Pro, Photoshop, Illustrator, and </w:t>
      </w:r>
      <w:r>
        <w:rPr>
          <w:spacing w:val="-2"/>
        </w:rPr>
        <w:t>Audition.</w:t>
      </w:r>
      <w:r>
        <w:rPr>
          <w:spacing w:val="-11"/>
        </w:rPr>
        <w:t> </w:t>
      </w:r>
      <w:r>
        <w:rPr>
          <w:spacing w:val="-2"/>
        </w:rPr>
        <w:t>After</w:t>
      </w:r>
      <w:r>
        <w:rPr>
          <w:spacing w:val="-10"/>
        </w:rPr>
        <w:t> </w:t>
      </w:r>
      <w:r>
        <w:rPr>
          <w:spacing w:val="-2"/>
        </w:rPr>
        <w:t>Effects</w:t>
      </w:r>
      <w:r>
        <w:rPr>
          <w:spacing w:val="-5"/>
        </w:rPr>
        <w:t> </w:t>
      </w:r>
      <w:r>
        <w:rPr>
          <w:spacing w:val="-2"/>
        </w:rPr>
        <w:t>is</w:t>
      </w:r>
      <w:r>
        <w:rPr>
          <w:spacing w:val="-6"/>
        </w:rPr>
        <w:t> </w:t>
      </w:r>
      <w:r>
        <w:rPr>
          <w:spacing w:val="-2"/>
        </w:rPr>
        <w:t>available</w:t>
      </w:r>
      <w:r>
        <w:rPr>
          <w:spacing w:val="-6"/>
        </w:rPr>
        <w:t> </w:t>
      </w:r>
      <w:r>
        <w:rPr>
          <w:spacing w:val="-2"/>
        </w:rPr>
        <w:t>to</w:t>
      </w:r>
      <w:r>
        <w:rPr>
          <w:spacing w:val="-6"/>
        </w:rPr>
        <w:t> </w:t>
      </w:r>
      <w:r>
        <w:rPr>
          <w:spacing w:val="-2"/>
        </w:rPr>
        <w:t>Creative</w:t>
      </w:r>
      <w:r>
        <w:rPr>
          <w:spacing w:val="-6"/>
        </w:rPr>
        <w:t> </w:t>
      </w:r>
      <w:r>
        <w:rPr>
          <w:spacing w:val="-2"/>
        </w:rPr>
        <w:t>Cloud</w:t>
      </w:r>
      <w:r>
        <w:rPr>
          <w:spacing w:val="-6"/>
        </w:rPr>
        <w:t> </w:t>
      </w:r>
      <w:r>
        <w:rPr>
          <w:spacing w:val="-2"/>
        </w:rPr>
        <w:t>subscribers,</w:t>
      </w:r>
      <w:r>
        <w:rPr>
          <w:spacing w:val="-6"/>
        </w:rPr>
        <w:t> </w:t>
      </w:r>
      <w:r>
        <w:rPr>
          <w:spacing w:val="-2"/>
        </w:rPr>
        <w:t>and</w:t>
      </w:r>
      <w:r>
        <w:rPr>
          <w:spacing w:val="-6"/>
        </w:rPr>
        <w:t> </w:t>
      </w:r>
      <w:r>
        <w:rPr>
          <w:spacing w:val="-2"/>
        </w:rPr>
        <w:t>customers</w:t>
      </w:r>
      <w:r>
        <w:rPr>
          <w:spacing w:val="-6"/>
        </w:rPr>
        <w:t> </w:t>
      </w:r>
      <w:r>
        <w:rPr>
          <w:spacing w:val="-2"/>
        </w:rPr>
        <w:t>can</w:t>
      </w:r>
      <w:r>
        <w:rPr>
          <w:spacing w:val="-6"/>
        </w:rPr>
        <w:t> </w:t>
      </w:r>
      <w:r>
        <w:rPr>
          <w:spacing w:val="-2"/>
        </w:rPr>
        <w:t>also</w:t>
      </w:r>
      <w:r>
        <w:rPr>
          <w:spacing w:val="-6"/>
        </w:rPr>
        <w:t> </w:t>
      </w:r>
      <w:r>
        <w:rPr>
          <w:spacing w:val="-2"/>
        </w:rPr>
        <w:t>subscribe</w:t>
      </w:r>
      <w:r>
        <w:rPr>
          <w:spacing w:val="-6"/>
        </w:rPr>
        <w:t> </w:t>
      </w:r>
      <w:r>
        <w:rPr>
          <w:spacing w:val="-2"/>
        </w:rPr>
        <w:t>to</w:t>
      </w:r>
      <w:r>
        <w:rPr>
          <w:spacing w:val="-6"/>
        </w:rPr>
        <w:t> </w:t>
      </w:r>
      <w:r>
        <w:rPr>
          <w:spacing w:val="-2"/>
        </w:rPr>
        <w:t>use</w:t>
      </w:r>
      <w:r>
        <w:rPr>
          <w:spacing w:val="-6"/>
        </w:rPr>
        <w:t> </w:t>
      </w:r>
      <w:r>
        <w:rPr>
          <w:spacing w:val="-2"/>
        </w:rPr>
        <w:t>it</w:t>
      </w:r>
      <w:r>
        <w:rPr>
          <w:spacing w:val="-6"/>
        </w:rPr>
        <w:t> </w:t>
      </w:r>
      <w:r>
        <w:rPr>
          <w:spacing w:val="-2"/>
        </w:rPr>
        <w:t>as</w:t>
      </w:r>
      <w:r>
        <w:rPr>
          <w:spacing w:val="-6"/>
        </w:rPr>
        <w:t> </w:t>
      </w:r>
      <w:r>
        <w:rPr>
          <w:spacing w:val="-2"/>
        </w:rPr>
        <w:t>an</w:t>
      </w:r>
      <w:r>
        <w:rPr>
          <w:spacing w:val="-6"/>
        </w:rPr>
        <w:t> </w:t>
      </w:r>
      <w:r>
        <w:rPr>
          <w:spacing w:val="-2"/>
        </w:rPr>
        <w:t>individual</w:t>
      </w:r>
      <w:r>
        <w:rPr>
          <w:spacing w:val="-6"/>
        </w:rPr>
        <w:t> </w:t>
      </w:r>
      <w:r>
        <w:rPr>
          <w:spacing w:val="-2"/>
        </w:rPr>
        <w:t>cloud- </w:t>
      </w:r>
      <w:r>
        <w:rPr/>
        <w:t>enabled subscription product.</w:t>
      </w:r>
    </w:p>
    <w:p>
      <w:pPr>
        <w:spacing w:before="164"/>
        <w:ind w:left="760" w:right="0" w:firstLine="0"/>
        <w:jc w:val="left"/>
        <w:rPr>
          <w:i/>
          <w:sz w:val="20"/>
        </w:rPr>
      </w:pPr>
      <w:r>
        <w:rPr>
          <w:i/>
          <w:spacing w:val="-2"/>
          <w:sz w:val="20"/>
        </w:rPr>
        <w:t>Typekit</w:t>
      </w:r>
    </w:p>
    <w:p>
      <w:pPr>
        <w:pStyle w:val="BodyText"/>
        <w:spacing w:line="249" w:lineRule="auto" w:before="170"/>
        <w:ind w:left="220" w:right="257" w:firstLine="540"/>
        <w:jc w:val="both"/>
      </w:pPr>
      <w:r>
        <w:rPr/>
        <w:t>Adobe</w:t>
      </w:r>
      <w:r>
        <w:rPr>
          <w:spacing w:val="-4"/>
        </w:rPr>
        <w:t> </w:t>
      </w:r>
      <w:r>
        <w:rPr/>
        <w:t>Typekit brings thousands of fonts from foundry partners into one library for quick browsing, easy use on the web or</w:t>
      </w:r>
      <w:r>
        <w:rPr>
          <w:spacing w:val="-3"/>
        </w:rPr>
        <w:t> </w:t>
      </w:r>
      <w:r>
        <w:rPr/>
        <w:t>on</w:t>
      </w:r>
      <w:r>
        <w:rPr>
          <w:spacing w:val="-3"/>
        </w:rPr>
        <w:t> </w:t>
      </w:r>
      <w:r>
        <w:rPr/>
        <w:t>the</w:t>
      </w:r>
      <w:r>
        <w:rPr>
          <w:spacing w:val="-3"/>
        </w:rPr>
        <w:t> </w:t>
      </w:r>
      <w:r>
        <w:rPr/>
        <w:t>user’s</w:t>
      </w:r>
      <w:r>
        <w:rPr>
          <w:spacing w:val="-3"/>
        </w:rPr>
        <w:t> </w:t>
      </w:r>
      <w:r>
        <w:rPr/>
        <w:t>desktop,</w:t>
      </w:r>
      <w:r>
        <w:rPr>
          <w:spacing w:val="-3"/>
        </w:rPr>
        <w:t> </w:t>
      </w:r>
      <w:r>
        <w:rPr/>
        <w:t>and</w:t>
      </w:r>
      <w:r>
        <w:rPr>
          <w:spacing w:val="-3"/>
        </w:rPr>
        <w:t> </w:t>
      </w:r>
      <w:r>
        <w:rPr/>
        <w:t>endless</w:t>
      </w:r>
      <w:r>
        <w:rPr>
          <w:spacing w:val="-3"/>
        </w:rPr>
        <w:t> </w:t>
      </w:r>
      <w:r>
        <w:rPr/>
        <w:t>typographic</w:t>
      </w:r>
      <w:r>
        <w:rPr>
          <w:spacing w:val="-3"/>
        </w:rPr>
        <w:t> </w:t>
      </w:r>
      <w:r>
        <w:rPr/>
        <w:t>inspiration.</w:t>
      </w:r>
      <w:r>
        <w:rPr>
          <w:spacing w:val="40"/>
        </w:rPr>
        <w:t> </w:t>
      </w:r>
      <w:r>
        <w:rPr/>
        <w:t>Our</w:t>
      </w:r>
      <w:r>
        <w:rPr>
          <w:spacing w:val="-3"/>
        </w:rPr>
        <w:t> </w:t>
      </w:r>
      <w:r>
        <w:rPr/>
        <w:t>full</w:t>
      </w:r>
      <w:r>
        <w:rPr>
          <w:spacing w:val="-3"/>
        </w:rPr>
        <w:t> </w:t>
      </w:r>
      <w:r>
        <w:rPr/>
        <w:t>library</w:t>
      </w:r>
      <w:r>
        <w:rPr>
          <w:spacing w:val="-3"/>
        </w:rPr>
        <w:t> </w:t>
      </w:r>
      <w:r>
        <w:rPr/>
        <w:t>of</w:t>
      </w:r>
      <w:r>
        <w:rPr>
          <w:spacing w:val="-3"/>
        </w:rPr>
        <w:t> </w:t>
      </w:r>
      <w:r>
        <w:rPr/>
        <w:t>commercially-licensed</w:t>
      </w:r>
      <w:r>
        <w:rPr>
          <w:spacing w:val="-3"/>
        </w:rPr>
        <w:t> </w:t>
      </w:r>
      <w:r>
        <w:rPr/>
        <w:t>fonts</w:t>
      </w:r>
      <w:r>
        <w:rPr>
          <w:spacing w:val="-3"/>
        </w:rPr>
        <w:t> </w:t>
      </w:r>
      <w:r>
        <w:rPr/>
        <w:t>is</w:t>
      </w:r>
      <w:r>
        <w:rPr>
          <w:spacing w:val="-3"/>
        </w:rPr>
        <w:t> </w:t>
      </w:r>
      <w:r>
        <w:rPr/>
        <w:t>offered</w:t>
      </w:r>
      <w:r>
        <w:rPr>
          <w:spacing w:val="-3"/>
        </w:rPr>
        <w:t> </w:t>
      </w:r>
      <w:r>
        <w:rPr/>
        <w:t>through Creative</w:t>
      </w:r>
      <w:r>
        <w:rPr>
          <w:spacing w:val="-1"/>
        </w:rPr>
        <w:t> </w:t>
      </w:r>
      <w:r>
        <w:rPr/>
        <w:t>Cloud. In addition, customers may subscribe</w:t>
      </w:r>
      <w:r>
        <w:rPr>
          <w:spacing w:val="-1"/>
        </w:rPr>
        <w:t> </w:t>
      </w:r>
      <w:r>
        <w:rPr/>
        <w:t>to the</w:t>
      </w:r>
      <w:r>
        <w:rPr>
          <w:spacing w:val="-1"/>
        </w:rPr>
        <w:t> </w:t>
      </w:r>
      <w:r>
        <w:rPr/>
        <w:t>standalone</w:t>
      </w:r>
      <w:r>
        <w:rPr>
          <w:spacing w:val="-4"/>
        </w:rPr>
        <w:t> </w:t>
      </w:r>
      <w:r>
        <w:rPr/>
        <w:t>Typekit</w:t>
      </w:r>
      <w:r>
        <w:rPr>
          <w:spacing w:val="-1"/>
        </w:rPr>
        <w:t> </w:t>
      </w:r>
      <w:r>
        <w:rPr/>
        <w:t>portfolio plan, or license</w:t>
      </w:r>
      <w:r>
        <w:rPr>
          <w:spacing w:val="-1"/>
        </w:rPr>
        <w:t> </w:t>
      </w:r>
      <w:r>
        <w:rPr/>
        <w:t>individual</w:t>
      </w:r>
      <w:r>
        <w:rPr>
          <w:spacing w:val="-1"/>
        </w:rPr>
        <w:t> </w:t>
      </w:r>
      <w:r>
        <w:rPr/>
        <w:t>fonts in the Adobe Typekit Marketplace.</w:t>
      </w:r>
    </w:p>
    <w:p>
      <w:pPr>
        <w:spacing w:before="164"/>
        <w:ind w:left="760" w:right="0" w:firstLine="0"/>
        <w:jc w:val="left"/>
        <w:rPr>
          <w:i/>
          <w:sz w:val="20"/>
        </w:rPr>
      </w:pPr>
      <w:r>
        <w:rPr>
          <w:i/>
          <w:spacing w:val="-2"/>
          <w:sz w:val="20"/>
        </w:rPr>
        <w:t>Behance</w:t>
      </w:r>
    </w:p>
    <w:p>
      <w:pPr>
        <w:pStyle w:val="BodyText"/>
        <w:spacing w:line="249" w:lineRule="auto" w:before="170"/>
        <w:ind w:left="220" w:right="257" w:firstLine="540"/>
        <w:jc w:val="both"/>
      </w:pPr>
      <w:r>
        <w:rPr/>
        <w:t>Behance</w:t>
      </w:r>
      <w:r>
        <w:rPr>
          <w:spacing w:val="-2"/>
        </w:rPr>
        <w:t> </w:t>
      </w:r>
      <w:r>
        <w:rPr/>
        <w:t>is</w:t>
      </w:r>
      <w:r>
        <w:rPr>
          <w:spacing w:val="-2"/>
        </w:rPr>
        <w:t> </w:t>
      </w:r>
      <w:r>
        <w:rPr/>
        <w:t>the</w:t>
      </w:r>
      <w:r>
        <w:rPr>
          <w:spacing w:val="-2"/>
        </w:rPr>
        <w:t> </w:t>
      </w:r>
      <w:r>
        <w:rPr/>
        <w:t>leading</w:t>
      </w:r>
      <w:r>
        <w:rPr>
          <w:spacing w:val="-2"/>
        </w:rPr>
        <w:t> </w:t>
      </w:r>
      <w:r>
        <w:rPr/>
        <w:t>social</w:t>
      </w:r>
      <w:r>
        <w:rPr>
          <w:spacing w:val="-2"/>
        </w:rPr>
        <w:t> </w:t>
      </w:r>
      <w:r>
        <w:rPr/>
        <w:t>community</w:t>
      </w:r>
      <w:r>
        <w:rPr>
          <w:spacing w:val="-2"/>
        </w:rPr>
        <w:t> </w:t>
      </w:r>
      <w:r>
        <w:rPr/>
        <w:t>to</w:t>
      </w:r>
      <w:r>
        <w:rPr>
          <w:spacing w:val="-2"/>
        </w:rPr>
        <w:t> </w:t>
      </w:r>
      <w:r>
        <w:rPr/>
        <w:t>showcase</w:t>
      </w:r>
      <w:r>
        <w:rPr>
          <w:spacing w:val="-2"/>
        </w:rPr>
        <w:t> </w:t>
      </w:r>
      <w:r>
        <w:rPr/>
        <w:t>and</w:t>
      </w:r>
      <w:r>
        <w:rPr>
          <w:spacing w:val="-2"/>
        </w:rPr>
        <w:t> </w:t>
      </w:r>
      <w:r>
        <w:rPr/>
        <w:t>discover</w:t>
      </w:r>
      <w:r>
        <w:rPr>
          <w:spacing w:val="-2"/>
        </w:rPr>
        <w:t> </w:t>
      </w:r>
      <w:r>
        <w:rPr/>
        <w:t>creative</w:t>
      </w:r>
      <w:r>
        <w:rPr>
          <w:spacing w:val="-2"/>
        </w:rPr>
        <w:t> </w:t>
      </w:r>
      <w:r>
        <w:rPr/>
        <w:t>work</w:t>
      </w:r>
      <w:r>
        <w:rPr>
          <w:spacing w:val="-2"/>
        </w:rPr>
        <w:t> </w:t>
      </w:r>
      <w:r>
        <w:rPr/>
        <w:t>online.</w:t>
      </w:r>
      <w:r>
        <w:rPr>
          <w:spacing w:val="-13"/>
        </w:rPr>
        <w:t> </w:t>
      </w:r>
      <w:r>
        <w:rPr/>
        <w:t>Adobe</w:t>
      </w:r>
      <w:r>
        <w:rPr>
          <w:spacing w:val="-1"/>
        </w:rPr>
        <w:t> </w:t>
      </w:r>
      <w:r>
        <w:rPr/>
        <w:t>Portfolio</w:t>
      </w:r>
      <w:r>
        <w:rPr>
          <w:spacing w:val="-2"/>
        </w:rPr>
        <w:t> </w:t>
      </w:r>
      <w:r>
        <w:rPr/>
        <w:t>allows</w:t>
      </w:r>
      <w:r>
        <w:rPr>
          <w:spacing w:val="-1"/>
        </w:rPr>
        <w:t> </w:t>
      </w:r>
      <w:r>
        <w:rPr/>
        <w:t>users</w:t>
      </w:r>
      <w:r>
        <w:rPr>
          <w:spacing w:val="-2"/>
        </w:rPr>
        <w:t> </w:t>
      </w:r>
      <w:r>
        <w:rPr/>
        <w:t>to quickly and simply build a fully customizable and hosted website that seamlessly syncs with Behance.</w:t>
      </w:r>
    </w:p>
    <w:p>
      <w:pPr>
        <w:spacing w:before="161"/>
        <w:ind w:left="760" w:right="0" w:firstLine="0"/>
        <w:jc w:val="left"/>
        <w:rPr>
          <w:i/>
          <w:sz w:val="20"/>
        </w:rPr>
      </w:pPr>
      <w:r>
        <w:rPr>
          <w:i/>
          <w:sz w:val="20"/>
        </w:rPr>
        <w:t>Adobe</w:t>
      </w:r>
      <w:r>
        <w:rPr>
          <w:i/>
          <w:spacing w:val="-1"/>
          <w:sz w:val="20"/>
        </w:rPr>
        <w:t> </w:t>
      </w:r>
      <w:r>
        <w:rPr>
          <w:i/>
          <w:spacing w:val="-2"/>
          <w:sz w:val="20"/>
        </w:rPr>
        <w:t>Spark</w:t>
      </w:r>
    </w:p>
    <w:p>
      <w:pPr>
        <w:pStyle w:val="BodyText"/>
        <w:spacing w:line="249" w:lineRule="auto" w:before="170"/>
        <w:ind w:left="220" w:right="257" w:firstLine="540"/>
        <w:jc w:val="both"/>
      </w:pPr>
      <w:r>
        <w:rPr/>
        <w:t>Adobe Spark is our integrated web and mobile software for creating and sharing impactful visual stories. Designed </w:t>
      </w:r>
      <w:r>
        <w:rPr/>
        <w:t>for everyday</w:t>
      </w:r>
      <w:r>
        <w:rPr>
          <w:spacing w:val="-7"/>
        </w:rPr>
        <w:t> </w:t>
      </w:r>
      <w:r>
        <w:rPr/>
        <w:t>communication,</w:t>
      </w:r>
      <w:r>
        <w:rPr>
          <w:spacing w:val="29"/>
        </w:rPr>
        <w:t> </w:t>
      </w:r>
      <w:r>
        <w:rPr/>
        <w:t>AdobeSpark</w:t>
      </w:r>
      <w:r>
        <w:rPr>
          <w:spacing w:val="-6"/>
        </w:rPr>
        <w:t> </w:t>
      </w:r>
      <w:r>
        <w:rPr/>
        <w:t>empowers</w:t>
      </w:r>
      <w:r>
        <w:rPr>
          <w:spacing w:val="-6"/>
        </w:rPr>
        <w:t> </w:t>
      </w:r>
      <w:r>
        <w:rPr/>
        <w:t>users</w:t>
      </w:r>
      <w:r>
        <w:rPr>
          <w:spacing w:val="-6"/>
        </w:rPr>
        <w:t> </w:t>
      </w:r>
      <w:r>
        <w:rPr/>
        <w:t>to</w:t>
      </w:r>
      <w:r>
        <w:rPr>
          <w:spacing w:val="-7"/>
        </w:rPr>
        <w:t> </w:t>
      </w:r>
      <w:r>
        <w:rPr/>
        <w:t>create</w:t>
      </w:r>
      <w:r>
        <w:rPr>
          <w:spacing w:val="-7"/>
        </w:rPr>
        <w:t> </w:t>
      </w:r>
      <w:r>
        <w:rPr/>
        <w:t>stunning</w:t>
      </w:r>
      <w:r>
        <w:rPr>
          <w:spacing w:val="-7"/>
        </w:rPr>
        <w:t> </w:t>
      </w:r>
      <w:r>
        <w:rPr/>
        <w:t>visual</w:t>
      </w:r>
      <w:r>
        <w:rPr>
          <w:spacing w:val="-7"/>
        </w:rPr>
        <w:t> </w:t>
      </w:r>
      <w:r>
        <w:rPr/>
        <w:t>content</w:t>
      </w:r>
      <w:r>
        <w:rPr>
          <w:spacing w:val="-7"/>
        </w:rPr>
        <w:t> </w:t>
      </w:r>
      <w:r>
        <w:rPr/>
        <w:t>that</w:t>
      </w:r>
      <w:r>
        <w:rPr>
          <w:spacing w:val="-7"/>
        </w:rPr>
        <w:t> </w:t>
      </w:r>
      <w:r>
        <w:rPr/>
        <w:t>engages</w:t>
      </w:r>
      <w:r>
        <w:rPr>
          <w:spacing w:val="-6"/>
        </w:rPr>
        <w:t> </w:t>
      </w:r>
      <w:r>
        <w:rPr/>
        <w:t>audiences</w:t>
      </w:r>
      <w:r>
        <w:rPr>
          <w:spacing w:val="-6"/>
        </w:rPr>
        <w:t> </w:t>
      </w:r>
      <w:r>
        <w:rPr/>
        <w:t>across</w:t>
      </w:r>
      <w:r>
        <w:rPr>
          <w:spacing w:val="-6"/>
        </w:rPr>
        <w:t> </w:t>
      </w:r>
      <w:r>
        <w:rPr/>
        <w:t>multiple </w:t>
      </w:r>
      <w:r>
        <w:rPr>
          <w:spacing w:val="-2"/>
        </w:rPr>
        <w:t>channels</w:t>
      </w:r>
      <w:r>
        <w:rPr>
          <w:spacing w:val="-9"/>
        </w:rPr>
        <w:t> </w:t>
      </w:r>
      <w:r>
        <w:rPr>
          <w:spacing w:val="-2"/>
        </w:rPr>
        <w:t>and</w:t>
      </w:r>
      <w:r>
        <w:rPr>
          <w:spacing w:val="-5"/>
        </w:rPr>
        <w:t> </w:t>
      </w:r>
      <w:r>
        <w:rPr>
          <w:spacing w:val="-2"/>
        </w:rPr>
        <w:t>on</w:t>
      </w:r>
      <w:r>
        <w:rPr>
          <w:spacing w:val="-5"/>
        </w:rPr>
        <w:t> </w:t>
      </w:r>
      <w:r>
        <w:rPr>
          <w:spacing w:val="-2"/>
        </w:rPr>
        <w:t>any</w:t>
      </w:r>
      <w:r>
        <w:rPr>
          <w:spacing w:val="-5"/>
        </w:rPr>
        <w:t> </w:t>
      </w:r>
      <w:r>
        <w:rPr>
          <w:spacing w:val="-2"/>
        </w:rPr>
        <w:t>device.</w:t>
      </w:r>
      <w:r>
        <w:rPr>
          <w:spacing w:val="-9"/>
        </w:rPr>
        <w:t> </w:t>
      </w:r>
      <w:r>
        <w:rPr>
          <w:spacing w:val="-2"/>
        </w:rPr>
        <w:t>The</w:t>
      </w:r>
      <w:r>
        <w:rPr>
          <w:spacing w:val="-11"/>
        </w:rPr>
        <w:t> </w:t>
      </w:r>
      <w:r>
        <w:rPr>
          <w:spacing w:val="-2"/>
        </w:rPr>
        <w:t>Adobe</w:t>
      </w:r>
      <w:r>
        <w:rPr>
          <w:spacing w:val="-5"/>
        </w:rPr>
        <w:t> </w:t>
      </w:r>
      <w:r>
        <w:rPr>
          <w:spacing w:val="-2"/>
        </w:rPr>
        <w:t>Spark</w:t>
      </w:r>
      <w:r>
        <w:rPr>
          <w:spacing w:val="-5"/>
        </w:rPr>
        <w:t> </w:t>
      </w:r>
      <w:r>
        <w:rPr>
          <w:spacing w:val="-2"/>
        </w:rPr>
        <w:t>web</w:t>
      </w:r>
      <w:r>
        <w:rPr>
          <w:spacing w:val="-5"/>
        </w:rPr>
        <w:t> </w:t>
      </w:r>
      <w:r>
        <w:rPr>
          <w:spacing w:val="-2"/>
        </w:rPr>
        <w:t>app</w:t>
      </w:r>
      <w:r>
        <w:rPr>
          <w:spacing w:val="-5"/>
        </w:rPr>
        <w:t> </w:t>
      </w:r>
      <w:r>
        <w:rPr>
          <w:spacing w:val="-2"/>
        </w:rPr>
        <w:t>seamlessly</w:t>
      </w:r>
      <w:r>
        <w:rPr>
          <w:spacing w:val="-5"/>
        </w:rPr>
        <w:t> </w:t>
      </w:r>
      <w:r>
        <w:rPr>
          <w:spacing w:val="-2"/>
        </w:rPr>
        <w:t>syncs</w:t>
      </w:r>
      <w:r>
        <w:rPr>
          <w:spacing w:val="-5"/>
        </w:rPr>
        <w:t> </w:t>
      </w:r>
      <w:r>
        <w:rPr>
          <w:spacing w:val="-2"/>
        </w:rPr>
        <w:t>with</w:t>
      </w:r>
      <w:r>
        <w:rPr>
          <w:spacing w:val="-5"/>
        </w:rPr>
        <w:t> </w:t>
      </w:r>
      <w:r>
        <w:rPr>
          <w:spacing w:val="-2"/>
        </w:rPr>
        <w:t>Spark</w:t>
      </w:r>
      <w:r>
        <w:rPr>
          <w:spacing w:val="-5"/>
        </w:rPr>
        <w:t> </w:t>
      </w:r>
      <w:r>
        <w:rPr>
          <w:spacing w:val="-2"/>
        </w:rPr>
        <w:t>Post,</w:t>
      </w:r>
      <w:r>
        <w:rPr>
          <w:spacing w:val="-5"/>
        </w:rPr>
        <w:t> </w:t>
      </w:r>
      <w:r>
        <w:rPr>
          <w:spacing w:val="-2"/>
        </w:rPr>
        <w:t>Spark</w:t>
      </w:r>
      <w:r>
        <w:rPr>
          <w:spacing w:val="-5"/>
        </w:rPr>
        <w:t> </w:t>
      </w:r>
      <w:r>
        <w:rPr>
          <w:spacing w:val="-2"/>
        </w:rPr>
        <w:t>Page</w:t>
      </w:r>
      <w:r>
        <w:rPr>
          <w:spacing w:val="-5"/>
        </w:rPr>
        <w:t> </w:t>
      </w:r>
      <w:r>
        <w:rPr>
          <w:spacing w:val="-2"/>
        </w:rPr>
        <w:t>and</w:t>
      </w:r>
      <w:r>
        <w:rPr>
          <w:spacing w:val="-5"/>
        </w:rPr>
        <w:t> </w:t>
      </w:r>
      <w:r>
        <w:rPr>
          <w:spacing w:val="-2"/>
        </w:rPr>
        <w:t>Spark</w:t>
      </w:r>
      <w:r>
        <w:rPr>
          <w:spacing w:val="-9"/>
        </w:rPr>
        <w:t> </w:t>
      </w:r>
      <w:r>
        <w:rPr>
          <w:spacing w:val="-2"/>
        </w:rPr>
        <w:t>Video</w:t>
      </w:r>
      <w:r>
        <w:rPr>
          <w:spacing w:val="-5"/>
        </w:rPr>
        <w:t> </w:t>
      </w:r>
      <w:r>
        <w:rPr>
          <w:spacing w:val="-2"/>
        </w:rPr>
        <w:t>iOS</w:t>
      </w:r>
      <w:r>
        <w:rPr>
          <w:spacing w:val="-5"/>
        </w:rPr>
        <w:t> </w:t>
      </w:r>
      <w:r>
        <w:rPr>
          <w:spacing w:val="-2"/>
        </w:rPr>
        <w:t>mobile </w:t>
      </w:r>
      <w:r>
        <w:rPr/>
        <w:t>apps,</w:t>
      </w:r>
      <w:r>
        <w:rPr>
          <w:spacing w:val="-13"/>
        </w:rPr>
        <w:t> </w:t>
      </w:r>
      <w:r>
        <w:rPr/>
        <w:t>allowing</w:t>
      </w:r>
      <w:r>
        <w:rPr>
          <w:spacing w:val="-12"/>
        </w:rPr>
        <w:t> </w:t>
      </w:r>
      <w:r>
        <w:rPr/>
        <w:t>users</w:t>
      </w:r>
      <w:r>
        <w:rPr>
          <w:spacing w:val="-13"/>
        </w:rPr>
        <w:t> </w:t>
      </w:r>
      <w:r>
        <w:rPr/>
        <w:t>to</w:t>
      </w:r>
      <w:r>
        <w:rPr>
          <w:spacing w:val="-12"/>
        </w:rPr>
        <w:t> </w:t>
      </w:r>
      <w:r>
        <w:rPr/>
        <w:t>create,</w:t>
      </w:r>
      <w:r>
        <w:rPr>
          <w:spacing w:val="-13"/>
        </w:rPr>
        <w:t> </w:t>
      </w:r>
      <w:r>
        <w:rPr/>
        <w:t>edit</w:t>
      </w:r>
      <w:r>
        <w:rPr>
          <w:spacing w:val="-12"/>
        </w:rPr>
        <w:t> </w:t>
      </w:r>
      <w:r>
        <w:rPr/>
        <w:t>and</w:t>
      </w:r>
      <w:r>
        <w:rPr>
          <w:spacing w:val="-13"/>
        </w:rPr>
        <w:t> </w:t>
      </w:r>
      <w:r>
        <w:rPr/>
        <w:t>share</w:t>
      </w:r>
      <w:r>
        <w:rPr>
          <w:spacing w:val="-12"/>
        </w:rPr>
        <w:t> </w:t>
      </w:r>
      <w:r>
        <w:rPr/>
        <w:t>their</w:t>
      </w:r>
      <w:r>
        <w:rPr>
          <w:spacing w:val="-13"/>
        </w:rPr>
        <w:t> </w:t>
      </w:r>
      <w:r>
        <w:rPr/>
        <w:t>story</w:t>
      </w:r>
      <w:r>
        <w:rPr>
          <w:spacing w:val="-12"/>
        </w:rPr>
        <w:t> </w:t>
      </w:r>
      <w:r>
        <w:rPr/>
        <w:t>from</w:t>
      </w:r>
      <w:r>
        <w:rPr>
          <w:spacing w:val="-12"/>
        </w:rPr>
        <w:t> </w:t>
      </w:r>
      <w:r>
        <w:rPr/>
        <w:t>any</w:t>
      </w:r>
      <w:r>
        <w:rPr>
          <w:spacing w:val="-12"/>
        </w:rPr>
        <w:t> </w:t>
      </w:r>
      <w:r>
        <w:rPr/>
        <w:t>location</w:t>
      </w:r>
      <w:r>
        <w:rPr>
          <w:spacing w:val="-12"/>
        </w:rPr>
        <w:t> </w:t>
      </w:r>
      <w:r>
        <w:rPr/>
        <w:t>regardless</w:t>
      </w:r>
      <w:r>
        <w:rPr>
          <w:spacing w:val="-12"/>
        </w:rPr>
        <w:t> </w:t>
      </w:r>
      <w:r>
        <w:rPr/>
        <w:t>of</w:t>
      </w:r>
      <w:r>
        <w:rPr>
          <w:spacing w:val="-12"/>
        </w:rPr>
        <w:t> </w:t>
      </w:r>
      <w:r>
        <w:rPr/>
        <w:t>their</w:t>
      </w:r>
      <w:r>
        <w:rPr>
          <w:spacing w:val="-12"/>
        </w:rPr>
        <w:t> </w:t>
      </w:r>
      <w:r>
        <w:rPr/>
        <w:t>design</w:t>
      </w:r>
      <w:r>
        <w:rPr>
          <w:spacing w:val="-12"/>
        </w:rPr>
        <w:t> </w:t>
      </w:r>
      <w:r>
        <w:rPr/>
        <w:t>experience.</w:t>
      </w:r>
      <w:r>
        <w:rPr>
          <w:spacing w:val="-13"/>
        </w:rPr>
        <w:t> </w:t>
      </w:r>
      <w:r>
        <w:rPr/>
        <w:t>Adobe</w:t>
      </w:r>
      <w:r>
        <w:rPr>
          <w:spacing w:val="-12"/>
        </w:rPr>
        <w:t> </w:t>
      </w:r>
      <w:r>
        <w:rPr/>
        <w:t>Spark</w:t>
      </w:r>
      <w:r>
        <w:rPr>
          <w:spacing w:val="-12"/>
        </w:rPr>
        <w:t> </w:t>
      </w:r>
      <w:r>
        <w:rPr/>
        <w:t>with premium features allows users to apply custom branding to anything they create; the premium product is offered as part of any Creative Cloud plan or as a standalone subscription.</w:t>
      </w:r>
      <w:r>
        <w:rPr>
          <w:spacing w:val="-6"/>
        </w:rPr>
        <w:t> </w:t>
      </w:r>
      <w:r>
        <w:rPr/>
        <w:t>A</w:t>
      </w:r>
      <w:r>
        <w:rPr>
          <w:spacing w:val="-6"/>
        </w:rPr>
        <w:t> </w:t>
      </w:r>
      <w:r>
        <w:rPr/>
        <w:t>free version is also still available to attract new users.</w:t>
      </w:r>
    </w:p>
    <w:p>
      <w:pPr>
        <w:pStyle w:val="Heading3"/>
        <w:spacing w:before="165"/>
        <w:ind w:left="220"/>
      </w:pPr>
      <w:r>
        <w:rPr/>
        <w:t>Acrobat</w:t>
      </w:r>
      <w:r>
        <w:rPr>
          <w:spacing w:val="-1"/>
        </w:rPr>
        <w:t> </w:t>
      </w:r>
      <w:r>
        <w:rPr/>
        <w:t>and</w:t>
      </w:r>
      <w:r>
        <w:rPr>
          <w:spacing w:val="-8"/>
        </w:rPr>
        <w:t> </w:t>
      </w:r>
      <w:r>
        <w:rPr/>
        <w:t>Adobe</w:t>
      </w:r>
      <w:r>
        <w:rPr>
          <w:spacing w:val="-1"/>
        </w:rPr>
        <w:t> </w:t>
      </w:r>
      <w:r>
        <w:rPr/>
        <w:t>Document</w:t>
      </w:r>
      <w:r>
        <w:rPr>
          <w:spacing w:val="-1"/>
        </w:rPr>
        <w:t> </w:t>
      </w:r>
      <w:r>
        <w:rPr>
          <w:spacing w:val="-2"/>
        </w:rPr>
        <w:t>Cloud</w:t>
      </w:r>
    </w:p>
    <w:p>
      <w:pPr>
        <w:pStyle w:val="BodyText"/>
        <w:spacing w:line="249" w:lineRule="auto" w:before="190"/>
        <w:ind w:left="220" w:right="258" w:firstLine="540"/>
        <w:jc w:val="both"/>
      </w:pPr>
      <w:r>
        <w:rPr>
          <w:spacing w:val="-2"/>
        </w:rPr>
        <w:t>Adobe</w:t>
      </w:r>
      <w:r>
        <w:rPr>
          <w:spacing w:val="-10"/>
        </w:rPr>
        <w:t> </w:t>
      </w:r>
      <w:r>
        <w:rPr>
          <w:spacing w:val="-2"/>
        </w:rPr>
        <w:t>Document</w:t>
      </w:r>
      <w:r>
        <w:rPr>
          <w:spacing w:val="-10"/>
        </w:rPr>
        <w:t> </w:t>
      </w:r>
      <w:r>
        <w:rPr>
          <w:spacing w:val="-2"/>
        </w:rPr>
        <w:t>Cloud</w:t>
      </w:r>
      <w:r>
        <w:rPr>
          <w:spacing w:val="-9"/>
        </w:rPr>
        <w:t> </w:t>
      </w:r>
      <w:r>
        <w:rPr>
          <w:spacing w:val="-2"/>
        </w:rPr>
        <w:t>is</w:t>
      </w:r>
      <w:r>
        <w:rPr>
          <w:spacing w:val="-9"/>
        </w:rPr>
        <w:t> </w:t>
      </w:r>
      <w:r>
        <w:rPr>
          <w:spacing w:val="-2"/>
        </w:rPr>
        <w:t>a</w:t>
      </w:r>
      <w:r>
        <w:rPr>
          <w:spacing w:val="-9"/>
        </w:rPr>
        <w:t> </w:t>
      </w:r>
      <w:r>
        <w:rPr>
          <w:spacing w:val="-2"/>
        </w:rPr>
        <w:t>complete</w:t>
      </w:r>
      <w:r>
        <w:rPr>
          <w:spacing w:val="-10"/>
        </w:rPr>
        <w:t> </w:t>
      </w:r>
      <w:r>
        <w:rPr>
          <w:spacing w:val="-2"/>
        </w:rPr>
        <w:t>portfolio</w:t>
      </w:r>
      <w:r>
        <w:rPr>
          <w:spacing w:val="-10"/>
        </w:rPr>
        <w:t> </w:t>
      </w:r>
      <w:r>
        <w:rPr>
          <w:spacing w:val="-2"/>
        </w:rPr>
        <w:t>of</w:t>
      </w:r>
      <w:r>
        <w:rPr>
          <w:spacing w:val="-9"/>
        </w:rPr>
        <w:t> </w:t>
      </w:r>
      <w:r>
        <w:rPr>
          <w:spacing w:val="-2"/>
        </w:rPr>
        <w:t>secure</w:t>
      </w:r>
      <w:r>
        <w:rPr>
          <w:spacing w:val="-10"/>
        </w:rPr>
        <w:t> </w:t>
      </w:r>
      <w:r>
        <w:rPr>
          <w:spacing w:val="-2"/>
        </w:rPr>
        <w:t>digital</w:t>
      </w:r>
      <w:r>
        <w:rPr>
          <w:spacing w:val="-10"/>
        </w:rPr>
        <w:t> </w:t>
      </w:r>
      <w:r>
        <w:rPr>
          <w:spacing w:val="-2"/>
        </w:rPr>
        <w:t>document</w:t>
      </w:r>
      <w:r>
        <w:rPr>
          <w:spacing w:val="-10"/>
        </w:rPr>
        <w:t> </w:t>
      </w:r>
      <w:r>
        <w:rPr>
          <w:spacing w:val="-2"/>
        </w:rPr>
        <w:t>solutions</w:t>
      </w:r>
      <w:r>
        <w:rPr>
          <w:spacing w:val="-9"/>
        </w:rPr>
        <w:t> </w:t>
      </w:r>
      <w:r>
        <w:rPr>
          <w:spacing w:val="-2"/>
        </w:rPr>
        <w:t>that</w:t>
      </w:r>
      <w:r>
        <w:rPr>
          <w:spacing w:val="-10"/>
        </w:rPr>
        <w:t> </w:t>
      </w:r>
      <w:r>
        <w:rPr>
          <w:spacing w:val="-2"/>
        </w:rPr>
        <w:t>speed</w:t>
      </w:r>
      <w:r>
        <w:rPr>
          <w:spacing w:val="-9"/>
        </w:rPr>
        <w:t> </w:t>
      </w:r>
      <w:r>
        <w:rPr>
          <w:spacing w:val="-2"/>
        </w:rPr>
        <w:t>business</w:t>
      </w:r>
      <w:r>
        <w:rPr>
          <w:spacing w:val="-9"/>
        </w:rPr>
        <w:t> </w:t>
      </w:r>
      <w:r>
        <w:rPr>
          <w:spacing w:val="-2"/>
        </w:rPr>
        <w:t>transactions</w:t>
      </w:r>
      <w:r>
        <w:rPr>
          <w:spacing w:val="-9"/>
        </w:rPr>
        <w:t> </w:t>
      </w:r>
      <w:r>
        <w:rPr>
          <w:spacing w:val="-2"/>
        </w:rPr>
        <w:t>through streamlined</w:t>
      </w:r>
      <w:r>
        <w:rPr>
          <w:spacing w:val="-11"/>
        </w:rPr>
        <w:t> </w:t>
      </w:r>
      <w:r>
        <w:rPr>
          <w:spacing w:val="-2"/>
        </w:rPr>
        <w:t>digital</w:t>
      </w:r>
      <w:r>
        <w:rPr>
          <w:spacing w:val="-10"/>
        </w:rPr>
        <w:t> </w:t>
      </w:r>
      <w:r>
        <w:rPr>
          <w:spacing w:val="-2"/>
        </w:rPr>
        <w:t>workflows.</w:t>
      </w:r>
      <w:r>
        <w:rPr>
          <w:spacing w:val="-11"/>
        </w:rPr>
        <w:t> </w:t>
      </w:r>
      <w:r>
        <w:rPr>
          <w:spacing w:val="-2"/>
        </w:rPr>
        <w:t>With</w:t>
      </w:r>
      <w:r>
        <w:rPr>
          <w:spacing w:val="-10"/>
        </w:rPr>
        <w:t> </w:t>
      </w:r>
      <w:r>
        <w:rPr>
          <w:spacing w:val="-2"/>
        </w:rPr>
        <w:t>Adobe</w:t>
      </w:r>
      <w:r>
        <w:rPr>
          <w:spacing w:val="-7"/>
        </w:rPr>
        <w:t> </w:t>
      </w:r>
      <w:r>
        <w:rPr>
          <w:spacing w:val="-2"/>
        </w:rPr>
        <w:t>Document</w:t>
      </w:r>
      <w:r>
        <w:rPr>
          <w:spacing w:val="-8"/>
        </w:rPr>
        <w:t> </w:t>
      </w:r>
      <w:r>
        <w:rPr>
          <w:spacing w:val="-2"/>
        </w:rPr>
        <w:t>Cloud,</w:t>
      </w:r>
      <w:r>
        <w:rPr>
          <w:spacing w:val="-7"/>
        </w:rPr>
        <w:t> </w:t>
      </w:r>
      <w:r>
        <w:rPr>
          <w:spacing w:val="-2"/>
        </w:rPr>
        <w:t>users</w:t>
      </w:r>
      <w:r>
        <w:rPr>
          <w:spacing w:val="-7"/>
        </w:rPr>
        <w:t> </w:t>
      </w:r>
      <w:r>
        <w:rPr>
          <w:spacing w:val="-2"/>
        </w:rPr>
        <w:t>can</w:t>
      </w:r>
      <w:r>
        <w:rPr>
          <w:spacing w:val="-7"/>
        </w:rPr>
        <w:t> </w:t>
      </w:r>
      <w:r>
        <w:rPr>
          <w:spacing w:val="-2"/>
        </w:rPr>
        <w:t>create,</w:t>
      </w:r>
      <w:r>
        <w:rPr>
          <w:spacing w:val="-8"/>
        </w:rPr>
        <w:t> </w:t>
      </w:r>
      <w:r>
        <w:rPr>
          <w:spacing w:val="-2"/>
        </w:rPr>
        <w:t>review,</w:t>
      </w:r>
      <w:r>
        <w:rPr>
          <w:spacing w:val="-7"/>
        </w:rPr>
        <w:t> </w:t>
      </w:r>
      <w:r>
        <w:rPr>
          <w:spacing w:val="-2"/>
        </w:rPr>
        <w:t>approve,</w:t>
      </w:r>
      <w:r>
        <w:rPr>
          <w:spacing w:val="-7"/>
        </w:rPr>
        <w:t> </w:t>
      </w:r>
      <w:r>
        <w:rPr>
          <w:spacing w:val="-2"/>
        </w:rPr>
        <w:t>sign</w:t>
      </w:r>
      <w:r>
        <w:rPr>
          <w:spacing w:val="-7"/>
        </w:rPr>
        <w:t> </w:t>
      </w:r>
      <w:r>
        <w:rPr>
          <w:spacing w:val="-2"/>
        </w:rPr>
        <w:t>and</w:t>
      </w:r>
      <w:r>
        <w:rPr>
          <w:spacing w:val="-7"/>
        </w:rPr>
        <w:t> </w:t>
      </w:r>
      <w:r>
        <w:rPr>
          <w:spacing w:val="-2"/>
        </w:rPr>
        <w:t>track</w:t>
      </w:r>
      <w:r>
        <w:rPr>
          <w:spacing w:val="-7"/>
        </w:rPr>
        <w:t> </w:t>
      </w:r>
      <w:r>
        <w:rPr>
          <w:spacing w:val="-2"/>
        </w:rPr>
        <w:t>documents,</w:t>
      </w:r>
      <w:r>
        <w:rPr>
          <w:spacing w:val="-7"/>
        </w:rPr>
        <w:t> </w:t>
      </w:r>
      <w:r>
        <w:rPr>
          <w:spacing w:val="-2"/>
        </w:rPr>
        <w:t>whether </w:t>
      </w:r>
      <w:r>
        <w:rPr/>
        <w:t>on a desktop or mobile device.</w:t>
      </w:r>
    </w:p>
    <w:p>
      <w:pPr>
        <w:spacing w:after="0" w:line="249" w:lineRule="auto"/>
        <w:jc w:val="both"/>
        <w:sectPr>
          <w:pgSz w:w="12240" w:h="15840"/>
          <w:pgMar w:header="210" w:footer="599" w:top="420" w:bottom="800" w:left="780" w:right="740"/>
        </w:sectPr>
      </w:pPr>
    </w:p>
    <w:p>
      <w:pPr>
        <w:pStyle w:val="BodyText"/>
        <w:spacing w:before="150"/>
      </w:pPr>
    </w:p>
    <w:p>
      <w:pPr>
        <w:pStyle w:val="BodyText"/>
        <w:spacing w:line="249" w:lineRule="auto"/>
        <w:ind w:left="220" w:right="257" w:firstLine="540"/>
        <w:jc w:val="both"/>
      </w:pPr>
      <w:r>
        <w:rPr/>
        <w:t>At the heart of Adobe Document Cloud is Adobe</w:t>
      </w:r>
      <w:r>
        <w:rPr>
          <w:spacing w:val="-1"/>
        </w:rPr>
        <w:t> </w:t>
      </w:r>
      <w:r>
        <w:rPr/>
        <w:t>Acrobat DC, the industry standard for PDF creation and conversion. Acrobat</w:t>
      </w:r>
      <w:r>
        <w:rPr>
          <w:spacing w:val="-10"/>
        </w:rPr>
        <w:t> </w:t>
      </w:r>
      <w:r>
        <w:rPr/>
        <w:t>enables</w:t>
      </w:r>
      <w:r>
        <w:rPr>
          <w:spacing w:val="-6"/>
        </w:rPr>
        <w:t> </w:t>
      </w:r>
      <w:r>
        <w:rPr/>
        <w:t>users</w:t>
      </w:r>
      <w:r>
        <w:rPr>
          <w:spacing w:val="-6"/>
        </w:rPr>
        <w:t> </w:t>
      </w:r>
      <w:r>
        <w:rPr/>
        <w:t>to</w:t>
      </w:r>
      <w:r>
        <w:rPr>
          <w:spacing w:val="-6"/>
        </w:rPr>
        <w:t> </w:t>
      </w:r>
      <w:r>
        <w:rPr/>
        <w:t>create</w:t>
      </w:r>
      <w:r>
        <w:rPr>
          <w:spacing w:val="-6"/>
        </w:rPr>
        <w:t> </w:t>
      </w:r>
      <w:r>
        <w:rPr/>
        <w:t>secure,</w:t>
      </w:r>
      <w:r>
        <w:rPr>
          <w:spacing w:val="-6"/>
        </w:rPr>
        <w:t> </w:t>
      </w:r>
      <w:r>
        <w:rPr/>
        <w:t>reliable</w:t>
      </w:r>
      <w:r>
        <w:rPr>
          <w:spacing w:val="-6"/>
        </w:rPr>
        <w:t> </w:t>
      </w:r>
      <w:r>
        <w:rPr/>
        <w:t>and</w:t>
      </w:r>
      <w:r>
        <w:rPr>
          <w:spacing w:val="-6"/>
        </w:rPr>
        <w:t> </w:t>
      </w:r>
      <w:r>
        <w:rPr/>
        <w:t>compact</w:t>
      </w:r>
      <w:r>
        <w:rPr>
          <w:spacing w:val="-13"/>
        </w:rPr>
        <w:t> </w:t>
      </w:r>
      <w:r>
        <w:rPr/>
        <w:t>Adobe</w:t>
      </w:r>
      <w:r>
        <w:rPr>
          <w:spacing w:val="-6"/>
        </w:rPr>
        <w:t> </w:t>
      </w:r>
      <w:r>
        <w:rPr/>
        <w:t>PDF</w:t>
      </w:r>
      <w:r>
        <w:rPr>
          <w:spacing w:val="-6"/>
        </w:rPr>
        <w:t> </w:t>
      </w:r>
      <w:r>
        <w:rPr/>
        <w:t>documents</w:t>
      </w:r>
      <w:r>
        <w:rPr>
          <w:spacing w:val="-6"/>
        </w:rPr>
        <w:t> </w:t>
      </w:r>
      <w:r>
        <w:rPr/>
        <w:t>from</w:t>
      </w:r>
      <w:r>
        <w:rPr>
          <w:spacing w:val="-6"/>
        </w:rPr>
        <w:t> </w:t>
      </w:r>
      <w:r>
        <w:rPr/>
        <w:t>desktop</w:t>
      </w:r>
      <w:r>
        <w:rPr>
          <w:spacing w:val="-6"/>
        </w:rPr>
        <w:t> </w:t>
      </w:r>
      <w:r>
        <w:rPr/>
        <w:t>authoring</w:t>
      </w:r>
      <w:r>
        <w:rPr>
          <w:spacing w:val="-6"/>
        </w:rPr>
        <w:t> </w:t>
      </w:r>
      <w:r>
        <w:rPr/>
        <w:t>applications</w:t>
      </w:r>
      <w:r>
        <w:rPr>
          <w:spacing w:val="-6"/>
        </w:rPr>
        <w:t> </w:t>
      </w:r>
      <w:r>
        <w:rPr/>
        <w:t>such</w:t>
      </w:r>
      <w:r>
        <w:rPr>
          <w:spacing w:val="-6"/>
        </w:rPr>
        <w:t> </w:t>
      </w:r>
      <w:r>
        <w:rPr/>
        <w:t>as Microsoft</w:t>
      </w:r>
      <w:r>
        <w:rPr>
          <w:spacing w:val="-13"/>
        </w:rPr>
        <w:t> </w:t>
      </w:r>
      <w:r>
        <w:rPr/>
        <w:t>Office</w:t>
      </w:r>
      <w:r>
        <w:rPr>
          <w:spacing w:val="-10"/>
        </w:rPr>
        <w:t> </w:t>
      </w:r>
      <w:r>
        <w:rPr/>
        <w:t>software,</w:t>
      </w:r>
      <w:r>
        <w:rPr>
          <w:spacing w:val="-9"/>
        </w:rPr>
        <w:t> </w:t>
      </w:r>
      <w:r>
        <w:rPr/>
        <w:t>graphics</w:t>
      </w:r>
      <w:r>
        <w:rPr>
          <w:spacing w:val="-9"/>
        </w:rPr>
        <w:t> </w:t>
      </w:r>
      <w:r>
        <w:rPr/>
        <w:t>applications</w:t>
      </w:r>
      <w:r>
        <w:rPr>
          <w:spacing w:val="-9"/>
        </w:rPr>
        <w:t> </w:t>
      </w:r>
      <w:r>
        <w:rPr/>
        <w:t>and</w:t>
      </w:r>
      <w:r>
        <w:rPr>
          <w:spacing w:val="-9"/>
        </w:rPr>
        <w:t> </w:t>
      </w:r>
      <w:r>
        <w:rPr/>
        <w:t>more.</w:t>
      </w:r>
      <w:r>
        <w:rPr>
          <w:spacing w:val="-13"/>
        </w:rPr>
        <w:t> </w:t>
      </w:r>
      <w:r>
        <w:rPr/>
        <w:t>Acrobat</w:t>
      </w:r>
      <w:r>
        <w:rPr>
          <w:spacing w:val="-9"/>
        </w:rPr>
        <w:t> </w:t>
      </w:r>
      <w:r>
        <w:rPr/>
        <w:t>enables</w:t>
      </w:r>
      <w:r>
        <w:rPr>
          <w:spacing w:val="-9"/>
        </w:rPr>
        <w:t> </w:t>
      </w:r>
      <w:r>
        <w:rPr/>
        <w:t>automated</w:t>
      </w:r>
      <w:r>
        <w:rPr>
          <w:spacing w:val="-9"/>
        </w:rPr>
        <w:t> </w:t>
      </w:r>
      <w:r>
        <w:rPr/>
        <w:t>collaborative</w:t>
      </w:r>
      <w:r>
        <w:rPr>
          <w:spacing w:val="-9"/>
        </w:rPr>
        <w:t> </w:t>
      </w:r>
      <w:r>
        <w:rPr/>
        <w:t>workflows</w:t>
      </w:r>
      <w:r>
        <w:rPr>
          <w:spacing w:val="-9"/>
        </w:rPr>
        <w:t> </w:t>
      </w:r>
      <w:r>
        <w:rPr/>
        <w:t>with</w:t>
      </w:r>
      <w:r>
        <w:rPr>
          <w:spacing w:val="-9"/>
        </w:rPr>
        <w:t> </w:t>
      </w:r>
      <w:r>
        <w:rPr/>
        <w:t>a</w:t>
      </w:r>
      <w:r>
        <w:rPr>
          <w:spacing w:val="-9"/>
        </w:rPr>
        <w:t> </w:t>
      </w:r>
      <w:r>
        <w:rPr/>
        <w:t>rich</w:t>
      </w:r>
      <w:r>
        <w:rPr>
          <w:spacing w:val="-9"/>
        </w:rPr>
        <w:t> </w:t>
      </w:r>
      <w:r>
        <w:rPr/>
        <w:t>set</w:t>
      </w:r>
      <w:r>
        <w:rPr>
          <w:spacing w:val="-9"/>
        </w:rPr>
        <w:t> </w:t>
      </w:r>
      <w:r>
        <w:rPr/>
        <w:t>of commenting tools and review tracking features and includes everything needed to create and distribute rich, secure electronic documents that can be viewed easily within leading web browsers or on computer desktops via the free</w:t>
      </w:r>
      <w:r>
        <w:rPr>
          <w:spacing w:val="-9"/>
        </w:rPr>
        <w:t> </w:t>
      </w:r>
      <w:r>
        <w:rPr/>
        <w:t>Adobe</w:t>
      </w:r>
      <w:r>
        <w:rPr>
          <w:spacing w:val="-9"/>
        </w:rPr>
        <w:t> </w:t>
      </w:r>
      <w:r>
        <w:rPr/>
        <w:t>Acrobat Reader </w:t>
      </w:r>
      <w:r>
        <w:rPr>
          <w:spacing w:val="-4"/>
        </w:rPr>
        <w:t>DC.</w:t>
      </w:r>
    </w:p>
    <w:p>
      <w:pPr>
        <w:pStyle w:val="BodyText"/>
        <w:spacing w:line="249" w:lineRule="auto" w:before="165"/>
        <w:ind w:left="220" w:right="257" w:firstLine="540"/>
        <w:jc w:val="both"/>
      </w:pPr>
      <w:r>
        <w:rPr/>
        <w:t>Acrobat</w:t>
      </w:r>
      <w:r>
        <w:rPr>
          <w:spacing w:val="-1"/>
        </w:rPr>
        <w:t> </w:t>
      </w:r>
      <w:r>
        <w:rPr/>
        <w:t>is</w:t>
      </w:r>
      <w:r>
        <w:rPr>
          <w:spacing w:val="-1"/>
        </w:rPr>
        <w:t> </w:t>
      </w:r>
      <w:r>
        <w:rPr/>
        <w:t>available</w:t>
      </w:r>
      <w:r>
        <w:rPr>
          <w:spacing w:val="-1"/>
        </w:rPr>
        <w:t> </w:t>
      </w:r>
      <w:r>
        <w:rPr/>
        <w:t>to</w:t>
      </w:r>
      <w:r>
        <w:rPr>
          <w:spacing w:val="-1"/>
        </w:rPr>
        <w:t> </w:t>
      </w:r>
      <w:r>
        <w:rPr/>
        <w:t>both</w:t>
      </w:r>
      <w:r>
        <w:rPr>
          <w:spacing w:val="-1"/>
        </w:rPr>
        <w:t> </w:t>
      </w:r>
      <w:r>
        <w:rPr/>
        <w:t>Creative</w:t>
      </w:r>
      <w:r>
        <w:rPr>
          <w:spacing w:val="-1"/>
        </w:rPr>
        <w:t> </w:t>
      </w:r>
      <w:r>
        <w:rPr/>
        <w:t>Cloud</w:t>
      </w:r>
      <w:r>
        <w:rPr>
          <w:spacing w:val="-1"/>
        </w:rPr>
        <w:t> </w:t>
      </w:r>
      <w:r>
        <w:rPr/>
        <w:t>and</w:t>
      </w:r>
      <w:r>
        <w:rPr>
          <w:spacing w:val="-1"/>
        </w:rPr>
        <w:t> </w:t>
      </w:r>
      <w:r>
        <w:rPr/>
        <w:t>Document</w:t>
      </w:r>
      <w:r>
        <w:rPr>
          <w:spacing w:val="-1"/>
        </w:rPr>
        <w:t> </w:t>
      </w:r>
      <w:r>
        <w:rPr/>
        <w:t>Cloud</w:t>
      </w:r>
      <w:r>
        <w:rPr>
          <w:spacing w:val="-1"/>
        </w:rPr>
        <w:t> </w:t>
      </w:r>
      <w:r>
        <w:rPr/>
        <w:t>subscribers.</w:t>
      </w:r>
      <w:r>
        <w:rPr>
          <w:spacing w:val="-1"/>
        </w:rPr>
        <w:t> </w:t>
      </w:r>
      <w:r>
        <w:rPr/>
        <w:t>Customers</w:t>
      </w:r>
      <w:r>
        <w:rPr>
          <w:spacing w:val="-1"/>
        </w:rPr>
        <w:t> </w:t>
      </w:r>
      <w:r>
        <w:rPr/>
        <w:t>can</w:t>
      </w:r>
      <w:r>
        <w:rPr>
          <w:spacing w:val="-1"/>
        </w:rPr>
        <w:t> </w:t>
      </w:r>
      <w:r>
        <w:rPr/>
        <w:t>also</w:t>
      </w:r>
      <w:r>
        <w:rPr>
          <w:spacing w:val="-1"/>
        </w:rPr>
        <w:t> </w:t>
      </w:r>
      <w:r>
        <w:rPr/>
        <w:t>license</w:t>
      </w:r>
      <w:r>
        <w:rPr>
          <w:spacing w:val="-13"/>
        </w:rPr>
        <w:t> </w:t>
      </w:r>
      <w:r>
        <w:rPr/>
        <w:t>Acrobat</w:t>
      </w:r>
      <w:r>
        <w:rPr>
          <w:spacing w:val="-1"/>
        </w:rPr>
        <w:t> </w:t>
      </w:r>
      <w:r>
        <w:rPr/>
        <w:t>Pro</w:t>
      </w:r>
      <w:r>
        <w:rPr>
          <w:spacing w:val="-1"/>
        </w:rPr>
        <w:t> </w:t>
      </w:r>
      <w:r>
        <w:rPr/>
        <w:t>or Acrobat</w:t>
      </w:r>
      <w:r>
        <w:rPr>
          <w:spacing w:val="-13"/>
        </w:rPr>
        <w:t> </w:t>
      </w:r>
      <w:r>
        <w:rPr/>
        <w:t>Standard</w:t>
      </w:r>
      <w:r>
        <w:rPr>
          <w:spacing w:val="-12"/>
        </w:rPr>
        <w:t> </w:t>
      </w:r>
      <w:r>
        <w:rPr/>
        <w:t>(which</w:t>
      </w:r>
      <w:r>
        <w:rPr>
          <w:spacing w:val="-13"/>
        </w:rPr>
        <w:t> </w:t>
      </w:r>
      <w:r>
        <w:rPr/>
        <w:t>has</w:t>
      </w:r>
      <w:r>
        <w:rPr>
          <w:spacing w:val="-12"/>
        </w:rPr>
        <w:t> </w:t>
      </w:r>
      <w:r>
        <w:rPr/>
        <w:t>a</w:t>
      </w:r>
      <w:r>
        <w:rPr>
          <w:spacing w:val="-11"/>
        </w:rPr>
        <w:t> </w:t>
      </w:r>
      <w:r>
        <w:rPr/>
        <w:t>subset</w:t>
      </w:r>
      <w:r>
        <w:rPr>
          <w:spacing w:val="-11"/>
        </w:rPr>
        <w:t> </w:t>
      </w:r>
      <w:r>
        <w:rPr/>
        <w:t>of</w:t>
      </w:r>
      <w:r>
        <w:rPr>
          <w:spacing w:val="-13"/>
        </w:rPr>
        <w:t> </w:t>
      </w:r>
      <w:r>
        <w:rPr/>
        <w:t>Acrobat</w:t>
      </w:r>
      <w:r>
        <w:rPr>
          <w:spacing w:val="-11"/>
        </w:rPr>
        <w:t> </w:t>
      </w:r>
      <w:r>
        <w:rPr/>
        <w:t>Pro</w:t>
      </w:r>
      <w:r>
        <w:rPr>
          <w:spacing w:val="-11"/>
        </w:rPr>
        <w:t> </w:t>
      </w:r>
      <w:r>
        <w:rPr/>
        <w:t>features)</w:t>
      </w:r>
      <w:r>
        <w:rPr>
          <w:spacing w:val="-11"/>
        </w:rPr>
        <w:t> </w:t>
      </w:r>
      <w:r>
        <w:rPr/>
        <w:t>as</w:t>
      </w:r>
      <w:r>
        <w:rPr>
          <w:spacing w:val="-11"/>
        </w:rPr>
        <w:t> </w:t>
      </w:r>
      <w:r>
        <w:rPr/>
        <w:t>individual</w:t>
      </w:r>
      <w:r>
        <w:rPr>
          <w:spacing w:val="-11"/>
        </w:rPr>
        <w:t> </w:t>
      </w:r>
      <w:r>
        <w:rPr/>
        <w:t>point</w:t>
      </w:r>
      <w:r>
        <w:rPr>
          <w:spacing w:val="-11"/>
        </w:rPr>
        <w:t> </w:t>
      </w:r>
      <w:r>
        <w:rPr/>
        <w:t>products,</w:t>
      </w:r>
      <w:r>
        <w:rPr>
          <w:spacing w:val="-11"/>
        </w:rPr>
        <w:t> </w:t>
      </w:r>
      <w:r>
        <w:rPr/>
        <w:t>either</w:t>
      </w:r>
      <w:r>
        <w:rPr>
          <w:spacing w:val="-11"/>
        </w:rPr>
        <w:t> </w:t>
      </w:r>
      <w:r>
        <w:rPr/>
        <w:t>as</w:t>
      </w:r>
      <w:r>
        <w:rPr>
          <w:spacing w:val="-11"/>
        </w:rPr>
        <w:t> </w:t>
      </w:r>
      <w:r>
        <w:rPr/>
        <w:t>a</w:t>
      </w:r>
      <w:r>
        <w:rPr>
          <w:spacing w:val="-11"/>
        </w:rPr>
        <w:t> </w:t>
      </w:r>
      <w:r>
        <w:rPr/>
        <w:t>cloud-enabled</w:t>
      </w:r>
      <w:r>
        <w:rPr>
          <w:spacing w:val="-11"/>
        </w:rPr>
        <w:t> </w:t>
      </w:r>
      <w:r>
        <w:rPr/>
        <w:t>subscription or in the form of desktop software.</w:t>
      </w:r>
      <w:r>
        <w:rPr>
          <w:spacing w:val="-7"/>
        </w:rPr>
        <w:t> </w:t>
      </w:r>
      <w:r>
        <w:rPr/>
        <w:t>Acrobat is also available as a free mobile app that allows users to view, annotate, and scan documents.</w:t>
      </w:r>
      <w:r>
        <w:rPr>
          <w:spacing w:val="-13"/>
        </w:rPr>
        <w:t> </w:t>
      </w:r>
      <w:r>
        <w:rPr/>
        <w:t>Acrobat</w:t>
      </w:r>
      <w:r>
        <w:rPr>
          <w:spacing w:val="-12"/>
        </w:rPr>
        <w:t> </w:t>
      </w:r>
      <w:r>
        <w:rPr/>
        <w:t>Reader</w:t>
      </w:r>
      <w:r>
        <w:rPr>
          <w:spacing w:val="-13"/>
        </w:rPr>
        <w:t> </w:t>
      </w:r>
      <w:r>
        <w:rPr/>
        <w:t>is</w:t>
      </w:r>
      <w:r>
        <w:rPr>
          <w:spacing w:val="-12"/>
        </w:rPr>
        <w:t> </w:t>
      </w:r>
      <w:r>
        <w:rPr/>
        <w:t>our</w:t>
      </w:r>
      <w:r>
        <w:rPr>
          <w:spacing w:val="-11"/>
        </w:rPr>
        <w:t> </w:t>
      </w:r>
      <w:r>
        <w:rPr/>
        <w:t>free</w:t>
      </w:r>
      <w:r>
        <w:rPr>
          <w:spacing w:val="-9"/>
        </w:rPr>
        <w:t> </w:t>
      </w:r>
      <w:r>
        <w:rPr/>
        <w:t>software</w:t>
      </w:r>
      <w:r>
        <w:rPr>
          <w:spacing w:val="-9"/>
        </w:rPr>
        <w:t> </w:t>
      </w:r>
      <w:r>
        <w:rPr/>
        <w:t>for</w:t>
      </w:r>
      <w:r>
        <w:rPr>
          <w:spacing w:val="-9"/>
        </w:rPr>
        <w:t> </w:t>
      </w:r>
      <w:r>
        <w:rPr/>
        <w:t>reliable</w:t>
      </w:r>
      <w:r>
        <w:rPr>
          <w:spacing w:val="-10"/>
        </w:rPr>
        <w:t> </w:t>
      </w:r>
      <w:r>
        <w:rPr/>
        <w:t>viewing,</w:t>
      </w:r>
      <w:r>
        <w:rPr>
          <w:spacing w:val="-9"/>
        </w:rPr>
        <w:t> </w:t>
      </w:r>
      <w:r>
        <w:rPr/>
        <w:t>searching,</w:t>
      </w:r>
      <w:r>
        <w:rPr>
          <w:spacing w:val="-9"/>
        </w:rPr>
        <w:t> </w:t>
      </w:r>
      <w:r>
        <w:rPr/>
        <w:t>reviewing</w:t>
      </w:r>
      <w:r>
        <w:rPr>
          <w:spacing w:val="-9"/>
        </w:rPr>
        <w:t> </w:t>
      </w:r>
      <w:r>
        <w:rPr/>
        <w:t>and</w:t>
      </w:r>
      <w:r>
        <w:rPr>
          <w:spacing w:val="-9"/>
        </w:rPr>
        <w:t> </w:t>
      </w:r>
      <w:r>
        <w:rPr/>
        <w:t>printing</w:t>
      </w:r>
      <w:r>
        <w:rPr>
          <w:spacing w:val="-9"/>
        </w:rPr>
        <w:t> </w:t>
      </w:r>
      <w:r>
        <w:rPr/>
        <w:t>of</w:t>
      </w:r>
      <w:r>
        <w:rPr>
          <w:spacing w:val="-13"/>
        </w:rPr>
        <w:t> </w:t>
      </w:r>
      <w:r>
        <w:rPr/>
        <w:t>Adobe</w:t>
      </w:r>
      <w:r>
        <w:rPr>
          <w:spacing w:val="-9"/>
        </w:rPr>
        <w:t> </w:t>
      </w:r>
      <w:r>
        <w:rPr/>
        <w:t>PDF</w:t>
      </w:r>
      <w:r>
        <w:rPr>
          <w:spacing w:val="-9"/>
        </w:rPr>
        <w:t> </w:t>
      </w:r>
      <w:r>
        <w:rPr/>
        <w:t>documents on</w:t>
      </w:r>
      <w:r>
        <w:rPr>
          <w:spacing w:val="-13"/>
        </w:rPr>
        <w:t> </w:t>
      </w:r>
      <w:r>
        <w:rPr/>
        <w:t>a</w:t>
      </w:r>
      <w:r>
        <w:rPr>
          <w:spacing w:val="-12"/>
        </w:rPr>
        <w:t> </w:t>
      </w:r>
      <w:r>
        <w:rPr/>
        <w:t>variety</w:t>
      </w:r>
      <w:r>
        <w:rPr>
          <w:spacing w:val="-13"/>
        </w:rPr>
        <w:t> </w:t>
      </w:r>
      <w:r>
        <w:rPr/>
        <w:t>of</w:t>
      </w:r>
      <w:r>
        <w:rPr>
          <w:spacing w:val="-12"/>
        </w:rPr>
        <w:t> </w:t>
      </w:r>
      <w:r>
        <w:rPr/>
        <w:t>hardware</w:t>
      </w:r>
      <w:r>
        <w:rPr>
          <w:spacing w:val="-13"/>
        </w:rPr>
        <w:t> </w:t>
      </w:r>
      <w:r>
        <w:rPr/>
        <w:t>and</w:t>
      </w:r>
      <w:r>
        <w:rPr>
          <w:spacing w:val="-12"/>
        </w:rPr>
        <w:t> </w:t>
      </w:r>
      <w:r>
        <w:rPr/>
        <w:t>operating</w:t>
      </w:r>
      <w:r>
        <w:rPr>
          <w:spacing w:val="-13"/>
        </w:rPr>
        <w:t> </w:t>
      </w:r>
      <w:r>
        <w:rPr/>
        <w:t>system</w:t>
      </w:r>
      <w:r>
        <w:rPr>
          <w:spacing w:val="-12"/>
        </w:rPr>
        <w:t> </w:t>
      </w:r>
      <w:r>
        <w:rPr/>
        <w:t>platforms.</w:t>
      </w:r>
      <w:r>
        <w:rPr>
          <w:spacing w:val="-11"/>
        </w:rPr>
        <w:t> </w:t>
      </w:r>
      <w:r>
        <w:rPr/>
        <w:t>Users</w:t>
      </w:r>
      <w:r>
        <w:rPr>
          <w:spacing w:val="-11"/>
        </w:rPr>
        <w:t> </w:t>
      </w:r>
      <w:r>
        <w:rPr/>
        <w:t>of</w:t>
      </w:r>
      <w:r>
        <w:rPr>
          <w:spacing w:val="-11"/>
        </w:rPr>
        <w:t> </w:t>
      </w:r>
      <w:r>
        <w:rPr/>
        <w:t>both</w:t>
      </w:r>
      <w:r>
        <w:rPr>
          <w:spacing w:val="-13"/>
        </w:rPr>
        <w:t> </w:t>
      </w:r>
      <w:r>
        <w:rPr/>
        <w:t>Acrobat</w:t>
      </w:r>
      <w:r>
        <w:rPr>
          <w:spacing w:val="-11"/>
        </w:rPr>
        <w:t> </w:t>
      </w:r>
      <w:r>
        <w:rPr/>
        <w:t>and</w:t>
      </w:r>
      <w:r>
        <w:rPr>
          <w:spacing w:val="-13"/>
        </w:rPr>
        <w:t> </w:t>
      </w:r>
      <w:r>
        <w:rPr/>
        <w:t>Acrobat</w:t>
      </w:r>
      <w:r>
        <w:rPr>
          <w:spacing w:val="-11"/>
        </w:rPr>
        <w:t> </w:t>
      </w:r>
      <w:r>
        <w:rPr/>
        <w:t>Reader</w:t>
      </w:r>
      <w:r>
        <w:rPr>
          <w:spacing w:val="-12"/>
        </w:rPr>
        <w:t> </w:t>
      </w:r>
      <w:r>
        <w:rPr/>
        <w:t>can</w:t>
      </w:r>
      <w:r>
        <w:rPr>
          <w:spacing w:val="-11"/>
        </w:rPr>
        <w:t> </w:t>
      </w:r>
      <w:r>
        <w:rPr/>
        <w:t>also</w:t>
      </w:r>
      <w:r>
        <w:rPr>
          <w:spacing w:val="-11"/>
        </w:rPr>
        <w:t> </w:t>
      </w:r>
      <w:r>
        <w:rPr/>
        <w:t>access,</w:t>
      </w:r>
      <w:r>
        <w:rPr>
          <w:spacing w:val="-11"/>
        </w:rPr>
        <w:t> </w:t>
      </w:r>
      <w:r>
        <w:rPr/>
        <w:t>edit</w:t>
      </w:r>
      <w:r>
        <w:rPr>
          <w:spacing w:val="-11"/>
        </w:rPr>
        <w:t> </w:t>
      </w:r>
      <w:r>
        <w:rPr/>
        <w:t>and</w:t>
      </w:r>
      <w:r>
        <w:rPr>
          <w:spacing w:val="-11"/>
        </w:rPr>
        <w:t> </w:t>
      </w:r>
      <w:r>
        <w:rPr/>
        <w:t>save changes to their PDF files stored on the Dropbox website or mobile app.</w:t>
      </w:r>
    </w:p>
    <w:p>
      <w:pPr>
        <w:pStyle w:val="BodyText"/>
        <w:spacing w:line="249" w:lineRule="auto" w:before="165"/>
        <w:ind w:left="220" w:right="257" w:firstLine="540"/>
        <w:jc w:val="both"/>
      </w:pPr>
      <w:r>
        <w:rPr/>
        <w:t>Adobe</w:t>
      </w:r>
      <w:r>
        <w:rPr>
          <w:spacing w:val="-10"/>
        </w:rPr>
        <w:t> </w:t>
      </w:r>
      <w:r>
        <w:rPr/>
        <w:t>Scan</w:t>
      </w:r>
      <w:r>
        <w:rPr>
          <w:spacing w:val="-10"/>
        </w:rPr>
        <w:t> </w:t>
      </w:r>
      <w:r>
        <w:rPr/>
        <w:t>can</w:t>
      </w:r>
      <w:r>
        <w:rPr>
          <w:spacing w:val="-10"/>
        </w:rPr>
        <w:t> </w:t>
      </w:r>
      <w:r>
        <w:rPr/>
        <w:t>be</w:t>
      </w:r>
      <w:r>
        <w:rPr>
          <w:spacing w:val="-10"/>
        </w:rPr>
        <w:t> </w:t>
      </w:r>
      <w:r>
        <w:rPr/>
        <w:t>used</w:t>
      </w:r>
      <w:r>
        <w:rPr>
          <w:spacing w:val="-10"/>
        </w:rPr>
        <w:t> </w:t>
      </w:r>
      <w:r>
        <w:rPr/>
        <w:t>on</w:t>
      </w:r>
      <w:r>
        <w:rPr>
          <w:spacing w:val="-10"/>
        </w:rPr>
        <w:t> </w:t>
      </w:r>
      <w:r>
        <w:rPr/>
        <w:t>mobile</w:t>
      </w:r>
      <w:r>
        <w:rPr>
          <w:spacing w:val="-11"/>
        </w:rPr>
        <w:t> </w:t>
      </w:r>
      <w:r>
        <w:rPr/>
        <w:t>devices</w:t>
      </w:r>
      <w:r>
        <w:rPr>
          <w:spacing w:val="-10"/>
        </w:rPr>
        <w:t> </w:t>
      </w:r>
      <w:r>
        <w:rPr/>
        <w:t>to</w:t>
      </w:r>
      <w:r>
        <w:rPr>
          <w:spacing w:val="-10"/>
        </w:rPr>
        <w:t> </w:t>
      </w:r>
      <w:r>
        <w:rPr/>
        <w:t>provide</w:t>
      </w:r>
      <w:r>
        <w:rPr>
          <w:spacing w:val="-10"/>
        </w:rPr>
        <w:t> </w:t>
      </w:r>
      <w:r>
        <w:rPr/>
        <w:t>scanning</w:t>
      </w:r>
      <w:r>
        <w:rPr>
          <w:spacing w:val="-10"/>
        </w:rPr>
        <w:t> </w:t>
      </w:r>
      <w:r>
        <w:rPr/>
        <w:t>capabilities</w:t>
      </w:r>
      <w:r>
        <w:rPr>
          <w:spacing w:val="-10"/>
        </w:rPr>
        <w:t> </w:t>
      </w:r>
      <w:r>
        <w:rPr/>
        <w:t>in</w:t>
      </w:r>
      <w:r>
        <w:rPr>
          <w:spacing w:val="-10"/>
        </w:rPr>
        <w:t> </w:t>
      </w:r>
      <w:r>
        <w:rPr/>
        <w:t>the</w:t>
      </w:r>
      <w:r>
        <w:rPr>
          <w:spacing w:val="-10"/>
        </w:rPr>
        <w:t> </w:t>
      </w:r>
      <w:r>
        <w:rPr/>
        <w:t>pocket</w:t>
      </w:r>
      <w:r>
        <w:rPr>
          <w:spacing w:val="-11"/>
        </w:rPr>
        <w:t> </w:t>
      </w:r>
      <w:r>
        <w:rPr/>
        <w:t>of</w:t>
      </w:r>
      <w:r>
        <w:rPr>
          <w:spacing w:val="-10"/>
        </w:rPr>
        <w:t> </w:t>
      </w:r>
      <w:r>
        <w:rPr/>
        <w:t>every</w:t>
      </w:r>
      <w:r>
        <w:rPr>
          <w:spacing w:val="-10"/>
        </w:rPr>
        <w:t> </w:t>
      </w:r>
      <w:r>
        <w:rPr/>
        <w:t>person.</w:t>
      </w:r>
      <w:r>
        <w:rPr>
          <w:spacing w:val="-10"/>
        </w:rPr>
        <w:t> </w:t>
      </w:r>
      <w:r>
        <w:rPr/>
        <w:t>It</w:t>
      </w:r>
      <w:r>
        <w:rPr>
          <w:spacing w:val="-10"/>
        </w:rPr>
        <w:t> </w:t>
      </w:r>
      <w:r>
        <w:rPr/>
        <w:t>captures</w:t>
      </w:r>
      <w:r>
        <w:rPr>
          <w:spacing w:val="-10"/>
        </w:rPr>
        <w:t> </w:t>
      </w:r>
      <w:r>
        <w:rPr/>
        <w:t>paper documents</w:t>
      </w:r>
      <w:r>
        <w:rPr>
          <w:spacing w:val="-5"/>
        </w:rPr>
        <w:t> </w:t>
      </w:r>
      <w:r>
        <w:rPr/>
        <w:t>as</w:t>
      </w:r>
      <w:r>
        <w:rPr>
          <w:spacing w:val="-5"/>
        </w:rPr>
        <w:t> </w:t>
      </w:r>
      <w:r>
        <w:rPr/>
        <w:t>images</w:t>
      </w:r>
      <w:r>
        <w:rPr>
          <w:spacing w:val="-5"/>
        </w:rPr>
        <w:t> </w:t>
      </w:r>
      <w:r>
        <w:rPr/>
        <w:t>and</w:t>
      </w:r>
      <w:r>
        <w:rPr>
          <w:spacing w:val="-5"/>
        </w:rPr>
        <w:t> </w:t>
      </w:r>
      <w:r>
        <w:rPr/>
        <w:t>transforms</w:t>
      </w:r>
      <w:r>
        <w:rPr>
          <w:spacing w:val="-5"/>
        </w:rPr>
        <w:t> </w:t>
      </w:r>
      <w:r>
        <w:rPr/>
        <w:t>them</w:t>
      </w:r>
      <w:r>
        <w:rPr>
          <w:spacing w:val="-5"/>
        </w:rPr>
        <w:t> </w:t>
      </w:r>
      <w:r>
        <w:rPr/>
        <w:t>into</w:t>
      </w:r>
      <w:r>
        <w:rPr>
          <w:spacing w:val="-5"/>
        </w:rPr>
        <w:t> </w:t>
      </w:r>
      <w:r>
        <w:rPr/>
        <w:t>full-featured</w:t>
      </w:r>
      <w:r>
        <w:rPr>
          <w:spacing w:val="-5"/>
        </w:rPr>
        <w:t> </w:t>
      </w:r>
      <w:r>
        <w:rPr/>
        <w:t>and</w:t>
      </w:r>
      <w:r>
        <w:rPr>
          <w:spacing w:val="-5"/>
        </w:rPr>
        <w:t> </w:t>
      </w:r>
      <w:r>
        <w:rPr/>
        <w:t>versatile</w:t>
      </w:r>
      <w:r>
        <w:rPr>
          <w:spacing w:val="-5"/>
        </w:rPr>
        <w:t> </w:t>
      </w:r>
      <w:r>
        <w:rPr/>
        <w:t>PDFs</w:t>
      </w:r>
      <w:r>
        <w:rPr>
          <w:spacing w:val="-5"/>
        </w:rPr>
        <w:t> </w:t>
      </w:r>
      <w:r>
        <w:rPr/>
        <w:t>via</w:t>
      </w:r>
      <w:r>
        <w:rPr>
          <w:spacing w:val="-5"/>
        </w:rPr>
        <w:t> </w:t>
      </w:r>
      <w:r>
        <w:rPr/>
        <w:t>Document</w:t>
      </w:r>
      <w:r>
        <w:rPr>
          <w:spacing w:val="-5"/>
        </w:rPr>
        <w:t> </w:t>
      </w:r>
      <w:r>
        <w:rPr/>
        <w:t>Cloud</w:t>
      </w:r>
      <w:r>
        <w:rPr>
          <w:spacing w:val="-5"/>
        </w:rPr>
        <w:t> </w:t>
      </w:r>
      <w:r>
        <w:rPr/>
        <w:t>services</w:t>
      </w:r>
      <w:r>
        <w:rPr>
          <w:spacing w:val="-5"/>
        </w:rPr>
        <w:t> </w:t>
      </w:r>
      <w:r>
        <w:rPr/>
        <w:t>for</w:t>
      </w:r>
      <w:r>
        <w:rPr>
          <w:spacing w:val="-5"/>
        </w:rPr>
        <w:t> </w:t>
      </w:r>
      <w:r>
        <w:rPr/>
        <w:t>instant</w:t>
      </w:r>
      <w:r>
        <w:rPr>
          <w:spacing w:val="-5"/>
        </w:rPr>
        <w:t> </w:t>
      </w:r>
      <w:r>
        <w:rPr/>
        <w:t>sharing with others.</w:t>
      </w:r>
    </w:p>
    <w:p>
      <w:pPr>
        <w:pStyle w:val="BodyText"/>
        <w:spacing w:line="254" w:lineRule="auto" w:before="162"/>
        <w:ind w:left="220" w:right="257" w:firstLine="540"/>
        <w:jc w:val="both"/>
      </w:pPr>
      <w:r>
        <w:rPr>
          <w:spacing w:val="-4"/>
        </w:rPr>
        <w:t>Our</w:t>
      </w:r>
      <w:r>
        <w:rPr>
          <w:spacing w:val="-9"/>
        </w:rPr>
        <w:t> </w:t>
      </w:r>
      <w:r>
        <w:rPr>
          <w:spacing w:val="-4"/>
        </w:rPr>
        <w:t>Adobe</w:t>
      </w:r>
      <w:r>
        <w:rPr>
          <w:spacing w:val="-6"/>
        </w:rPr>
        <w:t> </w:t>
      </w:r>
      <w:r>
        <w:rPr>
          <w:spacing w:val="-4"/>
        </w:rPr>
        <w:t>Sign e-signature services, which can be accessed as part of Document Cloud, allow users to securely electronically </w:t>
      </w:r>
      <w:r>
        <w:rPr/>
        <w:t>send</w:t>
      </w:r>
      <w:r>
        <w:rPr>
          <w:spacing w:val="-1"/>
        </w:rPr>
        <w:t> </w:t>
      </w:r>
      <w:r>
        <w:rPr/>
        <w:t>and</w:t>
      </w:r>
      <w:r>
        <w:rPr>
          <w:spacing w:val="-1"/>
        </w:rPr>
        <w:t> </w:t>
      </w:r>
      <w:r>
        <w:rPr/>
        <w:t>sign any</w:t>
      </w:r>
      <w:r>
        <w:rPr>
          <w:spacing w:val="-1"/>
        </w:rPr>
        <w:t> </w:t>
      </w:r>
      <w:r>
        <w:rPr/>
        <w:t>document</w:t>
      </w:r>
      <w:r>
        <w:rPr>
          <w:spacing w:val="-1"/>
        </w:rPr>
        <w:t> </w:t>
      </w:r>
      <w:r>
        <w:rPr/>
        <w:t>from</w:t>
      </w:r>
      <w:r>
        <w:rPr>
          <w:spacing w:val="-1"/>
        </w:rPr>
        <w:t> </w:t>
      </w:r>
      <w:r>
        <w:rPr/>
        <w:t>any</w:t>
      </w:r>
      <w:r>
        <w:rPr>
          <w:spacing w:val="-1"/>
        </w:rPr>
        <w:t> </w:t>
      </w:r>
      <w:r>
        <w:rPr/>
        <w:t>device.</w:t>
      </w:r>
      <w:r>
        <w:rPr>
          <w:spacing w:val="-11"/>
        </w:rPr>
        <w:t> </w:t>
      </w:r>
      <w:r>
        <w:rPr/>
        <w:t>Adobe</w:t>
      </w:r>
      <w:r>
        <w:rPr>
          <w:spacing w:val="-1"/>
        </w:rPr>
        <w:t> </w:t>
      </w:r>
      <w:r>
        <w:rPr/>
        <w:t>Sign has</w:t>
      </w:r>
      <w:r>
        <w:rPr>
          <w:spacing w:val="-1"/>
        </w:rPr>
        <w:t> </w:t>
      </w:r>
      <w:r>
        <w:rPr/>
        <w:t>a</w:t>
      </w:r>
      <w:r>
        <w:rPr>
          <w:spacing w:val="-1"/>
        </w:rPr>
        <w:t> </w:t>
      </w:r>
      <w:r>
        <w:rPr/>
        <w:t>mobile</w:t>
      </w:r>
      <w:r>
        <w:rPr>
          <w:spacing w:val="-1"/>
        </w:rPr>
        <w:t> </w:t>
      </w:r>
      <w:r>
        <w:rPr/>
        <w:t>app</w:t>
      </w:r>
      <w:r>
        <w:rPr>
          <w:spacing w:val="-1"/>
        </w:rPr>
        <w:t> </w:t>
      </w:r>
      <w:r>
        <w:rPr/>
        <w:t>companion</w:t>
      </w:r>
      <w:r>
        <w:rPr>
          <w:spacing w:val="-1"/>
        </w:rPr>
        <w:t> </w:t>
      </w:r>
      <w:r>
        <w:rPr/>
        <w:t>allowing</w:t>
      </w:r>
      <w:r>
        <w:rPr>
          <w:spacing w:val="-1"/>
        </w:rPr>
        <w:t> </w:t>
      </w:r>
      <w:r>
        <w:rPr/>
        <w:t>users to</w:t>
      </w:r>
      <w:r>
        <w:rPr>
          <w:spacing w:val="-1"/>
        </w:rPr>
        <w:t> </w:t>
      </w:r>
      <w:r>
        <w:rPr/>
        <w:t>e-sign</w:t>
      </w:r>
      <w:r>
        <w:rPr>
          <w:spacing w:val="-1"/>
        </w:rPr>
        <w:t> </w:t>
      </w:r>
      <w:r>
        <w:rPr/>
        <w:t>documents and forms,</w:t>
      </w:r>
      <w:r>
        <w:rPr>
          <w:spacing w:val="-13"/>
        </w:rPr>
        <w:t> </w:t>
      </w:r>
      <w:r>
        <w:rPr/>
        <w:t>send</w:t>
      </w:r>
      <w:r>
        <w:rPr>
          <w:spacing w:val="-12"/>
        </w:rPr>
        <w:t> </w:t>
      </w:r>
      <w:r>
        <w:rPr/>
        <w:t>them</w:t>
      </w:r>
      <w:r>
        <w:rPr>
          <w:spacing w:val="-13"/>
        </w:rPr>
        <w:t> </w:t>
      </w:r>
      <w:r>
        <w:rPr/>
        <w:t>for</w:t>
      </w:r>
      <w:r>
        <w:rPr>
          <w:spacing w:val="-12"/>
        </w:rPr>
        <w:t> </w:t>
      </w:r>
      <w:r>
        <w:rPr/>
        <w:t>signature,</w:t>
      </w:r>
      <w:r>
        <w:rPr>
          <w:spacing w:val="-13"/>
        </w:rPr>
        <w:t> </w:t>
      </w:r>
      <w:r>
        <w:rPr/>
        <w:t>track</w:t>
      </w:r>
      <w:r>
        <w:rPr>
          <w:spacing w:val="-12"/>
        </w:rPr>
        <w:t> </w:t>
      </w:r>
      <w:r>
        <w:rPr/>
        <w:t>responses</w:t>
      </w:r>
      <w:r>
        <w:rPr>
          <w:spacing w:val="-13"/>
        </w:rPr>
        <w:t> </w:t>
      </w:r>
      <w:r>
        <w:rPr/>
        <w:t>in</w:t>
      </w:r>
      <w:r>
        <w:rPr>
          <w:spacing w:val="-12"/>
        </w:rPr>
        <w:t> </w:t>
      </w:r>
      <w:r>
        <w:rPr/>
        <w:t>real-time,</w:t>
      </w:r>
      <w:r>
        <w:rPr>
          <w:spacing w:val="-13"/>
        </w:rPr>
        <w:t> </w:t>
      </w:r>
      <w:r>
        <w:rPr/>
        <w:t>and</w:t>
      </w:r>
      <w:r>
        <w:rPr>
          <w:spacing w:val="-12"/>
        </w:rPr>
        <w:t> </w:t>
      </w:r>
      <w:r>
        <w:rPr/>
        <w:t>obtain</w:t>
      </w:r>
      <w:r>
        <w:rPr>
          <w:spacing w:val="-13"/>
        </w:rPr>
        <w:t> </w:t>
      </w:r>
      <w:r>
        <w:rPr/>
        <w:t>instant</w:t>
      </w:r>
      <w:r>
        <w:rPr>
          <w:spacing w:val="-12"/>
        </w:rPr>
        <w:t> </w:t>
      </w:r>
      <w:r>
        <w:rPr/>
        <w:t>signatures</w:t>
      </w:r>
      <w:r>
        <w:rPr>
          <w:spacing w:val="-13"/>
        </w:rPr>
        <w:t> </w:t>
      </w:r>
      <w:r>
        <w:rPr/>
        <w:t>with</w:t>
      </w:r>
      <w:r>
        <w:rPr>
          <w:spacing w:val="-12"/>
        </w:rPr>
        <w:t> </w:t>
      </w:r>
      <w:r>
        <w:rPr/>
        <w:t>in-person</w:t>
      </w:r>
      <w:r>
        <w:rPr>
          <w:spacing w:val="-13"/>
        </w:rPr>
        <w:t> </w:t>
      </w:r>
      <w:r>
        <w:rPr/>
        <w:t>signing.</w:t>
      </w:r>
      <w:r>
        <w:rPr>
          <w:spacing w:val="-12"/>
        </w:rPr>
        <w:t> </w:t>
      </w:r>
      <w:r>
        <w:rPr/>
        <w:t>It</w:t>
      </w:r>
      <w:r>
        <w:rPr>
          <w:spacing w:val="-13"/>
        </w:rPr>
        <w:t> </w:t>
      </w:r>
      <w:r>
        <w:rPr/>
        <w:t>integrates</w:t>
      </w:r>
      <w:r>
        <w:rPr>
          <w:spacing w:val="-12"/>
        </w:rPr>
        <w:t> </w:t>
      </w:r>
      <w:r>
        <w:rPr/>
        <w:t>with users’</w:t>
      </w:r>
      <w:r>
        <w:rPr>
          <w:spacing w:val="-4"/>
        </w:rPr>
        <w:t> </w:t>
      </w:r>
      <w:r>
        <w:rPr/>
        <w:t>enterprise systems through a comprehensive set of applicable programming interfaces, and</w:t>
      </w:r>
      <w:r>
        <w:rPr>
          <w:spacing w:val="-3"/>
        </w:rPr>
        <w:t> </w:t>
      </w:r>
      <w:r>
        <w:rPr/>
        <w:t>Adobe Experience Manager Forms</w:t>
      </w:r>
      <w:r>
        <w:rPr>
          <w:spacing w:val="-6"/>
        </w:rPr>
        <w:t> </w:t>
      </w:r>
      <w:r>
        <w:rPr/>
        <w:t>and</w:t>
      </w:r>
      <w:r>
        <w:rPr>
          <w:spacing w:val="-13"/>
        </w:rPr>
        <w:t> </w:t>
      </w:r>
      <w:r>
        <w:rPr/>
        <w:t>Advanced</w:t>
      </w:r>
      <w:r>
        <w:rPr>
          <w:spacing w:val="-6"/>
        </w:rPr>
        <w:t> </w:t>
      </w:r>
      <w:r>
        <w:rPr/>
        <w:t>Workflows</w:t>
      </w:r>
      <w:r>
        <w:rPr>
          <w:spacing w:val="-4"/>
        </w:rPr>
        <w:t> </w:t>
      </w:r>
      <w:r>
        <w:rPr/>
        <w:t>for</w:t>
      </w:r>
      <w:r>
        <w:rPr>
          <w:spacing w:val="-13"/>
        </w:rPr>
        <w:t> </w:t>
      </w:r>
      <w:r>
        <w:rPr/>
        <w:t>Adobe</w:t>
      </w:r>
      <w:r>
        <w:rPr>
          <w:spacing w:val="-3"/>
        </w:rPr>
        <w:t> </w:t>
      </w:r>
      <w:r>
        <w:rPr/>
        <w:t>Sign</w:t>
      </w:r>
      <w:r>
        <w:rPr>
          <w:spacing w:val="-4"/>
        </w:rPr>
        <w:t> </w:t>
      </w:r>
      <w:r>
        <w:rPr/>
        <w:t>to</w:t>
      </w:r>
      <w:r>
        <w:rPr>
          <w:spacing w:val="-4"/>
        </w:rPr>
        <w:t> </w:t>
      </w:r>
      <w:r>
        <w:rPr/>
        <w:t>create</w:t>
      </w:r>
      <w:r>
        <w:rPr>
          <w:spacing w:val="-4"/>
        </w:rPr>
        <w:t> </w:t>
      </w:r>
      <w:r>
        <w:rPr/>
        <w:t>forms</w:t>
      </w:r>
      <w:r>
        <w:rPr>
          <w:spacing w:val="-4"/>
        </w:rPr>
        <w:t> </w:t>
      </w:r>
      <w:r>
        <w:rPr/>
        <w:t>and</w:t>
      </w:r>
      <w:r>
        <w:rPr>
          <w:spacing w:val="-4"/>
        </w:rPr>
        <w:t> </w:t>
      </w:r>
      <w:r>
        <w:rPr/>
        <w:t>provide</w:t>
      </w:r>
      <w:r>
        <w:rPr>
          <w:spacing w:val="-4"/>
        </w:rPr>
        <w:t> </w:t>
      </w:r>
      <w:r>
        <w:rPr/>
        <w:t>seamless</w:t>
      </w:r>
      <w:r>
        <w:rPr>
          <w:spacing w:val="-4"/>
        </w:rPr>
        <w:t> </w:t>
      </w:r>
      <w:r>
        <w:rPr/>
        <w:t>experiences</w:t>
      </w:r>
      <w:r>
        <w:rPr>
          <w:spacing w:val="-3"/>
        </w:rPr>
        <w:t> </w:t>
      </w:r>
      <w:r>
        <w:rPr/>
        <w:t>to</w:t>
      </w:r>
      <w:r>
        <w:rPr>
          <w:spacing w:val="-4"/>
        </w:rPr>
        <w:t> </w:t>
      </w:r>
      <w:r>
        <w:rPr/>
        <w:t>customers</w:t>
      </w:r>
      <w:r>
        <w:rPr>
          <w:spacing w:val="-4"/>
        </w:rPr>
        <w:t> </w:t>
      </w:r>
      <w:r>
        <w:rPr/>
        <w:t>across</w:t>
      </w:r>
      <w:r>
        <w:rPr>
          <w:spacing w:val="-4"/>
        </w:rPr>
        <w:t> </w:t>
      </w:r>
      <w:r>
        <w:rPr/>
        <w:t>web</w:t>
      </w:r>
      <w:r>
        <w:rPr>
          <w:spacing w:val="-4"/>
        </w:rPr>
        <w:t> </w:t>
      </w:r>
      <w:r>
        <w:rPr/>
        <w:t>and mobile</w:t>
      </w:r>
      <w:r>
        <w:rPr>
          <w:spacing w:val="-13"/>
        </w:rPr>
        <w:t> </w:t>
      </w:r>
      <w:r>
        <w:rPr/>
        <w:t>sites.</w:t>
      </w:r>
      <w:r>
        <w:rPr>
          <w:spacing w:val="-12"/>
        </w:rPr>
        <w:t> </w:t>
      </w:r>
      <w:r>
        <w:rPr/>
        <w:t>Adobe</w:t>
      </w:r>
      <w:r>
        <w:rPr>
          <w:spacing w:val="-13"/>
        </w:rPr>
        <w:t> </w:t>
      </w:r>
      <w:r>
        <w:rPr/>
        <w:t>Sign</w:t>
      </w:r>
      <w:r>
        <w:rPr>
          <w:spacing w:val="-12"/>
        </w:rPr>
        <w:t> </w:t>
      </w:r>
      <w:r>
        <w:rPr/>
        <w:t>is</w:t>
      </w:r>
      <w:r>
        <w:rPr>
          <w:spacing w:val="-13"/>
        </w:rPr>
        <w:t> </w:t>
      </w:r>
      <w:r>
        <w:rPr/>
        <w:t>Microsoft’s</w:t>
      </w:r>
      <w:r>
        <w:rPr>
          <w:spacing w:val="-12"/>
        </w:rPr>
        <w:t> </w:t>
      </w:r>
      <w:r>
        <w:rPr/>
        <w:t>preferred</w:t>
      </w:r>
      <w:r>
        <w:rPr>
          <w:spacing w:val="-13"/>
        </w:rPr>
        <w:t> </w:t>
      </w:r>
      <w:r>
        <w:rPr/>
        <w:t>e-sign</w:t>
      </w:r>
      <w:r>
        <w:rPr>
          <w:spacing w:val="-12"/>
        </w:rPr>
        <w:t> </w:t>
      </w:r>
      <w:r>
        <w:rPr/>
        <w:t>solution</w:t>
      </w:r>
      <w:r>
        <w:rPr>
          <w:spacing w:val="-13"/>
        </w:rPr>
        <w:t> </w:t>
      </w:r>
      <w:r>
        <w:rPr/>
        <w:t>and</w:t>
      </w:r>
      <w:r>
        <w:rPr>
          <w:spacing w:val="-12"/>
        </w:rPr>
        <w:t> </w:t>
      </w:r>
      <w:r>
        <w:rPr/>
        <w:t>is</w:t>
      </w:r>
      <w:r>
        <w:rPr>
          <w:spacing w:val="-13"/>
        </w:rPr>
        <w:t> </w:t>
      </w:r>
      <w:r>
        <w:rPr/>
        <w:t>integrated</w:t>
      </w:r>
      <w:r>
        <w:rPr>
          <w:spacing w:val="-12"/>
        </w:rPr>
        <w:t> </w:t>
      </w:r>
      <w:r>
        <w:rPr/>
        <w:t>into</w:t>
      </w:r>
      <w:r>
        <w:rPr>
          <w:spacing w:val="-13"/>
        </w:rPr>
        <w:t> </w:t>
      </w:r>
      <w:r>
        <w:rPr>
          <w:color w:val="333333"/>
        </w:rPr>
        <w:t>Microsoft</w:t>
      </w:r>
      <w:r>
        <w:rPr>
          <w:color w:val="333333"/>
          <w:spacing w:val="-12"/>
        </w:rPr>
        <w:t> </w:t>
      </w:r>
      <w:r>
        <w:rPr>
          <w:color w:val="333333"/>
        </w:rPr>
        <w:t>Office</w:t>
      </w:r>
      <w:r>
        <w:rPr>
          <w:color w:val="333333"/>
          <w:spacing w:val="-13"/>
        </w:rPr>
        <w:t> </w:t>
      </w:r>
      <w:r>
        <w:rPr>
          <w:color w:val="333333"/>
        </w:rPr>
        <w:t>365,</w:t>
      </w:r>
      <w:r>
        <w:rPr>
          <w:color w:val="333333"/>
          <w:spacing w:val="-12"/>
        </w:rPr>
        <w:t> </w:t>
      </w:r>
      <w:r>
        <w:rPr>
          <w:color w:val="333333"/>
        </w:rPr>
        <w:t>Microsoft</w:t>
      </w:r>
      <w:r>
        <w:rPr>
          <w:color w:val="333333"/>
          <w:spacing w:val="-13"/>
        </w:rPr>
        <w:t> </w:t>
      </w:r>
      <w:r>
        <w:rPr>
          <w:color w:val="333333"/>
        </w:rPr>
        <w:t>Dynamics 365, and Microsoft SharePoint.</w:t>
      </w:r>
    </w:p>
    <w:p>
      <w:pPr>
        <w:pStyle w:val="Heading2"/>
        <w:spacing w:before="158"/>
      </w:pPr>
      <w:r>
        <w:rPr/>
        <w:t>Adobe</w:t>
      </w:r>
      <w:r>
        <w:rPr>
          <w:spacing w:val="-4"/>
        </w:rPr>
        <w:t> </w:t>
      </w:r>
      <w:r>
        <w:rPr/>
        <w:t>Experience</w:t>
      </w:r>
      <w:r>
        <w:rPr>
          <w:spacing w:val="-3"/>
        </w:rPr>
        <w:t> </w:t>
      </w:r>
      <w:r>
        <w:rPr/>
        <w:t>Cloud</w:t>
      </w:r>
      <w:r>
        <w:rPr>
          <w:spacing w:val="-4"/>
        </w:rPr>
        <w:t> </w:t>
      </w:r>
      <w:r>
        <w:rPr/>
        <w:t>Products</w:t>
      </w:r>
      <w:r>
        <w:rPr>
          <w:spacing w:val="-4"/>
        </w:rPr>
        <w:t> </w:t>
      </w:r>
      <w:r>
        <w:rPr/>
        <w:t>and</w:t>
      </w:r>
      <w:r>
        <w:rPr>
          <w:spacing w:val="-3"/>
        </w:rPr>
        <w:t> </w:t>
      </w:r>
      <w:r>
        <w:rPr>
          <w:spacing w:val="-2"/>
        </w:rPr>
        <w:t>Services</w:t>
      </w:r>
    </w:p>
    <w:p>
      <w:pPr>
        <w:pStyle w:val="BodyText"/>
        <w:spacing w:line="249" w:lineRule="auto" w:before="190"/>
        <w:ind w:left="220" w:right="257" w:firstLine="540"/>
        <w:jc w:val="both"/>
      </w:pPr>
      <w:r>
        <w:rPr/>
        <w:t>Adobe</w:t>
      </w:r>
      <w:r>
        <w:rPr>
          <w:spacing w:val="-13"/>
        </w:rPr>
        <w:t> </w:t>
      </w:r>
      <w:r>
        <w:rPr/>
        <w:t>Experience</w:t>
      </w:r>
      <w:r>
        <w:rPr>
          <w:spacing w:val="-12"/>
        </w:rPr>
        <w:t> </w:t>
      </w:r>
      <w:r>
        <w:rPr/>
        <w:t>Cloud</w:t>
      </w:r>
      <w:r>
        <w:rPr>
          <w:spacing w:val="-13"/>
        </w:rPr>
        <w:t> </w:t>
      </w:r>
      <w:r>
        <w:rPr/>
        <w:t>includes</w:t>
      </w:r>
      <w:r>
        <w:rPr>
          <w:spacing w:val="-12"/>
        </w:rPr>
        <w:t> </w:t>
      </w:r>
      <w:r>
        <w:rPr/>
        <w:t>our</w:t>
      </w:r>
      <w:r>
        <w:rPr>
          <w:spacing w:val="-13"/>
        </w:rPr>
        <w:t> </w:t>
      </w:r>
      <w:r>
        <w:rPr/>
        <w:t>Marketing</w:t>
      </w:r>
      <w:r>
        <w:rPr>
          <w:spacing w:val="-12"/>
        </w:rPr>
        <w:t> </w:t>
      </w:r>
      <w:r>
        <w:rPr/>
        <w:t>Cloud,</w:t>
      </w:r>
      <w:r>
        <w:rPr>
          <w:spacing w:val="-13"/>
        </w:rPr>
        <w:t> </w:t>
      </w:r>
      <w:r>
        <w:rPr/>
        <w:t>Analytics</w:t>
      </w:r>
      <w:r>
        <w:rPr>
          <w:spacing w:val="-12"/>
        </w:rPr>
        <w:t> </w:t>
      </w:r>
      <w:r>
        <w:rPr/>
        <w:t>Cloud,</w:t>
      </w:r>
      <w:r>
        <w:rPr>
          <w:spacing w:val="-13"/>
        </w:rPr>
        <w:t> </w:t>
      </w:r>
      <w:r>
        <w:rPr/>
        <w:t>and</w:t>
      </w:r>
      <w:r>
        <w:rPr>
          <w:spacing w:val="-12"/>
        </w:rPr>
        <w:t> </w:t>
      </w:r>
      <w:r>
        <w:rPr/>
        <w:t>Advertising</w:t>
      </w:r>
      <w:r>
        <w:rPr>
          <w:spacing w:val="-13"/>
        </w:rPr>
        <w:t> </w:t>
      </w:r>
      <w:r>
        <w:rPr/>
        <w:t>Cloud</w:t>
      </w:r>
      <w:r>
        <w:rPr>
          <w:spacing w:val="-12"/>
        </w:rPr>
        <w:t> </w:t>
      </w:r>
      <w:r>
        <w:rPr/>
        <w:t>offerings,</w:t>
      </w:r>
      <w:r>
        <w:rPr>
          <w:spacing w:val="-13"/>
        </w:rPr>
        <w:t> </w:t>
      </w:r>
      <w:r>
        <w:rPr/>
        <w:t>which</w:t>
      </w:r>
      <w:r>
        <w:rPr>
          <w:spacing w:val="-12"/>
        </w:rPr>
        <w:t> </w:t>
      </w:r>
      <w:r>
        <w:rPr/>
        <w:t>are</w:t>
      </w:r>
      <w:r>
        <w:rPr>
          <w:spacing w:val="-13"/>
        </w:rPr>
        <w:t> </w:t>
      </w:r>
      <w:r>
        <w:rPr/>
        <w:t>each described below.</w:t>
      </w:r>
    </w:p>
    <w:p>
      <w:pPr>
        <w:pStyle w:val="Heading3"/>
        <w:spacing w:before="161"/>
        <w:ind w:left="220"/>
      </w:pPr>
      <w:r>
        <w:rPr/>
        <w:t>Adobe</w:t>
      </w:r>
      <w:r>
        <w:rPr>
          <w:spacing w:val="-1"/>
        </w:rPr>
        <w:t> </w:t>
      </w:r>
      <w:r>
        <w:rPr/>
        <w:t>Marketing </w:t>
      </w:r>
      <w:r>
        <w:rPr>
          <w:spacing w:val="-2"/>
        </w:rPr>
        <w:t>Cloud</w:t>
      </w:r>
    </w:p>
    <w:p>
      <w:pPr>
        <w:pStyle w:val="BodyText"/>
        <w:spacing w:line="249" w:lineRule="auto" w:before="170"/>
        <w:ind w:left="220" w:right="257" w:firstLine="540"/>
        <w:jc w:val="both"/>
      </w:pPr>
      <w:r>
        <w:rPr/>
        <w:t>Adobe</w:t>
      </w:r>
      <w:r>
        <w:rPr>
          <w:spacing w:val="-13"/>
        </w:rPr>
        <w:t> </w:t>
      </w:r>
      <w:r>
        <w:rPr/>
        <w:t>Marketing</w:t>
      </w:r>
      <w:r>
        <w:rPr>
          <w:spacing w:val="-12"/>
        </w:rPr>
        <w:t> </w:t>
      </w:r>
      <w:r>
        <w:rPr/>
        <w:t>Cloud</w:t>
      </w:r>
      <w:r>
        <w:rPr>
          <w:spacing w:val="-13"/>
        </w:rPr>
        <w:t> </w:t>
      </w:r>
      <w:r>
        <w:rPr/>
        <w:t>provides</w:t>
      </w:r>
      <w:r>
        <w:rPr>
          <w:spacing w:val="-12"/>
        </w:rPr>
        <w:t> </w:t>
      </w:r>
      <w:r>
        <w:rPr/>
        <w:t>a</w:t>
      </w:r>
      <w:r>
        <w:rPr>
          <w:spacing w:val="-13"/>
        </w:rPr>
        <w:t> </w:t>
      </w:r>
      <w:r>
        <w:rPr/>
        <w:t>complete</w:t>
      </w:r>
      <w:r>
        <w:rPr>
          <w:spacing w:val="-12"/>
        </w:rPr>
        <w:t> </w:t>
      </w:r>
      <w:r>
        <w:rPr/>
        <w:t>set</w:t>
      </w:r>
      <w:r>
        <w:rPr>
          <w:spacing w:val="-13"/>
        </w:rPr>
        <w:t> </w:t>
      </w:r>
      <w:r>
        <w:rPr/>
        <w:t>of</w:t>
      </w:r>
      <w:r>
        <w:rPr>
          <w:spacing w:val="-12"/>
        </w:rPr>
        <w:t> </w:t>
      </w:r>
      <w:r>
        <w:rPr/>
        <w:t>integrated</w:t>
      </w:r>
      <w:r>
        <w:rPr>
          <w:spacing w:val="-13"/>
        </w:rPr>
        <w:t> </w:t>
      </w:r>
      <w:r>
        <w:rPr/>
        <w:t>digital</w:t>
      </w:r>
      <w:r>
        <w:rPr>
          <w:spacing w:val="-12"/>
        </w:rPr>
        <w:t> </w:t>
      </w:r>
      <w:r>
        <w:rPr/>
        <w:t>marketing</w:t>
      </w:r>
      <w:r>
        <w:rPr>
          <w:spacing w:val="-13"/>
        </w:rPr>
        <w:t> </w:t>
      </w:r>
      <w:r>
        <w:rPr/>
        <w:t>solutions.</w:t>
      </w:r>
      <w:r>
        <w:rPr>
          <w:spacing w:val="18"/>
        </w:rPr>
        <w:t> </w:t>
      </w:r>
      <w:r>
        <w:rPr/>
        <w:t>It</w:t>
      </w:r>
      <w:r>
        <w:rPr>
          <w:spacing w:val="-12"/>
        </w:rPr>
        <w:t> </w:t>
      </w:r>
      <w:r>
        <w:rPr/>
        <w:t>contains</w:t>
      </w:r>
      <w:r>
        <w:rPr>
          <w:spacing w:val="-13"/>
        </w:rPr>
        <w:t> </w:t>
      </w:r>
      <w:r>
        <w:rPr/>
        <w:t>everything</w:t>
      </w:r>
      <w:r>
        <w:rPr>
          <w:spacing w:val="-12"/>
        </w:rPr>
        <w:t> </w:t>
      </w:r>
      <w:r>
        <w:rPr/>
        <w:t>necessary to</w:t>
      </w:r>
      <w:r>
        <w:rPr>
          <w:spacing w:val="-11"/>
        </w:rPr>
        <w:t> </w:t>
      </w:r>
      <w:r>
        <w:rPr/>
        <w:t>deliver</w:t>
      </w:r>
      <w:r>
        <w:rPr>
          <w:spacing w:val="-7"/>
        </w:rPr>
        <w:t> </w:t>
      </w:r>
      <w:r>
        <w:rPr/>
        <w:t>first-class</w:t>
      </w:r>
      <w:r>
        <w:rPr>
          <w:spacing w:val="-7"/>
        </w:rPr>
        <w:t> </w:t>
      </w:r>
      <w:r>
        <w:rPr/>
        <w:t>digital</w:t>
      </w:r>
      <w:r>
        <w:rPr>
          <w:spacing w:val="-7"/>
        </w:rPr>
        <w:t> </w:t>
      </w:r>
      <w:r>
        <w:rPr/>
        <w:t>experiences.</w:t>
      </w:r>
      <w:r>
        <w:rPr>
          <w:spacing w:val="-13"/>
        </w:rPr>
        <w:t> </w:t>
      </w:r>
      <w:r>
        <w:rPr/>
        <w:t>Adobe</w:t>
      </w:r>
      <w:r>
        <w:rPr>
          <w:spacing w:val="-7"/>
        </w:rPr>
        <w:t> </w:t>
      </w:r>
      <w:r>
        <w:rPr/>
        <w:t>Marketing</w:t>
      </w:r>
      <w:r>
        <w:rPr>
          <w:spacing w:val="-7"/>
        </w:rPr>
        <w:t> </w:t>
      </w:r>
      <w:r>
        <w:rPr/>
        <w:t>Cloud</w:t>
      </w:r>
      <w:r>
        <w:rPr>
          <w:spacing w:val="-7"/>
        </w:rPr>
        <w:t> </w:t>
      </w:r>
      <w:r>
        <w:rPr/>
        <w:t>enables</w:t>
      </w:r>
      <w:r>
        <w:rPr>
          <w:spacing w:val="-7"/>
        </w:rPr>
        <w:t> </w:t>
      </w:r>
      <w:r>
        <w:rPr/>
        <w:t>our</w:t>
      </w:r>
      <w:r>
        <w:rPr>
          <w:spacing w:val="-7"/>
        </w:rPr>
        <w:t> </w:t>
      </w:r>
      <w:r>
        <w:rPr/>
        <w:t>customers</w:t>
      </w:r>
      <w:r>
        <w:rPr>
          <w:spacing w:val="-7"/>
        </w:rPr>
        <w:t> </w:t>
      </w:r>
      <w:r>
        <w:rPr/>
        <w:t>to</w:t>
      </w:r>
      <w:r>
        <w:rPr>
          <w:spacing w:val="-7"/>
        </w:rPr>
        <w:t> </w:t>
      </w:r>
      <w:r>
        <w:rPr/>
        <w:t>manage</w:t>
      </w:r>
      <w:r>
        <w:rPr>
          <w:spacing w:val="-7"/>
        </w:rPr>
        <w:t> </w:t>
      </w:r>
      <w:r>
        <w:rPr/>
        <w:t>their</w:t>
      </w:r>
      <w:r>
        <w:rPr>
          <w:spacing w:val="-7"/>
        </w:rPr>
        <w:t> </w:t>
      </w:r>
      <w:r>
        <w:rPr/>
        <w:t>content</w:t>
      </w:r>
      <w:r>
        <w:rPr>
          <w:spacing w:val="-7"/>
        </w:rPr>
        <w:t> </w:t>
      </w:r>
      <w:r>
        <w:rPr/>
        <w:t>and</w:t>
      </w:r>
      <w:r>
        <w:rPr>
          <w:spacing w:val="-7"/>
        </w:rPr>
        <w:t> </w:t>
      </w:r>
      <w:r>
        <w:rPr/>
        <w:t>assets,</w:t>
      </w:r>
      <w:r>
        <w:rPr>
          <w:spacing w:val="-7"/>
        </w:rPr>
        <w:t> </w:t>
      </w:r>
      <w:r>
        <w:rPr/>
        <w:t>grow audiences</w:t>
      </w:r>
      <w:r>
        <w:rPr>
          <w:spacing w:val="-2"/>
        </w:rPr>
        <w:t> </w:t>
      </w:r>
      <w:r>
        <w:rPr/>
        <w:t>and</w:t>
      </w:r>
      <w:r>
        <w:rPr>
          <w:spacing w:val="-2"/>
        </w:rPr>
        <w:t> </w:t>
      </w:r>
      <w:r>
        <w:rPr/>
        <w:t>increase</w:t>
      </w:r>
      <w:r>
        <w:rPr>
          <w:spacing w:val="-2"/>
        </w:rPr>
        <w:t> </w:t>
      </w:r>
      <w:r>
        <w:rPr/>
        <w:t>engagement</w:t>
      </w:r>
      <w:r>
        <w:rPr>
          <w:spacing w:val="-2"/>
        </w:rPr>
        <w:t> </w:t>
      </w:r>
      <w:r>
        <w:rPr/>
        <w:t>to</w:t>
      </w:r>
      <w:r>
        <w:rPr>
          <w:spacing w:val="-2"/>
        </w:rPr>
        <w:t> </w:t>
      </w:r>
      <w:r>
        <w:rPr/>
        <w:t>optimize</w:t>
      </w:r>
      <w:r>
        <w:rPr>
          <w:spacing w:val="-2"/>
        </w:rPr>
        <w:t> </w:t>
      </w:r>
      <w:r>
        <w:rPr/>
        <w:t>customer</w:t>
      </w:r>
      <w:r>
        <w:rPr>
          <w:spacing w:val="-2"/>
        </w:rPr>
        <w:t> </w:t>
      </w:r>
      <w:r>
        <w:rPr/>
        <w:t>experiences;</w:t>
      </w:r>
      <w:r>
        <w:rPr>
          <w:spacing w:val="-2"/>
        </w:rPr>
        <w:t> </w:t>
      </w:r>
      <w:r>
        <w:rPr/>
        <w:t>personalize</w:t>
      </w:r>
      <w:r>
        <w:rPr>
          <w:spacing w:val="-2"/>
        </w:rPr>
        <w:t> </w:t>
      </w:r>
      <w:r>
        <w:rPr/>
        <w:t>content</w:t>
      </w:r>
      <w:r>
        <w:rPr>
          <w:spacing w:val="-2"/>
        </w:rPr>
        <w:t> </w:t>
      </w:r>
      <w:r>
        <w:rPr/>
        <w:t>and</w:t>
      </w:r>
      <w:r>
        <w:rPr>
          <w:spacing w:val="-2"/>
        </w:rPr>
        <w:t> </w:t>
      </w:r>
      <w:r>
        <w:rPr/>
        <w:t>deliver</w:t>
      </w:r>
      <w:r>
        <w:rPr>
          <w:spacing w:val="-2"/>
        </w:rPr>
        <w:t> </w:t>
      </w:r>
      <w:r>
        <w:rPr/>
        <w:t>optimized</w:t>
      </w:r>
      <w:r>
        <w:rPr>
          <w:spacing w:val="-2"/>
        </w:rPr>
        <w:t> </w:t>
      </w:r>
      <w:r>
        <w:rPr/>
        <w:t>experiences</w:t>
      </w:r>
      <w:r>
        <w:rPr>
          <w:spacing w:val="-1"/>
        </w:rPr>
        <w:t> </w:t>
      </w:r>
      <w:r>
        <w:rPr/>
        <w:t>at </w:t>
      </w:r>
      <w:r>
        <w:rPr>
          <w:spacing w:val="-2"/>
        </w:rPr>
        <w:t>scale</w:t>
      </w:r>
      <w:r>
        <w:rPr>
          <w:spacing w:val="-7"/>
        </w:rPr>
        <w:t> </w:t>
      </w:r>
      <w:r>
        <w:rPr>
          <w:spacing w:val="-2"/>
        </w:rPr>
        <w:t>that</w:t>
      </w:r>
      <w:r>
        <w:rPr>
          <w:spacing w:val="-7"/>
        </w:rPr>
        <w:t> </w:t>
      </w:r>
      <w:r>
        <w:rPr>
          <w:spacing w:val="-2"/>
        </w:rPr>
        <w:t>are</w:t>
      </w:r>
      <w:r>
        <w:rPr>
          <w:spacing w:val="-7"/>
        </w:rPr>
        <w:t> </w:t>
      </w:r>
      <w:r>
        <w:rPr>
          <w:spacing w:val="-2"/>
        </w:rPr>
        <w:t>meaningful</w:t>
      </w:r>
      <w:r>
        <w:rPr>
          <w:spacing w:val="-7"/>
        </w:rPr>
        <w:t> </w:t>
      </w:r>
      <w:r>
        <w:rPr>
          <w:spacing w:val="-2"/>
        </w:rPr>
        <w:t>to</w:t>
      </w:r>
      <w:r>
        <w:rPr>
          <w:spacing w:val="-7"/>
        </w:rPr>
        <w:t> </w:t>
      </w:r>
      <w:r>
        <w:rPr>
          <w:spacing w:val="-2"/>
        </w:rPr>
        <w:t>each</w:t>
      </w:r>
      <w:r>
        <w:rPr>
          <w:spacing w:val="-7"/>
        </w:rPr>
        <w:t> </w:t>
      </w:r>
      <w:r>
        <w:rPr>
          <w:spacing w:val="-2"/>
        </w:rPr>
        <w:t>of</w:t>
      </w:r>
      <w:r>
        <w:rPr>
          <w:spacing w:val="-7"/>
        </w:rPr>
        <w:t> </w:t>
      </w:r>
      <w:r>
        <w:rPr>
          <w:spacing w:val="-2"/>
        </w:rPr>
        <w:t>their</w:t>
      </w:r>
      <w:r>
        <w:rPr>
          <w:spacing w:val="-7"/>
        </w:rPr>
        <w:t> </w:t>
      </w:r>
      <w:r>
        <w:rPr>
          <w:spacing w:val="-2"/>
        </w:rPr>
        <w:t>customers;</w:t>
      </w:r>
      <w:r>
        <w:rPr>
          <w:spacing w:val="-7"/>
        </w:rPr>
        <w:t> </w:t>
      </w:r>
      <w:r>
        <w:rPr>
          <w:spacing w:val="-2"/>
        </w:rPr>
        <w:t>and</w:t>
      </w:r>
      <w:r>
        <w:rPr>
          <w:spacing w:val="-7"/>
        </w:rPr>
        <w:t> </w:t>
      </w:r>
      <w:r>
        <w:rPr>
          <w:spacing w:val="-2"/>
        </w:rPr>
        <w:t>orchestrate</w:t>
      </w:r>
      <w:r>
        <w:rPr>
          <w:spacing w:val="-8"/>
        </w:rPr>
        <w:t> </w:t>
      </w:r>
      <w:r>
        <w:rPr>
          <w:spacing w:val="-2"/>
        </w:rPr>
        <w:t>individual</w:t>
      </w:r>
      <w:r>
        <w:rPr>
          <w:spacing w:val="-8"/>
        </w:rPr>
        <w:t> </w:t>
      </w:r>
      <w:r>
        <w:rPr>
          <w:spacing w:val="-2"/>
        </w:rPr>
        <w:t>cross-channel</w:t>
      </w:r>
      <w:r>
        <w:rPr>
          <w:spacing w:val="-8"/>
        </w:rPr>
        <w:t> </w:t>
      </w:r>
      <w:r>
        <w:rPr>
          <w:spacing w:val="-2"/>
        </w:rPr>
        <w:t>campaigns</w:t>
      </w:r>
      <w:r>
        <w:rPr>
          <w:spacing w:val="-7"/>
        </w:rPr>
        <w:t> </w:t>
      </w:r>
      <w:r>
        <w:rPr>
          <w:spacing w:val="-2"/>
        </w:rPr>
        <w:t>that</w:t>
      </w:r>
      <w:r>
        <w:rPr>
          <w:spacing w:val="-7"/>
        </w:rPr>
        <w:t> </w:t>
      </w:r>
      <w:r>
        <w:rPr>
          <w:spacing w:val="-2"/>
        </w:rPr>
        <w:t>encourage</w:t>
      </w:r>
      <w:r>
        <w:rPr>
          <w:spacing w:val="-7"/>
        </w:rPr>
        <w:t> </w:t>
      </w:r>
      <w:r>
        <w:rPr>
          <w:spacing w:val="-2"/>
        </w:rPr>
        <w:t>meaningful </w:t>
      </w:r>
      <w:r>
        <w:rPr/>
        <w:t>customer</w:t>
      </w:r>
      <w:r>
        <w:rPr>
          <w:spacing w:val="-12"/>
        </w:rPr>
        <w:t> </w:t>
      </w:r>
      <w:r>
        <w:rPr/>
        <w:t>experiences.</w:t>
      </w:r>
      <w:r>
        <w:rPr>
          <w:spacing w:val="18"/>
        </w:rPr>
        <w:t> </w:t>
      </w:r>
      <w:r>
        <w:rPr/>
        <w:t>Adobe</w:t>
      </w:r>
      <w:r>
        <w:rPr>
          <w:spacing w:val="-12"/>
        </w:rPr>
        <w:t> </w:t>
      </w:r>
      <w:r>
        <w:rPr/>
        <w:t>Marketing</w:t>
      </w:r>
      <w:r>
        <w:rPr>
          <w:spacing w:val="-12"/>
        </w:rPr>
        <w:t> </w:t>
      </w:r>
      <w:r>
        <w:rPr/>
        <w:t>Cloud</w:t>
      </w:r>
      <w:r>
        <w:rPr>
          <w:spacing w:val="-11"/>
        </w:rPr>
        <w:t> </w:t>
      </w:r>
      <w:r>
        <w:rPr/>
        <w:t>also</w:t>
      </w:r>
      <w:r>
        <w:rPr>
          <w:spacing w:val="-11"/>
        </w:rPr>
        <w:t> </w:t>
      </w:r>
      <w:r>
        <w:rPr/>
        <w:t>provides</w:t>
      </w:r>
      <w:r>
        <w:rPr>
          <w:spacing w:val="-11"/>
        </w:rPr>
        <w:t> </w:t>
      </w:r>
      <w:r>
        <w:rPr/>
        <w:t>a</w:t>
      </w:r>
      <w:r>
        <w:rPr>
          <w:spacing w:val="-11"/>
        </w:rPr>
        <w:t> </w:t>
      </w:r>
      <w:r>
        <w:rPr/>
        <w:t>solution</w:t>
      </w:r>
      <w:r>
        <w:rPr>
          <w:spacing w:val="-12"/>
        </w:rPr>
        <w:t> </w:t>
      </w:r>
      <w:r>
        <w:rPr/>
        <w:t>that</w:t>
      </w:r>
      <w:r>
        <w:rPr>
          <w:spacing w:val="-11"/>
        </w:rPr>
        <w:t> </w:t>
      </w:r>
      <w:r>
        <w:rPr/>
        <w:t>allows</w:t>
      </w:r>
      <w:r>
        <w:rPr>
          <w:spacing w:val="-11"/>
        </w:rPr>
        <w:t> </w:t>
      </w:r>
      <w:r>
        <w:rPr/>
        <w:t>our</w:t>
      </w:r>
      <w:r>
        <w:rPr>
          <w:spacing w:val="-11"/>
        </w:rPr>
        <w:t> </w:t>
      </w:r>
      <w:r>
        <w:rPr/>
        <w:t>customers</w:t>
      </w:r>
      <w:r>
        <w:rPr>
          <w:spacing w:val="-11"/>
        </w:rPr>
        <w:t> </w:t>
      </w:r>
      <w:r>
        <w:rPr/>
        <w:t>to</w:t>
      </w:r>
      <w:r>
        <w:rPr>
          <w:spacing w:val="-12"/>
        </w:rPr>
        <w:t> </w:t>
      </w:r>
      <w:r>
        <w:rPr/>
        <w:t>monetize</w:t>
      </w:r>
      <w:r>
        <w:rPr>
          <w:spacing w:val="-12"/>
        </w:rPr>
        <w:t> </w:t>
      </w:r>
      <w:r>
        <w:rPr/>
        <w:t>video</w:t>
      </w:r>
      <w:r>
        <w:rPr>
          <w:spacing w:val="-11"/>
        </w:rPr>
        <w:t> </w:t>
      </w:r>
      <w:r>
        <w:rPr/>
        <w:t>experiences. The following is a brief description of the solutions that comprise the</w:t>
      </w:r>
      <w:r>
        <w:rPr>
          <w:spacing w:val="-4"/>
        </w:rPr>
        <w:t> </w:t>
      </w:r>
      <w:r>
        <w:rPr/>
        <w:t>Adobe Marketing Cloud.</w:t>
      </w:r>
    </w:p>
    <w:p>
      <w:pPr>
        <w:spacing w:before="165"/>
        <w:ind w:left="760" w:right="0" w:firstLine="0"/>
        <w:jc w:val="left"/>
        <w:rPr>
          <w:i/>
          <w:sz w:val="20"/>
        </w:rPr>
      </w:pPr>
      <w:r>
        <w:rPr>
          <w:i/>
          <w:sz w:val="20"/>
        </w:rPr>
        <w:t>Adobe</w:t>
      </w:r>
      <w:r>
        <w:rPr>
          <w:i/>
          <w:spacing w:val="-1"/>
          <w:sz w:val="20"/>
        </w:rPr>
        <w:t> </w:t>
      </w:r>
      <w:r>
        <w:rPr>
          <w:i/>
          <w:sz w:val="20"/>
        </w:rPr>
        <w:t>Experience</w:t>
      </w:r>
      <w:r>
        <w:rPr>
          <w:i/>
          <w:spacing w:val="-1"/>
          <w:sz w:val="20"/>
        </w:rPr>
        <w:t> </w:t>
      </w:r>
      <w:r>
        <w:rPr>
          <w:i/>
          <w:spacing w:val="-2"/>
          <w:sz w:val="20"/>
        </w:rPr>
        <w:t>Manager</w:t>
      </w:r>
    </w:p>
    <w:p>
      <w:pPr>
        <w:pStyle w:val="BodyText"/>
        <w:spacing w:line="249" w:lineRule="auto" w:before="170"/>
        <w:ind w:left="220" w:right="257" w:firstLine="540"/>
        <w:jc w:val="both"/>
      </w:pPr>
      <w:r>
        <w:rPr/>
        <w:t>Adobe</w:t>
      </w:r>
      <w:r>
        <w:rPr>
          <w:spacing w:val="-12"/>
        </w:rPr>
        <w:t> </w:t>
      </w:r>
      <w:r>
        <w:rPr/>
        <w:t>Experience</w:t>
      </w:r>
      <w:r>
        <w:rPr>
          <w:spacing w:val="-13"/>
        </w:rPr>
        <w:t> </w:t>
      </w:r>
      <w:r>
        <w:rPr/>
        <w:t>Manager</w:t>
      </w:r>
      <w:r>
        <w:rPr>
          <w:spacing w:val="-11"/>
        </w:rPr>
        <w:t> </w:t>
      </w:r>
      <w:r>
        <w:rPr/>
        <w:t>is</w:t>
      </w:r>
      <w:r>
        <w:rPr>
          <w:spacing w:val="-12"/>
        </w:rPr>
        <w:t> </w:t>
      </w:r>
      <w:r>
        <w:rPr/>
        <w:t>a</w:t>
      </w:r>
      <w:r>
        <w:rPr>
          <w:spacing w:val="-12"/>
        </w:rPr>
        <w:t> </w:t>
      </w:r>
      <w:r>
        <w:rPr/>
        <w:t>leading</w:t>
      </w:r>
      <w:r>
        <w:rPr>
          <w:spacing w:val="-12"/>
        </w:rPr>
        <w:t> </w:t>
      </w:r>
      <w:r>
        <w:rPr/>
        <w:t>digital</w:t>
      </w:r>
      <w:r>
        <w:rPr>
          <w:spacing w:val="-12"/>
        </w:rPr>
        <w:t> </w:t>
      </w:r>
      <w:r>
        <w:rPr/>
        <w:t>experience</w:t>
      </w:r>
      <w:r>
        <w:rPr>
          <w:spacing w:val="-13"/>
        </w:rPr>
        <w:t> </w:t>
      </w:r>
      <w:r>
        <w:rPr/>
        <w:t>management</w:t>
      </w:r>
      <w:r>
        <w:rPr>
          <w:spacing w:val="-12"/>
        </w:rPr>
        <w:t> </w:t>
      </w:r>
      <w:r>
        <w:rPr/>
        <w:t>solution</w:t>
      </w:r>
      <w:r>
        <w:rPr>
          <w:spacing w:val="-12"/>
        </w:rPr>
        <w:t> </w:t>
      </w:r>
      <w:r>
        <w:rPr/>
        <w:t>that</w:t>
      </w:r>
      <w:r>
        <w:rPr>
          <w:spacing w:val="-12"/>
        </w:rPr>
        <w:t> </w:t>
      </w:r>
      <w:r>
        <w:rPr/>
        <w:t>helps</w:t>
      </w:r>
      <w:r>
        <w:rPr>
          <w:spacing w:val="-12"/>
        </w:rPr>
        <w:t> </w:t>
      </w:r>
      <w:r>
        <w:rPr/>
        <w:t>customers</w:t>
      </w:r>
      <w:r>
        <w:rPr>
          <w:spacing w:val="-12"/>
        </w:rPr>
        <w:t> </w:t>
      </w:r>
      <w:r>
        <w:rPr/>
        <w:t>organize,</w:t>
      </w:r>
      <w:r>
        <w:rPr>
          <w:spacing w:val="-12"/>
        </w:rPr>
        <w:t> </w:t>
      </w:r>
      <w:r>
        <w:rPr/>
        <w:t>create,</w:t>
      </w:r>
      <w:r>
        <w:rPr>
          <w:spacing w:val="-12"/>
        </w:rPr>
        <w:t> </w:t>
      </w:r>
      <w:r>
        <w:rPr/>
        <w:t>and manage the delivery of creative assets and other content across digital marketing channels, including web, mobile, email, communities and video. It enables customers to manage content on premise or host it in the cloud, delivering agile and rapid </w:t>
      </w:r>
      <w:r>
        <w:rPr>
          <w:spacing w:val="-2"/>
        </w:rPr>
        <w:t>deployment.</w:t>
      </w:r>
      <w:r>
        <w:rPr>
          <w:spacing w:val="-9"/>
        </w:rPr>
        <w:t> </w:t>
      </w:r>
      <w:r>
        <w:rPr>
          <w:spacing w:val="-2"/>
        </w:rPr>
        <w:t>With</w:t>
      </w:r>
      <w:r>
        <w:rPr>
          <w:spacing w:val="-7"/>
        </w:rPr>
        <w:t> </w:t>
      </w:r>
      <w:r>
        <w:rPr>
          <w:spacing w:val="-2"/>
        </w:rPr>
        <w:t>this</w:t>
      </w:r>
      <w:r>
        <w:rPr>
          <w:spacing w:val="-7"/>
        </w:rPr>
        <w:t> </w:t>
      </w:r>
      <w:r>
        <w:rPr>
          <w:spacing w:val="-2"/>
        </w:rPr>
        <w:t>ultimate</w:t>
      </w:r>
      <w:r>
        <w:rPr>
          <w:spacing w:val="-7"/>
        </w:rPr>
        <w:t> </w:t>
      </w:r>
      <w:r>
        <w:rPr>
          <w:spacing w:val="-2"/>
        </w:rPr>
        <w:t>control</w:t>
      </w:r>
      <w:r>
        <w:rPr>
          <w:spacing w:val="-7"/>
        </w:rPr>
        <w:t> </w:t>
      </w:r>
      <w:r>
        <w:rPr>
          <w:spacing w:val="-2"/>
        </w:rPr>
        <w:t>of</w:t>
      </w:r>
      <w:r>
        <w:rPr>
          <w:spacing w:val="-7"/>
        </w:rPr>
        <w:t> </w:t>
      </w:r>
      <w:r>
        <w:rPr>
          <w:spacing w:val="-2"/>
        </w:rPr>
        <w:t>content</w:t>
      </w:r>
      <w:r>
        <w:rPr>
          <w:spacing w:val="-7"/>
        </w:rPr>
        <w:t> </w:t>
      </w:r>
      <w:r>
        <w:rPr>
          <w:spacing w:val="-2"/>
        </w:rPr>
        <w:t>and</w:t>
      </w:r>
      <w:r>
        <w:rPr>
          <w:spacing w:val="-7"/>
        </w:rPr>
        <w:t> </w:t>
      </w:r>
      <w:r>
        <w:rPr>
          <w:spacing w:val="-2"/>
        </w:rPr>
        <w:t>campaigns,</w:t>
      </w:r>
      <w:r>
        <w:rPr>
          <w:spacing w:val="-7"/>
        </w:rPr>
        <w:t> </w:t>
      </w:r>
      <w:r>
        <w:rPr>
          <w:spacing w:val="-2"/>
        </w:rPr>
        <w:t>our</w:t>
      </w:r>
      <w:r>
        <w:rPr>
          <w:spacing w:val="-7"/>
        </w:rPr>
        <w:t> </w:t>
      </w:r>
      <w:r>
        <w:rPr>
          <w:spacing w:val="-2"/>
        </w:rPr>
        <w:t>customers</w:t>
      </w:r>
      <w:r>
        <w:rPr>
          <w:spacing w:val="-7"/>
        </w:rPr>
        <w:t> </w:t>
      </w:r>
      <w:r>
        <w:rPr>
          <w:spacing w:val="-2"/>
        </w:rPr>
        <w:t>can</w:t>
      </w:r>
      <w:r>
        <w:rPr>
          <w:spacing w:val="-7"/>
        </w:rPr>
        <w:t> </w:t>
      </w:r>
      <w:r>
        <w:rPr>
          <w:spacing w:val="-2"/>
        </w:rPr>
        <w:t>deliver</w:t>
      </w:r>
      <w:r>
        <w:rPr>
          <w:spacing w:val="-7"/>
        </w:rPr>
        <w:t> </w:t>
      </w:r>
      <w:r>
        <w:rPr>
          <w:spacing w:val="-2"/>
        </w:rPr>
        <w:t>real-time</w:t>
      </w:r>
      <w:r>
        <w:rPr>
          <w:spacing w:val="-7"/>
        </w:rPr>
        <w:t> </w:t>
      </w:r>
      <w:r>
        <w:rPr>
          <w:spacing w:val="-2"/>
        </w:rPr>
        <w:t>and</w:t>
      </w:r>
      <w:r>
        <w:rPr>
          <w:spacing w:val="-7"/>
        </w:rPr>
        <w:t> </w:t>
      </w:r>
      <w:r>
        <w:rPr>
          <w:spacing w:val="-2"/>
        </w:rPr>
        <w:t>personalized</w:t>
      </w:r>
      <w:r>
        <w:rPr>
          <w:spacing w:val="-7"/>
        </w:rPr>
        <w:t> </w:t>
      </w:r>
      <w:r>
        <w:rPr>
          <w:spacing w:val="-2"/>
        </w:rPr>
        <w:t>experiences </w:t>
      </w:r>
      <w:r>
        <w:rPr/>
        <w:t>to their consumers that help build the customers’</w:t>
      </w:r>
      <w:r>
        <w:rPr>
          <w:spacing w:val="-6"/>
        </w:rPr>
        <w:t> </w:t>
      </w:r>
      <w:r>
        <w:rPr/>
        <w:t>brand, drive demand and extend reach.</w:t>
      </w:r>
      <w:r>
        <w:rPr>
          <w:spacing w:val="-4"/>
        </w:rPr>
        <w:t> </w:t>
      </w:r>
      <w:r>
        <w:rPr/>
        <w:t>Adobe Experience Manager includes </w:t>
      </w:r>
      <w:r>
        <w:rPr>
          <w:spacing w:val="-2"/>
        </w:rPr>
        <w:t>digital</w:t>
      </w:r>
      <w:r>
        <w:rPr>
          <w:spacing w:val="-3"/>
        </w:rPr>
        <w:t> </w:t>
      </w:r>
      <w:r>
        <w:rPr>
          <w:spacing w:val="-2"/>
        </w:rPr>
        <w:t>asset management, web content</w:t>
      </w:r>
      <w:r>
        <w:rPr>
          <w:spacing w:val="-3"/>
        </w:rPr>
        <w:t> </w:t>
      </w:r>
      <w:r>
        <w:rPr>
          <w:spacing w:val="-2"/>
        </w:rPr>
        <w:t>management, digital</w:t>
      </w:r>
      <w:r>
        <w:rPr>
          <w:spacing w:val="-3"/>
        </w:rPr>
        <w:t> </w:t>
      </w:r>
      <w:r>
        <w:rPr>
          <w:spacing w:val="-2"/>
        </w:rPr>
        <w:t>publishing, integrated mobile</w:t>
      </w:r>
      <w:r>
        <w:rPr>
          <w:spacing w:val="-3"/>
        </w:rPr>
        <w:t> </w:t>
      </w:r>
      <w:r>
        <w:rPr>
          <w:spacing w:val="-2"/>
        </w:rPr>
        <w:t>app development, enterprise-level</w:t>
      </w:r>
      <w:r>
        <w:rPr>
          <w:spacing w:val="-3"/>
        </w:rPr>
        <w:t> </w:t>
      </w:r>
      <w:r>
        <w:rPr>
          <w:spacing w:val="-2"/>
        </w:rPr>
        <w:t>forms </w:t>
      </w:r>
      <w:r>
        <w:rPr/>
        <w:t>management,</w:t>
      </w:r>
      <w:r>
        <w:rPr>
          <w:spacing w:val="-9"/>
        </w:rPr>
        <w:t> </w:t>
      </w:r>
      <w:r>
        <w:rPr/>
        <w:t>and</w:t>
      </w:r>
      <w:r>
        <w:rPr>
          <w:spacing w:val="-10"/>
        </w:rPr>
        <w:t> </w:t>
      </w:r>
      <w:r>
        <w:rPr/>
        <w:t>social</w:t>
      </w:r>
      <w:r>
        <w:rPr>
          <w:spacing w:val="-10"/>
        </w:rPr>
        <w:t> </w:t>
      </w:r>
      <w:r>
        <w:rPr/>
        <w:t>capabilities,</w:t>
      </w:r>
      <w:r>
        <w:rPr>
          <w:spacing w:val="-10"/>
        </w:rPr>
        <w:t> </w:t>
      </w:r>
      <w:r>
        <w:rPr/>
        <w:t>providing</w:t>
      </w:r>
      <w:r>
        <w:rPr>
          <w:spacing w:val="-9"/>
        </w:rPr>
        <w:t> </w:t>
      </w:r>
      <w:r>
        <w:rPr/>
        <w:t>customers</w:t>
      </w:r>
      <w:r>
        <w:rPr>
          <w:spacing w:val="-9"/>
        </w:rPr>
        <w:t> </w:t>
      </w:r>
      <w:r>
        <w:rPr/>
        <w:t>with</w:t>
      </w:r>
      <w:r>
        <w:rPr>
          <w:spacing w:val="-9"/>
        </w:rPr>
        <w:t> </w:t>
      </w:r>
      <w:r>
        <w:rPr/>
        <w:t>tools</w:t>
      </w:r>
      <w:r>
        <w:rPr>
          <w:spacing w:val="-9"/>
        </w:rPr>
        <w:t> </w:t>
      </w:r>
      <w:r>
        <w:rPr/>
        <w:t>enabling</w:t>
      </w:r>
      <w:r>
        <w:rPr>
          <w:spacing w:val="-10"/>
        </w:rPr>
        <w:t> </w:t>
      </w:r>
      <w:r>
        <w:rPr/>
        <w:t>users</w:t>
      </w:r>
      <w:r>
        <w:rPr>
          <w:spacing w:val="-9"/>
        </w:rPr>
        <w:t> </w:t>
      </w:r>
      <w:r>
        <w:rPr/>
        <w:t>to</w:t>
      </w:r>
      <w:r>
        <w:rPr>
          <w:spacing w:val="-9"/>
        </w:rPr>
        <w:t> </w:t>
      </w:r>
      <w:r>
        <w:rPr/>
        <w:t>improve</w:t>
      </w:r>
      <w:r>
        <w:rPr>
          <w:spacing w:val="-10"/>
        </w:rPr>
        <w:t> </w:t>
      </w:r>
      <w:r>
        <w:rPr/>
        <w:t>their</w:t>
      </w:r>
      <w:r>
        <w:rPr>
          <w:spacing w:val="-10"/>
        </w:rPr>
        <w:t> </w:t>
      </w:r>
      <w:r>
        <w:rPr/>
        <w:t>market</w:t>
      </w:r>
      <w:r>
        <w:rPr>
          <w:spacing w:val="-10"/>
        </w:rPr>
        <w:t> </w:t>
      </w:r>
      <w:r>
        <w:rPr/>
        <w:t>and</w:t>
      </w:r>
      <w:r>
        <w:rPr>
          <w:spacing w:val="-10"/>
        </w:rPr>
        <w:t> </w:t>
      </w:r>
      <w:r>
        <w:rPr/>
        <w:t>brand</w:t>
      </w:r>
      <w:r>
        <w:rPr>
          <w:spacing w:val="-9"/>
        </w:rPr>
        <w:t> </w:t>
      </w:r>
      <w:r>
        <w:rPr/>
        <w:t>perception and provide a personalized experience to their consumers.</w:t>
      </w:r>
    </w:p>
    <w:p>
      <w:pPr>
        <w:spacing w:before="167"/>
        <w:ind w:left="760" w:right="0" w:firstLine="0"/>
        <w:jc w:val="left"/>
        <w:rPr>
          <w:i/>
          <w:sz w:val="20"/>
        </w:rPr>
      </w:pPr>
      <w:r>
        <w:rPr>
          <w:i/>
          <w:sz w:val="20"/>
        </w:rPr>
        <w:t>Adobe</w:t>
      </w:r>
      <w:r>
        <w:rPr>
          <w:i/>
          <w:spacing w:val="-1"/>
          <w:sz w:val="20"/>
        </w:rPr>
        <w:t> </w:t>
      </w:r>
      <w:r>
        <w:rPr>
          <w:i/>
          <w:spacing w:val="-2"/>
          <w:sz w:val="20"/>
        </w:rPr>
        <w:t>Campaign</w:t>
      </w:r>
    </w:p>
    <w:p>
      <w:pPr>
        <w:pStyle w:val="BodyText"/>
        <w:spacing w:line="249" w:lineRule="auto" w:before="170"/>
        <w:ind w:left="220" w:right="257" w:firstLine="540"/>
        <w:jc w:val="both"/>
      </w:pPr>
      <w:r>
        <w:rPr/>
        <w:t>Adobe</w:t>
      </w:r>
      <w:r>
        <w:rPr>
          <w:spacing w:val="-13"/>
        </w:rPr>
        <w:t> </w:t>
      </w:r>
      <w:r>
        <w:rPr/>
        <w:t>Campaign</w:t>
      </w:r>
      <w:r>
        <w:rPr>
          <w:spacing w:val="-12"/>
        </w:rPr>
        <w:t> </w:t>
      </w:r>
      <w:r>
        <w:rPr/>
        <w:t>enables</w:t>
      </w:r>
      <w:r>
        <w:rPr>
          <w:spacing w:val="-13"/>
        </w:rPr>
        <w:t> </w:t>
      </w:r>
      <w:r>
        <w:rPr/>
        <w:t>marketers</w:t>
      </w:r>
      <w:r>
        <w:rPr>
          <w:spacing w:val="-12"/>
        </w:rPr>
        <w:t> </w:t>
      </w:r>
      <w:r>
        <w:rPr/>
        <w:t>to</w:t>
      </w:r>
      <w:r>
        <w:rPr>
          <w:spacing w:val="-13"/>
        </w:rPr>
        <w:t> </w:t>
      </w:r>
      <w:r>
        <w:rPr/>
        <w:t>orchestrate</w:t>
      </w:r>
      <w:r>
        <w:rPr>
          <w:spacing w:val="-12"/>
        </w:rPr>
        <w:t> </w:t>
      </w:r>
      <w:r>
        <w:rPr/>
        <w:t>personalized</w:t>
      </w:r>
      <w:r>
        <w:rPr>
          <w:spacing w:val="-13"/>
        </w:rPr>
        <w:t> </w:t>
      </w:r>
      <w:r>
        <w:rPr/>
        <w:t>experiences</w:t>
      </w:r>
      <w:r>
        <w:rPr>
          <w:spacing w:val="-12"/>
        </w:rPr>
        <w:t> </w:t>
      </w:r>
      <w:r>
        <w:rPr/>
        <w:t>determined</w:t>
      </w:r>
      <w:r>
        <w:rPr>
          <w:spacing w:val="-13"/>
        </w:rPr>
        <w:t> </w:t>
      </w:r>
      <w:r>
        <w:rPr/>
        <w:t>by</w:t>
      </w:r>
      <w:r>
        <w:rPr>
          <w:spacing w:val="-12"/>
        </w:rPr>
        <w:t> </w:t>
      </w:r>
      <w:r>
        <w:rPr/>
        <w:t>each</w:t>
      </w:r>
      <w:r>
        <w:rPr>
          <w:spacing w:val="-13"/>
        </w:rPr>
        <w:t> </w:t>
      </w:r>
      <w:r>
        <w:rPr/>
        <w:t>consumer’s</w:t>
      </w:r>
      <w:r>
        <w:rPr>
          <w:spacing w:val="-12"/>
        </w:rPr>
        <w:t> </w:t>
      </w:r>
      <w:r>
        <w:rPr/>
        <w:t>behaviors</w:t>
      </w:r>
      <w:r>
        <w:rPr>
          <w:spacing w:val="-13"/>
        </w:rPr>
        <w:t> </w:t>
      </w:r>
      <w:r>
        <w:rPr/>
        <w:t>and preferences.</w:t>
      </w:r>
      <w:r>
        <w:rPr>
          <w:spacing w:val="-13"/>
        </w:rPr>
        <w:t> </w:t>
      </w:r>
      <w:r>
        <w:rPr/>
        <w:t>As</w:t>
      </w:r>
      <w:r>
        <w:rPr>
          <w:spacing w:val="-12"/>
        </w:rPr>
        <w:t> </w:t>
      </w:r>
      <w:r>
        <w:rPr/>
        <w:t>part</w:t>
      </w:r>
      <w:r>
        <w:rPr>
          <w:spacing w:val="-10"/>
        </w:rPr>
        <w:t> </w:t>
      </w:r>
      <w:r>
        <w:rPr/>
        <w:t>of</w:t>
      </w:r>
      <w:r>
        <w:rPr>
          <w:spacing w:val="-7"/>
        </w:rPr>
        <w:t> </w:t>
      </w:r>
      <w:r>
        <w:rPr/>
        <w:t>its</w:t>
      </w:r>
      <w:r>
        <w:rPr>
          <w:spacing w:val="-7"/>
        </w:rPr>
        <w:t> </w:t>
      </w:r>
      <w:r>
        <w:rPr/>
        <w:t>feature</w:t>
      </w:r>
      <w:r>
        <w:rPr>
          <w:spacing w:val="-8"/>
        </w:rPr>
        <w:t> </w:t>
      </w:r>
      <w:r>
        <w:rPr/>
        <w:t>set,</w:t>
      </w:r>
      <w:r>
        <w:rPr>
          <w:spacing w:val="-13"/>
        </w:rPr>
        <w:t> </w:t>
      </w:r>
      <w:r>
        <w:rPr/>
        <w:t>Adobe</w:t>
      </w:r>
      <w:r>
        <w:rPr>
          <w:spacing w:val="-7"/>
        </w:rPr>
        <w:t> </w:t>
      </w:r>
      <w:r>
        <w:rPr/>
        <w:t>Campaign</w:t>
      </w:r>
      <w:r>
        <w:rPr>
          <w:spacing w:val="-7"/>
        </w:rPr>
        <w:t> </w:t>
      </w:r>
      <w:r>
        <w:rPr/>
        <w:t>provides</w:t>
      </w:r>
      <w:r>
        <w:rPr>
          <w:spacing w:val="-7"/>
        </w:rPr>
        <w:t> </w:t>
      </w:r>
      <w:r>
        <w:rPr/>
        <w:t>visual</w:t>
      </w:r>
      <w:r>
        <w:rPr>
          <w:spacing w:val="-8"/>
        </w:rPr>
        <w:t> </w:t>
      </w:r>
      <w:r>
        <w:rPr/>
        <w:t>campaign</w:t>
      </w:r>
      <w:r>
        <w:rPr>
          <w:spacing w:val="-7"/>
        </w:rPr>
        <w:t> </w:t>
      </w:r>
      <w:r>
        <w:rPr/>
        <w:t>orchestration,</w:t>
      </w:r>
      <w:r>
        <w:rPr>
          <w:spacing w:val="-7"/>
        </w:rPr>
        <w:t> </w:t>
      </w:r>
      <w:r>
        <w:rPr/>
        <w:t>allowing</w:t>
      </w:r>
      <w:r>
        <w:rPr>
          <w:spacing w:val="-7"/>
        </w:rPr>
        <w:t> </w:t>
      </w:r>
      <w:r>
        <w:rPr/>
        <w:t>for</w:t>
      </w:r>
      <w:r>
        <w:rPr>
          <w:spacing w:val="-7"/>
        </w:rPr>
        <w:t> </w:t>
      </w:r>
      <w:r>
        <w:rPr/>
        <w:t>intuitive</w:t>
      </w:r>
      <w:r>
        <w:rPr>
          <w:spacing w:val="-8"/>
        </w:rPr>
        <w:t> </w:t>
      </w:r>
      <w:r>
        <w:rPr/>
        <w:t>design</w:t>
      </w:r>
      <w:r>
        <w:rPr>
          <w:spacing w:val="-7"/>
        </w:rPr>
        <w:t> </w:t>
      </w:r>
      <w:r>
        <w:rPr/>
        <w:t>and </w:t>
      </w:r>
      <w:r>
        <w:rPr>
          <w:spacing w:val="-2"/>
        </w:rPr>
        <w:t>automated</w:t>
      </w:r>
      <w:r>
        <w:rPr>
          <w:spacing w:val="-4"/>
        </w:rPr>
        <w:t> </w:t>
      </w:r>
      <w:r>
        <w:rPr>
          <w:spacing w:val="-2"/>
        </w:rPr>
        <w:t>consumer</w:t>
      </w:r>
      <w:r>
        <w:rPr>
          <w:spacing w:val="-4"/>
        </w:rPr>
        <w:t> </w:t>
      </w:r>
      <w:r>
        <w:rPr>
          <w:spacing w:val="-2"/>
        </w:rPr>
        <w:t>experiences across</w:t>
      </w:r>
      <w:r>
        <w:rPr>
          <w:spacing w:val="-4"/>
        </w:rPr>
        <w:t> </w:t>
      </w:r>
      <w:r>
        <w:rPr>
          <w:spacing w:val="-2"/>
        </w:rPr>
        <w:t>channels,</w:t>
      </w:r>
      <w:r>
        <w:rPr>
          <w:spacing w:val="-4"/>
        </w:rPr>
        <w:t> </w:t>
      </w:r>
      <w:r>
        <w:rPr>
          <w:spacing w:val="-2"/>
        </w:rPr>
        <w:t>from</w:t>
      </w:r>
      <w:r>
        <w:rPr>
          <w:spacing w:val="-4"/>
        </w:rPr>
        <w:t> </w:t>
      </w:r>
      <w:r>
        <w:rPr>
          <w:spacing w:val="-2"/>
        </w:rPr>
        <w:t>one-off</w:t>
      </w:r>
      <w:r>
        <w:rPr>
          <w:spacing w:val="-4"/>
        </w:rPr>
        <w:t> </w:t>
      </w:r>
      <w:r>
        <w:rPr>
          <w:spacing w:val="-2"/>
        </w:rPr>
        <w:t>campaigns</w:t>
      </w:r>
      <w:r>
        <w:rPr>
          <w:spacing w:val="-4"/>
        </w:rPr>
        <w:t> </w:t>
      </w:r>
      <w:r>
        <w:rPr>
          <w:spacing w:val="-2"/>
        </w:rPr>
        <w:t>to</w:t>
      </w:r>
      <w:r>
        <w:rPr>
          <w:spacing w:val="-4"/>
        </w:rPr>
        <w:t> </w:t>
      </w:r>
      <w:r>
        <w:rPr>
          <w:spacing w:val="-2"/>
        </w:rPr>
        <w:t>triggered</w:t>
      </w:r>
      <w:r>
        <w:rPr>
          <w:spacing w:val="-4"/>
        </w:rPr>
        <w:t> </w:t>
      </w:r>
      <w:r>
        <w:rPr>
          <w:spacing w:val="-2"/>
        </w:rPr>
        <w:t>messages,</w:t>
      </w:r>
      <w:r>
        <w:rPr>
          <w:spacing w:val="-4"/>
        </w:rPr>
        <w:t> </w:t>
      </w:r>
      <w:r>
        <w:rPr>
          <w:spacing w:val="-2"/>
        </w:rPr>
        <w:t>with</w:t>
      </w:r>
      <w:r>
        <w:rPr>
          <w:spacing w:val="-4"/>
        </w:rPr>
        <w:t> </w:t>
      </w:r>
      <w:r>
        <w:rPr>
          <w:spacing w:val="-2"/>
        </w:rPr>
        <w:t>a</w:t>
      </w:r>
      <w:r>
        <w:rPr>
          <w:spacing w:val="-4"/>
        </w:rPr>
        <w:t> </w:t>
      </w:r>
      <w:r>
        <w:rPr>
          <w:spacing w:val="-2"/>
        </w:rPr>
        <w:t>graphically</w:t>
      </w:r>
      <w:r>
        <w:rPr>
          <w:spacing w:val="-4"/>
        </w:rPr>
        <w:t> </w:t>
      </w:r>
      <w:r>
        <w:rPr>
          <w:spacing w:val="-2"/>
        </w:rPr>
        <w:t>rich</w:t>
      </w:r>
      <w:r>
        <w:rPr>
          <w:spacing w:val="-4"/>
        </w:rPr>
        <w:t> </w:t>
      </w:r>
      <w:r>
        <w:rPr>
          <w:spacing w:val="-2"/>
        </w:rPr>
        <w:t>interface. </w:t>
      </w:r>
      <w:r>
        <w:rPr/>
        <w:t>Marketers can also integrate consumer data from across marketing channels to develop and deliver more relevant marketing experiences</w:t>
      </w:r>
      <w:r>
        <w:rPr>
          <w:spacing w:val="-3"/>
        </w:rPr>
        <w:t> </w:t>
      </w:r>
      <w:r>
        <w:rPr/>
        <w:t>to</w:t>
      </w:r>
      <w:r>
        <w:rPr>
          <w:spacing w:val="-4"/>
        </w:rPr>
        <w:t> </w:t>
      </w:r>
      <w:r>
        <w:rPr/>
        <w:t>their</w:t>
      </w:r>
      <w:r>
        <w:rPr>
          <w:spacing w:val="-4"/>
        </w:rPr>
        <w:t> </w:t>
      </w:r>
      <w:r>
        <w:rPr/>
        <w:t>consumers.</w:t>
      </w:r>
      <w:r>
        <w:rPr>
          <w:spacing w:val="-4"/>
        </w:rPr>
        <w:t> </w:t>
      </w:r>
      <w:r>
        <w:rPr/>
        <w:t>Features</w:t>
      </w:r>
      <w:r>
        <w:rPr>
          <w:spacing w:val="-3"/>
        </w:rPr>
        <w:t> </w:t>
      </w:r>
      <w:r>
        <w:rPr/>
        <w:t>also</w:t>
      </w:r>
      <w:r>
        <w:rPr>
          <w:spacing w:val="-4"/>
        </w:rPr>
        <w:t> </w:t>
      </w:r>
      <w:r>
        <w:rPr/>
        <w:t>include</w:t>
      </w:r>
      <w:r>
        <w:rPr>
          <w:spacing w:val="-4"/>
        </w:rPr>
        <w:t> </w:t>
      </w:r>
      <w:r>
        <w:rPr/>
        <w:t>targeted</w:t>
      </w:r>
      <w:r>
        <w:rPr>
          <w:spacing w:val="-4"/>
        </w:rPr>
        <w:t> </w:t>
      </w:r>
      <w:r>
        <w:rPr/>
        <w:t>segmentation,</w:t>
      </w:r>
      <w:r>
        <w:rPr>
          <w:spacing w:val="-4"/>
        </w:rPr>
        <w:t> </w:t>
      </w:r>
      <w:r>
        <w:rPr/>
        <w:t>multilingual</w:t>
      </w:r>
      <w:r>
        <w:rPr>
          <w:spacing w:val="-4"/>
        </w:rPr>
        <w:t> </w:t>
      </w:r>
      <w:r>
        <w:rPr/>
        <w:t>email</w:t>
      </w:r>
      <w:r>
        <w:rPr>
          <w:spacing w:val="-4"/>
        </w:rPr>
        <w:t> </w:t>
      </w:r>
      <w:r>
        <w:rPr/>
        <w:t>execution,</w:t>
      </w:r>
      <w:r>
        <w:rPr>
          <w:spacing w:val="-4"/>
        </w:rPr>
        <w:t> </w:t>
      </w:r>
      <w:r>
        <w:rPr/>
        <w:t>real-time</w:t>
      </w:r>
      <w:r>
        <w:rPr>
          <w:spacing w:val="-4"/>
        </w:rPr>
        <w:t> </w:t>
      </w:r>
      <w:r>
        <w:rPr/>
        <w:t>interaction, in-app messaging, and operational reporting to easily see how well campaigns are performing.</w:t>
      </w:r>
    </w:p>
    <w:p>
      <w:pPr>
        <w:spacing w:after="0" w:line="249" w:lineRule="auto"/>
        <w:jc w:val="both"/>
        <w:sectPr>
          <w:pgSz w:w="12240" w:h="15840"/>
          <w:pgMar w:header="210" w:footer="599" w:top="420" w:bottom="800" w:left="780" w:right="740"/>
        </w:sectPr>
      </w:pPr>
    </w:p>
    <w:p>
      <w:pPr>
        <w:pStyle w:val="BodyText"/>
        <w:spacing w:before="150"/>
      </w:pPr>
    </w:p>
    <w:p>
      <w:pPr>
        <w:spacing w:before="0"/>
        <w:ind w:left="760" w:right="0" w:firstLine="0"/>
        <w:jc w:val="left"/>
        <w:rPr>
          <w:i/>
          <w:sz w:val="20"/>
        </w:rPr>
      </w:pPr>
      <w:r>
        <w:rPr>
          <w:i/>
          <w:sz w:val="20"/>
        </w:rPr>
        <w:t>Adobe</w:t>
      </w:r>
      <w:r>
        <w:rPr>
          <w:i/>
          <w:spacing w:val="-3"/>
          <w:sz w:val="20"/>
        </w:rPr>
        <w:t> </w:t>
      </w:r>
      <w:r>
        <w:rPr>
          <w:i/>
          <w:spacing w:val="-2"/>
          <w:sz w:val="20"/>
        </w:rPr>
        <w:t>Target</w:t>
      </w:r>
    </w:p>
    <w:p>
      <w:pPr>
        <w:pStyle w:val="BodyText"/>
        <w:spacing w:line="249" w:lineRule="auto" w:before="170"/>
        <w:ind w:left="220" w:right="257" w:firstLine="540"/>
        <w:jc w:val="both"/>
      </w:pPr>
      <w:r>
        <w:rPr/>
        <w:t>Adobe Target lets our customers test, target and personalize content across multiple devices. With Adobe Target, our customers</w:t>
      </w:r>
      <w:r>
        <w:rPr>
          <w:spacing w:val="-4"/>
        </w:rPr>
        <w:t> </w:t>
      </w:r>
      <w:r>
        <w:rPr/>
        <w:t>have</w:t>
      </w:r>
      <w:r>
        <w:rPr>
          <w:spacing w:val="-4"/>
        </w:rPr>
        <w:t> </w:t>
      </w:r>
      <w:r>
        <w:rPr/>
        <w:t>the</w:t>
      </w:r>
      <w:r>
        <w:rPr>
          <w:spacing w:val="-4"/>
        </w:rPr>
        <w:t> </w:t>
      </w:r>
      <w:r>
        <w:rPr/>
        <w:t>tools</w:t>
      </w:r>
      <w:r>
        <w:rPr>
          <w:spacing w:val="-4"/>
        </w:rPr>
        <w:t> </w:t>
      </w:r>
      <w:r>
        <w:rPr/>
        <w:t>they</w:t>
      </w:r>
      <w:r>
        <w:rPr>
          <w:spacing w:val="-4"/>
        </w:rPr>
        <w:t> </w:t>
      </w:r>
      <w:r>
        <w:rPr/>
        <w:t>need</w:t>
      </w:r>
      <w:r>
        <w:rPr>
          <w:spacing w:val="-4"/>
        </w:rPr>
        <w:t> </w:t>
      </w:r>
      <w:r>
        <w:rPr/>
        <w:t>to</w:t>
      </w:r>
      <w:r>
        <w:rPr>
          <w:spacing w:val="-4"/>
        </w:rPr>
        <w:t> </w:t>
      </w:r>
      <w:r>
        <w:rPr/>
        <w:t>quickly</w:t>
      </w:r>
      <w:r>
        <w:rPr>
          <w:spacing w:val="-4"/>
        </w:rPr>
        <w:t> </w:t>
      </w:r>
      <w:r>
        <w:rPr/>
        <w:t>discover</w:t>
      </w:r>
      <w:r>
        <w:rPr>
          <w:spacing w:val="-4"/>
        </w:rPr>
        <w:t> </w:t>
      </w:r>
      <w:r>
        <w:rPr/>
        <w:t>what</w:t>
      </w:r>
      <w:r>
        <w:rPr>
          <w:spacing w:val="-4"/>
        </w:rPr>
        <w:t> </w:t>
      </w:r>
      <w:r>
        <w:rPr/>
        <w:t>gets</w:t>
      </w:r>
      <w:r>
        <w:rPr>
          <w:spacing w:val="-4"/>
        </w:rPr>
        <w:t> </w:t>
      </w:r>
      <w:r>
        <w:rPr/>
        <w:t>noticed,</w:t>
      </w:r>
      <w:r>
        <w:rPr>
          <w:spacing w:val="-4"/>
        </w:rPr>
        <w:t> </w:t>
      </w:r>
      <w:r>
        <w:rPr/>
        <w:t>what</w:t>
      </w:r>
      <w:r>
        <w:rPr>
          <w:spacing w:val="-4"/>
        </w:rPr>
        <w:t> </w:t>
      </w:r>
      <w:r>
        <w:rPr/>
        <w:t>increases</w:t>
      </w:r>
      <w:r>
        <w:rPr>
          <w:spacing w:val="-4"/>
        </w:rPr>
        <w:t> </w:t>
      </w:r>
      <w:r>
        <w:rPr/>
        <w:t>conversion,</w:t>
      </w:r>
      <w:r>
        <w:rPr>
          <w:spacing w:val="-4"/>
        </w:rPr>
        <w:t> </w:t>
      </w:r>
      <w:r>
        <w:rPr/>
        <w:t>and</w:t>
      </w:r>
      <w:r>
        <w:rPr>
          <w:spacing w:val="-4"/>
        </w:rPr>
        <w:t> </w:t>
      </w:r>
      <w:r>
        <w:rPr/>
        <w:t>what</w:t>
      </w:r>
      <w:r>
        <w:rPr>
          <w:spacing w:val="-4"/>
        </w:rPr>
        <w:t> </w:t>
      </w:r>
      <w:r>
        <w:rPr/>
        <w:t>keeps</w:t>
      </w:r>
      <w:r>
        <w:rPr>
          <w:spacing w:val="-4"/>
        </w:rPr>
        <w:t> </w:t>
      </w:r>
      <w:r>
        <w:rPr/>
        <w:t>consumers coming back for more. It paves a path from simple testing to targeting to true segmentation and optimization through</w:t>
      </w:r>
      <w:r>
        <w:rPr>
          <w:spacing w:val="-6"/>
        </w:rPr>
        <w:t> </w:t>
      </w:r>
      <w:r>
        <w:rPr/>
        <w:t>A/B and multivariate testing, content targeting and automated decision-making.</w:t>
      </w:r>
      <w:r>
        <w:rPr>
          <w:spacing w:val="40"/>
        </w:rPr>
        <w:t> </w:t>
      </w:r>
      <w:r>
        <w:rPr/>
        <w:t>Adobe Target capabilities also enable our customers to test and target adaptive or responsive mobile web experiences.</w:t>
      </w:r>
    </w:p>
    <w:p>
      <w:pPr>
        <w:spacing w:before="164"/>
        <w:ind w:left="760" w:right="0" w:firstLine="0"/>
        <w:jc w:val="left"/>
        <w:rPr>
          <w:i/>
          <w:sz w:val="20"/>
        </w:rPr>
      </w:pPr>
      <w:r>
        <w:rPr>
          <w:i/>
          <w:sz w:val="20"/>
        </w:rPr>
        <w:t>Adobe</w:t>
      </w:r>
      <w:r>
        <w:rPr>
          <w:i/>
          <w:spacing w:val="-1"/>
          <w:sz w:val="20"/>
        </w:rPr>
        <w:t> </w:t>
      </w:r>
      <w:r>
        <w:rPr>
          <w:i/>
          <w:spacing w:val="-2"/>
          <w:sz w:val="20"/>
        </w:rPr>
        <w:t>Primetime</w:t>
      </w:r>
    </w:p>
    <w:p>
      <w:pPr>
        <w:pStyle w:val="BodyText"/>
        <w:spacing w:line="249" w:lineRule="auto" w:before="170"/>
        <w:ind w:left="220" w:right="257" w:firstLine="540"/>
        <w:jc w:val="both"/>
      </w:pPr>
      <w:r>
        <w:rPr/>
        <w:t>Adobe Primetime is a multiscreen</w:t>
      </w:r>
      <w:r>
        <w:rPr>
          <w:spacing w:val="-1"/>
        </w:rPr>
        <w:t> </w:t>
      </w:r>
      <w:r>
        <w:rPr/>
        <w:t>TV</w:t>
      </w:r>
      <w:r>
        <w:rPr>
          <w:spacing w:val="-1"/>
        </w:rPr>
        <w:t> </w:t>
      </w:r>
      <w:r>
        <w:rPr/>
        <w:t>platform that helps broadcasters, cable networks, and service providers create and monetize engaging, personalized viewing experiences. When integrated with</w:t>
      </w:r>
      <w:r>
        <w:rPr>
          <w:spacing w:val="-7"/>
        </w:rPr>
        <w:t> </w:t>
      </w:r>
      <w:r>
        <w:rPr/>
        <w:t>Adobe Experience Cloud solutions, media sellers can optimize campaign and advertisement delivery in real time.</w:t>
      </w:r>
    </w:p>
    <w:p>
      <w:pPr>
        <w:pStyle w:val="Heading3"/>
        <w:spacing w:before="162"/>
        <w:ind w:left="0" w:right="8616"/>
        <w:jc w:val="right"/>
      </w:pPr>
      <w:r>
        <w:rPr/>
        <w:t>Adobe</w:t>
      </w:r>
      <w:r>
        <w:rPr>
          <w:spacing w:val="-12"/>
        </w:rPr>
        <w:t> </w:t>
      </w:r>
      <w:r>
        <w:rPr/>
        <w:t>Analytics</w:t>
      </w:r>
      <w:r>
        <w:rPr>
          <w:spacing w:val="-4"/>
        </w:rPr>
        <w:t> </w:t>
      </w:r>
      <w:r>
        <w:rPr>
          <w:spacing w:val="-2"/>
        </w:rPr>
        <w:t>Cloud</w:t>
      </w:r>
    </w:p>
    <w:p>
      <w:pPr>
        <w:pStyle w:val="BodyText"/>
        <w:spacing w:line="249" w:lineRule="auto" w:before="170"/>
        <w:ind w:left="220" w:right="257" w:firstLine="540"/>
        <w:jc w:val="both"/>
      </w:pPr>
      <w:r>
        <w:rPr/>
        <w:t>Adobe</w:t>
      </w:r>
      <w:r>
        <w:rPr>
          <w:spacing w:val="-7"/>
        </w:rPr>
        <w:t> </w:t>
      </w:r>
      <w:r>
        <w:rPr/>
        <w:t>Analytics Cloud provides a core intelligence engine for enterprises that allow customers to put real-time insights into</w:t>
      </w:r>
      <w:r>
        <w:rPr>
          <w:spacing w:val="-13"/>
        </w:rPr>
        <w:t> </w:t>
      </w:r>
      <w:r>
        <w:rPr/>
        <w:t>action.</w:t>
      </w:r>
      <w:r>
        <w:rPr>
          <w:spacing w:val="7"/>
        </w:rPr>
        <w:t> </w:t>
      </w:r>
      <w:r>
        <w:rPr/>
        <w:t>With</w:t>
      </w:r>
      <w:r>
        <w:rPr>
          <w:spacing w:val="-12"/>
        </w:rPr>
        <w:t> </w:t>
      </w:r>
      <w:r>
        <w:rPr/>
        <w:t>Adobe</w:t>
      </w:r>
      <w:r>
        <w:rPr>
          <w:spacing w:val="-13"/>
        </w:rPr>
        <w:t> </w:t>
      </w:r>
      <w:r>
        <w:rPr/>
        <w:t>Analytics</w:t>
      </w:r>
      <w:r>
        <w:rPr>
          <w:spacing w:val="-12"/>
        </w:rPr>
        <w:t> </w:t>
      </w:r>
      <w:r>
        <w:rPr/>
        <w:t>Cloud,</w:t>
      </w:r>
      <w:r>
        <w:rPr>
          <w:spacing w:val="-13"/>
        </w:rPr>
        <w:t> </w:t>
      </w:r>
      <w:r>
        <w:rPr/>
        <w:t>enterprise-level</w:t>
      </w:r>
      <w:r>
        <w:rPr>
          <w:spacing w:val="-12"/>
        </w:rPr>
        <w:t> </w:t>
      </w:r>
      <w:r>
        <w:rPr/>
        <w:t>marketing</w:t>
      </w:r>
      <w:r>
        <w:rPr>
          <w:spacing w:val="-13"/>
        </w:rPr>
        <w:t> </w:t>
      </w:r>
      <w:r>
        <w:rPr/>
        <w:t>analytics</w:t>
      </w:r>
      <w:r>
        <w:rPr>
          <w:spacing w:val="-12"/>
        </w:rPr>
        <w:t> </w:t>
      </w:r>
      <w:r>
        <w:rPr/>
        <w:t>is</w:t>
      </w:r>
      <w:r>
        <w:rPr>
          <w:spacing w:val="-13"/>
        </w:rPr>
        <w:t> </w:t>
      </w:r>
      <w:r>
        <w:rPr/>
        <w:t>made</w:t>
      </w:r>
      <w:r>
        <w:rPr>
          <w:spacing w:val="-12"/>
        </w:rPr>
        <w:t> </w:t>
      </w:r>
      <w:r>
        <w:rPr/>
        <w:t>understandable</w:t>
      </w:r>
      <w:r>
        <w:rPr>
          <w:spacing w:val="-13"/>
        </w:rPr>
        <w:t> </w:t>
      </w:r>
      <w:r>
        <w:rPr/>
        <w:t>and</w:t>
      </w:r>
      <w:r>
        <w:rPr>
          <w:spacing w:val="-12"/>
        </w:rPr>
        <w:t> </w:t>
      </w:r>
      <w:r>
        <w:rPr/>
        <w:t>accessible</w:t>
      </w:r>
      <w:r>
        <w:rPr>
          <w:spacing w:val="-13"/>
        </w:rPr>
        <w:t> </w:t>
      </w:r>
      <w:r>
        <w:rPr/>
        <w:t>to</w:t>
      </w:r>
      <w:r>
        <w:rPr>
          <w:spacing w:val="-12"/>
        </w:rPr>
        <w:t> </w:t>
      </w:r>
      <w:r>
        <w:rPr/>
        <w:t>everyone in</w:t>
      </w:r>
      <w:r>
        <w:rPr>
          <w:spacing w:val="-5"/>
        </w:rPr>
        <w:t> </w:t>
      </w:r>
      <w:r>
        <w:rPr/>
        <w:t>the</w:t>
      </w:r>
      <w:r>
        <w:rPr>
          <w:spacing w:val="-5"/>
        </w:rPr>
        <w:t> </w:t>
      </w:r>
      <w:r>
        <w:rPr/>
        <w:t>organization;</w:t>
      </w:r>
      <w:r>
        <w:rPr>
          <w:spacing w:val="-6"/>
        </w:rPr>
        <w:t> </w:t>
      </w:r>
      <w:r>
        <w:rPr/>
        <w:t>targeting</w:t>
      </w:r>
      <w:r>
        <w:rPr>
          <w:spacing w:val="-5"/>
        </w:rPr>
        <w:t> </w:t>
      </w:r>
      <w:r>
        <w:rPr/>
        <w:t>is</w:t>
      </w:r>
      <w:r>
        <w:rPr>
          <w:spacing w:val="-5"/>
        </w:rPr>
        <w:t> </w:t>
      </w:r>
      <w:r>
        <w:rPr/>
        <w:t>improved,</w:t>
      </w:r>
      <w:r>
        <w:rPr>
          <w:spacing w:val="-5"/>
        </w:rPr>
        <w:t> </w:t>
      </w:r>
      <w:r>
        <w:rPr/>
        <w:t>as</w:t>
      </w:r>
      <w:r>
        <w:rPr>
          <w:spacing w:val="-5"/>
        </w:rPr>
        <w:t> </w:t>
      </w:r>
      <w:r>
        <w:rPr/>
        <w:t>our</w:t>
      </w:r>
      <w:r>
        <w:rPr>
          <w:spacing w:val="-5"/>
        </w:rPr>
        <w:t> </w:t>
      </w:r>
      <w:r>
        <w:rPr/>
        <w:t>customers</w:t>
      </w:r>
      <w:r>
        <w:rPr>
          <w:spacing w:val="-5"/>
        </w:rPr>
        <w:t> </w:t>
      </w:r>
      <w:r>
        <w:rPr/>
        <w:t>can</w:t>
      </w:r>
      <w:r>
        <w:rPr>
          <w:spacing w:val="-5"/>
        </w:rPr>
        <w:t> </w:t>
      </w:r>
      <w:r>
        <w:rPr/>
        <w:t>connect</w:t>
      </w:r>
      <w:r>
        <w:rPr>
          <w:spacing w:val="-6"/>
        </w:rPr>
        <w:t> </w:t>
      </w:r>
      <w:r>
        <w:rPr/>
        <w:t>their</w:t>
      </w:r>
      <w:r>
        <w:rPr>
          <w:spacing w:val="-5"/>
        </w:rPr>
        <w:t> </w:t>
      </w:r>
      <w:r>
        <w:rPr/>
        <w:t>analytics</w:t>
      </w:r>
      <w:r>
        <w:rPr>
          <w:spacing w:val="-5"/>
        </w:rPr>
        <w:t> </w:t>
      </w:r>
      <w:r>
        <w:rPr/>
        <w:t>with</w:t>
      </w:r>
      <w:r>
        <w:rPr>
          <w:spacing w:val="-5"/>
        </w:rPr>
        <w:t> </w:t>
      </w:r>
      <w:r>
        <w:rPr/>
        <w:t>real-time</w:t>
      </w:r>
      <w:r>
        <w:rPr>
          <w:spacing w:val="-6"/>
        </w:rPr>
        <w:t> </w:t>
      </w:r>
      <w:r>
        <w:rPr/>
        <w:t>activation</w:t>
      </w:r>
      <w:r>
        <w:rPr>
          <w:spacing w:val="-5"/>
        </w:rPr>
        <w:t> </w:t>
      </w:r>
      <w:r>
        <w:rPr/>
        <w:t>so</w:t>
      </w:r>
      <w:r>
        <w:rPr>
          <w:spacing w:val="-5"/>
        </w:rPr>
        <w:t> </w:t>
      </w:r>
      <w:r>
        <w:rPr/>
        <w:t>the</w:t>
      </w:r>
      <w:r>
        <w:rPr>
          <w:spacing w:val="-5"/>
        </w:rPr>
        <w:t> </w:t>
      </w:r>
      <w:r>
        <w:rPr/>
        <w:t>transition from insight to action is fast; users are provided with an objective view of their customers’</w:t>
      </w:r>
      <w:r>
        <w:rPr>
          <w:spacing w:val="-1"/>
        </w:rPr>
        <w:t> </w:t>
      </w:r>
      <w:r>
        <w:rPr/>
        <w:t>journeys across every device and </w:t>
      </w:r>
      <w:r>
        <w:rPr>
          <w:spacing w:val="-2"/>
        </w:rPr>
        <w:t>channel</w:t>
      </w:r>
      <w:r>
        <w:rPr>
          <w:spacing w:val="-4"/>
        </w:rPr>
        <w:t> </w:t>
      </w:r>
      <w:r>
        <w:rPr>
          <w:spacing w:val="-2"/>
        </w:rPr>
        <w:t>that</w:t>
      </w:r>
      <w:r>
        <w:rPr>
          <w:spacing w:val="-4"/>
        </w:rPr>
        <w:t> </w:t>
      </w:r>
      <w:r>
        <w:rPr>
          <w:spacing w:val="-2"/>
        </w:rPr>
        <w:t>helps</w:t>
      </w:r>
      <w:r>
        <w:rPr>
          <w:spacing w:val="-4"/>
        </w:rPr>
        <w:t> </w:t>
      </w:r>
      <w:r>
        <w:rPr>
          <w:spacing w:val="-2"/>
        </w:rPr>
        <w:t>them</w:t>
      </w:r>
      <w:r>
        <w:rPr>
          <w:spacing w:val="-4"/>
        </w:rPr>
        <w:t> </w:t>
      </w:r>
      <w:r>
        <w:rPr>
          <w:spacing w:val="-2"/>
        </w:rPr>
        <w:t>achieve</w:t>
      </w:r>
      <w:r>
        <w:rPr>
          <w:spacing w:val="-4"/>
        </w:rPr>
        <w:t> </w:t>
      </w:r>
      <w:r>
        <w:rPr>
          <w:spacing w:val="-2"/>
        </w:rPr>
        <w:t>better</w:t>
      </w:r>
      <w:r>
        <w:rPr>
          <w:spacing w:val="-4"/>
        </w:rPr>
        <w:t> </w:t>
      </w:r>
      <w:r>
        <w:rPr>
          <w:spacing w:val="-2"/>
        </w:rPr>
        <w:t>understanding</w:t>
      </w:r>
      <w:r>
        <w:rPr>
          <w:spacing w:val="-4"/>
        </w:rPr>
        <w:t> </w:t>
      </w:r>
      <w:r>
        <w:rPr>
          <w:spacing w:val="-2"/>
        </w:rPr>
        <w:t>of</w:t>
      </w:r>
      <w:r>
        <w:rPr>
          <w:spacing w:val="-4"/>
        </w:rPr>
        <w:t> </w:t>
      </w:r>
      <w:r>
        <w:rPr>
          <w:spacing w:val="-2"/>
        </w:rPr>
        <w:t>their</w:t>
      </w:r>
      <w:r>
        <w:rPr>
          <w:spacing w:val="-4"/>
        </w:rPr>
        <w:t> </w:t>
      </w:r>
      <w:r>
        <w:rPr>
          <w:spacing w:val="-2"/>
        </w:rPr>
        <w:t>ROI;</w:t>
      </w:r>
      <w:r>
        <w:rPr>
          <w:spacing w:val="-4"/>
        </w:rPr>
        <w:t> </w:t>
      </w:r>
      <w:r>
        <w:rPr>
          <w:spacing w:val="-2"/>
        </w:rPr>
        <w:t>and</w:t>
      </w:r>
      <w:r>
        <w:rPr>
          <w:spacing w:val="-4"/>
        </w:rPr>
        <w:t> </w:t>
      </w:r>
      <w:r>
        <w:rPr>
          <w:spacing w:val="-2"/>
        </w:rPr>
        <w:t>segmentation</w:t>
      </w:r>
      <w:r>
        <w:rPr>
          <w:spacing w:val="-4"/>
        </w:rPr>
        <w:t> </w:t>
      </w:r>
      <w:r>
        <w:rPr>
          <w:spacing w:val="-2"/>
        </w:rPr>
        <w:t>is</w:t>
      </w:r>
      <w:r>
        <w:rPr>
          <w:spacing w:val="-4"/>
        </w:rPr>
        <w:t> </w:t>
      </w:r>
      <w:r>
        <w:rPr>
          <w:spacing w:val="-2"/>
        </w:rPr>
        <w:t>more</w:t>
      </w:r>
      <w:r>
        <w:rPr>
          <w:spacing w:val="-4"/>
        </w:rPr>
        <w:t> </w:t>
      </w:r>
      <w:r>
        <w:rPr>
          <w:spacing w:val="-2"/>
        </w:rPr>
        <w:t>precise</w:t>
      </w:r>
      <w:r>
        <w:rPr>
          <w:spacing w:val="-4"/>
        </w:rPr>
        <w:t> </w:t>
      </w:r>
      <w:r>
        <w:rPr>
          <w:spacing w:val="-2"/>
        </w:rPr>
        <w:t>as</w:t>
      </w:r>
      <w:r>
        <w:rPr>
          <w:spacing w:val="-4"/>
        </w:rPr>
        <w:t> </w:t>
      </w:r>
      <w:r>
        <w:rPr>
          <w:spacing w:val="-2"/>
        </w:rPr>
        <w:t>our</w:t>
      </w:r>
      <w:r>
        <w:rPr>
          <w:spacing w:val="-4"/>
        </w:rPr>
        <w:t> </w:t>
      </w:r>
      <w:r>
        <w:rPr>
          <w:spacing w:val="-2"/>
        </w:rPr>
        <w:t>customers</w:t>
      </w:r>
      <w:r>
        <w:rPr>
          <w:spacing w:val="-4"/>
        </w:rPr>
        <w:t> </w:t>
      </w:r>
      <w:r>
        <w:rPr>
          <w:spacing w:val="-2"/>
        </w:rPr>
        <w:t>can</w:t>
      </w:r>
      <w:r>
        <w:rPr>
          <w:spacing w:val="-4"/>
        </w:rPr>
        <w:t> </w:t>
      </w:r>
      <w:r>
        <w:rPr>
          <w:spacing w:val="-2"/>
        </w:rPr>
        <w:t>discover </w:t>
      </w:r>
      <w:r>
        <w:rPr/>
        <w:t>and</w:t>
      </w:r>
      <w:r>
        <w:rPr>
          <w:spacing w:val="-4"/>
        </w:rPr>
        <w:t> </w:t>
      </w:r>
      <w:r>
        <w:rPr/>
        <w:t>create</w:t>
      </w:r>
      <w:r>
        <w:rPr>
          <w:spacing w:val="-4"/>
        </w:rPr>
        <w:t> </w:t>
      </w:r>
      <w:r>
        <w:rPr/>
        <w:t>high-value</w:t>
      </w:r>
      <w:r>
        <w:rPr>
          <w:spacing w:val="-4"/>
        </w:rPr>
        <w:t> </w:t>
      </w:r>
      <w:r>
        <w:rPr/>
        <w:t>audiences</w:t>
      </w:r>
      <w:r>
        <w:rPr>
          <w:spacing w:val="-4"/>
        </w:rPr>
        <w:t> </w:t>
      </w:r>
      <w:r>
        <w:rPr/>
        <w:t>and</w:t>
      </w:r>
      <w:r>
        <w:rPr>
          <w:spacing w:val="-4"/>
        </w:rPr>
        <w:t> </w:t>
      </w:r>
      <w:r>
        <w:rPr/>
        <w:t>understand</w:t>
      </w:r>
      <w:r>
        <w:rPr>
          <w:spacing w:val="-4"/>
        </w:rPr>
        <w:t> </w:t>
      </w:r>
      <w:r>
        <w:rPr/>
        <w:t>the</w:t>
      </w:r>
      <w:r>
        <w:rPr>
          <w:spacing w:val="-4"/>
        </w:rPr>
        <w:t> </w:t>
      </w:r>
      <w:r>
        <w:rPr/>
        <w:t>best</w:t>
      </w:r>
      <w:r>
        <w:rPr>
          <w:spacing w:val="-4"/>
        </w:rPr>
        <w:t> </w:t>
      </w:r>
      <w:r>
        <w:rPr/>
        <w:t>way</w:t>
      </w:r>
      <w:r>
        <w:rPr>
          <w:spacing w:val="-4"/>
        </w:rPr>
        <w:t> </w:t>
      </w:r>
      <w:r>
        <w:rPr/>
        <w:t>to</w:t>
      </w:r>
      <w:r>
        <w:rPr>
          <w:spacing w:val="-4"/>
        </w:rPr>
        <w:t> </w:t>
      </w:r>
      <w:r>
        <w:rPr/>
        <w:t>reach</w:t>
      </w:r>
      <w:r>
        <w:rPr>
          <w:spacing w:val="-4"/>
        </w:rPr>
        <w:t> </w:t>
      </w:r>
      <w:r>
        <w:rPr/>
        <w:t>them.</w:t>
      </w:r>
      <w:r>
        <w:rPr>
          <w:spacing w:val="40"/>
        </w:rPr>
        <w:t> </w:t>
      </w:r>
      <w:r>
        <w:rPr/>
        <w:t>The</w:t>
      </w:r>
      <w:r>
        <w:rPr>
          <w:spacing w:val="-4"/>
        </w:rPr>
        <w:t> </w:t>
      </w:r>
      <w:r>
        <w:rPr/>
        <w:t>following</w:t>
      </w:r>
      <w:r>
        <w:rPr>
          <w:spacing w:val="-4"/>
        </w:rPr>
        <w:t> </w:t>
      </w:r>
      <w:r>
        <w:rPr/>
        <w:t>is</w:t>
      </w:r>
      <w:r>
        <w:rPr>
          <w:spacing w:val="-4"/>
        </w:rPr>
        <w:t> </w:t>
      </w:r>
      <w:r>
        <w:rPr/>
        <w:t>a</w:t>
      </w:r>
      <w:r>
        <w:rPr>
          <w:spacing w:val="-4"/>
        </w:rPr>
        <w:t> </w:t>
      </w:r>
      <w:r>
        <w:rPr/>
        <w:t>brief</w:t>
      </w:r>
      <w:r>
        <w:rPr>
          <w:spacing w:val="-4"/>
        </w:rPr>
        <w:t> </w:t>
      </w:r>
      <w:r>
        <w:rPr/>
        <w:t>description</w:t>
      </w:r>
      <w:r>
        <w:rPr>
          <w:spacing w:val="-4"/>
        </w:rPr>
        <w:t> </w:t>
      </w:r>
      <w:r>
        <w:rPr/>
        <w:t>of</w:t>
      </w:r>
      <w:r>
        <w:rPr>
          <w:spacing w:val="-4"/>
        </w:rPr>
        <w:t> </w:t>
      </w:r>
      <w:r>
        <w:rPr/>
        <w:t>the</w:t>
      </w:r>
      <w:r>
        <w:rPr>
          <w:spacing w:val="-4"/>
        </w:rPr>
        <w:t> </w:t>
      </w:r>
      <w:r>
        <w:rPr/>
        <w:t>solutions that comprise the Adobe Analytics Cloud.</w:t>
      </w:r>
    </w:p>
    <w:p>
      <w:pPr>
        <w:spacing w:before="166"/>
        <w:ind w:left="0" w:right="8656" w:firstLine="0"/>
        <w:jc w:val="right"/>
        <w:rPr>
          <w:i/>
          <w:sz w:val="20"/>
        </w:rPr>
      </w:pPr>
      <w:r>
        <w:rPr>
          <w:i/>
          <w:sz w:val="20"/>
        </w:rPr>
        <w:t>Adobe</w:t>
      </w:r>
      <w:r>
        <w:rPr>
          <w:i/>
          <w:spacing w:val="-4"/>
          <w:sz w:val="20"/>
        </w:rPr>
        <w:t> </w:t>
      </w:r>
      <w:r>
        <w:rPr>
          <w:i/>
          <w:spacing w:val="-2"/>
          <w:sz w:val="20"/>
        </w:rPr>
        <w:t>Analytics</w:t>
      </w:r>
    </w:p>
    <w:p>
      <w:pPr>
        <w:pStyle w:val="BodyText"/>
        <w:spacing w:line="249" w:lineRule="auto" w:before="170"/>
        <w:ind w:left="220" w:right="257" w:firstLine="540"/>
        <w:jc w:val="both"/>
      </w:pPr>
      <w:r>
        <w:rPr/>
        <w:t>Adobe</w:t>
      </w:r>
      <w:r>
        <w:rPr>
          <w:spacing w:val="-13"/>
        </w:rPr>
        <w:t> </w:t>
      </w:r>
      <w:r>
        <w:rPr/>
        <w:t>Analytics</w:t>
      </w:r>
      <w:r>
        <w:rPr>
          <w:spacing w:val="-12"/>
        </w:rPr>
        <w:t> </w:t>
      </w:r>
      <w:r>
        <w:rPr/>
        <w:t>is</w:t>
      </w:r>
      <w:r>
        <w:rPr>
          <w:spacing w:val="-13"/>
        </w:rPr>
        <w:t> </w:t>
      </w:r>
      <w:r>
        <w:rPr/>
        <w:t>our</w:t>
      </w:r>
      <w:r>
        <w:rPr>
          <w:spacing w:val="-12"/>
        </w:rPr>
        <w:t> </w:t>
      </w:r>
      <w:r>
        <w:rPr/>
        <w:t>industry</w:t>
      </w:r>
      <w:r>
        <w:rPr>
          <w:spacing w:val="-12"/>
        </w:rPr>
        <w:t> </w:t>
      </w:r>
      <w:r>
        <w:rPr/>
        <w:t>leading</w:t>
      </w:r>
      <w:r>
        <w:rPr>
          <w:spacing w:val="-11"/>
        </w:rPr>
        <w:t> </w:t>
      </w:r>
      <w:r>
        <w:rPr/>
        <w:t>solution</w:t>
      </w:r>
      <w:r>
        <w:rPr>
          <w:spacing w:val="-11"/>
        </w:rPr>
        <w:t> </w:t>
      </w:r>
      <w:r>
        <w:rPr/>
        <w:t>that</w:t>
      </w:r>
      <w:r>
        <w:rPr>
          <w:spacing w:val="-11"/>
        </w:rPr>
        <w:t> </w:t>
      </w:r>
      <w:r>
        <w:rPr/>
        <w:t>helps</w:t>
      </w:r>
      <w:r>
        <w:rPr>
          <w:spacing w:val="-11"/>
        </w:rPr>
        <w:t> </w:t>
      </w:r>
      <w:r>
        <w:rPr/>
        <w:t>our</w:t>
      </w:r>
      <w:r>
        <w:rPr>
          <w:spacing w:val="-11"/>
        </w:rPr>
        <w:t> </w:t>
      </w:r>
      <w:r>
        <w:rPr/>
        <w:t>customers</w:t>
      </w:r>
      <w:r>
        <w:rPr>
          <w:spacing w:val="-11"/>
        </w:rPr>
        <w:t> </w:t>
      </w:r>
      <w:r>
        <w:rPr/>
        <w:t>create</w:t>
      </w:r>
      <w:r>
        <w:rPr>
          <w:spacing w:val="-11"/>
        </w:rPr>
        <w:t> </w:t>
      </w:r>
      <w:r>
        <w:rPr/>
        <w:t>a</w:t>
      </w:r>
      <w:r>
        <w:rPr>
          <w:spacing w:val="-11"/>
        </w:rPr>
        <w:t> </w:t>
      </w:r>
      <w:r>
        <w:rPr/>
        <w:t>holistic</w:t>
      </w:r>
      <w:r>
        <w:rPr>
          <w:spacing w:val="-11"/>
        </w:rPr>
        <w:t> </w:t>
      </w:r>
      <w:r>
        <w:rPr/>
        <w:t>view</w:t>
      </w:r>
      <w:r>
        <w:rPr>
          <w:spacing w:val="-11"/>
        </w:rPr>
        <w:t> </w:t>
      </w:r>
      <w:r>
        <w:rPr/>
        <w:t>of</w:t>
      </w:r>
      <w:r>
        <w:rPr>
          <w:spacing w:val="-11"/>
        </w:rPr>
        <w:t> </w:t>
      </w:r>
      <w:r>
        <w:rPr/>
        <w:t>their</w:t>
      </w:r>
      <w:r>
        <w:rPr>
          <w:spacing w:val="-11"/>
        </w:rPr>
        <w:t> </w:t>
      </w:r>
      <w:r>
        <w:rPr/>
        <w:t>business</w:t>
      </w:r>
      <w:r>
        <w:rPr>
          <w:spacing w:val="-11"/>
        </w:rPr>
        <w:t> </w:t>
      </w:r>
      <w:r>
        <w:rPr/>
        <w:t>by</w:t>
      </w:r>
      <w:r>
        <w:rPr>
          <w:spacing w:val="-11"/>
        </w:rPr>
        <w:t> </w:t>
      </w:r>
      <w:r>
        <w:rPr/>
        <w:t>turning consumer</w:t>
      </w:r>
      <w:r>
        <w:rPr>
          <w:spacing w:val="-8"/>
        </w:rPr>
        <w:t> </w:t>
      </w:r>
      <w:r>
        <w:rPr/>
        <w:t>interactions</w:t>
      </w:r>
      <w:r>
        <w:rPr>
          <w:spacing w:val="-7"/>
        </w:rPr>
        <w:t> </w:t>
      </w:r>
      <w:r>
        <w:rPr/>
        <w:t>into</w:t>
      </w:r>
      <w:r>
        <w:rPr>
          <w:spacing w:val="-8"/>
        </w:rPr>
        <w:t> </w:t>
      </w:r>
      <w:r>
        <w:rPr/>
        <w:t>actionable</w:t>
      </w:r>
      <w:r>
        <w:rPr>
          <w:spacing w:val="-8"/>
        </w:rPr>
        <w:t> </w:t>
      </w:r>
      <w:r>
        <w:rPr/>
        <w:t>insights.</w:t>
      </w:r>
      <w:r>
        <w:rPr>
          <w:spacing w:val="-11"/>
        </w:rPr>
        <w:t> </w:t>
      </w:r>
      <w:r>
        <w:rPr/>
        <w:t>With</w:t>
      </w:r>
      <w:r>
        <w:rPr>
          <w:spacing w:val="-8"/>
        </w:rPr>
        <w:t> </w:t>
      </w:r>
      <w:r>
        <w:rPr/>
        <w:t>intuitive</w:t>
      </w:r>
      <w:r>
        <w:rPr>
          <w:spacing w:val="-8"/>
        </w:rPr>
        <w:t> </w:t>
      </w:r>
      <w:r>
        <w:rPr/>
        <w:t>and</w:t>
      </w:r>
      <w:r>
        <w:rPr>
          <w:spacing w:val="-8"/>
        </w:rPr>
        <w:t> </w:t>
      </w:r>
      <w:r>
        <w:rPr/>
        <w:t>interactive</w:t>
      </w:r>
      <w:r>
        <w:rPr>
          <w:spacing w:val="-8"/>
        </w:rPr>
        <w:t> </w:t>
      </w:r>
      <w:r>
        <w:rPr/>
        <w:t>dashboards</w:t>
      </w:r>
      <w:r>
        <w:rPr>
          <w:spacing w:val="-8"/>
        </w:rPr>
        <w:t> </w:t>
      </w:r>
      <w:r>
        <w:rPr/>
        <w:t>and</w:t>
      </w:r>
      <w:r>
        <w:rPr>
          <w:spacing w:val="-8"/>
        </w:rPr>
        <w:t> </w:t>
      </w:r>
      <w:r>
        <w:rPr/>
        <w:t>reports,</w:t>
      </w:r>
      <w:r>
        <w:rPr>
          <w:spacing w:val="-8"/>
        </w:rPr>
        <w:t> </w:t>
      </w:r>
      <w:r>
        <w:rPr/>
        <w:t>our</w:t>
      </w:r>
      <w:r>
        <w:rPr>
          <w:spacing w:val="-8"/>
        </w:rPr>
        <w:t> </w:t>
      </w:r>
      <w:r>
        <w:rPr/>
        <w:t>customers</w:t>
      </w:r>
      <w:r>
        <w:rPr>
          <w:spacing w:val="-8"/>
        </w:rPr>
        <w:t> </w:t>
      </w:r>
      <w:r>
        <w:rPr/>
        <w:t>can</w:t>
      </w:r>
      <w:r>
        <w:rPr>
          <w:spacing w:val="-8"/>
        </w:rPr>
        <w:t> </w:t>
      </w:r>
      <w:r>
        <w:rPr/>
        <w:t>sift,</w:t>
      </w:r>
      <w:r>
        <w:rPr>
          <w:spacing w:val="-8"/>
        </w:rPr>
        <w:t> </w:t>
      </w:r>
      <w:r>
        <w:rPr/>
        <w:t>sort, and</w:t>
      </w:r>
      <w:r>
        <w:rPr>
          <w:spacing w:val="-13"/>
        </w:rPr>
        <w:t> </w:t>
      </w:r>
      <w:r>
        <w:rPr/>
        <w:t>share</w:t>
      </w:r>
      <w:r>
        <w:rPr>
          <w:spacing w:val="-12"/>
        </w:rPr>
        <w:t> </w:t>
      </w:r>
      <w:r>
        <w:rPr/>
        <w:t>real-time</w:t>
      </w:r>
      <w:r>
        <w:rPr>
          <w:spacing w:val="-13"/>
        </w:rPr>
        <w:t> </w:t>
      </w:r>
      <w:r>
        <w:rPr/>
        <w:t>information</w:t>
      </w:r>
      <w:r>
        <w:rPr>
          <w:spacing w:val="-12"/>
        </w:rPr>
        <w:t> </w:t>
      </w:r>
      <w:r>
        <w:rPr/>
        <w:t>to</w:t>
      </w:r>
      <w:r>
        <w:rPr>
          <w:spacing w:val="-13"/>
        </w:rPr>
        <w:t> </w:t>
      </w:r>
      <w:r>
        <w:rPr/>
        <w:t>provide</w:t>
      </w:r>
      <w:r>
        <w:rPr>
          <w:spacing w:val="-12"/>
        </w:rPr>
        <w:t> </w:t>
      </w:r>
      <w:r>
        <w:rPr/>
        <w:t>insights</w:t>
      </w:r>
      <w:r>
        <w:rPr>
          <w:spacing w:val="-13"/>
        </w:rPr>
        <w:t> </w:t>
      </w:r>
      <w:r>
        <w:rPr/>
        <w:t>that</w:t>
      </w:r>
      <w:r>
        <w:rPr>
          <w:spacing w:val="-12"/>
        </w:rPr>
        <w:t> </w:t>
      </w:r>
      <w:r>
        <w:rPr/>
        <w:t>can</w:t>
      </w:r>
      <w:r>
        <w:rPr>
          <w:spacing w:val="-13"/>
        </w:rPr>
        <w:t> </w:t>
      </w:r>
      <w:r>
        <w:rPr/>
        <w:t>be</w:t>
      </w:r>
      <w:r>
        <w:rPr>
          <w:spacing w:val="-12"/>
        </w:rPr>
        <w:t> </w:t>
      </w:r>
      <w:r>
        <w:rPr/>
        <w:t>used</w:t>
      </w:r>
      <w:r>
        <w:rPr>
          <w:spacing w:val="-13"/>
        </w:rPr>
        <w:t> </w:t>
      </w:r>
      <w:r>
        <w:rPr/>
        <w:t>to</w:t>
      </w:r>
      <w:r>
        <w:rPr>
          <w:spacing w:val="-12"/>
        </w:rPr>
        <w:t> </w:t>
      </w:r>
      <w:r>
        <w:rPr/>
        <w:t>identify</w:t>
      </w:r>
      <w:r>
        <w:rPr>
          <w:spacing w:val="-13"/>
        </w:rPr>
        <w:t> </w:t>
      </w:r>
      <w:r>
        <w:rPr/>
        <w:t>problems</w:t>
      </w:r>
      <w:r>
        <w:rPr>
          <w:spacing w:val="-12"/>
        </w:rPr>
        <w:t> </w:t>
      </w:r>
      <w:r>
        <w:rPr/>
        <w:t>and</w:t>
      </w:r>
      <w:r>
        <w:rPr>
          <w:spacing w:val="-13"/>
        </w:rPr>
        <w:t> </w:t>
      </w:r>
      <w:r>
        <w:rPr/>
        <w:t>opportunities</w:t>
      </w:r>
      <w:r>
        <w:rPr>
          <w:spacing w:val="-12"/>
        </w:rPr>
        <w:t> </w:t>
      </w:r>
      <w:r>
        <w:rPr/>
        <w:t>and</w:t>
      </w:r>
      <w:r>
        <w:rPr>
          <w:spacing w:val="-13"/>
        </w:rPr>
        <w:t> </w:t>
      </w:r>
      <w:r>
        <w:rPr/>
        <w:t>to</w:t>
      </w:r>
      <w:r>
        <w:rPr>
          <w:spacing w:val="-12"/>
        </w:rPr>
        <w:t> </w:t>
      </w:r>
      <w:r>
        <w:rPr/>
        <w:t>drive</w:t>
      </w:r>
      <w:r>
        <w:rPr>
          <w:spacing w:val="-13"/>
        </w:rPr>
        <w:t> </w:t>
      </w:r>
      <w:r>
        <w:rPr/>
        <w:t>conversion </w:t>
      </w:r>
      <w:r>
        <w:rPr>
          <w:spacing w:val="-2"/>
        </w:rPr>
        <w:t>and</w:t>
      </w:r>
      <w:r>
        <w:rPr>
          <w:spacing w:val="-11"/>
        </w:rPr>
        <w:t> </w:t>
      </w:r>
      <w:r>
        <w:rPr>
          <w:spacing w:val="-2"/>
        </w:rPr>
        <w:t>relevant</w:t>
      </w:r>
      <w:r>
        <w:rPr>
          <w:spacing w:val="-10"/>
        </w:rPr>
        <w:t> </w:t>
      </w:r>
      <w:r>
        <w:rPr>
          <w:spacing w:val="-2"/>
        </w:rPr>
        <w:t>consumer</w:t>
      </w:r>
      <w:r>
        <w:rPr>
          <w:spacing w:val="-6"/>
        </w:rPr>
        <w:t> </w:t>
      </w:r>
      <w:r>
        <w:rPr>
          <w:spacing w:val="-2"/>
        </w:rPr>
        <w:t>experiences.</w:t>
      </w:r>
      <w:r>
        <w:rPr>
          <w:spacing w:val="-11"/>
        </w:rPr>
        <w:t> </w:t>
      </w:r>
      <w:r>
        <w:rPr>
          <w:spacing w:val="-2"/>
        </w:rPr>
        <w:t>Adobe</w:t>
      </w:r>
      <w:r>
        <w:rPr>
          <w:spacing w:val="-10"/>
        </w:rPr>
        <w:t> </w:t>
      </w:r>
      <w:r>
        <w:rPr>
          <w:spacing w:val="-2"/>
        </w:rPr>
        <w:t>Analytics</w:t>
      </w:r>
      <w:r>
        <w:rPr>
          <w:spacing w:val="-6"/>
        </w:rPr>
        <w:t> </w:t>
      </w:r>
      <w:r>
        <w:rPr>
          <w:spacing w:val="-2"/>
        </w:rPr>
        <w:t>enables</w:t>
      </w:r>
      <w:r>
        <w:rPr>
          <w:spacing w:val="-6"/>
        </w:rPr>
        <w:t> </w:t>
      </w:r>
      <w:r>
        <w:rPr>
          <w:spacing w:val="-2"/>
        </w:rPr>
        <w:t>web,</w:t>
      </w:r>
      <w:r>
        <w:rPr>
          <w:spacing w:val="-6"/>
        </w:rPr>
        <w:t> </w:t>
      </w:r>
      <w:r>
        <w:rPr>
          <w:spacing w:val="-2"/>
        </w:rPr>
        <w:t>social,</w:t>
      </w:r>
      <w:r>
        <w:rPr>
          <w:spacing w:val="-6"/>
        </w:rPr>
        <w:t> </w:t>
      </w:r>
      <w:r>
        <w:rPr>
          <w:spacing w:val="-2"/>
        </w:rPr>
        <w:t>video,</w:t>
      </w:r>
      <w:r>
        <w:rPr>
          <w:spacing w:val="-6"/>
        </w:rPr>
        <w:t> </w:t>
      </w:r>
      <w:r>
        <w:rPr>
          <w:spacing w:val="-2"/>
        </w:rPr>
        <w:t>mobile,</w:t>
      </w:r>
      <w:r>
        <w:rPr>
          <w:spacing w:val="-6"/>
        </w:rPr>
        <w:t> </w:t>
      </w:r>
      <w:r>
        <w:rPr>
          <w:spacing w:val="-2"/>
        </w:rPr>
        <w:t>attribution,</w:t>
      </w:r>
      <w:r>
        <w:rPr>
          <w:spacing w:val="-6"/>
        </w:rPr>
        <w:t> </w:t>
      </w:r>
      <w:r>
        <w:rPr>
          <w:spacing w:val="-2"/>
        </w:rPr>
        <w:t>and</w:t>
      </w:r>
      <w:r>
        <w:rPr>
          <w:spacing w:val="-6"/>
        </w:rPr>
        <w:t> </w:t>
      </w:r>
      <w:r>
        <w:rPr>
          <w:spacing w:val="-2"/>
        </w:rPr>
        <w:t>predictive</w:t>
      </w:r>
      <w:r>
        <w:rPr>
          <w:spacing w:val="-7"/>
        </w:rPr>
        <w:t> </w:t>
      </w:r>
      <w:r>
        <w:rPr>
          <w:spacing w:val="-2"/>
        </w:rPr>
        <w:t>analytics</w:t>
      </w:r>
      <w:r>
        <w:rPr>
          <w:spacing w:val="-6"/>
        </w:rPr>
        <w:t> </w:t>
      </w:r>
      <w:r>
        <w:rPr>
          <w:spacing w:val="-2"/>
        </w:rPr>
        <w:t>across online</w:t>
      </w:r>
      <w:r>
        <w:rPr>
          <w:spacing w:val="-3"/>
        </w:rPr>
        <w:t> </w:t>
      </w:r>
      <w:r>
        <w:rPr>
          <w:spacing w:val="-2"/>
        </w:rPr>
        <w:t>and</w:t>
      </w:r>
      <w:r>
        <w:rPr>
          <w:spacing w:val="-3"/>
        </w:rPr>
        <w:t> </w:t>
      </w:r>
      <w:r>
        <w:rPr>
          <w:spacing w:val="-2"/>
        </w:rPr>
        <w:t>offline</w:t>
      </w:r>
      <w:r>
        <w:rPr>
          <w:spacing w:val="-3"/>
        </w:rPr>
        <w:t> </w:t>
      </w:r>
      <w:r>
        <w:rPr>
          <w:spacing w:val="-2"/>
        </w:rPr>
        <w:t>channels</w:t>
      </w:r>
      <w:r>
        <w:rPr>
          <w:spacing w:val="-3"/>
        </w:rPr>
        <w:t> </w:t>
      </w:r>
      <w:r>
        <w:rPr>
          <w:spacing w:val="-2"/>
        </w:rPr>
        <w:t>to</w:t>
      </w:r>
      <w:r>
        <w:rPr>
          <w:spacing w:val="-3"/>
        </w:rPr>
        <w:t> </w:t>
      </w:r>
      <w:r>
        <w:rPr>
          <w:spacing w:val="-2"/>
        </w:rPr>
        <w:t>continuously</w:t>
      </w:r>
      <w:r>
        <w:rPr>
          <w:spacing w:val="-3"/>
        </w:rPr>
        <w:t> </w:t>
      </w:r>
      <w:r>
        <w:rPr>
          <w:spacing w:val="-2"/>
        </w:rPr>
        <w:t>improve</w:t>
      </w:r>
      <w:r>
        <w:rPr>
          <w:spacing w:val="-3"/>
        </w:rPr>
        <w:t> </w:t>
      </w:r>
      <w:r>
        <w:rPr>
          <w:spacing w:val="-2"/>
        </w:rPr>
        <w:t>the</w:t>
      </w:r>
      <w:r>
        <w:rPr>
          <w:spacing w:val="-3"/>
        </w:rPr>
        <w:t> </w:t>
      </w:r>
      <w:r>
        <w:rPr>
          <w:spacing w:val="-2"/>
        </w:rPr>
        <w:t>performance</w:t>
      </w:r>
      <w:r>
        <w:rPr>
          <w:spacing w:val="-3"/>
        </w:rPr>
        <w:t> </w:t>
      </w:r>
      <w:r>
        <w:rPr>
          <w:spacing w:val="-2"/>
        </w:rPr>
        <w:t>of</w:t>
      </w:r>
      <w:r>
        <w:rPr>
          <w:spacing w:val="-3"/>
        </w:rPr>
        <w:t> </w:t>
      </w:r>
      <w:r>
        <w:rPr>
          <w:spacing w:val="-2"/>
        </w:rPr>
        <w:t>marketing</w:t>
      </w:r>
      <w:r>
        <w:rPr>
          <w:spacing w:val="-3"/>
        </w:rPr>
        <w:t> </w:t>
      </w:r>
      <w:r>
        <w:rPr>
          <w:spacing w:val="-2"/>
        </w:rPr>
        <w:t>activities.</w:t>
      </w:r>
      <w:r>
        <w:rPr>
          <w:spacing w:val="-3"/>
        </w:rPr>
        <w:t> </w:t>
      </w:r>
      <w:r>
        <w:rPr>
          <w:spacing w:val="-2"/>
        </w:rPr>
        <w:t>It</w:t>
      </w:r>
      <w:r>
        <w:rPr>
          <w:spacing w:val="-3"/>
        </w:rPr>
        <w:t> </w:t>
      </w:r>
      <w:r>
        <w:rPr>
          <w:spacing w:val="-2"/>
        </w:rPr>
        <w:t>also</w:t>
      </w:r>
      <w:r>
        <w:rPr>
          <w:spacing w:val="-3"/>
        </w:rPr>
        <w:t> </w:t>
      </w:r>
      <w:r>
        <w:rPr>
          <w:spacing w:val="-2"/>
        </w:rPr>
        <w:t>provides</w:t>
      </w:r>
      <w:r>
        <w:rPr>
          <w:spacing w:val="-3"/>
        </w:rPr>
        <w:t> </w:t>
      </w:r>
      <w:r>
        <w:rPr>
          <w:spacing w:val="-2"/>
        </w:rPr>
        <w:t>the</w:t>
      </w:r>
      <w:r>
        <w:rPr>
          <w:spacing w:val="-3"/>
        </w:rPr>
        <w:t> </w:t>
      </w:r>
      <w:r>
        <w:rPr>
          <w:spacing w:val="-2"/>
        </w:rPr>
        <w:t>ability</w:t>
      </w:r>
      <w:r>
        <w:rPr>
          <w:spacing w:val="-3"/>
        </w:rPr>
        <w:t> </w:t>
      </w:r>
      <w:r>
        <w:rPr>
          <w:spacing w:val="-2"/>
        </w:rPr>
        <w:t>to</w:t>
      </w:r>
      <w:r>
        <w:rPr>
          <w:spacing w:val="-3"/>
        </w:rPr>
        <w:t> </w:t>
      </w:r>
      <w:r>
        <w:rPr>
          <w:spacing w:val="-2"/>
        </w:rPr>
        <w:t>perform </w:t>
      </w:r>
      <w:r>
        <w:rPr/>
        <w:t>advanced ad-hoc segmentation and to integrate data from offline and third-party sources.</w:t>
      </w:r>
      <w:r>
        <w:rPr>
          <w:spacing w:val="40"/>
        </w:rPr>
        <w:t> </w:t>
      </w:r>
      <w:r>
        <w:rPr/>
        <w:t>Adobe</w:t>
      </w:r>
      <w:r>
        <w:rPr>
          <w:spacing w:val="-6"/>
        </w:rPr>
        <w:t> </w:t>
      </w:r>
      <w:r>
        <w:rPr/>
        <w:t>Analytics is available in four plans that contain various features and add-ons to meet the needs of our customers’</w:t>
      </w:r>
      <w:r>
        <w:rPr>
          <w:spacing w:val="-9"/>
        </w:rPr>
        <w:t> </w:t>
      </w:r>
      <w:r>
        <w:rPr/>
        <w:t>businesses.</w:t>
      </w:r>
    </w:p>
    <w:p>
      <w:pPr>
        <w:spacing w:before="166"/>
        <w:ind w:left="760" w:right="0" w:firstLine="0"/>
        <w:jc w:val="left"/>
        <w:rPr>
          <w:i/>
          <w:sz w:val="20"/>
        </w:rPr>
      </w:pPr>
      <w:r>
        <w:rPr>
          <w:i/>
          <w:sz w:val="20"/>
        </w:rPr>
        <w:t>Adobe</w:t>
      </w:r>
      <w:r>
        <w:rPr>
          <w:i/>
          <w:spacing w:val="-4"/>
          <w:sz w:val="20"/>
        </w:rPr>
        <w:t> </w:t>
      </w:r>
      <w:r>
        <w:rPr>
          <w:i/>
          <w:sz w:val="20"/>
        </w:rPr>
        <w:t>Audience</w:t>
      </w:r>
      <w:r>
        <w:rPr>
          <w:i/>
          <w:spacing w:val="-1"/>
          <w:sz w:val="20"/>
        </w:rPr>
        <w:t> </w:t>
      </w:r>
      <w:r>
        <w:rPr>
          <w:i/>
          <w:spacing w:val="-2"/>
          <w:sz w:val="20"/>
        </w:rPr>
        <w:t>Manager</w:t>
      </w:r>
    </w:p>
    <w:p>
      <w:pPr>
        <w:pStyle w:val="BodyText"/>
        <w:spacing w:line="249" w:lineRule="auto" w:before="170"/>
        <w:ind w:left="220" w:right="257" w:firstLine="540"/>
        <w:jc w:val="both"/>
      </w:pPr>
      <w:r>
        <w:rPr/>
        <w:t>Adobe</w:t>
      </w:r>
      <w:r>
        <w:rPr>
          <w:spacing w:val="-6"/>
        </w:rPr>
        <w:t> </w:t>
      </w:r>
      <w:r>
        <w:rPr/>
        <w:t>Audience Manager is a data management platform that helps digital publishers build unique audience profiles to identify the most valuable segments and use them across any digital channel.</w:t>
      </w:r>
      <w:r>
        <w:rPr>
          <w:spacing w:val="-6"/>
        </w:rPr>
        <w:t> </w:t>
      </w:r>
      <w:r>
        <w:rPr/>
        <w:t>Adobe</w:t>
      </w:r>
      <w:r>
        <w:rPr>
          <w:spacing w:val="-6"/>
        </w:rPr>
        <w:t> </w:t>
      </w:r>
      <w:r>
        <w:rPr/>
        <w:t>Audience Manager consolidates audience information from all available sources. It then identifies, quantifies, and optimizes high-value target audiences, which can then </w:t>
      </w:r>
      <w:r>
        <w:rPr>
          <w:spacing w:val="-2"/>
        </w:rPr>
        <w:t>be</w:t>
      </w:r>
      <w:r>
        <w:rPr>
          <w:spacing w:val="-11"/>
        </w:rPr>
        <w:t> </w:t>
      </w:r>
      <w:r>
        <w:rPr>
          <w:spacing w:val="-2"/>
        </w:rPr>
        <w:t>offered</w:t>
      </w:r>
      <w:r>
        <w:rPr>
          <w:spacing w:val="-10"/>
        </w:rPr>
        <w:t> </w:t>
      </w:r>
      <w:r>
        <w:rPr>
          <w:spacing w:val="-2"/>
        </w:rPr>
        <w:t>to</w:t>
      </w:r>
      <w:r>
        <w:rPr>
          <w:spacing w:val="-11"/>
        </w:rPr>
        <w:t> </w:t>
      </w:r>
      <w:r>
        <w:rPr>
          <w:spacing w:val="-2"/>
        </w:rPr>
        <w:t>advertisers</w:t>
      </w:r>
      <w:r>
        <w:rPr>
          <w:spacing w:val="-10"/>
        </w:rPr>
        <w:t> </w:t>
      </w:r>
      <w:r>
        <w:rPr>
          <w:spacing w:val="-2"/>
        </w:rPr>
        <w:t>via</w:t>
      </w:r>
      <w:r>
        <w:rPr>
          <w:spacing w:val="-11"/>
        </w:rPr>
        <w:t> </w:t>
      </w:r>
      <w:r>
        <w:rPr>
          <w:spacing w:val="-2"/>
        </w:rPr>
        <w:t>an</w:t>
      </w:r>
      <w:r>
        <w:rPr>
          <w:spacing w:val="-10"/>
        </w:rPr>
        <w:t> </w:t>
      </w:r>
      <w:r>
        <w:rPr>
          <w:spacing w:val="-2"/>
        </w:rPr>
        <w:t>integrated,</w:t>
      </w:r>
      <w:r>
        <w:rPr>
          <w:spacing w:val="-11"/>
        </w:rPr>
        <w:t> </w:t>
      </w:r>
      <w:r>
        <w:rPr>
          <w:spacing w:val="-2"/>
        </w:rPr>
        <w:t>secure,</w:t>
      </w:r>
      <w:r>
        <w:rPr>
          <w:spacing w:val="-10"/>
        </w:rPr>
        <w:t> </w:t>
      </w:r>
      <w:r>
        <w:rPr>
          <w:spacing w:val="-2"/>
        </w:rPr>
        <w:t>privacy-friendly</w:t>
      </w:r>
      <w:r>
        <w:rPr>
          <w:spacing w:val="-11"/>
        </w:rPr>
        <w:t> </w:t>
      </w:r>
      <w:r>
        <w:rPr>
          <w:spacing w:val="-2"/>
        </w:rPr>
        <w:t>management</w:t>
      </w:r>
      <w:r>
        <w:rPr>
          <w:spacing w:val="-10"/>
        </w:rPr>
        <w:t> </w:t>
      </w:r>
      <w:r>
        <w:rPr>
          <w:spacing w:val="-2"/>
        </w:rPr>
        <w:t>system</w:t>
      </w:r>
      <w:r>
        <w:rPr>
          <w:spacing w:val="-11"/>
        </w:rPr>
        <w:t> </w:t>
      </w:r>
      <w:r>
        <w:rPr>
          <w:spacing w:val="-2"/>
        </w:rPr>
        <w:t>that</w:t>
      </w:r>
      <w:r>
        <w:rPr>
          <w:spacing w:val="-10"/>
        </w:rPr>
        <w:t> </w:t>
      </w:r>
      <w:r>
        <w:rPr>
          <w:spacing w:val="-2"/>
        </w:rPr>
        <w:t>works</w:t>
      </w:r>
      <w:r>
        <w:rPr>
          <w:spacing w:val="-11"/>
        </w:rPr>
        <w:t> </w:t>
      </w:r>
      <w:r>
        <w:rPr>
          <w:spacing w:val="-2"/>
        </w:rPr>
        <w:t>across</w:t>
      </w:r>
      <w:r>
        <w:rPr>
          <w:spacing w:val="-10"/>
        </w:rPr>
        <w:t> </w:t>
      </w:r>
      <w:r>
        <w:rPr>
          <w:spacing w:val="-2"/>
        </w:rPr>
        <w:t>all</w:t>
      </w:r>
      <w:r>
        <w:rPr>
          <w:spacing w:val="-11"/>
        </w:rPr>
        <w:t> </w:t>
      </w:r>
      <w:r>
        <w:rPr>
          <w:spacing w:val="-2"/>
        </w:rPr>
        <w:t>advertising</w:t>
      </w:r>
      <w:r>
        <w:rPr>
          <w:spacing w:val="-10"/>
        </w:rPr>
        <w:t> </w:t>
      </w:r>
      <w:r>
        <w:rPr>
          <w:spacing w:val="-2"/>
        </w:rPr>
        <w:t>distribution </w:t>
      </w:r>
      <w:r>
        <w:rPr/>
        <w:t>platforms.</w:t>
      </w:r>
      <w:r>
        <w:rPr>
          <w:spacing w:val="-13"/>
        </w:rPr>
        <w:t> </w:t>
      </w:r>
      <w:r>
        <w:rPr/>
        <w:t>Adobe</w:t>
      </w:r>
      <w:r>
        <w:rPr>
          <w:spacing w:val="-12"/>
        </w:rPr>
        <w:t> </w:t>
      </w:r>
      <w:r>
        <w:rPr/>
        <w:t>Audience</w:t>
      </w:r>
      <w:r>
        <w:rPr>
          <w:spacing w:val="-13"/>
        </w:rPr>
        <w:t> </w:t>
      </w:r>
      <w:r>
        <w:rPr/>
        <w:t>Manager</w:t>
      </w:r>
      <w:r>
        <w:rPr>
          <w:spacing w:val="-12"/>
        </w:rPr>
        <w:t> </w:t>
      </w:r>
      <w:r>
        <w:rPr/>
        <w:t>provides</w:t>
      </w:r>
      <w:r>
        <w:rPr>
          <w:spacing w:val="-9"/>
        </w:rPr>
        <w:t> </w:t>
      </w:r>
      <w:r>
        <w:rPr/>
        <w:t>access</w:t>
      </w:r>
      <w:r>
        <w:rPr>
          <w:spacing w:val="-8"/>
        </w:rPr>
        <w:t> </w:t>
      </w:r>
      <w:r>
        <w:rPr/>
        <w:t>to</w:t>
      </w:r>
      <w:r>
        <w:rPr>
          <w:spacing w:val="-8"/>
        </w:rPr>
        <w:t> </w:t>
      </w:r>
      <w:r>
        <w:rPr/>
        <w:t>multiple</w:t>
      </w:r>
      <w:r>
        <w:rPr>
          <w:spacing w:val="-8"/>
        </w:rPr>
        <w:t> </w:t>
      </w:r>
      <w:r>
        <w:rPr/>
        <w:t>data</w:t>
      </w:r>
      <w:r>
        <w:rPr>
          <w:spacing w:val="-8"/>
        </w:rPr>
        <w:t> </w:t>
      </w:r>
      <w:r>
        <w:rPr/>
        <w:t>sources,</w:t>
      </w:r>
      <w:r>
        <w:rPr>
          <w:spacing w:val="-8"/>
        </w:rPr>
        <w:t> </w:t>
      </w:r>
      <w:r>
        <w:rPr/>
        <w:t>offering</w:t>
      </w:r>
      <w:r>
        <w:rPr>
          <w:spacing w:val="-8"/>
        </w:rPr>
        <w:t> </w:t>
      </w:r>
      <w:r>
        <w:rPr/>
        <w:t>digital</w:t>
      </w:r>
      <w:r>
        <w:rPr>
          <w:spacing w:val="-8"/>
        </w:rPr>
        <w:t> </w:t>
      </w:r>
      <w:r>
        <w:rPr/>
        <w:t>publishers</w:t>
      </w:r>
      <w:r>
        <w:rPr>
          <w:spacing w:val="-8"/>
        </w:rPr>
        <w:t> </w:t>
      </w:r>
      <w:r>
        <w:rPr/>
        <w:t>the</w:t>
      </w:r>
      <w:r>
        <w:rPr>
          <w:spacing w:val="-8"/>
        </w:rPr>
        <w:t> </w:t>
      </w:r>
      <w:r>
        <w:rPr/>
        <w:t>ability</w:t>
      </w:r>
      <w:r>
        <w:rPr>
          <w:spacing w:val="-8"/>
        </w:rPr>
        <w:t> </w:t>
      </w:r>
      <w:r>
        <w:rPr/>
        <w:t>to</w:t>
      </w:r>
      <w:r>
        <w:rPr>
          <w:spacing w:val="-8"/>
        </w:rPr>
        <w:t> </w:t>
      </w:r>
      <w:r>
        <w:rPr/>
        <w:t>use</w:t>
      </w:r>
      <w:r>
        <w:rPr>
          <w:spacing w:val="-8"/>
        </w:rPr>
        <w:t> </w:t>
      </w:r>
      <w:r>
        <w:rPr/>
        <w:t>a</w:t>
      </w:r>
      <w:r>
        <w:rPr>
          <w:spacing w:val="-8"/>
        </w:rPr>
        <w:t> </w:t>
      </w:r>
      <w:r>
        <w:rPr/>
        <w:t>wide variety of third-party data as well as Audience Manager’s private data co-op.</w:t>
      </w:r>
    </w:p>
    <w:p>
      <w:pPr>
        <w:pStyle w:val="Heading3"/>
        <w:spacing w:before="165"/>
        <w:ind w:left="220"/>
      </w:pPr>
      <w:r>
        <w:rPr/>
        <w:t>Adobe</w:t>
      </w:r>
      <w:r>
        <w:rPr>
          <w:spacing w:val="-8"/>
        </w:rPr>
        <w:t> </w:t>
      </w:r>
      <w:r>
        <w:rPr/>
        <w:t>Advertising</w:t>
      </w:r>
      <w:r>
        <w:rPr>
          <w:spacing w:val="-1"/>
        </w:rPr>
        <w:t> </w:t>
      </w:r>
      <w:r>
        <w:rPr>
          <w:spacing w:val="-2"/>
        </w:rPr>
        <w:t>Cloud</w:t>
      </w:r>
    </w:p>
    <w:p>
      <w:pPr>
        <w:pStyle w:val="BodyText"/>
        <w:spacing w:line="249" w:lineRule="auto" w:before="170"/>
        <w:ind w:left="220" w:right="243" w:firstLine="540"/>
        <w:jc w:val="both"/>
      </w:pPr>
      <w:r>
        <w:rPr/>
        <w:t>Adobe</w:t>
      </w:r>
      <w:r>
        <w:rPr>
          <w:spacing w:val="-4"/>
        </w:rPr>
        <w:t> </w:t>
      </w:r>
      <w:r>
        <w:rPr/>
        <w:t>Advertising Cloud is an end-to-end platform for managing advertising across traditional TV and digital formats. With</w:t>
      </w:r>
      <w:r>
        <w:rPr>
          <w:spacing w:val="-6"/>
        </w:rPr>
        <w:t> </w:t>
      </w:r>
      <w:r>
        <w:rPr/>
        <w:t>Adobe</w:t>
      </w:r>
      <w:r>
        <w:rPr>
          <w:spacing w:val="-6"/>
        </w:rPr>
        <w:t> </w:t>
      </w:r>
      <w:r>
        <w:rPr/>
        <w:t>Advertising Cloud, customers can identify and amplify their high-value audiences for more personal and accurate targeting;</w:t>
      </w:r>
      <w:r>
        <w:rPr>
          <w:spacing w:val="-9"/>
        </w:rPr>
        <w:t> </w:t>
      </w:r>
      <w:r>
        <w:rPr/>
        <w:t>seamlessly</w:t>
      </w:r>
      <w:r>
        <w:rPr>
          <w:spacing w:val="-9"/>
        </w:rPr>
        <w:t> </w:t>
      </w:r>
      <w:r>
        <w:rPr/>
        <w:t>unite</w:t>
      </w:r>
      <w:r>
        <w:rPr>
          <w:spacing w:val="-9"/>
        </w:rPr>
        <w:t> </w:t>
      </w:r>
      <w:r>
        <w:rPr/>
        <w:t>creative,</w:t>
      </w:r>
      <w:r>
        <w:rPr>
          <w:spacing w:val="-9"/>
        </w:rPr>
        <w:t> </w:t>
      </w:r>
      <w:r>
        <w:rPr/>
        <w:t>data,</w:t>
      </w:r>
      <w:r>
        <w:rPr>
          <w:spacing w:val="-9"/>
        </w:rPr>
        <w:t> </w:t>
      </w:r>
      <w:r>
        <w:rPr/>
        <w:t>and</w:t>
      </w:r>
      <w:r>
        <w:rPr>
          <w:spacing w:val="-9"/>
        </w:rPr>
        <w:t> </w:t>
      </w:r>
      <w:r>
        <w:rPr/>
        <w:t>media</w:t>
      </w:r>
      <w:r>
        <w:rPr>
          <w:spacing w:val="-9"/>
        </w:rPr>
        <w:t> </w:t>
      </w:r>
      <w:r>
        <w:rPr/>
        <w:t>buying</w:t>
      </w:r>
      <w:r>
        <w:rPr>
          <w:spacing w:val="-9"/>
        </w:rPr>
        <w:t> </w:t>
      </w:r>
      <w:r>
        <w:rPr/>
        <w:t>across</w:t>
      </w:r>
      <w:r>
        <w:rPr>
          <w:spacing w:val="-9"/>
        </w:rPr>
        <w:t> </w:t>
      </w:r>
      <w:r>
        <w:rPr/>
        <w:t>all</w:t>
      </w:r>
      <w:r>
        <w:rPr>
          <w:spacing w:val="-9"/>
        </w:rPr>
        <w:t> </w:t>
      </w:r>
      <w:r>
        <w:rPr/>
        <w:t>screens</w:t>
      </w:r>
      <w:r>
        <w:rPr>
          <w:spacing w:val="-9"/>
        </w:rPr>
        <w:t> </w:t>
      </w:r>
      <w:r>
        <w:rPr/>
        <w:t>and</w:t>
      </w:r>
      <w:r>
        <w:rPr>
          <w:spacing w:val="-9"/>
        </w:rPr>
        <w:t> </w:t>
      </w:r>
      <w:r>
        <w:rPr/>
        <w:t>formats;</w:t>
      </w:r>
      <w:r>
        <w:rPr>
          <w:spacing w:val="-9"/>
        </w:rPr>
        <w:t> </w:t>
      </w:r>
      <w:r>
        <w:rPr/>
        <w:t>protect</w:t>
      </w:r>
      <w:r>
        <w:rPr>
          <w:spacing w:val="-9"/>
        </w:rPr>
        <w:t> </w:t>
      </w:r>
      <w:r>
        <w:rPr/>
        <w:t>their</w:t>
      </w:r>
      <w:r>
        <w:rPr>
          <w:spacing w:val="-9"/>
        </w:rPr>
        <w:t> </w:t>
      </w:r>
      <w:r>
        <w:rPr/>
        <w:t>brand</w:t>
      </w:r>
      <w:r>
        <w:rPr>
          <w:spacing w:val="-9"/>
        </w:rPr>
        <w:t> </w:t>
      </w:r>
      <w:r>
        <w:rPr/>
        <w:t>by</w:t>
      </w:r>
      <w:r>
        <w:rPr>
          <w:spacing w:val="-9"/>
        </w:rPr>
        <w:t> </w:t>
      </w:r>
      <w:r>
        <w:rPr/>
        <w:t>preventing</w:t>
      </w:r>
      <w:r>
        <w:rPr>
          <w:spacing w:val="-9"/>
        </w:rPr>
        <w:t> </w:t>
      </w:r>
      <w:r>
        <w:rPr/>
        <w:t>their campaigns</w:t>
      </w:r>
      <w:r>
        <w:rPr>
          <w:spacing w:val="-12"/>
        </w:rPr>
        <w:t> </w:t>
      </w:r>
      <w:r>
        <w:rPr/>
        <w:t>from</w:t>
      </w:r>
      <w:r>
        <w:rPr>
          <w:spacing w:val="-12"/>
        </w:rPr>
        <w:t> </w:t>
      </w:r>
      <w:r>
        <w:rPr/>
        <w:t>mixing</w:t>
      </w:r>
      <w:r>
        <w:rPr>
          <w:spacing w:val="-12"/>
        </w:rPr>
        <w:t> </w:t>
      </w:r>
      <w:r>
        <w:rPr/>
        <w:t>with</w:t>
      </w:r>
      <w:r>
        <w:rPr>
          <w:spacing w:val="-12"/>
        </w:rPr>
        <w:t> </w:t>
      </w:r>
      <w:r>
        <w:rPr/>
        <w:t>content</w:t>
      </w:r>
      <w:r>
        <w:rPr>
          <w:spacing w:val="-12"/>
        </w:rPr>
        <w:t> </w:t>
      </w:r>
      <w:r>
        <w:rPr/>
        <w:t>and</w:t>
      </w:r>
      <w:r>
        <w:rPr>
          <w:spacing w:val="-12"/>
        </w:rPr>
        <w:t> </w:t>
      </w:r>
      <w:r>
        <w:rPr/>
        <w:t>properties</w:t>
      </w:r>
      <w:r>
        <w:rPr>
          <w:spacing w:val="-12"/>
        </w:rPr>
        <w:t> </w:t>
      </w:r>
      <w:r>
        <w:rPr/>
        <w:t>that</w:t>
      </w:r>
      <w:r>
        <w:rPr>
          <w:spacing w:val="-12"/>
        </w:rPr>
        <w:t> </w:t>
      </w:r>
      <w:r>
        <w:rPr/>
        <w:t>do</w:t>
      </w:r>
      <w:r>
        <w:rPr>
          <w:spacing w:val="-12"/>
        </w:rPr>
        <w:t> </w:t>
      </w:r>
      <w:r>
        <w:rPr/>
        <w:t>not</w:t>
      </w:r>
      <w:r>
        <w:rPr>
          <w:spacing w:val="-12"/>
        </w:rPr>
        <w:t> </w:t>
      </w:r>
      <w:r>
        <w:rPr/>
        <w:t>align</w:t>
      </w:r>
      <w:r>
        <w:rPr>
          <w:spacing w:val="-12"/>
        </w:rPr>
        <w:t> </w:t>
      </w:r>
      <w:r>
        <w:rPr/>
        <w:t>with</w:t>
      </w:r>
      <w:r>
        <w:rPr>
          <w:spacing w:val="-12"/>
        </w:rPr>
        <w:t> </w:t>
      </w:r>
      <w:r>
        <w:rPr/>
        <w:t>their</w:t>
      </w:r>
      <w:r>
        <w:rPr>
          <w:spacing w:val="-12"/>
        </w:rPr>
        <w:t> </w:t>
      </w:r>
      <w:r>
        <w:rPr/>
        <w:t>image;</w:t>
      </w:r>
      <w:r>
        <w:rPr>
          <w:spacing w:val="-12"/>
        </w:rPr>
        <w:t> </w:t>
      </w:r>
      <w:r>
        <w:rPr/>
        <w:t>and</w:t>
      </w:r>
      <w:r>
        <w:rPr>
          <w:spacing w:val="-12"/>
        </w:rPr>
        <w:t> </w:t>
      </w:r>
      <w:r>
        <w:rPr/>
        <w:t>use</w:t>
      </w:r>
      <w:r>
        <w:rPr>
          <w:spacing w:val="-12"/>
        </w:rPr>
        <w:t> </w:t>
      </w:r>
      <w:r>
        <w:rPr/>
        <w:t>data</w:t>
      </w:r>
      <w:r>
        <w:rPr>
          <w:spacing w:val="-12"/>
        </w:rPr>
        <w:t> </w:t>
      </w:r>
      <w:r>
        <w:rPr/>
        <w:t>insights</w:t>
      </w:r>
      <w:r>
        <w:rPr>
          <w:spacing w:val="-12"/>
        </w:rPr>
        <w:t> </w:t>
      </w:r>
      <w:r>
        <w:rPr/>
        <w:t>that</w:t>
      </w:r>
      <w:r>
        <w:rPr>
          <w:spacing w:val="-12"/>
        </w:rPr>
        <w:t> </w:t>
      </w:r>
      <w:r>
        <w:rPr/>
        <w:t>reveal</w:t>
      </w:r>
      <w:r>
        <w:rPr>
          <w:spacing w:val="-12"/>
        </w:rPr>
        <w:t> </w:t>
      </w:r>
      <w:r>
        <w:rPr/>
        <w:t>customers’ interests and past behaviors to create relevant, targeted ads.</w:t>
      </w:r>
      <w:r>
        <w:rPr>
          <w:spacing w:val="40"/>
        </w:rPr>
        <w:t> </w:t>
      </w:r>
      <w:r>
        <w:rPr/>
        <w:t>Adobe Advertising is comprised of the Adobe Media Optimizer offerings described below.</w:t>
      </w:r>
    </w:p>
    <w:p>
      <w:pPr>
        <w:spacing w:before="165"/>
        <w:ind w:left="760" w:right="0" w:firstLine="0"/>
        <w:jc w:val="left"/>
        <w:rPr>
          <w:i/>
          <w:sz w:val="20"/>
        </w:rPr>
      </w:pPr>
      <w:r>
        <w:rPr>
          <w:i/>
          <w:sz w:val="20"/>
        </w:rPr>
        <w:t>Adobe</w:t>
      </w:r>
      <w:r>
        <w:rPr>
          <w:i/>
          <w:spacing w:val="-4"/>
          <w:sz w:val="20"/>
        </w:rPr>
        <w:t> </w:t>
      </w:r>
      <w:r>
        <w:rPr>
          <w:i/>
          <w:sz w:val="20"/>
        </w:rPr>
        <w:t>Media</w:t>
      </w:r>
      <w:r>
        <w:rPr>
          <w:i/>
          <w:spacing w:val="-4"/>
          <w:sz w:val="20"/>
        </w:rPr>
        <w:t> </w:t>
      </w:r>
      <w:r>
        <w:rPr>
          <w:i/>
          <w:sz w:val="20"/>
        </w:rPr>
        <w:t>Optimizer</w:t>
      </w:r>
      <w:r>
        <w:rPr>
          <w:i/>
          <w:spacing w:val="-2"/>
          <w:sz w:val="20"/>
        </w:rPr>
        <w:t> Search</w:t>
      </w:r>
    </w:p>
    <w:p>
      <w:pPr>
        <w:pStyle w:val="BodyText"/>
        <w:spacing w:line="249" w:lineRule="auto" w:before="170"/>
        <w:ind w:left="220" w:right="257" w:firstLine="540"/>
        <w:jc w:val="both"/>
      </w:pPr>
      <w:r>
        <w:rPr/>
        <w:t>Adobe</w:t>
      </w:r>
      <w:r>
        <w:rPr>
          <w:spacing w:val="-6"/>
        </w:rPr>
        <w:t> </w:t>
      </w:r>
      <w:r>
        <w:rPr/>
        <w:t>Media</w:t>
      </w:r>
      <w:r>
        <w:rPr>
          <w:spacing w:val="-6"/>
        </w:rPr>
        <w:t> </w:t>
      </w:r>
      <w:r>
        <w:rPr/>
        <w:t>Optimizer</w:t>
      </w:r>
      <w:r>
        <w:rPr>
          <w:spacing w:val="-5"/>
        </w:rPr>
        <w:t> </w:t>
      </w:r>
      <w:r>
        <w:rPr/>
        <w:t>Search</w:t>
      </w:r>
      <w:r>
        <w:rPr>
          <w:spacing w:val="-5"/>
        </w:rPr>
        <w:t> </w:t>
      </w:r>
      <w:r>
        <w:rPr/>
        <w:t>allows</w:t>
      </w:r>
      <w:r>
        <w:rPr>
          <w:spacing w:val="-5"/>
        </w:rPr>
        <w:t> </w:t>
      </w:r>
      <w:r>
        <w:rPr/>
        <w:t>customers</w:t>
      </w:r>
      <w:r>
        <w:rPr>
          <w:spacing w:val="-5"/>
        </w:rPr>
        <w:t> </w:t>
      </w:r>
      <w:r>
        <w:rPr/>
        <w:t>to</w:t>
      </w:r>
      <w:r>
        <w:rPr>
          <w:spacing w:val="-5"/>
        </w:rPr>
        <w:t> </w:t>
      </w:r>
      <w:r>
        <w:rPr/>
        <w:t>simulate</w:t>
      </w:r>
      <w:r>
        <w:rPr>
          <w:spacing w:val="-6"/>
        </w:rPr>
        <w:t> </w:t>
      </w:r>
      <w:r>
        <w:rPr/>
        <w:t>and</w:t>
      </w:r>
      <w:r>
        <w:rPr>
          <w:spacing w:val="-5"/>
        </w:rPr>
        <w:t> </w:t>
      </w:r>
      <w:r>
        <w:rPr/>
        <w:t>quickly</w:t>
      </w:r>
      <w:r>
        <w:rPr>
          <w:spacing w:val="-5"/>
        </w:rPr>
        <w:t> </w:t>
      </w:r>
      <w:r>
        <w:rPr/>
        <w:t>act</w:t>
      </w:r>
      <w:r>
        <w:rPr>
          <w:spacing w:val="-5"/>
        </w:rPr>
        <w:t> </w:t>
      </w:r>
      <w:r>
        <w:rPr/>
        <w:t>upon</w:t>
      </w:r>
      <w:r>
        <w:rPr>
          <w:spacing w:val="-5"/>
        </w:rPr>
        <w:t> </w:t>
      </w:r>
      <w:r>
        <w:rPr/>
        <w:t>the</w:t>
      </w:r>
      <w:r>
        <w:rPr>
          <w:spacing w:val="-5"/>
        </w:rPr>
        <w:t> </w:t>
      </w:r>
      <w:r>
        <w:rPr/>
        <w:t>best</w:t>
      </w:r>
      <w:r>
        <w:rPr>
          <w:spacing w:val="-6"/>
        </w:rPr>
        <w:t> </w:t>
      </w:r>
      <w:r>
        <w:rPr/>
        <w:t>and</w:t>
      </w:r>
      <w:r>
        <w:rPr>
          <w:spacing w:val="-5"/>
        </w:rPr>
        <w:t> </w:t>
      </w:r>
      <w:r>
        <w:rPr/>
        <w:t>most</w:t>
      </w:r>
      <w:r>
        <w:rPr>
          <w:spacing w:val="-6"/>
        </w:rPr>
        <w:t> </w:t>
      </w:r>
      <w:r>
        <w:rPr/>
        <w:t>profitable</w:t>
      </w:r>
      <w:r>
        <w:rPr>
          <w:spacing w:val="-6"/>
        </w:rPr>
        <w:t> </w:t>
      </w:r>
      <w:r>
        <w:rPr/>
        <w:t>options</w:t>
      </w:r>
      <w:r>
        <w:rPr>
          <w:spacing w:val="-5"/>
        </w:rPr>
        <w:t> </w:t>
      </w:r>
      <w:r>
        <w:rPr/>
        <w:t>in their</w:t>
      </w:r>
      <w:r>
        <w:rPr>
          <w:spacing w:val="-1"/>
        </w:rPr>
        <w:t> </w:t>
      </w:r>
      <w:r>
        <w:rPr/>
        <w:t>search</w:t>
      </w:r>
      <w:r>
        <w:rPr>
          <w:spacing w:val="-1"/>
        </w:rPr>
        <w:t> </w:t>
      </w:r>
      <w:r>
        <w:rPr/>
        <w:t>marketing</w:t>
      </w:r>
      <w:r>
        <w:rPr>
          <w:spacing w:val="-1"/>
        </w:rPr>
        <w:t> </w:t>
      </w:r>
      <w:r>
        <w:rPr/>
        <w:t>strategy.</w:t>
      </w:r>
      <w:r>
        <w:rPr>
          <w:spacing w:val="40"/>
        </w:rPr>
        <w:t> </w:t>
      </w:r>
      <w:r>
        <w:rPr/>
        <w:t>Specifically,</w:t>
      </w:r>
      <w:r>
        <w:rPr>
          <w:spacing w:val="-1"/>
        </w:rPr>
        <w:t> </w:t>
      </w:r>
      <w:r>
        <w:rPr/>
        <w:t>it</w:t>
      </w:r>
      <w:r>
        <w:rPr>
          <w:spacing w:val="-1"/>
        </w:rPr>
        <w:t> </w:t>
      </w:r>
      <w:r>
        <w:rPr/>
        <w:t>provides</w:t>
      </w:r>
      <w:r>
        <w:rPr>
          <w:spacing w:val="-1"/>
        </w:rPr>
        <w:t> </w:t>
      </w:r>
      <w:r>
        <w:rPr/>
        <w:t>customers</w:t>
      </w:r>
      <w:r>
        <w:rPr>
          <w:spacing w:val="-1"/>
        </w:rPr>
        <w:t> </w:t>
      </w:r>
      <w:r>
        <w:rPr/>
        <w:t>with</w:t>
      </w:r>
      <w:r>
        <w:rPr>
          <w:spacing w:val="-1"/>
        </w:rPr>
        <w:t> </w:t>
      </w:r>
      <w:r>
        <w:rPr/>
        <w:t>sophisticated</w:t>
      </w:r>
      <w:r>
        <w:rPr>
          <w:spacing w:val="-1"/>
        </w:rPr>
        <w:t> </w:t>
      </w:r>
      <w:r>
        <w:rPr/>
        <w:t>models</w:t>
      </w:r>
      <w:r>
        <w:rPr>
          <w:spacing w:val="-1"/>
        </w:rPr>
        <w:t> </w:t>
      </w:r>
      <w:r>
        <w:rPr/>
        <w:t>to</w:t>
      </w:r>
      <w:r>
        <w:rPr>
          <w:spacing w:val="-1"/>
        </w:rPr>
        <w:t> </w:t>
      </w:r>
      <w:r>
        <w:rPr/>
        <w:t>test</w:t>
      </w:r>
      <w:r>
        <w:rPr>
          <w:spacing w:val="-1"/>
        </w:rPr>
        <w:t> </w:t>
      </w:r>
      <w:r>
        <w:rPr/>
        <w:t>and</w:t>
      </w:r>
      <w:r>
        <w:rPr>
          <w:spacing w:val="-1"/>
        </w:rPr>
        <w:t> </w:t>
      </w:r>
      <w:r>
        <w:rPr/>
        <w:t>visualize</w:t>
      </w:r>
      <w:r>
        <w:rPr>
          <w:spacing w:val="-1"/>
        </w:rPr>
        <w:t> </w:t>
      </w:r>
      <w:r>
        <w:rPr/>
        <w:t>the</w:t>
      </w:r>
      <w:r>
        <w:rPr>
          <w:spacing w:val="-1"/>
        </w:rPr>
        <w:t> </w:t>
      </w:r>
      <w:r>
        <w:rPr/>
        <w:t>expected traffic</w:t>
      </w:r>
      <w:r>
        <w:rPr>
          <w:spacing w:val="-7"/>
        </w:rPr>
        <w:t> </w:t>
      </w:r>
      <w:r>
        <w:rPr/>
        <w:t>and</w:t>
      </w:r>
      <w:r>
        <w:rPr>
          <w:spacing w:val="-7"/>
        </w:rPr>
        <w:t> </w:t>
      </w:r>
      <w:r>
        <w:rPr/>
        <w:t>conversion</w:t>
      </w:r>
      <w:r>
        <w:rPr>
          <w:spacing w:val="-7"/>
        </w:rPr>
        <w:t> </w:t>
      </w:r>
      <w:r>
        <w:rPr/>
        <w:t>for</w:t>
      </w:r>
      <w:r>
        <w:rPr>
          <w:spacing w:val="-7"/>
        </w:rPr>
        <w:t> </w:t>
      </w:r>
      <w:r>
        <w:rPr/>
        <w:t>keywords,</w:t>
      </w:r>
      <w:r>
        <w:rPr>
          <w:spacing w:val="-7"/>
        </w:rPr>
        <w:t> </w:t>
      </w:r>
      <w:r>
        <w:rPr/>
        <w:t>ad</w:t>
      </w:r>
      <w:r>
        <w:rPr>
          <w:spacing w:val="-7"/>
        </w:rPr>
        <w:t> </w:t>
      </w:r>
      <w:r>
        <w:rPr/>
        <w:t>placements,</w:t>
      </w:r>
      <w:r>
        <w:rPr>
          <w:spacing w:val="-7"/>
        </w:rPr>
        <w:t> </w:t>
      </w:r>
      <w:r>
        <w:rPr/>
        <w:t>and</w:t>
      </w:r>
      <w:r>
        <w:rPr>
          <w:spacing w:val="-7"/>
        </w:rPr>
        <w:t> </w:t>
      </w:r>
      <w:r>
        <w:rPr/>
        <w:t>product</w:t>
      </w:r>
      <w:r>
        <w:rPr>
          <w:spacing w:val="-7"/>
        </w:rPr>
        <w:t> </w:t>
      </w:r>
      <w:r>
        <w:rPr/>
        <w:t>targets.</w:t>
      </w:r>
      <w:r>
        <w:rPr>
          <w:spacing w:val="27"/>
        </w:rPr>
        <w:t> </w:t>
      </w:r>
      <w:r>
        <w:rPr/>
        <w:t>Adobe</w:t>
      </w:r>
      <w:r>
        <w:rPr>
          <w:spacing w:val="-7"/>
        </w:rPr>
        <w:t> </w:t>
      </w:r>
      <w:r>
        <w:rPr/>
        <w:t>Media</w:t>
      </w:r>
      <w:r>
        <w:rPr>
          <w:spacing w:val="-7"/>
        </w:rPr>
        <w:t> </w:t>
      </w:r>
      <w:r>
        <w:rPr/>
        <w:t>Optimizer</w:t>
      </w:r>
      <w:r>
        <w:rPr>
          <w:spacing w:val="-7"/>
        </w:rPr>
        <w:t> </w:t>
      </w:r>
      <w:r>
        <w:rPr/>
        <w:t>Search</w:t>
      </w:r>
      <w:r>
        <w:rPr>
          <w:spacing w:val="-7"/>
        </w:rPr>
        <w:t> </w:t>
      </w:r>
      <w:r>
        <w:rPr/>
        <w:t>also</w:t>
      </w:r>
      <w:r>
        <w:rPr>
          <w:spacing w:val="-7"/>
        </w:rPr>
        <w:t> </w:t>
      </w:r>
      <w:r>
        <w:rPr/>
        <w:t>enables</w:t>
      </w:r>
      <w:r>
        <w:rPr>
          <w:spacing w:val="-7"/>
        </w:rPr>
        <w:t> </w:t>
      </w:r>
      <w:r>
        <w:rPr/>
        <w:t>customers to run models to determine the highest performing mix of advertising at varied spend levels across portfolios and then validate assumptions with reports based on models and data.</w:t>
      </w:r>
    </w:p>
    <w:p>
      <w:pPr>
        <w:spacing w:before="164"/>
        <w:ind w:left="760" w:right="0" w:firstLine="0"/>
        <w:jc w:val="left"/>
        <w:rPr>
          <w:i/>
          <w:sz w:val="20"/>
        </w:rPr>
      </w:pPr>
      <w:r>
        <w:rPr>
          <w:i/>
          <w:sz w:val="20"/>
        </w:rPr>
        <w:t>Adobe</w:t>
      </w:r>
      <w:r>
        <w:rPr>
          <w:i/>
          <w:spacing w:val="-6"/>
          <w:sz w:val="20"/>
        </w:rPr>
        <w:t> </w:t>
      </w:r>
      <w:r>
        <w:rPr>
          <w:i/>
          <w:sz w:val="20"/>
        </w:rPr>
        <w:t>Media</w:t>
      </w:r>
      <w:r>
        <w:rPr>
          <w:i/>
          <w:spacing w:val="-3"/>
          <w:sz w:val="20"/>
        </w:rPr>
        <w:t> </w:t>
      </w:r>
      <w:r>
        <w:rPr>
          <w:i/>
          <w:sz w:val="20"/>
        </w:rPr>
        <w:t>Optimizer</w:t>
      </w:r>
      <w:r>
        <w:rPr>
          <w:i/>
          <w:spacing w:val="-3"/>
          <w:sz w:val="20"/>
        </w:rPr>
        <w:t> </w:t>
      </w:r>
      <w:r>
        <w:rPr>
          <w:i/>
          <w:sz w:val="20"/>
        </w:rPr>
        <w:t>Demand</w:t>
      </w:r>
      <w:r>
        <w:rPr>
          <w:i/>
          <w:spacing w:val="-2"/>
          <w:sz w:val="20"/>
        </w:rPr>
        <w:t> </w:t>
      </w:r>
      <w:r>
        <w:rPr>
          <w:i/>
          <w:sz w:val="20"/>
        </w:rPr>
        <w:t>Side</w:t>
      </w:r>
      <w:r>
        <w:rPr>
          <w:i/>
          <w:spacing w:val="-4"/>
          <w:sz w:val="20"/>
        </w:rPr>
        <w:t> </w:t>
      </w:r>
      <w:r>
        <w:rPr>
          <w:i/>
          <w:sz w:val="20"/>
        </w:rPr>
        <w:t>Platform</w:t>
      </w:r>
      <w:r>
        <w:rPr>
          <w:i/>
          <w:spacing w:val="-2"/>
          <w:sz w:val="20"/>
        </w:rPr>
        <w:t> (DSP)</w:t>
      </w:r>
    </w:p>
    <w:p>
      <w:pPr>
        <w:pStyle w:val="BodyText"/>
        <w:spacing w:line="249" w:lineRule="auto" w:before="170"/>
        <w:ind w:left="220" w:right="257" w:firstLine="540"/>
        <w:jc w:val="both"/>
      </w:pPr>
      <w:r>
        <w:rPr>
          <w:spacing w:val="-2"/>
        </w:rPr>
        <w:t>Adobe Media Optimizer DSP</w:t>
      </w:r>
      <w:r>
        <w:rPr>
          <w:spacing w:val="-11"/>
        </w:rPr>
        <w:t> </w:t>
      </w:r>
      <w:r>
        <w:rPr>
          <w:spacing w:val="-2"/>
        </w:rPr>
        <w:t>(formerly</w:t>
      </w:r>
      <w:r>
        <w:rPr>
          <w:spacing w:val="-5"/>
        </w:rPr>
        <w:t> </w:t>
      </w:r>
      <w:r>
        <w:rPr>
          <w:spacing w:val="-2"/>
        </w:rPr>
        <w:t>TubeMogul) is a unified cross-channel solution that allows customers to streamline global</w:t>
      </w:r>
      <w:r>
        <w:rPr>
          <w:spacing w:val="-9"/>
        </w:rPr>
        <w:t> </w:t>
      </w:r>
      <w:r>
        <w:rPr>
          <w:spacing w:val="-2"/>
        </w:rPr>
        <w:t>advertising</w:t>
      </w:r>
      <w:r>
        <w:rPr>
          <w:spacing w:val="-9"/>
        </w:rPr>
        <w:t> </w:t>
      </w:r>
      <w:r>
        <w:rPr>
          <w:spacing w:val="-2"/>
        </w:rPr>
        <w:t>from</w:t>
      </w:r>
      <w:r>
        <w:rPr>
          <w:spacing w:val="-9"/>
        </w:rPr>
        <w:t> </w:t>
      </w:r>
      <w:r>
        <w:rPr>
          <w:spacing w:val="-2"/>
        </w:rPr>
        <w:t>a</w:t>
      </w:r>
      <w:r>
        <w:rPr>
          <w:spacing w:val="-9"/>
        </w:rPr>
        <w:t> </w:t>
      </w:r>
      <w:r>
        <w:rPr>
          <w:spacing w:val="-2"/>
        </w:rPr>
        <w:t>single</w:t>
      </w:r>
      <w:r>
        <w:rPr>
          <w:spacing w:val="-8"/>
        </w:rPr>
        <w:t> </w:t>
      </w:r>
      <w:r>
        <w:rPr>
          <w:spacing w:val="-2"/>
        </w:rPr>
        <w:t>platform.</w:t>
      </w:r>
      <w:r>
        <w:rPr>
          <w:spacing w:val="29"/>
        </w:rPr>
        <w:t> </w:t>
      </w:r>
      <w:r>
        <w:rPr>
          <w:spacing w:val="-2"/>
        </w:rPr>
        <w:t>With</w:t>
      </w:r>
      <w:r>
        <w:rPr>
          <w:spacing w:val="-17"/>
        </w:rPr>
        <w:t> </w:t>
      </w:r>
      <w:r>
        <w:rPr>
          <w:spacing w:val="-2"/>
        </w:rPr>
        <w:t>Adobe</w:t>
      </w:r>
      <w:r>
        <w:rPr>
          <w:spacing w:val="-9"/>
        </w:rPr>
        <w:t> </w:t>
      </w:r>
      <w:r>
        <w:rPr>
          <w:spacing w:val="-2"/>
        </w:rPr>
        <w:t>Media</w:t>
      </w:r>
      <w:r>
        <w:rPr>
          <w:spacing w:val="-9"/>
        </w:rPr>
        <w:t> </w:t>
      </w:r>
      <w:r>
        <w:rPr>
          <w:spacing w:val="-2"/>
        </w:rPr>
        <w:t>Optimizer</w:t>
      </w:r>
      <w:r>
        <w:rPr>
          <w:spacing w:val="-9"/>
        </w:rPr>
        <w:t> </w:t>
      </w:r>
      <w:r>
        <w:rPr>
          <w:spacing w:val="-2"/>
        </w:rPr>
        <w:t>DSP,</w:t>
      </w:r>
      <w:r>
        <w:rPr>
          <w:spacing w:val="-9"/>
        </w:rPr>
        <w:t> </w:t>
      </w:r>
      <w:r>
        <w:rPr>
          <w:spacing w:val="-2"/>
        </w:rPr>
        <w:t>customers</w:t>
      </w:r>
      <w:r>
        <w:rPr>
          <w:spacing w:val="-8"/>
        </w:rPr>
        <w:t> </w:t>
      </w:r>
      <w:r>
        <w:rPr>
          <w:spacing w:val="-2"/>
        </w:rPr>
        <w:t>can</w:t>
      </w:r>
      <w:r>
        <w:rPr>
          <w:spacing w:val="-9"/>
        </w:rPr>
        <w:t> </w:t>
      </w:r>
      <w:r>
        <w:rPr>
          <w:spacing w:val="-2"/>
        </w:rPr>
        <w:t>intelligently</w:t>
      </w:r>
      <w:r>
        <w:rPr>
          <w:spacing w:val="-9"/>
        </w:rPr>
        <w:t> </w:t>
      </w:r>
      <w:r>
        <w:rPr>
          <w:spacing w:val="-2"/>
        </w:rPr>
        <w:t>target</w:t>
      </w:r>
      <w:r>
        <w:rPr>
          <w:spacing w:val="-9"/>
        </w:rPr>
        <w:t> </w:t>
      </w:r>
      <w:r>
        <w:rPr>
          <w:spacing w:val="-2"/>
        </w:rPr>
        <w:t>their</w:t>
      </w:r>
      <w:r>
        <w:rPr>
          <w:spacing w:val="-9"/>
        </w:rPr>
        <w:t> </w:t>
      </w:r>
      <w:r>
        <w:rPr>
          <w:spacing w:val="-2"/>
        </w:rPr>
        <w:t>most</w:t>
      </w:r>
      <w:r>
        <w:rPr>
          <w:spacing w:val="-8"/>
        </w:rPr>
        <w:t> </w:t>
      </w:r>
      <w:r>
        <w:rPr>
          <w:spacing w:val="-2"/>
        </w:rPr>
        <w:t>valuable</w:t>
      </w:r>
    </w:p>
    <w:p>
      <w:pPr>
        <w:spacing w:after="0" w:line="249" w:lineRule="auto"/>
        <w:jc w:val="both"/>
        <w:sectPr>
          <w:pgSz w:w="12240" w:h="15840"/>
          <w:pgMar w:header="210" w:footer="599" w:top="420" w:bottom="780" w:left="780" w:right="740"/>
        </w:sectPr>
      </w:pPr>
    </w:p>
    <w:p>
      <w:pPr>
        <w:pStyle w:val="BodyText"/>
        <w:spacing w:before="150"/>
      </w:pPr>
    </w:p>
    <w:p>
      <w:pPr>
        <w:pStyle w:val="BodyText"/>
        <w:spacing w:line="249" w:lineRule="auto"/>
        <w:ind w:left="220" w:right="257"/>
        <w:jc w:val="both"/>
      </w:pPr>
      <w:r>
        <w:rPr/>
        <w:t>audiences by optimizing display ad campaigns in real time.</w:t>
      </w:r>
      <w:r>
        <w:rPr>
          <w:spacing w:val="40"/>
        </w:rPr>
        <w:t> </w:t>
      </w:r>
      <w:r>
        <w:rPr/>
        <w:t>Adobe Media Optimizer DSP’s programmatic TV buying solution extends many of the benefits digital buying offers - like targeting and reporting insights - to television advertising.</w:t>
      </w:r>
      <w:r>
        <w:rPr>
          <w:spacing w:val="40"/>
        </w:rPr>
        <w:t> </w:t>
      </w:r>
      <w:r>
        <w:rPr/>
        <w:t>It helps advertisers plan campaigns holistically, across every screen, while providing more flexibility to shift spend and optimize reach and frequency.</w:t>
      </w:r>
      <w:r>
        <w:rPr>
          <w:spacing w:val="-1"/>
        </w:rPr>
        <w:t> </w:t>
      </w:r>
      <w:r>
        <w:rPr/>
        <w:t>Adobe Media Optimizer DSP also provides users with the tools to create, manage, optimize and scale ads for Facebook and Instagram.</w:t>
      </w:r>
    </w:p>
    <w:p>
      <w:pPr>
        <w:spacing w:before="164"/>
        <w:ind w:left="760" w:right="0" w:firstLine="0"/>
        <w:jc w:val="left"/>
        <w:rPr>
          <w:i/>
          <w:sz w:val="20"/>
        </w:rPr>
      </w:pPr>
      <w:r>
        <w:rPr>
          <w:i/>
          <w:sz w:val="20"/>
        </w:rPr>
        <w:t>Adobe</w:t>
      </w:r>
      <w:r>
        <w:rPr>
          <w:i/>
          <w:spacing w:val="-6"/>
          <w:sz w:val="20"/>
        </w:rPr>
        <w:t> </w:t>
      </w:r>
      <w:r>
        <w:rPr>
          <w:i/>
          <w:sz w:val="20"/>
        </w:rPr>
        <w:t>Media</w:t>
      </w:r>
      <w:r>
        <w:rPr>
          <w:i/>
          <w:spacing w:val="-4"/>
          <w:sz w:val="20"/>
        </w:rPr>
        <w:t> </w:t>
      </w:r>
      <w:r>
        <w:rPr>
          <w:i/>
          <w:sz w:val="20"/>
        </w:rPr>
        <w:t>Optimizer</w:t>
      </w:r>
      <w:r>
        <w:rPr>
          <w:i/>
          <w:spacing w:val="-3"/>
          <w:sz w:val="20"/>
        </w:rPr>
        <w:t> </w:t>
      </w:r>
      <w:r>
        <w:rPr>
          <w:i/>
          <w:sz w:val="20"/>
        </w:rPr>
        <w:t>Dynamic</w:t>
      </w:r>
      <w:r>
        <w:rPr>
          <w:i/>
          <w:spacing w:val="-4"/>
          <w:sz w:val="20"/>
        </w:rPr>
        <w:t> </w:t>
      </w:r>
      <w:r>
        <w:rPr>
          <w:i/>
          <w:sz w:val="20"/>
        </w:rPr>
        <w:t>Creative</w:t>
      </w:r>
      <w:r>
        <w:rPr>
          <w:i/>
          <w:spacing w:val="-4"/>
          <w:sz w:val="20"/>
        </w:rPr>
        <w:t> </w:t>
      </w:r>
      <w:r>
        <w:rPr>
          <w:i/>
          <w:sz w:val="20"/>
        </w:rPr>
        <w:t>Optimization</w:t>
      </w:r>
      <w:r>
        <w:rPr>
          <w:i/>
          <w:spacing w:val="-2"/>
          <w:sz w:val="20"/>
        </w:rPr>
        <w:t> (DCO)</w:t>
      </w:r>
    </w:p>
    <w:p>
      <w:pPr>
        <w:pStyle w:val="BodyText"/>
        <w:spacing w:line="249" w:lineRule="auto" w:before="170"/>
        <w:ind w:left="220" w:right="257" w:firstLine="540"/>
        <w:jc w:val="both"/>
      </w:pPr>
      <w:r>
        <w:rPr/>
        <w:t>Adobe Media Optimizer DCO enables advertisers to reach specific audiences with flexible creative content that’s personalized in real time based on site actions, customer and partner data, and third-party demographic data.</w:t>
      </w:r>
      <w:r>
        <w:rPr>
          <w:spacing w:val="40"/>
        </w:rPr>
        <w:t> </w:t>
      </w:r>
      <w:r>
        <w:rPr/>
        <w:t>Adobe </w:t>
      </w:r>
      <w:r>
        <w:rPr/>
        <w:t>Media Optimizer DCO provides customers with robust campaign options, from retargeting and loyalty programs to prospecting and awareness campaigns; site visitor, partner, third-party and location data to improve audience targeting; flexibility to deliver the right content across device types; and reports and algorithms to help optimize creative elements.</w:t>
      </w:r>
    </w:p>
    <w:p>
      <w:pPr>
        <w:pStyle w:val="Heading2"/>
        <w:spacing w:before="164"/>
        <w:jc w:val="both"/>
      </w:pPr>
      <w:r>
        <w:rPr/>
        <w:t>Other</w:t>
      </w:r>
      <w:r>
        <w:rPr>
          <w:spacing w:val="-8"/>
        </w:rPr>
        <w:t> </w:t>
      </w:r>
      <w:r>
        <w:rPr/>
        <w:t>Products</w:t>
      </w:r>
      <w:r>
        <w:rPr>
          <w:spacing w:val="-4"/>
        </w:rPr>
        <w:t> </w:t>
      </w:r>
      <w:r>
        <w:rPr/>
        <w:t>and</w:t>
      </w:r>
      <w:r>
        <w:rPr>
          <w:spacing w:val="-3"/>
        </w:rPr>
        <w:t> </w:t>
      </w:r>
      <w:r>
        <w:rPr>
          <w:spacing w:val="-2"/>
        </w:rPr>
        <w:t>Services</w:t>
      </w:r>
    </w:p>
    <w:p>
      <w:pPr>
        <w:pStyle w:val="BodyText"/>
        <w:spacing w:line="249" w:lineRule="auto" w:before="170"/>
        <w:ind w:left="220" w:right="258" w:firstLine="540"/>
        <w:jc w:val="both"/>
      </w:pPr>
      <w:r>
        <w:rPr/>
        <w:t>We</w:t>
      </w:r>
      <w:r>
        <w:rPr>
          <w:spacing w:val="-2"/>
        </w:rPr>
        <w:t> </w:t>
      </w:r>
      <w:r>
        <w:rPr/>
        <w:t>also</w:t>
      </w:r>
      <w:r>
        <w:rPr>
          <w:spacing w:val="-3"/>
        </w:rPr>
        <w:t> </w:t>
      </w:r>
      <w:r>
        <w:rPr/>
        <w:t>offer</w:t>
      </w:r>
      <w:r>
        <w:rPr>
          <w:spacing w:val="-2"/>
        </w:rPr>
        <w:t> </w:t>
      </w:r>
      <w:r>
        <w:rPr/>
        <w:t>a</w:t>
      </w:r>
      <w:r>
        <w:rPr>
          <w:spacing w:val="-2"/>
        </w:rPr>
        <w:t> </w:t>
      </w:r>
      <w:r>
        <w:rPr/>
        <w:t>broad</w:t>
      </w:r>
      <w:r>
        <w:rPr>
          <w:spacing w:val="-3"/>
        </w:rPr>
        <w:t> </w:t>
      </w:r>
      <w:r>
        <w:rPr/>
        <w:t>range</w:t>
      </w:r>
      <w:r>
        <w:rPr>
          <w:spacing w:val="-3"/>
        </w:rPr>
        <w:t> </w:t>
      </w:r>
      <w:r>
        <w:rPr/>
        <w:t>of</w:t>
      </w:r>
      <w:r>
        <w:rPr>
          <w:spacing w:val="-2"/>
        </w:rPr>
        <w:t> </w:t>
      </w:r>
      <w:r>
        <w:rPr/>
        <w:t>other</w:t>
      </w:r>
      <w:r>
        <w:rPr>
          <w:spacing w:val="-3"/>
        </w:rPr>
        <w:t> </w:t>
      </w:r>
      <w:r>
        <w:rPr/>
        <w:t>enterprise</w:t>
      </w:r>
      <w:r>
        <w:rPr>
          <w:spacing w:val="-3"/>
        </w:rPr>
        <w:t> </w:t>
      </w:r>
      <w:r>
        <w:rPr/>
        <w:t>and</w:t>
      </w:r>
      <w:r>
        <w:rPr>
          <w:spacing w:val="-3"/>
        </w:rPr>
        <w:t> </w:t>
      </w:r>
      <w:r>
        <w:rPr/>
        <w:t>digital</w:t>
      </w:r>
      <w:r>
        <w:rPr>
          <w:spacing w:val="-3"/>
        </w:rPr>
        <w:t> </w:t>
      </w:r>
      <w:r>
        <w:rPr/>
        <w:t>media</w:t>
      </w:r>
      <w:r>
        <w:rPr>
          <w:spacing w:val="-2"/>
        </w:rPr>
        <w:t> </w:t>
      </w:r>
      <w:r>
        <w:rPr/>
        <w:t>products</w:t>
      </w:r>
      <w:r>
        <w:rPr>
          <w:spacing w:val="-2"/>
        </w:rPr>
        <w:t> </w:t>
      </w:r>
      <w:r>
        <w:rPr/>
        <w:t>and</w:t>
      </w:r>
      <w:r>
        <w:rPr>
          <w:spacing w:val="-2"/>
        </w:rPr>
        <w:t> </w:t>
      </w:r>
      <w:r>
        <w:rPr/>
        <w:t>services.</w:t>
      </w:r>
      <w:r>
        <w:rPr>
          <w:spacing w:val="-2"/>
        </w:rPr>
        <w:t> </w:t>
      </w:r>
      <w:r>
        <w:rPr/>
        <w:t>Information</w:t>
      </w:r>
      <w:r>
        <w:rPr>
          <w:spacing w:val="-3"/>
        </w:rPr>
        <w:t> </w:t>
      </w:r>
      <w:r>
        <w:rPr/>
        <w:t>about</w:t>
      </w:r>
      <w:r>
        <w:rPr>
          <w:spacing w:val="-3"/>
        </w:rPr>
        <w:t> </w:t>
      </w:r>
      <w:r>
        <w:rPr/>
        <w:t>other</w:t>
      </w:r>
      <w:r>
        <w:rPr>
          <w:spacing w:val="-3"/>
        </w:rPr>
        <w:t> </w:t>
      </w:r>
      <w:r>
        <w:rPr/>
        <w:t>products not referenced here can be found on our corporate website, </w:t>
      </w:r>
      <w:hyperlink r:id="rId17">
        <w:r>
          <w:rPr/>
          <w:t>www.adobe.com.</w:t>
        </w:r>
      </w:hyperlink>
    </w:p>
    <w:p>
      <w:pPr>
        <w:pStyle w:val="BodyText"/>
        <w:spacing w:before="171"/>
      </w:pPr>
    </w:p>
    <w:p>
      <w:pPr>
        <w:pStyle w:val="Heading1"/>
        <w:spacing w:before="1"/>
        <w:ind w:left="3846" w:right="3884"/>
        <w:jc w:val="center"/>
      </w:pPr>
      <w:bookmarkStart w:name="Operations" w:id="13"/>
      <w:bookmarkEnd w:id="13"/>
      <w:r>
        <w:rPr>
          <w:b w:val="0"/>
        </w:rPr>
      </w:r>
      <w:r>
        <w:rPr>
          <w:spacing w:val="-2"/>
        </w:rPr>
        <w:t>OPERATIONS</w:t>
      </w:r>
    </w:p>
    <w:p>
      <w:pPr>
        <w:pStyle w:val="Heading2"/>
        <w:spacing w:before="190"/>
      </w:pPr>
      <w:r>
        <w:rPr/>
        <w:t>Marketing</w:t>
      </w:r>
      <w:r>
        <w:rPr>
          <w:spacing w:val="-2"/>
        </w:rPr>
        <w:t> </w:t>
      </w:r>
      <w:r>
        <w:rPr/>
        <w:t>and</w:t>
      </w:r>
      <w:r>
        <w:rPr>
          <w:spacing w:val="-1"/>
        </w:rPr>
        <w:t> </w:t>
      </w:r>
      <w:r>
        <w:rPr>
          <w:spacing w:val="-2"/>
        </w:rPr>
        <w:t>Sales</w:t>
      </w:r>
    </w:p>
    <w:p>
      <w:pPr>
        <w:pStyle w:val="BodyText"/>
        <w:spacing w:line="249" w:lineRule="auto" w:before="190"/>
        <w:ind w:left="220" w:right="257" w:firstLine="540"/>
        <w:jc w:val="both"/>
      </w:pPr>
      <w:r>
        <w:rPr/>
        <w:t>We</w:t>
      </w:r>
      <w:r>
        <w:rPr>
          <w:spacing w:val="-7"/>
        </w:rPr>
        <w:t> </w:t>
      </w:r>
      <w:r>
        <w:rPr/>
        <w:t>market</w:t>
      </w:r>
      <w:r>
        <w:rPr>
          <w:spacing w:val="-7"/>
        </w:rPr>
        <w:t> </w:t>
      </w:r>
      <w:r>
        <w:rPr/>
        <w:t>and</w:t>
      </w:r>
      <w:r>
        <w:rPr>
          <w:spacing w:val="-7"/>
        </w:rPr>
        <w:t> </w:t>
      </w:r>
      <w:r>
        <w:rPr/>
        <w:t>license</w:t>
      </w:r>
      <w:r>
        <w:rPr>
          <w:spacing w:val="-7"/>
        </w:rPr>
        <w:t> </w:t>
      </w:r>
      <w:r>
        <w:rPr/>
        <w:t>our</w:t>
      </w:r>
      <w:r>
        <w:rPr>
          <w:spacing w:val="-7"/>
        </w:rPr>
        <w:t> </w:t>
      </w:r>
      <w:r>
        <w:rPr/>
        <w:t>products</w:t>
      </w:r>
      <w:r>
        <w:rPr>
          <w:spacing w:val="-7"/>
        </w:rPr>
        <w:t> </w:t>
      </w:r>
      <w:r>
        <w:rPr/>
        <w:t>directly</w:t>
      </w:r>
      <w:r>
        <w:rPr>
          <w:spacing w:val="-7"/>
        </w:rPr>
        <w:t> </w:t>
      </w:r>
      <w:r>
        <w:rPr/>
        <w:t>using</w:t>
      </w:r>
      <w:r>
        <w:rPr>
          <w:spacing w:val="-7"/>
        </w:rPr>
        <w:t> </w:t>
      </w:r>
      <w:r>
        <w:rPr/>
        <w:t>our</w:t>
      </w:r>
      <w:r>
        <w:rPr>
          <w:spacing w:val="-7"/>
        </w:rPr>
        <w:t> </w:t>
      </w:r>
      <w:r>
        <w:rPr/>
        <w:t>sales</w:t>
      </w:r>
      <w:r>
        <w:rPr>
          <w:spacing w:val="-7"/>
        </w:rPr>
        <w:t> </w:t>
      </w:r>
      <w:r>
        <w:rPr/>
        <w:t>force</w:t>
      </w:r>
      <w:r>
        <w:rPr>
          <w:spacing w:val="-7"/>
        </w:rPr>
        <w:t> </w:t>
      </w:r>
      <w:r>
        <w:rPr/>
        <w:t>and</w:t>
      </w:r>
      <w:r>
        <w:rPr>
          <w:spacing w:val="-7"/>
        </w:rPr>
        <w:t> </w:t>
      </w:r>
      <w:r>
        <w:rPr/>
        <w:t>certain</w:t>
      </w:r>
      <w:r>
        <w:rPr>
          <w:spacing w:val="-7"/>
        </w:rPr>
        <w:t> </w:t>
      </w:r>
      <w:r>
        <w:rPr/>
        <w:t>local</w:t>
      </w:r>
      <w:r>
        <w:rPr>
          <w:spacing w:val="-7"/>
        </w:rPr>
        <w:t> </w:t>
      </w:r>
      <w:r>
        <w:rPr/>
        <w:t>offices</w:t>
      </w:r>
      <w:r>
        <w:rPr>
          <w:spacing w:val="-7"/>
        </w:rPr>
        <w:t> </w:t>
      </w:r>
      <w:r>
        <w:rPr/>
        <w:t>and</w:t>
      </w:r>
      <w:r>
        <w:rPr>
          <w:spacing w:val="-7"/>
        </w:rPr>
        <w:t> </w:t>
      </w:r>
      <w:r>
        <w:rPr/>
        <w:t>through</w:t>
      </w:r>
      <w:r>
        <w:rPr>
          <w:spacing w:val="-7"/>
        </w:rPr>
        <w:t> </w:t>
      </w:r>
      <w:r>
        <w:rPr/>
        <w:t>our</w:t>
      </w:r>
      <w:r>
        <w:rPr>
          <w:spacing w:val="-7"/>
        </w:rPr>
        <w:t> </w:t>
      </w:r>
      <w:r>
        <w:rPr/>
        <w:t>own</w:t>
      </w:r>
      <w:r>
        <w:rPr>
          <w:spacing w:val="-7"/>
        </w:rPr>
        <w:t> </w:t>
      </w:r>
      <w:r>
        <w:rPr/>
        <w:t>website</w:t>
      </w:r>
      <w:r>
        <w:rPr>
          <w:spacing w:val="-7"/>
        </w:rPr>
        <w:t> </w:t>
      </w:r>
      <w:r>
        <w:rPr/>
        <w:t>at </w:t>
      </w:r>
      <w:hyperlink r:id="rId17">
        <w:r>
          <w:rPr>
            <w:spacing w:val="-2"/>
          </w:rPr>
          <w:t>www.adobe.com.</w:t>
        </w:r>
      </w:hyperlink>
      <w:r>
        <w:rPr>
          <w:spacing w:val="-8"/>
        </w:rPr>
        <w:t> </w:t>
      </w:r>
      <w:r>
        <w:rPr>
          <w:spacing w:val="-2"/>
        </w:rPr>
        <w:t>We</w:t>
      </w:r>
      <w:r>
        <w:rPr>
          <w:spacing w:val="-4"/>
        </w:rPr>
        <w:t> </w:t>
      </w:r>
      <w:r>
        <w:rPr>
          <w:spacing w:val="-2"/>
        </w:rPr>
        <w:t>also</w:t>
      </w:r>
      <w:r>
        <w:rPr>
          <w:spacing w:val="-4"/>
        </w:rPr>
        <w:t> </w:t>
      </w:r>
      <w:r>
        <w:rPr>
          <w:spacing w:val="-2"/>
        </w:rPr>
        <w:t>market</w:t>
      </w:r>
      <w:r>
        <w:rPr>
          <w:spacing w:val="-4"/>
        </w:rPr>
        <w:t> </w:t>
      </w:r>
      <w:r>
        <w:rPr>
          <w:spacing w:val="-2"/>
        </w:rPr>
        <w:t>and</w:t>
      </w:r>
      <w:r>
        <w:rPr>
          <w:spacing w:val="-4"/>
        </w:rPr>
        <w:t> </w:t>
      </w:r>
      <w:r>
        <w:rPr>
          <w:spacing w:val="-2"/>
        </w:rPr>
        <w:t>distribute</w:t>
      </w:r>
      <w:r>
        <w:rPr>
          <w:spacing w:val="-4"/>
        </w:rPr>
        <w:t> </w:t>
      </w:r>
      <w:r>
        <w:rPr>
          <w:spacing w:val="-2"/>
        </w:rPr>
        <w:t>our</w:t>
      </w:r>
      <w:r>
        <w:rPr>
          <w:spacing w:val="-4"/>
        </w:rPr>
        <w:t> </w:t>
      </w:r>
      <w:r>
        <w:rPr>
          <w:spacing w:val="-2"/>
        </w:rPr>
        <w:t>products</w:t>
      </w:r>
      <w:r>
        <w:rPr>
          <w:spacing w:val="-4"/>
        </w:rPr>
        <w:t> </w:t>
      </w:r>
      <w:r>
        <w:rPr>
          <w:spacing w:val="-2"/>
        </w:rPr>
        <w:t>through</w:t>
      </w:r>
      <w:r>
        <w:rPr>
          <w:spacing w:val="-4"/>
        </w:rPr>
        <w:t> </w:t>
      </w:r>
      <w:r>
        <w:rPr>
          <w:spacing w:val="-2"/>
        </w:rPr>
        <w:t>sales</w:t>
      </w:r>
      <w:r>
        <w:rPr>
          <w:spacing w:val="-4"/>
        </w:rPr>
        <w:t> </w:t>
      </w:r>
      <w:r>
        <w:rPr>
          <w:spacing w:val="-2"/>
        </w:rPr>
        <w:t>channels,</w:t>
      </w:r>
      <w:r>
        <w:rPr>
          <w:spacing w:val="-4"/>
        </w:rPr>
        <w:t> </w:t>
      </w:r>
      <w:r>
        <w:rPr>
          <w:spacing w:val="-2"/>
        </w:rPr>
        <w:t>which</w:t>
      </w:r>
      <w:r>
        <w:rPr>
          <w:spacing w:val="-4"/>
        </w:rPr>
        <w:t> </w:t>
      </w:r>
      <w:r>
        <w:rPr>
          <w:spacing w:val="-2"/>
        </w:rPr>
        <w:t>include</w:t>
      </w:r>
      <w:r>
        <w:rPr>
          <w:spacing w:val="-4"/>
        </w:rPr>
        <w:t> </w:t>
      </w:r>
      <w:r>
        <w:rPr>
          <w:spacing w:val="-2"/>
        </w:rPr>
        <w:t>distributors,</w:t>
      </w:r>
      <w:r>
        <w:rPr>
          <w:spacing w:val="-4"/>
        </w:rPr>
        <w:t> </w:t>
      </w:r>
      <w:r>
        <w:rPr>
          <w:spacing w:val="-2"/>
        </w:rPr>
        <w:t>retailers,</w:t>
      </w:r>
      <w:r>
        <w:rPr>
          <w:spacing w:val="-4"/>
        </w:rPr>
        <w:t> </w:t>
      </w:r>
      <w:r>
        <w:rPr>
          <w:spacing w:val="-2"/>
        </w:rPr>
        <w:t>software </w:t>
      </w:r>
      <w:r>
        <w:rPr/>
        <w:t>developers, SIs, ISVs and VARs, as well as through OEM and hardware bundle customers.</w:t>
      </w:r>
    </w:p>
    <w:p>
      <w:pPr>
        <w:pStyle w:val="BodyText"/>
        <w:spacing w:line="249" w:lineRule="auto" w:before="182"/>
        <w:ind w:left="220" w:right="257" w:firstLine="540"/>
        <w:jc w:val="both"/>
      </w:pPr>
      <w:r>
        <w:rPr/>
        <w:t>Our local field offices include locations in</w:t>
      </w:r>
      <w:r>
        <w:rPr>
          <w:spacing w:val="-3"/>
        </w:rPr>
        <w:t> </w:t>
      </w:r>
      <w:r>
        <w:rPr/>
        <w:t>Australia,</w:t>
      </w:r>
      <w:r>
        <w:rPr>
          <w:spacing w:val="-3"/>
        </w:rPr>
        <w:t> </w:t>
      </w:r>
      <w:r>
        <w:rPr/>
        <w:t>Austria, Belgium, Brazil, Canada, Chile, China, Columbia, Czech </w:t>
      </w:r>
      <w:r>
        <w:rPr>
          <w:spacing w:val="-2"/>
        </w:rPr>
        <w:t>Republic,</w:t>
      </w:r>
      <w:r>
        <w:rPr>
          <w:spacing w:val="-6"/>
        </w:rPr>
        <w:t> </w:t>
      </w:r>
      <w:r>
        <w:rPr>
          <w:spacing w:val="-2"/>
        </w:rPr>
        <w:t>Denmark,</w:t>
      </w:r>
      <w:r>
        <w:rPr>
          <w:spacing w:val="-4"/>
        </w:rPr>
        <w:t> </w:t>
      </w:r>
      <w:r>
        <w:rPr>
          <w:spacing w:val="-2"/>
        </w:rPr>
        <w:t>Finland,</w:t>
      </w:r>
      <w:r>
        <w:rPr>
          <w:spacing w:val="-6"/>
        </w:rPr>
        <w:t> </w:t>
      </w:r>
      <w:r>
        <w:rPr>
          <w:spacing w:val="-2"/>
        </w:rPr>
        <w:t>France,</w:t>
      </w:r>
      <w:r>
        <w:rPr>
          <w:spacing w:val="-4"/>
        </w:rPr>
        <w:t> </w:t>
      </w:r>
      <w:r>
        <w:rPr>
          <w:spacing w:val="-2"/>
        </w:rPr>
        <w:t>Germany,</w:t>
      </w:r>
      <w:r>
        <w:rPr>
          <w:spacing w:val="-4"/>
        </w:rPr>
        <w:t> </w:t>
      </w:r>
      <w:r>
        <w:rPr>
          <w:spacing w:val="-2"/>
        </w:rPr>
        <w:t>Hong</w:t>
      </w:r>
      <w:r>
        <w:rPr>
          <w:spacing w:val="-6"/>
        </w:rPr>
        <w:t> </w:t>
      </w:r>
      <w:r>
        <w:rPr>
          <w:spacing w:val="-2"/>
        </w:rPr>
        <w:t>Kong,</w:t>
      </w:r>
      <w:r>
        <w:rPr>
          <w:spacing w:val="-6"/>
        </w:rPr>
        <w:t> </w:t>
      </w:r>
      <w:r>
        <w:rPr>
          <w:spacing w:val="-2"/>
        </w:rPr>
        <w:t>India,</w:t>
      </w:r>
      <w:r>
        <w:rPr>
          <w:spacing w:val="-4"/>
        </w:rPr>
        <w:t> </w:t>
      </w:r>
      <w:r>
        <w:rPr>
          <w:spacing w:val="-2"/>
        </w:rPr>
        <w:t>Ireland,</w:t>
      </w:r>
      <w:r>
        <w:rPr>
          <w:spacing w:val="-6"/>
        </w:rPr>
        <w:t> </w:t>
      </w:r>
      <w:r>
        <w:rPr>
          <w:spacing w:val="-2"/>
        </w:rPr>
        <w:t>Israel,</w:t>
      </w:r>
      <w:r>
        <w:rPr>
          <w:spacing w:val="-4"/>
        </w:rPr>
        <w:t> </w:t>
      </w:r>
      <w:r>
        <w:rPr>
          <w:spacing w:val="-2"/>
        </w:rPr>
        <w:t>Italy,</w:t>
      </w:r>
      <w:r>
        <w:rPr>
          <w:spacing w:val="-4"/>
        </w:rPr>
        <w:t> </w:t>
      </w:r>
      <w:r>
        <w:rPr>
          <w:spacing w:val="-2"/>
        </w:rPr>
        <w:t>Japan,</w:t>
      </w:r>
      <w:r>
        <w:rPr>
          <w:spacing w:val="-4"/>
        </w:rPr>
        <w:t> </w:t>
      </w:r>
      <w:r>
        <w:rPr>
          <w:spacing w:val="-2"/>
        </w:rPr>
        <w:t>Mexico,</w:t>
      </w:r>
      <w:r>
        <w:rPr>
          <w:spacing w:val="-6"/>
        </w:rPr>
        <w:t> </w:t>
      </w:r>
      <w:r>
        <w:rPr>
          <w:spacing w:val="-2"/>
        </w:rPr>
        <w:t>Moldova,</w:t>
      </w:r>
      <w:r>
        <w:rPr>
          <w:spacing w:val="-4"/>
        </w:rPr>
        <w:t> </w:t>
      </w:r>
      <w:r>
        <w:rPr>
          <w:spacing w:val="-2"/>
        </w:rPr>
        <w:t>the</w:t>
      </w:r>
      <w:r>
        <w:rPr>
          <w:spacing w:val="-6"/>
        </w:rPr>
        <w:t> </w:t>
      </w:r>
      <w:r>
        <w:rPr>
          <w:spacing w:val="-2"/>
        </w:rPr>
        <w:t>Netherlands, </w:t>
      </w:r>
      <w:r>
        <w:rPr/>
        <w:t>New Zealand, Norway, Poland, Romania, Singapore, South</w:t>
      </w:r>
      <w:r>
        <w:rPr>
          <w:spacing w:val="-7"/>
        </w:rPr>
        <w:t> </w:t>
      </w:r>
      <w:r>
        <w:rPr/>
        <w:t>Africa, South Korea, Spain, Sweden, Switzerland, Taiwan, United Arab Emirates, the United Kingdom and the United States.</w:t>
      </w:r>
    </w:p>
    <w:p>
      <w:pPr>
        <w:pStyle w:val="BodyText"/>
        <w:spacing w:line="249" w:lineRule="auto" w:before="183"/>
        <w:ind w:left="220" w:right="258" w:firstLine="540"/>
        <w:jc w:val="both"/>
      </w:pPr>
      <w:r>
        <w:rPr/>
        <w:t>We sell the majority of our products through a software subscription model where our customers purchase access to a product</w:t>
      </w:r>
      <w:r>
        <w:rPr>
          <w:spacing w:val="-6"/>
        </w:rPr>
        <w:t> </w:t>
      </w:r>
      <w:r>
        <w:rPr/>
        <w:t>for</w:t>
      </w:r>
      <w:r>
        <w:rPr>
          <w:spacing w:val="-6"/>
        </w:rPr>
        <w:t> </w:t>
      </w:r>
      <w:r>
        <w:rPr/>
        <w:t>a</w:t>
      </w:r>
      <w:r>
        <w:rPr>
          <w:spacing w:val="-6"/>
        </w:rPr>
        <w:t> </w:t>
      </w:r>
      <w:r>
        <w:rPr/>
        <w:t>specific</w:t>
      </w:r>
      <w:r>
        <w:rPr>
          <w:spacing w:val="-6"/>
        </w:rPr>
        <w:t> </w:t>
      </w:r>
      <w:r>
        <w:rPr/>
        <w:t>period</w:t>
      </w:r>
      <w:r>
        <w:rPr>
          <w:spacing w:val="-6"/>
        </w:rPr>
        <w:t> </w:t>
      </w:r>
      <w:r>
        <w:rPr/>
        <w:t>of</w:t>
      </w:r>
      <w:r>
        <w:rPr>
          <w:spacing w:val="-6"/>
        </w:rPr>
        <w:t> </w:t>
      </w:r>
      <w:r>
        <w:rPr/>
        <w:t>time</w:t>
      </w:r>
      <w:r>
        <w:rPr>
          <w:spacing w:val="-6"/>
        </w:rPr>
        <w:t> </w:t>
      </w:r>
      <w:r>
        <w:rPr/>
        <w:t>during</w:t>
      </w:r>
      <w:r>
        <w:rPr>
          <w:spacing w:val="-6"/>
        </w:rPr>
        <w:t> </w:t>
      </w:r>
      <w:r>
        <w:rPr/>
        <w:t>which</w:t>
      </w:r>
      <w:r>
        <w:rPr>
          <w:spacing w:val="-6"/>
        </w:rPr>
        <w:t> </w:t>
      </w:r>
      <w:r>
        <w:rPr/>
        <w:t>they</w:t>
      </w:r>
      <w:r>
        <w:rPr>
          <w:spacing w:val="-6"/>
        </w:rPr>
        <w:t> </w:t>
      </w:r>
      <w:r>
        <w:rPr/>
        <w:t>always</w:t>
      </w:r>
      <w:r>
        <w:rPr>
          <w:spacing w:val="-6"/>
        </w:rPr>
        <w:t> </w:t>
      </w:r>
      <w:r>
        <w:rPr/>
        <w:t>have</w:t>
      </w:r>
      <w:r>
        <w:rPr>
          <w:spacing w:val="-6"/>
        </w:rPr>
        <w:t> </w:t>
      </w:r>
      <w:r>
        <w:rPr/>
        <w:t>rights</w:t>
      </w:r>
      <w:r>
        <w:rPr>
          <w:spacing w:val="-6"/>
        </w:rPr>
        <w:t> </w:t>
      </w:r>
      <w:r>
        <w:rPr/>
        <w:t>to</w:t>
      </w:r>
      <w:r>
        <w:rPr>
          <w:spacing w:val="-6"/>
        </w:rPr>
        <w:t> </w:t>
      </w:r>
      <w:r>
        <w:rPr/>
        <w:t>use</w:t>
      </w:r>
      <w:r>
        <w:rPr>
          <w:spacing w:val="-6"/>
        </w:rPr>
        <w:t> </w:t>
      </w:r>
      <w:r>
        <w:rPr/>
        <w:t>the</w:t>
      </w:r>
      <w:r>
        <w:rPr>
          <w:spacing w:val="-6"/>
        </w:rPr>
        <w:t> </w:t>
      </w:r>
      <w:r>
        <w:rPr/>
        <w:t>most</w:t>
      </w:r>
      <w:r>
        <w:rPr>
          <w:spacing w:val="-6"/>
        </w:rPr>
        <w:t> </w:t>
      </w:r>
      <w:r>
        <w:rPr/>
        <w:t>recent</w:t>
      </w:r>
      <w:r>
        <w:rPr>
          <w:spacing w:val="-6"/>
        </w:rPr>
        <w:t> </w:t>
      </w:r>
      <w:r>
        <w:rPr/>
        <w:t>version</w:t>
      </w:r>
      <w:r>
        <w:rPr>
          <w:spacing w:val="-6"/>
        </w:rPr>
        <w:t> </w:t>
      </w:r>
      <w:r>
        <w:rPr/>
        <w:t>of</w:t>
      </w:r>
      <w:r>
        <w:rPr>
          <w:spacing w:val="-6"/>
        </w:rPr>
        <w:t> </w:t>
      </w:r>
      <w:r>
        <w:rPr/>
        <w:t>that</w:t>
      </w:r>
      <w:r>
        <w:rPr>
          <w:spacing w:val="-6"/>
        </w:rPr>
        <w:t> </w:t>
      </w:r>
      <w:r>
        <w:rPr/>
        <w:t>product.</w:t>
      </w:r>
      <w:r>
        <w:rPr>
          <w:spacing w:val="-9"/>
        </w:rPr>
        <w:t> </w:t>
      </w:r>
      <w:r>
        <w:rPr/>
        <w:t>We</w:t>
      </w:r>
      <w:r>
        <w:rPr>
          <w:spacing w:val="-6"/>
        </w:rPr>
        <w:t> </w:t>
      </w:r>
      <w:r>
        <w:rPr/>
        <w:t>also license</w:t>
      </w:r>
      <w:r>
        <w:rPr>
          <w:spacing w:val="-13"/>
        </w:rPr>
        <w:t> </w:t>
      </w:r>
      <w:r>
        <w:rPr/>
        <w:t>perpetual</w:t>
      </w:r>
      <w:r>
        <w:rPr>
          <w:spacing w:val="-12"/>
        </w:rPr>
        <w:t> </w:t>
      </w:r>
      <w:r>
        <w:rPr/>
        <w:t>versions</w:t>
      </w:r>
      <w:r>
        <w:rPr>
          <w:spacing w:val="-13"/>
        </w:rPr>
        <w:t> </w:t>
      </w:r>
      <w:r>
        <w:rPr/>
        <w:t>of</w:t>
      </w:r>
      <w:r>
        <w:rPr>
          <w:spacing w:val="-12"/>
        </w:rPr>
        <w:t> </w:t>
      </w:r>
      <w:r>
        <w:rPr/>
        <w:t>our</w:t>
      </w:r>
      <w:r>
        <w:rPr>
          <w:spacing w:val="-13"/>
        </w:rPr>
        <w:t> </w:t>
      </w:r>
      <w:r>
        <w:rPr/>
        <w:t>software</w:t>
      </w:r>
      <w:r>
        <w:rPr>
          <w:spacing w:val="-12"/>
        </w:rPr>
        <w:t> </w:t>
      </w:r>
      <w:r>
        <w:rPr/>
        <w:t>with</w:t>
      </w:r>
      <w:r>
        <w:rPr>
          <w:spacing w:val="-13"/>
        </w:rPr>
        <w:t> </w:t>
      </w:r>
      <w:r>
        <w:rPr/>
        <w:t>maintenance</w:t>
      </w:r>
      <w:r>
        <w:rPr>
          <w:spacing w:val="-12"/>
        </w:rPr>
        <w:t> </w:t>
      </w:r>
      <w:r>
        <w:rPr/>
        <w:t>and</w:t>
      </w:r>
      <w:r>
        <w:rPr>
          <w:spacing w:val="-13"/>
        </w:rPr>
        <w:t> </w:t>
      </w:r>
      <w:r>
        <w:rPr/>
        <w:t>support,</w:t>
      </w:r>
      <w:r>
        <w:rPr>
          <w:spacing w:val="-12"/>
        </w:rPr>
        <w:t> </w:t>
      </w:r>
      <w:r>
        <w:rPr/>
        <w:t>which</w:t>
      </w:r>
      <w:r>
        <w:rPr>
          <w:spacing w:val="-13"/>
        </w:rPr>
        <w:t> </w:t>
      </w:r>
      <w:r>
        <w:rPr/>
        <w:t>includes</w:t>
      </w:r>
      <w:r>
        <w:rPr>
          <w:spacing w:val="-12"/>
        </w:rPr>
        <w:t> </w:t>
      </w:r>
      <w:r>
        <w:rPr/>
        <w:t>rights</w:t>
      </w:r>
      <w:r>
        <w:rPr>
          <w:spacing w:val="-13"/>
        </w:rPr>
        <w:t> </w:t>
      </w:r>
      <w:r>
        <w:rPr/>
        <w:t>to</w:t>
      </w:r>
      <w:r>
        <w:rPr>
          <w:spacing w:val="-12"/>
        </w:rPr>
        <w:t> </w:t>
      </w:r>
      <w:r>
        <w:rPr/>
        <w:t>upgrades,</w:t>
      </w:r>
      <w:r>
        <w:rPr>
          <w:spacing w:val="-13"/>
        </w:rPr>
        <w:t> </w:t>
      </w:r>
      <w:r>
        <w:rPr/>
        <w:t>when</w:t>
      </w:r>
      <w:r>
        <w:rPr>
          <w:spacing w:val="-12"/>
        </w:rPr>
        <w:t> </w:t>
      </w:r>
      <w:r>
        <w:rPr/>
        <w:t>and</w:t>
      </w:r>
      <w:r>
        <w:rPr>
          <w:spacing w:val="-13"/>
        </w:rPr>
        <w:t> </w:t>
      </w:r>
      <w:r>
        <w:rPr/>
        <w:t>if</w:t>
      </w:r>
      <w:r>
        <w:rPr>
          <w:spacing w:val="-12"/>
        </w:rPr>
        <w:t> </w:t>
      </w:r>
      <w:r>
        <w:rPr/>
        <w:t>available, support, updates and enhancements.</w:t>
      </w:r>
    </w:p>
    <w:p>
      <w:pPr>
        <w:pStyle w:val="BodyText"/>
        <w:spacing w:line="249" w:lineRule="auto" w:before="184"/>
        <w:ind w:left="220" w:right="257" w:firstLine="540"/>
        <w:jc w:val="both"/>
      </w:pPr>
      <w:r>
        <w:rPr/>
        <w:t>For</w:t>
      </w:r>
      <w:r>
        <w:rPr>
          <w:spacing w:val="-13"/>
        </w:rPr>
        <w:t> </w:t>
      </w:r>
      <w:r>
        <w:rPr/>
        <w:t>fiscal</w:t>
      </w:r>
      <w:r>
        <w:rPr>
          <w:spacing w:val="-8"/>
        </w:rPr>
        <w:t> </w:t>
      </w:r>
      <w:r>
        <w:rPr/>
        <w:t>2017,</w:t>
      </w:r>
      <w:r>
        <w:rPr>
          <w:spacing w:val="-8"/>
        </w:rPr>
        <w:t> </w:t>
      </w:r>
      <w:r>
        <w:rPr/>
        <w:t>2016</w:t>
      </w:r>
      <w:r>
        <w:rPr>
          <w:spacing w:val="-8"/>
        </w:rPr>
        <w:t> </w:t>
      </w:r>
      <w:r>
        <w:rPr/>
        <w:t>and</w:t>
      </w:r>
      <w:r>
        <w:rPr>
          <w:spacing w:val="-8"/>
        </w:rPr>
        <w:t> </w:t>
      </w:r>
      <w:r>
        <w:rPr/>
        <w:t>2015,</w:t>
      </w:r>
      <w:r>
        <w:rPr>
          <w:spacing w:val="-9"/>
        </w:rPr>
        <w:t> </w:t>
      </w:r>
      <w:r>
        <w:rPr/>
        <w:t>there</w:t>
      </w:r>
      <w:r>
        <w:rPr>
          <w:spacing w:val="-8"/>
        </w:rPr>
        <w:t> </w:t>
      </w:r>
      <w:r>
        <w:rPr/>
        <w:t>were</w:t>
      </w:r>
      <w:r>
        <w:rPr>
          <w:spacing w:val="-8"/>
        </w:rPr>
        <w:t> </w:t>
      </w:r>
      <w:r>
        <w:rPr/>
        <w:t>no</w:t>
      </w:r>
      <w:r>
        <w:rPr>
          <w:spacing w:val="-8"/>
        </w:rPr>
        <w:t> </w:t>
      </w:r>
      <w:r>
        <w:rPr/>
        <w:t>customers</w:t>
      </w:r>
      <w:r>
        <w:rPr>
          <w:spacing w:val="-8"/>
        </w:rPr>
        <w:t> </w:t>
      </w:r>
      <w:r>
        <w:rPr/>
        <w:t>that</w:t>
      </w:r>
      <w:r>
        <w:rPr>
          <w:spacing w:val="-8"/>
        </w:rPr>
        <w:t> </w:t>
      </w:r>
      <w:r>
        <w:rPr/>
        <w:t>represented</w:t>
      </w:r>
      <w:r>
        <w:rPr>
          <w:spacing w:val="-8"/>
        </w:rPr>
        <w:t> </w:t>
      </w:r>
      <w:r>
        <w:rPr/>
        <w:t>at</w:t>
      </w:r>
      <w:r>
        <w:rPr>
          <w:spacing w:val="-8"/>
        </w:rPr>
        <w:t> </w:t>
      </w:r>
      <w:r>
        <w:rPr/>
        <w:t>least</w:t>
      </w:r>
      <w:r>
        <w:rPr>
          <w:spacing w:val="-9"/>
        </w:rPr>
        <w:t> </w:t>
      </w:r>
      <w:r>
        <w:rPr/>
        <w:t>10%</w:t>
      </w:r>
      <w:r>
        <w:rPr>
          <w:spacing w:val="-8"/>
        </w:rPr>
        <w:t> </w:t>
      </w:r>
      <w:r>
        <w:rPr/>
        <w:t>of</w:t>
      </w:r>
      <w:r>
        <w:rPr>
          <w:spacing w:val="-8"/>
        </w:rPr>
        <w:t> </w:t>
      </w:r>
      <w:r>
        <w:rPr/>
        <w:t>net</w:t>
      </w:r>
      <w:r>
        <w:rPr>
          <w:spacing w:val="-8"/>
        </w:rPr>
        <w:t> </w:t>
      </w:r>
      <w:r>
        <w:rPr/>
        <w:t>revenue.</w:t>
      </w:r>
      <w:r>
        <w:rPr>
          <w:spacing w:val="-13"/>
        </w:rPr>
        <w:t> </w:t>
      </w:r>
      <w:r>
        <w:rPr/>
        <w:t>As</w:t>
      </w:r>
      <w:r>
        <w:rPr>
          <w:spacing w:val="-8"/>
        </w:rPr>
        <w:t> </w:t>
      </w:r>
      <w:r>
        <w:rPr/>
        <w:t>of</w:t>
      </w:r>
      <w:r>
        <w:rPr>
          <w:spacing w:val="-8"/>
        </w:rPr>
        <w:t> </w:t>
      </w:r>
      <w:r>
        <w:rPr/>
        <w:t>fiscal</w:t>
      </w:r>
      <w:r>
        <w:rPr>
          <w:spacing w:val="-8"/>
        </w:rPr>
        <w:t> </w:t>
      </w:r>
      <w:r>
        <w:rPr/>
        <w:t>year</w:t>
      </w:r>
      <w:r>
        <w:rPr>
          <w:spacing w:val="-8"/>
        </w:rPr>
        <w:t> </w:t>
      </w:r>
      <w:r>
        <w:rPr/>
        <w:t>end 2017 and 2016, no single customer was responsible for over 10% of our trade receivables.</w:t>
      </w:r>
    </w:p>
    <w:p>
      <w:pPr>
        <w:pStyle w:val="BodyText"/>
        <w:spacing w:before="11"/>
      </w:pPr>
    </w:p>
    <w:p>
      <w:pPr>
        <w:pStyle w:val="Heading2"/>
      </w:pPr>
      <w:r>
        <w:rPr/>
        <w:t>Services</w:t>
      </w:r>
      <w:r>
        <w:rPr>
          <w:spacing w:val="-6"/>
        </w:rPr>
        <w:t> </w:t>
      </w:r>
      <w:r>
        <w:rPr/>
        <w:t>and</w:t>
      </w:r>
      <w:r>
        <w:rPr>
          <w:spacing w:val="-5"/>
        </w:rPr>
        <w:t> </w:t>
      </w:r>
      <w:r>
        <w:rPr>
          <w:spacing w:val="-2"/>
        </w:rPr>
        <w:t>Support</w:t>
      </w:r>
    </w:p>
    <w:p>
      <w:pPr>
        <w:pStyle w:val="BodyText"/>
        <w:spacing w:line="249" w:lineRule="auto" w:before="190"/>
        <w:ind w:left="220" w:right="257" w:firstLine="540"/>
        <w:jc w:val="both"/>
      </w:pPr>
      <w:r>
        <w:rPr>
          <w:spacing w:val="-4"/>
        </w:rPr>
        <w:t>We provide expert consulting, customer success management, technical support, and learning services across all our customer </w:t>
      </w:r>
      <w:r>
        <w:rPr/>
        <w:t>segments,</w:t>
      </w:r>
      <w:r>
        <w:rPr>
          <w:spacing w:val="-2"/>
        </w:rPr>
        <w:t> </w:t>
      </w:r>
      <w:r>
        <w:rPr/>
        <w:t>including</w:t>
      </w:r>
      <w:r>
        <w:rPr>
          <w:spacing w:val="-2"/>
        </w:rPr>
        <w:t> </w:t>
      </w:r>
      <w:r>
        <w:rPr/>
        <w:t>enterprises,</w:t>
      </w:r>
      <w:r>
        <w:rPr>
          <w:spacing w:val="-2"/>
        </w:rPr>
        <w:t> </w:t>
      </w:r>
      <w:r>
        <w:rPr/>
        <w:t>small</w:t>
      </w:r>
      <w:r>
        <w:rPr>
          <w:spacing w:val="-2"/>
        </w:rPr>
        <w:t> </w:t>
      </w:r>
      <w:r>
        <w:rPr/>
        <w:t>and</w:t>
      </w:r>
      <w:r>
        <w:rPr>
          <w:spacing w:val="-2"/>
        </w:rPr>
        <w:t> </w:t>
      </w:r>
      <w:r>
        <w:rPr/>
        <w:t>medium</w:t>
      </w:r>
      <w:r>
        <w:rPr>
          <w:spacing w:val="-2"/>
        </w:rPr>
        <w:t> </w:t>
      </w:r>
      <w:r>
        <w:rPr/>
        <w:t>businesses,</w:t>
      </w:r>
      <w:r>
        <w:rPr>
          <w:spacing w:val="-2"/>
        </w:rPr>
        <w:t> </w:t>
      </w:r>
      <w:r>
        <w:rPr/>
        <w:t>creative</w:t>
      </w:r>
      <w:r>
        <w:rPr>
          <w:spacing w:val="-2"/>
        </w:rPr>
        <w:t> </w:t>
      </w:r>
      <w:r>
        <w:rPr/>
        <w:t>professionals,</w:t>
      </w:r>
      <w:r>
        <w:rPr>
          <w:spacing w:val="-2"/>
        </w:rPr>
        <w:t> </w:t>
      </w:r>
      <w:r>
        <w:rPr/>
        <w:t>and</w:t>
      </w:r>
      <w:r>
        <w:rPr>
          <w:spacing w:val="-2"/>
        </w:rPr>
        <w:t> </w:t>
      </w:r>
      <w:r>
        <w:rPr/>
        <w:t>consumers.</w:t>
      </w:r>
      <w:r>
        <w:rPr>
          <w:spacing w:val="-6"/>
        </w:rPr>
        <w:t> </w:t>
      </w:r>
      <w:r>
        <w:rPr/>
        <w:t>With</w:t>
      </w:r>
      <w:r>
        <w:rPr>
          <w:spacing w:val="-2"/>
        </w:rPr>
        <w:t> </w:t>
      </w:r>
      <w:r>
        <w:rPr/>
        <w:t>a</w:t>
      </w:r>
      <w:r>
        <w:rPr>
          <w:spacing w:val="-2"/>
        </w:rPr>
        <w:t> </w:t>
      </w:r>
      <w:r>
        <w:rPr/>
        <w:t>focus</w:t>
      </w:r>
      <w:r>
        <w:rPr>
          <w:spacing w:val="-2"/>
        </w:rPr>
        <w:t> </w:t>
      </w:r>
      <w:r>
        <w:rPr/>
        <w:t>on</w:t>
      </w:r>
      <w:r>
        <w:rPr>
          <w:spacing w:val="-2"/>
        </w:rPr>
        <w:t> </w:t>
      </w:r>
      <w:r>
        <w:rPr/>
        <w:t>ensuring sustained</w:t>
      </w:r>
      <w:r>
        <w:rPr>
          <w:spacing w:val="-13"/>
        </w:rPr>
        <w:t> </w:t>
      </w:r>
      <w:r>
        <w:rPr/>
        <w:t>customer</w:t>
      </w:r>
      <w:r>
        <w:rPr>
          <w:spacing w:val="-12"/>
        </w:rPr>
        <w:t> </w:t>
      </w:r>
      <w:r>
        <w:rPr/>
        <w:t>success</w:t>
      </w:r>
      <w:r>
        <w:rPr>
          <w:spacing w:val="-13"/>
        </w:rPr>
        <w:t> </w:t>
      </w:r>
      <w:r>
        <w:rPr/>
        <w:t>and</w:t>
      </w:r>
      <w:r>
        <w:rPr>
          <w:spacing w:val="-12"/>
        </w:rPr>
        <w:t> </w:t>
      </w:r>
      <w:r>
        <w:rPr/>
        <w:t>realized</w:t>
      </w:r>
      <w:r>
        <w:rPr>
          <w:spacing w:val="-13"/>
        </w:rPr>
        <w:t> </w:t>
      </w:r>
      <w:r>
        <w:rPr/>
        <w:t>value,</w:t>
      </w:r>
      <w:r>
        <w:rPr>
          <w:spacing w:val="-12"/>
        </w:rPr>
        <w:t> </w:t>
      </w:r>
      <w:r>
        <w:rPr/>
        <w:t>this</w:t>
      </w:r>
      <w:r>
        <w:rPr>
          <w:spacing w:val="-13"/>
        </w:rPr>
        <w:t> </w:t>
      </w:r>
      <w:r>
        <w:rPr/>
        <w:t>comprehensive</w:t>
      </w:r>
      <w:r>
        <w:rPr>
          <w:spacing w:val="-12"/>
        </w:rPr>
        <w:t> </w:t>
      </w:r>
      <w:r>
        <w:rPr/>
        <w:t>portfolio</w:t>
      </w:r>
      <w:r>
        <w:rPr>
          <w:spacing w:val="-13"/>
        </w:rPr>
        <w:t> </w:t>
      </w:r>
      <w:r>
        <w:rPr/>
        <w:t>of</w:t>
      </w:r>
      <w:r>
        <w:rPr>
          <w:spacing w:val="-12"/>
        </w:rPr>
        <w:t> </w:t>
      </w:r>
      <w:r>
        <w:rPr/>
        <w:t>services</w:t>
      </w:r>
      <w:r>
        <w:rPr>
          <w:spacing w:val="-13"/>
        </w:rPr>
        <w:t> </w:t>
      </w:r>
      <w:r>
        <w:rPr/>
        <w:t>is</w:t>
      </w:r>
      <w:r>
        <w:rPr>
          <w:spacing w:val="-12"/>
        </w:rPr>
        <w:t> </w:t>
      </w:r>
      <w:r>
        <w:rPr/>
        <w:t>designed</w:t>
      </w:r>
      <w:r>
        <w:rPr>
          <w:spacing w:val="-13"/>
        </w:rPr>
        <w:t> </w:t>
      </w:r>
      <w:r>
        <w:rPr/>
        <w:t>to</w:t>
      </w:r>
      <w:r>
        <w:rPr>
          <w:spacing w:val="-12"/>
        </w:rPr>
        <w:t> </w:t>
      </w:r>
      <w:r>
        <w:rPr/>
        <w:t>help</w:t>
      </w:r>
      <w:r>
        <w:rPr>
          <w:spacing w:val="-13"/>
        </w:rPr>
        <w:t> </w:t>
      </w:r>
      <w:r>
        <w:rPr/>
        <w:t>customers</w:t>
      </w:r>
      <w:r>
        <w:rPr>
          <w:spacing w:val="-12"/>
        </w:rPr>
        <w:t> </w:t>
      </w:r>
      <w:r>
        <w:rPr/>
        <w:t>and</w:t>
      </w:r>
      <w:r>
        <w:rPr>
          <w:spacing w:val="-13"/>
        </w:rPr>
        <w:t> </w:t>
      </w:r>
      <w:r>
        <w:rPr/>
        <w:t>partners maximize</w:t>
      </w:r>
      <w:r>
        <w:rPr>
          <w:spacing w:val="-2"/>
        </w:rPr>
        <w:t> </w:t>
      </w:r>
      <w:r>
        <w:rPr/>
        <w:t>the</w:t>
      </w:r>
      <w:r>
        <w:rPr>
          <w:spacing w:val="-2"/>
        </w:rPr>
        <w:t> </w:t>
      </w:r>
      <w:r>
        <w:rPr/>
        <w:t>return</w:t>
      </w:r>
      <w:r>
        <w:rPr>
          <w:spacing w:val="-2"/>
        </w:rPr>
        <w:t> </w:t>
      </w:r>
      <w:r>
        <w:rPr/>
        <w:t>on</w:t>
      </w:r>
      <w:r>
        <w:rPr>
          <w:spacing w:val="-2"/>
        </w:rPr>
        <w:t> </w:t>
      </w:r>
      <w:r>
        <w:rPr/>
        <w:t>their</w:t>
      </w:r>
      <w:r>
        <w:rPr>
          <w:spacing w:val="-2"/>
        </w:rPr>
        <w:t> </w:t>
      </w:r>
      <w:r>
        <w:rPr/>
        <w:t>investments</w:t>
      </w:r>
      <w:r>
        <w:rPr>
          <w:spacing w:val="-2"/>
        </w:rPr>
        <w:t> </w:t>
      </w:r>
      <w:r>
        <w:rPr/>
        <w:t>in</w:t>
      </w:r>
      <w:r>
        <w:rPr>
          <w:spacing w:val="-2"/>
        </w:rPr>
        <w:t> </w:t>
      </w:r>
      <w:r>
        <w:rPr/>
        <w:t>our</w:t>
      </w:r>
      <w:r>
        <w:rPr>
          <w:spacing w:val="-2"/>
        </w:rPr>
        <w:t> </w:t>
      </w:r>
      <w:r>
        <w:rPr/>
        <w:t>cloud</w:t>
      </w:r>
      <w:r>
        <w:rPr>
          <w:spacing w:val="-2"/>
        </w:rPr>
        <w:t> </w:t>
      </w:r>
      <w:r>
        <w:rPr/>
        <w:t>solutions</w:t>
      </w:r>
      <w:r>
        <w:rPr>
          <w:spacing w:val="-2"/>
        </w:rPr>
        <w:t> </w:t>
      </w:r>
      <w:r>
        <w:rPr/>
        <w:t>and</w:t>
      </w:r>
      <w:r>
        <w:rPr>
          <w:spacing w:val="-2"/>
        </w:rPr>
        <w:t> </w:t>
      </w:r>
      <w:r>
        <w:rPr/>
        <w:t>licensed</w:t>
      </w:r>
      <w:r>
        <w:rPr>
          <w:spacing w:val="-2"/>
        </w:rPr>
        <w:t> </w:t>
      </w:r>
      <w:r>
        <w:rPr/>
        <w:t>products.</w:t>
      </w:r>
      <w:r>
        <w:rPr>
          <w:spacing w:val="-2"/>
        </w:rPr>
        <w:t> </w:t>
      </w:r>
      <w:r>
        <w:rPr/>
        <w:t>Our</w:t>
      </w:r>
      <w:r>
        <w:rPr>
          <w:spacing w:val="-2"/>
        </w:rPr>
        <w:t> </w:t>
      </w:r>
      <w:r>
        <w:rPr/>
        <w:t>service</w:t>
      </w:r>
      <w:r>
        <w:rPr>
          <w:spacing w:val="-2"/>
        </w:rPr>
        <w:t> </w:t>
      </w:r>
      <w:r>
        <w:rPr/>
        <w:t>and</w:t>
      </w:r>
      <w:r>
        <w:rPr>
          <w:spacing w:val="-2"/>
        </w:rPr>
        <w:t> </w:t>
      </w:r>
      <w:r>
        <w:rPr/>
        <w:t>support</w:t>
      </w:r>
      <w:r>
        <w:rPr>
          <w:spacing w:val="-2"/>
        </w:rPr>
        <w:t> </w:t>
      </w:r>
      <w:r>
        <w:rPr/>
        <w:t>revenue</w:t>
      </w:r>
      <w:r>
        <w:rPr>
          <w:spacing w:val="-3"/>
        </w:rPr>
        <w:t> </w:t>
      </w:r>
      <w:r>
        <w:rPr/>
        <w:t>consists primarily of consulting fees, software maintenance, technical support fees and training fees.</w:t>
      </w:r>
    </w:p>
    <w:p>
      <w:pPr>
        <w:pStyle w:val="BodyText"/>
        <w:spacing w:before="14"/>
      </w:pPr>
    </w:p>
    <w:p>
      <w:pPr>
        <w:spacing w:before="1"/>
        <w:ind w:left="220" w:right="0" w:firstLine="0"/>
        <w:jc w:val="left"/>
        <w:rPr>
          <w:i/>
          <w:sz w:val="20"/>
        </w:rPr>
      </w:pPr>
      <w:r>
        <w:rPr>
          <w:i/>
          <w:sz w:val="20"/>
        </w:rPr>
        <w:t>Consulting </w:t>
      </w:r>
      <w:r>
        <w:rPr>
          <w:i/>
          <w:spacing w:val="-2"/>
          <w:sz w:val="20"/>
        </w:rPr>
        <w:t>Services</w:t>
      </w:r>
    </w:p>
    <w:p>
      <w:pPr>
        <w:pStyle w:val="BodyText"/>
        <w:spacing w:before="19"/>
        <w:rPr>
          <w:i/>
        </w:rPr>
      </w:pPr>
    </w:p>
    <w:p>
      <w:pPr>
        <w:pStyle w:val="BodyText"/>
        <w:spacing w:line="249" w:lineRule="auto" w:before="1"/>
        <w:ind w:left="220" w:right="257" w:firstLine="540"/>
        <w:jc w:val="both"/>
      </w:pPr>
      <w:r>
        <w:rPr/>
        <w:t>We</w:t>
      </w:r>
      <w:r>
        <w:rPr>
          <w:spacing w:val="-7"/>
        </w:rPr>
        <w:t> </w:t>
      </w:r>
      <w:r>
        <w:rPr/>
        <w:t>have</w:t>
      </w:r>
      <w:r>
        <w:rPr>
          <w:spacing w:val="-7"/>
        </w:rPr>
        <w:t> </w:t>
      </w:r>
      <w:r>
        <w:rPr/>
        <w:t>a</w:t>
      </w:r>
      <w:r>
        <w:rPr>
          <w:spacing w:val="-7"/>
        </w:rPr>
        <w:t> </w:t>
      </w:r>
      <w:r>
        <w:rPr/>
        <w:t>global</w:t>
      </w:r>
      <w:r>
        <w:rPr>
          <w:spacing w:val="-7"/>
        </w:rPr>
        <w:t> </w:t>
      </w:r>
      <w:r>
        <w:rPr/>
        <w:t>professional</w:t>
      </w:r>
      <w:r>
        <w:rPr>
          <w:spacing w:val="-7"/>
        </w:rPr>
        <w:t> </w:t>
      </w:r>
      <w:r>
        <w:rPr/>
        <w:t>services</w:t>
      </w:r>
      <w:r>
        <w:rPr>
          <w:spacing w:val="-6"/>
        </w:rPr>
        <w:t> </w:t>
      </w:r>
      <w:r>
        <w:rPr/>
        <w:t>team</w:t>
      </w:r>
      <w:r>
        <w:rPr>
          <w:spacing w:val="-7"/>
        </w:rPr>
        <w:t> </w:t>
      </w:r>
      <w:r>
        <w:rPr/>
        <w:t>dedicated</w:t>
      </w:r>
      <w:r>
        <w:rPr>
          <w:spacing w:val="-7"/>
        </w:rPr>
        <w:t> </w:t>
      </w:r>
      <w:r>
        <w:rPr/>
        <w:t>to</w:t>
      </w:r>
      <w:r>
        <w:rPr>
          <w:spacing w:val="-6"/>
        </w:rPr>
        <w:t> </w:t>
      </w:r>
      <w:r>
        <w:rPr/>
        <w:t>designing</w:t>
      </w:r>
      <w:r>
        <w:rPr>
          <w:spacing w:val="-7"/>
        </w:rPr>
        <w:t> </w:t>
      </w:r>
      <w:r>
        <w:rPr/>
        <w:t>and</w:t>
      </w:r>
      <w:r>
        <w:rPr>
          <w:spacing w:val="-7"/>
        </w:rPr>
        <w:t> </w:t>
      </w:r>
      <w:r>
        <w:rPr/>
        <w:t>implementing</w:t>
      </w:r>
      <w:r>
        <w:rPr>
          <w:spacing w:val="-7"/>
        </w:rPr>
        <w:t> </w:t>
      </w:r>
      <w:r>
        <w:rPr/>
        <w:t>solutions</w:t>
      </w:r>
      <w:r>
        <w:rPr>
          <w:spacing w:val="-6"/>
        </w:rPr>
        <w:t> </w:t>
      </w:r>
      <w:r>
        <w:rPr/>
        <w:t>for</w:t>
      </w:r>
      <w:r>
        <w:rPr>
          <w:spacing w:val="-6"/>
        </w:rPr>
        <w:t> </w:t>
      </w:r>
      <w:r>
        <w:rPr/>
        <w:t>our</w:t>
      </w:r>
      <w:r>
        <w:rPr>
          <w:spacing w:val="-7"/>
        </w:rPr>
        <w:t> </w:t>
      </w:r>
      <w:r>
        <w:rPr/>
        <w:t>largest</w:t>
      </w:r>
      <w:r>
        <w:rPr>
          <w:spacing w:val="-7"/>
        </w:rPr>
        <w:t> </w:t>
      </w:r>
      <w:r>
        <w:rPr/>
        <w:t>customers. </w:t>
      </w:r>
      <w:r>
        <w:rPr>
          <w:spacing w:val="-2"/>
        </w:rPr>
        <w:t>Our</w:t>
      </w:r>
      <w:r>
        <w:rPr>
          <w:spacing w:val="-6"/>
        </w:rPr>
        <w:t> </w:t>
      </w:r>
      <w:r>
        <w:rPr>
          <w:spacing w:val="-2"/>
        </w:rPr>
        <w:t>professional</w:t>
      </w:r>
      <w:r>
        <w:rPr>
          <w:spacing w:val="-6"/>
        </w:rPr>
        <w:t> </w:t>
      </w:r>
      <w:r>
        <w:rPr>
          <w:spacing w:val="-2"/>
        </w:rPr>
        <w:t>services</w:t>
      </w:r>
      <w:r>
        <w:rPr>
          <w:spacing w:val="-4"/>
        </w:rPr>
        <w:t> </w:t>
      </w:r>
      <w:r>
        <w:rPr>
          <w:spacing w:val="-2"/>
        </w:rPr>
        <w:t>team</w:t>
      </w:r>
      <w:r>
        <w:rPr>
          <w:spacing w:val="-6"/>
        </w:rPr>
        <w:t> </w:t>
      </w:r>
      <w:r>
        <w:rPr>
          <w:spacing w:val="-2"/>
        </w:rPr>
        <w:t>uses</w:t>
      </w:r>
      <w:r>
        <w:rPr>
          <w:spacing w:val="-6"/>
        </w:rPr>
        <w:t> </w:t>
      </w:r>
      <w:r>
        <w:rPr>
          <w:spacing w:val="-2"/>
        </w:rPr>
        <w:t>a</w:t>
      </w:r>
      <w:r>
        <w:rPr>
          <w:spacing w:val="-4"/>
        </w:rPr>
        <w:t> </w:t>
      </w:r>
      <w:r>
        <w:rPr>
          <w:spacing w:val="-2"/>
        </w:rPr>
        <w:t>comprehensive,</w:t>
      </w:r>
      <w:r>
        <w:rPr>
          <w:spacing w:val="-6"/>
        </w:rPr>
        <w:t> </w:t>
      </w:r>
      <w:r>
        <w:rPr>
          <w:spacing w:val="-2"/>
        </w:rPr>
        <w:t>customer-focused</w:t>
      </w:r>
      <w:r>
        <w:rPr>
          <w:spacing w:val="-6"/>
        </w:rPr>
        <w:t> </w:t>
      </w:r>
      <w:r>
        <w:rPr>
          <w:spacing w:val="-2"/>
        </w:rPr>
        <w:t>methodology</w:t>
      </w:r>
      <w:r>
        <w:rPr>
          <w:spacing w:val="-6"/>
        </w:rPr>
        <w:t> </w:t>
      </w:r>
      <w:r>
        <w:rPr>
          <w:spacing w:val="-2"/>
        </w:rPr>
        <w:t>that</w:t>
      </w:r>
      <w:r>
        <w:rPr>
          <w:spacing w:val="-6"/>
        </w:rPr>
        <w:t> </w:t>
      </w:r>
      <w:r>
        <w:rPr>
          <w:spacing w:val="-2"/>
        </w:rPr>
        <w:t>has</w:t>
      </w:r>
      <w:r>
        <w:rPr>
          <w:spacing w:val="-6"/>
        </w:rPr>
        <w:t> </w:t>
      </w:r>
      <w:r>
        <w:rPr>
          <w:spacing w:val="-2"/>
        </w:rPr>
        <w:t>been</w:t>
      </w:r>
      <w:r>
        <w:rPr>
          <w:spacing w:val="-6"/>
        </w:rPr>
        <w:t> </w:t>
      </w:r>
      <w:r>
        <w:rPr>
          <w:spacing w:val="-2"/>
        </w:rPr>
        <w:t>refined</w:t>
      </w:r>
      <w:r>
        <w:rPr>
          <w:spacing w:val="-6"/>
        </w:rPr>
        <w:t> </w:t>
      </w:r>
      <w:r>
        <w:rPr>
          <w:spacing w:val="-2"/>
        </w:rPr>
        <w:t>over</w:t>
      </w:r>
      <w:r>
        <w:rPr>
          <w:spacing w:val="-4"/>
        </w:rPr>
        <w:t> </w:t>
      </w:r>
      <w:r>
        <w:rPr>
          <w:spacing w:val="-2"/>
        </w:rPr>
        <w:t>years</w:t>
      </w:r>
      <w:r>
        <w:rPr>
          <w:spacing w:val="-6"/>
        </w:rPr>
        <w:t> </w:t>
      </w:r>
      <w:r>
        <w:rPr>
          <w:spacing w:val="-2"/>
        </w:rPr>
        <w:t>of</w:t>
      </w:r>
      <w:r>
        <w:rPr>
          <w:spacing w:val="-6"/>
        </w:rPr>
        <w:t> </w:t>
      </w:r>
      <w:r>
        <w:rPr>
          <w:spacing w:val="-2"/>
        </w:rPr>
        <w:t>capturing </w:t>
      </w:r>
      <w:r>
        <w:rPr/>
        <w:t>and analyzing best practices from numerous customer engagements across a diverse mix of solutions, industries, and customer segments.</w:t>
      </w:r>
      <w:r>
        <w:rPr>
          <w:spacing w:val="-13"/>
        </w:rPr>
        <w:t> </w:t>
      </w:r>
      <w:r>
        <w:rPr/>
        <w:t>Increasingly,</w:t>
      </w:r>
      <w:r>
        <w:rPr>
          <w:spacing w:val="-12"/>
        </w:rPr>
        <w:t> </w:t>
      </w:r>
      <w:r>
        <w:rPr/>
        <w:t>our</w:t>
      </w:r>
      <w:r>
        <w:rPr>
          <w:spacing w:val="-13"/>
        </w:rPr>
        <w:t> </w:t>
      </w:r>
      <w:r>
        <w:rPr/>
        <w:t>customers</w:t>
      </w:r>
      <w:r>
        <w:rPr>
          <w:spacing w:val="-12"/>
        </w:rPr>
        <w:t> </w:t>
      </w:r>
      <w:r>
        <w:rPr/>
        <w:t>seek</w:t>
      </w:r>
      <w:r>
        <w:rPr>
          <w:spacing w:val="-13"/>
        </w:rPr>
        <w:t> </w:t>
      </w:r>
      <w:r>
        <w:rPr/>
        <w:t>to</w:t>
      </w:r>
      <w:r>
        <w:rPr>
          <w:spacing w:val="-12"/>
        </w:rPr>
        <w:t> </w:t>
      </w:r>
      <w:r>
        <w:rPr/>
        <w:t>integrate</w:t>
      </w:r>
      <w:r>
        <w:rPr>
          <w:spacing w:val="-12"/>
        </w:rPr>
        <w:t> </w:t>
      </w:r>
      <w:r>
        <w:rPr/>
        <w:t>across</w:t>
      </w:r>
      <w:r>
        <w:rPr>
          <w:spacing w:val="-13"/>
        </w:rPr>
        <w:t> </w:t>
      </w:r>
      <w:r>
        <w:rPr/>
        <w:t>Adobe’s</w:t>
      </w:r>
      <w:r>
        <w:rPr>
          <w:spacing w:val="-11"/>
        </w:rPr>
        <w:t> </w:t>
      </w:r>
      <w:r>
        <w:rPr/>
        <w:t>products</w:t>
      </w:r>
      <w:r>
        <w:rPr>
          <w:spacing w:val="-12"/>
        </w:rPr>
        <w:t> </w:t>
      </w:r>
      <w:r>
        <w:rPr/>
        <w:t>and</w:t>
      </w:r>
      <w:r>
        <w:rPr>
          <w:spacing w:val="-12"/>
        </w:rPr>
        <w:t> </w:t>
      </w:r>
      <w:r>
        <w:rPr/>
        <w:t>cloud</w:t>
      </w:r>
      <w:r>
        <w:rPr>
          <w:spacing w:val="-12"/>
        </w:rPr>
        <w:t> </w:t>
      </w:r>
      <w:r>
        <w:rPr/>
        <w:t>solutions,</w:t>
      </w:r>
      <w:r>
        <w:rPr>
          <w:spacing w:val="-12"/>
        </w:rPr>
        <w:t> </w:t>
      </w:r>
      <w:r>
        <w:rPr/>
        <w:t>and</w:t>
      </w:r>
      <w:r>
        <w:rPr>
          <w:spacing w:val="-12"/>
        </w:rPr>
        <w:t> </w:t>
      </w:r>
      <w:r>
        <w:rPr/>
        <w:t>engage</w:t>
      </w:r>
      <w:r>
        <w:rPr>
          <w:spacing w:val="-12"/>
        </w:rPr>
        <w:t> </w:t>
      </w:r>
      <w:r>
        <w:rPr/>
        <w:t>our</w:t>
      </w:r>
      <w:r>
        <w:rPr>
          <w:spacing w:val="-12"/>
        </w:rPr>
        <w:t> </w:t>
      </w:r>
      <w:r>
        <w:rPr/>
        <w:t>professional services teams to share their expertise in leading customers’ digital strategies and multi-solution integrations. Using our methodology,</w:t>
      </w:r>
      <w:r>
        <w:rPr>
          <w:spacing w:val="-13"/>
        </w:rPr>
        <w:t> </w:t>
      </w:r>
      <w:r>
        <w:rPr/>
        <w:t>our</w:t>
      </w:r>
      <w:r>
        <w:rPr>
          <w:spacing w:val="-8"/>
        </w:rPr>
        <w:t> </w:t>
      </w:r>
      <w:r>
        <w:rPr/>
        <w:t>professional</w:t>
      </w:r>
      <w:r>
        <w:rPr>
          <w:spacing w:val="-7"/>
        </w:rPr>
        <w:t> </w:t>
      </w:r>
      <w:r>
        <w:rPr/>
        <w:t>services</w:t>
      </w:r>
      <w:r>
        <w:rPr>
          <w:spacing w:val="-7"/>
        </w:rPr>
        <w:t> </w:t>
      </w:r>
      <w:r>
        <w:rPr/>
        <w:t>teams</w:t>
      </w:r>
      <w:r>
        <w:rPr>
          <w:spacing w:val="-7"/>
        </w:rPr>
        <w:t> </w:t>
      </w:r>
      <w:r>
        <w:rPr/>
        <w:t>are</w:t>
      </w:r>
      <w:r>
        <w:rPr>
          <w:spacing w:val="-7"/>
        </w:rPr>
        <w:t> </w:t>
      </w:r>
      <w:r>
        <w:rPr/>
        <w:t>able</w:t>
      </w:r>
      <w:r>
        <w:rPr>
          <w:spacing w:val="-7"/>
        </w:rPr>
        <w:t> </w:t>
      </w:r>
      <w:r>
        <w:rPr/>
        <w:t>to</w:t>
      </w:r>
      <w:r>
        <w:rPr>
          <w:spacing w:val="-7"/>
        </w:rPr>
        <w:t> </w:t>
      </w:r>
      <w:r>
        <w:rPr/>
        <w:t>accelerate</w:t>
      </w:r>
      <w:r>
        <w:rPr>
          <w:spacing w:val="-7"/>
        </w:rPr>
        <w:t> </w:t>
      </w:r>
      <w:r>
        <w:rPr/>
        <w:t>customers’</w:t>
      </w:r>
      <w:r>
        <w:rPr>
          <w:spacing w:val="-13"/>
        </w:rPr>
        <w:t> </w:t>
      </w:r>
      <w:r>
        <w:rPr/>
        <w:t>time</w:t>
      </w:r>
      <w:r>
        <w:rPr>
          <w:spacing w:val="-6"/>
        </w:rPr>
        <w:t> </w:t>
      </w:r>
      <w:r>
        <w:rPr/>
        <w:t>to</w:t>
      </w:r>
      <w:r>
        <w:rPr>
          <w:spacing w:val="-7"/>
        </w:rPr>
        <w:t> </w:t>
      </w:r>
      <w:r>
        <w:rPr/>
        <w:t>value,</w:t>
      </w:r>
      <w:r>
        <w:rPr>
          <w:spacing w:val="-7"/>
        </w:rPr>
        <w:t> </w:t>
      </w:r>
      <w:r>
        <w:rPr/>
        <w:t>and</w:t>
      </w:r>
      <w:r>
        <w:rPr>
          <w:spacing w:val="-7"/>
        </w:rPr>
        <w:t> </w:t>
      </w:r>
      <w:r>
        <w:rPr/>
        <w:t>maximize</w:t>
      </w:r>
      <w:r>
        <w:rPr>
          <w:spacing w:val="-7"/>
        </w:rPr>
        <w:t> </w:t>
      </w:r>
      <w:r>
        <w:rPr/>
        <w:t>the</w:t>
      </w:r>
      <w:r>
        <w:rPr>
          <w:spacing w:val="-7"/>
        </w:rPr>
        <w:t> </w:t>
      </w:r>
      <w:r>
        <w:rPr/>
        <w:t>return</w:t>
      </w:r>
      <w:r>
        <w:rPr>
          <w:spacing w:val="-7"/>
        </w:rPr>
        <w:t> </w:t>
      </w:r>
      <w:r>
        <w:rPr/>
        <w:t>customers earn on their investment in Adobe solutions.</w:t>
      </w:r>
    </w:p>
    <w:p>
      <w:pPr>
        <w:pStyle w:val="BodyText"/>
        <w:spacing w:before="15"/>
      </w:pPr>
    </w:p>
    <w:p>
      <w:pPr>
        <w:pStyle w:val="BodyText"/>
        <w:spacing w:line="249" w:lineRule="auto"/>
        <w:ind w:left="220" w:right="257" w:firstLine="540"/>
        <w:jc w:val="both"/>
      </w:pPr>
      <w:r>
        <w:rPr/>
        <w:t>A</w:t>
      </w:r>
      <w:r>
        <w:rPr>
          <w:spacing w:val="-9"/>
        </w:rPr>
        <w:t> </w:t>
      </w:r>
      <w:r>
        <w:rPr/>
        <w:t>key component of</w:t>
      </w:r>
      <w:r>
        <w:rPr>
          <w:spacing w:val="-10"/>
        </w:rPr>
        <w:t> </w:t>
      </w:r>
      <w:r>
        <w:rPr/>
        <w:t>Adobe’s strategy is developing a large partner ecosystem to expand the reach and breadth of</w:t>
      </w:r>
      <w:r>
        <w:rPr>
          <w:spacing w:val="-10"/>
        </w:rPr>
        <w:t> </w:t>
      </w:r>
      <w:r>
        <w:rPr/>
        <w:t>Adobe solutions</w:t>
      </w:r>
      <w:r>
        <w:rPr>
          <w:spacing w:val="-13"/>
        </w:rPr>
        <w:t> </w:t>
      </w:r>
      <w:r>
        <w:rPr/>
        <w:t>in</w:t>
      </w:r>
      <w:r>
        <w:rPr>
          <w:spacing w:val="-12"/>
        </w:rPr>
        <w:t> </w:t>
      </w:r>
      <w:r>
        <w:rPr/>
        <w:t>the</w:t>
      </w:r>
      <w:r>
        <w:rPr>
          <w:spacing w:val="-12"/>
        </w:rPr>
        <w:t> </w:t>
      </w:r>
      <w:r>
        <w:rPr/>
        <w:t>global</w:t>
      </w:r>
      <w:r>
        <w:rPr>
          <w:spacing w:val="-11"/>
        </w:rPr>
        <w:t> </w:t>
      </w:r>
      <w:r>
        <w:rPr/>
        <w:t>marketplace.</w:t>
      </w:r>
      <w:r>
        <w:rPr>
          <w:spacing w:val="-11"/>
        </w:rPr>
        <w:t> </w:t>
      </w:r>
      <w:r>
        <w:rPr/>
        <w:t>In</w:t>
      </w:r>
      <w:r>
        <w:rPr>
          <w:spacing w:val="-11"/>
        </w:rPr>
        <w:t> </w:t>
      </w:r>
      <w:r>
        <w:rPr/>
        <w:t>order</w:t>
      </w:r>
      <w:r>
        <w:rPr>
          <w:spacing w:val="-11"/>
        </w:rPr>
        <w:t> </w:t>
      </w:r>
      <w:r>
        <w:rPr/>
        <w:t>to</w:t>
      </w:r>
      <w:r>
        <w:rPr>
          <w:spacing w:val="-11"/>
        </w:rPr>
        <w:t> </w:t>
      </w:r>
      <w:r>
        <w:rPr/>
        <w:t>assist</w:t>
      </w:r>
      <w:r>
        <w:rPr>
          <w:spacing w:val="-11"/>
        </w:rPr>
        <w:t> </w:t>
      </w:r>
      <w:r>
        <w:rPr/>
        <w:t>partners</w:t>
      </w:r>
      <w:r>
        <w:rPr>
          <w:spacing w:val="-10"/>
        </w:rPr>
        <w:t> </w:t>
      </w:r>
      <w:r>
        <w:rPr/>
        <w:t>in</w:t>
      </w:r>
      <w:r>
        <w:rPr>
          <w:spacing w:val="-11"/>
        </w:rPr>
        <w:t> </w:t>
      </w:r>
      <w:r>
        <w:rPr/>
        <w:t>building</w:t>
      </w:r>
      <w:r>
        <w:rPr>
          <w:spacing w:val="-11"/>
        </w:rPr>
        <w:t> </w:t>
      </w:r>
      <w:r>
        <w:rPr/>
        <w:t>their</w:t>
      </w:r>
      <w:r>
        <w:rPr>
          <w:spacing w:val="-11"/>
        </w:rPr>
        <w:t> </w:t>
      </w:r>
      <w:r>
        <w:rPr/>
        <w:t>respective</w:t>
      </w:r>
      <w:r>
        <w:rPr>
          <w:spacing w:val="-11"/>
        </w:rPr>
        <w:t> </w:t>
      </w:r>
      <w:r>
        <w:rPr/>
        <w:t>digital</w:t>
      </w:r>
      <w:r>
        <w:rPr>
          <w:spacing w:val="-11"/>
        </w:rPr>
        <w:t> </w:t>
      </w:r>
      <w:r>
        <w:rPr/>
        <w:t>practices,</w:t>
      </w:r>
      <w:r>
        <w:rPr>
          <w:spacing w:val="-13"/>
        </w:rPr>
        <w:t> </w:t>
      </w:r>
      <w:r>
        <w:rPr/>
        <w:t>Adobe</w:t>
      </w:r>
      <w:r>
        <w:rPr>
          <w:spacing w:val="-10"/>
        </w:rPr>
        <w:t> </w:t>
      </w:r>
      <w:r>
        <w:rPr/>
        <w:t>Global</w:t>
      </w:r>
      <w:r>
        <w:rPr>
          <w:spacing w:val="-11"/>
        </w:rPr>
        <w:t> </w:t>
      </w:r>
      <w:r>
        <w:rPr/>
        <w:t>Services provides</w:t>
      </w:r>
      <w:r>
        <w:rPr>
          <w:spacing w:val="-13"/>
        </w:rPr>
        <w:t> </w:t>
      </w:r>
      <w:r>
        <w:rPr/>
        <w:t>a</w:t>
      </w:r>
      <w:r>
        <w:rPr>
          <w:spacing w:val="-10"/>
        </w:rPr>
        <w:t> </w:t>
      </w:r>
      <w:r>
        <w:rPr/>
        <w:t>comprehensive</w:t>
      </w:r>
      <w:r>
        <w:rPr>
          <w:spacing w:val="-10"/>
        </w:rPr>
        <w:t> </w:t>
      </w:r>
      <w:r>
        <w:rPr/>
        <w:t>set</w:t>
      </w:r>
      <w:r>
        <w:rPr>
          <w:spacing w:val="-9"/>
        </w:rPr>
        <w:t> </w:t>
      </w:r>
      <w:r>
        <w:rPr/>
        <w:t>of</w:t>
      </w:r>
      <w:r>
        <w:rPr>
          <w:spacing w:val="-9"/>
        </w:rPr>
        <w:t> </w:t>
      </w:r>
      <w:r>
        <w:rPr/>
        <w:t>deliverables</w:t>
      </w:r>
      <w:r>
        <w:rPr>
          <w:spacing w:val="-9"/>
        </w:rPr>
        <w:t> </w:t>
      </w:r>
      <w:r>
        <w:rPr/>
        <w:t>through</w:t>
      </w:r>
      <w:r>
        <w:rPr>
          <w:spacing w:val="-16"/>
        </w:rPr>
        <w:t> </w:t>
      </w:r>
      <w:r>
        <w:rPr/>
        <w:t>Adobe’s</w:t>
      </w:r>
      <w:r>
        <w:rPr>
          <w:spacing w:val="-9"/>
        </w:rPr>
        <w:t> </w:t>
      </w:r>
      <w:r>
        <w:rPr/>
        <w:t>Solution</w:t>
      </w:r>
      <w:r>
        <w:rPr>
          <w:spacing w:val="-9"/>
        </w:rPr>
        <w:t> </w:t>
      </w:r>
      <w:r>
        <w:rPr/>
        <w:t>Partner</w:t>
      </w:r>
      <w:r>
        <w:rPr>
          <w:spacing w:val="-10"/>
        </w:rPr>
        <w:t> </w:t>
      </w:r>
      <w:r>
        <w:rPr/>
        <w:t>Program.</w:t>
      </w:r>
      <w:r>
        <w:rPr>
          <w:spacing w:val="-12"/>
        </w:rPr>
        <w:t> </w:t>
      </w:r>
      <w:r>
        <w:rPr/>
        <w:t>The</w:t>
      </w:r>
      <w:r>
        <w:rPr>
          <w:spacing w:val="-9"/>
        </w:rPr>
        <w:t> </w:t>
      </w:r>
      <w:r>
        <w:rPr/>
        <w:t>breadth</w:t>
      </w:r>
      <w:r>
        <w:rPr>
          <w:spacing w:val="-9"/>
        </w:rPr>
        <w:t> </w:t>
      </w:r>
      <w:r>
        <w:rPr/>
        <w:t>of</w:t>
      </w:r>
      <w:r>
        <w:rPr>
          <w:spacing w:val="-9"/>
        </w:rPr>
        <w:t> </w:t>
      </w:r>
      <w:r>
        <w:rPr/>
        <w:t>services</w:t>
      </w:r>
      <w:r>
        <w:rPr>
          <w:spacing w:val="-9"/>
        </w:rPr>
        <w:t> </w:t>
      </w:r>
      <w:r>
        <w:rPr/>
        <w:t>described</w:t>
      </w:r>
      <w:r>
        <w:rPr>
          <w:spacing w:val="-9"/>
        </w:rPr>
        <w:t> </w:t>
      </w:r>
      <w:r>
        <w:rPr/>
        <w:t>in</w:t>
      </w:r>
      <w:r>
        <w:rPr>
          <w:spacing w:val="-9"/>
        </w:rPr>
        <w:t> </w:t>
      </w:r>
      <w:r>
        <w:rPr>
          <w:spacing w:val="-5"/>
        </w:rPr>
        <w:t>the</w:t>
      </w:r>
    </w:p>
    <w:p>
      <w:pPr>
        <w:spacing w:after="0" w:line="249" w:lineRule="auto"/>
        <w:jc w:val="both"/>
        <w:sectPr>
          <w:pgSz w:w="12240" w:h="15840"/>
          <w:pgMar w:header="210" w:footer="599" w:top="420" w:bottom="800" w:left="780" w:right="740"/>
        </w:sectPr>
      </w:pPr>
    </w:p>
    <w:p>
      <w:pPr>
        <w:pStyle w:val="BodyText"/>
        <w:spacing w:before="150"/>
      </w:pPr>
    </w:p>
    <w:p>
      <w:pPr>
        <w:pStyle w:val="BodyText"/>
        <w:spacing w:line="249" w:lineRule="auto"/>
        <w:ind w:left="220" w:right="257"/>
        <w:jc w:val="both"/>
      </w:pPr>
      <w:r>
        <w:rPr/>
        <w:t>program</w:t>
      </w:r>
      <w:r>
        <w:rPr>
          <w:spacing w:val="-13"/>
        </w:rPr>
        <w:t> </w:t>
      </w:r>
      <w:r>
        <w:rPr/>
        <w:t>provides</w:t>
      </w:r>
      <w:r>
        <w:rPr>
          <w:spacing w:val="-12"/>
        </w:rPr>
        <w:t> </w:t>
      </w:r>
      <w:r>
        <w:rPr/>
        <w:t>system</w:t>
      </w:r>
      <w:r>
        <w:rPr>
          <w:spacing w:val="-13"/>
        </w:rPr>
        <w:t> </w:t>
      </w:r>
      <w:r>
        <w:rPr/>
        <w:t>integrators,</w:t>
      </w:r>
      <w:r>
        <w:rPr>
          <w:spacing w:val="-12"/>
        </w:rPr>
        <w:t> </w:t>
      </w:r>
      <w:r>
        <w:rPr/>
        <w:t>agencies,</w:t>
      </w:r>
      <w:r>
        <w:rPr>
          <w:spacing w:val="-13"/>
        </w:rPr>
        <w:t> </w:t>
      </w:r>
      <w:r>
        <w:rPr/>
        <w:t>and</w:t>
      </w:r>
      <w:r>
        <w:rPr>
          <w:spacing w:val="-12"/>
        </w:rPr>
        <w:t> </w:t>
      </w:r>
      <w:r>
        <w:rPr/>
        <w:t>regional</w:t>
      </w:r>
      <w:r>
        <w:rPr>
          <w:spacing w:val="-13"/>
        </w:rPr>
        <w:t> </w:t>
      </w:r>
      <w:r>
        <w:rPr/>
        <w:t>partners</w:t>
      </w:r>
      <w:r>
        <w:rPr>
          <w:spacing w:val="-12"/>
        </w:rPr>
        <w:t> </w:t>
      </w:r>
      <w:r>
        <w:rPr/>
        <w:t>the</w:t>
      </w:r>
      <w:r>
        <w:rPr>
          <w:spacing w:val="-13"/>
        </w:rPr>
        <w:t> </w:t>
      </w:r>
      <w:r>
        <w:rPr/>
        <w:t>tools</w:t>
      </w:r>
      <w:r>
        <w:rPr>
          <w:spacing w:val="-12"/>
        </w:rPr>
        <w:t> </w:t>
      </w:r>
      <w:r>
        <w:rPr/>
        <w:t>required</w:t>
      </w:r>
      <w:r>
        <w:rPr>
          <w:spacing w:val="-13"/>
        </w:rPr>
        <w:t> </w:t>
      </w:r>
      <w:r>
        <w:rPr/>
        <w:t>to</w:t>
      </w:r>
      <w:r>
        <w:rPr>
          <w:spacing w:val="-12"/>
        </w:rPr>
        <w:t> </w:t>
      </w:r>
      <w:r>
        <w:rPr/>
        <w:t>develop</w:t>
      </w:r>
      <w:r>
        <w:rPr>
          <w:spacing w:val="-13"/>
        </w:rPr>
        <w:t> </w:t>
      </w:r>
      <w:r>
        <w:rPr/>
        <w:t>core</w:t>
      </w:r>
      <w:r>
        <w:rPr>
          <w:spacing w:val="-12"/>
        </w:rPr>
        <w:t> </w:t>
      </w:r>
      <w:r>
        <w:rPr/>
        <w:t>capabilities</w:t>
      </w:r>
      <w:r>
        <w:rPr>
          <w:spacing w:val="-13"/>
        </w:rPr>
        <w:t> </w:t>
      </w:r>
      <w:r>
        <w:rPr/>
        <w:t>for</w:t>
      </w:r>
      <w:r>
        <w:rPr>
          <w:spacing w:val="-12"/>
        </w:rPr>
        <w:t> </w:t>
      </w:r>
      <w:r>
        <w:rPr/>
        <w:t>positioning and building with</w:t>
      </w:r>
      <w:r>
        <w:rPr>
          <w:spacing w:val="-4"/>
        </w:rPr>
        <w:t> </w:t>
      </w:r>
      <w:r>
        <w:rPr/>
        <w:t>Adobe technology, as well as implementing and running customer platforms. We believe that through these programmatic services and support, our joint customers benefit greatly by the combination of</w:t>
      </w:r>
      <w:r>
        <w:rPr>
          <w:spacing w:val="-4"/>
        </w:rPr>
        <w:t> </w:t>
      </w:r>
      <w:r>
        <w:rPr/>
        <w:t>Adobe technology and the deep customer context that our global partners represent.</w:t>
      </w:r>
    </w:p>
    <w:p>
      <w:pPr>
        <w:pStyle w:val="BodyText"/>
        <w:spacing w:before="13"/>
      </w:pPr>
    </w:p>
    <w:p>
      <w:pPr>
        <w:spacing w:before="0"/>
        <w:ind w:left="220" w:right="0" w:firstLine="0"/>
        <w:jc w:val="left"/>
        <w:rPr>
          <w:i/>
          <w:sz w:val="20"/>
        </w:rPr>
      </w:pPr>
      <w:r>
        <w:rPr>
          <w:i/>
          <w:sz w:val="20"/>
        </w:rPr>
        <w:t>Customer</w:t>
      </w:r>
      <w:r>
        <w:rPr>
          <w:i/>
          <w:spacing w:val="-5"/>
          <w:sz w:val="20"/>
        </w:rPr>
        <w:t> </w:t>
      </w:r>
      <w:r>
        <w:rPr>
          <w:i/>
          <w:sz w:val="20"/>
        </w:rPr>
        <w:t>Success</w:t>
      </w:r>
      <w:r>
        <w:rPr>
          <w:i/>
          <w:spacing w:val="-8"/>
          <w:sz w:val="20"/>
        </w:rPr>
        <w:t> </w:t>
      </w:r>
      <w:r>
        <w:rPr>
          <w:i/>
          <w:sz w:val="20"/>
        </w:rPr>
        <w:t>Account</w:t>
      </w:r>
      <w:r>
        <w:rPr>
          <w:i/>
          <w:spacing w:val="-5"/>
          <w:sz w:val="20"/>
        </w:rPr>
        <w:t> </w:t>
      </w:r>
      <w:r>
        <w:rPr>
          <w:i/>
          <w:spacing w:val="-2"/>
          <w:sz w:val="20"/>
        </w:rPr>
        <w:t>Management</w:t>
      </w:r>
    </w:p>
    <w:p>
      <w:pPr>
        <w:pStyle w:val="BodyText"/>
        <w:spacing w:before="20"/>
        <w:rPr>
          <w:i/>
        </w:rPr>
      </w:pPr>
    </w:p>
    <w:p>
      <w:pPr>
        <w:pStyle w:val="BodyText"/>
        <w:spacing w:line="249" w:lineRule="auto"/>
        <w:ind w:left="220" w:right="257" w:firstLine="540"/>
        <w:jc w:val="both"/>
      </w:pPr>
      <w:r>
        <w:rPr/>
        <w:t>For our largest Digital Experience and Digital Media customers, Adobe Global Services provides post-sales Customer Success Managers, who work individually with customers on an ongoing basis to understand their current and future business needs,</w:t>
      </w:r>
      <w:r>
        <w:rPr>
          <w:spacing w:val="-1"/>
        </w:rPr>
        <w:t> </w:t>
      </w:r>
      <w:r>
        <w:rPr/>
        <w:t>promote faster solution adoption, and align product capabilities to customers’</w:t>
      </w:r>
      <w:r>
        <w:rPr>
          <w:spacing w:val="-13"/>
        </w:rPr>
        <w:t> </w:t>
      </w:r>
      <w:r>
        <w:rPr/>
        <w:t>business objectives to maximize the return on</w:t>
      </w:r>
      <w:r>
        <w:rPr>
          <w:spacing w:val="-3"/>
        </w:rPr>
        <w:t> </w:t>
      </w:r>
      <w:r>
        <w:rPr/>
        <w:t>their</w:t>
      </w:r>
      <w:r>
        <w:rPr>
          <w:spacing w:val="-2"/>
        </w:rPr>
        <w:t> </w:t>
      </w:r>
      <w:r>
        <w:rPr/>
        <w:t>investment</w:t>
      </w:r>
      <w:r>
        <w:rPr>
          <w:spacing w:val="-2"/>
        </w:rPr>
        <w:t> </w:t>
      </w:r>
      <w:r>
        <w:rPr/>
        <w:t>in</w:t>
      </w:r>
      <w:r>
        <w:rPr>
          <w:spacing w:val="-13"/>
        </w:rPr>
        <w:t> </w:t>
      </w:r>
      <w:r>
        <w:rPr/>
        <w:t>Adobe’s</w:t>
      </w:r>
      <w:r>
        <w:rPr>
          <w:spacing w:val="-2"/>
        </w:rPr>
        <w:t> </w:t>
      </w:r>
      <w:r>
        <w:rPr/>
        <w:t>offerings.</w:t>
      </w:r>
      <w:r>
        <w:rPr>
          <w:spacing w:val="-6"/>
        </w:rPr>
        <w:t> </w:t>
      </w:r>
      <w:r>
        <w:rPr/>
        <w:t>We</w:t>
      </w:r>
      <w:r>
        <w:rPr>
          <w:spacing w:val="-2"/>
        </w:rPr>
        <w:t> </w:t>
      </w:r>
      <w:r>
        <w:rPr/>
        <w:t>engage</w:t>
      </w:r>
      <w:r>
        <w:rPr>
          <w:spacing w:val="-2"/>
        </w:rPr>
        <w:t> </w:t>
      </w:r>
      <w:r>
        <w:rPr/>
        <w:t>customers</w:t>
      </w:r>
      <w:r>
        <w:rPr>
          <w:spacing w:val="-2"/>
        </w:rPr>
        <w:t> </w:t>
      </w:r>
      <w:r>
        <w:rPr/>
        <w:t>to</w:t>
      </w:r>
      <w:r>
        <w:rPr>
          <w:spacing w:val="-2"/>
        </w:rPr>
        <w:t> </w:t>
      </w:r>
      <w:r>
        <w:rPr/>
        <w:t>share</w:t>
      </w:r>
      <w:r>
        <w:rPr>
          <w:spacing w:val="-2"/>
        </w:rPr>
        <w:t> </w:t>
      </w:r>
      <w:r>
        <w:rPr/>
        <w:t>innovative</w:t>
      </w:r>
      <w:r>
        <w:rPr>
          <w:spacing w:val="-2"/>
        </w:rPr>
        <w:t> </w:t>
      </w:r>
      <w:r>
        <w:rPr/>
        <w:t>best</w:t>
      </w:r>
      <w:r>
        <w:rPr>
          <w:spacing w:val="-2"/>
        </w:rPr>
        <w:t> </w:t>
      </w:r>
      <w:r>
        <w:rPr/>
        <w:t>practices,</w:t>
      </w:r>
      <w:r>
        <w:rPr>
          <w:spacing w:val="-2"/>
        </w:rPr>
        <w:t> </w:t>
      </w:r>
      <w:r>
        <w:rPr/>
        <w:t>relevant</w:t>
      </w:r>
      <w:r>
        <w:rPr>
          <w:spacing w:val="-2"/>
        </w:rPr>
        <w:t> </w:t>
      </w:r>
      <w:r>
        <w:rPr/>
        <w:t>industry</w:t>
      </w:r>
      <w:r>
        <w:rPr>
          <w:spacing w:val="-2"/>
        </w:rPr>
        <w:t> </w:t>
      </w:r>
      <w:r>
        <w:rPr/>
        <w:t>and</w:t>
      </w:r>
      <w:r>
        <w:rPr>
          <w:spacing w:val="-2"/>
        </w:rPr>
        <w:t> </w:t>
      </w:r>
      <w:r>
        <w:rPr/>
        <w:t>vertical </w:t>
      </w:r>
      <w:r>
        <w:rPr>
          <w:spacing w:val="-2"/>
        </w:rPr>
        <w:t>knowledge,</w:t>
      </w:r>
      <w:r>
        <w:rPr>
          <w:spacing w:val="-11"/>
        </w:rPr>
        <w:t> </w:t>
      </w:r>
      <w:r>
        <w:rPr>
          <w:spacing w:val="-2"/>
        </w:rPr>
        <w:t>and</w:t>
      </w:r>
      <w:r>
        <w:rPr>
          <w:spacing w:val="-9"/>
        </w:rPr>
        <w:t> </w:t>
      </w:r>
      <w:r>
        <w:rPr>
          <w:spacing w:val="-2"/>
        </w:rPr>
        <w:t>proven</w:t>
      </w:r>
      <w:r>
        <w:rPr>
          <w:spacing w:val="-10"/>
        </w:rPr>
        <w:t> </w:t>
      </w:r>
      <w:r>
        <w:rPr>
          <w:spacing w:val="-2"/>
        </w:rPr>
        <w:t>success</w:t>
      </w:r>
      <w:r>
        <w:rPr>
          <w:spacing w:val="-10"/>
        </w:rPr>
        <w:t> </w:t>
      </w:r>
      <w:r>
        <w:rPr>
          <w:spacing w:val="-2"/>
        </w:rPr>
        <w:t>strategies</w:t>
      </w:r>
      <w:r>
        <w:rPr>
          <w:spacing w:val="-10"/>
        </w:rPr>
        <w:t> </w:t>
      </w:r>
      <w:r>
        <w:rPr>
          <w:spacing w:val="-2"/>
        </w:rPr>
        <w:t>based</w:t>
      </w:r>
      <w:r>
        <w:rPr>
          <w:spacing w:val="-10"/>
        </w:rPr>
        <w:t> </w:t>
      </w:r>
      <w:r>
        <w:rPr>
          <w:spacing w:val="-2"/>
        </w:rPr>
        <w:t>on</w:t>
      </w:r>
      <w:r>
        <w:rPr>
          <w:spacing w:val="-10"/>
        </w:rPr>
        <w:t> </w:t>
      </w:r>
      <w:r>
        <w:rPr>
          <w:spacing w:val="-2"/>
        </w:rPr>
        <w:t>our</w:t>
      </w:r>
      <w:r>
        <w:rPr>
          <w:spacing w:val="-10"/>
        </w:rPr>
        <w:t> </w:t>
      </w:r>
      <w:r>
        <w:rPr>
          <w:spacing w:val="-2"/>
        </w:rPr>
        <w:t>extensive</w:t>
      </w:r>
      <w:r>
        <w:rPr>
          <w:spacing w:val="-11"/>
        </w:rPr>
        <w:t> </w:t>
      </w:r>
      <w:r>
        <w:rPr>
          <w:spacing w:val="-2"/>
        </w:rPr>
        <w:t>engagements</w:t>
      </w:r>
      <w:r>
        <w:rPr>
          <w:spacing w:val="-9"/>
        </w:rPr>
        <w:t> </w:t>
      </w:r>
      <w:r>
        <w:rPr>
          <w:spacing w:val="-2"/>
        </w:rPr>
        <w:t>with</w:t>
      </w:r>
      <w:r>
        <w:rPr>
          <w:spacing w:val="-10"/>
        </w:rPr>
        <w:t> </w:t>
      </w:r>
      <w:r>
        <w:rPr>
          <w:spacing w:val="-2"/>
        </w:rPr>
        <w:t>leading</w:t>
      </w:r>
      <w:r>
        <w:rPr>
          <w:spacing w:val="-10"/>
        </w:rPr>
        <w:t> </w:t>
      </w:r>
      <w:r>
        <w:rPr>
          <w:spacing w:val="-2"/>
        </w:rPr>
        <w:t>marketers</w:t>
      </w:r>
      <w:r>
        <w:rPr>
          <w:spacing w:val="-10"/>
        </w:rPr>
        <w:t> </w:t>
      </w:r>
      <w:r>
        <w:rPr>
          <w:spacing w:val="-2"/>
        </w:rPr>
        <w:t>and</w:t>
      </w:r>
      <w:r>
        <w:rPr>
          <w:spacing w:val="-10"/>
        </w:rPr>
        <w:t> </w:t>
      </w:r>
      <w:r>
        <w:rPr>
          <w:spacing w:val="-2"/>
        </w:rPr>
        <w:t>brands.</w:t>
      </w:r>
      <w:r>
        <w:rPr>
          <w:spacing w:val="-11"/>
        </w:rPr>
        <w:t> </w:t>
      </w:r>
      <w:r>
        <w:rPr>
          <w:spacing w:val="-2"/>
        </w:rPr>
        <w:t>The</w:t>
      </w:r>
      <w:r>
        <w:rPr>
          <w:spacing w:val="-9"/>
        </w:rPr>
        <w:t> </w:t>
      </w:r>
      <w:r>
        <w:rPr>
          <w:spacing w:val="-2"/>
        </w:rPr>
        <w:t>performance </w:t>
      </w:r>
      <w:r>
        <w:rPr/>
        <w:t>of these teams is directly associated with customer-focused outcomes, notably ongoing customer retention.</w:t>
      </w:r>
    </w:p>
    <w:p>
      <w:pPr>
        <w:pStyle w:val="BodyText"/>
        <w:spacing w:before="15"/>
      </w:pPr>
    </w:p>
    <w:p>
      <w:pPr>
        <w:spacing w:before="0"/>
        <w:ind w:left="220" w:right="0" w:firstLine="0"/>
        <w:jc w:val="left"/>
        <w:rPr>
          <w:i/>
          <w:sz w:val="20"/>
        </w:rPr>
      </w:pPr>
      <w:r>
        <w:rPr>
          <w:i/>
          <w:spacing w:val="-2"/>
          <w:sz w:val="20"/>
        </w:rPr>
        <w:t>Technical Support</w:t>
      </w:r>
    </w:p>
    <w:p>
      <w:pPr>
        <w:pStyle w:val="BodyText"/>
        <w:spacing w:before="20"/>
        <w:rPr>
          <w:i/>
        </w:rPr>
      </w:pPr>
    </w:p>
    <w:p>
      <w:pPr>
        <w:pStyle w:val="BodyText"/>
        <w:spacing w:line="249" w:lineRule="auto"/>
        <w:ind w:left="220" w:right="257" w:firstLine="540"/>
        <w:jc w:val="both"/>
      </w:pPr>
      <w:r>
        <w:rPr>
          <w:spacing w:val="-2"/>
        </w:rPr>
        <w:t>Adobe</w:t>
      </w:r>
      <w:r>
        <w:rPr>
          <w:spacing w:val="-10"/>
        </w:rPr>
        <w:t> </w:t>
      </w:r>
      <w:r>
        <w:rPr>
          <w:spacing w:val="-2"/>
        </w:rPr>
        <w:t>provides</w:t>
      </w:r>
      <w:r>
        <w:rPr>
          <w:spacing w:val="-9"/>
        </w:rPr>
        <w:t> </w:t>
      </w:r>
      <w:r>
        <w:rPr>
          <w:spacing w:val="-2"/>
        </w:rPr>
        <w:t>enterprise</w:t>
      </w:r>
      <w:r>
        <w:rPr>
          <w:spacing w:val="-10"/>
        </w:rPr>
        <w:t> </w:t>
      </w:r>
      <w:r>
        <w:rPr>
          <w:spacing w:val="-2"/>
        </w:rPr>
        <w:t>maintenance</w:t>
      </w:r>
      <w:r>
        <w:rPr>
          <w:spacing w:val="-10"/>
        </w:rPr>
        <w:t> </w:t>
      </w:r>
      <w:r>
        <w:rPr>
          <w:spacing w:val="-2"/>
        </w:rPr>
        <w:t>and</w:t>
      </w:r>
      <w:r>
        <w:rPr>
          <w:spacing w:val="-9"/>
        </w:rPr>
        <w:t> </w:t>
      </w:r>
      <w:r>
        <w:rPr>
          <w:spacing w:val="-2"/>
        </w:rPr>
        <w:t>support</w:t>
      </w:r>
      <w:r>
        <w:rPr>
          <w:spacing w:val="-10"/>
        </w:rPr>
        <w:t> </w:t>
      </w:r>
      <w:r>
        <w:rPr>
          <w:spacing w:val="-2"/>
        </w:rPr>
        <w:t>services</w:t>
      </w:r>
      <w:r>
        <w:rPr>
          <w:spacing w:val="-9"/>
        </w:rPr>
        <w:t> </w:t>
      </w:r>
      <w:r>
        <w:rPr>
          <w:spacing w:val="-2"/>
        </w:rPr>
        <w:t>to</w:t>
      </w:r>
      <w:r>
        <w:rPr>
          <w:spacing w:val="-9"/>
        </w:rPr>
        <w:t> </w:t>
      </w:r>
      <w:r>
        <w:rPr>
          <w:spacing w:val="-2"/>
        </w:rPr>
        <w:t>customers</w:t>
      </w:r>
      <w:r>
        <w:rPr>
          <w:spacing w:val="-9"/>
        </w:rPr>
        <w:t> </w:t>
      </w:r>
      <w:r>
        <w:rPr>
          <w:spacing w:val="-2"/>
        </w:rPr>
        <w:t>of</w:t>
      </w:r>
      <w:r>
        <w:rPr>
          <w:spacing w:val="-9"/>
        </w:rPr>
        <w:t> </w:t>
      </w:r>
      <w:r>
        <w:rPr>
          <w:spacing w:val="-2"/>
        </w:rPr>
        <w:t>subscription</w:t>
      </w:r>
      <w:r>
        <w:rPr>
          <w:spacing w:val="-10"/>
        </w:rPr>
        <w:t> </w:t>
      </w:r>
      <w:r>
        <w:rPr>
          <w:spacing w:val="-2"/>
        </w:rPr>
        <w:t>products</w:t>
      </w:r>
      <w:r>
        <w:rPr>
          <w:spacing w:val="-9"/>
        </w:rPr>
        <w:t> </w:t>
      </w:r>
      <w:r>
        <w:rPr>
          <w:spacing w:val="-2"/>
        </w:rPr>
        <w:t>as</w:t>
      </w:r>
      <w:r>
        <w:rPr>
          <w:spacing w:val="-9"/>
        </w:rPr>
        <w:t> </w:t>
      </w:r>
      <w:r>
        <w:rPr>
          <w:spacing w:val="-2"/>
        </w:rPr>
        <w:t>part</w:t>
      </w:r>
      <w:r>
        <w:rPr>
          <w:spacing w:val="-10"/>
        </w:rPr>
        <w:t> </w:t>
      </w:r>
      <w:r>
        <w:rPr>
          <w:spacing w:val="-2"/>
        </w:rPr>
        <w:t>of</w:t>
      </w:r>
      <w:r>
        <w:rPr>
          <w:spacing w:val="-9"/>
        </w:rPr>
        <w:t> </w:t>
      </w:r>
      <w:r>
        <w:rPr>
          <w:spacing w:val="-2"/>
        </w:rPr>
        <w:t>the</w:t>
      </w:r>
      <w:r>
        <w:rPr>
          <w:spacing w:val="-9"/>
        </w:rPr>
        <w:t> </w:t>
      </w:r>
      <w:r>
        <w:rPr>
          <w:spacing w:val="-2"/>
        </w:rPr>
        <w:t>subscription </w:t>
      </w:r>
      <w:r>
        <w:rPr/>
        <w:t>entitlement,</w:t>
      </w:r>
      <w:r>
        <w:rPr>
          <w:spacing w:val="-11"/>
        </w:rPr>
        <w:t> </w:t>
      </w:r>
      <w:r>
        <w:rPr/>
        <w:t>and</w:t>
      </w:r>
      <w:r>
        <w:rPr>
          <w:spacing w:val="-11"/>
        </w:rPr>
        <w:t> </w:t>
      </w:r>
      <w:r>
        <w:rPr/>
        <w:t>to</w:t>
      </w:r>
      <w:r>
        <w:rPr>
          <w:spacing w:val="-10"/>
        </w:rPr>
        <w:t> </w:t>
      </w:r>
      <w:r>
        <w:rPr/>
        <w:t>perpetual</w:t>
      </w:r>
      <w:r>
        <w:rPr>
          <w:spacing w:val="-10"/>
        </w:rPr>
        <w:t> </w:t>
      </w:r>
      <w:r>
        <w:rPr/>
        <w:t>license</w:t>
      </w:r>
      <w:r>
        <w:rPr>
          <w:spacing w:val="-10"/>
        </w:rPr>
        <w:t> </w:t>
      </w:r>
      <w:r>
        <w:rPr/>
        <w:t>customers</w:t>
      </w:r>
      <w:r>
        <w:rPr>
          <w:spacing w:val="-9"/>
        </w:rPr>
        <w:t> </w:t>
      </w:r>
      <w:r>
        <w:rPr/>
        <w:t>via</w:t>
      </w:r>
      <w:r>
        <w:rPr>
          <w:spacing w:val="-11"/>
        </w:rPr>
        <w:t> </w:t>
      </w:r>
      <w:r>
        <w:rPr/>
        <w:t>annual</w:t>
      </w:r>
      <w:r>
        <w:rPr>
          <w:spacing w:val="-10"/>
        </w:rPr>
        <w:t> </w:t>
      </w:r>
      <w:r>
        <w:rPr/>
        <w:t>fee-based</w:t>
      </w:r>
      <w:r>
        <w:rPr>
          <w:spacing w:val="-10"/>
        </w:rPr>
        <w:t> </w:t>
      </w:r>
      <w:r>
        <w:rPr/>
        <w:t>maintenance</w:t>
      </w:r>
      <w:r>
        <w:rPr>
          <w:spacing w:val="-10"/>
        </w:rPr>
        <w:t> </w:t>
      </w:r>
      <w:r>
        <w:rPr/>
        <w:t>and</w:t>
      </w:r>
      <w:r>
        <w:rPr>
          <w:spacing w:val="-10"/>
        </w:rPr>
        <w:t> </w:t>
      </w:r>
      <w:r>
        <w:rPr/>
        <w:t>support</w:t>
      </w:r>
      <w:r>
        <w:rPr>
          <w:spacing w:val="-11"/>
        </w:rPr>
        <w:t> </w:t>
      </w:r>
      <w:r>
        <w:rPr/>
        <w:t>programs.</w:t>
      </w:r>
      <w:r>
        <w:rPr>
          <w:spacing w:val="-12"/>
        </w:rPr>
        <w:t> </w:t>
      </w:r>
      <w:r>
        <w:rPr/>
        <w:t>These</w:t>
      </w:r>
      <w:r>
        <w:rPr>
          <w:spacing w:val="-10"/>
        </w:rPr>
        <w:t> </w:t>
      </w:r>
      <w:r>
        <w:rPr/>
        <w:t>offerings</w:t>
      </w:r>
      <w:r>
        <w:rPr>
          <w:spacing w:val="-9"/>
        </w:rPr>
        <w:t> </w:t>
      </w:r>
      <w:r>
        <w:rPr>
          <w:spacing w:val="-2"/>
        </w:rPr>
        <w:t>provide:</w:t>
      </w:r>
    </w:p>
    <w:p>
      <w:pPr>
        <w:pStyle w:val="BodyText"/>
        <w:spacing w:before="12"/>
      </w:pPr>
    </w:p>
    <w:p>
      <w:pPr>
        <w:pStyle w:val="ListParagraph"/>
        <w:numPr>
          <w:ilvl w:val="0"/>
          <w:numId w:val="2"/>
        </w:numPr>
        <w:tabs>
          <w:tab w:pos="939" w:val="left" w:leader="none"/>
        </w:tabs>
        <w:spacing w:line="240" w:lineRule="auto" w:before="0" w:after="0"/>
        <w:ind w:left="939" w:right="0" w:hanging="359"/>
        <w:jc w:val="left"/>
        <w:rPr>
          <w:sz w:val="20"/>
        </w:rPr>
      </w:pPr>
      <w:r>
        <w:rPr>
          <w:sz w:val="20"/>
        </w:rPr>
        <w:t>technical</w:t>
      </w:r>
      <w:r>
        <w:rPr>
          <w:spacing w:val="-1"/>
          <w:sz w:val="20"/>
        </w:rPr>
        <w:t> </w:t>
      </w:r>
      <w:r>
        <w:rPr>
          <w:sz w:val="20"/>
        </w:rPr>
        <w:t>support</w:t>
      </w:r>
      <w:r>
        <w:rPr>
          <w:spacing w:val="-1"/>
          <w:sz w:val="20"/>
        </w:rPr>
        <w:t> </w:t>
      </w:r>
      <w:r>
        <w:rPr>
          <w:sz w:val="20"/>
        </w:rPr>
        <w:t>on</w:t>
      </w:r>
      <w:r>
        <w:rPr>
          <w:spacing w:val="-1"/>
          <w:sz w:val="20"/>
        </w:rPr>
        <w:t> </w:t>
      </w:r>
      <w:r>
        <w:rPr>
          <w:sz w:val="20"/>
        </w:rPr>
        <w:t>the</w:t>
      </w:r>
      <w:r>
        <w:rPr>
          <w:spacing w:val="-1"/>
          <w:sz w:val="20"/>
        </w:rPr>
        <w:t> </w:t>
      </w:r>
      <w:r>
        <w:rPr>
          <w:sz w:val="20"/>
        </w:rPr>
        <w:t>products</w:t>
      </w:r>
      <w:r>
        <w:rPr>
          <w:spacing w:val="-2"/>
          <w:sz w:val="20"/>
        </w:rPr>
        <w:t> </w:t>
      </w:r>
      <w:r>
        <w:rPr>
          <w:sz w:val="20"/>
        </w:rPr>
        <w:t>they have</w:t>
      </w:r>
      <w:r>
        <w:rPr>
          <w:spacing w:val="-1"/>
          <w:sz w:val="20"/>
        </w:rPr>
        <w:t> </w:t>
      </w:r>
      <w:r>
        <w:rPr>
          <w:sz w:val="20"/>
        </w:rPr>
        <w:t>purchased</w:t>
      </w:r>
      <w:r>
        <w:rPr>
          <w:spacing w:val="-1"/>
          <w:sz w:val="20"/>
        </w:rPr>
        <w:t> </w:t>
      </w:r>
      <w:r>
        <w:rPr>
          <w:sz w:val="20"/>
        </w:rPr>
        <w:t>from</w:t>
      </w:r>
      <w:r>
        <w:rPr>
          <w:spacing w:val="-12"/>
          <w:sz w:val="20"/>
        </w:rPr>
        <w:t> </w:t>
      </w:r>
      <w:r>
        <w:rPr>
          <w:spacing w:val="-2"/>
          <w:sz w:val="20"/>
        </w:rPr>
        <w:t>Adobe;</w:t>
      </w:r>
    </w:p>
    <w:p>
      <w:pPr>
        <w:pStyle w:val="ListParagraph"/>
        <w:numPr>
          <w:ilvl w:val="0"/>
          <w:numId w:val="2"/>
        </w:numPr>
        <w:tabs>
          <w:tab w:pos="939" w:val="left" w:leader="none"/>
        </w:tabs>
        <w:spacing w:line="240" w:lineRule="auto" w:before="10" w:after="0"/>
        <w:ind w:left="939" w:right="0" w:hanging="359"/>
        <w:jc w:val="left"/>
        <w:rPr>
          <w:sz w:val="20"/>
        </w:rPr>
      </w:pPr>
      <w:r>
        <w:rPr>
          <w:sz w:val="20"/>
        </w:rPr>
        <w:t>“how</w:t>
      </w:r>
      <w:r>
        <w:rPr>
          <w:spacing w:val="-2"/>
          <w:sz w:val="20"/>
        </w:rPr>
        <w:t> </w:t>
      </w:r>
      <w:r>
        <w:rPr>
          <w:sz w:val="20"/>
        </w:rPr>
        <w:t>to” help</w:t>
      </w:r>
      <w:r>
        <w:rPr>
          <w:spacing w:val="-1"/>
          <w:sz w:val="20"/>
        </w:rPr>
        <w:t> </w:t>
      </w:r>
      <w:r>
        <w:rPr>
          <w:sz w:val="20"/>
        </w:rPr>
        <w:t>in using</w:t>
      </w:r>
      <w:r>
        <w:rPr>
          <w:spacing w:val="-1"/>
          <w:sz w:val="20"/>
        </w:rPr>
        <w:t> </w:t>
      </w:r>
      <w:r>
        <w:rPr>
          <w:sz w:val="20"/>
        </w:rPr>
        <w:t>our products; </w:t>
      </w:r>
      <w:r>
        <w:rPr>
          <w:spacing w:val="-5"/>
          <w:sz w:val="20"/>
        </w:rPr>
        <w:t>and</w:t>
      </w:r>
    </w:p>
    <w:p>
      <w:pPr>
        <w:pStyle w:val="ListParagraph"/>
        <w:numPr>
          <w:ilvl w:val="0"/>
          <w:numId w:val="2"/>
        </w:numPr>
        <w:tabs>
          <w:tab w:pos="940" w:val="left" w:leader="none"/>
        </w:tabs>
        <w:spacing w:line="249" w:lineRule="auto" w:before="10" w:after="0"/>
        <w:ind w:left="940" w:right="257" w:hanging="360"/>
        <w:jc w:val="left"/>
        <w:rPr>
          <w:sz w:val="20"/>
        </w:rPr>
      </w:pPr>
      <w:r>
        <w:rPr>
          <w:sz w:val="20"/>
        </w:rPr>
        <w:t>product upgrades and enhancements during the term of the maintenance and support or subscription period, which is typically one to three years.</w:t>
      </w:r>
    </w:p>
    <w:p>
      <w:pPr>
        <w:pStyle w:val="BodyText"/>
        <w:spacing w:before="11"/>
      </w:pPr>
    </w:p>
    <w:p>
      <w:pPr>
        <w:pStyle w:val="BodyText"/>
        <w:spacing w:line="249" w:lineRule="auto"/>
        <w:ind w:left="220" w:right="257" w:firstLine="540"/>
        <w:jc w:val="both"/>
      </w:pPr>
      <w:r>
        <w:rPr>
          <w:spacing w:val="-2"/>
        </w:rPr>
        <w:t>We provide product support through a global support organization that includes several regional and global support centers, </w:t>
      </w:r>
      <w:r>
        <w:rPr/>
        <w:t>supplemented</w:t>
      </w:r>
      <w:r>
        <w:rPr>
          <w:spacing w:val="-13"/>
        </w:rPr>
        <w:t> </w:t>
      </w:r>
      <w:r>
        <w:rPr/>
        <w:t>with</w:t>
      </w:r>
      <w:r>
        <w:rPr>
          <w:spacing w:val="-12"/>
        </w:rPr>
        <w:t> </w:t>
      </w:r>
      <w:r>
        <w:rPr/>
        <w:t>outsourced</w:t>
      </w:r>
      <w:r>
        <w:rPr>
          <w:spacing w:val="-13"/>
        </w:rPr>
        <w:t> </w:t>
      </w:r>
      <w:r>
        <w:rPr/>
        <w:t>vendors</w:t>
      </w:r>
      <w:r>
        <w:rPr>
          <w:spacing w:val="-12"/>
        </w:rPr>
        <w:t> </w:t>
      </w:r>
      <w:r>
        <w:rPr/>
        <w:t>for</w:t>
      </w:r>
      <w:r>
        <w:rPr>
          <w:spacing w:val="-13"/>
        </w:rPr>
        <w:t> </w:t>
      </w:r>
      <w:r>
        <w:rPr/>
        <w:t>specific</w:t>
      </w:r>
      <w:r>
        <w:rPr>
          <w:spacing w:val="-12"/>
        </w:rPr>
        <w:t> </w:t>
      </w:r>
      <w:r>
        <w:rPr/>
        <w:t>services.</w:t>
      </w:r>
      <w:r>
        <w:rPr>
          <w:spacing w:val="-13"/>
        </w:rPr>
        <w:t> </w:t>
      </w:r>
      <w:r>
        <w:rPr/>
        <w:t>Customers</w:t>
      </w:r>
      <w:r>
        <w:rPr>
          <w:spacing w:val="-12"/>
        </w:rPr>
        <w:t> </w:t>
      </w:r>
      <w:r>
        <w:rPr/>
        <w:t>can</w:t>
      </w:r>
      <w:r>
        <w:rPr>
          <w:spacing w:val="-13"/>
        </w:rPr>
        <w:t> </w:t>
      </w:r>
      <w:r>
        <w:rPr/>
        <w:t>seek</w:t>
      </w:r>
      <w:r>
        <w:rPr>
          <w:spacing w:val="-12"/>
        </w:rPr>
        <w:t> </w:t>
      </w:r>
      <w:r>
        <w:rPr/>
        <w:t>help</w:t>
      </w:r>
      <w:r>
        <w:rPr>
          <w:spacing w:val="-13"/>
        </w:rPr>
        <w:t> </w:t>
      </w:r>
      <w:r>
        <w:rPr/>
        <w:t>through</w:t>
      </w:r>
      <w:r>
        <w:rPr>
          <w:spacing w:val="-12"/>
        </w:rPr>
        <w:t> </w:t>
      </w:r>
      <w:r>
        <w:rPr/>
        <w:t>multiple</w:t>
      </w:r>
      <w:r>
        <w:rPr>
          <w:spacing w:val="-13"/>
        </w:rPr>
        <w:t> </w:t>
      </w:r>
      <w:r>
        <w:rPr/>
        <w:t>channels</w:t>
      </w:r>
      <w:r>
        <w:rPr>
          <w:spacing w:val="-12"/>
        </w:rPr>
        <w:t> </w:t>
      </w:r>
      <w:r>
        <w:rPr/>
        <w:t>including</w:t>
      </w:r>
      <w:r>
        <w:rPr>
          <w:spacing w:val="-13"/>
        </w:rPr>
        <w:t> </w:t>
      </w:r>
      <w:r>
        <w:rPr/>
        <w:t>phone, chat,</w:t>
      </w:r>
      <w:r>
        <w:rPr>
          <w:spacing w:val="-5"/>
        </w:rPr>
        <w:t> </w:t>
      </w:r>
      <w:r>
        <w:rPr/>
        <w:t>web,</w:t>
      </w:r>
      <w:r>
        <w:rPr>
          <w:spacing w:val="-5"/>
        </w:rPr>
        <w:t> </w:t>
      </w:r>
      <w:r>
        <w:rPr/>
        <w:t>social</w:t>
      </w:r>
      <w:r>
        <w:rPr>
          <w:spacing w:val="-6"/>
        </w:rPr>
        <w:t> </w:t>
      </w:r>
      <w:r>
        <w:rPr/>
        <w:t>media,</w:t>
      </w:r>
      <w:r>
        <w:rPr>
          <w:spacing w:val="-5"/>
        </w:rPr>
        <w:t> </w:t>
      </w:r>
      <w:r>
        <w:rPr/>
        <w:t>and</w:t>
      </w:r>
      <w:r>
        <w:rPr>
          <w:spacing w:val="-5"/>
        </w:rPr>
        <w:t> </w:t>
      </w:r>
      <w:r>
        <w:rPr/>
        <w:t>email,</w:t>
      </w:r>
      <w:r>
        <w:rPr>
          <w:spacing w:val="-5"/>
        </w:rPr>
        <w:t> </w:t>
      </w:r>
      <w:r>
        <w:rPr/>
        <w:t>allowing</w:t>
      </w:r>
      <w:r>
        <w:rPr>
          <w:spacing w:val="-6"/>
        </w:rPr>
        <w:t> </w:t>
      </w:r>
      <w:r>
        <w:rPr/>
        <w:t>quick</w:t>
      </w:r>
      <w:r>
        <w:rPr>
          <w:spacing w:val="-5"/>
        </w:rPr>
        <w:t> </w:t>
      </w:r>
      <w:r>
        <w:rPr/>
        <w:t>and</w:t>
      </w:r>
      <w:r>
        <w:rPr>
          <w:spacing w:val="-5"/>
        </w:rPr>
        <w:t> </w:t>
      </w:r>
      <w:r>
        <w:rPr/>
        <w:t>easy</w:t>
      </w:r>
      <w:r>
        <w:rPr>
          <w:spacing w:val="-5"/>
        </w:rPr>
        <w:t> </w:t>
      </w:r>
      <w:r>
        <w:rPr/>
        <w:t>access</w:t>
      </w:r>
      <w:r>
        <w:rPr>
          <w:spacing w:val="-5"/>
        </w:rPr>
        <w:t> </w:t>
      </w:r>
      <w:r>
        <w:rPr/>
        <w:t>to</w:t>
      </w:r>
      <w:r>
        <w:rPr>
          <w:spacing w:val="-5"/>
        </w:rPr>
        <w:t> </w:t>
      </w:r>
      <w:r>
        <w:rPr/>
        <w:t>the</w:t>
      </w:r>
      <w:r>
        <w:rPr>
          <w:spacing w:val="-5"/>
        </w:rPr>
        <w:t> </w:t>
      </w:r>
      <w:r>
        <w:rPr/>
        <w:t>information</w:t>
      </w:r>
      <w:r>
        <w:rPr>
          <w:spacing w:val="-5"/>
        </w:rPr>
        <w:t> </w:t>
      </w:r>
      <w:r>
        <w:rPr/>
        <w:t>they</w:t>
      </w:r>
      <w:r>
        <w:rPr>
          <w:spacing w:val="-5"/>
        </w:rPr>
        <w:t> </w:t>
      </w:r>
      <w:r>
        <w:rPr/>
        <w:t>need.</w:t>
      </w:r>
      <w:r>
        <w:rPr>
          <w:spacing w:val="-9"/>
        </w:rPr>
        <w:t> </w:t>
      </w:r>
      <w:r>
        <w:rPr/>
        <w:t>These</w:t>
      </w:r>
      <w:r>
        <w:rPr>
          <w:spacing w:val="-6"/>
        </w:rPr>
        <w:t> </w:t>
      </w:r>
      <w:r>
        <w:rPr/>
        <w:t>teams</w:t>
      </w:r>
      <w:r>
        <w:rPr>
          <w:spacing w:val="-5"/>
        </w:rPr>
        <w:t> </w:t>
      </w:r>
      <w:r>
        <w:rPr/>
        <w:t>are</w:t>
      </w:r>
      <w:r>
        <w:rPr>
          <w:spacing w:val="-5"/>
        </w:rPr>
        <w:t> </w:t>
      </w:r>
      <w:r>
        <w:rPr/>
        <w:t>responsible</w:t>
      </w:r>
      <w:r>
        <w:rPr>
          <w:spacing w:val="-6"/>
        </w:rPr>
        <w:t> </w:t>
      </w:r>
      <w:r>
        <w:rPr/>
        <w:t>for providing timely, high-quality technical expertise on all our products.</w:t>
      </w:r>
    </w:p>
    <w:p>
      <w:pPr>
        <w:pStyle w:val="BodyText"/>
        <w:spacing w:before="14"/>
      </w:pPr>
    </w:p>
    <w:p>
      <w:pPr>
        <w:pStyle w:val="BodyText"/>
        <w:spacing w:line="249" w:lineRule="auto"/>
        <w:ind w:left="220" w:right="257" w:firstLine="540"/>
        <w:jc w:val="both"/>
      </w:pPr>
      <w:r>
        <w:rPr/>
        <w:t>As</w:t>
      </w:r>
      <w:r>
        <w:rPr>
          <w:spacing w:val="-13"/>
        </w:rPr>
        <w:t> </w:t>
      </w:r>
      <w:r>
        <w:rPr/>
        <w:t>registered</w:t>
      </w:r>
      <w:r>
        <w:rPr>
          <w:spacing w:val="-9"/>
        </w:rPr>
        <w:t> </w:t>
      </w:r>
      <w:r>
        <w:rPr/>
        <w:t>owners</w:t>
      </w:r>
      <w:r>
        <w:rPr>
          <w:spacing w:val="-9"/>
        </w:rPr>
        <w:t> </w:t>
      </w:r>
      <w:r>
        <w:rPr/>
        <w:t>of</w:t>
      </w:r>
      <w:r>
        <w:rPr>
          <w:spacing w:val="-9"/>
        </w:rPr>
        <w:t> </w:t>
      </w:r>
      <w:r>
        <w:rPr/>
        <w:t>the</w:t>
      </w:r>
      <w:r>
        <w:rPr>
          <w:spacing w:val="-9"/>
        </w:rPr>
        <w:t> </w:t>
      </w:r>
      <w:r>
        <w:rPr/>
        <w:t>current</w:t>
      </w:r>
      <w:r>
        <w:rPr>
          <w:spacing w:val="-9"/>
        </w:rPr>
        <w:t> </w:t>
      </w:r>
      <w:r>
        <w:rPr/>
        <w:t>version</w:t>
      </w:r>
      <w:r>
        <w:rPr>
          <w:spacing w:val="-9"/>
        </w:rPr>
        <w:t> </w:t>
      </w:r>
      <w:r>
        <w:rPr/>
        <w:t>of</w:t>
      </w:r>
      <w:r>
        <w:rPr>
          <w:spacing w:val="-9"/>
        </w:rPr>
        <w:t> </w:t>
      </w:r>
      <w:r>
        <w:rPr/>
        <w:t>an</w:t>
      </w:r>
      <w:r>
        <w:rPr>
          <w:spacing w:val="-13"/>
        </w:rPr>
        <w:t> </w:t>
      </w:r>
      <w:r>
        <w:rPr/>
        <w:t>Adobe</w:t>
      </w:r>
      <w:r>
        <w:rPr>
          <w:spacing w:val="-8"/>
        </w:rPr>
        <w:t> </w:t>
      </w:r>
      <w:r>
        <w:rPr/>
        <w:t>desktop</w:t>
      </w:r>
      <w:r>
        <w:rPr>
          <w:spacing w:val="-9"/>
        </w:rPr>
        <w:t> </w:t>
      </w:r>
      <w:r>
        <w:rPr/>
        <w:t>product,</w:t>
      </w:r>
      <w:r>
        <w:rPr>
          <w:spacing w:val="-9"/>
        </w:rPr>
        <w:t> </w:t>
      </w:r>
      <w:r>
        <w:rPr/>
        <w:t>consumers</w:t>
      </w:r>
      <w:r>
        <w:rPr>
          <w:spacing w:val="-9"/>
        </w:rPr>
        <w:t> </w:t>
      </w:r>
      <w:r>
        <w:rPr/>
        <w:t>are</w:t>
      </w:r>
      <w:r>
        <w:rPr>
          <w:spacing w:val="-9"/>
        </w:rPr>
        <w:t> </w:t>
      </w:r>
      <w:r>
        <w:rPr/>
        <w:t>eligible</w:t>
      </w:r>
      <w:r>
        <w:rPr>
          <w:spacing w:val="-9"/>
        </w:rPr>
        <w:t> </w:t>
      </w:r>
      <w:r>
        <w:rPr/>
        <w:t>to</w:t>
      </w:r>
      <w:r>
        <w:rPr>
          <w:spacing w:val="-9"/>
        </w:rPr>
        <w:t> </w:t>
      </w:r>
      <w:r>
        <w:rPr/>
        <w:t>receive</w:t>
      </w:r>
      <w:r>
        <w:rPr>
          <w:spacing w:val="-9"/>
        </w:rPr>
        <w:t> </w:t>
      </w:r>
      <w:r>
        <w:rPr/>
        <w:t>Getting</w:t>
      </w:r>
      <w:r>
        <w:rPr>
          <w:spacing w:val="-9"/>
        </w:rPr>
        <w:t> </w:t>
      </w:r>
      <w:r>
        <w:rPr/>
        <w:t>Started support</w:t>
      </w:r>
      <w:r>
        <w:rPr>
          <w:spacing w:val="-11"/>
        </w:rPr>
        <w:t> </w:t>
      </w:r>
      <w:r>
        <w:rPr/>
        <w:t>on</w:t>
      </w:r>
      <w:r>
        <w:rPr>
          <w:spacing w:val="-10"/>
        </w:rPr>
        <w:t> </w:t>
      </w:r>
      <w:r>
        <w:rPr/>
        <w:t>certain</w:t>
      </w:r>
      <w:r>
        <w:rPr>
          <w:spacing w:val="-10"/>
        </w:rPr>
        <w:t> </w:t>
      </w:r>
      <w:r>
        <w:rPr/>
        <w:t>matters,</w:t>
      </w:r>
      <w:r>
        <w:rPr>
          <w:spacing w:val="-10"/>
        </w:rPr>
        <w:t> </w:t>
      </w:r>
      <w:r>
        <w:rPr/>
        <w:t>to</w:t>
      </w:r>
      <w:r>
        <w:rPr>
          <w:spacing w:val="-10"/>
        </w:rPr>
        <w:t> </w:t>
      </w:r>
      <w:r>
        <w:rPr/>
        <w:t>support</w:t>
      </w:r>
      <w:r>
        <w:rPr>
          <w:spacing w:val="-11"/>
        </w:rPr>
        <w:t> </w:t>
      </w:r>
      <w:r>
        <w:rPr/>
        <w:t>easy</w:t>
      </w:r>
      <w:r>
        <w:rPr>
          <w:spacing w:val="-10"/>
        </w:rPr>
        <w:t> </w:t>
      </w:r>
      <w:r>
        <w:rPr/>
        <w:t>adoption</w:t>
      </w:r>
      <w:r>
        <w:rPr>
          <w:spacing w:val="-10"/>
        </w:rPr>
        <w:t> </w:t>
      </w:r>
      <w:r>
        <w:rPr/>
        <w:t>of</w:t>
      </w:r>
      <w:r>
        <w:rPr>
          <w:spacing w:val="-10"/>
        </w:rPr>
        <w:t> </w:t>
      </w:r>
      <w:r>
        <w:rPr/>
        <w:t>their</w:t>
      </w:r>
      <w:r>
        <w:rPr>
          <w:spacing w:val="-10"/>
        </w:rPr>
        <w:t> </w:t>
      </w:r>
      <w:r>
        <w:rPr/>
        <w:t>products.</w:t>
      </w:r>
      <w:r>
        <w:rPr>
          <w:spacing w:val="-10"/>
        </w:rPr>
        <w:t> </w:t>
      </w:r>
      <w:r>
        <w:rPr/>
        <w:t>Support</w:t>
      </w:r>
      <w:r>
        <w:rPr>
          <w:spacing w:val="-11"/>
        </w:rPr>
        <w:t> </w:t>
      </w:r>
      <w:r>
        <w:rPr/>
        <w:t>for</w:t>
      </w:r>
      <w:r>
        <w:rPr>
          <w:spacing w:val="-10"/>
        </w:rPr>
        <w:t> </w:t>
      </w:r>
      <w:r>
        <w:rPr/>
        <w:t>some</w:t>
      </w:r>
      <w:r>
        <w:rPr>
          <w:spacing w:val="-11"/>
        </w:rPr>
        <w:t> </w:t>
      </w:r>
      <w:r>
        <w:rPr/>
        <w:t>products</w:t>
      </w:r>
      <w:r>
        <w:rPr>
          <w:spacing w:val="-10"/>
        </w:rPr>
        <w:t> </w:t>
      </w:r>
      <w:r>
        <w:rPr/>
        <w:t>and</w:t>
      </w:r>
      <w:r>
        <w:rPr>
          <w:spacing w:val="-10"/>
        </w:rPr>
        <w:t> </w:t>
      </w:r>
      <w:r>
        <w:rPr/>
        <w:t>in</w:t>
      </w:r>
      <w:r>
        <w:rPr>
          <w:spacing w:val="-10"/>
        </w:rPr>
        <w:t> </w:t>
      </w:r>
      <w:r>
        <w:rPr/>
        <w:t>some</w:t>
      </w:r>
      <w:r>
        <w:rPr>
          <w:spacing w:val="-11"/>
        </w:rPr>
        <w:t> </w:t>
      </w:r>
      <w:r>
        <w:rPr/>
        <w:t>countries</w:t>
      </w:r>
      <w:r>
        <w:rPr>
          <w:spacing w:val="-10"/>
        </w:rPr>
        <w:t> </w:t>
      </w:r>
      <w:r>
        <w:rPr/>
        <w:t>may</w:t>
      </w:r>
      <w:r>
        <w:rPr>
          <w:spacing w:val="-10"/>
        </w:rPr>
        <w:t> </w:t>
      </w:r>
      <w:r>
        <w:rPr/>
        <w:t>vary. For enterprise customers with greater support needs, we offer personalized service options through Premium Services options, delivered</w:t>
      </w:r>
      <w:r>
        <w:rPr>
          <w:spacing w:val="-5"/>
        </w:rPr>
        <w:t> </w:t>
      </w:r>
      <w:r>
        <w:rPr/>
        <w:t>by</w:t>
      </w:r>
      <w:r>
        <w:rPr>
          <w:spacing w:val="-5"/>
        </w:rPr>
        <w:t> </w:t>
      </w:r>
      <w:r>
        <w:rPr/>
        <w:t>technical</w:t>
      </w:r>
      <w:r>
        <w:rPr>
          <w:spacing w:val="-5"/>
        </w:rPr>
        <w:t> </w:t>
      </w:r>
      <w:r>
        <w:rPr/>
        <w:t>account</w:t>
      </w:r>
      <w:r>
        <w:rPr>
          <w:spacing w:val="-5"/>
        </w:rPr>
        <w:t> </w:t>
      </w:r>
      <w:r>
        <w:rPr/>
        <w:t>managers</w:t>
      </w:r>
      <w:r>
        <w:rPr>
          <w:spacing w:val="-5"/>
        </w:rPr>
        <w:t> </w:t>
      </w:r>
      <w:r>
        <w:rPr/>
        <w:t>who</w:t>
      </w:r>
      <w:r>
        <w:rPr>
          <w:spacing w:val="-5"/>
        </w:rPr>
        <w:t> </w:t>
      </w:r>
      <w:r>
        <w:rPr/>
        <w:t>can</w:t>
      </w:r>
      <w:r>
        <w:rPr>
          <w:spacing w:val="-5"/>
        </w:rPr>
        <w:t> </w:t>
      </w:r>
      <w:r>
        <w:rPr/>
        <w:t>also</w:t>
      </w:r>
      <w:r>
        <w:rPr>
          <w:spacing w:val="-5"/>
        </w:rPr>
        <w:t> </w:t>
      </w:r>
      <w:r>
        <w:rPr/>
        <w:t>provide</w:t>
      </w:r>
      <w:r>
        <w:rPr>
          <w:spacing w:val="-5"/>
        </w:rPr>
        <w:t> </w:t>
      </w:r>
      <w:r>
        <w:rPr/>
        <w:t>proactive</w:t>
      </w:r>
      <w:r>
        <w:rPr>
          <w:spacing w:val="-5"/>
        </w:rPr>
        <w:t> </w:t>
      </w:r>
      <w:r>
        <w:rPr/>
        <w:t>risk</w:t>
      </w:r>
      <w:r>
        <w:rPr>
          <w:spacing w:val="-5"/>
        </w:rPr>
        <w:t> </w:t>
      </w:r>
      <w:r>
        <w:rPr/>
        <w:t>mitigation</w:t>
      </w:r>
      <w:r>
        <w:rPr>
          <w:spacing w:val="-5"/>
        </w:rPr>
        <w:t> </w:t>
      </w:r>
      <w:r>
        <w:rPr/>
        <w:t>services</w:t>
      </w:r>
      <w:r>
        <w:rPr>
          <w:spacing w:val="-5"/>
        </w:rPr>
        <w:t> </w:t>
      </w:r>
      <w:r>
        <w:rPr/>
        <w:t>and</w:t>
      </w:r>
      <w:r>
        <w:rPr>
          <w:spacing w:val="-5"/>
        </w:rPr>
        <w:t> </w:t>
      </w:r>
      <w:r>
        <w:rPr/>
        <w:t>on-site</w:t>
      </w:r>
      <w:r>
        <w:rPr>
          <w:spacing w:val="-5"/>
        </w:rPr>
        <w:t> </w:t>
      </w:r>
      <w:r>
        <w:rPr/>
        <w:t>support</w:t>
      </w:r>
      <w:r>
        <w:rPr>
          <w:spacing w:val="-5"/>
        </w:rPr>
        <w:t> </w:t>
      </w:r>
      <w:r>
        <w:rPr/>
        <w:t>services</w:t>
      </w:r>
      <w:r>
        <w:rPr>
          <w:spacing w:val="-5"/>
        </w:rPr>
        <w:t> </w:t>
      </w:r>
      <w:r>
        <w:rPr/>
        <w:t>for those with business critical deployments.</w:t>
      </w:r>
    </w:p>
    <w:p>
      <w:pPr>
        <w:pStyle w:val="BodyText"/>
        <w:spacing w:before="14"/>
      </w:pPr>
    </w:p>
    <w:p>
      <w:pPr>
        <w:pStyle w:val="BodyText"/>
        <w:spacing w:line="249" w:lineRule="auto"/>
        <w:ind w:left="220" w:right="257" w:firstLine="540"/>
        <w:jc w:val="both"/>
      </w:pPr>
      <w:r>
        <w:rPr>
          <w:spacing w:val="-2"/>
        </w:rPr>
        <w:t>Lastly,</w:t>
      </w:r>
      <w:r>
        <w:rPr>
          <w:spacing w:val="-5"/>
        </w:rPr>
        <w:t> </w:t>
      </w:r>
      <w:r>
        <w:rPr>
          <w:spacing w:val="-2"/>
        </w:rPr>
        <w:t>we</w:t>
      </w:r>
      <w:r>
        <w:rPr>
          <w:spacing w:val="-5"/>
        </w:rPr>
        <w:t> </w:t>
      </w:r>
      <w:r>
        <w:rPr>
          <w:spacing w:val="-2"/>
        </w:rPr>
        <w:t>also</w:t>
      </w:r>
      <w:r>
        <w:rPr>
          <w:spacing w:val="-5"/>
        </w:rPr>
        <w:t> </w:t>
      </w:r>
      <w:r>
        <w:rPr>
          <w:spacing w:val="-2"/>
        </w:rPr>
        <w:t>offer</w:t>
      </w:r>
      <w:r>
        <w:rPr>
          <w:spacing w:val="-5"/>
        </w:rPr>
        <w:t> </w:t>
      </w:r>
      <w:r>
        <w:rPr>
          <w:spacing w:val="-2"/>
        </w:rPr>
        <w:t>delivery</w:t>
      </w:r>
      <w:r>
        <w:rPr>
          <w:spacing w:val="-5"/>
        </w:rPr>
        <w:t> </w:t>
      </w:r>
      <w:r>
        <w:rPr>
          <w:spacing w:val="-2"/>
        </w:rPr>
        <w:t>assurance,</w:t>
      </w:r>
      <w:r>
        <w:rPr>
          <w:spacing w:val="-5"/>
        </w:rPr>
        <w:t> </w:t>
      </w:r>
      <w:r>
        <w:rPr>
          <w:spacing w:val="-2"/>
        </w:rPr>
        <w:t>technical</w:t>
      </w:r>
      <w:r>
        <w:rPr>
          <w:spacing w:val="-7"/>
        </w:rPr>
        <w:t> </w:t>
      </w:r>
      <w:r>
        <w:rPr>
          <w:spacing w:val="-2"/>
        </w:rPr>
        <w:t>support,</w:t>
      </w:r>
      <w:r>
        <w:rPr>
          <w:spacing w:val="-5"/>
        </w:rPr>
        <w:t> </w:t>
      </w:r>
      <w:r>
        <w:rPr>
          <w:spacing w:val="-2"/>
        </w:rPr>
        <w:t>and</w:t>
      </w:r>
      <w:r>
        <w:rPr>
          <w:spacing w:val="-5"/>
        </w:rPr>
        <w:t> </w:t>
      </w:r>
      <w:r>
        <w:rPr>
          <w:spacing w:val="-2"/>
        </w:rPr>
        <w:t>enablement</w:t>
      </w:r>
      <w:r>
        <w:rPr>
          <w:spacing w:val="-7"/>
        </w:rPr>
        <w:t> </w:t>
      </w:r>
      <w:r>
        <w:rPr>
          <w:spacing w:val="-2"/>
        </w:rPr>
        <w:t>services</w:t>
      </w:r>
      <w:r>
        <w:rPr>
          <w:spacing w:val="-5"/>
        </w:rPr>
        <w:t> </w:t>
      </w:r>
      <w:r>
        <w:rPr>
          <w:spacing w:val="-2"/>
        </w:rPr>
        <w:t>to</w:t>
      </w:r>
      <w:r>
        <w:rPr>
          <w:spacing w:val="-5"/>
        </w:rPr>
        <w:t> </w:t>
      </w:r>
      <w:r>
        <w:rPr>
          <w:spacing w:val="-2"/>
        </w:rPr>
        <w:t>partners</w:t>
      </w:r>
      <w:r>
        <w:rPr>
          <w:spacing w:val="-5"/>
        </w:rPr>
        <w:t> </w:t>
      </w:r>
      <w:r>
        <w:rPr>
          <w:spacing w:val="-2"/>
        </w:rPr>
        <w:t>and</w:t>
      </w:r>
      <w:r>
        <w:rPr>
          <w:spacing w:val="-5"/>
        </w:rPr>
        <w:t> </w:t>
      </w:r>
      <w:r>
        <w:rPr>
          <w:spacing w:val="-2"/>
        </w:rPr>
        <w:t>developer</w:t>
      </w:r>
      <w:r>
        <w:rPr>
          <w:spacing w:val="-5"/>
        </w:rPr>
        <w:t> </w:t>
      </w:r>
      <w:r>
        <w:rPr>
          <w:spacing w:val="-2"/>
        </w:rPr>
        <w:t>organizations. </w:t>
      </w:r>
      <w:r>
        <w:rPr/>
        <w:t>Through the Adobe Partner Connection Program, we provide developers with high-quality tools, software development kits, information and services.</w:t>
      </w:r>
    </w:p>
    <w:p>
      <w:pPr>
        <w:pStyle w:val="BodyText"/>
        <w:spacing w:before="12"/>
      </w:pPr>
    </w:p>
    <w:p>
      <w:pPr>
        <w:spacing w:before="0"/>
        <w:ind w:left="220" w:right="0" w:firstLine="0"/>
        <w:jc w:val="left"/>
        <w:rPr>
          <w:i/>
          <w:sz w:val="20"/>
        </w:rPr>
      </w:pPr>
      <w:r>
        <w:rPr>
          <w:i/>
          <w:sz w:val="20"/>
        </w:rPr>
        <w:t>Digital</w:t>
      </w:r>
      <w:r>
        <w:rPr>
          <w:i/>
          <w:spacing w:val="-3"/>
          <w:sz w:val="20"/>
        </w:rPr>
        <w:t> </w:t>
      </w:r>
      <w:r>
        <w:rPr>
          <w:i/>
          <w:sz w:val="20"/>
        </w:rPr>
        <w:t>Learning </w:t>
      </w:r>
      <w:r>
        <w:rPr>
          <w:i/>
          <w:spacing w:val="-2"/>
          <w:sz w:val="20"/>
        </w:rPr>
        <w:t>Services</w:t>
      </w:r>
    </w:p>
    <w:p>
      <w:pPr>
        <w:pStyle w:val="BodyText"/>
        <w:spacing w:before="20"/>
        <w:rPr>
          <w:i/>
        </w:rPr>
      </w:pPr>
    </w:p>
    <w:p>
      <w:pPr>
        <w:pStyle w:val="BodyText"/>
        <w:spacing w:line="249" w:lineRule="auto"/>
        <w:ind w:left="220" w:right="257" w:firstLine="540"/>
        <w:jc w:val="both"/>
      </w:pPr>
      <w:r>
        <w:rPr/>
        <w:t>Adobe Global Services offers a comprehensive portfolio of learning and enablement services to assist our customer and partner</w:t>
      </w:r>
      <w:r>
        <w:rPr>
          <w:spacing w:val="-1"/>
        </w:rPr>
        <w:t> </w:t>
      </w:r>
      <w:r>
        <w:rPr/>
        <w:t>teams</w:t>
      </w:r>
      <w:r>
        <w:rPr>
          <w:spacing w:val="-1"/>
        </w:rPr>
        <w:t> </w:t>
      </w:r>
      <w:r>
        <w:rPr/>
        <w:t>in</w:t>
      </w:r>
      <w:r>
        <w:rPr>
          <w:spacing w:val="-1"/>
        </w:rPr>
        <w:t> </w:t>
      </w:r>
      <w:r>
        <w:rPr/>
        <w:t>the</w:t>
      </w:r>
      <w:r>
        <w:rPr>
          <w:spacing w:val="-1"/>
        </w:rPr>
        <w:t> </w:t>
      </w:r>
      <w:r>
        <w:rPr/>
        <w:t>use</w:t>
      </w:r>
      <w:r>
        <w:rPr>
          <w:spacing w:val="-1"/>
        </w:rPr>
        <w:t> </w:t>
      </w:r>
      <w:r>
        <w:rPr/>
        <w:t>of</w:t>
      </w:r>
      <w:r>
        <w:rPr>
          <w:spacing w:val="-1"/>
        </w:rPr>
        <w:t> </w:t>
      </w:r>
      <w:r>
        <w:rPr/>
        <w:t>our</w:t>
      </w:r>
      <w:r>
        <w:rPr>
          <w:spacing w:val="-1"/>
        </w:rPr>
        <w:t> </w:t>
      </w:r>
      <w:r>
        <w:rPr/>
        <w:t>products,</w:t>
      </w:r>
      <w:r>
        <w:rPr>
          <w:spacing w:val="-1"/>
        </w:rPr>
        <w:t> </w:t>
      </w:r>
      <w:r>
        <w:rPr/>
        <w:t>including</w:t>
      </w:r>
      <w:r>
        <w:rPr>
          <w:spacing w:val="-1"/>
        </w:rPr>
        <w:t> </w:t>
      </w:r>
      <w:r>
        <w:rPr/>
        <w:t>those</w:t>
      </w:r>
      <w:r>
        <w:rPr>
          <w:spacing w:val="-1"/>
        </w:rPr>
        <w:t> </w:t>
      </w:r>
      <w:r>
        <w:rPr/>
        <w:t>within</w:t>
      </w:r>
      <w:r>
        <w:rPr>
          <w:spacing w:val="-1"/>
        </w:rPr>
        <w:t> </w:t>
      </w:r>
      <w:r>
        <w:rPr/>
        <w:t>Digital</w:t>
      </w:r>
      <w:r>
        <w:rPr>
          <w:spacing w:val="-1"/>
        </w:rPr>
        <w:t> </w:t>
      </w:r>
      <w:r>
        <w:rPr/>
        <w:t>Marketing,</w:t>
      </w:r>
      <w:r>
        <w:rPr>
          <w:spacing w:val="-1"/>
        </w:rPr>
        <w:t> </w:t>
      </w:r>
      <w:r>
        <w:rPr/>
        <w:t>Digital</w:t>
      </w:r>
      <w:r>
        <w:rPr>
          <w:spacing w:val="-1"/>
        </w:rPr>
        <w:t> </w:t>
      </w:r>
      <w:r>
        <w:rPr/>
        <w:t>Media</w:t>
      </w:r>
      <w:r>
        <w:rPr>
          <w:spacing w:val="-1"/>
        </w:rPr>
        <w:t> </w:t>
      </w:r>
      <w:r>
        <w:rPr/>
        <w:t>and</w:t>
      </w:r>
      <w:r>
        <w:rPr>
          <w:spacing w:val="-1"/>
        </w:rPr>
        <w:t> </w:t>
      </w:r>
      <w:r>
        <w:rPr/>
        <w:t>other</w:t>
      </w:r>
      <w:r>
        <w:rPr>
          <w:spacing w:val="-1"/>
        </w:rPr>
        <w:t> </w:t>
      </w:r>
      <w:r>
        <w:rPr/>
        <w:t>legacy</w:t>
      </w:r>
      <w:r>
        <w:rPr>
          <w:spacing w:val="-1"/>
        </w:rPr>
        <w:t> </w:t>
      </w:r>
      <w:r>
        <w:rPr/>
        <w:t>products</w:t>
      </w:r>
      <w:r>
        <w:rPr>
          <w:spacing w:val="-1"/>
        </w:rPr>
        <w:t> </w:t>
      </w:r>
      <w:r>
        <w:rPr/>
        <w:t>and solutions.</w:t>
      </w:r>
      <w:r>
        <w:rPr>
          <w:spacing w:val="-10"/>
        </w:rPr>
        <w:t> </w:t>
      </w:r>
      <w:r>
        <w:rPr/>
        <w:t>Our</w:t>
      </w:r>
      <w:r>
        <w:rPr>
          <w:spacing w:val="-10"/>
        </w:rPr>
        <w:t> </w:t>
      </w:r>
      <w:r>
        <w:rPr/>
        <w:t>training</w:t>
      </w:r>
      <w:r>
        <w:rPr>
          <w:spacing w:val="-10"/>
        </w:rPr>
        <w:t> </w:t>
      </w:r>
      <w:r>
        <w:rPr/>
        <w:t>portfolio</w:t>
      </w:r>
      <w:r>
        <w:rPr>
          <w:spacing w:val="-10"/>
        </w:rPr>
        <w:t> </w:t>
      </w:r>
      <w:r>
        <w:rPr/>
        <w:t>includes</w:t>
      </w:r>
      <w:r>
        <w:rPr>
          <w:spacing w:val="-10"/>
        </w:rPr>
        <w:t> </w:t>
      </w:r>
      <w:r>
        <w:rPr/>
        <w:t>a</w:t>
      </w:r>
      <w:r>
        <w:rPr>
          <w:spacing w:val="-10"/>
        </w:rPr>
        <w:t> </w:t>
      </w:r>
      <w:r>
        <w:rPr/>
        <w:t>large</w:t>
      </w:r>
      <w:r>
        <w:rPr>
          <w:spacing w:val="-10"/>
        </w:rPr>
        <w:t> </w:t>
      </w:r>
      <w:r>
        <w:rPr/>
        <w:t>number</w:t>
      </w:r>
      <w:r>
        <w:rPr>
          <w:spacing w:val="-10"/>
        </w:rPr>
        <w:t> </w:t>
      </w:r>
      <w:r>
        <w:rPr/>
        <w:t>of</w:t>
      </w:r>
      <w:r>
        <w:rPr>
          <w:spacing w:val="-10"/>
        </w:rPr>
        <w:t> </w:t>
      </w:r>
      <w:r>
        <w:rPr/>
        <w:t>free</w:t>
      </w:r>
      <w:r>
        <w:rPr>
          <w:spacing w:val="-10"/>
        </w:rPr>
        <w:t> </w:t>
      </w:r>
      <w:r>
        <w:rPr/>
        <w:t>online</w:t>
      </w:r>
      <w:r>
        <w:rPr>
          <w:spacing w:val="-10"/>
        </w:rPr>
        <w:t> </w:t>
      </w:r>
      <w:r>
        <w:rPr/>
        <w:t>self-service</w:t>
      </w:r>
      <w:r>
        <w:rPr>
          <w:spacing w:val="-11"/>
        </w:rPr>
        <w:t> </w:t>
      </w:r>
      <w:r>
        <w:rPr/>
        <w:t>learning</w:t>
      </w:r>
      <w:r>
        <w:rPr>
          <w:spacing w:val="-10"/>
        </w:rPr>
        <w:t> </w:t>
      </w:r>
      <w:r>
        <w:rPr/>
        <w:t>options</w:t>
      </w:r>
      <w:r>
        <w:rPr>
          <w:spacing w:val="-10"/>
        </w:rPr>
        <w:t> </w:t>
      </w:r>
      <w:r>
        <w:rPr/>
        <w:t>on</w:t>
      </w:r>
      <w:r>
        <w:rPr>
          <w:spacing w:val="-10"/>
        </w:rPr>
        <w:t> </w:t>
      </w:r>
      <w:hyperlink r:id="rId19">
        <w:r>
          <w:rPr/>
          <w:t>www.training.adobe.com.</w:t>
        </w:r>
      </w:hyperlink>
      <w:r>
        <w:rPr/>
        <w:t> </w:t>
      </w:r>
      <w:r>
        <w:rPr>
          <w:spacing w:val="-2"/>
        </w:rPr>
        <w:t>Adobe</w:t>
      </w:r>
      <w:r>
        <w:rPr>
          <w:spacing w:val="-11"/>
        </w:rPr>
        <w:t> </w:t>
      </w:r>
      <w:r>
        <w:rPr>
          <w:spacing w:val="-2"/>
        </w:rPr>
        <w:t>Digital</w:t>
      </w:r>
      <w:r>
        <w:rPr>
          <w:spacing w:val="-10"/>
        </w:rPr>
        <w:t> </w:t>
      </w:r>
      <w:r>
        <w:rPr>
          <w:spacing w:val="-2"/>
        </w:rPr>
        <w:t>Learning</w:t>
      </w:r>
      <w:r>
        <w:rPr>
          <w:spacing w:val="-11"/>
        </w:rPr>
        <w:t> </w:t>
      </w:r>
      <w:r>
        <w:rPr>
          <w:spacing w:val="-2"/>
        </w:rPr>
        <w:t>Services</w:t>
      </w:r>
      <w:r>
        <w:rPr>
          <w:spacing w:val="-10"/>
        </w:rPr>
        <w:t> </w:t>
      </w:r>
      <w:r>
        <w:rPr>
          <w:spacing w:val="-2"/>
        </w:rPr>
        <w:t>also</w:t>
      </w:r>
      <w:r>
        <w:rPr>
          <w:spacing w:val="-11"/>
        </w:rPr>
        <w:t> </w:t>
      </w:r>
      <w:r>
        <w:rPr>
          <w:spacing w:val="-2"/>
        </w:rPr>
        <w:t>has</w:t>
      </w:r>
      <w:r>
        <w:rPr>
          <w:spacing w:val="-10"/>
        </w:rPr>
        <w:t> </w:t>
      </w:r>
      <w:r>
        <w:rPr>
          <w:spacing w:val="-2"/>
        </w:rPr>
        <w:t>an</w:t>
      </w:r>
      <w:r>
        <w:rPr>
          <w:spacing w:val="-11"/>
        </w:rPr>
        <w:t> </w:t>
      </w:r>
      <w:r>
        <w:rPr>
          <w:spacing w:val="-2"/>
        </w:rPr>
        <w:t>extensive</w:t>
      </w:r>
      <w:r>
        <w:rPr>
          <w:spacing w:val="-10"/>
        </w:rPr>
        <w:t> </w:t>
      </w:r>
      <w:r>
        <w:rPr>
          <w:spacing w:val="-2"/>
        </w:rPr>
        <w:t>portfolio</w:t>
      </w:r>
      <w:r>
        <w:rPr>
          <w:spacing w:val="-11"/>
        </w:rPr>
        <w:t> </w:t>
      </w:r>
      <w:r>
        <w:rPr>
          <w:spacing w:val="-2"/>
        </w:rPr>
        <w:t>of</w:t>
      </w:r>
      <w:r>
        <w:rPr>
          <w:spacing w:val="-10"/>
        </w:rPr>
        <w:t> </w:t>
      </w:r>
      <w:r>
        <w:rPr>
          <w:spacing w:val="-2"/>
        </w:rPr>
        <w:t>fee-based</w:t>
      </w:r>
      <w:r>
        <w:rPr>
          <w:spacing w:val="-11"/>
        </w:rPr>
        <w:t> </w:t>
      </w:r>
      <w:r>
        <w:rPr>
          <w:spacing w:val="-2"/>
        </w:rPr>
        <w:t>learning</w:t>
      </w:r>
      <w:r>
        <w:rPr>
          <w:spacing w:val="-10"/>
        </w:rPr>
        <w:t> </w:t>
      </w:r>
      <w:r>
        <w:rPr>
          <w:spacing w:val="-2"/>
        </w:rPr>
        <w:t>programs</w:t>
      </w:r>
      <w:r>
        <w:rPr>
          <w:spacing w:val="-11"/>
        </w:rPr>
        <w:t> </w:t>
      </w:r>
      <w:r>
        <w:rPr>
          <w:spacing w:val="-2"/>
        </w:rPr>
        <w:t>including</w:t>
      </w:r>
      <w:r>
        <w:rPr>
          <w:spacing w:val="-10"/>
        </w:rPr>
        <w:t> </w:t>
      </w:r>
      <w:r>
        <w:rPr>
          <w:spacing w:val="-2"/>
        </w:rPr>
        <w:t>a</w:t>
      </w:r>
      <w:r>
        <w:rPr>
          <w:spacing w:val="-11"/>
        </w:rPr>
        <w:t> </w:t>
      </w:r>
      <w:r>
        <w:rPr>
          <w:spacing w:val="-2"/>
        </w:rPr>
        <w:t>wide</w:t>
      </w:r>
      <w:r>
        <w:rPr>
          <w:spacing w:val="-10"/>
        </w:rPr>
        <w:t> </w:t>
      </w:r>
      <w:r>
        <w:rPr>
          <w:spacing w:val="-2"/>
        </w:rPr>
        <w:t>range</w:t>
      </w:r>
      <w:r>
        <w:rPr>
          <w:spacing w:val="-11"/>
        </w:rPr>
        <w:t> </w:t>
      </w:r>
      <w:r>
        <w:rPr>
          <w:spacing w:val="-2"/>
        </w:rPr>
        <w:t>of</w:t>
      </w:r>
      <w:r>
        <w:rPr>
          <w:spacing w:val="-10"/>
        </w:rPr>
        <w:t> </w:t>
      </w:r>
      <w:r>
        <w:rPr>
          <w:spacing w:val="-2"/>
        </w:rPr>
        <w:t>traditional </w:t>
      </w:r>
      <w:r>
        <w:rPr/>
        <w:t>classroom,</w:t>
      </w:r>
      <w:r>
        <w:rPr>
          <w:spacing w:val="-4"/>
        </w:rPr>
        <w:t> </w:t>
      </w:r>
      <w:r>
        <w:rPr/>
        <w:t>virtual,</w:t>
      </w:r>
      <w:r>
        <w:rPr>
          <w:spacing w:val="-4"/>
        </w:rPr>
        <w:t> </w:t>
      </w:r>
      <w:r>
        <w:rPr/>
        <w:t>and</w:t>
      </w:r>
      <w:r>
        <w:rPr>
          <w:spacing w:val="-4"/>
        </w:rPr>
        <w:t> </w:t>
      </w:r>
      <w:r>
        <w:rPr/>
        <w:t>on-demand</w:t>
      </w:r>
      <w:r>
        <w:rPr>
          <w:spacing w:val="-4"/>
        </w:rPr>
        <w:t> </w:t>
      </w:r>
      <w:r>
        <w:rPr/>
        <w:t>training</w:t>
      </w:r>
      <w:r>
        <w:rPr>
          <w:spacing w:val="-4"/>
        </w:rPr>
        <w:t> </w:t>
      </w:r>
      <w:r>
        <w:rPr/>
        <w:t>and</w:t>
      </w:r>
      <w:r>
        <w:rPr>
          <w:spacing w:val="-4"/>
        </w:rPr>
        <w:t> </w:t>
      </w:r>
      <w:r>
        <w:rPr/>
        <w:t>certifications</w:t>
      </w:r>
      <w:r>
        <w:rPr>
          <w:spacing w:val="-4"/>
        </w:rPr>
        <w:t> </w:t>
      </w:r>
      <w:r>
        <w:rPr/>
        <w:t>delivered</w:t>
      </w:r>
      <w:r>
        <w:rPr>
          <w:spacing w:val="-4"/>
        </w:rPr>
        <w:t> </w:t>
      </w:r>
      <w:r>
        <w:rPr/>
        <w:t>by</w:t>
      </w:r>
      <w:r>
        <w:rPr>
          <w:spacing w:val="-4"/>
        </w:rPr>
        <w:t> </w:t>
      </w:r>
      <w:r>
        <w:rPr/>
        <w:t>our</w:t>
      </w:r>
      <w:r>
        <w:rPr>
          <w:spacing w:val="-4"/>
        </w:rPr>
        <w:t> </w:t>
      </w:r>
      <w:r>
        <w:rPr/>
        <w:t>team</w:t>
      </w:r>
      <w:r>
        <w:rPr>
          <w:spacing w:val="-4"/>
        </w:rPr>
        <w:t> </w:t>
      </w:r>
      <w:r>
        <w:rPr/>
        <w:t>of</w:t>
      </w:r>
      <w:r>
        <w:rPr>
          <w:spacing w:val="-4"/>
        </w:rPr>
        <w:t> </w:t>
      </w:r>
      <w:r>
        <w:rPr/>
        <w:t>training</w:t>
      </w:r>
      <w:r>
        <w:rPr>
          <w:spacing w:val="-4"/>
        </w:rPr>
        <w:t> </w:t>
      </w:r>
      <w:r>
        <w:rPr/>
        <w:t>professionals</w:t>
      </w:r>
      <w:r>
        <w:rPr>
          <w:spacing w:val="-4"/>
        </w:rPr>
        <w:t> </w:t>
      </w:r>
      <w:r>
        <w:rPr/>
        <w:t>and</w:t>
      </w:r>
      <w:r>
        <w:rPr>
          <w:spacing w:val="-4"/>
        </w:rPr>
        <w:t> </w:t>
      </w:r>
      <w:r>
        <w:rPr/>
        <w:t>partners</w:t>
      </w:r>
      <w:r>
        <w:rPr>
          <w:spacing w:val="-4"/>
        </w:rPr>
        <w:t> </w:t>
      </w:r>
      <w:r>
        <w:rPr/>
        <w:t>across the globe.</w:t>
      </w:r>
    </w:p>
    <w:p>
      <w:pPr>
        <w:pStyle w:val="BodyText"/>
        <w:spacing w:before="15"/>
      </w:pPr>
    </w:p>
    <w:p>
      <w:pPr>
        <w:pStyle w:val="BodyText"/>
        <w:spacing w:line="249" w:lineRule="auto"/>
        <w:ind w:left="220" w:right="257" w:firstLine="540"/>
        <w:jc w:val="both"/>
      </w:pPr>
      <w:r>
        <w:rPr/>
        <w:t>These core offerings are complemented by our custom learning services, which support our largest enterprise customers </w:t>
      </w:r>
      <w:r>
        <w:rPr>
          <w:spacing w:val="-2"/>
        </w:rPr>
        <w:t>and their unique requirements. Solution-specific</w:t>
      </w:r>
      <w:r>
        <w:rPr>
          <w:spacing w:val="-4"/>
        </w:rPr>
        <w:t> </w:t>
      </w:r>
      <w:r>
        <w:rPr>
          <w:spacing w:val="-2"/>
        </w:rPr>
        <w:t>skills assessments help our enterprise customers objectively assess the knowledge </w:t>
      </w:r>
      <w:r>
        <w:rPr/>
        <w:t>and competencies within their marketing teams and tailor their learning priorities accordingly. Finally, aligned with our cloud strategy, we have introduced a new learning subscription service that enables customers to access both business and technical Digital Marketing training over a 12-month period, which is a scalable approach to supporting long-term learning.</w:t>
      </w:r>
    </w:p>
    <w:p>
      <w:pPr>
        <w:pStyle w:val="BodyText"/>
        <w:spacing w:before="14"/>
      </w:pPr>
    </w:p>
    <w:p>
      <w:pPr>
        <w:pStyle w:val="Heading2"/>
      </w:pPr>
      <w:r>
        <w:rPr>
          <w:spacing w:val="-2"/>
        </w:rPr>
        <w:t>Investments</w:t>
      </w:r>
    </w:p>
    <w:p>
      <w:pPr>
        <w:pStyle w:val="BodyText"/>
        <w:spacing w:line="249" w:lineRule="auto" w:before="190"/>
        <w:ind w:left="220" w:right="257" w:firstLine="540"/>
        <w:jc w:val="both"/>
      </w:pPr>
      <w:r>
        <w:rPr/>
        <w:t>From</w:t>
      </w:r>
      <w:r>
        <w:rPr>
          <w:spacing w:val="-11"/>
        </w:rPr>
        <w:t> </w:t>
      </w:r>
      <w:r>
        <w:rPr/>
        <w:t>time</w:t>
      </w:r>
      <w:r>
        <w:rPr>
          <w:spacing w:val="-11"/>
        </w:rPr>
        <w:t> </w:t>
      </w:r>
      <w:r>
        <w:rPr/>
        <w:t>to</w:t>
      </w:r>
      <w:r>
        <w:rPr>
          <w:spacing w:val="-11"/>
        </w:rPr>
        <w:t> </w:t>
      </w:r>
      <w:r>
        <w:rPr/>
        <w:t>time</w:t>
      </w:r>
      <w:r>
        <w:rPr>
          <w:spacing w:val="-11"/>
        </w:rPr>
        <w:t> </w:t>
      </w:r>
      <w:r>
        <w:rPr/>
        <w:t>we</w:t>
      </w:r>
      <w:r>
        <w:rPr>
          <w:spacing w:val="-11"/>
        </w:rPr>
        <w:t> </w:t>
      </w:r>
      <w:r>
        <w:rPr/>
        <w:t>make</w:t>
      </w:r>
      <w:r>
        <w:rPr>
          <w:spacing w:val="-10"/>
        </w:rPr>
        <w:t> </w:t>
      </w:r>
      <w:r>
        <w:rPr/>
        <w:t>direct</w:t>
      </w:r>
      <w:r>
        <w:rPr>
          <w:spacing w:val="-11"/>
        </w:rPr>
        <w:t> </w:t>
      </w:r>
      <w:r>
        <w:rPr/>
        <w:t>investments</w:t>
      </w:r>
      <w:r>
        <w:rPr>
          <w:spacing w:val="-10"/>
        </w:rPr>
        <w:t> </w:t>
      </w:r>
      <w:r>
        <w:rPr/>
        <w:t>in</w:t>
      </w:r>
      <w:r>
        <w:rPr>
          <w:spacing w:val="-11"/>
        </w:rPr>
        <w:t> </w:t>
      </w:r>
      <w:r>
        <w:rPr/>
        <w:t>privately</w:t>
      </w:r>
      <w:r>
        <w:rPr>
          <w:spacing w:val="-11"/>
        </w:rPr>
        <w:t> </w:t>
      </w:r>
      <w:r>
        <w:rPr/>
        <w:t>held</w:t>
      </w:r>
      <w:r>
        <w:rPr>
          <w:spacing w:val="-10"/>
        </w:rPr>
        <w:t> </w:t>
      </w:r>
      <w:r>
        <w:rPr/>
        <w:t>companies.</w:t>
      </w:r>
      <w:r>
        <w:rPr>
          <w:spacing w:val="-13"/>
        </w:rPr>
        <w:t> </w:t>
      </w:r>
      <w:r>
        <w:rPr/>
        <w:t>We</w:t>
      </w:r>
      <w:r>
        <w:rPr>
          <w:spacing w:val="-9"/>
        </w:rPr>
        <w:t> </w:t>
      </w:r>
      <w:r>
        <w:rPr/>
        <w:t>enter</w:t>
      </w:r>
      <w:r>
        <w:rPr>
          <w:spacing w:val="-11"/>
        </w:rPr>
        <w:t> </w:t>
      </w:r>
      <w:r>
        <w:rPr/>
        <w:t>into</w:t>
      </w:r>
      <w:r>
        <w:rPr>
          <w:spacing w:val="-11"/>
        </w:rPr>
        <w:t> </w:t>
      </w:r>
      <w:r>
        <w:rPr/>
        <w:t>these</w:t>
      </w:r>
      <w:r>
        <w:rPr>
          <w:spacing w:val="-11"/>
        </w:rPr>
        <w:t> </w:t>
      </w:r>
      <w:r>
        <w:rPr/>
        <w:t>investments</w:t>
      </w:r>
      <w:r>
        <w:rPr>
          <w:spacing w:val="-10"/>
        </w:rPr>
        <w:t> </w:t>
      </w:r>
      <w:r>
        <w:rPr/>
        <w:t>with</w:t>
      </w:r>
      <w:r>
        <w:rPr>
          <w:spacing w:val="-11"/>
        </w:rPr>
        <w:t> </w:t>
      </w:r>
      <w:r>
        <w:rPr/>
        <w:t>the</w:t>
      </w:r>
      <w:r>
        <w:rPr>
          <w:spacing w:val="-10"/>
        </w:rPr>
        <w:t> </w:t>
      </w:r>
      <w:r>
        <w:rPr/>
        <w:t>intent of securing financial returns as well as for strategic purposes, as they often increase our knowledge of emerging markets and technologies and expand our opportunities to provide</w:t>
      </w:r>
      <w:r>
        <w:rPr>
          <w:spacing w:val="-2"/>
        </w:rPr>
        <w:t> </w:t>
      </w:r>
      <w:r>
        <w:rPr/>
        <w:t>Adobe products and services.</w:t>
      </w:r>
    </w:p>
    <w:p>
      <w:pPr>
        <w:spacing w:after="0" w:line="249" w:lineRule="auto"/>
        <w:jc w:val="both"/>
        <w:sectPr>
          <w:pgSz w:w="12240" w:h="15840"/>
          <w:pgMar w:header="210" w:footer="599" w:top="420" w:bottom="800" w:left="780" w:right="740"/>
        </w:sectPr>
      </w:pPr>
    </w:p>
    <w:p>
      <w:pPr>
        <w:pStyle w:val="BodyText"/>
        <w:spacing w:before="147"/>
      </w:pPr>
    </w:p>
    <w:p>
      <w:pPr>
        <w:pStyle w:val="Heading1"/>
        <w:ind w:left="3849" w:right="3884"/>
        <w:jc w:val="center"/>
      </w:pPr>
      <w:bookmarkStart w:name="Product Development" w:id="14"/>
      <w:bookmarkEnd w:id="14"/>
      <w:r>
        <w:rPr>
          <w:b w:val="0"/>
        </w:rPr>
      </w:r>
      <w:r>
        <w:rPr/>
        <w:t>PRODUCT</w:t>
      </w:r>
      <w:r>
        <w:rPr>
          <w:spacing w:val="-4"/>
        </w:rPr>
        <w:t> </w:t>
      </w:r>
      <w:r>
        <w:rPr>
          <w:spacing w:val="-2"/>
        </w:rPr>
        <w:t>DEVELOPMENT</w:t>
      </w:r>
    </w:p>
    <w:p>
      <w:pPr>
        <w:pStyle w:val="BodyText"/>
        <w:spacing w:before="20"/>
        <w:rPr>
          <w:b/>
        </w:rPr>
      </w:pPr>
    </w:p>
    <w:p>
      <w:pPr>
        <w:pStyle w:val="BodyText"/>
        <w:spacing w:line="249" w:lineRule="auto"/>
        <w:ind w:left="220" w:right="257" w:firstLine="540"/>
        <w:jc w:val="both"/>
      </w:pPr>
      <w:r>
        <w:rPr/>
        <w:t>A</w:t>
      </w:r>
      <w:r>
        <w:rPr>
          <w:spacing w:val="-9"/>
        </w:rPr>
        <w:t> </w:t>
      </w:r>
      <w:r>
        <w:rPr/>
        <w:t>continuous high level of investment is required for the enhancement of existing solutions and the development of new solutions due to the speed of technological change that characterizes the software industry.</w:t>
      </w:r>
      <w:r>
        <w:rPr>
          <w:spacing w:val="-3"/>
        </w:rPr>
        <w:t> </w:t>
      </w:r>
      <w:r>
        <w:rPr/>
        <w:t>We develop our software internally, as</w:t>
      </w:r>
      <w:r>
        <w:rPr>
          <w:spacing w:val="-1"/>
        </w:rPr>
        <w:t> </w:t>
      </w:r>
      <w:r>
        <w:rPr/>
        <w:t>well</w:t>
      </w:r>
      <w:r>
        <w:rPr>
          <w:spacing w:val="-1"/>
        </w:rPr>
        <w:t> </w:t>
      </w:r>
      <w:r>
        <w:rPr/>
        <w:t>as</w:t>
      </w:r>
      <w:r>
        <w:rPr>
          <w:spacing w:val="-1"/>
        </w:rPr>
        <w:t> </w:t>
      </w:r>
      <w:r>
        <w:rPr/>
        <w:t>acquire</w:t>
      </w:r>
      <w:r>
        <w:rPr>
          <w:spacing w:val="-2"/>
        </w:rPr>
        <w:t> </w:t>
      </w:r>
      <w:r>
        <w:rPr/>
        <w:t>products</w:t>
      </w:r>
      <w:r>
        <w:rPr>
          <w:spacing w:val="-1"/>
        </w:rPr>
        <w:t> </w:t>
      </w:r>
      <w:r>
        <w:rPr/>
        <w:t>or</w:t>
      </w:r>
      <w:r>
        <w:rPr>
          <w:spacing w:val="-1"/>
        </w:rPr>
        <w:t> </w:t>
      </w:r>
      <w:r>
        <w:rPr/>
        <w:t>technology</w:t>
      </w:r>
      <w:r>
        <w:rPr>
          <w:spacing w:val="-1"/>
        </w:rPr>
        <w:t> </w:t>
      </w:r>
      <w:r>
        <w:rPr/>
        <w:t>developed</w:t>
      </w:r>
      <w:r>
        <w:rPr>
          <w:spacing w:val="-1"/>
        </w:rPr>
        <w:t> </w:t>
      </w:r>
      <w:r>
        <w:rPr/>
        <w:t>by</w:t>
      </w:r>
      <w:r>
        <w:rPr>
          <w:spacing w:val="-1"/>
        </w:rPr>
        <w:t> </w:t>
      </w:r>
      <w:r>
        <w:rPr/>
        <w:t>others</w:t>
      </w:r>
      <w:r>
        <w:rPr>
          <w:spacing w:val="-1"/>
        </w:rPr>
        <w:t> </w:t>
      </w:r>
      <w:r>
        <w:rPr/>
        <w:t>by</w:t>
      </w:r>
      <w:r>
        <w:rPr>
          <w:spacing w:val="-1"/>
        </w:rPr>
        <w:t> </w:t>
      </w:r>
      <w:r>
        <w:rPr/>
        <w:t>purchasing</w:t>
      </w:r>
      <w:r>
        <w:rPr>
          <w:spacing w:val="-1"/>
        </w:rPr>
        <w:t> </w:t>
      </w:r>
      <w:r>
        <w:rPr/>
        <w:t>the</w:t>
      </w:r>
      <w:r>
        <w:rPr>
          <w:spacing w:val="-1"/>
        </w:rPr>
        <w:t> </w:t>
      </w:r>
      <w:r>
        <w:rPr/>
        <w:t>stock</w:t>
      </w:r>
      <w:r>
        <w:rPr>
          <w:spacing w:val="-1"/>
        </w:rPr>
        <w:t> </w:t>
      </w:r>
      <w:r>
        <w:rPr/>
        <w:t>or</w:t>
      </w:r>
      <w:r>
        <w:rPr>
          <w:spacing w:val="-1"/>
        </w:rPr>
        <w:t> </w:t>
      </w:r>
      <w:r>
        <w:rPr/>
        <w:t>assets</w:t>
      </w:r>
      <w:r>
        <w:rPr>
          <w:spacing w:val="-1"/>
        </w:rPr>
        <w:t> </w:t>
      </w:r>
      <w:r>
        <w:rPr/>
        <w:t>of</w:t>
      </w:r>
      <w:r>
        <w:rPr>
          <w:spacing w:val="-1"/>
        </w:rPr>
        <w:t> </w:t>
      </w:r>
      <w:r>
        <w:rPr/>
        <w:t>the</w:t>
      </w:r>
      <w:r>
        <w:rPr>
          <w:spacing w:val="-1"/>
        </w:rPr>
        <w:t> </w:t>
      </w:r>
      <w:r>
        <w:rPr/>
        <w:t>business</w:t>
      </w:r>
      <w:r>
        <w:rPr>
          <w:spacing w:val="-1"/>
        </w:rPr>
        <w:t> </w:t>
      </w:r>
      <w:r>
        <w:rPr/>
        <w:t>entity</w:t>
      </w:r>
      <w:r>
        <w:rPr>
          <w:spacing w:val="-1"/>
        </w:rPr>
        <w:t> </w:t>
      </w:r>
      <w:r>
        <w:rPr/>
        <w:t>that</w:t>
      </w:r>
      <w:r>
        <w:rPr>
          <w:spacing w:val="-1"/>
        </w:rPr>
        <w:t> </w:t>
      </w:r>
      <w:r>
        <w:rPr/>
        <w:t>owns </w:t>
      </w:r>
      <w:r>
        <w:rPr>
          <w:spacing w:val="-2"/>
        </w:rPr>
        <w:t>the</w:t>
      </w:r>
      <w:r>
        <w:rPr>
          <w:spacing w:val="-4"/>
        </w:rPr>
        <w:t> </w:t>
      </w:r>
      <w:r>
        <w:rPr>
          <w:spacing w:val="-2"/>
        </w:rPr>
        <w:t>technology.</w:t>
      </w:r>
      <w:r>
        <w:rPr>
          <w:spacing w:val="-4"/>
        </w:rPr>
        <w:t> </w:t>
      </w:r>
      <w:r>
        <w:rPr>
          <w:spacing w:val="-2"/>
        </w:rPr>
        <w:t>In</w:t>
      </w:r>
      <w:r>
        <w:rPr>
          <w:spacing w:val="-4"/>
        </w:rPr>
        <w:t> </w:t>
      </w:r>
      <w:r>
        <w:rPr>
          <w:spacing w:val="-2"/>
        </w:rPr>
        <w:t>other</w:t>
      </w:r>
      <w:r>
        <w:rPr>
          <w:spacing w:val="-4"/>
        </w:rPr>
        <w:t> </w:t>
      </w:r>
      <w:r>
        <w:rPr>
          <w:spacing w:val="-2"/>
        </w:rPr>
        <w:t>instances,</w:t>
      </w:r>
      <w:r>
        <w:rPr>
          <w:spacing w:val="-4"/>
        </w:rPr>
        <w:t> </w:t>
      </w:r>
      <w:r>
        <w:rPr>
          <w:spacing w:val="-2"/>
        </w:rPr>
        <w:t>we</w:t>
      </w:r>
      <w:r>
        <w:rPr>
          <w:spacing w:val="-4"/>
        </w:rPr>
        <w:t> </w:t>
      </w:r>
      <w:r>
        <w:rPr>
          <w:spacing w:val="-2"/>
        </w:rPr>
        <w:t>have</w:t>
      </w:r>
      <w:r>
        <w:rPr>
          <w:spacing w:val="-4"/>
        </w:rPr>
        <w:t> </w:t>
      </w:r>
      <w:r>
        <w:rPr>
          <w:spacing w:val="-2"/>
        </w:rPr>
        <w:t>licensed</w:t>
      </w:r>
      <w:r>
        <w:rPr>
          <w:spacing w:val="-4"/>
        </w:rPr>
        <w:t> </w:t>
      </w:r>
      <w:r>
        <w:rPr>
          <w:spacing w:val="-2"/>
        </w:rPr>
        <w:t>or</w:t>
      </w:r>
      <w:r>
        <w:rPr>
          <w:spacing w:val="-4"/>
        </w:rPr>
        <w:t> </w:t>
      </w:r>
      <w:r>
        <w:rPr>
          <w:spacing w:val="-2"/>
        </w:rPr>
        <w:t>purchased</w:t>
      </w:r>
      <w:r>
        <w:rPr>
          <w:spacing w:val="-4"/>
        </w:rPr>
        <w:t> </w:t>
      </w:r>
      <w:r>
        <w:rPr>
          <w:spacing w:val="-2"/>
        </w:rPr>
        <w:t>the</w:t>
      </w:r>
      <w:r>
        <w:rPr>
          <w:spacing w:val="-4"/>
        </w:rPr>
        <w:t> </w:t>
      </w:r>
      <w:r>
        <w:rPr>
          <w:spacing w:val="-2"/>
        </w:rPr>
        <w:t>intellectual</w:t>
      </w:r>
      <w:r>
        <w:rPr>
          <w:spacing w:val="-4"/>
        </w:rPr>
        <w:t> </w:t>
      </w:r>
      <w:r>
        <w:rPr>
          <w:spacing w:val="-2"/>
        </w:rPr>
        <w:t>property</w:t>
      </w:r>
      <w:r>
        <w:rPr>
          <w:spacing w:val="-4"/>
        </w:rPr>
        <w:t> </w:t>
      </w:r>
      <w:r>
        <w:rPr>
          <w:spacing w:val="-2"/>
        </w:rPr>
        <w:t>ownership</w:t>
      </w:r>
      <w:r>
        <w:rPr>
          <w:spacing w:val="-4"/>
        </w:rPr>
        <w:t> </w:t>
      </w:r>
      <w:r>
        <w:rPr>
          <w:spacing w:val="-2"/>
        </w:rPr>
        <w:t>rights of</w:t>
      </w:r>
      <w:r>
        <w:rPr>
          <w:spacing w:val="-4"/>
        </w:rPr>
        <w:t> </w:t>
      </w:r>
      <w:r>
        <w:rPr>
          <w:spacing w:val="-2"/>
        </w:rPr>
        <w:t>programs</w:t>
      </w:r>
      <w:r>
        <w:rPr>
          <w:spacing w:val="-4"/>
        </w:rPr>
        <w:t> </w:t>
      </w:r>
      <w:r>
        <w:rPr>
          <w:spacing w:val="-2"/>
        </w:rPr>
        <w:t>developed </w:t>
      </w:r>
      <w:r>
        <w:rPr/>
        <w:t>by</w:t>
      </w:r>
      <w:r>
        <w:rPr>
          <w:spacing w:val="-8"/>
        </w:rPr>
        <w:t> </w:t>
      </w:r>
      <w:r>
        <w:rPr/>
        <w:t>others</w:t>
      </w:r>
      <w:r>
        <w:rPr>
          <w:spacing w:val="-7"/>
        </w:rPr>
        <w:t> </w:t>
      </w:r>
      <w:r>
        <w:rPr/>
        <w:t>with</w:t>
      </w:r>
      <w:r>
        <w:rPr>
          <w:spacing w:val="-8"/>
        </w:rPr>
        <w:t> </w:t>
      </w:r>
      <w:r>
        <w:rPr/>
        <w:t>license</w:t>
      </w:r>
      <w:r>
        <w:rPr>
          <w:spacing w:val="-8"/>
        </w:rPr>
        <w:t> </w:t>
      </w:r>
      <w:r>
        <w:rPr/>
        <w:t>or</w:t>
      </w:r>
      <w:r>
        <w:rPr>
          <w:spacing w:val="-8"/>
        </w:rPr>
        <w:t> </w:t>
      </w:r>
      <w:r>
        <w:rPr/>
        <w:t>technology</w:t>
      </w:r>
      <w:r>
        <w:rPr>
          <w:spacing w:val="-8"/>
        </w:rPr>
        <w:t> </w:t>
      </w:r>
      <w:r>
        <w:rPr/>
        <w:t>transfer</w:t>
      </w:r>
      <w:r>
        <w:rPr>
          <w:spacing w:val="-8"/>
        </w:rPr>
        <w:t> </w:t>
      </w:r>
      <w:r>
        <w:rPr/>
        <w:t>agreements</w:t>
      </w:r>
      <w:r>
        <w:rPr>
          <w:spacing w:val="-8"/>
        </w:rPr>
        <w:t> </w:t>
      </w:r>
      <w:r>
        <w:rPr/>
        <w:t>that</w:t>
      </w:r>
      <w:r>
        <w:rPr>
          <w:spacing w:val="-8"/>
        </w:rPr>
        <w:t> </w:t>
      </w:r>
      <w:r>
        <w:rPr/>
        <w:t>may</w:t>
      </w:r>
      <w:r>
        <w:rPr>
          <w:spacing w:val="-8"/>
        </w:rPr>
        <w:t> </w:t>
      </w:r>
      <w:r>
        <w:rPr/>
        <w:t>obligate</w:t>
      </w:r>
      <w:r>
        <w:rPr>
          <w:spacing w:val="-8"/>
        </w:rPr>
        <w:t> </w:t>
      </w:r>
      <w:r>
        <w:rPr/>
        <w:t>us</w:t>
      </w:r>
      <w:r>
        <w:rPr>
          <w:spacing w:val="-8"/>
        </w:rPr>
        <w:t> </w:t>
      </w:r>
      <w:r>
        <w:rPr/>
        <w:t>to</w:t>
      </w:r>
      <w:r>
        <w:rPr>
          <w:spacing w:val="-8"/>
        </w:rPr>
        <w:t> </w:t>
      </w:r>
      <w:r>
        <w:rPr/>
        <w:t>pay</w:t>
      </w:r>
      <w:r>
        <w:rPr>
          <w:spacing w:val="-8"/>
        </w:rPr>
        <w:t> </w:t>
      </w:r>
      <w:r>
        <w:rPr/>
        <w:t>a</w:t>
      </w:r>
      <w:r>
        <w:rPr>
          <w:spacing w:val="-8"/>
        </w:rPr>
        <w:t> </w:t>
      </w:r>
      <w:r>
        <w:rPr/>
        <w:t>flat</w:t>
      </w:r>
      <w:r>
        <w:rPr>
          <w:spacing w:val="-8"/>
        </w:rPr>
        <w:t> </w:t>
      </w:r>
      <w:r>
        <w:rPr/>
        <w:t>license</w:t>
      </w:r>
      <w:r>
        <w:rPr>
          <w:spacing w:val="-8"/>
        </w:rPr>
        <w:t> </w:t>
      </w:r>
      <w:r>
        <w:rPr/>
        <w:t>fee</w:t>
      </w:r>
      <w:r>
        <w:rPr>
          <w:spacing w:val="-8"/>
        </w:rPr>
        <w:t> </w:t>
      </w:r>
      <w:r>
        <w:rPr/>
        <w:t>or</w:t>
      </w:r>
      <w:r>
        <w:rPr>
          <w:spacing w:val="-8"/>
        </w:rPr>
        <w:t> </w:t>
      </w:r>
      <w:r>
        <w:rPr/>
        <w:t>royalties,</w:t>
      </w:r>
      <w:r>
        <w:rPr>
          <w:spacing w:val="-8"/>
        </w:rPr>
        <w:t> </w:t>
      </w:r>
      <w:r>
        <w:rPr/>
        <w:t>typically</w:t>
      </w:r>
      <w:r>
        <w:rPr>
          <w:spacing w:val="-8"/>
        </w:rPr>
        <w:t> </w:t>
      </w:r>
      <w:r>
        <w:rPr/>
        <w:t>based on a dollar amount per unit or a percentage of the revenue generated by those programs.</w:t>
      </w:r>
    </w:p>
    <w:p>
      <w:pPr>
        <w:pStyle w:val="BodyText"/>
        <w:spacing w:line="249" w:lineRule="auto" w:before="165"/>
        <w:ind w:left="220" w:right="257" w:firstLine="540"/>
        <w:jc w:val="both"/>
      </w:pPr>
      <w:r>
        <w:rPr/>
        <w:t>During</w:t>
      </w:r>
      <w:r>
        <w:rPr>
          <w:spacing w:val="-8"/>
        </w:rPr>
        <w:t> </w:t>
      </w:r>
      <w:r>
        <w:rPr/>
        <w:t>fiscal</w:t>
      </w:r>
      <w:r>
        <w:rPr>
          <w:spacing w:val="-8"/>
        </w:rPr>
        <w:t> </w:t>
      </w:r>
      <w:r>
        <w:rPr/>
        <w:t>2017,</w:t>
      </w:r>
      <w:r>
        <w:rPr>
          <w:spacing w:val="-8"/>
        </w:rPr>
        <w:t> </w:t>
      </w:r>
      <w:r>
        <w:rPr/>
        <w:t>2016</w:t>
      </w:r>
      <w:r>
        <w:rPr>
          <w:spacing w:val="-8"/>
        </w:rPr>
        <w:t> </w:t>
      </w:r>
      <w:r>
        <w:rPr/>
        <w:t>and</w:t>
      </w:r>
      <w:r>
        <w:rPr>
          <w:spacing w:val="-8"/>
        </w:rPr>
        <w:t> </w:t>
      </w:r>
      <w:r>
        <w:rPr/>
        <w:t>2015,</w:t>
      </w:r>
      <w:r>
        <w:rPr>
          <w:spacing w:val="-8"/>
        </w:rPr>
        <w:t> </w:t>
      </w:r>
      <w:r>
        <w:rPr/>
        <w:t>our</w:t>
      </w:r>
      <w:r>
        <w:rPr>
          <w:spacing w:val="-8"/>
        </w:rPr>
        <w:t> </w:t>
      </w:r>
      <w:r>
        <w:rPr/>
        <w:t>research</w:t>
      </w:r>
      <w:r>
        <w:rPr>
          <w:spacing w:val="-8"/>
        </w:rPr>
        <w:t> </w:t>
      </w:r>
      <w:r>
        <w:rPr/>
        <w:t>and</w:t>
      </w:r>
      <w:r>
        <w:rPr>
          <w:spacing w:val="-8"/>
        </w:rPr>
        <w:t> </w:t>
      </w:r>
      <w:r>
        <w:rPr/>
        <w:t>development</w:t>
      </w:r>
      <w:r>
        <w:rPr>
          <w:spacing w:val="-8"/>
        </w:rPr>
        <w:t> </w:t>
      </w:r>
      <w:r>
        <w:rPr/>
        <w:t>expenses</w:t>
      </w:r>
      <w:r>
        <w:rPr>
          <w:spacing w:val="-8"/>
        </w:rPr>
        <w:t> </w:t>
      </w:r>
      <w:r>
        <w:rPr/>
        <w:t>were</w:t>
      </w:r>
      <w:r>
        <w:rPr>
          <w:spacing w:val="-8"/>
        </w:rPr>
        <w:t> </w:t>
      </w:r>
      <w:r>
        <w:rPr/>
        <w:t>$1.22</w:t>
      </w:r>
      <w:r>
        <w:rPr>
          <w:spacing w:val="-8"/>
        </w:rPr>
        <w:t> </w:t>
      </w:r>
      <w:r>
        <w:rPr/>
        <w:t>billion,</w:t>
      </w:r>
      <w:r>
        <w:rPr>
          <w:spacing w:val="-8"/>
        </w:rPr>
        <w:t> </w:t>
      </w:r>
      <w:r>
        <w:rPr/>
        <w:t>$976.0</w:t>
      </w:r>
      <w:r>
        <w:rPr>
          <w:spacing w:val="-8"/>
        </w:rPr>
        <w:t> </w:t>
      </w:r>
      <w:r>
        <w:rPr/>
        <w:t>million</w:t>
      </w:r>
      <w:r>
        <w:rPr>
          <w:spacing w:val="-8"/>
        </w:rPr>
        <w:t> </w:t>
      </w:r>
      <w:r>
        <w:rPr/>
        <w:t>and</w:t>
      </w:r>
      <w:r>
        <w:rPr>
          <w:spacing w:val="-8"/>
        </w:rPr>
        <w:t> </w:t>
      </w:r>
      <w:r>
        <w:rPr/>
        <w:t>$862.7 million, respectively.</w:t>
      </w:r>
    </w:p>
    <w:p>
      <w:pPr>
        <w:pStyle w:val="Heading1"/>
        <w:spacing w:before="181"/>
        <w:ind w:left="242" w:right="280"/>
        <w:jc w:val="center"/>
      </w:pPr>
      <w:bookmarkStart w:name="Protecting and Licensing Our Products" w:id="15"/>
      <w:bookmarkEnd w:id="15"/>
      <w:r>
        <w:rPr>
          <w:b w:val="0"/>
        </w:rPr>
      </w:r>
      <w:r>
        <w:rPr/>
        <w:t>PROTECTING</w:t>
      </w:r>
      <w:r>
        <w:rPr>
          <w:spacing w:val="-13"/>
        </w:rPr>
        <w:t> </w:t>
      </w:r>
      <w:r>
        <w:rPr/>
        <w:t>AND</w:t>
      </w:r>
      <w:r>
        <w:rPr>
          <w:spacing w:val="-2"/>
        </w:rPr>
        <w:t> </w:t>
      </w:r>
      <w:r>
        <w:rPr/>
        <w:t>LICENSING</w:t>
      </w:r>
      <w:r>
        <w:rPr>
          <w:spacing w:val="-1"/>
        </w:rPr>
        <w:t> </w:t>
      </w:r>
      <w:r>
        <w:rPr/>
        <w:t>OUR</w:t>
      </w:r>
      <w:r>
        <w:rPr>
          <w:spacing w:val="-2"/>
        </w:rPr>
        <w:t> PRODUCTS</w:t>
      </w:r>
    </w:p>
    <w:p>
      <w:pPr>
        <w:pStyle w:val="BodyText"/>
        <w:spacing w:line="249" w:lineRule="auto" w:before="190"/>
        <w:ind w:left="220" w:right="257" w:firstLine="540"/>
        <w:jc w:val="both"/>
      </w:pPr>
      <w:r>
        <w:rPr/>
        <w:t>We protect our intellectual property through a combination of patents, copyrights, trademarks and trade secrets, foreign intellectual</w:t>
      </w:r>
      <w:r>
        <w:rPr>
          <w:spacing w:val="-2"/>
        </w:rPr>
        <w:t> </w:t>
      </w:r>
      <w:r>
        <w:rPr/>
        <w:t>property</w:t>
      </w:r>
      <w:r>
        <w:rPr>
          <w:spacing w:val="-2"/>
        </w:rPr>
        <w:t> </w:t>
      </w:r>
      <w:r>
        <w:rPr/>
        <w:t>laws,</w:t>
      </w:r>
      <w:r>
        <w:rPr>
          <w:spacing w:val="-2"/>
        </w:rPr>
        <w:t> </w:t>
      </w:r>
      <w:r>
        <w:rPr/>
        <w:t>confidentiality</w:t>
      </w:r>
      <w:r>
        <w:rPr>
          <w:spacing w:val="-2"/>
        </w:rPr>
        <w:t> </w:t>
      </w:r>
      <w:r>
        <w:rPr/>
        <w:t>procedures</w:t>
      </w:r>
      <w:r>
        <w:rPr>
          <w:spacing w:val="-2"/>
        </w:rPr>
        <w:t> </w:t>
      </w:r>
      <w:r>
        <w:rPr/>
        <w:t>and</w:t>
      </w:r>
      <w:r>
        <w:rPr>
          <w:spacing w:val="-2"/>
        </w:rPr>
        <w:t> </w:t>
      </w:r>
      <w:r>
        <w:rPr/>
        <w:t>contractual</w:t>
      </w:r>
      <w:r>
        <w:rPr>
          <w:spacing w:val="-2"/>
        </w:rPr>
        <w:t> </w:t>
      </w:r>
      <w:r>
        <w:rPr/>
        <w:t>provisions.</w:t>
      </w:r>
      <w:r>
        <w:rPr>
          <w:spacing w:val="-5"/>
        </w:rPr>
        <w:t> </w:t>
      </w:r>
      <w:r>
        <w:rPr/>
        <w:t>We</w:t>
      </w:r>
      <w:r>
        <w:rPr>
          <w:spacing w:val="-2"/>
        </w:rPr>
        <w:t> </w:t>
      </w:r>
      <w:r>
        <w:rPr/>
        <w:t>have</w:t>
      </w:r>
      <w:r>
        <w:rPr>
          <w:spacing w:val="-2"/>
        </w:rPr>
        <w:t> </w:t>
      </w:r>
      <w:r>
        <w:rPr/>
        <w:t>United</w:t>
      </w:r>
      <w:r>
        <w:rPr>
          <w:spacing w:val="-2"/>
        </w:rPr>
        <w:t> </w:t>
      </w:r>
      <w:r>
        <w:rPr/>
        <w:t>States</w:t>
      </w:r>
      <w:r>
        <w:rPr>
          <w:spacing w:val="-2"/>
        </w:rPr>
        <w:t> </w:t>
      </w:r>
      <w:r>
        <w:rPr/>
        <w:t>and</w:t>
      </w:r>
      <w:r>
        <w:rPr>
          <w:spacing w:val="-2"/>
        </w:rPr>
        <w:t> </w:t>
      </w:r>
      <w:r>
        <w:rPr/>
        <w:t>foreign</w:t>
      </w:r>
      <w:r>
        <w:rPr>
          <w:spacing w:val="-2"/>
        </w:rPr>
        <w:t> </w:t>
      </w:r>
      <w:r>
        <w:rPr/>
        <w:t>patents</w:t>
      </w:r>
      <w:r>
        <w:rPr>
          <w:spacing w:val="-2"/>
        </w:rPr>
        <w:t> </w:t>
      </w:r>
      <w:r>
        <w:rPr/>
        <w:t>and pending applications that relate to various aspects of our products and technology.</w:t>
      </w:r>
      <w:r>
        <w:rPr>
          <w:spacing w:val="-4"/>
        </w:rPr>
        <w:t> </w:t>
      </w:r>
      <w:r>
        <w:rPr/>
        <w:t>Although our patents have value, no single patent is essential to any of our principal businesses. We have also registered, and applied for the registration of, U.S. and international trademarks, service marks, domain names and copyrights.</w:t>
      </w:r>
    </w:p>
    <w:p>
      <w:pPr>
        <w:pStyle w:val="BodyText"/>
        <w:spacing w:line="249" w:lineRule="auto" w:before="164"/>
        <w:ind w:left="220" w:right="257" w:firstLine="540"/>
        <w:jc w:val="both"/>
      </w:pPr>
      <w:r>
        <w:rPr>
          <w:spacing w:val="-2"/>
        </w:rPr>
        <w:t>Our</w:t>
      </w:r>
      <w:r>
        <w:rPr>
          <w:spacing w:val="-11"/>
        </w:rPr>
        <w:t> </w:t>
      </w:r>
      <w:r>
        <w:rPr>
          <w:spacing w:val="-2"/>
        </w:rPr>
        <w:t>enterprise</w:t>
      </w:r>
      <w:r>
        <w:rPr>
          <w:spacing w:val="-10"/>
        </w:rPr>
        <w:t> </w:t>
      </w:r>
      <w:r>
        <w:rPr>
          <w:spacing w:val="-2"/>
        </w:rPr>
        <w:t>customers</w:t>
      </w:r>
      <w:r>
        <w:rPr>
          <w:spacing w:val="-11"/>
        </w:rPr>
        <w:t> </w:t>
      </w:r>
      <w:r>
        <w:rPr>
          <w:spacing w:val="-2"/>
        </w:rPr>
        <w:t>license</w:t>
      </w:r>
      <w:r>
        <w:rPr>
          <w:spacing w:val="-10"/>
        </w:rPr>
        <w:t> </w:t>
      </w:r>
      <w:r>
        <w:rPr>
          <w:spacing w:val="-2"/>
        </w:rPr>
        <w:t>our</w:t>
      </w:r>
      <w:r>
        <w:rPr>
          <w:spacing w:val="-11"/>
        </w:rPr>
        <w:t> </w:t>
      </w:r>
      <w:r>
        <w:rPr>
          <w:spacing w:val="-2"/>
        </w:rPr>
        <w:t>hosted</w:t>
      </w:r>
      <w:r>
        <w:rPr>
          <w:spacing w:val="-10"/>
        </w:rPr>
        <w:t> </w:t>
      </w:r>
      <w:r>
        <w:rPr>
          <w:spacing w:val="-2"/>
        </w:rPr>
        <w:t>offerings</w:t>
      </w:r>
      <w:r>
        <w:rPr>
          <w:spacing w:val="-11"/>
        </w:rPr>
        <w:t> </w:t>
      </w:r>
      <w:r>
        <w:rPr>
          <w:spacing w:val="-2"/>
        </w:rPr>
        <w:t>as</w:t>
      </w:r>
      <w:r>
        <w:rPr>
          <w:spacing w:val="-10"/>
        </w:rPr>
        <w:t> </w:t>
      </w:r>
      <w:r>
        <w:rPr>
          <w:spacing w:val="-2"/>
        </w:rPr>
        <w:t>On-demand</w:t>
      </w:r>
      <w:r>
        <w:rPr>
          <w:spacing w:val="-11"/>
        </w:rPr>
        <w:t> </w:t>
      </w:r>
      <w:r>
        <w:rPr>
          <w:spacing w:val="-2"/>
        </w:rPr>
        <w:t>Services</w:t>
      </w:r>
      <w:r>
        <w:rPr>
          <w:spacing w:val="-10"/>
        </w:rPr>
        <w:t> </w:t>
      </w:r>
      <w:r>
        <w:rPr>
          <w:spacing w:val="-2"/>
        </w:rPr>
        <w:t>or</w:t>
      </w:r>
      <w:r>
        <w:rPr>
          <w:spacing w:val="-11"/>
        </w:rPr>
        <w:t> </w:t>
      </w:r>
      <w:r>
        <w:rPr>
          <w:spacing w:val="-2"/>
        </w:rPr>
        <w:t>Managed</w:t>
      </w:r>
      <w:r>
        <w:rPr>
          <w:spacing w:val="-10"/>
        </w:rPr>
        <w:t> </w:t>
      </w:r>
      <w:r>
        <w:rPr>
          <w:spacing w:val="-2"/>
        </w:rPr>
        <w:t>Services,</w:t>
      </w:r>
      <w:r>
        <w:rPr>
          <w:spacing w:val="-11"/>
        </w:rPr>
        <w:t> </w:t>
      </w:r>
      <w:r>
        <w:rPr>
          <w:spacing w:val="-2"/>
        </w:rPr>
        <w:t>and</w:t>
      </w:r>
      <w:r>
        <w:rPr>
          <w:spacing w:val="-10"/>
        </w:rPr>
        <w:t> </w:t>
      </w:r>
      <w:r>
        <w:rPr>
          <w:spacing w:val="-2"/>
        </w:rPr>
        <w:t>consumers</w:t>
      </w:r>
      <w:r>
        <w:rPr>
          <w:spacing w:val="-11"/>
        </w:rPr>
        <w:t> </w:t>
      </w:r>
      <w:r>
        <w:rPr>
          <w:spacing w:val="-2"/>
        </w:rPr>
        <w:t>primarily </w:t>
      </w:r>
      <w:r>
        <w:rPr/>
        <w:t>use our desktop software and mobile apps.</w:t>
      </w:r>
      <w:r>
        <w:rPr>
          <w:spacing w:val="40"/>
        </w:rPr>
        <w:t> </w:t>
      </w:r>
      <w:r>
        <w:rPr/>
        <w:t>We license our desktop software to users under ‘click through’ or signed license agreements</w:t>
      </w:r>
      <w:r>
        <w:rPr>
          <w:spacing w:val="-8"/>
        </w:rPr>
        <w:t> </w:t>
      </w:r>
      <w:r>
        <w:rPr/>
        <w:t>containing</w:t>
      </w:r>
      <w:r>
        <w:rPr>
          <w:spacing w:val="-9"/>
        </w:rPr>
        <w:t> </w:t>
      </w:r>
      <w:r>
        <w:rPr/>
        <w:t>restrictions</w:t>
      </w:r>
      <w:r>
        <w:rPr>
          <w:spacing w:val="-8"/>
        </w:rPr>
        <w:t> </w:t>
      </w:r>
      <w:r>
        <w:rPr/>
        <w:t>on</w:t>
      </w:r>
      <w:r>
        <w:rPr>
          <w:spacing w:val="-8"/>
        </w:rPr>
        <w:t> </w:t>
      </w:r>
      <w:r>
        <w:rPr/>
        <w:t>duplication,</w:t>
      </w:r>
      <w:r>
        <w:rPr>
          <w:spacing w:val="-9"/>
        </w:rPr>
        <w:t> </w:t>
      </w:r>
      <w:r>
        <w:rPr/>
        <w:t>disclosure,</w:t>
      </w:r>
      <w:r>
        <w:rPr>
          <w:spacing w:val="-8"/>
        </w:rPr>
        <w:t> </w:t>
      </w:r>
      <w:r>
        <w:rPr/>
        <w:t>and</w:t>
      </w:r>
      <w:r>
        <w:rPr>
          <w:spacing w:val="-9"/>
        </w:rPr>
        <w:t> </w:t>
      </w:r>
      <w:r>
        <w:rPr/>
        <w:t>transfer.</w:t>
      </w:r>
      <w:r>
        <w:rPr>
          <w:spacing w:val="-8"/>
        </w:rPr>
        <w:t> </w:t>
      </w:r>
      <w:r>
        <w:rPr/>
        <w:t>Similarly,</w:t>
      </w:r>
      <w:r>
        <w:rPr>
          <w:spacing w:val="-8"/>
        </w:rPr>
        <w:t> </w:t>
      </w:r>
      <w:r>
        <w:rPr/>
        <w:t>cloud</w:t>
      </w:r>
      <w:r>
        <w:rPr>
          <w:spacing w:val="-9"/>
        </w:rPr>
        <w:t> </w:t>
      </w:r>
      <w:r>
        <w:rPr/>
        <w:t>products</w:t>
      </w:r>
      <w:r>
        <w:rPr>
          <w:spacing w:val="-8"/>
        </w:rPr>
        <w:t> </w:t>
      </w:r>
      <w:r>
        <w:rPr/>
        <w:t>and</w:t>
      </w:r>
      <w:r>
        <w:rPr>
          <w:spacing w:val="-9"/>
        </w:rPr>
        <w:t> </w:t>
      </w:r>
      <w:r>
        <w:rPr/>
        <w:t>services</w:t>
      </w:r>
      <w:r>
        <w:rPr>
          <w:spacing w:val="-8"/>
        </w:rPr>
        <w:t> </w:t>
      </w:r>
      <w:r>
        <w:rPr/>
        <w:t>are</w:t>
      </w:r>
      <w:r>
        <w:rPr>
          <w:spacing w:val="-9"/>
        </w:rPr>
        <w:t> </w:t>
      </w:r>
      <w:r>
        <w:rPr/>
        <w:t>provided</w:t>
      </w:r>
      <w:r>
        <w:rPr>
          <w:spacing w:val="-8"/>
        </w:rPr>
        <w:t> </w:t>
      </w:r>
      <w:r>
        <w:rPr/>
        <w:t>to users under ‘click through’</w:t>
      </w:r>
      <w:r>
        <w:rPr>
          <w:spacing w:val="-8"/>
        </w:rPr>
        <w:t> </w:t>
      </w:r>
      <w:r>
        <w:rPr/>
        <w:t>or signed agreements containing restrictions on access and use.</w:t>
      </w:r>
    </w:p>
    <w:p>
      <w:pPr>
        <w:pStyle w:val="BodyText"/>
        <w:spacing w:line="249" w:lineRule="auto" w:before="164"/>
        <w:ind w:left="220" w:right="257" w:firstLine="540"/>
        <w:jc w:val="both"/>
      </w:pPr>
      <w:r>
        <w:rPr/>
        <w:t>Despite our efforts to protect our proprietary technology and our intellectual property rights, unauthorized parties may attempt</w:t>
      </w:r>
      <w:r>
        <w:rPr>
          <w:spacing w:val="-6"/>
        </w:rPr>
        <w:t> </w:t>
      </w:r>
      <w:r>
        <w:rPr/>
        <w:t>to</w:t>
      </w:r>
      <w:r>
        <w:rPr>
          <w:spacing w:val="-5"/>
        </w:rPr>
        <w:t> </w:t>
      </w:r>
      <w:r>
        <w:rPr/>
        <w:t>copy</w:t>
      </w:r>
      <w:r>
        <w:rPr>
          <w:spacing w:val="-6"/>
        </w:rPr>
        <w:t> </w:t>
      </w:r>
      <w:r>
        <w:rPr/>
        <w:t>or</w:t>
      </w:r>
      <w:r>
        <w:rPr>
          <w:spacing w:val="-5"/>
        </w:rPr>
        <w:t> </w:t>
      </w:r>
      <w:r>
        <w:rPr/>
        <w:t>obtain</w:t>
      </w:r>
      <w:r>
        <w:rPr>
          <w:spacing w:val="-5"/>
        </w:rPr>
        <w:t> </w:t>
      </w:r>
      <w:r>
        <w:rPr/>
        <w:t>and</w:t>
      </w:r>
      <w:r>
        <w:rPr>
          <w:spacing w:val="-6"/>
        </w:rPr>
        <w:t> </w:t>
      </w:r>
      <w:r>
        <w:rPr/>
        <w:t>use</w:t>
      </w:r>
      <w:r>
        <w:rPr>
          <w:spacing w:val="-6"/>
        </w:rPr>
        <w:t> </w:t>
      </w:r>
      <w:r>
        <w:rPr/>
        <w:t>our</w:t>
      </w:r>
      <w:r>
        <w:rPr>
          <w:spacing w:val="-5"/>
        </w:rPr>
        <w:t> </w:t>
      </w:r>
      <w:r>
        <w:rPr/>
        <w:t>technology</w:t>
      </w:r>
      <w:r>
        <w:rPr>
          <w:spacing w:val="-6"/>
        </w:rPr>
        <w:t> </w:t>
      </w:r>
      <w:r>
        <w:rPr/>
        <w:t>to</w:t>
      </w:r>
      <w:r>
        <w:rPr>
          <w:spacing w:val="-5"/>
        </w:rPr>
        <w:t> </w:t>
      </w:r>
      <w:r>
        <w:rPr/>
        <w:t>develop</w:t>
      </w:r>
      <w:r>
        <w:rPr>
          <w:spacing w:val="-6"/>
        </w:rPr>
        <w:t> </w:t>
      </w:r>
      <w:r>
        <w:rPr/>
        <w:t>applications</w:t>
      </w:r>
      <w:r>
        <w:rPr>
          <w:spacing w:val="-5"/>
        </w:rPr>
        <w:t> </w:t>
      </w:r>
      <w:r>
        <w:rPr/>
        <w:t>with</w:t>
      </w:r>
      <w:r>
        <w:rPr>
          <w:spacing w:val="-5"/>
        </w:rPr>
        <w:t> </w:t>
      </w:r>
      <w:r>
        <w:rPr/>
        <w:t>the</w:t>
      </w:r>
      <w:r>
        <w:rPr>
          <w:spacing w:val="-6"/>
        </w:rPr>
        <w:t> </w:t>
      </w:r>
      <w:r>
        <w:rPr/>
        <w:t>same</w:t>
      </w:r>
      <w:r>
        <w:rPr>
          <w:spacing w:val="-6"/>
        </w:rPr>
        <w:t> </w:t>
      </w:r>
      <w:r>
        <w:rPr/>
        <w:t>functionality</w:t>
      </w:r>
      <w:r>
        <w:rPr>
          <w:spacing w:val="-5"/>
        </w:rPr>
        <w:t> </w:t>
      </w:r>
      <w:r>
        <w:rPr/>
        <w:t>as</w:t>
      </w:r>
      <w:r>
        <w:rPr>
          <w:spacing w:val="-5"/>
        </w:rPr>
        <w:t> </w:t>
      </w:r>
      <w:r>
        <w:rPr/>
        <w:t>our</w:t>
      </w:r>
      <w:r>
        <w:rPr>
          <w:spacing w:val="-6"/>
        </w:rPr>
        <w:t> </w:t>
      </w:r>
      <w:r>
        <w:rPr/>
        <w:t>application.</w:t>
      </w:r>
      <w:r>
        <w:rPr>
          <w:spacing w:val="-5"/>
        </w:rPr>
        <w:t> </w:t>
      </w:r>
      <w:r>
        <w:rPr/>
        <w:t>Policing unauthorized</w:t>
      </w:r>
      <w:r>
        <w:rPr>
          <w:spacing w:val="-4"/>
        </w:rPr>
        <w:t> </w:t>
      </w:r>
      <w:r>
        <w:rPr/>
        <w:t>use</w:t>
      </w:r>
      <w:r>
        <w:rPr>
          <w:spacing w:val="-4"/>
        </w:rPr>
        <w:t> </w:t>
      </w:r>
      <w:r>
        <w:rPr/>
        <w:t>of</w:t>
      </w:r>
      <w:r>
        <w:rPr>
          <w:spacing w:val="-3"/>
        </w:rPr>
        <w:t> </w:t>
      </w:r>
      <w:r>
        <w:rPr/>
        <w:t>our</w:t>
      </w:r>
      <w:r>
        <w:rPr>
          <w:spacing w:val="-3"/>
        </w:rPr>
        <w:t> </w:t>
      </w:r>
      <w:r>
        <w:rPr/>
        <w:t>technology</w:t>
      </w:r>
      <w:r>
        <w:rPr>
          <w:spacing w:val="-3"/>
        </w:rPr>
        <w:t> </w:t>
      </w:r>
      <w:r>
        <w:rPr/>
        <w:t>and</w:t>
      </w:r>
      <w:r>
        <w:rPr>
          <w:spacing w:val="-4"/>
        </w:rPr>
        <w:t> </w:t>
      </w:r>
      <w:r>
        <w:rPr/>
        <w:t>intellectual</w:t>
      </w:r>
      <w:r>
        <w:rPr>
          <w:spacing w:val="-4"/>
        </w:rPr>
        <w:t> </w:t>
      </w:r>
      <w:r>
        <w:rPr/>
        <w:t>property</w:t>
      </w:r>
      <w:r>
        <w:rPr>
          <w:spacing w:val="-3"/>
        </w:rPr>
        <w:t> </w:t>
      </w:r>
      <w:r>
        <w:rPr/>
        <w:t>rights</w:t>
      </w:r>
      <w:r>
        <w:rPr>
          <w:spacing w:val="-3"/>
        </w:rPr>
        <w:t> </w:t>
      </w:r>
      <w:r>
        <w:rPr/>
        <w:t>is</w:t>
      </w:r>
      <w:r>
        <w:rPr>
          <w:spacing w:val="-3"/>
        </w:rPr>
        <w:t> </w:t>
      </w:r>
      <w:r>
        <w:rPr/>
        <w:t>difficult.</w:t>
      </w:r>
      <w:r>
        <w:rPr>
          <w:spacing w:val="-7"/>
        </w:rPr>
        <w:t> </w:t>
      </w:r>
      <w:r>
        <w:rPr/>
        <w:t>We</w:t>
      </w:r>
      <w:r>
        <w:rPr>
          <w:spacing w:val="-3"/>
        </w:rPr>
        <w:t> </w:t>
      </w:r>
      <w:r>
        <w:rPr/>
        <w:t>believe</w:t>
      </w:r>
      <w:r>
        <w:rPr>
          <w:spacing w:val="-4"/>
        </w:rPr>
        <w:t> </w:t>
      </w:r>
      <w:r>
        <w:rPr/>
        <w:t>that</w:t>
      </w:r>
      <w:r>
        <w:rPr>
          <w:spacing w:val="-3"/>
        </w:rPr>
        <w:t> </w:t>
      </w:r>
      <w:r>
        <w:rPr/>
        <w:t>our</w:t>
      </w:r>
      <w:r>
        <w:rPr>
          <w:spacing w:val="-3"/>
        </w:rPr>
        <w:t> </w:t>
      </w:r>
      <w:r>
        <w:rPr/>
        <w:t>transition</w:t>
      </w:r>
      <w:r>
        <w:rPr>
          <w:spacing w:val="-4"/>
        </w:rPr>
        <w:t> </w:t>
      </w:r>
      <w:r>
        <w:rPr/>
        <w:t>from</w:t>
      </w:r>
      <w:r>
        <w:rPr>
          <w:spacing w:val="-4"/>
        </w:rPr>
        <w:t> </w:t>
      </w:r>
      <w:r>
        <w:rPr/>
        <w:t>perpetual-use software licenses to a subscription-based business model combined with the increased focus on cloud-based computing may improve our efforts to combat the pirating of our products.</w:t>
      </w:r>
    </w:p>
    <w:p>
      <w:pPr>
        <w:pStyle w:val="Heading1"/>
        <w:spacing w:before="164"/>
        <w:ind w:left="3846" w:right="3884"/>
        <w:jc w:val="center"/>
      </w:pPr>
      <w:bookmarkStart w:name="Employees" w:id="16"/>
      <w:bookmarkEnd w:id="16"/>
      <w:r>
        <w:rPr>
          <w:b w:val="0"/>
        </w:rPr>
      </w:r>
      <w:r>
        <w:rPr>
          <w:spacing w:val="-2"/>
        </w:rPr>
        <w:t>EMPLOYEES</w:t>
      </w:r>
    </w:p>
    <w:p>
      <w:pPr>
        <w:pStyle w:val="BodyText"/>
        <w:spacing w:line="249" w:lineRule="auto" w:before="190"/>
        <w:ind w:left="220" w:right="257" w:firstLine="540"/>
        <w:jc w:val="both"/>
      </w:pPr>
      <w:r>
        <w:rPr/>
        <w:t>As</w:t>
      </w:r>
      <w:r>
        <w:rPr>
          <w:spacing w:val="-12"/>
        </w:rPr>
        <w:t> </w:t>
      </w:r>
      <w:r>
        <w:rPr/>
        <w:t>of</w:t>
      </w:r>
      <w:r>
        <w:rPr>
          <w:spacing w:val="-11"/>
        </w:rPr>
        <w:t> </w:t>
      </w:r>
      <w:r>
        <w:rPr/>
        <w:t>December</w:t>
      </w:r>
      <w:r>
        <w:rPr>
          <w:spacing w:val="-4"/>
        </w:rPr>
        <w:t> </w:t>
      </w:r>
      <w:r>
        <w:rPr/>
        <w:t>1,</w:t>
      </w:r>
      <w:r>
        <w:rPr>
          <w:spacing w:val="-11"/>
        </w:rPr>
        <w:t> </w:t>
      </w:r>
      <w:r>
        <w:rPr/>
        <w:t>2017,</w:t>
      </w:r>
      <w:r>
        <w:rPr>
          <w:spacing w:val="-11"/>
        </w:rPr>
        <w:t> </w:t>
      </w:r>
      <w:r>
        <w:rPr/>
        <w:t>we</w:t>
      </w:r>
      <w:r>
        <w:rPr>
          <w:spacing w:val="-11"/>
        </w:rPr>
        <w:t> </w:t>
      </w:r>
      <w:r>
        <w:rPr/>
        <w:t>employed</w:t>
      </w:r>
      <w:r>
        <w:rPr>
          <w:spacing w:val="-11"/>
        </w:rPr>
        <w:t> </w:t>
      </w:r>
      <w:r>
        <w:rPr/>
        <w:t>17,973</w:t>
      </w:r>
      <w:r>
        <w:rPr>
          <w:spacing w:val="-11"/>
        </w:rPr>
        <w:t> </w:t>
      </w:r>
      <w:r>
        <w:rPr/>
        <w:t>people.</w:t>
      </w:r>
      <w:r>
        <w:rPr>
          <w:spacing w:val="-13"/>
        </w:rPr>
        <w:t> </w:t>
      </w:r>
      <w:r>
        <w:rPr/>
        <w:t>We</w:t>
      </w:r>
      <w:r>
        <w:rPr>
          <w:spacing w:val="-11"/>
        </w:rPr>
        <w:t> </w:t>
      </w:r>
      <w:r>
        <w:rPr/>
        <w:t>have</w:t>
      </w:r>
      <w:r>
        <w:rPr>
          <w:spacing w:val="-12"/>
        </w:rPr>
        <w:t> </w:t>
      </w:r>
      <w:r>
        <w:rPr/>
        <w:t>not</w:t>
      </w:r>
      <w:r>
        <w:rPr>
          <w:spacing w:val="-11"/>
        </w:rPr>
        <w:t> </w:t>
      </w:r>
      <w:r>
        <w:rPr/>
        <w:t>experienced</w:t>
      </w:r>
      <w:r>
        <w:rPr>
          <w:spacing w:val="-11"/>
        </w:rPr>
        <w:t> </w:t>
      </w:r>
      <w:r>
        <w:rPr/>
        <w:t>work</w:t>
      </w:r>
      <w:r>
        <w:rPr>
          <w:spacing w:val="-11"/>
        </w:rPr>
        <w:t> </w:t>
      </w:r>
      <w:r>
        <w:rPr/>
        <w:t>stoppages</w:t>
      </w:r>
      <w:r>
        <w:rPr>
          <w:spacing w:val="-11"/>
        </w:rPr>
        <w:t> </w:t>
      </w:r>
      <w:r>
        <w:rPr/>
        <w:t>and</w:t>
      </w:r>
      <w:r>
        <w:rPr>
          <w:spacing w:val="-11"/>
        </w:rPr>
        <w:t> </w:t>
      </w:r>
      <w:r>
        <w:rPr/>
        <w:t>believe</w:t>
      </w:r>
      <w:r>
        <w:rPr>
          <w:spacing w:val="-12"/>
        </w:rPr>
        <w:t> </w:t>
      </w:r>
      <w:r>
        <w:rPr/>
        <w:t>our</w:t>
      </w:r>
      <w:r>
        <w:rPr>
          <w:spacing w:val="-11"/>
        </w:rPr>
        <w:t> </w:t>
      </w:r>
      <w:r>
        <w:rPr/>
        <w:t>employee relations are good.</w:t>
      </w:r>
    </w:p>
    <w:p>
      <w:pPr>
        <w:pStyle w:val="Heading1"/>
        <w:spacing w:before="182"/>
        <w:ind w:left="3846" w:right="3884"/>
        <w:jc w:val="center"/>
      </w:pPr>
      <w:bookmarkStart w:name="Available Information" w:id="17"/>
      <w:bookmarkEnd w:id="17"/>
      <w:r>
        <w:rPr>
          <w:b w:val="0"/>
        </w:rPr>
      </w:r>
      <w:r>
        <w:rPr>
          <w:spacing w:val="-6"/>
        </w:rPr>
        <w:t>AVAILABLE</w:t>
      </w:r>
      <w:r>
        <w:rPr>
          <w:spacing w:val="2"/>
        </w:rPr>
        <w:t> </w:t>
      </w:r>
      <w:r>
        <w:rPr>
          <w:spacing w:val="-2"/>
        </w:rPr>
        <w:t>INFORMATION</w:t>
      </w:r>
    </w:p>
    <w:p>
      <w:pPr>
        <w:pStyle w:val="BodyText"/>
        <w:spacing w:line="249" w:lineRule="auto" w:before="190"/>
        <w:ind w:left="220" w:right="257" w:firstLine="540"/>
        <w:jc w:val="both"/>
      </w:pPr>
      <w:r>
        <w:rPr/>
        <w:t>Our</w:t>
      </w:r>
      <w:r>
        <w:rPr>
          <w:spacing w:val="-7"/>
        </w:rPr>
        <w:t> </w:t>
      </w:r>
      <w:r>
        <w:rPr/>
        <w:t>Annual Report on Form 10-K, Quarterly Reports on Form 10-Q, Current Reports on Form 8-K and amendments to reports</w:t>
      </w:r>
      <w:r>
        <w:rPr>
          <w:spacing w:val="-8"/>
        </w:rPr>
        <w:t> </w:t>
      </w:r>
      <w:r>
        <w:rPr/>
        <w:t>filed</w:t>
      </w:r>
      <w:r>
        <w:rPr>
          <w:spacing w:val="-5"/>
        </w:rPr>
        <w:t> </w:t>
      </w:r>
      <w:r>
        <w:rPr/>
        <w:t>or</w:t>
      </w:r>
      <w:r>
        <w:rPr>
          <w:spacing w:val="-5"/>
        </w:rPr>
        <w:t> </w:t>
      </w:r>
      <w:r>
        <w:rPr/>
        <w:t>furnished</w:t>
      </w:r>
      <w:r>
        <w:rPr>
          <w:spacing w:val="-5"/>
        </w:rPr>
        <w:t> </w:t>
      </w:r>
      <w:r>
        <w:rPr/>
        <w:t>pursuant</w:t>
      </w:r>
      <w:r>
        <w:rPr>
          <w:spacing w:val="-5"/>
        </w:rPr>
        <w:t> </w:t>
      </w:r>
      <w:r>
        <w:rPr/>
        <w:t>to</w:t>
      </w:r>
      <w:r>
        <w:rPr>
          <w:spacing w:val="-5"/>
        </w:rPr>
        <w:t> </w:t>
      </w:r>
      <w:r>
        <w:rPr/>
        <w:t>Sections</w:t>
      </w:r>
      <w:r>
        <w:rPr>
          <w:spacing w:val="-5"/>
        </w:rPr>
        <w:t> </w:t>
      </w:r>
      <w:r>
        <w:rPr/>
        <w:t>13(a)</w:t>
      </w:r>
      <w:r>
        <w:rPr>
          <w:spacing w:val="-5"/>
        </w:rPr>
        <w:t> </w:t>
      </w:r>
      <w:r>
        <w:rPr/>
        <w:t>and</w:t>
      </w:r>
      <w:r>
        <w:rPr>
          <w:spacing w:val="-5"/>
        </w:rPr>
        <w:t> </w:t>
      </w:r>
      <w:r>
        <w:rPr/>
        <w:t>15(d)</w:t>
      </w:r>
      <w:r>
        <w:rPr>
          <w:spacing w:val="-5"/>
        </w:rPr>
        <w:t> </w:t>
      </w:r>
      <w:r>
        <w:rPr/>
        <w:t>of</w:t>
      </w:r>
      <w:r>
        <w:rPr>
          <w:spacing w:val="-5"/>
        </w:rPr>
        <w:t> </w:t>
      </w:r>
      <w:r>
        <w:rPr/>
        <w:t>the</w:t>
      </w:r>
      <w:r>
        <w:rPr>
          <w:spacing w:val="-5"/>
        </w:rPr>
        <w:t> </w:t>
      </w:r>
      <w:r>
        <w:rPr/>
        <w:t>Securities</w:t>
      </w:r>
      <w:r>
        <w:rPr>
          <w:spacing w:val="-5"/>
        </w:rPr>
        <w:t> </w:t>
      </w:r>
      <w:r>
        <w:rPr/>
        <w:t>Exchange</w:t>
      </w:r>
      <w:r>
        <w:rPr>
          <w:spacing w:val="-13"/>
        </w:rPr>
        <w:t> </w:t>
      </w:r>
      <w:r>
        <w:rPr/>
        <w:t>Act</w:t>
      </w:r>
      <w:r>
        <w:rPr>
          <w:spacing w:val="-5"/>
        </w:rPr>
        <w:t> </w:t>
      </w:r>
      <w:r>
        <w:rPr/>
        <w:t>of</w:t>
      </w:r>
      <w:r>
        <w:rPr>
          <w:spacing w:val="-5"/>
        </w:rPr>
        <w:t> </w:t>
      </w:r>
      <w:r>
        <w:rPr/>
        <w:t>1934,</w:t>
      </w:r>
      <w:r>
        <w:rPr>
          <w:spacing w:val="-5"/>
        </w:rPr>
        <w:t> </w:t>
      </w:r>
      <w:r>
        <w:rPr/>
        <w:t>as</w:t>
      </w:r>
      <w:r>
        <w:rPr>
          <w:spacing w:val="-5"/>
        </w:rPr>
        <w:t> </w:t>
      </w:r>
      <w:r>
        <w:rPr/>
        <w:t>amended,</w:t>
      </w:r>
      <w:r>
        <w:rPr>
          <w:spacing w:val="-5"/>
        </w:rPr>
        <w:t> </w:t>
      </w:r>
      <w:r>
        <w:rPr/>
        <w:t>are</w:t>
      </w:r>
      <w:r>
        <w:rPr>
          <w:spacing w:val="-5"/>
        </w:rPr>
        <w:t> </w:t>
      </w:r>
      <w:r>
        <w:rPr/>
        <w:t>available free</w:t>
      </w:r>
      <w:r>
        <w:rPr>
          <w:spacing w:val="-13"/>
        </w:rPr>
        <w:t> </w:t>
      </w:r>
      <w:r>
        <w:rPr/>
        <w:t>of</w:t>
      </w:r>
      <w:r>
        <w:rPr>
          <w:spacing w:val="-12"/>
        </w:rPr>
        <w:t> </w:t>
      </w:r>
      <w:r>
        <w:rPr/>
        <w:t>charge</w:t>
      </w:r>
      <w:r>
        <w:rPr>
          <w:spacing w:val="-13"/>
        </w:rPr>
        <w:t> </w:t>
      </w:r>
      <w:r>
        <w:rPr/>
        <w:t>on</w:t>
      </w:r>
      <w:r>
        <w:rPr>
          <w:spacing w:val="-12"/>
        </w:rPr>
        <w:t> </w:t>
      </w:r>
      <w:r>
        <w:rPr/>
        <w:t>our</w:t>
      </w:r>
      <w:r>
        <w:rPr>
          <w:spacing w:val="-13"/>
        </w:rPr>
        <w:t> </w:t>
      </w:r>
      <w:r>
        <w:rPr/>
        <w:t>Investor</w:t>
      </w:r>
      <w:r>
        <w:rPr>
          <w:spacing w:val="-12"/>
        </w:rPr>
        <w:t> </w:t>
      </w:r>
      <w:r>
        <w:rPr/>
        <w:t>Relations</w:t>
      </w:r>
      <w:r>
        <w:rPr>
          <w:spacing w:val="-13"/>
        </w:rPr>
        <w:t> </w:t>
      </w:r>
      <w:r>
        <w:rPr/>
        <w:t>website</w:t>
      </w:r>
      <w:r>
        <w:rPr>
          <w:spacing w:val="-12"/>
        </w:rPr>
        <w:t> </w:t>
      </w:r>
      <w:r>
        <w:rPr/>
        <w:t>at</w:t>
      </w:r>
      <w:r>
        <w:rPr>
          <w:spacing w:val="-13"/>
        </w:rPr>
        <w:t> </w:t>
      </w:r>
      <w:hyperlink r:id="rId20">
        <w:r>
          <w:rPr/>
          <w:t>www.adobe.com/adbe</w:t>
        </w:r>
      </w:hyperlink>
      <w:r>
        <w:rPr>
          <w:spacing w:val="-12"/>
        </w:rPr>
        <w:t> </w:t>
      </w:r>
      <w:r>
        <w:rPr/>
        <w:t>as</w:t>
      </w:r>
      <w:r>
        <w:rPr>
          <w:spacing w:val="-13"/>
        </w:rPr>
        <w:t> </w:t>
      </w:r>
      <w:r>
        <w:rPr/>
        <w:t>soon</w:t>
      </w:r>
      <w:r>
        <w:rPr>
          <w:spacing w:val="-12"/>
        </w:rPr>
        <w:t> </w:t>
      </w:r>
      <w:r>
        <w:rPr/>
        <w:t>as</w:t>
      </w:r>
      <w:r>
        <w:rPr>
          <w:spacing w:val="-13"/>
        </w:rPr>
        <w:t> </w:t>
      </w:r>
      <w:r>
        <w:rPr/>
        <w:t>reasonably</w:t>
      </w:r>
      <w:r>
        <w:rPr>
          <w:spacing w:val="-12"/>
        </w:rPr>
        <w:t> </w:t>
      </w:r>
      <w:r>
        <w:rPr/>
        <w:t>practicable</w:t>
      </w:r>
      <w:r>
        <w:rPr>
          <w:spacing w:val="-13"/>
        </w:rPr>
        <w:t> </w:t>
      </w:r>
      <w:r>
        <w:rPr/>
        <w:t>after</w:t>
      </w:r>
      <w:r>
        <w:rPr>
          <w:spacing w:val="-12"/>
        </w:rPr>
        <w:t> </w:t>
      </w:r>
      <w:r>
        <w:rPr/>
        <w:t>we</w:t>
      </w:r>
      <w:r>
        <w:rPr>
          <w:spacing w:val="-13"/>
        </w:rPr>
        <w:t> </w:t>
      </w:r>
      <w:r>
        <w:rPr/>
        <w:t>electronically file such material with, or furnish it to, the SEC. The information posted on our website is not incorporated into this report.</w:t>
      </w:r>
    </w:p>
    <w:p>
      <w:pPr>
        <w:pStyle w:val="Heading1"/>
        <w:spacing w:before="183"/>
        <w:ind w:left="3845" w:right="3884"/>
        <w:jc w:val="center"/>
      </w:pPr>
      <w:bookmarkStart w:name="Executive Officers" w:id="18"/>
      <w:bookmarkEnd w:id="18"/>
      <w:r>
        <w:rPr>
          <w:b w:val="0"/>
        </w:rPr>
      </w:r>
      <w:bookmarkStart w:name="_bookmark3" w:id="19"/>
      <w:bookmarkEnd w:id="19"/>
      <w:r>
        <w:rPr>
          <w:b w:val="0"/>
        </w:rPr>
      </w:r>
      <w:r>
        <w:rPr/>
        <w:t>EXECUTIVE </w:t>
      </w:r>
      <w:r>
        <w:rPr>
          <w:spacing w:val="-2"/>
        </w:rPr>
        <w:t>OFFICERS</w:t>
      </w:r>
    </w:p>
    <w:p>
      <w:pPr>
        <w:pStyle w:val="BodyText"/>
        <w:spacing w:before="190"/>
        <w:ind w:left="760"/>
      </w:pPr>
      <w:r>
        <w:rPr/>
        <w:t>Adobe’s</w:t>
      </w:r>
      <w:r>
        <w:rPr>
          <w:spacing w:val="-4"/>
        </w:rPr>
        <w:t> </w:t>
      </w:r>
      <w:r>
        <w:rPr/>
        <w:t>executive</w:t>
      </w:r>
      <w:r>
        <w:rPr>
          <w:spacing w:val="-3"/>
        </w:rPr>
        <w:t> </w:t>
      </w:r>
      <w:r>
        <w:rPr/>
        <w:t>officers</w:t>
      </w:r>
      <w:r>
        <w:rPr>
          <w:spacing w:val="-2"/>
        </w:rPr>
        <w:t> </w:t>
      </w:r>
      <w:r>
        <w:rPr/>
        <w:t>as</w:t>
      </w:r>
      <w:r>
        <w:rPr>
          <w:spacing w:val="-2"/>
        </w:rPr>
        <w:t> </w:t>
      </w:r>
      <w:r>
        <w:rPr/>
        <w:t>of</w:t>
      </w:r>
      <w:r>
        <w:rPr>
          <w:spacing w:val="-2"/>
        </w:rPr>
        <w:t> </w:t>
      </w:r>
      <w:r>
        <w:rPr/>
        <w:t>January</w:t>
      </w:r>
      <w:r>
        <w:rPr>
          <w:spacing w:val="-3"/>
        </w:rPr>
        <w:t> </w:t>
      </w:r>
      <w:r>
        <w:rPr/>
        <w:t>12,</w:t>
      </w:r>
      <w:r>
        <w:rPr>
          <w:spacing w:val="-2"/>
        </w:rPr>
        <w:t> </w:t>
      </w:r>
      <w:r>
        <w:rPr/>
        <w:t>2018</w:t>
      </w:r>
      <w:r>
        <w:rPr>
          <w:spacing w:val="-2"/>
        </w:rPr>
        <w:t> </w:t>
      </w:r>
      <w:r>
        <w:rPr/>
        <w:t>are</w:t>
      </w:r>
      <w:r>
        <w:rPr>
          <w:spacing w:val="-3"/>
        </w:rPr>
        <w:t> </w:t>
      </w:r>
      <w:r>
        <w:rPr/>
        <w:t>as</w:t>
      </w:r>
      <w:r>
        <w:rPr>
          <w:spacing w:val="-2"/>
        </w:rPr>
        <w:t> follows:</w:t>
      </w:r>
    </w:p>
    <w:p>
      <w:pPr>
        <w:pStyle w:val="BodyText"/>
        <w:spacing w:before="10"/>
        <w:rPr>
          <w:sz w:val="15"/>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623"/>
        <w:gridCol w:w="7831"/>
      </w:tblGrid>
      <w:tr>
        <w:trPr>
          <w:trHeight w:val="214" w:hRule="atLeast"/>
        </w:trPr>
        <w:tc>
          <w:tcPr>
            <w:tcW w:w="1779" w:type="dxa"/>
            <w:tcBorders>
              <w:bottom w:val="single" w:sz="8" w:space="0" w:color="000000"/>
            </w:tcBorders>
          </w:tcPr>
          <w:p>
            <w:pPr>
              <w:pStyle w:val="TableParagraph"/>
              <w:spacing w:line="177" w:lineRule="exact"/>
              <w:ind w:left="50"/>
              <w:rPr>
                <w:b/>
                <w:sz w:val="16"/>
              </w:rPr>
            </w:pPr>
            <w:r>
              <w:rPr>
                <w:b/>
                <w:spacing w:val="-4"/>
                <w:sz w:val="16"/>
              </w:rPr>
              <w:t>Name</w:t>
            </w:r>
          </w:p>
        </w:tc>
        <w:tc>
          <w:tcPr>
            <w:tcW w:w="623" w:type="dxa"/>
            <w:tcBorders>
              <w:bottom w:val="single" w:sz="8" w:space="0" w:color="000000"/>
            </w:tcBorders>
          </w:tcPr>
          <w:p>
            <w:pPr>
              <w:pStyle w:val="TableParagraph"/>
              <w:spacing w:line="177" w:lineRule="exact"/>
              <w:ind w:left="59" w:right="2"/>
              <w:jc w:val="center"/>
              <w:rPr>
                <w:b/>
                <w:sz w:val="16"/>
              </w:rPr>
            </w:pPr>
            <w:r>
              <w:rPr>
                <w:b/>
                <w:spacing w:val="-5"/>
                <w:sz w:val="16"/>
              </w:rPr>
              <w:t>Age</w:t>
            </w:r>
          </w:p>
        </w:tc>
        <w:tc>
          <w:tcPr>
            <w:tcW w:w="7831" w:type="dxa"/>
            <w:tcBorders>
              <w:bottom w:val="single" w:sz="8" w:space="0" w:color="000000"/>
            </w:tcBorders>
          </w:tcPr>
          <w:p>
            <w:pPr>
              <w:pStyle w:val="TableParagraph"/>
              <w:spacing w:line="177" w:lineRule="exact"/>
              <w:ind w:left="84"/>
              <w:jc w:val="center"/>
              <w:rPr>
                <w:b/>
                <w:sz w:val="16"/>
              </w:rPr>
            </w:pPr>
            <w:r>
              <w:rPr>
                <w:b/>
                <w:spacing w:val="-2"/>
                <w:sz w:val="16"/>
              </w:rPr>
              <w:t>Positions</w:t>
            </w:r>
          </w:p>
        </w:tc>
      </w:tr>
      <w:tr>
        <w:trPr>
          <w:trHeight w:val="311" w:hRule="atLeast"/>
        </w:trPr>
        <w:tc>
          <w:tcPr>
            <w:tcW w:w="1779" w:type="dxa"/>
            <w:tcBorders>
              <w:top w:val="single" w:sz="8" w:space="0" w:color="000000"/>
            </w:tcBorders>
          </w:tcPr>
          <w:p>
            <w:pPr>
              <w:pStyle w:val="TableParagraph"/>
              <w:spacing w:line="222" w:lineRule="exact"/>
              <w:ind w:left="100"/>
              <w:rPr>
                <w:sz w:val="20"/>
              </w:rPr>
            </w:pPr>
            <w:r>
              <w:rPr>
                <w:sz w:val="20"/>
              </w:rPr>
              <w:t>Shantanu </w:t>
            </w:r>
            <w:r>
              <w:rPr>
                <w:spacing w:val="-2"/>
                <w:sz w:val="20"/>
              </w:rPr>
              <w:t>Narayen</w:t>
            </w:r>
          </w:p>
        </w:tc>
        <w:tc>
          <w:tcPr>
            <w:tcW w:w="623" w:type="dxa"/>
            <w:tcBorders>
              <w:top w:val="single" w:sz="8" w:space="0" w:color="000000"/>
            </w:tcBorders>
          </w:tcPr>
          <w:p>
            <w:pPr>
              <w:pStyle w:val="TableParagraph"/>
              <w:spacing w:line="222" w:lineRule="exact"/>
              <w:ind w:left="59"/>
              <w:jc w:val="center"/>
              <w:rPr>
                <w:sz w:val="20"/>
              </w:rPr>
            </w:pPr>
            <w:r>
              <w:rPr>
                <w:spacing w:val="-5"/>
                <w:sz w:val="20"/>
              </w:rPr>
              <w:t>54</w:t>
            </w:r>
          </w:p>
        </w:tc>
        <w:tc>
          <w:tcPr>
            <w:tcW w:w="7831" w:type="dxa"/>
            <w:tcBorders>
              <w:top w:val="single" w:sz="8" w:space="0" w:color="000000"/>
            </w:tcBorders>
          </w:tcPr>
          <w:p>
            <w:pPr>
              <w:pStyle w:val="TableParagraph"/>
              <w:spacing w:line="222" w:lineRule="exact"/>
              <w:ind w:left="148"/>
              <w:rPr>
                <w:sz w:val="20"/>
              </w:rPr>
            </w:pPr>
            <w:r>
              <w:rPr>
                <w:sz w:val="20"/>
              </w:rPr>
              <w:t>President,</w:t>
            </w:r>
            <w:r>
              <w:rPr>
                <w:spacing w:val="-2"/>
                <w:sz w:val="20"/>
              </w:rPr>
              <w:t> </w:t>
            </w:r>
            <w:r>
              <w:rPr>
                <w:sz w:val="20"/>
              </w:rPr>
              <w:t>Chief</w:t>
            </w:r>
            <w:r>
              <w:rPr>
                <w:spacing w:val="-2"/>
                <w:sz w:val="20"/>
              </w:rPr>
              <w:t> </w:t>
            </w:r>
            <w:r>
              <w:rPr>
                <w:sz w:val="20"/>
              </w:rPr>
              <w:t>Executive</w:t>
            </w:r>
            <w:r>
              <w:rPr>
                <w:spacing w:val="-1"/>
                <w:sz w:val="20"/>
              </w:rPr>
              <w:t> </w:t>
            </w:r>
            <w:r>
              <w:rPr>
                <w:sz w:val="20"/>
              </w:rPr>
              <w:t>Officer,</w:t>
            </w:r>
            <w:r>
              <w:rPr>
                <w:spacing w:val="-2"/>
                <w:sz w:val="20"/>
              </w:rPr>
              <w:t> </w:t>
            </w:r>
            <w:r>
              <w:rPr>
                <w:sz w:val="20"/>
              </w:rPr>
              <w:t>and</w:t>
            </w:r>
            <w:r>
              <w:rPr>
                <w:spacing w:val="-2"/>
                <w:sz w:val="20"/>
              </w:rPr>
              <w:t> </w:t>
            </w:r>
            <w:r>
              <w:rPr>
                <w:sz w:val="20"/>
              </w:rPr>
              <w:t>Chairman</w:t>
            </w:r>
            <w:r>
              <w:rPr>
                <w:spacing w:val="-1"/>
                <w:sz w:val="20"/>
              </w:rPr>
              <w:t> </w:t>
            </w:r>
            <w:r>
              <w:rPr>
                <w:sz w:val="20"/>
              </w:rPr>
              <w:t>of</w:t>
            </w:r>
            <w:r>
              <w:rPr>
                <w:spacing w:val="-2"/>
                <w:sz w:val="20"/>
              </w:rPr>
              <w:t> </w:t>
            </w:r>
            <w:r>
              <w:rPr>
                <w:sz w:val="20"/>
              </w:rPr>
              <w:t>the</w:t>
            </w:r>
            <w:r>
              <w:rPr>
                <w:spacing w:val="-1"/>
                <w:sz w:val="20"/>
              </w:rPr>
              <w:t> </w:t>
            </w:r>
            <w:r>
              <w:rPr>
                <w:spacing w:val="-2"/>
                <w:sz w:val="20"/>
              </w:rPr>
              <w:t>Board</w:t>
            </w:r>
          </w:p>
        </w:tc>
      </w:tr>
      <w:tr>
        <w:trPr>
          <w:trHeight w:val="2710" w:hRule="atLeast"/>
        </w:trPr>
        <w:tc>
          <w:tcPr>
            <w:tcW w:w="1779" w:type="dxa"/>
          </w:tcPr>
          <w:p>
            <w:pPr>
              <w:pStyle w:val="TableParagraph"/>
              <w:rPr>
                <w:sz w:val="18"/>
              </w:rPr>
            </w:pPr>
          </w:p>
        </w:tc>
        <w:tc>
          <w:tcPr>
            <w:tcW w:w="623" w:type="dxa"/>
          </w:tcPr>
          <w:p>
            <w:pPr>
              <w:pStyle w:val="TableParagraph"/>
              <w:rPr>
                <w:sz w:val="18"/>
              </w:rPr>
            </w:pPr>
          </w:p>
        </w:tc>
        <w:tc>
          <w:tcPr>
            <w:tcW w:w="7831" w:type="dxa"/>
          </w:tcPr>
          <w:p>
            <w:pPr>
              <w:pStyle w:val="TableParagraph"/>
              <w:spacing w:line="208" w:lineRule="auto" w:before="105"/>
              <w:ind w:left="148" w:right="100"/>
              <w:rPr>
                <w:sz w:val="20"/>
              </w:rPr>
            </w:pPr>
            <w:r>
              <w:rPr>
                <w:sz w:val="20"/>
              </w:rPr>
              <w:t>Mr. Narayen currently serves as our President, Chief Executive Officer, and Chairman of the Board. He joined</w:t>
            </w:r>
            <w:r>
              <w:rPr>
                <w:spacing w:val="-4"/>
                <w:sz w:val="20"/>
              </w:rPr>
              <w:t> </w:t>
            </w:r>
            <w:r>
              <w:rPr>
                <w:sz w:val="20"/>
              </w:rPr>
              <w:t>Adobe in January 1998 as Vice President and General Manager of our engineering technology group. In January 1999, he was promoted to Senior Vice President, Worldwide Products, and in March 2001 he was promoted to Executive Vice President, Worldwide</w:t>
            </w:r>
            <w:r>
              <w:rPr>
                <w:spacing w:val="-6"/>
                <w:sz w:val="20"/>
              </w:rPr>
              <w:t> </w:t>
            </w:r>
            <w:r>
              <w:rPr>
                <w:sz w:val="20"/>
              </w:rPr>
              <w:t>Product</w:t>
            </w:r>
            <w:r>
              <w:rPr>
                <w:spacing w:val="-6"/>
                <w:sz w:val="20"/>
              </w:rPr>
              <w:t> </w:t>
            </w:r>
            <w:r>
              <w:rPr>
                <w:sz w:val="20"/>
              </w:rPr>
              <w:t>Marketing</w:t>
            </w:r>
            <w:r>
              <w:rPr>
                <w:spacing w:val="-6"/>
                <w:sz w:val="20"/>
              </w:rPr>
              <w:t> </w:t>
            </w:r>
            <w:r>
              <w:rPr>
                <w:sz w:val="20"/>
              </w:rPr>
              <w:t>and</w:t>
            </w:r>
            <w:r>
              <w:rPr>
                <w:spacing w:val="-6"/>
                <w:sz w:val="20"/>
              </w:rPr>
              <w:t> </w:t>
            </w:r>
            <w:r>
              <w:rPr>
                <w:sz w:val="20"/>
              </w:rPr>
              <w:t>Development.</w:t>
            </w:r>
            <w:r>
              <w:rPr>
                <w:spacing w:val="-6"/>
                <w:sz w:val="20"/>
              </w:rPr>
              <w:t> </w:t>
            </w:r>
            <w:r>
              <w:rPr>
                <w:sz w:val="20"/>
              </w:rPr>
              <w:t>In</w:t>
            </w:r>
            <w:r>
              <w:rPr>
                <w:spacing w:val="-6"/>
                <w:sz w:val="20"/>
              </w:rPr>
              <w:t> </w:t>
            </w:r>
            <w:r>
              <w:rPr>
                <w:sz w:val="20"/>
              </w:rPr>
              <w:t>January</w:t>
            </w:r>
            <w:r>
              <w:rPr>
                <w:spacing w:val="-6"/>
                <w:sz w:val="20"/>
              </w:rPr>
              <w:t> </w:t>
            </w:r>
            <w:r>
              <w:rPr>
                <w:sz w:val="20"/>
              </w:rPr>
              <w:t>2005,</w:t>
            </w:r>
            <w:r>
              <w:rPr>
                <w:spacing w:val="-6"/>
                <w:sz w:val="20"/>
              </w:rPr>
              <w:t> </w:t>
            </w:r>
            <w:r>
              <w:rPr>
                <w:sz w:val="20"/>
              </w:rPr>
              <w:t>Mr.</w:t>
            </w:r>
            <w:r>
              <w:rPr>
                <w:spacing w:val="-6"/>
                <w:sz w:val="20"/>
              </w:rPr>
              <w:t> </w:t>
            </w:r>
            <w:r>
              <w:rPr>
                <w:sz w:val="20"/>
              </w:rPr>
              <w:t>Narayen</w:t>
            </w:r>
            <w:r>
              <w:rPr>
                <w:spacing w:val="-6"/>
                <w:sz w:val="20"/>
              </w:rPr>
              <w:t> </w:t>
            </w:r>
            <w:r>
              <w:rPr>
                <w:sz w:val="20"/>
              </w:rPr>
              <w:t>was</w:t>
            </w:r>
            <w:r>
              <w:rPr>
                <w:spacing w:val="-7"/>
                <w:sz w:val="20"/>
              </w:rPr>
              <w:t> </w:t>
            </w:r>
            <w:r>
              <w:rPr>
                <w:sz w:val="20"/>
              </w:rPr>
              <w:t>promoted to President and Chief Operating Officer, and effective December 2007, he was appointed our Chief</w:t>
            </w:r>
            <w:r>
              <w:rPr>
                <w:spacing w:val="-1"/>
                <w:sz w:val="20"/>
              </w:rPr>
              <w:t> </w:t>
            </w:r>
            <w:r>
              <w:rPr>
                <w:sz w:val="20"/>
              </w:rPr>
              <w:t>Executive</w:t>
            </w:r>
            <w:r>
              <w:rPr>
                <w:spacing w:val="-1"/>
                <w:sz w:val="20"/>
              </w:rPr>
              <w:t> </w:t>
            </w:r>
            <w:r>
              <w:rPr>
                <w:sz w:val="20"/>
              </w:rPr>
              <w:t>Officer</w:t>
            </w:r>
            <w:r>
              <w:rPr>
                <w:spacing w:val="-1"/>
                <w:sz w:val="20"/>
              </w:rPr>
              <w:t> </w:t>
            </w:r>
            <w:r>
              <w:rPr>
                <w:sz w:val="20"/>
              </w:rPr>
              <w:t>and</w:t>
            </w:r>
            <w:r>
              <w:rPr>
                <w:spacing w:val="-1"/>
                <w:sz w:val="20"/>
              </w:rPr>
              <w:t> </w:t>
            </w:r>
            <w:r>
              <w:rPr>
                <w:sz w:val="20"/>
              </w:rPr>
              <w:t>joined</w:t>
            </w:r>
            <w:r>
              <w:rPr>
                <w:spacing w:val="-1"/>
                <w:sz w:val="20"/>
              </w:rPr>
              <w:t> </w:t>
            </w:r>
            <w:r>
              <w:rPr>
                <w:sz w:val="20"/>
              </w:rPr>
              <w:t>our</w:t>
            </w:r>
            <w:r>
              <w:rPr>
                <w:spacing w:val="-1"/>
                <w:sz w:val="20"/>
              </w:rPr>
              <w:t> </w:t>
            </w:r>
            <w:r>
              <w:rPr>
                <w:sz w:val="20"/>
              </w:rPr>
              <w:t>Board</w:t>
            </w:r>
            <w:r>
              <w:rPr>
                <w:spacing w:val="-1"/>
                <w:sz w:val="20"/>
              </w:rPr>
              <w:t> </w:t>
            </w:r>
            <w:r>
              <w:rPr>
                <w:sz w:val="20"/>
              </w:rPr>
              <w:t>of</w:t>
            </w:r>
            <w:r>
              <w:rPr>
                <w:spacing w:val="-1"/>
                <w:sz w:val="20"/>
              </w:rPr>
              <w:t> </w:t>
            </w:r>
            <w:r>
              <w:rPr>
                <w:sz w:val="20"/>
              </w:rPr>
              <w:t>Directors.</w:t>
            </w:r>
            <w:r>
              <w:rPr>
                <w:spacing w:val="-1"/>
                <w:sz w:val="20"/>
              </w:rPr>
              <w:t> </w:t>
            </w:r>
            <w:r>
              <w:rPr>
                <w:sz w:val="20"/>
              </w:rPr>
              <w:t>In</w:t>
            </w:r>
            <w:r>
              <w:rPr>
                <w:spacing w:val="-1"/>
                <w:sz w:val="20"/>
              </w:rPr>
              <w:t> </w:t>
            </w:r>
            <w:r>
              <w:rPr>
                <w:sz w:val="20"/>
              </w:rPr>
              <w:t>January</w:t>
            </w:r>
            <w:r>
              <w:rPr>
                <w:spacing w:val="-1"/>
                <w:sz w:val="20"/>
              </w:rPr>
              <w:t> </w:t>
            </w:r>
            <w:r>
              <w:rPr>
                <w:sz w:val="20"/>
              </w:rPr>
              <w:t>2017,</w:t>
            </w:r>
            <w:r>
              <w:rPr>
                <w:spacing w:val="-1"/>
                <w:sz w:val="20"/>
              </w:rPr>
              <w:t> </w:t>
            </w:r>
            <w:r>
              <w:rPr>
                <w:sz w:val="20"/>
              </w:rPr>
              <w:t>Mr.</w:t>
            </w:r>
            <w:r>
              <w:rPr>
                <w:spacing w:val="-1"/>
                <w:sz w:val="20"/>
              </w:rPr>
              <w:t> </w:t>
            </w:r>
            <w:r>
              <w:rPr>
                <w:sz w:val="20"/>
              </w:rPr>
              <w:t>Narayen</w:t>
            </w:r>
            <w:r>
              <w:rPr>
                <w:spacing w:val="-1"/>
                <w:sz w:val="20"/>
              </w:rPr>
              <w:t> </w:t>
            </w:r>
            <w:r>
              <w:rPr>
                <w:sz w:val="20"/>
              </w:rPr>
              <w:t>was selected by our Board of Directors as Chairman of the Board.</w:t>
            </w:r>
            <w:r>
              <w:rPr>
                <w:spacing w:val="40"/>
                <w:sz w:val="20"/>
              </w:rPr>
              <w:t> </w:t>
            </w:r>
            <w:r>
              <w:rPr>
                <w:sz w:val="20"/>
              </w:rPr>
              <w:t>Mr. Narayen serves on the board of directors of Pfizer Inc., a multinational pharmaceutical corporation. He previously served as a director of Dell Inc. from September 2009 to October 2013. Mr. Narayen holds a</w:t>
            </w:r>
          </w:p>
          <w:p>
            <w:pPr>
              <w:pStyle w:val="TableParagraph"/>
              <w:spacing w:line="200" w:lineRule="exact"/>
              <w:ind w:left="148" w:right="709"/>
              <w:jc w:val="both"/>
              <w:rPr>
                <w:sz w:val="20"/>
              </w:rPr>
            </w:pPr>
            <w:r>
              <w:rPr>
                <w:sz w:val="20"/>
              </w:rPr>
              <w:t>B.S.</w:t>
            </w:r>
            <w:r>
              <w:rPr>
                <w:spacing w:val="-4"/>
                <w:sz w:val="20"/>
              </w:rPr>
              <w:t> </w:t>
            </w:r>
            <w:r>
              <w:rPr>
                <w:sz w:val="20"/>
              </w:rPr>
              <w:t>in</w:t>
            </w:r>
            <w:r>
              <w:rPr>
                <w:spacing w:val="-4"/>
                <w:sz w:val="20"/>
              </w:rPr>
              <w:t> </w:t>
            </w:r>
            <w:r>
              <w:rPr>
                <w:sz w:val="20"/>
              </w:rPr>
              <w:t>Electronics</w:t>
            </w:r>
            <w:r>
              <w:rPr>
                <w:spacing w:val="-4"/>
                <w:sz w:val="20"/>
              </w:rPr>
              <w:t> </w:t>
            </w:r>
            <w:r>
              <w:rPr>
                <w:sz w:val="20"/>
              </w:rPr>
              <w:t>Engineering</w:t>
            </w:r>
            <w:r>
              <w:rPr>
                <w:spacing w:val="-4"/>
                <w:sz w:val="20"/>
              </w:rPr>
              <w:t> </w:t>
            </w:r>
            <w:r>
              <w:rPr>
                <w:sz w:val="20"/>
              </w:rPr>
              <w:t>from</w:t>
            </w:r>
            <w:r>
              <w:rPr>
                <w:spacing w:val="-4"/>
                <w:sz w:val="20"/>
              </w:rPr>
              <w:t> </w:t>
            </w:r>
            <w:r>
              <w:rPr>
                <w:sz w:val="20"/>
              </w:rPr>
              <w:t>Osmania</w:t>
            </w:r>
            <w:r>
              <w:rPr>
                <w:spacing w:val="-4"/>
                <w:sz w:val="20"/>
              </w:rPr>
              <w:t> </w:t>
            </w:r>
            <w:r>
              <w:rPr>
                <w:sz w:val="20"/>
              </w:rPr>
              <w:t>University</w:t>
            </w:r>
            <w:r>
              <w:rPr>
                <w:spacing w:val="-4"/>
                <w:sz w:val="20"/>
              </w:rPr>
              <w:t> </w:t>
            </w:r>
            <w:r>
              <w:rPr>
                <w:sz w:val="20"/>
              </w:rPr>
              <w:t>in</w:t>
            </w:r>
            <w:r>
              <w:rPr>
                <w:spacing w:val="-4"/>
                <w:sz w:val="20"/>
              </w:rPr>
              <w:t> </w:t>
            </w:r>
            <w:r>
              <w:rPr>
                <w:sz w:val="20"/>
              </w:rPr>
              <w:t>India,</w:t>
            </w:r>
            <w:r>
              <w:rPr>
                <w:spacing w:val="-4"/>
                <w:sz w:val="20"/>
              </w:rPr>
              <w:t> </w:t>
            </w:r>
            <w:r>
              <w:rPr>
                <w:sz w:val="20"/>
              </w:rPr>
              <w:t>a</w:t>
            </w:r>
            <w:r>
              <w:rPr>
                <w:spacing w:val="-4"/>
                <w:sz w:val="20"/>
              </w:rPr>
              <w:t> </w:t>
            </w:r>
            <w:r>
              <w:rPr>
                <w:sz w:val="20"/>
              </w:rPr>
              <w:t>M.S.</w:t>
            </w:r>
            <w:r>
              <w:rPr>
                <w:spacing w:val="-4"/>
                <w:sz w:val="20"/>
              </w:rPr>
              <w:t> </w:t>
            </w:r>
            <w:r>
              <w:rPr>
                <w:sz w:val="20"/>
              </w:rPr>
              <w:t>in</w:t>
            </w:r>
            <w:r>
              <w:rPr>
                <w:spacing w:val="-4"/>
                <w:sz w:val="20"/>
              </w:rPr>
              <w:t> </w:t>
            </w:r>
            <w:r>
              <w:rPr>
                <w:sz w:val="20"/>
              </w:rPr>
              <w:t>Computer Science from Bowling Green State University and an M.B.A. from the Haas School of Business, University of California, Berkeley.</w:t>
            </w:r>
          </w:p>
        </w:tc>
      </w:tr>
    </w:tbl>
    <w:p>
      <w:pPr>
        <w:spacing w:after="0" w:line="200" w:lineRule="exact"/>
        <w:jc w:val="both"/>
        <w:rPr>
          <w:sz w:val="20"/>
        </w:rPr>
        <w:sectPr>
          <w:pgSz w:w="12240" w:h="15840"/>
          <w:pgMar w:header="210" w:footer="599" w:top="420" w:bottom="800" w:left="780" w:right="740"/>
        </w:sect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542"/>
        <w:gridCol w:w="7835"/>
      </w:tblGrid>
      <w:tr>
        <w:trPr>
          <w:trHeight w:val="310" w:hRule="atLeast"/>
        </w:trPr>
        <w:tc>
          <w:tcPr>
            <w:tcW w:w="1842" w:type="dxa"/>
          </w:tcPr>
          <w:p>
            <w:pPr>
              <w:pStyle w:val="TableParagraph"/>
              <w:spacing w:line="221" w:lineRule="exact"/>
              <w:ind w:left="50"/>
              <w:rPr>
                <w:sz w:val="20"/>
              </w:rPr>
            </w:pPr>
            <w:r>
              <w:rPr>
                <w:sz w:val="20"/>
              </w:rPr>
              <w:t>Mark </w:t>
            </w:r>
            <w:r>
              <w:rPr>
                <w:spacing w:val="-2"/>
                <w:sz w:val="20"/>
              </w:rPr>
              <w:t>Garrett</w:t>
            </w:r>
          </w:p>
        </w:tc>
        <w:tc>
          <w:tcPr>
            <w:tcW w:w="542" w:type="dxa"/>
          </w:tcPr>
          <w:p>
            <w:pPr>
              <w:pStyle w:val="TableParagraph"/>
              <w:spacing w:line="221" w:lineRule="exact"/>
              <w:ind w:left="14"/>
              <w:jc w:val="center"/>
              <w:rPr>
                <w:sz w:val="20"/>
              </w:rPr>
            </w:pPr>
            <w:r>
              <w:rPr>
                <w:spacing w:val="-5"/>
                <w:sz w:val="20"/>
              </w:rPr>
              <w:t>60</w:t>
            </w:r>
          </w:p>
        </w:tc>
        <w:tc>
          <w:tcPr>
            <w:tcW w:w="7835" w:type="dxa"/>
          </w:tcPr>
          <w:p>
            <w:pPr>
              <w:pStyle w:val="TableParagraph"/>
              <w:spacing w:line="221" w:lineRule="exact"/>
              <w:ind w:left="166"/>
              <w:rPr>
                <w:sz w:val="20"/>
              </w:rPr>
            </w:pPr>
            <w:r>
              <w:rPr>
                <w:sz w:val="20"/>
              </w:rPr>
              <w:t>Executive</w:t>
            </w:r>
            <w:r>
              <w:rPr>
                <w:spacing w:val="-7"/>
                <w:sz w:val="20"/>
              </w:rPr>
              <w:t> </w:t>
            </w:r>
            <w:r>
              <w:rPr>
                <w:sz w:val="20"/>
              </w:rPr>
              <w:t>Vice</w:t>
            </w:r>
            <w:r>
              <w:rPr>
                <w:spacing w:val="-3"/>
                <w:sz w:val="20"/>
              </w:rPr>
              <w:t> </w:t>
            </w:r>
            <w:r>
              <w:rPr>
                <w:sz w:val="20"/>
              </w:rPr>
              <w:t>President,</w:t>
            </w:r>
            <w:r>
              <w:rPr>
                <w:spacing w:val="-2"/>
                <w:sz w:val="20"/>
              </w:rPr>
              <w:t> </w:t>
            </w:r>
            <w:r>
              <w:rPr>
                <w:sz w:val="20"/>
              </w:rPr>
              <w:t>Chief</w:t>
            </w:r>
            <w:r>
              <w:rPr>
                <w:spacing w:val="-3"/>
                <w:sz w:val="20"/>
              </w:rPr>
              <w:t> </w:t>
            </w:r>
            <w:r>
              <w:rPr>
                <w:sz w:val="20"/>
              </w:rPr>
              <w:t>Financial</w:t>
            </w:r>
            <w:r>
              <w:rPr>
                <w:spacing w:val="-2"/>
                <w:sz w:val="20"/>
              </w:rPr>
              <w:t> Officer</w:t>
            </w:r>
          </w:p>
        </w:tc>
      </w:tr>
      <w:tr>
        <w:trPr>
          <w:trHeight w:val="2150" w:hRule="atLeast"/>
        </w:trPr>
        <w:tc>
          <w:tcPr>
            <w:tcW w:w="1842" w:type="dxa"/>
          </w:tcPr>
          <w:p>
            <w:pPr>
              <w:pStyle w:val="TableParagraph"/>
              <w:rPr>
                <w:sz w:val="18"/>
              </w:rPr>
            </w:pPr>
          </w:p>
        </w:tc>
        <w:tc>
          <w:tcPr>
            <w:tcW w:w="542" w:type="dxa"/>
          </w:tcPr>
          <w:p>
            <w:pPr>
              <w:pStyle w:val="TableParagraph"/>
              <w:rPr>
                <w:sz w:val="18"/>
              </w:rPr>
            </w:pPr>
          </w:p>
        </w:tc>
        <w:tc>
          <w:tcPr>
            <w:tcW w:w="7835" w:type="dxa"/>
          </w:tcPr>
          <w:p>
            <w:pPr>
              <w:pStyle w:val="TableParagraph"/>
              <w:spacing w:line="208" w:lineRule="auto" w:before="105"/>
              <w:ind w:left="166" w:right="75"/>
              <w:rPr>
                <w:sz w:val="20"/>
              </w:rPr>
            </w:pPr>
            <w:r>
              <w:rPr>
                <w:sz w:val="20"/>
              </w:rPr>
              <w:t>Mr. Garrett joined</w:t>
            </w:r>
            <w:r>
              <w:rPr>
                <w:spacing w:val="-4"/>
                <w:sz w:val="20"/>
              </w:rPr>
              <w:t> </w:t>
            </w:r>
            <w:r>
              <w:rPr>
                <w:sz w:val="20"/>
              </w:rPr>
              <w:t>Adobe in February 2007 as Executive Vice President and Chief Financial Officer. Mr. Garrett served as Senior Vice President and Chief Financial Officer of the Software Group of EMC Corporation, a products, services and solutions provider for information management and storage, from June 2004 to January 2007, his most recent position since EMC's acquisition of Documentum, Inc., an enterprise content management company, in December 2003. Mr. Garrett first joined Documentum as Executive Vice President</w:t>
            </w:r>
            <w:r>
              <w:rPr>
                <w:spacing w:val="-4"/>
                <w:sz w:val="20"/>
              </w:rPr>
              <w:t> </w:t>
            </w:r>
            <w:r>
              <w:rPr>
                <w:sz w:val="20"/>
              </w:rPr>
              <w:t>and</w:t>
            </w:r>
            <w:r>
              <w:rPr>
                <w:spacing w:val="-4"/>
                <w:sz w:val="20"/>
              </w:rPr>
              <w:t> </w:t>
            </w:r>
            <w:r>
              <w:rPr>
                <w:sz w:val="20"/>
              </w:rPr>
              <w:t>Chief</w:t>
            </w:r>
            <w:r>
              <w:rPr>
                <w:spacing w:val="-4"/>
                <w:sz w:val="20"/>
              </w:rPr>
              <w:t> </w:t>
            </w:r>
            <w:r>
              <w:rPr>
                <w:sz w:val="20"/>
              </w:rPr>
              <w:t>Financial</w:t>
            </w:r>
            <w:r>
              <w:rPr>
                <w:spacing w:val="-4"/>
                <w:sz w:val="20"/>
              </w:rPr>
              <w:t> </w:t>
            </w:r>
            <w:r>
              <w:rPr>
                <w:sz w:val="20"/>
              </w:rPr>
              <w:t>Officer</w:t>
            </w:r>
            <w:r>
              <w:rPr>
                <w:spacing w:val="-4"/>
                <w:sz w:val="20"/>
              </w:rPr>
              <w:t> </w:t>
            </w:r>
            <w:r>
              <w:rPr>
                <w:sz w:val="20"/>
              </w:rPr>
              <w:t>in</w:t>
            </w:r>
            <w:r>
              <w:rPr>
                <w:spacing w:val="-4"/>
                <w:sz w:val="20"/>
              </w:rPr>
              <w:t> </w:t>
            </w:r>
            <w:r>
              <w:rPr>
                <w:sz w:val="20"/>
              </w:rPr>
              <w:t>1997,</w:t>
            </w:r>
            <w:r>
              <w:rPr>
                <w:spacing w:val="-4"/>
                <w:sz w:val="20"/>
              </w:rPr>
              <w:t> </w:t>
            </w:r>
            <w:r>
              <w:rPr>
                <w:sz w:val="20"/>
              </w:rPr>
              <w:t>holding</w:t>
            </w:r>
            <w:r>
              <w:rPr>
                <w:spacing w:val="-4"/>
                <w:sz w:val="20"/>
              </w:rPr>
              <w:t> </w:t>
            </w:r>
            <w:r>
              <w:rPr>
                <w:sz w:val="20"/>
              </w:rPr>
              <w:t>that</w:t>
            </w:r>
            <w:r>
              <w:rPr>
                <w:spacing w:val="-4"/>
                <w:sz w:val="20"/>
              </w:rPr>
              <w:t> </w:t>
            </w:r>
            <w:r>
              <w:rPr>
                <w:sz w:val="20"/>
              </w:rPr>
              <w:t>position</w:t>
            </w:r>
            <w:r>
              <w:rPr>
                <w:spacing w:val="-4"/>
                <w:sz w:val="20"/>
              </w:rPr>
              <w:t> </w:t>
            </w:r>
            <w:r>
              <w:rPr>
                <w:sz w:val="20"/>
              </w:rPr>
              <w:t>through</w:t>
            </w:r>
            <w:r>
              <w:rPr>
                <w:spacing w:val="-4"/>
                <w:sz w:val="20"/>
              </w:rPr>
              <w:t> </w:t>
            </w:r>
            <w:r>
              <w:rPr>
                <w:sz w:val="20"/>
              </w:rPr>
              <w:t>October</w:t>
            </w:r>
            <w:r>
              <w:rPr>
                <w:spacing w:val="-4"/>
                <w:sz w:val="20"/>
              </w:rPr>
              <w:t> </w:t>
            </w:r>
            <w:r>
              <w:rPr>
                <w:sz w:val="20"/>
              </w:rPr>
              <w:t>1999</w:t>
            </w:r>
            <w:r>
              <w:rPr>
                <w:spacing w:val="-4"/>
                <w:sz w:val="20"/>
              </w:rPr>
              <w:t> </w:t>
            </w:r>
            <w:r>
              <w:rPr>
                <w:sz w:val="20"/>
              </w:rPr>
              <w:t>and then</w:t>
            </w:r>
            <w:r>
              <w:rPr>
                <w:spacing w:val="-4"/>
                <w:sz w:val="20"/>
              </w:rPr>
              <w:t> </w:t>
            </w:r>
            <w:r>
              <w:rPr>
                <w:sz w:val="20"/>
              </w:rPr>
              <w:t>re-joining</w:t>
            </w:r>
            <w:r>
              <w:rPr>
                <w:spacing w:val="-4"/>
                <w:sz w:val="20"/>
              </w:rPr>
              <w:t> </w:t>
            </w:r>
            <w:r>
              <w:rPr>
                <w:sz w:val="20"/>
              </w:rPr>
              <w:t>Documentum</w:t>
            </w:r>
            <w:r>
              <w:rPr>
                <w:spacing w:val="-4"/>
                <w:sz w:val="20"/>
              </w:rPr>
              <w:t> </w:t>
            </w:r>
            <w:r>
              <w:rPr>
                <w:sz w:val="20"/>
              </w:rPr>
              <w:t>as</w:t>
            </w:r>
            <w:r>
              <w:rPr>
                <w:spacing w:val="-5"/>
                <w:sz w:val="20"/>
              </w:rPr>
              <w:t> </w:t>
            </w:r>
            <w:r>
              <w:rPr>
                <w:sz w:val="20"/>
              </w:rPr>
              <w:t>Executive</w:t>
            </w:r>
            <w:r>
              <w:rPr>
                <w:spacing w:val="-9"/>
                <w:sz w:val="20"/>
              </w:rPr>
              <w:t> </w:t>
            </w:r>
            <w:r>
              <w:rPr>
                <w:sz w:val="20"/>
              </w:rPr>
              <w:t>Vice</w:t>
            </w:r>
            <w:r>
              <w:rPr>
                <w:spacing w:val="-4"/>
                <w:sz w:val="20"/>
              </w:rPr>
              <w:t> </w:t>
            </w:r>
            <w:r>
              <w:rPr>
                <w:sz w:val="20"/>
              </w:rPr>
              <w:t>President</w:t>
            </w:r>
            <w:r>
              <w:rPr>
                <w:spacing w:val="-4"/>
                <w:sz w:val="20"/>
              </w:rPr>
              <w:t> </w:t>
            </w:r>
            <w:r>
              <w:rPr>
                <w:sz w:val="20"/>
              </w:rPr>
              <w:t>and</w:t>
            </w:r>
            <w:r>
              <w:rPr>
                <w:spacing w:val="-4"/>
                <w:sz w:val="20"/>
              </w:rPr>
              <w:t> </w:t>
            </w:r>
            <w:r>
              <w:rPr>
                <w:sz w:val="20"/>
              </w:rPr>
              <w:t>Chief</w:t>
            </w:r>
            <w:r>
              <w:rPr>
                <w:spacing w:val="-4"/>
                <w:sz w:val="20"/>
              </w:rPr>
              <w:t> </w:t>
            </w:r>
            <w:r>
              <w:rPr>
                <w:sz w:val="20"/>
              </w:rPr>
              <w:t>Financial</w:t>
            </w:r>
            <w:r>
              <w:rPr>
                <w:spacing w:val="-4"/>
                <w:sz w:val="20"/>
              </w:rPr>
              <w:t> </w:t>
            </w:r>
            <w:r>
              <w:rPr>
                <w:sz w:val="20"/>
              </w:rPr>
              <w:t>Officer</w:t>
            </w:r>
            <w:r>
              <w:rPr>
                <w:spacing w:val="-4"/>
                <w:sz w:val="20"/>
              </w:rPr>
              <w:t> </w:t>
            </w:r>
            <w:r>
              <w:rPr>
                <w:sz w:val="20"/>
              </w:rPr>
              <w:t>in</w:t>
            </w:r>
            <w:r>
              <w:rPr>
                <w:spacing w:val="-4"/>
                <w:sz w:val="20"/>
              </w:rPr>
              <w:t> </w:t>
            </w:r>
            <w:r>
              <w:rPr>
                <w:sz w:val="20"/>
              </w:rPr>
              <w:t>2002. Mr. Garrett is also a director of Pure Storage, Inc., the</w:t>
            </w:r>
            <w:r>
              <w:rPr>
                <w:spacing w:val="-6"/>
                <w:sz w:val="20"/>
              </w:rPr>
              <w:t> </w:t>
            </w:r>
            <w:r>
              <w:rPr>
                <w:sz w:val="20"/>
              </w:rPr>
              <w:t>Adobe Foundation, and the Children's Discovery Museum of San Jose.</w:t>
            </w:r>
          </w:p>
        </w:tc>
      </w:tr>
      <w:tr>
        <w:trPr>
          <w:trHeight w:val="350" w:hRule="atLeast"/>
        </w:trPr>
        <w:tc>
          <w:tcPr>
            <w:tcW w:w="1842" w:type="dxa"/>
          </w:tcPr>
          <w:p>
            <w:pPr>
              <w:pStyle w:val="TableParagraph"/>
              <w:spacing w:before="30"/>
              <w:ind w:left="50"/>
              <w:rPr>
                <w:sz w:val="20"/>
              </w:rPr>
            </w:pPr>
            <w:r>
              <w:rPr>
                <w:sz w:val="20"/>
              </w:rPr>
              <w:t>Matthew</w:t>
            </w:r>
            <w:r>
              <w:rPr>
                <w:spacing w:val="-10"/>
                <w:sz w:val="20"/>
              </w:rPr>
              <w:t> </w:t>
            </w:r>
            <w:r>
              <w:rPr>
                <w:spacing w:val="-2"/>
                <w:sz w:val="20"/>
              </w:rPr>
              <w:t>Thompson</w:t>
            </w:r>
          </w:p>
        </w:tc>
        <w:tc>
          <w:tcPr>
            <w:tcW w:w="542" w:type="dxa"/>
          </w:tcPr>
          <w:p>
            <w:pPr>
              <w:pStyle w:val="TableParagraph"/>
              <w:spacing w:before="30"/>
              <w:ind w:left="14"/>
              <w:jc w:val="center"/>
              <w:rPr>
                <w:sz w:val="20"/>
              </w:rPr>
            </w:pPr>
            <w:r>
              <w:rPr>
                <w:spacing w:val="-5"/>
                <w:sz w:val="20"/>
              </w:rPr>
              <w:t>59</w:t>
            </w:r>
          </w:p>
        </w:tc>
        <w:tc>
          <w:tcPr>
            <w:tcW w:w="7835" w:type="dxa"/>
          </w:tcPr>
          <w:p>
            <w:pPr>
              <w:pStyle w:val="TableParagraph"/>
              <w:spacing w:before="30"/>
              <w:ind w:left="166"/>
              <w:rPr>
                <w:sz w:val="20"/>
              </w:rPr>
            </w:pPr>
            <w:r>
              <w:rPr>
                <w:sz w:val="20"/>
              </w:rPr>
              <w:t>Executive</w:t>
            </w:r>
            <w:r>
              <w:rPr>
                <w:spacing w:val="-10"/>
                <w:sz w:val="20"/>
              </w:rPr>
              <w:t> </w:t>
            </w:r>
            <w:r>
              <w:rPr>
                <w:sz w:val="20"/>
              </w:rPr>
              <w:t>Vice</w:t>
            </w:r>
            <w:r>
              <w:rPr>
                <w:spacing w:val="-6"/>
                <w:sz w:val="20"/>
              </w:rPr>
              <w:t> </w:t>
            </w:r>
            <w:r>
              <w:rPr>
                <w:sz w:val="20"/>
              </w:rPr>
              <w:t>President,</w:t>
            </w:r>
            <w:r>
              <w:rPr>
                <w:spacing w:val="-10"/>
                <w:sz w:val="20"/>
              </w:rPr>
              <w:t> </w:t>
            </w:r>
            <w:r>
              <w:rPr>
                <w:sz w:val="20"/>
              </w:rPr>
              <w:t>Worldwide</w:t>
            </w:r>
            <w:r>
              <w:rPr>
                <w:spacing w:val="-5"/>
                <w:sz w:val="20"/>
              </w:rPr>
              <w:t> </w:t>
            </w:r>
            <w:r>
              <w:rPr>
                <w:sz w:val="20"/>
              </w:rPr>
              <w:t>Field</w:t>
            </w:r>
            <w:r>
              <w:rPr>
                <w:spacing w:val="-6"/>
                <w:sz w:val="20"/>
              </w:rPr>
              <w:t> </w:t>
            </w:r>
            <w:r>
              <w:rPr>
                <w:spacing w:val="-2"/>
                <w:sz w:val="20"/>
              </w:rPr>
              <w:t>Operations</w:t>
            </w:r>
          </w:p>
        </w:tc>
      </w:tr>
      <w:tr>
        <w:trPr>
          <w:trHeight w:val="3150" w:hRule="atLeast"/>
        </w:trPr>
        <w:tc>
          <w:tcPr>
            <w:tcW w:w="1842" w:type="dxa"/>
          </w:tcPr>
          <w:p>
            <w:pPr>
              <w:pStyle w:val="TableParagraph"/>
              <w:rPr>
                <w:sz w:val="18"/>
              </w:rPr>
            </w:pPr>
          </w:p>
        </w:tc>
        <w:tc>
          <w:tcPr>
            <w:tcW w:w="542" w:type="dxa"/>
          </w:tcPr>
          <w:p>
            <w:pPr>
              <w:pStyle w:val="TableParagraph"/>
              <w:rPr>
                <w:sz w:val="18"/>
              </w:rPr>
            </w:pPr>
          </w:p>
        </w:tc>
        <w:tc>
          <w:tcPr>
            <w:tcW w:w="7835" w:type="dxa"/>
          </w:tcPr>
          <w:p>
            <w:pPr>
              <w:pStyle w:val="TableParagraph"/>
              <w:spacing w:line="208" w:lineRule="auto" w:before="105"/>
              <w:ind w:left="166" w:right="146"/>
              <w:rPr>
                <w:sz w:val="20"/>
              </w:rPr>
            </w:pPr>
            <w:r>
              <w:rPr>
                <w:sz w:val="20"/>
              </w:rPr>
              <w:t>Mr. Thompson currently serves as Executive Vice President, Worldwide Field Operations. Mr. Thompson joined</w:t>
            </w:r>
            <w:r>
              <w:rPr>
                <w:spacing w:val="-5"/>
                <w:sz w:val="20"/>
              </w:rPr>
              <w:t> </w:t>
            </w:r>
            <w:r>
              <w:rPr>
                <w:sz w:val="20"/>
              </w:rPr>
              <w:t>Adobe in January 2007 as Senior Vice President, Worldwide Field Operations. In January 2013, he was</w:t>
            </w:r>
            <w:r>
              <w:rPr>
                <w:spacing w:val="-1"/>
                <w:sz w:val="20"/>
              </w:rPr>
              <w:t> </w:t>
            </w:r>
            <w:r>
              <w:rPr>
                <w:sz w:val="20"/>
              </w:rPr>
              <w:t>promoted to Executive</w:t>
            </w:r>
            <w:r>
              <w:rPr>
                <w:spacing w:val="-4"/>
                <w:sz w:val="20"/>
              </w:rPr>
              <w:t> </w:t>
            </w:r>
            <w:r>
              <w:rPr>
                <w:sz w:val="20"/>
              </w:rPr>
              <w:t>Vice President,</w:t>
            </w:r>
            <w:r>
              <w:rPr>
                <w:spacing w:val="-4"/>
                <w:sz w:val="20"/>
              </w:rPr>
              <w:t> </w:t>
            </w:r>
            <w:r>
              <w:rPr>
                <w:sz w:val="20"/>
              </w:rPr>
              <w:t>Worldwide Field Operations. Prior to joining</w:t>
            </w:r>
            <w:r>
              <w:rPr>
                <w:spacing w:val="-2"/>
                <w:sz w:val="20"/>
              </w:rPr>
              <w:t> </w:t>
            </w:r>
            <w:r>
              <w:rPr>
                <w:sz w:val="20"/>
              </w:rPr>
              <w:t>Adobe, Mr. Thompson served as Senior Vice President of Worldwide</w:t>
            </w:r>
            <w:r>
              <w:rPr>
                <w:spacing w:val="-6"/>
                <w:sz w:val="20"/>
              </w:rPr>
              <w:t> </w:t>
            </w:r>
            <w:r>
              <w:rPr>
                <w:sz w:val="20"/>
              </w:rPr>
              <w:t>Sales</w:t>
            </w:r>
            <w:r>
              <w:rPr>
                <w:spacing w:val="-7"/>
                <w:sz w:val="20"/>
              </w:rPr>
              <w:t> </w:t>
            </w:r>
            <w:r>
              <w:rPr>
                <w:sz w:val="20"/>
              </w:rPr>
              <w:t>at</w:t>
            </w:r>
            <w:r>
              <w:rPr>
                <w:spacing w:val="-6"/>
                <w:sz w:val="20"/>
              </w:rPr>
              <w:t> </w:t>
            </w:r>
            <w:r>
              <w:rPr>
                <w:sz w:val="20"/>
              </w:rPr>
              <w:t>Borland</w:t>
            </w:r>
            <w:r>
              <w:rPr>
                <w:spacing w:val="-6"/>
                <w:sz w:val="20"/>
              </w:rPr>
              <w:t> </w:t>
            </w:r>
            <w:r>
              <w:rPr>
                <w:sz w:val="20"/>
              </w:rPr>
              <w:t>Software</w:t>
            </w:r>
            <w:r>
              <w:rPr>
                <w:spacing w:val="-6"/>
                <w:sz w:val="20"/>
              </w:rPr>
              <w:t> </w:t>
            </w:r>
            <w:r>
              <w:rPr>
                <w:sz w:val="20"/>
              </w:rPr>
              <w:t>Corporation,</w:t>
            </w:r>
            <w:r>
              <w:rPr>
                <w:spacing w:val="-6"/>
                <w:sz w:val="20"/>
              </w:rPr>
              <w:t> </w:t>
            </w:r>
            <w:r>
              <w:rPr>
                <w:sz w:val="20"/>
              </w:rPr>
              <w:t>a</w:t>
            </w:r>
            <w:r>
              <w:rPr>
                <w:spacing w:val="-6"/>
                <w:sz w:val="20"/>
              </w:rPr>
              <w:t> </w:t>
            </w:r>
            <w:r>
              <w:rPr>
                <w:sz w:val="20"/>
              </w:rPr>
              <w:t>software</w:t>
            </w:r>
            <w:r>
              <w:rPr>
                <w:spacing w:val="-6"/>
                <w:sz w:val="20"/>
              </w:rPr>
              <w:t> </w:t>
            </w:r>
            <w:r>
              <w:rPr>
                <w:sz w:val="20"/>
              </w:rPr>
              <w:t>delivery</w:t>
            </w:r>
            <w:r>
              <w:rPr>
                <w:spacing w:val="-6"/>
                <w:sz w:val="20"/>
              </w:rPr>
              <w:t> </w:t>
            </w:r>
            <w:r>
              <w:rPr>
                <w:sz w:val="20"/>
              </w:rPr>
              <w:t>optimization</w:t>
            </w:r>
            <w:r>
              <w:rPr>
                <w:spacing w:val="-6"/>
                <w:sz w:val="20"/>
              </w:rPr>
              <w:t> </w:t>
            </w:r>
            <w:r>
              <w:rPr>
                <w:sz w:val="20"/>
              </w:rPr>
              <w:t>solutions provider,</w:t>
            </w:r>
            <w:r>
              <w:rPr>
                <w:spacing w:val="-4"/>
                <w:sz w:val="20"/>
              </w:rPr>
              <w:t> </w:t>
            </w:r>
            <w:r>
              <w:rPr>
                <w:sz w:val="20"/>
              </w:rPr>
              <w:t>from</w:t>
            </w:r>
            <w:r>
              <w:rPr>
                <w:spacing w:val="-4"/>
                <w:sz w:val="20"/>
              </w:rPr>
              <w:t> </w:t>
            </w:r>
            <w:r>
              <w:rPr>
                <w:sz w:val="20"/>
              </w:rPr>
              <w:t>October</w:t>
            </w:r>
            <w:r>
              <w:rPr>
                <w:spacing w:val="-4"/>
                <w:sz w:val="20"/>
              </w:rPr>
              <w:t> </w:t>
            </w:r>
            <w:r>
              <w:rPr>
                <w:sz w:val="20"/>
              </w:rPr>
              <w:t>2003</w:t>
            </w:r>
            <w:r>
              <w:rPr>
                <w:spacing w:val="-4"/>
                <w:sz w:val="20"/>
              </w:rPr>
              <w:t> </w:t>
            </w:r>
            <w:r>
              <w:rPr>
                <w:sz w:val="20"/>
              </w:rPr>
              <w:t>to</w:t>
            </w:r>
            <w:r>
              <w:rPr>
                <w:spacing w:val="-4"/>
                <w:sz w:val="20"/>
              </w:rPr>
              <w:t> </w:t>
            </w:r>
            <w:r>
              <w:rPr>
                <w:sz w:val="20"/>
              </w:rPr>
              <w:t>December</w:t>
            </w:r>
            <w:r>
              <w:rPr>
                <w:spacing w:val="-4"/>
                <w:sz w:val="20"/>
              </w:rPr>
              <w:t> </w:t>
            </w:r>
            <w:r>
              <w:rPr>
                <w:sz w:val="20"/>
              </w:rPr>
              <w:t>2006.</w:t>
            </w:r>
            <w:r>
              <w:rPr>
                <w:spacing w:val="-4"/>
                <w:sz w:val="20"/>
              </w:rPr>
              <w:t> </w:t>
            </w:r>
            <w:r>
              <w:rPr>
                <w:sz w:val="20"/>
              </w:rPr>
              <w:t>Prior</w:t>
            </w:r>
            <w:r>
              <w:rPr>
                <w:spacing w:val="-4"/>
                <w:sz w:val="20"/>
              </w:rPr>
              <w:t> </w:t>
            </w:r>
            <w:r>
              <w:rPr>
                <w:sz w:val="20"/>
              </w:rPr>
              <w:t>to</w:t>
            </w:r>
            <w:r>
              <w:rPr>
                <w:spacing w:val="-4"/>
                <w:sz w:val="20"/>
              </w:rPr>
              <w:t> </w:t>
            </w:r>
            <w:r>
              <w:rPr>
                <w:sz w:val="20"/>
              </w:rPr>
              <w:t>joining</w:t>
            </w:r>
            <w:r>
              <w:rPr>
                <w:spacing w:val="-4"/>
                <w:sz w:val="20"/>
              </w:rPr>
              <w:t> </w:t>
            </w:r>
            <w:r>
              <w:rPr>
                <w:sz w:val="20"/>
              </w:rPr>
              <w:t>Borland,</w:t>
            </w:r>
            <w:r>
              <w:rPr>
                <w:spacing w:val="-4"/>
                <w:sz w:val="20"/>
              </w:rPr>
              <w:t> </w:t>
            </w:r>
            <w:r>
              <w:rPr>
                <w:sz w:val="20"/>
              </w:rPr>
              <w:t>Mr.</w:t>
            </w:r>
            <w:r>
              <w:rPr>
                <w:spacing w:val="-8"/>
                <w:sz w:val="20"/>
              </w:rPr>
              <w:t> </w:t>
            </w:r>
            <w:r>
              <w:rPr>
                <w:sz w:val="20"/>
              </w:rPr>
              <w:t>Thompson</w:t>
            </w:r>
            <w:r>
              <w:rPr>
                <w:spacing w:val="-4"/>
                <w:sz w:val="20"/>
              </w:rPr>
              <w:t> </w:t>
            </w:r>
            <w:r>
              <w:rPr>
                <w:sz w:val="20"/>
              </w:rPr>
              <w:t>was Vice President of Worldwide Sales and Field Operations for Marimba, Inc., a provider of</w:t>
            </w:r>
          </w:p>
          <w:p>
            <w:pPr>
              <w:pStyle w:val="TableParagraph"/>
              <w:spacing w:line="208" w:lineRule="auto"/>
              <w:ind w:left="166"/>
              <w:rPr>
                <w:sz w:val="20"/>
              </w:rPr>
            </w:pPr>
            <w:r>
              <w:rPr>
                <w:sz w:val="20"/>
              </w:rPr>
              <w:t>products</w:t>
            </w:r>
            <w:r>
              <w:rPr>
                <w:spacing w:val="-5"/>
                <w:sz w:val="20"/>
              </w:rPr>
              <w:t> </w:t>
            </w:r>
            <w:r>
              <w:rPr>
                <w:sz w:val="20"/>
              </w:rPr>
              <w:t>and</w:t>
            </w:r>
            <w:r>
              <w:rPr>
                <w:spacing w:val="-4"/>
                <w:sz w:val="20"/>
              </w:rPr>
              <w:t> </w:t>
            </w:r>
            <w:r>
              <w:rPr>
                <w:sz w:val="20"/>
              </w:rPr>
              <w:t>services</w:t>
            </w:r>
            <w:r>
              <w:rPr>
                <w:spacing w:val="-5"/>
                <w:sz w:val="20"/>
              </w:rPr>
              <w:t> </w:t>
            </w:r>
            <w:r>
              <w:rPr>
                <w:sz w:val="20"/>
              </w:rPr>
              <w:t>for</w:t>
            </w:r>
            <w:r>
              <w:rPr>
                <w:spacing w:val="-4"/>
                <w:sz w:val="20"/>
              </w:rPr>
              <w:t> </w:t>
            </w:r>
            <w:r>
              <w:rPr>
                <w:sz w:val="20"/>
              </w:rPr>
              <w:t>software</w:t>
            </w:r>
            <w:r>
              <w:rPr>
                <w:spacing w:val="-4"/>
                <w:sz w:val="20"/>
              </w:rPr>
              <w:t> </w:t>
            </w:r>
            <w:r>
              <w:rPr>
                <w:sz w:val="20"/>
              </w:rPr>
              <w:t>change</w:t>
            </w:r>
            <w:r>
              <w:rPr>
                <w:spacing w:val="-4"/>
                <w:sz w:val="20"/>
              </w:rPr>
              <w:t> </w:t>
            </w:r>
            <w:r>
              <w:rPr>
                <w:sz w:val="20"/>
              </w:rPr>
              <w:t>and</w:t>
            </w:r>
            <w:r>
              <w:rPr>
                <w:spacing w:val="-4"/>
                <w:sz w:val="20"/>
              </w:rPr>
              <w:t> </w:t>
            </w:r>
            <w:r>
              <w:rPr>
                <w:sz w:val="20"/>
              </w:rPr>
              <w:t>configuration</w:t>
            </w:r>
            <w:r>
              <w:rPr>
                <w:spacing w:val="-4"/>
                <w:sz w:val="20"/>
              </w:rPr>
              <w:t> </w:t>
            </w:r>
            <w:r>
              <w:rPr>
                <w:sz w:val="20"/>
              </w:rPr>
              <w:t>management,</w:t>
            </w:r>
            <w:r>
              <w:rPr>
                <w:spacing w:val="-4"/>
                <w:sz w:val="20"/>
              </w:rPr>
              <w:t> </w:t>
            </w:r>
            <w:r>
              <w:rPr>
                <w:sz w:val="20"/>
              </w:rPr>
              <w:t>from</w:t>
            </w:r>
            <w:r>
              <w:rPr>
                <w:spacing w:val="-4"/>
                <w:sz w:val="20"/>
              </w:rPr>
              <w:t> </w:t>
            </w:r>
            <w:r>
              <w:rPr>
                <w:sz w:val="20"/>
              </w:rPr>
              <w:t>February</w:t>
            </w:r>
            <w:r>
              <w:rPr>
                <w:spacing w:val="-4"/>
                <w:sz w:val="20"/>
              </w:rPr>
              <w:t> </w:t>
            </w:r>
            <w:r>
              <w:rPr>
                <w:sz w:val="20"/>
              </w:rPr>
              <w:t>2001 to January 2003. From July 2000 to January 2001, Mr. Thompson was Vice President of Worldwide Sales for Calico Commerce, Inc., a provider of eBusiness applications. Prior to joining Calico, Mr.</w:t>
            </w:r>
            <w:r>
              <w:rPr>
                <w:spacing w:val="-1"/>
                <w:sz w:val="20"/>
              </w:rPr>
              <w:t> </w:t>
            </w:r>
            <w:r>
              <w:rPr>
                <w:sz w:val="20"/>
              </w:rPr>
              <w:t>Thompson spent six years at Cadence Design Systems,</w:t>
            </w:r>
            <w:r>
              <w:rPr>
                <w:spacing w:val="40"/>
                <w:sz w:val="20"/>
              </w:rPr>
              <w:t> </w:t>
            </w:r>
            <w:r>
              <w:rPr>
                <w:sz w:val="20"/>
              </w:rPr>
              <w:t>Inc., a provider of electronic design technologies. While at Cadence, from January 1998 to June 2000,</w:t>
            </w:r>
          </w:p>
          <w:p>
            <w:pPr>
              <w:pStyle w:val="TableParagraph"/>
              <w:spacing w:line="208" w:lineRule="auto"/>
              <w:ind w:left="166" w:right="75"/>
              <w:rPr>
                <w:sz w:val="20"/>
              </w:rPr>
            </w:pPr>
            <w:r>
              <w:rPr>
                <w:sz w:val="20"/>
              </w:rPr>
              <w:t>Mr.</w:t>
            </w:r>
            <w:r>
              <w:rPr>
                <w:spacing w:val="-10"/>
                <w:sz w:val="20"/>
              </w:rPr>
              <w:t> </w:t>
            </w:r>
            <w:r>
              <w:rPr>
                <w:sz w:val="20"/>
              </w:rPr>
              <w:t>Thompson</w:t>
            </w:r>
            <w:r>
              <w:rPr>
                <w:spacing w:val="-7"/>
                <w:sz w:val="20"/>
              </w:rPr>
              <w:t> </w:t>
            </w:r>
            <w:r>
              <w:rPr>
                <w:sz w:val="20"/>
              </w:rPr>
              <w:t>served</w:t>
            </w:r>
            <w:r>
              <w:rPr>
                <w:spacing w:val="-7"/>
                <w:sz w:val="20"/>
              </w:rPr>
              <w:t> </w:t>
            </w:r>
            <w:r>
              <w:rPr>
                <w:sz w:val="20"/>
              </w:rPr>
              <w:t>as</w:t>
            </w:r>
            <w:r>
              <w:rPr>
                <w:spacing w:val="-8"/>
                <w:sz w:val="20"/>
              </w:rPr>
              <w:t> </w:t>
            </w:r>
            <w:r>
              <w:rPr>
                <w:sz w:val="20"/>
              </w:rPr>
              <w:t>Senior</w:t>
            </w:r>
            <w:r>
              <w:rPr>
                <w:spacing w:val="-10"/>
                <w:sz w:val="20"/>
              </w:rPr>
              <w:t> </w:t>
            </w:r>
            <w:r>
              <w:rPr>
                <w:sz w:val="20"/>
              </w:rPr>
              <w:t>Vice</w:t>
            </w:r>
            <w:r>
              <w:rPr>
                <w:spacing w:val="-7"/>
                <w:sz w:val="20"/>
              </w:rPr>
              <w:t> </w:t>
            </w:r>
            <w:r>
              <w:rPr>
                <w:sz w:val="20"/>
              </w:rPr>
              <w:t>President,</w:t>
            </w:r>
            <w:r>
              <w:rPr>
                <w:spacing w:val="-10"/>
                <w:sz w:val="20"/>
              </w:rPr>
              <w:t> </w:t>
            </w:r>
            <w:r>
              <w:rPr>
                <w:sz w:val="20"/>
              </w:rPr>
              <w:t>Worldwide</w:t>
            </w:r>
            <w:r>
              <w:rPr>
                <w:spacing w:val="-7"/>
                <w:sz w:val="20"/>
              </w:rPr>
              <w:t> </w:t>
            </w:r>
            <w:r>
              <w:rPr>
                <w:sz w:val="20"/>
              </w:rPr>
              <w:t>Sales</w:t>
            </w:r>
            <w:r>
              <w:rPr>
                <w:spacing w:val="-8"/>
                <w:sz w:val="20"/>
              </w:rPr>
              <w:t> </w:t>
            </w:r>
            <w:r>
              <w:rPr>
                <w:sz w:val="20"/>
              </w:rPr>
              <w:t>and</w:t>
            </w:r>
            <w:r>
              <w:rPr>
                <w:spacing w:val="-7"/>
                <w:sz w:val="20"/>
              </w:rPr>
              <w:t> </w:t>
            </w:r>
            <w:r>
              <w:rPr>
                <w:sz w:val="20"/>
              </w:rPr>
              <w:t>Field</w:t>
            </w:r>
            <w:r>
              <w:rPr>
                <w:spacing w:val="-7"/>
                <w:sz w:val="20"/>
              </w:rPr>
              <w:t> </w:t>
            </w:r>
            <w:r>
              <w:rPr>
                <w:sz w:val="20"/>
              </w:rPr>
              <w:t>Operations</w:t>
            </w:r>
            <w:r>
              <w:rPr>
                <w:spacing w:val="-8"/>
                <w:sz w:val="20"/>
              </w:rPr>
              <w:t> </w:t>
            </w:r>
            <w:r>
              <w:rPr>
                <w:sz w:val="20"/>
              </w:rPr>
              <w:t>and from</w:t>
            </w:r>
            <w:r>
              <w:rPr>
                <w:spacing w:val="-3"/>
                <w:sz w:val="20"/>
              </w:rPr>
              <w:t> </w:t>
            </w:r>
            <w:r>
              <w:rPr>
                <w:sz w:val="20"/>
              </w:rPr>
              <w:t>April 1994 to January 1998 as Vice President, Worldwide Professional Services.</w:t>
            </w:r>
          </w:p>
          <w:p>
            <w:pPr>
              <w:pStyle w:val="TableParagraph"/>
              <w:spacing w:line="206" w:lineRule="exact"/>
              <w:ind w:left="166"/>
              <w:rPr>
                <w:sz w:val="20"/>
              </w:rPr>
            </w:pPr>
            <w:r>
              <w:rPr>
                <w:sz w:val="20"/>
              </w:rPr>
              <w:t>Mr.</w:t>
            </w:r>
            <w:r>
              <w:rPr>
                <w:spacing w:val="-6"/>
                <w:sz w:val="20"/>
              </w:rPr>
              <w:t> </w:t>
            </w:r>
            <w:r>
              <w:rPr>
                <w:sz w:val="20"/>
              </w:rPr>
              <w:t>Thompson</w:t>
            </w:r>
            <w:r>
              <w:rPr>
                <w:spacing w:val="-2"/>
                <w:sz w:val="20"/>
              </w:rPr>
              <w:t> </w:t>
            </w:r>
            <w:r>
              <w:rPr>
                <w:sz w:val="20"/>
              </w:rPr>
              <w:t>is</w:t>
            </w:r>
            <w:r>
              <w:rPr>
                <w:spacing w:val="-2"/>
                <w:sz w:val="20"/>
              </w:rPr>
              <w:t> </w:t>
            </w:r>
            <w:r>
              <w:rPr>
                <w:sz w:val="20"/>
              </w:rPr>
              <w:t>a</w:t>
            </w:r>
            <w:r>
              <w:rPr>
                <w:spacing w:val="-2"/>
                <w:sz w:val="20"/>
              </w:rPr>
              <w:t> </w:t>
            </w:r>
            <w:r>
              <w:rPr>
                <w:sz w:val="20"/>
              </w:rPr>
              <w:t>board</w:t>
            </w:r>
            <w:r>
              <w:rPr>
                <w:spacing w:val="-2"/>
                <w:sz w:val="20"/>
              </w:rPr>
              <w:t> </w:t>
            </w:r>
            <w:r>
              <w:rPr>
                <w:sz w:val="20"/>
              </w:rPr>
              <w:t>member</w:t>
            </w:r>
            <w:r>
              <w:rPr>
                <w:spacing w:val="-1"/>
                <w:sz w:val="20"/>
              </w:rPr>
              <w:t> </w:t>
            </w:r>
            <w:r>
              <w:rPr>
                <w:sz w:val="20"/>
              </w:rPr>
              <w:t>of</w:t>
            </w:r>
            <w:r>
              <w:rPr>
                <w:spacing w:val="-2"/>
                <w:sz w:val="20"/>
              </w:rPr>
              <w:t> </w:t>
            </w:r>
            <w:r>
              <w:rPr>
                <w:sz w:val="20"/>
              </w:rPr>
              <w:t>NCR</w:t>
            </w:r>
            <w:r>
              <w:rPr>
                <w:spacing w:val="-1"/>
                <w:sz w:val="20"/>
              </w:rPr>
              <w:t> </w:t>
            </w:r>
            <w:r>
              <w:rPr>
                <w:spacing w:val="-2"/>
                <w:sz w:val="20"/>
              </w:rPr>
              <w:t>Corporation.</w:t>
            </w:r>
          </w:p>
        </w:tc>
      </w:tr>
      <w:tr>
        <w:trPr>
          <w:trHeight w:val="350" w:hRule="atLeast"/>
        </w:trPr>
        <w:tc>
          <w:tcPr>
            <w:tcW w:w="1842" w:type="dxa"/>
          </w:tcPr>
          <w:p>
            <w:pPr>
              <w:pStyle w:val="TableParagraph"/>
              <w:spacing w:before="30"/>
              <w:ind w:left="50"/>
              <w:rPr>
                <w:sz w:val="20"/>
              </w:rPr>
            </w:pPr>
            <w:r>
              <w:rPr>
                <w:sz w:val="20"/>
              </w:rPr>
              <w:t>Michael </w:t>
            </w:r>
            <w:r>
              <w:rPr>
                <w:spacing w:val="-2"/>
                <w:sz w:val="20"/>
              </w:rPr>
              <w:t>Dillon</w:t>
            </w:r>
          </w:p>
        </w:tc>
        <w:tc>
          <w:tcPr>
            <w:tcW w:w="542" w:type="dxa"/>
          </w:tcPr>
          <w:p>
            <w:pPr>
              <w:pStyle w:val="TableParagraph"/>
              <w:spacing w:before="30"/>
              <w:ind w:left="14"/>
              <w:jc w:val="center"/>
              <w:rPr>
                <w:sz w:val="20"/>
              </w:rPr>
            </w:pPr>
            <w:r>
              <w:rPr>
                <w:spacing w:val="-5"/>
                <w:sz w:val="20"/>
              </w:rPr>
              <w:t>59</w:t>
            </w:r>
          </w:p>
        </w:tc>
        <w:tc>
          <w:tcPr>
            <w:tcW w:w="7835" w:type="dxa"/>
          </w:tcPr>
          <w:p>
            <w:pPr>
              <w:pStyle w:val="TableParagraph"/>
              <w:spacing w:before="30"/>
              <w:ind w:left="166"/>
              <w:rPr>
                <w:sz w:val="20"/>
              </w:rPr>
            </w:pPr>
            <w:r>
              <w:rPr>
                <w:sz w:val="20"/>
              </w:rPr>
              <w:t>Executive</w:t>
            </w:r>
            <w:r>
              <w:rPr>
                <w:spacing w:val="-6"/>
                <w:sz w:val="20"/>
              </w:rPr>
              <w:t> </w:t>
            </w:r>
            <w:r>
              <w:rPr>
                <w:sz w:val="20"/>
              </w:rPr>
              <w:t>Vice</w:t>
            </w:r>
            <w:r>
              <w:rPr>
                <w:spacing w:val="-2"/>
                <w:sz w:val="20"/>
              </w:rPr>
              <w:t> </w:t>
            </w:r>
            <w:r>
              <w:rPr>
                <w:sz w:val="20"/>
              </w:rPr>
              <w:t>President,</w:t>
            </w:r>
            <w:r>
              <w:rPr>
                <w:spacing w:val="-3"/>
                <w:sz w:val="20"/>
              </w:rPr>
              <w:t> </w:t>
            </w:r>
            <w:r>
              <w:rPr>
                <w:sz w:val="20"/>
              </w:rPr>
              <w:t>General</w:t>
            </w:r>
            <w:r>
              <w:rPr>
                <w:spacing w:val="-3"/>
                <w:sz w:val="20"/>
              </w:rPr>
              <w:t> </w:t>
            </w:r>
            <w:r>
              <w:rPr>
                <w:sz w:val="20"/>
              </w:rPr>
              <w:t>Counsel</w:t>
            </w:r>
            <w:r>
              <w:rPr>
                <w:spacing w:val="-3"/>
                <w:sz w:val="20"/>
              </w:rPr>
              <w:t> </w:t>
            </w:r>
            <w:r>
              <w:rPr>
                <w:sz w:val="20"/>
              </w:rPr>
              <w:t>and</w:t>
            </w:r>
            <w:r>
              <w:rPr>
                <w:spacing w:val="-2"/>
                <w:sz w:val="20"/>
              </w:rPr>
              <w:t> </w:t>
            </w:r>
            <w:r>
              <w:rPr>
                <w:sz w:val="20"/>
              </w:rPr>
              <w:t>Corporate</w:t>
            </w:r>
            <w:r>
              <w:rPr>
                <w:spacing w:val="-2"/>
                <w:sz w:val="20"/>
              </w:rPr>
              <w:t> Secretary</w:t>
            </w:r>
          </w:p>
        </w:tc>
      </w:tr>
      <w:tr>
        <w:trPr>
          <w:trHeight w:val="2550" w:hRule="atLeast"/>
        </w:trPr>
        <w:tc>
          <w:tcPr>
            <w:tcW w:w="1842" w:type="dxa"/>
          </w:tcPr>
          <w:p>
            <w:pPr>
              <w:pStyle w:val="TableParagraph"/>
              <w:rPr>
                <w:sz w:val="18"/>
              </w:rPr>
            </w:pPr>
          </w:p>
        </w:tc>
        <w:tc>
          <w:tcPr>
            <w:tcW w:w="542" w:type="dxa"/>
          </w:tcPr>
          <w:p>
            <w:pPr>
              <w:pStyle w:val="TableParagraph"/>
              <w:rPr>
                <w:sz w:val="18"/>
              </w:rPr>
            </w:pPr>
          </w:p>
        </w:tc>
        <w:tc>
          <w:tcPr>
            <w:tcW w:w="7835" w:type="dxa"/>
          </w:tcPr>
          <w:p>
            <w:pPr>
              <w:pStyle w:val="TableParagraph"/>
              <w:spacing w:line="208" w:lineRule="auto" w:before="105"/>
              <w:ind w:left="166" w:right="46"/>
              <w:jc w:val="both"/>
              <w:rPr>
                <w:sz w:val="20"/>
              </w:rPr>
            </w:pPr>
            <w:r>
              <w:rPr>
                <w:spacing w:val="-2"/>
                <w:sz w:val="20"/>
              </w:rPr>
              <w:t>Mr.</w:t>
            </w:r>
            <w:r>
              <w:rPr>
                <w:spacing w:val="-11"/>
                <w:sz w:val="20"/>
              </w:rPr>
              <w:t> </w:t>
            </w:r>
            <w:r>
              <w:rPr>
                <w:spacing w:val="-2"/>
                <w:sz w:val="20"/>
              </w:rPr>
              <w:t>Dillon</w:t>
            </w:r>
            <w:r>
              <w:rPr>
                <w:spacing w:val="-10"/>
                <w:sz w:val="20"/>
              </w:rPr>
              <w:t> </w:t>
            </w:r>
            <w:r>
              <w:rPr>
                <w:spacing w:val="-2"/>
                <w:sz w:val="20"/>
              </w:rPr>
              <w:t>joined</w:t>
            </w:r>
            <w:r>
              <w:rPr>
                <w:spacing w:val="-11"/>
                <w:sz w:val="20"/>
              </w:rPr>
              <w:t> </w:t>
            </w:r>
            <w:r>
              <w:rPr>
                <w:spacing w:val="-2"/>
                <w:sz w:val="20"/>
              </w:rPr>
              <w:t>Adobe</w:t>
            </w:r>
            <w:r>
              <w:rPr>
                <w:spacing w:val="-10"/>
                <w:sz w:val="20"/>
              </w:rPr>
              <w:t> </w:t>
            </w:r>
            <w:r>
              <w:rPr>
                <w:spacing w:val="-2"/>
                <w:sz w:val="20"/>
              </w:rPr>
              <w:t>in</w:t>
            </w:r>
            <w:r>
              <w:rPr>
                <w:spacing w:val="-11"/>
                <w:sz w:val="20"/>
              </w:rPr>
              <w:t> </w:t>
            </w:r>
            <w:r>
              <w:rPr>
                <w:spacing w:val="-2"/>
                <w:sz w:val="20"/>
              </w:rPr>
              <w:t>August</w:t>
            </w:r>
            <w:r>
              <w:rPr>
                <w:spacing w:val="-10"/>
                <w:sz w:val="20"/>
              </w:rPr>
              <w:t> </w:t>
            </w:r>
            <w:r>
              <w:rPr>
                <w:spacing w:val="-2"/>
                <w:sz w:val="20"/>
              </w:rPr>
              <w:t>2012</w:t>
            </w:r>
            <w:r>
              <w:rPr>
                <w:spacing w:val="-11"/>
                <w:sz w:val="20"/>
              </w:rPr>
              <w:t> </w:t>
            </w:r>
            <w:r>
              <w:rPr>
                <w:spacing w:val="-2"/>
                <w:sz w:val="20"/>
              </w:rPr>
              <w:t>as</w:t>
            </w:r>
            <w:r>
              <w:rPr>
                <w:spacing w:val="-10"/>
                <w:sz w:val="20"/>
              </w:rPr>
              <w:t> </w:t>
            </w:r>
            <w:r>
              <w:rPr>
                <w:spacing w:val="-2"/>
                <w:sz w:val="20"/>
              </w:rPr>
              <w:t>Senior</w:t>
            </w:r>
            <w:r>
              <w:rPr>
                <w:spacing w:val="-11"/>
                <w:sz w:val="20"/>
              </w:rPr>
              <w:t> </w:t>
            </w:r>
            <w:r>
              <w:rPr>
                <w:spacing w:val="-2"/>
                <w:sz w:val="20"/>
              </w:rPr>
              <w:t>Vice</w:t>
            </w:r>
            <w:r>
              <w:rPr>
                <w:spacing w:val="-10"/>
                <w:sz w:val="20"/>
              </w:rPr>
              <w:t> </w:t>
            </w:r>
            <w:r>
              <w:rPr>
                <w:spacing w:val="-2"/>
                <w:sz w:val="20"/>
              </w:rPr>
              <w:t>President,</w:t>
            </w:r>
            <w:r>
              <w:rPr>
                <w:spacing w:val="-11"/>
                <w:sz w:val="20"/>
              </w:rPr>
              <w:t> </w:t>
            </w:r>
            <w:r>
              <w:rPr>
                <w:spacing w:val="-2"/>
                <w:sz w:val="20"/>
              </w:rPr>
              <w:t>General</w:t>
            </w:r>
            <w:r>
              <w:rPr>
                <w:spacing w:val="-10"/>
                <w:sz w:val="20"/>
              </w:rPr>
              <w:t> </w:t>
            </w:r>
            <w:r>
              <w:rPr>
                <w:spacing w:val="-2"/>
                <w:sz w:val="20"/>
              </w:rPr>
              <w:t>Counsel</w:t>
            </w:r>
            <w:r>
              <w:rPr>
                <w:spacing w:val="-11"/>
                <w:sz w:val="20"/>
              </w:rPr>
              <w:t> </w:t>
            </w:r>
            <w:r>
              <w:rPr>
                <w:spacing w:val="-2"/>
                <w:sz w:val="20"/>
              </w:rPr>
              <w:t>and</w:t>
            </w:r>
            <w:r>
              <w:rPr>
                <w:spacing w:val="-10"/>
                <w:sz w:val="20"/>
              </w:rPr>
              <w:t> </w:t>
            </w:r>
            <w:r>
              <w:rPr>
                <w:spacing w:val="-2"/>
                <w:sz w:val="20"/>
              </w:rPr>
              <w:t>Corporate Secretary.</w:t>
            </w:r>
            <w:r>
              <w:rPr>
                <w:spacing w:val="-6"/>
                <w:sz w:val="20"/>
              </w:rPr>
              <w:t> </w:t>
            </w:r>
            <w:r>
              <w:rPr>
                <w:spacing w:val="-2"/>
                <w:sz w:val="20"/>
              </w:rPr>
              <w:t>Prior</w:t>
            </w:r>
            <w:r>
              <w:rPr>
                <w:spacing w:val="-4"/>
                <w:sz w:val="20"/>
              </w:rPr>
              <w:t> </w:t>
            </w:r>
            <w:r>
              <w:rPr>
                <w:spacing w:val="-2"/>
                <w:sz w:val="20"/>
              </w:rPr>
              <w:t>to</w:t>
            </w:r>
            <w:r>
              <w:rPr>
                <w:spacing w:val="-4"/>
                <w:sz w:val="20"/>
              </w:rPr>
              <w:t> </w:t>
            </w:r>
            <w:r>
              <w:rPr>
                <w:spacing w:val="-2"/>
                <w:sz w:val="20"/>
              </w:rPr>
              <w:t>joining</w:t>
            </w:r>
            <w:r>
              <w:rPr>
                <w:spacing w:val="-11"/>
                <w:sz w:val="20"/>
              </w:rPr>
              <w:t> </w:t>
            </w:r>
            <w:r>
              <w:rPr>
                <w:spacing w:val="-2"/>
                <w:sz w:val="20"/>
              </w:rPr>
              <w:t>Adobe,</w:t>
            </w:r>
            <w:r>
              <w:rPr>
                <w:spacing w:val="-4"/>
                <w:sz w:val="20"/>
              </w:rPr>
              <w:t> </w:t>
            </w:r>
            <w:r>
              <w:rPr>
                <w:spacing w:val="-2"/>
                <w:sz w:val="20"/>
              </w:rPr>
              <w:t>Mr.</w:t>
            </w:r>
            <w:r>
              <w:rPr>
                <w:spacing w:val="11"/>
                <w:sz w:val="20"/>
              </w:rPr>
              <w:t> </w:t>
            </w:r>
            <w:r>
              <w:rPr>
                <w:spacing w:val="-2"/>
                <w:sz w:val="20"/>
              </w:rPr>
              <w:t>Dillon</w:t>
            </w:r>
            <w:r>
              <w:rPr>
                <w:spacing w:val="-4"/>
                <w:sz w:val="20"/>
              </w:rPr>
              <w:t> </w:t>
            </w:r>
            <w:r>
              <w:rPr>
                <w:spacing w:val="-2"/>
                <w:sz w:val="20"/>
              </w:rPr>
              <w:t>served</w:t>
            </w:r>
            <w:r>
              <w:rPr>
                <w:spacing w:val="-4"/>
                <w:sz w:val="20"/>
              </w:rPr>
              <w:t> </w:t>
            </w:r>
            <w:r>
              <w:rPr>
                <w:spacing w:val="-2"/>
                <w:sz w:val="20"/>
              </w:rPr>
              <w:t>as</w:t>
            </w:r>
            <w:r>
              <w:rPr>
                <w:spacing w:val="-4"/>
                <w:sz w:val="20"/>
              </w:rPr>
              <w:t> </w:t>
            </w:r>
            <w:r>
              <w:rPr>
                <w:spacing w:val="-2"/>
                <w:sz w:val="20"/>
              </w:rPr>
              <w:t>General</w:t>
            </w:r>
            <w:r>
              <w:rPr>
                <w:spacing w:val="-4"/>
                <w:sz w:val="20"/>
              </w:rPr>
              <w:t> </w:t>
            </w:r>
            <w:r>
              <w:rPr>
                <w:spacing w:val="-2"/>
                <w:sz w:val="20"/>
              </w:rPr>
              <w:t>Counsel</w:t>
            </w:r>
            <w:r>
              <w:rPr>
                <w:spacing w:val="-4"/>
                <w:sz w:val="20"/>
              </w:rPr>
              <w:t> </w:t>
            </w:r>
            <w:r>
              <w:rPr>
                <w:spacing w:val="-2"/>
                <w:sz w:val="20"/>
              </w:rPr>
              <w:t>and</w:t>
            </w:r>
            <w:r>
              <w:rPr>
                <w:spacing w:val="-4"/>
                <w:sz w:val="20"/>
              </w:rPr>
              <w:t> </w:t>
            </w:r>
            <w:r>
              <w:rPr>
                <w:spacing w:val="-2"/>
                <w:sz w:val="20"/>
              </w:rPr>
              <w:t>Corporate</w:t>
            </w:r>
            <w:r>
              <w:rPr>
                <w:spacing w:val="-4"/>
                <w:sz w:val="20"/>
              </w:rPr>
              <w:t> </w:t>
            </w:r>
            <w:r>
              <w:rPr>
                <w:spacing w:val="-2"/>
                <w:sz w:val="20"/>
              </w:rPr>
              <w:t>Secretary </w:t>
            </w:r>
            <w:r>
              <w:rPr>
                <w:sz w:val="20"/>
              </w:rPr>
              <w:t>of Silver Spring Networks, a networking solutions provider, from November 2010 to August 2012. Before joining Silver Spring Networks, Mr.</w:t>
            </w:r>
            <w:r>
              <w:rPr>
                <w:spacing w:val="-3"/>
                <w:sz w:val="20"/>
              </w:rPr>
              <w:t> </w:t>
            </w:r>
            <w:r>
              <w:rPr>
                <w:sz w:val="20"/>
              </w:rPr>
              <w:t>Dillon served in various capacities at Sun Microsystems, a diversified computer networking company, prior to its acquisition by Oracle Corporation. While at Sun Microsystems, from</w:t>
            </w:r>
            <w:r>
              <w:rPr>
                <w:spacing w:val="-8"/>
                <w:sz w:val="20"/>
              </w:rPr>
              <w:t> </w:t>
            </w:r>
            <w:r>
              <w:rPr>
                <w:sz w:val="20"/>
              </w:rPr>
              <w:t>April 2006 to January 2010, Mr.</w:t>
            </w:r>
            <w:r>
              <w:rPr>
                <w:spacing w:val="-4"/>
                <w:sz w:val="20"/>
              </w:rPr>
              <w:t> </w:t>
            </w:r>
            <w:r>
              <w:rPr>
                <w:sz w:val="20"/>
              </w:rPr>
              <w:t>Dillon </w:t>
            </w:r>
            <w:r>
              <w:rPr>
                <w:sz w:val="20"/>
              </w:rPr>
              <w:t>served as</w:t>
            </w:r>
            <w:r>
              <w:rPr>
                <w:spacing w:val="-2"/>
                <w:sz w:val="20"/>
              </w:rPr>
              <w:t> </w:t>
            </w:r>
            <w:r>
              <w:rPr>
                <w:sz w:val="20"/>
              </w:rPr>
              <w:t>Executive</w:t>
            </w:r>
            <w:r>
              <w:rPr>
                <w:spacing w:val="-5"/>
                <w:sz w:val="20"/>
              </w:rPr>
              <w:t> </w:t>
            </w:r>
            <w:r>
              <w:rPr>
                <w:sz w:val="20"/>
              </w:rPr>
              <w:t>Vice</w:t>
            </w:r>
            <w:r>
              <w:rPr>
                <w:spacing w:val="-2"/>
                <w:sz w:val="20"/>
              </w:rPr>
              <w:t> </w:t>
            </w:r>
            <w:r>
              <w:rPr>
                <w:sz w:val="20"/>
              </w:rPr>
              <w:t>President,</w:t>
            </w:r>
            <w:r>
              <w:rPr>
                <w:spacing w:val="-2"/>
                <w:sz w:val="20"/>
              </w:rPr>
              <w:t> </w:t>
            </w:r>
            <w:r>
              <w:rPr>
                <w:sz w:val="20"/>
              </w:rPr>
              <w:t>General</w:t>
            </w:r>
            <w:r>
              <w:rPr>
                <w:spacing w:val="-2"/>
                <w:sz w:val="20"/>
              </w:rPr>
              <w:t> </w:t>
            </w:r>
            <w:r>
              <w:rPr>
                <w:sz w:val="20"/>
              </w:rPr>
              <w:t>Counsel</w:t>
            </w:r>
            <w:r>
              <w:rPr>
                <w:spacing w:val="-2"/>
                <w:sz w:val="20"/>
              </w:rPr>
              <w:t> </w:t>
            </w:r>
            <w:r>
              <w:rPr>
                <w:sz w:val="20"/>
              </w:rPr>
              <w:t>and</w:t>
            </w:r>
            <w:r>
              <w:rPr>
                <w:spacing w:val="-2"/>
                <w:sz w:val="20"/>
              </w:rPr>
              <w:t> </w:t>
            </w:r>
            <w:r>
              <w:rPr>
                <w:sz w:val="20"/>
              </w:rPr>
              <w:t>Secretary,</w:t>
            </w:r>
            <w:r>
              <w:rPr>
                <w:spacing w:val="-2"/>
                <w:sz w:val="20"/>
              </w:rPr>
              <w:t> </w:t>
            </w:r>
            <w:r>
              <w:rPr>
                <w:sz w:val="20"/>
              </w:rPr>
              <w:t>from</w:t>
            </w:r>
            <w:r>
              <w:rPr>
                <w:spacing w:val="-13"/>
                <w:sz w:val="20"/>
              </w:rPr>
              <w:t> </w:t>
            </w:r>
            <w:r>
              <w:rPr>
                <w:sz w:val="20"/>
              </w:rPr>
              <w:t>April</w:t>
            </w:r>
            <w:r>
              <w:rPr>
                <w:spacing w:val="-1"/>
                <w:sz w:val="20"/>
              </w:rPr>
              <w:t> </w:t>
            </w:r>
            <w:r>
              <w:rPr>
                <w:sz w:val="20"/>
              </w:rPr>
              <w:t>2004</w:t>
            </w:r>
            <w:r>
              <w:rPr>
                <w:spacing w:val="-2"/>
                <w:sz w:val="20"/>
              </w:rPr>
              <w:t> </w:t>
            </w:r>
            <w:r>
              <w:rPr>
                <w:sz w:val="20"/>
              </w:rPr>
              <w:t>to</w:t>
            </w:r>
            <w:r>
              <w:rPr>
                <w:spacing w:val="-13"/>
                <w:sz w:val="20"/>
              </w:rPr>
              <w:t> </w:t>
            </w:r>
            <w:r>
              <w:rPr>
                <w:sz w:val="20"/>
              </w:rPr>
              <w:t>April</w:t>
            </w:r>
            <w:r>
              <w:rPr>
                <w:spacing w:val="-1"/>
                <w:sz w:val="20"/>
              </w:rPr>
              <w:t> </w:t>
            </w:r>
            <w:r>
              <w:rPr>
                <w:sz w:val="20"/>
              </w:rPr>
              <w:t>2006,</w:t>
            </w:r>
            <w:r>
              <w:rPr>
                <w:spacing w:val="-2"/>
                <w:sz w:val="20"/>
              </w:rPr>
              <w:t> </w:t>
            </w:r>
            <w:r>
              <w:rPr>
                <w:sz w:val="20"/>
              </w:rPr>
              <w:t>as Senior</w:t>
            </w:r>
            <w:r>
              <w:rPr>
                <w:spacing w:val="-6"/>
                <w:sz w:val="20"/>
              </w:rPr>
              <w:t> </w:t>
            </w:r>
            <w:r>
              <w:rPr>
                <w:sz w:val="20"/>
              </w:rPr>
              <w:t>Vice</w:t>
            </w:r>
            <w:r>
              <w:rPr>
                <w:spacing w:val="-3"/>
                <w:sz w:val="20"/>
              </w:rPr>
              <w:t> </w:t>
            </w:r>
            <w:r>
              <w:rPr>
                <w:sz w:val="20"/>
              </w:rPr>
              <w:t>President,</w:t>
            </w:r>
            <w:r>
              <w:rPr>
                <w:spacing w:val="-3"/>
                <w:sz w:val="20"/>
              </w:rPr>
              <w:t> </w:t>
            </w:r>
            <w:r>
              <w:rPr>
                <w:sz w:val="20"/>
              </w:rPr>
              <w:t>General</w:t>
            </w:r>
            <w:r>
              <w:rPr>
                <w:spacing w:val="-3"/>
                <w:sz w:val="20"/>
              </w:rPr>
              <w:t> </w:t>
            </w:r>
            <w:r>
              <w:rPr>
                <w:sz w:val="20"/>
              </w:rPr>
              <w:t>Counsel</w:t>
            </w:r>
            <w:r>
              <w:rPr>
                <w:spacing w:val="-3"/>
                <w:sz w:val="20"/>
              </w:rPr>
              <w:t> </w:t>
            </w:r>
            <w:r>
              <w:rPr>
                <w:sz w:val="20"/>
              </w:rPr>
              <w:t>and</w:t>
            </w:r>
            <w:r>
              <w:rPr>
                <w:spacing w:val="-3"/>
                <w:sz w:val="20"/>
              </w:rPr>
              <w:t> </w:t>
            </w:r>
            <w:r>
              <w:rPr>
                <w:sz w:val="20"/>
              </w:rPr>
              <w:t>Corporate</w:t>
            </w:r>
            <w:r>
              <w:rPr>
                <w:spacing w:val="-3"/>
                <w:sz w:val="20"/>
              </w:rPr>
              <w:t> </w:t>
            </w:r>
            <w:r>
              <w:rPr>
                <w:sz w:val="20"/>
              </w:rPr>
              <w:t>Secretary,</w:t>
            </w:r>
            <w:r>
              <w:rPr>
                <w:spacing w:val="-3"/>
                <w:sz w:val="20"/>
              </w:rPr>
              <w:t> </w:t>
            </w:r>
            <w:r>
              <w:rPr>
                <w:sz w:val="20"/>
              </w:rPr>
              <w:t>and</w:t>
            </w:r>
            <w:r>
              <w:rPr>
                <w:spacing w:val="-3"/>
                <w:sz w:val="20"/>
              </w:rPr>
              <w:t> </w:t>
            </w:r>
            <w:r>
              <w:rPr>
                <w:sz w:val="20"/>
              </w:rPr>
              <w:t>from</w:t>
            </w:r>
            <w:r>
              <w:rPr>
                <w:spacing w:val="-3"/>
                <w:sz w:val="20"/>
              </w:rPr>
              <w:t> </w:t>
            </w:r>
            <w:r>
              <w:rPr>
                <w:sz w:val="20"/>
              </w:rPr>
              <w:t>July</w:t>
            </w:r>
            <w:r>
              <w:rPr>
                <w:spacing w:val="-3"/>
                <w:sz w:val="20"/>
              </w:rPr>
              <w:t> </w:t>
            </w:r>
            <w:r>
              <w:rPr>
                <w:sz w:val="20"/>
              </w:rPr>
              <w:t>2002</w:t>
            </w:r>
            <w:r>
              <w:rPr>
                <w:spacing w:val="-3"/>
                <w:sz w:val="20"/>
              </w:rPr>
              <w:t> </w:t>
            </w:r>
            <w:r>
              <w:rPr>
                <w:sz w:val="20"/>
              </w:rPr>
              <w:t>to</w:t>
            </w:r>
            <w:r>
              <w:rPr>
                <w:spacing w:val="-3"/>
                <w:sz w:val="20"/>
              </w:rPr>
              <w:t> </w:t>
            </w:r>
            <w:r>
              <w:rPr>
                <w:sz w:val="20"/>
              </w:rPr>
              <w:t>March 2004 as Vice President, Products Law Group. From October 1999 until June 2002, Mr.</w:t>
            </w:r>
            <w:r>
              <w:rPr>
                <w:spacing w:val="-4"/>
                <w:sz w:val="20"/>
              </w:rPr>
              <w:t> </w:t>
            </w:r>
            <w:r>
              <w:rPr>
                <w:sz w:val="20"/>
              </w:rPr>
              <w:t>Dillon served as Vice President, General Counsel and Corporate Secretary of ONI Systems Corp, an </w:t>
            </w:r>
            <w:r>
              <w:rPr>
                <w:spacing w:val="-2"/>
                <w:sz w:val="20"/>
              </w:rPr>
              <w:t>optical</w:t>
            </w:r>
            <w:r>
              <w:rPr>
                <w:spacing w:val="-11"/>
                <w:sz w:val="20"/>
              </w:rPr>
              <w:t> </w:t>
            </w:r>
            <w:r>
              <w:rPr>
                <w:spacing w:val="-2"/>
                <w:sz w:val="20"/>
              </w:rPr>
              <w:t>networking</w:t>
            </w:r>
            <w:r>
              <w:rPr>
                <w:spacing w:val="-10"/>
                <w:sz w:val="20"/>
              </w:rPr>
              <w:t> </w:t>
            </w:r>
            <w:r>
              <w:rPr>
                <w:spacing w:val="-2"/>
                <w:sz w:val="20"/>
              </w:rPr>
              <w:t>company.</w:t>
            </w:r>
            <w:r>
              <w:rPr>
                <w:spacing w:val="-11"/>
                <w:sz w:val="20"/>
              </w:rPr>
              <w:t> </w:t>
            </w:r>
            <w:r>
              <w:rPr>
                <w:spacing w:val="-2"/>
                <w:sz w:val="20"/>
              </w:rPr>
              <w:t>Mr.</w:t>
            </w:r>
            <w:r>
              <w:rPr>
                <w:spacing w:val="-10"/>
                <w:sz w:val="20"/>
              </w:rPr>
              <w:t> </w:t>
            </w:r>
            <w:r>
              <w:rPr>
                <w:spacing w:val="-2"/>
                <w:sz w:val="20"/>
              </w:rPr>
              <w:t>Dillon</w:t>
            </w:r>
            <w:r>
              <w:rPr>
                <w:spacing w:val="-11"/>
                <w:sz w:val="20"/>
              </w:rPr>
              <w:t> </w:t>
            </w:r>
            <w:r>
              <w:rPr>
                <w:spacing w:val="-2"/>
                <w:sz w:val="20"/>
              </w:rPr>
              <w:t>is</w:t>
            </w:r>
            <w:r>
              <w:rPr>
                <w:spacing w:val="-10"/>
                <w:sz w:val="20"/>
              </w:rPr>
              <w:t> </w:t>
            </w:r>
            <w:r>
              <w:rPr>
                <w:spacing w:val="-2"/>
                <w:sz w:val="20"/>
              </w:rPr>
              <w:t>a</w:t>
            </w:r>
            <w:r>
              <w:rPr>
                <w:spacing w:val="-11"/>
                <w:sz w:val="20"/>
              </w:rPr>
              <w:t> </w:t>
            </w:r>
            <w:r>
              <w:rPr>
                <w:spacing w:val="-2"/>
                <w:sz w:val="20"/>
              </w:rPr>
              <w:t>board</w:t>
            </w:r>
            <w:r>
              <w:rPr>
                <w:spacing w:val="-10"/>
                <w:sz w:val="20"/>
              </w:rPr>
              <w:t> </w:t>
            </w:r>
            <w:r>
              <w:rPr>
                <w:spacing w:val="-2"/>
                <w:sz w:val="20"/>
              </w:rPr>
              <w:t>member</w:t>
            </w:r>
            <w:r>
              <w:rPr>
                <w:spacing w:val="-11"/>
                <w:sz w:val="20"/>
              </w:rPr>
              <w:t> </w:t>
            </w:r>
            <w:r>
              <w:rPr>
                <w:spacing w:val="-2"/>
                <w:sz w:val="20"/>
              </w:rPr>
              <w:t>of</w:t>
            </w:r>
            <w:r>
              <w:rPr>
                <w:spacing w:val="-10"/>
                <w:sz w:val="20"/>
              </w:rPr>
              <w:t> </w:t>
            </w:r>
            <w:r>
              <w:rPr>
                <w:spacing w:val="-2"/>
                <w:sz w:val="20"/>
              </w:rPr>
              <w:t>the</w:t>
            </w:r>
            <w:r>
              <w:rPr>
                <w:spacing w:val="-11"/>
                <w:sz w:val="20"/>
              </w:rPr>
              <w:t> </w:t>
            </w:r>
            <w:r>
              <w:rPr>
                <w:spacing w:val="-2"/>
                <w:sz w:val="20"/>
              </w:rPr>
              <w:t>Adventure</w:t>
            </w:r>
            <w:r>
              <w:rPr>
                <w:spacing w:val="-10"/>
                <w:sz w:val="20"/>
              </w:rPr>
              <w:t> </w:t>
            </w:r>
            <w:r>
              <w:rPr>
                <w:spacing w:val="-2"/>
                <w:sz w:val="20"/>
              </w:rPr>
              <w:t>Cycling</w:t>
            </w:r>
            <w:r>
              <w:rPr>
                <w:spacing w:val="-11"/>
                <w:sz w:val="20"/>
              </w:rPr>
              <w:t> </w:t>
            </w:r>
            <w:r>
              <w:rPr>
                <w:spacing w:val="-2"/>
                <w:sz w:val="20"/>
              </w:rPr>
              <w:t>Association, </w:t>
            </w:r>
            <w:r>
              <w:rPr>
                <w:sz w:val="20"/>
              </w:rPr>
              <w:t>Business Software Alliance, and the Adobe Foundation.</w:t>
            </w:r>
          </w:p>
        </w:tc>
      </w:tr>
      <w:tr>
        <w:trPr>
          <w:trHeight w:val="350" w:hRule="atLeast"/>
        </w:trPr>
        <w:tc>
          <w:tcPr>
            <w:tcW w:w="1842" w:type="dxa"/>
          </w:tcPr>
          <w:p>
            <w:pPr>
              <w:pStyle w:val="TableParagraph"/>
              <w:spacing w:before="30"/>
              <w:ind w:left="50"/>
              <w:rPr>
                <w:sz w:val="20"/>
              </w:rPr>
            </w:pPr>
            <w:r>
              <w:rPr>
                <w:sz w:val="20"/>
              </w:rPr>
              <w:t>Bryan </w:t>
            </w:r>
            <w:r>
              <w:rPr>
                <w:spacing w:val="-2"/>
                <w:sz w:val="20"/>
              </w:rPr>
              <w:t>Lamkin</w:t>
            </w:r>
          </w:p>
        </w:tc>
        <w:tc>
          <w:tcPr>
            <w:tcW w:w="542" w:type="dxa"/>
          </w:tcPr>
          <w:p>
            <w:pPr>
              <w:pStyle w:val="TableParagraph"/>
              <w:spacing w:before="30"/>
              <w:ind w:left="14"/>
              <w:jc w:val="center"/>
              <w:rPr>
                <w:sz w:val="20"/>
              </w:rPr>
            </w:pPr>
            <w:r>
              <w:rPr>
                <w:spacing w:val="-5"/>
                <w:sz w:val="20"/>
              </w:rPr>
              <w:t>57</w:t>
            </w:r>
          </w:p>
        </w:tc>
        <w:tc>
          <w:tcPr>
            <w:tcW w:w="7835" w:type="dxa"/>
          </w:tcPr>
          <w:p>
            <w:pPr>
              <w:pStyle w:val="TableParagraph"/>
              <w:spacing w:before="30"/>
              <w:ind w:left="166"/>
              <w:rPr>
                <w:sz w:val="20"/>
              </w:rPr>
            </w:pPr>
            <w:r>
              <w:rPr/>
              <mc:AlternateContent>
                <mc:Choice Requires="wps">
                  <w:drawing>
                    <wp:anchor distT="0" distB="0" distL="0" distR="0" allowOverlap="1" layoutInCell="1" locked="0" behindDoc="1" simplePos="0" relativeHeight="479789056">
                      <wp:simplePos x="0" y="0"/>
                      <wp:positionH relativeFrom="column">
                        <wp:posOffset>104775</wp:posOffset>
                      </wp:positionH>
                      <wp:positionV relativeFrom="paragraph">
                        <wp:posOffset>163905</wp:posOffset>
                      </wp:positionV>
                      <wp:extent cx="31750" cy="12827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1750" cy="128270"/>
                                <a:chExt cx="31750" cy="128270"/>
                              </a:xfrm>
                            </wpg:grpSpPr>
                            <pic:pic>
                              <pic:nvPicPr>
                                <pic:cNvPr id="41" name="Image 41"/>
                                <pic:cNvPicPr/>
                              </pic:nvPicPr>
                              <pic:blipFill>
                                <a:blip r:embed="rId23" cstate="print"/>
                                <a:stretch>
                                  <a:fillRect/>
                                </a:stretch>
                              </pic:blipFill>
                              <pic:spPr>
                                <a:xfrm>
                                  <a:off x="0" y="0"/>
                                  <a:ext cx="31718" cy="128015"/>
                                </a:xfrm>
                                <a:prstGeom prst="rect">
                                  <a:avLst/>
                                </a:prstGeom>
                              </pic:spPr>
                            </pic:pic>
                          </wpg:wgp>
                        </a:graphicData>
                      </a:graphic>
                    </wp:anchor>
                  </w:drawing>
                </mc:Choice>
                <mc:Fallback>
                  <w:pict>
                    <v:group style="position:absolute;margin-left:8.25pt;margin-top:12.905945pt;width:2.5pt;height:10.1pt;mso-position-horizontal-relative:column;mso-position-vertical-relative:paragraph;z-index:-23527424" id="docshapegroup15" coordorigin="165,258" coordsize="50,202">
                      <v:shape style="position:absolute;left:165;top:258;width:50;height:202" type="#_x0000_t75" id="docshape16" stroked="false">
                        <v:imagedata r:id="rId23" o:title=""/>
                      </v:shape>
                      <w10:wrap type="none"/>
                    </v:group>
                  </w:pict>
                </mc:Fallback>
              </mc:AlternateContent>
            </w:r>
            <w:r>
              <w:rPr>
                <w:sz w:val="20"/>
              </w:rPr>
              <w:t>Executive</w:t>
            </w:r>
            <w:r>
              <w:rPr>
                <w:spacing w:val="-7"/>
                <w:sz w:val="20"/>
              </w:rPr>
              <w:t> </w:t>
            </w:r>
            <w:r>
              <w:rPr>
                <w:sz w:val="20"/>
              </w:rPr>
              <w:t>Vice</w:t>
            </w:r>
            <w:r>
              <w:rPr>
                <w:spacing w:val="-4"/>
                <w:sz w:val="20"/>
              </w:rPr>
              <w:t> </w:t>
            </w:r>
            <w:r>
              <w:rPr>
                <w:sz w:val="20"/>
              </w:rPr>
              <w:t>President</w:t>
            </w:r>
            <w:r>
              <w:rPr>
                <w:spacing w:val="-4"/>
                <w:sz w:val="20"/>
              </w:rPr>
              <w:t> </w:t>
            </w:r>
            <w:r>
              <w:rPr>
                <w:sz w:val="20"/>
              </w:rPr>
              <w:t>and</w:t>
            </w:r>
            <w:r>
              <w:rPr>
                <w:spacing w:val="-3"/>
                <w:sz w:val="20"/>
              </w:rPr>
              <w:t> </w:t>
            </w:r>
            <w:r>
              <w:rPr>
                <w:sz w:val="20"/>
              </w:rPr>
              <w:t>General</w:t>
            </w:r>
            <w:r>
              <w:rPr>
                <w:spacing w:val="-4"/>
                <w:sz w:val="20"/>
              </w:rPr>
              <w:t> </w:t>
            </w:r>
            <w:r>
              <w:rPr>
                <w:sz w:val="20"/>
              </w:rPr>
              <w:t>Manager,</w:t>
            </w:r>
            <w:r>
              <w:rPr>
                <w:spacing w:val="-3"/>
                <w:sz w:val="20"/>
              </w:rPr>
              <w:t> </w:t>
            </w:r>
            <w:r>
              <w:rPr>
                <w:sz w:val="20"/>
              </w:rPr>
              <w:t>Digital</w:t>
            </w:r>
            <w:r>
              <w:rPr>
                <w:spacing w:val="-4"/>
                <w:sz w:val="20"/>
              </w:rPr>
              <w:t> </w:t>
            </w:r>
            <w:r>
              <w:rPr>
                <w:spacing w:val="-2"/>
                <w:sz w:val="20"/>
              </w:rPr>
              <w:t>Media</w:t>
            </w:r>
          </w:p>
        </w:tc>
      </w:tr>
      <w:tr>
        <w:trPr>
          <w:trHeight w:val="2340" w:hRule="atLeast"/>
        </w:trPr>
        <w:tc>
          <w:tcPr>
            <w:tcW w:w="1842" w:type="dxa"/>
          </w:tcPr>
          <w:p>
            <w:pPr>
              <w:pStyle w:val="TableParagraph"/>
              <w:rPr>
                <w:sz w:val="18"/>
              </w:rPr>
            </w:pPr>
          </w:p>
        </w:tc>
        <w:tc>
          <w:tcPr>
            <w:tcW w:w="542" w:type="dxa"/>
          </w:tcPr>
          <w:p>
            <w:pPr>
              <w:pStyle w:val="TableParagraph"/>
              <w:rPr>
                <w:sz w:val="18"/>
              </w:rPr>
            </w:pPr>
          </w:p>
        </w:tc>
        <w:tc>
          <w:tcPr>
            <w:tcW w:w="7835" w:type="dxa"/>
          </w:tcPr>
          <w:p>
            <w:pPr>
              <w:pStyle w:val="TableParagraph"/>
              <w:spacing w:line="208" w:lineRule="auto" w:before="105"/>
              <w:ind w:left="166" w:right="46"/>
              <w:jc w:val="both"/>
              <w:rPr>
                <w:sz w:val="20"/>
              </w:rPr>
            </w:pPr>
            <w:r>
              <w:rPr>
                <w:sz w:val="20"/>
              </w:rPr>
              <w:t>Mr.</w:t>
            </w:r>
            <w:r>
              <w:rPr>
                <w:spacing w:val="-4"/>
                <w:sz w:val="20"/>
              </w:rPr>
              <w:t> </w:t>
            </w:r>
            <w:r>
              <w:rPr>
                <w:sz w:val="20"/>
              </w:rPr>
              <w:t>Lamkin</w:t>
            </w:r>
            <w:r>
              <w:rPr>
                <w:spacing w:val="-4"/>
                <w:sz w:val="20"/>
              </w:rPr>
              <w:t> </w:t>
            </w:r>
            <w:r>
              <w:rPr>
                <w:sz w:val="20"/>
              </w:rPr>
              <w:t>currently</w:t>
            </w:r>
            <w:r>
              <w:rPr>
                <w:spacing w:val="-4"/>
                <w:sz w:val="20"/>
              </w:rPr>
              <w:t> </w:t>
            </w:r>
            <w:r>
              <w:rPr>
                <w:sz w:val="20"/>
              </w:rPr>
              <w:t>serves</w:t>
            </w:r>
            <w:r>
              <w:rPr>
                <w:spacing w:val="-4"/>
                <w:sz w:val="20"/>
              </w:rPr>
              <w:t> </w:t>
            </w:r>
            <w:r>
              <w:rPr>
                <w:sz w:val="20"/>
              </w:rPr>
              <w:t>as</w:t>
            </w:r>
            <w:r>
              <w:rPr>
                <w:spacing w:val="-4"/>
                <w:sz w:val="20"/>
              </w:rPr>
              <w:t> </w:t>
            </w:r>
            <w:r>
              <w:rPr>
                <w:sz w:val="20"/>
              </w:rPr>
              <w:t>Executive</w:t>
            </w:r>
            <w:r>
              <w:rPr>
                <w:spacing w:val="-7"/>
                <w:sz w:val="20"/>
              </w:rPr>
              <w:t> </w:t>
            </w:r>
            <w:r>
              <w:rPr>
                <w:sz w:val="20"/>
              </w:rPr>
              <w:t>Vice</w:t>
            </w:r>
            <w:r>
              <w:rPr>
                <w:spacing w:val="-4"/>
                <w:sz w:val="20"/>
              </w:rPr>
              <w:t> </w:t>
            </w:r>
            <w:r>
              <w:rPr>
                <w:sz w:val="20"/>
              </w:rPr>
              <w:t>President</w:t>
            </w:r>
            <w:r>
              <w:rPr>
                <w:spacing w:val="-4"/>
                <w:sz w:val="20"/>
              </w:rPr>
              <w:t> </w:t>
            </w:r>
            <w:r>
              <w:rPr>
                <w:sz w:val="20"/>
              </w:rPr>
              <w:t>and</w:t>
            </w:r>
            <w:r>
              <w:rPr>
                <w:spacing w:val="-4"/>
                <w:sz w:val="20"/>
              </w:rPr>
              <w:t> </w:t>
            </w:r>
            <w:r>
              <w:rPr>
                <w:sz w:val="20"/>
              </w:rPr>
              <w:t>General</w:t>
            </w:r>
            <w:r>
              <w:rPr>
                <w:spacing w:val="-4"/>
                <w:sz w:val="20"/>
              </w:rPr>
              <w:t> </w:t>
            </w:r>
            <w:r>
              <w:rPr>
                <w:sz w:val="20"/>
              </w:rPr>
              <w:t>Manager,</w:t>
            </w:r>
            <w:r>
              <w:rPr>
                <w:spacing w:val="-4"/>
                <w:sz w:val="20"/>
              </w:rPr>
              <w:t> </w:t>
            </w:r>
            <w:r>
              <w:rPr>
                <w:sz w:val="20"/>
              </w:rPr>
              <w:t>Digital</w:t>
            </w:r>
            <w:r>
              <w:rPr>
                <w:spacing w:val="-4"/>
                <w:sz w:val="20"/>
              </w:rPr>
              <w:t> </w:t>
            </w:r>
            <w:r>
              <w:rPr>
                <w:sz w:val="20"/>
              </w:rPr>
              <w:t>Media. He rejoined Adobe in February 2013 as Senior Vice President, Technology and Corporate </w:t>
            </w:r>
            <w:r>
              <w:rPr>
                <w:spacing w:val="-2"/>
                <w:sz w:val="20"/>
              </w:rPr>
              <w:t>Development.</w:t>
            </w:r>
            <w:r>
              <w:rPr>
                <w:spacing w:val="-11"/>
                <w:sz w:val="20"/>
              </w:rPr>
              <w:t> </w:t>
            </w:r>
            <w:r>
              <w:rPr>
                <w:spacing w:val="-2"/>
                <w:sz w:val="20"/>
              </w:rPr>
              <w:t>From</w:t>
            </w:r>
            <w:r>
              <w:rPr>
                <w:spacing w:val="-10"/>
                <w:sz w:val="20"/>
              </w:rPr>
              <w:t> </w:t>
            </w:r>
            <w:r>
              <w:rPr>
                <w:spacing w:val="-2"/>
                <w:sz w:val="20"/>
              </w:rPr>
              <w:t>June</w:t>
            </w:r>
            <w:r>
              <w:rPr>
                <w:spacing w:val="-11"/>
                <w:sz w:val="20"/>
              </w:rPr>
              <w:t> </w:t>
            </w:r>
            <w:r>
              <w:rPr>
                <w:spacing w:val="-2"/>
                <w:sz w:val="20"/>
              </w:rPr>
              <w:t>2011</w:t>
            </w:r>
            <w:r>
              <w:rPr>
                <w:spacing w:val="-10"/>
                <w:sz w:val="20"/>
              </w:rPr>
              <w:t> </w:t>
            </w:r>
            <w:r>
              <w:rPr>
                <w:spacing w:val="-2"/>
                <w:sz w:val="20"/>
              </w:rPr>
              <w:t>to</w:t>
            </w:r>
            <w:r>
              <w:rPr>
                <w:spacing w:val="-11"/>
                <w:sz w:val="20"/>
              </w:rPr>
              <w:t> </w:t>
            </w:r>
            <w:r>
              <w:rPr>
                <w:spacing w:val="-2"/>
                <w:sz w:val="20"/>
              </w:rPr>
              <w:t>May</w:t>
            </w:r>
            <w:r>
              <w:rPr>
                <w:spacing w:val="-10"/>
                <w:sz w:val="20"/>
              </w:rPr>
              <w:t> </w:t>
            </w:r>
            <w:r>
              <w:rPr>
                <w:spacing w:val="-2"/>
                <w:sz w:val="20"/>
              </w:rPr>
              <w:t>2012,</w:t>
            </w:r>
            <w:r>
              <w:rPr>
                <w:spacing w:val="-11"/>
                <w:sz w:val="20"/>
              </w:rPr>
              <w:t> </w:t>
            </w:r>
            <w:r>
              <w:rPr>
                <w:spacing w:val="-2"/>
                <w:sz w:val="20"/>
              </w:rPr>
              <w:t>Mr.</w:t>
            </w:r>
            <w:r>
              <w:rPr>
                <w:spacing w:val="-8"/>
                <w:sz w:val="20"/>
              </w:rPr>
              <w:t> </w:t>
            </w:r>
            <w:r>
              <w:rPr>
                <w:spacing w:val="-2"/>
                <w:sz w:val="20"/>
              </w:rPr>
              <w:t>Lamkin</w:t>
            </w:r>
            <w:r>
              <w:rPr>
                <w:spacing w:val="-11"/>
                <w:sz w:val="20"/>
              </w:rPr>
              <w:t> </w:t>
            </w:r>
            <w:r>
              <w:rPr>
                <w:spacing w:val="-2"/>
                <w:sz w:val="20"/>
              </w:rPr>
              <w:t>served</w:t>
            </w:r>
            <w:r>
              <w:rPr>
                <w:spacing w:val="-10"/>
                <w:sz w:val="20"/>
              </w:rPr>
              <w:t> </w:t>
            </w:r>
            <w:r>
              <w:rPr>
                <w:spacing w:val="-2"/>
                <w:sz w:val="20"/>
              </w:rPr>
              <w:t>as</w:t>
            </w:r>
            <w:r>
              <w:rPr>
                <w:spacing w:val="-11"/>
                <w:sz w:val="20"/>
              </w:rPr>
              <w:t> </w:t>
            </w:r>
            <w:r>
              <w:rPr>
                <w:spacing w:val="-2"/>
                <w:sz w:val="20"/>
              </w:rPr>
              <w:t>President</w:t>
            </w:r>
            <w:r>
              <w:rPr>
                <w:spacing w:val="-10"/>
                <w:sz w:val="20"/>
              </w:rPr>
              <w:t> </w:t>
            </w:r>
            <w:r>
              <w:rPr>
                <w:spacing w:val="-2"/>
                <w:sz w:val="20"/>
              </w:rPr>
              <w:t>and</w:t>
            </w:r>
            <w:r>
              <w:rPr>
                <w:spacing w:val="-11"/>
                <w:sz w:val="20"/>
              </w:rPr>
              <w:t> </w:t>
            </w:r>
            <w:r>
              <w:rPr>
                <w:spacing w:val="-2"/>
                <w:sz w:val="20"/>
              </w:rPr>
              <w:t>Chief</w:t>
            </w:r>
            <w:r>
              <w:rPr>
                <w:spacing w:val="-10"/>
                <w:sz w:val="20"/>
              </w:rPr>
              <w:t> </w:t>
            </w:r>
            <w:r>
              <w:rPr>
                <w:spacing w:val="-2"/>
                <w:sz w:val="20"/>
              </w:rPr>
              <w:t>Executive </w:t>
            </w:r>
            <w:r>
              <w:rPr>
                <w:sz w:val="20"/>
              </w:rPr>
              <w:t>Officer of Clover, a mobile payments platform. Prior to Clover, Mr.</w:t>
            </w:r>
            <w:r>
              <w:rPr>
                <w:spacing w:val="-4"/>
                <w:sz w:val="20"/>
              </w:rPr>
              <w:t> </w:t>
            </w:r>
            <w:r>
              <w:rPr>
                <w:sz w:val="20"/>
              </w:rPr>
              <w:t>Lamkin co-founded and served</w:t>
            </w:r>
            <w:r>
              <w:rPr>
                <w:spacing w:val="-9"/>
                <w:sz w:val="20"/>
              </w:rPr>
              <w:t> </w:t>
            </w:r>
            <w:r>
              <w:rPr>
                <w:sz w:val="20"/>
              </w:rPr>
              <w:t>as</w:t>
            </w:r>
            <w:r>
              <w:rPr>
                <w:spacing w:val="-9"/>
                <w:sz w:val="20"/>
              </w:rPr>
              <w:t> </w:t>
            </w:r>
            <w:r>
              <w:rPr>
                <w:sz w:val="20"/>
              </w:rPr>
              <w:t>the</w:t>
            </w:r>
            <w:r>
              <w:rPr>
                <w:spacing w:val="-9"/>
                <w:sz w:val="20"/>
              </w:rPr>
              <w:t> </w:t>
            </w:r>
            <w:r>
              <w:rPr>
                <w:sz w:val="20"/>
              </w:rPr>
              <w:t>Chief</w:t>
            </w:r>
            <w:r>
              <w:rPr>
                <w:spacing w:val="-9"/>
                <w:sz w:val="20"/>
              </w:rPr>
              <w:t> </w:t>
            </w:r>
            <w:r>
              <w:rPr>
                <w:sz w:val="20"/>
              </w:rPr>
              <w:t>Executive</w:t>
            </w:r>
            <w:r>
              <w:rPr>
                <w:spacing w:val="-9"/>
                <w:sz w:val="20"/>
              </w:rPr>
              <w:t> </w:t>
            </w:r>
            <w:r>
              <w:rPr>
                <w:sz w:val="20"/>
              </w:rPr>
              <w:t>Officer</w:t>
            </w:r>
            <w:r>
              <w:rPr>
                <w:spacing w:val="-9"/>
                <w:sz w:val="20"/>
              </w:rPr>
              <w:t> </w:t>
            </w:r>
            <w:r>
              <w:rPr>
                <w:sz w:val="20"/>
              </w:rPr>
              <w:t>of</w:t>
            </w:r>
            <w:r>
              <w:rPr>
                <w:spacing w:val="-9"/>
                <w:sz w:val="20"/>
              </w:rPr>
              <w:t> </w:t>
            </w:r>
            <w:r>
              <w:rPr>
                <w:sz w:val="20"/>
              </w:rPr>
              <w:t>Bagcheck,</w:t>
            </w:r>
            <w:r>
              <w:rPr>
                <w:spacing w:val="-9"/>
                <w:sz w:val="20"/>
              </w:rPr>
              <w:t> </w:t>
            </w:r>
            <w:r>
              <w:rPr>
                <w:sz w:val="20"/>
              </w:rPr>
              <w:t>a</w:t>
            </w:r>
            <w:r>
              <w:rPr>
                <w:spacing w:val="-9"/>
                <w:sz w:val="20"/>
              </w:rPr>
              <w:t> </w:t>
            </w:r>
            <w:r>
              <w:rPr>
                <w:sz w:val="20"/>
              </w:rPr>
              <w:t>sharing</w:t>
            </w:r>
            <w:r>
              <w:rPr>
                <w:spacing w:val="-9"/>
                <w:sz w:val="20"/>
              </w:rPr>
              <w:t> </w:t>
            </w:r>
            <w:r>
              <w:rPr>
                <w:sz w:val="20"/>
              </w:rPr>
              <w:t>and</w:t>
            </w:r>
            <w:r>
              <w:rPr>
                <w:spacing w:val="-9"/>
                <w:sz w:val="20"/>
              </w:rPr>
              <w:t> </w:t>
            </w:r>
            <w:r>
              <w:rPr>
                <w:sz w:val="20"/>
              </w:rPr>
              <w:t>discovery</w:t>
            </w:r>
            <w:r>
              <w:rPr>
                <w:spacing w:val="-9"/>
                <w:sz w:val="20"/>
              </w:rPr>
              <w:t> </w:t>
            </w:r>
            <w:r>
              <w:rPr>
                <w:sz w:val="20"/>
              </w:rPr>
              <w:t>platform,</w:t>
            </w:r>
            <w:r>
              <w:rPr>
                <w:spacing w:val="-9"/>
                <w:sz w:val="20"/>
              </w:rPr>
              <w:t> </w:t>
            </w:r>
            <w:r>
              <w:rPr>
                <w:sz w:val="20"/>
              </w:rPr>
              <w:t>from</w:t>
            </w:r>
            <w:r>
              <w:rPr>
                <w:spacing w:val="-9"/>
                <w:sz w:val="20"/>
              </w:rPr>
              <w:t> </w:t>
            </w:r>
            <w:r>
              <w:rPr>
                <w:sz w:val="20"/>
              </w:rPr>
              <w:t>June 2010</w:t>
            </w:r>
            <w:r>
              <w:rPr>
                <w:spacing w:val="-5"/>
                <w:sz w:val="20"/>
              </w:rPr>
              <w:t> </w:t>
            </w:r>
            <w:r>
              <w:rPr>
                <w:sz w:val="20"/>
              </w:rPr>
              <w:t>to</w:t>
            </w:r>
            <w:r>
              <w:rPr>
                <w:spacing w:val="-4"/>
                <w:sz w:val="20"/>
              </w:rPr>
              <w:t> </w:t>
            </w:r>
            <w:r>
              <w:rPr>
                <w:sz w:val="20"/>
              </w:rPr>
              <w:t>May</w:t>
            </w:r>
            <w:r>
              <w:rPr>
                <w:spacing w:val="-4"/>
                <w:sz w:val="20"/>
              </w:rPr>
              <w:t> </w:t>
            </w:r>
            <w:r>
              <w:rPr>
                <w:sz w:val="20"/>
              </w:rPr>
              <w:t>2011.</w:t>
            </w:r>
            <w:r>
              <w:rPr>
                <w:spacing w:val="-4"/>
                <w:sz w:val="20"/>
              </w:rPr>
              <w:t> </w:t>
            </w:r>
            <w:r>
              <w:rPr>
                <w:sz w:val="20"/>
              </w:rPr>
              <w:t>From</w:t>
            </w:r>
            <w:r>
              <w:rPr>
                <w:spacing w:val="-13"/>
                <w:sz w:val="20"/>
              </w:rPr>
              <w:t> </w:t>
            </w:r>
            <w:r>
              <w:rPr>
                <w:sz w:val="20"/>
              </w:rPr>
              <w:t>April</w:t>
            </w:r>
            <w:r>
              <w:rPr>
                <w:spacing w:val="-4"/>
                <w:sz w:val="20"/>
              </w:rPr>
              <w:t> </w:t>
            </w:r>
            <w:r>
              <w:rPr>
                <w:sz w:val="20"/>
              </w:rPr>
              <w:t>2009</w:t>
            </w:r>
            <w:r>
              <w:rPr>
                <w:spacing w:val="-4"/>
                <w:sz w:val="20"/>
              </w:rPr>
              <w:t> </w:t>
            </w:r>
            <w:r>
              <w:rPr>
                <w:sz w:val="20"/>
              </w:rPr>
              <w:t>to</w:t>
            </w:r>
            <w:r>
              <w:rPr>
                <w:spacing w:val="-4"/>
                <w:sz w:val="20"/>
              </w:rPr>
              <w:t> </w:t>
            </w:r>
            <w:r>
              <w:rPr>
                <w:sz w:val="20"/>
              </w:rPr>
              <w:t>June</w:t>
            </w:r>
            <w:r>
              <w:rPr>
                <w:spacing w:val="-4"/>
                <w:sz w:val="20"/>
              </w:rPr>
              <w:t> </w:t>
            </w:r>
            <w:r>
              <w:rPr>
                <w:sz w:val="20"/>
              </w:rPr>
              <w:t>2010,</w:t>
            </w:r>
            <w:r>
              <w:rPr>
                <w:spacing w:val="-4"/>
                <w:sz w:val="20"/>
              </w:rPr>
              <w:t> </w:t>
            </w:r>
            <w:r>
              <w:rPr>
                <w:sz w:val="20"/>
              </w:rPr>
              <w:t>Mr.</w:t>
            </w:r>
            <w:r>
              <w:rPr>
                <w:spacing w:val="-5"/>
                <w:sz w:val="20"/>
              </w:rPr>
              <w:t> </w:t>
            </w:r>
            <w:r>
              <w:rPr>
                <w:sz w:val="20"/>
              </w:rPr>
              <w:t>Lamkin</w:t>
            </w:r>
            <w:r>
              <w:rPr>
                <w:spacing w:val="-4"/>
                <w:sz w:val="20"/>
              </w:rPr>
              <w:t> </w:t>
            </w:r>
            <w:r>
              <w:rPr>
                <w:sz w:val="20"/>
              </w:rPr>
              <w:t>served</w:t>
            </w:r>
            <w:r>
              <w:rPr>
                <w:spacing w:val="-4"/>
                <w:sz w:val="20"/>
              </w:rPr>
              <w:t> </w:t>
            </w:r>
            <w:r>
              <w:rPr>
                <w:sz w:val="20"/>
              </w:rPr>
              <w:t>as</w:t>
            </w:r>
            <w:r>
              <w:rPr>
                <w:spacing w:val="-4"/>
                <w:sz w:val="20"/>
              </w:rPr>
              <w:t> </w:t>
            </w:r>
            <w:r>
              <w:rPr>
                <w:sz w:val="20"/>
              </w:rPr>
              <w:t>Senior</w:t>
            </w:r>
            <w:r>
              <w:rPr>
                <w:spacing w:val="-7"/>
                <w:sz w:val="20"/>
              </w:rPr>
              <w:t> </w:t>
            </w:r>
            <w:r>
              <w:rPr>
                <w:sz w:val="20"/>
              </w:rPr>
              <w:t>Vice</w:t>
            </w:r>
            <w:r>
              <w:rPr>
                <w:spacing w:val="-4"/>
                <w:sz w:val="20"/>
              </w:rPr>
              <w:t> </w:t>
            </w:r>
            <w:r>
              <w:rPr>
                <w:sz w:val="20"/>
              </w:rPr>
              <w:t>President </w:t>
            </w:r>
            <w:r>
              <w:rPr>
                <w:spacing w:val="-2"/>
                <w:sz w:val="20"/>
              </w:rPr>
              <w:t>of</w:t>
            </w:r>
            <w:r>
              <w:rPr>
                <w:spacing w:val="-11"/>
                <w:sz w:val="20"/>
              </w:rPr>
              <w:t> </w:t>
            </w:r>
            <w:r>
              <w:rPr>
                <w:spacing w:val="-2"/>
                <w:sz w:val="20"/>
              </w:rPr>
              <w:t>Consumer</w:t>
            </w:r>
            <w:r>
              <w:rPr>
                <w:spacing w:val="-10"/>
                <w:sz w:val="20"/>
              </w:rPr>
              <w:t> </w:t>
            </w:r>
            <w:r>
              <w:rPr>
                <w:spacing w:val="-2"/>
                <w:sz w:val="20"/>
              </w:rPr>
              <w:t>Products</w:t>
            </w:r>
            <w:r>
              <w:rPr>
                <w:spacing w:val="-11"/>
                <w:sz w:val="20"/>
              </w:rPr>
              <w:t> </w:t>
            </w:r>
            <w:r>
              <w:rPr>
                <w:spacing w:val="-2"/>
                <w:sz w:val="20"/>
              </w:rPr>
              <w:t>and</w:t>
            </w:r>
            <w:r>
              <w:rPr>
                <w:spacing w:val="-10"/>
                <w:sz w:val="20"/>
              </w:rPr>
              <w:t> </w:t>
            </w:r>
            <w:r>
              <w:rPr>
                <w:spacing w:val="-2"/>
                <w:sz w:val="20"/>
              </w:rPr>
              <w:t>Applications</w:t>
            </w:r>
            <w:r>
              <w:rPr>
                <w:spacing w:val="-11"/>
                <w:sz w:val="20"/>
              </w:rPr>
              <w:t> </w:t>
            </w:r>
            <w:r>
              <w:rPr>
                <w:spacing w:val="-2"/>
                <w:sz w:val="20"/>
              </w:rPr>
              <w:t>at</w:t>
            </w:r>
            <w:r>
              <w:rPr>
                <w:spacing w:val="-10"/>
                <w:sz w:val="20"/>
              </w:rPr>
              <w:t> </w:t>
            </w:r>
            <w:r>
              <w:rPr>
                <w:spacing w:val="-2"/>
                <w:sz w:val="20"/>
              </w:rPr>
              <w:t>Yahoo!,</w:t>
            </w:r>
            <w:r>
              <w:rPr>
                <w:spacing w:val="-11"/>
                <w:sz w:val="20"/>
              </w:rPr>
              <w:t> </w:t>
            </w:r>
            <w:r>
              <w:rPr>
                <w:spacing w:val="-2"/>
                <w:sz w:val="20"/>
              </w:rPr>
              <w:t>a</w:t>
            </w:r>
            <w:r>
              <w:rPr>
                <w:spacing w:val="-10"/>
                <w:sz w:val="20"/>
              </w:rPr>
              <w:t> </w:t>
            </w:r>
            <w:r>
              <w:rPr>
                <w:spacing w:val="-2"/>
                <w:sz w:val="20"/>
              </w:rPr>
              <w:t>global</w:t>
            </w:r>
            <w:r>
              <w:rPr>
                <w:spacing w:val="-11"/>
                <w:sz w:val="20"/>
              </w:rPr>
              <w:t> </w:t>
            </w:r>
            <w:r>
              <w:rPr>
                <w:spacing w:val="-2"/>
                <w:sz w:val="20"/>
              </w:rPr>
              <w:t>technology</w:t>
            </w:r>
            <w:r>
              <w:rPr>
                <w:spacing w:val="-10"/>
                <w:sz w:val="20"/>
              </w:rPr>
              <w:t> </w:t>
            </w:r>
            <w:r>
              <w:rPr>
                <w:spacing w:val="-2"/>
                <w:sz w:val="20"/>
              </w:rPr>
              <w:t>company</w:t>
            </w:r>
            <w:r>
              <w:rPr>
                <w:spacing w:val="-11"/>
                <w:sz w:val="20"/>
              </w:rPr>
              <w:t> </w:t>
            </w:r>
            <w:r>
              <w:rPr>
                <w:spacing w:val="-2"/>
                <w:sz w:val="20"/>
              </w:rPr>
              <w:t>providing</w:t>
            </w:r>
            <w:r>
              <w:rPr>
                <w:spacing w:val="-10"/>
                <w:sz w:val="20"/>
              </w:rPr>
              <w:t> </w:t>
            </w:r>
            <w:r>
              <w:rPr>
                <w:spacing w:val="-2"/>
                <w:sz w:val="20"/>
              </w:rPr>
              <w:t>online </w:t>
            </w:r>
            <w:r>
              <w:rPr>
                <w:sz w:val="20"/>
              </w:rPr>
              <w:t>search,</w:t>
            </w:r>
            <w:r>
              <w:rPr>
                <w:spacing w:val="-7"/>
                <w:sz w:val="20"/>
              </w:rPr>
              <w:t> </w:t>
            </w:r>
            <w:r>
              <w:rPr>
                <w:sz w:val="20"/>
              </w:rPr>
              <w:t>content</w:t>
            </w:r>
            <w:r>
              <w:rPr>
                <w:spacing w:val="-6"/>
                <w:sz w:val="20"/>
              </w:rPr>
              <w:t> </w:t>
            </w:r>
            <w:r>
              <w:rPr>
                <w:sz w:val="20"/>
              </w:rPr>
              <w:t>and</w:t>
            </w:r>
            <w:r>
              <w:rPr>
                <w:spacing w:val="-5"/>
                <w:sz w:val="20"/>
              </w:rPr>
              <w:t> </w:t>
            </w:r>
            <w:r>
              <w:rPr>
                <w:sz w:val="20"/>
              </w:rPr>
              <w:t>communication</w:t>
            </w:r>
            <w:r>
              <w:rPr>
                <w:spacing w:val="-5"/>
                <w:sz w:val="20"/>
              </w:rPr>
              <w:t> </w:t>
            </w:r>
            <w:r>
              <w:rPr>
                <w:sz w:val="20"/>
              </w:rPr>
              <w:t>tools.</w:t>
            </w:r>
            <w:r>
              <w:rPr>
                <w:spacing w:val="-5"/>
                <w:sz w:val="20"/>
              </w:rPr>
              <w:t> </w:t>
            </w:r>
            <w:r>
              <w:rPr>
                <w:sz w:val="20"/>
              </w:rPr>
              <w:t>From</w:t>
            </w:r>
            <w:r>
              <w:rPr>
                <w:spacing w:val="-5"/>
                <w:sz w:val="20"/>
              </w:rPr>
              <w:t> </w:t>
            </w:r>
            <w:r>
              <w:rPr>
                <w:sz w:val="20"/>
              </w:rPr>
              <w:t>May</w:t>
            </w:r>
            <w:r>
              <w:rPr>
                <w:spacing w:val="-5"/>
                <w:sz w:val="20"/>
              </w:rPr>
              <w:t> </w:t>
            </w:r>
            <w:r>
              <w:rPr>
                <w:sz w:val="20"/>
              </w:rPr>
              <w:t>2008</w:t>
            </w:r>
            <w:r>
              <w:rPr>
                <w:spacing w:val="-5"/>
                <w:sz w:val="20"/>
              </w:rPr>
              <w:t> </w:t>
            </w:r>
            <w:r>
              <w:rPr>
                <w:sz w:val="20"/>
              </w:rPr>
              <w:t>to</w:t>
            </w:r>
            <w:r>
              <w:rPr>
                <w:spacing w:val="-13"/>
                <w:sz w:val="20"/>
              </w:rPr>
              <w:t> </w:t>
            </w:r>
            <w:r>
              <w:rPr>
                <w:sz w:val="20"/>
              </w:rPr>
              <w:t>April</w:t>
            </w:r>
            <w:r>
              <w:rPr>
                <w:spacing w:val="-4"/>
                <w:sz w:val="20"/>
              </w:rPr>
              <w:t> </w:t>
            </w:r>
            <w:r>
              <w:rPr>
                <w:sz w:val="20"/>
              </w:rPr>
              <w:t>2009,</w:t>
            </w:r>
            <w:r>
              <w:rPr>
                <w:spacing w:val="-5"/>
                <w:sz w:val="20"/>
              </w:rPr>
              <w:t> </w:t>
            </w:r>
            <w:r>
              <w:rPr>
                <w:sz w:val="20"/>
              </w:rPr>
              <w:t>Mr.</w:t>
            </w:r>
            <w:r>
              <w:rPr>
                <w:spacing w:val="-4"/>
                <w:sz w:val="20"/>
              </w:rPr>
              <w:t> </w:t>
            </w:r>
            <w:r>
              <w:rPr>
                <w:sz w:val="20"/>
              </w:rPr>
              <w:t>Lamkin</w:t>
            </w:r>
            <w:r>
              <w:rPr>
                <w:spacing w:val="-5"/>
                <w:sz w:val="20"/>
              </w:rPr>
              <w:t> </w:t>
            </w:r>
            <w:r>
              <w:rPr>
                <w:sz w:val="20"/>
              </w:rPr>
              <w:t>served</w:t>
            </w:r>
            <w:r>
              <w:rPr>
                <w:spacing w:val="-5"/>
                <w:sz w:val="20"/>
              </w:rPr>
              <w:t> </w:t>
            </w:r>
            <w:r>
              <w:rPr>
                <w:sz w:val="20"/>
              </w:rPr>
              <w:t>as Executive in Residence at Sutter Hill Ventures. Mr.</w:t>
            </w:r>
            <w:r>
              <w:rPr>
                <w:spacing w:val="-4"/>
                <w:sz w:val="20"/>
              </w:rPr>
              <w:t> </w:t>
            </w:r>
            <w:r>
              <w:rPr>
                <w:sz w:val="20"/>
              </w:rPr>
              <w:t>Lamkin previously was with</w:t>
            </w:r>
            <w:r>
              <w:rPr>
                <w:spacing w:val="-3"/>
                <w:sz w:val="20"/>
              </w:rPr>
              <w:t> </w:t>
            </w:r>
            <w:r>
              <w:rPr>
                <w:sz w:val="20"/>
              </w:rPr>
              <w:t>Adobe from 1992 to 2006 and held various senior management positions including Senior Vice President, Creative Solutions Business Unit.</w:t>
            </w:r>
          </w:p>
        </w:tc>
      </w:tr>
      <w:tr>
        <w:trPr>
          <w:trHeight w:val="340" w:hRule="atLeast"/>
        </w:trPr>
        <w:tc>
          <w:tcPr>
            <w:tcW w:w="1842" w:type="dxa"/>
          </w:tcPr>
          <w:p>
            <w:pPr>
              <w:pStyle w:val="TableParagraph"/>
              <w:spacing w:before="20"/>
              <w:ind w:left="50"/>
              <w:rPr>
                <w:sz w:val="20"/>
              </w:rPr>
            </w:pPr>
            <w:r>
              <w:rPr>
                <w:sz w:val="20"/>
              </w:rPr>
              <w:t>Ann </w:t>
            </w:r>
            <w:r>
              <w:rPr>
                <w:spacing w:val="-2"/>
                <w:sz w:val="20"/>
              </w:rPr>
              <w:t>Lewnes</w:t>
            </w:r>
          </w:p>
        </w:tc>
        <w:tc>
          <w:tcPr>
            <w:tcW w:w="542" w:type="dxa"/>
          </w:tcPr>
          <w:p>
            <w:pPr>
              <w:pStyle w:val="TableParagraph"/>
              <w:spacing w:before="20"/>
              <w:ind w:left="14"/>
              <w:jc w:val="center"/>
              <w:rPr>
                <w:sz w:val="20"/>
              </w:rPr>
            </w:pPr>
            <w:r>
              <w:rPr>
                <w:spacing w:val="-5"/>
                <w:sz w:val="20"/>
              </w:rPr>
              <w:t>56</w:t>
            </w:r>
          </w:p>
        </w:tc>
        <w:tc>
          <w:tcPr>
            <w:tcW w:w="7835" w:type="dxa"/>
          </w:tcPr>
          <w:p>
            <w:pPr>
              <w:pStyle w:val="TableParagraph"/>
              <w:spacing w:before="20"/>
              <w:ind w:left="166"/>
              <w:rPr>
                <w:sz w:val="20"/>
              </w:rPr>
            </w:pPr>
            <w:r>
              <w:rPr>
                <w:sz w:val="20"/>
              </w:rPr>
              <w:t>Executive</w:t>
            </w:r>
            <w:r>
              <w:rPr>
                <w:spacing w:val="-7"/>
                <w:sz w:val="20"/>
              </w:rPr>
              <w:t> </w:t>
            </w:r>
            <w:r>
              <w:rPr>
                <w:sz w:val="20"/>
              </w:rPr>
              <w:t>Vice</w:t>
            </w:r>
            <w:r>
              <w:rPr>
                <w:spacing w:val="-2"/>
                <w:sz w:val="20"/>
              </w:rPr>
              <w:t> </w:t>
            </w:r>
            <w:r>
              <w:rPr>
                <w:sz w:val="20"/>
              </w:rPr>
              <w:t>President</w:t>
            </w:r>
            <w:r>
              <w:rPr>
                <w:spacing w:val="-3"/>
                <w:sz w:val="20"/>
              </w:rPr>
              <w:t> </w:t>
            </w:r>
            <w:r>
              <w:rPr>
                <w:sz w:val="20"/>
              </w:rPr>
              <w:t>and</w:t>
            </w:r>
            <w:r>
              <w:rPr>
                <w:spacing w:val="-2"/>
                <w:sz w:val="20"/>
              </w:rPr>
              <w:t> </w:t>
            </w:r>
            <w:r>
              <w:rPr>
                <w:sz w:val="20"/>
              </w:rPr>
              <w:t>Chief</w:t>
            </w:r>
            <w:r>
              <w:rPr>
                <w:spacing w:val="-2"/>
                <w:sz w:val="20"/>
              </w:rPr>
              <w:t> </w:t>
            </w:r>
            <w:r>
              <w:rPr>
                <w:sz w:val="20"/>
              </w:rPr>
              <w:t>Marketing</w:t>
            </w:r>
            <w:r>
              <w:rPr>
                <w:spacing w:val="-3"/>
                <w:sz w:val="20"/>
              </w:rPr>
              <w:t> </w:t>
            </w:r>
            <w:r>
              <w:rPr>
                <w:spacing w:val="-2"/>
                <w:sz w:val="20"/>
              </w:rPr>
              <w:t>Officer</w:t>
            </w:r>
          </w:p>
        </w:tc>
      </w:tr>
      <w:tr>
        <w:trPr>
          <w:trHeight w:val="910" w:hRule="atLeast"/>
        </w:trPr>
        <w:tc>
          <w:tcPr>
            <w:tcW w:w="1842" w:type="dxa"/>
          </w:tcPr>
          <w:p>
            <w:pPr>
              <w:pStyle w:val="TableParagraph"/>
              <w:rPr>
                <w:sz w:val="18"/>
              </w:rPr>
            </w:pPr>
          </w:p>
        </w:tc>
        <w:tc>
          <w:tcPr>
            <w:tcW w:w="542" w:type="dxa"/>
          </w:tcPr>
          <w:p>
            <w:pPr>
              <w:pStyle w:val="TableParagraph"/>
              <w:rPr>
                <w:sz w:val="18"/>
              </w:rPr>
            </w:pPr>
          </w:p>
        </w:tc>
        <w:tc>
          <w:tcPr>
            <w:tcW w:w="7835" w:type="dxa"/>
          </w:tcPr>
          <w:p>
            <w:pPr>
              <w:pStyle w:val="TableParagraph"/>
              <w:spacing w:line="200" w:lineRule="exact" w:before="90"/>
              <w:ind w:left="166" w:right="46"/>
              <w:jc w:val="both"/>
              <w:rPr>
                <w:sz w:val="20"/>
              </w:rPr>
            </w:pPr>
            <w:r>
              <w:rPr>
                <w:sz w:val="20"/>
              </w:rPr>
              <w:t>Ms.</w:t>
            </w:r>
            <w:r>
              <w:rPr>
                <w:spacing w:val="-4"/>
                <w:sz w:val="20"/>
              </w:rPr>
              <w:t> </w:t>
            </w:r>
            <w:r>
              <w:rPr>
                <w:sz w:val="20"/>
              </w:rPr>
              <w:t>Lewnes</w:t>
            </w:r>
            <w:r>
              <w:rPr>
                <w:spacing w:val="-1"/>
                <w:sz w:val="20"/>
              </w:rPr>
              <w:t> </w:t>
            </w:r>
            <w:r>
              <w:rPr>
                <w:sz w:val="20"/>
              </w:rPr>
              <w:t>joined</w:t>
            </w:r>
            <w:r>
              <w:rPr>
                <w:spacing w:val="-12"/>
                <w:sz w:val="20"/>
              </w:rPr>
              <w:t> </w:t>
            </w:r>
            <w:r>
              <w:rPr>
                <w:sz w:val="20"/>
              </w:rPr>
              <w:t>Adobe</w:t>
            </w:r>
            <w:r>
              <w:rPr>
                <w:spacing w:val="-1"/>
                <w:sz w:val="20"/>
              </w:rPr>
              <w:t> </w:t>
            </w:r>
            <w:r>
              <w:rPr>
                <w:sz w:val="20"/>
              </w:rPr>
              <w:t>in</w:t>
            </w:r>
            <w:r>
              <w:rPr>
                <w:spacing w:val="-1"/>
                <w:sz w:val="20"/>
              </w:rPr>
              <w:t> </w:t>
            </w:r>
            <w:r>
              <w:rPr>
                <w:sz w:val="20"/>
              </w:rPr>
              <w:t>November</w:t>
            </w:r>
            <w:r>
              <w:rPr>
                <w:spacing w:val="-1"/>
                <w:sz w:val="20"/>
              </w:rPr>
              <w:t> </w:t>
            </w:r>
            <w:r>
              <w:rPr>
                <w:sz w:val="20"/>
              </w:rPr>
              <w:t>2006</w:t>
            </w:r>
            <w:r>
              <w:rPr>
                <w:spacing w:val="-1"/>
                <w:sz w:val="20"/>
              </w:rPr>
              <w:t> </w:t>
            </w:r>
            <w:r>
              <w:rPr>
                <w:sz w:val="20"/>
              </w:rPr>
              <w:t>and</w:t>
            </w:r>
            <w:r>
              <w:rPr>
                <w:spacing w:val="-1"/>
                <w:sz w:val="20"/>
              </w:rPr>
              <w:t> </w:t>
            </w:r>
            <w:r>
              <w:rPr>
                <w:sz w:val="20"/>
              </w:rPr>
              <w:t>currently</w:t>
            </w:r>
            <w:r>
              <w:rPr>
                <w:spacing w:val="-1"/>
                <w:sz w:val="20"/>
              </w:rPr>
              <w:t> </w:t>
            </w:r>
            <w:r>
              <w:rPr>
                <w:sz w:val="20"/>
              </w:rPr>
              <w:t>serves</w:t>
            </w:r>
            <w:r>
              <w:rPr>
                <w:spacing w:val="-1"/>
                <w:sz w:val="20"/>
              </w:rPr>
              <w:t> </w:t>
            </w:r>
            <w:r>
              <w:rPr>
                <w:sz w:val="20"/>
              </w:rPr>
              <w:t>as</w:t>
            </w:r>
            <w:r>
              <w:rPr>
                <w:spacing w:val="-1"/>
                <w:sz w:val="20"/>
              </w:rPr>
              <w:t> </w:t>
            </w:r>
            <w:r>
              <w:rPr>
                <w:sz w:val="20"/>
              </w:rPr>
              <w:t>Executive</w:t>
            </w:r>
            <w:r>
              <w:rPr>
                <w:spacing w:val="-5"/>
                <w:sz w:val="20"/>
              </w:rPr>
              <w:t> </w:t>
            </w:r>
            <w:r>
              <w:rPr>
                <w:sz w:val="20"/>
              </w:rPr>
              <w:t>Vice</w:t>
            </w:r>
            <w:r>
              <w:rPr>
                <w:spacing w:val="-1"/>
                <w:sz w:val="20"/>
              </w:rPr>
              <w:t> </w:t>
            </w:r>
            <w:r>
              <w:rPr>
                <w:sz w:val="20"/>
              </w:rPr>
              <w:t>President and Chief Marketing Officer. Prior to joining Adobe, Ms.</w:t>
            </w:r>
            <w:r>
              <w:rPr>
                <w:spacing w:val="-2"/>
                <w:sz w:val="20"/>
              </w:rPr>
              <w:t> </w:t>
            </w:r>
            <w:r>
              <w:rPr>
                <w:sz w:val="20"/>
              </w:rPr>
              <w:t>Lewnes spent 20</w:t>
            </w:r>
            <w:r>
              <w:rPr>
                <w:spacing w:val="-2"/>
                <w:sz w:val="20"/>
              </w:rPr>
              <w:t> </w:t>
            </w:r>
            <w:r>
              <w:rPr>
                <w:sz w:val="20"/>
              </w:rPr>
              <w:t>years at Intel </w:t>
            </w:r>
            <w:r>
              <w:rPr>
                <w:spacing w:val="-4"/>
                <w:sz w:val="20"/>
              </w:rPr>
              <w:t>Corporation,</w:t>
            </w:r>
            <w:r>
              <w:rPr>
                <w:spacing w:val="-9"/>
                <w:sz w:val="20"/>
              </w:rPr>
              <w:t> </w:t>
            </w:r>
            <w:r>
              <w:rPr>
                <w:spacing w:val="-4"/>
                <w:sz w:val="20"/>
              </w:rPr>
              <w:t>where</w:t>
            </w:r>
            <w:r>
              <w:rPr>
                <w:spacing w:val="-8"/>
                <w:sz w:val="20"/>
              </w:rPr>
              <w:t> </w:t>
            </w:r>
            <w:r>
              <w:rPr>
                <w:spacing w:val="-4"/>
                <w:sz w:val="20"/>
              </w:rPr>
              <w:t>she</w:t>
            </w:r>
            <w:r>
              <w:rPr>
                <w:spacing w:val="-9"/>
                <w:sz w:val="20"/>
              </w:rPr>
              <w:t> </w:t>
            </w:r>
            <w:r>
              <w:rPr>
                <w:spacing w:val="-4"/>
                <w:sz w:val="20"/>
              </w:rPr>
              <w:t>was</w:t>
            </w:r>
            <w:r>
              <w:rPr>
                <w:spacing w:val="-8"/>
                <w:sz w:val="20"/>
              </w:rPr>
              <w:t> </w:t>
            </w:r>
            <w:r>
              <w:rPr>
                <w:spacing w:val="-4"/>
                <w:sz w:val="20"/>
              </w:rPr>
              <w:t>Vice</w:t>
            </w:r>
            <w:r>
              <w:rPr>
                <w:spacing w:val="-8"/>
                <w:sz w:val="20"/>
              </w:rPr>
              <w:t> </w:t>
            </w:r>
            <w:r>
              <w:rPr>
                <w:spacing w:val="-4"/>
                <w:sz w:val="20"/>
              </w:rPr>
              <w:t>President</w:t>
            </w:r>
            <w:r>
              <w:rPr>
                <w:spacing w:val="-8"/>
                <w:sz w:val="20"/>
              </w:rPr>
              <w:t> </w:t>
            </w:r>
            <w:r>
              <w:rPr>
                <w:spacing w:val="-4"/>
                <w:sz w:val="20"/>
              </w:rPr>
              <w:t>of</w:t>
            </w:r>
            <w:r>
              <w:rPr>
                <w:spacing w:val="-8"/>
                <w:sz w:val="20"/>
              </w:rPr>
              <w:t> </w:t>
            </w:r>
            <w:r>
              <w:rPr>
                <w:spacing w:val="-4"/>
                <w:sz w:val="20"/>
              </w:rPr>
              <w:t>Sales</w:t>
            </w:r>
            <w:r>
              <w:rPr>
                <w:spacing w:val="-8"/>
                <w:sz w:val="20"/>
              </w:rPr>
              <w:t> </w:t>
            </w:r>
            <w:r>
              <w:rPr>
                <w:spacing w:val="-4"/>
                <w:sz w:val="20"/>
              </w:rPr>
              <w:t>and</w:t>
            </w:r>
            <w:r>
              <w:rPr>
                <w:spacing w:val="-8"/>
                <w:sz w:val="20"/>
              </w:rPr>
              <w:t> </w:t>
            </w:r>
            <w:r>
              <w:rPr>
                <w:spacing w:val="-4"/>
                <w:sz w:val="20"/>
              </w:rPr>
              <w:t>Marketing.</w:t>
            </w:r>
            <w:r>
              <w:rPr>
                <w:spacing w:val="-8"/>
                <w:sz w:val="20"/>
              </w:rPr>
              <w:t> </w:t>
            </w:r>
            <w:r>
              <w:rPr>
                <w:spacing w:val="-4"/>
                <w:sz w:val="20"/>
              </w:rPr>
              <w:t>Ms.</w:t>
            </w:r>
            <w:r>
              <w:rPr>
                <w:spacing w:val="34"/>
                <w:sz w:val="20"/>
              </w:rPr>
              <w:t> </w:t>
            </w:r>
            <w:r>
              <w:rPr>
                <w:spacing w:val="-4"/>
                <w:sz w:val="20"/>
              </w:rPr>
              <w:t>Lewnes</w:t>
            </w:r>
            <w:r>
              <w:rPr>
                <w:spacing w:val="-8"/>
                <w:sz w:val="20"/>
              </w:rPr>
              <w:t> </w:t>
            </w:r>
            <w:r>
              <w:rPr>
                <w:spacing w:val="-4"/>
                <w:sz w:val="20"/>
              </w:rPr>
              <w:t>is</w:t>
            </w:r>
            <w:r>
              <w:rPr>
                <w:spacing w:val="-8"/>
                <w:sz w:val="20"/>
              </w:rPr>
              <w:t> </w:t>
            </w:r>
            <w:r>
              <w:rPr>
                <w:spacing w:val="-4"/>
                <w:sz w:val="20"/>
              </w:rPr>
              <w:t>a</w:t>
            </w:r>
            <w:r>
              <w:rPr>
                <w:spacing w:val="-8"/>
                <w:sz w:val="20"/>
              </w:rPr>
              <w:t> </w:t>
            </w:r>
            <w:r>
              <w:rPr>
                <w:spacing w:val="-4"/>
                <w:sz w:val="20"/>
              </w:rPr>
              <w:t>board</w:t>
            </w:r>
            <w:r>
              <w:rPr>
                <w:spacing w:val="-8"/>
                <w:sz w:val="20"/>
              </w:rPr>
              <w:t> </w:t>
            </w:r>
            <w:r>
              <w:rPr>
                <w:spacing w:val="-4"/>
                <w:sz w:val="20"/>
              </w:rPr>
              <w:t>member </w:t>
            </w:r>
            <w:r>
              <w:rPr>
                <w:sz w:val="20"/>
              </w:rPr>
              <w:t>of Mattel, The Ad Council, and the Adobe Foundation.</w:t>
            </w:r>
          </w:p>
        </w:tc>
      </w:tr>
    </w:tbl>
    <w:p>
      <w:pPr>
        <w:spacing w:after="0" w:line="200" w:lineRule="exact"/>
        <w:jc w:val="both"/>
        <w:rPr>
          <w:sz w:val="20"/>
        </w:rPr>
        <w:sectPr>
          <w:headerReference w:type="default" r:id="rId21"/>
          <w:footerReference w:type="default" r:id="rId22"/>
          <w:pgSz w:w="12240" w:h="15840"/>
          <w:pgMar w:header="210" w:footer="610" w:top="1120" w:bottom="1764" w:left="780" w:right="740"/>
        </w:sect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0"/>
        <w:gridCol w:w="676"/>
        <w:gridCol w:w="7836"/>
      </w:tblGrid>
      <w:tr>
        <w:trPr>
          <w:trHeight w:val="310" w:hRule="atLeast"/>
        </w:trPr>
        <w:tc>
          <w:tcPr>
            <w:tcW w:w="1710" w:type="dxa"/>
          </w:tcPr>
          <w:p>
            <w:pPr>
              <w:pStyle w:val="TableParagraph"/>
              <w:spacing w:line="221" w:lineRule="exact"/>
              <w:ind w:left="50"/>
              <w:rPr>
                <w:sz w:val="20"/>
              </w:rPr>
            </w:pPr>
            <w:r>
              <w:rPr>
                <w:sz w:val="20"/>
              </w:rPr>
              <w:t>Donna </w:t>
            </w:r>
            <w:r>
              <w:rPr>
                <w:spacing w:val="-2"/>
                <w:sz w:val="20"/>
              </w:rPr>
              <w:t>Morris</w:t>
            </w:r>
          </w:p>
        </w:tc>
        <w:tc>
          <w:tcPr>
            <w:tcW w:w="676" w:type="dxa"/>
          </w:tcPr>
          <w:p>
            <w:pPr>
              <w:pStyle w:val="TableParagraph"/>
              <w:spacing w:line="221" w:lineRule="exact"/>
              <w:ind w:right="165"/>
              <w:jc w:val="right"/>
              <w:rPr>
                <w:sz w:val="20"/>
              </w:rPr>
            </w:pPr>
            <w:r>
              <w:rPr>
                <w:spacing w:val="-5"/>
                <w:sz w:val="20"/>
              </w:rPr>
              <w:t>50</w:t>
            </w:r>
          </w:p>
        </w:tc>
        <w:tc>
          <w:tcPr>
            <w:tcW w:w="7836" w:type="dxa"/>
          </w:tcPr>
          <w:p>
            <w:pPr>
              <w:pStyle w:val="TableParagraph"/>
              <w:spacing w:line="221" w:lineRule="exact"/>
              <w:ind w:left="163"/>
              <w:rPr>
                <w:sz w:val="20"/>
              </w:rPr>
            </w:pPr>
            <w:r>
              <w:rPr>
                <w:sz w:val="20"/>
              </w:rPr>
              <w:t>Executive</w:t>
            </w:r>
            <w:r>
              <w:rPr>
                <w:spacing w:val="-7"/>
                <w:sz w:val="20"/>
              </w:rPr>
              <w:t> </w:t>
            </w:r>
            <w:r>
              <w:rPr>
                <w:sz w:val="20"/>
              </w:rPr>
              <w:t>Vice</w:t>
            </w:r>
            <w:r>
              <w:rPr>
                <w:spacing w:val="-2"/>
                <w:sz w:val="20"/>
              </w:rPr>
              <w:t> </w:t>
            </w:r>
            <w:r>
              <w:rPr>
                <w:sz w:val="20"/>
              </w:rPr>
              <w:t>President,</w:t>
            </w:r>
            <w:r>
              <w:rPr>
                <w:spacing w:val="-3"/>
                <w:sz w:val="20"/>
              </w:rPr>
              <w:t> </w:t>
            </w:r>
            <w:r>
              <w:rPr>
                <w:sz w:val="20"/>
              </w:rPr>
              <w:t>Customer</w:t>
            </w:r>
            <w:r>
              <w:rPr>
                <w:spacing w:val="-2"/>
                <w:sz w:val="20"/>
              </w:rPr>
              <w:t> </w:t>
            </w:r>
            <w:r>
              <w:rPr>
                <w:sz w:val="20"/>
              </w:rPr>
              <w:t>and</w:t>
            </w:r>
            <w:r>
              <w:rPr>
                <w:spacing w:val="-2"/>
                <w:sz w:val="20"/>
              </w:rPr>
              <w:t> </w:t>
            </w:r>
            <w:r>
              <w:rPr>
                <w:sz w:val="20"/>
              </w:rPr>
              <w:t>Employee</w:t>
            </w:r>
            <w:r>
              <w:rPr>
                <w:spacing w:val="-3"/>
                <w:sz w:val="20"/>
              </w:rPr>
              <w:t> </w:t>
            </w:r>
            <w:r>
              <w:rPr>
                <w:spacing w:val="-2"/>
                <w:sz w:val="20"/>
              </w:rPr>
              <w:t>Experience</w:t>
            </w:r>
          </w:p>
        </w:tc>
      </w:tr>
      <w:tr>
        <w:trPr>
          <w:trHeight w:val="1550" w:hRule="atLeast"/>
        </w:trPr>
        <w:tc>
          <w:tcPr>
            <w:tcW w:w="1710" w:type="dxa"/>
          </w:tcPr>
          <w:p>
            <w:pPr>
              <w:pStyle w:val="TableParagraph"/>
              <w:rPr>
                <w:sz w:val="18"/>
              </w:rPr>
            </w:pPr>
          </w:p>
        </w:tc>
        <w:tc>
          <w:tcPr>
            <w:tcW w:w="676" w:type="dxa"/>
          </w:tcPr>
          <w:p>
            <w:pPr>
              <w:pStyle w:val="TableParagraph"/>
              <w:rPr>
                <w:sz w:val="18"/>
              </w:rPr>
            </w:pPr>
          </w:p>
        </w:tc>
        <w:tc>
          <w:tcPr>
            <w:tcW w:w="7836" w:type="dxa"/>
          </w:tcPr>
          <w:p>
            <w:pPr>
              <w:pStyle w:val="TableParagraph"/>
              <w:spacing w:line="208" w:lineRule="auto" w:before="105"/>
              <w:ind w:left="163" w:right="49"/>
              <w:jc w:val="both"/>
              <w:rPr>
                <w:sz w:val="20"/>
              </w:rPr>
            </w:pPr>
            <w:r>
              <w:rPr>
                <w:sz w:val="20"/>
              </w:rPr>
              <w:t>Ms. Morris currently serves as Executive Vice President of Adobe's Global Customer and </w:t>
            </w:r>
            <w:r>
              <w:rPr>
                <w:spacing w:val="-2"/>
                <w:sz w:val="20"/>
              </w:rPr>
              <w:t>Employee</w:t>
            </w:r>
            <w:r>
              <w:rPr>
                <w:spacing w:val="-11"/>
                <w:sz w:val="20"/>
              </w:rPr>
              <w:t> </w:t>
            </w:r>
            <w:r>
              <w:rPr>
                <w:spacing w:val="-2"/>
                <w:sz w:val="20"/>
              </w:rPr>
              <w:t>Experience</w:t>
            </w:r>
            <w:r>
              <w:rPr>
                <w:spacing w:val="-9"/>
                <w:sz w:val="20"/>
              </w:rPr>
              <w:t> </w:t>
            </w:r>
            <w:r>
              <w:rPr>
                <w:spacing w:val="-2"/>
                <w:sz w:val="20"/>
              </w:rPr>
              <w:t>organization.</w:t>
            </w:r>
            <w:r>
              <w:rPr>
                <w:spacing w:val="-7"/>
                <w:sz w:val="20"/>
              </w:rPr>
              <w:t> </w:t>
            </w:r>
            <w:r>
              <w:rPr>
                <w:spacing w:val="-2"/>
                <w:sz w:val="20"/>
              </w:rPr>
              <w:t>Ms.</w:t>
            </w:r>
            <w:r>
              <w:rPr>
                <w:spacing w:val="13"/>
                <w:sz w:val="20"/>
              </w:rPr>
              <w:t> </w:t>
            </w:r>
            <w:r>
              <w:rPr>
                <w:spacing w:val="-2"/>
                <w:sz w:val="20"/>
              </w:rPr>
              <w:t>Morris</w:t>
            </w:r>
            <w:r>
              <w:rPr>
                <w:spacing w:val="-7"/>
                <w:sz w:val="20"/>
              </w:rPr>
              <w:t> </w:t>
            </w:r>
            <w:r>
              <w:rPr>
                <w:spacing w:val="-2"/>
                <w:sz w:val="20"/>
              </w:rPr>
              <w:t>joined</w:t>
            </w:r>
            <w:r>
              <w:rPr>
                <w:spacing w:val="-11"/>
                <w:sz w:val="20"/>
              </w:rPr>
              <w:t> </w:t>
            </w:r>
            <w:r>
              <w:rPr>
                <w:spacing w:val="-2"/>
                <w:sz w:val="20"/>
              </w:rPr>
              <w:t>Adobe</w:t>
            </w:r>
            <w:r>
              <w:rPr>
                <w:spacing w:val="-7"/>
                <w:sz w:val="20"/>
              </w:rPr>
              <w:t> </w:t>
            </w:r>
            <w:r>
              <w:rPr>
                <w:spacing w:val="-2"/>
                <w:sz w:val="20"/>
              </w:rPr>
              <w:t>as</w:t>
            </w:r>
            <w:r>
              <w:rPr>
                <w:spacing w:val="-7"/>
                <w:sz w:val="20"/>
              </w:rPr>
              <w:t> </w:t>
            </w:r>
            <w:r>
              <w:rPr>
                <w:spacing w:val="-2"/>
                <w:sz w:val="20"/>
              </w:rPr>
              <w:t>Senior</w:t>
            </w:r>
            <w:r>
              <w:rPr>
                <w:spacing w:val="-7"/>
                <w:sz w:val="20"/>
              </w:rPr>
              <w:t> </w:t>
            </w:r>
            <w:r>
              <w:rPr>
                <w:spacing w:val="-2"/>
                <w:sz w:val="20"/>
              </w:rPr>
              <w:t>Director</w:t>
            </w:r>
            <w:r>
              <w:rPr>
                <w:spacing w:val="-7"/>
                <w:sz w:val="20"/>
              </w:rPr>
              <w:t> </w:t>
            </w:r>
            <w:r>
              <w:rPr>
                <w:spacing w:val="-2"/>
                <w:sz w:val="20"/>
              </w:rPr>
              <w:t>of</w:t>
            </w:r>
            <w:r>
              <w:rPr>
                <w:spacing w:val="-7"/>
                <w:sz w:val="20"/>
              </w:rPr>
              <w:t> </w:t>
            </w:r>
            <w:r>
              <w:rPr>
                <w:spacing w:val="-2"/>
                <w:sz w:val="20"/>
              </w:rPr>
              <w:t>Global</w:t>
            </w:r>
            <w:r>
              <w:rPr>
                <w:spacing w:val="-11"/>
                <w:sz w:val="20"/>
              </w:rPr>
              <w:t> </w:t>
            </w:r>
            <w:r>
              <w:rPr>
                <w:spacing w:val="-2"/>
                <w:sz w:val="20"/>
              </w:rPr>
              <w:t>Talent </w:t>
            </w:r>
            <w:r>
              <w:rPr>
                <w:sz w:val="20"/>
              </w:rPr>
              <w:t>Management</w:t>
            </w:r>
            <w:r>
              <w:rPr>
                <w:spacing w:val="-13"/>
                <w:sz w:val="20"/>
              </w:rPr>
              <w:t> </w:t>
            </w:r>
            <w:r>
              <w:rPr>
                <w:sz w:val="20"/>
              </w:rPr>
              <w:t>in</w:t>
            </w:r>
            <w:r>
              <w:rPr>
                <w:spacing w:val="-12"/>
                <w:sz w:val="20"/>
              </w:rPr>
              <w:t> </w:t>
            </w:r>
            <w:r>
              <w:rPr>
                <w:sz w:val="20"/>
              </w:rPr>
              <w:t>April</w:t>
            </w:r>
            <w:r>
              <w:rPr>
                <w:spacing w:val="-13"/>
                <w:sz w:val="20"/>
              </w:rPr>
              <w:t> </w:t>
            </w:r>
            <w:r>
              <w:rPr>
                <w:sz w:val="20"/>
              </w:rPr>
              <w:t>2002</w:t>
            </w:r>
            <w:r>
              <w:rPr>
                <w:spacing w:val="-11"/>
                <w:sz w:val="20"/>
              </w:rPr>
              <w:t> </w:t>
            </w:r>
            <w:r>
              <w:rPr>
                <w:sz w:val="20"/>
              </w:rPr>
              <w:t>through</w:t>
            </w:r>
            <w:r>
              <w:rPr>
                <w:spacing w:val="-8"/>
                <w:sz w:val="20"/>
              </w:rPr>
              <w:t> </w:t>
            </w:r>
            <w:r>
              <w:rPr>
                <w:sz w:val="20"/>
              </w:rPr>
              <w:t>the</w:t>
            </w:r>
            <w:r>
              <w:rPr>
                <w:spacing w:val="-9"/>
                <w:sz w:val="20"/>
              </w:rPr>
              <w:t> </w:t>
            </w:r>
            <w:r>
              <w:rPr>
                <w:sz w:val="20"/>
              </w:rPr>
              <w:t>acquisition</w:t>
            </w:r>
            <w:r>
              <w:rPr>
                <w:spacing w:val="-9"/>
                <w:sz w:val="20"/>
              </w:rPr>
              <w:t> </w:t>
            </w:r>
            <w:r>
              <w:rPr>
                <w:sz w:val="20"/>
              </w:rPr>
              <w:t>of</w:t>
            </w:r>
            <w:r>
              <w:rPr>
                <w:spacing w:val="-13"/>
                <w:sz w:val="20"/>
              </w:rPr>
              <w:t> </w:t>
            </w:r>
            <w:r>
              <w:rPr>
                <w:sz w:val="20"/>
              </w:rPr>
              <w:t>Accelio</w:t>
            </w:r>
            <w:r>
              <w:rPr>
                <w:spacing w:val="-8"/>
                <w:sz w:val="20"/>
              </w:rPr>
              <w:t> </w:t>
            </w:r>
            <w:r>
              <w:rPr>
                <w:sz w:val="20"/>
              </w:rPr>
              <w:t>Corporation,</w:t>
            </w:r>
            <w:r>
              <w:rPr>
                <w:spacing w:val="-9"/>
                <w:sz w:val="20"/>
              </w:rPr>
              <w:t> </w:t>
            </w:r>
            <w:r>
              <w:rPr>
                <w:sz w:val="20"/>
              </w:rPr>
              <w:t>a</w:t>
            </w:r>
            <w:r>
              <w:rPr>
                <w:spacing w:val="-9"/>
                <w:sz w:val="20"/>
              </w:rPr>
              <w:t> </w:t>
            </w:r>
            <w:r>
              <w:rPr>
                <w:sz w:val="20"/>
              </w:rPr>
              <w:t>Canadian</w:t>
            </w:r>
            <w:r>
              <w:rPr>
                <w:spacing w:val="-9"/>
                <w:sz w:val="20"/>
              </w:rPr>
              <w:t> </w:t>
            </w:r>
            <w:r>
              <w:rPr>
                <w:sz w:val="20"/>
              </w:rPr>
              <w:t>software company,</w:t>
            </w:r>
            <w:r>
              <w:rPr>
                <w:spacing w:val="-4"/>
                <w:sz w:val="20"/>
              </w:rPr>
              <w:t> </w:t>
            </w:r>
            <w:r>
              <w:rPr>
                <w:sz w:val="20"/>
              </w:rPr>
              <w:t>where</w:t>
            </w:r>
            <w:r>
              <w:rPr>
                <w:spacing w:val="-4"/>
                <w:sz w:val="20"/>
              </w:rPr>
              <w:t> </w:t>
            </w:r>
            <w:r>
              <w:rPr>
                <w:sz w:val="20"/>
              </w:rPr>
              <w:t>she</w:t>
            </w:r>
            <w:r>
              <w:rPr>
                <w:spacing w:val="-4"/>
                <w:sz w:val="20"/>
              </w:rPr>
              <w:t> </w:t>
            </w:r>
            <w:r>
              <w:rPr>
                <w:sz w:val="20"/>
              </w:rPr>
              <w:t>served</w:t>
            </w:r>
            <w:r>
              <w:rPr>
                <w:spacing w:val="-4"/>
                <w:sz w:val="20"/>
              </w:rPr>
              <w:t> </w:t>
            </w:r>
            <w:r>
              <w:rPr>
                <w:sz w:val="20"/>
              </w:rPr>
              <w:t>as</w:t>
            </w:r>
            <w:r>
              <w:rPr>
                <w:spacing w:val="-6"/>
                <w:sz w:val="20"/>
              </w:rPr>
              <w:t> </w:t>
            </w:r>
            <w:r>
              <w:rPr>
                <w:sz w:val="20"/>
              </w:rPr>
              <w:t>Vice</w:t>
            </w:r>
            <w:r>
              <w:rPr>
                <w:spacing w:val="-4"/>
                <w:sz w:val="20"/>
              </w:rPr>
              <w:t> </w:t>
            </w:r>
            <w:r>
              <w:rPr>
                <w:sz w:val="20"/>
              </w:rPr>
              <w:t>President</w:t>
            </w:r>
            <w:r>
              <w:rPr>
                <w:spacing w:val="-4"/>
                <w:sz w:val="20"/>
              </w:rPr>
              <w:t> </w:t>
            </w:r>
            <w:r>
              <w:rPr>
                <w:sz w:val="20"/>
              </w:rPr>
              <w:t>of</w:t>
            </w:r>
            <w:r>
              <w:rPr>
                <w:spacing w:val="-4"/>
                <w:sz w:val="20"/>
              </w:rPr>
              <w:t> </w:t>
            </w:r>
            <w:r>
              <w:rPr>
                <w:sz w:val="20"/>
              </w:rPr>
              <w:t>Human</w:t>
            </w:r>
            <w:r>
              <w:rPr>
                <w:spacing w:val="-4"/>
                <w:sz w:val="20"/>
              </w:rPr>
              <w:t> </w:t>
            </w:r>
            <w:r>
              <w:rPr>
                <w:sz w:val="20"/>
              </w:rPr>
              <w:t>Resources</w:t>
            </w:r>
            <w:r>
              <w:rPr>
                <w:spacing w:val="-3"/>
                <w:sz w:val="20"/>
              </w:rPr>
              <w:t> </w:t>
            </w:r>
            <w:r>
              <w:rPr>
                <w:sz w:val="20"/>
              </w:rPr>
              <w:t>and</w:t>
            </w:r>
            <w:r>
              <w:rPr>
                <w:spacing w:val="-4"/>
                <w:sz w:val="20"/>
              </w:rPr>
              <w:t> </w:t>
            </w:r>
            <w:r>
              <w:rPr>
                <w:sz w:val="20"/>
              </w:rPr>
              <w:t>Learning.</w:t>
            </w:r>
            <w:r>
              <w:rPr>
                <w:spacing w:val="-4"/>
                <w:sz w:val="20"/>
              </w:rPr>
              <w:t> </w:t>
            </w:r>
            <w:r>
              <w:rPr>
                <w:sz w:val="20"/>
              </w:rPr>
              <w:t>In</w:t>
            </w:r>
            <w:r>
              <w:rPr>
                <w:spacing w:val="-4"/>
                <w:sz w:val="20"/>
              </w:rPr>
              <w:t> </w:t>
            </w:r>
            <w:r>
              <w:rPr>
                <w:sz w:val="20"/>
              </w:rPr>
              <w:t>December 2005, Ms.</w:t>
            </w:r>
            <w:r>
              <w:rPr>
                <w:spacing w:val="-3"/>
                <w:sz w:val="20"/>
              </w:rPr>
              <w:t> </w:t>
            </w:r>
            <w:r>
              <w:rPr>
                <w:sz w:val="20"/>
              </w:rPr>
              <w:t>Morris was promoted to Vice President, Global Human Resources Operations and </w:t>
            </w:r>
            <w:r>
              <w:rPr>
                <w:spacing w:val="-2"/>
                <w:sz w:val="20"/>
              </w:rPr>
              <w:t>subsequently</w:t>
            </w:r>
            <w:r>
              <w:rPr>
                <w:spacing w:val="-8"/>
                <w:sz w:val="20"/>
              </w:rPr>
              <w:t> </w:t>
            </w:r>
            <w:r>
              <w:rPr>
                <w:spacing w:val="-2"/>
                <w:sz w:val="20"/>
              </w:rPr>
              <w:t>to</w:t>
            </w:r>
            <w:r>
              <w:rPr>
                <w:spacing w:val="-7"/>
                <w:sz w:val="20"/>
              </w:rPr>
              <w:t> </w:t>
            </w:r>
            <w:r>
              <w:rPr>
                <w:spacing w:val="-2"/>
                <w:sz w:val="20"/>
              </w:rPr>
              <w:t>Senior</w:t>
            </w:r>
            <w:r>
              <w:rPr>
                <w:spacing w:val="-11"/>
                <w:sz w:val="20"/>
              </w:rPr>
              <w:t> </w:t>
            </w:r>
            <w:r>
              <w:rPr>
                <w:spacing w:val="-2"/>
                <w:sz w:val="20"/>
              </w:rPr>
              <w:t>Vice</w:t>
            </w:r>
            <w:r>
              <w:rPr>
                <w:spacing w:val="-7"/>
                <w:sz w:val="20"/>
              </w:rPr>
              <w:t> </w:t>
            </w:r>
            <w:r>
              <w:rPr>
                <w:spacing w:val="-2"/>
                <w:sz w:val="20"/>
              </w:rPr>
              <w:t>President,</w:t>
            </w:r>
            <w:r>
              <w:rPr>
                <w:spacing w:val="-7"/>
                <w:sz w:val="20"/>
              </w:rPr>
              <w:t> </w:t>
            </w:r>
            <w:r>
              <w:rPr>
                <w:spacing w:val="-2"/>
                <w:sz w:val="20"/>
              </w:rPr>
              <w:t>Human</w:t>
            </w:r>
            <w:r>
              <w:rPr>
                <w:spacing w:val="-7"/>
                <w:sz w:val="20"/>
              </w:rPr>
              <w:t> </w:t>
            </w:r>
            <w:r>
              <w:rPr>
                <w:spacing w:val="-2"/>
                <w:sz w:val="20"/>
              </w:rPr>
              <w:t>Resources</w:t>
            </w:r>
            <w:r>
              <w:rPr>
                <w:spacing w:val="-7"/>
                <w:sz w:val="20"/>
              </w:rPr>
              <w:t> </w:t>
            </w:r>
            <w:r>
              <w:rPr>
                <w:spacing w:val="-2"/>
                <w:sz w:val="20"/>
              </w:rPr>
              <w:t>in</w:t>
            </w:r>
            <w:r>
              <w:rPr>
                <w:spacing w:val="-7"/>
                <w:sz w:val="20"/>
              </w:rPr>
              <w:t> </w:t>
            </w:r>
            <w:r>
              <w:rPr>
                <w:spacing w:val="-2"/>
                <w:sz w:val="20"/>
              </w:rPr>
              <w:t>March</w:t>
            </w:r>
            <w:r>
              <w:rPr>
                <w:spacing w:val="-7"/>
                <w:sz w:val="20"/>
              </w:rPr>
              <w:t> </w:t>
            </w:r>
            <w:r>
              <w:rPr>
                <w:spacing w:val="-2"/>
                <w:sz w:val="20"/>
              </w:rPr>
              <w:t>2007.</w:t>
            </w:r>
            <w:r>
              <w:rPr>
                <w:spacing w:val="-7"/>
                <w:sz w:val="20"/>
              </w:rPr>
              <w:t> </w:t>
            </w:r>
            <w:r>
              <w:rPr>
                <w:spacing w:val="-2"/>
                <w:sz w:val="20"/>
              </w:rPr>
              <w:t>Ms.</w:t>
            </w:r>
            <w:r>
              <w:rPr>
                <w:spacing w:val="11"/>
                <w:sz w:val="20"/>
              </w:rPr>
              <w:t> </w:t>
            </w:r>
            <w:r>
              <w:rPr>
                <w:spacing w:val="-2"/>
                <w:sz w:val="20"/>
              </w:rPr>
              <w:t>Morris</w:t>
            </w:r>
            <w:r>
              <w:rPr>
                <w:spacing w:val="-7"/>
                <w:sz w:val="20"/>
              </w:rPr>
              <w:t> </w:t>
            </w:r>
            <w:r>
              <w:rPr>
                <w:spacing w:val="-2"/>
                <w:sz w:val="20"/>
              </w:rPr>
              <w:t>is</w:t>
            </w:r>
            <w:r>
              <w:rPr>
                <w:spacing w:val="-7"/>
                <w:sz w:val="20"/>
              </w:rPr>
              <w:t> </w:t>
            </w:r>
            <w:r>
              <w:rPr>
                <w:spacing w:val="-2"/>
                <w:sz w:val="20"/>
              </w:rPr>
              <w:t>a</w:t>
            </w:r>
            <w:r>
              <w:rPr>
                <w:spacing w:val="-7"/>
                <w:sz w:val="20"/>
              </w:rPr>
              <w:t> </w:t>
            </w:r>
            <w:r>
              <w:rPr>
                <w:spacing w:val="-2"/>
                <w:sz w:val="20"/>
              </w:rPr>
              <w:t>director </w:t>
            </w:r>
            <w:r>
              <w:rPr>
                <w:sz w:val="20"/>
              </w:rPr>
              <w:t>of the Society for Human Resource Management and the Adobe Foundation.</w:t>
            </w:r>
          </w:p>
        </w:tc>
      </w:tr>
      <w:tr>
        <w:trPr>
          <w:trHeight w:val="350" w:hRule="atLeast"/>
        </w:trPr>
        <w:tc>
          <w:tcPr>
            <w:tcW w:w="1710" w:type="dxa"/>
          </w:tcPr>
          <w:p>
            <w:pPr>
              <w:pStyle w:val="TableParagraph"/>
              <w:spacing w:before="30"/>
              <w:ind w:left="50"/>
              <w:rPr>
                <w:sz w:val="20"/>
              </w:rPr>
            </w:pPr>
            <w:r>
              <w:rPr>
                <w:sz w:val="20"/>
              </w:rPr>
              <w:t>Abhay </w:t>
            </w:r>
            <w:r>
              <w:rPr>
                <w:spacing w:val="-2"/>
                <w:sz w:val="20"/>
              </w:rPr>
              <w:t>Parasnis</w:t>
            </w:r>
          </w:p>
        </w:tc>
        <w:tc>
          <w:tcPr>
            <w:tcW w:w="676" w:type="dxa"/>
          </w:tcPr>
          <w:p>
            <w:pPr>
              <w:pStyle w:val="TableParagraph"/>
              <w:spacing w:before="30"/>
              <w:ind w:right="165"/>
              <w:jc w:val="right"/>
              <w:rPr>
                <w:sz w:val="20"/>
              </w:rPr>
            </w:pPr>
            <w:r>
              <w:rPr>
                <w:spacing w:val="-5"/>
                <w:sz w:val="20"/>
              </w:rPr>
              <w:t>43</w:t>
            </w:r>
          </w:p>
        </w:tc>
        <w:tc>
          <w:tcPr>
            <w:tcW w:w="7836" w:type="dxa"/>
          </w:tcPr>
          <w:p>
            <w:pPr>
              <w:pStyle w:val="TableParagraph"/>
              <w:spacing w:before="30"/>
              <w:ind w:left="163"/>
              <w:rPr>
                <w:sz w:val="20"/>
              </w:rPr>
            </w:pPr>
            <w:r>
              <w:rPr>
                <w:sz w:val="20"/>
              </w:rPr>
              <w:t>Executive</w:t>
            </w:r>
            <w:r>
              <w:rPr>
                <w:spacing w:val="-9"/>
                <w:sz w:val="20"/>
              </w:rPr>
              <w:t> </w:t>
            </w:r>
            <w:r>
              <w:rPr>
                <w:sz w:val="20"/>
              </w:rPr>
              <w:t>Vice</w:t>
            </w:r>
            <w:r>
              <w:rPr>
                <w:spacing w:val="-4"/>
                <w:sz w:val="20"/>
              </w:rPr>
              <w:t> </w:t>
            </w:r>
            <w:r>
              <w:rPr>
                <w:sz w:val="20"/>
              </w:rPr>
              <w:t>President</w:t>
            </w:r>
            <w:r>
              <w:rPr>
                <w:spacing w:val="-6"/>
                <w:sz w:val="20"/>
              </w:rPr>
              <w:t> </w:t>
            </w:r>
            <w:r>
              <w:rPr>
                <w:sz w:val="20"/>
              </w:rPr>
              <w:t>and</w:t>
            </w:r>
            <w:r>
              <w:rPr>
                <w:spacing w:val="-5"/>
                <w:sz w:val="20"/>
              </w:rPr>
              <w:t> </w:t>
            </w:r>
            <w:r>
              <w:rPr>
                <w:sz w:val="20"/>
              </w:rPr>
              <w:t>Chief</w:t>
            </w:r>
            <w:r>
              <w:rPr>
                <w:spacing w:val="-8"/>
                <w:sz w:val="20"/>
              </w:rPr>
              <w:t> </w:t>
            </w:r>
            <w:r>
              <w:rPr>
                <w:sz w:val="20"/>
              </w:rPr>
              <w:t>Technology</w:t>
            </w:r>
            <w:r>
              <w:rPr>
                <w:spacing w:val="-5"/>
                <w:sz w:val="20"/>
              </w:rPr>
              <w:t> </w:t>
            </w:r>
            <w:r>
              <w:rPr>
                <w:spacing w:val="-2"/>
                <w:sz w:val="20"/>
              </w:rPr>
              <w:t>Officer</w:t>
            </w:r>
          </w:p>
        </w:tc>
      </w:tr>
      <w:tr>
        <w:trPr>
          <w:trHeight w:val="1350" w:hRule="atLeast"/>
        </w:trPr>
        <w:tc>
          <w:tcPr>
            <w:tcW w:w="1710" w:type="dxa"/>
          </w:tcPr>
          <w:p>
            <w:pPr>
              <w:pStyle w:val="TableParagraph"/>
              <w:rPr>
                <w:sz w:val="18"/>
              </w:rPr>
            </w:pPr>
          </w:p>
        </w:tc>
        <w:tc>
          <w:tcPr>
            <w:tcW w:w="676" w:type="dxa"/>
          </w:tcPr>
          <w:p>
            <w:pPr>
              <w:pStyle w:val="TableParagraph"/>
              <w:rPr>
                <w:sz w:val="18"/>
              </w:rPr>
            </w:pPr>
          </w:p>
        </w:tc>
        <w:tc>
          <w:tcPr>
            <w:tcW w:w="7836" w:type="dxa"/>
          </w:tcPr>
          <w:p>
            <w:pPr>
              <w:pStyle w:val="TableParagraph"/>
              <w:spacing w:line="208" w:lineRule="auto" w:before="105"/>
              <w:ind w:left="163" w:right="49"/>
              <w:jc w:val="both"/>
              <w:rPr>
                <w:sz w:val="20"/>
              </w:rPr>
            </w:pPr>
            <w:r>
              <w:rPr>
                <w:spacing w:val="-2"/>
                <w:sz w:val="20"/>
              </w:rPr>
              <w:t>Mr.</w:t>
            </w:r>
            <w:r>
              <w:rPr>
                <w:spacing w:val="-11"/>
                <w:sz w:val="20"/>
              </w:rPr>
              <w:t> </w:t>
            </w:r>
            <w:r>
              <w:rPr>
                <w:spacing w:val="-2"/>
                <w:sz w:val="20"/>
              </w:rPr>
              <w:t>Parasnis</w:t>
            </w:r>
            <w:r>
              <w:rPr>
                <w:spacing w:val="-10"/>
                <w:sz w:val="20"/>
              </w:rPr>
              <w:t> </w:t>
            </w:r>
            <w:r>
              <w:rPr>
                <w:spacing w:val="-2"/>
                <w:sz w:val="20"/>
              </w:rPr>
              <w:t>joined</w:t>
            </w:r>
            <w:r>
              <w:rPr>
                <w:spacing w:val="-11"/>
                <w:sz w:val="20"/>
              </w:rPr>
              <w:t> </w:t>
            </w:r>
            <w:r>
              <w:rPr>
                <w:spacing w:val="-2"/>
                <w:sz w:val="20"/>
              </w:rPr>
              <w:t>Adobe</w:t>
            </w:r>
            <w:r>
              <w:rPr>
                <w:spacing w:val="-10"/>
                <w:sz w:val="20"/>
              </w:rPr>
              <w:t> </w:t>
            </w:r>
            <w:r>
              <w:rPr>
                <w:spacing w:val="-2"/>
                <w:sz w:val="20"/>
              </w:rPr>
              <w:t>in</w:t>
            </w:r>
            <w:r>
              <w:rPr>
                <w:spacing w:val="-10"/>
                <w:sz w:val="20"/>
              </w:rPr>
              <w:t> </w:t>
            </w:r>
            <w:r>
              <w:rPr>
                <w:spacing w:val="-2"/>
                <w:sz w:val="20"/>
              </w:rPr>
              <w:t>July</w:t>
            </w:r>
            <w:r>
              <w:rPr>
                <w:spacing w:val="-7"/>
                <w:sz w:val="20"/>
              </w:rPr>
              <w:t> </w:t>
            </w:r>
            <w:r>
              <w:rPr>
                <w:spacing w:val="-2"/>
                <w:sz w:val="20"/>
              </w:rPr>
              <w:t>2015</w:t>
            </w:r>
            <w:r>
              <w:rPr>
                <w:spacing w:val="-8"/>
                <w:sz w:val="20"/>
              </w:rPr>
              <w:t> </w:t>
            </w:r>
            <w:r>
              <w:rPr>
                <w:spacing w:val="-2"/>
                <w:sz w:val="20"/>
              </w:rPr>
              <w:t>as</w:t>
            </w:r>
            <w:r>
              <w:rPr>
                <w:spacing w:val="-8"/>
                <w:sz w:val="20"/>
              </w:rPr>
              <w:t> </w:t>
            </w:r>
            <w:r>
              <w:rPr>
                <w:spacing w:val="-2"/>
                <w:sz w:val="20"/>
              </w:rPr>
              <w:t>Senior</w:t>
            </w:r>
            <w:r>
              <w:rPr>
                <w:spacing w:val="-11"/>
                <w:sz w:val="20"/>
              </w:rPr>
              <w:t> </w:t>
            </w:r>
            <w:r>
              <w:rPr>
                <w:spacing w:val="-2"/>
                <w:sz w:val="20"/>
              </w:rPr>
              <w:t>Vice</w:t>
            </w:r>
            <w:r>
              <w:rPr>
                <w:spacing w:val="-7"/>
                <w:sz w:val="20"/>
              </w:rPr>
              <w:t> </w:t>
            </w:r>
            <w:r>
              <w:rPr>
                <w:spacing w:val="-2"/>
                <w:sz w:val="20"/>
              </w:rPr>
              <w:t>President</w:t>
            </w:r>
            <w:r>
              <w:rPr>
                <w:spacing w:val="-8"/>
                <w:sz w:val="20"/>
              </w:rPr>
              <w:t> </w:t>
            </w:r>
            <w:r>
              <w:rPr>
                <w:spacing w:val="-2"/>
                <w:sz w:val="20"/>
              </w:rPr>
              <w:t>of</w:t>
            </w:r>
            <w:r>
              <w:rPr>
                <w:spacing w:val="-11"/>
                <w:sz w:val="20"/>
              </w:rPr>
              <w:t> </w:t>
            </w:r>
            <w:r>
              <w:rPr>
                <w:spacing w:val="-2"/>
                <w:sz w:val="20"/>
              </w:rPr>
              <w:t>Adobe's</w:t>
            </w:r>
            <w:r>
              <w:rPr>
                <w:spacing w:val="-7"/>
                <w:sz w:val="20"/>
              </w:rPr>
              <w:t> </w:t>
            </w:r>
            <w:r>
              <w:rPr>
                <w:spacing w:val="-2"/>
                <w:sz w:val="20"/>
              </w:rPr>
              <w:t>Cloud</w:t>
            </w:r>
            <w:r>
              <w:rPr>
                <w:spacing w:val="-11"/>
                <w:sz w:val="20"/>
              </w:rPr>
              <w:t> </w:t>
            </w:r>
            <w:r>
              <w:rPr>
                <w:spacing w:val="-2"/>
                <w:sz w:val="20"/>
              </w:rPr>
              <w:t>Technology</w:t>
            </w:r>
            <w:r>
              <w:rPr>
                <w:spacing w:val="8"/>
                <w:sz w:val="20"/>
              </w:rPr>
              <w:t> </w:t>
            </w:r>
            <w:r>
              <w:rPr>
                <w:spacing w:val="-2"/>
                <w:sz w:val="20"/>
              </w:rPr>
              <w:t>&amp; </w:t>
            </w:r>
            <w:r>
              <w:rPr>
                <w:spacing w:val="-4"/>
                <w:sz w:val="20"/>
              </w:rPr>
              <w:t>Services</w:t>
            </w:r>
            <w:r>
              <w:rPr>
                <w:spacing w:val="-8"/>
                <w:sz w:val="20"/>
              </w:rPr>
              <w:t> </w:t>
            </w:r>
            <w:r>
              <w:rPr>
                <w:spacing w:val="-4"/>
                <w:sz w:val="20"/>
              </w:rPr>
              <w:t>organization and Chief</w:t>
            </w:r>
            <w:r>
              <w:rPr>
                <w:spacing w:val="-7"/>
                <w:sz w:val="20"/>
              </w:rPr>
              <w:t> </w:t>
            </w:r>
            <w:r>
              <w:rPr>
                <w:spacing w:val="-4"/>
                <w:sz w:val="20"/>
              </w:rPr>
              <w:t>Technology Officer. Prior to joining</w:t>
            </w:r>
            <w:r>
              <w:rPr>
                <w:spacing w:val="-9"/>
                <w:sz w:val="20"/>
              </w:rPr>
              <w:t> </w:t>
            </w:r>
            <w:r>
              <w:rPr>
                <w:spacing w:val="-4"/>
                <w:sz w:val="20"/>
              </w:rPr>
              <w:t>Adobe, he served as President </w:t>
            </w:r>
            <w:r>
              <w:rPr>
                <w:sz w:val="20"/>
              </w:rPr>
              <w:t>and</w:t>
            </w:r>
            <w:r>
              <w:rPr>
                <w:spacing w:val="-11"/>
                <w:sz w:val="20"/>
              </w:rPr>
              <w:t> </w:t>
            </w:r>
            <w:r>
              <w:rPr>
                <w:sz w:val="20"/>
              </w:rPr>
              <w:t>Chief</w:t>
            </w:r>
            <w:r>
              <w:rPr>
                <w:spacing w:val="-11"/>
                <w:sz w:val="20"/>
              </w:rPr>
              <w:t> </w:t>
            </w:r>
            <w:r>
              <w:rPr>
                <w:sz w:val="20"/>
              </w:rPr>
              <w:t>Operating</w:t>
            </w:r>
            <w:r>
              <w:rPr>
                <w:spacing w:val="-11"/>
                <w:sz w:val="20"/>
              </w:rPr>
              <w:t> </w:t>
            </w:r>
            <w:r>
              <w:rPr>
                <w:sz w:val="20"/>
              </w:rPr>
              <w:t>Officer</w:t>
            </w:r>
            <w:r>
              <w:rPr>
                <w:spacing w:val="-11"/>
                <w:sz w:val="20"/>
              </w:rPr>
              <w:t> </w:t>
            </w:r>
            <w:r>
              <w:rPr>
                <w:sz w:val="20"/>
              </w:rPr>
              <w:t>at</w:t>
            </w:r>
            <w:r>
              <w:rPr>
                <w:spacing w:val="-11"/>
                <w:sz w:val="20"/>
              </w:rPr>
              <w:t> </w:t>
            </w:r>
            <w:r>
              <w:rPr>
                <w:sz w:val="20"/>
              </w:rPr>
              <w:t>Kony,</w:t>
            </w:r>
            <w:r>
              <w:rPr>
                <w:spacing w:val="36"/>
                <w:sz w:val="20"/>
              </w:rPr>
              <w:t> </w:t>
            </w:r>
            <w:r>
              <w:rPr>
                <w:sz w:val="20"/>
              </w:rPr>
              <w:t>Inc.</w:t>
            </w:r>
            <w:r>
              <w:rPr>
                <w:spacing w:val="-11"/>
                <w:sz w:val="20"/>
              </w:rPr>
              <w:t> </w:t>
            </w:r>
            <w:r>
              <w:rPr>
                <w:sz w:val="20"/>
              </w:rPr>
              <w:t>from</w:t>
            </w:r>
            <w:r>
              <w:rPr>
                <w:spacing w:val="-11"/>
                <w:sz w:val="20"/>
              </w:rPr>
              <w:t> </w:t>
            </w:r>
            <w:r>
              <w:rPr>
                <w:sz w:val="20"/>
              </w:rPr>
              <w:t>March</w:t>
            </w:r>
            <w:r>
              <w:rPr>
                <w:spacing w:val="-11"/>
                <w:sz w:val="20"/>
              </w:rPr>
              <w:t> </w:t>
            </w:r>
            <w:r>
              <w:rPr>
                <w:sz w:val="20"/>
              </w:rPr>
              <w:t>2013</w:t>
            </w:r>
            <w:r>
              <w:rPr>
                <w:spacing w:val="-11"/>
                <w:sz w:val="20"/>
              </w:rPr>
              <w:t> </w:t>
            </w:r>
            <w:r>
              <w:rPr>
                <w:sz w:val="20"/>
              </w:rPr>
              <w:t>to</w:t>
            </w:r>
            <w:r>
              <w:rPr>
                <w:spacing w:val="-11"/>
                <w:sz w:val="20"/>
              </w:rPr>
              <w:t> </w:t>
            </w:r>
            <w:r>
              <w:rPr>
                <w:sz w:val="20"/>
              </w:rPr>
              <w:t>March</w:t>
            </w:r>
            <w:r>
              <w:rPr>
                <w:spacing w:val="-11"/>
                <w:sz w:val="20"/>
              </w:rPr>
              <w:t> </w:t>
            </w:r>
            <w:r>
              <w:rPr>
                <w:sz w:val="20"/>
              </w:rPr>
              <w:t>2015.</w:t>
            </w:r>
            <w:r>
              <w:rPr>
                <w:spacing w:val="-11"/>
                <w:sz w:val="20"/>
              </w:rPr>
              <w:t> </w:t>
            </w:r>
            <w:r>
              <w:rPr>
                <w:sz w:val="20"/>
              </w:rPr>
              <w:t>From</w:t>
            </w:r>
            <w:r>
              <w:rPr>
                <w:spacing w:val="-11"/>
                <w:sz w:val="20"/>
              </w:rPr>
              <w:t> </w:t>
            </w:r>
            <w:r>
              <w:rPr>
                <w:sz w:val="20"/>
              </w:rPr>
              <w:t>January</w:t>
            </w:r>
            <w:r>
              <w:rPr>
                <w:spacing w:val="-11"/>
                <w:sz w:val="20"/>
              </w:rPr>
              <w:t> </w:t>
            </w:r>
            <w:r>
              <w:rPr>
                <w:sz w:val="20"/>
              </w:rPr>
              <w:t>2012 to</w:t>
            </w:r>
            <w:r>
              <w:rPr>
                <w:spacing w:val="-10"/>
                <w:sz w:val="20"/>
              </w:rPr>
              <w:t> </w:t>
            </w:r>
            <w:r>
              <w:rPr>
                <w:sz w:val="20"/>
              </w:rPr>
              <w:t>November</w:t>
            </w:r>
            <w:r>
              <w:rPr>
                <w:spacing w:val="-6"/>
                <w:sz w:val="20"/>
              </w:rPr>
              <w:t> </w:t>
            </w:r>
            <w:r>
              <w:rPr>
                <w:sz w:val="20"/>
              </w:rPr>
              <w:t>2013,</w:t>
            </w:r>
            <w:r>
              <w:rPr>
                <w:spacing w:val="-6"/>
                <w:sz w:val="20"/>
              </w:rPr>
              <w:t> </w:t>
            </w:r>
            <w:r>
              <w:rPr>
                <w:sz w:val="20"/>
              </w:rPr>
              <w:t>Mr.</w:t>
            </w:r>
            <w:r>
              <w:rPr>
                <w:spacing w:val="-4"/>
                <w:sz w:val="20"/>
              </w:rPr>
              <w:t> </w:t>
            </w:r>
            <w:r>
              <w:rPr>
                <w:sz w:val="20"/>
              </w:rPr>
              <w:t>Parasnis</w:t>
            </w:r>
            <w:r>
              <w:rPr>
                <w:spacing w:val="-6"/>
                <w:sz w:val="20"/>
              </w:rPr>
              <w:t> </w:t>
            </w:r>
            <w:r>
              <w:rPr>
                <w:sz w:val="20"/>
              </w:rPr>
              <w:t>was</w:t>
            </w:r>
            <w:r>
              <w:rPr>
                <w:spacing w:val="-6"/>
                <w:sz w:val="20"/>
              </w:rPr>
              <w:t> </w:t>
            </w:r>
            <w:r>
              <w:rPr>
                <w:sz w:val="20"/>
              </w:rPr>
              <w:t>a</w:t>
            </w:r>
            <w:r>
              <w:rPr>
                <w:spacing w:val="-6"/>
                <w:sz w:val="20"/>
              </w:rPr>
              <w:t> </w:t>
            </w:r>
            <w:r>
              <w:rPr>
                <w:sz w:val="20"/>
              </w:rPr>
              <w:t>Senior</w:t>
            </w:r>
            <w:r>
              <w:rPr>
                <w:spacing w:val="-10"/>
                <w:sz w:val="20"/>
              </w:rPr>
              <w:t> </w:t>
            </w:r>
            <w:r>
              <w:rPr>
                <w:sz w:val="20"/>
              </w:rPr>
              <w:t>Vice</w:t>
            </w:r>
            <w:r>
              <w:rPr>
                <w:spacing w:val="-6"/>
                <w:sz w:val="20"/>
              </w:rPr>
              <w:t> </w:t>
            </w:r>
            <w:r>
              <w:rPr>
                <w:sz w:val="20"/>
              </w:rPr>
              <w:t>President</w:t>
            </w:r>
            <w:r>
              <w:rPr>
                <w:spacing w:val="-6"/>
                <w:sz w:val="20"/>
              </w:rPr>
              <w:t> </w:t>
            </w:r>
            <w:r>
              <w:rPr>
                <w:sz w:val="20"/>
              </w:rPr>
              <w:t>and</w:t>
            </w:r>
            <w:r>
              <w:rPr>
                <w:spacing w:val="-6"/>
                <w:sz w:val="20"/>
              </w:rPr>
              <w:t> </w:t>
            </w:r>
            <w:r>
              <w:rPr>
                <w:sz w:val="20"/>
              </w:rPr>
              <w:t>later</w:t>
            </w:r>
            <w:r>
              <w:rPr>
                <w:spacing w:val="-6"/>
                <w:sz w:val="20"/>
              </w:rPr>
              <w:t> </w:t>
            </w:r>
            <w:r>
              <w:rPr>
                <w:sz w:val="20"/>
              </w:rPr>
              <w:t>Strategic</w:t>
            </w:r>
            <w:r>
              <w:rPr>
                <w:spacing w:val="-13"/>
                <w:sz w:val="20"/>
              </w:rPr>
              <w:t> </w:t>
            </w:r>
            <w:r>
              <w:rPr>
                <w:sz w:val="20"/>
              </w:rPr>
              <w:t>Advisor</w:t>
            </w:r>
            <w:r>
              <w:rPr>
                <w:spacing w:val="-6"/>
                <w:sz w:val="20"/>
              </w:rPr>
              <w:t> </w:t>
            </w:r>
            <w:r>
              <w:rPr>
                <w:sz w:val="20"/>
              </w:rPr>
              <w:t>for</w:t>
            </w:r>
            <w:r>
              <w:rPr>
                <w:spacing w:val="-6"/>
                <w:sz w:val="20"/>
              </w:rPr>
              <w:t> </w:t>
            </w:r>
            <w:r>
              <w:rPr>
                <w:sz w:val="20"/>
              </w:rPr>
              <w:t>the Oracle Public Cloud at Oracle. Prior to joining Oracle, he was General Manager of </w:t>
            </w:r>
            <w:r>
              <w:rPr>
                <w:sz w:val="20"/>
              </w:rPr>
              <w:t>Microsoft Azure AppFabric at Microsoft from April 2009 to December 2011.</w:t>
            </w:r>
          </w:p>
        </w:tc>
      </w:tr>
      <w:tr>
        <w:trPr>
          <w:trHeight w:val="350" w:hRule="atLeast"/>
        </w:trPr>
        <w:tc>
          <w:tcPr>
            <w:tcW w:w="1710" w:type="dxa"/>
          </w:tcPr>
          <w:p>
            <w:pPr>
              <w:pStyle w:val="TableParagraph"/>
              <w:spacing w:before="30"/>
              <w:ind w:left="50"/>
              <w:rPr>
                <w:sz w:val="20"/>
              </w:rPr>
            </w:pPr>
            <w:r>
              <w:rPr>
                <w:sz w:val="20"/>
              </w:rPr>
              <w:t>Bradley </w:t>
            </w:r>
            <w:r>
              <w:rPr>
                <w:spacing w:val="-2"/>
                <w:sz w:val="20"/>
              </w:rPr>
              <w:t>Rencher</w:t>
            </w:r>
          </w:p>
        </w:tc>
        <w:tc>
          <w:tcPr>
            <w:tcW w:w="676" w:type="dxa"/>
          </w:tcPr>
          <w:p>
            <w:pPr>
              <w:pStyle w:val="TableParagraph"/>
              <w:spacing w:before="30"/>
              <w:ind w:right="165"/>
              <w:jc w:val="right"/>
              <w:rPr>
                <w:sz w:val="20"/>
              </w:rPr>
            </w:pPr>
            <w:r>
              <w:rPr>
                <w:spacing w:val="-5"/>
                <w:sz w:val="20"/>
              </w:rPr>
              <w:t>44</w:t>
            </w:r>
          </w:p>
        </w:tc>
        <w:tc>
          <w:tcPr>
            <w:tcW w:w="7836" w:type="dxa"/>
          </w:tcPr>
          <w:p>
            <w:pPr>
              <w:pStyle w:val="TableParagraph"/>
              <w:spacing w:before="30"/>
              <w:ind w:left="163"/>
              <w:rPr>
                <w:sz w:val="20"/>
              </w:rPr>
            </w:pPr>
            <w:r>
              <w:rPr>
                <w:sz w:val="20"/>
              </w:rPr>
              <w:t>Executive</w:t>
            </w:r>
            <w:r>
              <w:rPr>
                <w:spacing w:val="-7"/>
                <w:sz w:val="20"/>
              </w:rPr>
              <w:t> </w:t>
            </w:r>
            <w:r>
              <w:rPr>
                <w:sz w:val="20"/>
              </w:rPr>
              <w:t>Vice</w:t>
            </w:r>
            <w:r>
              <w:rPr>
                <w:spacing w:val="-4"/>
                <w:sz w:val="20"/>
              </w:rPr>
              <w:t> </w:t>
            </w:r>
            <w:r>
              <w:rPr>
                <w:sz w:val="20"/>
              </w:rPr>
              <w:t>President</w:t>
            </w:r>
            <w:r>
              <w:rPr>
                <w:spacing w:val="-3"/>
                <w:sz w:val="20"/>
              </w:rPr>
              <w:t> </w:t>
            </w:r>
            <w:r>
              <w:rPr>
                <w:sz w:val="20"/>
              </w:rPr>
              <w:t>and</w:t>
            </w:r>
            <w:r>
              <w:rPr>
                <w:spacing w:val="-3"/>
                <w:sz w:val="20"/>
              </w:rPr>
              <w:t> </w:t>
            </w:r>
            <w:r>
              <w:rPr>
                <w:sz w:val="20"/>
              </w:rPr>
              <w:t>General</w:t>
            </w:r>
            <w:r>
              <w:rPr>
                <w:spacing w:val="-3"/>
                <w:sz w:val="20"/>
              </w:rPr>
              <w:t> </w:t>
            </w:r>
            <w:r>
              <w:rPr>
                <w:sz w:val="20"/>
              </w:rPr>
              <w:t>Manager,</w:t>
            </w:r>
            <w:r>
              <w:rPr>
                <w:spacing w:val="-3"/>
                <w:sz w:val="20"/>
              </w:rPr>
              <w:t> </w:t>
            </w:r>
            <w:r>
              <w:rPr>
                <w:sz w:val="20"/>
              </w:rPr>
              <w:t>Digital</w:t>
            </w:r>
            <w:r>
              <w:rPr>
                <w:spacing w:val="-3"/>
                <w:sz w:val="20"/>
              </w:rPr>
              <w:t> </w:t>
            </w:r>
            <w:r>
              <w:rPr>
                <w:spacing w:val="-2"/>
                <w:sz w:val="20"/>
              </w:rPr>
              <w:t>Experience</w:t>
            </w:r>
          </w:p>
        </w:tc>
      </w:tr>
      <w:tr>
        <w:trPr>
          <w:trHeight w:val="2150" w:hRule="atLeast"/>
        </w:trPr>
        <w:tc>
          <w:tcPr>
            <w:tcW w:w="1710" w:type="dxa"/>
          </w:tcPr>
          <w:p>
            <w:pPr>
              <w:pStyle w:val="TableParagraph"/>
              <w:rPr>
                <w:sz w:val="18"/>
              </w:rPr>
            </w:pPr>
          </w:p>
        </w:tc>
        <w:tc>
          <w:tcPr>
            <w:tcW w:w="676" w:type="dxa"/>
          </w:tcPr>
          <w:p>
            <w:pPr>
              <w:pStyle w:val="TableParagraph"/>
              <w:rPr>
                <w:sz w:val="18"/>
              </w:rPr>
            </w:pPr>
          </w:p>
        </w:tc>
        <w:tc>
          <w:tcPr>
            <w:tcW w:w="7836" w:type="dxa"/>
          </w:tcPr>
          <w:p>
            <w:pPr>
              <w:pStyle w:val="TableParagraph"/>
              <w:spacing w:line="208" w:lineRule="auto" w:before="105"/>
              <w:ind w:left="163"/>
              <w:rPr>
                <w:sz w:val="20"/>
              </w:rPr>
            </w:pPr>
            <w:r>
              <w:rPr>
                <w:sz w:val="20"/>
              </w:rPr>
              <w:t>Mr. Rencher serves as Executive Vice President and General Manager of</w:t>
            </w:r>
            <w:r>
              <w:rPr>
                <w:spacing w:val="-4"/>
                <w:sz w:val="20"/>
              </w:rPr>
              <w:t> </w:t>
            </w:r>
            <w:r>
              <w:rPr>
                <w:sz w:val="20"/>
              </w:rPr>
              <w:t>Adobe's Digital Experience</w:t>
            </w:r>
            <w:r>
              <w:rPr>
                <w:spacing w:val="-4"/>
                <w:sz w:val="20"/>
              </w:rPr>
              <w:t> </w:t>
            </w:r>
            <w:r>
              <w:rPr>
                <w:sz w:val="20"/>
              </w:rPr>
              <w:t>business</w:t>
            </w:r>
            <w:r>
              <w:rPr>
                <w:spacing w:val="-5"/>
                <w:sz w:val="20"/>
              </w:rPr>
              <w:t> </w:t>
            </w:r>
            <w:r>
              <w:rPr>
                <w:sz w:val="20"/>
              </w:rPr>
              <w:t>unit.</w:t>
            </w:r>
            <w:r>
              <w:rPr>
                <w:spacing w:val="-4"/>
                <w:sz w:val="20"/>
              </w:rPr>
              <w:t> </w:t>
            </w:r>
            <w:r>
              <w:rPr>
                <w:sz w:val="20"/>
              </w:rPr>
              <w:t>Mr.</w:t>
            </w:r>
            <w:r>
              <w:rPr>
                <w:spacing w:val="-4"/>
                <w:sz w:val="20"/>
              </w:rPr>
              <w:t> </w:t>
            </w:r>
            <w:r>
              <w:rPr>
                <w:sz w:val="20"/>
              </w:rPr>
              <w:t>Rencher</w:t>
            </w:r>
            <w:r>
              <w:rPr>
                <w:spacing w:val="-4"/>
                <w:sz w:val="20"/>
              </w:rPr>
              <w:t> </w:t>
            </w:r>
            <w:r>
              <w:rPr>
                <w:sz w:val="20"/>
              </w:rPr>
              <w:t>joined</w:t>
            </w:r>
            <w:r>
              <w:rPr>
                <w:spacing w:val="-4"/>
                <w:sz w:val="20"/>
              </w:rPr>
              <w:t> </w:t>
            </w:r>
            <w:r>
              <w:rPr>
                <w:sz w:val="20"/>
              </w:rPr>
              <w:t>Omniture,</w:t>
            </w:r>
            <w:r>
              <w:rPr>
                <w:spacing w:val="-4"/>
                <w:sz w:val="20"/>
              </w:rPr>
              <w:t> </w:t>
            </w:r>
            <w:r>
              <w:rPr>
                <w:sz w:val="20"/>
              </w:rPr>
              <w:t>Inc.</w:t>
            </w:r>
            <w:r>
              <w:rPr>
                <w:spacing w:val="-4"/>
                <w:sz w:val="20"/>
              </w:rPr>
              <w:t> </w:t>
            </w:r>
            <w:r>
              <w:rPr>
                <w:sz w:val="20"/>
              </w:rPr>
              <w:t>in</w:t>
            </w:r>
            <w:r>
              <w:rPr>
                <w:spacing w:val="-4"/>
                <w:sz w:val="20"/>
              </w:rPr>
              <w:t> </w:t>
            </w:r>
            <w:r>
              <w:rPr>
                <w:sz w:val="20"/>
              </w:rPr>
              <w:t>January</w:t>
            </w:r>
            <w:r>
              <w:rPr>
                <w:spacing w:val="-4"/>
                <w:sz w:val="20"/>
              </w:rPr>
              <w:t> </w:t>
            </w:r>
            <w:r>
              <w:rPr>
                <w:sz w:val="20"/>
              </w:rPr>
              <w:t>2008</w:t>
            </w:r>
            <w:r>
              <w:rPr>
                <w:spacing w:val="-4"/>
                <w:sz w:val="20"/>
              </w:rPr>
              <w:t> </w:t>
            </w:r>
            <w:r>
              <w:rPr>
                <w:sz w:val="20"/>
              </w:rPr>
              <w:t>as</w:t>
            </w:r>
            <w:r>
              <w:rPr>
                <w:spacing w:val="-8"/>
                <w:sz w:val="20"/>
              </w:rPr>
              <w:t> </w:t>
            </w:r>
            <w:r>
              <w:rPr>
                <w:sz w:val="20"/>
              </w:rPr>
              <w:t>Vice</w:t>
            </w:r>
            <w:r>
              <w:rPr>
                <w:spacing w:val="-4"/>
                <w:sz w:val="20"/>
              </w:rPr>
              <w:t> </w:t>
            </w:r>
            <w:r>
              <w:rPr>
                <w:sz w:val="20"/>
              </w:rPr>
              <w:t>President of Corporate Development and was promoted to Senior</w:t>
            </w:r>
            <w:r>
              <w:rPr>
                <w:spacing w:val="-4"/>
                <w:sz w:val="20"/>
              </w:rPr>
              <w:t> </w:t>
            </w:r>
            <w:r>
              <w:rPr>
                <w:sz w:val="20"/>
              </w:rPr>
              <w:t>Vice President of Business Operations prior</w:t>
            </w:r>
            <w:r>
              <w:rPr>
                <w:spacing w:val="-5"/>
                <w:sz w:val="20"/>
              </w:rPr>
              <w:t> </w:t>
            </w:r>
            <w:r>
              <w:rPr>
                <w:sz w:val="20"/>
              </w:rPr>
              <w:t>to</w:t>
            </w:r>
            <w:r>
              <w:rPr>
                <w:spacing w:val="-13"/>
                <w:sz w:val="20"/>
              </w:rPr>
              <w:t> </w:t>
            </w:r>
            <w:r>
              <w:rPr>
                <w:sz w:val="20"/>
              </w:rPr>
              <w:t>Adobe's</w:t>
            </w:r>
            <w:r>
              <w:rPr>
                <w:spacing w:val="-3"/>
                <w:sz w:val="20"/>
              </w:rPr>
              <w:t> </w:t>
            </w:r>
            <w:r>
              <w:rPr>
                <w:sz w:val="20"/>
              </w:rPr>
              <w:t>acquisition</w:t>
            </w:r>
            <w:r>
              <w:rPr>
                <w:spacing w:val="-3"/>
                <w:sz w:val="20"/>
              </w:rPr>
              <w:t> </w:t>
            </w:r>
            <w:r>
              <w:rPr>
                <w:sz w:val="20"/>
              </w:rPr>
              <w:t>of</w:t>
            </w:r>
            <w:r>
              <w:rPr>
                <w:spacing w:val="-3"/>
                <w:sz w:val="20"/>
              </w:rPr>
              <w:t> </w:t>
            </w:r>
            <w:r>
              <w:rPr>
                <w:sz w:val="20"/>
              </w:rPr>
              <w:t>Omniture</w:t>
            </w:r>
            <w:r>
              <w:rPr>
                <w:spacing w:val="-3"/>
                <w:sz w:val="20"/>
              </w:rPr>
              <w:t> </w:t>
            </w:r>
            <w:r>
              <w:rPr>
                <w:sz w:val="20"/>
              </w:rPr>
              <w:t>in</w:t>
            </w:r>
            <w:r>
              <w:rPr>
                <w:spacing w:val="-3"/>
                <w:sz w:val="20"/>
              </w:rPr>
              <w:t> </w:t>
            </w:r>
            <w:r>
              <w:rPr>
                <w:sz w:val="20"/>
              </w:rPr>
              <w:t>2009.</w:t>
            </w:r>
            <w:r>
              <w:rPr>
                <w:spacing w:val="-3"/>
                <w:sz w:val="20"/>
              </w:rPr>
              <w:t> </w:t>
            </w:r>
            <w:r>
              <w:rPr>
                <w:sz w:val="20"/>
              </w:rPr>
              <w:t>Following</w:t>
            </w:r>
            <w:r>
              <w:rPr>
                <w:spacing w:val="-3"/>
                <w:sz w:val="20"/>
              </w:rPr>
              <w:t> </w:t>
            </w:r>
            <w:r>
              <w:rPr>
                <w:sz w:val="20"/>
              </w:rPr>
              <w:t>the</w:t>
            </w:r>
            <w:r>
              <w:rPr>
                <w:spacing w:val="-3"/>
                <w:sz w:val="20"/>
              </w:rPr>
              <w:t> </w:t>
            </w:r>
            <w:r>
              <w:rPr>
                <w:sz w:val="20"/>
              </w:rPr>
              <w:t>acquisition</w:t>
            </w:r>
            <w:r>
              <w:rPr>
                <w:spacing w:val="-3"/>
                <w:sz w:val="20"/>
              </w:rPr>
              <w:t> </w:t>
            </w:r>
            <w:r>
              <w:rPr>
                <w:sz w:val="20"/>
              </w:rPr>
              <w:t>he</w:t>
            </w:r>
            <w:r>
              <w:rPr>
                <w:spacing w:val="-3"/>
                <w:sz w:val="20"/>
              </w:rPr>
              <w:t> </w:t>
            </w:r>
            <w:r>
              <w:rPr>
                <w:sz w:val="20"/>
              </w:rPr>
              <w:t>joined</w:t>
            </w:r>
            <w:r>
              <w:rPr>
                <w:spacing w:val="-13"/>
                <w:sz w:val="20"/>
              </w:rPr>
              <w:t> </w:t>
            </w:r>
            <w:r>
              <w:rPr>
                <w:sz w:val="20"/>
              </w:rPr>
              <w:t>Adobe</w:t>
            </w:r>
            <w:r>
              <w:rPr>
                <w:spacing w:val="-2"/>
                <w:sz w:val="20"/>
              </w:rPr>
              <w:t> </w:t>
            </w:r>
            <w:r>
              <w:rPr>
                <w:sz w:val="20"/>
              </w:rPr>
              <w:t>as Vice President of Business Operations. Mr. Rencher was promoted to Vice President and General</w:t>
            </w:r>
            <w:r>
              <w:rPr>
                <w:spacing w:val="-5"/>
                <w:sz w:val="20"/>
              </w:rPr>
              <w:t> </w:t>
            </w:r>
            <w:r>
              <w:rPr>
                <w:sz w:val="20"/>
              </w:rPr>
              <w:t>Manager,</w:t>
            </w:r>
            <w:r>
              <w:rPr>
                <w:spacing w:val="-5"/>
                <w:sz w:val="20"/>
              </w:rPr>
              <w:t> </w:t>
            </w:r>
            <w:r>
              <w:rPr>
                <w:sz w:val="20"/>
              </w:rPr>
              <w:t>Omniture</w:t>
            </w:r>
            <w:r>
              <w:rPr>
                <w:spacing w:val="-5"/>
                <w:sz w:val="20"/>
              </w:rPr>
              <w:t> </w:t>
            </w:r>
            <w:r>
              <w:rPr>
                <w:sz w:val="20"/>
              </w:rPr>
              <w:t>business</w:t>
            </w:r>
            <w:r>
              <w:rPr>
                <w:spacing w:val="-6"/>
                <w:sz w:val="20"/>
              </w:rPr>
              <w:t> </w:t>
            </w:r>
            <w:r>
              <w:rPr>
                <w:sz w:val="20"/>
              </w:rPr>
              <w:t>unit</w:t>
            </w:r>
            <w:r>
              <w:rPr>
                <w:spacing w:val="-5"/>
                <w:sz w:val="20"/>
              </w:rPr>
              <w:t> </w:t>
            </w:r>
            <w:r>
              <w:rPr>
                <w:sz w:val="20"/>
              </w:rPr>
              <w:t>in</w:t>
            </w:r>
            <w:r>
              <w:rPr>
                <w:spacing w:val="-5"/>
                <w:sz w:val="20"/>
              </w:rPr>
              <w:t> </w:t>
            </w:r>
            <w:r>
              <w:rPr>
                <w:sz w:val="20"/>
              </w:rPr>
              <w:t>2010</w:t>
            </w:r>
            <w:r>
              <w:rPr>
                <w:spacing w:val="-5"/>
                <w:sz w:val="20"/>
              </w:rPr>
              <w:t> </w:t>
            </w:r>
            <w:r>
              <w:rPr>
                <w:sz w:val="20"/>
              </w:rPr>
              <w:t>and</w:t>
            </w:r>
            <w:r>
              <w:rPr>
                <w:spacing w:val="-5"/>
                <w:sz w:val="20"/>
              </w:rPr>
              <w:t> </w:t>
            </w:r>
            <w:r>
              <w:rPr>
                <w:sz w:val="20"/>
              </w:rPr>
              <w:t>subsequently</w:t>
            </w:r>
            <w:r>
              <w:rPr>
                <w:spacing w:val="-5"/>
                <w:sz w:val="20"/>
              </w:rPr>
              <w:t> </w:t>
            </w:r>
            <w:r>
              <w:rPr>
                <w:sz w:val="20"/>
              </w:rPr>
              <w:t>to</w:t>
            </w:r>
            <w:r>
              <w:rPr>
                <w:spacing w:val="-5"/>
                <w:sz w:val="20"/>
              </w:rPr>
              <w:t> </w:t>
            </w:r>
            <w:r>
              <w:rPr>
                <w:sz w:val="20"/>
              </w:rPr>
              <w:t>Senior</w:t>
            </w:r>
            <w:r>
              <w:rPr>
                <w:spacing w:val="-8"/>
                <w:sz w:val="20"/>
              </w:rPr>
              <w:t> </w:t>
            </w:r>
            <w:r>
              <w:rPr>
                <w:sz w:val="20"/>
              </w:rPr>
              <w:t>Vice</w:t>
            </w:r>
            <w:r>
              <w:rPr>
                <w:spacing w:val="-5"/>
                <w:sz w:val="20"/>
              </w:rPr>
              <w:t> </w:t>
            </w:r>
            <w:r>
              <w:rPr>
                <w:sz w:val="20"/>
              </w:rPr>
              <w:t>President</w:t>
            </w:r>
            <w:r>
              <w:rPr>
                <w:spacing w:val="-5"/>
                <w:sz w:val="20"/>
              </w:rPr>
              <w:t> </w:t>
            </w:r>
            <w:r>
              <w:rPr>
                <w:sz w:val="20"/>
              </w:rPr>
              <w:t>in 2011. Prior to joining Omniture, Mr. Rencher was a member of the technology investment banking team at Morgan Stanley from 2005 to 2008 and a member of the investment banking team at RBC Capital Markets from 1998 to 2004. Mr. Rencher is a director of Pluralsight and the Utah Symphony.</w:t>
            </w:r>
          </w:p>
        </w:tc>
      </w:tr>
      <w:tr>
        <w:trPr>
          <w:trHeight w:val="387" w:hRule="atLeast"/>
        </w:trPr>
        <w:tc>
          <w:tcPr>
            <w:tcW w:w="1710" w:type="dxa"/>
          </w:tcPr>
          <w:p>
            <w:pPr>
              <w:pStyle w:val="TableParagraph"/>
              <w:spacing w:before="30"/>
              <w:ind w:left="50"/>
              <w:rPr>
                <w:sz w:val="20"/>
              </w:rPr>
            </w:pPr>
            <w:r>
              <w:rPr>
                <w:sz w:val="20"/>
              </w:rPr>
              <w:t>Scott </w:t>
            </w:r>
            <w:r>
              <w:rPr>
                <w:spacing w:val="-2"/>
                <w:sz w:val="20"/>
              </w:rPr>
              <w:t>Belsky</w:t>
            </w:r>
          </w:p>
        </w:tc>
        <w:tc>
          <w:tcPr>
            <w:tcW w:w="676" w:type="dxa"/>
          </w:tcPr>
          <w:p>
            <w:pPr>
              <w:pStyle w:val="TableParagraph"/>
              <w:spacing w:before="30"/>
              <w:ind w:right="165"/>
              <w:jc w:val="right"/>
              <w:rPr>
                <w:sz w:val="20"/>
              </w:rPr>
            </w:pPr>
            <w:r>
              <w:rPr>
                <w:spacing w:val="-5"/>
                <w:sz w:val="20"/>
              </w:rPr>
              <w:t>37</w:t>
            </w:r>
          </w:p>
        </w:tc>
        <w:tc>
          <w:tcPr>
            <w:tcW w:w="7836" w:type="dxa"/>
          </w:tcPr>
          <w:p>
            <w:pPr>
              <w:pStyle w:val="TableParagraph"/>
              <w:spacing w:before="68"/>
              <w:ind w:left="163"/>
              <w:rPr>
                <w:sz w:val="20"/>
              </w:rPr>
            </w:pPr>
            <w:r>
              <w:rPr>
                <w:sz w:val="20"/>
              </w:rPr>
              <w:t>Chief</w:t>
            </w:r>
            <w:r>
              <w:rPr>
                <w:spacing w:val="-3"/>
                <w:sz w:val="20"/>
              </w:rPr>
              <w:t> </w:t>
            </w:r>
            <w:r>
              <w:rPr>
                <w:sz w:val="20"/>
              </w:rPr>
              <w:t>Product</w:t>
            </w:r>
            <w:r>
              <w:rPr>
                <w:spacing w:val="-2"/>
                <w:sz w:val="20"/>
              </w:rPr>
              <w:t> </w:t>
            </w:r>
            <w:r>
              <w:rPr>
                <w:sz w:val="20"/>
              </w:rPr>
              <w:t>Officer</w:t>
            </w:r>
            <w:r>
              <w:rPr>
                <w:spacing w:val="-2"/>
                <w:sz w:val="20"/>
              </w:rPr>
              <w:t> </w:t>
            </w:r>
            <w:r>
              <w:rPr>
                <w:sz w:val="20"/>
              </w:rPr>
              <w:t>and</w:t>
            </w:r>
            <w:r>
              <w:rPr>
                <w:spacing w:val="-2"/>
                <w:sz w:val="20"/>
              </w:rPr>
              <w:t> </w:t>
            </w:r>
            <w:r>
              <w:rPr>
                <w:sz w:val="20"/>
              </w:rPr>
              <w:t>Executive</w:t>
            </w:r>
            <w:r>
              <w:rPr>
                <w:spacing w:val="-6"/>
                <w:sz w:val="20"/>
              </w:rPr>
              <w:t> </w:t>
            </w:r>
            <w:r>
              <w:rPr>
                <w:sz w:val="20"/>
              </w:rPr>
              <w:t>Vice</w:t>
            </w:r>
            <w:r>
              <w:rPr>
                <w:spacing w:val="-2"/>
                <w:sz w:val="20"/>
              </w:rPr>
              <w:t> </w:t>
            </w:r>
            <w:r>
              <w:rPr>
                <w:sz w:val="20"/>
              </w:rPr>
              <w:t>President,</w:t>
            </w:r>
            <w:r>
              <w:rPr>
                <w:spacing w:val="-2"/>
                <w:sz w:val="20"/>
              </w:rPr>
              <w:t> </w:t>
            </w:r>
            <w:r>
              <w:rPr>
                <w:sz w:val="20"/>
              </w:rPr>
              <w:t>Creative</w:t>
            </w:r>
            <w:r>
              <w:rPr>
                <w:spacing w:val="-2"/>
                <w:sz w:val="20"/>
              </w:rPr>
              <w:t> Cloud</w:t>
            </w:r>
          </w:p>
        </w:tc>
      </w:tr>
      <w:tr>
        <w:trPr>
          <w:trHeight w:val="2341" w:hRule="atLeast"/>
        </w:trPr>
        <w:tc>
          <w:tcPr>
            <w:tcW w:w="1710" w:type="dxa"/>
          </w:tcPr>
          <w:p>
            <w:pPr>
              <w:pStyle w:val="TableParagraph"/>
              <w:rPr>
                <w:sz w:val="18"/>
              </w:rPr>
            </w:pPr>
          </w:p>
        </w:tc>
        <w:tc>
          <w:tcPr>
            <w:tcW w:w="676" w:type="dxa"/>
          </w:tcPr>
          <w:p>
            <w:pPr>
              <w:pStyle w:val="TableParagraph"/>
              <w:rPr>
                <w:sz w:val="18"/>
              </w:rPr>
            </w:pPr>
          </w:p>
        </w:tc>
        <w:tc>
          <w:tcPr>
            <w:tcW w:w="7836" w:type="dxa"/>
          </w:tcPr>
          <w:p>
            <w:pPr>
              <w:pStyle w:val="TableParagraph"/>
              <w:spacing w:line="208" w:lineRule="auto" w:before="105"/>
              <w:ind w:left="163"/>
              <w:rPr>
                <w:sz w:val="20"/>
              </w:rPr>
            </w:pPr>
            <w:r>
              <w:rPr>
                <w:sz w:val="20"/>
              </w:rPr>
              <w:t>Mr. Belsky joined</w:t>
            </w:r>
            <w:r>
              <w:rPr>
                <w:spacing w:val="-4"/>
                <w:sz w:val="20"/>
              </w:rPr>
              <w:t> </w:t>
            </w:r>
            <w:r>
              <w:rPr>
                <w:sz w:val="20"/>
              </w:rPr>
              <w:t>Adobe in December 2017 as Executive Vice President and Chief Product Officer, Creative Cloud. Prior to joining</w:t>
            </w:r>
            <w:r>
              <w:rPr>
                <w:spacing w:val="-4"/>
                <w:sz w:val="20"/>
              </w:rPr>
              <w:t> </w:t>
            </w:r>
            <w:r>
              <w:rPr>
                <w:sz w:val="20"/>
              </w:rPr>
              <w:t>Adobe in December 2017, Belsky was a venture investor at Benchmark in San Francisco from February 2016 to December 2017. Prior to Benchmark, Belsky led</w:t>
            </w:r>
            <w:r>
              <w:rPr>
                <w:spacing w:val="-1"/>
                <w:sz w:val="20"/>
              </w:rPr>
              <w:t> </w:t>
            </w:r>
            <w:r>
              <w:rPr>
                <w:sz w:val="20"/>
              </w:rPr>
              <w:t>Adobe's mobile strategy for Creative Cloud from December 2012 to January 2016, having joined the company through the acquisition of Behance. Belsky co- founded Behance in 2006 and served as its CEO for over 6 years. He is an early advisor and investor to Pinterest, Uber, and Warby Parker among other early-stage companies, and co- founded and serves on the Board of Prefer, a referrals platform that empowers the careers of independent professionals. Mr. Belsky serves on the advisory board of Cornell University's Entrepreneurship</w:t>
            </w:r>
            <w:r>
              <w:rPr>
                <w:spacing w:val="-4"/>
                <w:sz w:val="20"/>
              </w:rPr>
              <w:t> </w:t>
            </w:r>
            <w:r>
              <w:rPr>
                <w:sz w:val="20"/>
              </w:rPr>
              <w:t>Program</w:t>
            </w:r>
            <w:r>
              <w:rPr>
                <w:spacing w:val="-4"/>
                <w:sz w:val="20"/>
              </w:rPr>
              <w:t> </w:t>
            </w:r>
            <w:r>
              <w:rPr>
                <w:sz w:val="20"/>
              </w:rPr>
              <w:t>and</w:t>
            </w:r>
            <w:r>
              <w:rPr>
                <w:spacing w:val="-4"/>
                <w:sz w:val="20"/>
              </w:rPr>
              <w:t> </w:t>
            </w:r>
            <w:r>
              <w:rPr>
                <w:sz w:val="20"/>
              </w:rPr>
              <w:t>is</w:t>
            </w:r>
            <w:r>
              <w:rPr>
                <w:spacing w:val="-5"/>
                <w:sz w:val="20"/>
              </w:rPr>
              <w:t> </w:t>
            </w:r>
            <w:r>
              <w:rPr>
                <w:sz w:val="20"/>
              </w:rPr>
              <w:t>President</w:t>
            </w:r>
            <w:r>
              <w:rPr>
                <w:spacing w:val="-4"/>
                <w:sz w:val="20"/>
              </w:rPr>
              <w:t> </w:t>
            </w:r>
            <w:r>
              <w:rPr>
                <w:sz w:val="20"/>
              </w:rPr>
              <w:t>of</w:t>
            </w:r>
            <w:r>
              <w:rPr>
                <w:spacing w:val="-4"/>
                <w:sz w:val="20"/>
              </w:rPr>
              <w:t> </w:t>
            </w:r>
            <w:r>
              <w:rPr>
                <w:sz w:val="20"/>
              </w:rPr>
              <w:t>the</w:t>
            </w:r>
            <w:r>
              <w:rPr>
                <w:spacing w:val="-4"/>
                <w:sz w:val="20"/>
              </w:rPr>
              <w:t> </w:t>
            </w:r>
            <w:r>
              <w:rPr>
                <w:sz w:val="20"/>
              </w:rPr>
              <w:t>Smithsonian</w:t>
            </w:r>
            <w:r>
              <w:rPr>
                <w:spacing w:val="-4"/>
                <w:sz w:val="20"/>
              </w:rPr>
              <w:t> </w:t>
            </w:r>
            <w:r>
              <w:rPr>
                <w:sz w:val="20"/>
              </w:rPr>
              <w:t>Cooper-Hewitt</w:t>
            </w:r>
            <w:r>
              <w:rPr>
                <w:spacing w:val="-4"/>
                <w:sz w:val="20"/>
              </w:rPr>
              <w:t> </w:t>
            </w:r>
            <w:r>
              <w:rPr>
                <w:sz w:val="20"/>
              </w:rPr>
              <w:t>National</w:t>
            </w:r>
            <w:r>
              <w:rPr>
                <w:spacing w:val="-4"/>
                <w:sz w:val="20"/>
              </w:rPr>
              <w:t> </w:t>
            </w:r>
            <w:r>
              <w:rPr>
                <w:sz w:val="20"/>
              </w:rPr>
              <w:t>Design Museum board of trustees.</w:t>
            </w:r>
          </w:p>
        </w:tc>
      </w:tr>
      <w:tr>
        <w:trPr>
          <w:trHeight w:val="341" w:hRule="atLeast"/>
        </w:trPr>
        <w:tc>
          <w:tcPr>
            <w:tcW w:w="1710" w:type="dxa"/>
          </w:tcPr>
          <w:p>
            <w:pPr>
              <w:pStyle w:val="TableParagraph"/>
              <w:spacing w:before="21"/>
              <w:ind w:left="100"/>
              <w:rPr>
                <w:sz w:val="20"/>
              </w:rPr>
            </w:pPr>
            <w:r>
              <w:rPr>
                <w:sz w:val="20"/>
              </w:rPr>
              <w:t>John </w:t>
            </w:r>
            <w:r>
              <w:rPr>
                <w:spacing w:val="-2"/>
                <w:sz w:val="20"/>
              </w:rPr>
              <w:t>Murphy</w:t>
            </w:r>
          </w:p>
        </w:tc>
        <w:tc>
          <w:tcPr>
            <w:tcW w:w="676" w:type="dxa"/>
          </w:tcPr>
          <w:p>
            <w:pPr>
              <w:pStyle w:val="TableParagraph"/>
              <w:spacing w:before="21"/>
              <w:ind w:right="165"/>
              <w:jc w:val="right"/>
              <w:rPr>
                <w:sz w:val="20"/>
              </w:rPr>
            </w:pPr>
            <w:r>
              <w:rPr>
                <w:spacing w:val="-5"/>
                <w:sz w:val="20"/>
              </w:rPr>
              <w:t>49</w:t>
            </w:r>
          </w:p>
        </w:tc>
        <w:tc>
          <w:tcPr>
            <w:tcW w:w="7836" w:type="dxa"/>
          </w:tcPr>
          <w:p>
            <w:pPr>
              <w:pStyle w:val="TableParagraph"/>
              <w:spacing w:before="21"/>
              <w:ind w:left="163"/>
              <w:rPr>
                <w:sz w:val="20"/>
              </w:rPr>
            </w:pPr>
            <w:r>
              <w:rPr>
                <w:sz w:val="20"/>
              </w:rPr>
              <w:t>Senior</w:t>
            </w:r>
            <w:r>
              <w:rPr>
                <w:spacing w:val="-8"/>
                <w:sz w:val="20"/>
              </w:rPr>
              <w:t> </w:t>
            </w:r>
            <w:r>
              <w:rPr>
                <w:sz w:val="20"/>
              </w:rPr>
              <w:t>Vice</w:t>
            </w:r>
            <w:r>
              <w:rPr>
                <w:spacing w:val="-2"/>
                <w:sz w:val="20"/>
              </w:rPr>
              <w:t> </w:t>
            </w:r>
            <w:r>
              <w:rPr>
                <w:sz w:val="20"/>
              </w:rPr>
              <w:t>President,</w:t>
            </w:r>
            <w:r>
              <w:rPr>
                <w:spacing w:val="-2"/>
                <w:sz w:val="20"/>
              </w:rPr>
              <w:t> </w:t>
            </w:r>
            <w:r>
              <w:rPr>
                <w:sz w:val="20"/>
              </w:rPr>
              <w:t>Chief</w:t>
            </w:r>
            <w:r>
              <w:rPr>
                <w:spacing w:val="-13"/>
                <w:sz w:val="20"/>
              </w:rPr>
              <w:t> </w:t>
            </w:r>
            <w:r>
              <w:rPr>
                <w:sz w:val="20"/>
              </w:rPr>
              <w:t>Accounting</w:t>
            </w:r>
            <w:r>
              <w:rPr>
                <w:spacing w:val="-2"/>
                <w:sz w:val="20"/>
              </w:rPr>
              <w:t> </w:t>
            </w:r>
            <w:r>
              <w:rPr>
                <w:sz w:val="20"/>
              </w:rPr>
              <w:t>Officer</w:t>
            </w:r>
            <w:r>
              <w:rPr>
                <w:spacing w:val="-2"/>
                <w:sz w:val="20"/>
              </w:rPr>
              <w:t> </w:t>
            </w:r>
            <w:r>
              <w:rPr>
                <w:sz w:val="20"/>
              </w:rPr>
              <w:t>and</w:t>
            </w:r>
            <w:r>
              <w:rPr>
                <w:spacing w:val="-2"/>
                <w:sz w:val="20"/>
              </w:rPr>
              <w:t> </w:t>
            </w:r>
            <w:r>
              <w:rPr>
                <w:sz w:val="20"/>
              </w:rPr>
              <w:t>Corporate</w:t>
            </w:r>
            <w:r>
              <w:rPr>
                <w:spacing w:val="-2"/>
                <w:sz w:val="20"/>
              </w:rPr>
              <w:t> Controller</w:t>
            </w:r>
          </w:p>
        </w:tc>
      </w:tr>
      <w:tr>
        <w:trPr>
          <w:trHeight w:val="2710" w:hRule="atLeast"/>
        </w:trPr>
        <w:tc>
          <w:tcPr>
            <w:tcW w:w="1710" w:type="dxa"/>
          </w:tcPr>
          <w:p>
            <w:pPr>
              <w:pStyle w:val="TableParagraph"/>
              <w:rPr>
                <w:sz w:val="18"/>
              </w:rPr>
            </w:pPr>
          </w:p>
        </w:tc>
        <w:tc>
          <w:tcPr>
            <w:tcW w:w="676" w:type="dxa"/>
          </w:tcPr>
          <w:p>
            <w:pPr>
              <w:pStyle w:val="TableParagraph"/>
              <w:rPr>
                <w:sz w:val="18"/>
              </w:rPr>
            </w:pPr>
          </w:p>
        </w:tc>
        <w:tc>
          <w:tcPr>
            <w:tcW w:w="7836" w:type="dxa"/>
          </w:tcPr>
          <w:p>
            <w:pPr>
              <w:pStyle w:val="TableParagraph"/>
              <w:spacing w:line="200" w:lineRule="exact" w:before="90"/>
              <w:ind w:left="163"/>
              <w:rPr>
                <w:sz w:val="20"/>
              </w:rPr>
            </w:pPr>
            <w:r>
              <w:rPr>
                <w:sz w:val="20"/>
              </w:rPr>
              <w:t>Mr. Murphy joined</w:t>
            </w:r>
            <w:r>
              <w:rPr>
                <w:spacing w:val="-4"/>
                <w:sz w:val="20"/>
              </w:rPr>
              <w:t> </w:t>
            </w:r>
            <w:r>
              <w:rPr>
                <w:sz w:val="20"/>
              </w:rPr>
              <w:t>Adobe in March 2017 as our Senior Vice President, Chief</w:t>
            </w:r>
            <w:r>
              <w:rPr>
                <w:spacing w:val="-4"/>
                <w:sz w:val="20"/>
              </w:rPr>
              <w:t> </w:t>
            </w:r>
            <w:r>
              <w:rPr>
                <w:sz w:val="20"/>
              </w:rPr>
              <w:t>Accounting Officer and Corporate Controller. Prior to joining</w:t>
            </w:r>
            <w:r>
              <w:rPr>
                <w:spacing w:val="-5"/>
                <w:sz w:val="20"/>
              </w:rPr>
              <w:t> </w:t>
            </w:r>
            <w:r>
              <w:rPr>
                <w:sz w:val="20"/>
              </w:rPr>
              <w:t>Adobe, Mr. Murphy served as Senior Vice President,</w:t>
            </w:r>
            <w:r>
              <w:rPr>
                <w:spacing w:val="-7"/>
                <w:sz w:val="20"/>
              </w:rPr>
              <w:t> </w:t>
            </w:r>
            <w:r>
              <w:rPr>
                <w:sz w:val="20"/>
              </w:rPr>
              <w:t>Chief</w:t>
            </w:r>
            <w:r>
              <w:rPr>
                <w:spacing w:val="-13"/>
                <w:sz w:val="20"/>
              </w:rPr>
              <w:t> </w:t>
            </w:r>
            <w:r>
              <w:rPr>
                <w:sz w:val="20"/>
              </w:rPr>
              <w:t>Accounting</w:t>
            </w:r>
            <w:r>
              <w:rPr>
                <w:spacing w:val="-4"/>
                <w:sz w:val="20"/>
              </w:rPr>
              <w:t> </w:t>
            </w:r>
            <w:r>
              <w:rPr>
                <w:sz w:val="20"/>
              </w:rPr>
              <w:t>Officer</w:t>
            </w:r>
            <w:r>
              <w:rPr>
                <w:spacing w:val="-4"/>
                <w:sz w:val="20"/>
              </w:rPr>
              <w:t> </w:t>
            </w:r>
            <w:r>
              <w:rPr>
                <w:sz w:val="20"/>
              </w:rPr>
              <w:t>and</w:t>
            </w:r>
            <w:r>
              <w:rPr>
                <w:spacing w:val="-4"/>
                <w:sz w:val="20"/>
              </w:rPr>
              <w:t> </w:t>
            </w:r>
            <w:r>
              <w:rPr>
                <w:sz w:val="20"/>
              </w:rPr>
              <w:t>Corporate</w:t>
            </w:r>
            <w:r>
              <w:rPr>
                <w:spacing w:val="-4"/>
                <w:sz w:val="20"/>
              </w:rPr>
              <w:t> </w:t>
            </w:r>
            <w:r>
              <w:rPr>
                <w:sz w:val="20"/>
              </w:rPr>
              <w:t>Controller</w:t>
            </w:r>
            <w:r>
              <w:rPr>
                <w:spacing w:val="-4"/>
                <w:sz w:val="20"/>
              </w:rPr>
              <w:t> </w:t>
            </w:r>
            <w:r>
              <w:rPr>
                <w:sz w:val="20"/>
              </w:rPr>
              <w:t>of</w:t>
            </w:r>
            <w:r>
              <w:rPr>
                <w:spacing w:val="-4"/>
                <w:sz w:val="20"/>
              </w:rPr>
              <w:t> </w:t>
            </w:r>
            <w:r>
              <w:rPr>
                <w:sz w:val="20"/>
              </w:rPr>
              <w:t>Qualcomm</w:t>
            </w:r>
            <w:r>
              <w:rPr>
                <w:spacing w:val="-4"/>
                <w:sz w:val="20"/>
              </w:rPr>
              <w:t> </w:t>
            </w:r>
            <w:r>
              <w:rPr>
                <w:sz w:val="20"/>
              </w:rPr>
              <w:t>Incorporated</w:t>
            </w:r>
            <w:r>
              <w:rPr>
                <w:spacing w:val="-4"/>
                <w:sz w:val="20"/>
              </w:rPr>
              <w:t> </w:t>
            </w:r>
            <w:r>
              <w:rPr>
                <w:sz w:val="20"/>
              </w:rPr>
              <w:t>from September</w:t>
            </w:r>
            <w:r>
              <w:rPr>
                <w:spacing w:val="-2"/>
                <w:sz w:val="20"/>
              </w:rPr>
              <w:t> </w:t>
            </w:r>
            <w:r>
              <w:rPr>
                <w:sz w:val="20"/>
              </w:rPr>
              <w:t>2014</w:t>
            </w:r>
            <w:r>
              <w:rPr>
                <w:spacing w:val="-2"/>
                <w:sz w:val="20"/>
              </w:rPr>
              <w:t> </w:t>
            </w:r>
            <w:r>
              <w:rPr>
                <w:sz w:val="20"/>
              </w:rPr>
              <w:t>to</w:t>
            </w:r>
            <w:r>
              <w:rPr>
                <w:spacing w:val="-2"/>
                <w:sz w:val="20"/>
              </w:rPr>
              <w:t> </w:t>
            </w:r>
            <w:r>
              <w:rPr>
                <w:sz w:val="20"/>
              </w:rPr>
              <w:t>March</w:t>
            </w:r>
            <w:r>
              <w:rPr>
                <w:spacing w:val="-2"/>
                <w:sz w:val="20"/>
              </w:rPr>
              <w:t> </w:t>
            </w:r>
            <w:r>
              <w:rPr>
                <w:sz w:val="20"/>
              </w:rPr>
              <w:t>2017.</w:t>
            </w:r>
            <w:r>
              <w:rPr>
                <w:spacing w:val="-2"/>
                <w:sz w:val="20"/>
              </w:rPr>
              <w:t> </w:t>
            </w:r>
            <w:r>
              <w:rPr>
                <w:sz w:val="20"/>
              </w:rPr>
              <w:t>He</w:t>
            </w:r>
            <w:r>
              <w:rPr>
                <w:spacing w:val="-2"/>
                <w:sz w:val="20"/>
              </w:rPr>
              <w:t> </w:t>
            </w:r>
            <w:r>
              <w:rPr>
                <w:sz w:val="20"/>
              </w:rPr>
              <w:t>previously</w:t>
            </w:r>
            <w:r>
              <w:rPr>
                <w:spacing w:val="-2"/>
                <w:sz w:val="20"/>
              </w:rPr>
              <w:t> </w:t>
            </w:r>
            <w:r>
              <w:rPr>
                <w:sz w:val="20"/>
              </w:rPr>
              <w:t>served</w:t>
            </w:r>
            <w:r>
              <w:rPr>
                <w:spacing w:val="-2"/>
                <w:sz w:val="20"/>
              </w:rPr>
              <w:t> </w:t>
            </w:r>
            <w:r>
              <w:rPr>
                <w:sz w:val="20"/>
              </w:rPr>
              <w:t>as</w:t>
            </w:r>
            <w:r>
              <w:rPr>
                <w:spacing w:val="-3"/>
                <w:sz w:val="20"/>
              </w:rPr>
              <w:t> </w:t>
            </w:r>
            <w:r>
              <w:rPr>
                <w:sz w:val="20"/>
              </w:rPr>
              <w:t>Senior</w:t>
            </w:r>
            <w:r>
              <w:rPr>
                <w:spacing w:val="-6"/>
                <w:sz w:val="20"/>
              </w:rPr>
              <w:t> </w:t>
            </w:r>
            <w:r>
              <w:rPr>
                <w:sz w:val="20"/>
              </w:rPr>
              <w:t>Vice</w:t>
            </w:r>
            <w:r>
              <w:rPr>
                <w:spacing w:val="-2"/>
                <w:sz w:val="20"/>
              </w:rPr>
              <w:t> </w:t>
            </w:r>
            <w:r>
              <w:rPr>
                <w:sz w:val="20"/>
              </w:rPr>
              <w:t>President,</w:t>
            </w:r>
            <w:r>
              <w:rPr>
                <w:spacing w:val="-2"/>
                <w:sz w:val="20"/>
              </w:rPr>
              <w:t> </w:t>
            </w:r>
            <w:r>
              <w:rPr>
                <w:sz w:val="20"/>
              </w:rPr>
              <w:t>Controller</w:t>
            </w:r>
            <w:r>
              <w:rPr>
                <w:spacing w:val="-2"/>
                <w:sz w:val="20"/>
              </w:rPr>
              <w:t> </w:t>
            </w:r>
            <w:r>
              <w:rPr>
                <w:sz w:val="20"/>
              </w:rPr>
              <w:t>and Chief</w:t>
            </w:r>
            <w:r>
              <w:rPr>
                <w:spacing w:val="-13"/>
                <w:sz w:val="20"/>
              </w:rPr>
              <w:t> </w:t>
            </w:r>
            <w:r>
              <w:rPr>
                <w:sz w:val="20"/>
              </w:rPr>
              <w:t>Accounting</w:t>
            </w:r>
            <w:r>
              <w:rPr>
                <w:spacing w:val="-4"/>
                <w:sz w:val="20"/>
              </w:rPr>
              <w:t> </w:t>
            </w:r>
            <w:r>
              <w:rPr>
                <w:sz w:val="20"/>
              </w:rPr>
              <w:t>Officer</w:t>
            </w:r>
            <w:r>
              <w:rPr>
                <w:spacing w:val="-3"/>
                <w:sz w:val="20"/>
              </w:rPr>
              <w:t> </w:t>
            </w:r>
            <w:r>
              <w:rPr>
                <w:sz w:val="20"/>
              </w:rPr>
              <w:t>of</w:t>
            </w:r>
            <w:r>
              <w:rPr>
                <w:spacing w:val="-3"/>
                <w:sz w:val="20"/>
              </w:rPr>
              <w:t> </w:t>
            </w:r>
            <w:r>
              <w:rPr>
                <w:sz w:val="20"/>
              </w:rPr>
              <w:t>DIRECTV</w:t>
            </w:r>
            <w:r>
              <w:rPr>
                <w:spacing w:val="-7"/>
                <w:sz w:val="20"/>
              </w:rPr>
              <w:t> </w:t>
            </w:r>
            <w:r>
              <w:rPr>
                <w:sz w:val="20"/>
              </w:rPr>
              <w:t>Inc.</w:t>
            </w:r>
            <w:r>
              <w:rPr>
                <w:spacing w:val="-3"/>
                <w:sz w:val="20"/>
              </w:rPr>
              <w:t> </w:t>
            </w:r>
            <w:r>
              <w:rPr>
                <w:sz w:val="20"/>
              </w:rPr>
              <w:t>from</w:t>
            </w:r>
            <w:r>
              <w:rPr>
                <w:spacing w:val="-3"/>
                <w:sz w:val="20"/>
              </w:rPr>
              <w:t> </w:t>
            </w:r>
            <w:r>
              <w:rPr>
                <w:sz w:val="20"/>
              </w:rPr>
              <w:t>November</w:t>
            </w:r>
            <w:r>
              <w:rPr>
                <w:spacing w:val="-3"/>
                <w:sz w:val="20"/>
              </w:rPr>
              <w:t> </w:t>
            </w:r>
            <w:r>
              <w:rPr>
                <w:sz w:val="20"/>
              </w:rPr>
              <w:t>2007</w:t>
            </w:r>
            <w:r>
              <w:rPr>
                <w:spacing w:val="-3"/>
                <w:sz w:val="20"/>
              </w:rPr>
              <w:t> </w:t>
            </w:r>
            <w:r>
              <w:rPr>
                <w:sz w:val="20"/>
              </w:rPr>
              <w:t>until</w:t>
            </w:r>
            <w:r>
              <w:rPr>
                <w:spacing w:val="-13"/>
                <w:sz w:val="20"/>
              </w:rPr>
              <w:t> </w:t>
            </w:r>
            <w:r>
              <w:rPr>
                <w:sz w:val="20"/>
              </w:rPr>
              <w:t>August</w:t>
            </w:r>
            <w:r>
              <w:rPr>
                <w:spacing w:val="-3"/>
                <w:sz w:val="20"/>
              </w:rPr>
              <w:t> </w:t>
            </w:r>
            <w:r>
              <w:rPr>
                <w:sz w:val="20"/>
              </w:rPr>
              <w:t>2014,</w:t>
            </w:r>
            <w:r>
              <w:rPr>
                <w:spacing w:val="-3"/>
                <w:sz w:val="20"/>
              </w:rPr>
              <w:t> </w:t>
            </w:r>
            <w:r>
              <w:rPr>
                <w:sz w:val="20"/>
              </w:rPr>
              <w:t>and</w:t>
            </w:r>
            <w:r>
              <w:rPr>
                <w:spacing w:val="-7"/>
                <w:sz w:val="20"/>
              </w:rPr>
              <w:t> </w:t>
            </w:r>
            <w:r>
              <w:rPr>
                <w:sz w:val="20"/>
              </w:rPr>
              <w:t>Vice President and General</w:t>
            </w:r>
            <w:r>
              <w:rPr>
                <w:spacing w:val="-3"/>
                <w:sz w:val="20"/>
              </w:rPr>
              <w:t> </w:t>
            </w:r>
            <w:r>
              <w:rPr>
                <w:sz w:val="20"/>
              </w:rPr>
              <w:t>Auditor of DIRECTV from October 2004 to November 2007. Prior to joining DIRECTV he worked at several global companies, including Experian, Nestle, and Atlantic Richfield (ARCO), in a variety of finance and accounting roles. He served as</w:t>
            </w:r>
            <w:r>
              <w:rPr>
                <w:spacing w:val="-1"/>
                <w:sz w:val="20"/>
              </w:rPr>
              <w:t> </w:t>
            </w:r>
            <w:r>
              <w:rPr>
                <w:sz w:val="20"/>
              </w:rPr>
              <w:t>Director of</w:t>
            </w:r>
            <w:r>
              <w:rPr>
                <w:spacing w:val="-1"/>
                <w:sz w:val="20"/>
              </w:rPr>
              <w:t> </w:t>
            </w:r>
            <w:r>
              <w:rPr>
                <w:sz w:val="20"/>
              </w:rPr>
              <w:t>DirecTV</w:t>
            </w:r>
            <w:r>
              <w:rPr>
                <w:spacing w:val="-5"/>
                <w:sz w:val="20"/>
              </w:rPr>
              <w:t> </w:t>
            </w:r>
            <w:r>
              <w:rPr>
                <w:sz w:val="20"/>
              </w:rPr>
              <w:t>Holdings</w:t>
            </w:r>
            <w:r>
              <w:rPr>
                <w:spacing w:val="-2"/>
                <w:sz w:val="20"/>
              </w:rPr>
              <w:t> </w:t>
            </w:r>
            <w:r>
              <w:rPr>
                <w:sz w:val="20"/>
              </w:rPr>
              <w:t>LLC</w:t>
            </w:r>
            <w:r>
              <w:rPr>
                <w:spacing w:val="-1"/>
                <w:sz w:val="20"/>
              </w:rPr>
              <w:t> </w:t>
            </w:r>
            <w:r>
              <w:rPr>
                <w:sz w:val="20"/>
              </w:rPr>
              <w:t>from</w:t>
            </w:r>
            <w:r>
              <w:rPr>
                <w:spacing w:val="-1"/>
                <w:sz w:val="20"/>
              </w:rPr>
              <w:t> </w:t>
            </w:r>
            <w:r>
              <w:rPr>
                <w:sz w:val="20"/>
              </w:rPr>
              <w:t>November</w:t>
            </w:r>
            <w:r>
              <w:rPr>
                <w:spacing w:val="-1"/>
                <w:sz w:val="20"/>
              </w:rPr>
              <w:t> </w:t>
            </w:r>
            <w:r>
              <w:rPr>
                <w:sz w:val="20"/>
              </w:rPr>
              <w:t>2007</w:t>
            </w:r>
            <w:r>
              <w:rPr>
                <w:spacing w:val="-1"/>
                <w:sz w:val="20"/>
              </w:rPr>
              <w:t> </w:t>
            </w:r>
            <w:r>
              <w:rPr>
                <w:sz w:val="20"/>
              </w:rPr>
              <w:t>until</w:t>
            </w:r>
            <w:r>
              <w:rPr>
                <w:spacing w:val="-13"/>
                <w:sz w:val="20"/>
              </w:rPr>
              <w:t> </w:t>
            </w:r>
            <w:r>
              <w:rPr>
                <w:sz w:val="20"/>
              </w:rPr>
              <w:t>August 2014.</w:t>
            </w:r>
            <w:r>
              <w:rPr>
                <w:spacing w:val="-1"/>
                <w:sz w:val="20"/>
              </w:rPr>
              <w:t> </w:t>
            </w:r>
            <w:r>
              <w:rPr>
                <w:sz w:val="20"/>
              </w:rPr>
              <w:t>Mr.</w:t>
            </w:r>
            <w:r>
              <w:rPr>
                <w:spacing w:val="-1"/>
                <w:sz w:val="20"/>
              </w:rPr>
              <w:t> </w:t>
            </w:r>
            <w:r>
              <w:rPr>
                <w:sz w:val="20"/>
              </w:rPr>
              <w:t>Murphy</w:t>
            </w:r>
            <w:r>
              <w:rPr>
                <w:spacing w:val="-1"/>
                <w:sz w:val="20"/>
              </w:rPr>
              <w:t> </w:t>
            </w:r>
            <w:r>
              <w:rPr>
                <w:sz w:val="20"/>
              </w:rPr>
              <w:t>serves</w:t>
            </w:r>
            <w:r>
              <w:rPr>
                <w:spacing w:val="-2"/>
                <w:sz w:val="20"/>
              </w:rPr>
              <w:t> </w:t>
            </w:r>
            <w:r>
              <w:rPr>
                <w:sz w:val="20"/>
              </w:rPr>
              <w:t>on</w:t>
            </w:r>
            <w:r>
              <w:rPr>
                <w:spacing w:val="-1"/>
                <w:sz w:val="20"/>
              </w:rPr>
              <w:t> </w:t>
            </w:r>
            <w:r>
              <w:rPr>
                <w:sz w:val="20"/>
              </w:rPr>
              <w:t>the Corporate</w:t>
            </w:r>
            <w:r>
              <w:rPr>
                <w:spacing w:val="-3"/>
                <w:sz w:val="20"/>
              </w:rPr>
              <w:t> </w:t>
            </w:r>
            <w:r>
              <w:rPr>
                <w:sz w:val="20"/>
              </w:rPr>
              <w:t>Advisory Board of the Marshall School of Business at the University of Southern California.</w:t>
            </w:r>
            <w:r>
              <w:rPr>
                <w:spacing w:val="40"/>
                <w:sz w:val="20"/>
              </w:rPr>
              <w:t> </w:t>
            </w:r>
            <w:r>
              <w:rPr>
                <w:sz w:val="20"/>
              </w:rPr>
              <w:t>He holds an MBA</w:t>
            </w:r>
            <w:r>
              <w:rPr>
                <w:spacing w:val="-4"/>
                <w:sz w:val="20"/>
              </w:rPr>
              <w:t> </w:t>
            </w:r>
            <w:r>
              <w:rPr>
                <w:sz w:val="20"/>
              </w:rPr>
              <w:t>from the Marshall School of Business at the University of Southern California, a B.S. in</w:t>
            </w:r>
            <w:r>
              <w:rPr>
                <w:spacing w:val="-3"/>
                <w:sz w:val="20"/>
              </w:rPr>
              <w:t> </w:t>
            </w:r>
            <w:r>
              <w:rPr>
                <w:sz w:val="20"/>
              </w:rPr>
              <w:t>Accounting from Fordham University and is a Certified Public </w:t>
            </w:r>
            <w:r>
              <w:rPr>
                <w:spacing w:val="-2"/>
                <w:sz w:val="20"/>
              </w:rPr>
              <w:t>Accountant.</w:t>
            </w:r>
          </w:p>
        </w:tc>
      </w:tr>
    </w:tbl>
    <w:p>
      <w:pPr>
        <w:spacing w:after="0" w:line="200" w:lineRule="exact"/>
        <w:rPr>
          <w:sz w:val="20"/>
        </w:rPr>
        <w:sectPr>
          <w:type w:val="continuous"/>
          <w:pgSz w:w="12240" w:h="15840"/>
          <w:pgMar w:header="210" w:footer="610" w:top="1140" w:bottom="800" w:left="780" w:right="740"/>
        </w:sectPr>
      </w:pPr>
    </w:p>
    <w:p>
      <w:pPr>
        <w:pStyle w:val="BodyText"/>
        <w:spacing w:before="147"/>
      </w:pPr>
    </w:p>
    <w:p>
      <w:pPr>
        <w:pStyle w:val="Heading1"/>
        <w:ind w:left="210"/>
      </w:pPr>
      <w:bookmarkStart w:name="Item 1A. Risk Factors" w:id="20"/>
      <w:bookmarkEnd w:id="20"/>
      <w:r>
        <w:rPr>
          <w:b w:val="0"/>
        </w:rPr>
      </w:r>
      <w:bookmarkStart w:name="_bookmark4" w:id="21"/>
      <w:bookmarkEnd w:id="21"/>
      <w:r>
        <w:rPr>
          <w:b w:val="0"/>
        </w:rPr>
      </w:r>
      <w:r>
        <w:rPr/>
        <w:t>ITEM</w:t>
      </w:r>
      <w:r>
        <w:rPr>
          <w:spacing w:val="-1"/>
        </w:rPr>
        <w:t> </w:t>
      </w:r>
      <w:r>
        <w:rPr/>
        <w:t>1A.</w:t>
      </w:r>
      <w:r>
        <w:rPr>
          <w:spacing w:val="50"/>
        </w:rPr>
        <w:t> </w:t>
      </w:r>
      <w:r>
        <w:rPr/>
        <w:t>RISK</w:t>
      </w:r>
      <w:r>
        <w:rPr>
          <w:spacing w:val="-1"/>
        </w:rPr>
        <w:t> </w:t>
      </w:r>
      <w:r>
        <w:rPr>
          <w:spacing w:val="-2"/>
        </w:rPr>
        <w:t>FACTORS</w:t>
      </w:r>
    </w:p>
    <w:p>
      <w:pPr>
        <w:pStyle w:val="BodyText"/>
        <w:spacing w:line="249" w:lineRule="auto" w:before="190"/>
        <w:ind w:left="210" w:right="247" w:firstLine="540"/>
        <w:jc w:val="both"/>
      </w:pPr>
      <w:r>
        <w:rPr/>
        <w:t>As</w:t>
      </w:r>
      <w:r>
        <w:rPr>
          <w:spacing w:val="-8"/>
        </w:rPr>
        <w:t> </w:t>
      </w:r>
      <w:r>
        <w:rPr/>
        <w:t>previously</w:t>
      </w:r>
      <w:r>
        <w:rPr>
          <w:spacing w:val="-8"/>
        </w:rPr>
        <w:t> </w:t>
      </w:r>
      <w:r>
        <w:rPr/>
        <w:t>discussed,</w:t>
      </w:r>
      <w:r>
        <w:rPr>
          <w:spacing w:val="-8"/>
        </w:rPr>
        <w:t> </w:t>
      </w:r>
      <w:r>
        <w:rPr/>
        <w:t>our</w:t>
      </w:r>
      <w:r>
        <w:rPr>
          <w:spacing w:val="-8"/>
        </w:rPr>
        <w:t> </w:t>
      </w:r>
      <w:r>
        <w:rPr/>
        <w:t>actual</w:t>
      </w:r>
      <w:r>
        <w:rPr>
          <w:spacing w:val="-8"/>
        </w:rPr>
        <w:t> </w:t>
      </w:r>
      <w:r>
        <w:rPr/>
        <w:t>results</w:t>
      </w:r>
      <w:r>
        <w:rPr>
          <w:spacing w:val="-8"/>
        </w:rPr>
        <w:t> </w:t>
      </w:r>
      <w:r>
        <w:rPr/>
        <w:t>could</w:t>
      </w:r>
      <w:r>
        <w:rPr>
          <w:spacing w:val="-8"/>
        </w:rPr>
        <w:t> </w:t>
      </w:r>
      <w:r>
        <w:rPr/>
        <w:t>differ</w:t>
      </w:r>
      <w:r>
        <w:rPr>
          <w:spacing w:val="-8"/>
        </w:rPr>
        <w:t> </w:t>
      </w:r>
      <w:r>
        <w:rPr/>
        <w:t>materially</w:t>
      </w:r>
      <w:r>
        <w:rPr>
          <w:spacing w:val="-8"/>
        </w:rPr>
        <w:t> </w:t>
      </w:r>
      <w:r>
        <w:rPr/>
        <w:t>from</w:t>
      </w:r>
      <w:r>
        <w:rPr>
          <w:spacing w:val="-8"/>
        </w:rPr>
        <w:t> </w:t>
      </w:r>
      <w:r>
        <w:rPr/>
        <w:t>our</w:t>
      </w:r>
      <w:r>
        <w:rPr>
          <w:spacing w:val="-8"/>
        </w:rPr>
        <w:t> </w:t>
      </w:r>
      <w:r>
        <w:rPr/>
        <w:t>forward-looking</w:t>
      </w:r>
      <w:r>
        <w:rPr>
          <w:spacing w:val="-8"/>
        </w:rPr>
        <w:t> </w:t>
      </w:r>
      <w:r>
        <w:rPr/>
        <w:t>statements.</w:t>
      </w:r>
      <w:r>
        <w:rPr>
          <w:spacing w:val="-8"/>
        </w:rPr>
        <w:t> </w:t>
      </w:r>
      <w:r>
        <w:rPr/>
        <w:t>Below</w:t>
      </w:r>
      <w:r>
        <w:rPr>
          <w:spacing w:val="-8"/>
        </w:rPr>
        <w:t> </w:t>
      </w:r>
      <w:r>
        <w:rPr/>
        <w:t>we</w:t>
      </w:r>
      <w:r>
        <w:rPr>
          <w:spacing w:val="-8"/>
        </w:rPr>
        <w:t> </w:t>
      </w:r>
      <w:r>
        <w:rPr/>
        <w:t>discuss some</w:t>
      </w:r>
      <w:r>
        <w:rPr>
          <w:spacing w:val="-12"/>
        </w:rPr>
        <w:t> </w:t>
      </w:r>
      <w:r>
        <w:rPr/>
        <w:t>of</w:t>
      </w:r>
      <w:r>
        <w:rPr>
          <w:spacing w:val="-11"/>
        </w:rPr>
        <w:t> </w:t>
      </w:r>
      <w:r>
        <w:rPr/>
        <w:t>the</w:t>
      </w:r>
      <w:r>
        <w:rPr>
          <w:spacing w:val="-11"/>
        </w:rPr>
        <w:t> </w:t>
      </w:r>
      <w:r>
        <w:rPr/>
        <w:t>factors</w:t>
      </w:r>
      <w:r>
        <w:rPr>
          <w:spacing w:val="-10"/>
        </w:rPr>
        <w:t> </w:t>
      </w:r>
      <w:r>
        <w:rPr/>
        <w:t>that</w:t>
      </w:r>
      <w:r>
        <w:rPr>
          <w:spacing w:val="-11"/>
        </w:rPr>
        <w:t> </w:t>
      </w:r>
      <w:r>
        <w:rPr/>
        <w:t>could</w:t>
      </w:r>
      <w:r>
        <w:rPr>
          <w:spacing w:val="-11"/>
        </w:rPr>
        <w:t> </w:t>
      </w:r>
      <w:r>
        <w:rPr/>
        <w:t>cause</w:t>
      </w:r>
      <w:r>
        <w:rPr>
          <w:spacing w:val="-11"/>
        </w:rPr>
        <w:t> </w:t>
      </w:r>
      <w:r>
        <w:rPr/>
        <w:t>these</w:t>
      </w:r>
      <w:r>
        <w:rPr>
          <w:spacing w:val="-11"/>
        </w:rPr>
        <w:t> </w:t>
      </w:r>
      <w:r>
        <w:rPr/>
        <w:t>differences.</w:t>
      </w:r>
      <w:r>
        <w:rPr>
          <w:spacing w:val="-13"/>
        </w:rPr>
        <w:t> </w:t>
      </w:r>
      <w:r>
        <w:rPr/>
        <w:t>These</w:t>
      </w:r>
      <w:r>
        <w:rPr>
          <w:spacing w:val="-10"/>
        </w:rPr>
        <w:t> </w:t>
      </w:r>
      <w:r>
        <w:rPr/>
        <w:t>and</w:t>
      </w:r>
      <w:r>
        <w:rPr>
          <w:spacing w:val="-11"/>
        </w:rPr>
        <w:t> </w:t>
      </w:r>
      <w:r>
        <w:rPr/>
        <w:t>many</w:t>
      </w:r>
      <w:r>
        <w:rPr>
          <w:spacing w:val="-11"/>
        </w:rPr>
        <w:t> </w:t>
      </w:r>
      <w:r>
        <w:rPr/>
        <w:t>other</w:t>
      </w:r>
      <w:r>
        <w:rPr>
          <w:spacing w:val="-11"/>
        </w:rPr>
        <w:t> </w:t>
      </w:r>
      <w:r>
        <w:rPr/>
        <w:t>factors</w:t>
      </w:r>
      <w:r>
        <w:rPr>
          <w:spacing w:val="-11"/>
        </w:rPr>
        <w:t> </w:t>
      </w:r>
      <w:r>
        <w:rPr/>
        <w:t>described</w:t>
      </w:r>
      <w:r>
        <w:rPr>
          <w:spacing w:val="-11"/>
        </w:rPr>
        <w:t> </w:t>
      </w:r>
      <w:r>
        <w:rPr/>
        <w:t>in</w:t>
      </w:r>
      <w:r>
        <w:rPr>
          <w:spacing w:val="-11"/>
        </w:rPr>
        <w:t> </w:t>
      </w:r>
      <w:r>
        <w:rPr/>
        <w:t>this</w:t>
      </w:r>
      <w:r>
        <w:rPr>
          <w:spacing w:val="-11"/>
        </w:rPr>
        <w:t> </w:t>
      </w:r>
      <w:r>
        <w:rPr/>
        <w:t>report</w:t>
      </w:r>
      <w:r>
        <w:rPr>
          <w:spacing w:val="-11"/>
        </w:rPr>
        <w:t> </w:t>
      </w:r>
      <w:r>
        <w:rPr/>
        <w:t>could</w:t>
      </w:r>
      <w:r>
        <w:rPr>
          <w:spacing w:val="-11"/>
        </w:rPr>
        <w:t> </w:t>
      </w:r>
      <w:r>
        <w:rPr/>
        <w:t>adversely</w:t>
      </w:r>
      <w:r>
        <w:rPr>
          <w:spacing w:val="-11"/>
        </w:rPr>
        <w:t> </w:t>
      </w:r>
      <w:r>
        <w:rPr/>
        <w:t>affect our operations, performance and financial condition.</w:t>
      </w:r>
    </w:p>
    <w:p>
      <w:pPr>
        <w:pStyle w:val="Heading3"/>
        <w:spacing w:line="249" w:lineRule="auto" w:before="182"/>
        <w:ind w:right="240"/>
      </w:pPr>
      <w:r>
        <w:rPr/>
        <w:t>If</w:t>
      </w:r>
      <w:r>
        <w:rPr>
          <w:spacing w:val="-1"/>
        </w:rPr>
        <w:t> </w:t>
      </w:r>
      <w:r>
        <w:rPr/>
        <w:t>we</w:t>
      </w:r>
      <w:r>
        <w:rPr>
          <w:spacing w:val="-1"/>
        </w:rPr>
        <w:t> </w:t>
      </w:r>
      <w:r>
        <w:rPr/>
        <w:t>cannot</w:t>
      </w:r>
      <w:r>
        <w:rPr>
          <w:spacing w:val="-1"/>
        </w:rPr>
        <w:t> </w:t>
      </w:r>
      <w:r>
        <w:rPr/>
        <w:t>continue</w:t>
      </w:r>
      <w:r>
        <w:rPr>
          <w:spacing w:val="-1"/>
        </w:rPr>
        <w:t> </w:t>
      </w:r>
      <w:r>
        <w:rPr/>
        <w:t>to</w:t>
      </w:r>
      <w:r>
        <w:rPr>
          <w:spacing w:val="-1"/>
        </w:rPr>
        <w:t> </w:t>
      </w:r>
      <w:r>
        <w:rPr/>
        <w:t>develop,</w:t>
      </w:r>
      <w:r>
        <w:rPr>
          <w:spacing w:val="-1"/>
        </w:rPr>
        <w:t> </w:t>
      </w:r>
      <w:r>
        <w:rPr/>
        <w:t>acquire,</w:t>
      </w:r>
      <w:r>
        <w:rPr>
          <w:spacing w:val="-1"/>
        </w:rPr>
        <w:t> </w:t>
      </w:r>
      <w:r>
        <w:rPr/>
        <w:t>market</w:t>
      </w:r>
      <w:r>
        <w:rPr>
          <w:spacing w:val="-1"/>
        </w:rPr>
        <w:t> </w:t>
      </w:r>
      <w:r>
        <w:rPr/>
        <w:t>and</w:t>
      </w:r>
      <w:r>
        <w:rPr>
          <w:spacing w:val="-1"/>
        </w:rPr>
        <w:t> </w:t>
      </w:r>
      <w:r>
        <w:rPr/>
        <w:t>offer</w:t>
      </w:r>
      <w:r>
        <w:rPr>
          <w:spacing w:val="-1"/>
        </w:rPr>
        <w:t> </w:t>
      </w:r>
      <w:r>
        <w:rPr/>
        <w:t>new</w:t>
      </w:r>
      <w:r>
        <w:rPr>
          <w:spacing w:val="-1"/>
        </w:rPr>
        <w:t> </w:t>
      </w:r>
      <w:r>
        <w:rPr/>
        <w:t>products</w:t>
      </w:r>
      <w:r>
        <w:rPr>
          <w:spacing w:val="-1"/>
        </w:rPr>
        <w:t> </w:t>
      </w:r>
      <w:r>
        <w:rPr/>
        <w:t>and</w:t>
      </w:r>
      <w:r>
        <w:rPr>
          <w:spacing w:val="-1"/>
        </w:rPr>
        <w:t> </w:t>
      </w:r>
      <w:r>
        <w:rPr/>
        <w:t>services</w:t>
      </w:r>
      <w:r>
        <w:rPr>
          <w:spacing w:val="-1"/>
        </w:rPr>
        <w:t> </w:t>
      </w:r>
      <w:r>
        <w:rPr/>
        <w:t>or</w:t>
      </w:r>
      <w:r>
        <w:rPr>
          <w:spacing w:val="-1"/>
        </w:rPr>
        <w:t> </w:t>
      </w:r>
      <w:r>
        <w:rPr/>
        <w:t>enhancements</w:t>
      </w:r>
      <w:r>
        <w:rPr>
          <w:spacing w:val="-1"/>
        </w:rPr>
        <w:t> </w:t>
      </w:r>
      <w:r>
        <w:rPr/>
        <w:t>to</w:t>
      </w:r>
      <w:r>
        <w:rPr>
          <w:spacing w:val="-1"/>
        </w:rPr>
        <w:t> </w:t>
      </w:r>
      <w:r>
        <w:rPr/>
        <w:t>existing</w:t>
      </w:r>
      <w:r>
        <w:rPr>
          <w:spacing w:val="-1"/>
        </w:rPr>
        <w:t> </w:t>
      </w:r>
      <w:r>
        <w:rPr/>
        <w:t>products and services that meet customer requirements, our operating results could suffer.</w:t>
      </w:r>
    </w:p>
    <w:p>
      <w:pPr>
        <w:pStyle w:val="BodyText"/>
        <w:spacing w:line="249" w:lineRule="auto" w:before="182"/>
        <w:ind w:left="210" w:right="247" w:firstLine="540"/>
        <w:jc w:val="both"/>
      </w:pPr>
      <w:r>
        <w:rPr>
          <w:spacing w:val="-2"/>
        </w:rPr>
        <w:t>The</w:t>
      </w:r>
      <w:r>
        <w:rPr>
          <w:spacing w:val="-7"/>
        </w:rPr>
        <w:t> </w:t>
      </w:r>
      <w:r>
        <w:rPr>
          <w:spacing w:val="-2"/>
        </w:rPr>
        <w:t>process</w:t>
      </w:r>
      <w:r>
        <w:rPr>
          <w:spacing w:val="-7"/>
        </w:rPr>
        <w:t> </w:t>
      </w:r>
      <w:r>
        <w:rPr>
          <w:spacing w:val="-2"/>
        </w:rPr>
        <w:t>of</w:t>
      </w:r>
      <w:r>
        <w:rPr>
          <w:spacing w:val="-7"/>
        </w:rPr>
        <w:t> </w:t>
      </w:r>
      <w:r>
        <w:rPr>
          <w:spacing w:val="-2"/>
        </w:rPr>
        <w:t>developing</w:t>
      </w:r>
      <w:r>
        <w:rPr>
          <w:spacing w:val="-7"/>
        </w:rPr>
        <w:t> </w:t>
      </w:r>
      <w:r>
        <w:rPr>
          <w:spacing w:val="-2"/>
        </w:rPr>
        <w:t>and</w:t>
      </w:r>
      <w:r>
        <w:rPr>
          <w:spacing w:val="-7"/>
        </w:rPr>
        <w:t> </w:t>
      </w:r>
      <w:r>
        <w:rPr>
          <w:spacing w:val="-2"/>
        </w:rPr>
        <w:t>acquiring</w:t>
      </w:r>
      <w:r>
        <w:rPr>
          <w:spacing w:val="-7"/>
        </w:rPr>
        <w:t> </w:t>
      </w:r>
      <w:r>
        <w:rPr>
          <w:spacing w:val="-2"/>
        </w:rPr>
        <w:t>new</w:t>
      </w:r>
      <w:r>
        <w:rPr>
          <w:spacing w:val="-7"/>
        </w:rPr>
        <w:t> </w:t>
      </w:r>
      <w:r>
        <w:rPr>
          <w:spacing w:val="-2"/>
        </w:rPr>
        <w:t>technology</w:t>
      </w:r>
      <w:r>
        <w:rPr>
          <w:spacing w:val="-7"/>
        </w:rPr>
        <w:t> </w:t>
      </w:r>
      <w:r>
        <w:rPr>
          <w:spacing w:val="-2"/>
        </w:rPr>
        <w:t>products</w:t>
      </w:r>
      <w:r>
        <w:rPr>
          <w:spacing w:val="-7"/>
        </w:rPr>
        <w:t> </w:t>
      </w:r>
      <w:r>
        <w:rPr>
          <w:spacing w:val="-2"/>
        </w:rPr>
        <w:t>and</w:t>
      </w:r>
      <w:r>
        <w:rPr>
          <w:spacing w:val="-7"/>
        </w:rPr>
        <w:t> </w:t>
      </w:r>
      <w:r>
        <w:rPr>
          <w:spacing w:val="-2"/>
        </w:rPr>
        <w:t>services</w:t>
      </w:r>
      <w:r>
        <w:rPr>
          <w:spacing w:val="-7"/>
        </w:rPr>
        <w:t> </w:t>
      </w:r>
      <w:r>
        <w:rPr>
          <w:spacing w:val="-2"/>
        </w:rPr>
        <w:t>and</w:t>
      </w:r>
      <w:r>
        <w:rPr>
          <w:spacing w:val="-7"/>
        </w:rPr>
        <w:t> </w:t>
      </w:r>
      <w:r>
        <w:rPr>
          <w:spacing w:val="-2"/>
        </w:rPr>
        <w:t>enhancing</w:t>
      </w:r>
      <w:r>
        <w:rPr>
          <w:spacing w:val="-7"/>
        </w:rPr>
        <w:t> </w:t>
      </w:r>
      <w:r>
        <w:rPr>
          <w:spacing w:val="-2"/>
        </w:rPr>
        <w:t>existing</w:t>
      </w:r>
      <w:r>
        <w:rPr>
          <w:spacing w:val="-7"/>
        </w:rPr>
        <w:t> </w:t>
      </w:r>
      <w:r>
        <w:rPr>
          <w:spacing w:val="-2"/>
        </w:rPr>
        <w:t>offerings</w:t>
      </w:r>
      <w:r>
        <w:rPr>
          <w:spacing w:val="-7"/>
        </w:rPr>
        <w:t> </w:t>
      </w:r>
      <w:r>
        <w:rPr>
          <w:spacing w:val="-2"/>
        </w:rPr>
        <w:t>is</w:t>
      </w:r>
      <w:r>
        <w:rPr>
          <w:spacing w:val="-7"/>
        </w:rPr>
        <w:t> </w:t>
      </w:r>
      <w:r>
        <w:rPr>
          <w:spacing w:val="-2"/>
        </w:rPr>
        <w:t>complex, costly</w:t>
      </w:r>
      <w:r>
        <w:rPr>
          <w:spacing w:val="-11"/>
        </w:rPr>
        <w:t> </w:t>
      </w:r>
      <w:r>
        <w:rPr>
          <w:spacing w:val="-2"/>
        </w:rPr>
        <w:t>and</w:t>
      </w:r>
      <w:r>
        <w:rPr>
          <w:spacing w:val="-10"/>
        </w:rPr>
        <w:t> </w:t>
      </w:r>
      <w:r>
        <w:rPr>
          <w:spacing w:val="-2"/>
        </w:rPr>
        <w:t>uncertain.</w:t>
      </w:r>
      <w:r>
        <w:rPr>
          <w:spacing w:val="-3"/>
        </w:rPr>
        <w:t> </w:t>
      </w:r>
      <w:r>
        <w:rPr>
          <w:spacing w:val="-2"/>
        </w:rPr>
        <w:t>If</w:t>
      </w:r>
      <w:r>
        <w:rPr>
          <w:spacing w:val="-4"/>
        </w:rPr>
        <w:t> </w:t>
      </w:r>
      <w:r>
        <w:rPr>
          <w:spacing w:val="-2"/>
        </w:rPr>
        <w:t>we</w:t>
      </w:r>
      <w:r>
        <w:rPr>
          <w:spacing w:val="-4"/>
        </w:rPr>
        <w:t> </w:t>
      </w:r>
      <w:r>
        <w:rPr>
          <w:spacing w:val="-2"/>
        </w:rPr>
        <w:t>fail</w:t>
      </w:r>
      <w:r>
        <w:rPr>
          <w:spacing w:val="-4"/>
        </w:rPr>
        <w:t> </w:t>
      </w:r>
      <w:r>
        <w:rPr>
          <w:spacing w:val="-2"/>
        </w:rPr>
        <w:t>to</w:t>
      </w:r>
      <w:r>
        <w:rPr>
          <w:spacing w:val="-4"/>
        </w:rPr>
        <w:t> </w:t>
      </w:r>
      <w:r>
        <w:rPr>
          <w:spacing w:val="-2"/>
        </w:rPr>
        <w:t>anticipate</w:t>
      </w:r>
      <w:r>
        <w:rPr>
          <w:spacing w:val="-4"/>
        </w:rPr>
        <w:t> </w:t>
      </w:r>
      <w:r>
        <w:rPr>
          <w:spacing w:val="-2"/>
        </w:rPr>
        <w:t>customers’</w:t>
      </w:r>
      <w:r>
        <w:rPr>
          <w:spacing w:val="-11"/>
        </w:rPr>
        <w:t> </w:t>
      </w:r>
      <w:r>
        <w:rPr>
          <w:spacing w:val="-2"/>
        </w:rPr>
        <w:t>rapidly</w:t>
      </w:r>
      <w:r>
        <w:rPr>
          <w:spacing w:val="-4"/>
        </w:rPr>
        <w:t> </w:t>
      </w:r>
      <w:r>
        <w:rPr>
          <w:spacing w:val="-2"/>
        </w:rPr>
        <w:t>changing</w:t>
      </w:r>
      <w:r>
        <w:rPr>
          <w:spacing w:val="-4"/>
        </w:rPr>
        <w:t> </w:t>
      </w:r>
      <w:r>
        <w:rPr>
          <w:spacing w:val="-2"/>
        </w:rPr>
        <w:t>needs</w:t>
      </w:r>
      <w:r>
        <w:rPr>
          <w:spacing w:val="-4"/>
        </w:rPr>
        <w:t> </w:t>
      </w:r>
      <w:r>
        <w:rPr>
          <w:spacing w:val="-2"/>
        </w:rPr>
        <w:t>and</w:t>
      </w:r>
      <w:r>
        <w:rPr>
          <w:spacing w:val="-4"/>
        </w:rPr>
        <w:t> </w:t>
      </w:r>
      <w:r>
        <w:rPr>
          <w:spacing w:val="-2"/>
        </w:rPr>
        <w:t>expectations</w:t>
      </w:r>
      <w:r>
        <w:rPr>
          <w:spacing w:val="-3"/>
        </w:rPr>
        <w:t> </w:t>
      </w:r>
      <w:r>
        <w:rPr>
          <w:spacing w:val="-2"/>
        </w:rPr>
        <w:t>or</w:t>
      </w:r>
      <w:r>
        <w:rPr>
          <w:spacing w:val="-4"/>
        </w:rPr>
        <w:t> </w:t>
      </w:r>
      <w:r>
        <w:rPr>
          <w:spacing w:val="-2"/>
        </w:rPr>
        <w:t>adapt</w:t>
      </w:r>
      <w:r>
        <w:rPr>
          <w:spacing w:val="-4"/>
        </w:rPr>
        <w:t> </w:t>
      </w:r>
      <w:r>
        <w:rPr>
          <w:spacing w:val="-2"/>
        </w:rPr>
        <w:t>to</w:t>
      </w:r>
      <w:r>
        <w:rPr>
          <w:spacing w:val="-4"/>
        </w:rPr>
        <w:t> </w:t>
      </w:r>
      <w:r>
        <w:rPr>
          <w:spacing w:val="-2"/>
        </w:rPr>
        <w:t>emerging</w:t>
      </w:r>
      <w:r>
        <w:rPr>
          <w:spacing w:val="-4"/>
        </w:rPr>
        <w:t> </w:t>
      </w:r>
      <w:r>
        <w:rPr>
          <w:spacing w:val="-2"/>
        </w:rPr>
        <w:t>technological </w:t>
      </w:r>
      <w:r>
        <w:rPr/>
        <w:t>trends,</w:t>
      </w:r>
      <w:r>
        <w:rPr>
          <w:spacing w:val="-4"/>
        </w:rPr>
        <w:t> </w:t>
      </w:r>
      <w:r>
        <w:rPr/>
        <w:t>our</w:t>
      </w:r>
      <w:r>
        <w:rPr>
          <w:spacing w:val="-4"/>
        </w:rPr>
        <w:t> </w:t>
      </w:r>
      <w:r>
        <w:rPr/>
        <w:t>market</w:t>
      </w:r>
      <w:r>
        <w:rPr>
          <w:spacing w:val="-4"/>
        </w:rPr>
        <w:t> </w:t>
      </w:r>
      <w:r>
        <w:rPr/>
        <w:t>share</w:t>
      </w:r>
      <w:r>
        <w:rPr>
          <w:spacing w:val="-4"/>
        </w:rPr>
        <w:t> </w:t>
      </w:r>
      <w:r>
        <w:rPr/>
        <w:t>and</w:t>
      </w:r>
      <w:r>
        <w:rPr>
          <w:spacing w:val="-4"/>
        </w:rPr>
        <w:t> </w:t>
      </w:r>
      <w:r>
        <w:rPr/>
        <w:t>results</w:t>
      </w:r>
      <w:r>
        <w:rPr>
          <w:spacing w:val="-4"/>
        </w:rPr>
        <w:t> </w:t>
      </w:r>
      <w:r>
        <w:rPr/>
        <w:t>of</w:t>
      </w:r>
      <w:r>
        <w:rPr>
          <w:spacing w:val="-4"/>
        </w:rPr>
        <w:t> </w:t>
      </w:r>
      <w:r>
        <w:rPr/>
        <w:t>operations</w:t>
      </w:r>
      <w:r>
        <w:rPr>
          <w:spacing w:val="-4"/>
        </w:rPr>
        <w:t> </w:t>
      </w:r>
      <w:r>
        <w:rPr/>
        <w:t>could</w:t>
      </w:r>
      <w:r>
        <w:rPr>
          <w:spacing w:val="-4"/>
        </w:rPr>
        <w:t> </w:t>
      </w:r>
      <w:r>
        <w:rPr/>
        <w:t>suffer.</w:t>
      </w:r>
      <w:r>
        <w:rPr>
          <w:spacing w:val="-8"/>
        </w:rPr>
        <w:t> </w:t>
      </w:r>
      <w:r>
        <w:rPr/>
        <w:t>We</w:t>
      </w:r>
      <w:r>
        <w:rPr>
          <w:spacing w:val="-4"/>
        </w:rPr>
        <w:t> </w:t>
      </w:r>
      <w:r>
        <w:rPr/>
        <w:t>must</w:t>
      </w:r>
      <w:r>
        <w:rPr>
          <w:spacing w:val="-4"/>
        </w:rPr>
        <w:t> </w:t>
      </w:r>
      <w:r>
        <w:rPr/>
        <w:t>make</w:t>
      </w:r>
      <w:r>
        <w:rPr>
          <w:spacing w:val="-4"/>
        </w:rPr>
        <w:t> </w:t>
      </w:r>
      <w:r>
        <w:rPr/>
        <w:t>long-term</w:t>
      </w:r>
      <w:r>
        <w:rPr>
          <w:spacing w:val="-4"/>
        </w:rPr>
        <w:t> </w:t>
      </w:r>
      <w:r>
        <w:rPr/>
        <w:t>investments,</w:t>
      </w:r>
      <w:r>
        <w:rPr>
          <w:spacing w:val="-4"/>
        </w:rPr>
        <w:t> </w:t>
      </w:r>
      <w:r>
        <w:rPr/>
        <w:t>develop,</w:t>
      </w:r>
      <w:r>
        <w:rPr>
          <w:spacing w:val="-4"/>
        </w:rPr>
        <w:t> </w:t>
      </w:r>
      <w:r>
        <w:rPr/>
        <w:t>acquire</w:t>
      </w:r>
      <w:r>
        <w:rPr>
          <w:spacing w:val="-4"/>
        </w:rPr>
        <w:t> </w:t>
      </w:r>
      <w:r>
        <w:rPr/>
        <w:t>or</w:t>
      </w:r>
      <w:r>
        <w:rPr>
          <w:spacing w:val="-4"/>
        </w:rPr>
        <w:t> </w:t>
      </w:r>
      <w:r>
        <w:rPr/>
        <w:t>obtain appropriate</w:t>
      </w:r>
      <w:r>
        <w:rPr>
          <w:spacing w:val="-9"/>
        </w:rPr>
        <w:t> </w:t>
      </w:r>
      <w:r>
        <w:rPr/>
        <w:t>intellectual</w:t>
      </w:r>
      <w:r>
        <w:rPr>
          <w:spacing w:val="-9"/>
        </w:rPr>
        <w:t> </w:t>
      </w:r>
      <w:r>
        <w:rPr/>
        <w:t>property</w:t>
      </w:r>
      <w:r>
        <w:rPr>
          <w:spacing w:val="-8"/>
        </w:rPr>
        <w:t> </w:t>
      </w:r>
      <w:r>
        <w:rPr/>
        <w:t>and</w:t>
      </w:r>
      <w:r>
        <w:rPr>
          <w:spacing w:val="-8"/>
        </w:rPr>
        <w:t> </w:t>
      </w:r>
      <w:r>
        <w:rPr/>
        <w:t>commit</w:t>
      </w:r>
      <w:r>
        <w:rPr>
          <w:spacing w:val="-8"/>
        </w:rPr>
        <w:t> </w:t>
      </w:r>
      <w:r>
        <w:rPr/>
        <w:t>significant</w:t>
      </w:r>
      <w:r>
        <w:rPr>
          <w:spacing w:val="-9"/>
        </w:rPr>
        <w:t> </w:t>
      </w:r>
      <w:r>
        <w:rPr/>
        <w:t>resources</w:t>
      </w:r>
      <w:r>
        <w:rPr>
          <w:spacing w:val="-8"/>
        </w:rPr>
        <w:t> </w:t>
      </w:r>
      <w:r>
        <w:rPr/>
        <w:t>before</w:t>
      </w:r>
      <w:r>
        <w:rPr>
          <w:spacing w:val="-9"/>
        </w:rPr>
        <w:t> </w:t>
      </w:r>
      <w:r>
        <w:rPr/>
        <w:t>knowing</w:t>
      </w:r>
      <w:r>
        <w:rPr>
          <w:spacing w:val="-8"/>
        </w:rPr>
        <w:t> </w:t>
      </w:r>
      <w:r>
        <w:rPr/>
        <w:t>whether</w:t>
      </w:r>
      <w:r>
        <w:rPr>
          <w:spacing w:val="-8"/>
        </w:rPr>
        <w:t> </w:t>
      </w:r>
      <w:r>
        <w:rPr/>
        <w:t>our</w:t>
      </w:r>
      <w:r>
        <w:rPr>
          <w:spacing w:val="-8"/>
        </w:rPr>
        <w:t> </w:t>
      </w:r>
      <w:r>
        <w:rPr/>
        <w:t>predictions</w:t>
      </w:r>
      <w:r>
        <w:rPr>
          <w:spacing w:val="-8"/>
        </w:rPr>
        <w:t> </w:t>
      </w:r>
      <w:r>
        <w:rPr/>
        <w:t>will</w:t>
      </w:r>
      <w:r>
        <w:rPr>
          <w:spacing w:val="-9"/>
        </w:rPr>
        <w:t> </w:t>
      </w:r>
      <w:r>
        <w:rPr/>
        <w:t>accurately</w:t>
      </w:r>
      <w:r>
        <w:rPr>
          <w:spacing w:val="-8"/>
        </w:rPr>
        <w:t> </w:t>
      </w:r>
      <w:r>
        <w:rPr/>
        <w:t>reflect customer</w:t>
      </w:r>
      <w:r>
        <w:rPr>
          <w:spacing w:val="-5"/>
        </w:rPr>
        <w:t> </w:t>
      </w:r>
      <w:r>
        <w:rPr/>
        <w:t>demand</w:t>
      </w:r>
      <w:r>
        <w:rPr>
          <w:spacing w:val="-5"/>
        </w:rPr>
        <w:t> </w:t>
      </w:r>
      <w:r>
        <w:rPr/>
        <w:t>for</w:t>
      </w:r>
      <w:r>
        <w:rPr>
          <w:spacing w:val="-5"/>
        </w:rPr>
        <w:t> </w:t>
      </w:r>
      <w:r>
        <w:rPr/>
        <w:t>our</w:t>
      </w:r>
      <w:r>
        <w:rPr>
          <w:spacing w:val="-5"/>
        </w:rPr>
        <w:t> </w:t>
      </w:r>
      <w:r>
        <w:rPr/>
        <w:t>products</w:t>
      </w:r>
      <w:r>
        <w:rPr>
          <w:spacing w:val="-5"/>
        </w:rPr>
        <w:t> </w:t>
      </w:r>
      <w:r>
        <w:rPr/>
        <w:t>and</w:t>
      </w:r>
      <w:r>
        <w:rPr>
          <w:spacing w:val="-5"/>
        </w:rPr>
        <w:t> </w:t>
      </w:r>
      <w:r>
        <w:rPr/>
        <w:t>services.</w:t>
      </w:r>
      <w:r>
        <w:rPr>
          <w:spacing w:val="-5"/>
        </w:rPr>
        <w:t> </w:t>
      </w:r>
      <w:r>
        <w:rPr/>
        <w:t>If</w:t>
      </w:r>
      <w:r>
        <w:rPr>
          <w:spacing w:val="-5"/>
        </w:rPr>
        <w:t> </w:t>
      </w:r>
      <w:r>
        <w:rPr/>
        <w:t>we</w:t>
      </w:r>
      <w:r>
        <w:rPr>
          <w:spacing w:val="-6"/>
        </w:rPr>
        <w:t> </w:t>
      </w:r>
      <w:r>
        <w:rPr/>
        <w:t>misjudge</w:t>
      </w:r>
      <w:r>
        <w:rPr>
          <w:spacing w:val="-6"/>
        </w:rPr>
        <w:t> </w:t>
      </w:r>
      <w:r>
        <w:rPr/>
        <w:t>customer</w:t>
      </w:r>
      <w:r>
        <w:rPr>
          <w:spacing w:val="-6"/>
        </w:rPr>
        <w:t> </w:t>
      </w:r>
      <w:r>
        <w:rPr/>
        <w:t>needs</w:t>
      </w:r>
      <w:r>
        <w:rPr>
          <w:spacing w:val="-5"/>
        </w:rPr>
        <w:t> </w:t>
      </w:r>
      <w:r>
        <w:rPr/>
        <w:t>in</w:t>
      </w:r>
      <w:r>
        <w:rPr>
          <w:spacing w:val="-5"/>
        </w:rPr>
        <w:t> </w:t>
      </w:r>
      <w:r>
        <w:rPr/>
        <w:t>the</w:t>
      </w:r>
      <w:r>
        <w:rPr>
          <w:spacing w:val="-6"/>
        </w:rPr>
        <w:t> </w:t>
      </w:r>
      <w:r>
        <w:rPr/>
        <w:t>future,</w:t>
      </w:r>
      <w:r>
        <w:rPr>
          <w:spacing w:val="-5"/>
        </w:rPr>
        <w:t> </w:t>
      </w:r>
      <w:r>
        <w:rPr/>
        <w:t>our</w:t>
      </w:r>
      <w:r>
        <w:rPr>
          <w:spacing w:val="-5"/>
        </w:rPr>
        <w:t> </w:t>
      </w:r>
      <w:r>
        <w:rPr/>
        <w:t>new</w:t>
      </w:r>
      <w:r>
        <w:rPr>
          <w:spacing w:val="-5"/>
        </w:rPr>
        <w:t> </w:t>
      </w:r>
      <w:r>
        <w:rPr/>
        <w:t>products</w:t>
      </w:r>
      <w:r>
        <w:rPr>
          <w:spacing w:val="-5"/>
        </w:rPr>
        <w:t> </w:t>
      </w:r>
      <w:r>
        <w:rPr/>
        <w:t>and</w:t>
      </w:r>
      <w:r>
        <w:rPr>
          <w:spacing w:val="-5"/>
        </w:rPr>
        <w:t> </w:t>
      </w:r>
      <w:r>
        <w:rPr/>
        <w:t>services</w:t>
      </w:r>
      <w:r>
        <w:rPr>
          <w:spacing w:val="-5"/>
        </w:rPr>
        <w:t> </w:t>
      </w:r>
      <w:r>
        <w:rPr/>
        <w:t>may not</w:t>
      </w:r>
      <w:r>
        <w:rPr>
          <w:spacing w:val="-13"/>
        </w:rPr>
        <w:t> </w:t>
      </w:r>
      <w:r>
        <w:rPr/>
        <w:t>succeed</w:t>
      </w:r>
      <w:r>
        <w:rPr>
          <w:spacing w:val="-8"/>
        </w:rPr>
        <w:t> </w:t>
      </w:r>
      <w:r>
        <w:rPr/>
        <w:t>and</w:t>
      </w:r>
      <w:r>
        <w:rPr>
          <w:spacing w:val="-9"/>
        </w:rPr>
        <w:t> </w:t>
      </w:r>
      <w:r>
        <w:rPr/>
        <w:t>our</w:t>
      </w:r>
      <w:r>
        <w:rPr>
          <w:spacing w:val="-8"/>
        </w:rPr>
        <w:t> </w:t>
      </w:r>
      <w:r>
        <w:rPr/>
        <w:t>revenues</w:t>
      </w:r>
      <w:r>
        <w:rPr>
          <w:spacing w:val="-8"/>
        </w:rPr>
        <w:t> </w:t>
      </w:r>
      <w:r>
        <w:rPr/>
        <w:t>and</w:t>
      </w:r>
      <w:r>
        <w:rPr>
          <w:spacing w:val="-9"/>
        </w:rPr>
        <w:t> </w:t>
      </w:r>
      <w:r>
        <w:rPr/>
        <w:t>earnings</w:t>
      </w:r>
      <w:r>
        <w:rPr>
          <w:spacing w:val="-8"/>
        </w:rPr>
        <w:t> </w:t>
      </w:r>
      <w:r>
        <w:rPr/>
        <w:t>may</w:t>
      </w:r>
      <w:r>
        <w:rPr>
          <w:spacing w:val="-9"/>
        </w:rPr>
        <w:t> </w:t>
      </w:r>
      <w:r>
        <w:rPr/>
        <w:t>be</w:t>
      </w:r>
      <w:r>
        <w:rPr>
          <w:spacing w:val="-8"/>
        </w:rPr>
        <w:t> </w:t>
      </w:r>
      <w:r>
        <w:rPr/>
        <w:t>harmed.</w:t>
      </w:r>
      <w:r>
        <w:rPr>
          <w:spacing w:val="-13"/>
        </w:rPr>
        <w:t> </w:t>
      </w:r>
      <w:r>
        <w:rPr/>
        <w:t>Additionally,</w:t>
      </w:r>
      <w:r>
        <w:rPr>
          <w:spacing w:val="-7"/>
        </w:rPr>
        <w:t> </w:t>
      </w:r>
      <w:r>
        <w:rPr/>
        <w:t>any</w:t>
      </w:r>
      <w:r>
        <w:rPr>
          <w:spacing w:val="-9"/>
        </w:rPr>
        <w:t> </w:t>
      </w:r>
      <w:r>
        <w:rPr/>
        <w:t>delay</w:t>
      </w:r>
      <w:r>
        <w:rPr>
          <w:spacing w:val="-8"/>
        </w:rPr>
        <w:t> </w:t>
      </w:r>
      <w:r>
        <w:rPr/>
        <w:t>in</w:t>
      </w:r>
      <w:r>
        <w:rPr>
          <w:spacing w:val="-9"/>
        </w:rPr>
        <w:t> </w:t>
      </w:r>
      <w:r>
        <w:rPr/>
        <w:t>the</w:t>
      </w:r>
      <w:r>
        <w:rPr>
          <w:spacing w:val="-9"/>
        </w:rPr>
        <w:t> </w:t>
      </w:r>
      <w:r>
        <w:rPr/>
        <w:t>development,</w:t>
      </w:r>
      <w:r>
        <w:rPr>
          <w:spacing w:val="-8"/>
        </w:rPr>
        <w:t> </w:t>
      </w:r>
      <w:r>
        <w:rPr/>
        <w:t>acquisition,</w:t>
      </w:r>
      <w:r>
        <w:rPr>
          <w:spacing w:val="-9"/>
        </w:rPr>
        <w:t> </w:t>
      </w:r>
      <w:r>
        <w:rPr/>
        <w:t>marketing</w:t>
      </w:r>
      <w:r>
        <w:rPr>
          <w:spacing w:val="-9"/>
        </w:rPr>
        <w:t> </w:t>
      </w:r>
      <w:r>
        <w:rPr/>
        <w:t>or launch</w:t>
      </w:r>
      <w:r>
        <w:rPr>
          <w:spacing w:val="-2"/>
        </w:rPr>
        <w:t> </w:t>
      </w:r>
      <w:r>
        <w:rPr/>
        <w:t>of</w:t>
      </w:r>
      <w:r>
        <w:rPr>
          <w:spacing w:val="-2"/>
        </w:rPr>
        <w:t> </w:t>
      </w:r>
      <w:r>
        <w:rPr/>
        <w:t>a</w:t>
      </w:r>
      <w:r>
        <w:rPr>
          <w:spacing w:val="-2"/>
        </w:rPr>
        <w:t> </w:t>
      </w:r>
      <w:r>
        <w:rPr/>
        <w:t>new</w:t>
      </w:r>
      <w:r>
        <w:rPr>
          <w:spacing w:val="-2"/>
        </w:rPr>
        <w:t> </w:t>
      </w:r>
      <w:r>
        <w:rPr/>
        <w:t>offering</w:t>
      </w:r>
      <w:r>
        <w:rPr>
          <w:spacing w:val="-2"/>
        </w:rPr>
        <w:t> </w:t>
      </w:r>
      <w:r>
        <w:rPr/>
        <w:t>or</w:t>
      </w:r>
      <w:r>
        <w:rPr>
          <w:spacing w:val="-2"/>
        </w:rPr>
        <w:t> </w:t>
      </w:r>
      <w:r>
        <w:rPr/>
        <w:t>enhancement</w:t>
      </w:r>
      <w:r>
        <w:rPr>
          <w:spacing w:val="-2"/>
        </w:rPr>
        <w:t> </w:t>
      </w:r>
      <w:r>
        <w:rPr/>
        <w:t>to</w:t>
      </w:r>
      <w:r>
        <w:rPr>
          <w:spacing w:val="-2"/>
        </w:rPr>
        <w:t> </w:t>
      </w:r>
      <w:r>
        <w:rPr/>
        <w:t>an</w:t>
      </w:r>
      <w:r>
        <w:rPr>
          <w:spacing w:val="-2"/>
        </w:rPr>
        <w:t> </w:t>
      </w:r>
      <w:r>
        <w:rPr/>
        <w:t>existing</w:t>
      </w:r>
      <w:r>
        <w:rPr>
          <w:spacing w:val="-2"/>
        </w:rPr>
        <w:t> </w:t>
      </w:r>
      <w:r>
        <w:rPr/>
        <w:t>offering</w:t>
      </w:r>
      <w:r>
        <w:rPr>
          <w:spacing w:val="-2"/>
        </w:rPr>
        <w:t> </w:t>
      </w:r>
      <w:r>
        <w:rPr/>
        <w:t>could</w:t>
      </w:r>
      <w:r>
        <w:rPr>
          <w:spacing w:val="-2"/>
        </w:rPr>
        <w:t> </w:t>
      </w:r>
      <w:r>
        <w:rPr/>
        <w:t>result</w:t>
      </w:r>
      <w:r>
        <w:rPr>
          <w:spacing w:val="-2"/>
        </w:rPr>
        <w:t> </w:t>
      </w:r>
      <w:r>
        <w:rPr/>
        <w:t>in</w:t>
      </w:r>
      <w:r>
        <w:rPr>
          <w:spacing w:val="-2"/>
        </w:rPr>
        <w:t> </w:t>
      </w:r>
      <w:r>
        <w:rPr/>
        <w:t>customer</w:t>
      </w:r>
      <w:r>
        <w:rPr>
          <w:spacing w:val="-2"/>
        </w:rPr>
        <w:t> </w:t>
      </w:r>
      <w:r>
        <w:rPr/>
        <w:t>attrition</w:t>
      </w:r>
      <w:r>
        <w:rPr>
          <w:spacing w:val="-2"/>
        </w:rPr>
        <w:t> </w:t>
      </w:r>
      <w:r>
        <w:rPr/>
        <w:t>or</w:t>
      </w:r>
      <w:r>
        <w:rPr>
          <w:spacing w:val="-2"/>
        </w:rPr>
        <w:t> </w:t>
      </w:r>
      <w:r>
        <w:rPr/>
        <w:t>impede</w:t>
      </w:r>
      <w:r>
        <w:rPr>
          <w:spacing w:val="-2"/>
        </w:rPr>
        <w:t> </w:t>
      </w:r>
      <w:r>
        <w:rPr/>
        <w:t>our</w:t>
      </w:r>
      <w:r>
        <w:rPr>
          <w:spacing w:val="-2"/>
        </w:rPr>
        <w:t> </w:t>
      </w:r>
      <w:r>
        <w:rPr/>
        <w:t>ability</w:t>
      </w:r>
      <w:r>
        <w:rPr>
          <w:spacing w:val="-2"/>
        </w:rPr>
        <w:t> </w:t>
      </w:r>
      <w:r>
        <w:rPr/>
        <w:t>to</w:t>
      </w:r>
      <w:r>
        <w:rPr>
          <w:spacing w:val="-2"/>
        </w:rPr>
        <w:t> </w:t>
      </w:r>
      <w:r>
        <w:rPr/>
        <w:t>attract new customers, causing a decline in our revenue, earnings or stock price and weakening our competitive position.</w:t>
      </w:r>
    </w:p>
    <w:p>
      <w:pPr>
        <w:pStyle w:val="BodyText"/>
        <w:spacing w:line="249" w:lineRule="auto" w:before="186"/>
        <w:ind w:left="210" w:right="247" w:firstLine="540"/>
        <w:jc w:val="both"/>
      </w:pPr>
      <w:r>
        <w:rPr>
          <w:spacing w:val="-2"/>
        </w:rPr>
        <w:t>We</w:t>
      </w:r>
      <w:r>
        <w:rPr>
          <w:spacing w:val="-4"/>
        </w:rPr>
        <w:t> </w:t>
      </w:r>
      <w:r>
        <w:rPr>
          <w:spacing w:val="-2"/>
        </w:rPr>
        <w:t>offer</w:t>
      </w:r>
      <w:r>
        <w:rPr>
          <w:spacing w:val="-4"/>
        </w:rPr>
        <w:t> </w:t>
      </w:r>
      <w:r>
        <w:rPr>
          <w:spacing w:val="-2"/>
        </w:rPr>
        <w:t>our</w:t>
      </w:r>
      <w:r>
        <w:rPr>
          <w:spacing w:val="-4"/>
        </w:rPr>
        <w:t> </w:t>
      </w:r>
      <w:r>
        <w:rPr>
          <w:spacing w:val="-2"/>
        </w:rPr>
        <w:t>products</w:t>
      </w:r>
      <w:r>
        <w:rPr>
          <w:spacing w:val="-4"/>
        </w:rPr>
        <w:t> </w:t>
      </w:r>
      <w:r>
        <w:rPr>
          <w:spacing w:val="-2"/>
        </w:rPr>
        <w:t>on</w:t>
      </w:r>
      <w:r>
        <w:rPr>
          <w:spacing w:val="-4"/>
        </w:rPr>
        <w:t> </w:t>
      </w:r>
      <w:r>
        <w:rPr>
          <w:spacing w:val="-2"/>
        </w:rPr>
        <w:t>a</w:t>
      </w:r>
      <w:r>
        <w:rPr>
          <w:spacing w:val="-4"/>
        </w:rPr>
        <w:t> </w:t>
      </w:r>
      <w:r>
        <w:rPr>
          <w:spacing w:val="-2"/>
        </w:rPr>
        <w:t>variety</w:t>
      </w:r>
      <w:r>
        <w:rPr>
          <w:spacing w:val="-4"/>
        </w:rPr>
        <w:t> </w:t>
      </w:r>
      <w:r>
        <w:rPr>
          <w:spacing w:val="-2"/>
        </w:rPr>
        <w:t>of</w:t>
      </w:r>
      <w:r>
        <w:rPr>
          <w:spacing w:val="-4"/>
        </w:rPr>
        <w:t> </w:t>
      </w:r>
      <w:r>
        <w:rPr>
          <w:spacing w:val="-2"/>
        </w:rPr>
        <w:t>hardware</w:t>
      </w:r>
      <w:r>
        <w:rPr>
          <w:spacing w:val="-4"/>
        </w:rPr>
        <w:t> </w:t>
      </w:r>
      <w:r>
        <w:rPr>
          <w:spacing w:val="-2"/>
        </w:rPr>
        <w:t>platforms.</w:t>
      </w:r>
      <w:r>
        <w:rPr>
          <w:spacing w:val="-4"/>
        </w:rPr>
        <w:t> </w:t>
      </w:r>
      <w:r>
        <w:rPr>
          <w:spacing w:val="-2"/>
        </w:rPr>
        <w:t>Consumers</w:t>
      </w:r>
      <w:r>
        <w:rPr>
          <w:spacing w:val="-4"/>
        </w:rPr>
        <w:t> </w:t>
      </w:r>
      <w:r>
        <w:rPr>
          <w:spacing w:val="-2"/>
        </w:rPr>
        <w:t>continue</w:t>
      </w:r>
      <w:r>
        <w:rPr>
          <w:spacing w:val="-4"/>
        </w:rPr>
        <w:t> </w:t>
      </w:r>
      <w:r>
        <w:rPr>
          <w:spacing w:val="-2"/>
        </w:rPr>
        <w:t>to</w:t>
      </w:r>
      <w:r>
        <w:rPr>
          <w:spacing w:val="-4"/>
        </w:rPr>
        <w:t> </w:t>
      </w:r>
      <w:r>
        <w:rPr>
          <w:spacing w:val="-2"/>
        </w:rPr>
        <w:t>migrate</w:t>
      </w:r>
      <w:r>
        <w:rPr>
          <w:spacing w:val="-4"/>
        </w:rPr>
        <w:t> </w:t>
      </w:r>
      <w:r>
        <w:rPr>
          <w:spacing w:val="-2"/>
        </w:rPr>
        <w:t>from</w:t>
      </w:r>
      <w:r>
        <w:rPr>
          <w:spacing w:val="-4"/>
        </w:rPr>
        <w:t> </w:t>
      </w:r>
      <w:r>
        <w:rPr>
          <w:spacing w:val="-2"/>
        </w:rPr>
        <w:t>personal</w:t>
      </w:r>
      <w:r>
        <w:rPr>
          <w:spacing w:val="-4"/>
        </w:rPr>
        <w:t> </w:t>
      </w:r>
      <w:r>
        <w:rPr>
          <w:spacing w:val="-2"/>
        </w:rPr>
        <w:t>computers</w:t>
      </w:r>
      <w:r>
        <w:rPr>
          <w:spacing w:val="-4"/>
        </w:rPr>
        <w:t> </w:t>
      </w:r>
      <w:r>
        <w:rPr>
          <w:spacing w:val="-2"/>
        </w:rPr>
        <w:t>to</w:t>
      </w:r>
      <w:r>
        <w:rPr>
          <w:spacing w:val="-4"/>
        </w:rPr>
        <w:t> </w:t>
      </w:r>
      <w:r>
        <w:rPr>
          <w:spacing w:val="-2"/>
        </w:rPr>
        <w:t>tablet </w:t>
      </w:r>
      <w:r>
        <w:rPr/>
        <w:t>and</w:t>
      </w:r>
      <w:r>
        <w:rPr>
          <w:spacing w:val="-11"/>
        </w:rPr>
        <w:t> </w:t>
      </w:r>
      <w:r>
        <w:rPr/>
        <w:t>mobile</w:t>
      </w:r>
      <w:r>
        <w:rPr>
          <w:spacing w:val="-12"/>
        </w:rPr>
        <w:t> </w:t>
      </w:r>
      <w:r>
        <w:rPr/>
        <w:t>devices.</w:t>
      </w:r>
      <w:r>
        <w:rPr>
          <w:spacing w:val="-11"/>
        </w:rPr>
        <w:t> </w:t>
      </w:r>
      <w:r>
        <w:rPr/>
        <w:t>If</w:t>
      </w:r>
      <w:r>
        <w:rPr>
          <w:spacing w:val="-11"/>
        </w:rPr>
        <w:t> </w:t>
      </w:r>
      <w:r>
        <w:rPr/>
        <w:t>we</w:t>
      </w:r>
      <w:r>
        <w:rPr>
          <w:spacing w:val="-11"/>
        </w:rPr>
        <w:t> </w:t>
      </w:r>
      <w:r>
        <w:rPr/>
        <w:t>cannot</w:t>
      </w:r>
      <w:r>
        <w:rPr>
          <w:spacing w:val="-12"/>
        </w:rPr>
        <w:t> </w:t>
      </w:r>
      <w:r>
        <w:rPr/>
        <w:t>continue</w:t>
      </w:r>
      <w:r>
        <w:rPr>
          <w:spacing w:val="-12"/>
        </w:rPr>
        <w:t> </w:t>
      </w:r>
      <w:r>
        <w:rPr/>
        <w:t>adapting</w:t>
      </w:r>
      <w:r>
        <w:rPr>
          <w:spacing w:val="-11"/>
        </w:rPr>
        <w:t> </w:t>
      </w:r>
      <w:r>
        <w:rPr/>
        <w:t>our</w:t>
      </w:r>
      <w:r>
        <w:rPr>
          <w:spacing w:val="-11"/>
        </w:rPr>
        <w:t> </w:t>
      </w:r>
      <w:r>
        <w:rPr/>
        <w:t>products</w:t>
      </w:r>
      <w:r>
        <w:rPr>
          <w:spacing w:val="-11"/>
        </w:rPr>
        <w:t> </w:t>
      </w:r>
      <w:r>
        <w:rPr/>
        <w:t>to</w:t>
      </w:r>
      <w:r>
        <w:rPr>
          <w:spacing w:val="-11"/>
        </w:rPr>
        <w:t> </w:t>
      </w:r>
      <w:r>
        <w:rPr/>
        <w:t>tablet</w:t>
      </w:r>
      <w:r>
        <w:rPr>
          <w:spacing w:val="-11"/>
        </w:rPr>
        <w:t> </w:t>
      </w:r>
      <w:r>
        <w:rPr/>
        <w:t>and</w:t>
      </w:r>
      <w:r>
        <w:rPr>
          <w:spacing w:val="-11"/>
        </w:rPr>
        <w:t> </w:t>
      </w:r>
      <w:r>
        <w:rPr/>
        <w:t>mobile</w:t>
      </w:r>
      <w:r>
        <w:rPr>
          <w:spacing w:val="-12"/>
        </w:rPr>
        <w:t> </w:t>
      </w:r>
      <w:r>
        <w:rPr/>
        <w:t>devices,</w:t>
      </w:r>
      <w:r>
        <w:rPr>
          <w:spacing w:val="-11"/>
        </w:rPr>
        <w:t> </w:t>
      </w:r>
      <w:r>
        <w:rPr/>
        <w:t>or</w:t>
      </w:r>
      <w:r>
        <w:rPr>
          <w:spacing w:val="-11"/>
        </w:rPr>
        <w:t> </w:t>
      </w:r>
      <w:r>
        <w:rPr/>
        <w:t>if</w:t>
      </w:r>
      <w:r>
        <w:rPr>
          <w:spacing w:val="-11"/>
        </w:rPr>
        <w:t> </w:t>
      </w:r>
      <w:r>
        <w:rPr/>
        <w:t>our</w:t>
      </w:r>
      <w:r>
        <w:rPr>
          <w:spacing w:val="-11"/>
        </w:rPr>
        <w:t> </w:t>
      </w:r>
      <w:r>
        <w:rPr/>
        <w:t>competitors</w:t>
      </w:r>
      <w:r>
        <w:rPr>
          <w:spacing w:val="-11"/>
        </w:rPr>
        <w:t> </w:t>
      </w:r>
      <w:r>
        <w:rPr/>
        <w:t>can</w:t>
      </w:r>
      <w:r>
        <w:rPr>
          <w:spacing w:val="-11"/>
        </w:rPr>
        <w:t> </w:t>
      </w:r>
      <w:r>
        <w:rPr/>
        <w:t>adapt</w:t>
      </w:r>
      <w:r>
        <w:rPr>
          <w:spacing w:val="-12"/>
        </w:rPr>
        <w:t> </w:t>
      </w:r>
      <w:r>
        <w:rPr/>
        <w:t>their products more quickly than us, our business could be harmed. Releases of new devices or operating systems may make it more difficult for our products to perform or may require significant costs in order for us to adapt our solutions to such devices or operating systems. These potential costs and delays could harm our business.</w:t>
      </w:r>
    </w:p>
    <w:p>
      <w:pPr>
        <w:pStyle w:val="Heading3"/>
        <w:spacing w:before="185"/>
      </w:pPr>
      <w:r>
        <w:rPr/>
        <w:t>Our</w:t>
      </w:r>
      <w:r>
        <w:rPr>
          <w:spacing w:val="-5"/>
        </w:rPr>
        <w:t> </w:t>
      </w:r>
      <w:r>
        <w:rPr/>
        <w:t>competitive</w:t>
      </w:r>
      <w:r>
        <w:rPr>
          <w:spacing w:val="-3"/>
        </w:rPr>
        <w:t> </w:t>
      </w:r>
      <w:r>
        <w:rPr/>
        <w:t>position</w:t>
      </w:r>
      <w:r>
        <w:rPr>
          <w:spacing w:val="-1"/>
        </w:rPr>
        <w:t> </w:t>
      </w:r>
      <w:r>
        <w:rPr/>
        <w:t>and</w:t>
      </w:r>
      <w:r>
        <w:rPr>
          <w:spacing w:val="-3"/>
        </w:rPr>
        <w:t> </w:t>
      </w:r>
      <w:r>
        <w:rPr/>
        <w:t>results</w:t>
      </w:r>
      <w:r>
        <w:rPr>
          <w:spacing w:val="-1"/>
        </w:rPr>
        <w:t> </w:t>
      </w:r>
      <w:r>
        <w:rPr/>
        <w:t>of</w:t>
      </w:r>
      <w:r>
        <w:rPr>
          <w:spacing w:val="-2"/>
        </w:rPr>
        <w:t> </w:t>
      </w:r>
      <w:r>
        <w:rPr/>
        <w:t>operations</w:t>
      </w:r>
      <w:r>
        <w:rPr>
          <w:spacing w:val="-2"/>
        </w:rPr>
        <w:t> </w:t>
      </w:r>
      <w:r>
        <w:rPr/>
        <w:t>could</w:t>
      </w:r>
      <w:r>
        <w:rPr>
          <w:spacing w:val="-1"/>
        </w:rPr>
        <w:t> </w:t>
      </w:r>
      <w:r>
        <w:rPr/>
        <w:t>be</w:t>
      </w:r>
      <w:r>
        <w:rPr>
          <w:spacing w:val="-2"/>
        </w:rPr>
        <w:t> </w:t>
      </w:r>
      <w:r>
        <w:rPr/>
        <w:t>harmed</w:t>
      </w:r>
      <w:r>
        <w:rPr>
          <w:spacing w:val="-2"/>
        </w:rPr>
        <w:t> </w:t>
      </w:r>
      <w:r>
        <w:rPr/>
        <w:t>if</w:t>
      </w:r>
      <w:r>
        <w:rPr>
          <w:spacing w:val="-1"/>
        </w:rPr>
        <w:t> </w:t>
      </w:r>
      <w:r>
        <w:rPr/>
        <w:t>we</w:t>
      </w:r>
      <w:r>
        <w:rPr>
          <w:spacing w:val="-3"/>
        </w:rPr>
        <w:t> </w:t>
      </w:r>
      <w:r>
        <w:rPr/>
        <w:t>do</w:t>
      </w:r>
      <w:r>
        <w:rPr>
          <w:spacing w:val="-1"/>
        </w:rPr>
        <w:t> </w:t>
      </w:r>
      <w:r>
        <w:rPr/>
        <w:t>not</w:t>
      </w:r>
      <w:r>
        <w:rPr>
          <w:spacing w:val="-3"/>
        </w:rPr>
        <w:t> </w:t>
      </w:r>
      <w:r>
        <w:rPr/>
        <w:t>compete</w:t>
      </w:r>
      <w:r>
        <w:rPr>
          <w:spacing w:val="-2"/>
        </w:rPr>
        <w:t> effectively.</w:t>
      </w:r>
    </w:p>
    <w:p>
      <w:pPr>
        <w:pStyle w:val="BodyText"/>
        <w:spacing w:line="249" w:lineRule="auto" w:before="190"/>
        <w:ind w:left="210" w:right="247" w:firstLine="540"/>
        <w:jc w:val="both"/>
      </w:pPr>
      <w:r>
        <w:rPr/>
        <w:t>The markets for our products and services are characterized by intense competition, new industry standards, evolving distribution models, limited barriers to entry, disruptive technology developments, short product life cycles, customer price sensitivity</w:t>
      </w:r>
      <w:r>
        <w:rPr>
          <w:spacing w:val="-5"/>
        </w:rPr>
        <w:t> </w:t>
      </w:r>
      <w:r>
        <w:rPr/>
        <w:t>and</w:t>
      </w:r>
      <w:r>
        <w:rPr>
          <w:spacing w:val="-5"/>
        </w:rPr>
        <w:t> </w:t>
      </w:r>
      <w:r>
        <w:rPr/>
        <w:t>frequent</w:t>
      </w:r>
      <w:r>
        <w:rPr>
          <w:spacing w:val="-5"/>
        </w:rPr>
        <w:t> </w:t>
      </w:r>
      <w:r>
        <w:rPr/>
        <w:t>product</w:t>
      </w:r>
      <w:r>
        <w:rPr>
          <w:spacing w:val="-5"/>
        </w:rPr>
        <w:t> </w:t>
      </w:r>
      <w:r>
        <w:rPr/>
        <w:t>introductions</w:t>
      </w:r>
      <w:r>
        <w:rPr>
          <w:spacing w:val="-4"/>
        </w:rPr>
        <w:t> </w:t>
      </w:r>
      <w:r>
        <w:rPr/>
        <w:t>(including</w:t>
      </w:r>
      <w:r>
        <w:rPr>
          <w:spacing w:val="-5"/>
        </w:rPr>
        <w:t> </w:t>
      </w:r>
      <w:r>
        <w:rPr/>
        <w:t>alternatives</w:t>
      </w:r>
      <w:r>
        <w:rPr>
          <w:spacing w:val="-5"/>
        </w:rPr>
        <w:t> </w:t>
      </w:r>
      <w:r>
        <w:rPr/>
        <w:t>with</w:t>
      </w:r>
      <w:r>
        <w:rPr>
          <w:spacing w:val="-5"/>
        </w:rPr>
        <w:t> </w:t>
      </w:r>
      <w:r>
        <w:rPr/>
        <w:t>limited</w:t>
      </w:r>
      <w:r>
        <w:rPr>
          <w:spacing w:val="-5"/>
        </w:rPr>
        <w:t> </w:t>
      </w:r>
      <w:r>
        <w:rPr/>
        <w:t>functionality</w:t>
      </w:r>
      <w:r>
        <w:rPr>
          <w:spacing w:val="-5"/>
        </w:rPr>
        <w:t> </w:t>
      </w:r>
      <w:r>
        <w:rPr/>
        <w:t>available</w:t>
      </w:r>
      <w:r>
        <w:rPr>
          <w:spacing w:val="-5"/>
        </w:rPr>
        <w:t> </w:t>
      </w:r>
      <w:r>
        <w:rPr/>
        <w:t>at</w:t>
      </w:r>
      <w:r>
        <w:rPr>
          <w:spacing w:val="-5"/>
        </w:rPr>
        <w:t> </w:t>
      </w:r>
      <w:r>
        <w:rPr/>
        <w:t>lower</w:t>
      </w:r>
      <w:r>
        <w:rPr>
          <w:spacing w:val="-5"/>
        </w:rPr>
        <w:t> </w:t>
      </w:r>
      <w:r>
        <w:rPr/>
        <w:t>costs</w:t>
      </w:r>
      <w:r>
        <w:rPr>
          <w:spacing w:val="-5"/>
        </w:rPr>
        <w:t> </w:t>
      </w:r>
      <w:r>
        <w:rPr/>
        <w:t>or</w:t>
      </w:r>
      <w:r>
        <w:rPr>
          <w:spacing w:val="-5"/>
        </w:rPr>
        <w:t> </w:t>
      </w:r>
      <w:r>
        <w:rPr/>
        <w:t>free</w:t>
      </w:r>
      <w:r>
        <w:rPr>
          <w:spacing w:val="-5"/>
        </w:rPr>
        <w:t> </w:t>
      </w:r>
      <w:r>
        <w:rPr/>
        <w:t>of charge).</w:t>
      </w:r>
      <w:r>
        <w:rPr>
          <w:spacing w:val="-13"/>
        </w:rPr>
        <w:t> </w:t>
      </w:r>
      <w:r>
        <w:rPr/>
        <w:t>Any</w:t>
      </w:r>
      <w:r>
        <w:rPr>
          <w:spacing w:val="-12"/>
        </w:rPr>
        <w:t> </w:t>
      </w:r>
      <w:r>
        <w:rPr/>
        <w:t>of</w:t>
      </w:r>
      <w:r>
        <w:rPr>
          <w:spacing w:val="-13"/>
        </w:rPr>
        <w:t> </w:t>
      </w:r>
      <w:r>
        <w:rPr/>
        <w:t>these</w:t>
      </w:r>
      <w:r>
        <w:rPr>
          <w:spacing w:val="-12"/>
        </w:rPr>
        <w:t> </w:t>
      </w:r>
      <w:r>
        <w:rPr/>
        <w:t>factors</w:t>
      </w:r>
      <w:r>
        <w:rPr>
          <w:spacing w:val="-13"/>
        </w:rPr>
        <w:t> </w:t>
      </w:r>
      <w:r>
        <w:rPr/>
        <w:t>could</w:t>
      </w:r>
      <w:r>
        <w:rPr>
          <w:spacing w:val="-12"/>
        </w:rPr>
        <w:t> </w:t>
      </w:r>
      <w:r>
        <w:rPr/>
        <w:t>create</w:t>
      </w:r>
      <w:r>
        <w:rPr>
          <w:spacing w:val="-13"/>
        </w:rPr>
        <w:t> </w:t>
      </w:r>
      <w:r>
        <w:rPr/>
        <w:t>downward</w:t>
      </w:r>
      <w:r>
        <w:rPr>
          <w:spacing w:val="-12"/>
        </w:rPr>
        <w:t> </w:t>
      </w:r>
      <w:r>
        <w:rPr/>
        <w:t>pressure</w:t>
      </w:r>
      <w:r>
        <w:rPr>
          <w:spacing w:val="-13"/>
        </w:rPr>
        <w:t> </w:t>
      </w:r>
      <w:r>
        <w:rPr/>
        <w:t>on</w:t>
      </w:r>
      <w:r>
        <w:rPr>
          <w:spacing w:val="-12"/>
        </w:rPr>
        <w:t> </w:t>
      </w:r>
      <w:r>
        <w:rPr/>
        <w:t>pricing</w:t>
      </w:r>
      <w:r>
        <w:rPr>
          <w:spacing w:val="-13"/>
        </w:rPr>
        <w:t> </w:t>
      </w:r>
      <w:r>
        <w:rPr/>
        <w:t>and</w:t>
      </w:r>
      <w:r>
        <w:rPr>
          <w:spacing w:val="-12"/>
        </w:rPr>
        <w:t> </w:t>
      </w:r>
      <w:r>
        <w:rPr/>
        <w:t>gross</w:t>
      </w:r>
      <w:r>
        <w:rPr>
          <w:spacing w:val="-13"/>
        </w:rPr>
        <w:t> </w:t>
      </w:r>
      <w:r>
        <w:rPr/>
        <w:t>margins</w:t>
      </w:r>
      <w:r>
        <w:rPr>
          <w:spacing w:val="-12"/>
        </w:rPr>
        <w:t> </w:t>
      </w:r>
      <w:r>
        <w:rPr/>
        <w:t>and</w:t>
      </w:r>
      <w:r>
        <w:rPr>
          <w:spacing w:val="-13"/>
        </w:rPr>
        <w:t> </w:t>
      </w:r>
      <w:r>
        <w:rPr/>
        <w:t>could</w:t>
      </w:r>
      <w:r>
        <w:rPr>
          <w:spacing w:val="-12"/>
        </w:rPr>
        <w:t> </w:t>
      </w:r>
      <w:r>
        <w:rPr/>
        <w:t>adversely</w:t>
      </w:r>
      <w:r>
        <w:rPr>
          <w:spacing w:val="-13"/>
        </w:rPr>
        <w:t> </w:t>
      </w:r>
      <w:r>
        <w:rPr/>
        <w:t>affect</w:t>
      </w:r>
      <w:r>
        <w:rPr>
          <w:spacing w:val="-12"/>
        </w:rPr>
        <w:t> </w:t>
      </w:r>
      <w:r>
        <w:rPr/>
        <w:t>our</w:t>
      </w:r>
      <w:r>
        <w:rPr>
          <w:spacing w:val="-13"/>
        </w:rPr>
        <w:t> </w:t>
      </w:r>
      <w:r>
        <w:rPr/>
        <w:t>renewal and upsell and cross-sell rates, as well as our ability to attract new customers. Our future success will depend on our continued ability to enhance and integrate our existing products and services, introduce new products and services in a timely and cost- </w:t>
      </w:r>
      <w:r>
        <w:rPr>
          <w:spacing w:val="-2"/>
        </w:rPr>
        <w:t>effective</w:t>
      </w:r>
      <w:r>
        <w:rPr>
          <w:spacing w:val="-9"/>
        </w:rPr>
        <w:t> </w:t>
      </w:r>
      <w:r>
        <w:rPr>
          <w:spacing w:val="-2"/>
        </w:rPr>
        <w:t>manner,</w:t>
      </w:r>
      <w:r>
        <w:rPr>
          <w:spacing w:val="-7"/>
        </w:rPr>
        <w:t> </w:t>
      </w:r>
      <w:r>
        <w:rPr>
          <w:spacing w:val="-2"/>
        </w:rPr>
        <w:t>meet</w:t>
      </w:r>
      <w:r>
        <w:rPr>
          <w:spacing w:val="-7"/>
        </w:rPr>
        <w:t> </w:t>
      </w:r>
      <w:r>
        <w:rPr>
          <w:spacing w:val="-2"/>
        </w:rPr>
        <w:t>changing</w:t>
      </w:r>
      <w:r>
        <w:rPr>
          <w:spacing w:val="-7"/>
        </w:rPr>
        <w:t> </w:t>
      </w:r>
      <w:r>
        <w:rPr>
          <w:spacing w:val="-2"/>
        </w:rPr>
        <w:t>customer</w:t>
      </w:r>
      <w:r>
        <w:rPr>
          <w:spacing w:val="-7"/>
        </w:rPr>
        <w:t> </w:t>
      </w:r>
      <w:r>
        <w:rPr>
          <w:spacing w:val="-2"/>
        </w:rPr>
        <w:t>expectations</w:t>
      </w:r>
      <w:r>
        <w:rPr>
          <w:spacing w:val="-7"/>
        </w:rPr>
        <w:t> </w:t>
      </w:r>
      <w:r>
        <w:rPr>
          <w:spacing w:val="-2"/>
        </w:rPr>
        <w:t>and</w:t>
      </w:r>
      <w:r>
        <w:rPr>
          <w:spacing w:val="-7"/>
        </w:rPr>
        <w:t> </w:t>
      </w:r>
      <w:r>
        <w:rPr>
          <w:spacing w:val="-2"/>
        </w:rPr>
        <w:t>needs,</w:t>
      </w:r>
      <w:r>
        <w:rPr>
          <w:spacing w:val="-7"/>
        </w:rPr>
        <w:t> </w:t>
      </w:r>
      <w:r>
        <w:rPr>
          <w:spacing w:val="-2"/>
        </w:rPr>
        <w:t>extend</w:t>
      </w:r>
      <w:r>
        <w:rPr>
          <w:spacing w:val="-7"/>
        </w:rPr>
        <w:t> </w:t>
      </w:r>
      <w:r>
        <w:rPr>
          <w:spacing w:val="-2"/>
        </w:rPr>
        <w:t>our</w:t>
      </w:r>
      <w:r>
        <w:rPr>
          <w:spacing w:val="-7"/>
        </w:rPr>
        <w:t> </w:t>
      </w:r>
      <w:r>
        <w:rPr>
          <w:spacing w:val="-2"/>
        </w:rPr>
        <w:t>core</w:t>
      </w:r>
      <w:r>
        <w:rPr>
          <w:spacing w:val="-7"/>
        </w:rPr>
        <w:t> </w:t>
      </w:r>
      <w:r>
        <w:rPr>
          <w:spacing w:val="-2"/>
        </w:rPr>
        <w:t>technology</w:t>
      </w:r>
      <w:r>
        <w:rPr>
          <w:spacing w:val="-7"/>
        </w:rPr>
        <w:t> </w:t>
      </w:r>
      <w:r>
        <w:rPr>
          <w:spacing w:val="-2"/>
        </w:rPr>
        <w:t>into</w:t>
      </w:r>
      <w:r>
        <w:rPr>
          <w:spacing w:val="-7"/>
        </w:rPr>
        <w:t> </w:t>
      </w:r>
      <w:r>
        <w:rPr>
          <w:spacing w:val="-2"/>
        </w:rPr>
        <w:t>new</w:t>
      </w:r>
      <w:r>
        <w:rPr>
          <w:spacing w:val="-7"/>
        </w:rPr>
        <w:t> </w:t>
      </w:r>
      <w:r>
        <w:rPr>
          <w:spacing w:val="-2"/>
        </w:rPr>
        <w:t>applications,</w:t>
      </w:r>
      <w:r>
        <w:rPr>
          <w:spacing w:val="-7"/>
        </w:rPr>
        <w:t> </w:t>
      </w:r>
      <w:r>
        <w:rPr>
          <w:spacing w:val="-2"/>
        </w:rPr>
        <w:t>and</w:t>
      </w:r>
      <w:r>
        <w:rPr>
          <w:spacing w:val="-7"/>
        </w:rPr>
        <w:t> </w:t>
      </w:r>
      <w:r>
        <w:rPr>
          <w:spacing w:val="-2"/>
        </w:rPr>
        <w:t>anticipate </w:t>
      </w:r>
      <w:r>
        <w:rPr/>
        <w:t>emerging standards, business models, software delivery methods and other technological developments. Furthermore, some of our</w:t>
      </w:r>
      <w:r>
        <w:rPr>
          <w:spacing w:val="-7"/>
        </w:rPr>
        <w:t> </w:t>
      </w:r>
      <w:r>
        <w:rPr/>
        <w:t>competitors</w:t>
      </w:r>
      <w:r>
        <w:rPr>
          <w:spacing w:val="-7"/>
        </w:rPr>
        <w:t> </w:t>
      </w:r>
      <w:r>
        <w:rPr/>
        <w:t>and</w:t>
      </w:r>
      <w:r>
        <w:rPr>
          <w:spacing w:val="-7"/>
        </w:rPr>
        <w:t> </w:t>
      </w:r>
      <w:r>
        <w:rPr/>
        <w:t>potential</w:t>
      </w:r>
      <w:r>
        <w:rPr>
          <w:spacing w:val="-8"/>
        </w:rPr>
        <w:t> </w:t>
      </w:r>
      <w:r>
        <w:rPr/>
        <w:t>competitors</w:t>
      </w:r>
      <w:r>
        <w:rPr>
          <w:spacing w:val="-7"/>
        </w:rPr>
        <w:t> </w:t>
      </w:r>
      <w:r>
        <w:rPr/>
        <w:t>enjoy</w:t>
      </w:r>
      <w:r>
        <w:rPr>
          <w:spacing w:val="-7"/>
        </w:rPr>
        <w:t> </w:t>
      </w:r>
      <w:r>
        <w:rPr/>
        <w:t>competitive</w:t>
      </w:r>
      <w:r>
        <w:rPr>
          <w:spacing w:val="-8"/>
        </w:rPr>
        <w:t> </w:t>
      </w:r>
      <w:r>
        <w:rPr/>
        <w:t>advantages</w:t>
      </w:r>
      <w:r>
        <w:rPr>
          <w:spacing w:val="-7"/>
        </w:rPr>
        <w:t> </w:t>
      </w:r>
      <w:r>
        <w:rPr/>
        <w:t>such</w:t>
      </w:r>
      <w:r>
        <w:rPr>
          <w:spacing w:val="-7"/>
        </w:rPr>
        <w:t> </w:t>
      </w:r>
      <w:r>
        <w:rPr/>
        <w:t>as</w:t>
      </w:r>
      <w:r>
        <w:rPr>
          <w:spacing w:val="-7"/>
        </w:rPr>
        <w:t> </w:t>
      </w:r>
      <w:r>
        <w:rPr/>
        <w:t>greater</w:t>
      </w:r>
      <w:r>
        <w:rPr>
          <w:spacing w:val="-7"/>
        </w:rPr>
        <w:t> </w:t>
      </w:r>
      <w:r>
        <w:rPr/>
        <w:t>financial,</w:t>
      </w:r>
      <w:r>
        <w:rPr>
          <w:spacing w:val="-7"/>
        </w:rPr>
        <w:t> </w:t>
      </w:r>
      <w:r>
        <w:rPr/>
        <w:t>technical,</w:t>
      </w:r>
      <w:r>
        <w:rPr>
          <w:spacing w:val="-7"/>
        </w:rPr>
        <w:t> </w:t>
      </w:r>
      <w:r>
        <w:rPr/>
        <w:t>sales,</w:t>
      </w:r>
      <w:r>
        <w:rPr>
          <w:spacing w:val="-7"/>
        </w:rPr>
        <w:t> </w:t>
      </w:r>
      <w:r>
        <w:rPr/>
        <w:t>marketing</w:t>
      </w:r>
      <w:r>
        <w:rPr>
          <w:spacing w:val="-8"/>
        </w:rPr>
        <w:t> </w:t>
      </w:r>
      <w:r>
        <w:rPr/>
        <w:t>and </w:t>
      </w:r>
      <w:r>
        <w:rPr>
          <w:spacing w:val="-2"/>
        </w:rPr>
        <w:t>other</w:t>
      </w:r>
      <w:r>
        <w:rPr>
          <w:spacing w:val="-11"/>
        </w:rPr>
        <w:t> </w:t>
      </w:r>
      <w:r>
        <w:rPr>
          <w:spacing w:val="-2"/>
        </w:rPr>
        <w:t>resources,</w:t>
      </w:r>
      <w:r>
        <w:rPr>
          <w:spacing w:val="-6"/>
        </w:rPr>
        <w:t> </w:t>
      </w:r>
      <w:r>
        <w:rPr>
          <w:spacing w:val="-2"/>
        </w:rPr>
        <w:t>broader</w:t>
      </w:r>
      <w:r>
        <w:rPr>
          <w:spacing w:val="-6"/>
        </w:rPr>
        <w:t> </w:t>
      </w:r>
      <w:r>
        <w:rPr>
          <w:spacing w:val="-2"/>
        </w:rPr>
        <w:t>brand</w:t>
      </w:r>
      <w:r>
        <w:rPr>
          <w:spacing w:val="-6"/>
        </w:rPr>
        <w:t> </w:t>
      </w:r>
      <w:r>
        <w:rPr>
          <w:spacing w:val="-2"/>
        </w:rPr>
        <w:t>awareness,</w:t>
      </w:r>
      <w:r>
        <w:rPr>
          <w:spacing w:val="-6"/>
        </w:rPr>
        <w:t> </w:t>
      </w:r>
      <w:r>
        <w:rPr>
          <w:spacing w:val="-2"/>
        </w:rPr>
        <w:t>and</w:t>
      </w:r>
      <w:r>
        <w:rPr>
          <w:spacing w:val="-6"/>
        </w:rPr>
        <w:t> </w:t>
      </w:r>
      <w:r>
        <w:rPr>
          <w:spacing w:val="-2"/>
        </w:rPr>
        <w:t>access</w:t>
      </w:r>
      <w:r>
        <w:rPr>
          <w:spacing w:val="-6"/>
        </w:rPr>
        <w:t> </w:t>
      </w:r>
      <w:r>
        <w:rPr>
          <w:spacing w:val="-2"/>
        </w:rPr>
        <w:t>to</w:t>
      </w:r>
      <w:r>
        <w:rPr>
          <w:spacing w:val="-6"/>
        </w:rPr>
        <w:t> </w:t>
      </w:r>
      <w:r>
        <w:rPr>
          <w:spacing w:val="-2"/>
        </w:rPr>
        <w:t>larger</w:t>
      </w:r>
      <w:r>
        <w:rPr>
          <w:spacing w:val="-6"/>
        </w:rPr>
        <w:t> </w:t>
      </w:r>
      <w:r>
        <w:rPr>
          <w:spacing w:val="-2"/>
        </w:rPr>
        <w:t>customer</w:t>
      </w:r>
      <w:r>
        <w:rPr>
          <w:spacing w:val="-6"/>
        </w:rPr>
        <w:t> </w:t>
      </w:r>
      <w:r>
        <w:rPr>
          <w:spacing w:val="-2"/>
        </w:rPr>
        <w:t>bases.</w:t>
      </w:r>
      <w:r>
        <w:rPr>
          <w:spacing w:val="-11"/>
        </w:rPr>
        <w:t> </w:t>
      </w:r>
      <w:r>
        <w:rPr>
          <w:spacing w:val="-2"/>
        </w:rPr>
        <w:t>As</w:t>
      </w:r>
      <w:r>
        <w:rPr>
          <w:spacing w:val="-6"/>
        </w:rPr>
        <w:t> </w:t>
      </w:r>
      <w:r>
        <w:rPr>
          <w:spacing w:val="-2"/>
        </w:rPr>
        <w:t>a</w:t>
      </w:r>
      <w:r>
        <w:rPr>
          <w:spacing w:val="-6"/>
        </w:rPr>
        <w:t> </w:t>
      </w:r>
      <w:r>
        <w:rPr>
          <w:spacing w:val="-2"/>
        </w:rPr>
        <w:t>result</w:t>
      </w:r>
      <w:r>
        <w:rPr>
          <w:spacing w:val="-6"/>
        </w:rPr>
        <w:t> </w:t>
      </w:r>
      <w:r>
        <w:rPr>
          <w:spacing w:val="-2"/>
        </w:rPr>
        <w:t>of</w:t>
      </w:r>
      <w:r>
        <w:rPr>
          <w:spacing w:val="-6"/>
        </w:rPr>
        <w:t> </w:t>
      </w:r>
      <w:r>
        <w:rPr>
          <w:spacing w:val="-2"/>
        </w:rPr>
        <w:t>these</w:t>
      </w:r>
      <w:r>
        <w:rPr>
          <w:spacing w:val="-6"/>
        </w:rPr>
        <w:t> </w:t>
      </w:r>
      <w:r>
        <w:rPr>
          <w:spacing w:val="-2"/>
        </w:rPr>
        <w:t>advantages,</w:t>
      </w:r>
      <w:r>
        <w:rPr>
          <w:spacing w:val="-6"/>
        </w:rPr>
        <w:t> </w:t>
      </w:r>
      <w:r>
        <w:rPr>
          <w:spacing w:val="-2"/>
        </w:rPr>
        <w:t>potential</w:t>
      </w:r>
      <w:r>
        <w:rPr>
          <w:spacing w:val="-6"/>
        </w:rPr>
        <w:t> </w:t>
      </w:r>
      <w:r>
        <w:rPr>
          <w:spacing w:val="-2"/>
        </w:rPr>
        <w:t>and</w:t>
      </w:r>
      <w:r>
        <w:rPr>
          <w:spacing w:val="-6"/>
        </w:rPr>
        <w:t> </w:t>
      </w:r>
      <w:r>
        <w:rPr>
          <w:spacing w:val="-2"/>
        </w:rPr>
        <w:t>current </w:t>
      </w:r>
      <w:r>
        <w:rPr/>
        <w:t>customers</w:t>
      </w:r>
      <w:r>
        <w:rPr>
          <w:spacing w:val="-9"/>
        </w:rPr>
        <w:t> </w:t>
      </w:r>
      <w:r>
        <w:rPr/>
        <w:t>might</w:t>
      </w:r>
      <w:r>
        <w:rPr>
          <w:spacing w:val="-10"/>
        </w:rPr>
        <w:t> </w:t>
      </w:r>
      <w:r>
        <w:rPr/>
        <w:t>select</w:t>
      </w:r>
      <w:r>
        <w:rPr>
          <w:spacing w:val="-10"/>
        </w:rPr>
        <w:t> </w:t>
      </w:r>
      <w:r>
        <w:rPr/>
        <w:t>the</w:t>
      </w:r>
      <w:r>
        <w:rPr>
          <w:spacing w:val="-10"/>
        </w:rPr>
        <w:t> </w:t>
      </w:r>
      <w:r>
        <w:rPr/>
        <w:t>products</w:t>
      </w:r>
      <w:r>
        <w:rPr>
          <w:spacing w:val="-10"/>
        </w:rPr>
        <w:t> </w:t>
      </w:r>
      <w:r>
        <w:rPr/>
        <w:t>and</w:t>
      </w:r>
      <w:r>
        <w:rPr>
          <w:spacing w:val="-10"/>
        </w:rPr>
        <w:t> </w:t>
      </w:r>
      <w:r>
        <w:rPr/>
        <w:t>services</w:t>
      </w:r>
      <w:r>
        <w:rPr>
          <w:spacing w:val="-9"/>
        </w:rPr>
        <w:t> </w:t>
      </w:r>
      <w:r>
        <w:rPr/>
        <w:t>of</w:t>
      </w:r>
      <w:r>
        <w:rPr>
          <w:spacing w:val="-10"/>
        </w:rPr>
        <w:t> </w:t>
      </w:r>
      <w:r>
        <w:rPr/>
        <w:t>our</w:t>
      </w:r>
      <w:r>
        <w:rPr>
          <w:spacing w:val="-10"/>
        </w:rPr>
        <w:t> </w:t>
      </w:r>
      <w:r>
        <w:rPr/>
        <w:t>competitors,</w:t>
      </w:r>
      <w:r>
        <w:rPr>
          <w:spacing w:val="-10"/>
        </w:rPr>
        <w:t> </w:t>
      </w:r>
      <w:r>
        <w:rPr/>
        <w:t>causing</w:t>
      </w:r>
      <w:r>
        <w:rPr>
          <w:spacing w:val="-10"/>
        </w:rPr>
        <w:t> </w:t>
      </w:r>
      <w:r>
        <w:rPr/>
        <w:t>a</w:t>
      </w:r>
      <w:r>
        <w:rPr>
          <w:spacing w:val="-10"/>
        </w:rPr>
        <w:t> </w:t>
      </w:r>
      <w:r>
        <w:rPr/>
        <w:t>loss</w:t>
      </w:r>
      <w:r>
        <w:rPr>
          <w:spacing w:val="-10"/>
        </w:rPr>
        <w:t> </w:t>
      </w:r>
      <w:r>
        <w:rPr/>
        <w:t>of</w:t>
      </w:r>
      <w:r>
        <w:rPr>
          <w:spacing w:val="-10"/>
        </w:rPr>
        <w:t> </w:t>
      </w:r>
      <w:r>
        <w:rPr/>
        <w:t>our</w:t>
      </w:r>
      <w:r>
        <w:rPr>
          <w:spacing w:val="-10"/>
        </w:rPr>
        <w:t> </w:t>
      </w:r>
      <w:r>
        <w:rPr/>
        <w:t>market</w:t>
      </w:r>
      <w:r>
        <w:rPr>
          <w:spacing w:val="-10"/>
        </w:rPr>
        <w:t> </w:t>
      </w:r>
      <w:r>
        <w:rPr/>
        <w:t>share.</w:t>
      </w:r>
      <w:r>
        <w:rPr>
          <w:spacing w:val="-10"/>
        </w:rPr>
        <w:t> </w:t>
      </w:r>
      <w:r>
        <w:rPr/>
        <w:t>In</w:t>
      </w:r>
      <w:r>
        <w:rPr>
          <w:spacing w:val="-10"/>
        </w:rPr>
        <w:t> </w:t>
      </w:r>
      <w:r>
        <w:rPr/>
        <w:t>addition,</w:t>
      </w:r>
      <w:r>
        <w:rPr>
          <w:spacing w:val="-10"/>
        </w:rPr>
        <w:t> </w:t>
      </w:r>
      <w:r>
        <w:rPr/>
        <w:t>consolidation has occurred among some of our competitors. Further consolidations in these markets may subject us to increased competitive pressures and may harm our results of operations.</w:t>
      </w:r>
    </w:p>
    <w:p>
      <w:pPr>
        <w:spacing w:line="249" w:lineRule="auto" w:before="190"/>
        <w:ind w:left="210" w:right="247" w:firstLine="540"/>
        <w:jc w:val="both"/>
        <w:rPr>
          <w:i/>
          <w:sz w:val="20"/>
        </w:rPr>
      </w:pPr>
      <w:hyperlink w:history="true" w:anchor="_bookmark2">
        <w:r>
          <w:rPr>
            <w:i/>
            <w:sz w:val="20"/>
          </w:rPr>
          <w:t>For</w:t>
        </w:r>
        <w:r>
          <w:rPr>
            <w:i/>
            <w:spacing w:val="-11"/>
            <w:sz w:val="20"/>
          </w:rPr>
          <w:t> </w:t>
        </w:r>
        <w:r>
          <w:rPr>
            <w:i/>
            <w:sz w:val="20"/>
          </w:rPr>
          <w:t>additional</w:t>
        </w:r>
        <w:r>
          <w:rPr>
            <w:i/>
            <w:spacing w:val="-12"/>
            <w:sz w:val="20"/>
          </w:rPr>
          <w:t> </w:t>
        </w:r>
        <w:r>
          <w:rPr>
            <w:i/>
            <w:sz w:val="20"/>
          </w:rPr>
          <w:t>information</w:t>
        </w:r>
        <w:r>
          <w:rPr>
            <w:i/>
            <w:spacing w:val="-11"/>
            <w:sz w:val="20"/>
          </w:rPr>
          <w:t> </w:t>
        </w:r>
        <w:r>
          <w:rPr>
            <w:i/>
            <w:sz w:val="20"/>
          </w:rPr>
          <w:t>regarding</w:t>
        </w:r>
        <w:r>
          <w:rPr>
            <w:i/>
            <w:spacing w:val="-11"/>
            <w:sz w:val="20"/>
          </w:rPr>
          <w:t> </w:t>
        </w:r>
        <w:r>
          <w:rPr>
            <w:i/>
            <w:sz w:val="20"/>
          </w:rPr>
          <w:t>our</w:t>
        </w:r>
        <w:r>
          <w:rPr>
            <w:i/>
            <w:spacing w:val="-11"/>
            <w:sz w:val="20"/>
          </w:rPr>
          <w:t> </w:t>
        </w:r>
        <w:r>
          <w:rPr>
            <w:i/>
            <w:sz w:val="20"/>
          </w:rPr>
          <w:t>competition</w:t>
        </w:r>
        <w:r>
          <w:rPr>
            <w:i/>
            <w:spacing w:val="-12"/>
            <w:sz w:val="20"/>
          </w:rPr>
          <w:t> </w:t>
        </w:r>
        <w:r>
          <w:rPr>
            <w:i/>
            <w:sz w:val="20"/>
          </w:rPr>
          <w:t>and</w:t>
        </w:r>
        <w:r>
          <w:rPr>
            <w:i/>
            <w:spacing w:val="-11"/>
            <w:sz w:val="20"/>
          </w:rPr>
          <w:t> </w:t>
        </w:r>
        <w:r>
          <w:rPr>
            <w:i/>
            <w:sz w:val="20"/>
          </w:rPr>
          <w:t>the</w:t>
        </w:r>
        <w:r>
          <w:rPr>
            <w:i/>
            <w:spacing w:val="-11"/>
            <w:sz w:val="20"/>
          </w:rPr>
          <w:t> </w:t>
        </w:r>
        <w:r>
          <w:rPr>
            <w:i/>
            <w:sz w:val="20"/>
          </w:rPr>
          <w:t>risks</w:t>
        </w:r>
        <w:r>
          <w:rPr>
            <w:i/>
            <w:spacing w:val="-11"/>
            <w:sz w:val="20"/>
          </w:rPr>
          <w:t> </w:t>
        </w:r>
        <w:r>
          <w:rPr>
            <w:i/>
            <w:sz w:val="20"/>
          </w:rPr>
          <w:t>arising</w:t>
        </w:r>
        <w:r>
          <w:rPr>
            <w:i/>
            <w:spacing w:val="-11"/>
            <w:sz w:val="20"/>
          </w:rPr>
          <w:t> </w:t>
        </w:r>
        <w:r>
          <w:rPr>
            <w:i/>
            <w:sz w:val="20"/>
          </w:rPr>
          <w:t>out</w:t>
        </w:r>
        <w:r>
          <w:rPr>
            <w:i/>
            <w:spacing w:val="-12"/>
            <w:sz w:val="20"/>
          </w:rPr>
          <w:t> </w:t>
        </w:r>
        <w:r>
          <w:rPr>
            <w:i/>
            <w:sz w:val="20"/>
          </w:rPr>
          <w:t>of</w:t>
        </w:r>
        <w:r>
          <w:rPr>
            <w:i/>
            <w:spacing w:val="-11"/>
            <w:sz w:val="20"/>
          </w:rPr>
          <w:t> </w:t>
        </w:r>
        <w:r>
          <w:rPr>
            <w:i/>
            <w:sz w:val="20"/>
          </w:rPr>
          <w:t>the</w:t>
        </w:r>
        <w:r>
          <w:rPr>
            <w:i/>
            <w:spacing w:val="-11"/>
            <w:sz w:val="20"/>
          </w:rPr>
          <w:t> </w:t>
        </w:r>
        <w:r>
          <w:rPr>
            <w:i/>
            <w:sz w:val="20"/>
          </w:rPr>
          <w:t>competitive</w:t>
        </w:r>
        <w:r>
          <w:rPr>
            <w:i/>
            <w:spacing w:val="-12"/>
            <w:sz w:val="20"/>
          </w:rPr>
          <w:t> </w:t>
        </w:r>
        <w:r>
          <w:rPr>
            <w:i/>
            <w:sz w:val="20"/>
          </w:rPr>
          <w:t>environment</w:t>
        </w:r>
        <w:r>
          <w:rPr>
            <w:i/>
            <w:spacing w:val="-11"/>
            <w:sz w:val="20"/>
          </w:rPr>
          <w:t> </w:t>
        </w:r>
        <w:r>
          <w:rPr>
            <w:i/>
            <w:sz w:val="20"/>
          </w:rPr>
          <w:t>in</w:t>
        </w:r>
        <w:r>
          <w:rPr>
            <w:i/>
            <w:spacing w:val="-11"/>
            <w:sz w:val="20"/>
          </w:rPr>
          <w:t> </w:t>
        </w:r>
        <w:r>
          <w:rPr>
            <w:i/>
            <w:sz w:val="20"/>
          </w:rPr>
          <w:t>which</w:t>
        </w:r>
        <w:r>
          <w:rPr>
            <w:i/>
            <w:spacing w:val="-11"/>
            <w:sz w:val="20"/>
          </w:rPr>
          <w:t> </w:t>
        </w:r>
        <w:r>
          <w:rPr>
            <w:i/>
            <w:sz w:val="20"/>
          </w:rPr>
          <w:t>we</w:t>
        </w:r>
      </w:hyperlink>
      <w:r>
        <w:rPr>
          <w:i/>
          <w:sz w:val="20"/>
        </w:rPr>
        <w:t> </w:t>
      </w:r>
      <w:hyperlink w:history="true" w:anchor="_bookmark2">
        <w:r>
          <w:rPr>
            <w:i/>
            <w:sz w:val="20"/>
          </w:rPr>
          <w:t>operate, see the section entitled “Competition” contained in Part I. Item 1 of this report.</w:t>
        </w:r>
      </w:hyperlink>
    </w:p>
    <w:p>
      <w:pPr>
        <w:pStyle w:val="Heading3"/>
        <w:spacing w:before="182"/>
      </w:pPr>
      <w:r>
        <w:rPr/>
        <w:t>Introduction</w:t>
      </w:r>
      <w:r>
        <w:rPr>
          <w:spacing w:val="-3"/>
        </w:rPr>
        <w:t> </w:t>
      </w:r>
      <w:r>
        <w:rPr/>
        <w:t>of</w:t>
      </w:r>
      <w:r>
        <w:rPr>
          <w:spacing w:val="-2"/>
        </w:rPr>
        <w:t> </w:t>
      </w:r>
      <w:r>
        <w:rPr/>
        <w:t>new</w:t>
      </w:r>
      <w:r>
        <w:rPr>
          <w:spacing w:val="-3"/>
        </w:rPr>
        <w:t> </w:t>
      </w:r>
      <w:r>
        <w:rPr/>
        <w:t>technology</w:t>
      </w:r>
      <w:r>
        <w:rPr>
          <w:spacing w:val="-3"/>
        </w:rPr>
        <w:t> </w:t>
      </w:r>
      <w:r>
        <w:rPr/>
        <w:t>could</w:t>
      </w:r>
      <w:r>
        <w:rPr>
          <w:spacing w:val="-3"/>
        </w:rPr>
        <w:t> </w:t>
      </w:r>
      <w:r>
        <w:rPr/>
        <w:t>harm</w:t>
      </w:r>
      <w:r>
        <w:rPr>
          <w:spacing w:val="-3"/>
        </w:rPr>
        <w:t> </w:t>
      </w:r>
      <w:r>
        <w:rPr/>
        <w:t>our</w:t>
      </w:r>
      <w:r>
        <w:rPr>
          <w:spacing w:val="-2"/>
        </w:rPr>
        <w:t> </w:t>
      </w:r>
      <w:r>
        <w:rPr/>
        <w:t>business</w:t>
      </w:r>
      <w:r>
        <w:rPr>
          <w:spacing w:val="-2"/>
        </w:rPr>
        <w:t> </w:t>
      </w:r>
      <w:r>
        <w:rPr/>
        <w:t>and</w:t>
      </w:r>
      <w:r>
        <w:rPr>
          <w:spacing w:val="-3"/>
        </w:rPr>
        <w:t> </w:t>
      </w:r>
      <w:r>
        <w:rPr/>
        <w:t>results</w:t>
      </w:r>
      <w:r>
        <w:rPr>
          <w:spacing w:val="-2"/>
        </w:rPr>
        <w:t> </w:t>
      </w:r>
      <w:r>
        <w:rPr/>
        <w:t>of</w:t>
      </w:r>
      <w:r>
        <w:rPr>
          <w:spacing w:val="-2"/>
        </w:rPr>
        <w:t> operations.</w:t>
      </w:r>
    </w:p>
    <w:p>
      <w:pPr>
        <w:pStyle w:val="BodyText"/>
        <w:spacing w:line="249" w:lineRule="auto" w:before="190"/>
        <w:ind w:left="210" w:right="247" w:firstLine="540"/>
        <w:jc w:val="both"/>
      </w:pPr>
      <w:r>
        <w:rPr/>
        <w:t>The</w:t>
      </w:r>
      <w:r>
        <w:rPr>
          <w:spacing w:val="-3"/>
        </w:rPr>
        <w:t> </w:t>
      </w:r>
      <w:r>
        <w:rPr/>
        <w:t>expectations</w:t>
      </w:r>
      <w:r>
        <w:rPr>
          <w:spacing w:val="-3"/>
        </w:rPr>
        <w:t> </w:t>
      </w:r>
      <w:r>
        <w:rPr/>
        <w:t>and</w:t>
      </w:r>
      <w:r>
        <w:rPr>
          <w:spacing w:val="-3"/>
        </w:rPr>
        <w:t> </w:t>
      </w:r>
      <w:r>
        <w:rPr/>
        <w:t>needs</w:t>
      </w:r>
      <w:r>
        <w:rPr>
          <w:spacing w:val="-3"/>
        </w:rPr>
        <w:t> </w:t>
      </w:r>
      <w:r>
        <w:rPr/>
        <w:t>of</w:t>
      </w:r>
      <w:r>
        <w:rPr>
          <w:spacing w:val="-3"/>
        </w:rPr>
        <w:t> </w:t>
      </w:r>
      <w:r>
        <w:rPr/>
        <w:t>technology</w:t>
      </w:r>
      <w:r>
        <w:rPr>
          <w:spacing w:val="-3"/>
        </w:rPr>
        <w:t> </w:t>
      </w:r>
      <w:r>
        <w:rPr/>
        <w:t>consumers</w:t>
      </w:r>
      <w:r>
        <w:rPr>
          <w:spacing w:val="-3"/>
        </w:rPr>
        <w:t> </w:t>
      </w:r>
      <w:r>
        <w:rPr/>
        <w:t>are</w:t>
      </w:r>
      <w:r>
        <w:rPr>
          <w:spacing w:val="-3"/>
        </w:rPr>
        <w:t> </w:t>
      </w:r>
      <w:r>
        <w:rPr/>
        <w:t>constantly</w:t>
      </w:r>
      <w:r>
        <w:rPr>
          <w:spacing w:val="-3"/>
        </w:rPr>
        <w:t> </w:t>
      </w:r>
      <w:r>
        <w:rPr/>
        <w:t>evolving.</w:t>
      </w:r>
      <w:r>
        <w:rPr>
          <w:spacing w:val="40"/>
        </w:rPr>
        <w:t> </w:t>
      </w:r>
      <w:r>
        <w:rPr/>
        <w:t>Our</w:t>
      </w:r>
      <w:r>
        <w:rPr>
          <w:spacing w:val="-3"/>
        </w:rPr>
        <w:t> </w:t>
      </w:r>
      <w:r>
        <w:rPr/>
        <w:t>future</w:t>
      </w:r>
      <w:r>
        <w:rPr>
          <w:spacing w:val="-4"/>
        </w:rPr>
        <w:t> </w:t>
      </w:r>
      <w:r>
        <w:rPr/>
        <w:t>success</w:t>
      </w:r>
      <w:r>
        <w:rPr>
          <w:spacing w:val="-3"/>
        </w:rPr>
        <w:t> </w:t>
      </w:r>
      <w:r>
        <w:rPr/>
        <w:t>depends</w:t>
      </w:r>
      <w:r>
        <w:rPr>
          <w:spacing w:val="-3"/>
        </w:rPr>
        <w:t> </w:t>
      </w:r>
      <w:r>
        <w:rPr/>
        <w:t>on</w:t>
      </w:r>
      <w:r>
        <w:rPr>
          <w:spacing w:val="-3"/>
        </w:rPr>
        <w:t> </w:t>
      </w:r>
      <w:r>
        <w:rPr/>
        <w:t>a</w:t>
      </w:r>
      <w:r>
        <w:rPr>
          <w:spacing w:val="-3"/>
        </w:rPr>
        <w:t> </w:t>
      </w:r>
      <w:r>
        <w:rPr/>
        <w:t>variety</w:t>
      </w:r>
      <w:r>
        <w:rPr>
          <w:spacing w:val="-3"/>
        </w:rPr>
        <w:t> </w:t>
      </w:r>
      <w:r>
        <w:rPr/>
        <w:t>of factors, including our continued ability to innovate, introduce new products and services efficiently, enhance and integrate our products and services in a timely and cost-effective manner, extend our core technology into new applications, and anticipate </w:t>
      </w:r>
      <w:r>
        <w:rPr>
          <w:spacing w:val="-2"/>
        </w:rPr>
        <w:t>emerging</w:t>
      </w:r>
      <w:r>
        <w:rPr>
          <w:spacing w:val="-6"/>
        </w:rPr>
        <w:t> </w:t>
      </w:r>
      <w:r>
        <w:rPr>
          <w:spacing w:val="-2"/>
        </w:rPr>
        <w:t>standards,</w:t>
      </w:r>
      <w:r>
        <w:rPr>
          <w:spacing w:val="-6"/>
        </w:rPr>
        <w:t> </w:t>
      </w:r>
      <w:r>
        <w:rPr>
          <w:spacing w:val="-2"/>
        </w:rPr>
        <w:t>business</w:t>
      </w:r>
      <w:r>
        <w:rPr>
          <w:spacing w:val="-6"/>
        </w:rPr>
        <w:t> </w:t>
      </w:r>
      <w:r>
        <w:rPr>
          <w:spacing w:val="-2"/>
        </w:rPr>
        <w:t>models,</w:t>
      </w:r>
      <w:r>
        <w:rPr>
          <w:spacing w:val="-6"/>
        </w:rPr>
        <w:t> </w:t>
      </w:r>
      <w:r>
        <w:rPr>
          <w:spacing w:val="-2"/>
        </w:rPr>
        <w:t>software</w:t>
      </w:r>
      <w:r>
        <w:rPr>
          <w:spacing w:val="-6"/>
        </w:rPr>
        <w:t> </w:t>
      </w:r>
      <w:r>
        <w:rPr>
          <w:spacing w:val="-2"/>
        </w:rPr>
        <w:t>delivery</w:t>
      </w:r>
      <w:r>
        <w:rPr>
          <w:spacing w:val="-6"/>
        </w:rPr>
        <w:t> </w:t>
      </w:r>
      <w:r>
        <w:rPr>
          <w:spacing w:val="-2"/>
        </w:rPr>
        <w:t>methods</w:t>
      </w:r>
      <w:r>
        <w:rPr>
          <w:spacing w:val="-6"/>
        </w:rPr>
        <w:t> </w:t>
      </w:r>
      <w:r>
        <w:rPr>
          <w:spacing w:val="-2"/>
        </w:rPr>
        <w:t>and</w:t>
      </w:r>
      <w:r>
        <w:rPr>
          <w:spacing w:val="-6"/>
        </w:rPr>
        <w:t> </w:t>
      </w:r>
      <w:r>
        <w:rPr>
          <w:spacing w:val="-2"/>
        </w:rPr>
        <w:t>other</w:t>
      </w:r>
      <w:r>
        <w:rPr>
          <w:spacing w:val="-6"/>
        </w:rPr>
        <w:t> </w:t>
      </w:r>
      <w:r>
        <w:rPr>
          <w:spacing w:val="-2"/>
        </w:rPr>
        <w:t>technological</w:t>
      </w:r>
      <w:r>
        <w:rPr>
          <w:spacing w:val="-6"/>
        </w:rPr>
        <w:t> </w:t>
      </w:r>
      <w:r>
        <w:rPr>
          <w:spacing w:val="-2"/>
        </w:rPr>
        <w:t>developments.</w:t>
      </w:r>
      <w:r>
        <w:rPr>
          <w:spacing w:val="-6"/>
        </w:rPr>
        <w:t> </w:t>
      </w:r>
      <w:r>
        <w:rPr>
          <w:spacing w:val="-2"/>
        </w:rPr>
        <w:t>Integration</w:t>
      </w:r>
      <w:r>
        <w:rPr>
          <w:spacing w:val="-6"/>
        </w:rPr>
        <w:t> </w:t>
      </w:r>
      <w:r>
        <w:rPr>
          <w:spacing w:val="-2"/>
        </w:rPr>
        <w:t>of</w:t>
      </w:r>
      <w:r>
        <w:rPr>
          <w:spacing w:val="-6"/>
        </w:rPr>
        <w:t> </w:t>
      </w:r>
      <w:r>
        <w:rPr>
          <w:spacing w:val="-2"/>
        </w:rPr>
        <w:t>our</w:t>
      </w:r>
      <w:r>
        <w:rPr>
          <w:spacing w:val="-6"/>
        </w:rPr>
        <w:t> </w:t>
      </w:r>
      <w:r>
        <w:rPr>
          <w:spacing w:val="-2"/>
        </w:rPr>
        <w:t>products </w:t>
      </w:r>
      <w:r>
        <w:rPr/>
        <w:t>and</w:t>
      </w:r>
      <w:r>
        <w:rPr>
          <w:spacing w:val="-6"/>
        </w:rPr>
        <w:t> </w:t>
      </w:r>
      <w:r>
        <w:rPr/>
        <w:t>services</w:t>
      </w:r>
      <w:r>
        <w:rPr>
          <w:spacing w:val="-3"/>
        </w:rPr>
        <w:t> </w:t>
      </w:r>
      <w:r>
        <w:rPr/>
        <w:t>with</w:t>
      </w:r>
      <w:r>
        <w:rPr>
          <w:spacing w:val="-3"/>
        </w:rPr>
        <w:t> </w:t>
      </w:r>
      <w:r>
        <w:rPr/>
        <w:t>one</w:t>
      </w:r>
      <w:r>
        <w:rPr>
          <w:spacing w:val="-3"/>
        </w:rPr>
        <w:t> </w:t>
      </w:r>
      <w:r>
        <w:rPr/>
        <w:t>another</w:t>
      </w:r>
      <w:r>
        <w:rPr>
          <w:spacing w:val="-3"/>
        </w:rPr>
        <w:t> </w:t>
      </w:r>
      <w:r>
        <w:rPr/>
        <w:t>and</w:t>
      </w:r>
      <w:r>
        <w:rPr>
          <w:spacing w:val="-3"/>
        </w:rPr>
        <w:t> </w:t>
      </w:r>
      <w:r>
        <w:rPr/>
        <w:t>other</w:t>
      </w:r>
      <w:r>
        <w:rPr>
          <w:spacing w:val="-3"/>
        </w:rPr>
        <w:t> </w:t>
      </w:r>
      <w:r>
        <w:rPr/>
        <w:t>companies’</w:t>
      </w:r>
      <w:r>
        <w:rPr>
          <w:spacing w:val="-13"/>
        </w:rPr>
        <w:t> </w:t>
      </w:r>
      <w:r>
        <w:rPr/>
        <w:t>offerings</w:t>
      </w:r>
      <w:r>
        <w:rPr>
          <w:spacing w:val="-2"/>
        </w:rPr>
        <w:t> </w:t>
      </w:r>
      <w:r>
        <w:rPr/>
        <w:t>creates</w:t>
      </w:r>
      <w:r>
        <w:rPr>
          <w:spacing w:val="-3"/>
        </w:rPr>
        <w:t> </w:t>
      </w:r>
      <w:r>
        <w:rPr/>
        <w:t>an</w:t>
      </w:r>
      <w:r>
        <w:rPr>
          <w:spacing w:val="-3"/>
        </w:rPr>
        <w:t> </w:t>
      </w:r>
      <w:r>
        <w:rPr/>
        <w:t>increasingly</w:t>
      </w:r>
      <w:r>
        <w:rPr>
          <w:spacing w:val="-3"/>
        </w:rPr>
        <w:t> </w:t>
      </w:r>
      <w:r>
        <w:rPr/>
        <w:t>complex</w:t>
      </w:r>
      <w:r>
        <w:rPr>
          <w:spacing w:val="-3"/>
        </w:rPr>
        <w:t> </w:t>
      </w:r>
      <w:r>
        <w:rPr/>
        <w:t>ecosystem</w:t>
      </w:r>
      <w:r>
        <w:rPr>
          <w:spacing w:val="-3"/>
        </w:rPr>
        <w:t> </w:t>
      </w:r>
      <w:r>
        <w:rPr/>
        <w:t>that</w:t>
      </w:r>
      <w:r>
        <w:rPr>
          <w:spacing w:val="-3"/>
        </w:rPr>
        <w:t> </w:t>
      </w:r>
      <w:r>
        <w:rPr/>
        <w:t>is</w:t>
      </w:r>
      <w:r>
        <w:rPr>
          <w:spacing w:val="-3"/>
        </w:rPr>
        <w:t> </w:t>
      </w:r>
      <w:r>
        <w:rPr/>
        <w:t>partly</w:t>
      </w:r>
      <w:r>
        <w:rPr>
          <w:spacing w:val="-3"/>
        </w:rPr>
        <w:t> </w:t>
      </w:r>
      <w:r>
        <w:rPr/>
        <w:t>reliant</w:t>
      </w:r>
      <w:r>
        <w:rPr>
          <w:spacing w:val="-3"/>
        </w:rPr>
        <w:t> </w:t>
      </w:r>
      <w:r>
        <w:rPr/>
        <w:t>on third</w:t>
      </w:r>
      <w:r>
        <w:rPr>
          <w:spacing w:val="-4"/>
        </w:rPr>
        <w:t> </w:t>
      </w:r>
      <w:r>
        <w:rPr/>
        <w:t>parties.</w:t>
      </w:r>
      <w:r>
        <w:rPr>
          <w:spacing w:val="-4"/>
        </w:rPr>
        <w:t> </w:t>
      </w:r>
      <w:r>
        <w:rPr/>
        <w:t>If</w:t>
      </w:r>
      <w:r>
        <w:rPr>
          <w:spacing w:val="-4"/>
        </w:rPr>
        <w:t> </w:t>
      </w:r>
      <w:r>
        <w:rPr/>
        <w:t>any</w:t>
      </w:r>
      <w:r>
        <w:rPr>
          <w:spacing w:val="-4"/>
        </w:rPr>
        <w:t> </w:t>
      </w:r>
      <w:r>
        <w:rPr/>
        <w:t>disruptive</w:t>
      </w:r>
      <w:r>
        <w:rPr>
          <w:spacing w:val="-4"/>
        </w:rPr>
        <w:t> </w:t>
      </w:r>
      <w:r>
        <w:rPr/>
        <w:t>technology,</w:t>
      </w:r>
      <w:r>
        <w:rPr>
          <w:spacing w:val="-4"/>
        </w:rPr>
        <w:t> </w:t>
      </w:r>
      <w:r>
        <w:rPr/>
        <w:t>or</w:t>
      </w:r>
      <w:r>
        <w:rPr>
          <w:spacing w:val="-4"/>
        </w:rPr>
        <w:t> </w:t>
      </w:r>
      <w:r>
        <w:rPr/>
        <w:t>competing</w:t>
      </w:r>
      <w:r>
        <w:rPr>
          <w:spacing w:val="-4"/>
        </w:rPr>
        <w:t> </w:t>
      </w:r>
      <w:r>
        <w:rPr/>
        <w:t>products,</w:t>
      </w:r>
      <w:r>
        <w:rPr>
          <w:spacing w:val="-4"/>
        </w:rPr>
        <w:t> </w:t>
      </w:r>
      <w:r>
        <w:rPr/>
        <w:t>services</w:t>
      </w:r>
      <w:r>
        <w:rPr>
          <w:spacing w:val="-4"/>
        </w:rPr>
        <w:t> </w:t>
      </w:r>
      <w:r>
        <w:rPr/>
        <w:t>or</w:t>
      </w:r>
      <w:r>
        <w:rPr>
          <w:spacing w:val="-4"/>
        </w:rPr>
        <w:t> </w:t>
      </w:r>
      <w:r>
        <w:rPr/>
        <w:t>operating</w:t>
      </w:r>
      <w:r>
        <w:rPr>
          <w:spacing w:val="-4"/>
        </w:rPr>
        <w:t> </w:t>
      </w:r>
      <w:r>
        <w:rPr/>
        <w:t>systems</w:t>
      </w:r>
      <w:r>
        <w:rPr>
          <w:spacing w:val="-4"/>
        </w:rPr>
        <w:t> </w:t>
      </w:r>
      <w:r>
        <w:rPr/>
        <w:t>that</w:t>
      </w:r>
      <w:r>
        <w:rPr>
          <w:spacing w:val="-4"/>
        </w:rPr>
        <w:t> </w:t>
      </w:r>
      <w:r>
        <w:rPr/>
        <w:t>are</w:t>
      </w:r>
      <w:r>
        <w:rPr>
          <w:spacing w:val="-4"/>
        </w:rPr>
        <w:t> </w:t>
      </w:r>
      <w:r>
        <w:rPr/>
        <w:t>not</w:t>
      </w:r>
      <w:r>
        <w:rPr>
          <w:spacing w:val="-4"/>
        </w:rPr>
        <w:t> </w:t>
      </w:r>
      <w:r>
        <w:rPr/>
        <w:t>compatible</w:t>
      </w:r>
      <w:r>
        <w:rPr>
          <w:spacing w:val="-4"/>
        </w:rPr>
        <w:t> </w:t>
      </w:r>
      <w:r>
        <w:rPr/>
        <w:t>with</w:t>
      </w:r>
      <w:r>
        <w:rPr>
          <w:spacing w:val="-4"/>
        </w:rPr>
        <w:t> </w:t>
      </w:r>
      <w:r>
        <w:rPr/>
        <w:t>our solutions, achieve widespread acceptance, our operating results could suffer and our business could be harmed.</w:t>
      </w:r>
    </w:p>
    <w:p>
      <w:pPr>
        <w:pStyle w:val="BodyText"/>
        <w:spacing w:before="15"/>
      </w:pPr>
    </w:p>
    <w:p>
      <w:pPr>
        <w:pStyle w:val="BodyText"/>
        <w:spacing w:line="249" w:lineRule="auto" w:before="1"/>
        <w:ind w:left="210" w:right="247" w:firstLine="540"/>
        <w:jc w:val="both"/>
      </w:pPr>
      <w:r>
        <w:rPr/>
        <w:t>The</w:t>
      </w:r>
      <w:r>
        <w:rPr>
          <w:spacing w:val="-4"/>
        </w:rPr>
        <w:t> </w:t>
      </w:r>
      <w:r>
        <w:rPr/>
        <w:t>introduction</w:t>
      </w:r>
      <w:r>
        <w:rPr>
          <w:spacing w:val="-4"/>
        </w:rPr>
        <w:t> </w:t>
      </w:r>
      <w:r>
        <w:rPr/>
        <w:t>of</w:t>
      </w:r>
      <w:r>
        <w:rPr>
          <w:spacing w:val="-4"/>
        </w:rPr>
        <w:t> </w:t>
      </w:r>
      <w:r>
        <w:rPr/>
        <w:t>certain</w:t>
      </w:r>
      <w:r>
        <w:rPr>
          <w:spacing w:val="-4"/>
        </w:rPr>
        <w:t> </w:t>
      </w:r>
      <w:r>
        <w:rPr/>
        <w:t>technologies</w:t>
      </w:r>
      <w:r>
        <w:rPr>
          <w:spacing w:val="-4"/>
        </w:rPr>
        <w:t> </w:t>
      </w:r>
      <w:r>
        <w:rPr/>
        <w:t>may</w:t>
      </w:r>
      <w:r>
        <w:rPr>
          <w:spacing w:val="-4"/>
        </w:rPr>
        <w:t> </w:t>
      </w:r>
      <w:r>
        <w:rPr/>
        <w:t>reduce</w:t>
      </w:r>
      <w:r>
        <w:rPr>
          <w:spacing w:val="-4"/>
        </w:rPr>
        <w:t> </w:t>
      </w:r>
      <w:r>
        <w:rPr/>
        <w:t>the</w:t>
      </w:r>
      <w:r>
        <w:rPr>
          <w:spacing w:val="-4"/>
        </w:rPr>
        <w:t> </w:t>
      </w:r>
      <w:r>
        <w:rPr/>
        <w:t>effectiveness</w:t>
      </w:r>
      <w:r>
        <w:rPr>
          <w:spacing w:val="-3"/>
        </w:rPr>
        <w:t> </w:t>
      </w:r>
      <w:r>
        <w:rPr/>
        <w:t>of</w:t>
      </w:r>
      <w:r>
        <w:rPr>
          <w:spacing w:val="-4"/>
        </w:rPr>
        <w:t> </w:t>
      </w:r>
      <w:r>
        <w:rPr/>
        <w:t>our</w:t>
      </w:r>
      <w:r>
        <w:rPr>
          <w:spacing w:val="-4"/>
        </w:rPr>
        <w:t> </w:t>
      </w:r>
      <w:r>
        <w:rPr/>
        <w:t>products.</w:t>
      </w:r>
      <w:r>
        <w:rPr>
          <w:spacing w:val="-4"/>
        </w:rPr>
        <w:t> </w:t>
      </w:r>
      <w:r>
        <w:rPr/>
        <w:t>For</w:t>
      </w:r>
      <w:r>
        <w:rPr>
          <w:spacing w:val="-4"/>
        </w:rPr>
        <w:t> </w:t>
      </w:r>
      <w:r>
        <w:rPr/>
        <w:t>example,</w:t>
      </w:r>
      <w:r>
        <w:rPr>
          <w:spacing w:val="-4"/>
        </w:rPr>
        <w:t> </w:t>
      </w:r>
      <w:r>
        <w:rPr/>
        <w:t>some</w:t>
      </w:r>
      <w:r>
        <w:rPr>
          <w:spacing w:val="-4"/>
        </w:rPr>
        <w:t> </w:t>
      </w:r>
      <w:r>
        <w:rPr/>
        <w:t>of</w:t>
      </w:r>
      <w:r>
        <w:rPr>
          <w:spacing w:val="-4"/>
        </w:rPr>
        <w:t> </w:t>
      </w:r>
      <w:r>
        <w:rPr/>
        <w:t>our</w:t>
      </w:r>
      <w:r>
        <w:rPr>
          <w:spacing w:val="-4"/>
        </w:rPr>
        <w:t> </w:t>
      </w:r>
      <w:r>
        <w:rPr/>
        <w:t>products rely</w:t>
      </w:r>
      <w:r>
        <w:rPr>
          <w:spacing w:val="-4"/>
        </w:rPr>
        <w:t> </w:t>
      </w:r>
      <w:r>
        <w:rPr/>
        <w:t>on</w:t>
      </w:r>
      <w:r>
        <w:rPr>
          <w:spacing w:val="-4"/>
        </w:rPr>
        <w:t> </w:t>
      </w:r>
      <w:r>
        <w:rPr/>
        <w:t>third-party</w:t>
      </w:r>
      <w:r>
        <w:rPr>
          <w:spacing w:val="-4"/>
        </w:rPr>
        <w:t> </w:t>
      </w:r>
      <w:r>
        <w:rPr/>
        <w:t>cookies,</w:t>
      </w:r>
      <w:r>
        <w:rPr>
          <w:spacing w:val="-4"/>
        </w:rPr>
        <w:t> </w:t>
      </w:r>
      <w:r>
        <w:rPr/>
        <w:t>which</w:t>
      </w:r>
      <w:r>
        <w:rPr>
          <w:spacing w:val="-4"/>
        </w:rPr>
        <w:t> </w:t>
      </w:r>
      <w:r>
        <w:rPr/>
        <w:t>are</w:t>
      </w:r>
      <w:r>
        <w:rPr>
          <w:spacing w:val="-4"/>
        </w:rPr>
        <w:t> </w:t>
      </w:r>
      <w:r>
        <w:rPr/>
        <w:t>placed</w:t>
      </w:r>
      <w:r>
        <w:rPr>
          <w:spacing w:val="-4"/>
        </w:rPr>
        <w:t> </w:t>
      </w:r>
      <w:r>
        <w:rPr/>
        <w:t>on</w:t>
      </w:r>
      <w:r>
        <w:rPr>
          <w:spacing w:val="-4"/>
        </w:rPr>
        <w:t> </w:t>
      </w:r>
      <w:r>
        <w:rPr/>
        <w:t>individual</w:t>
      </w:r>
      <w:r>
        <w:rPr>
          <w:spacing w:val="-5"/>
        </w:rPr>
        <w:t> </w:t>
      </w:r>
      <w:r>
        <w:rPr/>
        <w:t>browsers</w:t>
      </w:r>
      <w:r>
        <w:rPr>
          <w:spacing w:val="-4"/>
        </w:rPr>
        <w:t> </w:t>
      </w:r>
      <w:r>
        <w:rPr/>
        <w:t>when</w:t>
      </w:r>
      <w:r>
        <w:rPr>
          <w:spacing w:val="-4"/>
        </w:rPr>
        <w:t> </w:t>
      </w:r>
      <w:r>
        <w:rPr/>
        <w:t>consumers</w:t>
      </w:r>
      <w:r>
        <w:rPr>
          <w:spacing w:val="-4"/>
        </w:rPr>
        <w:t> </w:t>
      </w:r>
      <w:r>
        <w:rPr/>
        <w:t>visit</w:t>
      </w:r>
      <w:r>
        <w:rPr>
          <w:spacing w:val="-5"/>
        </w:rPr>
        <w:t> </w:t>
      </w:r>
      <w:r>
        <w:rPr/>
        <w:t>websites</w:t>
      </w:r>
      <w:r>
        <w:rPr>
          <w:spacing w:val="-4"/>
        </w:rPr>
        <w:t> </w:t>
      </w:r>
      <w:r>
        <w:rPr/>
        <w:t>that</w:t>
      </w:r>
      <w:r>
        <w:rPr>
          <w:spacing w:val="-4"/>
        </w:rPr>
        <w:t> </w:t>
      </w:r>
      <w:r>
        <w:rPr/>
        <w:t>contain</w:t>
      </w:r>
      <w:r>
        <w:rPr>
          <w:spacing w:val="-5"/>
        </w:rPr>
        <w:t> </w:t>
      </w:r>
      <w:r>
        <w:rPr/>
        <w:t>advertisements. We</w:t>
      </w:r>
      <w:r>
        <w:rPr>
          <w:spacing w:val="-8"/>
        </w:rPr>
        <w:t> </w:t>
      </w:r>
      <w:r>
        <w:rPr/>
        <w:t>use</w:t>
      </w:r>
      <w:r>
        <w:rPr>
          <w:spacing w:val="-8"/>
        </w:rPr>
        <w:t> </w:t>
      </w:r>
      <w:r>
        <w:rPr/>
        <w:t>these</w:t>
      </w:r>
      <w:r>
        <w:rPr>
          <w:spacing w:val="-8"/>
        </w:rPr>
        <w:t> </w:t>
      </w:r>
      <w:r>
        <w:rPr/>
        <w:t>cookies</w:t>
      </w:r>
      <w:r>
        <w:rPr>
          <w:spacing w:val="-8"/>
        </w:rPr>
        <w:t> </w:t>
      </w:r>
      <w:r>
        <w:rPr/>
        <w:t>to</w:t>
      </w:r>
      <w:r>
        <w:rPr>
          <w:spacing w:val="-8"/>
        </w:rPr>
        <w:t> </w:t>
      </w:r>
      <w:r>
        <w:rPr/>
        <w:t>help</w:t>
      </w:r>
      <w:r>
        <w:rPr>
          <w:spacing w:val="-8"/>
        </w:rPr>
        <w:t> </w:t>
      </w:r>
      <w:r>
        <w:rPr/>
        <w:t>our</w:t>
      </w:r>
      <w:r>
        <w:rPr>
          <w:spacing w:val="-8"/>
        </w:rPr>
        <w:t> </w:t>
      </w:r>
      <w:r>
        <w:rPr/>
        <w:t>customers</w:t>
      </w:r>
      <w:r>
        <w:rPr>
          <w:spacing w:val="-8"/>
        </w:rPr>
        <w:t> </w:t>
      </w:r>
      <w:r>
        <w:rPr/>
        <w:t>more</w:t>
      </w:r>
      <w:r>
        <w:rPr>
          <w:spacing w:val="-8"/>
        </w:rPr>
        <w:t> </w:t>
      </w:r>
      <w:r>
        <w:rPr/>
        <w:t>effectively</w:t>
      </w:r>
      <w:r>
        <w:rPr>
          <w:spacing w:val="-8"/>
        </w:rPr>
        <w:t> </w:t>
      </w:r>
      <w:r>
        <w:rPr/>
        <w:t>advertise,</w:t>
      </w:r>
      <w:r>
        <w:rPr>
          <w:spacing w:val="-8"/>
        </w:rPr>
        <w:t> </w:t>
      </w:r>
      <w:r>
        <w:rPr/>
        <w:t>gauge</w:t>
      </w:r>
      <w:r>
        <w:rPr>
          <w:spacing w:val="-8"/>
        </w:rPr>
        <w:t> </w:t>
      </w:r>
      <w:r>
        <w:rPr/>
        <w:t>the</w:t>
      </w:r>
      <w:r>
        <w:rPr>
          <w:spacing w:val="-8"/>
        </w:rPr>
        <w:t> </w:t>
      </w:r>
      <w:r>
        <w:rPr/>
        <w:t>performance</w:t>
      </w:r>
      <w:r>
        <w:rPr>
          <w:spacing w:val="-8"/>
        </w:rPr>
        <w:t> </w:t>
      </w:r>
      <w:r>
        <w:rPr/>
        <w:t>of</w:t>
      </w:r>
      <w:r>
        <w:rPr>
          <w:spacing w:val="-8"/>
        </w:rPr>
        <w:t> </w:t>
      </w:r>
      <w:r>
        <w:rPr/>
        <w:t>their</w:t>
      </w:r>
      <w:r>
        <w:rPr>
          <w:spacing w:val="-8"/>
        </w:rPr>
        <w:t> </w:t>
      </w:r>
      <w:r>
        <w:rPr/>
        <w:t>advertisements,</w:t>
      </w:r>
      <w:r>
        <w:rPr>
          <w:spacing w:val="-8"/>
        </w:rPr>
        <w:t> </w:t>
      </w:r>
      <w:r>
        <w:rPr/>
        <w:t>and</w:t>
      </w:r>
      <w:r>
        <w:rPr>
          <w:spacing w:val="-8"/>
        </w:rPr>
        <w:t> </w:t>
      </w:r>
      <w:r>
        <w:rPr/>
        <w:t>detect and prevent fraudulent activity. Consumers can block or delete cookies through their browsers or “ad-blocking” software or applications.</w:t>
      </w:r>
      <w:r>
        <w:rPr>
          <w:spacing w:val="-13"/>
        </w:rPr>
        <w:t> </w:t>
      </w:r>
      <w:r>
        <w:rPr/>
        <w:t>The</w:t>
      </w:r>
      <w:r>
        <w:rPr>
          <w:spacing w:val="-12"/>
        </w:rPr>
        <w:t> </w:t>
      </w:r>
      <w:r>
        <w:rPr/>
        <w:t>most</w:t>
      </w:r>
      <w:r>
        <w:rPr>
          <w:spacing w:val="-13"/>
        </w:rPr>
        <w:t> </w:t>
      </w:r>
      <w:r>
        <w:rPr/>
        <w:t>common</w:t>
      </w:r>
      <w:r>
        <w:rPr>
          <w:spacing w:val="-12"/>
        </w:rPr>
        <w:t> </w:t>
      </w:r>
      <w:r>
        <w:rPr/>
        <w:t>Internet</w:t>
      </w:r>
      <w:r>
        <w:rPr>
          <w:spacing w:val="-13"/>
        </w:rPr>
        <w:t> </w:t>
      </w:r>
      <w:r>
        <w:rPr/>
        <w:t>browsers</w:t>
      </w:r>
      <w:r>
        <w:rPr>
          <w:spacing w:val="-12"/>
        </w:rPr>
        <w:t> </w:t>
      </w:r>
      <w:r>
        <w:rPr/>
        <w:t>allow</w:t>
      </w:r>
      <w:r>
        <w:rPr>
          <w:spacing w:val="-13"/>
        </w:rPr>
        <w:t> </w:t>
      </w:r>
      <w:r>
        <w:rPr/>
        <w:t>consumers</w:t>
      </w:r>
      <w:r>
        <w:rPr>
          <w:spacing w:val="-12"/>
        </w:rPr>
        <w:t> </w:t>
      </w:r>
      <w:r>
        <w:rPr/>
        <w:t>to</w:t>
      </w:r>
      <w:r>
        <w:rPr>
          <w:spacing w:val="-13"/>
        </w:rPr>
        <w:t> </w:t>
      </w:r>
      <w:r>
        <w:rPr/>
        <w:t>modify</w:t>
      </w:r>
      <w:r>
        <w:rPr>
          <w:spacing w:val="-12"/>
        </w:rPr>
        <w:t> </w:t>
      </w:r>
      <w:r>
        <w:rPr/>
        <w:t>their</w:t>
      </w:r>
      <w:r>
        <w:rPr>
          <w:spacing w:val="-13"/>
        </w:rPr>
        <w:t> </w:t>
      </w:r>
      <w:r>
        <w:rPr/>
        <w:t>browser</w:t>
      </w:r>
      <w:r>
        <w:rPr>
          <w:spacing w:val="-12"/>
        </w:rPr>
        <w:t> </w:t>
      </w:r>
      <w:r>
        <w:rPr/>
        <w:t>settings</w:t>
      </w:r>
      <w:r>
        <w:rPr>
          <w:spacing w:val="-13"/>
        </w:rPr>
        <w:t> </w:t>
      </w:r>
      <w:r>
        <w:rPr/>
        <w:t>to</w:t>
      </w:r>
      <w:r>
        <w:rPr>
          <w:spacing w:val="-12"/>
        </w:rPr>
        <w:t> </w:t>
      </w:r>
      <w:r>
        <w:rPr/>
        <w:t>prevent</w:t>
      </w:r>
      <w:r>
        <w:rPr>
          <w:spacing w:val="-13"/>
        </w:rPr>
        <w:t> </w:t>
      </w:r>
      <w:r>
        <w:rPr/>
        <w:t>cookies</w:t>
      </w:r>
      <w:r>
        <w:rPr>
          <w:spacing w:val="-12"/>
        </w:rPr>
        <w:t> </w:t>
      </w:r>
      <w:r>
        <w:rPr/>
        <w:t>from</w:t>
      </w:r>
      <w:r>
        <w:rPr>
          <w:spacing w:val="-13"/>
        </w:rPr>
        <w:t> </w:t>
      </w:r>
      <w:r>
        <w:rPr/>
        <w:t>being accepted</w:t>
      </w:r>
      <w:r>
        <w:rPr>
          <w:spacing w:val="-2"/>
        </w:rPr>
        <w:t> </w:t>
      </w:r>
      <w:r>
        <w:rPr/>
        <w:t>by</w:t>
      </w:r>
      <w:r>
        <w:rPr>
          <w:spacing w:val="-1"/>
        </w:rPr>
        <w:t> </w:t>
      </w:r>
      <w:r>
        <w:rPr/>
        <w:t>their</w:t>
      </w:r>
      <w:r>
        <w:rPr>
          <w:spacing w:val="-1"/>
        </w:rPr>
        <w:t> </w:t>
      </w:r>
      <w:r>
        <w:rPr/>
        <w:t>browsers,</w:t>
      </w:r>
      <w:r>
        <w:rPr>
          <w:spacing w:val="-2"/>
        </w:rPr>
        <w:t> </w:t>
      </w:r>
      <w:r>
        <w:rPr/>
        <w:t>or</w:t>
      </w:r>
      <w:r>
        <w:rPr>
          <w:spacing w:val="-1"/>
        </w:rPr>
        <w:t> </w:t>
      </w:r>
      <w:r>
        <w:rPr/>
        <w:t>are</w:t>
      </w:r>
      <w:r>
        <w:rPr>
          <w:spacing w:val="-1"/>
        </w:rPr>
        <w:t> </w:t>
      </w:r>
      <w:r>
        <w:rPr/>
        <w:t>set</w:t>
      </w:r>
      <w:r>
        <w:rPr>
          <w:spacing w:val="-2"/>
        </w:rPr>
        <w:t> </w:t>
      </w:r>
      <w:r>
        <w:rPr/>
        <w:t>to</w:t>
      </w:r>
      <w:r>
        <w:rPr>
          <w:spacing w:val="-1"/>
        </w:rPr>
        <w:t> </w:t>
      </w:r>
      <w:r>
        <w:rPr/>
        <w:t>block</w:t>
      </w:r>
      <w:r>
        <w:rPr>
          <w:spacing w:val="-2"/>
        </w:rPr>
        <w:t> </w:t>
      </w:r>
      <w:r>
        <w:rPr/>
        <w:t>third-party</w:t>
      </w:r>
      <w:r>
        <w:rPr>
          <w:spacing w:val="-1"/>
        </w:rPr>
        <w:t> </w:t>
      </w:r>
      <w:r>
        <w:rPr/>
        <w:t>cookies</w:t>
      </w:r>
      <w:r>
        <w:rPr>
          <w:spacing w:val="-1"/>
        </w:rPr>
        <w:t> </w:t>
      </w:r>
      <w:r>
        <w:rPr/>
        <w:t>by</w:t>
      </w:r>
      <w:r>
        <w:rPr>
          <w:spacing w:val="-1"/>
        </w:rPr>
        <w:t> </w:t>
      </w:r>
      <w:r>
        <w:rPr/>
        <w:t>default.</w:t>
      </w:r>
      <w:r>
        <w:rPr>
          <w:spacing w:val="-1"/>
        </w:rPr>
        <w:t> </w:t>
      </w:r>
      <w:r>
        <w:rPr/>
        <w:t>Increased</w:t>
      </w:r>
      <w:r>
        <w:rPr>
          <w:spacing w:val="-2"/>
        </w:rPr>
        <w:t> </w:t>
      </w:r>
      <w:r>
        <w:rPr/>
        <w:t>use</w:t>
      </w:r>
      <w:r>
        <w:rPr>
          <w:spacing w:val="-2"/>
        </w:rPr>
        <w:t> </w:t>
      </w:r>
      <w:r>
        <w:rPr/>
        <w:t>of</w:t>
      </w:r>
      <w:r>
        <w:rPr>
          <w:spacing w:val="-1"/>
        </w:rPr>
        <w:t> </w:t>
      </w:r>
      <w:r>
        <w:rPr/>
        <w:t>methods,</w:t>
      </w:r>
      <w:r>
        <w:rPr>
          <w:spacing w:val="-1"/>
        </w:rPr>
        <w:t> </w:t>
      </w:r>
      <w:r>
        <w:rPr/>
        <w:t>software</w:t>
      </w:r>
      <w:r>
        <w:rPr>
          <w:spacing w:val="-2"/>
        </w:rPr>
        <w:t> </w:t>
      </w:r>
      <w:r>
        <w:rPr/>
        <w:t>or</w:t>
      </w:r>
      <w:r>
        <w:rPr>
          <w:spacing w:val="-1"/>
        </w:rPr>
        <w:t> </w:t>
      </w:r>
      <w:r>
        <w:rPr/>
        <w:t>applications that block cookies could harm our business.</w:t>
      </w:r>
    </w:p>
    <w:p>
      <w:pPr>
        <w:spacing w:after="0" w:line="249" w:lineRule="auto"/>
        <w:jc w:val="both"/>
        <w:sectPr>
          <w:headerReference w:type="default" r:id="rId24"/>
          <w:footerReference w:type="default" r:id="rId25"/>
          <w:pgSz w:w="12240" w:h="15840"/>
          <w:pgMar w:header="210" w:footer="579" w:top="420" w:bottom="760" w:left="780" w:right="740"/>
        </w:sectPr>
      </w:pPr>
    </w:p>
    <w:p>
      <w:pPr>
        <w:pStyle w:val="BodyText"/>
      </w:pPr>
    </w:p>
    <w:p>
      <w:pPr>
        <w:pStyle w:val="BodyText"/>
      </w:pPr>
    </w:p>
    <w:p>
      <w:pPr>
        <w:pStyle w:val="BodyText"/>
        <w:spacing w:before="110"/>
      </w:pPr>
    </w:p>
    <w:p>
      <w:pPr>
        <w:pStyle w:val="Heading3"/>
      </w:pPr>
      <w:r>
        <w:rPr/>
        <w:t>Some</w:t>
      </w:r>
      <w:r>
        <w:rPr>
          <w:spacing w:val="-5"/>
        </w:rPr>
        <w:t> </w:t>
      </w:r>
      <w:r>
        <w:rPr/>
        <w:t>of</w:t>
      </w:r>
      <w:r>
        <w:rPr>
          <w:spacing w:val="-2"/>
        </w:rPr>
        <w:t> </w:t>
      </w:r>
      <w:r>
        <w:rPr/>
        <w:t>our</w:t>
      </w:r>
      <w:r>
        <w:rPr>
          <w:spacing w:val="-2"/>
        </w:rPr>
        <w:t> </w:t>
      </w:r>
      <w:r>
        <w:rPr/>
        <w:t>enterprise</w:t>
      </w:r>
      <w:r>
        <w:rPr>
          <w:spacing w:val="-3"/>
        </w:rPr>
        <w:t> </w:t>
      </w:r>
      <w:r>
        <w:rPr/>
        <w:t>offerings</w:t>
      </w:r>
      <w:r>
        <w:rPr>
          <w:spacing w:val="-2"/>
        </w:rPr>
        <w:t> </w:t>
      </w:r>
      <w:r>
        <w:rPr/>
        <w:t>have</w:t>
      </w:r>
      <w:r>
        <w:rPr>
          <w:spacing w:val="-3"/>
        </w:rPr>
        <w:t> </w:t>
      </w:r>
      <w:r>
        <w:rPr/>
        <w:t>extended</w:t>
      </w:r>
      <w:r>
        <w:rPr>
          <w:spacing w:val="-3"/>
        </w:rPr>
        <w:t> </w:t>
      </w:r>
      <w:r>
        <w:rPr/>
        <w:t>and</w:t>
      </w:r>
      <w:r>
        <w:rPr>
          <w:spacing w:val="-2"/>
        </w:rPr>
        <w:t> </w:t>
      </w:r>
      <w:r>
        <w:rPr/>
        <w:t>complex</w:t>
      </w:r>
      <w:r>
        <w:rPr>
          <w:spacing w:val="-3"/>
        </w:rPr>
        <w:t> </w:t>
      </w:r>
      <w:r>
        <w:rPr/>
        <w:t>sales</w:t>
      </w:r>
      <w:r>
        <w:rPr>
          <w:spacing w:val="-2"/>
        </w:rPr>
        <w:t> </w:t>
      </w:r>
      <w:r>
        <w:rPr/>
        <w:t>cycles,</w:t>
      </w:r>
      <w:r>
        <w:rPr>
          <w:spacing w:val="-3"/>
        </w:rPr>
        <w:t> </w:t>
      </w:r>
      <w:r>
        <w:rPr/>
        <w:t>which</w:t>
      </w:r>
      <w:r>
        <w:rPr>
          <w:spacing w:val="-2"/>
        </w:rPr>
        <w:t> </w:t>
      </w:r>
      <w:r>
        <w:rPr/>
        <w:t>can</w:t>
      </w:r>
      <w:r>
        <w:rPr>
          <w:spacing w:val="-2"/>
        </w:rPr>
        <w:t> </w:t>
      </w:r>
      <w:r>
        <w:rPr/>
        <w:t>make</w:t>
      </w:r>
      <w:r>
        <w:rPr>
          <w:spacing w:val="-3"/>
        </w:rPr>
        <w:t> </w:t>
      </w:r>
      <w:r>
        <w:rPr/>
        <w:t>our</w:t>
      </w:r>
      <w:r>
        <w:rPr>
          <w:spacing w:val="-2"/>
        </w:rPr>
        <w:t> </w:t>
      </w:r>
      <w:r>
        <w:rPr/>
        <w:t>sales</w:t>
      </w:r>
      <w:r>
        <w:rPr>
          <w:spacing w:val="-2"/>
        </w:rPr>
        <w:t> </w:t>
      </w:r>
      <w:r>
        <w:rPr/>
        <w:t>cycles</w:t>
      </w:r>
      <w:r>
        <w:rPr>
          <w:spacing w:val="-1"/>
        </w:rPr>
        <w:t> </w:t>
      </w:r>
      <w:r>
        <w:rPr>
          <w:spacing w:val="-2"/>
        </w:rPr>
        <w:t>unpredictable.</w:t>
      </w:r>
    </w:p>
    <w:p>
      <w:pPr>
        <w:pStyle w:val="BodyText"/>
        <w:spacing w:line="249" w:lineRule="auto" w:before="190"/>
        <w:ind w:left="210" w:right="247" w:firstLine="540"/>
        <w:jc w:val="both"/>
      </w:pPr>
      <w:r>
        <w:rPr>
          <w:spacing w:val="-2"/>
        </w:rPr>
        <w:t>Sales</w:t>
      </w:r>
      <w:r>
        <w:rPr>
          <w:spacing w:val="-10"/>
        </w:rPr>
        <w:t> </w:t>
      </w:r>
      <w:r>
        <w:rPr>
          <w:spacing w:val="-2"/>
        </w:rPr>
        <w:t>cycles</w:t>
      </w:r>
      <w:r>
        <w:rPr>
          <w:spacing w:val="-6"/>
        </w:rPr>
        <w:t> </w:t>
      </w:r>
      <w:r>
        <w:rPr>
          <w:spacing w:val="-2"/>
        </w:rPr>
        <w:t>for</w:t>
      </w:r>
      <w:r>
        <w:rPr>
          <w:spacing w:val="-6"/>
        </w:rPr>
        <w:t> </w:t>
      </w:r>
      <w:r>
        <w:rPr>
          <w:spacing w:val="-2"/>
        </w:rPr>
        <w:t>some</w:t>
      </w:r>
      <w:r>
        <w:rPr>
          <w:spacing w:val="-6"/>
        </w:rPr>
        <w:t> </w:t>
      </w:r>
      <w:r>
        <w:rPr>
          <w:spacing w:val="-2"/>
        </w:rPr>
        <w:t>of</w:t>
      </w:r>
      <w:r>
        <w:rPr>
          <w:spacing w:val="-6"/>
        </w:rPr>
        <w:t> </w:t>
      </w:r>
      <w:r>
        <w:rPr>
          <w:spacing w:val="-2"/>
        </w:rPr>
        <w:t>our</w:t>
      </w:r>
      <w:r>
        <w:rPr>
          <w:spacing w:val="-6"/>
        </w:rPr>
        <w:t> </w:t>
      </w:r>
      <w:r>
        <w:rPr>
          <w:spacing w:val="-2"/>
        </w:rPr>
        <w:t>enterprise</w:t>
      </w:r>
      <w:r>
        <w:rPr>
          <w:spacing w:val="-6"/>
        </w:rPr>
        <w:t> </w:t>
      </w:r>
      <w:r>
        <w:rPr>
          <w:spacing w:val="-2"/>
        </w:rPr>
        <w:t>offerings,</w:t>
      </w:r>
      <w:r>
        <w:rPr>
          <w:spacing w:val="-6"/>
        </w:rPr>
        <w:t> </w:t>
      </w:r>
      <w:r>
        <w:rPr>
          <w:spacing w:val="-2"/>
        </w:rPr>
        <w:t>including</w:t>
      </w:r>
      <w:r>
        <w:rPr>
          <w:spacing w:val="-6"/>
        </w:rPr>
        <w:t> </w:t>
      </w:r>
      <w:r>
        <w:rPr>
          <w:spacing w:val="-2"/>
        </w:rPr>
        <w:t>our</w:t>
      </w:r>
      <w:r>
        <w:rPr>
          <w:spacing w:val="-11"/>
        </w:rPr>
        <w:t> </w:t>
      </w:r>
      <w:r>
        <w:rPr>
          <w:spacing w:val="-2"/>
        </w:rPr>
        <w:t>Adobe</w:t>
      </w:r>
      <w:r>
        <w:rPr>
          <w:spacing w:val="-5"/>
        </w:rPr>
        <w:t> </w:t>
      </w:r>
      <w:r>
        <w:rPr>
          <w:spacing w:val="-2"/>
        </w:rPr>
        <w:t>Experience</w:t>
      </w:r>
      <w:r>
        <w:rPr>
          <w:spacing w:val="-6"/>
        </w:rPr>
        <w:t> </w:t>
      </w:r>
      <w:r>
        <w:rPr>
          <w:spacing w:val="-2"/>
        </w:rPr>
        <w:t>Cloud</w:t>
      </w:r>
      <w:r>
        <w:rPr>
          <w:spacing w:val="-6"/>
        </w:rPr>
        <w:t> </w:t>
      </w:r>
      <w:r>
        <w:rPr>
          <w:spacing w:val="-2"/>
        </w:rPr>
        <w:t>solutions</w:t>
      </w:r>
      <w:r>
        <w:rPr>
          <w:spacing w:val="-6"/>
        </w:rPr>
        <w:t> </w:t>
      </w:r>
      <w:r>
        <w:rPr>
          <w:spacing w:val="-2"/>
        </w:rPr>
        <w:t>and</w:t>
      </w:r>
      <w:r>
        <w:rPr>
          <w:spacing w:val="-6"/>
        </w:rPr>
        <w:t> </w:t>
      </w:r>
      <w:r>
        <w:rPr>
          <w:spacing w:val="-2"/>
        </w:rPr>
        <w:t>ETLAs</w:t>
      </w:r>
      <w:r>
        <w:rPr>
          <w:spacing w:val="-6"/>
        </w:rPr>
        <w:t> </w:t>
      </w:r>
      <w:r>
        <w:rPr>
          <w:spacing w:val="-2"/>
        </w:rPr>
        <w:t>in</w:t>
      </w:r>
      <w:r>
        <w:rPr>
          <w:spacing w:val="-6"/>
        </w:rPr>
        <w:t> </w:t>
      </w:r>
      <w:r>
        <w:rPr>
          <w:spacing w:val="-2"/>
        </w:rPr>
        <w:t>our</w:t>
      </w:r>
      <w:r>
        <w:rPr>
          <w:spacing w:val="-6"/>
        </w:rPr>
        <w:t> </w:t>
      </w:r>
      <w:r>
        <w:rPr>
          <w:spacing w:val="-2"/>
        </w:rPr>
        <w:t>Digital </w:t>
      </w:r>
      <w:r>
        <w:rPr/>
        <w:t>Media business, are multi-phased and complex. The complexity in these sales cycles is due to several factors, including:</w:t>
      </w:r>
    </w:p>
    <w:p>
      <w:pPr>
        <w:pStyle w:val="ListParagraph"/>
        <w:numPr>
          <w:ilvl w:val="0"/>
          <w:numId w:val="3"/>
        </w:numPr>
        <w:tabs>
          <w:tab w:pos="1110" w:val="left" w:leader="none"/>
        </w:tabs>
        <w:spacing w:line="249" w:lineRule="auto" w:before="181" w:after="0"/>
        <w:ind w:left="1110" w:right="247" w:hanging="360"/>
        <w:jc w:val="left"/>
        <w:rPr>
          <w:sz w:val="20"/>
        </w:rPr>
      </w:pPr>
      <w:r>
        <w:rPr>
          <w:sz w:val="20"/>
        </w:rPr>
        <w:t>the</w:t>
      </w:r>
      <w:r>
        <w:rPr>
          <w:spacing w:val="-9"/>
          <w:sz w:val="20"/>
        </w:rPr>
        <w:t> </w:t>
      </w:r>
      <w:r>
        <w:rPr>
          <w:sz w:val="20"/>
        </w:rPr>
        <w:t>need</w:t>
      </w:r>
      <w:r>
        <w:rPr>
          <w:spacing w:val="-9"/>
          <w:sz w:val="20"/>
        </w:rPr>
        <w:t> </w:t>
      </w:r>
      <w:r>
        <w:rPr>
          <w:sz w:val="20"/>
        </w:rPr>
        <w:t>for</w:t>
      </w:r>
      <w:r>
        <w:rPr>
          <w:spacing w:val="-8"/>
          <w:sz w:val="20"/>
        </w:rPr>
        <w:t> </w:t>
      </w:r>
      <w:r>
        <w:rPr>
          <w:sz w:val="20"/>
        </w:rPr>
        <w:t>our</w:t>
      </w:r>
      <w:r>
        <w:rPr>
          <w:spacing w:val="-9"/>
          <w:sz w:val="20"/>
        </w:rPr>
        <w:t> </w:t>
      </w:r>
      <w:r>
        <w:rPr>
          <w:sz w:val="20"/>
        </w:rPr>
        <w:t>sales</w:t>
      </w:r>
      <w:r>
        <w:rPr>
          <w:spacing w:val="-9"/>
          <w:sz w:val="20"/>
        </w:rPr>
        <w:t> </w:t>
      </w:r>
      <w:r>
        <w:rPr>
          <w:sz w:val="20"/>
        </w:rPr>
        <w:t>representatives</w:t>
      </w:r>
      <w:r>
        <w:rPr>
          <w:spacing w:val="-8"/>
          <w:sz w:val="20"/>
        </w:rPr>
        <w:t> </w:t>
      </w:r>
      <w:r>
        <w:rPr>
          <w:sz w:val="20"/>
        </w:rPr>
        <w:t>to</w:t>
      </w:r>
      <w:r>
        <w:rPr>
          <w:spacing w:val="-9"/>
          <w:sz w:val="20"/>
        </w:rPr>
        <w:t> </w:t>
      </w:r>
      <w:r>
        <w:rPr>
          <w:sz w:val="20"/>
        </w:rPr>
        <w:t>educate</w:t>
      </w:r>
      <w:r>
        <w:rPr>
          <w:spacing w:val="-9"/>
          <w:sz w:val="20"/>
        </w:rPr>
        <w:t> </w:t>
      </w:r>
      <w:r>
        <w:rPr>
          <w:sz w:val="20"/>
        </w:rPr>
        <w:t>customers</w:t>
      </w:r>
      <w:r>
        <w:rPr>
          <w:spacing w:val="-8"/>
          <w:sz w:val="20"/>
        </w:rPr>
        <w:t> </w:t>
      </w:r>
      <w:r>
        <w:rPr>
          <w:sz w:val="20"/>
        </w:rPr>
        <w:t>about</w:t>
      </w:r>
      <w:r>
        <w:rPr>
          <w:spacing w:val="-9"/>
          <w:sz w:val="20"/>
        </w:rPr>
        <w:t> </w:t>
      </w:r>
      <w:r>
        <w:rPr>
          <w:sz w:val="20"/>
        </w:rPr>
        <w:t>the</w:t>
      </w:r>
      <w:r>
        <w:rPr>
          <w:spacing w:val="-9"/>
          <w:sz w:val="20"/>
        </w:rPr>
        <w:t> </w:t>
      </w:r>
      <w:r>
        <w:rPr>
          <w:sz w:val="20"/>
        </w:rPr>
        <w:t>use</w:t>
      </w:r>
      <w:r>
        <w:rPr>
          <w:spacing w:val="-9"/>
          <w:sz w:val="20"/>
        </w:rPr>
        <w:t> </w:t>
      </w:r>
      <w:r>
        <w:rPr>
          <w:sz w:val="20"/>
        </w:rPr>
        <w:t>and</w:t>
      </w:r>
      <w:r>
        <w:rPr>
          <w:spacing w:val="-9"/>
          <w:sz w:val="20"/>
        </w:rPr>
        <w:t> </w:t>
      </w:r>
      <w:r>
        <w:rPr>
          <w:sz w:val="20"/>
        </w:rPr>
        <w:t>benefit</w:t>
      </w:r>
      <w:r>
        <w:rPr>
          <w:spacing w:val="-9"/>
          <w:sz w:val="20"/>
        </w:rPr>
        <w:t> </w:t>
      </w:r>
      <w:r>
        <w:rPr>
          <w:sz w:val="20"/>
        </w:rPr>
        <w:t>of</w:t>
      </w:r>
      <w:r>
        <w:rPr>
          <w:spacing w:val="-9"/>
          <w:sz w:val="20"/>
        </w:rPr>
        <w:t> </w:t>
      </w:r>
      <w:r>
        <w:rPr>
          <w:sz w:val="20"/>
        </w:rPr>
        <w:t>large-scale</w:t>
      </w:r>
      <w:r>
        <w:rPr>
          <w:spacing w:val="-9"/>
          <w:sz w:val="20"/>
        </w:rPr>
        <w:t> </w:t>
      </w:r>
      <w:r>
        <w:rPr>
          <w:sz w:val="20"/>
        </w:rPr>
        <w:t>deployments</w:t>
      </w:r>
      <w:r>
        <w:rPr>
          <w:spacing w:val="-8"/>
          <w:sz w:val="20"/>
        </w:rPr>
        <w:t> </w:t>
      </w:r>
      <w:r>
        <w:rPr>
          <w:sz w:val="20"/>
        </w:rPr>
        <w:t>of</w:t>
      </w:r>
      <w:r>
        <w:rPr>
          <w:spacing w:val="-9"/>
          <w:sz w:val="20"/>
        </w:rPr>
        <w:t> </w:t>
      </w:r>
      <w:r>
        <w:rPr>
          <w:sz w:val="20"/>
        </w:rPr>
        <w:t>our </w:t>
      </w:r>
      <w:r>
        <w:rPr>
          <w:spacing w:val="-2"/>
          <w:sz w:val="20"/>
        </w:rPr>
        <w:t>products</w:t>
      </w:r>
      <w:r>
        <w:rPr>
          <w:spacing w:val="-8"/>
          <w:sz w:val="20"/>
        </w:rPr>
        <w:t> </w:t>
      </w:r>
      <w:r>
        <w:rPr>
          <w:spacing w:val="-2"/>
          <w:sz w:val="20"/>
        </w:rPr>
        <w:t>and</w:t>
      </w:r>
      <w:r>
        <w:rPr>
          <w:spacing w:val="-8"/>
          <w:sz w:val="20"/>
        </w:rPr>
        <w:t> </w:t>
      </w:r>
      <w:r>
        <w:rPr>
          <w:spacing w:val="-2"/>
          <w:sz w:val="20"/>
        </w:rPr>
        <w:t>services,</w:t>
      </w:r>
      <w:r>
        <w:rPr>
          <w:spacing w:val="-8"/>
          <w:sz w:val="20"/>
        </w:rPr>
        <w:t> </w:t>
      </w:r>
      <w:r>
        <w:rPr>
          <w:spacing w:val="-2"/>
          <w:sz w:val="20"/>
        </w:rPr>
        <w:t>including</w:t>
      </w:r>
      <w:r>
        <w:rPr>
          <w:spacing w:val="-8"/>
          <w:sz w:val="20"/>
        </w:rPr>
        <w:t> </w:t>
      </w:r>
      <w:r>
        <w:rPr>
          <w:spacing w:val="-2"/>
          <w:sz w:val="20"/>
        </w:rPr>
        <w:t>technical</w:t>
      </w:r>
      <w:r>
        <w:rPr>
          <w:spacing w:val="-8"/>
          <w:sz w:val="20"/>
        </w:rPr>
        <w:t> </w:t>
      </w:r>
      <w:r>
        <w:rPr>
          <w:spacing w:val="-2"/>
          <w:sz w:val="20"/>
        </w:rPr>
        <w:t>capabilities,</w:t>
      </w:r>
      <w:r>
        <w:rPr>
          <w:spacing w:val="-8"/>
          <w:sz w:val="20"/>
        </w:rPr>
        <w:t> </w:t>
      </w:r>
      <w:r>
        <w:rPr>
          <w:spacing w:val="-2"/>
          <w:sz w:val="20"/>
        </w:rPr>
        <w:t>security</w:t>
      </w:r>
      <w:r>
        <w:rPr>
          <w:spacing w:val="-8"/>
          <w:sz w:val="20"/>
        </w:rPr>
        <w:t> </w:t>
      </w:r>
      <w:r>
        <w:rPr>
          <w:spacing w:val="-2"/>
          <w:sz w:val="20"/>
        </w:rPr>
        <w:t>features,</w:t>
      </w:r>
      <w:r>
        <w:rPr>
          <w:spacing w:val="-8"/>
          <w:sz w:val="20"/>
        </w:rPr>
        <w:t> </w:t>
      </w:r>
      <w:r>
        <w:rPr>
          <w:spacing w:val="-2"/>
          <w:sz w:val="20"/>
        </w:rPr>
        <w:t>potential</w:t>
      </w:r>
      <w:r>
        <w:rPr>
          <w:spacing w:val="-8"/>
          <w:sz w:val="20"/>
        </w:rPr>
        <w:t> </w:t>
      </w:r>
      <w:r>
        <w:rPr>
          <w:spacing w:val="-2"/>
          <w:sz w:val="20"/>
        </w:rPr>
        <w:t>cost</w:t>
      </w:r>
      <w:r>
        <w:rPr>
          <w:spacing w:val="-8"/>
          <w:sz w:val="20"/>
        </w:rPr>
        <w:t> </w:t>
      </w:r>
      <w:r>
        <w:rPr>
          <w:spacing w:val="-2"/>
          <w:sz w:val="20"/>
        </w:rPr>
        <w:t>savings</w:t>
      </w:r>
      <w:r>
        <w:rPr>
          <w:spacing w:val="-8"/>
          <w:sz w:val="20"/>
        </w:rPr>
        <w:t> </w:t>
      </w:r>
      <w:r>
        <w:rPr>
          <w:spacing w:val="-2"/>
          <w:sz w:val="20"/>
        </w:rPr>
        <w:t>and</w:t>
      </w:r>
      <w:r>
        <w:rPr>
          <w:spacing w:val="-8"/>
          <w:sz w:val="20"/>
        </w:rPr>
        <w:t> </w:t>
      </w:r>
      <w:r>
        <w:rPr>
          <w:spacing w:val="-2"/>
          <w:sz w:val="20"/>
        </w:rPr>
        <w:t>return</w:t>
      </w:r>
      <w:r>
        <w:rPr>
          <w:spacing w:val="-8"/>
          <w:sz w:val="20"/>
        </w:rPr>
        <w:t> </w:t>
      </w:r>
      <w:r>
        <w:rPr>
          <w:spacing w:val="-2"/>
          <w:sz w:val="20"/>
        </w:rPr>
        <w:t>on</w:t>
      </w:r>
      <w:r>
        <w:rPr>
          <w:spacing w:val="-8"/>
          <w:sz w:val="20"/>
        </w:rPr>
        <w:t> </w:t>
      </w:r>
      <w:r>
        <w:rPr>
          <w:spacing w:val="-2"/>
          <w:sz w:val="20"/>
        </w:rPr>
        <w:t>investment;</w:t>
      </w:r>
    </w:p>
    <w:p>
      <w:pPr>
        <w:pStyle w:val="BodyText"/>
        <w:spacing w:before="12"/>
      </w:pPr>
    </w:p>
    <w:p>
      <w:pPr>
        <w:pStyle w:val="ListParagraph"/>
        <w:numPr>
          <w:ilvl w:val="0"/>
          <w:numId w:val="3"/>
        </w:numPr>
        <w:tabs>
          <w:tab w:pos="1110" w:val="left" w:leader="none"/>
        </w:tabs>
        <w:spacing w:line="249" w:lineRule="auto" w:before="0" w:after="0"/>
        <w:ind w:left="1110" w:right="248" w:hanging="360"/>
        <w:jc w:val="left"/>
        <w:rPr>
          <w:sz w:val="20"/>
        </w:rPr>
      </w:pPr>
      <w:r>
        <w:rPr>
          <w:sz w:val="20"/>
        </w:rPr>
        <w:t>the desire of organizations to undertake significant evaluation processes to determine their technology requirements prior to making information technology expenditures;</w:t>
      </w:r>
    </w:p>
    <w:p>
      <w:pPr>
        <w:pStyle w:val="BodyText"/>
        <w:spacing w:before="12"/>
      </w:pPr>
    </w:p>
    <w:p>
      <w:pPr>
        <w:pStyle w:val="ListParagraph"/>
        <w:numPr>
          <w:ilvl w:val="0"/>
          <w:numId w:val="3"/>
        </w:numPr>
        <w:tabs>
          <w:tab w:pos="1110" w:val="left" w:leader="none"/>
        </w:tabs>
        <w:spacing w:line="249" w:lineRule="auto" w:before="0" w:after="0"/>
        <w:ind w:left="1110" w:right="248" w:hanging="360"/>
        <w:jc w:val="left"/>
        <w:rPr>
          <w:sz w:val="20"/>
        </w:rPr>
      </w:pPr>
      <w:r>
        <w:rPr>
          <w:sz w:val="20"/>
        </w:rPr>
        <w:t>the</w:t>
      </w:r>
      <w:r>
        <w:rPr>
          <w:spacing w:val="-7"/>
          <w:sz w:val="20"/>
        </w:rPr>
        <w:t> </w:t>
      </w:r>
      <w:r>
        <w:rPr>
          <w:sz w:val="20"/>
        </w:rPr>
        <w:t>need</w:t>
      </w:r>
      <w:r>
        <w:rPr>
          <w:spacing w:val="-7"/>
          <w:sz w:val="20"/>
        </w:rPr>
        <w:t> </w:t>
      </w:r>
      <w:r>
        <w:rPr>
          <w:sz w:val="20"/>
        </w:rPr>
        <w:t>for</w:t>
      </w:r>
      <w:r>
        <w:rPr>
          <w:spacing w:val="-7"/>
          <w:sz w:val="20"/>
        </w:rPr>
        <w:t> </w:t>
      </w:r>
      <w:r>
        <w:rPr>
          <w:sz w:val="20"/>
        </w:rPr>
        <w:t>our</w:t>
      </w:r>
      <w:r>
        <w:rPr>
          <w:spacing w:val="-7"/>
          <w:sz w:val="20"/>
        </w:rPr>
        <w:t> </w:t>
      </w:r>
      <w:r>
        <w:rPr>
          <w:sz w:val="20"/>
        </w:rPr>
        <w:t>representatives</w:t>
      </w:r>
      <w:r>
        <w:rPr>
          <w:spacing w:val="-7"/>
          <w:sz w:val="20"/>
        </w:rPr>
        <w:t> </w:t>
      </w:r>
      <w:r>
        <w:rPr>
          <w:sz w:val="20"/>
        </w:rPr>
        <w:t>to</w:t>
      </w:r>
      <w:r>
        <w:rPr>
          <w:spacing w:val="-7"/>
          <w:sz w:val="20"/>
        </w:rPr>
        <w:t> </w:t>
      </w:r>
      <w:r>
        <w:rPr>
          <w:sz w:val="20"/>
        </w:rPr>
        <w:t>spend</w:t>
      </w:r>
      <w:r>
        <w:rPr>
          <w:spacing w:val="-7"/>
          <w:sz w:val="20"/>
        </w:rPr>
        <w:t> </w:t>
      </w:r>
      <w:r>
        <w:rPr>
          <w:sz w:val="20"/>
        </w:rPr>
        <w:t>a</w:t>
      </w:r>
      <w:r>
        <w:rPr>
          <w:spacing w:val="-7"/>
          <w:sz w:val="20"/>
        </w:rPr>
        <w:t> </w:t>
      </w:r>
      <w:r>
        <w:rPr>
          <w:sz w:val="20"/>
        </w:rPr>
        <w:t>significant</w:t>
      </w:r>
      <w:r>
        <w:rPr>
          <w:spacing w:val="-7"/>
          <w:sz w:val="20"/>
        </w:rPr>
        <w:t> </w:t>
      </w:r>
      <w:r>
        <w:rPr>
          <w:sz w:val="20"/>
        </w:rPr>
        <w:t>amount</w:t>
      </w:r>
      <w:r>
        <w:rPr>
          <w:spacing w:val="-7"/>
          <w:sz w:val="20"/>
        </w:rPr>
        <w:t> </w:t>
      </w:r>
      <w:r>
        <w:rPr>
          <w:sz w:val="20"/>
        </w:rPr>
        <w:t>of</w:t>
      </w:r>
      <w:r>
        <w:rPr>
          <w:spacing w:val="-7"/>
          <w:sz w:val="20"/>
        </w:rPr>
        <w:t> </w:t>
      </w:r>
      <w:r>
        <w:rPr>
          <w:sz w:val="20"/>
        </w:rPr>
        <w:t>time</w:t>
      </w:r>
      <w:r>
        <w:rPr>
          <w:spacing w:val="-7"/>
          <w:sz w:val="20"/>
        </w:rPr>
        <w:t> </w:t>
      </w:r>
      <w:r>
        <w:rPr>
          <w:sz w:val="20"/>
        </w:rPr>
        <w:t>assisting</w:t>
      </w:r>
      <w:r>
        <w:rPr>
          <w:spacing w:val="-7"/>
          <w:sz w:val="20"/>
        </w:rPr>
        <w:t> </w:t>
      </w:r>
      <w:r>
        <w:rPr>
          <w:sz w:val="20"/>
        </w:rPr>
        <w:t>potential</w:t>
      </w:r>
      <w:r>
        <w:rPr>
          <w:spacing w:val="-7"/>
          <w:sz w:val="20"/>
        </w:rPr>
        <w:t> </w:t>
      </w:r>
      <w:r>
        <w:rPr>
          <w:sz w:val="20"/>
        </w:rPr>
        <w:t>customers</w:t>
      </w:r>
      <w:r>
        <w:rPr>
          <w:spacing w:val="-7"/>
          <w:sz w:val="20"/>
        </w:rPr>
        <w:t> </w:t>
      </w:r>
      <w:r>
        <w:rPr>
          <w:sz w:val="20"/>
        </w:rPr>
        <w:t>in</w:t>
      </w:r>
      <w:r>
        <w:rPr>
          <w:spacing w:val="-7"/>
          <w:sz w:val="20"/>
        </w:rPr>
        <w:t> </w:t>
      </w:r>
      <w:r>
        <w:rPr>
          <w:sz w:val="20"/>
        </w:rPr>
        <w:t>their</w:t>
      </w:r>
      <w:r>
        <w:rPr>
          <w:spacing w:val="-7"/>
          <w:sz w:val="20"/>
        </w:rPr>
        <w:t> </w:t>
      </w:r>
      <w:r>
        <w:rPr>
          <w:sz w:val="20"/>
        </w:rPr>
        <w:t>testing</w:t>
      </w:r>
      <w:r>
        <w:rPr>
          <w:spacing w:val="-7"/>
          <w:sz w:val="20"/>
        </w:rPr>
        <w:t> </w:t>
      </w:r>
      <w:r>
        <w:rPr>
          <w:sz w:val="20"/>
        </w:rPr>
        <w:t>and evaluation of our products and services;</w:t>
      </w:r>
    </w:p>
    <w:p>
      <w:pPr>
        <w:pStyle w:val="BodyText"/>
        <w:spacing w:before="11"/>
      </w:pPr>
    </w:p>
    <w:p>
      <w:pPr>
        <w:pStyle w:val="ListParagraph"/>
        <w:numPr>
          <w:ilvl w:val="0"/>
          <w:numId w:val="3"/>
        </w:numPr>
        <w:tabs>
          <w:tab w:pos="1109" w:val="left" w:leader="none"/>
        </w:tabs>
        <w:spacing w:line="240" w:lineRule="auto" w:before="0" w:after="0"/>
        <w:ind w:left="1109" w:right="0" w:hanging="359"/>
        <w:jc w:val="left"/>
        <w:rPr>
          <w:sz w:val="20"/>
        </w:rPr>
      </w:pPr>
      <w:r>
        <w:rPr>
          <w:sz w:val="20"/>
        </w:rPr>
        <w:t>intensifying</w:t>
      </w:r>
      <w:r>
        <w:rPr>
          <w:spacing w:val="-1"/>
          <w:sz w:val="20"/>
        </w:rPr>
        <w:t> </w:t>
      </w:r>
      <w:r>
        <w:rPr>
          <w:sz w:val="20"/>
        </w:rPr>
        <w:t>competition within the </w:t>
      </w:r>
      <w:r>
        <w:rPr>
          <w:spacing w:val="-2"/>
          <w:sz w:val="20"/>
        </w:rPr>
        <w:t>industry;</w:t>
      </w:r>
    </w:p>
    <w:p>
      <w:pPr>
        <w:pStyle w:val="BodyText"/>
        <w:spacing w:before="20"/>
      </w:pPr>
    </w:p>
    <w:p>
      <w:pPr>
        <w:pStyle w:val="ListParagraph"/>
        <w:numPr>
          <w:ilvl w:val="0"/>
          <w:numId w:val="3"/>
        </w:numPr>
        <w:tabs>
          <w:tab w:pos="1109" w:val="left" w:leader="none"/>
        </w:tabs>
        <w:spacing w:line="240" w:lineRule="auto" w:before="0" w:after="0"/>
        <w:ind w:left="1109" w:right="0" w:hanging="359"/>
        <w:jc w:val="left"/>
        <w:rPr>
          <w:sz w:val="20"/>
        </w:rPr>
      </w:pPr>
      <w:r>
        <w:rPr>
          <w:sz w:val="20"/>
        </w:rPr>
        <w:t>the</w:t>
      </w:r>
      <w:r>
        <w:rPr>
          <w:spacing w:val="-1"/>
          <w:sz w:val="20"/>
        </w:rPr>
        <w:t> </w:t>
      </w:r>
      <w:r>
        <w:rPr>
          <w:sz w:val="20"/>
        </w:rPr>
        <w:t>negotiation</w:t>
      </w:r>
      <w:r>
        <w:rPr>
          <w:spacing w:val="-1"/>
          <w:sz w:val="20"/>
        </w:rPr>
        <w:t> </w:t>
      </w:r>
      <w:r>
        <w:rPr>
          <w:sz w:val="20"/>
        </w:rPr>
        <w:t>of large,</w:t>
      </w:r>
      <w:r>
        <w:rPr>
          <w:spacing w:val="-1"/>
          <w:sz w:val="20"/>
        </w:rPr>
        <w:t> </w:t>
      </w:r>
      <w:r>
        <w:rPr>
          <w:sz w:val="20"/>
        </w:rPr>
        <w:t>complex,</w:t>
      </w:r>
      <w:r>
        <w:rPr>
          <w:spacing w:val="-1"/>
          <w:sz w:val="20"/>
        </w:rPr>
        <w:t> </w:t>
      </w:r>
      <w:r>
        <w:rPr>
          <w:sz w:val="20"/>
        </w:rPr>
        <w:t>enterprise-wide</w:t>
      </w:r>
      <w:r>
        <w:rPr>
          <w:spacing w:val="-1"/>
          <w:sz w:val="20"/>
        </w:rPr>
        <w:t> </w:t>
      </w:r>
      <w:r>
        <w:rPr>
          <w:spacing w:val="-2"/>
          <w:sz w:val="20"/>
        </w:rPr>
        <w:t>contracts;</w:t>
      </w:r>
    </w:p>
    <w:p>
      <w:pPr>
        <w:pStyle w:val="BodyText"/>
        <w:spacing w:before="20"/>
      </w:pPr>
    </w:p>
    <w:p>
      <w:pPr>
        <w:pStyle w:val="ListParagraph"/>
        <w:numPr>
          <w:ilvl w:val="0"/>
          <w:numId w:val="3"/>
        </w:numPr>
        <w:tabs>
          <w:tab w:pos="1110" w:val="left" w:leader="none"/>
        </w:tabs>
        <w:spacing w:line="249" w:lineRule="auto" w:before="0" w:after="0"/>
        <w:ind w:left="1110" w:right="247" w:hanging="360"/>
        <w:jc w:val="left"/>
        <w:rPr>
          <w:sz w:val="20"/>
        </w:rPr>
      </w:pPr>
      <w:r>
        <w:rPr>
          <w:sz w:val="20"/>
        </w:rPr>
        <w:t>the</w:t>
      </w:r>
      <w:r>
        <w:rPr>
          <w:spacing w:val="-11"/>
          <w:sz w:val="20"/>
        </w:rPr>
        <w:t> </w:t>
      </w:r>
      <w:r>
        <w:rPr>
          <w:sz w:val="20"/>
        </w:rPr>
        <w:t>need</w:t>
      </w:r>
      <w:r>
        <w:rPr>
          <w:spacing w:val="-11"/>
          <w:sz w:val="20"/>
        </w:rPr>
        <w:t> </w:t>
      </w:r>
      <w:r>
        <w:rPr>
          <w:sz w:val="20"/>
        </w:rPr>
        <w:t>for</w:t>
      </w:r>
      <w:r>
        <w:rPr>
          <w:spacing w:val="-11"/>
          <w:sz w:val="20"/>
        </w:rPr>
        <w:t> </w:t>
      </w:r>
      <w:r>
        <w:rPr>
          <w:sz w:val="20"/>
        </w:rPr>
        <w:t>our</w:t>
      </w:r>
      <w:r>
        <w:rPr>
          <w:spacing w:val="-11"/>
          <w:sz w:val="20"/>
        </w:rPr>
        <w:t> </w:t>
      </w:r>
      <w:r>
        <w:rPr>
          <w:sz w:val="20"/>
        </w:rPr>
        <w:t>customers</w:t>
      </w:r>
      <w:r>
        <w:rPr>
          <w:spacing w:val="-11"/>
          <w:sz w:val="20"/>
        </w:rPr>
        <w:t> </w:t>
      </w:r>
      <w:r>
        <w:rPr>
          <w:sz w:val="20"/>
        </w:rPr>
        <w:t>to</w:t>
      </w:r>
      <w:r>
        <w:rPr>
          <w:spacing w:val="-11"/>
          <w:sz w:val="20"/>
        </w:rPr>
        <w:t> </w:t>
      </w:r>
      <w:r>
        <w:rPr>
          <w:sz w:val="20"/>
        </w:rPr>
        <w:t>obtain</w:t>
      </w:r>
      <w:r>
        <w:rPr>
          <w:spacing w:val="-11"/>
          <w:sz w:val="20"/>
        </w:rPr>
        <w:t> </w:t>
      </w:r>
      <w:r>
        <w:rPr>
          <w:sz w:val="20"/>
        </w:rPr>
        <w:t>requisition</w:t>
      </w:r>
      <w:r>
        <w:rPr>
          <w:spacing w:val="-11"/>
          <w:sz w:val="20"/>
        </w:rPr>
        <w:t> </w:t>
      </w:r>
      <w:r>
        <w:rPr>
          <w:sz w:val="20"/>
        </w:rPr>
        <w:t>approvals</w:t>
      </w:r>
      <w:r>
        <w:rPr>
          <w:spacing w:val="-11"/>
          <w:sz w:val="20"/>
        </w:rPr>
        <w:t> </w:t>
      </w:r>
      <w:r>
        <w:rPr>
          <w:sz w:val="20"/>
        </w:rPr>
        <w:t>from</w:t>
      </w:r>
      <w:r>
        <w:rPr>
          <w:spacing w:val="-11"/>
          <w:sz w:val="20"/>
        </w:rPr>
        <w:t> </w:t>
      </w:r>
      <w:r>
        <w:rPr>
          <w:sz w:val="20"/>
        </w:rPr>
        <w:t>various</w:t>
      </w:r>
      <w:r>
        <w:rPr>
          <w:spacing w:val="-11"/>
          <w:sz w:val="20"/>
        </w:rPr>
        <w:t> </w:t>
      </w:r>
      <w:r>
        <w:rPr>
          <w:sz w:val="20"/>
        </w:rPr>
        <w:t>decision</w:t>
      </w:r>
      <w:r>
        <w:rPr>
          <w:spacing w:val="-11"/>
          <w:sz w:val="20"/>
        </w:rPr>
        <w:t> </w:t>
      </w:r>
      <w:r>
        <w:rPr>
          <w:sz w:val="20"/>
        </w:rPr>
        <w:t>makers</w:t>
      </w:r>
      <w:r>
        <w:rPr>
          <w:spacing w:val="-11"/>
          <w:sz w:val="20"/>
        </w:rPr>
        <w:t> </w:t>
      </w:r>
      <w:r>
        <w:rPr>
          <w:sz w:val="20"/>
        </w:rPr>
        <w:t>within</w:t>
      </w:r>
      <w:r>
        <w:rPr>
          <w:spacing w:val="-11"/>
          <w:sz w:val="20"/>
        </w:rPr>
        <w:t> </w:t>
      </w:r>
      <w:r>
        <w:rPr>
          <w:sz w:val="20"/>
        </w:rPr>
        <w:t>their</w:t>
      </w:r>
      <w:r>
        <w:rPr>
          <w:spacing w:val="-11"/>
          <w:sz w:val="20"/>
        </w:rPr>
        <w:t> </w:t>
      </w:r>
      <w:r>
        <w:rPr>
          <w:sz w:val="20"/>
        </w:rPr>
        <w:t>organizations</w:t>
      </w:r>
      <w:r>
        <w:rPr>
          <w:spacing w:val="-11"/>
          <w:sz w:val="20"/>
        </w:rPr>
        <w:t> </w:t>
      </w:r>
      <w:r>
        <w:rPr>
          <w:sz w:val="20"/>
        </w:rPr>
        <w:t>due to the complexity of our solutions touching multiple departments within customers’</w:t>
      </w:r>
      <w:r>
        <w:rPr>
          <w:spacing w:val="-7"/>
          <w:sz w:val="20"/>
        </w:rPr>
        <w:t> </w:t>
      </w:r>
      <w:r>
        <w:rPr>
          <w:sz w:val="20"/>
        </w:rPr>
        <w:t>organizations; and</w:t>
      </w:r>
    </w:p>
    <w:p>
      <w:pPr>
        <w:pStyle w:val="BodyText"/>
        <w:spacing w:before="12"/>
      </w:pPr>
    </w:p>
    <w:p>
      <w:pPr>
        <w:pStyle w:val="ListParagraph"/>
        <w:numPr>
          <w:ilvl w:val="0"/>
          <w:numId w:val="3"/>
        </w:numPr>
        <w:tabs>
          <w:tab w:pos="1109" w:val="left" w:leader="none"/>
        </w:tabs>
        <w:spacing w:line="240" w:lineRule="auto" w:before="0" w:after="0"/>
        <w:ind w:left="1109" w:right="0" w:hanging="359"/>
        <w:jc w:val="left"/>
        <w:rPr>
          <w:sz w:val="20"/>
        </w:rPr>
      </w:pPr>
      <w:r>
        <w:rPr>
          <w:sz w:val="20"/>
        </w:rPr>
        <w:t>customer</w:t>
      </w:r>
      <w:r>
        <w:rPr>
          <w:spacing w:val="-2"/>
          <w:sz w:val="20"/>
        </w:rPr>
        <w:t> </w:t>
      </w:r>
      <w:r>
        <w:rPr>
          <w:sz w:val="20"/>
        </w:rPr>
        <w:t>budget</w:t>
      </w:r>
      <w:r>
        <w:rPr>
          <w:spacing w:val="-1"/>
          <w:sz w:val="20"/>
        </w:rPr>
        <w:t> </w:t>
      </w:r>
      <w:r>
        <w:rPr>
          <w:sz w:val="20"/>
        </w:rPr>
        <w:t>constraints,</w:t>
      </w:r>
      <w:r>
        <w:rPr>
          <w:spacing w:val="-1"/>
          <w:sz w:val="20"/>
        </w:rPr>
        <w:t> </w:t>
      </w:r>
      <w:r>
        <w:rPr>
          <w:sz w:val="20"/>
        </w:rPr>
        <w:t>economic</w:t>
      </w:r>
      <w:r>
        <w:rPr>
          <w:spacing w:val="-1"/>
          <w:sz w:val="20"/>
        </w:rPr>
        <w:t> </w:t>
      </w:r>
      <w:r>
        <w:rPr>
          <w:sz w:val="20"/>
        </w:rPr>
        <w:t>conditions</w:t>
      </w:r>
      <w:r>
        <w:rPr>
          <w:spacing w:val="-2"/>
          <w:sz w:val="20"/>
        </w:rPr>
        <w:t> </w:t>
      </w:r>
      <w:r>
        <w:rPr>
          <w:sz w:val="20"/>
        </w:rPr>
        <w:t>and</w:t>
      </w:r>
      <w:r>
        <w:rPr>
          <w:spacing w:val="-1"/>
          <w:sz w:val="20"/>
        </w:rPr>
        <w:t> </w:t>
      </w:r>
      <w:r>
        <w:rPr>
          <w:sz w:val="20"/>
        </w:rPr>
        <w:t>unplanned</w:t>
      </w:r>
      <w:r>
        <w:rPr>
          <w:spacing w:val="-1"/>
          <w:sz w:val="20"/>
        </w:rPr>
        <w:t> </w:t>
      </w:r>
      <w:r>
        <w:rPr>
          <w:sz w:val="20"/>
        </w:rPr>
        <w:t>administrative</w:t>
      </w:r>
      <w:r>
        <w:rPr>
          <w:spacing w:val="-1"/>
          <w:sz w:val="20"/>
        </w:rPr>
        <w:t> </w:t>
      </w:r>
      <w:r>
        <w:rPr>
          <w:spacing w:val="-2"/>
          <w:sz w:val="20"/>
        </w:rPr>
        <w:t>delays.</w:t>
      </w:r>
    </w:p>
    <w:p>
      <w:pPr>
        <w:pStyle w:val="BodyText"/>
        <w:spacing w:before="20"/>
      </w:pPr>
    </w:p>
    <w:p>
      <w:pPr>
        <w:pStyle w:val="BodyText"/>
        <w:spacing w:line="249" w:lineRule="auto"/>
        <w:ind w:left="210" w:right="247" w:firstLine="540"/>
        <w:jc w:val="both"/>
      </w:pPr>
      <w:r>
        <w:rPr/>
        <w:t>We spend substantial time and expense on our sales efforts without assurance that potential customers will ultimately </w:t>
      </w:r>
      <w:r>
        <w:rPr>
          <w:spacing w:val="-2"/>
        </w:rPr>
        <w:t>purchase</w:t>
      </w:r>
      <w:r>
        <w:rPr>
          <w:spacing w:val="-5"/>
        </w:rPr>
        <w:t> </w:t>
      </w:r>
      <w:r>
        <w:rPr>
          <w:spacing w:val="-2"/>
        </w:rPr>
        <w:t>our</w:t>
      </w:r>
      <w:r>
        <w:rPr>
          <w:spacing w:val="-5"/>
        </w:rPr>
        <w:t> </w:t>
      </w:r>
      <w:r>
        <w:rPr>
          <w:spacing w:val="-2"/>
        </w:rPr>
        <w:t>solutions. As</w:t>
      </w:r>
      <w:r>
        <w:rPr>
          <w:spacing w:val="-5"/>
        </w:rPr>
        <w:t> </w:t>
      </w:r>
      <w:r>
        <w:rPr>
          <w:spacing w:val="-2"/>
        </w:rPr>
        <w:t>we</w:t>
      </w:r>
      <w:r>
        <w:rPr>
          <w:spacing w:val="-5"/>
        </w:rPr>
        <w:t> </w:t>
      </w:r>
      <w:r>
        <w:rPr>
          <w:spacing w:val="-2"/>
        </w:rPr>
        <w:t>target</w:t>
      </w:r>
      <w:r>
        <w:rPr>
          <w:spacing w:val="-5"/>
        </w:rPr>
        <w:t> </w:t>
      </w:r>
      <w:r>
        <w:rPr>
          <w:spacing w:val="-2"/>
        </w:rPr>
        <w:t>our</w:t>
      </w:r>
      <w:r>
        <w:rPr>
          <w:spacing w:val="-4"/>
        </w:rPr>
        <w:t> </w:t>
      </w:r>
      <w:r>
        <w:rPr>
          <w:spacing w:val="-2"/>
        </w:rPr>
        <w:t>sales</w:t>
      </w:r>
      <w:r>
        <w:rPr>
          <w:spacing w:val="-4"/>
        </w:rPr>
        <w:t> </w:t>
      </w:r>
      <w:r>
        <w:rPr>
          <w:spacing w:val="-2"/>
        </w:rPr>
        <w:t>efforts</w:t>
      </w:r>
      <w:r>
        <w:rPr>
          <w:spacing w:val="-4"/>
        </w:rPr>
        <w:t> </w:t>
      </w:r>
      <w:r>
        <w:rPr>
          <w:spacing w:val="-2"/>
        </w:rPr>
        <w:t>at</w:t>
      </w:r>
      <w:r>
        <w:rPr>
          <w:spacing w:val="-4"/>
        </w:rPr>
        <w:t> </w:t>
      </w:r>
      <w:r>
        <w:rPr>
          <w:spacing w:val="-2"/>
        </w:rPr>
        <w:t>larger</w:t>
      </w:r>
      <w:r>
        <w:rPr>
          <w:spacing w:val="-4"/>
        </w:rPr>
        <w:t> </w:t>
      </w:r>
      <w:r>
        <w:rPr>
          <w:spacing w:val="-2"/>
        </w:rPr>
        <w:t>enterprise</w:t>
      </w:r>
      <w:r>
        <w:rPr>
          <w:spacing w:val="-5"/>
        </w:rPr>
        <w:t> </w:t>
      </w:r>
      <w:r>
        <w:rPr>
          <w:spacing w:val="-2"/>
        </w:rPr>
        <w:t>customers,</w:t>
      </w:r>
      <w:r>
        <w:rPr>
          <w:spacing w:val="-4"/>
        </w:rPr>
        <w:t> </w:t>
      </w:r>
      <w:r>
        <w:rPr>
          <w:spacing w:val="-2"/>
        </w:rPr>
        <w:t>these</w:t>
      </w:r>
      <w:r>
        <w:rPr>
          <w:spacing w:val="-5"/>
        </w:rPr>
        <w:t> </w:t>
      </w:r>
      <w:r>
        <w:rPr>
          <w:spacing w:val="-2"/>
        </w:rPr>
        <w:t>trends</w:t>
      </w:r>
      <w:r>
        <w:rPr>
          <w:spacing w:val="-4"/>
        </w:rPr>
        <w:t> </w:t>
      </w:r>
      <w:r>
        <w:rPr>
          <w:spacing w:val="-2"/>
        </w:rPr>
        <w:t>are</w:t>
      </w:r>
      <w:r>
        <w:rPr>
          <w:spacing w:val="-5"/>
        </w:rPr>
        <w:t> </w:t>
      </w:r>
      <w:r>
        <w:rPr>
          <w:spacing w:val="-2"/>
        </w:rPr>
        <w:t>expected</w:t>
      </w:r>
      <w:r>
        <w:rPr>
          <w:spacing w:val="-5"/>
        </w:rPr>
        <w:t> </w:t>
      </w:r>
      <w:r>
        <w:rPr>
          <w:spacing w:val="-2"/>
        </w:rPr>
        <w:t>to</w:t>
      </w:r>
      <w:r>
        <w:rPr>
          <w:spacing w:val="-4"/>
        </w:rPr>
        <w:t> </w:t>
      </w:r>
      <w:r>
        <w:rPr>
          <w:spacing w:val="-2"/>
        </w:rPr>
        <w:t>continue</w:t>
      </w:r>
      <w:r>
        <w:rPr>
          <w:spacing w:val="-5"/>
        </w:rPr>
        <w:t> </w:t>
      </w:r>
      <w:r>
        <w:rPr>
          <w:spacing w:val="-2"/>
        </w:rPr>
        <w:t>and</w:t>
      </w:r>
      <w:r>
        <w:rPr>
          <w:spacing w:val="-4"/>
        </w:rPr>
        <w:t> </w:t>
      </w:r>
      <w:r>
        <w:rPr>
          <w:spacing w:val="-2"/>
        </w:rPr>
        <w:t>could </w:t>
      </w:r>
      <w:r>
        <w:rPr/>
        <w:t>have</w:t>
      </w:r>
      <w:r>
        <w:rPr>
          <w:spacing w:val="-3"/>
        </w:rPr>
        <w:t> </w:t>
      </w:r>
      <w:r>
        <w:rPr/>
        <w:t>a</w:t>
      </w:r>
      <w:r>
        <w:rPr>
          <w:spacing w:val="-3"/>
        </w:rPr>
        <w:t> </w:t>
      </w:r>
      <w:r>
        <w:rPr/>
        <w:t>greater</w:t>
      </w:r>
      <w:r>
        <w:rPr>
          <w:spacing w:val="-3"/>
        </w:rPr>
        <w:t> </w:t>
      </w:r>
      <w:r>
        <w:rPr/>
        <w:t>impact</w:t>
      </w:r>
      <w:r>
        <w:rPr>
          <w:spacing w:val="-3"/>
        </w:rPr>
        <w:t> </w:t>
      </w:r>
      <w:r>
        <w:rPr/>
        <w:t>on</w:t>
      </w:r>
      <w:r>
        <w:rPr>
          <w:spacing w:val="-3"/>
        </w:rPr>
        <w:t> </w:t>
      </w:r>
      <w:r>
        <w:rPr/>
        <w:t>our</w:t>
      </w:r>
      <w:r>
        <w:rPr>
          <w:spacing w:val="-3"/>
        </w:rPr>
        <w:t> </w:t>
      </w:r>
      <w:r>
        <w:rPr/>
        <w:t>results</w:t>
      </w:r>
      <w:r>
        <w:rPr>
          <w:spacing w:val="-3"/>
        </w:rPr>
        <w:t> </w:t>
      </w:r>
      <w:r>
        <w:rPr/>
        <w:t>of</w:t>
      </w:r>
      <w:r>
        <w:rPr>
          <w:spacing w:val="-3"/>
        </w:rPr>
        <w:t> </w:t>
      </w:r>
      <w:r>
        <w:rPr/>
        <w:t>operations.</w:t>
      </w:r>
      <w:r>
        <w:rPr>
          <w:spacing w:val="35"/>
        </w:rPr>
        <w:t> </w:t>
      </w:r>
      <w:r>
        <w:rPr/>
        <w:t>Additionally,</w:t>
      </w:r>
      <w:r>
        <w:rPr>
          <w:spacing w:val="-3"/>
        </w:rPr>
        <w:t> </w:t>
      </w:r>
      <w:r>
        <w:rPr/>
        <w:t>our</w:t>
      </w:r>
      <w:r>
        <w:rPr>
          <w:spacing w:val="-3"/>
        </w:rPr>
        <w:t> </w:t>
      </w:r>
      <w:r>
        <w:rPr/>
        <w:t>enterprise</w:t>
      </w:r>
      <w:r>
        <w:rPr>
          <w:spacing w:val="-3"/>
        </w:rPr>
        <w:t> </w:t>
      </w:r>
      <w:r>
        <w:rPr/>
        <w:t>sales</w:t>
      </w:r>
      <w:r>
        <w:rPr>
          <w:spacing w:val="-3"/>
        </w:rPr>
        <w:t> </w:t>
      </w:r>
      <w:r>
        <w:rPr/>
        <w:t>pattern</w:t>
      </w:r>
      <w:r>
        <w:rPr>
          <w:spacing w:val="-3"/>
        </w:rPr>
        <w:t> </w:t>
      </w:r>
      <w:r>
        <w:rPr/>
        <w:t>has</w:t>
      </w:r>
      <w:r>
        <w:rPr>
          <w:spacing w:val="-3"/>
        </w:rPr>
        <w:t> </w:t>
      </w:r>
      <w:r>
        <w:rPr/>
        <w:t>historically</w:t>
      </w:r>
      <w:r>
        <w:rPr>
          <w:spacing w:val="-3"/>
        </w:rPr>
        <w:t> </w:t>
      </w:r>
      <w:r>
        <w:rPr/>
        <w:t>been</w:t>
      </w:r>
      <w:r>
        <w:rPr>
          <w:spacing w:val="-3"/>
        </w:rPr>
        <w:t> </w:t>
      </w:r>
      <w:r>
        <w:rPr/>
        <w:t>uneven,</w:t>
      </w:r>
      <w:r>
        <w:rPr>
          <w:spacing w:val="-3"/>
        </w:rPr>
        <w:t> </w:t>
      </w:r>
      <w:r>
        <w:rPr/>
        <w:t>where a</w:t>
      </w:r>
      <w:r>
        <w:rPr>
          <w:spacing w:val="-4"/>
        </w:rPr>
        <w:t> </w:t>
      </w:r>
      <w:r>
        <w:rPr/>
        <w:t>higher</w:t>
      </w:r>
      <w:r>
        <w:rPr>
          <w:spacing w:val="-5"/>
        </w:rPr>
        <w:t> </w:t>
      </w:r>
      <w:r>
        <w:rPr/>
        <w:t>percentage</w:t>
      </w:r>
      <w:r>
        <w:rPr>
          <w:spacing w:val="-4"/>
        </w:rPr>
        <w:t> </w:t>
      </w:r>
      <w:r>
        <w:rPr/>
        <w:t>of</w:t>
      </w:r>
      <w:r>
        <w:rPr>
          <w:spacing w:val="-5"/>
        </w:rPr>
        <w:t> </w:t>
      </w:r>
      <w:r>
        <w:rPr/>
        <w:t>a</w:t>
      </w:r>
      <w:r>
        <w:rPr>
          <w:spacing w:val="-4"/>
        </w:rPr>
        <w:t> </w:t>
      </w:r>
      <w:r>
        <w:rPr/>
        <w:t>quarter’s</w:t>
      </w:r>
      <w:r>
        <w:rPr>
          <w:spacing w:val="-5"/>
        </w:rPr>
        <w:t> </w:t>
      </w:r>
      <w:r>
        <w:rPr/>
        <w:t>total</w:t>
      </w:r>
      <w:r>
        <w:rPr>
          <w:spacing w:val="-4"/>
        </w:rPr>
        <w:t> </w:t>
      </w:r>
      <w:r>
        <w:rPr/>
        <w:t>sales</w:t>
      </w:r>
      <w:r>
        <w:rPr>
          <w:spacing w:val="-5"/>
        </w:rPr>
        <w:t> </w:t>
      </w:r>
      <w:r>
        <w:rPr/>
        <w:t>occur</w:t>
      </w:r>
      <w:r>
        <w:rPr>
          <w:spacing w:val="-4"/>
        </w:rPr>
        <w:t> </w:t>
      </w:r>
      <w:r>
        <w:rPr/>
        <w:t>during</w:t>
      </w:r>
      <w:r>
        <w:rPr>
          <w:spacing w:val="-5"/>
        </w:rPr>
        <w:t> </w:t>
      </w:r>
      <w:r>
        <w:rPr/>
        <w:t>the</w:t>
      </w:r>
      <w:r>
        <w:rPr>
          <w:spacing w:val="-4"/>
        </w:rPr>
        <w:t> </w:t>
      </w:r>
      <w:r>
        <w:rPr/>
        <w:t>final</w:t>
      </w:r>
      <w:r>
        <w:rPr>
          <w:spacing w:val="-5"/>
        </w:rPr>
        <w:t> </w:t>
      </w:r>
      <w:r>
        <w:rPr/>
        <w:t>weeks</w:t>
      </w:r>
      <w:r>
        <w:rPr>
          <w:spacing w:val="-4"/>
        </w:rPr>
        <w:t> </w:t>
      </w:r>
      <w:r>
        <w:rPr/>
        <w:t>of</w:t>
      </w:r>
      <w:r>
        <w:rPr>
          <w:spacing w:val="-5"/>
        </w:rPr>
        <w:t> </w:t>
      </w:r>
      <w:r>
        <w:rPr/>
        <w:t>each</w:t>
      </w:r>
      <w:r>
        <w:rPr>
          <w:spacing w:val="-4"/>
        </w:rPr>
        <w:t> </w:t>
      </w:r>
      <w:r>
        <w:rPr/>
        <w:t>quarter,</w:t>
      </w:r>
      <w:r>
        <w:rPr>
          <w:spacing w:val="-5"/>
        </w:rPr>
        <w:t> </w:t>
      </w:r>
      <w:r>
        <w:rPr/>
        <w:t>which</w:t>
      </w:r>
      <w:r>
        <w:rPr>
          <w:spacing w:val="-4"/>
        </w:rPr>
        <w:t> </w:t>
      </w:r>
      <w:r>
        <w:rPr/>
        <w:t>is</w:t>
      </w:r>
      <w:r>
        <w:rPr>
          <w:spacing w:val="-5"/>
        </w:rPr>
        <w:t> </w:t>
      </w:r>
      <w:r>
        <w:rPr/>
        <w:t>common</w:t>
      </w:r>
      <w:r>
        <w:rPr>
          <w:spacing w:val="-4"/>
        </w:rPr>
        <w:t> </w:t>
      </w:r>
      <w:r>
        <w:rPr/>
        <w:t>in</w:t>
      </w:r>
      <w:r>
        <w:rPr>
          <w:spacing w:val="-5"/>
        </w:rPr>
        <w:t> </w:t>
      </w:r>
      <w:r>
        <w:rPr/>
        <w:t>our</w:t>
      </w:r>
      <w:r>
        <w:rPr>
          <w:spacing w:val="-4"/>
        </w:rPr>
        <w:t> </w:t>
      </w:r>
      <w:r>
        <w:rPr/>
        <w:t>industry.</w:t>
      </w:r>
      <w:r>
        <w:rPr>
          <w:spacing w:val="40"/>
        </w:rPr>
        <w:t> </w:t>
      </w:r>
      <w:r>
        <w:rPr/>
        <w:t>Our extended sales cycle for these products and services makes it difficult to predict when a given sales cycle will close.</w:t>
      </w:r>
    </w:p>
    <w:p>
      <w:pPr>
        <w:pStyle w:val="Heading3"/>
        <w:spacing w:before="184"/>
      </w:pPr>
      <w:r>
        <w:rPr/>
        <w:t>Subscription</w:t>
      </w:r>
      <w:r>
        <w:rPr>
          <w:spacing w:val="-4"/>
        </w:rPr>
        <w:t> </w:t>
      </w:r>
      <w:r>
        <w:rPr/>
        <w:t>offerings</w:t>
      </w:r>
      <w:r>
        <w:rPr>
          <w:spacing w:val="-3"/>
        </w:rPr>
        <w:t> </w:t>
      </w:r>
      <w:r>
        <w:rPr/>
        <w:t>could</w:t>
      </w:r>
      <w:r>
        <w:rPr>
          <w:spacing w:val="-2"/>
        </w:rPr>
        <w:t> </w:t>
      </w:r>
      <w:r>
        <w:rPr/>
        <w:t>create</w:t>
      </w:r>
      <w:r>
        <w:rPr>
          <w:spacing w:val="-3"/>
        </w:rPr>
        <w:t> </w:t>
      </w:r>
      <w:r>
        <w:rPr/>
        <w:t>risks</w:t>
      </w:r>
      <w:r>
        <w:rPr>
          <w:spacing w:val="-3"/>
        </w:rPr>
        <w:t> </w:t>
      </w:r>
      <w:r>
        <w:rPr/>
        <w:t>related</w:t>
      </w:r>
      <w:r>
        <w:rPr>
          <w:spacing w:val="-2"/>
        </w:rPr>
        <w:t> </w:t>
      </w:r>
      <w:r>
        <w:rPr/>
        <w:t>to</w:t>
      </w:r>
      <w:r>
        <w:rPr>
          <w:spacing w:val="-2"/>
        </w:rPr>
        <w:t> </w:t>
      </w:r>
      <w:r>
        <w:rPr/>
        <w:t>the</w:t>
      </w:r>
      <w:r>
        <w:rPr>
          <w:spacing w:val="-3"/>
        </w:rPr>
        <w:t> </w:t>
      </w:r>
      <w:r>
        <w:rPr/>
        <w:t>timing</w:t>
      </w:r>
      <w:r>
        <w:rPr>
          <w:spacing w:val="-2"/>
        </w:rPr>
        <w:t> </w:t>
      </w:r>
      <w:r>
        <w:rPr/>
        <w:t>of</w:t>
      </w:r>
      <w:r>
        <w:rPr>
          <w:spacing w:val="-2"/>
        </w:rPr>
        <w:t> </w:t>
      </w:r>
      <w:r>
        <w:rPr/>
        <w:t>revenue</w:t>
      </w:r>
      <w:r>
        <w:rPr>
          <w:spacing w:val="-2"/>
        </w:rPr>
        <w:t> recognition.</w:t>
      </w:r>
    </w:p>
    <w:p>
      <w:pPr>
        <w:pStyle w:val="BodyText"/>
        <w:spacing w:line="249" w:lineRule="auto" w:before="190"/>
        <w:ind w:left="210" w:right="240" w:firstLine="720"/>
      </w:pPr>
      <w:r>
        <w:rPr/>
        <w:t>We generally recognize revenue from subscription offerings ratably over the terms of their subscription agreements, which range from 1 to 36 months.</w:t>
      </w:r>
      <w:r>
        <w:rPr>
          <w:spacing w:val="-7"/>
        </w:rPr>
        <w:t> </w:t>
      </w:r>
      <w:r>
        <w:rPr/>
        <w:t>As a result, most of the subscription revenue we report in each quarter is the result of subscription</w:t>
      </w:r>
      <w:r>
        <w:rPr>
          <w:spacing w:val="-1"/>
        </w:rPr>
        <w:t> </w:t>
      </w:r>
      <w:r>
        <w:rPr/>
        <w:t>agreements</w:t>
      </w:r>
      <w:r>
        <w:rPr>
          <w:spacing w:val="-2"/>
        </w:rPr>
        <w:t> </w:t>
      </w:r>
      <w:r>
        <w:rPr/>
        <w:t>entered</w:t>
      </w:r>
      <w:r>
        <w:rPr>
          <w:spacing w:val="-1"/>
        </w:rPr>
        <w:t> </w:t>
      </w:r>
      <w:r>
        <w:rPr/>
        <w:t>into</w:t>
      </w:r>
      <w:r>
        <w:rPr>
          <w:spacing w:val="-1"/>
        </w:rPr>
        <w:t> </w:t>
      </w:r>
      <w:r>
        <w:rPr/>
        <w:t>during</w:t>
      </w:r>
      <w:r>
        <w:rPr>
          <w:spacing w:val="-1"/>
        </w:rPr>
        <w:t> </w:t>
      </w:r>
      <w:r>
        <w:rPr/>
        <w:t>previous</w:t>
      </w:r>
      <w:r>
        <w:rPr>
          <w:spacing w:val="-2"/>
        </w:rPr>
        <w:t> </w:t>
      </w:r>
      <w:r>
        <w:rPr/>
        <w:t>quarters.</w:t>
      </w:r>
      <w:r>
        <w:rPr>
          <w:spacing w:val="-12"/>
        </w:rPr>
        <w:t> </w:t>
      </w:r>
      <w:r>
        <w:rPr/>
        <w:t>Any</w:t>
      </w:r>
      <w:r>
        <w:rPr>
          <w:spacing w:val="-1"/>
        </w:rPr>
        <w:t> </w:t>
      </w:r>
      <w:r>
        <w:rPr/>
        <w:t>reduction</w:t>
      </w:r>
      <w:r>
        <w:rPr>
          <w:spacing w:val="-1"/>
        </w:rPr>
        <w:t> </w:t>
      </w:r>
      <w:r>
        <w:rPr/>
        <w:t>in</w:t>
      </w:r>
      <w:r>
        <w:rPr>
          <w:spacing w:val="-1"/>
        </w:rPr>
        <w:t> </w:t>
      </w:r>
      <w:r>
        <w:rPr/>
        <w:t>new</w:t>
      </w:r>
      <w:r>
        <w:rPr>
          <w:spacing w:val="-2"/>
        </w:rPr>
        <w:t> </w:t>
      </w:r>
      <w:r>
        <w:rPr/>
        <w:t>or</w:t>
      </w:r>
      <w:r>
        <w:rPr>
          <w:spacing w:val="-1"/>
        </w:rPr>
        <w:t> </w:t>
      </w:r>
      <w:r>
        <w:rPr/>
        <w:t>renewed</w:t>
      </w:r>
      <w:r>
        <w:rPr>
          <w:spacing w:val="-1"/>
        </w:rPr>
        <w:t> </w:t>
      </w:r>
      <w:r>
        <w:rPr/>
        <w:t>subscriptions</w:t>
      </w:r>
      <w:r>
        <w:rPr>
          <w:spacing w:val="-2"/>
        </w:rPr>
        <w:t> </w:t>
      </w:r>
      <w:r>
        <w:rPr/>
        <w:t>in</w:t>
      </w:r>
      <w:r>
        <w:rPr>
          <w:spacing w:val="-1"/>
        </w:rPr>
        <w:t> </w:t>
      </w:r>
      <w:r>
        <w:rPr/>
        <w:t>a</w:t>
      </w:r>
      <w:r>
        <w:rPr>
          <w:spacing w:val="-1"/>
        </w:rPr>
        <w:t> </w:t>
      </w:r>
      <w:r>
        <w:rPr/>
        <w:t>quarter</w:t>
      </w:r>
      <w:r>
        <w:rPr>
          <w:spacing w:val="-1"/>
        </w:rPr>
        <w:t> </w:t>
      </w:r>
      <w:r>
        <w:rPr/>
        <w:t>may not</w:t>
      </w:r>
      <w:r>
        <w:rPr>
          <w:spacing w:val="-3"/>
        </w:rPr>
        <w:t> </w:t>
      </w:r>
      <w:r>
        <w:rPr/>
        <w:t>be</w:t>
      </w:r>
      <w:r>
        <w:rPr>
          <w:spacing w:val="-3"/>
        </w:rPr>
        <w:t> </w:t>
      </w:r>
      <w:r>
        <w:rPr/>
        <w:t>reflected</w:t>
      </w:r>
      <w:r>
        <w:rPr>
          <w:spacing w:val="-3"/>
        </w:rPr>
        <w:t> </w:t>
      </w:r>
      <w:r>
        <w:rPr/>
        <w:t>in</w:t>
      </w:r>
      <w:r>
        <w:rPr>
          <w:spacing w:val="-3"/>
        </w:rPr>
        <w:t> </w:t>
      </w:r>
      <w:r>
        <w:rPr/>
        <w:t>our</w:t>
      </w:r>
      <w:r>
        <w:rPr>
          <w:spacing w:val="-3"/>
        </w:rPr>
        <w:t> </w:t>
      </w:r>
      <w:r>
        <w:rPr/>
        <w:t>revenue</w:t>
      </w:r>
      <w:r>
        <w:rPr>
          <w:spacing w:val="-3"/>
        </w:rPr>
        <w:t> </w:t>
      </w:r>
      <w:r>
        <w:rPr/>
        <w:t>results</w:t>
      </w:r>
      <w:r>
        <w:rPr>
          <w:spacing w:val="-4"/>
        </w:rPr>
        <w:t> </w:t>
      </w:r>
      <w:r>
        <w:rPr/>
        <w:t>until</w:t>
      </w:r>
      <w:r>
        <w:rPr>
          <w:spacing w:val="-3"/>
        </w:rPr>
        <w:t> </w:t>
      </w:r>
      <w:r>
        <w:rPr/>
        <w:t>a</w:t>
      </w:r>
      <w:r>
        <w:rPr>
          <w:spacing w:val="-3"/>
        </w:rPr>
        <w:t> </w:t>
      </w:r>
      <w:r>
        <w:rPr/>
        <w:t>later</w:t>
      </w:r>
      <w:r>
        <w:rPr>
          <w:spacing w:val="-3"/>
        </w:rPr>
        <w:t> </w:t>
      </w:r>
      <w:r>
        <w:rPr/>
        <w:t>quarter.</w:t>
      </w:r>
      <w:r>
        <w:rPr>
          <w:spacing w:val="40"/>
        </w:rPr>
        <w:t> </w:t>
      </w:r>
      <w:r>
        <w:rPr/>
        <w:t>Declines</w:t>
      </w:r>
      <w:r>
        <w:rPr>
          <w:spacing w:val="-4"/>
        </w:rPr>
        <w:t> </w:t>
      </w:r>
      <w:r>
        <w:rPr/>
        <w:t>in</w:t>
      </w:r>
      <w:r>
        <w:rPr>
          <w:spacing w:val="-3"/>
        </w:rPr>
        <w:t> </w:t>
      </w:r>
      <w:r>
        <w:rPr/>
        <w:t>new</w:t>
      </w:r>
      <w:r>
        <w:rPr>
          <w:spacing w:val="-4"/>
        </w:rPr>
        <w:t> </w:t>
      </w:r>
      <w:r>
        <w:rPr/>
        <w:t>or</w:t>
      </w:r>
      <w:r>
        <w:rPr>
          <w:spacing w:val="-3"/>
        </w:rPr>
        <w:t> </w:t>
      </w:r>
      <w:r>
        <w:rPr/>
        <w:t>renewed</w:t>
      </w:r>
      <w:r>
        <w:rPr>
          <w:spacing w:val="-3"/>
        </w:rPr>
        <w:t> </w:t>
      </w:r>
      <w:r>
        <w:rPr/>
        <w:t>subscriptions</w:t>
      </w:r>
      <w:r>
        <w:rPr>
          <w:spacing w:val="-4"/>
        </w:rPr>
        <w:t> </w:t>
      </w:r>
      <w:r>
        <w:rPr/>
        <w:t>may</w:t>
      </w:r>
      <w:r>
        <w:rPr>
          <w:spacing w:val="-3"/>
        </w:rPr>
        <w:t> </w:t>
      </w:r>
      <w:r>
        <w:rPr/>
        <w:t>decrease</w:t>
      </w:r>
      <w:r>
        <w:rPr>
          <w:spacing w:val="-3"/>
        </w:rPr>
        <w:t> </w:t>
      </w:r>
      <w:r>
        <w:rPr/>
        <w:t>our</w:t>
      </w:r>
      <w:r>
        <w:rPr>
          <w:spacing w:val="-3"/>
        </w:rPr>
        <w:t> </w:t>
      </w:r>
      <w:r>
        <w:rPr/>
        <w:t>revenue in future quarters.</w:t>
      </w:r>
      <w:r>
        <w:rPr>
          <w:spacing w:val="40"/>
        </w:rPr>
        <w:t> </w:t>
      </w:r>
      <w:r>
        <w:rPr/>
        <w:t>Lower sales, reduced demand for our products and services, and increases in our attrition rate may not be fully reflected in our results of operations until future periods. Our subscription model could also make it difficult for us to rapidly</w:t>
      </w:r>
      <w:r>
        <w:rPr>
          <w:spacing w:val="-2"/>
        </w:rPr>
        <w:t> </w:t>
      </w:r>
      <w:r>
        <w:rPr/>
        <w:t>increase</w:t>
      </w:r>
      <w:r>
        <w:rPr>
          <w:spacing w:val="-2"/>
        </w:rPr>
        <w:t> </w:t>
      </w:r>
      <w:r>
        <w:rPr/>
        <w:t>our</w:t>
      </w:r>
      <w:r>
        <w:rPr>
          <w:spacing w:val="-2"/>
        </w:rPr>
        <w:t> </w:t>
      </w:r>
      <w:r>
        <w:rPr/>
        <w:t>revenue</w:t>
      </w:r>
      <w:r>
        <w:rPr>
          <w:spacing w:val="-2"/>
        </w:rPr>
        <w:t> </w:t>
      </w:r>
      <w:r>
        <w:rPr/>
        <w:t>from</w:t>
      </w:r>
      <w:r>
        <w:rPr>
          <w:spacing w:val="-2"/>
        </w:rPr>
        <w:t> </w:t>
      </w:r>
      <w:r>
        <w:rPr/>
        <w:t>subscription-based</w:t>
      </w:r>
      <w:r>
        <w:rPr>
          <w:spacing w:val="-2"/>
        </w:rPr>
        <w:t> </w:t>
      </w:r>
      <w:r>
        <w:rPr/>
        <w:t>or</w:t>
      </w:r>
      <w:r>
        <w:rPr>
          <w:spacing w:val="-2"/>
        </w:rPr>
        <w:t> </w:t>
      </w:r>
      <w:r>
        <w:rPr/>
        <w:t>hosted</w:t>
      </w:r>
      <w:r>
        <w:rPr>
          <w:spacing w:val="-2"/>
        </w:rPr>
        <w:t> </w:t>
      </w:r>
      <w:r>
        <w:rPr/>
        <w:t>services</w:t>
      </w:r>
      <w:r>
        <w:rPr>
          <w:spacing w:val="-3"/>
        </w:rPr>
        <w:t> </w:t>
      </w:r>
      <w:r>
        <w:rPr/>
        <w:t>through</w:t>
      </w:r>
      <w:r>
        <w:rPr>
          <w:spacing w:val="-2"/>
        </w:rPr>
        <w:t> </w:t>
      </w:r>
      <w:r>
        <w:rPr/>
        <w:t>additional</w:t>
      </w:r>
      <w:r>
        <w:rPr>
          <w:spacing w:val="-2"/>
        </w:rPr>
        <w:t> </w:t>
      </w:r>
      <w:r>
        <w:rPr/>
        <w:t>sales</w:t>
      </w:r>
      <w:r>
        <w:rPr>
          <w:spacing w:val="-3"/>
        </w:rPr>
        <w:t> </w:t>
      </w:r>
      <w:r>
        <w:rPr/>
        <w:t>in</w:t>
      </w:r>
      <w:r>
        <w:rPr>
          <w:spacing w:val="-2"/>
        </w:rPr>
        <w:t> </w:t>
      </w:r>
      <w:r>
        <w:rPr/>
        <w:t>any</w:t>
      </w:r>
      <w:r>
        <w:rPr>
          <w:spacing w:val="-2"/>
        </w:rPr>
        <w:t> </w:t>
      </w:r>
      <w:r>
        <w:rPr/>
        <w:t>period,</w:t>
      </w:r>
      <w:r>
        <w:rPr>
          <w:spacing w:val="-2"/>
        </w:rPr>
        <w:t> </w:t>
      </w:r>
      <w:r>
        <w:rPr/>
        <w:t>as</w:t>
      </w:r>
      <w:r>
        <w:rPr>
          <w:spacing w:val="-3"/>
        </w:rPr>
        <w:t> </w:t>
      </w:r>
      <w:r>
        <w:rPr/>
        <w:t>revenue</w:t>
      </w:r>
      <w:r>
        <w:rPr>
          <w:spacing w:val="-2"/>
        </w:rPr>
        <w:t> </w:t>
      </w:r>
      <w:r>
        <w:rPr/>
        <w:t>from new customers will be recognized over the applicable subscription term.</w:t>
      </w:r>
    </w:p>
    <w:p>
      <w:pPr>
        <w:pStyle w:val="BodyText"/>
        <w:spacing w:line="249" w:lineRule="auto" w:before="187"/>
        <w:ind w:left="210" w:right="413" w:firstLine="720"/>
      </w:pPr>
      <w:r>
        <w:rPr/>
        <w:t>Additionally, in connection with our sales efforts to enterprise customers and our use of ETLAs, a number of factors could</w:t>
      </w:r>
      <w:r>
        <w:rPr>
          <w:spacing w:val="-3"/>
        </w:rPr>
        <w:t> </w:t>
      </w:r>
      <w:r>
        <w:rPr/>
        <w:t>affect</w:t>
      </w:r>
      <w:r>
        <w:rPr>
          <w:spacing w:val="-3"/>
        </w:rPr>
        <w:t> </w:t>
      </w:r>
      <w:r>
        <w:rPr/>
        <w:t>our</w:t>
      </w:r>
      <w:r>
        <w:rPr>
          <w:spacing w:val="-3"/>
        </w:rPr>
        <w:t> </w:t>
      </w:r>
      <w:r>
        <w:rPr/>
        <w:t>revenue,</w:t>
      </w:r>
      <w:r>
        <w:rPr>
          <w:spacing w:val="-3"/>
        </w:rPr>
        <w:t> </w:t>
      </w:r>
      <w:r>
        <w:rPr/>
        <w:t>including</w:t>
      </w:r>
      <w:r>
        <w:rPr>
          <w:spacing w:val="-3"/>
        </w:rPr>
        <w:t> </w:t>
      </w:r>
      <w:r>
        <w:rPr/>
        <w:t>longer-than-expected</w:t>
      </w:r>
      <w:r>
        <w:rPr>
          <w:spacing w:val="-3"/>
        </w:rPr>
        <w:t> </w:t>
      </w:r>
      <w:r>
        <w:rPr/>
        <w:t>sales</w:t>
      </w:r>
      <w:r>
        <w:rPr>
          <w:spacing w:val="-4"/>
        </w:rPr>
        <w:t> </w:t>
      </w:r>
      <w:r>
        <w:rPr/>
        <w:t>and</w:t>
      </w:r>
      <w:r>
        <w:rPr>
          <w:spacing w:val="-3"/>
        </w:rPr>
        <w:t> </w:t>
      </w:r>
      <w:r>
        <w:rPr/>
        <w:t>implementation</w:t>
      </w:r>
      <w:r>
        <w:rPr>
          <w:spacing w:val="-3"/>
        </w:rPr>
        <w:t> </w:t>
      </w:r>
      <w:r>
        <w:rPr/>
        <w:t>cycles,</w:t>
      </w:r>
      <w:r>
        <w:rPr>
          <w:spacing w:val="-3"/>
        </w:rPr>
        <w:t> </w:t>
      </w:r>
      <w:r>
        <w:rPr/>
        <w:t>potential</w:t>
      </w:r>
      <w:r>
        <w:rPr>
          <w:spacing w:val="-3"/>
        </w:rPr>
        <w:t> </w:t>
      </w:r>
      <w:r>
        <w:rPr/>
        <w:t>deferral</w:t>
      </w:r>
      <w:r>
        <w:rPr>
          <w:spacing w:val="-3"/>
        </w:rPr>
        <w:t> </w:t>
      </w:r>
      <w:r>
        <w:rPr/>
        <w:t>of</w:t>
      </w:r>
      <w:r>
        <w:rPr>
          <w:spacing w:val="-3"/>
        </w:rPr>
        <w:t> </w:t>
      </w:r>
      <w:r>
        <w:rPr/>
        <w:t>revenue</w:t>
      </w:r>
      <w:r>
        <w:rPr>
          <w:spacing w:val="-3"/>
        </w:rPr>
        <w:t> </w:t>
      </w:r>
      <w:r>
        <w:rPr/>
        <w:t>due</w:t>
      </w:r>
      <w:r>
        <w:rPr>
          <w:spacing w:val="-3"/>
        </w:rPr>
        <w:t> </w:t>
      </w:r>
      <w:r>
        <w:rPr/>
        <w:t>to multiple-element</w:t>
      </w:r>
      <w:r>
        <w:rPr>
          <w:spacing w:val="-1"/>
        </w:rPr>
        <w:t> </w:t>
      </w:r>
      <w:r>
        <w:rPr/>
        <w:t>revenue</w:t>
      </w:r>
      <w:r>
        <w:rPr>
          <w:spacing w:val="-1"/>
        </w:rPr>
        <w:t> </w:t>
      </w:r>
      <w:r>
        <w:rPr/>
        <w:t>arrangements</w:t>
      </w:r>
      <w:r>
        <w:rPr>
          <w:spacing w:val="-2"/>
        </w:rPr>
        <w:t> </w:t>
      </w:r>
      <w:r>
        <w:rPr/>
        <w:t>and</w:t>
      </w:r>
      <w:r>
        <w:rPr>
          <w:spacing w:val="-1"/>
        </w:rPr>
        <w:t> </w:t>
      </w:r>
      <w:r>
        <w:rPr/>
        <w:t>alternative</w:t>
      </w:r>
      <w:r>
        <w:rPr>
          <w:spacing w:val="-1"/>
        </w:rPr>
        <w:t> </w:t>
      </w:r>
      <w:r>
        <w:rPr/>
        <w:t>licensing</w:t>
      </w:r>
      <w:r>
        <w:rPr>
          <w:spacing w:val="-1"/>
        </w:rPr>
        <w:t> </w:t>
      </w:r>
      <w:r>
        <w:rPr/>
        <w:t>arrangements.</w:t>
      </w:r>
      <w:r>
        <w:rPr>
          <w:spacing w:val="-1"/>
        </w:rPr>
        <w:t> </w:t>
      </w:r>
      <w:r>
        <w:rPr/>
        <w:t>If</w:t>
      </w:r>
      <w:r>
        <w:rPr>
          <w:spacing w:val="-1"/>
        </w:rPr>
        <w:t> </w:t>
      </w:r>
      <w:r>
        <w:rPr/>
        <w:t>any</w:t>
      </w:r>
      <w:r>
        <w:rPr>
          <w:spacing w:val="-1"/>
        </w:rPr>
        <w:t> </w:t>
      </w:r>
      <w:r>
        <w:rPr/>
        <w:t>of</w:t>
      </w:r>
      <w:r>
        <w:rPr>
          <w:spacing w:val="-1"/>
        </w:rPr>
        <w:t> </w:t>
      </w:r>
      <w:r>
        <w:rPr/>
        <w:t>our</w:t>
      </w:r>
      <w:r>
        <w:rPr>
          <w:spacing w:val="-1"/>
        </w:rPr>
        <w:t> </w:t>
      </w:r>
      <w:r>
        <w:rPr/>
        <w:t>assumptions</w:t>
      </w:r>
      <w:r>
        <w:rPr>
          <w:spacing w:val="-2"/>
        </w:rPr>
        <w:t> </w:t>
      </w:r>
      <w:r>
        <w:rPr/>
        <w:t>about</w:t>
      </w:r>
      <w:r>
        <w:rPr>
          <w:spacing w:val="-1"/>
        </w:rPr>
        <w:t> </w:t>
      </w:r>
      <w:r>
        <w:rPr/>
        <w:t>revenue</w:t>
      </w:r>
      <w:r>
        <w:rPr>
          <w:spacing w:val="-1"/>
        </w:rPr>
        <w:t> </w:t>
      </w:r>
      <w:r>
        <w:rPr/>
        <w:t>from our subscription-based offerings prove incorrect, our actual results may vary materially from those anticipated.</w:t>
      </w:r>
    </w:p>
    <w:p>
      <w:pPr>
        <w:pStyle w:val="Heading3"/>
        <w:spacing w:line="249" w:lineRule="auto" w:before="183"/>
        <w:ind w:right="240"/>
      </w:pPr>
      <w:r>
        <w:rPr/>
        <w:t>If</w:t>
      </w:r>
      <w:r>
        <w:rPr>
          <w:spacing w:val="-2"/>
        </w:rPr>
        <w:t> </w:t>
      </w:r>
      <w:r>
        <w:rPr/>
        <w:t>our</w:t>
      </w:r>
      <w:r>
        <w:rPr>
          <w:spacing w:val="-3"/>
        </w:rPr>
        <w:t> </w:t>
      </w:r>
      <w:r>
        <w:rPr/>
        <w:t>customers</w:t>
      </w:r>
      <w:r>
        <w:rPr>
          <w:spacing w:val="-3"/>
        </w:rPr>
        <w:t> </w:t>
      </w:r>
      <w:r>
        <w:rPr/>
        <w:t>fail</w:t>
      </w:r>
      <w:r>
        <w:rPr>
          <w:spacing w:val="-2"/>
        </w:rPr>
        <w:t> </w:t>
      </w:r>
      <w:r>
        <w:rPr/>
        <w:t>to</w:t>
      </w:r>
      <w:r>
        <w:rPr>
          <w:spacing w:val="-2"/>
        </w:rPr>
        <w:t> </w:t>
      </w:r>
      <w:r>
        <w:rPr/>
        <w:t>renew</w:t>
      </w:r>
      <w:r>
        <w:rPr>
          <w:spacing w:val="-2"/>
        </w:rPr>
        <w:t> </w:t>
      </w:r>
      <w:r>
        <w:rPr/>
        <w:t>subscriptions</w:t>
      </w:r>
      <w:r>
        <w:rPr>
          <w:spacing w:val="-3"/>
        </w:rPr>
        <w:t> </w:t>
      </w:r>
      <w:r>
        <w:rPr/>
        <w:t>in</w:t>
      </w:r>
      <w:r>
        <w:rPr>
          <w:spacing w:val="-3"/>
        </w:rPr>
        <w:t> </w:t>
      </w:r>
      <w:r>
        <w:rPr/>
        <w:t>accordance</w:t>
      </w:r>
      <w:r>
        <w:rPr>
          <w:spacing w:val="-2"/>
        </w:rPr>
        <w:t> </w:t>
      </w:r>
      <w:r>
        <w:rPr/>
        <w:t>with</w:t>
      </w:r>
      <w:r>
        <w:rPr>
          <w:spacing w:val="-3"/>
        </w:rPr>
        <w:t> </w:t>
      </w:r>
      <w:r>
        <w:rPr/>
        <w:t>our</w:t>
      </w:r>
      <w:r>
        <w:rPr>
          <w:spacing w:val="-3"/>
        </w:rPr>
        <w:t> </w:t>
      </w:r>
      <w:r>
        <w:rPr/>
        <w:t>expectations,</w:t>
      </w:r>
      <w:r>
        <w:rPr>
          <w:spacing w:val="-2"/>
        </w:rPr>
        <w:t> </w:t>
      </w:r>
      <w:r>
        <w:rPr/>
        <w:t>our</w:t>
      </w:r>
      <w:r>
        <w:rPr>
          <w:spacing w:val="-3"/>
        </w:rPr>
        <w:t> </w:t>
      </w:r>
      <w:r>
        <w:rPr/>
        <w:t>future</w:t>
      </w:r>
      <w:r>
        <w:rPr>
          <w:spacing w:val="-2"/>
        </w:rPr>
        <w:t> </w:t>
      </w:r>
      <w:r>
        <w:rPr/>
        <w:t>revenue</w:t>
      </w:r>
      <w:r>
        <w:rPr>
          <w:spacing w:val="-2"/>
        </w:rPr>
        <w:t> </w:t>
      </w:r>
      <w:r>
        <w:rPr/>
        <w:t>and</w:t>
      </w:r>
      <w:r>
        <w:rPr>
          <w:spacing w:val="-2"/>
        </w:rPr>
        <w:t> </w:t>
      </w:r>
      <w:r>
        <w:rPr/>
        <w:t>operating</w:t>
      </w:r>
      <w:r>
        <w:rPr>
          <w:spacing w:val="-2"/>
        </w:rPr>
        <w:t> </w:t>
      </w:r>
      <w:r>
        <w:rPr/>
        <w:t>results could suffer.</w:t>
      </w:r>
    </w:p>
    <w:p>
      <w:pPr>
        <w:pStyle w:val="BodyText"/>
        <w:spacing w:line="249" w:lineRule="auto" w:before="182"/>
        <w:ind w:left="210" w:right="240" w:firstLine="720"/>
      </w:pPr>
      <w:r>
        <w:rPr/>
        <w:t>Our</w:t>
      </w:r>
      <w:r>
        <w:rPr>
          <w:spacing w:val="-4"/>
        </w:rPr>
        <w:t> </w:t>
      </w:r>
      <w:r>
        <w:rPr/>
        <w:t>Adobe Experience Cloud, Creative Cloud, and Document Cloud offerings typically involve subscription based offerings</w:t>
      </w:r>
      <w:r>
        <w:rPr>
          <w:spacing w:val="-4"/>
        </w:rPr>
        <w:t> </w:t>
      </w:r>
      <w:r>
        <w:rPr/>
        <w:t>pursuant</w:t>
      </w:r>
      <w:r>
        <w:rPr>
          <w:spacing w:val="-3"/>
        </w:rPr>
        <w:t> </w:t>
      </w:r>
      <w:r>
        <w:rPr/>
        <w:t>to</w:t>
      </w:r>
      <w:r>
        <w:rPr>
          <w:spacing w:val="-3"/>
        </w:rPr>
        <w:t> </w:t>
      </w:r>
      <w:r>
        <w:rPr/>
        <w:t>product</w:t>
      </w:r>
      <w:r>
        <w:rPr>
          <w:spacing w:val="-3"/>
        </w:rPr>
        <w:t> </w:t>
      </w:r>
      <w:r>
        <w:rPr/>
        <w:t>and</w:t>
      </w:r>
      <w:r>
        <w:rPr>
          <w:spacing w:val="-3"/>
        </w:rPr>
        <w:t> </w:t>
      </w:r>
      <w:r>
        <w:rPr/>
        <w:t>service</w:t>
      </w:r>
      <w:r>
        <w:rPr>
          <w:spacing w:val="-3"/>
        </w:rPr>
        <w:t> </w:t>
      </w:r>
      <w:r>
        <w:rPr/>
        <w:t>agreements.</w:t>
      </w:r>
      <w:r>
        <w:rPr>
          <w:spacing w:val="-3"/>
        </w:rPr>
        <w:t> </w:t>
      </w:r>
      <w:r>
        <w:rPr/>
        <w:t>Revenue</w:t>
      </w:r>
      <w:r>
        <w:rPr>
          <w:spacing w:val="-3"/>
        </w:rPr>
        <w:t> </w:t>
      </w:r>
      <w:r>
        <w:rPr/>
        <w:t>from</w:t>
      </w:r>
      <w:r>
        <w:rPr>
          <w:spacing w:val="-3"/>
        </w:rPr>
        <w:t> </w:t>
      </w:r>
      <w:r>
        <w:rPr/>
        <w:t>our</w:t>
      </w:r>
      <w:r>
        <w:rPr>
          <w:spacing w:val="-3"/>
        </w:rPr>
        <w:t> </w:t>
      </w:r>
      <w:r>
        <w:rPr/>
        <w:t>subscription</w:t>
      </w:r>
      <w:r>
        <w:rPr>
          <w:spacing w:val="-3"/>
        </w:rPr>
        <w:t> </w:t>
      </w:r>
      <w:r>
        <w:rPr/>
        <w:t>customers</w:t>
      </w:r>
      <w:r>
        <w:rPr>
          <w:spacing w:val="-4"/>
        </w:rPr>
        <w:t> </w:t>
      </w:r>
      <w:r>
        <w:rPr/>
        <w:t>is</w:t>
      </w:r>
      <w:r>
        <w:rPr>
          <w:spacing w:val="-4"/>
        </w:rPr>
        <w:t> </w:t>
      </w:r>
      <w:r>
        <w:rPr/>
        <w:t>generally</w:t>
      </w:r>
      <w:r>
        <w:rPr>
          <w:spacing w:val="-3"/>
        </w:rPr>
        <w:t> </w:t>
      </w:r>
      <w:r>
        <w:rPr/>
        <w:t>recognized</w:t>
      </w:r>
      <w:r>
        <w:rPr>
          <w:spacing w:val="-3"/>
        </w:rPr>
        <w:t> </w:t>
      </w:r>
      <w:r>
        <w:rPr/>
        <w:t>ratably over</w:t>
      </w:r>
      <w:r>
        <w:rPr>
          <w:spacing w:val="-2"/>
        </w:rPr>
        <w:t> </w:t>
      </w:r>
      <w:r>
        <w:rPr/>
        <w:t>the</w:t>
      </w:r>
      <w:r>
        <w:rPr>
          <w:spacing w:val="-2"/>
        </w:rPr>
        <w:t> </w:t>
      </w:r>
      <w:r>
        <w:rPr/>
        <w:t>term</w:t>
      </w:r>
      <w:r>
        <w:rPr>
          <w:spacing w:val="-2"/>
        </w:rPr>
        <w:t> </w:t>
      </w:r>
      <w:r>
        <w:rPr/>
        <w:t>of</w:t>
      </w:r>
      <w:r>
        <w:rPr>
          <w:spacing w:val="-2"/>
        </w:rPr>
        <w:t> </w:t>
      </w:r>
      <w:r>
        <w:rPr/>
        <w:t>their</w:t>
      </w:r>
      <w:r>
        <w:rPr>
          <w:spacing w:val="-2"/>
        </w:rPr>
        <w:t> </w:t>
      </w:r>
      <w:r>
        <w:rPr/>
        <w:t>agreements,</w:t>
      </w:r>
      <w:r>
        <w:rPr>
          <w:spacing w:val="-2"/>
        </w:rPr>
        <w:t> </w:t>
      </w:r>
      <w:r>
        <w:rPr/>
        <w:t>which</w:t>
      </w:r>
      <w:r>
        <w:rPr>
          <w:spacing w:val="-2"/>
        </w:rPr>
        <w:t> </w:t>
      </w:r>
      <w:r>
        <w:rPr/>
        <w:t>typically</w:t>
      </w:r>
      <w:r>
        <w:rPr>
          <w:spacing w:val="-2"/>
        </w:rPr>
        <w:t> </w:t>
      </w:r>
      <w:r>
        <w:rPr/>
        <w:t>range</w:t>
      </w:r>
      <w:r>
        <w:rPr>
          <w:spacing w:val="-2"/>
        </w:rPr>
        <w:t> </w:t>
      </w:r>
      <w:r>
        <w:rPr/>
        <w:t>from</w:t>
      </w:r>
      <w:r>
        <w:rPr>
          <w:spacing w:val="-2"/>
        </w:rPr>
        <w:t> </w:t>
      </w:r>
      <w:r>
        <w:rPr/>
        <w:t>1</w:t>
      </w:r>
      <w:r>
        <w:rPr>
          <w:spacing w:val="-2"/>
        </w:rPr>
        <w:t> </w:t>
      </w:r>
      <w:r>
        <w:rPr/>
        <w:t>to</w:t>
      </w:r>
      <w:r>
        <w:rPr>
          <w:spacing w:val="-2"/>
        </w:rPr>
        <w:t> </w:t>
      </w:r>
      <w:r>
        <w:rPr/>
        <w:t>36</w:t>
      </w:r>
      <w:r>
        <w:rPr>
          <w:spacing w:val="-2"/>
        </w:rPr>
        <w:t> </w:t>
      </w:r>
      <w:r>
        <w:rPr/>
        <w:t>months.</w:t>
      </w:r>
      <w:r>
        <w:rPr>
          <w:spacing w:val="40"/>
        </w:rPr>
        <w:t> </w:t>
      </w:r>
      <w:r>
        <w:rPr/>
        <w:t>Our</w:t>
      </w:r>
      <w:r>
        <w:rPr>
          <w:spacing w:val="-2"/>
        </w:rPr>
        <w:t> </w:t>
      </w:r>
      <w:r>
        <w:rPr/>
        <w:t>customers</w:t>
      </w:r>
      <w:r>
        <w:rPr>
          <w:spacing w:val="-3"/>
        </w:rPr>
        <w:t> </w:t>
      </w:r>
      <w:r>
        <w:rPr/>
        <w:t>have</w:t>
      </w:r>
      <w:r>
        <w:rPr>
          <w:spacing w:val="-2"/>
        </w:rPr>
        <w:t> </w:t>
      </w:r>
      <w:r>
        <w:rPr/>
        <w:t>no</w:t>
      </w:r>
      <w:r>
        <w:rPr>
          <w:spacing w:val="-2"/>
        </w:rPr>
        <w:t> </w:t>
      </w:r>
      <w:r>
        <w:rPr/>
        <w:t>obligation</w:t>
      </w:r>
      <w:r>
        <w:rPr>
          <w:spacing w:val="-2"/>
        </w:rPr>
        <w:t> </w:t>
      </w:r>
      <w:r>
        <w:rPr/>
        <w:t>to</w:t>
      </w:r>
      <w:r>
        <w:rPr>
          <w:spacing w:val="-2"/>
        </w:rPr>
        <w:t> </w:t>
      </w:r>
      <w:r>
        <w:rPr/>
        <w:t>renew</w:t>
      </w:r>
      <w:r>
        <w:rPr>
          <w:spacing w:val="-3"/>
        </w:rPr>
        <w:t> </w:t>
      </w:r>
      <w:r>
        <w:rPr/>
        <w:t>their subscriptions for our services after the expiration of their initial subscription period, and customers may not renew their subscriptions at the same or higher level of service, for the same number of seats or for the same duration of time, if at all.</w:t>
      </w:r>
    </w:p>
    <w:p>
      <w:pPr>
        <w:pStyle w:val="BodyText"/>
        <w:spacing w:line="249" w:lineRule="auto" w:before="4"/>
        <w:ind w:left="210" w:right="326"/>
      </w:pPr>
      <w:r>
        <w:rPr/>
        <w:t>Moreover,</w:t>
      </w:r>
      <w:r>
        <w:rPr>
          <w:spacing w:val="-3"/>
        </w:rPr>
        <w:t> </w:t>
      </w:r>
      <w:r>
        <w:rPr/>
        <w:t>under</w:t>
      </w:r>
      <w:r>
        <w:rPr>
          <w:spacing w:val="-3"/>
        </w:rPr>
        <w:t> </w:t>
      </w:r>
      <w:r>
        <w:rPr/>
        <w:t>certain</w:t>
      </w:r>
      <w:r>
        <w:rPr>
          <w:spacing w:val="-3"/>
        </w:rPr>
        <w:t> </w:t>
      </w:r>
      <w:r>
        <w:rPr/>
        <w:t>circumstances,</w:t>
      </w:r>
      <w:r>
        <w:rPr>
          <w:spacing w:val="-3"/>
        </w:rPr>
        <w:t> </w:t>
      </w:r>
      <w:r>
        <w:rPr/>
        <w:t>some</w:t>
      </w:r>
      <w:r>
        <w:rPr>
          <w:spacing w:val="-3"/>
        </w:rPr>
        <w:t> </w:t>
      </w:r>
      <w:r>
        <w:rPr/>
        <w:t>of</w:t>
      </w:r>
      <w:r>
        <w:rPr>
          <w:spacing w:val="-3"/>
        </w:rPr>
        <w:t> </w:t>
      </w:r>
      <w:r>
        <w:rPr/>
        <w:t>our</w:t>
      </w:r>
      <w:r>
        <w:rPr>
          <w:spacing w:val="-3"/>
        </w:rPr>
        <w:t> </w:t>
      </w:r>
      <w:r>
        <w:rPr/>
        <w:t>customers</w:t>
      </w:r>
      <w:r>
        <w:rPr>
          <w:spacing w:val="-4"/>
        </w:rPr>
        <w:t> </w:t>
      </w:r>
      <w:r>
        <w:rPr/>
        <w:t>have</w:t>
      </w:r>
      <w:r>
        <w:rPr>
          <w:spacing w:val="-3"/>
        </w:rPr>
        <w:t> </w:t>
      </w:r>
      <w:r>
        <w:rPr/>
        <w:t>the</w:t>
      </w:r>
      <w:r>
        <w:rPr>
          <w:spacing w:val="-3"/>
        </w:rPr>
        <w:t> </w:t>
      </w:r>
      <w:r>
        <w:rPr/>
        <w:t>right</w:t>
      </w:r>
      <w:r>
        <w:rPr>
          <w:spacing w:val="-3"/>
        </w:rPr>
        <w:t> </w:t>
      </w:r>
      <w:r>
        <w:rPr/>
        <w:t>to</w:t>
      </w:r>
      <w:r>
        <w:rPr>
          <w:spacing w:val="-3"/>
        </w:rPr>
        <w:t> </w:t>
      </w:r>
      <w:r>
        <w:rPr/>
        <w:t>cancel</w:t>
      </w:r>
      <w:r>
        <w:rPr>
          <w:spacing w:val="-3"/>
        </w:rPr>
        <w:t> </w:t>
      </w:r>
      <w:r>
        <w:rPr/>
        <w:t>their</w:t>
      </w:r>
      <w:r>
        <w:rPr>
          <w:spacing w:val="-3"/>
        </w:rPr>
        <w:t> </w:t>
      </w:r>
      <w:r>
        <w:rPr/>
        <w:t>agreements</w:t>
      </w:r>
      <w:r>
        <w:rPr>
          <w:spacing w:val="-4"/>
        </w:rPr>
        <w:t> </w:t>
      </w:r>
      <w:r>
        <w:rPr/>
        <w:t>prior</w:t>
      </w:r>
      <w:r>
        <w:rPr>
          <w:spacing w:val="-3"/>
        </w:rPr>
        <w:t> </w:t>
      </w:r>
      <w:r>
        <w:rPr/>
        <w:t>to</w:t>
      </w:r>
      <w:r>
        <w:rPr>
          <w:spacing w:val="-3"/>
        </w:rPr>
        <w:t> </w:t>
      </w:r>
      <w:r>
        <w:rPr/>
        <w:t>the</w:t>
      </w:r>
      <w:r>
        <w:rPr>
          <w:spacing w:val="-3"/>
        </w:rPr>
        <w:t> </w:t>
      </w:r>
      <w:r>
        <w:rPr/>
        <w:t>expiration of the terms. Our varied customer base combined with the flexibility we offer in the length of our subscription-based agreements</w:t>
      </w:r>
      <w:r>
        <w:rPr>
          <w:spacing w:val="-2"/>
        </w:rPr>
        <w:t> </w:t>
      </w:r>
      <w:r>
        <w:rPr/>
        <w:t>complicates</w:t>
      </w:r>
      <w:r>
        <w:rPr>
          <w:spacing w:val="-2"/>
        </w:rPr>
        <w:t> </w:t>
      </w:r>
      <w:r>
        <w:rPr/>
        <w:t>our</w:t>
      </w:r>
      <w:r>
        <w:rPr>
          <w:spacing w:val="-1"/>
        </w:rPr>
        <w:t> </w:t>
      </w:r>
      <w:r>
        <w:rPr/>
        <w:t>ability</w:t>
      </w:r>
      <w:r>
        <w:rPr>
          <w:spacing w:val="-1"/>
        </w:rPr>
        <w:t> </w:t>
      </w:r>
      <w:r>
        <w:rPr/>
        <w:t>to</w:t>
      </w:r>
      <w:r>
        <w:rPr>
          <w:spacing w:val="-1"/>
        </w:rPr>
        <w:t> </w:t>
      </w:r>
      <w:r>
        <w:rPr/>
        <w:t>precisely</w:t>
      </w:r>
      <w:r>
        <w:rPr>
          <w:spacing w:val="-1"/>
        </w:rPr>
        <w:t> </w:t>
      </w:r>
      <w:r>
        <w:rPr/>
        <w:t>forecast</w:t>
      </w:r>
      <w:r>
        <w:rPr>
          <w:spacing w:val="-1"/>
        </w:rPr>
        <w:t> </w:t>
      </w:r>
      <w:r>
        <w:rPr/>
        <w:t>renewal</w:t>
      </w:r>
      <w:r>
        <w:rPr>
          <w:spacing w:val="-1"/>
        </w:rPr>
        <w:t> </w:t>
      </w:r>
      <w:r>
        <w:rPr/>
        <w:t>rates.</w:t>
      </w:r>
      <w:r>
        <w:rPr>
          <w:spacing w:val="-5"/>
        </w:rPr>
        <w:t> </w:t>
      </w:r>
      <w:r>
        <w:rPr/>
        <w:t>Therefore,</w:t>
      </w:r>
      <w:r>
        <w:rPr>
          <w:spacing w:val="-1"/>
        </w:rPr>
        <w:t> </w:t>
      </w:r>
      <w:r>
        <w:rPr/>
        <w:t>we</w:t>
      </w:r>
      <w:r>
        <w:rPr>
          <w:spacing w:val="-1"/>
        </w:rPr>
        <w:t> </w:t>
      </w:r>
      <w:r>
        <w:rPr/>
        <w:t>cannot</w:t>
      </w:r>
      <w:r>
        <w:rPr>
          <w:spacing w:val="-1"/>
        </w:rPr>
        <w:t> </w:t>
      </w:r>
      <w:r>
        <w:rPr/>
        <w:t>provide</w:t>
      </w:r>
      <w:r>
        <w:rPr>
          <w:spacing w:val="-1"/>
        </w:rPr>
        <w:t> </w:t>
      </w:r>
      <w:r>
        <w:rPr/>
        <w:t>assurance</w:t>
      </w:r>
      <w:r>
        <w:rPr>
          <w:spacing w:val="-1"/>
        </w:rPr>
        <w:t> </w:t>
      </w:r>
      <w:r>
        <w:rPr/>
        <w:t>that</w:t>
      </w:r>
      <w:r>
        <w:rPr>
          <w:spacing w:val="-1"/>
        </w:rPr>
        <w:t> </w:t>
      </w:r>
      <w:r>
        <w:rPr/>
        <w:t>we</w:t>
      </w:r>
      <w:r>
        <w:rPr>
          <w:spacing w:val="-1"/>
        </w:rPr>
        <w:t> </w:t>
      </w:r>
      <w:r>
        <w:rPr/>
        <w:t>will</w:t>
      </w:r>
      <w:r>
        <w:rPr>
          <w:spacing w:val="-1"/>
        </w:rPr>
        <w:t> </w:t>
      </w:r>
      <w:r>
        <w:rPr/>
        <w:t>be able to accurately predict future customer renewal rates.</w:t>
      </w:r>
    </w:p>
    <w:p>
      <w:pPr>
        <w:spacing w:after="0" w:line="249" w:lineRule="auto"/>
        <w:sectPr>
          <w:pgSz w:w="12240" w:h="15840"/>
          <w:pgMar w:header="210" w:footer="579" w:top="420" w:bottom="800" w:left="780" w:right="740"/>
        </w:sectPr>
      </w:pPr>
    </w:p>
    <w:p>
      <w:pPr>
        <w:pStyle w:val="BodyText"/>
        <w:spacing w:before="150"/>
      </w:pPr>
    </w:p>
    <w:p>
      <w:pPr>
        <w:pStyle w:val="BodyText"/>
        <w:spacing w:line="249" w:lineRule="auto"/>
        <w:ind w:left="210" w:right="240" w:firstLine="720"/>
      </w:pPr>
      <w:r>
        <w:rPr/>
        <w:t>Our customers’</w:t>
      </w:r>
      <w:r>
        <w:rPr>
          <w:spacing w:val="-10"/>
        </w:rPr>
        <w:t> </w:t>
      </w:r>
      <w:r>
        <w:rPr/>
        <w:t>renewal rates may decline or fluctuate as a result of a number of factors, including their level of satisfaction with our services, our ability to continue enhancing features and functionality, the reliability (including uptime) of our subscription offerings, the prices of offerings and those offered by our competitors, the actual or perceived information security</w:t>
      </w:r>
      <w:r>
        <w:rPr>
          <w:spacing w:val="-3"/>
        </w:rPr>
        <w:t> </w:t>
      </w:r>
      <w:r>
        <w:rPr/>
        <w:t>of</w:t>
      </w:r>
      <w:r>
        <w:rPr>
          <w:spacing w:val="-2"/>
        </w:rPr>
        <w:t> </w:t>
      </w:r>
      <w:r>
        <w:rPr/>
        <w:t>our</w:t>
      </w:r>
      <w:r>
        <w:rPr>
          <w:spacing w:val="-2"/>
        </w:rPr>
        <w:t> </w:t>
      </w:r>
      <w:r>
        <w:rPr/>
        <w:t>systems</w:t>
      </w:r>
      <w:r>
        <w:rPr>
          <w:spacing w:val="-3"/>
        </w:rPr>
        <w:t> </w:t>
      </w:r>
      <w:r>
        <w:rPr/>
        <w:t>and</w:t>
      </w:r>
      <w:r>
        <w:rPr>
          <w:spacing w:val="-2"/>
        </w:rPr>
        <w:t> </w:t>
      </w:r>
      <w:r>
        <w:rPr/>
        <w:t>services,</w:t>
      </w:r>
      <w:r>
        <w:rPr>
          <w:spacing w:val="-2"/>
        </w:rPr>
        <w:t> </w:t>
      </w:r>
      <w:r>
        <w:rPr/>
        <w:t>decreases</w:t>
      </w:r>
      <w:r>
        <w:rPr>
          <w:spacing w:val="-3"/>
        </w:rPr>
        <w:t> </w:t>
      </w:r>
      <w:r>
        <w:rPr/>
        <w:t>in</w:t>
      </w:r>
      <w:r>
        <w:rPr>
          <w:spacing w:val="-2"/>
        </w:rPr>
        <w:t> </w:t>
      </w:r>
      <w:r>
        <w:rPr/>
        <w:t>the</w:t>
      </w:r>
      <w:r>
        <w:rPr>
          <w:spacing w:val="-2"/>
        </w:rPr>
        <w:t> </w:t>
      </w:r>
      <w:r>
        <w:rPr/>
        <w:t>size</w:t>
      </w:r>
      <w:r>
        <w:rPr>
          <w:spacing w:val="-2"/>
        </w:rPr>
        <w:t> </w:t>
      </w:r>
      <w:r>
        <w:rPr/>
        <w:t>of</w:t>
      </w:r>
      <w:r>
        <w:rPr>
          <w:spacing w:val="-2"/>
        </w:rPr>
        <w:t> </w:t>
      </w:r>
      <w:r>
        <w:rPr/>
        <w:t>our</w:t>
      </w:r>
      <w:r>
        <w:rPr>
          <w:spacing w:val="-2"/>
        </w:rPr>
        <w:t> </w:t>
      </w:r>
      <w:r>
        <w:rPr/>
        <w:t>customer</w:t>
      </w:r>
      <w:r>
        <w:rPr>
          <w:spacing w:val="-2"/>
        </w:rPr>
        <w:t> </w:t>
      </w:r>
      <w:r>
        <w:rPr/>
        <w:t>base,</w:t>
      </w:r>
      <w:r>
        <w:rPr>
          <w:spacing w:val="-2"/>
        </w:rPr>
        <w:t> </w:t>
      </w:r>
      <w:r>
        <w:rPr/>
        <w:t>reductions</w:t>
      </w:r>
      <w:r>
        <w:rPr>
          <w:spacing w:val="-3"/>
        </w:rPr>
        <w:t> </w:t>
      </w:r>
      <w:r>
        <w:rPr/>
        <w:t>in</w:t>
      </w:r>
      <w:r>
        <w:rPr>
          <w:spacing w:val="-2"/>
        </w:rPr>
        <w:t> </w:t>
      </w:r>
      <w:r>
        <w:rPr/>
        <w:t>our</w:t>
      </w:r>
      <w:r>
        <w:rPr>
          <w:spacing w:val="-2"/>
        </w:rPr>
        <w:t> </w:t>
      </w:r>
      <w:r>
        <w:rPr/>
        <w:t>customers’</w:t>
      </w:r>
      <w:r>
        <w:rPr>
          <w:spacing w:val="-15"/>
        </w:rPr>
        <w:t> </w:t>
      </w:r>
      <w:r>
        <w:rPr/>
        <w:t>spending</w:t>
      </w:r>
      <w:r>
        <w:rPr>
          <w:spacing w:val="-2"/>
        </w:rPr>
        <w:t> </w:t>
      </w:r>
      <w:r>
        <w:rPr/>
        <w:t>levels</w:t>
      </w:r>
      <w:r>
        <w:rPr>
          <w:spacing w:val="-3"/>
        </w:rPr>
        <w:t> </w:t>
      </w:r>
      <w:r>
        <w:rPr/>
        <w:t>or declines in customer activity as a result of economic downturns or uncertainty in financial markets. If our customers do not renew their subscriptions or if they renew on terms less favorable to us, our revenue may decline.</w:t>
      </w:r>
    </w:p>
    <w:p>
      <w:pPr>
        <w:pStyle w:val="Heading3"/>
        <w:spacing w:line="249" w:lineRule="auto" w:before="185"/>
        <w:ind w:right="413"/>
      </w:pPr>
      <w:r>
        <w:rPr/>
        <w:t>Security</w:t>
      </w:r>
      <w:r>
        <w:rPr>
          <w:spacing w:val="-3"/>
        </w:rPr>
        <w:t> </w:t>
      </w:r>
      <w:r>
        <w:rPr/>
        <w:t>breaches</w:t>
      </w:r>
      <w:r>
        <w:rPr>
          <w:spacing w:val="-4"/>
        </w:rPr>
        <w:t> </w:t>
      </w:r>
      <w:r>
        <w:rPr/>
        <w:t>in</w:t>
      </w:r>
      <w:r>
        <w:rPr>
          <w:spacing w:val="-4"/>
        </w:rPr>
        <w:t> </w:t>
      </w:r>
      <w:r>
        <w:rPr/>
        <w:t>data</w:t>
      </w:r>
      <w:r>
        <w:rPr>
          <w:spacing w:val="-3"/>
        </w:rPr>
        <w:t> </w:t>
      </w:r>
      <w:r>
        <w:rPr/>
        <w:t>centers</w:t>
      </w:r>
      <w:r>
        <w:rPr>
          <w:spacing w:val="-4"/>
        </w:rPr>
        <w:t> </w:t>
      </w:r>
      <w:r>
        <w:rPr/>
        <w:t>we</w:t>
      </w:r>
      <w:r>
        <w:rPr>
          <w:spacing w:val="-3"/>
        </w:rPr>
        <w:t> </w:t>
      </w:r>
      <w:r>
        <w:rPr/>
        <w:t>manage,</w:t>
      </w:r>
      <w:r>
        <w:rPr>
          <w:spacing w:val="-3"/>
        </w:rPr>
        <w:t> </w:t>
      </w:r>
      <w:r>
        <w:rPr/>
        <w:t>or</w:t>
      </w:r>
      <w:r>
        <w:rPr>
          <w:spacing w:val="-4"/>
        </w:rPr>
        <w:t> </w:t>
      </w:r>
      <w:r>
        <w:rPr/>
        <w:t>third</w:t>
      </w:r>
      <w:r>
        <w:rPr>
          <w:spacing w:val="-3"/>
        </w:rPr>
        <w:t> </w:t>
      </w:r>
      <w:r>
        <w:rPr/>
        <w:t>parties</w:t>
      </w:r>
      <w:r>
        <w:rPr>
          <w:spacing w:val="-4"/>
        </w:rPr>
        <w:t> </w:t>
      </w:r>
      <w:r>
        <w:rPr/>
        <w:t>manage</w:t>
      </w:r>
      <w:r>
        <w:rPr>
          <w:spacing w:val="-3"/>
        </w:rPr>
        <w:t> </w:t>
      </w:r>
      <w:r>
        <w:rPr/>
        <w:t>on</w:t>
      </w:r>
      <w:r>
        <w:rPr>
          <w:spacing w:val="-4"/>
        </w:rPr>
        <w:t> </w:t>
      </w:r>
      <w:r>
        <w:rPr/>
        <w:t>our</w:t>
      </w:r>
      <w:r>
        <w:rPr>
          <w:spacing w:val="-4"/>
        </w:rPr>
        <w:t> </w:t>
      </w:r>
      <w:r>
        <w:rPr/>
        <w:t>behalf,</w:t>
      </w:r>
      <w:r>
        <w:rPr>
          <w:spacing w:val="-3"/>
        </w:rPr>
        <w:t> </w:t>
      </w:r>
      <w:r>
        <w:rPr/>
        <w:t>may</w:t>
      </w:r>
      <w:r>
        <w:rPr>
          <w:spacing w:val="-3"/>
        </w:rPr>
        <w:t> </w:t>
      </w:r>
      <w:r>
        <w:rPr/>
        <w:t>compromise</w:t>
      </w:r>
      <w:r>
        <w:rPr>
          <w:spacing w:val="-3"/>
        </w:rPr>
        <w:t> </w:t>
      </w:r>
      <w:r>
        <w:rPr/>
        <w:t>the</w:t>
      </w:r>
      <w:r>
        <w:rPr>
          <w:spacing w:val="-3"/>
        </w:rPr>
        <w:t> </w:t>
      </w:r>
      <w:r>
        <w:rPr/>
        <w:t>confidentiality, integrity, or availability of employee and customer data, which could expose us to liability and adversely affect our reputation and business.</w:t>
      </w:r>
    </w:p>
    <w:p>
      <w:pPr>
        <w:pStyle w:val="BodyText"/>
        <w:spacing w:line="249" w:lineRule="auto" w:before="182"/>
        <w:ind w:left="210" w:right="247" w:firstLine="540"/>
        <w:jc w:val="both"/>
      </w:pPr>
      <w:r>
        <w:rPr/>
        <w:t>We process and store significant amounts of employee and customer data, most of which is hosted by third-party service providers.</w:t>
      </w:r>
      <w:r>
        <w:rPr>
          <w:spacing w:val="-10"/>
        </w:rPr>
        <w:t> </w:t>
      </w:r>
      <w:r>
        <w:rPr/>
        <w:t>A</w:t>
      </w:r>
      <w:r>
        <w:rPr>
          <w:spacing w:val="-9"/>
        </w:rPr>
        <w:t> </w:t>
      </w:r>
      <w:r>
        <w:rPr/>
        <w:t>security incident impacting our own data centers or those controlled by our service providers may compromise the confidentiality, integrity or availability of this data. Unauthorized access to or disclosure of data stored by</w:t>
      </w:r>
      <w:r>
        <w:rPr>
          <w:spacing w:val="-10"/>
        </w:rPr>
        <w:t> </w:t>
      </w:r>
      <w:r>
        <w:rPr/>
        <w:t>Adobe or our service providers</w:t>
      </w:r>
      <w:r>
        <w:rPr>
          <w:spacing w:val="-8"/>
        </w:rPr>
        <w:t> </w:t>
      </w:r>
      <w:r>
        <w:rPr/>
        <w:t>may</w:t>
      </w:r>
      <w:r>
        <w:rPr>
          <w:spacing w:val="-9"/>
        </w:rPr>
        <w:t> </w:t>
      </w:r>
      <w:r>
        <w:rPr/>
        <w:t>occur</w:t>
      </w:r>
      <w:r>
        <w:rPr>
          <w:spacing w:val="-8"/>
        </w:rPr>
        <w:t> </w:t>
      </w:r>
      <w:r>
        <w:rPr/>
        <w:t>through</w:t>
      </w:r>
      <w:r>
        <w:rPr>
          <w:spacing w:val="-9"/>
        </w:rPr>
        <w:t> </w:t>
      </w:r>
      <w:r>
        <w:rPr/>
        <w:t>break-ins,</w:t>
      </w:r>
      <w:r>
        <w:rPr>
          <w:spacing w:val="-8"/>
        </w:rPr>
        <w:t> </w:t>
      </w:r>
      <w:r>
        <w:rPr/>
        <w:t>breaches</w:t>
      </w:r>
      <w:r>
        <w:rPr>
          <w:spacing w:val="-8"/>
        </w:rPr>
        <w:t> </w:t>
      </w:r>
      <w:r>
        <w:rPr/>
        <w:t>of</w:t>
      </w:r>
      <w:r>
        <w:rPr>
          <w:spacing w:val="-8"/>
        </w:rPr>
        <w:t> </w:t>
      </w:r>
      <w:r>
        <w:rPr/>
        <w:t>a</w:t>
      </w:r>
      <w:r>
        <w:rPr>
          <w:spacing w:val="-8"/>
        </w:rPr>
        <w:t> </w:t>
      </w:r>
      <w:r>
        <w:rPr/>
        <w:t>secure</w:t>
      </w:r>
      <w:r>
        <w:rPr>
          <w:spacing w:val="-9"/>
        </w:rPr>
        <w:t> </w:t>
      </w:r>
      <w:r>
        <w:rPr/>
        <w:t>network</w:t>
      </w:r>
      <w:r>
        <w:rPr>
          <w:spacing w:val="-9"/>
        </w:rPr>
        <w:t> </w:t>
      </w:r>
      <w:r>
        <w:rPr/>
        <w:t>by</w:t>
      </w:r>
      <w:r>
        <w:rPr>
          <w:spacing w:val="-8"/>
        </w:rPr>
        <w:t> </w:t>
      </w:r>
      <w:r>
        <w:rPr/>
        <w:t>an</w:t>
      </w:r>
      <w:r>
        <w:rPr>
          <w:spacing w:val="-8"/>
        </w:rPr>
        <w:t> </w:t>
      </w:r>
      <w:r>
        <w:rPr/>
        <w:t>unauthorized</w:t>
      </w:r>
      <w:r>
        <w:rPr>
          <w:spacing w:val="-9"/>
        </w:rPr>
        <w:t> </w:t>
      </w:r>
      <w:r>
        <w:rPr/>
        <w:t>party,</w:t>
      </w:r>
      <w:r>
        <w:rPr>
          <w:spacing w:val="-8"/>
        </w:rPr>
        <w:t> </w:t>
      </w:r>
      <w:r>
        <w:rPr/>
        <w:t>employee</w:t>
      </w:r>
      <w:r>
        <w:rPr>
          <w:spacing w:val="-9"/>
        </w:rPr>
        <w:t> </w:t>
      </w:r>
      <w:r>
        <w:rPr/>
        <w:t>theft</w:t>
      </w:r>
      <w:r>
        <w:rPr>
          <w:spacing w:val="-9"/>
        </w:rPr>
        <w:t> </w:t>
      </w:r>
      <w:r>
        <w:rPr/>
        <w:t>or</w:t>
      </w:r>
      <w:r>
        <w:rPr>
          <w:spacing w:val="-8"/>
        </w:rPr>
        <w:t> </w:t>
      </w:r>
      <w:r>
        <w:rPr/>
        <w:t>misuse</w:t>
      </w:r>
      <w:r>
        <w:rPr>
          <w:spacing w:val="-9"/>
        </w:rPr>
        <w:t> </w:t>
      </w:r>
      <w:r>
        <w:rPr/>
        <w:t>or</w:t>
      </w:r>
      <w:r>
        <w:rPr>
          <w:spacing w:val="-9"/>
        </w:rPr>
        <w:t> </w:t>
      </w:r>
      <w:r>
        <w:rPr/>
        <w:t>other misconduct.</w:t>
      </w:r>
      <w:r>
        <w:rPr>
          <w:spacing w:val="-7"/>
        </w:rPr>
        <w:t> </w:t>
      </w:r>
      <w:r>
        <w:rPr/>
        <w:t>It</w:t>
      </w:r>
      <w:r>
        <w:rPr>
          <w:spacing w:val="-7"/>
        </w:rPr>
        <w:t> </w:t>
      </w:r>
      <w:r>
        <w:rPr/>
        <w:t>is</w:t>
      </w:r>
      <w:r>
        <w:rPr>
          <w:spacing w:val="-7"/>
        </w:rPr>
        <w:t> </w:t>
      </w:r>
      <w:r>
        <w:rPr/>
        <w:t>also</w:t>
      </w:r>
      <w:r>
        <w:rPr>
          <w:spacing w:val="-7"/>
        </w:rPr>
        <w:t> </w:t>
      </w:r>
      <w:r>
        <w:rPr/>
        <w:t>possible</w:t>
      </w:r>
      <w:r>
        <w:rPr>
          <w:spacing w:val="-7"/>
        </w:rPr>
        <w:t> </w:t>
      </w:r>
      <w:r>
        <w:rPr/>
        <w:t>that</w:t>
      </w:r>
      <w:r>
        <w:rPr>
          <w:spacing w:val="-7"/>
        </w:rPr>
        <w:t> </w:t>
      </w:r>
      <w:r>
        <w:rPr/>
        <w:t>unauthorized</w:t>
      </w:r>
      <w:r>
        <w:rPr>
          <w:spacing w:val="-7"/>
        </w:rPr>
        <w:t> </w:t>
      </w:r>
      <w:r>
        <w:rPr/>
        <w:t>access</w:t>
      </w:r>
      <w:r>
        <w:rPr>
          <w:spacing w:val="-7"/>
        </w:rPr>
        <w:t> </w:t>
      </w:r>
      <w:r>
        <w:rPr/>
        <w:t>to</w:t>
      </w:r>
      <w:r>
        <w:rPr>
          <w:spacing w:val="-7"/>
        </w:rPr>
        <w:t> </w:t>
      </w:r>
      <w:r>
        <w:rPr/>
        <w:t>or</w:t>
      </w:r>
      <w:r>
        <w:rPr>
          <w:spacing w:val="-7"/>
        </w:rPr>
        <w:t> </w:t>
      </w:r>
      <w:r>
        <w:rPr/>
        <w:t>disclosure</w:t>
      </w:r>
      <w:r>
        <w:rPr>
          <w:spacing w:val="-8"/>
        </w:rPr>
        <w:t> </w:t>
      </w:r>
      <w:r>
        <w:rPr/>
        <w:t>of</w:t>
      </w:r>
      <w:r>
        <w:rPr>
          <w:spacing w:val="-7"/>
        </w:rPr>
        <w:t> </w:t>
      </w:r>
      <w:r>
        <w:rPr/>
        <w:t>customer</w:t>
      </w:r>
      <w:r>
        <w:rPr>
          <w:spacing w:val="-7"/>
        </w:rPr>
        <w:t> </w:t>
      </w:r>
      <w:r>
        <w:rPr/>
        <w:t>data</w:t>
      </w:r>
      <w:r>
        <w:rPr>
          <w:spacing w:val="-7"/>
        </w:rPr>
        <w:t> </w:t>
      </w:r>
      <w:r>
        <w:rPr/>
        <w:t>may</w:t>
      </w:r>
      <w:r>
        <w:rPr>
          <w:spacing w:val="-7"/>
        </w:rPr>
        <w:t> </w:t>
      </w:r>
      <w:r>
        <w:rPr/>
        <w:t>be</w:t>
      </w:r>
      <w:r>
        <w:rPr>
          <w:spacing w:val="-7"/>
        </w:rPr>
        <w:t> </w:t>
      </w:r>
      <w:r>
        <w:rPr/>
        <w:t>obtained</w:t>
      </w:r>
      <w:r>
        <w:rPr>
          <w:spacing w:val="-7"/>
        </w:rPr>
        <w:t> </w:t>
      </w:r>
      <w:r>
        <w:rPr/>
        <w:t>through</w:t>
      </w:r>
      <w:r>
        <w:rPr>
          <w:spacing w:val="-7"/>
        </w:rPr>
        <w:t> </w:t>
      </w:r>
      <w:r>
        <w:rPr/>
        <w:t>inadequate</w:t>
      </w:r>
      <w:r>
        <w:rPr>
          <w:spacing w:val="-8"/>
        </w:rPr>
        <w:t> </w:t>
      </w:r>
      <w:r>
        <w:rPr/>
        <w:t>use of security controls by customers or employees.</w:t>
      </w:r>
      <w:r>
        <w:rPr>
          <w:spacing w:val="-11"/>
        </w:rPr>
        <w:t> </w:t>
      </w:r>
      <w:r>
        <w:rPr/>
        <w:t>Accounts created with weak or recycled passwords could allow cyber-attackers to</w:t>
      </w:r>
      <w:r>
        <w:rPr>
          <w:spacing w:val="-10"/>
        </w:rPr>
        <w:t> </w:t>
      </w:r>
      <w:r>
        <w:rPr/>
        <w:t>gain</w:t>
      </w:r>
      <w:r>
        <w:rPr>
          <w:spacing w:val="-7"/>
        </w:rPr>
        <w:t> </w:t>
      </w:r>
      <w:r>
        <w:rPr/>
        <w:t>access</w:t>
      </w:r>
      <w:r>
        <w:rPr>
          <w:spacing w:val="-7"/>
        </w:rPr>
        <w:t> </w:t>
      </w:r>
      <w:r>
        <w:rPr/>
        <w:t>to</w:t>
      </w:r>
      <w:r>
        <w:rPr>
          <w:spacing w:val="-7"/>
        </w:rPr>
        <w:t> </w:t>
      </w:r>
      <w:r>
        <w:rPr/>
        <w:t>customer</w:t>
      </w:r>
      <w:r>
        <w:rPr>
          <w:spacing w:val="-7"/>
        </w:rPr>
        <w:t> </w:t>
      </w:r>
      <w:r>
        <w:rPr/>
        <w:t>data.</w:t>
      </w:r>
      <w:r>
        <w:rPr>
          <w:spacing w:val="-13"/>
        </w:rPr>
        <w:t> </w:t>
      </w:r>
      <w:r>
        <w:rPr/>
        <w:t>Additionally,</w:t>
      </w:r>
      <w:r>
        <w:rPr>
          <w:spacing w:val="-6"/>
        </w:rPr>
        <w:t> </w:t>
      </w:r>
      <w:r>
        <w:rPr/>
        <w:t>failure</w:t>
      </w:r>
      <w:r>
        <w:rPr>
          <w:spacing w:val="-8"/>
        </w:rPr>
        <w:t> </w:t>
      </w:r>
      <w:r>
        <w:rPr/>
        <w:t>by</w:t>
      </w:r>
      <w:r>
        <w:rPr>
          <w:spacing w:val="-7"/>
        </w:rPr>
        <w:t> </w:t>
      </w:r>
      <w:r>
        <w:rPr/>
        <w:t>customers</w:t>
      </w:r>
      <w:r>
        <w:rPr>
          <w:spacing w:val="-7"/>
        </w:rPr>
        <w:t> </w:t>
      </w:r>
      <w:r>
        <w:rPr/>
        <w:t>to</w:t>
      </w:r>
      <w:r>
        <w:rPr>
          <w:spacing w:val="-7"/>
        </w:rPr>
        <w:t> </w:t>
      </w:r>
      <w:r>
        <w:rPr/>
        <w:t>remove</w:t>
      </w:r>
      <w:r>
        <w:rPr>
          <w:spacing w:val="-7"/>
        </w:rPr>
        <w:t> </w:t>
      </w:r>
      <w:r>
        <w:rPr/>
        <w:t>accounts</w:t>
      </w:r>
      <w:r>
        <w:rPr>
          <w:spacing w:val="-7"/>
        </w:rPr>
        <w:t> </w:t>
      </w:r>
      <w:r>
        <w:rPr/>
        <w:t>of</w:t>
      </w:r>
      <w:r>
        <w:rPr>
          <w:spacing w:val="-7"/>
        </w:rPr>
        <w:t> </w:t>
      </w:r>
      <w:r>
        <w:rPr/>
        <w:t>their</w:t>
      </w:r>
      <w:r>
        <w:rPr>
          <w:spacing w:val="-7"/>
        </w:rPr>
        <w:t> </w:t>
      </w:r>
      <w:r>
        <w:rPr/>
        <w:t>own</w:t>
      </w:r>
      <w:r>
        <w:rPr>
          <w:spacing w:val="-7"/>
        </w:rPr>
        <w:t> </w:t>
      </w:r>
      <w:r>
        <w:rPr/>
        <w:t>employees,</w:t>
      </w:r>
      <w:r>
        <w:rPr>
          <w:spacing w:val="-7"/>
        </w:rPr>
        <w:t> </w:t>
      </w:r>
      <w:r>
        <w:rPr/>
        <w:t>or</w:t>
      </w:r>
      <w:r>
        <w:rPr>
          <w:spacing w:val="-7"/>
        </w:rPr>
        <w:t> </w:t>
      </w:r>
      <w:r>
        <w:rPr/>
        <w:t>the</w:t>
      </w:r>
      <w:r>
        <w:rPr>
          <w:spacing w:val="-7"/>
        </w:rPr>
        <w:t> </w:t>
      </w:r>
      <w:r>
        <w:rPr/>
        <w:t>granting</w:t>
      </w:r>
      <w:r>
        <w:rPr>
          <w:spacing w:val="-7"/>
        </w:rPr>
        <w:t> </w:t>
      </w:r>
      <w:r>
        <w:rPr/>
        <w:t>of accounts by the customer in an uncontrolled manner, may allow for access by former or unauthorized customer representatives. </w:t>
      </w:r>
      <w:r>
        <w:rPr>
          <w:spacing w:val="-4"/>
        </w:rPr>
        <w:t>If there were an inadvertent disclosure of customer information, or if a third party were to gain unauthorized access to the information </w:t>
      </w:r>
      <w:r>
        <w:rPr>
          <w:spacing w:val="-2"/>
        </w:rPr>
        <w:t>we</w:t>
      </w:r>
      <w:r>
        <w:rPr>
          <w:spacing w:val="-6"/>
        </w:rPr>
        <w:t> </w:t>
      </w:r>
      <w:r>
        <w:rPr>
          <w:spacing w:val="-2"/>
        </w:rPr>
        <w:t>possess</w:t>
      </w:r>
      <w:r>
        <w:rPr>
          <w:spacing w:val="-6"/>
        </w:rPr>
        <w:t> </w:t>
      </w:r>
      <w:r>
        <w:rPr>
          <w:spacing w:val="-2"/>
        </w:rPr>
        <w:t>on</w:t>
      </w:r>
      <w:r>
        <w:rPr>
          <w:spacing w:val="-6"/>
        </w:rPr>
        <w:t> </w:t>
      </w:r>
      <w:r>
        <w:rPr>
          <w:spacing w:val="-2"/>
        </w:rPr>
        <w:t>behalf</w:t>
      </w:r>
      <w:r>
        <w:rPr>
          <w:spacing w:val="-6"/>
        </w:rPr>
        <w:t> </w:t>
      </w:r>
      <w:r>
        <w:rPr>
          <w:spacing w:val="-2"/>
        </w:rPr>
        <w:t>of</w:t>
      </w:r>
      <w:r>
        <w:rPr>
          <w:spacing w:val="-6"/>
        </w:rPr>
        <w:t> </w:t>
      </w:r>
      <w:r>
        <w:rPr>
          <w:spacing w:val="-2"/>
        </w:rPr>
        <w:t>our</w:t>
      </w:r>
      <w:r>
        <w:rPr>
          <w:spacing w:val="-6"/>
        </w:rPr>
        <w:t> </w:t>
      </w:r>
      <w:r>
        <w:rPr>
          <w:spacing w:val="-2"/>
        </w:rPr>
        <w:t>customers,</w:t>
      </w:r>
      <w:r>
        <w:rPr>
          <w:spacing w:val="-6"/>
        </w:rPr>
        <w:t> </w:t>
      </w:r>
      <w:r>
        <w:rPr>
          <w:spacing w:val="-2"/>
        </w:rPr>
        <w:t>our</w:t>
      </w:r>
      <w:r>
        <w:rPr>
          <w:spacing w:val="-6"/>
        </w:rPr>
        <w:t> </w:t>
      </w:r>
      <w:r>
        <w:rPr>
          <w:spacing w:val="-2"/>
        </w:rPr>
        <w:t>operations</w:t>
      </w:r>
      <w:r>
        <w:rPr>
          <w:spacing w:val="-5"/>
        </w:rPr>
        <w:t> </w:t>
      </w:r>
      <w:r>
        <w:rPr>
          <w:spacing w:val="-2"/>
        </w:rPr>
        <w:t>could</w:t>
      </w:r>
      <w:r>
        <w:rPr>
          <w:spacing w:val="-6"/>
        </w:rPr>
        <w:t> </w:t>
      </w:r>
      <w:r>
        <w:rPr>
          <w:spacing w:val="-2"/>
        </w:rPr>
        <w:t>be</w:t>
      </w:r>
      <w:r>
        <w:rPr>
          <w:spacing w:val="-6"/>
        </w:rPr>
        <w:t> </w:t>
      </w:r>
      <w:r>
        <w:rPr>
          <w:spacing w:val="-2"/>
        </w:rPr>
        <w:t>disrupted,</w:t>
      </w:r>
      <w:r>
        <w:rPr>
          <w:spacing w:val="-6"/>
        </w:rPr>
        <w:t> </w:t>
      </w:r>
      <w:r>
        <w:rPr>
          <w:spacing w:val="-2"/>
        </w:rPr>
        <w:t>our</w:t>
      </w:r>
      <w:r>
        <w:rPr>
          <w:spacing w:val="-6"/>
        </w:rPr>
        <w:t> </w:t>
      </w:r>
      <w:r>
        <w:rPr>
          <w:spacing w:val="-2"/>
        </w:rPr>
        <w:t>reputation</w:t>
      </w:r>
      <w:r>
        <w:rPr>
          <w:spacing w:val="-6"/>
        </w:rPr>
        <w:t> </w:t>
      </w:r>
      <w:r>
        <w:rPr>
          <w:spacing w:val="-2"/>
        </w:rPr>
        <w:t>could</w:t>
      </w:r>
      <w:r>
        <w:rPr>
          <w:spacing w:val="-6"/>
        </w:rPr>
        <w:t> </w:t>
      </w:r>
      <w:r>
        <w:rPr>
          <w:spacing w:val="-2"/>
        </w:rPr>
        <w:t>be</w:t>
      </w:r>
      <w:r>
        <w:rPr>
          <w:spacing w:val="-6"/>
        </w:rPr>
        <w:t> </w:t>
      </w:r>
      <w:r>
        <w:rPr>
          <w:spacing w:val="-2"/>
        </w:rPr>
        <w:t>damaged</w:t>
      </w:r>
      <w:r>
        <w:rPr>
          <w:spacing w:val="-6"/>
        </w:rPr>
        <w:t> </w:t>
      </w:r>
      <w:r>
        <w:rPr>
          <w:spacing w:val="-2"/>
        </w:rPr>
        <w:t>and</w:t>
      </w:r>
      <w:r>
        <w:rPr>
          <w:spacing w:val="-6"/>
        </w:rPr>
        <w:t> </w:t>
      </w:r>
      <w:r>
        <w:rPr>
          <w:spacing w:val="-2"/>
        </w:rPr>
        <w:t>we</w:t>
      </w:r>
      <w:r>
        <w:rPr>
          <w:spacing w:val="-6"/>
        </w:rPr>
        <w:t> </w:t>
      </w:r>
      <w:r>
        <w:rPr>
          <w:spacing w:val="-2"/>
        </w:rPr>
        <w:t>could</w:t>
      </w:r>
      <w:r>
        <w:rPr>
          <w:spacing w:val="-6"/>
        </w:rPr>
        <w:t> </w:t>
      </w:r>
      <w:r>
        <w:rPr>
          <w:spacing w:val="-2"/>
        </w:rPr>
        <w:t>be</w:t>
      </w:r>
      <w:r>
        <w:rPr>
          <w:spacing w:val="-6"/>
        </w:rPr>
        <w:t> </w:t>
      </w:r>
      <w:r>
        <w:rPr>
          <w:spacing w:val="-2"/>
        </w:rPr>
        <w:t>subject </w:t>
      </w:r>
      <w:r>
        <w:rPr/>
        <w:t>to claims or other liabilities, regulatory investigations, or fines. In addition, such perceived or actual unauthorized disclosure of the information we collect or breach of our security could damage our reputation, result in the loss of customers and harm our </w:t>
      </w:r>
      <w:r>
        <w:rPr>
          <w:spacing w:val="-2"/>
        </w:rPr>
        <w:t>business.</w:t>
      </w:r>
    </w:p>
    <w:p>
      <w:pPr>
        <w:pStyle w:val="Heading3"/>
        <w:spacing w:line="249" w:lineRule="auto" w:before="191"/>
        <w:ind w:right="240"/>
      </w:pPr>
      <w:r>
        <w:rPr/>
        <w:t>We</w:t>
      </w:r>
      <w:r>
        <w:rPr>
          <w:spacing w:val="-3"/>
        </w:rPr>
        <w:t> </w:t>
      </w:r>
      <w:r>
        <w:rPr/>
        <w:t>rely</w:t>
      </w:r>
      <w:r>
        <w:rPr>
          <w:spacing w:val="-3"/>
        </w:rPr>
        <w:t> </w:t>
      </w:r>
      <w:r>
        <w:rPr/>
        <w:t>on</w:t>
      </w:r>
      <w:r>
        <w:rPr>
          <w:spacing w:val="-3"/>
        </w:rPr>
        <w:t> </w:t>
      </w:r>
      <w:r>
        <w:rPr/>
        <w:t>data</w:t>
      </w:r>
      <w:r>
        <w:rPr>
          <w:spacing w:val="-3"/>
        </w:rPr>
        <w:t> </w:t>
      </w:r>
      <w:r>
        <w:rPr/>
        <w:t>centers</w:t>
      </w:r>
      <w:r>
        <w:rPr>
          <w:spacing w:val="-3"/>
        </w:rPr>
        <w:t> </w:t>
      </w:r>
      <w:r>
        <w:rPr/>
        <w:t>managed</w:t>
      </w:r>
      <w:r>
        <w:rPr>
          <w:spacing w:val="-3"/>
        </w:rPr>
        <w:t> </w:t>
      </w:r>
      <w:r>
        <w:rPr/>
        <w:t>both</w:t>
      </w:r>
      <w:r>
        <w:rPr>
          <w:spacing w:val="-3"/>
        </w:rPr>
        <w:t> </w:t>
      </w:r>
      <w:r>
        <w:rPr/>
        <w:t>by</w:t>
      </w:r>
      <w:r>
        <w:rPr>
          <w:spacing w:val="-10"/>
        </w:rPr>
        <w:t> </w:t>
      </w:r>
      <w:r>
        <w:rPr/>
        <w:t>Adobe</w:t>
      </w:r>
      <w:r>
        <w:rPr>
          <w:spacing w:val="-3"/>
        </w:rPr>
        <w:t> </w:t>
      </w:r>
      <w:r>
        <w:rPr/>
        <w:t>and</w:t>
      </w:r>
      <w:r>
        <w:rPr>
          <w:spacing w:val="-3"/>
        </w:rPr>
        <w:t> </w:t>
      </w:r>
      <w:r>
        <w:rPr/>
        <w:t>third</w:t>
      </w:r>
      <w:r>
        <w:rPr>
          <w:spacing w:val="-3"/>
        </w:rPr>
        <w:t> </w:t>
      </w:r>
      <w:r>
        <w:rPr/>
        <w:t>parties</w:t>
      </w:r>
      <w:r>
        <w:rPr>
          <w:spacing w:val="-3"/>
        </w:rPr>
        <w:t> </w:t>
      </w:r>
      <w:r>
        <w:rPr/>
        <w:t>to</w:t>
      </w:r>
      <w:r>
        <w:rPr>
          <w:spacing w:val="-3"/>
        </w:rPr>
        <w:t> </w:t>
      </w:r>
      <w:r>
        <w:rPr/>
        <w:t>host</w:t>
      </w:r>
      <w:r>
        <w:rPr>
          <w:spacing w:val="-3"/>
        </w:rPr>
        <w:t> </w:t>
      </w:r>
      <w:r>
        <w:rPr/>
        <w:t>and</w:t>
      </w:r>
      <w:r>
        <w:rPr>
          <w:spacing w:val="-3"/>
        </w:rPr>
        <w:t> </w:t>
      </w:r>
      <w:r>
        <w:rPr/>
        <w:t>deliver</w:t>
      </w:r>
      <w:r>
        <w:rPr>
          <w:spacing w:val="-3"/>
        </w:rPr>
        <w:t> </w:t>
      </w:r>
      <w:r>
        <w:rPr/>
        <w:t>our</w:t>
      </w:r>
      <w:r>
        <w:rPr>
          <w:spacing w:val="-4"/>
        </w:rPr>
        <w:t> </w:t>
      </w:r>
      <w:r>
        <w:rPr/>
        <w:t>services,</w:t>
      </w:r>
      <w:r>
        <w:rPr>
          <w:spacing w:val="-3"/>
        </w:rPr>
        <w:t> </w:t>
      </w:r>
      <w:r>
        <w:rPr/>
        <w:t>as</w:t>
      </w:r>
      <w:r>
        <w:rPr>
          <w:spacing w:val="-3"/>
        </w:rPr>
        <w:t> </w:t>
      </w:r>
      <w:r>
        <w:rPr/>
        <w:t>well</w:t>
      </w:r>
      <w:r>
        <w:rPr>
          <w:spacing w:val="-3"/>
        </w:rPr>
        <w:t> </w:t>
      </w:r>
      <w:r>
        <w:rPr/>
        <w:t>as</w:t>
      </w:r>
      <w:r>
        <w:rPr>
          <w:spacing w:val="-3"/>
        </w:rPr>
        <w:t> </w:t>
      </w:r>
      <w:r>
        <w:rPr/>
        <w:t>access,</w:t>
      </w:r>
      <w:r>
        <w:rPr>
          <w:spacing w:val="-3"/>
        </w:rPr>
        <w:t> </w:t>
      </w:r>
      <w:r>
        <w:rPr/>
        <w:t>collect, use, transmit, and store data, and any interruptions or delays in these hosted services, or failures in data collection or transmission could expose us to liability and harm our business and reputation.</w:t>
      </w:r>
    </w:p>
    <w:p>
      <w:pPr>
        <w:pStyle w:val="BodyText"/>
        <w:spacing w:before="12"/>
        <w:rPr>
          <w:b/>
          <w:i/>
        </w:rPr>
      </w:pPr>
    </w:p>
    <w:p>
      <w:pPr>
        <w:pStyle w:val="BodyText"/>
        <w:spacing w:line="249" w:lineRule="auto"/>
        <w:ind w:left="210" w:right="247" w:firstLine="540"/>
        <w:jc w:val="both"/>
      </w:pPr>
      <w:r>
        <w:rPr/>
        <w:t>Much</w:t>
      </w:r>
      <w:r>
        <w:rPr>
          <w:spacing w:val="-7"/>
        </w:rPr>
        <w:t> </w:t>
      </w:r>
      <w:r>
        <w:rPr/>
        <w:t>of</w:t>
      </w:r>
      <w:r>
        <w:rPr>
          <w:spacing w:val="-5"/>
        </w:rPr>
        <w:t> </w:t>
      </w:r>
      <w:r>
        <w:rPr/>
        <w:t>our</w:t>
      </w:r>
      <w:r>
        <w:rPr>
          <w:spacing w:val="-5"/>
        </w:rPr>
        <w:t> </w:t>
      </w:r>
      <w:r>
        <w:rPr/>
        <w:t>business</w:t>
      </w:r>
      <w:r>
        <w:rPr>
          <w:spacing w:val="-5"/>
        </w:rPr>
        <w:t> </w:t>
      </w:r>
      <w:r>
        <w:rPr/>
        <w:t>relies</w:t>
      </w:r>
      <w:r>
        <w:rPr>
          <w:spacing w:val="-5"/>
        </w:rPr>
        <w:t> </w:t>
      </w:r>
      <w:r>
        <w:rPr/>
        <w:t>on</w:t>
      </w:r>
      <w:r>
        <w:rPr>
          <w:spacing w:val="-5"/>
        </w:rPr>
        <w:t> </w:t>
      </w:r>
      <w:r>
        <w:rPr/>
        <w:t>hardware</w:t>
      </w:r>
      <w:r>
        <w:rPr>
          <w:spacing w:val="-5"/>
        </w:rPr>
        <w:t> </w:t>
      </w:r>
      <w:r>
        <w:rPr/>
        <w:t>and</w:t>
      </w:r>
      <w:r>
        <w:rPr>
          <w:spacing w:val="-5"/>
        </w:rPr>
        <w:t> </w:t>
      </w:r>
      <w:r>
        <w:rPr/>
        <w:t>services</w:t>
      </w:r>
      <w:r>
        <w:rPr>
          <w:spacing w:val="-5"/>
        </w:rPr>
        <w:t> </w:t>
      </w:r>
      <w:r>
        <w:rPr/>
        <w:t>that</w:t>
      </w:r>
      <w:r>
        <w:rPr>
          <w:spacing w:val="-5"/>
        </w:rPr>
        <w:t> </w:t>
      </w:r>
      <w:r>
        <w:rPr/>
        <w:t>are</w:t>
      </w:r>
      <w:r>
        <w:rPr>
          <w:spacing w:val="-5"/>
        </w:rPr>
        <w:t> </w:t>
      </w:r>
      <w:r>
        <w:rPr/>
        <w:t>hosted,</w:t>
      </w:r>
      <w:r>
        <w:rPr>
          <w:spacing w:val="-5"/>
        </w:rPr>
        <w:t> </w:t>
      </w:r>
      <w:r>
        <w:rPr/>
        <w:t>managed,</w:t>
      </w:r>
      <w:r>
        <w:rPr>
          <w:spacing w:val="-5"/>
        </w:rPr>
        <w:t> </w:t>
      </w:r>
      <w:r>
        <w:rPr/>
        <w:t>and</w:t>
      </w:r>
      <w:r>
        <w:rPr>
          <w:spacing w:val="-5"/>
        </w:rPr>
        <w:t> </w:t>
      </w:r>
      <w:r>
        <w:rPr/>
        <w:t>controlled</w:t>
      </w:r>
      <w:r>
        <w:rPr>
          <w:spacing w:val="-5"/>
        </w:rPr>
        <w:t> </w:t>
      </w:r>
      <w:r>
        <w:rPr/>
        <w:t>directly</w:t>
      </w:r>
      <w:r>
        <w:rPr>
          <w:spacing w:val="-5"/>
        </w:rPr>
        <w:t> </w:t>
      </w:r>
      <w:r>
        <w:rPr/>
        <w:t>by</w:t>
      </w:r>
      <w:r>
        <w:rPr>
          <w:spacing w:val="-13"/>
        </w:rPr>
        <w:t> </w:t>
      </w:r>
      <w:r>
        <w:rPr/>
        <w:t>Adobe</w:t>
      </w:r>
      <w:r>
        <w:rPr>
          <w:spacing w:val="-5"/>
        </w:rPr>
        <w:t> </w:t>
      </w:r>
      <w:r>
        <w:rPr/>
        <w:t>or</w:t>
      </w:r>
      <w:r>
        <w:rPr>
          <w:spacing w:val="-5"/>
        </w:rPr>
        <w:t> </w:t>
      </w:r>
      <w:r>
        <w:rPr/>
        <w:t>third- </w:t>
      </w:r>
      <w:r>
        <w:rPr>
          <w:spacing w:val="-2"/>
        </w:rPr>
        <w:t>party</w:t>
      </w:r>
      <w:r>
        <w:rPr>
          <w:spacing w:val="-10"/>
        </w:rPr>
        <w:t> </w:t>
      </w:r>
      <w:r>
        <w:rPr>
          <w:spacing w:val="-2"/>
        </w:rPr>
        <w:t>service</w:t>
      </w:r>
      <w:r>
        <w:rPr>
          <w:spacing w:val="-10"/>
        </w:rPr>
        <w:t> </w:t>
      </w:r>
      <w:r>
        <w:rPr>
          <w:spacing w:val="-2"/>
        </w:rPr>
        <w:t>providers,</w:t>
      </w:r>
      <w:r>
        <w:rPr>
          <w:spacing w:val="-9"/>
        </w:rPr>
        <w:t> </w:t>
      </w:r>
      <w:r>
        <w:rPr>
          <w:spacing w:val="-2"/>
        </w:rPr>
        <w:t>including</w:t>
      </w:r>
      <w:r>
        <w:rPr>
          <w:spacing w:val="-10"/>
        </w:rPr>
        <w:t> </w:t>
      </w:r>
      <w:r>
        <w:rPr>
          <w:spacing w:val="-2"/>
        </w:rPr>
        <w:t>our</w:t>
      </w:r>
      <w:r>
        <w:rPr>
          <w:spacing w:val="-10"/>
        </w:rPr>
        <w:t> </w:t>
      </w:r>
      <w:r>
        <w:rPr>
          <w:spacing w:val="-2"/>
        </w:rPr>
        <w:t>online</w:t>
      </w:r>
      <w:r>
        <w:rPr>
          <w:spacing w:val="-10"/>
        </w:rPr>
        <w:t> </w:t>
      </w:r>
      <w:r>
        <w:rPr>
          <w:spacing w:val="-2"/>
        </w:rPr>
        <w:t>store</w:t>
      </w:r>
      <w:r>
        <w:rPr>
          <w:spacing w:val="-10"/>
        </w:rPr>
        <w:t> </w:t>
      </w:r>
      <w:r>
        <w:rPr>
          <w:spacing w:val="-2"/>
        </w:rPr>
        <w:t>at</w:t>
      </w:r>
      <w:r>
        <w:rPr>
          <w:spacing w:val="-10"/>
        </w:rPr>
        <w:t> </w:t>
      </w:r>
      <w:r>
        <w:rPr>
          <w:spacing w:val="-2"/>
        </w:rPr>
        <w:t>adobe.com,</w:t>
      </w:r>
      <w:r>
        <w:rPr>
          <w:spacing w:val="-10"/>
        </w:rPr>
        <w:t> </w:t>
      </w:r>
      <w:r>
        <w:rPr>
          <w:spacing w:val="-2"/>
        </w:rPr>
        <w:t>Creative</w:t>
      </w:r>
      <w:r>
        <w:rPr>
          <w:spacing w:val="-10"/>
        </w:rPr>
        <w:t> </w:t>
      </w:r>
      <w:r>
        <w:rPr>
          <w:spacing w:val="-2"/>
        </w:rPr>
        <w:t>Cloud,</w:t>
      </w:r>
      <w:r>
        <w:rPr>
          <w:spacing w:val="-9"/>
        </w:rPr>
        <w:t> </w:t>
      </w:r>
      <w:r>
        <w:rPr>
          <w:spacing w:val="-2"/>
        </w:rPr>
        <w:t>Document</w:t>
      </w:r>
      <w:r>
        <w:rPr>
          <w:spacing w:val="-10"/>
        </w:rPr>
        <w:t> </w:t>
      </w:r>
      <w:r>
        <w:rPr>
          <w:spacing w:val="-2"/>
        </w:rPr>
        <w:t>Cloud,</w:t>
      </w:r>
      <w:r>
        <w:rPr>
          <w:spacing w:val="-10"/>
        </w:rPr>
        <w:t> </w:t>
      </w:r>
      <w:r>
        <w:rPr>
          <w:spacing w:val="-2"/>
        </w:rPr>
        <w:t>and</w:t>
      </w:r>
      <w:r>
        <w:rPr>
          <w:spacing w:val="-9"/>
        </w:rPr>
        <w:t> </w:t>
      </w:r>
      <w:r>
        <w:rPr>
          <w:spacing w:val="-2"/>
        </w:rPr>
        <w:t>Experience</w:t>
      </w:r>
      <w:r>
        <w:rPr>
          <w:spacing w:val="-10"/>
        </w:rPr>
        <w:t> </w:t>
      </w:r>
      <w:r>
        <w:rPr>
          <w:spacing w:val="-2"/>
        </w:rPr>
        <w:t>Cloud</w:t>
      </w:r>
      <w:r>
        <w:rPr>
          <w:spacing w:val="-10"/>
        </w:rPr>
        <w:t> </w:t>
      </w:r>
      <w:r>
        <w:rPr>
          <w:spacing w:val="-2"/>
        </w:rPr>
        <w:t>solutions. </w:t>
      </w:r>
      <w:r>
        <w:rPr/>
        <w:t>We</w:t>
      </w:r>
      <w:r>
        <w:rPr>
          <w:spacing w:val="-8"/>
        </w:rPr>
        <w:t> </w:t>
      </w:r>
      <w:r>
        <w:rPr/>
        <w:t>do</w:t>
      </w:r>
      <w:r>
        <w:rPr>
          <w:spacing w:val="-8"/>
        </w:rPr>
        <w:t> </w:t>
      </w:r>
      <w:r>
        <w:rPr/>
        <w:t>not</w:t>
      </w:r>
      <w:r>
        <w:rPr>
          <w:spacing w:val="-8"/>
        </w:rPr>
        <w:t> </w:t>
      </w:r>
      <w:r>
        <w:rPr/>
        <w:t>have</w:t>
      </w:r>
      <w:r>
        <w:rPr>
          <w:spacing w:val="-8"/>
        </w:rPr>
        <w:t> </w:t>
      </w:r>
      <w:r>
        <w:rPr/>
        <w:t>redundancy</w:t>
      </w:r>
      <w:r>
        <w:rPr>
          <w:spacing w:val="-8"/>
        </w:rPr>
        <w:t> </w:t>
      </w:r>
      <w:r>
        <w:rPr/>
        <w:t>for</w:t>
      </w:r>
      <w:r>
        <w:rPr>
          <w:spacing w:val="-8"/>
        </w:rPr>
        <w:t> </w:t>
      </w:r>
      <w:r>
        <w:rPr/>
        <w:t>all</w:t>
      </w:r>
      <w:r>
        <w:rPr>
          <w:spacing w:val="-8"/>
        </w:rPr>
        <w:t> </w:t>
      </w:r>
      <w:r>
        <w:rPr/>
        <w:t>of</w:t>
      </w:r>
      <w:r>
        <w:rPr>
          <w:spacing w:val="-8"/>
        </w:rPr>
        <w:t> </w:t>
      </w:r>
      <w:r>
        <w:rPr/>
        <w:t>our</w:t>
      </w:r>
      <w:r>
        <w:rPr>
          <w:spacing w:val="-8"/>
        </w:rPr>
        <w:t> </w:t>
      </w:r>
      <w:r>
        <w:rPr/>
        <w:t>systems,</w:t>
      </w:r>
      <w:r>
        <w:rPr>
          <w:spacing w:val="-8"/>
        </w:rPr>
        <w:t> </w:t>
      </w:r>
      <w:r>
        <w:rPr/>
        <w:t>many</w:t>
      </w:r>
      <w:r>
        <w:rPr>
          <w:spacing w:val="-8"/>
        </w:rPr>
        <w:t> </w:t>
      </w:r>
      <w:r>
        <w:rPr/>
        <w:t>of</w:t>
      </w:r>
      <w:r>
        <w:rPr>
          <w:spacing w:val="-8"/>
        </w:rPr>
        <w:t> </w:t>
      </w:r>
      <w:r>
        <w:rPr/>
        <w:t>our</w:t>
      </w:r>
      <w:r>
        <w:rPr>
          <w:spacing w:val="-8"/>
        </w:rPr>
        <w:t> </w:t>
      </w:r>
      <w:r>
        <w:rPr/>
        <w:t>critical</w:t>
      </w:r>
      <w:r>
        <w:rPr>
          <w:spacing w:val="-8"/>
        </w:rPr>
        <w:t> </w:t>
      </w:r>
      <w:r>
        <w:rPr/>
        <w:t>applications</w:t>
      </w:r>
      <w:r>
        <w:rPr>
          <w:spacing w:val="-8"/>
        </w:rPr>
        <w:t> </w:t>
      </w:r>
      <w:r>
        <w:rPr/>
        <w:t>reside</w:t>
      </w:r>
      <w:r>
        <w:rPr>
          <w:spacing w:val="-8"/>
        </w:rPr>
        <w:t> </w:t>
      </w:r>
      <w:r>
        <w:rPr/>
        <w:t>in</w:t>
      </w:r>
      <w:r>
        <w:rPr>
          <w:spacing w:val="-8"/>
        </w:rPr>
        <w:t> </w:t>
      </w:r>
      <w:r>
        <w:rPr/>
        <w:t>only</w:t>
      </w:r>
      <w:r>
        <w:rPr>
          <w:spacing w:val="-8"/>
        </w:rPr>
        <w:t> </w:t>
      </w:r>
      <w:r>
        <w:rPr/>
        <w:t>one</w:t>
      </w:r>
      <w:r>
        <w:rPr>
          <w:spacing w:val="-8"/>
        </w:rPr>
        <w:t> </w:t>
      </w:r>
      <w:r>
        <w:rPr/>
        <w:t>of</w:t>
      </w:r>
      <w:r>
        <w:rPr>
          <w:spacing w:val="-8"/>
        </w:rPr>
        <w:t> </w:t>
      </w:r>
      <w:r>
        <w:rPr/>
        <w:t>our</w:t>
      </w:r>
      <w:r>
        <w:rPr>
          <w:spacing w:val="-8"/>
        </w:rPr>
        <w:t> </w:t>
      </w:r>
      <w:r>
        <w:rPr/>
        <w:t>data</w:t>
      </w:r>
      <w:r>
        <w:rPr>
          <w:spacing w:val="-8"/>
        </w:rPr>
        <w:t> </w:t>
      </w:r>
      <w:r>
        <w:rPr/>
        <w:t>centers,</w:t>
      </w:r>
      <w:r>
        <w:rPr>
          <w:spacing w:val="-8"/>
        </w:rPr>
        <w:t> </w:t>
      </w:r>
      <w:r>
        <w:rPr/>
        <w:t>and</w:t>
      </w:r>
      <w:r>
        <w:rPr>
          <w:spacing w:val="-8"/>
        </w:rPr>
        <w:t> </w:t>
      </w:r>
      <w:r>
        <w:rPr/>
        <w:t>our disaster</w:t>
      </w:r>
      <w:r>
        <w:rPr>
          <w:spacing w:val="-9"/>
        </w:rPr>
        <w:t> </w:t>
      </w:r>
      <w:r>
        <w:rPr/>
        <w:t>recovery</w:t>
      </w:r>
      <w:r>
        <w:rPr>
          <w:spacing w:val="-9"/>
        </w:rPr>
        <w:t> </w:t>
      </w:r>
      <w:r>
        <w:rPr/>
        <w:t>planning</w:t>
      </w:r>
      <w:r>
        <w:rPr>
          <w:spacing w:val="-9"/>
        </w:rPr>
        <w:t> </w:t>
      </w:r>
      <w:r>
        <w:rPr/>
        <w:t>may</w:t>
      </w:r>
      <w:r>
        <w:rPr>
          <w:spacing w:val="-9"/>
        </w:rPr>
        <w:t> </w:t>
      </w:r>
      <w:r>
        <w:rPr/>
        <w:t>not</w:t>
      </w:r>
      <w:r>
        <w:rPr>
          <w:spacing w:val="-9"/>
        </w:rPr>
        <w:t> </w:t>
      </w:r>
      <w:r>
        <w:rPr/>
        <w:t>account</w:t>
      </w:r>
      <w:r>
        <w:rPr>
          <w:spacing w:val="-9"/>
        </w:rPr>
        <w:t> </w:t>
      </w:r>
      <w:r>
        <w:rPr/>
        <w:t>for</w:t>
      </w:r>
      <w:r>
        <w:rPr>
          <w:spacing w:val="-9"/>
        </w:rPr>
        <w:t> </w:t>
      </w:r>
      <w:r>
        <w:rPr/>
        <w:t>all</w:t>
      </w:r>
      <w:r>
        <w:rPr>
          <w:spacing w:val="-9"/>
        </w:rPr>
        <w:t> </w:t>
      </w:r>
      <w:r>
        <w:rPr/>
        <w:t>eventualities.</w:t>
      </w:r>
      <w:r>
        <w:rPr>
          <w:spacing w:val="-9"/>
        </w:rPr>
        <w:t> </w:t>
      </w:r>
      <w:r>
        <w:rPr/>
        <w:t>If</w:t>
      </w:r>
      <w:r>
        <w:rPr>
          <w:spacing w:val="-9"/>
        </w:rPr>
        <w:t> </w:t>
      </w:r>
      <w:r>
        <w:rPr/>
        <w:t>our</w:t>
      </w:r>
      <w:r>
        <w:rPr>
          <w:spacing w:val="-9"/>
        </w:rPr>
        <w:t> </w:t>
      </w:r>
      <w:r>
        <w:rPr/>
        <w:t>business</w:t>
      </w:r>
      <w:r>
        <w:rPr>
          <w:spacing w:val="-9"/>
        </w:rPr>
        <w:t> </w:t>
      </w:r>
      <w:r>
        <w:rPr/>
        <w:t>relationship</w:t>
      </w:r>
      <w:r>
        <w:rPr>
          <w:spacing w:val="-9"/>
        </w:rPr>
        <w:t> </w:t>
      </w:r>
      <w:r>
        <w:rPr/>
        <w:t>with</w:t>
      </w:r>
      <w:r>
        <w:rPr>
          <w:spacing w:val="-9"/>
        </w:rPr>
        <w:t> </w:t>
      </w:r>
      <w:r>
        <w:rPr/>
        <w:t>a</w:t>
      </w:r>
      <w:r>
        <w:rPr>
          <w:spacing w:val="-9"/>
        </w:rPr>
        <w:t> </w:t>
      </w:r>
      <w:r>
        <w:rPr/>
        <w:t>third-party</w:t>
      </w:r>
      <w:r>
        <w:rPr>
          <w:spacing w:val="-9"/>
        </w:rPr>
        <w:t> </w:t>
      </w:r>
      <w:r>
        <w:rPr/>
        <w:t>provider</w:t>
      </w:r>
      <w:r>
        <w:rPr>
          <w:spacing w:val="-9"/>
        </w:rPr>
        <w:t> </w:t>
      </w:r>
      <w:r>
        <w:rPr/>
        <w:t>of</w:t>
      </w:r>
      <w:r>
        <w:rPr>
          <w:spacing w:val="-9"/>
        </w:rPr>
        <w:t> </w:t>
      </w:r>
      <w:r>
        <w:rPr/>
        <w:t>hosting or</w:t>
      </w:r>
      <w:r>
        <w:rPr>
          <w:spacing w:val="-8"/>
        </w:rPr>
        <w:t> </w:t>
      </w:r>
      <w:r>
        <w:rPr/>
        <w:t>content</w:t>
      </w:r>
      <w:r>
        <w:rPr>
          <w:spacing w:val="-8"/>
        </w:rPr>
        <w:t> </w:t>
      </w:r>
      <w:r>
        <w:rPr/>
        <w:t>delivery</w:t>
      </w:r>
      <w:r>
        <w:rPr>
          <w:spacing w:val="-8"/>
        </w:rPr>
        <w:t> </w:t>
      </w:r>
      <w:r>
        <w:rPr/>
        <w:t>services</w:t>
      </w:r>
      <w:r>
        <w:rPr>
          <w:spacing w:val="-7"/>
        </w:rPr>
        <w:t> </w:t>
      </w:r>
      <w:r>
        <w:rPr/>
        <w:t>is</w:t>
      </w:r>
      <w:r>
        <w:rPr>
          <w:spacing w:val="-8"/>
        </w:rPr>
        <w:t> </w:t>
      </w:r>
      <w:r>
        <w:rPr/>
        <w:t>negatively</w:t>
      </w:r>
      <w:r>
        <w:rPr>
          <w:spacing w:val="-8"/>
        </w:rPr>
        <w:t> </w:t>
      </w:r>
      <w:r>
        <w:rPr/>
        <w:t>affected,</w:t>
      </w:r>
      <w:r>
        <w:rPr>
          <w:spacing w:val="-8"/>
        </w:rPr>
        <w:t> </w:t>
      </w:r>
      <w:r>
        <w:rPr/>
        <w:t>or</w:t>
      </w:r>
      <w:r>
        <w:rPr>
          <w:spacing w:val="-8"/>
        </w:rPr>
        <w:t> </w:t>
      </w:r>
      <w:r>
        <w:rPr/>
        <w:t>if</w:t>
      </w:r>
      <w:r>
        <w:rPr>
          <w:spacing w:val="-8"/>
        </w:rPr>
        <w:t> </w:t>
      </w:r>
      <w:r>
        <w:rPr/>
        <w:t>one</w:t>
      </w:r>
      <w:r>
        <w:rPr>
          <w:spacing w:val="-8"/>
        </w:rPr>
        <w:t> </w:t>
      </w:r>
      <w:r>
        <w:rPr/>
        <w:t>of</w:t>
      </w:r>
      <w:r>
        <w:rPr>
          <w:spacing w:val="-8"/>
        </w:rPr>
        <w:t> </w:t>
      </w:r>
      <w:r>
        <w:rPr/>
        <w:t>our</w:t>
      </w:r>
      <w:r>
        <w:rPr>
          <w:spacing w:val="-8"/>
        </w:rPr>
        <w:t> </w:t>
      </w:r>
      <w:r>
        <w:rPr/>
        <w:t>content</w:t>
      </w:r>
      <w:r>
        <w:rPr>
          <w:spacing w:val="-8"/>
        </w:rPr>
        <w:t> </w:t>
      </w:r>
      <w:r>
        <w:rPr/>
        <w:t>delivery</w:t>
      </w:r>
      <w:r>
        <w:rPr>
          <w:spacing w:val="-8"/>
        </w:rPr>
        <w:t> </w:t>
      </w:r>
      <w:r>
        <w:rPr/>
        <w:t>suppliers</w:t>
      </w:r>
      <w:r>
        <w:rPr>
          <w:spacing w:val="-7"/>
        </w:rPr>
        <w:t> </w:t>
      </w:r>
      <w:r>
        <w:rPr/>
        <w:t>were</w:t>
      </w:r>
      <w:r>
        <w:rPr>
          <w:spacing w:val="-8"/>
        </w:rPr>
        <w:t> </w:t>
      </w:r>
      <w:r>
        <w:rPr/>
        <w:t>to</w:t>
      </w:r>
      <w:r>
        <w:rPr>
          <w:spacing w:val="-8"/>
        </w:rPr>
        <w:t> </w:t>
      </w:r>
      <w:r>
        <w:rPr/>
        <w:t>terminate</w:t>
      </w:r>
      <w:r>
        <w:rPr>
          <w:spacing w:val="-8"/>
        </w:rPr>
        <w:t> </w:t>
      </w:r>
      <w:r>
        <w:rPr/>
        <w:t>its</w:t>
      </w:r>
      <w:r>
        <w:rPr>
          <w:spacing w:val="-8"/>
        </w:rPr>
        <w:t> </w:t>
      </w:r>
      <w:r>
        <w:rPr/>
        <w:t>agreement</w:t>
      </w:r>
      <w:r>
        <w:rPr>
          <w:spacing w:val="-8"/>
        </w:rPr>
        <w:t> </w:t>
      </w:r>
      <w:r>
        <w:rPr/>
        <w:t>with us, we might not be able to deliver the corresponding hosted offerings to our customers, which could subject us to reputational harm, costly and time intensive notification requirements, and cause us to lose customers and future business. Occasionally, we migrate</w:t>
      </w:r>
      <w:r>
        <w:rPr>
          <w:spacing w:val="-13"/>
        </w:rPr>
        <w:t> </w:t>
      </w:r>
      <w:r>
        <w:rPr/>
        <w:t>data</w:t>
      </w:r>
      <w:r>
        <w:rPr>
          <w:spacing w:val="-12"/>
        </w:rPr>
        <w:t> </w:t>
      </w:r>
      <w:r>
        <w:rPr/>
        <w:t>among</w:t>
      </w:r>
      <w:r>
        <w:rPr>
          <w:spacing w:val="-13"/>
        </w:rPr>
        <w:t> </w:t>
      </w:r>
      <w:r>
        <w:rPr/>
        <w:t>data</w:t>
      </w:r>
      <w:r>
        <w:rPr>
          <w:spacing w:val="-12"/>
        </w:rPr>
        <w:t> </w:t>
      </w:r>
      <w:r>
        <w:rPr/>
        <w:t>centers</w:t>
      </w:r>
      <w:r>
        <w:rPr>
          <w:spacing w:val="-13"/>
        </w:rPr>
        <w:t> </w:t>
      </w:r>
      <w:r>
        <w:rPr/>
        <w:t>and</w:t>
      </w:r>
      <w:r>
        <w:rPr>
          <w:spacing w:val="-12"/>
        </w:rPr>
        <w:t> </w:t>
      </w:r>
      <w:r>
        <w:rPr/>
        <w:t>to</w:t>
      </w:r>
      <w:r>
        <w:rPr>
          <w:spacing w:val="-13"/>
        </w:rPr>
        <w:t> </w:t>
      </w:r>
      <w:r>
        <w:rPr/>
        <w:t>third-party</w:t>
      </w:r>
      <w:r>
        <w:rPr>
          <w:spacing w:val="-12"/>
        </w:rPr>
        <w:t> </w:t>
      </w:r>
      <w:r>
        <w:rPr/>
        <w:t>hosted</w:t>
      </w:r>
      <w:r>
        <w:rPr>
          <w:spacing w:val="-13"/>
        </w:rPr>
        <w:t> </w:t>
      </w:r>
      <w:r>
        <w:rPr/>
        <w:t>environments.</w:t>
      </w:r>
      <w:r>
        <w:rPr>
          <w:spacing w:val="-12"/>
        </w:rPr>
        <w:t> </w:t>
      </w:r>
      <w:r>
        <w:rPr/>
        <w:t>If</w:t>
      </w:r>
      <w:r>
        <w:rPr>
          <w:spacing w:val="-13"/>
        </w:rPr>
        <w:t> </w:t>
      </w:r>
      <w:r>
        <w:rPr/>
        <w:t>a</w:t>
      </w:r>
      <w:r>
        <w:rPr>
          <w:spacing w:val="-12"/>
        </w:rPr>
        <w:t> </w:t>
      </w:r>
      <w:r>
        <w:rPr/>
        <w:t>transition</w:t>
      </w:r>
      <w:r>
        <w:rPr>
          <w:spacing w:val="-13"/>
        </w:rPr>
        <w:t> </w:t>
      </w:r>
      <w:r>
        <w:rPr/>
        <w:t>among</w:t>
      </w:r>
      <w:r>
        <w:rPr>
          <w:spacing w:val="-12"/>
        </w:rPr>
        <w:t> </w:t>
      </w:r>
      <w:r>
        <w:rPr/>
        <w:t>data</w:t>
      </w:r>
      <w:r>
        <w:rPr>
          <w:spacing w:val="-13"/>
        </w:rPr>
        <w:t> </w:t>
      </w:r>
      <w:r>
        <w:rPr/>
        <w:t>centers</w:t>
      </w:r>
      <w:r>
        <w:rPr>
          <w:spacing w:val="-12"/>
        </w:rPr>
        <w:t> </w:t>
      </w:r>
      <w:r>
        <w:rPr/>
        <w:t>or</w:t>
      </w:r>
      <w:r>
        <w:rPr>
          <w:spacing w:val="-13"/>
        </w:rPr>
        <w:t> </w:t>
      </w:r>
      <w:r>
        <w:rPr/>
        <w:t>to</w:t>
      </w:r>
      <w:r>
        <w:rPr>
          <w:spacing w:val="-12"/>
        </w:rPr>
        <w:t> </w:t>
      </w:r>
      <w:r>
        <w:rPr/>
        <w:t>third-party</w:t>
      </w:r>
      <w:r>
        <w:rPr>
          <w:spacing w:val="-13"/>
        </w:rPr>
        <w:t> </w:t>
      </w:r>
      <w:r>
        <w:rPr/>
        <w:t>service providers</w:t>
      </w:r>
      <w:r>
        <w:rPr>
          <w:spacing w:val="-3"/>
        </w:rPr>
        <w:t> </w:t>
      </w:r>
      <w:r>
        <w:rPr/>
        <w:t>encounters</w:t>
      </w:r>
      <w:r>
        <w:rPr>
          <w:spacing w:val="-3"/>
        </w:rPr>
        <w:t> </w:t>
      </w:r>
      <w:r>
        <w:rPr/>
        <w:t>unexpected</w:t>
      </w:r>
      <w:r>
        <w:rPr>
          <w:spacing w:val="-3"/>
        </w:rPr>
        <w:t> </w:t>
      </w:r>
      <w:r>
        <w:rPr/>
        <w:t>interruptions,</w:t>
      </w:r>
      <w:r>
        <w:rPr>
          <w:spacing w:val="-3"/>
        </w:rPr>
        <w:t> </w:t>
      </w:r>
      <w:r>
        <w:rPr/>
        <w:t>unforeseen</w:t>
      </w:r>
      <w:r>
        <w:rPr>
          <w:spacing w:val="-3"/>
        </w:rPr>
        <w:t> </w:t>
      </w:r>
      <w:r>
        <w:rPr/>
        <w:t>complexity,</w:t>
      </w:r>
      <w:r>
        <w:rPr>
          <w:spacing w:val="-3"/>
        </w:rPr>
        <w:t> </w:t>
      </w:r>
      <w:r>
        <w:rPr/>
        <w:t>or</w:t>
      </w:r>
      <w:r>
        <w:rPr>
          <w:spacing w:val="-3"/>
        </w:rPr>
        <w:t> </w:t>
      </w:r>
      <w:r>
        <w:rPr/>
        <w:t>unplanned</w:t>
      </w:r>
      <w:r>
        <w:rPr>
          <w:spacing w:val="-3"/>
        </w:rPr>
        <w:t> </w:t>
      </w:r>
      <w:r>
        <w:rPr/>
        <w:t>disruptions</w:t>
      </w:r>
      <w:r>
        <w:rPr>
          <w:spacing w:val="-3"/>
        </w:rPr>
        <w:t> </w:t>
      </w:r>
      <w:r>
        <w:rPr/>
        <w:t>despite</w:t>
      </w:r>
      <w:r>
        <w:rPr>
          <w:spacing w:val="-3"/>
        </w:rPr>
        <w:t> </w:t>
      </w:r>
      <w:r>
        <w:rPr/>
        <w:t>precautions</w:t>
      </w:r>
      <w:r>
        <w:rPr>
          <w:spacing w:val="-3"/>
        </w:rPr>
        <w:t> </w:t>
      </w:r>
      <w:r>
        <w:rPr/>
        <w:t>undertaken during</w:t>
      </w:r>
      <w:r>
        <w:rPr>
          <w:spacing w:val="-8"/>
        </w:rPr>
        <w:t> </w:t>
      </w:r>
      <w:r>
        <w:rPr/>
        <w:t>the</w:t>
      </w:r>
      <w:r>
        <w:rPr>
          <w:spacing w:val="-8"/>
        </w:rPr>
        <w:t> </w:t>
      </w:r>
      <w:r>
        <w:rPr/>
        <w:t>process,</w:t>
      </w:r>
      <w:r>
        <w:rPr>
          <w:spacing w:val="-8"/>
        </w:rPr>
        <w:t> </w:t>
      </w:r>
      <w:r>
        <w:rPr/>
        <w:t>this</w:t>
      </w:r>
      <w:r>
        <w:rPr>
          <w:spacing w:val="-8"/>
        </w:rPr>
        <w:t> </w:t>
      </w:r>
      <w:r>
        <w:rPr/>
        <w:t>may</w:t>
      </w:r>
      <w:r>
        <w:rPr>
          <w:spacing w:val="-8"/>
        </w:rPr>
        <w:t> </w:t>
      </w:r>
      <w:r>
        <w:rPr/>
        <w:t>impair</w:t>
      </w:r>
      <w:r>
        <w:rPr>
          <w:spacing w:val="-8"/>
        </w:rPr>
        <w:t> </w:t>
      </w:r>
      <w:r>
        <w:rPr/>
        <w:t>our</w:t>
      </w:r>
      <w:r>
        <w:rPr>
          <w:spacing w:val="-8"/>
        </w:rPr>
        <w:t> </w:t>
      </w:r>
      <w:r>
        <w:rPr/>
        <w:t>delivery</w:t>
      </w:r>
      <w:r>
        <w:rPr>
          <w:spacing w:val="-8"/>
        </w:rPr>
        <w:t> </w:t>
      </w:r>
      <w:r>
        <w:rPr/>
        <w:t>of</w:t>
      </w:r>
      <w:r>
        <w:rPr>
          <w:spacing w:val="-8"/>
        </w:rPr>
        <w:t> </w:t>
      </w:r>
      <w:r>
        <w:rPr/>
        <w:t>products</w:t>
      </w:r>
      <w:r>
        <w:rPr>
          <w:spacing w:val="-8"/>
        </w:rPr>
        <w:t> </w:t>
      </w:r>
      <w:r>
        <w:rPr/>
        <w:t>and</w:t>
      </w:r>
      <w:r>
        <w:rPr>
          <w:spacing w:val="-8"/>
        </w:rPr>
        <w:t> </w:t>
      </w:r>
      <w:r>
        <w:rPr/>
        <w:t>services</w:t>
      </w:r>
      <w:r>
        <w:rPr>
          <w:spacing w:val="-8"/>
        </w:rPr>
        <w:t> </w:t>
      </w:r>
      <w:r>
        <w:rPr/>
        <w:t>to</w:t>
      </w:r>
      <w:r>
        <w:rPr>
          <w:spacing w:val="-8"/>
        </w:rPr>
        <w:t> </w:t>
      </w:r>
      <w:r>
        <w:rPr/>
        <w:t>customers</w:t>
      </w:r>
      <w:r>
        <w:rPr>
          <w:spacing w:val="-8"/>
        </w:rPr>
        <w:t> </w:t>
      </w:r>
      <w:r>
        <w:rPr/>
        <w:t>and</w:t>
      </w:r>
      <w:r>
        <w:rPr>
          <w:spacing w:val="-8"/>
        </w:rPr>
        <w:t> </w:t>
      </w:r>
      <w:r>
        <w:rPr/>
        <w:t>result</w:t>
      </w:r>
      <w:r>
        <w:rPr>
          <w:spacing w:val="-8"/>
        </w:rPr>
        <w:t> </w:t>
      </w:r>
      <w:r>
        <w:rPr/>
        <w:t>in</w:t>
      </w:r>
      <w:r>
        <w:rPr>
          <w:spacing w:val="-8"/>
        </w:rPr>
        <w:t> </w:t>
      </w:r>
      <w:r>
        <w:rPr/>
        <w:t>increased</w:t>
      </w:r>
      <w:r>
        <w:rPr>
          <w:spacing w:val="-8"/>
        </w:rPr>
        <w:t> </w:t>
      </w:r>
      <w:r>
        <w:rPr/>
        <w:t>costs</w:t>
      </w:r>
      <w:r>
        <w:rPr>
          <w:spacing w:val="-8"/>
        </w:rPr>
        <w:t> </w:t>
      </w:r>
      <w:r>
        <w:rPr/>
        <w:t>and</w:t>
      </w:r>
      <w:r>
        <w:rPr>
          <w:spacing w:val="-8"/>
        </w:rPr>
        <w:t> </w:t>
      </w:r>
      <w:r>
        <w:rPr/>
        <w:t>liabilities, which may harm our operating results and our business.</w:t>
      </w:r>
    </w:p>
    <w:p>
      <w:pPr>
        <w:pStyle w:val="BodyText"/>
        <w:spacing w:line="249" w:lineRule="auto" w:before="189"/>
        <w:ind w:left="210" w:right="247" w:firstLine="540"/>
        <w:jc w:val="both"/>
      </w:pPr>
      <w:r>
        <w:rPr/>
        <w:t>It</w:t>
      </w:r>
      <w:r>
        <w:rPr>
          <w:spacing w:val="-4"/>
        </w:rPr>
        <w:t> </w:t>
      </w:r>
      <w:r>
        <w:rPr/>
        <w:t>is</w:t>
      </w:r>
      <w:r>
        <w:rPr>
          <w:spacing w:val="-4"/>
        </w:rPr>
        <w:t> </w:t>
      </w:r>
      <w:r>
        <w:rPr/>
        <w:t>also</w:t>
      </w:r>
      <w:r>
        <w:rPr>
          <w:spacing w:val="-4"/>
        </w:rPr>
        <w:t> </w:t>
      </w:r>
      <w:r>
        <w:rPr/>
        <w:t>possible</w:t>
      </w:r>
      <w:r>
        <w:rPr>
          <w:spacing w:val="-4"/>
        </w:rPr>
        <w:t> </w:t>
      </w:r>
      <w:r>
        <w:rPr/>
        <w:t>that</w:t>
      </w:r>
      <w:r>
        <w:rPr>
          <w:spacing w:val="-4"/>
        </w:rPr>
        <w:t> </w:t>
      </w:r>
      <w:r>
        <w:rPr/>
        <w:t>hardware</w:t>
      </w:r>
      <w:r>
        <w:rPr>
          <w:spacing w:val="-4"/>
        </w:rPr>
        <w:t> </w:t>
      </w:r>
      <w:r>
        <w:rPr/>
        <w:t>or</w:t>
      </w:r>
      <w:r>
        <w:rPr>
          <w:spacing w:val="-4"/>
        </w:rPr>
        <w:t> </w:t>
      </w:r>
      <w:r>
        <w:rPr/>
        <w:t>software</w:t>
      </w:r>
      <w:r>
        <w:rPr>
          <w:spacing w:val="-4"/>
        </w:rPr>
        <w:t> </w:t>
      </w:r>
      <w:r>
        <w:rPr/>
        <w:t>failures</w:t>
      </w:r>
      <w:r>
        <w:rPr>
          <w:spacing w:val="-4"/>
        </w:rPr>
        <w:t> </w:t>
      </w:r>
      <w:r>
        <w:rPr/>
        <w:t>or</w:t>
      </w:r>
      <w:r>
        <w:rPr>
          <w:spacing w:val="-4"/>
        </w:rPr>
        <w:t> </w:t>
      </w:r>
      <w:r>
        <w:rPr/>
        <w:t>errors</w:t>
      </w:r>
      <w:r>
        <w:rPr>
          <w:spacing w:val="-4"/>
        </w:rPr>
        <w:t> </w:t>
      </w:r>
      <w:r>
        <w:rPr/>
        <w:t>in</w:t>
      </w:r>
      <w:r>
        <w:rPr>
          <w:spacing w:val="-4"/>
        </w:rPr>
        <w:t> </w:t>
      </w:r>
      <w:r>
        <w:rPr/>
        <w:t>our</w:t>
      </w:r>
      <w:r>
        <w:rPr>
          <w:spacing w:val="-4"/>
        </w:rPr>
        <w:t> </w:t>
      </w:r>
      <w:r>
        <w:rPr/>
        <w:t>systems</w:t>
      </w:r>
      <w:r>
        <w:rPr>
          <w:spacing w:val="-4"/>
        </w:rPr>
        <w:t> </w:t>
      </w:r>
      <w:r>
        <w:rPr/>
        <w:t>(or</w:t>
      </w:r>
      <w:r>
        <w:rPr>
          <w:spacing w:val="-4"/>
        </w:rPr>
        <w:t> </w:t>
      </w:r>
      <w:r>
        <w:rPr/>
        <w:t>those</w:t>
      </w:r>
      <w:r>
        <w:rPr>
          <w:spacing w:val="-4"/>
        </w:rPr>
        <w:t> </w:t>
      </w:r>
      <w:r>
        <w:rPr/>
        <w:t>of</w:t>
      </w:r>
      <w:r>
        <w:rPr>
          <w:spacing w:val="-4"/>
        </w:rPr>
        <w:t> </w:t>
      </w:r>
      <w:r>
        <w:rPr/>
        <w:t>our</w:t>
      </w:r>
      <w:r>
        <w:rPr>
          <w:spacing w:val="-4"/>
        </w:rPr>
        <w:t> </w:t>
      </w:r>
      <w:r>
        <w:rPr/>
        <w:t>third-party</w:t>
      </w:r>
      <w:r>
        <w:rPr>
          <w:spacing w:val="-4"/>
        </w:rPr>
        <w:t> </w:t>
      </w:r>
      <w:r>
        <w:rPr/>
        <w:t>service</w:t>
      </w:r>
      <w:r>
        <w:rPr>
          <w:spacing w:val="-4"/>
        </w:rPr>
        <w:t> </w:t>
      </w:r>
      <w:r>
        <w:rPr/>
        <w:t>providers) could</w:t>
      </w:r>
      <w:r>
        <w:rPr>
          <w:spacing w:val="-3"/>
        </w:rPr>
        <w:t> </w:t>
      </w:r>
      <w:r>
        <w:rPr/>
        <w:t>result</w:t>
      </w:r>
      <w:r>
        <w:rPr>
          <w:spacing w:val="-4"/>
        </w:rPr>
        <w:t> </w:t>
      </w:r>
      <w:r>
        <w:rPr/>
        <w:t>in</w:t>
      </w:r>
      <w:r>
        <w:rPr>
          <w:spacing w:val="-3"/>
        </w:rPr>
        <w:t> </w:t>
      </w:r>
      <w:r>
        <w:rPr/>
        <w:t>data</w:t>
      </w:r>
      <w:r>
        <w:rPr>
          <w:spacing w:val="-4"/>
        </w:rPr>
        <w:t> </w:t>
      </w:r>
      <w:r>
        <w:rPr/>
        <w:t>loss</w:t>
      </w:r>
      <w:r>
        <w:rPr>
          <w:spacing w:val="-3"/>
        </w:rPr>
        <w:t> </w:t>
      </w:r>
      <w:r>
        <w:rPr/>
        <w:t>or</w:t>
      </w:r>
      <w:r>
        <w:rPr>
          <w:spacing w:val="-3"/>
        </w:rPr>
        <w:t> </w:t>
      </w:r>
      <w:r>
        <w:rPr/>
        <w:t>corruption,</w:t>
      </w:r>
      <w:r>
        <w:rPr>
          <w:spacing w:val="-4"/>
        </w:rPr>
        <w:t> </w:t>
      </w:r>
      <w:r>
        <w:rPr/>
        <w:t>cause</w:t>
      </w:r>
      <w:r>
        <w:rPr>
          <w:spacing w:val="-4"/>
        </w:rPr>
        <w:t> </w:t>
      </w:r>
      <w:r>
        <w:rPr/>
        <w:t>the</w:t>
      </w:r>
      <w:r>
        <w:rPr>
          <w:spacing w:val="-3"/>
        </w:rPr>
        <w:t> </w:t>
      </w:r>
      <w:r>
        <w:rPr/>
        <w:t>information</w:t>
      </w:r>
      <w:r>
        <w:rPr>
          <w:spacing w:val="-4"/>
        </w:rPr>
        <w:t> </w:t>
      </w:r>
      <w:r>
        <w:rPr/>
        <w:t>that</w:t>
      </w:r>
      <w:r>
        <w:rPr>
          <w:spacing w:val="-3"/>
        </w:rPr>
        <w:t> </w:t>
      </w:r>
      <w:r>
        <w:rPr/>
        <w:t>we</w:t>
      </w:r>
      <w:r>
        <w:rPr>
          <w:spacing w:val="-4"/>
        </w:rPr>
        <w:t> </w:t>
      </w:r>
      <w:r>
        <w:rPr/>
        <w:t>collect</w:t>
      </w:r>
      <w:r>
        <w:rPr>
          <w:spacing w:val="-4"/>
        </w:rPr>
        <w:t> </w:t>
      </w:r>
      <w:r>
        <w:rPr/>
        <w:t>or</w:t>
      </w:r>
      <w:r>
        <w:rPr>
          <w:spacing w:val="-3"/>
        </w:rPr>
        <w:t> </w:t>
      </w:r>
      <w:r>
        <w:rPr/>
        <w:t>maintain</w:t>
      </w:r>
      <w:r>
        <w:rPr>
          <w:spacing w:val="-3"/>
        </w:rPr>
        <w:t> </w:t>
      </w:r>
      <w:r>
        <w:rPr/>
        <w:t>to</w:t>
      </w:r>
      <w:r>
        <w:rPr>
          <w:spacing w:val="-3"/>
        </w:rPr>
        <w:t> </w:t>
      </w:r>
      <w:r>
        <w:rPr/>
        <w:t>be</w:t>
      </w:r>
      <w:r>
        <w:rPr>
          <w:spacing w:val="-3"/>
        </w:rPr>
        <w:t> </w:t>
      </w:r>
      <w:r>
        <w:rPr/>
        <w:t>incomplete</w:t>
      </w:r>
      <w:r>
        <w:rPr>
          <w:spacing w:val="-4"/>
        </w:rPr>
        <w:t> </w:t>
      </w:r>
      <w:r>
        <w:rPr/>
        <w:t>or</w:t>
      </w:r>
      <w:r>
        <w:rPr>
          <w:spacing w:val="-3"/>
        </w:rPr>
        <w:t> </w:t>
      </w:r>
      <w:r>
        <w:rPr/>
        <w:t>contain</w:t>
      </w:r>
      <w:r>
        <w:rPr>
          <w:spacing w:val="-3"/>
        </w:rPr>
        <w:t> </w:t>
      </w:r>
      <w:r>
        <w:rPr/>
        <w:t>inaccuracies that</w:t>
      </w:r>
      <w:r>
        <w:rPr>
          <w:spacing w:val="-12"/>
        </w:rPr>
        <w:t> </w:t>
      </w:r>
      <w:r>
        <w:rPr/>
        <w:t>our</w:t>
      </w:r>
      <w:r>
        <w:rPr>
          <w:spacing w:val="-12"/>
        </w:rPr>
        <w:t> </w:t>
      </w:r>
      <w:r>
        <w:rPr/>
        <w:t>customers</w:t>
      </w:r>
      <w:r>
        <w:rPr>
          <w:spacing w:val="-12"/>
        </w:rPr>
        <w:t> </w:t>
      </w:r>
      <w:r>
        <w:rPr/>
        <w:t>regard</w:t>
      </w:r>
      <w:r>
        <w:rPr>
          <w:spacing w:val="-12"/>
        </w:rPr>
        <w:t> </w:t>
      </w:r>
      <w:r>
        <w:rPr/>
        <w:t>as</w:t>
      </w:r>
      <w:r>
        <w:rPr>
          <w:spacing w:val="-12"/>
        </w:rPr>
        <w:t> </w:t>
      </w:r>
      <w:r>
        <w:rPr/>
        <w:t>significant,</w:t>
      </w:r>
      <w:r>
        <w:rPr>
          <w:spacing w:val="-12"/>
        </w:rPr>
        <w:t> </w:t>
      </w:r>
      <w:r>
        <w:rPr/>
        <w:t>or</w:t>
      </w:r>
      <w:r>
        <w:rPr>
          <w:spacing w:val="-12"/>
        </w:rPr>
        <w:t> </w:t>
      </w:r>
      <w:r>
        <w:rPr/>
        <w:t>cause</w:t>
      </w:r>
      <w:r>
        <w:rPr>
          <w:spacing w:val="-12"/>
        </w:rPr>
        <w:t> </w:t>
      </w:r>
      <w:r>
        <w:rPr/>
        <w:t>us</w:t>
      </w:r>
      <w:r>
        <w:rPr>
          <w:spacing w:val="-12"/>
        </w:rPr>
        <w:t> </w:t>
      </w:r>
      <w:r>
        <w:rPr/>
        <w:t>to</w:t>
      </w:r>
      <w:r>
        <w:rPr>
          <w:spacing w:val="-12"/>
        </w:rPr>
        <w:t> </w:t>
      </w:r>
      <w:r>
        <w:rPr/>
        <w:t>fail</w:t>
      </w:r>
      <w:r>
        <w:rPr>
          <w:spacing w:val="-12"/>
        </w:rPr>
        <w:t> </w:t>
      </w:r>
      <w:r>
        <w:rPr/>
        <w:t>to</w:t>
      </w:r>
      <w:r>
        <w:rPr>
          <w:spacing w:val="-12"/>
        </w:rPr>
        <w:t> </w:t>
      </w:r>
      <w:r>
        <w:rPr/>
        <w:t>meet</w:t>
      </w:r>
      <w:r>
        <w:rPr>
          <w:spacing w:val="-12"/>
        </w:rPr>
        <w:t> </w:t>
      </w:r>
      <w:r>
        <w:rPr/>
        <w:t>committed</w:t>
      </w:r>
      <w:r>
        <w:rPr>
          <w:spacing w:val="-12"/>
        </w:rPr>
        <w:t> </w:t>
      </w:r>
      <w:r>
        <w:rPr/>
        <w:t>service</w:t>
      </w:r>
      <w:r>
        <w:rPr>
          <w:spacing w:val="-13"/>
        </w:rPr>
        <w:t> </w:t>
      </w:r>
      <w:r>
        <w:rPr/>
        <w:t>levels</w:t>
      </w:r>
      <w:r>
        <w:rPr>
          <w:spacing w:val="-12"/>
        </w:rPr>
        <w:t> </w:t>
      </w:r>
      <w:r>
        <w:rPr/>
        <w:t>or</w:t>
      </w:r>
      <w:r>
        <w:rPr>
          <w:spacing w:val="-12"/>
        </w:rPr>
        <w:t> </w:t>
      </w:r>
      <w:r>
        <w:rPr/>
        <w:t>comply</w:t>
      </w:r>
      <w:r>
        <w:rPr>
          <w:spacing w:val="-12"/>
        </w:rPr>
        <w:t> </w:t>
      </w:r>
      <w:r>
        <w:rPr/>
        <w:t>with</w:t>
      </w:r>
      <w:r>
        <w:rPr>
          <w:spacing w:val="-12"/>
        </w:rPr>
        <w:t> </w:t>
      </w:r>
      <w:r>
        <w:rPr/>
        <w:t>regulatory</w:t>
      </w:r>
      <w:r>
        <w:rPr>
          <w:spacing w:val="-12"/>
        </w:rPr>
        <w:t> </w:t>
      </w:r>
      <w:r>
        <w:rPr/>
        <w:t>notification requirements.</w:t>
      </w:r>
      <w:r>
        <w:rPr>
          <w:spacing w:val="-3"/>
        </w:rPr>
        <w:t> </w:t>
      </w:r>
      <w:r>
        <w:rPr/>
        <w:t>Furthermore,</w:t>
      </w:r>
      <w:r>
        <w:rPr>
          <w:spacing w:val="-3"/>
        </w:rPr>
        <w:t> </w:t>
      </w:r>
      <w:r>
        <w:rPr/>
        <w:t>our</w:t>
      </w:r>
      <w:r>
        <w:rPr>
          <w:spacing w:val="-3"/>
        </w:rPr>
        <w:t> </w:t>
      </w:r>
      <w:r>
        <w:rPr/>
        <w:t>ability</w:t>
      </w:r>
      <w:r>
        <w:rPr>
          <w:spacing w:val="-3"/>
        </w:rPr>
        <w:t> </w:t>
      </w:r>
      <w:r>
        <w:rPr/>
        <w:t>to</w:t>
      </w:r>
      <w:r>
        <w:rPr>
          <w:spacing w:val="-3"/>
        </w:rPr>
        <w:t> </w:t>
      </w:r>
      <w:r>
        <w:rPr/>
        <w:t>collect</w:t>
      </w:r>
      <w:r>
        <w:rPr>
          <w:spacing w:val="-3"/>
        </w:rPr>
        <w:t> </w:t>
      </w:r>
      <w:r>
        <w:rPr/>
        <w:t>and</w:t>
      </w:r>
      <w:r>
        <w:rPr>
          <w:spacing w:val="-3"/>
        </w:rPr>
        <w:t> </w:t>
      </w:r>
      <w:r>
        <w:rPr/>
        <w:t>report</w:t>
      </w:r>
      <w:r>
        <w:rPr>
          <w:spacing w:val="-3"/>
        </w:rPr>
        <w:t> </w:t>
      </w:r>
      <w:r>
        <w:rPr/>
        <w:t>data</w:t>
      </w:r>
      <w:r>
        <w:rPr>
          <w:spacing w:val="-3"/>
        </w:rPr>
        <w:t> </w:t>
      </w:r>
      <w:r>
        <w:rPr/>
        <w:t>may</w:t>
      </w:r>
      <w:r>
        <w:rPr>
          <w:spacing w:val="-3"/>
        </w:rPr>
        <w:t> </w:t>
      </w:r>
      <w:r>
        <w:rPr/>
        <w:t>be</w:t>
      </w:r>
      <w:r>
        <w:rPr>
          <w:spacing w:val="-3"/>
        </w:rPr>
        <w:t> </w:t>
      </w:r>
      <w:r>
        <w:rPr/>
        <w:t>delayed</w:t>
      </w:r>
      <w:r>
        <w:rPr>
          <w:spacing w:val="-3"/>
        </w:rPr>
        <w:t> </w:t>
      </w:r>
      <w:r>
        <w:rPr/>
        <w:t>or</w:t>
      </w:r>
      <w:r>
        <w:rPr>
          <w:spacing w:val="-3"/>
        </w:rPr>
        <w:t> </w:t>
      </w:r>
      <w:r>
        <w:rPr/>
        <w:t>interrupted</w:t>
      </w:r>
      <w:r>
        <w:rPr>
          <w:spacing w:val="-3"/>
        </w:rPr>
        <w:t> </w:t>
      </w:r>
      <w:r>
        <w:rPr/>
        <w:t>by</w:t>
      </w:r>
      <w:r>
        <w:rPr>
          <w:spacing w:val="-3"/>
        </w:rPr>
        <w:t> </w:t>
      </w:r>
      <w:r>
        <w:rPr/>
        <w:t>a</w:t>
      </w:r>
      <w:r>
        <w:rPr>
          <w:spacing w:val="-3"/>
        </w:rPr>
        <w:t> </w:t>
      </w:r>
      <w:r>
        <w:rPr/>
        <w:t>number</w:t>
      </w:r>
      <w:r>
        <w:rPr>
          <w:spacing w:val="-3"/>
        </w:rPr>
        <w:t> </w:t>
      </w:r>
      <w:r>
        <w:rPr/>
        <w:t>of</w:t>
      </w:r>
      <w:r>
        <w:rPr>
          <w:spacing w:val="-3"/>
        </w:rPr>
        <w:t> </w:t>
      </w:r>
      <w:r>
        <w:rPr/>
        <w:t>factors,</w:t>
      </w:r>
      <w:r>
        <w:rPr>
          <w:spacing w:val="-3"/>
        </w:rPr>
        <w:t> </w:t>
      </w:r>
      <w:r>
        <w:rPr/>
        <w:t>including access</w:t>
      </w:r>
      <w:r>
        <w:rPr>
          <w:spacing w:val="-1"/>
        </w:rPr>
        <w:t> </w:t>
      </w:r>
      <w:r>
        <w:rPr/>
        <w:t>to</w:t>
      </w:r>
      <w:r>
        <w:rPr>
          <w:spacing w:val="-1"/>
        </w:rPr>
        <w:t> </w:t>
      </w:r>
      <w:r>
        <w:rPr/>
        <w:t>the</w:t>
      </w:r>
      <w:r>
        <w:rPr>
          <w:spacing w:val="-2"/>
        </w:rPr>
        <w:t> </w:t>
      </w:r>
      <w:r>
        <w:rPr/>
        <w:t>Internet,</w:t>
      </w:r>
      <w:r>
        <w:rPr>
          <w:spacing w:val="-2"/>
        </w:rPr>
        <w:t> </w:t>
      </w:r>
      <w:r>
        <w:rPr/>
        <w:t>the</w:t>
      </w:r>
      <w:r>
        <w:rPr>
          <w:spacing w:val="-2"/>
        </w:rPr>
        <w:t> </w:t>
      </w:r>
      <w:r>
        <w:rPr/>
        <w:t>failure</w:t>
      </w:r>
      <w:r>
        <w:rPr>
          <w:spacing w:val="-2"/>
        </w:rPr>
        <w:t> </w:t>
      </w:r>
      <w:r>
        <w:rPr/>
        <w:t>of</w:t>
      </w:r>
      <w:r>
        <w:rPr>
          <w:spacing w:val="-2"/>
        </w:rPr>
        <w:t> </w:t>
      </w:r>
      <w:r>
        <w:rPr/>
        <w:t>our</w:t>
      </w:r>
      <w:r>
        <w:rPr>
          <w:spacing w:val="-1"/>
        </w:rPr>
        <w:t> </w:t>
      </w:r>
      <w:r>
        <w:rPr/>
        <w:t>network</w:t>
      </w:r>
      <w:r>
        <w:rPr>
          <w:spacing w:val="-2"/>
        </w:rPr>
        <w:t> </w:t>
      </w:r>
      <w:r>
        <w:rPr/>
        <w:t>or</w:t>
      </w:r>
      <w:r>
        <w:rPr>
          <w:spacing w:val="-1"/>
        </w:rPr>
        <w:t> </w:t>
      </w:r>
      <w:r>
        <w:rPr/>
        <w:t>software</w:t>
      </w:r>
      <w:r>
        <w:rPr>
          <w:spacing w:val="-2"/>
        </w:rPr>
        <w:t> </w:t>
      </w:r>
      <w:r>
        <w:rPr/>
        <w:t>systems,</w:t>
      </w:r>
      <w:r>
        <w:rPr>
          <w:spacing w:val="-1"/>
        </w:rPr>
        <w:t> </w:t>
      </w:r>
      <w:r>
        <w:rPr/>
        <w:t>security</w:t>
      </w:r>
      <w:r>
        <w:rPr>
          <w:spacing w:val="-2"/>
        </w:rPr>
        <w:t> </w:t>
      </w:r>
      <w:r>
        <w:rPr/>
        <w:t>breaches</w:t>
      </w:r>
      <w:r>
        <w:rPr>
          <w:spacing w:val="-1"/>
        </w:rPr>
        <w:t> </w:t>
      </w:r>
      <w:r>
        <w:rPr/>
        <w:t>or</w:t>
      </w:r>
      <w:r>
        <w:rPr>
          <w:spacing w:val="-1"/>
        </w:rPr>
        <w:t> </w:t>
      </w:r>
      <w:r>
        <w:rPr/>
        <w:t>significant</w:t>
      </w:r>
      <w:r>
        <w:rPr>
          <w:spacing w:val="-2"/>
        </w:rPr>
        <w:t> </w:t>
      </w:r>
      <w:r>
        <w:rPr/>
        <w:t>variability</w:t>
      </w:r>
      <w:r>
        <w:rPr>
          <w:spacing w:val="-1"/>
        </w:rPr>
        <w:t> </w:t>
      </w:r>
      <w:r>
        <w:rPr/>
        <w:t>in</w:t>
      </w:r>
      <w:r>
        <w:rPr>
          <w:spacing w:val="-2"/>
        </w:rPr>
        <w:t> </w:t>
      </w:r>
      <w:r>
        <w:rPr/>
        <w:t>visitor</w:t>
      </w:r>
      <w:r>
        <w:rPr>
          <w:spacing w:val="-2"/>
        </w:rPr>
        <w:t> </w:t>
      </w:r>
      <w:r>
        <w:rPr/>
        <w:t>traffic on</w:t>
      </w:r>
      <w:r>
        <w:rPr>
          <w:spacing w:val="-10"/>
        </w:rPr>
        <w:t> </w:t>
      </w:r>
      <w:r>
        <w:rPr/>
        <w:t>customer</w:t>
      </w:r>
      <w:r>
        <w:rPr>
          <w:spacing w:val="-10"/>
        </w:rPr>
        <w:t> </w:t>
      </w:r>
      <w:r>
        <w:rPr/>
        <w:t>websites.</w:t>
      </w:r>
      <w:r>
        <w:rPr>
          <w:spacing w:val="-10"/>
        </w:rPr>
        <w:t> </w:t>
      </w:r>
      <w:r>
        <w:rPr/>
        <w:t>In</w:t>
      </w:r>
      <w:r>
        <w:rPr>
          <w:spacing w:val="-10"/>
        </w:rPr>
        <w:t> </w:t>
      </w:r>
      <w:r>
        <w:rPr/>
        <w:t>addition,</w:t>
      </w:r>
      <w:r>
        <w:rPr>
          <w:spacing w:val="-11"/>
        </w:rPr>
        <w:t> </w:t>
      </w:r>
      <w:r>
        <w:rPr/>
        <w:t>computer</w:t>
      </w:r>
      <w:r>
        <w:rPr>
          <w:spacing w:val="-10"/>
        </w:rPr>
        <w:t> </w:t>
      </w:r>
      <w:r>
        <w:rPr/>
        <w:t>viruses,</w:t>
      </w:r>
      <w:r>
        <w:rPr>
          <w:spacing w:val="-10"/>
        </w:rPr>
        <w:t> </w:t>
      </w:r>
      <w:r>
        <w:rPr/>
        <w:t>worms,</w:t>
      </w:r>
      <w:r>
        <w:rPr>
          <w:spacing w:val="-11"/>
        </w:rPr>
        <w:t> </w:t>
      </w:r>
      <w:r>
        <w:rPr/>
        <w:t>or</w:t>
      </w:r>
      <w:r>
        <w:rPr>
          <w:spacing w:val="-10"/>
        </w:rPr>
        <w:t> </w:t>
      </w:r>
      <w:r>
        <w:rPr/>
        <w:t>other</w:t>
      </w:r>
      <w:r>
        <w:rPr>
          <w:spacing w:val="-10"/>
        </w:rPr>
        <w:t> </w:t>
      </w:r>
      <w:r>
        <w:rPr/>
        <w:t>malware</w:t>
      </w:r>
      <w:r>
        <w:rPr>
          <w:spacing w:val="-11"/>
        </w:rPr>
        <w:t> </w:t>
      </w:r>
      <w:r>
        <w:rPr/>
        <w:t>may</w:t>
      </w:r>
      <w:r>
        <w:rPr>
          <w:spacing w:val="-11"/>
        </w:rPr>
        <w:t> </w:t>
      </w:r>
      <w:r>
        <w:rPr/>
        <w:t>harm</w:t>
      </w:r>
      <w:r>
        <w:rPr>
          <w:spacing w:val="-11"/>
        </w:rPr>
        <w:t> </w:t>
      </w:r>
      <w:r>
        <w:rPr/>
        <w:t>our</w:t>
      </w:r>
      <w:r>
        <w:rPr>
          <w:spacing w:val="-10"/>
        </w:rPr>
        <w:t> </w:t>
      </w:r>
      <w:r>
        <w:rPr/>
        <w:t>systems,</w:t>
      </w:r>
      <w:r>
        <w:rPr>
          <w:spacing w:val="-10"/>
        </w:rPr>
        <w:t> </w:t>
      </w:r>
      <w:r>
        <w:rPr/>
        <w:t>causing</w:t>
      </w:r>
      <w:r>
        <w:rPr>
          <w:spacing w:val="-10"/>
        </w:rPr>
        <w:t> </w:t>
      </w:r>
      <w:r>
        <w:rPr/>
        <w:t>us</w:t>
      </w:r>
      <w:r>
        <w:rPr>
          <w:spacing w:val="-10"/>
        </w:rPr>
        <w:t> </w:t>
      </w:r>
      <w:r>
        <w:rPr/>
        <w:t>to</w:t>
      </w:r>
      <w:r>
        <w:rPr>
          <w:spacing w:val="-10"/>
        </w:rPr>
        <w:t> </w:t>
      </w:r>
      <w:r>
        <w:rPr/>
        <w:t>lose</w:t>
      </w:r>
      <w:r>
        <w:rPr>
          <w:spacing w:val="-11"/>
        </w:rPr>
        <w:t> </w:t>
      </w:r>
      <w:r>
        <w:rPr/>
        <w:t>data,</w:t>
      </w:r>
      <w:r>
        <w:rPr>
          <w:spacing w:val="-10"/>
        </w:rPr>
        <w:t> </w:t>
      </w:r>
      <w:r>
        <w:rPr/>
        <w:t>and the transmission of computer viruses or other malware could expose us to litigation or regulatory investigation, and costly and time intensive notification requirements.</w:t>
      </w:r>
    </w:p>
    <w:p>
      <w:pPr>
        <w:pStyle w:val="BodyText"/>
        <w:spacing w:line="249" w:lineRule="auto" w:before="187"/>
        <w:ind w:left="210" w:right="247" w:firstLine="540"/>
        <w:jc w:val="both"/>
      </w:pPr>
      <w:r>
        <w:rPr/>
        <w:t>We may also find, on occasion, that we cannot deliver data and reports to our customers in near real time because of a number</w:t>
      </w:r>
      <w:r>
        <w:rPr>
          <w:spacing w:val="-7"/>
        </w:rPr>
        <w:t> </w:t>
      </w:r>
      <w:r>
        <w:rPr/>
        <w:t>of</w:t>
      </w:r>
      <w:r>
        <w:rPr>
          <w:spacing w:val="-6"/>
        </w:rPr>
        <w:t> </w:t>
      </w:r>
      <w:r>
        <w:rPr/>
        <w:t>factors,</w:t>
      </w:r>
      <w:r>
        <w:rPr>
          <w:spacing w:val="-7"/>
        </w:rPr>
        <w:t> </w:t>
      </w:r>
      <w:r>
        <w:rPr/>
        <w:t>including</w:t>
      </w:r>
      <w:r>
        <w:rPr>
          <w:spacing w:val="-7"/>
        </w:rPr>
        <w:t> </w:t>
      </w:r>
      <w:r>
        <w:rPr/>
        <w:t>significant</w:t>
      </w:r>
      <w:r>
        <w:rPr>
          <w:spacing w:val="-7"/>
        </w:rPr>
        <w:t> </w:t>
      </w:r>
      <w:r>
        <w:rPr/>
        <w:t>spikes</w:t>
      </w:r>
      <w:r>
        <w:rPr>
          <w:spacing w:val="-6"/>
        </w:rPr>
        <w:t> </w:t>
      </w:r>
      <w:r>
        <w:rPr/>
        <w:t>in</w:t>
      </w:r>
      <w:r>
        <w:rPr>
          <w:spacing w:val="-7"/>
        </w:rPr>
        <w:t> </w:t>
      </w:r>
      <w:r>
        <w:rPr/>
        <w:t>customer</w:t>
      </w:r>
      <w:r>
        <w:rPr>
          <w:spacing w:val="-7"/>
        </w:rPr>
        <w:t> </w:t>
      </w:r>
      <w:r>
        <w:rPr/>
        <w:t>activity</w:t>
      </w:r>
      <w:r>
        <w:rPr>
          <w:spacing w:val="-6"/>
        </w:rPr>
        <w:t> </w:t>
      </w:r>
      <w:r>
        <w:rPr/>
        <w:t>on</w:t>
      </w:r>
      <w:r>
        <w:rPr>
          <w:spacing w:val="-6"/>
        </w:rPr>
        <w:t> </w:t>
      </w:r>
      <w:r>
        <w:rPr/>
        <w:t>their</w:t>
      </w:r>
      <w:r>
        <w:rPr>
          <w:spacing w:val="-7"/>
        </w:rPr>
        <w:t> </w:t>
      </w:r>
      <w:r>
        <w:rPr/>
        <w:t>websites</w:t>
      </w:r>
      <w:r>
        <w:rPr>
          <w:spacing w:val="-6"/>
        </w:rPr>
        <w:t> </w:t>
      </w:r>
      <w:r>
        <w:rPr/>
        <w:t>or</w:t>
      </w:r>
      <w:r>
        <w:rPr>
          <w:spacing w:val="-6"/>
        </w:rPr>
        <w:t> </w:t>
      </w:r>
      <w:r>
        <w:rPr/>
        <w:t>failures</w:t>
      </w:r>
      <w:r>
        <w:rPr>
          <w:spacing w:val="-6"/>
        </w:rPr>
        <w:t> </w:t>
      </w:r>
      <w:r>
        <w:rPr/>
        <w:t>of</w:t>
      </w:r>
      <w:r>
        <w:rPr>
          <w:spacing w:val="-6"/>
        </w:rPr>
        <w:t> </w:t>
      </w:r>
      <w:r>
        <w:rPr/>
        <w:t>our</w:t>
      </w:r>
      <w:r>
        <w:rPr>
          <w:spacing w:val="-7"/>
        </w:rPr>
        <w:t> </w:t>
      </w:r>
      <w:r>
        <w:rPr/>
        <w:t>network</w:t>
      </w:r>
      <w:r>
        <w:rPr>
          <w:spacing w:val="-6"/>
        </w:rPr>
        <w:t> </w:t>
      </w:r>
      <w:r>
        <w:rPr/>
        <w:t>or</w:t>
      </w:r>
      <w:r>
        <w:rPr>
          <w:spacing w:val="-6"/>
        </w:rPr>
        <w:t> </w:t>
      </w:r>
      <w:r>
        <w:rPr/>
        <w:t>software.</w:t>
      </w:r>
      <w:r>
        <w:rPr>
          <w:spacing w:val="-7"/>
        </w:rPr>
        <w:t> </w:t>
      </w:r>
      <w:r>
        <w:rPr/>
        <w:t>If</w:t>
      </w:r>
      <w:r>
        <w:rPr>
          <w:spacing w:val="-6"/>
        </w:rPr>
        <w:t> </w:t>
      </w:r>
      <w:r>
        <w:rPr/>
        <w:t>we </w:t>
      </w:r>
      <w:r>
        <w:rPr>
          <w:spacing w:val="-2"/>
        </w:rPr>
        <w:t>fail</w:t>
      </w:r>
      <w:r>
        <w:rPr>
          <w:spacing w:val="-11"/>
        </w:rPr>
        <w:t> </w:t>
      </w:r>
      <w:r>
        <w:rPr>
          <w:spacing w:val="-2"/>
        </w:rPr>
        <w:t>to</w:t>
      </w:r>
      <w:r>
        <w:rPr>
          <w:spacing w:val="-10"/>
        </w:rPr>
        <w:t> </w:t>
      </w:r>
      <w:r>
        <w:rPr>
          <w:spacing w:val="-2"/>
        </w:rPr>
        <w:t>plan</w:t>
      </w:r>
      <w:r>
        <w:rPr>
          <w:spacing w:val="-11"/>
        </w:rPr>
        <w:t> </w:t>
      </w:r>
      <w:r>
        <w:rPr>
          <w:spacing w:val="-2"/>
        </w:rPr>
        <w:t>infrastructure</w:t>
      </w:r>
      <w:r>
        <w:rPr>
          <w:spacing w:val="-10"/>
        </w:rPr>
        <w:t> </w:t>
      </w:r>
      <w:r>
        <w:rPr>
          <w:spacing w:val="-2"/>
        </w:rPr>
        <w:t>capacity</w:t>
      </w:r>
      <w:r>
        <w:rPr>
          <w:spacing w:val="-11"/>
        </w:rPr>
        <w:t> </w:t>
      </w:r>
      <w:r>
        <w:rPr>
          <w:spacing w:val="-2"/>
        </w:rPr>
        <w:t>appropriately</w:t>
      </w:r>
      <w:r>
        <w:rPr>
          <w:spacing w:val="-10"/>
        </w:rPr>
        <w:t> </w:t>
      </w:r>
      <w:r>
        <w:rPr>
          <w:spacing w:val="-2"/>
        </w:rPr>
        <w:t>and</w:t>
      </w:r>
      <w:r>
        <w:rPr>
          <w:spacing w:val="-11"/>
        </w:rPr>
        <w:t> </w:t>
      </w:r>
      <w:r>
        <w:rPr>
          <w:spacing w:val="-2"/>
        </w:rPr>
        <w:t>expand</w:t>
      </w:r>
      <w:r>
        <w:rPr>
          <w:spacing w:val="-10"/>
        </w:rPr>
        <w:t> </w:t>
      </w:r>
      <w:r>
        <w:rPr>
          <w:spacing w:val="-2"/>
        </w:rPr>
        <w:t>it</w:t>
      </w:r>
      <w:r>
        <w:rPr>
          <w:spacing w:val="-11"/>
        </w:rPr>
        <w:t> </w:t>
      </w:r>
      <w:r>
        <w:rPr>
          <w:spacing w:val="-2"/>
        </w:rPr>
        <w:t>proportionally</w:t>
      </w:r>
      <w:r>
        <w:rPr>
          <w:spacing w:val="-10"/>
        </w:rPr>
        <w:t> </w:t>
      </w:r>
      <w:r>
        <w:rPr>
          <w:spacing w:val="-2"/>
        </w:rPr>
        <w:t>with</w:t>
      </w:r>
      <w:r>
        <w:rPr>
          <w:spacing w:val="-11"/>
        </w:rPr>
        <w:t> </w:t>
      </w:r>
      <w:r>
        <w:rPr>
          <w:spacing w:val="-2"/>
        </w:rPr>
        <w:t>the</w:t>
      </w:r>
      <w:r>
        <w:rPr>
          <w:spacing w:val="-10"/>
        </w:rPr>
        <w:t> </w:t>
      </w:r>
      <w:r>
        <w:rPr>
          <w:spacing w:val="-2"/>
        </w:rPr>
        <w:t>needs</w:t>
      </w:r>
      <w:r>
        <w:rPr>
          <w:spacing w:val="-11"/>
        </w:rPr>
        <w:t> </w:t>
      </w:r>
      <w:r>
        <w:rPr>
          <w:spacing w:val="-2"/>
        </w:rPr>
        <w:t>of</w:t>
      </w:r>
      <w:r>
        <w:rPr>
          <w:spacing w:val="-10"/>
        </w:rPr>
        <w:t> </w:t>
      </w:r>
      <w:r>
        <w:rPr>
          <w:spacing w:val="-2"/>
        </w:rPr>
        <w:t>our</w:t>
      </w:r>
      <w:r>
        <w:rPr>
          <w:spacing w:val="-11"/>
        </w:rPr>
        <w:t> </w:t>
      </w:r>
      <w:r>
        <w:rPr>
          <w:spacing w:val="-2"/>
        </w:rPr>
        <w:t>customer</w:t>
      </w:r>
      <w:r>
        <w:rPr>
          <w:spacing w:val="-10"/>
        </w:rPr>
        <w:t> </w:t>
      </w:r>
      <w:r>
        <w:rPr>
          <w:spacing w:val="-2"/>
        </w:rPr>
        <w:t>base,</w:t>
      </w:r>
      <w:r>
        <w:rPr>
          <w:spacing w:val="-11"/>
        </w:rPr>
        <w:t> </w:t>
      </w:r>
      <w:r>
        <w:rPr>
          <w:spacing w:val="-2"/>
        </w:rPr>
        <w:t>and</w:t>
      </w:r>
      <w:r>
        <w:rPr>
          <w:spacing w:val="-10"/>
        </w:rPr>
        <w:t> </w:t>
      </w:r>
      <w:r>
        <w:rPr>
          <w:spacing w:val="-2"/>
        </w:rPr>
        <w:t>we</w:t>
      </w:r>
      <w:r>
        <w:rPr>
          <w:spacing w:val="-11"/>
        </w:rPr>
        <w:t> </w:t>
      </w:r>
      <w:r>
        <w:rPr>
          <w:spacing w:val="-2"/>
        </w:rPr>
        <w:t>experience </w:t>
      </w:r>
      <w:r>
        <w:rPr/>
        <w:t>a rapid and significant demand on the capacity of our data centers or those of third parties, service outages could occur and our customers could suffer impaired performance of our services.</w:t>
      </w:r>
      <w:r>
        <w:rPr>
          <w:spacing w:val="40"/>
        </w:rPr>
        <w:t> </w:t>
      </w:r>
      <w:r>
        <w:rPr/>
        <w:t>Such a strain on our infrastructure capacity could subject us to regulatory notification requirements, violations of service level agreement commitments, financial liabilities, result in customer dissatisfaction, or harm our business.</w:t>
      </w:r>
      <w:r>
        <w:rPr>
          <w:spacing w:val="40"/>
        </w:rPr>
        <w:t> </w:t>
      </w:r>
      <w:r>
        <w:rPr/>
        <w:t>If we supply inaccurate information or experience interruptions in our ability to capture, store</w:t>
      </w:r>
      <w:r>
        <w:rPr>
          <w:spacing w:val="-5"/>
        </w:rPr>
        <w:t> </w:t>
      </w:r>
      <w:r>
        <w:rPr/>
        <w:t>and</w:t>
      </w:r>
      <w:r>
        <w:rPr>
          <w:spacing w:val="-5"/>
        </w:rPr>
        <w:t> </w:t>
      </w:r>
      <w:r>
        <w:rPr/>
        <w:t>supply</w:t>
      </w:r>
      <w:r>
        <w:rPr>
          <w:spacing w:val="-5"/>
        </w:rPr>
        <w:t> </w:t>
      </w:r>
      <w:r>
        <w:rPr/>
        <w:t>information</w:t>
      </w:r>
      <w:r>
        <w:rPr>
          <w:spacing w:val="-5"/>
        </w:rPr>
        <w:t> </w:t>
      </w:r>
      <w:r>
        <w:rPr/>
        <w:t>in</w:t>
      </w:r>
      <w:r>
        <w:rPr>
          <w:spacing w:val="-5"/>
        </w:rPr>
        <w:t> </w:t>
      </w:r>
      <w:r>
        <w:rPr/>
        <w:t>near</w:t>
      </w:r>
      <w:r>
        <w:rPr>
          <w:spacing w:val="-5"/>
        </w:rPr>
        <w:t> </w:t>
      </w:r>
      <w:r>
        <w:rPr/>
        <w:t>real</w:t>
      </w:r>
      <w:r>
        <w:rPr>
          <w:spacing w:val="-5"/>
        </w:rPr>
        <w:t> </w:t>
      </w:r>
      <w:r>
        <w:rPr/>
        <w:t>time</w:t>
      </w:r>
      <w:r>
        <w:rPr>
          <w:spacing w:val="-5"/>
        </w:rPr>
        <w:t> </w:t>
      </w:r>
      <w:r>
        <w:rPr/>
        <w:t>or</w:t>
      </w:r>
      <w:r>
        <w:rPr>
          <w:spacing w:val="-5"/>
        </w:rPr>
        <w:t> </w:t>
      </w:r>
      <w:r>
        <w:rPr/>
        <w:t>at</w:t>
      </w:r>
      <w:r>
        <w:rPr>
          <w:spacing w:val="-5"/>
        </w:rPr>
        <w:t> </w:t>
      </w:r>
      <w:r>
        <w:rPr/>
        <w:t>all,</w:t>
      </w:r>
      <w:r>
        <w:rPr>
          <w:spacing w:val="-5"/>
        </w:rPr>
        <w:t> </w:t>
      </w:r>
      <w:r>
        <w:rPr/>
        <w:t>our</w:t>
      </w:r>
      <w:r>
        <w:rPr>
          <w:spacing w:val="-5"/>
        </w:rPr>
        <w:t> </w:t>
      </w:r>
      <w:r>
        <w:rPr/>
        <w:t>reputation</w:t>
      </w:r>
      <w:r>
        <w:rPr>
          <w:spacing w:val="-5"/>
        </w:rPr>
        <w:t> </w:t>
      </w:r>
      <w:r>
        <w:rPr/>
        <w:t>could</w:t>
      </w:r>
      <w:r>
        <w:rPr>
          <w:spacing w:val="-5"/>
        </w:rPr>
        <w:t> </w:t>
      </w:r>
      <w:r>
        <w:rPr/>
        <w:t>be</w:t>
      </w:r>
      <w:r>
        <w:rPr>
          <w:spacing w:val="-5"/>
        </w:rPr>
        <w:t> </w:t>
      </w:r>
      <w:r>
        <w:rPr/>
        <w:t>harmed</w:t>
      </w:r>
      <w:r>
        <w:rPr>
          <w:spacing w:val="-5"/>
        </w:rPr>
        <w:t> </w:t>
      </w:r>
      <w:r>
        <w:rPr/>
        <w:t>and</w:t>
      </w:r>
      <w:r>
        <w:rPr>
          <w:spacing w:val="-5"/>
        </w:rPr>
        <w:t> </w:t>
      </w:r>
      <w:r>
        <w:rPr/>
        <w:t>we</w:t>
      </w:r>
      <w:r>
        <w:rPr>
          <w:spacing w:val="-5"/>
        </w:rPr>
        <w:t> </w:t>
      </w:r>
      <w:r>
        <w:rPr/>
        <w:t>could</w:t>
      </w:r>
      <w:r>
        <w:rPr>
          <w:spacing w:val="-5"/>
        </w:rPr>
        <w:t> </w:t>
      </w:r>
      <w:r>
        <w:rPr/>
        <w:t>lose</w:t>
      </w:r>
      <w:r>
        <w:rPr>
          <w:spacing w:val="-5"/>
        </w:rPr>
        <w:t> </w:t>
      </w:r>
      <w:r>
        <w:rPr/>
        <w:t>customers,</w:t>
      </w:r>
      <w:r>
        <w:rPr>
          <w:spacing w:val="-5"/>
        </w:rPr>
        <w:t> </w:t>
      </w:r>
      <w:r>
        <w:rPr/>
        <w:t>or</w:t>
      </w:r>
      <w:r>
        <w:rPr>
          <w:spacing w:val="-5"/>
        </w:rPr>
        <w:t> </w:t>
      </w:r>
      <w:r>
        <w:rPr/>
        <w:t>we</w:t>
      </w:r>
      <w:r>
        <w:rPr>
          <w:spacing w:val="-5"/>
        </w:rPr>
        <w:t> </w:t>
      </w:r>
      <w:r>
        <w:rPr/>
        <w:t>could be found liable for damages or incur other losses.</w:t>
      </w:r>
    </w:p>
    <w:p>
      <w:pPr>
        <w:spacing w:after="0" w:line="249" w:lineRule="auto"/>
        <w:jc w:val="both"/>
        <w:sectPr>
          <w:pgSz w:w="12240" w:h="15840"/>
          <w:pgMar w:header="210" w:footer="579" w:top="420" w:bottom="800" w:left="780" w:right="740"/>
        </w:sectPr>
      </w:pPr>
    </w:p>
    <w:p>
      <w:pPr>
        <w:pStyle w:val="BodyText"/>
        <w:spacing w:before="147"/>
      </w:pPr>
    </w:p>
    <w:p>
      <w:pPr>
        <w:pStyle w:val="Heading3"/>
        <w:spacing w:line="249" w:lineRule="auto"/>
      </w:pPr>
      <w:r>
        <w:rPr>
          <w:spacing w:val="-2"/>
        </w:rPr>
        <w:t>Increasing</w:t>
      </w:r>
      <w:r>
        <w:rPr>
          <w:spacing w:val="-6"/>
        </w:rPr>
        <w:t> </w:t>
      </w:r>
      <w:r>
        <w:rPr>
          <w:spacing w:val="-2"/>
        </w:rPr>
        <w:t>regulatory</w:t>
      </w:r>
      <w:r>
        <w:rPr>
          <w:spacing w:val="-6"/>
        </w:rPr>
        <w:t> </w:t>
      </w:r>
      <w:r>
        <w:rPr>
          <w:spacing w:val="-2"/>
        </w:rPr>
        <w:t>focus</w:t>
      </w:r>
      <w:r>
        <w:rPr>
          <w:spacing w:val="-4"/>
        </w:rPr>
        <w:t> </w:t>
      </w:r>
      <w:r>
        <w:rPr>
          <w:spacing w:val="-2"/>
        </w:rPr>
        <w:t>on</w:t>
      </w:r>
      <w:r>
        <w:rPr>
          <w:spacing w:val="-4"/>
        </w:rPr>
        <w:t> </w:t>
      </w:r>
      <w:r>
        <w:rPr>
          <w:spacing w:val="-2"/>
        </w:rPr>
        <w:t>privacy</w:t>
      </w:r>
      <w:r>
        <w:rPr>
          <w:spacing w:val="-6"/>
        </w:rPr>
        <w:t> </w:t>
      </w:r>
      <w:r>
        <w:rPr>
          <w:spacing w:val="-2"/>
        </w:rPr>
        <w:t>issues</w:t>
      </w:r>
      <w:r>
        <w:rPr>
          <w:spacing w:val="-4"/>
        </w:rPr>
        <w:t> </w:t>
      </w:r>
      <w:r>
        <w:rPr>
          <w:spacing w:val="-2"/>
        </w:rPr>
        <w:t>and</w:t>
      </w:r>
      <w:r>
        <w:rPr>
          <w:spacing w:val="-6"/>
        </w:rPr>
        <w:t> </w:t>
      </w:r>
      <w:r>
        <w:rPr>
          <w:spacing w:val="-2"/>
        </w:rPr>
        <w:t>expanding</w:t>
      </w:r>
      <w:r>
        <w:rPr>
          <w:spacing w:val="-4"/>
        </w:rPr>
        <w:t> </w:t>
      </w:r>
      <w:r>
        <w:rPr>
          <w:spacing w:val="-2"/>
        </w:rPr>
        <w:t>laws</w:t>
      </w:r>
      <w:r>
        <w:rPr>
          <w:spacing w:val="-4"/>
        </w:rPr>
        <w:t> </w:t>
      </w:r>
      <w:r>
        <w:rPr>
          <w:spacing w:val="-2"/>
        </w:rPr>
        <w:t>could</w:t>
      </w:r>
      <w:r>
        <w:rPr>
          <w:spacing w:val="-4"/>
        </w:rPr>
        <w:t> </w:t>
      </w:r>
      <w:r>
        <w:rPr>
          <w:spacing w:val="-2"/>
        </w:rPr>
        <w:t>impact</w:t>
      </w:r>
      <w:r>
        <w:rPr>
          <w:spacing w:val="-6"/>
        </w:rPr>
        <w:t> </w:t>
      </w:r>
      <w:r>
        <w:rPr>
          <w:spacing w:val="-2"/>
        </w:rPr>
        <w:t>our</w:t>
      </w:r>
      <w:r>
        <w:rPr>
          <w:spacing w:val="-4"/>
        </w:rPr>
        <w:t> </w:t>
      </w:r>
      <w:r>
        <w:rPr>
          <w:spacing w:val="-2"/>
        </w:rPr>
        <w:t>business</w:t>
      </w:r>
      <w:r>
        <w:rPr>
          <w:spacing w:val="-4"/>
        </w:rPr>
        <w:t> </w:t>
      </w:r>
      <w:r>
        <w:rPr>
          <w:spacing w:val="-2"/>
        </w:rPr>
        <w:t>models</w:t>
      </w:r>
      <w:r>
        <w:rPr>
          <w:spacing w:val="-4"/>
        </w:rPr>
        <w:t> </w:t>
      </w:r>
      <w:r>
        <w:rPr>
          <w:spacing w:val="-2"/>
        </w:rPr>
        <w:t>and</w:t>
      </w:r>
      <w:r>
        <w:rPr>
          <w:spacing w:val="-6"/>
        </w:rPr>
        <w:t> </w:t>
      </w:r>
      <w:r>
        <w:rPr>
          <w:spacing w:val="-2"/>
        </w:rPr>
        <w:t>expose</w:t>
      </w:r>
      <w:r>
        <w:rPr>
          <w:spacing w:val="-6"/>
        </w:rPr>
        <w:t> </w:t>
      </w:r>
      <w:r>
        <w:rPr>
          <w:spacing w:val="-2"/>
        </w:rPr>
        <w:t>us</w:t>
      </w:r>
      <w:r>
        <w:rPr>
          <w:spacing w:val="-4"/>
        </w:rPr>
        <w:t> </w:t>
      </w:r>
      <w:r>
        <w:rPr>
          <w:spacing w:val="-2"/>
        </w:rPr>
        <w:t>to</w:t>
      </w:r>
      <w:r>
        <w:rPr>
          <w:spacing w:val="-4"/>
        </w:rPr>
        <w:t> </w:t>
      </w:r>
      <w:r>
        <w:rPr>
          <w:spacing w:val="-2"/>
        </w:rPr>
        <w:t>increased liability.</w:t>
      </w:r>
    </w:p>
    <w:p>
      <w:pPr>
        <w:pStyle w:val="BodyText"/>
        <w:spacing w:line="249" w:lineRule="auto" w:before="121"/>
        <w:ind w:left="210" w:right="247" w:firstLine="540"/>
        <w:jc w:val="both"/>
      </w:pPr>
      <w:r>
        <w:rPr/>
        <w:t>U.S. privacy and data security laws apply to our various businesses. We also do business globally in countries that have more</w:t>
      </w:r>
      <w:r>
        <w:rPr>
          <w:spacing w:val="-7"/>
        </w:rPr>
        <w:t> </w:t>
      </w:r>
      <w:r>
        <w:rPr/>
        <w:t>stringent</w:t>
      </w:r>
      <w:r>
        <w:rPr>
          <w:spacing w:val="-7"/>
        </w:rPr>
        <w:t> </w:t>
      </w:r>
      <w:r>
        <w:rPr/>
        <w:t>data</w:t>
      </w:r>
      <w:r>
        <w:rPr>
          <w:spacing w:val="-7"/>
        </w:rPr>
        <w:t> </w:t>
      </w:r>
      <w:r>
        <w:rPr/>
        <w:t>protection</w:t>
      </w:r>
      <w:r>
        <w:rPr>
          <w:spacing w:val="-7"/>
        </w:rPr>
        <w:t> </w:t>
      </w:r>
      <w:r>
        <w:rPr/>
        <w:t>laws</w:t>
      </w:r>
      <w:r>
        <w:rPr>
          <w:spacing w:val="-7"/>
        </w:rPr>
        <w:t> </w:t>
      </w:r>
      <w:r>
        <w:rPr/>
        <w:t>than</w:t>
      </w:r>
      <w:r>
        <w:rPr>
          <w:spacing w:val="-6"/>
        </w:rPr>
        <w:t> </w:t>
      </w:r>
      <w:r>
        <w:rPr/>
        <w:t>those</w:t>
      </w:r>
      <w:r>
        <w:rPr>
          <w:spacing w:val="-7"/>
        </w:rPr>
        <w:t> </w:t>
      </w:r>
      <w:r>
        <w:rPr/>
        <w:t>in</w:t>
      </w:r>
      <w:r>
        <w:rPr>
          <w:spacing w:val="-7"/>
        </w:rPr>
        <w:t> </w:t>
      </w:r>
      <w:r>
        <w:rPr/>
        <w:t>the</w:t>
      </w:r>
      <w:r>
        <w:rPr>
          <w:spacing w:val="-7"/>
        </w:rPr>
        <w:t> </w:t>
      </w:r>
      <w:r>
        <w:rPr/>
        <w:t>United</w:t>
      </w:r>
      <w:r>
        <w:rPr>
          <w:spacing w:val="-6"/>
        </w:rPr>
        <w:t> </w:t>
      </w:r>
      <w:r>
        <w:rPr/>
        <w:t>States</w:t>
      </w:r>
      <w:r>
        <w:rPr>
          <w:spacing w:val="-6"/>
        </w:rPr>
        <w:t> </w:t>
      </w:r>
      <w:r>
        <w:rPr/>
        <w:t>that</w:t>
      </w:r>
      <w:r>
        <w:rPr>
          <w:spacing w:val="-7"/>
        </w:rPr>
        <w:t> </w:t>
      </w:r>
      <w:r>
        <w:rPr/>
        <w:t>may</w:t>
      </w:r>
      <w:r>
        <w:rPr>
          <w:spacing w:val="-7"/>
        </w:rPr>
        <w:t> </w:t>
      </w:r>
      <w:r>
        <w:rPr/>
        <w:t>be</w:t>
      </w:r>
      <w:r>
        <w:rPr>
          <w:spacing w:val="-7"/>
        </w:rPr>
        <w:t> </w:t>
      </w:r>
      <w:r>
        <w:rPr/>
        <w:t>inconsistent</w:t>
      </w:r>
      <w:r>
        <w:rPr>
          <w:spacing w:val="-7"/>
        </w:rPr>
        <w:t> </w:t>
      </w:r>
      <w:r>
        <w:rPr/>
        <w:t>across</w:t>
      </w:r>
      <w:r>
        <w:rPr>
          <w:spacing w:val="-6"/>
        </w:rPr>
        <w:t> </w:t>
      </w:r>
      <w:r>
        <w:rPr/>
        <w:t>jurisdictions</w:t>
      </w:r>
      <w:r>
        <w:rPr>
          <w:spacing w:val="-6"/>
        </w:rPr>
        <w:t> </w:t>
      </w:r>
      <w:r>
        <w:rPr/>
        <w:t>and</w:t>
      </w:r>
      <w:r>
        <w:rPr>
          <w:spacing w:val="-6"/>
        </w:rPr>
        <w:t> </w:t>
      </w:r>
      <w:r>
        <w:rPr/>
        <w:t>are</w:t>
      </w:r>
      <w:r>
        <w:rPr>
          <w:spacing w:val="-7"/>
        </w:rPr>
        <w:t> </w:t>
      </w:r>
      <w:r>
        <w:rPr/>
        <w:t>subject</w:t>
      </w:r>
      <w:r>
        <w:rPr>
          <w:spacing w:val="-7"/>
        </w:rPr>
        <w:t> </w:t>
      </w:r>
      <w:r>
        <w:rPr/>
        <w:t>to evolving and differing interpretations. Governments, privacy advocates and class action attorneys are increasingly scrutinizing </w:t>
      </w:r>
      <w:r>
        <w:rPr>
          <w:spacing w:val="-2"/>
        </w:rPr>
        <w:t>how</w:t>
      </w:r>
      <w:r>
        <w:rPr>
          <w:spacing w:val="-11"/>
        </w:rPr>
        <w:t> </w:t>
      </w:r>
      <w:r>
        <w:rPr>
          <w:spacing w:val="-2"/>
        </w:rPr>
        <w:t>companies</w:t>
      </w:r>
      <w:r>
        <w:rPr>
          <w:spacing w:val="-10"/>
        </w:rPr>
        <w:t> </w:t>
      </w:r>
      <w:r>
        <w:rPr>
          <w:spacing w:val="-2"/>
        </w:rPr>
        <w:t>collect,</w:t>
      </w:r>
      <w:r>
        <w:rPr>
          <w:spacing w:val="-11"/>
        </w:rPr>
        <w:t> </w:t>
      </w:r>
      <w:r>
        <w:rPr>
          <w:spacing w:val="-2"/>
        </w:rPr>
        <w:t>process,</w:t>
      </w:r>
      <w:r>
        <w:rPr>
          <w:spacing w:val="-10"/>
        </w:rPr>
        <w:t> </w:t>
      </w:r>
      <w:r>
        <w:rPr>
          <w:spacing w:val="-2"/>
        </w:rPr>
        <w:t>use,</w:t>
      </w:r>
      <w:r>
        <w:rPr>
          <w:spacing w:val="-11"/>
        </w:rPr>
        <w:t> </w:t>
      </w:r>
      <w:r>
        <w:rPr>
          <w:spacing w:val="-2"/>
        </w:rPr>
        <w:t>store,</w:t>
      </w:r>
      <w:r>
        <w:rPr>
          <w:spacing w:val="-10"/>
        </w:rPr>
        <w:t> </w:t>
      </w:r>
      <w:r>
        <w:rPr>
          <w:spacing w:val="-2"/>
        </w:rPr>
        <w:t>share</w:t>
      </w:r>
      <w:r>
        <w:rPr>
          <w:spacing w:val="-11"/>
        </w:rPr>
        <w:t> </w:t>
      </w:r>
      <w:r>
        <w:rPr>
          <w:spacing w:val="-2"/>
        </w:rPr>
        <w:t>and</w:t>
      </w:r>
      <w:r>
        <w:rPr>
          <w:spacing w:val="-10"/>
        </w:rPr>
        <w:t> </w:t>
      </w:r>
      <w:r>
        <w:rPr>
          <w:spacing w:val="-2"/>
        </w:rPr>
        <w:t>transmit</w:t>
      </w:r>
      <w:r>
        <w:rPr>
          <w:spacing w:val="-11"/>
        </w:rPr>
        <w:t> </w:t>
      </w:r>
      <w:r>
        <w:rPr>
          <w:spacing w:val="-2"/>
        </w:rPr>
        <w:t>personal</w:t>
      </w:r>
      <w:r>
        <w:rPr>
          <w:spacing w:val="-10"/>
        </w:rPr>
        <w:t> </w:t>
      </w:r>
      <w:r>
        <w:rPr>
          <w:spacing w:val="-2"/>
        </w:rPr>
        <w:t>data.</w:t>
      </w:r>
      <w:r>
        <w:rPr>
          <w:spacing w:val="-11"/>
        </w:rPr>
        <w:t> </w:t>
      </w:r>
      <w:r>
        <w:rPr>
          <w:spacing w:val="-2"/>
        </w:rPr>
        <w:t>Globally,</w:t>
      </w:r>
      <w:r>
        <w:rPr>
          <w:spacing w:val="-10"/>
        </w:rPr>
        <w:t> </w:t>
      </w:r>
      <w:r>
        <w:rPr>
          <w:spacing w:val="-2"/>
        </w:rPr>
        <w:t>new</w:t>
      </w:r>
      <w:r>
        <w:rPr>
          <w:spacing w:val="-11"/>
        </w:rPr>
        <w:t> </w:t>
      </w:r>
      <w:r>
        <w:rPr>
          <w:spacing w:val="-2"/>
        </w:rPr>
        <w:t>laws,</w:t>
      </w:r>
      <w:r>
        <w:rPr>
          <w:spacing w:val="-10"/>
        </w:rPr>
        <w:t> </w:t>
      </w:r>
      <w:r>
        <w:rPr>
          <w:spacing w:val="-2"/>
        </w:rPr>
        <w:t>such</w:t>
      </w:r>
      <w:r>
        <w:rPr>
          <w:spacing w:val="-11"/>
        </w:rPr>
        <w:t> </w:t>
      </w:r>
      <w:r>
        <w:rPr>
          <w:spacing w:val="-2"/>
        </w:rPr>
        <w:t>as</w:t>
      </w:r>
      <w:r>
        <w:rPr>
          <w:spacing w:val="-10"/>
        </w:rPr>
        <w:t> </w:t>
      </w:r>
      <w:r>
        <w:rPr>
          <w:spacing w:val="-2"/>
        </w:rPr>
        <w:t>the</w:t>
      </w:r>
      <w:r>
        <w:rPr>
          <w:spacing w:val="-11"/>
        </w:rPr>
        <w:t> </w:t>
      </w:r>
      <w:r>
        <w:rPr>
          <w:spacing w:val="-2"/>
        </w:rPr>
        <w:t>General</w:t>
      </w:r>
      <w:r>
        <w:rPr>
          <w:spacing w:val="-10"/>
        </w:rPr>
        <w:t> </w:t>
      </w:r>
      <w:r>
        <w:rPr>
          <w:spacing w:val="-2"/>
        </w:rPr>
        <w:t>Data</w:t>
      </w:r>
      <w:r>
        <w:rPr>
          <w:spacing w:val="-11"/>
        </w:rPr>
        <w:t> </w:t>
      </w:r>
      <w:r>
        <w:rPr>
          <w:spacing w:val="-2"/>
        </w:rPr>
        <w:t>Protection </w:t>
      </w:r>
      <w:r>
        <w:rPr/>
        <w:t>Regulation (“GDPR”) in Europe, and industry self-regulatory codes have been enacted and more are being considered that may affect</w:t>
      </w:r>
      <w:r>
        <w:rPr>
          <w:spacing w:val="-10"/>
        </w:rPr>
        <w:t> </w:t>
      </w:r>
      <w:r>
        <w:rPr/>
        <w:t>our</w:t>
      </w:r>
      <w:r>
        <w:rPr>
          <w:spacing w:val="-4"/>
        </w:rPr>
        <w:t> </w:t>
      </w:r>
      <w:r>
        <w:rPr/>
        <w:t>ability</w:t>
      </w:r>
      <w:r>
        <w:rPr>
          <w:spacing w:val="-4"/>
        </w:rPr>
        <w:t> </w:t>
      </w:r>
      <w:r>
        <w:rPr/>
        <w:t>(and</w:t>
      </w:r>
      <w:r>
        <w:rPr>
          <w:spacing w:val="-5"/>
        </w:rPr>
        <w:t> </w:t>
      </w:r>
      <w:r>
        <w:rPr/>
        <w:t>our</w:t>
      </w:r>
      <w:r>
        <w:rPr>
          <w:spacing w:val="-4"/>
        </w:rPr>
        <w:t> </w:t>
      </w:r>
      <w:r>
        <w:rPr/>
        <w:t>enterprise</w:t>
      </w:r>
      <w:r>
        <w:rPr>
          <w:spacing w:val="-5"/>
        </w:rPr>
        <w:t> </w:t>
      </w:r>
      <w:r>
        <w:rPr/>
        <w:t>customers’</w:t>
      </w:r>
      <w:r>
        <w:rPr>
          <w:spacing w:val="-13"/>
        </w:rPr>
        <w:t> </w:t>
      </w:r>
      <w:r>
        <w:rPr/>
        <w:t>ability)</w:t>
      </w:r>
      <w:r>
        <w:rPr>
          <w:spacing w:val="-5"/>
        </w:rPr>
        <w:t> </w:t>
      </w:r>
      <w:r>
        <w:rPr/>
        <w:t>to</w:t>
      </w:r>
      <w:r>
        <w:rPr>
          <w:spacing w:val="-4"/>
        </w:rPr>
        <w:t> </w:t>
      </w:r>
      <w:r>
        <w:rPr/>
        <w:t>reach</w:t>
      </w:r>
      <w:r>
        <w:rPr>
          <w:spacing w:val="-4"/>
        </w:rPr>
        <w:t> </w:t>
      </w:r>
      <w:r>
        <w:rPr/>
        <w:t>current</w:t>
      </w:r>
      <w:r>
        <w:rPr>
          <w:spacing w:val="-5"/>
        </w:rPr>
        <w:t> </w:t>
      </w:r>
      <w:r>
        <w:rPr/>
        <w:t>and</w:t>
      </w:r>
      <w:r>
        <w:rPr>
          <w:spacing w:val="-4"/>
        </w:rPr>
        <w:t> </w:t>
      </w:r>
      <w:r>
        <w:rPr/>
        <w:t>prospective</w:t>
      </w:r>
      <w:r>
        <w:rPr>
          <w:spacing w:val="-5"/>
        </w:rPr>
        <w:t> </w:t>
      </w:r>
      <w:r>
        <w:rPr/>
        <w:t>customers,</w:t>
      </w:r>
      <w:r>
        <w:rPr>
          <w:spacing w:val="-4"/>
        </w:rPr>
        <w:t> </w:t>
      </w:r>
      <w:r>
        <w:rPr/>
        <w:t>to</w:t>
      </w:r>
      <w:r>
        <w:rPr>
          <w:spacing w:val="-4"/>
        </w:rPr>
        <w:t> </w:t>
      </w:r>
      <w:r>
        <w:rPr/>
        <w:t>respond</w:t>
      </w:r>
      <w:r>
        <w:rPr>
          <w:spacing w:val="-5"/>
        </w:rPr>
        <w:t> </w:t>
      </w:r>
      <w:r>
        <w:rPr/>
        <w:t>to</w:t>
      </w:r>
      <w:r>
        <w:rPr>
          <w:spacing w:val="-4"/>
        </w:rPr>
        <w:t> </w:t>
      </w:r>
      <w:r>
        <w:rPr/>
        <w:t>both</w:t>
      </w:r>
      <w:r>
        <w:rPr>
          <w:spacing w:val="-4"/>
        </w:rPr>
        <w:t> </w:t>
      </w:r>
      <w:r>
        <w:rPr/>
        <w:t>enterprise and individual customer requests under the laws (such as individual rights of access, correction, and deletion of their personal information), and to implement our business models effectively. These new laws may also impact our innovation and business drivers in developing new and emerging technologies (e.g., artificial intelligence and machine learning). These requirements, among</w:t>
      </w:r>
      <w:r>
        <w:rPr>
          <w:spacing w:val="-6"/>
        </w:rPr>
        <w:t> </w:t>
      </w:r>
      <w:r>
        <w:rPr/>
        <w:t>others,</w:t>
      </w:r>
      <w:r>
        <w:rPr>
          <w:spacing w:val="-6"/>
        </w:rPr>
        <w:t> </w:t>
      </w:r>
      <w:r>
        <w:rPr/>
        <w:t>may</w:t>
      </w:r>
      <w:r>
        <w:rPr>
          <w:spacing w:val="-6"/>
        </w:rPr>
        <w:t> </w:t>
      </w:r>
      <w:r>
        <w:rPr/>
        <w:t>impact</w:t>
      </w:r>
      <w:r>
        <w:rPr>
          <w:spacing w:val="-7"/>
        </w:rPr>
        <w:t> </w:t>
      </w:r>
      <w:r>
        <w:rPr/>
        <w:t>demand</w:t>
      </w:r>
      <w:r>
        <w:rPr>
          <w:spacing w:val="-6"/>
        </w:rPr>
        <w:t> </w:t>
      </w:r>
      <w:r>
        <w:rPr/>
        <w:t>for</w:t>
      </w:r>
      <w:r>
        <w:rPr>
          <w:spacing w:val="-6"/>
        </w:rPr>
        <w:t> </w:t>
      </w:r>
      <w:r>
        <w:rPr/>
        <w:t>our</w:t>
      </w:r>
      <w:r>
        <w:rPr>
          <w:spacing w:val="-6"/>
        </w:rPr>
        <w:t> </w:t>
      </w:r>
      <w:r>
        <w:rPr/>
        <w:t>offerings</w:t>
      </w:r>
      <w:r>
        <w:rPr>
          <w:spacing w:val="-6"/>
        </w:rPr>
        <w:t> </w:t>
      </w:r>
      <w:r>
        <w:rPr/>
        <w:t>and</w:t>
      </w:r>
      <w:r>
        <w:rPr>
          <w:spacing w:val="-6"/>
        </w:rPr>
        <w:t> </w:t>
      </w:r>
      <w:r>
        <w:rPr/>
        <w:t>force</w:t>
      </w:r>
      <w:r>
        <w:rPr>
          <w:spacing w:val="-7"/>
        </w:rPr>
        <w:t> </w:t>
      </w:r>
      <w:r>
        <w:rPr/>
        <w:t>us</w:t>
      </w:r>
      <w:r>
        <w:rPr>
          <w:spacing w:val="-6"/>
        </w:rPr>
        <w:t> </w:t>
      </w:r>
      <w:r>
        <w:rPr/>
        <w:t>to</w:t>
      </w:r>
      <w:r>
        <w:rPr>
          <w:spacing w:val="-6"/>
        </w:rPr>
        <w:t> </w:t>
      </w:r>
      <w:r>
        <w:rPr/>
        <w:t>bear</w:t>
      </w:r>
      <w:r>
        <w:rPr>
          <w:spacing w:val="-6"/>
        </w:rPr>
        <w:t> </w:t>
      </w:r>
      <w:r>
        <w:rPr/>
        <w:t>the</w:t>
      </w:r>
      <w:r>
        <w:rPr>
          <w:spacing w:val="-6"/>
        </w:rPr>
        <w:t> </w:t>
      </w:r>
      <w:r>
        <w:rPr/>
        <w:t>burden</w:t>
      </w:r>
      <w:r>
        <w:rPr>
          <w:spacing w:val="-6"/>
        </w:rPr>
        <w:t> </w:t>
      </w:r>
      <w:r>
        <w:rPr/>
        <w:t>of</w:t>
      </w:r>
      <w:r>
        <w:rPr>
          <w:spacing w:val="-6"/>
        </w:rPr>
        <w:t> </w:t>
      </w:r>
      <w:r>
        <w:rPr/>
        <w:t>more</w:t>
      </w:r>
      <w:r>
        <w:rPr>
          <w:spacing w:val="-7"/>
        </w:rPr>
        <w:t> </w:t>
      </w:r>
      <w:r>
        <w:rPr/>
        <w:t>onerous</w:t>
      </w:r>
      <w:r>
        <w:rPr>
          <w:spacing w:val="-6"/>
        </w:rPr>
        <w:t> </w:t>
      </w:r>
      <w:r>
        <w:rPr/>
        <w:t>obligations</w:t>
      </w:r>
      <w:r>
        <w:rPr>
          <w:spacing w:val="-6"/>
        </w:rPr>
        <w:t> </w:t>
      </w:r>
      <w:r>
        <w:rPr/>
        <w:t>in</w:t>
      </w:r>
      <w:r>
        <w:rPr>
          <w:spacing w:val="-6"/>
        </w:rPr>
        <w:t> </w:t>
      </w:r>
      <w:r>
        <w:rPr/>
        <w:t>our</w:t>
      </w:r>
      <w:r>
        <w:rPr>
          <w:spacing w:val="-6"/>
        </w:rPr>
        <w:t> </w:t>
      </w:r>
      <w:r>
        <w:rPr/>
        <w:t>contracts. Any</w:t>
      </w:r>
      <w:r>
        <w:rPr>
          <w:spacing w:val="-8"/>
        </w:rPr>
        <w:t> </w:t>
      </w:r>
      <w:r>
        <w:rPr/>
        <w:t>perception</w:t>
      </w:r>
      <w:r>
        <w:rPr>
          <w:spacing w:val="-8"/>
        </w:rPr>
        <w:t> </w:t>
      </w:r>
      <w:r>
        <w:rPr/>
        <w:t>of</w:t>
      </w:r>
      <w:r>
        <w:rPr>
          <w:spacing w:val="-8"/>
        </w:rPr>
        <w:t> </w:t>
      </w:r>
      <w:r>
        <w:rPr/>
        <w:t>our</w:t>
      </w:r>
      <w:r>
        <w:rPr>
          <w:spacing w:val="-8"/>
        </w:rPr>
        <w:t> </w:t>
      </w:r>
      <w:r>
        <w:rPr/>
        <w:t>practices,</w:t>
      </w:r>
      <w:r>
        <w:rPr>
          <w:spacing w:val="-8"/>
        </w:rPr>
        <w:t> </w:t>
      </w:r>
      <w:r>
        <w:rPr/>
        <w:t>products</w:t>
      </w:r>
      <w:r>
        <w:rPr>
          <w:spacing w:val="-8"/>
        </w:rPr>
        <w:t> </w:t>
      </w:r>
      <w:r>
        <w:rPr/>
        <w:t>or</w:t>
      </w:r>
      <w:r>
        <w:rPr>
          <w:spacing w:val="-8"/>
        </w:rPr>
        <w:t> </w:t>
      </w:r>
      <w:r>
        <w:rPr/>
        <w:t>services</w:t>
      </w:r>
      <w:r>
        <w:rPr>
          <w:spacing w:val="-8"/>
        </w:rPr>
        <w:t> </w:t>
      </w:r>
      <w:r>
        <w:rPr/>
        <w:t>as</w:t>
      </w:r>
      <w:r>
        <w:rPr>
          <w:spacing w:val="-8"/>
        </w:rPr>
        <w:t> </w:t>
      </w:r>
      <w:r>
        <w:rPr/>
        <w:t>a</w:t>
      </w:r>
      <w:r>
        <w:rPr>
          <w:spacing w:val="-8"/>
        </w:rPr>
        <w:t> </w:t>
      </w:r>
      <w:r>
        <w:rPr/>
        <w:t>violation</w:t>
      </w:r>
      <w:r>
        <w:rPr>
          <w:spacing w:val="-8"/>
        </w:rPr>
        <w:t> </w:t>
      </w:r>
      <w:r>
        <w:rPr/>
        <w:t>of</w:t>
      </w:r>
      <w:r>
        <w:rPr>
          <w:spacing w:val="-8"/>
        </w:rPr>
        <w:t> </w:t>
      </w:r>
      <w:r>
        <w:rPr/>
        <w:t>individual</w:t>
      </w:r>
      <w:r>
        <w:rPr>
          <w:spacing w:val="-8"/>
        </w:rPr>
        <w:t> </w:t>
      </w:r>
      <w:r>
        <w:rPr/>
        <w:t>privacy</w:t>
      </w:r>
      <w:r>
        <w:rPr>
          <w:spacing w:val="-8"/>
        </w:rPr>
        <w:t> </w:t>
      </w:r>
      <w:r>
        <w:rPr/>
        <w:t>rights</w:t>
      </w:r>
      <w:r>
        <w:rPr>
          <w:spacing w:val="-8"/>
        </w:rPr>
        <w:t> </w:t>
      </w:r>
      <w:r>
        <w:rPr/>
        <w:t>may</w:t>
      </w:r>
      <w:r>
        <w:rPr>
          <w:spacing w:val="-8"/>
        </w:rPr>
        <w:t> </w:t>
      </w:r>
      <w:r>
        <w:rPr/>
        <w:t>subject</w:t>
      </w:r>
      <w:r>
        <w:rPr>
          <w:spacing w:val="-8"/>
        </w:rPr>
        <w:t> </w:t>
      </w:r>
      <w:r>
        <w:rPr/>
        <w:t>us</w:t>
      </w:r>
      <w:r>
        <w:rPr>
          <w:spacing w:val="-8"/>
        </w:rPr>
        <w:t> </w:t>
      </w:r>
      <w:r>
        <w:rPr/>
        <w:t>to</w:t>
      </w:r>
      <w:r>
        <w:rPr>
          <w:spacing w:val="-8"/>
        </w:rPr>
        <w:t> </w:t>
      </w:r>
      <w:r>
        <w:rPr/>
        <w:t>public</w:t>
      </w:r>
      <w:r>
        <w:rPr>
          <w:spacing w:val="-8"/>
        </w:rPr>
        <w:t> </w:t>
      </w:r>
      <w:r>
        <w:rPr/>
        <w:t>criticism, class action lawsuits, reputational harm, or investigations or claims by regulators, industry groups or other third parties, all of </w:t>
      </w:r>
      <w:r>
        <w:rPr>
          <w:spacing w:val="-2"/>
        </w:rPr>
        <w:t>which</w:t>
      </w:r>
      <w:r>
        <w:rPr>
          <w:spacing w:val="-10"/>
        </w:rPr>
        <w:t> </w:t>
      </w:r>
      <w:r>
        <w:rPr>
          <w:spacing w:val="-2"/>
        </w:rPr>
        <w:t>could</w:t>
      </w:r>
      <w:r>
        <w:rPr>
          <w:spacing w:val="-5"/>
        </w:rPr>
        <w:t> </w:t>
      </w:r>
      <w:r>
        <w:rPr>
          <w:spacing w:val="-2"/>
        </w:rPr>
        <w:t>disrupt</w:t>
      </w:r>
      <w:r>
        <w:rPr>
          <w:spacing w:val="-7"/>
        </w:rPr>
        <w:t> </w:t>
      </w:r>
      <w:r>
        <w:rPr>
          <w:spacing w:val="-2"/>
        </w:rPr>
        <w:t>our</w:t>
      </w:r>
      <w:r>
        <w:rPr>
          <w:spacing w:val="-5"/>
        </w:rPr>
        <w:t> </w:t>
      </w:r>
      <w:r>
        <w:rPr>
          <w:spacing w:val="-2"/>
        </w:rPr>
        <w:t>business</w:t>
      </w:r>
      <w:r>
        <w:rPr>
          <w:spacing w:val="-6"/>
        </w:rPr>
        <w:t> </w:t>
      </w:r>
      <w:r>
        <w:rPr>
          <w:spacing w:val="-2"/>
        </w:rPr>
        <w:t>and</w:t>
      </w:r>
      <w:r>
        <w:rPr>
          <w:spacing w:val="-5"/>
        </w:rPr>
        <w:t> </w:t>
      </w:r>
      <w:r>
        <w:rPr>
          <w:spacing w:val="-2"/>
        </w:rPr>
        <w:t>expose</w:t>
      </w:r>
      <w:r>
        <w:rPr>
          <w:spacing w:val="-7"/>
        </w:rPr>
        <w:t> </w:t>
      </w:r>
      <w:r>
        <w:rPr>
          <w:spacing w:val="-2"/>
        </w:rPr>
        <w:t>us</w:t>
      </w:r>
      <w:r>
        <w:rPr>
          <w:spacing w:val="-5"/>
        </w:rPr>
        <w:t> </w:t>
      </w:r>
      <w:r>
        <w:rPr>
          <w:spacing w:val="-2"/>
        </w:rPr>
        <w:t>to</w:t>
      </w:r>
      <w:r>
        <w:rPr>
          <w:spacing w:val="-6"/>
        </w:rPr>
        <w:t> </w:t>
      </w:r>
      <w:r>
        <w:rPr>
          <w:spacing w:val="-2"/>
        </w:rPr>
        <w:t>increased</w:t>
      </w:r>
      <w:r>
        <w:rPr>
          <w:spacing w:val="-5"/>
        </w:rPr>
        <w:t> </w:t>
      </w:r>
      <w:r>
        <w:rPr>
          <w:spacing w:val="-2"/>
        </w:rPr>
        <w:t>liability.</w:t>
      </w:r>
      <w:r>
        <w:rPr>
          <w:spacing w:val="-11"/>
        </w:rPr>
        <w:t> </w:t>
      </w:r>
      <w:r>
        <w:rPr>
          <w:spacing w:val="-2"/>
        </w:rPr>
        <w:t>Additionally,</w:t>
      </w:r>
      <w:r>
        <w:rPr>
          <w:spacing w:val="-5"/>
        </w:rPr>
        <w:t> </w:t>
      </w:r>
      <w:r>
        <w:rPr>
          <w:spacing w:val="-2"/>
        </w:rPr>
        <w:t>we</w:t>
      </w:r>
      <w:r>
        <w:rPr>
          <w:spacing w:val="-7"/>
        </w:rPr>
        <w:t> </w:t>
      </w:r>
      <w:r>
        <w:rPr>
          <w:spacing w:val="-2"/>
        </w:rPr>
        <w:t>store</w:t>
      </w:r>
      <w:r>
        <w:rPr>
          <w:spacing w:val="-7"/>
        </w:rPr>
        <w:t> </w:t>
      </w:r>
      <w:r>
        <w:rPr>
          <w:spacing w:val="-2"/>
        </w:rPr>
        <w:t>information</w:t>
      </w:r>
      <w:r>
        <w:rPr>
          <w:spacing w:val="-5"/>
        </w:rPr>
        <w:t> </w:t>
      </w:r>
      <w:r>
        <w:rPr>
          <w:spacing w:val="-2"/>
        </w:rPr>
        <w:t>on</w:t>
      </w:r>
      <w:r>
        <w:rPr>
          <w:spacing w:val="-6"/>
        </w:rPr>
        <w:t> </w:t>
      </w:r>
      <w:r>
        <w:rPr>
          <w:spacing w:val="-2"/>
        </w:rPr>
        <w:t>behalf</w:t>
      </w:r>
      <w:r>
        <w:rPr>
          <w:spacing w:val="-5"/>
        </w:rPr>
        <w:t> </w:t>
      </w:r>
      <w:r>
        <w:rPr>
          <w:spacing w:val="-2"/>
        </w:rPr>
        <w:t>of</w:t>
      </w:r>
      <w:r>
        <w:rPr>
          <w:spacing w:val="-6"/>
        </w:rPr>
        <w:t> </w:t>
      </w:r>
      <w:r>
        <w:rPr>
          <w:spacing w:val="-2"/>
        </w:rPr>
        <w:t>our</w:t>
      </w:r>
      <w:r>
        <w:rPr>
          <w:spacing w:val="-5"/>
        </w:rPr>
        <w:t> </w:t>
      </w:r>
      <w:r>
        <w:rPr>
          <w:spacing w:val="-2"/>
        </w:rPr>
        <w:t>customers </w:t>
      </w:r>
      <w:r>
        <w:rPr/>
        <w:t>and</w:t>
      </w:r>
      <w:r>
        <w:rPr>
          <w:spacing w:val="-12"/>
        </w:rPr>
        <w:t> </w:t>
      </w:r>
      <w:r>
        <w:rPr/>
        <w:t>if</w:t>
      </w:r>
      <w:r>
        <w:rPr>
          <w:spacing w:val="-12"/>
        </w:rPr>
        <w:t> </w:t>
      </w:r>
      <w:r>
        <w:rPr/>
        <w:t>our</w:t>
      </w:r>
      <w:r>
        <w:rPr>
          <w:spacing w:val="-12"/>
        </w:rPr>
        <w:t> </w:t>
      </w:r>
      <w:r>
        <w:rPr/>
        <w:t>customers</w:t>
      </w:r>
      <w:r>
        <w:rPr>
          <w:spacing w:val="-12"/>
        </w:rPr>
        <w:t> </w:t>
      </w:r>
      <w:r>
        <w:rPr/>
        <w:t>fail</w:t>
      </w:r>
      <w:r>
        <w:rPr>
          <w:spacing w:val="-12"/>
        </w:rPr>
        <w:t> </w:t>
      </w:r>
      <w:r>
        <w:rPr/>
        <w:t>to</w:t>
      </w:r>
      <w:r>
        <w:rPr>
          <w:spacing w:val="-12"/>
        </w:rPr>
        <w:t> </w:t>
      </w:r>
      <w:r>
        <w:rPr/>
        <w:t>comply</w:t>
      </w:r>
      <w:r>
        <w:rPr>
          <w:spacing w:val="-12"/>
        </w:rPr>
        <w:t> </w:t>
      </w:r>
      <w:r>
        <w:rPr/>
        <w:t>with</w:t>
      </w:r>
      <w:r>
        <w:rPr>
          <w:spacing w:val="-12"/>
        </w:rPr>
        <w:t> </w:t>
      </w:r>
      <w:r>
        <w:rPr/>
        <w:t>contractual</w:t>
      </w:r>
      <w:r>
        <w:rPr>
          <w:spacing w:val="-13"/>
        </w:rPr>
        <w:t> </w:t>
      </w:r>
      <w:r>
        <w:rPr/>
        <w:t>obligations</w:t>
      </w:r>
      <w:r>
        <w:rPr>
          <w:spacing w:val="-12"/>
        </w:rPr>
        <w:t> </w:t>
      </w:r>
      <w:r>
        <w:rPr/>
        <w:t>or</w:t>
      </w:r>
      <w:r>
        <w:rPr>
          <w:spacing w:val="-12"/>
        </w:rPr>
        <w:t> </w:t>
      </w:r>
      <w:r>
        <w:rPr/>
        <w:t>applicable</w:t>
      </w:r>
      <w:r>
        <w:rPr>
          <w:spacing w:val="-13"/>
        </w:rPr>
        <w:t> </w:t>
      </w:r>
      <w:r>
        <w:rPr/>
        <w:t>laws,</w:t>
      </w:r>
      <w:r>
        <w:rPr>
          <w:spacing w:val="-12"/>
        </w:rPr>
        <w:t> </w:t>
      </w:r>
      <w:r>
        <w:rPr/>
        <w:t>it</w:t>
      </w:r>
      <w:r>
        <w:rPr>
          <w:spacing w:val="-12"/>
        </w:rPr>
        <w:t> </w:t>
      </w:r>
      <w:r>
        <w:rPr/>
        <w:t>could</w:t>
      </w:r>
      <w:r>
        <w:rPr>
          <w:spacing w:val="-12"/>
        </w:rPr>
        <w:t> </w:t>
      </w:r>
      <w:r>
        <w:rPr/>
        <w:t>result</w:t>
      </w:r>
      <w:r>
        <w:rPr>
          <w:spacing w:val="-13"/>
        </w:rPr>
        <w:t> </w:t>
      </w:r>
      <w:r>
        <w:rPr/>
        <w:t>in</w:t>
      </w:r>
      <w:r>
        <w:rPr>
          <w:spacing w:val="-12"/>
        </w:rPr>
        <w:t> </w:t>
      </w:r>
      <w:r>
        <w:rPr/>
        <w:t>litigation</w:t>
      </w:r>
      <w:r>
        <w:rPr>
          <w:spacing w:val="-12"/>
        </w:rPr>
        <w:t> </w:t>
      </w:r>
      <w:r>
        <w:rPr/>
        <w:t>or</w:t>
      </w:r>
      <w:r>
        <w:rPr>
          <w:spacing w:val="-12"/>
        </w:rPr>
        <w:t> </w:t>
      </w:r>
      <w:r>
        <w:rPr/>
        <w:t>reputational</w:t>
      </w:r>
      <w:r>
        <w:rPr>
          <w:spacing w:val="-13"/>
        </w:rPr>
        <w:t> </w:t>
      </w:r>
      <w:r>
        <w:rPr/>
        <w:t>harm to us.</w:t>
      </w:r>
    </w:p>
    <w:p>
      <w:pPr>
        <w:pStyle w:val="BodyText"/>
        <w:spacing w:line="249" w:lineRule="auto" w:before="133"/>
        <w:ind w:left="210" w:right="247" w:firstLine="540"/>
        <w:jc w:val="both"/>
      </w:pPr>
      <w:r>
        <w:rPr/>
        <w:t>Transferring</w:t>
      </w:r>
      <w:r>
        <w:rPr>
          <w:spacing w:val="-5"/>
        </w:rPr>
        <w:t> </w:t>
      </w:r>
      <w:r>
        <w:rPr/>
        <w:t>personal</w:t>
      </w:r>
      <w:r>
        <w:rPr>
          <w:spacing w:val="-5"/>
        </w:rPr>
        <w:t> </w:t>
      </w:r>
      <w:r>
        <w:rPr/>
        <w:t>information</w:t>
      </w:r>
      <w:r>
        <w:rPr>
          <w:spacing w:val="-5"/>
        </w:rPr>
        <w:t> </w:t>
      </w:r>
      <w:r>
        <w:rPr/>
        <w:t>across</w:t>
      </w:r>
      <w:r>
        <w:rPr>
          <w:spacing w:val="-5"/>
        </w:rPr>
        <w:t> </w:t>
      </w:r>
      <w:r>
        <w:rPr/>
        <w:t>international</w:t>
      </w:r>
      <w:r>
        <w:rPr>
          <w:spacing w:val="-5"/>
        </w:rPr>
        <w:t> </w:t>
      </w:r>
      <w:r>
        <w:rPr/>
        <w:t>borders</w:t>
      </w:r>
      <w:r>
        <w:rPr>
          <w:spacing w:val="-5"/>
        </w:rPr>
        <w:t> </w:t>
      </w:r>
      <w:r>
        <w:rPr/>
        <w:t>is</w:t>
      </w:r>
      <w:r>
        <w:rPr>
          <w:spacing w:val="-5"/>
        </w:rPr>
        <w:t> </w:t>
      </w:r>
      <w:r>
        <w:rPr/>
        <w:t>becoming</w:t>
      </w:r>
      <w:r>
        <w:rPr>
          <w:spacing w:val="-5"/>
        </w:rPr>
        <w:t> </w:t>
      </w:r>
      <w:r>
        <w:rPr/>
        <w:t>increasingly</w:t>
      </w:r>
      <w:r>
        <w:rPr>
          <w:spacing w:val="-5"/>
        </w:rPr>
        <w:t> </w:t>
      </w:r>
      <w:r>
        <w:rPr/>
        <w:t>complex.</w:t>
      </w:r>
      <w:r>
        <w:rPr>
          <w:spacing w:val="-5"/>
        </w:rPr>
        <w:t> </w:t>
      </w:r>
      <w:r>
        <w:rPr/>
        <w:t>For</w:t>
      </w:r>
      <w:r>
        <w:rPr>
          <w:spacing w:val="-5"/>
        </w:rPr>
        <w:t> </w:t>
      </w:r>
      <w:r>
        <w:rPr/>
        <w:t>example,</w:t>
      </w:r>
      <w:r>
        <w:rPr>
          <w:spacing w:val="-5"/>
        </w:rPr>
        <w:t> </w:t>
      </w:r>
      <w:r>
        <w:rPr/>
        <w:t>European data</w:t>
      </w:r>
      <w:r>
        <w:rPr>
          <w:spacing w:val="-13"/>
        </w:rPr>
        <w:t> </w:t>
      </w:r>
      <w:r>
        <w:rPr/>
        <w:t>transfers</w:t>
      </w:r>
      <w:r>
        <w:rPr>
          <w:spacing w:val="-11"/>
        </w:rPr>
        <w:t> </w:t>
      </w:r>
      <w:r>
        <w:rPr/>
        <w:t>outside</w:t>
      </w:r>
      <w:r>
        <w:rPr>
          <w:spacing w:val="-9"/>
        </w:rPr>
        <w:t> </w:t>
      </w:r>
      <w:r>
        <w:rPr/>
        <w:t>the</w:t>
      </w:r>
      <w:r>
        <w:rPr>
          <w:spacing w:val="-10"/>
        </w:rPr>
        <w:t> </w:t>
      </w:r>
      <w:r>
        <w:rPr/>
        <w:t>European</w:t>
      </w:r>
      <w:r>
        <w:rPr>
          <w:spacing w:val="-10"/>
        </w:rPr>
        <w:t> </w:t>
      </w:r>
      <w:r>
        <w:rPr/>
        <w:t>Economic</w:t>
      </w:r>
      <w:r>
        <w:rPr>
          <w:spacing w:val="-13"/>
        </w:rPr>
        <w:t> </w:t>
      </w:r>
      <w:r>
        <w:rPr/>
        <w:t>Area</w:t>
      </w:r>
      <w:r>
        <w:rPr>
          <w:spacing w:val="-9"/>
        </w:rPr>
        <w:t> </w:t>
      </w:r>
      <w:r>
        <w:rPr/>
        <w:t>are</w:t>
      </w:r>
      <w:r>
        <w:rPr>
          <w:spacing w:val="-10"/>
        </w:rPr>
        <w:t> </w:t>
      </w:r>
      <w:r>
        <w:rPr/>
        <w:t>highly</w:t>
      </w:r>
      <w:r>
        <w:rPr>
          <w:spacing w:val="-10"/>
        </w:rPr>
        <w:t> </w:t>
      </w:r>
      <w:r>
        <w:rPr/>
        <w:t>regulated.</w:t>
      </w:r>
      <w:r>
        <w:rPr>
          <w:spacing w:val="-13"/>
        </w:rPr>
        <w:t> </w:t>
      </w:r>
      <w:r>
        <w:rPr/>
        <w:t>The</w:t>
      </w:r>
      <w:r>
        <w:rPr>
          <w:spacing w:val="-9"/>
        </w:rPr>
        <w:t> </w:t>
      </w:r>
      <w:r>
        <w:rPr/>
        <w:t>mechanisms</w:t>
      </w:r>
      <w:r>
        <w:rPr>
          <w:spacing w:val="-9"/>
        </w:rPr>
        <w:t> </w:t>
      </w:r>
      <w:r>
        <w:rPr/>
        <w:t>that</w:t>
      </w:r>
      <w:r>
        <w:rPr>
          <w:spacing w:val="-10"/>
        </w:rPr>
        <w:t> </w:t>
      </w:r>
      <w:r>
        <w:rPr/>
        <w:t>we</w:t>
      </w:r>
      <w:r>
        <w:rPr>
          <w:spacing w:val="-10"/>
        </w:rPr>
        <w:t> </w:t>
      </w:r>
      <w:r>
        <w:rPr/>
        <w:t>and</w:t>
      </w:r>
      <w:r>
        <w:rPr>
          <w:spacing w:val="-10"/>
        </w:rPr>
        <w:t> </w:t>
      </w:r>
      <w:r>
        <w:rPr/>
        <w:t>many</w:t>
      </w:r>
      <w:r>
        <w:rPr>
          <w:spacing w:val="-10"/>
        </w:rPr>
        <w:t> </w:t>
      </w:r>
      <w:r>
        <w:rPr/>
        <w:t>other</w:t>
      </w:r>
      <w:r>
        <w:rPr>
          <w:spacing w:val="-10"/>
        </w:rPr>
        <w:t> </w:t>
      </w:r>
      <w:r>
        <w:rPr/>
        <w:t>companies</w:t>
      </w:r>
      <w:r>
        <w:rPr>
          <w:spacing w:val="-10"/>
        </w:rPr>
        <w:t> </w:t>
      </w:r>
      <w:r>
        <w:rPr/>
        <w:t>rely upon</w:t>
      </w:r>
      <w:r>
        <w:rPr>
          <w:spacing w:val="-2"/>
        </w:rPr>
        <w:t> </w:t>
      </w:r>
      <w:r>
        <w:rPr/>
        <w:t>for</w:t>
      </w:r>
      <w:r>
        <w:rPr>
          <w:spacing w:val="-2"/>
        </w:rPr>
        <w:t> </w:t>
      </w:r>
      <w:r>
        <w:rPr/>
        <w:t>European</w:t>
      </w:r>
      <w:r>
        <w:rPr>
          <w:spacing w:val="-2"/>
        </w:rPr>
        <w:t> </w:t>
      </w:r>
      <w:r>
        <w:rPr/>
        <w:t>data</w:t>
      </w:r>
      <w:r>
        <w:rPr>
          <w:spacing w:val="-2"/>
        </w:rPr>
        <w:t> </w:t>
      </w:r>
      <w:r>
        <w:rPr/>
        <w:t>transfers</w:t>
      </w:r>
      <w:r>
        <w:rPr>
          <w:spacing w:val="-2"/>
        </w:rPr>
        <w:t> </w:t>
      </w:r>
      <w:r>
        <w:rPr/>
        <w:t>(e.g.</w:t>
      </w:r>
      <w:r>
        <w:rPr>
          <w:spacing w:val="-2"/>
        </w:rPr>
        <w:t> </w:t>
      </w:r>
      <w:r>
        <w:rPr/>
        <w:t>Privacy</w:t>
      </w:r>
      <w:r>
        <w:rPr>
          <w:spacing w:val="-2"/>
        </w:rPr>
        <w:t> </w:t>
      </w:r>
      <w:r>
        <w:rPr/>
        <w:t>Shield</w:t>
      </w:r>
      <w:r>
        <w:rPr>
          <w:spacing w:val="-2"/>
        </w:rPr>
        <w:t> </w:t>
      </w:r>
      <w:r>
        <w:rPr/>
        <w:t>and</w:t>
      </w:r>
      <w:r>
        <w:rPr>
          <w:spacing w:val="-2"/>
        </w:rPr>
        <w:t> </w:t>
      </w:r>
      <w:r>
        <w:rPr/>
        <w:t>Model</w:t>
      </w:r>
      <w:r>
        <w:rPr>
          <w:spacing w:val="-2"/>
        </w:rPr>
        <w:t> </w:t>
      </w:r>
      <w:r>
        <w:rPr/>
        <w:t>Clauses)</w:t>
      </w:r>
      <w:r>
        <w:rPr>
          <w:spacing w:val="-2"/>
        </w:rPr>
        <w:t> </w:t>
      </w:r>
      <w:r>
        <w:rPr/>
        <w:t>are</w:t>
      </w:r>
      <w:r>
        <w:rPr>
          <w:spacing w:val="-2"/>
        </w:rPr>
        <w:t> </w:t>
      </w:r>
      <w:r>
        <w:rPr/>
        <w:t>being</w:t>
      </w:r>
      <w:r>
        <w:rPr>
          <w:spacing w:val="-2"/>
        </w:rPr>
        <w:t> </w:t>
      </w:r>
      <w:r>
        <w:rPr/>
        <w:t>contested</w:t>
      </w:r>
      <w:r>
        <w:rPr>
          <w:spacing w:val="-2"/>
        </w:rPr>
        <w:t> </w:t>
      </w:r>
      <w:r>
        <w:rPr/>
        <w:t>in</w:t>
      </w:r>
      <w:r>
        <w:rPr>
          <w:spacing w:val="-2"/>
        </w:rPr>
        <w:t> </w:t>
      </w:r>
      <w:r>
        <w:rPr/>
        <w:t>the</w:t>
      </w:r>
      <w:r>
        <w:rPr>
          <w:spacing w:val="-2"/>
        </w:rPr>
        <w:t> </w:t>
      </w:r>
      <w:r>
        <w:rPr/>
        <w:t>European</w:t>
      </w:r>
      <w:r>
        <w:rPr>
          <w:spacing w:val="-2"/>
        </w:rPr>
        <w:t> </w:t>
      </w:r>
      <w:r>
        <w:rPr/>
        <w:t>court</w:t>
      </w:r>
      <w:r>
        <w:rPr>
          <w:spacing w:val="-2"/>
        </w:rPr>
        <w:t> </w:t>
      </w:r>
      <w:r>
        <w:rPr/>
        <w:t>system.</w:t>
      </w:r>
      <w:r>
        <w:rPr>
          <w:spacing w:val="-6"/>
        </w:rPr>
        <w:t> </w:t>
      </w:r>
      <w:r>
        <w:rPr/>
        <w:t>We are closely monitoring developments related to requirements for transferring personal data outside the EU. These requirements may</w:t>
      </w:r>
      <w:r>
        <w:rPr>
          <w:spacing w:val="-13"/>
        </w:rPr>
        <w:t> </w:t>
      </w:r>
      <w:r>
        <w:rPr/>
        <w:t>result</w:t>
      </w:r>
      <w:r>
        <w:rPr>
          <w:spacing w:val="-12"/>
        </w:rPr>
        <w:t> </w:t>
      </w:r>
      <w:r>
        <w:rPr/>
        <w:t>in</w:t>
      </w:r>
      <w:r>
        <w:rPr>
          <w:spacing w:val="-13"/>
        </w:rPr>
        <w:t> </w:t>
      </w:r>
      <w:r>
        <w:rPr/>
        <w:t>an</w:t>
      </w:r>
      <w:r>
        <w:rPr>
          <w:spacing w:val="-12"/>
        </w:rPr>
        <w:t> </w:t>
      </w:r>
      <w:r>
        <w:rPr/>
        <w:t>increase</w:t>
      </w:r>
      <w:r>
        <w:rPr>
          <w:spacing w:val="-13"/>
        </w:rPr>
        <w:t> </w:t>
      </w:r>
      <w:r>
        <w:rPr/>
        <w:t>in</w:t>
      </w:r>
      <w:r>
        <w:rPr>
          <w:spacing w:val="-12"/>
        </w:rPr>
        <w:t> </w:t>
      </w:r>
      <w:r>
        <w:rPr/>
        <w:t>the</w:t>
      </w:r>
      <w:r>
        <w:rPr>
          <w:spacing w:val="-13"/>
        </w:rPr>
        <w:t> </w:t>
      </w:r>
      <w:r>
        <w:rPr/>
        <w:t>obligations</w:t>
      </w:r>
      <w:r>
        <w:rPr>
          <w:spacing w:val="-12"/>
        </w:rPr>
        <w:t> </w:t>
      </w:r>
      <w:r>
        <w:rPr/>
        <w:t>required</w:t>
      </w:r>
      <w:r>
        <w:rPr>
          <w:spacing w:val="-13"/>
        </w:rPr>
        <w:t> </w:t>
      </w:r>
      <w:r>
        <w:rPr/>
        <w:t>to</w:t>
      </w:r>
      <w:r>
        <w:rPr>
          <w:spacing w:val="-12"/>
        </w:rPr>
        <w:t> </w:t>
      </w:r>
      <w:r>
        <w:rPr/>
        <w:t>provide</w:t>
      </w:r>
      <w:r>
        <w:rPr>
          <w:spacing w:val="-13"/>
        </w:rPr>
        <w:t> </w:t>
      </w:r>
      <w:r>
        <w:rPr/>
        <w:t>our</w:t>
      </w:r>
      <w:r>
        <w:rPr>
          <w:spacing w:val="-12"/>
        </w:rPr>
        <w:t> </w:t>
      </w:r>
      <w:r>
        <w:rPr/>
        <w:t>services</w:t>
      </w:r>
      <w:r>
        <w:rPr>
          <w:spacing w:val="-13"/>
        </w:rPr>
        <w:t> </w:t>
      </w:r>
      <w:r>
        <w:rPr/>
        <w:t>in</w:t>
      </w:r>
      <w:r>
        <w:rPr>
          <w:spacing w:val="-12"/>
        </w:rPr>
        <w:t> </w:t>
      </w:r>
      <w:r>
        <w:rPr/>
        <w:t>the</w:t>
      </w:r>
      <w:r>
        <w:rPr>
          <w:spacing w:val="-13"/>
        </w:rPr>
        <w:t> </w:t>
      </w:r>
      <w:r>
        <w:rPr/>
        <w:t>EU</w:t>
      </w:r>
      <w:r>
        <w:rPr>
          <w:spacing w:val="-12"/>
        </w:rPr>
        <w:t> </w:t>
      </w:r>
      <w:r>
        <w:rPr/>
        <w:t>or</w:t>
      </w:r>
      <w:r>
        <w:rPr>
          <w:spacing w:val="-13"/>
        </w:rPr>
        <w:t> </w:t>
      </w:r>
      <w:r>
        <w:rPr/>
        <w:t>in</w:t>
      </w:r>
      <w:r>
        <w:rPr>
          <w:spacing w:val="-12"/>
        </w:rPr>
        <w:t> </w:t>
      </w:r>
      <w:r>
        <w:rPr/>
        <w:t>sanctions</w:t>
      </w:r>
      <w:r>
        <w:rPr>
          <w:spacing w:val="-13"/>
        </w:rPr>
        <w:t> </w:t>
      </w:r>
      <w:r>
        <w:rPr/>
        <w:t>and</w:t>
      </w:r>
      <w:r>
        <w:rPr>
          <w:spacing w:val="-12"/>
        </w:rPr>
        <w:t> </w:t>
      </w:r>
      <w:r>
        <w:rPr/>
        <w:t>fines</w:t>
      </w:r>
      <w:r>
        <w:rPr>
          <w:spacing w:val="-13"/>
        </w:rPr>
        <w:t> </w:t>
      </w:r>
      <w:r>
        <w:rPr/>
        <w:t>for</w:t>
      </w:r>
      <w:r>
        <w:rPr>
          <w:spacing w:val="-12"/>
        </w:rPr>
        <w:t> </w:t>
      </w:r>
      <w:r>
        <w:rPr/>
        <w:t>non-compliance. Several</w:t>
      </w:r>
      <w:r>
        <w:rPr>
          <w:spacing w:val="-13"/>
        </w:rPr>
        <w:t> </w:t>
      </w:r>
      <w:r>
        <w:rPr/>
        <w:t>other</w:t>
      </w:r>
      <w:r>
        <w:rPr>
          <w:spacing w:val="-12"/>
        </w:rPr>
        <w:t> </w:t>
      </w:r>
      <w:r>
        <w:rPr/>
        <w:t>countries,</w:t>
      </w:r>
      <w:r>
        <w:rPr>
          <w:spacing w:val="-13"/>
        </w:rPr>
        <w:t> </w:t>
      </w:r>
      <w:r>
        <w:rPr/>
        <w:t>including</w:t>
      </w:r>
      <w:r>
        <w:rPr>
          <w:spacing w:val="-12"/>
        </w:rPr>
        <w:t> </w:t>
      </w:r>
      <w:r>
        <w:rPr/>
        <w:t>Australia</w:t>
      </w:r>
      <w:r>
        <w:rPr>
          <w:spacing w:val="-13"/>
        </w:rPr>
        <w:t> </w:t>
      </w:r>
      <w:r>
        <w:rPr/>
        <w:t>and</w:t>
      </w:r>
      <w:r>
        <w:rPr>
          <w:spacing w:val="-11"/>
        </w:rPr>
        <w:t> </w:t>
      </w:r>
      <w:r>
        <w:rPr/>
        <w:t>Japan,</w:t>
      </w:r>
      <w:r>
        <w:rPr>
          <w:spacing w:val="-11"/>
        </w:rPr>
        <w:t> </w:t>
      </w:r>
      <w:r>
        <w:rPr/>
        <w:t>have</w:t>
      </w:r>
      <w:r>
        <w:rPr>
          <w:spacing w:val="-11"/>
        </w:rPr>
        <w:t> </w:t>
      </w:r>
      <w:r>
        <w:rPr/>
        <w:t>also</w:t>
      </w:r>
      <w:r>
        <w:rPr>
          <w:spacing w:val="-11"/>
        </w:rPr>
        <w:t> </w:t>
      </w:r>
      <w:r>
        <w:rPr/>
        <w:t>established</w:t>
      </w:r>
      <w:r>
        <w:rPr>
          <w:spacing w:val="-11"/>
        </w:rPr>
        <w:t> </w:t>
      </w:r>
      <w:r>
        <w:rPr/>
        <w:t>specific</w:t>
      </w:r>
      <w:r>
        <w:rPr>
          <w:spacing w:val="-11"/>
        </w:rPr>
        <w:t> </w:t>
      </w:r>
      <w:r>
        <w:rPr/>
        <w:t>legal</w:t>
      </w:r>
      <w:r>
        <w:rPr>
          <w:spacing w:val="-11"/>
        </w:rPr>
        <w:t> </w:t>
      </w:r>
      <w:r>
        <w:rPr/>
        <w:t>requirements</w:t>
      </w:r>
      <w:r>
        <w:rPr>
          <w:spacing w:val="-10"/>
        </w:rPr>
        <w:t> </w:t>
      </w:r>
      <w:r>
        <w:rPr/>
        <w:t>for</w:t>
      </w:r>
      <w:r>
        <w:rPr>
          <w:spacing w:val="-10"/>
        </w:rPr>
        <w:t> </w:t>
      </w:r>
      <w:r>
        <w:rPr/>
        <w:t>cross-border</w:t>
      </w:r>
      <w:r>
        <w:rPr>
          <w:spacing w:val="-11"/>
        </w:rPr>
        <w:t> </w:t>
      </w:r>
      <w:r>
        <w:rPr/>
        <w:t>transfers of personal information. These developments in Europe and elsewhere could harm our business, financial condition and results of operations.</w:t>
      </w:r>
    </w:p>
    <w:p>
      <w:pPr>
        <w:pStyle w:val="Heading3"/>
        <w:spacing w:before="126"/>
      </w:pPr>
      <w:r>
        <w:rPr/>
        <w:t>Security</w:t>
      </w:r>
      <w:r>
        <w:rPr>
          <w:spacing w:val="-6"/>
        </w:rPr>
        <w:t> </w:t>
      </w:r>
      <w:r>
        <w:rPr/>
        <w:t>vulnerabilities</w:t>
      </w:r>
      <w:r>
        <w:rPr>
          <w:spacing w:val="-2"/>
        </w:rPr>
        <w:t> </w:t>
      </w:r>
      <w:r>
        <w:rPr/>
        <w:t>in</w:t>
      </w:r>
      <w:r>
        <w:rPr>
          <w:spacing w:val="-2"/>
        </w:rPr>
        <w:t> </w:t>
      </w:r>
      <w:r>
        <w:rPr/>
        <w:t>our</w:t>
      </w:r>
      <w:r>
        <w:rPr>
          <w:spacing w:val="-2"/>
        </w:rPr>
        <w:t> </w:t>
      </w:r>
      <w:r>
        <w:rPr/>
        <w:t>products</w:t>
      </w:r>
      <w:r>
        <w:rPr>
          <w:spacing w:val="-2"/>
        </w:rPr>
        <w:t> </w:t>
      </w:r>
      <w:r>
        <w:rPr/>
        <w:t>and</w:t>
      </w:r>
      <w:r>
        <w:rPr>
          <w:spacing w:val="-3"/>
        </w:rPr>
        <w:t> </w:t>
      </w:r>
      <w:r>
        <w:rPr/>
        <w:t>systems</w:t>
      </w:r>
      <w:r>
        <w:rPr>
          <w:spacing w:val="-2"/>
        </w:rPr>
        <w:t> </w:t>
      </w:r>
      <w:r>
        <w:rPr/>
        <w:t>could</w:t>
      </w:r>
      <w:r>
        <w:rPr>
          <w:spacing w:val="-2"/>
        </w:rPr>
        <w:t> </w:t>
      </w:r>
      <w:r>
        <w:rPr/>
        <w:t>lead</w:t>
      </w:r>
      <w:r>
        <w:rPr>
          <w:spacing w:val="-2"/>
        </w:rPr>
        <w:t> </w:t>
      </w:r>
      <w:r>
        <w:rPr/>
        <w:t>to</w:t>
      </w:r>
      <w:r>
        <w:rPr>
          <w:spacing w:val="-2"/>
        </w:rPr>
        <w:t> </w:t>
      </w:r>
      <w:r>
        <w:rPr/>
        <w:t>reduced</w:t>
      </w:r>
      <w:r>
        <w:rPr>
          <w:spacing w:val="-3"/>
        </w:rPr>
        <w:t> </w:t>
      </w:r>
      <w:r>
        <w:rPr/>
        <w:t>revenue</w:t>
      </w:r>
      <w:r>
        <w:rPr>
          <w:spacing w:val="-3"/>
        </w:rPr>
        <w:t> </w:t>
      </w:r>
      <w:r>
        <w:rPr/>
        <w:t>or</w:t>
      </w:r>
      <w:r>
        <w:rPr>
          <w:spacing w:val="-2"/>
        </w:rPr>
        <w:t> </w:t>
      </w:r>
      <w:r>
        <w:rPr/>
        <w:t>to</w:t>
      </w:r>
      <w:r>
        <w:rPr>
          <w:spacing w:val="-2"/>
        </w:rPr>
        <w:t> </w:t>
      </w:r>
      <w:r>
        <w:rPr/>
        <w:t>liability</w:t>
      </w:r>
      <w:r>
        <w:rPr>
          <w:spacing w:val="-3"/>
        </w:rPr>
        <w:t> </w:t>
      </w:r>
      <w:r>
        <w:rPr>
          <w:spacing w:val="-2"/>
        </w:rPr>
        <w:t>claims.</w:t>
      </w:r>
    </w:p>
    <w:p>
      <w:pPr>
        <w:pStyle w:val="BodyText"/>
        <w:spacing w:line="249" w:lineRule="auto" w:before="130"/>
        <w:ind w:left="210" w:right="247" w:firstLine="720"/>
        <w:jc w:val="both"/>
      </w:pPr>
      <w:r>
        <w:rPr/>
        <w:t>Maintaining the security of our products, computers and networks is a critical issue for us and our customers. Security researchers,</w:t>
      </w:r>
      <w:r>
        <w:rPr>
          <w:spacing w:val="-12"/>
        </w:rPr>
        <w:t> </w:t>
      </w:r>
      <w:r>
        <w:rPr/>
        <w:t>criminal</w:t>
      </w:r>
      <w:r>
        <w:rPr>
          <w:spacing w:val="-12"/>
        </w:rPr>
        <w:t> </w:t>
      </w:r>
      <w:r>
        <w:rPr/>
        <w:t>hackers</w:t>
      </w:r>
      <w:r>
        <w:rPr>
          <w:spacing w:val="-12"/>
        </w:rPr>
        <w:t> </w:t>
      </w:r>
      <w:r>
        <w:rPr/>
        <w:t>and</w:t>
      </w:r>
      <w:r>
        <w:rPr>
          <w:spacing w:val="-12"/>
        </w:rPr>
        <w:t> </w:t>
      </w:r>
      <w:r>
        <w:rPr/>
        <w:t>other</w:t>
      </w:r>
      <w:r>
        <w:rPr>
          <w:spacing w:val="-12"/>
        </w:rPr>
        <w:t> </w:t>
      </w:r>
      <w:r>
        <w:rPr/>
        <w:t>third</w:t>
      </w:r>
      <w:r>
        <w:rPr>
          <w:spacing w:val="-12"/>
        </w:rPr>
        <w:t> </w:t>
      </w:r>
      <w:r>
        <w:rPr/>
        <w:t>parties</w:t>
      </w:r>
      <w:r>
        <w:rPr>
          <w:spacing w:val="-12"/>
        </w:rPr>
        <w:t> </w:t>
      </w:r>
      <w:r>
        <w:rPr/>
        <w:t>regularly</w:t>
      </w:r>
      <w:r>
        <w:rPr>
          <w:spacing w:val="-12"/>
        </w:rPr>
        <w:t> </w:t>
      </w:r>
      <w:r>
        <w:rPr/>
        <w:t>develop</w:t>
      </w:r>
      <w:r>
        <w:rPr>
          <w:spacing w:val="-12"/>
        </w:rPr>
        <w:t> </w:t>
      </w:r>
      <w:r>
        <w:rPr/>
        <w:t>new</w:t>
      </w:r>
      <w:r>
        <w:rPr>
          <w:spacing w:val="-12"/>
        </w:rPr>
        <w:t> </w:t>
      </w:r>
      <w:r>
        <w:rPr/>
        <w:t>techniques</w:t>
      </w:r>
      <w:r>
        <w:rPr>
          <w:spacing w:val="-12"/>
        </w:rPr>
        <w:t> </w:t>
      </w:r>
      <w:r>
        <w:rPr/>
        <w:t>to</w:t>
      </w:r>
      <w:r>
        <w:rPr>
          <w:spacing w:val="-12"/>
        </w:rPr>
        <w:t> </w:t>
      </w:r>
      <w:r>
        <w:rPr/>
        <w:t>penetrate</w:t>
      </w:r>
      <w:r>
        <w:rPr>
          <w:spacing w:val="-12"/>
        </w:rPr>
        <w:t> </w:t>
      </w:r>
      <w:r>
        <w:rPr/>
        <w:t>computer</w:t>
      </w:r>
      <w:r>
        <w:rPr>
          <w:spacing w:val="-12"/>
        </w:rPr>
        <w:t> </w:t>
      </w:r>
      <w:r>
        <w:rPr/>
        <w:t>and</w:t>
      </w:r>
      <w:r>
        <w:rPr>
          <w:spacing w:val="-12"/>
        </w:rPr>
        <w:t> </w:t>
      </w:r>
      <w:r>
        <w:rPr/>
        <w:t>network</w:t>
      </w:r>
      <w:r>
        <w:rPr>
          <w:spacing w:val="-12"/>
        </w:rPr>
        <w:t> </w:t>
      </w:r>
      <w:r>
        <w:rPr/>
        <w:t>security measures</w:t>
      </w:r>
      <w:r>
        <w:rPr>
          <w:spacing w:val="-1"/>
        </w:rPr>
        <w:t> </w:t>
      </w:r>
      <w:r>
        <w:rPr/>
        <w:t>and,</w:t>
      </w:r>
      <w:r>
        <w:rPr>
          <w:spacing w:val="-1"/>
        </w:rPr>
        <w:t> </w:t>
      </w:r>
      <w:r>
        <w:rPr/>
        <w:t>as</w:t>
      </w:r>
      <w:r>
        <w:rPr>
          <w:spacing w:val="-1"/>
        </w:rPr>
        <w:t> </w:t>
      </w:r>
      <w:r>
        <w:rPr/>
        <w:t>we</w:t>
      </w:r>
      <w:r>
        <w:rPr>
          <w:spacing w:val="-2"/>
        </w:rPr>
        <w:t> </w:t>
      </w:r>
      <w:r>
        <w:rPr/>
        <w:t>have</w:t>
      </w:r>
      <w:r>
        <w:rPr>
          <w:spacing w:val="-2"/>
        </w:rPr>
        <w:t> </w:t>
      </w:r>
      <w:r>
        <w:rPr/>
        <w:t>previously</w:t>
      </w:r>
      <w:r>
        <w:rPr>
          <w:spacing w:val="-1"/>
        </w:rPr>
        <w:t> </w:t>
      </w:r>
      <w:r>
        <w:rPr/>
        <w:t>disclosed,</w:t>
      </w:r>
      <w:r>
        <w:rPr>
          <w:spacing w:val="-2"/>
        </w:rPr>
        <w:t> </w:t>
      </w:r>
      <w:r>
        <w:rPr/>
        <w:t>certain</w:t>
      </w:r>
      <w:r>
        <w:rPr>
          <w:spacing w:val="-2"/>
        </w:rPr>
        <w:t> </w:t>
      </w:r>
      <w:r>
        <w:rPr/>
        <w:t>parties</w:t>
      </w:r>
      <w:r>
        <w:rPr>
          <w:spacing w:val="-1"/>
        </w:rPr>
        <w:t> </w:t>
      </w:r>
      <w:r>
        <w:rPr/>
        <w:t>have</w:t>
      </w:r>
      <w:r>
        <w:rPr>
          <w:spacing w:val="-2"/>
        </w:rPr>
        <w:t> </w:t>
      </w:r>
      <w:r>
        <w:rPr/>
        <w:t>in</w:t>
      </w:r>
      <w:r>
        <w:rPr>
          <w:spacing w:val="-1"/>
        </w:rPr>
        <w:t> </w:t>
      </w:r>
      <w:r>
        <w:rPr/>
        <w:t>the</w:t>
      </w:r>
      <w:r>
        <w:rPr>
          <w:spacing w:val="-2"/>
        </w:rPr>
        <w:t> </w:t>
      </w:r>
      <w:r>
        <w:rPr/>
        <w:t>past</w:t>
      </w:r>
      <w:r>
        <w:rPr>
          <w:spacing w:val="-2"/>
        </w:rPr>
        <w:t> </w:t>
      </w:r>
      <w:r>
        <w:rPr/>
        <w:t>managed</w:t>
      </w:r>
      <w:r>
        <w:rPr>
          <w:spacing w:val="-2"/>
        </w:rPr>
        <w:t> </w:t>
      </w:r>
      <w:r>
        <w:rPr/>
        <w:t>to</w:t>
      </w:r>
      <w:r>
        <w:rPr>
          <w:spacing w:val="-2"/>
        </w:rPr>
        <w:t> </w:t>
      </w:r>
      <w:r>
        <w:rPr/>
        <w:t>breach</w:t>
      </w:r>
      <w:r>
        <w:rPr>
          <w:spacing w:val="-1"/>
        </w:rPr>
        <w:t> </w:t>
      </w:r>
      <w:r>
        <w:rPr/>
        <w:t>our</w:t>
      </w:r>
      <w:r>
        <w:rPr>
          <w:spacing w:val="-1"/>
        </w:rPr>
        <w:t> </w:t>
      </w:r>
      <w:r>
        <w:rPr/>
        <w:t>data</w:t>
      </w:r>
      <w:r>
        <w:rPr>
          <w:spacing w:val="-2"/>
        </w:rPr>
        <w:t> </w:t>
      </w:r>
      <w:r>
        <w:rPr/>
        <w:t>security</w:t>
      </w:r>
      <w:r>
        <w:rPr>
          <w:spacing w:val="-2"/>
        </w:rPr>
        <w:t> </w:t>
      </w:r>
      <w:r>
        <w:rPr/>
        <w:t>systems</w:t>
      </w:r>
      <w:r>
        <w:rPr>
          <w:spacing w:val="-1"/>
        </w:rPr>
        <w:t> </w:t>
      </w:r>
      <w:r>
        <w:rPr/>
        <w:t>and misused</w:t>
      </w:r>
      <w:r>
        <w:rPr>
          <w:spacing w:val="-12"/>
        </w:rPr>
        <w:t> </w:t>
      </w:r>
      <w:r>
        <w:rPr/>
        <w:t>some</w:t>
      </w:r>
      <w:r>
        <w:rPr>
          <w:spacing w:val="-5"/>
        </w:rPr>
        <w:t> </w:t>
      </w:r>
      <w:r>
        <w:rPr/>
        <w:t>of</w:t>
      </w:r>
      <w:r>
        <w:rPr>
          <w:spacing w:val="-5"/>
        </w:rPr>
        <w:t> </w:t>
      </w:r>
      <w:r>
        <w:rPr/>
        <w:t>our</w:t>
      </w:r>
      <w:r>
        <w:rPr>
          <w:spacing w:val="-5"/>
        </w:rPr>
        <w:t> </w:t>
      </w:r>
      <w:r>
        <w:rPr/>
        <w:t>systems</w:t>
      </w:r>
      <w:r>
        <w:rPr>
          <w:spacing w:val="-5"/>
        </w:rPr>
        <w:t> </w:t>
      </w:r>
      <w:r>
        <w:rPr/>
        <w:t>and</w:t>
      </w:r>
      <w:r>
        <w:rPr>
          <w:spacing w:val="-5"/>
        </w:rPr>
        <w:t> </w:t>
      </w:r>
      <w:r>
        <w:rPr/>
        <w:t>software</w:t>
      </w:r>
      <w:r>
        <w:rPr>
          <w:spacing w:val="-5"/>
        </w:rPr>
        <w:t> </w:t>
      </w:r>
      <w:r>
        <w:rPr/>
        <w:t>in</w:t>
      </w:r>
      <w:r>
        <w:rPr>
          <w:spacing w:val="-5"/>
        </w:rPr>
        <w:t> </w:t>
      </w:r>
      <w:r>
        <w:rPr/>
        <w:t>order</w:t>
      </w:r>
      <w:r>
        <w:rPr>
          <w:spacing w:val="-5"/>
        </w:rPr>
        <w:t> </w:t>
      </w:r>
      <w:r>
        <w:rPr/>
        <w:t>to</w:t>
      </w:r>
      <w:r>
        <w:rPr>
          <w:spacing w:val="-5"/>
        </w:rPr>
        <w:t> </w:t>
      </w:r>
      <w:r>
        <w:rPr/>
        <w:t>access</w:t>
      </w:r>
      <w:r>
        <w:rPr>
          <w:spacing w:val="-5"/>
        </w:rPr>
        <w:t> </w:t>
      </w:r>
      <w:r>
        <w:rPr/>
        <w:t>our</w:t>
      </w:r>
      <w:r>
        <w:rPr>
          <w:spacing w:val="-5"/>
        </w:rPr>
        <w:t> </w:t>
      </w:r>
      <w:r>
        <w:rPr/>
        <w:t>end</w:t>
      </w:r>
      <w:r>
        <w:rPr>
          <w:spacing w:val="-5"/>
        </w:rPr>
        <w:t> </w:t>
      </w:r>
      <w:r>
        <w:rPr/>
        <w:t>users’</w:t>
      </w:r>
      <w:r>
        <w:rPr>
          <w:spacing w:val="-13"/>
        </w:rPr>
        <w:t> </w:t>
      </w:r>
      <w:r>
        <w:rPr/>
        <w:t>authentication</w:t>
      </w:r>
      <w:r>
        <w:rPr>
          <w:spacing w:val="-5"/>
        </w:rPr>
        <w:t> </w:t>
      </w:r>
      <w:r>
        <w:rPr/>
        <w:t>and</w:t>
      </w:r>
      <w:r>
        <w:rPr>
          <w:spacing w:val="-5"/>
        </w:rPr>
        <w:t> </w:t>
      </w:r>
      <w:r>
        <w:rPr/>
        <w:t>payment</w:t>
      </w:r>
      <w:r>
        <w:rPr>
          <w:spacing w:val="-5"/>
        </w:rPr>
        <w:t> </w:t>
      </w:r>
      <w:r>
        <w:rPr/>
        <w:t>information.</w:t>
      </w:r>
      <w:r>
        <w:rPr>
          <w:spacing w:val="-5"/>
        </w:rPr>
        <w:t> </w:t>
      </w:r>
      <w:r>
        <w:rPr/>
        <w:t>In</w:t>
      </w:r>
      <w:r>
        <w:rPr>
          <w:spacing w:val="-5"/>
        </w:rPr>
        <w:t> </w:t>
      </w:r>
      <w:r>
        <w:rPr/>
        <w:t>addition, cyber-attackers</w:t>
      </w:r>
      <w:r>
        <w:rPr>
          <w:spacing w:val="-3"/>
        </w:rPr>
        <w:t> </w:t>
      </w:r>
      <w:r>
        <w:rPr/>
        <w:t>also</w:t>
      </w:r>
      <w:r>
        <w:rPr>
          <w:spacing w:val="-3"/>
        </w:rPr>
        <w:t> </w:t>
      </w:r>
      <w:r>
        <w:rPr/>
        <w:t>develop</w:t>
      </w:r>
      <w:r>
        <w:rPr>
          <w:spacing w:val="-4"/>
        </w:rPr>
        <w:t> </w:t>
      </w:r>
      <w:r>
        <w:rPr/>
        <w:t>and</w:t>
      </w:r>
      <w:r>
        <w:rPr>
          <w:spacing w:val="-4"/>
        </w:rPr>
        <w:t> </w:t>
      </w:r>
      <w:r>
        <w:rPr/>
        <w:t>deploy</w:t>
      </w:r>
      <w:r>
        <w:rPr>
          <w:spacing w:val="-4"/>
        </w:rPr>
        <w:t> </w:t>
      </w:r>
      <w:r>
        <w:rPr/>
        <w:t>viruses,</w:t>
      </w:r>
      <w:r>
        <w:rPr>
          <w:spacing w:val="-3"/>
        </w:rPr>
        <w:t> </w:t>
      </w:r>
      <w:r>
        <w:rPr/>
        <w:t>worms,</w:t>
      </w:r>
      <w:r>
        <w:rPr>
          <w:spacing w:val="-4"/>
        </w:rPr>
        <w:t> </w:t>
      </w:r>
      <w:r>
        <w:rPr/>
        <w:t>credential</w:t>
      </w:r>
      <w:r>
        <w:rPr>
          <w:spacing w:val="-4"/>
        </w:rPr>
        <w:t> </w:t>
      </w:r>
      <w:r>
        <w:rPr/>
        <w:t>stuffing</w:t>
      </w:r>
      <w:r>
        <w:rPr>
          <w:spacing w:val="-4"/>
        </w:rPr>
        <w:t> </w:t>
      </w:r>
      <w:r>
        <w:rPr/>
        <w:t>attack</w:t>
      </w:r>
      <w:r>
        <w:rPr>
          <w:spacing w:val="-4"/>
        </w:rPr>
        <w:t> </w:t>
      </w:r>
      <w:r>
        <w:rPr/>
        <w:t>tools,</w:t>
      </w:r>
      <w:r>
        <w:rPr>
          <w:spacing w:val="-4"/>
        </w:rPr>
        <w:t> </w:t>
      </w:r>
      <w:r>
        <w:rPr/>
        <w:t>and</w:t>
      </w:r>
      <w:r>
        <w:rPr>
          <w:spacing w:val="-3"/>
        </w:rPr>
        <w:t> </w:t>
      </w:r>
      <w:r>
        <w:rPr/>
        <w:t>other</w:t>
      </w:r>
      <w:r>
        <w:rPr>
          <w:spacing w:val="-4"/>
        </w:rPr>
        <w:t> </w:t>
      </w:r>
      <w:r>
        <w:rPr/>
        <w:t>malicious</w:t>
      </w:r>
      <w:r>
        <w:rPr>
          <w:spacing w:val="-3"/>
        </w:rPr>
        <w:t> </w:t>
      </w:r>
      <w:r>
        <w:rPr/>
        <w:t>software</w:t>
      </w:r>
      <w:r>
        <w:rPr>
          <w:spacing w:val="-4"/>
        </w:rPr>
        <w:t> </w:t>
      </w:r>
      <w:r>
        <w:rPr/>
        <w:t>programs, some</w:t>
      </w:r>
      <w:r>
        <w:rPr>
          <w:spacing w:val="-5"/>
        </w:rPr>
        <w:t> </w:t>
      </w:r>
      <w:r>
        <w:rPr/>
        <w:t>of</w:t>
      </w:r>
      <w:r>
        <w:rPr>
          <w:spacing w:val="-5"/>
        </w:rPr>
        <w:t> </w:t>
      </w:r>
      <w:r>
        <w:rPr/>
        <w:t>which</w:t>
      </w:r>
      <w:r>
        <w:rPr>
          <w:spacing w:val="-5"/>
        </w:rPr>
        <w:t> </w:t>
      </w:r>
      <w:r>
        <w:rPr/>
        <w:t>may</w:t>
      </w:r>
      <w:r>
        <w:rPr>
          <w:spacing w:val="-5"/>
        </w:rPr>
        <w:t> </w:t>
      </w:r>
      <w:r>
        <w:rPr/>
        <w:t>be</w:t>
      </w:r>
      <w:r>
        <w:rPr>
          <w:spacing w:val="-5"/>
        </w:rPr>
        <w:t> </w:t>
      </w:r>
      <w:r>
        <w:rPr/>
        <w:t>specifically</w:t>
      </w:r>
      <w:r>
        <w:rPr>
          <w:spacing w:val="-5"/>
        </w:rPr>
        <w:t> </w:t>
      </w:r>
      <w:r>
        <w:rPr/>
        <w:t>designed</w:t>
      </w:r>
      <w:r>
        <w:rPr>
          <w:spacing w:val="-5"/>
        </w:rPr>
        <w:t> </w:t>
      </w:r>
      <w:r>
        <w:rPr/>
        <w:t>to</w:t>
      </w:r>
      <w:r>
        <w:rPr>
          <w:spacing w:val="-5"/>
        </w:rPr>
        <w:t> </w:t>
      </w:r>
      <w:r>
        <w:rPr/>
        <w:t>attack</w:t>
      </w:r>
      <w:r>
        <w:rPr>
          <w:spacing w:val="-5"/>
        </w:rPr>
        <w:t> </w:t>
      </w:r>
      <w:r>
        <w:rPr/>
        <w:t>our</w:t>
      </w:r>
      <w:r>
        <w:rPr>
          <w:spacing w:val="-5"/>
        </w:rPr>
        <w:t> </w:t>
      </w:r>
      <w:r>
        <w:rPr/>
        <w:t>products,</w:t>
      </w:r>
      <w:r>
        <w:rPr>
          <w:spacing w:val="-5"/>
        </w:rPr>
        <w:t> </w:t>
      </w:r>
      <w:r>
        <w:rPr/>
        <w:t>systems,</w:t>
      </w:r>
      <w:r>
        <w:rPr>
          <w:spacing w:val="-5"/>
        </w:rPr>
        <w:t> </w:t>
      </w:r>
      <w:r>
        <w:rPr/>
        <w:t>computers</w:t>
      </w:r>
      <w:r>
        <w:rPr>
          <w:spacing w:val="-5"/>
        </w:rPr>
        <w:t> </w:t>
      </w:r>
      <w:r>
        <w:rPr/>
        <w:t>or</w:t>
      </w:r>
      <w:r>
        <w:rPr>
          <w:spacing w:val="-5"/>
        </w:rPr>
        <w:t> </w:t>
      </w:r>
      <w:r>
        <w:rPr/>
        <w:t>networks.</w:t>
      </w:r>
      <w:r>
        <w:rPr>
          <w:spacing w:val="-5"/>
        </w:rPr>
        <w:t> </w:t>
      </w:r>
      <w:r>
        <w:rPr/>
        <w:t>Sophisticated</w:t>
      </w:r>
      <w:r>
        <w:rPr>
          <w:spacing w:val="-5"/>
        </w:rPr>
        <w:t> </w:t>
      </w:r>
      <w:r>
        <w:rPr/>
        <w:t>hardware</w:t>
      </w:r>
      <w:r>
        <w:rPr>
          <w:spacing w:val="-6"/>
        </w:rPr>
        <w:t> </w:t>
      </w:r>
      <w:r>
        <w:rPr/>
        <w:t>and </w:t>
      </w:r>
      <w:r>
        <w:rPr>
          <w:spacing w:val="-2"/>
        </w:rPr>
        <w:t>operating</w:t>
      </w:r>
      <w:r>
        <w:rPr>
          <w:spacing w:val="-7"/>
        </w:rPr>
        <w:t> </w:t>
      </w:r>
      <w:r>
        <w:rPr>
          <w:spacing w:val="-2"/>
        </w:rPr>
        <w:t>system</w:t>
      </w:r>
      <w:r>
        <w:rPr>
          <w:spacing w:val="-7"/>
        </w:rPr>
        <w:t> </w:t>
      </w:r>
      <w:r>
        <w:rPr>
          <w:spacing w:val="-2"/>
        </w:rPr>
        <w:t>applications</w:t>
      </w:r>
      <w:r>
        <w:rPr>
          <w:spacing w:val="-6"/>
        </w:rPr>
        <w:t> </w:t>
      </w:r>
      <w:r>
        <w:rPr>
          <w:spacing w:val="-2"/>
        </w:rPr>
        <w:t>that</w:t>
      </w:r>
      <w:r>
        <w:rPr>
          <w:spacing w:val="-7"/>
        </w:rPr>
        <w:t> </w:t>
      </w:r>
      <w:r>
        <w:rPr>
          <w:spacing w:val="-2"/>
        </w:rPr>
        <w:t>we</w:t>
      </w:r>
      <w:r>
        <w:rPr>
          <w:spacing w:val="-7"/>
        </w:rPr>
        <w:t> </w:t>
      </w:r>
      <w:r>
        <w:rPr>
          <w:spacing w:val="-2"/>
        </w:rPr>
        <w:t>develop</w:t>
      </w:r>
      <w:r>
        <w:rPr>
          <w:spacing w:val="-7"/>
        </w:rPr>
        <w:t> </w:t>
      </w:r>
      <w:r>
        <w:rPr>
          <w:spacing w:val="-2"/>
        </w:rPr>
        <w:t>or</w:t>
      </w:r>
      <w:r>
        <w:rPr>
          <w:spacing w:val="-7"/>
        </w:rPr>
        <w:t> </w:t>
      </w:r>
      <w:r>
        <w:rPr>
          <w:spacing w:val="-2"/>
        </w:rPr>
        <w:t>procure</w:t>
      </w:r>
      <w:r>
        <w:rPr>
          <w:spacing w:val="-7"/>
        </w:rPr>
        <w:t> </w:t>
      </w:r>
      <w:r>
        <w:rPr>
          <w:spacing w:val="-2"/>
        </w:rPr>
        <w:t>from</w:t>
      </w:r>
      <w:r>
        <w:rPr>
          <w:spacing w:val="-7"/>
        </w:rPr>
        <w:t> </w:t>
      </w:r>
      <w:r>
        <w:rPr>
          <w:spacing w:val="-2"/>
        </w:rPr>
        <w:t>third</w:t>
      </w:r>
      <w:r>
        <w:rPr>
          <w:spacing w:val="-7"/>
        </w:rPr>
        <w:t> </w:t>
      </w:r>
      <w:r>
        <w:rPr>
          <w:spacing w:val="-2"/>
        </w:rPr>
        <w:t>parties</w:t>
      </w:r>
      <w:r>
        <w:rPr>
          <w:spacing w:val="-7"/>
        </w:rPr>
        <w:t> </w:t>
      </w:r>
      <w:r>
        <w:rPr>
          <w:spacing w:val="-2"/>
        </w:rPr>
        <w:t>may</w:t>
      </w:r>
      <w:r>
        <w:rPr>
          <w:spacing w:val="-7"/>
        </w:rPr>
        <w:t> </w:t>
      </w:r>
      <w:r>
        <w:rPr>
          <w:spacing w:val="-2"/>
        </w:rPr>
        <w:t>contain</w:t>
      </w:r>
      <w:r>
        <w:rPr>
          <w:spacing w:val="-7"/>
        </w:rPr>
        <w:t> </w:t>
      </w:r>
      <w:r>
        <w:rPr>
          <w:spacing w:val="-2"/>
        </w:rPr>
        <w:t>defects</w:t>
      </w:r>
      <w:r>
        <w:rPr>
          <w:spacing w:val="-6"/>
        </w:rPr>
        <w:t> </w:t>
      </w:r>
      <w:r>
        <w:rPr>
          <w:spacing w:val="-2"/>
        </w:rPr>
        <w:t>in</w:t>
      </w:r>
      <w:r>
        <w:rPr>
          <w:spacing w:val="-7"/>
        </w:rPr>
        <w:t> </w:t>
      </w:r>
      <w:r>
        <w:rPr>
          <w:spacing w:val="-2"/>
        </w:rPr>
        <w:t>design</w:t>
      </w:r>
      <w:r>
        <w:rPr>
          <w:spacing w:val="-7"/>
        </w:rPr>
        <w:t> </w:t>
      </w:r>
      <w:r>
        <w:rPr>
          <w:spacing w:val="-2"/>
        </w:rPr>
        <w:t>or</w:t>
      </w:r>
      <w:r>
        <w:rPr>
          <w:spacing w:val="-7"/>
        </w:rPr>
        <w:t> </w:t>
      </w:r>
      <w:r>
        <w:rPr>
          <w:spacing w:val="-2"/>
        </w:rPr>
        <w:t>manufacture,</w:t>
      </w:r>
      <w:r>
        <w:rPr>
          <w:spacing w:val="-7"/>
        </w:rPr>
        <w:t> </w:t>
      </w:r>
      <w:r>
        <w:rPr>
          <w:spacing w:val="-2"/>
        </w:rPr>
        <w:t>including </w:t>
      </w:r>
      <w:r>
        <w:rPr/>
        <w:t>bugs</w:t>
      </w:r>
      <w:r>
        <w:rPr>
          <w:spacing w:val="-6"/>
        </w:rPr>
        <w:t> </w:t>
      </w:r>
      <w:r>
        <w:rPr/>
        <w:t>and</w:t>
      </w:r>
      <w:r>
        <w:rPr>
          <w:spacing w:val="-6"/>
        </w:rPr>
        <w:t> </w:t>
      </w:r>
      <w:r>
        <w:rPr/>
        <w:t>other</w:t>
      </w:r>
      <w:r>
        <w:rPr>
          <w:spacing w:val="-6"/>
        </w:rPr>
        <w:t> </w:t>
      </w:r>
      <w:r>
        <w:rPr/>
        <w:t>problems</w:t>
      </w:r>
      <w:r>
        <w:rPr>
          <w:spacing w:val="-5"/>
        </w:rPr>
        <w:t> </w:t>
      </w:r>
      <w:r>
        <w:rPr/>
        <w:t>that</w:t>
      </w:r>
      <w:r>
        <w:rPr>
          <w:spacing w:val="-6"/>
        </w:rPr>
        <w:t> </w:t>
      </w:r>
      <w:r>
        <w:rPr/>
        <w:t>could</w:t>
      </w:r>
      <w:r>
        <w:rPr>
          <w:spacing w:val="-6"/>
        </w:rPr>
        <w:t> </w:t>
      </w:r>
      <w:r>
        <w:rPr/>
        <w:t>unexpectedly</w:t>
      </w:r>
      <w:r>
        <w:rPr>
          <w:spacing w:val="-6"/>
        </w:rPr>
        <w:t> </w:t>
      </w:r>
      <w:r>
        <w:rPr/>
        <w:t>compromise</w:t>
      </w:r>
      <w:r>
        <w:rPr>
          <w:spacing w:val="-6"/>
        </w:rPr>
        <w:t> </w:t>
      </w:r>
      <w:r>
        <w:rPr/>
        <w:t>the</w:t>
      </w:r>
      <w:r>
        <w:rPr>
          <w:spacing w:val="-6"/>
        </w:rPr>
        <w:t> </w:t>
      </w:r>
      <w:r>
        <w:rPr/>
        <w:t>security</w:t>
      </w:r>
      <w:r>
        <w:rPr>
          <w:spacing w:val="-6"/>
        </w:rPr>
        <w:t> </w:t>
      </w:r>
      <w:r>
        <w:rPr/>
        <w:t>of</w:t>
      </w:r>
      <w:r>
        <w:rPr>
          <w:spacing w:val="-6"/>
        </w:rPr>
        <w:t> </w:t>
      </w:r>
      <w:r>
        <w:rPr/>
        <w:t>the</w:t>
      </w:r>
      <w:r>
        <w:rPr>
          <w:spacing w:val="-6"/>
        </w:rPr>
        <w:t> </w:t>
      </w:r>
      <w:r>
        <w:rPr/>
        <w:t>system</w:t>
      </w:r>
      <w:r>
        <w:rPr>
          <w:spacing w:val="-6"/>
        </w:rPr>
        <w:t> </w:t>
      </w:r>
      <w:r>
        <w:rPr/>
        <w:t>or</w:t>
      </w:r>
      <w:r>
        <w:rPr>
          <w:spacing w:val="-6"/>
        </w:rPr>
        <w:t> </w:t>
      </w:r>
      <w:r>
        <w:rPr/>
        <w:t>impair</w:t>
      </w:r>
      <w:r>
        <w:rPr>
          <w:spacing w:val="-6"/>
        </w:rPr>
        <w:t> </w:t>
      </w:r>
      <w:r>
        <w:rPr/>
        <w:t>a</w:t>
      </w:r>
      <w:r>
        <w:rPr>
          <w:spacing w:val="-6"/>
        </w:rPr>
        <w:t> </w:t>
      </w:r>
      <w:r>
        <w:rPr/>
        <w:t>customer’s</w:t>
      </w:r>
      <w:r>
        <w:rPr>
          <w:spacing w:val="-6"/>
        </w:rPr>
        <w:t> </w:t>
      </w:r>
      <w:r>
        <w:rPr/>
        <w:t>ability</w:t>
      </w:r>
      <w:r>
        <w:rPr>
          <w:spacing w:val="-6"/>
        </w:rPr>
        <w:t> </w:t>
      </w:r>
      <w:r>
        <w:rPr/>
        <w:t>to</w:t>
      </w:r>
      <w:r>
        <w:rPr>
          <w:spacing w:val="-6"/>
        </w:rPr>
        <w:t> </w:t>
      </w:r>
      <w:r>
        <w:rPr/>
        <w:t>operate or</w:t>
      </w:r>
      <w:r>
        <w:rPr>
          <w:spacing w:val="-10"/>
        </w:rPr>
        <w:t> </w:t>
      </w:r>
      <w:r>
        <w:rPr/>
        <w:t>use</w:t>
      </w:r>
      <w:r>
        <w:rPr>
          <w:spacing w:val="-10"/>
        </w:rPr>
        <w:t> </w:t>
      </w:r>
      <w:r>
        <w:rPr/>
        <w:t>our</w:t>
      </w:r>
      <w:r>
        <w:rPr>
          <w:spacing w:val="-10"/>
        </w:rPr>
        <w:t> </w:t>
      </w:r>
      <w:r>
        <w:rPr/>
        <w:t>products.</w:t>
      </w:r>
      <w:r>
        <w:rPr>
          <w:spacing w:val="-12"/>
        </w:rPr>
        <w:t> </w:t>
      </w:r>
      <w:r>
        <w:rPr/>
        <w:t>The</w:t>
      </w:r>
      <w:r>
        <w:rPr>
          <w:spacing w:val="-10"/>
        </w:rPr>
        <w:t> </w:t>
      </w:r>
      <w:r>
        <w:rPr/>
        <w:t>costs</w:t>
      </w:r>
      <w:r>
        <w:rPr>
          <w:spacing w:val="-10"/>
        </w:rPr>
        <w:t> </w:t>
      </w:r>
      <w:r>
        <w:rPr/>
        <w:t>to</w:t>
      </w:r>
      <w:r>
        <w:rPr>
          <w:spacing w:val="-10"/>
        </w:rPr>
        <w:t> </w:t>
      </w:r>
      <w:r>
        <w:rPr/>
        <w:t>prevent,</w:t>
      </w:r>
      <w:r>
        <w:rPr>
          <w:spacing w:val="-10"/>
        </w:rPr>
        <w:t> </w:t>
      </w:r>
      <w:r>
        <w:rPr/>
        <w:t>eliminate,</w:t>
      </w:r>
      <w:r>
        <w:rPr>
          <w:spacing w:val="-10"/>
        </w:rPr>
        <w:t> </w:t>
      </w:r>
      <w:r>
        <w:rPr/>
        <w:t>notify</w:t>
      </w:r>
      <w:r>
        <w:rPr>
          <w:spacing w:val="-10"/>
        </w:rPr>
        <w:t> </w:t>
      </w:r>
      <w:r>
        <w:rPr/>
        <w:t>affected</w:t>
      </w:r>
      <w:r>
        <w:rPr>
          <w:spacing w:val="-10"/>
        </w:rPr>
        <w:t> </w:t>
      </w:r>
      <w:r>
        <w:rPr/>
        <w:t>parties</w:t>
      </w:r>
      <w:r>
        <w:rPr>
          <w:spacing w:val="-10"/>
        </w:rPr>
        <w:t> </w:t>
      </w:r>
      <w:r>
        <w:rPr/>
        <w:t>of,</w:t>
      </w:r>
      <w:r>
        <w:rPr>
          <w:spacing w:val="-10"/>
        </w:rPr>
        <w:t> </w:t>
      </w:r>
      <w:r>
        <w:rPr/>
        <w:t>or</w:t>
      </w:r>
      <w:r>
        <w:rPr>
          <w:spacing w:val="-10"/>
        </w:rPr>
        <w:t> </w:t>
      </w:r>
      <w:r>
        <w:rPr/>
        <w:t>alleviate</w:t>
      </w:r>
      <w:r>
        <w:rPr>
          <w:spacing w:val="-10"/>
        </w:rPr>
        <w:t> </w:t>
      </w:r>
      <w:r>
        <w:rPr/>
        <w:t>cyber-</w:t>
      </w:r>
      <w:r>
        <w:rPr>
          <w:spacing w:val="-10"/>
        </w:rPr>
        <w:t> </w:t>
      </w:r>
      <w:r>
        <w:rPr/>
        <w:t>or</w:t>
      </w:r>
      <w:r>
        <w:rPr>
          <w:spacing w:val="-10"/>
        </w:rPr>
        <w:t> </w:t>
      </w:r>
      <w:r>
        <w:rPr/>
        <w:t>other</w:t>
      </w:r>
      <w:r>
        <w:rPr>
          <w:spacing w:val="-10"/>
        </w:rPr>
        <w:t> </w:t>
      </w:r>
      <w:r>
        <w:rPr/>
        <w:t>security</w:t>
      </w:r>
      <w:r>
        <w:rPr>
          <w:spacing w:val="-10"/>
        </w:rPr>
        <w:t> </w:t>
      </w:r>
      <w:r>
        <w:rPr/>
        <w:t>problems,</w:t>
      </w:r>
      <w:r>
        <w:rPr>
          <w:spacing w:val="-10"/>
        </w:rPr>
        <w:t> </w:t>
      </w:r>
      <w:r>
        <w:rPr/>
        <w:t>bugs, viruses,</w:t>
      </w:r>
      <w:r>
        <w:rPr>
          <w:spacing w:val="-13"/>
        </w:rPr>
        <w:t> </w:t>
      </w:r>
      <w:r>
        <w:rPr/>
        <w:t>worms,</w:t>
      </w:r>
      <w:r>
        <w:rPr>
          <w:spacing w:val="-12"/>
        </w:rPr>
        <w:t> </w:t>
      </w:r>
      <w:r>
        <w:rPr/>
        <w:t>malicious</w:t>
      </w:r>
      <w:r>
        <w:rPr>
          <w:spacing w:val="-13"/>
        </w:rPr>
        <w:t> </w:t>
      </w:r>
      <w:r>
        <w:rPr/>
        <w:t>software</w:t>
      </w:r>
      <w:r>
        <w:rPr>
          <w:spacing w:val="-12"/>
        </w:rPr>
        <w:t> </w:t>
      </w:r>
      <w:r>
        <w:rPr/>
        <w:t>programs</w:t>
      </w:r>
      <w:r>
        <w:rPr>
          <w:spacing w:val="-13"/>
        </w:rPr>
        <w:t> </w:t>
      </w:r>
      <w:r>
        <w:rPr/>
        <w:t>and</w:t>
      </w:r>
      <w:r>
        <w:rPr>
          <w:spacing w:val="-12"/>
        </w:rPr>
        <w:t> </w:t>
      </w:r>
      <w:r>
        <w:rPr/>
        <w:t>security</w:t>
      </w:r>
      <w:r>
        <w:rPr>
          <w:spacing w:val="-13"/>
        </w:rPr>
        <w:t> </w:t>
      </w:r>
      <w:r>
        <w:rPr/>
        <w:t>vulnerabilities</w:t>
      </w:r>
      <w:r>
        <w:rPr>
          <w:spacing w:val="-12"/>
        </w:rPr>
        <w:t> </w:t>
      </w:r>
      <w:r>
        <w:rPr/>
        <w:t>are</w:t>
      </w:r>
      <w:r>
        <w:rPr>
          <w:spacing w:val="-13"/>
        </w:rPr>
        <w:t> </w:t>
      </w:r>
      <w:r>
        <w:rPr/>
        <w:t>significant,</w:t>
      </w:r>
      <w:r>
        <w:rPr>
          <w:spacing w:val="-12"/>
        </w:rPr>
        <w:t> </w:t>
      </w:r>
      <w:r>
        <w:rPr/>
        <w:t>and</w:t>
      </w:r>
      <w:r>
        <w:rPr>
          <w:spacing w:val="-13"/>
        </w:rPr>
        <w:t> </w:t>
      </w:r>
      <w:r>
        <w:rPr/>
        <w:t>our</w:t>
      </w:r>
      <w:r>
        <w:rPr>
          <w:spacing w:val="-12"/>
        </w:rPr>
        <w:t> </w:t>
      </w:r>
      <w:r>
        <w:rPr/>
        <w:t>efforts</w:t>
      </w:r>
      <w:r>
        <w:rPr>
          <w:spacing w:val="-13"/>
        </w:rPr>
        <w:t> </w:t>
      </w:r>
      <w:r>
        <w:rPr/>
        <w:t>to</w:t>
      </w:r>
      <w:r>
        <w:rPr>
          <w:spacing w:val="-12"/>
        </w:rPr>
        <w:t> </w:t>
      </w:r>
      <w:r>
        <w:rPr/>
        <w:t>address</w:t>
      </w:r>
      <w:r>
        <w:rPr>
          <w:spacing w:val="-13"/>
        </w:rPr>
        <w:t> </w:t>
      </w:r>
      <w:r>
        <w:rPr/>
        <w:t>these</w:t>
      </w:r>
      <w:r>
        <w:rPr>
          <w:spacing w:val="-12"/>
        </w:rPr>
        <w:t> </w:t>
      </w:r>
      <w:r>
        <w:rPr/>
        <w:t>problems may not be successful or may be delayed and could result in interruptions, delays, cessation of service and loss of existing or potential customers. It is impossible to predict the extent, frequency or impact these problems may have on us.</w:t>
      </w:r>
    </w:p>
    <w:p>
      <w:pPr>
        <w:pStyle w:val="BodyText"/>
        <w:spacing w:line="249" w:lineRule="auto" w:before="130"/>
        <w:ind w:left="210" w:right="247" w:firstLine="720"/>
        <w:jc w:val="both"/>
      </w:pPr>
      <w:r>
        <w:rPr>
          <w:spacing w:val="-2"/>
        </w:rPr>
        <w:t>Outside</w:t>
      </w:r>
      <w:r>
        <w:rPr>
          <w:spacing w:val="-10"/>
        </w:rPr>
        <w:t> </w:t>
      </w:r>
      <w:r>
        <w:rPr>
          <w:spacing w:val="-2"/>
        </w:rPr>
        <w:t>parties</w:t>
      </w:r>
      <w:r>
        <w:rPr>
          <w:spacing w:val="-10"/>
        </w:rPr>
        <w:t> </w:t>
      </w:r>
      <w:r>
        <w:rPr>
          <w:spacing w:val="-2"/>
        </w:rPr>
        <w:t>have</w:t>
      </w:r>
      <w:r>
        <w:rPr>
          <w:spacing w:val="-10"/>
        </w:rPr>
        <w:t> </w:t>
      </w:r>
      <w:r>
        <w:rPr>
          <w:spacing w:val="-2"/>
        </w:rPr>
        <w:t>in</w:t>
      </w:r>
      <w:r>
        <w:rPr>
          <w:spacing w:val="-10"/>
        </w:rPr>
        <w:t> </w:t>
      </w:r>
      <w:r>
        <w:rPr>
          <w:spacing w:val="-2"/>
        </w:rPr>
        <w:t>the</w:t>
      </w:r>
      <w:r>
        <w:rPr>
          <w:spacing w:val="-10"/>
        </w:rPr>
        <w:t> </w:t>
      </w:r>
      <w:r>
        <w:rPr>
          <w:spacing w:val="-2"/>
        </w:rPr>
        <w:t>past</w:t>
      </w:r>
      <w:r>
        <w:rPr>
          <w:spacing w:val="-10"/>
        </w:rPr>
        <w:t> </w:t>
      </w:r>
      <w:r>
        <w:rPr>
          <w:spacing w:val="-2"/>
        </w:rPr>
        <w:t>and</w:t>
      </w:r>
      <w:r>
        <w:rPr>
          <w:spacing w:val="-10"/>
        </w:rPr>
        <w:t> </w:t>
      </w:r>
      <w:r>
        <w:rPr>
          <w:spacing w:val="-2"/>
        </w:rPr>
        <w:t>may</w:t>
      </w:r>
      <w:r>
        <w:rPr>
          <w:spacing w:val="-10"/>
        </w:rPr>
        <w:t> </w:t>
      </w:r>
      <w:r>
        <w:rPr>
          <w:spacing w:val="-2"/>
        </w:rPr>
        <w:t>in</w:t>
      </w:r>
      <w:r>
        <w:rPr>
          <w:spacing w:val="-10"/>
        </w:rPr>
        <w:t> </w:t>
      </w:r>
      <w:r>
        <w:rPr>
          <w:spacing w:val="-2"/>
        </w:rPr>
        <w:t>the</w:t>
      </w:r>
      <w:r>
        <w:rPr>
          <w:spacing w:val="-10"/>
        </w:rPr>
        <w:t> </w:t>
      </w:r>
      <w:r>
        <w:rPr>
          <w:spacing w:val="-2"/>
        </w:rPr>
        <w:t>future</w:t>
      </w:r>
      <w:r>
        <w:rPr>
          <w:spacing w:val="-10"/>
        </w:rPr>
        <w:t> </w:t>
      </w:r>
      <w:r>
        <w:rPr>
          <w:spacing w:val="-2"/>
        </w:rPr>
        <w:t>attempt</w:t>
      </w:r>
      <w:r>
        <w:rPr>
          <w:spacing w:val="-10"/>
        </w:rPr>
        <w:t> </w:t>
      </w:r>
      <w:r>
        <w:rPr>
          <w:spacing w:val="-2"/>
        </w:rPr>
        <w:t>to</w:t>
      </w:r>
      <w:r>
        <w:rPr>
          <w:spacing w:val="-10"/>
        </w:rPr>
        <w:t> </w:t>
      </w:r>
      <w:r>
        <w:rPr>
          <w:spacing w:val="-2"/>
        </w:rPr>
        <w:t>fraudulently</w:t>
      </w:r>
      <w:r>
        <w:rPr>
          <w:spacing w:val="-10"/>
        </w:rPr>
        <w:t> </w:t>
      </w:r>
      <w:r>
        <w:rPr>
          <w:spacing w:val="-2"/>
        </w:rPr>
        <w:t>induce</w:t>
      </w:r>
      <w:r>
        <w:rPr>
          <w:spacing w:val="-10"/>
        </w:rPr>
        <w:t> </w:t>
      </w:r>
      <w:r>
        <w:rPr>
          <w:spacing w:val="-2"/>
        </w:rPr>
        <w:t>our</w:t>
      </w:r>
      <w:r>
        <w:rPr>
          <w:spacing w:val="-10"/>
        </w:rPr>
        <w:t> </w:t>
      </w:r>
      <w:r>
        <w:rPr>
          <w:spacing w:val="-2"/>
        </w:rPr>
        <w:t>employees</w:t>
      </w:r>
      <w:r>
        <w:rPr>
          <w:spacing w:val="-10"/>
        </w:rPr>
        <w:t> </w:t>
      </w:r>
      <w:r>
        <w:rPr>
          <w:spacing w:val="-2"/>
        </w:rPr>
        <w:t>or</w:t>
      </w:r>
      <w:r>
        <w:rPr>
          <w:spacing w:val="-10"/>
        </w:rPr>
        <w:t> </w:t>
      </w:r>
      <w:r>
        <w:rPr>
          <w:spacing w:val="-2"/>
        </w:rPr>
        <w:t>users</w:t>
      </w:r>
      <w:r>
        <w:rPr>
          <w:spacing w:val="-10"/>
        </w:rPr>
        <w:t> </w:t>
      </w:r>
      <w:r>
        <w:rPr>
          <w:spacing w:val="-2"/>
        </w:rPr>
        <w:t>of</w:t>
      </w:r>
      <w:r>
        <w:rPr>
          <w:spacing w:val="-10"/>
        </w:rPr>
        <w:t> </w:t>
      </w:r>
      <w:r>
        <w:rPr>
          <w:spacing w:val="-2"/>
        </w:rPr>
        <w:t>our</w:t>
      </w:r>
      <w:r>
        <w:rPr>
          <w:spacing w:val="-10"/>
        </w:rPr>
        <w:t> </w:t>
      </w:r>
      <w:r>
        <w:rPr>
          <w:spacing w:val="-2"/>
        </w:rPr>
        <w:t>products </w:t>
      </w:r>
      <w:r>
        <w:rPr/>
        <w:t>or</w:t>
      </w:r>
      <w:r>
        <w:rPr>
          <w:spacing w:val="-3"/>
        </w:rPr>
        <w:t> </w:t>
      </w:r>
      <w:r>
        <w:rPr/>
        <w:t>services</w:t>
      </w:r>
      <w:r>
        <w:rPr>
          <w:spacing w:val="-3"/>
        </w:rPr>
        <w:t> </w:t>
      </w:r>
      <w:r>
        <w:rPr/>
        <w:t>to</w:t>
      </w:r>
      <w:r>
        <w:rPr>
          <w:spacing w:val="-3"/>
        </w:rPr>
        <w:t> </w:t>
      </w:r>
      <w:r>
        <w:rPr/>
        <w:t>disclose</w:t>
      </w:r>
      <w:r>
        <w:rPr>
          <w:spacing w:val="-3"/>
        </w:rPr>
        <w:t> </w:t>
      </w:r>
      <w:r>
        <w:rPr/>
        <w:t>sensitive</w:t>
      </w:r>
      <w:r>
        <w:rPr>
          <w:spacing w:val="-3"/>
        </w:rPr>
        <w:t> </w:t>
      </w:r>
      <w:r>
        <w:rPr/>
        <w:t>information</w:t>
      </w:r>
      <w:r>
        <w:rPr>
          <w:spacing w:val="-3"/>
        </w:rPr>
        <w:t> </w:t>
      </w:r>
      <w:r>
        <w:rPr/>
        <w:t>via</w:t>
      </w:r>
      <w:r>
        <w:rPr>
          <w:spacing w:val="-3"/>
        </w:rPr>
        <w:t> </w:t>
      </w:r>
      <w:r>
        <w:rPr/>
        <w:t>illegal</w:t>
      </w:r>
      <w:r>
        <w:rPr>
          <w:spacing w:val="-3"/>
        </w:rPr>
        <w:t> </w:t>
      </w:r>
      <w:r>
        <w:rPr/>
        <w:t>electronic</w:t>
      </w:r>
      <w:r>
        <w:rPr>
          <w:spacing w:val="-3"/>
        </w:rPr>
        <w:t> </w:t>
      </w:r>
      <w:r>
        <w:rPr/>
        <w:t>spamming,</w:t>
      </w:r>
      <w:r>
        <w:rPr>
          <w:spacing w:val="-3"/>
        </w:rPr>
        <w:t> </w:t>
      </w:r>
      <w:r>
        <w:rPr/>
        <w:t>phishing</w:t>
      </w:r>
      <w:r>
        <w:rPr>
          <w:spacing w:val="-3"/>
        </w:rPr>
        <w:t> </w:t>
      </w:r>
      <w:r>
        <w:rPr/>
        <w:t>or</w:t>
      </w:r>
      <w:r>
        <w:rPr>
          <w:spacing w:val="-3"/>
        </w:rPr>
        <w:t> </w:t>
      </w:r>
      <w:r>
        <w:rPr/>
        <w:t>other</w:t>
      </w:r>
      <w:r>
        <w:rPr>
          <w:spacing w:val="-3"/>
        </w:rPr>
        <w:t> </w:t>
      </w:r>
      <w:r>
        <w:rPr/>
        <w:t>tactics.</w:t>
      </w:r>
      <w:r>
        <w:rPr>
          <w:spacing w:val="-3"/>
        </w:rPr>
        <w:t> </w:t>
      </w:r>
      <w:r>
        <w:rPr/>
        <w:t>Unauthorized</w:t>
      </w:r>
      <w:r>
        <w:rPr>
          <w:spacing w:val="-3"/>
        </w:rPr>
        <w:t> </w:t>
      </w:r>
      <w:r>
        <w:rPr/>
        <w:t>parties</w:t>
      </w:r>
      <w:r>
        <w:rPr>
          <w:spacing w:val="-3"/>
        </w:rPr>
        <w:t> </w:t>
      </w:r>
      <w:r>
        <w:rPr/>
        <w:t>may also</w:t>
      </w:r>
      <w:r>
        <w:rPr>
          <w:spacing w:val="-7"/>
        </w:rPr>
        <w:t> </w:t>
      </w:r>
      <w:r>
        <w:rPr/>
        <w:t>attempt</w:t>
      </w:r>
      <w:r>
        <w:rPr>
          <w:spacing w:val="-7"/>
        </w:rPr>
        <w:t> </w:t>
      </w:r>
      <w:r>
        <w:rPr/>
        <w:t>to</w:t>
      </w:r>
      <w:r>
        <w:rPr>
          <w:spacing w:val="-7"/>
        </w:rPr>
        <w:t> </w:t>
      </w:r>
      <w:r>
        <w:rPr/>
        <w:t>gain</w:t>
      </w:r>
      <w:r>
        <w:rPr>
          <w:spacing w:val="-7"/>
        </w:rPr>
        <w:t> </w:t>
      </w:r>
      <w:r>
        <w:rPr/>
        <w:t>physical</w:t>
      </w:r>
      <w:r>
        <w:rPr>
          <w:spacing w:val="-7"/>
        </w:rPr>
        <w:t> </w:t>
      </w:r>
      <w:r>
        <w:rPr/>
        <w:t>access</w:t>
      </w:r>
      <w:r>
        <w:rPr>
          <w:spacing w:val="-6"/>
        </w:rPr>
        <w:t> </w:t>
      </w:r>
      <w:r>
        <w:rPr/>
        <w:t>to</w:t>
      </w:r>
      <w:r>
        <w:rPr>
          <w:spacing w:val="-7"/>
        </w:rPr>
        <w:t> </w:t>
      </w:r>
      <w:r>
        <w:rPr/>
        <w:t>our</w:t>
      </w:r>
      <w:r>
        <w:rPr>
          <w:spacing w:val="-7"/>
        </w:rPr>
        <w:t> </w:t>
      </w:r>
      <w:r>
        <w:rPr/>
        <w:t>facilities</w:t>
      </w:r>
      <w:r>
        <w:rPr>
          <w:spacing w:val="-6"/>
        </w:rPr>
        <w:t> </w:t>
      </w:r>
      <w:r>
        <w:rPr/>
        <w:t>in</w:t>
      </w:r>
      <w:r>
        <w:rPr>
          <w:spacing w:val="-7"/>
        </w:rPr>
        <w:t> </w:t>
      </w:r>
      <w:r>
        <w:rPr/>
        <w:t>order</w:t>
      </w:r>
      <w:r>
        <w:rPr>
          <w:spacing w:val="-7"/>
        </w:rPr>
        <w:t> </w:t>
      </w:r>
      <w:r>
        <w:rPr/>
        <w:t>to</w:t>
      </w:r>
      <w:r>
        <w:rPr>
          <w:spacing w:val="-7"/>
        </w:rPr>
        <w:t> </w:t>
      </w:r>
      <w:r>
        <w:rPr/>
        <w:t>infiltrate</w:t>
      </w:r>
      <w:r>
        <w:rPr>
          <w:spacing w:val="-7"/>
        </w:rPr>
        <w:t> </w:t>
      </w:r>
      <w:r>
        <w:rPr/>
        <w:t>our</w:t>
      </w:r>
      <w:r>
        <w:rPr>
          <w:spacing w:val="-7"/>
        </w:rPr>
        <w:t> </w:t>
      </w:r>
      <w:r>
        <w:rPr/>
        <w:t>information</w:t>
      </w:r>
      <w:r>
        <w:rPr>
          <w:spacing w:val="-7"/>
        </w:rPr>
        <w:t> </w:t>
      </w:r>
      <w:r>
        <w:rPr/>
        <w:t>systems</w:t>
      </w:r>
      <w:r>
        <w:rPr>
          <w:spacing w:val="-6"/>
        </w:rPr>
        <w:t> </w:t>
      </w:r>
      <w:r>
        <w:rPr/>
        <w:t>or</w:t>
      </w:r>
      <w:r>
        <w:rPr>
          <w:spacing w:val="-7"/>
        </w:rPr>
        <w:t> </w:t>
      </w:r>
      <w:r>
        <w:rPr/>
        <w:t>attempt</w:t>
      </w:r>
      <w:r>
        <w:rPr>
          <w:spacing w:val="-7"/>
        </w:rPr>
        <w:t> </w:t>
      </w:r>
      <w:r>
        <w:rPr/>
        <w:t>to</w:t>
      </w:r>
      <w:r>
        <w:rPr>
          <w:spacing w:val="-7"/>
        </w:rPr>
        <w:t> </w:t>
      </w:r>
      <w:r>
        <w:rPr/>
        <w:t>gain</w:t>
      </w:r>
      <w:r>
        <w:rPr>
          <w:spacing w:val="-7"/>
        </w:rPr>
        <w:t> </w:t>
      </w:r>
      <w:r>
        <w:rPr/>
        <w:t>logical</w:t>
      </w:r>
      <w:r>
        <w:rPr>
          <w:spacing w:val="-7"/>
        </w:rPr>
        <w:t> </w:t>
      </w:r>
      <w:r>
        <w:rPr/>
        <w:t>access </w:t>
      </w:r>
      <w:r>
        <w:rPr>
          <w:spacing w:val="-2"/>
        </w:rPr>
        <w:t>to</w:t>
      </w:r>
      <w:r>
        <w:rPr>
          <w:spacing w:val="-11"/>
        </w:rPr>
        <w:t> </w:t>
      </w:r>
      <w:r>
        <w:rPr>
          <w:spacing w:val="-2"/>
        </w:rPr>
        <w:t>our</w:t>
      </w:r>
      <w:r>
        <w:rPr>
          <w:spacing w:val="-8"/>
        </w:rPr>
        <w:t> </w:t>
      </w:r>
      <w:r>
        <w:rPr>
          <w:spacing w:val="-2"/>
        </w:rPr>
        <w:t>products,</w:t>
      </w:r>
      <w:r>
        <w:rPr>
          <w:spacing w:val="-9"/>
        </w:rPr>
        <w:t> </w:t>
      </w:r>
      <w:r>
        <w:rPr>
          <w:spacing w:val="-2"/>
        </w:rPr>
        <w:t>services,</w:t>
      </w:r>
      <w:r>
        <w:rPr>
          <w:spacing w:val="-9"/>
        </w:rPr>
        <w:t> </w:t>
      </w:r>
      <w:r>
        <w:rPr>
          <w:spacing w:val="-2"/>
        </w:rPr>
        <w:t>or</w:t>
      </w:r>
      <w:r>
        <w:rPr>
          <w:spacing w:val="-9"/>
        </w:rPr>
        <w:t> </w:t>
      </w:r>
      <w:r>
        <w:rPr>
          <w:spacing w:val="-2"/>
        </w:rPr>
        <w:t>information</w:t>
      </w:r>
      <w:r>
        <w:rPr>
          <w:spacing w:val="-9"/>
        </w:rPr>
        <w:t> </w:t>
      </w:r>
      <w:r>
        <w:rPr>
          <w:spacing w:val="-2"/>
        </w:rPr>
        <w:t>systems</w:t>
      </w:r>
      <w:r>
        <w:rPr>
          <w:spacing w:val="-9"/>
        </w:rPr>
        <w:t> </w:t>
      </w:r>
      <w:r>
        <w:rPr>
          <w:spacing w:val="-2"/>
        </w:rPr>
        <w:t>for</w:t>
      </w:r>
      <w:r>
        <w:rPr>
          <w:spacing w:val="-9"/>
        </w:rPr>
        <w:t> </w:t>
      </w:r>
      <w:r>
        <w:rPr>
          <w:spacing w:val="-2"/>
        </w:rPr>
        <w:t>the</w:t>
      </w:r>
      <w:r>
        <w:rPr>
          <w:spacing w:val="-9"/>
        </w:rPr>
        <w:t> </w:t>
      </w:r>
      <w:r>
        <w:rPr>
          <w:spacing w:val="-2"/>
        </w:rPr>
        <w:t>purpose</w:t>
      </w:r>
      <w:r>
        <w:rPr>
          <w:spacing w:val="-9"/>
        </w:rPr>
        <w:t> </w:t>
      </w:r>
      <w:r>
        <w:rPr>
          <w:spacing w:val="-2"/>
        </w:rPr>
        <w:t>of</w:t>
      </w:r>
      <w:r>
        <w:rPr>
          <w:spacing w:val="-9"/>
        </w:rPr>
        <w:t> </w:t>
      </w:r>
      <w:r>
        <w:rPr>
          <w:spacing w:val="-2"/>
        </w:rPr>
        <w:t>exfiltrating</w:t>
      </w:r>
      <w:r>
        <w:rPr>
          <w:spacing w:val="-9"/>
        </w:rPr>
        <w:t> </w:t>
      </w:r>
      <w:r>
        <w:rPr>
          <w:spacing w:val="-2"/>
        </w:rPr>
        <w:t>content</w:t>
      </w:r>
      <w:r>
        <w:rPr>
          <w:spacing w:val="-9"/>
        </w:rPr>
        <w:t> </w:t>
      </w:r>
      <w:r>
        <w:rPr>
          <w:spacing w:val="-2"/>
        </w:rPr>
        <w:t>and</w:t>
      </w:r>
      <w:r>
        <w:rPr>
          <w:spacing w:val="-9"/>
        </w:rPr>
        <w:t> </w:t>
      </w:r>
      <w:r>
        <w:rPr>
          <w:spacing w:val="-2"/>
        </w:rPr>
        <w:t>data.</w:t>
      </w:r>
      <w:r>
        <w:rPr>
          <w:spacing w:val="-11"/>
        </w:rPr>
        <w:t> </w:t>
      </w:r>
      <w:r>
        <w:rPr>
          <w:spacing w:val="-2"/>
        </w:rPr>
        <w:t>These</w:t>
      </w:r>
      <w:r>
        <w:rPr>
          <w:spacing w:val="-8"/>
        </w:rPr>
        <w:t> </w:t>
      </w:r>
      <w:r>
        <w:rPr>
          <w:spacing w:val="-2"/>
        </w:rPr>
        <w:t>actual</w:t>
      </w:r>
      <w:r>
        <w:rPr>
          <w:spacing w:val="-9"/>
        </w:rPr>
        <w:t> </w:t>
      </w:r>
      <w:r>
        <w:rPr>
          <w:spacing w:val="-2"/>
        </w:rPr>
        <w:t>and</w:t>
      </w:r>
      <w:r>
        <w:rPr>
          <w:spacing w:val="-9"/>
        </w:rPr>
        <w:t> </w:t>
      </w:r>
      <w:r>
        <w:rPr>
          <w:spacing w:val="-2"/>
        </w:rPr>
        <w:t>potential</w:t>
      </w:r>
      <w:r>
        <w:rPr>
          <w:spacing w:val="-10"/>
        </w:rPr>
        <w:t> </w:t>
      </w:r>
      <w:r>
        <w:rPr>
          <w:spacing w:val="-2"/>
        </w:rPr>
        <w:t>breaches </w:t>
      </w:r>
      <w:r>
        <w:rPr/>
        <w:t>of</w:t>
      </w:r>
      <w:r>
        <w:rPr>
          <w:spacing w:val="-5"/>
        </w:rPr>
        <w:t> </w:t>
      </w:r>
      <w:r>
        <w:rPr/>
        <w:t>our</w:t>
      </w:r>
      <w:r>
        <w:rPr>
          <w:spacing w:val="-5"/>
        </w:rPr>
        <w:t> </w:t>
      </w:r>
      <w:r>
        <w:rPr/>
        <w:t>security</w:t>
      </w:r>
      <w:r>
        <w:rPr>
          <w:spacing w:val="-5"/>
        </w:rPr>
        <w:t> </w:t>
      </w:r>
      <w:r>
        <w:rPr/>
        <w:t>measures</w:t>
      </w:r>
      <w:r>
        <w:rPr>
          <w:spacing w:val="-5"/>
        </w:rPr>
        <w:t> </w:t>
      </w:r>
      <w:r>
        <w:rPr/>
        <w:t>and</w:t>
      </w:r>
      <w:r>
        <w:rPr>
          <w:spacing w:val="-5"/>
        </w:rPr>
        <w:t> </w:t>
      </w:r>
      <w:r>
        <w:rPr/>
        <w:t>the</w:t>
      </w:r>
      <w:r>
        <w:rPr>
          <w:spacing w:val="-5"/>
        </w:rPr>
        <w:t> </w:t>
      </w:r>
      <w:r>
        <w:rPr/>
        <w:t>accidental</w:t>
      </w:r>
      <w:r>
        <w:rPr>
          <w:spacing w:val="-5"/>
        </w:rPr>
        <w:t> </w:t>
      </w:r>
      <w:r>
        <w:rPr/>
        <w:t>loss,</w:t>
      </w:r>
      <w:r>
        <w:rPr>
          <w:spacing w:val="-5"/>
        </w:rPr>
        <w:t> </w:t>
      </w:r>
      <w:r>
        <w:rPr/>
        <w:t>inadvertent</w:t>
      </w:r>
      <w:r>
        <w:rPr>
          <w:spacing w:val="-5"/>
        </w:rPr>
        <w:t> </w:t>
      </w:r>
      <w:r>
        <w:rPr/>
        <w:t>disclosure</w:t>
      </w:r>
      <w:r>
        <w:rPr>
          <w:spacing w:val="-5"/>
        </w:rPr>
        <w:t> </w:t>
      </w:r>
      <w:r>
        <w:rPr/>
        <w:t>or</w:t>
      </w:r>
      <w:r>
        <w:rPr>
          <w:spacing w:val="-5"/>
        </w:rPr>
        <w:t> </w:t>
      </w:r>
      <w:r>
        <w:rPr/>
        <w:t>unauthorized</w:t>
      </w:r>
      <w:r>
        <w:rPr>
          <w:spacing w:val="-5"/>
        </w:rPr>
        <w:t> </w:t>
      </w:r>
      <w:r>
        <w:rPr/>
        <w:t>dissemination</w:t>
      </w:r>
      <w:r>
        <w:rPr>
          <w:spacing w:val="-5"/>
        </w:rPr>
        <w:t> </w:t>
      </w:r>
      <w:r>
        <w:rPr/>
        <w:t>of</w:t>
      </w:r>
      <w:r>
        <w:rPr>
          <w:spacing w:val="-5"/>
        </w:rPr>
        <w:t> </w:t>
      </w:r>
      <w:r>
        <w:rPr/>
        <w:t>proprietary</w:t>
      </w:r>
      <w:r>
        <w:rPr>
          <w:spacing w:val="-5"/>
        </w:rPr>
        <w:t> </w:t>
      </w:r>
      <w:r>
        <w:rPr/>
        <w:t>information or sensitive, personal or confidential data about us, our employees, our customers or their end users, including the potential loss or</w:t>
      </w:r>
      <w:r>
        <w:rPr>
          <w:spacing w:val="-1"/>
        </w:rPr>
        <w:t> </w:t>
      </w:r>
      <w:r>
        <w:rPr/>
        <w:t>disclosure</w:t>
      </w:r>
      <w:r>
        <w:rPr>
          <w:spacing w:val="-2"/>
        </w:rPr>
        <w:t> </w:t>
      </w:r>
      <w:r>
        <w:rPr/>
        <w:t>of</w:t>
      </w:r>
      <w:r>
        <w:rPr>
          <w:spacing w:val="-1"/>
        </w:rPr>
        <w:t> </w:t>
      </w:r>
      <w:r>
        <w:rPr/>
        <w:t>such</w:t>
      </w:r>
      <w:r>
        <w:rPr>
          <w:spacing w:val="-1"/>
        </w:rPr>
        <w:t> </w:t>
      </w:r>
      <w:r>
        <w:rPr/>
        <w:t>information</w:t>
      </w:r>
      <w:r>
        <w:rPr>
          <w:spacing w:val="-1"/>
        </w:rPr>
        <w:t> </w:t>
      </w:r>
      <w:r>
        <w:rPr/>
        <w:t>or</w:t>
      </w:r>
      <w:r>
        <w:rPr>
          <w:spacing w:val="-1"/>
        </w:rPr>
        <w:t> </w:t>
      </w:r>
      <w:r>
        <w:rPr/>
        <w:t>data</w:t>
      </w:r>
      <w:r>
        <w:rPr>
          <w:spacing w:val="-1"/>
        </w:rPr>
        <w:t> </w:t>
      </w:r>
      <w:r>
        <w:rPr/>
        <w:t>as</w:t>
      </w:r>
      <w:r>
        <w:rPr>
          <w:spacing w:val="-1"/>
        </w:rPr>
        <w:t> </w:t>
      </w:r>
      <w:r>
        <w:rPr/>
        <w:t>a</w:t>
      </w:r>
      <w:r>
        <w:rPr>
          <w:spacing w:val="-1"/>
        </w:rPr>
        <w:t> </w:t>
      </w:r>
      <w:r>
        <w:rPr/>
        <w:t>result</w:t>
      </w:r>
      <w:r>
        <w:rPr>
          <w:spacing w:val="-1"/>
        </w:rPr>
        <w:t> </w:t>
      </w:r>
      <w:r>
        <w:rPr/>
        <w:t>of</w:t>
      </w:r>
      <w:r>
        <w:rPr>
          <w:spacing w:val="-1"/>
        </w:rPr>
        <w:t> </w:t>
      </w:r>
      <w:r>
        <w:rPr/>
        <w:t>hacking,</w:t>
      </w:r>
      <w:r>
        <w:rPr>
          <w:spacing w:val="-1"/>
        </w:rPr>
        <w:t> </w:t>
      </w:r>
      <w:r>
        <w:rPr/>
        <w:t>fraud,</w:t>
      </w:r>
      <w:r>
        <w:rPr>
          <w:spacing w:val="-1"/>
        </w:rPr>
        <w:t> </w:t>
      </w:r>
      <w:r>
        <w:rPr/>
        <w:t>trickery</w:t>
      </w:r>
      <w:r>
        <w:rPr>
          <w:spacing w:val="-1"/>
        </w:rPr>
        <w:t> </w:t>
      </w:r>
      <w:r>
        <w:rPr/>
        <w:t>or</w:t>
      </w:r>
      <w:r>
        <w:rPr>
          <w:spacing w:val="-1"/>
        </w:rPr>
        <w:t> </w:t>
      </w:r>
      <w:r>
        <w:rPr/>
        <w:t>other</w:t>
      </w:r>
      <w:r>
        <w:rPr>
          <w:spacing w:val="-1"/>
        </w:rPr>
        <w:t> </w:t>
      </w:r>
      <w:r>
        <w:rPr/>
        <w:t>forms</w:t>
      </w:r>
      <w:r>
        <w:rPr>
          <w:spacing w:val="-1"/>
        </w:rPr>
        <w:t> </w:t>
      </w:r>
      <w:r>
        <w:rPr/>
        <w:t>of</w:t>
      </w:r>
      <w:r>
        <w:rPr>
          <w:spacing w:val="-1"/>
        </w:rPr>
        <w:t> </w:t>
      </w:r>
      <w:r>
        <w:rPr/>
        <w:t>deception,</w:t>
      </w:r>
      <w:r>
        <w:rPr>
          <w:spacing w:val="-1"/>
        </w:rPr>
        <w:t> </w:t>
      </w:r>
      <w:r>
        <w:rPr/>
        <w:t>could</w:t>
      </w:r>
      <w:r>
        <w:rPr>
          <w:spacing w:val="-1"/>
        </w:rPr>
        <w:t> </w:t>
      </w:r>
      <w:r>
        <w:rPr/>
        <w:t>expose</w:t>
      </w:r>
      <w:r>
        <w:rPr>
          <w:spacing w:val="-1"/>
        </w:rPr>
        <w:t> </w:t>
      </w:r>
      <w:r>
        <w:rPr/>
        <w:t>us,</w:t>
      </w:r>
      <w:r>
        <w:rPr>
          <w:spacing w:val="-1"/>
        </w:rPr>
        <w:t> </w:t>
      </w:r>
      <w:r>
        <w:rPr/>
        <w:t>our employees, our customers or the individuals affected to a risk of loss or misuse of this information.</w:t>
      </w:r>
      <w:r>
        <w:rPr>
          <w:spacing w:val="-3"/>
        </w:rPr>
        <w:t> </w:t>
      </w:r>
      <w:r>
        <w:rPr/>
        <w:t>This may result in litigation and</w:t>
      </w:r>
      <w:r>
        <w:rPr>
          <w:spacing w:val="-1"/>
        </w:rPr>
        <w:t> </w:t>
      </w:r>
      <w:r>
        <w:rPr/>
        <w:t>liability</w:t>
      </w:r>
      <w:r>
        <w:rPr>
          <w:spacing w:val="-1"/>
        </w:rPr>
        <w:t> </w:t>
      </w:r>
      <w:r>
        <w:rPr/>
        <w:t>or</w:t>
      </w:r>
      <w:r>
        <w:rPr>
          <w:spacing w:val="-1"/>
        </w:rPr>
        <w:t> </w:t>
      </w:r>
      <w:r>
        <w:rPr/>
        <w:t>fines,</w:t>
      </w:r>
      <w:r>
        <w:rPr>
          <w:spacing w:val="-1"/>
        </w:rPr>
        <w:t> </w:t>
      </w:r>
      <w:r>
        <w:rPr/>
        <w:t>our</w:t>
      </w:r>
      <w:r>
        <w:rPr>
          <w:spacing w:val="-1"/>
        </w:rPr>
        <w:t> </w:t>
      </w:r>
      <w:r>
        <w:rPr/>
        <w:t>compliance</w:t>
      </w:r>
      <w:r>
        <w:rPr>
          <w:spacing w:val="-1"/>
        </w:rPr>
        <w:t> </w:t>
      </w:r>
      <w:r>
        <w:rPr/>
        <w:t>with</w:t>
      </w:r>
      <w:r>
        <w:rPr>
          <w:spacing w:val="-1"/>
        </w:rPr>
        <w:t> </w:t>
      </w:r>
      <w:r>
        <w:rPr/>
        <w:t>costly</w:t>
      </w:r>
      <w:r>
        <w:rPr>
          <w:spacing w:val="-1"/>
        </w:rPr>
        <w:t> </w:t>
      </w:r>
      <w:r>
        <w:rPr/>
        <w:t>and</w:t>
      </w:r>
      <w:r>
        <w:rPr>
          <w:spacing w:val="-1"/>
        </w:rPr>
        <w:t> </w:t>
      </w:r>
      <w:r>
        <w:rPr/>
        <w:t>time</w:t>
      </w:r>
      <w:r>
        <w:rPr>
          <w:spacing w:val="-1"/>
        </w:rPr>
        <w:t> </w:t>
      </w:r>
      <w:r>
        <w:rPr/>
        <w:t>intensive</w:t>
      </w:r>
      <w:r>
        <w:rPr>
          <w:spacing w:val="-1"/>
        </w:rPr>
        <w:t> </w:t>
      </w:r>
      <w:r>
        <w:rPr/>
        <w:t>notice</w:t>
      </w:r>
      <w:r>
        <w:rPr>
          <w:spacing w:val="-1"/>
        </w:rPr>
        <w:t> </w:t>
      </w:r>
      <w:r>
        <w:rPr/>
        <w:t>requirements,</w:t>
      </w:r>
      <w:r>
        <w:rPr>
          <w:spacing w:val="-1"/>
        </w:rPr>
        <w:t> </w:t>
      </w:r>
      <w:r>
        <w:rPr/>
        <w:t>governmental</w:t>
      </w:r>
      <w:r>
        <w:rPr>
          <w:spacing w:val="-1"/>
        </w:rPr>
        <w:t> </w:t>
      </w:r>
      <w:r>
        <w:rPr/>
        <w:t>inquiry</w:t>
      </w:r>
      <w:r>
        <w:rPr>
          <w:spacing w:val="-1"/>
        </w:rPr>
        <w:t> </w:t>
      </w:r>
      <w:r>
        <w:rPr/>
        <w:t>or</w:t>
      </w:r>
      <w:r>
        <w:rPr>
          <w:spacing w:val="-1"/>
        </w:rPr>
        <w:t> </w:t>
      </w:r>
      <w:r>
        <w:rPr/>
        <w:t>oversight</w:t>
      </w:r>
      <w:r>
        <w:rPr>
          <w:spacing w:val="-1"/>
        </w:rPr>
        <w:t> </w:t>
      </w:r>
      <w:r>
        <w:rPr/>
        <w:t>or</w:t>
      </w:r>
      <w:r>
        <w:rPr>
          <w:spacing w:val="-1"/>
        </w:rPr>
        <w:t> </w:t>
      </w:r>
      <w:r>
        <w:rPr/>
        <w:t>a loss of customer confidence, any of which could harm our business or damage our brand and reputation, possibly impeding our present</w:t>
      </w:r>
      <w:r>
        <w:rPr>
          <w:spacing w:val="-5"/>
        </w:rPr>
        <w:t> </w:t>
      </w:r>
      <w:r>
        <w:rPr/>
        <w:t>and</w:t>
      </w:r>
      <w:r>
        <w:rPr>
          <w:spacing w:val="-5"/>
        </w:rPr>
        <w:t> </w:t>
      </w:r>
      <w:r>
        <w:rPr/>
        <w:t>future</w:t>
      </w:r>
      <w:r>
        <w:rPr>
          <w:spacing w:val="-6"/>
        </w:rPr>
        <w:t> </w:t>
      </w:r>
      <w:r>
        <w:rPr/>
        <w:t>success</w:t>
      </w:r>
      <w:r>
        <w:rPr>
          <w:spacing w:val="-5"/>
        </w:rPr>
        <w:t> </w:t>
      </w:r>
      <w:r>
        <w:rPr/>
        <w:t>in</w:t>
      </w:r>
      <w:r>
        <w:rPr>
          <w:spacing w:val="-5"/>
        </w:rPr>
        <w:t> </w:t>
      </w:r>
      <w:r>
        <w:rPr/>
        <w:t>retaining</w:t>
      </w:r>
      <w:r>
        <w:rPr>
          <w:spacing w:val="-5"/>
        </w:rPr>
        <w:t> </w:t>
      </w:r>
      <w:r>
        <w:rPr/>
        <w:t>and</w:t>
      </w:r>
      <w:r>
        <w:rPr>
          <w:spacing w:val="-5"/>
        </w:rPr>
        <w:t> </w:t>
      </w:r>
      <w:r>
        <w:rPr/>
        <w:t>attracting</w:t>
      </w:r>
      <w:r>
        <w:rPr>
          <w:spacing w:val="-5"/>
        </w:rPr>
        <w:t> </w:t>
      </w:r>
      <w:r>
        <w:rPr/>
        <w:t>new</w:t>
      </w:r>
      <w:r>
        <w:rPr>
          <w:spacing w:val="-5"/>
        </w:rPr>
        <w:t> </w:t>
      </w:r>
      <w:r>
        <w:rPr/>
        <w:t>customers</w:t>
      </w:r>
      <w:r>
        <w:rPr>
          <w:spacing w:val="-5"/>
        </w:rPr>
        <w:t> </w:t>
      </w:r>
      <w:r>
        <w:rPr/>
        <w:t>and</w:t>
      </w:r>
      <w:r>
        <w:rPr>
          <w:spacing w:val="-5"/>
        </w:rPr>
        <w:t> </w:t>
      </w:r>
      <w:r>
        <w:rPr/>
        <w:t>thereby</w:t>
      </w:r>
      <w:r>
        <w:rPr>
          <w:spacing w:val="-5"/>
        </w:rPr>
        <w:t> </w:t>
      </w:r>
      <w:r>
        <w:rPr/>
        <w:t>requiring</w:t>
      </w:r>
      <w:r>
        <w:rPr>
          <w:spacing w:val="-5"/>
        </w:rPr>
        <w:t> </w:t>
      </w:r>
      <w:r>
        <w:rPr/>
        <w:t>time</w:t>
      </w:r>
      <w:r>
        <w:rPr>
          <w:spacing w:val="-5"/>
        </w:rPr>
        <w:t> </w:t>
      </w:r>
      <w:r>
        <w:rPr/>
        <w:t>and</w:t>
      </w:r>
      <w:r>
        <w:rPr>
          <w:spacing w:val="-5"/>
        </w:rPr>
        <w:t> </w:t>
      </w:r>
      <w:r>
        <w:rPr/>
        <w:t>resources</w:t>
      </w:r>
      <w:r>
        <w:rPr>
          <w:spacing w:val="-5"/>
        </w:rPr>
        <w:t> </w:t>
      </w:r>
      <w:r>
        <w:rPr/>
        <w:t>to</w:t>
      </w:r>
      <w:r>
        <w:rPr>
          <w:spacing w:val="-5"/>
        </w:rPr>
        <w:t> </w:t>
      </w:r>
      <w:r>
        <w:rPr/>
        <w:t>repair</w:t>
      </w:r>
      <w:r>
        <w:rPr>
          <w:spacing w:val="-5"/>
        </w:rPr>
        <w:t> </w:t>
      </w:r>
      <w:r>
        <w:rPr/>
        <w:t>our</w:t>
      </w:r>
      <w:r>
        <w:rPr>
          <w:spacing w:val="-5"/>
        </w:rPr>
        <w:t> </w:t>
      </w:r>
      <w:r>
        <w:rPr/>
        <w:t>brand and reputation.</w:t>
      </w:r>
      <w:r>
        <w:rPr>
          <w:spacing w:val="-4"/>
        </w:rPr>
        <w:t> </w:t>
      </w:r>
      <w:r>
        <w:rPr/>
        <w:t>These</w:t>
      </w:r>
      <w:r>
        <w:rPr>
          <w:spacing w:val="-1"/>
        </w:rPr>
        <w:t> </w:t>
      </w:r>
      <w:r>
        <w:rPr/>
        <w:t>risks will</w:t>
      </w:r>
      <w:r>
        <w:rPr>
          <w:spacing w:val="-1"/>
        </w:rPr>
        <w:t> </w:t>
      </w:r>
      <w:r>
        <w:rPr/>
        <w:t>likely</w:t>
      </w:r>
      <w:r>
        <w:rPr>
          <w:spacing w:val="-1"/>
        </w:rPr>
        <w:t> </w:t>
      </w:r>
      <w:r>
        <w:rPr/>
        <w:t>increase</w:t>
      </w:r>
      <w:r>
        <w:rPr>
          <w:spacing w:val="-1"/>
        </w:rPr>
        <w:t> </w:t>
      </w:r>
      <w:r>
        <w:rPr/>
        <w:t>as we</w:t>
      </w:r>
      <w:r>
        <w:rPr>
          <w:spacing w:val="-1"/>
        </w:rPr>
        <w:t> </w:t>
      </w:r>
      <w:r>
        <w:rPr/>
        <w:t>expand our hosted</w:t>
      </w:r>
      <w:r>
        <w:rPr>
          <w:spacing w:val="-1"/>
        </w:rPr>
        <w:t> </w:t>
      </w:r>
      <w:r>
        <w:rPr/>
        <w:t>offerings, integrate</w:t>
      </w:r>
      <w:r>
        <w:rPr>
          <w:spacing w:val="-1"/>
        </w:rPr>
        <w:t> </w:t>
      </w:r>
      <w:r>
        <w:rPr/>
        <w:t>our</w:t>
      </w:r>
      <w:r>
        <w:rPr>
          <w:spacing w:val="-1"/>
        </w:rPr>
        <w:t> </w:t>
      </w:r>
      <w:r>
        <w:rPr/>
        <w:t>products and services,</w:t>
      </w:r>
      <w:r>
        <w:rPr>
          <w:spacing w:val="-1"/>
        </w:rPr>
        <w:t> </w:t>
      </w:r>
      <w:r>
        <w:rPr/>
        <w:t>and store and process more data, including personal information.</w:t>
      </w:r>
    </w:p>
    <w:p>
      <w:pPr>
        <w:pStyle w:val="BodyText"/>
        <w:spacing w:line="249" w:lineRule="auto" w:before="131"/>
        <w:ind w:left="210" w:right="247" w:firstLine="720"/>
        <w:jc w:val="both"/>
      </w:pPr>
      <w:r>
        <w:rPr>
          <w:spacing w:val="-2"/>
        </w:rPr>
        <w:t>These</w:t>
      </w:r>
      <w:r>
        <w:rPr>
          <w:spacing w:val="-7"/>
        </w:rPr>
        <w:t> </w:t>
      </w:r>
      <w:r>
        <w:rPr>
          <w:spacing w:val="-2"/>
        </w:rPr>
        <w:t>problems</w:t>
      </w:r>
      <w:r>
        <w:rPr>
          <w:spacing w:val="-6"/>
        </w:rPr>
        <w:t> </w:t>
      </w:r>
      <w:r>
        <w:rPr>
          <w:spacing w:val="-2"/>
        </w:rPr>
        <w:t>affect</w:t>
      </w:r>
      <w:r>
        <w:rPr>
          <w:spacing w:val="-7"/>
        </w:rPr>
        <w:t> </w:t>
      </w:r>
      <w:r>
        <w:rPr>
          <w:spacing w:val="-2"/>
        </w:rPr>
        <w:t>our</w:t>
      </w:r>
      <w:r>
        <w:rPr>
          <w:spacing w:val="-6"/>
        </w:rPr>
        <w:t> </w:t>
      </w:r>
      <w:r>
        <w:rPr>
          <w:spacing w:val="-2"/>
        </w:rPr>
        <w:t>products</w:t>
      </w:r>
      <w:r>
        <w:rPr>
          <w:spacing w:val="-6"/>
        </w:rPr>
        <w:t> </w:t>
      </w:r>
      <w:r>
        <w:rPr>
          <w:spacing w:val="-2"/>
        </w:rPr>
        <w:t>and</w:t>
      </w:r>
      <w:r>
        <w:rPr>
          <w:spacing w:val="-7"/>
        </w:rPr>
        <w:t> </w:t>
      </w:r>
      <w:r>
        <w:rPr>
          <w:spacing w:val="-2"/>
        </w:rPr>
        <w:t>services</w:t>
      </w:r>
      <w:r>
        <w:rPr>
          <w:spacing w:val="-6"/>
        </w:rPr>
        <w:t> </w:t>
      </w:r>
      <w:r>
        <w:rPr>
          <w:spacing w:val="-2"/>
        </w:rPr>
        <w:t>in</w:t>
      </w:r>
      <w:r>
        <w:rPr>
          <w:spacing w:val="-6"/>
        </w:rPr>
        <w:t> </w:t>
      </w:r>
      <w:r>
        <w:rPr>
          <w:spacing w:val="-2"/>
        </w:rPr>
        <w:t>particular</w:t>
      </w:r>
      <w:r>
        <w:rPr>
          <w:spacing w:val="-7"/>
        </w:rPr>
        <w:t> </w:t>
      </w:r>
      <w:r>
        <w:rPr>
          <w:spacing w:val="-2"/>
        </w:rPr>
        <w:t>because</w:t>
      </w:r>
      <w:r>
        <w:rPr>
          <w:spacing w:val="-7"/>
        </w:rPr>
        <w:t> </w:t>
      </w:r>
      <w:r>
        <w:rPr>
          <w:spacing w:val="-2"/>
        </w:rPr>
        <w:t>cyber-attackers</w:t>
      </w:r>
      <w:r>
        <w:rPr>
          <w:spacing w:val="-6"/>
        </w:rPr>
        <w:t> </w:t>
      </w:r>
      <w:r>
        <w:rPr>
          <w:spacing w:val="-2"/>
        </w:rPr>
        <w:t>tend</w:t>
      </w:r>
      <w:r>
        <w:rPr>
          <w:spacing w:val="-7"/>
        </w:rPr>
        <w:t> </w:t>
      </w:r>
      <w:r>
        <w:rPr>
          <w:spacing w:val="-2"/>
        </w:rPr>
        <w:t>to</w:t>
      </w:r>
      <w:r>
        <w:rPr>
          <w:spacing w:val="-6"/>
        </w:rPr>
        <w:t> </w:t>
      </w:r>
      <w:r>
        <w:rPr>
          <w:spacing w:val="-2"/>
        </w:rPr>
        <w:t>focus</w:t>
      </w:r>
      <w:r>
        <w:rPr>
          <w:spacing w:val="-6"/>
        </w:rPr>
        <w:t> </w:t>
      </w:r>
      <w:r>
        <w:rPr>
          <w:spacing w:val="-2"/>
        </w:rPr>
        <w:t>their</w:t>
      </w:r>
      <w:r>
        <w:rPr>
          <w:spacing w:val="-7"/>
        </w:rPr>
        <w:t> </w:t>
      </w:r>
      <w:r>
        <w:rPr>
          <w:spacing w:val="-2"/>
        </w:rPr>
        <w:t>efforts</w:t>
      </w:r>
      <w:r>
        <w:rPr>
          <w:spacing w:val="-7"/>
        </w:rPr>
        <w:t> </w:t>
      </w:r>
      <w:r>
        <w:rPr>
          <w:spacing w:val="-2"/>
        </w:rPr>
        <w:t>on</w:t>
      </w:r>
      <w:r>
        <w:rPr>
          <w:spacing w:val="-6"/>
        </w:rPr>
        <w:t> </w:t>
      </w:r>
      <w:r>
        <w:rPr>
          <w:spacing w:val="-2"/>
        </w:rPr>
        <w:t>popular </w:t>
      </w:r>
      <w:r>
        <w:rPr/>
        <w:t>offerings</w:t>
      </w:r>
      <w:r>
        <w:rPr>
          <w:spacing w:val="-7"/>
        </w:rPr>
        <w:t> </w:t>
      </w:r>
      <w:r>
        <w:rPr/>
        <w:t>with</w:t>
      </w:r>
      <w:r>
        <w:rPr>
          <w:spacing w:val="-7"/>
        </w:rPr>
        <w:t> </w:t>
      </w:r>
      <w:r>
        <w:rPr/>
        <w:t>a</w:t>
      </w:r>
      <w:r>
        <w:rPr>
          <w:spacing w:val="-7"/>
        </w:rPr>
        <w:t> </w:t>
      </w:r>
      <w:r>
        <w:rPr/>
        <w:t>large</w:t>
      </w:r>
      <w:r>
        <w:rPr>
          <w:spacing w:val="-7"/>
        </w:rPr>
        <w:t> </w:t>
      </w:r>
      <w:r>
        <w:rPr/>
        <w:t>user</w:t>
      </w:r>
      <w:r>
        <w:rPr>
          <w:spacing w:val="-7"/>
        </w:rPr>
        <w:t> </w:t>
      </w:r>
      <w:r>
        <w:rPr/>
        <w:t>base,</w:t>
      </w:r>
      <w:r>
        <w:rPr>
          <w:spacing w:val="-7"/>
        </w:rPr>
        <w:t> </w:t>
      </w:r>
      <w:r>
        <w:rPr/>
        <w:t>and</w:t>
      </w:r>
      <w:r>
        <w:rPr>
          <w:spacing w:val="-7"/>
        </w:rPr>
        <w:t> </w:t>
      </w:r>
      <w:r>
        <w:rPr/>
        <w:t>we</w:t>
      </w:r>
      <w:r>
        <w:rPr>
          <w:spacing w:val="-7"/>
        </w:rPr>
        <w:t> </w:t>
      </w:r>
      <w:r>
        <w:rPr/>
        <w:t>expect</w:t>
      </w:r>
      <w:r>
        <w:rPr>
          <w:spacing w:val="-8"/>
        </w:rPr>
        <w:t> </w:t>
      </w:r>
      <w:r>
        <w:rPr/>
        <w:t>them</w:t>
      </w:r>
      <w:r>
        <w:rPr>
          <w:spacing w:val="-7"/>
        </w:rPr>
        <w:t> </w:t>
      </w:r>
      <w:r>
        <w:rPr/>
        <w:t>to</w:t>
      </w:r>
      <w:r>
        <w:rPr>
          <w:spacing w:val="-7"/>
        </w:rPr>
        <w:t> </w:t>
      </w:r>
      <w:r>
        <w:rPr/>
        <w:t>continue</w:t>
      </w:r>
      <w:r>
        <w:rPr>
          <w:spacing w:val="-8"/>
        </w:rPr>
        <w:t> </w:t>
      </w:r>
      <w:r>
        <w:rPr/>
        <w:t>to</w:t>
      </w:r>
      <w:r>
        <w:rPr>
          <w:spacing w:val="-7"/>
        </w:rPr>
        <w:t> </w:t>
      </w:r>
      <w:r>
        <w:rPr/>
        <w:t>do</w:t>
      </w:r>
      <w:r>
        <w:rPr>
          <w:spacing w:val="-7"/>
        </w:rPr>
        <w:t> </w:t>
      </w:r>
      <w:r>
        <w:rPr/>
        <w:t>so.</w:t>
      </w:r>
      <w:r>
        <w:rPr>
          <w:spacing w:val="-7"/>
        </w:rPr>
        <w:t> </w:t>
      </w:r>
      <w:r>
        <w:rPr/>
        <w:t>Critical</w:t>
      </w:r>
      <w:r>
        <w:rPr>
          <w:spacing w:val="-8"/>
        </w:rPr>
        <w:t> </w:t>
      </w:r>
      <w:r>
        <w:rPr/>
        <w:t>vulnerabilities</w:t>
      </w:r>
      <w:r>
        <w:rPr>
          <w:spacing w:val="-7"/>
        </w:rPr>
        <w:t> </w:t>
      </w:r>
      <w:r>
        <w:rPr/>
        <w:t>may</w:t>
      </w:r>
      <w:r>
        <w:rPr>
          <w:spacing w:val="-7"/>
        </w:rPr>
        <w:t> </w:t>
      </w:r>
      <w:r>
        <w:rPr/>
        <w:t>be</w:t>
      </w:r>
      <w:r>
        <w:rPr>
          <w:spacing w:val="-7"/>
        </w:rPr>
        <w:t> </w:t>
      </w:r>
      <w:r>
        <w:rPr/>
        <w:t>identified</w:t>
      </w:r>
      <w:r>
        <w:rPr>
          <w:spacing w:val="-7"/>
        </w:rPr>
        <w:t> </w:t>
      </w:r>
      <w:r>
        <w:rPr/>
        <w:t>in</w:t>
      </w:r>
      <w:r>
        <w:rPr>
          <w:spacing w:val="-7"/>
        </w:rPr>
        <w:t> </w:t>
      </w:r>
      <w:r>
        <w:rPr/>
        <w:t>some</w:t>
      </w:r>
      <w:r>
        <w:rPr>
          <w:spacing w:val="-8"/>
        </w:rPr>
        <w:t> </w:t>
      </w:r>
      <w:r>
        <w:rPr/>
        <w:t>of</w:t>
      </w:r>
      <w:r>
        <w:rPr>
          <w:spacing w:val="-7"/>
        </w:rPr>
        <w:t> </w:t>
      </w:r>
      <w:r>
        <w:rPr/>
        <w:t>our </w:t>
      </w:r>
      <w:r>
        <w:rPr>
          <w:spacing w:val="-2"/>
        </w:rPr>
        <w:t>applications.</w:t>
      </w:r>
      <w:r>
        <w:rPr>
          <w:spacing w:val="-6"/>
        </w:rPr>
        <w:t> </w:t>
      </w:r>
      <w:r>
        <w:rPr>
          <w:spacing w:val="-2"/>
        </w:rPr>
        <w:t>These</w:t>
      </w:r>
      <w:r>
        <w:rPr>
          <w:spacing w:val="-3"/>
        </w:rPr>
        <w:t> </w:t>
      </w:r>
      <w:r>
        <w:rPr>
          <w:spacing w:val="-2"/>
        </w:rPr>
        <w:t>vulnerabilities could</w:t>
      </w:r>
      <w:r>
        <w:rPr>
          <w:spacing w:val="-3"/>
        </w:rPr>
        <w:t> </w:t>
      </w:r>
      <w:r>
        <w:rPr>
          <w:spacing w:val="-2"/>
        </w:rPr>
        <w:t>cause</w:t>
      </w:r>
      <w:r>
        <w:rPr>
          <w:spacing w:val="-3"/>
        </w:rPr>
        <w:t> </w:t>
      </w:r>
      <w:r>
        <w:rPr>
          <w:spacing w:val="-2"/>
        </w:rPr>
        <w:t>such applications to crash</w:t>
      </w:r>
      <w:r>
        <w:rPr>
          <w:spacing w:val="-3"/>
        </w:rPr>
        <w:t> </w:t>
      </w:r>
      <w:r>
        <w:rPr>
          <w:spacing w:val="-2"/>
        </w:rPr>
        <w:t>and could</w:t>
      </w:r>
      <w:r>
        <w:rPr>
          <w:spacing w:val="-3"/>
        </w:rPr>
        <w:t> </w:t>
      </w:r>
      <w:r>
        <w:rPr>
          <w:spacing w:val="-2"/>
        </w:rPr>
        <w:t>allow an attacker</w:t>
      </w:r>
      <w:r>
        <w:rPr>
          <w:spacing w:val="-3"/>
        </w:rPr>
        <w:t> </w:t>
      </w:r>
      <w:r>
        <w:rPr>
          <w:spacing w:val="-2"/>
        </w:rPr>
        <w:t>to take</w:t>
      </w:r>
      <w:r>
        <w:rPr>
          <w:spacing w:val="-3"/>
        </w:rPr>
        <w:t> </w:t>
      </w:r>
      <w:r>
        <w:rPr>
          <w:spacing w:val="-2"/>
        </w:rPr>
        <w:t>control</w:t>
      </w:r>
      <w:r>
        <w:rPr>
          <w:spacing w:val="-3"/>
        </w:rPr>
        <w:t> </w:t>
      </w:r>
      <w:r>
        <w:rPr>
          <w:spacing w:val="-2"/>
        </w:rPr>
        <w:t>of the</w:t>
      </w:r>
      <w:r>
        <w:rPr>
          <w:spacing w:val="-3"/>
        </w:rPr>
        <w:t> </w:t>
      </w:r>
      <w:r>
        <w:rPr>
          <w:spacing w:val="-2"/>
        </w:rPr>
        <w:t>affected </w:t>
      </w:r>
      <w:r>
        <w:rPr/>
        <w:t>system, which could result in liability to us or limit our ability to conduct our business and deliver our products and services to </w:t>
      </w:r>
      <w:r>
        <w:rPr>
          <w:spacing w:val="-2"/>
        </w:rPr>
        <w:t>customers.</w:t>
      </w:r>
      <w:r>
        <w:rPr>
          <w:spacing w:val="-13"/>
        </w:rPr>
        <w:t> </w:t>
      </w:r>
      <w:r>
        <w:rPr>
          <w:spacing w:val="-2"/>
        </w:rPr>
        <w:t>We</w:t>
      </w:r>
      <w:r>
        <w:rPr>
          <w:spacing w:val="-8"/>
        </w:rPr>
        <w:t> </w:t>
      </w:r>
      <w:r>
        <w:rPr>
          <w:spacing w:val="-2"/>
        </w:rPr>
        <w:t>devote</w:t>
      </w:r>
      <w:r>
        <w:rPr>
          <w:spacing w:val="-8"/>
        </w:rPr>
        <w:t> </w:t>
      </w:r>
      <w:r>
        <w:rPr>
          <w:spacing w:val="-2"/>
        </w:rPr>
        <w:t>significant</w:t>
      </w:r>
      <w:r>
        <w:rPr>
          <w:spacing w:val="-7"/>
        </w:rPr>
        <w:t> </w:t>
      </w:r>
      <w:r>
        <w:rPr>
          <w:spacing w:val="-2"/>
        </w:rPr>
        <w:t>resources</w:t>
      </w:r>
      <w:r>
        <w:rPr>
          <w:spacing w:val="-8"/>
        </w:rPr>
        <w:t> </w:t>
      </w:r>
      <w:r>
        <w:rPr>
          <w:spacing w:val="-2"/>
        </w:rPr>
        <w:t>to</w:t>
      </w:r>
      <w:r>
        <w:rPr>
          <w:spacing w:val="-8"/>
        </w:rPr>
        <w:t> </w:t>
      </w:r>
      <w:r>
        <w:rPr>
          <w:spacing w:val="-2"/>
        </w:rPr>
        <w:t>address</w:t>
      </w:r>
      <w:r>
        <w:rPr>
          <w:spacing w:val="-8"/>
        </w:rPr>
        <w:t> </w:t>
      </w:r>
      <w:r>
        <w:rPr>
          <w:spacing w:val="-2"/>
        </w:rPr>
        <w:t>security</w:t>
      </w:r>
      <w:r>
        <w:rPr>
          <w:spacing w:val="-8"/>
        </w:rPr>
        <w:t> </w:t>
      </w:r>
      <w:r>
        <w:rPr>
          <w:spacing w:val="-2"/>
        </w:rPr>
        <w:t>vulnerabilities</w:t>
      </w:r>
      <w:r>
        <w:rPr>
          <w:spacing w:val="-7"/>
        </w:rPr>
        <w:t> </w:t>
      </w:r>
      <w:r>
        <w:rPr>
          <w:spacing w:val="-2"/>
        </w:rPr>
        <w:t>through</w:t>
      </w:r>
      <w:r>
        <w:rPr>
          <w:spacing w:val="-8"/>
        </w:rPr>
        <w:t> </w:t>
      </w:r>
      <w:r>
        <w:rPr>
          <w:spacing w:val="-2"/>
        </w:rPr>
        <w:t>engineering</w:t>
      </w:r>
      <w:r>
        <w:rPr>
          <w:spacing w:val="-8"/>
        </w:rPr>
        <w:t> </w:t>
      </w:r>
      <w:r>
        <w:rPr>
          <w:spacing w:val="-2"/>
        </w:rPr>
        <w:t>more</w:t>
      </w:r>
      <w:r>
        <w:rPr>
          <w:spacing w:val="-8"/>
        </w:rPr>
        <w:t> </w:t>
      </w:r>
      <w:r>
        <w:rPr>
          <w:spacing w:val="-2"/>
        </w:rPr>
        <w:t>secure</w:t>
      </w:r>
      <w:r>
        <w:rPr>
          <w:spacing w:val="-8"/>
        </w:rPr>
        <w:t> </w:t>
      </w:r>
      <w:r>
        <w:rPr>
          <w:spacing w:val="-2"/>
        </w:rPr>
        <w:t>products,</w:t>
      </w:r>
      <w:r>
        <w:rPr>
          <w:spacing w:val="-7"/>
        </w:rPr>
        <w:t> </w:t>
      </w:r>
      <w:r>
        <w:rPr>
          <w:spacing w:val="-2"/>
        </w:rPr>
        <w:t>enhancing</w:t>
      </w:r>
    </w:p>
    <w:p>
      <w:pPr>
        <w:spacing w:after="0" w:line="249" w:lineRule="auto"/>
        <w:jc w:val="both"/>
        <w:sectPr>
          <w:pgSz w:w="12240" w:h="15840"/>
          <w:pgMar w:header="210" w:footer="579" w:top="420" w:bottom="800" w:left="780" w:right="740"/>
        </w:sectPr>
      </w:pPr>
    </w:p>
    <w:p>
      <w:pPr>
        <w:pStyle w:val="BodyText"/>
        <w:spacing w:before="150"/>
      </w:pPr>
    </w:p>
    <w:p>
      <w:pPr>
        <w:pStyle w:val="BodyText"/>
        <w:spacing w:line="249" w:lineRule="auto"/>
        <w:ind w:left="210" w:right="247"/>
        <w:jc w:val="both"/>
      </w:pPr>
      <w:r>
        <w:rPr/>
        <w:t>security and reliability features in our products and systems, code hardening, conducting rigorous penetration tests, deploying updates</w:t>
      </w:r>
      <w:r>
        <w:rPr>
          <w:spacing w:val="-1"/>
        </w:rPr>
        <w:t> </w:t>
      </w:r>
      <w:r>
        <w:rPr/>
        <w:t>to</w:t>
      </w:r>
      <w:r>
        <w:rPr>
          <w:spacing w:val="-2"/>
        </w:rPr>
        <w:t> </w:t>
      </w:r>
      <w:r>
        <w:rPr/>
        <w:t>address</w:t>
      </w:r>
      <w:r>
        <w:rPr>
          <w:spacing w:val="-2"/>
        </w:rPr>
        <w:t> </w:t>
      </w:r>
      <w:r>
        <w:rPr/>
        <w:t>security</w:t>
      </w:r>
      <w:r>
        <w:rPr>
          <w:spacing w:val="-2"/>
        </w:rPr>
        <w:t> </w:t>
      </w:r>
      <w:r>
        <w:rPr/>
        <w:t>vulnerabilities</w:t>
      </w:r>
      <w:r>
        <w:rPr>
          <w:spacing w:val="-1"/>
        </w:rPr>
        <w:t> </w:t>
      </w:r>
      <w:r>
        <w:rPr/>
        <w:t>and</w:t>
      </w:r>
      <w:r>
        <w:rPr>
          <w:spacing w:val="-2"/>
        </w:rPr>
        <w:t> </w:t>
      </w:r>
      <w:r>
        <w:rPr/>
        <w:t>improving</w:t>
      </w:r>
      <w:r>
        <w:rPr>
          <w:spacing w:val="-2"/>
        </w:rPr>
        <w:t> </w:t>
      </w:r>
      <w:r>
        <w:rPr/>
        <w:t>our</w:t>
      </w:r>
      <w:r>
        <w:rPr>
          <w:spacing w:val="-1"/>
        </w:rPr>
        <w:t> </w:t>
      </w:r>
      <w:r>
        <w:rPr/>
        <w:t>incident</w:t>
      </w:r>
      <w:r>
        <w:rPr>
          <w:spacing w:val="-2"/>
        </w:rPr>
        <w:t> </w:t>
      </w:r>
      <w:r>
        <w:rPr/>
        <w:t>response</w:t>
      </w:r>
      <w:r>
        <w:rPr>
          <w:spacing w:val="-2"/>
        </w:rPr>
        <w:t> </w:t>
      </w:r>
      <w:r>
        <w:rPr/>
        <w:t>time,</w:t>
      </w:r>
      <w:r>
        <w:rPr>
          <w:spacing w:val="-2"/>
        </w:rPr>
        <w:t> </w:t>
      </w:r>
      <w:r>
        <w:rPr/>
        <w:t>but</w:t>
      </w:r>
      <w:r>
        <w:rPr>
          <w:spacing w:val="-2"/>
        </w:rPr>
        <w:t> </w:t>
      </w:r>
      <w:r>
        <w:rPr/>
        <w:t>these</w:t>
      </w:r>
      <w:r>
        <w:rPr>
          <w:spacing w:val="-2"/>
        </w:rPr>
        <w:t> </w:t>
      </w:r>
      <w:r>
        <w:rPr/>
        <w:t>security</w:t>
      </w:r>
      <w:r>
        <w:rPr>
          <w:spacing w:val="-2"/>
        </w:rPr>
        <w:t> </w:t>
      </w:r>
      <w:r>
        <w:rPr/>
        <w:t>vulnerabilities</w:t>
      </w:r>
      <w:r>
        <w:rPr>
          <w:spacing w:val="-1"/>
        </w:rPr>
        <w:t> </w:t>
      </w:r>
      <w:r>
        <w:rPr/>
        <w:t>cannot</w:t>
      </w:r>
      <w:r>
        <w:rPr>
          <w:spacing w:val="-2"/>
        </w:rPr>
        <w:t> </w:t>
      </w:r>
      <w:r>
        <w:rPr/>
        <w:t>be totally</w:t>
      </w:r>
      <w:r>
        <w:rPr>
          <w:spacing w:val="-13"/>
        </w:rPr>
        <w:t> </w:t>
      </w:r>
      <w:r>
        <w:rPr/>
        <w:t>eliminated.</w:t>
      </w:r>
      <w:r>
        <w:rPr>
          <w:spacing w:val="-12"/>
        </w:rPr>
        <w:t> </w:t>
      </w:r>
      <w:r>
        <w:rPr/>
        <w:t>The</w:t>
      </w:r>
      <w:r>
        <w:rPr>
          <w:spacing w:val="-13"/>
        </w:rPr>
        <w:t> </w:t>
      </w:r>
      <w:r>
        <w:rPr/>
        <w:t>cost</w:t>
      </w:r>
      <w:r>
        <w:rPr>
          <w:spacing w:val="-12"/>
        </w:rPr>
        <w:t> </w:t>
      </w:r>
      <w:r>
        <w:rPr/>
        <w:t>of</w:t>
      </w:r>
      <w:r>
        <w:rPr>
          <w:spacing w:val="-13"/>
        </w:rPr>
        <w:t> </w:t>
      </w:r>
      <w:r>
        <w:rPr/>
        <w:t>these</w:t>
      </w:r>
      <w:r>
        <w:rPr>
          <w:spacing w:val="-12"/>
        </w:rPr>
        <w:t> </w:t>
      </w:r>
      <w:r>
        <w:rPr/>
        <w:t>steps</w:t>
      </w:r>
      <w:r>
        <w:rPr>
          <w:spacing w:val="-12"/>
        </w:rPr>
        <w:t> </w:t>
      </w:r>
      <w:r>
        <w:rPr/>
        <w:t>could</w:t>
      </w:r>
      <w:r>
        <w:rPr>
          <w:spacing w:val="-12"/>
        </w:rPr>
        <w:t> </w:t>
      </w:r>
      <w:r>
        <w:rPr/>
        <w:t>reduce</w:t>
      </w:r>
      <w:r>
        <w:rPr>
          <w:spacing w:val="-13"/>
        </w:rPr>
        <w:t> </w:t>
      </w:r>
      <w:r>
        <w:rPr/>
        <w:t>our</w:t>
      </w:r>
      <w:r>
        <w:rPr>
          <w:spacing w:val="-12"/>
        </w:rPr>
        <w:t> </w:t>
      </w:r>
      <w:r>
        <w:rPr/>
        <w:t>operating</w:t>
      </w:r>
      <w:r>
        <w:rPr>
          <w:spacing w:val="-12"/>
        </w:rPr>
        <w:t> </w:t>
      </w:r>
      <w:r>
        <w:rPr/>
        <w:t>margins,</w:t>
      </w:r>
      <w:r>
        <w:rPr>
          <w:spacing w:val="-12"/>
        </w:rPr>
        <w:t> </w:t>
      </w:r>
      <w:r>
        <w:rPr/>
        <w:t>and</w:t>
      </w:r>
      <w:r>
        <w:rPr>
          <w:spacing w:val="-12"/>
        </w:rPr>
        <w:t> </w:t>
      </w:r>
      <w:r>
        <w:rPr/>
        <w:t>we</w:t>
      </w:r>
      <w:r>
        <w:rPr>
          <w:spacing w:val="-12"/>
        </w:rPr>
        <w:t> </w:t>
      </w:r>
      <w:r>
        <w:rPr/>
        <w:t>may</w:t>
      </w:r>
      <w:r>
        <w:rPr>
          <w:spacing w:val="-12"/>
        </w:rPr>
        <w:t> </w:t>
      </w:r>
      <w:r>
        <w:rPr/>
        <w:t>be</w:t>
      </w:r>
      <w:r>
        <w:rPr>
          <w:spacing w:val="-12"/>
        </w:rPr>
        <w:t> </w:t>
      </w:r>
      <w:r>
        <w:rPr/>
        <w:t>unable</w:t>
      </w:r>
      <w:r>
        <w:rPr>
          <w:spacing w:val="-12"/>
        </w:rPr>
        <w:t> </w:t>
      </w:r>
      <w:r>
        <w:rPr/>
        <w:t>to</w:t>
      </w:r>
      <w:r>
        <w:rPr>
          <w:spacing w:val="-12"/>
        </w:rPr>
        <w:t> </w:t>
      </w:r>
      <w:r>
        <w:rPr/>
        <w:t>implement</w:t>
      </w:r>
      <w:r>
        <w:rPr>
          <w:spacing w:val="-13"/>
        </w:rPr>
        <w:t> </w:t>
      </w:r>
      <w:r>
        <w:rPr/>
        <w:t>these</w:t>
      </w:r>
      <w:r>
        <w:rPr>
          <w:spacing w:val="-12"/>
        </w:rPr>
        <w:t> </w:t>
      </w:r>
      <w:r>
        <w:rPr/>
        <w:t>measures </w:t>
      </w:r>
      <w:r>
        <w:rPr>
          <w:spacing w:val="-2"/>
        </w:rPr>
        <w:t>quickly</w:t>
      </w:r>
      <w:r>
        <w:rPr>
          <w:spacing w:val="-11"/>
        </w:rPr>
        <w:t> </w:t>
      </w:r>
      <w:r>
        <w:rPr>
          <w:spacing w:val="-2"/>
        </w:rPr>
        <w:t>enough</w:t>
      </w:r>
      <w:r>
        <w:rPr>
          <w:spacing w:val="-10"/>
        </w:rPr>
        <w:t> </w:t>
      </w:r>
      <w:r>
        <w:rPr>
          <w:spacing w:val="-2"/>
        </w:rPr>
        <w:t>to</w:t>
      </w:r>
      <w:r>
        <w:rPr>
          <w:spacing w:val="-11"/>
        </w:rPr>
        <w:t> </w:t>
      </w:r>
      <w:r>
        <w:rPr>
          <w:spacing w:val="-2"/>
        </w:rPr>
        <w:t>prevent</w:t>
      </w:r>
      <w:r>
        <w:rPr>
          <w:spacing w:val="-10"/>
        </w:rPr>
        <w:t> </w:t>
      </w:r>
      <w:r>
        <w:rPr>
          <w:spacing w:val="-2"/>
        </w:rPr>
        <w:t>cyber-attackers</w:t>
      </w:r>
      <w:r>
        <w:rPr>
          <w:spacing w:val="-10"/>
        </w:rPr>
        <w:t> </w:t>
      </w:r>
      <w:r>
        <w:rPr>
          <w:spacing w:val="-2"/>
        </w:rPr>
        <w:t>from</w:t>
      </w:r>
      <w:r>
        <w:rPr>
          <w:spacing w:val="-11"/>
        </w:rPr>
        <w:t> </w:t>
      </w:r>
      <w:r>
        <w:rPr>
          <w:spacing w:val="-2"/>
        </w:rPr>
        <w:t>gaining</w:t>
      </w:r>
      <w:r>
        <w:rPr>
          <w:spacing w:val="-10"/>
        </w:rPr>
        <w:t> </w:t>
      </w:r>
      <w:r>
        <w:rPr>
          <w:spacing w:val="-2"/>
        </w:rPr>
        <w:t>unauthorized</w:t>
      </w:r>
      <w:r>
        <w:rPr>
          <w:spacing w:val="-10"/>
        </w:rPr>
        <w:t> </w:t>
      </w:r>
      <w:r>
        <w:rPr>
          <w:spacing w:val="-2"/>
        </w:rPr>
        <w:t>access</w:t>
      </w:r>
      <w:r>
        <w:rPr>
          <w:spacing w:val="-11"/>
        </w:rPr>
        <w:t> </w:t>
      </w:r>
      <w:r>
        <w:rPr>
          <w:spacing w:val="-2"/>
        </w:rPr>
        <w:t>into</w:t>
      </w:r>
      <w:r>
        <w:rPr>
          <w:spacing w:val="-10"/>
        </w:rPr>
        <w:t> </w:t>
      </w:r>
      <w:r>
        <w:rPr>
          <w:spacing w:val="-2"/>
        </w:rPr>
        <w:t>our</w:t>
      </w:r>
      <w:r>
        <w:rPr>
          <w:spacing w:val="-10"/>
        </w:rPr>
        <w:t> </w:t>
      </w:r>
      <w:r>
        <w:rPr>
          <w:spacing w:val="-2"/>
        </w:rPr>
        <w:t>systems</w:t>
      </w:r>
      <w:r>
        <w:rPr>
          <w:spacing w:val="-11"/>
        </w:rPr>
        <w:t> </w:t>
      </w:r>
      <w:r>
        <w:rPr>
          <w:spacing w:val="-2"/>
        </w:rPr>
        <w:t>and</w:t>
      </w:r>
      <w:r>
        <w:rPr>
          <w:spacing w:val="-10"/>
        </w:rPr>
        <w:t> </w:t>
      </w:r>
      <w:r>
        <w:rPr>
          <w:spacing w:val="-2"/>
        </w:rPr>
        <w:t>products.</w:t>
      </w:r>
      <w:r>
        <w:rPr>
          <w:spacing w:val="-10"/>
        </w:rPr>
        <w:t> </w:t>
      </w:r>
      <w:r>
        <w:rPr>
          <w:spacing w:val="-2"/>
        </w:rPr>
        <w:t>Despite</w:t>
      </w:r>
      <w:r>
        <w:rPr>
          <w:spacing w:val="-11"/>
        </w:rPr>
        <w:t> </w:t>
      </w:r>
      <w:r>
        <w:rPr>
          <w:spacing w:val="-2"/>
        </w:rPr>
        <w:t>our</w:t>
      </w:r>
      <w:r>
        <w:rPr>
          <w:spacing w:val="-10"/>
        </w:rPr>
        <w:t> </w:t>
      </w:r>
      <w:r>
        <w:rPr>
          <w:spacing w:val="-2"/>
        </w:rPr>
        <w:t>preventative </w:t>
      </w:r>
      <w:r>
        <w:rPr/>
        <w:t>efforts,</w:t>
      </w:r>
      <w:r>
        <w:rPr>
          <w:spacing w:val="-6"/>
        </w:rPr>
        <w:t> </w:t>
      </w:r>
      <w:r>
        <w:rPr/>
        <w:t>actual</w:t>
      </w:r>
      <w:r>
        <w:rPr>
          <w:spacing w:val="-6"/>
        </w:rPr>
        <w:t> </w:t>
      </w:r>
      <w:r>
        <w:rPr/>
        <w:t>or</w:t>
      </w:r>
      <w:r>
        <w:rPr>
          <w:spacing w:val="-6"/>
        </w:rPr>
        <w:t> </w:t>
      </w:r>
      <w:r>
        <w:rPr/>
        <w:t>perceived</w:t>
      </w:r>
      <w:r>
        <w:rPr>
          <w:spacing w:val="-6"/>
        </w:rPr>
        <w:t> </w:t>
      </w:r>
      <w:r>
        <w:rPr/>
        <w:t>security</w:t>
      </w:r>
      <w:r>
        <w:rPr>
          <w:spacing w:val="-6"/>
        </w:rPr>
        <w:t> </w:t>
      </w:r>
      <w:r>
        <w:rPr/>
        <w:t>vulnerabilities</w:t>
      </w:r>
      <w:r>
        <w:rPr>
          <w:spacing w:val="-6"/>
        </w:rPr>
        <w:t> </w:t>
      </w:r>
      <w:r>
        <w:rPr/>
        <w:t>in</w:t>
      </w:r>
      <w:r>
        <w:rPr>
          <w:spacing w:val="-6"/>
        </w:rPr>
        <w:t> </w:t>
      </w:r>
      <w:r>
        <w:rPr/>
        <w:t>our</w:t>
      </w:r>
      <w:r>
        <w:rPr>
          <w:spacing w:val="-6"/>
        </w:rPr>
        <w:t> </w:t>
      </w:r>
      <w:r>
        <w:rPr/>
        <w:t>products</w:t>
      </w:r>
      <w:r>
        <w:rPr>
          <w:spacing w:val="-6"/>
        </w:rPr>
        <w:t> </w:t>
      </w:r>
      <w:r>
        <w:rPr/>
        <w:t>and</w:t>
      </w:r>
      <w:r>
        <w:rPr>
          <w:spacing w:val="-6"/>
        </w:rPr>
        <w:t> </w:t>
      </w:r>
      <w:r>
        <w:rPr/>
        <w:t>systems</w:t>
      </w:r>
      <w:r>
        <w:rPr>
          <w:spacing w:val="-6"/>
        </w:rPr>
        <w:t> </w:t>
      </w:r>
      <w:r>
        <w:rPr/>
        <w:t>may</w:t>
      </w:r>
      <w:r>
        <w:rPr>
          <w:spacing w:val="-6"/>
        </w:rPr>
        <w:t> </w:t>
      </w:r>
      <w:r>
        <w:rPr/>
        <w:t>harm</w:t>
      </w:r>
      <w:r>
        <w:rPr>
          <w:spacing w:val="-6"/>
        </w:rPr>
        <w:t> </w:t>
      </w:r>
      <w:r>
        <w:rPr/>
        <w:t>our</w:t>
      </w:r>
      <w:r>
        <w:rPr>
          <w:spacing w:val="-6"/>
        </w:rPr>
        <w:t> </w:t>
      </w:r>
      <w:r>
        <w:rPr/>
        <w:t>reputation</w:t>
      </w:r>
      <w:r>
        <w:rPr>
          <w:spacing w:val="-6"/>
        </w:rPr>
        <w:t> </w:t>
      </w:r>
      <w:r>
        <w:rPr/>
        <w:t>or</w:t>
      </w:r>
      <w:r>
        <w:rPr>
          <w:spacing w:val="-6"/>
        </w:rPr>
        <w:t> </w:t>
      </w:r>
      <w:r>
        <w:rPr/>
        <w:t>lead</w:t>
      </w:r>
      <w:r>
        <w:rPr>
          <w:spacing w:val="-6"/>
        </w:rPr>
        <w:t> </w:t>
      </w:r>
      <w:r>
        <w:rPr/>
        <w:t>to</w:t>
      </w:r>
      <w:r>
        <w:rPr>
          <w:spacing w:val="-6"/>
        </w:rPr>
        <w:t> </w:t>
      </w:r>
      <w:r>
        <w:rPr/>
        <w:t>claims</w:t>
      </w:r>
      <w:r>
        <w:rPr>
          <w:spacing w:val="-6"/>
        </w:rPr>
        <w:t> </w:t>
      </w:r>
      <w:r>
        <w:rPr/>
        <w:t>against us (and have in the past led to such claims), and could lead some customers to stop using certain products or services, to reduce or</w:t>
      </w:r>
      <w:r>
        <w:rPr>
          <w:spacing w:val="-12"/>
        </w:rPr>
        <w:t> </w:t>
      </w:r>
      <w:r>
        <w:rPr/>
        <w:t>delay</w:t>
      </w:r>
      <w:r>
        <w:rPr>
          <w:spacing w:val="-12"/>
        </w:rPr>
        <w:t> </w:t>
      </w:r>
      <w:r>
        <w:rPr/>
        <w:t>future</w:t>
      </w:r>
      <w:r>
        <w:rPr>
          <w:spacing w:val="-12"/>
        </w:rPr>
        <w:t> </w:t>
      </w:r>
      <w:r>
        <w:rPr/>
        <w:t>purchases</w:t>
      </w:r>
      <w:r>
        <w:rPr>
          <w:spacing w:val="-11"/>
        </w:rPr>
        <w:t> </w:t>
      </w:r>
      <w:r>
        <w:rPr/>
        <w:t>of</w:t>
      </w:r>
      <w:r>
        <w:rPr>
          <w:spacing w:val="-12"/>
        </w:rPr>
        <w:t> </w:t>
      </w:r>
      <w:r>
        <w:rPr/>
        <w:t>products</w:t>
      </w:r>
      <w:r>
        <w:rPr>
          <w:spacing w:val="-11"/>
        </w:rPr>
        <w:t> </w:t>
      </w:r>
      <w:r>
        <w:rPr/>
        <w:t>or</w:t>
      </w:r>
      <w:r>
        <w:rPr>
          <w:spacing w:val="-12"/>
        </w:rPr>
        <w:t> </w:t>
      </w:r>
      <w:r>
        <w:rPr/>
        <w:t>services,</w:t>
      </w:r>
      <w:r>
        <w:rPr>
          <w:spacing w:val="-12"/>
        </w:rPr>
        <w:t> </w:t>
      </w:r>
      <w:r>
        <w:rPr/>
        <w:t>or</w:t>
      </w:r>
      <w:r>
        <w:rPr>
          <w:spacing w:val="-12"/>
        </w:rPr>
        <w:t> </w:t>
      </w:r>
      <w:r>
        <w:rPr/>
        <w:t>to</w:t>
      </w:r>
      <w:r>
        <w:rPr>
          <w:spacing w:val="-12"/>
        </w:rPr>
        <w:t> </w:t>
      </w:r>
      <w:r>
        <w:rPr/>
        <w:t>use</w:t>
      </w:r>
      <w:r>
        <w:rPr>
          <w:spacing w:val="-12"/>
        </w:rPr>
        <w:t> </w:t>
      </w:r>
      <w:r>
        <w:rPr/>
        <w:t>competing</w:t>
      </w:r>
      <w:r>
        <w:rPr>
          <w:spacing w:val="-12"/>
        </w:rPr>
        <w:t> </w:t>
      </w:r>
      <w:r>
        <w:rPr/>
        <w:t>products</w:t>
      </w:r>
      <w:r>
        <w:rPr>
          <w:spacing w:val="-11"/>
        </w:rPr>
        <w:t> </w:t>
      </w:r>
      <w:r>
        <w:rPr/>
        <w:t>or</w:t>
      </w:r>
      <w:r>
        <w:rPr>
          <w:spacing w:val="-12"/>
        </w:rPr>
        <w:t> </w:t>
      </w:r>
      <w:r>
        <w:rPr/>
        <w:t>services.</w:t>
      </w:r>
      <w:r>
        <w:rPr>
          <w:spacing w:val="-12"/>
        </w:rPr>
        <w:t> </w:t>
      </w:r>
      <w:r>
        <w:rPr/>
        <w:t>If</w:t>
      </w:r>
      <w:r>
        <w:rPr>
          <w:spacing w:val="-12"/>
        </w:rPr>
        <w:t> </w:t>
      </w:r>
      <w:r>
        <w:rPr/>
        <w:t>we</w:t>
      </w:r>
      <w:r>
        <w:rPr>
          <w:spacing w:val="-12"/>
        </w:rPr>
        <w:t> </w:t>
      </w:r>
      <w:r>
        <w:rPr/>
        <w:t>do</w:t>
      </w:r>
      <w:r>
        <w:rPr>
          <w:spacing w:val="-12"/>
        </w:rPr>
        <w:t> </w:t>
      </w:r>
      <w:r>
        <w:rPr/>
        <w:t>not</w:t>
      </w:r>
      <w:r>
        <w:rPr>
          <w:spacing w:val="-12"/>
        </w:rPr>
        <w:t> </w:t>
      </w:r>
      <w:r>
        <w:rPr/>
        <w:t>make</w:t>
      </w:r>
      <w:r>
        <w:rPr>
          <w:spacing w:val="-12"/>
        </w:rPr>
        <w:t> </w:t>
      </w:r>
      <w:r>
        <w:rPr/>
        <w:t>the</w:t>
      </w:r>
      <w:r>
        <w:rPr>
          <w:spacing w:val="-12"/>
        </w:rPr>
        <w:t> </w:t>
      </w:r>
      <w:r>
        <w:rPr/>
        <w:t>appropriate</w:t>
      </w:r>
      <w:r>
        <w:rPr>
          <w:spacing w:val="-12"/>
        </w:rPr>
        <w:t> </w:t>
      </w:r>
      <w:r>
        <w:rPr/>
        <w:t>level of</w:t>
      </w:r>
      <w:r>
        <w:rPr>
          <w:spacing w:val="-13"/>
        </w:rPr>
        <w:t> </w:t>
      </w:r>
      <w:r>
        <w:rPr/>
        <w:t>investment</w:t>
      </w:r>
      <w:r>
        <w:rPr>
          <w:spacing w:val="-12"/>
        </w:rPr>
        <w:t> </w:t>
      </w:r>
      <w:r>
        <w:rPr/>
        <w:t>in</w:t>
      </w:r>
      <w:r>
        <w:rPr>
          <w:spacing w:val="-13"/>
        </w:rPr>
        <w:t> </w:t>
      </w:r>
      <w:r>
        <w:rPr/>
        <w:t>our</w:t>
      </w:r>
      <w:r>
        <w:rPr>
          <w:spacing w:val="-12"/>
        </w:rPr>
        <w:t> </w:t>
      </w:r>
      <w:r>
        <w:rPr/>
        <w:t>technology</w:t>
      </w:r>
      <w:r>
        <w:rPr>
          <w:spacing w:val="-13"/>
        </w:rPr>
        <w:t> </w:t>
      </w:r>
      <w:r>
        <w:rPr/>
        <w:t>systems</w:t>
      </w:r>
      <w:r>
        <w:rPr>
          <w:spacing w:val="-12"/>
        </w:rPr>
        <w:t> </w:t>
      </w:r>
      <w:r>
        <w:rPr/>
        <w:t>or</w:t>
      </w:r>
      <w:r>
        <w:rPr>
          <w:spacing w:val="-13"/>
        </w:rPr>
        <w:t> </w:t>
      </w:r>
      <w:r>
        <w:rPr/>
        <w:t>if</w:t>
      </w:r>
      <w:r>
        <w:rPr>
          <w:spacing w:val="-12"/>
        </w:rPr>
        <w:t> </w:t>
      </w:r>
      <w:r>
        <w:rPr/>
        <w:t>our</w:t>
      </w:r>
      <w:r>
        <w:rPr>
          <w:spacing w:val="-13"/>
        </w:rPr>
        <w:t> </w:t>
      </w:r>
      <w:r>
        <w:rPr/>
        <w:t>systems</w:t>
      </w:r>
      <w:r>
        <w:rPr>
          <w:spacing w:val="-11"/>
        </w:rPr>
        <w:t> </w:t>
      </w:r>
      <w:r>
        <w:rPr/>
        <w:t>become</w:t>
      </w:r>
      <w:r>
        <w:rPr>
          <w:spacing w:val="-13"/>
        </w:rPr>
        <w:t> </w:t>
      </w:r>
      <w:r>
        <w:rPr/>
        <w:t>out-of-date</w:t>
      </w:r>
      <w:r>
        <w:rPr>
          <w:spacing w:val="-12"/>
        </w:rPr>
        <w:t> </w:t>
      </w:r>
      <w:r>
        <w:rPr/>
        <w:t>or</w:t>
      </w:r>
      <w:r>
        <w:rPr>
          <w:spacing w:val="-13"/>
        </w:rPr>
        <w:t> </w:t>
      </w:r>
      <w:r>
        <w:rPr/>
        <w:t>obsolete</w:t>
      </w:r>
      <w:r>
        <w:rPr>
          <w:spacing w:val="-12"/>
        </w:rPr>
        <w:t> </w:t>
      </w:r>
      <w:r>
        <w:rPr/>
        <w:t>and</w:t>
      </w:r>
      <w:r>
        <w:rPr>
          <w:spacing w:val="-13"/>
        </w:rPr>
        <w:t> </w:t>
      </w:r>
      <w:r>
        <w:rPr/>
        <w:t>we</w:t>
      </w:r>
      <w:r>
        <w:rPr>
          <w:spacing w:val="-12"/>
        </w:rPr>
        <w:t> </w:t>
      </w:r>
      <w:r>
        <w:rPr/>
        <w:t>are</w:t>
      </w:r>
      <w:r>
        <w:rPr>
          <w:spacing w:val="-13"/>
        </w:rPr>
        <w:t> </w:t>
      </w:r>
      <w:r>
        <w:rPr/>
        <w:t>not</w:t>
      </w:r>
      <w:r>
        <w:rPr>
          <w:spacing w:val="-12"/>
        </w:rPr>
        <w:t> </w:t>
      </w:r>
      <w:r>
        <w:rPr/>
        <w:t>able</w:t>
      </w:r>
      <w:r>
        <w:rPr>
          <w:spacing w:val="-13"/>
        </w:rPr>
        <w:t> </w:t>
      </w:r>
      <w:r>
        <w:rPr/>
        <w:t>to</w:t>
      </w:r>
      <w:r>
        <w:rPr>
          <w:spacing w:val="-12"/>
        </w:rPr>
        <w:t> </w:t>
      </w:r>
      <w:r>
        <w:rPr/>
        <w:t>deliver</w:t>
      </w:r>
      <w:r>
        <w:rPr>
          <w:spacing w:val="-13"/>
        </w:rPr>
        <w:t> </w:t>
      </w:r>
      <w:r>
        <w:rPr/>
        <w:t>the</w:t>
      </w:r>
      <w:r>
        <w:rPr>
          <w:spacing w:val="-12"/>
        </w:rPr>
        <w:t> </w:t>
      </w:r>
      <w:r>
        <w:rPr/>
        <w:t>quality </w:t>
      </w:r>
      <w:r>
        <w:rPr>
          <w:spacing w:val="-2"/>
        </w:rPr>
        <w:t>of</w:t>
      </w:r>
      <w:r>
        <w:rPr>
          <w:spacing w:val="-3"/>
        </w:rPr>
        <w:t> </w:t>
      </w:r>
      <w:r>
        <w:rPr>
          <w:spacing w:val="-2"/>
        </w:rPr>
        <w:t>data</w:t>
      </w:r>
      <w:r>
        <w:rPr>
          <w:spacing w:val="-5"/>
        </w:rPr>
        <w:t> </w:t>
      </w:r>
      <w:r>
        <w:rPr>
          <w:spacing w:val="-2"/>
        </w:rPr>
        <w:t>security</w:t>
      </w:r>
      <w:r>
        <w:rPr>
          <w:spacing w:val="-3"/>
        </w:rPr>
        <w:t> </w:t>
      </w:r>
      <w:r>
        <w:rPr>
          <w:spacing w:val="-2"/>
        </w:rPr>
        <w:t>customers</w:t>
      </w:r>
      <w:r>
        <w:rPr>
          <w:spacing w:val="-3"/>
        </w:rPr>
        <w:t> </w:t>
      </w:r>
      <w:r>
        <w:rPr>
          <w:spacing w:val="-2"/>
        </w:rPr>
        <w:t>require,</w:t>
      </w:r>
      <w:r>
        <w:rPr>
          <w:spacing w:val="-5"/>
        </w:rPr>
        <w:t> </w:t>
      </w:r>
      <w:r>
        <w:rPr>
          <w:spacing w:val="-2"/>
        </w:rPr>
        <w:t>our</w:t>
      </w:r>
      <w:r>
        <w:rPr>
          <w:spacing w:val="-3"/>
        </w:rPr>
        <w:t> </w:t>
      </w:r>
      <w:r>
        <w:rPr>
          <w:spacing w:val="-2"/>
        </w:rPr>
        <w:t>business</w:t>
      </w:r>
      <w:r>
        <w:rPr>
          <w:spacing w:val="-3"/>
        </w:rPr>
        <w:t> </w:t>
      </w:r>
      <w:r>
        <w:rPr>
          <w:spacing w:val="-2"/>
        </w:rPr>
        <w:t>could</w:t>
      </w:r>
      <w:r>
        <w:rPr>
          <w:spacing w:val="-3"/>
        </w:rPr>
        <w:t> </w:t>
      </w:r>
      <w:r>
        <w:rPr>
          <w:spacing w:val="-2"/>
        </w:rPr>
        <w:t>be</w:t>
      </w:r>
      <w:r>
        <w:rPr>
          <w:spacing w:val="-5"/>
        </w:rPr>
        <w:t> </w:t>
      </w:r>
      <w:r>
        <w:rPr>
          <w:spacing w:val="-2"/>
        </w:rPr>
        <w:t>adversely</w:t>
      </w:r>
      <w:r>
        <w:rPr>
          <w:spacing w:val="-3"/>
        </w:rPr>
        <w:t> </w:t>
      </w:r>
      <w:r>
        <w:rPr>
          <w:spacing w:val="-2"/>
        </w:rPr>
        <w:t>affected.</w:t>
      </w:r>
      <w:r>
        <w:rPr>
          <w:spacing w:val="-5"/>
        </w:rPr>
        <w:t> </w:t>
      </w:r>
      <w:r>
        <w:rPr>
          <w:spacing w:val="-2"/>
        </w:rPr>
        <w:t>Customers</w:t>
      </w:r>
      <w:r>
        <w:rPr>
          <w:spacing w:val="-3"/>
        </w:rPr>
        <w:t> </w:t>
      </w:r>
      <w:r>
        <w:rPr>
          <w:spacing w:val="-2"/>
        </w:rPr>
        <w:t>may</w:t>
      </w:r>
      <w:r>
        <w:rPr>
          <w:spacing w:val="-5"/>
        </w:rPr>
        <w:t> </w:t>
      </w:r>
      <w:r>
        <w:rPr>
          <w:spacing w:val="-2"/>
        </w:rPr>
        <w:t>also</w:t>
      </w:r>
      <w:r>
        <w:rPr>
          <w:spacing w:val="-3"/>
        </w:rPr>
        <w:t> </w:t>
      </w:r>
      <w:r>
        <w:rPr>
          <w:spacing w:val="-2"/>
        </w:rPr>
        <w:t>adopt</w:t>
      </w:r>
      <w:r>
        <w:rPr>
          <w:spacing w:val="-5"/>
        </w:rPr>
        <w:t> </w:t>
      </w:r>
      <w:r>
        <w:rPr>
          <w:spacing w:val="-2"/>
        </w:rPr>
        <w:t>security</w:t>
      </w:r>
      <w:r>
        <w:rPr>
          <w:spacing w:val="-3"/>
        </w:rPr>
        <w:t> </w:t>
      </w:r>
      <w:r>
        <w:rPr>
          <w:spacing w:val="-2"/>
        </w:rPr>
        <w:t>measures</w:t>
      </w:r>
      <w:r>
        <w:rPr>
          <w:spacing w:val="-3"/>
        </w:rPr>
        <w:t> </w:t>
      </w:r>
      <w:r>
        <w:rPr>
          <w:spacing w:val="-2"/>
        </w:rPr>
        <w:t>designed </w:t>
      </w:r>
      <w:r>
        <w:rPr/>
        <w:t>to protect their existing computer systems from attack, which could delay adoption of new technologies. Further, if we or our customers are subject to a future attack, or our technology is used in a third-party attack, we could be subject to costly and time intensive notice requirements, and it may be necessary for us to take additional extraordinary measures and make additional expenditures to take appropriate responsive and preventative steps.</w:t>
      </w:r>
      <w:r>
        <w:rPr>
          <w:spacing w:val="-1"/>
        </w:rPr>
        <w:t> </w:t>
      </w:r>
      <w:r>
        <w:rPr/>
        <w:t>Any of these events could adversely affect our revenue or margins. Moreover, delayed sales, lower margins or lost customers resulting from disruptions caused by cyber-attacks or preventative measures could adversely affect our financial results, stock price and reputation.</w:t>
      </w:r>
    </w:p>
    <w:p>
      <w:pPr>
        <w:pStyle w:val="Heading3"/>
        <w:spacing w:line="249" w:lineRule="auto" w:before="132"/>
        <w:ind w:right="247"/>
        <w:jc w:val="both"/>
      </w:pPr>
      <w:r>
        <w:rPr/>
        <w:t>We</w:t>
      </w:r>
      <w:r>
        <w:rPr>
          <w:spacing w:val="-1"/>
        </w:rPr>
        <w:t> </w:t>
      </w:r>
      <w:r>
        <w:rPr/>
        <w:t>may</w:t>
      </w:r>
      <w:r>
        <w:rPr>
          <w:spacing w:val="-1"/>
        </w:rPr>
        <w:t> </w:t>
      </w:r>
      <w:r>
        <w:rPr/>
        <w:t>not</w:t>
      </w:r>
      <w:r>
        <w:rPr>
          <w:spacing w:val="-1"/>
        </w:rPr>
        <w:t> </w:t>
      </w:r>
      <w:r>
        <w:rPr/>
        <w:t>realize</w:t>
      </w:r>
      <w:r>
        <w:rPr>
          <w:spacing w:val="-1"/>
        </w:rPr>
        <w:t> </w:t>
      </w:r>
      <w:r>
        <w:rPr/>
        <w:t>the</w:t>
      </w:r>
      <w:r>
        <w:rPr>
          <w:spacing w:val="-1"/>
        </w:rPr>
        <w:t> </w:t>
      </w:r>
      <w:r>
        <w:rPr/>
        <w:t>anticipated</w:t>
      </w:r>
      <w:r>
        <w:rPr>
          <w:spacing w:val="-1"/>
        </w:rPr>
        <w:t> </w:t>
      </w:r>
      <w:r>
        <w:rPr/>
        <w:t>benefits</w:t>
      </w:r>
      <w:r>
        <w:rPr>
          <w:spacing w:val="-1"/>
        </w:rPr>
        <w:t> </w:t>
      </w:r>
      <w:r>
        <w:rPr/>
        <w:t>of</w:t>
      </w:r>
      <w:r>
        <w:rPr>
          <w:spacing w:val="-1"/>
        </w:rPr>
        <w:t> </w:t>
      </w:r>
      <w:r>
        <w:rPr/>
        <w:t>past</w:t>
      </w:r>
      <w:r>
        <w:rPr>
          <w:spacing w:val="-1"/>
        </w:rPr>
        <w:t> </w:t>
      </w:r>
      <w:r>
        <w:rPr/>
        <w:t>or</w:t>
      </w:r>
      <w:r>
        <w:rPr>
          <w:spacing w:val="-1"/>
        </w:rPr>
        <w:t> </w:t>
      </w:r>
      <w:r>
        <w:rPr/>
        <w:t>future</w:t>
      </w:r>
      <w:r>
        <w:rPr>
          <w:spacing w:val="-1"/>
        </w:rPr>
        <w:t> </w:t>
      </w:r>
      <w:r>
        <w:rPr/>
        <w:t>investments or</w:t>
      </w:r>
      <w:r>
        <w:rPr>
          <w:spacing w:val="-1"/>
        </w:rPr>
        <w:t> </w:t>
      </w:r>
      <w:r>
        <w:rPr/>
        <w:t>acquisitions,</w:t>
      </w:r>
      <w:r>
        <w:rPr>
          <w:spacing w:val="-1"/>
        </w:rPr>
        <w:t> </w:t>
      </w:r>
      <w:r>
        <w:rPr/>
        <w:t>and</w:t>
      </w:r>
      <w:r>
        <w:rPr>
          <w:spacing w:val="-1"/>
        </w:rPr>
        <w:t> </w:t>
      </w:r>
      <w:r>
        <w:rPr/>
        <w:t>integration</w:t>
      </w:r>
      <w:r>
        <w:rPr>
          <w:spacing w:val="-1"/>
        </w:rPr>
        <w:t> </w:t>
      </w:r>
      <w:r>
        <w:rPr/>
        <w:t>of</w:t>
      </w:r>
      <w:r>
        <w:rPr>
          <w:spacing w:val="-1"/>
        </w:rPr>
        <w:t> </w:t>
      </w:r>
      <w:r>
        <w:rPr/>
        <w:t>acquisitions may disrupt our business and management.</w:t>
      </w:r>
    </w:p>
    <w:p>
      <w:pPr>
        <w:pStyle w:val="BodyText"/>
        <w:spacing w:line="249" w:lineRule="auto" w:before="182"/>
        <w:ind w:left="210" w:firstLine="540"/>
      </w:pPr>
      <w:r>
        <w:rPr/>
        <w:t>We</w:t>
      </w:r>
      <w:r>
        <w:rPr>
          <w:spacing w:val="-7"/>
        </w:rPr>
        <w:t> </w:t>
      </w:r>
      <w:r>
        <w:rPr/>
        <w:t>may</w:t>
      </w:r>
      <w:r>
        <w:rPr>
          <w:spacing w:val="-7"/>
        </w:rPr>
        <w:t> </w:t>
      </w:r>
      <w:r>
        <w:rPr/>
        <w:t>not</w:t>
      </w:r>
      <w:r>
        <w:rPr>
          <w:spacing w:val="-7"/>
        </w:rPr>
        <w:t> </w:t>
      </w:r>
      <w:r>
        <w:rPr/>
        <w:t>realize</w:t>
      </w:r>
      <w:r>
        <w:rPr>
          <w:spacing w:val="-7"/>
        </w:rPr>
        <w:t> </w:t>
      </w:r>
      <w:r>
        <w:rPr/>
        <w:t>the</w:t>
      </w:r>
      <w:r>
        <w:rPr>
          <w:spacing w:val="-7"/>
        </w:rPr>
        <w:t> </w:t>
      </w:r>
      <w:r>
        <w:rPr/>
        <w:t>anticipated</w:t>
      </w:r>
      <w:r>
        <w:rPr>
          <w:spacing w:val="-7"/>
        </w:rPr>
        <w:t> </w:t>
      </w:r>
      <w:r>
        <w:rPr/>
        <w:t>benefits</w:t>
      </w:r>
      <w:r>
        <w:rPr>
          <w:spacing w:val="-7"/>
        </w:rPr>
        <w:t> </w:t>
      </w:r>
      <w:r>
        <w:rPr/>
        <w:t>of</w:t>
      </w:r>
      <w:r>
        <w:rPr>
          <w:spacing w:val="-7"/>
        </w:rPr>
        <w:t> </w:t>
      </w:r>
      <w:r>
        <w:rPr/>
        <w:t>an</w:t>
      </w:r>
      <w:r>
        <w:rPr>
          <w:spacing w:val="-7"/>
        </w:rPr>
        <w:t> </w:t>
      </w:r>
      <w:r>
        <w:rPr/>
        <w:t>investment</w:t>
      </w:r>
      <w:r>
        <w:rPr>
          <w:spacing w:val="-7"/>
        </w:rPr>
        <w:t> </w:t>
      </w:r>
      <w:r>
        <w:rPr/>
        <w:t>or</w:t>
      </w:r>
      <w:r>
        <w:rPr>
          <w:spacing w:val="-7"/>
        </w:rPr>
        <w:t> </w:t>
      </w:r>
      <w:r>
        <w:rPr/>
        <w:t>acquisition</w:t>
      </w:r>
      <w:r>
        <w:rPr>
          <w:spacing w:val="-7"/>
        </w:rPr>
        <w:t> </w:t>
      </w:r>
      <w:r>
        <w:rPr/>
        <w:t>of</w:t>
      </w:r>
      <w:r>
        <w:rPr>
          <w:spacing w:val="-7"/>
        </w:rPr>
        <w:t> </w:t>
      </w:r>
      <w:r>
        <w:rPr/>
        <w:t>a</w:t>
      </w:r>
      <w:r>
        <w:rPr>
          <w:spacing w:val="-7"/>
        </w:rPr>
        <w:t> </w:t>
      </w:r>
      <w:r>
        <w:rPr/>
        <w:t>company,</w:t>
      </w:r>
      <w:r>
        <w:rPr>
          <w:spacing w:val="-7"/>
        </w:rPr>
        <w:t> </w:t>
      </w:r>
      <w:r>
        <w:rPr/>
        <w:t>division,</w:t>
      </w:r>
      <w:r>
        <w:rPr>
          <w:spacing w:val="-7"/>
        </w:rPr>
        <w:t> </w:t>
      </w:r>
      <w:r>
        <w:rPr/>
        <w:t>product</w:t>
      </w:r>
      <w:r>
        <w:rPr>
          <w:spacing w:val="-7"/>
        </w:rPr>
        <w:t> </w:t>
      </w:r>
      <w:r>
        <w:rPr/>
        <w:t>or</w:t>
      </w:r>
      <w:r>
        <w:rPr>
          <w:spacing w:val="-7"/>
        </w:rPr>
        <w:t> </w:t>
      </w:r>
      <w:r>
        <w:rPr/>
        <w:t>technology, each of which involves numerous risks. These risks include:</w:t>
      </w:r>
    </w:p>
    <w:p>
      <w:pPr>
        <w:pStyle w:val="ListParagraph"/>
        <w:numPr>
          <w:ilvl w:val="0"/>
          <w:numId w:val="4"/>
        </w:numPr>
        <w:tabs>
          <w:tab w:pos="1109" w:val="left" w:leader="none"/>
        </w:tabs>
        <w:spacing w:line="240" w:lineRule="auto" w:before="181" w:after="0"/>
        <w:ind w:left="1109" w:right="0" w:hanging="359"/>
        <w:jc w:val="left"/>
        <w:rPr>
          <w:sz w:val="20"/>
        </w:rPr>
      </w:pPr>
      <w:r>
        <w:rPr>
          <w:sz w:val="20"/>
        </w:rPr>
        <w:t>inability</w:t>
      </w:r>
      <w:r>
        <w:rPr>
          <w:spacing w:val="-1"/>
          <w:sz w:val="20"/>
        </w:rPr>
        <w:t> </w:t>
      </w:r>
      <w:r>
        <w:rPr>
          <w:sz w:val="20"/>
        </w:rPr>
        <w:t>to achieve the</w:t>
      </w:r>
      <w:r>
        <w:rPr>
          <w:spacing w:val="-1"/>
          <w:sz w:val="20"/>
        </w:rPr>
        <w:t> </w:t>
      </w:r>
      <w:r>
        <w:rPr>
          <w:sz w:val="20"/>
        </w:rPr>
        <w:t>financial and strategic</w:t>
      </w:r>
      <w:r>
        <w:rPr>
          <w:spacing w:val="-1"/>
          <w:sz w:val="20"/>
        </w:rPr>
        <w:t> </w:t>
      </w:r>
      <w:r>
        <w:rPr>
          <w:sz w:val="20"/>
        </w:rPr>
        <w:t>goals</w:t>
      </w:r>
      <w:r>
        <w:rPr>
          <w:spacing w:val="-1"/>
          <w:sz w:val="20"/>
        </w:rPr>
        <w:t> </w:t>
      </w:r>
      <w:r>
        <w:rPr>
          <w:sz w:val="20"/>
        </w:rPr>
        <w:t>for the</w:t>
      </w:r>
      <w:r>
        <w:rPr>
          <w:spacing w:val="-1"/>
          <w:sz w:val="20"/>
        </w:rPr>
        <w:t> </w:t>
      </w:r>
      <w:r>
        <w:rPr>
          <w:sz w:val="20"/>
        </w:rPr>
        <w:t>acquired and combined </w:t>
      </w:r>
      <w:r>
        <w:rPr>
          <w:spacing w:val="-2"/>
          <w:sz w:val="20"/>
        </w:rPr>
        <w:t>businesses;</w:t>
      </w:r>
    </w:p>
    <w:p>
      <w:pPr>
        <w:pStyle w:val="BodyText"/>
        <w:spacing w:before="20"/>
      </w:pPr>
    </w:p>
    <w:p>
      <w:pPr>
        <w:pStyle w:val="ListParagraph"/>
        <w:numPr>
          <w:ilvl w:val="0"/>
          <w:numId w:val="4"/>
        </w:numPr>
        <w:tabs>
          <w:tab w:pos="1110" w:val="left" w:leader="none"/>
        </w:tabs>
        <w:spacing w:line="249" w:lineRule="auto" w:before="0" w:after="0"/>
        <w:ind w:left="1110" w:right="317" w:hanging="360"/>
        <w:jc w:val="left"/>
        <w:rPr>
          <w:sz w:val="20"/>
        </w:rPr>
      </w:pPr>
      <w:r>
        <w:rPr>
          <w:sz w:val="20"/>
        </w:rPr>
        <w:t>difficulty</w:t>
      </w:r>
      <w:r>
        <w:rPr>
          <w:spacing w:val="-3"/>
          <w:sz w:val="20"/>
        </w:rPr>
        <w:t> </w:t>
      </w:r>
      <w:r>
        <w:rPr>
          <w:sz w:val="20"/>
        </w:rPr>
        <w:t>in,</w:t>
      </w:r>
      <w:r>
        <w:rPr>
          <w:spacing w:val="-3"/>
          <w:sz w:val="20"/>
        </w:rPr>
        <w:t> </w:t>
      </w:r>
      <w:r>
        <w:rPr>
          <w:sz w:val="20"/>
        </w:rPr>
        <w:t>and</w:t>
      </w:r>
      <w:r>
        <w:rPr>
          <w:spacing w:val="-3"/>
          <w:sz w:val="20"/>
        </w:rPr>
        <w:t> </w:t>
      </w:r>
      <w:r>
        <w:rPr>
          <w:sz w:val="20"/>
        </w:rPr>
        <w:t>the</w:t>
      </w:r>
      <w:r>
        <w:rPr>
          <w:spacing w:val="-3"/>
          <w:sz w:val="20"/>
        </w:rPr>
        <w:t> </w:t>
      </w:r>
      <w:r>
        <w:rPr>
          <w:sz w:val="20"/>
        </w:rPr>
        <w:t>cost</w:t>
      </w:r>
      <w:r>
        <w:rPr>
          <w:spacing w:val="-3"/>
          <w:sz w:val="20"/>
        </w:rPr>
        <w:t> </w:t>
      </w:r>
      <w:r>
        <w:rPr>
          <w:sz w:val="20"/>
        </w:rPr>
        <w:t>of,</w:t>
      </w:r>
      <w:r>
        <w:rPr>
          <w:spacing w:val="-3"/>
          <w:sz w:val="20"/>
        </w:rPr>
        <w:t> </w:t>
      </w:r>
      <w:r>
        <w:rPr>
          <w:sz w:val="20"/>
        </w:rPr>
        <w:t>effectively</w:t>
      </w:r>
      <w:r>
        <w:rPr>
          <w:spacing w:val="-3"/>
          <w:sz w:val="20"/>
        </w:rPr>
        <w:t> </w:t>
      </w:r>
      <w:r>
        <w:rPr>
          <w:sz w:val="20"/>
        </w:rPr>
        <w:t>integrating</w:t>
      </w:r>
      <w:r>
        <w:rPr>
          <w:spacing w:val="-3"/>
          <w:sz w:val="20"/>
        </w:rPr>
        <w:t> </w:t>
      </w:r>
      <w:r>
        <w:rPr>
          <w:sz w:val="20"/>
        </w:rPr>
        <w:t>the</w:t>
      </w:r>
      <w:r>
        <w:rPr>
          <w:spacing w:val="-3"/>
          <w:sz w:val="20"/>
        </w:rPr>
        <w:t> </w:t>
      </w:r>
      <w:r>
        <w:rPr>
          <w:sz w:val="20"/>
        </w:rPr>
        <w:t>operations,</w:t>
      </w:r>
      <w:r>
        <w:rPr>
          <w:spacing w:val="-3"/>
          <w:sz w:val="20"/>
        </w:rPr>
        <w:t> </w:t>
      </w:r>
      <w:r>
        <w:rPr>
          <w:sz w:val="20"/>
        </w:rPr>
        <w:t>technologies,</w:t>
      </w:r>
      <w:r>
        <w:rPr>
          <w:spacing w:val="-3"/>
          <w:sz w:val="20"/>
        </w:rPr>
        <w:t> </w:t>
      </w:r>
      <w:r>
        <w:rPr>
          <w:sz w:val="20"/>
        </w:rPr>
        <w:t>products</w:t>
      </w:r>
      <w:r>
        <w:rPr>
          <w:spacing w:val="-4"/>
          <w:sz w:val="20"/>
        </w:rPr>
        <w:t> </w:t>
      </w:r>
      <w:r>
        <w:rPr>
          <w:sz w:val="20"/>
        </w:rPr>
        <w:t>or</w:t>
      </w:r>
      <w:r>
        <w:rPr>
          <w:spacing w:val="-3"/>
          <w:sz w:val="20"/>
        </w:rPr>
        <w:t> </w:t>
      </w:r>
      <w:r>
        <w:rPr>
          <w:sz w:val="20"/>
        </w:rPr>
        <w:t>services,</w:t>
      </w:r>
      <w:r>
        <w:rPr>
          <w:spacing w:val="-3"/>
          <w:sz w:val="20"/>
        </w:rPr>
        <w:t> </w:t>
      </w:r>
      <w:r>
        <w:rPr>
          <w:sz w:val="20"/>
        </w:rPr>
        <w:t>and</w:t>
      </w:r>
      <w:r>
        <w:rPr>
          <w:spacing w:val="-3"/>
          <w:sz w:val="20"/>
        </w:rPr>
        <w:t> </w:t>
      </w:r>
      <w:r>
        <w:rPr>
          <w:sz w:val="20"/>
        </w:rPr>
        <w:t>personnel of the acquired business;</w:t>
      </w:r>
    </w:p>
    <w:p>
      <w:pPr>
        <w:pStyle w:val="BodyText"/>
        <w:spacing w:before="12"/>
      </w:pPr>
    </w:p>
    <w:p>
      <w:pPr>
        <w:pStyle w:val="ListParagraph"/>
        <w:numPr>
          <w:ilvl w:val="0"/>
          <w:numId w:val="4"/>
        </w:numPr>
        <w:tabs>
          <w:tab w:pos="1110" w:val="left" w:leader="none"/>
        </w:tabs>
        <w:spacing w:line="249" w:lineRule="auto" w:before="0" w:after="0"/>
        <w:ind w:left="1110" w:right="247" w:hanging="360"/>
        <w:jc w:val="left"/>
        <w:rPr>
          <w:sz w:val="20"/>
        </w:rPr>
      </w:pPr>
      <w:r>
        <w:rPr>
          <w:sz w:val="20"/>
        </w:rPr>
        <w:t>entry into markets in which we have minimal prior experience and where competitors in such markets have stronger market positions;</w:t>
      </w:r>
    </w:p>
    <w:p>
      <w:pPr>
        <w:pStyle w:val="BodyText"/>
        <w:spacing w:before="11"/>
      </w:pPr>
    </w:p>
    <w:p>
      <w:pPr>
        <w:pStyle w:val="ListParagraph"/>
        <w:numPr>
          <w:ilvl w:val="0"/>
          <w:numId w:val="4"/>
        </w:numPr>
        <w:tabs>
          <w:tab w:pos="1110" w:val="left" w:leader="none"/>
        </w:tabs>
        <w:spacing w:line="249" w:lineRule="auto" w:before="1" w:after="0"/>
        <w:ind w:left="1110" w:right="248" w:hanging="360"/>
        <w:jc w:val="left"/>
        <w:rPr>
          <w:sz w:val="20"/>
        </w:rPr>
      </w:pPr>
      <w:r>
        <w:rPr>
          <w:sz w:val="20"/>
        </w:rPr>
        <w:t>disruption</w:t>
      </w:r>
      <w:r>
        <w:rPr>
          <w:spacing w:val="-1"/>
          <w:sz w:val="20"/>
        </w:rPr>
        <w:t> </w:t>
      </w:r>
      <w:r>
        <w:rPr>
          <w:sz w:val="20"/>
        </w:rPr>
        <w:t>of</w:t>
      </w:r>
      <w:r>
        <w:rPr>
          <w:spacing w:val="-1"/>
          <w:sz w:val="20"/>
        </w:rPr>
        <w:t> </w:t>
      </w:r>
      <w:r>
        <w:rPr>
          <w:sz w:val="20"/>
        </w:rPr>
        <w:t>our</w:t>
      </w:r>
      <w:r>
        <w:rPr>
          <w:spacing w:val="-1"/>
          <w:sz w:val="20"/>
        </w:rPr>
        <w:t> </w:t>
      </w:r>
      <w:r>
        <w:rPr>
          <w:sz w:val="20"/>
        </w:rPr>
        <w:t>ongoing</w:t>
      </w:r>
      <w:r>
        <w:rPr>
          <w:spacing w:val="-1"/>
          <w:sz w:val="20"/>
        </w:rPr>
        <w:t> </w:t>
      </w:r>
      <w:r>
        <w:rPr>
          <w:sz w:val="20"/>
        </w:rPr>
        <w:t>business</w:t>
      </w:r>
      <w:r>
        <w:rPr>
          <w:spacing w:val="-1"/>
          <w:sz w:val="20"/>
        </w:rPr>
        <w:t> </w:t>
      </w:r>
      <w:r>
        <w:rPr>
          <w:sz w:val="20"/>
        </w:rPr>
        <w:t>and</w:t>
      </w:r>
      <w:r>
        <w:rPr>
          <w:spacing w:val="-1"/>
          <w:sz w:val="20"/>
        </w:rPr>
        <w:t> </w:t>
      </w:r>
      <w:r>
        <w:rPr>
          <w:sz w:val="20"/>
        </w:rPr>
        <w:t>distraction</w:t>
      </w:r>
      <w:r>
        <w:rPr>
          <w:spacing w:val="-1"/>
          <w:sz w:val="20"/>
        </w:rPr>
        <w:t> </w:t>
      </w:r>
      <w:r>
        <w:rPr>
          <w:sz w:val="20"/>
        </w:rPr>
        <w:t>of</w:t>
      </w:r>
      <w:r>
        <w:rPr>
          <w:spacing w:val="-1"/>
          <w:sz w:val="20"/>
        </w:rPr>
        <w:t> </w:t>
      </w:r>
      <w:r>
        <w:rPr>
          <w:sz w:val="20"/>
        </w:rPr>
        <w:t>our</w:t>
      </w:r>
      <w:r>
        <w:rPr>
          <w:spacing w:val="-1"/>
          <w:sz w:val="20"/>
        </w:rPr>
        <w:t> </w:t>
      </w:r>
      <w:r>
        <w:rPr>
          <w:sz w:val="20"/>
        </w:rPr>
        <w:t>management</w:t>
      </w:r>
      <w:r>
        <w:rPr>
          <w:spacing w:val="-2"/>
          <w:sz w:val="20"/>
        </w:rPr>
        <w:t> </w:t>
      </w:r>
      <w:r>
        <w:rPr>
          <w:sz w:val="20"/>
        </w:rPr>
        <w:t>and</w:t>
      </w:r>
      <w:r>
        <w:rPr>
          <w:spacing w:val="-1"/>
          <w:sz w:val="20"/>
        </w:rPr>
        <w:t> </w:t>
      </w:r>
      <w:r>
        <w:rPr>
          <w:sz w:val="20"/>
        </w:rPr>
        <w:t>other</w:t>
      </w:r>
      <w:r>
        <w:rPr>
          <w:spacing w:val="-1"/>
          <w:sz w:val="20"/>
        </w:rPr>
        <w:t> </w:t>
      </w:r>
      <w:r>
        <w:rPr>
          <w:sz w:val="20"/>
        </w:rPr>
        <w:t>employees</w:t>
      </w:r>
      <w:r>
        <w:rPr>
          <w:spacing w:val="-1"/>
          <w:sz w:val="20"/>
        </w:rPr>
        <w:t> </w:t>
      </w:r>
      <w:r>
        <w:rPr>
          <w:sz w:val="20"/>
        </w:rPr>
        <w:t>from</w:t>
      </w:r>
      <w:r>
        <w:rPr>
          <w:spacing w:val="-1"/>
          <w:sz w:val="20"/>
        </w:rPr>
        <w:t> </w:t>
      </w:r>
      <w:r>
        <w:rPr>
          <w:sz w:val="20"/>
        </w:rPr>
        <w:t>other</w:t>
      </w:r>
      <w:r>
        <w:rPr>
          <w:spacing w:val="-1"/>
          <w:sz w:val="20"/>
        </w:rPr>
        <w:t> </w:t>
      </w:r>
      <w:r>
        <w:rPr>
          <w:sz w:val="20"/>
        </w:rPr>
        <w:t>opportunities and challenges;</w:t>
      </w:r>
    </w:p>
    <w:p>
      <w:pPr>
        <w:pStyle w:val="BodyText"/>
        <w:spacing w:before="11"/>
      </w:pPr>
    </w:p>
    <w:p>
      <w:pPr>
        <w:pStyle w:val="ListParagraph"/>
        <w:numPr>
          <w:ilvl w:val="0"/>
          <w:numId w:val="4"/>
        </w:numPr>
        <w:tabs>
          <w:tab w:pos="1109" w:val="left" w:leader="none"/>
        </w:tabs>
        <w:spacing w:line="240" w:lineRule="auto" w:before="0" w:after="0"/>
        <w:ind w:left="1109" w:right="0" w:hanging="359"/>
        <w:jc w:val="left"/>
        <w:rPr>
          <w:sz w:val="20"/>
        </w:rPr>
      </w:pPr>
      <w:r>
        <w:rPr>
          <w:sz w:val="20"/>
        </w:rPr>
        <w:t>inability to retain personnel of the acquired </w:t>
      </w:r>
      <w:r>
        <w:rPr>
          <w:spacing w:val="-2"/>
          <w:sz w:val="20"/>
        </w:rPr>
        <w:t>business;</w:t>
      </w:r>
    </w:p>
    <w:p>
      <w:pPr>
        <w:pStyle w:val="BodyText"/>
        <w:spacing w:before="20"/>
      </w:pPr>
    </w:p>
    <w:p>
      <w:pPr>
        <w:pStyle w:val="ListParagraph"/>
        <w:numPr>
          <w:ilvl w:val="0"/>
          <w:numId w:val="4"/>
        </w:numPr>
        <w:tabs>
          <w:tab w:pos="1109" w:val="left" w:leader="none"/>
        </w:tabs>
        <w:spacing w:line="240" w:lineRule="auto" w:before="0" w:after="0"/>
        <w:ind w:left="1109" w:right="0" w:hanging="359"/>
        <w:jc w:val="left"/>
        <w:rPr>
          <w:sz w:val="20"/>
        </w:rPr>
      </w:pPr>
      <w:r>
        <w:rPr>
          <w:sz w:val="20"/>
        </w:rPr>
        <w:t>inability</w:t>
      </w:r>
      <w:r>
        <w:rPr>
          <w:spacing w:val="-2"/>
          <w:sz w:val="20"/>
        </w:rPr>
        <w:t> </w:t>
      </w:r>
      <w:r>
        <w:rPr>
          <w:sz w:val="20"/>
        </w:rPr>
        <w:t>to</w:t>
      </w:r>
      <w:r>
        <w:rPr>
          <w:spacing w:val="-1"/>
          <w:sz w:val="20"/>
        </w:rPr>
        <w:t> </w:t>
      </w:r>
      <w:r>
        <w:rPr>
          <w:sz w:val="20"/>
        </w:rPr>
        <w:t>retain</w:t>
      </w:r>
      <w:r>
        <w:rPr>
          <w:spacing w:val="-2"/>
          <w:sz w:val="20"/>
        </w:rPr>
        <w:t> </w:t>
      </w:r>
      <w:r>
        <w:rPr>
          <w:sz w:val="20"/>
        </w:rPr>
        <w:t>key</w:t>
      </w:r>
      <w:r>
        <w:rPr>
          <w:spacing w:val="-1"/>
          <w:sz w:val="20"/>
        </w:rPr>
        <w:t> </w:t>
      </w:r>
      <w:r>
        <w:rPr>
          <w:sz w:val="20"/>
        </w:rPr>
        <w:t>customers,</w:t>
      </w:r>
      <w:r>
        <w:rPr>
          <w:spacing w:val="-2"/>
          <w:sz w:val="20"/>
        </w:rPr>
        <w:t> </w:t>
      </w:r>
      <w:r>
        <w:rPr>
          <w:sz w:val="20"/>
        </w:rPr>
        <w:t>distributors,</w:t>
      </w:r>
      <w:r>
        <w:rPr>
          <w:spacing w:val="-1"/>
          <w:sz w:val="20"/>
        </w:rPr>
        <w:t> </w:t>
      </w:r>
      <w:r>
        <w:rPr>
          <w:sz w:val="20"/>
        </w:rPr>
        <w:t>vendors</w:t>
      </w:r>
      <w:r>
        <w:rPr>
          <w:spacing w:val="-3"/>
          <w:sz w:val="20"/>
        </w:rPr>
        <w:t> </w:t>
      </w:r>
      <w:r>
        <w:rPr>
          <w:sz w:val="20"/>
        </w:rPr>
        <w:t>and</w:t>
      </w:r>
      <w:r>
        <w:rPr>
          <w:spacing w:val="-1"/>
          <w:sz w:val="20"/>
        </w:rPr>
        <w:t> </w:t>
      </w:r>
      <w:r>
        <w:rPr>
          <w:sz w:val="20"/>
        </w:rPr>
        <w:t>other</w:t>
      </w:r>
      <w:r>
        <w:rPr>
          <w:spacing w:val="-1"/>
          <w:sz w:val="20"/>
        </w:rPr>
        <w:t> </w:t>
      </w:r>
      <w:r>
        <w:rPr>
          <w:sz w:val="20"/>
        </w:rPr>
        <w:t>business</w:t>
      </w:r>
      <w:r>
        <w:rPr>
          <w:spacing w:val="-3"/>
          <w:sz w:val="20"/>
        </w:rPr>
        <w:t> </w:t>
      </w:r>
      <w:r>
        <w:rPr>
          <w:sz w:val="20"/>
        </w:rPr>
        <w:t>partners</w:t>
      </w:r>
      <w:r>
        <w:rPr>
          <w:spacing w:val="-2"/>
          <w:sz w:val="20"/>
        </w:rPr>
        <w:t> </w:t>
      </w:r>
      <w:r>
        <w:rPr>
          <w:sz w:val="20"/>
        </w:rPr>
        <w:t>of</w:t>
      </w:r>
      <w:r>
        <w:rPr>
          <w:spacing w:val="-2"/>
          <w:sz w:val="20"/>
        </w:rPr>
        <w:t> </w:t>
      </w:r>
      <w:r>
        <w:rPr>
          <w:sz w:val="20"/>
        </w:rPr>
        <w:t>the</w:t>
      </w:r>
      <w:r>
        <w:rPr>
          <w:spacing w:val="-1"/>
          <w:sz w:val="20"/>
        </w:rPr>
        <w:t> </w:t>
      </w:r>
      <w:r>
        <w:rPr>
          <w:sz w:val="20"/>
        </w:rPr>
        <w:t>acquired</w:t>
      </w:r>
      <w:r>
        <w:rPr>
          <w:spacing w:val="-1"/>
          <w:sz w:val="20"/>
        </w:rPr>
        <w:t> </w:t>
      </w:r>
      <w:r>
        <w:rPr>
          <w:spacing w:val="-2"/>
          <w:sz w:val="20"/>
        </w:rPr>
        <w:t>business;</w:t>
      </w:r>
    </w:p>
    <w:p>
      <w:pPr>
        <w:pStyle w:val="BodyText"/>
        <w:spacing w:before="20"/>
      </w:pPr>
    </w:p>
    <w:p>
      <w:pPr>
        <w:pStyle w:val="ListParagraph"/>
        <w:numPr>
          <w:ilvl w:val="0"/>
          <w:numId w:val="4"/>
        </w:numPr>
        <w:tabs>
          <w:tab w:pos="1109" w:val="left" w:leader="none"/>
        </w:tabs>
        <w:spacing w:line="240" w:lineRule="auto" w:before="0" w:after="0"/>
        <w:ind w:left="1109" w:right="0" w:hanging="359"/>
        <w:jc w:val="left"/>
        <w:rPr>
          <w:sz w:val="20"/>
        </w:rPr>
      </w:pPr>
      <w:r>
        <w:rPr>
          <w:sz w:val="20"/>
        </w:rPr>
        <w:t>inability to take advantage of anticipated tax </w:t>
      </w:r>
      <w:r>
        <w:rPr>
          <w:spacing w:val="-2"/>
          <w:sz w:val="20"/>
        </w:rPr>
        <w:t>benefits;</w:t>
      </w:r>
    </w:p>
    <w:p>
      <w:pPr>
        <w:pStyle w:val="BodyText"/>
        <w:spacing w:before="20"/>
      </w:pPr>
    </w:p>
    <w:p>
      <w:pPr>
        <w:pStyle w:val="ListParagraph"/>
        <w:numPr>
          <w:ilvl w:val="0"/>
          <w:numId w:val="4"/>
        </w:numPr>
        <w:tabs>
          <w:tab w:pos="1110" w:val="left" w:leader="none"/>
        </w:tabs>
        <w:spacing w:line="249" w:lineRule="auto" w:before="0" w:after="0"/>
        <w:ind w:left="1110" w:right="247" w:hanging="360"/>
        <w:jc w:val="left"/>
        <w:rPr>
          <w:sz w:val="20"/>
        </w:rPr>
      </w:pPr>
      <w:r>
        <w:rPr>
          <w:sz w:val="20"/>
        </w:rPr>
        <w:t>incurring</w:t>
      </w:r>
      <w:r>
        <w:rPr>
          <w:spacing w:val="-6"/>
          <w:sz w:val="20"/>
        </w:rPr>
        <w:t> </w:t>
      </w:r>
      <w:r>
        <w:rPr>
          <w:sz w:val="20"/>
        </w:rPr>
        <w:t>acquisition-related</w:t>
      </w:r>
      <w:r>
        <w:rPr>
          <w:spacing w:val="-6"/>
          <w:sz w:val="20"/>
        </w:rPr>
        <w:t> </w:t>
      </w:r>
      <w:r>
        <w:rPr>
          <w:sz w:val="20"/>
        </w:rPr>
        <w:t>costs</w:t>
      </w:r>
      <w:r>
        <w:rPr>
          <w:spacing w:val="-6"/>
          <w:sz w:val="20"/>
        </w:rPr>
        <w:t> </w:t>
      </w:r>
      <w:r>
        <w:rPr>
          <w:sz w:val="20"/>
        </w:rPr>
        <w:t>or</w:t>
      </w:r>
      <w:r>
        <w:rPr>
          <w:spacing w:val="-6"/>
          <w:sz w:val="20"/>
        </w:rPr>
        <w:t> </w:t>
      </w:r>
      <w:r>
        <w:rPr>
          <w:sz w:val="20"/>
        </w:rPr>
        <w:t>amortization</w:t>
      </w:r>
      <w:r>
        <w:rPr>
          <w:spacing w:val="-6"/>
          <w:sz w:val="20"/>
        </w:rPr>
        <w:t> </w:t>
      </w:r>
      <w:r>
        <w:rPr>
          <w:sz w:val="20"/>
        </w:rPr>
        <w:t>costs</w:t>
      </w:r>
      <w:r>
        <w:rPr>
          <w:spacing w:val="-6"/>
          <w:sz w:val="20"/>
        </w:rPr>
        <w:t> </w:t>
      </w:r>
      <w:r>
        <w:rPr>
          <w:sz w:val="20"/>
        </w:rPr>
        <w:t>for</w:t>
      </w:r>
      <w:r>
        <w:rPr>
          <w:spacing w:val="-6"/>
          <w:sz w:val="20"/>
        </w:rPr>
        <w:t> </w:t>
      </w:r>
      <w:r>
        <w:rPr>
          <w:sz w:val="20"/>
        </w:rPr>
        <w:t>acquired</w:t>
      </w:r>
      <w:r>
        <w:rPr>
          <w:spacing w:val="-6"/>
          <w:sz w:val="20"/>
        </w:rPr>
        <w:t> </w:t>
      </w:r>
      <w:r>
        <w:rPr>
          <w:sz w:val="20"/>
        </w:rPr>
        <w:t>intangible</w:t>
      </w:r>
      <w:r>
        <w:rPr>
          <w:spacing w:val="-7"/>
          <w:sz w:val="20"/>
        </w:rPr>
        <w:t> </w:t>
      </w:r>
      <w:r>
        <w:rPr>
          <w:sz w:val="20"/>
        </w:rPr>
        <w:t>assets</w:t>
      </w:r>
      <w:r>
        <w:rPr>
          <w:spacing w:val="-6"/>
          <w:sz w:val="20"/>
        </w:rPr>
        <w:t> </w:t>
      </w:r>
      <w:r>
        <w:rPr>
          <w:sz w:val="20"/>
        </w:rPr>
        <w:t>that</w:t>
      </w:r>
      <w:r>
        <w:rPr>
          <w:spacing w:val="-6"/>
          <w:sz w:val="20"/>
        </w:rPr>
        <w:t> </w:t>
      </w:r>
      <w:r>
        <w:rPr>
          <w:sz w:val="20"/>
        </w:rPr>
        <w:t>could</w:t>
      </w:r>
      <w:r>
        <w:rPr>
          <w:spacing w:val="-6"/>
          <w:sz w:val="20"/>
        </w:rPr>
        <w:t> </w:t>
      </w:r>
      <w:r>
        <w:rPr>
          <w:sz w:val="20"/>
        </w:rPr>
        <w:t>impact</w:t>
      </w:r>
      <w:r>
        <w:rPr>
          <w:spacing w:val="-6"/>
          <w:sz w:val="20"/>
        </w:rPr>
        <w:t> </w:t>
      </w:r>
      <w:r>
        <w:rPr>
          <w:sz w:val="20"/>
        </w:rPr>
        <w:t>our</w:t>
      </w:r>
      <w:r>
        <w:rPr>
          <w:spacing w:val="-6"/>
          <w:sz w:val="20"/>
        </w:rPr>
        <w:t> </w:t>
      </w:r>
      <w:r>
        <w:rPr>
          <w:sz w:val="20"/>
        </w:rPr>
        <w:t>operating </w:t>
      </w:r>
      <w:r>
        <w:rPr>
          <w:spacing w:val="-2"/>
          <w:sz w:val="20"/>
        </w:rPr>
        <w:t>results;</w:t>
      </w:r>
    </w:p>
    <w:p>
      <w:pPr>
        <w:pStyle w:val="BodyText"/>
        <w:spacing w:before="12"/>
      </w:pPr>
    </w:p>
    <w:p>
      <w:pPr>
        <w:pStyle w:val="ListParagraph"/>
        <w:numPr>
          <w:ilvl w:val="0"/>
          <w:numId w:val="4"/>
        </w:numPr>
        <w:tabs>
          <w:tab w:pos="1109" w:val="left" w:leader="none"/>
        </w:tabs>
        <w:spacing w:line="240" w:lineRule="auto" w:before="0" w:after="0"/>
        <w:ind w:left="1109" w:right="0" w:hanging="359"/>
        <w:jc w:val="left"/>
        <w:rPr>
          <w:sz w:val="20"/>
        </w:rPr>
      </w:pPr>
      <w:r>
        <w:rPr>
          <w:sz w:val="20"/>
        </w:rPr>
        <w:t>elevated</w:t>
      </w:r>
      <w:r>
        <w:rPr>
          <w:spacing w:val="-4"/>
          <w:sz w:val="20"/>
        </w:rPr>
        <w:t> </w:t>
      </w:r>
      <w:r>
        <w:rPr>
          <w:sz w:val="20"/>
        </w:rPr>
        <w:t>delinquency</w:t>
      </w:r>
      <w:r>
        <w:rPr>
          <w:spacing w:val="-2"/>
          <w:sz w:val="20"/>
        </w:rPr>
        <w:t> </w:t>
      </w:r>
      <w:r>
        <w:rPr>
          <w:sz w:val="20"/>
        </w:rPr>
        <w:t>or</w:t>
      </w:r>
      <w:r>
        <w:rPr>
          <w:spacing w:val="-1"/>
          <w:sz w:val="20"/>
        </w:rPr>
        <w:t> </w:t>
      </w:r>
      <w:r>
        <w:rPr>
          <w:sz w:val="20"/>
        </w:rPr>
        <w:t>bad</w:t>
      </w:r>
      <w:r>
        <w:rPr>
          <w:spacing w:val="-2"/>
          <w:sz w:val="20"/>
        </w:rPr>
        <w:t> </w:t>
      </w:r>
      <w:r>
        <w:rPr>
          <w:sz w:val="20"/>
        </w:rPr>
        <w:t>debt</w:t>
      </w:r>
      <w:r>
        <w:rPr>
          <w:spacing w:val="-1"/>
          <w:sz w:val="20"/>
        </w:rPr>
        <w:t> </w:t>
      </w:r>
      <w:r>
        <w:rPr>
          <w:sz w:val="20"/>
        </w:rPr>
        <w:t>write-offs</w:t>
      </w:r>
      <w:r>
        <w:rPr>
          <w:spacing w:val="-3"/>
          <w:sz w:val="20"/>
        </w:rPr>
        <w:t> </w:t>
      </w:r>
      <w:r>
        <w:rPr>
          <w:sz w:val="20"/>
        </w:rPr>
        <w:t>related</w:t>
      </w:r>
      <w:r>
        <w:rPr>
          <w:spacing w:val="-2"/>
          <w:sz w:val="20"/>
        </w:rPr>
        <w:t> </w:t>
      </w:r>
      <w:r>
        <w:rPr>
          <w:sz w:val="20"/>
        </w:rPr>
        <w:t>to</w:t>
      </w:r>
      <w:r>
        <w:rPr>
          <w:spacing w:val="-1"/>
          <w:sz w:val="20"/>
        </w:rPr>
        <w:t> </w:t>
      </w:r>
      <w:r>
        <w:rPr>
          <w:sz w:val="20"/>
        </w:rPr>
        <w:t>receivables</w:t>
      </w:r>
      <w:r>
        <w:rPr>
          <w:spacing w:val="-3"/>
          <w:sz w:val="20"/>
        </w:rPr>
        <w:t> </w:t>
      </w:r>
      <w:r>
        <w:rPr>
          <w:sz w:val="20"/>
        </w:rPr>
        <w:t>of</w:t>
      </w:r>
      <w:r>
        <w:rPr>
          <w:spacing w:val="-1"/>
          <w:sz w:val="20"/>
        </w:rPr>
        <w:t> </w:t>
      </w:r>
      <w:r>
        <w:rPr>
          <w:sz w:val="20"/>
        </w:rPr>
        <w:t>the</w:t>
      </w:r>
      <w:r>
        <w:rPr>
          <w:spacing w:val="-2"/>
          <w:sz w:val="20"/>
        </w:rPr>
        <w:t> </w:t>
      </w:r>
      <w:r>
        <w:rPr>
          <w:sz w:val="20"/>
        </w:rPr>
        <w:t>acquired</w:t>
      </w:r>
      <w:r>
        <w:rPr>
          <w:spacing w:val="-1"/>
          <w:sz w:val="20"/>
        </w:rPr>
        <w:t> </w:t>
      </w:r>
      <w:r>
        <w:rPr>
          <w:sz w:val="20"/>
        </w:rPr>
        <w:t>business</w:t>
      </w:r>
      <w:r>
        <w:rPr>
          <w:spacing w:val="-3"/>
          <w:sz w:val="20"/>
        </w:rPr>
        <w:t> </w:t>
      </w:r>
      <w:r>
        <w:rPr>
          <w:sz w:val="20"/>
        </w:rPr>
        <w:t>we</w:t>
      </w:r>
      <w:r>
        <w:rPr>
          <w:spacing w:val="-1"/>
          <w:sz w:val="20"/>
        </w:rPr>
        <w:t> </w:t>
      </w:r>
      <w:r>
        <w:rPr>
          <w:spacing w:val="-2"/>
          <w:sz w:val="20"/>
        </w:rPr>
        <w:t>assume;</w:t>
      </w:r>
    </w:p>
    <w:p>
      <w:pPr>
        <w:pStyle w:val="BodyText"/>
        <w:spacing w:before="20"/>
      </w:pPr>
    </w:p>
    <w:p>
      <w:pPr>
        <w:pStyle w:val="ListParagraph"/>
        <w:numPr>
          <w:ilvl w:val="0"/>
          <w:numId w:val="4"/>
        </w:numPr>
        <w:tabs>
          <w:tab w:pos="1110" w:val="left" w:leader="none"/>
        </w:tabs>
        <w:spacing w:line="249" w:lineRule="auto" w:before="0" w:after="0"/>
        <w:ind w:left="1110" w:right="248" w:hanging="360"/>
        <w:jc w:val="left"/>
        <w:rPr>
          <w:sz w:val="20"/>
        </w:rPr>
      </w:pPr>
      <w:r>
        <w:rPr>
          <w:sz w:val="20"/>
        </w:rPr>
        <w:t>increased accounts receivables collection times and working capital requirements associated with acquired business </w:t>
      </w:r>
      <w:r>
        <w:rPr>
          <w:spacing w:val="-2"/>
          <w:sz w:val="20"/>
        </w:rPr>
        <w:t>models;</w:t>
      </w:r>
    </w:p>
    <w:p>
      <w:pPr>
        <w:pStyle w:val="BodyText"/>
        <w:spacing w:before="12"/>
      </w:pPr>
    </w:p>
    <w:p>
      <w:pPr>
        <w:pStyle w:val="ListParagraph"/>
        <w:numPr>
          <w:ilvl w:val="0"/>
          <w:numId w:val="4"/>
        </w:numPr>
        <w:tabs>
          <w:tab w:pos="1110" w:val="left" w:leader="none"/>
        </w:tabs>
        <w:spacing w:line="249" w:lineRule="auto" w:before="0" w:after="0"/>
        <w:ind w:left="1110" w:right="247" w:hanging="360"/>
        <w:jc w:val="left"/>
        <w:rPr>
          <w:sz w:val="20"/>
        </w:rPr>
      </w:pPr>
      <w:r>
        <w:rPr>
          <w:sz w:val="20"/>
        </w:rPr>
        <w:t>additional</w:t>
      </w:r>
      <w:r>
        <w:rPr>
          <w:spacing w:val="-17"/>
          <w:sz w:val="20"/>
        </w:rPr>
        <w:t> </w:t>
      </w:r>
      <w:r>
        <w:rPr>
          <w:sz w:val="20"/>
        </w:rPr>
        <w:t>costs</w:t>
      </w:r>
      <w:r>
        <w:rPr>
          <w:spacing w:val="-17"/>
          <w:sz w:val="20"/>
        </w:rPr>
        <w:t> </w:t>
      </w:r>
      <w:r>
        <w:rPr>
          <w:sz w:val="20"/>
        </w:rPr>
        <w:t>of</w:t>
      </w:r>
      <w:r>
        <w:rPr>
          <w:spacing w:val="-17"/>
          <w:sz w:val="20"/>
        </w:rPr>
        <w:t> </w:t>
      </w:r>
      <w:r>
        <w:rPr>
          <w:sz w:val="20"/>
        </w:rPr>
        <w:t>bringing</w:t>
      </w:r>
      <w:r>
        <w:rPr>
          <w:spacing w:val="-17"/>
          <w:sz w:val="20"/>
        </w:rPr>
        <w:t> </w:t>
      </w:r>
      <w:r>
        <w:rPr>
          <w:sz w:val="20"/>
        </w:rPr>
        <w:t>acquired</w:t>
      </w:r>
      <w:r>
        <w:rPr>
          <w:spacing w:val="-17"/>
          <w:sz w:val="20"/>
        </w:rPr>
        <w:t> </w:t>
      </w:r>
      <w:r>
        <w:rPr>
          <w:sz w:val="20"/>
        </w:rPr>
        <w:t>companies</w:t>
      </w:r>
      <w:r>
        <w:rPr>
          <w:spacing w:val="-17"/>
          <w:sz w:val="20"/>
        </w:rPr>
        <w:t> </w:t>
      </w:r>
      <w:r>
        <w:rPr>
          <w:sz w:val="20"/>
        </w:rPr>
        <w:t>into</w:t>
      </w:r>
      <w:r>
        <w:rPr>
          <w:spacing w:val="-17"/>
          <w:sz w:val="20"/>
        </w:rPr>
        <w:t> </w:t>
      </w:r>
      <w:r>
        <w:rPr>
          <w:sz w:val="20"/>
        </w:rPr>
        <w:t>compliance</w:t>
      </w:r>
      <w:r>
        <w:rPr>
          <w:spacing w:val="-17"/>
          <w:sz w:val="20"/>
        </w:rPr>
        <w:t> </w:t>
      </w:r>
      <w:r>
        <w:rPr>
          <w:sz w:val="20"/>
        </w:rPr>
        <w:t>with</w:t>
      </w:r>
      <w:r>
        <w:rPr>
          <w:spacing w:val="-17"/>
          <w:sz w:val="20"/>
        </w:rPr>
        <w:t> </w:t>
      </w:r>
      <w:r>
        <w:rPr>
          <w:sz w:val="20"/>
        </w:rPr>
        <w:t>laws</w:t>
      </w:r>
      <w:r>
        <w:rPr>
          <w:spacing w:val="-17"/>
          <w:sz w:val="20"/>
        </w:rPr>
        <w:t> </w:t>
      </w:r>
      <w:r>
        <w:rPr>
          <w:sz w:val="20"/>
        </w:rPr>
        <w:t>and</w:t>
      </w:r>
      <w:r>
        <w:rPr>
          <w:spacing w:val="-17"/>
          <w:sz w:val="20"/>
        </w:rPr>
        <w:t> </w:t>
      </w:r>
      <w:r>
        <w:rPr>
          <w:sz w:val="20"/>
        </w:rPr>
        <w:t>regulations</w:t>
      </w:r>
      <w:r>
        <w:rPr>
          <w:spacing w:val="-16"/>
          <w:sz w:val="20"/>
        </w:rPr>
        <w:t> </w:t>
      </w:r>
      <w:r>
        <w:rPr>
          <w:sz w:val="20"/>
        </w:rPr>
        <w:t>applicable</w:t>
      </w:r>
      <w:r>
        <w:rPr>
          <w:spacing w:val="-17"/>
          <w:sz w:val="20"/>
        </w:rPr>
        <w:t> </w:t>
      </w:r>
      <w:r>
        <w:rPr>
          <w:sz w:val="20"/>
        </w:rPr>
        <w:t>to</w:t>
      </w:r>
      <w:r>
        <w:rPr>
          <w:spacing w:val="-17"/>
          <w:sz w:val="20"/>
        </w:rPr>
        <w:t> </w:t>
      </w:r>
      <w:r>
        <w:rPr>
          <w:sz w:val="20"/>
        </w:rPr>
        <w:t>a</w:t>
      </w:r>
      <w:r>
        <w:rPr>
          <w:spacing w:val="-17"/>
          <w:sz w:val="20"/>
        </w:rPr>
        <w:t> </w:t>
      </w:r>
      <w:r>
        <w:rPr>
          <w:sz w:val="20"/>
        </w:rPr>
        <w:t>multinational </w:t>
      </w:r>
      <w:r>
        <w:rPr>
          <w:spacing w:val="-2"/>
          <w:sz w:val="20"/>
        </w:rPr>
        <w:t>corporation;</w:t>
      </w:r>
    </w:p>
    <w:p>
      <w:pPr>
        <w:pStyle w:val="BodyText"/>
        <w:spacing w:before="11"/>
      </w:pPr>
    </w:p>
    <w:p>
      <w:pPr>
        <w:pStyle w:val="ListParagraph"/>
        <w:numPr>
          <w:ilvl w:val="0"/>
          <w:numId w:val="4"/>
        </w:numPr>
        <w:tabs>
          <w:tab w:pos="1109" w:val="left" w:leader="none"/>
        </w:tabs>
        <w:spacing w:line="240" w:lineRule="auto" w:before="0" w:after="0"/>
        <w:ind w:left="1109" w:right="0" w:hanging="359"/>
        <w:jc w:val="left"/>
        <w:rPr>
          <w:sz w:val="20"/>
        </w:rPr>
      </w:pPr>
      <w:r>
        <w:rPr>
          <w:sz w:val="20"/>
        </w:rPr>
        <w:t>difficulty</w:t>
      </w:r>
      <w:r>
        <w:rPr>
          <w:spacing w:val="-2"/>
          <w:sz w:val="20"/>
        </w:rPr>
        <w:t> </w:t>
      </w:r>
      <w:r>
        <w:rPr>
          <w:sz w:val="20"/>
        </w:rPr>
        <w:t>in</w:t>
      </w:r>
      <w:r>
        <w:rPr>
          <w:spacing w:val="-2"/>
          <w:sz w:val="20"/>
        </w:rPr>
        <w:t> </w:t>
      </w:r>
      <w:r>
        <w:rPr>
          <w:sz w:val="20"/>
        </w:rPr>
        <w:t>maintaining</w:t>
      </w:r>
      <w:r>
        <w:rPr>
          <w:spacing w:val="-2"/>
          <w:sz w:val="20"/>
        </w:rPr>
        <w:t> </w:t>
      </w:r>
      <w:r>
        <w:rPr>
          <w:sz w:val="20"/>
        </w:rPr>
        <w:t>controls,</w:t>
      </w:r>
      <w:r>
        <w:rPr>
          <w:spacing w:val="-2"/>
          <w:sz w:val="20"/>
        </w:rPr>
        <w:t> </w:t>
      </w:r>
      <w:r>
        <w:rPr>
          <w:sz w:val="20"/>
        </w:rPr>
        <w:t>procedures</w:t>
      </w:r>
      <w:r>
        <w:rPr>
          <w:spacing w:val="-3"/>
          <w:sz w:val="20"/>
        </w:rPr>
        <w:t> </w:t>
      </w:r>
      <w:r>
        <w:rPr>
          <w:sz w:val="20"/>
        </w:rPr>
        <w:t>and</w:t>
      </w:r>
      <w:r>
        <w:rPr>
          <w:spacing w:val="-1"/>
          <w:sz w:val="20"/>
        </w:rPr>
        <w:t> </w:t>
      </w:r>
      <w:r>
        <w:rPr>
          <w:sz w:val="20"/>
        </w:rPr>
        <w:t>policies</w:t>
      </w:r>
      <w:r>
        <w:rPr>
          <w:spacing w:val="-3"/>
          <w:sz w:val="20"/>
        </w:rPr>
        <w:t> </w:t>
      </w:r>
      <w:r>
        <w:rPr>
          <w:sz w:val="20"/>
        </w:rPr>
        <w:t>during</w:t>
      </w:r>
      <w:r>
        <w:rPr>
          <w:spacing w:val="-2"/>
          <w:sz w:val="20"/>
        </w:rPr>
        <w:t> </w:t>
      </w:r>
      <w:r>
        <w:rPr>
          <w:sz w:val="20"/>
        </w:rPr>
        <w:t>the</w:t>
      </w:r>
      <w:r>
        <w:rPr>
          <w:spacing w:val="-2"/>
          <w:sz w:val="20"/>
        </w:rPr>
        <w:t> </w:t>
      </w:r>
      <w:r>
        <w:rPr>
          <w:sz w:val="20"/>
        </w:rPr>
        <w:t>transition</w:t>
      </w:r>
      <w:r>
        <w:rPr>
          <w:spacing w:val="-2"/>
          <w:sz w:val="20"/>
        </w:rPr>
        <w:t> </w:t>
      </w:r>
      <w:r>
        <w:rPr>
          <w:sz w:val="20"/>
        </w:rPr>
        <w:t>and</w:t>
      </w:r>
      <w:r>
        <w:rPr>
          <w:spacing w:val="-1"/>
          <w:sz w:val="20"/>
        </w:rPr>
        <w:t> </w:t>
      </w:r>
      <w:r>
        <w:rPr>
          <w:spacing w:val="-2"/>
          <w:sz w:val="20"/>
        </w:rPr>
        <w:t>integration;</w:t>
      </w:r>
    </w:p>
    <w:p>
      <w:pPr>
        <w:pStyle w:val="BodyText"/>
        <w:spacing w:before="20"/>
      </w:pPr>
    </w:p>
    <w:p>
      <w:pPr>
        <w:pStyle w:val="ListParagraph"/>
        <w:numPr>
          <w:ilvl w:val="0"/>
          <w:numId w:val="4"/>
        </w:numPr>
        <w:tabs>
          <w:tab w:pos="1110" w:val="left" w:leader="none"/>
        </w:tabs>
        <w:spacing w:line="249" w:lineRule="auto" w:before="1" w:after="0"/>
        <w:ind w:left="1110" w:right="248" w:hanging="360"/>
        <w:jc w:val="left"/>
        <w:rPr>
          <w:sz w:val="20"/>
        </w:rPr>
      </w:pPr>
      <w:r>
        <w:rPr>
          <w:sz w:val="20"/>
        </w:rPr>
        <w:t>impairment</w:t>
      </w:r>
      <w:r>
        <w:rPr>
          <w:spacing w:val="27"/>
          <w:sz w:val="20"/>
        </w:rPr>
        <w:t> </w:t>
      </w:r>
      <w:r>
        <w:rPr>
          <w:sz w:val="20"/>
        </w:rPr>
        <w:t>of</w:t>
      </w:r>
      <w:r>
        <w:rPr>
          <w:spacing w:val="27"/>
          <w:sz w:val="20"/>
        </w:rPr>
        <w:t> </w:t>
      </w:r>
      <w:r>
        <w:rPr>
          <w:sz w:val="20"/>
        </w:rPr>
        <w:t>our</w:t>
      </w:r>
      <w:r>
        <w:rPr>
          <w:spacing w:val="27"/>
          <w:sz w:val="20"/>
        </w:rPr>
        <w:t> </w:t>
      </w:r>
      <w:r>
        <w:rPr>
          <w:sz w:val="20"/>
        </w:rPr>
        <w:t>relationships</w:t>
      </w:r>
      <w:r>
        <w:rPr>
          <w:spacing w:val="27"/>
          <w:sz w:val="20"/>
        </w:rPr>
        <w:t> </w:t>
      </w:r>
      <w:r>
        <w:rPr>
          <w:sz w:val="20"/>
        </w:rPr>
        <w:t>with</w:t>
      </w:r>
      <w:r>
        <w:rPr>
          <w:spacing w:val="27"/>
          <w:sz w:val="20"/>
        </w:rPr>
        <w:t> </w:t>
      </w:r>
      <w:r>
        <w:rPr>
          <w:sz w:val="20"/>
        </w:rPr>
        <w:t>employees,</w:t>
      </w:r>
      <w:r>
        <w:rPr>
          <w:spacing w:val="27"/>
          <w:sz w:val="20"/>
        </w:rPr>
        <w:t> </w:t>
      </w:r>
      <w:r>
        <w:rPr>
          <w:sz w:val="20"/>
        </w:rPr>
        <w:t>customers,</w:t>
      </w:r>
      <w:r>
        <w:rPr>
          <w:spacing w:val="27"/>
          <w:sz w:val="20"/>
        </w:rPr>
        <w:t> </w:t>
      </w:r>
      <w:r>
        <w:rPr>
          <w:sz w:val="20"/>
        </w:rPr>
        <w:t>partners,</w:t>
      </w:r>
      <w:r>
        <w:rPr>
          <w:spacing w:val="27"/>
          <w:sz w:val="20"/>
        </w:rPr>
        <w:t> </w:t>
      </w:r>
      <w:r>
        <w:rPr>
          <w:sz w:val="20"/>
        </w:rPr>
        <w:t>distributors</w:t>
      </w:r>
      <w:r>
        <w:rPr>
          <w:spacing w:val="27"/>
          <w:sz w:val="20"/>
        </w:rPr>
        <w:t> </w:t>
      </w:r>
      <w:r>
        <w:rPr>
          <w:sz w:val="20"/>
        </w:rPr>
        <w:t>or</w:t>
      </w:r>
      <w:r>
        <w:rPr>
          <w:spacing w:val="27"/>
          <w:sz w:val="20"/>
        </w:rPr>
        <w:t> </w:t>
      </w:r>
      <w:r>
        <w:rPr>
          <w:sz w:val="20"/>
        </w:rPr>
        <w:t>third-party</w:t>
      </w:r>
      <w:r>
        <w:rPr>
          <w:spacing w:val="27"/>
          <w:sz w:val="20"/>
        </w:rPr>
        <w:t> </w:t>
      </w:r>
      <w:r>
        <w:rPr>
          <w:sz w:val="20"/>
        </w:rPr>
        <w:t>providers</w:t>
      </w:r>
      <w:r>
        <w:rPr>
          <w:spacing w:val="27"/>
          <w:sz w:val="20"/>
        </w:rPr>
        <w:t> </w:t>
      </w:r>
      <w:r>
        <w:rPr>
          <w:sz w:val="20"/>
        </w:rPr>
        <w:t>of</w:t>
      </w:r>
      <w:r>
        <w:rPr>
          <w:spacing w:val="27"/>
          <w:sz w:val="20"/>
        </w:rPr>
        <w:t> </w:t>
      </w:r>
      <w:r>
        <w:rPr>
          <w:sz w:val="20"/>
        </w:rPr>
        <w:t>our technologies, products or services;</w:t>
      </w:r>
    </w:p>
    <w:p>
      <w:pPr>
        <w:pStyle w:val="BodyText"/>
        <w:spacing w:before="11"/>
      </w:pPr>
    </w:p>
    <w:p>
      <w:pPr>
        <w:pStyle w:val="ListParagraph"/>
        <w:numPr>
          <w:ilvl w:val="0"/>
          <w:numId w:val="4"/>
        </w:numPr>
        <w:tabs>
          <w:tab w:pos="1110" w:val="left" w:leader="none"/>
        </w:tabs>
        <w:spacing w:line="249" w:lineRule="auto" w:before="0" w:after="0"/>
        <w:ind w:left="1110" w:right="247" w:hanging="360"/>
        <w:jc w:val="left"/>
        <w:rPr>
          <w:sz w:val="20"/>
        </w:rPr>
      </w:pPr>
      <w:r>
        <w:rPr>
          <w:sz w:val="20"/>
        </w:rPr>
        <w:t>failure of our due diligence processes to identify significant problems, liabilities or other challenges of an acquired company or technology;</w:t>
      </w:r>
    </w:p>
    <w:p>
      <w:pPr>
        <w:pStyle w:val="BodyText"/>
        <w:spacing w:before="12"/>
      </w:pPr>
    </w:p>
    <w:p>
      <w:pPr>
        <w:pStyle w:val="ListParagraph"/>
        <w:numPr>
          <w:ilvl w:val="0"/>
          <w:numId w:val="4"/>
        </w:numPr>
        <w:tabs>
          <w:tab w:pos="1110" w:val="left" w:leader="none"/>
        </w:tabs>
        <w:spacing w:line="249" w:lineRule="auto" w:before="0" w:after="0"/>
        <w:ind w:left="1110" w:right="248" w:hanging="360"/>
        <w:jc w:val="left"/>
        <w:rPr>
          <w:sz w:val="20"/>
        </w:rPr>
      </w:pPr>
      <w:r>
        <w:rPr>
          <w:sz w:val="20"/>
        </w:rPr>
        <w:t>exposure to litigation or other claims in connection with, or inheritance of claims or litigation risk as a result of, an acquisition, such as claims from terminated employees, customers, former stockholders or other third parties;</w:t>
      </w:r>
    </w:p>
    <w:p>
      <w:pPr>
        <w:spacing w:after="0" w:line="249" w:lineRule="auto"/>
        <w:jc w:val="left"/>
        <w:rPr>
          <w:sz w:val="20"/>
        </w:rPr>
        <w:sectPr>
          <w:pgSz w:w="12240" w:h="15840"/>
          <w:pgMar w:header="210" w:footer="579" w:top="420" w:bottom="780" w:left="780" w:right="740"/>
        </w:sectPr>
      </w:pPr>
    </w:p>
    <w:p>
      <w:pPr>
        <w:pStyle w:val="BodyText"/>
      </w:pPr>
    </w:p>
    <w:p>
      <w:pPr>
        <w:pStyle w:val="BodyText"/>
        <w:spacing w:before="160"/>
      </w:pPr>
    </w:p>
    <w:p>
      <w:pPr>
        <w:pStyle w:val="ListParagraph"/>
        <w:numPr>
          <w:ilvl w:val="0"/>
          <w:numId w:val="4"/>
        </w:numPr>
        <w:tabs>
          <w:tab w:pos="1109" w:val="left" w:leader="none"/>
        </w:tabs>
        <w:spacing w:line="240" w:lineRule="auto" w:before="0" w:after="0"/>
        <w:ind w:left="1109" w:right="0" w:hanging="359"/>
        <w:jc w:val="left"/>
        <w:rPr>
          <w:sz w:val="20"/>
        </w:rPr>
      </w:pPr>
      <w:r>
        <w:rPr>
          <w:sz w:val="20"/>
        </w:rPr>
        <w:t>incurring</w:t>
      </w:r>
      <w:r>
        <w:rPr>
          <w:spacing w:val="-6"/>
          <w:sz w:val="20"/>
        </w:rPr>
        <w:t> </w:t>
      </w:r>
      <w:r>
        <w:rPr>
          <w:sz w:val="20"/>
        </w:rPr>
        <w:t>significant</w:t>
      </w:r>
      <w:r>
        <w:rPr>
          <w:spacing w:val="-3"/>
          <w:sz w:val="20"/>
        </w:rPr>
        <w:t> </w:t>
      </w:r>
      <w:r>
        <w:rPr>
          <w:sz w:val="20"/>
        </w:rPr>
        <w:t>exit</w:t>
      </w:r>
      <w:r>
        <w:rPr>
          <w:spacing w:val="-3"/>
          <w:sz w:val="20"/>
        </w:rPr>
        <w:t> </w:t>
      </w:r>
      <w:r>
        <w:rPr>
          <w:sz w:val="20"/>
        </w:rPr>
        <w:t>charges</w:t>
      </w:r>
      <w:r>
        <w:rPr>
          <w:spacing w:val="-4"/>
          <w:sz w:val="20"/>
        </w:rPr>
        <w:t> </w:t>
      </w:r>
      <w:r>
        <w:rPr>
          <w:sz w:val="20"/>
        </w:rPr>
        <w:t>if</w:t>
      </w:r>
      <w:r>
        <w:rPr>
          <w:spacing w:val="-3"/>
          <w:sz w:val="20"/>
        </w:rPr>
        <w:t> </w:t>
      </w:r>
      <w:r>
        <w:rPr>
          <w:sz w:val="20"/>
        </w:rPr>
        <w:t>products</w:t>
      </w:r>
      <w:r>
        <w:rPr>
          <w:spacing w:val="-4"/>
          <w:sz w:val="20"/>
        </w:rPr>
        <w:t> </w:t>
      </w:r>
      <w:r>
        <w:rPr>
          <w:sz w:val="20"/>
        </w:rPr>
        <w:t>or</w:t>
      </w:r>
      <w:r>
        <w:rPr>
          <w:spacing w:val="-3"/>
          <w:sz w:val="20"/>
        </w:rPr>
        <w:t> </w:t>
      </w:r>
      <w:r>
        <w:rPr>
          <w:sz w:val="20"/>
        </w:rPr>
        <w:t>services</w:t>
      </w:r>
      <w:r>
        <w:rPr>
          <w:spacing w:val="-3"/>
          <w:sz w:val="20"/>
        </w:rPr>
        <w:t> </w:t>
      </w:r>
      <w:r>
        <w:rPr>
          <w:sz w:val="20"/>
        </w:rPr>
        <w:t>acquired</w:t>
      </w:r>
      <w:r>
        <w:rPr>
          <w:spacing w:val="-4"/>
          <w:sz w:val="20"/>
        </w:rPr>
        <w:t> </w:t>
      </w:r>
      <w:r>
        <w:rPr>
          <w:sz w:val="20"/>
        </w:rPr>
        <w:t>in</w:t>
      </w:r>
      <w:r>
        <w:rPr>
          <w:spacing w:val="-3"/>
          <w:sz w:val="20"/>
        </w:rPr>
        <w:t> </w:t>
      </w:r>
      <w:r>
        <w:rPr>
          <w:sz w:val="20"/>
        </w:rPr>
        <w:t>business</w:t>
      </w:r>
      <w:r>
        <w:rPr>
          <w:spacing w:val="-4"/>
          <w:sz w:val="20"/>
        </w:rPr>
        <w:t> </w:t>
      </w:r>
      <w:r>
        <w:rPr>
          <w:sz w:val="20"/>
        </w:rPr>
        <w:t>combinations</w:t>
      </w:r>
      <w:r>
        <w:rPr>
          <w:spacing w:val="-3"/>
          <w:sz w:val="20"/>
        </w:rPr>
        <w:t> </w:t>
      </w:r>
      <w:r>
        <w:rPr>
          <w:sz w:val="20"/>
        </w:rPr>
        <w:t>are</w:t>
      </w:r>
      <w:r>
        <w:rPr>
          <w:spacing w:val="-3"/>
          <w:sz w:val="20"/>
        </w:rPr>
        <w:t> </w:t>
      </w:r>
      <w:r>
        <w:rPr>
          <w:spacing w:val="-2"/>
          <w:sz w:val="20"/>
        </w:rPr>
        <w:t>unsuccessful;</w:t>
      </w:r>
    </w:p>
    <w:p>
      <w:pPr>
        <w:pStyle w:val="BodyText"/>
        <w:spacing w:before="20"/>
      </w:pPr>
    </w:p>
    <w:p>
      <w:pPr>
        <w:pStyle w:val="ListParagraph"/>
        <w:numPr>
          <w:ilvl w:val="0"/>
          <w:numId w:val="4"/>
        </w:numPr>
        <w:tabs>
          <w:tab w:pos="1109" w:val="left" w:leader="none"/>
        </w:tabs>
        <w:spacing w:line="240" w:lineRule="auto" w:before="0" w:after="0"/>
        <w:ind w:left="1109" w:right="0" w:hanging="359"/>
        <w:jc w:val="left"/>
        <w:rPr>
          <w:sz w:val="20"/>
        </w:rPr>
      </w:pPr>
      <w:r>
        <w:rPr>
          <w:sz w:val="20"/>
        </w:rPr>
        <w:t>inability</w:t>
      </w:r>
      <w:r>
        <w:rPr>
          <w:spacing w:val="-1"/>
          <w:sz w:val="20"/>
        </w:rPr>
        <w:t> </w:t>
      </w:r>
      <w:r>
        <w:rPr>
          <w:sz w:val="20"/>
        </w:rPr>
        <w:t>to</w:t>
      </w:r>
      <w:r>
        <w:rPr>
          <w:spacing w:val="-1"/>
          <w:sz w:val="20"/>
        </w:rPr>
        <w:t> </w:t>
      </w:r>
      <w:r>
        <w:rPr>
          <w:sz w:val="20"/>
        </w:rPr>
        <w:t>conclude that</w:t>
      </w:r>
      <w:r>
        <w:rPr>
          <w:spacing w:val="-1"/>
          <w:sz w:val="20"/>
        </w:rPr>
        <w:t> </w:t>
      </w:r>
      <w:r>
        <w:rPr>
          <w:sz w:val="20"/>
        </w:rPr>
        <w:t>our</w:t>
      </w:r>
      <w:r>
        <w:rPr>
          <w:spacing w:val="-1"/>
          <w:sz w:val="20"/>
        </w:rPr>
        <w:t> </w:t>
      </w:r>
      <w:r>
        <w:rPr>
          <w:sz w:val="20"/>
        </w:rPr>
        <w:t>internal controls</w:t>
      </w:r>
      <w:r>
        <w:rPr>
          <w:spacing w:val="-2"/>
          <w:sz w:val="20"/>
        </w:rPr>
        <w:t> </w:t>
      </w:r>
      <w:r>
        <w:rPr>
          <w:sz w:val="20"/>
        </w:rPr>
        <w:t>over</w:t>
      </w:r>
      <w:r>
        <w:rPr>
          <w:spacing w:val="-1"/>
          <w:sz w:val="20"/>
        </w:rPr>
        <w:t> </w:t>
      </w:r>
      <w:r>
        <w:rPr>
          <w:sz w:val="20"/>
        </w:rPr>
        <w:t>financial reporting</w:t>
      </w:r>
      <w:r>
        <w:rPr>
          <w:spacing w:val="-1"/>
          <w:sz w:val="20"/>
        </w:rPr>
        <w:t> </w:t>
      </w:r>
      <w:r>
        <w:rPr>
          <w:sz w:val="20"/>
        </w:rPr>
        <w:t>are </w:t>
      </w:r>
      <w:r>
        <w:rPr>
          <w:spacing w:val="-2"/>
          <w:sz w:val="20"/>
        </w:rPr>
        <w:t>effective;</w:t>
      </w:r>
    </w:p>
    <w:p>
      <w:pPr>
        <w:pStyle w:val="BodyText"/>
        <w:spacing w:before="20"/>
      </w:pPr>
    </w:p>
    <w:p>
      <w:pPr>
        <w:pStyle w:val="ListParagraph"/>
        <w:numPr>
          <w:ilvl w:val="0"/>
          <w:numId w:val="4"/>
        </w:numPr>
        <w:tabs>
          <w:tab w:pos="1110" w:val="left" w:leader="none"/>
        </w:tabs>
        <w:spacing w:line="249" w:lineRule="auto" w:before="0" w:after="0"/>
        <w:ind w:left="1110" w:right="247" w:hanging="360"/>
        <w:jc w:val="left"/>
        <w:rPr>
          <w:sz w:val="20"/>
        </w:rPr>
      </w:pPr>
      <w:r>
        <w:rPr>
          <w:spacing w:val="-2"/>
          <w:sz w:val="20"/>
        </w:rPr>
        <w:t>inability</w:t>
      </w:r>
      <w:r>
        <w:rPr>
          <w:spacing w:val="-4"/>
          <w:sz w:val="20"/>
        </w:rPr>
        <w:t> </w:t>
      </w:r>
      <w:r>
        <w:rPr>
          <w:spacing w:val="-2"/>
          <w:sz w:val="20"/>
        </w:rPr>
        <w:t>to</w:t>
      </w:r>
      <w:r>
        <w:rPr>
          <w:spacing w:val="-4"/>
          <w:sz w:val="20"/>
        </w:rPr>
        <w:t> </w:t>
      </w:r>
      <w:r>
        <w:rPr>
          <w:spacing w:val="-2"/>
          <w:sz w:val="20"/>
        </w:rPr>
        <w:t>obtain,</w:t>
      </w:r>
      <w:r>
        <w:rPr>
          <w:spacing w:val="-4"/>
          <w:sz w:val="20"/>
        </w:rPr>
        <w:t> </w:t>
      </w:r>
      <w:r>
        <w:rPr>
          <w:spacing w:val="-2"/>
          <w:sz w:val="20"/>
        </w:rPr>
        <w:t>or</w:t>
      </w:r>
      <w:r>
        <w:rPr>
          <w:spacing w:val="-4"/>
          <w:sz w:val="20"/>
        </w:rPr>
        <w:t> </w:t>
      </w:r>
      <w:r>
        <w:rPr>
          <w:spacing w:val="-2"/>
          <w:sz w:val="20"/>
        </w:rPr>
        <w:t>obtain</w:t>
      </w:r>
      <w:r>
        <w:rPr>
          <w:spacing w:val="-4"/>
          <w:sz w:val="20"/>
        </w:rPr>
        <w:t> </w:t>
      </w:r>
      <w:r>
        <w:rPr>
          <w:spacing w:val="-2"/>
          <w:sz w:val="20"/>
        </w:rPr>
        <w:t>in</w:t>
      </w:r>
      <w:r>
        <w:rPr>
          <w:spacing w:val="-4"/>
          <w:sz w:val="20"/>
        </w:rPr>
        <w:t> </w:t>
      </w:r>
      <w:r>
        <w:rPr>
          <w:spacing w:val="-2"/>
          <w:sz w:val="20"/>
        </w:rPr>
        <w:t>a</w:t>
      </w:r>
      <w:r>
        <w:rPr>
          <w:spacing w:val="-4"/>
          <w:sz w:val="20"/>
        </w:rPr>
        <w:t> </w:t>
      </w:r>
      <w:r>
        <w:rPr>
          <w:spacing w:val="-2"/>
          <w:sz w:val="20"/>
        </w:rPr>
        <w:t>timely</w:t>
      </w:r>
      <w:r>
        <w:rPr>
          <w:spacing w:val="-4"/>
          <w:sz w:val="20"/>
        </w:rPr>
        <w:t> </w:t>
      </w:r>
      <w:r>
        <w:rPr>
          <w:spacing w:val="-2"/>
          <w:sz w:val="20"/>
        </w:rPr>
        <w:t>manner,</w:t>
      </w:r>
      <w:r>
        <w:rPr>
          <w:spacing w:val="-4"/>
          <w:sz w:val="20"/>
        </w:rPr>
        <w:t> </w:t>
      </w:r>
      <w:r>
        <w:rPr>
          <w:spacing w:val="-2"/>
          <w:sz w:val="20"/>
        </w:rPr>
        <w:t>approvals</w:t>
      </w:r>
      <w:r>
        <w:rPr>
          <w:spacing w:val="-4"/>
          <w:sz w:val="20"/>
        </w:rPr>
        <w:t> </w:t>
      </w:r>
      <w:r>
        <w:rPr>
          <w:spacing w:val="-2"/>
          <w:sz w:val="20"/>
        </w:rPr>
        <w:t>from</w:t>
      </w:r>
      <w:r>
        <w:rPr>
          <w:spacing w:val="-5"/>
          <w:sz w:val="20"/>
        </w:rPr>
        <w:t> </w:t>
      </w:r>
      <w:r>
        <w:rPr>
          <w:spacing w:val="-2"/>
          <w:sz w:val="20"/>
        </w:rPr>
        <w:t>governmental</w:t>
      </w:r>
      <w:r>
        <w:rPr>
          <w:spacing w:val="-5"/>
          <w:sz w:val="20"/>
        </w:rPr>
        <w:t> </w:t>
      </w:r>
      <w:r>
        <w:rPr>
          <w:spacing w:val="-2"/>
          <w:sz w:val="20"/>
        </w:rPr>
        <w:t>authorities,</w:t>
      </w:r>
      <w:r>
        <w:rPr>
          <w:spacing w:val="-4"/>
          <w:sz w:val="20"/>
        </w:rPr>
        <w:t> </w:t>
      </w:r>
      <w:r>
        <w:rPr>
          <w:spacing w:val="-2"/>
          <w:sz w:val="20"/>
        </w:rPr>
        <w:t>which</w:t>
      </w:r>
      <w:r>
        <w:rPr>
          <w:spacing w:val="-4"/>
          <w:sz w:val="20"/>
        </w:rPr>
        <w:t> </w:t>
      </w:r>
      <w:r>
        <w:rPr>
          <w:spacing w:val="-2"/>
          <w:sz w:val="20"/>
        </w:rPr>
        <w:t>could</w:t>
      </w:r>
      <w:r>
        <w:rPr>
          <w:spacing w:val="-4"/>
          <w:sz w:val="20"/>
        </w:rPr>
        <w:t> </w:t>
      </w:r>
      <w:r>
        <w:rPr>
          <w:spacing w:val="-2"/>
          <w:sz w:val="20"/>
        </w:rPr>
        <w:t>delay</w:t>
      </w:r>
      <w:r>
        <w:rPr>
          <w:spacing w:val="-4"/>
          <w:sz w:val="20"/>
        </w:rPr>
        <w:t> </w:t>
      </w:r>
      <w:r>
        <w:rPr>
          <w:spacing w:val="-2"/>
          <w:sz w:val="20"/>
        </w:rPr>
        <w:t>or</w:t>
      </w:r>
      <w:r>
        <w:rPr>
          <w:spacing w:val="-4"/>
          <w:sz w:val="20"/>
        </w:rPr>
        <w:t> </w:t>
      </w:r>
      <w:r>
        <w:rPr>
          <w:spacing w:val="-2"/>
          <w:sz w:val="20"/>
        </w:rPr>
        <w:t>prevent </w:t>
      </w:r>
      <w:r>
        <w:rPr>
          <w:sz w:val="20"/>
        </w:rPr>
        <w:t>such acquisitions;</w:t>
      </w:r>
    </w:p>
    <w:p>
      <w:pPr>
        <w:pStyle w:val="BodyText"/>
        <w:spacing w:before="11"/>
      </w:pPr>
    </w:p>
    <w:p>
      <w:pPr>
        <w:pStyle w:val="ListParagraph"/>
        <w:numPr>
          <w:ilvl w:val="0"/>
          <w:numId w:val="4"/>
        </w:numPr>
        <w:tabs>
          <w:tab w:pos="1109" w:val="left" w:leader="none"/>
        </w:tabs>
        <w:spacing w:line="240" w:lineRule="auto" w:before="0" w:after="0"/>
        <w:ind w:left="1109" w:right="0" w:hanging="359"/>
        <w:jc w:val="left"/>
        <w:rPr>
          <w:sz w:val="20"/>
        </w:rPr>
      </w:pPr>
      <w:r>
        <w:rPr>
          <w:sz w:val="20"/>
        </w:rPr>
        <w:t>the</w:t>
      </w:r>
      <w:r>
        <w:rPr>
          <w:spacing w:val="-1"/>
          <w:sz w:val="20"/>
        </w:rPr>
        <w:t> </w:t>
      </w:r>
      <w:r>
        <w:rPr>
          <w:sz w:val="20"/>
        </w:rPr>
        <w:t>failure</w:t>
      </w:r>
      <w:r>
        <w:rPr>
          <w:spacing w:val="-1"/>
          <w:sz w:val="20"/>
        </w:rPr>
        <w:t> </w:t>
      </w:r>
      <w:r>
        <w:rPr>
          <w:sz w:val="20"/>
        </w:rPr>
        <w:t>of</w:t>
      </w:r>
      <w:r>
        <w:rPr>
          <w:spacing w:val="-1"/>
          <w:sz w:val="20"/>
        </w:rPr>
        <w:t> </w:t>
      </w:r>
      <w:r>
        <w:rPr>
          <w:sz w:val="20"/>
        </w:rPr>
        <w:t>strategic</w:t>
      </w:r>
      <w:r>
        <w:rPr>
          <w:spacing w:val="-1"/>
          <w:sz w:val="20"/>
        </w:rPr>
        <w:t> </w:t>
      </w:r>
      <w:r>
        <w:rPr>
          <w:sz w:val="20"/>
        </w:rPr>
        <w:t>investments</w:t>
      </w:r>
      <w:r>
        <w:rPr>
          <w:spacing w:val="-2"/>
          <w:sz w:val="20"/>
        </w:rPr>
        <w:t> </w:t>
      </w:r>
      <w:r>
        <w:rPr>
          <w:sz w:val="20"/>
        </w:rPr>
        <w:t>to</w:t>
      </w:r>
      <w:r>
        <w:rPr>
          <w:spacing w:val="-1"/>
          <w:sz w:val="20"/>
        </w:rPr>
        <w:t> </w:t>
      </w:r>
      <w:r>
        <w:rPr>
          <w:sz w:val="20"/>
        </w:rPr>
        <w:t>perform as</w:t>
      </w:r>
      <w:r>
        <w:rPr>
          <w:spacing w:val="-2"/>
          <w:sz w:val="20"/>
        </w:rPr>
        <w:t> </w:t>
      </w:r>
      <w:r>
        <w:rPr>
          <w:sz w:val="20"/>
        </w:rPr>
        <w:t>expected</w:t>
      </w:r>
      <w:r>
        <w:rPr>
          <w:spacing w:val="-1"/>
          <w:sz w:val="20"/>
        </w:rPr>
        <w:t> </w:t>
      </w:r>
      <w:r>
        <w:rPr>
          <w:sz w:val="20"/>
        </w:rPr>
        <w:t>or</w:t>
      </w:r>
      <w:r>
        <w:rPr>
          <w:spacing w:val="-1"/>
          <w:sz w:val="20"/>
        </w:rPr>
        <w:t> </w:t>
      </w:r>
      <w:r>
        <w:rPr>
          <w:sz w:val="20"/>
        </w:rPr>
        <w:t>to</w:t>
      </w:r>
      <w:r>
        <w:rPr>
          <w:spacing w:val="-1"/>
          <w:sz w:val="20"/>
        </w:rPr>
        <w:t> </w:t>
      </w:r>
      <w:r>
        <w:rPr>
          <w:sz w:val="20"/>
        </w:rPr>
        <w:t>meet</w:t>
      </w:r>
      <w:r>
        <w:rPr>
          <w:spacing w:val="-1"/>
          <w:sz w:val="20"/>
        </w:rPr>
        <w:t> </w:t>
      </w:r>
      <w:r>
        <w:rPr>
          <w:sz w:val="20"/>
        </w:rPr>
        <w:t>financial </w:t>
      </w:r>
      <w:r>
        <w:rPr>
          <w:spacing w:val="-2"/>
          <w:sz w:val="20"/>
        </w:rPr>
        <w:t>projections;</w:t>
      </w:r>
    </w:p>
    <w:p>
      <w:pPr>
        <w:pStyle w:val="BodyText"/>
        <w:spacing w:before="20"/>
      </w:pPr>
    </w:p>
    <w:p>
      <w:pPr>
        <w:pStyle w:val="ListParagraph"/>
        <w:numPr>
          <w:ilvl w:val="0"/>
          <w:numId w:val="4"/>
        </w:numPr>
        <w:tabs>
          <w:tab w:pos="1110" w:val="left" w:leader="none"/>
        </w:tabs>
        <w:spacing w:line="249" w:lineRule="auto" w:before="1" w:after="0"/>
        <w:ind w:left="1110" w:right="247" w:hanging="360"/>
        <w:jc w:val="left"/>
        <w:rPr>
          <w:sz w:val="20"/>
        </w:rPr>
      </w:pPr>
      <w:r>
        <w:rPr>
          <w:sz w:val="20"/>
        </w:rPr>
        <w:t>delay</w:t>
      </w:r>
      <w:r>
        <w:rPr>
          <w:spacing w:val="-13"/>
          <w:sz w:val="20"/>
        </w:rPr>
        <w:t> </w:t>
      </w:r>
      <w:r>
        <w:rPr>
          <w:sz w:val="20"/>
        </w:rPr>
        <w:t>in</w:t>
      </w:r>
      <w:r>
        <w:rPr>
          <w:spacing w:val="-12"/>
          <w:sz w:val="20"/>
        </w:rPr>
        <w:t> </w:t>
      </w:r>
      <w:r>
        <w:rPr>
          <w:sz w:val="20"/>
        </w:rPr>
        <w:t>customer</w:t>
      </w:r>
      <w:r>
        <w:rPr>
          <w:spacing w:val="-13"/>
          <w:sz w:val="20"/>
        </w:rPr>
        <w:t> </w:t>
      </w:r>
      <w:r>
        <w:rPr>
          <w:sz w:val="20"/>
        </w:rPr>
        <w:t>and</w:t>
      </w:r>
      <w:r>
        <w:rPr>
          <w:spacing w:val="-12"/>
          <w:sz w:val="20"/>
        </w:rPr>
        <w:t> </w:t>
      </w:r>
      <w:r>
        <w:rPr>
          <w:sz w:val="20"/>
        </w:rPr>
        <w:t>distributor</w:t>
      </w:r>
      <w:r>
        <w:rPr>
          <w:spacing w:val="-13"/>
          <w:sz w:val="20"/>
        </w:rPr>
        <w:t> </w:t>
      </w:r>
      <w:r>
        <w:rPr>
          <w:sz w:val="20"/>
        </w:rPr>
        <w:t>purchasing</w:t>
      </w:r>
      <w:r>
        <w:rPr>
          <w:spacing w:val="-12"/>
          <w:sz w:val="20"/>
        </w:rPr>
        <w:t> </w:t>
      </w:r>
      <w:r>
        <w:rPr>
          <w:sz w:val="20"/>
        </w:rPr>
        <w:t>decisions</w:t>
      </w:r>
      <w:r>
        <w:rPr>
          <w:spacing w:val="-13"/>
          <w:sz w:val="20"/>
        </w:rPr>
        <w:t> </w:t>
      </w:r>
      <w:r>
        <w:rPr>
          <w:sz w:val="20"/>
        </w:rPr>
        <w:t>due</w:t>
      </w:r>
      <w:r>
        <w:rPr>
          <w:spacing w:val="-12"/>
          <w:sz w:val="20"/>
        </w:rPr>
        <w:t> </w:t>
      </w:r>
      <w:r>
        <w:rPr>
          <w:sz w:val="20"/>
        </w:rPr>
        <w:t>to</w:t>
      </w:r>
      <w:r>
        <w:rPr>
          <w:spacing w:val="-13"/>
          <w:sz w:val="20"/>
        </w:rPr>
        <w:t> </w:t>
      </w:r>
      <w:r>
        <w:rPr>
          <w:sz w:val="20"/>
        </w:rPr>
        <w:t>uncertainty</w:t>
      </w:r>
      <w:r>
        <w:rPr>
          <w:spacing w:val="-12"/>
          <w:sz w:val="20"/>
        </w:rPr>
        <w:t> </w:t>
      </w:r>
      <w:r>
        <w:rPr>
          <w:sz w:val="20"/>
        </w:rPr>
        <w:t>about</w:t>
      </w:r>
      <w:r>
        <w:rPr>
          <w:spacing w:val="-13"/>
          <w:sz w:val="20"/>
        </w:rPr>
        <w:t> </w:t>
      </w:r>
      <w:r>
        <w:rPr>
          <w:sz w:val="20"/>
        </w:rPr>
        <w:t>the</w:t>
      </w:r>
      <w:r>
        <w:rPr>
          <w:spacing w:val="-12"/>
          <w:sz w:val="20"/>
        </w:rPr>
        <w:t> </w:t>
      </w:r>
      <w:r>
        <w:rPr>
          <w:sz w:val="20"/>
        </w:rPr>
        <w:t>direction</w:t>
      </w:r>
      <w:r>
        <w:rPr>
          <w:spacing w:val="-13"/>
          <w:sz w:val="20"/>
        </w:rPr>
        <w:t> </w:t>
      </w:r>
      <w:r>
        <w:rPr>
          <w:sz w:val="20"/>
        </w:rPr>
        <w:t>of</w:t>
      </w:r>
      <w:r>
        <w:rPr>
          <w:spacing w:val="-12"/>
          <w:sz w:val="20"/>
        </w:rPr>
        <w:t> </w:t>
      </w:r>
      <w:r>
        <w:rPr>
          <w:sz w:val="20"/>
        </w:rPr>
        <w:t>our</w:t>
      </w:r>
      <w:r>
        <w:rPr>
          <w:spacing w:val="-13"/>
          <w:sz w:val="20"/>
        </w:rPr>
        <w:t> </w:t>
      </w:r>
      <w:r>
        <w:rPr>
          <w:sz w:val="20"/>
        </w:rPr>
        <w:t>product</w:t>
      </w:r>
      <w:r>
        <w:rPr>
          <w:spacing w:val="-12"/>
          <w:sz w:val="20"/>
        </w:rPr>
        <w:t> </w:t>
      </w:r>
      <w:r>
        <w:rPr>
          <w:sz w:val="20"/>
        </w:rPr>
        <w:t>and</w:t>
      </w:r>
      <w:r>
        <w:rPr>
          <w:spacing w:val="-13"/>
          <w:sz w:val="20"/>
        </w:rPr>
        <w:t> </w:t>
      </w:r>
      <w:r>
        <w:rPr>
          <w:sz w:val="20"/>
        </w:rPr>
        <w:t>service offerings; and</w:t>
      </w:r>
    </w:p>
    <w:p>
      <w:pPr>
        <w:pStyle w:val="BodyText"/>
        <w:spacing w:before="11"/>
      </w:pPr>
    </w:p>
    <w:p>
      <w:pPr>
        <w:pStyle w:val="ListParagraph"/>
        <w:numPr>
          <w:ilvl w:val="0"/>
          <w:numId w:val="4"/>
        </w:numPr>
        <w:tabs>
          <w:tab w:pos="1109" w:val="left" w:leader="none"/>
        </w:tabs>
        <w:spacing w:line="240" w:lineRule="auto" w:before="0" w:after="0"/>
        <w:ind w:left="1109" w:right="0" w:hanging="359"/>
        <w:jc w:val="left"/>
        <w:rPr>
          <w:sz w:val="20"/>
        </w:rPr>
      </w:pPr>
      <w:r>
        <w:rPr>
          <w:sz w:val="20"/>
        </w:rPr>
        <w:t>incompatibility</w:t>
      </w:r>
      <w:r>
        <w:rPr>
          <w:spacing w:val="-3"/>
          <w:sz w:val="20"/>
        </w:rPr>
        <w:t> </w:t>
      </w:r>
      <w:r>
        <w:rPr>
          <w:sz w:val="20"/>
        </w:rPr>
        <w:t>of</w:t>
      </w:r>
      <w:r>
        <w:rPr>
          <w:spacing w:val="-2"/>
          <w:sz w:val="20"/>
        </w:rPr>
        <w:t> </w:t>
      </w:r>
      <w:r>
        <w:rPr>
          <w:sz w:val="20"/>
        </w:rPr>
        <w:t>business</w:t>
      </w:r>
      <w:r>
        <w:rPr>
          <w:spacing w:val="-3"/>
          <w:sz w:val="20"/>
        </w:rPr>
        <w:t> </w:t>
      </w:r>
      <w:r>
        <w:rPr>
          <w:spacing w:val="-2"/>
          <w:sz w:val="20"/>
        </w:rPr>
        <w:t>cultures.</w:t>
      </w:r>
    </w:p>
    <w:p>
      <w:pPr>
        <w:pStyle w:val="BodyText"/>
        <w:spacing w:before="20"/>
      </w:pPr>
    </w:p>
    <w:p>
      <w:pPr>
        <w:pStyle w:val="BodyText"/>
        <w:spacing w:line="249" w:lineRule="auto"/>
        <w:ind w:left="210" w:right="247" w:firstLine="540"/>
        <w:jc w:val="both"/>
      </w:pPr>
      <w:r>
        <w:rPr/>
        <w:t>Mergers and acquisitions of technology companies are inherently risky. If we do not complete an announced acquisition transaction</w:t>
      </w:r>
      <w:r>
        <w:rPr>
          <w:spacing w:val="-13"/>
        </w:rPr>
        <w:t> </w:t>
      </w:r>
      <w:r>
        <w:rPr/>
        <w:t>or</w:t>
      </w:r>
      <w:r>
        <w:rPr>
          <w:spacing w:val="-12"/>
        </w:rPr>
        <w:t> </w:t>
      </w:r>
      <w:r>
        <w:rPr/>
        <w:t>integrate</w:t>
      </w:r>
      <w:r>
        <w:rPr>
          <w:spacing w:val="-13"/>
        </w:rPr>
        <w:t> </w:t>
      </w:r>
      <w:r>
        <w:rPr/>
        <w:t>an</w:t>
      </w:r>
      <w:r>
        <w:rPr>
          <w:spacing w:val="-12"/>
        </w:rPr>
        <w:t> </w:t>
      </w:r>
      <w:r>
        <w:rPr/>
        <w:t>acquired</w:t>
      </w:r>
      <w:r>
        <w:rPr>
          <w:spacing w:val="-13"/>
        </w:rPr>
        <w:t> </w:t>
      </w:r>
      <w:r>
        <w:rPr/>
        <w:t>business</w:t>
      </w:r>
      <w:r>
        <w:rPr>
          <w:spacing w:val="-12"/>
        </w:rPr>
        <w:t> </w:t>
      </w:r>
      <w:r>
        <w:rPr/>
        <w:t>successfully</w:t>
      </w:r>
      <w:r>
        <w:rPr>
          <w:spacing w:val="-13"/>
        </w:rPr>
        <w:t> </w:t>
      </w:r>
      <w:r>
        <w:rPr/>
        <w:t>and</w:t>
      </w:r>
      <w:r>
        <w:rPr>
          <w:spacing w:val="-12"/>
        </w:rPr>
        <w:t> </w:t>
      </w:r>
      <w:r>
        <w:rPr/>
        <w:t>in</w:t>
      </w:r>
      <w:r>
        <w:rPr>
          <w:spacing w:val="-13"/>
        </w:rPr>
        <w:t> </w:t>
      </w:r>
      <w:r>
        <w:rPr/>
        <w:t>a</w:t>
      </w:r>
      <w:r>
        <w:rPr>
          <w:spacing w:val="-12"/>
        </w:rPr>
        <w:t> </w:t>
      </w:r>
      <w:r>
        <w:rPr/>
        <w:t>timely</w:t>
      </w:r>
      <w:r>
        <w:rPr>
          <w:spacing w:val="-13"/>
        </w:rPr>
        <w:t> </w:t>
      </w:r>
      <w:r>
        <w:rPr/>
        <w:t>manner,</w:t>
      </w:r>
      <w:r>
        <w:rPr>
          <w:spacing w:val="-12"/>
        </w:rPr>
        <w:t> </w:t>
      </w:r>
      <w:r>
        <w:rPr/>
        <w:t>we</w:t>
      </w:r>
      <w:r>
        <w:rPr>
          <w:spacing w:val="-13"/>
        </w:rPr>
        <w:t> </w:t>
      </w:r>
      <w:r>
        <w:rPr/>
        <w:t>may</w:t>
      </w:r>
      <w:r>
        <w:rPr>
          <w:spacing w:val="-12"/>
        </w:rPr>
        <w:t> </w:t>
      </w:r>
      <w:r>
        <w:rPr/>
        <w:t>not</w:t>
      </w:r>
      <w:r>
        <w:rPr>
          <w:spacing w:val="-13"/>
        </w:rPr>
        <w:t> </w:t>
      </w:r>
      <w:r>
        <w:rPr/>
        <w:t>realize</w:t>
      </w:r>
      <w:r>
        <w:rPr>
          <w:spacing w:val="-12"/>
        </w:rPr>
        <w:t> </w:t>
      </w:r>
      <w:r>
        <w:rPr/>
        <w:t>the</w:t>
      </w:r>
      <w:r>
        <w:rPr>
          <w:spacing w:val="-13"/>
        </w:rPr>
        <w:t> </w:t>
      </w:r>
      <w:r>
        <w:rPr/>
        <w:t>benefits</w:t>
      </w:r>
      <w:r>
        <w:rPr>
          <w:spacing w:val="-12"/>
        </w:rPr>
        <w:t> </w:t>
      </w:r>
      <w:r>
        <w:rPr/>
        <w:t>of</w:t>
      </w:r>
      <w:r>
        <w:rPr>
          <w:spacing w:val="-13"/>
        </w:rPr>
        <w:t> </w:t>
      </w:r>
      <w:r>
        <w:rPr/>
        <w:t>the</w:t>
      </w:r>
      <w:r>
        <w:rPr>
          <w:spacing w:val="-12"/>
        </w:rPr>
        <w:t> </w:t>
      </w:r>
      <w:r>
        <w:rPr/>
        <w:t>acquisition to the extent anticipated, and in certain circumstances an acquisition could harm our financial position.</w:t>
      </w:r>
    </w:p>
    <w:p>
      <w:pPr>
        <w:pStyle w:val="Heading3"/>
        <w:spacing w:line="249" w:lineRule="auto" w:before="183"/>
      </w:pPr>
      <w:r>
        <w:rPr/>
        <w:t>Changes in accounting principles, or interpretations thereof, could have a significant impact on our financial position and results of operations.</w:t>
      </w:r>
    </w:p>
    <w:p>
      <w:pPr>
        <w:pStyle w:val="BodyText"/>
        <w:spacing w:line="249" w:lineRule="auto" w:before="181"/>
        <w:ind w:left="210" w:right="247" w:firstLine="720"/>
        <w:jc w:val="both"/>
      </w:pPr>
      <w:r>
        <w:rPr>
          <w:spacing w:val="-2"/>
        </w:rPr>
        <w:t>We prepare our condensed consolidated financial statements in accordance with accounting principles generally accepted </w:t>
      </w:r>
      <w:r>
        <w:rPr/>
        <w:t>in the United States of</w:t>
      </w:r>
      <w:r>
        <w:rPr>
          <w:spacing w:val="-12"/>
        </w:rPr>
        <w:t> </w:t>
      </w:r>
      <w:r>
        <w:rPr/>
        <w:t>America (“GAAP”).</w:t>
      </w:r>
      <w:r>
        <w:rPr>
          <w:spacing w:val="-4"/>
        </w:rPr>
        <w:t> </w:t>
      </w:r>
      <w:r>
        <w:rPr/>
        <w:t>These principles are subject to interpretation by the SEC and various bodies formed to interpret and create appropriate accounting principles.</w:t>
      </w:r>
      <w:r>
        <w:rPr>
          <w:spacing w:val="-10"/>
        </w:rPr>
        <w:t> </w:t>
      </w:r>
      <w:r>
        <w:rPr/>
        <w:t>A</w:t>
      </w:r>
      <w:r>
        <w:rPr>
          <w:spacing w:val="-8"/>
        </w:rPr>
        <w:t> </w:t>
      </w:r>
      <w:r>
        <w:rPr/>
        <w:t>change in these principles, how the principles are interpreted, or the adoption of new accounting principles can have a significant effect on our reported results, and could even retroactively affect previously reported transactions, and may require that we make significant changes to our systems, processes and controls.</w:t>
      </w:r>
    </w:p>
    <w:p>
      <w:pPr>
        <w:pStyle w:val="BodyText"/>
        <w:spacing w:line="249" w:lineRule="auto" w:before="184"/>
        <w:ind w:left="210" w:right="247" w:firstLine="720"/>
        <w:jc w:val="both"/>
      </w:pPr>
      <w:r>
        <w:rPr/>
        <w:t>Changes</w:t>
      </w:r>
      <w:r>
        <w:rPr>
          <w:spacing w:val="-1"/>
        </w:rPr>
        <w:t> </w:t>
      </w:r>
      <w:r>
        <w:rPr/>
        <w:t>resulting</w:t>
      </w:r>
      <w:r>
        <w:rPr>
          <w:spacing w:val="-1"/>
        </w:rPr>
        <w:t> </w:t>
      </w:r>
      <w:r>
        <w:rPr/>
        <w:t>from</w:t>
      </w:r>
      <w:r>
        <w:rPr>
          <w:spacing w:val="-2"/>
        </w:rPr>
        <w:t> </w:t>
      </w:r>
      <w:r>
        <w:rPr/>
        <w:t>these</w:t>
      </w:r>
      <w:r>
        <w:rPr>
          <w:spacing w:val="-2"/>
        </w:rPr>
        <w:t> </w:t>
      </w:r>
      <w:r>
        <w:rPr/>
        <w:t>new</w:t>
      </w:r>
      <w:r>
        <w:rPr>
          <w:spacing w:val="-1"/>
        </w:rPr>
        <w:t> </w:t>
      </w:r>
      <w:r>
        <w:rPr/>
        <w:t>standards</w:t>
      </w:r>
      <w:r>
        <w:rPr>
          <w:spacing w:val="-1"/>
        </w:rPr>
        <w:t> </w:t>
      </w:r>
      <w:r>
        <w:rPr/>
        <w:t>may</w:t>
      </w:r>
      <w:r>
        <w:rPr>
          <w:spacing w:val="-1"/>
        </w:rPr>
        <w:t> </w:t>
      </w:r>
      <w:r>
        <w:rPr/>
        <w:t>result</w:t>
      </w:r>
      <w:r>
        <w:rPr>
          <w:spacing w:val="-2"/>
        </w:rPr>
        <w:t> </w:t>
      </w:r>
      <w:r>
        <w:rPr/>
        <w:t>in</w:t>
      </w:r>
      <w:r>
        <w:rPr>
          <w:spacing w:val="-1"/>
        </w:rPr>
        <w:t> </w:t>
      </w:r>
      <w:r>
        <w:rPr/>
        <w:t>materially</w:t>
      </w:r>
      <w:r>
        <w:rPr>
          <w:spacing w:val="-1"/>
        </w:rPr>
        <w:t> </w:t>
      </w:r>
      <w:r>
        <w:rPr/>
        <w:t>different</w:t>
      </w:r>
      <w:r>
        <w:rPr>
          <w:spacing w:val="-2"/>
        </w:rPr>
        <w:t> </w:t>
      </w:r>
      <w:r>
        <w:rPr/>
        <w:t>financial</w:t>
      </w:r>
      <w:r>
        <w:rPr>
          <w:spacing w:val="-2"/>
        </w:rPr>
        <w:t> </w:t>
      </w:r>
      <w:r>
        <w:rPr/>
        <w:t>results</w:t>
      </w:r>
      <w:r>
        <w:rPr>
          <w:spacing w:val="-1"/>
        </w:rPr>
        <w:t> </w:t>
      </w:r>
      <w:r>
        <w:rPr/>
        <w:t>and</w:t>
      </w:r>
      <w:r>
        <w:rPr>
          <w:spacing w:val="-1"/>
        </w:rPr>
        <w:t> </w:t>
      </w:r>
      <w:r>
        <w:rPr/>
        <w:t>may</w:t>
      </w:r>
      <w:r>
        <w:rPr>
          <w:spacing w:val="-1"/>
        </w:rPr>
        <w:t> </w:t>
      </w:r>
      <w:r>
        <w:rPr/>
        <w:t>require</w:t>
      </w:r>
      <w:r>
        <w:rPr>
          <w:spacing w:val="-2"/>
        </w:rPr>
        <w:t> </w:t>
      </w:r>
      <w:r>
        <w:rPr/>
        <w:t>that</w:t>
      </w:r>
      <w:r>
        <w:rPr>
          <w:spacing w:val="-1"/>
        </w:rPr>
        <w:t> </w:t>
      </w:r>
      <w:r>
        <w:rPr/>
        <w:t>we change</w:t>
      </w:r>
      <w:r>
        <w:rPr>
          <w:spacing w:val="-3"/>
        </w:rPr>
        <w:t> </w:t>
      </w:r>
      <w:r>
        <w:rPr/>
        <w:t>how</w:t>
      </w:r>
      <w:r>
        <w:rPr>
          <w:spacing w:val="-2"/>
        </w:rPr>
        <w:t> </w:t>
      </w:r>
      <w:r>
        <w:rPr/>
        <w:t>we</w:t>
      </w:r>
      <w:r>
        <w:rPr>
          <w:spacing w:val="-2"/>
        </w:rPr>
        <w:t> </w:t>
      </w:r>
      <w:r>
        <w:rPr/>
        <w:t>process,</w:t>
      </w:r>
      <w:r>
        <w:rPr>
          <w:spacing w:val="-2"/>
        </w:rPr>
        <w:t> </w:t>
      </w:r>
      <w:r>
        <w:rPr/>
        <w:t>analyze</w:t>
      </w:r>
      <w:r>
        <w:rPr>
          <w:spacing w:val="-3"/>
        </w:rPr>
        <w:t> </w:t>
      </w:r>
      <w:r>
        <w:rPr/>
        <w:t>and</w:t>
      </w:r>
      <w:r>
        <w:rPr>
          <w:spacing w:val="-2"/>
        </w:rPr>
        <w:t> </w:t>
      </w:r>
      <w:r>
        <w:rPr/>
        <w:t>report</w:t>
      </w:r>
      <w:r>
        <w:rPr>
          <w:spacing w:val="-2"/>
        </w:rPr>
        <w:t> </w:t>
      </w:r>
      <w:r>
        <w:rPr/>
        <w:t>financial</w:t>
      </w:r>
      <w:r>
        <w:rPr>
          <w:spacing w:val="-3"/>
        </w:rPr>
        <w:t> </w:t>
      </w:r>
      <w:r>
        <w:rPr/>
        <w:t>information</w:t>
      </w:r>
      <w:r>
        <w:rPr>
          <w:spacing w:val="-2"/>
        </w:rPr>
        <w:t> </w:t>
      </w:r>
      <w:r>
        <w:rPr/>
        <w:t>and</w:t>
      </w:r>
      <w:r>
        <w:rPr>
          <w:spacing w:val="-2"/>
        </w:rPr>
        <w:t> </w:t>
      </w:r>
      <w:r>
        <w:rPr/>
        <w:t>that</w:t>
      </w:r>
      <w:r>
        <w:rPr>
          <w:spacing w:val="-2"/>
        </w:rPr>
        <w:t> </w:t>
      </w:r>
      <w:r>
        <w:rPr/>
        <w:t>we</w:t>
      </w:r>
      <w:r>
        <w:rPr>
          <w:spacing w:val="-2"/>
        </w:rPr>
        <w:t> </w:t>
      </w:r>
      <w:r>
        <w:rPr/>
        <w:t>change</w:t>
      </w:r>
      <w:r>
        <w:rPr>
          <w:spacing w:val="-3"/>
        </w:rPr>
        <w:t> </w:t>
      </w:r>
      <w:r>
        <w:rPr/>
        <w:t>financial</w:t>
      </w:r>
      <w:r>
        <w:rPr>
          <w:spacing w:val="-3"/>
        </w:rPr>
        <w:t> </w:t>
      </w:r>
      <w:r>
        <w:rPr/>
        <w:t>reporting</w:t>
      </w:r>
      <w:r>
        <w:rPr>
          <w:spacing w:val="-2"/>
        </w:rPr>
        <w:t> </w:t>
      </w:r>
      <w:r>
        <w:rPr/>
        <w:t>controls.</w:t>
      </w:r>
      <w:r>
        <w:rPr>
          <w:spacing w:val="-2"/>
        </w:rPr>
        <w:t> </w:t>
      </w:r>
      <w:r>
        <w:rPr/>
        <w:t>For</w:t>
      </w:r>
      <w:r>
        <w:rPr>
          <w:spacing w:val="-2"/>
        </w:rPr>
        <w:t> </w:t>
      </w:r>
      <w:r>
        <w:rPr/>
        <w:t>additional information regarding these updated standards, see the section titled “Recent</w:t>
      </w:r>
      <w:r>
        <w:rPr>
          <w:spacing w:val="-1"/>
        </w:rPr>
        <w:t> </w:t>
      </w:r>
      <w:r>
        <w:rPr/>
        <w:t>Accounting Pronouncements Not Yet Effective” within Part II. Item 8, Note 1. Basis of Presentation and Summary of Significant</w:t>
      </w:r>
      <w:r>
        <w:rPr>
          <w:spacing w:val="-4"/>
        </w:rPr>
        <w:t> </w:t>
      </w:r>
      <w:r>
        <w:rPr/>
        <w:t>Accounting Policies.</w:t>
      </w:r>
    </w:p>
    <w:p>
      <w:pPr>
        <w:pStyle w:val="BodyText"/>
        <w:spacing w:line="249" w:lineRule="auto" w:before="184"/>
        <w:ind w:left="210" w:right="247" w:firstLine="720"/>
        <w:jc w:val="both"/>
      </w:pPr>
      <w:r>
        <w:rPr/>
        <w:t>Such changes in accounting principles may have an adverse effect on our business, financial position, and income, or cause an adverse deviation from our revenue and profitability targets, which may negatively impact our financial results.</w:t>
      </w:r>
    </w:p>
    <w:p>
      <w:pPr>
        <w:pStyle w:val="BodyText"/>
        <w:spacing w:before="59"/>
      </w:pPr>
    </w:p>
    <w:p>
      <w:pPr>
        <w:pStyle w:val="Heading3"/>
      </w:pPr>
      <w:r>
        <w:rPr/>
        <w:t>Changes</w:t>
      </w:r>
      <w:r>
        <w:rPr>
          <w:spacing w:val="-5"/>
        </w:rPr>
        <w:t> </w:t>
      </w:r>
      <w:r>
        <w:rPr/>
        <w:t>in</w:t>
      </w:r>
      <w:r>
        <w:rPr>
          <w:spacing w:val="-2"/>
        </w:rPr>
        <w:t> </w:t>
      </w:r>
      <w:r>
        <w:rPr/>
        <w:t>tax</w:t>
      </w:r>
      <w:r>
        <w:rPr>
          <w:spacing w:val="-3"/>
        </w:rPr>
        <w:t> </w:t>
      </w:r>
      <w:r>
        <w:rPr/>
        <w:t>rules</w:t>
      </w:r>
      <w:r>
        <w:rPr>
          <w:spacing w:val="-2"/>
        </w:rPr>
        <w:t> </w:t>
      </w:r>
      <w:r>
        <w:rPr/>
        <w:t>and</w:t>
      </w:r>
      <w:r>
        <w:rPr>
          <w:spacing w:val="-3"/>
        </w:rPr>
        <w:t> </w:t>
      </w:r>
      <w:r>
        <w:rPr/>
        <w:t>regulations,</w:t>
      </w:r>
      <w:r>
        <w:rPr>
          <w:spacing w:val="-3"/>
        </w:rPr>
        <w:t> </w:t>
      </w:r>
      <w:r>
        <w:rPr/>
        <w:t>or</w:t>
      </w:r>
      <w:r>
        <w:rPr>
          <w:spacing w:val="-2"/>
        </w:rPr>
        <w:t> </w:t>
      </w:r>
      <w:r>
        <w:rPr/>
        <w:t>interpretations</w:t>
      </w:r>
      <w:r>
        <w:rPr>
          <w:spacing w:val="-3"/>
        </w:rPr>
        <w:t> </w:t>
      </w:r>
      <w:r>
        <w:rPr/>
        <w:t>thereof,</w:t>
      </w:r>
      <w:r>
        <w:rPr>
          <w:spacing w:val="-2"/>
        </w:rPr>
        <w:t> </w:t>
      </w:r>
      <w:r>
        <w:rPr/>
        <w:t>may</w:t>
      </w:r>
      <w:r>
        <w:rPr>
          <w:spacing w:val="-3"/>
        </w:rPr>
        <w:t> </w:t>
      </w:r>
      <w:r>
        <w:rPr/>
        <w:t>adversely</w:t>
      </w:r>
      <w:r>
        <w:rPr>
          <w:spacing w:val="-3"/>
        </w:rPr>
        <w:t> </w:t>
      </w:r>
      <w:r>
        <w:rPr/>
        <w:t>affect</w:t>
      </w:r>
      <w:r>
        <w:rPr>
          <w:spacing w:val="-2"/>
        </w:rPr>
        <w:t> </w:t>
      </w:r>
      <w:r>
        <w:rPr/>
        <w:t>our</w:t>
      </w:r>
      <w:r>
        <w:rPr>
          <w:spacing w:val="-3"/>
        </w:rPr>
        <w:t> </w:t>
      </w:r>
      <w:r>
        <w:rPr/>
        <w:t>effective</w:t>
      </w:r>
      <w:r>
        <w:rPr>
          <w:spacing w:val="-3"/>
        </w:rPr>
        <w:t> </w:t>
      </w:r>
      <w:r>
        <w:rPr/>
        <w:t>tax</w:t>
      </w:r>
      <w:r>
        <w:rPr>
          <w:spacing w:val="-2"/>
        </w:rPr>
        <w:t> rates.</w:t>
      </w:r>
    </w:p>
    <w:p>
      <w:pPr>
        <w:pStyle w:val="BodyText"/>
        <w:spacing w:line="249" w:lineRule="auto" w:before="190"/>
        <w:ind w:left="210" w:right="247" w:firstLine="720"/>
        <w:jc w:val="both"/>
      </w:pPr>
      <w:r>
        <w:rPr/>
        <w:t>We are a U.S.-based multinational company subject to tax in multiple U.S. and foreign tax jurisdictions.</w:t>
      </w:r>
      <w:r>
        <w:rPr>
          <w:spacing w:val="-7"/>
        </w:rPr>
        <w:t> </w:t>
      </w:r>
      <w:r>
        <w:rPr/>
        <w:t>A</w:t>
      </w:r>
      <w:r>
        <w:rPr>
          <w:spacing w:val="-5"/>
        </w:rPr>
        <w:t> </w:t>
      </w:r>
      <w:r>
        <w:rPr/>
        <w:t>significant portion</w:t>
      </w:r>
      <w:r>
        <w:rPr>
          <w:spacing w:val="-1"/>
        </w:rPr>
        <w:t> </w:t>
      </w:r>
      <w:r>
        <w:rPr/>
        <w:t>of</w:t>
      </w:r>
      <w:r>
        <w:rPr>
          <w:spacing w:val="-1"/>
        </w:rPr>
        <w:t> </w:t>
      </w:r>
      <w:r>
        <w:rPr/>
        <w:t>our</w:t>
      </w:r>
      <w:r>
        <w:rPr>
          <w:spacing w:val="-1"/>
        </w:rPr>
        <w:t> </w:t>
      </w:r>
      <w:r>
        <w:rPr/>
        <w:t>foreign</w:t>
      </w:r>
      <w:r>
        <w:rPr>
          <w:spacing w:val="-1"/>
        </w:rPr>
        <w:t> </w:t>
      </w:r>
      <w:r>
        <w:rPr/>
        <w:t>earnings</w:t>
      </w:r>
      <w:r>
        <w:rPr>
          <w:spacing w:val="-1"/>
        </w:rPr>
        <w:t> </w:t>
      </w:r>
      <w:r>
        <w:rPr/>
        <w:t>for</w:t>
      </w:r>
      <w:r>
        <w:rPr>
          <w:spacing w:val="-1"/>
        </w:rPr>
        <w:t> </w:t>
      </w:r>
      <w:r>
        <w:rPr/>
        <w:t>the</w:t>
      </w:r>
      <w:r>
        <w:rPr>
          <w:spacing w:val="-1"/>
        </w:rPr>
        <w:t> </w:t>
      </w:r>
      <w:r>
        <w:rPr/>
        <w:t>current</w:t>
      </w:r>
      <w:r>
        <w:rPr>
          <w:spacing w:val="-1"/>
        </w:rPr>
        <w:t> </w:t>
      </w:r>
      <w:r>
        <w:rPr/>
        <w:t>fiscal</w:t>
      </w:r>
      <w:r>
        <w:rPr>
          <w:spacing w:val="-1"/>
        </w:rPr>
        <w:t> </w:t>
      </w:r>
      <w:r>
        <w:rPr/>
        <w:t>year</w:t>
      </w:r>
      <w:r>
        <w:rPr>
          <w:spacing w:val="-1"/>
        </w:rPr>
        <w:t> </w:t>
      </w:r>
      <w:r>
        <w:rPr/>
        <w:t>were</w:t>
      </w:r>
      <w:r>
        <w:rPr>
          <w:spacing w:val="-1"/>
        </w:rPr>
        <w:t> </w:t>
      </w:r>
      <w:r>
        <w:rPr/>
        <w:t>earned</w:t>
      </w:r>
      <w:r>
        <w:rPr>
          <w:spacing w:val="-1"/>
        </w:rPr>
        <w:t> </w:t>
      </w:r>
      <w:r>
        <w:rPr/>
        <w:t>by</w:t>
      </w:r>
      <w:r>
        <w:rPr>
          <w:spacing w:val="-1"/>
        </w:rPr>
        <w:t> </w:t>
      </w:r>
      <w:r>
        <w:rPr/>
        <w:t>our</w:t>
      </w:r>
      <w:r>
        <w:rPr>
          <w:spacing w:val="-1"/>
        </w:rPr>
        <w:t> </w:t>
      </w:r>
      <w:r>
        <w:rPr/>
        <w:t>Irish</w:t>
      </w:r>
      <w:r>
        <w:rPr>
          <w:spacing w:val="-1"/>
        </w:rPr>
        <w:t> </w:t>
      </w:r>
      <w:r>
        <w:rPr/>
        <w:t>subsidiaries.</w:t>
      </w:r>
      <w:r>
        <w:rPr>
          <w:spacing w:val="-1"/>
        </w:rPr>
        <w:t> </w:t>
      </w:r>
      <w:r>
        <w:rPr/>
        <w:t>In</w:t>
      </w:r>
      <w:r>
        <w:rPr>
          <w:spacing w:val="-1"/>
        </w:rPr>
        <w:t> </w:t>
      </w:r>
      <w:r>
        <w:rPr/>
        <w:t>addition</w:t>
      </w:r>
      <w:r>
        <w:rPr>
          <w:spacing w:val="-1"/>
        </w:rPr>
        <w:t> </w:t>
      </w:r>
      <w:r>
        <w:rPr/>
        <w:t>to</w:t>
      </w:r>
      <w:r>
        <w:rPr>
          <w:spacing w:val="-1"/>
        </w:rPr>
        <w:t> </w:t>
      </w:r>
      <w:r>
        <w:rPr/>
        <w:t>providing</w:t>
      </w:r>
      <w:r>
        <w:rPr>
          <w:spacing w:val="-1"/>
        </w:rPr>
        <w:t> </w:t>
      </w:r>
      <w:r>
        <w:rPr/>
        <w:t>for</w:t>
      </w:r>
      <w:r>
        <w:rPr>
          <w:spacing w:val="-1"/>
        </w:rPr>
        <w:t> </w:t>
      </w:r>
      <w:r>
        <w:rPr/>
        <w:t>U.S. income</w:t>
      </w:r>
      <w:r>
        <w:rPr>
          <w:spacing w:val="-6"/>
        </w:rPr>
        <w:t> </w:t>
      </w:r>
      <w:r>
        <w:rPr/>
        <w:t>taxes</w:t>
      </w:r>
      <w:r>
        <w:rPr>
          <w:spacing w:val="-5"/>
        </w:rPr>
        <w:t> </w:t>
      </w:r>
      <w:r>
        <w:rPr/>
        <w:t>on</w:t>
      </w:r>
      <w:r>
        <w:rPr>
          <w:spacing w:val="-6"/>
        </w:rPr>
        <w:t> </w:t>
      </w:r>
      <w:r>
        <w:rPr/>
        <w:t>earnings</w:t>
      </w:r>
      <w:r>
        <w:rPr>
          <w:spacing w:val="-5"/>
        </w:rPr>
        <w:t> </w:t>
      </w:r>
      <w:r>
        <w:rPr/>
        <w:t>from</w:t>
      </w:r>
      <w:r>
        <w:rPr>
          <w:spacing w:val="-6"/>
        </w:rPr>
        <w:t> </w:t>
      </w:r>
      <w:r>
        <w:rPr/>
        <w:t>the</w:t>
      </w:r>
      <w:r>
        <w:rPr>
          <w:spacing w:val="-6"/>
        </w:rPr>
        <w:t> </w:t>
      </w:r>
      <w:r>
        <w:rPr/>
        <w:t>United</w:t>
      </w:r>
      <w:r>
        <w:rPr>
          <w:spacing w:val="-6"/>
        </w:rPr>
        <w:t> </w:t>
      </w:r>
      <w:r>
        <w:rPr/>
        <w:t>States,</w:t>
      </w:r>
      <w:r>
        <w:rPr>
          <w:spacing w:val="-6"/>
        </w:rPr>
        <w:t> </w:t>
      </w:r>
      <w:r>
        <w:rPr/>
        <w:t>we</w:t>
      </w:r>
      <w:r>
        <w:rPr>
          <w:spacing w:val="-6"/>
        </w:rPr>
        <w:t> </w:t>
      </w:r>
      <w:r>
        <w:rPr/>
        <w:t>provide</w:t>
      </w:r>
      <w:r>
        <w:rPr>
          <w:spacing w:val="-6"/>
        </w:rPr>
        <w:t> </w:t>
      </w:r>
      <w:r>
        <w:rPr/>
        <w:t>for</w:t>
      </w:r>
      <w:r>
        <w:rPr>
          <w:spacing w:val="-6"/>
        </w:rPr>
        <w:t> </w:t>
      </w:r>
      <w:r>
        <w:rPr/>
        <w:t>U.S.</w:t>
      </w:r>
      <w:r>
        <w:rPr>
          <w:spacing w:val="-6"/>
        </w:rPr>
        <w:t> </w:t>
      </w:r>
      <w:r>
        <w:rPr/>
        <w:t>income</w:t>
      </w:r>
      <w:r>
        <w:rPr>
          <w:spacing w:val="-6"/>
        </w:rPr>
        <w:t> </w:t>
      </w:r>
      <w:r>
        <w:rPr/>
        <w:t>taxes</w:t>
      </w:r>
      <w:r>
        <w:rPr>
          <w:spacing w:val="-5"/>
        </w:rPr>
        <w:t> </w:t>
      </w:r>
      <w:r>
        <w:rPr/>
        <w:t>on</w:t>
      </w:r>
      <w:r>
        <w:rPr>
          <w:spacing w:val="-6"/>
        </w:rPr>
        <w:t> </w:t>
      </w:r>
      <w:r>
        <w:rPr/>
        <w:t>the</w:t>
      </w:r>
      <w:r>
        <w:rPr>
          <w:spacing w:val="-6"/>
        </w:rPr>
        <w:t> </w:t>
      </w:r>
      <w:r>
        <w:rPr/>
        <w:t>earnings</w:t>
      </w:r>
      <w:r>
        <w:rPr>
          <w:spacing w:val="-6"/>
        </w:rPr>
        <w:t> </w:t>
      </w:r>
      <w:r>
        <w:rPr/>
        <w:t>of</w:t>
      </w:r>
      <w:r>
        <w:rPr>
          <w:spacing w:val="-6"/>
        </w:rPr>
        <w:t> </w:t>
      </w:r>
      <w:r>
        <w:rPr/>
        <w:t>foreign</w:t>
      </w:r>
      <w:r>
        <w:rPr>
          <w:spacing w:val="-6"/>
        </w:rPr>
        <w:t> </w:t>
      </w:r>
      <w:r>
        <w:rPr/>
        <w:t>subsidiaries</w:t>
      </w:r>
      <w:r>
        <w:rPr>
          <w:spacing w:val="-5"/>
        </w:rPr>
        <w:t> </w:t>
      </w:r>
      <w:r>
        <w:rPr/>
        <w:t>unless the</w:t>
      </w:r>
      <w:r>
        <w:rPr>
          <w:spacing w:val="-13"/>
        </w:rPr>
        <w:t> </w:t>
      </w:r>
      <w:r>
        <w:rPr/>
        <w:t>subsidiaries’</w:t>
      </w:r>
      <w:r>
        <w:rPr>
          <w:spacing w:val="-12"/>
        </w:rPr>
        <w:t> </w:t>
      </w:r>
      <w:r>
        <w:rPr/>
        <w:t>earnings</w:t>
      </w:r>
      <w:r>
        <w:rPr>
          <w:spacing w:val="-13"/>
        </w:rPr>
        <w:t> </w:t>
      </w:r>
      <w:r>
        <w:rPr/>
        <w:t>are</w:t>
      </w:r>
      <w:r>
        <w:rPr>
          <w:spacing w:val="-12"/>
        </w:rPr>
        <w:t> </w:t>
      </w:r>
      <w:r>
        <w:rPr/>
        <w:t>considered</w:t>
      </w:r>
      <w:r>
        <w:rPr>
          <w:spacing w:val="-13"/>
        </w:rPr>
        <w:t> </w:t>
      </w:r>
      <w:r>
        <w:rPr/>
        <w:t>permanently</w:t>
      </w:r>
      <w:r>
        <w:rPr>
          <w:spacing w:val="-10"/>
        </w:rPr>
        <w:t> </w:t>
      </w:r>
      <w:r>
        <w:rPr/>
        <w:t>reinvested</w:t>
      </w:r>
      <w:r>
        <w:rPr>
          <w:spacing w:val="-10"/>
        </w:rPr>
        <w:t> </w:t>
      </w:r>
      <w:r>
        <w:rPr/>
        <w:t>outside</w:t>
      </w:r>
      <w:r>
        <w:rPr>
          <w:spacing w:val="-10"/>
        </w:rPr>
        <w:t> </w:t>
      </w:r>
      <w:r>
        <w:rPr/>
        <w:t>the</w:t>
      </w:r>
      <w:r>
        <w:rPr>
          <w:spacing w:val="-10"/>
        </w:rPr>
        <w:t> </w:t>
      </w:r>
      <w:r>
        <w:rPr/>
        <w:t>United</w:t>
      </w:r>
      <w:r>
        <w:rPr>
          <w:spacing w:val="-10"/>
        </w:rPr>
        <w:t> </w:t>
      </w:r>
      <w:r>
        <w:rPr/>
        <w:t>States.</w:t>
      </w:r>
      <w:r>
        <w:rPr>
          <w:spacing w:val="-13"/>
        </w:rPr>
        <w:t> </w:t>
      </w:r>
      <w:r>
        <w:rPr/>
        <w:t>While,</w:t>
      </w:r>
      <w:r>
        <w:rPr>
          <w:spacing w:val="-10"/>
        </w:rPr>
        <w:t> </w:t>
      </w:r>
      <w:r>
        <w:rPr/>
        <w:t>as</w:t>
      </w:r>
      <w:r>
        <w:rPr>
          <w:spacing w:val="-10"/>
        </w:rPr>
        <w:t> </w:t>
      </w:r>
      <w:r>
        <w:rPr/>
        <w:t>of</w:t>
      </w:r>
      <w:r>
        <w:rPr>
          <w:spacing w:val="-10"/>
        </w:rPr>
        <w:t> </w:t>
      </w:r>
      <w:r>
        <w:rPr/>
        <w:t>the</w:t>
      </w:r>
      <w:r>
        <w:rPr>
          <w:spacing w:val="-10"/>
        </w:rPr>
        <w:t> </w:t>
      </w:r>
      <w:r>
        <w:rPr/>
        <w:t>balance</w:t>
      </w:r>
      <w:r>
        <w:rPr>
          <w:spacing w:val="-10"/>
        </w:rPr>
        <w:t> </w:t>
      </w:r>
      <w:r>
        <w:rPr/>
        <w:t>sheet</w:t>
      </w:r>
      <w:r>
        <w:rPr>
          <w:spacing w:val="-10"/>
        </w:rPr>
        <w:t> </w:t>
      </w:r>
      <w:r>
        <w:rPr/>
        <w:t>date,</w:t>
      </w:r>
      <w:r>
        <w:rPr>
          <w:spacing w:val="-10"/>
        </w:rPr>
        <w:t> </w:t>
      </w:r>
      <w:r>
        <w:rPr/>
        <w:t>we do</w:t>
      </w:r>
      <w:r>
        <w:rPr>
          <w:spacing w:val="-7"/>
        </w:rPr>
        <w:t> </w:t>
      </w:r>
      <w:r>
        <w:rPr/>
        <w:t>not</w:t>
      </w:r>
      <w:r>
        <w:rPr>
          <w:spacing w:val="-7"/>
        </w:rPr>
        <w:t> </w:t>
      </w:r>
      <w:r>
        <w:rPr/>
        <w:t>anticipate</w:t>
      </w:r>
      <w:r>
        <w:rPr>
          <w:spacing w:val="-8"/>
        </w:rPr>
        <w:t> </w:t>
      </w:r>
      <w:r>
        <w:rPr/>
        <w:t>changing</w:t>
      </w:r>
      <w:r>
        <w:rPr>
          <w:spacing w:val="-7"/>
        </w:rPr>
        <w:t> </w:t>
      </w:r>
      <w:r>
        <w:rPr/>
        <w:t>our</w:t>
      </w:r>
      <w:r>
        <w:rPr>
          <w:spacing w:val="-7"/>
        </w:rPr>
        <w:t> </w:t>
      </w:r>
      <w:r>
        <w:rPr/>
        <w:t>intention</w:t>
      </w:r>
      <w:r>
        <w:rPr>
          <w:spacing w:val="-7"/>
        </w:rPr>
        <w:t> </w:t>
      </w:r>
      <w:r>
        <w:rPr/>
        <w:t>regarding</w:t>
      </w:r>
      <w:r>
        <w:rPr>
          <w:spacing w:val="-7"/>
        </w:rPr>
        <w:t> </w:t>
      </w:r>
      <w:r>
        <w:rPr/>
        <w:t>permanently</w:t>
      </w:r>
      <w:r>
        <w:rPr>
          <w:spacing w:val="-7"/>
        </w:rPr>
        <w:t> </w:t>
      </w:r>
      <w:r>
        <w:rPr/>
        <w:t>reinvested</w:t>
      </w:r>
      <w:r>
        <w:rPr>
          <w:spacing w:val="-8"/>
        </w:rPr>
        <w:t> </w:t>
      </w:r>
      <w:r>
        <w:rPr/>
        <w:t>earnings,</w:t>
      </w:r>
      <w:r>
        <w:rPr>
          <w:spacing w:val="-7"/>
        </w:rPr>
        <w:t> </w:t>
      </w:r>
      <w:r>
        <w:rPr/>
        <w:t>if</w:t>
      </w:r>
      <w:r>
        <w:rPr>
          <w:spacing w:val="-7"/>
        </w:rPr>
        <w:t> </w:t>
      </w:r>
      <w:r>
        <w:rPr/>
        <w:t>certain</w:t>
      </w:r>
      <w:r>
        <w:rPr>
          <w:spacing w:val="-7"/>
        </w:rPr>
        <w:t> </w:t>
      </w:r>
      <w:r>
        <w:rPr/>
        <w:t>foreign</w:t>
      </w:r>
      <w:r>
        <w:rPr>
          <w:spacing w:val="-7"/>
        </w:rPr>
        <w:t> </w:t>
      </w:r>
      <w:r>
        <w:rPr/>
        <w:t>earnings</w:t>
      </w:r>
      <w:r>
        <w:rPr>
          <w:spacing w:val="-7"/>
        </w:rPr>
        <w:t> </w:t>
      </w:r>
      <w:r>
        <w:rPr/>
        <w:t>previously</w:t>
      </w:r>
      <w:r>
        <w:rPr>
          <w:spacing w:val="-7"/>
        </w:rPr>
        <w:t> </w:t>
      </w:r>
      <w:r>
        <w:rPr/>
        <w:t>treated as</w:t>
      </w:r>
      <w:r>
        <w:rPr>
          <w:spacing w:val="-6"/>
        </w:rPr>
        <w:t> </w:t>
      </w:r>
      <w:r>
        <w:rPr/>
        <w:t>permanently</w:t>
      </w:r>
      <w:r>
        <w:rPr>
          <w:spacing w:val="-6"/>
        </w:rPr>
        <w:t> </w:t>
      </w:r>
      <w:r>
        <w:rPr/>
        <w:t>reinvested</w:t>
      </w:r>
      <w:r>
        <w:rPr>
          <w:spacing w:val="-6"/>
        </w:rPr>
        <w:t> </w:t>
      </w:r>
      <w:r>
        <w:rPr/>
        <w:t>are</w:t>
      </w:r>
      <w:r>
        <w:rPr>
          <w:spacing w:val="-6"/>
        </w:rPr>
        <w:t> </w:t>
      </w:r>
      <w:r>
        <w:rPr/>
        <w:t>repatriated,</w:t>
      </w:r>
      <w:r>
        <w:rPr>
          <w:spacing w:val="-6"/>
        </w:rPr>
        <w:t> </w:t>
      </w:r>
      <w:r>
        <w:rPr/>
        <w:t>the</w:t>
      </w:r>
      <w:r>
        <w:rPr>
          <w:spacing w:val="-6"/>
        </w:rPr>
        <w:t> </w:t>
      </w:r>
      <w:r>
        <w:rPr/>
        <w:t>related</w:t>
      </w:r>
      <w:r>
        <w:rPr>
          <w:spacing w:val="-6"/>
        </w:rPr>
        <w:t> </w:t>
      </w:r>
      <w:r>
        <w:rPr/>
        <w:t>U.S.</w:t>
      </w:r>
      <w:r>
        <w:rPr>
          <w:spacing w:val="-6"/>
        </w:rPr>
        <w:t> </w:t>
      </w:r>
      <w:r>
        <w:rPr/>
        <w:t>tax</w:t>
      </w:r>
      <w:r>
        <w:rPr>
          <w:spacing w:val="-6"/>
        </w:rPr>
        <w:t> </w:t>
      </w:r>
      <w:r>
        <w:rPr/>
        <w:t>liability</w:t>
      </w:r>
      <w:r>
        <w:rPr>
          <w:spacing w:val="-6"/>
        </w:rPr>
        <w:t> </w:t>
      </w:r>
      <w:r>
        <w:rPr/>
        <w:t>may</w:t>
      </w:r>
      <w:r>
        <w:rPr>
          <w:spacing w:val="-6"/>
        </w:rPr>
        <w:t> </w:t>
      </w:r>
      <w:r>
        <w:rPr/>
        <w:t>be</w:t>
      </w:r>
      <w:r>
        <w:rPr>
          <w:spacing w:val="-6"/>
        </w:rPr>
        <w:t> </w:t>
      </w:r>
      <w:r>
        <w:rPr/>
        <w:t>reduced</w:t>
      </w:r>
      <w:r>
        <w:rPr>
          <w:spacing w:val="-6"/>
        </w:rPr>
        <w:t> </w:t>
      </w:r>
      <w:r>
        <w:rPr/>
        <w:t>by</w:t>
      </w:r>
      <w:r>
        <w:rPr>
          <w:spacing w:val="-6"/>
        </w:rPr>
        <w:t> </w:t>
      </w:r>
      <w:r>
        <w:rPr/>
        <w:t>any</w:t>
      </w:r>
      <w:r>
        <w:rPr>
          <w:spacing w:val="-6"/>
        </w:rPr>
        <w:t> </w:t>
      </w:r>
      <w:r>
        <w:rPr/>
        <w:t>foreign</w:t>
      </w:r>
      <w:r>
        <w:rPr>
          <w:spacing w:val="-6"/>
        </w:rPr>
        <w:t> </w:t>
      </w:r>
      <w:r>
        <w:rPr/>
        <w:t>income</w:t>
      </w:r>
      <w:r>
        <w:rPr>
          <w:spacing w:val="-6"/>
        </w:rPr>
        <w:t> </w:t>
      </w:r>
      <w:r>
        <w:rPr/>
        <w:t>taxes</w:t>
      </w:r>
      <w:r>
        <w:rPr>
          <w:spacing w:val="-6"/>
        </w:rPr>
        <w:t> </w:t>
      </w:r>
      <w:r>
        <w:rPr/>
        <w:t>paid</w:t>
      </w:r>
      <w:r>
        <w:rPr>
          <w:spacing w:val="-6"/>
        </w:rPr>
        <w:t> </w:t>
      </w:r>
      <w:r>
        <w:rPr/>
        <w:t>on</w:t>
      </w:r>
      <w:r>
        <w:rPr>
          <w:spacing w:val="-6"/>
        </w:rPr>
        <w:t> </w:t>
      </w:r>
      <w:r>
        <w:rPr/>
        <w:t>these </w:t>
      </w:r>
      <w:r>
        <w:rPr>
          <w:spacing w:val="-2"/>
        </w:rPr>
        <w:t>earnings.</w:t>
      </w:r>
    </w:p>
    <w:p>
      <w:pPr>
        <w:pStyle w:val="BodyText"/>
        <w:spacing w:line="249" w:lineRule="auto" w:before="166"/>
        <w:ind w:left="210" w:right="247" w:firstLine="720"/>
        <w:jc w:val="both"/>
      </w:pPr>
      <w:r>
        <w:rPr/>
        <w:t>Our income tax expense has differed from the tax computed at the U.S. federal statutory income tax rate due primarily to discrete items and to earnings considered as permanently reinvested in foreign operations. Unanticipated changes in our tax rates could affect our future results of operations. Our future effective tax rates could be unfavorably affected by changes in the tax rates in jurisdictions where our income is earned, by changes in or our interpretation of tax rules and regulations in the jurisdictions in which we do business, by unanticipated decreases in the amount of earnings in countries with low statutory tax rates,</w:t>
      </w:r>
      <w:r>
        <w:rPr>
          <w:spacing w:val="-1"/>
        </w:rPr>
        <w:t> </w:t>
      </w:r>
      <w:r>
        <w:rPr/>
        <w:t>by</w:t>
      </w:r>
      <w:r>
        <w:rPr>
          <w:spacing w:val="-1"/>
        </w:rPr>
        <w:t> </w:t>
      </w:r>
      <w:r>
        <w:rPr/>
        <w:t>unexpected</w:t>
      </w:r>
      <w:r>
        <w:rPr>
          <w:spacing w:val="-1"/>
        </w:rPr>
        <w:t> </w:t>
      </w:r>
      <w:r>
        <w:rPr/>
        <w:t>negative</w:t>
      </w:r>
      <w:r>
        <w:rPr>
          <w:spacing w:val="-1"/>
        </w:rPr>
        <w:t> </w:t>
      </w:r>
      <w:r>
        <w:rPr/>
        <w:t>changes</w:t>
      </w:r>
      <w:r>
        <w:rPr>
          <w:spacing w:val="-1"/>
        </w:rPr>
        <w:t> </w:t>
      </w:r>
      <w:r>
        <w:rPr/>
        <w:t>in</w:t>
      </w:r>
      <w:r>
        <w:rPr>
          <w:spacing w:val="-1"/>
        </w:rPr>
        <w:t> </w:t>
      </w:r>
      <w:r>
        <w:rPr/>
        <w:t>business</w:t>
      </w:r>
      <w:r>
        <w:rPr>
          <w:spacing w:val="-1"/>
        </w:rPr>
        <w:t> </w:t>
      </w:r>
      <w:r>
        <w:rPr/>
        <w:t>and</w:t>
      </w:r>
      <w:r>
        <w:rPr>
          <w:spacing w:val="-1"/>
        </w:rPr>
        <w:t> </w:t>
      </w:r>
      <w:r>
        <w:rPr/>
        <w:t>market</w:t>
      </w:r>
      <w:r>
        <w:rPr>
          <w:spacing w:val="-2"/>
        </w:rPr>
        <w:t> </w:t>
      </w:r>
      <w:r>
        <w:rPr/>
        <w:t>conditions</w:t>
      </w:r>
      <w:r>
        <w:rPr>
          <w:spacing w:val="-1"/>
        </w:rPr>
        <w:t> </w:t>
      </w:r>
      <w:r>
        <w:rPr/>
        <w:t>that</w:t>
      </w:r>
      <w:r>
        <w:rPr>
          <w:spacing w:val="-1"/>
        </w:rPr>
        <w:t> </w:t>
      </w:r>
      <w:r>
        <w:rPr/>
        <w:t>could</w:t>
      </w:r>
      <w:r>
        <w:rPr>
          <w:spacing w:val="-1"/>
        </w:rPr>
        <w:t> </w:t>
      </w:r>
      <w:r>
        <w:rPr/>
        <w:t>reduce</w:t>
      </w:r>
      <w:r>
        <w:rPr>
          <w:spacing w:val="-1"/>
        </w:rPr>
        <w:t> </w:t>
      </w:r>
      <w:r>
        <w:rPr/>
        <w:t>certain</w:t>
      </w:r>
      <w:r>
        <w:rPr>
          <w:spacing w:val="-1"/>
        </w:rPr>
        <w:t> </w:t>
      </w:r>
      <w:r>
        <w:rPr/>
        <w:t>tax</w:t>
      </w:r>
      <w:r>
        <w:rPr>
          <w:spacing w:val="-1"/>
        </w:rPr>
        <w:t> </w:t>
      </w:r>
      <w:r>
        <w:rPr/>
        <w:t>benefits,</w:t>
      </w:r>
      <w:r>
        <w:rPr>
          <w:spacing w:val="-1"/>
        </w:rPr>
        <w:t> </w:t>
      </w:r>
      <w:r>
        <w:rPr/>
        <w:t>or</w:t>
      </w:r>
      <w:r>
        <w:rPr>
          <w:spacing w:val="-1"/>
        </w:rPr>
        <w:t> </w:t>
      </w:r>
      <w:r>
        <w:rPr/>
        <w:t>by</w:t>
      </w:r>
      <w:r>
        <w:rPr>
          <w:spacing w:val="-1"/>
        </w:rPr>
        <w:t> </w:t>
      </w:r>
      <w:r>
        <w:rPr/>
        <w:t>changes</w:t>
      </w:r>
      <w:r>
        <w:rPr>
          <w:spacing w:val="-1"/>
        </w:rPr>
        <w:t> </w:t>
      </w:r>
      <w:r>
        <w:rPr/>
        <w:t>in the valuation of our deferred tax assets and liabilities.</w:t>
      </w:r>
    </w:p>
    <w:p>
      <w:pPr>
        <w:pStyle w:val="BodyText"/>
        <w:spacing w:line="249" w:lineRule="auto" w:before="166"/>
        <w:ind w:left="210" w:right="247" w:firstLine="720"/>
        <w:jc w:val="both"/>
      </w:pPr>
      <w:r>
        <w:rPr/>
        <w:t>In</w:t>
      </w:r>
      <w:r>
        <w:rPr>
          <w:spacing w:val="-5"/>
        </w:rPr>
        <w:t> </w:t>
      </w:r>
      <w:r>
        <w:rPr/>
        <w:t>addition,</w:t>
      </w:r>
      <w:r>
        <w:rPr>
          <w:spacing w:val="-5"/>
        </w:rPr>
        <w:t> </w:t>
      </w:r>
      <w:r>
        <w:rPr/>
        <w:t>in</w:t>
      </w:r>
      <w:r>
        <w:rPr>
          <w:spacing w:val="-5"/>
        </w:rPr>
        <w:t> </w:t>
      </w:r>
      <w:r>
        <w:rPr/>
        <w:t>the</w:t>
      </w:r>
      <w:r>
        <w:rPr>
          <w:spacing w:val="-5"/>
        </w:rPr>
        <w:t> </w:t>
      </w:r>
      <w:r>
        <w:rPr/>
        <w:t>United</w:t>
      </w:r>
      <w:r>
        <w:rPr>
          <w:spacing w:val="-5"/>
        </w:rPr>
        <w:t> </w:t>
      </w:r>
      <w:r>
        <w:rPr/>
        <w:t>States,</w:t>
      </w:r>
      <w:r>
        <w:rPr>
          <w:spacing w:val="-5"/>
        </w:rPr>
        <w:t> </w:t>
      </w:r>
      <w:r>
        <w:rPr/>
        <w:t>the</w:t>
      </w:r>
      <w:r>
        <w:rPr>
          <w:spacing w:val="-5"/>
        </w:rPr>
        <w:t> </w:t>
      </w:r>
      <w:r>
        <w:rPr/>
        <w:t>European</w:t>
      </w:r>
      <w:r>
        <w:rPr>
          <w:spacing w:val="-5"/>
        </w:rPr>
        <w:t> </w:t>
      </w:r>
      <w:r>
        <w:rPr/>
        <w:t>Commission,</w:t>
      </w:r>
      <w:r>
        <w:rPr>
          <w:spacing w:val="-5"/>
        </w:rPr>
        <w:t> </w:t>
      </w:r>
      <w:r>
        <w:rPr/>
        <w:t>countries</w:t>
      </w:r>
      <w:r>
        <w:rPr>
          <w:spacing w:val="-5"/>
        </w:rPr>
        <w:t> </w:t>
      </w:r>
      <w:r>
        <w:rPr/>
        <w:t>in</w:t>
      </w:r>
      <w:r>
        <w:rPr>
          <w:spacing w:val="-5"/>
        </w:rPr>
        <w:t> </w:t>
      </w:r>
      <w:r>
        <w:rPr/>
        <w:t>the</w:t>
      </w:r>
      <w:r>
        <w:rPr>
          <w:spacing w:val="-5"/>
        </w:rPr>
        <w:t> </w:t>
      </w:r>
      <w:r>
        <w:rPr/>
        <w:t>European</w:t>
      </w:r>
      <w:r>
        <w:rPr>
          <w:spacing w:val="-5"/>
        </w:rPr>
        <w:t> </w:t>
      </w:r>
      <w:r>
        <w:rPr/>
        <w:t>Union</w:t>
      </w:r>
      <w:r>
        <w:rPr>
          <w:spacing w:val="-5"/>
        </w:rPr>
        <w:t> </w:t>
      </w:r>
      <w:r>
        <w:rPr/>
        <w:t>and</w:t>
      </w:r>
      <w:r>
        <w:rPr>
          <w:spacing w:val="-5"/>
        </w:rPr>
        <w:t> </w:t>
      </w:r>
      <w:r>
        <w:rPr/>
        <w:t>other</w:t>
      </w:r>
      <w:r>
        <w:rPr>
          <w:spacing w:val="-5"/>
        </w:rPr>
        <w:t> </w:t>
      </w:r>
      <w:r>
        <w:rPr/>
        <w:t>countries</w:t>
      </w:r>
      <w:r>
        <w:rPr>
          <w:spacing w:val="-5"/>
        </w:rPr>
        <w:t> </w:t>
      </w:r>
      <w:r>
        <w:rPr/>
        <w:t>where we do business, we are subject to potential changes in relevant tax, accounting and other laws, regulations and interpretations, </w:t>
      </w:r>
      <w:r>
        <w:rPr>
          <w:spacing w:val="-2"/>
        </w:rPr>
        <w:t>including</w:t>
      </w:r>
      <w:r>
        <w:rPr>
          <w:spacing w:val="-9"/>
        </w:rPr>
        <w:t> </w:t>
      </w:r>
      <w:r>
        <w:rPr>
          <w:spacing w:val="-2"/>
        </w:rPr>
        <w:t>changes</w:t>
      </w:r>
      <w:r>
        <w:rPr>
          <w:spacing w:val="-5"/>
        </w:rPr>
        <w:t> </w:t>
      </w:r>
      <w:r>
        <w:rPr>
          <w:spacing w:val="-2"/>
        </w:rPr>
        <w:t>to</w:t>
      </w:r>
      <w:r>
        <w:rPr>
          <w:spacing w:val="-5"/>
        </w:rPr>
        <w:t> </w:t>
      </w:r>
      <w:r>
        <w:rPr>
          <w:spacing w:val="-2"/>
        </w:rPr>
        <w:t>tax</w:t>
      </w:r>
      <w:r>
        <w:rPr>
          <w:spacing w:val="-5"/>
        </w:rPr>
        <w:t> </w:t>
      </w:r>
      <w:r>
        <w:rPr>
          <w:spacing w:val="-2"/>
        </w:rPr>
        <w:t>laws</w:t>
      </w:r>
      <w:r>
        <w:rPr>
          <w:spacing w:val="-5"/>
        </w:rPr>
        <w:t> </w:t>
      </w:r>
      <w:r>
        <w:rPr>
          <w:spacing w:val="-2"/>
        </w:rPr>
        <w:t>applicable</w:t>
      </w:r>
      <w:r>
        <w:rPr>
          <w:spacing w:val="-6"/>
        </w:rPr>
        <w:t> </w:t>
      </w:r>
      <w:r>
        <w:rPr>
          <w:spacing w:val="-2"/>
        </w:rPr>
        <w:t>to</w:t>
      </w:r>
      <w:r>
        <w:rPr>
          <w:spacing w:val="-5"/>
        </w:rPr>
        <w:t> </w:t>
      </w:r>
      <w:r>
        <w:rPr>
          <w:spacing w:val="-2"/>
        </w:rPr>
        <w:t>corporate</w:t>
      </w:r>
      <w:r>
        <w:rPr>
          <w:spacing w:val="-6"/>
        </w:rPr>
        <w:t> </w:t>
      </w:r>
      <w:r>
        <w:rPr>
          <w:spacing w:val="-2"/>
        </w:rPr>
        <w:t>multinationals</w:t>
      </w:r>
      <w:r>
        <w:rPr>
          <w:spacing w:val="-5"/>
        </w:rPr>
        <w:t> </w:t>
      </w:r>
      <w:r>
        <w:rPr>
          <w:spacing w:val="-2"/>
        </w:rPr>
        <w:t>such</w:t>
      </w:r>
      <w:r>
        <w:rPr>
          <w:spacing w:val="-5"/>
        </w:rPr>
        <w:t> </w:t>
      </w:r>
      <w:r>
        <w:rPr>
          <w:spacing w:val="-2"/>
        </w:rPr>
        <w:t>as</w:t>
      </w:r>
      <w:r>
        <w:rPr>
          <w:spacing w:val="-11"/>
        </w:rPr>
        <w:t> </w:t>
      </w:r>
      <w:r>
        <w:rPr>
          <w:spacing w:val="-2"/>
        </w:rPr>
        <w:t>Adobe.</w:t>
      </w:r>
      <w:r>
        <w:rPr>
          <w:spacing w:val="-8"/>
        </w:rPr>
        <w:t> </w:t>
      </w:r>
      <w:r>
        <w:rPr>
          <w:spacing w:val="-2"/>
        </w:rPr>
        <w:t>These</w:t>
      </w:r>
      <w:r>
        <w:rPr>
          <w:spacing w:val="-6"/>
        </w:rPr>
        <w:t> </w:t>
      </w:r>
      <w:r>
        <w:rPr>
          <w:spacing w:val="-2"/>
        </w:rPr>
        <w:t>countries</w:t>
      </w:r>
      <w:r>
        <w:rPr>
          <w:spacing w:val="-5"/>
        </w:rPr>
        <w:t> </w:t>
      </w:r>
      <w:r>
        <w:rPr>
          <w:spacing w:val="-2"/>
        </w:rPr>
        <w:t>and</w:t>
      </w:r>
      <w:r>
        <w:rPr>
          <w:spacing w:val="-5"/>
        </w:rPr>
        <w:t> </w:t>
      </w:r>
      <w:r>
        <w:rPr>
          <w:spacing w:val="-2"/>
        </w:rPr>
        <w:t>other</w:t>
      </w:r>
      <w:r>
        <w:rPr>
          <w:spacing w:val="-5"/>
        </w:rPr>
        <w:t> </w:t>
      </w:r>
      <w:r>
        <w:rPr>
          <w:spacing w:val="-2"/>
        </w:rPr>
        <w:t>governmental</w:t>
      </w:r>
      <w:r>
        <w:rPr>
          <w:spacing w:val="-6"/>
        </w:rPr>
        <w:t> </w:t>
      </w:r>
      <w:r>
        <w:rPr>
          <w:spacing w:val="-2"/>
        </w:rPr>
        <w:t>bodies </w:t>
      </w:r>
      <w:r>
        <w:rPr/>
        <w:t>have or could make unprecedented assertions about how earnings in their jurisdictions might be determined that are contrary to the</w:t>
      </w:r>
      <w:r>
        <w:rPr>
          <w:spacing w:val="-7"/>
        </w:rPr>
        <w:t> </w:t>
      </w:r>
      <w:r>
        <w:rPr/>
        <w:t>way</w:t>
      </w:r>
      <w:r>
        <w:rPr>
          <w:spacing w:val="-6"/>
        </w:rPr>
        <w:t> </w:t>
      </w:r>
      <w:r>
        <w:rPr/>
        <w:t>in</w:t>
      </w:r>
      <w:r>
        <w:rPr>
          <w:spacing w:val="-6"/>
        </w:rPr>
        <w:t> </w:t>
      </w:r>
      <w:r>
        <w:rPr/>
        <w:t>which</w:t>
      </w:r>
      <w:r>
        <w:rPr>
          <w:spacing w:val="-7"/>
        </w:rPr>
        <w:t> </w:t>
      </w:r>
      <w:r>
        <w:rPr/>
        <w:t>we</w:t>
      </w:r>
      <w:r>
        <w:rPr>
          <w:spacing w:val="-7"/>
        </w:rPr>
        <w:t> </w:t>
      </w:r>
      <w:r>
        <w:rPr/>
        <w:t>have</w:t>
      </w:r>
      <w:r>
        <w:rPr>
          <w:spacing w:val="-7"/>
        </w:rPr>
        <w:t> </w:t>
      </w:r>
      <w:r>
        <w:rPr/>
        <w:t>interpreted</w:t>
      </w:r>
      <w:r>
        <w:rPr>
          <w:spacing w:val="-7"/>
        </w:rPr>
        <w:t> </w:t>
      </w:r>
      <w:r>
        <w:rPr/>
        <w:t>and</w:t>
      </w:r>
      <w:r>
        <w:rPr>
          <w:spacing w:val="-6"/>
        </w:rPr>
        <w:t> </w:t>
      </w:r>
      <w:r>
        <w:rPr/>
        <w:t>historically</w:t>
      </w:r>
      <w:r>
        <w:rPr>
          <w:spacing w:val="-6"/>
        </w:rPr>
        <w:t> </w:t>
      </w:r>
      <w:r>
        <w:rPr/>
        <w:t>applied</w:t>
      </w:r>
      <w:r>
        <w:rPr>
          <w:spacing w:val="-7"/>
        </w:rPr>
        <w:t> </w:t>
      </w:r>
      <w:r>
        <w:rPr/>
        <w:t>the</w:t>
      </w:r>
      <w:r>
        <w:rPr>
          <w:spacing w:val="-7"/>
        </w:rPr>
        <w:t> </w:t>
      </w:r>
      <w:r>
        <w:rPr/>
        <w:t>rules</w:t>
      </w:r>
      <w:r>
        <w:rPr>
          <w:spacing w:val="-6"/>
        </w:rPr>
        <w:t> </w:t>
      </w:r>
      <w:r>
        <w:rPr/>
        <w:t>and</w:t>
      </w:r>
      <w:r>
        <w:rPr>
          <w:spacing w:val="-7"/>
        </w:rPr>
        <w:t> </w:t>
      </w:r>
      <w:r>
        <w:rPr/>
        <w:t>regulations</w:t>
      </w:r>
      <w:r>
        <w:rPr>
          <w:spacing w:val="-6"/>
        </w:rPr>
        <w:t> </w:t>
      </w:r>
      <w:r>
        <w:rPr/>
        <w:t>described</w:t>
      </w:r>
      <w:r>
        <w:rPr>
          <w:spacing w:val="-6"/>
        </w:rPr>
        <w:t> </w:t>
      </w:r>
      <w:r>
        <w:rPr/>
        <w:t>above</w:t>
      </w:r>
      <w:r>
        <w:rPr>
          <w:spacing w:val="-7"/>
        </w:rPr>
        <w:t> </w:t>
      </w:r>
      <w:r>
        <w:rPr/>
        <w:t>in</w:t>
      </w:r>
      <w:r>
        <w:rPr>
          <w:spacing w:val="-6"/>
        </w:rPr>
        <w:t> </w:t>
      </w:r>
      <w:r>
        <w:rPr/>
        <w:t>our</w:t>
      </w:r>
      <w:r>
        <w:rPr>
          <w:spacing w:val="-7"/>
        </w:rPr>
        <w:t> </w:t>
      </w:r>
      <w:r>
        <w:rPr/>
        <w:t>income</w:t>
      </w:r>
      <w:r>
        <w:rPr>
          <w:spacing w:val="-7"/>
        </w:rPr>
        <w:t> </w:t>
      </w:r>
      <w:r>
        <w:rPr/>
        <w:t>tax</w:t>
      </w:r>
      <w:r>
        <w:rPr>
          <w:spacing w:val="-7"/>
        </w:rPr>
        <w:t> </w:t>
      </w:r>
      <w:r>
        <w:rPr/>
        <w:t>returns </w:t>
      </w:r>
      <w:r>
        <w:rPr>
          <w:spacing w:val="-2"/>
        </w:rPr>
        <w:t>filed</w:t>
      </w:r>
      <w:r>
        <w:rPr>
          <w:spacing w:val="-3"/>
        </w:rPr>
        <w:t> </w:t>
      </w:r>
      <w:r>
        <w:rPr>
          <w:spacing w:val="-2"/>
        </w:rPr>
        <w:t>in such</w:t>
      </w:r>
      <w:r>
        <w:rPr>
          <w:spacing w:val="-3"/>
        </w:rPr>
        <w:t> </w:t>
      </w:r>
      <w:r>
        <w:rPr>
          <w:spacing w:val="-2"/>
        </w:rPr>
        <w:t>jurisdictions. In the</w:t>
      </w:r>
      <w:r>
        <w:rPr>
          <w:spacing w:val="-3"/>
        </w:rPr>
        <w:t> </w:t>
      </w:r>
      <w:r>
        <w:rPr>
          <w:spacing w:val="-2"/>
        </w:rPr>
        <w:t>current</w:t>
      </w:r>
      <w:r>
        <w:rPr>
          <w:spacing w:val="-4"/>
        </w:rPr>
        <w:t> </w:t>
      </w:r>
      <w:r>
        <w:rPr>
          <w:spacing w:val="-2"/>
        </w:rPr>
        <w:t>global</w:t>
      </w:r>
      <w:r>
        <w:rPr>
          <w:spacing w:val="-3"/>
        </w:rPr>
        <w:t> </w:t>
      </w:r>
      <w:r>
        <w:rPr>
          <w:spacing w:val="-2"/>
        </w:rPr>
        <w:t>tax</w:t>
      </w:r>
      <w:r>
        <w:rPr>
          <w:spacing w:val="-3"/>
        </w:rPr>
        <w:t> </w:t>
      </w:r>
      <w:r>
        <w:rPr>
          <w:spacing w:val="-2"/>
        </w:rPr>
        <w:t>policy environment,</w:t>
      </w:r>
      <w:r>
        <w:rPr>
          <w:spacing w:val="-4"/>
        </w:rPr>
        <w:t> </w:t>
      </w:r>
      <w:r>
        <w:rPr>
          <w:spacing w:val="-2"/>
        </w:rPr>
        <w:t>any changes</w:t>
      </w:r>
      <w:r>
        <w:rPr>
          <w:spacing w:val="-3"/>
        </w:rPr>
        <w:t> </w:t>
      </w:r>
      <w:r>
        <w:rPr>
          <w:spacing w:val="-2"/>
        </w:rPr>
        <w:t>in laws, regulations</w:t>
      </w:r>
      <w:r>
        <w:rPr>
          <w:spacing w:val="-3"/>
        </w:rPr>
        <w:t> </w:t>
      </w:r>
      <w:r>
        <w:rPr>
          <w:spacing w:val="-2"/>
        </w:rPr>
        <w:t>and interpretations related</w:t>
      </w:r>
    </w:p>
    <w:p>
      <w:pPr>
        <w:spacing w:after="0" w:line="249" w:lineRule="auto"/>
        <w:jc w:val="both"/>
        <w:sectPr>
          <w:pgSz w:w="12240" w:h="15840"/>
          <w:pgMar w:header="210" w:footer="579" w:top="420" w:bottom="800" w:left="780" w:right="740"/>
        </w:sectPr>
      </w:pPr>
    </w:p>
    <w:p>
      <w:pPr>
        <w:pStyle w:val="BodyText"/>
        <w:spacing w:before="150"/>
      </w:pPr>
    </w:p>
    <w:p>
      <w:pPr>
        <w:pStyle w:val="BodyText"/>
        <w:spacing w:line="249" w:lineRule="auto"/>
        <w:ind w:left="210"/>
      </w:pPr>
      <w:r>
        <w:rPr/>
        <w:t>to these assertions could adversely affect our effective tax rates or result in other costs to us which could adversely affect our</w:t>
      </w:r>
      <w:r>
        <w:rPr>
          <w:spacing w:val="40"/>
        </w:rPr>
        <w:t> </w:t>
      </w:r>
      <w:r>
        <w:rPr/>
        <w:t>operations and financial results.</w:t>
      </w:r>
    </w:p>
    <w:p>
      <w:pPr>
        <w:pStyle w:val="BodyText"/>
        <w:spacing w:line="249" w:lineRule="auto" w:before="161"/>
        <w:ind w:left="210" w:right="247" w:firstLine="720"/>
        <w:jc w:val="both"/>
      </w:pPr>
      <w:r>
        <w:rPr/>
        <w:t>Moreover, we are subject to the continual examination of our income tax returns by the U.S. Internal Revenue Service (“IRS”)</w:t>
      </w:r>
      <w:r>
        <w:rPr>
          <w:spacing w:val="-13"/>
        </w:rPr>
        <w:t> </w:t>
      </w:r>
      <w:r>
        <w:rPr/>
        <w:t>and</w:t>
      </w:r>
      <w:r>
        <w:rPr>
          <w:spacing w:val="-12"/>
        </w:rPr>
        <w:t> </w:t>
      </w:r>
      <w:r>
        <w:rPr/>
        <w:t>other</w:t>
      </w:r>
      <w:r>
        <w:rPr>
          <w:spacing w:val="-13"/>
        </w:rPr>
        <w:t> </w:t>
      </w:r>
      <w:r>
        <w:rPr/>
        <w:t>domestic</w:t>
      </w:r>
      <w:r>
        <w:rPr>
          <w:spacing w:val="-12"/>
        </w:rPr>
        <w:t> </w:t>
      </w:r>
      <w:r>
        <w:rPr/>
        <w:t>and</w:t>
      </w:r>
      <w:r>
        <w:rPr>
          <w:spacing w:val="-13"/>
        </w:rPr>
        <w:t> </w:t>
      </w:r>
      <w:r>
        <w:rPr/>
        <w:t>foreign</w:t>
      </w:r>
      <w:r>
        <w:rPr>
          <w:spacing w:val="-12"/>
        </w:rPr>
        <w:t> </w:t>
      </w:r>
      <w:r>
        <w:rPr/>
        <w:t>tax</w:t>
      </w:r>
      <w:r>
        <w:rPr>
          <w:spacing w:val="-13"/>
        </w:rPr>
        <w:t> </w:t>
      </w:r>
      <w:r>
        <w:rPr/>
        <w:t>authorities.</w:t>
      </w:r>
      <w:r>
        <w:rPr>
          <w:spacing w:val="-12"/>
        </w:rPr>
        <w:t> </w:t>
      </w:r>
      <w:r>
        <w:rPr/>
        <w:t>These</w:t>
      </w:r>
      <w:r>
        <w:rPr>
          <w:spacing w:val="-13"/>
        </w:rPr>
        <w:t> </w:t>
      </w:r>
      <w:r>
        <w:rPr/>
        <w:t>tax</w:t>
      </w:r>
      <w:r>
        <w:rPr>
          <w:spacing w:val="-12"/>
        </w:rPr>
        <w:t> </w:t>
      </w:r>
      <w:r>
        <w:rPr/>
        <w:t>examinations</w:t>
      </w:r>
      <w:r>
        <w:rPr>
          <w:spacing w:val="-13"/>
        </w:rPr>
        <w:t> </w:t>
      </w:r>
      <w:r>
        <w:rPr/>
        <w:t>are</w:t>
      </w:r>
      <w:r>
        <w:rPr>
          <w:spacing w:val="-12"/>
        </w:rPr>
        <w:t> </w:t>
      </w:r>
      <w:r>
        <w:rPr/>
        <w:t>expected</w:t>
      </w:r>
      <w:r>
        <w:rPr>
          <w:spacing w:val="-13"/>
        </w:rPr>
        <w:t> </w:t>
      </w:r>
      <w:r>
        <w:rPr/>
        <w:t>to</w:t>
      </w:r>
      <w:r>
        <w:rPr>
          <w:spacing w:val="-12"/>
        </w:rPr>
        <w:t> </w:t>
      </w:r>
      <w:r>
        <w:rPr/>
        <w:t>focus</w:t>
      </w:r>
      <w:r>
        <w:rPr>
          <w:spacing w:val="-13"/>
        </w:rPr>
        <w:t> </w:t>
      </w:r>
      <w:r>
        <w:rPr/>
        <w:t>on</w:t>
      </w:r>
      <w:r>
        <w:rPr>
          <w:spacing w:val="-12"/>
        </w:rPr>
        <w:t> </w:t>
      </w:r>
      <w:r>
        <w:rPr/>
        <w:t>our</w:t>
      </w:r>
      <w:r>
        <w:rPr>
          <w:spacing w:val="-13"/>
        </w:rPr>
        <w:t> </w:t>
      </w:r>
      <w:r>
        <w:rPr/>
        <w:t>intercompany</w:t>
      </w:r>
      <w:r>
        <w:rPr>
          <w:spacing w:val="-12"/>
        </w:rPr>
        <w:t> </w:t>
      </w:r>
      <w:r>
        <w:rPr/>
        <w:t>transfer pricing practices as well as other matters. We regularly assess the likelihood of outcomes resulting from these examinations to </w:t>
      </w:r>
      <w:r>
        <w:rPr>
          <w:spacing w:val="-4"/>
        </w:rPr>
        <w:t>determine the adequacy of our provision for income taxes and have reserved for adjustments that may result from these examinations. </w:t>
      </w:r>
      <w:r>
        <w:rPr/>
        <w:t>We cannot provide assurance that the final determination of any of these examinations will not have an adverse effect on our operating results and financial position.</w:t>
      </w:r>
    </w:p>
    <w:p>
      <w:pPr>
        <w:pStyle w:val="Heading3"/>
        <w:spacing w:line="249" w:lineRule="auto" w:before="165"/>
        <w:ind w:right="326"/>
      </w:pPr>
      <w:r>
        <w:rPr/>
        <w:t>The</w:t>
      </w:r>
      <w:r>
        <w:rPr>
          <w:spacing w:val="-2"/>
        </w:rPr>
        <w:t> </w:t>
      </w:r>
      <w:r>
        <w:rPr/>
        <w:t>success</w:t>
      </w:r>
      <w:r>
        <w:rPr>
          <w:spacing w:val="-3"/>
        </w:rPr>
        <w:t> </w:t>
      </w:r>
      <w:r>
        <w:rPr/>
        <w:t>of</w:t>
      </w:r>
      <w:r>
        <w:rPr>
          <w:spacing w:val="-2"/>
        </w:rPr>
        <w:t> </w:t>
      </w:r>
      <w:r>
        <w:rPr/>
        <w:t>some</w:t>
      </w:r>
      <w:r>
        <w:rPr>
          <w:spacing w:val="-2"/>
        </w:rPr>
        <w:t> </w:t>
      </w:r>
      <w:r>
        <w:rPr/>
        <w:t>of</w:t>
      </w:r>
      <w:r>
        <w:rPr>
          <w:spacing w:val="-2"/>
        </w:rPr>
        <w:t> </w:t>
      </w:r>
      <w:r>
        <w:rPr/>
        <w:t>our</w:t>
      </w:r>
      <w:r>
        <w:rPr>
          <w:spacing w:val="-3"/>
        </w:rPr>
        <w:t> </w:t>
      </w:r>
      <w:r>
        <w:rPr/>
        <w:t>product</w:t>
      </w:r>
      <w:r>
        <w:rPr>
          <w:spacing w:val="-2"/>
        </w:rPr>
        <w:t> </w:t>
      </w:r>
      <w:r>
        <w:rPr/>
        <w:t>and</w:t>
      </w:r>
      <w:r>
        <w:rPr>
          <w:spacing w:val="-2"/>
        </w:rPr>
        <w:t> </w:t>
      </w:r>
      <w:r>
        <w:rPr/>
        <w:t>service</w:t>
      </w:r>
      <w:r>
        <w:rPr>
          <w:spacing w:val="-2"/>
        </w:rPr>
        <w:t> </w:t>
      </w:r>
      <w:r>
        <w:rPr/>
        <w:t>offerings</w:t>
      </w:r>
      <w:r>
        <w:rPr>
          <w:spacing w:val="-3"/>
        </w:rPr>
        <w:t> </w:t>
      </w:r>
      <w:r>
        <w:rPr/>
        <w:t>depends</w:t>
      </w:r>
      <w:r>
        <w:rPr>
          <w:spacing w:val="-3"/>
        </w:rPr>
        <w:t> </w:t>
      </w:r>
      <w:r>
        <w:rPr/>
        <w:t>on</w:t>
      </w:r>
      <w:r>
        <w:rPr>
          <w:spacing w:val="-3"/>
        </w:rPr>
        <w:t> </w:t>
      </w:r>
      <w:r>
        <w:rPr/>
        <w:t>our</w:t>
      </w:r>
      <w:r>
        <w:rPr>
          <w:spacing w:val="-3"/>
        </w:rPr>
        <w:t> </w:t>
      </w:r>
      <w:r>
        <w:rPr/>
        <w:t>ability</w:t>
      </w:r>
      <w:r>
        <w:rPr>
          <w:spacing w:val="-2"/>
        </w:rPr>
        <w:t> </w:t>
      </w:r>
      <w:r>
        <w:rPr/>
        <w:t>to</w:t>
      </w:r>
      <w:r>
        <w:rPr>
          <w:spacing w:val="-2"/>
        </w:rPr>
        <w:t> </w:t>
      </w:r>
      <w:r>
        <w:rPr/>
        <w:t>continue</w:t>
      </w:r>
      <w:r>
        <w:rPr>
          <w:spacing w:val="-2"/>
        </w:rPr>
        <w:t> </w:t>
      </w:r>
      <w:r>
        <w:rPr/>
        <w:t>to</w:t>
      </w:r>
      <w:r>
        <w:rPr>
          <w:spacing w:val="-2"/>
        </w:rPr>
        <w:t> </w:t>
      </w:r>
      <w:r>
        <w:rPr/>
        <w:t>attract</w:t>
      </w:r>
      <w:r>
        <w:rPr>
          <w:spacing w:val="-2"/>
        </w:rPr>
        <w:t> </w:t>
      </w:r>
      <w:r>
        <w:rPr/>
        <w:t>and</w:t>
      </w:r>
      <w:r>
        <w:rPr>
          <w:spacing w:val="-2"/>
        </w:rPr>
        <w:t> </w:t>
      </w:r>
      <w:r>
        <w:rPr/>
        <w:t>retain</w:t>
      </w:r>
      <w:r>
        <w:rPr>
          <w:spacing w:val="-3"/>
        </w:rPr>
        <w:t> </w:t>
      </w:r>
      <w:r>
        <w:rPr/>
        <w:t>customers of and contributors to our online marketplaces for creative content.</w:t>
      </w:r>
    </w:p>
    <w:p>
      <w:pPr>
        <w:pStyle w:val="BodyText"/>
        <w:spacing w:before="12"/>
        <w:rPr>
          <w:b/>
          <w:i/>
        </w:rPr>
      </w:pPr>
    </w:p>
    <w:p>
      <w:pPr>
        <w:pStyle w:val="BodyText"/>
        <w:spacing w:line="249" w:lineRule="auto"/>
        <w:ind w:left="210" w:right="247" w:firstLine="720"/>
        <w:jc w:val="both"/>
      </w:pPr>
      <w:r>
        <w:rPr/>
        <w:t>The success of some of our product and service offerings, such as</w:t>
      </w:r>
      <w:r>
        <w:rPr>
          <w:spacing w:val="-6"/>
        </w:rPr>
        <w:t> </w:t>
      </w:r>
      <w:r>
        <w:rPr/>
        <w:t>Adobe Stock, depends on our ability to continue to attract</w:t>
      </w:r>
      <w:r>
        <w:rPr>
          <w:spacing w:val="-12"/>
        </w:rPr>
        <w:t> </w:t>
      </w:r>
      <w:r>
        <w:rPr/>
        <w:t>new</w:t>
      </w:r>
      <w:r>
        <w:rPr>
          <w:spacing w:val="-11"/>
        </w:rPr>
        <w:t> </w:t>
      </w:r>
      <w:r>
        <w:rPr/>
        <w:t>customers</w:t>
      </w:r>
      <w:r>
        <w:rPr>
          <w:spacing w:val="-11"/>
        </w:rPr>
        <w:t> </w:t>
      </w:r>
      <w:r>
        <w:rPr/>
        <w:t>and</w:t>
      </w:r>
      <w:r>
        <w:rPr>
          <w:spacing w:val="-11"/>
        </w:rPr>
        <w:t> </w:t>
      </w:r>
      <w:r>
        <w:rPr/>
        <w:t>contributors</w:t>
      </w:r>
      <w:r>
        <w:rPr>
          <w:spacing w:val="-11"/>
        </w:rPr>
        <w:t> </w:t>
      </w:r>
      <w:r>
        <w:rPr/>
        <w:t>to</w:t>
      </w:r>
      <w:r>
        <w:rPr>
          <w:spacing w:val="-11"/>
        </w:rPr>
        <w:t> </w:t>
      </w:r>
      <w:r>
        <w:rPr/>
        <w:t>these</w:t>
      </w:r>
      <w:r>
        <w:rPr>
          <w:spacing w:val="-11"/>
        </w:rPr>
        <w:t> </w:t>
      </w:r>
      <w:r>
        <w:rPr/>
        <w:t>online</w:t>
      </w:r>
      <w:r>
        <w:rPr>
          <w:spacing w:val="-11"/>
        </w:rPr>
        <w:t> </w:t>
      </w:r>
      <w:r>
        <w:rPr/>
        <w:t>marketplaces</w:t>
      </w:r>
      <w:r>
        <w:rPr>
          <w:spacing w:val="-11"/>
        </w:rPr>
        <w:t> </w:t>
      </w:r>
      <w:r>
        <w:rPr/>
        <w:t>for</w:t>
      </w:r>
      <w:r>
        <w:rPr>
          <w:spacing w:val="-11"/>
        </w:rPr>
        <w:t> </w:t>
      </w:r>
      <w:r>
        <w:rPr/>
        <w:t>creative</w:t>
      </w:r>
      <w:r>
        <w:rPr>
          <w:spacing w:val="-12"/>
        </w:rPr>
        <w:t> </w:t>
      </w:r>
      <w:r>
        <w:rPr/>
        <w:t>content,</w:t>
      </w:r>
      <w:r>
        <w:rPr>
          <w:spacing w:val="-11"/>
        </w:rPr>
        <w:t> </w:t>
      </w:r>
      <w:r>
        <w:rPr/>
        <w:t>as</w:t>
      </w:r>
      <w:r>
        <w:rPr>
          <w:spacing w:val="-11"/>
        </w:rPr>
        <w:t> </w:t>
      </w:r>
      <w:r>
        <w:rPr/>
        <w:t>well</w:t>
      </w:r>
      <w:r>
        <w:rPr>
          <w:spacing w:val="-11"/>
        </w:rPr>
        <w:t> </w:t>
      </w:r>
      <w:r>
        <w:rPr/>
        <w:t>as</w:t>
      </w:r>
      <w:r>
        <w:rPr>
          <w:spacing w:val="-11"/>
        </w:rPr>
        <w:t> </w:t>
      </w:r>
      <w:r>
        <w:rPr/>
        <w:t>our</w:t>
      </w:r>
      <w:r>
        <w:rPr>
          <w:spacing w:val="-11"/>
        </w:rPr>
        <w:t> </w:t>
      </w:r>
      <w:r>
        <w:rPr/>
        <w:t>ability</w:t>
      </w:r>
      <w:r>
        <w:rPr>
          <w:spacing w:val="-11"/>
        </w:rPr>
        <w:t> </w:t>
      </w:r>
      <w:r>
        <w:rPr/>
        <w:t>to</w:t>
      </w:r>
      <w:r>
        <w:rPr>
          <w:spacing w:val="-11"/>
        </w:rPr>
        <w:t> </w:t>
      </w:r>
      <w:r>
        <w:rPr/>
        <w:t>continue</w:t>
      </w:r>
      <w:r>
        <w:rPr>
          <w:spacing w:val="-12"/>
        </w:rPr>
        <w:t> </w:t>
      </w:r>
      <w:r>
        <w:rPr/>
        <w:t>to</w:t>
      </w:r>
      <w:r>
        <w:rPr>
          <w:spacing w:val="-11"/>
        </w:rPr>
        <w:t> </w:t>
      </w:r>
      <w:r>
        <w:rPr/>
        <w:t>retain existing customers and contributors.</w:t>
      </w:r>
      <w:r>
        <w:rPr>
          <w:spacing w:val="-8"/>
        </w:rPr>
        <w:t> </w:t>
      </w:r>
      <w:r>
        <w:rPr/>
        <w:t>An increase in paying customers has generally resulted in more content from contributors, which</w:t>
      </w:r>
      <w:r>
        <w:rPr>
          <w:spacing w:val="-3"/>
        </w:rPr>
        <w:t> </w:t>
      </w:r>
      <w:r>
        <w:rPr/>
        <w:t>increases</w:t>
      </w:r>
      <w:r>
        <w:rPr>
          <w:spacing w:val="-3"/>
        </w:rPr>
        <w:t> </w:t>
      </w:r>
      <w:r>
        <w:rPr/>
        <w:t>the</w:t>
      </w:r>
      <w:r>
        <w:rPr>
          <w:spacing w:val="-3"/>
        </w:rPr>
        <w:t> </w:t>
      </w:r>
      <w:r>
        <w:rPr/>
        <w:t>size</w:t>
      </w:r>
      <w:r>
        <w:rPr>
          <w:spacing w:val="-3"/>
        </w:rPr>
        <w:t> </w:t>
      </w:r>
      <w:r>
        <w:rPr/>
        <w:t>of</w:t>
      </w:r>
      <w:r>
        <w:rPr>
          <w:spacing w:val="-3"/>
        </w:rPr>
        <w:t> </w:t>
      </w:r>
      <w:r>
        <w:rPr/>
        <w:t>our</w:t>
      </w:r>
      <w:r>
        <w:rPr>
          <w:spacing w:val="-3"/>
        </w:rPr>
        <w:t> </w:t>
      </w:r>
      <w:r>
        <w:rPr/>
        <w:t>collection</w:t>
      </w:r>
      <w:r>
        <w:rPr>
          <w:spacing w:val="-3"/>
        </w:rPr>
        <w:t> </w:t>
      </w:r>
      <w:r>
        <w:rPr/>
        <w:t>and</w:t>
      </w:r>
      <w:r>
        <w:rPr>
          <w:spacing w:val="-3"/>
        </w:rPr>
        <w:t> </w:t>
      </w:r>
      <w:r>
        <w:rPr/>
        <w:t>in</w:t>
      </w:r>
      <w:r>
        <w:rPr>
          <w:spacing w:val="-3"/>
        </w:rPr>
        <w:t> </w:t>
      </w:r>
      <w:r>
        <w:rPr/>
        <w:t>turn</w:t>
      </w:r>
      <w:r>
        <w:rPr>
          <w:spacing w:val="-3"/>
        </w:rPr>
        <w:t> </w:t>
      </w:r>
      <w:r>
        <w:rPr/>
        <w:t>attracts</w:t>
      </w:r>
      <w:r>
        <w:rPr>
          <w:spacing w:val="-3"/>
        </w:rPr>
        <w:t> </w:t>
      </w:r>
      <w:r>
        <w:rPr/>
        <w:t>new</w:t>
      </w:r>
      <w:r>
        <w:rPr>
          <w:spacing w:val="-3"/>
        </w:rPr>
        <w:t> </w:t>
      </w:r>
      <w:r>
        <w:rPr/>
        <w:t>paying</w:t>
      </w:r>
      <w:r>
        <w:rPr>
          <w:spacing w:val="-3"/>
        </w:rPr>
        <w:t> </w:t>
      </w:r>
      <w:r>
        <w:rPr/>
        <w:t>customers.</w:t>
      </w:r>
      <w:r>
        <w:rPr>
          <w:spacing w:val="-7"/>
        </w:rPr>
        <w:t> </w:t>
      </w:r>
      <w:r>
        <w:rPr/>
        <w:t>We</w:t>
      </w:r>
      <w:r>
        <w:rPr>
          <w:spacing w:val="-3"/>
        </w:rPr>
        <w:t> </w:t>
      </w:r>
      <w:r>
        <w:rPr/>
        <w:t>rely</w:t>
      </w:r>
      <w:r>
        <w:rPr>
          <w:spacing w:val="-3"/>
        </w:rPr>
        <w:t> </w:t>
      </w:r>
      <w:r>
        <w:rPr/>
        <w:t>on</w:t>
      </w:r>
      <w:r>
        <w:rPr>
          <w:spacing w:val="-3"/>
        </w:rPr>
        <w:t> </w:t>
      </w:r>
      <w:r>
        <w:rPr/>
        <w:t>the</w:t>
      </w:r>
      <w:r>
        <w:rPr>
          <w:spacing w:val="-3"/>
        </w:rPr>
        <w:t> </w:t>
      </w:r>
      <w:r>
        <w:rPr/>
        <w:t>functionality</w:t>
      </w:r>
      <w:r>
        <w:rPr>
          <w:spacing w:val="-3"/>
        </w:rPr>
        <w:t> </w:t>
      </w:r>
      <w:r>
        <w:rPr/>
        <w:t>and</w:t>
      </w:r>
      <w:r>
        <w:rPr>
          <w:spacing w:val="-3"/>
        </w:rPr>
        <w:t> </w:t>
      </w:r>
      <w:r>
        <w:rPr/>
        <w:t>features</w:t>
      </w:r>
      <w:r>
        <w:rPr>
          <w:spacing w:val="-3"/>
        </w:rPr>
        <w:t> </w:t>
      </w:r>
      <w:r>
        <w:rPr/>
        <w:t>of </w:t>
      </w:r>
      <w:r>
        <w:rPr>
          <w:spacing w:val="-2"/>
        </w:rPr>
        <w:t>our</w:t>
      </w:r>
      <w:r>
        <w:rPr>
          <w:spacing w:val="-11"/>
        </w:rPr>
        <w:t> </w:t>
      </w:r>
      <w:r>
        <w:rPr>
          <w:spacing w:val="-2"/>
        </w:rPr>
        <w:t>online</w:t>
      </w:r>
      <w:r>
        <w:rPr>
          <w:spacing w:val="-10"/>
        </w:rPr>
        <w:t> </w:t>
      </w:r>
      <w:r>
        <w:rPr>
          <w:spacing w:val="-2"/>
        </w:rPr>
        <w:t>marketplaces,</w:t>
      </w:r>
      <w:r>
        <w:rPr>
          <w:spacing w:val="-11"/>
        </w:rPr>
        <w:t> </w:t>
      </w:r>
      <w:r>
        <w:rPr>
          <w:spacing w:val="-2"/>
        </w:rPr>
        <w:t>the</w:t>
      </w:r>
      <w:r>
        <w:rPr>
          <w:spacing w:val="-10"/>
        </w:rPr>
        <w:t> </w:t>
      </w:r>
      <w:r>
        <w:rPr>
          <w:spacing w:val="-2"/>
        </w:rPr>
        <w:t>size</w:t>
      </w:r>
      <w:r>
        <w:rPr>
          <w:spacing w:val="-11"/>
        </w:rPr>
        <w:t> </w:t>
      </w:r>
      <w:r>
        <w:rPr>
          <w:spacing w:val="-2"/>
        </w:rPr>
        <w:t>and</w:t>
      </w:r>
      <w:r>
        <w:rPr>
          <w:spacing w:val="-10"/>
        </w:rPr>
        <w:t> </w:t>
      </w:r>
      <w:r>
        <w:rPr>
          <w:spacing w:val="-2"/>
        </w:rPr>
        <w:t>content</w:t>
      </w:r>
      <w:r>
        <w:rPr>
          <w:spacing w:val="-11"/>
        </w:rPr>
        <w:t> </w:t>
      </w:r>
      <w:r>
        <w:rPr>
          <w:spacing w:val="-2"/>
        </w:rPr>
        <w:t>of</w:t>
      </w:r>
      <w:r>
        <w:rPr>
          <w:spacing w:val="-10"/>
        </w:rPr>
        <w:t> </w:t>
      </w:r>
      <w:r>
        <w:rPr>
          <w:spacing w:val="-2"/>
        </w:rPr>
        <w:t>our</w:t>
      </w:r>
      <w:r>
        <w:rPr>
          <w:spacing w:val="-11"/>
        </w:rPr>
        <w:t> </w:t>
      </w:r>
      <w:r>
        <w:rPr>
          <w:spacing w:val="-2"/>
        </w:rPr>
        <w:t>collection</w:t>
      </w:r>
      <w:r>
        <w:rPr>
          <w:spacing w:val="-10"/>
        </w:rPr>
        <w:t> </w:t>
      </w:r>
      <w:r>
        <w:rPr>
          <w:spacing w:val="-2"/>
        </w:rPr>
        <w:t>and</w:t>
      </w:r>
      <w:r>
        <w:rPr>
          <w:spacing w:val="-11"/>
        </w:rPr>
        <w:t> </w:t>
      </w:r>
      <w:r>
        <w:rPr>
          <w:spacing w:val="-2"/>
        </w:rPr>
        <w:t>the</w:t>
      </w:r>
      <w:r>
        <w:rPr>
          <w:spacing w:val="-10"/>
        </w:rPr>
        <w:t> </w:t>
      </w:r>
      <w:r>
        <w:rPr>
          <w:spacing w:val="-2"/>
        </w:rPr>
        <w:t>effectiveness</w:t>
      </w:r>
      <w:r>
        <w:rPr>
          <w:spacing w:val="-11"/>
        </w:rPr>
        <w:t> </w:t>
      </w:r>
      <w:r>
        <w:rPr>
          <w:spacing w:val="-2"/>
        </w:rPr>
        <w:t>of</w:t>
      </w:r>
      <w:r>
        <w:rPr>
          <w:spacing w:val="-10"/>
        </w:rPr>
        <w:t> </w:t>
      </w:r>
      <w:r>
        <w:rPr>
          <w:spacing w:val="-2"/>
        </w:rPr>
        <w:t>our</w:t>
      </w:r>
      <w:r>
        <w:rPr>
          <w:spacing w:val="-11"/>
        </w:rPr>
        <w:t> </w:t>
      </w:r>
      <w:r>
        <w:rPr>
          <w:spacing w:val="-2"/>
        </w:rPr>
        <w:t>marketing</w:t>
      </w:r>
      <w:r>
        <w:rPr>
          <w:spacing w:val="-10"/>
        </w:rPr>
        <w:t> </w:t>
      </w:r>
      <w:r>
        <w:rPr>
          <w:spacing w:val="-2"/>
        </w:rPr>
        <w:t>efforts</w:t>
      </w:r>
      <w:r>
        <w:rPr>
          <w:spacing w:val="-11"/>
        </w:rPr>
        <w:t> </w:t>
      </w:r>
      <w:r>
        <w:rPr>
          <w:spacing w:val="-2"/>
        </w:rPr>
        <w:t>to</w:t>
      </w:r>
      <w:r>
        <w:rPr>
          <w:spacing w:val="-10"/>
        </w:rPr>
        <w:t> </w:t>
      </w:r>
      <w:r>
        <w:rPr>
          <w:spacing w:val="-2"/>
        </w:rPr>
        <w:t>attract</w:t>
      </w:r>
      <w:r>
        <w:rPr>
          <w:spacing w:val="-11"/>
        </w:rPr>
        <w:t> </w:t>
      </w:r>
      <w:r>
        <w:rPr>
          <w:spacing w:val="-2"/>
        </w:rPr>
        <w:t>new</w:t>
      </w:r>
      <w:r>
        <w:rPr>
          <w:spacing w:val="-10"/>
        </w:rPr>
        <w:t> </w:t>
      </w:r>
      <w:r>
        <w:rPr>
          <w:spacing w:val="-2"/>
        </w:rPr>
        <w:t>customers </w:t>
      </w:r>
      <w:r>
        <w:rPr/>
        <w:t>and contributors and retain existing ones. New technologies may render the features of our online marketplaces obsolete, our collection may fail to grow as anticipated or our marketing efforts may be unsuccessful, any of which may adversely affect our results of operations.</w:t>
      </w:r>
    </w:p>
    <w:p>
      <w:pPr>
        <w:pStyle w:val="BodyText"/>
        <w:spacing w:before="16"/>
      </w:pPr>
    </w:p>
    <w:p>
      <w:pPr>
        <w:pStyle w:val="Heading3"/>
        <w:spacing w:before="1"/>
      </w:pPr>
      <w:r>
        <w:rPr/>
        <w:t>We</w:t>
      </w:r>
      <w:r>
        <w:rPr>
          <w:spacing w:val="-3"/>
        </w:rPr>
        <w:t> </w:t>
      </w:r>
      <w:r>
        <w:rPr/>
        <w:t>face</w:t>
      </w:r>
      <w:r>
        <w:rPr>
          <w:spacing w:val="-4"/>
        </w:rPr>
        <w:t> </w:t>
      </w:r>
      <w:r>
        <w:rPr/>
        <w:t>various</w:t>
      </w:r>
      <w:r>
        <w:rPr>
          <w:spacing w:val="-3"/>
        </w:rPr>
        <w:t> </w:t>
      </w:r>
      <w:r>
        <w:rPr/>
        <w:t>risks</w:t>
      </w:r>
      <w:r>
        <w:rPr>
          <w:spacing w:val="-3"/>
        </w:rPr>
        <w:t> </w:t>
      </w:r>
      <w:r>
        <w:rPr/>
        <w:t>associated</w:t>
      </w:r>
      <w:r>
        <w:rPr>
          <w:spacing w:val="-3"/>
        </w:rPr>
        <w:t> </w:t>
      </w:r>
      <w:r>
        <w:rPr/>
        <w:t>with</w:t>
      </w:r>
      <w:r>
        <w:rPr>
          <w:spacing w:val="-3"/>
        </w:rPr>
        <w:t> </w:t>
      </w:r>
      <w:r>
        <w:rPr/>
        <w:t>our</w:t>
      </w:r>
      <w:r>
        <w:rPr>
          <w:spacing w:val="-3"/>
        </w:rPr>
        <w:t> </w:t>
      </w:r>
      <w:r>
        <w:rPr/>
        <w:t>operating</w:t>
      </w:r>
      <w:r>
        <w:rPr>
          <w:spacing w:val="-3"/>
        </w:rPr>
        <w:t> </w:t>
      </w:r>
      <w:r>
        <w:rPr/>
        <w:t>as</w:t>
      </w:r>
      <w:r>
        <w:rPr>
          <w:spacing w:val="-3"/>
        </w:rPr>
        <w:t> </w:t>
      </w:r>
      <w:r>
        <w:rPr/>
        <w:t>a</w:t>
      </w:r>
      <w:r>
        <w:rPr>
          <w:spacing w:val="-3"/>
        </w:rPr>
        <w:t> </w:t>
      </w:r>
      <w:r>
        <w:rPr/>
        <w:t>multinational</w:t>
      </w:r>
      <w:r>
        <w:rPr>
          <w:spacing w:val="-3"/>
        </w:rPr>
        <w:t> </w:t>
      </w:r>
      <w:r>
        <w:rPr>
          <w:spacing w:val="-2"/>
        </w:rPr>
        <w:t>corporation.</w:t>
      </w:r>
    </w:p>
    <w:p>
      <w:pPr>
        <w:pStyle w:val="BodyText"/>
        <w:spacing w:line="249" w:lineRule="auto" w:before="190"/>
        <w:ind w:left="210" w:right="247" w:firstLine="540"/>
        <w:jc w:val="both"/>
      </w:pPr>
      <w:r>
        <w:rPr>
          <w:spacing w:val="-2"/>
        </w:rPr>
        <w:t>As</w:t>
      </w:r>
      <w:r>
        <w:rPr>
          <w:spacing w:val="-9"/>
        </w:rPr>
        <w:t> </w:t>
      </w:r>
      <w:r>
        <w:rPr>
          <w:spacing w:val="-2"/>
        </w:rPr>
        <w:t>a</w:t>
      </w:r>
      <w:r>
        <w:rPr>
          <w:spacing w:val="-5"/>
        </w:rPr>
        <w:t> </w:t>
      </w:r>
      <w:r>
        <w:rPr>
          <w:spacing w:val="-2"/>
        </w:rPr>
        <w:t>global</w:t>
      </w:r>
      <w:r>
        <w:rPr>
          <w:spacing w:val="-5"/>
        </w:rPr>
        <w:t> </w:t>
      </w:r>
      <w:r>
        <w:rPr>
          <w:spacing w:val="-2"/>
        </w:rPr>
        <w:t>business</w:t>
      </w:r>
      <w:r>
        <w:rPr>
          <w:spacing w:val="-5"/>
        </w:rPr>
        <w:t> </w:t>
      </w:r>
      <w:r>
        <w:rPr>
          <w:spacing w:val="-2"/>
        </w:rPr>
        <w:t>that</w:t>
      </w:r>
      <w:r>
        <w:rPr>
          <w:spacing w:val="-5"/>
        </w:rPr>
        <w:t> </w:t>
      </w:r>
      <w:r>
        <w:rPr>
          <w:spacing w:val="-2"/>
        </w:rPr>
        <w:t>generates</w:t>
      </w:r>
      <w:r>
        <w:rPr>
          <w:spacing w:val="-5"/>
        </w:rPr>
        <w:t> </w:t>
      </w:r>
      <w:r>
        <w:rPr>
          <w:spacing w:val="-2"/>
        </w:rPr>
        <w:t>approximately</w:t>
      </w:r>
      <w:r>
        <w:rPr>
          <w:spacing w:val="-5"/>
        </w:rPr>
        <w:t> </w:t>
      </w:r>
      <w:r>
        <w:rPr>
          <w:spacing w:val="-2"/>
        </w:rPr>
        <w:t>42%</w:t>
      </w:r>
      <w:r>
        <w:rPr>
          <w:spacing w:val="-5"/>
        </w:rPr>
        <w:t> </w:t>
      </w:r>
      <w:r>
        <w:rPr>
          <w:spacing w:val="-2"/>
        </w:rPr>
        <w:t>of</w:t>
      </w:r>
      <w:r>
        <w:rPr>
          <w:spacing w:val="-5"/>
        </w:rPr>
        <w:t> </w:t>
      </w:r>
      <w:r>
        <w:rPr>
          <w:spacing w:val="-2"/>
        </w:rPr>
        <w:t>our</w:t>
      </w:r>
      <w:r>
        <w:rPr>
          <w:spacing w:val="-5"/>
        </w:rPr>
        <w:t> </w:t>
      </w:r>
      <w:r>
        <w:rPr>
          <w:spacing w:val="-2"/>
        </w:rPr>
        <w:t>total</w:t>
      </w:r>
      <w:r>
        <w:rPr>
          <w:spacing w:val="-5"/>
        </w:rPr>
        <w:t> </w:t>
      </w:r>
      <w:r>
        <w:rPr>
          <w:spacing w:val="-2"/>
        </w:rPr>
        <w:t>revenue</w:t>
      </w:r>
      <w:r>
        <w:rPr>
          <w:spacing w:val="-5"/>
        </w:rPr>
        <w:t> </w:t>
      </w:r>
      <w:r>
        <w:rPr>
          <w:spacing w:val="-2"/>
        </w:rPr>
        <w:t>from</w:t>
      </w:r>
      <w:r>
        <w:rPr>
          <w:spacing w:val="-5"/>
        </w:rPr>
        <w:t> </w:t>
      </w:r>
      <w:r>
        <w:rPr>
          <w:spacing w:val="-2"/>
        </w:rPr>
        <w:t>sales</w:t>
      </w:r>
      <w:r>
        <w:rPr>
          <w:spacing w:val="-5"/>
        </w:rPr>
        <w:t> </w:t>
      </w:r>
      <w:r>
        <w:rPr>
          <w:spacing w:val="-2"/>
        </w:rPr>
        <w:t>to</w:t>
      </w:r>
      <w:r>
        <w:rPr>
          <w:spacing w:val="-5"/>
        </w:rPr>
        <w:t> </w:t>
      </w:r>
      <w:r>
        <w:rPr>
          <w:spacing w:val="-2"/>
        </w:rPr>
        <w:t>customers</w:t>
      </w:r>
      <w:r>
        <w:rPr>
          <w:spacing w:val="-5"/>
        </w:rPr>
        <w:t> </w:t>
      </w:r>
      <w:r>
        <w:rPr>
          <w:spacing w:val="-2"/>
        </w:rPr>
        <w:t>outside</w:t>
      </w:r>
      <w:r>
        <w:rPr>
          <w:spacing w:val="-5"/>
        </w:rPr>
        <w:t> </w:t>
      </w:r>
      <w:r>
        <w:rPr>
          <w:spacing w:val="-2"/>
        </w:rPr>
        <w:t>of</w:t>
      </w:r>
      <w:r>
        <w:rPr>
          <w:spacing w:val="-5"/>
        </w:rPr>
        <w:t> </w:t>
      </w:r>
      <w:r>
        <w:rPr>
          <w:spacing w:val="-2"/>
        </w:rPr>
        <w:t>the</w:t>
      </w:r>
      <w:r>
        <w:rPr>
          <w:spacing w:val="-11"/>
        </w:rPr>
        <w:t> </w:t>
      </w:r>
      <w:r>
        <w:rPr>
          <w:spacing w:val="-2"/>
        </w:rPr>
        <w:t>Americas, </w:t>
      </w:r>
      <w:r>
        <w:rPr/>
        <w:t>we are subject to a number of risks, including:</w:t>
      </w:r>
    </w:p>
    <w:p>
      <w:pPr>
        <w:pStyle w:val="ListParagraph"/>
        <w:numPr>
          <w:ilvl w:val="0"/>
          <w:numId w:val="4"/>
        </w:numPr>
        <w:tabs>
          <w:tab w:pos="1109" w:val="left" w:leader="none"/>
        </w:tabs>
        <w:spacing w:line="240" w:lineRule="auto" w:before="181" w:after="0"/>
        <w:ind w:left="1109" w:right="0" w:hanging="359"/>
        <w:jc w:val="left"/>
        <w:rPr>
          <w:sz w:val="20"/>
        </w:rPr>
      </w:pPr>
      <w:r>
        <w:rPr>
          <w:sz w:val="20"/>
        </w:rPr>
        <w:t>foreign</w:t>
      </w:r>
      <w:r>
        <w:rPr>
          <w:spacing w:val="-3"/>
          <w:sz w:val="20"/>
        </w:rPr>
        <w:t> </w:t>
      </w:r>
      <w:r>
        <w:rPr>
          <w:sz w:val="20"/>
        </w:rPr>
        <w:t>currency</w:t>
      </w:r>
      <w:r>
        <w:rPr>
          <w:spacing w:val="-3"/>
          <w:sz w:val="20"/>
        </w:rPr>
        <w:t> </w:t>
      </w:r>
      <w:r>
        <w:rPr>
          <w:sz w:val="20"/>
        </w:rPr>
        <w:t>fluctuations</w:t>
      </w:r>
      <w:r>
        <w:rPr>
          <w:spacing w:val="-4"/>
          <w:sz w:val="20"/>
        </w:rPr>
        <w:t> </w:t>
      </w:r>
      <w:r>
        <w:rPr>
          <w:sz w:val="20"/>
        </w:rPr>
        <w:t>and</w:t>
      </w:r>
      <w:r>
        <w:rPr>
          <w:spacing w:val="-2"/>
          <w:sz w:val="20"/>
        </w:rPr>
        <w:t> controls;</w:t>
      </w:r>
    </w:p>
    <w:p>
      <w:pPr>
        <w:pStyle w:val="BodyText"/>
        <w:spacing w:before="20"/>
      </w:pPr>
    </w:p>
    <w:p>
      <w:pPr>
        <w:pStyle w:val="ListParagraph"/>
        <w:numPr>
          <w:ilvl w:val="0"/>
          <w:numId w:val="4"/>
        </w:numPr>
        <w:tabs>
          <w:tab w:pos="1110" w:val="left" w:leader="none"/>
        </w:tabs>
        <w:spacing w:line="249" w:lineRule="auto" w:before="0" w:after="0"/>
        <w:ind w:left="1110" w:right="581" w:hanging="360"/>
        <w:jc w:val="left"/>
        <w:rPr>
          <w:sz w:val="20"/>
        </w:rPr>
      </w:pPr>
      <w:r>
        <w:rPr>
          <w:sz w:val="20"/>
        </w:rPr>
        <w:t>international</w:t>
      </w:r>
      <w:r>
        <w:rPr>
          <w:spacing w:val="-3"/>
          <w:sz w:val="20"/>
        </w:rPr>
        <w:t> </w:t>
      </w:r>
      <w:r>
        <w:rPr>
          <w:sz w:val="20"/>
        </w:rPr>
        <w:t>and</w:t>
      </w:r>
      <w:r>
        <w:rPr>
          <w:spacing w:val="-3"/>
          <w:sz w:val="20"/>
        </w:rPr>
        <w:t> </w:t>
      </w:r>
      <w:r>
        <w:rPr>
          <w:sz w:val="20"/>
        </w:rPr>
        <w:t>regional</w:t>
      </w:r>
      <w:r>
        <w:rPr>
          <w:spacing w:val="-3"/>
          <w:sz w:val="20"/>
        </w:rPr>
        <w:t> </w:t>
      </w:r>
      <w:r>
        <w:rPr>
          <w:sz w:val="20"/>
        </w:rPr>
        <w:t>economic,</w:t>
      </w:r>
      <w:r>
        <w:rPr>
          <w:spacing w:val="-3"/>
          <w:sz w:val="20"/>
        </w:rPr>
        <w:t> </w:t>
      </w:r>
      <w:r>
        <w:rPr>
          <w:sz w:val="20"/>
        </w:rPr>
        <w:t>political</w:t>
      </w:r>
      <w:r>
        <w:rPr>
          <w:spacing w:val="-3"/>
          <w:sz w:val="20"/>
        </w:rPr>
        <w:t> </w:t>
      </w:r>
      <w:r>
        <w:rPr>
          <w:sz w:val="20"/>
        </w:rPr>
        <w:t>and</w:t>
      </w:r>
      <w:r>
        <w:rPr>
          <w:spacing w:val="-3"/>
          <w:sz w:val="20"/>
        </w:rPr>
        <w:t> </w:t>
      </w:r>
      <w:r>
        <w:rPr>
          <w:sz w:val="20"/>
        </w:rPr>
        <w:t>labor</w:t>
      </w:r>
      <w:r>
        <w:rPr>
          <w:spacing w:val="-3"/>
          <w:sz w:val="20"/>
        </w:rPr>
        <w:t> </w:t>
      </w:r>
      <w:r>
        <w:rPr>
          <w:sz w:val="20"/>
        </w:rPr>
        <w:t>conditions,</w:t>
      </w:r>
      <w:r>
        <w:rPr>
          <w:spacing w:val="-3"/>
          <w:sz w:val="20"/>
        </w:rPr>
        <w:t> </w:t>
      </w:r>
      <w:r>
        <w:rPr>
          <w:sz w:val="20"/>
        </w:rPr>
        <w:t>including</w:t>
      </w:r>
      <w:r>
        <w:rPr>
          <w:spacing w:val="-3"/>
          <w:sz w:val="20"/>
        </w:rPr>
        <w:t> </w:t>
      </w:r>
      <w:r>
        <w:rPr>
          <w:sz w:val="20"/>
        </w:rPr>
        <w:t>any</w:t>
      </w:r>
      <w:r>
        <w:rPr>
          <w:spacing w:val="-3"/>
          <w:sz w:val="20"/>
        </w:rPr>
        <w:t> </w:t>
      </w:r>
      <w:r>
        <w:rPr>
          <w:sz w:val="20"/>
        </w:rPr>
        <w:t>instability</w:t>
      </w:r>
      <w:r>
        <w:rPr>
          <w:spacing w:val="-3"/>
          <w:sz w:val="20"/>
        </w:rPr>
        <w:t> </w:t>
      </w:r>
      <w:r>
        <w:rPr>
          <w:sz w:val="20"/>
        </w:rPr>
        <w:t>or</w:t>
      </w:r>
      <w:r>
        <w:rPr>
          <w:spacing w:val="-3"/>
          <w:sz w:val="20"/>
        </w:rPr>
        <w:t> </w:t>
      </w:r>
      <w:r>
        <w:rPr>
          <w:sz w:val="20"/>
        </w:rPr>
        <w:t>security</w:t>
      </w:r>
      <w:r>
        <w:rPr>
          <w:spacing w:val="-3"/>
          <w:sz w:val="20"/>
        </w:rPr>
        <w:t> </w:t>
      </w:r>
      <w:r>
        <w:rPr>
          <w:sz w:val="20"/>
        </w:rPr>
        <w:t>concerns </w:t>
      </w:r>
      <w:r>
        <w:rPr>
          <w:spacing w:val="-2"/>
          <w:sz w:val="20"/>
        </w:rPr>
        <w:t>abroad;</w:t>
      </w:r>
    </w:p>
    <w:p>
      <w:pPr>
        <w:pStyle w:val="BodyText"/>
        <w:spacing w:before="12"/>
      </w:pPr>
    </w:p>
    <w:p>
      <w:pPr>
        <w:pStyle w:val="ListParagraph"/>
        <w:numPr>
          <w:ilvl w:val="0"/>
          <w:numId w:val="4"/>
        </w:numPr>
        <w:tabs>
          <w:tab w:pos="1109" w:val="left" w:leader="none"/>
        </w:tabs>
        <w:spacing w:line="240" w:lineRule="auto" w:before="0" w:after="0"/>
        <w:ind w:left="1109" w:right="0" w:hanging="359"/>
        <w:jc w:val="left"/>
        <w:rPr>
          <w:sz w:val="20"/>
        </w:rPr>
      </w:pPr>
      <w:r>
        <w:rPr>
          <w:sz w:val="20"/>
        </w:rPr>
        <w:t>tax</w:t>
      </w:r>
      <w:r>
        <w:rPr>
          <w:spacing w:val="-1"/>
          <w:sz w:val="20"/>
        </w:rPr>
        <w:t> </w:t>
      </w:r>
      <w:r>
        <w:rPr>
          <w:sz w:val="20"/>
        </w:rPr>
        <w:t>laws</w:t>
      </w:r>
      <w:r>
        <w:rPr>
          <w:spacing w:val="-2"/>
          <w:sz w:val="20"/>
        </w:rPr>
        <w:t> </w:t>
      </w:r>
      <w:r>
        <w:rPr>
          <w:sz w:val="20"/>
        </w:rPr>
        <w:t>(including</w:t>
      </w:r>
      <w:r>
        <w:rPr>
          <w:spacing w:val="-1"/>
          <w:sz w:val="20"/>
        </w:rPr>
        <w:t> </w:t>
      </w:r>
      <w:r>
        <w:rPr>
          <w:sz w:val="20"/>
        </w:rPr>
        <w:t>U.S.</w:t>
      </w:r>
      <w:r>
        <w:rPr>
          <w:spacing w:val="-1"/>
          <w:sz w:val="20"/>
        </w:rPr>
        <w:t> </w:t>
      </w:r>
      <w:r>
        <w:rPr>
          <w:sz w:val="20"/>
        </w:rPr>
        <w:t>taxes</w:t>
      </w:r>
      <w:r>
        <w:rPr>
          <w:spacing w:val="-2"/>
          <w:sz w:val="20"/>
        </w:rPr>
        <w:t> </w:t>
      </w:r>
      <w:r>
        <w:rPr>
          <w:sz w:val="20"/>
        </w:rPr>
        <w:t>on</w:t>
      </w:r>
      <w:r>
        <w:rPr>
          <w:spacing w:val="-1"/>
          <w:sz w:val="20"/>
        </w:rPr>
        <w:t> </w:t>
      </w:r>
      <w:r>
        <w:rPr>
          <w:sz w:val="20"/>
        </w:rPr>
        <w:t>foreign</w:t>
      </w:r>
      <w:r>
        <w:rPr>
          <w:spacing w:val="-1"/>
          <w:sz w:val="20"/>
        </w:rPr>
        <w:t> </w:t>
      </w:r>
      <w:r>
        <w:rPr>
          <w:spacing w:val="-2"/>
          <w:sz w:val="20"/>
        </w:rPr>
        <w:t>subsidiaries);</w:t>
      </w:r>
    </w:p>
    <w:p>
      <w:pPr>
        <w:pStyle w:val="BodyText"/>
        <w:spacing w:before="20"/>
      </w:pPr>
    </w:p>
    <w:p>
      <w:pPr>
        <w:pStyle w:val="ListParagraph"/>
        <w:numPr>
          <w:ilvl w:val="0"/>
          <w:numId w:val="4"/>
        </w:numPr>
        <w:tabs>
          <w:tab w:pos="1109" w:val="left" w:leader="none"/>
        </w:tabs>
        <w:spacing w:line="240" w:lineRule="auto" w:before="0" w:after="0"/>
        <w:ind w:left="1109" w:right="0" w:hanging="359"/>
        <w:jc w:val="left"/>
        <w:rPr>
          <w:sz w:val="20"/>
        </w:rPr>
      </w:pPr>
      <w:r>
        <w:rPr>
          <w:sz w:val="20"/>
        </w:rPr>
        <w:t>increased</w:t>
      </w:r>
      <w:r>
        <w:rPr>
          <w:spacing w:val="-3"/>
          <w:sz w:val="20"/>
        </w:rPr>
        <w:t> </w:t>
      </w:r>
      <w:r>
        <w:rPr>
          <w:sz w:val="20"/>
        </w:rPr>
        <w:t>financial</w:t>
      </w:r>
      <w:r>
        <w:rPr>
          <w:spacing w:val="-1"/>
          <w:sz w:val="20"/>
        </w:rPr>
        <w:t> </w:t>
      </w:r>
      <w:r>
        <w:rPr>
          <w:sz w:val="20"/>
        </w:rPr>
        <w:t>accounting</w:t>
      </w:r>
      <w:r>
        <w:rPr>
          <w:spacing w:val="-1"/>
          <w:sz w:val="20"/>
        </w:rPr>
        <w:t> </w:t>
      </w:r>
      <w:r>
        <w:rPr>
          <w:sz w:val="20"/>
        </w:rPr>
        <w:t>and</w:t>
      </w:r>
      <w:r>
        <w:rPr>
          <w:spacing w:val="-1"/>
          <w:sz w:val="20"/>
        </w:rPr>
        <w:t> </w:t>
      </w:r>
      <w:r>
        <w:rPr>
          <w:sz w:val="20"/>
        </w:rPr>
        <w:t>reporting</w:t>
      </w:r>
      <w:r>
        <w:rPr>
          <w:spacing w:val="-1"/>
          <w:sz w:val="20"/>
        </w:rPr>
        <w:t> </w:t>
      </w:r>
      <w:r>
        <w:rPr>
          <w:sz w:val="20"/>
        </w:rPr>
        <w:t>burdens</w:t>
      </w:r>
      <w:r>
        <w:rPr>
          <w:spacing w:val="-2"/>
          <w:sz w:val="20"/>
        </w:rPr>
        <w:t> </w:t>
      </w:r>
      <w:r>
        <w:rPr>
          <w:sz w:val="20"/>
        </w:rPr>
        <w:t>and </w:t>
      </w:r>
      <w:r>
        <w:rPr>
          <w:spacing w:val="-2"/>
          <w:sz w:val="20"/>
        </w:rPr>
        <w:t>complexities;</w:t>
      </w:r>
    </w:p>
    <w:p>
      <w:pPr>
        <w:pStyle w:val="BodyText"/>
        <w:spacing w:before="20"/>
      </w:pPr>
    </w:p>
    <w:p>
      <w:pPr>
        <w:pStyle w:val="ListParagraph"/>
        <w:numPr>
          <w:ilvl w:val="0"/>
          <w:numId w:val="4"/>
        </w:numPr>
        <w:tabs>
          <w:tab w:pos="1109" w:val="left" w:leader="none"/>
        </w:tabs>
        <w:spacing w:line="240" w:lineRule="auto" w:before="0" w:after="0"/>
        <w:ind w:left="1109" w:right="0" w:hanging="359"/>
        <w:jc w:val="left"/>
        <w:rPr>
          <w:sz w:val="20"/>
        </w:rPr>
      </w:pPr>
      <w:r>
        <w:rPr>
          <w:sz w:val="20"/>
        </w:rPr>
        <w:t>changes</w:t>
      </w:r>
      <w:r>
        <w:rPr>
          <w:spacing w:val="-3"/>
          <w:sz w:val="20"/>
        </w:rPr>
        <w:t> </w:t>
      </w:r>
      <w:r>
        <w:rPr>
          <w:sz w:val="20"/>
        </w:rPr>
        <w:t>in,</w:t>
      </w:r>
      <w:r>
        <w:rPr>
          <w:spacing w:val="-2"/>
          <w:sz w:val="20"/>
        </w:rPr>
        <w:t> </w:t>
      </w:r>
      <w:r>
        <w:rPr>
          <w:sz w:val="20"/>
        </w:rPr>
        <w:t>or</w:t>
      </w:r>
      <w:r>
        <w:rPr>
          <w:spacing w:val="-2"/>
          <w:sz w:val="20"/>
        </w:rPr>
        <w:t> </w:t>
      </w:r>
      <w:r>
        <w:rPr>
          <w:sz w:val="20"/>
        </w:rPr>
        <w:t>impositions</w:t>
      </w:r>
      <w:r>
        <w:rPr>
          <w:spacing w:val="-3"/>
          <w:sz w:val="20"/>
        </w:rPr>
        <w:t> </w:t>
      </w:r>
      <w:r>
        <w:rPr>
          <w:sz w:val="20"/>
        </w:rPr>
        <w:t>of,</w:t>
      </w:r>
      <w:r>
        <w:rPr>
          <w:spacing w:val="-2"/>
          <w:sz w:val="20"/>
        </w:rPr>
        <w:t> </w:t>
      </w:r>
      <w:r>
        <w:rPr>
          <w:sz w:val="20"/>
        </w:rPr>
        <w:t>legislative</w:t>
      </w:r>
      <w:r>
        <w:rPr>
          <w:spacing w:val="-2"/>
          <w:sz w:val="20"/>
        </w:rPr>
        <w:t> </w:t>
      </w:r>
      <w:r>
        <w:rPr>
          <w:sz w:val="20"/>
        </w:rPr>
        <w:t>or</w:t>
      </w:r>
      <w:r>
        <w:rPr>
          <w:spacing w:val="-2"/>
          <w:sz w:val="20"/>
        </w:rPr>
        <w:t> </w:t>
      </w:r>
      <w:r>
        <w:rPr>
          <w:sz w:val="20"/>
        </w:rPr>
        <w:t>regulatory</w:t>
      </w:r>
      <w:r>
        <w:rPr>
          <w:spacing w:val="-2"/>
          <w:sz w:val="20"/>
        </w:rPr>
        <w:t> requirements;</w:t>
      </w:r>
    </w:p>
    <w:p>
      <w:pPr>
        <w:pStyle w:val="BodyText"/>
        <w:spacing w:before="20"/>
      </w:pPr>
    </w:p>
    <w:p>
      <w:pPr>
        <w:pStyle w:val="ListParagraph"/>
        <w:numPr>
          <w:ilvl w:val="0"/>
          <w:numId w:val="4"/>
        </w:numPr>
        <w:tabs>
          <w:tab w:pos="1109" w:val="left" w:leader="none"/>
        </w:tabs>
        <w:spacing w:line="240" w:lineRule="auto" w:before="0" w:after="0"/>
        <w:ind w:left="1109" w:right="0" w:hanging="359"/>
        <w:jc w:val="left"/>
        <w:rPr>
          <w:sz w:val="20"/>
        </w:rPr>
      </w:pPr>
      <w:r>
        <w:rPr>
          <w:sz w:val="20"/>
        </w:rPr>
        <w:t>changes</w:t>
      </w:r>
      <w:r>
        <w:rPr>
          <w:spacing w:val="-5"/>
          <w:sz w:val="20"/>
        </w:rPr>
        <w:t> </w:t>
      </w:r>
      <w:r>
        <w:rPr>
          <w:sz w:val="20"/>
        </w:rPr>
        <w:t>in</w:t>
      </w:r>
      <w:r>
        <w:rPr>
          <w:spacing w:val="-2"/>
          <w:sz w:val="20"/>
        </w:rPr>
        <w:t> </w:t>
      </w:r>
      <w:r>
        <w:rPr>
          <w:sz w:val="20"/>
        </w:rPr>
        <w:t>laws</w:t>
      </w:r>
      <w:r>
        <w:rPr>
          <w:spacing w:val="-2"/>
          <w:sz w:val="20"/>
        </w:rPr>
        <w:t> </w:t>
      </w:r>
      <w:r>
        <w:rPr>
          <w:sz w:val="20"/>
        </w:rPr>
        <w:t>governing</w:t>
      </w:r>
      <w:r>
        <w:rPr>
          <w:spacing w:val="-2"/>
          <w:sz w:val="20"/>
        </w:rPr>
        <w:t> </w:t>
      </w:r>
      <w:r>
        <w:rPr>
          <w:sz w:val="20"/>
        </w:rPr>
        <w:t>the</w:t>
      </w:r>
      <w:r>
        <w:rPr>
          <w:spacing w:val="-1"/>
          <w:sz w:val="20"/>
        </w:rPr>
        <w:t> </w:t>
      </w:r>
      <w:r>
        <w:rPr>
          <w:sz w:val="20"/>
        </w:rPr>
        <w:t>free</w:t>
      </w:r>
      <w:r>
        <w:rPr>
          <w:spacing w:val="-2"/>
          <w:sz w:val="20"/>
        </w:rPr>
        <w:t> </w:t>
      </w:r>
      <w:r>
        <w:rPr>
          <w:sz w:val="20"/>
        </w:rPr>
        <w:t>flow</w:t>
      </w:r>
      <w:r>
        <w:rPr>
          <w:spacing w:val="-2"/>
          <w:sz w:val="20"/>
        </w:rPr>
        <w:t> </w:t>
      </w:r>
      <w:r>
        <w:rPr>
          <w:sz w:val="20"/>
        </w:rPr>
        <w:t>of</w:t>
      </w:r>
      <w:r>
        <w:rPr>
          <w:spacing w:val="-2"/>
          <w:sz w:val="20"/>
        </w:rPr>
        <w:t> </w:t>
      </w:r>
      <w:r>
        <w:rPr>
          <w:sz w:val="20"/>
        </w:rPr>
        <w:t>data</w:t>
      </w:r>
      <w:r>
        <w:rPr>
          <w:spacing w:val="-1"/>
          <w:sz w:val="20"/>
        </w:rPr>
        <w:t> </w:t>
      </w:r>
      <w:r>
        <w:rPr>
          <w:sz w:val="20"/>
        </w:rPr>
        <w:t>across</w:t>
      </w:r>
      <w:r>
        <w:rPr>
          <w:spacing w:val="-3"/>
          <w:sz w:val="20"/>
        </w:rPr>
        <w:t> </w:t>
      </w:r>
      <w:r>
        <w:rPr>
          <w:sz w:val="20"/>
        </w:rPr>
        <w:t>international</w:t>
      </w:r>
      <w:r>
        <w:rPr>
          <w:spacing w:val="-1"/>
          <w:sz w:val="20"/>
        </w:rPr>
        <w:t> </w:t>
      </w:r>
      <w:r>
        <w:rPr>
          <w:spacing w:val="-2"/>
          <w:sz w:val="20"/>
        </w:rPr>
        <w:t>borders;</w:t>
      </w:r>
    </w:p>
    <w:p>
      <w:pPr>
        <w:pStyle w:val="BodyText"/>
        <w:spacing w:before="20"/>
      </w:pPr>
    </w:p>
    <w:p>
      <w:pPr>
        <w:pStyle w:val="ListParagraph"/>
        <w:numPr>
          <w:ilvl w:val="0"/>
          <w:numId w:val="4"/>
        </w:numPr>
        <w:tabs>
          <w:tab w:pos="1109" w:val="left" w:leader="none"/>
        </w:tabs>
        <w:spacing w:line="240" w:lineRule="auto" w:before="0" w:after="0"/>
        <w:ind w:left="1109" w:right="0" w:hanging="359"/>
        <w:jc w:val="left"/>
        <w:rPr>
          <w:sz w:val="20"/>
        </w:rPr>
      </w:pPr>
      <w:r>
        <w:rPr>
          <w:sz w:val="20"/>
        </w:rPr>
        <w:t>failure</w:t>
      </w:r>
      <w:r>
        <w:rPr>
          <w:spacing w:val="-1"/>
          <w:sz w:val="20"/>
        </w:rPr>
        <w:t> </w:t>
      </w:r>
      <w:r>
        <w:rPr>
          <w:sz w:val="20"/>
        </w:rPr>
        <w:t>of</w:t>
      </w:r>
      <w:r>
        <w:rPr>
          <w:spacing w:val="-1"/>
          <w:sz w:val="20"/>
        </w:rPr>
        <w:t> </w:t>
      </w:r>
      <w:r>
        <w:rPr>
          <w:sz w:val="20"/>
        </w:rPr>
        <w:t>laws</w:t>
      </w:r>
      <w:r>
        <w:rPr>
          <w:spacing w:val="-2"/>
          <w:sz w:val="20"/>
        </w:rPr>
        <w:t> </w:t>
      </w:r>
      <w:r>
        <w:rPr>
          <w:sz w:val="20"/>
        </w:rPr>
        <w:t>to</w:t>
      </w:r>
      <w:r>
        <w:rPr>
          <w:spacing w:val="-1"/>
          <w:sz w:val="20"/>
        </w:rPr>
        <w:t> </w:t>
      </w:r>
      <w:r>
        <w:rPr>
          <w:sz w:val="20"/>
        </w:rPr>
        <w:t>protect</w:t>
      </w:r>
      <w:r>
        <w:rPr>
          <w:spacing w:val="-1"/>
          <w:sz w:val="20"/>
        </w:rPr>
        <w:t> </w:t>
      </w:r>
      <w:r>
        <w:rPr>
          <w:sz w:val="20"/>
        </w:rPr>
        <w:t>our</w:t>
      </w:r>
      <w:r>
        <w:rPr>
          <w:spacing w:val="-1"/>
          <w:sz w:val="20"/>
        </w:rPr>
        <w:t> </w:t>
      </w:r>
      <w:r>
        <w:rPr>
          <w:sz w:val="20"/>
        </w:rPr>
        <w:t>intellectual</w:t>
      </w:r>
      <w:r>
        <w:rPr>
          <w:spacing w:val="-1"/>
          <w:sz w:val="20"/>
        </w:rPr>
        <w:t> </w:t>
      </w:r>
      <w:r>
        <w:rPr>
          <w:sz w:val="20"/>
        </w:rPr>
        <w:t>property</w:t>
      </w:r>
      <w:r>
        <w:rPr>
          <w:spacing w:val="-1"/>
          <w:sz w:val="20"/>
        </w:rPr>
        <w:t> </w:t>
      </w:r>
      <w:r>
        <w:rPr>
          <w:sz w:val="20"/>
        </w:rPr>
        <w:t>rights</w:t>
      </w:r>
      <w:r>
        <w:rPr>
          <w:spacing w:val="-1"/>
          <w:sz w:val="20"/>
        </w:rPr>
        <w:t> </w:t>
      </w:r>
      <w:r>
        <w:rPr>
          <w:spacing w:val="-2"/>
          <w:sz w:val="20"/>
        </w:rPr>
        <w:t>adequately;</w:t>
      </w:r>
    </w:p>
    <w:p>
      <w:pPr>
        <w:pStyle w:val="BodyText"/>
        <w:spacing w:before="20"/>
      </w:pPr>
    </w:p>
    <w:p>
      <w:pPr>
        <w:pStyle w:val="ListParagraph"/>
        <w:numPr>
          <w:ilvl w:val="0"/>
          <w:numId w:val="4"/>
        </w:numPr>
        <w:tabs>
          <w:tab w:pos="1109" w:val="left" w:leader="none"/>
        </w:tabs>
        <w:spacing w:line="240" w:lineRule="auto" w:before="0" w:after="0"/>
        <w:ind w:left="1109" w:right="0" w:hanging="359"/>
        <w:jc w:val="left"/>
        <w:rPr>
          <w:sz w:val="20"/>
        </w:rPr>
      </w:pPr>
      <w:r>
        <w:rPr>
          <w:sz w:val="20"/>
        </w:rPr>
        <w:t>inadequate</w:t>
      </w:r>
      <w:r>
        <w:rPr>
          <w:spacing w:val="-2"/>
          <w:sz w:val="20"/>
        </w:rPr>
        <w:t> </w:t>
      </w:r>
      <w:r>
        <w:rPr>
          <w:sz w:val="20"/>
        </w:rPr>
        <w:t>local</w:t>
      </w:r>
      <w:r>
        <w:rPr>
          <w:spacing w:val="-2"/>
          <w:sz w:val="20"/>
        </w:rPr>
        <w:t> </w:t>
      </w:r>
      <w:r>
        <w:rPr>
          <w:sz w:val="20"/>
        </w:rPr>
        <w:t>infrastructure</w:t>
      </w:r>
      <w:r>
        <w:rPr>
          <w:spacing w:val="-2"/>
          <w:sz w:val="20"/>
        </w:rPr>
        <w:t> </w:t>
      </w:r>
      <w:r>
        <w:rPr>
          <w:sz w:val="20"/>
        </w:rPr>
        <w:t>and</w:t>
      </w:r>
      <w:r>
        <w:rPr>
          <w:spacing w:val="-1"/>
          <w:sz w:val="20"/>
        </w:rPr>
        <w:t> </w:t>
      </w:r>
      <w:r>
        <w:rPr>
          <w:sz w:val="20"/>
        </w:rPr>
        <w:t>difficulties</w:t>
      </w:r>
      <w:r>
        <w:rPr>
          <w:spacing w:val="-3"/>
          <w:sz w:val="20"/>
        </w:rPr>
        <w:t> </w:t>
      </w:r>
      <w:r>
        <w:rPr>
          <w:sz w:val="20"/>
        </w:rPr>
        <w:t>in</w:t>
      </w:r>
      <w:r>
        <w:rPr>
          <w:spacing w:val="-2"/>
          <w:sz w:val="20"/>
        </w:rPr>
        <w:t> </w:t>
      </w:r>
      <w:r>
        <w:rPr>
          <w:sz w:val="20"/>
        </w:rPr>
        <w:t>managing</w:t>
      </w:r>
      <w:r>
        <w:rPr>
          <w:spacing w:val="-1"/>
          <w:sz w:val="20"/>
        </w:rPr>
        <w:t> </w:t>
      </w:r>
      <w:r>
        <w:rPr>
          <w:sz w:val="20"/>
        </w:rPr>
        <w:t>and</w:t>
      </w:r>
      <w:r>
        <w:rPr>
          <w:spacing w:val="-2"/>
          <w:sz w:val="20"/>
        </w:rPr>
        <w:t> </w:t>
      </w:r>
      <w:r>
        <w:rPr>
          <w:sz w:val="20"/>
        </w:rPr>
        <w:t>staffing</w:t>
      </w:r>
      <w:r>
        <w:rPr>
          <w:spacing w:val="-2"/>
          <w:sz w:val="20"/>
        </w:rPr>
        <w:t> </w:t>
      </w:r>
      <w:r>
        <w:rPr>
          <w:sz w:val="20"/>
        </w:rPr>
        <w:t>international</w:t>
      </w:r>
      <w:r>
        <w:rPr>
          <w:spacing w:val="-1"/>
          <w:sz w:val="20"/>
        </w:rPr>
        <w:t> </w:t>
      </w:r>
      <w:r>
        <w:rPr>
          <w:spacing w:val="-2"/>
          <w:sz w:val="20"/>
        </w:rPr>
        <w:t>operations;</w:t>
      </w:r>
    </w:p>
    <w:p>
      <w:pPr>
        <w:pStyle w:val="BodyText"/>
        <w:spacing w:before="20"/>
      </w:pPr>
    </w:p>
    <w:p>
      <w:pPr>
        <w:pStyle w:val="ListParagraph"/>
        <w:numPr>
          <w:ilvl w:val="0"/>
          <w:numId w:val="4"/>
        </w:numPr>
        <w:tabs>
          <w:tab w:pos="1109" w:val="left" w:leader="none"/>
        </w:tabs>
        <w:spacing w:line="240" w:lineRule="auto" w:before="0" w:after="0"/>
        <w:ind w:left="1109" w:right="0" w:hanging="359"/>
        <w:jc w:val="left"/>
        <w:rPr>
          <w:sz w:val="20"/>
        </w:rPr>
      </w:pPr>
      <w:r>
        <w:rPr>
          <w:spacing w:val="-2"/>
          <w:sz w:val="20"/>
        </w:rPr>
        <w:t>delays</w:t>
      </w:r>
      <w:r>
        <w:rPr>
          <w:spacing w:val="-12"/>
          <w:sz w:val="20"/>
        </w:rPr>
        <w:t> </w:t>
      </w:r>
      <w:r>
        <w:rPr>
          <w:spacing w:val="-2"/>
          <w:sz w:val="20"/>
        </w:rPr>
        <w:t>resulting</w:t>
      </w:r>
      <w:r>
        <w:rPr>
          <w:spacing w:val="-12"/>
          <w:sz w:val="20"/>
        </w:rPr>
        <w:t> </w:t>
      </w:r>
      <w:r>
        <w:rPr>
          <w:spacing w:val="-2"/>
          <w:sz w:val="20"/>
        </w:rPr>
        <w:t>from</w:t>
      </w:r>
      <w:r>
        <w:rPr>
          <w:spacing w:val="-11"/>
          <w:sz w:val="20"/>
        </w:rPr>
        <w:t> </w:t>
      </w:r>
      <w:r>
        <w:rPr>
          <w:spacing w:val="-2"/>
          <w:sz w:val="20"/>
        </w:rPr>
        <w:t>difficulty</w:t>
      </w:r>
      <w:r>
        <w:rPr>
          <w:spacing w:val="-12"/>
          <w:sz w:val="20"/>
        </w:rPr>
        <w:t> </w:t>
      </w:r>
      <w:r>
        <w:rPr>
          <w:spacing w:val="-2"/>
          <w:sz w:val="20"/>
        </w:rPr>
        <w:t>in</w:t>
      </w:r>
      <w:r>
        <w:rPr>
          <w:spacing w:val="-12"/>
          <w:sz w:val="20"/>
        </w:rPr>
        <w:t> </w:t>
      </w:r>
      <w:r>
        <w:rPr>
          <w:spacing w:val="-2"/>
          <w:sz w:val="20"/>
        </w:rPr>
        <w:t>obtaining</w:t>
      </w:r>
      <w:r>
        <w:rPr>
          <w:spacing w:val="-11"/>
          <w:sz w:val="20"/>
        </w:rPr>
        <w:t> </w:t>
      </w:r>
      <w:r>
        <w:rPr>
          <w:spacing w:val="-2"/>
          <w:sz w:val="20"/>
        </w:rPr>
        <w:t>export</w:t>
      </w:r>
      <w:r>
        <w:rPr>
          <w:spacing w:val="-13"/>
          <w:sz w:val="20"/>
        </w:rPr>
        <w:t> </w:t>
      </w:r>
      <w:r>
        <w:rPr>
          <w:spacing w:val="-2"/>
          <w:sz w:val="20"/>
        </w:rPr>
        <w:t>licenses</w:t>
      </w:r>
      <w:r>
        <w:rPr>
          <w:spacing w:val="-12"/>
          <w:sz w:val="20"/>
        </w:rPr>
        <w:t> </w:t>
      </w:r>
      <w:r>
        <w:rPr>
          <w:spacing w:val="-2"/>
          <w:sz w:val="20"/>
        </w:rPr>
        <w:t>for</w:t>
      </w:r>
      <w:r>
        <w:rPr>
          <w:spacing w:val="-11"/>
          <w:sz w:val="20"/>
        </w:rPr>
        <w:t> </w:t>
      </w:r>
      <w:r>
        <w:rPr>
          <w:spacing w:val="-2"/>
          <w:sz w:val="20"/>
        </w:rPr>
        <w:t>certain</w:t>
      </w:r>
      <w:r>
        <w:rPr>
          <w:spacing w:val="-12"/>
          <w:sz w:val="20"/>
        </w:rPr>
        <w:t> </w:t>
      </w:r>
      <w:r>
        <w:rPr>
          <w:spacing w:val="-2"/>
          <w:sz w:val="20"/>
        </w:rPr>
        <w:t>technology,</w:t>
      </w:r>
      <w:r>
        <w:rPr>
          <w:spacing w:val="-12"/>
          <w:sz w:val="20"/>
        </w:rPr>
        <w:t> </w:t>
      </w:r>
      <w:r>
        <w:rPr>
          <w:spacing w:val="-2"/>
          <w:sz w:val="20"/>
        </w:rPr>
        <w:t>tariffs,</w:t>
      </w:r>
      <w:r>
        <w:rPr>
          <w:spacing w:val="-13"/>
          <w:sz w:val="20"/>
        </w:rPr>
        <w:t> </w:t>
      </w:r>
      <w:r>
        <w:rPr>
          <w:spacing w:val="-2"/>
          <w:sz w:val="20"/>
        </w:rPr>
        <w:t>quotas</w:t>
      </w:r>
      <w:r>
        <w:rPr>
          <w:spacing w:val="-11"/>
          <w:sz w:val="20"/>
        </w:rPr>
        <w:t> </w:t>
      </w:r>
      <w:r>
        <w:rPr>
          <w:spacing w:val="-2"/>
          <w:sz w:val="20"/>
        </w:rPr>
        <w:t>and</w:t>
      </w:r>
      <w:r>
        <w:rPr>
          <w:spacing w:val="-12"/>
          <w:sz w:val="20"/>
        </w:rPr>
        <w:t> </w:t>
      </w:r>
      <w:r>
        <w:rPr>
          <w:spacing w:val="-2"/>
          <w:sz w:val="20"/>
        </w:rPr>
        <w:t>other</w:t>
      </w:r>
      <w:r>
        <w:rPr>
          <w:spacing w:val="-12"/>
          <w:sz w:val="20"/>
        </w:rPr>
        <w:t> </w:t>
      </w:r>
      <w:r>
        <w:rPr>
          <w:spacing w:val="-2"/>
          <w:sz w:val="20"/>
        </w:rPr>
        <w:t>trade</w:t>
      </w:r>
      <w:r>
        <w:rPr>
          <w:spacing w:val="-12"/>
          <w:sz w:val="20"/>
        </w:rPr>
        <w:t> </w:t>
      </w:r>
      <w:r>
        <w:rPr>
          <w:spacing w:val="-2"/>
          <w:sz w:val="20"/>
        </w:rPr>
        <w:t>barriers;</w:t>
      </w:r>
    </w:p>
    <w:p>
      <w:pPr>
        <w:pStyle w:val="BodyText"/>
        <w:spacing w:before="20"/>
      </w:pPr>
    </w:p>
    <w:p>
      <w:pPr>
        <w:pStyle w:val="ListParagraph"/>
        <w:numPr>
          <w:ilvl w:val="0"/>
          <w:numId w:val="4"/>
        </w:numPr>
        <w:tabs>
          <w:tab w:pos="1110" w:val="left" w:leader="none"/>
        </w:tabs>
        <w:spacing w:line="249" w:lineRule="auto" w:before="0" w:after="0"/>
        <w:ind w:left="1110" w:right="247" w:hanging="360"/>
        <w:jc w:val="left"/>
        <w:rPr>
          <w:sz w:val="20"/>
        </w:rPr>
      </w:pPr>
      <w:r>
        <w:rPr>
          <w:sz w:val="20"/>
        </w:rPr>
        <w:t>the</w:t>
      </w:r>
      <w:r>
        <w:rPr>
          <w:spacing w:val="-7"/>
          <w:sz w:val="20"/>
        </w:rPr>
        <w:t> </w:t>
      </w:r>
      <w:r>
        <w:rPr>
          <w:sz w:val="20"/>
        </w:rPr>
        <w:t>imposition</w:t>
      </w:r>
      <w:r>
        <w:rPr>
          <w:spacing w:val="-7"/>
          <w:sz w:val="20"/>
        </w:rPr>
        <w:t> </w:t>
      </w:r>
      <w:r>
        <w:rPr>
          <w:sz w:val="20"/>
        </w:rPr>
        <w:t>of</w:t>
      </w:r>
      <w:r>
        <w:rPr>
          <w:spacing w:val="-7"/>
          <w:sz w:val="20"/>
        </w:rPr>
        <w:t> </w:t>
      </w:r>
      <w:r>
        <w:rPr>
          <w:sz w:val="20"/>
        </w:rPr>
        <w:t>governmental</w:t>
      </w:r>
      <w:r>
        <w:rPr>
          <w:spacing w:val="-7"/>
          <w:sz w:val="20"/>
        </w:rPr>
        <w:t> </w:t>
      </w:r>
      <w:r>
        <w:rPr>
          <w:sz w:val="20"/>
        </w:rPr>
        <w:t>economic</w:t>
      </w:r>
      <w:r>
        <w:rPr>
          <w:spacing w:val="-7"/>
          <w:sz w:val="20"/>
        </w:rPr>
        <w:t> </w:t>
      </w:r>
      <w:r>
        <w:rPr>
          <w:sz w:val="20"/>
        </w:rPr>
        <w:t>sanctions</w:t>
      </w:r>
      <w:r>
        <w:rPr>
          <w:spacing w:val="-7"/>
          <w:sz w:val="20"/>
        </w:rPr>
        <w:t> </w:t>
      </w:r>
      <w:r>
        <w:rPr>
          <w:sz w:val="20"/>
        </w:rPr>
        <w:t>on</w:t>
      </w:r>
      <w:r>
        <w:rPr>
          <w:spacing w:val="-7"/>
          <w:sz w:val="20"/>
        </w:rPr>
        <w:t> </w:t>
      </w:r>
      <w:r>
        <w:rPr>
          <w:sz w:val="20"/>
        </w:rPr>
        <w:t>countries</w:t>
      </w:r>
      <w:r>
        <w:rPr>
          <w:spacing w:val="-7"/>
          <w:sz w:val="20"/>
        </w:rPr>
        <w:t> </w:t>
      </w:r>
      <w:r>
        <w:rPr>
          <w:sz w:val="20"/>
        </w:rPr>
        <w:t>in</w:t>
      </w:r>
      <w:r>
        <w:rPr>
          <w:spacing w:val="-7"/>
          <w:sz w:val="20"/>
        </w:rPr>
        <w:t> </w:t>
      </w:r>
      <w:r>
        <w:rPr>
          <w:sz w:val="20"/>
        </w:rPr>
        <w:t>which</w:t>
      </w:r>
      <w:r>
        <w:rPr>
          <w:spacing w:val="-7"/>
          <w:sz w:val="20"/>
        </w:rPr>
        <w:t> </w:t>
      </w:r>
      <w:r>
        <w:rPr>
          <w:sz w:val="20"/>
        </w:rPr>
        <w:t>we</w:t>
      </w:r>
      <w:r>
        <w:rPr>
          <w:spacing w:val="-7"/>
          <w:sz w:val="20"/>
        </w:rPr>
        <w:t> </w:t>
      </w:r>
      <w:r>
        <w:rPr>
          <w:sz w:val="20"/>
        </w:rPr>
        <w:t>do</w:t>
      </w:r>
      <w:r>
        <w:rPr>
          <w:spacing w:val="-7"/>
          <w:sz w:val="20"/>
        </w:rPr>
        <w:t> </w:t>
      </w:r>
      <w:r>
        <w:rPr>
          <w:sz w:val="20"/>
        </w:rPr>
        <w:t>business</w:t>
      </w:r>
      <w:r>
        <w:rPr>
          <w:spacing w:val="-7"/>
          <w:sz w:val="20"/>
        </w:rPr>
        <w:t> </w:t>
      </w:r>
      <w:r>
        <w:rPr>
          <w:sz w:val="20"/>
        </w:rPr>
        <w:t>or</w:t>
      </w:r>
      <w:r>
        <w:rPr>
          <w:spacing w:val="-7"/>
          <w:sz w:val="20"/>
        </w:rPr>
        <w:t> </w:t>
      </w:r>
      <w:r>
        <w:rPr>
          <w:sz w:val="20"/>
        </w:rPr>
        <w:t>where</w:t>
      </w:r>
      <w:r>
        <w:rPr>
          <w:spacing w:val="-7"/>
          <w:sz w:val="20"/>
        </w:rPr>
        <w:t> </w:t>
      </w:r>
      <w:r>
        <w:rPr>
          <w:sz w:val="20"/>
        </w:rPr>
        <w:t>we</w:t>
      </w:r>
      <w:r>
        <w:rPr>
          <w:spacing w:val="-7"/>
          <w:sz w:val="20"/>
        </w:rPr>
        <w:t> </w:t>
      </w:r>
      <w:r>
        <w:rPr>
          <w:sz w:val="20"/>
        </w:rPr>
        <w:t>plan</w:t>
      </w:r>
      <w:r>
        <w:rPr>
          <w:spacing w:val="-7"/>
          <w:sz w:val="20"/>
        </w:rPr>
        <w:t> </w:t>
      </w:r>
      <w:r>
        <w:rPr>
          <w:sz w:val="20"/>
        </w:rPr>
        <w:t>to</w:t>
      </w:r>
      <w:r>
        <w:rPr>
          <w:spacing w:val="-7"/>
          <w:sz w:val="20"/>
        </w:rPr>
        <w:t> </w:t>
      </w:r>
      <w:r>
        <w:rPr>
          <w:sz w:val="20"/>
        </w:rPr>
        <w:t>expand our business;</w:t>
      </w:r>
    </w:p>
    <w:p>
      <w:pPr>
        <w:pStyle w:val="BodyText"/>
        <w:spacing w:before="12"/>
      </w:pPr>
    </w:p>
    <w:p>
      <w:pPr>
        <w:pStyle w:val="ListParagraph"/>
        <w:numPr>
          <w:ilvl w:val="0"/>
          <w:numId w:val="4"/>
        </w:numPr>
        <w:tabs>
          <w:tab w:pos="1109" w:val="left" w:leader="none"/>
        </w:tabs>
        <w:spacing w:line="240" w:lineRule="auto" w:before="0" w:after="0"/>
        <w:ind w:left="1109" w:right="0" w:hanging="359"/>
        <w:jc w:val="left"/>
        <w:rPr>
          <w:sz w:val="20"/>
        </w:rPr>
      </w:pPr>
      <w:r>
        <w:rPr>
          <w:sz w:val="20"/>
        </w:rPr>
        <w:t>costs</w:t>
      </w:r>
      <w:r>
        <w:rPr>
          <w:spacing w:val="-5"/>
          <w:sz w:val="20"/>
        </w:rPr>
        <w:t> </w:t>
      </w:r>
      <w:r>
        <w:rPr>
          <w:sz w:val="20"/>
        </w:rPr>
        <w:t>and</w:t>
      </w:r>
      <w:r>
        <w:rPr>
          <w:spacing w:val="-2"/>
          <w:sz w:val="20"/>
        </w:rPr>
        <w:t> </w:t>
      </w:r>
      <w:r>
        <w:rPr>
          <w:sz w:val="20"/>
        </w:rPr>
        <w:t>delays</w:t>
      </w:r>
      <w:r>
        <w:rPr>
          <w:spacing w:val="-3"/>
          <w:sz w:val="20"/>
        </w:rPr>
        <w:t> </w:t>
      </w:r>
      <w:r>
        <w:rPr>
          <w:sz w:val="20"/>
        </w:rPr>
        <w:t>associated</w:t>
      </w:r>
      <w:r>
        <w:rPr>
          <w:spacing w:val="-2"/>
          <w:sz w:val="20"/>
        </w:rPr>
        <w:t> </w:t>
      </w:r>
      <w:r>
        <w:rPr>
          <w:sz w:val="20"/>
        </w:rPr>
        <w:t>with</w:t>
      </w:r>
      <w:r>
        <w:rPr>
          <w:spacing w:val="-1"/>
          <w:sz w:val="20"/>
        </w:rPr>
        <w:t> </w:t>
      </w:r>
      <w:r>
        <w:rPr>
          <w:sz w:val="20"/>
        </w:rPr>
        <w:t>developing</w:t>
      </w:r>
      <w:r>
        <w:rPr>
          <w:spacing w:val="-2"/>
          <w:sz w:val="20"/>
        </w:rPr>
        <w:t> </w:t>
      </w:r>
      <w:r>
        <w:rPr>
          <w:sz w:val="20"/>
        </w:rPr>
        <w:t>products</w:t>
      </w:r>
      <w:r>
        <w:rPr>
          <w:spacing w:val="-3"/>
          <w:sz w:val="20"/>
        </w:rPr>
        <w:t> </w:t>
      </w:r>
      <w:r>
        <w:rPr>
          <w:sz w:val="20"/>
        </w:rPr>
        <w:t>in</w:t>
      </w:r>
      <w:r>
        <w:rPr>
          <w:spacing w:val="-2"/>
          <w:sz w:val="20"/>
        </w:rPr>
        <w:t> </w:t>
      </w:r>
      <w:r>
        <w:rPr>
          <w:sz w:val="20"/>
        </w:rPr>
        <w:t>multiple</w:t>
      </w:r>
      <w:r>
        <w:rPr>
          <w:spacing w:val="-1"/>
          <w:sz w:val="20"/>
        </w:rPr>
        <w:t> </w:t>
      </w:r>
      <w:r>
        <w:rPr>
          <w:spacing w:val="-2"/>
          <w:sz w:val="20"/>
        </w:rPr>
        <w:t>languages;</w:t>
      </w:r>
    </w:p>
    <w:p>
      <w:pPr>
        <w:pStyle w:val="BodyText"/>
        <w:spacing w:before="20"/>
      </w:pPr>
    </w:p>
    <w:p>
      <w:pPr>
        <w:pStyle w:val="ListParagraph"/>
        <w:numPr>
          <w:ilvl w:val="0"/>
          <w:numId w:val="4"/>
        </w:numPr>
        <w:tabs>
          <w:tab w:pos="1109" w:val="left" w:leader="none"/>
        </w:tabs>
        <w:spacing w:line="240" w:lineRule="auto" w:before="0" w:after="0"/>
        <w:ind w:left="1109" w:right="0" w:hanging="359"/>
        <w:jc w:val="left"/>
        <w:rPr>
          <w:sz w:val="20"/>
        </w:rPr>
      </w:pPr>
      <w:r>
        <w:rPr>
          <w:sz w:val="20"/>
        </w:rPr>
        <w:t>operating</w:t>
      </w:r>
      <w:r>
        <w:rPr>
          <w:spacing w:val="-2"/>
          <w:sz w:val="20"/>
        </w:rPr>
        <w:t> </w:t>
      </w:r>
      <w:r>
        <w:rPr>
          <w:sz w:val="20"/>
        </w:rPr>
        <w:t>in</w:t>
      </w:r>
      <w:r>
        <w:rPr>
          <w:spacing w:val="-1"/>
          <w:sz w:val="20"/>
        </w:rPr>
        <w:t> </w:t>
      </w:r>
      <w:r>
        <w:rPr>
          <w:sz w:val="20"/>
        </w:rPr>
        <w:t>locations</w:t>
      </w:r>
      <w:r>
        <w:rPr>
          <w:spacing w:val="-2"/>
          <w:sz w:val="20"/>
        </w:rPr>
        <w:t> </w:t>
      </w:r>
      <w:r>
        <w:rPr>
          <w:sz w:val="20"/>
        </w:rPr>
        <w:t>with</w:t>
      </w:r>
      <w:r>
        <w:rPr>
          <w:spacing w:val="-1"/>
          <w:sz w:val="20"/>
        </w:rPr>
        <w:t> </w:t>
      </w:r>
      <w:r>
        <w:rPr>
          <w:sz w:val="20"/>
        </w:rPr>
        <w:t>a</w:t>
      </w:r>
      <w:r>
        <w:rPr>
          <w:spacing w:val="-1"/>
          <w:sz w:val="20"/>
        </w:rPr>
        <w:t> </w:t>
      </w:r>
      <w:r>
        <w:rPr>
          <w:sz w:val="20"/>
        </w:rPr>
        <w:t>higher</w:t>
      </w:r>
      <w:r>
        <w:rPr>
          <w:spacing w:val="-1"/>
          <w:sz w:val="20"/>
        </w:rPr>
        <w:t> </w:t>
      </w:r>
      <w:r>
        <w:rPr>
          <w:sz w:val="20"/>
        </w:rPr>
        <w:t>incidence</w:t>
      </w:r>
      <w:r>
        <w:rPr>
          <w:spacing w:val="-2"/>
          <w:sz w:val="20"/>
        </w:rPr>
        <w:t> </w:t>
      </w:r>
      <w:r>
        <w:rPr>
          <w:sz w:val="20"/>
        </w:rPr>
        <w:t>of</w:t>
      </w:r>
      <w:r>
        <w:rPr>
          <w:spacing w:val="-1"/>
          <w:sz w:val="20"/>
        </w:rPr>
        <w:t> </w:t>
      </w:r>
      <w:r>
        <w:rPr>
          <w:sz w:val="20"/>
        </w:rPr>
        <w:t>corruption</w:t>
      </w:r>
      <w:r>
        <w:rPr>
          <w:spacing w:val="-1"/>
          <w:sz w:val="20"/>
        </w:rPr>
        <w:t> </w:t>
      </w:r>
      <w:r>
        <w:rPr>
          <w:sz w:val="20"/>
        </w:rPr>
        <w:t>and</w:t>
      </w:r>
      <w:r>
        <w:rPr>
          <w:spacing w:val="-1"/>
          <w:sz w:val="20"/>
        </w:rPr>
        <w:t> </w:t>
      </w:r>
      <w:r>
        <w:rPr>
          <w:sz w:val="20"/>
        </w:rPr>
        <w:t>fraudulent</w:t>
      </w:r>
      <w:r>
        <w:rPr>
          <w:spacing w:val="-1"/>
          <w:sz w:val="20"/>
        </w:rPr>
        <w:t> </w:t>
      </w:r>
      <w:r>
        <w:rPr>
          <w:sz w:val="20"/>
        </w:rPr>
        <w:t>business</w:t>
      </w:r>
      <w:r>
        <w:rPr>
          <w:spacing w:val="-2"/>
          <w:sz w:val="20"/>
        </w:rPr>
        <w:t> </w:t>
      </w:r>
      <w:r>
        <w:rPr>
          <w:sz w:val="20"/>
        </w:rPr>
        <w:t>practices;</w:t>
      </w:r>
      <w:r>
        <w:rPr>
          <w:spacing w:val="-1"/>
          <w:sz w:val="20"/>
        </w:rPr>
        <w:t> </w:t>
      </w:r>
      <w:r>
        <w:rPr>
          <w:spacing w:val="-5"/>
          <w:sz w:val="20"/>
        </w:rPr>
        <w:t>and</w:t>
      </w:r>
    </w:p>
    <w:p>
      <w:pPr>
        <w:pStyle w:val="BodyText"/>
        <w:spacing w:before="20"/>
      </w:pPr>
    </w:p>
    <w:p>
      <w:pPr>
        <w:pStyle w:val="ListParagraph"/>
        <w:numPr>
          <w:ilvl w:val="0"/>
          <w:numId w:val="4"/>
        </w:numPr>
        <w:tabs>
          <w:tab w:pos="1109" w:val="left" w:leader="none"/>
        </w:tabs>
        <w:spacing w:line="240" w:lineRule="auto" w:before="0" w:after="0"/>
        <w:ind w:left="1109" w:right="0" w:hanging="359"/>
        <w:jc w:val="left"/>
        <w:rPr>
          <w:sz w:val="20"/>
        </w:rPr>
      </w:pPr>
      <w:r>
        <w:rPr>
          <w:sz w:val="20"/>
        </w:rPr>
        <w:t>other</w:t>
      </w:r>
      <w:r>
        <w:rPr>
          <w:spacing w:val="-4"/>
          <w:sz w:val="20"/>
        </w:rPr>
        <w:t> </w:t>
      </w:r>
      <w:r>
        <w:rPr>
          <w:sz w:val="20"/>
        </w:rPr>
        <w:t>factors</w:t>
      </w:r>
      <w:r>
        <w:rPr>
          <w:spacing w:val="-3"/>
          <w:sz w:val="20"/>
        </w:rPr>
        <w:t> </w:t>
      </w:r>
      <w:r>
        <w:rPr>
          <w:sz w:val="20"/>
        </w:rPr>
        <w:t>beyond</w:t>
      </w:r>
      <w:r>
        <w:rPr>
          <w:spacing w:val="-2"/>
          <w:sz w:val="20"/>
        </w:rPr>
        <w:t> </w:t>
      </w:r>
      <w:r>
        <w:rPr>
          <w:sz w:val="20"/>
        </w:rPr>
        <w:t>our</w:t>
      </w:r>
      <w:r>
        <w:rPr>
          <w:spacing w:val="-2"/>
          <w:sz w:val="20"/>
        </w:rPr>
        <w:t> </w:t>
      </w:r>
      <w:r>
        <w:rPr>
          <w:sz w:val="20"/>
        </w:rPr>
        <w:t>control,</w:t>
      </w:r>
      <w:r>
        <w:rPr>
          <w:spacing w:val="-2"/>
          <w:sz w:val="20"/>
        </w:rPr>
        <w:t> </w:t>
      </w:r>
      <w:r>
        <w:rPr>
          <w:sz w:val="20"/>
        </w:rPr>
        <w:t>such</w:t>
      </w:r>
      <w:r>
        <w:rPr>
          <w:spacing w:val="-2"/>
          <w:sz w:val="20"/>
        </w:rPr>
        <w:t> </w:t>
      </w:r>
      <w:r>
        <w:rPr>
          <w:sz w:val="20"/>
        </w:rPr>
        <w:t>as</w:t>
      </w:r>
      <w:r>
        <w:rPr>
          <w:spacing w:val="-3"/>
          <w:sz w:val="20"/>
        </w:rPr>
        <w:t> </w:t>
      </w:r>
      <w:r>
        <w:rPr>
          <w:sz w:val="20"/>
        </w:rPr>
        <w:t>terrorism,</w:t>
      </w:r>
      <w:r>
        <w:rPr>
          <w:spacing w:val="-2"/>
          <w:sz w:val="20"/>
        </w:rPr>
        <w:t> </w:t>
      </w:r>
      <w:r>
        <w:rPr>
          <w:sz w:val="20"/>
        </w:rPr>
        <w:t>war,</w:t>
      </w:r>
      <w:r>
        <w:rPr>
          <w:spacing w:val="-2"/>
          <w:sz w:val="20"/>
        </w:rPr>
        <w:t> </w:t>
      </w:r>
      <w:r>
        <w:rPr>
          <w:sz w:val="20"/>
        </w:rPr>
        <w:t>natural</w:t>
      </w:r>
      <w:r>
        <w:rPr>
          <w:spacing w:val="-2"/>
          <w:sz w:val="20"/>
        </w:rPr>
        <w:t> </w:t>
      </w:r>
      <w:r>
        <w:rPr>
          <w:sz w:val="20"/>
        </w:rPr>
        <w:t>disasters</w:t>
      </w:r>
      <w:r>
        <w:rPr>
          <w:spacing w:val="-3"/>
          <w:sz w:val="20"/>
        </w:rPr>
        <w:t> </w:t>
      </w:r>
      <w:r>
        <w:rPr>
          <w:sz w:val="20"/>
        </w:rPr>
        <w:t>and</w:t>
      </w:r>
      <w:r>
        <w:rPr>
          <w:spacing w:val="-1"/>
          <w:sz w:val="20"/>
        </w:rPr>
        <w:t> </w:t>
      </w:r>
      <w:r>
        <w:rPr>
          <w:spacing w:val="-2"/>
          <w:sz w:val="20"/>
        </w:rPr>
        <w:t>pandemics.</w:t>
      </w:r>
    </w:p>
    <w:p>
      <w:pPr>
        <w:pStyle w:val="BodyText"/>
        <w:spacing w:before="20"/>
      </w:pPr>
    </w:p>
    <w:p>
      <w:pPr>
        <w:pStyle w:val="BodyText"/>
        <w:spacing w:line="249" w:lineRule="auto"/>
        <w:ind w:left="210" w:right="247" w:firstLine="540"/>
        <w:jc w:val="both"/>
      </w:pPr>
      <w:r>
        <w:rPr/>
        <w:t>Some</w:t>
      </w:r>
      <w:r>
        <w:rPr>
          <w:spacing w:val="-3"/>
        </w:rPr>
        <w:t> </w:t>
      </w:r>
      <w:r>
        <w:rPr/>
        <w:t>of</w:t>
      </w:r>
      <w:r>
        <w:rPr>
          <w:spacing w:val="-3"/>
        </w:rPr>
        <w:t> </w:t>
      </w:r>
      <w:r>
        <w:rPr/>
        <w:t>our</w:t>
      </w:r>
      <w:r>
        <w:rPr>
          <w:spacing w:val="-3"/>
        </w:rPr>
        <w:t> </w:t>
      </w:r>
      <w:r>
        <w:rPr/>
        <w:t>third-party</w:t>
      </w:r>
      <w:r>
        <w:rPr>
          <w:spacing w:val="-3"/>
        </w:rPr>
        <w:t> </w:t>
      </w:r>
      <w:r>
        <w:rPr/>
        <w:t>business</w:t>
      </w:r>
      <w:r>
        <w:rPr>
          <w:spacing w:val="-2"/>
        </w:rPr>
        <w:t> </w:t>
      </w:r>
      <w:r>
        <w:rPr/>
        <w:t>partners</w:t>
      </w:r>
      <w:r>
        <w:rPr>
          <w:spacing w:val="-3"/>
        </w:rPr>
        <w:t> </w:t>
      </w:r>
      <w:r>
        <w:rPr/>
        <w:t>have</w:t>
      </w:r>
      <w:r>
        <w:rPr>
          <w:spacing w:val="-3"/>
        </w:rPr>
        <w:t> </w:t>
      </w:r>
      <w:r>
        <w:rPr/>
        <w:t>international</w:t>
      </w:r>
      <w:r>
        <w:rPr>
          <w:spacing w:val="-3"/>
        </w:rPr>
        <w:t> </w:t>
      </w:r>
      <w:r>
        <w:rPr/>
        <w:t>operations</w:t>
      </w:r>
      <w:r>
        <w:rPr>
          <w:spacing w:val="-3"/>
        </w:rPr>
        <w:t> </w:t>
      </w:r>
      <w:r>
        <w:rPr/>
        <w:t>and</w:t>
      </w:r>
      <w:r>
        <w:rPr>
          <w:spacing w:val="-3"/>
        </w:rPr>
        <w:t> </w:t>
      </w:r>
      <w:r>
        <w:rPr/>
        <w:t>are</w:t>
      </w:r>
      <w:r>
        <w:rPr>
          <w:spacing w:val="-3"/>
        </w:rPr>
        <w:t> </w:t>
      </w:r>
      <w:r>
        <w:rPr/>
        <w:t>also</w:t>
      </w:r>
      <w:r>
        <w:rPr>
          <w:spacing w:val="-3"/>
        </w:rPr>
        <w:t> </w:t>
      </w:r>
      <w:r>
        <w:rPr/>
        <w:t>subject</w:t>
      </w:r>
      <w:r>
        <w:rPr>
          <w:spacing w:val="-3"/>
        </w:rPr>
        <w:t> </w:t>
      </w:r>
      <w:r>
        <w:rPr/>
        <w:t>to</w:t>
      </w:r>
      <w:r>
        <w:rPr>
          <w:spacing w:val="-3"/>
        </w:rPr>
        <w:t> </w:t>
      </w:r>
      <w:r>
        <w:rPr/>
        <w:t>these</w:t>
      </w:r>
      <w:r>
        <w:rPr>
          <w:spacing w:val="-3"/>
        </w:rPr>
        <w:t> </w:t>
      </w:r>
      <w:r>
        <w:rPr/>
        <w:t>risks</w:t>
      </w:r>
      <w:r>
        <w:rPr>
          <w:spacing w:val="-3"/>
        </w:rPr>
        <w:t> </w:t>
      </w:r>
      <w:r>
        <w:rPr/>
        <w:t>and</w:t>
      </w:r>
      <w:r>
        <w:rPr>
          <w:spacing w:val="-3"/>
        </w:rPr>
        <w:t> </w:t>
      </w:r>
      <w:r>
        <w:rPr/>
        <w:t>if</w:t>
      </w:r>
      <w:r>
        <w:rPr>
          <w:spacing w:val="-3"/>
        </w:rPr>
        <w:t> </w:t>
      </w:r>
      <w:r>
        <w:rPr/>
        <w:t>our</w:t>
      </w:r>
      <w:r>
        <w:rPr>
          <w:spacing w:val="-3"/>
        </w:rPr>
        <w:t> </w:t>
      </w:r>
      <w:r>
        <w:rPr/>
        <w:t>third- </w:t>
      </w:r>
      <w:r>
        <w:rPr>
          <w:spacing w:val="-2"/>
        </w:rPr>
        <w:t>party</w:t>
      </w:r>
      <w:r>
        <w:rPr>
          <w:spacing w:val="-9"/>
        </w:rPr>
        <w:t> </w:t>
      </w:r>
      <w:r>
        <w:rPr>
          <w:spacing w:val="-2"/>
        </w:rPr>
        <w:t>business</w:t>
      </w:r>
      <w:r>
        <w:rPr>
          <w:spacing w:val="-9"/>
        </w:rPr>
        <w:t> </w:t>
      </w:r>
      <w:r>
        <w:rPr>
          <w:spacing w:val="-2"/>
        </w:rPr>
        <w:t>partners</w:t>
      </w:r>
      <w:r>
        <w:rPr>
          <w:spacing w:val="-9"/>
        </w:rPr>
        <w:t> </w:t>
      </w:r>
      <w:r>
        <w:rPr>
          <w:spacing w:val="-2"/>
        </w:rPr>
        <w:t>are</w:t>
      </w:r>
      <w:r>
        <w:rPr>
          <w:spacing w:val="-9"/>
        </w:rPr>
        <w:t> </w:t>
      </w:r>
      <w:r>
        <w:rPr>
          <w:spacing w:val="-2"/>
        </w:rPr>
        <w:t>unable</w:t>
      </w:r>
      <w:r>
        <w:rPr>
          <w:spacing w:val="-10"/>
        </w:rPr>
        <w:t> </w:t>
      </w:r>
      <w:r>
        <w:rPr>
          <w:spacing w:val="-2"/>
        </w:rPr>
        <w:t>to</w:t>
      </w:r>
      <w:r>
        <w:rPr>
          <w:spacing w:val="-9"/>
        </w:rPr>
        <w:t> </w:t>
      </w:r>
      <w:r>
        <w:rPr>
          <w:spacing w:val="-2"/>
        </w:rPr>
        <w:t>appropriately</w:t>
      </w:r>
      <w:r>
        <w:rPr>
          <w:spacing w:val="-9"/>
        </w:rPr>
        <w:t> </w:t>
      </w:r>
      <w:r>
        <w:rPr>
          <w:spacing w:val="-2"/>
        </w:rPr>
        <w:t>manage</w:t>
      </w:r>
      <w:r>
        <w:rPr>
          <w:spacing w:val="-10"/>
        </w:rPr>
        <w:t> </w:t>
      </w:r>
      <w:r>
        <w:rPr>
          <w:spacing w:val="-2"/>
        </w:rPr>
        <w:t>these</w:t>
      </w:r>
      <w:r>
        <w:rPr>
          <w:spacing w:val="-9"/>
        </w:rPr>
        <w:t> </w:t>
      </w:r>
      <w:r>
        <w:rPr>
          <w:spacing w:val="-2"/>
        </w:rPr>
        <w:t>risks,</w:t>
      </w:r>
      <w:r>
        <w:rPr>
          <w:spacing w:val="-9"/>
        </w:rPr>
        <w:t> </w:t>
      </w:r>
      <w:r>
        <w:rPr>
          <w:spacing w:val="-2"/>
        </w:rPr>
        <w:t>our</w:t>
      </w:r>
      <w:r>
        <w:rPr>
          <w:spacing w:val="-9"/>
        </w:rPr>
        <w:t> </w:t>
      </w:r>
      <w:r>
        <w:rPr>
          <w:spacing w:val="-2"/>
        </w:rPr>
        <w:t>business</w:t>
      </w:r>
      <w:r>
        <w:rPr>
          <w:spacing w:val="-9"/>
        </w:rPr>
        <w:t> </w:t>
      </w:r>
      <w:r>
        <w:rPr>
          <w:spacing w:val="-2"/>
        </w:rPr>
        <w:t>may</w:t>
      </w:r>
      <w:r>
        <w:rPr>
          <w:spacing w:val="-9"/>
        </w:rPr>
        <w:t> </w:t>
      </w:r>
      <w:r>
        <w:rPr>
          <w:spacing w:val="-2"/>
        </w:rPr>
        <w:t>be</w:t>
      </w:r>
      <w:r>
        <w:rPr>
          <w:spacing w:val="-9"/>
        </w:rPr>
        <w:t> </w:t>
      </w:r>
      <w:r>
        <w:rPr>
          <w:spacing w:val="-2"/>
        </w:rPr>
        <w:t>harmed.</w:t>
      </w:r>
      <w:r>
        <w:rPr>
          <w:spacing w:val="33"/>
        </w:rPr>
        <w:t> </w:t>
      </w:r>
      <w:r>
        <w:rPr>
          <w:spacing w:val="-2"/>
        </w:rPr>
        <w:t>If</w:t>
      </w:r>
      <w:r>
        <w:rPr>
          <w:spacing w:val="-9"/>
        </w:rPr>
        <w:t> </w:t>
      </w:r>
      <w:r>
        <w:rPr>
          <w:spacing w:val="-2"/>
        </w:rPr>
        <w:t>sales</w:t>
      </w:r>
      <w:r>
        <w:rPr>
          <w:spacing w:val="-9"/>
        </w:rPr>
        <w:t> </w:t>
      </w:r>
      <w:r>
        <w:rPr>
          <w:spacing w:val="-2"/>
        </w:rPr>
        <w:t>to</w:t>
      </w:r>
      <w:r>
        <w:rPr>
          <w:spacing w:val="-9"/>
        </w:rPr>
        <w:t> </w:t>
      </w:r>
      <w:r>
        <w:rPr>
          <w:spacing w:val="-2"/>
        </w:rPr>
        <w:t>any</w:t>
      </w:r>
      <w:r>
        <w:rPr>
          <w:spacing w:val="-9"/>
        </w:rPr>
        <w:t> </w:t>
      </w:r>
      <w:r>
        <w:rPr>
          <w:spacing w:val="-2"/>
        </w:rPr>
        <w:t>of</w:t>
      </w:r>
      <w:r>
        <w:rPr>
          <w:spacing w:val="-9"/>
        </w:rPr>
        <w:t> </w:t>
      </w:r>
      <w:r>
        <w:rPr>
          <w:spacing w:val="-2"/>
        </w:rPr>
        <w:t>our</w:t>
      </w:r>
      <w:r>
        <w:rPr>
          <w:spacing w:val="-9"/>
        </w:rPr>
        <w:t> </w:t>
      </w:r>
      <w:r>
        <w:rPr>
          <w:spacing w:val="-2"/>
        </w:rPr>
        <w:t>customers </w:t>
      </w:r>
      <w:r>
        <w:rPr/>
        <w:t>outside of the</w:t>
      </w:r>
      <w:r>
        <w:rPr>
          <w:spacing w:val="-6"/>
        </w:rPr>
        <w:t> </w:t>
      </w:r>
      <w:r>
        <w:rPr/>
        <w:t>Americas are reduced, delayed or canceled because of any of the above factors, our revenue may decline.</w:t>
      </w:r>
    </w:p>
    <w:p>
      <w:pPr>
        <w:spacing w:after="0" w:line="249" w:lineRule="auto"/>
        <w:jc w:val="both"/>
        <w:sectPr>
          <w:pgSz w:w="12240" w:h="15840"/>
          <w:pgMar w:header="210" w:footer="579" w:top="420" w:bottom="800" w:left="780" w:right="740"/>
        </w:sectPr>
      </w:pPr>
    </w:p>
    <w:p>
      <w:pPr>
        <w:pStyle w:val="BodyText"/>
        <w:spacing w:before="147"/>
      </w:pPr>
    </w:p>
    <w:p>
      <w:pPr>
        <w:pStyle w:val="Heading3"/>
      </w:pPr>
      <w:r>
        <w:rPr/>
        <w:t>We</w:t>
      </w:r>
      <w:r>
        <w:rPr>
          <w:spacing w:val="-6"/>
        </w:rPr>
        <w:t> </w:t>
      </w:r>
      <w:r>
        <w:rPr/>
        <w:t>are</w:t>
      </w:r>
      <w:r>
        <w:rPr>
          <w:spacing w:val="-4"/>
        </w:rPr>
        <w:t> </w:t>
      </w:r>
      <w:r>
        <w:rPr/>
        <w:t>subject</w:t>
      </w:r>
      <w:r>
        <w:rPr>
          <w:spacing w:val="-4"/>
        </w:rPr>
        <w:t> </w:t>
      </w:r>
      <w:r>
        <w:rPr/>
        <w:t>to</w:t>
      </w:r>
      <w:r>
        <w:rPr>
          <w:spacing w:val="-3"/>
        </w:rPr>
        <w:t> </w:t>
      </w:r>
      <w:r>
        <w:rPr/>
        <w:t>risks</w:t>
      </w:r>
      <w:r>
        <w:rPr>
          <w:spacing w:val="-3"/>
        </w:rPr>
        <w:t> </w:t>
      </w:r>
      <w:r>
        <w:rPr/>
        <w:t>associated</w:t>
      </w:r>
      <w:r>
        <w:rPr>
          <w:spacing w:val="-4"/>
        </w:rPr>
        <w:t> </w:t>
      </w:r>
      <w:r>
        <w:rPr/>
        <w:t>with</w:t>
      </w:r>
      <w:r>
        <w:rPr>
          <w:spacing w:val="-3"/>
        </w:rPr>
        <w:t> </w:t>
      </w:r>
      <w:r>
        <w:rPr/>
        <w:t>compliance</w:t>
      </w:r>
      <w:r>
        <w:rPr>
          <w:spacing w:val="-4"/>
        </w:rPr>
        <w:t> </w:t>
      </w:r>
      <w:r>
        <w:rPr/>
        <w:t>with</w:t>
      </w:r>
      <w:r>
        <w:rPr>
          <w:spacing w:val="-3"/>
        </w:rPr>
        <w:t> </w:t>
      </w:r>
      <w:r>
        <w:rPr/>
        <w:t>laws</w:t>
      </w:r>
      <w:r>
        <w:rPr>
          <w:spacing w:val="-3"/>
        </w:rPr>
        <w:t> </w:t>
      </w:r>
      <w:r>
        <w:rPr/>
        <w:t>and</w:t>
      </w:r>
      <w:r>
        <w:rPr>
          <w:spacing w:val="-4"/>
        </w:rPr>
        <w:t> </w:t>
      </w:r>
      <w:r>
        <w:rPr/>
        <w:t>regulations</w:t>
      </w:r>
      <w:r>
        <w:rPr>
          <w:spacing w:val="-3"/>
        </w:rPr>
        <w:t> </w:t>
      </w:r>
      <w:r>
        <w:rPr/>
        <w:t>globally,</w:t>
      </w:r>
      <w:r>
        <w:rPr>
          <w:spacing w:val="-3"/>
        </w:rPr>
        <w:t> </w:t>
      </w:r>
      <w:r>
        <w:rPr/>
        <w:t>which</w:t>
      </w:r>
      <w:r>
        <w:rPr>
          <w:spacing w:val="-3"/>
        </w:rPr>
        <w:t> </w:t>
      </w:r>
      <w:r>
        <w:rPr/>
        <w:t>may</w:t>
      </w:r>
      <w:r>
        <w:rPr>
          <w:spacing w:val="-3"/>
        </w:rPr>
        <w:t> </w:t>
      </w:r>
      <w:r>
        <w:rPr/>
        <w:t>harm</w:t>
      </w:r>
      <w:r>
        <w:rPr>
          <w:spacing w:val="-4"/>
        </w:rPr>
        <w:t> </w:t>
      </w:r>
      <w:r>
        <w:rPr/>
        <w:t>our</w:t>
      </w:r>
      <w:r>
        <w:rPr>
          <w:spacing w:val="-3"/>
        </w:rPr>
        <w:t> </w:t>
      </w:r>
      <w:r>
        <w:rPr>
          <w:spacing w:val="-2"/>
        </w:rPr>
        <w:t>business.</w:t>
      </w:r>
    </w:p>
    <w:p>
      <w:pPr>
        <w:pStyle w:val="BodyText"/>
        <w:spacing w:line="249" w:lineRule="auto" w:before="190"/>
        <w:ind w:left="210" w:right="247" w:firstLine="540"/>
        <w:jc w:val="both"/>
      </w:pPr>
      <w:r>
        <w:rPr>
          <w:spacing w:val="-2"/>
        </w:rPr>
        <w:t>We</w:t>
      </w:r>
      <w:r>
        <w:rPr>
          <w:spacing w:val="-11"/>
        </w:rPr>
        <w:t> </w:t>
      </w:r>
      <w:r>
        <w:rPr>
          <w:spacing w:val="-2"/>
        </w:rPr>
        <w:t>are</w:t>
      </w:r>
      <w:r>
        <w:rPr>
          <w:spacing w:val="-10"/>
        </w:rPr>
        <w:t> </w:t>
      </w:r>
      <w:r>
        <w:rPr>
          <w:spacing w:val="-2"/>
        </w:rPr>
        <w:t>a</w:t>
      </w:r>
      <w:r>
        <w:rPr>
          <w:spacing w:val="-11"/>
        </w:rPr>
        <w:t> </w:t>
      </w:r>
      <w:r>
        <w:rPr>
          <w:spacing w:val="-2"/>
        </w:rPr>
        <w:t>global</w:t>
      </w:r>
      <w:r>
        <w:rPr>
          <w:spacing w:val="-10"/>
        </w:rPr>
        <w:t> </w:t>
      </w:r>
      <w:r>
        <w:rPr>
          <w:spacing w:val="-2"/>
        </w:rPr>
        <w:t>company</w:t>
      </w:r>
      <w:r>
        <w:rPr>
          <w:spacing w:val="-11"/>
        </w:rPr>
        <w:t> </w:t>
      </w:r>
      <w:r>
        <w:rPr>
          <w:spacing w:val="-2"/>
        </w:rPr>
        <w:t>subject</w:t>
      </w:r>
      <w:r>
        <w:rPr>
          <w:spacing w:val="-10"/>
        </w:rPr>
        <w:t> </w:t>
      </w:r>
      <w:r>
        <w:rPr>
          <w:spacing w:val="-2"/>
        </w:rPr>
        <w:t>to</w:t>
      </w:r>
      <w:r>
        <w:rPr>
          <w:spacing w:val="-11"/>
        </w:rPr>
        <w:t> </w:t>
      </w:r>
      <w:r>
        <w:rPr>
          <w:spacing w:val="-2"/>
        </w:rPr>
        <w:t>varied</w:t>
      </w:r>
      <w:r>
        <w:rPr>
          <w:spacing w:val="-10"/>
        </w:rPr>
        <w:t> </w:t>
      </w:r>
      <w:r>
        <w:rPr>
          <w:spacing w:val="-2"/>
        </w:rPr>
        <w:t>and</w:t>
      </w:r>
      <w:r>
        <w:rPr>
          <w:spacing w:val="-11"/>
        </w:rPr>
        <w:t> </w:t>
      </w:r>
      <w:r>
        <w:rPr>
          <w:spacing w:val="-2"/>
        </w:rPr>
        <w:t>complex</w:t>
      </w:r>
      <w:r>
        <w:rPr>
          <w:spacing w:val="-10"/>
        </w:rPr>
        <w:t> </w:t>
      </w:r>
      <w:r>
        <w:rPr>
          <w:spacing w:val="-2"/>
        </w:rPr>
        <w:t>laws,</w:t>
      </w:r>
      <w:r>
        <w:rPr>
          <w:spacing w:val="-11"/>
        </w:rPr>
        <w:t> </w:t>
      </w:r>
      <w:r>
        <w:rPr>
          <w:spacing w:val="-2"/>
        </w:rPr>
        <w:t>regulations</w:t>
      </w:r>
      <w:r>
        <w:rPr>
          <w:spacing w:val="-10"/>
        </w:rPr>
        <w:t> </w:t>
      </w:r>
      <w:r>
        <w:rPr>
          <w:spacing w:val="-2"/>
        </w:rPr>
        <w:t>and</w:t>
      </w:r>
      <w:r>
        <w:rPr>
          <w:spacing w:val="-11"/>
        </w:rPr>
        <w:t> </w:t>
      </w:r>
      <w:r>
        <w:rPr>
          <w:spacing w:val="-2"/>
        </w:rPr>
        <w:t>customs,</w:t>
      </w:r>
      <w:r>
        <w:rPr>
          <w:spacing w:val="-10"/>
        </w:rPr>
        <w:t> </w:t>
      </w:r>
      <w:r>
        <w:rPr>
          <w:spacing w:val="-2"/>
        </w:rPr>
        <w:t>both</w:t>
      </w:r>
      <w:r>
        <w:rPr>
          <w:spacing w:val="-11"/>
        </w:rPr>
        <w:t> </w:t>
      </w:r>
      <w:r>
        <w:rPr>
          <w:spacing w:val="-2"/>
        </w:rPr>
        <w:t>domestically</w:t>
      </w:r>
      <w:r>
        <w:rPr>
          <w:spacing w:val="-10"/>
        </w:rPr>
        <w:t> </w:t>
      </w:r>
      <w:r>
        <w:rPr>
          <w:spacing w:val="-2"/>
        </w:rPr>
        <w:t>and</w:t>
      </w:r>
      <w:r>
        <w:rPr>
          <w:spacing w:val="-11"/>
        </w:rPr>
        <w:t> </w:t>
      </w:r>
      <w:r>
        <w:rPr>
          <w:spacing w:val="-2"/>
        </w:rPr>
        <w:t>internationally. </w:t>
      </w:r>
      <w:r>
        <w:rPr/>
        <w:t>These laws and regulations relate to a number of aspects of our business, including trade protection, import and export control, data and transaction processing security, payment card industry data security standards, records management, user-generated content hosted on websites we operate, privacy practices, data residency, corporate governance, anti-trust and competition, employee</w:t>
      </w:r>
      <w:r>
        <w:rPr>
          <w:spacing w:val="-13"/>
        </w:rPr>
        <w:t> </w:t>
      </w:r>
      <w:r>
        <w:rPr/>
        <w:t>and</w:t>
      </w:r>
      <w:r>
        <w:rPr>
          <w:spacing w:val="-12"/>
        </w:rPr>
        <w:t> </w:t>
      </w:r>
      <w:r>
        <w:rPr/>
        <w:t>third-party</w:t>
      </w:r>
      <w:r>
        <w:rPr>
          <w:spacing w:val="-13"/>
        </w:rPr>
        <w:t> </w:t>
      </w:r>
      <w:r>
        <w:rPr/>
        <w:t>complaints,</w:t>
      </w:r>
      <w:r>
        <w:rPr>
          <w:spacing w:val="-12"/>
        </w:rPr>
        <w:t> </w:t>
      </w:r>
      <w:r>
        <w:rPr/>
        <w:t>anti-corruption,</w:t>
      </w:r>
      <w:r>
        <w:rPr>
          <w:spacing w:val="-13"/>
        </w:rPr>
        <w:t> </w:t>
      </w:r>
      <w:r>
        <w:rPr/>
        <w:t>gift</w:t>
      </w:r>
      <w:r>
        <w:rPr>
          <w:spacing w:val="-12"/>
        </w:rPr>
        <w:t> </w:t>
      </w:r>
      <w:r>
        <w:rPr/>
        <w:t>policies,</w:t>
      </w:r>
      <w:r>
        <w:rPr>
          <w:spacing w:val="-13"/>
        </w:rPr>
        <w:t> </w:t>
      </w:r>
      <w:r>
        <w:rPr/>
        <w:t>conflicts</w:t>
      </w:r>
      <w:r>
        <w:rPr>
          <w:spacing w:val="-12"/>
        </w:rPr>
        <w:t> </w:t>
      </w:r>
      <w:r>
        <w:rPr/>
        <w:t>of</w:t>
      </w:r>
      <w:r>
        <w:rPr>
          <w:spacing w:val="-13"/>
        </w:rPr>
        <w:t> </w:t>
      </w:r>
      <w:r>
        <w:rPr/>
        <w:t>interest,</w:t>
      </w:r>
      <w:r>
        <w:rPr>
          <w:spacing w:val="-12"/>
        </w:rPr>
        <w:t> </w:t>
      </w:r>
      <w:r>
        <w:rPr/>
        <w:t>securities</w:t>
      </w:r>
      <w:r>
        <w:rPr>
          <w:spacing w:val="-13"/>
        </w:rPr>
        <w:t> </w:t>
      </w:r>
      <w:r>
        <w:rPr/>
        <w:t>regulations</w:t>
      </w:r>
      <w:r>
        <w:rPr>
          <w:spacing w:val="-12"/>
        </w:rPr>
        <w:t> </w:t>
      </w:r>
      <w:r>
        <w:rPr/>
        <w:t>and</w:t>
      </w:r>
      <w:r>
        <w:rPr>
          <w:spacing w:val="-13"/>
        </w:rPr>
        <w:t> </w:t>
      </w:r>
      <w:r>
        <w:rPr/>
        <w:t>other</w:t>
      </w:r>
      <w:r>
        <w:rPr>
          <w:spacing w:val="-12"/>
        </w:rPr>
        <w:t> </w:t>
      </w:r>
      <w:r>
        <w:rPr/>
        <w:t>regulatory requirements affecting trade and investment. The application of these laws and regulations to our business is often unclear and may</w:t>
      </w:r>
      <w:r>
        <w:rPr>
          <w:spacing w:val="-2"/>
        </w:rPr>
        <w:t> </w:t>
      </w:r>
      <w:r>
        <w:rPr/>
        <w:t>at</w:t>
      </w:r>
      <w:r>
        <w:rPr>
          <w:spacing w:val="-2"/>
        </w:rPr>
        <w:t> </w:t>
      </w:r>
      <w:r>
        <w:rPr/>
        <w:t>times</w:t>
      </w:r>
      <w:r>
        <w:rPr>
          <w:spacing w:val="-2"/>
        </w:rPr>
        <w:t> </w:t>
      </w:r>
      <w:r>
        <w:rPr/>
        <w:t>conflict.</w:t>
      </w:r>
      <w:r>
        <w:rPr>
          <w:spacing w:val="-2"/>
        </w:rPr>
        <w:t> </w:t>
      </w:r>
      <w:r>
        <w:rPr/>
        <w:t>For</w:t>
      </w:r>
      <w:r>
        <w:rPr>
          <w:spacing w:val="-2"/>
        </w:rPr>
        <w:t> </w:t>
      </w:r>
      <w:r>
        <w:rPr/>
        <w:t>example,</w:t>
      </w:r>
      <w:r>
        <w:rPr>
          <w:spacing w:val="-2"/>
        </w:rPr>
        <w:t> </w:t>
      </w:r>
      <w:r>
        <w:rPr/>
        <w:t>in</w:t>
      </w:r>
      <w:r>
        <w:rPr>
          <w:spacing w:val="-2"/>
        </w:rPr>
        <w:t> </w:t>
      </w:r>
      <w:r>
        <w:rPr/>
        <w:t>many</w:t>
      </w:r>
      <w:r>
        <w:rPr>
          <w:spacing w:val="-2"/>
        </w:rPr>
        <w:t> </w:t>
      </w:r>
      <w:r>
        <w:rPr/>
        <w:t>foreign</w:t>
      </w:r>
      <w:r>
        <w:rPr>
          <w:spacing w:val="-2"/>
        </w:rPr>
        <w:t> </w:t>
      </w:r>
      <w:r>
        <w:rPr/>
        <w:t>countries,</w:t>
      </w:r>
      <w:r>
        <w:rPr>
          <w:spacing w:val="-2"/>
        </w:rPr>
        <w:t> </w:t>
      </w:r>
      <w:r>
        <w:rPr/>
        <w:t>particularly</w:t>
      </w:r>
      <w:r>
        <w:rPr>
          <w:spacing w:val="-2"/>
        </w:rPr>
        <w:t> </w:t>
      </w:r>
      <w:r>
        <w:rPr/>
        <w:t>in</w:t>
      </w:r>
      <w:r>
        <w:rPr>
          <w:spacing w:val="-2"/>
        </w:rPr>
        <w:t> </w:t>
      </w:r>
      <w:r>
        <w:rPr/>
        <w:t>those</w:t>
      </w:r>
      <w:r>
        <w:rPr>
          <w:spacing w:val="-2"/>
        </w:rPr>
        <w:t> </w:t>
      </w:r>
      <w:r>
        <w:rPr/>
        <w:t>with</w:t>
      </w:r>
      <w:r>
        <w:rPr>
          <w:spacing w:val="-2"/>
        </w:rPr>
        <w:t> </w:t>
      </w:r>
      <w:r>
        <w:rPr/>
        <w:t>developing</w:t>
      </w:r>
      <w:r>
        <w:rPr>
          <w:spacing w:val="-2"/>
        </w:rPr>
        <w:t> </w:t>
      </w:r>
      <w:r>
        <w:rPr/>
        <w:t>economies,</w:t>
      </w:r>
      <w:r>
        <w:rPr>
          <w:spacing w:val="-2"/>
        </w:rPr>
        <w:t> </w:t>
      </w:r>
      <w:r>
        <w:rPr/>
        <w:t>it</w:t>
      </w:r>
      <w:r>
        <w:rPr>
          <w:spacing w:val="-2"/>
        </w:rPr>
        <w:t> </w:t>
      </w:r>
      <w:r>
        <w:rPr/>
        <w:t>is</w:t>
      </w:r>
      <w:r>
        <w:rPr>
          <w:spacing w:val="-2"/>
        </w:rPr>
        <w:t> </w:t>
      </w:r>
      <w:r>
        <w:rPr/>
        <w:t>common</w:t>
      </w:r>
      <w:r>
        <w:rPr>
          <w:spacing w:val="-2"/>
        </w:rPr>
        <w:t> </w:t>
      </w:r>
      <w:r>
        <w:rPr/>
        <w:t>to engage</w:t>
      </w:r>
      <w:r>
        <w:rPr>
          <w:spacing w:val="-9"/>
        </w:rPr>
        <w:t> </w:t>
      </w:r>
      <w:r>
        <w:rPr/>
        <w:t>in</w:t>
      </w:r>
      <w:r>
        <w:rPr>
          <w:spacing w:val="-6"/>
        </w:rPr>
        <w:t> </w:t>
      </w:r>
      <w:r>
        <w:rPr/>
        <w:t>business</w:t>
      </w:r>
      <w:r>
        <w:rPr>
          <w:spacing w:val="-6"/>
        </w:rPr>
        <w:t> </w:t>
      </w:r>
      <w:r>
        <w:rPr/>
        <w:t>practices</w:t>
      </w:r>
      <w:r>
        <w:rPr>
          <w:spacing w:val="-5"/>
        </w:rPr>
        <w:t> </w:t>
      </w:r>
      <w:r>
        <w:rPr/>
        <w:t>that</w:t>
      </w:r>
      <w:r>
        <w:rPr>
          <w:spacing w:val="-6"/>
        </w:rPr>
        <w:t> </w:t>
      </w:r>
      <w:r>
        <w:rPr/>
        <w:t>are</w:t>
      </w:r>
      <w:r>
        <w:rPr>
          <w:spacing w:val="-6"/>
        </w:rPr>
        <w:t> </w:t>
      </w:r>
      <w:r>
        <w:rPr/>
        <w:t>prohibited</w:t>
      </w:r>
      <w:r>
        <w:rPr>
          <w:spacing w:val="-6"/>
        </w:rPr>
        <w:t> </w:t>
      </w:r>
      <w:r>
        <w:rPr/>
        <w:t>by</w:t>
      </w:r>
      <w:r>
        <w:rPr>
          <w:spacing w:val="-6"/>
        </w:rPr>
        <w:t> </w:t>
      </w:r>
      <w:r>
        <w:rPr/>
        <w:t>U.S.</w:t>
      </w:r>
      <w:r>
        <w:rPr>
          <w:spacing w:val="-6"/>
        </w:rPr>
        <w:t> </w:t>
      </w:r>
      <w:r>
        <w:rPr/>
        <w:t>regulations</w:t>
      </w:r>
      <w:r>
        <w:rPr>
          <w:spacing w:val="-5"/>
        </w:rPr>
        <w:t> </w:t>
      </w:r>
      <w:r>
        <w:rPr/>
        <w:t>applicable</w:t>
      </w:r>
      <w:r>
        <w:rPr>
          <w:spacing w:val="-6"/>
        </w:rPr>
        <w:t> </w:t>
      </w:r>
      <w:r>
        <w:rPr/>
        <w:t>to</w:t>
      </w:r>
      <w:r>
        <w:rPr>
          <w:spacing w:val="-6"/>
        </w:rPr>
        <w:t> </w:t>
      </w:r>
      <w:r>
        <w:rPr/>
        <w:t>us,</w:t>
      </w:r>
      <w:r>
        <w:rPr>
          <w:spacing w:val="-6"/>
        </w:rPr>
        <w:t> </w:t>
      </w:r>
      <w:r>
        <w:rPr/>
        <w:t>including</w:t>
      </w:r>
      <w:r>
        <w:rPr>
          <w:spacing w:val="-6"/>
        </w:rPr>
        <w:t> </w:t>
      </w:r>
      <w:r>
        <w:rPr/>
        <w:t>the</w:t>
      </w:r>
      <w:r>
        <w:rPr>
          <w:spacing w:val="-6"/>
        </w:rPr>
        <w:t> </w:t>
      </w:r>
      <w:r>
        <w:rPr/>
        <w:t>Foreign</w:t>
      </w:r>
      <w:r>
        <w:rPr>
          <w:spacing w:val="-6"/>
        </w:rPr>
        <w:t> </w:t>
      </w:r>
      <w:r>
        <w:rPr/>
        <w:t>Corrupt</w:t>
      </w:r>
      <w:r>
        <w:rPr>
          <w:spacing w:val="-6"/>
        </w:rPr>
        <w:t> </w:t>
      </w:r>
      <w:r>
        <w:rPr/>
        <w:t>Practices</w:t>
      </w:r>
      <w:r>
        <w:rPr>
          <w:spacing w:val="-13"/>
        </w:rPr>
        <w:t> </w:t>
      </w:r>
      <w:r>
        <w:rPr/>
        <w:t>Act. We cannot provide assurance that our employees, contractors, agents, and business partners will not take actions in violation of our internal policies or U.S. laws. Compliance with these laws and regulations may involve significant costs or require changes in our business practices that result in reduced revenue and profitability. Non-compliance could also result in fines, damages, criminal sanctions against us, our officers or our employees, prohibitions on the conduct of our business, and damage to our </w:t>
      </w:r>
      <w:r>
        <w:rPr>
          <w:spacing w:val="-2"/>
        </w:rPr>
        <w:t>reputation.</w:t>
      </w:r>
    </w:p>
    <w:p>
      <w:pPr>
        <w:pStyle w:val="BodyText"/>
        <w:spacing w:line="249" w:lineRule="auto" w:before="190"/>
        <w:ind w:left="210" w:right="240" w:firstLine="540"/>
      </w:pPr>
      <w:r>
        <w:rPr/>
        <w:t>In</w:t>
      </w:r>
      <w:r>
        <w:rPr>
          <w:spacing w:val="-1"/>
        </w:rPr>
        <w:t> </w:t>
      </w:r>
      <w:r>
        <w:rPr/>
        <w:t>addition,</w:t>
      </w:r>
      <w:r>
        <w:rPr>
          <w:spacing w:val="-1"/>
        </w:rPr>
        <w:t> </w:t>
      </w:r>
      <w:r>
        <w:rPr/>
        <w:t>approximately</w:t>
      </w:r>
      <w:r>
        <w:rPr>
          <w:spacing w:val="-1"/>
        </w:rPr>
        <w:t> </w:t>
      </w:r>
      <w:r>
        <w:rPr/>
        <w:t>52%</w:t>
      </w:r>
      <w:r>
        <w:rPr>
          <w:spacing w:val="-1"/>
        </w:rPr>
        <w:t> </w:t>
      </w:r>
      <w:r>
        <w:rPr/>
        <w:t>of</w:t>
      </w:r>
      <w:r>
        <w:rPr>
          <w:spacing w:val="-1"/>
        </w:rPr>
        <w:t> </w:t>
      </w:r>
      <w:r>
        <w:rPr/>
        <w:t>our</w:t>
      </w:r>
      <w:r>
        <w:rPr>
          <w:spacing w:val="-1"/>
        </w:rPr>
        <w:t> </w:t>
      </w:r>
      <w:r>
        <w:rPr/>
        <w:t>employees</w:t>
      </w:r>
      <w:r>
        <w:rPr>
          <w:spacing w:val="-2"/>
        </w:rPr>
        <w:t> </w:t>
      </w:r>
      <w:r>
        <w:rPr/>
        <w:t>are</w:t>
      </w:r>
      <w:r>
        <w:rPr>
          <w:spacing w:val="-1"/>
        </w:rPr>
        <w:t> </w:t>
      </w:r>
      <w:r>
        <w:rPr/>
        <w:t>located</w:t>
      </w:r>
      <w:r>
        <w:rPr>
          <w:spacing w:val="-1"/>
        </w:rPr>
        <w:t> </w:t>
      </w:r>
      <w:r>
        <w:rPr/>
        <w:t>outside</w:t>
      </w:r>
      <w:r>
        <w:rPr>
          <w:spacing w:val="-1"/>
        </w:rPr>
        <w:t> </w:t>
      </w:r>
      <w:r>
        <w:rPr/>
        <w:t>the</w:t>
      </w:r>
      <w:r>
        <w:rPr>
          <w:spacing w:val="-1"/>
        </w:rPr>
        <w:t> </w:t>
      </w:r>
      <w:r>
        <w:rPr/>
        <w:t>United</w:t>
      </w:r>
      <w:r>
        <w:rPr>
          <w:spacing w:val="-1"/>
        </w:rPr>
        <w:t> </w:t>
      </w:r>
      <w:r>
        <w:rPr/>
        <w:t>States.</w:t>
      </w:r>
      <w:r>
        <w:rPr>
          <w:spacing w:val="-13"/>
        </w:rPr>
        <w:t> </w:t>
      </w:r>
      <w:r>
        <w:rPr/>
        <w:t>Accordingly, we</w:t>
      </w:r>
      <w:r>
        <w:rPr>
          <w:spacing w:val="-1"/>
        </w:rPr>
        <w:t> </w:t>
      </w:r>
      <w:r>
        <w:rPr/>
        <w:t>are</w:t>
      </w:r>
      <w:r>
        <w:rPr>
          <w:spacing w:val="-1"/>
        </w:rPr>
        <w:t> </w:t>
      </w:r>
      <w:r>
        <w:rPr/>
        <w:t>exposed</w:t>
      </w:r>
      <w:r>
        <w:rPr>
          <w:spacing w:val="-1"/>
        </w:rPr>
        <w:t> </w:t>
      </w:r>
      <w:r>
        <w:rPr/>
        <w:t>to changes</w:t>
      </w:r>
      <w:r>
        <w:rPr>
          <w:spacing w:val="-4"/>
        </w:rPr>
        <w:t> </w:t>
      </w:r>
      <w:r>
        <w:rPr/>
        <w:t>in</w:t>
      </w:r>
      <w:r>
        <w:rPr>
          <w:spacing w:val="-3"/>
        </w:rPr>
        <w:t> </w:t>
      </w:r>
      <w:r>
        <w:rPr/>
        <w:t>laws</w:t>
      </w:r>
      <w:r>
        <w:rPr>
          <w:spacing w:val="-4"/>
        </w:rPr>
        <w:t> </w:t>
      </w:r>
      <w:r>
        <w:rPr/>
        <w:t>governing</w:t>
      </w:r>
      <w:r>
        <w:rPr>
          <w:spacing w:val="-3"/>
        </w:rPr>
        <w:t> </w:t>
      </w:r>
      <w:r>
        <w:rPr/>
        <w:t>our</w:t>
      </w:r>
      <w:r>
        <w:rPr>
          <w:spacing w:val="-3"/>
        </w:rPr>
        <w:t> </w:t>
      </w:r>
      <w:r>
        <w:rPr/>
        <w:t>employee</w:t>
      </w:r>
      <w:r>
        <w:rPr>
          <w:spacing w:val="-3"/>
        </w:rPr>
        <w:t> </w:t>
      </w:r>
      <w:r>
        <w:rPr/>
        <w:t>relationships</w:t>
      </w:r>
      <w:r>
        <w:rPr>
          <w:spacing w:val="-4"/>
        </w:rPr>
        <w:t> </w:t>
      </w:r>
      <w:r>
        <w:rPr/>
        <w:t>in</w:t>
      </w:r>
      <w:r>
        <w:rPr>
          <w:spacing w:val="-3"/>
        </w:rPr>
        <w:t> </w:t>
      </w:r>
      <w:r>
        <w:rPr/>
        <w:t>various</w:t>
      </w:r>
      <w:r>
        <w:rPr>
          <w:spacing w:val="-4"/>
        </w:rPr>
        <w:t> </w:t>
      </w:r>
      <w:r>
        <w:rPr/>
        <w:t>U.S.</w:t>
      </w:r>
      <w:r>
        <w:rPr>
          <w:spacing w:val="-3"/>
        </w:rPr>
        <w:t> </w:t>
      </w:r>
      <w:r>
        <w:rPr/>
        <w:t>and</w:t>
      </w:r>
      <w:r>
        <w:rPr>
          <w:spacing w:val="-3"/>
        </w:rPr>
        <w:t> </w:t>
      </w:r>
      <w:r>
        <w:rPr/>
        <w:t>foreign</w:t>
      </w:r>
      <w:r>
        <w:rPr>
          <w:spacing w:val="-3"/>
        </w:rPr>
        <w:t> </w:t>
      </w:r>
      <w:r>
        <w:rPr/>
        <w:t>jurisdictions,</w:t>
      </w:r>
      <w:r>
        <w:rPr>
          <w:spacing w:val="-3"/>
        </w:rPr>
        <w:t> </w:t>
      </w:r>
      <w:r>
        <w:rPr/>
        <w:t>including</w:t>
      </w:r>
      <w:r>
        <w:rPr>
          <w:spacing w:val="-3"/>
        </w:rPr>
        <w:t> </w:t>
      </w:r>
      <w:r>
        <w:rPr/>
        <w:t>laws</w:t>
      </w:r>
      <w:r>
        <w:rPr>
          <w:spacing w:val="-4"/>
        </w:rPr>
        <w:t> </w:t>
      </w:r>
      <w:r>
        <w:rPr/>
        <w:t>and</w:t>
      </w:r>
      <w:r>
        <w:rPr>
          <w:spacing w:val="-3"/>
        </w:rPr>
        <w:t> </w:t>
      </w:r>
      <w:r>
        <w:rPr/>
        <w:t>regulations regarding wage and hour requirements, fair labor standards, employee data privacy, unemployment tax rates, workers’ compensation rates, citizenship requirements and payroll and other taxes, which likely would have a direct impact on our operating costs.</w:t>
      </w:r>
    </w:p>
    <w:p>
      <w:pPr>
        <w:pStyle w:val="BodyText"/>
        <w:spacing w:before="14"/>
      </w:pPr>
    </w:p>
    <w:p>
      <w:pPr>
        <w:pStyle w:val="Heading3"/>
        <w:spacing w:line="249" w:lineRule="auto" w:before="1"/>
        <w:ind w:right="240"/>
      </w:pPr>
      <w:r>
        <w:rPr/>
        <w:t>Uncertainty</w:t>
      </w:r>
      <w:r>
        <w:rPr>
          <w:spacing w:val="-9"/>
        </w:rPr>
        <w:t> </w:t>
      </w:r>
      <w:r>
        <w:rPr/>
        <w:t>about</w:t>
      </w:r>
      <w:r>
        <w:rPr>
          <w:spacing w:val="-9"/>
        </w:rPr>
        <w:t> </w:t>
      </w:r>
      <w:r>
        <w:rPr/>
        <w:t>current</w:t>
      </w:r>
      <w:r>
        <w:rPr>
          <w:spacing w:val="-9"/>
        </w:rPr>
        <w:t> </w:t>
      </w:r>
      <w:r>
        <w:rPr/>
        <w:t>and</w:t>
      </w:r>
      <w:r>
        <w:rPr>
          <w:spacing w:val="-9"/>
        </w:rPr>
        <w:t> </w:t>
      </w:r>
      <w:r>
        <w:rPr/>
        <w:t>future</w:t>
      </w:r>
      <w:r>
        <w:rPr>
          <w:spacing w:val="-8"/>
        </w:rPr>
        <w:t> </w:t>
      </w:r>
      <w:r>
        <w:rPr/>
        <w:t>economic</w:t>
      </w:r>
      <w:r>
        <w:rPr>
          <w:spacing w:val="-9"/>
        </w:rPr>
        <w:t> </w:t>
      </w:r>
      <w:r>
        <w:rPr/>
        <w:t>conditions</w:t>
      </w:r>
      <w:r>
        <w:rPr>
          <w:spacing w:val="-8"/>
        </w:rPr>
        <w:t> </w:t>
      </w:r>
      <w:r>
        <w:rPr/>
        <w:t>and</w:t>
      </w:r>
      <w:r>
        <w:rPr>
          <w:spacing w:val="-9"/>
        </w:rPr>
        <w:t> </w:t>
      </w:r>
      <w:r>
        <w:rPr/>
        <w:t>other</w:t>
      </w:r>
      <w:r>
        <w:rPr>
          <w:spacing w:val="-8"/>
        </w:rPr>
        <w:t> </w:t>
      </w:r>
      <w:r>
        <w:rPr/>
        <w:t>adverse</w:t>
      </w:r>
      <w:r>
        <w:rPr>
          <w:spacing w:val="-9"/>
        </w:rPr>
        <w:t> </w:t>
      </w:r>
      <w:r>
        <w:rPr/>
        <w:t>changes</w:t>
      </w:r>
      <w:r>
        <w:rPr>
          <w:spacing w:val="-8"/>
        </w:rPr>
        <w:t> </w:t>
      </w:r>
      <w:r>
        <w:rPr/>
        <w:t>in</w:t>
      </w:r>
      <w:r>
        <w:rPr>
          <w:spacing w:val="-8"/>
        </w:rPr>
        <w:t> </w:t>
      </w:r>
      <w:r>
        <w:rPr/>
        <w:t>general</w:t>
      </w:r>
      <w:r>
        <w:rPr>
          <w:spacing w:val="-9"/>
        </w:rPr>
        <w:t> </w:t>
      </w:r>
      <w:r>
        <w:rPr/>
        <w:t>political</w:t>
      </w:r>
      <w:r>
        <w:rPr>
          <w:spacing w:val="-9"/>
        </w:rPr>
        <w:t> </w:t>
      </w:r>
      <w:r>
        <w:rPr/>
        <w:t>conditions</w:t>
      </w:r>
      <w:r>
        <w:rPr>
          <w:spacing w:val="-8"/>
        </w:rPr>
        <w:t> </w:t>
      </w:r>
      <w:r>
        <w:rPr/>
        <w:t>in</w:t>
      </w:r>
      <w:r>
        <w:rPr>
          <w:spacing w:val="-8"/>
        </w:rPr>
        <w:t> </w:t>
      </w:r>
      <w:r>
        <w:rPr/>
        <w:t>any</w:t>
      </w:r>
      <w:r>
        <w:rPr>
          <w:spacing w:val="-9"/>
        </w:rPr>
        <w:t> </w:t>
      </w:r>
      <w:r>
        <w:rPr/>
        <w:t>of the major countries in which we do business could adversely affect our operating results.</w:t>
      </w:r>
    </w:p>
    <w:p>
      <w:pPr>
        <w:pStyle w:val="BodyText"/>
        <w:spacing w:line="249" w:lineRule="auto" w:before="181"/>
        <w:ind w:left="210" w:right="247" w:firstLine="540"/>
        <w:jc w:val="both"/>
      </w:pPr>
      <w:r>
        <w:rPr/>
        <w:t>As our business has grown, we have become increasingly subject to the risks arising from adverse changes in economic and</w:t>
      </w:r>
      <w:r>
        <w:rPr>
          <w:spacing w:val="-13"/>
        </w:rPr>
        <w:t> </w:t>
      </w:r>
      <w:r>
        <w:rPr/>
        <w:t>political</w:t>
      </w:r>
      <w:r>
        <w:rPr>
          <w:spacing w:val="-12"/>
        </w:rPr>
        <w:t> </w:t>
      </w:r>
      <w:r>
        <w:rPr/>
        <w:t>conditions,</w:t>
      </w:r>
      <w:r>
        <w:rPr>
          <w:spacing w:val="-13"/>
        </w:rPr>
        <w:t> </w:t>
      </w:r>
      <w:r>
        <w:rPr/>
        <w:t>both</w:t>
      </w:r>
      <w:r>
        <w:rPr>
          <w:spacing w:val="-12"/>
        </w:rPr>
        <w:t> </w:t>
      </w:r>
      <w:r>
        <w:rPr/>
        <w:t>domestically</w:t>
      </w:r>
      <w:r>
        <w:rPr>
          <w:spacing w:val="-13"/>
        </w:rPr>
        <w:t> </w:t>
      </w:r>
      <w:r>
        <w:rPr/>
        <w:t>and</w:t>
      </w:r>
      <w:r>
        <w:rPr>
          <w:spacing w:val="-12"/>
        </w:rPr>
        <w:t> </w:t>
      </w:r>
      <w:r>
        <w:rPr/>
        <w:t>globally.</w:t>
      </w:r>
      <w:r>
        <w:rPr>
          <w:spacing w:val="-13"/>
        </w:rPr>
        <w:t> </w:t>
      </w:r>
      <w:r>
        <w:rPr/>
        <w:t>Uncertainty</w:t>
      </w:r>
      <w:r>
        <w:rPr>
          <w:spacing w:val="-12"/>
        </w:rPr>
        <w:t> </w:t>
      </w:r>
      <w:r>
        <w:rPr/>
        <w:t>about</w:t>
      </w:r>
      <w:r>
        <w:rPr>
          <w:spacing w:val="-13"/>
        </w:rPr>
        <w:t> </w:t>
      </w:r>
      <w:r>
        <w:rPr/>
        <w:t>the</w:t>
      </w:r>
      <w:r>
        <w:rPr>
          <w:spacing w:val="-12"/>
        </w:rPr>
        <w:t> </w:t>
      </w:r>
      <w:r>
        <w:rPr/>
        <w:t>effects</w:t>
      </w:r>
      <w:r>
        <w:rPr>
          <w:spacing w:val="-13"/>
        </w:rPr>
        <w:t> </w:t>
      </w:r>
      <w:r>
        <w:rPr/>
        <w:t>of</w:t>
      </w:r>
      <w:r>
        <w:rPr>
          <w:spacing w:val="-12"/>
        </w:rPr>
        <w:t> </w:t>
      </w:r>
      <w:r>
        <w:rPr/>
        <w:t>current</w:t>
      </w:r>
      <w:r>
        <w:rPr>
          <w:spacing w:val="-13"/>
        </w:rPr>
        <w:t> </w:t>
      </w:r>
      <w:r>
        <w:rPr/>
        <w:t>and</w:t>
      </w:r>
      <w:r>
        <w:rPr>
          <w:spacing w:val="-12"/>
        </w:rPr>
        <w:t> </w:t>
      </w:r>
      <w:r>
        <w:rPr/>
        <w:t>future</w:t>
      </w:r>
      <w:r>
        <w:rPr>
          <w:spacing w:val="-13"/>
        </w:rPr>
        <w:t> </w:t>
      </w:r>
      <w:r>
        <w:rPr/>
        <w:t>economic</w:t>
      </w:r>
      <w:r>
        <w:rPr>
          <w:spacing w:val="-12"/>
        </w:rPr>
        <w:t> </w:t>
      </w:r>
      <w:r>
        <w:rPr/>
        <w:t>and</w:t>
      </w:r>
      <w:r>
        <w:rPr>
          <w:spacing w:val="-13"/>
        </w:rPr>
        <w:t> </w:t>
      </w:r>
      <w:r>
        <w:rPr/>
        <w:t>political conditions</w:t>
      </w:r>
      <w:r>
        <w:rPr>
          <w:spacing w:val="-10"/>
        </w:rPr>
        <w:t> </w:t>
      </w:r>
      <w:r>
        <w:rPr/>
        <w:t>on</w:t>
      </w:r>
      <w:r>
        <w:rPr>
          <w:spacing w:val="-10"/>
        </w:rPr>
        <w:t> </w:t>
      </w:r>
      <w:r>
        <w:rPr/>
        <w:t>us,</w:t>
      </w:r>
      <w:r>
        <w:rPr>
          <w:spacing w:val="-10"/>
        </w:rPr>
        <w:t> </w:t>
      </w:r>
      <w:r>
        <w:rPr/>
        <w:t>our</w:t>
      </w:r>
      <w:r>
        <w:rPr>
          <w:spacing w:val="-10"/>
        </w:rPr>
        <w:t> </w:t>
      </w:r>
      <w:r>
        <w:rPr/>
        <w:t>customers,</w:t>
      </w:r>
      <w:r>
        <w:rPr>
          <w:spacing w:val="-10"/>
        </w:rPr>
        <w:t> </w:t>
      </w:r>
      <w:r>
        <w:rPr/>
        <w:t>suppliers</w:t>
      </w:r>
      <w:r>
        <w:rPr>
          <w:spacing w:val="-9"/>
        </w:rPr>
        <w:t> </w:t>
      </w:r>
      <w:r>
        <w:rPr/>
        <w:t>and</w:t>
      </w:r>
      <w:r>
        <w:rPr>
          <w:spacing w:val="-10"/>
        </w:rPr>
        <w:t> </w:t>
      </w:r>
      <w:r>
        <w:rPr/>
        <w:t>partners</w:t>
      </w:r>
      <w:r>
        <w:rPr>
          <w:spacing w:val="-9"/>
        </w:rPr>
        <w:t> </w:t>
      </w:r>
      <w:r>
        <w:rPr/>
        <w:t>makes</w:t>
      </w:r>
      <w:r>
        <w:rPr>
          <w:spacing w:val="-10"/>
        </w:rPr>
        <w:t> </w:t>
      </w:r>
      <w:r>
        <w:rPr/>
        <w:t>it</w:t>
      </w:r>
      <w:r>
        <w:rPr>
          <w:spacing w:val="-10"/>
        </w:rPr>
        <w:t> </w:t>
      </w:r>
      <w:r>
        <w:rPr/>
        <w:t>difficult</w:t>
      </w:r>
      <w:r>
        <w:rPr>
          <w:spacing w:val="-10"/>
        </w:rPr>
        <w:t> </w:t>
      </w:r>
      <w:r>
        <w:rPr/>
        <w:t>for</w:t>
      </w:r>
      <w:r>
        <w:rPr>
          <w:spacing w:val="-10"/>
        </w:rPr>
        <w:t> </w:t>
      </w:r>
      <w:r>
        <w:rPr/>
        <w:t>us</w:t>
      </w:r>
      <w:r>
        <w:rPr>
          <w:spacing w:val="-10"/>
        </w:rPr>
        <w:t> </w:t>
      </w:r>
      <w:r>
        <w:rPr/>
        <w:t>to</w:t>
      </w:r>
      <w:r>
        <w:rPr>
          <w:spacing w:val="-10"/>
        </w:rPr>
        <w:t> </w:t>
      </w:r>
      <w:r>
        <w:rPr/>
        <w:t>forecast</w:t>
      </w:r>
      <w:r>
        <w:rPr>
          <w:spacing w:val="-10"/>
        </w:rPr>
        <w:t> </w:t>
      </w:r>
      <w:r>
        <w:rPr/>
        <w:t>operating</w:t>
      </w:r>
      <w:r>
        <w:rPr>
          <w:spacing w:val="-10"/>
        </w:rPr>
        <w:t> </w:t>
      </w:r>
      <w:r>
        <w:rPr/>
        <w:t>results</w:t>
      </w:r>
      <w:r>
        <w:rPr>
          <w:spacing w:val="-9"/>
        </w:rPr>
        <w:t> </w:t>
      </w:r>
      <w:r>
        <w:rPr/>
        <w:t>and</w:t>
      </w:r>
      <w:r>
        <w:rPr>
          <w:spacing w:val="-10"/>
        </w:rPr>
        <w:t> </w:t>
      </w:r>
      <w:r>
        <w:rPr/>
        <w:t>to</w:t>
      </w:r>
      <w:r>
        <w:rPr>
          <w:spacing w:val="-10"/>
        </w:rPr>
        <w:t> </w:t>
      </w:r>
      <w:r>
        <w:rPr/>
        <w:t>make</w:t>
      </w:r>
      <w:r>
        <w:rPr>
          <w:spacing w:val="-10"/>
        </w:rPr>
        <w:t> </w:t>
      </w:r>
      <w:r>
        <w:rPr/>
        <w:t>decisions about</w:t>
      </w:r>
      <w:r>
        <w:rPr>
          <w:spacing w:val="-13"/>
        </w:rPr>
        <w:t> </w:t>
      </w:r>
      <w:r>
        <w:rPr/>
        <w:t>future</w:t>
      </w:r>
      <w:r>
        <w:rPr>
          <w:spacing w:val="-12"/>
        </w:rPr>
        <w:t> </w:t>
      </w:r>
      <w:r>
        <w:rPr/>
        <w:t>investments.</w:t>
      </w:r>
      <w:r>
        <w:rPr>
          <w:spacing w:val="-13"/>
        </w:rPr>
        <w:t> </w:t>
      </w:r>
      <w:r>
        <w:rPr/>
        <w:t>If</w:t>
      </w:r>
      <w:r>
        <w:rPr>
          <w:spacing w:val="-12"/>
        </w:rPr>
        <w:t> </w:t>
      </w:r>
      <w:r>
        <w:rPr/>
        <w:t>economic</w:t>
      </w:r>
      <w:r>
        <w:rPr>
          <w:spacing w:val="-13"/>
        </w:rPr>
        <w:t> </w:t>
      </w:r>
      <w:r>
        <w:rPr/>
        <w:t>growth</w:t>
      </w:r>
      <w:r>
        <w:rPr>
          <w:spacing w:val="-12"/>
        </w:rPr>
        <w:t> </w:t>
      </w:r>
      <w:r>
        <w:rPr/>
        <w:t>in</w:t>
      </w:r>
      <w:r>
        <w:rPr>
          <w:spacing w:val="-13"/>
        </w:rPr>
        <w:t> </w:t>
      </w:r>
      <w:r>
        <w:rPr/>
        <w:t>countries</w:t>
      </w:r>
      <w:r>
        <w:rPr>
          <w:spacing w:val="-12"/>
        </w:rPr>
        <w:t> </w:t>
      </w:r>
      <w:r>
        <w:rPr/>
        <w:t>where</w:t>
      </w:r>
      <w:r>
        <w:rPr>
          <w:spacing w:val="-13"/>
        </w:rPr>
        <w:t> </w:t>
      </w:r>
      <w:r>
        <w:rPr/>
        <w:t>we</w:t>
      </w:r>
      <w:r>
        <w:rPr>
          <w:spacing w:val="-12"/>
        </w:rPr>
        <w:t> </w:t>
      </w:r>
      <w:r>
        <w:rPr/>
        <w:t>do</w:t>
      </w:r>
      <w:r>
        <w:rPr>
          <w:spacing w:val="-13"/>
        </w:rPr>
        <w:t> </w:t>
      </w:r>
      <w:r>
        <w:rPr/>
        <w:t>business</w:t>
      </w:r>
      <w:r>
        <w:rPr>
          <w:spacing w:val="-12"/>
        </w:rPr>
        <w:t> </w:t>
      </w:r>
      <w:r>
        <w:rPr/>
        <w:t>slows,</w:t>
      </w:r>
      <w:r>
        <w:rPr>
          <w:spacing w:val="-13"/>
        </w:rPr>
        <w:t> </w:t>
      </w:r>
      <w:r>
        <w:rPr/>
        <w:t>customers</w:t>
      </w:r>
      <w:r>
        <w:rPr>
          <w:spacing w:val="-12"/>
        </w:rPr>
        <w:t> </w:t>
      </w:r>
      <w:r>
        <w:rPr/>
        <w:t>may</w:t>
      </w:r>
      <w:r>
        <w:rPr>
          <w:spacing w:val="-13"/>
        </w:rPr>
        <w:t> </w:t>
      </w:r>
      <w:r>
        <w:rPr/>
        <w:t>delay</w:t>
      </w:r>
      <w:r>
        <w:rPr>
          <w:spacing w:val="-12"/>
        </w:rPr>
        <w:t> </w:t>
      </w:r>
      <w:r>
        <w:rPr/>
        <w:t>or</w:t>
      </w:r>
      <w:r>
        <w:rPr>
          <w:spacing w:val="-13"/>
        </w:rPr>
        <w:t> </w:t>
      </w:r>
      <w:r>
        <w:rPr/>
        <w:t>reduce</w:t>
      </w:r>
      <w:r>
        <w:rPr>
          <w:spacing w:val="-12"/>
        </w:rPr>
        <w:t> </w:t>
      </w:r>
      <w:r>
        <w:rPr/>
        <w:t>technology purchases,</w:t>
      </w:r>
      <w:r>
        <w:rPr>
          <w:spacing w:val="-10"/>
        </w:rPr>
        <w:t> </w:t>
      </w:r>
      <w:r>
        <w:rPr/>
        <w:t>advertising</w:t>
      </w:r>
      <w:r>
        <w:rPr>
          <w:spacing w:val="-10"/>
        </w:rPr>
        <w:t> </w:t>
      </w:r>
      <w:r>
        <w:rPr/>
        <w:t>spending</w:t>
      </w:r>
      <w:r>
        <w:rPr>
          <w:spacing w:val="-10"/>
        </w:rPr>
        <w:t> </w:t>
      </w:r>
      <w:r>
        <w:rPr/>
        <w:t>or</w:t>
      </w:r>
      <w:r>
        <w:rPr>
          <w:spacing w:val="-10"/>
        </w:rPr>
        <w:t> </w:t>
      </w:r>
      <w:r>
        <w:rPr/>
        <w:t>marketing</w:t>
      </w:r>
      <w:r>
        <w:rPr>
          <w:spacing w:val="-10"/>
        </w:rPr>
        <w:t> </w:t>
      </w:r>
      <w:r>
        <w:rPr/>
        <w:t>spending.</w:t>
      </w:r>
      <w:r>
        <w:rPr>
          <w:spacing w:val="-13"/>
        </w:rPr>
        <w:t> </w:t>
      </w:r>
      <w:r>
        <w:rPr/>
        <w:t>This</w:t>
      </w:r>
      <w:r>
        <w:rPr>
          <w:spacing w:val="-9"/>
        </w:rPr>
        <w:t> </w:t>
      </w:r>
      <w:r>
        <w:rPr/>
        <w:t>could</w:t>
      </w:r>
      <w:r>
        <w:rPr>
          <w:spacing w:val="-10"/>
        </w:rPr>
        <w:t> </w:t>
      </w:r>
      <w:r>
        <w:rPr/>
        <w:t>result</w:t>
      </w:r>
      <w:r>
        <w:rPr>
          <w:spacing w:val="-10"/>
        </w:rPr>
        <w:t> </w:t>
      </w:r>
      <w:r>
        <w:rPr/>
        <w:t>in</w:t>
      </w:r>
      <w:r>
        <w:rPr>
          <w:spacing w:val="-10"/>
        </w:rPr>
        <w:t> </w:t>
      </w:r>
      <w:r>
        <w:rPr/>
        <w:t>reductions</w:t>
      </w:r>
      <w:r>
        <w:rPr>
          <w:spacing w:val="-9"/>
        </w:rPr>
        <w:t> </w:t>
      </w:r>
      <w:r>
        <w:rPr/>
        <w:t>in</w:t>
      </w:r>
      <w:r>
        <w:rPr>
          <w:spacing w:val="-10"/>
        </w:rPr>
        <w:t> </w:t>
      </w:r>
      <w:r>
        <w:rPr/>
        <w:t>sales</w:t>
      </w:r>
      <w:r>
        <w:rPr>
          <w:spacing w:val="-10"/>
        </w:rPr>
        <w:t> </w:t>
      </w:r>
      <w:r>
        <w:rPr/>
        <w:t>of</w:t>
      </w:r>
      <w:r>
        <w:rPr>
          <w:spacing w:val="-10"/>
        </w:rPr>
        <w:t> </w:t>
      </w:r>
      <w:r>
        <w:rPr/>
        <w:t>our</w:t>
      </w:r>
      <w:r>
        <w:rPr>
          <w:spacing w:val="-9"/>
        </w:rPr>
        <w:t> </w:t>
      </w:r>
      <w:r>
        <w:rPr/>
        <w:t>products</w:t>
      </w:r>
      <w:r>
        <w:rPr>
          <w:spacing w:val="-9"/>
        </w:rPr>
        <w:t> </w:t>
      </w:r>
      <w:r>
        <w:rPr/>
        <w:t>and</w:t>
      </w:r>
      <w:r>
        <w:rPr>
          <w:spacing w:val="-10"/>
        </w:rPr>
        <w:t> </w:t>
      </w:r>
      <w:r>
        <w:rPr/>
        <w:t>services,</w:t>
      </w:r>
      <w:r>
        <w:rPr>
          <w:spacing w:val="-10"/>
        </w:rPr>
        <w:t> </w:t>
      </w:r>
      <w:r>
        <w:rPr/>
        <w:t>more </w:t>
      </w:r>
      <w:r>
        <w:rPr>
          <w:spacing w:val="-2"/>
        </w:rPr>
        <w:t>extended</w:t>
      </w:r>
      <w:r>
        <w:rPr>
          <w:spacing w:val="-9"/>
        </w:rPr>
        <w:t> </w:t>
      </w:r>
      <w:r>
        <w:rPr>
          <w:spacing w:val="-2"/>
        </w:rPr>
        <w:t>sales</w:t>
      </w:r>
      <w:r>
        <w:rPr>
          <w:spacing w:val="-5"/>
        </w:rPr>
        <w:t> </w:t>
      </w:r>
      <w:r>
        <w:rPr>
          <w:spacing w:val="-2"/>
        </w:rPr>
        <w:t>cycles,</w:t>
      </w:r>
      <w:r>
        <w:rPr>
          <w:spacing w:val="-5"/>
        </w:rPr>
        <w:t> </w:t>
      </w:r>
      <w:r>
        <w:rPr>
          <w:spacing w:val="-2"/>
        </w:rPr>
        <w:t>slower</w:t>
      </w:r>
      <w:r>
        <w:rPr>
          <w:spacing w:val="-5"/>
        </w:rPr>
        <w:t> </w:t>
      </w:r>
      <w:r>
        <w:rPr>
          <w:spacing w:val="-2"/>
        </w:rPr>
        <w:t>adoption</w:t>
      </w:r>
      <w:r>
        <w:rPr>
          <w:spacing w:val="-5"/>
        </w:rPr>
        <w:t> </w:t>
      </w:r>
      <w:r>
        <w:rPr>
          <w:spacing w:val="-2"/>
        </w:rPr>
        <w:t>of</w:t>
      </w:r>
      <w:r>
        <w:rPr>
          <w:spacing w:val="-5"/>
        </w:rPr>
        <w:t> </w:t>
      </w:r>
      <w:r>
        <w:rPr>
          <w:spacing w:val="-2"/>
        </w:rPr>
        <w:t>new</w:t>
      </w:r>
      <w:r>
        <w:rPr>
          <w:spacing w:val="-5"/>
        </w:rPr>
        <w:t> </w:t>
      </w:r>
      <w:r>
        <w:rPr>
          <w:spacing w:val="-2"/>
        </w:rPr>
        <w:t>technologies</w:t>
      </w:r>
      <w:r>
        <w:rPr>
          <w:spacing w:val="-5"/>
        </w:rPr>
        <w:t> </w:t>
      </w:r>
      <w:r>
        <w:rPr>
          <w:spacing w:val="-2"/>
        </w:rPr>
        <w:t>and</w:t>
      </w:r>
      <w:r>
        <w:rPr>
          <w:spacing w:val="-5"/>
        </w:rPr>
        <w:t> </w:t>
      </w:r>
      <w:r>
        <w:rPr>
          <w:spacing w:val="-2"/>
        </w:rPr>
        <w:t>increased</w:t>
      </w:r>
      <w:r>
        <w:rPr>
          <w:spacing w:val="-5"/>
        </w:rPr>
        <w:t> </w:t>
      </w:r>
      <w:r>
        <w:rPr>
          <w:spacing w:val="-2"/>
        </w:rPr>
        <w:t>price</w:t>
      </w:r>
      <w:r>
        <w:rPr>
          <w:spacing w:val="-5"/>
        </w:rPr>
        <w:t> </w:t>
      </w:r>
      <w:r>
        <w:rPr>
          <w:spacing w:val="-2"/>
        </w:rPr>
        <w:t>competition.</w:t>
      </w:r>
      <w:r>
        <w:rPr>
          <w:spacing w:val="-11"/>
        </w:rPr>
        <w:t> </w:t>
      </w:r>
      <w:r>
        <w:rPr>
          <w:spacing w:val="-2"/>
        </w:rPr>
        <w:t>Among</w:t>
      </w:r>
      <w:r>
        <w:rPr>
          <w:spacing w:val="-5"/>
        </w:rPr>
        <w:t> </w:t>
      </w:r>
      <w:r>
        <w:rPr>
          <w:spacing w:val="-2"/>
        </w:rPr>
        <w:t>our</w:t>
      </w:r>
      <w:r>
        <w:rPr>
          <w:spacing w:val="-5"/>
        </w:rPr>
        <w:t> </w:t>
      </w:r>
      <w:r>
        <w:rPr>
          <w:spacing w:val="-2"/>
        </w:rPr>
        <w:t>customers</w:t>
      </w:r>
      <w:r>
        <w:rPr>
          <w:spacing w:val="-5"/>
        </w:rPr>
        <w:t> </w:t>
      </w:r>
      <w:r>
        <w:rPr>
          <w:spacing w:val="-2"/>
        </w:rPr>
        <w:t>are</w:t>
      </w:r>
      <w:r>
        <w:rPr>
          <w:spacing w:val="-5"/>
        </w:rPr>
        <w:t> </w:t>
      </w:r>
      <w:r>
        <w:rPr>
          <w:spacing w:val="-2"/>
        </w:rPr>
        <w:t>government </w:t>
      </w:r>
      <w:r>
        <w:rPr/>
        <w:t>entities,</w:t>
      </w:r>
      <w:r>
        <w:rPr>
          <w:spacing w:val="-9"/>
        </w:rPr>
        <w:t> </w:t>
      </w:r>
      <w:r>
        <w:rPr/>
        <w:t>including</w:t>
      </w:r>
      <w:r>
        <w:rPr>
          <w:spacing w:val="-9"/>
        </w:rPr>
        <w:t> </w:t>
      </w:r>
      <w:r>
        <w:rPr/>
        <w:t>the</w:t>
      </w:r>
      <w:r>
        <w:rPr>
          <w:spacing w:val="-9"/>
        </w:rPr>
        <w:t> </w:t>
      </w:r>
      <w:r>
        <w:rPr/>
        <w:t>U.S.</w:t>
      </w:r>
      <w:r>
        <w:rPr>
          <w:spacing w:val="-9"/>
        </w:rPr>
        <w:t> </w:t>
      </w:r>
      <w:r>
        <w:rPr/>
        <w:t>federal</w:t>
      </w:r>
      <w:r>
        <w:rPr>
          <w:spacing w:val="-9"/>
        </w:rPr>
        <w:t> </w:t>
      </w:r>
      <w:r>
        <w:rPr/>
        <w:t>government,</w:t>
      </w:r>
      <w:r>
        <w:rPr>
          <w:spacing w:val="-9"/>
        </w:rPr>
        <w:t> </w:t>
      </w:r>
      <w:r>
        <w:rPr/>
        <w:t>and</w:t>
      </w:r>
      <w:r>
        <w:rPr>
          <w:spacing w:val="-9"/>
        </w:rPr>
        <w:t> </w:t>
      </w:r>
      <w:r>
        <w:rPr/>
        <w:t>our</w:t>
      </w:r>
      <w:r>
        <w:rPr>
          <w:spacing w:val="-9"/>
        </w:rPr>
        <w:t> </w:t>
      </w:r>
      <w:r>
        <w:rPr/>
        <w:t>revenue</w:t>
      </w:r>
      <w:r>
        <w:rPr>
          <w:spacing w:val="-10"/>
        </w:rPr>
        <w:t> </w:t>
      </w:r>
      <w:r>
        <w:rPr/>
        <w:t>could</w:t>
      </w:r>
      <w:r>
        <w:rPr>
          <w:spacing w:val="-9"/>
        </w:rPr>
        <w:t> </w:t>
      </w:r>
      <w:r>
        <w:rPr/>
        <w:t>decline</w:t>
      </w:r>
      <w:r>
        <w:rPr>
          <w:spacing w:val="-9"/>
        </w:rPr>
        <w:t> </w:t>
      </w:r>
      <w:r>
        <w:rPr/>
        <w:t>if</w:t>
      </w:r>
      <w:r>
        <w:rPr>
          <w:spacing w:val="-9"/>
        </w:rPr>
        <w:t> </w:t>
      </w:r>
      <w:r>
        <w:rPr/>
        <w:t>spending</w:t>
      </w:r>
      <w:r>
        <w:rPr>
          <w:spacing w:val="-9"/>
        </w:rPr>
        <w:t> </w:t>
      </w:r>
      <w:r>
        <w:rPr/>
        <w:t>cuts</w:t>
      </w:r>
      <w:r>
        <w:rPr>
          <w:spacing w:val="-9"/>
        </w:rPr>
        <w:t> </w:t>
      </w:r>
      <w:r>
        <w:rPr/>
        <w:t>impact</w:t>
      </w:r>
      <w:r>
        <w:rPr>
          <w:spacing w:val="-9"/>
        </w:rPr>
        <w:t> </w:t>
      </w:r>
      <w:r>
        <w:rPr/>
        <w:t>the</w:t>
      </w:r>
      <w:r>
        <w:rPr>
          <w:spacing w:val="-9"/>
        </w:rPr>
        <w:t> </w:t>
      </w:r>
      <w:r>
        <w:rPr/>
        <w:t>government’s</w:t>
      </w:r>
      <w:r>
        <w:rPr>
          <w:spacing w:val="-9"/>
        </w:rPr>
        <w:t> </w:t>
      </w:r>
      <w:r>
        <w:rPr/>
        <w:t>ability</w:t>
      </w:r>
      <w:r>
        <w:rPr>
          <w:spacing w:val="-9"/>
        </w:rPr>
        <w:t> </w:t>
      </w:r>
      <w:r>
        <w:rPr/>
        <w:t>to purchase</w:t>
      </w:r>
      <w:r>
        <w:rPr>
          <w:spacing w:val="-1"/>
        </w:rPr>
        <w:t> </w:t>
      </w:r>
      <w:r>
        <w:rPr/>
        <w:t>our products and services. Deterioration in economic</w:t>
      </w:r>
      <w:r>
        <w:rPr>
          <w:spacing w:val="-1"/>
        </w:rPr>
        <w:t> </w:t>
      </w:r>
      <w:r>
        <w:rPr/>
        <w:t>conditions in any of the countries in which we</w:t>
      </w:r>
      <w:r>
        <w:rPr>
          <w:spacing w:val="-1"/>
        </w:rPr>
        <w:t> </w:t>
      </w:r>
      <w:r>
        <w:rPr/>
        <w:t>do business could </w:t>
      </w:r>
      <w:r>
        <w:rPr>
          <w:spacing w:val="-2"/>
        </w:rPr>
        <w:t>also</w:t>
      </w:r>
      <w:r>
        <w:rPr>
          <w:spacing w:val="-6"/>
        </w:rPr>
        <w:t> </w:t>
      </w:r>
      <w:r>
        <w:rPr>
          <w:spacing w:val="-2"/>
        </w:rPr>
        <w:t>cause</w:t>
      </w:r>
      <w:r>
        <w:rPr>
          <w:spacing w:val="-7"/>
        </w:rPr>
        <w:t> </w:t>
      </w:r>
      <w:r>
        <w:rPr>
          <w:spacing w:val="-2"/>
        </w:rPr>
        <w:t>slower</w:t>
      </w:r>
      <w:r>
        <w:rPr>
          <w:spacing w:val="-6"/>
        </w:rPr>
        <w:t> </w:t>
      </w:r>
      <w:r>
        <w:rPr>
          <w:spacing w:val="-2"/>
        </w:rPr>
        <w:t>or</w:t>
      </w:r>
      <w:r>
        <w:rPr>
          <w:spacing w:val="-6"/>
        </w:rPr>
        <w:t> </w:t>
      </w:r>
      <w:r>
        <w:rPr>
          <w:spacing w:val="-2"/>
        </w:rPr>
        <w:t>impaired</w:t>
      </w:r>
      <w:r>
        <w:rPr>
          <w:spacing w:val="-5"/>
        </w:rPr>
        <w:t> </w:t>
      </w:r>
      <w:r>
        <w:rPr>
          <w:spacing w:val="-2"/>
        </w:rPr>
        <w:t>collections</w:t>
      </w:r>
      <w:r>
        <w:rPr>
          <w:spacing w:val="-6"/>
        </w:rPr>
        <w:t> </w:t>
      </w:r>
      <w:r>
        <w:rPr>
          <w:spacing w:val="-2"/>
        </w:rPr>
        <w:t>on</w:t>
      </w:r>
      <w:r>
        <w:rPr>
          <w:spacing w:val="-6"/>
        </w:rPr>
        <w:t> </w:t>
      </w:r>
      <w:r>
        <w:rPr>
          <w:spacing w:val="-2"/>
        </w:rPr>
        <w:t>accounts</w:t>
      </w:r>
      <w:r>
        <w:rPr>
          <w:spacing w:val="-6"/>
        </w:rPr>
        <w:t> </w:t>
      </w:r>
      <w:r>
        <w:rPr>
          <w:spacing w:val="-2"/>
        </w:rPr>
        <w:t>receivable,</w:t>
      </w:r>
      <w:r>
        <w:rPr>
          <w:spacing w:val="-5"/>
        </w:rPr>
        <w:t> </w:t>
      </w:r>
      <w:r>
        <w:rPr>
          <w:spacing w:val="-2"/>
        </w:rPr>
        <w:t>which</w:t>
      </w:r>
      <w:r>
        <w:rPr>
          <w:spacing w:val="-6"/>
        </w:rPr>
        <w:t> </w:t>
      </w:r>
      <w:r>
        <w:rPr>
          <w:spacing w:val="-2"/>
        </w:rPr>
        <w:t>may</w:t>
      </w:r>
      <w:r>
        <w:rPr>
          <w:spacing w:val="-6"/>
        </w:rPr>
        <w:t> </w:t>
      </w:r>
      <w:r>
        <w:rPr>
          <w:spacing w:val="-2"/>
        </w:rPr>
        <w:t>adversely</w:t>
      </w:r>
      <w:r>
        <w:rPr>
          <w:spacing w:val="-6"/>
        </w:rPr>
        <w:t> </w:t>
      </w:r>
      <w:r>
        <w:rPr>
          <w:spacing w:val="-2"/>
        </w:rPr>
        <w:t>impact</w:t>
      </w:r>
      <w:r>
        <w:rPr>
          <w:spacing w:val="-5"/>
        </w:rPr>
        <w:t> </w:t>
      </w:r>
      <w:r>
        <w:rPr>
          <w:spacing w:val="-2"/>
        </w:rPr>
        <w:t>our</w:t>
      </w:r>
      <w:r>
        <w:rPr>
          <w:spacing w:val="-6"/>
        </w:rPr>
        <w:t> </w:t>
      </w:r>
      <w:r>
        <w:rPr>
          <w:spacing w:val="-2"/>
        </w:rPr>
        <w:t>liquidity</w:t>
      </w:r>
      <w:r>
        <w:rPr>
          <w:spacing w:val="-6"/>
        </w:rPr>
        <w:t> </w:t>
      </w:r>
      <w:r>
        <w:rPr>
          <w:spacing w:val="-2"/>
        </w:rPr>
        <w:t>and</w:t>
      </w:r>
      <w:r>
        <w:rPr>
          <w:spacing w:val="-5"/>
        </w:rPr>
        <w:t> </w:t>
      </w:r>
      <w:r>
        <w:rPr>
          <w:spacing w:val="-2"/>
        </w:rPr>
        <w:t>financial</w:t>
      </w:r>
      <w:r>
        <w:rPr>
          <w:spacing w:val="-7"/>
        </w:rPr>
        <w:t> </w:t>
      </w:r>
      <w:r>
        <w:rPr>
          <w:spacing w:val="-2"/>
        </w:rPr>
        <w:t>condition.</w:t>
      </w:r>
    </w:p>
    <w:p>
      <w:pPr>
        <w:pStyle w:val="BodyText"/>
        <w:spacing w:line="249" w:lineRule="auto" w:before="188"/>
        <w:ind w:left="210" w:right="248" w:firstLine="540"/>
        <w:jc w:val="both"/>
      </w:pPr>
      <w:r>
        <w:rPr/>
        <w:t>A</w:t>
      </w:r>
      <w:r>
        <w:rPr>
          <w:spacing w:val="-13"/>
        </w:rPr>
        <w:t> </w:t>
      </w:r>
      <w:r>
        <w:rPr/>
        <w:t>disruption</w:t>
      </w:r>
      <w:r>
        <w:rPr>
          <w:spacing w:val="-11"/>
        </w:rPr>
        <w:t> </w:t>
      </w:r>
      <w:r>
        <w:rPr/>
        <w:t>in</w:t>
      </w:r>
      <w:r>
        <w:rPr>
          <w:spacing w:val="-6"/>
        </w:rPr>
        <w:t> </w:t>
      </w:r>
      <w:r>
        <w:rPr/>
        <w:t>financial</w:t>
      </w:r>
      <w:r>
        <w:rPr>
          <w:spacing w:val="-7"/>
        </w:rPr>
        <w:t> </w:t>
      </w:r>
      <w:r>
        <w:rPr/>
        <w:t>markets</w:t>
      </w:r>
      <w:r>
        <w:rPr>
          <w:spacing w:val="-6"/>
        </w:rPr>
        <w:t> </w:t>
      </w:r>
      <w:r>
        <w:rPr/>
        <w:t>could</w:t>
      </w:r>
      <w:r>
        <w:rPr>
          <w:spacing w:val="-6"/>
        </w:rPr>
        <w:t> </w:t>
      </w:r>
      <w:r>
        <w:rPr/>
        <w:t>impair</w:t>
      </w:r>
      <w:r>
        <w:rPr>
          <w:spacing w:val="-7"/>
        </w:rPr>
        <w:t> </w:t>
      </w:r>
      <w:r>
        <w:rPr/>
        <w:t>our</w:t>
      </w:r>
      <w:r>
        <w:rPr>
          <w:spacing w:val="-6"/>
        </w:rPr>
        <w:t> </w:t>
      </w:r>
      <w:r>
        <w:rPr/>
        <w:t>banking</w:t>
      </w:r>
      <w:r>
        <w:rPr>
          <w:spacing w:val="-6"/>
        </w:rPr>
        <w:t> </w:t>
      </w:r>
      <w:r>
        <w:rPr/>
        <w:t>partners,</w:t>
      </w:r>
      <w:r>
        <w:rPr>
          <w:spacing w:val="-6"/>
        </w:rPr>
        <w:t> </w:t>
      </w:r>
      <w:r>
        <w:rPr/>
        <w:t>on</w:t>
      </w:r>
      <w:r>
        <w:rPr>
          <w:spacing w:val="-6"/>
        </w:rPr>
        <w:t> </w:t>
      </w:r>
      <w:r>
        <w:rPr/>
        <w:t>which</w:t>
      </w:r>
      <w:r>
        <w:rPr>
          <w:spacing w:val="-6"/>
        </w:rPr>
        <w:t> </w:t>
      </w:r>
      <w:r>
        <w:rPr/>
        <w:t>we</w:t>
      </w:r>
      <w:r>
        <w:rPr>
          <w:spacing w:val="-7"/>
        </w:rPr>
        <w:t> </w:t>
      </w:r>
      <w:r>
        <w:rPr/>
        <w:t>rely</w:t>
      </w:r>
      <w:r>
        <w:rPr>
          <w:spacing w:val="-6"/>
        </w:rPr>
        <w:t> </w:t>
      </w:r>
      <w:r>
        <w:rPr/>
        <w:t>for</w:t>
      </w:r>
      <w:r>
        <w:rPr>
          <w:spacing w:val="-6"/>
        </w:rPr>
        <w:t> </w:t>
      </w:r>
      <w:r>
        <w:rPr/>
        <w:t>operating</w:t>
      </w:r>
      <w:r>
        <w:rPr>
          <w:spacing w:val="-7"/>
        </w:rPr>
        <w:t> </w:t>
      </w:r>
      <w:r>
        <w:rPr/>
        <w:t>cash</w:t>
      </w:r>
      <w:r>
        <w:rPr>
          <w:spacing w:val="-6"/>
        </w:rPr>
        <w:t> </w:t>
      </w:r>
      <w:r>
        <w:rPr/>
        <w:t>management</w:t>
      </w:r>
      <w:r>
        <w:rPr>
          <w:spacing w:val="-7"/>
        </w:rPr>
        <w:t> </w:t>
      </w:r>
      <w:r>
        <w:rPr/>
        <w:t>and affect our derivative counterparties. Any of these events would likely harm our business, financial condition, and results of </w:t>
      </w:r>
      <w:r>
        <w:rPr>
          <w:spacing w:val="-2"/>
        </w:rPr>
        <w:t>operations.</w:t>
      </w:r>
    </w:p>
    <w:p>
      <w:pPr>
        <w:pStyle w:val="BodyText"/>
        <w:spacing w:line="249" w:lineRule="auto" w:before="182"/>
        <w:ind w:left="210" w:right="240" w:firstLine="540"/>
      </w:pPr>
      <w:r>
        <w:rPr/>
        <w:t>Political</w:t>
      </w:r>
      <w:r>
        <w:rPr>
          <w:spacing w:val="-15"/>
        </w:rPr>
        <w:t> </w:t>
      </w:r>
      <w:r>
        <w:rPr/>
        <w:t>instability</w:t>
      </w:r>
      <w:r>
        <w:rPr>
          <w:spacing w:val="-15"/>
        </w:rPr>
        <w:t> </w:t>
      </w:r>
      <w:r>
        <w:rPr/>
        <w:t>or</w:t>
      </w:r>
      <w:r>
        <w:rPr>
          <w:spacing w:val="-15"/>
        </w:rPr>
        <w:t> </w:t>
      </w:r>
      <w:r>
        <w:rPr/>
        <w:t>adverse</w:t>
      </w:r>
      <w:r>
        <w:rPr>
          <w:spacing w:val="-15"/>
        </w:rPr>
        <w:t> </w:t>
      </w:r>
      <w:r>
        <w:rPr/>
        <w:t>political</w:t>
      </w:r>
      <w:r>
        <w:rPr>
          <w:spacing w:val="-15"/>
        </w:rPr>
        <w:t> </w:t>
      </w:r>
      <w:r>
        <w:rPr/>
        <w:t>developments</w:t>
      </w:r>
      <w:r>
        <w:rPr>
          <w:spacing w:val="-14"/>
        </w:rPr>
        <w:t> </w:t>
      </w:r>
      <w:r>
        <w:rPr/>
        <w:t>in</w:t>
      </w:r>
      <w:r>
        <w:rPr>
          <w:spacing w:val="-15"/>
        </w:rPr>
        <w:t> </w:t>
      </w:r>
      <w:r>
        <w:rPr/>
        <w:t>or</w:t>
      </w:r>
      <w:r>
        <w:rPr>
          <w:spacing w:val="-15"/>
        </w:rPr>
        <w:t> </w:t>
      </w:r>
      <w:r>
        <w:rPr/>
        <w:t>around</w:t>
      </w:r>
      <w:r>
        <w:rPr>
          <w:spacing w:val="-15"/>
        </w:rPr>
        <w:t> </w:t>
      </w:r>
      <w:r>
        <w:rPr/>
        <w:t>any</w:t>
      </w:r>
      <w:r>
        <w:rPr>
          <w:spacing w:val="-15"/>
        </w:rPr>
        <w:t> </w:t>
      </w:r>
      <w:r>
        <w:rPr/>
        <w:t>of</w:t>
      </w:r>
      <w:r>
        <w:rPr>
          <w:spacing w:val="-15"/>
        </w:rPr>
        <w:t> </w:t>
      </w:r>
      <w:r>
        <w:rPr/>
        <w:t>the</w:t>
      </w:r>
      <w:r>
        <w:rPr>
          <w:spacing w:val="-15"/>
        </w:rPr>
        <w:t> </w:t>
      </w:r>
      <w:r>
        <w:rPr/>
        <w:t>major</w:t>
      </w:r>
      <w:r>
        <w:rPr>
          <w:spacing w:val="-15"/>
        </w:rPr>
        <w:t> </w:t>
      </w:r>
      <w:r>
        <w:rPr/>
        <w:t>countries</w:t>
      </w:r>
      <w:r>
        <w:rPr>
          <w:spacing w:val="-15"/>
        </w:rPr>
        <w:t> </w:t>
      </w:r>
      <w:r>
        <w:rPr/>
        <w:t>in</w:t>
      </w:r>
      <w:r>
        <w:rPr>
          <w:spacing w:val="-15"/>
        </w:rPr>
        <w:t> </w:t>
      </w:r>
      <w:r>
        <w:rPr/>
        <w:t>which</w:t>
      </w:r>
      <w:r>
        <w:rPr>
          <w:spacing w:val="-15"/>
        </w:rPr>
        <w:t> </w:t>
      </w:r>
      <w:r>
        <w:rPr/>
        <w:t>we</w:t>
      </w:r>
      <w:r>
        <w:rPr>
          <w:spacing w:val="-15"/>
        </w:rPr>
        <w:t> </w:t>
      </w:r>
      <w:r>
        <w:rPr/>
        <w:t>do</w:t>
      </w:r>
      <w:r>
        <w:rPr>
          <w:spacing w:val="-15"/>
        </w:rPr>
        <w:t> </w:t>
      </w:r>
      <w:r>
        <w:rPr/>
        <w:t>business</w:t>
      </w:r>
      <w:r>
        <w:rPr>
          <w:spacing w:val="-14"/>
        </w:rPr>
        <w:t> </w:t>
      </w:r>
      <w:r>
        <w:rPr/>
        <w:t>would also likely harm our business, results of operations and financial condition.</w:t>
      </w:r>
    </w:p>
    <w:p>
      <w:pPr>
        <w:pStyle w:val="Heading3"/>
        <w:spacing w:line="249" w:lineRule="auto" w:before="182"/>
        <w:ind w:right="244"/>
      </w:pPr>
      <w:r>
        <w:rPr/>
        <w:t>Our</w:t>
      </w:r>
      <w:r>
        <w:rPr>
          <w:spacing w:val="-18"/>
        </w:rPr>
        <w:t> </w:t>
      </w:r>
      <w:r>
        <w:rPr/>
        <w:t>intellectual</w:t>
      </w:r>
      <w:r>
        <w:rPr>
          <w:spacing w:val="-18"/>
        </w:rPr>
        <w:t> </w:t>
      </w:r>
      <w:r>
        <w:rPr/>
        <w:t>property</w:t>
      </w:r>
      <w:r>
        <w:rPr>
          <w:spacing w:val="-18"/>
        </w:rPr>
        <w:t> </w:t>
      </w:r>
      <w:r>
        <w:rPr/>
        <w:t>portfolio</w:t>
      </w:r>
      <w:r>
        <w:rPr>
          <w:spacing w:val="-18"/>
        </w:rPr>
        <w:t> </w:t>
      </w:r>
      <w:r>
        <w:rPr/>
        <w:t>is</w:t>
      </w:r>
      <w:r>
        <w:rPr>
          <w:spacing w:val="-18"/>
        </w:rPr>
        <w:t> </w:t>
      </w:r>
      <w:r>
        <w:rPr/>
        <w:t>a</w:t>
      </w:r>
      <w:r>
        <w:rPr>
          <w:spacing w:val="-18"/>
        </w:rPr>
        <w:t> </w:t>
      </w:r>
      <w:r>
        <w:rPr/>
        <w:t>valuable</w:t>
      </w:r>
      <w:r>
        <w:rPr>
          <w:spacing w:val="-18"/>
        </w:rPr>
        <w:t> </w:t>
      </w:r>
      <w:r>
        <w:rPr/>
        <w:t>asset</w:t>
      </w:r>
      <w:r>
        <w:rPr>
          <w:spacing w:val="-18"/>
        </w:rPr>
        <w:t> </w:t>
      </w:r>
      <w:r>
        <w:rPr/>
        <w:t>and</w:t>
      </w:r>
      <w:r>
        <w:rPr>
          <w:spacing w:val="-18"/>
        </w:rPr>
        <w:t> </w:t>
      </w:r>
      <w:r>
        <w:rPr/>
        <w:t>we</w:t>
      </w:r>
      <w:r>
        <w:rPr>
          <w:spacing w:val="-18"/>
        </w:rPr>
        <w:t> </w:t>
      </w:r>
      <w:r>
        <w:rPr/>
        <w:t>may</w:t>
      </w:r>
      <w:r>
        <w:rPr>
          <w:spacing w:val="-18"/>
        </w:rPr>
        <w:t> </w:t>
      </w:r>
      <w:r>
        <w:rPr/>
        <w:t>not</w:t>
      </w:r>
      <w:r>
        <w:rPr>
          <w:spacing w:val="-18"/>
        </w:rPr>
        <w:t> </w:t>
      </w:r>
      <w:r>
        <w:rPr/>
        <w:t>be</w:t>
      </w:r>
      <w:r>
        <w:rPr>
          <w:spacing w:val="-18"/>
        </w:rPr>
        <w:t> </w:t>
      </w:r>
      <w:r>
        <w:rPr/>
        <w:t>able</w:t>
      </w:r>
      <w:r>
        <w:rPr>
          <w:spacing w:val="-18"/>
        </w:rPr>
        <w:t> </w:t>
      </w:r>
      <w:r>
        <w:rPr/>
        <w:t>to</w:t>
      </w:r>
      <w:r>
        <w:rPr>
          <w:spacing w:val="-18"/>
        </w:rPr>
        <w:t> </w:t>
      </w:r>
      <w:r>
        <w:rPr/>
        <w:t>protect</w:t>
      </w:r>
      <w:r>
        <w:rPr>
          <w:spacing w:val="-18"/>
        </w:rPr>
        <w:t> </w:t>
      </w:r>
      <w:r>
        <w:rPr/>
        <w:t>our</w:t>
      </w:r>
      <w:r>
        <w:rPr>
          <w:spacing w:val="-18"/>
        </w:rPr>
        <w:t> </w:t>
      </w:r>
      <w:r>
        <w:rPr/>
        <w:t>intellectual</w:t>
      </w:r>
      <w:r>
        <w:rPr>
          <w:spacing w:val="-18"/>
        </w:rPr>
        <w:t> </w:t>
      </w:r>
      <w:r>
        <w:rPr/>
        <w:t>property</w:t>
      </w:r>
      <w:r>
        <w:rPr>
          <w:spacing w:val="-18"/>
        </w:rPr>
        <w:t> </w:t>
      </w:r>
      <w:r>
        <w:rPr/>
        <w:t>rights,</w:t>
      </w:r>
      <w:r>
        <w:rPr>
          <w:spacing w:val="-18"/>
        </w:rPr>
        <w:t> </w:t>
      </w:r>
      <w:r>
        <w:rPr/>
        <w:t>including our source code, from infringement or unauthorized copying, use or disclosure.</w:t>
      </w:r>
    </w:p>
    <w:p>
      <w:pPr>
        <w:pStyle w:val="BodyText"/>
        <w:spacing w:line="249" w:lineRule="auto" w:before="181"/>
        <w:ind w:left="210" w:right="247" w:firstLine="540"/>
        <w:jc w:val="both"/>
      </w:pPr>
      <w:r>
        <w:rPr/>
        <w:t>Our intellectual property portfolio is a valuable asset. Infringement or misappropriation of our patents, trademarks, </w:t>
      </w:r>
      <w:r>
        <w:rPr/>
        <w:t>trade secrets,</w:t>
      </w:r>
      <w:r>
        <w:rPr>
          <w:spacing w:val="-11"/>
        </w:rPr>
        <w:t> </w:t>
      </w:r>
      <w:r>
        <w:rPr/>
        <w:t>copyrights</w:t>
      </w:r>
      <w:r>
        <w:rPr>
          <w:spacing w:val="-11"/>
        </w:rPr>
        <w:t> </w:t>
      </w:r>
      <w:r>
        <w:rPr/>
        <w:t>and</w:t>
      </w:r>
      <w:r>
        <w:rPr>
          <w:spacing w:val="-11"/>
        </w:rPr>
        <w:t> </w:t>
      </w:r>
      <w:r>
        <w:rPr/>
        <w:t>other</w:t>
      </w:r>
      <w:r>
        <w:rPr>
          <w:spacing w:val="-11"/>
        </w:rPr>
        <w:t> </w:t>
      </w:r>
      <w:r>
        <w:rPr/>
        <w:t>intellectual</w:t>
      </w:r>
      <w:r>
        <w:rPr>
          <w:spacing w:val="-11"/>
        </w:rPr>
        <w:t> </w:t>
      </w:r>
      <w:r>
        <w:rPr/>
        <w:t>property</w:t>
      </w:r>
      <w:r>
        <w:rPr>
          <w:spacing w:val="-11"/>
        </w:rPr>
        <w:t> </w:t>
      </w:r>
      <w:r>
        <w:rPr/>
        <w:t>rights</w:t>
      </w:r>
      <w:r>
        <w:rPr>
          <w:spacing w:val="-11"/>
        </w:rPr>
        <w:t> </w:t>
      </w:r>
      <w:r>
        <w:rPr/>
        <w:t>could</w:t>
      </w:r>
      <w:r>
        <w:rPr>
          <w:spacing w:val="-11"/>
        </w:rPr>
        <w:t> </w:t>
      </w:r>
      <w:r>
        <w:rPr/>
        <w:t>result</w:t>
      </w:r>
      <w:r>
        <w:rPr>
          <w:spacing w:val="-11"/>
        </w:rPr>
        <w:t> </w:t>
      </w:r>
      <w:r>
        <w:rPr/>
        <w:t>in</w:t>
      </w:r>
      <w:r>
        <w:rPr>
          <w:spacing w:val="-11"/>
        </w:rPr>
        <w:t> </w:t>
      </w:r>
      <w:r>
        <w:rPr/>
        <w:t>lost</w:t>
      </w:r>
      <w:r>
        <w:rPr>
          <w:spacing w:val="-11"/>
        </w:rPr>
        <w:t> </w:t>
      </w:r>
      <w:r>
        <w:rPr/>
        <w:t>revenues</w:t>
      </w:r>
      <w:r>
        <w:rPr>
          <w:spacing w:val="-11"/>
        </w:rPr>
        <w:t> </w:t>
      </w:r>
      <w:r>
        <w:rPr/>
        <w:t>and</w:t>
      </w:r>
      <w:r>
        <w:rPr>
          <w:spacing w:val="-11"/>
        </w:rPr>
        <w:t> </w:t>
      </w:r>
      <w:r>
        <w:rPr/>
        <w:t>ultimately</w:t>
      </w:r>
      <w:r>
        <w:rPr>
          <w:spacing w:val="-11"/>
        </w:rPr>
        <w:t> </w:t>
      </w:r>
      <w:r>
        <w:rPr/>
        <w:t>reduce</w:t>
      </w:r>
      <w:r>
        <w:rPr>
          <w:spacing w:val="-11"/>
        </w:rPr>
        <w:t> </w:t>
      </w:r>
      <w:r>
        <w:rPr/>
        <w:t>their</w:t>
      </w:r>
      <w:r>
        <w:rPr>
          <w:spacing w:val="-11"/>
        </w:rPr>
        <w:t> </w:t>
      </w:r>
      <w:r>
        <w:rPr/>
        <w:t>value.</w:t>
      </w:r>
      <w:r>
        <w:rPr>
          <w:spacing w:val="-11"/>
        </w:rPr>
        <w:t> </w:t>
      </w:r>
      <w:r>
        <w:rPr/>
        <w:t>Preventing unauthorized</w:t>
      </w:r>
      <w:r>
        <w:rPr>
          <w:spacing w:val="-5"/>
        </w:rPr>
        <w:t> </w:t>
      </w:r>
      <w:r>
        <w:rPr/>
        <w:t>use</w:t>
      </w:r>
      <w:r>
        <w:rPr>
          <w:spacing w:val="-5"/>
        </w:rPr>
        <w:t> </w:t>
      </w:r>
      <w:r>
        <w:rPr/>
        <w:t>or</w:t>
      </w:r>
      <w:r>
        <w:rPr>
          <w:spacing w:val="-5"/>
        </w:rPr>
        <w:t> </w:t>
      </w:r>
      <w:r>
        <w:rPr/>
        <w:t>infringement</w:t>
      </w:r>
      <w:r>
        <w:rPr>
          <w:spacing w:val="-5"/>
        </w:rPr>
        <w:t> </w:t>
      </w:r>
      <w:r>
        <w:rPr/>
        <w:t>of</w:t>
      </w:r>
      <w:r>
        <w:rPr>
          <w:spacing w:val="-5"/>
        </w:rPr>
        <w:t> </w:t>
      </w:r>
      <w:r>
        <w:rPr/>
        <w:t>our</w:t>
      </w:r>
      <w:r>
        <w:rPr>
          <w:spacing w:val="-5"/>
        </w:rPr>
        <w:t> </w:t>
      </w:r>
      <w:r>
        <w:rPr/>
        <w:t>intellectual</w:t>
      </w:r>
      <w:r>
        <w:rPr>
          <w:spacing w:val="-5"/>
        </w:rPr>
        <w:t> </w:t>
      </w:r>
      <w:r>
        <w:rPr/>
        <w:t>property</w:t>
      </w:r>
      <w:r>
        <w:rPr>
          <w:spacing w:val="-5"/>
        </w:rPr>
        <w:t> </w:t>
      </w:r>
      <w:r>
        <w:rPr/>
        <w:t>rights</w:t>
      </w:r>
      <w:r>
        <w:rPr>
          <w:spacing w:val="-5"/>
        </w:rPr>
        <w:t> </w:t>
      </w:r>
      <w:r>
        <w:rPr/>
        <w:t>is</w:t>
      </w:r>
      <w:r>
        <w:rPr>
          <w:spacing w:val="-5"/>
        </w:rPr>
        <w:t> </w:t>
      </w:r>
      <w:r>
        <w:rPr/>
        <w:t>inherently</w:t>
      </w:r>
      <w:r>
        <w:rPr>
          <w:spacing w:val="-5"/>
        </w:rPr>
        <w:t> </w:t>
      </w:r>
      <w:r>
        <w:rPr/>
        <w:t>difficult.</w:t>
      </w:r>
      <w:r>
        <w:rPr>
          <w:spacing w:val="-8"/>
        </w:rPr>
        <w:t> </w:t>
      </w:r>
      <w:r>
        <w:rPr/>
        <w:t>We</w:t>
      </w:r>
      <w:r>
        <w:rPr>
          <w:spacing w:val="-5"/>
        </w:rPr>
        <w:t> </w:t>
      </w:r>
      <w:r>
        <w:rPr/>
        <w:t>actively</w:t>
      </w:r>
      <w:r>
        <w:rPr>
          <w:spacing w:val="-5"/>
        </w:rPr>
        <w:t> </w:t>
      </w:r>
      <w:r>
        <w:rPr/>
        <w:t>combat</w:t>
      </w:r>
      <w:r>
        <w:rPr>
          <w:spacing w:val="-5"/>
        </w:rPr>
        <w:t> </w:t>
      </w:r>
      <w:r>
        <w:rPr/>
        <w:t>software</w:t>
      </w:r>
      <w:r>
        <w:rPr>
          <w:spacing w:val="-5"/>
        </w:rPr>
        <w:t> </w:t>
      </w:r>
      <w:r>
        <w:rPr/>
        <w:t>piracy</w:t>
      </w:r>
      <w:r>
        <w:rPr>
          <w:spacing w:val="-5"/>
        </w:rPr>
        <w:t> </w:t>
      </w:r>
      <w:r>
        <w:rPr/>
        <w:t>as we</w:t>
      </w:r>
      <w:r>
        <w:rPr>
          <w:spacing w:val="-10"/>
        </w:rPr>
        <w:t> </w:t>
      </w:r>
      <w:r>
        <w:rPr/>
        <w:t>enforce</w:t>
      </w:r>
      <w:r>
        <w:rPr>
          <w:spacing w:val="-10"/>
        </w:rPr>
        <w:t> </w:t>
      </w:r>
      <w:r>
        <w:rPr/>
        <w:t>our</w:t>
      </w:r>
      <w:r>
        <w:rPr>
          <w:spacing w:val="-10"/>
        </w:rPr>
        <w:t> </w:t>
      </w:r>
      <w:r>
        <w:rPr/>
        <w:t>intellectual</w:t>
      </w:r>
      <w:r>
        <w:rPr>
          <w:spacing w:val="-10"/>
        </w:rPr>
        <w:t> </w:t>
      </w:r>
      <w:r>
        <w:rPr/>
        <w:t>property</w:t>
      </w:r>
      <w:r>
        <w:rPr>
          <w:spacing w:val="-10"/>
        </w:rPr>
        <w:t> </w:t>
      </w:r>
      <w:r>
        <w:rPr/>
        <w:t>rights,</w:t>
      </w:r>
      <w:r>
        <w:rPr>
          <w:spacing w:val="-10"/>
        </w:rPr>
        <w:t> </w:t>
      </w:r>
      <w:r>
        <w:rPr/>
        <w:t>but</w:t>
      </w:r>
      <w:r>
        <w:rPr>
          <w:spacing w:val="-10"/>
        </w:rPr>
        <w:t> </w:t>
      </w:r>
      <w:r>
        <w:rPr/>
        <w:t>we</w:t>
      </w:r>
      <w:r>
        <w:rPr>
          <w:spacing w:val="-10"/>
        </w:rPr>
        <w:t> </w:t>
      </w:r>
      <w:r>
        <w:rPr/>
        <w:t>nonetheless</w:t>
      </w:r>
      <w:r>
        <w:rPr>
          <w:spacing w:val="-9"/>
        </w:rPr>
        <w:t> </w:t>
      </w:r>
      <w:r>
        <w:rPr/>
        <w:t>lose</w:t>
      </w:r>
      <w:r>
        <w:rPr>
          <w:spacing w:val="-10"/>
        </w:rPr>
        <w:t> </w:t>
      </w:r>
      <w:r>
        <w:rPr/>
        <w:t>significant</w:t>
      </w:r>
      <w:r>
        <w:rPr>
          <w:spacing w:val="-10"/>
        </w:rPr>
        <w:t> </w:t>
      </w:r>
      <w:r>
        <w:rPr/>
        <w:t>revenue</w:t>
      </w:r>
      <w:r>
        <w:rPr>
          <w:spacing w:val="-10"/>
        </w:rPr>
        <w:t> </w:t>
      </w:r>
      <w:r>
        <w:rPr/>
        <w:t>due</w:t>
      </w:r>
      <w:r>
        <w:rPr>
          <w:spacing w:val="-10"/>
        </w:rPr>
        <w:t> </w:t>
      </w:r>
      <w:r>
        <w:rPr/>
        <w:t>to</w:t>
      </w:r>
      <w:r>
        <w:rPr>
          <w:spacing w:val="-10"/>
        </w:rPr>
        <w:t> </w:t>
      </w:r>
      <w:r>
        <w:rPr/>
        <w:t>illegal</w:t>
      </w:r>
      <w:r>
        <w:rPr>
          <w:spacing w:val="-10"/>
        </w:rPr>
        <w:t> </w:t>
      </w:r>
      <w:r>
        <w:rPr/>
        <w:t>use</w:t>
      </w:r>
      <w:r>
        <w:rPr>
          <w:spacing w:val="-10"/>
        </w:rPr>
        <w:t> </w:t>
      </w:r>
      <w:r>
        <w:rPr/>
        <w:t>of</w:t>
      </w:r>
      <w:r>
        <w:rPr>
          <w:spacing w:val="-10"/>
        </w:rPr>
        <w:t> </w:t>
      </w:r>
      <w:r>
        <w:rPr/>
        <w:t>our</w:t>
      </w:r>
      <w:r>
        <w:rPr>
          <w:spacing w:val="-10"/>
        </w:rPr>
        <w:t> </w:t>
      </w:r>
      <w:r>
        <w:rPr/>
        <w:t>software.</w:t>
      </w:r>
      <w:r>
        <w:rPr>
          <w:spacing w:val="-10"/>
        </w:rPr>
        <w:t> </w:t>
      </w:r>
      <w:r>
        <w:rPr/>
        <w:t>If</w:t>
      </w:r>
      <w:r>
        <w:rPr>
          <w:spacing w:val="-10"/>
        </w:rPr>
        <w:t> </w:t>
      </w:r>
      <w:r>
        <w:rPr/>
        <w:t>piracy activities continue at historical levels or increase, they may further harm our business. We apply for patents in the U.S. and </w:t>
      </w:r>
      <w:r>
        <w:rPr>
          <w:spacing w:val="-2"/>
        </w:rPr>
        <w:t>internationally</w:t>
      </w:r>
      <w:r>
        <w:rPr>
          <w:spacing w:val="-6"/>
        </w:rPr>
        <w:t> </w:t>
      </w:r>
      <w:r>
        <w:rPr>
          <w:spacing w:val="-2"/>
        </w:rPr>
        <w:t>to</w:t>
      </w:r>
      <w:r>
        <w:rPr>
          <w:spacing w:val="-6"/>
        </w:rPr>
        <w:t> </w:t>
      </w:r>
      <w:r>
        <w:rPr>
          <w:spacing w:val="-2"/>
        </w:rPr>
        <w:t>protect</w:t>
      </w:r>
      <w:r>
        <w:rPr>
          <w:spacing w:val="-6"/>
        </w:rPr>
        <w:t> </w:t>
      </w:r>
      <w:r>
        <w:rPr>
          <w:spacing w:val="-2"/>
        </w:rPr>
        <w:t>our</w:t>
      </w:r>
      <w:r>
        <w:rPr>
          <w:spacing w:val="-6"/>
        </w:rPr>
        <w:t> </w:t>
      </w:r>
      <w:r>
        <w:rPr>
          <w:spacing w:val="-2"/>
        </w:rPr>
        <w:t>newly</w:t>
      </w:r>
      <w:r>
        <w:rPr>
          <w:spacing w:val="-6"/>
        </w:rPr>
        <w:t> </w:t>
      </w:r>
      <w:r>
        <w:rPr>
          <w:spacing w:val="-2"/>
        </w:rPr>
        <w:t>created</w:t>
      </w:r>
      <w:r>
        <w:rPr>
          <w:spacing w:val="-6"/>
        </w:rPr>
        <w:t> </w:t>
      </w:r>
      <w:r>
        <w:rPr>
          <w:spacing w:val="-2"/>
        </w:rPr>
        <w:t>technology</w:t>
      </w:r>
      <w:r>
        <w:rPr>
          <w:spacing w:val="-6"/>
        </w:rPr>
        <w:t> </w:t>
      </w:r>
      <w:r>
        <w:rPr>
          <w:spacing w:val="-2"/>
        </w:rPr>
        <w:t>and</w:t>
      </w:r>
      <w:r>
        <w:rPr>
          <w:spacing w:val="-6"/>
        </w:rPr>
        <w:t> </w:t>
      </w:r>
      <w:r>
        <w:rPr>
          <w:spacing w:val="-2"/>
        </w:rPr>
        <w:t>if</w:t>
      </w:r>
      <w:r>
        <w:rPr>
          <w:spacing w:val="-6"/>
        </w:rPr>
        <w:t> </w:t>
      </w:r>
      <w:r>
        <w:rPr>
          <w:spacing w:val="-2"/>
        </w:rPr>
        <w:t>we</w:t>
      </w:r>
      <w:r>
        <w:rPr>
          <w:spacing w:val="-6"/>
        </w:rPr>
        <w:t> </w:t>
      </w:r>
      <w:r>
        <w:rPr>
          <w:spacing w:val="-2"/>
        </w:rPr>
        <w:t>are</w:t>
      </w:r>
      <w:r>
        <w:rPr>
          <w:spacing w:val="-6"/>
        </w:rPr>
        <w:t> </w:t>
      </w:r>
      <w:r>
        <w:rPr>
          <w:spacing w:val="-2"/>
        </w:rPr>
        <w:t>unable</w:t>
      </w:r>
      <w:r>
        <w:rPr>
          <w:spacing w:val="-6"/>
        </w:rPr>
        <w:t> </w:t>
      </w:r>
      <w:r>
        <w:rPr>
          <w:spacing w:val="-2"/>
        </w:rPr>
        <w:t>to</w:t>
      </w:r>
      <w:r>
        <w:rPr>
          <w:spacing w:val="-6"/>
        </w:rPr>
        <w:t> </w:t>
      </w:r>
      <w:r>
        <w:rPr>
          <w:spacing w:val="-2"/>
        </w:rPr>
        <w:t>obtain</w:t>
      </w:r>
      <w:r>
        <w:rPr>
          <w:spacing w:val="-6"/>
        </w:rPr>
        <w:t> </w:t>
      </w:r>
      <w:r>
        <w:rPr>
          <w:spacing w:val="-2"/>
        </w:rPr>
        <w:t>patent</w:t>
      </w:r>
      <w:r>
        <w:rPr>
          <w:spacing w:val="-6"/>
        </w:rPr>
        <w:t> </w:t>
      </w:r>
      <w:r>
        <w:rPr>
          <w:spacing w:val="-2"/>
        </w:rPr>
        <w:t>protection</w:t>
      </w:r>
      <w:r>
        <w:rPr>
          <w:spacing w:val="-6"/>
        </w:rPr>
        <w:t> </w:t>
      </w:r>
      <w:r>
        <w:rPr>
          <w:spacing w:val="-2"/>
        </w:rPr>
        <w:t>for</w:t>
      </w:r>
      <w:r>
        <w:rPr>
          <w:spacing w:val="-6"/>
        </w:rPr>
        <w:t> </w:t>
      </w:r>
      <w:r>
        <w:rPr>
          <w:spacing w:val="-2"/>
        </w:rPr>
        <w:t>the</w:t>
      </w:r>
      <w:r>
        <w:rPr>
          <w:spacing w:val="-6"/>
        </w:rPr>
        <w:t> </w:t>
      </w:r>
      <w:r>
        <w:rPr>
          <w:spacing w:val="-2"/>
        </w:rPr>
        <w:t>technology</w:t>
      </w:r>
      <w:r>
        <w:rPr>
          <w:spacing w:val="-6"/>
        </w:rPr>
        <w:t> </w:t>
      </w:r>
      <w:r>
        <w:rPr>
          <w:spacing w:val="-2"/>
        </w:rPr>
        <w:t>described </w:t>
      </w:r>
      <w:r>
        <w:rPr/>
        <w:t>in our pending patent, or if the patent</w:t>
      </w:r>
      <w:r>
        <w:rPr>
          <w:spacing w:val="-1"/>
        </w:rPr>
        <w:t> </w:t>
      </w:r>
      <w:r>
        <w:rPr/>
        <w:t>is not</w:t>
      </w:r>
      <w:r>
        <w:rPr>
          <w:spacing w:val="-1"/>
        </w:rPr>
        <w:t> </w:t>
      </w:r>
      <w:r>
        <w:rPr/>
        <w:t>obtained timely, this could result</w:t>
      </w:r>
      <w:r>
        <w:rPr>
          <w:spacing w:val="-1"/>
        </w:rPr>
        <w:t> </w:t>
      </w:r>
      <w:r>
        <w:rPr/>
        <w:t>in revenue</w:t>
      </w:r>
      <w:r>
        <w:rPr>
          <w:spacing w:val="-1"/>
        </w:rPr>
        <w:t> </w:t>
      </w:r>
      <w:r>
        <w:rPr/>
        <w:t>loss,</w:t>
      </w:r>
      <w:r>
        <w:rPr>
          <w:spacing w:val="-1"/>
        </w:rPr>
        <w:t> </w:t>
      </w:r>
      <w:r>
        <w:rPr/>
        <w:t>adverse effects on operations, and harm</w:t>
      </w:r>
      <w:r>
        <w:rPr>
          <w:spacing w:val="-1"/>
        </w:rPr>
        <w:t> </w:t>
      </w:r>
      <w:r>
        <w:rPr/>
        <w:t>to</w:t>
      </w:r>
      <w:r>
        <w:rPr>
          <w:spacing w:val="-1"/>
        </w:rPr>
        <w:t> </w:t>
      </w:r>
      <w:r>
        <w:rPr/>
        <w:t>our</w:t>
      </w:r>
      <w:r>
        <w:rPr>
          <w:spacing w:val="-1"/>
        </w:rPr>
        <w:t> </w:t>
      </w:r>
      <w:r>
        <w:rPr/>
        <w:t>business.</w:t>
      </w:r>
      <w:r>
        <w:rPr>
          <w:spacing w:val="80"/>
        </w:rPr>
        <w:t> </w:t>
      </w:r>
      <w:r>
        <w:rPr/>
        <w:t>We</w:t>
      </w:r>
      <w:r>
        <w:rPr>
          <w:spacing w:val="-1"/>
        </w:rPr>
        <w:t> </w:t>
      </w:r>
      <w:r>
        <w:rPr/>
        <w:t>offer</w:t>
      </w:r>
      <w:r>
        <w:rPr>
          <w:spacing w:val="-1"/>
        </w:rPr>
        <w:t> </w:t>
      </w:r>
      <w:r>
        <w:rPr/>
        <w:t>our</w:t>
      </w:r>
      <w:r>
        <w:rPr>
          <w:spacing w:val="-1"/>
        </w:rPr>
        <w:t> </w:t>
      </w:r>
      <w:r>
        <w:rPr/>
        <w:t>products</w:t>
      </w:r>
      <w:r>
        <w:rPr>
          <w:spacing w:val="-1"/>
        </w:rPr>
        <w:t> </w:t>
      </w:r>
      <w:r>
        <w:rPr/>
        <w:t>and</w:t>
      </w:r>
      <w:r>
        <w:rPr>
          <w:spacing w:val="-1"/>
        </w:rPr>
        <w:t> </w:t>
      </w:r>
      <w:r>
        <w:rPr/>
        <w:t>services</w:t>
      </w:r>
      <w:r>
        <w:rPr>
          <w:spacing w:val="-1"/>
        </w:rPr>
        <w:t> </w:t>
      </w:r>
      <w:r>
        <w:rPr/>
        <w:t>in</w:t>
      </w:r>
      <w:r>
        <w:rPr>
          <w:spacing w:val="-1"/>
        </w:rPr>
        <w:t> </w:t>
      </w:r>
      <w:r>
        <w:rPr/>
        <w:t>foreign</w:t>
      </w:r>
      <w:r>
        <w:rPr>
          <w:spacing w:val="-1"/>
        </w:rPr>
        <w:t> </w:t>
      </w:r>
      <w:r>
        <w:rPr/>
        <w:t>countries</w:t>
      </w:r>
      <w:r>
        <w:rPr>
          <w:spacing w:val="-1"/>
        </w:rPr>
        <w:t> </w:t>
      </w:r>
      <w:r>
        <w:rPr/>
        <w:t>and</w:t>
      </w:r>
      <w:r>
        <w:rPr>
          <w:spacing w:val="-1"/>
        </w:rPr>
        <w:t> </w:t>
      </w:r>
      <w:r>
        <w:rPr/>
        <w:t>we</w:t>
      </w:r>
      <w:r>
        <w:rPr>
          <w:spacing w:val="-1"/>
        </w:rPr>
        <w:t> </w:t>
      </w:r>
      <w:r>
        <w:rPr/>
        <w:t>may</w:t>
      </w:r>
      <w:r>
        <w:rPr>
          <w:spacing w:val="-1"/>
        </w:rPr>
        <w:t> </w:t>
      </w:r>
      <w:r>
        <w:rPr/>
        <w:t>seek</w:t>
      </w:r>
      <w:r>
        <w:rPr>
          <w:spacing w:val="-1"/>
        </w:rPr>
        <w:t> </w:t>
      </w:r>
      <w:r>
        <w:rPr/>
        <w:t>intellectual</w:t>
      </w:r>
      <w:r>
        <w:rPr>
          <w:spacing w:val="-1"/>
        </w:rPr>
        <w:t> </w:t>
      </w:r>
      <w:r>
        <w:rPr/>
        <w:t>property</w:t>
      </w:r>
      <w:r>
        <w:rPr>
          <w:spacing w:val="-1"/>
        </w:rPr>
        <w:t> </w:t>
      </w:r>
      <w:r>
        <w:rPr/>
        <w:t>protection </w:t>
      </w:r>
      <w:r>
        <w:rPr>
          <w:spacing w:val="-2"/>
        </w:rPr>
        <w:t>from</w:t>
      </w:r>
      <w:r>
        <w:rPr>
          <w:spacing w:val="-7"/>
        </w:rPr>
        <w:t> </w:t>
      </w:r>
      <w:r>
        <w:rPr>
          <w:spacing w:val="-2"/>
        </w:rPr>
        <w:t>those</w:t>
      </w:r>
      <w:r>
        <w:rPr>
          <w:spacing w:val="-7"/>
        </w:rPr>
        <w:t> </w:t>
      </w:r>
      <w:r>
        <w:rPr>
          <w:spacing w:val="-2"/>
        </w:rPr>
        <w:t>foreign</w:t>
      </w:r>
      <w:r>
        <w:rPr>
          <w:spacing w:val="-7"/>
        </w:rPr>
        <w:t> </w:t>
      </w:r>
      <w:r>
        <w:rPr>
          <w:spacing w:val="-2"/>
        </w:rPr>
        <w:t>legal</w:t>
      </w:r>
      <w:r>
        <w:rPr>
          <w:spacing w:val="-7"/>
        </w:rPr>
        <w:t> </w:t>
      </w:r>
      <w:r>
        <w:rPr>
          <w:spacing w:val="-2"/>
        </w:rPr>
        <w:t>systems.</w:t>
      </w:r>
      <w:r>
        <w:rPr>
          <w:spacing w:val="38"/>
        </w:rPr>
        <w:t> </w:t>
      </w:r>
      <w:r>
        <w:rPr>
          <w:spacing w:val="-2"/>
        </w:rPr>
        <w:t>Some</w:t>
      </w:r>
      <w:r>
        <w:rPr>
          <w:spacing w:val="-7"/>
        </w:rPr>
        <w:t> </w:t>
      </w:r>
      <w:r>
        <w:rPr>
          <w:spacing w:val="-2"/>
        </w:rPr>
        <w:t>of</w:t>
      </w:r>
      <w:r>
        <w:rPr>
          <w:spacing w:val="-7"/>
        </w:rPr>
        <w:t> </w:t>
      </w:r>
      <w:r>
        <w:rPr>
          <w:spacing w:val="-2"/>
        </w:rPr>
        <w:t>those</w:t>
      </w:r>
      <w:r>
        <w:rPr>
          <w:spacing w:val="-7"/>
        </w:rPr>
        <w:t> </w:t>
      </w:r>
      <w:r>
        <w:rPr>
          <w:spacing w:val="-2"/>
        </w:rPr>
        <w:t>foreign</w:t>
      </w:r>
      <w:r>
        <w:rPr>
          <w:spacing w:val="-7"/>
        </w:rPr>
        <w:t> </w:t>
      </w:r>
      <w:r>
        <w:rPr>
          <w:spacing w:val="-2"/>
        </w:rPr>
        <w:t>countries</w:t>
      </w:r>
      <w:r>
        <w:rPr>
          <w:spacing w:val="-7"/>
        </w:rPr>
        <w:t> </w:t>
      </w:r>
      <w:r>
        <w:rPr>
          <w:spacing w:val="-2"/>
        </w:rPr>
        <w:t>may</w:t>
      </w:r>
      <w:r>
        <w:rPr>
          <w:spacing w:val="-7"/>
        </w:rPr>
        <w:t> </w:t>
      </w:r>
      <w:r>
        <w:rPr>
          <w:spacing w:val="-2"/>
        </w:rPr>
        <w:t>not</w:t>
      </w:r>
      <w:r>
        <w:rPr>
          <w:spacing w:val="-7"/>
        </w:rPr>
        <w:t> </w:t>
      </w:r>
      <w:r>
        <w:rPr>
          <w:spacing w:val="-2"/>
        </w:rPr>
        <w:t>have</w:t>
      </w:r>
      <w:r>
        <w:rPr>
          <w:spacing w:val="-7"/>
        </w:rPr>
        <w:t> </w:t>
      </w:r>
      <w:r>
        <w:rPr>
          <w:spacing w:val="-2"/>
        </w:rPr>
        <w:t>as</w:t>
      </w:r>
      <w:r>
        <w:rPr>
          <w:spacing w:val="-7"/>
        </w:rPr>
        <w:t> </w:t>
      </w:r>
      <w:r>
        <w:rPr>
          <w:spacing w:val="-2"/>
        </w:rPr>
        <w:t>robust</w:t>
      </w:r>
      <w:r>
        <w:rPr>
          <w:spacing w:val="-7"/>
        </w:rPr>
        <w:t> </w:t>
      </w:r>
      <w:r>
        <w:rPr>
          <w:spacing w:val="-2"/>
        </w:rPr>
        <w:t>or</w:t>
      </w:r>
      <w:r>
        <w:rPr>
          <w:spacing w:val="-7"/>
        </w:rPr>
        <w:t> </w:t>
      </w:r>
      <w:r>
        <w:rPr>
          <w:spacing w:val="-2"/>
        </w:rPr>
        <w:t>comprehensive</w:t>
      </w:r>
      <w:r>
        <w:rPr>
          <w:spacing w:val="-7"/>
        </w:rPr>
        <w:t> </w:t>
      </w:r>
      <w:r>
        <w:rPr>
          <w:spacing w:val="-2"/>
        </w:rPr>
        <w:t>of</w:t>
      </w:r>
      <w:r>
        <w:rPr>
          <w:spacing w:val="-7"/>
        </w:rPr>
        <w:t> </w:t>
      </w:r>
      <w:r>
        <w:rPr>
          <w:spacing w:val="-2"/>
        </w:rPr>
        <w:t>intellectual</w:t>
      </w:r>
      <w:r>
        <w:rPr>
          <w:spacing w:val="-7"/>
        </w:rPr>
        <w:t> </w:t>
      </w:r>
      <w:r>
        <w:rPr>
          <w:spacing w:val="-2"/>
        </w:rPr>
        <w:t>property protection</w:t>
      </w:r>
      <w:r>
        <w:rPr>
          <w:spacing w:val="-7"/>
        </w:rPr>
        <w:t> </w:t>
      </w:r>
      <w:r>
        <w:rPr>
          <w:spacing w:val="-2"/>
        </w:rPr>
        <w:t>laws</w:t>
      </w:r>
      <w:r>
        <w:rPr>
          <w:spacing w:val="-7"/>
        </w:rPr>
        <w:t> </w:t>
      </w:r>
      <w:r>
        <w:rPr>
          <w:spacing w:val="-2"/>
        </w:rPr>
        <w:t>and</w:t>
      </w:r>
      <w:r>
        <w:rPr>
          <w:spacing w:val="-7"/>
        </w:rPr>
        <w:t> </w:t>
      </w:r>
      <w:r>
        <w:rPr>
          <w:spacing w:val="-2"/>
        </w:rPr>
        <w:t>schemes</w:t>
      </w:r>
      <w:r>
        <w:rPr>
          <w:spacing w:val="-6"/>
        </w:rPr>
        <w:t> </w:t>
      </w:r>
      <w:r>
        <w:rPr>
          <w:spacing w:val="-2"/>
        </w:rPr>
        <w:t>as</w:t>
      </w:r>
      <w:r>
        <w:rPr>
          <w:spacing w:val="-7"/>
        </w:rPr>
        <w:t> </w:t>
      </w:r>
      <w:r>
        <w:rPr>
          <w:spacing w:val="-2"/>
        </w:rPr>
        <w:t>those</w:t>
      </w:r>
      <w:r>
        <w:rPr>
          <w:spacing w:val="-7"/>
        </w:rPr>
        <w:t> </w:t>
      </w:r>
      <w:r>
        <w:rPr>
          <w:spacing w:val="-2"/>
        </w:rPr>
        <w:t>offered</w:t>
      </w:r>
      <w:r>
        <w:rPr>
          <w:spacing w:val="-7"/>
        </w:rPr>
        <w:t> </w:t>
      </w:r>
      <w:r>
        <w:rPr>
          <w:spacing w:val="-2"/>
        </w:rPr>
        <w:t>in</w:t>
      </w:r>
      <w:r>
        <w:rPr>
          <w:spacing w:val="-7"/>
        </w:rPr>
        <w:t> </w:t>
      </w:r>
      <w:r>
        <w:rPr>
          <w:spacing w:val="-2"/>
        </w:rPr>
        <w:t>the</w:t>
      </w:r>
      <w:r>
        <w:rPr>
          <w:spacing w:val="-7"/>
        </w:rPr>
        <w:t> </w:t>
      </w:r>
      <w:r>
        <w:rPr>
          <w:spacing w:val="-2"/>
        </w:rPr>
        <w:t>U.S.</w:t>
      </w:r>
      <w:r>
        <w:rPr>
          <w:spacing w:val="38"/>
        </w:rPr>
        <w:t> </w:t>
      </w:r>
      <w:r>
        <w:rPr>
          <w:spacing w:val="-2"/>
        </w:rPr>
        <w:t>In</w:t>
      </w:r>
      <w:r>
        <w:rPr>
          <w:spacing w:val="-7"/>
        </w:rPr>
        <w:t> </w:t>
      </w:r>
      <w:r>
        <w:rPr>
          <w:spacing w:val="-2"/>
        </w:rPr>
        <w:t>some</w:t>
      </w:r>
      <w:r>
        <w:rPr>
          <w:spacing w:val="-7"/>
        </w:rPr>
        <w:t> </w:t>
      </w:r>
      <w:r>
        <w:rPr>
          <w:spacing w:val="-2"/>
        </w:rPr>
        <w:t>foreign</w:t>
      </w:r>
      <w:r>
        <w:rPr>
          <w:spacing w:val="-7"/>
        </w:rPr>
        <w:t> </w:t>
      </w:r>
      <w:r>
        <w:rPr>
          <w:spacing w:val="-2"/>
        </w:rPr>
        <w:t>countries,</w:t>
      </w:r>
      <w:r>
        <w:rPr>
          <w:spacing w:val="-7"/>
        </w:rPr>
        <w:t> </w:t>
      </w:r>
      <w:r>
        <w:rPr>
          <w:spacing w:val="-2"/>
        </w:rPr>
        <w:t>the</w:t>
      </w:r>
      <w:r>
        <w:rPr>
          <w:spacing w:val="-7"/>
        </w:rPr>
        <w:t> </w:t>
      </w:r>
      <w:r>
        <w:rPr>
          <w:spacing w:val="-2"/>
        </w:rPr>
        <w:t>mechanisms</w:t>
      </w:r>
      <w:r>
        <w:rPr>
          <w:spacing w:val="-6"/>
        </w:rPr>
        <w:t> </w:t>
      </w:r>
      <w:r>
        <w:rPr>
          <w:spacing w:val="-2"/>
        </w:rPr>
        <w:t>to</w:t>
      </w:r>
      <w:r>
        <w:rPr>
          <w:spacing w:val="-7"/>
        </w:rPr>
        <w:t> </w:t>
      </w:r>
      <w:r>
        <w:rPr>
          <w:spacing w:val="-2"/>
        </w:rPr>
        <w:t>enforce</w:t>
      </w:r>
      <w:r>
        <w:rPr>
          <w:spacing w:val="-7"/>
        </w:rPr>
        <w:t> </w:t>
      </w:r>
      <w:r>
        <w:rPr>
          <w:spacing w:val="-2"/>
        </w:rPr>
        <w:t>intellectual</w:t>
      </w:r>
      <w:r>
        <w:rPr>
          <w:spacing w:val="-7"/>
        </w:rPr>
        <w:t> </w:t>
      </w:r>
      <w:r>
        <w:rPr>
          <w:spacing w:val="-2"/>
        </w:rPr>
        <w:t>property </w:t>
      </w:r>
      <w:r>
        <w:rPr/>
        <w:t>rights may be inadequate to protect our technology, which could harm our business.</w:t>
      </w:r>
    </w:p>
    <w:p>
      <w:pPr>
        <w:pStyle w:val="BodyText"/>
        <w:spacing w:line="249" w:lineRule="auto" w:before="189"/>
        <w:ind w:left="210" w:right="247" w:firstLine="540"/>
        <w:jc w:val="both"/>
      </w:pPr>
      <w:r>
        <w:rPr>
          <w:spacing w:val="-2"/>
        </w:rPr>
        <w:t>If</w:t>
      </w:r>
      <w:r>
        <w:rPr>
          <w:spacing w:val="-6"/>
        </w:rPr>
        <w:t> </w:t>
      </w:r>
      <w:r>
        <w:rPr>
          <w:spacing w:val="-2"/>
        </w:rPr>
        <w:t>unauthorized</w:t>
      </w:r>
      <w:r>
        <w:rPr>
          <w:spacing w:val="-6"/>
        </w:rPr>
        <w:t> </w:t>
      </w:r>
      <w:r>
        <w:rPr>
          <w:spacing w:val="-2"/>
        </w:rPr>
        <w:t>disclosure</w:t>
      </w:r>
      <w:r>
        <w:rPr>
          <w:spacing w:val="-6"/>
        </w:rPr>
        <w:t> </w:t>
      </w:r>
      <w:r>
        <w:rPr>
          <w:spacing w:val="-2"/>
        </w:rPr>
        <w:t>of</w:t>
      </w:r>
      <w:r>
        <w:rPr>
          <w:spacing w:val="-6"/>
        </w:rPr>
        <w:t> </w:t>
      </w:r>
      <w:r>
        <w:rPr>
          <w:spacing w:val="-2"/>
        </w:rPr>
        <w:t>our</w:t>
      </w:r>
      <w:r>
        <w:rPr>
          <w:spacing w:val="-6"/>
        </w:rPr>
        <w:t> </w:t>
      </w:r>
      <w:r>
        <w:rPr>
          <w:spacing w:val="-2"/>
        </w:rPr>
        <w:t>source</w:t>
      </w:r>
      <w:r>
        <w:rPr>
          <w:spacing w:val="-6"/>
        </w:rPr>
        <w:t> </w:t>
      </w:r>
      <w:r>
        <w:rPr>
          <w:spacing w:val="-2"/>
        </w:rPr>
        <w:t>code</w:t>
      </w:r>
      <w:r>
        <w:rPr>
          <w:spacing w:val="-6"/>
        </w:rPr>
        <w:t> </w:t>
      </w:r>
      <w:r>
        <w:rPr>
          <w:spacing w:val="-2"/>
        </w:rPr>
        <w:t>occurs</w:t>
      </w:r>
      <w:r>
        <w:rPr>
          <w:spacing w:val="-6"/>
        </w:rPr>
        <w:t> </w:t>
      </w:r>
      <w:r>
        <w:rPr>
          <w:spacing w:val="-2"/>
        </w:rPr>
        <w:t>through</w:t>
      </w:r>
      <w:r>
        <w:rPr>
          <w:spacing w:val="-6"/>
        </w:rPr>
        <w:t> </w:t>
      </w:r>
      <w:r>
        <w:rPr>
          <w:spacing w:val="-2"/>
        </w:rPr>
        <w:t>security</w:t>
      </w:r>
      <w:r>
        <w:rPr>
          <w:spacing w:val="-6"/>
        </w:rPr>
        <w:t> </w:t>
      </w:r>
      <w:r>
        <w:rPr>
          <w:spacing w:val="-2"/>
        </w:rPr>
        <w:t>breach,</w:t>
      </w:r>
      <w:r>
        <w:rPr>
          <w:spacing w:val="-6"/>
        </w:rPr>
        <w:t> </w:t>
      </w:r>
      <w:r>
        <w:rPr>
          <w:spacing w:val="-2"/>
        </w:rPr>
        <w:t>cyber-attack</w:t>
      </w:r>
      <w:r>
        <w:rPr>
          <w:spacing w:val="-6"/>
        </w:rPr>
        <w:t> </w:t>
      </w:r>
      <w:r>
        <w:rPr>
          <w:spacing w:val="-2"/>
        </w:rPr>
        <w:t>or</w:t>
      </w:r>
      <w:r>
        <w:rPr>
          <w:spacing w:val="-6"/>
        </w:rPr>
        <w:t> </w:t>
      </w:r>
      <w:r>
        <w:rPr>
          <w:spacing w:val="-2"/>
        </w:rPr>
        <w:t>otherwise,</w:t>
      </w:r>
      <w:r>
        <w:rPr>
          <w:spacing w:val="-6"/>
        </w:rPr>
        <w:t> </w:t>
      </w:r>
      <w:r>
        <w:rPr>
          <w:spacing w:val="-2"/>
        </w:rPr>
        <w:t>we</w:t>
      </w:r>
      <w:r>
        <w:rPr>
          <w:spacing w:val="-6"/>
        </w:rPr>
        <w:t> </w:t>
      </w:r>
      <w:r>
        <w:rPr>
          <w:spacing w:val="-2"/>
        </w:rPr>
        <w:t>could</w:t>
      </w:r>
      <w:r>
        <w:rPr>
          <w:spacing w:val="-6"/>
        </w:rPr>
        <w:t> </w:t>
      </w:r>
      <w:r>
        <w:rPr>
          <w:spacing w:val="-2"/>
        </w:rPr>
        <w:t>lose</w:t>
      </w:r>
      <w:r>
        <w:rPr>
          <w:spacing w:val="-6"/>
        </w:rPr>
        <w:t> </w:t>
      </w:r>
      <w:r>
        <w:rPr>
          <w:spacing w:val="-2"/>
        </w:rPr>
        <w:t>future trade</w:t>
      </w:r>
      <w:r>
        <w:rPr>
          <w:spacing w:val="-10"/>
        </w:rPr>
        <w:t> </w:t>
      </w:r>
      <w:r>
        <w:rPr>
          <w:spacing w:val="-2"/>
        </w:rPr>
        <w:t>secret</w:t>
      </w:r>
      <w:r>
        <w:rPr>
          <w:spacing w:val="-9"/>
        </w:rPr>
        <w:t> </w:t>
      </w:r>
      <w:r>
        <w:rPr>
          <w:spacing w:val="-2"/>
        </w:rPr>
        <w:t>protection</w:t>
      </w:r>
      <w:r>
        <w:rPr>
          <w:spacing w:val="-8"/>
        </w:rPr>
        <w:t> </w:t>
      </w:r>
      <w:r>
        <w:rPr>
          <w:spacing w:val="-2"/>
        </w:rPr>
        <w:t>for</w:t>
      </w:r>
      <w:r>
        <w:rPr>
          <w:spacing w:val="-8"/>
        </w:rPr>
        <w:t> </w:t>
      </w:r>
      <w:r>
        <w:rPr>
          <w:spacing w:val="-2"/>
        </w:rPr>
        <w:t>that</w:t>
      </w:r>
      <w:r>
        <w:rPr>
          <w:spacing w:val="-8"/>
        </w:rPr>
        <w:t> </w:t>
      </w:r>
      <w:r>
        <w:rPr>
          <w:spacing w:val="-2"/>
        </w:rPr>
        <w:t>source</w:t>
      </w:r>
      <w:r>
        <w:rPr>
          <w:spacing w:val="-9"/>
        </w:rPr>
        <w:t> </w:t>
      </w:r>
      <w:r>
        <w:rPr>
          <w:spacing w:val="-2"/>
        </w:rPr>
        <w:t>code.</w:t>
      </w:r>
      <w:r>
        <w:rPr>
          <w:spacing w:val="-11"/>
        </w:rPr>
        <w:t> </w:t>
      </w:r>
      <w:r>
        <w:rPr>
          <w:spacing w:val="-2"/>
        </w:rPr>
        <w:t>The</w:t>
      </w:r>
      <w:r>
        <w:rPr>
          <w:spacing w:val="-8"/>
        </w:rPr>
        <w:t> </w:t>
      </w:r>
      <w:r>
        <w:rPr>
          <w:spacing w:val="-2"/>
        </w:rPr>
        <w:t>loss</w:t>
      </w:r>
      <w:r>
        <w:rPr>
          <w:spacing w:val="-8"/>
        </w:rPr>
        <w:t> </w:t>
      </w:r>
      <w:r>
        <w:rPr>
          <w:spacing w:val="-2"/>
        </w:rPr>
        <w:t>of</w:t>
      </w:r>
      <w:r>
        <w:rPr>
          <w:spacing w:val="-8"/>
        </w:rPr>
        <w:t> </w:t>
      </w:r>
      <w:r>
        <w:rPr>
          <w:spacing w:val="-2"/>
        </w:rPr>
        <w:t>future</w:t>
      </w:r>
      <w:r>
        <w:rPr>
          <w:spacing w:val="-9"/>
        </w:rPr>
        <w:t> </w:t>
      </w:r>
      <w:r>
        <w:rPr>
          <w:spacing w:val="-2"/>
        </w:rPr>
        <w:t>trade</w:t>
      </w:r>
      <w:r>
        <w:rPr>
          <w:spacing w:val="-9"/>
        </w:rPr>
        <w:t> </w:t>
      </w:r>
      <w:r>
        <w:rPr>
          <w:spacing w:val="-2"/>
        </w:rPr>
        <w:t>secret</w:t>
      </w:r>
      <w:r>
        <w:rPr>
          <w:spacing w:val="-9"/>
        </w:rPr>
        <w:t> </w:t>
      </w:r>
      <w:r>
        <w:rPr>
          <w:spacing w:val="-2"/>
        </w:rPr>
        <w:t>protection</w:t>
      </w:r>
      <w:r>
        <w:rPr>
          <w:spacing w:val="-9"/>
        </w:rPr>
        <w:t> </w:t>
      </w:r>
      <w:r>
        <w:rPr>
          <w:spacing w:val="-2"/>
        </w:rPr>
        <w:t>could</w:t>
      </w:r>
      <w:r>
        <w:rPr>
          <w:spacing w:val="-8"/>
        </w:rPr>
        <w:t> </w:t>
      </w:r>
      <w:r>
        <w:rPr>
          <w:spacing w:val="-2"/>
        </w:rPr>
        <w:t>make</w:t>
      </w:r>
      <w:r>
        <w:rPr>
          <w:spacing w:val="-8"/>
        </w:rPr>
        <w:t> </w:t>
      </w:r>
      <w:r>
        <w:rPr>
          <w:spacing w:val="-2"/>
        </w:rPr>
        <w:t>it</w:t>
      </w:r>
      <w:r>
        <w:rPr>
          <w:spacing w:val="-8"/>
        </w:rPr>
        <w:t> </w:t>
      </w:r>
      <w:r>
        <w:rPr>
          <w:spacing w:val="-2"/>
        </w:rPr>
        <w:t>easier</w:t>
      </w:r>
      <w:r>
        <w:rPr>
          <w:spacing w:val="-8"/>
        </w:rPr>
        <w:t> </w:t>
      </w:r>
      <w:r>
        <w:rPr>
          <w:spacing w:val="-2"/>
        </w:rPr>
        <w:t>for</w:t>
      </w:r>
      <w:r>
        <w:rPr>
          <w:spacing w:val="-8"/>
        </w:rPr>
        <w:t> </w:t>
      </w:r>
      <w:r>
        <w:rPr>
          <w:spacing w:val="-2"/>
        </w:rPr>
        <w:t>third</w:t>
      </w:r>
      <w:r>
        <w:rPr>
          <w:spacing w:val="-8"/>
        </w:rPr>
        <w:t> </w:t>
      </w:r>
      <w:r>
        <w:rPr>
          <w:spacing w:val="-2"/>
        </w:rPr>
        <w:t>parties</w:t>
      </w:r>
      <w:r>
        <w:rPr>
          <w:spacing w:val="-8"/>
        </w:rPr>
        <w:t> </w:t>
      </w:r>
      <w:r>
        <w:rPr>
          <w:spacing w:val="-2"/>
        </w:rPr>
        <w:t>to</w:t>
      </w:r>
      <w:r>
        <w:rPr>
          <w:spacing w:val="-8"/>
        </w:rPr>
        <w:t> </w:t>
      </w:r>
      <w:r>
        <w:rPr>
          <w:spacing w:val="-2"/>
        </w:rPr>
        <w:t>compete </w:t>
      </w:r>
      <w:r>
        <w:rPr/>
        <w:t>with our products by copying functionality, which could cause us to lose customers and could adversely affect our revenue and operating</w:t>
      </w:r>
      <w:r>
        <w:rPr>
          <w:spacing w:val="24"/>
        </w:rPr>
        <w:t> </w:t>
      </w:r>
      <w:r>
        <w:rPr/>
        <w:t>margins.</w:t>
      </w:r>
      <w:r>
        <w:rPr>
          <w:spacing w:val="18"/>
        </w:rPr>
        <w:t> </w:t>
      </w:r>
      <w:r>
        <w:rPr/>
        <w:t>We</w:t>
      </w:r>
      <w:r>
        <w:rPr>
          <w:spacing w:val="25"/>
        </w:rPr>
        <w:t> </w:t>
      </w:r>
      <w:r>
        <w:rPr/>
        <w:t>also</w:t>
      </w:r>
      <w:r>
        <w:rPr>
          <w:spacing w:val="24"/>
        </w:rPr>
        <w:t> </w:t>
      </w:r>
      <w:r>
        <w:rPr/>
        <w:t>seek</w:t>
      </w:r>
      <w:r>
        <w:rPr>
          <w:spacing w:val="25"/>
        </w:rPr>
        <w:t> </w:t>
      </w:r>
      <w:r>
        <w:rPr/>
        <w:t>to</w:t>
      </w:r>
      <w:r>
        <w:rPr>
          <w:spacing w:val="24"/>
        </w:rPr>
        <w:t> </w:t>
      </w:r>
      <w:r>
        <w:rPr/>
        <w:t>protect</w:t>
      </w:r>
      <w:r>
        <w:rPr>
          <w:spacing w:val="23"/>
        </w:rPr>
        <w:t> </w:t>
      </w:r>
      <w:r>
        <w:rPr/>
        <w:t>our</w:t>
      </w:r>
      <w:r>
        <w:rPr>
          <w:spacing w:val="25"/>
        </w:rPr>
        <w:t> </w:t>
      </w:r>
      <w:r>
        <w:rPr/>
        <w:t>confidential</w:t>
      </w:r>
      <w:r>
        <w:rPr>
          <w:spacing w:val="23"/>
        </w:rPr>
        <w:t> </w:t>
      </w:r>
      <w:r>
        <w:rPr/>
        <w:t>information</w:t>
      </w:r>
      <w:r>
        <w:rPr>
          <w:spacing w:val="24"/>
        </w:rPr>
        <w:t> </w:t>
      </w:r>
      <w:r>
        <w:rPr/>
        <w:t>and</w:t>
      </w:r>
      <w:r>
        <w:rPr>
          <w:spacing w:val="24"/>
        </w:rPr>
        <w:t> </w:t>
      </w:r>
      <w:r>
        <w:rPr/>
        <w:t>trade</w:t>
      </w:r>
      <w:r>
        <w:rPr>
          <w:spacing w:val="24"/>
        </w:rPr>
        <w:t> </w:t>
      </w:r>
      <w:r>
        <w:rPr/>
        <w:t>secrets</w:t>
      </w:r>
      <w:r>
        <w:rPr>
          <w:spacing w:val="24"/>
        </w:rPr>
        <w:t> </w:t>
      </w:r>
      <w:r>
        <w:rPr/>
        <w:t>through</w:t>
      </w:r>
      <w:r>
        <w:rPr>
          <w:spacing w:val="24"/>
        </w:rPr>
        <w:t> </w:t>
      </w:r>
      <w:r>
        <w:rPr/>
        <w:t>the</w:t>
      </w:r>
      <w:r>
        <w:rPr>
          <w:spacing w:val="25"/>
        </w:rPr>
        <w:t> </w:t>
      </w:r>
      <w:r>
        <w:rPr/>
        <w:t>use</w:t>
      </w:r>
      <w:r>
        <w:rPr>
          <w:spacing w:val="24"/>
        </w:rPr>
        <w:t> </w:t>
      </w:r>
      <w:r>
        <w:rPr/>
        <w:t>of</w:t>
      </w:r>
      <w:r>
        <w:rPr>
          <w:spacing w:val="25"/>
        </w:rPr>
        <w:t> </w:t>
      </w:r>
      <w:r>
        <w:rPr/>
        <w:t>non-</w:t>
      </w:r>
      <w:r>
        <w:rPr>
          <w:spacing w:val="-2"/>
        </w:rPr>
        <w:t>disclosure</w:t>
      </w:r>
    </w:p>
    <w:p>
      <w:pPr>
        <w:spacing w:after="0" w:line="249" w:lineRule="auto"/>
        <w:jc w:val="both"/>
        <w:sectPr>
          <w:pgSz w:w="12240" w:h="15840"/>
          <w:pgMar w:header="210" w:footer="579" w:top="420" w:bottom="800" w:left="780" w:right="740"/>
        </w:sectPr>
      </w:pPr>
    </w:p>
    <w:p>
      <w:pPr>
        <w:pStyle w:val="BodyText"/>
        <w:spacing w:before="150"/>
      </w:pPr>
    </w:p>
    <w:p>
      <w:pPr>
        <w:pStyle w:val="BodyText"/>
        <w:spacing w:line="249" w:lineRule="auto"/>
        <w:ind w:left="210" w:right="247"/>
        <w:jc w:val="both"/>
      </w:pPr>
      <w:r>
        <w:rPr/>
        <w:t>agreements</w:t>
      </w:r>
      <w:r>
        <w:rPr>
          <w:spacing w:val="-3"/>
        </w:rPr>
        <w:t> </w:t>
      </w:r>
      <w:r>
        <w:rPr/>
        <w:t>with</w:t>
      </w:r>
      <w:r>
        <w:rPr>
          <w:spacing w:val="-3"/>
        </w:rPr>
        <w:t> </w:t>
      </w:r>
      <w:r>
        <w:rPr/>
        <w:t>our</w:t>
      </w:r>
      <w:r>
        <w:rPr>
          <w:spacing w:val="-3"/>
        </w:rPr>
        <w:t> </w:t>
      </w:r>
      <w:r>
        <w:rPr/>
        <w:t>customers,</w:t>
      </w:r>
      <w:r>
        <w:rPr>
          <w:spacing w:val="-3"/>
        </w:rPr>
        <w:t> </w:t>
      </w:r>
      <w:r>
        <w:rPr/>
        <w:t>contractors,</w:t>
      </w:r>
      <w:r>
        <w:rPr>
          <w:spacing w:val="-3"/>
        </w:rPr>
        <w:t> </w:t>
      </w:r>
      <w:r>
        <w:rPr/>
        <w:t>vendors</w:t>
      </w:r>
      <w:r>
        <w:rPr>
          <w:spacing w:val="-3"/>
        </w:rPr>
        <w:t> </w:t>
      </w:r>
      <w:r>
        <w:rPr/>
        <w:t>and</w:t>
      </w:r>
      <w:r>
        <w:rPr>
          <w:spacing w:val="-3"/>
        </w:rPr>
        <w:t> </w:t>
      </w:r>
      <w:r>
        <w:rPr/>
        <w:t>partners.</w:t>
      </w:r>
      <w:r>
        <w:rPr>
          <w:spacing w:val="-3"/>
        </w:rPr>
        <w:t> </w:t>
      </w:r>
      <w:r>
        <w:rPr/>
        <w:t>However,</w:t>
      </w:r>
      <w:r>
        <w:rPr>
          <w:spacing w:val="-3"/>
        </w:rPr>
        <w:t> </w:t>
      </w:r>
      <w:r>
        <w:rPr/>
        <w:t>there</w:t>
      </w:r>
      <w:r>
        <w:rPr>
          <w:spacing w:val="-3"/>
        </w:rPr>
        <w:t> </w:t>
      </w:r>
      <w:r>
        <w:rPr/>
        <w:t>is</w:t>
      </w:r>
      <w:r>
        <w:rPr>
          <w:spacing w:val="-3"/>
        </w:rPr>
        <w:t> </w:t>
      </w:r>
      <w:r>
        <w:rPr/>
        <w:t>a</w:t>
      </w:r>
      <w:r>
        <w:rPr>
          <w:spacing w:val="-3"/>
        </w:rPr>
        <w:t> </w:t>
      </w:r>
      <w:r>
        <w:rPr/>
        <w:t>risk</w:t>
      </w:r>
      <w:r>
        <w:rPr>
          <w:spacing w:val="-3"/>
        </w:rPr>
        <w:t> </w:t>
      </w:r>
      <w:r>
        <w:rPr/>
        <w:t>that</w:t>
      </w:r>
      <w:r>
        <w:rPr>
          <w:spacing w:val="-3"/>
        </w:rPr>
        <w:t> </w:t>
      </w:r>
      <w:r>
        <w:rPr/>
        <w:t>our</w:t>
      </w:r>
      <w:r>
        <w:rPr>
          <w:spacing w:val="-3"/>
        </w:rPr>
        <w:t> </w:t>
      </w:r>
      <w:r>
        <w:rPr/>
        <w:t>confidential</w:t>
      </w:r>
      <w:r>
        <w:rPr>
          <w:spacing w:val="-3"/>
        </w:rPr>
        <w:t> </w:t>
      </w:r>
      <w:r>
        <w:rPr/>
        <w:t>information</w:t>
      </w:r>
      <w:r>
        <w:rPr>
          <w:spacing w:val="-3"/>
        </w:rPr>
        <w:t> </w:t>
      </w:r>
      <w:r>
        <w:rPr/>
        <w:t>and trade</w:t>
      </w:r>
      <w:r>
        <w:rPr>
          <w:spacing w:val="-12"/>
        </w:rPr>
        <w:t> </w:t>
      </w:r>
      <w:r>
        <w:rPr/>
        <w:t>secrets</w:t>
      </w:r>
      <w:r>
        <w:rPr>
          <w:spacing w:val="-11"/>
        </w:rPr>
        <w:t> </w:t>
      </w:r>
      <w:r>
        <w:rPr/>
        <w:t>may</w:t>
      </w:r>
      <w:r>
        <w:rPr>
          <w:spacing w:val="-11"/>
        </w:rPr>
        <w:t> </w:t>
      </w:r>
      <w:r>
        <w:rPr/>
        <w:t>be</w:t>
      </w:r>
      <w:r>
        <w:rPr>
          <w:spacing w:val="-12"/>
        </w:rPr>
        <w:t> </w:t>
      </w:r>
      <w:r>
        <w:rPr/>
        <w:t>disclosed</w:t>
      </w:r>
      <w:r>
        <w:rPr>
          <w:spacing w:val="-12"/>
        </w:rPr>
        <w:t> </w:t>
      </w:r>
      <w:r>
        <w:rPr/>
        <w:t>or</w:t>
      </w:r>
      <w:r>
        <w:rPr>
          <w:spacing w:val="-11"/>
        </w:rPr>
        <w:t> </w:t>
      </w:r>
      <w:r>
        <w:rPr/>
        <w:t>published</w:t>
      </w:r>
      <w:r>
        <w:rPr>
          <w:spacing w:val="-12"/>
        </w:rPr>
        <w:t> </w:t>
      </w:r>
      <w:r>
        <w:rPr/>
        <w:t>without</w:t>
      </w:r>
      <w:r>
        <w:rPr>
          <w:spacing w:val="-12"/>
        </w:rPr>
        <w:t> </w:t>
      </w:r>
      <w:r>
        <w:rPr/>
        <w:t>our</w:t>
      </w:r>
      <w:r>
        <w:rPr>
          <w:spacing w:val="-12"/>
        </w:rPr>
        <w:t> </w:t>
      </w:r>
      <w:r>
        <w:rPr/>
        <w:t>authorization,</w:t>
      </w:r>
      <w:r>
        <w:rPr>
          <w:spacing w:val="-11"/>
        </w:rPr>
        <w:t> </w:t>
      </w:r>
      <w:r>
        <w:rPr/>
        <w:t>and</w:t>
      </w:r>
      <w:r>
        <w:rPr>
          <w:spacing w:val="-12"/>
        </w:rPr>
        <w:t> </w:t>
      </w:r>
      <w:r>
        <w:rPr/>
        <w:t>in</w:t>
      </w:r>
      <w:r>
        <w:rPr>
          <w:spacing w:val="-12"/>
        </w:rPr>
        <w:t> </w:t>
      </w:r>
      <w:r>
        <w:rPr/>
        <w:t>these</w:t>
      </w:r>
      <w:r>
        <w:rPr>
          <w:spacing w:val="-12"/>
        </w:rPr>
        <w:t> </w:t>
      </w:r>
      <w:r>
        <w:rPr/>
        <w:t>situations,</w:t>
      </w:r>
      <w:r>
        <w:rPr>
          <w:spacing w:val="-12"/>
        </w:rPr>
        <w:t> </w:t>
      </w:r>
      <w:r>
        <w:rPr/>
        <w:t>enforcing</w:t>
      </w:r>
      <w:r>
        <w:rPr>
          <w:spacing w:val="-12"/>
        </w:rPr>
        <w:t> </w:t>
      </w:r>
      <w:r>
        <w:rPr/>
        <w:t>our</w:t>
      </w:r>
      <w:r>
        <w:rPr>
          <w:spacing w:val="-11"/>
        </w:rPr>
        <w:t> </w:t>
      </w:r>
      <w:r>
        <w:rPr/>
        <w:t>rights</w:t>
      </w:r>
      <w:r>
        <w:rPr>
          <w:spacing w:val="-11"/>
        </w:rPr>
        <w:t> </w:t>
      </w:r>
      <w:r>
        <w:rPr/>
        <w:t>may</w:t>
      </w:r>
      <w:r>
        <w:rPr>
          <w:spacing w:val="-12"/>
        </w:rPr>
        <w:t> </w:t>
      </w:r>
      <w:r>
        <w:rPr/>
        <w:t>be</w:t>
      </w:r>
      <w:r>
        <w:rPr>
          <w:spacing w:val="-11"/>
        </w:rPr>
        <w:t> </w:t>
      </w:r>
      <w:r>
        <w:rPr/>
        <w:t>difficult or costly.</w:t>
      </w:r>
    </w:p>
    <w:p>
      <w:pPr>
        <w:pStyle w:val="Heading3"/>
        <w:spacing w:before="182"/>
        <w:jc w:val="both"/>
      </w:pPr>
      <w:r>
        <w:rPr/>
        <w:t>We</w:t>
      </w:r>
      <w:r>
        <w:rPr>
          <w:spacing w:val="-3"/>
        </w:rPr>
        <w:t> </w:t>
      </w:r>
      <w:r>
        <w:rPr/>
        <w:t>may</w:t>
      </w:r>
      <w:r>
        <w:rPr>
          <w:spacing w:val="-2"/>
        </w:rPr>
        <w:t> </w:t>
      </w:r>
      <w:r>
        <w:rPr/>
        <w:t>incur</w:t>
      </w:r>
      <w:r>
        <w:rPr>
          <w:spacing w:val="-3"/>
        </w:rPr>
        <w:t> </w:t>
      </w:r>
      <w:r>
        <w:rPr/>
        <w:t>substantial</w:t>
      </w:r>
      <w:r>
        <w:rPr>
          <w:spacing w:val="-2"/>
        </w:rPr>
        <w:t> </w:t>
      </w:r>
      <w:r>
        <w:rPr/>
        <w:t>costs</w:t>
      </w:r>
      <w:r>
        <w:rPr>
          <w:spacing w:val="-3"/>
        </w:rPr>
        <w:t> </w:t>
      </w:r>
      <w:r>
        <w:rPr/>
        <w:t>defending</w:t>
      </w:r>
      <w:r>
        <w:rPr>
          <w:spacing w:val="-3"/>
        </w:rPr>
        <w:t> </w:t>
      </w:r>
      <w:r>
        <w:rPr/>
        <w:t>against</w:t>
      </w:r>
      <w:r>
        <w:rPr>
          <w:spacing w:val="-2"/>
        </w:rPr>
        <w:t> </w:t>
      </w:r>
      <w:r>
        <w:rPr/>
        <w:t>third</w:t>
      </w:r>
      <w:r>
        <w:rPr>
          <w:spacing w:val="-2"/>
        </w:rPr>
        <w:t> </w:t>
      </w:r>
      <w:r>
        <w:rPr/>
        <w:t>parties</w:t>
      </w:r>
      <w:r>
        <w:rPr>
          <w:spacing w:val="-3"/>
        </w:rPr>
        <w:t> </w:t>
      </w:r>
      <w:r>
        <w:rPr/>
        <w:t>alleging</w:t>
      </w:r>
      <w:r>
        <w:rPr>
          <w:spacing w:val="-2"/>
        </w:rPr>
        <w:t> </w:t>
      </w:r>
      <w:r>
        <w:rPr/>
        <w:t>that</w:t>
      </w:r>
      <w:r>
        <w:rPr>
          <w:spacing w:val="-3"/>
        </w:rPr>
        <w:t> </w:t>
      </w:r>
      <w:r>
        <w:rPr/>
        <w:t>we</w:t>
      </w:r>
      <w:r>
        <w:rPr>
          <w:spacing w:val="-2"/>
        </w:rPr>
        <w:t> </w:t>
      </w:r>
      <w:r>
        <w:rPr/>
        <w:t>infringe</w:t>
      </w:r>
      <w:r>
        <w:rPr>
          <w:spacing w:val="-2"/>
        </w:rPr>
        <w:t> </w:t>
      </w:r>
      <w:r>
        <w:rPr/>
        <w:t>their</w:t>
      </w:r>
      <w:r>
        <w:rPr>
          <w:spacing w:val="-3"/>
        </w:rPr>
        <w:t> </w:t>
      </w:r>
      <w:r>
        <w:rPr/>
        <w:t>proprietary</w:t>
      </w:r>
      <w:r>
        <w:rPr>
          <w:spacing w:val="-2"/>
        </w:rPr>
        <w:t> rights.</w:t>
      </w:r>
    </w:p>
    <w:p>
      <w:pPr>
        <w:pStyle w:val="BodyText"/>
        <w:spacing w:before="20"/>
        <w:rPr>
          <w:b/>
          <w:i/>
        </w:rPr>
      </w:pPr>
    </w:p>
    <w:p>
      <w:pPr>
        <w:pStyle w:val="BodyText"/>
        <w:spacing w:line="249" w:lineRule="auto"/>
        <w:ind w:left="210" w:right="247" w:firstLine="720"/>
        <w:jc w:val="both"/>
      </w:pPr>
      <w:r>
        <w:rPr/>
        <w:t>We</w:t>
      </w:r>
      <w:r>
        <w:rPr>
          <w:spacing w:val="-5"/>
        </w:rPr>
        <w:t> </w:t>
      </w:r>
      <w:r>
        <w:rPr/>
        <w:t>have</w:t>
      </w:r>
      <w:r>
        <w:rPr>
          <w:spacing w:val="-5"/>
        </w:rPr>
        <w:t> </w:t>
      </w:r>
      <w:r>
        <w:rPr/>
        <w:t>been,</w:t>
      </w:r>
      <w:r>
        <w:rPr>
          <w:spacing w:val="-5"/>
        </w:rPr>
        <w:t> </w:t>
      </w:r>
      <w:r>
        <w:rPr/>
        <w:t>are</w:t>
      </w:r>
      <w:r>
        <w:rPr>
          <w:spacing w:val="-5"/>
        </w:rPr>
        <w:t> </w:t>
      </w:r>
      <w:r>
        <w:rPr/>
        <w:t>currently,</w:t>
      </w:r>
      <w:r>
        <w:rPr>
          <w:spacing w:val="-5"/>
        </w:rPr>
        <w:t> </w:t>
      </w:r>
      <w:r>
        <w:rPr/>
        <w:t>and</w:t>
      </w:r>
      <w:r>
        <w:rPr>
          <w:spacing w:val="-5"/>
        </w:rPr>
        <w:t> </w:t>
      </w:r>
      <w:r>
        <w:rPr/>
        <w:t>may</w:t>
      </w:r>
      <w:r>
        <w:rPr>
          <w:spacing w:val="-5"/>
        </w:rPr>
        <w:t> </w:t>
      </w:r>
      <w:r>
        <w:rPr/>
        <w:t>in</w:t>
      </w:r>
      <w:r>
        <w:rPr>
          <w:spacing w:val="-5"/>
        </w:rPr>
        <w:t> </w:t>
      </w:r>
      <w:r>
        <w:rPr/>
        <w:t>the</w:t>
      </w:r>
      <w:r>
        <w:rPr>
          <w:spacing w:val="-5"/>
        </w:rPr>
        <w:t> </w:t>
      </w:r>
      <w:r>
        <w:rPr/>
        <w:t>future</w:t>
      </w:r>
      <w:r>
        <w:rPr>
          <w:spacing w:val="-5"/>
        </w:rPr>
        <w:t> </w:t>
      </w:r>
      <w:r>
        <w:rPr/>
        <w:t>be,</w:t>
      </w:r>
      <w:r>
        <w:rPr>
          <w:spacing w:val="-5"/>
        </w:rPr>
        <w:t> </w:t>
      </w:r>
      <w:r>
        <w:rPr/>
        <w:t>subject</w:t>
      </w:r>
      <w:r>
        <w:rPr>
          <w:spacing w:val="-5"/>
        </w:rPr>
        <w:t> </w:t>
      </w:r>
      <w:r>
        <w:rPr/>
        <w:t>to</w:t>
      </w:r>
      <w:r>
        <w:rPr>
          <w:spacing w:val="-5"/>
        </w:rPr>
        <w:t> </w:t>
      </w:r>
      <w:r>
        <w:rPr/>
        <w:t>claims,</w:t>
      </w:r>
      <w:r>
        <w:rPr>
          <w:spacing w:val="-5"/>
        </w:rPr>
        <w:t> </w:t>
      </w:r>
      <w:r>
        <w:rPr/>
        <w:t>negotiations</w:t>
      </w:r>
      <w:r>
        <w:rPr>
          <w:spacing w:val="-5"/>
        </w:rPr>
        <w:t> </w:t>
      </w:r>
      <w:r>
        <w:rPr/>
        <w:t>and</w:t>
      </w:r>
      <w:r>
        <w:rPr>
          <w:spacing w:val="-5"/>
        </w:rPr>
        <w:t> </w:t>
      </w:r>
      <w:r>
        <w:rPr/>
        <w:t>complex,</w:t>
      </w:r>
      <w:r>
        <w:rPr>
          <w:spacing w:val="-5"/>
        </w:rPr>
        <w:t> </w:t>
      </w:r>
      <w:r>
        <w:rPr/>
        <w:t>protracted</w:t>
      </w:r>
      <w:r>
        <w:rPr>
          <w:spacing w:val="-5"/>
        </w:rPr>
        <w:t> </w:t>
      </w:r>
      <w:r>
        <w:rPr/>
        <w:t>litigation </w:t>
      </w:r>
      <w:r>
        <w:rPr>
          <w:spacing w:val="-2"/>
        </w:rPr>
        <w:t>relating to disputes regarding the validity or alleged infringement of third-party intellectual property rights, including patent rights. </w:t>
      </w:r>
      <w:r>
        <w:rPr/>
        <w:t>Intellectual</w:t>
      </w:r>
      <w:r>
        <w:rPr>
          <w:spacing w:val="-1"/>
        </w:rPr>
        <w:t> </w:t>
      </w:r>
      <w:r>
        <w:rPr/>
        <w:t>property disputes and litigation are typically costly and can be disruptive to our business operations by diverting the attention of management and key personnel. We may not prevail in every lawsuit or dispute. Third-party intellectual property disputes, including those initiated by patent assertion entities, could subject us to significant liabilities, require us to enter into royalty</w:t>
      </w:r>
      <w:r>
        <w:rPr>
          <w:spacing w:val="-3"/>
        </w:rPr>
        <w:t> </w:t>
      </w:r>
      <w:r>
        <w:rPr/>
        <w:t>and</w:t>
      </w:r>
      <w:r>
        <w:rPr>
          <w:spacing w:val="-4"/>
        </w:rPr>
        <w:t> </w:t>
      </w:r>
      <w:r>
        <w:rPr/>
        <w:t>licensing</w:t>
      </w:r>
      <w:r>
        <w:rPr>
          <w:spacing w:val="-3"/>
        </w:rPr>
        <w:t> </w:t>
      </w:r>
      <w:r>
        <w:rPr/>
        <w:t>arrangements</w:t>
      </w:r>
      <w:r>
        <w:rPr>
          <w:spacing w:val="-4"/>
        </w:rPr>
        <w:t> </w:t>
      </w:r>
      <w:r>
        <w:rPr/>
        <w:t>on</w:t>
      </w:r>
      <w:r>
        <w:rPr>
          <w:spacing w:val="-3"/>
        </w:rPr>
        <w:t> </w:t>
      </w:r>
      <w:r>
        <w:rPr/>
        <w:t>unfavorable</w:t>
      </w:r>
      <w:r>
        <w:rPr>
          <w:spacing w:val="-4"/>
        </w:rPr>
        <w:t> </w:t>
      </w:r>
      <w:r>
        <w:rPr/>
        <w:t>terms,</w:t>
      </w:r>
      <w:r>
        <w:rPr>
          <w:spacing w:val="-3"/>
        </w:rPr>
        <w:t> </w:t>
      </w:r>
      <w:r>
        <w:rPr/>
        <w:t>prevent</w:t>
      </w:r>
      <w:r>
        <w:rPr>
          <w:spacing w:val="-4"/>
        </w:rPr>
        <w:t> </w:t>
      </w:r>
      <w:r>
        <w:rPr/>
        <w:t>us</w:t>
      </w:r>
      <w:r>
        <w:rPr>
          <w:spacing w:val="-3"/>
        </w:rPr>
        <w:t> </w:t>
      </w:r>
      <w:r>
        <w:rPr/>
        <w:t>from</w:t>
      </w:r>
      <w:r>
        <w:rPr>
          <w:spacing w:val="-4"/>
        </w:rPr>
        <w:t> </w:t>
      </w:r>
      <w:r>
        <w:rPr/>
        <w:t>licensing</w:t>
      </w:r>
      <w:r>
        <w:rPr>
          <w:spacing w:val="-3"/>
        </w:rPr>
        <w:t> </w:t>
      </w:r>
      <w:r>
        <w:rPr/>
        <w:t>certain</w:t>
      </w:r>
      <w:r>
        <w:rPr>
          <w:spacing w:val="-4"/>
        </w:rPr>
        <w:t> </w:t>
      </w:r>
      <w:r>
        <w:rPr/>
        <w:t>of</w:t>
      </w:r>
      <w:r>
        <w:rPr>
          <w:spacing w:val="-3"/>
        </w:rPr>
        <w:t> </w:t>
      </w:r>
      <w:r>
        <w:rPr/>
        <w:t>our</w:t>
      </w:r>
      <w:r>
        <w:rPr>
          <w:spacing w:val="-4"/>
        </w:rPr>
        <w:t> </w:t>
      </w:r>
      <w:r>
        <w:rPr/>
        <w:t>products</w:t>
      </w:r>
      <w:r>
        <w:rPr>
          <w:spacing w:val="-3"/>
        </w:rPr>
        <w:t> </w:t>
      </w:r>
      <w:r>
        <w:rPr/>
        <w:t>or</w:t>
      </w:r>
      <w:r>
        <w:rPr>
          <w:spacing w:val="-4"/>
        </w:rPr>
        <w:t> </w:t>
      </w:r>
      <w:r>
        <w:rPr/>
        <w:t>offering</w:t>
      </w:r>
      <w:r>
        <w:rPr>
          <w:spacing w:val="-3"/>
        </w:rPr>
        <w:t> </w:t>
      </w:r>
      <w:r>
        <w:rPr/>
        <w:t>certain</w:t>
      </w:r>
      <w:r>
        <w:rPr>
          <w:spacing w:val="-4"/>
        </w:rPr>
        <w:t> </w:t>
      </w:r>
      <w:r>
        <w:rPr/>
        <w:t>of our</w:t>
      </w:r>
      <w:r>
        <w:rPr>
          <w:spacing w:val="-8"/>
        </w:rPr>
        <w:t> </w:t>
      </w:r>
      <w:r>
        <w:rPr/>
        <w:t>services,</w:t>
      </w:r>
      <w:r>
        <w:rPr>
          <w:spacing w:val="-8"/>
        </w:rPr>
        <w:t> </w:t>
      </w:r>
      <w:r>
        <w:rPr/>
        <w:t>subject</w:t>
      </w:r>
      <w:r>
        <w:rPr>
          <w:spacing w:val="-8"/>
        </w:rPr>
        <w:t> </w:t>
      </w:r>
      <w:r>
        <w:rPr/>
        <w:t>us</w:t>
      </w:r>
      <w:r>
        <w:rPr>
          <w:spacing w:val="-8"/>
        </w:rPr>
        <w:t> </w:t>
      </w:r>
      <w:r>
        <w:rPr/>
        <w:t>to</w:t>
      </w:r>
      <w:r>
        <w:rPr>
          <w:spacing w:val="-8"/>
        </w:rPr>
        <w:t> </w:t>
      </w:r>
      <w:r>
        <w:rPr/>
        <w:t>injunctions</w:t>
      </w:r>
      <w:r>
        <w:rPr>
          <w:spacing w:val="-7"/>
        </w:rPr>
        <w:t> </w:t>
      </w:r>
      <w:r>
        <w:rPr/>
        <w:t>restricting</w:t>
      </w:r>
      <w:r>
        <w:rPr>
          <w:spacing w:val="-8"/>
        </w:rPr>
        <w:t> </w:t>
      </w:r>
      <w:r>
        <w:rPr/>
        <w:t>our</w:t>
      </w:r>
      <w:r>
        <w:rPr>
          <w:spacing w:val="-8"/>
        </w:rPr>
        <w:t> </w:t>
      </w:r>
      <w:r>
        <w:rPr/>
        <w:t>sale</w:t>
      </w:r>
      <w:r>
        <w:rPr>
          <w:spacing w:val="-8"/>
        </w:rPr>
        <w:t> </w:t>
      </w:r>
      <w:r>
        <w:rPr/>
        <w:t>of</w:t>
      </w:r>
      <w:r>
        <w:rPr>
          <w:spacing w:val="-8"/>
        </w:rPr>
        <w:t> </w:t>
      </w:r>
      <w:r>
        <w:rPr/>
        <w:t>products</w:t>
      </w:r>
      <w:r>
        <w:rPr>
          <w:spacing w:val="-7"/>
        </w:rPr>
        <w:t> </w:t>
      </w:r>
      <w:r>
        <w:rPr/>
        <w:t>or</w:t>
      </w:r>
      <w:r>
        <w:rPr>
          <w:spacing w:val="-8"/>
        </w:rPr>
        <w:t> </w:t>
      </w:r>
      <w:r>
        <w:rPr/>
        <w:t>services,</w:t>
      </w:r>
      <w:r>
        <w:rPr>
          <w:spacing w:val="-8"/>
        </w:rPr>
        <w:t> </w:t>
      </w:r>
      <w:r>
        <w:rPr/>
        <w:t>cause</w:t>
      </w:r>
      <w:r>
        <w:rPr>
          <w:spacing w:val="-8"/>
        </w:rPr>
        <w:t> </w:t>
      </w:r>
      <w:r>
        <w:rPr/>
        <w:t>severe</w:t>
      </w:r>
      <w:r>
        <w:rPr>
          <w:spacing w:val="-8"/>
        </w:rPr>
        <w:t> </w:t>
      </w:r>
      <w:r>
        <w:rPr/>
        <w:t>disruptions</w:t>
      </w:r>
      <w:r>
        <w:rPr>
          <w:spacing w:val="-7"/>
        </w:rPr>
        <w:t> </w:t>
      </w:r>
      <w:r>
        <w:rPr/>
        <w:t>to</w:t>
      </w:r>
      <w:r>
        <w:rPr>
          <w:spacing w:val="-8"/>
        </w:rPr>
        <w:t> </w:t>
      </w:r>
      <w:r>
        <w:rPr/>
        <w:t>our</w:t>
      </w:r>
      <w:r>
        <w:rPr>
          <w:spacing w:val="-7"/>
        </w:rPr>
        <w:t> </w:t>
      </w:r>
      <w:r>
        <w:rPr/>
        <w:t>operations</w:t>
      </w:r>
      <w:r>
        <w:rPr>
          <w:spacing w:val="-8"/>
        </w:rPr>
        <w:t> </w:t>
      </w:r>
      <w:r>
        <w:rPr/>
        <w:t>or</w:t>
      </w:r>
      <w:r>
        <w:rPr>
          <w:spacing w:val="-8"/>
        </w:rPr>
        <w:t> </w:t>
      </w:r>
      <w:r>
        <w:rPr/>
        <w:t>the markets in which we compete, or require us to satisfy indemnification commitments with our customers, including contractual provisions under various license arrangements and service agreements. In addition, we may incur significant costs in acquiring the necessary third-party intellectual property rights for use in our products, in some cases to fulfill contractual obligations with our customers. Any of these occurrences could significantly harm our business.</w:t>
      </w:r>
    </w:p>
    <w:p>
      <w:pPr>
        <w:pStyle w:val="BodyText"/>
        <w:spacing w:before="19"/>
      </w:pPr>
    </w:p>
    <w:p>
      <w:pPr>
        <w:pStyle w:val="Heading3"/>
        <w:jc w:val="both"/>
      </w:pPr>
      <w:r>
        <w:rPr/>
        <w:t>We</w:t>
      </w:r>
      <w:r>
        <w:rPr>
          <w:spacing w:val="-5"/>
        </w:rPr>
        <w:t> </w:t>
      </w:r>
      <w:r>
        <w:rPr/>
        <w:t>may</w:t>
      </w:r>
      <w:r>
        <w:rPr>
          <w:spacing w:val="-4"/>
        </w:rPr>
        <w:t> </w:t>
      </w:r>
      <w:r>
        <w:rPr/>
        <w:t>incur</w:t>
      </w:r>
      <w:r>
        <w:rPr>
          <w:spacing w:val="-2"/>
        </w:rPr>
        <w:t> </w:t>
      </w:r>
      <w:r>
        <w:rPr/>
        <w:t>losses</w:t>
      </w:r>
      <w:r>
        <w:rPr>
          <w:spacing w:val="-3"/>
        </w:rPr>
        <w:t> </w:t>
      </w:r>
      <w:r>
        <w:rPr/>
        <w:t>associated</w:t>
      </w:r>
      <w:r>
        <w:rPr>
          <w:spacing w:val="-3"/>
        </w:rPr>
        <w:t> </w:t>
      </w:r>
      <w:r>
        <w:rPr/>
        <w:t>with</w:t>
      </w:r>
      <w:r>
        <w:rPr>
          <w:spacing w:val="-3"/>
        </w:rPr>
        <w:t> </w:t>
      </w:r>
      <w:r>
        <w:rPr/>
        <w:t>currency</w:t>
      </w:r>
      <w:r>
        <w:rPr>
          <w:spacing w:val="-4"/>
        </w:rPr>
        <w:t> </w:t>
      </w:r>
      <w:r>
        <w:rPr/>
        <w:t>fluctuations</w:t>
      </w:r>
      <w:r>
        <w:rPr>
          <w:spacing w:val="-2"/>
        </w:rPr>
        <w:t> </w:t>
      </w:r>
      <w:r>
        <w:rPr/>
        <w:t>and</w:t>
      </w:r>
      <w:r>
        <w:rPr>
          <w:spacing w:val="-4"/>
        </w:rPr>
        <w:t> </w:t>
      </w:r>
      <w:r>
        <w:rPr/>
        <w:t>may</w:t>
      </w:r>
      <w:r>
        <w:rPr>
          <w:spacing w:val="-2"/>
        </w:rPr>
        <w:t> </w:t>
      </w:r>
      <w:r>
        <w:rPr/>
        <w:t>not</w:t>
      </w:r>
      <w:r>
        <w:rPr>
          <w:spacing w:val="-4"/>
        </w:rPr>
        <w:t> </w:t>
      </w:r>
      <w:r>
        <w:rPr/>
        <w:t>be</w:t>
      </w:r>
      <w:r>
        <w:rPr>
          <w:spacing w:val="-3"/>
        </w:rPr>
        <w:t> </w:t>
      </w:r>
      <w:r>
        <w:rPr/>
        <w:t>able</w:t>
      </w:r>
      <w:r>
        <w:rPr>
          <w:spacing w:val="-3"/>
        </w:rPr>
        <w:t> </w:t>
      </w:r>
      <w:r>
        <w:rPr/>
        <w:t>to</w:t>
      </w:r>
      <w:r>
        <w:rPr>
          <w:spacing w:val="-3"/>
        </w:rPr>
        <w:t> </w:t>
      </w:r>
      <w:r>
        <w:rPr/>
        <w:t>effectively</w:t>
      </w:r>
      <w:r>
        <w:rPr>
          <w:spacing w:val="-3"/>
        </w:rPr>
        <w:t> </w:t>
      </w:r>
      <w:r>
        <w:rPr/>
        <w:t>hedge</w:t>
      </w:r>
      <w:r>
        <w:rPr>
          <w:spacing w:val="-4"/>
        </w:rPr>
        <w:t> </w:t>
      </w:r>
      <w:r>
        <w:rPr/>
        <w:t>our</w:t>
      </w:r>
      <w:r>
        <w:rPr>
          <w:spacing w:val="-2"/>
        </w:rPr>
        <w:t> exposure.</w:t>
      </w:r>
    </w:p>
    <w:p>
      <w:pPr>
        <w:pStyle w:val="BodyText"/>
        <w:spacing w:before="20"/>
        <w:rPr>
          <w:b/>
          <w:i/>
        </w:rPr>
      </w:pPr>
    </w:p>
    <w:p>
      <w:pPr>
        <w:pStyle w:val="BodyText"/>
        <w:spacing w:line="249" w:lineRule="auto"/>
        <w:ind w:left="210" w:right="247" w:firstLine="540"/>
        <w:jc w:val="both"/>
      </w:pPr>
      <w:r>
        <w:rPr/>
        <w:t>Our</w:t>
      </w:r>
      <w:r>
        <w:rPr>
          <w:spacing w:val="-8"/>
        </w:rPr>
        <w:t> </w:t>
      </w:r>
      <w:r>
        <w:rPr/>
        <w:t>operating</w:t>
      </w:r>
      <w:r>
        <w:rPr>
          <w:spacing w:val="-8"/>
        </w:rPr>
        <w:t> </w:t>
      </w:r>
      <w:r>
        <w:rPr/>
        <w:t>results</w:t>
      </w:r>
      <w:r>
        <w:rPr>
          <w:spacing w:val="-8"/>
        </w:rPr>
        <w:t> </w:t>
      </w:r>
      <w:r>
        <w:rPr/>
        <w:t>are</w:t>
      </w:r>
      <w:r>
        <w:rPr>
          <w:spacing w:val="-8"/>
        </w:rPr>
        <w:t> </w:t>
      </w:r>
      <w:r>
        <w:rPr/>
        <w:t>subject</w:t>
      </w:r>
      <w:r>
        <w:rPr>
          <w:spacing w:val="-8"/>
        </w:rPr>
        <w:t> </w:t>
      </w:r>
      <w:r>
        <w:rPr/>
        <w:t>to</w:t>
      </w:r>
      <w:r>
        <w:rPr>
          <w:spacing w:val="-8"/>
        </w:rPr>
        <w:t> </w:t>
      </w:r>
      <w:r>
        <w:rPr/>
        <w:t>fluctuations</w:t>
      </w:r>
      <w:r>
        <w:rPr>
          <w:spacing w:val="-7"/>
        </w:rPr>
        <w:t> </w:t>
      </w:r>
      <w:r>
        <w:rPr/>
        <w:t>in</w:t>
      </w:r>
      <w:r>
        <w:rPr>
          <w:spacing w:val="-8"/>
        </w:rPr>
        <w:t> </w:t>
      </w:r>
      <w:r>
        <w:rPr/>
        <w:t>foreign</w:t>
      </w:r>
      <w:r>
        <w:rPr>
          <w:spacing w:val="-8"/>
        </w:rPr>
        <w:t> </w:t>
      </w:r>
      <w:r>
        <w:rPr/>
        <w:t>currency</w:t>
      </w:r>
      <w:r>
        <w:rPr>
          <w:spacing w:val="-8"/>
        </w:rPr>
        <w:t> </w:t>
      </w:r>
      <w:r>
        <w:rPr/>
        <w:t>exchange</w:t>
      </w:r>
      <w:r>
        <w:rPr>
          <w:spacing w:val="-8"/>
        </w:rPr>
        <w:t> </w:t>
      </w:r>
      <w:r>
        <w:rPr/>
        <w:t>rates</w:t>
      </w:r>
      <w:r>
        <w:rPr>
          <w:spacing w:val="-8"/>
        </w:rPr>
        <w:t> </w:t>
      </w:r>
      <w:r>
        <w:rPr/>
        <w:t>due</w:t>
      </w:r>
      <w:r>
        <w:rPr>
          <w:spacing w:val="-8"/>
        </w:rPr>
        <w:t> </w:t>
      </w:r>
      <w:r>
        <w:rPr/>
        <w:t>to</w:t>
      </w:r>
      <w:r>
        <w:rPr>
          <w:spacing w:val="-8"/>
        </w:rPr>
        <w:t> </w:t>
      </w:r>
      <w:r>
        <w:rPr/>
        <w:t>the</w:t>
      </w:r>
      <w:r>
        <w:rPr>
          <w:spacing w:val="-8"/>
        </w:rPr>
        <w:t> </w:t>
      </w:r>
      <w:r>
        <w:rPr/>
        <w:t>global</w:t>
      </w:r>
      <w:r>
        <w:rPr>
          <w:spacing w:val="-8"/>
        </w:rPr>
        <w:t> </w:t>
      </w:r>
      <w:r>
        <w:rPr/>
        <w:t>scope</w:t>
      </w:r>
      <w:r>
        <w:rPr>
          <w:spacing w:val="-8"/>
        </w:rPr>
        <w:t> </w:t>
      </w:r>
      <w:r>
        <w:rPr/>
        <w:t>of</w:t>
      </w:r>
      <w:r>
        <w:rPr>
          <w:spacing w:val="-8"/>
        </w:rPr>
        <w:t> </w:t>
      </w:r>
      <w:r>
        <w:rPr/>
        <w:t>our</w:t>
      </w:r>
      <w:r>
        <w:rPr>
          <w:spacing w:val="-8"/>
        </w:rPr>
        <w:t> </w:t>
      </w:r>
      <w:r>
        <w:rPr/>
        <w:t>business. We</w:t>
      </w:r>
      <w:r>
        <w:rPr>
          <w:spacing w:val="-5"/>
        </w:rPr>
        <w:t> </w:t>
      </w:r>
      <w:r>
        <w:rPr/>
        <w:t>attempt</w:t>
      </w:r>
      <w:r>
        <w:rPr>
          <w:spacing w:val="-5"/>
        </w:rPr>
        <w:t> </w:t>
      </w:r>
      <w:r>
        <w:rPr/>
        <w:t>to</w:t>
      </w:r>
      <w:r>
        <w:rPr>
          <w:spacing w:val="-5"/>
        </w:rPr>
        <w:t> </w:t>
      </w:r>
      <w:r>
        <w:rPr/>
        <w:t>mitigate</w:t>
      </w:r>
      <w:r>
        <w:rPr>
          <w:spacing w:val="-5"/>
        </w:rPr>
        <w:t> </w:t>
      </w:r>
      <w:r>
        <w:rPr/>
        <w:t>a</w:t>
      </w:r>
      <w:r>
        <w:rPr>
          <w:spacing w:val="-5"/>
        </w:rPr>
        <w:t> </w:t>
      </w:r>
      <w:r>
        <w:rPr/>
        <w:t>portion</w:t>
      </w:r>
      <w:r>
        <w:rPr>
          <w:spacing w:val="-5"/>
        </w:rPr>
        <w:t> </w:t>
      </w:r>
      <w:r>
        <w:rPr/>
        <w:t>of</w:t>
      </w:r>
      <w:r>
        <w:rPr>
          <w:spacing w:val="-4"/>
        </w:rPr>
        <w:t> </w:t>
      </w:r>
      <w:r>
        <w:rPr/>
        <w:t>these</w:t>
      </w:r>
      <w:r>
        <w:rPr>
          <w:spacing w:val="-5"/>
        </w:rPr>
        <w:t> </w:t>
      </w:r>
      <w:r>
        <w:rPr/>
        <w:t>risks</w:t>
      </w:r>
      <w:r>
        <w:rPr>
          <w:spacing w:val="-5"/>
        </w:rPr>
        <w:t> </w:t>
      </w:r>
      <w:r>
        <w:rPr/>
        <w:t>through</w:t>
      </w:r>
      <w:r>
        <w:rPr>
          <w:spacing w:val="-5"/>
        </w:rPr>
        <w:t> </w:t>
      </w:r>
      <w:r>
        <w:rPr/>
        <w:t>foreign</w:t>
      </w:r>
      <w:r>
        <w:rPr>
          <w:spacing w:val="-5"/>
        </w:rPr>
        <w:t> </w:t>
      </w:r>
      <w:r>
        <w:rPr/>
        <w:t>currency</w:t>
      </w:r>
      <w:r>
        <w:rPr>
          <w:spacing w:val="-5"/>
        </w:rPr>
        <w:t> </w:t>
      </w:r>
      <w:r>
        <w:rPr/>
        <w:t>hedging</w:t>
      </w:r>
      <w:r>
        <w:rPr>
          <w:spacing w:val="-5"/>
        </w:rPr>
        <w:t> </w:t>
      </w:r>
      <w:r>
        <w:rPr/>
        <w:t>based</w:t>
      </w:r>
      <w:r>
        <w:rPr>
          <w:spacing w:val="-5"/>
        </w:rPr>
        <w:t> </w:t>
      </w:r>
      <w:r>
        <w:rPr/>
        <w:t>on</w:t>
      </w:r>
      <w:r>
        <w:rPr>
          <w:spacing w:val="-5"/>
        </w:rPr>
        <w:t> </w:t>
      </w:r>
      <w:r>
        <w:rPr/>
        <w:t>our</w:t>
      </w:r>
      <w:r>
        <w:rPr>
          <w:spacing w:val="-5"/>
        </w:rPr>
        <w:t> </w:t>
      </w:r>
      <w:r>
        <w:rPr/>
        <w:t>judgment</w:t>
      </w:r>
      <w:r>
        <w:rPr>
          <w:spacing w:val="-5"/>
        </w:rPr>
        <w:t> </w:t>
      </w:r>
      <w:r>
        <w:rPr/>
        <w:t>of</w:t>
      </w:r>
      <w:r>
        <w:rPr>
          <w:spacing w:val="-5"/>
        </w:rPr>
        <w:t> </w:t>
      </w:r>
      <w:r>
        <w:rPr/>
        <w:t>the</w:t>
      </w:r>
      <w:r>
        <w:rPr>
          <w:spacing w:val="-5"/>
        </w:rPr>
        <w:t> </w:t>
      </w:r>
      <w:r>
        <w:rPr/>
        <w:t>appropriate</w:t>
      </w:r>
      <w:r>
        <w:rPr>
          <w:spacing w:val="-5"/>
        </w:rPr>
        <w:t> </w:t>
      </w:r>
      <w:r>
        <w:rPr/>
        <w:t>trade- offs among risk,</w:t>
      </w:r>
      <w:r>
        <w:rPr>
          <w:spacing w:val="-1"/>
        </w:rPr>
        <w:t> </w:t>
      </w:r>
      <w:r>
        <w:rPr/>
        <w:t>opportunity and expense.</w:t>
      </w:r>
      <w:r>
        <w:rPr>
          <w:spacing w:val="-4"/>
        </w:rPr>
        <w:t> </w:t>
      </w:r>
      <w:r>
        <w:rPr/>
        <w:t>We regularly</w:t>
      </w:r>
      <w:r>
        <w:rPr>
          <w:spacing w:val="-1"/>
        </w:rPr>
        <w:t> </w:t>
      </w:r>
      <w:r>
        <w:rPr/>
        <w:t>review our program</w:t>
      </w:r>
      <w:r>
        <w:rPr>
          <w:spacing w:val="-1"/>
        </w:rPr>
        <w:t> </w:t>
      </w:r>
      <w:r>
        <w:rPr/>
        <w:t>to partially hedge</w:t>
      </w:r>
      <w:r>
        <w:rPr>
          <w:spacing w:val="-1"/>
        </w:rPr>
        <w:t> </w:t>
      </w:r>
      <w:r>
        <w:rPr/>
        <w:t>our exposure</w:t>
      </w:r>
      <w:r>
        <w:rPr>
          <w:spacing w:val="-1"/>
        </w:rPr>
        <w:t> </w:t>
      </w:r>
      <w:r>
        <w:rPr/>
        <w:t>to foreign</w:t>
      </w:r>
      <w:r>
        <w:rPr>
          <w:spacing w:val="-1"/>
        </w:rPr>
        <w:t> </w:t>
      </w:r>
      <w:r>
        <w:rPr/>
        <w:t>currency fluctuations</w:t>
      </w:r>
      <w:r>
        <w:rPr>
          <w:spacing w:val="-12"/>
        </w:rPr>
        <w:t> </w:t>
      </w:r>
      <w:r>
        <w:rPr/>
        <w:t>and</w:t>
      </w:r>
      <w:r>
        <w:rPr>
          <w:spacing w:val="-12"/>
        </w:rPr>
        <w:t> </w:t>
      </w:r>
      <w:r>
        <w:rPr/>
        <w:t>make</w:t>
      </w:r>
      <w:r>
        <w:rPr>
          <w:spacing w:val="-12"/>
        </w:rPr>
        <w:t> </w:t>
      </w:r>
      <w:r>
        <w:rPr/>
        <w:t>adjustments</w:t>
      </w:r>
      <w:r>
        <w:rPr>
          <w:spacing w:val="-12"/>
        </w:rPr>
        <w:t> </w:t>
      </w:r>
      <w:r>
        <w:rPr/>
        <w:t>as</w:t>
      </w:r>
      <w:r>
        <w:rPr>
          <w:spacing w:val="-12"/>
        </w:rPr>
        <w:t> </w:t>
      </w:r>
      <w:r>
        <w:rPr/>
        <w:t>necessary.</w:t>
      </w:r>
      <w:r>
        <w:rPr>
          <w:spacing w:val="-12"/>
        </w:rPr>
        <w:t> </w:t>
      </w:r>
      <w:r>
        <w:rPr/>
        <w:t>Our</w:t>
      </w:r>
      <w:r>
        <w:rPr>
          <w:spacing w:val="-12"/>
        </w:rPr>
        <w:t> </w:t>
      </w:r>
      <w:r>
        <w:rPr/>
        <w:t>hedging</w:t>
      </w:r>
      <w:r>
        <w:rPr>
          <w:spacing w:val="-12"/>
        </w:rPr>
        <w:t> </w:t>
      </w:r>
      <w:r>
        <w:rPr/>
        <w:t>activities</w:t>
      </w:r>
      <w:r>
        <w:rPr>
          <w:spacing w:val="-12"/>
        </w:rPr>
        <w:t> </w:t>
      </w:r>
      <w:r>
        <w:rPr/>
        <w:t>may</w:t>
      </w:r>
      <w:r>
        <w:rPr>
          <w:spacing w:val="-12"/>
        </w:rPr>
        <w:t> </w:t>
      </w:r>
      <w:r>
        <w:rPr/>
        <w:t>not</w:t>
      </w:r>
      <w:r>
        <w:rPr>
          <w:spacing w:val="-12"/>
        </w:rPr>
        <w:t> </w:t>
      </w:r>
      <w:r>
        <w:rPr/>
        <w:t>offset</w:t>
      </w:r>
      <w:r>
        <w:rPr>
          <w:spacing w:val="-12"/>
        </w:rPr>
        <w:t> </w:t>
      </w:r>
      <w:r>
        <w:rPr/>
        <w:t>more</w:t>
      </w:r>
      <w:r>
        <w:rPr>
          <w:spacing w:val="-12"/>
        </w:rPr>
        <w:t> </w:t>
      </w:r>
      <w:r>
        <w:rPr/>
        <w:t>than</w:t>
      </w:r>
      <w:r>
        <w:rPr>
          <w:spacing w:val="-12"/>
        </w:rPr>
        <w:t> </w:t>
      </w:r>
      <w:r>
        <w:rPr/>
        <w:t>a</w:t>
      </w:r>
      <w:r>
        <w:rPr>
          <w:spacing w:val="-12"/>
        </w:rPr>
        <w:t> </w:t>
      </w:r>
      <w:r>
        <w:rPr/>
        <w:t>portion</w:t>
      </w:r>
      <w:r>
        <w:rPr>
          <w:spacing w:val="-12"/>
        </w:rPr>
        <w:t> </w:t>
      </w:r>
      <w:r>
        <w:rPr/>
        <w:t>of</w:t>
      </w:r>
      <w:r>
        <w:rPr>
          <w:spacing w:val="-12"/>
        </w:rPr>
        <w:t> </w:t>
      </w:r>
      <w:r>
        <w:rPr/>
        <w:t>the</w:t>
      </w:r>
      <w:r>
        <w:rPr>
          <w:spacing w:val="-12"/>
        </w:rPr>
        <w:t> </w:t>
      </w:r>
      <w:r>
        <w:rPr/>
        <w:t>adverse</w:t>
      </w:r>
      <w:r>
        <w:rPr>
          <w:spacing w:val="-12"/>
        </w:rPr>
        <w:t> </w:t>
      </w:r>
      <w:r>
        <w:rPr/>
        <w:t>financial impact resulting from unfavorable movement in foreign currency exchange rates, which could adversely affect our </w:t>
      </w:r>
      <w:r>
        <w:rPr/>
        <w:t>financial condition or results of operations.</w:t>
      </w:r>
    </w:p>
    <w:p>
      <w:pPr>
        <w:pStyle w:val="Heading3"/>
        <w:spacing w:line="249" w:lineRule="auto" w:before="185"/>
        <w:ind w:right="247"/>
        <w:jc w:val="both"/>
      </w:pPr>
      <w:r>
        <w:rPr/>
        <w:t>Failure of our third-party customer service and technical support providers to adequately address customers’</w:t>
      </w:r>
      <w:r>
        <w:rPr>
          <w:spacing w:val="-12"/>
        </w:rPr>
        <w:t> </w:t>
      </w:r>
      <w:r>
        <w:rPr/>
        <w:t>requests could harm our business and adversely affect our financial results.</w:t>
      </w:r>
    </w:p>
    <w:p>
      <w:pPr>
        <w:pStyle w:val="BodyText"/>
        <w:spacing w:line="249" w:lineRule="auto" w:before="182"/>
        <w:ind w:left="210" w:right="247" w:firstLine="540"/>
        <w:jc w:val="both"/>
      </w:pPr>
      <w:r>
        <w:rPr/>
        <w:t>Our customers rely on our customer service support organization to resolve issues with our products and services. We outsource</w:t>
      </w:r>
      <w:r>
        <w:rPr>
          <w:spacing w:val="-13"/>
        </w:rPr>
        <w:t> </w:t>
      </w:r>
      <w:r>
        <w:rPr/>
        <w:t>a</w:t>
      </w:r>
      <w:r>
        <w:rPr>
          <w:spacing w:val="-12"/>
        </w:rPr>
        <w:t> </w:t>
      </w:r>
      <w:r>
        <w:rPr/>
        <w:t>substantial</w:t>
      </w:r>
      <w:r>
        <w:rPr>
          <w:spacing w:val="-13"/>
        </w:rPr>
        <w:t> </w:t>
      </w:r>
      <w:r>
        <w:rPr/>
        <w:t>portion</w:t>
      </w:r>
      <w:r>
        <w:rPr>
          <w:spacing w:val="-12"/>
        </w:rPr>
        <w:t> </w:t>
      </w:r>
      <w:r>
        <w:rPr/>
        <w:t>of</w:t>
      </w:r>
      <w:r>
        <w:rPr>
          <w:spacing w:val="-13"/>
        </w:rPr>
        <w:t> </w:t>
      </w:r>
      <w:r>
        <w:rPr/>
        <w:t>our</w:t>
      </w:r>
      <w:r>
        <w:rPr>
          <w:spacing w:val="-12"/>
        </w:rPr>
        <w:t> </w:t>
      </w:r>
      <w:r>
        <w:rPr/>
        <w:t>customer</w:t>
      </w:r>
      <w:r>
        <w:rPr>
          <w:spacing w:val="-13"/>
        </w:rPr>
        <w:t> </w:t>
      </w:r>
      <w:r>
        <w:rPr/>
        <w:t>service</w:t>
      </w:r>
      <w:r>
        <w:rPr>
          <w:spacing w:val="-12"/>
        </w:rPr>
        <w:t> </w:t>
      </w:r>
      <w:r>
        <w:rPr/>
        <w:t>and</w:t>
      </w:r>
      <w:r>
        <w:rPr>
          <w:spacing w:val="-13"/>
        </w:rPr>
        <w:t> </w:t>
      </w:r>
      <w:r>
        <w:rPr/>
        <w:t>technical</w:t>
      </w:r>
      <w:r>
        <w:rPr>
          <w:spacing w:val="-12"/>
        </w:rPr>
        <w:t> </w:t>
      </w:r>
      <w:r>
        <w:rPr/>
        <w:t>support</w:t>
      </w:r>
      <w:r>
        <w:rPr>
          <w:spacing w:val="-13"/>
        </w:rPr>
        <w:t> </w:t>
      </w:r>
      <w:r>
        <w:rPr/>
        <w:t>activities</w:t>
      </w:r>
      <w:r>
        <w:rPr>
          <w:spacing w:val="-12"/>
        </w:rPr>
        <w:t> </w:t>
      </w:r>
      <w:r>
        <w:rPr/>
        <w:t>to</w:t>
      </w:r>
      <w:r>
        <w:rPr>
          <w:spacing w:val="-13"/>
        </w:rPr>
        <w:t> </w:t>
      </w:r>
      <w:r>
        <w:rPr/>
        <w:t>third-party</w:t>
      </w:r>
      <w:r>
        <w:rPr>
          <w:spacing w:val="-12"/>
        </w:rPr>
        <w:t> </w:t>
      </w:r>
      <w:r>
        <w:rPr/>
        <w:t>service</w:t>
      </w:r>
      <w:r>
        <w:rPr>
          <w:spacing w:val="-13"/>
        </w:rPr>
        <w:t> </w:t>
      </w:r>
      <w:r>
        <w:rPr/>
        <w:t>providers.</w:t>
      </w:r>
      <w:r>
        <w:rPr>
          <w:spacing w:val="-12"/>
        </w:rPr>
        <w:t> </w:t>
      </w:r>
      <w:r>
        <w:rPr/>
        <w:t>We</w:t>
      </w:r>
      <w:r>
        <w:rPr>
          <w:spacing w:val="-13"/>
        </w:rPr>
        <w:t> </w:t>
      </w:r>
      <w:r>
        <w:rPr/>
        <w:t>depend </w:t>
      </w:r>
      <w:r>
        <w:rPr>
          <w:spacing w:val="-2"/>
        </w:rPr>
        <w:t>heavily</w:t>
      </w:r>
      <w:r>
        <w:rPr>
          <w:spacing w:val="-11"/>
        </w:rPr>
        <w:t> </w:t>
      </w:r>
      <w:r>
        <w:rPr>
          <w:spacing w:val="-2"/>
        </w:rPr>
        <w:t>on</w:t>
      </w:r>
      <w:r>
        <w:rPr>
          <w:spacing w:val="-10"/>
        </w:rPr>
        <w:t> </w:t>
      </w:r>
      <w:r>
        <w:rPr>
          <w:spacing w:val="-2"/>
        </w:rPr>
        <w:t>these</w:t>
      </w:r>
      <w:r>
        <w:rPr>
          <w:spacing w:val="-11"/>
        </w:rPr>
        <w:t> </w:t>
      </w:r>
      <w:r>
        <w:rPr>
          <w:spacing w:val="-2"/>
        </w:rPr>
        <w:t>third-party</w:t>
      </w:r>
      <w:r>
        <w:rPr>
          <w:spacing w:val="-10"/>
        </w:rPr>
        <w:t> </w:t>
      </w:r>
      <w:r>
        <w:rPr>
          <w:spacing w:val="-2"/>
        </w:rPr>
        <w:t>customer</w:t>
      </w:r>
      <w:r>
        <w:rPr>
          <w:spacing w:val="-11"/>
        </w:rPr>
        <w:t> </w:t>
      </w:r>
      <w:r>
        <w:rPr>
          <w:spacing w:val="-2"/>
        </w:rPr>
        <w:t>service</w:t>
      </w:r>
      <w:r>
        <w:rPr>
          <w:spacing w:val="-10"/>
        </w:rPr>
        <w:t> </w:t>
      </w:r>
      <w:r>
        <w:rPr>
          <w:spacing w:val="-2"/>
        </w:rPr>
        <w:t>and</w:t>
      </w:r>
      <w:r>
        <w:rPr>
          <w:spacing w:val="-11"/>
        </w:rPr>
        <w:t> </w:t>
      </w:r>
      <w:r>
        <w:rPr>
          <w:spacing w:val="-2"/>
        </w:rPr>
        <w:t>technical</w:t>
      </w:r>
      <w:r>
        <w:rPr>
          <w:spacing w:val="-10"/>
        </w:rPr>
        <w:t> </w:t>
      </w:r>
      <w:r>
        <w:rPr>
          <w:spacing w:val="-2"/>
        </w:rPr>
        <w:t>support</w:t>
      </w:r>
      <w:r>
        <w:rPr>
          <w:spacing w:val="-11"/>
        </w:rPr>
        <w:t> </w:t>
      </w:r>
      <w:r>
        <w:rPr>
          <w:spacing w:val="-2"/>
        </w:rPr>
        <w:t>representatives</w:t>
      </w:r>
      <w:r>
        <w:rPr>
          <w:spacing w:val="-10"/>
        </w:rPr>
        <w:t> </w:t>
      </w:r>
      <w:r>
        <w:rPr>
          <w:spacing w:val="-2"/>
        </w:rPr>
        <w:t>working</w:t>
      </w:r>
      <w:r>
        <w:rPr>
          <w:spacing w:val="-10"/>
        </w:rPr>
        <w:t> </w:t>
      </w:r>
      <w:r>
        <w:rPr>
          <w:spacing w:val="-2"/>
        </w:rPr>
        <w:t>on</w:t>
      </w:r>
      <w:r>
        <w:rPr>
          <w:spacing w:val="-10"/>
        </w:rPr>
        <w:t> </w:t>
      </w:r>
      <w:r>
        <w:rPr>
          <w:spacing w:val="-2"/>
        </w:rPr>
        <w:t>our</w:t>
      </w:r>
      <w:r>
        <w:rPr>
          <w:spacing w:val="-10"/>
        </w:rPr>
        <w:t> </w:t>
      </w:r>
      <w:r>
        <w:rPr>
          <w:spacing w:val="-2"/>
        </w:rPr>
        <w:t>behalf,</w:t>
      </w:r>
      <w:r>
        <w:rPr>
          <w:spacing w:val="-10"/>
        </w:rPr>
        <w:t> </w:t>
      </w:r>
      <w:r>
        <w:rPr>
          <w:spacing w:val="-2"/>
        </w:rPr>
        <w:t>and</w:t>
      </w:r>
      <w:r>
        <w:rPr>
          <w:spacing w:val="-10"/>
        </w:rPr>
        <w:t> </w:t>
      </w:r>
      <w:r>
        <w:rPr>
          <w:spacing w:val="-2"/>
        </w:rPr>
        <w:t>we</w:t>
      </w:r>
      <w:r>
        <w:rPr>
          <w:spacing w:val="-10"/>
        </w:rPr>
        <w:t> </w:t>
      </w:r>
      <w:r>
        <w:rPr>
          <w:spacing w:val="-2"/>
        </w:rPr>
        <w:t>expect</w:t>
      </w:r>
      <w:r>
        <w:rPr>
          <w:spacing w:val="-11"/>
        </w:rPr>
        <w:t> </w:t>
      </w:r>
      <w:r>
        <w:rPr>
          <w:spacing w:val="-2"/>
        </w:rPr>
        <w:t>to</w:t>
      </w:r>
      <w:r>
        <w:rPr>
          <w:spacing w:val="-10"/>
        </w:rPr>
        <w:t> </w:t>
      </w:r>
      <w:r>
        <w:rPr>
          <w:spacing w:val="-2"/>
        </w:rPr>
        <w:t>continue </w:t>
      </w:r>
      <w:r>
        <w:rPr/>
        <w:t>to</w:t>
      </w:r>
      <w:r>
        <w:rPr>
          <w:spacing w:val="-4"/>
        </w:rPr>
        <w:t> </w:t>
      </w:r>
      <w:r>
        <w:rPr/>
        <w:t>rely</w:t>
      </w:r>
      <w:r>
        <w:rPr>
          <w:spacing w:val="-4"/>
        </w:rPr>
        <w:t> </w:t>
      </w:r>
      <w:r>
        <w:rPr/>
        <w:t>heavily</w:t>
      </w:r>
      <w:r>
        <w:rPr>
          <w:spacing w:val="-4"/>
        </w:rPr>
        <w:t> </w:t>
      </w:r>
      <w:r>
        <w:rPr/>
        <w:t>on</w:t>
      </w:r>
      <w:r>
        <w:rPr>
          <w:spacing w:val="-4"/>
        </w:rPr>
        <w:t> </w:t>
      </w:r>
      <w:r>
        <w:rPr/>
        <w:t>third</w:t>
      </w:r>
      <w:r>
        <w:rPr>
          <w:spacing w:val="-4"/>
        </w:rPr>
        <w:t> </w:t>
      </w:r>
      <w:r>
        <w:rPr/>
        <w:t>parties</w:t>
      </w:r>
      <w:r>
        <w:rPr>
          <w:spacing w:val="-4"/>
        </w:rPr>
        <w:t> </w:t>
      </w:r>
      <w:r>
        <w:rPr/>
        <w:t>in</w:t>
      </w:r>
      <w:r>
        <w:rPr>
          <w:spacing w:val="-4"/>
        </w:rPr>
        <w:t> </w:t>
      </w:r>
      <w:r>
        <w:rPr/>
        <w:t>the</w:t>
      </w:r>
      <w:r>
        <w:rPr>
          <w:spacing w:val="-5"/>
        </w:rPr>
        <w:t> </w:t>
      </w:r>
      <w:r>
        <w:rPr/>
        <w:t>future.</w:t>
      </w:r>
      <w:r>
        <w:rPr>
          <w:spacing w:val="-8"/>
        </w:rPr>
        <w:t> </w:t>
      </w:r>
      <w:r>
        <w:rPr/>
        <w:t>This</w:t>
      </w:r>
      <w:r>
        <w:rPr>
          <w:spacing w:val="-4"/>
        </w:rPr>
        <w:t> </w:t>
      </w:r>
      <w:r>
        <w:rPr/>
        <w:t>strategy</w:t>
      </w:r>
      <w:r>
        <w:rPr>
          <w:spacing w:val="-4"/>
        </w:rPr>
        <w:t> </w:t>
      </w:r>
      <w:r>
        <w:rPr/>
        <w:t>presents</w:t>
      </w:r>
      <w:r>
        <w:rPr>
          <w:spacing w:val="-4"/>
        </w:rPr>
        <w:t> </w:t>
      </w:r>
      <w:r>
        <w:rPr/>
        <w:t>risks</w:t>
      </w:r>
      <w:r>
        <w:rPr>
          <w:spacing w:val="-4"/>
        </w:rPr>
        <w:t> </w:t>
      </w:r>
      <w:r>
        <w:rPr/>
        <w:t>to</w:t>
      </w:r>
      <w:r>
        <w:rPr>
          <w:spacing w:val="-4"/>
        </w:rPr>
        <w:t> </w:t>
      </w:r>
      <w:r>
        <w:rPr/>
        <w:t>our</w:t>
      </w:r>
      <w:r>
        <w:rPr>
          <w:spacing w:val="-4"/>
        </w:rPr>
        <w:t> </w:t>
      </w:r>
      <w:r>
        <w:rPr/>
        <w:t>business</w:t>
      </w:r>
      <w:r>
        <w:rPr>
          <w:spacing w:val="-4"/>
        </w:rPr>
        <w:t> </w:t>
      </w:r>
      <w:r>
        <w:rPr/>
        <w:t>due</w:t>
      </w:r>
      <w:r>
        <w:rPr>
          <w:spacing w:val="-5"/>
        </w:rPr>
        <w:t> </w:t>
      </w:r>
      <w:r>
        <w:rPr/>
        <w:t>to</w:t>
      </w:r>
      <w:r>
        <w:rPr>
          <w:spacing w:val="-4"/>
        </w:rPr>
        <w:t> </w:t>
      </w:r>
      <w:r>
        <w:rPr/>
        <w:t>the</w:t>
      </w:r>
      <w:r>
        <w:rPr>
          <w:spacing w:val="-4"/>
        </w:rPr>
        <w:t> </w:t>
      </w:r>
      <w:r>
        <w:rPr/>
        <w:t>fact</w:t>
      </w:r>
      <w:r>
        <w:rPr>
          <w:spacing w:val="-4"/>
        </w:rPr>
        <w:t> </w:t>
      </w:r>
      <w:r>
        <w:rPr/>
        <w:t>that</w:t>
      </w:r>
      <w:r>
        <w:rPr>
          <w:spacing w:val="-4"/>
        </w:rPr>
        <w:t> </w:t>
      </w:r>
      <w:r>
        <w:rPr/>
        <w:t>we</w:t>
      </w:r>
      <w:r>
        <w:rPr>
          <w:spacing w:val="-5"/>
        </w:rPr>
        <w:t> </w:t>
      </w:r>
      <w:r>
        <w:rPr/>
        <w:t>may</w:t>
      </w:r>
      <w:r>
        <w:rPr>
          <w:spacing w:val="-4"/>
        </w:rPr>
        <w:t> </w:t>
      </w:r>
      <w:r>
        <w:rPr/>
        <w:t>not</w:t>
      </w:r>
      <w:r>
        <w:rPr>
          <w:spacing w:val="-5"/>
        </w:rPr>
        <w:t> </w:t>
      </w:r>
      <w:r>
        <w:rPr/>
        <w:t>be</w:t>
      </w:r>
      <w:r>
        <w:rPr>
          <w:spacing w:val="-4"/>
        </w:rPr>
        <w:t> </w:t>
      </w:r>
      <w:r>
        <w:rPr/>
        <w:t>able</w:t>
      </w:r>
      <w:r>
        <w:rPr>
          <w:spacing w:val="-4"/>
        </w:rPr>
        <w:t> </w:t>
      </w:r>
      <w:r>
        <w:rPr/>
        <w:t>to </w:t>
      </w:r>
      <w:r>
        <w:rPr>
          <w:spacing w:val="-2"/>
        </w:rPr>
        <w:t>influence</w:t>
      </w:r>
      <w:r>
        <w:rPr>
          <w:spacing w:val="-11"/>
        </w:rPr>
        <w:t> </w:t>
      </w:r>
      <w:r>
        <w:rPr>
          <w:spacing w:val="-2"/>
        </w:rPr>
        <w:t>the</w:t>
      </w:r>
      <w:r>
        <w:rPr>
          <w:spacing w:val="-10"/>
        </w:rPr>
        <w:t> </w:t>
      </w:r>
      <w:r>
        <w:rPr>
          <w:spacing w:val="-2"/>
        </w:rPr>
        <w:t>quality</w:t>
      </w:r>
      <w:r>
        <w:rPr>
          <w:spacing w:val="-11"/>
        </w:rPr>
        <w:t> </w:t>
      </w:r>
      <w:r>
        <w:rPr>
          <w:spacing w:val="-2"/>
        </w:rPr>
        <w:t>of</w:t>
      </w:r>
      <w:r>
        <w:rPr>
          <w:spacing w:val="-10"/>
        </w:rPr>
        <w:t> </w:t>
      </w:r>
      <w:r>
        <w:rPr>
          <w:spacing w:val="-2"/>
        </w:rPr>
        <w:t>support</w:t>
      </w:r>
      <w:r>
        <w:rPr>
          <w:spacing w:val="-11"/>
        </w:rPr>
        <w:t> </w:t>
      </w:r>
      <w:r>
        <w:rPr>
          <w:spacing w:val="-2"/>
        </w:rPr>
        <w:t>as</w:t>
      </w:r>
      <w:r>
        <w:rPr>
          <w:spacing w:val="-10"/>
        </w:rPr>
        <w:t> </w:t>
      </w:r>
      <w:r>
        <w:rPr>
          <w:spacing w:val="-2"/>
        </w:rPr>
        <w:t>directly</w:t>
      </w:r>
      <w:r>
        <w:rPr>
          <w:spacing w:val="-11"/>
        </w:rPr>
        <w:t> </w:t>
      </w:r>
      <w:r>
        <w:rPr>
          <w:spacing w:val="-2"/>
        </w:rPr>
        <w:t>as</w:t>
      </w:r>
      <w:r>
        <w:rPr>
          <w:spacing w:val="-10"/>
        </w:rPr>
        <w:t> </w:t>
      </w:r>
      <w:r>
        <w:rPr>
          <w:spacing w:val="-2"/>
        </w:rPr>
        <w:t>we</w:t>
      </w:r>
      <w:r>
        <w:rPr>
          <w:spacing w:val="-11"/>
        </w:rPr>
        <w:t> </w:t>
      </w:r>
      <w:r>
        <w:rPr>
          <w:spacing w:val="-2"/>
        </w:rPr>
        <w:t>would</w:t>
      </w:r>
      <w:r>
        <w:rPr>
          <w:spacing w:val="-10"/>
        </w:rPr>
        <w:t> </w:t>
      </w:r>
      <w:r>
        <w:rPr>
          <w:spacing w:val="-2"/>
        </w:rPr>
        <w:t>be</w:t>
      </w:r>
      <w:r>
        <w:rPr>
          <w:spacing w:val="-11"/>
        </w:rPr>
        <w:t> </w:t>
      </w:r>
      <w:r>
        <w:rPr>
          <w:spacing w:val="-2"/>
        </w:rPr>
        <w:t>able</w:t>
      </w:r>
      <w:r>
        <w:rPr>
          <w:spacing w:val="-10"/>
        </w:rPr>
        <w:t> </w:t>
      </w:r>
      <w:r>
        <w:rPr>
          <w:spacing w:val="-2"/>
        </w:rPr>
        <w:t>to</w:t>
      </w:r>
      <w:r>
        <w:rPr>
          <w:spacing w:val="-11"/>
        </w:rPr>
        <w:t> </w:t>
      </w:r>
      <w:r>
        <w:rPr>
          <w:spacing w:val="-2"/>
        </w:rPr>
        <w:t>do</w:t>
      </w:r>
      <w:r>
        <w:rPr>
          <w:spacing w:val="-10"/>
        </w:rPr>
        <w:t> </w:t>
      </w:r>
      <w:r>
        <w:rPr>
          <w:spacing w:val="-2"/>
        </w:rPr>
        <w:t>if</w:t>
      </w:r>
      <w:r>
        <w:rPr>
          <w:spacing w:val="-11"/>
        </w:rPr>
        <w:t> </w:t>
      </w:r>
      <w:r>
        <w:rPr>
          <w:spacing w:val="-2"/>
        </w:rPr>
        <w:t>our</w:t>
      </w:r>
      <w:r>
        <w:rPr>
          <w:spacing w:val="-10"/>
        </w:rPr>
        <w:t> </w:t>
      </w:r>
      <w:r>
        <w:rPr>
          <w:spacing w:val="-2"/>
        </w:rPr>
        <w:t>own</w:t>
      </w:r>
      <w:r>
        <w:rPr>
          <w:spacing w:val="-11"/>
        </w:rPr>
        <w:t> </w:t>
      </w:r>
      <w:r>
        <w:rPr>
          <w:spacing w:val="-2"/>
        </w:rPr>
        <w:t>employees</w:t>
      </w:r>
      <w:r>
        <w:rPr>
          <w:spacing w:val="-10"/>
        </w:rPr>
        <w:t> </w:t>
      </w:r>
      <w:r>
        <w:rPr>
          <w:spacing w:val="-2"/>
        </w:rPr>
        <w:t>performed</w:t>
      </w:r>
      <w:r>
        <w:rPr>
          <w:spacing w:val="-11"/>
        </w:rPr>
        <w:t> </w:t>
      </w:r>
      <w:r>
        <w:rPr>
          <w:spacing w:val="-2"/>
        </w:rPr>
        <w:t>these</w:t>
      </w:r>
      <w:r>
        <w:rPr>
          <w:spacing w:val="-10"/>
        </w:rPr>
        <w:t> </w:t>
      </w:r>
      <w:r>
        <w:rPr>
          <w:spacing w:val="-2"/>
        </w:rPr>
        <w:t>activities.</w:t>
      </w:r>
      <w:r>
        <w:rPr>
          <w:spacing w:val="-11"/>
        </w:rPr>
        <w:t> </w:t>
      </w:r>
      <w:r>
        <w:rPr>
          <w:spacing w:val="-2"/>
        </w:rPr>
        <w:t>Our</w:t>
      </w:r>
      <w:r>
        <w:rPr>
          <w:spacing w:val="-10"/>
        </w:rPr>
        <w:t> </w:t>
      </w:r>
      <w:r>
        <w:rPr>
          <w:spacing w:val="-2"/>
        </w:rPr>
        <w:t>customers </w:t>
      </w:r>
      <w:r>
        <w:rPr/>
        <w:t>may</w:t>
      </w:r>
      <w:r>
        <w:rPr>
          <w:spacing w:val="-4"/>
        </w:rPr>
        <w:t> </w:t>
      </w:r>
      <w:r>
        <w:rPr/>
        <w:t>react</w:t>
      </w:r>
      <w:r>
        <w:rPr>
          <w:spacing w:val="-5"/>
        </w:rPr>
        <w:t> </w:t>
      </w:r>
      <w:r>
        <w:rPr/>
        <w:t>negatively</w:t>
      </w:r>
      <w:r>
        <w:rPr>
          <w:spacing w:val="-4"/>
        </w:rPr>
        <w:t> </w:t>
      </w:r>
      <w:r>
        <w:rPr/>
        <w:t>to</w:t>
      </w:r>
      <w:r>
        <w:rPr>
          <w:spacing w:val="-5"/>
        </w:rPr>
        <w:t> </w:t>
      </w:r>
      <w:r>
        <w:rPr/>
        <w:t>providing</w:t>
      </w:r>
      <w:r>
        <w:rPr>
          <w:spacing w:val="-4"/>
        </w:rPr>
        <w:t> </w:t>
      </w:r>
      <w:r>
        <w:rPr/>
        <w:t>information</w:t>
      </w:r>
      <w:r>
        <w:rPr>
          <w:spacing w:val="-5"/>
        </w:rPr>
        <w:t> </w:t>
      </w:r>
      <w:r>
        <w:rPr/>
        <w:t>to,</w:t>
      </w:r>
      <w:r>
        <w:rPr>
          <w:spacing w:val="-4"/>
        </w:rPr>
        <w:t> </w:t>
      </w:r>
      <w:r>
        <w:rPr/>
        <w:t>and</w:t>
      </w:r>
      <w:r>
        <w:rPr>
          <w:spacing w:val="-5"/>
        </w:rPr>
        <w:t> </w:t>
      </w:r>
      <w:r>
        <w:rPr/>
        <w:t>receiving</w:t>
      </w:r>
      <w:r>
        <w:rPr>
          <w:spacing w:val="-4"/>
        </w:rPr>
        <w:t> </w:t>
      </w:r>
      <w:r>
        <w:rPr/>
        <w:t>support</w:t>
      </w:r>
      <w:r>
        <w:rPr>
          <w:spacing w:val="-5"/>
        </w:rPr>
        <w:t> </w:t>
      </w:r>
      <w:r>
        <w:rPr/>
        <w:t>from,</w:t>
      </w:r>
      <w:r>
        <w:rPr>
          <w:spacing w:val="-4"/>
        </w:rPr>
        <w:t> </w:t>
      </w:r>
      <w:r>
        <w:rPr/>
        <w:t>third-party</w:t>
      </w:r>
      <w:r>
        <w:rPr>
          <w:spacing w:val="-5"/>
        </w:rPr>
        <w:t> </w:t>
      </w:r>
      <w:r>
        <w:rPr/>
        <w:t>organizations,</w:t>
      </w:r>
      <w:r>
        <w:rPr>
          <w:spacing w:val="-5"/>
        </w:rPr>
        <w:t> </w:t>
      </w:r>
      <w:r>
        <w:rPr/>
        <w:t>especially</w:t>
      </w:r>
      <w:r>
        <w:rPr>
          <w:spacing w:val="-4"/>
        </w:rPr>
        <w:t> </w:t>
      </w:r>
      <w:r>
        <w:rPr/>
        <w:t>if</w:t>
      </w:r>
      <w:r>
        <w:rPr>
          <w:spacing w:val="-4"/>
        </w:rPr>
        <w:t> </w:t>
      </w:r>
      <w:r>
        <w:rPr/>
        <w:t>these</w:t>
      </w:r>
      <w:r>
        <w:rPr>
          <w:spacing w:val="-5"/>
        </w:rPr>
        <w:t> </w:t>
      </w:r>
      <w:r>
        <w:rPr/>
        <w:t>third- party organizations are based overseas. If we encounter problems with our third-party customer service and technical support providers,</w:t>
      </w:r>
      <w:r>
        <w:rPr>
          <w:spacing w:val="-12"/>
        </w:rPr>
        <w:t> </w:t>
      </w:r>
      <w:r>
        <w:rPr/>
        <w:t>our</w:t>
      </w:r>
      <w:r>
        <w:rPr>
          <w:spacing w:val="-12"/>
        </w:rPr>
        <w:t> </w:t>
      </w:r>
      <w:r>
        <w:rPr/>
        <w:t>reputation</w:t>
      </w:r>
      <w:r>
        <w:rPr>
          <w:spacing w:val="-12"/>
        </w:rPr>
        <w:t> </w:t>
      </w:r>
      <w:r>
        <w:rPr/>
        <w:t>may</w:t>
      </w:r>
      <w:r>
        <w:rPr>
          <w:spacing w:val="-12"/>
        </w:rPr>
        <w:t> </w:t>
      </w:r>
      <w:r>
        <w:rPr/>
        <w:t>be</w:t>
      </w:r>
      <w:r>
        <w:rPr>
          <w:spacing w:val="-12"/>
        </w:rPr>
        <w:t> </w:t>
      </w:r>
      <w:r>
        <w:rPr/>
        <w:t>harmed,</w:t>
      </w:r>
      <w:r>
        <w:rPr>
          <w:spacing w:val="-12"/>
        </w:rPr>
        <w:t> </w:t>
      </w:r>
      <w:r>
        <w:rPr/>
        <w:t>our</w:t>
      </w:r>
      <w:r>
        <w:rPr>
          <w:spacing w:val="-12"/>
        </w:rPr>
        <w:t> </w:t>
      </w:r>
      <w:r>
        <w:rPr/>
        <w:t>ability</w:t>
      </w:r>
      <w:r>
        <w:rPr>
          <w:spacing w:val="-12"/>
        </w:rPr>
        <w:t> </w:t>
      </w:r>
      <w:r>
        <w:rPr/>
        <w:t>to</w:t>
      </w:r>
      <w:r>
        <w:rPr>
          <w:spacing w:val="-12"/>
        </w:rPr>
        <w:t> </w:t>
      </w:r>
      <w:r>
        <w:rPr/>
        <w:t>sell</w:t>
      </w:r>
      <w:r>
        <w:rPr>
          <w:spacing w:val="-12"/>
        </w:rPr>
        <w:t> </w:t>
      </w:r>
      <w:r>
        <w:rPr/>
        <w:t>our</w:t>
      </w:r>
      <w:r>
        <w:rPr>
          <w:spacing w:val="-12"/>
        </w:rPr>
        <w:t> </w:t>
      </w:r>
      <w:r>
        <w:rPr/>
        <w:t>offerings</w:t>
      </w:r>
      <w:r>
        <w:rPr>
          <w:spacing w:val="-12"/>
        </w:rPr>
        <w:t> </w:t>
      </w:r>
      <w:r>
        <w:rPr/>
        <w:t>could</w:t>
      </w:r>
      <w:r>
        <w:rPr>
          <w:spacing w:val="-12"/>
        </w:rPr>
        <w:t> </w:t>
      </w:r>
      <w:r>
        <w:rPr/>
        <w:t>be</w:t>
      </w:r>
      <w:r>
        <w:rPr>
          <w:spacing w:val="-12"/>
        </w:rPr>
        <w:t> </w:t>
      </w:r>
      <w:r>
        <w:rPr/>
        <w:t>adversely</w:t>
      </w:r>
      <w:r>
        <w:rPr>
          <w:spacing w:val="-12"/>
        </w:rPr>
        <w:t> </w:t>
      </w:r>
      <w:r>
        <w:rPr/>
        <w:t>affected,</w:t>
      </w:r>
      <w:r>
        <w:rPr>
          <w:spacing w:val="-12"/>
        </w:rPr>
        <w:t> </w:t>
      </w:r>
      <w:r>
        <w:rPr/>
        <w:t>and</w:t>
      </w:r>
      <w:r>
        <w:rPr>
          <w:spacing w:val="-12"/>
        </w:rPr>
        <w:t> </w:t>
      </w:r>
      <w:r>
        <w:rPr/>
        <w:t>we</w:t>
      </w:r>
      <w:r>
        <w:rPr>
          <w:spacing w:val="-12"/>
        </w:rPr>
        <w:t> </w:t>
      </w:r>
      <w:r>
        <w:rPr/>
        <w:t>could</w:t>
      </w:r>
      <w:r>
        <w:rPr>
          <w:spacing w:val="-12"/>
        </w:rPr>
        <w:t> </w:t>
      </w:r>
      <w:r>
        <w:rPr/>
        <w:t>lose</w:t>
      </w:r>
      <w:r>
        <w:rPr>
          <w:spacing w:val="-12"/>
        </w:rPr>
        <w:t> </w:t>
      </w:r>
      <w:r>
        <w:rPr/>
        <w:t>customers and associated revenue.</w:t>
      </w:r>
    </w:p>
    <w:p>
      <w:pPr>
        <w:pStyle w:val="Heading3"/>
        <w:spacing w:before="187"/>
        <w:ind w:left="750" w:hanging="540"/>
      </w:pPr>
      <w:r>
        <w:rPr/>
        <w:t>Failure</w:t>
      </w:r>
      <w:r>
        <w:rPr>
          <w:spacing w:val="-3"/>
        </w:rPr>
        <w:t> </w:t>
      </w:r>
      <w:r>
        <w:rPr/>
        <w:t>to</w:t>
      </w:r>
      <w:r>
        <w:rPr>
          <w:spacing w:val="-2"/>
        </w:rPr>
        <w:t> </w:t>
      </w:r>
      <w:r>
        <w:rPr/>
        <w:t>manage</w:t>
      </w:r>
      <w:r>
        <w:rPr>
          <w:spacing w:val="-3"/>
        </w:rPr>
        <w:t> </w:t>
      </w:r>
      <w:r>
        <w:rPr/>
        <w:t>our</w:t>
      </w:r>
      <w:r>
        <w:rPr>
          <w:spacing w:val="-1"/>
        </w:rPr>
        <w:t> </w:t>
      </w:r>
      <w:r>
        <w:rPr/>
        <w:t>sales</w:t>
      </w:r>
      <w:r>
        <w:rPr>
          <w:spacing w:val="-2"/>
        </w:rPr>
        <w:t> </w:t>
      </w:r>
      <w:r>
        <w:rPr/>
        <w:t>and</w:t>
      </w:r>
      <w:r>
        <w:rPr>
          <w:spacing w:val="-3"/>
        </w:rPr>
        <w:t> </w:t>
      </w:r>
      <w:r>
        <w:rPr/>
        <w:t>distribution</w:t>
      </w:r>
      <w:r>
        <w:rPr>
          <w:spacing w:val="-1"/>
        </w:rPr>
        <w:t> </w:t>
      </w:r>
      <w:r>
        <w:rPr/>
        <w:t>channels</w:t>
      </w:r>
      <w:r>
        <w:rPr>
          <w:spacing w:val="-2"/>
        </w:rPr>
        <w:t> </w:t>
      </w:r>
      <w:r>
        <w:rPr/>
        <w:t>effectively</w:t>
      </w:r>
      <w:r>
        <w:rPr>
          <w:spacing w:val="-3"/>
        </w:rPr>
        <w:t> </w:t>
      </w:r>
      <w:r>
        <w:rPr/>
        <w:t>could</w:t>
      </w:r>
      <w:r>
        <w:rPr>
          <w:spacing w:val="-1"/>
        </w:rPr>
        <w:t> </w:t>
      </w:r>
      <w:r>
        <w:rPr/>
        <w:t>result</w:t>
      </w:r>
      <w:r>
        <w:rPr>
          <w:spacing w:val="-3"/>
        </w:rPr>
        <w:t> </w:t>
      </w:r>
      <w:r>
        <w:rPr/>
        <w:t>in</w:t>
      </w:r>
      <w:r>
        <w:rPr>
          <w:spacing w:val="-2"/>
        </w:rPr>
        <w:t> </w:t>
      </w:r>
      <w:r>
        <w:rPr/>
        <w:t>a</w:t>
      </w:r>
      <w:r>
        <w:rPr>
          <w:spacing w:val="-2"/>
        </w:rPr>
        <w:t> </w:t>
      </w:r>
      <w:r>
        <w:rPr/>
        <w:t>loss</w:t>
      </w:r>
      <w:r>
        <w:rPr>
          <w:spacing w:val="-1"/>
        </w:rPr>
        <w:t> </w:t>
      </w:r>
      <w:r>
        <w:rPr/>
        <w:t>of</w:t>
      </w:r>
      <w:r>
        <w:rPr>
          <w:spacing w:val="-2"/>
        </w:rPr>
        <w:t> </w:t>
      </w:r>
      <w:r>
        <w:rPr/>
        <w:t>revenue</w:t>
      </w:r>
      <w:r>
        <w:rPr>
          <w:spacing w:val="-3"/>
        </w:rPr>
        <w:t> </w:t>
      </w:r>
      <w:r>
        <w:rPr/>
        <w:t>and</w:t>
      </w:r>
      <w:r>
        <w:rPr>
          <w:spacing w:val="-2"/>
        </w:rPr>
        <w:t> </w:t>
      </w:r>
      <w:r>
        <w:rPr/>
        <w:t>harm</w:t>
      </w:r>
      <w:r>
        <w:rPr>
          <w:spacing w:val="-2"/>
        </w:rPr>
        <w:t> </w:t>
      </w:r>
      <w:r>
        <w:rPr/>
        <w:t>to</w:t>
      </w:r>
      <w:r>
        <w:rPr>
          <w:spacing w:val="-3"/>
        </w:rPr>
        <w:t> </w:t>
      </w:r>
      <w:r>
        <w:rPr/>
        <w:t>our</w:t>
      </w:r>
      <w:r>
        <w:rPr>
          <w:spacing w:val="-1"/>
        </w:rPr>
        <w:t> </w:t>
      </w:r>
      <w:r>
        <w:rPr>
          <w:spacing w:val="-2"/>
        </w:rPr>
        <w:t>business.</w:t>
      </w:r>
    </w:p>
    <w:p>
      <w:pPr>
        <w:pStyle w:val="BodyText"/>
        <w:spacing w:line="249" w:lineRule="auto" w:before="190"/>
        <w:ind w:left="210" w:right="247" w:firstLine="540"/>
        <w:jc w:val="both"/>
      </w:pPr>
      <w:r>
        <w:rPr/>
        <w:t>We</w:t>
      </w:r>
      <w:r>
        <w:rPr>
          <w:spacing w:val="-2"/>
        </w:rPr>
        <w:t> </w:t>
      </w:r>
      <w:r>
        <w:rPr/>
        <w:t>contract</w:t>
      </w:r>
      <w:r>
        <w:rPr>
          <w:spacing w:val="-3"/>
        </w:rPr>
        <w:t> </w:t>
      </w:r>
      <w:r>
        <w:rPr/>
        <w:t>with</w:t>
      </w:r>
      <w:r>
        <w:rPr>
          <w:spacing w:val="-3"/>
        </w:rPr>
        <w:t> </w:t>
      </w:r>
      <w:r>
        <w:rPr/>
        <w:t>a</w:t>
      </w:r>
      <w:r>
        <w:rPr>
          <w:spacing w:val="-2"/>
        </w:rPr>
        <w:t> </w:t>
      </w:r>
      <w:r>
        <w:rPr/>
        <w:t>number</w:t>
      </w:r>
      <w:r>
        <w:rPr>
          <w:spacing w:val="-2"/>
        </w:rPr>
        <w:t> </w:t>
      </w:r>
      <w:r>
        <w:rPr/>
        <w:t>of</w:t>
      </w:r>
      <w:r>
        <w:rPr>
          <w:spacing w:val="-2"/>
        </w:rPr>
        <w:t> </w:t>
      </w:r>
      <w:r>
        <w:rPr/>
        <w:t>software</w:t>
      </w:r>
      <w:r>
        <w:rPr>
          <w:spacing w:val="-3"/>
        </w:rPr>
        <w:t> </w:t>
      </w:r>
      <w:r>
        <w:rPr/>
        <w:t>distributors</w:t>
      </w:r>
      <w:r>
        <w:rPr>
          <w:spacing w:val="-2"/>
        </w:rPr>
        <w:t> </w:t>
      </w:r>
      <w:r>
        <w:rPr/>
        <w:t>and</w:t>
      </w:r>
      <w:r>
        <w:rPr>
          <w:spacing w:val="-2"/>
        </w:rPr>
        <w:t> </w:t>
      </w:r>
      <w:r>
        <w:rPr/>
        <w:t>other</w:t>
      </w:r>
      <w:r>
        <w:rPr>
          <w:spacing w:val="-3"/>
        </w:rPr>
        <w:t> </w:t>
      </w:r>
      <w:r>
        <w:rPr/>
        <w:t>strategic</w:t>
      </w:r>
      <w:r>
        <w:rPr>
          <w:spacing w:val="-3"/>
        </w:rPr>
        <w:t> </w:t>
      </w:r>
      <w:r>
        <w:rPr/>
        <w:t>partners,</w:t>
      </w:r>
      <w:r>
        <w:rPr>
          <w:spacing w:val="-2"/>
        </w:rPr>
        <w:t> </w:t>
      </w:r>
      <w:r>
        <w:rPr/>
        <w:t>none</w:t>
      </w:r>
      <w:r>
        <w:rPr>
          <w:spacing w:val="-3"/>
        </w:rPr>
        <w:t> </w:t>
      </w:r>
      <w:r>
        <w:rPr/>
        <w:t>of</w:t>
      </w:r>
      <w:r>
        <w:rPr>
          <w:spacing w:val="-3"/>
        </w:rPr>
        <w:t> </w:t>
      </w:r>
      <w:r>
        <w:rPr/>
        <w:t>which</w:t>
      </w:r>
      <w:r>
        <w:rPr>
          <w:spacing w:val="-2"/>
        </w:rPr>
        <w:t> </w:t>
      </w:r>
      <w:r>
        <w:rPr/>
        <w:t>is</w:t>
      </w:r>
      <w:r>
        <w:rPr>
          <w:spacing w:val="-2"/>
        </w:rPr>
        <w:t> </w:t>
      </w:r>
      <w:r>
        <w:rPr/>
        <w:t>individually</w:t>
      </w:r>
      <w:r>
        <w:rPr>
          <w:spacing w:val="-2"/>
        </w:rPr>
        <w:t> </w:t>
      </w:r>
      <w:r>
        <w:rPr/>
        <w:t>responsible </w:t>
      </w:r>
      <w:r>
        <w:rPr>
          <w:spacing w:val="-2"/>
        </w:rPr>
        <w:t>for</w:t>
      </w:r>
      <w:r>
        <w:rPr>
          <w:spacing w:val="-10"/>
        </w:rPr>
        <w:t> </w:t>
      </w:r>
      <w:r>
        <w:rPr>
          <w:spacing w:val="-2"/>
        </w:rPr>
        <w:t>a</w:t>
      </w:r>
      <w:r>
        <w:rPr>
          <w:spacing w:val="-10"/>
        </w:rPr>
        <w:t> </w:t>
      </w:r>
      <w:r>
        <w:rPr>
          <w:spacing w:val="-2"/>
        </w:rPr>
        <w:t>material</w:t>
      </w:r>
      <w:r>
        <w:rPr>
          <w:spacing w:val="-11"/>
        </w:rPr>
        <w:t> </w:t>
      </w:r>
      <w:r>
        <w:rPr>
          <w:spacing w:val="-2"/>
        </w:rPr>
        <w:t>amount</w:t>
      </w:r>
      <w:r>
        <w:rPr>
          <w:spacing w:val="-9"/>
        </w:rPr>
        <w:t> </w:t>
      </w:r>
      <w:r>
        <w:rPr>
          <w:spacing w:val="-2"/>
        </w:rPr>
        <w:t>of</w:t>
      </w:r>
      <w:r>
        <w:rPr>
          <w:spacing w:val="-10"/>
        </w:rPr>
        <w:t> </w:t>
      </w:r>
      <w:r>
        <w:rPr>
          <w:spacing w:val="-2"/>
        </w:rPr>
        <w:t>our</w:t>
      </w:r>
      <w:r>
        <w:rPr>
          <w:spacing w:val="-10"/>
        </w:rPr>
        <w:t> </w:t>
      </w:r>
      <w:r>
        <w:rPr>
          <w:spacing w:val="-2"/>
        </w:rPr>
        <w:t>total</w:t>
      </w:r>
      <w:r>
        <w:rPr>
          <w:spacing w:val="-10"/>
        </w:rPr>
        <w:t> </w:t>
      </w:r>
      <w:r>
        <w:rPr>
          <w:spacing w:val="-2"/>
        </w:rPr>
        <w:t>net</w:t>
      </w:r>
      <w:r>
        <w:rPr>
          <w:spacing w:val="-10"/>
        </w:rPr>
        <w:t> </w:t>
      </w:r>
      <w:r>
        <w:rPr>
          <w:spacing w:val="-2"/>
        </w:rPr>
        <w:t>revenue</w:t>
      </w:r>
      <w:r>
        <w:rPr>
          <w:spacing w:val="-10"/>
        </w:rPr>
        <w:t> </w:t>
      </w:r>
      <w:r>
        <w:rPr>
          <w:spacing w:val="-2"/>
        </w:rPr>
        <w:t>for</w:t>
      </w:r>
      <w:r>
        <w:rPr>
          <w:spacing w:val="-10"/>
        </w:rPr>
        <w:t> </w:t>
      </w:r>
      <w:r>
        <w:rPr>
          <w:spacing w:val="-2"/>
        </w:rPr>
        <w:t>any</w:t>
      </w:r>
      <w:r>
        <w:rPr>
          <w:spacing w:val="-10"/>
        </w:rPr>
        <w:t> </w:t>
      </w:r>
      <w:r>
        <w:rPr>
          <w:spacing w:val="-2"/>
        </w:rPr>
        <w:t>recent</w:t>
      </w:r>
      <w:r>
        <w:rPr>
          <w:spacing w:val="-10"/>
        </w:rPr>
        <w:t> </w:t>
      </w:r>
      <w:r>
        <w:rPr>
          <w:spacing w:val="-2"/>
        </w:rPr>
        <w:t>period.</w:t>
      </w:r>
      <w:r>
        <w:rPr>
          <w:spacing w:val="-10"/>
        </w:rPr>
        <w:t> </w:t>
      </w:r>
      <w:r>
        <w:rPr>
          <w:spacing w:val="-2"/>
        </w:rPr>
        <w:t>Nonetheless,</w:t>
      </w:r>
      <w:r>
        <w:rPr>
          <w:spacing w:val="-10"/>
        </w:rPr>
        <w:t> </w:t>
      </w:r>
      <w:r>
        <w:rPr>
          <w:spacing w:val="-2"/>
        </w:rPr>
        <w:t>if</w:t>
      </w:r>
      <w:r>
        <w:rPr>
          <w:spacing w:val="-10"/>
        </w:rPr>
        <w:t> </w:t>
      </w:r>
      <w:r>
        <w:rPr>
          <w:spacing w:val="-2"/>
        </w:rPr>
        <w:t>any</w:t>
      </w:r>
      <w:r>
        <w:rPr>
          <w:spacing w:val="-10"/>
        </w:rPr>
        <w:t> </w:t>
      </w:r>
      <w:r>
        <w:rPr>
          <w:spacing w:val="-2"/>
        </w:rPr>
        <w:t>single</w:t>
      </w:r>
      <w:r>
        <w:rPr>
          <w:spacing w:val="-10"/>
        </w:rPr>
        <w:t> </w:t>
      </w:r>
      <w:r>
        <w:rPr>
          <w:spacing w:val="-2"/>
        </w:rPr>
        <w:t>agreement</w:t>
      </w:r>
      <w:r>
        <w:rPr>
          <w:spacing w:val="-11"/>
        </w:rPr>
        <w:t> </w:t>
      </w:r>
      <w:r>
        <w:rPr>
          <w:spacing w:val="-2"/>
        </w:rPr>
        <w:t>with</w:t>
      </w:r>
      <w:r>
        <w:rPr>
          <w:spacing w:val="-9"/>
        </w:rPr>
        <w:t> </w:t>
      </w:r>
      <w:r>
        <w:rPr>
          <w:spacing w:val="-2"/>
        </w:rPr>
        <w:t>one</w:t>
      </w:r>
      <w:r>
        <w:rPr>
          <w:spacing w:val="-11"/>
        </w:rPr>
        <w:t> </w:t>
      </w:r>
      <w:r>
        <w:rPr>
          <w:spacing w:val="-2"/>
        </w:rPr>
        <w:t>of</w:t>
      </w:r>
      <w:r>
        <w:rPr>
          <w:spacing w:val="-9"/>
        </w:rPr>
        <w:t> </w:t>
      </w:r>
      <w:r>
        <w:rPr>
          <w:spacing w:val="-2"/>
        </w:rPr>
        <w:t>our</w:t>
      </w:r>
      <w:r>
        <w:rPr>
          <w:spacing w:val="-10"/>
        </w:rPr>
        <w:t> </w:t>
      </w:r>
      <w:r>
        <w:rPr>
          <w:spacing w:val="-2"/>
        </w:rPr>
        <w:t>distributors were</w:t>
      </w:r>
      <w:r>
        <w:rPr>
          <w:spacing w:val="-13"/>
        </w:rPr>
        <w:t> </w:t>
      </w:r>
      <w:r>
        <w:rPr>
          <w:spacing w:val="-2"/>
        </w:rPr>
        <w:t>terminated,</w:t>
      </w:r>
      <w:r>
        <w:rPr>
          <w:spacing w:val="-11"/>
        </w:rPr>
        <w:t> </w:t>
      </w:r>
      <w:r>
        <w:rPr>
          <w:spacing w:val="-2"/>
        </w:rPr>
        <w:t>any</w:t>
      </w:r>
      <w:r>
        <w:rPr>
          <w:spacing w:val="-13"/>
        </w:rPr>
        <w:t> </w:t>
      </w:r>
      <w:r>
        <w:rPr>
          <w:spacing w:val="-2"/>
        </w:rPr>
        <w:t>prolonged</w:t>
      </w:r>
      <w:r>
        <w:rPr>
          <w:spacing w:val="-12"/>
        </w:rPr>
        <w:t> </w:t>
      </w:r>
      <w:r>
        <w:rPr>
          <w:spacing w:val="-2"/>
        </w:rPr>
        <w:t>delay</w:t>
      </w:r>
      <w:r>
        <w:rPr>
          <w:spacing w:val="-12"/>
        </w:rPr>
        <w:t> </w:t>
      </w:r>
      <w:r>
        <w:rPr>
          <w:spacing w:val="-2"/>
        </w:rPr>
        <w:t>in</w:t>
      </w:r>
      <w:r>
        <w:rPr>
          <w:spacing w:val="-12"/>
        </w:rPr>
        <w:t> </w:t>
      </w:r>
      <w:r>
        <w:rPr>
          <w:spacing w:val="-2"/>
        </w:rPr>
        <w:t>securing</w:t>
      </w:r>
      <w:r>
        <w:rPr>
          <w:spacing w:val="-13"/>
        </w:rPr>
        <w:t> </w:t>
      </w:r>
      <w:r>
        <w:rPr>
          <w:spacing w:val="-2"/>
        </w:rPr>
        <w:t>a</w:t>
      </w:r>
      <w:r>
        <w:rPr>
          <w:spacing w:val="-11"/>
        </w:rPr>
        <w:t> </w:t>
      </w:r>
      <w:r>
        <w:rPr>
          <w:spacing w:val="-2"/>
        </w:rPr>
        <w:t>replacement</w:t>
      </w:r>
      <w:r>
        <w:rPr>
          <w:spacing w:val="-13"/>
        </w:rPr>
        <w:t> </w:t>
      </w:r>
      <w:r>
        <w:rPr>
          <w:spacing w:val="-2"/>
        </w:rPr>
        <w:t>distributor</w:t>
      </w:r>
      <w:r>
        <w:rPr>
          <w:spacing w:val="-12"/>
        </w:rPr>
        <w:t> </w:t>
      </w:r>
      <w:r>
        <w:rPr>
          <w:spacing w:val="-2"/>
        </w:rPr>
        <w:t>could</w:t>
      </w:r>
      <w:r>
        <w:rPr>
          <w:spacing w:val="-13"/>
        </w:rPr>
        <w:t> </w:t>
      </w:r>
      <w:r>
        <w:rPr>
          <w:spacing w:val="-2"/>
        </w:rPr>
        <w:t>have</w:t>
      </w:r>
      <w:r>
        <w:rPr>
          <w:spacing w:val="-12"/>
        </w:rPr>
        <w:t> </w:t>
      </w:r>
      <w:r>
        <w:rPr>
          <w:spacing w:val="-2"/>
        </w:rPr>
        <w:t>a</w:t>
      </w:r>
      <w:r>
        <w:rPr>
          <w:spacing w:val="-12"/>
        </w:rPr>
        <w:t> </w:t>
      </w:r>
      <w:r>
        <w:rPr>
          <w:spacing w:val="-2"/>
        </w:rPr>
        <w:t>negative</w:t>
      </w:r>
      <w:r>
        <w:rPr>
          <w:spacing w:val="-12"/>
        </w:rPr>
        <w:t> </w:t>
      </w:r>
      <w:r>
        <w:rPr>
          <w:spacing w:val="-2"/>
        </w:rPr>
        <w:t>impact</w:t>
      </w:r>
      <w:r>
        <w:rPr>
          <w:spacing w:val="-13"/>
        </w:rPr>
        <w:t> </w:t>
      </w:r>
      <w:r>
        <w:rPr>
          <w:spacing w:val="-2"/>
        </w:rPr>
        <w:t>on</w:t>
      </w:r>
      <w:r>
        <w:rPr>
          <w:spacing w:val="-11"/>
        </w:rPr>
        <w:t> </w:t>
      </w:r>
      <w:r>
        <w:rPr>
          <w:spacing w:val="-2"/>
        </w:rPr>
        <w:t>our</w:t>
      </w:r>
      <w:r>
        <w:rPr>
          <w:spacing w:val="-13"/>
        </w:rPr>
        <w:t> </w:t>
      </w:r>
      <w:r>
        <w:rPr>
          <w:spacing w:val="-2"/>
        </w:rPr>
        <w:t>results</w:t>
      </w:r>
      <w:r>
        <w:rPr>
          <w:spacing w:val="-11"/>
        </w:rPr>
        <w:t> </w:t>
      </w:r>
      <w:r>
        <w:rPr>
          <w:spacing w:val="-2"/>
        </w:rPr>
        <w:t>of</w:t>
      </w:r>
      <w:r>
        <w:rPr>
          <w:spacing w:val="-12"/>
        </w:rPr>
        <w:t> </w:t>
      </w:r>
      <w:r>
        <w:rPr>
          <w:spacing w:val="-2"/>
        </w:rPr>
        <w:t>operations.</w:t>
      </w:r>
    </w:p>
    <w:p>
      <w:pPr>
        <w:pStyle w:val="BodyText"/>
        <w:spacing w:before="13"/>
      </w:pPr>
    </w:p>
    <w:p>
      <w:pPr>
        <w:pStyle w:val="BodyText"/>
        <w:spacing w:line="249" w:lineRule="auto"/>
        <w:ind w:left="210" w:right="247" w:firstLine="540"/>
        <w:jc w:val="both"/>
      </w:pPr>
      <w:r>
        <w:rPr/>
        <w:t>Successfully managing our indirect distribution channel efforts to reach various customer segments for our products and services</w:t>
      </w:r>
      <w:r>
        <w:rPr>
          <w:spacing w:val="-9"/>
        </w:rPr>
        <w:t> </w:t>
      </w:r>
      <w:r>
        <w:rPr/>
        <w:t>is</w:t>
      </w:r>
      <w:r>
        <w:rPr>
          <w:spacing w:val="-9"/>
        </w:rPr>
        <w:t> </w:t>
      </w:r>
      <w:r>
        <w:rPr/>
        <w:t>a</w:t>
      </w:r>
      <w:r>
        <w:rPr>
          <w:spacing w:val="-9"/>
        </w:rPr>
        <w:t> </w:t>
      </w:r>
      <w:r>
        <w:rPr/>
        <w:t>complex</w:t>
      </w:r>
      <w:r>
        <w:rPr>
          <w:spacing w:val="-9"/>
        </w:rPr>
        <w:t> </w:t>
      </w:r>
      <w:r>
        <w:rPr/>
        <w:t>process</w:t>
      </w:r>
      <w:r>
        <w:rPr>
          <w:spacing w:val="-9"/>
        </w:rPr>
        <w:t> </w:t>
      </w:r>
      <w:r>
        <w:rPr/>
        <w:t>across</w:t>
      </w:r>
      <w:r>
        <w:rPr>
          <w:spacing w:val="-9"/>
        </w:rPr>
        <w:t> </w:t>
      </w:r>
      <w:r>
        <w:rPr/>
        <w:t>the</w:t>
      </w:r>
      <w:r>
        <w:rPr>
          <w:spacing w:val="-9"/>
        </w:rPr>
        <w:t> </w:t>
      </w:r>
      <w:r>
        <w:rPr/>
        <w:t>broad</w:t>
      </w:r>
      <w:r>
        <w:rPr>
          <w:spacing w:val="-9"/>
        </w:rPr>
        <w:t> </w:t>
      </w:r>
      <w:r>
        <w:rPr/>
        <w:t>range</w:t>
      </w:r>
      <w:r>
        <w:rPr>
          <w:spacing w:val="-9"/>
        </w:rPr>
        <w:t> </w:t>
      </w:r>
      <w:r>
        <w:rPr/>
        <w:t>of</w:t>
      </w:r>
      <w:r>
        <w:rPr>
          <w:spacing w:val="-9"/>
        </w:rPr>
        <w:t> </w:t>
      </w:r>
      <w:r>
        <w:rPr/>
        <w:t>geographies</w:t>
      </w:r>
      <w:r>
        <w:rPr>
          <w:spacing w:val="-9"/>
        </w:rPr>
        <w:t> </w:t>
      </w:r>
      <w:r>
        <w:rPr/>
        <w:t>where</w:t>
      </w:r>
      <w:r>
        <w:rPr>
          <w:spacing w:val="-9"/>
        </w:rPr>
        <w:t> </w:t>
      </w:r>
      <w:r>
        <w:rPr/>
        <w:t>we</w:t>
      </w:r>
      <w:r>
        <w:rPr>
          <w:spacing w:val="-9"/>
        </w:rPr>
        <w:t> </w:t>
      </w:r>
      <w:r>
        <w:rPr/>
        <w:t>do</w:t>
      </w:r>
      <w:r>
        <w:rPr>
          <w:spacing w:val="-9"/>
        </w:rPr>
        <w:t> </w:t>
      </w:r>
      <w:r>
        <w:rPr/>
        <w:t>business</w:t>
      </w:r>
      <w:r>
        <w:rPr>
          <w:spacing w:val="-9"/>
        </w:rPr>
        <w:t> </w:t>
      </w:r>
      <w:r>
        <w:rPr/>
        <w:t>or</w:t>
      </w:r>
      <w:r>
        <w:rPr>
          <w:spacing w:val="-9"/>
        </w:rPr>
        <w:t> </w:t>
      </w:r>
      <w:r>
        <w:rPr/>
        <w:t>plan</w:t>
      </w:r>
      <w:r>
        <w:rPr>
          <w:spacing w:val="-9"/>
        </w:rPr>
        <w:t> </w:t>
      </w:r>
      <w:r>
        <w:rPr/>
        <w:t>to</w:t>
      </w:r>
      <w:r>
        <w:rPr>
          <w:spacing w:val="-9"/>
        </w:rPr>
        <w:t> </w:t>
      </w:r>
      <w:r>
        <w:rPr/>
        <w:t>do</w:t>
      </w:r>
      <w:r>
        <w:rPr>
          <w:spacing w:val="-9"/>
        </w:rPr>
        <w:t> </w:t>
      </w:r>
      <w:r>
        <w:rPr/>
        <w:t>business.</w:t>
      </w:r>
      <w:r>
        <w:rPr>
          <w:spacing w:val="-9"/>
        </w:rPr>
        <w:t> </w:t>
      </w:r>
      <w:r>
        <w:rPr/>
        <w:t>Our</w:t>
      </w:r>
      <w:r>
        <w:rPr>
          <w:spacing w:val="-9"/>
        </w:rPr>
        <w:t> </w:t>
      </w:r>
      <w:r>
        <w:rPr/>
        <w:t>distributors and other channel partners are independent businesses that we do not control. Notwithstanding the independence of our channel partners,</w:t>
      </w:r>
      <w:r>
        <w:rPr>
          <w:spacing w:val="-1"/>
        </w:rPr>
        <w:t> </w:t>
      </w:r>
      <w:r>
        <w:rPr/>
        <w:t>we</w:t>
      </w:r>
      <w:r>
        <w:rPr>
          <w:spacing w:val="-1"/>
        </w:rPr>
        <w:t> </w:t>
      </w:r>
      <w:r>
        <w:rPr/>
        <w:t>face</w:t>
      </w:r>
      <w:r>
        <w:rPr>
          <w:spacing w:val="-1"/>
        </w:rPr>
        <w:t> </w:t>
      </w:r>
      <w:r>
        <w:rPr/>
        <w:t>legal</w:t>
      </w:r>
      <w:r>
        <w:rPr>
          <w:spacing w:val="-1"/>
        </w:rPr>
        <w:t> </w:t>
      </w:r>
      <w:r>
        <w:rPr/>
        <w:t>risk</w:t>
      </w:r>
      <w:r>
        <w:rPr>
          <w:spacing w:val="-1"/>
        </w:rPr>
        <w:t> </w:t>
      </w:r>
      <w:r>
        <w:rPr/>
        <w:t>and</w:t>
      </w:r>
      <w:r>
        <w:rPr>
          <w:spacing w:val="-1"/>
        </w:rPr>
        <w:t> </w:t>
      </w:r>
      <w:r>
        <w:rPr/>
        <w:t>potential</w:t>
      </w:r>
      <w:r>
        <w:rPr>
          <w:spacing w:val="-2"/>
        </w:rPr>
        <w:t> </w:t>
      </w:r>
      <w:r>
        <w:rPr/>
        <w:t>reputational</w:t>
      </w:r>
      <w:r>
        <w:rPr>
          <w:spacing w:val="-2"/>
        </w:rPr>
        <w:t> </w:t>
      </w:r>
      <w:r>
        <w:rPr/>
        <w:t>harm</w:t>
      </w:r>
      <w:r>
        <w:rPr>
          <w:spacing w:val="-1"/>
        </w:rPr>
        <w:t> </w:t>
      </w:r>
      <w:r>
        <w:rPr/>
        <w:t>from</w:t>
      </w:r>
      <w:r>
        <w:rPr>
          <w:spacing w:val="-1"/>
        </w:rPr>
        <w:t> </w:t>
      </w:r>
      <w:r>
        <w:rPr/>
        <w:t>the</w:t>
      </w:r>
      <w:r>
        <w:rPr>
          <w:spacing w:val="-1"/>
        </w:rPr>
        <w:t> </w:t>
      </w:r>
      <w:r>
        <w:rPr/>
        <w:t>activities</w:t>
      </w:r>
      <w:r>
        <w:rPr>
          <w:spacing w:val="-1"/>
        </w:rPr>
        <w:t> </w:t>
      </w:r>
      <w:r>
        <w:rPr/>
        <w:t>of</w:t>
      </w:r>
      <w:r>
        <w:rPr>
          <w:spacing w:val="-1"/>
        </w:rPr>
        <w:t> </w:t>
      </w:r>
      <w:r>
        <w:rPr/>
        <w:t>these</w:t>
      </w:r>
      <w:r>
        <w:rPr>
          <w:spacing w:val="-1"/>
        </w:rPr>
        <w:t> </w:t>
      </w:r>
      <w:r>
        <w:rPr/>
        <w:t>third</w:t>
      </w:r>
      <w:r>
        <w:rPr>
          <w:spacing w:val="-1"/>
        </w:rPr>
        <w:t> </w:t>
      </w:r>
      <w:r>
        <w:rPr/>
        <w:t>parties</w:t>
      </w:r>
      <w:r>
        <w:rPr>
          <w:spacing w:val="-1"/>
        </w:rPr>
        <w:t> </w:t>
      </w:r>
      <w:r>
        <w:rPr/>
        <w:t>including,</w:t>
      </w:r>
      <w:r>
        <w:rPr>
          <w:spacing w:val="-1"/>
        </w:rPr>
        <w:t> </w:t>
      </w:r>
      <w:r>
        <w:rPr/>
        <w:t>but</w:t>
      </w:r>
      <w:r>
        <w:rPr>
          <w:spacing w:val="-1"/>
        </w:rPr>
        <w:t> </w:t>
      </w:r>
      <w:r>
        <w:rPr/>
        <w:t>not</w:t>
      </w:r>
      <w:r>
        <w:rPr>
          <w:spacing w:val="-1"/>
        </w:rPr>
        <w:t> </w:t>
      </w:r>
      <w:r>
        <w:rPr/>
        <w:t>limited</w:t>
      </w:r>
      <w:r>
        <w:rPr>
          <w:spacing w:val="-1"/>
        </w:rPr>
        <w:t> </w:t>
      </w:r>
      <w:r>
        <w:rPr/>
        <w:t>to, export control violations, workplace conditions, corruption and anti-competitive behavior.</w:t>
      </w:r>
    </w:p>
    <w:p>
      <w:pPr>
        <w:pStyle w:val="BodyText"/>
        <w:spacing w:line="249" w:lineRule="auto" w:before="184"/>
        <w:ind w:left="210" w:right="247" w:firstLine="540"/>
        <w:jc w:val="both"/>
      </w:pPr>
      <w:r>
        <w:rPr/>
        <w:t>We</w:t>
      </w:r>
      <w:r>
        <w:rPr>
          <w:spacing w:val="-1"/>
        </w:rPr>
        <w:t> </w:t>
      </w:r>
      <w:r>
        <w:rPr/>
        <w:t>cannot</w:t>
      </w:r>
      <w:r>
        <w:rPr>
          <w:spacing w:val="-1"/>
        </w:rPr>
        <w:t> </w:t>
      </w:r>
      <w:r>
        <w:rPr/>
        <w:t>be</w:t>
      </w:r>
      <w:r>
        <w:rPr>
          <w:spacing w:val="-1"/>
        </w:rPr>
        <w:t> </w:t>
      </w:r>
      <w:r>
        <w:rPr/>
        <w:t>certain</w:t>
      </w:r>
      <w:r>
        <w:rPr>
          <w:spacing w:val="-1"/>
        </w:rPr>
        <w:t> </w:t>
      </w:r>
      <w:r>
        <w:rPr/>
        <w:t>that</w:t>
      </w:r>
      <w:r>
        <w:rPr>
          <w:spacing w:val="-1"/>
        </w:rPr>
        <w:t> </w:t>
      </w:r>
      <w:r>
        <w:rPr/>
        <w:t>our</w:t>
      </w:r>
      <w:r>
        <w:rPr>
          <w:spacing w:val="-1"/>
        </w:rPr>
        <w:t> </w:t>
      </w:r>
      <w:r>
        <w:rPr/>
        <w:t>distribution</w:t>
      </w:r>
      <w:r>
        <w:rPr>
          <w:spacing w:val="-1"/>
        </w:rPr>
        <w:t> </w:t>
      </w:r>
      <w:r>
        <w:rPr/>
        <w:t>channel</w:t>
      </w:r>
      <w:r>
        <w:rPr>
          <w:spacing w:val="-1"/>
        </w:rPr>
        <w:t> </w:t>
      </w:r>
      <w:r>
        <w:rPr/>
        <w:t>will</w:t>
      </w:r>
      <w:r>
        <w:rPr>
          <w:spacing w:val="-1"/>
        </w:rPr>
        <w:t> </w:t>
      </w:r>
      <w:r>
        <w:rPr/>
        <w:t>continue</w:t>
      </w:r>
      <w:r>
        <w:rPr>
          <w:spacing w:val="-1"/>
        </w:rPr>
        <w:t> </w:t>
      </w:r>
      <w:r>
        <w:rPr/>
        <w:t>to</w:t>
      </w:r>
      <w:r>
        <w:rPr>
          <w:spacing w:val="-1"/>
        </w:rPr>
        <w:t> </w:t>
      </w:r>
      <w:r>
        <w:rPr/>
        <w:t>market</w:t>
      </w:r>
      <w:r>
        <w:rPr>
          <w:spacing w:val="-1"/>
        </w:rPr>
        <w:t> </w:t>
      </w:r>
      <w:r>
        <w:rPr/>
        <w:t>or</w:t>
      </w:r>
      <w:r>
        <w:rPr>
          <w:spacing w:val="-1"/>
        </w:rPr>
        <w:t> </w:t>
      </w:r>
      <w:r>
        <w:rPr/>
        <w:t>sell</w:t>
      </w:r>
      <w:r>
        <w:rPr>
          <w:spacing w:val="-1"/>
        </w:rPr>
        <w:t> </w:t>
      </w:r>
      <w:r>
        <w:rPr/>
        <w:t>our</w:t>
      </w:r>
      <w:r>
        <w:rPr>
          <w:spacing w:val="-1"/>
        </w:rPr>
        <w:t> </w:t>
      </w:r>
      <w:r>
        <w:rPr/>
        <w:t>products</w:t>
      </w:r>
      <w:r>
        <w:rPr>
          <w:spacing w:val="-1"/>
        </w:rPr>
        <w:t> </w:t>
      </w:r>
      <w:r>
        <w:rPr/>
        <w:t>and</w:t>
      </w:r>
      <w:r>
        <w:rPr>
          <w:spacing w:val="-1"/>
        </w:rPr>
        <w:t> </w:t>
      </w:r>
      <w:r>
        <w:rPr/>
        <w:t>services</w:t>
      </w:r>
      <w:r>
        <w:rPr>
          <w:spacing w:val="-1"/>
        </w:rPr>
        <w:t> </w:t>
      </w:r>
      <w:r>
        <w:rPr/>
        <w:t>effectively.</w:t>
      </w:r>
      <w:r>
        <w:rPr>
          <w:spacing w:val="-1"/>
        </w:rPr>
        <w:t> </w:t>
      </w:r>
      <w:r>
        <w:rPr/>
        <w:t>If our</w:t>
      </w:r>
      <w:r>
        <w:rPr>
          <w:spacing w:val="-1"/>
        </w:rPr>
        <w:t> </w:t>
      </w:r>
      <w:r>
        <w:rPr/>
        <w:t>distribution</w:t>
      </w:r>
      <w:r>
        <w:rPr>
          <w:spacing w:val="-1"/>
        </w:rPr>
        <w:t> </w:t>
      </w:r>
      <w:r>
        <w:rPr/>
        <w:t>channel</w:t>
      </w:r>
      <w:r>
        <w:rPr>
          <w:spacing w:val="-1"/>
        </w:rPr>
        <w:t> </w:t>
      </w:r>
      <w:r>
        <w:rPr/>
        <w:t>is</w:t>
      </w:r>
      <w:r>
        <w:rPr>
          <w:spacing w:val="-1"/>
        </w:rPr>
        <w:t> </w:t>
      </w:r>
      <w:r>
        <w:rPr/>
        <w:t>not</w:t>
      </w:r>
      <w:r>
        <w:rPr>
          <w:spacing w:val="-1"/>
        </w:rPr>
        <w:t> </w:t>
      </w:r>
      <w:r>
        <w:rPr/>
        <w:t>successful,</w:t>
      </w:r>
      <w:r>
        <w:rPr>
          <w:spacing w:val="-1"/>
        </w:rPr>
        <w:t> </w:t>
      </w:r>
      <w:r>
        <w:rPr/>
        <w:t>we</w:t>
      </w:r>
      <w:r>
        <w:rPr>
          <w:spacing w:val="-1"/>
        </w:rPr>
        <w:t> </w:t>
      </w:r>
      <w:r>
        <w:rPr/>
        <w:t>may</w:t>
      </w:r>
      <w:r>
        <w:rPr>
          <w:spacing w:val="-1"/>
        </w:rPr>
        <w:t> </w:t>
      </w:r>
      <w:r>
        <w:rPr/>
        <w:t>lose</w:t>
      </w:r>
      <w:r>
        <w:rPr>
          <w:spacing w:val="-1"/>
        </w:rPr>
        <w:t> </w:t>
      </w:r>
      <w:r>
        <w:rPr/>
        <w:t>sales</w:t>
      </w:r>
      <w:r>
        <w:rPr>
          <w:spacing w:val="-1"/>
        </w:rPr>
        <w:t> </w:t>
      </w:r>
      <w:r>
        <w:rPr/>
        <w:t>opportunities,</w:t>
      </w:r>
      <w:r>
        <w:rPr>
          <w:spacing w:val="-1"/>
        </w:rPr>
        <w:t> </w:t>
      </w:r>
      <w:r>
        <w:rPr/>
        <w:t>customers</w:t>
      </w:r>
      <w:r>
        <w:rPr>
          <w:spacing w:val="-1"/>
        </w:rPr>
        <w:t> </w:t>
      </w:r>
      <w:r>
        <w:rPr/>
        <w:t>and</w:t>
      </w:r>
      <w:r>
        <w:rPr>
          <w:spacing w:val="-1"/>
        </w:rPr>
        <w:t> </w:t>
      </w:r>
      <w:r>
        <w:rPr/>
        <w:t>revenue.</w:t>
      </w:r>
      <w:r>
        <w:rPr>
          <w:spacing w:val="-1"/>
        </w:rPr>
        <w:t> </w:t>
      </w:r>
      <w:r>
        <w:rPr/>
        <w:t>Our</w:t>
      </w:r>
      <w:r>
        <w:rPr>
          <w:spacing w:val="-1"/>
        </w:rPr>
        <w:t> </w:t>
      </w:r>
      <w:r>
        <w:rPr/>
        <w:t>distributors</w:t>
      </w:r>
      <w:r>
        <w:rPr>
          <w:spacing w:val="-1"/>
        </w:rPr>
        <w:t> </w:t>
      </w:r>
      <w:r>
        <w:rPr/>
        <w:t>also</w:t>
      </w:r>
      <w:r>
        <w:rPr>
          <w:spacing w:val="-1"/>
        </w:rPr>
        <w:t> </w:t>
      </w:r>
      <w:r>
        <w:rPr/>
        <w:t>sell</w:t>
      </w:r>
      <w:r>
        <w:rPr>
          <w:spacing w:val="-1"/>
        </w:rPr>
        <w:t> </w:t>
      </w:r>
      <w:r>
        <w:rPr/>
        <w:t>our competitors’</w:t>
      </w:r>
      <w:r>
        <w:rPr>
          <w:spacing w:val="-13"/>
        </w:rPr>
        <w:t> </w:t>
      </w:r>
      <w:r>
        <w:rPr/>
        <w:t>products</w:t>
      </w:r>
      <w:r>
        <w:rPr>
          <w:spacing w:val="-12"/>
        </w:rPr>
        <w:t> </w:t>
      </w:r>
      <w:r>
        <w:rPr/>
        <w:t>and</w:t>
      </w:r>
      <w:r>
        <w:rPr>
          <w:spacing w:val="-13"/>
        </w:rPr>
        <w:t> </w:t>
      </w:r>
      <w:r>
        <w:rPr/>
        <w:t>services,</w:t>
      </w:r>
      <w:r>
        <w:rPr>
          <w:spacing w:val="-12"/>
        </w:rPr>
        <w:t> </w:t>
      </w:r>
      <w:r>
        <w:rPr/>
        <w:t>and</w:t>
      </w:r>
      <w:r>
        <w:rPr>
          <w:spacing w:val="-11"/>
        </w:rPr>
        <w:t> </w:t>
      </w:r>
      <w:r>
        <w:rPr/>
        <w:t>if</w:t>
      </w:r>
      <w:r>
        <w:rPr>
          <w:spacing w:val="-8"/>
        </w:rPr>
        <w:t> </w:t>
      </w:r>
      <w:r>
        <w:rPr/>
        <w:t>they</w:t>
      </w:r>
      <w:r>
        <w:rPr>
          <w:spacing w:val="-8"/>
        </w:rPr>
        <w:t> </w:t>
      </w:r>
      <w:r>
        <w:rPr/>
        <w:t>favor</w:t>
      </w:r>
      <w:r>
        <w:rPr>
          <w:spacing w:val="-8"/>
        </w:rPr>
        <w:t> </w:t>
      </w:r>
      <w:r>
        <w:rPr/>
        <w:t>our</w:t>
      </w:r>
      <w:r>
        <w:rPr>
          <w:spacing w:val="-8"/>
        </w:rPr>
        <w:t> </w:t>
      </w:r>
      <w:r>
        <w:rPr/>
        <w:t>competitors’</w:t>
      </w:r>
      <w:r>
        <w:rPr>
          <w:spacing w:val="-13"/>
        </w:rPr>
        <w:t> </w:t>
      </w:r>
      <w:r>
        <w:rPr/>
        <w:t>products</w:t>
      </w:r>
      <w:r>
        <w:rPr>
          <w:spacing w:val="-7"/>
        </w:rPr>
        <w:t> </w:t>
      </w:r>
      <w:r>
        <w:rPr/>
        <w:t>or</w:t>
      </w:r>
      <w:r>
        <w:rPr>
          <w:spacing w:val="-8"/>
        </w:rPr>
        <w:t> </w:t>
      </w:r>
      <w:r>
        <w:rPr/>
        <w:t>services</w:t>
      </w:r>
      <w:r>
        <w:rPr>
          <w:spacing w:val="-8"/>
        </w:rPr>
        <w:t> </w:t>
      </w:r>
      <w:r>
        <w:rPr/>
        <w:t>for</w:t>
      </w:r>
      <w:r>
        <w:rPr>
          <w:spacing w:val="-8"/>
        </w:rPr>
        <w:t> </w:t>
      </w:r>
      <w:r>
        <w:rPr/>
        <w:t>any</w:t>
      </w:r>
      <w:r>
        <w:rPr>
          <w:spacing w:val="-8"/>
        </w:rPr>
        <w:t> </w:t>
      </w:r>
      <w:r>
        <w:rPr/>
        <w:t>reason,</w:t>
      </w:r>
      <w:r>
        <w:rPr>
          <w:spacing w:val="-8"/>
        </w:rPr>
        <w:t> </w:t>
      </w:r>
      <w:r>
        <w:rPr/>
        <w:t>they</w:t>
      </w:r>
      <w:r>
        <w:rPr>
          <w:spacing w:val="-8"/>
        </w:rPr>
        <w:t> </w:t>
      </w:r>
      <w:r>
        <w:rPr/>
        <w:t>may</w:t>
      </w:r>
      <w:r>
        <w:rPr>
          <w:spacing w:val="-8"/>
        </w:rPr>
        <w:t> </w:t>
      </w:r>
      <w:r>
        <w:rPr/>
        <w:t>fail</w:t>
      </w:r>
      <w:r>
        <w:rPr>
          <w:spacing w:val="-8"/>
        </w:rPr>
        <w:t> </w:t>
      </w:r>
      <w:r>
        <w:rPr/>
        <w:t>to</w:t>
      </w:r>
      <w:r>
        <w:rPr>
          <w:spacing w:val="-8"/>
        </w:rPr>
        <w:t> </w:t>
      </w:r>
      <w:r>
        <w:rPr/>
        <w:t>market our</w:t>
      </w:r>
      <w:r>
        <w:rPr>
          <w:spacing w:val="-1"/>
        </w:rPr>
        <w:t> </w:t>
      </w:r>
      <w:r>
        <w:rPr/>
        <w:t>products</w:t>
      </w:r>
      <w:r>
        <w:rPr>
          <w:spacing w:val="-1"/>
        </w:rPr>
        <w:t> </w:t>
      </w:r>
      <w:r>
        <w:rPr/>
        <w:t>or</w:t>
      </w:r>
      <w:r>
        <w:rPr>
          <w:spacing w:val="-1"/>
        </w:rPr>
        <w:t> </w:t>
      </w:r>
      <w:r>
        <w:rPr/>
        <w:t>services</w:t>
      </w:r>
      <w:r>
        <w:rPr>
          <w:spacing w:val="-1"/>
        </w:rPr>
        <w:t> </w:t>
      </w:r>
      <w:r>
        <w:rPr/>
        <w:t>effectively</w:t>
      </w:r>
      <w:r>
        <w:rPr>
          <w:spacing w:val="-1"/>
        </w:rPr>
        <w:t> </w:t>
      </w:r>
      <w:r>
        <w:rPr/>
        <w:t>or</w:t>
      </w:r>
      <w:r>
        <w:rPr>
          <w:spacing w:val="-1"/>
        </w:rPr>
        <w:t> </w:t>
      </w:r>
      <w:r>
        <w:rPr/>
        <w:t>to</w:t>
      </w:r>
      <w:r>
        <w:rPr>
          <w:spacing w:val="-1"/>
        </w:rPr>
        <w:t> </w:t>
      </w:r>
      <w:r>
        <w:rPr/>
        <w:t>devote</w:t>
      </w:r>
      <w:r>
        <w:rPr>
          <w:spacing w:val="-1"/>
        </w:rPr>
        <w:t> </w:t>
      </w:r>
      <w:r>
        <w:rPr/>
        <w:t>resources</w:t>
      </w:r>
      <w:r>
        <w:rPr>
          <w:spacing w:val="-1"/>
        </w:rPr>
        <w:t> </w:t>
      </w:r>
      <w:r>
        <w:rPr/>
        <w:t>necessary</w:t>
      </w:r>
      <w:r>
        <w:rPr>
          <w:spacing w:val="-1"/>
        </w:rPr>
        <w:t> </w:t>
      </w:r>
      <w:r>
        <w:rPr/>
        <w:t>to</w:t>
      </w:r>
      <w:r>
        <w:rPr>
          <w:spacing w:val="-1"/>
        </w:rPr>
        <w:t> </w:t>
      </w:r>
      <w:r>
        <w:rPr/>
        <w:t>provide</w:t>
      </w:r>
      <w:r>
        <w:rPr>
          <w:spacing w:val="-1"/>
        </w:rPr>
        <w:t> </w:t>
      </w:r>
      <w:r>
        <w:rPr/>
        <w:t>effective</w:t>
      </w:r>
      <w:r>
        <w:rPr>
          <w:spacing w:val="-1"/>
        </w:rPr>
        <w:t> </w:t>
      </w:r>
      <w:r>
        <w:rPr/>
        <w:t>sales,</w:t>
      </w:r>
      <w:r>
        <w:rPr>
          <w:spacing w:val="-1"/>
        </w:rPr>
        <w:t> </w:t>
      </w:r>
      <w:r>
        <w:rPr/>
        <w:t>which</w:t>
      </w:r>
      <w:r>
        <w:rPr>
          <w:spacing w:val="-1"/>
        </w:rPr>
        <w:t> </w:t>
      </w:r>
      <w:r>
        <w:rPr/>
        <w:t>would</w:t>
      </w:r>
      <w:r>
        <w:rPr>
          <w:spacing w:val="-1"/>
        </w:rPr>
        <w:t> </w:t>
      </w:r>
      <w:r>
        <w:rPr/>
        <w:t>cause</w:t>
      </w:r>
      <w:r>
        <w:rPr>
          <w:spacing w:val="-1"/>
        </w:rPr>
        <w:t> </w:t>
      </w:r>
      <w:r>
        <w:rPr/>
        <w:t>our</w:t>
      </w:r>
      <w:r>
        <w:rPr>
          <w:spacing w:val="-1"/>
        </w:rPr>
        <w:t> </w:t>
      </w:r>
      <w:r>
        <w:rPr/>
        <w:t>results</w:t>
      </w:r>
      <w:r>
        <w:rPr>
          <w:spacing w:val="-1"/>
        </w:rPr>
        <w:t> </w:t>
      </w:r>
      <w:r>
        <w:rPr/>
        <w:t>to suffer. We also distribute some products and services through our OEM channel, and if our OEMs decide not to bundle our applications on their devices, our results could suffer. In addition, the financial health of our distributors and our continuing relationships with them are important to our success. Some of these distributors may be unable to withstand adverse changes in</w:t>
      </w:r>
    </w:p>
    <w:p>
      <w:pPr>
        <w:spacing w:after="0" w:line="249" w:lineRule="auto"/>
        <w:jc w:val="both"/>
        <w:sectPr>
          <w:pgSz w:w="12240" w:h="15840"/>
          <w:pgMar w:header="210" w:footer="579" w:top="420" w:bottom="800" w:left="780" w:right="740"/>
        </w:sectPr>
      </w:pPr>
    </w:p>
    <w:p>
      <w:pPr>
        <w:pStyle w:val="BodyText"/>
        <w:spacing w:before="150"/>
      </w:pPr>
    </w:p>
    <w:p>
      <w:pPr>
        <w:pStyle w:val="BodyText"/>
        <w:spacing w:line="249" w:lineRule="auto"/>
        <w:ind w:left="210" w:right="240"/>
      </w:pPr>
      <w:r>
        <w:rPr/>
        <w:t>economic conditions, which could result in insolvency, the inability of such distributors to obtain credit to finance purchases of our products and services, or a delay in paying their obligations to us.</w:t>
      </w:r>
    </w:p>
    <w:p>
      <w:pPr>
        <w:pStyle w:val="BodyText"/>
        <w:spacing w:line="249" w:lineRule="auto" w:before="181"/>
        <w:ind w:left="210" w:right="247" w:firstLine="540"/>
        <w:jc w:val="both"/>
      </w:pPr>
      <w:r>
        <w:rPr>
          <w:spacing w:val="-2"/>
        </w:rPr>
        <w:t>We</w:t>
      </w:r>
      <w:r>
        <w:rPr>
          <w:spacing w:val="-9"/>
        </w:rPr>
        <w:t> </w:t>
      </w:r>
      <w:r>
        <w:rPr>
          <w:spacing w:val="-2"/>
        </w:rPr>
        <w:t>also</w:t>
      </w:r>
      <w:r>
        <w:rPr>
          <w:spacing w:val="-9"/>
        </w:rPr>
        <w:t> </w:t>
      </w:r>
      <w:r>
        <w:rPr>
          <w:spacing w:val="-2"/>
        </w:rPr>
        <w:t>sell</w:t>
      </w:r>
      <w:r>
        <w:rPr>
          <w:spacing w:val="-9"/>
        </w:rPr>
        <w:t> </w:t>
      </w:r>
      <w:r>
        <w:rPr>
          <w:spacing w:val="-2"/>
        </w:rPr>
        <w:t>some</w:t>
      </w:r>
      <w:r>
        <w:rPr>
          <w:spacing w:val="-9"/>
        </w:rPr>
        <w:t> </w:t>
      </w:r>
      <w:r>
        <w:rPr>
          <w:spacing w:val="-2"/>
        </w:rPr>
        <w:t>of</w:t>
      </w:r>
      <w:r>
        <w:rPr>
          <w:spacing w:val="-9"/>
        </w:rPr>
        <w:t> </w:t>
      </w:r>
      <w:r>
        <w:rPr>
          <w:spacing w:val="-2"/>
        </w:rPr>
        <w:t>our</w:t>
      </w:r>
      <w:r>
        <w:rPr>
          <w:spacing w:val="-8"/>
        </w:rPr>
        <w:t> </w:t>
      </w:r>
      <w:r>
        <w:rPr>
          <w:spacing w:val="-2"/>
        </w:rPr>
        <w:t>products</w:t>
      </w:r>
      <w:r>
        <w:rPr>
          <w:spacing w:val="-8"/>
        </w:rPr>
        <w:t> </w:t>
      </w:r>
      <w:r>
        <w:rPr>
          <w:spacing w:val="-2"/>
        </w:rPr>
        <w:t>and</w:t>
      </w:r>
      <w:r>
        <w:rPr>
          <w:spacing w:val="-9"/>
        </w:rPr>
        <w:t> </w:t>
      </w:r>
      <w:r>
        <w:rPr>
          <w:spacing w:val="-2"/>
        </w:rPr>
        <w:t>services</w:t>
      </w:r>
      <w:r>
        <w:rPr>
          <w:spacing w:val="-8"/>
        </w:rPr>
        <w:t> </w:t>
      </w:r>
      <w:r>
        <w:rPr>
          <w:spacing w:val="-2"/>
        </w:rPr>
        <w:t>through</w:t>
      </w:r>
      <w:r>
        <w:rPr>
          <w:spacing w:val="-8"/>
        </w:rPr>
        <w:t> </w:t>
      </w:r>
      <w:r>
        <w:rPr>
          <w:spacing w:val="-2"/>
        </w:rPr>
        <w:t>our</w:t>
      </w:r>
      <w:r>
        <w:rPr>
          <w:spacing w:val="-9"/>
        </w:rPr>
        <w:t> </w:t>
      </w:r>
      <w:r>
        <w:rPr>
          <w:spacing w:val="-2"/>
        </w:rPr>
        <w:t>direct</w:t>
      </w:r>
      <w:r>
        <w:rPr>
          <w:spacing w:val="-9"/>
        </w:rPr>
        <w:t> </w:t>
      </w:r>
      <w:r>
        <w:rPr>
          <w:spacing w:val="-2"/>
        </w:rPr>
        <w:t>sales</w:t>
      </w:r>
      <w:r>
        <w:rPr>
          <w:spacing w:val="-9"/>
        </w:rPr>
        <w:t> </w:t>
      </w:r>
      <w:r>
        <w:rPr>
          <w:spacing w:val="-2"/>
        </w:rPr>
        <w:t>force.</w:t>
      </w:r>
      <w:r>
        <w:rPr>
          <w:spacing w:val="-9"/>
        </w:rPr>
        <w:t> </w:t>
      </w:r>
      <w:r>
        <w:rPr>
          <w:spacing w:val="-2"/>
        </w:rPr>
        <w:t>Risks</w:t>
      </w:r>
      <w:r>
        <w:rPr>
          <w:spacing w:val="-8"/>
        </w:rPr>
        <w:t> </w:t>
      </w:r>
      <w:r>
        <w:rPr>
          <w:spacing w:val="-2"/>
        </w:rPr>
        <w:t>associated</w:t>
      </w:r>
      <w:r>
        <w:rPr>
          <w:spacing w:val="-9"/>
        </w:rPr>
        <w:t> </w:t>
      </w:r>
      <w:r>
        <w:rPr>
          <w:spacing w:val="-2"/>
        </w:rPr>
        <w:t>with</w:t>
      </w:r>
      <w:r>
        <w:rPr>
          <w:spacing w:val="-9"/>
        </w:rPr>
        <w:t> </w:t>
      </w:r>
      <w:r>
        <w:rPr>
          <w:spacing w:val="-2"/>
        </w:rPr>
        <w:t>this</w:t>
      </w:r>
      <w:r>
        <w:rPr>
          <w:spacing w:val="-9"/>
        </w:rPr>
        <w:t> </w:t>
      </w:r>
      <w:r>
        <w:rPr>
          <w:spacing w:val="-2"/>
        </w:rPr>
        <w:t>sales</w:t>
      </w:r>
      <w:r>
        <w:rPr>
          <w:spacing w:val="-9"/>
        </w:rPr>
        <w:t> </w:t>
      </w:r>
      <w:r>
        <w:rPr>
          <w:spacing w:val="-2"/>
        </w:rPr>
        <w:t>channel</w:t>
      </w:r>
      <w:r>
        <w:rPr>
          <w:spacing w:val="-9"/>
        </w:rPr>
        <w:t> </w:t>
      </w:r>
      <w:r>
        <w:rPr>
          <w:spacing w:val="-2"/>
        </w:rPr>
        <w:t>include more extended sales and collection cycles associated with direct</w:t>
      </w:r>
      <w:r>
        <w:rPr>
          <w:spacing w:val="-3"/>
        </w:rPr>
        <w:t> </w:t>
      </w:r>
      <w:r>
        <w:rPr>
          <w:spacing w:val="-2"/>
        </w:rPr>
        <w:t>sales efforts, challenges related to hiring, retaining and motivating our</w:t>
      </w:r>
      <w:r>
        <w:rPr>
          <w:spacing w:val="-6"/>
        </w:rPr>
        <w:t> </w:t>
      </w:r>
      <w:r>
        <w:rPr>
          <w:spacing w:val="-2"/>
        </w:rPr>
        <w:t>direct</w:t>
      </w:r>
      <w:r>
        <w:rPr>
          <w:spacing w:val="-6"/>
        </w:rPr>
        <w:t> </w:t>
      </w:r>
      <w:r>
        <w:rPr>
          <w:spacing w:val="-2"/>
        </w:rPr>
        <w:t>sales</w:t>
      </w:r>
      <w:r>
        <w:rPr>
          <w:spacing w:val="-6"/>
        </w:rPr>
        <w:t> </w:t>
      </w:r>
      <w:r>
        <w:rPr>
          <w:spacing w:val="-2"/>
        </w:rPr>
        <w:t>force,</w:t>
      </w:r>
      <w:r>
        <w:rPr>
          <w:spacing w:val="-6"/>
        </w:rPr>
        <w:t> </w:t>
      </w:r>
      <w:r>
        <w:rPr>
          <w:spacing w:val="-2"/>
        </w:rPr>
        <w:t>and</w:t>
      </w:r>
      <w:r>
        <w:rPr>
          <w:spacing w:val="-6"/>
        </w:rPr>
        <w:t> </w:t>
      </w:r>
      <w:r>
        <w:rPr>
          <w:spacing w:val="-2"/>
        </w:rPr>
        <w:t>substantial</w:t>
      </w:r>
      <w:r>
        <w:rPr>
          <w:spacing w:val="-6"/>
        </w:rPr>
        <w:t> </w:t>
      </w:r>
      <w:r>
        <w:rPr>
          <w:spacing w:val="-2"/>
        </w:rPr>
        <w:t>amounts</w:t>
      </w:r>
      <w:r>
        <w:rPr>
          <w:spacing w:val="-6"/>
        </w:rPr>
        <w:t> </w:t>
      </w:r>
      <w:r>
        <w:rPr>
          <w:spacing w:val="-2"/>
        </w:rPr>
        <w:t>of</w:t>
      </w:r>
      <w:r>
        <w:rPr>
          <w:spacing w:val="-6"/>
        </w:rPr>
        <w:t> </w:t>
      </w:r>
      <w:r>
        <w:rPr>
          <w:spacing w:val="-2"/>
        </w:rPr>
        <w:t>ongoing</w:t>
      </w:r>
      <w:r>
        <w:rPr>
          <w:spacing w:val="-6"/>
        </w:rPr>
        <w:t> </w:t>
      </w:r>
      <w:r>
        <w:rPr>
          <w:spacing w:val="-2"/>
        </w:rPr>
        <w:t>training</w:t>
      </w:r>
      <w:r>
        <w:rPr>
          <w:spacing w:val="-6"/>
        </w:rPr>
        <w:t> </w:t>
      </w:r>
      <w:r>
        <w:rPr>
          <w:spacing w:val="-2"/>
        </w:rPr>
        <w:t>for</w:t>
      </w:r>
      <w:r>
        <w:rPr>
          <w:spacing w:val="-6"/>
        </w:rPr>
        <w:t> </w:t>
      </w:r>
      <w:r>
        <w:rPr>
          <w:spacing w:val="-2"/>
        </w:rPr>
        <w:t>sales</w:t>
      </w:r>
      <w:r>
        <w:rPr>
          <w:spacing w:val="-6"/>
        </w:rPr>
        <w:t> </w:t>
      </w:r>
      <w:r>
        <w:rPr>
          <w:spacing w:val="-2"/>
        </w:rPr>
        <w:t>representatives.</w:t>
      </w:r>
      <w:r>
        <w:rPr>
          <w:spacing w:val="-6"/>
        </w:rPr>
        <w:t> </w:t>
      </w:r>
      <w:r>
        <w:rPr>
          <w:spacing w:val="-2"/>
        </w:rPr>
        <w:t>Moreover,</w:t>
      </w:r>
      <w:r>
        <w:rPr>
          <w:spacing w:val="-6"/>
        </w:rPr>
        <w:t> </w:t>
      </w:r>
      <w:r>
        <w:rPr>
          <w:spacing w:val="-2"/>
        </w:rPr>
        <w:t>recent</w:t>
      </w:r>
      <w:r>
        <w:rPr>
          <w:spacing w:val="-6"/>
        </w:rPr>
        <w:t> </w:t>
      </w:r>
      <w:r>
        <w:rPr>
          <w:spacing w:val="-2"/>
        </w:rPr>
        <w:t>hires</w:t>
      </w:r>
      <w:r>
        <w:rPr>
          <w:spacing w:val="-6"/>
        </w:rPr>
        <w:t> </w:t>
      </w:r>
      <w:r>
        <w:rPr>
          <w:spacing w:val="-2"/>
        </w:rPr>
        <w:t>may</w:t>
      </w:r>
      <w:r>
        <w:rPr>
          <w:spacing w:val="-6"/>
        </w:rPr>
        <w:t> </w:t>
      </w:r>
      <w:r>
        <w:rPr>
          <w:spacing w:val="-2"/>
        </w:rPr>
        <w:t>not</w:t>
      </w:r>
      <w:r>
        <w:rPr>
          <w:spacing w:val="-6"/>
        </w:rPr>
        <w:t> </w:t>
      </w:r>
      <w:r>
        <w:rPr>
          <w:spacing w:val="-2"/>
        </w:rPr>
        <w:t>become </w:t>
      </w:r>
      <w:r>
        <w:rPr/>
        <w:t>as productive as we would like, as in most cases it takes a significant period of time before they achieve full productivity. Our business could be seriously harmed if our expansion efforts do not generate a corresponding significant increase in revenue and we are unable to achieve the efficiencies we anticipate. In addition, the loss of key sales employees could impact our customer relationships and future ability to sell to certain accounts covered by such employees.</w:t>
      </w:r>
    </w:p>
    <w:p>
      <w:pPr>
        <w:pStyle w:val="Heading3"/>
        <w:spacing w:before="186"/>
      </w:pPr>
      <w:r>
        <w:rPr/>
        <w:t>Contracting</w:t>
      </w:r>
      <w:r>
        <w:rPr>
          <w:spacing w:val="-4"/>
        </w:rPr>
        <w:t> </w:t>
      </w:r>
      <w:r>
        <w:rPr/>
        <w:t>with</w:t>
      </w:r>
      <w:r>
        <w:rPr>
          <w:spacing w:val="-2"/>
        </w:rPr>
        <w:t> </w:t>
      </w:r>
      <w:r>
        <w:rPr/>
        <w:t>government</w:t>
      </w:r>
      <w:r>
        <w:rPr>
          <w:spacing w:val="-2"/>
        </w:rPr>
        <w:t> </w:t>
      </w:r>
      <w:r>
        <w:rPr/>
        <w:t>entities</w:t>
      </w:r>
      <w:r>
        <w:rPr>
          <w:spacing w:val="-2"/>
        </w:rPr>
        <w:t> </w:t>
      </w:r>
      <w:r>
        <w:rPr/>
        <w:t>exposes</w:t>
      </w:r>
      <w:r>
        <w:rPr>
          <w:spacing w:val="-1"/>
        </w:rPr>
        <w:t> </w:t>
      </w:r>
      <w:r>
        <w:rPr/>
        <w:t>us</w:t>
      </w:r>
      <w:r>
        <w:rPr>
          <w:spacing w:val="-3"/>
        </w:rPr>
        <w:t> </w:t>
      </w:r>
      <w:r>
        <w:rPr/>
        <w:t>to</w:t>
      </w:r>
      <w:r>
        <w:rPr>
          <w:spacing w:val="-2"/>
        </w:rPr>
        <w:t> </w:t>
      </w:r>
      <w:r>
        <w:rPr/>
        <w:t>additional</w:t>
      </w:r>
      <w:r>
        <w:rPr>
          <w:spacing w:val="-2"/>
        </w:rPr>
        <w:t> </w:t>
      </w:r>
      <w:r>
        <w:rPr/>
        <w:t>risks</w:t>
      </w:r>
      <w:r>
        <w:rPr>
          <w:spacing w:val="-2"/>
        </w:rPr>
        <w:t> </w:t>
      </w:r>
      <w:r>
        <w:rPr/>
        <w:t>inherent</w:t>
      </w:r>
      <w:r>
        <w:rPr>
          <w:spacing w:val="-2"/>
        </w:rPr>
        <w:t> </w:t>
      </w:r>
      <w:r>
        <w:rPr/>
        <w:t>in</w:t>
      </w:r>
      <w:r>
        <w:rPr>
          <w:spacing w:val="-2"/>
        </w:rPr>
        <w:t> </w:t>
      </w:r>
      <w:r>
        <w:rPr/>
        <w:t>the</w:t>
      </w:r>
      <w:r>
        <w:rPr>
          <w:spacing w:val="-2"/>
        </w:rPr>
        <w:t> </w:t>
      </w:r>
      <w:r>
        <w:rPr/>
        <w:t>government</w:t>
      </w:r>
      <w:r>
        <w:rPr>
          <w:spacing w:val="-3"/>
        </w:rPr>
        <w:t> </w:t>
      </w:r>
      <w:r>
        <w:rPr/>
        <w:t>procurement</w:t>
      </w:r>
      <w:r>
        <w:rPr>
          <w:spacing w:val="-2"/>
        </w:rPr>
        <w:t> process.</w:t>
      </w:r>
    </w:p>
    <w:p>
      <w:pPr>
        <w:pStyle w:val="BodyText"/>
        <w:spacing w:line="249" w:lineRule="auto" w:before="190"/>
        <w:ind w:left="210" w:right="247" w:firstLine="540"/>
        <w:jc w:val="both"/>
      </w:pPr>
      <w:r>
        <w:rPr/>
        <w:t>We provide products and services, directly and indirectly, to a variety of government entities, both domestically and internationally. Risks associated with licensing and selling products and services to government entities include more extended sales and collection cycles, varying governmental budgeting processes and adherence to complex procurement regulations and other government-specific contractual requirements.</w:t>
      </w:r>
      <w:r>
        <w:rPr>
          <w:spacing w:val="-1"/>
        </w:rPr>
        <w:t> </w:t>
      </w:r>
      <w:r>
        <w:rPr/>
        <w:t>We may be subject to audits and investigations relating to our government contracts</w:t>
      </w:r>
      <w:r>
        <w:rPr>
          <w:spacing w:val="-13"/>
        </w:rPr>
        <w:t> </w:t>
      </w:r>
      <w:r>
        <w:rPr/>
        <w:t>and</w:t>
      </w:r>
      <w:r>
        <w:rPr>
          <w:spacing w:val="-12"/>
        </w:rPr>
        <w:t> </w:t>
      </w:r>
      <w:r>
        <w:rPr/>
        <w:t>any</w:t>
      </w:r>
      <w:r>
        <w:rPr>
          <w:spacing w:val="-13"/>
        </w:rPr>
        <w:t> </w:t>
      </w:r>
      <w:r>
        <w:rPr/>
        <w:t>violations</w:t>
      </w:r>
      <w:r>
        <w:rPr>
          <w:spacing w:val="-12"/>
        </w:rPr>
        <w:t> </w:t>
      </w:r>
      <w:r>
        <w:rPr/>
        <w:t>could</w:t>
      </w:r>
      <w:r>
        <w:rPr>
          <w:spacing w:val="-13"/>
        </w:rPr>
        <w:t> </w:t>
      </w:r>
      <w:r>
        <w:rPr/>
        <w:t>result</w:t>
      </w:r>
      <w:r>
        <w:rPr>
          <w:spacing w:val="-12"/>
        </w:rPr>
        <w:t> </w:t>
      </w:r>
      <w:r>
        <w:rPr/>
        <w:t>in</w:t>
      </w:r>
      <w:r>
        <w:rPr>
          <w:spacing w:val="-13"/>
        </w:rPr>
        <w:t> </w:t>
      </w:r>
      <w:r>
        <w:rPr/>
        <w:t>various</w:t>
      </w:r>
      <w:r>
        <w:rPr>
          <w:spacing w:val="-12"/>
        </w:rPr>
        <w:t> </w:t>
      </w:r>
      <w:r>
        <w:rPr/>
        <w:t>civil</w:t>
      </w:r>
      <w:r>
        <w:rPr>
          <w:spacing w:val="-13"/>
        </w:rPr>
        <w:t> </w:t>
      </w:r>
      <w:r>
        <w:rPr/>
        <w:t>and</w:t>
      </w:r>
      <w:r>
        <w:rPr>
          <w:spacing w:val="-12"/>
        </w:rPr>
        <w:t> </w:t>
      </w:r>
      <w:r>
        <w:rPr/>
        <w:t>criminal</w:t>
      </w:r>
      <w:r>
        <w:rPr>
          <w:spacing w:val="-13"/>
        </w:rPr>
        <w:t> </w:t>
      </w:r>
      <w:r>
        <w:rPr/>
        <w:t>penalties</w:t>
      </w:r>
      <w:r>
        <w:rPr>
          <w:spacing w:val="-12"/>
        </w:rPr>
        <w:t> </w:t>
      </w:r>
      <w:r>
        <w:rPr/>
        <w:t>and</w:t>
      </w:r>
      <w:r>
        <w:rPr>
          <w:spacing w:val="-13"/>
        </w:rPr>
        <w:t> </w:t>
      </w:r>
      <w:r>
        <w:rPr/>
        <w:t>administrative</w:t>
      </w:r>
      <w:r>
        <w:rPr>
          <w:spacing w:val="-12"/>
        </w:rPr>
        <w:t> </w:t>
      </w:r>
      <w:r>
        <w:rPr/>
        <w:t>sanctions,</w:t>
      </w:r>
      <w:r>
        <w:rPr>
          <w:spacing w:val="-13"/>
        </w:rPr>
        <w:t> </w:t>
      </w:r>
      <w:r>
        <w:rPr/>
        <w:t>including</w:t>
      </w:r>
      <w:r>
        <w:rPr>
          <w:spacing w:val="-12"/>
        </w:rPr>
        <w:t> </w:t>
      </w:r>
      <w:r>
        <w:rPr/>
        <w:t>termination of</w:t>
      </w:r>
      <w:r>
        <w:rPr>
          <w:spacing w:val="-1"/>
        </w:rPr>
        <w:t> </w:t>
      </w:r>
      <w:r>
        <w:rPr/>
        <w:t>contracts,</w:t>
      </w:r>
      <w:r>
        <w:rPr>
          <w:spacing w:val="-1"/>
        </w:rPr>
        <w:t> </w:t>
      </w:r>
      <w:r>
        <w:rPr/>
        <w:t>payment</w:t>
      </w:r>
      <w:r>
        <w:rPr>
          <w:spacing w:val="-1"/>
        </w:rPr>
        <w:t> </w:t>
      </w:r>
      <w:r>
        <w:rPr/>
        <w:t>of</w:t>
      </w:r>
      <w:r>
        <w:rPr>
          <w:spacing w:val="-1"/>
        </w:rPr>
        <w:t> </w:t>
      </w:r>
      <w:r>
        <w:rPr/>
        <w:t>fines,</w:t>
      </w:r>
      <w:r>
        <w:rPr>
          <w:spacing w:val="-1"/>
        </w:rPr>
        <w:t> </w:t>
      </w:r>
      <w:r>
        <w:rPr/>
        <w:t>and</w:t>
      </w:r>
      <w:r>
        <w:rPr>
          <w:spacing w:val="-1"/>
        </w:rPr>
        <w:t> </w:t>
      </w:r>
      <w:r>
        <w:rPr/>
        <w:t>suspension</w:t>
      </w:r>
      <w:r>
        <w:rPr>
          <w:spacing w:val="-1"/>
        </w:rPr>
        <w:t> </w:t>
      </w:r>
      <w:r>
        <w:rPr/>
        <w:t>or</w:t>
      </w:r>
      <w:r>
        <w:rPr>
          <w:spacing w:val="-1"/>
        </w:rPr>
        <w:t> </w:t>
      </w:r>
      <w:r>
        <w:rPr/>
        <w:t>debarment</w:t>
      </w:r>
      <w:r>
        <w:rPr>
          <w:spacing w:val="-1"/>
        </w:rPr>
        <w:t> </w:t>
      </w:r>
      <w:r>
        <w:rPr/>
        <w:t>from</w:t>
      </w:r>
      <w:r>
        <w:rPr>
          <w:spacing w:val="-1"/>
        </w:rPr>
        <w:t> </w:t>
      </w:r>
      <w:r>
        <w:rPr/>
        <w:t>future</w:t>
      </w:r>
      <w:r>
        <w:rPr>
          <w:spacing w:val="-1"/>
        </w:rPr>
        <w:t> </w:t>
      </w:r>
      <w:r>
        <w:rPr/>
        <w:t>government</w:t>
      </w:r>
      <w:r>
        <w:rPr>
          <w:spacing w:val="-1"/>
        </w:rPr>
        <w:t> </w:t>
      </w:r>
      <w:r>
        <w:rPr/>
        <w:t>business,</w:t>
      </w:r>
      <w:r>
        <w:rPr>
          <w:spacing w:val="-1"/>
        </w:rPr>
        <w:t> </w:t>
      </w:r>
      <w:r>
        <w:rPr/>
        <w:t>as</w:t>
      </w:r>
      <w:r>
        <w:rPr>
          <w:spacing w:val="-1"/>
        </w:rPr>
        <w:t> </w:t>
      </w:r>
      <w:r>
        <w:rPr/>
        <w:t>well</w:t>
      </w:r>
      <w:r>
        <w:rPr>
          <w:spacing w:val="-1"/>
        </w:rPr>
        <w:t> </w:t>
      </w:r>
      <w:r>
        <w:rPr/>
        <w:t>as</w:t>
      </w:r>
      <w:r>
        <w:rPr>
          <w:spacing w:val="-1"/>
        </w:rPr>
        <w:t> </w:t>
      </w:r>
      <w:r>
        <w:rPr/>
        <w:t>harm</w:t>
      </w:r>
      <w:r>
        <w:rPr>
          <w:spacing w:val="-1"/>
        </w:rPr>
        <w:t> </w:t>
      </w:r>
      <w:r>
        <w:rPr/>
        <w:t>to</w:t>
      </w:r>
      <w:r>
        <w:rPr>
          <w:spacing w:val="-1"/>
        </w:rPr>
        <w:t> </w:t>
      </w:r>
      <w:r>
        <w:rPr/>
        <w:t>our</w:t>
      </w:r>
      <w:r>
        <w:rPr>
          <w:spacing w:val="-1"/>
        </w:rPr>
        <w:t> </w:t>
      </w:r>
      <w:r>
        <w:rPr/>
        <w:t>reputation and financial results.</w:t>
      </w:r>
    </w:p>
    <w:p>
      <w:pPr>
        <w:pStyle w:val="Heading3"/>
        <w:spacing w:line="249" w:lineRule="auto" w:before="186"/>
      </w:pPr>
      <w:r>
        <w:rPr/>
        <w:t>Revenue, margin or earnings shortfalls or the volatility of the market generally may cause the market price of our stock to </w:t>
      </w:r>
      <w:r>
        <w:rPr>
          <w:spacing w:val="-2"/>
        </w:rPr>
        <w:t>decline.</w:t>
      </w:r>
    </w:p>
    <w:p>
      <w:pPr>
        <w:pStyle w:val="BodyText"/>
        <w:spacing w:line="249" w:lineRule="auto" w:before="182"/>
        <w:ind w:left="210" w:right="236" w:firstLine="540"/>
        <w:jc w:val="both"/>
      </w:pPr>
      <w:r>
        <w:rPr/>
        <w:t>In the past, the market price for our common stock experienced significant fluctuations and it may do so in the future.</w:t>
      </w:r>
      <w:r>
        <w:rPr>
          <w:spacing w:val="-7"/>
        </w:rPr>
        <w:t> </w:t>
      </w:r>
      <w:r>
        <w:rPr/>
        <w:t>A number of factors may affect the market price for our common stock, such as:</w:t>
      </w:r>
    </w:p>
    <w:p>
      <w:pPr>
        <w:pStyle w:val="ListParagraph"/>
        <w:numPr>
          <w:ilvl w:val="0"/>
          <w:numId w:val="5"/>
        </w:numPr>
        <w:tabs>
          <w:tab w:pos="1110" w:val="left" w:leader="none"/>
        </w:tabs>
        <w:spacing w:line="249" w:lineRule="auto" w:before="181" w:after="0"/>
        <w:ind w:left="1110" w:right="247" w:hanging="360"/>
        <w:jc w:val="left"/>
        <w:rPr>
          <w:sz w:val="20"/>
        </w:rPr>
      </w:pPr>
      <w:r>
        <w:rPr>
          <w:spacing w:val="-2"/>
          <w:sz w:val="20"/>
        </w:rPr>
        <w:t>shortfalls</w:t>
      </w:r>
      <w:r>
        <w:rPr>
          <w:spacing w:val="-6"/>
          <w:sz w:val="20"/>
        </w:rPr>
        <w:t> </w:t>
      </w:r>
      <w:r>
        <w:rPr>
          <w:spacing w:val="-2"/>
          <w:sz w:val="20"/>
        </w:rPr>
        <w:t>in,</w:t>
      </w:r>
      <w:r>
        <w:rPr>
          <w:spacing w:val="-7"/>
          <w:sz w:val="20"/>
        </w:rPr>
        <w:t> </w:t>
      </w:r>
      <w:r>
        <w:rPr>
          <w:spacing w:val="-2"/>
          <w:sz w:val="20"/>
        </w:rPr>
        <w:t>or</w:t>
      </w:r>
      <w:r>
        <w:rPr>
          <w:spacing w:val="-7"/>
          <w:sz w:val="20"/>
        </w:rPr>
        <w:t> </w:t>
      </w:r>
      <w:r>
        <w:rPr>
          <w:spacing w:val="-2"/>
          <w:sz w:val="20"/>
        </w:rPr>
        <w:t>changes</w:t>
      </w:r>
      <w:r>
        <w:rPr>
          <w:spacing w:val="-6"/>
          <w:sz w:val="20"/>
        </w:rPr>
        <w:t> </w:t>
      </w:r>
      <w:r>
        <w:rPr>
          <w:spacing w:val="-2"/>
          <w:sz w:val="20"/>
        </w:rPr>
        <w:t>in</w:t>
      </w:r>
      <w:r>
        <w:rPr>
          <w:spacing w:val="-7"/>
          <w:sz w:val="20"/>
        </w:rPr>
        <w:t> </w:t>
      </w:r>
      <w:r>
        <w:rPr>
          <w:spacing w:val="-2"/>
          <w:sz w:val="20"/>
        </w:rPr>
        <w:t>expectations</w:t>
      </w:r>
      <w:r>
        <w:rPr>
          <w:spacing w:val="-6"/>
          <w:sz w:val="20"/>
        </w:rPr>
        <w:t> </w:t>
      </w:r>
      <w:r>
        <w:rPr>
          <w:spacing w:val="-2"/>
          <w:sz w:val="20"/>
        </w:rPr>
        <w:t>about</w:t>
      </w:r>
      <w:r>
        <w:rPr>
          <w:spacing w:val="-7"/>
          <w:sz w:val="20"/>
        </w:rPr>
        <w:t> </w:t>
      </w:r>
      <w:r>
        <w:rPr>
          <w:spacing w:val="-2"/>
          <w:sz w:val="20"/>
        </w:rPr>
        <w:t>our</w:t>
      </w:r>
      <w:r>
        <w:rPr>
          <w:spacing w:val="-7"/>
          <w:sz w:val="20"/>
        </w:rPr>
        <w:t> </w:t>
      </w:r>
      <w:r>
        <w:rPr>
          <w:spacing w:val="-2"/>
          <w:sz w:val="20"/>
        </w:rPr>
        <w:t>revenue,</w:t>
      </w:r>
      <w:r>
        <w:rPr>
          <w:spacing w:val="-7"/>
          <w:sz w:val="20"/>
        </w:rPr>
        <w:t> </w:t>
      </w:r>
      <w:r>
        <w:rPr>
          <w:spacing w:val="-2"/>
          <w:sz w:val="20"/>
        </w:rPr>
        <w:t>margins,</w:t>
      </w:r>
      <w:r>
        <w:rPr>
          <w:spacing w:val="-7"/>
          <w:sz w:val="20"/>
        </w:rPr>
        <w:t> </w:t>
      </w:r>
      <w:r>
        <w:rPr>
          <w:spacing w:val="-2"/>
          <w:sz w:val="20"/>
        </w:rPr>
        <w:t>earnings,</w:t>
      </w:r>
      <w:r>
        <w:rPr>
          <w:spacing w:val="-17"/>
          <w:sz w:val="20"/>
        </w:rPr>
        <w:t> </w:t>
      </w:r>
      <w:r>
        <w:rPr>
          <w:spacing w:val="-2"/>
          <w:sz w:val="20"/>
        </w:rPr>
        <w:t>Annualized</w:t>
      </w:r>
      <w:r>
        <w:rPr>
          <w:spacing w:val="-7"/>
          <w:sz w:val="20"/>
        </w:rPr>
        <w:t> </w:t>
      </w:r>
      <w:r>
        <w:rPr>
          <w:spacing w:val="-2"/>
          <w:sz w:val="20"/>
        </w:rPr>
        <w:t>Recurring</w:t>
      </w:r>
      <w:r>
        <w:rPr>
          <w:spacing w:val="-7"/>
          <w:sz w:val="20"/>
        </w:rPr>
        <w:t> </w:t>
      </w:r>
      <w:r>
        <w:rPr>
          <w:spacing w:val="-2"/>
          <w:sz w:val="20"/>
        </w:rPr>
        <w:t>Revenue</w:t>
      </w:r>
      <w:r>
        <w:rPr>
          <w:spacing w:val="-7"/>
          <w:sz w:val="20"/>
        </w:rPr>
        <w:t> </w:t>
      </w:r>
      <w:r>
        <w:rPr>
          <w:spacing w:val="-2"/>
          <w:sz w:val="20"/>
        </w:rPr>
        <w:t>(“ARR”), </w:t>
      </w:r>
      <w:r>
        <w:rPr>
          <w:sz w:val="20"/>
        </w:rPr>
        <w:t>sales of our Adobe Experience Cloud offerings, or other key performance metrics;</w:t>
      </w:r>
    </w:p>
    <w:p>
      <w:pPr>
        <w:pStyle w:val="BodyText"/>
        <w:spacing w:before="12"/>
      </w:pPr>
    </w:p>
    <w:p>
      <w:pPr>
        <w:pStyle w:val="ListParagraph"/>
        <w:numPr>
          <w:ilvl w:val="0"/>
          <w:numId w:val="5"/>
        </w:numPr>
        <w:tabs>
          <w:tab w:pos="1109" w:val="left" w:leader="none"/>
        </w:tabs>
        <w:spacing w:line="240" w:lineRule="auto" w:before="0" w:after="0"/>
        <w:ind w:left="1109" w:right="0" w:hanging="359"/>
        <w:jc w:val="left"/>
        <w:rPr>
          <w:sz w:val="20"/>
        </w:rPr>
      </w:pPr>
      <w:r>
        <w:rPr>
          <w:sz w:val="20"/>
        </w:rPr>
        <w:t>changes</w:t>
      </w:r>
      <w:r>
        <w:rPr>
          <w:spacing w:val="-7"/>
          <w:sz w:val="20"/>
        </w:rPr>
        <w:t> </w:t>
      </w:r>
      <w:r>
        <w:rPr>
          <w:sz w:val="20"/>
        </w:rPr>
        <w:t>in</w:t>
      </w:r>
      <w:r>
        <w:rPr>
          <w:spacing w:val="-5"/>
          <w:sz w:val="20"/>
        </w:rPr>
        <w:t> </w:t>
      </w:r>
      <w:r>
        <w:rPr>
          <w:sz w:val="20"/>
        </w:rPr>
        <w:t>estimates</w:t>
      </w:r>
      <w:r>
        <w:rPr>
          <w:spacing w:val="-6"/>
          <w:sz w:val="20"/>
        </w:rPr>
        <w:t> </w:t>
      </w:r>
      <w:r>
        <w:rPr>
          <w:sz w:val="20"/>
        </w:rPr>
        <w:t>or</w:t>
      </w:r>
      <w:r>
        <w:rPr>
          <w:spacing w:val="-6"/>
          <w:sz w:val="20"/>
        </w:rPr>
        <w:t> </w:t>
      </w:r>
      <w:r>
        <w:rPr>
          <w:sz w:val="20"/>
        </w:rPr>
        <w:t>recommendations</w:t>
      </w:r>
      <w:r>
        <w:rPr>
          <w:spacing w:val="-6"/>
          <w:sz w:val="20"/>
        </w:rPr>
        <w:t> </w:t>
      </w:r>
      <w:r>
        <w:rPr>
          <w:sz w:val="20"/>
        </w:rPr>
        <w:t>by</w:t>
      </w:r>
      <w:r>
        <w:rPr>
          <w:spacing w:val="-5"/>
          <w:sz w:val="20"/>
        </w:rPr>
        <w:t> </w:t>
      </w:r>
      <w:r>
        <w:rPr>
          <w:sz w:val="20"/>
        </w:rPr>
        <w:t>securities</w:t>
      </w:r>
      <w:r>
        <w:rPr>
          <w:spacing w:val="-6"/>
          <w:sz w:val="20"/>
        </w:rPr>
        <w:t> </w:t>
      </w:r>
      <w:r>
        <w:rPr>
          <w:spacing w:val="-2"/>
          <w:sz w:val="20"/>
        </w:rPr>
        <w:t>analysts;</w:t>
      </w:r>
    </w:p>
    <w:p>
      <w:pPr>
        <w:pStyle w:val="BodyText"/>
        <w:spacing w:before="20"/>
      </w:pPr>
    </w:p>
    <w:p>
      <w:pPr>
        <w:pStyle w:val="ListParagraph"/>
        <w:numPr>
          <w:ilvl w:val="0"/>
          <w:numId w:val="5"/>
        </w:numPr>
        <w:tabs>
          <w:tab w:pos="1109" w:val="left" w:leader="none"/>
        </w:tabs>
        <w:spacing w:line="240" w:lineRule="auto" w:before="0" w:after="0"/>
        <w:ind w:left="1109" w:right="0" w:hanging="359"/>
        <w:jc w:val="left"/>
        <w:rPr>
          <w:sz w:val="20"/>
        </w:rPr>
      </w:pPr>
      <w:r>
        <w:rPr>
          <w:sz w:val="20"/>
        </w:rPr>
        <w:t>whether</w:t>
      </w:r>
      <w:r>
        <w:rPr>
          <w:spacing w:val="-5"/>
          <w:sz w:val="20"/>
        </w:rPr>
        <w:t> </w:t>
      </w:r>
      <w:r>
        <w:rPr>
          <w:sz w:val="20"/>
        </w:rPr>
        <w:t>our</w:t>
      </w:r>
      <w:r>
        <w:rPr>
          <w:spacing w:val="-1"/>
          <w:sz w:val="20"/>
        </w:rPr>
        <w:t> </w:t>
      </w:r>
      <w:r>
        <w:rPr>
          <w:sz w:val="20"/>
        </w:rPr>
        <w:t>results</w:t>
      </w:r>
      <w:r>
        <w:rPr>
          <w:spacing w:val="-2"/>
          <w:sz w:val="20"/>
        </w:rPr>
        <w:t> </w:t>
      </w:r>
      <w:r>
        <w:rPr>
          <w:sz w:val="20"/>
        </w:rPr>
        <w:t>meet</w:t>
      </w:r>
      <w:r>
        <w:rPr>
          <w:spacing w:val="-1"/>
          <w:sz w:val="20"/>
        </w:rPr>
        <w:t> </w:t>
      </w:r>
      <w:r>
        <w:rPr>
          <w:sz w:val="20"/>
        </w:rPr>
        <w:t>analysts’</w:t>
      </w:r>
      <w:r>
        <w:rPr>
          <w:spacing w:val="-15"/>
          <w:sz w:val="20"/>
        </w:rPr>
        <w:t> </w:t>
      </w:r>
      <w:r>
        <w:rPr>
          <w:spacing w:val="-2"/>
          <w:sz w:val="20"/>
        </w:rPr>
        <w:t>expectations;</w:t>
      </w:r>
    </w:p>
    <w:p>
      <w:pPr>
        <w:pStyle w:val="BodyText"/>
        <w:spacing w:before="20"/>
      </w:pPr>
    </w:p>
    <w:p>
      <w:pPr>
        <w:pStyle w:val="ListParagraph"/>
        <w:numPr>
          <w:ilvl w:val="0"/>
          <w:numId w:val="5"/>
        </w:numPr>
        <w:tabs>
          <w:tab w:pos="1109" w:val="left" w:leader="none"/>
        </w:tabs>
        <w:spacing w:line="240" w:lineRule="auto" w:before="0" w:after="0"/>
        <w:ind w:left="1109" w:right="0" w:hanging="359"/>
        <w:jc w:val="left"/>
        <w:rPr>
          <w:sz w:val="20"/>
        </w:rPr>
      </w:pPr>
      <w:r>
        <w:rPr>
          <w:sz w:val="20"/>
        </w:rPr>
        <w:t>compression</w:t>
      </w:r>
      <w:r>
        <w:rPr>
          <w:spacing w:val="-2"/>
          <w:sz w:val="20"/>
        </w:rPr>
        <w:t> </w:t>
      </w:r>
      <w:r>
        <w:rPr>
          <w:sz w:val="20"/>
        </w:rPr>
        <w:t>or</w:t>
      </w:r>
      <w:r>
        <w:rPr>
          <w:spacing w:val="-2"/>
          <w:sz w:val="20"/>
        </w:rPr>
        <w:t> </w:t>
      </w:r>
      <w:r>
        <w:rPr>
          <w:sz w:val="20"/>
        </w:rPr>
        <w:t>expansion</w:t>
      </w:r>
      <w:r>
        <w:rPr>
          <w:spacing w:val="-2"/>
          <w:sz w:val="20"/>
        </w:rPr>
        <w:t> </w:t>
      </w:r>
      <w:r>
        <w:rPr>
          <w:sz w:val="20"/>
        </w:rPr>
        <w:t>of</w:t>
      </w:r>
      <w:r>
        <w:rPr>
          <w:spacing w:val="-1"/>
          <w:sz w:val="20"/>
        </w:rPr>
        <w:t> </w:t>
      </w:r>
      <w:r>
        <w:rPr>
          <w:sz w:val="20"/>
        </w:rPr>
        <w:t>multiples</w:t>
      </w:r>
      <w:r>
        <w:rPr>
          <w:spacing w:val="-3"/>
          <w:sz w:val="20"/>
        </w:rPr>
        <w:t> </w:t>
      </w:r>
      <w:r>
        <w:rPr>
          <w:sz w:val="20"/>
        </w:rPr>
        <w:t>used</w:t>
      </w:r>
      <w:r>
        <w:rPr>
          <w:spacing w:val="-2"/>
          <w:sz w:val="20"/>
        </w:rPr>
        <w:t> </w:t>
      </w:r>
      <w:r>
        <w:rPr>
          <w:sz w:val="20"/>
        </w:rPr>
        <w:t>by</w:t>
      </w:r>
      <w:r>
        <w:rPr>
          <w:spacing w:val="-2"/>
          <w:sz w:val="20"/>
        </w:rPr>
        <w:t> </w:t>
      </w:r>
      <w:r>
        <w:rPr>
          <w:sz w:val="20"/>
        </w:rPr>
        <w:t>investors</w:t>
      </w:r>
      <w:r>
        <w:rPr>
          <w:spacing w:val="-2"/>
          <w:sz w:val="20"/>
        </w:rPr>
        <w:t> </w:t>
      </w:r>
      <w:r>
        <w:rPr>
          <w:sz w:val="20"/>
        </w:rPr>
        <w:t>and</w:t>
      </w:r>
      <w:r>
        <w:rPr>
          <w:spacing w:val="-2"/>
          <w:sz w:val="20"/>
        </w:rPr>
        <w:t> </w:t>
      </w:r>
      <w:r>
        <w:rPr>
          <w:sz w:val="20"/>
        </w:rPr>
        <w:t>analysts</w:t>
      </w:r>
      <w:r>
        <w:rPr>
          <w:spacing w:val="-3"/>
          <w:sz w:val="20"/>
        </w:rPr>
        <w:t> </w:t>
      </w:r>
      <w:r>
        <w:rPr>
          <w:sz w:val="20"/>
        </w:rPr>
        <w:t>to</w:t>
      </w:r>
      <w:r>
        <w:rPr>
          <w:spacing w:val="-2"/>
          <w:sz w:val="20"/>
        </w:rPr>
        <w:t> </w:t>
      </w:r>
      <w:r>
        <w:rPr>
          <w:sz w:val="20"/>
        </w:rPr>
        <w:t>value</w:t>
      </w:r>
      <w:r>
        <w:rPr>
          <w:spacing w:val="-1"/>
          <w:sz w:val="20"/>
        </w:rPr>
        <w:t> </w:t>
      </w:r>
      <w:r>
        <w:rPr>
          <w:sz w:val="20"/>
        </w:rPr>
        <w:t>high</w:t>
      </w:r>
      <w:r>
        <w:rPr>
          <w:spacing w:val="-2"/>
          <w:sz w:val="20"/>
        </w:rPr>
        <w:t> </w:t>
      </w:r>
      <w:r>
        <w:rPr>
          <w:sz w:val="20"/>
        </w:rPr>
        <w:t>technology</w:t>
      </w:r>
      <w:r>
        <w:rPr>
          <w:spacing w:val="-2"/>
          <w:sz w:val="20"/>
        </w:rPr>
        <w:t> </w:t>
      </w:r>
      <w:r>
        <w:rPr>
          <w:sz w:val="20"/>
        </w:rPr>
        <w:t>SaaS</w:t>
      </w:r>
      <w:r>
        <w:rPr>
          <w:spacing w:val="-2"/>
          <w:sz w:val="20"/>
        </w:rPr>
        <w:t> companies;</w:t>
      </w:r>
    </w:p>
    <w:p>
      <w:pPr>
        <w:pStyle w:val="BodyText"/>
        <w:spacing w:before="20"/>
      </w:pPr>
    </w:p>
    <w:p>
      <w:pPr>
        <w:pStyle w:val="ListParagraph"/>
        <w:numPr>
          <w:ilvl w:val="0"/>
          <w:numId w:val="5"/>
        </w:numPr>
        <w:tabs>
          <w:tab w:pos="1110" w:val="left" w:leader="none"/>
        </w:tabs>
        <w:spacing w:line="249" w:lineRule="auto" w:before="0" w:after="0"/>
        <w:ind w:left="1110" w:right="488" w:hanging="360"/>
        <w:jc w:val="left"/>
        <w:rPr>
          <w:sz w:val="20"/>
        </w:rPr>
      </w:pPr>
      <w:r>
        <w:rPr>
          <w:sz w:val="20"/>
        </w:rPr>
        <w:t>the</w:t>
      </w:r>
      <w:r>
        <w:rPr>
          <w:spacing w:val="-3"/>
          <w:sz w:val="20"/>
        </w:rPr>
        <w:t> </w:t>
      </w:r>
      <w:r>
        <w:rPr>
          <w:sz w:val="20"/>
        </w:rPr>
        <w:t>announcement</w:t>
      </w:r>
      <w:r>
        <w:rPr>
          <w:spacing w:val="-3"/>
          <w:sz w:val="20"/>
        </w:rPr>
        <w:t> </w:t>
      </w:r>
      <w:r>
        <w:rPr>
          <w:sz w:val="20"/>
        </w:rPr>
        <w:t>of</w:t>
      </w:r>
      <w:r>
        <w:rPr>
          <w:spacing w:val="-3"/>
          <w:sz w:val="20"/>
        </w:rPr>
        <w:t> </w:t>
      </w:r>
      <w:r>
        <w:rPr>
          <w:sz w:val="20"/>
        </w:rPr>
        <w:t>new</w:t>
      </w:r>
      <w:r>
        <w:rPr>
          <w:spacing w:val="-4"/>
          <w:sz w:val="20"/>
        </w:rPr>
        <w:t> </w:t>
      </w:r>
      <w:r>
        <w:rPr>
          <w:sz w:val="20"/>
        </w:rPr>
        <w:t>products</w:t>
      </w:r>
      <w:r>
        <w:rPr>
          <w:spacing w:val="-4"/>
          <w:sz w:val="20"/>
        </w:rPr>
        <w:t> </w:t>
      </w:r>
      <w:r>
        <w:rPr>
          <w:sz w:val="20"/>
        </w:rPr>
        <w:t>or</w:t>
      </w:r>
      <w:r>
        <w:rPr>
          <w:spacing w:val="-3"/>
          <w:sz w:val="20"/>
        </w:rPr>
        <w:t> </w:t>
      </w:r>
      <w:r>
        <w:rPr>
          <w:sz w:val="20"/>
        </w:rPr>
        <w:t>services,</w:t>
      </w:r>
      <w:r>
        <w:rPr>
          <w:spacing w:val="-3"/>
          <w:sz w:val="20"/>
        </w:rPr>
        <w:t> </w:t>
      </w:r>
      <w:r>
        <w:rPr>
          <w:sz w:val="20"/>
        </w:rPr>
        <w:t>product</w:t>
      </w:r>
      <w:r>
        <w:rPr>
          <w:spacing w:val="-3"/>
          <w:sz w:val="20"/>
        </w:rPr>
        <w:t> </w:t>
      </w:r>
      <w:r>
        <w:rPr>
          <w:sz w:val="20"/>
        </w:rPr>
        <w:t>enhancements,</w:t>
      </w:r>
      <w:r>
        <w:rPr>
          <w:spacing w:val="-3"/>
          <w:sz w:val="20"/>
        </w:rPr>
        <w:t> </w:t>
      </w:r>
      <w:r>
        <w:rPr>
          <w:sz w:val="20"/>
        </w:rPr>
        <w:t>service</w:t>
      </w:r>
      <w:r>
        <w:rPr>
          <w:spacing w:val="-3"/>
          <w:sz w:val="20"/>
        </w:rPr>
        <w:t> </w:t>
      </w:r>
      <w:r>
        <w:rPr>
          <w:sz w:val="20"/>
        </w:rPr>
        <w:t>introductions,</w:t>
      </w:r>
      <w:r>
        <w:rPr>
          <w:spacing w:val="-3"/>
          <w:sz w:val="20"/>
        </w:rPr>
        <w:t> </w:t>
      </w:r>
      <w:r>
        <w:rPr>
          <w:sz w:val="20"/>
        </w:rPr>
        <w:t>strategic</w:t>
      </w:r>
      <w:r>
        <w:rPr>
          <w:spacing w:val="-3"/>
          <w:sz w:val="20"/>
        </w:rPr>
        <w:t> </w:t>
      </w:r>
      <w:r>
        <w:rPr>
          <w:sz w:val="20"/>
        </w:rPr>
        <w:t>alliances</w:t>
      </w:r>
      <w:r>
        <w:rPr>
          <w:spacing w:val="-4"/>
          <w:sz w:val="20"/>
        </w:rPr>
        <w:t> </w:t>
      </w:r>
      <w:r>
        <w:rPr>
          <w:sz w:val="20"/>
        </w:rPr>
        <w:t>or significant agreements by us or our competitors;</w:t>
      </w:r>
    </w:p>
    <w:p>
      <w:pPr>
        <w:pStyle w:val="BodyText"/>
        <w:spacing w:before="11"/>
      </w:pPr>
    </w:p>
    <w:p>
      <w:pPr>
        <w:pStyle w:val="ListParagraph"/>
        <w:numPr>
          <w:ilvl w:val="0"/>
          <w:numId w:val="5"/>
        </w:numPr>
        <w:tabs>
          <w:tab w:pos="1110" w:val="left" w:leader="none"/>
        </w:tabs>
        <w:spacing w:line="249" w:lineRule="auto" w:before="1" w:after="0"/>
        <w:ind w:left="1110" w:right="247" w:hanging="360"/>
        <w:jc w:val="left"/>
        <w:rPr>
          <w:sz w:val="20"/>
        </w:rPr>
      </w:pPr>
      <w:r>
        <w:rPr>
          <w:sz w:val="20"/>
        </w:rPr>
        <w:t>the loss of large customers or our inability to increase sales to existing customers, retain customers or attract new</w:t>
      </w:r>
      <w:r>
        <w:rPr>
          <w:spacing w:val="80"/>
          <w:sz w:val="20"/>
        </w:rPr>
        <w:t> </w:t>
      </w:r>
      <w:r>
        <w:rPr>
          <w:spacing w:val="-2"/>
          <w:sz w:val="20"/>
        </w:rPr>
        <w:t>customers;</w:t>
      </w:r>
    </w:p>
    <w:p>
      <w:pPr>
        <w:pStyle w:val="BodyText"/>
        <w:spacing w:before="11"/>
      </w:pPr>
    </w:p>
    <w:p>
      <w:pPr>
        <w:pStyle w:val="ListParagraph"/>
        <w:numPr>
          <w:ilvl w:val="0"/>
          <w:numId w:val="5"/>
        </w:numPr>
        <w:tabs>
          <w:tab w:pos="1109" w:val="left" w:leader="none"/>
        </w:tabs>
        <w:spacing w:line="240" w:lineRule="auto" w:before="0" w:after="0"/>
        <w:ind w:left="1109" w:right="0" w:hanging="359"/>
        <w:jc w:val="left"/>
        <w:rPr>
          <w:sz w:val="20"/>
        </w:rPr>
      </w:pPr>
      <w:r>
        <w:rPr>
          <w:sz w:val="20"/>
        </w:rPr>
        <w:t>recruitment</w:t>
      </w:r>
      <w:r>
        <w:rPr>
          <w:spacing w:val="-1"/>
          <w:sz w:val="20"/>
        </w:rPr>
        <w:t> </w:t>
      </w:r>
      <w:r>
        <w:rPr>
          <w:sz w:val="20"/>
        </w:rPr>
        <w:t>or departure</w:t>
      </w:r>
      <w:r>
        <w:rPr>
          <w:spacing w:val="-1"/>
          <w:sz w:val="20"/>
        </w:rPr>
        <w:t> </w:t>
      </w:r>
      <w:r>
        <w:rPr>
          <w:sz w:val="20"/>
        </w:rPr>
        <w:t>of key </w:t>
      </w:r>
      <w:r>
        <w:rPr>
          <w:spacing w:val="-2"/>
          <w:sz w:val="20"/>
        </w:rPr>
        <w:t>personnel;</w:t>
      </w:r>
    </w:p>
    <w:p>
      <w:pPr>
        <w:pStyle w:val="BodyText"/>
        <w:spacing w:before="20"/>
      </w:pPr>
    </w:p>
    <w:p>
      <w:pPr>
        <w:pStyle w:val="ListParagraph"/>
        <w:numPr>
          <w:ilvl w:val="0"/>
          <w:numId w:val="5"/>
        </w:numPr>
        <w:tabs>
          <w:tab w:pos="1110" w:val="left" w:leader="none"/>
        </w:tabs>
        <w:spacing w:line="249" w:lineRule="auto" w:before="0" w:after="0"/>
        <w:ind w:left="1110" w:right="248" w:hanging="360"/>
        <w:jc w:val="left"/>
        <w:rPr>
          <w:sz w:val="20"/>
        </w:rPr>
      </w:pPr>
      <w:r>
        <w:rPr>
          <w:sz w:val="20"/>
        </w:rPr>
        <w:t>variations</w:t>
      </w:r>
      <w:r>
        <w:rPr>
          <w:spacing w:val="36"/>
          <w:sz w:val="20"/>
        </w:rPr>
        <w:t> </w:t>
      </w:r>
      <w:r>
        <w:rPr>
          <w:sz w:val="20"/>
        </w:rPr>
        <w:t>in</w:t>
      </w:r>
      <w:r>
        <w:rPr>
          <w:spacing w:val="36"/>
          <w:sz w:val="20"/>
        </w:rPr>
        <w:t> </w:t>
      </w:r>
      <w:r>
        <w:rPr>
          <w:sz w:val="20"/>
        </w:rPr>
        <w:t>our</w:t>
      </w:r>
      <w:r>
        <w:rPr>
          <w:spacing w:val="36"/>
          <w:sz w:val="20"/>
        </w:rPr>
        <w:t> </w:t>
      </w:r>
      <w:r>
        <w:rPr>
          <w:sz w:val="20"/>
        </w:rPr>
        <w:t>or</w:t>
      </w:r>
      <w:r>
        <w:rPr>
          <w:spacing w:val="36"/>
          <w:sz w:val="20"/>
        </w:rPr>
        <w:t> </w:t>
      </w:r>
      <w:r>
        <w:rPr>
          <w:sz w:val="20"/>
        </w:rPr>
        <w:t>our</w:t>
      </w:r>
      <w:r>
        <w:rPr>
          <w:spacing w:val="36"/>
          <w:sz w:val="20"/>
        </w:rPr>
        <w:t> </w:t>
      </w:r>
      <w:r>
        <w:rPr>
          <w:sz w:val="20"/>
        </w:rPr>
        <w:t>competitors’</w:t>
      </w:r>
      <w:r>
        <w:rPr>
          <w:spacing w:val="22"/>
          <w:sz w:val="20"/>
        </w:rPr>
        <w:t> </w:t>
      </w:r>
      <w:r>
        <w:rPr>
          <w:sz w:val="20"/>
        </w:rPr>
        <w:t>results</w:t>
      </w:r>
      <w:r>
        <w:rPr>
          <w:spacing w:val="36"/>
          <w:sz w:val="20"/>
        </w:rPr>
        <w:t> </w:t>
      </w:r>
      <w:r>
        <w:rPr>
          <w:sz w:val="20"/>
        </w:rPr>
        <w:t>of</w:t>
      </w:r>
      <w:r>
        <w:rPr>
          <w:spacing w:val="36"/>
          <w:sz w:val="20"/>
        </w:rPr>
        <w:t> </w:t>
      </w:r>
      <w:r>
        <w:rPr>
          <w:sz w:val="20"/>
        </w:rPr>
        <w:t>operations,</w:t>
      </w:r>
      <w:r>
        <w:rPr>
          <w:spacing w:val="36"/>
          <w:sz w:val="20"/>
        </w:rPr>
        <w:t> </w:t>
      </w:r>
      <w:r>
        <w:rPr>
          <w:sz w:val="20"/>
        </w:rPr>
        <w:t>changes</w:t>
      </w:r>
      <w:r>
        <w:rPr>
          <w:spacing w:val="36"/>
          <w:sz w:val="20"/>
        </w:rPr>
        <w:t> </w:t>
      </w:r>
      <w:r>
        <w:rPr>
          <w:sz w:val="20"/>
        </w:rPr>
        <w:t>in</w:t>
      </w:r>
      <w:r>
        <w:rPr>
          <w:spacing w:val="36"/>
          <w:sz w:val="20"/>
        </w:rPr>
        <w:t> </w:t>
      </w:r>
      <w:r>
        <w:rPr>
          <w:sz w:val="20"/>
        </w:rPr>
        <w:t>the</w:t>
      </w:r>
      <w:r>
        <w:rPr>
          <w:spacing w:val="36"/>
          <w:sz w:val="20"/>
        </w:rPr>
        <w:t> </w:t>
      </w:r>
      <w:r>
        <w:rPr>
          <w:sz w:val="20"/>
        </w:rPr>
        <w:t>competitive</w:t>
      </w:r>
      <w:r>
        <w:rPr>
          <w:spacing w:val="35"/>
          <w:sz w:val="20"/>
        </w:rPr>
        <w:t> </w:t>
      </w:r>
      <w:r>
        <w:rPr>
          <w:sz w:val="20"/>
        </w:rPr>
        <w:t>landscape</w:t>
      </w:r>
      <w:r>
        <w:rPr>
          <w:spacing w:val="36"/>
          <w:sz w:val="20"/>
        </w:rPr>
        <w:t> </w:t>
      </w:r>
      <w:r>
        <w:rPr>
          <w:sz w:val="20"/>
        </w:rPr>
        <w:t>generally</w:t>
      </w:r>
      <w:r>
        <w:rPr>
          <w:spacing w:val="36"/>
          <w:sz w:val="20"/>
        </w:rPr>
        <w:t> </w:t>
      </w:r>
      <w:r>
        <w:rPr>
          <w:sz w:val="20"/>
        </w:rPr>
        <w:t>and developments in our industry;</w:t>
      </w:r>
    </w:p>
    <w:p>
      <w:pPr>
        <w:pStyle w:val="BodyText"/>
        <w:spacing w:before="12"/>
      </w:pPr>
    </w:p>
    <w:p>
      <w:pPr>
        <w:pStyle w:val="ListParagraph"/>
        <w:numPr>
          <w:ilvl w:val="0"/>
          <w:numId w:val="5"/>
        </w:numPr>
        <w:tabs>
          <w:tab w:pos="1109" w:val="left" w:leader="none"/>
        </w:tabs>
        <w:spacing w:line="240" w:lineRule="auto" w:before="0" w:after="0"/>
        <w:ind w:left="1109" w:right="0" w:hanging="359"/>
        <w:jc w:val="left"/>
        <w:rPr>
          <w:sz w:val="20"/>
        </w:rPr>
      </w:pPr>
      <w:r>
        <w:rPr>
          <w:sz w:val="20"/>
        </w:rPr>
        <w:t>general</w:t>
      </w:r>
      <w:r>
        <w:rPr>
          <w:spacing w:val="-1"/>
          <w:sz w:val="20"/>
        </w:rPr>
        <w:t> </w:t>
      </w:r>
      <w:r>
        <w:rPr>
          <w:sz w:val="20"/>
        </w:rPr>
        <w:t>socio-economic,</w:t>
      </w:r>
      <w:r>
        <w:rPr>
          <w:spacing w:val="-1"/>
          <w:sz w:val="20"/>
        </w:rPr>
        <w:t> </w:t>
      </w:r>
      <w:r>
        <w:rPr>
          <w:sz w:val="20"/>
        </w:rPr>
        <w:t>political</w:t>
      </w:r>
      <w:r>
        <w:rPr>
          <w:spacing w:val="-1"/>
          <w:sz w:val="20"/>
        </w:rPr>
        <w:t> </w:t>
      </w:r>
      <w:r>
        <w:rPr>
          <w:sz w:val="20"/>
        </w:rPr>
        <w:t>or market</w:t>
      </w:r>
      <w:r>
        <w:rPr>
          <w:spacing w:val="-1"/>
          <w:sz w:val="20"/>
        </w:rPr>
        <w:t> </w:t>
      </w:r>
      <w:r>
        <w:rPr>
          <w:sz w:val="20"/>
        </w:rPr>
        <w:t>conditions;</w:t>
      </w:r>
      <w:r>
        <w:rPr>
          <w:spacing w:val="-1"/>
          <w:sz w:val="20"/>
        </w:rPr>
        <w:t> </w:t>
      </w:r>
      <w:r>
        <w:rPr>
          <w:spacing w:val="-5"/>
          <w:sz w:val="20"/>
        </w:rPr>
        <w:t>and</w:t>
      </w:r>
    </w:p>
    <w:p>
      <w:pPr>
        <w:pStyle w:val="BodyText"/>
        <w:spacing w:before="20"/>
      </w:pPr>
    </w:p>
    <w:p>
      <w:pPr>
        <w:pStyle w:val="ListParagraph"/>
        <w:numPr>
          <w:ilvl w:val="0"/>
          <w:numId w:val="5"/>
        </w:numPr>
        <w:tabs>
          <w:tab w:pos="1110" w:val="left" w:leader="none"/>
        </w:tabs>
        <w:spacing w:line="249" w:lineRule="auto" w:before="0" w:after="0"/>
        <w:ind w:left="1110" w:right="248" w:hanging="360"/>
        <w:jc w:val="left"/>
        <w:rPr>
          <w:sz w:val="20"/>
        </w:rPr>
      </w:pPr>
      <w:r>
        <w:rPr>
          <w:sz w:val="20"/>
        </w:rPr>
        <w:t>unusual</w:t>
      </w:r>
      <w:r>
        <w:rPr>
          <w:spacing w:val="-9"/>
          <w:sz w:val="20"/>
        </w:rPr>
        <w:t> </w:t>
      </w:r>
      <w:r>
        <w:rPr>
          <w:sz w:val="20"/>
        </w:rPr>
        <w:t>events</w:t>
      </w:r>
      <w:r>
        <w:rPr>
          <w:spacing w:val="-9"/>
          <w:sz w:val="20"/>
        </w:rPr>
        <w:t> </w:t>
      </w:r>
      <w:r>
        <w:rPr>
          <w:sz w:val="20"/>
        </w:rPr>
        <w:t>such</w:t>
      </w:r>
      <w:r>
        <w:rPr>
          <w:spacing w:val="-9"/>
          <w:sz w:val="20"/>
        </w:rPr>
        <w:t> </w:t>
      </w:r>
      <w:r>
        <w:rPr>
          <w:sz w:val="20"/>
        </w:rPr>
        <w:t>as</w:t>
      </w:r>
      <w:r>
        <w:rPr>
          <w:spacing w:val="-9"/>
          <w:sz w:val="20"/>
        </w:rPr>
        <w:t> </w:t>
      </w:r>
      <w:r>
        <w:rPr>
          <w:sz w:val="20"/>
        </w:rPr>
        <w:t>significant</w:t>
      </w:r>
      <w:r>
        <w:rPr>
          <w:spacing w:val="-9"/>
          <w:sz w:val="20"/>
        </w:rPr>
        <w:t> </w:t>
      </w:r>
      <w:r>
        <w:rPr>
          <w:sz w:val="20"/>
        </w:rPr>
        <w:t>acquisitions</w:t>
      </w:r>
      <w:r>
        <w:rPr>
          <w:spacing w:val="-9"/>
          <w:sz w:val="20"/>
        </w:rPr>
        <w:t> </w:t>
      </w:r>
      <w:r>
        <w:rPr>
          <w:sz w:val="20"/>
        </w:rPr>
        <w:t>by</w:t>
      </w:r>
      <w:r>
        <w:rPr>
          <w:spacing w:val="-9"/>
          <w:sz w:val="20"/>
        </w:rPr>
        <w:t> </w:t>
      </w:r>
      <w:r>
        <w:rPr>
          <w:sz w:val="20"/>
        </w:rPr>
        <w:t>us</w:t>
      </w:r>
      <w:r>
        <w:rPr>
          <w:spacing w:val="-9"/>
          <w:sz w:val="20"/>
        </w:rPr>
        <w:t> </w:t>
      </w:r>
      <w:r>
        <w:rPr>
          <w:sz w:val="20"/>
        </w:rPr>
        <w:t>or</w:t>
      </w:r>
      <w:r>
        <w:rPr>
          <w:spacing w:val="-9"/>
          <w:sz w:val="20"/>
        </w:rPr>
        <w:t> </w:t>
      </w:r>
      <w:r>
        <w:rPr>
          <w:sz w:val="20"/>
        </w:rPr>
        <w:t>our</w:t>
      </w:r>
      <w:r>
        <w:rPr>
          <w:spacing w:val="-9"/>
          <w:sz w:val="20"/>
        </w:rPr>
        <w:t> </w:t>
      </w:r>
      <w:r>
        <w:rPr>
          <w:sz w:val="20"/>
        </w:rPr>
        <w:t>competitors,</w:t>
      </w:r>
      <w:r>
        <w:rPr>
          <w:spacing w:val="-9"/>
          <w:sz w:val="20"/>
        </w:rPr>
        <w:t> </w:t>
      </w:r>
      <w:r>
        <w:rPr>
          <w:sz w:val="20"/>
        </w:rPr>
        <w:t>divestitures,</w:t>
      </w:r>
      <w:r>
        <w:rPr>
          <w:spacing w:val="-9"/>
          <w:sz w:val="20"/>
        </w:rPr>
        <w:t> </w:t>
      </w:r>
      <w:r>
        <w:rPr>
          <w:sz w:val="20"/>
        </w:rPr>
        <w:t>litigation,</w:t>
      </w:r>
      <w:r>
        <w:rPr>
          <w:spacing w:val="-9"/>
          <w:sz w:val="20"/>
        </w:rPr>
        <w:t> </w:t>
      </w:r>
      <w:r>
        <w:rPr>
          <w:sz w:val="20"/>
        </w:rPr>
        <w:t>regulatory</w:t>
      </w:r>
      <w:r>
        <w:rPr>
          <w:spacing w:val="-9"/>
          <w:sz w:val="20"/>
        </w:rPr>
        <w:t> </w:t>
      </w:r>
      <w:r>
        <w:rPr>
          <w:sz w:val="20"/>
        </w:rPr>
        <w:t>actions</w:t>
      </w:r>
      <w:r>
        <w:rPr>
          <w:spacing w:val="-9"/>
          <w:sz w:val="20"/>
        </w:rPr>
        <w:t> </w:t>
      </w:r>
      <w:r>
        <w:rPr>
          <w:sz w:val="20"/>
        </w:rPr>
        <w:t>and other factors, including factors unrelated to our operating performance.</w:t>
      </w:r>
    </w:p>
    <w:p>
      <w:pPr>
        <w:pStyle w:val="BodyText"/>
        <w:spacing w:before="11"/>
      </w:pPr>
    </w:p>
    <w:p>
      <w:pPr>
        <w:pStyle w:val="BodyText"/>
        <w:spacing w:line="249" w:lineRule="auto" w:before="1"/>
        <w:ind w:left="210" w:right="247" w:firstLine="540"/>
        <w:jc w:val="both"/>
      </w:pPr>
      <w:r>
        <w:rPr/>
        <w:t>In addition, the market for technology stocks or the stock market in general may experience uneven investor confidence, which</w:t>
      </w:r>
      <w:r>
        <w:rPr>
          <w:spacing w:val="-8"/>
        </w:rPr>
        <w:t> </w:t>
      </w:r>
      <w:r>
        <w:rPr/>
        <w:t>may</w:t>
      </w:r>
      <w:r>
        <w:rPr>
          <w:spacing w:val="-8"/>
        </w:rPr>
        <w:t> </w:t>
      </w:r>
      <w:r>
        <w:rPr/>
        <w:t>cause</w:t>
      </w:r>
      <w:r>
        <w:rPr>
          <w:spacing w:val="-8"/>
        </w:rPr>
        <w:t> </w:t>
      </w:r>
      <w:r>
        <w:rPr/>
        <w:t>the</w:t>
      </w:r>
      <w:r>
        <w:rPr>
          <w:spacing w:val="-8"/>
        </w:rPr>
        <w:t> </w:t>
      </w:r>
      <w:r>
        <w:rPr/>
        <w:t>market</w:t>
      </w:r>
      <w:r>
        <w:rPr>
          <w:spacing w:val="-8"/>
        </w:rPr>
        <w:t> </w:t>
      </w:r>
      <w:r>
        <w:rPr/>
        <w:t>price</w:t>
      </w:r>
      <w:r>
        <w:rPr>
          <w:spacing w:val="-8"/>
        </w:rPr>
        <w:t> </w:t>
      </w:r>
      <w:r>
        <w:rPr/>
        <w:t>for</w:t>
      </w:r>
      <w:r>
        <w:rPr>
          <w:spacing w:val="-8"/>
        </w:rPr>
        <w:t> </w:t>
      </w:r>
      <w:r>
        <w:rPr/>
        <w:t>our</w:t>
      </w:r>
      <w:r>
        <w:rPr>
          <w:spacing w:val="-8"/>
        </w:rPr>
        <w:t> </w:t>
      </w:r>
      <w:r>
        <w:rPr/>
        <w:t>common</w:t>
      </w:r>
      <w:r>
        <w:rPr>
          <w:spacing w:val="-8"/>
        </w:rPr>
        <w:t> </w:t>
      </w:r>
      <w:r>
        <w:rPr/>
        <w:t>stock</w:t>
      </w:r>
      <w:r>
        <w:rPr>
          <w:spacing w:val="-8"/>
        </w:rPr>
        <w:t> </w:t>
      </w:r>
      <w:r>
        <w:rPr/>
        <w:t>to</w:t>
      </w:r>
      <w:r>
        <w:rPr>
          <w:spacing w:val="-8"/>
        </w:rPr>
        <w:t> </w:t>
      </w:r>
      <w:r>
        <w:rPr/>
        <w:t>decline</w:t>
      </w:r>
      <w:r>
        <w:rPr>
          <w:spacing w:val="-8"/>
        </w:rPr>
        <w:t> </w:t>
      </w:r>
      <w:r>
        <w:rPr/>
        <w:t>for</w:t>
      </w:r>
      <w:r>
        <w:rPr>
          <w:spacing w:val="-8"/>
        </w:rPr>
        <w:t> </w:t>
      </w:r>
      <w:r>
        <w:rPr/>
        <w:t>reasons</w:t>
      </w:r>
      <w:r>
        <w:rPr>
          <w:spacing w:val="-8"/>
        </w:rPr>
        <w:t> </w:t>
      </w:r>
      <w:r>
        <w:rPr/>
        <w:t>unrelated</w:t>
      </w:r>
      <w:r>
        <w:rPr>
          <w:spacing w:val="-8"/>
        </w:rPr>
        <w:t> </w:t>
      </w:r>
      <w:r>
        <w:rPr/>
        <w:t>to</w:t>
      </w:r>
      <w:r>
        <w:rPr>
          <w:spacing w:val="-8"/>
        </w:rPr>
        <w:t> </w:t>
      </w:r>
      <w:r>
        <w:rPr/>
        <w:t>our</w:t>
      </w:r>
      <w:r>
        <w:rPr>
          <w:spacing w:val="-8"/>
        </w:rPr>
        <w:t> </w:t>
      </w:r>
      <w:r>
        <w:rPr/>
        <w:t>operating</w:t>
      </w:r>
      <w:r>
        <w:rPr>
          <w:spacing w:val="-8"/>
        </w:rPr>
        <w:t> </w:t>
      </w:r>
      <w:r>
        <w:rPr/>
        <w:t>performance.</w:t>
      </w:r>
      <w:r>
        <w:rPr>
          <w:spacing w:val="-11"/>
        </w:rPr>
        <w:t> </w:t>
      </w:r>
      <w:r>
        <w:rPr/>
        <w:t>Volatility in the market price of a company’s securities for a period of time may increase the company’s susceptibility to securities class action litigation. Oftentimes, this type of litigation is expensive and diverts management’s attention and resources which may adversely affect our business.</w:t>
      </w:r>
    </w:p>
    <w:p>
      <w:pPr>
        <w:spacing w:after="0" w:line="249" w:lineRule="auto"/>
        <w:jc w:val="both"/>
        <w:sectPr>
          <w:pgSz w:w="12240" w:h="15840"/>
          <w:pgMar w:header="210" w:footer="579" w:top="420" w:bottom="800" w:left="780" w:right="740"/>
        </w:sectPr>
      </w:pPr>
    </w:p>
    <w:p>
      <w:pPr>
        <w:pStyle w:val="BodyText"/>
        <w:spacing w:before="147"/>
      </w:pPr>
    </w:p>
    <w:p>
      <w:pPr>
        <w:pStyle w:val="Heading3"/>
      </w:pPr>
      <w:r>
        <w:rPr/>
        <w:t>If</w:t>
      </w:r>
      <w:r>
        <w:rPr>
          <w:spacing w:val="-2"/>
        </w:rPr>
        <w:t> </w:t>
      </w:r>
      <w:r>
        <w:rPr/>
        <w:t>we</w:t>
      </w:r>
      <w:r>
        <w:rPr>
          <w:spacing w:val="-1"/>
        </w:rPr>
        <w:t> </w:t>
      </w:r>
      <w:r>
        <w:rPr/>
        <w:t>are</w:t>
      </w:r>
      <w:r>
        <w:rPr>
          <w:spacing w:val="-2"/>
        </w:rPr>
        <w:t> </w:t>
      </w:r>
      <w:r>
        <w:rPr/>
        <w:t>unable</w:t>
      </w:r>
      <w:r>
        <w:rPr>
          <w:spacing w:val="-2"/>
        </w:rPr>
        <w:t> </w:t>
      </w:r>
      <w:r>
        <w:rPr/>
        <w:t>to</w:t>
      </w:r>
      <w:r>
        <w:rPr>
          <w:spacing w:val="-1"/>
        </w:rPr>
        <w:t> </w:t>
      </w:r>
      <w:r>
        <w:rPr/>
        <w:t>recruit</w:t>
      </w:r>
      <w:r>
        <w:rPr>
          <w:spacing w:val="-2"/>
        </w:rPr>
        <w:t> </w:t>
      </w:r>
      <w:r>
        <w:rPr/>
        <w:t>and</w:t>
      </w:r>
      <w:r>
        <w:rPr>
          <w:spacing w:val="-2"/>
        </w:rPr>
        <w:t> </w:t>
      </w:r>
      <w:r>
        <w:rPr/>
        <w:t>retain</w:t>
      </w:r>
      <w:r>
        <w:rPr>
          <w:spacing w:val="-1"/>
        </w:rPr>
        <w:t> </w:t>
      </w:r>
      <w:r>
        <w:rPr/>
        <w:t>key</w:t>
      </w:r>
      <w:r>
        <w:rPr>
          <w:spacing w:val="-2"/>
        </w:rPr>
        <w:t> </w:t>
      </w:r>
      <w:r>
        <w:rPr/>
        <w:t>personnel,</w:t>
      </w:r>
      <w:r>
        <w:rPr>
          <w:spacing w:val="-2"/>
        </w:rPr>
        <w:t> </w:t>
      </w:r>
      <w:r>
        <w:rPr/>
        <w:t>our</w:t>
      </w:r>
      <w:r>
        <w:rPr>
          <w:spacing w:val="-1"/>
        </w:rPr>
        <w:t> </w:t>
      </w:r>
      <w:r>
        <w:rPr/>
        <w:t>business</w:t>
      </w:r>
      <w:r>
        <w:rPr>
          <w:spacing w:val="-1"/>
        </w:rPr>
        <w:t> </w:t>
      </w:r>
      <w:r>
        <w:rPr/>
        <w:t>may</w:t>
      </w:r>
      <w:r>
        <w:rPr>
          <w:spacing w:val="-1"/>
        </w:rPr>
        <w:t> </w:t>
      </w:r>
      <w:r>
        <w:rPr/>
        <w:t>be</w:t>
      </w:r>
      <w:r>
        <w:rPr>
          <w:spacing w:val="-1"/>
        </w:rPr>
        <w:t> </w:t>
      </w:r>
      <w:r>
        <w:rPr>
          <w:spacing w:val="-2"/>
        </w:rPr>
        <w:t>harmed.</w:t>
      </w:r>
    </w:p>
    <w:p>
      <w:pPr>
        <w:pStyle w:val="BodyText"/>
        <w:spacing w:line="249" w:lineRule="auto" w:before="190"/>
        <w:ind w:left="210" w:right="247" w:firstLine="540"/>
        <w:jc w:val="both"/>
      </w:pPr>
      <w:r>
        <w:rPr/>
        <w:t>Much of our future success depends on the continued service, availability and performance of our senior management. </w:t>
      </w:r>
      <w:r>
        <w:rPr>
          <w:spacing w:val="-2"/>
        </w:rPr>
        <w:t>These</w:t>
      </w:r>
      <w:r>
        <w:rPr>
          <w:spacing w:val="-5"/>
        </w:rPr>
        <w:t> </w:t>
      </w:r>
      <w:r>
        <w:rPr>
          <w:spacing w:val="-2"/>
        </w:rPr>
        <w:t>individuals</w:t>
      </w:r>
      <w:r>
        <w:rPr>
          <w:spacing w:val="-3"/>
        </w:rPr>
        <w:t> </w:t>
      </w:r>
      <w:r>
        <w:rPr>
          <w:spacing w:val="-2"/>
        </w:rPr>
        <w:t>have</w:t>
      </w:r>
      <w:r>
        <w:rPr>
          <w:spacing w:val="-3"/>
        </w:rPr>
        <w:t> </w:t>
      </w:r>
      <w:r>
        <w:rPr>
          <w:spacing w:val="-2"/>
        </w:rPr>
        <w:t>acquired</w:t>
      </w:r>
      <w:r>
        <w:rPr>
          <w:spacing w:val="-3"/>
        </w:rPr>
        <w:t> </w:t>
      </w:r>
      <w:r>
        <w:rPr>
          <w:spacing w:val="-2"/>
        </w:rPr>
        <w:t>specialized</w:t>
      </w:r>
      <w:r>
        <w:rPr>
          <w:spacing w:val="-3"/>
        </w:rPr>
        <w:t> </w:t>
      </w:r>
      <w:r>
        <w:rPr>
          <w:spacing w:val="-2"/>
        </w:rPr>
        <w:t>knowledge</w:t>
      </w:r>
      <w:r>
        <w:rPr>
          <w:spacing w:val="-3"/>
        </w:rPr>
        <w:t> </w:t>
      </w:r>
      <w:r>
        <w:rPr>
          <w:spacing w:val="-2"/>
        </w:rPr>
        <w:t>and</w:t>
      </w:r>
      <w:r>
        <w:rPr>
          <w:spacing w:val="-3"/>
        </w:rPr>
        <w:t> </w:t>
      </w:r>
      <w:r>
        <w:rPr>
          <w:spacing w:val="-2"/>
        </w:rPr>
        <w:t>skills</w:t>
      </w:r>
      <w:r>
        <w:rPr>
          <w:spacing w:val="-3"/>
        </w:rPr>
        <w:t> </w:t>
      </w:r>
      <w:r>
        <w:rPr>
          <w:spacing w:val="-2"/>
        </w:rPr>
        <w:t>with</w:t>
      </w:r>
      <w:r>
        <w:rPr>
          <w:spacing w:val="-3"/>
        </w:rPr>
        <w:t> </w:t>
      </w:r>
      <w:r>
        <w:rPr>
          <w:spacing w:val="-2"/>
        </w:rPr>
        <w:t>respect</w:t>
      </w:r>
      <w:r>
        <w:rPr>
          <w:spacing w:val="-3"/>
        </w:rPr>
        <w:t> </w:t>
      </w:r>
      <w:r>
        <w:rPr>
          <w:spacing w:val="-2"/>
        </w:rPr>
        <w:t>to</w:t>
      </w:r>
      <w:r>
        <w:rPr>
          <w:spacing w:val="-11"/>
        </w:rPr>
        <w:t> </w:t>
      </w:r>
      <w:r>
        <w:rPr>
          <w:spacing w:val="-2"/>
        </w:rPr>
        <w:t>Adobe.</w:t>
      </w:r>
      <w:r>
        <w:rPr>
          <w:spacing w:val="-6"/>
        </w:rPr>
        <w:t> </w:t>
      </w:r>
      <w:r>
        <w:rPr>
          <w:spacing w:val="-2"/>
        </w:rPr>
        <w:t>The</w:t>
      </w:r>
      <w:r>
        <w:rPr>
          <w:spacing w:val="-3"/>
        </w:rPr>
        <w:t> </w:t>
      </w:r>
      <w:r>
        <w:rPr>
          <w:spacing w:val="-2"/>
        </w:rPr>
        <w:t>loss</w:t>
      </w:r>
      <w:r>
        <w:rPr>
          <w:spacing w:val="-3"/>
        </w:rPr>
        <w:t> </w:t>
      </w:r>
      <w:r>
        <w:rPr>
          <w:spacing w:val="-2"/>
        </w:rPr>
        <w:t>of</w:t>
      </w:r>
      <w:r>
        <w:rPr>
          <w:spacing w:val="-3"/>
        </w:rPr>
        <w:t> </w:t>
      </w:r>
      <w:r>
        <w:rPr>
          <w:spacing w:val="-2"/>
        </w:rPr>
        <w:t>any</w:t>
      </w:r>
      <w:r>
        <w:rPr>
          <w:spacing w:val="-3"/>
        </w:rPr>
        <w:t> </w:t>
      </w:r>
      <w:r>
        <w:rPr>
          <w:spacing w:val="-2"/>
        </w:rPr>
        <w:t>of</w:t>
      </w:r>
      <w:r>
        <w:rPr>
          <w:spacing w:val="-3"/>
        </w:rPr>
        <w:t> </w:t>
      </w:r>
      <w:r>
        <w:rPr>
          <w:spacing w:val="-2"/>
        </w:rPr>
        <w:t>these</w:t>
      </w:r>
      <w:r>
        <w:rPr>
          <w:spacing w:val="-3"/>
        </w:rPr>
        <w:t> </w:t>
      </w:r>
      <w:r>
        <w:rPr>
          <w:spacing w:val="-2"/>
        </w:rPr>
        <w:t>individuals</w:t>
      </w:r>
      <w:r>
        <w:rPr>
          <w:spacing w:val="-3"/>
        </w:rPr>
        <w:t> </w:t>
      </w:r>
      <w:r>
        <w:rPr>
          <w:spacing w:val="-2"/>
        </w:rPr>
        <w:t>could </w:t>
      </w:r>
      <w:r>
        <w:rPr>
          <w:spacing w:val="-4"/>
        </w:rPr>
        <w:t>harm our business, especially if we have not been successful in developing adequate succession plans. Our business is also dependent </w:t>
      </w:r>
      <w:r>
        <w:rPr/>
        <w:t>on our ability to retain, hire and motivate talented, highly skilled personnel across all levels of our organization. Experienced personnel in the information technology industry are in high demand and competition for their talents is intense in many areas where our employees are located.</w:t>
      </w:r>
      <w:r>
        <w:rPr>
          <w:spacing w:val="-1"/>
        </w:rPr>
        <w:t> </w:t>
      </w:r>
      <w:r>
        <w:rPr/>
        <w:t>We may experience higher compensation costs to retain senior management and experienced personnel</w:t>
      </w:r>
      <w:r>
        <w:rPr>
          <w:spacing w:val="-2"/>
        </w:rPr>
        <w:t> </w:t>
      </w:r>
      <w:r>
        <w:rPr/>
        <w:t>that</w:t>
      </w:r>
      <w:r>
        <w:rPr>
          <w:spacing w:val="-2"/>
        </w:rPr>
        <w:t> </w:t>
      </w:r>
      <w:r>
        <w:rPr/>
        <w:t>may</w:t>
      </w:r>
      <w:r>
        <w:rPr>
          <w:spacing w:val="-2"/>
        </w:rPr>
        <w:t> </w:t>
      </w:r>
      <w:r>
        <w:rPr/>
        <w:t>not</w:t>
      </w:r>
      <w:r>
        <w:rPr>
          <w:spacing w:val="-2"/>
        </w:rPr>
        <w:t> </w:t>
      </w:r>
      <w:r>
        <w:rPr/>
        <w:t>be</w:t>
      </w:r>
      <w:r>
        <w:rPr>
          <w:spacing w:val="-2"/>
        </w:rPr>
        <w:t> </w:t>
      </w:r>
      <w:r>
        <w:rPr/>
        <w:t>offset</w:t>
      </w:r>
      <w:r>
        <w:rPr>
          <w:spacing w:val="-2"/>
        </w:rPr>
        <w:t> </w:t>
      </w:r>
      <w:r>
        <w:rPr/>
        <w:t>by</w:t>
      </w:r>
      <w:r>
        <w:rPr>
          <w:spacing w:val="-2"/>
        </w:rPr>
        <w:t> </w:t>
      </w:r>
      <w:r>
        <w:rPr/>
        <w:t>improved</w:t>
      </w:r>
      <w:r>
        <w:rPr>
          <w:spacing w:val="-2"/>
        </w:rPr>
        <w:t> </w:t>
      </w:r>
      <w:r>
        <w:rPr/>
        <w:t>productivity</w:t>
      </w:r>
      <w:r>
        <w:rPr>
          <w:spacing w:val="-2"/>
        </w:rPr>
        <w:t> </w:t>
      </w:r>
      <w:r>
        <w:rPr/>
        <w:t>or</w:t>
      </w:r>
      <w:r>
        <w:rPr>
          <w:spacing w:val="-2"/>
        </w:rPr>
        <w:t> </w:t>
      </w:r>
      <w:r>
        <w:rPr/>
        <w:t>increased</w:t>
      </w:r>
      <w:r>
        <w:rPr>
          <w:spacing w:val="-2"/>
        </w:rPr>
        <w:t> </w:t>
      </w:r>
      <w:r>
        <w:rPr/>
        <w:t>sales.</w:t>
      </w:r>
      <w:r>
        <w:rPr>
          <w:spacing w:val="-2"/>
        </w:rPr>
        <w:t> </w:t>
      </w:r>
      <w:r>
        <w:rPr/>
        <w:t>If</w:t>
      </w:r>
      <w:r>
        <w:rPr>
          <w:spacing w:val="-2"/>
        </w:rPr>
        <w:t> </w:t>
      </w:r>
      <w:r>
        <w:rPr/>
        <w:t>we</w:t>
      </w:r>
      <w:r>
        <w:rPr>
          <w:spacing w:val="-2"/>
        </w:rPr>
        <w:t> </w:t>
      </w:r>
      <w:r>
        <w:rPr/>
        <w:t>are</w:t>
      </w:r>
      <w:r>
        <w:rPr>
          <w:spacing w:val="-2"/>
        </w:rPr>
        <w:t> </w:t>
      </w:r>
      <w:r>
        <w:rPr/>
        <w:t>unable</w:t>
      </w:r>
      <w:r>
        <w:rPr>
          <w:spacing w:val="-2"/>
        </w:rPr>
        <w:t> </w:t>
      </w:r>
      <w:r>
        <w:rPr/>
        <w:t>to</w:t>
      </w:r>
      <w:r>
        <w:rPr>
          <w:spacing w:val="-2"/>
        </w:rPr>
        <w:t> </w:t>
      </w:r>
      <w:r>
        <w:rPr/>
        <w:t>continue</w:t>
      </w:r>
      <w:r>
        <w:rPr>
          <w:spacing w:val="-2"/>
        </w:rPr>
        <w:t> </w:t>
      </w:r>
      <w:r>
        <w:rPr/>
        <w:t>to</w:t>
      </w:r>
      <w:r>
        <w:rPr>
          <w:spacing w:val="-2"/>
        </w:rPr>
        <w:t> </w:t>
      </w:r>
      <w:r>
        <w:rPr/>
        <w:t>successfully</w:t>
      </w:r>
      <w:r>
        <w:rPr>
          <w:spacing w:val="-2"/>
        </w:rPr>
        <w:t> </w:t>
      </w:r>
      <w:r>
        <w:rPr/>
        <w:t>attract and retain key personnel, our business may be harmed.</w:t>
      </w:r>
    </w:p>
    <w:p>
      <w:pPr>
        <w:pStyle w:val="BodyText"/>
        <w:spacing w:line="249" w:lineRule="auto" w:before="186"/>
        <w:ind w:left="210" w:right="247" w:firstLine="540"/>
        <w:jc w:val="both"/>
      </w:pPr>
      <w:r>
        <w:rPr/>
        <w:t>We</w:t>
      </w:r>
      <w:r>
        <w:rPr>
          <w:spacing w:val="-7"/>
        </w:rPr>
        <w:t> </w:t>
      </w:r>
      <w:r>
        <w:rPr/>
        <w:t>continue</w:t>
      </w:r>
      <w:r>
        <w:rPr>
          <w:spacing w:val="-7"/>
        </w:rPr>
        <w:t> </w:t>
      </w:r>
      <w:r>
        <w:rPr/>
        <w:t>to</w:t>
      </w:r>
      <w:r>
        <w:rPr>
          <w:spacing w:val="-7"/>
        </w:rPr>
        <w:t> </w:t>
      </w:r>
      <w:r>
        <w:rPr/>
        <w:t>hire</w:t>
      </w:r>
      <w:r>
        <w:rPr>
          <w:spacing w:val="-7"/>
        </w:rPr>
        <w:t> </w:t>
      </w:r>
      <w:r>
        <w:rPr/>
        <w:t>personnel</w:t>
      </w:r>
      <w:r>
        <w:rPr>
          <w:spacing w:val="-7"/>
        </w:rPr>
        <w:t> </w:t>
      </w:r>
      <w:r>
        <w:rPr/>
        <w:t>in</w:t>
      </w:r>
      <w:r>
        <w:rPr>
          <w:spacing w:val="-7"/>
        </w:rPr>
        <w:t> </w:t>
      </w:r>
      <w:r>
        <w:rPr/>
        <w:t>countries</w:t>
      </w:r>
      <w:r>
        <w:rPr>
          <w:spacing w:val="-7"/>
        </w:rPr>
        <w:t> </w:t>
      </w:r>
      <w:r>
        <w:rPr/>
        <w:t>where</w:t>
      </w:r>
      <w:r>
        <w:rPr>
          <w:spacing w:val="-7"/>
        </w:rPr>
        <w:t> </w:t>
      </w:r>
      <w:r>
        <w:rPr/>
        <w:t>exceptional</w:t>
      </w:r>
      <w:r>
        <w:rPr>
          <w:spacing w:val="-7"/>
        </w:rPr>
        <w:t> </w:t>
      </w:r>
      <w:r>
        <w:rPr/>
        <w:t>technical</w:t>
      </w:r>
      <w:r>
        <w:rPr>
          <w:spacing w:val="-7"/>
        </w:rPr>
        <w:t> </w:t>
      </w:r>
      <w:r>
        <w:rPr/>
        <w:t>knowledge</w:t>
      </w:r>
      <w:r>
        <w:rPr>
          <w:spacing w:val="-7"/>
        </w:rPr>
        <w:t> </w:t>
      </w:r>
      <w:r>
        <w:rPr/>
        <w:t>and</w:t>
      </w:r>
      <w:r>
        <w:rPr>
          <w:spacing w:val="-7"/>
        </w:rPr>
        <w:t> </w:t>
      </w:r>
      <w:r>
        <w:rPr/>
        <w:t>other</w:t>
      </w:r>
      <w:r>
        <w:rPr>
          <w:spacing w:val="-7"/>
        </w:rPr>
        <w:t> </w:t>
      </w:r>
      <w:r>
        <w:rPr/>
        <w:t>expertise</w:t>
      </w:r>
      <w:r>
        <w:rPr>
          <w:spacing w:val="-7"/>
        </w:rPr>
        <w:t> </w:t>
      </w:r>
      <w:r>
        <w:rPr/>
        <w:t>are</w:t>
      </w:r>
      <w:r>
        <w:rPr>
          <w:spacing w:val="-7"/>
        </w:rPr>
        <w:t> </w:t>
      </w:r>
      <w:r>
        <w:rPr/>
        <w:t>offered</w:t>
      </w:r>
      <w:r>
        <w:rPr>
          <w:spacing w:val="-7"/>
        </w:rPr>
        <w:t> </w:t>
      </w:r>
      <w:r>
        <w:rPr/>
        <w:t>at</w:t>
      </w:r>
      <w:r>
        <w:rPr>
          <w:spacing w:val="-7"/>
        </w:rPr>
        <w:t> </w:t>
      </w:r>
      <w:r>
        <w:rPr/>
        <w:t>lower </w:t>
      </w:r>
      <w:r>
        <w:rPr>
          <w:spacing w:val="-2"/>
        </w:rPr>
        <w:t>costs,</w:t>
      </w:r>
      <w:r>
        <w:rPr>
          <w:spacing w:val="-10"/>
        </w:rPr>
        <w:t> </w:t>
      </w:r>
      <w:r>
        <w:rPr>
          <w:spacing w:val="-2"/>
        </w:rPr>
        <w:t>which</w:t>
      </w:r>
      <w:r>
        <w:rPr>
          <w:spacing w:val="-10"/>
        </w:rPr>
        <w:t> </w:t>
      </w:r>
      <w:r>
        <w:rPr>
          <w:spacing w:val="-2"/>
        </w:rPr>
        <w:t>increases</w:t>
      </w:r>
      <w:r>
        <w:rPr>
          <w:spacing w:val="-8"/>
        </w:rPr>
        <w:t> </w:t>
      </w:r>
      <w:r>
        <w:rPr>
          <w:spacing w:val="-2"/>
        </w:rPr>
        <w:t>the</w:t>
      </w:r>
      <w:r>
        <w:rPr>
          <w:spacing w:val="-10"/>
        </w:rPr>
        <w:t> </w:t>
      </w:r>
      <w:r>
        <w:rPr>
          <w:spacing w:val="-2"/>
        </w:rPr>
        <w:t>efficiency</w:t>
      </w:r>
      <w:r>
        <w:rPr>
          <w:spacing w:val="-10"/>
        </w:rPr>
        <w:t> </w:t>
      </w:r>
      <w:r>
        <w:rPr>
          <w:spacing w:val="-2"/>
        </w:rPr>
        <w:t>of</w:t>
      </w:r>
      <w:r>
        <w:rPr>
          <w:spacing w:val="-8"/>
        </w:rPr>
        <w:t> </w:t>
      </w:r>
      <w:r>
        <w:rPr>
          <w:spacing w:val="-2"/>
        </w:rPr>
        <w:t>our</w:t>
      </w:r>
      <w:r>
        <w:rPr>
          <w:spacing w:val="-10"/>
        </w:rPr>
        <w:t> </w:t>
      </w:r>
      <w:r>
        <w:rPr>
          <w:spacing w:val="-2"/>
        </w:rPr>
        <w:t>global</w:t>
      </w:r>
      <w:r>
        <w:rPr>
          <w:spacing w:val="-10"/>
        </w:rPr>
        <w:t> </w:t>
      </w:r>
      <w:r>
        <w:rPr>
          <w:spacing w:val="-2"/>
        </w:rPr>
        <w:t>workforce</w:t>
      </w:r>
      <w:r>
        <w:rPr>
          <w:spacing w:val="-10"/>
        </w:rPr>
        <w:t> </w:t>
      </w:r>
      <w:r>
        <w:rPr>
          <w:spacing w:val="-2"/>
        </w:rPr>
        <w:t>structure</w:t>
      </w:r>
      <w:r>
        <w:rPr>
          <w:spacing w:val="-10"/>
        </w:rPr>
        <w:t> </w:t>
      </w:r>
      <w:r>
        <w:rPr>
          <w:spacing w:val="-2"/>
        </w:rPr>
        <w:t>and</w:t>
      </w:r>
      <w:r>
        <w:rPr>
          <w:spacing w:val="-10"/>
        </w:rPr>
        <w:t> </w:t>
      </w:r>
      <w:r>
        <w:rPr>
          <w:spacing w:val="-2"/>
        </w:rPr>
        <w:t>reduces</w:t>
      </w:r>
      <w:r>
        <w:rPr>
          <w:spacing w:val="-10"/>
        </w:rPr>
        <w:t> </w:t>
      </w:r>
      <w:r>
        <w:rPr>
          <w:spacing w:val="-2"/>
        </w:rPr>
        <w:t>our</w:t>
      </w:r>
      <w:r>
        <w:rPr>
          <w:spacing w:val="-8"/>
        </w:rPr>
        <w:t> </w:t>
      </w:r>
      <w:r>
        <w:rPr>
          <w:spacing w:val="-2"/>
        </w:rPr>
        <w:t>personnel</w:t>
      </w:r>
      <w:r>
        <w:rPr>
          <w:spacing w:val="-10"/>
        </w:rPr>
        <w:t> </w:t>
      </w:r>
      <w:r>
        <w:rPr>
          <w:spacing w:val="-2"/>
        </w:rPr>
        <w:t>related</w:t>
      </w:r>
      <w:r>
        <w:rPr>
          <w:spacing w:val="-10"/>
        </w:rPr>
        <w:t> </w:t>
      </w:r>
      <w:r>
        <w:rPr>
          <w:spacing w:val="-2"/>
        </w:rPr>
        <w:t>expenditures.</w:t>
      </w:r>
      <w:r>
        <w:rPr>
          <w:spacing w:val="32"/>
        </w:rPr>
        <w:t> </w:t>
      </w:r>
      <w:r>
        <w:rPr>
          <w:spacing w:val="-2"/>
        </w:rPr>
        <w:t>Nonetheless, as</w:t>
      </w:r>
      <w:r>
        <w:rPr>
          <w:spacing w:val="-4"/>
        </w:rPr>
        <w:t> </w:t>
      </w:r>
      <w:r>
        <w:rPr>
          <w:spacing w:val="-2"/>
        </w:rPr>
        <w:t>globalization</w:t>
      </w:r>
      <w:r>
        <w:rPr>
          <w:spacing w:val="-4"/>
        </w:rPr>
        <w:t> </w:t>
      </w:r>
      <w:r>
        <w:rPr>
          <w:spacing w:val="-2"/>
        </w:rPr>
        <w:t>continues,</w:t>
      </w:r>
      <w:r>
        <w:rPr>
          <w:spacing w:val="-4"/>
        </w:rPr>
        <w:t> </w:t>
      </w:r>
      <w:r>
        <w:rPr>
          <w:spacing w:val="-2"/>
        </w:rPr>
        <w:t>competition</w:t>
      </w:r>
      <w:r>
        <w:rPr>
          <w:spacing w:val="-4"/>
        </w:rPr>
        <w:t> </w:t>
      </w:r>
      <w:r>
        <w:rPr>
          <w:spacing w:val="-2"/>
        </w:rPr>
        <w:t>for</w:t>
      </w:r>
      <w:r>
        <w:rPr>
          <w:spacing w:val="-4"/>
        </w:rPr>
        <w:t> </w:t>
      </w:r>
      <w:r>
        <w:rPr>
          <w:spacing w:val="-2"/>
        </w:rPr>
        <w:t>these</w:t>
      </w:r>
      <w:r>
        <w:rPr>
          <w:spacing w:val="-4"/>
        </w:rPr>
        <w:t> </w:t>
      </w:r>
      <w:r>
        <w:rPr>
          <w:spacing w:val="-2"/>
        </w:rPr>
        <w:t>employees</w:t>
      </w:r>
      <w:r>
        <w:rPr>
          <w:spacing w:val="-4"/>
        </w:rPr>
        <w:t> </w:t>
      </w:r>
      <w:r>
        <w:rPr>
          <w:spacing w:val="-2"/>
        </w:rPr>
        <w:t>in</w:t>
      </w:r>
      <w:r>
        <w:rPr>
          <w:spacing w:val="-4"/>
        </w:rPr>
        <w:t> </w:t>
      </w:r>
      <w:r>
        <w:rPr>
          <w:spacing w:val="-2"/>
        </w:rPr>
        <w:t>these</w:t>
      </w:r>
      <w:r>
        <w:rPr>
          <w:spacing w:val="-4"/>
        </w:rPr>
        <w:t> </w:t>
      </w:r>
      <w:r>
        <w:rPr>
          <w:spacing w:val="-2"/>
        </w:rPr>
        <w:t>countries</w:t>
      </w:r>
      <w:r>
        <w:rPr>
          <w:spacing w:val="-4"/>
        </w:rPr>
        <w:t> </w:t>
      </w:r>
      <w:r>
        <w:rPr>
          <w:spacing w:val="-2"/>
        </w:rPr>
        <w:t>has</w:t>
      </w:r>
      <w:r>
        <w:rPr>
          <w:spacing w:val="-4"/>
        </w:rPr>
        <w:t> </w:t>
      </w:r>
      <w:r>
        <w:rPr>
          <w:spacing w:val="-2"/>
        </w:rPr>
        <w:t>increased,</w:t>
      </w:r>
      <w:r>
        <w:rPr>
          <w:spacing w:val="-4"/>
        </w:rPr>
        <w:t> </w:t>
      </w:r>
      <w:r>
        <w:rPr>
          <w:spacing w:val="-2"/>
        </w:rPr>
        <w:t>which</w:t>
      </w:r>
      <w:r>
        <w:rPr>
          <w:spacing w:val="-4"/>
        </w:rPr>
        <w:t> </w:t>
      </w:r>
      <w:r>
        <w:rPr>
          <w:spacing w:val="-2"/>
        </w:rPr>
        <w:t>may</w:t>
      </w:r>
      <w:r>
        <w:rPr>
          <w:spacing w:val="-4"/>
        </w:rPr>
        <w:t> </w:t>
      </w:r>
      <w:r>
        <w:rPr>
          <w:spacing w:val="-2"/>
        </w:rPr>
        <w:t>impact</w:t>
      </w:r>
      <w:r>
        <w:rPr>
          <w:spacing w:val="-4"/>
        </w:rPr>
        <w:t> </w:t>
      </w:r>
      <w:r>
        <w:rPr>
          <w:spacing w:val="-2"/>
        </w:rPr>
        <w:t>our</w:t>
      </w:r>
      <w:r>
        <w:rPr>
          <w:spacing w:val="-4"/>
        </w:rPr>
        <w:t> </w:t>
      </w:r>
      <w:r>
        <w:rPr>
          <w:spacing w:val="-2"/>
        </w:rPr>
        <w:t>ability</w:t>
      </w:r>
      <w:r>
        <w:rPr>
          <w:spacing w:val="-4"/>
        </w:rPr>
        <w:t> </w:t>
      </w:r>
      <w:r>
        <w:rPr>
          <w:spacing w:val="-2"/>
        </w:rPr>
        <w:t>to</w:t>
      </w:r>
      <w:r>
        <w:rPr>
          <w:spacing w:val="-4"/>
        </w:rPr>
        <w:t> </w:t>
      </w:r>
      <w:r>
        <w:rPr>
          <w:spacing w:val="-2"/>
        </w:rPr>
        <w:t>retain these</w:t>
      </w:r>
      <w:r>
        <w:rPr>
          <w:spacing w:val="-5"/>
        </w:rPr>
        <w:t> </w:t>
      </w:r>
      <w:r>
        <w:rPr>
          <w:spacing w:val="-2"/>
        </w:rPr>
        <w:t>employees</w:t>
      </w:r>
      <w:r>
        <w:rPr>
          <w:spacing w:val="-5"/>
        </w:rPr>
        <w:t> </w:t>
      </w:r>
      <w:r>
        <w:rPr>
          <w:spacing w:val="-2"/>
        </w:rPr>
        <w:t>and</w:t>
      </w:r>
      <w:r>
        <w:rPr>
          <w:spacing w:val="-5"/>
        </w:rPr>
        <w:t> </w:t>
      </w:r>
      <w:r>
        <w:rPr>
          <w:spacing w:val="-2"/>
        </w:rPr>
        <w:t>increase</w:t>
      </w:r>
      <w:r>
        <w:rPr>
          <w:spacing w:val="-5"/>
        </w:rPr>
        <w:t> </w:t>
      </w:r>
      <w:r>
        <w:rPr>
          <w:spacing w:val="-2"/>
        </w:rPr>
        <w:t>our</w:t>
      </w:r>
      <w:r>
        <w:rPr>
          <w:spacing w:val="-5"/>
        </w:rPr>
        <w:t> </w:t>
      </w:r>
      <w:r>
        <w:rPr>
          <w:spacing w:val="-2"/>
        </w:rPr>
        <w:t>expenses</w:t>
      </w:r>
      <w:r>
        <w:rPr>
          <w:spacing w:val="-5"/>
        </w:rPr>
        <w:t> </w:t>
      </w:r>
      <w:r>
        <w:rPr>
          <w:spacing w:val="-2"/>
        </w:rPr>
        <w:t>resulting</w:t>
      </w:r>
      <w:r>
        <w:rPr>
          <w:spacing w:val="-5"/>
        </w:rPr>
        <w:t> </w:t>
      </w:r>
      <w:r>
        <w:rPr>
          <w:spacing w:val="-2"/>
        </w:rPr>
        <w:t>from</w:t>
      </w:r>
      <w:r>
        <w:rPr>
          <w:spacing w:val="-5"/>
        </w:rPr>
        <w:t> </w:t>
      </w:r>
      <w:r>
        <w:rPr>
          <w:spacing w:val="-2"/>
        </w:rPr>
        <w:t>competitive</w:t>
      </w:r>
      <w:r>
        <w:rPr>
          <w:spacing w:val="-6"/>
        </w:rPr>
        <w:t> </w:t>
      </w:r>
      <w:r>
        <w:rPr>
          <w:spacing w:val="-2"/>
        </w:rPr>
        <w:t>compensation.</w:t>
      </w:r>
      <w:r>
        <w:rPr>
          <w:spacing w:val="-9"/>
        </w:rPr>
        <w:t> </w:t>
      </w:r>
      <w:r>
        <w:rPr>
          <w:spacing w:val="-2"/>
        </w:rPr>
        <w:t>We</w:t>
      </w:r>
      <w:r>
        <w:rPr>
          <w:spacing w:val="-5"/>
        </w:rPr>
        <w:t> </w:t>
      </w:r>
      <w:r>
        <w:rPr>
          <w:spacing w:val="-2"/>
        </w:rPr>
        <w:t>may</w:t>
      </w:r>
      <w:r>
        <w:rPr>
          <w:spacing w:val="-5"/>
        </w:rPr>
        <w:t> </w:t>
      </w:r>
      <w:r>
        <w:rPr>
          <w:spacing w:val="-2"/>
        </w:rPr>
        <w:t>continue</w:t>
      </w:r>
      <w:r>
        <w:rPr>
          <w:spacing w:val="-5"/>
        </w:rPr>
        <w:t> </w:t>
      </w:r>
      <w:r>
        <w:rPr>
          <w:spacing w:val="-2"/>
        </w:rPr>
        <w:t>to</w:t>
      </w:r>
      <w:r>
        <w:rPr>
          <w:spacing w:val="-5"/>
        </w:rPr>
        <w:t> </w:t>
      </w:r>
      <w:r>
        <w:rPr>
          <w:spacing w:val="-2"/>
        </w:rPr>
        <w:t>expand</w:t>
      </w:r>
      <w:r>
        <w:rPr>
          <w:spacing w:val="-5"/>
        </w:rPr>
        <w:t> </w:t>
      </w:r>
      <w:r>
        <w:rPr>
          <w:spacing w:val="-2"/>
        </w:rPr>
        <w:t>our</w:t>
      </w:r>
      <w:r>
        <w:rPr>
          <w:spacing w:val="-5"/>
        </w:rPr>
        <w:t> </w:t>
      </w:r>
      <w:r>
        <w:rPr>
          <w:spacing w:val="-2"/>
        </w:rPr>
        <w:t>international </w:t>
      </w:r>
      <w:r>
        <w:rPr/>
        <w:t>operations</w:t>
      </w:r>
      <w:r>
        <w:rPr>
          <w:spacing w:val="-7"/>
        </w:rPr>
        <w:t> </w:t>
      </w:r>
      <w:r>
        <w:rPr/>
        <w:t>and</w:t>
      </w:r>
      <w:r>
        <w:rPr>
          <w:spacing w:val="-7"/>
        </w:rPr>
        <w:t> </w:t>
      </w:r>
      <w:r>
        <w:rPr/>
        <w:t>international</w:t>
      </w:r>
      <w:r>
        <w:rPr>
          <w:spacing w:val="-7"/>
        </w:rPr>
        <w:t> </w:t>
      </w:r>
      <w:r>
        <w:rPr/>
        <w:t>sales</w:t>
      </w:r>
      <w:r>
        <w:rPr>
          <w:spacing w:val="-7"/>
        </w:rPr>
        <w:t> </w:t>
      </w:r>
      <w:r>
        <w:rPr/>
        <w:t>and</w:t>
      </w:r>
      <w:r>
        <w:rPr>
          <w:spacing w:val="-7"/>
        </w:rPr>
        <w:t> </w:t>
      </w:r>
      <w:r>
        <w:rPr/>
        <w:t>marketing</w:t>
      </w:r>
      <w:r>
        <w:rPr>
          <w:spacing w:val="-7"/>
        </w:rPr>
        <w:t> </w:t>
      </w:r>
      <w:r>
        <w:rPr/>
        <w:t>activities,</w:t>
      </w:r>
      <w:r>
        <w:rPr>
          <w:spacing w:val="-7"/>
        </w:rPr>
        <w:t> </w:t>
      </w:r>
      <w:r>
        <w:rPr/>
        <w:t>which</w:t>
      </w:r>
      <w:r>
        <w:rPr>
          <w:spacing w:val="-7"/>
        </w:rPr>
        <w:t> </w:t>
      </w:r>
      <w:r>
        <w:rPr/>
        <w:t>would</w:t>
      </w:r>
      <w:r>
        <w:rPr>
          <w:spacing w:val="-7"/>
        </w:rPr>
        <w:t> </w:t>
      </w:r>
      <w:r>
        <w:rPr/>
        <w:t>require</w:t>
      </w:r>
      <w:r>
        <w:rPr>
          <w:spacing w:val="-7"/>
        </w:rPr>
        <w:t> </w:t>
      </w:r>
      <w:r>
        <w:rPr/>
        <w:t>significant</w:t>
      </w:r>
      <w:r>
        <w:rPr>
          <w:spacing w:val="-7"/>
        </w:rPr>
        <w:t> </w:t>
      </w:r>
      <w:r>
        <w:rPr/>
        <w:t>management</w:t>
      </w:r>
      <w:r>
        <w:rPr>
          <w:spacing w:val="-7"/>
        </w:rPr>
        <w:t> </w:t>
      </w:r>
      <w:r>
        <w:rPr/>
        <w:t>attention</w:t>
      </w:r>
      <w:r>
        <w:rPr>
          <w:spacing w:val="-7"/>
        </w:rPr>
        <w:t> </w:t>
      </w:r>
      <w:r>
        <w:rPr/>
        <w:t>and</w:t>
      </w:r>
      <w:r>
        <w:rPr>
          <w:spacing w:val="-7"/>
        </w:rPr>
        <w:t> </w:t>
      </w:r>
      <w:r>
        <w:rPr/>
        <w:t>resources. We</w:t>
      </w:r>
      <w:r>
        <w:rPr>
          <w:spacing w:val="-1"/>
        </w:rPr>
        <w:t> </w:t>
      </w:r>
      <w:r>
        <w:rPr/>
        <w:t>may</w:t>
      </w:r>
      <w:r>
        <w:rPr>
          <w:spacing w:val="-1"/>
        </w:rPr>
        <w:t> </w:t>
      </w:r>
      <w:r>
        <w:rPr/>
        <w:t>be</w:t>
      </w:r>
      <w:r>
        <w:rPr>
          <w:spacing w:val="-1"/>
        </w:rPr>
        <w:t> </w:t>
      </w:r>
      <w:r>
        <w:rPr/>
        <w:t>unable</w:t>
      </w:r>
      <w:r>
        <w:rPr>
          <w:spacing w:val="-1"/>
        </w:rPr>
        <w:t> </w:t>
      </w:r>
      <w:r>
        <w:rPr/>
        <w:t>to</w:t>
      </w:r>
      <w:r>
        <w:rPr>
          <w:spacing w:val="-1"/>
        </w:rPr>
        <w:t> </w:t>
      </w:r>
      <w:r>
        <w:rPr/>
        <w:t>scale</w:t>
      </w:r>
      <w:r>
        <w:rPr>
          <w:spacing w:val="-1"/>
        </w:rPr>
        <w:t> </w:t>
      </w:r>
      <w:r>
        <w:rPr/>
        <w:t>our</w:t>
      </w:r>
      <w:r>
        <w:rPr>
          <w:spacing w:val="-1"/>
        </w:rPr>
        <w:t> </w:t>
      </w:r>
      <w:r>
        <w:rPr/>
        <w:t>infrastructure</w:t>
      </w:r>
      <w:r>
        <w:rPr>
          <w:spacing w:val="-1"/>
        </w:rPr>
        <w:t> </w:t>
      </w:r>
      <w:r>
        <w:rPr/>
        <w:t>effectively</w:t>
      </w:r>
      <w:r>
        <w:rPr>
          <w:spacing w:val="-1"/>
        </w:rPr>
        <w:t> </w:t>
      </w:r>
      <w:r>
        <w:rPr/>
        <w:t>or</w:t>
      </w:r>
      <w:r>
        <w:rPr>
          <w:spacing w:val="-1"/>
        </w:rPr>
        <w:t> </w:t>
      </w:r>
      <w:r>
        <w:rPr/>
        <w:t>as</w:t>
      </w:r>
      <w:r>
        <w:rPr>
          <w:spacing w:val="-1"/>
        </w:rPr>
        <w:t> </w:t>
      </w:r>
      <w:r>
        <w:rPr/>
        <w:t>quickly</w:t>
      </w:r>
      <w:r>
        <w:rPr>
          <w:spacing w:val="-1"/>
        </w:rPr>
        <w:t> </w:t>
      </w:r>
      <w:r>
        <w:rPr/>
        <w:t>as</w:t>
      </w:r>
      <w:r>
        <w:rPr>
          <w:spacing w:val="-1"/>
        </w:rPr>
        <w:t> </w:t>
      </w:r>
      <w:r>
        <w:rPr/>
        <w:t>our</w:t>
      </w:r>
      <w:r>
        <w:rPr>
          <w:spacing w:val="-1"/>
        </w:rPr>
        <w:t> </w:t>
      </w:r>
      <w:r>
        <w:rPr/>
        <w:t>competitors</w:t>
      </w:r>
      <w:r>
        <w:rPr>
          <w:spacing w:val="-1"/>
        </w:rPr>
        <w:t> </w:t>
      </w:r>
      <w:r>
        <w:rPr/>
        <w:t>in</w:t>
      </w:r>
      <w:r>
        <w:rPr>
          <w:spacing w:val="-1"/>
        </w:rPr>
        <w:t> </w:t>
      </w:r>
      <w:r>
        <w:rPr/>
        <w:t>these</w:t>
      </w:r>
      <w:r>
        <w:rPr>
          <w:spacing w:val="-1"/>
        </w:rPr>
        <w:t> </w:t>
      </w:r>
      <w:r>
        <w:rPr/>
        <w:t>markets,</w:t>
      </w:r>
      <w:r>
        <w:rPr>
          <w:spacing w:val="-1"/>
        </w:rPr>
        <w:t> </w:t>
      </w:r>
      <w:r>
        <w:rPr/>
        <w:t>and</w:t>
      </w:r>
      <w:r>
        <w:rPr>
          <w:spacing w:val="-1"/>
        </w:rPr>
        <w:t> </w:t>
      </w:r>
      <w:r>
        <w:rPr/>
        <w:t>our</w:t>
      </w:r>
      <w:r>
        <w:rPr>
          <w:spacing w:val="-1"/>
        </w:rPr>
        <w:t> </w:t>
      </w:r>
      <w:r>
        <w:rPr/>
        <w:t>revenue</w:t>
      </w:r>
      <w:r>
        <w:rPr>
          <w:spacing w:val="-1"/>
        </w:rPr>
        <w:t> </w:t>
      </w:r>
      <w:r>
        <w:rPr/>
        <w:t>may not increase to offset these expected increases in costs and operating expenses, causing our results to suffer.</w:t>
      </w:r>
    </w:p>
    <w:p>
      <w:pPr>
        <w:pStyle w:val="BodyText"/>
        <w:spacing w:line="249" w:lineRule="auto" w:before="186"/>
        <w:ind w:left="210" w:right="247" w:firstLine="540"/>
        <w:jc w:val="both"/>
      </w:pPr>
      <w:r>
        <w:rPr/>
        <w:t>We believe that a critical contributor to our success to date has been our corporate culture, which we have built to foster </w:t>
      </w:r>
      <w:r>
        <w:rPr>
          <w:spacing w:val="-2"/>
        </w:rPr>
        <w:t>innovation,</w:t>
      </w:r>
      <w:r>
        <w:rPr>
          <w:spacing w:val="-11"/>
        </w:rPr>
        <w:t> </w:t>
      </w:r>
      <w:r>
        <w:rPr>
          <w:spacing w:val="-2"/>
        </w:rPr>
        <w:t>teamwork</w:t>
      </w:r>
      <w:r>
        <w:rPr>
          <w:spacing w:val="-7"/>
        </w:rPr>
        <w:t> </w:t>
      </w:r>
      <w:r>
        <w:rPr>
          <w:spacing w:val="-2"/>
        </w:rPr>
        <w:t>and</w:t>
      </w:r>
      <w:r>
        <w:rPr>
          <w:spacing w:val="-6"/>
        </w:rPr>
        <w:t> </w:t>
      </w:r>
      <w:r>
        <w:rPr>
          <w:spacing w:val="-2"/>
        </w:rPr>
        <w:t>employee</w:t>
      </w:r>
      <w:r>
        <w:rPr>
          <w:spacing w:val="-6"/>
        </w:rPr>
        <w:t> </w:t>
      </w:r>
      <w:r>
        <w:rPr>
          <w:spacing w:val="-2"/>
        </w:rPr>
        <w:t>satisfaction.</w:t>
      </w:r>
      <w:r>
        <w:rPr>
          <w:spacing w:val="-11"/>
        </w:rPr>
        <w:t> </w:t>
      </w:r>
      <w:r>
        <w:rPr>
          <w:spacing w:val="-2"/>
        </w:rPr>
        <w:t>As</w:t>
      </w:r>
      <w:r>
        <w:rPr>
          <w:spacing w:val="-6"/>
        </w:rPr>
        <w:t> </w:t>
      </w:r>
      <w:r>
        <w:rPr>
          <w:spacing w:val="-2"/>
        </w:rPr>
        <w:t>we</w:t>
      </w:r>
      <w:r>
        <w:rPr>
          <w:spacing w:val="-6"/>
        </w:rPr>
        <w:t> </w:t>
      </w:r>
      <w:r>
        <w:rPr>
          <w:spacing w:val="-2"/>
        </w:rPr>
        <w:t>grow,</w:t>
      </w:r>
      <w:r>
        <w:rPr>
          <w:spacing w:val="-6"/>
        </w:rPr>
        <w:t> </w:t>
      </w:r>
      <w:r>
        <w:rPr>
          <w:spacing w:val="-2"/>
        </w:rPr>
        <w:t>including</w:t>
      </w:r>
      <w:r>
        <w:rPr>
          <w:spacing w:val="-6"/>
        </w:rPr>
        <w:t> </w:t>
      </w:r>
      <w:r>
        <w:rPr>
          <w:spacing w:val="-2"/>
        </w:rPr>
        <w:t>from</w:t>
      </w:r>
      <w:r>
        <w:rPr>
          <w:spacing w:val="-6"/>
        </w:rPr>
        <w:t> </w:t>
      </w:r>
      <w:r>
        <w:rPr>
          <w:spacing w:val="-2"/>
        </w:rPr>
        <w:t>the</w:t>
      </w:r>
      <w:r>
        <w:rPr>
          <w:spacing w:val="-6"/>
        </w:rPr>
        <w:t> </w:t>
      </w:r>
      <w:r>
        <w:rPr>
          <w:spacing w:val="-2"/>
        </w:rPr>
        <w:t>integration</w:t>
      </w:r>
      <w:r>
        <w:rPr>
          <w:spacing w:val="-6"/>
        </w:rPr>
        <w:t> </w:t>
      </w:r>
      <w:r>
        <w:rPr>
          <w:spacing w:val="-2"/>
        </w:rPr>
        <w:t>of</w:t>
      </w:r>
      <w:r>
        <w:rPr>
          <w:spacing w:val="-6"/>
        </w:rPr>
        <w:t> </w:t>
      </w:r>
      <w:r>
        <w:rPr>
          <w:spacing w:val="-2"/>
        </w:rPr>
        <w:t>employees</w:t>
      </w:r>
      <w:r>
        <w:rPr>
          <w:spacing w:val="-6"/>
        </w:rPr>
        <w:t> </w:t>
      </w:r>
      <w:r>
        <w:rPr>
          <w:spacing w:val="-2"/>
        </w:rPr>
        <w:t>and</w:t>
      </w:r>
      <w:r>
        <w:rPr>
          <w:spacing w:val="-6"/>
        </w:rPr>
        <w:t> </w:t>
      </w:r>
      <w:r>
        <w:rPr>
          <w:spacing w:val="-2"/>
        </w:rPr>
        <w:t>businesses</w:t>
      </w:r>
      <w:r>
        <w:rPr>
          <w:spacing w:val="-6"/>
        </w:rPr>
        <w:t> </w:t>
      </w:r>
      <w:r>
        <w:rPr>
          <w:spacing w:val="-2"/>
        </w:rPr>
        <w:t>acquired </w:t>
      </w:r>
      <w:r>
        <w:rPr/>
        <w:t>in</w:t>
      </w:r>
      <w:r>
        <w:rPr>
          <w:spacing w:val="-6"/>
        </w:rPr>
        <w:t> </w:t>
      </w:r>
      <w:r>
        <w:rPr/>
        <w:t>connection</w:t>
      </w:r>
      <w:r>
        <w:rPr>
          <w:spacing w:val="-6"/>
        </w:rPr>
        <w:t> </w:t>
      </w:r>
      <w:r>
        <w:rPr/>
        <w:t>with</w:t>
      </w:r>
      <w:r>
        <w:rPr>
          <w:spacing w:val="-6"/>
        </w:rPr>
        <w:t> </w:t>
      </w:r>
      <w:r>
        <w:rPr/>
        <w:t>previous</w:t>
      </w:r>
      <w:r>
        <w:rPr>
          <w:spacing w:val="-6"/>
        </w:rPr>
        <w:t> </w:t>
      </w:r>
      <w:r>
        <w:rPr/>
        <w:t>or</w:t>
      </w:r>
      <w:r>
        <w:rPr>
          <w:spacing w:val="-6"/>
        </w:rPr>
        <w:t> </w:t>
      </w:r>
      <w:r>
        <w:rPr/>
        <w:t>future</w:t>
      </w:r>
      <w:r>
        <w:rPr>
          <w:spacing w:val="-7"/>
        </w:rPr>
        <w:t> </w:t>
      </w:r>
      <w:r>
        <w:rPr/>
        <w:t>acquisitions,</w:t>
      </w:r>
      <w:r>
        <w:rPr>
          <w:spacing w:val="-6"/>
        </w:rPr>
        <w:t> </w:t>
      </w:r>
      <w:r>
        <w:rPr/>
        <w:t>we</w:t>
      </w:r>
      <w:r>
        <w:rPr>
          <w:spacing w:val="-6"/>
        </w:rPr>
        <w:t> </w:t>
      </w:r>
      <w:r>
        <w:rPr/>
        <w:t>may</w:t>
      </w:r>
      <w:r>
        <w:rPr>
          <w:spacing w:val="-6"/>
        </w:rPr>
        <w:t> </w:t>
      </w:r>
      <w:r>
        <w:rPr/>
        <w:t>find</w:t>
      </w:r>
      <w:r>
        <w:rPr>
          <w:spacing w:val="-6"/>
        </w:rPr>
        <w:t> </w:t>
      </w:r>
      <w:r>
        <w:rPr/>
        <w:t>it</w:t>
      </w:r>
      <w:r>
        <w:rPr>
          <w:spacing w:val="-6"/>
        </w:rPr>
        <w:t> </w:t>
      </w:r>
      <w:r>
        <w:rPr/>
        <w:t>difficult</w:t>
      </w:r>
      <w:r>
        <w:rPr>
          <w:spacing w:val="-6"/>
        </w:rPr>
        <w:t> </w:t>
      </w:r>
      <w:r>
        <w:rPr/>
        <w:t>to</w:t>
      </w:r>
      <w:r>
        <w:rPr>
          <w:spacing w:val="-6"/>
        </w:rPr>
        <w:t> </w:t>
      </w:r>
      <w:r>
        <w:rPr/>
        <w:t>maintain</w:t>
      </w:r>
      <w:r>
        <w:rPr>
          <w:spacing w:val="-6"/>
        </w:rPr>
        <w:t> </w:t>
      </w:r>
      <w:r>
        <w:rPr/>
        <w:t>important</w:t>
      </w:r>
      <w:r>
        <w:rPr>
          <w:spacing w:val="-7"/>
        </w:rPr>
        <w:t> </w:t>
      </w:r>
      <w:r>
        <w:rPr/>
        <w:t>aspects</w:t>
      </w:r>
      <w:r>
        <w:rPr>
          <w:spacing w:val="-6"/>
        </w:rPr>
        <w:t> </w:t>
      </w:r>
      <w:r>
        <w:rPr/>
        <w:t>of</w:t>
      </w:r>
      <w:r>
        <w:rPr>
          <w:spacing w:val="-6"/>
        </w:rPr>
        <w:t> </w:t>
      </w:r>
      <w:r>
        <w:rPr/>
        <w:t>our</w:t>
      </w:r>
      <w:r>
        <w:rPr>
          <w:spacing w:val="-6"/>
        </w:rPr>
        <w:t> </w:t>
      </w:r>
      <w:r>
        <w:rPr/>
        <w:t>corporate</w:t>
      </w:r>
      <w:r>
        <w:rPr>
          <w:spacing w:val="-7"/>
        </w:rPr>
        <w:t> </w:t>
      </w:r>
      <w:r>
        <w:rPr/>
        <w:t>culture, which could negatively affect our ability to retain and recruit personnel who are essential to our future success.</w:t>
      </w:r>
    </w:p>
    <w:p>
      <w:pPr>
        <w:pStyle w:val="Heading3"/>
        <w:spacing w:line="249" w:lineRule="auto" w:before="183"/>
      </w:pPr>
      <w:r>
        <w:rPr/>
        <w:t>If</w:t>
      </w:r>
      <w:r>
        <w:rPr>
          <w:spacing w:val="-3"/>
        </w:rPr>
        <w:t> </w:t>
      </w:r>
      <w:r>
        <w:rPr/>
        <w:t>our</w:t>
      </w:r>
      <w:r>
        <w:rPr>
          <w:spacing w:val="-3"/>
        </w:rPr>
        <w:t> </w:t>
      </w:r>
      <w:r>
        <w:rPr/>
        <w:t>goodwill</w:t>
      </w:r>
      <w:r>
        <w:rPr>
          <w:spacing w:val="-3"/>
        </w:rPr>
        <w:t> </w:t>
      </w:r>
      <w:r>
        <w:rPr/>
        <w:t>or</w:t>
      </w:r>
      <w:r>
        <w:rPr>
          <w:spacing w:val="-3"/>
        </w:rPr>
        <w:t> </w:t>
      </w:r>
      <w:r>
        <w:rPr/>
        <w:t>amortizable</w:t>
      </w:r>
      <w:r>
        <w:rPr>
          <w:spacing w:val="-3"/>
        </w:rPr>
        <w:t> </w:t>
      </w:r>
      <w:r>
        <w:rPr/>
        <w:t>intangible</w:t>
      </w:r>
      <w:r>
        <w:rPr>
          <w:spacing w:val="-3"/>
        </w:rPr>
        <w:t> </w:t>
      </w:r>
      <w:r>
        <w:rPr/>
        <w:t>assets</w:t>
      </w:r>
      <w:r>
        <w:rPr>
          <w:spacing w:val="-3"/>
        </w:rPr>
        <w:t> </w:t>
      </w:r>
      <w:r>
        <w:rPr/>
        <w:t>become</w:t>
      </w:r>
      <w:r>
        <w:rPr>
          <w:spacing w:val="-3"/>
        </w:rPr>
        <w:t> </w:t>
      </w:r>
      <w:r>
        <w:rPr/>
        <w:t>impaired,</w:t>
      </w:r>
      <w:r>
        <w:rPr>
          <w:spacing w:val="-3"/>
        </w:rPr>
        <w:t> </w:t>
      </w:r>
      <w:r>
        <w:rPr/>
        <w:t>then</w:t>
      </w:r>
      <w:r>
        <w:rPr>
          <w:spacing w:val="-3"/>
        </w:rPr>
        <w:t> </w:t>
      </w:r>
      <w:r>
        <w:rPr/>
        <w:t>we</w:t>
      </w:r>
      <w:r>
        <w:rPr>
          <w:spacing w:val="-3"/>
        </w:rPr>
        <w:t> </w:t>
      </w:r>
      <w:r>
        <w:rPr/>
        <w:t>could</w:t>
      </w:r>
      <w:r>
        <w:rPr>
          <w:spacing w:val="-3"/>
        </w:rPr>
        <w:t> </w:t>
      </w:r>
      <w:r>
        <w:rPr/>
        <w:t>be</w:t>
      </w:r>
      <w:r>
        <w:rPr>
          <w:spacing w:val="-3"/>
        </w:rPr>
        <w:t> </w:t>
      </w:r>
      <w:r>
        <w:rPr/>
        <w:t>required</w:t>
      </w:r>
      <w:r>
        <w:rPr>
          <w:spacing w:val="-3"/>
        </w:rPr>
        <w:t> </w:t>
      </w:r>
      <w:r>
        <w:rPr/>
        <w:t>to</w:t>
      </w:r>
      <w:r>
        <w:rPr>
          <w:spacing w:val="-3"/>
        </w:rPr>
        <w:t> </w:t>
      </w:r>
      <w:r>
        <w:rPr/>
        <w:t>record</w:t>
      </w:r>
      <w:r>
        <w:rPr>
          <w:spacing w:val="-3"/>
        </w:rPr>
        <w:t> </w:t>
      </w:r>
      <w:r>
        <w:rPr/>
        <w:t>a</w:t>
      </w:r>
      <w:r>
        <w:rPr>
          <w:spacing w:val="-3"/>
        </w:rPr>
        <w:t> </w:t>
      </w:r>
      <w:r>
        <w:rPr/>
        <w:t>significant</w:t>
      </w:r>
      <w:r>
        <w:rPr>
          <w:spacing w:val="-3"/>
        </w:rPr>
        <w:t> </w:t>
      </w:r>
      <w:r>
        <w:rPr/>
        <w:t>charge</w:t>
      </w:r>
      <w:r>
        <w:rPr>
          <w:spacing w:val="-3"/>
        </w:rPr>
        <w:t> </w:t>
      </w:r>
      <w:r>
        <w:rPr/>
        <w:t>to </w:t>
      </w:r>
      <w:r>
        <w:rPr>
          <w:spacing w:val="-2"/>
        </w:rPr>
        <w:t>earnings.</w:t>
      </w:r>
    </w:p>
    <w:p>
      <w:pPr>
        <w:pStyle w:val="BodyText"/>
        <w:spacing w:line="249" w:lineRule="auto" w:before="182"/>
        <w:ind w:left="210" w:right="247" w:firstLine="540"/>
        <w:jc w:val="both"/>
      </w:pPr>
      <w:r>
        <w:rPr/>
        <w:t>GAAP</w:t>
      </w:r>
      <w:r>
        <w:rPr>
          <w:spacing w:val="-6"/>
        </w:rPr>
        <w:t> </w:t>
      </w:r>
      <w:r>
        <w:rPr/>
        <w:t>requires us to test for goodwill impairment at least annually. In addition, we review our goodwill and amortizable intangible assets for impairment when events or changes in circumstances indicate the carrying value may not be recoverable. </w:t>
      </w:r>
      <w:r>
        <w:rPr>
          <w:spacing w:val="-2"/>
        </w:rPr>
        <w:t>Factors</w:t>
      </w:r>
      <w:r>
        <w:rPr>
          <w:spacing w:val="-11"/>
        </w:rPr>
        <w:t> </w:t>
      </w:r>
      <w:r>
        <w:rPr>
          <w:spacing w:val="-2"/>
        </w:rPr>
        <w:t>that</w:t>
      </w:r>
      <w:r>
        <w:rPr>
          <w:spacing w:val="-10"/>
        </w:rPr>
        <w:t> </w:t>
      </w:r>
      <w:r>
        <w:rPr>
          <w:spacing w:val="-2"/>
        </w:rPr>
        <w:t>may</w:t>
      </w:r>
      <w:r>
        <w:rPr>
          <w:spacing w:val="-11"/>
        </w:rPr>
        <w:t> </w:t>
      </w:r>
      <w:r>
        <w:rPr>
          <w:spacing w:val="-2"/>
        </w:rPr>
        <w:t>be</w:t>
      </w:r>
      <w:r>
        <w:rPr>
          <w:spacing w:val="-10"/>
        </w:rPr>
        <w:t> </w:t>
      </w:r>
      <w:r>
        <w:rPr>
          <w:spacing w:val="-2"/>
        </w:rPr>
        <w:t>considered</w:t>
      </w:r>
      <w:r>
        <w:rPr>
          <w:spacing w:val="-11"/>
        </w:rPr>
        <w:t> </w:t>
      </w:r>
      <w:r>
        <w:rPr>
          <w:spacing w:val="-2"/>
        </w:rPr>
        <w:t>a</w:t>
      </w:r>
      <w:r>
        <w:rPr>
          <w:spacing w:val="-10"/>
        </w:rPr>
        <w:t> </w:t>
      </w:r>
      <w:r>
        <w:rPr>
          <w:spacing w:val="-2"/>
        </w:rPr>
        <w:t>change</w:t>
      </w:r>
      <w:r>
        <w:rPr>
          <w:spacing w:val="-11"/>
        </w:rPr>
        <w:t> </w:t>
      </w:r>
      <w:r>
        <w:rPr>
          <w:spacing w:val="-2"/>
        </w:rPr>
        <w:t>in</w:t>
      </w:r>
      <w:r>
        <w:rPr>
          <w:spacing w:val="-10"/>
        </w:rPr>
        <w:t> </w:t>
      </w:r>
      <w:r>
        <w:rPr>
          <w:spacing w:val="-2"/>
        </w:rPr>
        <w:t>circumstances</w:t>
      </w:r>
      <w:r>
        <w:rPr>
          <w:spacing w:val="-11"/>
        </w:rPr>
        <w:t> </w:t>
      </w:r>
      <w:r>
        <w:rPr>
          <w:spacing w:val="-2"/>
        </w:rPr>
        <w:t>indicating</w:t>
      </w:r>
      <w:r>
        <w:rPr>
          <w:spacing w:val="-10"/>
        </w:rPr>
        <w:t> </w:t>
      </w:r>
      <w:r>
        <w:rPr>
          <w:spacing w:val="-2"/>
        </w:rPr>
        <w:t>that</w:t>
      </w:r>
      <w:r>
        <w:rPr>
          <w:spacing w:val="-11"/>
        </w:rPr>
        <w:t> </w:t>
      </w:r>
      <w:r>
        <w:rPr>
          <w:spacing w:val="-2"/>
        </w:rPr>
        <w:t>the</w:t>
      </w:r>
      <w:r>
        <w:rPr>
          <w:spacing w:val="-10"/>
        </w:rPr>
        <w:t> </w:t>
      </w:r>
      <w:r>
        <w:rPr>
          <w:spacing w:val="-2"/>
        </w:rPr>
        <w:t>carrying</w:t>
      </w:r>
      <w:r>
        <w:rPr>
          <w:spacing w:val="-11"/>
        </w:rPr>
        <w:t> </w:t>
      </w:r>
      <w:r>
        <w:rPr>
          <w:spacing w:val="-2"/>
        </w:rPr>
        <w:t>value</w:t>
      </w:r>
      <w:r>
        <w:rPr>
          <w:spacing w:val="-10"/>
        </w:rPr>
        <w:t> </w:t>
      </w:r>
      <w:r>
        <w:rPr>
          <w:spacing w:val="-2"/>
        </w:rPr>
        <w:t>of</w:t>
      </w:r>
      <w:r>
        <w:rPr>
          <w:spacing w:val="-11"/>
        </w:rPr>
        <w:t> </w:t>
      </w:r>
      <w:r>
        <w:rPr>
          <w:spacing w:val="-2"/>
        </w:rPr>
        <w:t>our</w:t>
      </w:r>
      <w:r>
        <w:rPr>
          <w:spacing w:val="-10"/>
        </w:rPr>
        <w:t> </w:t>
      </w:r>
      <w:r>
        <w:rPr>
          <w:spacing w:val="-2"/>
        </w:rPr>
        <w:t>goodwill</w:t>
      </w:r>
      <w:r>
        <w:rPr>
          <w:spacing w:val="-11"/>
        </w:rPr>
        <w:t> </w:t>
      </w:r>
      <w:r>
        <w:rPr>
          <w:spacing w:val="-2"/>
        </w:rPr>
        <w:t>or</w:t>
      </w:r>
      <w:r>
        <w:rPr>
          <w:spacing w:val="-10"/>
        </w:rPr>
        <w:t> </w:t>
      </w:r>
      <w:r>
        <w:rPr>
          <w:spacing w:val="-2"/>
        </w:rPr>
        <w:t>amortizable</w:t>
      </w:r>
      <w:r>
        <w:rPr>
          <w:spacing w:val="-11"/>
        </w:rPr>
        <w:t> </w:t>
      </w:r>
      <w:r>
        <w:rPr>
          <w:spacing w:val="-2"/>
        </w:rPr>
        <w:t>intangible </w:t>
      </w:r>
      <w:r>
        <w:rPr/>
        <w:t>assets</w:t>
      </w:r>
      <w:r>
        <w:rPr>
          <w:spacing w:val="-4"/>
        </w:rPr>
        <w:t> </w:t>
      </w:r>
      <w:r>
        <w:rPr/>
        <w:t>may</w:t>
      </w:r>
      <w:r>
        <w:rPr>
          <w:spacing w:val="-4"/>
        </w:rPr>
        <w:t> </w:t>
      </w:r>
      <w:r>
        <w:rPr/>
        <w:t>not</w:t>
      </w:r>
      <w:r>
        <w:rPr>
          <w:spacing w:val="-5"/>
        </w:rPr>
        <w:t> </w:t>
      </w:r>
      <w:r>
        <w:rPr/>
        <w:t>be</w:t>
      </w:r>
      <w:r>
        <w:rPr>
          <w:spacing w:val="-4"/>
        </w:rPr>
        <w:t> </w:t>
      </w:r>
      <w:r>
        <w:rPr/>
        <w:t>recoverable</w:t>
      </w:r>
      <w:r>
        <w:rPr>
          <w:spacing w:val="-5"/>
        </w:rPr>
        <w:t> </w:t>
      </w:r>
      <w:r>
        <w:rPr/>
        <w:t>include</w:t>
      </w:r>
      <w:r>
        <w:rPr>
          <w:spacing w:val="-4"/>
        </w:rPr>
        <w:t> </w:t>
      </w:r>
      <w:r>
        <w:rPr/>
        <w:t>declines</w:t>
      </w:r>
      <w:r>
        <w:rPr>
          <w:spacing w:val="-4"/>
        </w:rPr>
        <w:t> </w:t>
      </w:r>
      <w:r>
        <w:rPr/>
        <w:t>in</w:t>
      </w:r>
      <w:r>
        <w:rPr>
          <w:spacing w:val="-4"/>
        </w:rPr>
        <w:t> </w:t>
      </w:r>
      <w:r>
        <w:rPr/>
        <w:t>stock</w:t>
      </w:r>
      <w:r>
        <w:rPr>
          <w:spacing w:val="-4"/>
        </w:rPr>
        <w:t> </w:t>
      </w:r>
      <w:r>
        <w:rPr/>
        <w:t>price,</w:t>
      </w:r>
      <w:r>
        <w:rPr>
          <w:spacing w:val="-4"/>
        </w:rPr>
        <w:t> </w:t>
      </w:r>
      <w:r>
        <w:rPr/>
        <w:t>market</w:t>
      </w:r>
      <w:r>
        <w:rPr>
          <w:spacing w:val="-5"/>
        </w:rPr>
        <w:t> </w:t>
      </w:r>
      <w:r>
        <w:rPr/>
        <w:t>capitalization</w:t>
      </w:r>
      <w:r>
        <w:rPr>
          <w:spacing w:val="-4"/>
        </w:rPr>
        <w:t> </w:t>
      </w:r>
      <w:r>
        <w:rPr/>
        <w:t>or</w:t>
      </w:r>
      <w:r>
        <w:rPr>
          <w:spacing w:val="-4"/>
        </w:rPr>
        <w:t> </w:t>
      </w:r>
      <w:r>
        <w:rPr/>
        <w:t>cash</w:t>
      </w:r>
      <w:r>
        <w:rPr>
          <w:spacing w:val="-4"/>
        </w:rPr>
        <w:t> </w:t>
      </w:r>
      <w:r>
        <w:rPr/>
        <w:t>flows,</w:t>
      </w:r>
      <w:r>
        <w:rPr>
          <w:spacing w:val="-4"/>
        </w:rPr>
        <w:t> </w:t>
      </w:r>
      <w:r>
        <w:rPr/>
        <w:t>and</w:t>
      </w:r>
      <w:r>
        <w:rPr>
          <w:spacing w:val="-4"/>
        </w:rPr>
        <w:t> </w:t>
      </w:r>
      <w:r>
        <w:rPr/>
        <w:t>slower</w:t>
      </w:r>
      <w:r>
        <w:rPr>
          <w:spacing w:val="-4"/>
        </w:rPr>
        <w:t> </w:t>
      </w:r>
      <w:r>
        <w:rPr/>
        <w:t>growth</w:t>
      </w:r>
      <w:r>
        <w:rPr>
          <w:spacing w:val="-4"/>
        </w:rPr>
        <w:t> </w:t>
      </w:r>
      <w:r>
        <w:rPr/>
        <w:t>rates</w:t>
      </w:r>
      <w:r>
        <w:rPr>
          <w:spacing w:val="-4"/>
        </w:rPr>
        <w:t> </w:t>
      </w:r>
      <w:r>
        <w:rPr/>
        <w:t>in</w:t>
      </w:r>
      <w:r>
        <w:rPr>
          <w:spacing w:val="-4"/>
        </w:rPr>
        <w:t> </w:t>
      </w:r>
      <w:r>
        <w:rPr/>
        <w:t>our industry.</w:t>
      </w:r>
      <w:r>
        <w:rPr>
          <w:spacing w:val="-2"/>
        </w:rPr>
        <w:t> </w:t>
      </w:r>
      <w:r>
        <w:rPr/>
        <w:t>Depending</w:t>
      </w:r>
      <w:r>
        <w:rPr>
          <w:spacing w:val="-2"/>
        </w:rPr>
        <w:t> </w:t>
      </w:r>
      <w:r>
        <w:rPr/>
        <w:t>on</w:t>
      </w:r>
      <w:r>
        <w:rPr>
          <w:spacing w:val="-2"/>
        </w:rPr>
        <w:t> </w:t>
      </w:r>
      <w:r>
        <w:rPr/>
        <w:t>the</w:t>
      </w:r>
      <w:r>
        <w:rPr>
          <w:spacing w:val="-2"/>
        </w:rPr>
        <w:t> </w:t>
      </w:r>
      <w:r>
        <w:rPr/>
        <w:t>results</w:t>
      </w:r>
      <w:r>
        <w:rPr>
          <w:spacing w:val="-2"/>
        </w:rPr>
        <w:t> </w:t>
      </w:r>
      <w:r>
        <w:rPr/>
        <w:t>of</w:t>
      </w:r>
      <w:r>
        <w:rPr>
          <w:spacing w:val="-2"/>
        </w:rPr>
        <w:t> </w:t>
      </w:r>
      <w:r>
        <w:rPr/>
        <w:t>our</w:t>
      </w:r>
      <w:r>
        <w:rPr>
          <w:spacing w:val="-2"/>
        </w:rPr>
        <w:t> </w:t>
      </w:r>
      <w:r>
        <w:rPr/>
        <w:t>review,</w:t>
      </w:r>
      <w:r>
        <w:rPr>
          <w:spacing w:val="-2"/>
        </w:rPr>
        <w:t> </w:t>
      </w:r>
      <w:r>
        <w:rPr/>
        <w:t>we</w:t>
      </w:r>
      <w:r>
        <w:rPr>
          <w:spacing w:val="-2"/>
        </w:rPr>
        <w:t> </w:t>
      </w:r>
      <w:r>
        <w:rPr/>
        <w:t>could</w:t>
      </w:r>
      <w:r>
        <w:rPr>
          <w:spacing w:val="-2"/>
        </w:rPr>
        <w:t> </w:t>
      </w:r>
      <w:r>
        <w:rPr/>
        <w:t>be</w:t>
      </w:r>
      <w:r>
        <w:rPr>
          <w:spacing w:val="-2"/>
        </w:rPr>
        <w:t> </w:t>
      </w:r>
      <w:r>
        <w:rPr/>
        <w:t>required</w:t>
      </w:r>
      <w:r>
        <w:rPr>
          <w:spacing w:val="-2"/>
        </w:rPr>
        <w:t> </w:t>
      </w:r>
      <w:r>
        <w:rPr/>
        <w:t>to</w:t>
      </w:r>
      <w:r>
        <w:rPr>
          <w:spacing w:val="-2"/>
        </w:rPr>
        <w:t> </w:t>
      </w:r>
      <w:r>
        <w:rPr/>
        <w:t>record</w:t>
      </w:r>
      <w:r>
        <w:rPr>
          <w:spacing w:val="-2"/>
        </w:rPr>
        <w:t> </w:t>
      </w:r>
      <w:r>
        <w:rPr/>
        <w:t>a</w:t>
      </w:r>
      <w:r>
        <w:rPr>
          <w:spacing w:val="-2"/>
        </w:rPr>
        <w:t> </w:t>
      </w:r>
      <w:r>
        <w:rPr/>
        <w:t>significant</w:t>
      </w:r>
      <w:r>
        <w:rPr>
          <w:spacing w:val="-2"/>
        </w:rPr>
        <w:t> </w:t>
      </w:r>
      <w:r>
        <w:rPr/>
        <w:t>charge</w:t>
      </w:r>
      <w:r>
        <w:rPr>
          <w:spacing w:val="-2"/>
        </w:rPr>
        <w:t> </w:t>
      </w:r>
      <w:r>
        <w:rPr/>
        <w:t>to</w:t>
      </w:r>
      <w:r>
        <w:rPr>
          <w:spacing w:val="-2"/>
        </w:rPr>
        <w:t> </w:t>
      </w:r>
      <w:r>
        <w:rPr/>
        <w:t>earnings</w:t>
      </w:r>
      <w:r>
        <w:rPr>
          <w:spacing w:val="-2"/>
        </w:rPr>
        <w:t> </w:t>
      </w:r>
      <w:r>
        <w:rPr/>
        <w:t>in</w:t>
      </w:r>
      <w:r>
        <w:rPr>
          <w:spacing w:val="-2"/>
        </w:rPr>
        <w:t> </w:t>
      </w:r>
      <w:r>
        <w:rPr/>
        <w:t>our</w:t>
      </w:r>
      <w:r>
        <w:rPr>
          <w:spacing w:val="-2"/>
        </w:rPr>
        <w:t> </w:t>
      </w:r>
      <w:r>
        <w:rPr/>
        <w:t>financial </w:t>
      </w:r>
      <w:r>
        <w:rPr>
          <w:spacing w:val="-2"/>
        </w:rPr>
        <w:t>statements</w:t>
      </w:r>
      <w:r>
        <w:rPr>
          <w:spacing w:val="-3"/>
        </w:rPr>
        <w:t> </w:t>
      </w:r>
      <w:r>
        <w:rPr>
          <w:spacing w:val="-2"/>
        </w:rPr>
        <w:t>during</w:t>
      </w:r>
      <w:r>
        <w:rPr>
          <w:spacing w:val="-5"/>
        </w:rPr>
        <w:t> </w:t>
      </w:r>
      <w:r>
        <w:rPr>
          <w:spacing w:val="-2"/>
        </w:rPr>
        <w:t>the</w:t>
      </w:r>
      <w:r>
        <w:rPr>
          <w:spacing w:val="-5"/>
        </w:rPr>
        <w:t> </w:t>
      </w:r>
      <w:r>
        <w:rPr>
          <w:spacing w:val="-2"/>
        </w:rPr>
        <w:t>period</w:t>
      </w:r>
      <w:r>
        <w:rPr>
          <w:spacing w:val="-5"/>
        </w:rPr>
        <w:t> </w:t>
      </w:r>
      <w:r>
        <w:rPr>
          <w:spacing w:val="-2"/>
        </w:rPr>
        <w:t>in</w:t>
      </w:r>
      <w:r>
        <w:rPr>
          <w:spacing w:val="-5"/>
        </w:rPr>
        <w:t> </w:t>
      </w:r>
      <w:r>
        <w:rPr>
          <w:spacing w:val="-2"/>
        </w:rPr>
        <w:t>which</w:t>
      </w:r>
      <w:r>
        <w:rPr>
          <w:spacing w:val="-5"/>
        </w:rPr>
        <w:t> </w:t>
      </w:r>
      <w:r>
        <w:rPr>
          <w:spacing w:val="-2"/>
        </w:rPr>
        <w:t>any</w:t>
      </w:r>
      <w:r>
        <w:rPr>
          <w:spacing w:val="-5"/>
        </w:rPr>
        <w:t> </w:t>
      </w:r>
      <w:r>
        <w:rPr>
          <w:spacing w:val="-2"/>
        </w:rPr>
        <w:t>impairment</w:t>
      </w:r>
      <w:r>
        <w:rPr>
          <w:spacing w:val="-5"/>
        </w:rPr>
        <w:t> </w:t>
      </w:r>
      <w:r>
        <w:rPr>
          <w:spacing w:val="-2"/>
        </w:rPr>
        <w:t>of</w:t>
      </w:r>
      <w:r>
        <w:rPr>
          <w:spacing w:val="-5"/>
        </w:rPr>
        <w:t> </w:t>
      </w:r>
      <w:r>
        <w:rPr>
          <w:spacing w:val="-2"/>
        </w:rPr>
        <w:t>our</w:t>
      </w:r>
      <w:r>
        <w:rPr>
          <w:spacing w:val="-5"/>
        </w:rPr>
        <w:t> </w:t>
      </w:r>
      <w:r>
        <w:rPr>
          <w:spacing w:val="-2"/>
        </w:rPr>
        <w:t>goodwill</w:t>
      </w:r>
      <w:r>
        <w:rPr>
          <w:spacing w:val="-5"/>
        </w:rPr>
        <w:t> </w:t>
      </w:r>
      <w:r>
        <w:rPr>
          <w:spacing w:val="-2"/>
        </w:rPr>
        <w:t>or</w:t>
      </w:r>
      <w:r>
        <w:rPr>
          <w:spacing w:val="-5"/>
        </w:rPr>
        <w:t> </w:t>
      </w:r>
      <w:r>
        <w:rPr>
          <w:spacing w:val="-2"/>
        </w:rPr>
        <w:t>amortizable</w:t>
      </w:r>
      <w:r>
        <w:rPr>
          <w:spacing w:val="-5"/>
        </w:rPr>
        <w:t> </w:t>
      </w:r>
      <w:r>
        <w:rPr>
          <w:spacing w:val="-2"/>
        </w:rPr>
        <w:t>intangible</w:t>
      </w:r>
      <w:r>
        <w:rPr>
          <w:spacing w:val="-5"/>
        </w:rPr>
        <w:t> </w:t>
      </w:r>
      <w:r>
        <w:rPr>
          <w:spacing w:val="-2"/>
        </w:rPr>
        <w:t>assets</w:t>
      </w:r>
      <w:r>
        <w:rPr>
          <w:spacing w:val="-5"/>
        </w:rPr>
        <w:t> </w:t>
      </w:r>
      <w:r>
        <w:rPr>
          <w:spacing w:val="-2"/>
        </w:rPr>
        <w:t>were</w:t>
      </w:r>
      <w:r>
        <w:rPr>
          <w:spacing w:val="-5"/>
        </w:rPr>
        <w:t> </w:t>
      </w:r>
      <w:r>
        <w:rPr>
          <w:spacing w:val="-2"/>
        </w:rPr>
        <w:t>determined,</w:t>
      </w:r>
      <w:r>
        <w:rPr>
          <w:spacing w:val="-5"/>
        </w:rPr>
        <w:t> </w:t>
      </w:r>
      <w:r>
        <w:rPr>
          <w:spacing w:val="-2"/>
        </w:rPr>
        <w:t>negatively </w:t>
      </w:r>
      <w:r>
        <w:rPr/>
        <w:t>impacting our results of operations.</w:t>
      </w:r>
    </w:p>
    <w:p>
      <w:pPr>
        <w:pStyle w:val="Heading3"/>
        <w:spacing w:line="249" w:lineRule="auto" w:before="186"/>
      </w:pPr>
      <w:r>
        <w:rPr/>
        <w:t>We</w:t>
      </w:r>
      <w:r>
        <w:rPr>
          <w:spacing w:val="-1"/>
        </w:rPr>
        <w:t> </w:t>
      </w:r>
      <w:r>
        <w:rPr/>
        <w:t>have</w:t>
      </w:r>
      <w:r>
        <w:rPr>
          <w:spacing w:val="-1"/>
        </w:rPr>
        <w:t> </w:t>
      </w:r>
      <w:r>
        <w:rPr/>
        <w:t>issued</w:t>
      </w:r>
      <w:r>
        <w:rPr>
          <w:spacing w:val="-1"/>
        </w:rPr>
        <w:t> </w:t>
      </w:r>
      <w:r>
        <w:rPr/>
        <w:t>$1.9</w:t>
      </w:r>
      <w:r>
        <w:rPr>
          <w:spacing w:val="-1"/>
        </w:rPr>
        <w:t> </w:t>
      </w:r>
      <w:r>
        <w:rPr/>
        <w:t>billion</w:t>
      </w:r>
      <w:r>
        <w:rPr>
          <w:spacing w:val="-1"/>
        </w:rPr>
        <w:t> </w:t>
      </w:r>
      <w:r>
        <w:rPr/>
        <w:t>of</w:t>
      </w:r>
      <w:r>
        <w:rPr>
          <w:spacing w:val="-1"/>
        </w:rPr>
        <w:t> </w:t>
      </w:r>
      <w:r>
        <w:rPr/>
        <w:t>notes</w:t>
      </w:r>
      <w:r>
        <w:rPr>
          <w:spacing w:val="-1"/>
        </w:rPr>
        <w:t> </w:t>
      </w:r>
      <w:r>
        <w:rPr/>
        <w:t>in</w:t>
      </w:r>
      <w:r>
        <w:rPr>
          <w:spacing w:val="-1"/>
        </w:rPr>
        <w:t> </w:t>
      </w:r>
      <w:r>
        <w:rPr/>
        <w:t>debt</w:t>
      </w:r>
      <w:r>
        <w:rPr>
          <w:spacing w:val="-1"/>
        </w:rPr>
        <w:t> </w:t>
      </w:r>
      <w:r>
        <w:rPr/>
        <w:t>offerings</w:t>
      </w:r>
      <w:r>
        <w:rPr>
          <w:spacing w:val="-1"/>
        </w:rPr>
        <w:t> </w:t>
      </w:r>
      <w:r>
        <w:rPr/>
        <w:t>and</w:t>
      </w:r>
      <w:r>
        <w:rPr>
          <w:spacing w:val="-1"/>
        </w:rPr>
        <w:t> </w:t>
      </w:r>
      <w:r>
        <w:rPr/>
        <w:t>may</w:t>
      </w:r>
      <w:r>
        <w:rPr>
          <w:spacing w:val="-1"/>
        </w:rPr>
        <w:t> </w:t>
      </w:r>
      <w:r>
        <w:rPr/>
        <w:t>incur</w:t>
      </w:r>
      <w:r>
        <w:rPr>
          <w:spacing w:val="-1"/>
        </w:rPr>
        <w:t> </w:t>
      </w:r>
      <w:r>
        <w:rPr/>
        <w:t>other</w:t>
      </w:r>
      <w:r>
        <w:rPr>
          <w:spacing w:val="-1"/>
        </w:rPr>
        <w:t> </w:t>
      </w:r>
      <w:r>
        <w:rPr/>
        <w:t>debt</w:t>
      </w:r>
      <w:r>
        <w:rPr>
          <w:spacing w:val="-1"/>
        </w:rPr>
        <w:t> </w:t>
      </w:r>
      <w:r>
        <w:rPr/>
        <w:t>in</w:t>
      </w:r>
      <w:r>
        <w:rPr>
          <w:spacing w:val="-1"/>
        </w:rPr>
        <w:t> </w:t>
      </w:r>
      <w:r>
        <w:rPr/>
        <w:t>the</w:t>
      </w:r>
      <w:r>
        <w:rPr>
          <w:spacing w:val="-1"/>
        </w:rPr>
        <w:t> </w:t>
      </w:r>
      <w:r>
        <w:rPr/>
        <w:t>future,</w:t>
      </w:r>
      <w:r>
        <w:rPr>
          <w:spacing w:val="-1"/>
        </w:rPr>
        <w:t> </w:t>
      </w:r>
      <w:r>
        <w:rPr/>
        <w:t>which</w:t>
      </w:r>
      <w:r>
        <w:rPr>
          <w:spacing w:val="-1"/>
        </w:rPr>
        <w:t> </w:t>
      </w:r>
      <w:r>
        <w:rPr/>
        <w:t>may</w:t>
      </w:r>
      <w:r>
        <w:rPr>
          <w:spacing w:val="-1"/>
        </w:rPr>
        <w:t> </w:t>
      </w:r>
      <w:r>
        <w:rPr/>
        <w:t>adversely</w:t>
      </w:r>
      <w:r>
        <w:rPr>
          <w:spacing w:val="-1"/>
        </w:rPr>
        <w:t> </w:t>
      </w:r>
      <w:r>
        <w:rPr/>
        <w:t>affect</w:t>
      </w:r>
      <w:r>
        <w:rPr>
          <w:spacing w:val="-1"/>
        </w:rPr>
        <w:t> </w:t>
      </w:r>
      <w:r>
        <w:rPr/>
        <w:t>our financial condition and future financial results.</w:t>
      </w:r>
    </w:p>
    <w:p>
      <w:pPr>
        <w:pStyle w:val="BodyText"/>
        <w:spacing w:line="249" w:lineRule="auto" w:before="181"/>
        <w:ind w:left="210" w:right="247" w:firstLine="540"/>
        <w:jc w:val="both"/>
      </w:pPr>
      <w:r>
        <w:rPr/>
        <w:t>We have $1.9 billion in senior unsecured notes outstanding. We also have a $1 billion senior unsecured revolving credit agreement, which is currently undrawn. This debt may adversely affect our financial condition and future financial results by, among other things:</w:t>
      </w:r>
    </w:p>
    <w:p>
      <w:pPr>
        <w:pStyle w:val="ListParagraph"/>
        <w:numPr>
          <w:ilvl w:val="0"/>
          <w:numId w:val="5"/>
        </w:numPr>
        <w:tabs>
          <w:tab w:pos="1109" w:val="left" w:leader="none"/>
        </w:tabs>
        <w:spacing w:line="240" w:lineRule="auto" w:before="183" w:after="0"/>
        <w:ind w:left="1109" w:right="0" w:hanging="359"/>
        <w:jc w:val="left"/>
        <w:rPr>
          <w:sz w:val="20"/>
        </w:rPr>
      </w:pPr>
      <w:r>
        <w:rPr>
          <w:sz w:val="20"/>
        </w:rPr>
        <w:t>increasing</w:t>
      </w:r>
      <w:r>
        <w:rPr>
          <w:spacing w:val="-4"/>
          <w:sz w:val="20"/>
        </w:rPr>
        <w:t> </w:t>
      </w:r>
      <w:r>
        <w:rPr>
          <w:sz w:val="20"/>
        </w:rPr>
        <w:t>our</w:t>
      </w:r>
      <w:r>
        <w:rPr>
          <w:spacing w:val="-1"/>
          <w:sz w:val="20"/>
        </w:rPr>
        <w:t> </w:t>
      </w:r>
      <w:r>
        <w:rPr>
          <w:sz w:val="20"/>
        </w:rPr>
        <w:t>vulnerability to</w:t>
      </w:r>
      <w:r>
        <w:rPr>
          <w:spacing w:val="-1"/>
          <w:sz w:val="20"/>
        </w:rPr>
        <w:t> </w:t>
      </w:r>
      <w:r>
        <w:rPr>
          <w:sz w:val="20"/>
        </w:rPr>
        <w:t>adverse</w:t>
      </w:r>
      <w:r>
        <w:rPr>
          <w:spacing w:val="-1"/>
          <w:sz w:val="20"/>
        </w:rPr>
        <w:t> </w:t>
      </w:r>
      <w:r>
        <w:rPr>
          <w:sz w:val="20"/>
        </w:rPr>
        <w:t>changes</w:t>
      </w:r>
      <w:r>
        <w:rPr>
          <w:spacing w:val="-1"/>
          <w:sz w:val="20"/>
        </w:rPr>
        <w:t> </w:t>
      </w:r>
      <w:r>
        <w:rPr>
          <w:sz w:val="20"/>
        </w:rPr>
        <w:t>in general</w:t>
      </w:r>
      <w:r>
        <w:rPr>
          <w:spacing w:val="-2"/>
          <w:sz w:val="20"/>
        </w:rPr>
        <w:t> </w:t>
      </w:r>
      <w:r>
        <w:rPr>
          <w:sz w:val="20"/>
        </w:rPr>
        <w:t>economic</w:t>
      </w:r>
      <w:r>
        <w:rPr>
          <w:spacing w:val="-1"/>
          <w:sz w:val="20"/>
        </w:rPr>
        <w:t> </w:t>
      </w:r>
      <w:r>
        <w:rPr>
          <w:sz w:val="20"/>
        </w:rPr>
        <w:t>and</w:t>
      </w:r>
      <w:r>
        <w:rPr>
          <w:spacing w:val="-1"/>
          <w:sz w:val="20"/>
        </w:rPr>
        <w:t> </w:t>
      </w:r>
      <w:r>
        <w:rPr>
          <w:sz w:val="20"/>
        </w:rPr>
        <w:t>industry </w:t>
      </w:r>
      <w:r>
        <w:rPr>
          <w:spacing w:val="-2"/>
          <w:sz w:val="20"/>
        </w:rPr>
        <w:t>conditions;</w:t>
      </w:r>
    </w:p>
    <w:p>
      <w:pPr>
        <w:pStyle w:val="BodyText"/>
        <w:spacing w:before="20"/>
      </w:pPr>
    </w:p>
    <w:p>
      <w:pPr>
        <w:pStyle w:val="ListParagraph"/>
        <w:numPr>
          <w:ilvl w:val="0"/>
          <w:numId w:val="5"/>
        </w:numPr>
        <w:tabs>
          <w:tab w:pos="1110" w:val="left" w:leader="none"/>
        </w:tabs>
        <w:spacing w:line="249" w:lineRule="auto" w:before="0" w:after="0"/>
        <w:ind w:left="1110" w:right="247" w:hanging="360"/>
        <w:jc w:val="both"/>
        <w:rPr>
          <w:sz w:val="20"/>
        </w:rPr>
      </w:pPr>
      <w:r>
        <w:rPr>
          <w:sz w:val="20"/>
        </w:rPr>
        <w:t>requiring the dedication of a portion of our expected cash flow from operations to service our indebtedness, thereby </w:t>
      </w:r>
      <w:r>
        <w:rPr>
          <w:spacing w:val="-2"/>
          <w:sz w:val="20"/>
        </w:rPr>
        <w:t>reducing</w:t>
      </w:r>
      <w:r>
        <w:rPr>
          <w:spacing w:val="-8"/>
          <w:sz w:val="20"/>
        </w:rPr>
        <w:t> </w:t>
      </w:r>
      <w:r>
        <w:rPr>
          <w:spacing w:val="-2"/>
          <w:sz w:val="20"/>
        </w:rPr>
        <w:t>the</w:t>
      </w:r>
      <w:r>
        <w:rPr>
          <w:spacing w:val="-6"/>
          <w:sz w:val="20"/>
        </w:rPr>
        <w:t> </w:t>
      </w:r>
      <w:r>
        <w:rPr>
          <w:spacing w:val="-2"/>
          <w:sz w:val="20"/>
        </w:rPr>
        <w:t>amount</w:t>
      </w:r>
      <w:r>
        <w:rPr>
          <w:spacing w:val="-8"/>
          <w:sz w:val="20"/>
        </w:rPr>
        <w:t> </w:t>
      </w:r>
      <w:r>
        <w:rPr>
          <w:spacing w:val="-2"/>
          <w:sz w:val="20"/>
        </w:rPr>
        <w:t>of</w:t>
      </w:r>
      <w:r>
        <w:rPr>
          <w:spacing w:val="-6"/>
          <w:sz w:val="20"/>
        </w:rPr>
        <w:t> </w:t>
      </w:r>
      <w:r>
        <w:rPr>
          <w:spacing w:val="-2"/>
          <w:sz w:val="20"/>
        </w:rPr>
        <w:t>expected</w:t>
      </w:r>
      <w:r>
        <w:rPr>
          <w:spacing w:val="-6"/>
          <w:sz w:val="20"/>
        </w:rPr>
        <w:t> </w:t>
      </w:r>
      <w:r>
        <w:rPr>
          <w:spacing w:val="-2"/>
          <w:sz w:val="20"/>
        </w:rPr>
        <w:t>cash</w:t>
      </w:r>
      <w:r>
        <w:rPr>
          <w:spacing w:val="-8"/>
          <w:sz w:val="20"/>
        </w:rPr>
        <w:t> </w:t>
      </w:r>
      <w:r>
        <w:rPr>
          <w:spacing w:val="-2"/>
          <w:sz w:val="20"/>
        </w:rPr>
        <w:t>flow</w:t>
      </w:r>
      <w:r>
        <w:rPr>
          <w:spacing w:val="-6"/>
          <w:sz w:val="20"/>
        </w:rPr>
        <w:t> </w:t>
      </w:r>
      <w:r>
        <w:rPr>
          <w:spacing w:val="-2"/>
          <w:sz w:val="20"/>
        </w:rPr>
        <w:t>available</w:t>
      </w:r>
      <w:r>
        <w:rPr>
          <w:spacing w:val="-8"/>
          <w:sz w:val="20"/>
        </w:rPr>
        <w:t> </w:t>
      </w:r>
      <w:r>
        <w:rPr>
          <w:spacing w:val="-2"/>
          <w:sz w:val="20"/>
        </w:rPr>
        <w:t>for</w:t>
      </w:r>
      <w:r>
        <w:rPr>
          <w:spacing w:val="-6"/>
          <w:sz w:val="20"/>
        </w:rPr>
        <w:t> </w:t>
      </w:r>
      <w:r>
        <w:rPr>
          <w:spacing w:val="-2"/>
          <w:sz w:val="20"/>
        </w:rPr>
        <w:t>other</w:t>
      </w:r>
      <w:r>
        <w:rPr>
          <w:spacing w:val="-6"/>
          <w:sz w:val="20"/>
        </w:rPr>
        <w:t> </w:t>
      </w:r>
      <w:r>
        <w:rPr>
          <w:spacing w:val="-2"/>
          <w:sz w:val="20"/>
        </w:rPr>
        <w:t>purposes,</w:t>
      </w:r>
      <w:r>
        <w:rPr>
          <w:spacing w:val="-8"/>
          <w:sz w:val="20"/>
        </w:rPr>
        <w:t> </w:t>
      </w:r>
      <w:r>
        <w:rPr>
          <w:spacing w:val="-2"/>
          <w:sz w:val="20"/>
        </w:rPr>
        <w:t>including</w:t>
      </w:r>
      <w:r>
        <w:rPr>
          <w:spacing w:val="-8"/>
          <w:sz w:val="20"/>
        </w:rPr>
        <w:t> </w:t>
      </w:r>
      <w:r>
        <w:rPr>
          <w:spacing w:val="-2"/>
          <w:sz w:val="20"/>
        </w:rPr>
        <w:t>capital</w:t>
      </w:r>
      <w:r>
        <w:rPr>
          <w:spacing w:val="-8"/>
          <w:sz w:val="20"/>
        </w:rPr>
        <w:t> </w:t>
      </w:r>
      <w:r>
        <w:rPr>
          <w:spacing w:val="-2"/>
          <w:sz w:val="20"/>
        </w:rPr>
        <w:t>expenditures</w:t>
      </w:r>
      <w:r>
        <w:rPr>
          <w:spacing w:val="-6"/>
          <w:sz w:val="20"/>
        </w:rPr>
        <w:t> </w:t>
      </w:r>
      <w:r>
        <w:rPr>
          <w:spacing w:val="-2"/>
          <w:sz w:val="20"/>
        </w:rPr>
        <w:t>and</w:t>
      </w:r>
      <w:r>
        <w:rPr>
          <w:spacing w:val="-6"/>
          <w:sz w:val="20"/>
        </w:rPr>
        <w:t> </w:t>
      </w:r>
      <w:r>
        <w:rPr>
          <w:spacing w:val="-2"/>
          <w:sz w:val="20"/>
        </w:rPr>
        <w:t>acquisitions; </w:t>
      </w:r>
      <w:r>
        <w:rPr>
          <w:spacing w:val="-4"/>
          <w:sz w:val="20"/>
        </w:rPr>
        <w:t>and</w:t>
      </w:r>
    </w:p>
    <w:p>
      <w:pPr>
        <w:pStyle w:val="BodyText"/>
        <w:spacing w:before="12"/>
      </w:pPr>
    </w:p>
    <w:p>
      <w:pPr>
        <w:pStyle w:val="ListParagraph"/>
        <w:numPr>
          <w:ilvl w:val="0"/>
          <w:numId w:val="5"/>
        </w:numPr>
        <w:tabs>
          <w:tab w:pos="1109" w:val="left" w:leader="none"/>
        </w:tabs>
        <w:spacing w:line="240" w:lineRule="auto" w:before="0" w:after="0"/>
        <w:ind w:left="1109" w:right="0" w:hanging="359"/>
        <w:jc w:val="left"/>
        <w:rPr>
          <w:sz w:val="20"/>
        </w:rPr>
      </w:pPr>
      <w:r>
        <w:rPr>
          <w:sz w:val="20"/>
        </w:rPr>
        <w:t>limiting</w:t>
      </w:r>
      <w:r>
        <w:rPr>
          <w:spacing w:val="-4"/>
          <w:sz w:val="20"/>
        </w:rPr>
        <w:t> </w:t>
      </w:r>
      <w:r>
        <w:rPr>
          <w:sz w:val="20"/>
        </w:rPr>
        <w:t>our</w:t>
      </w:r>
      <w:r>
        <w:rPr>
          <w:spacing w:val="-1"/>
          <w:sz w:val="20"/>
        </w:rPr>
        <w:t> </w:t>
      </w:r>
      <w:r>
        <w:rPr>
          <w:sz w:val="20"/>
        </w:rPr>
        <w:t>flexibility</w:t>
      </w:r>
      <w:r>
        <w:rPr>
          <w:spacing w:val="-2"/>
          <w:sz w:val="20"/>
        </w:rPr>
        <w:t> </w:t>
      </w:r>
      <w:r>
        <w:rPr>
          <w:sz w:val="20"/>
        </w:rPr>
        <w:t>in</w:t>
      </w:r>
      <w:r>
        <w:rPr>
          <w:spacing w:val="-1"/>
          <w:sz w:val="20"/>
        </w:rPr>
        <w:t> </w:t>
      </w:r>
      <w:r>
        <w:rPr>
          <w:sz w:val="20"/>
        </w:rPr>
        <w:t>planning</w:t>
      </w:r>
      <w:r>
        <w:rPr>
          <w:spacing w:val="-2"/>
          <w:sz w:val="20"/>
        </w:rPr>
        <w:t> </w:t>
      </w:r>
      <w:r>
        <w:rPr>
          <w:sz w:val="20"/>
        </w:rPr>
        <w:t>for,</w:t>
      </w:r>
      <w:r>
        <w:rPr>
          <w:spacing w:val="-1"/>
          <w:sz w:val="20"/>
        </w:rPr>
        <w:t> </w:t>
      </w:r>
      <w:r>
        <w:rPr>
          <w:sz w:val="20"/>
        </w:rPr>
        <w:t>or</w:t>
      </w:r>
      <w:r>
        <w:rPr>
          <w:spacing w:val="-2"/>
          <w:sz w:val="20"/>
        </w:rPr>
        <w:t> </w:t>
      </w:r>
      <w:r>
        <w:rPr>
          <w:sz w:val="20"/>
        </w:rPr>
        <w:t>reacting</w:t>
      </w:r>
      <w:r>
        <w:rPr>
          <w:spacing w:val="-1"/>
          <w:sz w:val="20"/>
        </w:rPr>
        <w:t> </w:t>
      </w:r>
      <w:r>
        <w:rPr>
          <w:sz w:val="20"/>
        </w:rPr>
        <w:t>to,</w:t>
      </w:r>
      <w:r>
        <w:rPr>
          <w:spacing w:val="-2"/>
          <w:sz w:val="20"/>
        </w:rPr>
        <w:t> </w:t>
      </w:r>
      <w:r>
        <w:rPr>
          <w:sz w:val="20"/>
        </w:rPr>
        <w:t>changes</w:t>
      </w:r>
      <w:r>
        <w:rPr>
          <w:spacing w:val="-2"/>
          <w:sz w:val="20"/>
        </w:rPr>
        <w:t> </w:t>
      </w:r>
      <w:r>
        <w:rPr>
          <w:sz w:val="20"/>
        </w:rPr>
        <w:t>in</w:t>
      </w:r>
      <w:r>
        <w:rPr>
          <w:spacing w:val="-2"/>
          <w:sz w:val="20"/>
        </w:rPr>
        <w:t> </w:t>
      </w:r>
      <w:r>
        <w:rPr>
          <w:sz w:val="20"/>
        </w:rPr>
        <w:t>our</w:t>
      </w:r>
      <w:r>
        <w:rPr>
          <w:spacing w:val="-1"/>
          <w:sz w:val="20"/>
        </w:rPr>
        <w:t> </w:t>
      </w:r>
      <w:r>
        <w:rPr>
          <w:sz w:val="20"/>
        </w:rPr>
        <w:t>business</w:t>
      </w:r>
      <w:r>
        <w:rPr>
          <w:spacing w:val="-3"/>
          <w:sz w:val="20"/>
        </w:rPr>
        <w:t> </w:t>
      </w:r>
      <w:r>
        <w:rPr>
          <w:sz w:val="20"/>
        </w:rPr>
        <w:t>and</w:t>
      </w:r>
      <w:r>
        <w:rPr>
          <w:spacing w:val="-1"/>
          <w:sz w:val="20"/>
        </w:rPr>
        <w:t> </w:t>
      </w:r>
      <w:r>
        <w:rPr>
          <w:sz w:val="20"/>
        </w:rPr>
        <w:t>our</w:t>
      </w:r>
      <w:r>
        <w:rPr>
          <w:spacing w:val="-1"/>
          <w:sz w:val="20"/>
        </w:rPr>
        <w:t> </w:t>
      </w:r>
      <w:r>
        <w:rPr>
          <w:spacing w:val="-2"/>
          <w:sz w:val="20"/>
        </w:rPr>
        <w:t>industry.</w:t>
      </w:r>
    </w:p>
    <w:p>
      <w:pPr>
        <w:pStyle w:val="BodyText"/>
        <w:spacing w:before="20"/>
      </w:pPr>
    </w:p>
    <w:p>
      <w:pPr>
        <w:pStyle w:val="BodyText"/>
        <w:spacing w:line="249" w:lineRule="auto"/>
        <w:ind w:left="210" w:right="247" w:firstLine="540"/>
        <w:jc w:val="both"/>
      </w:pPr>
      <w:r>
        <w:rPr/>
        <w:t>Our senior unsecured notes and senior unsecured revolving credit agreement impose restrictions on us and require us to maintain</w:t>
      </w:r>
      <w:r>
        <w:rPr>
          <w:spacing w:val="-6"/>
        </w:rPr>
        <w:t> </w:t>
      </w:r>
      <w:r>
        <w:rPr/>
        <w:t>compliance</w:t>
      </w:r>
      <w:r>
        <w:rPr>
          <w:spacing w:val="-7"/>
        </w:rPr>
        <w:t> </w:t>
      </w:r>
      <w:r>
        <w:rPr/>
        <w:t>with</w:t>
      </w:r>
      <w:r>
        <w:rPr>
          <w:spacing w:val="-6"/>
        </w:rPr>
        <w:t> </w:t>
      </w:r>
      <w:r>
        <w:rPr/>
        <w:t>specified</w:t>
      </w:r>
      <w:r>
        <w:rPr>
          <w:spacing w:val="-7"/>
        </w:rPr>
        <w:t> </w:t>
      </w:r>
      <w:r>
        <w:rPr/>
        <w:t>covenants.</w:t>
      </w:r>
      <w:r>
        <w:rPr>
          <w:spacing w:val="-6"/>
        </w:rPr>
        <w:t> </w:t>
      </w:r>
      <w:r>
        <w:rPr/>
        <w:t>Our</w:t>
      </w:r>
      <w:r>
        <w:rPr>
          <w:spacing w:val="-7"/>
        </w:rPr>
        <w:t> </w:t>
      </w:r>
      <w:r>
        <w:rPr/>
        <w:t>ability</w:t>
      </w:r>
      <w:r>
        <w:rPr>
          <w:spacing w:val="-7"/>
        </w:rPr>
        <w:t> </w:t>
      </w:r>
      <w:r>
        <w:rPr/>
        <w:t>to</w:t>
      </w:r>
      <w:r>
        <w:rPr>
          <w:spacing w:val="-6"/>
        </w:rPr>
        <w:t> </w:t>
      </w:r>
      <w:r>
        <w:rPr/>
        <w:t>comply</w:t>
      </w:r>
      <w:r>
        <w:rPr>
          <w:spacing w:val="-7"/>
        </w:rPr>
        <w:t> </w:t>
      </w:r>
      <w:r>
        <w:rPr/>
        <w:t>with</w:t>
      </w:r>
      <w:r>
        <w:rPr>
          <w:spacing w:val="-6"/>
        </w:rPr>
        <w:t> </w:t>
      </w:r>
      <w:r>
        <w:rPr/>
        <w:t>these</w:t>
      </w:r>
      <w:r>
        <w:rPr>
          <w:spacing w:val="-7"/>
        </w:rPr>
        <w:t> </w:t>
      </w:r>
      <w:r>
        <w:rPr/>
        <w:t>covenants</w:t>
      </w:r>
      <w:r>
        <w:rPr>
          <w:spacing w:val="-6"/>
        </w:rPr>
        <w:t> </w:t>
      </w:r>
      <w:r>
        <w:rPr/>
        <w:t>may</w:t>
      </w:r>
      <w:r>
        <w:rPr>
          <w:spacing w:val="-6"/>
        </w:rPr>
        <w:t> </w:t>
      </w:r>
      <w:r>
        <w:rPr/>
        <w:t>be</w:t>
      </w:r>
      <w:r>
        <w:rPr>
          <w:spacing w:val="-6"/>
        </w:rPr>
        <w:t> </w:t>
      </w:r>
      <w:r>
        <w:rPr/>
        <w:t>affected</w:t>
      </w:r>
      <w:r>
        <w:rPr>
          <w:spacing w:val="-6"/>
        </w:rPr>
        <w:t> </w:t>
      </w:r>
      <w:r>
        <w:rPr/>
        <w:t>by</w:t>
      </w:r>
      <w:r>
        <w:rPr>
          <w:spacing w:val="-6"/>
        </w:rPr>
        <w:t> </w:t>
      </w:r>
      <w:r>
        <w:rPr/>
        <w:t>events</w:t>
      </w:r>
      <w:r>
        <w:rPr>
          <w:spacing w:val="-6"/>
        </w:rPr>
        <w:t> </w:t>
      </w:r>
      <w:r>
        <w:rPr/>
        <w:t>beyond</w:t>
      </w:r>
      <w:r>
        <w:rPr>
          <w:spacing w:val="-6"/>
        </w:rPr>
        <w:t> </w:t>
      </w:r>
      <w:r>
        <w:rPr/>
        <w:t>our control.</w:t>
      </w:r>
      <w:r>
        <w:rPr>
          <w:spacing w:val="-4"/>
        </w:rPr>
        <w:t> </w:t>
      </w:r>
      <w:r>
        <w:rPr/>
        <w:t>If</w:t>
      </w:r>
      <w:r>
        <w:rPr>
          <w:spacing w:val="-4"/>
        </w:rPr>
        <w:t> </w:t>
      </w:r>
      <w:r>
        <w:rPr/>
        <w:t>we</w:t>
      </w:r>
      <w:r>
        <w:rPr>
          <w:spacing w:val="-4"/>
        </w:rPr>
        <w:t> </w:t>
      </w:r>
      <w:r>
        <w:rPr/>
        <w:t>breach</w:t>
      </w:r>
      <w:r>
        <w:rPr>
          <w:spacing w:val="-4"/>
        </w:rPr>
        <w:t> </w:t>
      </w:r>
      <w:r>
        <w:rPr/>
        <w:t>any</w:t>
      </w:r>
      <w:r>
        <w:rPr>
          <w:spacing w:val="-4"/>
        </w:rPr>
        <w:t> </w:t>
      </w:r>
      <w:r>
        <w:rPr/>
        <w:t>of</w:t>
      </w:r>
      <w:r>
        <w:rPr>
          <w:spacing w:val="-4"/>
        </w:rPr>
        <w:t> </w:t>
      </w:r>
      <w:r>
        <w:rPr/>
        <w:t>the</w:t>
      </w:r>
      <w:r>
        <w:rPr>
          <w:spacing w:val="-4"/>
        </w:rPr>
        <w:t> </w:t>
      </w:r>
      <w:r>
        <w:rPr/>
        <w:t>covenants</w:t>
      </w:r>
      <w:r>
        <w:rPr>
          <w:spacing w:val="-4"/>
        </w:rPr>
        <w:t> </w:t>
      </w:r>
      <w:r>
        <w:rPr/>
        <w:t>and</w:t>
      </w:r>
      <w:r>
        <w:rPr>
          <w:spacing w:val="-4"/>
        </w:rPr>
        <w:t> </w:t>
      </w:r>
      <w:r>
        <w:rPr/>
        <w:t>do</w:t>
      </w:r>
      <w:r>
        <w:rPr>
          <w:spacing w:val="-4"/>
        </w:rPr>
        <w:t> </w:t>
      </w:r>
      <w:r>
        <w:rPr/>
        <w:t>not</w:t>
      </w:r>
      <w:r>
        <w:rPr>
          <w:spacing w:val="-4"/>
        </w:rPr>
        <w:t> </w:t>
      </w:r>
      <w:r>
        <w:rPr/>
        <w:t>obtain</w:t>
      </w:r>
      <w:r>
        <w:rPr>
          <w:spacing w:val="-4"/>
        </w:rPr>
        <w:t> </w:t>
      </w:r>
      <w:r>
        <w:rPr/>
        <w:t>a</w:t>
      </w:r>
      <w:r>
        <w:rPr>
          <w:spacing w:val="-4"/>
        </w:rPr>
        <w:t> </w:t>
      </w:r>
      <w:r>
        <w:rPr/>
        <w:t>waiver</w:t>
      </w:r>
      <w:r>
        <w:rPr>
          <w:spacing w:val="-4"/>
        </w:rPr>
        <w:t> </w:t>
      </w:r>
      <w:r>
        <w:rPr/>
        <w:t>from</w:t>
      </w:r>
      <w:r>
        <w:rPr>
          <w:spacing w:val="-4"/>
        </w:rPr>
        <w:t> </w:t>
      </w:r>
      <w:r>
        <w:rPr/>
        <w:t>the</w:t>
      </w:r>
      <w:r>
        <w:rPr>
          <w:spacing w:val="-4"/>
        </w:rPr>
        <w:t> </w:t>
      </w:r>
      <w:r>
        <w:rPr/>
        <w:t>lenders</w:t>
      </w:r>
      <w:r>
        <w:rPr>
          <w:spacing w:val="-4"/>
        </w:rPr>
        <w:t> </w:t>
      </w:r>
      <w:r>
        <w:rPr/>
        <w:t>or</w:t>
      </w:r>
      <w:r>
        <w:rPr>
          <w:spacing w:val="-4"/>
        </w:rPr>
        <w:t> </w:t>
      </w:r>
      <w:r>
        <w:rPr/>
        <w:t>noteholders,</w:t>
      </w:r>
      <w:r>
        <w:rPr>
          <w:spacing w:val="-4"/>
        </w:rPr>
        <w:t> </w:t>
      </w:r>
      <w:r>
        <w:rPr/>
        <w:t>then,</w:t>
      </w:r>
      <w:r>
        <w:rPr>
          <w:spacing w:val="-4"/>
        </w:rPr>
        <w:t> </w:t>
      </w:r>
      <w:r>
        <w:rPr/>
        <w:t>subject</w:t>
      </w:r>
      <w:r>
        <w:rPr>
          <w:spacing w:val="-4"/>
        </w:rPr>
        <w:t> </w:t>
      </w:r>
      <w:r>
        <w:rPr/>
        <w:t>to</w:t>
      </w:r>
      <w:r>
        <w:rPr>
          <w:spacing w:val="-4"/>
        </w:rPr>
        <w:t> </w:t>
      </w:r>
      <w:r>
        <w:rPr/>
        <w:t>applicable cure periods, any outstanding indebtedness may be declared immediately due and payable.</w:t>
      </w:r>
    </w:p>
    <w:p>
      <w:pPr>
        <w:pStyle w:val="BodyText"/>
        <w:spacing w:line="249" w:lineRule="auto" w:before="184"/>
        <w:ind w:left="210" w:right="247" w:firstLine="540"/>
        <w:jc w:val="both"/>
      </w:pPr>
      <w:r>
        <w:rPr/>
        <w:t>In addition, changes by any rating agency to our credit rating may negatively impact the value and liquidity of both our debt</w:t>
      </w:r>
      <w:r>
        <w:rPr>
          <w:spacing w:val="-5"/>
        </w:rPr>
        <w:t> </w:t>
      </w:r>
      <w:r>
        <w:rPr/>
        <w:t>and</w:t>
      </w:r>
      <w:r>
        <w:rPr>
          <w:spacing w:val="-5"/>
        </w:rPr>
        <w:t> </w:t>
      </w:r>
      <w:r>
        <w:rPr/>
        <w:t>equity</w:t>
      </w:r>
      <w:r>
        <w:rPr>
          <w:spacing w:val="-5"/>
        </w:rPr>
        <w:t> </w:t>
      </w:r>
      <w:r>
        <w:rPr/>
        <w:t>securities,</w:t>
      </w:r>
      <w:r>
        <w:rPr>
          <w:spacing w:val="-5"/>
        </w:rPr>
        <w:t> </w:t>
      </w:r>
      <w:r>
        <w:rPr/>
        <w:t>as</w:t>
      </w:r>
      <w:r>
        <w:rPr>
          <w:spacing w:val="-5"/>
        </w:rPr>
        <w:t> </w:t>
      </w:r>
      <w:r>
        <w:rPr/>
        <w:t>well</w:t>
      </w:r>
      <w:r>
        <w:rPr>
          <w:spacing w:val="-5"/>
        </w:rPr>
        <w:t> </w:t>
      </w:r>
      <w:r>
        <w:rPr/>
        <w:t>as</w:t>
      </w:r>
      <w:r>
        <w:rPr>
          <w:spacing w:val="-5"/>
        </w:rPr>
        <w:t> </w:t>
      </w:r>
      <w:r>
        <w:rPr/>
        <w:t>the</w:t>
      </w:r>
      <w:r>
        <w:rPr>
          <w:spacing w:val="-5"/>
        </w:rPr>
        <w:t> </w:t>
      </w:r>
      <w:r>
        <w:rPr/>
        <w:t>potential</w:t>
      </w:r>
      <w:r>
        <w:rPr>
          <w:spacing w:val="-6"/>
        </w:rPr>
        <w:t> </w:t>
      </w:r>
      <w:r>
        <w:rPr/>
        <w:t>costs</w:t>
      </w:r>
      <w:r>
        <w:rPr>
          <w:spacing w:val="-5"/>
        </w:rPr>
        <w:t> </w:t>
      </w:r>
      <w:r>
        <w:rPr/>
        <w:t>associated</w:t>
      </w:r>
      <w:r>
        <w:rPr>
          <w:spacing w:val="-5"/>
        </w:rPr>
        <w:t> </w:t>
      </w:r>
      <w:r>
        <w:rPr/>
        <w:t>with</w:t>
      </w:r>
      <w:r>
        <w:rPr>
          <w:spacing w:val="-5"/>
        </w:rPr>
        <w:t> </w:t>
      </w:r>
      <w:r>
        <w:rPr/>
        <w:t>a</w:t>
      </w:r>
      <w:r>
        <w:rPr>
          <w:spacing w:val="-5"/>
        </w:rPr>
        <w:t> </w:t>
      </w:r>
      <w:r>
        <w:rPr/>
        <w:t>refinancing</w:t>
      </w:r>
      <w:r>
        <w:rPr>
          <w:spacing w:val="-5"/>
        </w:rPr>
        <w:t> </w:t>
      </w:r>
      <w:r>
        <w:rPr/>
        <w:t>of</w:t>
      </w:r>
      <w:r>
        <w:rPr>
          <w:spacing w:val="-5"/>
        </w:rPr>
        <w:t> </w:t>
      </w:r>
      <w:r>
        <w:rPr/>
        <w:t>our</w:t>
      </w:r>
      <w:r>
        <w:rPr>
          <w:spacing w:val="-5"/>
        </w:rPr>
        <w:t> </w:t>
      </w:r>
      <w:r>
        <w:rPr/>
        <w:t>debt.</w:t>
      </w:r>
      <w:r>
        <w:rPr>
          <w:spacing w:val="-5"/>
        </w:rPr>
        <w:t> </w:t>
      </w:r>
      <w:r>
        <w:rPr/>
        <w:t>Under</w:t>
      </w:r>
      <w:r>
        <w:rPr>
          <w:spacing w:val="-5"/>
        </w:rPr>
        <w:t> </w:t>
      </w:r>
      <w:r>
        <w:rPr/>
        <w:t>certain</w:t>
      </w:r>
      <w:r>
        <w:rPr>
          <w:spacing w:val="-5"/>
        </w:rPr>
        <w:t> </w:t>
      </w:r>
      <w:r>
        <w:rPr/>
        <w:t>circumstances,</w:t>
      </w:r>
      <w:r>
        <w:rPr>
          <w:spacing w:val="-5"/>
        </w:rPr>
        <w:t> </w:t>
      </w:r>
      <w:r>
        <w:rPr/>
        <w:t>if </w:t>
      </w:r>
      <w:r>
        <w:rPr>
          <w:spacing w:val="-2"/>
        </w:rPr>
        <w:t>our</w:t>
      </w:r>
      <w:r>
        <w:rPr>
          <w:spacing w:val="-5"/>
        </w:rPr>
        <w:t> </w:t>
      </w:r>
      <w:r>
        <w:rPr>
          <w:spacing w:val="-2"/>
        </w:rPr>
        <w:t>credit</w:t>
      </w:r>
      <w:r>
        <w:rPr>
          <w:spacing w:val="-6"/>
        </w:rPr>
        <w:t> </w:t>
      </w:r>
      <w:r>
        <w:rPr>
          <w:spacing w:val="-2"/>
        </w:rPr>
        <w:t>ratings</w:t>
      </w:r>
      <w:r>
        <w:rPr>
          <w:spacing w:val="-5"/>
        </w:rPr>
        <w:t> </w:t>
      </w:r>
      <w:r>
        <w:rPr>
          <w:spacing w:val="-2"/>
        </w:rPr>
        <w:t>are</w:t>
      </w:r>
      <w:r>
        <w:rPr>
          <w:spacing w:val="-5"/>
        </w:rPr>
        <w:t> </w:t>
      </w:r>
      <w:r>
        <w:rPr>
          <w:spacing w:val="-2"/>
        </w:rPr>
        <w:t>downgraded</w:t>
      </w:r>
      <w:r>
        <w:rPr>
          <w:spacing w:val="-5"/>
        </w:rPr>
        <w:t> </w:t>
      </w:r>
      <w:r>
        <w:rPr>
          <w:spacing w:val="-2"/>
        </w:rPr>
        <w:t>or</w:t>
      </w:r>
      <w:r>
        <w:rPr>
          <w:spacing w:val="-5"/>
        </w:rPr>
        <w:t> </w:t>
      </w:r>
      <w:r>
        <w:rPr>
          <w:spacing w:val="-2"/>
        </w:rPr>
        <w:t>other</w:t>
      </w:r>
      <w:r>
        <w:rPr>
          <w:spacing w:val="-5"/>
        </w:rPr>
        <w:t> </w:t>
      </w:r>
      <w:r>
        <w:rPr>
          <w:spacing w:val="-2"/>
        </w:rPr>
        <w:t>negative</w:t>
      </w:r>
      <w:r>
        <w:rPr>
          <w:spacing w:val="-6"/>
        </w:rPr>
        <w:t> </w:t>
      </w:r>
      <w:r>
        <w:rPr>
          <w:spacing w:val="-2"/>
        </w:rPr>
        <w:t>action</w:t>
      </w:r>
      <w:r>
        <w:rPr>
          <w:spacing w:val="-5"/>
        </w:rPr>
        <w:t> </w:t>
      </w:r>
      <w:r>
        <w:rPr>
          <w:spacing w:val="-2"/>
        </w:rPr>
        <w:t>is</w:t>
      </w:r>
      <w:r>
        <w:rPr>
          <w:spacing w:val="-5"/>
        </w:rPr>
        <w:t> </w:t>
      </w:r>
      <w:r>
        <w:rPr>
          <w:spacing w:val="-2"/>
        </w:rPr>
        <w:t>taken,</w:t>
      </w:r>
      <w:r>
        <w:rPr>
          <w:spacing w:val="-5"/>
        </w:rPr>
        <w:t> </w:t>
      </w:r>
      <w:r>
        <w:rPr>
          <w:spacing w:val="-2"/>
        </w:rPr>
        <w:t>the</w:t>
      </w:r>
      <w:r>
        <w:rPr>
          <w:spacing w:val="-5"/>
        </w:rPr>
        <w:t> </w:t>
      </w:r>
      <w:r>
        <w:rPr>
          <w:spacing w:val="-2"/>
        </w:rPr>
        <w:t>interest</w:t>
      </w:r>
      <w:r>
        <w:rPr>
          <w:spacing w:val="-6"/>
        </w:rPr>
        <w:t> </w:t>
      </w:r>
      <w:r>
        <w:rPr>
          <w:spacing w:val="-2"/>
        </w:rPr>
        <w:t>rate</w:t>
      </w:r>
      <w:r>
        <w:rPr>
          <w:spacing w:val="-5"/>
        </w:rPr>
        <w:t> </w:t>
      </w:r>
      <w:r>
        <w:rPr>
          <w:spacing w:val="-2"/>
        </w:rPr>
        <w:t>payable</w:t>
      </w:r>
      <w:r>
        <w:rPr>
          <w:spacing w:val="-6"/>
        </w:rPr>
        <w:t> </w:t>
      </w:r>
      <w:r>
        <w:rPr>
          <w:spacing w:val="-2"/>
        </w:rPr>
        <w:t>by</w:t>
      </w:r>
      <w:r>
        <w:rPr>
          <w:spacing w:val="-5"/>
        </w:rPr>
        <w:t> </w:t>
      </w:r>
      <w:r>
        <w:rPr>
          <w:spacing w:val="-2"/>
        </w:rPr>
        <w:t>us</w:t>
      </w:r>
      <w:r>
        <w:rPr>
          <w:spacing w:val="-5"/>
        </w:rPr>
        <w:t> </w:t>
      </w:r>
      <w:r>
        <w:rPr>
          <w:spacing w:val="-2"/>
        </w:rPr>
        <w:t>under</w:t>
      </w:r>
      <w:r>
        <w:rPr>
          <w:spacing w:val="-5"/>
        </w:rPr>
        <w:t> </w:t>
      </w:r>
      <w:r>
        <w:rPr>
          <w:spacing w:val="-2"/>
        </w:rPr>
        <w:t>our</w:t>
      </w:r>
      <w:r>
        <w:rPr>
          <w:spacing w:val="-5"/>
        </w:rPr>
        <w:t> </w:t>
      </w:r>
      <w:r>
        <w:rPr>
          <w:spacing w:val="-2"/>
        </w:rPr>
        <w:t>revolving</w:t>
      </w:r>
      <w:r>
        <w:rPr>
          <w:spacing w:val="-5"/>
        </w:rPr>
        <w:t> </w:t>
      </w:r>
      <w:r>
        <w:rPr>
          <w:spacing w:val="-2"/>
        </w:rPr>
        <w:t>credit</w:t>
      </w:r>
      <w:r>
        <w:rPr>
          <w:spacing w:val="-6"/>
        </w:rPr>
        <w:t> </w:t>
      </w:r>
      <w:r>
        <w:rPr>
          <w:spacing w:val="-2"/>
        </w:rPr>
        <w:t>facility </w:t>
      </w:r>
      <w:r>
        <w:rPr/>
        <w:t>could</w:t>
      </w:r>
      <w:r>
        <w:rPr>
          <w:spacing w:val="-9"/>
        </w:rPr>
        <w:t> </w:t>
      </w:r>
      <w:r>
        <w:rPr/>
        <w:t>increase.</w:t>
      </w:r>
      <w:r>
        <w:rPr>
          <w:spacing w:val="-9"/>
        </w:rPr>
        <w:t> </w:t>
      </w:r>
      <w:r>
        <w:rPr/>
        <w:t>Downgrades</w:t>
      </w:r>
      <w:r>
        <w:rPr>
          <w:spacing w:val="-9"/>
        </w:rPr>
        <w:t> </w:t>
      </w:r>
      <w:r>
        <w:rPr/>
        <w:t>in</w:t>
      </w:r>
      <w:r>
        <w:rPr>
          <w:spacing w:val="-9"/>
        </w:rPr>
        <w:t> </w:t>
      </w:r>
      <w:r>
        <w:rPr/>
        <w:t>our</w:t>
      </w:r>
      <w:r>
        <w:rPr>
          <w:spacing w:val="-9"/>
        </w:rPr>
        <w:t> </w:t>
      </w:r>
      <w:r>
        <w:rPr/>
        <w:t>credit</w:t>
      </w:r>
      <w:r>
        <w:rPr>
          <w:spacing w:val="-9"/>
        </w:rPr>
        <w:t> </w:t>
      </w:r>
      <w:r>
        <w:rPr/>
        <w:t>ratings</w:t>
      </w:r>
      <w:r>
        <w:rPr>
          <w:spacing w:val="-9"/>
        </w:rPr>
        <w:t> </w:t>
      </w:r>
      <w:r>
        <w:rPr/>
        <w:t>could</w:t>
      </w:r>
      <w:r>
        <w:rPr>
          <w:spacing w:val="-9"/>
        </w:rPr>
        <w:t> </w:t>
      </w:r>
      <w:r>
        <w:rPr/>
        <w:t>also</w:t>
      </w:r>
      <w:r>
        <w:rPr>
          <w:spacing w:val="-9"/>
        </w:rPr>
        <w:t> </w:t>
      </w:r>
      <w:r>
        <w:rPr/>
        <w:t>affect</w:t>
      </w:r>
      <w:r>
        <w:rPr>
          <w:spacing w:val="-9"/>
        </w:rPr>
        <w:t> </w:t>
      </w:r>
      <w:r>
        <w:rPr/>
        <w:t>the</w:t>
      </w:r>
      <w:r>
        <w:rPr>
          <w:spacing w:val="-9"/>
        </w:rPr>
        <w:t> </w:t>
      </w:r>
      <w:r>
        <w:rPr/>
        <w:t>terms</w:t>
      </w:r>
      <w:r>
        <w:rPr>
          <w:spacing w:val="-9"/>
        </w:rPr>
        <w:t> </w:t>
      </w:r>
      <w:r>
        <w:rPr/>
        <w:t>of</w:t>
      </w:r>
      <w:r>
        <w:rPr>
          <w:spacing w:val="-9"/>
        </w:rPr>
        <w:t> </w:t>
      </w:r>
      <w:r>
        <w:rPr/>
        <w:t>any</w:t>
      </w:r>
      <w:r>
        <w:rPr>
          <w:spacing w:val="-9"/>
        </w:rPr>
        <w:t> </w:t>
      </w:r>
      <w:r>
        <w:rPr/>
        <w:t>such</w:t>
      </w:r>
      <w:r>
        <w:rPr>
          <w:spacing w:val="-9"/>
        </w:rPr>
        <w:t> </w:t>
      </w:r>
      <w:r>
        <w:rPr/>
        <w:t>financing</w:t>
      </w:r>
      <w:r>
        <w:rPr>
          <w:spacing w:val="-9"/>
        </w:rPr>
        <w:t> </w:t>
      </w:r>
      <w:r>
        <w:rPr/>
        <w:t>and</w:t>
      </w:r>
      <w:r>
        <w:rPr>
          <w:spacing w:val="-9"/>
        </w:rPr>
        <w:t> </w:t>
      </w:r>
      <w:r>
        <w:rPr/>
        <w:t>restrict</w:t>
      </w:r>
      <w:r>
        <w:rPr>
          <w:spacing w:val="-9"/>
        </w:rPr>
        <w:t> </w:t>
      </w:r>
      <w:r>
        <w:rPr/>
        <w:t>our</w:t>
      </w:r>
      <w:r>
        <w:rPr>
          <w:spacing w:val="-9"/>
        </w:rPr>
        <w:t> </w:t>
      </w:r>
      <w:r>
        <w:rPr/>
        <w:t>ability</w:t>
      </w:r>
      <w:r>
        <w:rPr>
          <w:spacing w:val="-9"/>
        </w:rPr>
        <w:t> </w:t>
      </w:r>
      <w:r>
        <w:rPr/>
        <w:t>to</w:t>
      </w:r>
      <w:r>
        <w:rPr>
          <w:spacing w:val="-9"/>
        </w:rPr>
        <w:t> </w:t>
      </w:r>
      <w:r>
        <w:rPr/>
        <w:t>obtain additional financing in the future.</w:t>
      </w:r>
    </w:p>
    <w:p>
      <w:pPr>
        <w:spacing w:after="0" w:line="249" w:lineRule="auto"/>
        <w:jc w:val="both"/>
        <w:sectPr>
          <w:pgSz w:w="12240" w:h="15840"/>
          <w:pgMar w:header="210" w:footer="579" w:top="420" w:bottom="800" w:left="780" w:right="740"/>
        </w:sectPr>
      </w:pPr>
    </w:p>
    <w:p>
      <w:pPr>
        <w:pStyle w:val="BodyText"/>
        <w:spacing w:before="147"/>
      </w:pPr>
    </w:p>
    <w:p>
      <w:pPr>
        <w:pStyle w:val="Heading3"/>
      </w:pPr>
      <w:r>
        <w:rPr/>
        <w:t>Catastrophic</w:t>
      </w:r>
      <w:r>
        <w:rPr>
          <w:spacing w:val="-3"/>
        </w:rPr>
        <w:t> </w:t>
      </w:r>
      <w:r>
        <w:rPr/>
        <w:t>events</w:t>
      </w:r>
      <w:r>
        <w:rPr>
          <w:spacing w:val="-1"/>
        </w:rPr>
        <w:t> </w:t>
      </w:r>
      <w:r>
        <w:rPr/>
        <w:t>may</w:t>
      </w:r>
      <w:r>
        <w:rPr>
          <w:spacing w:val="-2"/>
        </w:rPr>
        <w:t> </w:t>
      </w:r>
      <w:r>
        <w:rPr/>
        <w:t>disrupt</w:t>
      </w:r>
      <w:r>
        <w:rPr>
          <w:spacing w:val="-2"/>
        </w:rPr>
        <w:t> </w:t>
      </w:r>
      <w:r>
        <w:rPr/>
        <w:t>our</w:t>
      </w:r>
      <w:r>
        <w:rPr>
          <w:spacing w:val="-1"/>
        </w:rPr>
        <w:t> </w:t>
      </w:r>
      <w:r>
        <w:rPr>
          <w:spacing w:val="-2"/>
        </w:rPr>
        <w:t>business.</w:t>
      </w:r>
    </w:p>
    <w:p>
      <w:pPr>
        <w:pStyle w:val="BodyText"/>
        <w:spacing w:line="249" w:lineRule="auto" w:before="190"/>
        <w:ind w:left="210" w:right="247" w:firstLine="540"/>
        <w:jc w:val="both"/>
      </w:pPr>
      <w:r>
        <w:rPr/>
        <w:t>We</w:t>
      </w:r>
      <w:r>
        <w:rPr>
          <w:spacing w:val="-9"/>
        </w:rPr>
        <w:t> </w:t>
      </w:r>
      <w:r>
        <w:rPr/>
        <w:t>are</w:t>
      </w:r>
      <w:r>
        <w:rPr>
          <w:spacing w:val="-9"/>
        </w:rPr>
        <w:t> </w:t>
      </w:r>
      <w:r>
        <w:rPr/>
        <w:t>a</w:t>
      </w:r>
      <w:r>
        <w:rPr>
          <w:spacing w:val="-9"/>
        </w:rPr>
        <w:t> </w:t>
      </w:r>
      <w:r>
        <w:rPr/>
        <w:t>highly</w:t>
      </w:r>
      <w:r>
        <w:rPr>
          <w:spacing w:val="-9"/>
        </w:rPr>
        <w:t> </w:t>
      </w:r>
      <w:r>
        <w:rPr/>
        <w:t>automated</w:t>
      </w:r>
      <w:r>
        <w:rPr>
          <w:spacing w:val="-9"/>
        </w:rPr>
        <w:t> </w:t>
      </w:r>
      <w:r>
        <w:rPr/>
        <w:t>business</w:t>
      </w:r>
      <w:r>
        <w:rPr>
          <w:spacing w:val="-9"/>
        </w:rPr>
        <w:t> </w:t>
      </w:r>
      <w:r>
        <w:rPr/>
        <w:t>and</w:t>
      </w:r>
      <w:r>
        <w:rPr>
          <w:spacing w:val="-9"/>
        </w:rPr>
        <w:t> </w:t>
      </w:r>
      <w:r>
        <w:rPr/>
        <w:t>rely</w:t>
      </w:r>
      <w:r>
        <w:rPr>
          <w:spacing w:val="-9"/>
        </w:rPr>
        <w:t> </w:t>
      </w:r>
      <w:r>
        <w:rPr/>
        <w:t>on</w:t>
      </w:r>
      <w:r>
        <w:rPr>
          <w:spacing w:val="-9"/>
        </w:rPr>
        <w:t> </w:t>
      </w:r>
      <w:r>
        <w:rPr/>
        <w:t>our</w:t>
      </w:r>
      <w:r>
        <w:rPr>
          <w:spacing w:val="-9"/>
        </w:rPr>
        <w:t> </w:t>
      </w:r>
      <w:r>
        <w:rPr/>
        <w:t>network</w:t>
      </w:r>
      <w:r>
        <w:rPr>
          <w:spacing w:val="-9"/>
        </w:rPr>
        <w:t> </w:t>
      </w:r>
      <w:r>
        <w:rPr/>
        <w:t>infrastructure</w:t>
      </w:r>
      <w:r>
        <w:rPr>
          <w:spacing w:val="-9"/>
        </w:rPr>
        <w:t> </w:t>
      </w:r>
      <w:r>
        <w:rPr/>
        <w:t>and</w:t>
      </w:r>
      <w:r>
        <w:rPr>
          <w:spacing w:val="-9"/>
        </w:rPr>
        <w:t> </w:t>
      </w:r>
      <w:r>
        <w:rPr/>
        <w:t>enterprise</w:t>
      </w:r>
      <w:r>
        <w:rPr>
          <w:spacing w:val="-9"/>
        </w:rPr>
        <w:t> </w:t>
      </w:r>
      <w:r>
        <w:rPr/>
        <w:t>applications,</w:t>
      </w:r>
      <w:r>
        <w:rPr>
          <w:spacing w:val="-9"/>
        </w:rPr>
        <w:t> </w:t>
      </w:r>
      <w:r>
        <w:rPr/>
        <w:t>internal</w:t>
      </w:r>
      <w:r>
        <w:rPr>
          <w:spacing w:val="-9"/>
        </w:rPr>
        <w:t> </w:t>
      </w:r>
      <w:r>
        <w:rPr/>
        <w:t>technology systems and website for our development, marketing, operations, support, hosted services and sales activities. In addition, some </w:t>
      </w:r>
      <w:r>
        <w:rPr>
          <w:spacing w:val="-2"/>
        </w:rPr>
        <w:t>of</w:t>
      </w:r>
      <w:r>
        <w:rPr>
          <w:spacing w:val="-4"/>
        </w:rPr>
        <w:t> </w:t>
      </w:r>
      <w:r>
        <w:rPr>
          <w:spacing w:val="-2"/>
        </w:rPr>
        <w:t>our</w:t>
      </w:r>
      <w:r>
        <w:rPr>
          <w:spacing w:val="-4"/>
        </w:rPr>
        <w:t> </w:t>
      </w:r>
      <w:r>
        <w:rPr>
          <w:spacing w:val="-2"/>
        </w:rPr>
        <w:t>businesses</w:t>
      </w:r>
      <w:r>
        <w:rPr>
          <w:spacing w:val="-3"/>
        </w:rPr>
        <w:t> </w:t>
      </w:r>
      <w:r>
        <w:rPr>
          <w:spacing w:val="-2"/>
        </w:rPr>
        <w:t>rely</w:t>
      </w:r>
      <w:r>
        <w:rPr>
          <w:spacing w:val="-4"/>
        </w:rPr>
        <w:t> </w:t>
      </w:r>
      <w:r>
        <w:rPr>
          <w:spacing w:val="-2"/>
        </w:rPr>
        <w:t>on</w:t>
      </w:r>
      <w:r>
        <w:rPr>
          <w:spacing w:val="-4"/>
        </w:rPr>
        <w:t> </w:t>
      </w:r>
      <w:r>
        <w:rPr>
          <w:spacing w:val="-2"/>
        </w:rPr>
        <w:t>third-party</w:t>
      </w:r>
      <w:r>
        <w:rPr>
          <w:spacing w:val="-4"/>
        </w:rPr>
        <w:t> </w:t>
      </w:r>
      <w:r>
        <w:rPr>
          <w:spacing w:val="-2"/>
        </w:rPr>
        <w:t>hosted</w:t>
      </w:r>
      <w:r>
        <w:rPr>
          <w:spacing w:val="-4"/>
        </w:rPr>
        <w:t> </w:t>
      </w:r>
      <w:r>
        <w:rPr>
          <w:spacing w:val="-2"/>
        </w:rPr>
        <w:t>services,</w:t>
      </w:r>
      <w:r>
        <w:rPr>
          <w:spacing w:val="-4"/>
        </w:rPr>
        <w:t> </w:t>
      </w:r>
      <w:r>
        <w:rPr>
          <w:spacing w:val="-2"/>
        </w:rPr>
        <w:t>and</w:t>
      </w:r>
      <w:r>
        <w:rPr>
          <w:spacing w:val="-4"/>
        </w:rPr>
        <w:t> </w:t>
      </w:r>
      <w:r>
        <w:rPr>
          <w:spacing w:val="-2"/>
        </w:rPr>
        <w:t>we</w:t>
      </w:r>
      <w:r>
        <w:rPr>
          <w:spacing w:val="-4"/>
        </w:rPr>
        <w:t> </w:t>
      </w:r>
      <w:r>
        <w:rPr>
          <w:spacing w:val="-2"/>
        </w:rPr>
        <w:t>do</w:t>
      </w:r>
      <w:r>
        <w:rPr>
          <w:spacing w:val="-4"/>
        </w:rPr>
        <w:t> </w:t>
      </w:r>
      <w:r>
        <w:rPr>
          <w:spacing w:val="-2"/>
        </w:rPr>
        <w:t>not</w:t>
      </w:r>
      <w:r>
        <w:rPr>
          <w:spacing w:val="-4"/>
        </w:rPr>
        <w:t> </w:t>
      </w:r>
      <w:r>
        <w:rPr>
          <w:spacing w:val="-2"/>
        </w:rPr>
        <w:t>control</w:t>
      </w:r>
      <w:r>
        <w:rPr>
          <w:spacing w:val="-4"/>
        </w:rPr>
        <w:t> </w:t>
      </w:r>
      <w:r>
        <w:rPr>
          <w:spacing w:val="-2"/>
        </w:rPr>
        <w:t>the</w:t>
      </w:r>
      <w:r>
        <w:rPr>
          <w:spacing w:val="-4"/>
        </w:rPr>
        <w:t> </w:t>
      </w:r>
      <w:r>
        <w:rPr>
          <w:spacing w:val="-2"/>
        </w:rPr>
        <w:t>operation</w:t>
      </w:r>
      <w:r>
        <w:rPr>
          <w:spacing w:val="-4"/>
        </w:rPr>
        <w:t> </w:t>
      </w:r>
      <w:r>
        <w:rPr>
          <w:spacing w:val="-2"/>
        </w:rPr>
        <w:t>of</w:t>
      </w:r>
      <w:r>
        <w:rPr>
          <w:spacing w:val="-4"/>
        </w:rPr>
        <w:t> </w:t>
      </w:r>
      <w:r>
        <w:rPr>
          <w:spacing w:val="-2"/>
        </w:rPr>
        <w:t>third-party</w:t>
      </w:r>
      <w:r>
        <w:rPr>
          <w:spacing w:val="-4"/>
        </w:rPr>
        <w:t> </w:t>
      </w:r>
      <w:r>
        <w:rPr>
          <w:spacing w:val="-2"/>
        </w:rPr>
        <w:t>data</w:t>
      </w:r>
      <w:r>
        <w:rPr>
          <w:spacing w:val="-4"/>
        </w:rPr>
        <w:t> </w:t>
      </w:r>
      <w:r>
        <w:rPr>
          <w:spacing w:val="-2"/>
        </w:rPr>
        <w:t>center</w:t>
      </w:r>
      <w:r>
        <w:rPr>
          <w:spacing w:val="-4"/>
        </w:rPr>
        <w:t> </w:t>
      </w:r>
      <w:r>
        <w:rPr>
          <w:spacing w:val="-2"/>
        </w:rPr>
        <w:t>facilities</w:t>
      </w:r>
      <w:r>
        <w:rPr>
          <w:spacing w:val="-3"/>
        </w:rPr>
        <w:t> </w:t>
      </w:r>
      <w:r>
        <w:rPr>
          <w:spacing w:val="-2"/>
        </w:rPr>
        <w:t>serving </w:t>
      </w:r>
      <w:r>
        <w:rPr/>
        <w:t>our customers from around the world, which increases our vulnerability.</w:t>
      </w:r>
      <w:r>
        <w:rPr>
          <w:spacing w:val="-9"/>
        </w:rPr>
        <w:t> </w:t>
      </w:r>
      <w:r>
        <w:rPr/>
        <w:t>A</w:t>
      </w:r>
      <w:r>
        <w:rPr>
          <w:spacing w:val="-7"/>
        </w:rPr>
        <w:t> </w:t>
      </w:r>
      <w:r>
        <w:rPr/>
        <w:t>disruption, infiltration or failure of these systems or third-party hosted services in the event of a major earthquake, fire, flood, tsunami or other weather event, power loss, </w:t>
      </w:r>
      <w:r>
        <w:rPr>
          <w:spacing w:val="-2"/>
        </w:rPr>
        <w:t>telecommunications failure, software or hardware malfunctions, pandemics, cyber-attack, war, terrorist attack or other catastrophic </w:t>
      </w:r>
      <w:r>
        <w:rPr/>
        <w:t>event that our disaster recovery plans do not adequately address, could cause system interruptions, reputational harm, loss of intellectual</w:t>
      </w:r>
      <w:r>
        <w:rPr>
          <w:spacing w:val="-3"/>
        </w:rPr>
        <w:t> </w:t>
      </w:r>
      <w:r>
        <w:rPr/>
        <w:t>property,</w:t>
      </w:r>
      <w:r>
        <w:rPr>
          <w:spacing w:val="-3"/>
        </w:rPr>
        <w:t> </w:t>
      </w:r>
      <w:r>
        <w:rPr/>
        <w:t>delays</w:t>
      </w:r>
      <w:r>
        <w:rPr>
          <w:spacing w:val="-3"/>
        </w:rPr>
        <w:t> </w:t>
      </w:r>
      <w:r>
        <w:rPr/>
        <w:t>in</w:t>
      </w:r>
      <w:r>
        <w:rPr>
          <w:spacing w:val="-3"/>
        </w:rPr>
        <w:t> </w:t>
      </w:r>
      <w:r>
        <w:rPr/>
        <w:t>our</w:t>
      </w:r>
      <w:r>
        <w:rPr>
          <w:spacing w:val="-3"/>
        </w:rPr>
        <w:t> </w:t>
      </w:r>
      <w:r>
        <w:rPr/>
        <w:t>product</w:t>
      </w:r>
      <w:r>
        <w:rPr>
          <w:spacing w:val="-3"/>
        </w:rPr>
        <w:t> </w:t>
      </w:r>
      <w:r>
        <w:rPr/>
        <w:t>development,</w:t>
      </w:r>
      <w:r>
        <w:rPr>
          <w:spacing w:val="-3"/>
        </w:rPr>
        <w:t> </w:t>
      </w:r>
      <w:r>
        <w:rPr/>
        <w:t>lengthy</w:t>
      </w:r>
      <w:r>
        <w:rPr>
          <w:spacing w:val="-3"/>
        </w:rPr>
        <w:t> </w:t>
      </w:r>
      <w:r>
        <w:rPr/>
        <w:t>interruptions</w:t>
      </w:r>
      <w:r>
        <w:rPr>
          <w:spacing w:val="-3"/>
        </w:rPr>
        <w:t> </w:t>
      </w:r>
      <w:r>
        <w:rPr/>
        <w:t>in</w:t>
      </w:r>
      <w:r>
        <w:rPr>
          <w:spacing w:val="-3"/>
        </w:rPr>
        <w:t> </w:t>
      </w:r>
      <w:r>
        <w:rPr/>
        <w:t>our</w:t>
      </w:r>
      <w:r>
        <w:rPr>
          <w:spacing w:val="-3"/>
        </w:rPr>
        <w:t> </w:t>
      </w:r>
      <w:r>
        <w:rPr/>
        <w:t>services,</w:t>
      </w:r>
      <w:r>
        <w:rPr>
          <w:spacing w:val="-3"/>
        </w:rPr>
        <w:t> </w:t>
      </w:r>
      <w:r>
        <w:rPr/>
        <w:t>breaches</w:t>
      </w:r>
      <w:r>
        <w:rPr>
          <w:spacing w:val="-3"/>
        </w:rPr>
        <w:t> </w:t>
      </w:r>
      <w:r>
        <w:rPr/>
        <w:t>of</w:t>
      </w:r>
      <w:r>
        <w:rPr>
          <w:spacing w:val="-3"/>
        </w:rPr>
        <w:t> </w:t>
      </w:r>
      <w:r>
        <w:rPr/>
        <w:t>data</w:t>
      </w:r>
      <w:r>
        <w:rPr>
          <w:spacing w:val="-3"/>
        </w:rPr>
        <w:t> </w:t>
      </w:r>
      <w:r>
        <w:rPr/>
        <w:t>security</w:t>
      </w:r>
      <w:r>
        <w:rPr>
          <w:spacing w:val="-3"/>
        </w:rPr>
        <w:t> </w:t>
      </w:r>
      <w:r>
        <w:rPr/>
        <w:t>and</w:t>
      </w:r>
      <w:r>
        <w:rPr>
          <w:spacing w:val="-3"/>
        </w:rPr>
        <w:t> </w:t>
      </w:r>
      <w:r>
        <w:rPr/>
        <w:t>loss of critical data.</w:t>
      </w:r>
      <w:r>
        <w:rPr>
          <w:spacing w:val="-9"/>
        </w:rPr>
        <w:t> </w:t>
      </w:r>
      <w:r>
        <w:rPr/>
        <w:t>Any of these events could prevent us from fulfilling our customers’</w:t>
      </w:r>
      <w:r>
        <w:rPr>
          <w:spacing w:val="-12"/>
        </w:rPr>
        <w:t> </w:t>
      </w:r>
      <w:r>
        <w:rPr/>
        <w:t>orders or could negatively impact a country or region in which we sell our products, which could in turn decrease that country’s or region’s demand for our products. </w:t>
      </w:r>
      <w:r>
        <w:rPr/>
        <w:t>Our corporate headquarters, a significant portion of our research and development activities, certain of our data centers and certain other</w:t>
      </w:r>
      <w:r>
        <w:rPr>
          <w:spacing w:val="-13"/>
        </w:rPr>
        <w:t> </w:t>
      </w:r>
      <w:r>
        <w:rPr/>
        <w:t>critical</w:t>
      </w:r>
      <w:r>
        <w:rPr>
          <w:spacing w:val="-12"/>
        </w:rPr>
        <w:t> </w:t>
      </w:r>
      <w:r>
        <w:rPr/>
        <w:t>business</w:t>
      </w:r>
      <w:r>
        <w:rPr>
          <w:spacing w:val="-12"/>
        </w:rPr>
        <w:t> </w:t>
      </w:r>
      <w:r>
        <w:rPr/>
        <w:t>operations</w:t>
      </w:r>
      <w:r>
        <w:rPr>
          <w:spacing w:val="-10"/>
        </w:rPr>
        <w:t> </w:t>
      </w:r>
      <w:r>
        <w:rPr/>
        <w:t>are</w:t>
      </w:r>
      <w:r>
        <w:rPr>
          <w:spacing w:val="-11"/>
        </w:rPr>
        <w:t> </w:t>
      </w:r>
      <w:r>
        <w:rPr/>
        <w:t>located</w:t>
      </w:r>
      <w:r>
        <w:rPr>
          <w:spacing w:val="-10"/>
        </w:rPr>
        <w:t> </w:t>
      </w:r>
      <w:r>
        <w:rPr/>
        <w:t>in</w:t>
      </w:r>
      <w:r>
        <w:rPr>
          <w:spacing w:val="-10"/>
        </w:rPr>
        <w:t> </w:t>
      </w:r>
      <w:r>
        <w:rPr/>
        <w:t>the</w:t>
      </w:r>
      <w:r>
        <w:rPr>
          <w:spacing w:val="-10"/>
        </w:rPr>
        <w:t> </w:t>
      </w:r>
      <w:r>
        <w:rPr/>
        <w:t>San</w:t>
      </w:r>
      <w:r>
        <w:rPr>
          <w:spacing w:val="-10"/>
        </w:rPr>
        <w:t> </w:t>
      </w:r>
      <w:r>
        <w:rPr/>
        <w:t>Francisco</w:t>
      </w:r>
      <w:r>
        <w:rPr>
          <w:spacing w:val="-11"/>
        </w:rPr>
        <w:t> </w:t>
      </w:r>
      <w:r>
        <w:rPr/>
        <w:t>Bay</w:t>
      </w:r>
      <w:r>
        <w:rPr>
          <w:spacing w:val="-13"/>
        </w:rPr>
        <w:t> </w:t>
      </w:r>
      <w:r>
        <w:rPr/>
        <w:t>Area,</w:t>
      </w:r>
      <w:r>
        <w:rPr>
          <w:spacing w:val="-10"/>
        </w:rPr>
        <w:t> </w:t>
      </w:r>
      <w:r>
        <w:rPr/>
        <w:t>and</w:t>
      </w:r>
      <w:r>
        <w:rPr>
          <w:spacing w:val="-10"/>
        </w:rPr>
        <w:t> </w:t>
      </w:r>
      <w:r>
        <w:rPr/>
        <w:t>additional</w:t>
      </w:r>
      <w:r>
        <w:rPr>
          <w:spacing w:val="-11"/>
        </w:rPr>
        <w:t> </w:t>
      </w:r>
      <w:r>
        <w:rPr/>
        <w:t>facilities</w:t>
      </w:r>
      <w:r>
        <w:rPr>
          <w:spacing w:val="-10"/>
        </w:rPr>
        <w:t> </w:t>
      </w:r>
      <w:r>
        <w:rPr/>
        <w:t>where</w:t>
      </w:r>
      <w:r>
        <w:rPr>
          <w:spacing w:val="-11"/>
        </w:rPr>
        <w:t> </w:t>
      </w:r>
      <w:r>
        <w:rPr/>
        <w:t>we</w:t>
      </w:r>
      <w:r>
        <w:rPr>
          <w:spacing w:val="-11"/>
        </w:rPr>
        <w:t> </w:t>
      </w:r>
      <w:r>
        <w:rPr/>
        <w:t>conduct</w:t>
      </w:r>
      <w:r>
        <w:rPr>
          <w:spacing w:val="-11"/>
        </w:rPr>
        <w:t> </w:t>
      </w:r>
      <w:r>
        <w:rPr/>
        <w:t>significant </w:t>
      </w:r>
      <w:r>
        <w:rPr>
          <w:spacing w:val="-2"/>
        </w:rPr>
        <w:t>operations</w:t>
      </w:r>
      <w:r>
        <w:rPr>
          <w:spacing w:val="-11"/>
        </w:rPr>
        <w:t> </w:t>
      </w:r>
      <w:r>
        <w:rPr>
          <w:spacing w:val="-2"/>
        </w:rPr>
        <w:t>are</w:t>
      </w:r>
      <w:r>
        <w:rPr>
          <w:spacing w:val="-10"/>
        </w:rPr>
        <w:t> </w:t>
      </w:r>
      <w:r>
        <w:rPr>
          <w:spacing w:val="-2"/>
        </w:rPr>
        <w:t>located</w:t>
      </w:r>
      <w:r>
        <w:rPr>
          <w:spacing w:val="-11"/>
        </w:rPr>
        <w:t> </w:t>
      </w:r>
      <w:r>
        <w:rPr>
          <w:spacing w:val="-2"/>
        </w:rPr>
        <w:t>in</w:t>
      </w:r>
      <w:r>
        <w:rPr>
          <w:spacing w:val="-6"/>
        </w:rPr>
        <w:t> </w:t>
      </w:r>
      <w:r>
        <w:rPr>
          <w:spacing w:val="-2"/>
        </w:rPr>
        <w:t>the</w:t>
      </w:r>
      <w:r>
        <w:rPr>
          <w:spacing w:val="-5"/>
        </w:rPr>
        <w:t> </w:t>
      </w:r>
      <w:r>
        <w:rPr>
          <w:spacing w:val="-2"/>
        </w:rPr>
        <w:t>Salt</w:t>
      </w:r>
      <w:r>
        <w:rPr>
          <w:spacing w:val="-6"/>
        </w:rPr>
        <w:t> </w:t>
      </w:r>
      <w:r>
        <w:rPr>
          <w:spacing w:val="-2"/>
        </w:rPr>
        <w:t>Lake</w:t>
      </w:r>
      <w:r>
        <w:rPr>
          <w:spacing w:val="-8"/>
        </w:rPr>
        <w:t> </w:t>
      </w:r>
      <w:r>
        <w:rPr>
          <w:spacing w:val="-2"/>
        </w:rPr>
        <w:t>Valley</w:t>
      </w:r>
      <w:r>
        <w:rPr>
          <w:spacing w:val="-11"/>
        </w:rPr>
        <w:t> </w:t>
      </w:r>
      <w:r>
        <w:rPr>
          <w:spacing w:val="-2"/>
        </w:rPr>
        <w:t>Area,</w:t>
      </w:r>
      <w:r>
        <w:rPr>
          <w:spacing w:val="-5"/>
        </w:rPr>
        <w:t> </w:t>
      </w:r>
      <w:r>
        <w:rPr>
          <w:spacing w:val="-2"/>
        </w:rPr>
        <w:t>both</w:t>
      </w:r>
      <w:r>
        <w:rPr>
          <w:spacing w:val="-5"/>
        </w:rPr>
        <w:t> </w:t>
      </w:r>
      <w:r>
        <w:rPr>
          <w:spacing w:val="-2"/>
        </w:rPr>
        <w:t>of</w:t>
      </w:r>
      <w:r>
        <w:rPr>
          <w:spacing w:val="-6"/>
        </w:rPr>
        <w:t> </w:t>
      </w:r>
      <w:r>
        <w:rPr>
          <w:spacing w:val="-2"/>
        </w:rPr>
        <w:t>which</w:t>
      </w:r>
      <w:r>
        <w:rPr>
          <w:spacing w:val="-5"/>
        </w:rPr>
        <w:t> </w:t>
      </w:r>
      <w:r>
        <w:rPr>
          <w:spacing w:val="-2"/>
        </w:rPr>
        <w:t>are</w:t>
      </w:r>
      <w:r>
        <w:rPr>
          <w:spacing w:val="-6"/>
        </w:rPr>
        <w:t> </w:t>
      </w:r>
      <w:r>
        <w:rPr>
          <w:spacing w:val="-2"/>
        </w:rPr>
        <w:t>near</w:t>
      </w:r>
      <w:r>
        <w:rPr>
          <w:spacing w:val="-5"/>
        </w:rPr>
        <w:t> </w:t>
      </w:r>
      <w:r>
        <w:rPr>
          <w:spacing w:val="-2"/>
        </w:rPr>
        <w:t>major</w:t>
      </w:r>
      <w:r>
        <w:rPr>
          <w:spacing w:val="-6"/>
        </w:rPr>
        <w:t> </w:t>
      </w:r>
      <w:r>
        <w:rPr>
          <w:spacing w:val="-2"/>
        </w:rPr>
        <w:t>earthquake</w:t>
      </w:r>
      <w:r>
        <w:rPr>
          <w:spacing w:val="-5"/>
        </w:rPr>
        <w:t> </w:t>
      </w:r>
      <w:r>
        <w:rPr>
          <w:spacing w:val="-2"/>
        </w:rPr>
        <w:t>faults.</w:t>
      </w:r>
      <w:r>
        <w:rPr>
          <w:spacing w:val="-11"/>
        </w:rPr>
        <w:t> </w:t>
      </w:r>
      <w:r>
        <w:rPr>
          <w:spacing w:val="-2"/>
        </w:rPr>
        <w:t>A</w:t>
      </w:r>
      <w:r>
        <w:rPr>
          <w:spacing w:val="-10"/>
        </w:rPr>
        <w:t> </w:t>
      </w:r>
      <w:r>
        <w:rPr>
          <w:spacing w:val="-2"/>
        </w:rPr>
        <w:t>catastrophic</w:t>
      </w:r>
      <w:r>
        <w:rPr>
          <w:spacing w:val="-6"/>
        </w:rPr>
        <w:t> </w:t>
      </w:r>
      <w:r>
        <w:rPr>
          <w:spacing w:val="-2"/>
        </w:rPr>
        <w:t>event</w:t>
      </w:r>
      <w:r>
        <w:rPr>
          <w:spacing w:val="-5"/>
        </w:rPr>
        <w:t> </w:t>
      </w:r>
      <w:r>
        <w:rPr>
          <w:spacing w:val="-2"/>
        </w:rPr>
        <w:t>that</w:t>
      </w:r>
      <w:r>
        <w:rPr>
          <w:spacing w:val="-6"/>
        </w:rPr>
        <w:t> </w:t>
      </w:r>
      <w:r>
        <w:rPr>
          <w:spacing w:val="-2"/>
        </w:rPr>
        <w:t>results </w:t>
      </w:r>
      <w:r>
        <w:rPr/>
        <w:t>in</w:t>
      </w:r>
      <w:r>
        <w:rPr>
          <w:spacing w:val="-13"/>
        </w:rPr>
        <w:t> </w:t>
      </w:r>
      <w:r>
        <w:rPr/>
        <w:t>the</w:t>
      </w:r>
      <w:r>
        <w:rPr>
          <w:spacing w:val="-12"/>
        </w:rPr>
        <w:t> </w:t>
      </w:r>
      <w:r>
        <w:rPr/>
        <w:t>destruction</w:t>
      </w:r>
      <w:r>
        <w:rPr>
          <w:spacing w:val="-13"/>
        </w:rPr>
        <w:t> </w:t>
      </w:r>
      <w:r>
        <w:rPr/>
        <w:t>or</w:t>
      </w:r>
      <w:r>
        <w:rPr>
          <w:spacing w:val="-12"/>
        </w:rPr>
        <w:t> </w:t>
      </w:r>
      <w:r>
        <w:rPr/>
        <w:t>disruption</w:t>
      </w:r>
      <w:r>
        <w:rPr>
          <w:spacing w:val="-13"/>
        </w:rPr>
        <w:t> </w:t>
      </w:r>
      <w:r>
        <w:rPr/>
        <w:t>of</w:t>
      </w:r>
      <w:r>
        <w:rPr>
          <w:spacing w:val="-12"/>
        </w:rPr>
        <w:t> </w:t>
      </w:r>
      <w:r>
        <w:rPr/>
        <w:t>any</w:t>
      </w:r>
      <w:r>
        <w:rPr>
          <w:spacing w:val="-13"/>
        </w:rPr>
        <w:t> </w:t>
      </w:r>
      <w:r>
        <w:rPr/>
        <w:t>of</w:t>
      </w:r>
      <w:r>
        <w:rPr>
          <w:spacing w:val="-12"/>
        </w:rPr>
        <w:t> </w:t>
      </w:r>
      <w:r>
        <w:rPr/>
        <w:t>our</w:t>
      </w:r>
      <w:r>
        <w:rPr>
          <w:spacing w:val="-13"/>
        </w:rPr>
        <w:t> </w:t>
      </w:r>
      <w:r>
        <w:rPr/>
        <w:t>data</w:t>
      </w:r>
      <w:r>
        <w:rPr>
          <w:spacing w:val="-12"/>
        </w:rPr>
        <w:t> </w:t>
      </w:r>
      <w:r>
        <w:rPr/>
        <w:t>centers</w:t>
      </w:r>
      <w:r>
        <w:rPr>
          <w:spacing w:val="-13"/>
        </w:rPr>
        <w:t> </w:t>
      </w:r>
      <w:r>
        <w:rPr/>
        <w:t>or</w:t>
      </w:r>
      <w:r>
        <w:rPr>
          <w:spacing w:val="-12"/>
        </w:rPr>
        <w:t> </w:t>
      </w:r>
      <w:r>
        <w:rPr/>
        <w:t>our</w:t>
      </w:r>
      <w:r>
        <w:rPr>
          <w:spacing w:val="-13"/>
        </w:rPr>
        <w:t> </w:t>
      </w:r>
      <w:r>
        <w:rPr/>
        <w:t>critical</w:t>
      </w:r>
      <w:r>
        <w:rPr>
          <w:spacing w:val="-12"/>
        </w:rPr>
        <w:t> </w:t>
      </w:r>
      <w:r>
        <w:rPr/>
        <w:t>business</w:t>
      </w:r>
      <w:r>
        <w:rPr>
          <w:spacing w:val="-12"/>
        </w:rPr>
        <w:t> </w:t>
      </w:r>
      <w:r>
        <w:rPr/>
        <w:t>or</w:t>
      </w:r>
      <w:r>
        <w:rPr>
          <w:spacing w:val="-12"/>
        </w:rPr>
        <w:t> </w:t>
      </w:r>
      <w:r>
        <w:rPr/>
        <w:t>information</w:t>
      </w:r>
      <w:r>
        <w:rPr>
          <w:spacing w:val="-13"/>
        </w:rPr>
        <w:t> </w:t>
      </w:r>
      <w:r>
        <w:rPr/>
        <w:t>technology</w:t>
      </w:r>
      <w:r>
        <w:rPr>
          <w:spacing w:val="-12"/>
        </w:rPr>
        <w:t> </w:t>
      </w:r>
      <w:r>
        <w:rPr/>
        <w:t>systems</w:t>
      </w:r>
      <w:r>
        <w:rPr>
          <w:spacing w:val="-12"/>
        </w:rPr>
        <w:t> </w:t>
      </w:r>
      <w:r>
        <w:rPr/>
        <w:t>could</w:t>
      </w:r>
      <w:r>
        <w:rPr>
          <w:spacing w:val="-12"/>
        </w:rPr>
        <w:t> </w:t>
      </w:r>
      <w:r>
        <w:rPr/>
        <w:t>severely affect</w:t>
      </w:r>
      <w:r>
        <w:rPr>
          <w:spacing w:val="-3"/>
        </w:rPr>
        <w:t> </w:t>
      </w:r>
      <w:r>
        <w:rPr/>
        <w:t>our</w:t>
      </w:r>
      <w:r>
        <w:rPr>
          <w:spacing w:val="-2"/>
        </w:rPr>
        <w:t> </w:t>
      </w:r>
      <w:r>
        <w:rPr/>
        <w:t>ability</w:t>
      </w:r>
      <w:r>
        <w:rPr>
          <w:spacing w:val="-2"/>
        </w:rPr>
        <w:t> </w:t>
      </w:r>
      <w:r>
        <w:rPr/>
        <w:t>to</w:t>
      </w:r>
      <w:r>
        <w:rPr>
          <w:spacing w:val="-3"/>
        </w:rPr>
        <w:t> </w:t>
      </w:r>
      <w:r>
        <w:rPr/>
        <w:t>conduct</w:t>
      </w:r>
      <w:r>
        <w:rPr>
          <w:spacing w:val="-3"/>
        </w:rPr>
        <w:t> </w:t>
      </w:r>
      <w:r>
        <w:rPr/>
        <w:t>normal</w:t>
      </w:r>
      <w:r>
        <w:rPr>
          <w:spacing w:val="-3"/>
        </w:rPr>
        <w:t> </w:t>
      </w:r>
      <w:r>
        <w:rPr/>
        <w:t>business</w:t>
      </w:r>
      <w:r>
        <w:rPr>
          <w:spacing w:val="-2"/>
        </w:rPr>
        <w:t> </w:t>
      </w:r>
      <w:r>
        <w:rPr/>
        <w:t>operations</w:t>
      </w:r>
      <w:r>
        <w:rPr>
          <w:spacing w:val="-2"/>
        </w:rPr>
        <w:t> </w:t>
      </w:r>
      <w:r>
        <w:rPr/>
        <w:t>and,</w:t>
      </w:r>
      <w:r>
        <w:rPr>
          <w:spacing w:val="-2"/>
        </w:rPr>
        <w:t> </w:t>
      </w:r>
      <w:r>
        <w:rPr/>
        <w:t>as</w:t>
      </w:r>
      <w:r>
        <w:rPr>
          <w:spacing w:val="-2"/>
        </w:rPr>
        <w:t> </w:t>
      </w:r>
      <w:r>
        <w:rPr/>
        <w:t>a</w:t>
      </w:r>
      <w:r>
        <w:rPr>
          <w:spacing w:val="-2"/>
        </w:rPr>
        <w:t> </w:t>
      </w:r>
      <w:r>
        <w:rPr/>
        <w:t>result,</w:t>
      </w:r>
      <w:r>
        <w:rPr>
          <w:spacing w:val="-3"/>
        </w:rPr>
        <w:t> </w:t>
      </w:r>
      <w:r>
        <w:rPr/>
        <w:t>our</w:t>
      </w:r>
      <w:r>
        <w:rPr>
          <w:spacing w:val="-2"/>
        </w:rPr>
        <w:t> </w:t>
      </w:r>
      <w:r>
        <w:rPr/>
        <w:t>future</w:t>
      </w:r>
      <w:r>
        <w:rPr>
          <w:spacing w:val="-3"/>
        </w:rPr>
        <w:t> </w:t>
      </w:r>
      <w:r>
        <w:rPr/>
        <w:t>operating</w:t>
      </w:r>
      <w:r>
        <w:rPr>
          <w:spacing w:val="-2"/>
        </w:rPr>
        <w:t> </w:t>
      </w:r>
      <w:r>
        <w:rPr/>
        <w:t>results</w:t>
      </w:r>
      <w:r>
        <w:rPr>
          <w:spacing w:val="-2"/>
        </w:rPr>
        <w:t> </w:t>
      </w:r>
      <w:r>
        <w:rPr/>
        <w:t>could</w:t>
      </w:r>
      <w:r>
        <w:rPr>
          <w:spacing w:val="-2"/>
        </w:rPr>
        <w:t> </w:t>
      </w:r>
      <w:r>
        <w:rPr/>
        <w:t>be</w:t>
      </w:r>
      <w:r>
        <w:rPr>
          <w:spacing w:val="-2"/>
        </w:rPr>
        <w:t> </w:t>
      </w:r>
      <w:r>
        <w:rPr/>
        <w:t>adversely</w:t>
      </w:r>
      <w:r>
        <w:rPr>
          <w:spacing w:val="-3"/>
        </w:rPr>
        <w:t> </w:t>
      </w:r>
      <w:r>
        <w:rPr/>
        <w:t>affected.</w:t>
      </w:r>
    </w:p>
    <w:p>
      <w:pPr>
        <w:pStyle w:val="Heading3"/>
        <w:spacing w:before="192"/>
      </w:pPr>
      <w:r>
        <w:rPr/>
        <w:t>Climate</w:t>
      </w:r>
      <w:r>
        <w:rPr>
          <w:spacing w:val="-2"/>
        </w:rPr>
        <w:t> </w:t>
      </w:r>
      <w:r>
        <w:rPr/>
        <w:t>change</w:t>
      </w:r>
      <w:r>
        <w:rPr>
          <w:spacing w:val="-1"/>
        </w:rPr>
        <w:t> </w:t>
      </w:r>
      <w:r>
        <w:rPr/>
        <w:t>may have</w:t>
      </w:r>
      <w:r>
        <w:rPr>
          <w:spacing w:val="-2"/>
        </w:rPr>
        <w:t> </w:t>
      </w:r>
      <w:r>
        <w:rPr/>
        <w:t>a long-term</w:t>
      </w:r>
      <w:r>
        <w:rPr>
          <w:spacing w:val="-1"/>
        </w:rPr>
        <w:t> </w:t>
      </w:r>
      <w:r>
        <w:rPr/>
        <w:t>impact</w:t>
      </w:r>
      <w:r>
        <w:rPr>
          <w:spacing w:val="-2"/>
        </w:rPr>
        <w:t> </w:t>
      </w:r>
      <w:r>
        <w:rPr/>
        <w:t>on our </w:t>
      </w:r>
      <w:r>
        <w:rPr>
          <w:spacing w:val="-2"/>
        </w:rPr>
        <w:t>business.</w:t>
      </w:r>
    </w:p>
    <w:p>
      <w:pPr>
        <w:pStyle w:val="BodyText"/>
        <w:spacing w:line="249" w:lineRule="auto" w:before="190"/>
        <w:ind w:left="210" w:right="247" w:firstLine="720"/>
        <w:jc w:val="both"/>
      </w:pPr>
      <w:r>
        <w:rPr>
          <w:spacing w:val="-2"/>
        </w:rPr>
        <w:t>While</w:t>
      </w:r>
      <w:r>
        <w:rPr>
          <w:spacing w:val="-9"/>
        </w:rPr>
        <w:t> </w:t>
      </w:r>
      <w:r>
        <w:rPr>
          <w:spacing w:val="-2"/>
        </w:rPr>
        <w:t>we</w:t>
      </w:r>
      <w:r>
        <w:rPr>
          <w:spacing w:val="-9"/>
        </w:rPr>
        <w:t> </w:t>
      </w:r>
      <w:r>
        <w:rPr>
          <w:spacing w:val="-2"/>
        </w:rPr>
        <w:t>seek</w:t>
      </w:r>
      <w:r>
        <w:rPr>
          <w:spacing w:val="-9"/>
        </w:rPr>
        <w:t> </w:t>
      </w:r>
      <w:r>
        <w:rPr>
          <w:spacing w:val="-2"/>
        </w:rPr>
        <w:t>to</w:t>
      </w:r>
      <w:r>
        <w:rPr>
          <w:spacing w:val="-9"/>
        </w:rPr>
        <w:t> </w:t>
      </w:r>
      <w:r>
        <w:rPr>
          <w:spacing w:val="-2"/>
        </w:rPr>
        <w:t>partner</w:t>
      </w:r>
      <w:r>
        <w:rPr>
          <w:spacing w:val="-9"/>
        </w:rPr>
        <w:t> </w:t>
      </w:r>
      <w:r>
        <w:rPr>
          <w:spacing w:val="-2"/>
        </w:rPr>
        <w:t>with</w:t>
      </w:r>
      <w:r>
        <w:rPr>
          <w:spacing w:val="-9"/>
        </w:rPr>
        <w:t> </w:t>
      </w:r>
      <w:r>
        <w:rPr>
          <w:spacing w:val="-2"/>
        </w:rPr>
        <w:t>organizations</w:t>
      </w:r>
      <w:r>
        <w:rPr>
          <w:spacing w:val="-7"/>
        </w:rPr>
        <w:t> </w:t>
      </w:r>
      <w:r>
        <w:rPr>
          <w:spacing w:val="-2"/>
        </w:rPr>
        <w:t>that</w:t>
      </w:r>
      <w:r>
        <w:rPr>
          <w:spacing w:val="-9"/>
        </w:rPr>
        <w:t> </w:t>
      </w:r>
      <w:r>
        <w:rPr>
          <w:spacing w:val="-2"/>
        </w:rPr>
        <w:t>mitigate</w:t>
      </w:r>
      <w:r>
        <w:rPr>
          <w:spacing w:val="-9"/>
        </w:rPr>
        <w:t> </w:t>
      </w:r>
      <w:r>
        <w:rPr>
          <w:spacing w:val="-2"/>
        </w:rPr>
        <w:t>their</w:t>
      </w:r>
      <w:r>
        <w:rPr>
          <w:spacing w:val="-9"/>
        </w:rPr>
        <w:t> </w:t>
      </w:r>
      <w:r>
        <w:rPr>
          <w:spacing w:val="-2"/>
        </w:rPr>
        <w:t>business</w:t>
      </w:r>
      <w:r>
        <w:rPr>
          <w:spacing w:val="-7"/>
        </w:rPr>
        <w:t> </w:t>
      </w:r>
      <w:r>
        <w:rPr>
          <w:spacing w:val="-2"/>
        </w:rPr>
        <w:t>risks</w:t>
      </w:r>
      <w:r>
        <w:rPr>
          <w:spacing w:val="-9"/>
        </w:rPr>
        <w:t> </w:t>
      </w:r>
      <w:r>
        <w:rPr>
          <w:spacing w:val="-2"/>
        </w:rPr>
        <w:t>associated</w:t>
      </w:r>
      <w:r>
        <w:rPr>
          <w:spacing w:val="-9"/>
        </w:rPr>
        <w:t> </w:t>
      </w:r>
      <w:r>
        <w:rPr>
          <w:spacing w:val="-2"/>
        </w:rPr>
        <w:t>with</w:t>
      </w:r>
      <w:r>
        <w:rPr>
          <w:spacing w:val="-7"/>
        </w:rPr>
        <w:t> </w:t>
      </w:r>
      <w:r>
        <w:rPr>
          <w:spacing w:val="-2"/>
        </w:rPr>
        <w:t>climate</w:t>
      </w:r>
      <w:r>
        <w:rPr>
          <w:spacing w:val="-9"/>
        </w:rPr>
        <w:t> </w:t>
      </w:r>
      <w:r>
        <w:rPr>
          <w:spacing w:val="-2"/>
        </w:rPr>
        <w:t>change,</w:t>
      </w:r>
      <w:r>
        <w:rPr>
          <w:spacing w:val="-9"/>
        </w:rPr>
        <w:t> </w:t>
      </w:r>
      <w:r>
        <w:rPr>
          <w:spacing w:val="-2"/>
        </w:rPr>
        <w:t>we</w:t>
      </w:r>
      <w:r>
        <w:rPr>
          <w:spacing w:val="-9"/>
        </w:rPr>
        <w:t> </w:t>
      </w:r>
      <w:r>
        <w:rPr>
          <w:spacing w:val="-2"/>
        </w:rPr>
        <w:t>recognize </w:t>
      </w:r>
      <w:r>
        <w:rPr/>
        <w:t>that</w:t>
      </w:r>
      <w:r>
        <w:rPr>
          <w:spacing w:val="-6"/>
        </w:rPr>
        <w:t> </w:t>
      </w:r>
      <w:r>
        <w:rPr/>
        <w:t>there</w:t>
      </w:r>
      <w:r>
        <w:rPr>
          <w:spacing w:val="-6"/>
        </w:rPr>
        <w:t> </w:t>
      </w:r>
      <w:r>
        <w:rPr/>
        <w:t>are</w:t>
      </w:r>
      <w:r>
        <w:rPr>
          <w:spacing w:val="-6"/>
        </w:rPr>
        <w:t> </w:t>
      </w:r>
      <w:r>
        <w:rPr/>
        <w:t>inherent</w:t>
      </w:r>
      <w:r>
        <w:rPr>
          <w:spacing w:val="-6"/>
        </w:rPr>
        <w:t> </w:t>
      </w:r>
      <w:r>
        <w:rPr/>
        <w:t>risks</w:t>
      </w:r>
      <w:r>
        <w:rPr>
          <w:spacing w:val="-6"/>
        </w:rPr>
        <w:t> </w:t>
      </w:r>
      <w:r>
        <w:rPr/>
        <w:t>wherever</w:t>
      </w:r>
      <w:r>
        <w:rPr>
          <w:spacing w:val="-6"/>
        </w:rPr>
        <w:t> </w:t>
      </w:r>
      <w:r>
        <w:rPr/>
        <w:t>business</w:t>
      </w:r>
      <w:r>
        <w:rPr>
          <w:spacing w:val="-6"/>
        </w:rPr>
        <w:t> </w:t>
      </w:r>
      <w:r>
        <w:rPr/>
        <w:t>is</w:t>
      </w:r>
      <w:r>
        <w:rPr>
          <w:spacing w:val="-6"/>
        </w:rPr>
        <w:t> </w:t>
      </w:r>
      <w:r>
        <w:rPr/>
        <w:t>conducted.</w:t>
      </w:r>
      <w:r>
        <w:rPr>
          <w:spacing w:val="29"/>
        </w:rPr>
        <w:t> </w:t>
      </w:r>
      <w:r>
        <w:rPr/>
        <w:t>Access</w:t>
      </w:r>
      <w:r>
        <w:rPr>
          <w:spacing w:val="-6"/>
        </w:rPr>
        <w:t> </w:t>
      </w:r>
      <w:r>
        <w:rPr/>
        <w:t>to</w:t>
      </w:r>
      <w:r>
        <w:rPr>
          <w:spacing w:val="-6"/>
        </w:rPr>
        <w:t> </w:t>
      </w:r>
      <w:r>
        <w:rPr/>
        <w:t>clean</w:t>
      </w:r>
      <w:r>
        <w:rPr>
          <w:spacing w:val="-6"/>
        </w:rPr>
        <w:t> </w:t>
      </w:r>
      <w:r>
        <w:rPr/>
        <w:t>water</w:t>
      </w:r>
      <w:r>
        <w:rPr>
          <w:spacing w:val="-6"/>
        </w:rPr>
        <w:t> </w:t>
      </w:r>
      <w:r>
        <w:rPr/>
        <w:t>and</w:t>
      </w:r>
      <w:r>
        <w:rPr>
          <w:spacing w:val="-6"/>
        </w:rPr>
        <w:t> </w:t>
      </w:r>
      <w:r>
        <w:rPr/>
        <w:t>reliable</w:t>
      </w:r>
      <w:r>
        <w:rPr>
          <w:spacing w:val="-6"/>
        </w:rPr>
        <w:t> </w:t>
      </w:r>
      <w:r>
        <w:rPr/>
        <w:t>energy</w:t>
      </w:r>
      <w:r>
        <w:rPr>
          <w:spacing w:val="-6"/>
        </w:rPr>
        <w:t> </w:t>
      </w:r>
      <w:r>
        <w:rPr/>
        <w:t>in</w:t>
      </w:r>
      <w:r>
        <w:rPr>
          <w:spacing w:val="-6"/>
        </w:rPr>
        <w:t> </w:t>
      </w:r>
      <w:r>
        <w:rPr/>
        <w:t>the</w:t>
      </w:r>
      <w:r>
        <w:rPr>
          <w:spacing w:val="-6"/>
        </w:rPr>
        <w:t> </w:t>
      </w:r>
      <w:r>
        <w:rPr/>
        <w:t>communities</w:t>
      </w:r>
      <w:r>
        <w:rPr>
          <w:spacing w:val="-6"/>
        </w:rPr>
        <w:t> </w:t>
      </w:r>
      <w:r>
        <w:rPr/>
        <w:t>where we conduct our business, whether for our offices or for our vendors, is a priority.</w:t>
      </w:r>
      <w:r>
        <w:rPr>
          <w:spacing w:val="40"/>
        </w:rPr>
        <w:t> </w:t>
      </w:r>
      <w:r>
        <w:rPr/>
        <w:t>Our major sites in California, Utah and India are</w:t>
      </w:r>
      <w:r>
        <w:rPr>
          <w:spacing w:val="-6"/>
        </w:rPr>
        <w:t> </w:t>
      </w:r>
      <w:r>
        <w:rPr/>
        <w:t>vulnerable</w:t>
      </w:r>
      <w:r>
        <w:rPr>
          <w:spacing w:val="-7"/>
        </w:rPr>
        <w:t> </w:t>
      </w:r>
      <w:r>
        <w:rPr/>
        <w:t>to</w:t>
      </w:r>
      <w:r>
        <w:rPr>
          <w:spacing w:val="-6"/>
        </w:rPr>
        <w:t> </w:t>
      </w:r>
      <w:r>
        <w:rPr/>
        <w:t>prolonged</w:t>
      </w:r>
      <w:r>
        <w:rPr>
          <w:spacing w:val="-6"/>
        </w:rPr>
        <w:t> </w:t>
      </w:r>
      <w:r>
        <w:rPr/>
        <w:t>droughts</w:t>
      </w:r>
      <w:r>
        <w:rPr>
          <w:spacing w:val="-6"/>
        </w:rPr>
        <w:t> </w:t>
      </w:r>
      <w:r>
        <w:rPr/>
        <w:t>due</w:t>
      </w:r>
      <w:r>
        <w:rPr>
          <w:spacing w:val="-7"/>
        </w:rPr>
        <w:t> </w:t>
      </w:r>
      <w:r>
        <w:rPr/>
        <w:t>to</w:t>
      </w:r>
      <w:r>
        <w:rPr>
          <w:spacing w:val="-6"/>
        </w:rPr>
        <w:t> </w:t>
      </w:r>
      <w:r>
        <w:rPr/>
        <w:t>climate</w:t>
      </w:r>
      <w:r>
        <w:rPr>
          <w:spacing w:val="-6"/>
        </w:rPr>
        <w:t> </w:t>
      </w:r>
      <w:r>
        <w:rPr/>
        <w:t>change.</w:t>
      </w:r>
      <w:r>
        <w:rPr>
          <w:spacing w:val="-6"/>
        </w:rPr>
        <w:t> </w:t>
      </w:r>
      <w:r>
        <w:rPr/>
        <w:t>In</w:t>
      </w:r>
      <w:r>
        <w:rPr>
          <w:spacing w:val="-6"/>
        </w:rPr>
        <w:t> </w:t>
      </w:r>
      <w:r>
        <w:rPr/>
        <w:t>the</w:t>
      </w:r>
      <w:r>
        <w:rPr>
          <w:spacing w:val="-6"/>
        </w:rPr>
        <w:t> </w:t>
      </w:r>
      <w:r>
        <w:rPr/>
        <w:t>event</w:t>
      </w:r>
      <w:r>
        <w:rPr>
          <w:spacing w:val="-7"/>
        </w:rPr>
        <w:t> </w:t>
      </w:r>
      <w:r>
        <w:rPr/>
        <w:t>of</w:t>
      </w:r>
      <w:r>
        <w:rPr>
          <w:spacing w:val="-6"/>
        </w:rPr>
        <w:t> </w:t>
      </w:r>
      <w:r>
        <w:rPr/>
        <w:t>a</w:t>
      </w:r>
      <w:r>
        <w:rPr>
          <w:spacing w:val="-6"/>
        </w:rPr>
        <w:t> </w:t>
      </w:r>
      <w:r>
        <w:rPr/>
        <w:t>natural</w:t>
      </w:r>
      <w:r>
        <w:rPr>
          <w:spacing w:val="-7"/>
        </w:rPr>
        <w:t> </w:t>
      </w:r>
      <w:r>
        <w:rPr/>
        <w:t>disaster</w:t>
      </w:r>
      <w:r>
        <w:rPr>
          <w:spacing w:val="-6"/>
        </w:rPr>
        <w:t> </w:t>
      </w:r>
      <w:r>
        <w:rPr/>
        <w:t>that</w:t>
      </w:r>
      <w:r>
        <w:rPr>
          <w:spacing w:val="-6"/>
        </w:rPr>
        <w:t> </w:t>
      </w:r>
      <w:r>
        <w:rPr/>
        <w:t>disrupts</w:t>
      </w:r>
      <w:r>
        <w:rPr>
          <w:spacing w:val="-6"/>
        </w:rPr>
        <w:t> </w:t>
      </w:r>
      <w:r>
        <w:rPr/>
        <w:t>business</w:t>
      </w:r>
      <w:r>
        <w:rPr>
          <w:spacing w:val="-6"/>
        </w:rPr>
        <w:t> </w:t>
      </w:r>
      <w:r>
        <w:rPr/>
        <w:t>due</w:t>
      </w:r>
      <w:r>
        <w:rPr>
          <w:spacing w:val="-7"/>
        </w:rPr>
        <w:t> </w:t>
      </w:r>
      <w:r>
        <w:rPr/>
        <w:t>to</w:t>
      </w:r>
      <w:r>
        <w:rPr>
          <w:spacing w:val="-6"/>
        </w:rPr>
        <w:t> </w:t>
      </w:r>
      <w:r>
        <w:rPr/>
        <w:t>limited access to these resources, we have the potential to experience losses to our business, and added costs to resume operations.</w:t>
      </w:r>
    </w:p>
    <w:p>
      <w:pPr>
        <w:pStyle w:val="Heading3"/>
        <w:spacing w:before="184"/>
      </w:pPr>
      <w:r>
        <w:rPr/>
        <w:t>Our</w:t>
      </w:r>
      <w:r>
        <w:rPr>
          <w:spacing w:val="-3"/>
        </w:rPr>
        <w:t> </w:t>
      </w:r>
      <w:r>
        <w:rPr/>
        <w:t>investment</w:t>
      </w:r>
      <w:r>
        <w:rPr>
          <w:spacing w:val="-2"/>
        </w:rPr>
        <w:t> </w:t>
      </w:r>
      <w:r>
        <w:rPr/>
        <w:t>portfolio</w:t>
      </w:r>
      <w:r>
        <w:rPr>
          <w:spacing w:val="-2"/>
        </w:rPr>
        <w:t> </w:t>
      </w:r>
      <w:r>
        <w:rPr/>
        <w:t>may</w:t>
      </w:r>
      <w:r>
        <w:rPr>
          <w:spacing w:val="-2"/>
        </w:rPr>
        <w:t> </w:t>
      </w:r>
      <w:r>
        <w:rPr/>
        <w:t>become</w:t>
      </w:r>
      <w:r>
        <w:rPr>
          <w:spacing w:val="-2"/>
        </w:rPr>
        <w:t> </w:t>
      </w:r>
      <w:r>
        <w:rPr/>
        <w:t>impaired</w:t>
      </w:r>
      <w:r>
        <w:rPr>
          <w:spacing w:val="-2"/>
        </w:rPr>
        <w:t> </w:t>
      </w:r>
      <w:r>
        <w:rPr/>
        <w:t>by</w:t>
      </w:r>
      <w:r>
        <w:rPr>
          <w:spacing w:val="-1"/>
        </w:rPr>
        <w:t> </w:t>
      </w:r>
      <w:r>
        <w:rPr/>
        <w:t>deterioration</w:t>
      </w:r>
      <w:r>
        <w:rPr>
          <w:spacing w:val="-2"/>
        </w:rPr>
        <w:t> </w:t>
      </w:r>
      <w:r>
        <w:rPr/>
        <w:t>of</w:t>
      </w:r>
      <w:r>
        <w:rPr>
          <w:spacing w:val="-1"/>
        </w:rPr>
        <w:t> </w:t>
      </w:r>
      <w:r>
        <w:rPr/>
        <w:t>the</w:t>
      </w:r>
      <w:r>
        <w:rPr>
          <w:spacing w:val="-2"/>
        </w:rPr>
        <w:t> </w:t>
      </w:r>
      <w:r>
        <w:rPr/>
        <w:t>financial</w:t>
      </w:r>
      <w:r>
        <w:rPr>
          <w:spacing w:val="-2"/>
        </w:rPr>
        <w:t> markets.</w:t>
      </w:r>
    </w:p>
    <w:p>
      <w:pPr>
        <w:pStyle w:val="BodyText"/>
        <w:spacing w:line="249" w:lineRule="auto" w:before="190"/>
        <w:ind w:left="210" w:right="247" w:firstLine="540"/>
        <w:jc w:val="both"/>
      </w:pPr>
      <w:r>
        <w:rPr>
          <w:spacing w:val="-4"/>
        </w:rPr>
        <w:t>Our cash equivalent and short-term investment portfolio as of December 1, 2017 consisted of corporate bonds and commercial </w:t>
      </w:r>
      <w:r>
        <w:rPr>
          <w:spacing w:val="-2"/>
        </w:rPr>
        <w:t>paper, foreign government securities and U.S.</w:t>
      </w:r>
      <w:r>
        <w:rPr>
          <w:spacing w:val="-4"/>
        </w:rPr>
        <w:t> </w:t>
      </w:r>
      <w:r>
        <w:rPr>
          <w:spacing w:val="-2"/>
        </w:rPr>
        <w:t>Treasury securities, money market mutual funds, municipal securities, time deposits </w:t>
      </w:r>
      <w:r>
        <w:rPr/>
        <w:t>and asset-backed securities. We follow an established investment policy and set of guidelines to monitor and help mitigate our exposure</w:t>
      </w:r>
      <w:r>
        <w:rPr>
          <w:spacing w:val="-7"/>
        </w:rPr>
        <w:t> </w:t>
      </w:r>
      <w:r>
        <w:rPr/>
        <w:t>to</w:t>
      </w:r>
      <w:r>
        <w:rPr>
          <w:spacing w:val="-7"/>
        </w:rPr>
        <w:t> </w:t>
      </w:r>
      <w:r>
        <w:rPr/>
        <w:t>interest</w:t>
      </w:r>
      <w:r>
        <w:rPr>
          <w:spacing w:val="-8"/>
        </w:rPr>
        <w:t> </w:t>
      </w:r>
      <w:r>
        <w:rPr/>
        <w:t>rate</w:t>
      </w:r>
      <w:r>
        <w:rPr>
          <w:spacing w:val="-7"/>
        </w:rPr>
        <w:t> </w:t>
      </w:r>
      <w:r>
        <w:rPr/>
        <w:t>and</w:t>
      </w:r>
      <w:r>
        <w:rPr>
          <w:spacing w:val="-7"/>
        </w:rPr>
        <w:t> </w:t>
      </w:r>
      <w:r>
        <w:rPr/>
        <w:t>credit</w:t>
      </w:r>
      <w:r>
        <w:rPr>
          <w:spacing w:val="-7"/>
        </w:rPr>
        <w:t> </w:t>
      </w:r>
      <w:r>
        <w:rPr/>
        <w:t>risk.</w:t>
      </w:r>
      <w:r>
        <w:rPr>
          <w:spacing w:val="-10"/>
        </w:rPr>
        <w:t> </w:t>
      </w:r>
      <w:r>
        <w:rPr/>
        <w:t>The</w:t>
      </w:r>
      <w:r>
        <w:rPr>
          <w:spacing w:val="-7"/>
        </w:rPr>
        <w:t> </w:t>
      </w:r>
      <w:r>
        <w:rPr/>
        <w:t>policy</w:t>
      </w:r>
      <w:r>
        <w:rPr>
          <w:spacing w:val="-7"/>
        </w:rPr>
        <w:t> </w:t>
      </w:r>
      <w:r>
        <w:rPr/>
        <w:t>sets</w:t>
      </w:r>
      <w:r>
        <w:rPr>
          <w:spacing w:val="-7"/>
        </w:rPr>
        <w:t> </w:t>
      </w:r>
      <w:r>
        <w:rPr/>
        <w:t>forth</w:t>
      </w:r>
      <w:r>
        <w:rPr>
          <w:spacing w:val="-7"/>
        </w:rPr>
        <w:t> </w:t>
      </w:r>
      <w:r>
        <w:rPr/>
        <w:t>credit</w:t>
      </w:r>
      <w:r>
        <w:rPr>
          <w:spacing w:val="-8"/>
        </w:rPr>
        <w:t> </w:t>
      </w:r>
      <w:r>
        <w:rPr/>
        <w:t>quality</w:t>
      </w:r>
      <w:r>
        <w:rPr>
          <w:spacing w:val="-7"/>
        </w:rPr>
        <w:t> </w:t>
      </w:r>
      <w:r>
        <w:rPr/>
        <w:t>standards</w:t>
      </w:r>
      <w:r>
        <w:rPr>
          <w:spacing w:val="-7"/>
        </w:rPr>
        <w:t> </w:t>
      </w:r>
      <w:r>
        <w:rPr/>
        <w:t>and</w:t>
      </w:r>
      <w:r>
        <w:rPr>
          <w:spacing w:val="-7"/>
        </w:rPr>
        <w:t> </w:t>
      </w:r>
      <w:r>
        <w:rPr/>
        <w:t>limits</w:t>
      </w:r>
      <w:r>
        <w:rPr>
          <w:spacing w:val="-7"/>
        </w:rPr>
        <w:t> </w:t>
      </w:r>
      <w:r>
        <w:rPr/>
        <w:t>our</w:t>
      </w:r>
      <w:r>
        <w:rPr>
          <w:spacing w:val="-7"/>
        </w:rPr>
        <w:t> </w:t>
      </w:r>
      <w:r>
        <w:rPr/>
        <w:t>exposure</w:t>
      </w:r>
      <w:r>
        <w:rPr>
          <w:spacing w:val="-7"/>
        </w:rPr>
        <w:t> </w:t>
      </w:r>
      <w:r>
        <w:rPr/>
        <w:t>to</w:t>
      </w:r>
      <w:r>
        <w:rPr>
          <w:spacing w:val="-7"/>
        </w:rPr>
        <w:t> </w:t>
      </w:r>
      <w:r>
        <w:rPr/>
        <w:t>any</w:t>
      </w:r>
      <w:r>
        <w:rPr>
          <w:spacing w:val="-7"/>
        </w:rPr>
        <w:t> </w:t>
      </w:r>
      <w:r>
        <w:rPr/>
        <w:t>one</w:t>
      </w:r>
      <w:r>
        <w:rPr>
          <w:spacing w:val="-7"/>
        </w:rPr>
        <w:t> </w:t>
      </w:r>
      <w:r>
        <w:rPr/>
        <w:t>issuer,</w:t>
      </w:r>
      <w:r>
        <w:rPr>
          <w:spacing w:val="-7"/>
        </w:rPr>
        <w:t> </w:t>
      </w:r>
      <w:r>
        <w:rPr/>
        <w:t>as well as our maximum exposure to various asset classes.</w:t>
      </w:r>
    </w:p>
    <w:p>
      <w:pPr>
        <w:pStyle w:val="BodyText"/>
        <w:spacing w:line="249" w:lineRule="auto" w:before="184"/>
        <w:ind w:left="210" w:right="247" w:firstLine="540"/>
        <w:jc w:val="both"/>
      </w:pPr>
      <w:r>
        <w:rPr/>
        <w:t>Should</w:t>
      </w:r>
      <w:r>
        <w:rPr>
          <w:spacing w:val="-5"/>
        </w:rPr>
        <w:t> </w:t>
      </w:r>
      <w:r>
        <w:rPr/>
        <w:t>financial</w:t>
      </w:r>
      <w:r>
        <w:rPr>
          <w:spacing w:val="-5"/>
        </w:rPr>
        <w:t> </w:t>
      </w:r>
      <w:r>
        <w:rPr/>
        <w:t>market</w:t>
      </w:r>
      <w:r>
        <w:rPr>
          <w:spacing w:val="-5"/>
        </w:rPr>
        <w:t> </w:t>
      </w:r>
      <w:r>
        <w:rPr/>
        <w:t>conditions</w:t>
      </w:r>
      <w:r>
        <w:rPr>
          <w:spacing w:val="-5"/>
        </w:rPr>
        <w:t> </w:t>
      </w:r>
      <w:r>
        <w:rPr/>
        <w:t>worsen</w:t>
      </w:r>
      <w:r>
        <w:rPr>
          <w:spacing w:val="-5"/>
        </w:rPr>
        <w:t> </w:t>
      </w:r>
      <w:r>
        <w:rPr/>
        <w:t>in</w:t>
      </w:r>
      <w:r>
        <w:rPr>
          <w:spacing w:val="-5"/>
        </w:rPr>
        <w:t> </w:t>
      </w:r>
      <w:r>
        <w:rPr/>
        <w:t>the</w:t>
      </w:r>
      <w:r>
        <w:rPr>
          <w:spacing w:val="-5"/>
        </w:rPr>
        <w:t> </w:t>
      </w:r>
      <w:r>
        <w:rPr/>
        <w:t>future,</w:t>
      </w:r>
      <w:r>
        <w:rPr>
          <w:spacing w:val="-5"/>
        </w:rPr>
        <w:t> </w:t>
      </w:r>
      <w:r>
        <w:rPr/>
        <w:t>investments</w:t>
      </w:r>
      <w:r>
        <w:rPr>
          <w:spacing w:val="-5"/>
        </w:rPr>
        <w:t> </w:t>
      </w:r>
      <w:r>
        <w:rPr/>
        <w:t>in</w:t>
      </w:r>
      <w:r>
        <w:rPr>
          <w:spacing w:val="-5"/>
        </w:rPr>
        <w:t> </w:t>
      </w:r>
      <w:r>
        <w:rPr/>
        <w:t>some</w:t>
      </w:r>
      <w:r>
        <w:rPr>
          <w:spacing w:val="-5"/>
        </w:rPr>
        <w:t> </w:t>
      </w:r>
      <w:r>
        <w:rPr/>
        <w:t>financial</w:t>
      </w:r>
      <w:r>
        <w:rPr>
          <w:spacing w:val="-5"/>
        </w:rPr>
        <w:t> </w:t>
      </w:r>
      <w:r>
        <w:rPr/>
        <w:t>instruments</w:t>
      </w:r>
      <w:r>
        <w:rPr>
          <w:spacing w:val="-5"/>
        </w:rPr>
        <w:t> </w:t>
      </w:r>
      <w:r>
        <w:rPr/>
        <w:t>may</w:t>
      </w:r>
      <w:r>
        <w:rPr>
          <w:spacing w:val="-5"/>
        </w:rPr>
        <w:t> </w:t>
      </w:r>
      <w:r>
        <w:rPr/>
        <w:t>pose</w:t>
      </w:r>
      <w:r>
        <w:rPr>
          <w:spacing w:val="-5"/>
        </w:rPr>
        <w:t> </w:t>
      </w:r>
      <w:r>
        <w:rPr/>
        <w:t>risks</w:t>
      </w:r>
      <w:r>
        <w:rPr>
          <w:spacing w:val="-5"/>
        </w:rPr>
        <w:t> </w:t>
      </w:r>
      <w:r>
        <w:rPr/>
        <w:t>arising from</w:t>
      </w:r>
      <w:r>
        <w:rPr>
          <w:spacing w:val="-4"/>
        </w:rPr>
        <w:t> </w:t>
      </w:r>
      <w:r>
        <w:rPr/>
        <w:t>market</w:t>
      </w:r>
      <w:r>
        <w:rPr>
          <w:spacing w:val="-4"/>
        </w:rPr>
        <w:t> </w:t>
      </w:r>
      <w:r>
        <w:rPr/>
        <w:t>liquidity</w:t>
      </w:r>
      <w:r>
        <w:rPr>
          <w:spacing w:val="-4"/>
        </w:rPr>
        <w:t> </w:t>
      </w:r>
      <w:r>
        <w:rPr/>
        <w:t>and</w:t>
      </w:r>
      <w:r>
        <w:rPr>
          <w:spacing w:val="-3"/>
        </w:rPr>
        <w:t> </w:t>
      </w:r>
      <w:r>
        <w:rPr/>
        <w:t>credit</w:t>
      </w:r>
      <w:r>
        <w:rPr>
          <w:spacing w:val="-4"/>
        </w:rPr>
        <w:t> </w:t>
      </w:r>
      <w:r>
        <w:rPr/>
        <w:t>concerns.</w:t>
      </w:r>
      <w:r>
        <w:rPr>
          <w:spacing w:val="-3"/>
        </w:rPr>
        <w:t> </w:t>
      </w:r>
      <w:r>
        <w:rPr/>
        <w:t>In</w:t>
      </w:r>
      <w:r>
        <w:rPr>
          <w:spacing w:val="-4"/>
        </w:rPr>
        <w:t> </w:t>
      </w:r>
      <w:r>
        <w:rPr/>
        <w:t>addition,</w:t>
      </w:r>
      <w:r>
        <w:rPr>
          <w:spacing w:val="-3"/>
        </w:rPr>
        <w:t> </w:t>
      </w:r>
      <w:r>
        <w:rPr/>
        <w:t>any</w:t>
      </w:r>
      <w:r>
        <w:rPr>
          <w:spacing w:val="-4"/>
        </w:rPr>
        <w:t> </w:t>
      </w:r>
      <w:r>
        <w:rPr/>
        <w:t>deterioration</w:t>
      </w:r>
      <w:r>
        <w:rPr>
          <w:spacing w:val="-3"/>
        </w:rPr>
        <w:t> </w:t>
      </w:r>
      <w:r>
        <w:rPr/>
        <w:t>of</w:t>
      </w:r>
      <w:r>
        <w:rPr>
          <w:spacing w:val="-3"/>
        </w:rPr>
        <w:t> </w:t>
      </w:r>
      <w:r>
        <w:rPr/>
        <w:t>the</w:t>
      </w:r>
      <w:r>
        <w:rPr>
          <w:spacing w:val="-3"/>
        </w:rPr>
        <w:t> </w:t>
      </w:r>
      <w:r>
        <w:rPr/>
        <w:t>capital</w:t>
      </w:r>
      <w:r>
        <w:rPr>
          <w:spacing w:val="-4"/>
        </w:rPr>
        <w:t> </w:t>
      </w:r>
      <w:r>
        <w:rPr/>
        <w:t>markets</w:t>
      </w:r>
      <w:r>
        <w:rPr>
          <w:spacing w:val="-3"/>
        </w:rPr>
        <w:t> </w:t>
      </w:r>
      <w:r>
        <w:rPr/>
        <w:t>could</w:t>
      </w:r>
      <w:r>
        <w:rPr>
          <w:spacing w:val="-4"/>
        </w:rPr>
        <w:t> </w:t>
      </w:r>
      <w:r>
        <w:rPr/>
        <w:t>cause</w:t>
      </w:r>
      <w:r>
        <w:rPr>
          <w:spacing w:val="-4"/>
        </w:rPr>
        <w:t> </w:t>
      </w:r>
      <w:r>
        <w:rPr/>
        <w:t>our</w:t>
      </w:r>
      <w:r>
        <w:rPr>
          <w:spacing w:val="-3"/>
        </w:rPr>
        <w:t> </w:t>
      </w:r>
      <w:r>
        <w:rPr/>
        <w:t>other</w:t>
      </w:r>
      <w:r>
        <w:rPr>
          <w:spacing w:val="-4"/>
        </w:rPr>
        <w:t> </w:t>
      </w:r>
      <w:r>
        <w:rPr/>
        <w:t>income</w:t>
      </w:r>
      <w:r>
        <w:rPr>
          <w:spacing w:val="-4"/>
        </w:rPr>
        <w:t> </w:t>
      </w:r>
      <w:r>
        <w:rPr/>
        <w:t>and expense to vary from expectations.</w:t>
      </w:r>
      <w:r>
        <w:rPr>
          <w:spacing w:val="-9"/>
        </w:rPr>
        <w:t> </w:t>
      </w:r>
      <w:r>
        <w:rPr/>
        <w:t>As of December 1, 2017, we had no material impairment charges associated with our short- term investment portfolio, and although we believe our current investment portfolio has little risk of material impairment, we cannot</w:t>
      </w:r>
      <w:r>
        <w:rPr>
          <w:spacing w:val="-3"/>
        </w:rPr>
        <w:t> </w:t>
      </w:r>
      <w:r>
        <w:rPr/>
        <w:t>predict</w:t>
      </w:r>
      <w:r>
        <w:rPr>
          <w:spacing w:val="-3"/>
        </w:rPr>
        <w:t> </w:t>
      </w:r>
      <w:r>
        <w:rPr/>
        <w:t>future</w:t>
      </w:r>
      <w:r>
        <w:rPr>
          <w:spacing w:val="-3"/>
        </w:rPr>
        <w:t> </w:t>
      </w:r>
      <w:r>
        <w:rPr/>
        <w:t>market</w:t>
      </w:r>
      <w:r>
        <w:rPr>
          <w:spacing w:val="-3"/>
        </w:rPr>
        <w:t> </w:t>
      </w:r>
      <w:r>
        <w:rPr/>
        <w:t>conditions,</w:t>
      </w:r>
      <w:r>
        <w:rPr>
          <w:spacing w:val="-3"/>
        </w:rPr>
        <w:t> </w:t>
      </w:r>
      <w:r>
        <w:rPr/>
        <w:t>market</w:t>
      </w:r>
      <w:r>
        <w:rPr>
          <w:spacing w:val="-3"/>
        </w:rPr>
        <w:t> </w:t>
      </w:r>
      <w:r>
        <w:rPr/>
        <w:t>liquidity</w:t>
      </w:r>
      <w:r>
        <w:rPr>
          <w:spacing w:val="-3"/>
        </w:rPr>
        <w:t> </w:t>
      </w:r>
      <w:r>
        <w:rPr/>
        <w:t>or</w:t>
      </w:r>
      <w:r>
        <w:rPr>
          <w:spacing w:val="-3"/>
        </w:rPr>
        <w:t> </w:t>
      </w:r>
      <w:r>
        <w:rPr/>
        <w:t>credit</w:t>
      </w:r>
      <w:r>
        <w:rPr>
          <w:spacing w:val="-3"/>
        </w:rPr>
        <w:t> </w:t>
      </w:r>
      <w:r>
        <w:rPr/>
        <w:t>availability,</w:t>
      </w:r>
      <w:r>
        <w:rPr>
          <w:spacing w:val="-3"/>
        </w:rPr>
        <w:t> </w:t>
      </w:r>
      <w:r>
        <w:rPr/>
        <w:t>and</w:t>
      </w:r>
      <w:r>
        <w:rPr>
          <w:spacing w:val="-2"/>
        </w:rPr>
        <w:t> </w:t>
      </w:r>
      <w:r>
        <w:rPr/>
        <w:t>can</w:t>
      </w:r>
      <w:r>
        <w:rPr>
          <w:spacing w:val="-3"/>
        </w:rPr>
        <w:t> </w:t>
      </w:r>
      <w:r>
        <w:rPr/>
        <w:t>provide</w:t>
      </w:r>
      <w:r>
        <w:rPr>
          <w:spacing w:val="-3"/>
        </w:rPr>
        <w:t> </w:t>
      </w:r>
      <w:r>
        <w:rPr/>
        <w:t>no</w:t>
      </w:r>
      <w:r>
        <w:rPr>
          <w:spacing w:val="-2"/>
        </w:rPr>
        <w:t> </w:t>
      </w:r>
      <w:r>
        <w:rPr/>
        <w:t>assurance</w:t>
      </w:r>
      <w:r>
        <w:rPr>
          <w:spacing w:val="-3"/>
        </w:rPr>
        <w:t> </w:t>
      </w:r>
      <w:r>
        <w:rPr/>
        <w:t>that</w:t>
      </w:r>
      <w:r>
        <w:rPr>
          <w:spacing w:val="-3"/>
        </w:rPr>
        <w:t> </w:t>
      </w:r>
      <w:r>
        <w:rPr/>
        <w:t>our</w:t>
      </w:r>
      <w:r>
        <w:rPr>
          <w:spacing w:val="-2"/>
        </w:rPr>
        <w:t> </w:t>
      </w:r>
      <w:r>
        <w:rPr/>
        <w:t>investment portfolio will remain materially unimpaired.</w:t>
      </w:r>
    </w:p>
    <w:p>
      <w:pPr>
        <w:pStyle w:val="BodyText"/>
        <w:spacing w:before="75"/>
      </w:pPr>
    </w:p>
    <w:p>
      <w:pPr>
        <w:pStyle w:val="Heading1"/>
      </w:pPr>
      <w:bookmarkStart w:name="Item 1B. Unresolved Staff Comments" w:id="22"/>
      <w:bookmarkEnd w:id="22"/>
      <w:r>
        <w:rPr>
          <w:b w:val="0"/>
        </w:rPr>
      </w:r>
      <w:bookmarkStart w:name="_bookmark5" w:id="23"/>
      <w:bookmarkEnd w:id="23"/>
      <w:r>
        <w:rPr>
          <w:b w:val="0"/>
        </w:rPr>
      </w:r>
      <w:r>
        <w:rPr/>
        <w:t>ITEM</w:t>
      </w:r>
      <w:r>
        <w:rPr>
          <w:spacing w:val="-10"/>
        </w:rPr>
        <w:t> </w:t>
      </w:r>
      <w:r>
        <w:rPr/>
        <w:t>1B.</w:t>
      </w:r>
      <w:r>
        <w:rPr>
          <w:spacing w:val="35"/>
        </w:rPr>
        <w:t> </w:t>
      </w:r>
      <w:r>
        <w:rPr/>
        <w:t>UNRESOLVED</w:t>
      </w:r>
      <w:r>
        <w:rPr>
          <w:spacing w:val="-8"/>
        </w:rPr>
        <w:t> </w:t>
      </w:r>
      <w:r>
        <w:rPr/>
        <w:t>STAFF</w:t>
      </w:r>
      <w:r>
        <w:rPr>
          <w:spacing w:val="-12"/>
        </w:rPr>
        <w:t> </w:t>
      </w:r>
      <w:r>
        <w:rPr>
          <w:spacing w:val="-2"/>
        </w:rPr>
        <w:t>COMMENTS</w:t>
      </w:r>
    </w:p>
    <w:p>
      <w:pPr>
        <w:pStyle w:val="BodyText"/>
        <w:spacing w:before="190"/>
        <w:ind w:left="760"/>
      </w:pPr>
      <w:r>
        <w:rPr>
          <w:spacing w:val="-2"/>
        </w:rPr>
        <w:t>None.</w:t>
      </w:r>
    </w:p>
    <w:p>
      <w:pPr>
        <w:spacing w:after="0"/>
        <w:sectPr>
          <w:pgSz w:w="12240" w:h="15840"/>
          <w:pgMar w:header="210" w:footer="579" w:top="420" w:bottom="800" w:left="780" w:right="740"/>
        </w:sectPr>
      </w:pPr>
    </w:p>
    <w:p>
      <w:pPr>
        <w:pStyle w:val="BodyText"/>
        <w:spacing w:before="147"/>
      </w:pPr>
    </w:p>
    <w:p>
      <w:pPr>
        <w:pStyle w:val="Heading1"/>
      </w:pPr>
      <w:bookmarkStart w:name="Item 2. Properties" w:id="24"/>
      <w:bookmarkEnd w:id="24"/>
      <w:r>
        <w:rPr>
          <w:b w:val="0"/>
        </w:rPr>
      </w:r>
      <w:bookmarkStart w:name="_bookmark6" w:id="25"/>
      <w:bookmarkEnd w:id="25"/>
      <w:r>
        <w:rPr>
          <w:b w:val="0"/>
        </w:rPr>
      </w:r>
      <w:r>
        <w:rPr/>
        <w:t>ITEM 2.</w:t>
      </w:r>
      <w:r>
        <w:rPr>
          <w:spacing w:val="50"/>
        </w:rPr>
        <w:t> </w:t>
      </w:r>
      <w:r>
        <w:rPr>
          <w:spacing w:val="-2"/>
        </w:rPr>
        <w:t>PROPERTIES</w:t>
      </w:r>
    </w:p>
    <w:p>
      <w:pPr>
        <w:pStyle w:val="BodyText"/>
        <w:spacing w:line="249" w:lineRule="auto" w:before="190"/>
        <w:ind w:left="220" w:right="257" w:firstLine="540"/>
        <w:jc w:val="both"/>
      </w:pPr>
      <w:r>
        <w:rPr/>
        <w:t>We own and occupy three office buildings and land in San Jose, California where our corporate headquarters is located. We also own buildings and land in Lehi, Utah, and at 601 and 625 Townsend Street in San Francisco, California, and the data center</w:t>
      </w:r>
      <w:r>
        <w:rPr>
          <w:spacing w:val="-3"/>
        </w:rPr>
        <w:t> </w:t>
      </w:r>
      <w:r>
        <w:rPr/>
        <w:t>in</w:t>
      </w:r>
      <w:r>
        <w:rPr>
          <w:spacing w:val="-2"/>
        </w:rPr>
        <w:t> </w:t>
      </w:r>
      <w:r>
        <w:rPr/>
        <w:t>Hillsboro,</w:t>
      </w:r>
      <w:r>
        <w:rPr>
          <w:spacing w:val="-3"/>
        </w:rPr>
        <w:t> </w:t>
      </w:r>
      <w:r>
        <w:rPr/>
        <w:t>Oregon.</w:t>
      </w:r>
      <w:r>
        <w:rPr>
          <w:spacing w:val="-2"/>
        </w:rPr>
        <w:t> </w:t>
      </w:r>
      <w:r>
        <w:rPr/>
        <w:t>Outside</w:t>
      </w:r>
      <w:r>
        <w:rPr>
          <w:spacing w:val="-3"/>
        </w:rPr>
        <w:t> </w:t>
      </w:r>
      <w:r>
        <w:rPr/>
        <w:t>of</w:t>
      </w:r>
      <w:r>
        <w:rPr>
          <w:spacing w:val="-2"/>
        </w:rPr>
        <w:t> </w:t>
      </w:r>
      <w:r>
        <w:rPr/>
        <w:t>the</w:t>
      </w:r>
      <w:r>
        <w:rPr>
          <w:spacing w:val="-3"/>
        </w:rPr>
        <w:t> </w:t>
      </w:r>
      <w:r>
        <w:rPr/>
        <w:t>United</w:t>
      </w:r>
      <w:r>
        <w:rPr>
          <w:spacing w:val="-2"/>
        </w:rPr>
        <w:t> </w:t>
      </w:r>
      <w:r>
        <w:rPr/>
        <w:t>States,</w:t>
      </w:r>
      <w:r>
        <w:rPr>
          <w:spacing w:val="-3"/>
        </w:rPr>
        <w:t> </w:t>
      </w:r>
      <w:r>
        <w:rPr/>
        <w:t>we</w:t>
      </w:r>
      <w:r>
        <w:rPr>
          <w:spacing w:val="-3"/>
        </w:rPr>
        <w:t> </w:t>
      </w:r>
      <w:r>
        <w:rPr/>
        <w:t>own</w:t>
      </w:r>
      <w:r>
        <w:rPr>
          <w:spacing w:val="-3"/>
        </w:rPr>
        <w:t> </w:t>
      </w:r>
      <w:r>
        <w:rPr/>
        <w:t>certain</w:t>
      </w:r>
      <w:r>
        <w:rPr>
          <w:spacing w:val="-3"/>
        </w:rPr>
        <w:t> </w:t>
      </w:r>
      <w:r>
        <w:rPr/>
        <w:t>land</w:t>
      </w:r>
      <w:r>
        <w:rPr>
          <w:spacing w:val="-2"/>
        </w:rPr>
        <w:t> </w:t>
      </w:r>
      <w:r>
        <w:rPr/>
        <w:t>and</w:t>
      </w:r>
      <w:r>
        <w:rPr>
          <w:spacing w:val="-3"/>
        </w:rPr>
        <w:t> </w:t>
      </w:r>
      <w:r>
        <w:rPr/>
        <w:t>buildings</w:t>
      </w:r>
      <w:r>
        <w:rPr>
          <w:spacing w:val="-2"/>
        </w:rPr>
        <w:t> </w:t>
      </w:r>
      <w:r>
        <w:rPr/>
        <w:t>we</w:t>
      </w:r>
      <w:r>
        <w:rPr>
          <w:spacing w:val="-3"/>
        </w:rPr>
        <w:t> </w:t>
      </w:r>
      <w:r>
        <w:rPr/>
        <w:t>occupy</w:t>
      </w:r>
      <w:r>
        <w:rPr>
          <w:spacing w:val="-3"/>
        </w:rPr>
        <w:t> </w:t>
      </w:r>
      <w:r>
        <w:rPr/>
        <w:t>in</w:t>
      </w:r>
      <w:r>
        <w:rPr>
          <w:spacing w:val="-2"/>
        </w:rPr>
        <w:t> </w:t>
      </w:r>
      <w:r>
        <w:rPr/>
        <w:t>Bangalore,</w:t>
      </w:r>
      <w:r>
        <w:rPr>
          <w:spacing w:val="-3"/>
        </w:rPr>
        <w:t> </w:t>
      </w:r>
      <w:r>
        <w:rPr/>
        <w:t>India</w:t>
      </w:r>
      <w:r>
        <w:rPr>
          <w:spacing w:val="-3"/>
        </w:rPr>
        <w:t> </w:t>
      </w:r>
      <w:r>
        <w:rPr/>
        <w:t>and Noida,</w:t>
      </w:r>
      <w:r>
        <w:rPr>
          <w:spacing w:val="-10"/>
        </w:rPr>
        <w:t> </w:t>
      </w:r>
      <w:r>
        <w:rPr/>
        <w:t>India.</w:t>
      </w:r>
      <w:r>
        <w:rPr>
          <w:spacing w:val="-13"/>
        </w:rPr>
        <w:t> </w:t>
      </w:r>
      <w:r>
        <w:rPr/>
        <w:t>We</w:t>
      </w:r>
      <w:r>
        <w:rPr>
          <w:spacing w:val="-9"/>
        </w:rPr>
        <w:t> </w:t>
      </w:r>
      <w:r>
        <w:rPr/>
        <w:t>lease</w:t>
      </w:r>
      <w:r>
        <w:rPr>
          <w:spacing w:val="-11"/>
        </w:rPr>
        <w:t> </w:t>
      </w:r>
      <w:r>
        <w:rPr/>
        <w:t>or</w:t>
      </w:r>
      <w:r>
        <w:rPr>
          <w:spacing w:val="-10"/>
        </w:rPr>
        <w:t> </w:t>
      </w:r>
      <w:r>
        <w:rPr/>
        <w:t>sublease</w:t>
      </w:r>
      <w:r>
        <w:rPr>
          <w:spacing w:val="-11"/>
        </w:rPr>
        <w:t> </w:t>
      </w:r>
      <w:r>
        <w:rPr/>
        <w:t>the</w:t>
      </w:r>
      <w:r>
        <w:rPr>
          <w:spacing w:val="-10"/>
        </w:rPr>
        <w:t> </w:t>
      </w:r>
      <w:r>
        <w:rPr/>
        <w:t>rest</w:t>
      </w:r>
      <w:r>
        <w:rPr>
          <w:spacing w:val="-11"/>
        </w:rPr>
        <w:t> </w:t>
      </w:r>
      <w:r>
        <w:rPr/>
        <w:t>of</w:t>
      </w:r>
      <w:r>
        <w:rPr>
          <w:spacing w:val="-10"/>
        </w:rPr>
        <w:t> </w:t>
      </w:r>
      <w:r>
        <w:rPr/>
        <w:t>the</w:t>
      </w:r>
      <w:r>
        <w:rPr>
          <w:spacing w:val="-10"/>
        </w:rPr>
        <w:t> </w:t>
      </w:r>
      <w:r>
        <w:rPr/>
        <w:t>properties</w:t>
      </w:r>
      <w:r>
        <w:rPr>
          <w:spacing w:val="-10"/>
        </w:rPr>
        <w:t> </w:t>
      </w:r>
      <w:r>
        <w:rPr/>
        <w:t>we</w:t>
      </w:r>
      <w:r>
        <w:rPr>
          <w:spacing w:val="-11"/>
        </w:rPr>
        <w:t> </w:t>
      </w:r>
      <w:r>
        <w:rPr/>
        <w:t>occupy</w:t>
      </w:r>
      <w:r>
        <w:rPr>
          <w:spacing w:val="-11"/>
        </w:rPr>
        <w:t> </w:t>
      </w:r>
      <w:r>
        <w:rPr/>
        <w:t>under</w:t>
      </w:r>
      <w:r>
        <w:rPr>
          <w:spacing w:val="-10"/>
        </w:rPr>
        <w:t> </w:t>
      </w:r>
      <w:r>
        <w:rPr/>
        <w:t>operating</w:t>
      </w:r>
      <w:r>
        <w:rPr>
          <w:spacing w:val="-11"/>
        </w:rPr>
        <w:t> </w:t>
      </w:r>
      <w:r>
        <w:rPr/>
        <w:t>leases.</w:t>
      </w:r>
      <w:r>
        <w:rPr>
          <w:spacing w:val="-11"/>
        </w:rPr>
        <w:t> </w:t>
      </w:r>
      <w:r>
        <w:rPr/>
        <w:t>Such</w:t>
      </w:r>
      <w:r>
        <w:rPr>
          <w:spacing w:val="-10"/>
        </w:rPr>
        <w:t> </w:t>
      </w:r>
      <w:r>
        <w:rPr/>
        <w:t>leases</w:t>
      </w:r>
      <w:r>
        <w:rPr>
          <w:spacing w:val="-10"/>
        </w:rPr>
        <w:t> </w:t>
      </w:r>
      <w:r>
        <w:rPr/>
        <w:t>expire</w:t>
      </w:r>
      <w:r>
        <w:rPr>
          <w:spacing w:val="-11"/>
        </w:rPr>
        <w:t> </w:t>
      </w:r>
      <w:r>
        <w:rPr/>
        <w:t>at</w:t>
      </w:r>
      <w:r>
        <w:rPr>
          <w:spacing w:val="-11"/>
        </w:rPr>
        <w:t> </w:t>
      </w:r>
      <w:r>
        <w:rPr/>
        <w:t>various</w:t>
      </w:r>
      <w:r>
        <w:rPr>
          <w:spacing w:val="-10"/>
        </w:rPr>
        <w:t> </w:t>
      </w:r>
      <w:r>
        <w:rPr/>
        <w:t>times through 2031, with the exception of our land lease in Noida, India that expires in 2091.</w:t>
      </w:r>
    </w:p>
    <w:p>
      <w:pPr>
        <w:pStyle w:val="BodyText"/>
        <w:spacing w:before="14"/>
      </w:pPr>
    </w:p>
    <w:p>
      <w:pPr>
        <w:pStyle w:val="BodyText"/>
        <w:spacing w:line="249" w:lineRule="auto"/>
        <w:ind w:left="220" w:right="259" w:firstLine="540"/>
        <w:jc w:val="both"/>
      </w:pPr>
      <w:r>
        <w:rPr/>
        <w:t>The</w:t>
      </w:r>
      <w:r>
        <w:rPr>
          <w:spacing w:val="-5"/>
        </w:rPr>
        <w:t> </w:t>
      </w:r>
      <w:r>
        <w:rPr/>
        <w:t>following</w:t>
      </w:r>
      <w:r>
        <w:rPr>
          <w:spacing w:val="-5"/>
        </w:rPr>
        <w:t> </w:t>
      </w:r>
      <w:r>
        <w:rPr/>
        <w:t>table</w:t>
      </w:r>
      <w:r>
        <w:rPr>
          <w:spacing w:val="-5"/>
        </w:rPr>
        <w:t> </w:t>
      </w:r>
      <w:r>
        <w:rPr/>
        <w:t>sets</w:t>
      </w:r>
      <w:r>
        <w:rPr>
          <w:spacing w:val="-5"/>
        </w:rPr>
        <w:t> </w:t>
      </w:r>
      <w:r>
        <w:rPr/>
        <w:t>forth</w:t>
      </w:r>
      <w:r>
        <w:rPr>
          <w:spacing w:val="-5"/>
        </w:rPr>
        <w:t> </w:t>
      </w:r>
      <w:r>
        <w:rPr/>
        <w:t>the</w:t>
      </w:r>
      <w:r>
        <w:rPr>
          <w:spacing w:val="-5"/>
        </w:rPr>
        <w:t> </w:t>
      </w:r>
      <w:r>
        <w:rPr/>
        <w:t>location,</w:t>
      </w:r>
      <w:r>
        <w:rPr>
          <w:spacing w:val="-5"/>
        </w:rPr>
        <w:t> </w:t>
      </w:r>
      <w:r>
        <w:rPr/>
        <w:t>approximate</w:t>
      </w:r>
      <w:r>
        <w:rPr>
          <w:spacing w:val="-6"/>
        </w:rPr>
        <w:t> </w:t>
      </w:r>
      <w:r>
        <w:rPr/>
        <w:t>square</w:t>
      </w:r>
      <w:r>
        <w:rPr>
          <w:spacing w:val="-5"/>
        </w:rPr>
        <w:t> </w:t>
      </w:r>
      <w:r>
        <w:rPr/>
        <w:t>footage</w:t>
      </w:r>
      <w:r>
        <w:rPr>
          <w:spacing w:val="-5"/>
        </w:rPr>
        <w:t> </w:t>
      </w:r>
      <w:r>
        <w:rPr/>
        <w:t>and</w:t>
      </w:r>
      <w:r>
        <w:rPr>
          <w:spacing w:val="-5"/>
        </w:rPr>
        <w:t> </w:t>
      </w:r>
      <w:r>
        <w:rPr/>
        <w:t>use</w:t>
      </w:r>
      <w:r>
        <w:rPr>
          <w:spacing w:val="-5"/>
        </w:rPr>
        <w:t> </w:t>
      </w:r>
      <w:r>
        <w:rPr/>
        <w:t>of</w:t>
      </w:r>
      <w:r>
        <w:rPr>
          <w:spacing w:val="-5"/>
        </w:rPr>
        <w:t> </w:t>
      </w:r>
      <w:r>
        <w:rPr/>
        <w:t>each</w:t>
      </w:r>
      <w:r>
        <w:rPr>
          <w:spacing w:val="-5"/>
        </w:rPr>
        <w:t> </w:t>
      </w:r>
      <w:r>
        <w:rPr/>
        <w:t>of</w:t>
      </w:r>
      <w:r>
        <w:rPr>
          <w:spacing w:val="-5"/>
        </w:rPr>
        <w:t> </w:t>
      </w:r>
      <w:r>
        <w:rPr/>
        <w:t>the</w:t>
      </w:r>
      <w:r>
        <w:rPr>
          <w:spacing w:val="-5"/>
        </w:rPr>
        <w:t> </w:t>
      </w:r>
      <w:r>
        <w:rPr/>
        <w:t>principal</w:t>
      </w:r>
      <w:r>
        <w:rPr>
          <w:spacing w:val="-6"/>
        </w:rPr>
        <w:t> </w:t>
      </w:r>
      <w:r>
        <w:rPr/>
        <w:t>properties</w:t>
      </w:r>
      <w:r>
        <w:rPr>
          <w:spacing w:val="-5"/>
        </w:rPr>
        <w:t> </w:t>
      </w:r>
      <w:r>
        <w:rPr/>
        <w:t>used</w:t>
      </w:r>
      <w:r>
        <w:rPr>
          <w:spacing w:val="-5"/>
        </w:rPr>
        <w:t> </w:t>
      </w:r>
      <w:r>
        <w:rPr/>
        <w:t>by Adobe during fiscal 2017.</w:t>
      </w:r>
    </w:p>
    <w:p>
      <w:pPr>
        <w:spacing w:after="0" w:line="249" w:lineRule="auto"/>
        <w:jc w:val="both"/>
        <w:sectPr>
          <w:pgSz w:w="12240" w:h="15840"/>
          <w:pgMar w:header="210" w:footer="579" w:top="420" w:bottom="800" w:left="780" w:right="740"/>
        </w:sectPr>
      </w:pPr>
    </w:p>
    <w:p>
      <w:pPr>
        <w:pStyle w:val="BodyText"/>
        <w:rPr>
          <w:sz w:val="16"/>
        </w:rPr>
      </w:pPr>
    </w:p>
    <w:p>
      <w:pPr>
        <w:pStyle w:val="BodyText"/>
        <w:spacing w:before="116"/>
        <w:rPr>
          <w:sz w:val="16"/>
        </w:rPr>
      </w:pPr>
    </w:p>
    <w:p>
      <w:pPr>
        <w:spacing w:before="0"/>
        <w:ind w:left="280" w:right="0" w:firstLine="0"/>
        <w:jc w:val="left"/>
        <w:rPr>
          <w:b/>
          <w:sz w:val="16"/>
        </w:rPr>
      </w:pPr>
      <w:r>
        <w:rPr>
          <w:b/>
          <w:spacing w:val="-2"/>
          <w:sz w:val="16"/>
        </w:rPr>
        <w:t>Location</w:t>
      </w:r>
    </w:p>
    <w:p>
      <w:pPr>
        <w:pStyle w:val="BodyText"/>
        <w:spacing w:before="52"/>
        <w:ind w:left="280"/>
      </w:pPr>
      <w:r>
        <w:rPr/>
        <mc:AlternateContent>
          <mc:Choice Requires="wps">
            <w:drawing>
              <wp:anchor distT="0" distB="0" distL="0" distR="0" allowOverlap="1" layoutInCell="1" locked="0" behindDoc="0" simplePos="0" relativeHeight="15738880">
                <wp:simplePos x="0" y="0"/>
                <wp:positionH relativeFrom="page">
                  <wp:posOffset>641350</wp:posOffset>
                </wp:positionH>
                <wp:positionV relativeFrom="paragraph">
                  <wp:posOffset>32122</wp:posOffset>
                </wp:positionV>
                <wp:extent cx="265430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654300" cy="1270"/>
                        </a:xfrm>
                        <a:custGeom>
                          <a:avLst/>
                          <a:gdLst/>
                          <a:ahLst/>
                          <a:cxnLst/>
                          <a:rect l="l" t="t" r="r" b="b"/>
                          <a:pathLst>
                            <a:path w="2654300" h="0">
                              <a:moveTo>
                                <a:pt x="0" y="0"/>
                              </a:moveTo>
                              <a:lnTo>
                                <a:pt x="26543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50.5pt,2.529297pt" to="259.5pt,2.529297pt" stroked="true" strokeweight="1pt" strokecolor="#000000">
                <v:stroke dashstyle="solid"/>
                <w10:wrap type="none"/>
              </v:line>
            </w:pict>
          </mc:Fallback>
        </mc:AlternateContent>
      </w:r>
      <w:r>
        <w:rPr/>
        <w:t>North</w:t>
      </w:r>
      <w:r>
        <w:rPr>
          <w:spacing w:val="-6"/>
        </w:rPr>
        <w:t> </w:t>
      </w:r>
      <w:r>
        <w:rPr>
          <w:spacing w:val="-2"/>
        </w:rPr>
        <w:t>America:</w:t>
      </w:r>
    </w:p>
    <w:p>
      <w:pPr>
        <w:spacing w:line="240" w:lineRule="auto" w:before="3"/>
        <w:rPr>
          <w:sz w:val="16"/>
        </w:rPr>
      </w:pPr>
      <w:r>
        <w:rPr/>
        <w:br w:type="column"/>
      </w:r>
      <w:r>
        <w:rPr>
          <w:sz w:val="16"/>
        </w:rPr>
      </w:r>
    </w:p>
    <w:p>
      <w:pPr>
        <w:spacing w:line="208" w:lineRule="auto" w:before="0"/>
        <w:ind w:left="488" w:right="4710" w:hanging="208"/>
        <w:jc w:val="left"/>
        <w:rPr>
          <w:b/>
          <w:sz w:val="16"/>
        </w:rPr>
      </w:pPr>
      <w:r>
        <w:rPr>
          <w:b/>
          <w:spacing w:val="-2"/>
          <w:sz w:val="16"/>
        </w:rPr>
        <w:t>Approximate</w:t>
      </w:r>
      <w:r>
        <w:rPr>
          <w:b/>
          <w:spacing w:val="40"/>
          <w:sz w:val="16"/>
        </w:rPr>
        <w:t> </w:t>
      </w:r>
      <w:r>
        <w:rPr>
          <w:b/>
          <w:spacing w:val="-2"/>
          <w:sz w:val="16"/>
        </w:rPr>
        <w:t>Square</w:t>
      </w:r>
    </w:p>
    <w:p>
      <w:pPr>
        <w:tabs>
          <w:tab w:pos="3696" w:val="left" w:leader="none"/>
        </w:tabs>
        <w:spacing w:line="164" w:lineRule="exact" w:before="0"/>
        <w:ind w:left="460" w:right="0" w:firstLine="0"/>
        <w:jc w:val="left"/>
        <w:rPr>
          <w:b/>
          <w:sz w:val="16"/>
        </w:rPr>
      </w:pPr>
      <w:r>
        <w:rPr>
          <w:b/>
          <w:spacing w:val="-2"/>
          <w:sz w:val="16"/>
        </w:rPr>
        <w:t>Footage</w:t>
      </w:r>
      <w:r>
        <w:rPr>
          <w:b/>
          <w:sz w:val="16"/>
        </w:rPr>
        <w:tab/>
      </w:r>
      <w:r>
        <w:rPr>
          <w:b/>
          <w:spacing w:val="-5"/>
          <w:sz w:val="16"/>
        </w:rPr>
        <w:t>Use</w:t>
      </w:r>
    </w:p>
    <w:p>
      <w:pPr>
        <w:pStyle w:val="BodyText"/>
        <w:spacing w:before="1"/>
        <w:rPr>
          <w:b/>
          <w:sz w:val="4"/>
        </w:rPr>
      </w:pPr>
    </w:p>
    <w:p>
      <w:pPr>
        <w:tabs>
          <w:tab w:pos="1582" w:val="left" w:leader="none"/>
        </w:tabs>
        <w:spacing w:line="20" w:lineRule="exact"/>
        <w:ind w:left="182" w:right="0" w:firstLine="0"/>
        <w:rPr>
          <w:sz w:val="2"/>
        </w:rPr>
      </w:pPr>
      <w:r>
        <w:rPr>
          <w:sz w:val="2"/>
        </w:rPr>
        <mc:AlternateContent>
          <mc:Choice Requires="wps">
            <w:drawing>
              <wp:inline distT="0" distB="0" distL="0" distR="0">
                <wp:extent cx="711200" cy="12700"/>
                <wp:effectExtent l="9525" t="0" r="3175" b="6350"/>
                <wp:docPr id="45" name="Group 45"/>
                <wp:cNvGraphicFramePr>
                  <a:graphicFrameLocks/>
                </wp:cNvGraphicFramePr>
                <a:graphic>
                  <a:graphicData uri="http://schemas.microsoft.com/office/word/2010/wordprocessingGroup">
                    <wpg:wgp>
                      <wpg:cNvPr id="45" name="Group 45"/>
                      <wpg:cNvGrpSpPr/>
                      <wpg:grpSpPr>
                        <a:xfrm>
                          <a:off x="0" y="0"/>
                          <a:ext cx="711200" cy="12700"/>
                          <a:chExt cx="711200" cy="12700"/>
                        </a:xfrm>
                      </wpg:grpSpPr>
                      <wps:wsp>
                        <wps:cNvPr id="46" name="Graphic 46"/>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1pt;mso-position-horizontal-relative:char;mso-position-vertical-relative:line" id="docshapegroup19" coordorigin="0,0" coordsize="1120,20">
                <v:line style="position:absolute" from="0,10" to="1120,10" stroked="true" strokeweight="1pt" strokecolor="#000000">
                  <v:stroke dashstyle="solid"/>
                </v:line>
              </v:group>
            </w:pict>
          </mc:Fallback>
        </mc:AlternateContent>
      </w:r>
      <w:r>
        <w:rPr>
          <w:sz w:val="2"/>
        </w:rPr>
      </w:r>
      <w:r>
        <w:rPr>
          <w:sz w:val="2"/>
        </w:rPr>
        <w:tab/>
      </w:r>
      <w:r>
        <w:rPr>
          <w:sz w:val="2"/>
        </w:rPr>
        <mc:AlternateContent>
          <mc:Choice Requires="wps">
            <w:drawing>
              <wp:inline distT="0" distB="0" distL="0" distR="0">
                <wp:extent cx="2857500" cy="12700"/>
                <wp:effectExtent l="9525" t="0" r="0" b="6350"/>
                <wp:docPr id="47" name="Group 47"/>
                <wp:cNvGraphicFramePr>
                  <a:graphicFrameLocks/>
                </wp:cNvGraphicFramePr>
                <a:graphic>
                  <a:graphicData uri="http://schemas.microsoft.com/office/word/2010/wordprocessingGroup">
                    <wpg:wgp>
                      <wpg:cNvPr id="47" name="Group 47"/>
                      <wpg:cNvGrpSpPr/>
                      <wpg:grpSpPr>
                        <a:xfrm>
                          <a:off x="0" y="0"/>
                          <a:ext cx="2857500" cy="12700"/>
                          <a:chExt cx="2857500" cy="12700"/>
                        </a:xfrm>
                      </wpg:grpSpPr>
                      <wps:wsp>
                        <wps:cNvPr id="48" name="Graphic 48"/>
                        <wps:cNvSpPr/>
                        <wps:spPr>
                          <a:xfrm>
                            <a:off x="0" y="6350"/>
                            <a:ext cx="2857500" cy="1270"/>
                          </a:xfrm>
                          <a:custGeom>
                            <a:avLst/>
                            <a:gdLst/>
                            <a:ahLst/>
                            <a:cxnLst/>
                            <a:rect l="l" t="t" r="r" b="b"/>
                            <a:pathLst>
                              <a:path w="2857500" h="0">
                                <a:moveTo>
                                  <a:pt x="0" y="0"/>
                                </a:moveTo>
                                <a:lnTo>
                                  <a:pt x="2857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5pt;height:1pt;mso-position-horizontal-relative:char;mso-position-vertical-relative:line" id="docshapegroup20" coordorigin="0,0" coordsize="4500,20">
                <v:line style="position:absolute" from="0,10" to="4500,10" stroked="true" strokeweight="1pt" strokecolor="#000000">
                  <v:stroke dashstyle="solid"/>
                </v:line>
              </v:group>
            </w:pict>
          </mc:Fallback>
        </mc:AlternateContent>
      </w:r>
      <w:r>
        <w:rPr>
          <w:sz w:val="2"/>
        </w:rPr>
      </w:r>
    </w:p>
    <w:p>
      <w:pPr>
        <w:pStyle w:val="BodyText"/>
        <w:spacing w:before="19"/>
        <w:rPr>
          <w:b/>
          <w:sz w:val="7"/>
        </w:rPr>
      </w:pPr>
    </w:p>
    <w:p>
      <w:pPr>
        <w:spacing w:after="0"/>
        <w:rPr>
          <w:sz w:val="7"/>
        </w:rPr>
        <w:sectPr>
          <w:type w:val="continuous"/>
          <w:pgSz w:w="12240" w:h="15840"/>
          <w:pgMar w:header="210" w:footer="579" w:top="680" w:bottom="280" w:left="780" w:right="740"/>
          <w:cols w:num="2" w:equalWidth="0">
            <w:col w:w="1576" w:space="2812"/>
            <w:col w:w="6332"/>
          </w:cols>
        </w:sectPr>
      </w:pPr>
    </w:p>
    <w:p>
      <w:pPr>
        <w:pStyle w:val="BodyText"/>
        <w:spacing w:before="2"/>
        <w:rPr>
          <w:b/>
          <w:sz w:val="4"/>
        </w:rPr>
      </w:pPr>
    </w:p>
    <w:p>
      <w:pPr>
        <w:pStyle w:val="BodyText"/>
        <w:ind w:left="230"/>
      </w:pPr>
      <w:r>
        <w:rPr/>
        <mc:AlternateContent>
          <mc:Choice Requires="wps">
            <w:drawing>
              <wp:inline distT="0" distB="0" distL="0" distR="0">
                <wp:extent cx="6502400" cy="304800"/>
                <wp:effectExtent l="0" t="0" r="0" b="0"/>
                <wp:docPr id="49" name="Group 49"/>
                <wp:cNvGraphicFramePr>
                  <a:graphicFrameLocks/>
                </wp:cNvGraphicFramePr>
                <a:graphic>
                  <a:graphicData uri="http://schemas.microsoft.com/office/word/2010/wordprocessingGroup">
                    <wpg:wgp>
                      <wpg:cNvPr id="49" name="Group 49"/>
                      <wpg:cNvGrpSpPr/>
                      <wpg:grpSpPr>
                        <a:xfrm>
                          <a:off x="0" y="0"/>
                          <a:ext cx="6502400" cy="304800"/>
                          <a:chExt cx="6502400" cy="304800"/>
                        </a:xfrm>
                      </wpg:grpSpPr>
                      <wps:wsp>
                        <wps:cNvPr id="50" name="Graphic 50"/>
                        <wps:cNvSpPr/>
                        <wps:spPr>
                          <a:xfrm>
                            <a:off x="0" y="0"/>
                            <a:ext cx="6502400" cy="304800"/>
                          </a:xfrm>
                          <a:custGeom>
                            <a:avLst/>
                            <a:gdLst/>
                            <a:ahLst/>
                            <a:cxnLst/>
                            <a:rect l="l" t="t" r="r" b="b"/>
                            <a:pathLst>
                              <a:path w="6502400" h="304800">
                                <a:moveTo>
                                  <a:pt x="6502400" y="0"/>
                                </a:moveTo>
                                <a:lnTo>
                                  <a:pt x="6502400" y="0"/>
                                </a:lnTo>
                                <a:lnTo>
                                  <a:pt x="0" y="0"/>
                                </a:lnTo>
                                <a:lnTo>
                                  <a:pt x="0" y="304800"/>
                                </a:lnTo>
                                <a:lnTo>
                                  <a:pt x="6502400" y="304800"/>
                                </a:lnTo>
                                <a:lnTo>
                                  <a:pt x="6502400" y="0"/>
                                </a:lnTo>
                                <a:close/>
                              </a:path>
                            </a:pathLst>
                          </a:custGeom>
                          <a:solidFill>
                            <a:srgbClr val="CCEDFF"/>
                          </a:solidFill>
                        </wps:spPr>
                        <wps:bodyPr wrap="square" lIns="0" tIns="0" rIns="0" bIns="0" rtlCol="0">
                          <a:prstTxWarp prst="textNoShape">
                            <a:avLst/>
                          </a:prstTxWarp>
                          <a:noAutofit/>
                        </wps:bodyPr>
                      </wps:wsp>
                      <wps:wsp>
                        <wps:cNvPr id="51" name="Textbox 51"/>
                        <wps:cNvSpPr txBox="1"/>
                        <wps:spPr>
                          <a:xfrm>
                            <a:off x="31750" y="6589"/>
                            <a:ext cx="1544320" cy="267970"/>
                          </a:xfrm>
                          <a:prstGeom prst="rect">
                            <a:avLst/>
                          </a:prstGeom>
                        </wps:spPr>
                        <wps:txbx>
                          <w:txbxContent>
                            <w:p>
                              <w:pPr>
                                <w:spacing w:line="208" w:lineRule="auto" w:before="15"/>
                                <w:ind w:left="0" w:right="0" w:firstLine="0"/>
                                <w:jc w:val="left"/>
                                <w:rPr>
                                  <w:sz w:val="20"/>
                                </w:rPr>
                              </w:pPr>
                              <w:r>
                                <w:rPr>
                                  <w:spacing w:val="-2"/>
                                  <w:sz w:val="20"/>
                                </w:rPr>
                                <w:t>West</w:t>
                              </w:r>
                              <w:r>
                                <w:rPr>
                                  <w:spacing w:val="-15"/>
                                  <w:sz w:val="20"/>
                                </w:rPr>
                                <w:t> </w:t>
                              </w:r>
                              <w:r>
                                <w:rPr>
                                  <w:spacing w:val="-2"/>
                                  <w:sz w:val="20"/>
                                </w:rPr>
                                <w:t>Tower,</w:t>
                              </w:r>
                              <w:r>
                                <w:rPr>
                                  <w:spacing w:val="-11"/>
                                  <w:sz w:val="20"/>
                                </w:rPr>
                                <w:t> </w:t>
                              </w:r>
                              <w:r>
                                <w:rPr>
                                  <w:spacing w:val="-2"/>
                                  <w:sz w:val="20"/>
                                </w:rPr>
                                <w:t>345</w:t>
                              </w:r>
                              <w:r>
                                <w:rPr>
                                  <w:spacing w:val="-11"/>
                                  <w:sz w:val="20"/>
                                </w:rPr>
                                <w:t> </w:t>
                              </w:r>
                              <w:r>
                                <w:rPr>
                                  <w:spacing w:val="-2"/>
                                  <w:sz w:val="20"/>
                                </w:rPr>
                                <w:t>Park</w:t>
                              </w:r>
                              <w:r>
                                <w:rPr>
                                  <w:spacing w:val="-10"/>
                                  <w:sz w:val="20"/>
                                </w:rPr>
                                <w:t> </w:t>
                              </w:r>
                              <w:r>
                                <w:rPr>
                                  <w:spacing w:val="-2"/>
                                  <w:sz w:val="20"/>
                                </w:rPr>
                                <w:t>Avenue </w:t>
                              </w:r>
                              <w:r>
                                <w:rPr>
                                  <w:sz w:val="20"/>
                                </w:rPr>
                                <w:t>San Jose, CA 95110, USA</w:t>
                              </w:r>
                            </w:p>
                          </w:txbxContent>
                        </wps:txbx>
                        <wps:bodyPr wrap="square" lIns="0" tIns="0" rIns="0" bIns="0" rtlCol="0">
                          <a:noAutofit/>
                        </wps:bodyPr>
                      </wps:wsp>
                      <wps:wsp>
                        <wps:cNvPr id="52" name="Textbox 52"/>
                        <wps:cNvSpPr txBox="1"/>
                        <wps:spPr>
                          <a:xfrm>
                            <a:off x="3005454" y="6589"/>
                            <a:ext cx="425450" cy="140970"/>
                          </a:xfrm>
                          <a:prstGeom prst="rect">
                            <a:avLst/>
                          </a:prstGeom>
                        </wps:spPr>
                        <wps:txbx>
                          <w:txbxContent>
                            <w:p>
                              <w:pPr>
                                <w:spacing w:line="221" w:lineRule="exact" w:before="0"/>
                                <w:ind w:left="0" w:right="0" w:firstLine="0"/>
                                <w:jc w:val="left"/>
                                <w:rPr>
                                  <w:sz w:val="20"/>
                                </w:rPr>
                              </w:pPr>
                              <w:r>
                                <w:rPr>
                                  <w:spacing w:val="-2"/>
                                  <w:sz w:val="20"/>
                                </w:rPr>
                                <w:t>391,000</w:t>
                              </w:r>
                            </w:p>
                          </w:txbxContent>
                        </wps:txbx>
                        <wps:bodyPr wrap="square" lIns="0" tIns="0" rIns="0" bIns="0" rtlCol="0">
                          <a:noAutofit/>
                        </wps:bodyPr>
                      </wps:wsp>
                      <wps:wsp>
                        <wps:cNvPr id="53" name="Textbox 53"/>
                        <wps:cNvSpPr txBox="1"/>
                        <wps:spPr>
                          <a:xfrm>
                            <a:off x="3676650" y="6589"/>
                            <a:ext cx="2721610" cy="267970"/>
                          </a:xfrm>
                          <a:prstGeom prst="rect">
                            <a:avLst/>
                          </a:prstGeom>
                        </wps:spPr>
                        <wps:txbx>
                          <w:txbxContent>
                            <w:p>
                              <w:pPr>
                                <w:spacing w:line="208" w:lineRule="auto" w:before="15"/>
                                <w:ind w:left="0" w:right="0" w:firstLine="0"/>
                                <w:jc w:val="left"/>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xbxContent>
                        </wps:txbx>
                        <wps:bodyPr wrap="square" lIns="0" tIns="0" rIns="0" bIns="0" rtlCol="0">
                          <a:noAutofit/>
                        </wps:bodyPr>
                      </wps:wsp>
                    </wpg:wgp>
                  </a:graphicData>
                </a:graphic>
              </wp:inline>
            </w:drawing>
          </mc:Choice>
          <mc:Fallback>
            <w:pict>
              <v:group style="width:512pt;height:24pt;mso-position-horizontal-relative:char;mso-position-vertical-relative:line" id="docshapegroup21" coordorigin="0,0" coordsize="10240,480">
                <v:rect style="position:absolute;left:0;top:0;width:10240;height:480" id="docshape22" filled="true" fillcolor="#ccedff" stroked="false">
                  <v:fill type="solid"/>
                </v:rect>
                <v:shape style="position:absolute;left:50;top:10;width:2432;height:422" type="#_x0000_t202" id="docshape23" filled="false" stroked="false">
                  <v:textbox inset="0,0,0,0">
                    <w:txbxContent>
                      <w:p>
                        <w:pPr>
                          <w:spacing w:line="208" w:lineRule="auto" w:before="15"/>
                          <w:ind w:left="0" w:right="0" w:firstLine="0"/>
                          <w:jc w:val="left"/>
                          <w:rPr>
                            <w:sz w:val="20"/>
                          </w:rPr>
                        </w:pPr>
                        <w:r>
                          <w:rPr>
                            <w:spacing w:val="-2"/>
                            <w:sz w:val="20"/>
                          </w:rPr>
                          <w:t>West</w:t>
                        </w:r>
                        <w:r>
                          <w:rPr>
                            <w:spacing w:val="-15"/>
                            <w:sz w:val="20"/>
                          </w:rPr>
                          <w:t> </w:t>
                        </w:r>
                        <w:r>
                          <w:rPr>
                            <w:spacing w:val="-2"/>
                            <w:sz w:val="20"/>
                          </w:rPr>
                          <w:t>Tower,</w:t>
                        </w:r>
                        <w:r>
                          <w:rPr>
                            <w:spacing w:val="-11"/>
                            <w:sz w:val="20"/>
                          </w:rPr>
                          <w:t> </w:t>
                        </w:r>
                        <w:r>
                          <w:rPr>
                            <w:spacing w:val="-2"/>
                            <w:sz w:val="20"/>
                          </w:rPr>
                          <w:t>345</w:t>
                        </w:r>
                        <w:r>
                          <w:rPr>
                            <w:spacing w:val="-11"/>
                            <w:sz w:val="20"/>
                          </w:rPr>
                          <w:t> </w:t>
                        </w:r>
                        <w:r>
                          <w:rPr>
                            <w:spacing w:val="-2"/>
                            <w:sz w:val="20"/>
                          </w:rPr>
                          <w:t>Park</w:t>
                        </w:r>
                        <w:r>
                          <w:rPr>
                            <w:spacing w:val="-10"/>
                            <w:sz w:val="20"/>
                          </w:rPr>
                          <w:t> </w:t>
                        </w:r>
                        <w:r>
                          <w:rPr>
                            <w:spacing w:val="-2"/>
                            <w:sz w:val="20"/>
                          </w:rPr>
                          <w:t>Avenue </w:t>
                        </w:r>
                        <w:r>
                          <w:rPr>
                            <w:sz w:val="20"/>
                          </w:rPr>
                          <w:t>San Jose, CA 95110, USA</w:t>
                        </w:r>
                      </w:p>
                    </w:txbxContent>
                  </v:textbox>
                  <w10:wrap type="none"/>
                </v:shape>
                <v:shape style="position:absolute;left:4733;top:10;width:670;height:222" type="#_x0000_t202" id="docshape24" filled="false" stroked="false">
                  <v:textbox inset="0,0,0,0">
                    <w:txbxContent>
                      <w:p>
                        <w:pPr>
                          <w:spacing w:line="221" w:lineRule="exact" w:before="0"/>
                          <w:ind w:left="0" w:right="0" w:firstLine="0"/>
                          <w:jc w:val="left"/>
                          <w:rPr>
                            <w:sz w:val="20"/>
                          </w:rPr>
                        </w:pPr>
                        <w:r>
                          <w:rPr>
                            <w:spacing w:val="-2"/>
                            <w:sz w:val="20"/>
                          </w:rPr>
                          <w:t>391,000</w:t>
                        </w:r>
                      </w:p>
                    </w:txbxContent>
                  </v:textbox>
                  <w10:wrap type="none"/>
                </v:shape>
                <v:shape style="position:absolute;left:5790;top:10;width:4286;height:422" type="#_x0000_t202" id="docshape25" filled="false" stroked="false">
                  <v:textbox inset="0,0,0,0">
                    <w:txbxContent>
                      <w:p>
                        <w:pPr>
                          <w:spacing w:line="208" w:lineRule="auto" w:before="15"/>
                          <w:ind w:left="0" w:right="0" w:firstLine="0"/>
                          <w:jc w:val="left"/>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xbxContent>
                  </v:textbox>
                  <w10:wrap type="none"/>
                </v:shape>
              </v:group>
            </w:pict>
          </mc:Fallback>
        </mc:AlternateContent>
      </w:r>
      <w:r>
        <w:rPr/>
      </w:r>
    </w:p>
    <w:p>
      <w:pPr>
        <w:spacing w:after="0"/>
        <w:sectPr>
          <w:type w:val="continuous"/>
          <w:pgSz w:w="12240" w:h="15840"/>
          <w:pgMar w:header="210" w:footer="579" w:top="680" w:bottom="280" w:left="780" w:right="740"/>
        </w:sectPr>
      </w:pPr>
    </w:p>
    <w:p>
      <w:pPr>
        <w:pStyle w:val="BodyText"/>
        <w:spacing w:line="208" w:lineRule="auto" w:before="1"/>
        <w:ind w:left="280" w:right="38"/>
      </w:pPr>
      <w:r>
        <w:rPr>
          <w:spacing w:val="-2"/>
        </w:rPr>
        <w:t>East</w:t>
      </w:r>
      <w:r>
        <w:rPr>
          <w:spacing w:val="-11"/>
        </w:rPr>
        <w:t> </w:t>
      </w:r>
      <w:r>
        <w:rPr>
          <w:spacing w:val="-2"/>
        </w:rPr>
        <w:t>Tower,</w:t>
      </w:r>
      <w:r>
        <w:rPr>
          <w:spacing w:val="-8"/>
        </w:rPr>
        <w:t> </w:t>
      </w:r>
      <w:r>
        <w:rPr>
          <w:spacing w:val="-2"/>
        </w:rPr>
        <w:t>321</w:t>
      </w:r>
      <w:r>
        <w:rPr>
          <w:spacing w:val="-6"/>
        </w:rPr>
        <w:t> </w:t>
      </w:r>
      <w:r>
        <w:rPr>
          <w:spacing w:val="-2"/>
        </w:rPr>
        <w:t>Park</w:t>
      </w:r>
      <w:r>
        <w:rPr>
          <w:spacing w:val="-11"/>
        </w:rPr>
        <w:t> </w:t>
      </w:r>
      <w:r>
        <w:rPr>
          <w:spacing w:val="-2"/>
        </w:rPr>
        <w:t>Avenue </w:t>
      </w:r>
      <w:r>
        <w:rPr/>
        <w:t>San Jose, CA 95110, USA</w:t>
      </w:r>
    </w:p>
    <w:p>
      <w:pPr>
        <w:pStyle w:val="BodyText"/>
        <w:tabs>
          <w:tab w:pos="1336" w:val="left" w:leader="none"/>
        </w:tabs>
        <w:spacing w:line="208" w:lineRule="auto" w:before="1"/>
        <w:ind w:left="1337" w:right="432" w:hanging="1057"/>
      </w:pPr>
      <w:r>
        <w:rPr/>
        <w:br w:type="column"/>
      </w:r>
      <w:r>
        <w:rPr>
          <w:spacing w:val="-2"/>
        </w:rPr>
        <w:t>325,000</w:t>
      </w:r>
      <w:r>
        <w:rPr/>
        <w:tab/>
        <w:t>Research,</w:t>
      </w:r>
      <w:r>
        <w:rPr>
          <w:spacing w:val="-8"/>
        </w:rPr>
        <w:t> </w:t>
      </w:r>
      <w:r>
        <w:rPr/>
        <w:t>product</w:t>
      </w:r>
      <w:r>
        <w:rPr>
          <w:spacing w:val="-8"/>
        </w:rPr>
        <w:t> </w:t>
      </w:r>
      <w:r>
        <w:rPr/>
        <w:t>development,</w:t>
      </w:r>
      <w:r>
        <w:rPr>
          <w:spacing w:val="-8"/>
        </w:rPr>
        <w:t> </w:t>
      </w:r>
      <w:r>
        <w:rPr/>
        <w:t>sales,</w:t>
      </w:r>
      <w:r>
        <w:rPr>
          <w:spacing w:val="-8"/>
        </w:rPr>
        <w:t> </w:t>
      </w:r>
      <w:r>
        <w:rPr/>
        <w:t>marketing</w:t>
      </w:r>
      <w:r>
        <w:rPr>
          <w:spacing w:val="-8"/>
        </w:rPr>
        <w:t> </w:t>
      </w:r>
      <w:r>
        <w:rPr/>
        <w:t>and </w:t>
      </w:r>
      <w:r>
        <w:rPr>
          <w:spacing w:val="-2"/>
        </w:rPr>
        <w:t>administration</w:t>
      </w:r>
    </w:p>
    <w:p>
      <w:pPr>
        <w:spacing w:after="0" w:line="208" w:lineRule="auto"/>
        <w:sectPr>
          <w:type w:val="continuous"/>
          <w:pgSz w:w="12240" w:h="15840"/>
          <w:pgMar w:header="210" w:footer="579" w:top="680" w:bottom="280" w:left="780" w:right="740"/>
          <w:cols w:num="2" w:equalWidth="0">
            <w:col w:w="2682" w:space="2001"/>
            <w:col w:w="6037"/>
          </w:cols>
        </w:sectPr>
      </w:pPr>
    </w:p>
    <w:p>
      <w:pPr>
        <w:pStyle w:val="BodyText"/>
        <w:spacing w:before="8"/>
        <w:rPr>
          <w:sz w:val="4"/>
        </w:rPr>
      </w:pPr>
    </w:p>
    <w:p>
      <w:pPr>
        <w:pStyle w:val="BodyText"/>
        <w:ind w:left="230"/>
      </w:pPr>
      <w:r>
        <w:rPr/>
        <mc:AlternateContent>
          <mc:Choice Requires="wps">
            <w:drawing>
              <wp:inline distT="0" distB="0" distL="0" distR="0">
                <wp:extent cx="6502400" cy="304800"/>
                <wp:effectExtent l="0" t="0" r="0" b="0"/>
                <wp:docPr id="54" name="Group 54"/>
                <wp:cNvGraphicFramePr>
                  <a:graphicFrameLocks/>
                </wp:cNvGraphicFramePr>
                <a:graphic>
                  <a:graphicData uri="http://schemas.microsoft.com/office/word/2010/wordprocessingGroup">
                    <wpg:wgp>
                      <wpg:cNvPr id="54" name="Group 54"/>
                      <wpg:cNvGrpSpPr/>
                      <wpg:grpSpPr>
                        <a:xfrm>
                          <a:off x="0" y="0"/>
                          <a:ext cx="6502400" cy="304800"/>
                          <a:chExt cx="6502400" cy="304800"/>
                        </a:xfrm>
                      </wpg:grpSpPr>
                      <wps:wsp>
                        <wps:cNvPr id="55" name="Graphic 55"/>
                        <wps:cNvSpPr/>
                        <wps:spPr>
                          <a:xfrm>
                            <a:off x="0" y="0"/>
                            <a:ext cx="6502400" cy="304800"/>
                          </a:xfrm>
                          <a:custGeom>
                            <a:avLst/>
                            <a:gdLst/>
                            <a:ahLst/>
                            <a:cxnLst/>
                            <a:rect l="l" t="t" r="r" b="b"/>
                            <a:pathLst>
                              <a:path w="6502400" h="304800">
                                <a:moveTo>
                                  <a:pt x="6502400" y="0"/>
                                </a:moveTo>
                                <a:lnTo>
                                  <a:pt x="6502400" y="0"/>
                                </a:lnTo>
                                <a:lnTo>
                                  <a:pt x="0" y="0"/>
                                </a:lnTo>
                                <a:lnTo>
                                  <a:pt x="0" y="304800"/>
                                </a:lnTo>
                                <a:lnTo>
                                  <a:pt x="6502400" y="304800"/>
                                </a:lnTo>
                                <a:lnTo>
                                  <a:pt x="6502400" y="0"/>
                                </a:lnTo>
                                <a:close/>
                              </a:path>
                            </a:pathLst>
                          </a:custGeom>
                          <a:solidFill>
                            <a:srgbClr val="CCEDFF"/>
                          </a:solidFill>
                        </wps:spPr>
                        <wps:bodyPr wrap="square" lIns="0" tIns="0" rIns="0" bIns="0" rtlCol="0">
                          <a:prstTxWarp prst="textNoShape">
                            <a:avLst/>
                          </a:prstTxWarp>
                          <a:noAutofit/>
                        </wps:bodyPr>
                      </wps:wsp>
                      <wps:wsp>
                        <wps:cNvPr id="56" name="Textbox 56"/>
                        <wps:cNvSpPr txBox="1"/>
                        <wps:spPr>
                          <a:xfrm>
                            <a:off x="31750" y="6589"/>
                            <a:ext cx="2134235" cy="267970"/>
                          </a:xfrm>
                          <a:prstGeom prst="rect">
                            <a:avLst/>
                          </a:prstGeom>
                        </wps:spPr>
                        <wps:txbx>
                          <w:txbxContent>
                            <w:p>
                              <w:pPr>
                                <w:spacing w:line="208" w:lineRule="auto" w:before="15"/>
                                <w:ind w:left="0" w:right="0" w:firstLine="0"/>
                                <w:jc w:val="left"/>
                                <w:rPr>
                                  <w:sz w:val="20"/>
                                </w:rPr>
                              </w:pPr>
                              <w:r>
                                <w:rPr>
                                  <w:sz w:val="20"/>
                                </w:rPr>
                                <w:t>Almaden</w:t>
                              </w:r>
                              <w:r>
                                <w:rPr>
                                  <w:spacing w:val="-13"/>
                                  <w:sz w:val="20"/>
                                </w:rPr>
                                <w:t> </w:t>
                              </w:r>
                              <w:r>
                                <w:rPr>
                                  <w:sz w:val="20"/>
                                </w:rPr>
                                <w:t>Tower,</w:t>
                              </w:r>
                              <w:r>
                                <w:rPr>
                                  <w:spacing w:val="-13"/>
                                  <w:sz w:val="20"/>
                                </w:rPr>
                                <w:t> </w:t>
                              </w:r>
                              <w:r>
                                <w:rPr>
                                  <w:sz w:val="20"/>
                                </w:rPr>
                                <w:t>151</w:t>
                              </w:r>
                              <w:r>
                                <w:rPr>
                                  <w:spacing w:val="-13"/>
                                  <w:sz w:val="20"/>
                                </w:rPr>
                                <w:t> </w:t>
                              </w:r>
                              <w:r>
                                <w:rPr>
                                  <w:sz w:val="20"/>
                                </w:rPr>
                                <w:t>Almaden</w:t>
                              </w:r>
                              <w:r>
                                <w:rPr>
                                  <w:spacing w:val="-12"/>
                                  <w:sz w:val="20"/>
                                </w:rPr>
                                <w:t> </w:t>
                              </w:r>
                              <w:r>
                                <w:rPr>
                                  <w:sz w:val="20"/>
                                </w:rPr>
                                <w:t>Boulevard San Jose, CA 95110, USA</w:t>
                              </w:r>
                            </w:p>
                          </w:txbxContent>
                        </wps:txbx>
                        <wps:bodyPr wrap="square" lIns="0" tIns="0" rIns="0" bIns="0" rtlCol="0">
                          <a:noAutofit/>
                        </wps:bodyPr>
                      </wps:wsp>
                      <wps:wsp>
                        <wps:cNvPr id="57" name="Textbox 57"/>
                        <wps:cNvSpPr txBox="1"/>
                        <wps:spPr>
                          <a:xfrm>
                            <a:off x="3005454" y="6589"/>
                            <a:ext cx="425450" cy="140970"/>
                          </a:xfrm>
                          <a:prstGeom prst="rect">
                            <a:avLst/>
                          </a:prstGeom>
                        </wps:spPr>
                        <wps:txbx>
                          <w:txbxContent>
                            <w:p>
                              <w:pPr>
                                <w:spacing w:line="221" w:lineRule="exact" w:before="0"/>
                                <w:ind w:left="0" w:right="0" w:firstLine="0"/>
                                <w:jc w:val="left"/>
                                <w:rPr>
                                  <w:sz w:val="20"/>
                                </w:rPr>
                              </w:pPr>
                              <w:r>
                                <w:rPr>
                                  <w:spacing w:val="-2"/>
                                  <w:sz w:val="20"/>
                                </w:rPr>
                                <w:t>273,000</w:t>
                              </w:r>
                            </w:p>
                          </w:txbxContent>
                        </wps:txbx>
                        <wps:bodyPr wrap="square" lIns="0" tIns="0" rIns="0" bIns="0" rtlCol="0">
                          <a:noAutofit/>
                        </wps:bodyPr>
                      </wps:wsp>
                      <wps:wsp>
                        <wps:cNvPr id="58" name="Textbox 58"/>
                        <wps:cNvSpPr txBox="1"/>
                        <wps:spPr>
                          <a:xfrm>
                            <a:off x="3676650" y="6589"/>
                            <a:ext cx="2721610" cy="267970"/>
                          </a:xfrm>
                          <a:prstGeom prst="rect">
                            <a:avLst/>
                          </a:prstGeom>
                        </wps:spPr>
                        <wps:txbx>
                          <w:txbxContent>
                            <w:p>
                              <w:pPr>
                                <w:spacing w:line="208" w:lineRule="auto" w:before="15"/>
                                <w:ind w:left="0" w:right="0" w:firstLine="0"/>
                                <w:jc w:val="left"/>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xbxContent>
                        </wps:txbx>
                        <wps:bodyPr wrap="square" lIns="0" tIns="0" rIns="0" bIns="0" rtlCol="0">
                          <a:noAutofit/>
                        </wps:bodyPr>
                      </wps:wsp>
                    </wpg:wgp>
                  </a:graphicData>
                </a:graphic>
              </wp:inline>
            </w:drawing>
          </mc:Choice>
          <mc:Fallback>
            <w:pict>
              <v:group style="width:512pt;height:24pt;mso-position-horizontal-relative:char;mso-position-vertical-relative:line" id="docshapegroup26" coordorigin="0,0" coordsize="10240,480">
                <v:rect style="position:absolute;left:0;top:0;width:10240;height:480" id="docshape27" filled="true" fillcolor="#ccedff" stroked="false">
                  <v:fill type="solid"/>
                </v:rect>
                <v:shape style="position:absolute;left:50;top:10;width:3361;height:422" type="#_x0000_t202" id="docshape28" filled="false" stroked="false">
                  <v:textbox inset="0,0,0,0">
                    <w:txbxContent>
                      <w:p>
                        <w:pPr>
                          <w:spacing w:line="208" w:lineRule="auto" w:before="15"/>
                          <w:ind w:left="0" w:right="0" w:firstLine="0"/>
                          <w:jc w:val="left"/>
                          <w:rPr>
                            <w:sz w:val="20"/>
                          </w:rPr>
                        </w:pPr>
                        <w:r>
                          <w:rPr>
                            <w:sz w:val="20"/>
                          </w:rPr>
                          <w:t>Almaden</w:t>
                        </w:r>
                        <w:r>
                          <w:rPr>
                            <w:spacing w:val="-13"/>
                            <w:sz w:val="20"/>
                          </w:rPr>
                          <w:t> </w:t>
                        </w:r>
                        <w:r>
                          <w:rPr>
                            <w:sz w:val="20"/>
                          </w:rPr>
                          <w:t>Tower,</w:t>
                        </w:r>
                        <w:r>
                          <w:rPr>
                            <w:spacing w:val="-13"/>
                            <w:sz w:val="20"/>
                          </w:rPr>
                          <w:t> </w:t>
                        </w:r>
                        <w:r>
                          <w:rPr>
                            <w:sz w:val="20"/>
                          </w:rPr>
                          <w:t>151</w:t>
                        </w:r>
                        <w:r>
                          <w:rPr>
                            <w:spacing w:val="-13"/>
                            <w:sz w:val="20"/>
                          </w:rPr>
                          <w:t> </w:t>
                        </w:r>
                        <w:r>
                          <w:rPr>
                            <w:sz w:val="20"/>
                          </w:rPr>
                          <w:t>Almaden</w:t>
                        </w:r>
                        <w:r>
                          <w:rPr>
                            <w:spacing w:val="-12"/>
                            <w:sz w:val="20"/>
                          </w:rPr>
                          <w:t> </w:t>
                        </w:r>
                        <w:r>
                          <w:rPr>
                            <w:sz w:val="20"/>
                          </w:rPr>
                          <w:t>Boulevard San Jose, CA 95110, USA</w:t>
                        </w:r>
                      </w:p>
                    </w:txbxContent>
                  </v:textbox>
                  <w10:wrap type="none"/>
                </v:shape>
                <v:shape style="position:absolute;left:4733;top:10;width:670;height:222" type="#_x0000_t202" id="docshape29" filled="false" stroked="false">
                  <v:textbox inset="0,0,0,0">
                    <w:txbxContent>
                      <w:p>
                        <w:pPr>
                          <w:spacing w:line="221" w:lineRule="exact" w:before="0"/>
                          <w:ind w:left="0" w:right="0" w:firstLine="0"/>
                          <w:jc w:val="left"/>
                          <w:rPr>
                            <w:sz w:val="20"/>
                          </w:rPr>
                        </w:pPr>
                        <w:r>
                          <w:rPr>
                            <w:spacing w:val="-2"/>
                            <w:sz w:val="20"/>
                          </w:rPr>
                          <w:t>273,000</w:t>
                        </w:r>
                      </w:p>
                    </w:txbxContent>
                  </v:textbox>
                  <w10:wrap type="none"/>
                </v:shape>
                <v:shape style="position:absolute;left:5790;top:10;width:4286;height:422" type="#_x0000_t202" id="docshape30" filled="false" stroked="false">
                  <v:textbox inset="0,0,0,0">
                    <w:txbxContent>
                      <w:p>
                        <w:pPr>
                          <w:spacing w:line="208" w:lineRule="auto" w:before="15"/>
                          <w:ind w:left="0" w:right="0" w:firstLine="0"/>
                          <w:jc w:val="left"/>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xbxContent>
                  </v:textbox>
                  <w10:wrap type="none"/>
                </v:shape>
              </v:group>
            </w:pict>
          </mc:Fallback>
        </mc:AlternateContent>
      </w:r>
      <w:r>
        <w:rPr/>
      </w:r>
    </w:p>
    <w:p>
      <w:pPr>
        <w:spacing w:after="0"/>
        <w:sectPr>
          <w:type w:val="continuous"/>
          <w:pgSz w:w="12240" w:h="15840"/>
          <w:pgMar w:header="210" w:footer="579" w:top="680" w:bottom="280" w:left="780" w:right="740"/>
        </w:sectPr>
      </w:pPr>
    </w:p>
    <w:p>
      <w:pPr>
        <w:pStyle w:val="BodyText"/>
        <w:spacing w:line="208" w:lineRule="auto" w:before="1"/>
        <w:ind w:left="280" w:right="38"/>
      </w:pPr>
      <w:r>
        <w:rPr/>
        <w:t>601 and 625 Townsend Street San</w:t>
      </w:r>
      <w:r>
        <w:rPr>
          <w:spacing w:val="-12"/>
        </w:rPr>
        <w:t> </w:t>
      </w:r>
      <w:r>
        <w:rPr/>
        <w:t>Francisco,</w:t>
      </w:r>
      <w:r>
        <w:rPr>
          <w:spacing w:val="-10"/>
        </w:rPr>
        <w:t> </w:t>
      </w:r>
      <w:r>
        <w:rPr/>
        <w:t>CA</w:t>
      </w:r>
      <w:r>
        <w:rPr>
          <w:spacing w:val="-13"/>
        </w:rPr>
        <w:t> </w:t>
      </w:r>
      <w:r>
        <w:rPr/>
        <w:t>94103,</w:t>
      </w:r>
      <w:r>
        <w:rPr>
          <w:spacing w:val="-10"/>
        </w:rPr>
        <w:t> </w:t>
      </w:r>
      <w:r>
        <w:rPr/>
        <w:t>US</w:t>
      </w:r>
      <w:r>
        <w:rPr/>
        <w:t>A</w:t>
      </w:r>
    </w:p>
    <w:p>
      <w:pPr>
        <w:pStyle w:val="BodyText"/>
        <w:tabs>
          <w:tab w:pos="1336" w:val="left" w:leader="none"/>
        </w:tabs>
        <w:spacing w:line="208" w:lineRule="auto" w:before="1"/>
        <w:ind w:left="1337" w:right="432" w:hanging="1057"/>
      </w:pPr>
      <w:r>
        <w:rPr/>
        <w:br w:type="column"/>
      </w:r>
      <w:r>
        <w:rPr>
          <w:spacing w:val="-2"/>
        </w:rPr>
        <w:t>346,000</w:t>
      </w:r>
      <w:r>
        <w:rPr/>
        <w:tab/>
        <w:t>Research,</w:t>
      </w:r>
      <w:r>
        <w:rPr>
          <w:spacing w:val="-8"/>
        </w:rPr>
        <w:t> </w:t>
      </w:r>
      <w:r>
        <w:rPr/>
        <w:t>product</w:t>
      </w:r>
      <w:r>
        <w:rPr>
          <w:spacing w:val="-8"/>
        </w:rPr>
        <w:t> </w:t>
      </w:r>
      <w:r>
        <w:rPr/>
        <w:t>development,</w:t>
      </w:r>
      <w:r>
        <w:rPr>
          <w:spacing w:val="-8"/>
        </w:rPr>
        <w:t> </w:t>
      </w:r>
      <w:r>
        <w:rPr/>
        <w:t>sales,</w:t>
      </w:r>
      <w:r>
        <w:rPr>
          <w:spacing w:val="-8"/>
        </w:rPr>
        <w:t> </w:t>
      </w:r>
      <w:r>
        <w:rPr/>
        <w:t>marketing</w:t>
      </w:r>
      <w:r>
        <w:rPr>
          <w:spacing w:val="-8"/>
        </w:rPr>
        <w:t> </w:t>
      </w:r>
      <w:r>
        <w:rPr/>
        <w:t>and </w:t>
      </w:r>
      <w:r>
        <w:rPr>
          <w:spacing w:val="-2"/>
        </w:rPr>
        <w:t>administration</w:t>
      </w:r>
    </w:p>
    <w:p>
      <w:pPr>
        <w:spacing w:after="0" w:line="208" w:lineRule="auto"/>
        <w:sectPr>
          <w:type w:val="continuous"/>
          <w:pgSz w:w="12240" w:h="15840"/>
          <w:pgMar w:header="210" w:footer="579" w:top="680" w:bottom="280" w:left="780" w:right="740"/>
          <w:cols w:num="2" w:equalWidth="0">
            <w:col w:w="2870" w:space="1813"/>
            <w:col w:w="6037"/>
          </w:cols>
        </w:sectPr>
      </w:pPr>
    </w:p>
    <w:p>
      <w:pPr>
        <w:pStyle w:val="BodyText"/>
        <w:spacing w:before="8"/>
        <w:rPr>
          <w:sz w:val="4"/>
        </w:rPr>
      </w:pPr>
    </w:p>
    <w:p>
      <w:pPr>
        <w:pStyle w:val="BodyText"/>
        <w:ind w:left="230"/>
      </w:pPr>
      <w:r>
        <w:rPr/>
        <mc:AlternateContent>
          <mc:Choice Requires="wps">
            <w:drawing>
              <wp:inline distT="0" distB="0" distL="0" distR="0">
                <wp:extent cx="6502400" cy="304800"/>
                <wp:effectExtent l="0" t="0" r="0" b="0"/>
                <wp:docPr id="59" name="Group 59"/>
                <wp:cNvGraphicFramePr>
                  <a:graphicFrameLocks/>
                </wp:cNvGraphicFramePr>
                <a:graphic>
                  <a:graphicData uri="http://schemas.microsoft.com/office/word/2010/wordprocessingGroup">
                    <wpg:wgp>
                      <wpg:cNvPr id="59" name="Group 59"/>
                      <wpg:cNvGrpSpPr/>
                      <wpg:grpSpPr>
                        <a:xfrm>
                          <a:off x="0" y="0"/>
                          <a:ext cx="6502400" cy="304800"/>
                          <a:chExt cx="6502400" cy="304800"/>
                        </a:xfrm>
                      </wpg:grpSpPr>
                      <wps:wsp>
                        <wps:cNvPr id="60" name="Graphic 60"/>
                        <wps:cNvSpPr/>
                        <wps:spPr>
                          <a:xfrm>
                            <a:off x="0" y="0"/>
                            <a:ext cx="6502400" cy="304800"/>
                          </a:xfrm>
                          <a:custGeom>
                            <a:avLst/>
                            <a:gdLst/>
                            <a:ahLst/>
                            <a:cxnLst/>
                            <a:rect l="l" t="t" r="r" b="b"/>
                            <a:pathLst>
                              <a:path w="6502400" h="304800">
                                <a:moveTo>
                                  <a:pt x="6502400" y="0"/>
                                </a:moveTo>
                                <a:lnTo>
                                  <a:pt x="6502400" y="0"/>
                                </a:lnTo>
                                <a:lnTo>
                                  <a:pt x="0" y="0"/>
                                </a:lnTo>
                                <a:lnTo>
                                  <a:pt x="0" y="304800"/>
                                </a:lnTo>
                                <a:lnTo>
                                  <a:pt x="6502400" y="304800"/>
                                </a:lnTo>
                                <a:lnTo>
                                  <a:pt x="6502400" y="0"/>
                                </a:lnTo>
                                <a:close/>
                              </a:path>
                            </a:pathLst>
                          </a:custGeom>
                          <a:solidFill>
                            <a:srgbClr val="CCEDFF"/>
                          </a:solidFill>
                        </wps:spPr>
                        <wps:bodyPr wrap="square" lIns="0" tIns="0" rIns="0" bIns="0" rtlCol="0">
                          <a:prstTxWarp prst="textNoShape">
                            <a:avLst/>
                          </a:prstTxWarp>
                          <a:noAutofit/>
                        </wps:bodyPr>
                      </wps:wsp>
                      <wps:wsp>
                        <wps:cNvPr id="61" name="Textbox 61"/>
                        <wps:cNvSpPr txBox="1"/>
                        <wps:spPr>
                          <a:xfrm>
                            <a:off x="31750" y="6589"/>
                            <a:ext cx="1628775" cy="267970"/>
                          </a:xfrm>
                          <a:prstGeom prst="rect">
                            <a:avLst/>
                          </a:prstGeom>
                        </wps:spPr>
                        <wps:txbx>
                          <w:txbxContent>
                            <w:p>
                              <w:pPr>
                                <w:spacing w:line="206" w:lineRule="exact" w:before="0"/>
                                <w:ind w:left="0" w:right="0" w:firstLine="0"/>
                                <w:jc w:val="left"/>
                                <w:rPr>
                                  <w:sz w:val="20"/>
                                </w:rPr>
                              </w:pPr>
                              <w:r>
                                <w:rPr>
                                  <w:sz w:val="20"/>
                                </w:rPr>
                                <w:t>410</w:t>
                              </w:r>
                              <w:r>
                                <w:rPr>
                                  <w:spacing w:val="-11"/>
                                  <w:sz w:val="20"/>
                                </w:rPr>
                                <w:t> </w:t>
                              </w:r>
                              <w:r>
                                <w:rPr>
                                  <w:sz w:val="20"/>
                                </w:rPr>
                                <w:t>Townsend</w:t>
                              </w:r>
                              <w:r>
                                <w:rPr>
                                  <w:spacing w:val="-7"/>
                                  <w:sz w:val="20"/>
                                </w:rPr>
                                <w:t> </w:t>
                              </w:r>
                              <w:r>
                                <w:rPr>
                                  <w:spacing w:val="-2"/>
                                  <w:sz w:val="20"/>
                                </w:rPr>
                                <w:t>Street</w:t>
                              </w:r>
                            </w:p>
                            <w:p>
                              <w:pPr>
                                <w:spacing w:line="215" w:lineRule="exact" w:before="0"/>
                                <w:ind w:left="0" w:right="0" w:firstLine="0"/>
                                <w:jc w:val="left"/>
                                <w:rPr>
                                  <w:sz w:val="20"/>
                                </w:rPr>
                              </w:pPr>
                              <w:r>
                                <w:rPr>
                                  <w:sz w:val="20"/>
                                </w:rPr>
                                <w:t>San</w:t>
                              </w:r>
                              <w:r>
                                <w:rPr>
                                  <w:spacing w:val="-1"/>
                                  <w:sz w:val="20"/>
                                </w:rPr>
                                <w:t> </w:t>
                              </w:r>
                              <w:r>
                                <w:rPr>
                                  <w:sz w:val="20"/>
                                </w:rPr>
                                <w:t>Francisco, CA</w:t>
                              </w:r>
                              <w:r>
                                <w:rPr>
                                  <w:spacing w:val="-11"/>
                                  <w:sz w:val="20"/>
                                </w:rPr>
                                <w:t> </w:t>
                              </w:r>
                              <w:r>
                                <w:rPr>
                                  <w:sz w:val="20"/>
                                </w:rPr>
                                <w:t>94107, </w:t>
                              </w:r>
                              <w:r>
                                <w:rPr>
                                  <w:spacing w:val="-5"/>
                                  <w:sz w:val="20"/>
                                </w:rPr>
                                <w:t>USA</w:t>
                              </w:r>
                            </w:p>
                          </w:txbxContent>
                        </wps:txbx>
                        <wps:bodyPr wrap="square" lIns="0" tIns="0" rIns="0" bIns="0" rtlCol="0">
                          <a:noAutofit/>
                        </wps:bodyPr>
                      </wps:wsp>
                      <wps:wsp>
                        <wps:cNvPr id="62" name="Textbox 62"/>
                        <wps:cNvSpPr txBox="1"/>
                        <wps:spPr>
                          <a:xfrm>
                            <a:off x="3068954" y="6589"/>
                            <a:ext cx="361950" cy="140970"/>
                          </a:xfrm>
                          <a:prstGeom prst="rect">
                            <a:avLst/>
                          </a:prstGeom>
                        </wps:spPr>
                        <wps:txbx>
                          <w:txbxContent>
                            <w:p>
                              <w:pPr>
                                <w:spacing w:line="221" w:lineRule="exact" w:before="0"/>
                                <w:ind w:left="0" w:right="0" w:firstLine="0"/>
                                <w:jc w:val="left"/>
                                <w:rPr>
                                  <w:sz w:val="20"/>
                                </w:rPr>
                              </w:pPr>
                              <w:r>
                                <w:rPr>
                                  <w:spacing w:val="-2"/>
                                  <w:sz w:val="20"/>
                                </w:rPr>
                                <w:t>47,000</w:t>
                              </w:r>
                            </w:p>
                          </w:txbxContent>
                        </wps:txbx>
                        <wps:bodyPr wrap="square" lIns="0" tIns="0" rIns="0" bIns="0" rtlCol="0">
                          <a:noAutofit/>
                        </wps:bodyPr>
                      </wps:wsp>
                      <wps:wsp>
                        <wps:cNvPr id="63" name="Textbox 63"/>
                        <wps:cNvSpPr txBox="1"/>
                        <wps:spPr>
                          <a:xfrm>
                            <a:off x="3676650" y="6589"/>
                            <a:ext cx="2721610" cy="267970"/>
                          </a:xfrm>
                          <a:prstGeom prst="rect">
                            <a:avLst/>
                          </a:prstGeom>
                        </wps:spPr>
                        <wps:txbx>
                          <w:txbxContent>
                            <w:p>
                              <w:pPr>
                                <w:spacing w:line="208" w:lineRule="auto" w:before="15"/>
                                <w:ind w:left="0" w:right="0" w:firstLine="0"/>
                                <w:jc w:val="left"/>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xbxContent>
                        </wps:txbx>
                        <wps:bodyPr wrap="square" lIns="0" tIns="0" rIns="0" bIns="0" rtlCol="0">
                          <a:noAutofit/>
                        </wps:bodyPr>
                      </wps:wsp>
                    </wpg:wgp>
                  </a:graphicData>
                </a:graphic>
              </wp:inline>
            </w:drawing>
          </mc:Choice>
          <mc:Fallback>
            <w:pict>
              <v:group style="width:512pt;height:24pt;mso-position-horizontal-relative:char;mso-position-vertical-relative:line" id="docshapegroup31" coordorigin="0,0" coordsize="10240,480">
                <v:rect style="position:absolute;left:0;top:0;width:10240;height:480" id="docshape32" filled="true" fillcolor="#ccedff" stroked="false">
                  <v:fill type="solid"/>
                </v:rect>
                <v:shape style="position:absolute;left:50;top:10;width:2565;height:422" type="#_x0000_t202" id="docshape33" filled="false" stroked="false">
                  <v:textbox inset="0,0,0,0">
                    <w:txbxContent>
                      <w:p>
                        <w:pPr>
                          <w:spacing w:line="206" w:lineRule="exact" w:before="0"/>
                          <w:ind w:left="0" w:right="0" w:firstLine="0"/>
                          <w:jc w:val="left"/>
                          <w:rPr>
                            <w:sz w:val="20"/>
                          </w:rPr>
                        </w:pPr>
                        <w:r>
                          <w:rPr>
                            <w:sz w:val="20"/>
                          </w:rPr>
                          <w:t>410</w:t>
                        </w:r>
                        <w:r>
                          <w:rPr>
                            <w:spacing w:val="-11"/>
                            <w:sz w:val="20"/>
                          </w:rPr>
                          <w:t> </w:t>
                        </w:r>
                        <w:r>
                          <w:rPr>
                            <w:sz w:val="20"/>
                          </w:rPr>
                          <w:t>Townsend</w:t>
                        </w:r>
                        <w:r>
                          <w:rPr>
                            <w:spacing w:val="-7"/>
                            <w:sz w:val="20"/>
                          </w:rPr>
                          <w:t> </w:t>
                        </w:r>
                        <w:r>
                          <w:rPr>
                            <w:spacing w:val="-2"/>
                            <w:sz w:val="20"/>
                          </w:rPr>
                          <w:t>Street</w:t>
                        </w:r>
                      </w:p>
                      <w:p>
                        <w:pPr>
                          <w:spacing w:line="215" w:lineRule="exact" w:before="0"/>
                          <w:ind w:left="0" w:right="0" w:firstLine="0"/>
                          <w:jc w:val="left"/>
                          <w:rPr>
                            <w:sz w:val="20"/>
                          </w:rPr>
                        </w:pPr>
                        <w:r>
                          <w:rPr>
                            <w:sz w:val="20"/>
                          </w:rPr>
                          <w:t>San</w:t>
                        </w:r>
                        <w:r>
                          <w:rPr>
                            <w:spacing w:val="-1"/>
                            <w:sz w:val="20"/>
                          </w:rPr>
                          <w:t> </w:t>
                        </w:r>
                        <w:r>
                          <w:rPr>
                            <w:sz w:val="20"/>
                          </w:rPr>
                          <w:t>Francisco, CA</w:t>
                        </w:r>
                        <w:r>
                          <w:rPr>
                            <w:spacing w:val="-11"/>
                            <w:sz w:val="20"/>
                          </w:rPr>
                          <w:t> </w:t>
                        </w:r>
                        <w:r>
                          <w:rPr>
                            <w:sz w:val="20"/>
                          </w:rPr>
                          <w:t>94107, </w:t>
                        </w:r>
                        <w:r>
                          <w:rPr>
                            <w:spacing w:val="-5"/>
                            <w:sz w:val="20"/>
                          </w:rPr>
                          <w:t>USA</w:t>
                        </w:r>
                      </w:p>
                    </w:txbxContent>
                  </v:textbox>
                  <w10:wrap type="none"/>
                </v:shape>
                <v:shape style="position:absolute;left:4833;top:10;width:570;height:222" type="#_x0000_t202" id="docshape34" filled="false" stroked="false">
                  <v:textbox inset="0,0,0,0">
                    <w:txbxContent>
                      <w:p>
                        <w:pPr>
                          <w:spacing w:line="221" w:lineRule="exact" w:before="0"/>
                          <w:ind w:left="0" w:right="0" w:firstLine="0"/>
                          <w:jc w:val="left"/>
                          <w:rPr>
                            <w:sz w:val="20"/>
                          </w:rPr>
                        </w:pPr>
                        <w:r>
                          <w:rPr>
                            <w:spacing w:val="-2"/>
                            <w:sz w:val="20"/>
                          </w:rPr>
                          <w:t>47,000</w:t>
                        </w:r>
                      </w:p>
                    </w:txbxContent>
                  </v:textbox>
                  <w10:wrap type="none"/>
                </v:shape>
                <v:shape style="position:absolute;left:5790;top:10;width:4286;height:422" type="#_x0000_t202" id="docshape35" filled="false" stroked="false">
                  <v:textbox inset="0,0,0,0">
                    <w:txbxContent>
                      <w:p>
                        <w:pPr>
                          <w:spacing w:line="208" w:lineRule="auto" w:before="15"/>
                          <w:ind w:left="0" w:right="0" w:firstLine="0"/>
                          <w:jc w:val="left"/>
                          <w:rPr>
                            <w:sz w:val="20"/>
                          </w:rPr>
                        </w:pPr>
                        <w:r>
                          <w:rPr>
                            <w:sz w:val="20"/>
                          </w:rPr>
                          <w:t>Research,</w:t>
                        </w:r>
                        <w:r>
                          <w:rPr>
                            <w:spacing w:val="-8"/>
                            <w:sz w:val="20"/>
                          </w:rPr>
                          <w:t> </w:t>
                        </w:r>
                        <w:r>
                          <w:rPr>
                            <w:sz w:val="20"/>
                          </w:rPr>
                          <w:t>product</w:t>
                        </w:r>
                        <w:r>
                          <w:rPr>
                            <w:spacing w:val="-8"/>
                            <w:sz w:val="20"/>
                          </w:rPr>
                          <w:t> </w:t>
                        </w:r>
                        <w:r>
                          <w:rPr>
                            <w:sz w:val="20"/>
                          </w:rPr>
                          <w:t>development,</w:t>
                        </w:r>
                        <w:r>
                          <w:rPr>
                            <w:spacing w:val="-8"/>
                            <w:sz w:val="20"/>
                          </w:rPr>
                          <w:t> </w:t>
                        </w:r>
                        <w:r>
                          <w:rPr>
                            <w:sz w:val="20"/>
                          </w:rPr>
                          <w:t>sales,</w:t>
                        </w:r>
                        <w:r>
                          <w:rPr>
                            <w:spacing w:val="-8"/>
                            <w:sz w:val="20"/>
                          </w:rPr>
                          <w:t> </w:t>
                        </w:r>
                        <w:r>
                          <w:rPr>
                            <w:sz w:val="20"/>
                          </w:rPr>
                          <w:t>marketing</w:t>
                        </w:r>
                        <w:r>
                          <w:rPr>
                            <w:spacing w:val="-8"/>
                            <w:sz w:val="20"/>
                          </w:rPr>
                          <w:t> </w:t>
                        </w:r>
                        <w:r>
                          <w:rPr>
                            <w:sz w:val="20"/>
                          </w:rPr>
                          <w:t>and </w:t>
                        </w:r>
                        <w:r>
                          <w:rPr>
                            <w:spacing w:val="-2"/>
                            <w:sz w:val="20"/>
                          </w:rPr>
                          <w:t>administration</w:t>
                        </w:r>
                      </w:p>
                    </w:txbxContent>
                  </v:textbox>
                  <w10:wrap type="none"/>
                </v:shape>
              </v:group>
            </w:pict>
          </mc:Fallback>
        </mc:AlternateContent>
      </w:r>
      <w:r>
        <w:rPr/>
      </w:r>
    </w:p>
    <w:p>
      <w:pPr>
        <w:spacing w:after="0"/>
        <w:sectPr>
          <w:type w:val="continuous"/>
          <w:pgSz w:w="12240" w:h="15840"/>
          <w:pgMar w:header="210" w:footer="579" w:top="680" w:bottom="280" w:left="780" w:right="740"/>
        </w:sectPr>
      </w:pPr>
    </w:p>
    <w:p>
      <w:pPr>
        <w:pStyle w:val="BodyText"/>
        <w:spacing w:line="207" w:lineRule="exact"/>
        <w:ind w:left="280"/>
      </w:pPr>
      <w:r>
        <w:rPr/>
        <w:t>3900</w:t>
      </w:r>
      <w:r>
        <w:rPr>
          <w:spacing w:val="-11"/>
        </w:rPr>
        <w:t> </w:t>
      </w:r>
      <w:r>
        <w:rPr/>
        <w:t>Adobe</w:t>
      </w:r>
      <w:r>
        <w:rPr>
          <w:spacing w:val="-4"/>
        </w:rPr>
        <w:t> </w:t>
      </w:r>
      <w:r>
        <w:rPr>
          <w:spacing w:val="-5"/>
        </w:rPr>
        <w:t>Way</w:t>
      </w:r>
    </w:p>
    <w:p>
      <w:pPr>
        <w:pStyle w:val="BodyText"/>
        <w:spacing w:before="9"/>
        <w:ind w:left="280"/>
      </w:pPr>
      <w:r>
        <w:rPr/>
        <w:t>Lehi, UT</w:t>
      </w:r>
      <w:r>
        <w:rPr>
          <w:spacing w:val="-4"/>
        </w:rPr>
        <w:t> </w:t>
      </w:r>
      <w:r>
        <w:rPr/>
        <w:t>84043, </w:t>
      </w:r>
      <w:r>
        <w:rPr>
          <w:spacing w:val="-5"/>
        </w:rPr>
        <w:t>USA</w:t>
      </w:r>
    </w:p>
    <w:p>
      <w:pPr>
        <w:pStyle w:val="BodyText"/>
        <w:tabs>
          <w:tab w:pos="1336" w:val="left" w:leader="none"/>
        </w:tabs>
        <w:spacing w:line="208" w:lineRule="auto" w:before="1"/>
        <w:ind w:left="1337" w:right="432" w:hanging="1057"/>
      </w:pPr>
      <w:r>
        <w:rPr/>
        <w:br w:type="column"/>
      </w:r>
      <w:r>
        <w:rPr>
          <w:spacing w:val="-2"/>
        </w:rPr>
        <w:t>257,000</w:t>
      </w:r>
      <w:r>
        <w:rPr/>
        <w:tab/>
        <w:t>Research,</w:t>
      </w:r>
      <w:r>
        <w:rPr>
          <w:spacing w:val="-8"/>
        </w:rPr>
        <w:t> </w:t>
      </w:r>
      <w:r>
        <w:rPr/>
        <w:t>product</w:t>
      </w:r>
      <w:r>
        <w:rPr>
          <w:spacing w:val="-8"/>
        </w:rPr>
        <w:t> </w:t>
      </w:r>
      <w:r>
        <w:rPr/>
        <w:t>development,</w:t>
      </w:r>
      <w:r>
        <w:rPr>
          <w:spacing w:val="-8"/>
        </w:rPr>
        <w:t> </w:t>
      </w:r>
      <w:r>
        <w:rPr/>
        <w:t>sales,</w:t>
      </w:r>
      <w:r>
        <w:rPr>
          <w:spacing w:val="-8"/>
        </w:rPr>
        <w:t> </w:t>
      </w:r>
      <w:r>
        <w:rPr/>
        <w:t>marketing</w:t>
      </w:r>
      <w:r>
        <w:rPr>
          <w:spacing w:val="-8"/>
        </w:rPr>
        <w:t> </w:t>
      </w:r>
      <w:r>
        <w:rPr/>
        <w:t>and </w:t>
      </w:r>
      <w:r>
        <w:rPr>
          <w:spacing w:val="-2"/>
        </w:rPr>
        <w:t>administration</w:t>
      </w:r>
    </w:p>
    <w:p>
      <w:pPr>
        <w:spacing w:after="0" w:line="208" w:lineRule="auto"/>
        <w:sectPr>
          <w:type w:val="continuous"/>
          <w:pgSz w:w="12240" w:h="15840"/>
          <w:pgMar w:header="210" w:footer="579" w:top="680" w:bottom="280" w:left="780" w:right="740"/>
          <w:cols w:num="2" w:equalWidth="0">
            <w:col w:w="2100" w:space="2583"/>
            <w:col w:w="6037"/>
          </w:cols>
        </w:sectPr>
      </w:pPr>
    </w:p>
    <w:p>
      <w:pPr>
        <w:pStyle w:val="BodyText"/>
        <w:ind w:left="230"/>
      </w:pPr>
      <w:r>
        <w:rPr/>
        <mc:AlternateContent>
          <mc:Choice Requires="wps">
            <w:drawing>
              <wp:inline distT="0" distB="0" distL="0" distR="0">
                <wp:extent cx="6502400" cy="304800"/>
                <wp:effectExtent l="0" t="0" r="0" b="0"/>
                <wp:docPr id="64" name="Group 64"/>
                <wp:cNvGraphicFramePr>
                  <a:graphicFrameLocks/>
                </wp:cNvGraphicFramePr>
                <a:graphic>
                  <a:graphicData uri="http://schemas.microsoft.com/office/word/2010/wordprocessingGroup">
                    <wpg:wgp>
                      <wpg:cNvPr id="64" name="Group 64"/>
                      <wpg:cNvGrpSpPr/>
                      <wpg:grpSpPr>
                        <a:xfrm>
                          <a:off x="0" y="0"/>
                          <a:ext cx="6502400" cy="304800"/>
                          <a:chExt cx="6502400" cy="304800"/>
                        </a:xfrm>
                      </wpg:grpSpPr>
                      <wps:wsp>
                        <wps:cNvPr id="65" name="Graphic 65"/>
                        <wps:cNvSpPr/>
                        <wps:spPr>
                          <a:xfrm>
                            <a:off x="0" y="0"/>
                            <a:ext cx="6502400" cy="304800"/>
                          </a:xfrm>
                          <a:custGeom>
                            <a:avLst/>
                            <a:gdLst/>
                            <a:ahLst/>
                            <a:cxnLst/>
                            <a:rect l="l" t="t" r="r" b="b"/>
                            <a:pathLst>
                              <a:path w="6502400" h="304800">
                                <a:moveTo>
                                  <a:pt x="6502400" y="0"/>
                                </a:moveTo>
                                <a:lnTo>
                                  <a:pt x="6502400" y="0"/>
                                </a:lnTo>
                                <a:lnTo>
                                  <a:pt x="0" y="0"/>
                                </a:lnTo>
                                <a:lnTo>
                                  <a:pt x="0" y="304800"/>
                                </a:lnTo>
                                <a:lnTo>
                                  <a:pt x="6502400" y="304800"/>
                                </a:lnTo>
                                <a:lnTo>
                                  <a:pt x="6502400" y="0"/>
                                </a:lnTo>
                                <a:close/>
                              </a:path>
                            </a:pathLst>
                          </a:custGeom>
                          <a:solidFill>
                            <a:srgbClr val="CCEDFF"/>
                          </a:solidFill>
                        </wps:spPr>
                        <wps:bodyPr wrap="square" lIns="0" tIns="0" rIns="0" bIns="0" rtlCol="0">
                          <a:prstTxWarp prst="textNoShape">
                            <a:avLst/>
                          </a:prstTxWarp>
                          <a:noAutofit/>
                        </wps:bodyPr>
                      </wps:wsp>
                      <wps:wsp>
                        <wps:cNvPr id="66" name="Textbox 66"/>
                        <wps:cNvSpPr txBox="1"/>
                        <wps:spPr>
                          <a:xfrm>
                            <a:off x="31750" y="6589"/>
                            <a:ext cx="1538605" cy="267970"/>
                          </a:xfrm>
                          <a:prstGeom prst="rect">
                            <a:avLst/>
                          </a:prstGeom>
                        </wps:spPr>
                        <wps:txbx>
                          <w:txbxContent>
                            <w:p>
                              <w:pPr>
                                <w:spacing w:line="208" w:lineRule="auto" w:before="15"/>
                                <w:ind w:left="0" w:right="0" w:firstLine="0"/>
                                <w:jc w:val="left"/>
                                <w:rPr>
                                  <w:sz w:val="20"/>
                                </w:rPr>
                              </w:pPr>
                              <w:r>
                                <w:rPr>
                                  <w:sz w:val="20"/>
                                </w:rPr>
                                <w:t>801</w:t>
                              </w:r>
                              <w:r>
                                <w:rPr>
                                  <w:spacing w:val="-13"/>
                                  <w:sz w:val="20"/>
                                </w:rPr>
                                <w:t> </w:t>
                              </w:r>
                              <w:r>
                                <w:rPr>
                                  <w:sz w:val="20"/>
                                </w:rPr>
                                <w:t>N.</w:t>
                              </w:r>
                              <w:r>
                                <w:rPr>
                                  <w:spacing w:val="-13"/>
                                  <w:sz w:val="20"/>
                                </w:rPr>
                                <w:t> </w:t>
                              </w:r>
                              <w:r>
                                <w:rPr>
                                  <w:sz w:val="20"/>
                                </w:rPr>
                                <w:t>34th</w:t>
                              </w:r>
                              <w:r>
                                <w:rPr>
                                  <w:spacing w:val="-13"/>
                                  <w:sz w:val="20"/>
                                </w:rPr>
                                <w:t> </w:t>
                              </w:r>
                              <w:r>
                                <w:rPr>
                                  <w:sz w:val="20"/>
                                </w:rPr>
                                <w:t>Street-</w:t>
                              </w:r>
                              <w:r>
                                <w:rPr>
                                  <w:sz w:val="20"/>
                                </w:rPr>
                                <w:t>Waterfront Seattle, WA 98103, USA</w:t>
                              </w:r>
                            </w:p>
                          </w:txbxContent>
                        </wps:txbx>
                        <wps:bodyPr wrap="square" lIns="0" tIns="0" rIns="0" bIns="0" rtlCol="0">
                          <a:noAutofit/>
                        </wps:bodyPr>
                      </wps:wsp>
                      <wps:wsp>
                        <wps:cNvPr id="67" name="Textbox 67"/>
                        <wps:cNvSpPr txBox="1"/>
                        <wps:spPr>
                          <a:xfrm>
                            <a:off x="3005454" y="6589"/>
                            <a:ext cx="425450" cy="140970"/>
                          </a:xfrm>
                          <a:prstGeom prst="rect">
                            <a:avLst/>
                          </a:prstGeom>
                        </wps:spPr>
                        <wps:txbx>
                          <w:txbxContent>
                            <w:p>
                              <w:pPr>
                                <w:spacing w:line="221" w:lineRule="exact" w:before="0"/>
                                <w:ind w:left="0" w:right="0" w:firstLine="0"/>
                                <w:jc w:val="left"/>
                                <w:rPr>
                                  <w:sz w:val="20"/>
                                </w:rPr>
                              </w:pPr>
                              <w:r>
                                <w:rPr>
                                  <w:spacing w:val="-2"/>
                                  <w:sz w:val="20"/>
                                </w:rPr>
                                <w:t>161,000</w:t>
                              </w:r>
                            </w:p>
                          </w:txbxContent>
                        </wps:txbx>
                        <wps:bodyPr wrap="square" lIns="0" tIns="0" rIns="0" bIns="0" rtlCol="0">
                          <a:noAutofit/>
                        </wps:bodyPr>
                      </wps:wsp>
                      <wps:wsp>
                        <wps:cNvPr id="68" name="Textbox 68"/>
                        <wps:cNvSpPr txBox="1"/>
                        <wps:spPr>
                          <a:xfrm>
                            <a:off x="3676650" y="6589"/>
                            <a:ext cx="2199640" cy="267970"/>
                          </a:xfrm>
                          <a:prstGeom prst="rect">
                            <a:avLst/>
                          </a:prstGeom>
                        </wps:spPr>
                        <wps:txbx>
                          <w:txbxContent>
                            <w:p>
                              <w:pPr>
                                <w:spacing w:line="208" w:lineRule="auto" w:before="15"/>
                                <w:ind w:left="0" w:right="0" w:firstLine="0"/>
                                <w:jc w:val="left"/>
                                <w:rPr>
                                  <w:sz w:val="20"/>
                                </w:rPr>
                              </w:pPr>
                              <w:r>
                                <w:rPr>
                                  <w:sz w:val="20"/>
                                </w:rPr>
                                <w:t>Product</w:t>
                              </w:r>
                              <w:r>
                                <w:rPr>
                                  <w:spacing w:val="-10"/>
                                  <w:sz w:val="20"/>
                                </w:rPr>
                                <w:t> </w:t>
                              </w:r>
                              <w:r>
                                <w:rPr>
                                  <w:sz w:val="20"/>
                                </w:rPr>
                                <w:t>development,</w:t>
                              </w:r>
                              <w:r>
                                <w:rPr>
                                  <w:spacing w:val="-10"/>
                                  <w:sz w:val="20"/>
                                </w:rPr>
                                <w:t> </w:t>
                              </w:r>
                              <w:r>
                                <w:rPr>
                                  <w:sz w:val="20"/>
                                </w:rPr>
                                <w:t>sales,</w:t>
                              </w:r>
                              <w:r>
                                <w:rPr>
                                  <w:spacing w:val="-10"/>
                                  <w:sz w:val="20"/>
                                </w:rPr>
                                <w:t> </w:t>
                              </w:r>
                              <w:r>
                                <w:rPr>
                                  <w:sz w:val="20"/>
                                </w:rPr>
                                <w:t>marketing</w:t>
                              </w:r>
                              <w:r>
                                <w:rPr>
                                  <w:spacing w:val="-10"/>
                                  <w:sz w:val="20"/>
                                </w:rPr>
                                <w:t> </w:t>
                              </w:r>
                              <w:r>
                                <w:rPr>
                                  <w:sz w:val="20"/>
                                </w:rPr>
                                <w:t>and </w:t>
                              </w:r>
                              <w:r>
                                <w:rPr>
                                  <w:spacing w:val="-2"/>
                                  <w:sz w:val="20"/>
                                </w:rPr>
                                <w:t>administration</w:t>
                              </w:r>
                            </w:p>
                          </w:txbxContent>
                        </wps:txbx>
                        <wps:bodyPr wrap="square" lIns="0" tIns="0" rIns="0" bIns="0" rtlCol="0">
                          <a:noAutofit/>
                        </wps:bodyPr>
                      </wps:wsp>
                    </wpg:wgp>
                  </a:graphicData>
                </a:graphic>
              </wp:inline>
            </w:drawing>
          </mc:Choice>
          <mc:Fallback>
            <w:pict>
              <v:group style="width:512pt;height:24pt;mso-position-horizontal-relative:char;mso-position-vertical-relative:line" id="docshapegroup36" coordorigin="0,0" coordsize="10240,480">
                <v:rect style="position:absolute;left:0;top:0;width:10240;height:480" id="docshape37" filled="true" fillcolor="#ccedff" stroked="false">
                  <v:fill type="solid"/>
                </v:rect>
                <v:shape style="position:absolute;left:50;top:10;width:2423;height:422" type="#_x0000_t202" id="docshape38" filled="false" stroked="false">
                  <v:textbox inset="0,0,0,0">
                    <w:txbxContent>
                      <w:p>
                        <w:pPr>
                          <w:spacing w:line="208" w:lineRule="auto" w:before="15"/>
                          <w:ind w:left="0" w:right="0" w:firstLine="0"/>
                          <w:jc w:val="left"/>
                          <w:rPr>
                            <w:sz w:val="20"/>
                          </w:rPr>
                        </w:pPr>
                        <w:r>
                          <w:rPr>
                            <w:sz w:val="20"/>
                          </w:rPr>
                          <w:t>801</w:t>
                        </w:r>
                        <w:r>
                          <w:rPr>
                            <w:spacing w:val="-13"/>
                            <w:sz w:val="20"/>
                          </w:rPr>
                          <w:t> </w:t>
                        </w:r>
                        <w:r>
                          <w:rPr>
                            <w:sz w:val="20"/>
                          </w:rPr>
                          <w:t>N.</w:t>
                        </w:r>
                        <w:r>
                          <w:rPr>
                            <w:spacing w:val="-13"/>
                            <w:sz w:val="20"/>
                          </w:rPr>
                          <w:t> </w:t>
                        </w:r>
                        <w:r>
                          <w:rPr>
                            <w:sz w:val="20"/>
                          </w:rPr>
                          <w:t>34th</w:t>
                        </w:r>
                        <w:r>
                          <w:rPr>
                            <w:spacing w:val="-13"/>
                            <w:sz w:val="20"/>
                          </w:rPr>
                          <w:t> </w:t>
                        </w:r>
                        <w:r>
                          <w:rPr>
                            <w:sz w:val="20"/>
                          </w:rPr>
                          <w:t>Street-</w:t>
                        </w:r>
                        <w:r>
                          <w:rPr>
                            <w:sz w:val="20"/>
                          </w:rPr>
                          <w:t>Waterfront Seattle, WA 98103, USA</w:t>
                        </w:r>
                      </w:p>
                    </w:txbxContent>
                  </v:textbox>
                  <w10:wrap type="none"/>
                </v:shape>
                <v:shape style="position:absolute;left:4733;top:10;width:670;height:222" type="#_x0000_t202" id="docshape39" filled="false" stroked="false">
                  <v:textbox inset="0,0,0,0">
                    <w:txbxContent>
                      <w:p>
                        <w:pPr>
                          <w:spacing w:line="221" w:lineRule="exact" w:before="0"/>
                          <w:ind w:left="0" w:right="0" w:firstLine="0"/>
                          <w:jc w:val="left"/>
                          <w:rPr>
                            <w:sz w:val="20"/>
                          </w:rPr>
                        </w:pPr>
                        <w:r>
                          <w:rPr>
                            <w:spacing w:val="-2"/>
                            <w:sz w:val="20"/>
                          </w:rPr>
                          <w:t>161,000</w:t>
                        </w:r>
                      </w:p>
                    </w:txbxContent>
                  </v:textbox>
                  <w10:wrap type="none"/>
                </v:shape>
                <v:shape style="position:absolute;left:5790;top:10;width:3464;height:422" type="#_x0000_t202" id="docshape40" filled="false" stroked="false">
                  <v:textbox inset="0,0,0,0">
                    <w:txbxContent>
                      <w:p>
                        <w:pPr>
                          <w:spacing w:line="208" w:lineRule="auto" w:before="15"/>
                          <w:ind w:left="0" w:right="0" w:firstLine="0"/>
                          <w:jc w:val="left"/>
                          <w:rPr>
                            <w:sz w:val="20"/>
                          </w:rPr>
                        </w:pPr>
                        <w:r>
                          <w:rPr>
                            <w:sz w:val="20"/>
                          </w:rPr>
                          <w:t>Product</w:t>
                        </w:r>
                        <w:r>
                          <w:rPr>
                            <w:spacing w:val="-10"/>
                            <w:sz w:val="20"/>
                          </w:rPr>
                          <w:t> </w:t>
                        </w:r>
                        <w:r>
                          <w:rPr>
                            <w:sz w:val="20"/>
                          </w:rPr>
                          <w:t>development,</w:t>
                        </w:r>
                        <w:r>
                          <w:rPr>
                            <w:spacing w:val="-10"/>
                            <w:sz w:val="20"/>
                          </w:rPr>
                          <w:t> </w:t>
                        </w:r>
                        <w:r>
                          <w:rPr>
                            <w:sz w:val="20"/>
                          </w:rPr>
                          <w:t>sales,</w:t>
                        </w:r>
                        <w:r>
                          <w:rPr>
                            <w:spacing w:val="-10"/>
                            <w:sz w:val="20"/>
                          </w:rPr>
                          <w:t> </w:t>
                        </w:r>
                        <w:r>
                          <w:rPr>
                            <w:sz w:val="20"/>
                          </w:rPr>
                          <w:t>marketing</w:t>
                        </w:r>
                        <w:r>
                          <w:rPr>
                            <w:spacing w:val="-10"/>
                            <w:sz w:val="20"/>
                          </w:rPr>
                          <w:t> </w:t>
                        </w:r>
                        <w:r>
                          <w:rPr>
                            <w:sz w:val="20"/>
                          </w:rPr>
                          <w:t>and </w:t>
                        </w:r>
                        <w:r>
                          <w:rPr>
                            <w:spacing w:val="-2"/>
                            <w:sz w:val="20"/>
                          </w:rPr>
                          <w:t>administration</w:t>
                        </w:r>
                      </w:p>
                    </w:txbxContent>
                  </v:textbox>
                  <w10:wrap type="none"/>
                </v:shape>
              </v:group>
            </w:pict>
          </mc:Fallback>
        </mc:AlternateContent>
      </w:r>
      <w:r>
        <w:rPr/>
      </w:r>
    </w:p>
    <w:p>
      <w:pPr>
        <w:spacing w:after="0"/>
        <w:sectPr>
          <w:type w:val="continuous"/>
          <w:pgSz w:w="12240" w:h="15840"/>
          <w:pgMar w:header="210" w:footer="579" w:top="680" w:bottom="280" w:left="780" w:right="740"/>
        </w:sectPr>
      </w:pPr>
    </w:p>
    <w:p>
      <w:pPr>
        <w:pStyle w:val="BodyText"/>
        <w:spacing w:line="201" w:lineRule="exact"/>
        <w:ind w:left="280"/>
      </w:pPr>
      <w:r>
        <w:rPr/>
        <w:t>1540 </w:t>
      </w:r>
      <w:r>
        <w:rPr>
          <w:spacing w:val="-2"/>
        </w:rPr>
        <w:t>Broadway</w:t>
      </w:r>
    </w:p>
    <w:p>
      <w:pPr>
        <w:pStyle w:val="BodyText"/>
        <w:spacing w:line="215" w:lineRule="exact"/>
        <w:ind w:left="280"/>
      </w:pPr>
      <w:r>
        <w:rPr/>
        <w:t>New</w:t>
      </w:r>
      <w:r>
        <w:rPr>
          <w:spacing w:val="-12"/>
        </w:rPr>
        <w:t> </w:t>
      </w:r>
      <w:r>
        <w:rPr/>
        <w:t>York,</w:t>
      </w:r>
      <w:r>
        <w:rPr>
          <w:spacing w:val="-5"/>
        </w:rPr>
        <w:t> </w:t>
      </w:r>
      <w:r>
        <w:rPr/>
        <w:t>NY</w:t>
      </w:r>
      <w:r>
        <w:rPr>
          <w:spacing w:val="-14"/>
        </w:rPr>
        <w:t> </w:t>
      </w:r>
      <w:r>
        <w:rPr/>
        <w:t>10036,</w:t>
      </w:r>
      <w:r>
        <w:rPr>
          <w:spacing w:val="-4"/>
        </w:rPr>
        <w:t> </w:t>
      </w:r>
      <w:r>
        <w:rPr>
          <w:spacing w:val="-5"/>
        </w:rPr>
        <w:t>USA</w:t>
      </w:r>
    </w:p>
    <w:p>
      <w:pPr>
        <w:pStyle w:val="BodyText"/>
        <w:tabs>
          <w:tab w:pos="1236" w:val="left" w:leader="none"/>
        </w:tabs>
        <w:spacing w:line="216" w:lineRule="exact"/>
        <w:ind w:left="280"/>
      </w:pPr>
      <w:r>
        <w:rPr/>
        <w:br w:type="column"/>
      </w:r>
      <w:r>
        <w:rPr>
          <w:spacing w:val="-2"/>
        </w:rPr>
        <w:t>55,000</w:t>
      </w:r>
      <w:r>
        <w:rPr/>
        <w:tab/>
        <w:t>Sales, marketing and </w:t>
      </w:r>
      <w:r>
        <w:rPr>
          <w:spacing w:val="-2"/>
        </w:rPr>
        <w:t>administration</w:t>
      </w:r>
    </w:p>
    <w:p>
      <w:pPr>
        <w:spacing w:after="0" w:line="216" w:lineRule="exact"/>
        <w:sectPr>
          <w:type w:val="continuous"/>
          <w:pgSz w:w="12240" w:h="15840"/>
          <w:pgMar w:header="210" w:footer="579" w:top="680" w:bottom="280" w:left="780" w:right="740"/>
          <w:cols w:num="2" w:equalWidth="0">
            <w:col w:w="2567" w:space="2216"/>
            <w:col w:w="5937"/>
          </w:cols>
        </w:sectPr>
      </w:pPr>
    </w:p>
    <w:p>
      <w:pPr>
        <w:pStyle w:val="BodyText"/>
        <w:spacing w:before="2"/>
        <w:rPr>
          <w:sz w:val="4"/>
        </w:rPr>
      </w:pPr>
    </w:p>
    <w:p>
      <w:pPr>
        <w:pStyle w:val="BodyText"/>
        <w:ind w:left="230"/>
      </w:pPr>
      <w:r>
        <w:rPr/>
        <mc:AlternateContent>
          <mc:Choice Requires="wps">
            <w:drawing>
              <wp:inline distT="0" distB="0" distL="0" distR="0">
                <wp:extent cx="6502400" cy="304800"/>
                <wp:effectExtent l="0" t="0" r="0" b="0"/>
                <wp:docPr id="69" name="Group 69"/>
                <wp:cNvGraphicFramePr>
                  <a:graphicFrameLocks/>
                </wp:cNvGraphicFramePr>
                <a:graphic>
                  <a:graphicData uri="http://schemas.microsoft.com/office/word/2010/wordprocessingGroup">
                    <wpg:wgp>
                      <wpg:cNvPr id="69" name="Group 69"/>
                      <wpg:cNvGrpSpPr/>
                      <wpg:grpSpPr>
                        <a:xfrm>
                          <a:off x="0" y="0"/>
                          <a:ext cx="6502400" cy="304800"/>
                          <a:chExt cx="6502400" cy="304800"/>
                        </a:xfrm>
                      </wpg:grpSpPr>
                      <wps:wsp>
                        <wps:cNvPr id="70" name="Graphic 70"/>
                        <wps:cNvSpPr/>
                        <wps:spPr>
                          <a:xfrm>
                            <a:off x="0" y="0"/>
                            <a:ext cx="6502400" cy="304800"/>
                          </a:xfrm>
                          <a:custGeom>
                            <a:avLst/>
                            <a:gdLst/>
                            <a:ahLst/>
                            <a:cxnLst/>
                            <a:rect l="l" t="t" r="r" b="b"/>
                            <a:pathLst>
                              <a:path w="6502400" h="304800">
                                <a:moveTo>
                                  <a:pt x="6502400" y="0"/>
                                </a:moveTo>
                                <a:lnTo>
                                  <a:pt x="6502400" y="0"/>
                                </a:lnTo>
                                <a:lnTo>
                                  <a:pt x="0" y="0"/>
                                </a:lnTo>
                                <a:lnTo>
                                  <a:pt x="0" y="304800"/>
                                </a:lnTo>
                                <a:lnTo>
                                  <a:pt x="6502400" y="304800"/>
                                </a:lnTo>
                                <a:lnTo>
                                  <a:pt x="6502400" y="0"/>
                                </a:lnTo>
                                <a:close/>
                              </a:path>
                            </a:pathLst>
                          </a:custGeom>
                          <a:solidFill>
                            <a:srgbClr val="CCEDFF"/>
                          </a:solidFill>
                        </wps:spPr>
                        <wps:bodyPr wrap="square" lIns="0" tIns="0" rIns="0" bIns="0" rtlCol="0">
                          <a:prstTxWarp prst="textNoShape">
                            <a:avLst/>
                          </a:prstTxWarp>
                          <a:noAutofit/>
                        </wps:bodyPr>
                      </wps:wsp>
                      <wps:wsp>
                        <wps:cNvPr id="71" name="Textbox 71"/>
                        <wps:cNvSpPr txBox="1"/>
                        <wps:spPr>
                          <a:xfrm>
                            <a:off x="31750" y="6589"/>
                            <a:ext cx="1783714" cy="267970"/>
                          </a:xfrm>
                          <a:prstGeom prst="rect">
                            <a:avLst/>
                          </a:prstGeom>
                        </wps:spPr>
                        <wps:txbx>
                          <w:txbxContent>
                            <w:p>
                              <w:pPr>
                                <w:spacing w:line="206" w:lineRule="exact" w:before="0"/>
                                <w:ind w:left="0" w:right="0" w:firstLine="0"/>
                                <w:jc w:val="left"/>
                                <w:rPr>
                                  <w:sz w:val="20"/>
                                </w:rPr>
                              </w:pPr>
                              <w:r>
                                <w:rPr>
                                  <w:sz w:val="20"/>
                                </w:rPr>
                                <w:t>343 Preston </w:t>
                              </w:r>
                              <w:r>
                                <w:rPr>
                                  <w:spacing w:val="-2"/>
                                  <w:sz w:val="20"/>
                                </w:rPr>
                                <w:t>Street</w:t>
                              </w:r>
                            </w:p>
                            <w:p>
                              <w:pPr>
                                <w:spacing w:line="215" w:lineRule="exact" w:before="0"/>
                                <w:ind w:left="0" w:right="0" w:firstLine="0"/>
                                <w:jc w:val="left"/>
                                <w:rPr>
                                  <w:sz w:val="20"/>
                                </w:rPr>
                              </w:pPr>
                              <w:r>
                                <w:rPr>
                                  <w:sz w:val="20"/>
                                </w:rPr>
                                <w:t>Ottawa,</w:t>
                              </w:r>
                              <w:r>
                                <w:rPr>
                                  <w:spacing w:val="-1"/>
                                  <w:sz w:val="20"/>
                                </w:rPr>
                                <w:t> </w:t>
                              </w:r>
                              <w:r>
                                <w:rPr>
                                  <w:sz w:val="20"/>
                                </w:rPr>
                                <w:t>Ontario K1S</w:t>
                              </w:r>
                              <w:r>
                                <w:rPr>
                                  <w:spacing w:val="-2"/>
                                  <w:sz w:val="20"/>
                                </w:rPr>
                                <w:t> </w:t>
                              </w:r>
                              <w:r>
                                <w:rPr>
                                  <w:sz w:val="20"/>
                                </w:rPr>
                                <w:t>5N4, </w:t>
                              </w:r>
                              <w:r>
                                <w:rPr>
                                  <w:spacing w:val="-2"/>
                                  <w:sz w:val="20"/>
                                </w:rPr>
                                <w:t>Canada</w:t>
                              </w:r>
                            </w:p>
                          </w:txbxContent>
                        </wps:txbx>
                        <wps:bodyPr wrap="square" lIns="0" tIns="0" rIns="0" bIns="0" rtlCol="0">
                          <a:noAutofit/>
                        </wps:bodyPr>
                      </wps:wsp>
                      <wps:wsp>
                        <wps:cNvPr id="72" name="Textbox 72"/>
                        <wps:cNvSpPr txBox="1"/>
                        <wps:spPr>
                          <a:xfrm>
                            <a:off x="3005454" y="6589"/>
                            <a:ext cx="3392804" cy="267970"/>
                          </a:xfrm>
                          <a:prstGeom prst="rect">
                            <a:avLst/>
                          </a:prstGeom>
                        </wps:spPr>
                        <wps:txbx>
                          <w:txbxContent>
                            <w:p>
                              <w:pPr>
                                <w:spacing w:line="208" w:lineRule="auto" w:before="15"/>
                                <w:ind w:left="1057" w:right="0" w:hanging="1057"/>
                                <w:jc w:val="left"/>
                                <w:rPr>
                                  <w:sz w:val="20"/>
                                </w:rPr>
                              </w:pPr>
                              <w:r>
                                <w:rPr>
                                  <w:sz w:val="20"/>
                                </w:rPr>
                                <w:t>122,000</w:t>
                              </w:r>
                              <w:r>
                                <w:rPr>
                                  <w:spacing w:val="40"/>
                                  <w:sz w:val="20"/>
                                </w:rPr>
                                <w:t> </w:t>
                              </w:r>
                              <w:r>
                                <w:rPr>
                                  <w:position w:val="4"/>
                                  <w:sz w:val="13"/>
                                </w:rPr>
                                <w:t>(1)</w:t>
                              </w:r>
                              <w:r>
                                <w:rPr>
                                  <w:spacing w:val="80"/>
                                  <w:position w:val="4"/>
                                  <w:sz w:val="13"/>
                                </w:rPr>
                                <w:t> </w:t>
                              </w:r>
                              <w:r>
                                <w:rPr>
                                  <w:sz w:val="20"/>
                                </w:rPr>
                                <w:t>Research,</w:t>
                              </w:r>
                              <w:r>
                                <w:rPr>
                                  <w:spacing w:val="-1"/>
                                  <w:sz w:val="20"/>
                                </w:rPr>
                                <w:t> </w:t>
                              </w:r>
                              <w:r>
                                <w:rPr>
                                  <w:sz w:val="20"/>
                                </w:rPr>
                                <w:t>product</w:t>
                              </w:r>
                              <w:r>
                                <w:rPr>
                                  <w:spacing w:val="-1"/>
                                  <w:sz w:val="20"/>
                                </w:rPr>
                                <w:t> </w:t>
                              </w:r>
                              <w:r>
                                <w:rPr>
                                  <w:sz w:val="20"/>
                                </w:rPr>
                                <w:t>development,</w:t>
                              </w:r>
                              <w:r>
                                <w:rPr>
                                  <w:spacing w:val="-1"/>
                                  <w:sz w:val="20"/>
                                </w:rPr>
                                <w:t> </w:t>
                              </w:r>
                              <w:r>
                                <w:rPr>
                                  <w:sz w:val="20"/>
                                </w:rPr>
                                <w:t>sales,</w:t>
                              </w:r>
                              <w:r>
                                <w:rPr>
                                  <w:spacing w:val="-1"/>
                                  <w:sz w:val="20"/>
                                </w:rPr>
                                <w:t> </w:t>
                              </w:r>
                              <w:r>
                                <w:rPr>
                                  <w:sz w:val="20"/>
                                </w:rPr>
                                <w:t>marketing</w:t>
                              </w:r>
                              <w:r>
                                <w:rPr>
                                  <w:spacing w:val="-1"/>
                                  <w:sz w:val="20"/>
                                </w:rPr>
                                <w:t> </w:t>
                              </w:r>
                              <w:r>
                                <w:rPr>
                                  <w:sz w:val="20"/>
                                </w:rPr>
                                <w:t>and </w:t>
                              </w:r>
                              <w:r>
                                <w:rPr>
                                  <w:spacing w:val="-2"/>
                                  <w:sz w:val="20"/>
                                </w:rPr>
                                <w:t>administration</w:t>
                              </w:r>
                            </w:p>
                          </w:txbxContent>
                        </wps:txbx>
                        <wps:bodyPr wrap="square" lIns="0" tIns="0" rIns="0" bIns="0" rtlCol="0">
                          <a:noAutofit/>
                        </wps:bodyPr>
                      </wps:wsp>
                    </wpg:wgp>
                  </a:graphicData>
                </a:graphic>
              </wp:inline>
            </w:drawing>
          </mc:Choice>
          <mc:Fallback>
            <w:pict>
              <v:group style="width:512pt;height:24pt;mso-position-horizontal-relative:char;mso-position-vertical-relative:line" id="docshapegroup41" coordorigin="0,0" coordsize="10240,480">
                <v:rect style="position:absolute;left:0;top:0;width:10240;height:480" id="docshape42" filled="true" fillcolor="#ccedff" stroked="false">
                  <v:fill type="solid"/>
                </v:rect>
                <v:shape style="position:absolute;left:50;top:10;width:2809;height:422" type="#_x0000_t202" id="docshape43" filled="false" stroked="false">
                  <v:textbox inset="0,0,0,0">
                    <w:txbxContent>
                      <w:p>
                        <w:pPr>
                          <w:spacing w:line="206" w:lineRule="exact" w:before="0"/>
                          <w:ind w:left="0" w:right="0" w:firstLine="0"/>
                          <w:jc w:val="left"/>
                          <w:rPr>
                            <w:sz w:val="20"/>
                          </w:rPr>
                        </w:pPr>
                        <w:r>
                          <w:rPr>
                            <w:sz w:val="20"/>
                          </w:rPr>
                          <w:t>343 Preston </w:t>
                        </w:r>
                        <w:r>
                          <w:rPr>
                            <w:spacing w:val="-2"/>
                            <w:sz w:val="20"/>
                          </w:rPr>
                          <w:t>Street</w:t>
                        </w:r>
                      </w:p>
                      <w:p>
                        <w:pPr>
                          <w:spacing w:line="215" w:lineRule="exact" w:before="0"/>
                          <w:ind w:left="0" w:right="0" w:firstLine="0"/>
                          <w:jc w:val="left"/>
                          <w:rPr>
                            <w:sz w:val="20"/>
                          </w:rPr>
                        </w:pPr>
                        <w:r>
                          <w:rPr>
                            <w:sz w:val="20"/>
                          </w:rPr>
                          <w:t>Ottawa,</w:t>
                        </w:r>
                        <w:r>
                          <w:rPr>
                            <w:spacing w:val="-1"/>
                            <w:sz w:val="20"/>
                          </w:rPr>
                          <w:t> </w:t>
                        </w:r>
                        <w:r>
                          <w:rPr>
                            <w:sz w:val="20"/>
                          </w:rPr>
                          <w:t>Ontario K1S</w:t>
                        </w:r>
                        <w:r>
                          <w:rPr>
                            <w:spacing w:val="-2"/>
                            <w:sz w:val="20"/>
                          </w:rPr>
                          <w:t> </w:t>
                        </w:r>
                        <w:r>
                          <w:rPr>
                            <w:sz w:val="20"/>
                          </w:rPr>
                          <w:t>5N4, </w:t>
                        </w:r>
                        <w:r>
                          <w:rPr>
                            <w:spacing w:val="-2"/>
                            <w:sz w:val="20"/>
                          </w:rPr>
                          <w:t>Canada</w:t>
                        </w:r>
                      </w:p>
                    </w:txbxContent>
                  </v:textbox>
                  <w10:wrap type="none"/>
                </v:shape>
                <v:shape style="position:absolute;left:4733;top:10;width:5343;height:422" type="#_x0000_t202" id="docshape44" filled="false" stroked="false">
                  <v:textbox inset="0,0,0,0">
                    <w:txbxContent>
                      <w:p>
                        <w:pPr>
                          <w:spacing w:line="208" w:lineRule="auto" w:before="15"/>
                          <w:ind w:left="1057" w:right="0" w:hanging="1057"/>
                          <w:jc w:val="left"/>
                          <w:rPr>
                            <w:sz w:val="20"/>
                          </w:rPr>
                        </w:pPr>
                        <w:r>
                          <w:rPr>
                            <w:sz w:val="20"/>
                          </w:rPr>
                          <w:t>122,000</w:t>
                        </w:r>
                        <w:r>
                          <w:rPr>
                            <w:spacing w:val="40"/>
                            <w:sz w:val="20"/>
                          </w:rPr>
                          <w:t> </w:t>
                        </w:r>
                        <w:r>
                          <w:rPr>
                            <w:position w:val="4"/>
                            <w:sz w:val="13"/>
                          </w:rPr>
                          <w:t>(1)</w:t>
                        </w:r>
                        <w:r>
                          <w:rPr>
                            <w:spacing w:val="80"/>
                            <w:position w:val="4"/>
                            <w:sz w:val="13"/>
                          </w:rPr>
                          <w:t> </w:t>
                        </w:r>
                        <w:r>
                          <w:rPr>
                            <w:sz w:val="20"/>
                          </w:rPr>
                          <w:t>Research,</w:t>
                        </w:r>
                        <w:r>
                          <w:rPr>
                            <w:spacing w:val="-1"/>
                            <w:sz w:val="20"/>
                          </w:rPr>
                          <w:t> </w:t>
                        </w:r>
                        <w:r>
                          <w:rPr>
                            <w:sz w:val="20"/>
                          </w:rPr>
                          <w:t>product</w:t>
                        </w:r>
                        <w:r>
                          <w:rPr>
                            <w:spacing w:val="-1"/>
                            <w:sz w:val="20"/>
                          </w:rPr>
                          <w:t> </w:t>
                        </w:r>
                        <w:r>
                          <w:rPr>
                            <w:sz w:val="20"/>
                          </w:rPr>
                          <w:t>development,</w:t>
                        </w:r>
                        <w:r>
                          <w:rPr>
                            <w:spacing w:val="-1"/>
                            <w:sz w:val="20"/>
                          </w:rPr>
                          <w:t> </w:t>
                        </w:r>
                        <w:r>
                          <w:rPr>
                            <w:sz w:val="20"/>
                          </w:rPr>
                          <w:t>sales,</w:t>
                        </w:r>
                        <w:r>
                          <w:rPr>
                            <w:spacing w:val="-1"/>
                            <w:sz w:val="20"/>
                          </w:rPr>
                          <w:t> </w:t>
                        </w:r>
                        <w:r>
                          <w:rPr>
                            <w:sz w:val="20"/>
                          </w:rPr>
                          <w:t>marketing</w:t>
                        </w:r>
                        <w:r>
                          <w:rPr>
                            <w:spacing w:val="-1"/>
                            <w:sz w:val="20"/>
                          </w:rPr>
                          <w:t> </w:t>
                        </w:r>
                        <w:r>
                          <w:rPr>
                            <w:sz w:val="20"/>
                          </w:rPr>
                          <w:t>and </w:t>
                        </w:r>
                        <w:r>
                          <w:rPr>
                            <w:spacing w:val="-2"/>
                            <w:sz w:val="20"/>
                          </w:rPr>
                          <w:t>administration</w:t>
                        </w:r>
                      </w:p>
                    </w:txbxContent>
                  </v:textbox>
                  <w10:wrap type="none"/>
                </v:shape>
              </v:group>
            </w:pict>
          </mc:Fallback>
        </mc:AlternateContent>
      </w:r>
      <w:r>
        <w:rPr/>
      </w:r>
    </w:p>
    <w:p>
      <w:pPr>
        <w:spacing w:after="0"/>
        <w:sectPr>
          <w:type w:val="continuous"/>
          <w:pgSz w:w="12240" w:h="15840"/>
          <w:pgMar w:header="210" w:footer="579" w:top="680" w:bottom="280" w:left="780" w:right="740"/>
        </w:sectPr>
      </w:pPr>
    </w:p>
    <w:p>
      <w:pPr>
        <w:pStyle w:val="BodyText"/>
        <w:spacing w:line="208" w:lineRule="auto" w:before="19"/>
        <w:ind w:left="280" w:right="38"/>
      </w:pPr>
      <w:r>
        <w:rPr/>
        <w:t>25100 NW Evergreen Rd Hillsboro,</w:t>
      </w:r>
      <w:r>
        <w:rPr>
          <w:spacing w:val="-13"/>
        </w:rPr>
        <w:t> </w:t>
      </w:r>
      <w:r>
        <w:rPr/>
        <w:t>OR</w:t>
      </w:r>
      <w:r>
        <w:rPr>
          <w:spacing w:val="-12"/>
        </w:rPr>
        <w:t> </w:t>
      </w:r>
      <w:r>
        <w:rPr/>
        <w:t>97124,</w:t>
      </w:r>
      <w:r>
        <w:rPr>
          <w:spacing w:val="-13"/>
        </w:rPr>
        <w:t> </w:t>
      </w:r>
      <w:r>
        <w:rPr/>
        <w:t>USA</w:t>
      </w:r>
    </w:p>
    <w:p>
      <w:pPr>
        <w:pStyle w:val="BodyText"/>
        <w:tabs>
          <w:tab w:pos="1236" w:val="left" w:leader="none"/>
        </w:tabs>
        <w:spacing w:line="207" w:lineRule="exact"/>
        <w:ind w:left="280"/>
      </w:pPr>
      <w:r>
        <w:rPr/>
        <w:br w:type="column"/>
      </w:r>
      <w:r>
        <w:rPr>
          <w:spacing w:val="-2"/>
        </w:rPr>
        <w:t>85,000</w:t>
      </w:r>
      <w:r>
        <w:rPr/>
        <w:tab/>
        <w:t>Data</w:t>
      </w:r>
      <w:r>
        <w:rPr>
          <w:spacing w:val="-2"/>
        </w:rPr>
        <w:t> center</w:t>
      </w:r>
    </w:p>
    <w:p>
      <w:pPr>
        <w:spacing w:after="0" w:line="207" w:lineRule="exact"/>
        <w:sectPr>
          <w:type w:val="continuous"/>
          <w:pgSz w:w="12240" w:h="15840"/>
          <w:pgMar w:header="210" w:footer="579" w:top="680" w:bottom="280" w:left="780" w:right="740"/>
          <w:cols w:num="2" w:equalWidth="0">
            <w:col w:w="2504" w:space="2279"/>
            <w:col w:w="5937"/>
          </w:cols>
        </w:sectPr>
      </w:pPr>
    </w:p>
    <w:p>
      <w:pPr>
        <w:pStyle w:val="BodyText"/>
        <w:spacing w:before="9"/>
        <w:rPr>
          <w:sz w:val="4"/>
        </w:rPr>
      </w:pPr>
    </w:p>
    <w:p>
      <w:pPr>
        <w:pStyle w:val="BodyText"/>
        <w:ind w:left="230"/>
      </w:pPr>
      <w:r>
        <w:rPr/>
        <mc:AlternateContent>
          <mc:Choice Requires="wps">
            <w:drawing>
              <wp:inline distT="0" distB="0" distL="0" distR="0">
                <wp:extent cx="6502400" cy="177800"/>
                <wp:effectExtent l="0" t="0" r="0" b="0"/>
                <wp:docPr id="73" name="Textbox 73"/>
                <wp:cNvGraphicFramePr>
                  <a:graphicFrameLocks/>
                </wp:cNvGraphicFramePr>
                <a:graphic>
                  <a:graphicData uri="http://schemas.microsoft.com/office/word/2010/wordprocessingShape">
                    <wps:wsp>
                      <wps:cNvPr id="73" name="Textbox 73"/>
                      <wps:cNvSpPr txBox="1"/>
                      <wps:spPr>
                        <a:xfrm>
                          <a:off x="0" y="0"/>
                          <a:ext cx="6502400" cy="177800"/>
                        </a:xfrm>
                        <a:prstGeom prst="rect">
                          <a:avLst/>
                        </a:prstGeom>
                        <a:solidFill>
                          <a:srgbClr val="CCEDFF"/>
                        </a:solidFill>
                      </wps:spPr>
                      <wps:txbx>
                        <w:txbxContent>
                          <w:p>
                            <w:pPr>
                              <w:pStyle w:val="BodyText"/>
                              <w:spacing w:before="2"/>
                              <w:ind w:left="50"/>
                              <w:rPr>
                                <w:color w:val="000000"/>
                              </w:rPr>
                            </w:pPr>
                            <w:r>
                              <w:rPr>
                                <w:color w:val="000000"/>
                                <w:spacing w:val="-2"/>
                              </w:rPr>
                              <w:t>India:</w:t>
                            </w:r>
                          </w:p>
                        </w:txbxContent>
                      </wps:txbx>
                      <wps:bodyPr wrap="square" lIns="0" tIns="0" rIns="0" bIns="0" rtlCol="0">
                        <a:noAutofit/>
                      </wps:bodyPr>
                    </wps:wsp>
                  </a:graphicData>
                </a:graphic>
              </wp:inline>
            </w:drawing>
          </mc:Choice>
          <mc:Fallback>
            <w:pict>
              <v:shape style="width:512pt;height:14pt;mso-position-horizontal-relative:char;mso-position-vertical-relative:line" type="#_x0000_t202" id="docshape45" filled="true" fillcolor="#ccedff" stroked="false">
                <w10:anchorlock/>
                <v:textbox inset="0,0,0,0">
                  <w:txbxContent>
                    <w:p>
                      <w:pPr>
                        <w:pStyle w:val="BodyText"/>
                        <w:spacing w:before="2"/>
                        <w:ind w:left="50"/>
                        <w:rPr>
                          <w:color w:val="000000"/>
                        </w:rPr>
                      </w:pPr>
                      <w:r>
                        <w:rPr>
                          <w:color w:val="000000"/>
                          <w:spacing w:val="-2"/>
                        </w:rPr>
                        <w:t>India:</w:t>
                      </w:r>
                    </w:p>
                  </w:txbxContent>
                </v:textbox>
                <v:fill type="solid"/>
              </v:shape>
            </w:pict>
          </mc:Fallback>
        </mc:AlternateContent>
      </w:r>
      <w:r>
        <w:rPr/>
      </w:r>
    </w:p>
    <w:p>
      <w:pPr>
        <w:spacing w:after="0"/>
        <w:sectPr>
          <w:type w:val="continuous"/>
          <w:pgSz w:w="12240" w:h="15840"/>
          <w:pgMar w:header="210" w:footer="579" w:top="680" w:bottom="280" w:left="780" w:right="740"/>
        </w:sectPr>
      </w:pPr>
    </w:p>
    <w:p>
      <w:pPr>
        <w:pStyle w:val="BodyText"/>
        <w:spacing w:line="208" w:lineRule="auto" w:before="7"/>
        <w:ind w:left="280" w:right="38"/>
      </w:pPr>
      <w:r>
        <w:rPr/>
        <w:t>Adobe</w:t>
      </w:r>
      <w:r>
        <w:rPr>
          <w:spacing w:val="-13"/>
        </w:rPr>
        <w:t> </w:t>
      </w:r>
      <w:r>
        <w:rPr/>
        <w:t>Towers,</w:t>
      </w:r>
      <w:r>
        <w:rPr>
          <w:spacing w:val="-12"/>
        </w:rPr>
        <w:t> </w:t>
      </w:r>
      <w:r>
        <w:rPr/>
        <w:t>1-1A,</w:t>
      </w:r>
      <w:r>
        <w:rPr>
          <w:spacing w:val="-12"/>
        </w:rPr>
        <w:t> </w:t>
      </w:r>
      <w:r>
        <w:rPr/>
        <w:t>Sector</w:t>
      </w:r>
      <w:r>
        <w:rPr>
          <w:spacing w:val="-12"/>
        </w:rPr>
        <w:t> </w:t>
      </w:r>
      <w:r>
        <w:rPr/>
        <w:t>25A Noida, U.P.</w:t>
      </w:r>
    </w:p>
    <w:p>
      <w:pPr>
        <w:pStyle w:val="BodyText"/>
        <w:tabs>
          <w:tab w:pos="1336" w:val="left" w:leader="none"/>
        </w:tabs>
        <w:spacing w:line="213" w:lineRule="exact"/>
        <w:ind w:left="280"/>
      </w:pPr>
      <w:r>
        <w:rPr/>
        <w:br w:type="column"/>
      </w:r>
      <w:r>
        <w:rPr>
          <w:spacing w:val="-2"/>
        </w:rPr>
        <w:t>191,000</w:t>
      </w:r>
      <w:r>
        <w:rPr/>
        <w:tab/>
        <w:t>Product development and </w:t>
      </w:r>
      <w:r>
        <w:rPr>
          <w:spacing w:val="-2"/>
        </w:rPr>
        <w:t>administration</w:t>
      </w:r>
    </w:p>
    <w:p>
      <w:pPr>
        <w:spacing w:after="0" w:line="213" w:lineRule="exact"/>
        <w:sectPr>
          <w:type w:val="continuous"/>
          <w:pgSz w:w="12240" w:h="15840"/>
          <w:pgMar w:header="210" w:footer="579" w:top="680" w:bottom="280" w:left="780" w:right="740"/>
          <w:cols w:num="2" w:equalWidth="0">
            <w:col w:w="3009" w:space="1674"/>
            <w:col w:w="6037"/>
          </w:cols>
        </w:sectPr>
      </w:pPr>
    </w:p>
    <w:p>
      <w:pPr>
        <w:pStyle w:val="BodyText"/>
        <w:spacing w:before="7"/>
        <w:rPr>
          <w:sz w:val="4"/>
        </w:rPr>
      </w:pPr>
    </w:p>
    <w:p>
      <w:pPr>
        <w:pStyle w:val="BodyText"/>
        <w:ind w:left="230"/>
      </w:pPr>
      <w:r>
        <w:rPr/>
        <mc:AlternateContent>
          <mc:Choice Requires="wps">
            <w:drawing>
              <wp:inline distT="0" distB="0" distL="0" distR="0">
                <wp:extent cx="6502400" cy="317500"/>
                <wp:effectExtent l="0" t="0" r="0" b="6350"/>
                <wp:docPr id="74" name="Group 74"/>
                <wp:cNvGraphicFramePr>
                  <a:graphicFrameLocks/>
                </wp:cNvGraphicFramePr>
                <a:graphic>
                  <a:graphicData uri="http://schemas.microsoft.com/office/word/2010/wordprocessingGroup">
                    <wpg:wgp>
                      <wpg:cNvPr id="74" name="Group 74"/>
                      <wpg:cNvGrpSpPr/>
                      <wpg:grpSpPr>
                        <a:xfrm>
                          <a:off x="0" y="0"/>
                          <a:ext cx="6502400" cy="317500"/>
                          <a:chExt cx="6502400" cy="317500"/>
                        </a:xfrm>
                      </wpg:grpSpPr>
                      <wps:wsp>
                        <wps:cNvPr id="75" name="Graphic 75"/>
                        <wps:cNvSpPr/>
                        <wps:spPr>
                          <a:xfrm>
                            <a:off x="0" y="0"/>
                            <a:ext cx="6502400" cy="317500"/>
                          </a:xfrm>
                          <a:custGeom>
                            <a:avLst/>
                            <a:gdLst/>
                            <a:ahLst/>
                            <a:cxnLst/>
                            <a:rect l="l" t="t" r="r" b="b"/>
                            <a:pathLst>
                              <a:path w="6502400" h="317500">
                                <a:moveTo>
                                  <a:pt x="6502400" y="0"/>
                                </a:moveTo>
                                <a:lnTo>
                                  <a:pt x="6502400" y="0"/>
                                </a:lnTo>
                                <a:lnTo>
                                  <a:pt x="0" y="0"/>
                                </a:lnTo>
                                <a:lnTo>
                                  <a:pt x="0" y="317500"/>
                                </a:lnTo>
                                <a:lnTo>
                                  <a:pt x="6502400" y="317500"/>
                                </a:lnTo>
                                <a:lnTo>
                                  <a:pt x="6502400" y="0"/>
                                </a:lnTo>
                                <a:close/>
                              </a:path>
                            </a:pathLst>
                          </a:custGeom>
                          <a:solidFill>
                            <a:srgbClr val="CCEDFF"/>
                          </a:solidFill>
                        </wps:spPr>
                        <wps:bodyPr wrap="square" lIns="0" tIns="0" rIns="0" bIns="0" rtlCol="0">
                          <a:prstTxWarp prst="textNoShape">
                            <a:avLst/>
                          </a:prstTxWarp>
                          <a:noAutofit/>
                        </wps:bodyPr>
                      </wps:wsp>
                      <wps:wsp>
                        <wps:cNvPr id="76" name="Textbox 76"/>
                        <wps:cNvSpPr txBox="1"/>
                        <wps:spPr>
                          <a:xfrm>
                            <a:off x="31750" y="6589"/>
                            <a:ext cx="1688464" cy="267970"/>
                          </a:xfrm>
                          <a:prstGeom prst="rect">
                            <a:avLst/>
                          </a:prstGeom>
                        </wps:spPr>
                        <wps:txbx>
                          <w:txbxContent>
                            <w:p>
                              <w:pPr>
                                <w:spacing w:line="208" w:lineRule="auto" w:before="15"/>
                                <w:ind w:left="0" w:right="0" w:firstLine="0"/>
                                <w:jc w:val="left"/>
                                <w:rPr>
                                  <w:sz w:val="20"/>
                                </w:rPr>
                              </w:pPr>
                              <w:r>
                                <w:rPr>
                                  <w:sz w:val="20"/>
                                </w:rPr>
                                <w:t>Plot</w:t>
                              </w:r>
                              <w:r>
                                <w:rPr>
                                  <w:spacing w:val="-11"/>
                                  <w:sz w:val="20"/>
                                </w:rPr>
                                <w:t> </w:t>
                              </w:r>
                              <w:r>
                                <w:rPr>
                                  <w:sz w:val="20"/>
                                </w:rPr>
                                <w:t>No.</w:t>
                              </w:r>
                              <w:r>
                                <w:rPr>
                                  <w:spacing w:val="-7"/>
                                  <w:sz w:val="20"/>
                                </w:rPr>
                                <w:t> </w:t>
                              </w:r>
                              <w:r>
                                <w:rPr>
                                  <w:sz w:val="20"/>
                                </w:rPr>
                                <w:t>05,</w:t>
                              </w:r>
                              <w:r>
                                <w:rPr>
                                  <w:spacing w:val="-7"/>
                                  <w:sz w:val="20"/>
                                </w:rPr>
                                <w:t> </w:t>
                              </w:r>
                              <w:r>
                                <w:rPr>
                                  <w:sz w:val="20"/>
                                </w:rPr>
                                <w:t>Block</w:t>
                              </w:r>
                              <w:r>
                                <w:rPr>
                                  <w:spacing w:val="-13"/>
                                  <w:sz w:val="20"/>
                                </w:rPr>
                                <w:t> </w:t>
                              </w:r>
                              <w:r>
                                <w:rPr>
                                  <w:sz w:val="20"/>
                                </w:rPr>
                                <w:t>A,</w:t>
                              </w:r>
                              <w:r>
                                <w:rPr>
                                  <w:spacing w:val="-6"/>
                                  <w:sz w:val="20"/>
                                </w:rPr>
                                <w:t> </w:t>
                              </w:r>
                              <w:r>
                                <w:rPr>
                                  <w:sz w:val="20"/>
                                </w:rPr>
                                <w:t>Sector</w:t>
                              </w:r>
                              <w:r>
                                <w:rPr>
                                  <w:spacing w:val="-7"/>
                                  <w:sz w:val="20"/>
                                </w:rPr>
                                <w:t> </w:t>
                              </w:r>
                              <w:r>
                                <w:rPr>
                                  <w:sz w:val="20"/>
                                </w:rPr>
                                <w:t>132 Noida, U.P.</w:t>
                              </w:r>
                            </w:p>
                          </w:txbxContent>
                        </wps:txbx>
                        <wps:bodyPr wrap="square" lIns="0" tIns="0" rIns="0" bIns="0" rtlCol="0">
                          <a:noAutofit/>
                        </wps:bodyPr>
                      </wps:wsp>
                      <wps:wsp>
                        <wps:cNvPr id="77" name="Textbox 77"/>
                        <wps:cNvSpPr txBox="1"/>
                        <wps:spPr>
                          <a:xfrm>
                            <a:off x="3005454" y="6589"/>
                            <a:ext cx="425450" cy="140970"/>
                          </a:xfrm>
                          <a:prstGeom prst="rect">
                            <a:avLst/>
                          </a:prstGeom>
                        </wps:spPr>
                        <wps:txbx>
                          <w:txbxContent>
                            <w:p>
                              <w:pPr>
                                <w:spacing w:line="221" w:lineRule="exact" w:before="0"/>
                                <w:ind w:left="0" w:right="0" w:firstLine="0"/>
                                <w:jc w:val="left"/>
                                <w:rPr>
                                  <w:sz w:val="20"/>
                                </w:rPr>
                              </w:pPr>
                              <w:r>
                                <w:rPr>
                                  <w:spacing w:val="-2"/>
                                  <w:sz w:val="20"/>
                                </w:rPr>
                                <w:t>363,000</w:t>
                              </w:r>
                            </w:p>
                          </w:txbxContent>
                        </wps:txbx>
                        <wps:bodyPr wrap="square" lIns="0" tIns="0" rIns="0" bIns="0" rtlCol="0">
                          <a:noAutofit/>
                        </wps:bodyPr>
                      </wps:wsp>
                      <wps:wsp>
                        <wps:cNvPr id="78" name="Textbox 78"/>
                        <wps:cNvSpPr txBox="1"/>
                        <wps:spPr>
                          <a:xfrm>
                            <a:off x="3676650" y="6589"/>
                            <a:ext cx="2076450" cy="140970"/>
                          </a:xfrm>
                          <a:prstGeom prst="rect">
                            <a:avLst/>
                          </a:prstGeom>
                        </wps:spPr>
                        <wps:txbx>
                          <w:txbxContent>
                            <w:p>
                              <w:pPr>
                                <w:spacing w:line="221" w:lineRule="exact" w:before="0"/>
                                <w:ind w:left="0" w:right="0" w:firstLine="0"/>
                                <w:jc w:val="left"/>
                                <w:rPr>
                                  <w:sz w:val="20"/>
                                </w:rPr>
                              </w:pPr>
                              <w:r>
                                <w:rPr>
                                  <w:sz w:val="20"/>
                                </w:rPr>
                                <w:t>Product development and </w:t>
                              </w:r>
                              <w:r>
                                <w:rPr>
                                  <w:spacing w:val="-2"/>
                                  <w:sz w:val="20"/>
                                </w:rPr>
                                <w:t>administration</w:t>
                              </w:r>
                            </w:p>
                          </w:txbxContent>
                        </wps:txbx>
                        <wps:bodyPr wrap="square" lIns="0" tIns="0" rIns="0" bIns="0" rtlCol="0">
                          <a:noAutofit/>
                        </wps:bodyPr>
                      </wps:wsp>
                    </wpg:wgp>
                  </a:graphicData>
                </a:graphic>
              </wp:inline>
            </w:drawing>
          </mc:Choice>
          <mc:Fallback>
            <w:pict>
              <v:group style="width:512pt;height:25pt;mso-position-horizontal-relative:char;mso-position-vertical-relative:line" id="docshapegroup46" coordorigin="0,0" coordsize="10240,500">
                <v:rect style="position:absolute;left:0;top:0;width:10240;height:500" id="docshape47" filled="true" fillcolor="#ccedff" stroked="false">
                  <v:fill type="solid"/>
                </v:rect>
                <v:shape style="position:absolute;left:50;top:10;width:2659;height:422" type="#_x0000_t202" id="docshape48" filled="false" stroked="false">
                  <v:textbox inset="0,0,0,0">
                    <w:txbxContent>
                      <w:p>
                        <w:pPr>
                          <w:spacing w:line="208" w:lineRule="auto" w:before="15"/>
                          <w:ind w:left="0" w:right="0" w:firstLine="0"/>
                          <w:jc w:val="left"/>
                          <w:rPr>
                            <w:sz w:val="20"/>
                          </w:rPr>
                        </w:pPr>
                        <w:r>
                          <w:rPr>
                            <w:sz w:val="20"/>
                          </w:rPr>
                          <w:t>Plot</w:t>
                        </w:r>
                        <w:r>
                          <w:rPr>
                            <w:spacing w:val="-11"/>
                            <w:sz w:val="20"/>
                          </w:rPr>
                          <w:t> </w:t>
                        </w:r>
                        <w:r>
                          <w:rPr>
                            <w:sz w:val="20"/>
                          </w:rPr>
                          <w:t>No.</w:t>
                        </w:r>
                        <w:r>
                          <w:rPr>
                            <w:spacing w:val="-7"/>
                            <w:sz w:val="20"/>
                          </w:rPr>
                          <w:t> </w:t>
                        </w:r>
                        <w:r>
                          <w:rPr>
                            <w:sz w:val="20"/>
                          </w:rPr>
                          <w:t>05,</w:t>
                        </w:r>
                        <w:r>
                          <w:rPr>
                            <w:spacing w:val="-7"/>
                            <w:sz w:val="20"/>
                          </w:rPr>
                          <w:t> </w:t>
                        </w:r>
                        <w:r>
                          <w:rPr>
                            <w:sz w:val="20"/>
                          </w:rPr>
                          <w:t>Block</w:t>
                        </w:r>
                        <w:r>
                          <w:rPr>
                            <w:spacing w:val="-13"/>
                            <w:sz w:val="20"/>
                          </w:rPr>
                          <w:t> </w:t>
                        </w:r>
                        <w:r>
                          <w:rPr>
                            <w:sz w:val="20"/>
                          </w:rPr>
                          <w:t>A,</w:t>
                        </w:r>
                        <w:r>
                          <w:rPr>
                            <w:spacing w:val="-6"/>
                            <w:sz w:val="20"/>
                          </w:rPr>
                          <w:t> </w:t>
                        </w:r>
                        <w:r>
                          <w:rPr>
                            <w:sz w:val="20"/>
                          </w:rPr>
                          <w:t>Sector</w:t>
                        </w:r>
                        <w:r>
                          <w:rPr>
                            <w:spacing w:val="-7"/>
                            <w:sz w:val="20"/>
                          </w:rPr>
                          <w:t> </w:t>
                        </w:r>
                        <w:r>
                          <w:rPr>
                            <w:sz w:val="20"/>
                          </w:rPr>
                          <w:t>132 Noida, U.P.</w:t>
                        </w:r>
                      </w:p>
                    </w:txbxContent>
                  </v:textbox>
                  <w10:wrap type="none"/>
                </v:shape>
                <v:shape style="position:absolute;left:4733;top:10;width:670;height:222" type="#_x0000_t202" id="docshape49" filled="false" stroked="false">
                  <v:textbox inset="0,0,0,0">
                    <w:txbxContent>
                      <w:p>
                        <w:pPr>
                          <w:spacing w:line="221" w:lineRule="exact" w:before="0"/>
                          <w:ind w:left="0" w:right="0" w:firstLine="0"/>
                          <w:jc w:val="left"/>
                          <w:rPr>
                            <w:sz w:val="20"/>
                          </w:rPr>
                        </w:pPr>
                        <w:r>
                          <w:rPr>
                            <w:spacing w:val="-2"/>
                            <w:sz w:val="20"/>
                          </w:rPr>
                          <w:t>363,000</w:t>
                        </w:r>
                      </w:p>
                    </w:txbxContent>
                  </v:textbox>
                  <w10:wrap type="none"/>
                </v:shape>
                <v:shape style="position:absolute;left:5790;top:10;width:3270;height:222" type="#_x0000_t202" id="docshape50" filled="false" stroked="false">
                  <v:textbox inset="0,0,0,0">
                    <w:txbxContent>
                      <w:p>
                        <w:pPr>
                          <w:spacing w:line="221" w:lineRule="exact" w:before="0"/>
                          <w:ind w:left="0" w:right="0" w:firstLine="0"/>
                          <w:jc w:val="left"/>
                          <w:rPr>
                            <w:sz w:val="20"/>
                          </w:rPr>
                        </w:pPr>
                        <w:r>
                          <w:rPr>
                            <w:sz w:val="20"/>
                          </w:rPr>
                          <w:t>Product development and </w:t>
                        </w:r>
                        <w:r>
                          <w:rPr>
                            <w:spacing w:val="-2"/>
                            <w:sz w:val="20"/>
                          </w:rPr>
                          <w:t>administration</w:t>
                        </w:r>
                      </w:p>
                    </w:txbxContent>
                  </v:textbox>
                  <w10:wrap type="none"/>
                </v:shape>
              </v:group>
            </w:pict>
          </mc:Fallback>
        </mc:AlternateContent>
      </w:r>
      <w:r>
        <w:rPr/>
      </w:r>
    </w:p>
    <w:p>
      <w:pPr>
        <w:spacing w:after="0"/>
        <w:sectPr>
          <w:type w:val="continuous"/>
          <w:pgSz w:w="12240" w:h="15840"/>
          <w:pgMar w:header="210" w:footer="579" w:top="680" w:bottom="280" w:left="780" w:right="740"/>
        </w:sectPr>
      </w:pPr>
    </w:p>
    <w:p>
      <w:pPr>
        <w:pStyle w:val="BodyText"/>
        <w:spacing w:line="208" w:lineRule="auto" w:before="10"/>
        <w:ind w:left="280"/>
      </w:pPr>
      <w:r>
        <w:rPr/>
        <w:t>Prestige</w:t>
      </w:r>
      <w:r>
        <w:rPr>
          <w:spacing w:val="-13"/>
        </w:rPr>
        <w:t> </w:t>
      </w:r>
      <w:r>
        <w:rPr/>
        <w:t>Platina</w:t>
      </w:r>
      <w:r>
        <w:rPr>
          <w:spacing w:val="-12"/>
        </w:rPr>
        <w:t> </w:t>
      </w:r>
      <w:r>
        <w:rPr/>
        <w:t>Technology</w:t>
      </w:r>
      <w:r>
        <w:rPr>
          <w:spacing w:val="-13"/>
        </w:rPr>
        <w:t> </w:t>
      </w:r>
      <w:r>
        <w:rPr/>
        <w:t>Park Building 1, Block A</w:t>
      </w:r>
    </w:p>
    <w:p>
      <w:pPr>
        <w:pStyle w:val="BodyText"/>
        <w:spacing w:line="206" w:lineRule="exact"/>
        <w:ind w:left="280"/>
      </w:pPr>
      <w:r>
        <w:rPr>
          <w:spacing w:val="-2"/>
        </w:rPr>
        <w:t>Bangalore</w:t>
      </w:r>
    </w:p>
    <w:p>
      <w:pPr>
        <w:pStyle w:val="BodyText"/>
        <w:spacing w:line="208" w:lineRule="auto" w:before="94"/>
        <w:ind w:left="280" w:right="40"/>
      </w:pPr>
      <w:r>
        <w:rPr/>
        <mc:AlternateContent>
          <mc:Choice Requires="wps">
            <w:drawing>
              <wp:anchor distT="0" distB="0" distL="0" distR="0" allowOverlap="1" layoutInCell="1" locked="0" behindDoc="1" simplePos="0" relativeHeight="479794176">
                <wp:simplePos x="0" y="0"/>
                <wp:positionH relativeFrom="page">
                  <wp:posOffset>641350</wp:posOffset>
                </wp:positionH>
                <wp:positionV relativeFrom="paragraph">
                  <wp:posOffset>31820</wp:posOffset>
                </wp:positionV>
                <wp:extent cx="6502400" cy="44450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502400" cy="444500"/>
                        </a:xfrm>
                        <a:custGeom>
                          <a:avLst/>
                          <a:gdLst/>
                          <a:ahLst/>
                          <a:cxnLst/>
                          <a:rect l="l" t="t" r="r" b="b"/>
                          <a:pathLst>
                            <a:path w="6502400" h="444500">
                              <a:moveTo>
                                <a:pt x="6502400" y="0"/>
                              </a:moveTo>
                              <a:lnTo>
                                <a:pt x="6502400" y="0"/>
                              </a:lnTo>
                              <a:lnTo>
                                <a:pt x="0" y="0"/>
                              </a:lnTo>
                              <a:lnTo>
                                <a:pt x="0" y="444500"/>
                              </a:lnTo>
                              <a:lnTo>
                                <a:pt x="6502400" y="4445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505527pt;width:512.000024pt;height:35.000002pt;mso-position-horizontal-relative:page;mso-position-vertical-relative:paragraph;z-index:-23522304" id="docshape51" filled="true" fillcolor="#ccedff" stroked="false">
                <v:fill type="solid"/>
                <w10:wrap type="none"/>
              </v:rect>
            </w:pict>
          </mc:Fallback>
        </mc:AlternateContent>
      </w:r>
      <w:r>
        <w:rPr/>
        <w:t>Prestige Trinity Centre</w:t>
      </w:r>
      <w:r>
        <w:rPr>
          <w:spacing w:val="40"/>
        </w:rPr>
        <w:t> </w:t>
      </w:r>
      <w:r>
        <w:rPr>
          <w:spacing w:val="-2"/>
        </w:rPr>
        <w:t>Bhoganahalli</w:t>
      </w:r>
      <w:r>
        <w:rPr>
          <w:spacing w:val="-7"/>
        </w:rPr>
        <w:t> </w:t>
      </w:r>
      <w:r>
        <w:rPr>
          <w:spacing w:val="-2"/>
        </w:rPr>
        <w:t>Village,</w:t>
      </w:r>
      <w:r>
        <w:rPr>
          <w:spacing w:val="-7"/>
        </w:rPr>
        <w:t> </w:t>
      </w:r>
      <w:r>
        <w:rPr>
          <w:spacing w:val="-2"/>
        </w:rPr>
        <w:t>Varthur</w:t>
      </w:r>
      <w:r>
        <w:rPr>
          <w:spacing w:val="-3"/>
        </w:rPr>
        <w:t> </w:t>
      </w:r>
      <w:r>
        <w:rPr>
          <w:spacing w:val="-2"/>
        </w:rPr>
        <w:t>Hobli Bangalore</w:t>
      </w:r>
    </w:p>
    <w:p>
      <w:pPr>
        <w:pStyle w:val="BodyText"/>
        <w:spacing w:before="57"/>
        <w:ind w:left="280"/>
      </w:pPr>
      <w:r>
        <w:rPr>
          <w:spacing w:val="-2"/>
        </w:rPr>
        <w:t>Japan:</w:t>
      </w:r>
    </w:p>
    <w:p>
      <w:pPr>
        <w:pStyle w:val="BodyText"/>
        <w:spacing w:line="208" w:lineRule="auto" w:before="75"/>
        <w:ind w:left="280" w:right="685"/>
      </w:pPr>
      <w:r>
        <w:rPr/>
        <mc:AlternateContent>
          <mc:Choice Requires="wps">
            <w:drawing>
              <wp:anchor distT="0" distB="0" distL="0" distR="0" allowOverlap="1" layoutInCell="1" locked="0" behindDoc="1" simplePos="0" relativeHeight="479794688">
                <wp:simplePos x="0" y="0"/>
                <wp:positionH relativeFrom="page">
                  <wp:posOffset>641350</wp:posOffset>
                </wp:positionH>
                <wp:positionV relativeFrom="paragraph">
                  <wp:posOffset>31039</wp:posOffset>
                </wp:positionV>
                <wp:extent cx="6502400" cy="43180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502400" cy="431800"/>
                        </a:xfrm>
                        <a:custGeom>
                          <a:avLst/>
                          <a:gdLst/>
                          <a:ahLst/>
                          <a:cxnLst/>
                          <a:rect l="l" t="t" r="r" b="b"/>
                          <a:pathLst>
                            <a:path w="6502400" h="431800">
                              <a:moveTo>
                                <a:pt x="6502400" y="0"/>
                              </a:moveTo>
                              <a:lnTo>
                                <a:pt x="6502400" y="0"/>
                              </a:lnTo>
                              <a:lnTo>
                                <a:pt x="0" y="0"/>
                              </a:lnTo>
                              <a:lnTo>
                                <a:pt x="0" y="431800"/>
                              </a:lnTo>
                              <a:lnTo>
                                <a:pt x="6502400" y="431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444055pt;width:512.000024pt;height:34.000002pt;mso-position-horizontal-relative:page;mso-position-vertical-relative:paragraph;z-index:-23521792" id="docshape52" filled="true" fillcolor="#ccedff" stroked="false">
                <v:fill type="solid"/>
                <w10:wrap type="none"/>
              </v:rect>
            </w:pict>
          </mc:Fallback>
        </mc:AlternateContent>
      </w:r>
      <w:r>
        <w:rPr/>
        <w:t>Gate</w:t>
      </w:r>
      <w:r>
        <w:rPr>
          <w:spacing w:val="-13"/>
        </w:rPr>
        <w:t> </w:t>
      </w:r>
      <w:r>
        <w:rPr/>
        <w:t>City</w:t>
      </w:r>
      <w:r>
        <w:rPr>
          <w:spacing w:val="-12"/>
        </w:rPr>
        <w:t> </w:t>
      </w:r>
      <w:r>
        <w:rPr/>
        <w:t>Osaki</w:t>
      </w:r>
      <w:r>
        <w:rPr>
          <w:spacing w:val="-11"/>
        </w:rPr>
        <w:t> </w:t>
      </w:r>
      <w:r>
        <w:rPr/>
        <w:t>East</w:t>
      </w:r>
      <w:r>
        <w:rPr>
          <w:spacing w:val="-13"/>
        </w:rPr>
        <w:t> </w:t>
      </w:r>
      <w:r>
        <w:rPr/>
        <w:t>Tower 1-11 Osaki</w:t>
      </w:r>
    </w:p>
    <w:p>
      <w:pPr>
        <w:pStyle w:val="BodyText"/>
        <w:spacing w:line="206" w:lineRule="exact"/>
        <w:ind w:left="280"/>
      </w:pPr>
      <w:r>
        <w:rPr/>
        <w:t>Shinagawa-ku,</w:t>
      </w:r>
      <w:r>
        <w:rPr>
          <w:spacing w:val="-2"/>
        </w:rPr>
        <w:t> Tokyo</w:t>
      </w:r>
    </w:p>
    <w:p>
      <w:pPr>
        <w:pStyle w:val="BodyText"/>
        <w:spacing w:before="50"/>
        <w:ind w:left="280"/>
      </w:pPr>
      <w:r>
        <w:rPr>
          <w:spacing w:val="-2"/>
        </w:rPr>
        <w:t>Romania:</w:t>
      </w:r>
    </w:p>
    <w:p>
      <w:pPr>
        <w:pStyle w:val="BodyText"/>
        <w:spacing w:line="208" w:lineRule="auto" w:before="74"/>
        <w:ind w:left="280"/>
      </w:pPr>
      <w:r>
        <w:rPr/>
        <mc:AlternateContent>
          <mc:Choice Requires="wps">
            <w:drawing>
              <wp:anchor distT="0" distB="0" distL="0" distR="0" allowOverlap="1" layoutInCell="1" locked="0" behindDoc="1" simplePos="0" relativeHeight="479795200">
                <wp:simplePos x="0" y="0"/>
                <wp:positionH relativeFrom="page">
                  <wp:posOffset>641350</wp:posOffset>
                </wp:positionH>
                <wp:positionV relativeFrom="paragraph">
                  <wp:posOffset>30602</wp:posOffset>
                </wp:positionV>
                <wp:extent cx="6502400" cy="43180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502400" cy="431800"/>
                        </a:xfrm>
                        <a:custGeom>
                          <a:avLst/>
                          <a:gdLst/>
                          <a:ahLst/>
                          <a:cxnLst/>
                          <a:rect l="l" t="t" r="r" b="b"/>
                          <a:pathLst>
                            <a:path w="6502400" h="431800">
                              <a:moveTo>
                                <a:pt x="6502400" y="0"/>
                              </a:moveTo>
                              <a:lnTo>
                                <a:pt x="6502400" y="0"/>
                              </a:lnTo>
                              <a:lnTo>
                                <a:pt x="0" y="0"/>
                              </a:lnTo>
                              <a:lnTo>
                                <a:pt x="0" y="431800"/>
                              </a:lnTo>
                              <a:lnTo>
                                <a:pt x="6502400" y="431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409682pt;width:512.000024pt;height:34.000002pt;mso-position-horizontal-relative:page;mso-position-vertical-relative:paragraph;z-index:-23521280" id="docshape53" filled="true" fillcolor="#ccedff" stroked="false">
                <v:fill type="solid"/>
                <w10:wrap type="none"/>
              </v:rect>
            </w:pict>
          </mc:Fallback>
        </mc:AlternateContent>
      </w:r>
      <w:r>
        <w:rPr/>
        <w:t>26</w:t>
      </w:r>
      <w:r>
        <w:rPr>
          <w:spacing w:val="-13"/>
        </w:rPr>
        <w:t> </w:t>
      </w:r>
      <w:r>
        <w:rPr/>
        <w:t>Z</w:t>
      </w:r>
      <w:r>
        <w:rPr>
          <w:spacing w:val="-11"/>
        </w:rPr>
        <w:t> </w:t>
      </w:r>
      <w:r>
        <w:rPr/>
        <w:t>Timisoara</w:t>
      </w:r>
      <w:r>
        <w:rPr>
          <w:spacing w:val="-9"/>
        </w:rPr>
        <w:t> </w:t>
      </w:r>
      <w:r>
        <w:rPr/>
        <w:t>Blvd,</w:t>
      </w:r>
      <w:r>
        <w:rPr>
          <w:spacing w:val="-13"/>
        </w:rPr>
        <w:t> </w:t>
      </w:r>
      <w:r>
        <w:rPr/>
        <w:t>Anchor</w:t>
      </w:r>
      <w:r>
        <w:rPr>
          <w:spacing w:val="-9"/>
        </w:rPr>
        <w:t> </w:t>
      </w:r>
      <w:r>
        <w:rPr/>
        <w:t>Plaza Lujerului, Sector 6</w:t>
      </w:r>
    </w:p>
    <w:p>
      <w:pPr>
        <w:pStyle w:val="BodyText"/>
        <w:spacing w:line="206" w:lineRule="exact"/>
        <w:ind w:left="280"/>
      </w:pPr>
      <w:r>
        <w:rPr>
          <w:spacing w:val="-2"/>
        </w:rPr>
        <w:t>Bucharest</w:t>
      </w:r>
    </w:p>
    <w:p>
      <w:pPr>
        <w:pStyle w:val="BodyText"/>
        <w:spacing w:before="50"/>
        <w:ind w:left="280"/>
      </w:pPr>
      <w:r>
        <w:rPr>
          <w:spacing w:val="-5"/>
        </w:rPr>
        <w:t>UK:</w:t>
      </w:r>
    </w:p>
    <w:p>
      <w:pPr>
        <w:pStyle w:val="BodyText"/>
        <w:spacing w:line="208" w:lineRule="auto" w:before="74"/>
        <w:ind w:left="280" w:right="1542"/>
      </w:pPr>
      <w:r>
        <w:rPr/>
        <mc:AlternateContent>
          <mc:Choice Requires="wps">
            <w:drawing>
              <wp:anchor distT="0" distB="0" distL="0" distR="0" allowOverlap="1" layoutInCell="1" locked="0" behindDoc="1" simplePos="0" relativeHeight="479795712">
                <wp:simplePos x="0" y="0"/>
                <wp:positionH relativeFrom="page">
                  <wp:posOffset>641350</wp:posOffset>
                </wp:positionH>
                <wp:positionV relativeFrom="paragraph">
                  <wp:posOffset>30801</wp:posOffset>
                </wp:positionV>
                <wp:extent cx="6502400" cy="43180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502400" cy="431800"/>
                        </a:xfrm>
                        <a:custGeom>
                          <a:avLst/>
                          <a:gdLst/>
                          <a:ahLst/>
                          <a:cxnLst/>
                          <a:rect l="l" t="t" r="r" b="b"/>
                          <a:pathLst>
                            <a:path w="6502400" h="431800">
                              <a:moveTo>
                                <a:pt x="6502400" y="0"/>
                              </a:moveTo>
                              <a:lnTo>
                                <a:pt x="6502400" y="0"/>
                              </a:lnTo>
                              <a:lnTo>
                                <a:pt x="0" y="0"/>
                              </a:lnTo>
                              <a:lnTo>
                                <a:pt x="0" y="431800"/>
                              </a:lnTo>
                              <a:lnTo>
                                <a:pt x="6502400" y="431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425302pt;width:512.000024pt;height:34.000002pt;mso-position-horizontal-relative:page;mso-position-vertical-relative:paragraph;z-index:-23520768" id="docshape54" filled="true" fillcolor="#ccedff" stroked="false">
                <v:fill type="solid"/>
                <w10:wrap type="none"/>
              </v:rect>
            </w:pict>
          </mc:Fallback>
        </mc:AlternateContent>
      </w:r>
      <w:r>
        <w:rPr/>
        <w:t>Market House Providence</w:t>
      </w:r>
      <w:r>
        <w:rPr>
          <w:spacing w:val="-13"/>
        </w:rPr>
        <w:t> </w:t>
      </w:r>
      <w:r>
        <w:rPr/>
        <w:t>Place</w:t>
      </w:r>
    </w:p>
    <w:p>
      <w:pPr>
        <w:pStyle w:val="BodyText"/>
        <w:spacing w:line="206" w:lineRule="exact"/>
        <w:ind w:left="280"/>
      </w:pPr>
      <w:r>
        <w:rPr/>
        <w:t>Maidenhead, Berkshire, SL6 </w:t>
      </w:r>
      <w:r>
        <w:rPr>
          <w:spacing w:val="-5"/>
        </w:rPr>
        <w:t>8AD</w:t>
      </w:r>
    </w:p>
    <w:p>
      <w:pPr>
        <w:pStyle w:val="BodyText"/>
        <w:tabs>
          <w:tab w:pos="1336" w:val="left" w:leader="none"/>
        </w:tabs>
        <w:spacing w:line="208" w:lineRule="auto"/>
        <w:ind w:left="1337" w:right="1343" w:hanging="1057"/>
      </w:pPr>
      <w:r>
        <w:rPr/>
        <w:br w:type="column"/>
      </w:r>
      <w:r>
        <w:rPr>
          <w:spacing w:val="-2"/>
        </w:rPr>
        <w:t>250,000</w:t>
      </w:r>
      <w:r>
        <w:rPr/>
        <w:tab/>
        <w:t>Research,</w:t>
      </w:r>
      <w:r>
        <w:rPr>
          <w:spacing w:val="-9"/>
        </w:rPr>
        <w:t> </w:t>
      </w:r>
      <w:r>
        <w:rPr/>
        <w:t>product</w:t>
      </w:r>
      <w:r>
        <w:rPr>
          <w:spacing w:val="-9"/>
        </w:rPr>
        <w:t> </w:t>
      </w:r>
      <w:r>
        <w:rPr/>
        <w:t>development,</w:t>
      </w:r>
      <w:r>
        <w:rPr>
          <w:spacing w:val="-9"/>
        </w:rPr>
        <w:t> </w:t>
      </w:r>
      <w:r>
        <w:rPr/>
        <w:t>sales</w:t>
      </w:r>
      <w:r>
        <w:rPr>
          <w:spacing w:val="-10"/>
        </w:rPr>
        <w:t> </w:t>
      </w:r>
      <w:r>
        <w:rPr/>
        <w:t>and </w:t>
      </w:r>
      <w:r>
        <w:rPr>
          <w:spacing w:val="-2"/>
        </w:rPr>
        <w:t>administration</w:t>
      </w:r>
    </w:p>
    <w:p>
      <w:pPr>
        <w:pStyle w:val="BodyText"/>
        <w:spacing w:before="61"/>
      </w:pPr>
    </w:p>
    <w:p>
      <w:pPr>
        <w:pStyle w:val="BodyText"/>
        <w:tabs>
          <w:tab w:pos="1336" w:val="left" w:leader="none"/>
        </w:tabs>
        <w:spacing w:line="208" w:lineRule="auto" w:before="1"/>
        <w:ind w:left="1337" w:right="1343" w:hanging="1057"/>
      </w:pPr>
      <w:r>
        <w:rPr>
          <w:spacing w:val="-2"/>
        </w:rPr>
        <w:t>149,000</w:t>
      </w:r>
      <w:r>
        <w:rPr/>
        <w:tab/>
        <w:t>Research,</w:t>
      </w:r>
      <w:r>
        <w:rPr>
          <w:spacing w:val="-9"/>
        </w:rPr>
        <w:t> </w:t>
      </w:r>
      <w:r>
        <w:rPr/>
        <w:t>product</w:t>
      </w:r>
      <w:r>
        <w:rPr>
          <w:spacing w:val="-9"/>
        </w:rPr>
        <w:t> </w:t>
      </w:r>
      <w:r>
        <w:rPr/>
        <w:t>development,</w:t>
      </w:r>
      <w:r>
        <w:rPr>
          <w:spacing w:val="-9"/>
        </w:rPr>
        <w:t> </w:t>
      </w:r>
      <w:r>
        <w:rPr/>
        <w:t>sales</w:t>
      </w:r>
      <w:r>
        <w:rPr>
          <w:spacing w:val="-10"/>
        </w:rPr>
        <w:t> </w:t>
      </w:r>
      <w:r>
        <w:rPr/>
        <w:t>and </w:t>
      </w:r>
      <w:r>
        <w:rPr>
          <w:spacing w:val="-2"/>
        </w:rPr>
        <w:t>administration</w:t>
      </w:r>
    </w:p>
    <w:p>
      <w:pPr>
        <w:pStyle w:val="BodyText"/>
      </w:pPr>
    </w:p>
    <w:p>
      <w:pPr>
        <w:pStyle w:val="BodyText"/>
        <w:spacing w:before="119"/>
      </w:pPr>
    </w:p>
    <w:p>
      <w:pPr>
        <w:pStyle w:val="BodyText"/>
        <w:tabs>
          <w:tab w:pos="1336" w:val="left" w:leader="none"/>
        </w:tabs>
        <w:spacing w:line="208" w:lineRule="auto"/>
        <w:ind w:left="1337" w:right="1254" w:hanging="957"/>
      </w:pPr>
      <w:r>
        <w:rPr>
          <w:spacing w:val="-2"/>
        </w:rPr>
        <w:t>56,000</w:t>
      </w:r>
      <w:r>
        <w:rPr/>
        <w:tab/>
        <w:t>Product</w:t>
      </w:r>
      <w:r>
        <w:rPr>
          <w:spacing w:val="-10"/>
        </w:rPr>
        <w:t> </w:t>
      </w:r>
      <w:r>
        <w:rPr/>
        <w:t>development,</w:t>
      </w:r>
      <w:r>
        <w:rPr>
          <w:spacing w:val="-10"/>
        </w:rPr>
        <w:t> </w:t>
      </w:r>
      <w:r>
        <w:rPr/>
        <w:t>sales,</w:t>
      </w:r>
      <w:r>
        <w:rPr>
          <w:spacing w:val="-10"/>
        </w:rPr>
        <w:t> </w:t>
      </w:r>
      <w:r>
        <w:rPr/>
        <w:t>marketing</w:t>
      </w:r>
      <w:r>
        <w:rPr>
          <w:spacing w:val="-10"/>
        </w:rPr>
        <w:t> </w:t>
      </w:r>
      <w:r>
        <w:rPr/>
        <w:t>and </w:t>
      </w:r>
      <w:r>
        <w:rPr>
          <w:spacing w:val="-2"/>
        </w:rPr>
        <w:t>administration</w:t>
      </w:r>
    </w:p>
    <w:p>
      <w:pPr>
        <w:pStyle w:val="BodyText"/>
      </w:pPr>
    </w:p>
    <w:p>
      <w:pPr>
        <w:pStyle w:val="BodyText"/>
        <w:spacing w:before="76"/>
      </w:pPr>
    </w:p>
    <w:p>
      <w:pPr>
        <w:pStyle w:val="BodyText"/>
        <w:tabs>
          <w:tab w:pos="1336" w:val="left" w:leader="none"/>
        </w:tabs>
        <w:ind w:left="380"/>
      </w:pPr>
      <w:r>
        <w:rPr>
          <w:spacing w:val="-2"/>
        </w:rPr>
        <w:t>71,000</w:t>
      </w:r>
      <w:r>
        <w:rPr/>
        <w:tab/>
        <w:t>Research and product </w:t>
      </w:r>
      <w:r>
        <w:rPr>
          <w:spacing w:val="-2"/>
        </w:rPr>
        <w:t>development</w:t>
      </w:r>
    </w:p>
    <w:p>
      <w:pPr>
        <w:pStyle w:val="BodyText"/>
      </w:pPr>
    </w:p>
    <w:p>
      <w:pPr>
        <w:pStyle w:val="BodyText"/>
      </w:pPr>
    </w:p>
    <w:p>
      <w:pPr>
        <w:pStyle w:val="BodyText"/>
        <w:spacing w:before="64"/>
      </w:pPr>
    </w:p>
    <w:p>
      <w:pPr>
        <w:pStyle w:val="BodyText"/>
        <w:tabs>
          <w:tab w:pos="1336" w:val="left" w:leader="none"/>
        </w:tabs>
        <w:spacing w:line="208" w:lineRule="auto"/>
        <w:ind w:left="1337" w:right="1254" w:hanging="957"/>
      </w:pPr>
      <w:r>
        <w:rPr>
          <w:spacing w:val="-2"/>
        </w:rPr>
        <w:t>49,000</w:t>
      </w:r>
      <w:r>
        <w:rPr/>
        <w:tab/>
        <w:t>Product</w:t>
      </w:r>
      <w:r>
        <w:rPr>
          <w:spacing w:val="-10"/>
        </w:rPr>
        <w:t> </w:t>
      </w:r>
      <w:r>
        <w:rPr/>
        <w:t>development,</w:t>
      </w:r>
      <w:r>
        <w:rPr>
          <w:spacing w:val="-10"/>
        </w:rPr>
        <w:t> </w:t>
      </w:r>
      <w:r>
        <w:rPr/>
        <w:t>sales,</w:t>
      </w:r>
      <w:r>
        <w:rPr>
          <w:spacing w:val="-10"/>
        </w:rPr>
        <w:t> </w:t>
      </w:r>
      <w:r>
        <w:rPr/>
        <w:t>marketing</w:t>
      </w:r>
      <w:r>
        <w:rPr>
          <w:spacing w:val="-10"/>
        </w:rPr>
        <w:t> </w:t>
      </w:r>
      <w:r>
        <w:rPr/>
        <w:t>and </w:t>
      </w:r>
      <w:r>
        <w:rPr>
          <w:spacing w:val="-2"/>
        </w:rPr>
        <w:t>administration</w:t>
      </w:r>
    </w:p>
    <w:p>
      <w:pPr>
        <w:spacing w:after="0" w:line="208" w:lineRule="auto"/>
        <w:sectPr>
          <w:type w:val="continuous"/>
          <w:pgSz w:w="12240" w:h="15840"/>
          <w:pgMar w:header="210" w:footer="579" w:top="680" w:bottom="280" w:left="780" w:right="740"/>
          <w:cols w:num="2" w:equalWidth="0">
            <w:col w:w="3212" w:space="1471"/>
            <w:col w:w="6037"/>
          </w:cols>
        </w:sectPr>
      </w:pPr>
    </w:p>
    <w:p>
      <w:pPr>
        <w:pStyle w:val="BodyText"/>
        <w:spacing w:before="223"/>
      </w:pPr>
    </w:p>
    <w:p>
      <w:pPr>
        <w:pStyle w:val="BodyText"/>
        <w:spacing w:line="20" w:lineRule="exact"/>
        <w:ind w:left="220"/>
        <w:rPr>
          <w:sz w:val="2"/>
        </w:rPr>
      </w:pPr>
      <w:r>
        <w:rPr>
          <w:sz w:val="2"/>
        </w:rPr>
        <mc:AlternateContent>
          <mc:Choice Requires="wps">
            <w:drawing>
              <wp:inline distT="0" distB="0" distL="0" distR="0">
                <wp:extent cx="1692275" cy="3810"/>
                <wp:effectExtent l="9525" t="0" r="0" b="5715"/>
                <wp:docPr id="83" name="Group 83"/>
                <wp:cNvGraphicFramePr>
                  <a:graphicFrameLocks/>
                </wp:cNvGraphicFramePr>
                <a:graphic>
                  <a:graphicData uri="http://schemas.microsoft.com/office/word/2010/wordprocessingGroup">
                    <wpg:wgp>
                      <wpg:cNvPr id="83" name="Group 83"/>
                      <wpg:cNvGrpSpPr/>
                      <wpg:grpSpPr>
                        <a:xfrm>
                          <a:off x="0" y="0"/>
                          <a:ext cx="1692275" cy="3810"/>
                          <a:chExt cx="1692275" cy="3810"/>
                        </a:xfrm>
                      </wpg:grpSpPr>
                      <wps:wsp>
                        <wps:cNvPr id="84" name="Graphic 84"/>
                        <wps:cNvSpPr/>
                        <wps:spPr>
                          <a:xfrm>
                            <a:off x="0" y="1651"/>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55" coordorigin="0,0" coordsize="2665,6">
                <v:line style="position:absolute" from="0,3" to="2665,3" stroked="true" strokeweight=".26pt" strokecolor="#000000">
                  <v:stroke dashstyle="solid"/>
                </v:line>
              </v:group>
            </w:pict>
          </mc:Fallback>
        </mc:AlternateContent>
      </w:r>
      <w:r>
        <w:rPr>
          <w:sz w:val="2"/>
        </w:rPr>
      </w:r>
    </w:p>
    <w:p>
      <w:pPr>
        <w:pStyle w:val="BodyText"/>
        <w:spacing w:before="108"/>
      </w:pPr>
    </w:p>
    <w:p>
      <w:pPr>
        <w:pStyle w:val="BodyText"/>
        <w:tabs>
          <w:tab w:pos="579" w:val="left" w:leader="none"/>
        </w:tabs>
        <w:spacing w:line="249" w:lineRule="auto"/>
        <w:ind w:left="580" w:right="413" w:hanging="360"/>
      </w:pPr>
      <w:r>
        <w:rPr>
          <w:spacing w:val="-4"/>
          <w:vertAlign w:val="superscript"/>
        </w:rPr>
        <w:t>(1)</w:t>
      </w:r>
      <w:r>
        <w:rPr>
          <w:vertAlign w:val="baseline"/>
        </w:rPr>
        <w:tab/>
        <w:t>The total square footage is 122,000, of which we occupy 59,000 square feet, or approximately 48% of this facility; 6,000 square feet is unoccupied. The remaining square footage is subleased.</w:t>
      </w:r>
    </w:p>
    <w:p>
      <w:pPr>
        <w:pStyle w:val="BodyText"/>
        <w:spacing w:before="12"/>
      </w:pPr>
    </w:p>
    <w:p>
      <w:pPr>
        <w:pStyle w:val="BodyText"/>
        <w:spacing w:line="249" w:lineRule="auto"/>
        <w:ind w:left="220" w:right="257" w:firstLine="540"/>
        <w:jc w:val="both"/>
      </w:pPr>
      <w:r>
        <w:rPr/>
        <w:t>In general, all facilities are in good condition, suitable for the conduct of our business and are operating at an average capacity of approximately 83%.</w:t>
      </w:r>
    </w:p>
    <w:p>
      <w:pPr>
        <w:pStyle w:val="Heading1"/>
        <w:spacing w:before="181"/>
      </w:pPr>
      <w:bookmarkStart w:name="Item 3. Legal Proceedings" w:id="26"/>
      <w:bookmarkEnd w:id="26"/>
      <w:r>
        <w:rPr>
          <w:b w:val="0"/>
        </w:rPr>
      </w:r>
      <w:bookmarkStart w:name="_bookmark7" w:id="27"/>
      <w:bookmarkEnd w:id="27"/>
      <w:r>
        <w:rPr>
          <w:b w:val="0"/>
        </w:rPr>
      </w:r>
      <w:r>
        <w:rPr/>
        <w:t>ITEM 3.</w:t>
      </w:r>
      <w:r>
        <w:rPr>
          <w:spacing w:val="50"/>
        </w:rPr>
        <w:t> </w:t>
      </w:r>
      <w:r>
        <w:rPr/>
        <w:t>LEGAL</w:t>
      </w:r>
      <w:r>
        <w:rPr>
          <w:spacing w:val="-12"/>
        </w:rPr>
        <w:t> </w:t>
      </w:r>
      <w:r>
        <w:rPr>
          <w:spacing w:val="-2"/>
        </w:rPr>
        <w:t>PROCEEDINGS</w:t>
      </w:r>
    </w:p>
    <w:p>
      <w:pPr>
        <w:pStyle w:val="BodyText"/>
        <w:spacing w:line="249" w:lineRule="auto" w:before="190"/>
        <w:ind w:left="220" w:right="257" w:firstLine="540"/>
        <w:jc w:val="both"/>
      </w:pPr>
      <w:r>
        <w:rPr/>
        <w:t>In connection with disputes relating to the validity or alleged infringement of third-party intellectual property rights, including</w:t>
      </w:r>
      <w:r>
        <w:rPr>
          <w:spacing w:val="-13"/>
        </w:rPr>
        <w:t> </w:t>
      </w:r>
      <w:r>
        <w:rPr/>
        <w:t>patent</w:t>
      </w:r>
      <w:r>
        <w:rPr>
          <w:spacing w:val="-12"/>
        </w:rPr>
        <w:t> </w:t>
      </w:r>
      <w:r>
        <w:rPr/>
        <w:t>rights,</w:t>
      </w:r>
      <w:r>
        <w:rPr>
          <w:spacing w:val="-12"/>
        </w:rPr>
        <w:t> </w:t>
      </w:r>
      <w:r>
        <w:rPr/>
        <w:t>we</w:t>
      </w:r>
      <w:r>
        <w:rPr>
          <w:spacing w:val="-13"/>
        </w:rPr>
        <w:t> </w:t>
      </w:r>
      <w:r>
        <w:rPr/>
        <w:t>have</w:t>
      </w:r>
      <w:r>
        <w:rPr>
          <w:spacing w:val="-12"/>
        </w:rPr>
        <w:t> </w:t>
      </w:r>
      <w:r>
        <w:rPr/>
        <w:t>been,</w:t>
      </w:r>
      <w:r>
        <w:rPr>
          <w:spacing w:val="-13"/>
        </w:rPr>
        <w:t> </w:t>
      </w:r>
      <w:r>
        <w:rPr/>
        <w:t>are</w:t>
      </w:r>
      <w:r>
        <w:rPr>
          <w:spacing w:val="-11"/>
        </w:rPr>
        <w:t> </w:t>
      </w:r>
      <w:r>
        <w:rPr/>
        <w:t>currently</w:t>
      </w:r>
      <w:r>
        <w:rPr>
          <w:spacing w:val="-13"/>
        </w:rPr>
        <w:t> </w:t>
      </w:r>
      <w:r>
        <w:rPr/>
        <w:t>and</w:t>
      </w:r>
      <w:r>
        <w:rPr>
          <w:spacing w:val="-11"/>
        </w:rPr>
        <w:t> </w:t>
      </w:r>
      <w:r>
        <w:rPr/>
        <w:t>may</w:t>
      </w:r>
      <w:r>
        <w:rPr>
          <w:spacing w:val="-13"/>
        </w:rPr>
        <w:t> </w:t>
      </w:r>
      <w:r>
        <w:rPr/>
        <w:t>in</w:t>
      </w:r>
      <w:r>
        <w:rPr>
          <w:spacing w:val="-11"/>
        </w:rPr>
        <w:t> </w:t>
      </w:r>
      <w:r>
        <w:rPr/>
        <w:t>the</w:t>
      </w:r>
      <w:r>
        <w:rPr>
          <w:spacing w:val="-13"/>
        </w:rPr>
        <w:t> </w:t>
      </w:r>
      <w:r>
        <w:rPr/>
        <w:t>future</w:t>
      </w:r>
      <w:r>
        <w:rPr>
          <w:spacing w:val="-12"/>
        </w:rPr>
        <w:t> </w:t>
      </w:r>
      <w:r>
        <w:rPr/>
        <w:t>be</w:t>
      </w:r>
      <w:r>
        <w:rPr>
          <w:spacing w:val="-12"/>
        </w:rPr>
        <w:t> </w:t>
      </w:r>
      <w:r>
        <w:rPr/>
        <w:t>subject</w:t>
      </w:r>
      <w:r>
        <w:rPr>
          <w:spacing w:val="-13"/>
        </w:rPr>
        <w:t> </w:t>
      </w:r>
      <w:r>
        <w:rPr/>
        <w:t>to</w:t>
      </w:r>
      <w:r>
        <w:rPr>
          <w:spacing w:val="-11"/>
        </w:rPr>
        <w:t> </w:t>
      </w:r>
      <w:r>
        <w:rPr/>
        <w:t>claims,</w:t>
      </w:r>
      <w:r>
        <w:rPr>
          <w:spacing w:val="-13"/>
        </w:rPr>
        <w:t> </w:t>
      </w:r>
      <w:r>
        <w:rPr/>
        <w:t>negotiations</w:t>
      </w:r>
      <w:r>
        <w:rPr>
          <w:spacing w:val="-11"/>
        </w:rPr>
        <w:t> </w:t>
      </w:r>
      <w:r>
        <w:rPr/>
        <w:t>or</w:t>
      </w:r>
      <w:r>
        <w:rPr>
          <w:spacing w:val="-12"/>
        </w:rPr>
        <w:t> </w:t>
      </w:r>
      <w:r>
        <w:rPr/>
        <w:t>complex,</w:t>
      </w:r>
      <w:r>
        <w:rPr>
          <w:spacing w:val="-13"/>
        </w:rPr>
        <w:t> </w:t>
      </w:r>
      <w:r>
        <w:rPr/>
        <w:t>protracted litigation. Intellectual property disputes and litigation may be very costly and can be disruptive to our business operations by diverting the attention and energies of management and key technical personnel. Although we have successfully defended or resolved</w:t>
      </w:r>
      <w:r>
        <w:rPr>
          <w:spacing w:val="-4"/>
        </w:rPr>
        <w:t> </w:t>
      </w:r>
      <w:r>
        <w:rPr/>
        <w:t>past</w:t>
      </w:r>
      <w:r>
        <w:rPr>
          <w:spacing w:val="-4"/>
        </w:rPr>
        <w:t> </w:t>
      </w:r>
      <w:r>
        <w:rPr/>
        <w:t>litigation</w:t>
      </w:r>
      <w:r>
        <w:rPr>
          <w:spacing w:val="-4"/>
        </w:rPr>
        <w:t> </w:t>
      </w:r>
      <w:r>
        <w:rPr/>
        <w:t>and</w:t>
      </w:r>
      <w:r>
        <w:rPr>
          <w:spacing w:val="-4"/>
        </w:rPr>
        <w:t> </w:t>
      </w:r>
      <w:r>
        <w:rPr/>
        <w:t>disputes,</w:t>
      </w:r>
      <w:r>
        <w:rPr>
          <w:spacing w:val="-4"/>
        </w:rPr>
        <w:t> </w:t>
      </w:r>
      <w:r>
        <w:rPr/>
        <w:t>we</w:t>
      </w:r>
      <w:r>
        <w:rPr>
          <w:spacing w:val="-4"/>
        </w:rPr>
        <w:t> </w:t>
      </w:r>
      <w:r>
        <w:rPr/>
        <w:t>may</w:t>
      </w:r>
      <w:r>
        <w:rPr>
          <w:spacing w:val="-4"/>
        </w:rPr>
        <w:t> </w:t>
      </w:r>
      <w:r>
        <w:rPr/>
        <w:t>not</w:t>
      </w:r>
      <w:r>
        <w:rPr>
          <w:spacing w:val="-5"/>
        </w:rPr>
        <w:t> </w:t>
      </w:r>
      <w:r>
        <w:rPr/>
        <w:t>prevail</w:t>
      </w:r>
      <w:r>
        <w:rPr>
          <w:spacing w:val="-4"/>
        </w:rPr>
        <w:t> </w:t>
      </w:r>
      <w:r>
        <w:rPr/>
        <w:t>in</w:t>
      </w:r>
      <w:r>
        <w:rPr>
          <w:spacing w:val="-4"/>
        </w:rPr>
        <w:t> </w:t>
      </w:r>
      <w:r>
        <w:rPr/>
        <w:t>any</w:t>
      </w:r>
      <w:r>
        <w:rPr>
          <w:spacing w:val="-4"/>
        </w:rPr>
        <w:t> </w:t>
      </w:r>
      <w:r>
        <w:rPr/>
        <w:t>ongoing</w:t>
      </w:r>
      <w:r>
        <w:rPr>
          <w:spacing w:val="-4"/>
        </w:rPr>
        <w:t> </w:t>
      </w:r>
      <w:r>
        <w:rPr/>
        <w:t>or</w:t>
      </w:r>
      <w:r>
        <w:rPr>
          <w:spacing w:val="-4"/>
        </w:rPr>
        <w:t> </w:t>
      </w:r>
      <w:r>
        <w:rPr/>
        <w:t>future</w:t>
      </w:r>
      <w:r>
        <w:rPr>
          <w:spacing w:val="-4"/>
        </w:rPr>
        <w:t> </w:t>
      </w:r>
      <w:r>
        <w:rPr/>
        <w:t>litigation</w:t>
      </w:r>
      <w:r>
        <w:rPr>
          <w:spacing w:val="-4"/>
        </w:rPr>
        <w:t> </w:t>
      </w:r>
      <w:r>
        <w:rPr/>
        <w:t>and</w:t>
      </w:r>
      <w:r>
        <w:rPr>
          <w:spacing w:val="-4"/>
        </w:rPr>
        <w:t> </w:t>
      </w:r>
      <w:r>
        <w:rPr/>
        <w:t>disputes.</w:t>
      </w:r>
      <w:r>
        <w:rPr>
          <w:spacing w:val="-8"/>
        </w:rPr>
        <w:t> </w:t>
      </w:r>
      <w:r>
        <w:rPr/>
        <w:t>Third-party</w:t>
      </w:r>
      <w:r>
        <w:rPr>
          <w:spacing w:val="-4"/>
        </w:rPr>
        <w:t> </w:t>
      </w:r>
      <w:r>
        <w:rPr/>
        <w:t>intellectual </w:t>
      </w:r>
      <w:r>
        <w:rPr>
          <w:spacing w:val="-2"/>
        </w:rPr>
        <w:t>property</w:t>
      </w:r>
      <w:r>
        <w:rPr>
          <w:spacing w:val="-11"/>
        </w:rPr>
        <w:t> </w:t>
      </w:r>
      <w:r>
        <w:rPr>
          <w:spacing w:val="-2"/>
        </w:rPr>
        <w:t>disputes</w:t>
      </w:r>
      <w:r>
        <w:rPr>
          <w:spacing w:val="-10"/>
        </w:rPr>
        <w:t> </w:t>
      </w:r>
      <w:r>
        <w:rPr>
          <w:spacing w:val="-2"/>
        </w:rPr>
        <w:t>could</w:t>
      </w:r>
      <w:r>
        <w:rPr>
          <w:spacing w:val="-11"/>
        </w:rPr>
        <w:t> </w:t>
      </w:r>
      <w:r>
        <w:rPr>
          <w:spacing w:val="-2"/>
        </w:rPr>
        <w:t>subject</w:t>
      </w:r>
      <w:r>
        <w:rPr>
          <w:spacing w:val="-10"/>
        </w:rPr>
        <w:t> </w:t>
      </w:r>
      <w:r>
        <w:rPr>
          <w:spacing w:val="-2"/>
        </w:rPr>
        <w:t>us</w:t>
      </w:r>
      <w:r>
        <w:rPr>
          <w:spacing w:val="-11"/>
        </w:rPr>
        <w:t> </w:t>
      </w:r>
      <w:r>
        <w:rPr>
          <w:spacing w:val="-2"/>
        </w:rPr>
        <w:t>to</w:t>
      </w:r>
      <w:r>
        <w:rPr>
          <w:spacing w:val="-10"/>
        </w:rPr>
        <w:t> </w:t>
      </w:r>
      <w:r>
        <w:rPr>
          <w:spacing w:val="-2"/>
        </w:rPr>
        <w:t>significant</w:t>
      </w:r>
      <w:r>
        <w:rPr>
          <w:spacing w:val="-11"/>
        </w:rPr>
        <w:t> </w:t>
      </w:r>
      <w:r>
        <w:rPr>
          <w:spacing w:val="-2"/>
        </w:rPr>
        <w:t>liabilities,</w:t>
      </w:r>
      <w:r>
        <w:rPr>
          <w:spacing w:val="-10"/>
        </w:rPr>
        <w:t> </w:t>
      </w:r>
      <w:r>
        <w:rPr>
          <w:spacing w:val="-2"/>
        </w:rPr>
        <w:t>require</w:t>
      </w:r>
      <w:r>
        <w:rPr>
          <w:spacing w:val="-11"/>
        </w:rPr>
        <w:t> </w:t>
      </w:r>
      <w:r>
        <w:rPr>
          <w:spacing w:val="-2"/>
        </w:rPr>
        <w:t>us</w:t>
      </w:r>
      <w:r>
        <w:rPr>
          <w:spacing w:val="-10"/>
        </w:rPr>
        <w:t> </w:t>
      </w:r>
      <w:r>
        <w:rPr>
          <w:spacing w:val="-2"/>
        </w:rPr>
        <w:t>to</w:t>
      </w:r>
      <w:r>
        <w:rPr>
          <w:spacing w:val="-11"/>
        </w:rPr>
        <w:t> </w:t>
      </w:r>
      <w:r>
        <w:rPr>
          <w:spacing w:val="-2"/>
        </w:rPr>
        <w:t>enter</w:t>
      </w:r>
      <w:r>
        <w:rPr>
          <w:spacing w:val="-10"/>
        </w:rPr>
        <w:t> </w:t>
      </w:r>
      <w:r>
        <w:rPr>
          <w:spacing w:val="-2"/>
        </w:rPr>
        <w:t>into</w:t>
      </w:r>
      <w:r>
        <w:rPr>
          <w:spacing w:val="-11"/>
        </w:rPr>
        <w:t> </w:t>
      </w:r>
      <w:r>
        <w:rPr>
          <w:spacing w:val="-2"/>
        </w:rPr>
        <w:t>royalty</w:t>
      </w:r>
      <w:r>
        <w:rPr>
          <w:spacing w:val="-10"/>
        </w:rPr>
        <w:t> </w:t>
      </w:r>
      <w:r>
        <w:rPr>
          <w:spacing w:val="-2"/>
        </w:rPr>
        <w:t>and</w:t>
      </w:r>
      <w:r>
        <w:rPr>
          <w:spacing w:val="-11"/>
        </w:rPr>
        <w:t> </w:t>
      </w:r>
      <w:r>
        <w:rPr>
          <w:spacing w:val="-2"/>
        </w:rPr>
        <w:t>licensing</w:t>
      </w:r>
      <w:r>
        <w:rPr>
          <w:spacing w:val="-10"/>
        </w:rPr>
        <w:t> </w:t>
      </w:r>
      <w:r>
        <w:rPr>
          <w:spacing w:val="-2"/>
        </w:rPr>
        <w:t>arrangements</w:t>
      </w:r>
      <w:r>
        <w:rPr>
          <w:spacing w:val="-11"/>
        </w:rPr>
        <w:t> </w:t>
      </w:r>
      <w:r>
        <w:rPr>
          <w:spacing w:val="-2"/>
        </w:rPr>
        <w:t>on</w:t>
      </w:r>
      <w:r>
        <w:rPr>
          <w:spacing w:val="-10"/>
        </w:rPr>
        <w:t> </w:t>
      </w:r>
      <w:r>
        <w:rPr>
          <w:spacing w:val="-2"/>
        </w:rPr>
        <w:t>unfavorable </w:t>
      </w:r>
      <w:r>
        <w:rPr/>
        <w:t>terms,</w:t>
      </w:r>
      <w:r>
        <w:rPr>
          <w:spacing w:val="-10"/>
        </w:rPr>
        <w:t> </w:t>
      </w:r>
      <w:r>
        <w:rPr/>
        <w:t>prevent</w:t>
      </w:r>
      <w:r>
        <w:rPr>
          <w:spacing w:val="-10"/>
        </w:rPr>
        <w:t> </w:t>
      </w:r>
      <w:r>
        <w:rPr/>
        <w:t>us</w:t>
      </w:r>
      <w:r>
        <w:rPr>
          <w:spacing w:val="-10"/>
        </w:rPr>
        <w:t> </w:t>
      </w:r>
      <w:r>
        <w:rPr/>
        <w:t>from</w:t>
      </w:r>
      <w:r>
        <w:rPr>
          <w:spacing w:val="-10"/>
        </w:rPr>
        <w:t> </w:t>
      </w:r>
      <w:r>
        <w:rPr/>
        <w:t>licensing</w:t>
      </w:r>
      <w:r>
        <w:rPr>
          <w:spacing w:val="-10"/>
        </w:rPr>
        <w:t> </w:t>
      </w:r>
      <w:r>
        <w:rPr/>
        <w:t>certain</w:t>
      </w:r>
      <w:r>
        <w:rPr>
          <w:spacing w:val="-10"/>
        </w:rPr>
        <w:t> </w:t>
      </w:r>
      <w:r>
        <w:rPr/>
        <w:t>of</w:t>
      </w:r>
      <w:r>
        <w:rPr>
          <w:spacing w:val="-10"/>
        </w:rPr>
        <w:t> </w:t>
      </w:r>
      <w:r>
        <w:rPr/>
        <w:t>our</w:t>
      </w:r>
      <w:r>
        <w:rPr>
          <w:spacing w:val="-10"/>
        </w:rPr>
        <w:t> </w:t>
      </w:r>
      <w:r>
        <w:rPr/>
        <w:t>products</w:t>
      </w:r>
      <w:r>
        <w:rPr>
          <w:spacing w:val="-10"/>
        </w:rPr>
        <w:t> </w:t>
      </w:r>
      <w:r>
        <w:rPr/>
        <w:t>or</w:t>
      </w:r>
      <w:r>
        <w:rPr>
          <w:spacing w:val="-10"/>
        </w:rPr>
        <w:t> </w:t>
      </w:r>
      <w:r>
        <w:rPr/>
        <w:t>offering</w:t>
      </w:r>
      <w:r>
        <w:rPr>
          <w:spacing w:val="-10"/>
        </w:rPr>
        <w:t> </w:t>
      </w:r>
      <w:r>
        <w:rPr/>
        <w:t>certain</w:t>
      </w:r>
      <w:r>
        <w:rPr>
          <w:spacing w:val="-10"/>
        </w:rPr>
        <w:t> </w:t>
      </w:r>
      <w:r>
        <w:rPr/>
        <w:t>of</w:t>
      </w:r>
      <w:r>
        <w:rPr>
          <w:spacing w:val="-10"/>
        </w:rPr>
        <w:t> </w:t>
      </w:r>
      <w:r>
        <w:rPr/>
        <w:t>our</w:t>
      </w:r>
      <w:r>
        <w:rPr>
          <w:spacing w:val="-10"/>
        </w:rPr>
        <w:t> </w:t>
      </w:r>
      <w:r>
        <w:rPr/>
        <w:t>services,</w:t>
      </w:r>
      <w:r>
        <w:rPr>
          <w:spacing w:val="-10"/>
        </w:rPr>
        <w:t> </w:t>
      </w:r>
      <w:r>
        <w:rPr/>
        <w:t>subject</w:t>
      </w:r>
      <w:r>
        <w:rPr>
          <w:spacing w:val="-10"/>
        </w:rPr>
        <w:t> </w:t>
      </w:r>
      <w:r>
        <w:rPr/>
        <w:t>us</w:t>
      </w:r>
      <w:r>
        <w:rPr>
          <w:spacing w:val="-10"/>
        </w:rPr>
        <w:t> </w:t>
      </w:r>
      <w:r>
        <w:rPr/>
        <w:t>to</w:t>
      </w:r>
      <w:r>
        <w:rPr>
          <w:spacing w:val="-10"/>
        </w:rPr>
        <w:t> </w:t>
      </w:r>
      <w:r>
        <w:rPr/>
        <w:t>injunctions</w:t>
      </w:r>
      <w:r>
        <w:rPr>
          <w:spacing w:val="-10"/>
        </w:rPr>
        <w:t> </w:t>
      </w:r>
      <w:r>
        <w:rPr/>
        <w:t>restricting</w:t>
      </w:r>
      <w:r>
        <w:rPr>
          <w:spacing w:val="-10"/>
        </w:rPr>
        <w:t> </w:t>
      </w:r>
      <w:r>
        <w:rPr/>
        <w:t>our sale</w:t>
      </w:r>
      <w:r>
        <w:rPr>
          <w:spacing w:val="-13"/>
        </w:rPr>
        <w:t> </w:t>
      </w:r>
      <w:r>
        <w:rPr/>
        <w:t>of</w:t>
      </w:r>
      <w:r>
        <w:rPr>
          <w:spacing w:val="-12"/>
        </w:rPr>
        <w:t> </w:t>
      </w:r>
      <w:r>
        <w:rPr/>
        <w:t>products</w:t>
      </w:r>
      <w:r>
        <w:rPr>
          <w:spacing w:val="-12"/>
        </w:rPr>
        <w:t> </w:t>
      </w:r>
      <w:r>
        <w:rPr/>
        <w:t>or</w:t>
      </w:r>
      <w:r>
        <w:rPr>
          <w:spacing w:val="-12"/>
        </w:rPr>
        <w:t> </w:t>
      </w:r>
      <w:r>
        <w:rPr/>
        <w:t>services,</w:t>
      </w:r>
      <w:r>
        <w:rPr>
          <w:spacing w:val="-13"/>
        </w:rPr>
        <w:t> </w:t>
      </w:r>
      <w:r>
        <w:rPr/>
        <w:t>cause</w:t>
      </w:r>
      <w:r>
        <w:rPr>
          <w:spacing w:val="-12"/>
        </w:rPr>
        <w:t> </w:t>
      </w:r>
      <w:r>
        <w:rPr/>
        <w:t>severe</w:t>
      </w:r>
      <w:r>
        <w:rPr>
          <w:spacing w:val="-13"/>
        </w:rPr>
        <w:t> </w:t>
      </w:r>
      <w:r>
        <w:rPr/>
        <w:t>disruptions</w:t>
      </w:r>
      <w:r>
        <w:rPr>
          <w:spacing w:val="-11"/>
        </w:rPr>
        <w:t> </w:t>
      </w:r>
      <w:r>
        <w:rPr/>
        <w:t>to</w:t>
      </w:r>
      <w:r>
        <w:rPr>
          <w:spacing w:val="-13"/>
        </w:rPr>
        <w:t> </w:t>
      </w:r>
      <w:r>
        <w:rPr/>
        <w:t>our</w:t>
      </w:r>
      <w:r>
        <w:rPr>
          <w:spacing w:val="-11"/>
        </w:rPr>
        <w:t> </w:t>
      </w:r>
      <w:r>
        <w:rPr/>
        <w:t>operations</w:t>
      </w:r>
      <w:r>
        <w:rPr>
          <w:spacing w:val="-13"/>
        </w:rPr>
        <w:t> </w:t>
      </w:r>
      <w:r>
        <w:rPr/>
        <w:t>or</w:t>
      </w:r>
      <w:r>
        <w:rPr>
          <w:spacing w:val="-12"/>
        </w:rPr>
        <w:t> </w:t>
      </w:r>
      <w:r>
        <w:rPr/>
        <w:t>the</w:t>
      </w:r>
      <w:r>
        <w:rPr>
          <w:spacing w:val="-13"/>
        </w:rPr>
        <w:t> </w:t>
      </w:r>
      <w:r>
        <w:rPr/>
        <w:t>markets</w:t>
      </w:r>
      <w:r>
        <w:rPr>
          <w:spacing w:val="-11"/>
        </w:rPr>
        <w:t> </w:t>
      </w:r>
      <w:r>
        <w:rPr/>
        <w:t>in</w:t>
      </w:r>
      <w:r>
        <w:rPr>
          <w:spacing w:val="-13"/>
        </w:rPr>
        <w:t> </w:t>
      </w:r>
      <w:r>
        <w:rPr/>
        <w:t>which</w:t>
      </w:r>
      <w:r>
        <w:rPr>
          <w:spacing w:val="-12"/>
        </w:rPr>
        <w:t> </w:t>
      </w:r>
      <w:r>
        <w:rPr/>
        <w:t>we</w:t>
      </w:r>
      <w:r>
        <w:rPr>
          <w:spacing w:val="-13"/>
        </w:rPr>
        <w:t> </w:t>
      </w:r>
      <w:r>
        <w:rPr/>
        <w:t>compete,</w:t>
      </w:r>
      <w:r>
        <w:rPr>
          <w:spacing w:val="-12"/>
        </w:rPr>
        <w:t> </w:t>
      </w:r>
      <w:r>
        <w:rPr/>
        <w:t>or</w:t>
      </w:r>
      <w:r>
        <w:rPr>
          <w:spacing w:val="-13"/>
        </w:rPr>
        <w:t> </w:t>
      </w:r>
      <w:r>
        <w:rPr/>
        <w:t>require</w:t>
      </w:r>
      <w:r>
        <w:rPr>
          <w:spacing w:val="-12"/>
        </w:rPr>
        <w:t> </w:t>
      </w:r>
      <w:r>
        <w:rPr/>
        <w:t>us</w:t>
      </w:r>
      <w:r>
        <w:rPr>
          <w:spacing w:val="-13"/>
        </w:rPr>
        <w:t> </w:t>
      </w:r>
      <w:r>
        <w:rPr/>
        <w:t>to</w:t>
      </w:r>
      <w:r>
        <w:rPr>
          <w:spacing w:val="-12"/>
        </w:rPr>
        <w:t> </w:t>
      </w:r>
      <w:r>
        <w:rPr/>
        <w:t>satisfy </w:t>
      </w:r>
      <w:r>
        <w:rPr>
          <w:spacing w:val="-2"/>
        </w:rPr>
        <w:t>indemnification commitments with our customers including contractual</w:t>
      </w:r>
      <w:r>
        <w:rPr>
          <w:spacing w:val="-3"/>
        </w:rPr>
        <w:t> </w:t>
      </w:r>
      <w:r>
        <w:rPr>
          <w:spacing w:val="-2"/>
        </w:rPr>
        <w:t>provisions under various license</w:t>
      </w:r>
      <w:r>
        <w:rPr>
          <w:spacing w:val="-3"/>
        </w:rPr>
        <w:t> </w:t>
      </w:r>
      <w:r>
        <w:rPr>
          <w:spacing w:val="-2"/>
        </w:rPr>
        <w:t>arrangements and service agreements.</w:t>
      </w:r>
    </w:p>
    <w:p>
      <w:pPr>
        <w:pStyle w:val="BodyText"/>
        <w:spacing w:line="249" w:lineRule="auto" w:before="189"/>
        <w:ind w:left="220" w:right="257" w:firstLine="540"/>
        <w:jc w:val="both"/>
      </w:pPr>
      <w:r>
        <w:rPr/>
        <w:t>In</w:t>
      </w:r>
      <w:r>
        <w:rPr>
          <w:spacing w:val="-3"/>
        </w:rPr>
        <w:t> </w:t>
      </w:r>
      <w:r>
        <w:rPr/>
        <w:t>addition</w:t>
      </w:r>
      <w:r>
        <w:rPr>
          <w:spacing w:val="-3"/>
        </w:rPr>
        <w:t> </w:t>
      </w:r>
      <w:r>
        <w:rPr/>
        <w:t>to</w:t>
      </w:r>
      <w:r>
        <w:rPr>
          <w:spacing w:val="-3"/>
        </w:rPr>
        <w:t> </w:t>
      </w:r>
      <w:r>
        <w:rPr/>
        <w:t>intellectual</w:t>
      </w:r>
      <w:r>
        <w:rPr>
          <w:spacing w:val="-3"/>
        </w:rPr>
        <w:t> </w:t>
      </w:r>
      <w:r>
        <w:rPr/>
        <w:t>property</w:t>
      </w:r>
      <w:r>
        <w:rPr>
          <w:spacing w:val="-3"/>
        </w:rPr>
        <w:t> </w:t>
      </w:r>
      <w:r>
        <w:rPr/>
        <w:t>disputes,</w:t>
      </w:r>
      <w:r>
        <w:rPr>
          <w:spacing w:val="-3"/>
        </w:rPr>
        <w:t> </w:t>
      </w:r>
      <w:r>
        <w:rPr/>
        <w:t>we</w:t>
      </w:r>
      <w:r>
        <w:rPr>
          <w:spacing w:val="-3"/>
        </w:rPr>
        <w:t> </w:t>
      </w:r>
      <w:r>
        <w:rPr/>
        <w:t>are</w:t>
      </w:r>
      <w:r>
        <w:rPr>
          <w:spacing w:val="-3"/>
        </w:rPr>
        <w:t> </w:t>
      </w:r>
      <w:r>
        <w:rPr/>
        <w:t>subject</w:t>
      </w:r>
      <w:r>
        <w:rPr>
          <w:spacing w:val="-3"/>
        </w:rPr>
        <w:t> </w:t>
      </w:r>
      <w:r>
        <w:rPr/>
        <w:t>to</w:t>
      </w:r>
      <w:r>
        <w:rPr>
          <w:spacing w:val="-3"/>
        </w:rPr>
        <w:t> </w:t>
      </w:r>
      <w:r>
        <w:rPr/>
        <w:t>legal</w:t>
      </w:r>
      <w:r>
        <w:rPr>
          <w:spacing w:val="-3"/>
        </w:rPr>
        <w:t> </w:t>
      </w:r>
      <w:r>
        <w:rPr/>
        <w:t>proceedings,</w:t>
      </w:r>
      <w:r>
        <w:rPr>
          <w:spacing w:val="-3"/>
        </w:rPr>
        <w:t> </w:t>
      </w:r>
      <w:r>
        <w:rPr/>
        <w:t>claims</w:t>
      </w:r>
      <w:r>
        <w:rPr>
          <w:spacing w:val="-2"/>
        </w:rPr>
        <w:t> </w:t>
      </w:r>
      <w:r>
        <w:rPr/>
        <w:t>and</w:t>
      </w:r>
      <w:r>
        <w:rPr>
          <w:spacing w:val="-3"/>
        </w:rPr>
        <w:t> </w:t>
      </w:r>
      <w:r>
        <w:rPr/>
        <w:t>investigations</w:t>
      </w:r>
      <w:r>
        <w:rPr>
          <w:spacing w:val="-2"/>
        </w:rPr>
        <w:t> </w:t>
      </w:r>
      <w:r>
        <w:rPr/>
        <w:t>in</w:t>
      </w:r>
      <w:r>
        <w:rPr>
          <w:spacing w:val="-3"/>
        </w:rPr>
        <w:t> </w:t>
      </w:r>
      <w:r>
        <w:rPr/>
        <w:t>the</w:t>
      </w:r>
      <w:r>
        <w:rPr>
          <w:spacing w:val="-3"/>
        </w:rPr>
        <w:t> </w:t>
      </w:r>
      <w:r>
        <w:rPr/>
        <w:t>ordinary course of business, including claims relating to commercial, employment and other matters. Some of these disputes and legal proceedings may include speculative claims for substantial or indeterminate amounts of damages. We consider all claims on a quarterly basis in accordance with GAAP</w:t>
      </w:r>
      <w:r>
        <w:rPr>
          <w:spacing w:val="-6"/>
        </w:rPr>
        <w:t> </w:t>
      </w:r>
      <w:r>
        <w:rPr/>
        <w:t>and, based on known facts, assess whether potential losses are considered reasonably possible, probable and estimable. Based upon this assessment, we then evaluate disclosure requirements and whether to accrue for such claims in our financial statements.</w:t>
      </w:r>
      <w:r>
        <w:rPr>
          <w:spacing w:val="-2"/>
        </w:rPr>
        <w:t> </w:t>
      </w:r>
      <w:r>
        <w:rPr/>
        <w:t>This determination is then reviewed and discussed with the</w:t>
      </w:r>
      <w:r>
        <w:rPr>
          <w:spacing w:val="-10"/>
        </w:rPr>
        <w:t> </w:t>
      </w:r>
      <w:r>
        <w:rPr/>
        <w:t>Audit Committee of the Board of Directors and our independent registered public accounting firm.</w:t>
      </w:r>
    </w:p>
    <w:p>
      <w:pPr>
        <w:pStyle w:val="BodyText"/>
        <w:spacing w:line="249" w:lineRule="auto" w:before="185"/>
        <w:ind w:left="220" w:right="257" w:firstLine="540"/>
        <w:jc w:val="both"/>
      </w:pPr>
      <w:r>
        <w:rPr/>
        <w:t>We make a provision for a liability when it is both probable that a liability has been incurred and the amount of the loss can</w:t>
      </w:r>
      <w:r>
        <w:rPr>
          <w:spacing w:val="-3"/>
        </w:rPr>
        <w:t> </w:t>
      </w:r>
      <w:r>
        <w:rPr/>
        <w:t>be</w:t>
      </w:r>
      <w:r>
        <w:rPr>
          <w:spacing w:val="-3"/>
        </w:rPr>
        <w:t> </w:t>
      </w:r>
      <w:r>
        <w:rPr/>
        <w:t>reasonably</w:t>
      </w:r>
      <w:r>
        <w:rPr>
          <w:spacing w:val="-3"/>
        </w:rPr>
        <w:t> </w:t>
      </w:r>
      <w:r>
        <w:rPr/>
        <w:t>estimated.</w:t>
      </w:r>
      <w:r>
        <w:rPr>
          <w:spacing w:val="-6"/>
        </w:rPr>
        <w:t> </w:t>
      </w:r>
      <w:r>
        <w:rPr/>
        <w:t>These</w:t>
      </w:r>
      <w:r>
        <w:rPr>
          <w:spacing w:val="-3"/>
        </w:rPr>
        <w:t> </w:t>
      </w:r>
      <w:r>
        <w:rPr/>
        <w:t>provisions</w:t>
      </w:r>
      <w:r>
        <w:rPr>
          <w:spacing w:val="-3"/>
        </w:rPr>
        <w:t> </w:t>
      </w:r>
      <w:r>
        <w:rPr/>
        <w:t>are</w:t>
      </w:r>
      <w:r>
        <w:rPr>
          <w:spacing w:val="-3"/>
        </w:rPr>
        <w:t> </w:t>
      </w:r>
      <w:r>
        <w:rPr/>
        <w:t>reviewed</w:t>
      </w:r>
      <w:r>
        <w:rPr>
          <w:spacing w:val="-3"/>
        </w:rPr>
        <w:t> </w:t>
      </w:r>
      <w:r>
        <w:rPr/>
        <w:t>at</w:t>
      </w:r>
      <w:r>
        <w:rPr>
          <w:spacing w:val="-3"/>
        </w:rPr>
        <w:t> </w:t>
      </w:r>
      <w:r>
        <w:rPr/>
        <w:t>least</w:t>
      </w:r>
      <w:r>
        <w:rPr>
          <w:spacing w:val="-3"/>
        </w:rPr>
        <w:t> </w:t>
      </w:r>
      <w:r>
        <w:rPr/>
        <w:t>quarterly</w:t>
      </w:r>
      <w:r>
        <w:rPr>
          <w:spacing w:val="-3"/>
        </w:rPr>
        <w:t> </w:t>
      </w:r>
      <w:r>
        <w:rPr/>
        <w:t>and</w:t>
      </w:r>
      <w:r>
        <w:rPr>
          <w:spacing w:val="-3"/>
        </w:rPr>
        <w:t> </w:t>
      </w:r>
      <w:r>
        <w:rPr/>
        <w:t>adjusted</w:t>
      </w:r>
      <w:r>
        <w:rPr>
          <w:spacing w:val="-3"/>
        </w:rPr>
        <w:t> </w:t>
      </w:r>
      <w:r>
        <w:rPr/>
        <w:t>to</w:t>
      </w:r>
      <w:r>
        <w:rPr>
          <w:spacing w:val="-3"/>
        </w:rPr>
        <w:t> </w:t>
      </w:r>
      <w:r>
        <w:rPr/>
        <w:t>reflect</w:t>
      </w:r>
      <w:r>
        <w:rPr>
          <w:spacing w:val="-3"/>
        </w:rPr>
        <w:t> </w:t>
      </w:r>
      <w:r>
        <w:rPr/>
        <w:t>the</w:t>
      </w:r>
      <w:r>
        <w:rPr>
          <w:spacing w:val="-3"/>
        </w:rPr>
        <w:t> </w:t>
      </w:r>
      <w:r>
        <w:rPr/>
        <w:t>impacts</w:t>
      </w:r>
      <w:r>
        <w:rPr>
          <w:spacing w:val="-3"/>
        </w:rPr>
        <w:t> </w:t>
      </w:r>
      <w:r>
        <w:rPr/>
        <w:t>of</w:t>
      </w:r>
      <w:r>
        <w:rPr>
          <w:spacing w:val="-3"/>
        </w:rPr>
        <w:t> </w:t>
      </w:r>
      <w:r>
        <w:rPr/>
        <w:t>negotiations, settlements, rulings, advice of legal counsel and other information and events pertaining to a particular case. Unless otherwise </w:t>
      </w:r>
      <w:r>
        <w:rPr>
          <w:spacing w:val="-2"/>
        </w:rPr>
        <w:t>specifically</w:t>
      </w:r>
      <w:r>
        <w:rPr>
          <w:spacing w:val="-7"/>
        </w:rPr>
        <w:t> </w:t>
      </w:r>
      <w:r>
        <w:rPr>
          <w:spacing w:val="-2"/>
        </w:rPr>
        <w:t>disclosed</w:t>
      </w:r>
      <w:r>
        <w:rPr>
          <w:spacing w:val="-7"/>
        </w:rPr>
        <w:t> </w:t>
      </w:r>
      <w:r>
        <w:rPr>
          <w:spacing w:val="-2"/>
        </w:rPr>
        <w:t>in</w:t>
      </w:r>
      <w:r>
        <w:rPr>
          <w:spacing w:val="-7"/>
        </w:rPr>
        <w:t> </w:t>
      </w:r>
      <w:r>
        <w:rPr>
          <w:spacing w:val="-2"/>
        </w:rPr>
        <w:t>our</w:t>
      </w:r>
      <w:r>
        <w:rPr>
          <w:spacing w:val="-7"/>
        </w:rPr>
        <w:t> </w:t>
      </w:r>
      <w:r>
        <w:rPr>
          <w:spacing w:val="-2"/>
        </w:rPr>
        <w:t>Consolidated</w:t>
      </w:r>
      <w:r>
        <w:rPr>
          <w:spacing w:val="-7"/>
        </w:rPr>
        <w:t> </w:t>
      </w:r>
      <w:r>
        <w:rPr>
          <w:spacing w:val="-2"/>
        </w:rPr>
        <w:t>Financial</w:t>
      </w:r>
      <w:r>
        <w:rPr>
          <w:spacing w:val="-7"/>
        </w:rPr>
        <w:t> </w:t>
      </w:r>
      <w:r>
        <w:rPr>
          <w:spacing w:val="-2"/>
        </w:rPr>
        <w:t>Statements</w:t>
      </w:r>
      <w:r>
        <w:rPr>
          <w:spacing w:val="-7"/>
        </w:rPr>
        <w:t> </w:t>
      </w:r>
      <w:r>
        <w:rPr>
          <w:spacing w:val="-2"/>
        </w:rPr>
        <w:t>and</w:t>
      </w:r>
      <w:r>
        <w:rPr>
          <w:spacing w:val="-7"/>
        </w:rPr>
        <w:t> </w:t>
      </w:r>
      <w:r>
        <w:rPr>
          <w:spacing w:val="-2"/>
        </w:rPr>
        <w:t>notes</w:t>
      </w:r>
      <w:r>
        <w:rPr>
          <w:spacing w:val="-7"/>
        </w:rPr>
        <w:t> </w:t>
      </w:r>
      <w:r>
        <w:rPr>
          <w:spacing w:val="-2"/>
        </w:rPr>
        <w:t>thereto,</w:t>
      </w:r>
      <w:r>
        <w:rPr>
          <w:spacing w:val="-7"/>
        </w:rPr>
        <w:t> </w:t>
      </w:r>
      <w:r>
        <w:rPr>
          <w:spacing w:val="-2"/>
        </w:rPr>
        <w:t>we</w:t>
      </w:r>
      <w:r>
        <w:rPr>
          <w:spacing w:val="-7"/>
        </w:rPr>
        <w:t> </w:t>
      </w:r>
      <w:r>
        <w:rPr>
          <w:spacing w:val="-2"/>
        </w:rPr>
        <w:t>have</w:t>
      </w:r>
      <w:r>
        <w:rPr>
          <w:spacing w:val="-7"/>
        </w:rPr>
        <w:t> </w:t>
      </w:r>
      <w:r>
        <w:rPr>
          <w:spacing w:val="-2"/>
        </w:rPr>
        <w:t>determined</w:t>
      </w:r>
      <w:r>
        <w:rPr>
          <w:spacing w:val="-7"/>
        </w:rPr>
        <w:t> </w:t>
      </w:r>
      <w:r>
        <w:rPr>
          <w:spacing w:val="-2"/>
        </w:rPr>
        <w:t>that</w:t>
      </w:r>
      <w:r>
        <w:rPr>
          <w:spacing w:val="-7"/>
        </w:rPr>
        <w:t> </w:t>
      </w:r>
      <w:r>
        <w:rPr>
          <w:spacing w:val="-2"/>
        </w:rPr>
        <w:t>no</w:t>
      </w:r>
      <w:r>
        <w:rPr>
          <w:spacing w:val="-7"/>
        </w:rPr>
        <w:t> </w:t>
      </w:r>
      <w:r>
        <w:rPr>
          <w:spacing w:val="-2"/>
        </w:rPr>
        <w:t>provision</w:t>
      </w:r>
      <w:r>
        <w:rPr>
          <w:spacing w:val="-7"/>
        </w:rPr>
        <w:t> </w:t>
      </w:r>
      <w:r>
        <w:rPr>
          <w:spacing w:val="-2"/>
        </w:rPr>
        <w:t>for</w:t>
      </w:r>
      <w:r>
        <w:rPr>
          <w:spacing w:val="-7"/>
        </w:rPr>
        <w:t> </w:t>
      </w:r>
      <w:r>
        <w:rPr>
          <w:spacing w:val="-2"/>
        </w:rPr>
        <w:t>liability </w:t>
      </w:r>
      <w:r>
        <w:rPr/>
        <w:t>nor disclosure is required related to any claim against us because: (a) there is not a reasonable possibility that a loss exceeding amounts already recognized (if any) may be incurred with respect to such claim; (b) a reasonably possible loss or range of loss cannot be estimated; or (c) such estimate is immaterial.</w:t>
      </w:r>
    </w:p>
    <w:p>
      <w:pPr>
        <w:pStyle w:val="BodyText"/>
        <w:spacing w:line="249" w:lineRule="auto" w:before="186"/>
        <w:ind w:left="220" w:right="257" w:firstLine="540"/>
        <w:jc w:val="both"/>
      </w:pPr>
      <w:r>
        <w:rPr/>
        <w:t>All legal costs associated with litigation are expensed as incurred. Litigation is inherently unpredictable. However, we believe that we have valid defenses with respect to the legal matters pending against us. It is possible, nevertheless, that our consolidated financial position, cash flows or results of operations could be negatively affected by an unfavorable resolution of one or more of such proceedings, claims or investigations.</w:t>
      </w:r>
    </w:p>
    <w:p>
      <w:pPr>
        <w:pStyle w:val="BodyText"/>
        <w:spacing w:line="249" w:lineRule="auto" w:before="183"/>
        <w:ind w:left="220" w:right="257" w:firstLine="540"/>
        <w:jc w:val="both"/>
      </w:pPr>
      <w:r>
        <w:rPr/>
        <w:t>In</w:t>
      </w:r>
      <w:r>
        <w:rPr>
          <w:spacing w:val="-11"/>
        </w:rPr>
        <w:t> </w:t>
      </w:r>
      <w:r>
        <w:rPr/>
        <w:t>connection</w:t>
      </w:r>
      <w:r>
        <w:rPr>
          <w:spacing w:val="-12"/>
        </w:rPr>
        <w:t> </w:t>
      </w:r>
      <w:r>
        <w:rPr/>
        <w:t>with</w:t>
      </w:r>
      <w:r>
        <w:rPr>
          <w:spacing w:val="-11"/>
        </w:rPr>
        <w:t> </w:t>
      </w:r>
      <w:r>
        <w:rPr/>
        <w:t>our</w:t>
      </w:r>
      <w:r>
        <w:rPr>
          <w:spacing w:val="-11"/>
        </w:rPr>
        <w:t> </w:t>
      </w:r>
      <w:r>
        <w:rPr/>
        <w:t>piracy</w:t>
      </w:r>
      <w:r>
        <w:rPr>
          <w:spacing w:val="-12"/>
        </w:rPr>
        <w:t> </w:t>
      </w:r>
      <w:r>
        <w:rPr/>
        <w:t>conversion</w:t>
      </w:r>
      <w:r>
        <w:rPr>
          <w:spacing w:val="-12"/>
        </w:rPr>
        <w:t> </w:t>
      </w:r>
      <w:r>
        <w:rPr/>
        <w:t>efforts,</w:t>
      </w:r>
      <w:r>
        <w:rPr>
          <w:spacing w:val="-12"/>
        </w:rPr>
        <w:t> </w:t>
      </w:r>
      <w:r>
        <w:rPr/>
        <w:t>conducted</w:t>
      </w:r>
      <w:r>
        <w:rPr>
          <w:spacing w:val="-12"/>
        </w:rPr>
        <w:t> </w:t>
      </w:r>
      <w:r>
        <w:rPr/>
        <w:t>both</w:t>
      </w:r>
      <w:r>
        <w:rPr>
          <w:spacing w:val="-11"/>
        </w:rPr>
        <w:t> </w:t>
      </w:r>
      <w:r>
        <w:rPr/>
        <w:t>internally</w:t>
      </w:r>
      <w:r>
        <w:rPr>
          <w:spacing w:val="-11"/>
        </w:rPr>
        <w:t> </w:t>
      </w:r>
      <w:r>
        <w:rPr/>
        <w:t>and</w:t>
      </w:r>
      <w:r>
        <w:rPr>
          <w:spacing w:val="-12"/>
        </w:rPr>
        <w:t> </w:t>
      </w:r>
      <w:r>
        <w:rPr/>
        <w:t>through</w:t>
      </w:r>
      <w:r>
        <w:rPr>
          <w:spacing w:val="-12"/>
        </w:rPr>
        <w:t> </w:t>
      </w:r>
      <w:r>
        <w:rPr/>
        <w:t>organizations</w:t>
      </w:r>
      <w:r>
        <w:rPr>
          <w:spacing w:val="-11"/>
        </w:rPr>
        <w:t> </w:t>
      </w:r>
      <w:r>
        <w:rPr/>
        <w:t>such</w:t>
      </w:r>
      <w:r>
        <w:rPr>
          <w:spacing w:val="-11"/>
        </w:rPr>
        <w:t> </w:t>
      </w:r>
      <w:r>
        <w:rPr/>
        <w:t>as</w:t>
      </w:r>
      <w:r>
        <w:rPr>
          <w:spacing w:val="-12"/>
        </w:rPr>
        <w:t> </w:t>
      </w:r>
      <w:r>
        <w:rPr/>
        <w:t>the</w:t>
      </w:r>
      <w:r>
        <w:rPr>
          <w:spacing w:val="-11"/>
        </w:rPr>
        <w:t> </w:t>
      </w:r>
      <w:r>
        <w:rPr/>
        <w:t>Business Software Alliance, from time to time we undertake litigation against alleged copyright infringers. Such lawsuits may lead to counter-claims alleging improper use of litigation or violation of other laws.</w:t>
      </w:r>
      <w:r>
        <w:rPr>
          <w:spacing w:val="-3"/>
        </w:rPr>
        <w:t> </w:t>
      </w:r>
      <w:r>
        <w:rPr/>
        <w:t>We believe we have valid defenses with respect to such</w:t>
      </w:r>
      <w:r>
        <w:rPr>
          <w:spacing w:val="-3"/>
        </w:rPr>
        <w:t> </w:t>
      </w:r>
      <w:r>
        <w:rPr/>
        <w:t>counter-claims;</w:t>
      </w:r>
      <w:r>
        <w:rPr>
          <w:spacing w:val="-3"/>
        </w:rPr>
        <w:t> </w:t>
      </w:r>
      <w:r>
        <w:rPr/>
        <w:t>however,</w:t>
      </w:r>
      <w:r>
        <w:rPr>
          <w:spacing w:val="-3"/>
        </w:rPr>
        <w:t> </w:t>
      </w:r>
      <w:r>
        <w:rPr/>
        <w:t>it</w:t>
      </w:r>
      <w:r>
        <w:rPr>
          <w:spacing w:val="-3"/>
        </w:rPr>
        <w:t> </w:t>
      </w:r>
      <w:r>
        <w:rPr/>
        <w:t>is</w:t>
      </w:r>
      <w:r>
        <w:rPr>
          <w:spacing w:val="-3"/>
        </w:rPr>
        <w:t> </w:t>
      </w:r>
      <w:r>
        <w:rPr/>
        <w:t>possible</w:t>
      </w:r>
      <w:r>
        <w:rPr>
          <w:spacing w:val="-3"/>
        </w:rPr>
        <w:t> </w:t>
      </w:r>
      <w:r>
        <w:rPr/>
        <w:t>that</w:t>
      </w:r>
      <w:r>
        <w:rPr>
          <w:spacing w:val="-3"/>
        </w:rPr>
        <w:t> </w:t>
      </w:r>
      <w:r>
        <w:rPr/>
        <w:t>our</w:t>
      </w:r>
      <w:r>
        <w:rPr>
          <w:spacing w:val="-3"/>
        </w:rPr>
        <w:t> </w:t>
      </w:r>
      <w:r>
        <w:rPr/>
        <w:t>consolidated</w:t>
      </w:r>
      <w:r>
        <w:rPr>
          <w:spacing w:val="-3"/>
        </w:rPr>
        <w:t> </w:t>
      </w:r>
      <w:r>
        <w:rPr/>
        <w:t>financial</w:t>
      </w:r>
      <w:r>
        <w:rPr>
          <w:spacing w:val="-3"/>
        </w:rPr>
        <w:t> </w:t>
      </w:r>
      <w:r>
        <w:rPr/>
        <w:t>position,</w:t>
      </w:r>
      <w:r>
        <w:rPr>
          <w:spacing w:val="-3"/>
        </w:rPr>
        <w:t> </w:t>
      </w:r>
      <w:r>
        <w:rPr/>
        <w:t>cash</w:t>
      </w:r>
      <w:r>
        <w:rPr>
          <w:spacing w:val="-3"/>
        </w:rPr>
        <w:t> </w:t>
      </w:r>
      <w:r>
        <w:rPr/>
        <w:t>flows</w:t>
      </w:r>
      <w:r>
        <w:rPr>
          <w:spacing w:val="-3"/>
        </w:rPr>
        <w:t> </w:t>
      </w:r>
      <w:r>
        <w:rPr/>
        <w:t>or</w:t>
      </w:r>
      <w:r>
        <w:rPr>
          <w:spacing w:val="-3"/>
        </w:rPr>
        <w:t> </w:t>
      </w:r>
      <w:r>
        <w:rPr/>
        <w:t>results</w:t>
      </w:r>
      <w:r>
        <w:rPr>
          <w:spacing w:val="-3"/>
        </w:rPr>
        <w:t> </w:t>
      </w:r>
      <w:r>
        <w:rPr/>
        <w:t>of</w:t>
      </w:r>
      <w:r>
        <w:rPr>
          <w:spacing w:val="-3"/>
        </w:rPr>
        <w:t> </w:t>
      </w:r>
      <w:r>
        <w:rPr/>
        <w:t>operations</w:t>
      </w:r>
      <w:r>
        <w:rPr>
          <w:spacing w:val="-3"/>
        </w:rPr>
        <w:t> </w:t>
      </w:r>
      <w:r>
        <w:rPr/>
        <w:t>could</w:t>
      </w:r>
      <w:r>
        <w:rPr>
          <w:spacing w:val="-3"/>
        </w:rPr>
        <w:t> </w:t>
      </w:r>
      <w:r>
        <w:rPr/>
        <w:t>be negatively affected in any particular period by the resolution of one or more of these counter-claims.</w:t>
      </w:r>
    </w:p>
    <w:p>
      <w:pPr>
        <w:pStyle w:val="BodyText"/>
        <w:spacing w:before="14"/>
      </w:pPr>
    </w:p>
    <w:p>
      <w:pPr>
        <w:pStyle w:val="Heading1"/>
        <w:spacing w:before="1"/>
      </w:pPr>
      <w:bookmarkStart w:name="Item 4. Mine Safety Disclosures" w:id="28"/>
      <w:bookmarkEnd w:id="28"/>
      <w:r>
        <w:rPr>
          <w:b w:val="0"/>
        </w:rPr>
      </w:r>
      <w:bookmarkStart w:name="_bookmark8" w:id="29"/>
      <w:bookmarkEnd w:id="29"/>
      <w:r>
        <w:rPr>
          <w:b w:val="0"/>
        </w:rPr>
      </w:r>
      <w:r>
        <w:rPr/>
        <w:t>ITEM</w:t>
      </w:r>
      <w:r>
        <w:rPr>
          <w:spacing w:val="-3"/>
        </w:rPr>
        <w:t> </w:t>
      </w:r>
      <w:r>
        <w:rPr/>
        <w:t>4.</w:t>
      </w:r>
      <w:r>
        <w:rPr>
          <w:spacing w:val="48"/>
        </w:rPr>
        <w:t> </w:t>
      </w:r>
      <w:r>
        <w:rPr/>
        <w:t>MINE</w:t>
      </w:r>
      <w:r>
        <w:rPr>
          <w:spacing w:val="-2"/>
        </w:rPr>
        <w:t> </w:t>
      </w:r>
      <w:r>
        <w:rPr/>
        <w:t>SAFETY</w:t>
      </w:r>
      <w:r>
        <w:rPr>
          <w:spacing w:val="-8"/>
        </w:rPr>
        <w:t> </w:t>
      </w:r>
      <w:r>
        <w:rPr>
          <w:spacing w:val="-2"/>
        </w:rPr>
        <w:t>DISCLOSURES</w:t>
      </w:r>
    </w:p>
    <w:p>
      <w:pPr>
        <w:pStyle w:val="BodyText"/>
        <w:spacing w:before="190"/>
        <w:ind w:left="760"/>
      </w:pPr>
      <w:r>
        <w:rPr/>
        <w:t>Not</w:t>
      </w:r>
      <w:r>
        <w:rPr>
          <w:spacing w:val="-1"/>
        </w:rPr>
        <w:t> </w:t>
      </w:r>
      <w:r>
        <w:rPr>
          <w:spacing w:val="-2"/>
        </w:rPr>
        <w:t>applicable.</w:t>
      </w:r>
    </w:p>
    <w:p>
      <w:pPr>
        <w:spacing w:after="0"/>
        <w:sectPr>
          <w:pgSz w:w="12240" w:h="15840"/>
          <w:pgMar w:header="210" w:footer="579" w:top="420" w:bottom="800" w:left="780" w:right="740"/>
        </w:sectPr>
      </w:pPr>
    </w:p>
    <w:p>
      <w:pPr>
        <w:pStyle w:val="BodyText"/>
        <w:spacing w:before="147"/>
      </w:pPr>
    </w:p>
    <w:p>
      <w:pPr>
        <w:pStyle w:val="Heading1"/>
      </w:pPr>
      <w:bookmarkStart w:name="Part II." w:id="30"/>
      <w:bookmarkEnd w:id="30"/>
      <w:r>
        <w:rPr>
          <w:b w:val="0"/>
        </w:rPr>
      </w:r>
      <w:r>
        <w:rPr>
          <w:spacing w:val="-7"/>
        </w:rPr>
        <w:t>PART</w:t>
      </w:r>
      <w:r>
        <w:rPr>
          <w:spacing w:val="-2"/>
        </w:rPr>
        <w:t> </w:t>
      </w:r>
      <w:r>
        <w:rPr>
          <w:spacing w:val="-5"/>
        </w:rPr>
        <w:t>II</w:t>
      </w:r>
    </w:p>
    <w:p>
      <w:pPr>
        <w:spacing w:line="249" w:lineRule="auto" w:before="190"/>
        <w:ind w:left="220" w:right="0" w:firstLine="0"/>
        <w:jc w:val="left"/>
        <w:rPr>
          <w:b/>
          <w:sz w:val="20"/>
        </w:rPr>
      </w:pPr>
      <w:bookmarkStart w:name="Item 5. Market for Registrant's Common E" w:id="31"/>
      <w:bookmarkEnd w:id="31"/>
      <w:r>
        <w:rPr/>
      </w:r>
      <w:bookmarkStart w:name="_bookmark9" w:id="32"/>
      <w:bookmarkEnd w:id="32"/>
      <w:r>
        <w:rPr/>
      </w:r>
      <w:r>
        <w:rPr>
          <w:b/>
          <w:sz w:val="20"/>
        </w:rPr>
        <w:t>ITEM</w:t>
      </w:r>
      <w:r>
        <w:rPr>
          <w:b/>
          <w:spacing w:val="40"/>
          <w:sz w:val="20"/>
        </w:rPr>
        <w:t> </w:t>
      </w:r>
      <w:r>
        <w:rPr>
          <w:b/>
          <w:sz w:val="20"/>
        </w:rPr>
        <w:t>5.</w:t>
      </w:r>
      <w:r>
        <w:rPr>
          <w:b/>
          <w:spacing w:val="40"/>
          <w:sz w:val="20"/>
        </w:rPr>
        <w:t> </w:t>
      </w:r>
      <w:r>
        <w:rPr>
          <w:b/>
          <w:sz w:val="20"/>
        </w:rPr>
        <w:t>MARKET</w:t>
      </w:r>
      <w:r>
        <w:rPr>
          <w:b/>
          <w:spacing w:val="40"/>
          <w:sz w:val="20"/>
        </w:rPr>
        <w:t> </w:t>
      </w:r>
      <w:r>
        <w:rPr>
          <w:b/>
          <w:sz w:val="20"/>
        </w:rPr>
        <w:t>FOR</w:t>
      </w:r>
      <w:r>
        <w:rPr>
          <w:b/>
          <w:spacing w:val="40"/>
          <w:sz w:val="20"/>
        </w:rPr>
        <w:t> </w:t>
      </w:r>
      <w:r>
        <w:rPr>
          <w:b/>
          <w:sz w:val="20"/>
        </w:rPr>
        <w:t>REGISTRANT’S</w:t>
      </w:r>
      <w:r>
        <w:rPr>
          <w:b/>
          <w:spacing w:val="40"/>
          <w:sz w:val="20"/>
        </w:rPr>
        <w:t> </w:t>
      </w:r>
      <w:r>
        <w:rPr>
          <w:b/>
          <w:sz w:val="20"/>
        </w:rPr>
        <w:t>COMMON</w:t>
      </w:r>
      <w:r>
        <w:rPr>
          <w:b/>
          <w:spacing w:val="40"/>
          <w:sz w:val="20"/>
        </w:rPr>
        <w:t> </w:t>
      </w:r>
      <w:r>
        <w:rPr>
          <w:b/>
          <w:sz w:val="20"/>
        </w:rPr>
        <w:t>EQUITY,</w:t>
      </w:r>
      <w:r>
        <w:rPr>
          <w:b/>
          <w:spacing w:val="40"/>
          <w:sz w:val="20"/>
        </w:rPr>
        <w:t> </w:t>
      </w:r>
      <w:r>
        <w:rPr>
          <w:b/>
          <w:sz w:val="20"/>
        </w:rPr>
        <w:t>RELATED</w:t>
      </w:r>
      <w:r>
        <w:rPr>
          <w:b/>
          <w:spacing w:val="40"/>
          <w:sz w:val="20"/>
        </w:rPr>
        <w:t> </w:t>
      </w:r>
      <w:r>
        <w:rPr>
          <w:b/>
          <w:sz w:val="20"/>
        </w:rPr>
        <w:t>STOCKHOLDER</w:t>
      </w:r>
      <w:r>
        <w:rPr>
          <w:b/>
          <w:spacing w:val="40"/>
          <w:sz w:val="20"/>
        </w:rPr>
        <w:t> </w:t>
      </w:r>
      <w:r>
        <w:rPr>
          <w:b/>
          <w:sz w:val="20"/>
        </w:rPr>
        <w:t>MATTERS</w:t>
      </w:r>
      <w:r>
        <w:rPr>
          <w:b/>
          <w:spacing w:val="24"/>
          <w:sz w:val="20"/>
        </w:rPr>
        <w:t> </w:t>
      </w:r>
      <w:r>
        <w:rPr>
          <w:b/>
          <w:sz w:val="20"/>
        </w:rPr>
        <w:t>AND ISSUER PURCHASES OF EQUITY SECURITIES</w:t>
      </w:r>
    </w:p>
    <w:p>
      <w:pPr>
        <w:spacing w:before="181"/>
        <w:ind w:left="220" w:right="0" w:firstLine="0"/>
        <w:jc w:val="left"/>
        <w:rPr>
          <w:i/>
          <w:sz w:val="20"/>
        </w:rPr>
      </w:pPr>
      <w:r>
        <w:rPr>
          <w:i/>
          <w:sz w:val="20"/>
        </w:rPr>
        <w:t>Market</w:t>
      </w:r>
      <w:r>
        <w:rPr>
          <w:i/>
          <w:spacing w:val="-2"/>
          <w:sz w:val="20"/>
        </w:rPr>
        <w:t> </w:t>
      </w:r>
      <w:r>
        <w:rPr>
          <w:i/>
          <w:sz w:val="20"/>
        </w:rPr>
        <w:t>Information for</w:t>
      </w:r>
      <w:r>
        <w:rPr>
          <w:i/>
          <w:spacing w:val="-1"/>
          <w:sz w:val="20"/>
        </w:rPr>
        <w:t> </w:t>
      </w:r>
      <w:r>
        <w:rPr>
          <w:i/>
          <w:sz w:val="20"/>
        </w:rPr>
        <w:t>Common</w:t>
      </w:r>
      <w:r>
        <w:rPr>
          <w:i/>
          <w:spacing w:val="-1"/>
          <w:sz w:val="20"/>
        </w:rPr>
        <w:t> </w:t>
      </w:r>
      <w:r>
        <w:rPr>
          <w:i/>
          <w:spacing w:val="-2"/>
          <w:sz w:val="20"/>
        </w:rPr>
        <w:t>Stock</w:t>
      </w:r>
    </w:p>
    <w:p>
      <w:pPr>
        <w:pStyle w:val="BodyText"/>
        <w:spacing w:line="249" w:lineRule="auto" w:before="190"/>
        <w:ind w:left="220" w:firstLine="540"/>
      </w:pPr>
      <w:r>
        <w:rPr/>
        <w:t>Our</w:t>
      </w:r>
      <w:r>
        <w:rPr>
          <w:spacing w:val="-2"/>
        </w:rPr>
        <w:t> </w:t>
      </w:r>
      <w:r>
        <w:rPr/>
        <w:t>common</w:t>
      </w:r>
      <w:r>
        <w:rPr>
          <w:spacing w:val="-2"/>
        </w:rPr>
        <w:t> </w:t>
      </w:r>
      <w:r>
        <w:rPr/>
        <w:t>stock</w:t>
      </w:r>
      <w:r>
        <w:rPr>
          <w:spacing w:val="-2"/>
        </w:rPr>
        <w:t> </w:t>
      </w:r>
      <w:r>
        <w:rPr/>
        <w:t>is</w:t>
      </w:r>
      <w:r>
        <w:rPr>
          <w:spacing w:val="-2"/>
        </w:rPr>
        <w:t> </w:t>
      </w:r>
      <w:r>
        <w:rPr/>
        <w:t>traded</w:t>
      </w:r>
      <w:r>
        <w:rPr>
          <w:spacing w:val="-2"/>
        </w:rPr>
        <w:t> </w:t>
      </w:r>
      <w:r>
        <w:rPr/>
        <w:t>on</w:t>
      </w:r>
      <w:r>
        <w:rPr>
          <w:spacing w:val="-2"/>
        </w:rPr>
        <w:t> </w:t>
      </w:r>
      <w:r>
        <w:rPr/>
        <w:t>the</w:t>
      </w:r>
      <w:r>
        <w:rPr>
          <w:spacing w:val="-2"/>
        </w:rPr>
        <w:t> </w:t>
      </w:r>
      <w:r>
        <w:rPr/>
        <w:t>NASDAQ</w:t>
      </w:r>
      <w:r>
        <w:rPr>
          <w:spacing w:val="-2"/>
        </w:rPr>
        <w:t> </w:t>
      </w:r>
      <w:r>
        <w:rPr/>
        <w:t>Global</w:t>
      </w:r>
      <w:r>
        <w:rPr>
          <w:spacing w:val="-2"/>
        </w:rPr>
        <w:t> </w:t>
      </w:r>
      <w:r>
        <w:rPr/>
        <w:t>Select</w:t>
      </w:r>
      <w:r>
        <w:rPr>
          <w:spacing w:val="-2"/>
        </w:rPr>
        <w:t> </w:t>
      </w:r>
      <w:r>
        <w:rPr/>
        <w:t>Market</w:t>
      </w:r>
      <w:r>
        <w:rPr>
          <w:spacing w:val="-2"/>
        </w:rPr>
        <w:t> </w:t>
      </w:r>
      <w:r>
        <w:rPr/>
        <w:t>under</w:t>
      </w:r>
      <w:r>
        <w:rPr>
          <w:spacing w:val="-2"/>
        </w:rPr>
        <w:t> </w:t>
      </w:r>
      <w:r>
        <w:rPr/>
        <w:t>the</w:t>
      </w:r>
      <w:r>
        <w:rPr>
          <w:spacing w:val="-2"/>
        </w:rPr>
        <w:t> </w:t>
      </w:r>
      <w:r>
        <w:rPr/>
        <w:t>symbol</w:t>
      </w:r>
      <w:r>
        <w:rPr>
          <w:spacing w:val="-2"/>
        </w:rPr>
        <w:t> </w:t>
      </w:r>
      <w:r>
        <w:rPr/>
        <w:t>“ADBE.”</w:t>
      </w:r>
      <w:r>
        <w:rPr>
          <w:spacing w:val="-6"/>
        </w:rPr>
        <w:t> </w:t>
      </w:r>
      <w:r>
        <w:rPr/>
        <w:t>The</w:t>
      </w:r>
      <w:r>
        <w:rPr>
          <w:spacing w:val="-2"/>
        </w:rPr>
        <w:t> </w:t>
      </w:r>
      <w:r>
        <w:rPr/>
        <w:t>following</w:t>
      </w:r>
      <w:r>
        <w:rPr>
          <w:spacing w:val="-2"/>
        </w:rPr>
        <w:t> </w:t>
      </w:r>
      <w:r>
        <w:rPr/>
        <w:t>table</w:t>
      </w:r>
      <w:r>
        <w:rPr>
          <w:spacing w:val="-2"/>
        </w:rPr>
        <w:t> </w:t>
      </w:r>
      <w:r>
        <w:rPr/>
        <w:t>sets forth the high and low sales price per share of our common stock for the periods indicated.</w:t>
      </w:r>
    </w:p>
    <w:p>
      <w:pPr>
        <w:pStyle w:val="BodyText"/>
        <w:spacing w:before="21"/>
        <w:rPr>
          <w:sz w:val="16"/>
        </w:rPr>
      </w:pPr>
    </w:p>
    <w:p>
      <w:pPr>
        <w:spacing w:before="0"/>
        <w:ind w:left="8179" w:right="280" w:firstLine="0"/>
        <w:jc w:val="center"/>
        <w:rPr>
          <w:b/>
          <w:sz w:val="16"/>
        </w:rPr>
      </w:pPr>
      <w:r>
        <w:rPr/>
        <mc:AlternateContent>
          <mc:Choice Requires="wps">
            <w:drawing>
              <wp:anchor distT="0" distB="0" distL="0" distR="0" allowOverlap="1" layoutInCell="1" locked="0" behindDoc="1" simplePos="0" relativeHeight="487599104">
                <wp:simplePos x="0" y="0"/>
                <wp:positionH relativeFrom="page">
                  <wp:posOffset>5683250</wp:posOffset>
                </wp:positionH>
                <wp:positionV relativeFrom="paragraph">
                  <wp:posOffset>148649</wp:posOffset>
                </wp:positionV>
                <wp:extent cx="1460500"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1460500" cy="1270"/>
                        </a:xfrm>
                        <a:custGeom>
                          <a:avLst/>
                          <a:gdLst/>
                          <a:ahLst/>
                          <a:cxnLst/>
                          <a:rect l="l" t="t" r="r" b="b"/>
                          <a:pathLst>
                            <a:path w="1460500" h="0">
                              <a:moveTo>
                                <a:pt x="0" y="0"/>
                              </a:moveTo>
                              <a:lnTo>
                                <a:pt x="698500" y="0"/>
                              </a:lnTo>
                            </a:path>
                            <a:path w="1460500" h="0">
                              <a:moveTo>
                                <a:pt x="698500" y="0"/>
                              </a:moveTo>
                              <a:lnTo>
                                <a:pt x="749300" y="0"/>
                              </a:lnTo>
                            </a:path>
                            <a:path w="1460500" h="0">
                              <a:moveTo>
                                <a:pt x="749300" y="0"/>
                              </a:moveTo>
                              <a:lnTo>
                                <a:pt x="1460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7.5pt;margin-top:11.704687pt;width:115pt;height:.1pt;mso-position-horizontal-relative:page;mso-position-vertical-relative:paragraph;z-index:-15717376;mso-wrap-distance-left:0;mso-wrap-distance-right:0" id="docshape56" coordorigin="8950,234" coordsize="2300,0" path="m8950,234l10050,234m10050,234l10130,234m10130,234l11250,234e" filled="false" stroked="true" strokeweight="1pt" strokecolor="#000000">
                <v:path arrowok="t"/>
                <v:stroke dashstyle="solid"/>
                <w10:wrap type="topAndBottom"/>
              </v:shape>
            </w:pict>
          </mc:Fallback>
        </mc:AlternateContent>
      </w:r>
      <w:r>
        <w:rPr>
          <w:b/>
          <w:sz w:val="16"/>
        </w:rPr>
        <w:t>Price </w:t>
      </w:r>
      <w:r>
        <w:rPr>
          <w:b/>
          <w:spacing w:val="-2"/>
          <w:sz w:val="16"/>
        </w:rPr>
        <w:t>Range</w:t>
      </w:r>
    </w:p>
    <w:p>
      <w:pPr>
        <w:tabs>
          <w:tab w:pos="9078" w:val="left" w:leader="none"/>
        </w:tabs>
        <w:spacing w:before="36" w:after="50"/>
        <w:ind w:left="7871" w:right="0" w:firstLine="0"/>
        <w:jc w:val="center"/>
        <w:rPr>
          <w:b/>
          <w:sz w:val="16"/>
        </w:rPr>
      </w:pPr>
      <w:r>
        <w:rPr>
          <w:b/>
          <w:spacing w:val="-4"/>
          <w:sz w:val="16"/>
        </w:rPr>
        <w:t>High</w:t>
      </w:r>
      <w:r>
        <w:rPr>
          <w:b/>
          <w:sz w:val="16"/>
        </w:rPr>
        <w:tab/>
      </w:r>
      <w:r>
        <w:rPr>
          <w:b/>
          <w:spacing w:val="-5"/>
          <w:sz w:val="16"/>
        </w:rPr>
        <w:t>Low</w:t>
      </w:r>
    </w:p>
    <w:p>
      <w:pPr>
        <w:spacing w:line="20" w:lineRule="exact"/>
        <w:ind w:left="8170" w:right="0" w:firstLine="0"/>
        <w:jc w:val="left"/>
        <w:rPr>
          <w:sz w:val="2"/>
        </w:rPr>
      </w:pPr>
      <w:r>
        <w:rPr>
          <w:sz w:val="2"/>
        </w:rPr>
        <mc:AlternateContent>
          <mc:Choice Requires="wps">
            <w:drawing>
              <wp:inline distT="0" distB="0" distL="0" distR="0">
                <wp:extent cx="698500" cy="12700"/>
                <wp:effectExtent l="9525" t="0" r="6350" b="6350"/>
                <wp:docPr id="86" name="Group 86"/>
                <wp:cNvGraphicFramePr>
                  <a:graphicFrameLocks/>
                </wp:cNvGraphicFramePr>
                <a:graphic>
                  <a:graphicData uri="http://schemas.microsoft.com/office/word/2010/wordprocessingGroup">
                    <wpg:wgp>
                      <wpg:cNvPr id="86" name="Group 86"/>
                      <wpg:cNvGrpSpPr/>
                      <wpg:grpSpPr>
                        <a:xfrm>
                          <a:off x="0" y="0"/>
                          <a:ext cx="698500" cy="12700"/>
                          <a:chExt cx="698500" cy="12700"/>
                        </a:xfrm>
                      </wpg:grpSpPr>
                      <wps:wsp>
                        <wps:cNvPr id="87" name="Graphic 87"/>
                        <wps:cNvSpPr/>
                        <wps:spPr>
                          <a:xfrm>
                            <a:off x="0" y="635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1pt;mso-position-horizontal-relative:char;mso-position-vertical-relative:line" id="docshapegroup57" coordorigin="0,0" coordsize="1100,20">
                <v:line style="position:absolute" from="0,10" to="11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711200" cy="12700"/>
                <wp:effectExtent l="9525" t="0" r="3175" b="6350"/>
                <wp:docPr id="88" name="Group 88"/>
                <wp:cNvGraphicFramePr>
                  <a:graphicFrameLocks/>
                </wp:cNvGraphicFramePr>
                <a:graphic>
                  <a:graphicData uri="http://schemas.microsoft.com/office/word/2010/wordprocessingGroup">
                    <wpg:wgp>
                      <wpg:cNvPr id="88" name="Group 88"/>
                      <wpg:cNvGrpSpPr/>
                      <wpg:grpSpPr>
                        <a:xfrm>
                          <a:off x="0" y="0"/>
                          <a:ext cx="711200" cy="12700"/>
                          <a:chExt cx="711200" cy="12700"/>
                        </a:xfrm>
                      </wpg:grpSpPr>
                      <wps:wsp>
                        <wps:cNvPr id="89" name="Graphic 89"/>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1pt;mso-position-horizontal-relative:char;mso-position-vertical-relative:line" id="docshapegroup58" coordorigin="0,0" coordsize="1120,20">
                <v:line style="position:absolute" from="0,10" to="1120,10" stroked="true" strokeweight="1pt" strokecolor="#000000">
                  <v:stroke dashstyle="solid"/>
                </v:line>
              </v:group>
            </w:pict>
          </mc:Fallback>
        </mc:AlternateContent>
      </w:r>
      <w:r>
        <w:rPr>
          <w:spacing w:val="70"/>
          <w:sz w:val="2"/>
        </w:rPr>
      </w:r>
    </w:p>
    <w:p>
      <w:pPr>
        <w:pStyle w:val="BodyText"/>
        <w:spacing w:after="30"/>
        <w:ind w:left="280"/>
      </w:pPr>
      <w:r>
        <w:rPr/>
        <w:t>Fiscal </w:t>
      </w:r>
      <w:r>
        <w:rPr>
          <w:spacing w:val="-2"/>
        </w:rPr>
        <w:t>2017:</w:t>
      </w: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5"/>
        <w:gridCol w:w="4362"/>
        <w:gridCol w:w="1174"/>
      </w:tblGrid>
      <w:tr>
        <w:trPr>
          <w:trHeight w:val="280" w:hRule="atLeast"/>
        </w:trPr>
        <w:tc>
          <w:tcPr>
            <w:tcW w:w="4705" w:type="dxa"/>
            <w:shd w:val="clear" w:color="auto" w:fill="CCEDFF"/>
          </w:tcPr>
          <w:p>
            <w:pPr>
              <w:pStyle w:val="TableParagraph"/>
              <w:spacing w:before="2"/>
              <w:ind w:left="170"/>
              <w:rPr>
                <w:sz w:val="20"/>
              </w:rPr>
            </w:pPr>
            <w:r>
              <w:rPr>
                <w:sz w:val="20"/>
              </w:rPr>
              <w:t>First </w:t>
            </w:r>
            <w:r>
              <w:rPr>
                <w:spacing w:val="-2"/>
                <w:sz w:val="20"/>
              </w:rPr>
              <w:t>Quarter</w:t>
            </w:r>
          </w:p>
        </w:tc>
        <w:tc>
          <w:tcPr>
            <w:tcW w:w="4362" w:type="dxa"/>
            <w:shd w:val="clear" w:color="auto" w:fill="CCEDFF"/>
          </w:tcPr>
          <w:p>
            <w:pPr>
              <w:pStyle w:val="TableParagraph"/>
              <w:tabs>
                <w:tab w:pos="422" w:val="left" w:leader="none"/>
              </w:tabs>
              <w:spacing w:before="2"/>
              <w:ind w:right="103"/>
              <w:jc w:val="right"/>
              <w:rPr>
                <w:sz w:val="20"/>
              </w:rPr>
            </w:pPr>
            <w:r>
              <w:rPr>
                <w:spacing w:val="-10"/>
                <w:sz w:val="20"/>
              </w:rPr>
              <w:t>$</w:t>
            </w:r>
            <w:r>
              <w:rPr>
                <w:sz w:val="20"/>
              </w:rPr>
              <w:tab/>
            </w:r>
            <w:r>
              <w:rPr>
                <w:spacing w:val="-2"/>
                <w:sz w:val="20"/>
              </w:rPr>
              <w:t>120.35</w:t>
            </w:r>
          </w:p>
        </w:tc>
        <w:tc>
          <w:tcPr>
            <w:tcW w:w="1174" w:type="dxa"/>
            <w:shd w:val="clear" w:color="auto" w:fill="CCEDFF"/>
          </w:tcPr>
          <w:p>
            <w:pPr>
              <w:pStyle w:val="TableParagraph"/>
              <w:tabs>
                <w:tab w:pos="467" w:val="left" w:leader="none"/>
              </w:tabs>
              <w:spacing w:before="2"/>
              <w:ind w:left="25"/>
              <w:jc w:val="center"/>
              <w:rPr>
                <w:sz w:val="20"/>
              </w:rPr>
            </w:pPr>
            <w:r>
              <w:rPr>
                <w:spacing w:val="-10"/>
                <w:sz w:val="20"/>
              </w:rPr>
              <w:t>$</w:t>
            </w:r>
            <w:r>
              <w:rPr>
                <w:sz w:val="20"/>
              </w:rPr>
              <w:tab/>
            </w:r>
            <w:r>
              <w:rPr>
                <w:spacing w:val="-2"/>
                <w:sz w:val="20"/>
              </w:rPr>
              <w:t>101.55</w:t>
            </w:r>
          </w:p>
        </w:tc>
      </w:tr>
      <w:tr>
        <w:trPr>
          <w:trHeight w:val="280" w:hRule="atLeast"/>
        </w:trPr>
        <w:tc>
          <w:tcPr>
            <w:tcW w:w="4705" w:type="dxa"/>
          </w:tcPr>
          <w:p>
            <w:pPr>
              <w:pStyle w:val="TableParagraph"/>
              <w:spacing w:before="2"/>
              <w:ind w:right="3283"/>
              <w:jc w:val="right"/>
              <w:rPr>
                <w:sz w:val="20"/>
              </w:rPr>
            </w:pPr>
            <w:r>
              <w:rPr>
                <w:sz w:val="20"/>
              </w:rPr>
              <w:t>Second </w:t>
            </w:r>
            <w:r>
              <w:rPr>
                <w:spacing w:val="-2"/>
                <w:sz w:val="20"/>
              </w:rPr>
              <w:t>Quarter</w:t>
            </w:r>
          </w:p>
        </w:tc>
        <w:tc>
          <w:tcPr>
            <w:tcW w:w="4362" w:type="dxa"/>
          </w:tcPr>
          <w:p>
            <w:pPr>
              <w:pStyle w:val="TableParagraph"/>
              <w:tabs>
                <w:tab w:pos="422" w:val="left" w:leader="none"/>
              </w:tabs>
              <w:spacing w:before="2"/>
              <w:ind w:right="103"/>
              <w:jc w:val="right"/>
              <w:rPr>
                <w:sz w:val="20"/>
              </w:rPr>
            </w:pPr>
            <w:r>
              <w:rPr>
                <w:spacing w:val="-10"/>
                <w:sz w:val="20"/>
              </w:rPr>
              <w:t>$</w:t>
            </w:r>
            <w:r>
              <w:rPr>
                <w:sz w:val="20"/>
              </w:rPr>
              <w:tab/>
            </w:r>
            <w:r>
              <w:rPr>
                <w:spacing w:val="-2"/>
                <w:sz w:val="20"/>
              </w:rPr>
              <w:t>143.48</w:t>
            </w:r>
          </w:p>
        </w:tc>
        <w:tc>
          <w:tcPr>
            <w:tcW w:w="1174" w:type="dxa"/>
          </w:tcPr>
          <w:p>
            <w:pPr>
              <w:pStyle w:val="TableParagraph"/>
              <w:tabs>
                <w:tab w:pos="467" w:val="left" w:leader="none"/>
              </w:tabs>
              <w:spacing w:before="2"/>
              <w:ind w:left="25"/>
              <w:jc w:val="center"/>
              <w:rPr>
                <w:sz w:val="20"/>
              </w:rPr>
            </w:pPr>
            <w:r>
              <w:rPr>
                <w:spacing w:val="-10"/>
                <w:sz w:val="20"/>
              </w:rPr>
              <w:t>$</w:t>
            </w:r>
            <w:r>
              <w:rPr>
                <w:sz w:val="20"/>
              </w:rPr>
              <w:tab/>
            </w:r>
            <w:r>
              <w:rPr>
                <w:spacing w:val="-2"/>
                <w:sz w:val="20"/>
              </w:rPr>
              <w:t>119.60</w:t>
            </w:r>
          </w:p>
        </w:tc>
      </w:tr>
      <w:tr>
        <w:trPr>
          <w:trHeight w:val="280" w:hRule="atLeast"/>
        </w:trPr>
        <w:tc>
          <w:tcPr>
            <w:tcW w:w="4705" w:type="dxa"/>
            <w:shd w:val="clear" w:color="auto" w:fill="CCEDFF"/>
          </w:tcPr>
          <w:p>
            <w:pPr>
              <w:pStyle w:val="TableParagraph"/>
              <w:spacing w:before="2"/>
              <w:ind w:left="170"/>
              <w:rPr>
                <w:sz w:val="20"/>
              </w:rPr>
            </w:pPr>
            <w:r>
              <w:rPr>
                <w:sz w:val="20"/>
              </w:rPr>
              <w:t>Third </w:t>
            </w:r>
            <w:r>
              <w:rPr>
                <w:spacing w:val="-2"/>
                <w:sz w:val="20"/>
              </w:rPr>
              <w:t>Quarter</w:t>
            </w:r>
          </w:p>
        </w:tc>
        <w:tc>
          <w:tcPr>
            <w:tcW w:w="4362" w:type="dxa"/>
            <w:shd w:val="clear" w:color="auto" w:fill="CCEDFF"/>
          </w:tcPr>
          <w:p>
            <w:pPr>
              <w:pStyle w:val="TableParagraph"/>
              <w:tabs>
                <w:tab w:pos="422" w:val="left" w:leader="none"/>
              </w:tabs>
              <w:spacing w:before="2"/>
              <w:ind w:right="103"/>
              <w:jc w:val="right"/>
              <w:rPr>
                <w:sz w:val="20"/>
              </w:rPr>
            </w:pPr>
            <w:r>
              <w:rPr>
                <w:spacing w:val="-10"/>
                <w:sz w:val="20"/>
              </w:rPr>
              <w:t>$</w:t>
            </w:r>
            <w:r>
              <w:rPr>
                <w:sz w:val="20"/>
              </w:rPr>
              <w:tab/>
            </w:r>
            <w:r>
              <w:rPr>
                <w:spacing w:val="-2"/>
                <w:sz w:val="20"/>
              </w:rPr>
              <w:t>155.16</w:t>
            </w:r>
          </w:p>
        </w:tc>
        <w:tc>
          <w:tcPr>
            <w:tcW w:w="1174" w:type="dxa"/>
            <w:shd w:val="clear" w:color="auto" w:fill="CCEDFF"/>
          </w:tcPr>
          <w:p>
            <w:pPr>
              <w:pStyle w:val="TableParagraph"/>
              <w:tabs>
                <w:tab w:pos="467" w:val="left" w:leader="none"/>
              </w:tabs>
              <w:spacing w:before="2"/>
              <w:ind w:left="25"/>
              <w:jc w:val="center"/>
              <w:rPr>
                <w:sz w:val="20"/>
              </w:rPr>
            </w:pPr>
            <w:r>
              <w:rPr>
                <w:spacing w:val="-10"/>
                <w:sz w:val="20"/>
              </w:rPr>
              <w:t>$</w:t>
            </w:r>
            <w:r>
              <w:rPr>
                <w:sz w:val="20"/>
              </w:rPr>
              <w:tab/>
            </w:r>
            <w:r>
              <w:rPr>
                <w:spacing w:val="-2"/>
                <w:sz w:val="20"/>
              </w:rPr>
              <w:t>137.25</w:t>
            </w:r>
          </w:p>
        </w:tc>
      </w:tr>
      <w:tr>
        <w:trPr>
          <w:trHeight w:val="280" w:hRule="atLeast"/>
        </w:trPr>
        <w:tc>
          <w:tcPr>
            <w:tcW w:w="4705" w:type="dxa"/>
          </w:tcPr>
          <w:p>
            <w:pPr>
              <w:pStyle w:val="TableParagraph"/>
              <w:spacing w:before="2"/>
              <w:ind w:right="3338"/>
              <w:jc w:val="right"/>
              <w:rPr>
                <w:sz w:val="20"/>
              </w:rPr>
            </w:pPr>
            <w:r>
              <w:rPr>
                <w:sz w:val="20"/>
              </w:rPr>
              <w:t>Fourth </w:t>
            </w:r>
            <w:r>
              <w:rPr>
                <w:spacing w:val="-2"/>
                <w:sz w:val="20"/>
              </w:rPr>
              <w:t>Quarter</w:t>
            </w:r>
          </w:p>
        </w:tc>
        <w:tc>
          <w:tcPr>
            <w:tcW w:w="4362" w:type="dxa"/>
          </w:tcPr>
          <w:p>
            <w:pPr>
              <w:pStyle w:val="TableParagraph"/>
              <w:tabs>
                <w:tab w:pos="422" w:val="left" w:leader="none"/>
              </w:tabs>
              <w:spacing w:before="2"/>
              <w:ind w:right="103"/>
              <w:jc w:val="right"/>
              <w:rPr>
                <w:sz w:val="20"/>
              </w:rPr>
            </w:pPr>
            <w:r>
              <w:rPr>
                <w:spacing w:val="-10"/>
                <w:sz w:val="20"/>
              </w:rPr>
              <w:t>$</w:t>
            </w:r>
            <w:r>
              <w:rPr>
                <w:sz w:val="20"/>
              </w:rPr>
              <w:tab/>
            </w:r>
            <w:r>
              <w:rPr>
                <w:spacing w:val="-2"/>
                <w:sz w:val="20"/>
              </w:rPr>
              <w:t>185.40</w:t>
            </w:r>
          </w:p>
        </w:tc>
        <w:tc>
          <w:tcPr>
            <w:tcW w:w="1174" w:type="dxa"/>
          </w:tcPr>
          <w:p>
            <w:pPr>
              <w:pStyle w:val="TableParagraph"/>
              <w:tabs>
                <w:tab w:pos="467" w:val="left" w:leader="none"/>
              </w:tabs>
              <w:spacing w:before="2"/>
              <w:ind w:left="25"/>
              <w:jc w:val="center"/>
              <w:rPr>
                <w:sz w:val="20"/>
              </w:rPr>
            </w:pPr>
            <w:r>
              <w:rPr>
                <w:spacing w:val="-10"/>
                <w:sz w:val="20"/>
              </w:rPr>
              <w:t>$</w:t>
            </w:r>
            <w:r>
              <w:rPr>
                <w:sz w:val="20"/>
              </w:rPr>
              <w:tab/>
            </w:r>
            <w:r>
              <w:rPr>
                <w:spacing w:val="-2"/>
                <w:sz w:val="20"/>
              </w:rPr>
              <w:t>144.57</w:t>
            </w:r>
          </w:p>
        </w:tc>
      </w:tr>
      <w:tr>
        <w:trPr>
          <w:trHeight w:val="280" w:hRule="atLeast"/>
        </w:trPr>
        <w:tc>
          <w:tcPr>
            <w:tcW w:w="4705" w:type="dxa"/>
            <w:shd w:val="clear" w:color="auto" w:fill="CCEDFF"/>
          </w:tcPr>
          <w:p>
            <w:pPr>
              <w:pStyle w:val="TableParagraph"/>
              <w:spacing w:before="2"/>
              <w:ind w:left="170"/>
              <w:rPr>
                <w:sz w:val="20"/>
              </w:rPr>
            </w:pPr>
            <w:r>
              <w:rPr>
                <w:sz w:val="20"/>
              </w:rPr>
              <w:t>Fiscal</w:t>
            </w:r>
            <w:r>
              <w:rPr>
                <w:spacing w:val="-4"/>
                <w:sz w:val="20"/>
              </w:rPr>
              <w:t> Year</w:t>
            </w:r>
          </w:p>
        </w:tc>
        <w:tc>
          <w:tcPr>
            <w:tcW w:w="4362" w:type="dxa"/>
            <w:shd w:val="clear" w:color="auto" w:fill="CCEDFF"/>
          </w:tcPr>
          <w:p>
            <w:pPr>
              <w:pStyle w:val="TableParagraph"/>
              <w:tabs>
                <w:tab w:pos="422" w:val="left" w:leader="none"/>
              </w:tabs>
              <w:spacing w:before="2"/>
              <w:ind w:right="103"/>
              <w:jc w:val="right"/>
              <w:rPr>
                <w:sz w:val="20"/>
              </w:rPr>
            </w:pPr>
            <w:r>
              <w:rPr>
                <w:spacing w:val="-10"/>
                <w:sz w:val="20"/>
              </w:rPr>
              <w:t>$</w:t>
            </w:r>
            <w:r>
              <w:rPr>
                <w:sz w:val="20"/>
              </w:rPr>
              <w:tab/>
            </w:r>
            <w:r>
              <w:rPr>
                <w:spacing w:val="-2"/>
                <w:sz w:val="20"/>
              </w:rPr>
              <w:t>185.40</w:t>
            </w:r>
          </w:p>
        </w:tc>
        <w:tc>
          <w:tcPr>
            <w:tcW w:w="1174" w:type="dxa"/>
            <w:shd w:val="clear" w:color="auto" w:fill="CCEDFF"/>
          </w:tcPr>
          <w:p>
            <w:pPr>
              <w:pStyle w:val="TableParagraph"/>
              <w:tabs>
                <w:tab w:pos="467" w:val="left" w:leader="none"/>
              </w:tabs>
              <w:spacing w:before="2"/>
              <w:ind w:left="25"/>
              <w:jc w:val="center"/>
              <w:rPr>
                <w:sz w:val="20"/>
              </w:rPr>
            </w:pPr>
            <w:r>
              <w:rPr>
                <w:spacing w:val="-10"/>
                <w:sz w:val="20"/>
              </w:rPr>
              <w:t>$</w:t>
            </w:r>
            <w:r>
              <w:rPr>
                <w:sz w:val="20"/>
              </w:rPr>
              <w:tab/>
            </w:r>
            <w:r>
              <w:rPr>
                <w:spacing w:val="-2"/>
                <w:sz w:val="20"/>
              </w:rPr>
              <w:t>101.55</w:t>
            </w:r>
          </w:p>
        </w:tc>
      </w:tr>
      <w:tr>
        <w:trPr>
          <w:trHeight w:val="280" w:hRule="atLeast"/>
        </w:trPr>
        <w:tc>
          <w:tcPr>
            <w:tcW w:w="4705" w:type="dxa"/>
          </w:tcPr>
          <w:p>
            <w:pPr>
              <w:pStyle w:val="TableParagraph"/>
              <w:spacing w:before="2"/>
              <w:ind w:left="50"/>
              <w:rPr>
                <w:sz w:val="20"/>
              </w:rPr>
            </w:pPr>
            <w:r>
              <w:rPr>
                <w:sz w:val="20"/>
              </w:rPr>
              <w:t>Fiscal </w:t>
            </w:r>
            <w:r>
              <w:rPr>
                <w:spacing w:val="-2"/>
                <w:sz w:val="20"/>
              </w:rPr>
              <w:t>2016:</w:t>
            </w:r>
          </w:p>
        </w:tc>
        <w:tc>
          <w:tcPr>
            <w:tcW w:w="4362" w:type="dxa"/>
          </w:tcPr>
          <w:p>
            <w:pPr>
              <w:pStyle w:val="TableParagraph"/>
              <w:rPr>
                <w:sz w:val="18"/>
              </w:rPr>
            </w:pPr>
          </w:p>
        </w:tc>
        <w:tc>
          <w:tcPr>
            <w:tcW w:w="1174" w:type="dxa"/>
          </w:tcPr>
          <w:p>
            <w:pPr>
              <w:pStyle w:val="TableParagraph"/>
              <w:rPr>
                <w:sz w:val="18"/>
              </w:rPr>
            </w:pPr>
          </w:p>
        </w:tc>
      </w:tr>
      <w:tr>
        <w:trPr>
          <w:trHeight w:val="280" w:hRule="atLeast"/>
        </w:trPr>
        <w:tc>
          <w:tcPr>
            <w:tcW w:w="4705" w:type="dxa"/>
            <w:shd w:val="clear" w:color="auto" w:fill="CCEDFF"/>
          </w:tcPr>
          <w:p>
            <w:pPr>
              <w:pStyle w:val="TableParagraph"/>
              <w:spacing w:before="2"/>
              <w:ind w:left="170"/>
              <w:rPr>
                <w:sz w:val="20"/>
              </w:rPr>
            </w:pPr>
            <w:r>
              <w:rPr>
                <w:sz w:val="20"/>
              </w:rPr>
              <w:t>First </w:t>
            </w:r>
            <w:r>
              <w:rPr>
                <w:spacing w:val="-2"/>
                <w:sz w:val="20"/>
              </w:rPr>
              <w:t>Quarter</w:t>
            </w:r>
          </w:p>
        </w:tc>
        <w:tc>
          <w:tcPr>
            <w:tcW w:w="4362" w:type="dxa"/>
            <w:shd w:val="clear" w:color="auto" w:fill="CCEDFF"/>
          </w:tcPr>
          <w:p>
            <w:pPr>
              <w:pStyle w:val="TableParagraph"/>
              <w:tabs>
                <w:tab w:pos="522" w:val="left" w:leader="none"/>
              </w:tabs>
              <w:spacing w:before="2"/>
              <w:ind w:right="103"/>
              <w:jc w:val="right"/>
              <w:rPr>
                <w:sz w:val="20"/>
              </w:rPr>
            </w:pPr>
            <w:r>
              <w:rPr>
                <w:spacing w:val="-10"/>
                <w:sz w:val="20"/>
              </w:rPr>
              <w:t>$</w:t>
            </w:r>
            <w:r>
              <w:rPr>
                <w:sz w:val="20"/>
              </w:rPr>
              <w:tab/>
            </w:r>
            <w:r>
              <w:rPr>
                <w:spacing w:val="-2"/>
                <w:sz w:val="20"/>
              </w:rPr>
              <w:t>95.56</w:t>
            </w:r>
          </w:p>
        </w:tc>
        <w:tc>
          <w:tcPr>
            <w:tcW w:w="1174" w:type="dxa"/>
            <w:shd w:val="clear" w:color="auto" w:fill="CCEDFF"/>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73.85</w:t>
            </w:r>
          </w:p>
        </w:tc>
      </w:tr>
      <w:tr>
        <w:trPr>
          <w:trHeight w:val="280" w:hRule="atLeast"/>
        </w:trPr>
        <w:tc>
          <w:tcPr>
            <w:tcW w:w="4705" w:type="dxa"/>
          </w:tcPr>
          <w:p>
            <w:pPr>
              <w:pStyle w:val="TableParagraph"/>
              <w:spacing w:before="2"/>
              <w:ind w:right="3283"/>
              <w:jc w:val="right"/>
              <w:rPr>
                <w:sz w:val="20"/>
              </w:rPr>
            </w:pPr>
            <w:r>
              <w:rPr>
                <w:sz w:val="20"/>
              </w:rPr>
              <w:t>Second </w:t>
            </w:r>
            <w:r>
              <w:rPr>
                <w:spacing w:val="-2"/>
                <w:sz w:val="20"/>
              </w:rPr>
              <w:t>Quarter</w:t>
            </w:r>
          </w:p>
        </w:tc>
        <w:tc>
          <w:tcPr>
            <w:tcW w:w="4362" w:type="dxa"/>
          </w:tcPr>
          <w:p>
            <w:pPr>
              <w:pStyle w:val="TableParagraph"/>
              <w:tabs>
                <w:tab w:pos="422" w:val="left" w:leader="none"/>
              </w:tabs>
              <w:spacing w:before="2"/>
              <w:ind w:right="103"/>
              <w:jc w:val="right"/>
              <w:rPr>
                <w:sz w:val="20"/>
              </w:rPr>
            </w:pPr>
            <w:r>
              <w:rPr>
                <w:spacing w:val="-10"/>
                <w:sz w:val="20"/>
              </w:rPr>
              <w:t>$</w:t>
            </w:r>
            <w:r>
              <w:rPr>
                <w:sz w:val="20"/>
              </w:rPr>
              <w:tab/>
            </w:r>
            <w:r>
              <w:rPr>
                <w:spacing w:val="-2"/>
                <w:sz w:val="20"/>
              </w:rPr>
              <w:t>100.17</w:t>
            </w:r>
          </w:p>
        </w:tc>
        <w:tc>
          <w:tcPr>
            <w:tcW w:w="1174" w:type="dxa"/>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84.35</w:t>
            </w:r>
          </w:p>
        </w:tc>
      </w:tr>
      <w:tr>
        <w:trPr>
          <w:trHeight w:val="280" w:hRule="atLeast"/>
        </w:trPr>
        <w:tc>
          <w:tcPr>
            <w:tcW w:w="4705" w:type="dxa"/>
            <w:shd w:val="clear" w:color="auto" w:fill="CCEDFF"/>
          </w:tcPr>
          <w:p>
            <w:pPr>
              <w:pStyle w:val="TableParagraph"/>
              <w:spacing w:before="2"/>
              <w:ind w:left="170"/>
              <w:rPr>
                <w:sz w:val="20"/>
              </w:rPr>
            </w:pPr>
            <w:r>
              <w:rPr>
                <w:sz w:val="20"/>
              </w:rPr>
              <w:t>Third </w:t>
            </w:r>
            <w:r>
              <w:rPr>
                <w:spacing w:val="-2"/>
                <w:sz w:val="20"/>
              </w:rPr>
              <w:t>Quarter</w:t>
            </w:r>
          </w:p>
        </w:tc>
        <w:tc>
          <w:tcPr>
            <w:tcW w:w="4362" w:type="dxa"/>
            <w:shd w:val="clear" w:color="auto" w:fill="CCEDFF"/>
          </w:tcPr>
          <w:p>
            <w:pPr>
              <w:pStyle w:val="TableParagraph"/>
              <w:tabs>
                <w:tab w:pos="422" w:val="left" w:leader="none"/>
              </w:tabs>
              <w:spacing w:before="2"/>
              <w:ind w:right="103"/>
              <w:jc w:val="right"/>
              <w:rPr>
                <w:sz w:val="20"/>
              </w:rPr>
            </w:pPr>
            <w:r>
              <w:rPr>
                <w:spacing w:val="-10"/>
                <w:sz w:val="20"/>
              </w:rPr>
              <w:t>$</w:t>
            </w:r>
            <w:r>
              <w:rPr>
                <w:sz w:val="20"/>
              </w:rPr>
              <w:tab/>
            </w:r>
            <w:r>
              <w:rPr>
                <w:spacing w:val="-2"/>
                <w:sz w:val="20"/>
              </w:rPr>
              <w:t>103.57</w:t>
            </w:r>
          </w:p>
        </w:tc>
        <w:tc>
          <w:tcPr>
            <w:tcW w:w="1174" w:type="dxa"/>
            <w:shd w:val="clear" w:color="auto" w:fill="CCEDFF"/>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90.85</w:t>
            </w:r>
          </w:p>
        </w:tc>
      </w:tr>
      <w:tr>
        <w:trPr>
          <w:trHeight w:val="280" w:hRule="atLeast"/>
        </w:trPr>
        <w:tc>
          <w:tcPr>
            <w:tcW w:w="4705" w:type="dxa"/>
          </w:tcPr>
          <w:p>
            <w:pPr>
              <w:pStyle w:val="TableParagraph"/>
              <w:spacing w:before="2"/>
              <w:ind w:right="3338"/>
              <w:jc w:val="right"/>
              <w:rPr>
                <w:sz w:val="20"/>
              </w:rPr>
            </w:pPr>
            <w:r>
              <w:rPr>
                <w:sz w:val="20"/>
              </w:rPr>
              <w:t>Fourth </w:t>
            </w:r>
            <w:r>
              <w:rPr>
                <w:spacing w:val="-2"/>
                <w:sz w:val="20"/>
              </w:rPr>
              <w:t>Quarter</w:t>
            </w:r>
          </w:p>
        </w:tc>
        <w:tc>
          <w:tcPr>
            <w:tcW w:w="4362" w:type="dxa"/>
          </w:tcPr>
          <w:p>
            <w:pPr>
              <w:pStyle w:val="TableParagraph"/>
              <w:tabs>
                <w:tab w:pos="422" w:val="left" w:leader="none"/>
              </w:tabs>
              <w:spacing w:before="2"/>
              <w:ind w:right="103"/>
              <w:jc w:val="right"/>
              <w:rPr>
                <w:sz w:val="20"/>
              </w:rPr>
            </w:pPr>
            <w:r>
              <w:rPr>
                <w:spacing w:val="-10"/>
                <w:sz w:val="20"/>
              </w:rPr>
              <w:t>$</w:t>
            </w:r>
            <w:r>
              <w:rPr>
                <w:sz w:val="20"/>
              </w:rPr>
              <w:tab/>
            </w:r>
            <w:r>
              <w:rPr>
                <w:spacing w:val="-2"/>
                <w:sz w:val="20"/>
              </w:rPr>
              <w:t>110.81</w:t>
            </w:r>
          </w:p>
        </w:tc>
        <w:tc>
          <w:tcPr>
            <w:tcW w:w="1174" w:type="dxa"/>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98.77</w:t>
            </w:r>
          </w:p>
        </w:tc>
      </w:tr>
      <w:tr>
        <w:trPr>
          <w:trHeight w:val="280" w:hRule="atLeast"/>
        </w:trPr>
        <w:tc>
          <w:tcPr>
            <w:tcW w:w="4705" w:type="dxa"/>
            <w:shd w:val="clear" w:color="auto" w:fill="CCEDFF"/>
          </w:tcPr>
          <w:p>
            <w:pPr>
              <w:pStyle w:val="TableParagraph"/>
              <w:spacing w:before="2"/>
              <w:ind w:left="170"/>
              <w:rPr>
                <w:sz w:val="20"/>
              </w:rPr>
            </w:pPr>
            <w:r>
              <w:rPr>
                <w:sz w:val="20"/>
              </w:rPr>
              <w:t>Fiscal</w:t>
            </w:r>
            <w:r>
              <w:rPr>
                <w:spacing w:val="-8"/>
                <w:sz w:val="20"/>
              </w:rPr>
              <w:t> </w:t>
            </w:r>
            <w:r>
              <w:rPr>
                <w:spacing w:val="-4"/>
                <w:sz w:val="20"/>
              </w:rPr>
              <w:t>Year</w:t>
            </w:r>
          </w:p>
        </w:tc>
        <w:tc>
          <w:tcPr>
            <w:tcW w:w="4362" w:type="dxa"/>
            <w:shd w:val="clear" w:color="auto" w:fill="CCEDFF"/>
          </w:tcPr>
          <w:p>
            <w:pPr>
              <w:pStyle w:val="TableParagraph"/>
              <w:tabs>
                <w:tab w:pos="422" w:val="left" w:leader="none"/>
              </w:tabs>
              <w:spacing w:before="2"/>
              <w:ind w:right="103"/>
              <w:jc w:val="right"/>
              <w:rPr>
                <w:sz w:val="20"/>
              </w:rPr>
            </w:pPr>
            <w:r>
              <w:rPr>
                <w:spacing w:val="-10"/>
                <w:sz w:val="20"/>
              </w:rPr>
              <w:t>$</w:t>
            </w:r>
            <w:r>
              <w:rPr>
                <w:sz w:val="20"/>
              </w:rPr>
              <w:tab/>
            </w:r>
            <w:r>
              <w:rPr>
                <w:spacing w:val="-2"/>
                <w:sz w:val="20"/>
              </w:rPr>
              <w:t>110.81</w:t>
            </w:r>
          </w:p>
        </w:tc>
        <w:tc>
          <w:tcPr>
            <w:tcW w:w="1174" w:type="dxa"/>
            <w:shd w:val="clear" w:color="auto" w:fill="CCEDFF"/>
          </w:tcPr>
          <w:p>
            <w:pPr>
              <w:pStyle w:val="TableParagraph"/>
              <w:tabs>
                <w:tab w:pos="567" w:val="left" w:leader="none"/>
              </w:tabs>
              <w:spacing w:before="2"/>
              <w:ind w:left="25"/>
              <w:jc w:val="center"/>
              <w:rPr>
                <w:sz w:val="20"/>
              </w:rPr>
            </w:pPr>
            <w:r>
              <w:rPr>
                <w:spacing w:val="-10"/>
                <w:sz w:val="20"/>
              </w:rPr>
              <w:t>$</w:t>
            </w:r>
            <w:r>
              <w:rPr>
                <w:sz w:val="20"/>
              </w:rPr>
              <w:tab/>
            </w:r>
            <w:r>
              <w:rPr>
                <w:spacing w:val="-2"/>
                <w:sz w:val="20"/>
              </w:rPr>
              <w:t>73.85</w:t>
            </w:r>
          </w:p>
        </w:tc>
      </w:tr>
    </w:tbl>
    <w:p>
      <w:pPr>
        <w:spacing w:before="223"/>
        <w:ind w:left="220" w:right="0" w:firstLine="0"/>
        <w:jc w:val="left"/>
        <w:rPr>
          <w:i/>
          <w:sz w:val="20"/>
        </w:rPr>
      </w:pPr>
      <w:r>
        <w:rPr>
          <w:i/>
          <w:spacing w:val="-2"/>
          <w:sz w:val="20"/>
        </w:rPr>
        <w:t>Stockholders</w:t>
      </w:r>
    </w:p>
    <w:p>
      <w:pPr>
        <w:pStyle w:val="BodyText"/>
        <w:spacing w:line="249" w:lineRule="auto" w:before="190"/>
        <w:ind w:left="220" w:right="257" w:firstLine="540"/>
        <w:jc w:val="both"/>
      </w:pPr>
      <w:r>
        <w:rPr/>
        <w:t>According to the records of our transfer agent, there were 1,091 holders of record of our common stock on January</w:t>
      </w:r>
      <w:r>
        <w:rPr>
          <w:spacing w:val="-2"/>
        </w:rPr>
        <w:t> </w:t>
      </w:r>
      <w:r>
        <w:rPr/>
        <w:t>12, 2018.</w:t>
      </w:r>
      <w:r>
        <w:rPr>
          <w:spacing w:val="-9"/>
        </w:rPr>
        <w:t> </w:t>
      </w:r>
      <w:r>
        <w:rPr/>
        <w:t>Because</w:t>
      </w:r>
      <w:r>
        <w:rPr>
          <w:spacing w:val="-9"/>
        </w:rPr>
        <w:t> </w:t>
      </w:r>
      <w:r>
        <w:rPr/>
        <w:t>many</w:t>
      </w:r>
      <w:r>
        <w:rPr>
          <w:spacing w:val="-9"/>
        </w:rPr>
        <w:t> </w:t>
      </w:r>
      <w:r>
        <w:rPr/>
        <w:t>of</w:t>
      </w:r>
      <w:r>
        <w:rPr>
          <w:spacing w:val="-9"/>
        </w:rPr>
        <w:t> </w:t>
      </w:r>
      <w:r>
        <w:rPr/>
        <w:t>such</w:t>
      </w:r>
      <w:r>
        <w:rPr>
          <w:spacing w:val="-9"/>
        </w:rPr>
        <w:t> </w:t>
      </w:r>
      <w:r>
        <w:rPr/>
        <w:t>shares</w:t>
      </w:r>
      <w:r>
        <w:rPr>
          <w:spacing w:val="-9"/>
        </w:rPr>
        <w:t> </w:t>
      </w:r>
      <w:r>
        <w:rPr/>
        <w:t>are</w:t>
      </w:r>
      <w:r>
        <w:rPr>
          <w:spacing w:val="-9"/>
        </w:rPr>
        <w:t> </w:t>
      </w:r>
      <w:r>
        <w:rPr/>
        <w:t>held</w:t>
      </w:r>
      <w:r>
        <w:rPr>
          <w:spacing w:val="-9"/>
        </w:rPr>
        <w:t> </w:t>
      </w:r>
      <w:r>
        <w:rPr/>
        <w:t>by</w:t>
      </w:r>
      <w:r>
        <w:rPr>
          <w:spacing w:val="-9"/>
        </w:rPr>
        <w:t> </w:t>
      </w:r>
      <w:r>
        <w:rPr/>
        <w:t>brokers</w:t>
      </w:r>
      <w:r>
        <w:rPr>
          <w:spacing w:val="-9"/>
        </w:rPr>
        <w:t> </w:t>
      </w:r>
      <w:r>
        <w:rPr/>
        <w:t>and</w:t>
      </w:r>
      <w:r>
        <w:rPr>
          <w:spacing w:val="-9"/>
        </w:rPr>
        <w:t> </w:t>
      </w:r>
      <w:r>
        <w:rPr/>
        <w:t>other</w:t>
      </w:r>
      <w:r>
        <w:rPr>
          <w:spacing w:val="-9"/>
        </w:rPr>
        <w:t> </w:t>
      </w:r>
      <w:r>
        <w:rPr/>
        <w:t>institutions</w:t>
      </w:r>
      <w:r>
        <w:rPr>
          <w:spacing w:val="-9"/>
        </w:rPr>
        <w:t> </w:t>
      </w:r>
      <w:r>
        <w:rPr/>
        <w:t>on</w:t>
      </w:r>
      <w:r>
        <w:rPr>
          <w:spacing w:val="-9"/>
        </w:rPr>
        <w:t> </w:t>
      </w:r>
      <w:r>
        <w:rPr/>
        <w:t>behalf</w:t>
      </w:r>
      <w:r>
        <w:rPr>
          <w:spacing w:val="-9"/>
        </w:rPr>
        <w:t> </w:t>
      </w:r>
      <w:r>
        <w:rPr/>
        <w:t>of</w:t>
      </w:r>
      <w:r>
        <w:rPr>
          <w:spacing w:val="-9"/>
        </w:rPr>
        <w:t> </w:t>
      </w:r>
      <w:r>
        <w:rPr/>
        <w:t>stockholders,</w:t>
      </w:r>
      <w:r>
        <w:rPr>
          <w:spacing w:val="-9"/>
        </w:rPr>
        <w:t> </w:t>
      </w:r>
      <w:r>
        <w:rPr/>
        <w:t>we</w:t>
      </w:r>
      <w:r>
        <w:rPr>
          <w:spacing w:val="-9"/>
        </w:rPr>
        <w:t> </w:t>
      </w:r>
      <w:r>
        <w:rPr/>
        <w:t>are</w:t>
      </w:r>
      <w:r>
        <w:rPr>
          <w:spacing w:val="-9"/>
        </w:rPr>
        <w:t> </w:t>
      </w:r>
      <w:r>
        <w:rPr/>
        <w:t>unable</w:t>
      </w:r>
      <w:r>
        <w:rPr>
          <w:spacing w:val="-9"/>
        </w:rPr>
        <w:t> </w:t>
      </w:r>
      <w:r>
        <w:rPr/>
        <w:t>to</w:t>
      </w:r>
      <w:r>
        <w:rPr>
          <w:spacing w:val="-9"/>
        </w:rPr>
        <w:t> </w:t>
      </w:r>
      <w:r>
        <w:rPr/>
        <w:t>estimate the total number of stockholders represented by these record holders.</w:t>
      </w:r>
    </w:p>
    <w:p>
      <w:pPr>
        <w:spacing w:before="182"/>
        <w:ind w:left="220" w:right="0" w:firstLine="0"/>
        <w:jc w:val="left"/>
        <w:rPr>
          <w:i/>
          <w:sz w:val="20"/>
        </w:rPr>
      </w:pPr>
      <w:r>
        <w:rPr>
          <w:i/>
          <w:spacing w:val="-2"/>
          <w:sz w:val="20"/>
        </w:rPr>
        <w:t>Dividends</w:t>
      </w:r>
    </w:p>
    <w:p>
      <w:pPr>
        <w:pStyle w:val="BodyText"/>
        <w:spacing w:line="249" w:lineRule="auto" w:before="190"/>
        <w:ind w:left="220" w:right="257" w:firstLine="540"/>
        <w:jc w:val="both"/>
      </w:pPr>
      <w:r>
        <w:rPr/>
        <w:t>We</w:t>
      </w:r>
      <w:r>
        <w:rPr>
          <w:spacing w:val="-2"/>
        </w:rPr>
        <w:t> </w:t>
      </w:r>
      <w:r>
        <w:rPr/>
        <w:t>did</w:t>
      </w:r>
      <w:r>
        <w:rPr>
          <w:spacing w:val="-2"/>
        </w:rPr>
        <w:t> </w:t>
      </w:r>
      <w:r>
        <w:rPr/>
        <w:t>not</w:t>
      </w:r>
      <w:r>
        <w:rPr>
          <w:spacing w:val="-2"/>
        </w:rPr>
        <w:t> </w:t>
      </w:r>
      <w:r>
        <w:rPr/>
        <w:t>declare</w:t>
      </w:r>
      <w:r>
        <w:rPr>
          <w:spacing w:val="-3"/>
        </w:rPr>
        <w:t> </w:t>
      </w:r>
      <w:r>
        <w:rPr/>
        <w:t>or</w:t>
      </w:r>
      <w:r>
        <w:rPr>
          <w:spacing w:val="-2"/>
        </w:rPr>
        <w:t> </w:t>
      </w:r>
      <w:r>
        <w:rPr/>
        <w:t>pay</w:t>
      </w:r>
      <w:r>
        <w:rPr>
          <w:spacing w:val="-2"/>
        </w:rPr>
        <w:t> </w:t>
      </w:r>
      <w:r>
        <w:rPr/>
        <w:t>any</w:t>
      </w:r>
      <w:r>
        <w:rPr>
          <w:spacing w:val="-2"/>
        </w:rPr>
        <w:t> </w:t>
      </w:r>
      <w:r>
        <w:rPr/>
        <w:t>cash</w:t>
      </w:r>
      <w:r>
        <w:rPr>
          <w:spacing w:val="-2"/>
        </w:rPr>
        <w:t> </w:t>
      </w:r>
      <w:r>
        <w:rPr/>
        <w:t>dividends</w:t>
      </w:r>
      <w:r>
        <w:rPr>
          <w:spacing w:val="-2"/>
        </w:rPr>
        <w:t> </w:t>
      </w:r>
      <w:r>
        <w:rPr/>
        <w:t>on</w:t>
      </w:r>
      <w:r>
        <w:rPr>
          <w:spacing w:val="-2"/>
        </w:rPr>
        <w:t> </w:t>
      </w:r>
      <w:r>
        <w:rPr/>
        <w:t>our</w:t>
      </w:r>
      <w:r>
        <w:rPr>
          <w:spacing w:val="-2"/>
        </w:rPr>
        <w:t> </w:t>
      </w:r>
      <w:r>
        <w:rPr/>
        <w:t>common</w:t>
      </w:r>
      <w:r>
        <w:rPr>
          <w:spacing w:val="-2"/>
        </w:rPr>
        <w:t> </w:t>
      </w:r>
      <w:r>
        <w:rPr/>
        <w:t>stock</w:t>
      </w:r>
      <w:r>
        <w:rPr>
          <w:spacing w:val="-2"/>
        </w:rPr>
        <w:t> </w:t>
      </w:r>
      <w:r>
        <w:rPr/>
        <w:t>during</w:t>
      </w:r>
      <w:r>
        <w:rPr>
          <w:spacing w:val="-2"/>
        </w:rPr>
        <w:t> </w:t>
      </w:r>
      <w:r>
        <w:rPr/>
        <w:t>fiscal</w:t>
      </w:r>
      <w:r>
        <w:rPr>
          <w:spacing w:val="-3"/>
        </w:rPr>
        <w:t> </w:t>
      </w:r>
      <w:r>
        <w:rPr/>
        <w:t>2017</w:t>
      </w:r>
      <w:r>
        <w:rPr>
          <w:spacing w:val="-2"/>
        </w:rPr>
        <w:t> </w:t>
      </w:r>
      <w:r>
        <w:rPr/>
        <w:t>or</w:t>
      </w:r>
      <w:r>
        <w:rPr>
          <w:spacing w:val="-2"/>
        </w:rPr>
        <w:t> </w:t>
      </w:r>
      <w:r>
        <w:rPr/>
        <w:t>fiscal</w:t>
      </w:r>
      <w:r>
        <w:rPr>
          <w:spacing w:val="-3"/>
        </w:rPr>
        <w:t> </w:t>
      </w:r>
      <w:r>
        <w:rPr/>
        <w:t>2016.</w:t>
      </w:r>
      <w:r>
        <w:rPr>
          <w:spacing w:val="-2"/>
        </w:rPr>
        <w:t> </w:t>
      </w:r>
      <w:r>
        <w:rPr/>
        <w:t>Under</w:t>
      </w:r>
      <w:r>
        <w:rPr>
          <w:spacing w:val="-2"/>
        </w:rPr>
        <w:t> </w:t>
      </w:r>
      <w:r>
        <w:rPr/>
        <w:t>the</w:t>
      </w:r>
      <w:r>
        <w:rPr>
          <w:spacing w:val="-2"/>
        </w:rPr>
        <w:t> </w:t>
      </w:r>
      <w:r>
        <w:rPr/>
        <w:t>terms</w:t>
      </w:r>
      <w:r>
        <w:rPr>
          <w:spacing w:val="-2"/>
        </w:rPr>
        <w:t> </w:t>
      </w:r>
      <w:r>
        <w:rPr/>
        <w:t>of our credit agreement and lease agreements, we are not prohibited from paying cash dividends unless payment would trigger an event of default or one currently exists. We do not anticipate paying any cash dividends in the foreseeable future.</w:t>
      </w:r>
    </w:p>
    <w:p>
      <w:pPr>
        <w:spacing w:after="0" w:line="249" w:lineRule="auto"/>
        <w:jc w:val="both"/>
        <w:sectPr>
          <w:pgSz w:w="12240" w:h="15840"/>
          <w:pgMar w:header="210" w:footer="579" w:top="420" w:bottom="800" w:left="780" w:right="740"/>
        </w:sectPr>
      </w:pPr>
    </w:p>
    <w:p>
      <w:pPr>
        <w:pStyle w:val="BodyText"/>
        <w:spacing w:before="147"/>
      </w:pPr>
    </w:p>
    <w:p>
      <w:pPr>
        <w:pStyle w:val="Heading2"/>
      </w:pPr>
      <w:r>
        <w:rPr/>
        <w:t>Issuer</w:t>
      </w:r>
      <w:r>
        <w:rPr>
          <w:spacing w:val="-7"/>
        </w:rPr>
        <w:t> </w:t>
      </w:r>
      <w:r>
        <w:rPr/>
        <w:t>Purchases</w:t>
      </w:r>
      <w:r>
        <w:rPr>
          <w:spacing w:val="-2"/>
        </w:rPr>
        <w:t> </w:t>
      </w:r>
      <w:r>
        <w:rPr/>
        <w:t>of</w:t>
      </w:r>
      <w:r>
        <w:rPr>
          <w:spacing w:val="-2"/>
        </w:rPr>
        <w:t> </w:t>
      </w:r>
      <w:r>
        <w:rPr/>
        <w:t>Equity</w:t>
      </w:r>
      <w:r>
        <w:rPr>
          <w:spacing w:val="-3"/>
        </w:rPr>
        <w:t> </w:t>
      </w:r>
      <w:r>
        <w:rPr>
          <w:spacing w:val="-2"/>
        </w:rPr>
        <w:t>Securities</w:t>
      </w:r>
    </w:p>
    <w:p>
      <w:pPr>
        <w:spacing w:line="249" w:lineRule="auto" w:before="190"/>
        <w:ind w:left="220" w:right="0" w:firstLine="540"/>
        <w:jc w:val="left"/>
        <w:rPr>
          <w:i/>
          <w:sz w:val="20"/>
        </w:rPr>
      </w:pPr>
      <w:r>
        <w:rPr>
          <w:sz w:val="20"/>
        </w:rPr>
        <w:t>Below</w:t>
      </w:r>
      <w:r>
        <w:rPr>
          <w:spacing w:val="16"/>
          <w:sz w:val="20"/>
        </w:rPr>
        <w:t> </w:t>
      </w:r>
      <w:r>
        <w:rPr>
          <w:sz w:val="20"/>
        </w:rPr>
        <w:t>is</w:t>
      </w:r>
      <w:r>
        <w:rPr>
          <w:spacing w:val="16"/>
          <w:sz w:val="20"/>
        </w:rPr>
        <w:t> </w:t>
      </w:r>
      <w:r>
        <w:rPr>
          <w:sz w:val="20"/>
        </w:rPr>
        <w:t>a</w:t>
      </w:r>
      <w:r>
        <w:rPr>
          <w:spacing w:val="16"/>
          <w:sz w:val="20"/>
        </w:rPr>
        <w:t> </w:t>
      </w:r>
      <w:r>
        <w:rPr>
          <w:sz w:val="20"/>
        </w:rPr>
        <w:t>summary</w:t>
      </w:r>
      <w:r>
        <w:rPr>
          <w:spacing w:val="16"/>
          <w:sz w:val="20"/>
        </w:rPr>
        <w:t> </w:t>
      </w:r>
      <w:r>
        <w:rPr>
          <w:sz w:val="20"/>
        </w:rPr>
        <w:t>of</w:t>
      </w:r>
      <w:r>
        <w:rPr>
          <w:spacing w:val="16"/>
          <w:sz w:val="20"/>
        </w:rPr>
        <w:t> </w:t>
      </w:r>
      <w:r>
        <w:rPr>
          <w:sz w:val="20"/>
        </w:rPr>
        <w:t>stock</w:t>
      </w:r>
      <w:r>
        <w:rPr>
          <w:spacing w:val="16"/>
          <w:sz w:val="20"/>
        </w:rPr>
        <w:t> </w:t>
      </w:r>
      <w:r>
        <w:rPr>
          <w:sz w:val="20"/>
        </w:rPr>
        <w:t>repurchases</w:t>
      </w:r>
      <w:r>
        <w:rPr>
          <w:spacing w:val="16"/>
          <w:sz w:val="20"/>
        </w:rPr>
        <w:t> </w:t>
      </w:r>
      <w:r>
        <w:rPr>
          <w:sz w:val="20"/>
        </w:rPr>
        <w:t>for</w:t>
      </w:r>
      <w:r>
        <w:rPr>
          <w:spacing w:val="16"/>
          <w:sz w:val="20"/>
        </w:rPr>
        <w:t> </w:t>
      </w:r>
      <w:r>
        <w:rPr>
          <w:sz w:val="20"/>
        </w:rPr>
        <w:t>the</w:t>
      </w:r>
      <w:r>
        <w:rPr>
          <w:spacing w:val="16"/>
          <w:sz w:val="20"/>
        </w:rPr>
        <w:t> </w:t>
      </w:r>
      <w:r>
        <w:rPr>
          <w:sz w:val="20"/>
        </w:rPr>
        <w:t>three</w:t>
      </w:r>
      <w:r>
        <w:rPr>
          <w:spacing w:val="15"/>
          <w:sz w:val="20"/>
        </w:rPr>
        <w:t> </w:t>
      </w:r>
      <w:r>
        <w:rPr>
          <w:sz w:val="20"/>
        </w:rPr>
        <w:t>months</w:t>
      </w:r>
      <w:r>
        <w:rPr>
          <w:spacing w:val="16"/>
          <w:sz w:val="20"/>
        </w:rPr>
        <w:t> </w:t>
      </w:r>
      <w:r>
        <w:rPr>
          <w:sz w:val="20"/>
        </w:rPr>
        <w:t>ended</w:t>
      </w:r>
      <w:r>
        <w:rPr>
          <w:spacing w:val="16"/>
          <w:sz w:val="20"/>
        </w:rPr>
        <w:t> </w:t>
      </w:r>
      <w:r>
        <w:rPr>
          <w:sz w:val="20"/>
        </w:rPr>
        <w:t>December</w:t>
      </w:r>
      <w:r>
        <w:rPr>
          <w:spacing w:val="-2"/>
          <w:sz w:val="20"/>
        </w:rPr>
        <w:t> </w:t>
      </w:r>
      <w:r>
        <w:rPr>
          <w:sz w:val="20"/>
        </w:rPr>
        <w:t>1,</w:t>
      </w:r>
      <w:r>
        <w:rPr>
          <w:spacing w:val="16"/>
          <w:sz w:val="20"/>
        </w:rPr>
        <w:t> </w:t>
      </w:r>
      <w:r>
        <w:rPr>
          <w:sz w:val="20"/>
        </w:rPr>
        <w:t>2017.</w:t>
      </w:r>
      <w:r>
        <w:rPr>
          <w:spacing w:val="16"/>
          <w:sz w:val="20"/>
        </w:rPr>
        <w:t> </w:t>
      </w:r>
      <w:hyperlink w:history="true" w:anchor="_bookmark29">
        <w:r>
          <w:rPr>
            <w:i/>
            <w:sz w:val="20"/>
          </w:rPr>
          <w:t>See</w:t>
        </w:r>
        <w:r>
          <w:rPr>
            <w:i/>
            <w:spacing w:val="16"/>
            <w:sz w:val="20"/>
          </w:rPr>
          <w:t> </w:t>
        </w:r>
        <w:r>
          <w:rPr>
            <w:i/>
            <w:sz w:val="20"/>
          </w:rPr>
          <w:t>Note</w:t>
        </w:r>
        <w:r>
          <w:rPr>
            <w:i/>
            <w:spacing w:val="16"/>
            <w:sz w:val="20"/>
          </w:rPr>
          <w:t> </w:t>
        </w:r>
        <w:r>
          <w:rPr>
            <w:i/>
            <w:sz w:val="20"/>
          </w:rPr>
          <w:t>12</w:t>
        </w:r>
        <w:r>
          <w:rPr>
            <w:i/>
            <w:spacing w:val="16"/>
            <w:sz w:val="20"/>
          </w:rPr>
          <w:t> </w:t>
        </w:r>
        <w:r>
          <w:rPr>
            <w:i/>
            <w:sz w:val="20"/>
          </w:rPr>
          <w:t>of</w:t>
        </w:r>
        <w:r>
          <w:rPr>
            <w:i/>
            <w:spacing w:val="16"/>
            <w:sz w:val="20"/>
          </w:rPr>
          <w:t> </w:t>
        </w:r>
        <w:r>
          <w:rPr>
            <w:i/>
            <w:sz w:val="20"/>
          </w:rPr>
          <w:t>our</w:t>
        </w:r>
        <w:r>
          <w:rPr>
            <w:i/>
            <w:spacing w:val="16"/>
            <w:sz w:val="20"/>
          </w:rPr>
          <w:t> </w:t>
        </w:r>
        <w:r>
          <w:rPr>
            <w:i/>
            <w:sz w:val="20"/>
          </w:rPr>
          <w:t>Notes</w:t>
        </w:r>
        <w:r>
          <w:rPr>
            <w:i/>
            <w:spacing w:val="16"/>
            <w:sz w:val="20"/>
          </w:rPr>
          <w:t> </w:t>
        </w:r>
        <w:r>
          <w:rPr>
            <w:i/>
            <w:sz w:val="20"/>
          </w:rPr>
          <w:t>to</w:t>
        </w:r>
      </w:hyperlink>
      <w:r>
        <w:rPr>
          <w:i/>
          <w:sz w:val="20"/>
        </w:rPr>
        <w:t> </w:t>
      </w:r>
      <w:hyperlink w:history="true" w:anchor="_bookmark29">
        <w:r>
          <w:rPr>
            <w:i/>
            <w:sz w:val="20"/>
          </w:rPr>
          <w:t>Consolidated Financial Statements for information regarding our stock repurchase programs.</w:t>
        </w:r>
      </w:hyperlink>
    </w:p>
    <w:p>
      <w:pPr>
        <w:pStyle w:val="BodyText"/>
        <w:spacing w:before="7"/>
        <w:rPr>
          <w:i/>
          <w:sz w:val="9"/>
        </w:rPr>
      </w:pPr>
    </w:p>
    <w:p>
      <w:pPr>
        <w:spacing w:after="0"/>
        <w:rPr>
          <w:sz w:val="9"/>
        </w:rPr>
        <w:sectPr>
          <w:pgSz w:w="12240" w:h="15840"/>
          <w:pgMar w:header="210" w:footer="579" w:top="420" w:bottom="800" w:left="780" w:right="740"/>
        </w:sect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10"/>
        <w:rPr>
          <w:i/>
          <w:sz w:val="16"/>
        </w:rPr>
      </w:pPr>
    </w:p>
    <w:p>
      <w:pPr>
        <w:spacing w:before="0"/>
        <w:ind w:left="260" w:right="0" w:firstLine="0"/>
        <w:jc w:val="left"/>
        <w:rPr>
          <w:b/>
          <w:sz w:val="16"/>
        </w:rPr>
      </w:pPr>
      <w:r>
        <w:rPr>
          <w:b/>
          <w:spacing w:val="-2"/>
          <w:sz w:val="16"/>
          <w:u w:val="single"/>
        </w:rPr>
        <w:t>Period</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spacing w:before="177"/>
        <w:rPr>
          <w:b/>
          <w:sz w:val="16"/>
        </w:rPr>
      </w:pPr>
    </w:p>
    <w:p>
      <w:pPr>
        <w:spacing w:line="208" w:lineRule="auto" w:before="0"/>
        <w:ind w:left="221" w:right="0" w:firstLine="0"/>
        <w:jc w:val="center"/>
        <w:rPr>
          <w:b/>
          <w:sz w:val="16"/>
        </w:rPr>
      </w:pPr>
      <w:r>
        <w:rPr>
          <w:b/>
          <w:spacing w:val="-2"/>
          <w:sz w:val="16"/>
        </w:rPr>
        <w:t>Total</w:t>
      </w:r>
      <w:r>
        <w:rPr>
          <w:b/>
          <w:spacing w:val="-8"/>
          <w:sz w:val="16"/>
        </w:rPr>
        <w:t> </w:t>
      </w:r>
      <w:r>
        <w:rPr>
          <w:b/>
          <w:spacing w:val="-2"/>
          <w:sz w:val="16"/>
        </w:rPr>
        <w:t>Number</w:t>
      </w:r>
      <w:r>
        <w:rPr>
          <w:b/>
          <w:spacing w:val="-8"/>
          <w:sz w:val="16"/>
        </w:rPr>
        <w:t> </w:t>
      </w:r>
      <w:r>
        <w:rPr>
          <w:b/>
          <w:spacing w:val="-2"/>
          <w:sz w:val="16"/>
        </w:rPr>
        <w:t>of</w:t>
      </w:r>
      <w:r>
        <w:rPr>
          <w:b/>
          <w:spacing w:val="40"/>
          <w:sz w:val="16"/>
        </w:rPr>
        <w:t> </w:t>
      </w:r>
      <w:r>
        <w:rPr>
          <w:b/>
          <w:spacing w:val="-2"/>
          <w:sz w:val="16"/>
        </w:rPr>
        <w:t>Shares</w:t>
      </w:r>
      <w:r>
        <w:rPr>
          <w:b/>
          <w:spacing w:val="40"/>
          <w:sz w:val="16"/>
        </w:rPr>
        <w:t> </w:t>
      </w:r>
      <w:r>
        <w:rPr>
          <w:b/>
          <w:spacing w:val="-2"/>
          <w:sz w:val="16"/>
        </w:rPr>
        <w:t>Repurchased</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spacing w:before="17"/>
        <w:rPr>
          <w:b/>
          <w:sz w:val="16"/>
        </w:rPr>
      </w:pPr>
    </w:p>
    <w:p>
      <w:pPr>
        <w:spacing w:line="208" w:lineRule="auto" w:before="0"/>
        <w:ind w:left="259" w:right="38" w:firstLine="0"/>
        <w:jc w:val="center"/>
        <w:rPr>
          <w:b/>
          <w:sz w:val="16"/>
        </w:rPr>
      </w:pPr>
      <w:r>
        <w:rPr>
          <w:b/>
          <w:spacing w:val="-4"/>
          <w:sz w:val="16"/>
        </w:rPr>
        <w:t>Average</w:t>
      </w:r>
      <w:r>
        <w:rPr>
          <w:b/>
          <w:spacing w:val="40"/>
          <w:sz w:val="16"/>
        </w:rPr>
        <w:t> </w:t>
      </w:r>
      <w:r>
        <w:rPr>
          <w:b/>
          <w:spacing w:val="-2"/>
          <w:sz w:val="16"/>
        </w:rPr>
        <w:t>Price</w:t>
      </w:r>
      <w:r>
        <w:rPr>
          <w:b/>
          <w:spacing w:val="40"/>
          <w:sz w:val="16"/>
        </w:rPr>
        <w:t> </w:t>
      </w:r>
      <w:r>
        <w:rPr>
          <w:b/>
          <w:spacing w:val="-4"/>
          <w:sz w:val="16"/>
        </w:rPr>
        <w:t>Per</w:t>
      </w:r>
      <w:r>
        <w:rPr>
          <w:b/>
          <w:spacing w:val="40"/>
          <w:sz w:val="16"/>
        </w:rPr>
        <w:t> </w:t>
      </w:r>
      <w:r>
        <w:rPr>
          <w:b/>
          <w:spacing w:val="-2"/>
          <w:sz w:val="16"/>
        </w:rPr>
        <w:t>Share</w:t>
      </w:r>
    </w:p>
    <w:p>
      <w:pPr>
        <w:spacing w:line="208" w:lineRule="auto" w:before="113"/>
        <w:ind w:left="260" w:right="38" w:firstLine="1"/>
        <w:jc w:val="center"/>
        <w:rPr>
          <w:b/>
          <w:sz w:val="16"/>
        </w:rPr>
      </w:pPr>
      <w:r>
        <w:rPr/>
        <w:br w:type="column"/>
      </w:r>
      <w:r>
        <w:rPr>
          <w:b/>
          <w:spacing w:val="-2"/>
          <w:sz w:val="16"/>
        </w:rPr>
        <w:t>Total</w:t>
      </w:r>
      <w:r>
        <w:rPr>
          <w:b/>
          <w:spacing w:val="40"/>
          <w:sz w:val="16"/>
        </w:rPr>
        <w:t> </w:t>
      </w:r>
      <w:r>
        <w:rPr>
          <w:b/>
          <w:sz w:val="16"/>
        </w:rPr>
        <w:t>Number</w:t>
      </w:r>
      <w:r>
        <w:rPr>
          <w:b/>
          <w:spacing w:val="-7"/>
          <w:sz w:val="16"/>
        </w:rPr>
        <w:t> </w:t>
      </w:r>
      <w:r>
        <w:rPr>
          <w:b/>
          <w:sz w:val="16"/>
        </w:rPr>
        <w:t>of</w:t>
      </w:r>
      <w:r>
        <w:rPr>
          <w:b/>
          <w:spacing w:val="40"/>
          <w:sz w:val="16"/>
        </w:rPr>
        <w:t> </w:t>
      </w:r>
      <w:r>
        <w:rPr>
          <w:b/>
          <w:spacing w:val="-2"/>
          <w:sz w:val="16"/>
        </w:rPr>
        <w:t>Shares</w:t>
      </w:r>
      <w:r>
        <w:rPr>
          <w:b/>
          <w:spacing w:val="40"/>
          <w:sz w:val="16"/>
        </w:rPr>
        <w:t> </w:t>
      </w:r>
      <w:r>
        <w:rPr>
          <w:b/>
          <w:spacing w:val="-2"/>
          <w:sz w:val="16"/>
        </w:rPr>
        <w:t>Purchased</w:t>
      </w:r>
      <w:r>
        <w:rPr>
          <w:b/>
          <w:spacing w:val="40"/>
          <w:sz w:val="16"/>
        </w:rPr>
        <w:t> </w:t>
      </w:r>
      <w:r>
        <w:rPr>
          <w:b/>
          <w:sz w:val="16"/>
        </w:rPr>
        <w:t>as Part of</w:t>
      </w:r>
      <w:r>
        <w:rPr>
          <w:b/>
          <w:spacing w:val="40"/>
          <w:sz w:val="16"/>
        </w:rPr>
        <w:t> </w:t>
      </w:r>
      <w:r>
        <w:rPr>
          <w:b/>
          <w:spacing w:val="-2"/>
          <w:sz w:val="16"/>
        </w:rPr>
        <w:t>Publicly</w:t>
      </w:r>
      <w:r>
        <w:rPr>
          <w:b/>
          <w:spacing w:val="40"/>
          <w:sz w:val="16"/>
        </w:rPr>
        <w:t> </w:t>
      </w:r>
      <w:r>
        <w:rPr>
          <w:b/>
          <w:spacing w:val="-2"/>
          <w:sz w:val="16"/>
        </w:rPr>
        <w:t>Announced</w:t>
      </w:r>
      <w:r>
        <w:rPr>
          <w:b/>
          <w:spacing w:val="40"/>
          <w:sz w:val="16"/>
        </w:rPr>
        <w:t> </w:t>
      </w:r>
      <w:r>
        <w:rPr>
          <w:b/>
          <w:spacing w:val="-2"/>
          <w:sz w:val="16"/>
        </w:rPr>
        <w:t>Plans</w:t>
      </w:r>
    </w:p>
    <w:p>
      <w:pPr>
        <w:spacing w:line="240" w:lineRule="auto" w:before="92"/>
        <w:rPr>
          <w:b/>
          <w:sz w:val="16"/>
        </w:rPr>
      </w:pPr>
      <w:r>
        <w:rPr/>
        <w:br w:type="column"/>
      </w:r>
      <w:r>
        <w:rPr>
          <w:b/>
          <w:sz w:val="16"/>
        </w:rPr>
      </w:r>
    </w:p>
    <w:p>
      <w:pPr>
        <w:spacing w:line="208" w:lineRule="auto" w:before="0"/>
        <w:ind w:left="162" w:right="728" w:firstLine="0"/>
        <w:jc w:val="center"/>
        <w:rPr>
          <w:b/>
          <w:sz w:val="16"/>
        </w:rPr>
      </w:pPr>
      <w:r>
        <w:rPr>
          <w:b/>
          <w:spacing w:val="-2"/>
          <w:sz w:val="16"/>
        </w:rPr>
        <w:t>Approximate</w:t>
      </w:r>
      <w:r>
        <w:rPr>
          <w:b/>
          <w:spacing w:val="40"/>
          <w:sz w:val="16"/>
        </w:rPr>
        <w:t> </w:t>
      </w:r>
      <w:r>
        <w:rPr>
          <w:b/>
          <w:sz w:val="16"/>
        </w:rPr>
        <w:t>Dollar</w:t>
      </w:r>
      <w:r>
        <w:rPr>
          <w:b/>
          <w:spacing w:val="-10"/>
          <w:sz w:val="16"/>
        </w:rPr>
        <w:t> </w:t>
      </w:r>
      <w:r>
        <w:rPr>
          <w:b/>
          <w:sz w:val="16"/>
        </w:rPr>
        <w:t>Value</w:t>
      </w:r>
      <w:r>
        <w:rPr>
          <w:b/>
          <w:spacing w:val="40"/>
          <w:sz w:val="16"/>
        </w:rPr>
        <w:t> </w:t>
      </w:r>
      <w:r>
        <w:rPr>
          <w:b/>
          <w:sz w:val="16"/>
        </w:rPr>
        <w:t>that</w:t>
      </w:r>
      <w:r>
        <w:rPr>
          <w:b/>
          <w:spacing w:val="-1"/>
          <w:sz w:val="16"/>
        </w:rPr>
        <w:t> </w:t>
      </w:r>
      <w:r>
        <w:rPr>
          <w:b/>
          <w:sz w:val="16"/>
        </w:rPr>
        <w:t>May</w:t>
      </w:r>
    </w:p>
    <w:p>
      <w:pPr>
        <w:spacing w:line="208" w:lineRule="auto" w:before="0"/>
        <w:ind w:left="352" w:right="920" w:hanging="1"/>
        <w:jc w:val="center"/>
        <w:rPr>
          <w:b/>
          <w:sz w:val="16"/>
        </w:rPr>
      </w:pPr>
      <w:r>
        <w:rPr>
          <w:b/>
          <w:sz w:val="16"/>
        </w:rPr>
        <w:t>Yet</w:t>
      </w:r>
      <w:r>
        <w:rPr>
          <w:b/>
          <w:spacing w:val="-1"/>
          <w:sz w:val="16"/>
        </w:rPr>
        <w:t> </w:t>
      </w:r>
      <w:r>
        <w:rPr>
          <w:b/>
          <w:sz w:val="16"/>
        </w:rPr>
        <w:t>be</w:t>
      </w:r>
      <w:r>
        <w:rPr>
          <w:b/>
          <w:spacing w:val="40"/>
          <w:sz w:val="16"/>
        </w:rPr>
        <w:t> </w:t>
      </w:r>
      <w:r>
        <w:rPr>
          <w:b/>
          <w:spacing w:val="-2"/>
          <w:sz w:val="16"/>
        </w:rPr>
        <w:t>Purchased</w:t>
      </w:r>
      <w:r>
        <w:rPr>
          <w:b/>
          <w:spacing w:val="40"/>
          <w:sz w:val="16"/>
        </w:rPr>
        <w:t> </w:t>
      </w:r>
      <w:r>
        <w:rPr>
          <w:b/>
          <w:sz w:val="16"/>
        </w:rPr>
        <w:t>Under</w:t>
      </w:r>
      <w:r>
        <w:rPr>
          <w:b/>
          <w:spacing w:val="-10"/>
          <w:sz w:val="16"/>
        </w:rPr>
        <w:t> </w:t>
      </w:r>
      <w:r>
        <w:rPr>
          <w:b/>
          <w:sz w:val="16"/>
        </w:rPr>
        <w:t>the</w:t>
      </w:r>
      <w:r>
        <w:rPr>
          <w:b/>
          <w:spacing w:val="40"/>
          <w:sz w:val="16"/>
        </w:rPr>
        <w:t> </w:t>
      </w:r>
      <w:r>
        <w:rPr>
          <w:b/>
          <w:spacing w:val="-2"/>
          <w:sz w:val="16"/>
        </w:rPr>
        <w:t>Plan</w:t>
      </w:r>
      <w:r>
        <w:rPr>
          <w:b/>
          <w:spacing w:val="-2"/>
          <w:sz w:val="16"/>
          <w:vertAlign w:val="superscript"/>
        </w:rPr>
        <w:t>(1)</w:t>
      </w:r>
    </w:p>
    <w:p>
      <w:pPr>
        <w:spacing w:after="0" w:line="208" w:lineRule="auto"/>
        <w:jc w:val="center"/>
        <w:rPr>
          <w:sz w:val="16"/>
        </w:rPr>
        <w:sectPr>
          <w:type w:val="continuous"/>
          <w:pgSz w:w="12240" w:h="15840"/>
          <w:pgMar w:header="210" w:footer="579" w:top="680" w:bottom="280" w:left="780" w:right="740"/>
          <w:cols w:num="5" w:equalWidth="0">
            <w:col w:w="754" w:space="3421"/>
            <w:col w:w="1430" w:space="336"/>
            <w:col w:w="857" w:space="510"/>
            <w:col w:w="1083" w:space="337"/>
            <w:col w:w="1992"/>
          </w:cols>
        </w:sectPr>
      </w:pPr>
    </w:p>
    <w:p>
      <w:pPr>
        <w:pStyle w:val="BodyText"/>
        <w:spacing w:before="4"/>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0"/>
        <w:gridCol w:w="1427"/>
        <w:gridCol w:w="4714"/>
      </w:tblGrid>
      <w:tr>
        <w:trPr>
          <w:trHeight w:val="280" w:hRule="atLeast"/>
        </w:trPr>
        <w:tc>
          <w:tcPr>
            <w:tcW w:w="5527" w:type="dxa"/>
            <w:gridSpan w:val="2"/>
          </w:tcPr>
          <w:p>
            <w:pPr>
              <w:pStyle w:val="TableParagraph"/>
              <w:rPr>
                <w:sz w:val="18"/>
              </w:rPr>
            </w:pPr>
          </w:p>
        </w:tc>
        <w:tc>
          <w:tcPr>
            <w:tcW w:w="4714" w:type="dxa"/>
          </w:tcPr>
          <w:p>
            <w:pPr>
              <w:pStyle w:val="TableParagraph"/>
              <w:spacing w:before="39"/>
              <w:ind w:left="168"/>
              <w:rPr>
                <w:sz w:val="16"/>
              </w:rPr>
            </w:pPr>
            <w:r>
              <w:rPr>
                <w:sz w:val="16"/>
              </w:rPr>
              <w:t>(in thousands, except average price per </w:t>
            </w:r>
            <w:r>
              <w:rPr>
                <w:spacing w:val="-2"/>
                <w:sz w:val="16"/>
              </w:rPr>
              <w:t>share)</w:t>
            </w:r>
          </w:p>
        </w:tc>
      </w:tr>
      <w:tr>
        <w:trPr>
          <w:trHeight w:val="280" w:hRule="atLeast"/>
        </w:trPr>
        <w:tc>
          <w:tcPr>
            <w:tcW w:w="4100" w:type="dxa"/>
            <w:shd w:val="clear" w:color="auto" w:fill="CCEDFF"/>
          </w:tcPr>
          <w:p>
            <w:pPr>
              <w:pStyle w:val="TableParagraph"/>
              <w:spacing w:before="2"/>
              <w:ind w:left="50"/>
              <w:rPr>
                <w:sz w:val="20"/>
              </w:rPr>
            </w:pPr>
            <w:r>
              <w:rPr>
                <w:sz w:val="20"/>
              </w:rPr>
              <w:t>Beginning repurchase </w:t>
            </w:r>
            <w:r>
              <w:rPr>
                <w:spacing w:val="-2"/>
                <w:sz w:val="20"/>
              </w:rPr>
              <w:t>authority</w:t>
            </w:r>
          </w:p>
        </w:tc>
        <w:tc>
          <w:tcPr>
            <w:tcW w:w="1427" w:type="dxa"/>
            <w:shd w:val="clear" w:color="auto" w:fill="CCEDFF"/>
          </w:tcPr>
          <w:p>
            <w:pPr>
              <w:pStyle w:val="TableParagraph"/>
              <w:rPr>
                <w:sz w:val="18"/>
              </w:rPr>
            </w:pPr>
          </w:p>
        </w:tc>
        <w:tc>
          <w:tcPr>
            <w:tcW w:w="4714" w:type="dxa"/>
            <w:shd w:val="clear" w:color="auto" w:fill="CCEDFF"/>
          </w:tcPr>
          <w:p>
            <w:pPr>
              <w:pStyle w:val="TableParagraph"/>
              <w:tabs>
                <w:tab w:pos="3535" w:val="left" w:leader="none"/>
              </w:tabs>
              <w:spacing w:before="2"/>
              <w:ind w:left="3062"/>
              <w:rPr>
                <w:sz w:val="20"/>
              </w:rPr>
            </w:pPr>
            <w:r>
              <w:rPr>
                <w:spacing w:val="-10"/>
                <w:sz w:val="20"/>
              </w:rPr>
              <w:t>$</w:t>
            </w:r>
            <w:r>
              <w:rPr>
                <w:sz w:val="20"/>
              </w:rPr>
              <w:tab/>
            </w:r>
            <w:r>
              <w:rPr>
                <w:spacing w:val="-2"/>
                <w:sz w:val="20"/>
              </w:rPr>
              <w:t>2,298,777</w:t>
            </w:r>
          </w:p>
        </w:tc>
      </w:tr>
      <w:tr>
        <w:trPr>
          <w:trHeight w:val="280" w:hRule="atLeast"/>
        </w:trPr>
        <w:tc>
          <w:tcPr>
            <w:tcW w:w="4100" w:type="dxa"/>
          </w:tcPr>
          <w:p>
            <w:pPr>
              <w:pStyle w:val="TableParagraph"/>
              <w:spacing w:before="2"/>
              <w:ind w:left="50"/>
              <w:rPr>
                <w:sz w:val="20"/>
              </w:rPr>
            </w:pPr>
            <w:r>
              <w:rPr>
                <w:sz w:val="20"/>
              </w:rPr>
              <w:t>September 2 — September 29, </w:t>
            </w:r>
            <w:r>
              <w:rPr>
                <w:spacing w:val="-4"/>
                <w:sz w:val="20"/>
              </w:rPr>
              <w:t>2017</w:t>
            </w:r>
          </w:p>
        </w:tc>
        <w:tc>
          <w:tcPr>
            <w:tcW w:w="1427" w:type="dxa"/>
          </w:tcPr>
          <w:p>
            <w:pPr>
              <w:pStyle w:val="TableParagraph"/>
              <w:rPr>
                <w:sz w:val="18"/>
              </w:rPr>
            </w:pPr>
          </w:p>
        </w:tc>
        <w:tc>
          <w:tcPr>
            <w:tcW w:w="4714" w:type="dxa"/>
          </w:tcPr>
          <w:p>
            <w:pPr>
              <w:pStyle w:val="TableParagraph"/>
              <w:rPr>
                <w:sz w:val="18"/>
              </w:rPr>
            </w:pPr>
          </w:p>
        </w:tc>
      </w:tr>
      <w:tr>
        <w:trPr>
          <w:trHeight w:val="280" w:hRule="atLeast"/>
        </w:trPr>
        <w:tc>
          <w:tcPr>
            <w:tcW w:w="4100" w:type="dxa"/>
            <w:shd w:val="clear" w:color="auto" w:fill="CCEDFF"/>
          </w:tcPr>
          <w:p>
            <w:pPr>
              <w:pStyle w:val="TableParagraph"/>
              <w:spacing w:before="2"/>
              <w:ind w:left="170"/>
              <w:rPr>
                <w:sz w:val="20"/>
              </w:rPr>
            </w:pPr>
            <w:r>
              <w:rPr>
                <w:sz w:val="20"/>
              </w:rPr>
              <w:t>Shares</w:t>
            </w:r>
            <w:r>
              <w:rPr>
                <w:spacing w:val="-6"/>
                <w:sz w:val="20"/>
              </w:rPr>
              <w:t> </w:t>
            </w:r>
            <w:r>
              <w:rPr>
                <w:spacing w:val="-2"/>
                <w:sz w:val="20"/>
              </w:rPr>
              <w:t>repurchased</w:t>
            </w:r>
          </w:p>
        </w:tc>
        <w:tc>
          <w:tcPr>
            <w:tcW w:w="1427" w:type="dxa"/>
            <w:shd w:val="clear" w:color="auto" w:fill="CCEDFF"/>
          </w:tcPr>
          <w:p>
            <w:pPr>
              <w:pStyle w:val="TableParagraph"/>
              <w:spacing w:before="2"/>
              <w:ind w:right="103"/>
              <w:jc w:val="right"/>
              <w:rPr>
                <w:sz w:val="20"/>
              </w:rPr>
            </w:pPr>
            <w:r>
              <w:rPr>
                <w:spacing w:val="-5"/>
                <w:sz w:val="20"/>
              </w:rPr>
              <w:t>642</w:t>
            </w:r>
          </w:p>
        </w:tc>
        <w:tc>
          <w:tcPr>
            <w:tcW w:w="4714" w:type="dxa"/>
            <w:shd w:val="clear" w:color="auto" w:fill="CCEDFF"/>
          </w:tcPr>
          <w:p>
            <w:pPr>
              <w:pStyle w:val="TableParagraph"/>
              <w:tabs>
                <w:tab w:pos="825" w:val="left" w:leader="none"/>
                <w:tab w:pos="2555" w:val="left" w:leader="none"/>
                <w:tab w:pos="3062" w:val="left" w:leader="none"/>
                <w:tab w:pos="3718" w:val="left" w:leader="none"/>
              </w:tabs>
              <w:spacing w:before="2"/>
              <w:ind w:left="102"/>
              <w:rPr>
                <w:sz w:val="20"/>
              </w:rPr>
            </w:pPr>
            <w:r>
              <w:rPr>
                <w:spacing w:val="-10"/>
                <w:sz w:val="20"/>
              </w:rPr>
              <w:t>$</w:t>
            </w:r>
            <w:r>
              <w:rPr>
                <w:sz w:val="20"/>
              </w:rPr>
              <w:tab/>
            </w:r>
            <w:r>
              <w:rPr>
                <w:spacing w:val="-2"/>
                <w:sz w:val="20"/>
              </w:rPr>
              <w:t>154.03</w:t>
            </w:r>
            <w:r>
              <w:rPr>
                <w:sz w:val="20"/>
              </w:rPr>
              <w:tab/>
            </w:r>
            <w:r>
              <w:rPr>
                <w:spacing w:val="-5"/>
                <w:sz w:val="20"/>
              </w:rPr>
              <w:t>642</w:t>
            </w:r>
            <w:r>
              <w:rPr>
                <w:sz w:val="20"/>
              </w:rPr>
              <w:tab/>
            </w:r>
            <w:r>
              <w:rPr>
                <w:spacing w:val="-10"/>
                <w:sz w:val="20"/>
              </w:rPr>
              <w:t>$</w:t>
            </w:r>
            <w:r>
              <w:rPr>
                <w:sz w:val="20"/>
              </w:rPr>
              <w:tab/>
            </w:r>
            <w:r>
              <w:rPr>
                <w:spacing w:val="-2"/>
                <w:sz w:val="20"/>
              </w:rPr>
              <w:t>(98,777)</w:t>
            </w:r>
          </w:p>
        </w:tc>
      </w:tr>
    </w:tbl>
    <w:p>
      <w:pPr>
        <w:pStyle w:val="BodyText"/>
        <w:spacing w:before="2"/>
        <w:ind w:left="260"/>
      </w:pPr>
      <w:r>
        <w:rPr/>
        <mc:AlternateContent>
          <mc:Choice Requires="wps">
            <w:drawing>
              <wp:anchor distT="0" distB="0" distL="0" distR="0" allowOverlap="1" layoutInCell="1" locked="0" behindDoc="1" simplePos="0" relativeHeight="487600640">
                <wp:simplePos x="0" y="0"/>
                <wp:positionH relativeFrom="page">
                  <wp:posOffset>628650</wp:posOffset>
                </wp:positionH>
                <wp:positionV relativeFrom="paragraph">
                  <wp:posOffset>177825</wp:posOffset>
                </wp:positionV>
                <wp:extent cx="6502400" cy="177800"/>
                <wp:effectExtent l="0" t="0" r="0" b="0"/>
                <wp:wrapTopAndBottom/>
                <wp:docPr id="90" name="Textbox 90"/>
                <wp:cNvGraphicFramePr>
                  <a:graphicFrameLocks/>
                </wp:cNvGraphicFramePr>
                <a:graphic>
                  <a:graphicData uri="http://schemas.microsoft.com/office/word/2010/wordprocessingShape">
                    <wps:wsp>
                      <wps:cNvPr id="90" name="Textbox 90"/>
                      <wps:cNvSpPr txBox="1"/>
                      <wps:spPr>
                        <a:xfrm>
                          <a:off x="0" y="0"/>
                          <a:ext cx="6502400" cy="177800"/>
                        </a:xfrm>
                        <a:prstGeom prst="rect">
                          <a:avLst/>
                        </a:prstGeom>
                        <a:solidFill>
                          <a:srgbClr val="CCEDFF"/>
                        </a:solidFill>
                      </wps:spPr>
                      <wps:txbx>
                        <w:txbxContent>
                          <w:p>
                            <w:pPr>
                              <w:pStyle w:val="BodyText"/>
                              <w:tabs>
                                <w:tab w:pos="5122" w:val="left" w:leader="none"/>
                                <w:tab w:pos="5629" w:val="left" w:leader="none"/>
                                <w:tab w:pos="6352" w:val="left" w:leader="none"/>
                                <w:tab w:pos="8082" w:val="left" w:leader="none"/>
                                <w:tab w:pos="8589" w:val="left" w:leader="none"/>
                                <w:tab w:pos="9145" w:val="left" w:leader="none"/>
                              </w:tabs>
                              <w:spacing w:before="2"/>
                              <w:ind w:left="170"/>
                              <w:rPr>
                                <w:color w:val="000000"/>
                              </w:rPr>
                            </w:pPr>
                            <w:r>
                              <w:rPr>
                                <w:color w:val="000000"/>
                              </w:rPr>
                              <w:t>Shares</w:t>
                            </w:r>
                            <w:r>
                              <w:rPr>
                                <w:color w:val="000000"/>
                                <w:spacing w:val="-6"/>
                              </w:rPr>
                              <w:t> </w:t>
                            </w:r>
                            <w:r>
                              <w:rPr>
                                <w:color w:val="000000"/>
                                <w:spacing w:val="-2"/>
                              </w:rPr>
                              <w:t>repurchased</w:t>
                            </w:r>
                            <w:r>
                              <w:rPr>
                                <w:color w:val="000000"/>
                              </w:rPr>
                              <w:tab/>
                            </w:r>
                            <w:r>
                              <w:rPr>
                                <w:color w:val="000000"/>
                                <w:spacing w:val="-5"/>
                              </w:rPr>
                              <w:t>662</w:t>
                            </w:r>
                            <w:r>
                              <w:rPr>
                                <w:color w:val="000000"/>
                              </w:rPr>
                              <w:tab/>
                            </w:r>
                            <w:r>
                              <w:rPr>
                                <w:color w:val="000000"/>
                                <w:spacing w:val="-10"/>
                              </w:rPr>
                              <w:t>$</w:t>
                            </w:r>
                            <w:r>
                              <w:rPr>
                                <w:color w:val="000000"/>
                              </w:rPr>
                              <w:tab/>
                            </w:r>
                            <w:r>
                              <w:rPr>
                                <w:color w:val="000000"/>
                                <w:spacing w:val="-2"/>
                              </w:rPr>
                              <w:t>151.04</w:t>
                            </w:r>
                            <w:r>
                              <w:rPr>
                                <w:color w:val="000000"/>
                              </w:rPr>
                              <w:tab/>
                            </w:r>
                            <w:r>
                              <w:rPr>
                                <w:color w:val="000000"/>
                                <w:spacing w:val="-5"/>
                              </w:rPr>
                              <w:t>662</w:t>
                            </w:r>
                            <w:r>
                              <w:rPr>
                                <w:color w:val="000000"/>
                              </w:rPr>
                              <w:tab/>
                            </w:r>
                            <w:r>
                              <w:rPr>
                                <w:color w:val="000000"/>
                                <w:spacing w:val="-10"/>
                              </w:rPr>
                              <w:t>$</w:t>
                            </w:r>
                            <w:r>
                              <w:rPr>
                                <w:color w:val="000000"/>
                              </w:rPr>
                              <w:tab/>
                              <w:t>(100,000)</w:t>
                            </w:r>
                            <w:r>
                              <w:rPr>
                                <w:color w:val="000000"/>
                                <w:spacing w:val="10"/>
                              </w:rPr>
                              <w:t> </w:t>
                            </w:r>
                            <w:r>
                              <w:rPr>
                                <w:color w:val="000000"/>
                                <w:spacing w:val="-5"/>
                                <w:vertAlign w:val="superscript"/>
                              </w:rPr>
                              <w:t>(2)</w:t>
                            </w:r>
                          </w:p>
                        </w:txbxContent>
                      </wps:txbx>
                      <wps:bodyPr wrap="square" lIns="0" tIns="0" rIns="0" bIns="0" rtlCol="0">
                        <a:noAutofit/>
                      </wps:bodyPr>
                    </wps:wsp>
                  </a:graphicData>
                </a:graphic>
              </wp:anchor>
            </w:drawing>
          </mc:Choice>
          <mc:Fallback>
            <w:pict>
              <v:shape style="position:absolute;margin-left:49.5pt;margin-top:14.002002pt;width:512pt;height:14pt;mso-position-horizontal-relative:page;mso-position-vertical-relative:paragraph;z-index:-15715840;mso-wrap-distance-left:0;mso-wrap-distance-right:0" type="#_x0000_t202" id="docshape59" filled="true" fillcolor="#ccedff" stroked="false">
                <v:textbox inset="0,0,0,0">
                  <w:txbxContent>
                    <w:p>
                      <w:pPr>
                        <w:pStyle w:val="BodyText"/>
                        <w:tabs>
                          <w:tab w:pos="5122" w:val="left" w:leader="none"/>
                          <w:tab w:pos="5629" w:val="left" w:leader="none"/>
                          <w:tab w:pos="6352" w:val="left" w:leader="none"/>
                          <w:tab w:pos="8082" w:val="left" w:leader="none"/>
                          <w:tab w:pos="8589" w:val="left" w:leader="none"/>
                          <w:tab w:pos="9145" w:val="left" w:leader="none"/>
                        </w:tabs>
                        <w:spacing w:before="2"/>
                        <w:ind w:left="170"/>
                        <w:rPr>
                          <w:color w:val="000000"/>
                        </w:rPr>
                      </w:pPr>
                      <w:r>
                        <w:rPr>
                          <w:color w:val="000000"/>
                        </w:rPr>
                        <w:t>Shares</w:t>
                      </w:r>
                      <w:r>
                        <w:rPr>
                          <w:color w:val="000000"/>
                          <w:spacing w:val="-6"/>
                        </w:rPr>
                        <w:t> </w:t>
                      </w:r>
                      <w:r>
                        <w:rPr>
                          <w:color w:val="000000"/>
                          <w:spacing w:val="-2"/>
                        </w:rPr>
                        <w:t>repurchased</w:t>
                      </w:r>
                      <w:r>
                        <w:rPr>
                          <w:color w:val="000000"/>
                        </w:rPr>
                        <w:tab/>
                      </w:r>
                      <w:r>
                        <w:rPr>
                          <w:color w:val="000000"/>
                          <w:spacing w:val="-5"/>
                        </w:rPr>
                        <w:t>662</w:t>
                      </w:r>
                      <w:r>
                        <w:rPr>
                          <w:color w:val="000000"/>
                        </w:rPr>
                        <w:tab/>
                      </w:r>
                      <w:r>
                        <w:rPr>
                          <w:color w:val="000000"/>
                          <w:spacing w:val="-10"/>
                        </w:rPr>
                        <w:t>$</w:t>
                      </w:r>
                      <w:r>
                        <w:rPr>
                          <w:color w:val="000000"/>
                        </w:rPr>
                        <w:tab/>
                      </w:r>
                      <w:r>
                        <w:rPr>
                          <w:color w:val="000000"/>
                          <w:spacing w:val="-2"/>
                        </w:rPr>
                        <w:t>151.04</w:t>
                      </w:r>
                      <w:r>
                        <w:rPr>
                          <w:color w:val="000000"/>
                        </w:rPr>
                        <w:tab/>
                      </w:r>
                      <w:r>
                        <w:rPr>
                          <w:color w:val="000000"/>
                          <w:spacing w:val="-5"/>
                        </w:rPr>
                        <w:t>662</w:t>
                      </w:r>
                      <w:r>
                        <w:rPr>
                          <w:color w:val="000000"/>
                        </w:rPr>
                        <w:tab/>
                      </w:r>
                      <w:r>
                        <w:rPr>
                          <w:color w:val="000000"/>
                          <w:spacing w:val="-10"/>
                        </w:rPr>
                        <w:t>$</w:t>
                      </w:r>
                      <w:r>
                        <w:rPr>
                          <w:color w:val="000000"/>
                        </w:rPr>
                        <w:tab/>
                        <w:t>(100,000)</w:t>
                      </w:r>
                      <w:r>
                        <w:rPr>
                          <w:color w:val="000000"/>
                          <w:spacing w:val="10"/>
                        </w:rPr>
                        <w:t> </w:t>
                      </w:r>
                      <w:r>
                        <w:rPr>
                          <w:color w:val="000000"/>
                          <w:spacing w:val="-5"/>
                          <w:vertAlign w:val="superscript"/>
                        </w:rPr>
                        <w:t>(2)</w:t>
                      </w:r>
                    </w:p>
                  </w:txbxContent>
                </v:textbox>
                <v:fill type="solid"/>
                <w10:wrap type="topAndBottom"/>
              </v:shape>
            </w:pict>
          </mc:Fallback>
        </mc:AlternateContent>
      </w:r>
      <w:r>
        <w:rPr/>
        <w:t>September 30 — October 27, </w:t>
      </w:r>
      <w:r>
        <w:rPr>
          <w:spacing w:val="-4"/>
        </w:rPr>
        <w:t>2017</w:t>
      </w:r>
    </w:p>
    <w:p>
      <w:pPr>
        <w:pStyle w:val="BodyText"/>
        <w:spacing w:before="2" w:after="48"/>
        <w:ind w:left="260"/>
      </w:pPr>
      <w:r>
        <w:rPr/>
        <w:t>October 28 — December 1, </w:t>
      </w:r>
      <w:r>
        <w:rPr>
          <w:spacing w:val="-4"/>
        </w:rPr>
        <w:t>2017</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6"/>
        <w:gridCol w:w="2180"/>
        <w:gridCol w:w="1891"/>
        <w:gridCol w:w="1068"/>
        <w:gridCol w:w="1753"/>
      </w:tblGrid>
      <w:tr>
        <w:trPr>
          <w:trHeight w:val="270" w:hRule="atLeast"/>
        </w:trPr>
        <w:tc>
          <w:tcPr>
            <w:tcW w:w="3346" w:type="dxa"/>
            <w:shd w:val="clear" w:color="auto" w:fill="CCEDFF"/>
          </w:tcPr>
          <w:p>
            <w:pPr>
              <w:pStyle w:val="TableParagraph"/>
              <w:spacing w:before="2"/>
              <w:ind w:left="170"/>
              <w:rPr>
                <w:sz w:val="20"/>
              </w:rPr>
            </w:pPr>
            <w:r>
              <w:rPr>
                <w:sz w:val="20"/>
              </w:rPr>
              <w:t>Shares</w:t>
            </w:r>
            <w:r>
              <w:rPr>
                <w:spacing w:val="-6"/>
                <w:sz w:val="20"/>
              </w:rPr>
              <w:t> </w:t>
            </w:r>
            <w:r>
              <w:rPr>
                <w:spacing w:val="-2"/>
                <w:sz w:val="20"/>
              </w:rPr>
              <w:t>repurchased</w:t>
            </w:r>
          </w:p>
        </w:tc>
        <w:tc>
          <w:tcPr>
            <w:tcW w:w="2180" w:type="dxa"/>
            <w:tcBorders>
              <w:bottom w:val="single" w:sz="8" w:space="0" w:color="000000"/>
            </w:tcBorders>
            <w:shd w:val="clear" w:color="auto" w:fill="CCEDFF"/>
          </w:tcPr>
          <w:p>
            <w:pPr>
              <w:pStyle w:val="TableParagraph"/>
              <w:spacing w:before="2"/>
              <w:ind w:right="102"/>
              <w:jc w:val="right"/>
              <w:rPr>
                <w:sz w:val="20"/>
              </w:rPr>
            </w:pPr>
            <w:r>
              <w:rPr>
                <w:spacing w:val="-5"/>
                <w:sz w:val="20"/>
              </w:rPr>
              <w:t>552</w:t>
            </w:r>
          </w:p>
        </w:tc>
        <w:tc>
          <w:tcPr>
            <w:tcW w:w="1891" w:type="dxa"/>
            <w:shd w:val="clear" w:color="auto" w:fill="CCEDFF"/>
          </w:tcPr>
          <w:p>
            <w:pPr>
              <w:pStyle w:val="TableParagraph"/>
              <w:tabs>
                <w:tab w:pos="826" w:val="left" w:leader="none"/>
              </w:tabs>
              <w:spacing w:before="2"/>
              <w:ind w:left="103"/>
              <w:rPr>
                <w:sz w:val="20"/>
              </w:rPr>
            </w:pPr>
            <w:r>
              <w:rPr>
                <w:spacing w:val="-10"/>
                <w:sz w:val="20"/>
              </w:rPr>
              <w:t>$</w:t>
            </w:r>
            <w:r>
              <w:rPr>
                <w:sz w:val="20"/>
              </w:rPr>
              <w:tab/>
            </w:r>
            <w:r>
              <w:rPr>
                <w:spacing w:val="-2"/>
                <w:sz w:val="20"/>
              </w:rPr>
              <w:t>178.36</w:t>
            </w:r>
          </w:p>
        </w:tc>
        <w:tc>
          <w:tcPr>
            <w:tcW w:w="1068" w:type="dxa"/>
            <w:tcBorders>
              <w:bottom w:val="single" w:sz="8" w:space="0" w:color="000000"/>
            </w:tcBorders>
            <w:shd w:val="clear" w:color="auto" w:fill="CCEDFF"/>
          </w:tcPr>
          <w:p>
            <w:pPr>
              <w:pStyle w:val="TableParagraph"/>
              <w:spacing w:before="2"/>
              <w:ind w:right="101"/>
              <w:jc w:val="right"/>
              <w:rPr>
                <w:sz w:val="20"/>
              </w:rPr>
            </w:pPr>
            <w:r>
              <w:rPr>
                <w:spacing w:val="-5"/>
                <w:sz w:val="20"/>
              </w:rPr>
              <w:t>552</w:t>
            </w:r>
          </w:p>
        </w:tc>
        <w:tc>
          <w:tcPr>
            <w:tcW w:w="1753" w:type="dxa"/>
            <w:tcBorders>
              <w:bottom w:val="single" w:sz="8" w:space="0" w:color="000000"/>
            </w:tcBorders>
            <w:shd w:val="clear" w:color="auto" w:fill="CCEDFF"/>
          </w:tcPr>
          <w:p>
            <w:pPr>
              <w:pStyle w:val="TableParagraph"/>
              <w:tabs>
                <w:tab w:pos="760" w:val="left" w:leader="none"/>
              </w:tabs>
              <w:spacing w:before="2"/>
              <w:ind w:left="105"/>
              <w:rPr>
                <w:sz w:val="20"/>
              </w:rPr>
            </w:pPr>
            <w:r>
              <w:rPr>
                <w:spacing w:val="-10"/>
                <w:sz w:val="20"/>
              </w:rPr>
              <w:t>$</w:t>
            </w:r>
            <w:r>
              <w:rPr>
                <w:sz w:val="20"/>
              </w:rPr>
              <w:tab/>
              <w:t>(98,500)</w:t>
            </w:r>
            <w:r>
              <w:rPr>
                <w:spacing w:val="10"/>
                <w:sz w:val="20"/>
              </w:rPr>
              <w:t> </w:t>
            </w:r>
            <w:r>
              <w:rPr>
                <w:spacing w:val="-5"/>
                <w:sz w:val="20"/>
                <w:vertAlign w:val="superscript"/>
              </w:rPr>
              <w:t>(2)</w:t>
            </w:r>
          </w:p>
        </w:tc>
      </w:tr>
      <w:tr>
        <w:trPr>
          <w:trHeight w:val="300" w:hRule="atLeast"/>
        </w:trPr>
        <w:tc>
          <w:tcPr>
            <w:tcW w:w="3346" w:type="dxa"/>
          </w:tcPr>
          <w:p>
            <w:pPr>
              <w:pStyle w:val="TableParagraph"/>
              <w:spacing w:line="222" w:lineRule="exact"/>
              <w:ind w:left="50"/>
              <w:rPr>
                <w:sz w:val="20"/>
              </w:rPr>
            </w:pPr>
            <w:r>
              <w:rPr>
                <w:spacing w:val="-2"/>
                <w:sz w:val="20"/>
              </w:rPr>
              <w:t>Total</w:t>
            </w:r>
          </w:p>
        </w:tc>
        <w:tc>
          <w:tcPr>
            <w:tcW w:w="2180" w:type="dxa"/>
            <w:tcBorders>
              <w:top w:val="single" w:sz="8" w:space="0" w:color="000000"/>
            </w:tcBorders>
          </w:tcPr>
          <w:p>
            <w:pPr>
              <w:pStyle w:val="TableParagraph"/>
              <w:spacing w:line="222" w:lineRule="exact"/>
              <w:ind w:right="102"/>
              <w:jc w:val="right"/>
              <w:rPr>
                <w:sz w:val="20"/>
              </w:rPr>
            </w:pPr>
            <w:r>
              <w:rPr/>
              <mc:AlternateContent>
                <mc:Choice Requires="wps">
                  <w:drawing>
                    <wp:anchor distT="0" distB="0" distL="0" distR="0" allowOverlap="1" layoutInCell="1" locked="0" behindDoc="1" simplePos="0" relativeHeight="479799808">
                      <wp:simplePos x="0" y="0"/>
                      <wp:positionH relativeFrom="column">
                        <wp:posOffset>478750</wp:posOffset>
                      </wp:positionH>
                      <wp:positionV relativeFrom="paragraph">
                        <wp:posOffset>152400</wp:posOffset>
                      </wp:positionV>
                      <wp:extent cx="889000" cy="3810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889000" cy="38100"/>
                                <a:chExt cx="889000" cy="38100"/>
                              </a:xfrm>
                            </wpg:grpSpPr>
                            <wps:wsp>
                              <wps:cNvPr id="92" name="Graphic 92"/>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696892pt;margin-top:12pt;width:70pt;height:3pt;mso-position-horizontal-relative:column;mso-position-vertical-relative:paragraph;z-index:-23516672" id="docshapegroup60" coordorigin="754,240" coordsize="1400,60">
                      <v:shape style="position:absolute;left:753;top:250;width:1400;height:40" id="docshape61" coordorigin="754,250" coordsize="1400,40" path="m754,250l2154,250m754,290l2154,290e" filled="false" stroked="true" strokeweight="1pt" strokecolor="#000000">
                        <v:path arrowok="t"/>
                        <v:stroke dashstyle="solid"/>
                      </v:shape>
                      <w10:wrap type="none"/>
                    </v:group>
                  </w:pict>
                </mc:Fallback>
              </mc:AlternateContent>
            </w:r>
            <w:r>
              <w:rPr>
                <w:spacing w:val="-2"/>
                <w:sz w:val="20"/>
              </w:rPr>
              <w:t>1,856</w:t>
            </w:r>
          </w:p>
        </w:tc>
        <w:tc>
          <w:tcPr>
            <w:tcW w:w="1891" w:type="dxa"/>
          </w:tcPr>
          <w:p>
            <w:pPr>
              <w:pStyle w:val="TableParagraph"/>
              <w:rPr>
                <w:sz w:val="18"/>
              </w:rPr>
            </w:pPr>
          </w:p>
        </w:tc>
        <w:tc>
          <w:tcPr>
            <w:tcW w:w="1068" w:type="dxa"/>
            <w:tcBorders>
              <w:top w:val="single" w:sz="8" w:space="0" w:color="000000"/>
            </w:tcBorders>
          </w:tcPr>
          <w:p>
            <w:pPr>
              <w:pStyle w:val="TableParagraph"/>
              <w:spacing w:line="222" w:lineRule="exact"/>
              <w:ind w:right="101"/>
              <w:jc w:val="right"/>
              <w:rPr>
                <w:sz w:val="20"/>
              </w:rPr>
            </w:pPr>
            <w:r>
              <w:rPr/>
              <mc:AlternateContent>
                <mc:Choice Requires="wps">
                  <w:drawing>
                    <wp:anchor distT="0" distB="0" distL="0" distR="0" allowOverlap="1" layoutInCell="1" locked="0" behindDoc="1" simplePos="0" relativeHeight="479800320">
                      <wp:simplePos x="0" y="0"/>
                      <wp:positionH relativeFrom="column">
                        <wp:posOffset>-227330</wp:posOffset>
                      </wp:positionH>
                      <wp:positionV relativeFrom="paragraph">
                        <wp:posOffset>152400</wp:posOffset>
                      </wp:positionV>
                      <wp:extent cx="889000" cy="3810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889000" cy="38100"/>
                                <a:chExt cx="889000" cy="38100"/>
                              </a:xfrm>
                            </wpg:grpSpPr>
                            <wps:wsp>
                              <wps:cNvPr id="94" name="Graphic 94"/>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00002pt;margin-top:12pt;width:70pt;height:3pt;mso-position-horizontal-relative:column;mso-position-vertical-relative:paragraph;z-index:-23516160" id="docshapegroup62" coordorigin="-358,240" coordsize="1400,60">
                      <v:shape style="position:absolute;left:-358;top:250;width:1400;height:40" id="docshape63" coordorigin="-358,250" coordsize="1400,40" path="m-358,250l1042,250m-358,290l1042,290e" filled="false" stroked="true" strokeweight="1pt" strokecolor="#000000">
                        <v:path arrowok="t"/>
                        <v:stroke dashstyle="solid"/>
                      </v:shape>
                      <w10:wrap type="none"/>
                    </v:group>
                  </w:pict>
                </mc:Fallback>
              </mc:AlternateContent>
            </w:r>
            <w:r>
              <w:rPr>
                <w:spacing w:val="-2"/>
                <w:sz w:val="20"/>
              </w:rPr>
              <w:t>1,856</w:t>
            </w:r>
          </w:p>
        </w:tc>
        <w:tc>
          <w:tcPr>
            <w:tcW w:w="1753" w:type="dxa"/>
            <w:tcBorders>
              <w:top w:val="single" w:sz="8" w:space="0" w:color="000000"/>
            </w:tcBorders>
          </w:tcPr>
          <w:p>
            <w:pPr>
              <w:pStyle w:val="TableParagraph"/>
              <w:tabs>
                <w:tab w:pos="577" w:val="left" w:leader="none"/>
              </w:tabs>
              <w:spacing w:line="222" w:lineRule="exact"/>
              <w:ind w:left="105"/>
              <w:rPr>
                <w:sz w:val="20"/>
              </w:rPr>
            </w:pPr>
            <w:r>
              <w:rPr/>
              <mc:AlternateContent>
                <mc:Choice Requires="wps">
                  <w:drawing>
                    <wp:anchor distT="0" distB="0" distL="0" distR="0" allowOverlap="1" layoutInCell="1" locked="0" behindDoc="1" simplePos="0" relativeHeight="479800832">
                      <wp:simplePos x="0" y="0"/>
                      <wp:positionH relativeFrom="column">
                        <wp:posOffset>33972</wp:posOffset>
                      </wp:positionH>
                      <wp:positionV relativeFrom="paragraph">
                        <wp:posOffset>152400</wp:posOffset>
                      </wp:positionV>
                      <wp:extent cx="889000" cy="3810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889000" cy="38100"/>
                                <a:chExt cx="889000" cy="38100"/>
                              </a:xfrm>
                            </wpg:grpSpPr>
                            <wps:wsp>
                              <wps:cNvPr id="96" name="Graphic 96"/>
                              <wps:cNvSpPr/>
                              <wps:spPr>
                                <a:xfrm>
                                  <a:off x="0" y="635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4999pt;margin-top:12pt;width:70pt;height:3pt;mso-position-horizontal-relative:column;mso-position-vertical-relative:paragraph;z-index:-23515648" id="docshapegroup64" coordorigin="53,240" coordsize="1400,60">
                      <v:shape style="position:absolute;left:53;top:250;width:1400;height:40" id="docshape65" coordorigin="53,250" coordsize="1400,40" path="m53,250l1453,250m53,290l1453,29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2,001,500</w:t>
            </w:r>
          </w:p>
        </w:tc>
      </w:tr>
    </w:tbl>
    <w:p>
      <w:pPr>
        <w:pStyle w:val="BodyText"/>
        <w:spacing w:before="120"/>
      </w:pPr>
      <w:r>
        <w:rPr/>
        <mc:AlternateContent>
          <mc:Choice Requires="wps">
            <w:drawing>
              <wp:anchor distT="0" distB="0" distL="0" distR="0" allowOverlap="1" layoutInCell="1" locked="0" behindDoc="1" simplePos="0" relativeHeight="487601152">
                <wp:simplePos x="0" y="0"/>
                <wp:positionH relativeFrom="page">
                  <wp:posOffset>635000</wp:posOffset>
                </wp:positionH>
                <wp:positionV relativeFrom="paragraph">
                  <wp:posOffset>238048</wp:posOffset>
                </wp:positionV>
                <wp:extent cx="1692275" cy="12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8.744001pt;width:133.25pt;height:.1pt;mso-position-horizontal-relative:page;mso-position-vertical-relative:paragraph;z-index:-15715328;mso-wrap-distance-left:0;mso-wrap-distance-right:0" id="docshape66" coordorigin="1000,375" coordsize="2665,0" path="m1000,375l3665,375e" filled="false" stroked="true" strokeweight=".26pt" strokecolor="#000000">
                <v:path arrowok="t"/>
                <v:stroke dashstyle="solid"/>
                <w10:wrap type="topAndBottom"/>
              </v:shape>
            </w:pict>
          </mc:Fallback>
        </mc:AlternateContent>
      </w:r>
    </w:p>
    <w:p>
      <w:pPr>
        <w:pStyle w:val="BodyText"/>
        <w:spacing w:line="249" w:lineRule="auto" w:before="116"/>
        <w:ind w:left="580" w:right="257" w:hanging="360"/>
        <w:jc w:val="both"/>
      </w:pPr>
      <w:r>
        <w:rPr>
          <w:vertAlign w:val="superscript"/>
        </w:rPr>
        <w:t>(1)</w:t>
      </w:r>
      <w:r>
        <w:rPr>
          <w:spacing w:val="40"/>
          <w:vertAlign w:val="baseline"/>
        </w:rPr>
        <w:t>  </w:t>
      </w:r>
      <w:r>
        <w:rPr>
          <w:vertAlign w:val="baseline"/>
        </w:rPr>
        <w:t>In</w:t>
      </w:r>
      <w:r>
        <w:rPr>
          <w:spacing w:val="-2"/>
          <w:vertAlign w:val="baseline"/>
        </w:rPr>
        <w:t> </w:t>
      </w:r>
      <w:r>
        <w:rPr>
          <w:vertAlign w:val="baseline"/>
        </w:rPr>
        <w:t>January</w:t>
      </w:r>
      <w:r>
        <w:rPr>
          <w:spacing w:val="-2"/>
          <w:vertAlign w:val="baseline"/>
        </w:rPr>
        <w:t> </w:t>
      </w:r>
      <w:r>
        <w:rPr>
          <w:vertAlign w:val="baseline"/>
        </w:rPr>
        <w:t>2017,</w:t>
      </w:r>
      <w:r>
        <w:rPr>
          <w:spacing w:val="-2"/>
          <w:vertAlign w:val="baseline"/>
        </w:rPr>
        <w:t> </w:t>
      </w:r>
      <w:r>
        <w:rPr>
          <w:vertAlign w:val="baseline"/>
        </w:rPr>
        <w:t>the</w:t>
      </w:r>
      <w:r>
        <w:rPr>
          <w:spacing w:val="-2"/>
          <w:vertAlign w:val="baseline"/>
        </w:rPr>
        <w:t> </w:t>
      </w:r>
      <w:r>
        <w:rPr>
          <w:vertAlign w:val="baseline"/>
        </w:rPr>
        <w:t>Board</w:t>
      </w:r>
      <w:r>
        <w:rPr>
          <w:spacing w:val="-2"/>
          <w:vertAlign w:val="baseline"/>
        </w:rPr>
        <w:t> </w:t>
      </w:r>
      <w:r>
        <w:rPr>
          <w:vertAlign w:val="baseline"/>
        </w:rPr>
        <w:t>of</w:t>
      </w:r>
      <w:r>
        <w:rPr>
          <w:spacing w:val="-2"/>
          <w:vertAlign w:val="baseline"/>
        </w:rPr>
        <w:t> </w:t>
      </w:r>
      <w:r>
        <w:rPr>
          <w:vertAlign w:val="baseline"/>
        </w:rPr>
        <w:t>Directors</w:t>
      </w:r>
      <w:r>
        <w:rPr>
          <w:spacing w:val="-2"/>
          <w:vertAlign w:val="baseline"/>
        </w:rPr>
        <w:t> </w:t>
      </w:r>
      <w:r>
        <w:rPr>
          <w:vertAlign w:val="baseline"/>
        </w:rPr>
        <w:t>granted</w:t>
      </w:r>
      <w:r>
        <w:rPr>
          <w:spacing w:val="-2"/>
          <w:vertAlign w:val="baseline"/>
        </w:rPr>
        <w:t> </w:t>
      </w:r>
      <w:r>
        <w:rPr>
          <w:vertAlign w:val="baseline"/>
        </w:rPr>
        <w:t>authority</w:t>
      </w:r>
      <w:r>
        <w:rPr>
          <w:spacing w:val="-2"/>
          <w:vertAlign w:val="baseline"/>
        </w:rPr>
        <w:t> </w:t>
      </w:r>
      <w:r>
        <w:rPr>
          <w:vertAlign w:val="baseline"/>
        </w:rPr>
        <w:t>to</w:t>
      </w:r>
      <w:r>
        <w:rPr>
          <w:spacing w:val="-2"/>
          <w:vertAlign w:val="baseline"/>
        </w:rPr>
        <w:t> </w:t>
      </w:r>
      <w:r>
        <w:rPr>
          <w:vertAlign w:val="baseline"/>
        </w:rPr>
        <w:t>repurchase</w:t>
      </w:r>
      <w:r>
        <w:rPr>
          <w:spacing w:val="-2"/>
          <w:vertAlign w:val="baseline"/>
        </w:rPr>
        <w:t> </w:t>
      </w:r>
      <w:r>
        <w:rPr>
          <w:vertAlign w:val="baseline"/>
        </w:rPr>
        <w:t>up</w:t>
      </w:r>
      <w:r>
        <w:rPr>
          <w:spacing w:val="-2"/>
          <w:vertAlign w:val="baseline"/>
        </w:rPr>
        <w:t> </w:t>
      </w:r>
      <w:r>
        <w:rPr>
          <w:vertAlign w:val="baseline"/>
        </w:rPr>
        <w:t>to</w:t>
      </w:r>
      <w:r>
        <w:rPr>
          <w:spacing w:val="-2"/>
          <w:vertAlign w:val="baseline"/>
        </w:rPr>
        <w:t> </w:t>
      </w:r>
      <w:r>
        <w:rPr>
          <w:vertAlign w:val="baseline"/>
        </w:rPr>
        <w:t>$2.5</w:t>
      </w:r>
      <w:r>
        <w:rPr>
          <w:spacing w:val="-2"/>
          <w:vertAlign w:val="baseline"/>
        </w:rPr>
        <w:t> </w:t>
      </w:r>
      <w:r>
        <w:rPr>
          <w:vertAlign w:val="baseline"/>
        </w:rPr>
        <w:t>billion</w:t>
      </w:r>
      <w:r>
        <w:rPr>
          <w:spacing w:val="-2"/>
          <w:vertAlign w:val="baseline"/>
        </w:rPr>
        <w:t> </w:t>
      </w:r>
      <w:r>
        <w:rPr>
          <w:vertAlign w:val="baseline"/>
        </w:rPr>
        <w:t>in</w:t>
      </w:r>
      <w:r>
        <w:rPr>
          <w:spacing w:val="-2"/>
          <w:vertAlign w:val="baseline"/>
        </w:rPr>
        <w:t> </w:t>
      </w:r>
      <w:r>
        <w:rPr>
          <w:vertAlign w:val="baseline"/>
        </w:rPr>
        <w:t>common</w:t>
      </w:r>
      <w:r>
        <w:rPr>
          <w:spacing w:val="-2"/>
          <w:vertAlign w:val="baseline"/>
        </w:rPr>
        <w:t> </w:t>
      </w:r>
      <w:r>
        <w:rPr>
          <w:vertAlign w:val="baseline"/>
        </w:rPr>
        <w:t>stock</w:t>
      </w:r>
      <w:r>
        <w:rPr>
          <w:spacing w:val="-2"/>
          <w:vertAlign w:val="baseline"/>
        </w:rPr>
        <w:t> </w:t>
      </w:r>
      <w:r>
        <w:rPr>
          <w:vertAlign w:val="baseline"/>
        </w:rPr>
        <w:t>through</w:t>
      </w:r>
      <w:r>
        <w:rPr>
          <w:spacing w:val="-2"/>
          <w:vertAlign w:val="baseline"/>
        </w:rPr>
        <w:t> </w:t>
      </w:r>
      <w:r>
        <w:rPr>
          <w:vertAlign w:val="baseline"/>
        </w:rPr>
        <w:t>the</w:t>
      </w:r>
      <w:r>
        <w:rPr>
          <w:spacing w:val="-2"/>
          <w:vertAlign w:val="baseline"/>
        </w:rPr>
        <w:t> </w:t>
      </w:r>
      <w:r>
        <w:rPr>
          <w:vertAlign w:val="baseline"/>
        </w:rPr>
        <w:t>end of fiscal 2019.</w:t>
      </w:r>
    </w:p>
    <w:p>
      <w:pPr>
        <w:pStyle w:val="BodyText"/>
        <w:spacing w:line="249" w:lineRule="auto" w:before="181"/>
        <w:ind w:left="580" w:right="257" w:hanging="360"/>
        <w:jc w:val="both"/>
      </w:pPr>
      <w:r>
        <w:rPr>
          <w:vertAlign w:val="superscript"/>
        </w:rPr>
        <w:t>(2)</w:t>
      </w:r>
      <w:r>
        <w:rPr>
          <w:spacing w:val="80"/>
          <w:w w:val="150"/>
          <w:vertAlign w:val="baseline"/>
        </w:rPr>
        <w:t> </w:t>
      </w:r>
      <w:r>
        <w:rPr>
          <w:vertAlign w:val="baseline"/>
        </w:rPr>
        <w:t>In</w:t>
      </w:r>
      <w:r>
        <w:rPr>
          <w:spacing w:val="-6"/>
          <w:vertAlign w:val="baseline"/>
        </w:rPr>
        <w:t> </w:t>
      </w:r>
      <w:r>
        <w:rPr>
          <w:vertAlign w:val="baseline"/>
        </w:rPr>
        <w:t>September</w:t>
      </w:r>
      <w:r>
        <w:rPr>
          <w:spacing w:val="-6"/>
          <w:vertAlign w:val="baseline"/>
        </w:rPr>
        <w:t> </w:t>
      </w:r>
      <w:r>
        <w:rPr>
          <w:vertAlign w:val="baseline"/>
        </w:rPr>
        <w:t>2017,</w:t>
      </w:r>
      <w:r>
        <w:rPr>
          <w:spacing w:val="-6"/>
          <w:vertAlign w:val="baseline"/>
        </w:rPr>
        <w:t> </w:t>
      </w:r>
      <w:r>
        <w:rPr>
          <w:vertAlign w:val="baseline"/>
        </w:rPr>
        <w:t>we</w:t>
      </w:r>
      <w:r>
        <w:rPr>
          <w:spacing w:val="-6"/>
          <w:vertAlign w:val="baseline"/>
        </w:rPr>
        <w:t> </w:t>
      </w:r>
      <w:r>
        <w:rPr>
          <w:vertAlign w:val="baseline"/>
        </w:rPr>
        <w:t>entered</w:t>
      </w:r>
      <w:r>
        <w:rPr>
          <w:spacing w:val="-6"/>
          <w:vertAlign w:val="baseline"/>
        </w:rPr>
        <w:t> </w:t>
      </w:r>
      <w:r>
        <w:rPr>
          <w:vertAlign w:val="baseline"/>
        </w:rPr>
        <w:t>into</w:t>
      </w:r>
      <w:r>
        <w:rPr>
          <w:spacing w:val="-6"/>
          <w:vertAlign w:val="baseline"/>
        </w:rPr>
        <w:t> </w:t>
      </w:r>
      <w:r>
        <w:rPr>
          <w:vertAlign w:val="baseline"/>
        </w:rPr>
        <w:t>a</w:t>
      </w:r>
      <w:r>
        <w:rPr>
          <w:spacing w:val="-6"/>
          <w:vertAlign w:val="baseline"/>
        </w:rPr>
        <w:t> </w:t>
      </w:r>
      <w:r>
        <w:rPr>
          <w:vertAlign w:val="baseline"/>
        </w:rPr>
        <w:t>structured</w:t>
      </w:r>
      <w:r>
        <w:rPr>
          <w:spacing w:val="-6"/>
          <w:vertAlign w:val="baseline"/>
        </w:rPr>
        <w:t> </w:t>
      </w:r>
      <w:r>
        <w:rPr>
          <w:vertAlign w:val="baseline"/>
        </w:rPr>
        <w:t>stock</w:t>
      </w:r>
      <w:r>
        <w:rPr>
          <w:spacing w:val="-6"/>
          <w:vertAlign w:val="baseline"/>
        </w:rPr>
        <w:t> </w:t>
      </w:r>
      <w:r>
        <w:rPr>
          <w:vertAlign w:val="baseline"/>
        </w:rPr>
        <w:t>repurchase</w:t>
      </w:r>
      <w:r>
        <w:rPr>
          <w:spacing w:val="-6"/>
          <w:vertAlign w:val="baseline"/>
        </w:rPr>
        <w:t> </w:t>
      </w:r>
      <w:r>
        <w:rPr>
          <w:vertAlign w:val="baseline"/>
        </w:rPr>
        <w:t>agreement</w:t>
      </w:r>
      <w:r>
        <w:rPr>
          <w:spacing w:val="-6"/>
          <w:vertAlign w:val="baseline"/>
        </w:rPr>
        <w:t> </w:t>
      </w:r>
      <w:r>
        <w:rPr>
          <w:vertAlign w:val="baseline"/>
        </w:rPr>
        <w:t>with</w:t>
      </w:r>
      <w:r>
        <w:rPr>
          <w:spacing w:val="-6"/>
          <w:vertAlign w:val="baseline"/>
        </w:rPr>
        <w:t> </w:t>
      </w:r>
      <w:r>
        <w:rPr>
          <w:vertAlign w:val="baseline"/>
        </w:rPr>
        <w:t>a</w:t>
      </w:r>
      <w:r>
        <w:rPr>
          <w:spacing w:val="-6"/>
          <w:vertAlign w:val="baseline"/>
        </w:rPr>
        <w:t> </w:t>
      </w:r>
      <w:r>
        <w:rPr>
          <w:vertAlign w:val="baseline"/>
        </w:rPr>
        <w:t>large</w:t>
      </w:r>
      <w:r>
        <w:rPr>
          <w:spacing w:val="-6"/>
          <w:vertAlign w:val="baseline"/>
        </w:rPr>
        <w:t> </w:t>
      </w:r>
      <w:r>
        <w:rPr>
          <w:vertAlign w:val="baseline"/>
        </w:rPr>
        <w:t>financial</w:t>
      </w:r>
      <w:r>
        <w:rPr>
          <w:spacing w:val="-6"/>
          <w:vertAlign w:val="baseline"/>
        </w:rPr>
        <w:t> </w:t>
      </w:r>
      <w:r>
        <w:rPr>
          <w:vertAlign w:val="baseline"/>
        </w:rPr>
        <w:t>institution</w:t>
      </w:r>
      <w:r>
        <w:rPr>
          <w:spacing w:val="-6"/>
          <w:vertAlign w:val="baseline"/>
        </w:rPr>
        <w:t> </w:t>
      </w:r>
      <w:r>
        <w:rPr>
          <w:vertAlign w:val="baseline"/>
        </w:rPr>
        <w:t>whereupon</w:t>
      </w:r>
      <w:r>
        <w:rPr>
          <w:spacing w:val="-6"/>
          <w:vertAlign w:val="baseline"/>
        </w:rPr>
        <w:t> </w:t>
      </w:r>
      <w:r>
        <w:rPr>
          <w:vertAlign w:val="baseline"/>
        </w:rPr>
        <w:t>we provided</w:t>
      </w:r>
      <w:r>
        <w:rPr>
          <w:spacing w:val="-13"/>
          <w:vertAlign w:val="baseline"/>
        </w:rPr>
        <w:t> </w:t>
      </w:r>
      <w:r>
        <w:rPr>
          <w:vertAlign w:val="baseline"/>
        </w:rPr>
        <w:t>them</w:t>
      </w:r>
      <w:r>
        <w:rPr>
          <w:spacing w:val="-12"/>
          <w:vertAlign w:val="baseline"/>
        </w:rPr>
        <w:t> </w:t>
      </w:r>
      <w:r>
        <w:rPr>
          <w:vertAlign w:val="baseline"/>
        </w:rPr>
        <w:t>with</w:t>
      </w:r>
      <w:r>
        <w:rPr>
          <w:spacing w:val="-13"/>
          <w:vertAlign w:val="baseline"/>
        </w:rPr>
        <w:t> </w:t>
      </w:r>
      <w:r>
        <w:rPr>
          <w:vertAlign w:val="baseline"/>
        </w:rPr>
        <w:t>a</w:t>
      </w:r>
      <w:r>
        <w:rPr>
          <w:spacing w:val="-12"/>
          <w:vertAlign w:val="baseline"/>
        </w:rPr>
        <w:t> </w:t>
      </w:r>
      <w:r>
        <w:rPr>
          <w:vertAlign w:val="baseline"/>
        </w:rPr>
        <w:t>prepayment</w:t>
      </w:r>
      <w:r>
        <w:rPr>
          <w:spacing w:val="-13"/>
          <w:vertAlign w:val="baseline"/>
        </w:rPr>
        <w:t> </w:t>
      </w:r>
      <w:r>
        <w:rPr>
          <w:vertAlign w:val="baseline"/>
        </w:rPr>
        <w:t>of</w:t>
      </w:r>
      <w:r>
        <w:rPr>
          <w:spacing w:val="-11"/>
          <w:vertAlign w:val="baseline"/>
        </w:rPr>
        <w:t> </w:t>
      </w:r>
      <w:r>
        <w:rPr>
          <w:vertAlign w:val="baseline"/>
        </w:rPr>
        <w:t>$300</w:t>
      </w:r>
      <w:r>
        <w:rPr>
          <w:spacing w:val="-11"/>
          <w:vertAlign w:val="baseline"/>
        </w:rPr>
        <w:t> </w:t>
      </w:r>
      <w:r>
        <w:rPr>
          <w:vertAlign w:val="baseline"/>
        </w:rPr>
        <w:t>million.</w:t>
      </w:r>
      <w:r>
        <w:rPr>
          <w:spacing w:val="-13"/>
          <w:vertAlign w:val="baseline"/>
        </w:rPr>
        <w:t> </w:t>
      </w:r>
      <w:r>
        <w:rPr>
          <w:vertAlign w:val="baseline"/>
        </w:rPr>
        <w:t>As</w:t>
      </w:r>
      <w:r>
        <w:rPr>
          <w:spacing w:val="-12"/>
          <w:vertAlign w:val="baseline"/>
        </w:rPr>
        <w:t> </w:t>
      </w:r>
      <w:r>
        <w:rPr>
          <w:vertAlign w:val="baseline"/>
        </w:rPr>
        <w:t>of</w:t>
      </w:r>
      <w:r>
        <w:rPr>
          <w:spacing w:val="-11"/>
          <w:vertAlign w:val="baseline"/>
        </w:rPr>
        <w:t> </w:t>
      </w:r>
      <w:r>
        <w:rPr>
          <w:vertAlign w:val="baseline"/>
        </w:rPr>
        <w:t>December</w:t>
      </w:r>
      <w:r>
        <w:rPr>
          <w:spacing w:val="-3"/>
          <w:vertAlign w:val="baseline"/>
        </w:rPr>
        <w:t> </w:t>
      </w:r>
      <w:r>
        <w:rPr>
          <w:vertAlign w:val="baseline"/>
        </w:rPr>
        <w:t>1,</w:t>
      </w:r>
      <w:r>
        <w:rPr>
          <w:spacing w:val="-11"/>
          <w:vertAlign w:val="baseline"/>
        </w:rPr>
        <w:t> </w:t>
      </w:r>
      <w:r>
        <w:rPr>
          <w:vertAlign w:val="baseline"/>
        </w:rPr>
        <w:t>2017,</w:t>
      </w:r>
      <w:r>
        <w:rPr>
          <w:spacing w:val="-12"/>
          <w:vertAlign w:val="baseline"/>
        </w:rPr>
        <w:t> </w:t>
      </w:r>
      <w:r>
        <w:rPr>
          <w:vertAlign w:val="baseline"/>
        </w:rPr>
        <w:t>approximately</w:t>
      </w:r>
      <w:r>
        <w:rPr>
          <w:spacing w:val="-11"/>
          <w:vertAlign w:val="baseline"/>
        </w:rPr>
        <w:t> </w:t>
      </w:r>
      <w:r>
        <w:rPr>
          <w:vertAlign w:val="baseline"/>
        </w:rPr>
        <w:t>$101.5</w:t>
      </w:r>
      <w:r>
        <w:rPr>
          <w:spacing w:val="-11"/>
          <w:vertAlign w:val="baseline"/>
        </w:rPr>
        <w:t> </w:t>
      </w:r>
      <w:r>
        <w:rPr>
          <w:vertAlign w:val="baseline"/>
        </w:rPr>
        <w:t>million</w:t>
      </w:r>
      <w:r>
        <w:rPr>
          <w:spacing w:val="-12"/>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prepayment remained under this agreement.</w:t>
      </w:r>
    </w:p>
    <w:p>
      <w:pPr>
        <w:spacing w:after="0" w:line="249" w:lineRule="auto"/>
        <w:jc w:val="both"/>
        <w:sectPr>
          <w:type w:val="continuous"/>
          <w:pgSz w:w="12240" w:h="15840"/>
          <w:pgMar w:header="210" w:footer="579" w:top="680" w:bottom="280" w:left="780" w:right="740"/>
        </w:sectPr>
      </w:pPr>
    </w:p>
    <w:p>
      <w:pPr>
        <w:pStyle w:val="BodyText"/>
        <w:spacing w:before="147"/>
      </w:pPr>
    </w:p>
    <w:p>
      <w:pPr>
        <w:pStyle w:val="Heading1"/>
      </w:pPr>
      <w:bookmarkStart w:name="Item 6. Selected Financial Data" w:id="33"/>
      <w:bookmarkEnd w:id="33"/>
      <w:r>
        <w:rPr>
          <w:b w:val="0"/>
        </w:rPr>
      </w:r>
      <w:bookmarkStart w:name="_bookmark10" w:id="34"/>
      <w:bookmarkEnd w:id="34"/>
      <w:r>
        <w:rPr>
          <w:b w:val="0"/>
        </w:rPr>
      </w:r>
      <w:r>
        <w:rPr/>
        <w:t>ITEM</w:t>
      </w:r>
      <w:r>
        <w:rPr>
          <w:spacing w:val="-2"/>
        </w:rPr>
        <w:t> </w:t>
      </w:r>
      <w:r>
        <w:rPr/>
        <w:t>6.</w:t>
      </w:r>
      <w:r>
        <w:rPr>
          <w:spacing w:val="47"/>
        </w:rPr>
        <w:t> </w:t>
      </w:r>
      <w:r>
        <w:rPr/>
        <w:t>SELECTED</w:t>
      </w:r>
      <w:r>
        <w:rPr>
          <w:spacing w:val="-2"/>
        </w:rPr>
        <w:t> </w:t>
      </w:r>
      <w:r>
        <w:rPr/>
        <w:t>FINANCIAL</w:t>
      </w:r>
      <w:r>
        <w:rPr>
          <w:spacing w:val="-12"/>
        </w:rPr>
        <w:t> </w:t>
      </w:r>
      <w:r>
        <w:rPr>
          <w:spacing w:val="-4"/>
        </w:rPr>
        <w:t>DATA</w:t>
      </w:r>
    </w:p>
    <w:p>
      <w:pPr>
        <w:pStyle w:val="BodyText"/>
        <w:spacing w:line="249" w:lineRule="auto" w:before="190"/>
        <w:ind w:left="220" w:right="257" w:firstLine="540"/>
        <w:jc w:val="both"/>
      </w:pPr>
      <w:r>
        <w:rPr/>
        <w:t>The</w:t>
      </w:r>
      <w:r>
        <w:rPr>
          <w:spacing w:val="-3"/>
        </w:rPr>
        <w:t> </w:t>
      </w:r>
      <w:r>
        <w:rPr/>
        <w:t>following</w:t>
      </w:r>
      <w:r>
        <w:rPr>
          <w:spacing w:val="-3"/>
        </w:rPr>
        <w:t> </w:t>
      </w:r>
      <w:r>
        <w:rPr/>
        <w:t>selected</w:t>
      </w:r>
      <w:r>
        <w:rPr>
          <w:spacing w:val="-3"/>
        </w:rPr>
        <w:t> </w:t>
      </w:r>
      <w:r>
        <w:rPr/>
        <w:t>consolidated</w:t>
      </w:r>
      <w:r>
        <w:rPr>
          <w:spacing w:val="-3"/>
        </w:rPr>
        <w:t> </w:t>
      </w:r>
      <w:r>
        <w:rPr/>
        <w:t>financial</w:t>
      </w:r>
      <w:r>
        <w:rPr>
          <w:spacing w:val="-3"/>
        </w:rPr>
        <w:t> </w:t>
      </w:r>
      <w:r>
        <w:rPr/>
        <w:t>data</w:t>
      </w:r>
      <w:r>
        <w:rPr>
          <w:spacing w:val="-3"/>
        </w:rPr>
        <w:t> </w:t>
      </w:r>
      <w:r>
        <w:rPr/>
        <w:t>(presented</w:t>
      </w:r>
      <w:r>
        <w:rPr>
          <w:spacing w:val="-3"/>
        </w:rPr>
        <w:t> </w:t>
      </w:r>
      <w:r>
        <w:rPr/>
        <w:t>in</w:t>
      </w:r>
      <w:r>
        <w:rPr>
          <w:spacing w:val="-3"/>
        </w:rPr>
        <w:t> </w:t>
      </w:r>
      <w:r>
        <w:rPr/>
        <w:t>thousands,</w:t>
      </w:r>
      <w:r>
        <w:rPr>
          <w:spacing w:val="-3"/>
        </w:rPr>
        <w:t> </w:t>
      </w:r>
      <w:r>
        <w:rPr/>
        <w:t>except</w:t>
      </w:r>
      <w:r>
        <w:rPr>
          <w:spacing w:val="-3"/>
        </w:rPr>
        <w:t> </w:t>
      </w:r>
      <w:r>
        <w:rPr/>
        <w:t>per</w:t>
      </w:r>
      <w:r>
        <w:rPr>
          <w:spacing w:val="-3"/>
        </w:rPr>
        <w:t> </w:t>
      </w:r>
      <w:r>
        <w:rPr/>
        <w:t>share</w:t>
      </w:r>
      <w:r>
        <w:rPr>
          <w:spacing w:val="-3"/>
        </w:rPr>
        <w:t> </w:t>
      </w:r>
      <w:r>
        <w:rPr/>
        <w:t>amounts</w:t>
      </w:r>
      <w:r>
        <w:rPr>
          <w:spacing w:val="-3"/>
        </w:rPr>
        <w:t> </w:t>
      </w:r>
      <w:r>
        <w:rPr/>
        <w:t>and</w:t>
      </w:r>
      <w:r>
        <w:rPr>
          <w:spacing w:val="-3"/>
        </w:rPr>
        <w:t> </w:t>
      </w:r>
      <w:r>
        <w:rPr/>
        <w:t>employee</w:t>
      </w:r>
      <w:r>
        <w:rPr>
          <w:spacing w:val="-3"/>
        </w:rPr>
        <w:t> </w:t>
      </w:r>
      <w:r>
        <w:rPr/>
        <w:t>data) is</w:t>
      </w:r>
      <w:r>
        <w:rPr>
          <w:spacing w:val="-8"/>
        </w:rPr>
        <w:t> </w:t>
      </w:r>
      <w:r>
        <w:rPr/>
        <w:t>derived</w:t>
      </w:r>
      <w:r>
        <w:rPr>
          <w:spacing w:val="-5"/>
        </w:rPr>
        <w:t> </w:t>
      </w:r>
      <w:r>
        <w:rPr/>
        <w:t>from</w:t>
      </w:r>
      <w:r>
        <w:rPr>
          <w:spacing w:val="-5"/>
        </w:rPr>
        <w:t> </w:t>
      </w:r>
      <w:r>
        <w:rPr/>
        <w:t>our</w:t>
      </w:r>
      <w:r>
        <w:rPr>
          <w:spacing w:val="-5"/>
        </w:rPr>
        <w:t> </w:t>
      </w:r>
      <w:r>
        <w:rPr/>
        <w:t>Consolidated</w:t>
      </w:r>
      <w:r>
        <w:rPr>
          <w:spacing w:val="-5"/>
        </w:rPr>
        <w:t> </w:t>
      </w:r>
      <w:r>
        <w:rPr/>
        <w:t>Financial</w:t>
      </w:r>
      <w:r>
        <w:rPr>
          <w:spacing w:val="-6"/>
        </w:rPr>
        <w:t> </w:t>
      </w:r>
      <w:r>
        <w:rPr/>
        <w:t>Statements.</w:t>
      </w:r>
      <w:r>
        <w:rPr>
          <w:spacing w:val="-13"/>
        </w:rPr>
        <w:t> </w:t>
      </w:r>
      <w:r>
        <w:rPr/>
        <w:t>As</w:t>
      </w:r>
      <w:r>
        <w:rPr>
          <w:spacing w:val="-5"/>
        </w:rPr>
        <w:t> </w:t>
      </w:r>
      <w:r>
        <w:rPr/>
        <w:t>our</w:t>
      </w:r>
      <w:r>
        <w:rPr>
          <w:spacing w:val="-5"/>
        </w:rPr>
        <w:t> </w:t>
      </w:r>
      <w:r>
        <w:rPr/>
        <w:t>historical</w:t>
      </w:r>
      <w:r>
        <w:rPr>
          <w:spacing w:val="-5"/>
        </w:rPr>
        <w:t> </w:t>
      </w:r>
      <w:r>
        <w:rPr/>
        <w:t>operating</w:t>
      </w:r>
      <w:r>
        <w:rPr>
          <w:spacing w:val="-5"/>
        </w:rPr>
        <w:t> </w:t>
      </w:r>
      <w:r>
        <w:rPr/>
        <w:t>results</w:t>
      </w:r>
      <w:r>
        <w:rPr>
          <w:spacing w:val="-5"/>
        </w:rPr>
        <w:t> </w:t>
      </w:r>
      <w:r>
        <w:rPr/>
        <w:t>are</w:t>
      </w:r>
      <w:r>
        <w:rPr>
          <w:spacing w:val="-5"/>
        </w:rPr>
        <w:t> </w:t>
      </w:r>
      <w:r>
        <w:rPr/>
        <w:t>not</w:t>
      </w:r>
      <w:r>
        <w:rPr>
          <w:spacing w:val="-5"/>
        </w:rPr>
        <w:t> </w:t>
      </w:r>
      <w:r>
        <w:rPr/>
        <w:t>necessarily</w:t>
      </w:r>
      <w:r>
        <w:rPr>
          <w:spacing w:val="-5"/>
        </w:rPr>
        <w:t> </w:t>
      </w:r>
      <w:r>
        <w:rPr/>
        <w:t>indicative</w:t>
      </w:r>
      <w:r>
        <w:rPr>
          <w:spacing w:val="-6"/>
        </w:rPr>
        <w:t> </w:t>
      </w:r>
      <w:r>
        <w:rPr/>
        <w:t>of</w:t>
      </w:r>
      <w:r>
        <w:rPr>
          <w:spacing w:val="-5"/>
        </w:rPr>
        <w:t> </w:t>
      </w:r>
      <w:r>
        <w:rPr/>
        <w:t>future operating</w:t>
      </w:r>
      <w:r>
        <w:rPr>
          <w:spacing w:val="-3"/>
        </w:rPr>
        <w:t> </w:t>
      </w:r>
      <w:r>
        <w:rPr/>
        <w:t>results,</w:t>
      </w:r>
      <w:r>
        <w:rPr>
          <w:spacing w:val="-3"/>
        </w:rPr>
        <w:t> </w:t>
      </w:r>
      <w:r>
        <w:rPr/>
        <w:t>this</w:t>
      </w:r>
      <w:r>
        <w:rPr>
          <w:spacing w:val="-3"/>
        </w:rPr>
        <w:t> </w:t>
      </w:r>
      <w:r>
        <w:rPr/>
        <w:t>data</w:t>
      </w:r>
      <w:r>
        <w:rPr>
          <w:spacing w:val="-3"/>
        </w:rPr>
        <w:t> </w:t>
      </w:r>
      <w:r>
        <w:rPr/>
        <w:t>should</w:t>
      </w:r>
      <w:r>
        <w:rPr>
          <w:spacing w:val="-3"/>
        </w:rPr>
        <w:t> </w:t>
      </w:r>
      <w:r>
        <w:rPr/>
        <w:t>be</w:t>
      </w:r>
      <w:r>
        <w:rPr>
          <w:spacing w:val="-3"/>
        </w:rPr>
        <w:t> </w:t>
      </w:r>
      <w:r>
        <w:rPr/>
        <w:t>read</w:t>
      </w:r>
      <w:r>
        <w:rPr>
          <w:spacing w:val="-3"/>
        </w:rPr>
        <w:t> </w:t>
      </w:r>
      <w:r>
        <w:rPr/>
        <w:t>in</w:t>
      </w:r>
      <w:r>
        <w:rPr>
          <w:spacing w:val="-3"/>
        </w:rPr>
        <w:t> </w:t>
      </w:r>
      <w:r>
        <w:rPr/>
        <w:t>conjunction</w:t>
      </w:r>
      <w:r>
        <w:rPr>
          <w:spacing w:val="-3"/>
        </w:rPr>
        <w:t> </w:t>
      </w:r>
      <w:r>
        <w:rPr/>
        <w:t>with</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and</w:t>
      </w:r>
      <w:r>
        <w:rPr>
          <w:spacing w:val="-3"/>
        </w:rPr>
        <w:t> </w:t>
      </w:r>
      <w:r>
        <w:rPr/>
        <w:t>notes</w:t>
      </w:r>
      <w:r>
        <w:rPr>
          <w:spacing w:val="-3"/>
        </w:rPr>
        <w:t> </w:t>
      </w:r>
      <w:r>
        <w:rPr/>
        <w:t>thereto,</w:t>
      </w:r>
      <w:r>
        <w:rPr>
          <w:spacing w:val="-3"/>
        </w:rPr>
        <w:t> </w:t>
      </w:r>
      <w:r>
        <w:rPr/>
        <w:t>and</w:t>
      </w:r>
      <w:r>
        <w:rPr>
          <w:spacing w:val="-3"/>
        </w:rPr>
        <w:t> </w:t>
      </w:r>
      <w:r>
        <w:rPr/>
        <w:t>with Item 7, Management’s Discussion and</w:t>
      </w:r>
      <w:r>
        <w:rPr>
          <w:spacing w:val="-3"/>
        </w:rPr>
        <w:t> </w:t>
      </w:r>
      <w:r>
        <w:rPr/>
        <w:t>Analysis of Financial Condition and Results of Operations.</w:t>
      </w:r>
    </w:p>
    <w:p>
      <w:pPr>
        <w:pStyle w:val="BodyText"/>
        <w:spacing w:before="13"/>
        <w:rPr>
          <w:sz w:val="16"/>
        </w:rPr>
      </w:pPr>
    </w:p>
    <w:p>
      <w:pPr>
        <w:spacing w:before="0"/>
        <w:ind w:left="3667" w:right="0" w:firstLine="0"/>
        <w:jc w:val="center"/>
        <w:rPr>
          <w:b/>
          <w:sz w:val="16"/>
        </w:rPr>
      </w:pPr>
      <w:r>
        <w:rPr/>
        <mc:AlternateContent>
          <mc:Choice Requires="wps">
            <w:drawing>
              <wp:anchor distT="0" distB="0" distL="0" distR="0" allowOverlap="1" layoutInCell="1" locked="0" behindDoc="1" simplePos="0" relativeHeight="487603200">
                <wp:simplePos x="0" y="0"/>
                <wp:positionH relativeFrom="page">
                  <wp:posOffset>2940050</wp:posOffset>
                </wp:positionH>
                <wp:positionV relativeFrom="paragraph">
                  <wp:posOffset>148002</wp:posOffset>
                </wp:positionV>
                <wp:extent cx="4203700" cy="12700"/>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4203700" cy="12700"/>
                          <a:chExt cx="4203700" cy="12700"/>
                        </a:xfrm>
                      </wpg:grpSpPr>
                      <wps:wsp>
                        <wps:cNvPr id="99" name="Graphic 99"/>
                        <wps:cNvSpPr/>
                        <wps:spPr>
                          <a:xfrm>
                            <a:off x="0" y="0"/>
                            <a:ext cx="800100" cy="12700"/>
                          </a:xfrm>
                          <a:custGeom>
                            <a:avLst/>
                            <a:gdLst/>
                            <a:ahLst/>
                            <a:cxnLst/>
                            <a:rect l="l" t="t" r="r" b="b"/>
                            <a:pathLst>
                              <a:path w="800100" h="12700">
                                <a:moveTo>
                                  <a:pt x="0" y="12700"/>
                                </a:moveTo>
                                <a:lnTo>
                                  <a:pt x="800100" y="12700"/>
                                </a:lnTo>
                                <a:lnTo>
                                  <a:pt x="8001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800100" y="6350"/>
                            <a:ext cx="50800" cy="1270"/>
                          </a:xfrm>
                          <a:custGeom>
                            <a:avLst/>
                            <a:gdLst/>
                            <a:ahLst/>
                            <a:cxnLst/>
                            <a:rect l="l" t="t" r="r" b="b"/>
                            <a:pathLst>
                              <a:path w="50800" h="0">
                                <a:moveTo>
                                  <a:pt x="0" y="0"/>
                                </a:moveTo>
                                <a:lnTo>
                                  <a:pt x="50800" y="0"/>
                                </a:lnTo>
                              </a:path>
                            </a:pathLst>
                          </a:custGeom>
                          <a:ln w="12700">
                            <a:solidFill>
                              <a:srgbClr val="000000"/>
                            </a:solidFill>
                            <a:prstDash val="solid"/>
                          </a:ln>
                        </wps:spPr>
                        <wps:bodyPr wrap="square" lIns="0" tIns="0" rIns="0" bIns="0" rtlCol="0">
                          <a:prstTxWarp prst="textNoShape">
                            <a:avLst/>
                          </a:prstTxWarp>
                          <a:noAutofit/>
                        </wps:bodyPr>
                      </wps:wsp>
                      <wps:wsp>
                        <wps:cNvPr id="101" name="Graphic 101"/>
                        <wps:cNvSpPr/>
                        <wps:spPr>
                          <a:xfrm>
                            <a:off x="850900" y="0"/>
                            <a:ext cx="800100" cy="12700"/>
                          </a:xfrm>
                          <a:custGeom>
                            <a:avLst/>
                            <a:gdLst/>
                            <a:ahLst/>
                            <a:cxnLst/>
                            <a:rect l="l" t="t" r="r" b="b"/>
                            <a:pathLst>
                              <a:path w="800100" h="12700">
                                <a:moveTo>
                                  <a:pt x="0" y="12700"/>
                                </a:moveTo>
                                <a:lnTo>
                                  <a:pt x="800100" y="12700"/>
                                </a:lnTo>
                                <a:lnTo>
                                  <a:pt x="8001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651000" y="6350"/>
                            <a:ext cx="50800" cy="1270"/>
                          </a:xfrm>
                          <a:custGeom>
                            <a:avLst/>
                            <a:gdLst/>
                            <a:ahLst/>
                            <a:cxnLst/>
                            <a:rect l="l" t="t" r="r" b="b"/>
                            <a:pathLst>
                              <a:path w="50800" h="0">
                                <a:moveTo>
                                  <a:pt x="0" y="0"/>
                                </a:moveTo>
                                <a:lnTo>
                                  <a:pt x="50800" y="0"/>
                                </a:lnTo>
                              </a:path>
                            </a:pathLst>
                          </a:custGeom>
                          <a:ln w="12700">
                            <a:solidFill>
                              <a:srgbClr val="000000"/>
                            </a:solidFill>
                            <a:prstDash val="solid"/>
                          </a:ln>
                        </wps:spPr>
                        <wps:bodyPr wrap="square" lIns="0" tIns="0" rIns="0" bIns="0" rtlCol="0">
                          <a:prstTxWarp prst="textNoShape">
                            <a:avLst/>
                          </a:prstTxWarp>
                          <a:noAutofit/>
                        </wps:bodyPr>
                      </wps:wsp>
                      <wps:wsp>
                        <wps:cNvPr id="103" name="Graphic 103"/>
                        <wps:cNvSpPr/>
                        <wps:spPr>
                          <a:xfrm>
                            <a:off x="1701800" y="0"/>
                            <a:ext cx="800100" cy="12700"/>
                          </a:xfrm>
                          <a:custGeom>
                            <a:avLst/>
                            <a:gdLst/>
                            <a:ahLst/>
                            <a:cxnLst/>
                            <a:rect l="l" t="t" r="r" b="b"/>
                            <a:pathLst>
                              <a:path w="800100" h="12700">
                                <a:moveTo>
                                  <a:pt x="0" y="12700"/>
                                </a:moveTo>
                                <a:lnTo>
                                  <a:pt x="800100" y="12700"/>
                                </a:lnTo>
                                <a:lnTo>
                                  <a:pt x="8001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501900" y="6350"/>
                            <a:ext cx="50800" cy="1270"/>
                          </a:xfrm>
                          <a:custGeom>
                            <a:avLst/>
                            <a:gdLst/>
                            <a:ahLst/>
                            <a:cxnLst/>
                            <a:rect l="l" t="t" r="r" b="b"/>
                            <a:pathLst>
                              <a:path w="50800" h="0">
                                <a:moveTo>
                                  <a:pt x="0" y="0"/>
                                </a:moveTo>
                                <a:lnTo>
                                  <a:pt x="50800" y="0"/>
                                </a:lnTo>
                              </a:path>
                            </a:pathLst>
                          </a:custGeom>
                          <a:ln w="12700">
                            <a:solidFill>
                              <a:srgbClr val="000000"/>
                            </a:solidFill>
                            <a:prstDash val="solid"/>
                          </a:ln>
                        </wps:spPr>
                        <wps:bodyPr wrap="square" lIns="0" tIns="0" rIns="0" bIns="0" rtlCol="0">
                          <a:prstTxWarp prst="textNoShape">
                            <a:avLst/>
                          </a:prstTxWarp>
                          <a:noAutofit/>
                        </wps:bodyPr>
                      </wps:wsp>
                      <wps:wsp>
                        <wps:cNvPr id="105" name="Graphic 105"/>
                        <wps:cNvSpPr/>
                        <wps:spPr>
                          <a:xfrm>
                            <a:off x="2552700" y="0"/>
                            <a:ext cx="800100" cy="12700"/>
                          </a:xfrm>
                          <a:custGeom>
                            <a:avLst/>
                            <a:gdLst/>
                            <a:ahLst/>
                            <a:cxnLst/>
                            <a:rect l="l" t="t" r="r" b="b"/>
                            <a:pathLst>
                              <a:path w="800100" h="12700">
                                <a:moveTo>
                                  <a:pt x="0" y="12700"/>
                                </a:moveTo>
                                <a:lnTo>
                                  <a:pt x="800100" y="12700"/>
                                </a:lnTo>
                                <a:lnTo>
                                  <a:pt x="8001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3352800" y="6350"/>
                            <a:ext cx="50800" cy="1270"/>
                          </a:xfrm>
                          <a:custGeom>
                            <a:avLst/>
                            <a:gdLst/>
                            <a:ahLst/>
                            <a:cxnLst/>
                            <a:rect l="l" t="t" r="r" b="b"/>
                            <a:pathLst>
                              <a:path w="50800" h="0">
                                <a:moveTo>
                                  <a:pt x="0" y="0"/>
                                </a:moveTo>
                                <a:lnTo>
                                  <a:pt x="50800" y="0"/>
                                </a:lnTo>
                              </a:path>
                            </a:pathLst>
                          </a:custGeom>
                          <a:ln w="12700">
                            <a:solidFill>
                              <a:srgbClr val="000000"/>
                            </a:solidFill>
                            <a:prstDash val="solid"/>
                          </a:ln>
                        </wps:spPr>
                        <wps:bodyPr wrap="square" lIns="0" tIns="0" rIns="0" bIns="0" rtlCol="0">
                          <a:prstTxWarp prst="textNoShape">
                            <a:avLst/>
                          </a:prstTxWarp>
                          <a:noAutofit/>
                        </wps:bodyPr>
                      </wps:wsp>
                      <wps:wsp>
                        <wps:cNvPr id="107" name="Graphic 107"/>
                        <wps:cNvSpPr/>
                        <wps:spPr>
                          <a:xfrm>
                            <a:off x="0" y="0"/>
                            <a:ext cx="4203700" cy="12700"/>
                          </a:xfrm>
                          <a:custGeom>
                            <a:avLst/>
                            <a:gdLst/>
                            <a:ahLst/>
                            <a:cxnLst/>
                            <a:rect l="l" t="t" r="r" b="b"/>
                            <a:pathLst>
                              <a:path w="4203700" h="12700">
                                <a:moveTo>
                                  <a:pt x="800100" y="0"/>
                                </a:moveTo>
                                <a:lnTo>
                                  <a:pt x="0" y="0"/>
                                </a:lnTo>
                                <a:lnTo>
                                  <a:pt x="0" y="12700"/>
                                </a:lnTo>
                                <a:lnTo>
                                  <a:pt x="800100" y="12700"/>
                                </a:lnTo>
                                <a:lnTo>
                                  <a:pt x="800100" y="0"/>
                                </a:lnTo>
                                <a:close/>
                              </a:path>
                              <a:path w="4203700" h="12700">
                                <a:moveTo>
                                  <a:pt x="1651000" y="0"/>
                                </a:moveTo>
                                <a:lnTo>
                                  <a:pt x="850900" y="0"/>
                                </a:lnTo>
                                <a:lnTo>
                                  <a:pt x="850900" y="12700"/>
                                </a:lnTo>
                                <a:lnTo>
                                  <a:pt x="1651000" y="12700"/>
                                </a:lnTo>
                                <a:lnTo>
                                  <a:pt x="1651000" y="0"/>
                                </a:lnTo>
                                <a:close/>
                              </a:path>
                              <a:path w="4203700" h="12700">
                                <a:moveTo>
                                  <a:pt x="2501900" y="0"/>
                                </a:moveTo>
                                <a:lnTo>
                                  <a:pt x="1701800" y="0"/>
                                </a:lnTo>
                                <a:lnTo>
                                  <a:pt x="1701800" y="12700"/>
                                </a:lnTo>
                                <a:lnTo>
                                  <a:pt x="2501900" y="12700"/>
                                </a:lnTo>
                                <a:lnTo>
                                  <a:pt x="2501900" y="0"/>
                                </a:lnTo>
                                <a:close/>
                              </a:path>
                              <a:path w="4203700" h="12700">
                                <a:moveTo>
                                  <a:pt x="3352800" y="0"/>
                                </a:moveTo>
                                <a:lnTo>
                                  <a:pt x="2552700" y="0"/>
                                </a:lnTo>
                                <a:lnTo>
                                  <a:pt x="2552700" y="12700"/>
                                </a:lnTo>
                                <a:lnTo>
                                  <a:pt x="3352800" y="12700"/>
                                </a:lnTo>
                                <a:lnTo>
                                  <a:pt x="3352800" y="0"/>
                                </a:lnTo>
                                <a:close/>
                              </a:path>
                              <a:path w="4203700" h="12700">
                                <a:moveTo>
                                  <a:pt x="4203700" y="0"/>
                                </a:moveTo>
                                <a:lnTo>
                                  <a:pt x="3403600" y="0"/>
                                </a:lnTo>
                                <a:lnTo>
                                  <a:pt x="3403600" y="12700"/>
                                </a:lnTo>
                                <a:lnTo>
                                  <a:pt x="4203700" y="12700"/>
                                </a:lnTo>
                                <a:lnTo>
                                  <a:pt x="42037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1.5pt;margin-top:11.653711pt;width:331pt;height:1pt;mso-position-horizontal-relative:page;mso-position-vertical-relative:paragraph;z-index:-15713280;mso-wrap-distance-left:0;mso-wrap-distance-right:0" id="docshapegroup67" coordorigin="4630,233" coordsize="6620,20">
                <v:rect style="position:absolute;left:4630;top:233;width:1260;height:20" id="docshape68" filled="true" fillcolor="#000000" stroked="false">
                  <v:fill type="solid"/>
                </v:rect>
                <v:line style="position:absolute" from="5890,243" to="5970,243" stroked="true" strokeweight="1pt" strokecolor="#000000">
                  <v:stroke dashstyle="solid"/>
                </v:line>
                <v:rect style="position:absolute;left:5970;top:233;width:1260;height:20" id="docshape69" filled="true" fillcolor="#000000" stroked="false">
                  <v:fill type="solid"/>
                </v:rect>
                <v:line style="position:absolute" from="7230,243" to="7310,243" stroked="true" strokeweight="1pt" strokecolor="#000000">
                  <v:stroke dashstyle="solid"/>
                </v:line>
                <v:rect style="position:absolute;left:7310;top:233;width:1260;height:20" id="docshape70" filled="true" fillcolor="#000000" stroked="false">
                  <v:fill type="solid"/>
                </v:rect>
                <v:line style="position:absolute" from="8570,243" to="8650,243" stroked="true" strokeweight="1pt" strokecolor="#000000">
                  <v:stroke dashstyle="solid"/>
                </v:line>
                <v:rect style="position:absolute;left:8650;top:233;width:1260;height:20" id="docshape71" filled="true" fillcolor="#000000" stroked="false">
                  <v:fill type="solid"/>
                </v:rect>
                <v:line style="position:absolute" from="9910,243" to="9990,243" stroked="true" strokeweight="1pt" strokecolor="#000000">
                  <v:stroke dashstyle="solid"/>
                </v:line>
                <v:shape style="position:absolute;left:4630;top:233;width:6620;height:20" id="docshape72" coordorigin="4630,233" coordsize="6620,20" path="m5890,233l4630,233,4630,253,5890,253,5890,233xm7230,233l5970,233,5970,253,7230,253,7230,233xm8570,233l7310,233,7310,253,8570,253,8570,233xm9910,233l8650,233,8650,253,9910,253,9910,233xm11250,233l9990,233,9990,253,11250,253,11250,233xe" filled="true" fillcolor="#000000" stroked="false">
                  <v:path arrowok="t"/>
                  <v:fill type="solid"/>
                </v:shape>
                <w10:wrap type="topAndBottom"/>
              </v:group>
            </w:pict>
          </mc:Fallback>
        </mc:AlternateContent>
      </w:r>
      <w:r>
        <w:rPr>
          <w:b/>
          <w:sz w:val="16"/>
        </w:rPr>
        <w:t>Fiscal</w:t>
      </w:r>
      <w:r>
        <w:rPr>
          <w:b/>
          <w:spacing w:val="-7"/>
          <w:sz w:val="16"/>
        </w:rPr>
        <w:t> </w:t>
      </w:r>
      <w:r>
        <w:rPr>
          <w:b/>
          <w:spacing w:val="-4"/>
          <w:sz w:val="16"/>
        </w:rPr>
        <w:t>Years</w:t>
      </w:r>
    </w:p>
    <w:p>
      <w:pPr>
        <w:tabs>
          <w:tab w:pos="4919" w:val="left" w:leader="none"/>
          <w:tab w:pos="6259" w:val="left" w:leader="none"/>
          <w:tab w:pos="7599" w:val="left" w:leader="none"/>
          <w:tab w:pos="8939" w:val="left" w:leader="none"/>
        </w:tabs>
        <w:spacing w:before="36" w:after="50"/>
        <w:ind w:left="3580" w:right="0" w:firstLine="0"/>
        <w:jc w:val="center"/>
        <w:rPr>
          <w:b/>
          <w:sz w:val="16"/>
        </w:rPr>
      </w:pPr>
      <w:r>
        <w:rPr>
          <w:b/>
          <w:spacing w:val="-4"/>
          <w:sz w:val="16"/>
        </w:rPr>
        <w:t>2017</w:t>
      </w:r>
      <w:r>
        <w:rPr>
          <w:b/>
          <w:sz w:val="16"/>
        </w:rPr>
        <w:tab/>
      </w:r>
      <w:r>
        <w:rPr>
          <w:b/>
          <w:spacing w:val="-4"/>
          <w:sz w:val="16"/>
        </w:rPr>
        <w:t>2016</w:t>
      </w:r>
      <w:r>
        <w:rPr>
          <w:b/>
          <w:sz w:val="16"/>
        </w:rPr>
        <w:tab/>
      </w:r>
      <w:r>
        <w:rPr>
          <w:b/>
          <w:spacing w:val="-4"/>
          <w:sz w:val="16"/>
        </w:rPr>
        <w:t>2015</w:t>
      </w:r>
      <w:r>
        <w:rPr>
          <w:b/>
          <w:sz w:val="16"/>
        </w:rPr>
        <w:tab/>
      </w:r>
      <w:r>
        <w:rPr>
          <w:b/>
          <w:spacing w:val="-4"/>
          <w:sz w:val="16"/>
        </w:rPr>
        <w:t>2014</w:t>
      </w:r>
      <w:r>
        <w:rPr>
          <w:b/>
          <w:sz w:val="16"/>
        </w:rPr>
        <w:tab/>
      </w:r>
      <w:r>
        <w:rPr>
          <w:b/>
          <w:spacing w:val="-4"/>
          <w:sz w:val="16"/>
        </w:rPr>
        <w:t>2013</w:t>
      </w:r>
    </w:p>
    <w:p>
      <w:pPr>
        <w:spacing w:line="20" w:lineRule="exact"/>
        <w:ind w:left="3850" w:right="0" w:firstLine="0"/>
        <w:jc w:val="left"/>
        <w:rPr>
          <w:sz w:val="2"/>
        </w:rPr>
      </w:pPr>
      <w:r>
        <w:rPr>
          <w:sz w:val="2"/>
        </w:rPr>
        <mc:AlternateContent>
          <mc:Choice Requires="wps">
            <w:drawing>
              <wp:inline distT="0" distB="0" distL="0" distR="0">
                <wp:extent cx="800100" cy="12700"/>
                <wp:effectExtent l="9525" t="0" r="0" b="6350"/>
                <wp:docPr id="108" name="Group 108"/>
                <wp:cNvGraphicFramePr>
                  <a:graphicFrameLocks/>
                </wp:cNvGraphicFramePr>
                <a:graphic>
                  <a:graphicData uri="http://schemas.microsoft.com/office/word/2010/wordprocessingGroup">
                    <wpg:wgp>
                      <wpg:cNvPr id="108" name="Group 108"/>
                      <wpg:cNvGrpSpPr/>
                      <wpg:grpSpPr>
                        <a:xfrm>
                          <a:off x="0" y="0"/>
                          <a:ext cx="800100" cy="12700"/>
                          <a:chExt cx="800100" cy="12700"/>
                        </a:xfrm>
                      </wpg:grpSpPr>
                      <wps:wsp>
                        <wps:cNvPr id="109" name="Graphic 109"/>
                        <wps:cNvSpPr/>
                        <wps:spPr>
                          <a:xfrm>
                            <a:off x="0" y="6350"/>
                            <a:ext cx="800100" cy="1270"/>
                          </a:xfrm>
                          <a:custGeom>
                            <a:avLst/>
                            <a:gdLst/>
                            <a:ahLst/>
                            <a:cxnLst/>
                            <a:rect l="l" t="t" r="r" b="b"/>
                            <a:pathLst>
                              <a:path w="800100" h="0">
                                <a:moveTo>
                                  <a:pt x="0" y="0"/>
                                </a:moveTo>
                                <a:lnTo>
                                  <a:pt x="800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pt;height:1pt;mso-position-horizontal-relative:char;mso-position-vertical-relative:line" id="docshapegroup73" coordorigin="0,0" coordsize="1260,20">
                <v:line style="position:absolute" from="0,10" to="1260,10" stroked="true" strokeweight="1pt" strokecolor="#000000">
                  <v:stroke dashstyle="solid"/>
                </v:line>
              </v:group>
            </w:pict>
          </mc:Fallback>
        </mc:AlternateContent>
      </w:r>
      <w:r>
        <w:rPr>
          <w:sz w:val="2"/>
        </w:rPr>
      </w:r>
      <w:r>
        <w:rPr>
          <w:spacing w:val="65"/>
          <w:sz w:val="2"/>
        </w:rPr>
        <w:t> </w:t>
      </w:r>
      <w:r>
        <w:rPr>
          <w:spacing w:val="65"/>
          <w:sz w:val="2"/>
        </w:rPr>
        <mc:AlternateContent>
          <mc:Choice Requires="wps">
            <w:drawing>
              <wp:inline distT="0" distB="0" distL="0" distR="0">
                <wp:extent cx="800100" cy="12700"/>
                <wp:effectExtent l="9525" t="0" r="0" b="6350"/>
                <wp:docPr id="110" name="Group 110"/>
                <wp:cNvGraphicFramePr>
                  <a:graphicFrameLocks/>
                </wp:cNvGraphicFramePr>
                <a:graphic>
                  <a:graphicData uri="http://schemas.microsoft.com/office/word/2010/wordprocessingGroup">
                    <wpg:wgp>
                      <wpg:cNvPr id="110" name="Group 110"/>
                      <wpg:cNvGrpSpPr/>
                      <wpg:grpSpPr>
                        <a:xfrm>
                          <a:off x="0" y="0"/>
                          <a:ext cx="800100" cy="12700"/>
                          <a:chExt cx="800100" cy="12700"/>
                        </a:xfrm>
                      </wpg:grpSpPr>
                      <wps:wsp>
                        <wps:cNvPr id="111" name="Graphic 111"/>
                        <wps:cNvSpPr/>
                        <wps:spPr>
                          <a:xfrm>
                            <a:off x="0" y="6350"/>
                            <a:ext cx="800100" cy="1270"/>
                          </a:xfrm>
                          <a:custGeom>
                            <a:avLst/>
                            <a:gdLst/>
                            <a:ahLst/>
                            <a:cxnLst/>
                            <a:rect l="l" t="t" r="r" b="b"/>
                            <a:pathLst>
                              <a:path w="800100" h="0">
                                <a:moveTo>
                                  <a:pt x="0" y="0"/>
                                </a:moveTo>
                                <a:lnTo>
                                  <a:pt x="800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pt;height:1pt;mso-position-horizontal-relative:char;mso-position-vertical-relative:line" id="docshapegroup74" coordorigin="0,0" coordsize="1260,20">
                <v:line style="position:absolute" from="0,10" to="1260,10" stroked="true" strokeweight="1pt" strokecolor="#000000">
                  <v:stroke dashstyle="solid"/>
                </v:line>
              </v:group>
            </w:pict>
          </mc:Fallback>
        </mc:AlternateContent>
      </w:r>
      <w:r>
        <w:rPr>
          <w:spacing w:val="65"/>
          <w:sz w:val="2"/>
        </w:rPr>
      </w:r>
      <w:r>
        <w:rPr>
          <w:spacing w:val="65"/>
          <w:sz w:val="2"/>
        </w:rPr>
        <w:t> </w:t>
      </w:r>
      <w:r>
        <w:rPr>
          <w:spacing w:val="65"/>
          <w:sz w:val="2"/>
        </w:rPr>
        <mc:AlternateContent>
          <mc:Choice Requires="wps">
            <w:drawing>
              <wp:inline distT="0" distB="0" distL="0" distR="0">
                <wp:extent cx="800100" cy="12700"/>
                <wp:effectExtent l="9525" t="0" r="0" b="6350"/>
                <wp:docPr id="112" name="Group 112"/>
                <wp:cNvGraphicFramePr>
                  <a:graphicFrameLocks/>
                </wp:cNvGraphicFramePr>
                <a:graphic>
                  <a:graphicData uri="http://schemas.microsoft.com/office/word/2010/wordprocessingGroup">
                    <wpg:wgp>
                      <wpg:cNvPr id="112" name="Group 112"/>
                      <wpg:cNvGrpSpPr/>
                      <wpg:grpSpPr>
                        <a:xfrm>
                          <a:off x="0" y="0"/>
                          <a:ext cx="800100" cy="12700"/>
                          <a:chExt cx="800100" cy="12700"/>
                        </a:xfrm>
                      </wpg:grpSpPr>
                      <wps:wsp>
                        <wps:cNvPr id="113" name="Graphic 113"/>
                        <wps:cNvSpPr/>
                        <wps:spPr>
                          <a:xfrm>
                            <a:off x="0" y="6350"/>
                            <a:ext cx="800100" cy="1270"/>
                          </a:xfrm>
                          <a:custGeom>
                            <a:avLst/>
                            <a:gdLst/>
                            <a:ahLst/>
                            <a:cxnLst/>
                            <a:rect l="l" t="t" r="r" b="b"/>
                            <a:pathLst>
                              <a:path w="800100" h="0">
                                <a:moveTo>
                                  <a:pt x="0" y="0"/>
                                </a:moveTo>
                                <a:lnTo>
                                  <a:pt x="800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pt;height:1pt;mso-position-horizontal-relative:char;mso-position-vertical-relative:line" id="docshapegroup75" coordorigin="0,0" coordsize="1260,20">
                <v:line style="position:absolute" from="0,10" to="1260,10" stroked="true" strokeweight="1pt" strokecolor="#000000">
                  <v:stroke dashstyle="solid"/>
                </v:line>
              </v:group>
            </w:pict>
          </mc:Fallback>
        </mc:AlternateContent>
      </w:r>
      <w:r>
        <w:rPr>
          <w:spacing w:val="65"/>
          <w:sz w:val="2"/>
        </w:rPr>
      </w:r>
      <w:r>
        <w:rPr>
          <w:spacing w:val="65"/>
          <w:sz w:val="2"/>
        </w:rPr>
        <w:t> </w:t>
      </w:r>
      <w:r>
        <w:rPr>
          <w:spacing w:val="65"/>
          <w:sz w:val="2"/>
        </w:rPr>
        <mc:AlternateContent>
          <mc:Choice Requires="wps">
            <w:drawing>
              <wp:inline distT="0" distB="0" distL="0" distR="0">
                <wp:extent cx="800100" cy="12700"/>
                <wp:effectExtent l="9525" t="0" r="0" b="6350"/>
                <wp:docPr id="114" name="Group 114"/>
                <wp:cNvGraphicFramePr>
                  <a:graphicFrameLocks/>
                </wp:cNvGraphicFramePr>
                <a:graphic>
                  <a:graphicData uri="http://schemas.microsoft.com/office/word/2010/wordprocessingGroup">
                    <wpg:wgp>
                      <wpg:cNvPr id="114" name="Group 114"/>
                      <wpg:cNvGrpSpPr/>
                      <wpg:grpSpPr>
                        <a:xfrm>
                          <a:off x="0" y="0"/>
                          <a:ext cx="800100" cy="12700"/>
                          <a:chExt cx="800100" cy="12700"/>
                        </a:xfrm>
                      </wpg:grpSpPr>
                      <wps:wsp>
                        <wps:cNvPr id="115" name="Graphic 115"/>
                        <wps:cNvSpPr/>
                        <wps:spPr>
                          <a:xfrm>
                            <a:off x="0" y="6350"/>
                            <a:ext cx="800100" cy="1270"/>
                          </a:xfrm>
                          <a:custGeom>
                            <a:avLst/>
                            <a:gdLst/>
                            <a:ahLst/>
                            <a:cxnLst/>
                            <a:rect l="l" t="t" r="r" b="b"/>
                            <a:pathLst>
                              <a:path w="800100" h="0">
                                <a:moveTo>
                                  <a:pt x="0" y="0"/>
                                </a:moveTo>
                                <a:lnTo>
                                  <a:pt x="800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pt;height:1pt;mso-position-horizontal-relative:char;mso-position-vertical-relative:line" id="docshapegroup76" coordorigin="0,0" coordsize="1260,20">
                <v:line style="position:absolute" from="0,10" to="1260,10" stroked="true" strokeweight="1pt" strokecolor="#000000">
                  <v:stroke dashstyle="solid"/>
                </v:line>
              </v:group>
            </w:pict>
          </mc:Fallback>
        </mc:AlternateContent>
      </w:r>
      <w:r>
        <w:rPr>
          <w:spacing w:val="65"/>
          <w:sz w:val="2"/>
        </w:rPr>
      </w:r>
      <w:r>
        <w:rPr>
          <w:spacing w:val="65"/>
          <w:sz w:val="2"/>
        </w:rPr>
        <w:t> </w:t>
      </w:r>
      <w:r>
        <w:rPr>
          <w:spacing w:val="65"/>
          <w:sz w:val="2"/>
        </w:rPr>
        <mc:AlternateContent>
          <mc:Choice Requires="wps">
            <w:drawing>
              <wp:inline distT="0" distB="0" distL="0" distR="0">
                <wp:extent cx="800100" cy="12700"/>
                <wp:effectExtent l="9525" t="0" r="0" b="6350"/>
                <wp:docPr id="116" name="Group 116"/>
                <wp:cNvGraphicFramePr>
                  <a:graphicFrameLocks/>
                </wp:cNvGraphicFramePr>
                <a:graphic>
                  <a:graphicData uri="http://schemas.microsoft.com/office/word/2010/wordprocessingGroup">
                    <wpg:wgp>
                      <wpg:cNvPr id="116" name="Group 116"/>
                      <wpg:cNvGrpSpPr/>
                      <wpg:grpSpPr>
                        <a:xfrm>
                          <a:off x="0" y="0"/>
                          <a:ext cx="800100" cy="12700"/>
                          <a:chExt cx="800100" cy="12700"/>
                        </a:xfrm>
                      </wpg:grpSpPr>
                      <wps:wsp>
                        <wps:cNvPr id="117" name="Graphic 117"/>
                        <wps:cNvSpPr/>
                        <wps:spPr>
                          <a:xfrm>
                            <a:off x="0" y="6350"/>
                            <a:ext cx="800100" cy="1270"/>
                          </a:xfrm>
                          <a:custGeom>
                            <a:avLst/>
                            <a:gdLst/>
                            <a:ahLst/>
                            <a:cxnLst/>
                            <a:rect l="l" t="t" r="r" b="b"/>
                            <a:pathLst>
                              <a:path w="800100" h="0">
                                <a:moveTo>
                                  <a:pt x="0" y="0"/>
                                </a:moveTo>
                                <a:lnTo>
                                  <a:pt x="800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pt;height:1pt;mso-position-horizontal-relative:char;mso-position-vertical-relative:line" id="docshapegroup77" coordorigin="0,0" coordsize="1260,20">
                <v:line style="position:absolute" from="0,10" to="1260,10" stroked="true" strokeweight="1pt" strokecolor="#000000">
                  <v:stroke dashstyle="solid"/>
                </v:line>
              </v:group>
            </w:pict>
          </mc:Fallback>
        </mc:AlternateContent>
      </w:r>
      <w:r>
        <w:rPr>
          <w:spacing w:val="65"/>
          <w:sz w:val="2"/>
        </w:rPr>
      </w:r>
    </w:p>
    <w:p>
      <w:pPr>
        <w:pStyle w:val="BodyText"/>
        <w:ind w:left="280"/>
      </w:pPr>
      <w:r>
        <w:rPr>
          <w:spacing w:val="-2"/>
        </w:rPr>
        <w:t>Operations:</w:t>
      </w:r>
    </w:p>
    <w:p>
      <w:pPr>
        <w:pStyle w:val="BodyText"/>
        <w:tabs>
          <w:tab w:pos="3899" w:val="left" w:leader="none"/>
          <w:tab w:pos="4232" w:val="left" w:leader="none"/>
          <w:tab w:pos="5239" w:val="left" w:leader="none"/>
          <w:tab w:pos="5572" w:val="left" w:leader="none"/>
          <w:tab w:pos="6579" w:val="left" w:leader="none"/>
          <w:tab w:pos="6912" w:val="left" w:leader="none"/>
          <w:tab w:pos="7919" w:val="left" w:leader="none"/>
          <w:tab w:pos="8252" w:val="left" w:leader="none"/>
          <w:tab w:pos="9259" w:val="left" w:leader="none"/>
          <w:tab w:pos="9592" w:val="left" w:leader="none"/>
        </w:tabs>
        <w:spacing w:before="32"/>
        <w:ind w:left="400"/>
      </w:pPr>
      <w:r>
        <w:rPr/>
        <mc:AlternateContent>
          <mc:Choice Requires="wps">
            <w:drawing>
              <wp:anchor distT="0" distB="0" distL="0" distR="0" allowOverlap="1" layoutInCell="1" locked="0" behindDoc="1" simplePos="0" relativeHeight="479804928">
                <wp:simplePos x="0" y="0"/>
                <wp:positionH relativeFrom="page">
                  <wp:posOffset>641350</wp:posOffset>
                </wp:positionH>
                <wp:positionV relativeFrom="paragraph">
                  <wp:posOffset>19062</wp:posOffset>
                </wp:positionV>
                <wp:extent cx="6502400" cy="17780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1.500947pt;width:512.000024pt;height:14.000001pt;mso-position-horizontal-relative:page;mso-position-vertical-relative:paragraph;z-index:-23511552" id="docshape78" filled="true" fillcolor="#ccedff" stroked="false">
                <v:fill type="solid"/>
                <w10:wrap type="none"/>
              </v:rect>
            </w:pict>
          </mc:Fallback>
        </mc:AlternateContent>
      </w:r>
      <w:r>
        <w:rPr>
          <w:spacing w:val="-2"/>
        </w:rPr>
        <w:t>Revenue</w:t>
      </w:r>
      <w:r>
        <w:rPr/>
        <w:tab/>
      </w:r>
      <w:r>
        <w:rPr>
          <w:spacing w:val="-10"/>
        </w:rPr>
        <w:t>$</w:t>
      </w:r>
      <w:r>
        <w:rPr/>
        <w:tab/>
      </w:r>
      <w:r>
        <w:rPr>
          <w:spacing w:val="-2"/>
        </w:rPr>
        <w:t>7,301,505</w:t>
      </w:r>
      <w:r>
        <w:rPr/>
        <w:tab/>
      </w:r>
      <w:r>
        <w:rPr>
          <w:spacing w:val="-10"/>
        </w:rPr>
        <w:t>$</w:t>
      </w:r>
      <w:r>
        <w:rPr/>
        <w:tab/>
      </w:r>
      <w:r>
        <w:rPr>
          <w:spacing w:val="-2"/>
        </w:rPr>
        <w:t>5,854,430</w:t>
      </w:r>
      <w:r>
        <w:rPr/>
        <w:tab/>
      </w:r>
      <w:r>
        <w:rPr>
          <w:spacing w:val="-10"/>
        </w:rPr>
        <w:t>$</w:t>
      </w:r>
      <w:r>
        <w:rPr/>
        <w:tab/>
      </w:r>
      <w:r>
        <w:rPr>
          <w:spacing w:val="-2"/>
        </w:rPr>
        <w:t>4,795,511</w:t>
      </w:r>
      <w:r>
        <w:rPr/>
        <w:tab/>
      </w:r>
      <w:r>
        <w:rPr>
          <w:spacing w:val="-10"/>
        </w:rPr>
        <w:t>$</w:t>
      </w:r>
      <w:r>
        <w:rPr/>
        <w:tab/>
      </w:r>
      <w:r>
        <w:rPr>
          <w:spacing w:val="-2"/>
        </w:rPr>
        <w:t>4,147,065</w:t>
      </w:r>
      <w:r>
        <w:rPr/>
        <w:tab/>
      </w:r>
      <w:r>
        <w:rPr>
          <w:spacing w:val="-10"/>
        </w:rPr>
        <w:t>$</w:t>
      </w:r>
      <w:r>
        <w:rPr/>
        <w:tab/>
      </w:r>
      <w:r>
        <w:rPr>
          <w:spacing w:val="-2"/>
        </w:rPr>
        <w:t>4,055,240</w:t>
      </w:r>
    </w:p>
    <w:p>
      <w:pPr>
        <w:pStyle w:val="BodyText"/>
        <w:tabs>
          <w:tab w:pos="3899" w:val="left" w:leader="none"/>
          <w:tab w:pos="4232" w:val="left" w:leader="none"/>
          <w:tab w:pos="5239" w:val="left" w:leader="none"/>
          <w:tab w:pos="5572" w:val="left" w:leader="none"/>
          <w:tab w:pos="6579" w:val="left" w:leader="none"/>
          <w:tab w:pos="6912" w:val="left" w:leader="none"/>
          <w:tab w:pos="7919" w:val="left" w:leader="none"/>
          <w:tab w:pos="8252" w:val="left" w:leader="none"/>
          <w:tab w:pos="9259" w:val="left" w:leader="none"/>
          <w:tab w:pos="9592" w:val="left" w:leader="none"/>
        </w:tabs>
        <w:spacing w:before="50"/>
        <w:ind w:left="400"/>
      </w:pPr>
      <w:r>
        <w:rPr/>
        <w:t>Gross</w:t>
      </w:r>
      <w:r>
        <w:rPr>
          <w:spacing w:val="-5"/>
        </w:rPr>
        <w:t> </w:t>
      </w:r>
      <w:r>
        <w:rPr>
          <w:spacing w:val="-2"/>
        </w:rPr>
        <w:t>profit</w:t>
      </w:r>
      <w:r>
        <w:rPr/>
        <w:tab/>
      </w:r>
      <w:r>
        <w:rPr>
          <w:spacing w:val="-10"/>
        </w:rPr>
        <w:t>$</w:t>
      </w:r>
      <w:r>
        <w:rPr/>
        <w:tab/>
      </w:r>
      <w:r>
        <w:rPr>
          <w:spacing w:val="-2"/>
        </w:rPr>
        <w:t>6,291,014</w:t>
      </w:r>
      <w:r>
        <w:rPr/>
        <w:tab/>
      </w:r>
      <w:r>
        <w:rPr>
          <w:spacing w:val="-10"/>
        </w:rPr>
        <w:t>$</w:t>
      </w:r>
      <w:r>
        <w:rPr/>
        <w:tab/>
      </w:r>
      <w:r>
        <w:rPr>
          <w:spacing w:val="-2"/>
        </w:rPr>
        <w:t>5,034,522</w:t>
      </w:r>
      <w:r>
        <w:rPr/>
        <w:tab/>
      </w:r>
      <w:r>
        <w:rPr>
          <w:spacing w:val="-10"/>
        </w:rPr>
        <w:t>$</w:t>
      </w:r>
      <w:r>
        <w:rPr/>
        <w:tab/>
      </w:r>
      <w:r>
        <w:rPr>
          <w:spacing w:val="-2"/>
        </w:rPr>
        <w:t>4,051,194</w:t>
      </w:r>
      <w:r>
        <w:rPr/>
        <w:tab/>
      </w:r>
      <w:r>
        <w:rPr>
          <w:spacing w:val="-10"/>
        </w:rPr>
        <w:t>$</w:t>
      </w:r>
      <w:r>
        <w:rPr/>
        <w:tab/>
      </w:r>
      <w:r>
        <w:rPr>
          <w:spacing w:val="-2"/>
        </w:rPr>
        <w:t>3,524,985</w:t>
      </w:r>
      <w:r>
        <w:rPr/>
        <w:tab/>
      </w:r>
      <w:r>
        <w:rPr>
          <w:spacing w:val="-10"/>
        </w:rPr>
        <w:t>$</w:t>
      </w:r>
      <w:r>
        <w:rPr/>
        <w:tab/>
      </w:r>
      <w:r>
        <w:rPr>
          <w:spacing w:val="-2"/>
        </w:rPr>
        <w:t>3,468,683</w:t>
      </w:r>
    </w:p>
    <w:p>
      <w:pPr>
        <w:pStyle w:val="BodyText"/>
        <w:tabs>
          <w:tab w:pos="3899" w:val="left" w:leader="none"/>
          <w:tab w:pos="4232" w:val="left" w:leader="none"/>
          <w:tab w:pos="5239" w:val="left" w:leader="none"/>
          <w:tab w:pos="5572" w:val="left" w:leader="none"/>
          <w:tab w:pos="6579" w:val="left" w:leader="none"/>
          <w:tab w:pos="7062" w:val="left" w:leader="none"/>
          <w:tab w:pos="7919" w:val="left" w:leader="none"/>
          <w:tab w:pos="8402" w:val="left" w:leader="none"/>
          <w:tab w:pos="9259" w:val="left" w:leader="none"/>
          <w:tab w:pos="9742" w:val="left" w:leader="none"/>
        </w:tabs>
        <w:spacing w:before="50"/>
        <w:ind w:left="400"/>
      </w:pPr>
      <w:r>
        <w:rPr/>
        <mc:AlternateContent>
          <mc:Choice Requires="wps">
            <w:drawing>
              <wp:anchor distT="0" distB="0" distL="0" distR="0" allowOverlap="1" layoutInCell="1" locked="0" behindDoc="1" simplePos="0" relativeHeight="479805440">
                <wp:simplePos x="0" y="0"/>
                <wp:positionH relativeFrom="page">
                  <wp:posOffset>641350</wp:posOffset>
                </wp:positionH>
                <wp:positionV relativeFrom="paragraph">
                  <wp:posOffset>30516</wp:posOffset>
                </wp:positionV>
                <wp:extent cx="6502400" cy="17780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402901pt;width:512.000024pt;height:14.000001pt;mso-position-horizontal-relative:page;mso-position-vertical-relative:paragraph;z-index:-23511040" id="docshape79" filled="true" fillcolor="#ccedff" stroked="false">
                <v:fill type="solid"/>
                <w10:wrap type="none"/>
              </v:rect>
            </w:pict>
          </mc:Fallback>
        </mc:AlternateContent>
      </w:r>
      <w:r>
        <w:rPr/>
        <w:t>Income before income </w:t>
      </w:r>
      <w:r>
        <w:rPr>
          <w:spacing w:val="-2"/>
        </w:rPr>
        <w:t>taxes</w:t>
      </w:r>
      <w:r>
        <w:rPr/>
        <w:tab/>
      </w:r>
      <w:r>
        <w:rPr>
          <w:spacing w:val="-10"/>
        </w:rPr>
        <w:t>$</w:t>
      </w:r>
      <w:r>
        <w:rPr/>
        <w:tab/>
      </w:r>
      <w:r>
        <w:rPr>
          <w:spacing w:val="-2"/>
        </w:rPr>
        <w:t>2,137,641</w:t>
      </w:r>
      <w:r>
        <w:rPr/>
        <w:tab/>
      </w:r>
      <w:r>
        <w:rPr>
          <w:spacing w:val="-10"/>
        </w:rPr>
        <w:t>$</w:t>
      </w:r>
      <w:r>
        <w:rPr/>
        <w:tab/>
      </w:r>
      <w:r>
        <w:rPr>
          <w:spacing w:val="-2"/>
        </w:rPr>
        <w:t>1,435,138</w:t>
      </w:r>
      <w:r>
        <w:rPr/>
        <w:tab/>
      </w:r>
      <w:r>
        <w:rPr>
          <w:spacing w:val="-10"/>
        </w:rPr>
        <w:t>$</w:t>
      </w:r>
      <w:r>
        <w:rPr/>
        <w:tab/>
      </w:r>
      <w:r>
        <w:rPr>
          <w:spacing w:val="-2"/>
        </w:rPr>
        <w:t>873,781</w:t>
      </w:r>
      <w:r>
        <w:rPr/>
        <w:tab/>
      </w:r>
      <w:r>
        <w:rPr>
          <w:spacing w:val="-10"/>
        </w:rPr>
        <w:t>$</w:t>
      </w:r>
      <w:r>
        <w:rPr/>
        <w:tab/>
      </w:r>
      <w:r>
        <w:rPr>
          <w:spacing w:val="-2"/>
        </w:rPr>
        <w:t>361,376</w:t>
      </w:r>
      <w:r>
        <w:rPr/>
        <w:tab/>
      </w:r>
      <w:r>
        <w:rPr>
          <w:spacing w:val="-10"/>
        </w:rPr>
        <w:t>$</w:t>
      </w:r>
      <w:r>
        <w:rPr/>
        <w:tab/>
      </w:r>
      <w:r>
        <w:rPr>
          <w:spacing w:val="-2"/>
        </w:rPr>
        <w:t>356,141</w:t>
      </w:r>
    </w:p>
    <w:p>
      <w:pPr>
        <w:pStyle w:val="BodyText"/>
        <w:tabs>
          <w:tab w:pos="3899" w:val="left" w:leader="none"/>
          <w:tab w:pos="4232" w:val="left" w:leader="none"/>
          <w:tab w:pos="5239" w:val="left" w:leader="none"/>
          <w:tab w:pos="5572" w:val="left" w:leader="none"/>
          <w:tab w:pos="6579" w:val="left" w:leader="none"/>
          <w:tab w:pos="7062" w:val="left" w:leader="none"/>
          <w:tab w:pos="7919" w:val="left" w:leader="none"/>
          <w:tab w:pos="8402" w:val="left" w:leader="none"/>
          <w:tab w:pos="9259" w:val="left" w:leader="none"/>
          <w:tab w:pos="9742" w:val="left" w:leader="none"/>
        </w:tabs>
        <w:spacing w:before="50"/>
        <w:ind w:left="400"/>
      </w:pPr>
      <w:r>
        <w:rPr/>
        <w:t>Net </w:t>
      </w:r>
      <w:r>
        <w:rPr>
          <w:spacing w:val="-2"/>
        </w:rPr>
        <w:t>income</w:t>
      </w:r>
      <w:r>
        <w:rPr/>
        <w:tab/>
      </w:r>
      <w:r>
        <w:rPr>
          <w:spacing w:val="-10"/>
        </w:rPr>
        <w:t>$</w:t>
      </w:r>
      <w:r>
        <w:rPr/>
        <w:tab/>
      </w:r>
      <w:r>
        <w:rPr>
          <w:spacing w:val="-2"/>
        </w:rPr>
        <w:t>1,693,954</w:t>
      </w:r>
      <w:r>
        <w:rPr/>
        <w:tab/>
      </w:r>
      <w:r>
        <w:rPr>
          <w:spacing w:val="-10"/>
        </w:rPr>
        <w:t>$</w:t>
      </w:r>
      <w:r>
        <w:rPr/>
        <w:tab/>
      </w:r>
      <w:r>
        <w:rPr>
          <w:spacing w:val="-2"/>
        </w:rPr>
        <w:t>1,168,782</w:t>
      </w:r>
      <w:r>
        <w:rPr/>
        <w:tab/>
      </w:r>
      <w:r>
        <w:rPr>
          <w:spacing w:val="-10"/>
        </w:rPr>
        <w:t>$</w:t>
      </w:r>
      <w:r>
        <w:rPr/>
        <w:tab/>
      </w:r>
      <w:r>
        <w:rPr>
          <w:spacing w:val="-2"/>
        </w:rPr>
        <w:t>629,551</w:t>
      </w:r>
      <w:r>
        <w:rPr/>
        <w:tab/>
      </w:r>
      <w:r>
        <w:rPr>
          <w:spacing w:val="-10"/>
        </w:rPr>
        <w:t>$</w:t>
      </w:r>
      <w:r>
        <w:rPr/>
        <w:tab/>
      </w:r>
      <w:r>
        <w:rPr>
          <w:spacing w:val="-2"/>
        </w:rPr>
        <w:t>268,395</w:t>
      </w:r>
      <w:r>
        <w:rPr/>
        <w:tab/>
      </w:r>
      <w:r>
        <w:rPr>
          <w:spacing w:val="-10"/>
        </w:rPr>
        <w:t>$</w:t>
      </w:r>
      <w:r>
        <w:rPr/>
        <w:tab/>
      </w:r>
      <w:r>
        <w:rPr>
          <w:spacing w:val="-2"/>
        </w:rPr>
        <w:t>289,985</w:t>
      </w:r>
    </w:p>
    <w:p>
      <w:pPr>
        <w:pStyle w:val="BodyText"/>
        <w:spacing w:before="50"/>
        <w:ind w:left="400"/>
      </w:pPr>
      <w:r>
        <w:rPr/>
        <mc:AlternateContent>
          <mc:Choice Requires="wps">
            <w:drawing>
              <wp:anchor distT="0" distB="0" distL="0" distR="0" allowOverlap="1" layoutInCell="1" locked="0" behindDoc="1" simplePos="0" relativeHeight="479805952">
                <wp:simplePos x="0" y="0"/>
                <wp:positionH relativeFrom="page">
                  <wp:posOffset>641350</wp:posOffset>
                </wp:positionH>
                <wp:positionV relativeFrom="paragraph">
                  <wp:posOffset>30541</wp:posOffset>
                </wp:positionV>
                <wp:extent cx="6502400" cy="17780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404855pt;width:512.000024pt;height:14.000001pt;mso-position-horizontal-relative:page;mso-position-vertical-relative:paragraph;z-index:-23510528" id="docshape80" filled="true" fillcolor="#ccedff" stroked="false">
                <v:fill type="solid"/>
                <w10:wrap type="none"/>
              </v:rect>
            </w:pict>
          </mc:Fallback>
        </mc:AlternateContent>
      </w:r>
      <w:r>
        <w:rPr/>
        <w:t>Net income per </w:t>
      </w:r>
      <w:r>
        <w:rPr>
          <w:spacing w:val="-2"/>
        </w:rPr>
        <w:t>share:</w:t>
      </w:r>
    </w:p>
    <w:p>
      <w:pPr>
        <w:pStyle w:val="BodyText"/>
        <w:tabs>
          <w:tab w:pos="3899" w:val="left" w:leader="none"/>
          <w:tab w:pos="4682" w:val="left" w:leader="none"/>
          <w:tab w:pos="5239" w:val="left" w:leader="none"/>
          <w:tab w:pos="6022" w:val="left" w:leader="none"/>
          <w:tab w:pos="6579" w:val="left" w:leader="none"/>
          <w:tab w:pos="7362" w:val="left" w:leader="none"/>
          <w:tab w:pos="7919" w:val="left" w:leader="none"/>
          <w:tab w:pos="8702" w:val="left" w:leader="none"/>
          <w:tab w:pos="9259" w:val="left" w:leader="none"/>
          <w:tab w:pos="10392" w:val="right" w:leader="none"/>
        </w:tabs>
        <w:spacing w:before="50"/>
        <w:ind w:left="640"/>
      </w:pPr>
      <w:r>
        <w:rPr>
          <w:spacing w:val="-2"/>
        </w:rPr>
        <w:t>Basic</w:t>
      </w:r>
      <w:r>
        <w:rPr/>
        <w:tab/>
      </w:r>
      <w:r>
        <w:rPr>
          <w:spacing w:val="-10"/>
        </w:rPr>
        <w:t>$</w:t>
      </w:r>
      <w:r>
        <w:rPr/>
        <w:tab/>
      </w:r>
      <w:r>
        <w:rPr>
          <w:spacing w:val="-4"/>
        </w:rPr>
        <w:t>3.43</w:t>
      </w:r>
      <w:r>
        <w:rPr/>
        <w:tab/>
      </w:r>
      <w:r>
        <w:rPr>
          <w:spacing w:val="-10"/>
        </w:rPr>
        <w:t>$</w:t>
      </w:r>
      <w:r>
        <w:rPr/>
        <w:tab/>
      </w:r>
      <w:r>
        <w:rPr>
          <w:spacing w:val="-4"/>
        </w:rPr>
        <w:t>2.35</w:t>
      </w:r>
      <w:r>
        <w:rPr/>
        <w:tab/>
      </w:r>
      <w:r>
        <w:rPr>
          <w:spacing w:val="-10"/>
        </w:rPr>
        <w:t>$</w:t>
      </w:r>
      <w:r>
        <w:rPr/>
        <w:tab/>
      </w:r>
      <w:r>
        <w:rPr>
          <w:spacing w:val="-4"/>
        </w:rPr>
        <w:t>1.26</w:t>
      </w:r>
      <w:r>
        <w:rPr/>
        <w:tab/>
      </w:r>
      <w:r>
        <w:rPr>
          <w:spacing w:val="-10"/>
        </w:rPr>
        <w:t>$</w:t>
      </w:r>
      <w:r>
        <w:rPr/>
        <w:tab/>
      </w:r>
      <w:r>
        <w:rPr>
          <w:spacing w:val="-4"/>
        </w:rPr>
        <w:t>0.54</w:t>
      </w:r>
      <w:r>
        <w:rPr/>
        <w:tab/>
      </w:r>
      <w:r>
        <w:rPr>
          <w:spacing w:val="-10"/>
        </w:rPr>
        <w:t>$</w:t>
      </w:r>
      <w:r>
        <w:rPr/>
        <w:tab/>
      </w:r>
      <w:r>
        <w:rPr>
          <w:spacing w:val="-4"/>
        </w:rPr>
        <w:t>0.58</w:t>
      </w:r>
    </w:p>
    <w:p>
      <w:pPr>
        <w:pStyle w:val="BodyText"/>
        <w:tabs>
          <w:tab w:pos="3899" w:val="left" w:leader="none"/>
          <w:tab w:pos="4682" w:val="left" w:leader="none"/>
          <w:tab w:pos="5239" w:val="left" w:leader="none"/>
          <w:tab w:pos="6022" w:val="left" w:leader="none"/>
          <w:tab w:pos="6579" w:val="left" w:leader="none"/>
          <w:tab w:pos="7362" w:val="left" w:leader="none"/>
          <w:tab w:pos="7919" w:val="left" w:leader="none"/>
          <w:tab w:pos="8702" w:val="left" w:leader="none"/>
          <w:tab w:pos="9259" w:val="left" w:leader="none"/>
          <w:tab w:pos="10392" w:val="right" w:leader="none"/>
        </w:tabs>
        <w:spacing w:before="50"/>
        <w:ind w:left="640"/>
      </w:pPr>
      <w:r>
        <w:rPr/>
        <mc:AlternateContent>
          <mc:Choice Requires="wps">
            <w:drawing>
              <wp:anchor distT="0" distB="0" distL="0" distR="0" allowOverlap="1" layoutInCell="1" locked="0" behindDoc="1" simplePos="0" relativeHeight="479806464">
                <wp:simplePos x="0" y="0"/>
                <wp:positionH relativeFrom="page">
                  <wp:posOffset>641350</wp:posOffset>
                </wp:positionH>
                <wp:positionV relativeFrom="paragraph">
                  <wp:posOffset>30566</wp:posOffset>
                </wp:positionV>
                <wp:extent cx="6502400" cy="17780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40681pt;width:512.000024pt;height:14.000001pt;mso-position-horizontal-relative:page;mso-position-vertical-relative:paragraph;z-index:-23510016" id="docshape81" filled="true" fillcolor="#ccedff" stroked="false">
                <v:fill type="solid"/>
                <w10:wrap type="none"/>
              </v:rect>
            </w:pict>
          </mc:Fallback>
        </mc:AlternateContent>
      </w:r>
      <w:r>
        <w:rPr>
          <w:spacing w:val="-2"/>
        </w:rPr>
        <w:t>Diluted</w:t>
      </w:r>
      <w:r>
        <w:rPr/>
        <w:tab/>
      </w:r>
      <w:r>
        <w:rPr>
          <w:spacing w:val="-10"/>
        </w:rPr>
        <w:t>$</w:t>
      </w:r>
      <w:r>
        <w:rPr/>
        <w:tab/>
      </w:r>
      <w:r>
        <w:rPr>
          <w:spacing w:val="-4"/>
        </w:rPr>
        <w:t>3.38</w:t>
      </w:r>
      <w:r>
        <w:rPr/>
        <w:tab/>
      </w:r>
      <w:r>
        <w:rPr>
          <w:spacing w:val="-10"/>
        </w:rPr>
        <w:t>$</w:t>
      </w:r>
      <w:r>
        <w:rPr/>
        <w:tab/>
      </w:r>
      <w:r>
        <w:rPr>
          <w:spacing w:val="-4"/>
        </w:rPr>
        <w:t>2.32</w:t>
      </w:r>
      <w:r>
        <w:rPr/>
        <w:tab/>
      </w:r>
      <w:r>
        <w:rPr>
          <w:spacing w:val="-10"/>
        </w:rPr>
        <w:t>$</w:t>
      </w:r>
      <w:r>
        <w:rPr/>
        <w:tab/>
      </w:r>
      <w:r>
        <w:rPr>
          <w:spacing w:val="-4"/>
        </w:rPr>
        <w:t>1.24</w:t>
      </w:r>
      <w:r>
        <w:rPr/>
        <w:tab/>
      </w:r>
      <w:r>
        <w:rPr>
          <w:spacing w:val="-10"/>
        </w:rPr>
        <w:t>$</w:t>
      </w:r>
      <w:r>
        <w:rPr/>
        <w:tab/>
      </w:r>
      <w:r>
        <w:rPr>
          <w:spacing w:val="-4"/>
        </w:rPr>
        <w:t>0.53</w:t>
      </w:r>
      <w:r>
        <w:rPr/>
        <w:tab/>
      </w:r>
      <w:r>
        <w:rPr>
          <w:spacing w:val="-10"/>
        </w:rPr>
        <w:t>$</w:t>
      </w:r>
      <w:r>
        <w:rPr/>
        <w:tab/>
      </w:r>
      <w:r>
        <w:rPr>
          <w:spacing w:val="-4"/>
        </w:rPr>
        <w:t>0.56</w:t>
      </w:r>
    </w:p>
    <w:p>
      <w:pPr>
        <w:pStyle w:val="BodyText"/>
        <w:spacing w:line="215" w:lineRule="exact" w:before="68"/>
        <w:ind w:left="400"/>
      </w:pPr>
      <w:r>
        <w:rPr/>
        <w:t>Shares</w:t>
      </w:r>
      <w:r>
        <w:rPr>
          <w:spacing w:val="-4"/>
        </w:rPr>
        <w:t> </w:t>
      </w:r>
      <w:r>
        <w:rPr/>
        <w:t>used</w:t>
      </w:r>
      <w:r>
        <w:rPr>
          <w:spacing w:val="-1"/>
        </w:rPr>
        <w:t> </w:t>
      </w:r>
      <w:r>
        <w:rPr/>
        <w:t>to</w:t>
      </w:r>
      <w:r>
        <w:rPr>
          <w:spacing w:val="-1"/>
        </w:rPr>
        <w:t> </w:t>
      </w:r>
      <w:r>
        <w:rPr/>
        <w:t>compute</w:t>
      </w:r>
      <w:r>
        <w:rPr>
          <w:spacing w:val="-1"/>
        </w:rPr>
        <w:t> </w:t>
      </w:r>
      <w:r>
        <w:rPr/>
        <w:t>basic</w:t>
      </w:r>
      <w:r>
        <w:rPr>
          <w:spacing w:val="-1"/>
        </w:rPr>
        <w:t> </w:t>
      </w:r>
      <w:r>
        <w:rPr/>
        <w:t>net </w:t>
      </w:r>
      <w:r>
        <w:rPr>
          <w:spacing w:val="-2"/>
        </w:rPr>
        <w:t>income</w:t>
      </w:r>
    </w:p>
    <w:p>
      <w:pPr>
        <w:pStyle w:val="BodyText"/>
        <w:tabs>
          <w:tab w:pos="4382" w:val="left" w:leader="none"/>
          <w:tab w:pos="5722" w:val="left" w:leader="none"/>
          <w:tab w:pos="7062" w:val="left" w:leader="none"/>
          <w:tab w:pos="8402" w:val="left" w:leader="none"/>
          <w:tab w:pos="9742" w:val="left" w:leader="none"/>
        </w:tabs>
        <w:spacing w:line="215" w:lineRule="exact"/>
        <w:ind w:left="400"/>
      </w:pPr>
      <w:r>
        <w:rPr/>
        <w:t>per </w:t>
      </w:r>
      <w:r>
        <w:rPr>
          <w:spacing w:val="-2"/>
        </w:rPr>
        <w:t>share</w:t>
      </w:r>
      <w:r>
        <w:rPr/>
        <w:tab/>
      </w:r>
      <w:r>
        <w:rPr>
          <w:spacing w:val="-2"/>
        </w:rPr>
        <w:t>493,632</w:t>
      </w:r>
      <w:r>
        <w:rPr/>
        <w:tab/>
      </w:r>
      <w:r>
        <w:rPr>
          <w:spacing w:val="-2"/>
        </w:rPr>
        <w:t>498,345</w:t>
      </w:r>
      <w:r>
        <w:rPr/>
        <w:tab/>
      </w:r>
      <w:r>
        <w:rPr>
          <w:spacing w:val="-2"/>
        </w:rPr>
        <w:t>498,764</w:t>
      </w:r>
      <w:r>
        <w:rPr/>
        <w:tab/>
      </w:r>
      <w:r>
        <w:rPr>
          <w:spacing w:val="-2"/>
        </w:rPr>
        <w:t>497,867</w:t>
      </w:r>
      <w:r>
        <w:rPr/>
        <w:tab/>
      </w:r>
      <w:r>
        <w:rPr>
          <w:spacing w:val="-2"/>
        </w:rPr>
        <w:t>501,372</w:t>
      </w:r>
    </w:p>
    <w:p>
      <w:pPr>
        <w:pStyle w:val="BodyText"/>
        <w:spacing w:line="215" w:lineRule="exact" w:before="70"/>
        <w:ind w:left="400"/>
      </w:pPr>
      <w:r>
        <w:rPr/>
        <mc:AlternateContent>
          <mc:Choice Requires="wps">
            <w:drawing>
              <wp:anchor distT="0" distB="0" distL="0" distR="0" allowOverlap="1" layoutInCell="1" locked="0" behindDoc="1" simplePos="0" relativeHeight="479806976">
                <wp:simplePos x="0" y="0"/>
                <wp:positionH relativeFrom="page">
                  <wp:posOffset>641350</wp:posOffset>
                </wp:positionH>
                <wp:positionV relativeFrom="paragraph">
                  <wp:posOffset>31861</wp:posOffset>
                </wp:positionV>
                <wp:extent cx="6502400" cy="31750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6502400" cy="317500"/>
                        </a:xfrm>
                        <a:custGeom>
                          <a:avLst/>
                          <a:gdLst/>
                          <a:ahLst/>
                          <a:cxnLst/>
                          <a:rect l="l" t="t" r="r" b="b"/>
                          <a:pathLst>
                            <a:path w="6502400" h="317500">
                              <a:moveTo>
                                <a:pt x="6502400" y="0"/>
                              </a:moveTo>
                              <a:lnTo>
                                <a:pt x="6502400" y="0"/>
                              </a:lnTo>
                              <a:lnTo>
                                <a:pt x="0" y="0"/>
                              </a:lnTo>
                              <a:lnTo>
                                <a:pt x="0" y="317500"/>
                              </a:lnTo>
                              <a:lnTo>
                                <a:pt x="6502400" y="3175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508765pt;width:512.000024pt;height:25.000001pt;mso-position-horizontal-relative:page;mso-position-vertical-relative:paragraph;z-index:-23509504" id="docshape82" filled="true" fillcolor="#ccedff" stroked="false">
                <v:fill type="solid"/>
                <w10:wrap type="none"/>
              </v:rect>
            </w:pict>
          </mc:Fallback>
        </mc:AlternateContent>
      </w:r>
      <w:r>
        <w:rPr/>
        <w:t>Shares</w:t>
      </w:r>
      <w:r>
        <w:rPr>
          <w:spacing w:val="-4"/>
        </w:rPr>
        <w:t> </w:t>
      </w:r>
      <w:r>
        <w:rPr/>
        <w:t>used</w:t>
      </w:r>
      <w:r>
        <w:rPr>
          <w:spacing w:val="-1"/>
        </w:rPr>
        <w:t> </w:t>
      </w:r>
      <w:r>
        <w:rPr/>
        <w:t>to</w:t>
      </w:r>
      <w:r>
        <w:rPr>
          <w:spacing w:val="-1"/>
        </w:rPr>
        <w:t> </w:t>
      </w:r>
      <w:r>
        <w:rPr/>
        <w:t>compute</w:t>
      </w:r>
      <w:r>
        <w:rPr>
          <w:spacing w:val="-1"/>
        </w:rPr>
        <w:t> </w:t>
      </w:r>
      <w:r>
        <w:rPr/>
        <w:t>diluted</w:t>
      </w:r>
      <w:r>
        <w:rPr>
          <w:spacing w:val="-1"/>
        </w:rPr>
        <w:t> </w:t>
      </w:r>
      <w:r>
        <w:rPr>
          <w:spacing w:val="-5"/>
        </w:rPr>
        <w:t>net</w:t>
      </w:r>
    </w:p>
    <w:p>
      <w:pPr>
        <w:pStyle w:val="BodyText"/>
        <w:tabs>
          <w:tab w:pos="4382" w:val="left" w:leader="none"/>
          <w:tab w:pos="5722" w:val="left" w:leader="none"/>
          <w:tab w:pos="7062" w:val="left" w:leader="none"/>
          <w:tab w:pos="8402" w:val="left" w:leader="none"/>
          <w:tab w:pos="9742" w:val="left" w:leader="none"/>
        </w:tabs>
        <w:spacing w:line="215" w:lineRule="exact"/>
        <w:ind w:left="400"/>
      </w:pPr>
      <w:r>
        <w:rPr/>
        <w:t>income per </w:t>
      </w:r>
      <w:r>
        <w:rPr>
          <w:spacing w:val="-2"/>
        </w:rPr>
        <w:t>share</w:t>
      </w:r>
      <w:r>
        <w:rPr/>
        <w:tab/>
      </w:r>
      <w:r>
        <w:rPr>
          <w:spacing w:val="-2"/>
        </w:rPr>
        <w:t>501,123</w:t>
      </w:r>
      <w:r>
        <w:rPr/>
        <w:tab/>
      </w:r>
      <w:r>
        <w:rPr>
          <w:spacing w:val="-2"/>
        </w:rPr>
        <w:t>504,299</w:t>
      </w:r>
      <w:r>
        <w:rPr/>
        <w:tab/>
      </w:r>
      <w:r>
        <w:rPr>
          <w:spacing w:val="-2"/>
        </w:rPr>
        <w:t>507,164</w:t>
      </w:r>
      <w:r>
        <w:rPr/>
        <w:tab/>
      </w:r>
      <w:r>
        <w:rPr>
          <w:spacing w:val="-2"/>
        </w:rPr>
        <w:t>508,480</w:t>
      </w:r>
      <w:r>
        <w:rPr/>
        <w:tab/>
      </w:r>
      <w:r>
        <w:rPr>
          <w:spacing w:val="-2"/>
        </w:rPr>
        <w:t>513,476</w:t>
      </w:r>
    </w:p>
    <w:p>
      <w:pPr>
        <w:pStyle w:val="BodyText"/>
        <w:spacing w:line="215" w:lineRule="exact" w:before="70"/>
        <w:ind w:left="400"/>
      </w:pPr>
      <w:r>
        <w:rPr/>
        <w:t>Cash</w:t>
      </w:r>
      <w:r>
        <w:rPr>
          <w:spacing w:val="-3"/>
        </w:rPr>
        <w:t> </w:t>
      </w:r>
      <w:r>
        <w:rPr/>
        <w:t>dividends</w:t>
      </w:r>
      <w:r>
        <w:rPr>
          <w:spacing w:val="-2"/>
        </w:rPr>
        <w:t> </w:t>
      </w:r>
      <w:r>
        <w:rPr/>
        <w:t>declared</w:t>
      </w:r>
      <w:r>
        <w:rPr>
          <w:spacing w:val="-2"/>
        </w:rPr>
        <w:t> </w:t>
      </w:r>
      <w:r>
        <w:rPr/>
        <w:t>per</w:t>
      </w:r>
      <w:r>
        <w:rPr>
          <w:spacing w:val="-2"/>
        </w:rPr>
        <w:t> common</w:t>
      </w:r>
    </w:p>
    <w:p>
      <w:pPr>
        <w:pStyle w:val="BodyText"/>
        <w:tabs>
          <w:tab w:pos="3899" w:val="left" w:leader="none"/>
          <w:tab w:pos="4832" w:val="left" w:leader="none"/>
          <w:tab w:pos="5239" w:val="left" w:leader="none"/>
          <w:tab w:pos="6172" w:val="left" w:leader="none"/>
          <w:tab w:pos="6579" w:val="left" w:leader="none"/>
          <w:tab w:pos="7512" w:val="left" w:leader="none"/>
          <w:tab w:pos="7919" w:val="left" w:leader="none"/>
          <w:tab w:pos="8852" w:val="left" w:leader="none"/>
          <w:tab w:pos="9259" w:val="left" w:leader="none"/>
          <w:tab w:pos="10192" w:val="left" w:leader="none"/>
        </w:tabs>
        <w:spacing w:line="215" w:lineRule="exact"/>
        <w:ind w:left="400"/>
      </w:pPr>
      <w:r>
        <w:rPr>
          <w:spacing w:val="-2"/>
        </w:rPr>
        <w:t>share</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p>
    <w:p>
      <w:pPr>
        <w:pStyle w:val="BodyText"/>
        <w:spacing w:before="52"/>
        <w:ind w:left="280"/>
      </w:pPr>
      <w:r>
        <w:rPr/>
        <mc:AlternateContent>
          <mc:Choice Requires="wps">
            <w:drawing>
              <wp:anchor distT="0" distB="0" distL="0" distR="0" allowOverlap="1" layoutInCell="1" locked="0" behindDoc="1" simplePos="0" relativeHeight="479807488">
                <wp:simplePos x="0" y="0"/>
                <wp:positionH relativeFrom="page">
                  <wp:posOffset>641350</wp:posOffset>
                </wp:positionH>
                <wp:positionV relativeFrom="paragraph">
                  <wp:posOffset>31886</wp:posOffset>
                </wp:positionV>
                <wp:extent cx="6502400" cy="17780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51072pt;width:512.000024pt;height:14.000001pt;mso-position-horizontal-relative:page;mso-position-vertical-relative:paragraph;z-index:-23508992" id="docshape83" filled="true" fillcolor="#ccedff" stroked="false">
                <v:fill type="solid"/>
                <w10:wrap type="none"/>
              </v:rect>
            </w:pict>
          </mc:Fallback>
        </mc:AlternateContent>
      </w:r>
      <w:r>
        <w:rPr/>
        <w:t>Financial </w:t>
      </w:r>
      <w:r>
        <w:rPr>
          <w:spacing w:val="-2"/>
        </w:rPr>
        <w:t>position:</w:t>
      </w:r>
      <w:r>
        <w:rPr>
          <w:spacing w:val="-2"/>
          <w:vertAlign w:val="superscript"/>
        </w:rPr>
        <w:t>(1)</w:t>
      </w:r>
    </w:p>
    <w:p>
      <w:pPr>
        <w:pStyle w:val="BodyText"/>
        <w:spacing w:line="215" w:lineRule="exact" w:before="68"/>
        <w:ind w:left="400"/>
      </w:pPr>
      <w:r>
        <w:rPr/>
        <w:t>Cash,</w:t>
      </w:r>
      <w:r>
        <w:rPr>
          <w:spacing w:val="-3"/>
        </w:rPr>
        <w:t> </w:t>
      </w:r>
      <w:r>
        <w:rPr/>
        <w:t>cash</w:t>
      </w:r>
      <w:r>
        <w:rPr>
          <w:spacing w:val="-3"/>
        </w:rPr>
        <w:t> </w:t>
      </w:r>
      <w:r>
        <w:rPr/>
        <w:t>equivalents</w:t>
      </w:r>
      <w:r>
        <w:rPr>
          <w:spacing w:val="-3"/>
        </w:rPr>
        <w:t> </w:t>
      </w:r>
      <w:r>
        <w:rPr/>
        <w:t>and</w:t>
      </w:r>
      <w:r>
        <w:rPr>
          <w:spacing w:val="-2"/>
        </w:rPr>
        <w:t> </w:t>
      </w:r>
      <w:r>
        <w:rPr/>
        <w:t>short-</w:t>
      </w:r>
      <w:r>
        <w:rPr>
          <w:spacing w:val="-4"/>
        </w:rPr>
        <w:t>term</w:t>
      </w:r>
    </w:p>
    <w:p>
      <w:pPr>
        <w:pStyle w:val="BodyText"/>
        <w:tabs>
          <w:tab w:pos="3899" w:val="left" w:leader="none"/>
          <w:tab w:pos="4232" w:val="left" w:leader="none"/>
          <w:tab w:pos="5239" w:val="left" w:leader="none"/>
          <w:tab w:pos="5572" w:val="left" w:leader="none"/>
          <w:tab w:pos="6579" w:val="left" w:leader="none"/>
          <w:tab w:pos="6912" w:val="left" w:leader="none"/>
          <w:tab w:pos="7919" w:val="left" w:leader="none"/>
          <w:tab w:pos="8252" w:val="left" w:leader="none"/>
          <w:tab w:pos="9259" w:val="left" w:leader="none"/>
          <w:tab w:pos="9592" w:val="left" w:leader="none"/>
        </w:tabs>
        <w:spacing w:line="215" w:lineRule="exact"/>
        <w:ind w:left="400"/>
      </w:pPr>
      <w:r>
        <w:rPr>
          <w:spacing w:val="-2"/>
        </w:rPr>
        <w:t>investments</w:t>
      </w:r>
      <w:r>
        <w:rPr/>
        <w:tab/>
      </w:r>
      <w:r>
        <w:rPr>
          <w:spacing w:val="-10"/>
        </w:rPr>
        <w:t>$</w:t>
      </w:r>
      <w:r>
        <w:rPr/>
        <w:tab/>
      </w:r>
      <w:r>
        <w:rPr>
          <w:spacing w:val="-2"/>
        </w:rPr>
        <w:t>5,819,774</w:t>
      </w:r>
      <w:r>
        <w:rPr/>
        <w:tab/>
      </w:r>
      <w:r>
        <w:rPr>
          <w:spacing w:val="-10"/>
        </w:rPr>
        <w:t>$</w:t>
      </w:r>
      <w:r>
        <w:rPr/>
        <w:tab/>
      </w:r>
      <w:r>
        <w:rPr>
          <w:spacing w:val="-2"/>
        </w:rPr>
        <w:t>4,761,300</w:t>
      </w:r>
      <w:r>
        <w:rPr/>
        <w:tab/>
      </w:r>
      <w:r>
        <w:rPr>
          <w:spacing w:val="-10"/>
        </w:rPr>
        <w:t>$</w:t>
      </w:r>
      <w:r>
        <w:rPr/>
        <w:tab/>
      </w:r>
      <w:r>
        <w:rPr>
          <w:spacing w:val="-2"/>
        </w:rPr>
        <w:t>3,988,084</w:t>
      </w:r>
      <w:r>
        <w:rPr/>
        <w:tab/>
      </w:r>
      <w:r>
        <w:rPr>
          <w:spacing w:val="-10"/>
        </w:rPr>
        <w:t>$</w:t>
      </w:r>
      <w:r>
        <w:rPr/>
        <w:tab/>
      </w:r>
      <w:r>
        <w:rPr>
          <w:spacing w:val="-2"/>
        </w:rPr>
        <w:t>3,739,491</w:t>
      </w:r>
      <w:r>
        <w:rPr/>
        <w:tab/>
      </w:r>
      <w:r>
        <w:rPr>
          <w:spacing w:val="-10"/>
        </w:rPr>
        <w:t>$</w:t>
      </w:r>
      <w:r>
        <w:rPr/>
        <w:tab/>
      </w:r>
      <w:r>
        <w:rPr>
          <w:spacing w:val="-2"/>
        </w:rPr>
        <w:t>3,173,752</w:t>
      </w:r>
    </w:p>
    <w:p>
      <w:pPr>
        <w:pStyle w:val="BodyText"/>
        <w:tabs>
          <w:tab w:pos="3899" w:val="left" w:leader="none"/>
          <w:tab w:pos="4232" w:val="left" w:leader="none"/>
          <w:tab w:pos="5239" w:val="left" w:leader="none"/>
          <w:tab w:pos="5572" w:val="left" w:leader="none"/>
          <w:tab w:pos="6579" w:val="left" w:leader="none"/>
          <w:tab w:pos="6912" w:val="left" w:leader="none"/>
          <w:tab w:pos="7919" w:val="left" w:leader="none"/>
          <w:tab w:pos="8252" w:val="left" w:leader="none"/>
          <w:tab w:pos="9259" w:val="left" w:leader="none"/>
          <w:tab w:pos="9592" w:val="left" w:leader="none"/>
        </w:tabs>
        <w:spacing w:before="52"/>
        <w:ind w:left="400"/>
      </w:pPr>
      <w:r>
        <w:rPr/>
        <mc:AlternateContent>
          <mc:Choice Requires="wps">
            <w:drawing>
              <wp:anchor distT="0" distB="0" distL="0" distR="0" allowOverlap="1" layoutInCell="1" locked="0" behindDoc="1" simplePos="0" relativeHeight="479808000">
                <wp:simplePos x="0" y="0"/>
                <wp:positionH relativeFrom="page">
                  <wp:posOffset>641350</wp:posOffset>
                </wp:positionH>
                <wp:positionV relativeFrom="paragraph">
                  <wp:posOffset>31910</wp:posOffset>
                </wp:positionV>
                <wp:extent cx="6502400" cy="17780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512675pt;width:512.000024pt;height:14.000001pt;mso-position-horizontal-relative:page;mso-position-vertical-relative:paragraph;z-index:-23508480" id="docshape84" filled="true" fillcolor="#ccedff" stroked="false">
                <v:fill type="solid"/>
                <w10:wrap type="none"/>
              </v:rect>
            </w:pict>
          </mc:Fallback>
        </mc:AlternateContent>
      </w:r>
      <w:r>
        <w:rPr>
          <w:spacing w:val="-2"/>
        </w:rPr>
        <w:t>Working capital</w:t>
      </w:r>
      <w:r>
        <w:rPr>
          <w:spacing w:val="-2"/>
          <w:vertAlign w:val="superscript"/>
        </w:rPr>
        <w:t>(2)</w:t>
      </w:r>
      <w:r>
        <w:rPr>
          <w:vertAlign w:val="baseline"/>
        </w:rPr>
        <w:tab/>
      </w:r>
      <w:r>
        <w:rPr>
          <w:spacing w:val="-10"/>
          <w:vertAlign w:val="baseline"/>
        </w:rPr>
        <w:t>$</w:t>
      </w:r>
      <w:r>
        <w:rPr>
          <w:vertAlign w:val="baseline"/>
        </w:rPr>
        <w:tab/>
      </w:r>
      <w:r>
        <w:rPr>
          <w:spacing w:val="-2"/>
          <w:vertAlign w:val="baseline"/>
        </w:rPr>
        <w:t>3,720,356</w:t>
      </w:r>
      <w:r>
        <w:rPr>
          <w:vertAlign w:val="baseline"/>
        </w:rPr>
        <w:tab/>
      </w:r>
      <w:r>
        <w:rPr>
          <w:spacing w:val="-10"/>
          <w:vertAlign w:val="baseline"/>
        </w:rPr>
        <w:t>$</w:t>
      </w:r>
      <w:r>
        <w:rPr>
          <w:vertAlign w:val="baseline"/>
        </w:rPr>
        <w:tab/>
      </w:r>
      <w:r>
        <w:rPr>
          <w:spacing w:val="-2"/>
          <w:vertAlign w:val="baseline"/>
        </w:rPr>
        <w:t>3,028,139</w:t>
      </w:r>
      <w:r>
        <w:rPr>
          <w:vertAlign w:val="baseline"/>
        </w:rPr>
        <w:tab/>
      </w:r>
      <w:r>
        <w:rPr>
          <w:spacing w:val="-10"/>
          <w:vertAlign w:val="baseline"/>
        </w:rPr>
        <w:t>$</w:t>
      </w:r>
      <w:r>
        <w:rPr>
          <w:vertAlign w:val="baseline"/>
        </w:rPr>
        <w:tab/>
      </w:r>
      <w:r>
        <w:rPr>
          <w:spacing w:val="-2"/>
          <w:vertAlign w:val="baseline"/>
        </w:rPr>
        <w:t>2,608,336</w:t>
      </w:r>
      <w:r>
        <w:rPr>
          <w:vertAlign w:val="baseline"/>
        </w:rPr>
        <w:tab/>
      </w:r>
      <w:r>
        <w:rPr>
          <w:spacing w:val="-10"/>
          <w:vertAlign w:val="baseline"/>
        </w:rPr>
        <w:t>$</w:t>
      </w:r>
      <w:r>
        <w:rPr>
          <w:vertAlign w:val="baseline"/>
        </w:rPr>
        <w:tab/>
      </w:r>
      <w:r>
        <w:rPr>
          <w:spacing w:val="-2"/>
          <w:vertAlign w:val="baseline"/>
        </w:rPr>
        <w:t>2,107,893</w:t>
      </w:r>
      <w:r>
        <w:rPr>
          <w:vertAlign w:val="baseline"/>
        </w:rPr>
        <w:tab/>
      </w:r>
      <w:r>
        <w:rPr>
          <w:spacing w:val="-10"/>
          <w:vertAlign w:val="baseline"/>
        </w:rPr>
        <w:t>$</w:t>
      </w:r>
      <w:r>
        <w:rPr>
          <w:vertAlign w:val="baseline"/>
        </w:rPr>
        <w:tab/>
      </w:r>
      <w:r>
        <w:rPr>
          <w:spacing w:val="-2"/>
          <w:vertAlign w:val="baseline"/>
        </w:rPr>
        <w:t>2,520,281</w:t>
      </w:r>
    </w:p>
    <w:p>
      <w:pPr>
        <w:pStyle w:val="BodyText"/>
        <w:tabs>
          <w:tab w:pos="3899" w:val="left" w:leader="none"/>
          <w:tab w:pos="5239" w:val="left" w:leader="none"/>
          <w:tab w:pos="6579" w:val="left" w:leader="none"/>
          <w:tab w:pos="7919" w:val="left" w:leader="none"/>
          <w:tab w:pos="9259" w:val="left" w:leader="none"/>
        </w:tabs>
        <w:spacing w:before="50"/>
        <w:ind w:left="400"/>
      </w:pPr>
      <w:r>
        <w:rPr/>
        <w:t>Total</w:t>
      </w:r>
      <w:r>
        <w:rPr>
          <w:spacing w:val="-7"/>
        </w:rPr>
        <w:t> </w:t>
      </w:r>
      <w:r>
        <w:rPr>
          <w:spacing w:val="-2"/>
        </w:rPr>
        <w:t>assets</w:t>
      </w:r>
      <w:r>
        <w:rPr/>
        <w:tab/>
        <w:t>$</w:t>
      </w:r>
      <w:r>
        <w:rPr>
          <w:spacing w:val="57"/>
          <w:w w:val="150"/>
        </w:rPr>
        <w:t> </w:t>
      </w:r>
      <w:r>
        <w:rPr>
          <w:spacing w:val="-2"/>
        </w:rPr>
        <w:t>14,535,556</w:t>
      </w:r>
      <w:r>
        <w:rPr/>
        <w:tab/>
        <w:t>$</w:t>
      </w:r>
      <w:r>
        <w:rPr>
          <w:spacing w:val="55"/>
          <w:w w:val="150"/>
        </w:rPr>
        <w:t> </w:t>
      </w:r>
      <w:r>
        <w:rPr>
          <w:spacing w:val="-2"/>
        </w:rPr>
        <w:t>12,697,246</w:t>
      </w:r>
      <w:r>
        <w:rPr/>
        <w:tab/>
        <w:t>$</w:t>
      </w:r>
      <w:r>
        <w:rPr>
          <w:spacing w:val="57"/>
          <w:w w:val="150"/>
        </w:rPr>
        <w:t> </w:t>
      </w:r>
      <w:r>
        <w:rPr>
          <w:spacing w:val="-2"/>
        </w:rPr>
        <w:t>11,714,500</w:t>
      </w:r>
      <w:r>
        <w:rPr/>
        <w:tab/>
        <w:t>$</w:t>
      </w:r>
      <w:r>
        <w:rPr>
          <w:spacing w:val="57"/>
          <w:w w:val="150"/>
        </w:rPr>
        <w:t> </w:t>
      </w:r>
      <w:r>
        <w:rPr>
          <w:spacing w:val="-2"/>
        </w:rPr>
        <w:t>10,781,991</w:t>
      </w:r>
      <w:r>
        <w:rPr/>
        <w:tab/>
        <w:t>$</w:t>
      </w:r>
      <w:r>
        <w:rPr>
          <w:spacing w:val="57"/>
          <w:w w:val="150"/>
        </w:rPr>
        <w:t> </w:t>
      </w:r>
      <w:r>
        <w:rPr>
          <w:spacing w:val="-2"/>
        </w:rPr>
        <w:t>10,374,940</w:t>
      </w:r>
    </w:p>
    <w:p>
      <w:pPr>
        <w:pStyle w:val="BodyText"/>
        <w:spacing w:line="215" w:lineRule="exact" w:before="68"/>
        <w:ind w:left="400"/>
      </w:pPr>
      <w:r>
        <w:rPr/>
        <mc:AlternateContent>
          <mc:Choice Requires="wps">
            <w:drawing>
              <wp:anchor distT="0" distB="0" distL="0" distR="0" allowOverlap="1" layoutInCell="1" locked="0" behindDoc="1" simplePos="0" relativeHeight="479808512">
                <wp:simplePos x="0" y="0"/>
                <wp:positionH relativeFrom="page">
                  <wp:posOffset>641350</wp:posOffset>
                </wp:positionH>
                <wp:positionV relativeFrom="paragraph">
                  <wp:posOffset>30665</wp:posOffset>
                </wp:positionV>
                <wp:extent cx="6502400" cy="31750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6502400" cy="317500"/>
                        </a:xfrm>
                        <a:custGeom>
                          <a:avLst/>
                          <a:gdLst/>
                          <a:ahLst/>
                          <a:cxnLst/>
                          <a:rect l="l" t="t" r="r" b="b"/>
                          <a:pathLst>
                            <a:path w="6502400" h="317500">
                              <a:moveTo>
                                <a:pt x="6502400" y="0"/>
                              </a:moveTo>
                              <a:lnTo>
                                <a:pt x="6502400" y="0"/>
                              </a:lnTo>
                              <a:lnTo>
                                <a:pt x="0" y="0"/>
                              </a:lnTo>
                              <a:lnTo>
                                <a:pt x="0" y="317500"/>
                              </a:lnTo>
                              <a:lnTo>
                                <a:pt x="6502400" y="3175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2.414630pt;width:512.000024pt;height:25.000001pt;mso-position-horizontal-relative:page;mso-position-vertical-relative:paragraph;z-index:-23507968" id="docshape85" filled="true" fillcolor="#ccedff" stroked="false">
                <v:fill type="solid"/>
                <w10:wrap type="none"/>
              </v:rect>
            </w:pict>
          </mc:Fallback>
        </mc:AlternateContent>
      </w:r>
      <w:r>
        <w:rPr/>
        <w:t>Debt and capital lease obligations, </w:t>
      </w:r>
      <w:r>
        <w:rPr>
          <w:spacing w:val="-4"/>
        </w:rPr>
        <w:t>non-</w:t>
      </w:r>
    </w:p>
    <w:p>
      <w:pPr>
        <w:pStyle w:val="BodyText"/>
        <w:tabs>
          <w:tab w:pos="3899" w:val="left" w:leader="none"/>
          <w:tab w:pos="4232" w:val="left" w:leader="none"/>
          <w:tab w:pos="5239" w:val="left" w:leader="none"/>
          <w:tab w:pos="5572" w:val="left" w:leader="none"/>
          <w:tab w:pos="6579" w:val="left" w:leader="none"/>
          <w:tab w:pos="6912" w:val="left" w:leader="none"/>
          <w:tab w:pos="7919" w:val="left" w:leader="none"/>
          <w:tab w:pos="8402" w:val="left" w:leader="none"/>
          <w:tab w:pos="9259" w:val="left" w:leader="none"/>
          <w:tab w:pos="9592" w:val="left" w:leader="none"/>
        </w:tabs>
        <w:spacing w:line="215" w:lineRule="exact"/>
        <w:ind w:left="400"/>
      </w:pPr>
      <w:r>
        <w:rPr>
          <w:spacing w:val="-2"/>
        </w:rPr>
        <w:t>current</w:t>
      </w:r>
      <w:r>
        <w:rPr/>
        <w:tab/>
      </w:r>
      <w:r>
        <w:rPr>
          <w:spacing w:val="-10"/>
        </w:rPr>
        <w:t>$</w:t>
      </w:r>
      <w:r>
        <w:rPr/>
        <w:tab/>
      </w:r>
      <w:r>
        <w:rPr>
          <w:spacing w:val="-2"/>
        </w:rPr>
        <w:t>1,881,421</w:t>
      </w:r>
      <w:r>
        <w:rPr/>
        <w:tab/>
      </w:r>
      <w:r>
        <w:rPr>
          <w:spacing w:val="-10"/>
        </w:rPr>
        <w:t>$</w:t>
      </w:r>
      <w:r>
        <w:rPr/>
        <w:tab/>
      </w:r>
      <w:r>
        <w:rPr>
          <w:spacing w:val="-2"/>
        </w:rPr>
        <w:t>1,892,200</w:t>
      </w:r>
      <w:r>
        <w:rPr/>
        <w:tab/>
      </w:r>
      <w:r>
        <w:rPr>
          <w:spacing w:val="-10"/>
        </w:rPr>
        <w:t>$</w:t>
      </w:r>
      <w:r>
        <w:rPr/>
        <w:tab/>
      </w:r>
      <w:r>
        <w:rPr>
          <w:spacing w:val="-2"/>
        </w:rPr>
        <w:t>1,895,259</w:t>
      </w:r>
      <w:r>
        <w:rPr/>
        <w:tab/>
      </w:r>
      <w:r>
        <w:rPr>
          <w:spacing w:val="-10"/>
        </w:rPr>
        <w:t>$</w:t>
      </w:r>
      <w:r>
        <w:rPr/>
        <w:tab/>
      </w:r>
      <w:r>
        <w:rPr>
          <w:spacing w:val="-2"/>
        </w:rPr>
        <w:t>907,248</w:t>
      </w:r>
      <w:r>
        <w:rPr/>
        <w:tab/>
      </w:r>
      <w:r>
        <w:rPr>
          <w:spacing w:val="-10"/>
        </w:rPr>
        <w:t>$</w:t>
      </w:r>
      <w:r>
        <w:rPr/>
        <w:tab/>
      </w:r>
      <w:r>
        <w:rPr>
          <w:spacing w:val="-2"/>
        </w:rPr>
        <w:t>1,493,939</w:t>
      </w:r>
    </w:p>
    <w:p>
      <w:pPr>
        <w:pStyle w:val="BodyText"/>
        <w:tabs>
          <w:tab w:pos="3899" w:val="left" w:leader="none"/>
          <w:tab w:pos="4232" w:val="left" w:leader="none"/>
          <w:tab w:pos="5239" w:val="left" w:leader="none"/>
          <w:tab w:pos="5572" w:val="left" w:leader="none"/>
          <w:tab w:pos="6579" w:val="left" w:leader="none"/>
          <w:tab w:pos="6912" w:val="left" w:leader="none"/>
          <w:tab w:pos="7919" w:val="left" w:leader="none"/>
          <w:tab w:pos="8252" w:val="left" w:leader="none"/>
          <w:tab w:pos="9259" w:val="left" w:leader="none"/>
          <w:tab w:pos="9592" w:val="left" w:leader="none"/>
        </w:tabs>
        <w:spacing w:line="292" w:lineRule="auto" w:before="52"/>
        <w:ind w:left="280" w:right="326" w:firstLine="120"/>
      </w:pPr>
      <w:r>
        <w:rPr/>
        <mc:AlternateContent>
          <mc:Choice Requires="wps">
            <w:drawing>
              <wp:anchor distT="0" distB="0" distL="0" distR="0" allowOverlap="1" layoutInCell="1" locked="0" behindDoc="1" simplePos="0" relativeHeight="479809024">
                <wp:simplePos x="0" y="0"/>
                <wp:positionH relativeFrom="page">
                  <wp:posOffset>641350</wp:posOffset>
                </wp:positionH>
                <wp:positionV relativeFrom="paragraph">
                  <wp:posOffset>209748</wp:posOffset>
                </wp:positionV>
                <wp:extent cx="6502400" cy="17780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50.500004pt;margin-top:16.515608pt;width:512.000024pt;height:14.000001pt;mso-position-horizontal-relative:page;mso-position-vertical-relative:paragraph;z-index:-23507456" id="docshape86" filled="true" fillcolor="#ccedff" stroked="false">
                <v:fill type="solid"/>
                <w10:wrap type="none"/>
              </v:rect>
            </w:pict>
          </mc:Fallback>
        </mc:AlternateContent>
      </w:r>
      <w:r>
        <w:rPr/>
        <w:t>Stockholders’</w:t>
      </w:r>
      <w:r>
        <w:rPr>
          <w:spacing w:val="-7"/>
        </w:rPr>
        <w:t> </w:t>
      </w:r>
      <w:r>
        <w:rPr/>
        <w:t>equity</w:t>
        <w:tab/>
      </w:r>
      <w:r>
        <w:rPr>
          <w:spacing w:val="-10"/>
        </w:rPr>
        <w:t>$</w:t>
      </w:r>
      <w:r>
        <w:rPr/>
        <w:tab/>
      </w:r>
      <w:r>
        <w:rPr>
          <w:spacing w:val="-2"/>
        </w:rPr>
        <w:t>8,459,869</w:t>
      </w:r>
      <w:r>
        <w:rPr/>
        <w:tab/>
      </w:r>
      <w:r>
        <w:rPr>
          <w:spacing w:val="-10"/>
        </w:rPr>
        <w:t>$</w:t>
      </w:r>
      <w:r>
        <w:rPr/>
        <w:tab/>
      </w:r>
      <w:r>
        <w:rPr>
          <w:spacing w:val="-2"/>
        </w:rPr>
        <w:t>7,424,835</w:t>
      </w:r>
      <w:r>
        <w:rPr/>
        <w:tab/>
      </w:r>
      <w:r>
        <w:rPr>
          <w:spacing w:val="-10"/>
        </w:rPr>
        <w:t>$</w:t>
      </w:r>
      <w:r>
        <w:rPr/>
        <w:tab/>
      </w:r>
      <w:r>
        <w:rPr>
          <w:spacing w:val="-2"/>
        </w:rPr>
        <w:t>7,001,580</w:t>
      </w:r>
      <w:r>
        <w:rPr/>
        <w:tab/>
      </w:r>
      <w:r>
        <w:rPr>
          <w:spacing w:val="-10"/>
        </w:rPr>
        <w:t>$</w:t>
      </w:r>
      <w:r>
        <w:rPr/>
        <w:tab/>
      </w:r>
      <w:r>
        <w:rPr>
          <w:spacing w:val="-2"/>
        </w:rPr>
        <w:t>6,775,905</w:t>
      </w:r>
      <w:r>
        <w:rPr/>
        <w:tab/>
      </w:r>
      <w:r>
        <w:rPr>
          <w:spacing w:val="-10"/>
        </w:rPr>
        <w:t>$</w:t>
      </w:r>
      <w:r>
        <w:rPr/>
        <w:tab/>
      </w:r>
      <w:r>
        <w:rPr>
          <w:spacing w:val="-2"/>
        </w:rPr>
        <w:t>6,724,634 </w:t>
      </w:r>
      <w:r>
        <w:rPr/>
        <w:t>Additional data:</w:t>
      </w:r>
    </w:p>
    <w:p>
      <w:pPr>
        <w:pStyle w:val="BodyText"/>
        <w:tabs>
          <w:tab w:pos="4482" w:val="left" w:leader="none"/>
          <w:tab w:pos="5822" w:val="left" w:leader="none"/>
          <w:tab w:pos="7162" w:val="left" w:leader="none"/>
          <w:tab w:pos="8502" w:val="left" w:leader="none"/>
          <w:tab w:pos="9842" w:val="left" w:leader="none"/>
        </w:tabs>
        <w:spacing w:line="229" w:lineRule="exact"/>
        <w:ind w:left="400"/>
      </w:pPr>
      <w:r>
        <w:rPr>
          <w:spacing w:val="-2"/>
        </w:rPr>
        <w:t>Worldwide</w:t>
      </w:r>
      <w:r>
        <w:rPr>
          <w:spacing w:val="2"/>
        </w:rPr>
        <w:t> </w:t>
      </w:r>
      <w:r>
        <w:rPr>
          <w:spacing w:val="-2"/>
        </w:rPr>
        <w:t>employees</w:t>
      </w:r>
      <w:r>
        <w:rPr/>
        <w:tab/>
      </w:r>
      <w:r>
        <w:rPr>
          <w:spacing w:val="-2"/>
        </w:rPr>
        <w:t>17,973</w:t>
      </w:r>
      <w:r>
        <w:rPr/>
        <w:tab/>
      </w:r>
      <w:r>
        <w:rPr>
          <w:spacing w:val="-2"/>
        </w:rPr>
        <w:t>15,706</w:t>
      </w:r>
      <w:r>
        <w:rPr/>
        <w:tab/>
      </w:r>
      <w:r>
        <w:rPr>
          <w:spacing w:val="-2"/>
        </w:rPr>
        <w:t>13,893</w:t>
      </w:r>
      <w:r>
        <w:rPr/>
        <w:tab/>
      </w:r>
      <w:r>
        <w:rPr>
          <w:spacing w:val="-2"/>
        </w:rPr>
        <w:t>12,499</w:t>
      </w:r>
      <w:r>
        <w:rPr/>
        <w:tab/>
      </w:r>
      <w:r>
        <w:rPr>
          <w:spacing w:val="-2"/>
        </w:rPr>
        <w:t>11,847</w:t>
      </w:r>
    </w:p>
    <w:p>
      <w:pPr>
        <w:pStyle w:val="BodyText"/>
        <w:spacing w:before="5"/>
        <w:rPr>
          <w:sz w:val="16"/>
        </w:rPr>
      </w:pPr>
      <w:r>
        <w:rPr/>
        <mc:AlternateContent>
          <mc:Choice Requires="wps">
            <w:drawing>
              <wp:anchor distT="0" distB="0" distL="0" distR="0" allowOverlap="1" layoutInCell="1" locked="0" behindDoc="1" simplePos="0" relativeHeight="487606272">
                <wp:simplePos x="0" y="0"/>
                <wp:positionH relativeFrom="page">
                  <wp:posOffset>635000</wp:posOffset>
                </wp:positionH>
                <wp:positionV relativeFrom="paragraph">
                  <wp:posOffset>135389</wp:posOffset>
                </wp:positionV>
                <wp:extent cx="1692275"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0.660603pt;width:133.25pt;height:.1pt;mso-position-horizontal-relative:page;mso-position-vertical-relative:paragraph;z-index:-15710208;mso-wrap-distance-left:0;mso-wrap-distance-right:0" id="docshape87" coordorigin="1000,213" coordsize="2665,0" path="m1000,213l3665,213e" filled="false" stroked="true" strokeweight=".26pt" strokecolor="#000000">
                <v:path arrowok="t"/>
                <v:stroke dashstyle="solid"/>
                <w10:wrap type="topAndBottom"/>
              </v:shape>
            </w:pict>
          </mc:Fallback>
        </mc:AlternateContent>
      </w:r>
    </w:p>
    <w:p>
      <w:pPr>
        <w:pStyle w:val="BodyText"/>
        <w:spacing w:line="249" w:lineRule="auto" w:before="116"/>
        <w:ind w:left="580" w:right="257" w:hanging="360"/>
        <w:jc w:val="both"/>
      </w:pPr>
      <w:r>
        <w:rPr>
          <w:vertAlign w:val="superscript"/>
        </w:rPr>
        <w:t>(1)</w:t>
      </w:r>
      <w:r>
        <w:rPr>
          <w:spacing w:val="73"/>
          <w:w w:val="150"/>
          <w:vertAlign w:val="baseline"/>
        </w:rPr>
        <w:t> </w:t>
      </w:r>
      <w:r>
        <w:rPr>
          <w:vertAlign w:val="baseline"/>
        </w:rPr>
        <w:t>Information</w:t>
      </w:r>
      <w:r>
        <w:rPr>
          <w:spacing w:val="-13"/>
          <w:vertAlign w:val="baseline"/>
        </w:rPr>
        <w:t> </w:t>
      </w:r>
      <w:r>
        <w:rPr>
          <w:vertAlign w:val="baseline"/>
        </w:rPr>
        <w:t>associated</w:t>
      </w:r>
      <w:r>
        <w:rPr>
          <w:spacing w:val="-12"/>
          <w:vertAlign w:val="baseline"/>
        </w:rPr>
        <w:t> </w:t>
      </w:r>
      <w:r>
        <w:rPr>
          <w:vertAlign w:val="baseline"/>
        </w:rPr>
        <w:t>with</w:t>
      </w:r>
      <w:r>
        <w:rPr>
          <w:spacing w:val="-13"/>
          <w:vertAlign w:val="baseline"/>
        </w:rPr>
        <w:t> </w:t>
      </w:r>
      <w:r>
        <w:rPr>
          <w:vertAlign w:val="baseline"/>
        </w:rPr>
        <w:t>our</w:t>
      </w:r>
      <w:r>
        <w:rPr>
          <w:spacing w:val="-12"/>
          <w:vertAlign w:val="baseline"/>
        </w:rPr>
        <w:t> </w:t>
      </w:r>
      <w:r>
        <w:rPr>
          <w:vertAlign w:val="baseline"/>
        </w:rPr>
        <w:t>financial</w:t>
      </w:r>
      <w:r>
        <w:rPr>
          <w:spacing w:val="-13"/>
          <w:vertAlign w:val="baseline"/>
        </w:rPr>
        <w:t> </w:t>
      </w:r>
      <w:r>
        <w:rPr>
          <w:vertAlign w:val="baseline"/>
        </w:rPr>
        <w:t>position</w:t>
      </w:r>
      <w:r>
        <w:rPr>
          <w:spacing w:val="-12"/>
          <w:vertAlign w:val="baseline"/>
        </w:rPr>
        <w:t> </w:t>
      </w:r>
      <w:r>
        <w:rPr>
          <w:vertAlign w:val="baseline"/>
        </w:rPr>
        <w:t>is</w:t>
      </w:r>
      <w:r>
        <w:rPr>
          <w:spacing w:val="-13"/>
          <w:vertAlign w:val="baseline"/>
        </w:rPr>
        <w:t> </w:t>
      </w:r>
      <w:r>
        <w:rPr>
          <w:vertAlign w:val="baseline"/>
        </w:rPr>
        <w:t>as</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Friday</w:t>
      </w:r>
      <w:r>
        <w:rPr>
          <w:spacing w:val="-13"/>
          <w:vertAlign w:val="baseline"/>
        </w:rPr>
        <w:t> </w:t>
      </w:r>
      <w:r>
        <w:rPr>
          <w:vertAlign w:val="baseline"/>
        </w:rPr>
        <w:t>closest</w:t>
      </w:r>
      <w:r>
        <w:rPr>
          <w:spacing w:val="-12"/>
          <w:vertAlign w:val="baseline"/>
        </w:rPr>
        <w:t> </w:t>
      </w:r>
      <w:r>
        <w:rPr>
          <w:vertAlign w:val="baseline"/>
        </w:rPr>
        <w:t>to</w:t>
      </w:r>
      <w:r>
        <w:rPr>
          <w:spacing w:val="-13"/>
          <w:vertAlign w:val="baseline"/>
        </w:rPr>
        <w:t> </w:t>
      </w:r>
      <w:r>
        <w:rPr>
          <w:vertAlign w:val="baseline"/>
        </w:rPr>
        <w:t>November</w:t>
      </w:r>
      <w:r>
        <w:rPr>
          <w:spacing w:val="-12"/>
          <w:vertAlign w:val="baseline"/>
        </w:rPr>
        <w:t> </w:t>
      </w:r>
      <w:r>
        <w:rPr>
          <w:vertAlign w:val="baseline"/>
        </w:rPr>
        <w:t>30</w:t>
      </w:r>
      <w:r>
        <w:rPr>
          <w:spacing w:val="-13"/>
          <w:vertAlign w:val="baseline"/>
        </w:rPr>
        <w:t> </w:t>
      </w:r>
      <w:r>
        <w:rPr>
          <w:vertAlign w:val="baseline"/>
        </w:rPr>
        <w:t>for</w:t>
      </w:r>
      <w:r>
        <w:rPr>
          <w:spacing w:val="-12"/>
          <w:vertAlign w:val="baseline"/>
        </w:rPr>
        <w:t> </w:t>
      </w:r>
      <w:r>
        <w:rPr>
          <w:vertAlign w:val="baseline"/>
        </w:rPr>
        <w:t>the</w:t>
      </w:r>
      <w:r>
        <w:rPr>
          <w:spacing w:val="-13"/>
          <w:vertAlign w:val="baseline"/>
        </w:rPr>
        <w:t> </w:t>
      </w:r>
      <w:r>
        <w:rPr>
          <w:vertAlign w:val="baseline"/>
        </w:rPr>
        <w:t>five</w:t>
      </w:r>
      <w:r>
        <w:rPr>
          <w:spacing w:val="-12"/>
          <w:vertAlign w:val="baseline"/>
        </w:rPr>
        <w:t> </w:t>
      </w:r>
      <w:r>
        <w:rPr>
          <w:vertAlign w:val="baseline"/>
        </w:rPr>
        <w:t>fiscal</w:t>
      </w:r>
      <w:r>
        <w:rPr>
          <w:spacing w:val="-13"/>
          <w:vertAlign w:val="baseline"/>
        </w:rPr>
        <w:t> </w:t>
      </w:r>
      <w:r>
        <w:rPr>
          <w:vertAlign w:val="baseline"/>
        </w:rPr>
        <w:t>periods</w:t>
      </w:r>
      <w:r>
        <w:rPr>
          <w:spacing w:val="-12"/>
          <w:vertAlign w:val="baseline"/>
        </w:rPr>
        <w:t> </w:t>
      </w:r>
      <w:r>
        <w:rPr>
          <w:vertAlign w:val="baseline"/>
        </w:rPr>
        <w:t>through </w:t>
      </w:r>
      <w:r>
        <w:rPr>
          <w:spacing w:val="-2"/>
          <w:vertAlign w:val="baseline"/>
        </w:rPr>
        <w:t>2017.</w:t>
      </w:r>
    </w:p>
    <w:p>
      <w:pPr>
        <w:pStyle w:val="BodyText"/>
        <w:spacing w:line="249" w:lineRule="auto" w:before="181"/>
        <w:ind w:left="580" w:right="257" w:hanging="360"/>
        <w:jc w:val="both"/>
      </w:pPr>
      <w:r>
        <w:rPr>
          <w:vertAlign w:val="superscript"/>
        </w:rPr>
        <w:t>(2)</w:t>
      </w:r>
      <w:r>
        <w:rPr>
          <w:spacing w:val="80"/>
          <w:w w:val="150"/>
          <w:vertAlign w:val="baseline"/>
        </w:rPr>
        <w:t> </w:t>
      </w:r>
      <w:r>
        <w:rPr>
          <w:vertAlign w:val="baseline"/>
        </w:rPr>
        <w:t>For</w:t>
      </w:r>
      <w:r>
        <w:rPr>
          <w:spacing w:val="-8"/>
          <w:vertAlign w:val="baseline"/>
        </w:rPr>
        <w:t> </w:t>
      </w:r>
      <w:r>
        <w:rPr>
          <w:vertAlign w:val="baseline"/>
        </w:rPr>
        <w:t>fiscal</w:t>
      </w:r>
      <w:r>
        <w:rPr>
          <w:spacing w:val="-8"/>
          <w:vertAlign w:val="baseline"/>
        </w:rPr>
        <w:t> </w:t>
      </w:r>
      <w:r>
        <w:rPr>
          <w:vertAlign w:val="baseline"/>
        </w:rPr>
        <w:t>2014</w:t>
      </w:r>
      <w:r>
        <w:rPr>
          <w:spacing w:val="-8"/>
          <w:vertAlign w:val="baseline"/>
        </w:rPr>
        <w:t> </w:t>
      </w:r>
      <w:r>
        <w:rPr>
          <w:vertAlign w:val="baseline"/>
        </w:rPr>
        <w:t>and</w:t>
      </w:r>
      <w:r>
        <w:rPr>
          <w:spacing w:val="-7"/>
          <w:vertAlign w:val="baseline"/>
        </w:rPr>
        <w:t> </w:t>
      </w:r>
      <w:r>
        <w:rPr>
          <w:vertAlign w:val="baseline"/>
        </w:rPr>
        <w:t>prior,</w:t>
      </w:r>
      <w:r>
        <w:rPr>
          <w:spacing w:val="-7"/>
          <w:vertAlign w:val="baseline"/>
        </w:rPr>
        <w:t> </w:t>
      </w:r>
      <w:r>
        <w:rPr>
          <w:vertAlign w:val="baseline"/>
        </w:rPr>
        <w:t>our</w:t>
      </w:r>
      <w:r>
        <w:rPr>
          <w:spacing w:val="-8"/>
          <w:vertAlign w:val="baseline"/>
        </w:rPr>
        <w:t> </w:t>
      </w:r>
      <w:r>
        <w:rPr>
          <w:vertAlign w:val="baseline"/>
        </w:rPr>
        <w:t>working</w:t>
      </w:r>
      <w:r>
        <w:rPr>
          <w:spacing w:val="-7"/>
          <w:vertAlign w:val="baseline"/>
        </w:rPr>
        <w:t> </w:t>
      </w:r>
      <w:r>
        <w:rPr>
          <w:vertAlign w:val="baseline"/>
        </w:rPr>
        <w:t>capital</w:t>
      </w:r>
      <w:r>
        <w:rPr>
          <w:spacing w:val="-8"/>
          <w:vertAlign w:val="baseline"/>
        </w:rPr>
        <w:t> </w:t>
      </w:r>
      <w:r>
        <w:rPr>
          <w:vertAlign w:val="baseline"/>
        </w:rPr>
        <w:t>did</w:t>
      </w:r>
      <w:r>
        <w:rPr>
          <w:spacing w:val="-7"/>
          <w:vertAlign w:val="baseline"/>
        </w:rPr>
        <w:t> </w:t>
      </w:r>
      <w:r>
        <w:rPr>
          <w:vertAlign w:val="baseline"/>
        </w:rPr>
        <w:t>not</w:t>
      </w:r>
      <w:r>
        <w:rPr>
          <w:spacing w:val="-8"/>
          <w:vertAlign w:val="baseline"/>
        </w:rPr>
        <w:t> </w:t>
      </w:r>
      <w:r>
        <w:rPr>
          <w:vertAlign w:val="baseline"/>
        </w:rPr>
        <w:t>include</w:t>
      </w:r>
      <w:r>
        <w:rPr>
          <w:spacing w:val="-8"/>
          <w:vertAlign w:val="baseline"/>
        </w:rPr>
        <w:t> </w:t>
      </w:r>
      <w:r>
        <w:rPr>
          <w:vertAlign w:val="baseline"/>
        </w:rPr>
        <w:t>the</w:t>
      </w:r>
      <w:r>
        <w:rPr>
          <w:spacing w:val="-8"/>
          <w:vertAlign w:val="baseline"/>
        </w:rPr>
        <w:t> </w:t>
      </w:r>
      <w:r>
        <w:rPr>
          <w:vertAlign w:val="baseline"/>
        </w:rPr>
        <w:t>effects</w:t>
      </w:r>
      <w:r>
        <w:rPr>
          <w:spacing w:val="-8"/>
          <w:vertAlign w:val="baseline"/>
        </w:rPr>
        <w:t> </w:t>
      </w:r>
      <w:r>
        <w:rPr>
          <w:vertAlign w:val="baseline"/>
        </w:rPr>
        <w:t>of</w:t>
      </w:r>
      <w:r>
        <w:rPr>
          <w:spacing w:val="-7"/>
          <w:vertAlign w:val="baseline"/>
        </w:rPr>
        <w:t> </w:t>
      </w:r>
      <w:r>
        <w:rPr>
          <w:vertAlign w:val="baseline"/>
        </w:rPr>
        <w:t>the</w:t>
      </w:r>
      <w:r>
        <w:rPr>
          <w:spacing w:val="-8"/>
          <w:vertAlign w:val="baseline"/>
        </w:rPr>
        <w:t> </w:t>
      </w:r>
      <w:r>
        <w:rPr>
          <w:vertAlign w:val="baseline"/>
        </w:rPr>
        <w:t>adoption</w:t>
      </w:r>
      <w:r>
        <w:rPr>
          <w:spacing w:val="-8"/>
          <w:vertAlign w:val="baseline"/>
        </w:rPr>
        <w:t> </w:t>
      </w:r>
      <w:r>
        <w:rPr>
          <w:vertAlign w:val="baseline"/>
        </w:rPr>
        <w:t>of</w:t>
      </w:r>
      <w:r>
        <w:rPr>
          <w:spacing w:val="-13"/>
          <w:vertAlign w:val="baseline"/>
        </w:rPr>
        <w:t> </w:t>
      </w:r>
      <w:r>
        <w:rPr>
          <w:vertAlign w:val="baseline"/>
        </w:rPr>
        <w:t>ASU</w:t>
      </w:r>
      <w:r>
        <w:rPr>
          <w:spacing w:val="-7"/>
          <w:vertAlign w:val="baseline"/>
        </w:rPr>
        <w:t> </w:t>
      </w:r>
      <w:r>
        <w:rPr>
          <w:vertAlign w:val="baseline"/>
        </w:rPr>
        <w:t>No.</w:t>
      </w:r>
      <w:r>
        <w:rPr>
          <w:spacing w:val="-8"/>
          <w:vertAlign w:val="baseline"/>
        </w:rPr>
        <w:t> </w:t>
      </w:r>
      <w:r>
        <w:rPr>
          <w:vertAlign w:val="baseline"/>
        </w:rPr>
        <w:t>2015-17,</w:t>
      </w:r>
      <w:r>
        <w:rPr>
          <w:spacing w:val="-8"/>
          <w:vertAlign w:val="baseline"/>
        </w:rPr>
        <w:t> </w:t>
      </w:r>
      <w:r>
        <w:rPr>
          <w:vertAlign w:val="baseline"/>
        </w:rPr>
        <w:t>Balance</w:t>
      </w:r>
      <w:r>
        <w:rPr>
          <w:spacing w:val="-8"/>
          <w:vertAlign w:val="baseline"/>
        </w:rPr>
        <w:t> </w:t>
      </w:r>
      <w:r>
        <w:rPr>
          <w:vertAlign w:val="baseline"/>
        </w:rPr>
        <w:t>Sheet Classification</w:t>
      </w:r>
      <w:r>
        <w:rPr>
          <w:spacing w:val="-7"/>
          <w:vertAlign w:val="baseline"/>
        </w:rPr>
        <w:t> </w:t>
      </w:r>
      <w:r>
        <w:rPr>
          <w:vertAlign w:val="baseline"/>
        </w:rPr>
        <w:t>of</w:t>
      </w:r>
      <w:r>
        <w:rPr>
          <w:spacing w:val="-7"/>
          <w:vertAlign w:val="baseline"/>
        </w:rPr>
        <w:t> </w:t>
      </w:r>
      <w:r>
        <w:rPr>
          <w:vertAlign w:val="baseline"/>
        </w:rPr>
        <w:t>Deferred</w:t>
      </w:r>
      <w:r>
        <w:rPr>
          <w:spacing w:val="-10"/>
          <w:vertAlign w:val="baseline"/>
        </w:rPr>
        <w:t> </w:t>
      </w:r>
      <w:r>
        <w:rPr>
          <w:vertAlign w:val="baseline"/>
        </w:rPr>
        <w:t>Taxes,</w:t>
      </w:r>
      <w:r>
        <w:rPr>
          <w:spacing w:val="-7"/>
          <w:vertAlign w:val="baseline"/>
        </w:rPr>
        <w:t> </w:t>
      </w:r>
      <w:r>
        <w:rPr>
          <w:vertAlign w:val="baseline"/>
        </w:rPr>
        <w:t>which</w:t>
      </w:r>
      <w:r>
        <w:rPr>
          <w:spacing w:val="-7"/>
          <w:vertAlign w:val="baseline"/>
        </w:rPr>
        <w:t> </w:t>
      </w:r>
      <w:r>
        <w:rPr>
          <w:vertAlign w:val="baseline"/>
        </w:rPr>
        <w:t>required</w:t>
      </w:r>
      <w:r>
        <w:rPr>
          <w:spacing w:val="-7"/>
          <w:vertAlign w:val="baseline"/>
        </w:rPr>
        <w:t> </w:t>
      </w:r>
      <w:r>
        <w:rPr>
          <w:vertAlign w:val="baseline"/>
        </w:rPr>
        <w:t>all</w:t>
      </w:r>
      <w:r>
        <w:rPr>
          <w:spacing w:val="-7"/>
          <w:vertAlign w:val="baseline"/>
        </w:rPr>
        <w:t> </w:t>
      </w:r>
      <w:r>
        <w:rPr>
          <w:vertAlign w:val="baseline"/>
        </w:rPr>
        <w:t>deferred</w:t>
      </w:r>
      <w:r>
        <w:rPr>
          <w:spacing w:val="-7"/>
          <w:vertAlign w:val="baseline"/>
        </w:rPr>
        <w:t> </w:t>
      </w:r>
      <w:r>
        <w:rPr>
          <w:vertAlign w:val="baseline"/>
        </w:rPr>
        <w:t>tax</w:t>
      </w:r>
      <w:r>
        <w:rPr>
          <w:spacing w:val="-7"/>
          <w:vertAlign w:val="baseline"/>
        </w:rPr>
        <w:t> </w:t>
      </w:r>
      <w:r>
        <w:rPr>
          <w:vertAlign w:val="baseline"/>
        </w:rPr>
        <w:t>assets</w:t>
      </w:r>
      <w:r>
        <w:rPr>
          <w:spacing w:val="-7"/>
          <w:vertAlign w:val="baseline"/>
        </w:rPr>
        <w:t> </w:t>
      </w:r>
      <w:r>
        <w:rPr>
          <w:vertAlign w:val="baseline"/>
        </w:rPr>
        <w:t>and</w:t>
      </w:r>
      <w:r>
        <w:rPr>
          <w:spacing w:val="-7"/>
          <w:vertAlign w:val="baseline"/>
        </w:rPr>
        <w:t> </w:t>
      </w:r>
      <w:r>
        <w:rPr>
          <w:vertAlign w:val="baseline"/>
        </w:rPr>
        <w:t>liabilities</w:t>
      </w:r>
      <w:r>
        <w:rPr>
          <w:spacing w:val="-6"/>
          <w:vertAlign w:val="baseline"/>
        </w:rPr>
        <w:t> </w:t>
      </w:r>
      <w:r>
        <w:rPr>
          <w:vertAlign w:val="baseline"/>
        </w:rPr>
        <w:t>and</w:t>
      </w:r>
      <w:r>
        <w:rPr>
          <w:spacing w:val="-7"/>
          <w:vertAlign w:val="baseline"/>
        </w:rPr>
        <w:t> </w:t>
      </w:r>
      <w:r>
        <w:rPr>
          <w:vertAlign w:val="baseline"/>
        </w:rPr>
        <w:t>any</w:t>
      </w:r>
      <w:r>
        <w:rPr>
          <w:spacing w:val="-7"/>
          <w:vertAlign w:val="baseline"/>
        </w:rPr>
        <w:t> </w:t>
      </w:r>
      <w:r>
        <w:rPr>
          <w:vertAlign w:val="baseline"/>
        </w:rPr>
        <w:t>related</w:t>
      </w:r>
      <w:r>
        <w:rPr>
          <w:spacing w:val="-7"/>
          <w:vertAlign w:val="baseline"/>
        </w:rPr>
        <w:t> </w:t>
      </w:r>
      <w:r>
        <w:rPr>
          <w:vertAlign w:val="baseline"/>
        </w:rPr>
        <w:t>valuation</w:t>
      </w:r>
      <w:r>
        <w:rPr>
          <w:spacing w:val="-7"/>
          <w:vertAlign w:val="baseline"/>
        </w:rPr>
        <w:t> </w:t>
      </w:r>
      <w:r>
        <w:rPr>
          <w:vertAlign w:val="baseline"/>
        </w:rPr>
        <w:t>allowance</w:t>
      </w:r>
      <w:r>
        <w:rPr>
          <w:spacing w:val="-7"/>
          <w:vertAlign w:val="baseline"/>
        </w:rPr>
        <w:t> </w:t>
      </w:r>
      <w:r>
        <w:rPr>
          <w:vertAlign w:val="baseline"/>
        </w:rPr>
        <w:t>to be</w:t>
      </w:r>
      <w:r>
        <w:rPr>
          <w:spacing w:val="-8"/>
          <w:vertAlign w:val="baseline"/>
        </w:rPr>
        <w:t> </w:t>
      </w:r>
      <w:r>
        <w:rPr>
          <w:vertAlign w:val="baseline"/>
        </w:rPr>
        <w:t>classified</w:t>
      </w:r>
      <w:r>
        <w:rPr>
          <w:spacing w:val="-8"/>
          <w:vertAlign w:val="baseline"/>
        </w:rPr>
        <w:t> </w:t>
      </w:r>
      <w:r>
        <w:rPr>
          <w:vertAlign w:val="baseline"/>
        </w:rPr>
        <w:t>as</w:t>
      </w:r>
      <w:r>
        <w:rPr>
          <w:spacing w:val="-8"/>
          <w:vertAlign w:val="baseline"/>
        </w:rPr>
        <w:t> </w:t>
      </w:r>
      <w:r>
        <w:rPr>
          <w:vertAlign w:val="baseline"/>
        </w:rPr>
        <w:t>non-current</w:t>
      </w:r>
      <w:r>
        <w:rPr>
          <w:spacing w:val="-8"/>
          <w:vertAlign w:val="baseline"/>
        </w:rPr>
        <w:t> </w:t>
      </w:r>
      <w:r>
        <w:rPr>
          <w:vertAlign w:val="baseline"/>
        </w:rPr>
        <w:t>on</w:t>
      </w:r>
      <w:r>
        <w:rPr>
          <w:spacing w:val="-8"/>
          <w:vertAlign w:val="baseline"/>
        </w:rPr>
        <w:t> </w:t>
      </w:r>
      <w:r>
        <w:rPr>
          <w:vertAlign w:val="baseline"/>
        </w:rPr>
        <w:t>our</w:t>
      </w:r>
      <w:r>
        <w:rPr>
          <w:spacing w:val="-8"/>
          <w:vertAlign w:val="baseline"/>
        </w:rPr>
        <w:t> </w:t>
      </w:r>
      <w:r>
        <w:rPr>
          <w:vertAlign w:val="baseline"/>
        </w:rPr>
        <w:t>Consolidated</w:t>
      </w:r>
      <w:r>
        <w:rPr>
          <w:spacing w:val="-8"/>
          <w:vertAlign w:val="baseline"/>
        </w:rPr>
        <w:t> </w:t>
      </w:r>
      <w:r>
        <w:rPr>
          <w:vertAlign w:val="baseline"/>
        </w:rPr>
        <w:t>Balance</w:t>
      </w:r>
      <w:r>
        <w:rPr>
          <w:spacing w:val="-8"/>
          <w:vertAlign w:val="baseline"/>
        </w:rPr>
        <w:t> </w:t>
      </w:r>
      <w:r>
        <w:rPr>
          <w:vertAlign w:val="baseline"/>
        </w:rPr>
        <w:t>Sheets.</w:t>
      </w:r>
      <w:r>
        <w:rPr>
          <w:spacing w:val="-10"/>
          <w:vertAlign w:val="baseline"/>
        </w:rPr>
        <w:t> </w:t>
      </w:r>
      <w:r>
        <w:rPr>
          <w:vertAlign w:val="baseline"/>
        </w:rPr>
        <w:t>The</w:t>
      </w:r>
      <w:r>
        <w:rPr>
          <w:spacing w:val="-8"/>
          <w:vertAlign w:val="baseline"/>
        </w:rPr>
        <w:t> </w:t>
      </w:r>
      <w:r>
        <w:rPr>
          <w:vertAlign w:val="baseline"/>
        </w:rPr>
        <w:t>new</w:t>
      </w:r>
      <w:r>
        <w:rPr>
          <w:spacing w:val="-8"/>
          <w:vertAlign w:val="baseline"/>
        </w:rPr>
        <w:t> </w:t>
      </w:r>
      <w:r>
        <w:rPr>
          <w:vertAlign w:val="baseline"/>
        </w:rPr>
        <w:t>standard</w:t>
      </w:r>
      <w:r>
        <w:rPr>
          <w:spacing w:val="-8"/>
          <w:vertAlign w:val="baseline"/>
        </w:rPr>
        <w:t> </w:t>
      </w:r>
      <w:r>
        <w:rPr>
          <w:vertAlign w:val="baseline"/>
        </w:rPr>
        <w:t>was</w:t>
      </w:r>
      <w:r>
        <w:rPr>
          <w:spacing w:val="-8"/>
          <w:vertAlign w:val="baseline"/>
        </w:rPr>
        <w:t> </w:t>
      </w:r>
      <w:r>
        <w:rPr>
          <w:vertAlign w:val="baseline"/>
        </w:rPr>
        <w:t>adopted</w:t>
      </w:r>
      <w:r>
        <w:rPr>
          <w:spacing w:val="-8"/>
          <w:vertAlign w:val="baseline"/>
        </w:rPr>
        <w:t> </w:t>
      </w:r>
      <w:r>
        <w:rPr>
          <w:vertAlign w:val="baseline"/>
        </w:rPr>
        <w:t>prospectively</w:t>
      </w:r>
      <w:r>
        <w:rPr>
          <w:spacing w:val="-8"/>
          <w:vertAlign w:val="baseline"/>
        </w:rPr>
        <w:t> </w:t>
      </w:r>
      <w:r>
        <w:rPr>
          <w:vertAlign w:val="baseline"/>
        </w:rPr>
        <w:t>starting</w:t>
      </w:r>
      <w:r>
        <w:rPr>
          <w:spacing w:val="-8"/>
          <w:vertAlign w:val="baseline"/>
        </w:rPr>
        <w:t> </w:t>
      </w:r>
      <w:r>
        <w:rPr>
          <w:vertAlign w:val="baseline"/>
        </w:rPr>
        <w:t>fiscal </w:t>
      </w:r>
      <w:r>
        <w:rPr>
          <w:spacing w:val="-2"/>
          <w:vertAlign w:val="baseline"/>
        </w:rPr>
        <w:t>2015.</w:t>
      </w:r>
    </w:p>
    <w:p>
      <w:pPr>
        <w:spacing w:after="0" w:line="249" w:lineRule="auto"/>
        <w:jc w:val="both"/>
        <w:sectPr>
          <w:pgSz w:w="12240" w:h="15840"/>
          <w:pgMar w:header="210" w:footer="579" w:top="420" w:bottom="800" w:left="780" w:right="740"/>
        </w:sectPr>
      </w:pPr>
    </w:p>
    <w:p>
      <w:pPr>
        <w:pStyle w:val="BodyText"/>
        <w:spacing w:before="147"/>
      </w:pPr>
    </w:p>
    <w:p>
      <w:pPr>
        <w:pStyle w:val="Heading1"/>
        <w:spacing w:line="249" w:lineRule="auto"/>
      </w:pPr>
      <w:bookmarkStart w:name="Item 7. Management's Discussion and Anal" w:id="35"/>
      <w:bookmarkEnd w:id="35"/>
      <w:r>
        <w:rPr>
          <w:b w:val="0"/>
        </w:rPr>
      </w:r>
      <w:bookmarkStart w:name="_bookmark11" w:id="36"/>
      <w:bookmarkEnd w:id="36"/>
      <w:r>
        <w:rPr>
          <w:b w:val="0"/>
        </w:rPr>
      </w:r>
      <w:r>
        <w:rPr/>
        <w:t>ITEM</w:t>
      </w:r>
      <w:r>
        <w:rPr>
          <w:spacing w:val="40"/>
        </w:rPr>
        <w:t> </w:t>
      </w:r>
      <w:r>
        <w:rPr/>
        <w:t>7.</w:t>
      </w:r>
      <w:r>
        <w:rPr>
          <w:spacing w:val="40"/>
        </w:rPr>
        <w:t> </w:t>
      </w:r>
      <w:r>
        <w:rPr/>
        <w:t>MANAGEMENT’S</w:t>
      </w:r>
      <w:r>
        <w:rPr>
          <w:spacing w:val="40"/>
        </w:rPr>
        <w:t> </w:t>
      </w:r>
      <w:r>
        <w:rPr/>
        <w:t>DISCUSSION</w:t>
      </w:r>
      <w:r>
        <w:rPr>
          <w:spacing w:val="23"/>
        </w:rPr>
        <w:t> </w:t>
      </w:r>
      <w:r>
        <w:rPr/>
        <w:t>AND</w:t>
      </w:r>
      <w:r>
        <w:rPr>
          <w:spacing w:val="23"/>
        </w:rPr>
        <w:t> </w:t>
      </w:r>
      <w:r>
        <w:rPr/>
        <w:t>ANALYSIS</w:t>
      </w:r>
      <w:r>
        <w:rPr>
          <w:spacing w:val="40"/>
        </w:rPr>
        <w:t> </w:t>
      </w:r>
      <w:r>
        <w:rPr/>
        <w:t>OF</w:t>
      </w:r>
      <w:r>
        <w:rPr>
          <w:spacing w:val="37"/>
        </w:rPr>
        <w:t> </w:t>
      </w:r>
      <w:r>
        <w:rPr/>
        <w:t>FINANCIAL</w:t>
      </w:r>
      <w:r>
        <w:rPr>
          <w:spacing w:val="34"/>
        </w:rPr>
        <w:t> </w:t>
      </w:r>
      <w:r>
        <w:rPr/>
        <w:t>CONDITION</w:t>
      </w:r>
      <w:r>
        <w:rPr>
          <w:spacing w:val="23"/>
        </w:rPr>
        <w:t> </w:t>
      </w:r>
      <w:r>
        <w:rPr/>
        <w:t>AND</w:t>
      </w:r>
      <w:r>
        <w:rPr>
          <w:spacing w:val="40"/>
        </w:rPr>
        <w:t> </w:t>
      </w:r>
      <w:r>
        <w:rPr/>
        <w:t>RESULTS</w:t>
      </w:r>
      <w:r>
        <w:rPr>
          <w:spacing w:val="40"/>
        </w:rPr>
        <w:t> </w:t>
      </w:r>
      <w:r>
        <w:rPr/>
        <w:t>OF </w:t>
      </w:r>
      <w:r>
        <w:rPr>
          <w:spacing w:val="-2"/>
        </w:rPr>
        <w:t>OPERATIONS</w:t>
      </w:r>
    </w:p>
    <w:p>
      <w:pPr>
        <w:spacing w:before="181"/>
        <w:ind w:left="760" w:right="0" w:firstLine="0"/>
        <w:jc w:val="left"/>
        <w:rPr>
          <w:i/>
          <w:sz w:val="20"/>
        </w:rPr>
      </w:pPr>
      <w:r>
        <w:rPr>
          <w:i/>
          <w:sz w:val="20"/>
        </w:rPr>
        <w:t>The</w:t>
      </w:r>
      <w:r>
        <w:rPr>
          <w:i/>
          <w:spacing w:val="-3"/>
          <w:sz w:val="20"/>
        </w:rPr>
        <w:t> </w:t>
      </w:r>
      <w:r>
        <w:rPr>
          <w:i/>
          <w:sz w:val="20"/>
        </w:rPr>
        <w:t>following</w:t>
      </w:r>
      <w:r>
        <w:rPr>
          <w:i/>
          <w:spacing w:val="-3"/>
          <w:sz w:val="20"/>
        </w:rPr>
        <w:t> </w:t>
      </w:r>
      <w:r>
        <w:rPr>
          <w:i/>
          <w:sz w:val="20"/>
        </w:rPr>
        <w:t>discussion</w:t>
      </w:r>
      <w:r>
        <w:rPr>
          <w:i/>
          <w:spacing w:val="-1"/>
          <w:sz w:val="20"/>
        </w:rPr>
        <w:t> </w:t>
      </w:r>
      <w:r>
        <w:rPr>
          <w:i/>
          <w:sz w:val="20"/>
        </w:rPr>
        <w:t>should</w:t>
      </w:r>
      <w:r>
        <w:rPr>
          <w:i/>
          <w:spacing w:val="-2"/>
          <w:sz w:val="20"/>
        </w:rPr>
        <w:t> </w:t>
      </w:r>
      <w:r>
        <w:rPr>
          <w:i/>
          <w:sz w:val="20"/>
        </w:rPr>
        <w:t>be</w:t>
      </w:r>
      <w:r>
        <w:rPr>
          <w:i/>
          <w:spacing w:val="-1"/>
          <w:sz w:val="20"/>
        </w:rPr>
        <w:t> </w:t>
      </w:r>
      <w:r>
        <w:rPr>
          <w:i/>
          <w:sz w:val="20"/>
        </w:rPr>
        <w:t>read</w:t>
      </w:r>
      <w:r>
        <w:rPr>
          <w:i/>
          <w:spacing w:val="-2"/>
          <w:sz w:val="20"/>
        </w:rPr>
        <w:t> </w:t>
      </w:r>
      <w:r>
        <w:rPr>
          <w:i/>
          <w:sz w:val="20"/>
        </w:rPr>
        <w:t>in</w:t>
      </w:r>
      <w:r>
        <w:rPr>
          <w:i/>
          <w:spacing w:val="-1"/>
          <w:sz w:val="20"/>
        </w:rPr>
        <w:t> </w:t>
      </w:r>
      <w:r>
        <w:rPr>
          <w:i/>
          <w:sz w:val="20"/>
        </w:rPr>
        <w:t>conjunction</w:t>
      </w:r>
      <w:r>
        <w:rPr>
          <w:i/>
          <w:spacing w:val="-3"/>
          <w:sz w:val="20"/>
        </w:rPr>
        <w:t> </w:t>
      </w:r>
      <w:r>
        <w:rPr>
          <w:i/>
          <w:sz w:val="20"/>
        </w:rPr>
        <w:t>with</w:t>
      </w:r>
      <w:r>
        <w:rPr>
          <w:i/>
          <w:spacing w:val="-1"/>
          <w:sz w:val="20"/>
        </w:rPr>
        <w:t> </w:t>
      </w:r>
      <w:r>
        <w:rPr>
          <w:i/>
          <w:sz w:val="20"/>
        </w:rPr>
        <w:t>our</w:t>
      </w:r>
      <w:r>
        <w:rPr>
          <w:i/>
          <w:spacing w:val="-2"/>
          <w:sz w:val="20"/>
        </w:rPr>
        <w:t> </w:t>
      </w:r>
      <w:r>
        <w:rPr>
          <w:i/>
          <w:sz w:val="20"/>
        </w:rPr>
        <w:t>Consolidated</w:t>
      </w:r>
      <w:r>
        <w:rPr>
          <w:i/>
          <w:spacing w:val="-2"/>
          <w:sz w:val="20"/>
        </w:rPr>
        <w:t> </w:t>
      </w:r>
      <w:r>
        <w:rPr>
          <w:i/>
          <w:sz w:val="20"/>
        </w:rPr>
        <w:t>Financial</w:t>
      </w:r>
      <w:r>
        <w:rPr>
          <w:i/>
          <w:spacing w:val="-3"/>
          <w:sz w:val="20"/>
        </w:rPr>
        <w:t> </w:t>
      </w:r>
      <w:r>
        <w:rPr>
          <w:i/>
          <w:sz w:val="20"/>
        </w:rPr>
        <w:t>Statements</w:t>
      </w:r>
      <w:r>
        <w:rPr>
          <w:i/>
          <w:spacing w:val="-1"/>
          <w:sz w:val="20"/>
        </w:rPr>
        <w:t> </w:t>
      </w:r>
      <w:r>
        <w:rPr>
          <w:i/>
          <w:sz w:val="20"/>
        </w:rPr>
        <w:t>and</w:t>
      </w:r>
      <w:r>
        <w:rPr>
          <w:i/>
          <w:spacing w:val="-2"/>
          <w:sz w:val="20"/>
        </w:rPr>
        <w:t> </w:t>
      </w:r>
      <w:r>
        <w:rPr>
          <w:i/>
          <w:sz w:val="20"/>
        </w:rPr>
        <w:t>Notes</w:t>
      </w:r>
      <w:r>
        <w:rPr>
          <w:i/>
          <w:spacing w:val="-1"/>
          <w:sz w:val="20"/>
        </w:rPr>
        <w:t> </w:t>
      </w:r>
      <w:r>
        <w:rPr>
          <w:i/>
          <w:spacing w:val="-2"/>
          <w:sz w:val="20"/>
        </w:rPr>
        <w:t>thereto.</w:t>
      </w:r>
    </w:p>
    <w:p>
      <w:pPr>
        <w:pStyle w:val="Heading1"/>
        <w:spacing w:before="190"/>
        <w:ind w:left="3845" w:right="3885"/>
        <w:jc w:val="center"/>
      </w:pPr>
      <w:bookmarkStart w:name="Acquisitions" w:id="37"/>
      <w:bookmarkEnd w:id="37"/>
      <w:r>
        <w:rPr>
          <w:b w:val="0"/>
        </w:rPr>
      </w:r>
      <w:r>
        <w:rPr>
          <w:spacing w:val="-2"/>
        </w:rPr>
        <w:t>ACQUISITIONS</w:t>
      </w:r>
    </w:p>
    <w:p>
      <w:pPr>
        <w:pStyle w:val="BodyText"/>
        <w:spacing w:before="190"/>
        <w:ind w:left="760"/>
      </w:pPr>
      <w:r>
        <w:rPr/>
        <w:t>During</w:t>
      </w:r>
      <w:r>
        <w:rPr>
          <w:spacing w:val="-6"/>
        </w:rPr>
        <w:t> </w:t>
      </w:r>
      <w:r>
        <w:rPr/>
        <w:t>fiscal</w:t>
      </w:r>
      <w:r>
        <w:rPr>
          <w:spacing w:val="-3"/>
        </w:rPr>
        <w:t> </w:t>
      </w:r>
      <w:r>
        <w:rPr/>
        <w:t>2017,</w:t>
      </w:r>
      <w:r>
        <w:rPr>
          <w:spacing w:val="-4"/>
        </w:rPr>
        <w:t> </w:t>
      </w:r>
      <w:r>
        <w:rPr/>
        <w:t>we</w:t>
      </w:r>
      <w:r>
        <w:rPr>
          <w:spacing w:val="-3"/>
        </w:rPr>
        <w:t> </w:t>
      </w:r>
      <w:r>
        <w:rPr/>
        <w:t>completed</w:t>
      </w:r>
      <w:r>
        <w:rPr>
          <w:spacing w:val="-3"/>
        </w:rPr>
        <w:t> </w:t>
      </w:r>
      <w:r>
        <w:rPr/>
        <w:t>our</w:t>
      </w:r>
      <w:r>
        <w:rPr>
          <w:spacing w:val="-4"/>
        </w:rPr>
        <w:t> </w:t>
      </w:r>
      <w:r>
        <w:rPr/>
        <w:t>acquisition</w:t>
      </w:r>
      <w:r>
        <w:rPr>
          <w:spacing w:val="-3"/>
        </w:rPr>
        <w:t> </w:t>
      </w:r>
      <w:r>
        <w:rPr/>
        <w:t>of</w:t>
      </w:r>
      <w:r>
        <w:rPr>
          <w:spacing w:val="-6"/>
        </w:rPr>
        <w:t> </w:t>
      </w:r>
      <w:r>
        <w:rPr/>
        <w:t>TubeMogul,</w:t>
      </w:r>
      <w:r>
        <w:rPr>
          <w:spacing w:val="-4"/>
        </w:rPr>
        <w:t> </w:t>
      </w:r>
      <w:r>
        <w:rPr/>
        <w:t>a</w:t>
      </w:r>
      <w:r>
        <w:rPr>
          <w:spacing w:val="-3"/>
        </w:rPr>
        <w:t> </w:t>
      </w:r>
      <w:r>
        <w:rPr/>
        <w:t>publicly</w:t>
      </w:r>
      <w:r>
        <w:rPr>
          <w:spacing w:val="-4"/>
        </w:rPr>
        <w:t> </w:t>
      </w:r>
      <w:r>
        <w:rPr/>
        <w:t>held</w:t>
      </w:r>
      <w:r>
        <w:rPr>
          <w:spacing w:val="-3"/>
        </w:rPr>
        <w:t> </w:t>
      </w:r>
      <w:r>
        <w:rPr/>
        <w:t>video</w:t>
      </w:r>
      <w:r>
        <w:rPr>
          <w:spacing w:val="-3"/>
        </w:rPr>
        <w:t> </w:t>
      </w:r>
      <w:r>
        <w:rPr/>
        <w:t>advertising</w:t>
      </w:r>
      <w:r>
        <w:rPr>
          <w:spacing w:val="-4"/>
        </w:rPr>
        <w:t> </w:t>
      </w:r>
      <w:r>
        <w:rPr/>
        <w:t>platform</w:t>
      </w:r>
      <w:r>
        <w:rPr>
          <w:spacing w:val="-3"/>
        </w:rPr>
        <w:t> </w:t>
      </w:r>
      <w:r>
        <w:rPr/>
        <w:t>company,</w:t>
      </w:r>
      <w:r>
        <w:rPr>
          <w:spacing w:val="-3"/>
        </w:rPr>
        <w:t> </w:t>
      </w:r>
      <w:r>
        <w:rPr>
          <w:spacing w:val="-5"/>
        </w:rPr>
        <w:t>for</w:t>
      </w:r>
    </w:p>
    <w:p>
      <w:pPr>
        <w:pStyle w:val="BodyText"/>
        <w:spacing w:line="249" w:lineRule="auto" w:before="10"/>
        <w:ind w:left="220"/>
      </w:pPr>
      <w:r>
        <w:rPr/>
        <w:t>$560.8 million.</w:t>
      </w:r>
      <w:r>
        <w:rPr>
          <w:spacing w:val="-3"/>
        </w:rPr>
        <w:t> </w:t>
      </w:r>
      <w:r>
        <w:rPr/>
        <w:t>As of the end of fiscal 2017, we are continuing to integrate TubeMogul into our Digital Marketing reportable</w:t>
      </w:r>
      <w:r>
        <w:rPr>
          <w:spacing w:val="40"/>
        </w:rPr>
        <w:t> </w:t>
      </w:r>
      <w:r>
        <w:rPr>
          <w:spacing w:val="-2"/>
        </w:rPr>
        <w:t>segment.</w:t>
      </w:r>
    </w:p>
    <w:p>
      <w:pPr>
        <w:pStyle w:val="BodyText"/>
        <w:spacing w:line="249" w:lineRule="auto" w:before="182"/>
        <w:ind w:left="220" w:right="257" w:firstLine="540"/>
        <w:jc w:val="both"/>
      </w:pPr>
      <w:r>
        <w:rPr/>
        <w:t>During</w:t>
      </w:r>
      <w:r>
        <w:rPr>
          <w:spacing w:val="-3"/>
        </w:rPr>
        <w:t> </w:t>
      </w:r>
      <w:r>
        <w:rPr/>
        <w:t>fiscal</w:t>
      </w:r>
      <w:r>
        <w:rPr>
          <w:spacing w:val="-4"/>
        </w:rPr>
        <w:t> </w:t>
      </w:r>
      <w:r>
        <w:rPr/>
        <w:t>2015,</w:t>
      </w:r>
      <w:r>
        <w:rPr>
          <w:spacing w:val="-3"/>
        </w:rPr>
        <w:t> </w:t>
      </w:r>
      <w:r>
        <w:rPr/>
        <w:t>we</w:t>
      </w:r>
      <w:r>
        <w:rPr>
          <w:spacing w:val="-3"/>
        </w:rPr>
        <w:t> </w:t>
      </w:r>
      <w:r>
        <w:rPr/>
        <w:t>completed</w:t>
      </w:r>
      <w:r>
        <w:rPr>
          <w:spacing w:val="-3"/>
        </w:rPr>
        <w:t> </w:t>
      </w:r>
      <w:r>
        <w:rPr/>
        <w:t>our</w:t>
      </w:r>
      <w:r>
        <w:rPr>
          <w:spacing w:val="-3"/>
        </w:rPr>
        <w:t> </w:t>
      </w:r>
      <w:r>
        <w:rPr/>
        <w:t>acquisition</w:t>
      </w:r>
      <w:r>
        <w:rPr>
          <w:spacing w:val="-3"/>
        </w:rPr>
        <w:t> </w:t>
      </w:r>
      <w:r>
        <w:rPr/>
        <w:t>of</w:t>
      </w:r>
      <w:r>
        <w:rPr>
          <w:spacing w:val="-3"/>
        </w:rPr>
        <w:t> </w:t>
      </w:r>
      <w:r>
        <w:rPr/>
        <w:t>privately</w:t>
      </w:r>
      <w:r>
        <w:rPr>
          <w:spacing w:val="-3"/>
        </w:rPr>
        <w:t> </w:t>
      </w:r>
      <w:r>
        <w:rPr/>
        <w:t>held</w:t>
      </w:r>
      <w:r>
        <w:rPr>
          <w:spacing w:val="-3"/>
        </w:rPr>
        <w:t> </w:t>
      </w:r>
      <w:r>
        <w:rPr/>
        <w:t>Fotolia,</w:t>
      </w:r>
      <w:r>
        <w:rPr>
          <w:spacing w:val="-3"/>
        </w:rPr>
        <w:t> </w:t>
      </w:r>
      <w:r>
        <w:rPr/>
        <w:t>a</w:t>
      </w:r>
      <w:r>
        <w:rPr>
          <w:spacing w:val="-3"/>
        </w:rPr>
        <w:t> </w:t>
      </w:r>
      <w:r>
        <w:rPr/>
        <w:t>leading</w:t>
      </w:r>
      <w:r>
        <w:rPr>
          <w:spacing w:val="-3"/>
        </w:rPr>
        <w:t> </w:t>
      </w:r>
      <w:r>
        <w:rPr/>
        <w:t>marketplace</w:t>
      </w:r>
      <w:r>
        <w:rPr>
          <w:spacing w:val="-4"/>
        </w:rPr>
        <w:t> </w:t>
      </w:r>
      <w:r>
        <w:rPr/>
        <w:t>for</w:t>
      </w:r>
      <w:r>
        <w:rPr>
          <w:spacing w:val="-3"/>
        </w:rPr>
        <w:t> </w:t>
      </w:r>
      <w:r>
        <w:rPr/>
        <w:t>royalty-free</w:t>
      </w:r>
      <w:r>
        <w:rPr>
          <w:spacing w:val="-4"/>
        </w:rPr>
        <w:t> </w:t>
      </w:r>
      <w:r>
        <w:rPr/>
        <w:t>photos, images,</w:t>
      </w:r>
      <w:r>
        <w:rPr>
          <w:spacing w:val="-4"/>
        </w:rPr>
        <w:t> </w:t>
      </w:r>
      <w:r>
        <w:rPr/>
        <w:t>graphics</w:t>
      </w:r>
      <w:r>
        <w:rPr>
          <w:spacing w:val="-3"/>
        </w:rPr>
        <w:t> </w:t>
      </w:r>
      <w:r>
        <w:rPr/>
        <w:t>and</w:t>
      </w:r>
      <w:r>
        <w:rPr>
          <w:spacing w:val="-4"/>
        </w:rPr>
        <w:t> </w:t>
      </w:r>
      <w:r>
        <w:rPr/>
        <w:t>HD</w:t>
      </w:r>
      <w:r>
        <w:rPr>
          <w:spacing w:val="-3"/>
        </w:rPr>
        <w:t> </w:t>
      </w:r>
      <w:r>
        <w:rPr/>
        <w:t>videos,</w:t>
      </w:r>
      <w:r>
        <w:rPr>
          <w:spacing w:val="-4"/>
        </w:rPr>
        <w:t> </w:t>
      </w:r>
      <w:r>
        <w:rPr/>
        <w:t>for</w:t>
      </w:r>
      <w:r>
        <w:rPr>
          <w:spacing w:val="-3"/>
        </w:rPr>
        <w:t> </w:t>
      </w:r>
      <w:r>
        <w:rPr/>
        <w:t>$807.5</w:t>
      </w:r>
      <w:r>
        <w:rPr>
          <w:spacing w:val="-3"/>
        </w:rPr>
        <w:t> </w:t>
      </w:r>
      <w:r>
        <w:rPr/>
        <w:t>million.</w:t>
      </w:r>
      <w:r>
        <w:rPr>
          <w:spacing w:val="-3"/>
        </w:rPr>
        <w:t> </w:t>
      </w:r>
      <w:r>
        <w:rPr/>
        <w:t>During</w:t>
      </w:r>
      <w:r>
        <w:rPr>
          <w:spacing w:val="-4"/>
        </w:rPr>
        <w:t> </w:t>
      </w:r>
      <w:r>
        <w:rPr/>
        <w:t>fiscal</w:t>
      </w:r>
      <w:r>
        <w:rPr>
          <w:spacing w:val="-4"/>
        </w:rPr>
        <w:t> </w:t>
      </w:r>
      <w:r>
        <w:rPr/>
        <w:t>2015,</w:t>
      </w:r>
      <w:r>
        <w:rPr>
          <w:spacing w:val="-4"/>
        </w:rPr>
        <w:t> </w:t>
      </w:r>
      <w:r>
        <w:rPr/>
        <w:t>we</w:t>
      </w:r>
      <w:r>
        <w:rPr>
          <w:spacing w:val="-4"/>
        </w:rPr>
        <w:t> </w:t>
      </w:r>
      <w:r>
        <w:rPr/>
        <w:t>integrated</w:t>
      </w:r>
      <w:r>
        <w:rPr>
          <w:spacing w:val="-3"/>
        </w:rPr>
        <w:t> </w:t>
      </w:r>
      <w:r>
        <w:rPr/>
        <w:t>Fotolia</w:t>
      </w:r>
      <w:r>
        <w:rPr>
          <w:spacing w:val="-4"/>
        </w:rPr>
        <w:t> </w:t>
      </w:r>
      <w:r>
        <w:rPr/>
        <w:t>into</w:t>
      </w:r>
      <w:r>
        <w:rPr>
          <w:spacing w:val="-3"/>
        </w:rPr>
        <w:t> </w:t>
      </w:r>
      <w:r>
        <w:rPr/>
        <w:t>our</w:t>
      </w:r>
      <w:r>
        <w:rPr>
          <w:spacing w:val="-3"/>
        </w:rPr>
        <w:t> </w:t>
      </w:r>
      <w:r>
        <w:rPr/>
        <w:t>Digital</w:t>
      </w:r>
      <w:r>
        <w:rPr>
          <w:spacing w:val="-4"/>
        </w:rPr>
        <w:t> </w:t>
      </w:r>
      <w:r>
        <w:rPr/>
        <w:t>Media</w:t>
      </w:r>
      <w:r>
        <w:rPr>
          <w:spacing w:val="-4"/>
        </w:rPr>
        <w:t> </w:t>
      </w:r>
      <w:r>
        <w:rPr/>
        <w:t>reportable </w:t>
      </w:r>
      <w:r>
        <w:rPr>
          <w:spacing w:val="-2"/>
        </w:rPr>
        <w:t>segment.</w:t>
      </w:r>
    </w:p>
    <w:p>
      <w:pPr>
        <w:pStyle w:val="BodyText"/>
        <w:spacing w:line="249" w:lineRule="auto" w:before="183"/>
        <w:ind w:left="220" w:right="257" w:firstLine="540"/>
        <w:jc w:val="both"/>
      </w:pPr>
      <w:r>
        <w:rPr/>
        <w:t>We</w:t>
      </w:r>
      <w:r>
        <w:rPr>
          <w:spacing w:val="-9"/>
        </w:rPr>
        <w:t> </w:t>
      </w:r>
      <w:r>
        <w:rPr/>
        <w:t>also</w:t>
      </w:r>
      <w:r>
        <w:rPr>
          <w:spacing w:val="-9"/>
        </w:rPr>
        <w:t> </w:t>
      </w:r>
      <w:r>
        <w:rPr/>
        <w:t>completed</w:t>
      </w:r>
      <w:r>
        <w:rPr>
          <w:spacing w:val="-9"/>
        </w:rPr>
        <w:t> </w:t>
      </w:r>
      <w:r>
        <w:rPr/>
        <w:t>other</w:t>
      </w:r>
      <w:r>
        <w:rPr>
          <w:spacing w:val="-9"/>
        </w:rPr>
        <w:t> </w:t>
      </w:r>
      <w:r>
        <w:rPr/>
        <w:t>immaterial</w:t>
      </w:r>
      <w:r>
        <w:rPr>
          <w:spacing w:val="-9"/>
        </w:rPr>
        <w:t> </w:t>
      </w:r>
      <w:r>
        <w:rPr/>
        <w:t>business</w:t>
      </w:r>
      <w:r>
        <w:rPr>
          <w:spacing w:val="-9"/>
        </w:rPr>
        <w:t> </w:t>
      </w:r>
      <w:r>
        <w:rPr/>
        <w:t>acquisitions</w:t>
      </w:r>
      <w:r>
        <w:rPr>
          <w:spacing w:val="-8"/>
        </w:rPr>
        <w:t> </w:t>
      </w:r>
      <w:r>
        <w:rPr/>
        <w:t>during</w:t>
      </w:r>
      <w:r>
        <w:rPr>
          <w:spacing w:val="-9"/>
        </w:rPr>
        <w:t> </w:t>
      </w:r>
      <w:r>
        <w:rPr/>
        <w:t>the</w:t>
      </w:r>
      <w:r>
        <w:rPr>
          <w:spacing w:val="-9"/>
        </w:rPr>
        <w:t> </w:t>
      </w:r>
      <w:r>
        <w:rPr/>
        <w:t>fiscal</w:t>
      </w:r>
      <w:r>
        <w:rPr>
          <w:spacing w:val="-9"/>
        </w:rPr>
        <w:t> </w:t>
      </w:r>
      <w:r>
        <w:rPr/>
        <w:t>years</w:t>
      </w:r>
      <w:r>
        <w:rPr>
          <w:spacing w:val="-9"/>
        </w:rPr>
        <w:t> </w:t>
      </w:r>
      <w:r>
        <w:rPr/>
        <w:t>presented.</w:t>
      </w:r>
      <w:r>
        <w:rPr>
          <w:spacing w:val="-9"/>
        </w:rPr>
        <w:t> </w:t>
      </w:r>
      <w:r>
        <w:rPr/>
        <w:t>Pro</w:t>
      </w:r>
      <w:r>
        <w:rPr>
          <w:spacing w:val="-9"/>
        </w:rPr>
        <w:t> </w:t>
      </w:r>
      <w:r>
        <w:rPr/>
        <w:t>forma</w:t>
      </w:r>
      <w:r>
        <w:rPr>
          <w:spacing w:val="-9"/>
        </w:rPr>
        <w:t> </w:t>
      </w:r>
      <w:r>
        <w:rPr/>
        <w:t>information</w:t>
      </w:r>
      <w:r>
        <w:rPr>
          <w:spacing w:val="-9"/>
        </w:rPr>
        <w:t> </w:t>
      </w:r>
      <w:r>
        <w:rPr/>
        <w:t>has</w:t>
      </w:r>
      <w:r>
        <w:rPr>
          <w:spacing w:val="-9"/>
        </w:rPr>
        <w:t> </w:t>
      </w:r>
      <w:r>
        <w:rPr/>
        <w:t>not been</w:t>
      </w:r>
      <w:r>
        <w:rPr>
          <w:spacing w:val="-10"/>
        </w:rPr>
        <w:t> </w:t>
      </w:r>
      <w:r>
        <w:rPr/>
        <w:t>presented</w:t>
      </w:r>
      <w:r>
        <w:rPr>
          <w:spacing w:val="-10"/>
        </w:rPr>
        <w:t> </w:t>
      </w:r>
      <w:r>
        <w:rPr/>
        <w:t>for</w:t>
      </w:r>
      <w:r>
        <w:rPr>
          <w:spacing w:val="-10"/>
        </w:rPr>
        <w:t> </w:t>
      </w:r>
      <w:r>
        <w:rPr/>
        <w:t>any</w:t>
      </w:r>
      <w:r>
        <w:rPr>
          <w:spacing w:val="-10"/>
        </w:rPr>
        <w:t> </w:t>
      </w:r>
      <w:r>
        <w:rPr/>
        <w:t>of</w:t>
      </w:r>
      <w:r>
        <w:rPr>
          <w:spacing w:val="-10"/>
        </w:rPr>
        <w:t> </w:t>
      </w:r>
      <w:r>
        <w:rPr/>
        <w:t>our</w:t>
      </w:r>
      <w:r>
        <w:rPr>
          <w:spacing w:val="-10"/>
        </w:rPr>
        <w:t> </w:t>
      </w:r>
      <w:r>
        <w:rPr/>
        <w:t>fiscal</w:t>
      </w:r>
      <w:r>
        <w:rPr>
          <w:spacing w:val="-10"/>
        </w:rPr>
        <w:t> </w:t>
      </w:r>
      <w:r>
        <w:rPr/>
        <w:t>2017,</w:t>
      </w:r>
      <w:r>
        <w:rPr>
          <w:spacing w:val="-10"/>
        </w:rPr>
        <w:t> </w:t>
      </w:r>
      <w:r>
        <w:rPr/>
        <w:t>2016</w:t>
      </w:r>
      <w:r>
        <w:rPr>
          <w:spacing w:val="-10"/>
        </w:rPr>
        <w:t> </w:t>
      </w:r>
      <w:r>
        <w:rPr/>
        <w:t>and</w:t>
      </w:r>
      <w:r>
        <w:rPr>
          <w:spacing w:val="-10"/>
        </w:rPr>
        <w:t> </w:t>
      </w:r>
      <w:r>
        <w:rPr/>
        <w:t>2015</w:t>
      </w:r>
      <w:r>
        <w:rPr>
          <w:spacing w:val="-10"/>
        </w:rPr>
        <w:t> </w:t>
      </w:r>
      <w:r>
        <w:rPr/>
        <w:t>acquisitions</w:t>
      </w:r>
      <w:r>
        <w:rPr>
          <w:spacing w:val="-10"/>
        </w:rPr>
        <w:t> </w:t>
      </w:r>
      <w:r>
        <w:rPr/>
        <w:t>as</w:t>
      </w:r>
      <w:r>
        <w:rPr>
          <w:spacing w:val="-10"/>
        </w:rPr>
        <w:t> </w:t>
      </w:r>
      <w:r>
        <w:rPr/>
        <w:t>the</w:t>
      </w:r>
      <w:r>
        <w:rPr>
          <w:spacing w:val="-10"/>
        </w:rPr>
        <w:t> </w:t>
      </w:r>
      <w:r>
        <w:rPr/>
        <w:t>impact</w:t>
      </w:r>
      <w:r>
        <w:rPr>
          <w:spacing w:val="-10"/>
        </w:rPr>
        <w:t> </w:t>
      </w:r>
      <w:r>
        <w:rPr/>
        <w:t>to</w:t>
      </w:r>
      <w:r>
        <w:rPr>
          <w:spacing w:val="-10"/>
        </w:rPr>
        <w:t> </w:t>
      </w:r>
      <w:r>
        <w:rPr/>
        <w:t>our</w:t>
      </w:r>
      <w:r>
        <w:rPr>
          <w:spacing w:val="-10"/>
        </w:rPr>
        <w:t> </w:t>
      </w:r>
      <w:r>
        <w:rPr/>
        <w:t>Consolidated</w:t>
      </w:r>
      <w:r>
        <w:rPr>
          <w:spacing w:val="-10"/>
        </w:rPr>
        <w:t> </w:t>
      </w:r>
      <w:r>
        <w:rPr/>
        <w:t>Financial</w:t>
      </w:r>
      <w:r>
        <w:rPr>
          <w:spacing w:val="-10"/>
        </w:rPr>
        <w:t> </w:t>
      </w:r>
      <w:r>
        <w:rPr/>
        <w:t>Statements</w:t>
      </w:r>
      <w:r>
        <w:rPr>
          <w:spacing w:val="-10"/>
        </w:rPr>
        <w:t> </w:t>
      </w:r>
      <w:r>
        <w:rPr/>
        <w:t>was not material.</w:t>
      </w:r>
    </w:p>
    <w:p>
      <w:pPr>
        <w:spacing w:before="182"/>
        <w:ind w:left="760" w:right="0" w:firstLine="0"/>
        <w:jc w:val="left"/>
        <w:rPr>
          <w:i/>
          <w:sz w:val="20"/>
        </w:rPr>
      </w:pPr>
      <w:hyperlink w:history="true" w:anchor="_bookmark23">
        <w:r>
          <w:rPr>
            <w:i/>
            <w:sz w:val="20"/>
          </w:rPr>
          <w:t>See</w:t>
        </w:r>
        <w:r>
          <w:rPr>
            <w:i/>
            <w:spacing w:val="-3"/>
            <w:sz w:val="20"/>
          </w:rPr>
          <w:t> </w:t>
        </w:r>
        <w:r>
          <w:rPr>
            <w:i/>
            <w:sz w:val="20"/>
          </w:rPr>
          <w:t>Note</w:t>
        </w:r>
        <w:r>
          <w:rPr>
            <w:i/>
            <w:spacing w:val="-4"/>
            <w:sz w:val="20"/>
          </w:rPr>
          <w:t> </w:t>
        </w:r>
        <w:r>
          <w:rPr>
            <w:i/>
            <w:sz w:val="20"/>
          </w:rPr>
          <w:t>2</w:t>
        </w:r>
        <w:r>
          <w:rPr>
            <w:i/>
            <w:spacing w:val="-3"/>
            <w:sz w:val="20"/>
          </w:rPr>
          <w:t> </w:t>
        </w:r>
        <w:r>
          <w:rPr>
            <w:i/>
            <w:sz w:val="20"/>
          </w:rPr>
          <w:t>of</w:t>
        </w:r>
        <w:r>
          <w:rPr>
            <w:i/>
            <w:spacing w:val="-3"/>
            <w:sz w:val="20"/>
          </w:rPr>
          <w:t> </w:t>
        </w:r>
        <w:r>
          <w:rPr>
            <w:i/>
            <w:sz w:val="20"/>
          </w:rPr>
          <w:t>our</w:t>
        </w:r>
        <w:r>
          <w:rPr>
            <w:i/>
            <w:spacing w:val="-3"/>
            <w:sz w:val="20"/>
          </w:rPr>
          <w:t> </w:t>
        </w:r>
        <w:r>
          <w:rPr>
            <w:i/>
            <w:sz w:val="20"/>
          </w:rPr>
          <w:t>Notes</w:t>
        </w:r>
        <w:r>
          <w:rPr>
            <w:i/>
            <w:spacing w:val="-2"/>
            <w:sz w:val="20"/>
          </w:rPr>
          <w:t> </w:t>
        </w:r>
        <w:r>
          <w:rPr>
            <w:i/>
            <w:sz w:val="20"/>
          </w:rPr>
          <w:t>to</w:t>
        </w:r>
        <w:r>
          <w:rPr>
            <w:i/>
            <w:spacing w:val="-3"/>
            <w:sz w:val="20"/>
          </w:rPr>
          <w:t> </w:t>
        </w:r>
        <w:r>
          <w:rPr>
            <w:i/>
            <w:sz w:val="20"/>
          </w:rPr>
          <w:t>Consolidated</w:t>
        </w:r>
        <w:r>
          <w:rPr>
            <w:i/>
            <w:spacing w:val="-3"/>
            <w:sz w:val="20"/>
          </w:rPr>
          <w:t> </w:t>
        </w:r>
        <w:r>
          <w:rPr>
            <w:i/>
            <w:sz w:val="20"/>
          </w:rPr>
          <w:t>Financial</w:t>
        </w:r>
        <w:r>
          <w:rPr>
            <w:i/>
            <w:spacing w:val="-4"/>
            <w:sz w:val="20"/>
          </w:rPr>
          <w:t> </w:t>
        </w:r>
        <w:r>
          <w:rPr>
            <w:i/>
            <w:sz w:val="20"/>
          </w:rPr>
          <w:t>Statements</w:t>
        </w:r>
        <w:r>
          <w:rPr>
            <w:i/>
            <w:spacing w:val="-3"/>
            <w:sz w:val="20"/>
          </w:rPr>
          <w:t> </w:t>
        </w:r>
        <w:r>
          <w:rPr>
            <w:i/>
            <w:sz w:val="20"/>
          </w:rPr>
          <w:t>for</w:t>
        </w:r>
        <w:r>
          <w:rPr>
            <w:i/>
            <w:spacing w:val="-2"/>
            <w:sz w:val="20"/>
          </w:rPr>
          <w:t> </w:t>
        </w:r>
        <w:r>
          <w:rPr>
            <w:i/>
            <w:sz w:val="20"/>
          </w:rPr>
          <w:t>further</w:t>
        </w:r>
        <w:r>
          <w:rPr>
            <w:i/>
            <w:spacing w:val="-3"/>
            <w:sz w:val="20"/>
          </w:rPr>
          <w:t> </w:t>
        </w:r>
        <w:r>
          <w:rPr>
            <w:i/>
            <w:sz w:val="20"/>
          </w:rPr>
          <w:t>information</w:t>
        </w:r>
        <w:r>
          <w:rPr>
            <w:i/>
            <w:spacing w:val="-3"/>
            <w:sz w:val="20"/>
          </w:rPr>
          <w:t> </w:t>
        </w:r>
        <w:r>
          <w:rPr>
            <w:i/>
            <w:sz w:val="20"/>
          </w:rPr>
          <w:t>regarding</w:t>
        </w:r>
        <w:r>
          <w:rPr>
            <w:i/>
            <w:spacing w:val="-4"/>
            <w:sz w:val="20"/>
          </w:rPr>
          <w:t> </w:t>
        </w:r>
        <w:r>
          <w:rPr>
            <w:i/>
            <w:sz w:val="20"/>
          </w:rPr>
          <w:t>these</w:t>
        </w:r>
        <w:r>
          <w:rPr>
            <w:i/>
            <w:spacing w:val="-3"/>
            <w:sz w:val="20"/>
          </w:rPr>
          <w:t> </w:t>
        </w:r>
        <w:r>
          <w:rPr>
            <w:i/>
            <w:spacing w:val="-2"/>
            <w:sz w:val="20"/>
          </w:rPr>
          <w:t>acquisitions.</w:t>
        </w:r>
      </w:hyperlink>
    </w:p>
    <w:p>
      <w:pPr>
        <w:pStyle w:val="Heading1"/>
        <w:spacing w:before="190"/>
        <w:ind w:left="242" w:right="280"/>
        <w:jc w:val="center"/>
      </w:pPr>
      <w:bookmarkStart w:name="Critical Accounting Policies and Estimat" w:id="38"/>
      <w:bookmarkEnd w:id="38"/>
      <w:r>
        <w:rPr>
          <w:b w:val="0"/>
        </w:rPr>
      </w:r>
      <w:r>
        <w:rPr/>
        <w:t>CRITICAL</w:t>
      </w:r>
      <w:r>
        <w:rPr>
          <w:spacing w:val="-22"/>
        </w:rPr>
        <w:t> </w:t>
      </w:r>
      <w:r>
        <w:rPr/>
        <w:t>ACCOUNTING</w:t>
      </w:r>
      <w:r>
        <w:rPr>
          <w:spacing w:val="-6"/>
        </w:rPr>
        <w:t> </w:t>
      </w:r>
      <w:r>
        <w:rPr/>
        <w:t>POLICIES</w:t>
      </w:r>
      <w:r>
        <w:rPr>
          <w:spacing w:val="-13"/>
        </w:rPr>
        <w:t> </w:t>
      </w:r>
      <w:r>
        <w:rPr/>
        <w:t>AND</w:t>
      </w:r>
      <w:r>
        <w:rPr>
          <w:spacing w:val="-3"/>
        </w:rPr>
        <w:t> </w:t>
      </w:r>
      <w:r>
        <w:rPr>
          <w:spacing w:val="-2"/>
        </w:rPr>
        <w:t>ESTIMATES</w:t>
      </w:r>
    </w:p>
    <w:p>
      <w:pPr>
        <w:pStyle w:val="BodyText"/>
        <w:spacing w:line="249" w:lineRule="auto" w:before="190"/>
        <w:ind w:left="220" w:right="257" w:firstLine="540"/>
        <w:jc w:val="both"/>
      </w:pPr>
      <w:r>
        <w:rPr/>
        <w:t>In</w:t>
      </w:r>
      <w:r>
        <w:rPr>
          <w:spacing w:val="-9"/>
        </w:rPr>
        <w:t> </w:t>
      </w:r>
      <w:r>
        <w:rPr/>
        <w:t>preparing</w:t>
      </w:r>
      <w:r>
        <w:rPr>
          <w:spacing w:val="-7"/>
        </w:rPr>
        <w:t> </w:t>
      </w:r>
      <w:r>
        <w:rPr/>
        <w:t>our</w:t>
      </w:r>
      <w:r>
        <w:rPr>
          <w:spacing w:val="-7"/>
        </w:rPr>
        <w:t> </w:t>
      </w:r>
      <w:r>
        <w:rPr/>
        <w:t>Consolidated</w:t>
      </w:r>
      <w:r>
        <w:rPr>
          <w:spacing w:val="-8"/>
        </w:rPr>
        <w:t> </w:t>
      </w:r>
      <w:r>
        <w:rPr/>
        <w:t>Financial</w:t>
      </w:r>
      <w:r>
        <w:rPr>
          <w:spacing w:val="-8"/>
        </w:rPr>
        <w:t> </w:t>
      </w:r>
      <w:r>
        <w:rPr/>
        <w:t>Statements</w:t>
      </w:r>
      <w:r>
        <w:rPr>
          <w:spacing w:val="-7"/>
        </w:rPr>
        <w:t> </w:t>
      </w:r>
      <w:r>
        <w:rPr/>
        <w:t>in</w:t>
      </w:r>
      <w:r>
        <w:rPr>
          <w:spacing w:val="-7"/>
        </w:rPr>
        <w:t> </w:t>
      </w:r>
      <w:r>
        <w:rPr/>
        <w:t>accordance</w:t>
      </w:r>
      <w:r>
        <w:rPr>
          <w:spacing w:val="-8"/>
        </w:rPr>
        <w:t> </w:t>
      </w:r>
      <w:r>
        <w:rPr/>
        <w:t>with</w:t>
      </w:r>
      <w:r>
        <w:rPr>
          <w:spacing w:val="-7"/>
        </w:rPr>
        <w:t> </w:t>
      </w:r>
      <w:r>
        <w:rPr/>
        <w:t>GAAP</w:t>
      </w:r>
      <w:r>
        <w:rPr>
          <w:spacing w:val="-13"/>
        </w:rPr>
        <w:t> </w:t>
      </w:r>
      <w:r>
        <w:rPr/>
        <w:t>and</w:t>
      </w:r>
      <w:r>
        <w:rPr>
          <w:spacing w:val="-7"/>
        </w:rPr>
        <w:t> </w:t>
      </w:r>
      <w:r>
        <w:rPr/>
        <w:t>pursuant</w:t>
      </w:r>
      <w:r>
        <w:rPr>
          <w:spacing w:val="-8"/>
        </w:rPr>
        <w:t> </w:t>
      </w:r>
      <w:r>
        <w:rPr/>
        <w:t>to</w:t>
      </w:r>
      <w:r>
        <w:rPr>
          <w:spacing w:val="-7"/>
        </w:rPr>
        <w:t> </w:t>
      </w:r>
      <w:r>
        <w:rPr/>
        <w:t>the</w:t>
      </w:r>
      <w:r>
        <w:rPr>
          <w:spacing w:val="-7"/>
        </w:rPr>
        <w:t> </w:t>
      </w:r>
      <w:r>
        <w:rPr/>
        <w:t>rules</w:t>
      </w:r>
      <w:r>
        <w:rPr>
          <w:spacing w:val="-7"/>
        </w:rPr>
        <w:t> </w:t>
      </w:r>
      <w:r>
        <w:rPr/>
        <w:t>and</w:t>
      </w:r>
      <w:r>
        <w:rPr>
          <w:spacing w:val="-7"/>
        </w:rPr>
        <w:t> </w:t>
      </w:r>
      <w:r>
        <w:rPr/>
        <w:t>regulations</w:t>
      </w:r>
      <w:r>
        <w:rPr>
          <w:spacing w:val="-7"/>
        </w:rPr>
        <w:t> </w:t>
      </w:r>
      <w:r>
        <w:rPr/>
        <w:t>of </w:t>
      </w:r>
      <w:r>
        <w:rPr>
          <w:spacing w:val="-2"/>
        </w:rPr>
        <w:t>the</w:t>
      </w:r>
      <w:r>
        <w:rPr>
          <w:spacing w:val="-11"/>
        </w:rPr>
        <w:t> </w:t>
      </w:r>
      <w:r>
        <w:rPr>
          <w:spacing w:val="-2"/>
        </w:rPr>
        <w:t>SEC,</w:t>
      </w:r>
      <w:r>
        <w:rPr>
          <w:spacing w:val="-10"/>
        </w:rPr>
        <w:t> </w:t>
      </w:r>
      <w:r>
        <w:rPr>
          <w:spacing w:val="-2"/>
        </w:rPr>
        <w:t>we</w:t>
      </w:r>
      <w:r>
        <w:rPr>
          <w:spacing w:val="-11"/>
        </w:rPr>
        <w:t> </w:t>
      </w:r>
      <w:r>
        <w:rPr>
          <w:spacing w:val="-2"/>
        </w:rPr>
        <w:t>make</w:t>
      </w:r>
      <w:r>
        <w:rPr>
          <w:spacing w:val="-10"/>
        </w:rPr>
        <w:t> </w:t>
      </w:r>
      <w:r>
        <w:rPr>
          <w:spacing w:val="-2"/>
        </w:rPr>
        <w:t>assumptions,</w:t>
      </w:r>
      <w:r>
        <w:rPr>
          <w:spacing w:val="-11"/>
        </w:rPr>
        <w:t> </w:t>
      </w:r>
      <w:r>
        <w:rPr>
          <w:spacing w:val="-2"/>
        </w:rPr>
        <w:t>judgments</w:t>
      </w:r>
      <w:r>
        <w:rPr>
          <w:spacing w:val="-10"/>
        </w:rPr>
        <w:t> </w:t>
      </w:r>
      <w:r>
        <w:rPr>
          <w:spacing w:val="-2"/>
        </w:rPr>
        <w:t>and</w:t>
      </w:r>
      <w:r>
        <w:rPr>
          <w:spacing w:val="-11"/>
        </w:rPr>
        <w:t> </w:t>
      </w:r>
      <w:r>
        <w:rPr>
          <w:spacing w:val="-2"/>
        </w:rPr>
        <w:t>estimates</w:t>
      </w:r>
      <w:r>
        <w:rPr>
          <w:spacing w:val="-10"/>
        </w:rPr>
        <w:t> </w:t>
      </w:r>
      <w:r>
        <w:rPr>
          <w:spacing w:val="-2"/>
        </w:rPr>
        <w:t>that</w:t>
      </w:r>
      <w:r>
        <w:rPr>
          <w:spacing w:val="-11"/>
        </w:rPr>
        <w:t> </w:t>
      </w:r>
      <w:r>
        <w:rPr>
          <w:spacing w:val="-2"/>
        </w:rPr>
        <w:t>affect</w:t>
      </w:r>
      <w:r>
        <w:rPr>
          <w:spacing w:val="-10"/>
        </w:rPr>
        <w:t> </w:t>
      </w:r>
      <w:r>
        <w:rPr>
          <w:spacing w:val="-2"/>
        </w:rPr>
        <w:t>the</w:t>
      </w:r>
      <w:r>
        <w:rPr>
          <w:spacing w:val="-11"/>
        </w:rPr>
        <w:t> </w:t>
      </w:r>
      <w:r>
        <w:rPr>
          <w:spacing w:val="-2"/>
        </w:rPr>
        <w:t>reported</w:t>
      </w:r>
      <w:r>
        <w:rPr>
          <w:spacing w:val="-10"/>
        </w:rPr>
        <w:t> </w:t>
      </w:r>
      <w:r>
        <w:rPr>
          <w:spacing w:val="-2"/>
        </w:rPr>
        <w:t>amounts</w:t>
      </w:r>
      <w:r>
        <w:rPr>
          <w:spacing w:val="-11"/>
        </w:rPr>
        <w:t> </w:t>
      </w:r>
      <w:r>
        <w:rPr>
          <w:spacing w:val="-2"/>
        </w:rPr>
        <w:t>of</w:t>
      </w:r>
      <w:r>
        <w:rPr>
          <w:spacing w:val="-10"/>
        </w:rPr>
        <w:t> </w:t>
      </w:r>
      <w:r>
        <w:rPr>
          <w:spacing w:val="-2"/>
        </w:rPr>
        <w:t>assets,</w:t>
      </w:r>
      <w:r>
        <w:rPr>
          <w:spacing w:val="-11"/>
        </w:rPr>
        <w:t> </w:t>
      </w:r>
      <w:r>
        <w:rPr>
          <w:spacing w:val="-2"/>
        </w:rPr>
        <w:t>liabilities,</w:t>
      </w:r>
      <w:r>
        <w:rPr>
          <w:spacing w:val="-10"/>
        </w:rPr>
        <w:t> </w:t>
      </w:r>
      <w:r>
        <w:rPr>
          <w:spacing w:val="-2"/>
        </w:rPr>
        <w:t>revenue</w:t>
      </w:r>
      <w:r>
        <w:rPr>
          <w:spacing w:val="-11"/>
        </w:rPr>
        <w:t> </w:t>
      </w:r>
      <w:r>
        <w:rPr>
          <w:spacing w:val="-2"/>
        </w:rPr>
        <w:t>and</w:t>
      </w:r>
      <w:r>
        <w:rPr>
          <w:spacing w:val="-10"/>
        </w:rPr>
        <w:t> </w:t>
      </w:r>
      <w:r>
        <w:rPr>
          <w:spacing w:val="-2"/>
        </w:rPr>
        <w:t>expenses, </w:t>
      </w:r>
      <w:r>
        <w:rPr/>
        <w:t>and related disclosures of contingent assets and liabilities. We base our assumptions, judgments and estimates on historical </w:t>
      </w:r>
      <w:r>
        <w:rPr>
          <w:spacing w:val="-2"/>
        </w:rPr>
        <w:t>experience</w:t>
      </w:r>
      <w:r>
        <w:rPr>
          <w:spacing w:val="-11"/>
        </w:rPr>
        <w:t> </w:t>
      </w:r>
      <w:r>
        <w:rPr>
          <w:spacing w:val="-2"/>
        </w:rPr>
        <w:t>and</w:t>
      </w:r>
      <w:r>
        <w:rPr>
          <w:spacing w:val="-6"/>
        </w:rPr>
        <w:t> </w:t>
      </w:r>
      <w:r>
        <w:rPr>
          <w:spacing w:val="-2"/>
        </w:rPr>
        <w:t>various</w:t>
      </w:r>
      <w:r>
        <w:rPr>
          <w:spacing w:val="-6"/>
        </w:rPr>
        <w:t> </w:t>
      </w:r>
      <w:r>
        <w:rPr>
          <w:spacing w:val="-2"/>
        </w:rPr>
        <w:t>other</w:t>
      </w:r>
      <w:r>
        <w:rPr>
          <w:spacing w:val="-6"/>
        </w:rPr>
        <w:t> </w:t>
      </w:r>
      <w:r>
        <w:rPr>
          <w:spacing w:val="-2"/>
        </w:rPr>
        <w:t>factors</w:t>
      </w:r>
      <w:r>
        <w:rPr>
          <w:spacing w:val="-6"/>
        </w:rPr>
        <w:t> </w:t>
      </w:r>
      <w:r>
        <w:rPr>
          <w:spacing w:val="-2"/>
        </w:rPr>
        <w:t>that</w:t>
      </w:r>
      <w:r>
        <w:rPr>
          <w:spacing w:val="-6"/>
        </w:rPr>
        <w:t> </w:t>
      </w:r>
      <w:r>
        <w:rPr>
          <w:spacing w:val="-2"/>
        </w:rPr>
        <w:t>we</w:t>
      </w:r>
      <w:r>
        <w:rPr>
          <w:spacing w:val="-6"/>
        </w:rPr>
        <w:t> </w:t>
      </w:r>
      <w:r>
        <w:rPr>
          <w:spacing w:val="-2"/>
        </w:rPr>
        <w:t>believe</w:t>
      </w:r>
      <w:r>
        <w:rPr>
          <w:spacing w:val="-6"/>
        </w:rPr>
        <w:t> </w:t>
      </w:r>
      <w:r>
        <w:rPr>
          <w:spacing w:val="-2"/>
        </w:rPr>
        <w:t>to</w:t>
      </w:r>
      <w:r>
        <w:rPr>
          <w:spacing w:val="-6"/>
        </w:rPr>
        <w:t> </w:t>
      </w:r>
      <w:r>
        <w:rPr>
          <w:spacing w:val="-2"/>
        </w:rPr>
        <w:t>be</w:t>
      </w:r>
      <w:r>
        <w:rPr>
          <w:spacing w:val="-6"/>
        </w:rPr>
        <w:t> </w:t>
      </w:r>
      <w:r>
        <w:rPr>
          <w:spacing w:val="-2"/>
        </w:rPr>
        <w:t>reasonable</w:t>
      </w:r>
      <w:r>
        <w:rPr>
          <w:spacing w:val="-6"/>
        </w:rPr>
        <w:t> </w:t>
      </w:r>
      <w:r>
        <w:rPr>
          <w:spacing w:val="-2"/>
        </w:rPr>
        <w:t>under</w:t>
      </w:r>
      <w:r>
        <w:rPr>
          <w:spacing w:val="-6"/>
        </w:rPr>
        <w:t> </w:t>
      </w:r>
      <w:r>
        <w:rPr>
          <w:spacing w:val="-2"/>
        </w:rPr>
        <w:t>the</w:t>
      </w:r>
      <w:r>
        <w:rPr>
          <w:spacing w:val="-6"/>
        </w:rPr>
        <w:t> </w:t>
      </w:r>
      <w:r>
        <w:rPr>
          <w:spacing w:val="-2"/>
        </w:rPr>
        <w:t>circumstances.</w:t>
      </w:r>
      <w:r>
        <w:rPr>
          <w:spacing w:val="-11"/>
        </w:rPr>
        <w:t> </w:t>
      </w:r>
      <w:r>
        <w:rPr>
          <w:spacing w:val="-2"/>
        </w:rPr>
        <w:t>Actual</w:t>
      </w:r>
      <w:r>
        <w:rPr>
          <w:spacing w:val="-6"/>
        </w:rPr>
        <w:t> </w:t>
      </w:r>
      <w:r>
        <w:rPr>
          <w:spacing w:val="-2"/>
        </w:rPr>
        <w:t>results</w:t>
      </w:r>
      <w:r>
        <w:rPr>
          <w:spacing w:val="-6"/>
        </w:rPr>
        <w:t> </w:t>
      </w:r>
      <w:r>
        <w:rPr>
          <w:spacing w:val="-2"/>
        </w:rPr>
        <w:t>could</w:t>
      </w:r>
      <w:r>
        <w:rPr>
          <w:spacing w:val="-6"/>
        </w:rPr>
        <w:t> </w:t>
      </w:r>
      <w:r>
        <w:rPr>
          <w:spacing w:val="-2"/>
        </w:rPr>
        <w:t>differ</w:t>
      </w:r>
      <w:r>
        <w:rPr>
          <w:spacing w:val="-6"/>
        </w:rPr>
        <w:t> </w:t>
      </w:r>
      <w:r>
        <w:rPr>
          <w:spacing w:val="-2"/>
        </w:rPr>
        <w:t>materially </w:t>
      </w:r>
      <w:r>
        <w:rPr/>
        <w:t>from</w:t>
      </w:r>
      <w:r>
        <w:rPr>
          <w:spacing w:val="-3"/>
        </w:rPr>
        <w:t> </w:t>
      </w:r>
      <w:r>
        <w:rPr/>
        <w:t>these</w:t>
      </w:r>
      <w:r>
        <w:rPr>
          <w:spacing w:val="-3"/>
        </w:rPr>
        <w:t> </w:t>
      </w:r>
      <w:r>
        <w:rPr/>
        <w:t>estimates</w:t>
      </w:r>
      <w:r>
        <w:rPr>
          <w:spacing w:val="-3"/>
        </w:rPr>
        <w:t> </w:t>
      </w:r>
      <w:r>
        <w:rPr/>
        <w:t>under</w:t>
      </w:r>
      <w:r>
        <w:rPr>
          <w:spacing w:val="-3"/>
        </w:rPr>
        <w:t> </w:t>
      </w:r>
      <w:r>
        <w:rPr/>
        <w:t>different</w:t>
      </w:r>
      <w:r>
        <w:rPr>
          <w:spacing w:val="-3"/>
        </w:rPr>
        <w:t> </w:t>
      </w:r>
      <w:r>
        <w:rPr/>
        <w:t>assumptions</w:t>
      </w:r>
      <w:r>
        <w:rPr>
          <w:spacing w:val="-3"/>
        </w:rPr>
        <w:t> </w:t>
      </w:r>
      <w:r>
        <w:rPr/>
        <w:t>or</w:t>
      </w:r>
      <w:r>
        <w:rPr>
          <w:spacing w:val="-3"/>
        </w:rPr>
        <w:t> </w:t>
      </w:r>
      <w:r>
        <w:rPr/>
        <w:t>conditions.</w:t>
      </w:r>
      <w:r>
        <w:rPr>
          <w:spacing w:val="-3"/>
        </w:rPr>
        <w:t> </w:t>
      </w:r>
      <w:r>
        <w:rPr/>
        <w:t>On</w:t>
      </w:r>
      <w:r>
        <w:rPr>
          <w:spacing w:val="-3"/>
        </w:rPr>
        <w:t> </w:t>
      </w:r>
      <w:r>
        <w:rPr/>
        <w:t>a</w:t>
      </w:r>
      <w:r>
        <w:rPr>
          <w:spacing w:val="-3"/>
        </w:rPr>
        <w:t> </w:t>
      </w:r>
      <w:r>
        <w:rPr/>
        <w:t>regular</w:t>
      </w:r>
      <w:r>
        <w:rPr>
          <w:spacing w:val="-3"/>
        </w:rPr>
        <w:t> </w:t>
      </w:r>
      <w:r>
        <w:rPr/>
        <w:t>basis,</w:t>
      </w:r>
      <w:r>
        <w:rPr>
          <w:spacing w:val="-3"/>
        </w:rPr>
        <w:t> </w:t>
      </w:r>
      <w:r>
        <w:rPr/>
        <w:t>we</w:t>
      </w:r>
      <w:r>
        <w:rPr>
          <w:spacing w:val="-3"/>
        </w:rPr>
        <w:t> </w:t>
      </w:r>
      <w:r>
        <w:rPr/>
        <w:t>evaluate</w:t>
      </w:r>
      <w:r>
        <w:rPr>
          <w:spacing w:val="-3"/>
        </w:rPr>
        <w:t> </w:t>
      </w:r>
      <w:r>
        <w:rPr/>
        <w:t>our</w:t>
      </w:r>
      <w:r>
        <w:rPr>
          <w:spacing w:val="-3"/>
        </w:rPr>
        <w:t> </w:t>
      </w:r>
      <w:r>
        <w:rPr/>
        <w:t>assumptions,</w:t>
      </w:r>
      <w:r>
        <w:rPr>
          <w:spacing w:val="-3"/>
        </w:rPr>
        <w:t> </w:t>
      </w:r>
      <w:r>
        <w:rPr/>
        <w:t>judgments</w:t>
      </w:r>
      <w:r>
        <w:rPr>
          <w:spacing w:val="-3"/>
        </w:rPr>
        <w:t> </w:t>
      </w:r>
      <w:r>
        <w:rPr/>
        <w:t>and estimates. We also discuss our critical accounting policies and estimates with the</w:t>
      </w:r>
      <w:r>
        <w:rPr>
          <w:spacing w:val="-6"/>
        </w:rPr>
        <w:t> </w:t>
      </w:r>
      <w:r>
        <w:rPr/>
        <w:t>Audit Committee of the Board of Directors.</w:t>
      </w:r>
    </w:p>
    <w:p>
      <w:pPr>
        <w:pStyle w:val="BodyText"/>
        <w:spacing w:line="249" w:lineRule="auto" w:before="185"/>
        <w:ind w:left="220" w:right="257" w:firstLine="540"/>
        <w:jc w:val="both"/>
      </w:pPr>
      <w:r>
        <w:rPr/>
        <w:t>We</w:t>
      </w:r>
      <w:r>
        <w:rPr>
          <w:spacing w:val="-5"/>
        </w:rPr>
        <w:t> </w:t>
      </w:r>
      <w:r>
        <w:rPr/>
        <w:t>believe</w:t>
      </w:r>
      <w:r>
        <w:rPr>
          <w:spacing w:val="-5"/>
        </w:rPr>
        <w:t> </w:t>
      </w:r>
      <w:r>
        <w:rPr/>
        <w:t>that</w:t>
      </w:r>
      <w:r>
        <w:rPr>
          <w:spacing w:val="-5"/>
        </w:rPr>
        <w:t> </w:t>
      </w:r>
      <w:r>
        <w:rPr/>
        <w:t>the</w:t>
      </w:r>
      <w:r>
        <w:rPr>
          <w:spacing w:val="-5"/>
        </w:rPr>
        <w:t> </w:t>
      </w:r>
      <w:r>
        <w:rPr/>
        <w:t>assumptions,</w:t>
      </w:r>
      <w:r>
        <w:rPr>
          <w:spacing w:val="-5"/>
        </w:rPr>
        <w:t> </w:t>
      </w:r>
      <w:r>
        <w:rPr/>
        <w:t>judgments</w:t>
      </w:r>
      <w:r>
        <w:rPr>
          <w:spacing w:val="-5"/>
        </w:rPr>
        <w:t> </w:t>
      </w:r>
      <w:r>
        <w:rPr/>
        <w:t>and</w:t>
      </w:r>
      <w:r>
        <w:rPr>
          <w:spacing w:val="-5"/>
        </w:rPr>
        <w:t> </w:t>
      </w:r>
      <w:r>
        <w:rPr/>
        <w:t>estimates</w:t>
      </w:r>
      <w:r>
        <w:rPr>
          <w:spacing w:val="-4"/>
        </w:rPr>
        <w:t> </w:t>
      </w:r>
      <w:r>
        <w:rPr/>
        <w:t>involved</w:t>
      </w:r>
      <w:r>
        <w:rPr>
          <w:spacing w:val="-5"/>
        </w:rPr>
        <w:t> </w:t>
      </w:r>
      <w:r>
        <w:rPr/>
        <w:t>in</w:t>
      </w:r>
      <w:r>
        <w:rPr>
          <w:spacing w:val="-5"/>
        </w:rPr>
        <w:t> </w:t>
      </w:r>
      <w:r>
        <w:rPr/>
        <w:t>the</w:t>
      </w:r>
      <w:r>
        <w:rPr>
          <w:spacing w:val="-5"/>
        </w:rPr>
        <w:t> </w:t>
      </w:r>
      <w:r>
        <w:rPr/>
        <w:t>accounting</w:t>
      </w:r>
      <w:r>
        <w:rPr>
          <w:spacing w:val="-5"/>
        </w:rPr>
        <w:t> </w:t>
      </w:r>
      <w:r>
        <w:rPr/>
        <w:t>for</w:t>
      </w:r>
      <w:r>
        <w:rPr>
          <w:spacing w:val="-5"/>
        </w:rPr>
        <w:t> </w:t>
      </w:r>
      <w:r>
        <w:rPr/>
        <w:t>revenue</w:t>
      </w:r>
      <w:r>
        <w:rPr>
          <w:spacing w:val="-5"/>
        </w:rPr>
        <w:t> </w:t>
      </w:r>
      <w:r>
        <w:rPr/>
        <w:t>recognition</w:t>
      </w:r>
      <w:r>
        <w:rPr>
          <w:spacing w:val="-5"/>
        </w:rPr>
        <w:t> </w:t>
      </w:r>
      <w:r>
        <w:rPr/>
        <w:t>and</w:t>
      </w:r>
      <w:r>
        <w:rPr>
          <w:spacing w:val="-5"/>
        </w:rPr>
        <w:t> </w:t>
      </w:r>
      <w:r>
        <w:rPr/>
        <w:t>income taxes</w:t>
      </w:r>
      <w:r>
        <w:rPr>
          <w:spacing w:val="-7"/>
        </w:rPr>
        <w:t> </w:t>
      </w:r>
      <w:r>
        <w:rPr/>
        <w:t>have</w:t>
      </w:r>
      <w:r>
        <w:rPr>
          <w:spacing w:val="-8"/>
        </w:rPr>
        <w:t> </w:t>
      </w:r>
      <w:r>
        <w:rPr/>
        <w:t>the</w:t>
      </w:r>
      <w:r>
        <w:rPr>
          <w:spacing w:val="-8"/>
        </w:rPr>
        <w:t> </w:t>
      </w:r>
      <w:r>
        <w:rPr/>
        <w:t>greatest</w:t>
      </w:r>
      <w:r>
        <w:rPr>
          <w:spacing w:val="-8"/>
        </w:rPr>
        <w:t> </w:t>
      </w:r>
      <w:r>
        <w:rPr/>
        <w:t>potential</w:t>
      </w:r>
      <w:r>
        <w:rPr>
          <w:spacing w:val="-8"/>
        </w:rPr>
        <w:t> </w:t>
      </w:r>
      <w:r>
        <w:rPr/>
        <w:t>impact</w:t>
      </w:r>
      <w:r>
        <w:rPr>
          <w:spacing w:val="-8"/>
        </w:rPr>
        <w:t> </w:t>
      </w:r>
      <w:r>
        <w:rPr/>
        <w:t>on</w:t>
      </w:r>
      <w:r>
        <w:rPr>
          <w:spacing w:val="-8"/>
        </w:rPr>
        <w:t> </w:t>
      </w:r>
      <w:r>
        <w:rPr/>
        <w:t>our</w:t>
      </w:r>
      <w:r>
        <w:rPr>
          <w:spacing w:val="-7"/>
        </w:rPr>
        <w:t> </w:t>
      </w:r>
      <w:r>
        <w:rPr/>
        <w:t>Consolidated</w:t>
      </w:r>
      <w:r>
        <w:rPr>
          <w:spacing w:val="-8"/>
        </w:rPr>
        <w:t> </w:t>
      </w:r>
      <w:r>
        <w:rPr/>
        <w:t>Financial</w:t>
      </w:r>
      <w:r>
        <w:rPr>
          <w:spacing w:val="-8"/>
        </w:rPr>
        <w:t> </w:t>
      </w:r>
      <w:r>
        <w:rPr/>
        <w:t>Statements.</w:t>
      </w:r>
      <w:r>
        <w:rPr>
          <w:spacing w:val="-11"/>
        </w:rPr>
        <w:t> </w:t>
      </w:r>
      <w:r>
        <w:rPr/>
        <w:t>These</w:t>
      </w:r>
      <w:r>
        <w:rPr>
          <w:spacing w:val="-8"/>
        </w:rPr>
        <w:t> </w:t>
      </w:r>
      <w:r>
        <w:rPr/>
        <w:t>areas</w:t>
      </w:r>
      <w:r>
        <w:rPr>
          <w:spacing w:val="-8"/>
        </w:rPr>
        <w:t> </w:t>
      </w:r>
      <w:r>
        <w:rPr/>
        <w:t>are</w:t>
      </w:r>
      <w:r>
        <w:rPr>
          <w:spacing w:val="-8"/>
        </w:rPr>
        <w:t> </w:t>
      </w:r>
      <w:r>
        <w:rPr/>
        <w:t>key</w:t>
      </w:r>
      <w:r>
        <w:rPr>
          <w:spacing w:val="-7"/>
        </w:rPr>
        <w:t> </w:t>
      </w:r>
      <w:r>
        <w:rPr/>
        <w:t>components</w:t>
      </w:r>
      <w:r>
        <w:rPr>
          <w:spacing w:val="-8"/>
        </w:rPr>
        <w:t> </w:t>
      </w:r>
      <w:r>
        <w:rPr/>
        <w:t>of</w:t>
      </w:r>
      <w:r>
        <w:rPr>
          <w:spacing w:val="-7"/>
        </w:rPr>
        <w:t> </w:t>
      </w:r>
      <w:r>
        <w:rPr/>
        <w:t>our</w:t>
      </w:r>
      <w:r>
        <w:rPr>
          <w:spacing w:val="-8"/>
        </w:rPr>
        <w:t> </w:t>
      </w:r>
      <w:r>
        <w:rPr/>
        <w:t>results of</w:t>
      </w:r>
      <w:r>
        <w:rPr>
          <w:spacing w:val="-12"/>
        </w:rPr>
        <w:t> </w:t>
      </w:r>
      <w:r>
        <w:rPr/>
        <w:t>operations</w:t>
      </w:r>
      <w:r>
        <w:rPr>
          <w:spacing w:val="-12"/>
        </w:rPr>
        <w:t> </w:t>
      </w:r>
      <w:r>
        <w:rPr/>
        <w:t>and</w:t>
      </w:r>
      <w:r>
        <w:rPr>
          <w:spacing w:val="-12"/>
        </w:rPr>
        <w:t> </w:t>
      </w:r>
      <w:r>
        <w:rPr/>
        <w:t>are</w:t>
      </w:r>
      <w:r>
        <w:rPr>
          <w:spacing w:val="-12"/>
        </w:rPr>
        <w:t> </w:t>
      </w:r>
      <w:r>
        <w:rPr/>
        <w:t>based</w:t>
      </w:r>
      <w:r>
        <w:rPr>
          <w:spacing w:val="-12"/>
        </w:rPr>
        <w:t> </w:t>
      </w:r>
      <w:r>
        <w:rPr/>
        <w:t>on</w:t>
      </w:r>
      <w:r>
        <w:rPr>
          <w:spacing w:val="-12"/>
        </w:rPr>
        <w:t> </w:t>
      </w:r>
      <w:r>
        <w:rPr/>
        <w:t>complex</w:t>
      </w:r>
      <w:r>
        <w:rPr>
          <w:spacing w:val="-12"/>
        </w:rPr>
        <w:t> </w:t>
      </w:r>
      <w:r>
        <w:rPr/>
        <w:t>rules</w:t>
      </w:r>
      <w:r>
        <w:rPr>
          <w:spacing w:val="-12"/>
        </w:rPr>
        <w:t> </w:t>
      </w:r>
      <w:r>
        <w:rPr/>
        <w:t>requiring</w:t>
      </w:r>
      <w:r>
        <w:rPr>
          <w:spacing w:val="-12"/>
        </w:rPr>
        <w:t> </w:t>
      </w:r>
      <w:r>
        <w:rPr/>
        <w:t>us</w:t>
      </w:r>
      <w:r>
        <w:rPr>
          <w:spacing w:val="-12"/>
        </w:rPr>
        <w:t> </w:t>
      </w:r>
      <w:r>
        <w:rPr/>
        <w:t>to</w:t>
      </w:r>
      <w:r>
        <w:rPr>
          <w:spacing w:val="-12"/>
        </w:rPr>
        <w:t> </w:t>
      </w:r>
      <w:r>
        <w:rPr/>
        <w:t>make</w:t>
      </w:r>
      <w:r>
        <w:rPr>
          <w:spacing w:val="-12"/>
        </w:rPr>
        <w:t> </w:t>
      </w:r>
      <w:r>
        <w:rPr/>
        <w:t>judgments</w:t>
      </w:r>
      <w:r>
        <w:rPr>
          <w:spacing w:val="-12"/>
        </w:rPr>
        <w:t> </w:t>
      </w:r>
      <w:r>
        <w:rPr/>
        <w:t>and</w:t>
      </w:r>
      <w:r>
        <w:rPr>
          <w:spacing w:val="-12"/>
        </w:rPr>
        <w:t> </w:t>
      </w:r>
      <w:r>
        <w:rPr/>
        <w:t>estimates,</w:t>
      </w:r>
      <w:r>
        <w:rPr>
          <w:spacing w:val="-12"/>
        </w:rPr>
        <w:t> </w:t>
      </w:r>
      <w:r>
        <w:rPr/>
        <w:t>so</w:t>
      </w:r>
      <w:r>
        <w:rPr>
          <w:spacing w:val="-12"/>
        </w:rPr>
        <w:t> </w:t>
      </w:r>
      <w:r>
        <w:rPr/>
        <w:t>we</w:t>
      </w:r>
      <w:r>
        <w:rPr>
          <w:spacing w:val="-12"/>
        </w:rPr>
        <w:t> </w:t>
      </w:r>
      <w:r>
        <w:rPr/>
        <w:t>consider</w:t>
      </w:r>
      <w:r>
        <w:rPr>
          <w:spacing w:val="-12"/>
        </w:rPr>
        <w:t> </w:t>
      </w:r>
      <w:r>
        <w:rPr/>
        <w:t>these</w:t>
      </w:r>
      <w:r>
        <w:rPr>
          <w:spacing w:val="-12"/>
        </w:rPr>
        <w:t> </w:t>
      </w:r>
      <w:r>
        <w:rPr/>
        <w:t>to</w:t>
      </w:r>
      <w:r>
        <w:rPr>
          <w:spacing w:val="-12"/>
        </w:rPr>
        <w:t> </w:t>
      </w:r>
      <w:r>
        <w:rPr/>
        <w:t>be</w:t>
      </w:r>
      <w:r>
        <w:rPr>
          <w:spacing w:val="-12"/>
        </w:rPr>
        <w:t> </w:t>
      </w:r>
      <w:r>
        <w:rPr/>
        <w:t>our</w:t>
      </w:r>
      <w:r>
        <w:rPr>
          <w:spacing w:val="-12"/>
        </w:rPr>
        <w:t> </w:t>
      </w:r>
      <w:r>
        <w:rPr/>
        <w:t>critical accounting policies. Historically, our assumptions, judgments and estimates relative to our critical accounting policies have not differed materially from actual results.</w:t>
      </w:r>
    </w:p>
    <w:p>
      <w:pPr>
        <w:pStyle w:val="Heading2"/>
        <w:spacing w:before="184"/>
      </w:pPr>
      <w:r>
        <w:rPr/>
        <w:t>Revenue </w:t>
      </w:r>
      <w:r>
        <w:rPr>
          <w:spacing w:val="-2"/>
        </w:rPr>
        <w:t>Recognition</w:t>
      </w:r>
    </w:p>
    <w:p>
      <w:pPr>
        <w:pStyle w:val="BodyText"/>
        <w:spacing w:line="249" w:lineRule="auto" w:before="190"/>
        <w:ind w:left="220" w:right="257" w:firstLine="540"/>
        <w:jc w:val="both"/>
      </w:pPr>
      <w:r>
        <w:rPr/>
        <w:t>Our</w:t>
      </w:r>
      <w:r>
        <w:rPr>
          <w:spacing w:val="-4"/>
        </w:rPr>
        <w:t> </w:t>
      </w:r>
      <w:r>
        <w:rPr/>
        <w:t>revenue</w:t>
      </w:r>
      <w:r>
        <w:rPr>
          <w:spacing w:val="-5"/>
        </w:rPr>
        <w:t> </w:t>
      </w:r>
      <w:r>
        <w:rPr/>
        <w:t>is</w:t>
      </w:r>
      <w:r>
        <w:rPr>
          <w:spacing w:val="-4"/>
        </w:rPr>
        <w:t> </w:t>
      </w:r>
      <w:r>
        <w:rPr/>
        <w:t>derived</w:t>
      </w:r>
      <w:r>
        <w:rPr>
          <w:spacing w:val="-4"/>
        </w:rPr>
        <w:t> </w:t>
      </w:r>
      <w:r>
        <w:rPr/>
        <w:t>from</w:t>
      </w:r>
      <w:r>
        <w:rPr>
          <w:spacing w:val="-5"/>
        </w:rPr>
        <w:t> </w:t>
      </w:r>
      <w:r>
        <w:rPr/>
        <w:t>the</w:t>
      </w:r>
      <w:r>
        <w:rPr>
          <w:spacing w:val="-4"/>
        </w:rPr>
        <w:t> </w:t>
      </w:r>
      <w:r>
        <w:rPr/>
        <w:t>subscription,</w:t>
      </w:r>
      <w:r>
        <w:rPr>
          <w:spacing w:val="-4"/>
        </w:rPr>
        <w:t> </w:t>
      </w:r>
      <w:r>
        <w:rPr/>
        <w:t>non-software</w:t>
      </w:r>
      <w:r>
        <w:rPr>
          <w:spacing w:val="-5"/>
        </w:rPr>
        <w:t> </w:t>
      </w:r>
      <w:r>
        <w:rPr/>
        <w:t>related</w:t>
      </w:r>
      <w:r>
        <w:rPr>
          <w:spacing w:val="-4"/>
        </w:rPr>
        <w:t> </w:t>
      </w:r>
      <w:r>
        <w:rPr/>
        <w:t>hosted</w:t>
      </w:r>
      <w:r>
        <w:rPr>
          <w:spacing w:val="-4"/>
        </w:rPr>
        <w:t> </w:t>
      </w:r>
      <w:r>
        <w:rPr/>
        <w:t>services,</w:t>
      </w:r>
      <w:r>
        <w:rPr>
          <w:spacing w:val="-4"/>
        </w:rPr>
        <w:t> </w:t>
      </w:r>
      <w:r>
        <w:rPr/>
        <w:t>perpetual</w:t>
      </w:r>
      <w:r>
        <w:rPr>
          <w:spacing w:val="-5"/>
        </w:rPr>
        <w:t> </w:t>
      </w:r>
      <w:r>
        <w:rPr/>
        <w:t>and</w:t>
      </w:r>
      <w:r>
        <w:rPr>
          <w:spacing w:val="-4"/>
        </w:rPr>
        <w:t> </w:t>
      </w:r>
      <w:r>
        <w:rPr/>
        <w:t>term-based</w:t>
      </w:r>
      <w:r>
        <w:rPr>
          <w:spacing w:val="-4"/>
        </w:rPr>
        <w:t> </w:t>
      </w:r>
      <w:r>
        <w:rPr/>
        <w:t>licensing</w:t>
      </w:r>
      <w:r>
        <w:rPr>
          <w:spacing w:val="-4"/>
        </w:rPr>
        <w:t> </w:t>
      </w:r>
      <w:r>
        <w:rPr/>
        <w:t>of software</w:t>
      </w:r>
      <w:r>
        <w:rPr>
          <w:spacing w:val="-2"/>
        </w:rPr>
        <w:t> </w:t>
      </w:r>
      <w:r>
        <w:rPr/>
        <w:t>products,</w:t>
      </w:r>
      <w:r>
        <w:rPr>
          <w:spacing w:val="-2"/>
        </w:rPr>
        <w:t> </w:t>
      </w:r>
      <w:r>
        <w:rPr/>
        <w:t>associated</w:t>
      </w:r>
      <w:r>
        <w:rPr>
          <w:spacing w:val="-2"/>
        </w:rPr>
        <w:t> </w:t>
      </w:r>
      <w:r>
        <w:rPr/>
        <w:t>software</w:t>
      </w:r>
      <w:r>
        <w:rPr>
          <w:spacing w:val="-2"/>
        </w:rPr>
        <w:t> </w:t>
      </w:r>
      <w:r>
        <w:rPr/>
        <w:t>maintenance</w:t>
      </w:r>
      <w:r>
        <w:rPr>
          <w:spacing w:val="-2"/>
        </w:rPr>
        <w:t> </w:t>
      </w:r>
      <w:r>
        <w:rPr/>
        <w:t>and</w:t>
      </w:r>
      <w:r>
        <w:rPr>
          <w:spacing w:val="-2"/>
        </w:rPr>
        <w:t> </w:t>
      </w:r>
      <w:r>
        <w:rPr/>
        <w:t>support</w:t>
      </w:r>
      <w:r>
        <w:rPr>
          <w:spacing w:val="-2"/>
        </w:rPr>
        <w:t> </w:t>
      </w:r>
      <w:r>
        <w:rPr/>
        <w:t>plans,</w:t>
      </w:r>
      <w:r>
        <w:rPr>
          <w:spacing w:val="-2"/>
        </w:rPr>
        <w:t> </w:t>
      </w:r>
      <w:r>
        <w:rPr/>
        <w:t>consulting</w:t>
      </w:r>
      <w:r>
        <w:rPr>
          <w:spacing w:val="-2"/>
        </w:rPr>
        <w:t> </w:t>
      </w:r>
      <w:r>
        <w:rPr/>
        <w:t>services,</w:t>
      </w:r>
      <w:r>
        <w:rPr>
          <w:spacing w:val="-2"/>
        </w:rPr>
        <w:t> </w:t>
      </w:r>
      <w:r>
        <w:rPr/>
        <w:t>training</w:t>
      </w:r>
      <w:r>
        <w:rPr>
          <w:spacing w:val="-2"/>
        </w:rPr>
        <w:t> </w:t>
      </w:r>
      <w:r>
        <w:rPr/>
        <w:t>and</w:t>
      </w:r>
      <w:r>
        <w:rPr>
          <w:spacing w:val="-2"/>
        </w:rPr>
        <w:t> </w:t>
      </w:r>
      <w:r>
        <w:rPr/>
        <w:t>technical</w:t>
      </w:r>
      <w:r>
        <w:rPr>
          <w:spacing w:val="-2"/>
        </w:rPr>
        <w:t> </w:t>
      </w:r>
      <w:r>
        <w:rPr/>
        <w:t>support.</w:t>
      </w:r>
      <w:r>
        <w:rPr>
          <w:spacing w:val="-2"/>
        </w:rPr>
        <w:t> </w:t>
      </w:r>
      <w:r>
        <w:rPr/>
        <w:t>Most of</w:t>
      </w:r>
      <w:r>
        <w:rPr>
          <w:spacing w:val="-7"/>
        </w:rPr>
        <w:t> </w:t>
      </w:r>
      <w:r>
        <w:rPr/>
        <w:t>our</w:t>
      </w:r>
      <w:r>
        <w:rPr>
          <w:spacing w:val="-7"/>
        </w:rPr>
        <w:t> </w:t>
      </w:r>
      <w:r>
        <w:rPr/>
        <w:t>enterprise</w:t>
      </w:r>
      <w:r>
        <w:rPr>
          <w:spacing w:val="-7"/>
        </w:rPr>
        <w:t> </w:t>
      </w:r>
      <w:r>
        <w:rPr/>
        <w:t>customer</w:t>
      </w:r>
      <w:r>
        <w:rPr>
          <w:spacing w:val="-7"/>
        </w:rPr>
        <w:t> </w:t>
      </w:r>
      <w:r>
        <w:rPr/>
        <w:t>arrangements</w:t>
      </w:r>
      <w:r>
        <w:rPr>
          <w:spacing w:val="-6"/>
        </w:rPr>
        <w:t> </w:t>
      </w:r>
      <w:r>
        <w:rPr/>
        <w:t>are</w:t>
      </w:r>
      <w:r>
        <w:rPr>
          <w:spacing w:val="-7"/>
        </w:rPr>
        <w:t> </w:t>
      </w:r>
      <w:r>
        <w:rPr/>
        <w:t>complex,</w:t>
      </w:r>
      <w:r>
        <w:rPr>
          <w:spacing w:val="-7"/>
        </w:rPr>
        <w:t> </w:t>
      </w:r>
      <w:r>
        <w:rPr/>
        <w:t>involving</w:t>
      </w:r>
      <w:r>
        <w:rPr>
          <w:spacing w:val="-7"/>
        </w:rPr>
        <w:t> </w:t>
      </w:r>
      <w:r>
        <w:rPr/>
        <w:t>multiple</w:t>
      </w:r>
      <w:r>
        <w:rPr>
          <w:spacing w:val="-7"/>
        </w:rPr>
        <w:t> </w:t>
      </w:r>
      <w:r>
        <w:rPr/>
        <w:t>solutions</w:t>
      </w:r>
      <w:r>
        <w:rPr>
          <w:spacing w:val="-6"/>
        </w:rPr>
        <w:t> </w:t>
      </w:r>
      <w:r>
        <w:rPr/>
        <w:t>and</w:t>
      </w:r>
      <w:r>
        <w:rPr>
          <w:spacing w:val="-7"/>
        </w:rPr>
        <w:t> </w:t>
      </w:r>
      <w:r>
        <w:rPr/>
        <w:t>various</w:t>
      </w:r>
      <w:r>
        <w:rPr>
          <w:spacing w:val="-7"/>
        </w:rPr>
        <w:t> </w:t>
      </w:r>
      <w:r>
        <w:rPr/>
        <w:t>license</w:t>
      </w:r>
      <w:r>
        <w:rPr>
          <w:spacing w:val="-7"/>
        </w:rPr>
        <w:t> </w:t>
      </w:r>
      <w:r>
        <w:rPr/>
        <w:t>rights,</w:t>
      </w:r>
      <w:r>
        <w:rPr>
          <w:spacing w:val="-7"/>
        </w:rPr>
        <w:t> </w:t>
      </w:r>
      <w:r>
        <w:rPr/>
        <w:t>bundled</w:t>
      </w:r>
      <w:r>
        <w:rPr>
          <w:spacing w:val="-7"/>
        </w:rPr>
        <w:t> </w:t>
      </w:r>
      <w:r>
        <w:rPr/>
        <w:t>with</w:t>
      </w:r>
      <w:r>
        <w:rPr>
          <w:spacing w:val="-7"/>
        </w:rPr>
        <w:t> </w:t>
      </w:r>
      <w:r>
        <w:rPr/>
        <w:t>post- contract customer support and other meaningful rights that together provide a complete end-to-end solution to the customer. </w:t>
      </w:r>
      <w:r>
        <w:rPr>
          <w:spacing w:val="-2"/>
        </w:rPr>
        <w:t>Throughout the contract period, customers use our solutions to complete various phases of the creative and/or marketing processes allowing</w:t>
      </w:r>
      <w:r>
        <w:rPr>
          <w:spacing w:val="-4"/>
        </w:rPr>
        <w:t> </w:t>
      </w:r>
      <w:r>
        <w:rPr>
          <w:spacing w:val="-2"/>
        </w:rPr>
        <w:t>them</w:t>
      </w:r>
      <w:r>
        <w:rPr>
          <w:spacing w:val="-4"/>
        </w:rPr>
        <w:t> </w:t>
      </w:r>
      <w:r>
        <w:rPr>
          <w:spacing w:val="-2"/>
        </w:rPr>
        <w:t>to</w:t>
      </w:r>
      <w:r>
        <w:rPr>
          <w:spacing w:val="-4"/>
        </w:rPr>
        <w:t> </w:t>
      </w:r>
      <w:r>
        <w:rPr>
          <w:spacing w:val="-2"/>
        </w:rPr>
        <w:t>concurrently</w:t>
      </w:r>
      <w:r>
        <w:rPr>
          <w:spacing w:val="-4"/>
        </w:rPr>
        <w:t> </w:t>
      </w:r>
      <w:r>
        <w:rPr>
          <w:spacing w:val="-2"/>
        </w:rPr>
        <w:t>work</w:t>
      </w:r>
      <w:r>
        <w:rPr>
          <w:spacing w:val="-4"/>
        </w:rPr>
        <w:t> </w:t>
      </w:r>
      <w:r>
        <w:rPr>
          <w:spacing w:val="-2"/>
        </w:rPr>
        <w:t>on</w:t>
      </w:r>
      <w:r>
        <w:rPr>
          <w:spacing w:val="-4"/>
        </w:rPr>
        <w:t> </w:t>
      </w:r>
      <w:r>
        <w:rPr>
          <w:spacing w:val="-2"/>
        </w:rPr>
        <w:t>multiple</w:t>
      </w:r>
      <w:r>
        <w:rPr>
          <w:spacing w:val="-4"/>
        </w:rPr>
        <w:t> </w:t>
      </w:r>
      <w:r>
        <w:rPr>
          <w:spacing w:val="-2"/>
        </w:rPr>
        <w:t>projects.</w:t>
      </w:r>
      <w:r>
        <w:rPr>
          <w:spacing w:val="-4"/>
        </w:rPr>
        <w:t> </w:t>
      </w:r>
      <w:r>
        <w:rPr>
          <w:spacing w:val="-2"/>
        </w:rPr>
        <w:t>In</w:t>
      </w:r>
      <w:r>
        <w:rPr>
          <w:spacing w:val="-4"/>
        </w:rPr>
        <w:t> </w:t>
      </w:r>
      <w:r>
        <w:rPr>
          <w:spacing w:val="-2"/>
        </w:rPr>
        <w:t>response</w:t>
      </w:r>
      <w:r>
        <w:rPr>
          <w:spacing w:val="-4"/>
        </w:rPr>
        <w:t> </w:t>
      </w:r>
      <w:r>
        <w:rPr>
          <w:spacing w:val="-2"/>
        </w:rPr>
        <w:t>to</w:t>
      </w:r>
      <w:r>
        <w:rPr>
          <w:spacing w:val="-4"/>
        </w:rPr>
        <w:t> </w:t>
      </w:r>
      <w:r>
        <w:rPr>
          <w:spacing w:val="-2"/>
        </w:rPr>
        <w:t>evolving</w:t>
      </w:r>
      <w:r>
        <w:rPr>
          <w:spacing w:val="-4"/>
        </w:rPr>
        <w:t> </w:t>
      </w:r>
      <w:r>
        <w:rPr>
          <w:spacing w:val="-2"/>
        </w:rPr>
        <w:t>customer</w:t>
      </w:r>
      <w:r>
        <w:rPr>
          <w:spacing w:val="-4"/>
        </w:rPr>
        <w:t> </w:t>
      </w:r>
      <w:r>
        <w:rPr>
          <w:spacing w:val="-2"/>
        </w:rPr>
        <w:t>and</w:t>
      </w:r>
      <w:r>
        <w:rPr>
          <w:spacing w:val="-4"/>
        </w:rPr>
        <w:t> </w:t>
      </w:r>
      <w:r>
        <w:rPr>
          <w:spacing w:val="-2"/>
        </w:rPr>
        <w:t>market</w:t>
      </w:r>
      <w:r>
        <w:rPr>
          <w:spacing w:val="-4"/>
        </w:rPr>
        <w:t> </w:t>
      </w:r>
      <w:r>
        <w:rPr>
          <w:spacing w:val="-2"/>
        </w:rPr>
        <w:t>expectations,</w:t>
      </w:r>
      <w:r>
        <w:rPr>
          <w:spacing w:val="-4"/>
        </w:rPr>
        <w:t> </w:t>
      </w:r>
      <w:r>
        <w:rPr>
          <w:spacing w:val="-2"/>
        </w:rPr>
        <w:t>we</w:t>
      </w:r>
      <w:r>
        <w:rPr>
          <w:spacing w:val="-4"/>
        </w:rPr>
        <w:t> </w:t>
      </w:r>
      <w:r>
        <w:rPr>
          <w:spacing w:val="-2"/>
        </w:rPr>
        <w:t>frequently </w:t>
      </w:r>
      <w:r>
        <w:rPr/>
        <w:t>expand and improve our technology to keep up with the pace of change, to provide enhancements to our tools to meet industry needs and to provide support at each stage of the customer’s life cycle.</w:t>
      </w:r>
    </w:p>
    <w:p>
      <w:pPr>
        <w:pStyle w:val="BodyText"/>
        <w:spacing w:line="249" w:lineRule="auto" w:before="187"/>
        <w:ind w:left="220" w:right="257" w:firstLine="540"/>
        <w:jc w:val="both"/>
      </w:pPr>
      <w:r>
        <w:rPr/>
        <w:t>We recognize revenue when all four revenue recognition criteria have been met: persuasive evidence of an arrangement exists; we have delivered the product or performed the service; the fee is fixed or determinable; and collection is probable. Determining</w:t>
      </w:r>
      <w:r>
        <w:rPr>
          <w:spacing w:val="-13"/>
        </w:rPr>
        <w:t> </w:t>
      </w:r>
      <w:r>
        <w:rPr/>
        <w:t>whether</w:t>
      </w:r>
      <w:r>
        <w:rPr>
          <w:spacing w:val="-12"/>
        </w:rPr>
        <w:t> </w:t>
      </w:r>
      <w:r>
        <w:rPr/>
        <w:t>and</w:t>
      </w:r>
      <w:r>
        <w:rPr>
          <w:spacing w:val="-12"/>
        </w:rPr>
        <w:t> </w:t>
      </w:r>
      <w:r>
        <w:rPr/>
        <w:t>when</w:t>
      </w:r>
      <w:r>
        <w:rPr>
          <w:spacing w:val="-12"/>
        </w:rPr>
        <w:t> </w:t>
      </w:r>
      <w:r>
        <w:rPr/>
        <w:t>some</w:t>
      </w:r>
      <w:r>
        <w:rPr>
          <w:spacing w:val="-13"/>
        </w:rPr>
        <w:t> </w:t>
      </w:r>
      <w:r>
        <w:rPr/>
        <w:t>of</w:t>
      </w:r>
      <w:r>
        <w:rPr>
          <w:spacing w:val="-12"/>
        </w:rPr>
        <w:t> </w:t>
      </w:r>
      <w:r>
        <w:rPr/>
        <w:t>these</w:t>
      </w:r>
      <w:r>
        <w:rPr>
          <w:spacing w:val="-13"/>
        </w:rPr>
        <w:t> </w:t>
      </w:r>
      <w:r>
        <w:rPr/>
        <w:t>criteria</w:t>
      </w:r>
      <w:r>
        <w:rPr>
          <w:spacing w:val="-12"/>
        </w:rPr>
        <w:t> </w:t>
      </w:r>
      <w:r>
        <w:rPr/>
        <w:t>have</w:t>
      </w:r>
      <w:r>
        <w:rPr>
          <w:spacing w:val="-13"/>
        </w:rPr>
        <w:t> </w:t>
      </w:r>
      <w:r>
        <w:rPr/>
        <w:t>been</w:t>
      </w:r>
      <w:r>
        <w:rPr>
          <w:spacing w:val="-12"/>
        </w:rPr>
        <w:t> </w:t>
      </w:r>
      <w:r>
        <w:rPr/>
        <w:t>satisfied</w:t>
      </w:r>
      <w:r>
        <w:rPr>
          <w:spacing w:val="-12"/>
        </w:rPr>
        <w:t> </w:t>
      </w:r>
      <w:r>
        <w:rPr/>
        <w:t>often</w:t>
      </w:r>
      <w:r>
        <w:rPr>
          <w:spacing w:val="-12"/>
        </w:rPr>
        <w:t> </w:t>
      </w:r>
      <w:r>
        <w:rPr/>
        <w:t>involves</w:t>
      </w:r>
      <w:r>
        <w:rPr>
          <w:spacing w:val="-12"/>
        </w:rPr>
        <w:t> </w:t>
      </w:r>
      <w:r>
        <w:rPr/>
        <w:t>assumptions</w:t>
      </w:r>
      <w:r>
        <w:rPr>
          <w:spacing w:val="-12"/>
        </w:rPr>
        <w:t> </w:t>
      </w:r>
      <w:r>
        <w:rPr/>
        <w:t>and</w:t>
      </w:r>
      <w:r>
        <w:rPr>
          <w:spacing w:val="-12"/>
        </w:rPr>
        <w:t> </w:t>
      </w:r>
      <w:r>
        <w:rPr/>
        <w:t>judgments</w:t>
      </w:r>
      <w:r>
        <w:rPr>
          <w:spacing w:val="-12"/>
        </w:rPr>
        <w:t> </w:t>
      </w:r>
      <w:r>
        <w:rPr/>
        <w:t>that</w:t>
      </w:r>
      <w:r>
        <w:rPr>
          <w:spacing w:val="-12"/>
        </w:rPr>
        <w:t> </w:t>
      </w:r>
      <w:r>
        <w:rPr/>
        <w:t>can</w:t>
      </w:r>
      <w:r>
        <w:rPr>
          <w:spacing w:val="-12"/>
        </w:rPr>
        <w:t> </w:t>
      </w:r>
      <w:r>
        <w:rPr/>
        <w:t>have a significant impact on the timing and amount of revenue we report.</w:t>
      </w:r>
    </w:p>
    <w:p>
      <w:pPr>
        <w:pStyle w:val="BodyText"/>
        <w:spacing w:line="249" w:lineRule="auto" w:before="163"/>
        <w:ind w:left="220" w:right="258" w:firstLine="540"/>
        <w:jc w:val="both"/>
      </w:pPr>
      <w:r>
        <w:rPr>
          <w:spacing w:val="-4"/>
        </w:rPr>
        <w:t>We enter into multiple element revenue arrangements in which a customer may purchase a combination of software, upgrades, </w:t>
      </w:r>
      <w:r>
        <w:rPr/>
        <w:t>maintenance and support, hosted services and consulting.</w:t>
      </w:r>
    </w:p>
    <w:p>
      <w:pPr>
        <w:pStyle w:val="BodyText"/>
        <w:spacing w:line="249" w:lineRule="auto" w:before="182"/>
        <w:ind w:left="220" w:right="257" w:firstLine="540"/>
        <w:jc w:val="both"/>
      </w:pPr>
      <w:r>
        <w:rPr/>
        <w:t>For our software and software-related multiple element arrangements, we must: (1) determine whether and when </w:t>
      </w:r>
      <w:r>
        <w:rPr/>
        <w:t>each </w:t>
      </w:r>
      <w:r>
        <w:rPr>
          <w:spacing w:val="-2"/>
        </w:rPr>
        <w:t>element</w:t>
      </w:r>
      <w:r>
        <w:rPr>
          <w:spacing w:val="-10"/>
        </w:rPr>
        <w:t> </w:t>
      </w:r>
      <w:r>
        <w:rPr>
          <w:spacing w:val="-2"/>
        </w:rPr>
        <w:t>has</w:t>
      </w:r>
      <w:r>
        <w:rPr>
          <w:spacing w:val="-10"/>
        </w:rPr>
        <w:t> </w:t>
      </w:r>
      <w:r>
        <w:rPr>
          <w:spacing w:val="-2"/>
        </w:rPr>
        <w:t>been</w:t>
      </w:r>
      <w:r>
        <w:rPr>
          <w:spacing w:val="-10"/>
        </w:rPr>
        <w:t> </w:t>
      </w:r>
      <w:r>
        <w:rPr>
          <w:spacing w:val="-2"/>
        </w:rPr>
        <w:t>delivered;</w:t>
      </w:r>
      <w:r>
        <w:rPr>
          <w:spacing w:val="-10"/>
        </w:rPr>
        <w:t> </w:t>
      </w:r>
      <w:r>
        <w:rPr>
          <w:spacing w:val="-2"/>
        </w:rPr>
        <w:t>(2)</w:t>
      </w:r>
      <w:r>
        <w:rPr>
          <w:spacing w:val="-10"/>
        </w:rPr>
        <w:t> </w:t>
      </w:r>
      <w:r>
        <w:rPr>
          <w:spacing w:val="-2"/>
        </w:rPr>
        <w:t>determine</w:t>
      </w:r>
      <w:r>
        <w:rPr>
          <w:spacing w:val="-10"/>
        </w:rPr>
        <w:t> </w:t>
      </w:r>
      <w:r>
        <w:rPr>
          <w:spacing w:val="-2"/>
        </w:rPr>
        <w:t>whether</w:t>
      </w:r>
      <w:r>
        <w:rPr>
          <w:spacing w:val="-10"/>
        </w:rPr>
        <w:t> </w:t>
      </w:r>
      <w:r>
        <w:rPr>
          <w:spacing w:val="-2"/>
        </w:rPr>
        <w:t>undelivered</w:t>
      </w:r>
      <w:r>
        <w:rPr>
          <w:spacing w:val="-10"/>
        </w:rPr>
        <w:t> </w:t>
      </w:r>
      <w:r>
        <w:rPr>
          <w:spacing w:val="-2"/>
        </w:rPr>
        <w:t>products</w:t>
      </w:r>
      <w:r>
        <w:rPr>
          <w:spacing w:val="-10"/>
        </w:rPr>
        <w:t> </w:t>
      </w:r>
      <w:r>
        <w:rPr>
          <w:spacing w:val="-2"/>
        </w:rPr>
        <w:t>or</w:t>
      </w:r>
      <w:r>
        <w:rPr>
          <w:spacing w:val="-10"/>
        </w:rPr>
        <w:t> </w:t>
      </w:r>
      <w:r>
        <w:rPr>
          <w:spacing w:val="-2"/>
        </w:rPr>
        <w:t>services</w:t>
      </w:r>
      <w:r>
        <w:rPr>
          <w:spacing w:val="-10"/>
        </w:rPr>
        <w:t> </w:t>
      </w:r>
      <w:r>
        <w:rPr>
          <w:spacing w:val="-2"/>
        </w:rPr>
        <w:t>are</w:t>
      </w:r>
      <w:r>
        <w:rPr>
          <w:spacing w:val="-10"/>
        </w:rPr>
        <w:t> </w:t>
      </w:r>
      <w:r>
        <w:rPr>
          <w:spacing w:val="-2"/>
        </w:rPr>
        <w:t>essential</w:t>
      </w:r>
      <w:r>
        <w:rPr>
          <w:spacing w:val="-10"/>
        </w:rPr>
        <w:t> </w:t>
      </w:r>
      <w:r>
        <w:rPr>
          <w:spacing w:val="-2"/>
        </w:rPr>
        <w:t>to</w:t>
      </w:r>
      <w:r>
        <w:rPr>
          <w:spacing w:val="-10"/>
        </w:rPr>
        <w:t> </w:t>
      </w:r>
      <w:r>
        <w:rPr>
          <w:spacing w:val="-2"/>
        </w:rPr>
        <w:t>the</w:t>
      </w:r>
      <w:r>
        <w:rPr>
          <w:spacing w:val="-10"/>
        </w:rPr>
        <w:t> </w:t>
      </w:r>
      <w:r>
        <w:rPr>
          <w:spacing w:val="-2"/>
        </w:rPr>
        <w:t>functionality</w:t>
      </w:r>
      <w:r>
        <w:rPr>
          <w:spacing w:val="-10"/>
        </w:rPr>
        <w:t> </w:t>
      </w:r>
      <w:r>
        <w:rPr>
          <w:spacing w:val="-2"/>
        </w:rPr>
        <w:t>of</w:t>
      </w:r>
      <w:r>
        <w:rPr>
          <w:spacing w:val="-10"/>
        </w:rPr>
        <w:t> </w:t>
      </w:r>
      <w:r>
        <w:rPr>
          <w:spacing w:val="-2"/>
        </w:rPr>
        <w:t>the</w:t>
      </w:r>
      <w:r>
        <w:rPr>
          <w:spacing w:val="-10"/>
        </w:rPr>
        <w:t> </w:t>
      </w:r>
      <w:r>
        <w:rPr>
          <w:spacing w:val="-2"/>
        </w:rPr>
        <w:t>delivered products</w:t>
      </w:r>
      <w:r>
        <w:rPr>
          <w:spacing w:val="-11"/>
        </w:rPr>
        <w:t> </w:t>
      </w:r>
      <w:r>
        <w:rPr>
          <w:spacing w:val="-2"/>
        </w:rPr>
        <w:t>and</w:t>
      </w:r>
      <w:r>
        <w:rPr>
          <w:spacing w:val="-10"/>
        </w:rPr>
        <w:t> </w:t>
      </w:r>
      <w:r>
        <w:rPr>
          <w:spacing w:val="-2"/>
        </w:rPr>
        <w:t>services;</w:t>
      </w:r>
      <w:r>
        <w:rPr>
          <w:spacing w:val="-11"/>
        </w:rPr>
        <w:t> </w:t>
      </w:r>
      <w:r>
        <w:rPr>
          <w:spacing w:val="-2"/>
        </w:rPr>
        <w:t>(3)</w:t>
      </w:r>
      <w:r>
        <w:rPr>
          <w:spacing w:val="-10"/>
        </w:rPr>
        <w:t> </w:t>
      </w:r>
      <w:r>
        <w:rPr>
          <w:spacing w:val="-2"/>
        </w:rPr>
        <w:t>determine</w:t>
      </w:r>
      <w:r>
        <w:rPr>
          <w:spacing w:val="-11"/>
        </w:rPr>
        <w:t> </w:t>
      </w:r>
      <w:r>
        <w:rPr>
          <w:spacing w:val="-2"/>
        </w:rPr>
        <w:t>the</w:t>
      </w:r>
      <w:r>
        <w:rPr>
          <w:spacing w:val="-10"/>
        </w:rPr>
        <w:t> </w:t>
      </w:r>
      <w:r>
        <w:rPr>
          <w:spacing w:val="-2"/>
        </w:rPr>
        <w:t>fair</w:t>
      </w:r>
      <w:r>
        <w:rPr>
          <w:spacing w:val="-11"/>
        </w:rPr>
        <w:t> </w:t>
      </w:r>
      <w:r>
        <w:rPr>
          <w:spacing w:val="-2"/>
        </w:rPr>
        <w:t>value</w:t>
      </w:r>
      <w:r>
        <w:rPr>
          <w:spacing w:val="-10"/>
        </w:rPr>
        <w:t> </w:t>
      </w:r>
      <w:r>
        <w:rPr>
          <w:spacing w:val="-2"/>
        </w:rPr>
        <w:t>of</w:t>
      </w:r>
      <w:r>
        <w:rPr>
          <w:spacing w:val="-11"/>
        </w:rPr>
        <w:t> </w:t>
      </w:r>
      <w:r>
        <w:rPr>
          <w:spacing w:val="-2"/>
        </w:rPr>
        <w:t>each</w:t>
      </w:r>
      <w:r>
        <w:rPr>
          <w:spacing w:val="-10"/>
        </w:rPr>
        <w:t> </w:t>
      </w:r>
      <w:r>
        <w:rPr>
          <w:spacing w:val="-2"/>
        </w:rPr>
        <w:t>undelivered</w:t>
      </w:r>
      <w:r>
        <w:rPr>
          <w:spacing w:val="-11"/>
        </w:rPr>
        <w:t> </w:t>
      </w:r>
      <w:r>
        <w:rPr>
          <w:spacing w:val="-2"/>
        </w:rPr>
        <w:t>element</w:t>
      </w:r>
      <w:r>
        <w:rPr>
          <w:spacing w:val="-10"/>
        </w:rPr>
        <w:t> </w:t>
      </w:r>
      <w:r>
        <w:rPr>
          <w:spacing w:val="-2"/>
        </w:rPr>
        <w:t>using</w:t>
      </w:r>
      <w:r>
        <w:rPr>
          <w:spacing w:val="-11"/>
        </w:rPr>
        <w:t> </w:t>
      </w:r>
      <w:r>
        <w:rPr>
          <w:spacing w:val="-2"/>
        </w:rPr>
        <w:t>vendor-specific</w:t>
      </w:r>
      <w:r>
        <w:rPr>
          <w:spacing w:val="-10"/>
        </w:rPr>
        <w:t> </w:t>
      </w:r>
      <w:r>
        <w:rPr>
          <w:spacing w:val="-2"/>
        </w:rPr>
        <w:t>objective</w:t>
      </w:r>
      <w:r>
        <w:rPr>
          <w:spacing w:val="-11"/>
        </w:rPr>
        <w:t> </w:t>
      </w:r>
      <w:r>
        <w:rPr>
          <w:spacing w:val="-2"/>
        </w:rPr>
        <w:t>evidence</w:t>
      </w:r>
      <w:r>
        <w:rPr>
          <w:spacing w:val="4"/>
        </w:rPr>
        <w:t> </w:t>
      </w:r>
      <w:r>
        <w:rPr>
          <w:spacing w:val="-2"/>
        </w:rPr>
        <w:t>(“VSOE”); </w:t>
      </w:r>
      <w:r>
        <w:rPr/>
        <w:t>and (4) allocate the total price among the various elements. VSOE of fair value is used to allocate a portion of the price to the undelivered</w:t>
      </w:r>
      <w:r>
        <w:rPr>
          <w:spacing w:val="-5"/>
        </w:rPr>
        <w:t> </w:t>
      </w:r>
      <w:r>
        <w:rPr/>
        <w:t>elements</w:t>
      </w:r>
      <w:r>
        <w:rPr>
          <w:spacing w:val="-4"/>
        </w:rPr>
        <w:t> </w:t>
      </w:r>
      <w:r>
        <w:rPr/>
        <w:t>and</w:t>
      </w:r>
      <w:r>
        <w:rPr>
          <w:spacing w:val="-4"/>
        </w:rPr>
        <w:t> </w:t>
      </w:r>
      <w:r>
        <w:rPr/>
        <w:t>the</w:t>
      </w:r>
      <w:r>
        <w:rPr>
          <w:spacing w:val="-4"/>
        </w:rPr>
        <w:t> </w:t>
      </w:r>
      <w:r>
        <w:rPr/>
        <w:t>residual</w:t>
      </w:r>
      <w:r>
        <w:rPr>
          <w:spacing w:val="-4"/>
        </w:rPr>
        <w:t> </w:t>
      </w:r>
      <w:r>
        <w:rPr/>
        <w:t>method</w:t>
      </w:r>
      <w:r>
        <w:rPr>
          <w:spacing w:val="-4"/>
        </w:rPr>
        <w:t> </w:t>
      </w:r>
      <w:r>
        <w:rPr/>
        <w:t>is</w:t>
      </w:r>
      <w:r>
        <w:rPr>
          <w:spacing w:val="-4"/>
        </w:rPr>
        <w:t> </w:t>
      </w:r>
      <w:r>
        <w:rPr/>
        <w:t>used</w:t>
      </w:r>
      <w:r>
        <w:rPr>
          <w:spacing w:val="-4"/>
        </w:rPr>
        <w:t> </w:t>
      </w:r>
      <w:r>
        <w:rPr/>
        <w:t>to</w:t>
      </w:r>
      <w:r>
        <w:rPr>
          <w:spacing w:val="-4"/>
        </w:rPr>
        <w:t> </w:t>
      </w:r>
      <w:r>
        <w:rPr/>
        <w:t>allocate</w:t>
      </w:r>
      <w:r>
        <w:rPr>
          <w:spacing w:val="-4"/>
        </w:rPr>
        <w:t> </w:t>
      </w:r>
      <w:r>
        <w:rPr/>
        <w:t>the</w:t>
      </w:r>
      <w:r>
        <w:rPr>
          <w:spacing w:val="-4"/>
        </w:rPr>
        <w:t> </w:t>
      </w:r>
      <w:r>
        <w:rPr/>
        <w:t>remaining</w:t>
      </w:r>
      <w:r>
        <w:rPr>
          <w:spacing w:val="-4"/>
        </w:rPr>
        <w:t> </w:t>
      </w:r>
      <w:r>
        <w:rPr/>
        <w:t>portion</w:t>
      </w:r>
      <w:r>
        <w:rPr>
          <w:spacing w:val="-4"/>
        </w:rPr>
        <w:t> </w:t>
      </w:r>
      <w:r>
        <w:rPr/>
        <w:t>to</w:t>
      </w:r>
      <w:r>
        <w:rPr>
          <w:spacing w:val="-4"/>
        </w:rPr>
        <w:t> </w:t>
      </w:r>
      <w:r>
        <w:rPr/>
        <w:t>the</w:t>
      </w:r>
      <w:r>
        <w:rPr>
          <w:spacing w:val="-4"/>
        </w:rPr>
        <w:t> </w:t>
      </w:r>
      <w:r>
        <w:rPr/>
        <w:t>delivered</w:t>
      </w:r>
      <w:r>
        <w:rPr>
          <w:spacing w:val="-4"/>
        </w:rPr>
        <w:t> </w:t>
      </w:r>
      <w:r>
        <w:rPr/>
        <w:t>elements.</w:t>
      </w:r>
      <w:r>
        <w:rPr>
          <w:spacing w:val="-13"/>
        </w:rPr>
        <w:t> </w:t>
      </w:r>
      <w:r>
        <w:rPr/>
        <w:t>Absent</w:t>
      </w:r>
      <w:r>
        <w:rPr>
          <w:spacing w:val="-6"/>
        </w:rPr>
        <w:t> </w:t>
      </w:r>
      <w:r>
        <w:rPr/>
        <w:t>VSOE, </w:t>
      </w:r>
      <w:r>
        <w:rPr>
          <w:spacing w:val="-2"/>
        </w:rPr>
        <w:t>revenue</w:t>
      </w:r>
      <w:r>
        <w:rPr>
          <w:spacing w:val="-6"/>
        </w:rPr>
        <w:t> </w:t>
      </w:r>
      <w:r>
        <w:rPr>
          <w:spacing w:val="-2"/>
        </w:rPr>
        <w:t>is</w:t>
      </w:r>
      <w:r>
        <w:rPr>
          <w:spacing w:val="-6"/>
        </w:rPr>
        <w:t> </w:t>
      </w:r>
      <w:r>
        <w:rPr>
          <w:spacing w:val="-2"/>
        </w:rPr>
        <w:t>deferred</w:t>
      </w:r>
      <w:r>
        <w:rPr>
          <w:spacing w:val="-6"/>
        </w:rPr>
        <w:t> </w:t>
      </w:r>
      <w:r>
        <w:rPr>
          <w:spacing w:val="-2"/>
        </w:rPr>
        <w:t>until</w:t>
      </w:r>
      <w:r>
        <w:rPr>
          <w:spacing w:val="-6"/>
        </w:rPr>
        <w:t> </w:t>
      </w:r>
      <w:r>
        <w:rPr>
          <w:spacing w:val="-2"/>
        </w:rPr>
        <w:t>the</w:t>
      </w:r>
      <w:r>
        <w:rPr>
          <w:spacing w:val="-6"/>
        </w:rPr>
        <w:t> </w:t>
      </w:r>
      <w:r>
        <w:rPr>
          <w:spacing w:val="-2"/>
        </w:rPr>
        <w:t>earlier</w:t>
      </w:r>
      <w:r>
        <w:rPr>
          <w:spacing w:val="-6"/>
        </w:rPr>
        <w:t> </w:t>
      </w:r>
      <w:r>
        <w:rPr>
          <w:spacing w:val="-2"/>
        </w:rPr>
        <w:t>of</w:t>
      </w:r>
      <w:r>
        <w:rPr>
          <w:spacing w:val="-6"/>
        </w:rPr>
        <w:t> </w:t>
      </w:r>
      <w:r>
        <w:rPr>
          <w:spacing w:val="-2"/>
        </w:rPr>
        <w:t>the</w:t>
      </w:r>
      <w:r>
        <w:rPr>
          <w:spacing w:val="-6"/>
        </w:rPr>
        <w:t> </w:t>
      </w:r>
      <w:r>
        <w:rPr>
          <w:spacing w:val="-2"/>
        </w:rPr>
        <w:t>point</w:t>
      </w:r>
      <w:r>
        <w:rPr>
          <w:spacing w:val="-6"/>
        </w:rPr>
        <w:t> </w:t>
      </w:r>
      <w:r>
        <w:rPr>
          <w:spacing w:val="-2"/>
        </w:rPr>
        <w:t>at</w:t>
      </w:r>
      <w:r>
        <w:rPr>
          <w:spacing w:val="-6"/>
        </w:rPr>
        <w:t> </w:t>
      </w:r>
      <w:r>
        <w:rPr>
          <w:spacing w:val="-2"/>
        </w:rPr>
        <w:t>which</w:t>
      </w:r>
      <w:r>
        <w:rPr>
          <w:spacing w:val="-10"/>
        </w:rPr>
        <w:t> </w:t>
      </w:r>
      <w:r>
        <w:rPr>
          <w:spacing w:val="-2"/>
        </w:rPr>
        <w:t>VSOE</w:t>
      </w:r>
      <w:r>
        <w:rPr>
          <w:spacing w:val="-6"/>
        </w:rPr>
        <w:t> </w:t>
      </w:r>
      <w:r>
        <w:rPr>
          <w:spacing w:val="-2"/>
        </w:rPr>
        <w:t>of</w:t>
      </w:r>
      <w:r>
        <w:rPr>
          <w:spacing w:val="-6"/>
        </w:rPr>
        <w:t> </w:t>
      </w:r>
      <w:r>
        <w:rPr>
          <w:spacing w:val="-2"/>
        </w:rPr>
        <w:t>fair</w:t>
      </w:r>
      <w:r>
        <w:rPr>
          <w:spacing w:val="-6"/>
        </w:rPr>
        <w:t> </w:t>
      </w:r>
      <w:r>
        <w:rPr>
          <w:spacing w:val="-2"/>
        </w:rPr>
        <w:t>value</w:t>
      </w:r>
      <w:r>
        <w:rPr>
          <w:spacing w:val="-6"/>
        </w:rPr>
        <w:t> </w:t>
      </w:r>
      <w:r>
        <w:rPr>
          <w:spacing w:val="-2"/>
        </w:rPr>
        <w:t>exists</w:t>
      </w:r>
      <w:r>
        <w:rPr>
          <w:spacing w:val="-6"/>
        </w:rPr>
        <w:t> </w:t>
      </w:r>
      <w:r>
        <w:rPr>
          <w:spacing w:val="-2"/>
        </w:rPr>
        <w:t>for</w:t>
      </w:r>
      <w:r>
        <w:rPr>
          <w:spacing w:val="-6"/>
        </w:rPr>
        <w:t> </w:t>
      </w:r>
      <w:r>
        <w:rPr>
          <w:spacing w:val="-2"/>
        </w:rPr>
        <w:t>any</w:t>
      </w:r>
      <w:r>
        <w:rPr>
          <w:spacing w:val="-6"/>
        </w:rPr>
        <w:t> </w:t>
      </w:r>
      <w:r>
        <w:rPr>
          <w:spacing w:val="-2"/>
        </w:rPr>
        <w:t>undelivered</w:t>
      </w:r>
      <w:r>
        <w:rPr>
          <w:spacing w:val="-6"/>
        </w:rPr>
        <w:t> </w:t>
      </w:r>
      <w:r>
        <w:rPr>
          <w:spacing w:val="-2"/>
        </w:rPr>
        <w:t>element</w:t>
      </w:r>
      <w:r>
        <w:rPr>
          <w:spacing w:val="-6"/>
        </w:rPr>
        <w:t> </w:t>
      </w:r>
      <w:r>
        <w:rPr>
          <w:spacing w:val="-2"/>
        </w:rPr>
        <w:t>or</w:t>
      </w:r>
      <w:r>
        <w:rPr>
          <w:spacing w:val="-6"/>
        </w:rPr>
        <w:t> </w:t>
      </w:r>
      <w:r>
        <w:rPr>
          <w:spacing w:val="-2"/>
        </w:rPr>
        <w:t>until</w:t>
      </w:r>
      <w:r>
        <w:rPr>
          <w:spacing w:val="-6"/>
        </w:rPr>
        <w:t> </w:t>
      </w:r>
      <w:r>
        <w:rPr>
          <w:spacing w:val="-2"/>
        </w:rPr>
        <w:t>all</w:t>
      </w:r>
      <w:r>
        <w:rPr>
          <w:spacing w:val="-6"/>
        </w:rPr>
        <w:t> </w:t>
      </w:r>
      <w:r>
        <w:rPr>
          <w:spacing w:val="-2"/>
        </w:rPr>
        <w:t>elements </w:t>
      </w:r>
      <w:r>
        <w:rPr/>
        <w:t>of</w:t>
      </w:r>
      <w:r>
        <w:rPr>
          <w:spacing w:val="30"/>
        </w:rPr>
        <w:t> </w:t>
      </w:r>
      <w:r>
        <w:rPr/>
        <w:t>the</w:t>
      </w:r>
      <w:r>
        <w:rPr>
          <w:spacing w:val="32"/>
        </w:rPr>
        <w:t> </w:t>
      </w:r>
      <w:r>
        <w:rPr/>
        <w:t>arrangement</w:t>
      </w:r>
      <w:r>
        <w:rPr>
          <w:spacing w:val="33"/>
        </w:rPr>
        <w:t> </w:t>
      </w:r>
      <w:r>
        <w:rPr/>
        <w:t>have</w:t>
      </w:r>
      <w:r>
        <w:rPr>
          <w:spacing w:val="32"/>
        </w:rPr>
        <w:t> </w:t>
      </w:r>
      <w:r>
        <w:rPr/>
        <w:t>been</w:t>
      </w:r>
      <w:r>
        <w:rPr>
          <w:spacing w:val="33"/>
        </w:rPr>
        <w:t> </w:t>
      </w:r>
      <w:r>
        <w:rPr/>
        <w:t>delivered.</w:t>
      </w:r>
      <w:r>
        <w:rPr>
          <w:spacing w:val="32"/>
        </w:rPr>
        <w:t> </w:t>
      </w:r>
      <w:r>
        <w:rPr/>
        <w:t>However,</w:t>
      </w:r>
      <w:r>
        <w:rPr>
          <w:spacing w:val="33"/>
        </w:rPr>
        <w:t> </w:t>
      </w:r>
      <w:r>
        <w:rPr/>
        <w:t>if</w:t>
      </w:r>
      <w:r>
        <w:rPr>
          <w:spacing w:val="32"/>
        </w:rPr>
        <w:t> </w:t>
      </w:r>
      <w:r>
        <w:rPr/>
        <w:t>the</w:t>
      </w:r>
      <w:r>
        <w:rPr>
          <w:spacing w:val="33"/>
        </w:rPr>
        <w:t> </w:t>
      </w:r>
      <w:r>
        <w:rPr/>
        <w:t>only</w:t>
      </w:r>
      <w:r>
        <w:rPr>
          <w:spacing w:val="32"/>
        </w:rPr>
        <w:t> </w:t>
      </w:r>
      <w:r>
        <w:rPr/>
        <w:t>undelivered</w:t>
      </w:r>
      <w:r>
        <w:rPr>
          <w:spacing w:val="33"/>
        </w:rPr>
        <w:t> </w:t>
      </w:r>
      <w:r>
        <w:rPr/>
        <w:t>element</w:t>
      </w:r>
      <w:r>
        <w:rPr>
          <w:spacing w:val="32"/>
        </w:rPr>
        <w:t> </w:t>
      </w:r>
      <w:r>
        <w:rPr/>
        <w:t>is</w:t>
      </w:r>
      <w:r>
        <w:rPr>
          <w:spacing w:val="33"/>
        </w:rPr>
        <w:t> </w:t>
      </w:r>
      <w:r>
        <w:rPr/>
        <w:t>maintenance</w:t>
      </w:r>
      <w:r>
        <w:rPr>
          <w:spacing w:val="32"/>
        </w:rPr>
        <w:t> </w:t>
      </w:r>
      <w:r>
        <w:rPr/>
        <w:t>and</w:t>
      </w:r>
      <w:r>
        <w:rPr>
          <w:spacing w:val="33"/>
        </w:rPr>
        <w:t> </w:t>
      </w:r>
      <w:r>
        <w:rPr/>
        <w:t>support,</w:t>
      </w:r>
      <w:r>
        <w:rPr>
          <w:spacing w:val="32"/>
        </w:rPr>
        <w:t> </w:t>
      </w:r>
      <w:r>
        <w:rPr/>
        <w:t>the</w:t>
      </w:r>
      <w:r>
        <w:rPr>
          <w:spacing w:val="33"/>
        </w:rPr>
        <w:t> </w:t>
      </w:r>
      <w:r>
        <w:rPr>
          <w:spacing w:val="-2"/>
        </w:rPr>
        <w:t>entire</w:t>
      </w:r>
    </w:p>
    <w:p>
      <w:pPr>
        <w:spacing w:after="0" w:line="249" w:lineRule="auto"/>
        <w:jc w:val="both"/>
        <w:sectPr>
          <w:pgSz w:w="12240" w:h="15840"/>
          <w:pgMar w:header="210" w:footer="579" w:top="420" w:bottom="800" w:left="780" w:right="740"/>
        </w:sectPr>
      </w:pPr>
    </w:p>
    <w:p>
      <w:pPr>
        <w:pStyle w:val="BodyText"/>
        <w:spacing w:before="150"/>
      </w:pPr>
    </w:p>
    <w:p>
      <w:pPr>
        <w:pStyle w:val="BodyText"/>
        <w:spacing w:line="249" w:lineRule="auto"/>
        <w:ind w:left="220" w:right="257"/>
        <w:jc w:val="both"/>
      </w:pPr>
      <w:r>
        <w:rPr/>
        <w:t>arrangement fee is recognized ratably over the performance period. Changes in assumptions or judgments or changes to the elements in a software arrangement could cause a material increase or decrease in the amount of revenue that we report in a particular period.</w:t>
      </w:r>
    </w:p>
    <w:p>
      <w:pPr>
        <w:pStyle w:val="BodyText"/>
        <w:spacing w:line="249" w:lineRule="auto" w:before="182"/>
        <w:ind w:left="220" w:right="257" w:firstLine="540"/>
        <w:jc w:val="both"/>
      </w:pPr>
      <w:r>
        <w:rPr/>
        <w:t>We</w:t>
      </w:r>
      <w:r>
        <w:rPr>
          <w:spacing w:val="-5"/>
        </w:rPr>
        <w:t> </w:t>
      </w:r>
      <w:r>
        <w:rPr/>
        <w:t>determine</w:t>
      </w:r>
      <w:r>
        <w:rPr>
          <w:spacing w:val="-9"/>
        </w:rPr>
        <w:t> </w:t>
      </w:r>
      <w:r>
        <w:rPr/>
        <w:t>VSOE</w:t>
      </w:r>
      <w:r>
        <w:rPr>
          <w:spacing w:val="-5"/>
        </w:rPr>
        <w:t> </w:t>
      </w:r>
      <w:r>
        <w:rPr/>
        <w:t>for</w:t>
      </w:r>
      <w:r>
        <w:rPr>
          <w:spacing w:val="-5"/>
        </w:rPr>
        <w:t> </w:t>
      </w:r>
      <w:r>
        <w:rPr/>
        <w:t>each</w:t>
      </w:r>
      <w:r>
        <w:rPr>
          <w:spacing w:val="-6"/>
        </w:rPr>
        <w:t> </w:t>
      </w:r>
      <w:r>
        <w:rPr/>
        <w:t>element</w:t>
      </w:r>
      <w:r>
        <w:rPr>
          <w:spacing w:val="-6"/>
        </w:rPr>
        <w:t> </w:t>
      </w:r>
      <w:r>
        <w:rPr/>
        <w:t>based</w:t>
      </w:r>
      <w:r>
        <w:rPr>
          <w:spacing w:val="-5"/>
        </w:rPr>
        <w:t> </w:t>
      </w:r>
      <w:r>
        <w:rPr/>
        <w:t>on</w:t>
      </w:r>
      <w:r>
        <w:rPr>
          <w:spacing w:val="-5"/>
        </w:rPr>
        <w:t> </w:t>
      </w:r>
      <w:r>
        <w:rPr/>
        <w:t>historical</w:t>
      </w:r>
      <w:r>
        <w:rPr>
          <w:spacing w:val="-6"/>
        </w:rPr>
        <w:t> </w:t>
      </w:r>
      <w:r>
        <w:rPr/>
        <w:t>stand-alone</w:t>
      </w:r>
      <w:r>
        <w:rPr>
          <w:spacing w:val="-6"/>
        </w:rPr>
        <w:t> </w:t>
      </w:r>
      <w:r>
        <w:rPr/>
        <w:t>sales</w:t>
      </w:r>
      <w:r>
        <w:rPr>
          <w:spacing w:val="-6"/>
        </w:rPr>
        <w:t> </w:t>
      </w:r>
      <w:r>
        <w:rPr/>
        <w:t>to</w:t>
      </w:r>
      <w:r>
        <w:rPr>
          <w:spacing w:val="-5"/>
        </w:rPr>
        <w:t> </w:t>
      </w:r>
      <w:r>
        <w:rPr/>
        <w:t>third</w:t>
      </w:r>
      <w:r>
        <w:rPr>
          <w:spacing w:val="-5"/>
        </w:rPr>
        <w:t> </w:t>
      </w:r>
      <w:r>
        <w:rPr/>
        <w:t>parties</w:t>
      </w:r>
      <w:r>
        <w:rPr>
          <w:spacing w:val="-5"/>
        </w:rPr>
        <w:t> </w:t>
      </w:r>
      <w:r>
        <w:rPr/>
        <w:t>or</w:t>
      </w:r>
      <w:r>
        <w:rPr>
          <w:spacing w:val="-5"/>
        </w:rPr>
        <w:t> </w:t>
      </w:r>
      <w:r>
        <w:rPr/>
        <w:t>from</w:t>
      </w:r>
      <w:r>
        <w:rPr>
          <w:spacing w:val="-6"/>
        </w:rPr>
        <w:t> </w:t>
      </w:r>
      <w:r>
        <w:rPr/>
        <w:t>the</w:t>
      </w:r>
      <w:r>
        <w:rPr>
          <w:spacing w:val="-5"/>
        </w:rPr>
        <w:t> </w:t>
      </w:r>
      <w:r>
        <w:rPr/>
        <w:t>stated</w:t>
      </w:r>
      <w:r>
        <w:rPr>
          <w:spacing w:val="-6"/>
        </w:rPr>
        <w:t> </w:t>
      </w:r>
      <w:r>
        <w:rPr/>
        <w:t>renewal</w:t>
      </w:r>
      <w:r>
        <w:rPr>
          <w:spacing w:val="-6"/>
        </w:rPr>
        <w:t> </w:t>
      </w:r>
      <w:r>
        <w:rPr/>
        <w:t>rate for the elements contained in the initial arrangement. In determining</w:t>
      </w:r>
      <w:r>
        <w:rPr>
          <w:spacing w:val="-4"/>
        </w:rPr>
        <w:t> </w:t>
      </w:r>
      <w:r>
        <w:rPr/>
        <w:t>VSOE, we require</w:t>
      </w:r>
      <w:r>
        <w:rPr>
          <w:spacing w:val="-1"/>
        </w:rPr>
        <w:t> </w:t>
      </w:r>
      <w:r>
        <w:rPr/>
        <w:t>that a substantial majority of the selling prices for a product or service fall within a reasonably narrow pricing range.</w:t>
      </w:r>
    </w:p>
    <w:p>
      <w:pPr>
        <w:pStyle w:val="BodyText"/>
        <w:spacing w:line="249" w:lineRule="auto" w:before="183"/>
        <w:ind w:left="220" w:right="257" w:firstLine="540"/>
        <w:jc w:val="both"/>
      </w:pPr>
      <w:r>
        <w:rPr/>
        <w:t>We have established VSOE for our software maintenance and support services, custom software development services, consulting services and training, when such services are sold optionally with software licenses.</w:t>
      </w:r>
    </w:p>
    <w:p>
      <w:pPr>
        <w:pStyle w:val="BodyText"/>
        <w:spacing w:line="249" w:lineRule="auto" w:before="181"/>
        <w:ind w:left="220" w:right="257" w:firstLine="540"/>
        <w:jc w:val="both"/>
      </w:pPr>
      <w:r>
        <w:rPr/>
        <w:t>For</w:t>
      </w:r>
      <w:r>
        <w:rPr>
          <w:spacing w:val="-5"/>
        </w:rPr>
        <w:t> </w:t>
      </w:r>
      <w:r>
        <w:rPr/>
        <w:t>multiple-element</w:t>
      </w:r>
      <w:r>
        <w:rPr>
          <w:spacing w:val="-6"/>
        </w:rPr>
        <w:t> </w:t>
      </w:r>
      <w:r>
        <w:rPr/>
        <w:t>arrangements</w:t>
      </w:r>
      <w:r>
        <w:rPr>
          <w:spacing w:val="-5"/>
        </w:rPr>
        <w:t> </w:t>
      </w:r>
      <w:r>
        <w:rPr/>
        <w:t>containing</w:t>
      </w:r>
      <w:r>
        <w:rPr>
          <w:spacing w:val="-5"/>
        </w:rPr>
        <w:t> </w:t>
      </w:r>
      <w:r>
        <w:rPr/>
        <w:t>our</w:t>
      </w:r>
      <w:r>
        <w:rPr>
          <w:spacing w:val="-5"/>
        </w:rPr>
        <w:t> </w:t>
      </w:r>
      <w:r>
        <w:rPr/>
        <w:t>non-software</w:t>
      </w:r>
      <w:r>
        <w:rPr>
          <w:spacing w:val="-5"/>
        </w:rPr>
        <w:t> </w:t>
      </w:r>
      <w:r>
        <w:rPr/>
        <w:t>services,</w:t>
      </w:r>
      <w:r>
        <w:rPr>
          <w:spacing w:val="-5"/>
        </w:rPr>
        <w:t> </w:t>
      </w:r>
      <w:r>
        <w:rPr/>
        <w:t>we</w:t>
      </w:r>
      <w:r>
        <w:rPr>
          <w:spacing w:val="-5"/>
        </w:rPr>
        <w:t> </w:t>
      </w:r>
      <w:r>
        <w:rPr/>
        <w:t>must:</w:t>
      </w:r>
      <w:r>
        <w:rPr>
          <w:spacing w:val="-5"/>
        </w:rPr>
        <w:t> </w:t>
      </w:r>
      <w:r>
        <w:rPr/>
        <w:t>(1)</w:t>
      </w:r>
      <w:r>
        <w:rPr>
          <w:spacing w:val="-5"/>
        </w:rPr>
        <w:t> </w:t>
      </w:r>
      <w:r>
        <w:rPr/>
        <w:t>determine</w:t>
      </w:r>
      <w:r>
        <w:rPr>
          <w:spacing w:val="-5"/>
        </w:rPr>
        <w:t> </w:t>
      </w:r>
      <w:r>
        <w:rPr/>
        <w:t>whether</w:t>
      </w:r>
      <w:r>
        <w:rPr>
          <w:spacing w:val="-5"/>
        </w:rPr>
        <w:t> </w:t>
      </w:r>
      <w:r>
        <w:rPr/>
        <w:t>and</w:t>
      </w:r>
      <w:r>
        <w:rPr>
          <w:spacing w:val="-5"/>
        </w:rPr>
        <w:t> </w:t>
      </w:r>
      <w:r>
        <w:rPr/>
        <w:t>when</w:t>
      </w:r>
      <w:r>
        <w:rPr>
          <w:spacing w:val="-5"/>
        </w:rPr>
        <w:t> </w:t>
      </w:r>
      <w:r>
        <w:rPr/>
        <w:t>each element</w:t>
      </w:r>
      <w:r>
        <w:rPr>
          <w:spacing w:val="-13"/>
        </w:rPr>
        <w:t> </w:t>
      </w:r>
      <w:r>
        <w:rPr/>
        <w:t>has</w:t>
      </w:r>
      <w:r>
        <w:rPr>
          <w:spacing w:val="-12"/>
        </w:rPr>
        <w:t> </w:t>
      </w:r>
      <w:r>
        <w:rPr/>
        <w:t>been</w:t>
      </w:r>
      <w:r>
        <w:rPr>
          <w:spacing w:val="-13"/>
        </w:rPr>
        <w:t> </w:t>
      </w:r>
      <w:r>
        <w:rPr/>
        <w:t>delivered;</w:t>
      </w:r>
      <w:r>
        <w:rPr>
          <w:spacing w:val="-12"/>
        </w:rPr>
        <w:t> </w:t>
      </w:r>
      <w:r>
        <w:rPr/>
        <w:t>(2)</w:t>
      </w:r>
      <w:r>
        <w:rPr>
          <w:spacing w:val="-13"/>
        </w:rPr>
        <w:t> </w:t>
      </w:r>
      <w:r>
        <w:rPr/>
        <w:t>determine</w:t>
      </w:r>
      <w:r>
        <w:rPr>
          <w:spacing w:val="-12"/>
        </w:rPr>
        <w:t> </w:t>
      </w:r>
      <w:r>
        <w:rPr/>
        <w:t>the</w:t>
      </w:r>
      <w:r>
        <w:rPr>
          <w:spacing w:val="-13"/>
        </w:rPr>
        <w:t> </w:t>
      </w:r>
      <w:r>
        <w:rPr/>
        <w:t>fair</w:t>
      </w:r>
      <w:r>
        <w:rPr>
          <w:spacing w:val="-12"/>
        </w:rPr>
        <w:t> </w:t>
      </w:r>
      <w:r>
        <w:rPr/>
        <w:t>value</w:t>
      </w:r>
      <w:r>
        <w:rPr>
          <w:spacing w:val="-13"/>
        </w:rPr>
        <w:t> </w:t>
      </w:r>
      <w:r>
        <w:rPr/>
        <w:t>of</w:t>
      </w:r>
      <w:r>
        <w:rPr>
          <w:spacing w:val="-12"/>
        </w:rPr>
        <w:t> </w:t>
      </w:r>
      <w:r>
        <w:rPr/>
        <w:t>each</w:t>
      </w:r>
      <w:r>
        <w:rPr>
          <w:spacing w:val="-13"/>
        </w:rPr>
        <w:t> </w:t>
      </w:r>
      <w:r>
        <w:rPr/>
        <w:t>element</w:t>
      </w:r>
      <w:r>
        <w:rPr>
          <w:spacing w:val="-12"/>
        </w:rPr>
        <w:t> </w:t>
      </w:r>
      <w:r>
        <w:rPr/>
        <w:t>using</w:t>
      </w:r>
      <w:r>
        <w:rPr>
          <w:spacing w:val="-13"/>
        </w:rPr>
        <w:t> </w:t>
      </w:r>
      <w:r>
        <w:rPr/>
        <w:t>the</w:t>
      </w:r>
      <w:r>
        <w:rPr>
          <w:spacing w:val="-12"/>
        </w:rPr>
        <w:t> </w:t>
      </w:r>
      <w:r>
        <w:rPr/>
        <w:t>selling</w:t>
      </w:r>
      <w:r>
        <w:rPr>
          <w:spacing w:val="-13"/>
        </w:rPr>
        <w:t> </w:t>
      </w:r>
      <w:r>
        <w:rPr/>
        <w:t>price</w:t>
      </w:r>
      <w:r>
        <w:rPr>
          <w:spacing w:val="-12"/>
        </w:rPr>
        <w:t> </w:t>
      </w:r>
      <w:r>
        <w:rPr/>
        <w:t>hierarchy</w:t>
      </w:r>
      <w:r>
        <w:rPr>
          <w:spacing w:val="-13"/>
        </w:rPr>
        <w:t> </w:t>
      </w:r>
      <w:r>
        <w:rPr/>
        <w:t>of</w:t>
      </w:r>
      <w:r>
        <w:rPr>
          <w:spacing w:val="-12"/>
        </w:rPr>
        <w:t> </w:t>
      </w:r>
      <w:r>
        <w:rPr/>
        <w:t>VSOE</w:t>
      </w:r>
      <w:r>
        <w:rPr>
          <w:spacing w:val="-13"/>
        </w:rPr>
        <w:t> </w:t>
      </w:r>
      <w:r>
        <w:rPr/>
        <w:t>of</w:t>
      </w:r>
      <w:r>
        <w:rPr>
          <w:spacing w:val="-12"/>
        </w:rPr>
        <w:t> </w:t>
      </w:r>
      <w:r>
        <w:rPr/>
        <w:t>selling</w:t>
      </w:r>
      <w:r>
        <w:rPr>
          <w:spacing w:val="-13"/>
        </w:rPr>
        <w:t> </w:t>
      </w:r>
      <w:r>
        <w:rPr/>
        <w:t>price, third-party evidence (“TPE”) of selling price or best-estimated selling price (“BESP”), as applicable; and (3) allocate the total price among the various elements based on the relative selling price method.</w:t>
      </w:r>
    </w:p>
    <w:p>
      <w:pPr>
        <w:pStyle w:val="BodyText"/>
        <w:spacing w:line="249" w:lineRule="auto" w:before="184"/>
        <w:ind w:left="220" w:right="257" w:firstLine="540"/>
        <w:jc w:val="both"/>
      </w:pPr>
      <w:r>
        <w:rPr/>
        <w:t>For</w:t>
      </w:r>
      <w:r>
        <w:rPr>
          <w:spacing w:val="-10"/>
        </w:rPr>
        <w:t> </w:t>
      </w:r>
      <w:r>
        <w:rPr/>
        <w:t>multiple-element</w:t>
      </w:r>
      <w:r>
        <w:rPr>
          <w:spacing w:val="-10"/>
        </w:rPr>
        <w:t> </w:t>
      </w:r>
      <w:r>
        <w:rPr/>
        <w:t>arrangements</w:t>
      </w:r>
      <w:r>
        <w:rPr>
          <w:spacing w:val="-10"/>
        </w:rPr>
        <w:t> </w:t>
      </w:r>
      <w:r>
        <w:rPr/>
        <w:t>that</w:t>
      </w:r>
      <w:r>
        <w:rPr>
          <w:spacing w:val="-10"/>
        </w:rPr>
        <w:t> </w:t>
      </w:r>
      <w:r>
        <w:rPr/>
        <w:t>contain</w:t>
      </w:r>
      <w:r>
        <w:rPr>
          <w:spacing w:val="-10"/>
        </w:rPr>
        <w:t> </w:t>
      </w:r>
      <w:r>
        <w:rPr/>
        <w:t>both</w:t>
      </w:r>
      <w:r>
        <w:rPr>
          <w:spacing w:val="-10"/>
        </w:rPr>
        <w:t> </w:t>
      </w:r>
      <w:r>
        <w:rPr/>
        <w:t>software</w:t>
      </w:r>
      <w:r>
        <w:rPr>
          <w:spacing w:val="-10"/>
        </w:rPr>
        <w:t> </w:t>
      </w:r>
      <w:r>
        <w:rPr/>
        <w:t>and</w:t>
      </w:r>
      <w:r>
        <w:rPr>
          <w:spacing w:val="-10"/>
        </w:rPr>
        <w:t> </w:t>
      </w:r>
      <w:r>
        <w:rPr/>
        <w:t>non-software</w:t>
      </w:r>
      <w:r>
        <w:rPr>
          <w:spacing w:val="-10"/>
        </w:rPr>
        <w:t> </w:t>
      </w:r>
      <w:r>
        <w:rPr/>
        <w:t>elements,</w:t>
      </w:r>
      <w:r>
        <w:rPr>
          <w:spacing w:val="-10"/>
        </w:rPr>
        <w:t> </w:t>
      </w:r>
      <w:r>
        <w:rPr/>
        <w:t>we</w:t>
      </w:r>
      <w:r>
        <w:rPr>
          <w:spacing w:val="-10"/>
        </w:rPr>
        <w:t> </w:t>
      </w:r>
      <w:r>
        <w:rPr/>
        <w:t>allocate</w:t>
      </w:r>
      <w:r>
        <w:rPr>
          <w:spacing w:val="-10"/>
        </w:rPr>
        <w:t> </w:t>
      </w:r>
      <w:r>
        <w:rPr/>
        <w:t>revenue</w:t>
      </w:r>
      <w:r>
        <w:rPr>
          <w:spacing w:val="-10"/>
        </w:rPr>
        <w:t> </w:t>
      </w:r>
      <w:r>
        <w:rPr/>
        <w:t>to</w:t>
      </w:r>
      <w:r>
        <w:rPr>
          <w:spacing w:val="-10"/>
        </w:rPr>
        <w:t> </w:t>
      </w:r>
      <w:r>
        <w:rPr/>
        <w:t>software </w:t>
      </w:r>
      <w:r>
        <w:rPr>
          <w:spacing w:val="-4"/>
        </w:rPr>
        <w:t>or software-related elements as a group and any non-software elements separately based on the selling price hierarchy. We determine </w:t>
      </w:r>
      <w:r>
        <w:rPr/>
        <w:t>the selling price for each deliverable using</w:t>
      </w:r>
      <w:r>
        <w:rPr>
          <w:spacing w:val="-2"/>
        </w:rPr>
        <w:t> </w:t>
      </w:r>
      <w:r>
        <w:rPr/>
        <w:t>VSOE of selling price, if it exists, or</w:t>
      </w:r>
      <w:r>
        <w:rPr>
          <w:spacing w:val="-2"/>
        </w:rPr>
        <w:t> </w:t>
      </w:r>
      <w:r>
        <w:rPr/>
        <w:t>TPE of selling price. If neither</w:t>
      </w:r>
      <w:r>
        <w:rPr>
          <w:spacing w:val="-2"/>
        </w:rPr>
        <w:t> </w:t>
      </w:r>
      <w:r>
        <w:rPr/>
        <w:t>VSOE nor</w:t>
      </w:r>
      <w:r>
        <w:rPr>
          <w:spacing w:val="-2"/>
        </w:rPr>
        <w:t> </w:t>
      </w:r>
      <w:r>
        <w:rPr/>
        <w:t>TPE </w:t>
      </w:r>
      <w:r>
        <w:rPr>
          <w:spacing w:val="-2"/>
        </w:rPr>
        <w:t>of</w:t>
      </w:r>
      <w:r>
        <w:rPr>
          <w:spacing w:val="-5"/>
        </w:rPr>
        <w:t> </w:t>
      </w:r>
      <w:r>
        <w:rPr>
          <w:spacing w:val="-2"/>
        </w:rPr>
        <w:t>selling</w:t>
      </w:r>
      <w:r>
        <w:rPr>
          <w:spacing w:val="-5"/>
        </w:rPr>
        <w:t> </w:t>
      </w:r>
      <w:r>
        <w:rPr>
          <w:spacing w:val="-2"/>
        </w:rPr>
        <w:t>price</w:t>
      </w:r>
      <w:r>
        <w:rPr>
          <w:spacing w:val="-5"/>
        </w:rPr>
        <w:t> </w:t>
      </w:r>
      <w:r>
        <w:rPr>
          <w:spacing w:val="-2"/>
        </w:rPr>
        <w:t>exist</w:t>
      </w:r>
      <w:r>
        <w:rPr>
          <w:spacing w:val="-5"/>
        </w:rPr>
        <w:t> </w:t>
      </w:r>
      <w:r>
        <w:rPr>
          <w:spacing w:val="-2"/>
        </w:rPr>
        <w:t>for</w:t>
      </w:r>
      <w:r>
        <w:rPr>
          <w:spacing w:val="-5"/>
        </w:rPr>
        <w:t> </w:t>
      </w:r>
      <w:r>
        <w:rPr>
          <w:spacing w:val="-2"/>
        </w:rPr>
        <w:t>a</w:t>
      </w:r>
      <w:r>
        <w:rPr>
          <w:spacing w:val="-5"/>
        </w:rPr>
        <w:t> </w:t>
      </w:r>
      <w:r>
        <w:rPr>
          <w:spacing w:val="-2"/>
        </w:rPr>
        <w:t>deliverable,</w:t>
      </w:r>
      <w:r>
        <w:rPr>
          <w:spacing w:val="-5"/>
        </w:rPr>
        <w:t> </w:t>
      </w:r>
      <w:r>
        <w:rPr>
          <w:spacing w:val="-2"/>
        </w:rPr>
        <w:t>we</w:t>
      </w:r>
      <w:r>
        <w:rPr>
          <w:spacing w:val="-5"/>
        </w:rPr>
        <w:t> </w:t>
      </w:r>
      <w:r>
        <w:rPr>
          <w:spacing w:val="-2"/>
        </w:rPr>
        <w:t>use</w:t>
      </w:r>
      <w:r>
        <w:rPr>
          <w:spacing w:val="-5"/>
        </w:rPr>
        <w:t> </w:t>
      </w:r>
      <w:r>
        <w:rPr>
          <w:spacing w:val="-2"/>
        </w:rPr>
        <w:t>BESP.</w:t>
      </w:r>
      <w:r>
        <w:rPr>
          <w:spacing w:val="-5"/>
        </w:rPr>
        <w:t> </w:t>
      </w:r>
      <w:r>
        <w:rPr>
          <w:spacing w:val="-2"/>
        </w:rPr>
        <w:t>Once</w:t>
      </w:r>
      <w:r>
        <w:rPr>
          <w:spacing w:val="-5"/>
        </w:rPr>
        <w:t> </w:t>
      </w:r>
      <w:r>
        <w:rPr>
          <w:spacing w:val="-2"/>
        </w:rPr>
        <w:t>revenue</w:t>
      </w:r>
      <w:r>
        <w:rPr>
          <w:spacing w:val="-5"/>
        </w:rPr>
        <w:t> </w:t>
      </w:r>
      <w:r>
        <w:rPr>
          <w:spacing w:val="-2"/>
        </w:rPr>
        <w:t>is</w:t>
      </w:r>
      <w:r>
        <w:rPr>
          <w:spacing w:val="-5"/>
        </w:rPr>
        <w:t> </w:t>
      </w:r>
      <w:r>
        <w:rPr>
          <w:spacing w:val="-2"/>
        </w:rPr>
        <w:t>allocated</w:t>
      </w:r>
      <w:r>
        <w:rPr>
          <w:spacing w:val="-5"/>
        </w:rPr>
        <w:t> </w:t>
      </w:r>
      <w:r>
        <w:rPr>
          <w:spacing w:val="-2"/>
        </w:rPr>
        <w:t>to</w:t>
      </w:r>
      <w:r>
        <w:rPr>
          <w:spacing w:val="-5"/>
        </w:rPr>
        <w:t> </w:t>
      </w:r>
      <w:r>
        <w:rPr>
          <w:spacing w:val="-2"/>
        </w:rPr>
        <w:t>software</w:t>
      </w:r>
      <w:r>
        <w:rPr>
          <w:spacing w:val="-5"/>
        </w:rPr>
        <w:t> </w:t>
      </w:r>
      <w:r>
        <w:rPr>
          <w:spacing w:val="-2"/>
        </w:rPr>
        <w:t>or</w:t>
      </w:r>
      <w:r>
        <w:rPr>
          <w:spacing w:val="-5"/>
        </w:rPr>
        <w:t> </w:t>
      </w:r>
      <w:r>
        <w:rPr>
          <w:spacing w:val="-2"/>
        </w:rPr>
        <w:t>software-related</w:t>
      </w:r>
      <w:r>
        <w:rPr>
          <w:spacing w:val="-5"/>
        </w:rPr>
        <w:t> </w:t>
      </w:r>
      <w:r>
        <w:rPr>
          <w:spacing w:val="-2"/>
        </w:rPr>
        <w:t>elements</w:t>
      </w:r>
      <w:r>
        <w:rPr>
          <w:spacing w:val="-5"/>
        </w:rPr>
        <w:t> </w:t>
      </w:r>
      <w:r>
        <w:rPr>
          <w:spacing w:val="-2"/>
        </w:rPr>
        <w:t>as</w:t>
      </w:r>
      <w:r>
        <w:rPr>
          <w:spacing w:val="-5"/>
        </w:rPr>
        <w:t> </w:t>
      </w:r>
      <w:r>
        <w:rPr>
          <w:spacing w:val="-2"/>
        </w:rPr>
        <w:t>a</w:t>
      </w:r>
      <w:r>
        <w:rPr>
          <w:spacing w:val="-5"/>
        </w:rPr>
        <w:t> </w:t>
      </w:r>
      <w:r>
        <w:rPr>
          <w:spacing w:val="-2"/>
        </w:rPr>
        <w:t>group, we</w:t>
      </w:r>
      <w:r>
        <w:rPr>
          <w:spacing w:val="-11"/>
        </w:rPr>
        <w:t> </w:t>
      </w:r>
      <w:r>
        <w:rPr>
          <w:spacing w:val="-2"/>
        </w:rPr>
        <w:t>recognize</w:t>
      </w:r>
      <w:r>
        <w:rPr>
          <w:spacing w:val="-10"/>
        </w:rPr>
        <w:t> </w:t>
      </w:r>
      <w:r>
        <w:rPr>
          <w:spacing w:val="-2"/>
        </w:rPr>
        <w:t>revenue</w:t>
      </w:r>
      <w:r>
        <w:rPr>
          <w:spacing w:val="-11"/>
        </w:rPr>
        <w:t> </w:t>
      </w:r>
      <w:r>
        <w:rPr>
          <w:spacing w:val="-2"/>
        </w:rPr>
        <w:t>in</w:t>
      </w:r>
      <w:r>
        <w:rPr>
          <w:spacing w:val="-10"/>
        </w:rPr>
        <w:t> </w:t>
      </w:r>
      <w:r>
        <w:rPr>
          <w:spacing w:val="-2"/>
        </w:rPr>
        <w:t>conformance</w:t>
      </w:r>
      <w:r>
        <w:rPr>
          <w:spacing w:val="-11"/>
        </w:rPr>
        <w:t> </w:t>
      </w:r>
      <w:r>
        <w:rPr>
          <w:spacing w:val="-2"/>
        </w:rPr>
        <w:t>with</w:t>
      </w:r>
      <w:r>
        <w:rPr>
          <w:spacing w:val="-10"/>
        </w:rPr>
        <w:t> </w:t>
      </w:r>
      <w:r>
        <w:rPr>
          <w:spacing w:val="-2"/>
        </w:rPr>
        <w:t>software</w:t>
      </w:r>
      <w:r>
        <w:rPr>
          <w:spacing w:val="-11"/>
        </w:rPr>
        <w:t> </w:t>
      </w:r>
      <w:r>
        <w:rPr>
          <w:spacing w:val="-2"/>
        </w:rPr>
        <w:t>revenue</w:t>
      </w:r>
      <w:r>
        <w:rPr>
          <w:spacing w:val="-10"/>
        </w:rPr>
        <w:t> </w:t>
      </w:r>
      <w:r>
        <w:rPr>
          <w:spacing w:val="-2"/>
        </w:rPr>
        <w:t>accounting</w:t>
      </w:r>
      <w:r>
        <w:rPr>
          <w:spacing w:val="-11"/>
        </w:rPr>
        <w:t> </w:t>
      </w:r>
      <w:r>
        <w:rPr>
          <w:spacing w:val="-2"/>
        </w:rPr>
        <w:t>guidance.</w:t>
      </w:r>
      <w:r>
        <w:rPr>
          <w:spacing w:val="-10"/>
        </w:rPr>
        <w:t> </w:t>
      </w:r>
      <w:r>
        <w:rPr>
          <w:spacing w:val="-2"/>
        </w:rPr>
        <w:t>Revenue</w:t>
      </w:r>
      <w:r>
        <w:rPr>
          <w:spacing w:val="-11"/>
        </w:rPr>
        <w:t> </w:t>
      </w:r>
      <w:r>
        <w:rPr>
          <w:spacing w:val="-2"/>
        </w:rPr>
        <w:t>is</w:t>
      </w:r>
      <w:r>
        <w:rPr>
          <w:spacing w:val="-10"/>
        </w:rPr>
        <w:t> </w:t>
      </w:r>
      <w:r>
        <w:rPr>
          <w:spacing w:val="-2"/>
        </w:rPr>
        <w:t>recognized</w:t>
      </w:r>
      <w:r>
        <w:rPr>
          <w:spacing w:val="-11"/>
        </w:rPr>
        <w:t> </w:t>
      </w:r>
      <w:r>
        <w:rPr>
          <w:spacing w:val="-2"/>
        </w:rPr>
        <w:t>when</w:t>
      </w:r>
      <w:r>
        <w:rPr>
          <w:spacing w:val="-10"/>
        </w:rPr>
        <w:t> </w:t>
      </w:r>
      <w:r>
        <w:rPr>
          <w:spacing w:val="-2"/>
        </w:rPr>
        <w:t>revenue</w:t>
      </w:r>
      <w:r>
        <w:rPr>
          <w:spacing w:val="-11"/>
        </w:rPr>
        <w:t> </w:t>
      </w:r>
      <w:r>
        <w:rPr>
          <w:spacing w:val="-2"/>
        </w:rPr>
        <w:t>recognition </w:t>
      </w:r>
      <w:r>
        <w:rPr/>
        <w:t>criteria are met for each element.</w:t>
      </w:r>
    </w:p>
    <w:p>
      <w:pPr>
        <w:pStyle w:val="BodyText"/>
        <w:spacing w:line="249" w:lineRule="auto" w:before="185"/>
        <w:ind w:left="220" w:right="250" w:firstLine="540"/>
        <w:jc w:val="both"/>
      </w:pPr>
      <w:r>
        <w:rPr>
          <w:spacing w:val="-2"/>
        </w:rPr>
        <w:t>We</w:t>
      </w:r>
      <w:r>
        <w:rPr>
          <w:spacing w:val="-6"/>
        </w:rPr>
        <w:t> </w:t>
      </w:r>
      <w:r>
        <w:rPr>
          <w:spacing w:val="-2"/>
        </w:rPr>
        <w:t>are</w:t>
      </w:r>
      <w:r>
        <w:rPr>
          <w:spacing w:val="-3"/>
        </w:rPr>
        <w:t> </w:t>
      </w:r>
      <w:r>
        <w:rPr>
          <w:spacing w:val="-2"/>
        </w:rPr>
        <w:t>generally</w:t>
      </w:r>
      <w:r>
        <w:rPr>
          <w:spacing w:val="-5"/>
        </w:rPr>
        <w:t> </w:t>
      </w:r>
      <w:r>
        <w:rPr>
          <w:spacing w:val="-2"/>
        </w:rPr>
        <w:t>unable</w:t>
      </w:r>
      <w:r>
        <w:rPr>
          <w:spacing w:val="-5"/>
        </w:rPr>
        <w:t> </w:t>
      </w:r>
      <w:r>
        <w:rPr>
          <w:spacing w:val="-2"/>
        </w:rPr>
        <w:t>to</w:t>
      </w:r>
      <w:r>
        <w:rPr>
          <w:spacing w:val="-5"/>
        </w:rPr>
        <w:t> </w:t>
      </w:r>
      <w:r>
        <w:rPr>
          <w:spacing w:val="-2"/>
        </w:rPr>
        <w:t>establish</w:t>
      </w:r>
      <w:r>
        <w:rPr>
          <w:spacing w:val="-7"/>
        </w:rPr>
        <w:t> </w:t>
      </w:r>
      <w:r>
        <w:rPr>
          <w:spacing w:val="-2"/>
        </w:rPr>
        <w:t>VSOE</w:t>
      </w:r>
      <w:r>
        <w:rPr>
          <w:spacing w:val="-5"/>
        </w:rPr>
        <w:t> </w:t>
      </w:r>
      <w:r>
        <w:rPr>
          <w:spacing w:val="-2"/>
        </w:rPr>
        <w:t>or</w:t>
      </w:r>
      <w:r>
        <w:rPr>
          <w:spacing w:val="-7"/>
        </w:rPr>
        <w:t> </w:t>
      </w:r>
      <w:r>
        <w:rPr>
          <w:spacing w:val="-2"/>
        </w:rPr>
        <w:t>TPE</w:t>
      </w:r>
      <w:r>
        <w:rPr>
          <w:spacing w:val="-5"/>
        </w:rPr>
        <w:t> </w:t>
      </w:r>
      <w:r>
        <w:rPr>
          <w:spacing w:val="-2"/>
        </w:rPr>
        <w:t>for</w:t>
      </w:r>
      <w:r>
        <w:rPr>
          <w:spacing w:val="-3"/>
        </w:rPr>
        <w:t> </w:t>
      </w:r>
      <w:r>
        <w:rPr>
          <w:spacing w:val="-2"/>
        </w:rPr>
        <w:t>non-software</w:t>
      </w:r>
      <w:r>
        <w:rPr>
          <w:spacing w:val="-5"/>
        </w:rPr>
        <w:t> </w:t>
      </w:r>
      <w:r>
        <w:rPr>
          <w:spacing w:val="-2"/>
        </w:rPr>
        <w:t>elements</w:t>
      </w:r>
      <w:r>
        <w:rPr>
          <w:spacing w:val="-3"/>
        </w:rPr>
        <w:t> </w:t>
      </w:r>
      <w:r>
        <w:rPr>
          <w:spacing w:val="-2"/>
        </w:rPr>
        <w:t>and</w:t>
      </w:r>
      <w:r>
        <w:rPr>
          <w:spacing w:val="-3"/>
        </w:rPr>
        <w:t> </w:t>
      </w:r>
      <w:r>
        <w:rPr>
          <w:spacing w:val="-2"/>
        </w:rPr>
        <w:t>as</w:t>
      </w:r>
      <w:r>
        <w:rPr>
          <w:spacing w:val="-5"/>
        </w:rPr>
        <w:t> </w:t>
      </w:r>
      <w:r>
        <w:rPr>
          <w:spacing w:val="-2"/>
        </w:rPr>
        <w:t>such,</w:t>
      </w:r>
      <w:r>
        <w:rPr>
          <w:spacing w:val="-3"/>
        </w:rPr>
        <w:t> </w:t>
      </w:r>
      <w:r>
        <w:rPr>
          <w:spacing w:val="-2"/>
        </w:rPr>
        <w:t>we</w:t>
      </w:r>
      <w:r>
        <w:rPr>
          <w:spacing w:val="-5"/>
        </w:rPr>
        <w:t> </w:t>
      </w:r>
      <w:r>
        <w:rPr>
          <w:spacing w:val="-2"/>
        </w:rPr>
        <w:t>use</w:t>
      </w:r>
      <w:r>
        <w:rPr>
          <w:spacing w:val="-5"/>
        </w:rPr>
        <w:t> </w:t>
      </w:r>
      <w:r>
        <w:rPr>
          <w:spacing w:val="-2"/>
        </w:rPr>
        <w:t>BESP.</w:t>
      </w:r>
      <w:r>
        <w:rPr>
          <w:spacing w:val="-3"/>
        </w:rPr>
        <w:t> </w:t>
      </w:r>
      <w:r>
        <w:rPr>
          <w:spacing w:val="-2"/>
        </w:rPr>
        <w:t>BESP</w:t>
      </w:r>
      <w:r>
        <w:rPr>
          <w:spacing w:val="-11"/>
        </w:rPr>
        <w:t> </w:t>
      </w:r>
      <w:r>
        <w:rPr>
          <w:spacing w:val="-2"/>
        </w:rPr>
        <w:t>is</w:t>
      </w:r>
      <w:r>
        <w:rPr>
          <w:spacing w:val="-4"/>
        </w:rPr>
        <w:t> </w:t>
      </w:r>
      <w:r>
        <w:rPr>
          <w:spacing w:val="-2"/>
        </w:rPr>
        <w:t>generally </w:t>
      </w:r>
      <w:r>
        <w:rPr/>
        <w:t>used</w:t>
      </w:r>
      <w:r>
        <w:rPr>
          <w:spacing w:val="-13"/>
        </w:rPr>
        <w:t> </w:t>
      </w:r>
      <w:r>
        <w:rPr/>
        <w:t>for</w:t>
      </w:r>
      <w:r>
        <w:rPr>
          <w:spacing w:val="-12"/>
        </w:rPr>
        <w:t> </w:t>
      </w:r>
      <w:r>
        <w:rPr/>
        <w:t>offerings</w:t>
      </w:r>
      <w:r>
        <w:rPr>
          <w:spacing w:val="-13"/>
        </w:rPr>
        <w:t> </w:t>
      </w:r>
      <w:r>
        <w:rPr/>
        <w:t>that</w:t>
      </w:r>
      <w:r>
        <w:rPr>
          <w:spacing w:val="-12"/>
        </w:rPr>
        <w:t> </w:t>
      </w:r>
      <w:r>
        <w:rPr/>
        <w:t>are</w:t>
      </w:r>
      <w:r>
        <w:rPr>
          <w:spacing w:val="-12"/>
        </w:rPr>
        <w:t> </w:t>
      </w:r>
      <w:r>
        <w:rPr/>
        <w:t>not</w:t>
      </w:r>
      <w:r>
        <w:rPr>
          <w:spacing w:val="-13"/>
        </w:rPr>
        <w:t> </w:t>
      </w:r>
      <w:r>
        <w:rPr/>
        <w:t>typically</w:t>
      </w:r>
      <w:r>
        <w:rPr>
          <w:spacing w:val="-11"/>
        </w:rPr>
        <w:t> </w:t>
      </w:r>
      <w:r>
        <w:rPr/>
        <w:t>sold</w:t>
      </w:r>
      <w:r>
        <w:rPr>
          <w:spacing w:val="-12"/>
        </w:rPr>
        <w:t> </w:t>
      </w:r>
      <w:r>
        <w:rPr/>
        <w:t>on</w:t>
      </w:r>
      <w:r>
        <w:rPr>
          <w:spacing w:val="-12"/>
        </w:rPr>
        <w:t> </w:t>
      </w:r>
      <w:r>
        <w:rPr/>
        <w:t>a</w:t>
      </w:r>
      <w:r>
        <w:rPr>
          <w:spacing w:val="-13"/>
        </w:rPr>
        <w:t> </w:t>
      </w:r>
      <w:r>
        <w:rPr/>
        <w:t>stand-alone</w:t>
      </w:r>
      <w:r>
        <w:rPr>
          <w:spacing w:val="-12"/>
        </w:rPr>
        <w:t> </w:t>
      </w:r>
      <w:r>
        <w:rPr/>
        <w:t>basis</w:t>
      </w:r>
      <w:r>
        <w:rPr>
          <w:spacing w:val="-12"/>
        </w:rPr>
        <w:t> </w:t>
      </w:r>
      <w:r>
        <w:rPr/>
        <w:t>or</w:t>
      </w:r>
      <w:r>
        <w:rPr>
          <w:spacing w:val="-12"/>
        </w:rPr>
        <w:t> </w:t>
      </w:r>
      <w:r>
        <w:rPr/>
        <w:t>for</w:t>
      </w:r>
      <w:r>
        <w:rPr>
          <w:spacing w:val="-13"/>
        </w:rPr>
        <w:t> </w:t>
      </w:r>
      <w:r>
        <w:rPr/>
        <w:t>new</w:t>
      </w:r>
      <w:r>
        <w:rPr>
          <w:spacing w:val="-11"/>
        </w:rPr>
        <w:t> </w:t>
      </w:r>
      <w:r>
        <w:rPr/>
        <w:t>or</w:t>
      </w:r>
      <w:r>
        <w:rPr>
          <w:spacing w:val="-12"/>
        </w:rPr>
        <w:t> </w:t>
      </w:r>
      <w:r>
        <w:rPr/>
        <w:t>highly</w:t>
      </w:r>
      <w:r>
        <w:rPr>
          <w:spacing w:val="-13"/>
        </w:rPr>
        <w:t> </w:t>
      </w:r>
      <w:r>
        <w:rPr/>
        <w:t>customized</w:t>
      </w:r>
      <w:r>
        <w:rPr>
          <w:spacing w:val="-12"/>
        </w:rPr>
        <w:t> </w:t>
      </w:r>
      <w:r>
        <w:rPr/>
        <w:t>offerings.</w:t>
      </w:r>
      <w:r>
        <w:rPr>
          <w:spacing w:val="-13"/>
        </w:rPr>
        <w:t> </w:t>
      </w:r>
      <w:r>
        <w:rPr/>
        <w:t>We</w:t>
      </w:r>
      <w:r>
        <w:rPr>
          <w:spacing w:val="-12"/>
        </w:rPr>
        <w:t> </w:t>
      </w:r>
      <w:r>
        <w:rPr/>
        <w:t>determine</w:t>
      </w:r>
      <w:r>
        <w:rPr>
          <w:spacing w:val="-13"/>
        </w:rPr>
        <w:t> </w:t>
      </w:r>
      <w:r>
        <w:rPr/>
        <w:t>BESP </w:t>
      </w:r>
      <w:r>
        <w:rPr>
          <w:spacing w:val="-2"/>
        </w:rPr>
        <w:t>for</w:t>
      </w:r>
      <w:r>
        <w:rPr>
          <w:spacing w:val="-4"/>
        </w:rPr>
        <w:t> </w:t>
      </w:r>
      <w:r>
        <w:rPr>
          <w:spacing w:val="-2"/>
        </w:rPr>
        <w:t>a</w:t>
      </w:r>
      <w:r>
        <w:rPr>
          <w:spacing w:val="-4"/>
        </w:rPr>
        <w:t> </w:t>
      </w:r>
      <w:r>
        <w:rPr>
          <w:spacing w:val="-2"/>
        </w:rPr>
        <w:t>product</w:t>
      </w:r>
      <w:r>
        <w:rPr>
          <w:spacing w:val="-4"/>
        </w:rPr>
        <w:t> </w:t>
      </w:r>
      <w:r>
        <w:rPr>
          <w:spacing w:val="-2"/>
        </w:rPr>
        <w:t>or</w:t>
      </w:r>
      <w:r>
        <w:rPr>
          <w:spacing w:val="-4"/>
        </w:rPr>
        <w:t> </w:t>
      </w:r>
      <w:r>
        <w:rPr>
          <w:spacing w:val="-2"/>
        </w:rPr>
        <w:t>service</w:t>
      </w:r>
      <w:r>
        <w:rPr>
          <w:spacing w:val="-4"/>
        </w:rPr>
        <w:t> </w:t>
      </w:r>
      <w:r>
        <w:rPr>
          <w:spacing w:val="-2"/>
        </w:rPr>
        <w:t>by</w:t>
      </w:r>
      <w:r>
        <w:rPr>
          <w:spacing w:val="-4"/>
        </w:rPr>
        <w:t> </w:t>
      </w:r>
      <w:r>
        <w:rPr>
          <w:spacing w:val="-2"/>
        </w:rPr>
        <w:t>considering</w:t>
      </w:r>
      <w:r>
        <w:rPr>
          <w:spacing w:val="-4"/>
        </w:rPr>
        <w:t> </w:t>
      </w:r>
      <w:r>
        <w:rPr>
          <w:spacing w:val="-2"/>
        </w:rPr>
        <w:t>multiple</w:t>
      </w:r>
      <w:r>
        <w:rPr>
          <w:spacing w:val="-4"/>
        </w:rPr>
        <w:t> </w:t>
      </w:r>
      <w:r>
        <w:rPr>
          <w:spacing w:val="-2"/>
        </w:rPr>
        <w:t>factors</w:t>
      </w:r>
      <w:r>
        <w:rPr>
          <w:spacing w:val="-3"/>
        </w:rPr>
        <w:t> </w:t>
      </w:r>
      <w:r>
        <w:rPr>
          <w:spacing w:val="-2"/>
        </w:rPr>
        <w:t>including,</w:t>
      </w:r>
      <w:r>
        <w:rPr>
          <w:spacing w:val="-4"/>
        </w:rPr>
        <w:t> </w:t>
      </w:r>
      <w:r>
        <w:rPr>
          <w:spacing w:val="-2"/>
        </w:rPr>
        <w:t>but</w:t>
      </w:r>
      <w:r>
        <w:rPr>
          <w:spacing w:val="-4"/>
        </w:rPr>
        <w:t> </w:t>
      </w:r>
      <w:r>
        <w:rPr>
          <w:spacing w:val="-2"/>
        </w:rPr>
        <w:t>not</w:t>
      </w:r>
      <w:r>
        <w:rPr>
          <w:spacing w:val="-4"/>
        </w:rPr>
        <w:t> </w:t>
      </w:r>
      <w:r>
        <w:rPr>
          <w:spacing w:val="-2"/>
        </w:rPr>
        <w:t>limited</w:t>
      </w:r>
      <w:r>
        <w:rPr>
          <w:spacing w:val="-4"/>
        </w:rPr>
        <w:t> </w:t>
      </w:r>
      <w:r>
        <w:rPr>
          <w:spacing w:val="-2"/>
        </w:rPr>
        <w:t>to,</w:t>
      </w:r>
      <w:r>
        <w:rPr>
          <w:spacing w:val="-4"/>
        </w:rPr>
        <w:t> </w:t>
      </w:r>
      <w:r>
        <w:rPr>
          <w:spacing w:val="-2"/>
        </w:rPr>
        <w:t>major</w:t>
      </w:r>
      <w:r>
        <w:rPr>
          <w:spacing w:val="-4"/>
        </w:rPr>
        <w:t> </w:t>
      </w:r>
      <w:r>
        <w:rPr>
          <w:spacing w:val="-2"/>
        </w:rPr>
        <w:t>product</w:t>
      </w:r>
      <w:r>
        <w:rPr>
          <w:spacing w:val="-4"/>
        </w:rPr>
        <w:t> </w:t>
      </w:r>
      <w:r>
        <w:rPr>
          <w:spacing w:val="-2"/>
        </w:rPr>
        <w:t>groupings,</w:t>
      </w:r>
      <w:r>
        <w:rPr>
          <w:spacing w:val="-4"/>
        </w:rPr>
        <w:t> </w:t>
      </w:r>
      <w:r>
        <w:rPr>
          <w:spacing w:val="-2"/>
        </w:rPr>
        <w:t>geographies,</w:t>
      </w:r>
      <w:r>
        <w:rPr>
          <w:spacing w:val="-4"/>
        </w:rPr>
        <w:t> </w:t>
      </w:r>
      <w:r>
        <w:rPr>
          <w:spacing w:val="-2"/>
        </w:rPr>
        <w:t>market </w:t>
      </w:r>
      <w:r>
        <w:rPr/>
        <w:t>conditions, competitive landscape, internal costs, gross margin objectives and pricing practices. Pricing practices taken into consideration</w:t>
      </w:r>
      <w:r>
        <w:rPr>
          <w:spacing w:val="-13"/>
        </w:rPr>
        <w:t> </w:t>
      </w:r>
      <w:r>
        <w:rPr/>
        <w:t>include</w:t>
      </w:r>
      <w:r>
        <w:rPr>
          <w:spacing w:val="-12"/>
        </w:rPr>
        <w:t> </w:t>
      </w:r>
      <w:r>
        <w:rPr/>
        <w:t>historic</w:t>
      </w:r>
      <w:r>
        <w:rPr>
          <w:spacing w:val="-13"/>
        </w:rPr>
        <w:t> </w:t>
      </w:r>
      <w:r>
        <w:rPr/>
        <w:t>contractually</w:t>
      </w:r>
      <w:r>
        <w:rPr>
          <w:spacing w:val="-12"/>
        </w:rPr>
        <w:t> </w:t>
      </w:r>
      <w:r>
        <w:rPr/>
        <w:t>stated</w:t>
      </w:r>
      <w:r>
        <w:rPr>
          <w:spacing w:val="-13"/>
        </w:rPr>
        <w:t> </w:t>
      </w:r>
      <w:r>
        <w:rPr/>
        <w:t>prices,</w:t>
      </w:r>
      <w:r>
        <w:rPr>
          <w:spacing w:val="-12"/>
        </w:rPr>
        <w:t> </w:t>
      </w:r>
      <w:r>
        <w:rPr/>
        <w:t>volume</w:t>
      </w:r>
      <w:r>
        <w:rPr>
          <w:spacing w:val="-13"/>
        </w:rPr>
        <w:t> </w:t>
      </w:r>
      <w:r>
        <w:rPr/>
        <w:t>discounts</w:t>
      </w:r>
      <w:r>
        <w:rPr>
          <w:spacing w:val="-12"/>
        </w:rPr>
        <w:t> </w:t>
      </w:r>
      <w:r>
        <w:rPr/>
        <w:t>where</w:t>
      </w:r>
      <w:r>
        <w:rPr>
          <w:spacing w:val="-13"/>
        </w:rPr>
        <w:t> </w:t>
      </w:r>
      <w:r>
        <w:rPr/>
        <w:t>applicable</w:t>
      </w:r>
      <w:r>
        <w:rPr>
          <w:spacing w:val="-12"/>
        </w:rPr>
        <w:t> </w:t>
      </w:r>
      <w:r>
        <w:rPr/>
        <w:t>and</w:t>
      </w:r>
      <w:r>
        <w:rPr>
          <w:spacing w:val="-13"/>
        </w:rPr>
        <w:t> </w:t>
      </w:r>
      <w:r>
        <w:rPr/>
        <w:t>our</w:t>
      </w:r>
      <w:r>
        <w:rPr>
          <w:spacing w:val="-12"/>
        </w:rPr>
        <w:t> </w:t>
      </w:r>
      <w:r>
        <w:rPr/>
        <w:t>price</w:t>
      </w:r>
      <w:r>
        <w:rPr>
          <w:spacing w:val="-13"/>
        </w:rPr>
        <w:t> </w:t>
      </w:r>
      <w:r>
        <w:rPr/>
        <w:t>lists.</w:t>
      </w:r>
      <w:r>
        <w:rPr>
          <w:spacing w:val="-12"/>
        </w:rPr>
        <w:t> </w:t>
      </w:r>
      <w:r>
        <w:rPr/>
        <w:t>We</w:t>
      </w:r>
      <w:r>
        <w:rPr>
          <w:spacing w:val="-13"/>
        </w:rPr>
        <w:t> </w:t>
      </w:r>
      <w:r>
        <w:rPr/>
        <w:t>must</w:t>
      </w:r>
      <w:r>
        <w:rPr>
          <w:spacing w:val="-12"/>
        </w:rPr>
        <w:t> </w:t>
      </w:r>
      <w:r>
        <w:rPr/>
        <w:t>estimate certain royalty revenue amounts due to the timing of securing information from our customers. While we believe we can make reliable</w:t>
      </w:r>
      <w:r>
        <w:rPr>
          <w:spacing w:val="-13"/>
        </w:rPr>
        <w:t> </w:t>
      </w:r>
      <w:r>
        <w:rPr/>
        <w:t>estimates</w:t>
      </w:r>
      <w:r>
        <w:rPr>
          <w:spacing w:val="-12"/>
        </w:rPr>
        <w:t> </w:t>
      </w:r>
      <w:r>
        <w:rPr/>
        <w:t>regarding</w:t>
      </w:r>
      <w:r>
        <w:rPr>
          <w:spacing w:val="-12"/>
        </w:rPr>
        <w:t> </w:t>
      </w:r>
      <w:r>
        <w:rPr/>
        <w:t>these</w:t>
      </w:r>
      <w:r>
        <w:rPr>
          <w:spacing w:val="-11"/>
        </w:rPr>
        <w:t> </w:t>
      </w:r>
      <w:r>
        <w:rPr/>
        <w:t>matters,</w:t>
      </w:r>
      <w:r>
        <w:rPr>
          <w:spacing w:val="-10"/>
        </w:rPr>
        <w:t> </w:t>
      </w:r>
      <w:r>
        <w:rPr/>
        <w:t>these</w:t>
      </w:r>
      <w:r>
        <w:rPr>
          <w:spacing w:val="-11"/>
        </w:rPr>
        <w:t> </w:t>
      </w:r>
      <w:r>
        <w:rPr/>
        <w:t>estimates</w:t>
      </w:r>
      <w:r>
        <w:rPr>
          <w:spacing w:val="-10"/>
        </w:rPr>
        <w:t> </w:t>
      </w:r>
      <w:r>
        <w:rPr/>
        <w:t>are</w:t>
      </w:r>
      <w:r>
        <w:rPr>
          <w:spacing w:val="-10"/>
        </w:rPr>
        <w:t> </w:t>
      </w:r>
      <w:r>
        <w:rPr/>
        <w:t>inherently</w:t>
      </w:r>
      <w:r>
        <w:rPr>
          <w:spacing w:val="-10"/>
        </w:rPr>
        <w:t> </w:t>
      </w:r>
      <w:r>
        <w:rPr/>
        <w:t>subjective.</w:t>
      </w:r>
      <w:r>
        <w:rPr>
          <w:spacing w:val="-13"/>
        </w:rPr>
        <w:t> </w:t>
      </w:r>
      <w:r>
        <w:rPr/>
        <w:t>Accordingly,</w:t>
      </w:r>
      <w:r>
        <w:rPr>
          <w:spacing w:val="-10"/>
        </w:rPr>
        <w:t> </w:t>
      </w:r>
      <w:r>
        <w:rPr/>
        <w:t>our</w:t>
      </w:r>
      <w:r>
        <w:rPr>
          <w:spacing w:val="-10"/>
        </w:rPr>
        <w:t> </w:t>
      </w:r>
      <w:r>
        <w:rPr/>
        <w:t>assumptions</w:t>
      </w:r>
      <w:r>
        <w:rPr>
          <w:spacing w:val="-10"/>
        </w:rPr>
        <w:t> </w:t>
      </w:r>
      <w:r>
        <w:rPr/>
        <w:t>and</w:t>
      </w:r>
      <w:r>
        <w:rPr>
          <w:spacing w:val="-10"/>
        </w:rPr>
        <w:t> </w:t>
      </w:r>
      <w:r>
        <w:rPr/>
        <w:t>judgments regarding</w:t>
      </w:r>
      <w:r>
        <w:rPr>
          <w:spacing w:val="-7"/>
        </w:rPr>
        <w:t> </w:t>
      </w:r>
      <w:r>
        <w:rPr/>
        <w:t>future</w:t>
      </w:r>
      <w:r>
        <w:rPr>
          <w:spacing w:val="-7"/>
        </w:rPr>
        <w:t> </w:t>
      </w:r>
      <w:r>
        <w:rPr/>
        <w:t>products</w:t>
      </w:r>
      <w:r>
        <w:rPr>
          <w:spacing w:val="-7"/>
        </w:rPr>
        <w:t> </w:t>
      </w:r>
      <w:r>
        <w:rPr/>
        <w:t>and</w:t>
      </w:r>
      <w:r>
        <w:rPr>
          <w:spacing w:val="-7"/>
        </w:rPr>
        <w:t> </w:t>
      </w:r>
      <w:r>
        <w:rPr/>
        <w:t>services</w:t>
      </w:r>
      <w:r>
        <w:rPr>
          <w:spacing w:val="-7"/>
        </w:rPr>
        <w:t> </w:t>
      </w:r>
      <w:r>
        <w:rPr/>
        <w:t>as</w:t>
      </w:r>
      <w:r>
        <w:rPr>
          <w:spacing w:val="-7"/>
        </w:rPr>
        <w:t> </w:t>
      </w:r>
      <w:r>
        <w:rPr/>
        <w:t>well</w:t>
      </w:r>
      <w:r>
        <w:rPr>
          <w:spacing w:val="-7"/>
        </w:rPr>
        <w:t> </w:t>
      </w:r>
      <w:r>
        <w:rPr/>
        <w:t>as</w:t>
      </w:r>
      <w:r>
        <w:rPr>
          <w:spacing w:val="-7"/>
        </w:rPr>
        <w:t> </w:t>
      </w:r>
      <w:r>
        <w:rPr/>
        <w:t>our</w:t>
      </w:r>
      <w:r>
        <w:rPr>
          <w:spacing w:val="-7"/>
        </w:rPr>
        <w:t> </w:t>
      </w:r>
      <w:r>
        <w:rPr/>
        <w:t>estimates</w:t>
      </w:r>
      <w:r>
        <w:rPr>
          <w:spacing w:val="-7"/>
        </w:rPr>
        <w:t> </w:t>
      </w:r>
      <w:r>
        <w:rPr/>
        <w:t>of</w:t>
      </w:r>
      <w:r>
        <w:rPr>
          <w:spacing w:val="-7"/>
        </w:rPr>
        <w:t> </w:t>
      </w:r>
      <w:r>
        <w:rPr/>
        <w:t>royalty</w:t>
      </w:r>
      <w:r>
        <w:rPr>
          <w:spacing w:val="-7"/>
        </w:rPr>
        <w:t> </w:t>
      </w:r>
      <w:r>
        <w:rPr/>
        <w:t>revenue</w:t>
      </w:r>
      <w:r>
        <w:rPr>
          <w:spacing w:val="-7"/>
        </w:rPr>
        <w:t> </w:t>
      </w:r>
      <w:r>
        <w:rPr/>
        <w:t>could</w:t>
      </w:r>
      <w:r>
        <w:rPr>
          <w:spacing w:val="-7"/>
        </w:rPr>
        <w:t> </w:t>
      </w:r>
      <w:r>
        <w:rPr/>
        <w:t>differ</w:t>
      </w:r>
      <w:r>
        <w:rPr>
          <w:spacing w:val="-7"/>
        </w:rPr>
        <w:t> </w:t>
      </w:r>
      <w:r>
        <w:rPr/>
        <w:t>from</w:t>
      </w:r>
      <w:r>
        <w:rPr>
          <w:spacing w:val="-7"/>
        </w:rPr>
        <w:t> </w:t>
      </w:r>
      <w:r>
        <w:rPr/>
        <w:t>actual</w:t>
      </w:r>
      <w:r>
        <w:rPr>
          <w:spacing w:val="-7"/>
        </w:rPr>
        <w:t> </w:t>
      </w:r>
      <w:r>
        <w:rPr/>
        <w:t>events,</w:t>
      </w:r>
      <w:r>
        <w:rPr>
          <w:spacing w:val="-7"/>
        </w:rPr>
        <w:t> </w:t>
      </w:r>
      <w:r>
        <w:rPr/>
        <w:t>thus</w:t>
      </w:r>
      <w:r>
        <w:rPr>
          <w:spacing w:val="-7"/>
        </w:rPr>
        <w:t> </w:t>
      </w:r>
      <w:r>
        <w:rPr/>
        <w:t>materially impacting our financial position and results of operations.</w:t>
      </w:r>
    </w:p>
    <w:p>
      <w:pPr>
        <w:pStyle w:val="BodyText"/>
        <w:spacing w:line="249" w:lineRule="auto" w:before="187"/>
        <w:ind w:left="220" w:right="257" w:firstLine="540"/>
        <w:jc w:val="both"/>
      </w:pPr>
      <w:r>
        <w:rPr/>
        <w:t>Product revenue is recognized when the above criteria are met. We reduce the revenue recognized for estimated future returns, rebates and price protection at the time the related revenue is recorded. In determining our estimate for returns and in accordance with our internal policy regarding global channel inventory which is used to determine the level of product held by our distributors on which we have recognized revenue, we rely upon historical data, the estimated amount of product inventory </w:t>
      </w:r>
      <w:r>
        <w:rPr>
          <w:spacing w:val="-2"/>
        </w:rPr>
        <w:t>in</w:t>
      </w:r>
      <w:r>
        <w:rPr>
          <w:spacing w:val="-9"/>
        </w:rPr>
        <w:t> </w:t>
      </w:r>
      <w:r>
        <w:rPr>
          <w:spacing w:val="-2"/>
        </w:rPr>
        <w:t>our</w:t>
      </w:r>
      <w:r>
        <w:rPr>
          <w:spacing w:val="-9"/>
        </w:rPr>
        <w:t> </w:t>
      </w:r>
      <w:r>
        <w:rPr>
          <w:spacing w:val="-2"/>
        </w:rPr>
        <w:t>distribution</w:t>
      </w:r>
      <w:r>
        <w:rPr>
          <w:spacing w:val="-9"/>
        </w:rPr>
        <w:t> </w:t>
      </w:r>
      <w:r>
        <w:rPr>
          <w:spacing w:val="-2"/>
        </w:rPr>
        <w:t>channel,</w:t>
      </w:r>
      <w:r>
        <w:rPr>
          <w:spacing w:val="-9"/>
        </w:rPr>
        <w:t> </w:t>
      </w:r>
      <w:r>
        <w:rPr>
          <w:spacing w:val="-2"/>
        </w:rPr>
        <w:t>the</w:t>
      </w:r>
      <w:r>
        <w:rPr>
          <w:spacing w:val="-9"/>
        </w:rPr>
        <w:t> </w:t>
      </w:r>
      <w:r>
        <w:rPr>
          <w:spacing w:val="-2"/>
        </w:rPr>
        <w:t>rate</w:t>
      </w:r>
      <w:r>
        <w:rPr>
          <w:spacing w:val="-9"/>
        </w:rPr>
        <w:t> </w:t>
      </w:r>
      <w:r>
        <w:rPr>
          <w:spacing w:val="-2"/>
        </w:rPr>
        <w:t>at</w:t>
      </w:r>
      <w:r>
        <w:rPr>
          <w:spacing w:val="-9"/>
        </w:rPr>
        <w:t> </w:t>
      </w:r>
      <w:r>
        <w:rPr>
          <w:spacing w:val="-2"/>
        </w:rPr>
        <w:t>which</w:t>
      </w:r>
      <w:r>
        <w:rPr>
          <w:spacing w:val="-9"/>
        </w:rPr>
        <w:t> </w:t>
      </w:r>
      <w:r>
        <w:rPr>
          <w:spacing w:val="-2"/>
        </w:rPr>
        <w:t>our</w:t>
      </w:r>
      <w:r>
        <w:rPr>
          <w:spacing w:val="-9"/>
        </w:rPr>
        <w:t> </w:t>
      </w:r>
      <w:r>
        <w:rPr>
          <w:spacing w:val="-2"/>
        </w:rPr>
        <w:t>product</w:t>
      </w:r>
      <w:r>
        <w:rPr>
          <w:spacing w:val="-9"/>
        </w:rPr>
        <w:t> </w:t>
      </w:r>
      <w:r>
        <w:rPr>
          <w:spacing w:val="-2"/>
        </w:rPr>
        <w:t>sells</w:t>
      </w:r>
      <w:r>
        <w:rPr>
          <w:spacing w:val="-9"/>
        </w:rPr>
        <w:t> </w:t>
      </w:r>
      <w:r>
        <w:rPr>
          <w:spacing w:val="-2"/>
        </w:rPr>
        <w:t>through</w:t>
      </w:r>
      <w:r>
        <w:rPr>
          <w:spacing w:val="-9"/>
        </w:rPr>
        <w:t> </w:t>
      </w:r>
      <w:r>
        <w:rPr>
          <w:spacing w:val="-2"/>
        </w:rPr>
        <w:t>to</w:t>
      </w:r>
      <w:r>
        <w:rPr>
          <w:spacing w:val="-9"/>
        </w:rPr>
        <w:t> </w:t>
      </w:r>
      <w:r>
        <w:rPr>
          <w:spacing w:val="-2"/>
        </w:rPr>
        <w:t>the</w:t>
      </w:r>
      <w:r>
        <w:rPr>
          <w:spacing w:val="-9"/>
        </w:rPr>
        <w:t> </w:t>
      </w:r>
      <w:r>
        <w:rPr>
          <w:spacing w:val="-2"/>
        </w:rPr>
        <w:t>end</w:t>
      </w:r>
      <w:r>
        <w:rPr>
          <w:spacing w:val="-8"/>
        </w:rPr>
        <w:t> </w:t>
      </w:r>
      <w:r>
        <w:rPr>
          <w:spacing w:val="-2"/>
        </w:rPr>
        <w:t>user,</w:t>
      </w:r>
      <w:r>
        <w:rPr>
          <w:spacing w:val="-9"/>
        </w:rPr>
        <w:t> </w:t>
      </w:r>
      <w:r>
        <w:rPr>
          <w:spacing w:val="-2"/>
        </w:rPr>
        <w:t>product</w:t>
      </w:r>
      <w:r>
        <w:rPr>
          <w:spacing w:val="-9"/>
        </w:rPr>
        <w:t> </w:t>
      </w:r>
      <w:r>
        <w:rPr>
          <w:spacing w:val="-2"/>
        </w:rPr>
        <w:t>plans</w:t>
      </w:r>
      <w:r>
        <w:rPr>
          <w:spacing w:val="-9"/>
        </w:rPr>
        <w:t> </w:t>
      </w:r>
      <w:r>
        <w:rPr>
          <w:spacing w:val="-2"/>
        </w:rPr>
        <w:t>and</w:t>
      </w:r>
      <w:r>
        <w:rPr>
          <w:spacing w:val="-9"/>
        </w:rPr>
        <w:t> </w:t>
      </w:r>
      <w:r>
        <w:rPr>
          <w:spacing w:val="-2"/>
        </w:rPr>
        <w:t>other</w:t>
      </w:r>
      <w:r>
        <w:rPr>
          <w:spacing w:val="-9"/>
        </w:rPr>
        <w:t> </w:t>
      </w:r>
      <w:r>
        <w:rPr>
          <w:spacing w:val="-2"/>
        </w:rPr>
        <w:t>factors.</w:t>
      </w:r>
      <w:r>
        <w:rPr>
          <w:spacing w:val="-9"/>
        </w:rPr>
        <w:t> </w:t>
      </w:r>
      <w:r>
        <w:rPr>
          <w:spacing w:val="-2"/>
        </w:rPr>
        <w:t>Our</w:t>
      </w:r>
      <w:r>
        <w:rPr>
          <w:spacing w:val="-9"/>
        </w:rPr>
        <w:t> </w:t>
      </w:r>
      <w:r>
        <w:rPr>
          <w:spacing w:val="-2"/>
        </w:rPr>
        <w:t>estimated </w:t>
      </w:r>
      <w:r>
        <w:rPr/>
        <w:t>provisions for returns can vary from what actually occurs. Product returns may be more or less than what was estimated. The amount</w:t>
      </w:r>
      <w:r>
        <w:rPr>
          <w:spacing w:val="-4"/>
        </w:rPr>
        <w:t> </w:t>
      </w:r>
      <w:r>
        <w:rPr/>
        <w:t>of</w:t>
      </w:r>
      <w:r>
        <w:rPr>
          <w:spacing w:val="-4"/>
        </w:rPr>
        <w:t> </w:t>
      </w:r>
      <w:r>
        <w:rPr/>
        <w:t>inventory</w:t>
      </w:r>
      <w:r>
        <w:rPr>
          <w:spacing w:val="-4"/>
        </w:rPr>
        <w:t> </w:t>
      </w:r>
      <w:r>
        <w:rPr/>
        <w:t>in</w:t>
      </w:r>
      <w:r>
        <w:rPr>
          <w:spacing w:val="-4"/>
        </w:rPr>
        <w:t> </w:t>
      </w:r>
      <w:r>
        <w:rPr/>
        <w:t>the</w:t>
      </w:r>
      <w:r>
        <w:rPr>
          <w:spacing w:val="-4"/>
        </w:rPr>
        <w:t> </w:t>
      </w:r>
      <w:r>
        <w:rPr/>
        <w:t>channel</w:t>
      </w:r>
      <w:r>
        <w:rPr>
          <w:spacing w:val="-4"/>
        </w:rPr>
        <w:t> </w:t>
      </w:r>
      <w:r>
        <w:rPr/>
        <w:t>could</w:t>
      </w:r>
      <w:r>
        <w:rPr>
          <w:spacing w:val="-4"/>
        </w:rPr>
        <w:t> </w:t>
      </w:r>
      <w:r>
        <w:rPr/>
        <w:t>be</w:t>
      </w:r>
      <w:r>
        <w:rPr>
          <w:spacing w:val="-4"/>
        </w:rPr>
        <w:t> </w:t>
      </w:r>
      <w:r>
        <w:rPr/>
        <w:t>different</w:t>
      </w:r>
      <w:r>
        <w:rPr>
          <w:spacing w:val="-4"/>
        </w:rPr>
        <w:t> </w:t>
      </w:r>
      <w:r>
        <w:rPr/>
        <w:t>than</w:t>
      </w:r>
      <w:r>
        <w:rPr>
          <w:spacing w:val="-4"/>
        </w:rPr>
        <w:t> </w:t>
      </w:r>
      <w:r>
        <w:rPr/>
        <w:t>what</w:t>
      </w:r>
      <w:r>
        <w:rPr>
          <w:spacing w:val="-4"/>
        </w:rPr>
        <w:t> </w:t>
      </w:r>
      <w:r>
        <w:rPr/>
        <w:t>is</w:t>
      </w:r>
      <w:r>
        <w:rPr>
          <w:spacing w:val="-4"/>
        </w:rPr>
        <w:t> </w:t>
      </w:r>
      <w:r>
        <w:rPr/>
        <w:t>estimated.</w:t>
      </w:r>
      <w:r>
        <w:rPr>
          <w:spacing w:val="-4"/>
        </w:rPr>
        <w:t> </w:t>
      </w:r>
      <w:r>
        <w:rPr/>
        <w:t>Our</w:t>
      </w:r>
      <w:r>
        <w:rPr>
          <w:spacing w:val="-4"/>
        </w:rPr>
        <w:t> </w:t>
      </w:r>
      <w:r>
        <w:rPr/>
        <w:t>estimate</w:t>
      </w:r>
      <w:r>
        <w:rPr>
          <w:spacing w:val="-4"/>
        </w:rPr>
        <w:t> </w:t>
      </w:r>
      <w:r>
        <w:rPr/>
        <w:t>of</w:t>
      </w:r>
      <w:r>
        <w:rPr>
          <w:spacing w:val="-4"/>
        </w:rPr>
        <w:t> </w:t>
      </w:r>
      <w:r>
        <w:rPr/>
        <w:t>the</w:t>
      </w:r>
      <w:r>
        <w:rPr>
          <w:spacing w:val="-4"/>
        </w:rPr>
        <w:t> </w:t>
      </w:r>
      <w:r>
        <w:rPr/>
        <w:t>rate</w:t>
      </w:r>
      <w:r>
        <w:rPr>
          <w:spacing w:val="-4"/>
        </w:rPr>
        <w:t> </w:t>
      </w:r>
      <w:r>
        <w:rPr/>
        <w:t>of</w:t>
      </w:r>
      <w:r>
        <w:rPr>
          <w:spacing w:val="-4"/>
        </w:rPr>
        <w:t> </w:t>
      </w:r>
      <w:r>
        <w:rPr/>
        <w:t>sell-through</w:t>
      </w:r>
      <w:r>
        <w:rPr>
          <w:spacing w:val="-4"/>
        </w:rPr>
        <w:t> </w:t>
      </w:r>
      <w:r>
        <w:rPr/>
        <w:t>for</w:t>
      </w:r>
      <w:r>
        <w:rPr>
          <w:spacing w:val="-4"/>
        </w:rPr>
        <w:t> </w:t>
      </w:r>
      <w:r>
        <w:rPr/>
        <w:t>product in</w:t>
      </w:r>
      <w:r>
        <w:rPr>
          <w:spacing w:val="-10"/>
        </w:rPr>
        <w:t> </w:t>
      </w:r>
      <w:r>
        <w:rPr/>
        <w:t>the</w:t>
      </w:r>
      <w:r>
        <w:rPr>
          <w:spacing w:val="-10"/>
        </w:rPr>
        <w:t> </w:t>
      </w:r>
      <w:r>
        <w:rPr/>
        <w:t>channel</w:t>
      </w:r>
      <w:r>
        <w:rPr>
          <w:spacing w:val="-10"/>
        </w:rPr>
        <w:t> </w:t>
      </w:r>
      <w:r>
        <w:rPr/>
        <w:t>could</w:t>
      </w:r>
      <w:r>
        <w:rPr>
          <w:spacing w:val="-10"/>
        </w:rPr>
        <w:t> </w:t>
      </w:r>
      <w:r>
        <w:rPr/>
        <w:t>be</w:t>
      </w:r>
      <w:r>
        <w:rPr>
          <w:spacing w:val="-10"/>
        </w:rPr>
        <w:t> </w:t>
      </w:r>
      <w:r>
        <w:rPr/>
        <w:t>different</w:t>
      </w:r>
      <w:r>
        <w:rPr>
          <w:spacing w:val="-10"/>
        </w:rPr>
        <w:t> </w:t>
      </w:r>
      <w:r>
        <w:rPr/>
        <w:t>than</w:t>
      </w:r>
      <w:r>
        <w:rPr>
          <w:spacing w:val="-10"/>
        </w:rPr>
        <w:t> </w:t>
      </w:r>
      <w:r>
        <w:rPr/>
        <w:t>what</w:t>
      </w:r>
      <w:r>
        <w:rPr>
          <w:spacing w:val="-10"/>
        </w:rPr>
        <w:t> </w:t>
      </w:r>
      <w:r>
        <w:rPr/>
        <w:t>actually</w:t>
      </w:r>
      <w:r>
        <w:rPr>
          <w:spacing w:val="-10"/>
        </w:rPr>
        <w:t> </w:t>
      </w:r>
      <w:r>
        <w:rPr/>
        <w:t>occurs.</w:t>
      </w:r>
      <w:r>
        <w:rPr>
          <w:spacing w:val="-13"/>
        </w:rPr>
        <w:t> </w:t>
      </w:r>
      <w:r>
        <w:rPr/>
        <w:t>These</w:t>
      </w:r>
      <w:r>
        <w:rPr>
          <w:spacing w:val="-10"/>
        </w:rPr>
        <w:t> </w:t>
      </w:r>
      <w:r>
        <w:rPr/>
        <w:t>factors</w:t>
      </w:r>
      <w:r>
        <w:rPr>
          <w:spacing w:val="-9"/>
        </w:rPr>
        <w:t> </w:t>
      </w:r>
      <w:r>
        <w:rPr/>
        <w:t>and</w:t>
      </w:r>
      <w:r>
        <w:rPr>
          <w:spacing w:val="-10"/>
        </w:rPr>
        <w:t> </w:t>
      </w:r>
      <w:r>
        <w:rPr/>
        <w:t>unanticipated</w:t>
      </w:r>
      <w:r>
        <w:rPr>
          <w:spacing w:val="-10"/>
        </w:rPr>
        <w:t> </w:t>
      </w:r>
      <w:r>
        <w:rPr/>
        <w:t>changes</w:t>
      </w:r>
      <w:r>
        <w:rPr>
          <w:spacing w:val="-9"/>
        </w:rPr>
        <w:t> </w:t>
      </w:r>
      <w:r>
        <w:rPr/>
        <w:t>in</w:t>
      </w:r>
      <w:r>
        <w:rPr>
          <w:spacing w:val="-10"/>
        </w:rPr>
        <w:t> </w:t>
      </w:r>
      <w:r>
        <w:rPr/>
        <w:t>the</w:t>
      </w:r>
      <w:r>
        <w:rPr>
          <w:spacing w:val="-10"/>
        </w:rPr>
        <w:t> </w:t>
      </w:r>
      <w:r>
        <w:rPr/>
        <w:t>economic</w:t>
      </w:r>
      <w:r>
        <w:rPr>
          <w:spacing w:val="-10"/>
        </w:rPr>
        <w:t> </w:t>
      </w:r>
      <w:r>
        <w:rPr/>
        <w:t>and</w:t>
      </w:r>
      <w:r>
        <w:rPr>
          <w:spacing w:val="-10"/>
        </w:rPr>
        <w:t> </w:t>
      </w:r>
      <w:r>
        <w:rPr/>
        <w:t>industry environment could make our return estimates differ from actual returns, thus impacting our financial position and results of </w:t>
      </w:r>
      <w:r>
        <w:rPr>
          <w:spacing w:val="-2"/>
        </w:rPr>
        <w:t>operations.</w:t>
      </w:r>
    </w:p>
    <w:p>
      <w:pPr>
        <w:pStyle w:val="BodyText"/>
        <w:spacing w:line="249" w:lineRule="auto" w:before="188"/>
        <w:ind w:left="220" w:right="257" w:firstLine="540"/>
        <w:jc w:val="both"/>
      </w:pPr>
      <w:r>
        <w:rPr/>
        <w:t>In</w:t>
      </w:r>
      <w:r>
        <w:rPr>
          <w:spacing w:val="-2"/>
        </w:rPr>
        <w:t> </w:t>
      </w:r>
      <w:r>
        <w:rPr/>
        <w:t>the</w:t>
      </w:r>
      <w:r>
        <w:rPr>
          <w:spacing w:val="-2"/>
        </w:rPr>
        <w:t> </w:t>
      </w:r>
      <w:r>
        <w:rPr/>
        <w:t>future,</w:t>
      </w:r>
      <w:r>
        <w:rPr>
          <w:spacing w:val="-2"/>
        </w:rPr>
        <w:t> </w:t>
      </w:r>
      <w:r>
        <w:rPr/>
        <w:t>actual</w:t>
      </w:r>
      <w:r>
        <w:rPr>
          <w:spacing w:val="-2"/>
        </w:rPr>
        <w:t> </w:t>
      </w:r>
      <w:r>
        <w:rPr/>
        <w:t>returns</w:t>
      </w:r>
      <w:r>
        <w:rPr>
          <w:spacing w:val="-2"/>
        </w:rPr>
        <w:t> </w:t>
      </w:r>
      <w:r>
        <w:rPr/>
        <w:t>and</w:t>
      </w:r>
      <w:r>
        <w:rPr>
          <w:spacing w:val="-2"/>
        </w:rPr>
        <w:t> </w:t>
      </w:r>
      <w:r>
        <w:rPr/>
        <w:t>price</w:t>
      </w:r>
      <w:r>
        <w:rPr>
          <w:spacing w:val="-2"/>
        </w:rPr>
        <w:t> </w:t>
      </w:r>
      <w:r>
        <w:rPr/>
        <w:t>protection</w:t>
      </w:r>
      <w:r>
        <w:rPr>
          <w:spacing w:val="-2"/>
        </w:rPr>
        <w:t> </w:t>
      </w:r>
      <w:r>
        <w:rPr/>
        <w:t>may</w:t>
      </w:r>
      <w:r>
        <w:rPr>
          <w:spacing w:val="-2"/>
        </w:rPr>
        <w:t> </w:t>
      </w:r>
      <w:r>
        <w:rPr/>
        <w:t>exceed</w:t>
      </w:r>
      <w:r>
        <w:rPr>
          <w:spacing w:val="-2"/>
        </w:rPr>
        <w:t> </w:t>
      </w:r>
      <w:r>
        <w:rPr/>
        <w:t>our</w:t>
      </w:r>
      <w:r>
        <w:rPr>
          <w:spacing w:val="-2"/>
        </w:rPr>
        <w:t> </w:t>
      </w:r>
      <w:r>
        <w:rPr/>
        <w:t>estimates</w:t>
      </w:r>
      <w:r>
        <w:rPr>
          <w:spacing w:val="-2"/>
        </w:rPr>
        <w:t> </w:t>
      </w:r>
      <w:r>
        <w:rPr/>
        <w:t>as</w:t>
      </w:r>
      <w:r>
        <w:rPr>
          <w:spacing w:val="-2"/>
        </w:rPr>
        <w:t> </w:t>
      </w:r>
      <w:r>
        <w:rPr/>
        <w:t>unsold</w:t>
      </w:r>
      <w:r>
        <w:rPr>
          <w:spacing w:val="-2"/>
        </w:rPr>
        <w:t> </w:t>
      </w:r>
      <w:r>
        <w:rPr/>
        <w:t>products</w:t>
      </w:r>
      <w:r>
        <w:rPr>
          <w:spacing w:val="-2"/>
        </w:rPr>
        <w:t> </w:t>
      </w:r>
      <w:r>
        <w:rPr/>
        <w:t>in</w:t>
      </w:r>
      <w:r>
        <w:rPr>
          <w:spacing w:val="-2"/>
        </w:rPr>
        <w:t> </w:t>
      </w:r>
      <w:r>
        <w:rPr/>
        <w:t>the</w:t>
      </w:r>
      <w:r>
        <w:rPr>
          <w:spacing w:val="-2"/>
        </w:rPr>
        <w:t> </w:t>
      </w:r>
      <w:r>
        <w:rPr/>
        <w:t>distribution</w:t>
      </w:r>
      <w:r>
        <w:rPr>
          <w:spacing w:val="-2"/>
        </w:rPr>
        <w:t> </w:t>
      </w:r>
      <w:r>
        <w:rPr/>
        <w:t>channels are exposed to rapid changes in consumer preferences, market conditions or technological obsolescence due to new platforms, product</w:t>
      </w:r>
      <w:r>
        <w:rPr>
          <w:spacing w:val="-11"/>
        </w:rPr>
        <w:t> </w:t>
      </w:r>
      <w:r>
        <w:rPr/>
        <w:t>updates</w:t>
      </w:r>
      <w:r>
        <w:rPr>
          <w:spacing w:val="-10"/>
        </w:rPr>
        <w:t> </w:t>
      </w:r>
      <w:r>
        <w:rPr/>
        <w:t>or</w:t>
      </w:r>
      <w:r>
        <w:rPr>
          <w:spacing w:val="-10"/>
        </w:rPr>
        <w:t> </w:t>
      </w:r>
      <w:r>
        <w:rPr/>
        <w:t>competing</w:t>
      </w:r>
      <w:r>
        <w:rPr>
          <w:spacing w:val="-11"/>
        </w:rPr>
        <w:t> </w:t>
      </w:r>
      <w:r>
        <w:rPr/>
        <w:t>products.</w:t>
      </w:r>
      <w:r>
        <w:rPr>
          <w:spacing w:val="-13"/>
        </w:rPr>
        <w:t> </w:t>
      </w:r>
      <w:r>
        <w:rPr/>
        <w:t>While</w:t>
      </w:r>
      <w:r>
        <w:rPr>
          <w:spacing w:val="-11"/>
        </w:rPr>
        <w:t> </w:t>
      </w:r>
      <w:r>
        <w:rPr/>
        <w:t>we</w:t>
      </w:r>
      <w:r>
        <w:rPr>
          <w:spacing w:val="-11"/>
        </w:rPr>
        <w:t> </w:t>
      </w:r>
      <w:r>
        <w:rPr/>
        <w:t>believe</w:t>
      </w:r>
      <w:r>
        <w:rPr>
          <w:spacing w:val="-11"/>
        </w:rPr>
        <w:t> </w:t>
      </w:r>
      <w:r>
        <w:rPr/>
        <w:t>we</w:t>
      </w:r>
      <w:r>
        <w:rPr>
          <w:spacing w:val="-11"/>
        </w:rPr>
        <w:t> </w:t>
      </w:r>
      <w:r>
        <w:rPr/>
        <w:t>can</w:t>
      </w:r>
      <w:r>
        <w:rPr>
          <w:spacing w:val="-11"/>
        </w:rPr>
        <w:t> </w:t>
      </w:r>
      <w:r>
        <w:rPr/>
        <w:t>make</w:t>
      </w:r>
      <w:r>
        <w:rPr>
          <w:spacing w:val="-10"/>
        </w:rPr>
        <w:t> </w:t>
      </w:r>
      <w:r>
        <w:rPr/>
        <w:t>reliable</w:t>
      </w:r>
      <w:r>
        <w:rPr>
          <w:spacing w:val="-11"/>
        </w:rPr>
        <w:t> </w:t>
      </w:r>
      <w:r>
        <w:rPr/>
        <w:t>estimates</w:t>
      </w:r>
      <w:r>
        <w:rPr>
          <w:spacing w:val="-10"/>
        </w:rPr>
        <w:t> </w:t>
      </w:r>
      <w:r>
        <w:rPr/>
        <w:t>regarding</w:t>
      </w:r>
      <w:r>
        <w:rPr>
          <w:spacing w:val="-11"/>
        </w:rPr>
        <w:t> </w:t>
      </w:r>
      <w:r>
        <w:rPr/>
        <w:t>these</w:t>
      </w:r>
      <w:r>
        <w:rPr>
          <w:spacing w:val="-11"/>
        </w:rPr>
        <w:t> </w:t>
      </w:r>
      <w:r>
        <w:rPr/>
        <w:t>matters,</w:t>
      </w:r>
      <w:r>
        <w:rPr>
          <w:spacing w:val="-10"/>
        </w:rPr>
        <w:t> </w:t>
      </w:r>
      <w:r>
        <w:rPr/>
        <w:t>these</w:t>
      </w:r>
      <w:r>
        <w:rPr>
          <w:spacing w:val="-11"/>
        </w:rPr>
        <w:t> </w:t>
      </w:r>
      <w:r>
        <w:rPr/>
        <w:t>estimates are inherently subjective.</w:t>
      </w:r>
      <w:r>
        <w:rPr>
          <w:spacing w:val="-6"/>
        </w:rPr>
        <w:t> </w:t>
      </w:r>
      <w:r>
        <w:rPr/>
        <w:t>Accordingly, if our estimates change, our returns and price protection reserves would change, which would impact the total net revenue we report.</w:t>
      </w:r>
    </w:p>
    <w:p>
      <w:pPr>
        <w:pStyle w:val="BodyText"/>
        <w:spacing w:line="249" w:lineRule="auto" w:before="184"/>
        <w:ind w:left="220" w:right="257" w:firstLine="540"/>
        <w:jc w:val="both"/>
      </w:pPr>
      <w:r>
        <w:rPr/>
        <w:t>We</w:t>
      </w:r>
      <w:r>
        <w:rPr>
          <w:spacing w:val="-1"/>
        </w:rPr>
        <w:t> </w:t>
      </w:r>
      <w:r>
        <w:rPr/>
        <w:t>recognize</w:t>
      </w:r>
      <w:r>
        <w:rPr>
          <w:spacing w:val="-1"/>
        </w:rPr>
        <w:t> </w:t>
      </w:r>
      <w:r>
        <w:rPr/>
        <w:t>revenue</w:t>
      </w:r>
      <w:r>
        <w:rPr>
          <w:spacing w:val="-1"/>
        </w:rPr>
        <w:t> </w:t>
      </w:r>
      <w:r>
        <w:rPr/>
        <w:t>for</w:t>
      </w:r>
      <w:r>
        <w:rPr>
          <w:spacing w:val="-1"/>
        </w:rPr>
        <w:t> </w:t>
      </w:r>
      <w:r>
        <w:rPr/>
        <w:t>hosted</w:t>
      </w:r>
      <w:r>
        <w:rPr>
          <w:spacing w:val="-1"/>
        </w:rPr>
        <w:t> </w:t>
      </w:r>
      <w:r>
        <w:rPr/>
        <w:t>services</w:t>
      </w:r>
      <w:r>
        <w:rPr>
          <w:spacing w:val="-1"/>
        </w:rPr>
        <w:t> </w:t>
      </w:r>
      <w:r>
        <w:rPr/>
        <w:t>that</w:t>
      </w:r>
      <w:r>
        <w:rPr>
          <w:spacing w:val="-1"/>
        </w:rPr>
        <w:t> </w:t>
      </w:r>
      <w:r>
        <w:rPr/>
        <w:t>are</w:t>
      </w:r>
      <w:r>
        <w:rPr>
          <w:spacing w:val="-1"/>
        </w:rPr>
        <w:t> </w:t>
      </w:r>
      <w:r>
        <w:rPr/>
        <w:t>priced</w:t>
      </w:r>
      <w:r>
        <w:rPr>
          <w:spacing w:val="-1"/>
        </w:rPr>
        <w:t> </w:t>
      </w:r>
      <w:r>
        <w:rPr/>
        <w:t>based</w:t>
      </w:r>
      <w:r>
        <w:rPr>
          <w:spacing w:val="-1"/>
        </w:rPr>
        <w:t> </w:t>
      </w:r>
      <w:r>
        <w:rPr/>
        <w:t>on</w:t>
      </w:r>
      <w:r>
        <w:rPr>
          <w:spacing w:val="-1"/>
        </w:rPr>
        <w:t> </w:t>
      </w:r>
      <w:r>
        <w:rPr/>
        <w:t>a</w:t>
      </w:r>
      <w:r>
        <w:rPr>
          <w:spacing w:val="-1"/>
        </w:rPr>
        <w:t> </w:t>
      </w:r>
      <w:r>
        <w:rPr/>
        <w:t>committed</w:t>
      </w:r>
      <w:r>
        <w:rPr>
          <w:spacing w:val="-1"/>
        </w:rPr>
        <w:t> </w:t>
      </w:r>
      <w:r>
        <w:rPr/>
        <w:t>number</w:t>
      </w:r>
      <w:r>
        <w:rPr>
          <w:spacing w:val="-1"/>
        </w:rPr>
        <w:t> </w:t>
      </w:r>
      <w:r>
        <w:rPr/>
        <w:t>of</w:t>
      </w:r>
      <w:r>
        <w:rPr>
          <w:spacing w:val="-1"/>
        </w:rPr>
        <w:t> </w:t>
      </w:r>
      <w:r>
        <w:rPr/>
        <w:t>transactions ratably</w:t>
      </w:r>
      <w:r>
        <w:rPr>
          <w:spacing w:val="-1"/>
        </w:rPr>
        <w:t> </w:t>
      </w:r>
      <w:r>
        <w:rPr/>
        <w:t>beginning on</w:t>
      </w:r>
      <w:r>
        <w:rPr>
          <w:spacing w:val="-13"/>
        </w:rPr>
        <w:t> </w:t>
      </w:r>
      <w:r>
        <w:rPr/>
        <w:t>the</w:t>
      </w:r>
      <w:r>
        <w:rPr>
          <w:spacing w:val="-12"/>
        </w:rPr>
        <w:t> </w:t>
      </w:r>
      <w:r>
        <w:rPr/>
        <w:t>date</w:t>
      </w:r>
      <w:r>
        <w:rPr>
          <w:spacing w:val="-13"/>
        </w:rPr>
        <w:t> </w:t>
      </w:r>
      <w:r>
        <w:rPr/>
        <w:t>the</w:t>
      </w:r>
      <w:r>
        <w:rPr>
          <w:spacing w:val="-12"/>
        </w:rPr>
        <w:t> </w:t>
      </w:r>
      <w:r>
        <w:rPr/>
        <w:t>services</w:t>
      </w:r>
      <w:r>
        <w:rPr>
          <w:spacing w:val="-13"/>
        </w:rPr>
        <w:t> </w:t>
      </w:r>
      <w:r>
        <w:rPr/>
        <w:t>associated</w:t>
      </w:r>
      <w:r>
        <w:rPr>
          <w:spacing w:val="-12"/>
        </w:rPr>
        <w:t> </w:t>
      </w:r>
      <w:r>
        <w:rPr/>
        <w:t>with</w:t>
      </w:r>
      <w:r>
        <w:rPr>
          <w:spacing w:val="-13"/>
        </w:rPr>
        <w:t> </w:t>
      </w:r>
      <w:r>
        <w:rPr/>
        <w:t>the</w:t>
      </w:r>
      <w:r>
        <w:rPr>
          <w:spacing w:val="-12"/>
        </w:rPr>
        <w:t> </w:t>
      </w:r>
      <w:r>
        <w:rPr/>
        <w:t>committed</w:t>
      </w:r>
      <w:r>
        <w:rPr>
          <w:spacing w:val="-13"/>
        </w:rPr>
        <w:t> </w:t>
      </w:r>
      <w:r>
        <w:rPr/>
        <w:t>transactions</w:t>
      </w:r>
      <w:r>
        <w:rPr>
          <w:spacing w:val="-12"/>
        </w:rPr>
        <w:t> </w:t>
      </w:r>
      <w:r>
        <w:rPr/>
        <w:t>are</w:t>
      </w:r>
      <w:r>
        <w:rPr>
          <w:spacing w:val="-13"/>
        </w:rPr>
        <w:t> </w:t>
      </w:r>
      <w:r>
        <w:rPr/>
        <w:t>first</w:t>
      </w:r>
      <w:r>
        <w:rPr>
          <w:spacing w:val="-12"/>
        </w:rPr>
        <w:t> </w:t>
      </w:r>
      <w:r>
        <w:rPr/>
        <w:t>made</w:t>
      </w:r>
      <w:r>
        <w:rPr>
          <w:spacing w:val="-13"/>
        </w:rPr>
        <w:t> </w:t>
      </w:r>
      <w:r>
        <w:rPr/>
        <w:t>available</w:t>
      </w:r>
      <w:r>
        <w:rPr>
          <w:spacing w:val="-12"/>
        </w:rPr>
        <w:t> </w:t>
      </w:r>
      <w:r>
        <w:rPr/>
        <w:t>to</w:t>
      </w:r>
      <w:r>
        <w:rPr>
          <w:spacing w:val="-13"/>
        </w:rPr>
        <w:t> </w:t>
      </w:r>
      <w:r>
        <w:rPr/>
        <w:t>the</w:t>
      </w:r>
      <w:r>
        <w:rPr>
          <w:spacing w:val="-12"/>
        </w:rPr>
        <w:t> </w:t>
      </w:r>
      <w:r>
        <w:rPr/>
        <w:t>customer</w:t>
      </w:r>
      <w:r>
        <w:rPr>
          <w:spacing w:val="-13"/>
        </w:rPr>
        <w:t> </w:t>
      </w:r>
      <w:r>
        <w:rPr/>
        <w:t>and</w:t>
      </w:r>
      <w:r>
        <w:rPr>
          <w:spacing w:val="-12"/>
        </w:rPr>
        <w:t> </w:t>
      </w:r>
      <w:r>
        <w:rPr/>
        <w:t>continuing</w:t>
      </w:r>
      <w:r>
        <w:rPr>
          <w:spacing w:val="-13"/>
        </w:rPr>
        <w:t> </w:t>
      </w:r>
      <w:r>
        <w:rPr/>
        <w:t>through the end of the contractual service term. Over-usage fees, and fees billed based on the actual number of transactions from which </w:t>
      </w:r>
      <w:r>
        <w:rPr>
          <w:spacing w:val="-2"/>
        </w:rPr>
        <w:t>we</w:t>
      </w:r>
      <w:r>
        <w:rPr>
          <w:spacing w:val="-5"/>
        </w:rPr>
        <w:t> </w:t>
      </w:r>
      <w:r>
        <w:rPr>
          <w:spacing w:val="-2"/>
        </w:rPr>
        <w:t>capture</w:t>
      </w:r>
      <w:r>
        <w:rPr>
          <w:spacing w:val="-5"/>
        </w:rPr>
        <w:t> </w:t>
      </w:r>
      <w:r>
        <w:rPr>
          <w:spacing w:val="-2"/>
        </w:rPr>
        <w:t>data,</w:t>
      </w:r>
      <w:r>
        <w:rPr>
          <w:spacing w:val="-5"/>
        </w:rPr>
        <w:t> </w:t>
      </w:r>
      <w:r>
        <w:rPr>
          <w:spacing w:val="-2"/>
        </w:rPr>
        <w:t>are</w:t>
      </w:r>
      <w:r>
        <w:rPr>
          <w:spacing w:val="-5"/>
        </w:rPr>
        <w:t> </w:t>
      </w:r>
      <w:r>
        <w:rPr>
          <w:spacing w:val="-2"/>
        </w:rPr>
        <w:t>billed</w:t>
      </w:r>
      <w:r>
        <w:rPr>
          <w:spacing w:val="-5"/>
        </w:rPr>
        <w:t> </w:t>
      </w:r>
      <w:r>
        <w:rPr>
          <w:spacing w:val="-2"/>
        </w:rPr>
        <w:t>in</w:t>
      </w:r>
      <w:r>
        <w:rPr>
          <w:spacing w:val="-5"/>
        </w:rPr>
        <w:t> </w:t>
      </w:r>
      <w:r>
        <w:rPr>
          <w:spacing w:val="-2"/>
        </w:rPr>
        <w:t>accordance</w:t>
      </w:r>
      <w:r>
        <w:rPr>
          <w:spacing w:val="-5"/>
        </w:rPr>
        <w:t> </w:t>
      </w:r>
      <w:r>
        <w:rPr>
          <w:spacing w:val="-2"/>
        </w:rPr>
        <w:t>with</w:t>
      </w:r>
      <w:r>
        <w:rPr>
          <w:spacing w:val="-5"/>
        </w:rPr>
        <w:t> </w:t>
      </w:r>
      <w:r>
        <w:rPr>
          <w:spacing w:val="-2"/>
        </w:rPr>
        <w:t>contract</w:t>
      </w:r>
      <w:r>
        <w:rPr>
          <w:spacing w:val="-5"/>
        </w:rPr>
        <w:t> </w:t>
      </w:r>
      <w:r>
        <w:rPr>
          <w:spacing w:val="-2"/>
        </w:rPr>
        <w:t>terms</w:t>
      </w:r>
      <w:r>
        <w:rPr>
          <w:spacing w:val="-5"/>
        </w:rPr>
        <w:t> </w:t>
      </w:r>
      <w:r>
        <w:rPr>
          <w:spacing w:val="-2"/>
        </w:rPr>
        <w:t>as</w:t>
      </w:r>
      <w:r>
        <w:rPr>
          <w:spacing w:val="-5"/>
        </w:rPr>
        <w:t> </w:t>
      </w:r>
      <w:r>
        <w:rPr>
          <w:spacing w:val="-2"/>
        </w:rPr>
        <w:t>these</w:t>
      </w:r>
      <w:r>
        <w:rPr>
          <w:spacing w:val="-5"/>
        </w:rPr>
        <w:t> </w:t>
      </w:r>
      <w:r>
        <w:rPr>
          <w:spacing w:val="-2"/>
        </w:rPr>
        <w:t>fees</w:t>
      </w:r>
      <w:r>
        <w:rPr>
          <w:spacing w:val="-5"/>
        </w:rPr>
        <w:t> </w:t>
      </w:r>
      <w:r>
        <w:rPr>
          <w:spacing w:val="-2"/>
        </w:rPr>
        <w:t>are</w:t>
      </w:r>
      <w:r>
        <w:rPr>
          <w:spacing w:val="-5"/>
        </w:rPr>
        <w:t> </w:t>
      </w:r>
      <w:r>
        <w:rPr>
          <w:spacing w:val="-2"/>
        </w:rPr>
        <w:t>incurred.</w:t>
      </w:r>
      <w:r>
        <w:rPr>
          <w:spacing w:val="-9"/>
        </w:rPr>
        <w:t> </w:t>
      </w:r>
      <w:r>
        <w:rPr>
          <w:spacing w:val="-2"/>
        </w:rPr>
        <w:t>We</w:t>
      </w:r>
      <w:r>
        <w:rPr>
          <w:spacing w:val="-5"/>
        </w:rPr>
        <w:t> </w:t>
      </w:r>
      <w:r>
        <w:rPr>
          <w:spacing w:val="-2"/>
        </w:rPr>
        <w:t>record</w:t>
      </w:r>
      <w:r>
        <w:rPr>
          <w:spacing w:val="-5"/>
        </w:rPr>
        <w:t> </w:t>
      </w:r>
      <w:r>
        <w:rPr>
          <w:spacing w:val="-2"/>
        </w:rPr>
        <w:t>amounts</w:t>
      </w:r>
      <w:r>
        <w:rPr>
          <w:spacing w:val="-5"/>
        </w:rPr>
        <w:t> </w:t>
      </w:r>
      <w:r>
        <w:rPr>
          <w:spacing w:val="-2"/>
        </w:rPr>
        <w:t>that</w:t>
      </w:r>
      <w:r>
        <w:rPr>
          <w:spacing w:val="-5"/>
        </w:rPr>
        <w:t> </w:t>
      </w:r>
      <w:r>
        <w:rPr>
          <w:spacing w:val="-2"/>
        </w:rPr>
        <w:t>have</w:t>
      </w:r>
      <w:r>
        <w:rPr>
          <w:spacing w:val="-5"/>
        </w:rPr>
        <w:t> </w:t>
      </w:r>
      <w:r>
        <w:rPr>
          <w:spacing w:val="-2"/>
        </w:rPr>
        <w:t>been</w:t>
      </w:r>
      <w:r>
        <w:rPr>
          <w:spacing w:val="-5"/>
        </w:rPr>
        <w:t> </w:t>
      </w:r>
      <w:r>
        <w:rPr>
          <w:spacing w:val="-2"/>
        </w:rPr>
        <w:t>invoiced </w:t>
      </w:r>
      <w:r>
        <w:rPr/>
        <w:t>in</w:t>
      </w:r>
      <w:r>
        <w:rPr>
          <w:spacing w:val="-5"/>
        </w:rPr>
        <w:t> </w:t>
      </w:r>
      <w:r>
        <w:rPr/>
        <w:t>accounts</w:t>
      </w:r>
      <w:r>
        <w:rPr>
          <w:spacing w:val="-4"/>
        </w:rPr>
        <w:t> </w:t>
      </w:r>
      <w:r>
        <w:rPr/>
        <w:t>receivable</w:t>
      </w:r>
      <w:r>
        <w:rPr>
          <w:spacing w:val="-6"/>
        </w:rPr>
        <w:t> </w:t>
      </w:r>
      <w:r>
        <w:rPr/>
        <w:t>and</w:t>
      </w:r>
      <w:r>
        <w:rPr>
          <w:spacing w:val="-4"/>
        </w:rPr>
        <w:t> </w:t>
      </w:r>
      <w:r>
        <w:rPr/>
        <w:t>in</w:t>
      </w:r>
      <w:r>
        <w:rPr>
          <w:spacing w:val="-4"/>
        </w:rPr>
        <w:t> </w:t>
      </w:r>
      <w:r>
        <w:rPr/>
        <w:t>deferred</w:t>
      </w:r>
      <w:r>
        <w:rPr>
          <w:spacing w:val="-5"/>
        </w:rPr>
        <w:t> </w:t>
      </w:r>
      <w:r>
        <w:rPr/>
        <w:t>revenue</w:t>
      </w:r>
      <w:r>
        <w:rPr>
          <w:spacing w:val="-4"/>
        </w:rPr>
        <w:t> </w:t>
      </w:r>
      <w:r>
        <w:rPr/>
        <w:t>or</w:t>
      </w:r>
      <w:r>
        <w:rPr>
          <w:spacing w:val="-5"/>
        </w:rPr>
        <w:t> </w:t>
      </w:r>
      <w:r>
        <w:rPr/>
        <w:t>revenue,</w:t>
      </w:r>
      <w:r>
        <w:rPr>
          <w:spacing w:val="-4"/>
        </w:rPr>
        <w:t> </w:t>
      </w:r>
      <w:r>
        <w:rPr/>
        <w:t>depending</w:t>
      </w:r>
      <w:r>
        <w:rPr>
          <w:spacing w:val="-4"/>
        </w:rPr>
        <w:t> </w:t>
      </w:r>
      <w:r>
        <w:rPr/>
        <w:t>on</w:t>
      </w:r>
      <w:r>
        <w:rPr>
          <w:spacing w:val="-5"/>
        </w:rPr>
        <w:t> </w:t>
      </w:r>
      <w:r>
        <w:rPr/>
        <w:t>whether</w:t>
      </w:r>
      <w:r>
        <w:rPr>
          <w:spacing w:val="-4"/>
        </w:rPr>
        <w:t> </w:t>
      </w:r>
      <w:r>
        <w:rPr/>
        <w:t>the</w:t>
      </w:r>
      <w:r>
        <w:rPr>
          <w:spacing w:val="-5"/>
        </w:rPr>
        <w:t> </w:t>
      </w:r>
      <w:r>
        <w:rPr/>
        <w:t>revenue</w:t>
      </w:r>
      <w:r>
        <w:rPr>
          <w:spacing w:val="-4"/>
        </w:rPr>
        <w:t> </w:t>
      </w:r>
      <w:r>
        <w:rPr/>
        <w:t>recognition</w:t>
      </w:r>
      <w:r>
        <w:rPr>
          <w:spacing w:val="-4"/>
        </w:rPr>
        <w:t> </w:t>
      </w:r>
      <w:r>
        <w:rPr/>
        <w:t>criteria</w:t>
      </w:r>
      <w:r>
        <w:rPr>
          <w:spacing w:val="-5"/>
        </w:rPr>
        <w:t> </w:t>
      </w:r>
      <w:r>
        <w:rPr/>
        <w:t>have</w:t>
      </w:r>
      <w:r>
        <w:rPr>
          <w:spacing w:val="-4"/>
        </w:rPr>
        <w:t> </w:t>
      </w:r>
      <w:r>
        <w:rPr/>
        <w:t>been</w:t>
      </w:r>
      <w:r>
        <w:rPr>
          <w:spacing w:val="-4"/>
        </w:rPr>
        <w:t> met.</w:t>
      </w:r>
    </w:p>
    <w:p>
      <w:pPr>
        <w:pStyle w:val="BodyText"/>
        <w:spacing w:line="249" w:lineRule="auto" w:before="184"/>
        <w:ind w:left="220" w:right="257" w:firstLine="540"/>
        <w:jc w:val="both"/>
      </w:pPr>
      <w:r>
        <w:rPr/>
        <w:t>Our</w:t>
      </w:r>
      <w:r>
        <w:rPr>
          <w:spacing w:val="-12"/>
        </w:rPr>
        <w:t> </w:t>
      </w:r>
      <w:r>
        <w:rPr/>
        <w:t>consulting</w:t>
      </w:r>
      <w:r>
        <w:rPr>
          <w:spacing w:val="-12"/>
        </w:rPr>
        <w:t> </w:t>
      </w:r>
      <w:r>
        <w:rPr/>
        <w:t>revenue</w:t>
      </w:r>
      <w:r>
        <w:rPr>
          <w:spacing w:val="-13"/>
        </w:rPr>
        <w:t> </w:t>
      </w:r>
      <w:r>
        <w:rPr/>
        <w:t>is</w:t>
      </w:r>
      <w:r>
        <w:rPr>
          <w:spacing w:val="-12"/>
        </w:rPr>
        <w:t> </w:t>
      </w:r>
      <w:r>
        <w:rPr/>
        <w:t>recognized</w:t>
      </w:r>
      <w:r>
        <w:rPr>
          <w:spacing w:val="-12"/>
        </w:rPr>
        <w:t> </w:t>
      </w:r>
      <w:r>
        <w:rPr/>
        <w:t>on</w:t>
      </w:r>
      <w:r>
        <w:rPr>
          <w:spacing w:val="-12"/>
        </w:rPr>
        <w:t> </w:t>
      </w:r>
      <w:r>
        <w:rPr/>
        <w:t>a</w:t>
      </w:r>
      <w:r>
        <w:rPr>
          <w:spacing w:val="-12"/>
        </w:rPr>
        <w:t> </w:t>
      </w:r>
      <w:r>
        <w:rPr/>
        <w:t>time</w:t>
      </w:r>
      <w:r>
        <w:rPr>
          <w:spacing w:val="-12"/>
        </w:rPr>
        <w:t> </w:t>
      </w:r>
      <w:r>
        <w:rPr/>
        <w:t>and</w:t>
      </w:r>
      <w:r>
        <w:rPr>
          <w:spacing w:val="-12"/>
        </w:rPr>
        <w:t> </w:t>
      </w:r>
      <w:r>
        <w:rPr/>
        <w:t>materials</w:t>
      </w:r>
      <w:r>
        <w:rPr>
          <w:spacing w:val="-12"/>
        </w:rPr>
        <w:t> </w:t>
      </w:r>
      <w:r>
        <w:rPr/>
        <w:t>basis</w:t>
      </w:r>
      <w:r>
        <w:rPr>
          <w:spacing w:val="-12"/>
        </w:rPr>
        <w:t> </w:t>
      </w:r>
      <w:r>
        <w:rPr/>
        <w:t>and</w:t>
      </w:r>
      <w:r>
        <w:rPr>
          <w:spacing w:val="-12"/>
        </w:rPr>
        <w:t> </w:t>
      </w:r>
      <w:r>
        <w:rPr/>
        <w:t>is</w:t>
      </w:r>
      <w:r>
        <w:rPr>
          <w:spacing w:val="-12"/>
        </w:rPr>
        <w:t> </w:t>
      </w:r>
      <w:r>
        <w:rPr/>
        <w:t>measured</w:t>
      </w:r>
      <w:r>
        <w:rPr>
          <w:spacing w:val="-12"/>
        </w:rPr>
        <w:t> </w:t>
      </w:r>
      <w:r>
        <w:rPr/>
        <w:t>monthly</w:t>
      </w:r>
      <w:r>
        <w:rPr>
          <w:spacing w:val="-12"/>
        </w:rPr>
        <w:t> </w:t>
      </w:r>
      <w:r>
        <w:rPr/>
        <w:t>based</w:t>
      </w:r>
      <w:r>
        <w:rPr>
          <w:spacing w:val="-12"/>
        </w:rPr>
        <w:t> </w:t>
      </w:r>
      <w:r>
        <w:rPr/>
        <w:t>on</w:t>
      </w:r>
      <w:r>
        <w:rPr>
          <w:spacing w:val="-12"/>
        </w:rPr>
        <w:t> </w:t>
      </w:r>
      <w:r>
        <w:rPr/>
        <w:t>input</w:t>
      </w:r>
      <w:r>
        <w:rPr>
          <w:spacing w:val="-13"/>
        </w:rPr>
        <w:t> </w:t>
      </w:r>
      <w:r>
        <w:rPr/>
        <w:t>measures,</w:t>
      </w:r>
      <w:r>
        <w:rPr>
          <w:spacing w:val="-12"/>
        </w:rPr>
        <w:t> </w:t>
      </w:r>
      <w:r>
        <w:rPr/>
        <w:t>such as</w:t>
      </w:r>
      <w:r>
        <w:rPr>
          <w:spacing w:val="-5"/>
        </w:rPr>
        <w:t> </w:t>
      </w:r>
      <w:r>
        <w:rPr/>
        <w:t>on</w:t>
      </w:r>
      <w:r>
        <w:rPr>
          <w:spacing w:val="-5"/>
        </w:rPr>
        <w:t> </w:t>
      </w:r>
      <w:r>
        <w:rPr/>
        <w:t>hours</w:t>
      </w:r>
      <w:r>
        <w:rPr>
          <w:spacing w:val="-5"/>
        </w:rPr>
        <w:t> </w:t>
      </w:r>
      <w:r>
        <w:rPr/>
        <w:t>incurred</w:t>
      </w:r>
      <w:r>
        <w:rPr>
          <w:spacing w:val="-5"/>
        </w:rPr>
        <w:t> </w:t>
      </w:r>
      <w:r>
        <w:rPr/>
        <w:t>to</w:t>
      </w:r>
      <w:r>
        <w:rPr>
          <w:spacing w:val="-5"/>
        </w:rPr>
        <w:t> </w:t>
      </w:r>
      <w:r>
        <w:rPr/>
        <w:t>date</w:t>
      </w:r>
      <w:r>
        <w:rPr>
          <w:spacing w:val="-5"/>
        </w:rPr>
        <w:t> </w:t>
      </w:r>
      <w:r>
        <w:rPr/>
        <w:t>compared</w:t>
      </w:r>
      <w:r>
        <w:rPr>
          <w:spacing w:val="-5"/>
        </w:rPr>
        <w:t> </w:t>
      </w:r>
      <w:r>
        <w:rPr/>
        <w:t>to</w:t>
      </w:r>
      <w:r>
        <w:rPr>
          <w:spacing w:val="-5"/>
        </w:rPr>
        <w:t> </w:t>
      </w:r>
      <w:r>
        <w:rPr/>
        <w:t>total</w:t>
      </w:r>
      <w:r>
        <w:rPr>
          <w:spacing w:val="-5"/>
        </w:rPr>
        <w:t> </w:t>
      </w:r>
      <w:r>
        <w:rPr/>
        <w:t>estimated</w:t>
      </w:r>
      <w:r>
        <w:rPr>
          <w:spacing w:val="-5"/>
        </w:rPr>
        <w:t> </w:t>
      </w:r>
      <w:r>
        <w:rPr/>
        <w:t>hours</w:t>
      </w:r>
      <w:r>
        <w:rPr>
          <w:spacing w:val="-5"/>
        </w:rPr>
        <w:t> </w:t>
      </w:r>
      <w:r>
        <w:rPr/>
        <w:t>to</w:t>
      </w:r>
      <w:r>
        <w:rPr>
          <w:spacing w:val="-5"/>
        </w:rPr>
        <w:t> </w:t>
      </w:r>
      <w:r>
        <w:rPr/>
        <w:t>complete,</w:t>
      </w:r>
      <w:r>
        <w:rPr>
          <w:spacing w:val="-5"/>
        </w:rPr>
        <w:t> </w:t>
      </w:r>
      <w:r>
        <w:rPr/>
        <w:t>with</w:t>
      </w:r>
      <w:r>
        <w:rPr>
          <w:spacing w:val="-5"/>
        </w:rPr>
        <w:t> </w:t>
      </w:r>
      <w:r>
        <w:rPr/>
        <w:t>consideration</w:t>
      </w:r>
      <w:r>
        <w:rPr>
          <w:spacing w:val="-5"/>
        </w:rPr>
        <w:t> </w:t>
      </w:r>
      <w:r>
        <w:rPr/>
        <w:t>given</w:t>
      </w:r>
      <w:r>
        <w:rPr>
          <w:spacing w:val="-5"/>
        </w:rPr>
        <w:t> </w:t>
      </w:r>
      <w:r>
        <w:rPr/>
        <w:t>to</w:t>
      </w:r>
      <w:r>
        <w:rPr>
          <w:spacing w:val="-5"/>
        </w:rPr>
        <w:t> </w:t>
      </w:r>
      <w:r>
        <w:rPr/>
        <w:t>output</w:t>
      </w:r>
      <w:r>
        <w:rPr>
          <w:spacing w:val="-5"/>
        </w:rPr>
        <w:t> </w:t>
      </w:r>
      <w:r>
        <w:rPr/>
        <w:t>measures,</w:t>
      </w:r>
      <w:r>
        <w:rPr>
          <w:spacing w:val="-5"/>
        </w:rPr>
        <w:t> </w:t>
      </w:r>
      <w:r>
        <w:rPr/>
        <w:t>such</w:t>
      </w:r>
      <w:r>
        <w:rPr>
          <w:spacing w:val="-5"/>
        </w:rPr>
        <w:t> </w:t>
      </w:r>
      <w:r>
        <w:rPr/>
        <w:t>as contract milestones, when applicable.</w:t>
      </w:r>
    </w:p>
    <w:p>
      <w:pPr>
        <w:spacing w:after="0" w:line="249" w:lineRule="auto"/>
        <w:jc w:val="both"/>
        <w:sectPr>
          <w:pgSz w:w="12240" w:h="15840"/>
          <w:pgMar w:header="210" w:footer="579" w:top="420" w:bottom="800" w:left="780" w:right="740"/>
        </w:sectPr>
      </w:pPr>
    </w:p>
    <w:p>
      <w:pPr>
        <w:pStyle w:val="BodyText"/>
        <w:spacing w:before="147"/>
      </w:pPr>
    </w:p>
    <w:p>
      <w:pPr>
        <w:pStyle w:val="Heading2"/>
      </w:pPr>
      <w:r>
        <w:rPr/>
        <w:t>Accounting for</w:t>
      </w:r>
      <w:r>
        <w:rPr>
          <w:spacing w:val="-4"/>
        </w:rPr>
        <w:t> </w:t>
      </w:r>
      <w:r>
        <w:rPr/>
        <w:t>Income</w:t>
      </w:r>
      <w:r>
        <w:rPr>
          <w:spacing w:val="-4"/>
        </w:rPr>
        <w:t> </w:t>
      </w:r>
      <w:r>
        <w:rPr>
          <w:spacing w:val="-2"/>
        </w:rPr>
        <w:t>Taxes</w:t>
      </w:r>
    </w:p>
    <w:p>
      <w:pPr>
        <w:pStyle w:val="BodyText"/>
        <w:spacing w:line="249" w:lineRule="auto" w:before="190"/>
        <w:ind w:left="220" w:right="257" w:firstLine="540"/>
        <w:jc w:val="both"/>
      </w:pPr>
      <w:r>
        <w:rPr/>
        <w:t>We</w:t>
      </w:r>
      <w:r>
        <w:rPr>
          <w:spacing w:val="-13"/>
        </w:rPr>
        <w:t> </w:t>
      </w:r>
      <w:r>
        <w:rPr/>
        <w:t>use</w:t>
      </w:r>
      <w:r>
        <w:rPr>
          <w:spacing w:val="-12"/>
        </w:rPr>
        <w:t> </w:t>
      </w:r>
      <w:r>
        <w:rPr/>
        <w:t>the</w:t>
      </w:r>
      <w:r>
        <w:rPr>
          <w:spacing w:val="-13"/>
        </w:rPr>
        <w:t> </w:t>
      </w:r>
      <w:r>
        <w:rPr/>
        <w:t>asset</w:t>
      </w:r>
      <w:r>
        <w:rPr>
          <w:spacing w:val="-12"/>
        </w:rPr>
        <w:t> </w:t>
      </w:r>
      <w:r>
        <w:rPr/>
        <w:t>and</w:t>
      </w:r>
      <w:r>
        <w:rPr>
          <w:spacing w:val="-13"/>
        </w:rPr>
        <w:t> </w:t>
      </w:r>
      <w:r>
        <w:rPr/>
        <w:t>liability</w:t>
      </w:r>
      <w:r>
        <w:rPr>
          <w:spacing w:val="-12"/>
        </w:rPr>
        <w:t> </w:t>
      </w:r>
      <w:r>
        <w:rPr/>
        <w:t>method</w:t>
      </w:r>
      <w:r>
        <w:rPr>
          <w:spacing w:val="-13"/>
        </w:rPr>
        <w:t> </w:t>
      </w:r>
      <w:r>
        <w:rPr/>
        <w:t>of</w:t>
      </w:r>
      <w:r>
        <w:rPr>
          <w:spacing w:val="-12"/>
        </w:rPr>
        <w:t> </w:t>
      </w:r>
      <w:r>
        <w:rPr/>
        <w:t>accounting</w:t>
      </w:r>
      <w:r>
        <w:rPr>
          <w:spacing w:val="-13"/>
        </w:rPr>
        <w:t> </w:t>
      </w:r>
      <w:r>
        <w:rPr/>
        <w:t>for</w:t>
      </w:r>
      <w:r>
        <w:rPr>
          <w:spacing w:val="-12"/>
        </w:rPr>
        <w:t> </w:t>
      </w:r>
      <w:r>
        <w:rPr/>
        <w:t>income</w:t>
      </w:r>
      <w:r>
        <w:rPr>
          <w:spacing w:val="-13"/>
        </w:rPr>
        <w:t> </w:t>
      </w:r>
      <w:r>
        <w:rPr/>
        <w:t>taxes.</w:t>
      </w:r>
      <w:r>
        <w:rPr>
          <w:spacing w:val="-12"/>
        </w:rPr>
        <w:t> </w:t>
      </w:r>
      <w:r>
        <w:rPr/>
        <w:t>Under</w:t>
      </w:r>
      <w:r>
        <w:rPr>
          <w:spacing w:val="-13"/>
        </w:rPr>
        <w:t> </w:t>
      </w:r>
      <w:r>
        <w:rPr/>
        <w:t>this</w:t>
      </w:r>
      <w:r>
        <w:rPr>
          <w:spacing w:val="-12"/>
        </w:rPr>
        <w:t> </w:t>
      </w:r>
      <w:r>
        <w:rPr/>
        <w:t>method,</w:t>
      </w:r>
      <w:r>
        <w:rPr>
          <w:spacing w:val="-13"/>
        </w:rPr>
        <w:t> </w:t>
      </w:r>
      <w:r>
        <w:rPr/>
        <w:t>income</w:t>
      </w:r>
      <w:r>
        <w:rPr>
          <w:spacing w:val="-12"/>
        </w:rPr>
        <w:t> </w:t>
      </w:r>
      <w:r>
        <w:rPr/>
        <w:t>tax</w:t>
      </w:r>
      <w:r>
        <w:rPr>
          <w:spacing w:val="-13"/>
        </w:rPr>
        <w:t> </w:t>
      </w:r>
      <w:r>
        <w:rPr/>
        <w:t>expense</w:t>
      </w:r>
      <w:r>
        <w:rPr>
          <w:spacing w:val="-12"/>
        </w:rPr>
        <w:t> </w:t>
      </w:r>
      <w:r>
        <w:rPr/>
        <w:t>is</w:t>
      </w:r>
      <w:r>
        <w:rPr>
          <w:spacing w:val="-13"/>
        </w:rPr>
        <w:t> </w:t>
      </w:r>
      <w:r>
        <w:rPr/>
        <w:t>recognized for the amount of taxes payable or refundable for the current year. In addition, deferred tax assets and liabilities are recognized for the expected future tax consequences of temporary differences between the financial reporting and tax bases of assets and liabilities,</w:t>
      </w:r>
      <w:r>
        <w:rPr>
          <w:spacing w:val="-2"/>
        </w:rPr>
        <w:t> </w:t>
      </w:r>
      <w:r>
        <w:rPr/>
        <w:t>and</w:t>
      </w:r>
      <w:r>
        <w:rPr>
          <w:spacing w:val="-2"/>
        </w:rPr>
        <w:t> </w:t>
      </w:r>
      <w:r>
        <w:rPr/>
        <w:t>for</w:t>
      </w:r>
      <w:r>
        <w:rPr>
          <w:spacing w:val="-2"/>
        </w:rPr>
        <w:t> </w:t>
      </w:r>
      <w:r>
        <w:rPr/>
        <w:t>operating</w:t>
      </w:r>
      <w:r>
        <w:rPr>
          <w:spacing w:val="-2"/>
        </w:rPr>
        <w:t> </w:t>
      </w:r>
      <w:r>
        <w:rPr/>
        <w:t>losses</w:t>
      </w:r>
      <w:r>
        <w:rPr>
          <w:spacing w:val="-2"/>
        </w:rPr>
        <w:t> </w:t>
      </w:r>
      <w:r>
        <w:rPr/>
        <w:t>and</w:t>
      </w:r>
      <w:r>
        <w:rPr>
          <w:spacing w:val="-2"/>
        </w:rPr>
        <w:t> </w:t>
      </w:r>
      <w:r>
        <w:rPr/>
        <w:t>tax</w:t>
      </w:r>
      <w:r>
        <w:rPr>
          <w:spacing w:val="-2"/>
        </w:rPr>
        <w:t> </w:t>
      </w:r>
      <w:r>
        <w:rPr/>
        <w:t>credit</w:t>
      </w:r>
      <w:r>
        <w:rPr>
          <w:spacing w:val="-2"/>
        </w:rPr>
        <w:t> </w:t>
      </w:r>
      <w:r>
        <w:rPr/>
        <w:t>carryforwards.</w:t>
      </w:r>
      <w:r>
        <w:rPr>
          <w:spacing w:val="-2"/>
        </w:rPr>
        <w:t> </w:t>
      </w:r>
      <w:r>
        <w:rPr/>
        <w:t>Management</w:t>
      </w:r>
      <w:r>
        <w:rPr>
          <w:spacing w:val="-2"/>
        </w:rPr>
        <w:t> </w:t>
      </w:r>
      <w:r>
        <w:rPr/>
        <w:t>must</w:t>
      </w:r>
      <w:r>
        <w:rPr>
          <w:spacing w:val="-2"/>
        </w:rPr>
        <w:t> </w:t>
      </w:r>
      <w:r>
        <w:rPr/>
        <w:t>make</w:t>
      </w:r>
      <w:r>
        <w:rPr>
          <w:spacing w:val="-2"/>
        </w:rPr>
        <w:t> </w:t>
      </w:r>
      <w:r>
        <w:rPr/>
        <w:t>assumptions,</w:t>
      </w:r>
      <w:r>
        <w:rPr>
          <w:spacing w:val="-2"/>
        </w:rPr>
        <w:t> </w:t>
      </w:r>
      <w:r>
        <w:rPr/>
        <w:t>judgments</w:t>
      </w:r>
      <w:r>
        <w:rPr>
          <w:spacing w:val="-2"/>
        </w:rPr>
        <w:t> </w:t>
      </w:r>
      <w:r>
        <w:rPr/>
        <w:t>and</w:t>
      </w:r>
      <w:r>
        <w:rPr>
          <w:spacing w:val="-2"/>
        </w:rPr>
        <w:t> </w:t>
      </w:r>
      <w:r>
        <w:rPr/>
        <w:t>estimates to determine our current provision for income taxes and also our deferred tax assets and liabilities and any valuation allowance to be recorded against a deferred tax asset.</w:t>
      </w:r>
    </w:p>
    <w:p>
      <w:pPr>
        <w:pStyle w:val="BodyText"/>
        <w:spacing w:line="249" w:lineRule="auto" w:before="185"/>
        <w:ind w:left="220" w:right="257" w:firstLine="540"/>
        <w:jc w:val="both"/>
      </w:pPr>
      <w:r>
        <w:rPr/>
        <w:t>Our</w:t>
      </w:r>
      <w:r>
        <w:rPr>
          <w:spacing w:val="-2"/>
        </w:rPr>
        <w:t> </w:t>
      </w:r>
      <w:r>
        <w:rPr/>
        <w:t>assumptions,</w:t>
      </w:r>
      <w:r>
        <w:rPr>
          <w:spacing w:val="-2"/>
        </w:rPr>
        <w:t> </w:t>
      </w:r>
      <w:r>
        <w:rPr/>
        <w:t>judgments</w:t>
      </w:r>
      <w:r>
        <w:rPr>
          <w:spacing w:val="-2"/>
        </w:rPr>
        <w:t> </w:t>
      </w:r>
      <w:r>
        <w:rPr/>
        <w:t>and</w:t>
      </w:r>
      <w:r>
        <w:rPr>
          <w:spacing w:val="-2"/>
        </w:rPr>
        <w:t> </w:t>
      </w:r>
      <w:r>
        <w:rPr/>
        <w:t>estimates</w:t>
      </w:r>
      <w:r>
        <w:rPr>
          <w:spacing w:val="-2"/>
        </w:rPr>
        <w:t> </w:t>
      </w:r>
      <w:r>
        <w:rPr/>
        <w:t>relative</w:t>
      </w:r>
      <w:r>
        <w:rPr>
          <w:spacing w:val="-3"/>
        </w:rPr>
        <w:t> </w:t>
      </w:r>
      <w:r>
        <w:rPr/>
        <w:t>to</w:t>
      </w:r>
      <w:r>
        <w:rPr>
          <w:spacing w:val="-2"/>
        </w:rPr>
        <w:t> </w:t>
      </w:r>
      <w:r>
        <w:rPr/>
        <w:t>the</w:t>
      </w:r>
      <w:r>
        <w:rPr>
          <w:spacing w:val="-2"/>
        </w:rPr>
        <w:t> </w:t>
      </w:r>
      <w:r>
        <w:rPr/>
        <w:t>current</w:t>
      </w:r>
      <w:r>
        <w:rPr>
          <w:spacing w:val="-2"/>
        </w:rPr>
        <w:t> </w:t>
      </w:r>
      <w:r>
        <w:rPr/>
        <w:t>provision</w:t>
      </w:r>
      <w:r>
        <w:rPr>
          <w:spacing w:val="-2"/>
        </w:rPr>
        <w:t> </w:t>
      </w:r>
      <w:r>
        <w:rPr/>
        <w:t>for</w:t>
      </w:r>
      <w:r>
        <w:rPr>
          <w:spacing w:val="-2"/>
        </w:rPr>
        <w:t> </w:t>
      </w:r>
      <w:r>
        <w:rPr/>
        <w:t>income</w:t>
      </w:r>
      <w:r>
        <w:rPr>
          <w:spacing w:val="-3"/>
        </w:rPr>
        <w:t> </w:t>
      </w:r>
      <w:r>
        <w:rPr/>
        <w:t>taxes</w:t>
      </w:r>
      <w:r>
        <w:rPr>
          <w:spacing w:val="-2"/>
        </w:rPr>
        <w:t> </w:t>
      </w:r>
      <w:r>
        <w:rPr/>
        <w:t>take</w:t>
      </w:r>
      <w:r>
        <w:rPr>
          <w:spacing w:val="-2"/>
        </w:rPr>
        <w:t> </w:t>
      </w:r>
      <w:r>
        <w:rPr/>
        <w:t>into</w:t>
      </w:r>
      <w:r>
        <w:rPr>
          <w:spacing w:val="-2"/>
        </w:rPr>
        <w:t> </w:t>
      </w:r>
      <w:r>
        <w:rPr/>
        <w:t>account</w:t>
      </w:r>
      <w:r>
        <w:rPr>
          <w:spacing w:val="-3"/>
        </w:rPr>
        <w:t> </w:t>
      </w:r>
      <w:r>
        <w:rPr/>
        <w:t>current</w:t>
      </w:r>
      <w:r>
        <w:rPr>
          <w:spacing w:val="-2"/>
        </w:rPr>
        <w:t> </w:t>
      </w:r>
      <w:r>
        <w:rPr/>
        <w:t>tax laws,</w:t>
      </w:r>
      <w:r>
        <w:rPr>
          <w:spacing w:val="-8"/>
        </w:rPr>
        <w:t> </w:t>
      </w:r>
      <w:r>
        <w:rPr/>
        <w:t>our</w:t>
      </w:r>
      <w:r>
        <w:rPr>
          <w:spacing w:val="-8"/>
        </w:rPr>
        <w:t> </w:t>
      </w:r>
      <w:r>
        <w:rPr/>
        <w:t>interpretation</w:t>
      </w:r>
      <w:r>
        <w:rPr>
          <w:spacing w:val="-8"/>
        </w:rPr>
        <w:t> </w:t>
      </w:r>
      <w:r>
        <w:rPr/>
        <w:t>of</w:t>
      </w:r>
      <w:r>
        <w:rPr>
          <w:spacing w:val="-8"/>
        </w:rPr>
        <w:t> </w:t>
      </w:r>
      <w:r>
        <w:rPr/>
        <w:t>current</w:t>
      </w:r>
      <w:r>
        <w:rPr>
          <w:spacing w:val="-9"/>
        </w:rPr>
        <w:t> </w:t>
      </w:r>
      <w:r>
        <w:rPr/>
        <w:t>tax</w:t>
      </w:r>
      <w:r>
        <w:rPr>
          <w:spacing w:val="-8"/>
        </w:rPr>
        <w:t> </w:t>
      </w:r>
      <w:r>
        <w:rPr/>
        <w:t>laws</w:t>
      </w:r>
      <w:r>
        <w:rPr>
          <w:spacing w:val="-8"/>
        </w:rPr>
        <w:t> </w:t>
      </w:r>
      <w:r>
        <w:rPr/>
        <w:t>and</w:t>
      </w:r>
      <w:r>
        <w:rPr>
          <w:spacing w:val="-8"/>
        </w:rPr>
        <w:t> </w:t>
      </w:r>
      <w:r>
        <w:rPr/>
        <w:t>possible</w:t>
      </w:r>
      <w:r>
        <w:rPr>
          <w:spacing w:val="-8"/>
        </w:rPr>
        <w:t> </w:t>
      </w:r>
      <w:r>
        <w:rPr/>
        <w:t>outcomes</w:t>
      </w:r>
      <w:r>
        <w:rPr>
          <w:spacing w:val="-8"/>
        </w:rPr>
        <w:t> </w:t>
      </w:r>
      <w:r>
        <w:rPr/>
        <w:t>of</w:t>
      </w:r>
      <w:r>
        <w:rPr>
          <w:spacing w:val="-8"/>
        </w:rPr>
        <w:t> </w:t>
      </w:r>
      <w:r>
        <w:rPr/>
        <w:t>current</w:t>
      </w:r>
      <w:r>
        <w:rPr>
          <w:spacing w:val="-9"/>
        </w:rPr>
        <w:t> </w:t>
      </w:r>
      <w:r>
        <w:rPr/>
        <w:t>and</w:t>
      </w:r>
      <w:r>
        <w:rPr>
          <w:spacing w:val="-8"/>
        </w:rPr>
        <w:t> </w:t>
      </w:r>
      <w:r>
        <w:rPr/>
        <w:t>future</w:t>
      </w:r>
      <w:r>
        <w:rPr>
          <w:spacing w:val="-9"/>
        </w:rPr>
        <w:t> </w:t>
      </w:r>
      <w:r>
        <w:rPr/>
        <w:t>audits</w:t>
      </w:r>
      <w:r>
        <w:rPr>
          <w:spacing w:val="-8"/>
        </w:rPr>
        <w:t> </w:t>
      </w:r>
      <w:r>
        <w:rPr/>
        <w:t>conducted</w:t>
      </w:r>
      <w:r>
        <w:rPr>
          <w:spacing w:val="-8"/>
        </w:rPr>
        <w:t> </w:t>
      </w:r>
      <w:r>
        <w:rPr/>
        <w:t>by</w:t>
      </w:r>
      <w:r>
        <w:rPr>
          <w:spacing w:val="-8"/>
        </w:rPr>
        <w:t> </w:t>
      </w:r>
      <w:r>
        <w:rPr/>
        <w:t>foreign</w:t>
      </w:r>
      <w:r>
        <w:rPr>
          <w:spacing w:val="-8"/>
        </w:rPr>
        <w:t> </w:t>
      </w:r>
      <w:r>
        <w:rPr/>
        <w:t>and</w:t>
      </w:r>
      <w:r>
        <w:rPr>
          <w:spacing w:val="-8"/>
        </w:rPr>
        <w:t> </w:t>
      </w:r>
      <w:r>
        <w:rPr/>
        <w:t>domestic tax authorities.</w:t>
      </w:r>
      <w:r>
        <w:rPr>
          <w:spacing w:val="-1"/>
        </w:rPr>
        <w:t> </w:t>
      </w:r>
      <w:r>
        <w:rPr/>
        <w:t>We have established reserves for income taxes to address potential exposures involving tax positions that could be challenged by tax authorities. In addition, we are subject to the continual examination of our income tax returns by the U.S. Internal</w:t>
      </w:r>
      <w:r>
        <w:rPr>
          <w:spacing w:val="-4"/>
        </w:rPr>
        <w:t> </w:t>
      </w:r>
      <w:r>
        <w:rPr/>
        <w:t>Revenue</w:t>
      </w:r>
      <w:r>
        <w:rPr>
          <w:spacing w:val="-4"/>
        </w:rPr>
        <w:t> </w:t>
      </w:r>
      <w:r>
        <w:rPr/>
        <w:t>Service</w:t>
      </w:r>
      <w:r>
        <w:rPr>
          <w:spacing w:val="-4"/>
        </w:rPr>
        <w:t> </w:t>
      </w:r>
      <w:r>
        <w:rPr/>
        <w:t>(“IRS”)</w:t>
      </w:r>
      <w:r>
        <w:rPr>
          <w:spacing w:val="-4"/>
        </w:rPr>
        <w:t> </w:t>
      </w:r>
      <w:r>
        <w:rPr/>
        <w:t>and</w:t>
      </w:r>
      <w:r>
        <w:rPr>
          <w:spacing w:val="-4"/>
        </w:rPr>
        <w:t> </w:t>
      </w:r>
      <w:r>
        <w:rPr/>
        <w:t>other</w:t>
      </w:r>
      <w:r>
        <w:rPr>
          <w:spacing w:val="-4"/>
        </w:rPr>
        <w:t> </w:t>
      </w:r>
      <w:r>
        <w:rPr/>
        <w:t>domestic</w:t>
      </w:r>
      <w:r>
        <w:rPr>
          <w:spacing w:val="-4"/>
        </w:rPr>
        <w:t> </w:t>
      </w:r>
      <w:r>
        <w:rPr/>
        <w:t>and</w:t>
      </w:r>
      <w:r>
        <w:rPr>
          <w:spacing w:val="-4"/>
        </w:rPr>
        <w:t> </w:t>
      </w:r>
      <w:r>
        <w:rPr/>
        <w:t>foreign</w:t>
      </w:r>
      <w:r>
        <w:rPr>
          <w:spacing w:val="-4"/>
        </w:rPr>
        <w:t> </w:t>
      </w:r>
      <w:r>
        <w:rPr/>
        <w:t>tax</w:t>
      </w:r>
      <w:r>
        <w:rPr>
          <w:spacing w:val="-4"/>
        </w:rPr>
        <w:t> </w:t>
      </w:r>
      <w:r>
        <w:rPr/>
        <w:t>authorities.</w:t>
      </w:r>
      <w:r>
        <w:rPr>
          <w:spacing w:val="-8"/>
        </w:rPr>
        <w:t> </w:t>
      </w:r>
      <w:r>
        <w:rPr/>
        <w:t>We</w:t>
      </w:r>
      <w:r>
        <w:rPr>
          <w:spacing w:val="-4"/>
        </w:rPr>
        <w:t> </w:t>
      </w:r>
      <w:r>
        <w:rPr/>
        <w:t>expect</w:t>
      </w:r>
      <w:r>
        <w:rPr>
          <w:spacing w:val="-4"/>
        </w:rPr>
        <w:t> </w:t>
      </w:r>
      <w:r>
        <w:rPr/>
        <w:t>future</w:t>
      </w:r>
      <w:r>
        <w:rPr>
          <w:spacing w:val="-4"/>
        </w:rPr>
        <w:t> </w:t>
      </w:r>
      <w:r>
        <w:rPr/>
        <w:t>examinations</w:t>
      </w:r>
      <w:r>
        <w:rPr>
          <w:spacing w:val="-4"/>
        </w:rPr>
        <w:t> </w:t>
      </w:r>
      <w:r>
        <w:rPr/>
        <w:t>to</w:t>
      </w:r>
      <w:r>
        <w:rPr>
          <w:spacing w:val="-4"/>
        </w:rPr>
        <w:t> </w:t>
      </w:r>
      <w:r>
        <w:rPr/>
        <w:t>focus</w:t>
      </w:r>
      <w:r>
        <w:rPr>
          <w:spacing w:val="-4"/>
        </w:rPr>
        <w:t> </w:t>
      </w:r>
      <w:r>
        <w:rPr/>
        <w:t>on</w:t>
      </w:r>
      <w:r>
        <w:rPr>
          <w:spacing w:val="-4"/>
        </w:rPr>
        <w:t> </w:t>
      </w:r>
      <w:r>
        <w:rPr/>
        <w:t>our intercompany transfer pricing practices as well as other matters. We regularly assess the likelihood of outcomes resulting from these</w:t>
      </w:r>
      <w:r>
        <w:rPr>
          <w:spacing w:val="-5"/>
        </w:rPr>
        <w:t> </w:t>
      </w:r>
      <w:r>
        <w:rPr/>
        <w:t>examinations</w:t>
      </w:r>
      <w:r>
        <w:rPr>
          <w:spacing w:val="-5"/>
        </w:rPr>
        <w:t> </w:t>
      </w:r>
      <w:r>
        <w:rPr/>
        <w:t>to</w:t>
      </w:r>
      <w:r>
        <w:rPr>
          <w:spacing w:val="-5"/>
        </w:rPr>
        <w:t> </w:t>
      </w:r>
      <w:r>
        <w:rPr/>
        <w:t>determine</w:t>
      </w:r>
      <w:r>
        <w:rPr>
          <w:spacing w:val="-5"/>
        </w:rPr>
        <w:t> </w:t>
      </w:r>
      <w:r>
        <w:rPr/>
        <w:t>the</w:t>
      </w:r>
      <w:r>
        <w:rPr>
          <w:spacing w:val="-5"/>
        </w:rPr>
        <w:t> </w:t>
      </w:r>
      <w:r>
        <w:rPr/>
        <w:t>adequacy</w:t>
      </w:r>
      <w:r>
        <w:rPr>
          <w:spacing w:val="-5"/>
        </w:rPr>
        <w:t> </w:t>
      </w:r>
      <w:r>
        <w:rPr/>
        <w:t>of</w:t>
      </w:r>
      <w:r>
        <w:rPr>
          <w:spacing w:val="-5"/>
        </w:rPr>
        <w:t> </w:t>
      </w:r>
      <w:r>
        <w:rPr/>
        <w:t>our</w:t>
      </w:r>
      <w:r>
        <w:rPr>
          <w:spacing w:val="-5"/>
        </w:rPr>
        <w:t> </w:t>
      </w:r>
      <w:r>
        <w:rPr/>
        <w:t>provision</w:t>
      </w:r>
      <w:r>
        <w:rPr>
          <w:spacing w:val="-5"/>
        </w:rPr>
        <w:t> </w:t>
      </w:r>
      <w:r>
        <w:rPr/>
        <w:t>for</w:t>
      </w:r>
      <w:r>
        <w:rPr>
          <w:spacing w:val="-5"/>
        </w:rPr>
        <w:t> </w:t>
      </w:r>
      <w:r>
        <w:rPr/>
        <w:t>income</w:t>
      </w:r>
      <w:r>
        <w:rPr>
          <w:spacing w:val="-5"/>
        </w:rPr>
        <w:t> </w:t>
      </w:r>
      <w:r>
        <w:rPr/>
        <w:t>taxes</w:t>
      </w:r>
      <w:r>
        <w:rPr>
          <w:spacing w:val="-5"/>
        </w:rPr>
        <w:t> </w:t>
      </w:r>
      <w:r>
        <w:rPr/>
        <w:t>and</w:t>
      </w:r>
      <w:r>
        <w:rPr>
          <w:spacing w:val="-5"/>
        </w:rPr>
        <w:t> </w:t>
      </w:r>
      <w:r>
        <w:rPr/>
        <w:t>have</w:t>
      </w:r>
      <w:r>
        <w:rPr>
          <w:spacing w:val="-5"/>
        </w:rPr>
        <w:t> </w:t>
      </w:r>
      <w:r>
        <w:rPr/>
        <w:t>reserved</w:t>
      </w:r>
      <w:r>
        <w:rPr>
          <w:spacing w:val="-5"/>
        </w:rPr>
        <w:t> </w:t>
      </w:r>
      <w:r>
        <w:rPr/>
        <w:t>for</w:t>
      </w:r>
      <w:r>
        <w:rPr>
          <w:spacing w:val="-5"/>
        </w:rPr>
        <w:t> </w:t>
      </w:r>
      <w:r>
        <w:rPr/>
        <w:t>potential</w:t>
      </w:r>
      <w:r>
        <w:rPr>
          <w:spacing w:val="-5"/>
        </w:rPr>
        <w:t> </w:t>
      </w:r>
      <w:r>
        <w:rPr/>
        <w:t>adjustments</w:t>
      </w:r>
      <w:r>
        <w:rPr>
          <w:spacing w:val="-5"/>
        </w:rPr>
        <w:t> </w:t>
      </w:r>
      <w:r>
        <w:rPr/>
        <w:t>that may</w:t>
      </w:r>
      <w:r>
        <w:rPr>
          <w:spacing w:val="-6"/>
        </w:rPr>
        <w:t> </w:t>
      </w:r>
      <w:r>
        <w:rPr/>
        <w:t>result</w:t>
      </w:r>
      <w:r>
        <w:rPr>
          <w:spacing w:val="-7"/>
        </w:rPr>
        <w:t> </w:t>
      </w:r>
      <w:r>
        <w:rPr/>
        <w:t>from</w:t>
      </w:r>
      <w:r>
        <w:rPr>
          <w:spacing w:val="-7"/>
        </w:rPr>
        <w:t> </w:t>
      </w:r>
      <w:r>
        <w:rPr/>
        <w:t>such</w:t>
      </w:r>
      <w:r>
        <w:rPr>
          <w:spacing w:val="-6"/>
        </w:rPr>
        <w:t> </w:t>
      </w:r>
      <w:r>
        <w:rPr/>
        <w:t>examinations.</w:t>
      </w:r>
      <w:r>
        <w:rPr>
          <w:spacing w:val="-10"/>
        </w:rPr>
        <w:t> </w:t>
      </w:r>
      <w:r>
        <w:rPr/>
        <w:t>We</w:t>
      </w:r>
      <w:r>
        <w:rPr>
          <w:spacing w:val="-6"/>
        </w:rPr>
        <w:t> </w:t>
      </w:r>
      <w:r>
        <w:rPr/>
        <w:t>believe</w:t>
      </w:r>
      <w:r>
        <w:rPr>
          <w:spacing w:val="-7"/>
        </w:rPr>
        <w:t> </w:t>
      </w:r>
      <w:r>
        <w:rPr/>
        <w:t>such</w:t>
      </w:r>
      <w:r>
        <w:rPr>
          <w:spacing w:val="-6"/>
        </w:rPr>
        <w:t> </w:t>
      </w:r>
      <w:r>
        <w:rPr/>
        <w:t>estimates</w:t>
      </w:r>
      <w:r>
        <w:rPr>
          <w:spacing w:val="-6"/>
        </w:rPr>
        <w:t> </w:t>
      </w:r>
      <w:r>
        <w:rPr/>
        <w:t>to</w:t>
      </w:r>
      <w:r>
        <w:rPr>
          <w:spacing w:val="-6"/>
        </w:rPr>
        <w:t> </w:t>
      </w:r>
      <w:r>
        <w:rPr/>
        <w:t>be</w:t>
      </w:r>
      <w:r>
        <w:rPr>
          <w:spacing w:val="-6"/>
        </w:rPr>
        <w:t> </w:t>
      </w:r>
      <w:r>
        <w:rPr/>
        <w:t>reasonable;</w:t>
      </w:r>
      <w:r>
        <w:rPr>
          <w:spacing w:val="-7"/>
        </w:rPr>
        <w:t> </w:t>
      </w:r>
      <w:r>
        <w:rPr/>
        <w:t>however,</w:t>
      </w:r>
      <w:r>
        <w:rPr>
          <w:spacing w:val="-6"/>
        </w:rPr>
        <w:t> </w:t>
      </w:r>
      <w:r>
        <w:rPr/>
        <w:t>the</w:t>
      </w:r>
      <w:r>
        <w:rPr>
          <w:spacing w:val="-6"/>
        </w:rPr>
        <w:t> </w:t>
      </w:r>
      <w:r>
        <w:rPr/>
        <w:t>final</w:t>
      </w:r>
      <w:r>
        <w:rPr>
          <w:spacing w:val="-7"/>
        </w:rPr>
        <w:t> </w:t>
      </w:r>
      <w:r>
        <w:rPr/>
        <w:t>determination</w:t>
      </w:r>
      <w:r>
        <w:rPr>
          <w:spacing w:val="-6"/>
        </w:rPr>
        <w:t> </w:t>
      </w:r>
      <w:r>
        <w:rPr/>
        <w:t>of</w:t>
      </w:r>
      <w:r>
        <w:rPr>
          <w:spacing w:val="-6"/>
        </w:rPr>
        <w:t> </w:t>
      </w:r>
      <w:r>
        <w:rPr/>
        <w:t>any</w:t>
      </w:r>
      <w:r>
        <w:rPr>
          <w:spacing w:val="-6"/>
        </w:rPr>
        <w:t> </w:t>
      </w:r>
      <w:r>
        <w:rPr/>
        <w:t>of</w:t>
      </w:r>
      <w:r>
        <w:rPr>
          <w:spacing w:val="-6"/>
        </w:rPr>
        <w:t> </w:t>
      </w:r>
      <w:r>
        <w:rPr/>
        <w:t>these examinations could significantly impact the amounts provided for income taxes in our Consolidated Financial Statements.</w:t>
      </w:r>
    </w:p>
    <w:p>
      <w:pPr>
        <w:pStyle w:val="BodyText"/>
        <w:spacing w:line="249" w:lineRule="auto" w:before="187"/>
        <w:ind w:left="220" w:right="257" w:firstLine="540"/>
        <w:jc w:val="both"/>
      </w:pPr>
      <w:r>
        <w:rPr/>
        <w:t>Our</w:t>
      </w:r>
      <w:r>
        <w:rPr>
          <w:spacing w:val="-4"/>
        </w:rPr>
        <w:t> </w:t>
      </w:r>
      <w:r>
        <w:rPr/>
        <w:t>assumptions,</w:t>
      </w:r>
      <w:r>
        <w:rPr>
          <w:spacing w:val="-3"/>
        </w:rPr>
        <w:t> </w:t>
      </w:r>
      <w:r>
        <w:rPr/>
        <w:t>judgments</w:t>
      </w:r>
      <w:r>
        <w:rPr>
          <w:spacing w:val="-3"/>
        </w:rPr>
        <w:t> </w:t>
      </w:r>
      <w:r>
        <w:rPr/>
        <w:t>and</w:t>
      </w:r>
      <w:r>
        <w:rPr>
          <w:spacing w:val="-4"/>
        </w:rPr>
        <w:t> </w:t>
      </w:r>
      <w:r>
        <w:rPr/>
        <w:t>estimates</w:t>
      </w:r>
      <w:r>
        <w:rPr>
          <w:spacing w:val="-3"/>
        </w:rPr>
        <w:t> </w:t>
      </w:r>
      <w:r>
        <w:rPr/>
        <w:t>relative</w:t>
      </w:r>
      <w:r>
        <w:rPr>
          <w:spacing w:val="-4"/>
        </w:rPr>
        <w:t> </w:t>
      </w:r>
      <w:r>
        <w:rPr/>
        <w:t>to</w:t>
      </w:r>
      <w:r>
        <w:rPr>
          <w:spacing w:val="-3"/>
        </w:rPr>
        <w:t> </w:t>
      </w:r>
      <w:r>
        <w:rPr/>
        <w:t>the</w:t>
      </w:r>
      <w:r>
        <w:rPr>
          <w:spacing w:val="-4"/>
        </w:rPr>
        <w:t> </w:t>
      </w:r>
      <w:r>
        <w:rPr/>
        <w:t>value</w:t>
      </w:r>
      <w:r>
        <w:rPr>
          <w:spacing w:val="-4"/>
        </w:rPr>
        <w:t> </w:t>
      </w:r>
      <w:r>
        <w:rPr/>
        <w:t>of</w:t>
      </w:r>
      <w:r>
        <w:rPr>
          <w:spacing w:val="-3"/>
        </w:rPr>
        <w:t> </w:t>
      </w:r>
      <w:r>
        <w:rPr/>
        <w:t>a</w:t>
      </w:r>
      <w:r>
        <w:rPr>
          <w:spacing w:val="-3"/>
        </w:rPr>
        <w:t> </w:t>
      </w:r>
      <w:r>
        <w:rPr/>
        <w:t>deferred</w:t>
      </w:r>
      <w:r>
        <w:rPr>
          <w:spacing w:val="-4"/>
        </w:rPr>
        <w:t> </w:t>
      </w:r>
      <w:r>
        <w:rPr/>
        <w:t>tax</w:t>
      </w:r>
      <w:r>
        <w:rPr>
          <w:spacing w:val="-3"/>
        </w:rPr>
        <w:t> </w:t>
      </w:r>
      <w:r>
        <w:rPr/>
        <w:t>asset</w:t>
      </w:r>
      <w:r>
        <w:rPr>
          <w:spacing w:val="-4"/>
        </w:rPr>
        <w:t> </w:t>
      </w:r>
      <w:r>
        <w:rPr/>
        <w:t>take</w:t>
      </w:r>
      <w:r>
        <w:rPr>
          <w:spacing w:val="-4"/>
        </w:rPr>
        <w:t> </w:t>
      </w:r>
      <w:r>
        <w:rPr/>
        <w:t>into</w:t>
      </w:r>
      <w:r>
        <w:rPr>
          <w:spacing w:val="-3"/>
        </w:rPr>
        <w:t> </w:t>
      </w:r>
      <w:r>
        <w:rPr/>
        <w:t>account</w:t>
      </w:r>
      <w:r>
        <w:rPr>
          <w:spacing w:val="-4"/>
        </w:rPr>
        <w:t> </w:t>
      </w:r>
      <w:r>
        <w:rPr/>
        <w:t>predictions</w:t>
      </w:r>
      <w:r>
        <w:rPr>
          <w:spacing w:val="-3"/>
        </w:rPr>
        <w:t> </w:t>
      </w:r>
      <w:r>
        <w:rPr/>
        <w:t>of</w:t>
      </w:r>
      <w:r>
        <w:rPr>
          <w:spacing w:val="-3"/>
        </w:rPr>
        <w:t> </w:t>
      </w:r>
      <w:r>
        <w:rPr/>
        <w:t>the amount</w:t>
      </w:r>
      <w:r>
        <w:rPr>
          <w:spacing w:val="-4"/>
        </w:rPr>
        <w:t> </w:t>
      </w:r>
      <w:r>
        <w:rPr/>
        <w:t>and</w:t>
      </w:r>
      <w:r>
        <w:rPr>
          <w:spacing w:val="-2"/>
        </w:rPr>
        <w:t> </w:t>
      </w:r>
      <w:r>
        <w:rPr/>
        <w:t>category</w:t>
      </w:r>
      <w:r>
        <w:rPr>
          <w:spacing w:val="-3"/>
        </w:rPr>
        <w:t> </w:t>
      </w:r>
      <w:r>
        <w:rPr/>
        <w:t>of</w:t>
      </w:r>
      <w:r>
        <w:rPr>
          <w:spacing w:val="-2"/>
        </w:rPr>
        <w:t> </w:t>
      </w:r>
      <w:r>
        <w:rPr/>
        <w:t>future</w:t>
      </w:r>
      <w:r>
        <w:rPr>
          <w:spacing w:val="-3"/>
        </w:rPr>
        <w:t> </w:t>
      </w:r>
      <w:r>
        <w:rPr/>
        <w:t>taxable</w:t>
      </w:r>
      <w:r>
        <w:rPr>
          <w:spacing w:val="-3"/>
        </w:rPr>
        <w:t> </w:t>
      </w:r>
      <w:r>
        <w:rPr/>
        <w:t>income,</w:t>
      </w:r>
      <w:r>
        <w:rPr>
          <w:spacing w:val="-3"/>
        </w:rPr>
        <w:t> </w:t>
      </w:r>
      <w:r>
        <w:rPr/>
        <w:t>such</w:t>
      </w:r>
      <w:r>
        <w:rPr>
          <w:spacing w:val="-2"/>
        </w:rPr>
        <w:t> </w:t>
      </w:r>
      <w:r>
        <w:rPr/>
        <w:t>as</w:t>
      </w:r>
      <w:r>
        <w:rPr>
          <w:spacing w:val="-2"/>
        </w:rPr>
        <w:t> </w:t>
      </w:r>
      <w:r>
        <w:rPr/>
        <w:t>income</w:t>
      </w:r>
      <w:r>
        <w:rPr>
          <w:spacing w:val="-3"/>
        </w:rPr>
        <w:t> </w:t>
      </w:r>
      <w:r>
        <w:rPr/>
        <w:t>from</w:t>
      </w:r>
      <w:r>
        <w:rPr>
          <w:spacing w:val="-3"/>
        </w:rPr>
        <w:t> </w:t>
      </w:r>
      <w:r>
        <w:rPr/>
        <w:t>operations</w:t>
      </w:r>
      <w:r>
        <w:rPr>
          <w:spacing w:val="-2"/>
        </w:rPr>
        <w:t> </w:t>
      </w:r>
      <w:r>
        <w:rPr/>
        <w:t>or</w:t>
      </w:r>
      <w:r>
        <w:rPr>
          <w:spacing w:val="-2"/>
        </w:rPr>
        <w:t> </w:t>
      </w:r>
      <w:r>
        <w:rPr/>
        <w:t>capital</w:t>
      </w:r>
      <w:r>
        <w:rPr>
          <w:spacing w:val="-3"/>
        </w:rPr>
        <w:t> </w:t>
      </w:r>
      <w:r>
        <w:rPr/>
        <w:t>gains</w:t>
      </w:r>
      <w:r>
        <w:rPr>
          <w:spacing w:val="-2"/>
        </w:rPr>
        <w:t> </w:t>
      </w:r>
      <w:r>
        <w:rPr/>
        <w:t>income.</w:t>
      </w:r>
      <w:r>
        <w:rPr>
          <w:spacing w:val="-13"/>
        </w:rPr>
        <w:t> </w:t>
      </w:r>
      <w:r>
        <w:rPr/>
        <w:t>Actual</w:t>
      </w:r>
      <w:r>
        <w:rPr>
          <w:spacing w:val="-3"/>
        </w:rPr>
        <w:t> </w:t>
      </w:r>
      <w:r>
        <w:rPr/>
        <w:t>operating</w:t>
      </w:r>
      <w:r>
        <w:rPr>
          <w:spacing w:val="-3"/>
        </w:rPr>
        <w:t> </w:t>
      </w:r>
      <w:r>
        <w:rPr/>
        <w:t>results and</w:t>
      </w:r>
      <w:r>
        <w:rPr>
          <w:spacing w:val="-10"/>
        </w:rPr>
        <w:t> </w:t>
      </w:r>
      <w:r>
        <w:rPr/>
        <w:t>the</w:t>
      </w:r>
      <w:r>
        <w:rPr>
          <w:spacing w:val="-10"/>
        </w:rPr>
        <w:t> </w:t>
      </w:r>
      <w:r>
        <w:rPr/>
        <w:t>underlying</w:t>
      </w:r>
      <w:r>
        <w:rPr>
          <w:spacing w:val="-10"/>
        </w:rPr>
        <w:t> </w:t>
      </w:r>
      <w:r>
        <w:rPr/>
        <w:t>amount</w:t>
      </w:r>
      <w:r>
        <w:rPr>
          <w:spacing w:val="-10"/>
        </w:rPr>
        <w:t> </w:t>
      </w:r>
      <w:r>
        <w:rPr/>
        <w:t>and</w:t>
      </w:r>
      <w:r>
        <w:rPr>
          <w:spacing w:val="-10"/>
        </w:rPr>
        <w:t> </w:t>
      </w:r>
      <w:r>
        <w:rPr/>
        <w:t>category</w:t>
      </w:r>
      <w:r>
        <w:rPr>
          <w:spacing w:val="-10"/>
        </w:rPr>
        <w:t> </w:t>
      </w:r>
      <w:r>
        <w:rPr/>
        <w:t>of</w:t>
      </w:r>
      <w:r>
        <w:rPr>
          <w:spacing w:val="-10"/>
        </w:rPr>
        <w:t> </w:t>
      </w:r>
      <w:r>
        <w:rPr/>
        <w:t>income</w:t>
      </w:r>
      <w:r>
        <w:rPr>
          <w:spacing w:val="-10"/>
        </w:rPr>
        <w:t> </w:t>
      </w:r>
      <w:r>
        <w:rPr/>
        <w:t>in</w:t>
      </w:r>
      <w:r>
        <w:rPr>
          <w:spacing w:val="-10"/>
        </w:rPr>
        <w:t> </w:t>
      </w:r>
      <w:r>
        <w:rPr/>
        <w:t>future</w:t>
      </w:r>
      <w:r>
        <w:rPr>
          <w:spacing w:val="-10"/>
        </w:rPr>
        <w:t> </w:t>
      </w:r>
      <w:r>
        <w:rPr/>
        <w:t>years</w:t>
      </w:r>
      <w:r>
        <w:rPr>
          <w:spacing w:val="-10"/>
        </w:rPr>
        <w:t> </w:t>
      </w:r>
      <w:r>
        <w:rPr/>
        <w:t>could</w:t>
      </w:r>
      <w:r>
        <w:rPr>
          <w:spacing w:val="-10"/>
        </w:rPr>
        <w:t> </w:t>
      </w:r>
      <w:r>
        <w:rPr/>
        <w:t>render</w:t>
      </w:r>
      <w:r>
        <w:rPr>
          <w:spacing w:val="-10"/>
        </w:rPr>
        <w:t> </w:t>
      </w:r>
      <w:r>
        <w:rPr/>
        <w:t>our</w:t>
      </w:r>
      <w:r>
        <w:rPr>
          <w:spacing w:val="-10"/>
        </w:rPr>
        <w:t> </w:t>
      </w:r>
      <w:r>
        <w:rPr/>
        <w:t>current</w:t>
      </w:r>
      <w:r>
        <w:rPr>
          <w:spacing w:val="-10"/>
        </w:rPr>
        <w:t> </w:t>
      </w:r>
      <w:r>
        <w:rPr/>
        <w:t>assumptions,</w:t>
      </w:r>
      <w:r>
        <w:rPr>
          <w:spacing w:val="-10"/>
        </w:rPr>
        <w:t> </w:t>
      </w:r>
      <w:r>
        <w:rPr/>
        <w:t>judgments</w:t>
      </w:r>
      <w:r>
        <w:rPr>
          <w:spacing w:val="-10"/>
        </w:rPr>
        <w:t> </w:t>
      </w:r>
      <w:r>
        <w:rPr/>
        <w:t>and</w:t>
      </w:r>
      <w:r>
        <w:rPr>
          <w:spacing w:val="-10"/>
        </w:rPr>
        <w:t> </w:t>
      </w:r>
      <w:r>
        <w:rPr/>
        <w:t>estimates of</w:t>
      </w:r>
      <w:r>
        <w:rPr>
          <w:spacing w:val="-6"/>
        </w:rPr>
        <w:t> </w:t>
      </w:r>
      <w:r>
        <w:rPr/>
        <w:t>recoverable</w:t>
      </w:r>
      <w:r>
        <w:rPr>
          <w:spacing w:val="-4"/>
        </w:rPr>
        <w:t> </w:t>
      </w:r>
      <w:r>
        <w:rPr/>
        <w:t>net</w:t>
      </w:r>
      <w:r>
        <w:rPr>
          <w:spacing w:val="-4"/>
        </w:rPr>
        <w:t> </w:t>
      </w:r>
      <w:r>
        <w:rPr/>
        <w:t>deferred</w:t>
      </w:r>
      <w:r>
        <w:rPr>
          <w:spacing w:val="-4"/>
        </w:rPr>
        <w:t> </w:t>
      </w:r>
      <w:r>
        <w:rPr/>
        <w:t>taxes</w:t>
      </w:r>
      <w:r>
        <w:rPr>
          <w:spacing w:val="-4"/>
        </w:rPr>
        <w:t> </w:t>
      </w:r>
      <w:r>
        <w:rPr/>
        <w:t>inaccurate.</w:t>
      </w:r>
      <w:r>
        <w:rPr>
          <w:spacing w:val="-13"/>
        </w:rPr>
        <w:t> </w:t>
      </w:r>
      <w:r>
        <w:rPr/>
        <w:t>Any</w:t>
      </w:r>
      <w:r>
        <w:rPr>
          <w:spacing w:val="-4"/>
        </w:rPr>
        <w:t> </w:t>
      </w:r>
      <w:r>
        <w:rPr/>
        <w:t>of</w:t>
      </w:r>
      <w:r>
        <w:rPr>
          <w:spacing w:val="-4"/>
        </w:rPr>
        <w:t> </w:t>
      </w:r>
      <w:r>
        <w:rPr/>
        <w:t>the</w:t>
      </w:r>
      <w:r>
        <w:rPr>
          <w:spacing w:val="-4"/>
        </w:rPr>
        <w:t> </w:t>
      </w:r>
      <w:r>
        <w:rPr/>
        <w:t>assumptions,</w:t>
      </w:r>
      <w:r>
        <w:rPr>
          <w:spacing w:val="-4"/>
        </w:rPr>
        <w:t> </w:t>
      </w:r>
      <w:r>
        <w:rPr/>
        <w:t>judgments</w:t>
      </w:r>
      <w:r>
        <w:rPr>
          <w:spacing w:val="-4"/>
        </w:rPr>
        <w:t> </w:t>
      </w:r>
      <w:r>
        <w:rPr/>
        <w:t>and</w:t>
      </w:r>
      <w:r>
        <w:rPr>
          <w:spacing w:val="-4"/>
        </w:rPr>
        <w:t> </w:t>
      </w:r>
      <w:r>
        <w:rPr/>
        <w:t>estimates</w:t>
      </w:r>
      <w:r>
        <w:rPr>
          <w:spacing w:val="-4"/>
        </w:rPr>
        <w:t> </w:t>
      </w:r>
      <w:r>
        <w:rPr/>
        <w:t>mentioned</w:t>
      </w:r>
      <w:r>
        <w:rPr>
          <w:spacing w:val="-4"/>
        </w:rPr>
        <w:t> </w:t>
      </w:r>
      <w:r>
        <w:rPr/>
        <w:t>above</w:t>
      </w:r>
      <w:r>
        <w:rPr>
          <w:spacing w:val="-4"/>
        </w:rPr>
        <w:t> </w:t>
      </w:r>
      <w:r>
        <w:rPr/>
        <w:t>could</w:t>
      </w:r>
      <w:r>
        <w:rPr>
          <w:spacing w:val="-4"/>
        </w:rPr>
        <w:t> </w:t>
      </w:r>
      <w:r>
        <w:rPr/>
        <w:t>cause</w:t>
      </w:r>
      <w:r>
        <w:rPr>
          <w:spacing w:val="-4"/>
        </w:rPr>
        <w:t> </w:t>
      </w:r>
      <w:r>
        <w:rPr/>
        <w:t>our </w:t>
      </w:r>
      <w:r>
        <w:rPr>
          <w:spacing w:val="-2"/>
        </w:rPr>
        <w:t>actual</w:t>
      </w:r>
      <w:r>
        <w:rPr>
          <w:spacing w:val="-8"/>
        </w:rPr>
        <w:t> </w:t>
      </w:r>
      <w:r>
        <w:rPr>
          <w:spacing w:val="-2"/>
        </w:rPr>
        <w:t>income</w:t>
      </w:r>
      <w:r>
        <w:rPr>
          <w:spacing w:val="-7"/>
        </w:rPr>
        <w:t> </w:t>
      </w:r>
      <w:r>
        <w:rPr>
          <w:spacing w:val="-2"/>
        </w:rPr>
        <w:t>tax</w:t>
      </w:r>
      <w:r>
        <w:rPr>
          <w:spacing w:val="-8"/>
        </w:rPr>
        <w:t> </w:t>
      </w:r>
      <w:r>
        <w:rPr>
          <w:spacing w:val="-2"/>
        </w:rPr>
        <w:t>obligations</w:t>
      </w:r>
      <w:r>
        <w:rPr>
          <w:spacing w:val="-7"/>
        </w:rPr>
        <w:t> </w:t>
      </w:r>
      <w:r>
        <w:rPr>
          <w:spacing w:val="-2"/>
        </w:rPr>
        <w:t>to</w:t>
      </w:r>
      <w:r>
        <w:rPr>
          <w:spacing w:val="-8"/>
        </w:rPr>
        <w:t> </w:t>
      </w:r>
      <w:r>
        <w:rPr>
          <w:spacing w:val="-2"/>
        </w:rPr>
        <w:t>differ</w:t>
      </w:r>
      <w:r>
        <w:rPr>
          <w:spacing w:val="-7"/>
        </w:rPr>
        <w:t> </w:t>
      </w:r>
      <w:r>
        <w:rPr>
          <w:spacing w:val="-2"/>
        </w:rPr>
        <w:t>from</w:t>
      </w:r>
      <w:r>
        <w:rPr>
          <w:spacing w:val="-8"/>
        </w:rPr>
        <w:t> </w:t>
      </w:r>
      <w:r>
        <w:rPr>
          <w:spacing w:val="-2"/>
        </w:rPr>
        <w:t>our</w:t>
      </w:r>
      <w:r>
        <w:rPr>
          <w:spacing w:val="-7"/>
        </w:rPr>
        <w:t> </w:t>
      </w:r>
      <w:r>
        <w:rPr>
          <w:spacing w:val="-2"/>
        </w:rPr>
        <w:t>estimates,</w:t>
      </w:r>
      <w:r>
        <w:rPr>
          <w:spacing w:val="-8"/>
        </w:rPr>
        <w:t> </w:t>
      </w:r>
      <w:r>
        <w:rPr>
          <w:spacing w:val="-2"/>
        </w:rPr>
        <w:t>thus</w:t>
      </w:r>
      <w:r>
        <w:rPr>
          <w:spacing w:val="-7"/>
        </w:rPr>
        <w:t> </w:t>
      </w:r>
      <w:r>
        <w:rPr>
          <w:spacing w:val="-2"/>
        </w:rPr>
        <w:t>materially</w:t>
      </w:r>
      <w:r>
        <w:rPr>
          <w:spacing w:val="-8"/>
        </w:rPr>
        <w:t> </w:t>
      </w:r>
      <w:r>
        <w:rPr>
          <w:spacing w:val="-2"/>
        </w:rPr>
        <w:t>impacting</w:t>
      </w:r>
      <w:r>
        <w:rPr>
          <w:spacing w:val="-7"/>
        </w:rPr>
        <w:t> </w:t>
      </w:r>
      <w:r>
        <w:rPr>
          <w:spacing w:val="-2"/>
        </w:rPr>
        <w:t>our</w:t>
      </w:r>
      <w:r>
        <w:rPr>
          <w:spacing w:val="-8"/>
        </w:rPr>
        <w:t> </w:t>
      </w:r>
      <w:r>
        <w:rPr>
          <w:spacing w:val="-2"/>
        </w:rPr>
        <w:t>financial</w:t>
      </w:r>
      <w:r>
        <w:rPr>
          <w:spacing w:val="-9"/>
        </w:rPr>
        <w:t> </w:t>
      </w:r>
      <w:r>
        <w:rPr>
          <w:spacing w:val="-2"/>
        </w:rPr>
        <w:t>position</w:t>
      </w:r>
      <w:r>
        <w:rPr>
          <w:spacing w:val="-7"/>
        </w:rPr>
        <w:t> </w:t>
      </w:r>
      <w:r>
        <w:rPr>
          <w:spacing w:val="-2"/>
        </w:rPr>
        <w:t>and</w:t>
      </w:r>
      <w:r>
        <w:rPr>
          <w:spacing w:val="-8"/>
        </w:rPr>
        <w:t> </w:t>
      </w:r>
      <w:r>
        <w:rPr>
          <w:spacing w:val="-2"/>
        </w:rPr>
        <w:t>results</w:t>
      </w:r>
      <w:r>
        <w:rPr>
          <w:spacing w:val="-7"/>
        </w:rPr>
        <w:t> </w:t>
      </w:r>
      <w:r>
        <w:rPr>
          <w:spacing w:val="-2"/>
        </w:rPr>
        <w:t>of</w:t>
      </w:r>
      <w:r>
        <w:rPr>
          <w:spacing w:val="-7"/>
        </w:rPr>
        <w:t> </w:t>
      </w:r>
      <w:r>
        <w:rPr>
          <w:spacing w:val="-2"/>
        </w:rPr>
        <w:t>operations.</w:t>
      </w:r>
    </w:p>
    <w:p>
      <w:pPr>
        <w:pStyle w:val="BodyText"/>
        <w:spacing w:line="249" w:lineRule="auto" w:before="184"/>
        <w:ind w:left="220" w:right="257" w:firstLine="540"/>
        <w:jc w:val="both"/>
      </w:pPr>
      <w:r>
        <w:rPr>
          <w:spacing w:val="-2"/>
        </w:rPr>
        <w:t>We</w:t>
      </w:r>
      <w:r>
        <w:rPr>
          <w:spacing w:val="-11"/>
        </w:rPr>
        <w:t> </w:t>
      </w:r>
      <w:r>
        <w:rPr>
          <w:spacing w:val="-2"/>
        </w:rPr>
        <w:t>are</w:t>
      </w:r>
      <w:r>
        <w:rPr>
          <w:spacing w:val="-10"/>
        </w:rPr>
        <w:t> </w:t>
      </w:r>
      <w:r>
        <w:rPr>
          <w:spacing w:val="-2"/>
        </w:rPr>
        <w:t>a</w:t>
      </w:r>
      <w:r>
        <w:rPr>
          <w:spacing w:val="-11"/>
        </w:rPr>
        <w:t> </w:t>
      </w:r>
      <w:r>
        <w:rPr>
          <w:spacing w:val="-2"/>
        </w:rPr>
        <w:t>United</w:t>
      </w:r>
      <w:r>
        <w:rPr>
          <w:spacing w:val="-10"/>
        </w:rPr>
        <w:t> </w:t>
      </w:r>
      <w:r>
        <w:rPr>
          <w:spacing w:val="-2"/>
        </w:rPr>
        <w:t>States-based</w:t>
      </w:r>
      <w:r>
        <w:rPr>
          <w:spacing w:val="-11"/>
        </w:rPr>
        <w:t> </w:t>
      </w:r>
      <w:r>
        <w:rPr>
          <w:spacing w:val="-2"/>
        </w:rPr>
        <w:t>multinational</w:t>
      </w:r>
      <w:r>
        <w:rPr>
          <w:spacing w:val="-10"/>
        </w:rPr>
        <w:t> </w:t>
      </w:r>
      <w:r>
        <w:rPr>
          <w:spacing w:val="-2"/>
        </w:rPr>
        <w:t>company</w:t>
      </w:r>
      <w:r>
        <w:rPr>
          <w:spacing w:val="-11"/>
        </w:rPr>
        <w:t> </w:t>
      </w:r>
      <w:r>
        <w:rPr>
          <w:spacing w:val="-2"/>
        </w:rPr>
        <w:t>subject</w:t>
      </w:r>
      <w:r>
        <w:rPr>
          <w:spacing w:val="-10"/>
        </w:rPr>
        <w:t> </w:t>
      </w:r>
      <w:r>
        <w:rPr>
          <w:spacing w:val="-2"/>
        </w:rPr>
        <w:t>to</w:t>
      </w:r>
      <w:r>
        <w:rPr>
          <w:spacing w:val="-11"/>
        </w:rPr>
        <w:t> </w:t>
      </w:r>
      <w:r>
        <w:rPr>
          <w:spacing w:val="-2"/>
        </w:rPr>
        <w:t>tax</w:t>
      </w:r>
      <w:r>
        <w:rPr>
          <w:spacing w:val="-10"/>
        </w:rPr>
        <w:t> </w:t>
      </w:r>
      <w:r>
        <w:rPr>
          <w:spacing w:val="-2"/>
        </w:rPr>
        <w:t>in</w:t>
      </w:r>
      <w:r>
        <w:rPr>
          <w:spacing w:val="-11"/>
        </w:rPr>
        <w:t> </w:t>
      </w:r>
      <w:r>
        <w:rPr>
          <w:spacing w:val="-2"/>
        </w:rPr>
        <w:t>multiple</w:t>
      </w:r>
      <w:r>
        <w:rPr>
          <w:spacing w:val="-10"/>
        </w:rPr>
        <w:t> </w:t>
      </w:r>
      <w:r>
        <w:rPr>
          <w:spacing w:val="-2"/>
        </w:rPr>
        <w:t>U.S.</w:t>
      </w:r>
      <w:r>
        <w:rPr>
          <w:spacing w:val="-11"/>
        </w:rPr>
        <w:t> </w:t>
      </w:r>
      <w:r>
        <w:rPr>
          <w:spacing w:val="-2"/>
        </w:rPr>
        <w:t>and</w:t>
      </w:r>
      <w:r>
        <w:rPr>
          <w:spacing w:val="-10"/>
        </w:rPr>
        <w:t> </w:t>
      </w:r>
      <w:r>
        <w:rPr>
          <w:spacing w:val="-2"/>
        </w:rPr>
        <w:t>foreign</w:t>
      </w:r>
      <w:r>
        <w:rPr>
          <w:spacing w:val="-11"/>
        </w:rPr>
        <w:t> </w:t>
      </w:r>
      <w:r>
        <w:rPr>
          <w:spacing w:val="-2"/>
        </w:rPr>
        <w:t>tax</w:t>
      </w:r>
      <w:r>
        <w:rPr>
          <w:spacing w:val="-10"/>
        </w:rPr>
        <w:t> </w:t>
      </w:r>
      <w:r>
        <w:rPr>
          <w:spacing w:val="-2"/>
        </w:rPr>
        <w:t>jurisdictions.</w:t>
      </w:r>
      <w:r>
        <w:rPr>
          <w:spacing w:val="-11"/>
        </w:rPr>
        <w:t> </w:t>
      </w:r>
      <w:r>
        <w:rPr>
          <w:spacing w:val="-2"/>
        </w:rPr>
        <w:t>Asignificant </w:t>
      </w:r>
      <w:r>
        <w:rPr/>
        <w:t>portion</w:t>
      </w:r>
      <w:r>
        <w:rPr>
          <w:spacing w:val="-2"/>
        </w:rPr>
        <w:t> </w:t>
      </w:r>
      <w:r>
        <w:rPr/>
        <w:t>of</w:t>
      </w:r>
      <w:r>
        <w:rPr>
          <w:spacing w:val="-2"/>
        </w:rPr>
        <w:t> </w:t>
      </w:r>
      <w:r>
        <w:rPr/>
        <w:t>our</w:t>
      </w:r>
      <w:r>
        <w:rPr>
          <w:spacing w:val="-2"/>
        </w:rPr>
        <w:t> </w:t>
      </w:r>
      <w:r>
        <w:rPr/>
        <w:t>foreign</w:t>
      </w:r>
      <w:r>
        <w:rPr>
          <w:spacing w:val="-2"/>
        </w:rPr>
        <w:t> </w:t>
      </w:r>
      <w:r>
        <w:rPr/>
        <w:t>earnings</w:t>
      </w:r>
      <w:r>
        <w:rPr>
          <w:spacing w:val="-2"/>
        </w:rPr>
        <w:t> </w:t>
      </w:r>
      <w:r>
        <w:rPr/>
        <w:t>for</w:t>
      </w:r>
      <w:r>
        <w:rPr>
          <w:spacing w:val="-2"/>
        </w:rPr>
        <w:t> </w:t>
      </w:r>
      <w:r>
        <w:rPr/>
        <w:t>the</w:t>
      </w:r>
      <w:r>
        <w:rPr>
          <w:spacing w:val="-2"/>
        </w:rPr>
        <w:t> </w:t>
      </w:r>
      <w:r>
        <w:rPr/>
        <w:t>current</w:t>
      </w:r>
      <w:r>
        <w:rPr>
          <w:spacing w:val="-2"/>
        </w:rPr>
        <w:t> </w:t>
      </w:r>
      <w:r>
        <w:rPr/>
        <w:t>fiscal</w:t>
      </w:r>
      <w:r>
        <w:rPr>
          <w:spacing w:val="-2"/>
        </w:rPr>
        <w:t> </w:t>
      </w:r>
      <w:r>
        <w:rPr/>
        <w:t>year</w:t>
      </w:r>
      <w:r>
        <w:rPr>
          <w:spacing w:val="-2"/>
        </w:rPr>
        <w:t> </w:t>
      </w:r>
      <w:r>
        <w:rPr/>
        <w:t>were</w:t>
      </w:r>
      <w:r>
        <w:rPr>
          <w:spacing w:val="-2"/>
        </w:rPr>
        <w:t> </w:t>
      </w:r>
      <w:r>
        <w:rPr/>
        <w:t>earned</w:t>
      </w:r>
      <w:r>
        <w:rPr>
          <w:spacing w:val="-2"/>
        </w:rPr>
        <w:t> </w:t>
      </w:r>
      <w:r>
        <w:rPr/>
        <w:t>by</w:t>
      </w:r>
      <w:r>
        <w:rPr>
          <w:spacing w:val="-2"/>
        </w:rPr>
        <w:t> </w:t>
      </w:r>
      <w:r>
        <w:rPr/>
        <w:t>our</w:t>
      </w:r>
      <w:r>
        <w:rPr>
          <w:spacing w:val="-2"/>
        </w:rPr>
        <w:t> </w:t>
      </w:r>
      <w:r>
        <w:rPr/>
        <w:t>Irish</w:t>
      </w:r>
      <w:r>
        <w:rPr>
          <w:spacing w:val="-2"/>
        </w:rPr>
        <w:t> </w:t>
      </w:r>
      <w:r>
        <w:rPr/>
        <w:t>subsidiaries.</w:t>
      </w:r>
      <w:r>
        <w:rPr>
          <w:spacing w:val="-2"/>
        </w:rPr>
        <w:t> </w:t>
      </w:r>
      <w:r>
        <w:rPr/>
        <w:t>In</w:t>
      </w:r>
      <w:r>
        <w:rPr>
          <w:spacing w:val="-2"/>
        </w:rPr>
        <w:t> </w:t>
      </w:r>
      <w:r>
        <w:rPr/>
        <w:t>addition</w:t>
      </w:r>
      <w:r>
        <w:rPr>
          <w:spacing w:val="-2"/>
        </w:rPr>
        <w:t> </w:t>
      </w:r>
      <w:r>
        <w:rPr/>
        <w:t>to</w:t>
      </w:r>
      <w:r>
        <w:rPr>
          <w:spacing w:val="-2"/>
        </w:rPr>
        <w:t> </w:t>
      </w:r>
      <w:r>
        <w:rPr/>
        <w:t>providing</w:t>
      </w:r>
      <w:r>
        <w:rPr>
          <w:spacing w:val="-2"/>
        </w:rPr>
        <w:t> </w:t>
      </w:r>
      <w:r>
        <w:rPr/>
        <w:t>for</w:t>
      </w:r>
      <w:r>
        <w:rPr>
          <w:spacing w:val="-2"/>
        </w:rPr>
        <w:t> </w:t>
      </w:r>
      <w:r>
        <w:rPr/>
        <w:t>U.S. income</w:t>
      </w:r>
      <w:r>
        <w:rPr>
          <w:spacing w:val="-7"/>
        </w:rPr>
        <w:t> </w:t>
      </w:r>
      <w:r>
        <w:rPr/>
        <w:t>taxes</w:t>
      </w:r>
      <w:r>
        <w:rPr>
          <w:spacing w:val="-6"/>
        </w:rPr>
        <w:t> </w:t>
      </w:r>
      <w:r>
        <w:rPr/>
        <w:t>on</w:t>
      </w:r>
      <w:r>
        <w:rPr>
          <w:spacing w:val="-7"/>
        </w:rPr>
        <w:t> </w:t>
      </w:r>
      <w:r>
        <w:rPr/>
        <w:t>earnings</w:t>
      </w:r>
      <w:r>
        <w:rPr>
          <w:spacing w:val="-6"/>
        </w:rPr>
        <w:t> </w:t>
      </w:r>
      <w:r>
        <w:rPr/>
        <w:t>from</w:t>
      </w:r>
      <w:r>
        <w:rPr>
          <w:spacing w:val="-7"/>
        </w:rPr>
        <w:t> </w:t>
      </w:r>
      <w:r>
        <w:rPr/>
        <w:t>the</w:t>
      </w:r>
      <w:r>
        <w:rPr>
          <w:spacing w:val="-7"/>
        </w:rPr>
        <w:t> </w:t>
      </w:r>
      <w:r>
        <w:rPr/>
        <w:t>United</w:t>
      </w:r>
      <w:r>
        <w:rPr>
          <w:spacing w:val="-7"/>
        </w:rPr>
        <w:t> </w:t>
      </w:r>
      <w:r>
        <w:rPr/>
        <w:t>States,</w:t>
      </w:r>
      <w:r>
        <w:rPr>
          <w:spacing w:val="-7"/>
        </w:rPr>
        <w:t> </w:t>
      </w:r>
      <w:r>
        <w:rPr/>
        <w:t>we</w:t>
      </w:r>
      <w:r>
        <w:rPr>
          <w:spacing w:val="-7"/>
        </w:rPr>
        <w:t> </w:t>
      </w:r>
      <w:r>
        <w:rPr/>
        <w:t>provide</w:t>
      </w:r>
      <w:r>
        <w:rPr>
          <w:spacing w:val="-7"/>
        </w:rPr>
        <w:t> </w:t>
      </w:r>
      <w:r>
        <w:rPr/>
        <w:t>for</w:t>
      </w:r>
      <w:r>
        <w:rPr>
          <w:spacing w:val="-7"/>
        </w:rPr>
        <w:t> </w:t>
      </w:r>
      <w:r>
        <w:rPr/>
        <w:t>U.S.</w:t>
      </w:r>
      <w:r>
        <w:rPr>
          <w:spacing w:val="-7"/>
        </w:rPr>
        <w:t> </w:t>
      </w:r>
      <w:r>
        <w:rPr/>
        <w:t>income</w:t>
      </w:r>
      <w:r>
        <w:rPr>
          <w:spacing w:val="-7"/>
        </w:rPr>
        <w:t> </w:t>
      </w:r>
      <w:r>
        <w:rPr/>
        <w:t>taxes</w:t>
      </w:r>
      <w:r>
        <w:rPr>
          <w:spacing w:val="-7"/>
        </w:rPr>
        <w:t> </w:t>
      </w:r>
      <w:r>
        <w:rPr/>
        <w:t>on</w:t>
      </w:r>
      <w:r>
        <w:rPr>
          <w:spacing w:val="-7"/>
        </w:rPr>
        <w:t> </w:t>
      </w:r>
      <w:r>
        <w:rPr/>
        <w:t>the</w:t>
      </w:r>
      <w:r>
        <w:rPr>
          <w:spacing w:val="-7"/>
        </w:rPr>
        <w:t> </w:t>
      </w:r>
      <w:r>
        <w:rPr/>
        <w:t>earnings</w:t>
      </w:r>
      <w:r>
        <w:rPr>
          <w:spacing w:val="-7"/>
        </w:rPr>
        <w:t> </w:t>
      </w:r>
      <w:r>
        <w:rPr/>
        <w:t>of</w:t>
      </w:r>
      <w:r>
        <w:rPr>
          <w:spacing w:val="-7"/>
        </w:rPr>
        <w:t> </w:t>
      </w:r>
      <w:r>
        <w:rPr/>
        <w:t>foreign</w:t>
      </w:r>
      <w:r>
        <w:rPr>
          <w:spacing w:val="-7"/>
        </w:rPr>
        <w:t> </w:t>
      </w:r>
      <w:r>
        <w:rPr/>
        <w:t>subsidiaries</w:t>
      </w:r>
      <w:r>
        <w:rPr>
          <w:spacing w:val="-6"/>
        </w:rPr>
        <w:t> </w:t>
      </w:r>
      <w:r>
        <w:rPr/>
        <w:t>unless the</w:t>
      </w:r>
      <w:r>
        <w:rPr>
          <w:spacing w:val="-6"/>
        </w:rPr>
        <w:t> </w:t>
      </w:r>
      <w:r>
        <w:rPr/>
        <w:t>subsidiaries’</w:t>
      </w:r>
      <w:r>
        <w:rPr>
          <w:spacing w:val="-13"/>
        </w:rPr>
        <w:t> </w:t>
      </w:r>
      <w:r>
        <w:rPr/>
        <w:t>earnings</w:t>
      </w:r>
      <w:r>
        <w:rPr>
          <w:spacing w:val="-1"/>
        </w:rPr>
        <w:t> </w:t>
      </w:r>
      <w:r>
        <w:rPr/>
        <w:t>are</w:t>
      </w:r>
      <w:r>
        <w:rPr>
          <w:spacing w:val="-2"/>
        </w:rPr>
        <w:t> </w:t>
      </w:r>
      <w:r>
        <w:rPr/>
        <w:t>considered</w:t>
      </w:r>
      <w:r>
        <w:rPr>
          <w:spacing w:val="-2"/>
        </w:rPr>
        <w:t> </w:t>
      </w:r>
      <w:r>
        <w:rPr/>
        <w:t>permanently</w:t>
      </w:r>
      <w:r>
        <w:rPr>
          <w:spacing w:val="-2"/>
        </w:rPr>
        <w:t> </w:t>
      </w:r>
      <w:r>
        <w:rPr/>
        <w:t>reinvested</w:t>
      </w:r>
      <w:r>
        <w:rPr>
          <w:spacing w:val="-2"/>
        </w:rPr>
        <w:t> </w:t>
      </w:r>
      <w:r>
        <w:rPr/>
        <w:t>outside</w:t>
      </w:r>
      <w:r>
        <w:rPr>
          <w:spacing w:val="-2"/>
        </w:rPr>
        <w:t> </w:t>
      </w:r>
      <w:r>
        <w:rPr/>
        <w:t>the</w:t>
      </w:r>
      <w:r>
        <w:rPr>
          <w:spacing w:val="-2"/>
        </w:rPr>
        <w:t> </w:t>
      </w:r>
      <w:r>
        <w:rPr/>
        <w:t>United</w:t>
      </w:r>
      <w:r>
        <w:rPr>
          <w:spacing w:val="-2"/>
        </w:rPr>
        <w:t> </w:t>
      </w:r>
      <w:r>
        <w:rPr/>
        <w:t>States.</w:t>
      </w:r>
      <w:r>
        <w:rPr>
          <w:spacing w:val="-5"/>
        </w:rPr>
        <w:t> </w:t>
      </w:r>
      <w:r>
        <w:rPr/>
        <w:t>While</w:t>
      </w:r>
      <w:r>
        <w:rPr>
          <w:spacing w:val="-2"/>
        </w:rPr>
        <w:t> </w:t>
      </w:r>
      <w:r>
        <w:rPr/>
        <w:t>we</w:t>
      </w:r>
      <w:r>
        <w:rPr>
          <w:spacing w:val="-2"/>
        </w:rPr>
        <w:t> </w:t>
      </w:r>
      <w:r>
        <w:rPr/>
        <w:t>do</w:t>
      </w:r>
      <w:r>
        <w:rPr>
          <w:spacing w:val="-2"/>
        </w:rPr>
        <w:t> </w:t>
      </w:r>
      <w:r>
        <w:rPr/>
        <w:t>not</w:t>
      </w:r>
      <w:r>
        <w:rPr>
          <w:spacing w:val="-2"/>
        </w:rPr>
        <w:t> </w:t>
      </w:r>
      <w:r>
        <w:rPr/>
        <w:t>anticipate</w:t>
      </w:r>
      <w:r>
        <w:rPr>
          <w:spacing w:val="-2"/>
        </w:rPr>
        <w:t> </w:t>
      </w:r>
      <w:r>
        <w:rPr/>
        <w:t>changing our</w:t>
      </w:r>
      <w:r>
        <w:rPr>
          <w:spacing w:val="-11"/>
        </w:rPr>
        <w:t> </w:t>
      </w:r>
      <w:r>
        <w:rPr/>
        <w:t>intention</w:t>
      </w:r>
      <w:r>
        <w:rPr>
          <w:spacing w:val="-11"/>
        </w:rPr>
        <w:t> </w:t>
      </w:r>
      <w:r>
        <w:rPr/>
        <w:t>regarding</w:t>
      </w:r>
      <w:r>
        <w:rPr>
          <w:spacing w:val="-11"/>
        </w:rPr>
        <w:t> </w:t>
      </w:r>
      <w:r>
        <w:rPr/>
        <w:t>permanently</w:t>
      </w:r>
      <w:r>
        <w:rPr>
          <w:spacing w:val="-11"/>
        </w:rPr>
        <w:t> </w:t>
      </w:r>
      <w:r>
        <w:rPr/>
        <w:t>reinvested</w:t>
      </w:r>
      <w:r>
        <w:rPr>
          <w:spacing w:val="-11"/>
        </w:rPr>
        <w:t> </w:t>
      </w:r>
      <w:r>
        <w:rPr/>
        <w:t>earnings</w:t>
      </w:r>
      <w:r>
        <w:rPr>
          <w:spacing w:val="-11"/>
        </w:rPr>
        <w:t> </w:t>
      </w:r>
      <w:r>
        <w:rPr/>
        <w:t>as</w:t>
      </w:r>
      <w:r>
        <w:rPr>
          <w:spacing w:val="-11"/>
        </w:rPr>
        <w:t> </w:t>
      </w:r>
      <w:r>
        <w:rPr/>
        <w:t>of</w:t>
      </w:r>
      <w:r>
        <w:rPr>
          <w:spacing w:val="-11"/>
        </w:rPr>
        <w:t> </w:t>
      </w:r>
      <w:r>
        <w:rPr/>
        <w:t>the</w:t>
      </w:r>
      <w:r>
        <w:rPr>
          <w:spacing w:val="-11"/>
        </w:rPr>
        <w:t> </w:t>
      </w:r>
      <w:r>
        <w:rPr/>
        <w:t>balance</w:t>
      </w:r>
      <w:r>
        <w:rPr>
          <w:spacing w:val="-11"/>
        </w:rPr>
        <w:t> </w:t>
      </w:r>
      <w:r>
        <w:rPr/>
        <w:t>sheet</w:t>
      </w:r>
      <w:r>
        <w:rPr>
          <w:spacing w:val="-11"/>
        </w:rPr>
        <w:t> </w:t>
      </w:r>
      <w:r>
        <w:rPr/>
        <w:t>date,</w:t>
      </w:r>
      <w:r>
        <w:rPr>
          <w:spacing w:val="-11"/>
        </w:rPr>
        <w:t> </w:t>
      </w:r>
      <w:r>
        <w:rPr/>
        <w:t>if</w:t>
      </w:r>
      <w:r>
        <w:rPr>
          <w:spacing w:val="-11"/>
        </w:rPr>
        <w:t> </w:t>
      </w:r>
      <w:r>
        <w:rPr/>
        <w:t>certain</w:t>
      </w:r>
      <w:r>
        <w:rPr>
          <w:spacing w:val="-11"/>
        </w:rPr>
        <w:t> </w:t>
      </w:r>
      <w:r>
        <w:rPr/>
        <w:t>foreign</w:t>
      </w:r>
      <w:r>
        <w:rPr>
          <w:spacing w:val="-11"/>
        </w:rPr>
        <w:t> </w:t>
      </w:r>
      <w:r>
        <w:rPr/>
        <w:t>earnings</w:t>
      </w:r>
      <w:r>
        <w:rPr>
          <w:spacing w:val="-11"/>
        </w:rPr>
        <w:t> </w:t>
      </w:r>
      <w:r>
        <w:rPr/>
        <w:t>previously</w:t>
      </w:r>
      <w:r>
        <w:rPr>
          <w:spacing w:val="-11"/>
        </w:rPr>
        <w:t> </w:t>
      </w:r>
      <w:r>
        <w:rPr/>
        <w:t>treated as</w:t>
      </w:r>
      <w:r>
        <w:rPr>
          <w:spacing w:val="-7"/>
        </w:rPr>
        <w:t> </w:t>
      </w:r>
      <w:r>
        <w:rPr/>
        <w:t>permanently</w:t>
      </w:r>
      <w:r>
        <w:rPr>
          <w:spacing w:val="-7"/>
        </w:rPr>
        <w:t> </w:t>
      </w:r>
      <w:r>
        <w:rPr/>
        <w:t>reinvested</w:t>
      </w:r>
      <w:r>
        <w:rPr>
          <w:spacing w:val="-7"/>
        </w:rPr>
        <w:t> </w:t>
      </w:r>
      <w:r>
        <w:rPr/>
        <w:t>are</w:t>
      </w:r>
      <w:r>
        <w:rPr>
          <w:spacing w:val="-7"/>
        </w:rPr>
        <w:t> </w:t>
      </w:r>
      <w:r>
        <w:rPr/>
        <w:t>repatriated,</w:t>
      </w:r>
      <w:r>
        <w:rPr>
          <w:spacing w:val="-7"/>
        </w:rPr>
        <w:t> </w:t>
      </w:r>
      <w:r>
        <w:rPr/>
        <w:t>the</w:t>
      </w:r>
      <w:r>
        <w:rPr>
          <w:spacing w:val="-7"/>
        </w:rPr>
        <w:t> </w:t>
      </w:r>
      <w:r>
        <w:rPr/>
        <w:t>related</w:t>
      </w:r>
      <w:r>
        <w:rPr>
          <w:spacing w:val="-7"/>
        </w:rPr>
        <w:t> </w:t>
      </w:r>
      <w:r>
        <w:rPr/>
        <w:t>U.S.</w:t>
      </w:r>
      <w:r>
        <w:rPr>
          <w:spacing w:val="-7"/>
        </w:rPr>
        <w:t> </w:t>
      </w:r>
      <w:r>
        <w:rPr/>
        <w:t>tax</w:t>
      </w:r>
      <w:r>
        <w:rPr>
          <w:spacing w:val="-7"/>
        </w:rPr>
        <w:t> </w:t>
      </w:r>
      <w:r>
        <w:rPr/>
        <w:t>liability</w:t>
      </w:r>
      <w:r>
        <w:rPr>
          <w:spacing w:val="-7"/>
        </w:rPr>
        <w:t> </w:t>
      </w:r>
      <w:r>
        <w:rPr/>
        <w:t>may</w:t>
      </w:r>
      <w:r>
        <w:rPr>
          <w:spacing w:val="-7"/>
        </w:rPr>
        <w:t> </w:t>
      </w:r>
      <w:r>
        <w:rPr/>
        <w:t>be</w:t>
      </w:r>
      <w:r>
        <w:rPr>
          <w:spacing w:val="-7"/>
        </w:rPr>
        <w:t> </w:t>
      </w:r>
      <w:r>
        <w:rPr/>
        <w:t>reduced</w:t>
      </w:r>
      <w:r>
        <w:rPr>
          <w:spacing w:val="-7"/>
        </w:rPr>
        <w:t> </w:t>
      </w:r>
      <w:r>
        <w:rPr/>
        <w:t>by</w:t>
      </w:r>
      <w:r>
        <w:rPr>
          <w:spacing w:val="-7"/>
        </w:rPr>
        <w:t> </w:t>
      </w:r>
      <w:r>
        <w:rPr/>
        <w:t>any</w:t>
      </w:r>
      <w:r>
        <w:rPr>
          <w:spacing w:val="-7"/>
        </w:rPr>
        <w:t> </w:t>
      </w:r>
      <w:r>
        <w:rPr/>
        <w:t>foreign</w:t>
      </w:r>
      <w:r>
        <w:rPr>
          <w:spacing w:val="-7"/>
        </w:rPr>
        <w:t> </w:t>
      </w:r>
      <w:r>
        <w:rPr/>
        <w:t>income</w:t>
      </w:r>
      <w:r>
        <w:rPr>
          <w:spacing w:val="-7"/>
        </w:rPr>
        <w:t> </w:t>
      </w:r>
      <w:r>
        <w:rPr/>
        <w:t>taxes</w:t>
      </w:r>
      <w:r>
        <w:rPr>
          <w:spacing w:val="-7"/>
        </w:rPr>
        <w:t> </w:t>
      </w:r>
      <w:r>
        <w:rPr/>
        <w:t>paid</w:t>
      </w:r>
      <w:r>
        <w:rPr>
          <w:spacing w:val="-7"/>
        </w:rPr>
        <w:t> </w:t>
      </w:r>
      <w:r>
        <w:rPr/>
        <w:t>on</w:t>
      </w:r>
      <w:r>
        <w:rPr>
          <w:spacing w:val="-7"/>
        </w:rPr>
        <w:t> </w:t>
      </w:r>
      <w:r>
        <w:rPr/>
        <w:t>these </w:t>
      </w:r>
      <w:r>
        <w:rPr>
          <w:spacing w:val="-2"/>
        </w:rPr>
        <w:t>earnings.</w:t>
      </w:r>
    </w:p>
    <w:p>
      <w:pPr>
        <w:pStyle w:val="BodyText"/>
        <w:spacing w:line="249" w:lineRule="auto" w:before="186"/>
        <w:ind w:left="220" w:right="257" w:firstLine="540"/>
        <w:jc w:val="both"/>
      </w:pPr>
      <w:r>
        <w:rPr/>
        <w:t>Our</w:t>
      </w:r>
      <w:r>
        <w:rPr>
          <w:spacing w:val="-1"/>
        </w:rPr>
        <w:t> </w:t>
      </w:r>
      <w:r>
        <w:rPr/>
        <w:t>income</w:t>
      </w:r>
      <w:r>
        <w:rPr>
          <w:spacing w:val="-1"/>
        </w:rPr>
        <w:t> </w:t>
      </w:r>
      <w:r>
        <w:rPr/>
        <w:t>tax</w:t>
      </w:r>
      <w:r>
        <w:rPr>
          <w:spacing w:val="-1"/>
        </w:rPr>
        <w:t> </w:t>
      </w:r>
      <w:r>
        <w:rPr/>
        <w:t>expense</w:t>
      </w:r>
      <w:r>
        <w:rPr>
          <w:spacing w:val="-1"/>
        </w:rPr>
        <w:t> </w:t>
      </w:r>
      <w:r>
        <w:rPr/>
        <w:t>has</w:t>
      </w:r>
      <w:r>
        <w:rPr>
          <w:spacing w:val="-1"/>
        </w:rPr>
        <w:t> </w:t>
      </w:r>
      <w:r>
        <w:rPr/>
        <w:t>differed</w:t>
      </w:r>
      <w:r>
        <w:rPr>
          <w:spacing w:val="-1"/>
        </w:rPr>
        <w:t> </w:t>
      </w:r>
      <w:r>
        <w:rPr/>
        <w:t>from</w:t>
      </w:r>
      <w:r>
        <w:rPr>
          <w:spacing w:val="-1"/>
        </w:rPr>
        <w:t> </w:t>
      </w:r>
      <w:r>
        <w:rPr/>
        <w:t>the</w:t>
      </w:r>
      <w:r>
        <w:rPr>
          <w:spacing w:val="-1"/>
        </w:rPr>
        <w:t> </w:t>
      </w:r>
      <w:r>
        <w:rPr/>
        <w:t>tax</w:t>
      </w:r>
      <w:r>
        <w:rPr>
          <w:spacing w:val="-1"/>
        </w:rPr>
        <w:t> </w:t>
      </w:r>
      <w:r>
        <w:rPr/>
        <w:t>computed</w:t>
      </w:r>
      <w:r>
        <w:rPr>
          <w:spacing w:val="-1"/>
        </w:rPr>
        <w:t> </w:t>
      </w:r>
      <w:r>
        <w:rPr/>
        <w:t>at</w:t>
      </w:r>
      <w:r>
        <w:rPr>
          <w:spacing w:val="-1"/>
        </w:rPr>
        <w:t> </w:t>
      </w:r>
      <w:r>
        <w:rPr/>
        <w:t>the</w:t>
      </w:r>
      <w:r>
        <w:rPr>
          <w:spacing w:val="-1"/>
        </w:rPr>
        <w:t> </w:t>
      </w:r>
      <w:r>
        <w:rPr/>
        <w:t>U.S.</w:t>
      </w:r>
      <w:r>
        <w:rPr>
          <w:spacing w:val="-1"/>
        </w:rPr>
        <w:t> </w:t>
      </w:r>
      <w:r>
        <w:rPr/>
        <w:t>federal</w:t>
      </w:r>
      <w:r>
        <w:rPr>
          <w:spacing w:val="-1"/>
        </w:rPr>
        <w:t> </w:t>
      </w:r>
      <w:r>
        <w:rPr/>
        <w:t>statutory</w:t>
      </w:r>
      <w:r>
        <w:rPr>
          <w:spacing w:val="-1"/>
        </w:rPr>
        <w:t> </w:t>
      </w:r>
      <w:r>
        <w:rPr/>
        <w:t>income</w:t>
      </w:r>
      <w:r>
        <w:rPr>
          <w:spacing w:val="-1"/>
        </w:rPr>
        <w:t> </w:t>
      </w:r>
      <w:r>
        <w:rPr/>
        <w:t>tax</w:t>
      </w:r>
      <w:r>
        <w:rPr>
          <w:spacing w:val="-1"/>
        </w:rPr>
        <w:t> </w:t>
      </w:r>
      <w:r>
        <w:rPr/>
        <w:t>rate</w:t>
      </w:r>
      <w:r>
        <w:rPr>
          <w:spacing w:val="-1"/>
        </w:rPr>
        <w:t> </w:t>
      </w:r>
      <w:r>
        <w:rPr/>
        <w:t>due</w:t>
      </w:r>
      <w:r>
        <w:rPr>
          <w:spacing w:val="-1"/>
        </w:rPr>
        <w:t> </w:t>
      </w:r>
      <w:r>
        <w:rPr/>
        <w:t>primarily</w:t>
      </w:r>
      <w:r>
        <w:rPr>
          <w:spacing w:val="-1"/>
        </w:rPr>
        <w:t> </w:t>
      </w:r>
      <w:r>
        <w:rPr/>
        <w:t>to discrete</w:t>
      </w:r>
      <w:r>
        <w:rPr>
          <w:spacing w:val="-7"/>
        </w:rPr>
        <w:t> </w:t>
      </w:r>
      <w:r>
        <w:rPr/>
        <w:t>items</w:t>
      </w:r>
      <w:r>
        <w:rPr>
          <w:spacing w:val="-7"/>
        </w:rPr>
        <w:t> </w:t>
      </w:r>
      <w:r>
        <w:rPr/>
        <w:t>and</w:t>
      </w:r>
      <w:r>
        <w:rPr>
          <w:spacing w:val="-7"/>
        </w:rPr>
        <w:t> </w:t>
      </w:r>
      <w:r>
        <w:rPr/>
        <w:t>to</w:t>
      </w:r>
      <w:r>
        <w:rPr>
          <w:spacing w:val="-7"/>
        </w:rPr>
        <w:t> </w:t>
      </w:r>
      <w:r>
        <w:rPr/>
        <w:t>earnings</w:t>
      </w:r>
      <w:r>
        <w:rPr>
          <w:spacing w:val="-7"/>
        </w:rPr>
        <w:t> </w:t>
      </w:r>
      <w:r>
        <w:rPr/>
        <w:t>considered</w:t>
      </w:r>
      <w:r>
        <w:rPr>
          <w:spacing w:val="-7"/>
        </w:rPr>
        <w:t> </w:t>
      </w:r>
      <w:r>
        <w:rPr/>
        <w:t>as</w:t>
      </w:r>
      <w:r>
        <w:rPr>
          <w:spacing w:val="-7"/>
        </w:rPr>
        <w:t> </w:t>
      </w:r>
      <w:r>
        <w:rPr/>
        <w:t>permanently</w:t>
      </w:r>
      <w:r>
        <w:rPr>
          <w:spacing w:val="-7"/>
        </w:rPr>
        <w:t> </w:t>
      </w:r>
      <w:r>
        <w:rPr/>
        <w:t>reinvested</w:t>
      </w:r>
      <w:r>
        <w:rPr>
          <w:spacing w:val="-7"/>
        </w:rPr>
        <w:t> </w:t>
      </w:r>
      <w:r>
        <w:rPr/>
        <w:t>in</w:t>
      </w:r>
      <w:r>
        <w:rPr>
          <w:spacing w:val="-7"/>
        </w:rPr>
        <w:t> </w:t>
      </w:r>
      <w:r>
        <w:rPr/>
        <w:t>foreign</w:t>
      </w:r>
      <w:r>
        <w:rPr>
          <w:spacing w:val="-7"/>
        </w:rPr>
        <w:t> </w:t>
      </w:r>
      <w:r>
        <w:rPr/>
        <w:t>operations.</w:t>
      </w:r>
      <w:r>
        <w:rPr>
          <w:spacing w:val="-7"/>
        </w:rPr>
        <w:t> </w:t>
      </w:r>
      <w:r>
        <w:rPr/>
        <w:t>Unanticipated</w:t>
      </w:r>
      <w:r>
        <w:rPr>
          <w:spacing w:val="-7"/>
        </w:rPr>
        <w:t> </w:t>
      </w:r>
      <w:r>
        <w:rPr/>
        <w:t>changes</w:t>
      </w:r>
      <w:r>
        <w:rPr>
          <w:spacing w:val="-7"/>
        </w:rPr>
        <w:t> </w:t>
      </w:r>
      <w:r>
        <w:rPr/>
        <w:t>in</w:t>
      </w:r>
      <w:r>
        <w:rPr>
          <w:spacing w:val="-7"/>
        </w:rPr>
        <w:t> </w:t>
      </w:r>
      <w:r>
        <w:rPr/>
        <w:t>our</w:t>
      </w:r>
      <w:r>
        <w:rPr>
          <w:spacing w:val="-7"/>
        </w:rPr>
        <w:t> </w:t>
      </w:r>
      <w:r>
        <w:rPr/>
        <w:t>tax</w:t>
      </w:r>
      <w:r>
        <w:rPr>
          <w:spacing w:val="-7"/>
        </w:rPr>
        <w:t> </w:t>
      </w:r>
      <w:r>
        <w:rPr/>
        <w:t>rates could affect our future results of operations. Our future effective tax rates could be unfavorably affected by changes in the tax </w:t>
      </w:r>
      <w:r>
        <w:rPr>
          <w:spacing w:val="-2"/>
        </w:rPr>
        <w:t>rates</w:t>
      </w:r>
      <w:r>
        <w:rPr>
          <w:spacing w:val="-4"/>
        </w:rPr>
        <w:t> </w:t>
      </w:r>
      <w:r>
        <w:rPr>
          <w:spacing w:val="-2"/>
        </w:rPr>
        <w:t>in</w:t>
      </w:r>
      <w:r>
        <w:rPr>
          <w:spacing w:val="-4"/>
        </w:rPr>
        <w:t> </w:t>
      </w:r>
      <w:r>
        <w:rPr>
          <w:spacing w:val="-2"/>
        </w:rPr>
        <w:t>jurisdictions</w:t>
      </w:r>
      <w:r>
        <w:rPr>
          <w:spacing w:val="-4"/>
        </w:rPr>
        <w:t> </w:t>
      </w:r>
      <w:r>
        <w:rPr>
          <w:spacing w:val="-2"/>
        </w:rPr>
        <w:t>where</w:t>
      </w:r>
      <w:r>
        <w:rPr>
          <w:spacing w:val="-4"/>
        </w:rPr>
        <w:t> </w:t>
      </w:r>
      <w:r>
        <w:rPr>
          <w:spacing w:val="-2"/>
        </w:rPr>
        <w:t>our</w:t>
      </w:r>
      <w:r>
        <w:rPr>
          <w:spacing w:val="-4"/>
        </w:rPr>
        <w:t> </w:t>
      </w:r>
      <w:r>
        <w:rPr>
          <w:spacing w:val="-2"/>
        </w:rPr>
        <w:t>income</w:t>
      </w:r>
      <w:r>
        <w:rPr>
          <w:spacing w:val="-5"/>
        </w:rPr>
        <w:t> </w:t>
      </w:r>
      <w:r>
        <w:rPr>
          <w:spacing w:val="-2"/>
        </w:rPr>
        <w:t>is</w:t>
      </w:r>
      <w:r>
        <w:rPr>
          <w:spacing w:val="-4"/>
        </w:rPr>
        <w:t> </w:t>
      </w:r>
      <w:r>
        <w:rPr>
          <w:spacing w:val="-2"/>
        </w:rPr>
        <w:t>earned,</w:t>
      </w:r>
      <w:r>
        <w:rPr>
          <w:spacing w:val="-4"/>
        </w:rPr>
        <w:t> </w:t>
      </w:r>
      <w:r>
        <w:rPr>
          <w:spacing w:val="-2"/>
        </w:rPr>
        <w:t>by</w:t>
      </w:r>
      <w:r>
        <w:rPr>
          <w:spacing w:val="-4"/>
        </w:rPr>
        <w:t> </w:t>
      </w:r>
      <w:r>
        <w:rPr>
          <w:spacing w:val="-2"/>
        </w:rPr>
        <w:t>changes</w:t>
      </w:r>
      <w:r>
        <w:rPr>
          <w:spacing w:val="-4"/>
        </w:rPr>
        <w:t> </w:t>
      </w:r>
      <w:r>
        <w:rPr>
          <w:spacing w:val="-2"/>
        </w:rPr>
        <w:t>in</w:t>
      </w:r>
      <w:r>
        <w:rPr>
          <w:spacing w:val="-4"/>
        </w:rPr>
        <w:t> </w:t>
      </w:r>
      <w:r>
        <w:rPr>
          <w:spacing w:val="-2"/>
        </w:rPr>
        <w:t>or</w:t>
      </w:r>
      <w:r>
        <w:rPr>
          <w:spacing w:val="-4"/>
        </w:rPr>
        <w:t> </w:t>
      </w:r>
      <w:r>
        <w:rPr>
          <w:spacing w:val="-2"/>
        </w:rPr>
        <w:t>our</w:t>
      </w:r>
      <w:r>
        <w:rPr>
          <w:spacing w:val="-4"/>
        </w:rPr>
        <w:t> </w:t>
      </w:r>
      <w:r>
        <w:rPr>
          <w:spacing w:val="-2"/>
        </w:rPr>
        <w:t>interpretation</w:t>
      </w:r>
      <w:r>
        <w:rPr>
          <w:spacing w:val="-4"/>
        </w:rPr>
        <w:t> </w:t>
      </w:r>
      <w:r>
        <w:rPr>
          <w:spacing w:val="-2"/>
        </w:rPr>
        <w:t>of</w:t>
      </w:r>
      <w:r>
        <w:rPr>
          <w:spacing w:val="-4"/>
        </w:rPr>
        <w:t> </w:t>
      </w:r>
      <w:r>
        <w:rPr>
          <w:spacing w:val="-2"/>
        </w:rPr>
        <w:t>tax</w:t>
      </w:r>
      <w:r>
        <w:rPr>
          <w:spacing w:val="-4"/>
        </w:rPr>
        <w:t> </w:t>
      </w:r>
      <w:r>
        <w:rPr>
          <w:spacing w:val="-2"/>
        </w:rPr>
        <w:t>rules</w:t>
      </w:r>
      <w:r>
        <w:rPr>
          <w:spacing w:val="-4"/>
        </w:rPr>
        <w:t> </w:t>
      </w:r>
      <w:r>
        <w:rPr>
          <w:spacing w:val="-2"/>
        </w:rPr>
        <w:t>and</w:t>
      </w:r>
      <w:r>
        <w:rPr>
          <w:spacing w:val="-4"/>
        </w:rPr>
        <w:t> </w:t>
      </w:r>
      <w:r>
        <w:rPr>
          <w:spacing w:val="-2"/>
        </w:rPr>
        <w:t>regulations</w:t>
      </w:r>
      <w:r>
        <w:rPr>
          <w:spacing w:val="-4"/>
        </w:rPr>
        <w:t> </w:t>
      </w:r>
      <w:r>
        <w:rPr>
          <w:spacing w:val="-2"/>
        </w:rPr>
        <w:t>in</w:t>
      </w:r>
      <w:r>
        <w:rPr>
          <w:spacing w:val="-4"/>
        </w:rPr>
        <w:t> </w:t>
      </w:r>
      <w:r>
        <w:rPr>
          <w:spacing w:val="-2"/>
        </w:rPr>
        <w:t>the</w:t>
      </w:r>
      <w:r>
        <w:rPr>
          <w:spacing w:val="-4"/>
        </w:rPr>
        <w:t> </w:t>
      </w:r>
      <w:r>
        <w:rPr>
          <w:spacing w:val="-2"/>
        </w:rPr>
        <w:t>jurisdictions </w:t>
      </w:r>
      <w:r>
        <w:rPr/>
        <w:t>in which we do business, by unanticipated decreases in the amount of earnings in countries with low statutory tax rates, by </w:t>
      </w:r>
      <w:r>
        <w:rPr>
          <w:spacing w:val="-2"/>
        </w:rPr>
        <w:t>unexpected</w:t>
      </w:r>
      <w:r>
        <w:rPr>
          <w:spacing w:val="-9"/>
        </w:rPr>
        <w:t> </w:t>
      </w:r>
      <w:r>
        <w:rPr>
          <w:spacing w:val="-2"/>
        </w:rPr>
        <w:t>negative</w:t>
      </w:r>
      <w:r>
        <w:rPr>
          <w:spacing w:val="-9"/>
        </w:rPr>
        <w:t> </w:t>
      </w:r>
      <w:r>
        <w:rPr>
          <w:spacing w:val="-2"/>
        </w:rPr>
        <w:t>changes</w:t>
      </w:r>
      <w:r>
        <w:rPr>
          <w:spacing w:val="-9"/>
        </w:rPr>
        <w:t> </w:t>
      </w:r>
      <w:r>
        <w:rPr>
          <w:spacing w:val="-2"/>
        </w:rPr>
        <w:t>in</w:t>
      </w:r>
      <w:r>
        <w:rPr>
          <w:spacing w:val="-9"/>
        </w:rPr>
        <w:t> </w:t>
      </w:r>
      <w:r>
        <w:rPr>
          <w:spacing w:val="-2"/>
        </w:rPr>
        <w:t>business</w:t>
      </w:r>
      <w:r>
        <w:rPr>
          <w:spacing w:val="-9"/>
        </w:rPr>
        <w:t> </w:t>
      </w:r>
      <w:r>
        <w:rPr>
          <w:spacing w:val="-2"/>
        </w:rPr>
        <w:t>and</w:t>
      </w:r>
      <w:r>
        <w:rPr>
          <w:spacing w:val="-9"/>
        </w:rPr>
        <w:t> </w:t>
      </w:r>
      <w:r>
        <w:rPr>
          <w:spacing w:val="-2"/>
        </w:rPr>
        <w:t>market</w:t>
      </w:r>
      <w:r>
        <w:rPr>
          <w:spacing w:val="-9"/>
        </w:rPr>
        <w:t> </w:t>
      </w:r>
      <w:r>
        <w:rPr>
          <w:spacing w:val="-2"/>
        </w:rPr>
        <w:t>conditions</w:t>
      </w:r>
      <w:r>
        <w:rPr>
          <w:spacing w:val="-9"/>
        </w:rPr>
        <w:t> </w:t>
      </w:r>
      <w:r>
        <w:rPr>
          <w:spacing w:val="-2"/>
        </w:rPr>
        <w:t>that</w:t>
      </w:r>
      <w:r>
        <w:rPr>
          <w:spacing w:val="-9"/>
        </w:rPr>
        <w:t> </w:t>
      </w:r>
      <w:r>
        <w:rPr>
          <w:spacing w:val="-2"/>
        </w:rPr>
        <w:t>could</w:t>
      </w:r>
      <w:r>
        <w:rPr>
          <w:spacing w:val="-9"/>
        </w:rPr>
        <w:t> </w:t>
      </w:r>
      <w:r>
        <w:rPr>
          <w:spacing w:val="-2"/>
        </w:rPr>
        <w:t>reduce</w:t>
      </w:r>
      <w:r>
        <w:rPr>
          <w:spacing w:val="-11"/>
        </w:rPr>
        <w:t> </w:t>
      </w:r>
      <w:r>
        <w:rPr>
          <w:spacing w:val="-2"/>
        </w:rPr>
        <w:t>certain</w:t>
      </w:r>
      <w:r>
        <w:rPr>
          <w:spacing w:val="-9"/>
        </w:rPr>
        <w:t> </w:t>
      </w:r>
      <w:r>
        <w:rPr>
          <w:spacing w:val="-2"/>
        </w:rPr>
        <w:t>tax</w:t>
      </w:r>
      <w:r>
        <w:rPr>
          <w:spacing w:val="-9"/>
        </w:rPr>
        <w:t> </w:t>
      </w:r>
      <w:r>
        <w:rPr>
          <w:spacing w:val="-2"/>
        </w:rPr>
        <w:t>benefits,</w:t>
      </w:r>
      <w:r>
        <w:rPr>
          <w:spacing w:val="-9"/>
        </w:rPr>
        <w:t> </w:t>
      </w:r>
      <w:r>
        <w:rPr>
          <w:spacing w:val="-2"/>
        </w:rPr>
        <w:t>or</w:t>
      </w:r>
      <w:r>
        <w:rPr>
          <w:spacing w:val="-9"/>
        </w:rPr>
        <w:t> </w:t>
      </w:r>
      <w:r>
        <w:rPr>
          <w:spacing w:val="-2"/>
        </w:rPr>
        <w:t>by</w:t>
      </w:r>
      <w:r>
        <w:rPr>
          <w:spacing w:val="-9"/>
        </w:rPr>
        <w:t> </w:t>
      </w:r>
      <w:r>
        <w:rPr>
          <w:spacing w:val="-2"/>
        </w:rPr>
        <w:t>changes</w:t>
      </w:r>
      <w:r>
        <w:rPr>
          <w:spacing w:val="-9"/>
        </w:rPr>
        <w:t> </w:t>
      </w:r>
      <w:r>
        <w:rPr>
          <w:spacing w:val="-2"/>
        </w:rPr>
        <w:t>in</w:t>
      </w:r>
      <w:r>
        <w:rPr>
          <w:spacing w:val="-9"/>
        </w:rPr>
        <w:t> </w:t>
      </w:r>
      <w:r>
        <w:rPr>
          <w:spacing w:val="-2"/>
        </w:rPr>
        <w:t>the</w:t>
      </w:r>
      <w:r>
        <w:rPr>
          <w:spacing w:val="-9"/>
        </w:rPr>
        <w:t> </w:t>
      </w:r>
      <w:r>
        <w:rPr>
          <w:spacing w:val="-2"/>
        </w:rPr>
        <w:t>valuation </w:t>
      </w:r>
      <w:r>
        <w:rPr/>
        <w:t>of our deferred tax assets and liabilities.</w:t>
      </w:r>
    </w:p>
    <w:p>
      <w:pPr>
        <w:pStyle w:val="BodyText"/>
        <w:spacing w:line="249" w:lineRule="auto" w:before="166"/>
        <w:ind w:left="220" w:right="257" w:firstLine="540"/>
        <w:jc w:val="both"/>
      </w:pPr>
      <w:r>
        <w:rPr/>
        <w:t>In addition, in the United States, the European Commission, countries in the European Union and other countries where we do business, we are subject to potential changes in relevant tax, accounting and other laws, regulations and interpretations, </w:t>
      </w:r>
      <w:r>
        <w:rPr>
          <w:spacing w:val="-2"/>
        </w:rPr>
        <w:t>including</w:t>
      </w:r>
      <w:r>
        <w:rPr>
          <w:spacing w:val="-11"/>
        </w:rPr>
        <w:t> </w:t>
      </w:r>
      <w:r>
        <w:rPr>
          <w:spacing w:val="-2"/>
        </w:rPr>
        <w:t>changes</w:t>
      </w:r>
      <w:r>
        <w:rPr>
          <w:spacing w:val="-7"/>
        </w:rPr>
        <w:t> </w:t>
      </w:r>
      <w:r>
        <w:rPr>
          <w:spacing w:val="-2"/>
        </w:rPr>
        <w:t>to</w:t>
      </w:r>
      <w:r>
        <w:rPr>
          <w:spacing w:val="-5"/>
        </w:rPr>
        <w:t> </w:t>
      </w:r>
      <w:r>
        <w:rPr>
          <w:spacing w:val="-2"/>
        </w:rPr>
        <w:t>tax</w:t>
      </w:r>
      <w:r>
        <w:rPr>
          <w:spacing w:val="-7"/>
        </w:rPr>
        <w:t> </w:t>
      </w:r>
      <w:r>
        <w:rPr>
          <w:spacing w:val="-2"/>
        </w:rPr>
        <w:t>laws</w:t>
      </w:r>
      <w:r>
        <w:rPr>
          <w:spacing w:val="-5"/>
        </w:rPr>
        <w:t> </w:t>
      </w:r>
      <w:r>
        <w:rPr>
          <w:spacing w:val="-2"/>
        </w:rPr>
        <w:t>applicable</w:t>
      </w:r>
      <w:r>
        <w:rPr>
          <w:spacing w:val="-7"/>
        </w:rPr>
        <w:t> </w:t>
      </w:r>
      <w:r>
        <w:rPr>
          <w:spacing w:val="-2"/>
        </w:rPr>
        <w:t>to</w:t>
      </w:r>
      <w:r>
        <w:rPr>
          <w:spacing w:val="-7"/>
        </w:rPr>
        <w:t> </w:t>
      </w:r>
      <w:r>
        <w:rPr>
          <w:spacing w:val="-2"/>
        </w:rPr>
        <w:t>corporate</w:t>
      </w:r>
      <w:r>
        <w:rPr>
          <w:spacing w:val="-7"/>
        </w:rPr>
        <w:t> </w:t>
      </w:r>
      <w:r>
        <w:rPr>
          <w:spacing w:val="-2"/>
        </w:rPr>
        <w:t>multinationals</w:t>
      </w:r>
      <w:r>
        <w:rPr>
          <w:spacing w:val="-5"/>
        </w:rPr>
        <w:t> </w:t>
      </w:r>
      <w:r>
        <w:rPr>
          <w:spacing w:val="-2"/>
        </w:rPr>
        <w:t>such</w:t>
      </w:r>
      <w:r>
        <w:rPr>
          <w:spacing w:val="-7"/>
        </w:rPr>
        <w:t> </w:t>
      </w:r>
      <w:r>
        <w:rPr>
          <w:spacing w:val="-2"/>
        </w:rPr>
        <w:t>as</w:t>
      </w:r>
      <w:r>
        <w:rPr>
          <w:spacing w:val="-11"/>
        </w:rPr>
        <w:t> </w:t>
      </w:r>
      <w:r>
        <w:rPr>
          <w:spacing w:val="-2"/>
        </w:rPr>
        <w:t>Adobe.</w:t>
      </w:r>
      <w:r>
        <w:rPr>
          <w:spacing w:val="-9"/>
        </w:rPr>
        <w:t> </w:t>
      </w:r>
      <w:r>
        <w:rPr>
          <w:spacing w:val="-2"/>
        </w:rPr>
        <w:t>These</w:t>
      </w:r>
      <w:r>
        <w:rPr>
          <w:spacing w:val="-7"/>
        </w:rPr>
        <w:t> </w:t>
      </w:r>
      <w:r>
        <w:rPr>
          <w:spacing w:val="-2"/>
        </w:rPr>
        <w:t>countries</w:t>
      </w:r>
      <w:r>
        <w:rPr>
          <w:spacing w:val="-7"/>
        </w:rPr>
        <w:t> </w:t>
      </w:r>
      <w:r>
        <w:rPr>
          <w:spacing w:val="-2"/>
        </w:rPr>
        <w:t>and</w:t>
      </w:r>
      <w:r>
        <w:rPr>
          <w:spacing w:val="-7"/>
        </w:rPr>
        <w:t> </w:t>
      </w:r>
      <w:r>
        <w:rPr>
          <w:spacing w:val="-2"/>
        </w:rPr>
        <w:t>other</w:t>
      </w:r>
      <w:r>
        <w:rPr>
          <w:spacing w:val="-7"/>
        </w:rPr>
        <w:t> </w:t>
      </w:r>
      <w:r>
        <w:rPr>
          <w:spacing w:val="-2"/>
        </w:rPr>
        <w:t>governmental</w:t>
      </w:r>
      <w:r>
        <w:rPr>
          <w:spacing w:val="-7"/>
        </w:rPr>
        <w:t> </w:t>
      </w:r>
      <w:r>
        <w:rPr>
          <w:spacing w:val="-2"/>
        </w:rPr>
        <w:t>bodies </w:t>
      </w:r>
      <w:r>
        <w:rPr/>
        <w:t>have or could make unprecedented assertions about how earnings in their jurisdictions might be determined that are contrary to the</w:t>
      </w:r>
      <w:r>
        <w:rPr>
          <w:spacing w:val="-8"/>
        </w:rPr>
        <w:t> </w:t>
      </w:r>
      <w:r>
        <w:rPr/>
        <w:t>way</w:t>
      </w:r>
      <w:r>
        <w:rPr>
          <w:spacing w:val="-7"/>
        </w:rPr>
        <w:t> </w:t>
      </w:r>
      <w:r>
        <w:rPr/>
        <w:t>in</w:t>
      </w:r>
      <w:r>
        <w:rPr>
          <w:spacing w:val="-7"/>
        </w:rPr>
        <w:t> </w:t>
      </w:r>
      <w:r>
        <w:rPr/>
        <w:t>which</w:t>
      </w:r>
      <w:r>
        <w:rPr>
          <w:spacing w:val="-8"/>
        </w:rPr>
        <w:t> </w:t>
      </w:r>
      <w:r>
        <w:rPr/>
        <w:t>we</w:t>
      </w:r>
      <w:r>
        <w:rPr>
          <w:spacing w:val="-8"/>
        </w:rPr>
        <w:t> </w:t>
      </w:r>
      <w:r>
        <w:rPr/>
        <w:t>have</w:t>
      </w:r>
      <w:r>
        <w:rPr>
          <w:spacing w:val="-8"/>
        </w:rPr>
        <w:t> </w:t>
      </w:r>
      <w:r>
        <w:rPr/>
        <w:t>interpreted</w:t>
      </w:r>
      <w:r>
        <w:rPr>
          <w:spacing w:val="-8"/>
        </w:rPr>
        <w:t> </w:t>
      </w:r>
      <w:r>
        <w:rPr/>
        <w:t>and</w:t>
      </w:r>
      <w:r>
        <w:rPr>
          <w:spacing w:val="-7"/>
        </w:rPr>
        <w:t> </w:t>
      </w:r>
      <w:r>
        <w:rPr/>
        <w:t>historically</w:t>
      </w:r>
      <w:r>
        <w:rPr>
          <w:spacing w:val="-7"/>
        </w:rPr>
        <w:t> </w:t>
      </w:r>
      <w:r>
        <w:rPr/>
        <w:t>applied</w:t>
      </w:r>
      <w:r>
        <w:rPr>
          <w:spacing w:val="-8"/>
        </w:rPr>
        <w:t> </w:t>
      </w:r>
      <w:r>
        <w:rPr/>
        <w:t>the</w:t>
      </w:r>
      <w:r>
        <w:rPr>
          <w:spacing w:val="-8"/>
        </w:rPr>
        <w:t> </w:t>
      </w:r>
      <w:r>
        <w:rPr/>
        <w:t>rules</w:t>
      </w:r>
      <w:r>
        <w:rPr>
          <w:spacing w:val="-7"/>
        </w:rPr>
        <w:t> </w:t>
      </w:r>
      <w:r>
        <w:rPr/>
        <w:t>and</w:t>
      </w:r>
      <w:r>
        <w:rPr>
          <w:spacing w:val="-7"/>
        </w:rPr>
        <w:t> </w:t>
      </w:r>
      <w:r>
        <w:rPr/>
        <w:t>regulations</w:t>
      </w:r>
      <w:r>
        <w:rPr>
          <w:spacing w:val="-7"/>
        </w:rPr>
        <w:t> </w:t>
      </w:r>
      <w:r>
        <w:rPr/>
        <w:t>described</w:t>
      </w:r>
      <w:r>
        <w:rPr>
          <w:spacing w:val="-8"/>
        </w:rPr>
        <w:t> </w:t>
      </w:r>
      <w:r>
        <w:rPr/>
        <w:t>above</w:t>
      </w:r>
      <w:r>
        <w:rPr>
          <w:spacing w:val="-8"/>
        </w:rPr>
        <w:t> </w:t>
      </w:r>
      <w:r>
        <w:rPr/>
        <w:t>in</w:t>
      </w:r>
      <w:r>
        <w:rPr>
          <w:spacing w:val="-7"/>
        </w:rPr>
        <w:t> </w:t>
      </w:r>
      <w:r>
        <w:rPr/>
        <w:t>our</w:t>
      </w:r>
      <w:r>
        <w:rPr>
          <w:spacing w:val="-7"/>
        </w:rPr>
        <w:t> </w:t>
      </w:r>
      <w:r>
        <w:rPr/>
        <w:t>income</w:t>
      </w:r>
      <w:r>
        <w:rPr>
          <w:spacing w:val="-8"/>
        </w:rPr>
        <w:t> </w:t>
      </w:r>
      <w:r>
        <w:rPr/>
        <w:t>tax</w:t>
      </w:r>
      <w:r>
        <w:rPr>
          <w:spacing w:val="-8"/>
        </w:rPr>
        <w:t> </w:t>
      </w:r>
      <w:r>
        <w:rPr/>
        <w:t>returns </w:t>
      </w:r>
      <w:r>
        <w:rPr>
          <w:spacing w:val="-2"/>
        </w:rPr>
        <w:t>filed</w:t>
      </w:r>
      <w:r>
        <w:rPr>
          <w:spacing w:val="-3"/>
        </w:rPr>
        <w:t> </w:t>
      </w:r>
      <w:r>
        <w:rPr>
          <w:spacing w:val="-2"/>
        </w:rPr>
        <w:t>in</w:t>
      </w:r>
      <w:r>
        <w:rPr>
          <w:spacing w:val="-3"/>
        </w:rPr>
        <w:t> </w:t>
      </w:r>
      <w:r>
        <w:rPr>
          <w:spacing w:val="-2"/>
        </w:rPr>
        <w:t>such</w:t>
      </w:r>
      <w:r>
        <w:rPr>
          <w:spacing w:val="-3"/>
        </w:rPr>
        <w:t> </w:t>
      </w:r>
      <w:r>
        <w:rPr>
          <w:spacing w:val="-2"/>
        </w:rPr>
        <w:t>jurisdictions.</w:t>
      </w:r>
      <w:r>
        <w:rPr>
          <w:spacing w:val="-4"/>
        </w:rPr>
        <w:t> </w:t>
      </w:r>
      <w:r>
        <w:rPr>
          <w:spacing w:val="-2"/>
        </w:rPr>
        <w:t>In</w:t>
      </w:r>
      <w:r>
        <w:rPr>
          <w:spacing w:val="-3"/>
        </w:rPr>
        <w:t> </w:t>
      </w:r>
      <w:r>
        <w:rPr>
          <w:spacing w:val="-2"/>
        </w:rPr>
        <w:t>the</w:t>
      </w:r>
      <w:r>
        <w:rPr>
          <w:spacing w:val="-4"/>
        </w:rPr>
        <w:t> </w:t>
      </w:r>
      <w:r>
        <w:rPr>
          <w:spacing w:val="-2"/>
        </w:rPr>
        <w:t>current</w:t>
      </w:r>
      <w:r>
        <w:rPr>
          <w:spacing w:val="-4"/>
        </w:rPr>
        <w:t> </w:t>
      </w:r>
      <w:r>
        <w:rPr>
          <w:spacing w:val="-2"/>
        </w:rPr>
        <w:t>global</w:t>
      </w:r>
      <w:r>
        <w:rPr>
          <w:spacing w:val="-4"/>
        </w:rPr>
        <w:t> </w:t>
      </w:r>
      <w:r>
        <w:rPr>
          <w:spacing w:val="-2"/>
        </w:rPr>
        <w:t>tax</w:t>
      </w:r>
      <w:r>
        <w:rPr>
          <w:spacing w:val="-3"/>
        </w:rPr>
        <w:t> </w:t>
      </w:r>
      <w:r>
        <w:rPr>
          <w:spacing w:val="-2"/>
        </w:rPr>
        <w:t>policy</w:t>
      </w:r>
      <w:r>
        <w:rPr>
          <w:spacing w:val="-4"/>
        </w:rPr>
        <w:t> </w:t>
      </w:r>
      <w:r>
        <w:rPr>
          <w:spacing w:val="-2"/>
        </w:rPr>
        <w:t>environment,</w:t>
      </w:r>
      <w:r>
        <w:rPr>
          <w:spacing w:val="-3"/>
        </w:rPr>
        <w:t> </w:t>
      </w:r>
      <w:r>
        <w:rPr>
          <w:spacing w:val="-2"/>
        </w:rPr>
        <w:t>any</w:t>
      </w:r>
      <w:r>
        <w:rPr>
          <w:spacing w:val="-3"/>
        </w:rPr>
        <w:t> </w:t>
      </w:r>
      <w:r>
        <w:rPr>
          <w:spacing w:val="-2"/>
        </w:rPr>
        <w:t>changes</w:t>
      </w:r>
      <w:r>
        <w:rPr>
          <w:spacing w:val="-3"/>
        </w:rPr>
        <w:t> </w:t>
      </w:r>
      <w:r>
        <w:rPr>
          <w:spacing w:val="-2"/>
        </w:rPr>
        <w:t>in</w:t>
      </w:r>
      <w:r>
        <w:rPr>
          <w:spacing w:val="-3"/>
        </w:rPr>
        <w:t> </w:t>
      </w:r>
      <w:r>
        <w:rPr>
          <w:spacing w:val="-2"/>
        </w:rPr>
        <w:t>laws,</w:t>
      </w:r>
      <w:r>
        <w:rPr>
          <w:spacing w:val="-3"/>
        </w:rPr>
        <w:t> </w:t>
      </w:r>
      <w:r>
        <w:rPr>
          <w:spacing w:val="-2"/>
        </w:rPr>
        <w:t>regulations</w:t>
      </w:r>
      <w:r>
        <w:rPr>
          <w:spacing w:val="-3"/>
        </w:rPr>
        <w:t> </w:t>
      </w:r>
      <w:r>
        <w:rPr>
          <w:spacing w:val="-2"/>
        </w:rPr>
        <w:t>and</w:t>
      </w:r>
      <w:r>
        <w:rPr>
          <w:spacing w:val="-3"/>
        </w:rPr>
        <w:t> </w:t>
      </w:r>
      <w:r>
        <w:rPr>
          <w:spacing w:val="-2"/>
        </w:rPr>
        <w:t>interpretations</w:t>
      </w:r>
      <w:r>
        <w:rPr>
          <w:spacing w:val="-3"/>
        </w:rPr>
        <w:t> </w:t>
      </w:r>
      <w:r>
        <w:rPr>
          <w:spacing w:val="-2"/>
        </w:rPr>
        <w:t>related </w:t>
      </w:r>
      <w:r>
        <w:rPr/>
        <w:t>to these assertions could adversely affect our effective tax rates or result in other costs to us, which could adversely affect our operations and financial results.</w:t>
      </w:r>
    </w:p>
    <w:p>
      <w:pPr>
        <w:pStyle w:val="BodyText"/>
        <w:spacing w:line="249" w:lineRule="auto" w:before="166"/>
        <w:ind w:left="220" w:right="257" w:firstLine="720"/>
        <w:jc w:val="both"/>
      </w:pPr>
      <w:r>
        <w:rPr/>
        <w:t>Moreover, we are subject to the continual examination of our income tax returns by the IRS and other domestic and foreign tax authorities. These tax examinations are expected to focus on our intercompany transfer pricing practices as well as other</w:t>
      </w:r>
      <w:r>
        <w:rPr>
          <w:spacing w:val="-10"/>
        </w:rPr>
        <w:t> </w:t>
      </w:r>
      <w:r>
        <w:rPr/>
        <w:t>matters.</w:t>
      </w:r>
      <w:r>
        <w:rPr>
          <w:spacing w:val="-13"/>
        </w:rPr>
        <w:t> </w:t>
      </w:r>
      <w:r>
        <w:rPr/>
        <w:t>We</w:t>
      </w:r>
      <w:r>
        <w:rPr>
          <w:spacing w:val="-10"/>
        </w:rPr>
        <w:t> </w:t>
      </w:r>
      <w:r>
        <w:rPr/>
        <w:t>regularly</w:t>
      </w:r>
      <w:r>
        <w:rPr>
          <w:spacing w:val="-10"/>
        </w:rPr>
        <w:t> </w:t>
      </w:r>
      <w:r>
        <w:rPr/>
        <w:t>assess</w:t>
      </w:r>
      <w:r>
        <w:rPr>
          <w:spacing w:val="-10"/>
        </w:rPr>
        <w:t> </w:t>
      </w:r>
      <w:r>
        <w:rPr/>
        <w:t>the</w:t>
      </w:r>
      <w:r>
        <w:rPr>
          <w:spacing w:val="-10"/>
        </w:rPr>
        <w:t> </w:t>
      </w:r>
      <w:r>
        <w:rPr/>
        <w:t>likelihood</w:t>
      </w:r>
      <w:r>
        <w:rPr>
          <w:spacing w:val="-10"/>
        </w:rPr>
        <w:t> </w:t>
      </w:r>
      <w:r>
        <w:rPr/>
        <w:t>of</w:t>
      </w:r>
      <w:r>
        <w:rPr>
          <w:spacing w:val="-10"/>
        </w:rPr>
        <w:t> </w:t>
      </w:r>
      <w:r>
        <w:rPr/>
        <w:t>outcomes</w:t>
      </w:r>
      <w:r>
        <w:rPr>
          <w:spacing w:val="-10"/>
        </w:rPr>
        <w:t> </w:t>
      </w:r>
      <w:r>
        <w:rPr/>
        <w:t>resulting</w:t>
      </w:r>
      <w:r>
        <w:rPr>
          <w:spacing w:val="-10"/>
        </w:rPr>
        <w:t> </w:t>
      </w:r>
      <w:r>
        <w:rPr/>
        <w:t>from</w:t>
      </w:r>
      <w:r>
        <w:rPr>
          <w:spacing w:val="-10"/>
        </w:rPr>
        <w:t> </w:t>
      </w:r>
      <w:r>
        <w:rPr/>
        <w:t>these</w:t>
      </w:r>
      <w:r>
        <w:rPr>
          <w:spacing w:val="-10"/>
        </w:rPr>
        <w:t> </w:t>
      </w:r>
      <w:r>
        <w:rPr/>
        <w:t>examinations</w:t>
      </w:r>
      <w:r>
        <w:rPr>
          <w:spacing w:val="-10"/>
        </w:rPr>
        <w:t> </w:t>
      </w:r>
      <w:r>
        <w:rPr/>
        <w:t>to</w:t>
      </w:r>
      <w:r>
        <w:rPr>
          <w:spacing w:val="-10"/>
        </w:rPr>
        <w:t> </w:t>
      </w:r>
      <w:r>
        <w:rPr/>
        <w:t>determine</w:t>
      </w:r>
      <w:r>
        <w:rPr>
          <w:spacing w:val="-10"/>
        </w:rPr>
        <w:t> </w:t>
      </w:r>
      <w:r>
        <w:rPr/>
        <w:t>the</w:t>
      </w:r>
      <w:r>
        <w:rPr>
          <w:spacing w:val="-10"/>
        </w:rPr>
        <w:t> </w:t>
      </w:r>
      <w:r>
        <w:rPr/>
        <w:t>adequacy</w:t>
      </w:r>
      <w:r>
        <w:rPr>
          <w:spacing w:val="-10"/>
        </w:rPr>
        <w:t> </w:t>
      </w:r>
      <w:r>
        <w:rPr/>
        <w:t>of</w:t>
      </w:r>
      <w:r>
        <w:rPr>
          <w:spacing w:val="-10"/>
        </w:rPr>
        <w:t> </w:t>
      </w:r>
      <w:r>
        <w:rPr/>
        <w:t>our </w:t>
      </w:r>
      <w:r>
        <w:rPr>
          <w:spacing w:val="-2"/>
        </w:rPr>
        <w:t>provision</w:t>
      </w:r>
      <w:r>
        <w:rPr>
          <w:spacing w:val="-11"/>
        </w:rPr>
        <w:t> </w:t>
      </w:r>
      <w:r>
        <w:rPr>
          <w:spacing w:val="-2"/>
        </w:rPr>
        <w:t>for</w:t>
      </w:r>
      <w:r>
        <w:rPr>
          <w:spacing w:val="-10"/>
        </w:rPr>
        <w:t> </w:t>
      </w:r>
      <w:r>
        <w:rPr>
          <w:spacing w:val="-2"/>
        </w:rPr>
        <w:t>income</w:t>
      </w:r>
      <w:r>
        <w:rPr>
          <w:spacing w:val="-11"/>
        </w:rPr>
        <w:t> </w:t>
      </w:r>
      <w:r>
        <w:rPr>
          <w:spacing w:val="-2"/>
        </w:rPr>
        <w:t>taxes</w:t>
      </w:r>
      <w:r>
        <w:rPr>
          <w:spacing w:val="-10"/>
        </w:rPr>
        <w:t> </w:t>
      </w:r>
      <w:r>
        <w:rPr>
          <w:spacing w:val="-2"/>
        </w:rPr>
        <w:t>and</w:t>
      </w:r>
      <w:r>
        <w:rPr>
          <w:spacing w:val="-11"/>
        </w:rPr>
        <w:t> </w:t>
      </w:r>
      <w:r>
        <w:rPr>
          <w:spacing w:val="-2"/>
        </w:rPr>
        <w:t>have</w:t>
      </w:r>
      <w:r>
        <w:rPr>
          <w:spacing w:val="-10"/>
        </w:rPr>
        <w:t> </w:t>
      </w:r>
      <w:r>
        <w:rPr>
          <w:spacing w:val="-2"/>
        </w:rPr>
        <w:t>reserved</w:t>
      </w:r>
      <w:r>
        <w:rPr>
          <w:spacing w:val="-11"/>
        </w:rPr>
        <w:t> </w:t>
      </w:r>
      <w:r>
        <w:rPr>
          <w:spacing w:val="-2"/>
        </w:rPr>
        <w:t>for</w:t>
      </w:r>
      <w:r>
        <w:rPr>
          <w:spacing w:val="-10"/>
        </w:rPr>
        <w:t> </w:t>
      </w:r>
      <w:r>
        <w:rPr>
          <w:spacing w:val="-2"/>
        </w:rPr>
        <w:t>adjustments</w:t>
      </w:r>
      <w:r>
        <w:rPr>
          <w:spacing w:val="-11"/>
        </w:rPr>
        <w:t> </w:t>
      </w:r>
      <w:r>
        <w:rPr>
          <w:spacing w:val="-2"/>
        </w:rPr>
        <w:t>that</w:t>
      </w:r>
      <w:r>
        <w:rPr>
          <w:spacing w:val="-10"/>
        </w:rPr>
        <w:t> </w:t>
      </w:r>
      <w:r>
        <w:rPr>
          <w:spacing w:val="-2"/>
        </w:rPr>
        <w:t>may</w:t>
      </w:r>
      <w:r>
        <w:rPr>
          <w:spacing w:val="-11"/>
        </w:rPr>
        <w:t> </w:t>
      </w:r>
      <w:r>
        <w:rPr>
          <w:spacing w:val="-2"/>
        </w:rPr>
        <w:t>result</w:t>
      </w:r>
      <w:r>
        <w:rPr>
          <w:spacing w:val="-10"/>
        </w:rPr>
        <w:t> </w:t>
      </w:r>
      <w:r>
        <w:rPr>
          <w:spacing w:val="-2"/>
        </w:rPr>
        <w:t>from</w:t>
      </w:r>
      <w:r>
        <w:rPr>
          <w:spacing w:val="-11"/>
        </w:rPr>
        <w:t> </w:t>
      </w:r>
      <w:r>
        <w:rPr>
          <w:spacing w:val="-2"/>
        </w:rPr>
        <w:t>these</w:t>
      </w:r>
      <w:r>
        <w:rPr>
          <w:spacing w:val="-10"/>
        </w:rPr>
        <w:t> </w:t>
      </w:r>
      <w:r>
        <w:rPr>
          <w:spacing w:val="-2"/>
        </w:rPr>
        <w:t>examinations.</w:t>
      </w:r>
      <w:r>
        <w:rPr>
          <w:spacing w:val="-11"/>
        </w:rPr>
        <w:t> </w:t>
      </w:r>
      <w:r>
        <w:rPr>
          <w:spacing w:val="-2"/>
        </w:rPr>
        <w:t>We</w:t>
      </w:r>
      <w:r>
        <w:rPr>
          <w:spacing w:val="-10"/>
        </w:rPr>
        <w:t> </w:t>
      </w:r>
      <w:r>
        <w:rPr>
          <w:spacing w:val="-2"/>
        </w:rPr>
        <w:t>cannot</w:t>
      </w:r>
      <w:r>
        <w:rPr>
          <w:spacing w:val="-11"/>
        </w:rPr>
        <w:t> </w:t>
      </w:r>
      <w:r>
        <w:rPr>
          <w:spacing w:val="-2"/>
        </w:rPr>
        <w:t>provide</w:t>
      </w:r>
      <w:r>
        <w:rPr>
          <w:spacing w:val="-10"/>
        </w:rPr>
        <w:t> </w:t>
      </w:r>
      <w:r>
        <w:rPr>
          <w:spacing w:val="-2"/>
        </w:rPr>
        <w:t>assurance </w:t>
      </w:r>
      <w:r>
        <w:rPr/>
        <w:t>that the final determination of any of these examinations will not have an adverse effect on our operating results and financial </w:t>
      </w:r>
      <w:r>
        <w:rPr>
          <w:spacing w:val="-2"/>
        </w:rPr>
        <w:t>position.</w:t>
      </w:r>
    </w:p>
    <w:p>
      <w:pPr>
        <w:pStyle w:val="Heading2"/>
        <w:spacing w:before="165"/>
      </w:pPr>
      <w:r>
        <w:rPr/>
        <w:t>Recent</w:t>
      </w:r>
      <w:r>
        <w:rPr>
          <w:spacing w:val="-11"/>
        </w:rPr>
        <w:t> </w:t>
      </w:r>
      <w:r>
        <w:rPr/>
        <w:t>Accounting</w:t>
      </w:r>
      <w:r>
        <w:rPr>
          <w:spacing w:val="-1"/>
        </w:rPr>
        <w:t> </w:t>
      </w:r>
      <w:r>
        <w:rPr>
          <w:spacing w:val="-2"/>
        </w:rPr>
        <w:t>Pronouncements</w:t>
      </w:r>
    </w:p>
    <w:p>
      <w:pPr>
        <w:spacing w:line="249" w:lineRule="auto" w:before="170"/>
        <w:ind w:left="220" w:right="258" w:firstLine="540"/>
        <w:jc w:val="both"/>
        <w:rPr>
          <w:i/>
          <w:sz w:val="20"/>
        </w:rPr>
      </w:pPr>
      <w:hyperlink w:history="true" w:anchor="_bookmark21">
        <w:r>
          <w:rPr>
            <w:i/>
            <w:spacing w:val="-2"/>
            <w:sz w:val="20"/>
          </w:rPr>
          <w:t>See</w:t>
        </w:r>
        <w:r>
          <w:rPr>
            <w:i/>
            <w:spacing w:val="-6"/>
            <w:sz w:val="20"/>
          </w:rPr>
          <w:t> </w:t>
        </w:r>
        <w:r>
          <w:rPr>
            <w:i/>
            <w:spacing w:val="-2"/>
            <w:sz w:val="20"/>
          </w:rPr>
          <w:t>Note</w:t>
        </w:r>
        <w:r>
          <w:rPr>
            <w:i/>
            <w:spacing w:val="-6"/>
            <w:sz w:val="20"/>
          </w:rPr>
          <w:t> </w:t>
        </w:r>
        <w:r>
          <w:rPr>
            <w:i/>
            <w:spacing w:val="-2"/>
            <w:sz w:val="20"/>
          </w:rPr>
          <w:t>1</w:t>
        </w:r>
        <w:r>
          <w:rPr>
            <w:i/>
            <w:spacing w:val="-6"/>
            <w:sz w:val="20"/>
          </w:rPr>
          <w:t> </w:t>
        </w:r>
        <w:r>
          <w:rPr>
            <w:i/>
            <w:spacing w:val="-2"/>
            <w:sz w:val="20"/>
          </w:rPr>
          <w:t>of</w:t>
        </w:r>
        <w:r>
          <w:rPr>
            <w:i/>
            <w:spacing w:val="-6"/>
            <w:sz w:val="20"/>
          </w:rPr>
          <w:t> </w:t>
        </w:r>
        <w:r>
          <w:rPr>
            <w:i/>
            <w:spacing w:val="-2"/>
            <w:sz w:val="20"/>
          </w:rPr>
          <w:t>our</w:t>
        </w:r>
        <w:r>
          <w:rPr>
            <w:i/>
            <w:spacing w:val="-6"/>
            <w:sz w:val="20"/>
          </w:rPr>
          <w:t> </w:t>
        </w:r>
        <w:r>
          <w:rPr>
            <w:i/>
            <w:spacing w:val="-2"/>
            <w:sz w:val="20"/>
          </w:rPr>
          <w:t>Notes</w:t>
        </w:r>
        <w:r>
          <w:rPr>
            <w:i/>
            <w:spacing w:val="-6"/>
            <w:sz w:val="20"/>
          </w:rPr>
          <w:t> </w:t>
        </w:r>
        <w:r>
          <w:rPr>
            <w:i/>
            <w:spacing w:val="-2"/>
            <w:sz w:val="20"/>
          </w:rPr>
          <w:t>to</w:t>
        </w:r>
        <w:r>
          <w:rPr>
            <w:i/>
            <w:spacing w:val="-6"/>
            <w:sz w:val="20"/>
          </w:rPr>
          <w:t> </w:t>
        </w:r>
        <w:r>
          <w:rPr>
            <w:i/>
            <w:spacing w:val="-2"/>
            <w:sz w:val="20"/>
          </w:rPr>
          <w:t>Consolidated</w:t>
        </w:r>
        <w:r>
          <w:rPr>
            <w:i/>
            <w:spacing w:val="-6"/>
            <w:sz w:val="20"/>
          </w:rPr>
          <w:t> </w:t>
        </w:r>
        <w:r>
          <w:rPr>
            <w:i/>
            <w:spacing w:val="-2"/>
            <w:sz w:val="20"/>
          </w:rPr>
          <w:t>Financial</w:t>
        </w:r>
        <w:r>
          <w:rPr>
            <w:i/>
            <w:spacing w:val="-6"/>
            <w:sz w:val="20"/>
          </w:rPr>
          <w:t> </w:t>
        </w:r>
        <w:r>
          <w:rPr>
            <w:i/>
            <w:spacing w:val="-2"/>
            <w:sz w:val="20"/>
          </w:rPr>
          <w:t>Statements</w:t>
        </w:r>
        <w:r>
          <w:rPr>
            <w:i/>
            <w:spacing w:val="-6"/>
            <w:sz w:val="20"/>
          </w:rPr>
          <w:t> </w:t>
        </w:r>
        <w:r>
          <w:rPr>
            <w:i/>
            <w:spacing w:val="-2"/>
            <w:sz w:val="20"/>
          </w:rPr>
          <w:t>for</w:t>
        </w:r>
        <w:r>
          <w:rPr>
            <w:i/>
            <w:spacing w:val="-6"/>
            <w:sz w:val="20"/>
          </w:rPr>
          <w:t> </w:t>
        </w:r>
        <w:r>
          <w:rPr>
            <w:i/>
            <w:spacing w:val="-2"/>
            <w:sz w:val="20"/>
          </w:rPr>
          <w:t>information</w:t>
        </w:r>
        <w:r>
          <w:rPr>
            <w:i/>
            <w:spacing w:val="-6"/>
            <w:sz w:val="20"/>
          </w:rPr>
          <w:t> </w:t>
        </w:r>
        <w:r>
          <w:rPr>
            <w:i/>
            <w:spacing w:val="-2"/>
            <w:sz w:val="20"/>
          </w:rPr>
          <w:t>regarding</w:t>
        </w:r>
        <w:r>
          <w:rPr>
            <w:i/>
            <w:spacing w:val="-6"/>
            <w:sz w:val="20"/>
          </w:rPr>
          <w:t> </w:t>
        </w:r>
        <w:r>
          <w:rPr>
            <w:i/>
            <w:spacing w:val="-2"/>
            <w:sz w:val="20"/>
          </w:rPr>
          <w:t>recent</w:t>
        </w:r>
        <w:r>
          <w:rPr>
            <w:i/>
            <w:spacing w:val="-6"/>
            <w:sz w:val="20"/>
          </w:rPr>
          <w:t> </w:t>
        </w:r>
        <w:r>
          <w:rPr>
            <w:i/>
            <w:spacing w:val="-2"/>
            <w:sz w:val="20"/>
          </w:rPr>
          <w:t>accounting</w:t>
        </w:r>
        <w:r>
          <w:rPr>
            <w:i/>
            <w:spacing w:val="-6"/>
            <w:sz w:val="20"/>
          </w:rPr>
          <w:t> </w:t>
        </w:r>
        <w:r>
          <w:rPr>
            <w:i/>
            <w:spacing w:val="-2"/>
            <w:sz w:val="20"/>
          </w:rPr>
          <w:t>pronouncements</w:t>
        </w:r>
      </w:hyperlink>
      <w:r>
        <w:rPr>
          <w:i/>
          <w:spacing w:val="-2"/>
          <w:sz w:val="20"/>
        </w:rPr>
        <w:t> </w:t>
      </w:r>
      <w:hyperlink w:history="true" w:anchor="_bookmark21">
        <w:r>
          <w:rPr>
            <w:i/>
            <w:sz w:val="20"/>
          </w:rPr>
          <w:t>that are of significance, or potential significance to us.</w:t>
        </w:r>
      </w:hyperlink>
    </w:p>
    <w:p>
      <w:pPr>
        <w:spacing w:after="0" w:line="249" w:lineRule="auto"/>
        <w:jc w:val="both"/>
        <w:rPr>
          <w:sz w:val="20"/>
        </w:rPr>
        <w:sectPr>
          <w:pgSz w:w="12240" w:h="15840"/>
          <w:pgMar w:header="210" w:footer="579" w:top="420" w:bottom="800" w:left="780" w:right="740"/>
        </w:sectPr>
      </w:pPr>
    </w:p>
    <w:p>
      <w:pPr>
        <w:pStyle w:val="BodyText"/>
        <w:spacing w:before="147"/>
        <w:rPr>
          <w:i/>
        </w:rPr>
      </w:pPr>
    </w:p>
    <w:p>
      <w:pPr>
        <w:pStyle w:val="Heading1"/>
        <w:ind w:left="3845" w:right="3884"/>
        <w:jc w:val="center"/>
      </w:pPr>
      <w:bookmarkStart w:name="Results of Operations " w:id="39"/>
      <w:bookmarkEnd w:id="39"/>
      <w:r>
        <w:rPr>
          <w:b w:val="0"/>
        </w:rPr>
      </w:r>
      <w:bookmarkStart w:name="_bookmark12" w:id="40"/>
      <w:bookmarkEnd w:id="40"/>
      <w:r>
        <w:rPr>
          <w:b w:val="0"/>
        </w:rPr>
      </w:r>
      <w:r>
        <w:rPr>
          <w:spacing w:val="-2"/>
        </w:rPr>
        <w:t>RESULTS</w:t>
      </w:r>
      <w:r>
        <w:rPr>
          <w:spacing w:val="-3"/>
        </w:rPr>
        <w:t> </w:t>
      </w:r>
      <w:r>
        <w:rPr>
          <w:spacing w:val="-2"/>
        </w:rPr>
        <w:t>OF</w:t>
      </w:r>
      <w:r>
        <w:rPr>
          <w:spacing w:val="-8"/>
        </w:rPr>
        <w:t> </w:t>
      </w:r>
      <w:r>
        <w:rPr>
          <w:spacing w:val="-2"/>
        </w:rPr>
        <w:t>OPERATIONS</w:t>
      </w:r>
    </w:p>
    <w:p>
      <w:pPr>
        <w:pStyle w:val="Heading2"/>
        <w:spacing w:before="190"/>
      </w:pPr>
      <w:r>
        <w:rPr/>
        <w:t>Overview</w:t>
      </w:r>
      <w:r>
        <w:rPr>
          <w:spacing w:val="-4"/>
        </w:rPr>
        <w:t> </w:t>
      </w:r>
      <w:r>
        <w:rPr/>
        <w:t>of</w:t>
      </w:r>
      <w:r>
        <w:rPr>
          <w:spacing w:val="-3"/>
        </w:rPr>
        <w:t> </w:t>
      </w:r>
      <w:r>
        <w:rPr>
          <w:spacing w:val="-4"/>
        </w:rPr>
        <w:t>2017</w:t>
      </w:r>
    </w:p>
    <w:p>
      <w:pPr>
        <w:pStyle w:val="BodyText"/>
        <w:spacing w:line="249" w:lineRule="auto" w:before="190"/>
        <w:ind w:left="220" w:right="257" w:firstLine="540"/>
        <w:jc w:val="both"/>
      </w:pPr>
      <w:r>
        <w:rPr/>
        <w:t>For</w:t>
      </w:r>
      <w:r>
        <w:rPr>
          <w:spacing w:val="-8"/>
        </w:rPr>
        <w:t> </w:t>
      </w:r>
      <w:r>
        <w:rPr/>
        <w:t>fiscal</w:t>
      </w:r>
      <w:r>
        <w:rPr>
          <w:spacing w:val="-8"/>
        </w:rPr>
        <w:t> </w:t>
      </w:r>
      <w:r>
        <w:rPr/>
        <w:t>2017,</w:t>
      </w:r>
      <w:r>
        <w:rPr>
          <w:spacing w:val="-8"/>
        </w:rPr>
        <w:t> </w:t>
      </w:r>
      <w:r>
        <w:rPr/>
        <w:t>we</w:t>
      </w:r>
      <w:r>
        <w:rPr>
          <w:spacing w:val="-8"/>
        </w:rPr>
        <w:t> </w:t>
      </w:r>
      <w:r>
        <w:rPr/>
        <w:t>reported</w:t>
      </w:r>
      <w:r>
        <w:rPr>
          <w:spacing w:val="-8"/>
        </w:rPr>
        <w:t> </w:t>
      </w:r>
      <w:r>
        <w:rPr/>
        <w:t>strong</w:t>
      </w:r>
      <w:r>
        <w:rPr>
          <w:spacing w:val="-8"/>
        </w:rPr>
        <w:t> </w:t>
      </w:r>
      <w:r>
        <w:rPr/>
        <w:t>financial</w:t>
      </w:r>
      <w:r>
        <w:rPr>
          <w:spacing w:val="-8"/>
        </w:rPr>
        <w:t> </w:t>
      </w:r>
      <w:r>
        <w:rPr/>
        <w:t>results</w:t>
      </w:r>
      <w:r>
        <w:rPr>
          <w:spacing w:val="-7"/>
        </w:rPr>
        <w:t> </w:t>
      </w:r>
      <w:r>
        <w:rPr/>
        <w:t>consistent</w:t>
      </w:r>
      <w:r>
        <w:rPr>
          <w:spacing w:val="-8"/>
        </w:rPr>
        <w:t> </w:t>
      </w:r>
      <w:r>
        <w:rPr/>
        <w:t>with</w:t>
      </w:r>
      <w:r>
        <w:rPr>
          <w:spacing w:val="-7"/>
        </w:rPr>
        <w:t> </w:t>
      </w:r>
      <w:r>
        <w:rPr/>
        <w:t>the</w:t>
      </w:r>
      <w:r>
        <w:rPr>
          <w:spacing w:val="-8"/>
        </w:rPr>
        <w:t> </w:t>
      </w:r>
      <w:r>
        <w:rPr/>
        <w:t>continued</w:t>
      </w:r>
      <w:r>
        <w:rPr>
          <w:spacing w:val="-8"/>
        </w:rPr>
        <w:t> </w:t>
      </w:r>
      <w:r>
        <w:rPr/>
        <w:t>execution</w:t>
      </w:r>
      <w:r>
        <w:rPr>
          <w:spacing w:val="-8"/>
        </w:rPr>
        <w:t> </w:t>
      </w:r>
      <w:r>
        <w:rPr/>
        <w:t>of</w:t>
      </w:r>
      <w:r>
        <w:rPr>
          <w:spacing w:val="-7"/>
        </w:rPr>
        <w:t> </w:t>
      </w:r>
      <w:r>
        <w:rPr/>
        <w:t>our</w:t>
      </w:r>
      <w:r>
        <w:rPr>
          <w:spacing w:val="-8"/>
        </w:rPr>
        <w:t> </w:t>
      </w:r>
      <w:r>
        <w:rPr/>
        <w:t>long-term</w:t>
      </w:r>
      <w:r>
        <w:rPr>
          <w:spacing w:val="-8"/>
        </w:rPr>
        <w:t> </w:t>
      </w:r>
      <w:r>
        <w:rPr/>
        <w:t>plans</w:t>
      </w:r>
      <w:r>
        <w:rPr>
          <w:spacing w:val="-7"/>
        </w:rPr>
        <w:t> </w:t>
      </w:r>
      <w:r>
        <w:rPr/>
        <w:t>for</w:t>
      </w:r>
      <w:r>
        <w:rPr>
          <w:spacing w:val="-8"/>
        </w:rPr>
        <w:t> </w:t>
      </w:r>
      <w:r>
        <w:rPr/>
        <w:t>our two strategic growth areas, Digital Media and Digital Marketing, while continuing to market and license a broad portfolio </w:t>
      </w:r>
      <w:r>
        <w:rPr/>
        <w:t>of products and solutions.</w:t>
      </w:r>
    </w:p>
    <w:p>
      <w:pPr>
        <w:pStyle w:val="BodyText"/>
        <w:spacing w:before="12"/>
      </w:pPr>
    </w:p>
    <w:p>
      <w:pPr>
        <w:pStyle w:val="BodyText"/>
        <w:spacing w:line="249" w:lineRule="auto"/>
        <w:ind w:left="220" w:right="257" w:firstLine="540"/>
        <w:jc w:val="both"/>
      </w:pPr>
      <w:r>
        <w:rPr/>
        <w:t>In</w:t>
      </w:r>
      <w:r>
        <w:rPr>
          <w:spacing w:val="-12"/>
        </w:rPr>
        <w:t> </w:t>
      </w:r>
      <w:r>
        <w:rPr/>
        <w:t>our</w:t>
      </w:r>
      <w:r>
        <w:rPr>
          <w:spacing w:val="-12"/>
        </w:rPr>
        <w:t> </w:t>
      </w:r>
      <w:r>
        <w:rPr/>
        <w:t>Digital</w:t>
      </w:r>
      <w:r>
        <w:rPr>
          <w:spacing w:val="-12"/>
        </w:rPr>
        <w:t> </w:t>
      </w:r>
      <w:r>
        <w:rPr/>
        <w:t>Media</w:t>
      </w:r>
      <w:r>
        <w:rPr>
          <w:spacing w:val="-12"/>
        </w:rPr>
        <w:t> </w:t>
      </w:r>
      <w:r>
        <w:rPr/>
        <w:t>segment,</w:t>
      </w:r>
      <w:r>
        <w:rPr>
          <w:spacing w:val="-12"/>
        </w:rPr>
        <w:t> </w:t>
      </w:r>
      <w:r>
        <w:rPr/>
        <w:t>we</w:t>
      </w:r>
      <w:r>
        <w:rPr>
          <w:spacing w:val="-12"/>
        </w:rPr>
        <w:t> </w:t>
      </w:r>
      <w:r>
        <w:rPr/>
        <w:t>are</w:t>
      </w:r>
      <w:r>
        <w:rPr>
          <w:spacing w:val="-12"/>
        </w:rPr>
        <w:t> </w:t>
      </w:r>
      <w:r>
        <w:rPr/>
        <w:t>a</w:t>
      </w:r>
      <w:r>
        <w:rPr>
          <w:spacing w:val="-12"/>
        </w:rPr>
        <w:t> </w:t>
      </w:r>
      <w:r>
        <w:rPr/>
        <w:t>market</w:t>
      </w:r>
      <w:r>
        <w:rPr>
          <w:spacing w:val="-12"/>
        </w:rPr>
        <w:t> </w:t>
      </w:r>
      <w:r>
        <w:rPr/>
        <w:t>leader</w:t>
      </w:r>
      <w:r>
        <w:rPr>
          <w:spacing w:val="-12"/>
        </w:rPr>
        <w:t> </w:t>
      </w:r>
      <w:r>
        <w:rPr/>
        <w:t>with</w:t>
      </w:r>
      <w:r>
        <w:rPr>
          <w:spacing w:val="-12"/>
        </w:rPr>
        <w:t> </w:t>
      </w:r>
      <w:r>
        <w:rPr/>
        <w:t>Creative</w:t>
      </w:r>
      <w:r>
        <w:rPr>
          <w:spacing w:val="-12"/>
        </w:rPr>
        <w:t> </w:t>
      </w:r>
      <w:r>
        <w:rPr/>
        <w:t>Cloud,</w:t>
      </w:r>
      <w:r>
        <w:rPr>
          <w:spacing w:val="-12"/>
        </w:rPr>
        <w:t> </w:t>
      </w:r>
      <w:r>
        <w:rPr/>
        <w:t>our</w:t>
      </w:r>
      <w:r>
        <w:rPr>
          <w:spacing w:val="-12"/>
        </w:rPr>
        <w:t> </w:t>
      </w:r>
      <w:r>
        <w:rPr/>
        <w:t>subscription-based</w:t>
      </w:r>
      <w:r>
        <w:rPr>
          <w:spacing w:val="-12"/>
        </w:rPr>
        <w:t> </w:t>
      </w:r>
      <w:r>
        <w:rPr/>
        <w:t>offering</w:t>
      </w:r>
      <w:r>
        <w:rPr>
          <w:spacing w:val="-12"/>
        </w:rPr>
        <w:t> </w:t>
      </w:r>
      <w:r>
        <w:rPr/>
        <w:t>for</w:t>
      </w:r>
      <w:r>
        <w:rPr>
          <w:spacing w:val="-12"/>
        </w:rPr>
        <w:t> </w:t>
      </w:r>
      <w:r>
        <w:rPr/>
        <w:t>creating</w:t>
      </w:r>
      <w:r>
        <w:rPr>
          <w:spacing w:val="-12"/>
        </w:rPr>
        <w:t> </w:t>
      </w:r>
      <w:r>
        <w:rPr/>
        <w:t>and publishing content and applications. Creative Cloud delivers value through frequent product updates, storage and access to user files</w:t>
      </w:r>
      <w:r>
        <w:rPr>
          <w:spacing w:val="-13"/>
        </w:rPr>
        <w:t> </w:t>
      </w:r>
      <w:r>
        <w:rPr/>
        <w:t>stored</w:t>
      </w:r>
      <w:r>
        <w:rPr>
          <w:spacing w:val="-12"/>
        </w:rPr>
        <w:t> </w:t>
      </w:r>
      <w:r>
        <w:rPr/>
        <w:t>in</w:t>
      </w:r>
      <w:r>
        <w:rPr>
          <w:spacing w:val="-10"/>
        </w:rPr>
        <w:t> </w:t>
      </w:r>
      <w:r>
        <w:rPr/>
        <w:t>the</w:t>
      </w:r>
      <w:r>
        <w:rPr>
          <w:spacing w:val="-8"/>
        </w:rPr>
        <w:t> </w:t>
      </w:r>
      <w:r>
        <w:rPr/>
        <w:t>cloud</w:t>
      </w:r>
      <w:r>
        <w:rPr>
          <w:spacing w:val="-9"/>
        </w:rPr>
        <w:t> </w:t>
      </w:r>
      <w:r>
        <w:rPr/>
        <w:t>with</w:t>
      </w:r>
      <w:r>
        <w:rPr>
          <w:spacing w:val="-8"/>
        </w:rPr>
        <w:t> </w:t>
      </w:r>
      <w:r>
        <w:rPr/>
        <w:t>syncing</w:t>
      </w:r>
      <w:r>
        <w:rPr>
          <w:spacing w:val="-8"/>
        </w:rPr>
        <w:t> </w:t>
      </w:r>
      <w:r>
        <w:rPr/>
        <w:t>of</w:t>
      </w:r>
      <w:r>
        <w:rPr>
          <w:spacing w:val="-9"/>
        </w:rPr>
        <w:t> </w:t>
      </w:r>
      <w:r>
        <w:rPr/>
        <w:t>files</w:t>
      </w:r>
      <w:r>
        <w:rPr>
          <w:spacing w:val="-8"/>
        </w:rPr>
        <w:t> </w:t>
      </w:r>
      <w:r>
        <w:rPr/>
        <w:t>across</w:t>
      </w:r>
      <w:r>
        <w:rPr>
          <w:spacing w:val="-8"/>
        </w:rPr>
        <w:t> </w:t>
      </w:r>
      <w:r>
        <w:rPr/>
        <w:t>users’</w:t>
      </w:r>
      <w:r>
        <w:rPr>
          <w:spacing w:val="-13"/>
        </w:rPr>
        <w:t> </w:t>
      </w:r>
      <w:r>
        <w:rPr/>
        <w:t>machines,</w:t>
      </w:r>
      <w:r>
        <w:rPr>
          <w:spacing w:val="-9"/>
        </w:rPr>
        <w:t> </w:t>
      </w:r>
      <w:r>
        <w:rPr/>
        <w:t>access</w:t>
      </w:r>
      <w:r>
        <w:rPr>
          <w:spacing w:val="-8"/>
        </w:rPr>
        <w:t> </w:t>
      </w:r>
      <w:r>
        <w:rPr/>
        <w:t>to</w:t>
      </w:r>
      <w:r>
        <w:rPr>
          <w:spacing w:val="-8"/>
        </w:rPr>
        <w:t> </w:t>
      </w:r>
      <w:r>
        <w:rPr/>
        <w:t>marketplace,</w:t>
      </w:r>
      <w:r>
        <w:rPr>
          <w:spacing w:val="-8"/>
        </w:rPr>
        <w:t> </w:t>
      </w:r>
      <w:r>
        <w:rPr/>
        <w:t>social</w:t>
      </w:r>
      <w:r>
        <w:rPr>
          <w:spacing w:val="-9"/>
        </w:rPr>
        <w:t> </w:t>
      </w:r>
      <w:r>
        <w:rPr/>
        <w:t>and</w:t>
      </w:r>
      <w:r>
        <w:rPr>
          <w:spacing w:val="-8"/>
        </w:rPr>
        <w:t> </w:t>
      </w:r>
      <w:r>
        <w:rPr/>
        <w:t>community-based</w:t>
      </w:r>
      <w:r>
        <w:rPr>
          <w:spacing w:val="-8"/>
        </w:rPr>
        <w:t> </w:t>
      </w:r>
      <w:r>
        <w:rPr/>
        <w:t>features with our</w:t>
      </w:r>
      <w:r>
        <w:rPr>
          <w:spacing w:val="-4"/>
        </w:rPr>
        <w:t> </w:t>
      </w:r>
      <w:r>
        <w:rPr/>
        <w:t>Adobe Stock and Behance services, app creation capabilities and affordable pricing for cost-sensitive customers.</w:t>
      </w:r>
    </w:p>
    <w:p>
      <w:pPr>
        <w:pStyle w:val="BodyText"/>
        <w:spacing w:before="13"/>
      </w:pPr>
    </w:p>
    <w:p>
      <w:pPr>
        <w:pStyle w:val="BodyText"/>
        <w:spacing w:line="249" w:lineRule="auto" w:before="1"/>
        <w:ind w:left="220" w:right="257" w:firstLine="540"/>
        <w:jc w:val="both"/>
      </w:pPr>
      <w:r>
        <w:rPr/>
        <w:t>We offer Creative Cloud for individuals, students, teams and enterprises.</w:t>
      </w:r>
      <w:r>
        <w:rPr>
          <w:spacing w:val="-1"/>
        </w:rPr>
        <w:t> </w:t>
      </w:r>
      <w:r>
        <w:rPr/>
        <w:t>We expect Creative Cloud will drive sustained long-term revenue growth through a continued expansion of our customer base by acquiring new users on account of Creative Cloud’s</w:t>
      </w:r>
      <w:r>
        <w:rPr>
          <w:spacing w:val="-10"/>
        </w:rPr>
        <w:t> </w:t>
      </w:r>
      <w:r>
        <w:rPr/>
        <w:t>low</w:t>
      </w:r>
      <w:r>
        <w:rPr>
          <w:spacing w:val="-10"/>
        </w:rPr>
        <w:t> </w:t>
      </w:r>
      <w:r>
        <w:rPr/>
        <w:t>cost</w:t>
      </w:r>
      <w:r>
        <w:rPr>
          <w:spacing w:val="-10"/>
        </w:rPr>
        <w:t> </w:t>
      </w:r>
      <w:r>
        <w:rPr/>
        <w:t>of</w:t>
      </w:r>
      <w:r>
        <w:rPr>
          <w:spacing w:val="-10"/>
        </w:rPr>
        <w:t> </w:t>
      </w:r>
      <w:r>
        <w:rPr/>
        <w:t>entry</w:t>
      </w:r>
      <w:r>
        <w:rPr>
          <w:spacing w:val="-10"/>
        </w:rPr>
        <w:t> </w:t>
      </w:r>
      <w:r>
        <w:rPr/>
        <w:t>and</w:t>
      </w:r>
      <w:r>
        <w:rPr>
          <w:spacing w:val="-10"/>
        </w:rPr>
        <w:t> </w:t>
      </w:r>
      <w:r>
        <w:rPr/>
        <w:t>delivery</w:t>
      </w:r>
      <w:r>
        <w:rPr>
          <w:spacing w:val="-10"/>
        </w:rPr>
        <w:t> </w:t>
      </w:r>
      <w:r>
        <w:rPr/>
        <w:t>of</w:t>
      </w:r>
      <w:r>
        <w:rPr>
          <w:spacing w:val="-10"/>
        </w:rPr>
        <w:t> </w:t>
      </w:r>
      <w:r>
        <w:rPr/>
        <w:t>additional</w:t>
      </w:r>
      <w:r>
        <w:rPr>
          <w:spacing w:val="-10"/>
        </w:rPr>
        <w:t> </w:t>
      </w:r>
      <w:r>
        <w:rPr/>
        <w:t>features</w:t>
      </w:r>
      <w:r>
        <w:rPr>
          <w:spacing w:val="-10"/>
        </w:rPr>
        <w:t> </w:t>
      </w:r>
      <w:r>
        <w:rPr/>
        <w:t>and</w:t>
      </w:r>
      <w:r>
        <w:rPr>
          <w:spacing w:val="-10"/>
        </w:rPr>
        <w:t> </w:t>
      </w:r>
      <w:r>
        <w:rPr/>
        <w:t>value,</w:t>
      </w:r>
      <w:r>
        <w:rPr>
          <w:spacing w:val="-10"/>
        </w:rPr>
        <w:t> </w:t>
      </w:r>
      <w:r>
        <w:rPr/>
        <w:t>as</w:t>
      </w:r>
      <w:r>
        <w:rPr>
          <w:spacing w:val="-10"/>
        </w:rPr>
        <w:t> </w:t>
      </w:r>
      <w:r>
        <w:rPr/>
        <w:t>well</w:t>
      </w:r>
      <w:r>
        <w:rPr>
          <w:spacing w:val="-10"/>
        </w:rPr>
        <w:t> </w:t>
      </w:r>
      <w:r>
        <w:rPr/>
        <w:t>as</w:t>
      </w:r>
      <w:r>
        <w:rPr>
          <w:spacing w:val="-10"/>
        </w:rPr>
        <w:t> </w:t>
      </w:r>
      <w:r>
        <w:rPr/>
        <w:t>keeping</w:t>
      </w:r>
      <w:r>
        <w:rPr>
          <w:spacing w:val="-10"/>
        </w:rPr>
        <w:t> </w:t>
      </w:r>
      <w:r>
        <w:rPr/>
        <w:t>existing</w:t>
      </w:r>
      <w:r>
        <w:rPr>
          <w:spacing w:val="-10"/>
        </w:rPr>
        <w:t> </w:t>
      </w:r>
      <w:r>
        <w:rPr/>
        <w:t>customers</w:t>
      </w:r>
      <w:r>
        <w:rPr>
          <w:spacing w:val="-10"/>
        </w:rPr>
        <w:t> </w:t>
      </w:r>
      <w:r>
        <w:rPr/>
        <w:t>current</w:t>
      </w:r>
      <w:r>
        <w:rPr>
          <w:spacing w:val="-10"/>
        </w:rPr>
        <w:t> </w:t>
      </w:r>
      <w:r>
        <w:rPr/>
        <w:t>on</w:t>
      </w:r>
      <w:r>
        <w:rPr>
          <w:spacing w:val="-10"/>
        </w:rPr>
        <w:t> </w:t>
      </w:r>
      <w:r>
        <w:rPr/>
        <w:t>our</w:t>
      </w:r>
      <w:r>
        <w:rPr>
          <w:spacing w:val="-10"/>
        </w:rPr>
        <w:t> </w:t>
      </w:r>
      <w:r>
        <w:rPr/>
        <w:t>latest release.</w:t>
      </w:r>
      <w:r>
        <w:rPr>
          <w:spacing w:val="-9"/>
        </w:rPr>
        <w:t> </w:t>
      </w:r>
      <w:r>
        <w:rPr/>
        <w:t>We</w:t>
      </w:r>
      <w:r>
        <w:rPr>
          <w:spacing w:val="-6"/>
        </w:rPr>
        <w:t> </w:t>
      </w:r>
      <w:r>
        <w:rPr/>
        <w:t>have</w:t>
      </w:r>
      <w:r>
        <w:rPr>
          <w:spacing w:val="-6"/>
        </w:rPr>
        <w:t> </w:t>
      </w:r>
      <w:r>
        <w:rPr/>
        <w:t>also</w:t>
      </w:r>
      <w:r>
        <w:rPr>
          <w:spacing w:val="-6"/>
        </w:rPr>
        <w:t> </w:t>
      </w:r>
      <w:r>
        <w:rPr/>
        <w:t>built</w:t>
      </w:r>
      <w:r>
        <w:rPr>
          <w:spacing w:val="-6"/>
        </w:rPr>
        <w:t> </w:t>
      </w:r>
      <w:r>
        <w:rPr/>
        <w:t>out</w:t>
      </w:r>
      <w:r>
        <w:rPr>
          <w:spacing w:val="-6"/>
        </w:rPr>
        <w:t> </w:t>
      </w:r>
      <w:r>
        <w:rPr/>
        <w:t>a</w:t>
      </w:r>
      <w:r>
        <w:rPr>
          <w:spacing w:val="-6"/>
        </w:rPr>
        <w:t> </w:t>
      </w:r>
      <w:r>
        <w:rPr/>
        <w:t>marketplace</w:t>
      </w:r>
      <w:r>
        <w:rPr>
          <w:spacing w:val="-6"/>
        </w:rPr>
        <w:t> </w:t>
      </w:r>
      <w:r>
        <w:rPr/>
        <w:t>for</w:t>
      </w:r>
      <w:r>
        <w:rPr>
          <w:spacing w:val="-6"/>
        </w:rPr>
        <w:t> </w:t>
      </w:r>
      <w:r>
        <w:rPr/>
        <w:t>Creative</w:t>
      </w:r>
      <w:r>
        <w:rPr>
          <w:spacing w:val="-6"/>
        </w:rPr>
        <w:t> </w:t>
      </w:r>
      <w:r>
        <w:rPr/>
        <w:t>Cloud</w:t>
      </w:r>
      <w:r>
        <w:rPr>
          <w:spacing w:val="-6"/>
        </w:rPr>
        <w:t> </w:t>
      </w:r>
      <w:r>
        <w:rPr/>
        <w:t>subscribers</w:t>
      </w:r>
      <w:r>
        <w:rPr>
          <w:spacing w:val="-5"/>
        </w:rPr>
        <w:t> </w:t>
      </w:r>
      <w:r>
        <w:rPr/>
        <w:t>to</w:t>
      </w:r>
      <w:r>
        <w:rPr>
          <w:spacing w:val="-6"/>
        </w:rPr>
        <w:t> </w:t>
      </w:r>
      <w:r>
        <w:rPr/>
        <w:t>enable</w:t>
      </w:r>
      <w:r>
        <w:rPr>
          <w:spacing w:val="-6"/>
        </w:rPr>
        <w:t> </w:t>
      </w:r>
      <w:r>
        <w:rPr/>
        <w:t>the</w:t>
      </w:r>
      <w:r>
        <w:rPr>
          <w:spacing w:val="-6"/>
        </w:rPr>
        <w:t> </w:t>
      </w:r>
      <w:r>
        <w:rPr/>
        <w:t>delivery</w:t>
      </w:r>
      <w:r>
        <w:rPr>
          <w:spacing w:val="-6"/>
        </w:rPr>
        <w:t> </w:t>
      </w:r>
      <w:r>
        <w:rPr/>
        <w:t>and</w:t>
      </w:r>
      <w:r>
        <w:rPr>
          <w:spacing w:val="-6"/>
        </w:rPr>
        <w:t> </w:t>
      </w:r>
      <w:r>
        <w:rPr/>
        <w:t>purchase</w:t>
      </w:r>
      <w:r>
        <w:rPr>
          <w:spacing w:val="-6"/>
        </w:rPr>
        <w:t> </w:t>
      </w:r>
      <w:r>
        <w:rPr/>
        <w:t>of</w:t>
      </w:r>
      <w:r>
        <w:rPr>
          <w:spacing w:val="-6"/>
        </w:rPr>
        <w:t> </w:t>
      </w:r>
      <w:r>
        <w:rPr/>
        <w:t>stock</w:t>
      </w:r>
      <w:r>
        <w:rPr>
          <w:spacing w:val="-6"/>
        </w:rPr>
        <w:t> </w:t>
      </w:r>
      <w:r>
        <w:rPr/>
        <w:t>content in</w:t>
      </w:r>
      <w:r>
        <w:rPr>
          <w:spacing w:val="-13"/>
        </w:rPr>
        <w:t> </w:t>
      </w:r>
      <w:r>
        <w:rPr/>
        <w:t>our</w:t>
      </w:r>
      <w:r>
        <w:rPr>
          <w:spacing w:val="-12"/>
        </w:rPr>
        <w:t> </w:t>
      </w:r>
      <w:r>
        <w:rPr/>
        <w:t>Adobe</w:t>
      </w:r>
      <w:r>
        <w:rPr>
          <w:spacing w:val="-8"/>
        </w:rPr>
        <w:t> </w:t>
      </w:r>
      <w:r>
        <w:rPr/>
        <w:t>Stock</w:t>
      </w:r>
      <w:r>
        <w:rPr>
          <w:spacing w:val="-8"/>
        </w:rPr>
        <w:t> </w:t>
      </w:r>
      <w:r>
        <w:rPr/>
        <w:t>service.</w:t>
      </w:r>
      <w:r>
        <w:rPr>
          <w:spacing w:val="-8"/>
        </w:rPr>
        <w:t> </w:t>
      </w:r>
      <w:r>
        <w:rPr/>
        <w:t>Overall,</w:t>
      </w:r>
      <w:r>
        <w:rPr>
          <w:spacing w:val="-9"/>
        </w:rPr>
        <w:t> </w:t>
      </w:r>
      <w:r>
        <w:rPr/>
        <w:t>our</w:t>
      </w:r>
      <w:r>
        <w:rPr>
          <w:spacing w:val="-8"/>
        </w:rPr>
        <w:t> </w:t>
      </w:r>
      <w:r>
        <w:rPr/>
        <w:t>strategy</w:t>
      </w:r>
      <w:r>
        <w:rPr>
          <w:spacing w:val="-9"/>
        </w:rPr>
        <w:t> </w:t>
      </w:r>
      <w:r>
        <w:rPr/>
        <w:t>with</w:t>
      </w:r>
      <w:r>
        <w:rPr>
          <w:spacing w:val="-8"/>
        </w:rPr>
        <w:t> </w:t>
      </w:r>
      <w:r>
        <w:rPr/>
        <w:t>Creative</w:t>
      </w:r>
      <w:r>
        <w:rPr>
          <w:spacing w:val="-9"/>
        </w:rPr>
        <w:t> </w:t>
      </w:r>
      <w:r>
        <w:rPr/>
        <w:t>Cloud</w:t>
      </w:r>
      <w:r>
        <w:rPr>
          <w:spacing w:val="-8"/>
        </w:rPr>
        <w:t> </w:t>
      </w:r>
      <w:r>
        <w:rPr/>
        <w:t>is</w:t>
      </w:r>
      <w:r>
        <w:rPr>
          <w:spacing w:val="-8"/>
        </w:rPr>
        <w:t> </w:t>
      </w:r>
      <w:r>
        <w:rPr/>
        <w:t>designed</w:t>
      </w:r>
      <w:r>
        <w:rPr>
          <w:spacing w:val="-8"/>
        </w:rPr>
        <w:t> </w:t>
      </w:r>
      <w:r>
        <w:rPr/>
        <w:t>to</w:t>
      </w:r>
      <w:r>
        <w:rPr>
          <w:spacing w:val="-8"/>
        </w:rPr>
        <w:t> </w:t>
      </w:r>
      <w:r>
        <w:rPr/>
        <w:t>enable</w:t>
      </w:r>
      <w:r>
        <w:rPr>
          <w:spacing w:val="-9"/>
        </w:rPr>
        <w:t> </w:t>
      </w:r>
      <w:r>
        <w:rPr/>
        <w:t>us</w:t>
      </w:r>
      <w:r>
        <w:rPr>
          <w:spacing w:val="-8"/>
        </w:rPr>
        <w:t> </w:t>
      </w:r>
      <w:r>
        <w:rPr/>
        <w:t>to</w:t>
      </w:r>
      <w:r>
        <w:rPr>
          <w:spacing w:val="-8"/>
        </w:rPr>
        <w:t> </w:t>
      </w:r>
      <w:r>
        <w:rPr/>
        <w:t>increase</w:t>
      </w:r>
      <w:r>
        <w:rPr>
          <w:spacing w:val="-9"/>
        </w:rPr>
        <w:t> </w:t>
      </w:r>
      <w:r>
        <w:rPr/>
        <w:t>our</w:t>
      </w:r>
      <w:r>
        <w:rPr>
          <w:spacing w:val="-8"/>
        </w:rPr>
        <w:t> </w:t>
      </w:r>
      <w:r>
        <w:rPr/>
        <w:t>revenue</w:t>
      </w:r>
      <w:r>
        <w:rPr>
          <w:spacing w:val="-9"/>
        </w:rPr>
        <w:t> </w:t>
      </w:r>
      <w:r>
        <w:rPr/>
        <w:t>with</w:t>
      </w:r>
      <w:r>
        <w:rPr>
          <w:spacing w:val="-8"/>
        </w:rPr>
        <w:t> </w:t>
      </w:r>
      <w:r>
        <w:rPr/>
        <w:t>users, attract more new customers, and grow a recurring and predictable revenue stream that is recognized ratably.</w:t>
      </w:r>
    </w:p>
    <w:p>
      <w:pPr>
        <w:pStyle w:val="BodyText"/>
        <w:spacing w:before="14"/>
      </w:pPr>
    </w:p>
    <w:p>
      <w:pPr>
        <w:pStyle w:val="BodyText"/>
        <w:spacing w:line="249" w:lineRule="auto" w:before="1"/>
        <w:ind w:left="220" w:right="257" w:firstLine="540"/>
        <w:jc w:val="both"/>
      </w:pPr>
      <w:r>
        <w:rPr/>
        <w:t>We continue to implement strategies that will accelerate awareness, consideration and purchase of subscriptions to our Creative</w:t>
      </w:r>
      <w:r>
        <w:rPr>
          <w:spacing w:val="-11"/>
        </w:rPr>
        <w:t> </w:t>
      </w:r>
      <w:r>
        <w:rPr/>
        <w:t>Cloud</w:t>
      </w:r>
      <w:r>
        <w:rPr>
          <w:spacing w:val="-11"/>
        </w:rPr>
        <w:t> </w:t>
      </w:r>
      <w:r>
        <w:rPr/>
        <w:t>offerings.</w:t>
      </w:r>
      <w:r>
        <w:rPr>
          <w:spacing w:val="-13"/>
        </w:rPr>
        <w:t> </w:t>
      </w:r>
      <w:r>
        <w:rPr/>
        <w:t>These</w:t>
      </w:r>
      <w:r>
        <w:rPr>
          <w:spacing w:val="-10"/>
        </w:rPr>
        <w:t> </w:t>
      </w:r>
      <w:r>
        <w:rPr/>
        <w:t>strategies</w:t>
      </w:r>
      <w:r>
        <w:rPr>
          <w:spacing w:val="-11"/>
        </w:rPr>
        <w:t> </w:t>
      </w:r>
      <w:r>
        <w:rPr/>
        <w:t>include</w:t>
      </w:r>
      <w:r>
        <w:rPr>
          <w:spacing w:val="-11"/>
        </w:rPr>
        <w:t> </w:t>
      </w:r>
      <w:r>
        <w:rPr/>
        <w:t>increasing</w:t>
      </w:r>
      <w:r>
        <w:rPr>
          <w:spacing w:val="-11"/>
        </w:rPr>
        <w:t> </w:t>
      </w:r>
      <w:r>
        <w:rPr/>
        <w:t>the</w:t>
      </w:r>
      <w:r>
        <w:rPr>
          <w:spacing w:val="-11"/>
        </w:rPr>
        <w:t> </w:t>
      </w:r>
      <w:r>
        <w:rPr/>
        <w:t>value</w:t>
      </w:r>
      <w:r>
        <w:rPr>
          <w:spacing w:val="-11"/>
        </w:rPr>
        <w:t> </w:t>
      </w:r>
      <w:r>
        <w:rPr/>
        <w:t>Creative</w:t>
      </w:r>
      <w:r>
        <w:rPr>
          <w:spacing w:val="-11"/>
        </w:rPr>
        <w:t> </w:t>
      </w:r>
      <w:r>
        <w:rPr/>
        <w:t>Cloud</w:t>
      </w:r>
      <w:r>
        <w:rPr>
          <w:spacing w:val="-11"/>
        </w:rPr>
        <w:t> </w:t>
      </w:r>
      <w:r>
        <w:rPr/>
        <w:t>users</w:t>
      </w:r>
      <w:r>
        <w:rPr>
          <w:spacing w:val="-11"/>
        </w:rPr>
        <w:t> </w:t>
      </w:r>
      <w:r>
        <w:rPr/>
        <w:t>receive,</w:t>
      </w:r>
      <w:r>
        <w:rPr>
          <w:spacing w:val="-11"/>
        </w:rPr>
        <w:t> </w:t>
      </w:r>
      <w:r>
        <w:rPr/>
        <w:t>such</w:t>
      </w:r>
      <w:r>
        <w:rPr>
          <w:spacing w:val="-11"/>
        </w:rPr>
        <w:t> </w:t>
      </w:r>
      <w:r>
        <w:rPr/>
        <w:t>as</w:t>
      </w:r>
      <w:r>
        <w:rPr>
          <w:spacing w:val="-11"/>
        </w:rPr>
        <w:t> </w:t>
      </w:r>
      <w:r>
        <w:rPr/>
        <w:t>offering</w:t>
      </w:r>
      <w:r>
        <w:rPr>
          <w:spacing w:val="-11"/>
        </w:rPr>
        <w:t> </w:t>
      </w:r>
      <w:r>
        <w:rPr/>
        <w:t>new</w:t>
      </w:r>
      <w:r>
        <w:rPr>
          <w:spacing w:val="-11"/>
        </w:rPr>
        <w:t> </w:t>
      </w:r>
      <w:r>
        <w:rPr/>
        <w:t>mobile applications, as well as targeted promotions and offers that attract past customers and potential users to try out and ultimately subscribe</w:t>
      </w:r>
      <w:r>
        <w:rPr>
          <w:spacing w:val="-13"/>
        </w:rPr>
        <w:t> </w:t>
      </w:r>
      <w:r>
        <w:rPr/>
        <w:t>to</w:t>
      </w:r>
      <w:r>
        <w:rPr>
          <w:spacing w:val="-10"/>
        </w:rPr>
        <w:t> </w:t>
      </w:r>
      <w:r>
        <w:rPr/>
        <w:t>Creative</w:t>
      </w:r>
      <w:r>
        <w:rPr>
          <w:spacing w:val="-9"/>
        </w:rPr>
        <w:t> </w:t>
      </w:r>
      <w:r>
        <w:rPr/>
        <w:t>Cloud.</w:t>
      </w:r>
      <w:r>
        <w:rPr>
          <w:spacing w:val="-8"/>
        </w:rPr>
        <w:t> </w:t>
      </w:r>
      <w:r>
        <w:rPr/>
        <w:t>Because</w:t>
      </w:r>
      <w:r>
        <w:rPr>
          <w:spacing w:val="-9"/>
        </w:rPr>
        <w:t> </w:t>
      </w:r>
      <w:r>
        <w:rPr/>
        <w:t>of</w:t>
      </w:r>
      <w:r>
        <w:rPr>
          <w:spacing w:val="-8"/>
        </w:rPr>
        <w:t> </w:t>
      </w:r>
      <w:r>
        <w:rPr/>
        <w:t>the</w:t>
      </w:r>
      <w:r>
        <w:rPr>
          <w:spacing w:val="-8"/>
        </w:rPr>
        <w:t> </w:t>
      </w:r>
      <w:r>
        <w:rPr/>
        <w:t>shift</w:t>
      </w:r>
      <w:r>
        <w:rPr>
          <w:spacing w:val="-9"/>
        </w:rPr>
        <w:t> </w:t>
      </w:r>
      <w:r>
        <w:rPr/>
        <w:t>towards</w:t>
      </w:r>
      <w:r>
        <w:rPr>
          <w:spacing w:val="-8"/>
        </w:rPr>
        <w:t> </w:t>
      </w:r>
      <w:r>
        <w:rPr/>
        <w:t>Creative</w:t>
      </w:r>
      <w:r>
        <w:rPr>
          <w:spacing w:val="-9"/>
        </w:rPr>
        <w:t> </w:t>
      </w:r>
      <w:r>
        <w:rPr/>
        <w:t>Cloud</w:t>
      </w:r>
      <w:r>
        <w:rPr>
          <w:spacing w:val="-8"/>
        </w:rPr>
        <w:t> </w:t>
      </w:r>
      <w:r>
        <w:rPr/>
        <w:t>subscriptions</w:t>
      </w:r>
      <w:r>
        <w:rPr>
          <w:spacing w:val="-8"/>
        </w:rPr>
        <w:t> </w:t>
      </w:r>
      <w:r>
        <w:rPr/>
        <w:t>and</w:t>
      </w:r>
      <w:r>
        <w:rPr>
          <w:spacing w:val="-8"/>
        </w:rPr>
        <w:t> </w:t>
      </w:r>
      <w:r>
        <w:rPr/>
        <w:t>Enterprise</w:t>
      </w:r>
      <w:r>
        <w:rPr>
          <w:spacing w:val="-12"/>
        </w:rPr>
        <w:t> </w:t>
      </w:r>
      <w:r>
        <w:rPr/>
        <w:t>Term</w:t>
      </w:r>
      <w:r>
        <w:rPr>
          <w:spacing w:val="-9"/>
        </w:rPr>
        <w:t> </w:t>
      </w:r>
      <w:r>
        <w:rPr/>
        <w:t>License</w:t>
      </w:r>
      <w:r>
        <w:rPr>
          <w:spacing w:val="-13"/>
        </w:rPr>
        <w:t> </w:t>
      </w:r>
      <w:r>
        <w:rPr/>
        <w:t>Agreements (“ETLAs”), revenue from perpetual licensing of our Creative products has been immaterial to our business.</w:t>
      </w:r>
    </w:p>
    <w:p>
      <w:pPr>
        <w:pStyle w:val="BodyText"/>
        <w:spacing w:before="13"/>
      </w:pPr>
    </w:p>
    <w:p>
      <w:pPr>
        <w:pStyle w:val="BodyText"/>
        <w:spacing w:line="249" w:lineRule="auto" w:before="1"/>
        <w:ind w:left="220" w:right="257" w:firstLine="540"/>
        <w:jc w:val="both"/>
      </w:pPr>
      <w:r>
        <w:rPr/>
        <w:t>We</w:t>
      </w:r>
      <w:r>
        <w:rPr>
          <w:spacing w:val="-13"/>
        </w:rPr>
        <w:t> </w:t>
      </w:r>
      <w:r>
        <w:rPr/>
        <w:t>are</w:t>
      </w:r>
      <w:r>
        <w:rPr>
          <w:spacing w:val="-12"/>
        </w:rPr>
        <w:t> </w:t>
      </w:r>
      <w:r>
        <w:rPr/>
        <w:t>also</w:t>
      </w:r>
      <w:r>
        <w:rPr>
          <w:spacing w:val="-13"/>
        </w:rPr>
        <w:t> </w:t>
      </w:r>
      <w:r>
        <w:rPr/>
        <w:t>a</w:t>
      </w:r>
      <w:r>
        <w:rPr>
          <w:spacing w:val="-12"/>
        </w:rPr>
        <w:t> </w:t>
      </w:r>
      <w:r>
        <w:rPr/>
        <w:t>market</w:t>
      </w:r>
      <w:r>
        <w:rPr>
          <w:spacing w:val="-13"/>
        </w:rPr>
        <w:t> </w:t>
      </w:r>
      <w:r>
        <w:rPr/>
        <w:t>leader</w:t>
      </w:r>
      <w:r>
        <w:rPr>
          <w:spacing w:val="-12"/>
        </w:rPr>
        <w:t> </w:t>
      </w:r>
      <w:r>
        <w:rPr/>
        <w:t>with</w:t>
      </w:r>
      <w:r>
        <w:rPr>
          <w:spacing w:val="-13"/>
        </w:rPr>
        <w:t> </w:t>
      </w:r>
      <w:r>
        <w:rPr/>
        <w:t>our</w:t>
      </w:r>
      <w:r>
        <w:rPr>
          <w:spacing w:val="-12"/>
        </w:rPr>
        <w:t> </w:t>
      </w:r>
      <w:r>
        <w:rPr/>
        <w:t>Adobe</w:t>
      </w:r>
      <w:r>
        <w:rPr>
          <w:spacing w:val="-13"/>
        </w:rPr>
        <w:t> </w:t>
      </w:r>
      <w:r>
        <w:rPr/>
        <w:t>Document</w:t>
      </w:r>
      <w:r>
        <w:rPr>
          <w:spacing w:val="-12"/>
        </w:rPr>
        <w:t> </w:t>
      </w:r>
      <w:r>
        <w:rPr/>
        <w:t>Cloud</w:t>
      </w:r>
      <w:r>
        <w:rPr>
          <w:spacing w:val="-13"/>
        </w:rPr>
        <w:t> </w:t>
      </w:r>
      <w:r>
        <w:rPr/>
        <w:t>offerings</w:t>
      </w:r>
      <w:r>
        <w:rPr>
          <w:spacing w:val="-12"/>
        </w:rPr>
        <w:t> </w:t>
      </w:r>
      <w:r>
        <w:rPr/>
        <w:t>built</w:t>
      </w:r>
      <w:r>
        <w:rPr>
          <w:spacing w:val="-13"/>
        </w:rPr>
        <w:t> </w:t>
      </w:r>
      <w:r>
        <w:rPr/>
        <w:t>around</w:t>
      </w:r>
      <w:r>
        <w:rPr>
          <w:spacing w:val="-12"/>
        </w:rPr>
        <w:t> </w:t>
      </w:r>
      <w:r>
        <w:rPr/>
        <w:t>our</w:t>
      </w:r>
      <w:r>
        <w:rPr>
          <w:spacing w:val="-13"/>
        </w:rPr>
        <w:t> </w:t>
      </w:r>
      <w:r>
        <w:rPr/>
        <w:t>Adobe</w:t>
      </w:r>
      <w:r>
        <w:rPr>
          <w:spacing w:val="-12"/>
        </w:rPr>
        <w:t> </w:t>
      </w:r>
      <w:r>
        <w:rPr/>
        <w:t>Acrobat</w:t>
      </w:r>
      <w:r>
        <w:rPr>
          <w:spacing w:val="-13"/>
        </w:rPr>
        <w:t> </w:t>
      </w:r>
      <w:r>
        <w:rPr/>
        <w:t>family</w:t>
      </w:r>
      <w:r>
        <w:rPr>
          <w:spacing w:val="-12"/>
        </w:rPr>
        <w:t> </w:t>
      </w:r>
      <w:r>
        <w:rPr/>
        <w:t>of</w:t>
      </w:r>
      <w:r>
        <w:rPr>
          <w:spacing w:val="-13"/>
        </w:rPr>
        <w:t> </w:t>
      </w:r>
      <w:r>
        <w:rPr/>
        <w:t>products, </w:t>
      </w:r>
      <w:r>
        <w:rPr>
          <w:spacing w:val="-2"/>
        </w:rPr>
        <w:t>the</w:t>
      </w:r>
      <w:r>
        <w:rPr>
          <w:spacing w:val="-11"/>
        </w:rPr>
        <w:t> </w:t>
      </w:r>
      <w:r>
        <w:rPr>
          <w:spacing w:val="-2"/>
        </w:rPr>
        <w:t>Adobe</w:t>
      </w:r>
      <w:r>
        <w:rPr>
          <w:spacing w:val="-9"/>
        </w:rPr>
        <w:t> </w:t>
      </w:r>
      <w:r>
        <w:rPr>
          <w:spacing w:val="-2"/>
        </w:rPr>
        <w:t>Reader and a</w:t>
      </w:r>
      <w:r>
        <w:rPr>
          <w:spacing w:val="-3"/>
        </w:rPr>
        <w:t> </w:t>
      </w:r>
      <w:r>
        <w:rPr>
          <w:spacing w:val="-2"/>
        </w:rPr>
        <w:t>set of</w:t>
      </w:r>
      <w:r>
        <w:rPr>
          <w:spacing w:val="-3"/>
        </w:rPr>
        <w:t> </w:t>
      </w:r>
      <w:r>
        <w:rPr>
          <w:spacing w:val="-2"/>
        </w:rPr>
        <w:t>integrated cloud-based</w:t>
      </w:r>
      <w:r>
        <w:rPr>
          <w:spacing w:val="-3"/>
        </w:rPr>
        <w:t> </w:t>
      </w:r>
      <w:r>
        <w:rPr>
          <w:spacing w:val="-2"/>
        </w:rPr>
        <w:t>document services,</w:t>
      </w:r>
      <w:r>
        <w:rPr>
          <w:spacing w:val="-3"/>
        </w:rPr>
        <w:t> </w:t>
      </w:r>
      <w:r>
        <w:rPr>
          <w:spacing w:val="-2"/>
        </w:rPr>
        <w:t>including</w:t>
      </w:r>
      <w:r>
        <w:rPr>
          <w:spacing w:val="-11"/>
        </w:rPr>
        <w:t> </w:t>
      </w:r>
      <w:r>
        <w:rPr>
          <w:spacing w:val="-2"/>
        </w:rPr>
        <w:t>Adobe Sign.</w:t>
      </w:r>
      <w:r>
        <w:rPr>
          <w:spacing w:val="-11"/>
        </w:rPr>
        <w:t> </w:t>
      </w:r>
      <w:r>
        <w:rPr>
          <w:spacing w:val="-2"/>
        </w:rPr>
        <w:t>Acrobat provides reliable</w:t>
      </w:r>
      <w:r>
        <w:rPr>
          <w:spacing w:val="-3"/>
        </w:rPr>
        <w:t> </w:t>
      </w:r>
      <w:r>
        <w:rPr>
          <w:spacing w:val="-2"/>
        </w:rPr>
        <w:t>creation </w:t>
      </w:r>
      <w:r>
        <w:rPr/>
        <w:t>and exchange of electronic documents, regardless of platform or application source type. Document Cloud, which we believe enhances the way people manage critical documents at home, in the office and across devices, includes</w:t>
      </w:r>
      <w:r>
        <w:rPr>
          <w:spacing w:val="-10"/>
        </w:rPr>
        <w:t> </w:t>
      </w:r>
      <w:r>
        <w:rPr/>
        <w:t>Adobe</w:t>
      </w:r>
      <w:r>
        <w:rPr>
          <w:spacing w:val="-10"/>
        </w:rPr>
        <w:t> </w:t>
      </w:r>
      <w:r>
        <w:rPr/>
        <w:t>Acrobat DC and Adobe Sign, and a set of integrated services enabling users to create, review, approve, sign and track documents whether on a desktop or mobile device. Adobe Acrobat DC, with a touch-enabled user interface, is offered both through subscription and perpetual licenses.</w:t>
      </w:r>
    </w:p>
    <w:p>
      <w:pPr>
        <w:pStyle w:val="BodyText"/>
        <w:spacing w:before="15"/>
      </w:pPr>
    </w:p>
    <w:p>
      <w:pPr>
        <w:pStyle w:val="BodyText"/>
        <w:spacing w:line="249" w:lineRule="auto"/>
        <w:ind w:left="220" w:right="257" w:firstLine="540"/>
        <w:jc w:val="both"/>
      </w:pPr>
      <w:r>
        <w:rPr/>
        <w:t>Annualized</w:t>
      </w:r>
      <w:r>
        <w:rPr>
          <w:spacing w:val="-13"/>
        </w:rPr>
        <w:t> </w:t>
      </w:r>
      <w:r>
        <w:rPr/>
        <w:t>Recurring</w:t>
      </w:r>
      <w:r>
        <w:rPr>
          <w:spacing w:val="-12"/>
        </w:rPr>
        <w:t> </w:t>
      </w:r>
      <w:r>
        <w:rPr/>
        <w:t>Revenue</w:t>
      </w:r>
      <w:r>
        <w:rPr>
          <w:spacing w:val="-13"/>
        </w:rPr>
        <w:t> </w:t>
      </w:r>
      <w:r>
        <w:rPr/>
        <w:t>(“ARR”)</w:t>
      </w:r>
      <w:r>
        <w:rPr>
          <w:spacing w:val="-12"/>
        </w:rPr>
        <w:t> </w:t>
      </w:r>
      <w:r>
        <w:rPr/>
        <w:t>is</w:t>
      </w:r>
      <w:r>
        <w:rPr>
          <w:spacing w:val="-13"/>
        </w:rPr>
        <w:t> </w:t>
      </w:r>
      <w:r>
        <w:rPr/>
        <w:t>currently</w:t>
      </w:r>
      <w:r>
        <w:rPr>
          <w:spacing w:val="-12"/>
        </w:rPr>
        <w:t> </w:t>
      </w:r>
      <w:r>
        <w:rPr/>
        <w:t>the</w:t>
      </w:r>
      <w:r>
        <w:rPr>
          <w:spacing w:val="-13"/>
        </w:rPr>
        <w:t> </w:t>
      </w:r>
      <w:r>
        <w:rPr/>
        <w:t>key</w:t>
      </w:r>
      <w:r>
        <w:rPr>
          <w:spacing w:val="-12"/>
        </w:rPr>
        <w:t> </w:t>
      </w:r>
      <w:r>
        <w:rPr/>
        <w:t>performance</w:t>
      </w:r>
      <w:r>
        <w:rPr>
          <w:spacing w:val="-13"/>
        </w:rPr>
        <w:t> </w:t>
      </w:r>
      <w:r>
        <w:rPr/>
        <w:t>metric</w:t>
      </w:r>
      <w:r>
        <w:rPr>
          <w:spacing w:val="-12"/>
        </w:rPr>
        <w:t> </w:t>
      </w:r>
      <w:r>
        <w:rPr/>
        <w:t>our</w:t>
      </w:r>
      <w:r>
        <w:rPr>
          <w:spacing w:val="-13"/>
        </w:rPr>
        <w:t> </w:t>
      </w:r>
      <w:r>
        <w:rPr/>
        <w:t>management</w:t>
      </w:r>
      <w:r>
        <w:rPr>
          <w:spacing w:val="-12"/>
        </w:rPr>
        <w:t> </w:t>
      </w:r>
      <w:r>
        <w:rPr/>
        <w:t>uses</w:t>
      </w:r>
      <w:r>
        <w:rPr>
          <w:spacing w:val="-13"/>
        </w:rPr>
        <w:t> </w:t>
      </w:r>
      <w:r>
        <w:rPr/>
        <w:t>to</w:t>
      </w:r>
      <w:r>
        <w:rPr>
          <w:spacing w:val="-12"/>
        </w:rPr>
        <w:t> </w:t>
      </w:r>
      <w:r>
        <w:rPr/>
        <w:t>assess</w:t>
      </w:r>
      <w:r>
        <w:rPr>
          <w:spacing w:val="-13"/>
        </w:rPr>
        <w:t> </w:t>
      </w:r>
      <w:r>
        <w:rPr/>
        <w:t>the</w:t>
      </w:r>
      <w:r>
        <w:rPr>
          <w:spacing w:val="-12"/>
        </w:rPr>
        <w:t> </w:t>
      </w:r>
      <w:r>
        <w:rPr/>
        <w:t>health and trajectory of our overall Digital Media segment. ARR should be viewed independently of revenue, deferred revenue and unbilled</w:t>
      </w:r>
      <w:r>
        <w:rPr>
          <w:spacing w:val="-10"/>
        </w:rPr>
        <w:t> </w:t>
      </w:r>
      <w:r>
        <w:rPr/>
        <w:t>deferred</w:t>
      </w:r>
      <w:r>
        <w:rPr>
          <w:spacing w:val="-6"/>
        </w:rPr>
        <w:t> </w:t>
      </w:r>
      <w:r>
        <w:rPr/>
        <w:t>revenue</w:t>
      </w:r>
      <w:r>
        <w:rPr>
          <w:spacing w:val="-6"/>
        </w:rPr>
        <w:t> </w:t>
      </w:r>
      <w:r>
        <w:rPr/>
        <w:t>as</w:t>
      </w:r>
      <w:r>
        <w:rPr>
          <w:spacing w:val="-13"/>
        </w:rPr>
        <w:t> </w:t>
      </w:r>
      <w:r>
        <w:rPr/>
        <w:t>ARR</w:t>
      </w:r>
      <w:r>
        <w:rPr>
          <w:spacing w:val="-6"/>
        </w:rPr>
        <w:t> </w:t>
      </w:r>
      <w:r>
        <w:rPr/>
        <w:t>is</w:t>
      </w:r>
      <w:r>
        <w:rPr>
          <w:spacing w:val="-6"/>
        </w:rPr>
        <w:t> </w:t>
      </w:r>
      <w:r>
        <w:rPr/>
        <w:t>a</w:t>
      </w:r>
      <w:r>
        <w:rPr>
          <w:spacing w:val="-6"/>
        </w:rPr>
        <w:t> </w:t>
      </w:r>
      <w:r>
        <w:rPr/>
        <w:t>performance</w:t>
      </w:r>
      <w:r>
        <w:rPr>
          <w:spacing w:val="-6"/>
        </w:rPr>
        <w:t> </w:t>
      </w:r>
      <w:r>
        <w:rPr/>
        <w:t>metric</w:t>
      </w:r>
      <w:r>
        <w:rPr>
          <w:spacing w:val="-6"/>
        </w:rPr>
        <w:t> </w:t>
      </w:r>
      <w:r>
        <w:rPr/>
        <w:t>and</w:t>
      </w:r>
      <w:r>
        <w:rPr>
          <w:spacing w:val="-6"/>
        </w:rPr>
        <w:t> </w:t>
      </w:r>
      <w:r>
        <w:rPr/>
        <w:t>is</w:t>
      </w:r>
      <w:r>
        <w:rPr>
          <w:spacing w:val="-6"/>
        </w:rPr>
        <w:t> </w:t>
      </w:r>
      <w:r>
        <w:rPr/>
        <w:t>not</w:t>
      </w:r>
      <w:r>
        <w:rPr>
          <w:spacing w:val="-6"/>
        </w:rPr>
        <w:t> </w:t>
      </w:r>
      <w:r>
        <w:rPr/>
        <w:t>intended</w:t>
      </w:r>
      <w:r>
        <w:rPr>
          <w:spacing w:val="-6"/>
        </w:rPr>
        <w:t> </w:t>
      </w:r>
      <w:r>
        <w:rPr/>
        <w:t>to</w:t>
      </w:r>
      <w:r>
        <w:rPr>
          <w:spacing w:val="-6"/>
        </w:rPr>
        <w:t> </w:t>
      </w:r>
      <w:r>
        <w:rPr/>
        <w:t>be</w:t>
      </w:r>
      <w:r>
        <w:rPr>
          <w:spacing w:val="-6"/>
        </w:rPr>
        <w:t> </w:t>
      </w:r>
      <w:r>
        <w:rPr/>
        <w:t>combined</w:t>
      </w:r>
      <w:r>
        <w:rPr>
          <w:spacing w:val="-6"/>
        </w:rPr>
        <w:t> </w:t>
      </w:r>
      <w:r>
        <w:rPr/>
        <w:t>with</w:t>
      </w:r>
      <w:r>
        <w:rPr>
          <w:spacing w:val="-6"/>
        </w:rPr>
        <w:t> </w:t>
      </w:r>
      <w:r>
        <w:rPr/>
        <w:t>any</w:t>
      </w:r>
      <w:r>
        <w:rPr>
          <w:spacing w:val="-6"/>
        </w:rPr>
        <w:t> </w:t>
      </w:r>
      <w:r>
        <w:rPr/>
        <w:t>of</w:t>
      </w:r>
      <w:r>
        <w:rPr>
          <w:spacing w:val="-6"/>
        </w:rPr>
        <w:t> </w:t>
      </w:r>
      <w:r>
        <w:rPr/>
        <w:t>these</w:t>
      </w:r>
      <w:r>
        <w:rPr>
          <w:spacing w:val="-6"/>
        </w:rPr>
        <w:t> </w:t>
      </w:r>
      <w:r>
        <w:rPr/>
        <w:t>items.</w:t>
      </w:r>
      <w:r>
        <w:rPr>
          <w:spacing w:val="-9"/>
        </w:rPr>
        <w:t> </w:t>
      </w:r>
      <w:r>
        <w:rPr/>
        <w:t>We</w:t>
      </w:r>
      <w:r>
        <w:rPr>
          <w:spacing w:val="-6"/>
        </w:rPr>
        <w:t> </w:t>
      </w:r>
      <w:r>
        <w:rPr/>
        <w:t>adjust our</w:t>
      </w:r>
      <w:r>
        <w:rPr>
          <w:spacing w:val="-7"/>
        </w:rPr>
        <w:t> </w:t>
      </w:r>
      <w:r>
        <w:rPr/>
        <w:t>reported</w:t>
      </w:r>
      <w:r>
        <w:rPr>
          <w:spacing w:val="-13"/>
        </w:rPr>
        <w:t> </w:t>
      </w:r>
      <w:r>
        <w:rPr/>
        <w:t>ARR</w:t>
      </w:r>
      <w:r>
        <w:rPr>
          <w:spacing w:val="-3"/>
        </w:rPr>
        <w:t> </w:t>
      </w:r>
      <w:r>
        <w:rPr/>
        <w:t>on</w:t>
      </w:r>
      <w:r>
        <w:rPr>
          <w:spacing w:val="-4"/>
        </w:rPr>
        <w:t> </w:t>
      </w:r>
      <w:r>
        <w:rPr/>
        <w:t>an</w:t>
      </w:r>
      <w:r>
        <w:rPr>
          <w:spacing w:val="-4"/>
        </w:rPr>
        <w:t> </w:t>
      </w:r>
      <w:r>
        <w:rPr/>
        <w:t>annual</w:t>
      </w:r>
      <w:r>
        <w:rPr>
          <w:spacing w:val="-4"/>
        </w:rPr>
        <w:t> </w:t>
      </w:r>
      <w:r>
        <w:rPr/>
        <w:t>basis</w:t>
      </w:r>
      <w:r>
        <w:rPr>
          <w:spacing w:val="-4"/>
        </w:rPr>
        <w:t> </w:t>
      </w:r>
      <w:r>
        <w:rPr/>
        <w:t>to</w:t>
      </w:r>
      <w:r>
        <w:rPr>
          <w:spacing w:val="-4"/>
        </w:rPr>
        <w:t> </w:t>
      </w:r>
      <w:r>
        <w:rPr/>
        <w:t>reflect</w:t>
      </w:r>
      <w:r>
        <w:rPr>
          <w:spacing w:val="-4"/>
        </w:rPr>
        <w:t> </w:t>
      </w:r>
      <w:r>
        <w:rPr/>
        <w:t>any</w:t>
      </w:r>
      <w:r>
        <w:rPr>
          <w:spacing w:val="-4"/>
        </w:rPr>
        <w:t> </w:t>
      </w:r>
      <w:r>
        <w:rPr/>
        <w:t>material</w:t>
      </w:r>
      <w:r>
        <w:rPr>
          <w:spacing w:val="-5"/>
        </w:rPr>
        <w:t> </w:t>
      </w:r>
      <w:r>
        <w:rPr/>
        <w:t>exchange</w:t>
      </w:r>
      <w:r>
        <w:rPr>
          <w:spacing w:val="-4"/>
        </w:rPr>
        <w:t> </w:t>
      </w:r>
      <w:r>
        <w:rPr/>
        <w:t>rates</w:t>
      </w:r>
      <w:r>
        <w:rPr>
          <w:spacing w:val="-4"/>
        </w:rPr>
        <w:t> </w:t>
      </w:r>
      <w:r>
        <w:rPr/>
        <w:t>changes.</w:t>
      </w:r>
      <w:r>
        <w:rPr>
          <w:spacing w:val="-4"/>
        </w:rPr>
        <w:t> </w:t>
      </w:r>
      <w:r>
        <w:rPr/>
        <w:t>Our</w:t>
      </w:r>
      <w:r>
        <w:rPr>
          <w:spacing w:val="-4"/>
        </w:rPr>
        <w:t> </w:t>
      </w:r>
      <w:r>
        <w:rPr/>
        <w:t>reported</w:t>
      </w:r>
      <w:r>
        <w:rPr>
          <w:spacing w:val="-13"/>
        </w:rPr>
        <w:t> </w:t>
      </w:r>
      <w:r>
        <w:rPr/>
        <w:t>ARR</w:t>
      </w:r>
      <w:r>
        <w:rPr>
          <w:spacing w:val="-3"/>
        </w:rPr>
        <w:t> </w:t>
      </w:r>
      <w:r>
        <w:rPr/>
        <w:t>results</w:t>
      </w:r>
      <w:r>
        <w:rPr>
          <w:spacing w:val="-4"/>
        </w:rPr>
        <w:t> </w:t>
      </w:r>
      <w:r>
        <w:rPr/>
        <w:t>in</w:t>
      </w:r>
      <w:r>
        <w:rPr>
          <w:spacing w:val="-4"/>
        </w:rPr>
        <w:t> </w:t>
      </w:r>
      <w:r>
        <w:rPr/>
        <w:t>fiscal</w:t>
      </w:r>
      <w:r>
        <w:rPr>
          <w:spacing w:val="-4"/>
        </w:rPr>
        <w:t> </w:t>
      </w:r>
      <w:r>
        <w:rPr/>
        <w:t>2017</w:t>
      </w:r>
      <w:r>
        <w:rPr>
          <w:spacing w:val="-4"/>
        </w:rPr>
        <w:t> </w:t>
      </w:r>
      <w:r>
        <w:rPr/>
        <w:t>are based on currency rates set at the start of fiscal 2017 and held constant throughout the year. We calculate</w:t>
      </w:r>
      <w:r>
        <w:rPr>
          <w:spacing w:val="-8"/>
        </w:rPr>
        <w:t> </w:t>
      </w:r>
      <w:r>
        <w:rPr/>
        <w:t>ARR as follows:</w:t>
      </w:r>
    </w:p>
    <w:p>
      <w:pPr>
        <w:pStyle w:val="BodyText"/>
        <w:spacing w:before="161"/>
      </w:pPr>
    </w:p>
    <w:tbl>
      <w:tblPr>
        <w:tblW w:w="0" w:type="auto"/>
        <w:jc w:val="left"/>
        <w:tblInd w:w="1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00"/>
        <w:gridCol w:w="5800"/>
      </w:tblGrid>
      <w:tr>
        <w:trPr>
          <w:trHeight w:val="1520" w:hRule="atLeast"/>
        </w:trPr>
        <w:tc>
          <w:tcPr>
            <w:tcW w:w="2000" w:type="dxa"/>
          </w:tcPr>
          <w:p>
            <w:pPr>
              <w:pStyle w:val="TableParagraph"/>
              <w:rPr>
                <w:sz w:val="20"/>
              </w:rPr>
            </w:pPr>
          </w:p>
          <w:p>
            <w:pPr>
              <w:pStyle w:val="TableParagraph"/>
              <w:spacing w:before="160"/>
              <w:rPr>
                <w:sz w:val="20"/>
              </w:rPr>
            </w:pPr>
          </w:p>
          <w:p>
            <w:pPr>
              <w:pStyle w:val="TableParagraph"/>
              <w:spacing w:before="1"/>
              <w:ind w:left="6" w:right="1"/>
              <w:jc w:val="center"/>
              <w:rPr>
                <w:sz w:val="20"/>
              </w:rPr>
            </w:pPr>
            <w:r>
              <w:rPr>
                <w:sz w:val="20"/>
              </w:rPr>
              <w:t>Creative</w:t>
            </w:r>
            <w:r>
              <w:rPr>
                <w:spacing w:val="-6"/>
                <w:sz w:val="20"/>
              </w:rPr>
              <w:t> </w:t>
            </w:r>
            <w:r>
              <w:rPr>
                <w:spacing w:val="-5"/>
                <w:sz w:val="20"/>
              </w:rPr>
              <w:t>ARR</w:t>
            </w:r>
          </w:p>
        </w:tc>
        <w:tc>
          <w:tcPr>
            <w:tcW w:w="5800" w:type="dxa"/>
          </w:tcPr>
          <w:p>
            <w:pPr>
              <w:pStyle w:val="TableParagraph"/>
              <w:spacing w:line="215" w:lineRule="exact" w:before="221"/>
              <w:ind w:right="1"/>
              <w:jc w:val="center"/>
              <w:rPr>
                <w:sz w:val="20"/>
              </w:rPr>
            </w:pPr>
            <w:r>
              <w:rPr>
                <w:sz w:val="20"/>
              </w:rPr>
              <w:t>Annual</w:t>
            </w:r>
            <w:r>
              <w:rPr>
                <w:spacing w:val="-9"/>
                <w:sz w:val="20"/>
              </w:rPr>
              <w:t> </w:t>
            </w:r>
            <w:r>
              <w:rPr>
                <w:sz w:val="20"/>
              </w:rPr>
              <w:t>Value</w:t>
            </w:r>
            <w:r>
              <w:rPr>
                <w:spacing w:val="-5"/>
                <w:sz w:val="20"/>
              </w:rPr>
              <w:t> </w:t>
            </w:r>
            <w:r>
              <w:rPr>
                <w:sz w:val="20"/>
              </w:rPr>
              <w:t>of</w:t>
            </w:r>
            <w:r>
              <w:rPr>
                <w:spacing w:val="-5"/>
                <w:sz w:val="20"/>
              </w:rPr>
              <w:t> </w:t>
            </w:r>
            <w:r>
              <w:rPr>
                <w:sz w:val="20"/>
              </w:rPr>
              <w:t>Creative</w:t>
            </w:r>
            <w:r>
              <w:rPr>
                <w:spacing w:val="-5"/>
                <w:sz w:val="20"/>
              </w:rPr>
              <w:t> </w:t>
            </w:r>
            <w:r>
              <w:rPr>
                <w:sz w:val="20"/>
              </w:rPr>
              <w:t>Cloud</w:t>
            </w:r>
            <w:r>
              <w:rPr>
                <w:spacing w:val="-5"/>
                <w:sz w:val="20"/>
              </w:rPr>
              <w:t> </w:t>
            </w:r>
            <w:r>
              <w:rPr>
                <w:sz w:val="20"/>
              </w:rPr>
              <w:t>Subscriptions</w:t>
            </w:r>
            <w:r>
              <w:rPr>
                <w:spacing w:val="-6"/>
                <w:sz w:val="20"/>
              </w:rPr>
              <w:t> </w:t>
            </w:r>
            <w:r>
              <w:rPr>
                <w:sz w:val="20"/>
              </w:rPr>
              <w:t>and</w:t>
            </w:r>
            <w:r>
              <w:rPr>
                <w:spacing w:val="-5"/>
                <w:sz w:val="20"/>
              </w:rPr>
              <w:t> </w:t>
            </w:r>
            <w:r>
              <w:rPr>
                <w:spacing w:val="-2"/>
                <w:sz w:val="20"/>
              </w:rPr>
              <w:t>Services</w:t>
            </w:r>
          </w:p>
          <w:p>
            <w:pPr>
              <w:pStyle w:val="TableParagraph"/>
              <w:spacing w:line="200" w:lineRule="exact"/>
              <w:ind w:right="1"/>
              <w:jc w:val="center"/>
              <w:rPr>
                <w:sz w:val="20"/>
              </w:rPr>
            </w:pPr>
            <w:r>
              <w:rPr>
                <w:spacing w:val="-10"/>
                <w:sz w:val="20"/>
              </w:rPr>
              <w:t>+</w:t>
            </w:r>
          </w:p>
          <w:p>
            <w:pPr>
              <w:pStyle w:val="TableParagraph"/>
              <w:spacing w:line="200" w:lineRule="exact"/>
              <w:ind w:left="1" w:right="1"/>
              <w:jc w:val="center"/>
              <w:rPr>
                <w:sz w:val="20"/>
              </w:rPr>
            </w:pPr>
            <w:r>
              <w:rPr>
                <w:sz w:val="20"/>
              </w:rPr>
              <w:t>Annual Digital Publishing Suite Contract</w:t>
            </w:r>
            <w:r>
              <w:rPr>
                <w:spacing w:val="-5"/>
                <w:sz w:val="20"/>
              </w:rPr>
              <w:t> </w:t>
            </w:r>
            <w:r>
              <w:rPr>
                <w:spacing w:val="-2"/>
                <w:sz w:val="20"/>
              </w:rPr>
              <w:t>Value</w:t>
            </w:r>
          </w:p>
          <w:p>
            <w:pPr>
              <w:pStyle w:val="TableParagraph"/>
              <w:spacing w:line="200" w:lineRule="exact"/>
              <w:ind w:right="1"/>
              <w:jc w:val="center"/>
              <w:rPr>
                <w:sz w:val="20"/>
              </w:rPr>
            </w:pPr>
            <w:r>
              <w:rPr>
                <w:spacing w:val="-10"/>
                <w:sz w:val="20"/>
              </w:rPr>
              <w:t>+</w:t>
            </w:r>
          </w:p>
          <w:p>
            <w:pPr>
              <w:pStyle w:val="TableParagraph"/>
              <w:spacing w:line="215" w:lineRule="exact"/>
              <w:ind w:right="1"/>
              <w:jc w:val="center"/>
              <w:rPr>
                <w:sz w:val="20"/>
              </w:rPr>
            </w:pPr>
            <w:r>
              <w:rPr>
                <w:sz w:val="20"/>
              </w:rPr>
              <w:t>Annual</w:t>
            </w:r>
            <w:r>
              <w:rPr>
                <w:spacing w:val="-1"/>
                <w:sz w:val="20"/>
              </w:rPr>
              <w:t> </w:t>
            </w:r>
            <w:r>
              <w:rPr>
                <w:sz w:val="20"/>
              </w:rPr>
              <w:t>Creative</w:t>
            </w:r>
            <w:r>
              <w:rPr>
                <w:spacing w:val="-1"/>
                <w:sz w:val="20"/>
              </w:rPr>
              <w:t> </w:t>
            </w:r>
            <w:r>
              <w:rPr>
                <w:sz w:val="20"/>
              </w:rPr>
              <w:t>ETLA</w:t>
            </w:r>
            <w:r>
              <w:rPr>
                <w:spacing w:val="-13"/>
                <w:sz w:val="20"/>
              </w:rPr>
              <w:t> </w:t>
            </w:r>
            <w:r>
              <w:rPr>
                <w:sz w:val="20"/>
              </w:rPr>
              <w:t>Contract</w:t>
            </w:r>
            <w:r>
              <w:rPr>
                <w:spacing w:val="-4"/>
                <w:sz w:val="20"/>
              </w:rPr>
              <w:t> </w:t>
            </w:r>
            <w:r>
              <w:rPr>
                <w:spacing w:val="-2"/>
                <w:sz w:val="20"/>
              </w:rPr>
              <w:t>Value</w:t>
            </w:r>
          </w:p>
        </w:tc>
      </w:tr>
      <w:tr>
        <w:trPr>
          <w:trHeight w:val="1520" w:hRule="atLeast"/>
        </w:trPr>
        <w:tc>
          <w:tcPr>
            <w:tcW w:w="2000" w:type="dxa"/>
          </w:tcPr>
          <w:p>
            <w:pPr>
              <w:pStyle w:val="TableParagraph"/>
              <w:rPr>
                <w:sz w:val="20"/>
              </w:rPr>
            </w:pPr>
          </w:p>
          <w:p>
            <w:pPr>
              <w:pStyle w:val="TableParagraph"/>
              <w:spacing w:before="160"/>
              <w:rPr>
                <w:sz w:val="20"/>
              </w:rPr>
            </w:pPr>
          </w:p>
          <w:p>
            <w:pPr>
              <w:pStyle w:val="TableParagraph"/>
              <w:spacing w:before="1"/>
              <w:ind w:left="5" w:right="2"/>
              <w:jc w:val="center"/>
              <w:rPr>
                <w:sz w:val="20"/>
              </w:rPr>
            </w:pPr>
            <w:r>
              <w:rPr>
                <w:sz w:val="20"/>
              </w:rPr>
              <w:t>Document Cloud</w:t>
            </w:r>
            <w:r>
              <w:rPr>
                <w:spacing w:val="-6"/>
                <w:sz w:val="20"/>
              </w:rPr>
              <w:t> </w:t>
            </w:r>
            <w:r>
              <w:rPr>
                <w:spacing w:val="-5"/>
                <w:sz w:val="20"/>
              </w:rPr>
              <w:t>ARR</w:t>
            </w:r>
          </w:p>
        </w:tc>
        <w:tc>
          <w:tcPr>
            <w:tcW w:w="5800" w:type="dxa"/>
          </w:tcPr>
          <w:p>
            <w:pPr>
              <w:pStyle w:val="TableParagraph"/>
              <w:spacing w:before="190"/>
              <w:rPr>
                <w:sz w:val="20"/>
              </w:rPr>
            </w:pPr>
          </w:p>
          <w:p>
            <w:pPr>
              <w:pStyle w:val="TableParagraph"/>
              <w:spacing w:line="215" w:lineRule="exact" w:before="1"/>
              <w:ind w:right="1"/>
              <w:jc w:val="center"/>
              <w:rPr>
                <w:sz w:val="20"/>
              </w:rPr>
            </w:pPr>
            <w:r>
              <w:rPr>
                <w:sz w:val="20"/>
              </w:rPr>
              <w:t>Annual</w:t>
            </w:r>
            <w:r>
              <w:rPr>
                <w:spacing w:val="-9"/>
                <w:sz w:val="20"/>
              </w:rPr>
              <w:t> </w:t>
            </w:r>
            <w:r>
              <w:rPr>
                <w:sz w:val="20"/>
              </w:rPr>
              <w:t>Value</w:t>
            </w:r>
            <w:r>
              <w:rPr>
                <w:spacing w:val="-5"/>
                <w:sz w:val="20"/>
              </w:rPr>
              <w:t> </w:t>
            </w:r>
            <w:r>
              <w:rPr>
                <w:sz w:val="20"/>
              </w:rPr>
              <w:t>of</w:t>
            </w:r>
            <w:r>
              <w:rPr>
                <w:spacing w:val="-5"/>
                <w:sz w:val="20"/>
              </w:rPr>
              <w:t> </w:t>
            </w:r>
            <w:r>
              <w:rPr>
                <w:sz w:val="20"/>
              </w:rPr>
              <w:t>Document</w:t>
            </w:r>
            <w:r>
              <w:rPr>
                <w:spacing w:val="-5"/>
                <w:sz w:val="20"/>
              </w:rPr>
              <w:t> </w:t>
            </w:r>
            <w:r>
              <w:rPr>
                <w:sz w:val="20"/>
              </w:rPr>
              <w:t>Cloud</w:t>
            </w:r>
            <w:r>
              <w:rPr>
                <w:spacing w:val="-5"/>
                <w:sz w:val="20"/>
              </w:rPr>
              <w:t> </w:t>
            </w:r>
            <w:r>
              <w:rPr>
                <w:sz w:val="20"/>
              </w:rPr>
              <w:t>Subscriptions</w:t>
            </w:r>
            <w:r>
              <w:rPr>
                <w:spacing w:val="-6"/>
                <w:sz w:val="20"/>
              </w:rPr>
              <w:t> </w:t>
            </w:r>
            <w:r>
              <w:rPr>
                <w:sz w:val="20"/>
              </w:rPr>
              <w:t>and</w:t>
            </w:r>
            <w:r>
              <w:rPr>
                <w:spacing w:val="-5"/>
                <w:sz w:val="20"/>
              </w:rPr>
              <w:t> </w:t>
            </w:r>
            <w:r>
              <w:rPr>
                <w:spacing w:val="-2"/>
                <w:sz w:val="20"/>
              </w:rPr>
              <w:t>Services</w:t>
            </w:r>
          </w:p>
          <w:p>
            <w:pPr>
              <w:pStyle w:val="TableParagraph"/>
              <w:spacing w:line="200" w:lineRule="exact"/>
              <w:ind w:right="1"/>
              <w:jc w:val="center"/>
              <w:rPr>
                <w:sz w:val="20"/>
              </w:rPr>
            </w:pPr>
            <w:r>
              <w:rPr>
                <w:spacing w:val="-10"/>
                <w:sz w:val="20"/>
              </w:rPr>
              <w:t>+</w:t>
            </w:r>
          </w:p>
          <w:p>
            <w:pPr>
              <w:pStyle w:val="TableParagraph"/>
              <w:spacing w:line="215" w:lineRule="exact"/>
              <w:ind w:left="1" w:right="1"/>
              <w:jc w:val="center"/>
              <w:rPr>
                <w:sz w:val="20"/>
              </w:rPr>
            </w:pPr>
            <w:r>
              <w:rPr>
                <w:sz w:val="20"/>
              </w:rPr>
              <w:t>Annual</w:t>
            </w:r>
            <w:r>
              <w:rPr>
                <w:spacing w:val="-1"/>
                <w:sz w:val="20"/>
              </w:rPr>
              <w:t> </w:t>
            </w:r>
            <w:r>
              <w:rPr>
                <w:sz w:val="20"/>
              </w:rPr>
              <w:t>Document</w:t>
            </w:r>
            <w:r>
              <w:rPr>
                <w:spacing w:val="-1"/>
                <w:sz w:val="20"/>
              </w:rPr>
              <w:t> </w:t>
            </w:r>
            <w:r>
              <w:rPr>
                <w:sz w:val="20"/>
              </w:rPr>
              <w:t>Cloud ETLA</w:t>
            </w:r>
            <w:r>
              <w:rPr>
                <w:spacing w:val="-13"/>
                <w:sz w:val="20"/>
              </w:rPr>
              <w:t> </w:t>
            </w:r>
            <w:r>
              <w:rPr>
                <w:sz w:val="20"/>
              </w:rPr>
              <w:t>Contract</w:t>
            </w:r>
            <w:r>
              <w:rPr>
                <w:spacing w:val="-4"/>
                <w:sz w:val="20"/>
              </w:rPr>
              <w:t> </w:t>
            </w:r>
            <w:r>
              <w:rPr>
                <w:spacing w:val="-2"/>
                <w:sz w:val="20"/>
              </w:rPr>
              <w:t>Value</w:t>
            </w:r>
          </w:p>
        </w:tc>
      </w:tr>
      <w:tr>
        <w:trPr>
          <w:trHeight w:val="940" w:hRule="atLeast"/>
        </w:trPr>
        <w:tc>
          <w:tcPr>
            <w:tcW w:w="2000" w:type="dxa"/>
          </w:tcPr>
          <w:p>
            <w:pPr>
              <w:pStyle w:val="TableParagraph"/>
              <w:spacing w:before="100"/>
              <w:rPr>
                <w:sz w:val="20"/>
              </w:rPr>
            </w:pPr>
          </w:p>
          <w:p>
            <w:pPr>
              <w:pStyle w:val="TableParagraph"/>
              <w:spacing w:before="1"/>
              <w:ind w:left="5" w:right="6"/>
              <w:jc w:val="center"/>
              <w:rPr>
                <w:sz w:val="20"/>
              </w:rPr>
            </w:pPr>
            <w:r>
              <w:rPr>
                <w:sz w:val="20"/>
              </w:rPr>
              <w:t>Digital Media</w:t>
            </w:r>
            <w:r>
              <w:rPr>
                <w:spacing w:val="-12"/>
                <w:sz w:val="20"/>
              </w:rPr>
              <w:t> </w:t>
            </w:r>
            <w:r>
              <w:rPr>
                <w:spacing w:val="-5"/>
                <w:sz w:val="20"/>
              </w:rPr>
              <w:t>ARR</w:t>
            </w:r>
          </w:p>
        </w:tc>
        <w:tc>
          <w:tcPr>
            <w:tcW w:w="5800" w:type="dxa"/>
          </w:tcPr>
          <w:p>
            <w:pPr>
              <w:pStyle w:val="TableParagraph"/>
              <w:spacing w:line="215" w:lineRule="exact" w:before="131"/>
              <w:ind w:left="1" w:right="1"/>
              <w:jc w:val="center"/>
              <w:rPr>
                <w:sz w:val="20"/>
              </w:rPr>
            </w:pPr>
            <w:r>
              <w:rPr>
                <w:sz w:val="20"/>
              </w:rPr>
              <w:t>Creative</w:t>
            </w:r>
            <w:r>
              <w:rPr>
                <w:spacing w:val="-12"/>
                <w:sz w:val="20"/>
              </w:rPr>
              <w:t> </w:t>
            </w:r>
            <w:r>
              <w:rPr>
                <w:spacing w:val="-5"/>
                <w:sz w:val="20"/>
              </w:rPr>
              <w:t>ARR</w:t>
            </w:r>
          </w:p>
          <w:p>
            <w:pPr>
              <w:pStyle w:val="TableParagraph"/>
              <w:spacing w:line="200" w:lineRule="exact"/>
              <w:ind w:right="1"/>
              <w:jc w:val="center"/>
              <w:rPr>
                <w:sz w:val="20"/>
              </w:rPr>
            </w:pPr>
            <w:r>
              <w:rPr>
                <w:spacing w:val="-10"/>
                <w:sz w:val="20"/>
              </w:rPr>
              <w:t>+</w:t>
            </w:r>
          </w:p>
          <w:p>
            <w:pPr>
              <w:pStyle w:val="TableParagraph"/>
              <w:spacing w:line="215" w:lineRule="exact"/>
              <w:ind w:right="1"/>
              <w:jc w:val="center"/>
              <w:rPr>
                <w:sz w:val="20"/>
              </w:rPr>
            </w:pPr>
            <w:r>
              <w:rPr>
                <w:sz w:val="20"/>
              </w:rPr>
              <w:t>Document Cloud</w:t>
            </w:r>
            <w:r>
              <w:rPr>
                <w:spacing w:val="-12"/>
                <w:sz w:val="20"/>
              </w:rPr>
              <w:t> </w:t>
            </w:r>
            <w:r>
              <w:rPr>
                <w:spacing w:val="-5"/>
                <w:sz w:val="20"/>
              </w:rPr>
              <w:t>ARR</w:t>
            </w:r>
          </w:p>
        </w:tc>
      </w:tr>
    </w:tbl>
    <w:p>
      <w:pPr>
        <w:spacing w:after="0" w:line="215" w:lineRule="exact"/>
        <w:jc w:val="center"/>
        <w:rPr>
          <w:sz w:val="20"/>
        </w:rPr>
        <w:sectPr>
          <w:pgSz w:w="12240" w:h="15840"/>
          <w:pgMar w:header="210" w:footer="579" w:top="420" w:bottom="800" w:left="780" w:right="740"/>
        </w:sectPr>
      </w:pPr>
    </w:p>
    <w:p>
      <w:pPr>
        <w:pStyle w:val="BodyText"/>
        <w:spacing w:before="150"/>
      </w:pPr>
    </w:p>
    <w:p>
      <w:pPr>
        <w:pStyle w:val="BodyText"/>
        <w:spacing w:line="249" w:lineRule="auto"/>
        <w:ind w:left="220" w:right="257" w:firstLine="540"/>
        <w:jc w:val="both"/>
      </w:pPr>
      <w:r>
        <w:rPr/>
        <w:t>Creative</w:t>
      </w:r>
      <w:r>
        <w:rPr>
          <w:spacing w:val="-13"/>
        </w:rPr>
        <w:t> </w:t>
      </w:r>
      <w:r>
        <w:rPr/>
        <w:t>ARR</w:t>
      </w:r>
      <w:r>
        <w:rPr>
          <w:spacing w:val="-12"/>
        </w:rPr>
        <w:t> </w:t>
      </w:r>
      <w:r>
        <w:rPr/>
        <w:t>exiting</w:t>
      </w:r>
      <w:r>
        <w:rPr>
          <w:spacing w:val="-12"/>
        </w:rPr>
        <w:t> </w:t>
      </w:r>
      <w:r>
        <w:rPr/>
        <w:t>fiscal</w:t>
      </w:r>
      <w:r>
        <w:rPr>
          <w:spacing w:val="-8"/>
        </w:rPr>
        <w:t> </w:t>
      </w:r>
      <w:r>
        <w:rPr/>
        <w:t>2017</w:t>
      </w:r>
      <w:r>
        <w:rPr>
          <w:spacing w:val="-8"/>
        </w:rPr>
        <w:t> </w:t>
      </w:r>
      <w:r>
        <w:rPr/>
        <w:t>was</w:t>
      </w:r>
      <w:r>
        <w:rPr>
          <w:spacing w:val="-8"/>
        </w:rPr>
        <w:t> </w:t>
      </w:r>
      <w:r>
        <w:rPr/>
        <w:t>$4.63</w:t>
      </w:r>
      <w:r>
        <w:rPr>
          <w:spacing w:val="-8"/>
        </w:rPr>
        <w:t> </w:t>
      </w:r>
      <w:r>
        <w:rPr/>
        <w:t>billion,</w:t>
      </w:r>
      <w:r>
        <w:rPr>
          <w:spacing w:val="-8"/>
        </w:rPr>
        <w:t> </w:t>
      </w:r>
      <w:r>
        <w:rPr/>
        <w:t>up</w:t>
      </w:r>
      <w:r>
        <w:rPr>
          <w:spacing w:val="-8"/>
        </w:rPr>
        <w:t> </w:t>
      </w:r>
      <w:r>
        <w:rPr/>
        <w:t>from</w:t>
      </w:r>
      <w:r>
        <w:rPr>
          <w:spacing w:val="-8"/>
        </w:rPr>
        <w:t> </w:t>
      </w:r>
      <w:r>
        <w:rPr/>
        <w:t>$3.52</w:t>
      </w:r>
      <w:r>
        <w:rPr>
          <w:spacing w:val="-8"/>
        </w:rPr>
        <w:t> </w:t>
      </w:r>
      <w:r>
        <w:rPr/>
        <w:t>billion</w:t>
      </w:r>
      <w:r>
        <w:rPr>
          <w:spacing w:val="-8"/>
        </w:rPr>
        <w:t> </w:t>
      </w:r>
      <w:r>
        <w:rPr/>
        <w:t>at</w:t>
      </w:r>
      <w:r>
        <w:rPr>
          <w:spacing w:val="-8"/>
        </w:rPr>
        <w:t> </w:t>
      </w:r>
      <w:r>
        <w:rPr/>
        <w:t>the</w:t>
      </w:r>
      <w:r>
        <w:rPr>
          <w:spacing w:val="-8"/>
        </w:rPr>
        <w:t> </w:t>
      </w:r>
      <w:r>
        <w:rPr/>
        <w:t>end</w:t>
      </w:r>
      <w:r>
        <w:rPr>
          <w:spacing w:val="-8"/>
        </w:rPr>
        <w:t> </w:t>
      </w:r>
      <w:r>
        <w:rPr/>
        <w:t>of</w:t>
      </w:r>
      <w:r>
        <w:rPr>
          <w:spacing w:val="-8"/>
        </w:rPr>
        <w:t> </w:t>
      </w:r>
      <w:r>
        <w:rPr/>
        <w:t>fiscal</w:t>
      </w:r>
      <w:r>
        <w:rPr>
          <w:spacing w:val="-8"/>
        </w:rPr>
        <w:t> </w:t>
      </w:r>
      <w:r>
        <w:rPr/>
        <w:t>2016.</w:t>
      </w:r>
      <w:r>
        <w:rPr>
          <w:spacing w:val="-8"/>
        </w:rPr>
        <w:t> </w:t>
      </w:r>
      <w:r>
        <w:rPr/>
        <w:t>Document</w:t>
      </w:r>
      <w:r>
        <w:rPr>
          <w:spacing w:val="-8"/>
        </w:rPr>
        <w:t> </w:t>
      </w:r>
      <w:r>
        <w:rPr/>
        <w:t>Cloud</w:t>
      </w:r>
      <w:r>
        <w:rPr>
          <w:spacing w:val="-13"/>
        </w:rPr>
        <w:t> </w:t>
      </w:r>
      <w:r>
        <w:rPr/>
        <w:t>ARR exiting fiscal 2017 was $600 million, up from $472 million at the end of fiscal 2016. Total Digital Media</w:t>
      </w:r>
      <w:r>
        <w:rPr>
          <w:spacing w:val="-5"/>
        </w:rPr>
        <w:t> </w:t>
      </w:r>
      <w:r>
        <w:rPr/>
        <w:t>ARR grew to $5.23 billion</w:t>
      </w:r>
      <w:r>
        <w:rPr>
          <w:spacing w:val="-4"/>
        </w:rPr>
        <w:t> </w:t>
      </w:r>
      <w:r>
        <w:rPr/>
        <w:t>at</w:t>
      </w:r>
      <w:r>
        <w:rPr>
          <w:spacing w:val="-3"/>
        </w:rPr>
        <w:t> </w:t>
      </w:r>
      <w:r>
        <w:rPr/>
        <w:t>the</w:t>
      </w:r>
      <w:r>
        <w:rPr>
          <w:spacing w:val="-3"/>
        </w:rPr>
        <w:t> </w:t>
      </w:r>
      <w:r>
        <w:rPr/>
        <w:t>end</w:t>
      </w:r>
      <w:r>
        <w:rPr>
          <w:spacing w:val="-3"/>
        </w:rPr>
        <w:t> </w:t>
      </w:r>
      <w:r>
        <w:rPr/>
        <w:t>of</w:t>
      </w:r>
      <w:r>
        <w:rPr>
          <w:spacing w:val="-3"/>
        </w:rPr>
        <w:t> </w:t>
      </w:r>
      <w:r>
        <w:rPr/>
        <w:t>fiscal</w:t>
      </w:r>
      <w:r>
        <w:rPr>
          <w:spacing w:val="-3"/>
        </w:rPr>
        <w:t> </w:t>
      </w:r>
      <w:r>
        <w:rPr/>
        <w:t>2017,</w:t>
      </w:r>
      <w:r>
        <w:rPr>
          <w:spacing w:val="-3"/>
        </w:rPr>
        <w:t> </w:t>
      </w:r>
      <w:r>
        <w:rPr/>
        <w:t>up</w:t>
      </w:r>
      <w:r>
        <w:rPr>
          <w:spacing w:val="-3"/>
        </w:rPr>
        <w:t> </w:t>
      </w:r>
      <w:r>
        <w:rPr/>
        <w:t>from</w:t>
      </w:r>
      <w:r>
        <w:rPr>
          <w:spacing w:val="-3"/>
        </w:rPr>
        <w:t> </w:t>
      </w:r>
      <w:r>
        <w:rPr/>
        <w:t>$3.99</w:t>
      </w:r>
      <w:r>
        <w:rPr>
          <w:spacing w:val="-3"/>
        </w:rPr>
        <w:t> </w:t>
      </w:r>
      <w:r>
        <w:rPr/>
        <w:t>billion</w:t>
      </w:r>
      <w:r>
        <w:rPr>
          <w:spacing w:val="-3"/>
        </w:rPr>
        <w:t> </w:t>
      </w:r>
      <w:r>
        <w:rPr/>
        <w:t>at</w:t>
      </w:r>
      <w:r>
        <w:rPr>
          <w:spacing w:val="-3"/>
        </w:rPr>
        <w:t> </w:t>
      </w:r>
      <w:r>
        <w:rPr/>
        <w:t>the</w:t>
      </w:r>
      <w:r>
        <w:rPr>
          <w:spacing w:val="-3"/>
        </w:rPr>
        <w:t> </w:t>
      </w:r>
      <w:r>
        <w:rPr/>
        <w:t>end</w:t>
      </w:r>
      <w:r>
        <w:rPr>
          <w:spacing w:val="-3"/>
        </w:rPr>
        <w:t> </w:t>
      </w:r>
      <w:r>
        <w:rPr/>
        <w:t>of</w:t>
      </w:r>
      <w:r>
        <w:rPr>
          <w:spacing w:val="-3"/>
        </w:rPr>
        <w:t> </w:t>
      </w:r>
      <w:r>
        <w:rPr/>
        <w:t>fiscal</w:t>
      </w:r>
      <w:r>
        <w:rPr>
          <w:spacing w:val="-3"/>
        </w:rPr>
        <w:t> </w:t>
      </w:r>
      <w:r>
        <w:rPr/>
        <w:t>2016.</w:t>
      </w:r>
      <w:r>
        <w:rPr>
          <w:spacing w:val="-3"/>
        </w:rPr>
        <w:t> </w:t>
      </w:r>
      <w:r>
        <w:rPr/>
        <w:t>Revaluing</w:t>
      </w:r>
      <w:r>
        <w:rPr>
          <w:spacing w:val="-3"/>
        </w:rPr>
        <w:t> </w:t>
      </w:r>
      <w:r>
        <w:rPr/>
        <w:t>our</w:t>
      </w:r>
      <w:r>
        <w:rPr>
          <w:spacing w:val="-3"/>
        </w:rPr>
        <w:t> </w:t>
      </w:r>
      <w:r>
        <w:rPr/>
        <w:t>ending</w:t>
      </w:r>
      <w:r>
        <w:rPr>
          <w:spacing w:val="-13"/>
        </w:rPr>
        <w:t> </w:t>
      </w:r>
      <w:r>
        <w:rPr/>
        <w:t>ARR</w:t>
      </w:r>
      <w:r>
        <w:rPr>
          <w:spacing w:val="-3"/>
        </w:rPr>
        <w:t> </w:t>
      </w:r>
      <w:r>
        <w:rPr/>
        <w:t>for</w:t>
      </w:r>
      <w:r>
        <w:rPr>
          <w:spacing w:val="-3"/>
        </w:rPr>
        <w:t> </w:t>
      </w:r>
      <w:r>
        <w:rPr/>
        <w:t>fiscal</w:t>
      </w:r>
      <w:r>
        <w:rPr>
          <w:spacing w:val="-3"/>
        </w:rPr>
        <w:t> </w:t>
      </w:r>
      <w:r>
        <w:rPr/>
        <w:t>2017</w:t>
      </w:r>
      <w:r>
        <w:rPr>
          <w:spacing w:val="-3"/>
        </w:rPr>
        <w:t> </w:t>
      </w:r>
      <w:r>
        <w:rPr/>
        <w:t>using currency rates at the beginning of fiscal 2018, our Digital Media ARR at the end of fiscal 2017 would be $5.39 billion or approximately $154 million higher than the ARR reported above.</w:t>
      </w:r>
    </w:p>
    <w:p>
      <w:pPr>
        <w:pStyle w:val="BodyText"/>
        <w:spacing w:before="14"/>
      </w:pPr>
    </w:p>
    <w:p>
      <w:pPr>
        <w:pStyle w:val="BodyText"/>
        <w:ind w:left="760"/>
        <w:jc w:val="both"/>
      </w:pPr>
      <w:r>
        <w:rPr/>
        <w:t>Our</w:t>
      </w:r>
      <w:r>
        <w:rPr>
          <w:spacing w:val="10"/>
        </w:rPr>
        <w:t> </w:t>
      </w:r>
      <w:r>
        <w:rPr/>
        <w:t>success</w:t>
      </w:r>
      <w:r>
        <w:rPr>
          <w:spacing w:val="10"/>
        </w:rPr>
        <w:t> </w:t>
      </w:r>
      <w:r>
        <w:rPr/>
        <w:t>in</w:t>
      </w:r>
      <w:r>
        <w:rPr>
          <w:spacing w:val="11"/>
        </w:rPr>
        <w:t> </w:t>
      </w:r>
      <w:r>
        <w:rPr/>
        <w:t>driving</w:t>
      </w:r>
      <w:r>
        <w:rPr>
          <w:spacing w:val="11"/>
        </w:rPr>
        <w:t> </w:t>
      </w:r>
      <w:r>
        <w:rPr/>
        <w:t>growth</w:t>
      </w:r>
      <w:r>
        <w:rPr>
          <w:spacing w:val="11"/>
        </w:rPr>
        <w:t> </w:t>
      </w:r>
      <w:r>
        <w:rPr/>
        <w:t>in</w:t>
      </w:r>
      <w:r>
        <w:rPr>
          <w:spacing w:val="-2"/>
        </w:rPr>
        <w:t> </w:t>
      </w:r>
      <w:r>
        <w:rPr/>
        <w:t>ARR</w:t>
      </w:r>
      <w:r>
        <w:rPr>
          <w:spacing w:val="10"/>
        </w:rPr>
        <w:t> </w:t>
      </w:r>
      <w:r>
        <w:rPr/>
        <w:t>has</w:t>
      </w:r>
      <w:r>
        <w:rPr>
          <w:spacing w:val="11"/>
        </w:rPr>
        <w:t> </w:t>
      </w:r>
      <w:r>
        <w:rPr/>
        <w:t>positively</w:t>
      </w:r>
      <w:r>
        <w:rPr>
          <w:spacing w:val="11"/>
        </w:rPr>
        <w:t> </w:t>
      </w:r>
      <w:r>
        <w:rPr/>
        <w:t>affected</w:t>
      </w:r>
      <w:r>
        <w:rPr>
          <w:spacing w:val="10"/>
        </w:rPr>
        <w:t> </w:t>
      </w:r>
      <w:r>
        <w:rPr/>
        <w:t>our</w:t>
      </w:r>
      <w:r>
        <w:rPr>
          <w:spacing w:val="10"/>
        </w:rPr>
        <w:t> </w:t>
      </w:r>
      <w:r>
        <w:rPr/>
        <w:t>revenue</w:t>
      </w:r>
      <w:r>
        <w:rPr>
          <w:spacing w:val="11"/>
        </w:rPr>
        <w:t> </w:t>
      </w:r>
      <w:r>
        <w:rPr/>
        <w:t>growth.</w:t>
      </w:r>
      <w:r>
        <w:rPr>
          <w:spacing w:val="11"/>
        </w:rPr>
        <w:t> </w:t>
      </w:r>
      <w:r>
        <w:rPr/>
        <w:t>Creative</w:t>
      </w:r>
      <w:r>
        <w:rPr>
          <w:spacing w:val="10"/>
        </w:rPr>
        <w:t> </w:t>
      </w:r>
      <w:r>
        <w:rPr/>
        <w:t>revenue</w:t>
      </w:r>
      <w:r>
        <w:rPr>
          <w:spacing w:val="11"/>
        </w:rPr>
        <w:t> </w:t>
      </w:r>
      <w:r>
        <w:rPr/>
        <w:t>in</w:t>
      </w:r>
      <w:r>
        <w:rPr>
          <w:spacing w:val="10"/>
        </w:rPr>
        <w:t> </w:t>
      </w:r>
      <w:r>
        <w:rPr/>
        <w:t>fiscal</w:t>
      </w:r>
      <w:r>
        <w:rPr>
          <w:spacing w:val="10"/>
        </w:rPr>
        <w:t> </w:t>
      </w:r>
      <w:r>
        <w:rPr/>
        <w:t>2017</w:t>
      </w:r>
      <w:r>
        <w:rPr>
          <w:spacing w:val="12"/>
        </w:rPr>
        <w:t> </w:t>
      </w:r>
      <w:r>
        <w:rPr>
          <w:spacing w:val="-5"/>
        </w:rPr>
        <w:t>was</w:t>
      </w:r>
    </w:p>
    <w:p>
      <w:pPr>
        <w:pStyle w:val="BodyText"/>
        <w:spacing w:line="249" w:lineRule="auto" w:before="10"/>
        <w:ind w:left="220" w:right="257"/>
        <w:jc w:val="both"/>
      </w:pPr>
      <w:r>
        <w:rPr/>
        <w:t>$4.17</w:t>
      </w:r>
      <w:r>
        <w:rPr>
          <w:spacing w:val="-13"/>
        </w:rPr>
        <w:t> </w:t>
      </w:r>
      <w:r>
        <w:rPr/>
        <w:t>billion,</w:t>
      </w:r>
      <w:r>
        <w:rPr>
          <w:spacing w:val="-12"/>
        </w:rPr>
        <w:t> </w:t>
      </w:r>
      <w:r>
        <w:rPr/>
        <w:t>up</w:t>
      </w:r>
      <w:r>
        <w:rPr>
          <w:spacing w:val="-13"/>
        </w:rPr>
        <w:t> </w:t>
      </w:r>
      <w:r>
        <w:rPr/>
        <w:t>from</w:t>
      </w:r>
      <w:r>
        <w:rPr>
          <w:spacing w:val="-12"/>
        </w:rPr>
        <w:t> </w:t>
      </w:r>
      <w:r>
        <w:rPr/>
        <w:t>$3.18</w:t>
      </w:r>
      <w:r>
        <w:rPr>
          <w:spacing w:val="-13"/>
        </w:rPr>
        <w:t> </w:t>
      </w:r>
      <w:r>
        <w:rPr/>
        <w:t>billion</w:t>
      </w:r>
      <w:r>
        <w:rPr>
          <w:spacing w:val="-12"/>
        </w:rPr>
        <w:t> </w:t>
      </w:r>
      <w:r>
        <w:rPr/>
        <w:t>in</w:t>
      </w:r>
      <w:r>
        <w:rPr>
          <w:spacing w:val="-13"/>
        </w:rPr>
        <w:t> </w:t>
      </w:r>
      <w:r>
        <w:rPr/>
        <w:t>fiscal</w:t>
      </w:r>
      <w:r>
        <w:rPr>
          <w:spacing w:val="-12"/>
        </w:rPr>
        <w:t> </w:t>
      </w:r>
      <w:r>
        <w:rPr/>
        <w:t>2016</w:t>
      </w:r>
      <w:r>
        <w:rPr>
          <w:spacing w:val="-13"/>
        </w:rPr>
        <w:t> </w:t>
      </w:r>
      <w:r>
        <w:rPr/>
        <w:t>and</w:t>
      </w:r>
      <w:r>
        <w:rPr>
          <w:spacing w:val="-12"/>
        </w:rPr>
        <w:t> </w:t>
      </w:r>
      <w:r>
        <w:rPr/>
        <w:t>representing</w:t>
      </w:r>
      <w:r>
        <w:rPr>
          <w:spacing w:val="-13"/>
        </w:rPr>
        <w:t> </w:t>
      </w:r>
      <w:r>
        <w:rPr/>
        <w:t>31%</w:t>
      </w:r>
      <w:r>
        <w:rPr>
          <w:spacing w:val="-12"/>
        </w:rPr>
        <w:t> </w:t>
      </w:r>
      <w:r>
        <w:rPr/>
        <w:t>year-over-year</w:t>
      </w:r>
      <w:r>
        <w:rPr>
          <w:spacing w:val="-13"/>
        </w:rPr>
        <w:t> </w:t>
      </w:r>
      <w:r>
        <w:rPr/>
        <w:t>growth.</w:t>
      </w:r>
      <w:r>
        <w:rPr>
          <w:spacing w:val="-12"/>
        </w:rPr>
        <w:t> </w:t>
      </w:r>
      <w:r>
        <w:rPr/>
        <w:t>Document</w:t>
      </w:r>
      <w:r>
        <w:rPr>
          <w:spacing w:val="-13"/>
        </w:rPr>
        <w:t> </w:t>
      </w:r>
      <w:r>
        <w:rPr/>
        <w:t>Cloud</w:t>
      </w:r>
      <w:r>
        <w:rPr>
          <w:spacing w:val="-12"/>
        </w:rPr>
        <w:t> </w:t>
      </w:r>
      <w:r>
        <w:rPr/>
        <w:t>revenue</w:t>
      </w:r>
      <w:r>
        <w:rPr>
          <w:spacing w:val="-13"/>
        </w:rPr>
        <w:t> </w:t>
      </w:r>
      <w:r>
        <w:rPr/>
        <w:t>in</w:t>
      </w:r>
      <w:r>
        <w:rPr>
          <w:spacing w:val="-12"/>
        </w:rPr>
        <w:t> </w:t>
      </w:r>
      <w:r>
        <w:rPr/>
        <w:t>fiscal </w:t>
      </w:r>
      <w:r>
        <w:rPr>
          <w:spacing w:val="-2"/>
        </w:rPr>
        <w:t>2017</w:t>
      </w:r>
      <w:r>
        <w:rPr>
          <w:spacing w:val="-7"/>
        </w:rPr>
        <w:t> </w:t>
      </w:r>
      <w:r>
        <w:rPr>
          <w:spacing w:val="-2"/>
        </w:rPr>
        <w:t>was</w:t>
      </w:r>
      <w:r>
        <w:rPr>
          <w:spacing w:val="-7"/>
        </w:rPr>
        <w:t> </w:t>
      </w:r>
      <w:r>
        <w:rPr>
          <w:spacing w:val="-2"/>
        </w:rPr>
        <w:t>$836.7</w:t>
      </w:r>
      <w:r>
        <w:rPr>
          <w:spacing w:val="-7"/>
        </w:rPr>
        <w:t> </w:t>
      </w:r>
      <w:r>
        <w:rPr>
          <w:spacing w:val="-2"/>
        </w:rPr>
        <w:t>million,</w:t>
      </w:r>
      <w:r>
        <w:rPr>
          <w:spacing w:val="-7"/>
        </w:rPr>
        <w:t> </w:t>
      </w:r>
      <w:r>
        <w:rPr>
          <w:spacing w:val="-2"/>
        </w:rPr>
        <w:t>up</w:t>
      </w:r>
      <w:r>
        <w:rPr>
          <w:spacing w:val="-8"/>
        </w:rPr>
        <w:t> </w:t>
      </w:r>
      <w:r>
        <w:rPr>
          <w:spacing w:val="-2"/>
        </w:rPr>
        <w:t>from</w:t>
      </w:r>
      <w:r>
        <w:rPr>
          <w:spacing w:val="-8"/>
        </w:rPr>
        <w:t> </w:t>
      </w:r>
      <w:r>
        <w:rPr>
          <w:spacing w:val="-2"/>
        </w:rPr>
        <w:t>$764.9</w:t>
      </w:r>
      <w:r>
        <w:rPr>
          <w:spacing w:val="-7"/>
        </w:rPr>
        <w:t> </w:t>
      </w:r>
      <w:r>
        <w:rPr>
          <w:spacing w:val="-2"/>
        </w:rPr>
        <w:t>million</w:t>
      </w:r>
      <w:r>
        <w:rPr>
          <w:spacing w:val="-8"/>
        </w:rPr>
        <w:t> </w:t>
      </w:r>
      <w:r>
        <w:rPr>
          <w:spacing w:val="-2"/>
        </w:rPr>
        <w:t>in</w:t>
      </w:r>
      <w:r>
        <w:rPr>
          <w:spacing w:val="-7"/>
        </w:rPr>
        <w:t> </w:t>
      </w:r>
      <w:r>
        <w:rPr>
          <w:spacing w:val="-2"/>
        </w:rPr>
        <w:t>fiscal</w:t>
      </w:r>
      <w:r>
        <w:rPr>
          <w:spacing w:val="-8"/>
        </w:rPr>
        <w:t> </w:t>
      </w:r>
      <w:r>
        <w:rPr>
          <w:spacing w:val="-2"/>
        </w:rPr>
        <w:t>2016</w:t>
      </w:r>
      <w:r>
        <w:rPr>
          <w:spacing w:val="-7"/>
        </w:rPr>
        <w:t> </w:t>
      </w:r>
      <w:r>
        <w:rPr>
          <w:spacing w:val="-2"/>
        </w:rPr>
        <w:t>and</w:t>
      </w:r>
      <w:r>
        <w:rPr>
          <w:spacing w:val="-8"/>
        </w:rPr>
        <w:t> </w:t>
      </w:r>
      <w:r>
        <w:rPr>
          <w:spacing w:val="-2"/>
        </w:rPr>
        <w:t>representing</w:t>
      </w:r>
      <w:r>
        <w:rPr>
          <w:spacing w:val="-7"/>
        </w:rPr>
        <w:t> </w:t>
      </w:r>
      <w:r>
        <w:rPr>
          <w:spacing w:val="-2"/>
        </w:rPr>
        <w:t>9%</w:t>
      </w:r>
      <w:r>
        <w:rPr>
          <w:spacing w:val="-8"/>
        </w:rPr>
        <w:t> </w:t>
      </w:r>
      <w:r>
        <w:rPr>
          <w:spacing w:val="-2"/>
        </w:rPr>
        <w:t>year-over-year</w:t>
      </w:r>
      <w:r>
        <w:rPr>
          <w:spacing w:val="-7"/>
        </w:rPr>
        <w:t> </w:t>
      </w:r>
      <w:r>
        <w:rPr>
          <w:spacing w:val="-2"/>
        </w:rPr>
        <w:t>revenue</w:t>
      </w:r>
      <w:r>
        <w:rPr>
          <w:spacing w:val="-8"/>
        </w:rPr>
        <w:t> </w:t>
      </w:r>
      <w:r>
        <w:rPr>
          <w:spacing w:val="-2"/>
        </w:rPr>
        <w:t>growth</w:t>
      </w:r>
      <w:r>
        <w:rPr>
          <w:spacing w:val="-7"/>
        </w:rPr>
        <w:t> </w:t>
      </w:r>
      <w:r>
        <w:rPr>
          <w:spacing w:val="-2"/>
        </w:rPr>
        <w:t>as</w:t>
      </w:r>
      <w:r>
        <w:rPr>
          <w:spacing w:val="-7"/>
        </w:rPr>
        <w:t> </w:t>
      </w:r>
      <w:r>
        <w:rPr>
          <w:spacing w:val="-2"/>
        </w:rPr>
        <w:t>we</w:t>
      </w:r>
      <w:r>
        <w:rPr>
          <w:spacing w:val="-8"/>
        </w:rPr>
        <w:t> </w:t>
      </w:r>
      <w:r>
        <w:rPr>
          <w:spacing w:val="-2"/>
        </w:rPr>
        <w:t>continue </w:t>
      </w:r>
      <w:r>
        <w:rPr/>
        <w:t>to</w:t>
      </w:r>
      <w:r>
        <w:rPr>
          <w:spacing w:val="-8"/>
        </w:rPr>
        <w:t> </w:t>
      </w:r>
      <w:r>
        <w:rPr/>
        <w:t>transition</w:t>
      </w:r>
      <w:r>
        <w:rPr>
          <w:spacing w:val="-8"/>
        </w:rPr>
        <w:t> </w:t>
      </w:r>
      <w:r>
        <w:rPr/>
        <w:t>Document</w:t>
      </w:r>
      <w:r>
        <w:rPr>
          <w:spacing w:val="-8"/>
        </w:rPr>
        <w:t> </w:t>
      </w:r>
      <w:r>
        <w:rPr/>
        <w:t>Cloud</w:t>
      </w:r>
      <w:r>
        <w:rPr>
          <w:spacing w:val="-8"/>
        </w:rPr>
        <w:t> </w:t>
      </w:r>
      <w:r>
        <w:rPr/>
        <w:t>to</w:t>
      </w:r>
      <w:r>
        <w:rPr>
          <w:spacing w:val="-7"/>
        </w:rPr>
        <w:t> </w:t>
      </w:r>
      <w:r>
        <w:rPr/>
        <w:t>a</w:t>
      </w:r>
      <w:r>
        <w:rPr>
          <w:spacing w:val="-8"/>
        </w:rPr>
        <w:t> </w:t>
      </w:r>
      <w:r>
        <w:rPr/>
        <w:t>subscription-based</w:t>
      </w:r>
      <w:r>
        <w:rPr>
          <w:spacing w:val="-8"/>
        </w:rPr>
        <w:t> </w:t>
      </w:r>
      <w:r>
        <w:rPr/>
        <w:t>model.</w:t>
      </w:r>
      <w:r>
        <w:rPr>
          <w:spacing w:val="-10"/>
        </w:rPr>
        <w:t> </w:t>
      </w:r>
      <w:r>
        <w:rPr/>
        <w:t>Total</w:t>
      </w:r>
      <w:r>
        <w:rPr>
          <w:spacing w:val="-8"/>
        </w:rPr>
        <w:t> </w:t>
      </w:r>
      <w:r>
        <w:rPr/>
        <w:t>Digital</w:t>
      </w:r>
      <w:r>
        <w:rPr>
          <w:spacing w:val="-8"/>
        </w:rPr>
        <w:t> </w:t>
      </w:r>
      <w:r>
        <w:rPr/>
        <w:t>Media</w:t>
      </w:r>
      <w:r>
        <w:rPr>
          <w:spacing w:val="-8"/>
        </w:rPr>
        <w:t> </w:t>
      </w:r>
      <w:r>
        <w:rPr/>
        <w:t>segment</w:t>
      </w:r>
      <w:r>
        <w:rPr>
          <w:spacing w:val="-8"/>
        </w:rPr>
        <w:t> </w:t>
      </w:r>
      <w:r>
        <w:rPr/>
        <w:t>revenue</w:t>
      </w:r>
      <w:r>
        <w:rPr>
          <w:spacing w:val="-8"/>
        </w:rPr>
        <w:t> </w:t>
      </w:r>
      <w:r>
        <w:rPr/>
        <w:t>grew</w:t>
      </w:r>
      <w:r>
        <w:rPr>
          <w:spacing w:val="-8"/>
        </w:rPr>
        <w:t> </w:t>
      </w:r>
      <w:r>
        <w:rPr/>
        <w:t>to</w:t>
      </w:r>
      <w:r>
        <w:rPr>
          <w:spacing w:val="-7"/>
        </w:rPr>
        <w:t> </w:t>
      </w:r>
      <w:r>
        <w:rPr/>
        <w:t>$5.01</w:t>
      </w:r>
      <w:r>
        <w:rPr>
          <w:spacing w:val="-8"/>
        </w:rPr>
        <w:t> </w:t>
      </w:r>
      <w:r>
        <w:rPr/>
        <w:t>billion</w:t>
      </w:r>
      <w:r>
        <w:rPr>
          <w:spacing w:val="-8"/>
        </w:rPr>
        <w:t> </w:t>
      </w:r>
      <w:r>
        <w:rPr/>
        <w:t>in</w:t>
      </w:r>
      <w:r>
        <w:rPr>
          <w:spacing w:val="-8"/>
        </w:rPr>
        <w:t> </w:t>
      </w:r>
      <w:r>
        <w:rPr/>
        <w:t>fiscal 2017, up from $3.94 billion in fiscal 2016 and representing 27% year-over-year growth.</w:t>
      </w:r>
    </w:p>
    <w:p>
      <w:pPr>
        <w:pStyle w:val="BodyText"/>
        <w:spacing w:before="13"/>
      </w:pPr>
    </w:p>
    <w:p>
      <w:pPr>
        <w:pStyle w:val="BodyText"/>
        <w:spacing w:line="249" w:lineRule="auto"/>
        <w:ind w:left="220" w:right="257" w:firstLine="540"/>
        <w:jc w:val="both"/>
      </w:pPr>
      <w:r>
        <w:rPr/>
        <w:t>We</w:t>
      </w:r>
      <w:r>
        <w:rPr>
          <w:spacing w:val="-1"/>
        </w:rPr>
        <w:t> </w:t>
      </w:r>
      <w:r>
        <w:rPr/>
        <w:t>are</w:t>
      </w:r>
      <w:r>
        <w:rPr>
          <w:spacing w:val="-1"/>
        </w:rPr>
        <w:t> </w:t>
      </w:r>
      <w:r>
        <w:rPr/>
        <w:t>a</w:t>
      </w:r>
      <w:r>
        <w:rPr>
          <w:spacing w:val="-1"/>
        </w:rPr>
        <w:t> </w:t>
      </w:r>
      <w:r>
        <w:rPr/>
        <w:t>market</w:t>
      </w:r>
      <w:r>
        <w:rPr>
          <w:spacing w:val="-1"/>
        </w:rPr>
        <w:t> </w:t>
      </w:r>
      <w:r>
        <w:rPr/>
        <w:t>leader</w:t>
      </w:r>
      <w:r>
        <w:rPr>
          <w:spacing w:val="-1"/>
        </w:rPr>
        <w:t> </w:t>
      </w:r>
      <w:r>
        <w:rPr/>
        <w:t>in</w:t>
      </w:r>
      <w:r>
        <w:rPr>
          <w:spacing w:val="-1"/>
        </w:rPr>
        <w:t> </w:t>
      </w:r>
      <w:r>
        <w:rPr/>
        <w:t>the</w:t>
      </w:r>
      <w:r>
        <w:rPr>
          <w:spacing w:val="-1"/>
        </w:rPr>
        <w:t> </w:t>
      </w:r>
      <w:r>
        <w:rPr/>
        <w:t>fast-growing</w:t>
      </w:r>
      <w:r>
        <w:rPr>
          <w:spacing w:val="-1"/>
        </w:rPr>
        <w:t> </w:t>
      </w:r>
      <w:r>
        <w:rPr/>
        <w:t>category</w:t>
      </w:r>
      <w:r>
        <w:rPr>
          <w:spacing w:val="-1"/>
        </w:rPr>
        <w:t> </w:t>
      </w:r>
      <w:r>
        <w:rPr/>
        <w:t>addressed</w:t>
      </w:r>
      <w:r>
        <w:rPr>
          <w:spacing w:val="-1"/>
        </w:rPr>
        <w:t> </w:t>
      </w:r>
      <w:r>
        <w:rPr/>
        <w:t>by</w:t>
      </w:r>
      <w:r>
        <w:rPr>
          <w:spacing w:val="-1"/>
        </w:rPr>
        <w:t> </w:t>
      </w:r>
      <w:r>
        <w:rPr/>
        <w:t>our</w:t>
      </w:r>
      <w:r>
        <w:rPr>
          <w:spacing w:val="-1"/>
        </w:rPr>
        <w:t> </w:t>
      </w:r>
      <w:r>
        <w:rPr/>
        <w:t>Digital</w:t>
      </w:r>
      <w:r>
        <w:rPr>
          <w:spacing w:val="-1"/>
        </w:rPr>
        <w:t> </w:t>
      </w:r>
      <w:r>
        <w:rPr/>
        <w:t>Marketing</w:t>
      </w:r>
      <w:r>
        <w:rPr>
          <w:spacing w:val="-1"/>
        </w:rPr>
        <w:t> </w:t>
      </w:r>
      <w:r>
        <w:rPr/>
        <w:t>segment.</w:t>
      </w:r>
      <w:r>
        <w:rPr>
          <w:spacing w:val="-1"/>
        </w:rPr>
        <w:t> </w:t>
      </w:r>
      <w:r>
        <w:rPr/>
        <w:t>Our</w:t>
      </w:r>
      <w:r>
        <w:rPr>
          <w:spacing w:val="-1"/>
        </w:rPr>
        <w:t> </w:t>
      </w:r>
      <w:r>
        <w:rPr/>
        <w:t>Digital</w:t>
      </w:r>
      <w:r>
        <w:rPr>
          <w:spacing w:val="-1"/>
        </w:rPr>
        <w:t> </w:t>
      </w:r>
      <w:r>
        <w:rPr/>
        <w:t>Marketing business provides comprehensive solutions that include analytics, social marketing, targeting, media optimization, digital </w:t>
      </w:r>
      <w:r>
        <w:rPr>
          <w:spacing w:val="-2"/>
        </w:rPr>
        <w:t>experience management, cross-channel campaign management, audience management, premium video delivery and </w:t>
      </w:r>
      <w:r>
        <w:rPr>
          <w:spacing w:val="-2"/>
        </w:rPr>
        <w:t>monetization. </w:t>
      </w:r>
      <w:r>
        <w:rPr/>
        <w:t>These comprehensive solutions enable marketers to measure, personalize and optimize marketing campaigns and digital experiences across channels for optimal marketing performance. In March 2017, we migrated our hierarchy of solutions under what was formerly known as</w:t>
      </w:r>
      <w:r>
        <w:rPr>
          <w:spacing w:val="-5"/>
        </w:rPr>
        <w:t> </w:t>
      </w:r>
      <w:r>
        <w:rPr/>
        <w:t>Adobe Marketing Cloud to our next generation offering referred to as</w:t>
      </w:r>
      <w:r>
        <w:rPr>
          <w:spacing w:val="-5"/>
        </w:rPr>
        <w:t> </w:t>
      </w:r>
      <w:r>
        <w:rPr/>
        <w:t>Adobe Experience Cloud.</w:t>
      </w:r>
    </w:p>
    <w:p>
      <w:pPr>
        <w:pStyle w:val="BodyText"/>
        <w:spacing w:before="15"/>
      </w:pPr>
    </w:p>
    <w:p>
      <w:pPr>
        <w:pStyle w:val="BodyText"/>
        <w:ind w:left="760"/>
        <w:jc w:val="both"/>
      </w:pPr>
      <w:r>
        <w:rPr/>
        <w:t>Adobe</w:t>
      </w:r>
      <w:r>
        <w:rPr>
          <w:spacing w:val="-2"/>
        </w:rPr>
        <w:t> </w:t>
      </w:r>
      <w:r>
        <w:rPr/>
        <w:t>Experience</w:t>
      </w:r>
      <w:r>
        <w:rPr>
          <w:spacing w:val="-2"/>
        </w:rPr>
        <w:t> </w:t>
      </w:r>
      <w:r>
        <w:rPr/>
        <w:t>Cloud</w:t>
      </w:r>
      <w:r>
        <w:rPr>
          <w:spacing w:val="-1"/>
        </w:rPr>
        <w:t> </w:t>
      </w:r>
      <w:r>
        <w:rPr/>
        <w:t>consists</w:t>
      </w:r>
      <w:r>
        <w:rPr>
          <w:spacing w:val="-1"/>
        </w:rPr>
        <w:t> </w:t>
      </w:r>
      <w:r>
        <w:rPr/>
        <w:t>of</w:t>
      </w:r>
      <w:r>
        <w:rPr>
          <w:spacing w:val="-1"/>
        </w:rPr>
        <w:t> </w:t>
      </w:r>
      <w:r>
        <w:rPr/>
        <w:t>the</w:t>
      </w:r>
      <w:r>
        <w:rPr>
          <w:spacing w:val="-1"/>
        </w:rPr>
        <w:t> </w:t>
      </w:r>
      <w:r>
        <w:rPr/>
        <w:t>following</w:t>
      </w:r>
      <w:r>
        <w:rPr>
          <w:spacing w:val="-2"/>
        </w:rPr>
        <w:t> </w:t>
      </w:r>
      <w:r>
        <w:rPr/>
        <w:t>cloud </w:t>
      </w:r>
      <w:r>
        <w:rPr>
          <w:spacing w:val="-2"/>
        </w:rPr>
        <w:t>offerings:</w:t>
      </w:r>
    </w:p>
    <w:p>
      <w:pPr>
        <w:pStyle w:val="BodyText"/>
        <w:spacing w:before="20"/>
      </w:pPr>
    </w:p>
    <w:p>
      <w:pPr>
        <w:pStyle w:val="ListParagraph"/>
        <w:numPr>
          <w:ilvl w:val="0"/>
          <w:numId w:val="6"/>
        </w:numPr>
        <w:tabs>
          <w:tab w:pos="940" w:val="left" w:leader="none"/>
        </w:tabs>
        <w:spacing w:line="249" w:lineRule="auto" w:before="0" w:after="0"/>
        <w:ind w:left="940" w:right="257" w:hanging="360"/>
        <w:jc w:val="both"/>
        <w:rPr>
          <w:sz w:val="20"/>
        </w:rPr>
      </w:pPr>
      <w:r>
        <w:rPr>
          <w:sz w:val="20"/>
        </w:rPr>
        <w:t>Adobe</w:t>
      </w:r>
      <w:r>
        <w:rPr>
          <w:spacing w:val="-10"/>
          <w:sz w:val="20"/>
        </w:rPr>
        <w:t> </w:t>
      </w:r>
      <w:r>
        <w:rPr>
          <w:sz w:val="20"/>
        </w:rPr>
        <w:t>Marketing</w:t>
      </w:r>
      <w:r>
        <w:rPr>
          <w:spacing w:val="-10"/>
          <w:sz w:val="20"/>
        </w:rPr>
        <w:t> </w:t>
      </w:r>
      <w:r>
        <w:rPr>
          <w:sz w:val="20"/>
        </w:rPr>
        <w:t>Cloud—provides</w:t>
      </w:r>
      <w:r>
        <w:rPr>
          <w:spacing w:val="-9"/>
          <w:sz w:val="20"/>
        </w:rPr>
        <w:t> </w:t>
      </w:r>
      <w:r>
        <w:rPr>
          <w:sz w:val="20"/>
        </w:rPr>
        <w:t>an</w:t>
      </w:r>
      <w:r>
        <w:rPr>
          <w:spacing w:val="-9"/>
          <w:sz w:val="20"/>
        </w:rPr>
        <w:t> </w:t>
      </w:r>
      <w:r>
        <w:rPr>
          <w:sz w:val="20"/>
        </w:rPr>
        <w:t>integrated</w:t>
      </w:r>
      <w:r>
        <w:rPr>
          <w:spacing w:val="-9"/>
          <w:sz w:val="20"/>
        </w:rPr>
        <w:t> </w:t>
      </w:r>
      <w:r>
        <w:rPr>
          <w:sz w:val="20"/>
        </w:rPr>
        <w:t>set</w:t>
      </w:r>
      <w:r>
        <w:rPr>
          <w:spacing w:val="-10"/>
          <w:sz w:val="20"/>
        </w:rPr>
        <w:t> </w:t>
      </w:r>
      <w:r>
        <w:rPr>
          <w:sz w:val="20"/>
        </w:rPr>
        <w:t>of</w:t>
      </w:r>
      <w:r>
        <w:rPr>
          <w:spacing w:val="-9"/>
          <w:sz w:val="20"/>
        </w:rPr>
        <w:t> </w:t>
      </w:r>
      <w:r>
        <w:rPr>
          <w:sz w:val="20"/>
        </w:rPr>
        <w:t>solutions</w:t>
      </w:r>
      <w:r>
        <w:rPr>
          <w:spacing w:val="-9"/>
          <w:sz w:val="20"/>
        </w:rPr>
        <w:t> </w:t>
      </w:r>
      <w:r>
        <w:rPr>
          <w:sz w:val="20"/>
        </w:rPr>
        <w:t>to</w:t>
      </w:r>
      <w:r>
        <w:rPr>
          <w:spacing w:val="-10"/>
          <w:sz w:val="20"/>
        </w:rPr>
        <w:t> </w:t>
      </w:r>
      <w:r>
        <w:rPr>
          <w:sz w:val="20"/>
        </w:rPr>
        <w:t>help</w:t>
      </w:r>
      <w:r>
        <w:rPr>
          <w:spacing w:val="-9"/>
          <w:sz w:val="20"/>
        </w:rPr>
        <w:t> </w:t>
      </w:r>
      <w:r>
        <w:rPr>
          <w:sz w:val="20"/>
        </w:rPr>
        <w:t>marketers</w:t>
      </w:r>
      <w:r>
        <w:rPr>
          <w:spacing w:val="-9"/>
          <w:sz w:val="20"/>
        </w:rPr>
        <w:t> </w:t>
      </w:r>
      <w:r>
        <w:rPr>
          <w:sz w:val="20"/>
        </w:rPr>
        <w:t>differentiate</w:t>
      </w:r>
      <w:r>
        <w:rPr>
          <w:spacing w:val="-10"/>
          <w:sz w:val="20"/>
        </w:rPr>
        <w:t> </w:t>
      </w:r>
      <w:r>
        <w:rPr>
          <w:sz w:val="20"/>
        </w:rPr>
        <w:t>their</w:t>
      </w:r>
      <w:r>
        <w:rPr>
          <w:spacing w:val="-10"/>
          <w:sz w:val="20"/>
        </w:rPr>
        <w:t> </w:t>
      </w:r>
      <w:r>
        <w:rPr>
          <w:sz w:val="20"/>
        </w:rPr>
        <w:t>brands</w:t>
      </w:r>
      <w:r>
        <w:rPr>
          <w:spacing w:val="-9"/>
          <w:sz w:val="20"/>
        </w:rPr>
        <w:t> </w:t>
      </w:r>
      <w:r>
        <w:rPr>
          <w:sz w:val="20"/>
        </w:rPr>
        <w:t>and</w:t>
      </w:r>
      <w:r>
        <w:rPr>
          <w:spacing w:val="-9"/>
          <w:sz w:val="20"/>
        </w:rPr>
        <w:t> </w:t>
      </w:r>
      <w:r>
        <w:rPr>
          <w:sz w:val="20"/>
        </w:rPr>
        <w:t>engage their customers, helping businesses manage, personalize, and orchestrate campaigns and customer journeys; includes Adobe Experience Manager (“AEM”),</w:t>
      </w:r>
      <w:r>
        <w:rPr>
          <w:spacing w:val="-1"/>
          <w:sz w:val="20"/>
        </w:rPr>
        <w:t> </w:t>
      </w:r>
      <w:r>
        <w:rPr>
          <w:sz w:val="20"/>
        </w:rPr>
        <w:t>Adobe Campaign,</w:t>
      </w:r>
      <w:r>
        <w:rPr>
          <w:spacing w:val="-3"/>
          <w:sz w:val="20"/>
        </w:rPr>
        <w:t> </w:t>
      </w:r>
      <w:r>
        <w:rPr>
          <w:sz w:val="20"/>
        </w:rPr>
        <w:t>Adobe Target,</w:t>
      </w:r>
      <w:r>
        <w:rPr>
          <w:spacing w:val="-1"/>
          <w:sz w:val="20"/>
        </w:rPr>
        <w:t> </w:t>
      </w:r>
      <w:r>
        <w:rPr>
          <w:sz w:val="20"/>
        </w:rPr>
        <w:t>Adobe Social and</w:t>
      </w:r>
      <w:r>
        <w:rPr>
          <w:spacing w:val="-1"/>
          <w:sz w:val="20"/>
        </w:rPr>
        <w:t> </w:t>
      </w:r>
      <w:r>
        <w:rPr>
          <w:sz w:val="20"/>
        </w:rPr>
        <w:t>Adobe Primetime.</w:t>
      </w:r>
    </w:p>
    <w:p>
      <w:pPr>
        <w:pStyle w:val="BodyText"/>
        <w:spacing w:before="12"/>
      </w:pPr>
    </w:p>
    <w:p>
      <w:pPr>
        <w:pStyle w:val="ListParagraph"/>
        <w:numPr>
          <w:ilvl w:val="0"/>
          <w:numId w:val="6"/>
        </w:numPr>
        <w:tabs>
          <w:tab w:pos="940" w:val="left" w:leader="none"/>
        </w:tabs>
        <w:spacing w:line="249" w:lineRule="auto" w:before="1" w:after="0"/>
        <w:ind w:left="940" w:right="257" w:hanging="360"/>
        <w:jc w:val="both"/>
        <w:rPr>
          <w:sz w:val="20"/>
        </w:rPr>
      </w:pPr>
      <w:r>
        <w:rPr>
          <w:sz w:val="20"/>
        </w:rPr>
        <w:t>Adobe Analytics Cloud—enables businesses to move from insights to actions in real time by uniquely integrating audiences</w:t>
      </w:r>
      <w:r>
        <w:rPr>
          <w:spacing w:val="-10"/>
          <w:sz w:val="20"/>
        </w:rPr>
        <w:t> </w:t>
      </w:r>
      <w:r>
        <w:rPr>
          <w:sz w:val="20"/>
        </w:rPr>
        <w:t>as</w:t>
      </w:r>
      <w:r>
        <w:rPr>
          <w:spacing w:val="-7"/>
          <w:sz w:val="20"/>
        </w:rPr>
        <w:t> </w:t>
      </w:r>
      <w:r>
        <w:rPr>
          <w:sz w:val="20"/>
        </w:rPr>
        <w:t>the</w:t>
      </w:r>
      <w:r>
        <w:rPr>
          <w:spacing w:val="-7"/>
          <w:sz w:val="20"/>
        </w:rPr>
        <w:t> </w:t>
      </w:r>
      <w:r>
        <w:rPr>
          <w:sz w:val="20"/>
        </w:rPr>
        <w:t>core</w:t>
      </w:r>
      <w:r>
        <w:rPr>
          <w:spacing w:val="-7"/>
          <w:sz w:val="20"/>
        </w:rPr>
        <w:t> </w:t>
      </w:r>
      <w:r>
        <w:rPr>
          <w:sz w:val="20"/>
        </w:rPr>
        <w:t>system</w:t>
      </w:r>
      <w:r>
        <w:rPr>
          <w:spacing w:val="-7"/>
          <w:sz w:val="20"/>
        </w:rPr>
        <w:t> </w:t>
      </w:r>
      <w:r>
        <w:rPr>
          <w:sz w:val="20"/>
        </w:rPr>
        <w:t>of</w:t>
      </w:r>
      <w:r>
        <w:rPr>
          <w:spacing w:val="-7"/>
          <w:sz w:val="20"/>
        </w:rPr>
        <w:t> </w:t>
      </w:r>
      <w:r>
        <w:rPr>
          <w:sz w:val="20"/>
        </w:rPr>
        <w:t>intelligence</w:t>
      </w:r>
      <w:r>
        <w:rPr>
          <w:spacing w:val="-7"/>
          <w:sz w:val="20"/>
        </w:rPr>
        <w:t> </w:t>
      </w:r>
      <w:r>
        <w:rPr>
          <w:sz w:val="20"/>
        </w:rPr>
        <w:t>for</w:t>
      </w:r>
      <w:r>
        <w:rPr>
          <w:spacing w:val="-7"/>
          <w:sz w:val="20"/>
        </w:rPr>
        <w:t> </w:t>
      </w:r>
      <w:r>
        <w:rPr>
          <w:sz w:val="20"/>
        </w:rPr>
        <w:t>the</w:t>
      </w:r>
      <w:r>
        <w:rPr>
          <w:spacing w:val="-7"/>
          <w:sz w:val="20"/>
        </w:rPr>
        <w:t> </w:t>
      </w:r>
      <w:r>
        <w:rPr>
          <w:sz w:val="20"/>
        </w:rPr>
        <w:t>enterprise;</w:t>
      </w:r>
      <w:r>
        <w:rPr>
          <w:spacing w:val="-7"/>
          <w:sz w:val="20"/>
        </w:rPr>
        <w:t> </w:t>
      </w:r>
      <w:r>
        <w:rPr>
          <w:sz w:val="20"/>
        </w:rPr>
        <w:t>makes</w:t>
      </w:r>
      <w:r>
        <w:rPr>
          <w:spacing w:val="-7"/>
          <w:sz w:val="20"/>
        </w:rPr>
        <w:t> </w:t>
      </w:r>
      <w:r>
        <w:rPr>
          <w:sz w:val="20"/>
        </w:rPr>
        <w:t>data</w:t>
      </w:r>
      <w:r>
        <w:rPr>
          <w:spacing w:val="-7"/>
          <w:sz w:val="20"/>
        </w:rPr>
        <w:t> </w:t>
      </w:r>
      <w:r>
        <w:rPr>
          <w:sz w:val="20"/>
        </w:rPr>
        <w:t>available</w:t>
      </w:r>
      <w:r>
        <w:rPr>
          <w:spacing w:val="-7"/>
          <w:sz w:val="20"/>
        </w:rPr>
        <w:t> </w:t>
      </w:r>
      <w:r>
        <w:rPr>
          <w:sz w:val="20"/>
        </w:rPr>
        <w:t>across</w:t>
      </w:r>
      <w:r>
        <w:rPr>
          <w:spacing w:val="-7"/>
          <w:sz w:val="20"/>
        </w:rPr>
        <w:t> </w:t>
      </w:r>
      <w:r>
        <w:rPr>
          <w:sz w:val="20"/>
        </w:rPr>
        <w:t>all</w:t>
      </w:r>
      <w:r>
        <w:rPr>
          <w:spacing w:val="-13"/>
          <w:sz w:val="20"/>
        </w:rPr>
        <w:t> </w:t>
      </w:r>
      <w:r>
        <w:rPr>
          <w:sz w:val="20"/>
        </w:rPr>
        <w:t>Adobe</w:t>
      </w:r>
      <w:r>
        <w:rPr>
          <w:spacing w:val="-6"/>
          <w:sz w:val="20"/>
        </w:rPr>
        <w:t> </w:t>
      </w:r>
      <w:r>
        <w:rPr>
          <w:sz w:val="20"/>
        </w:rPr>
        <w:t>clouds</w:t>
      </w:r>
      <w:r>
        <w:rPr>
          <w:spacing w:val="-7"/>
          <w:sz w:val="20"/>
        </w:rPr>
        <w:t> </w:t>
      </w:r>
      <w:r>
        <w:rPr>
          <w:sz w:val="20"/>
        </w:rPr>
        <w:t>through</w:t>
      </w:r>
      <w:r>
        <w:rPr>
          <w:spacing w:val="-7"/>
          <w:sz w:val="20"/>
        </w:rPr>
        <w:t> </w:t>
      </w:r>
      <w:r>
        <w:rPr>
          <w:sz w:val="20"/>
        </w:rPr>
        <w:t>the capture, aggregation, rationalization and understanding of vast amounts of disparate data and then translating that data into singular customer profiles; includes Adobe</w:t>
      </w:r>
      <w:r>
        <w:rPr>
          <w:spacing w:val="-1"/>
          <w:sz w:val="20"/>
        </w:rPr>
        <w:t> </w:t>
      </w:r>
      <w:r>
        <w:rPr>
          <w:sz w:val="20"/>
        </w:rPr>
        <w:t>Analytics and Adobe</w:t>
      </w:r>
      <w:r>
        <w:rPr>
          <w:spacing w:val="-1"/>
          <w:sz w:val="20"/>
        </w:rPr>
        <w:t> </w:t>
      </w:r>
      <w:r>
        <w:rPr>
          <w:sz w:val="20"/>
        </w:rPr>
        <w:t>Audience Manager.</w:t>
      </w:r>
    </w:p>
    <w:p>
      <w:pPr>
        <w:pStyle w:val="BodyText"/>
        <w:spacing w:before="13"/>
      </w:pPr>
    </w:p>
    <w:p>
      <w:pPr>
        <w:pStyle w:val="ListParagraph"/>
        <w:numPr>
          <w:ilvl w:val="0"/>
          <w:numId w:val="6"/>
        </w:numPr>
        <w:tabs>
          <w:tab w:pos="940" w:val="left" w:leader="none"/>
        </w:tabs>
        <w:spacing w:line="249" w:lineRule="auto" w:before="0" w:after="0"/>
        <w:ind w:left="940" w:right="257" w:hanging="360"/>
        <w:jc w:val="both"/>
        <w:rPr>
          <w:sz w:val="20"/>
        </w:rPr>
      </w:pPr>
      <w:r>
        <w:rPr>
          <w:sz w:val="20"/>
        </w:rPr>
        <w:t>Adobe</w:t>
      </w:r>
      <w:r>
        <w:rPr>
          <w:spacing w:val="-11"/>
          <w:sz w:val="20"/>
        </w:rPr>
        <w:t> </w:t>
      </w:r>
      <w:r>
        <w:rPr>
          <w:sz w:val="20"/>
        </w:rPr>
        <w:t>Advertising Cloud—delivers an end-to-end platform for managing advertising across traditional</w:t>
      </w:r>
      <w:r>
        <w:rPr>
          <w:spacing w:val="-4"/>
          <w:sz w:val="20"/>
        </w:rPr>
        <w:t> </w:t>
      </w:r>
      <w:r>
        <w:rPr>
          <w:sz w:val="20"/>
        </w:rPr>
        <w:t>TV</w:t>
      </w:r>
      <w:r>
        <w:rPr>
          <w:spacing w:val="-3"/>
          <w:sz w:val="20"/>
        </w:rPr>
        <w:t> </w:t>
      </w:r>
      <w:r>
        <w:rPr>
          <w:sz w:val="20"/>
        </w:rPr>
        <w:t>and digital formats, and simplifies the delivery of video, display and search advertising across channels and screens; combines capabilities from</w:t>
      </w:r>
      <w:r>
        <w:rPr>
          <w:spacing w:val="-9"/>
          <w:sz w:val="20"/>
        </w:rPr>
        <w:t> </w:t>
      </w:r>
      <w:r>
        <w:rPr>
          <w:sz w:val="20"/>
        </w:rPr>
        <w:t>Adobe Media Optimizer (“AMO”) and</w:t>
      </w:r>
      <w:r>
        <w:rPr>
          <w:spacing w:val="-9"/>
          <w:sz w:val="20"/>
        </w:rPr>
        <w:t> </w:t>
      </w:r>
      <w:r>
        <w:rPr>
          <w:sz w:val="20"/>
        </w:rPr>
        <w:t>Adobe’s acquisition of</w:t>
      </w:r>
      <w:r>
        <w:rPr>
          <w:spacing w:val="-1"/>
          <w:sz w:val="20"/>
        </w:rPr>
        <w:t> </w:t>
      </w:r>
      <w:r>
        <w:rPr>
          <w:sz w:val="20"/>
        </w:rPr>
        <w:t>TubeMogul during the first quarter of fiscal 2017.</w:t>
      </w:r>
    </w:p>
    <w:p>
      <w:pPr>
        <w:pStyle w:val="BodyText"/>
        <w:spacing w:before="13"/>
      </w:pPr>
    </w:p>
    <w:p>
      <w:pPr>
        <w:pStyle w:val="BodyText"/>
        <w:spacing w:line="249" w:lineRule="auto"/>
        <w:ind w:left="220" w:right="257" w:firstLine="540"/>
        <w:jc w:val="both"/>
      </w:pPr>
      <w:r>
        <w:rPr/>
        <w:t>In addition to chief marketing officers and digital marketers, users of our Adobe Experience Cloud solutions include advertisers, campaign managers, digital marketers, publishers, data analysts, content managers, social marketers and marketing </w:t>
      </w:r>
      <w:r>
        <w:rPr>
          <w:spacing w:val="-2"/>
        </w:rPr>
        <w:t>executives.</w:t>
      </w:r>
      <w:r>
        <w:rPr>
          <w:spacing w:val="-11"/>
        </w:rPr>
        <w:t> </w:t>
      </w:r>
      <w:r>
        <w:rPr>
          <w:spacing w:val="-2"/>
        </w:rPr>
        <w:t>These</w:t>
      </w:r>
      <w:r>
        <w:rPr>
          <w:spacing w:val="-10"/>
        </w:rPr>
        <w:t> </w:t>
      </w:r>
      <w:r>
        <w:rPr>
          <w:spacing w:val="-2"/>
        </w:rPr>
        <w:t>customers</w:t>
      </w:r>
      <w:r>
        <w:rPr>
          <w:spacing w:val="-10"/>
        </w:rPr>
        <w:t> </w:t>
      </w:r>
      <w:r>
        <w:rPr>
          <w:spacing w:val="-2"/>
        </w:rPr>
        <w:t>often</w:t>
      </w:r>
      <w:r>
        <w:rPr>
          <w:spacing w:val="-8"/>
        </w:rPr>
        <w:t> </w:t>
      </w:r>
      <w:r>
        <w:rPr>
          <w:spacing w:val="-2"/>
        </w:rPr>
        <w:t>are</w:t>
      </w:r>
      <w:r>
        <w:rPr>
          <w:spacing w:val="-8"/>
        </w:rPr>
        <w:t> </w:t>
      </w:r>
      <w:r>
        <w:rPr>
          <w:spacing w:val="-2"/>
        </w:rPr>
        <w:t>involved</w:t>
      </w:r>
      <w:r>
        <w:rPr>
          <w:spacing w:val="-8"/>
        </w:rPr>
        <w:t> </w:t>
      </w:r>
      <w:r>
        <w:rPr>
          <w:spacing w:val="-2"/>
        </w:rPr>
        <w:t>in</w:t>
      </w:r>
      <w:r>
        <w:rPr>
          <w:spacing w:val="-8"/>
        </w:rPr>
        <w:t> </w:t>
      </w:r>
      <w:r>
        <w:rPr>
          <w:spacing w:val="-2"/>
        </w:rPr>
        <w:t>workflows</w:t>
      </w:r>
      <w:r>
        <w:rPr>
          <w:spacing w:val="-8"/>
        </w:rPr>
        <w:t> </w:t>
      </w:r>
      <w:r>
        <w:rPr>
          <w:spacing w:val="-2"/>
        </w:rPr>
        <w:t>that</w:t>
      </w:r>
      <w:r>
        <w:rPr>
          <w:spacing w:val="-8"/>
        </w:rPr>
        <w:t> </w:t>
      </w:r>
      <w:r>
        <w:rPr>
          <w:spacing w:val="-2"/>
        </w:rPr>
        <w:t>utilize</w:t>
      </w:r>
      <w:r>
        <w:rPr>
          <w:spacing w:val="-8"/>
        </w:rPr>
        <w:t> </w:t>
      </w:r>
      <w:r>
        <w:rPr>
          <w:spacing w:val="-2"/>
        </w:rPr>
        <w:t>other</w:t>
      </w:r>
      <w:r>
        <w:rPr>
          <w:spacing w:val="-11"/>
        </w:rPr>
        <w:t> </w:t>
      </w:r>
      <w:r>
        <w:rPr>
          <w:spacing w:val="-2"/>
        </w:rPr>
        <w:t>Adobe</w:t>
      </w:r>
      <w:r>
        <w:rPr>
          <w:spacing w:val="-7"/>
        </w:rPr>
        <w:t> </w:t>
      </w:r>
      <w:r>
        <w:rPr>
          <w:spacing w:val="-2"/>
        </w:rPr>
        <w:t>products,</w:t>
      </w:r>
      <w:r>
        <w:rPr>
          <w:spacing w:val="-8"/>
        </w:rPr>
        <w:t> </w:t>
      </w:r>
      <w:r>
        <w:rPr>
          <w:spacing w:val="-2"/>
        </w:rPr>
        <w:t>such</w:t>
      </w:r>
      <w:r>
        <w:rPr>
          <w:spacing w:val="-8"/>
        </w:rPr>
        <w:t> </w:t>
      </w:r>
      <w:r>
        <w:rPr>
          <w:spacing w:val="-2"/>
        </w:rPr>
        <w:t>as</w:t>
      </w:r>
      <w:r>
        <w:rPr>
          <w:spacing w:val="-8"/>
        </w:rPr>
        <w:t> </w:t>
      </w:r>
      <w:r>
        <w:rPr>
          <w:spacing w:val="-2"/>
        </w:rPr>
        <w:t>our</w:t>
      </w:r>
      <w:r>
        <w:rPr>
          <w:spacing w:val="-8"/>
        </w:rPr>
        <w:t> </w:t>
      </w:r>
      <w:r>
        <w:rPr>
          <w:spacing w:val="-2"/>
        </w:rPr>
        <w:t>Digital</w:t>
      </w:r>
      <w:r>
        <w:rPr>
          <w:spacing w:val="-8"/>
        </w:rPr>
        <w:t> </w:t>
      </w:r>
      <w:r>
        <w:rPr>
          <w:spacing w:val="-2"/>
        </w:rPr>
        <w:t>Media</w:t>
      </w:r>
      <w:r>
        <w:rPr>
          <w:spacing w:val="-8"/>
        </w:rPr>
        <w:t> </w:t>
      </w:r>
      <w:r>
        <w:rPr>
          <w:spacing w:val="-2"/>
        </w:rPr>
        <w:t>offerings. By</w:t>
      </w:r>
      <w:r>
        <w:rPr>
          <w:spacing w:val="-11"/>
        </w:rPr>
        <w:t> </w:t>
      </w:r>
      <w:r>
        <w:rPr>
          <w:spacing w:val="-2"/>
        </w:rPr>
        <w:t>combining</w:t>
      </w:r>
      <w:r>
        <w:rPr>
          <w:spacing w:val="-10"/>
        </w:rPr>
        <w:t> </w:t>
      </w:r>
      <w:r>
        <w:rPr>
          <w:spacing w:val="-2"/>
        </w:rPr>
        <w:t>the</w:t>
      </w:r>
      <w:r>
        <w:rPr>
          <w:spacing w:val="-11"/>
        </w:rPr>
        <w:t> </w:t>
      </w:r>
      <w:r>
        <w:rPr>
          <w:spacing w:val="-2"/>
        </w:rPr>
        <w:t>creativity</w:t>
      </w:r>
      <w:r>
        <w:rPr>
          <w:spacing w:val="-10"/>
        </w:rPr>
        <w:t> </w:t>
      </w:r>
      <w:r>
        <w:rPr>
          <w:spacing w:val="-2"/>
        </w:rPr>
        <w:t>of</w:t>
      </w:r>
      <w:r>
        <w:rPr>
          <w:spacing w:val="-11"/>
        </w:rPr>
        <w:t> </w:t>
      </w:r>
      <w:r>
        <w:rPr>
          <w:spacing w:val="-2"/>
        </w:rPr>
        <w:t>our</w:t>
      </w:r>
      <w:r>
        <w:rPr>
          <w:spacing w:val="-10"/>
        </w:rPr>
        <w:t> </w:t>
      </w:r>
      <w:r>
        <w:rPr>
          <w:spacing w:val="-2"/>
        </w:rPr>
        <w:t>Digital</w:t>
      </w:r>
      <w:r>
        <w:rPr>
          <w:spacing w:val="-11"/>
        </w:rPr>
        <w:t> </w:t>
      </w:r>
      <w:r>
        <w:rPr>
          <w:spacing w:val="-2"/>
        </w:rPr>
        <w:t>Media</w:t>
      </w:r>
      <w:r>
        <w:rPr>
          <w:spacing w:val="-10"/>
        </w:rPr>
        <w:t> </w:t>
      </w:r>
      <w:r>
        <w:rPr>
          <w:spacing w:val="-2"/>
        </w:rPr>
        <w:t>business</w:t>
      </w:r>
      <w:r>
        <w:rPr>
          <w:spacing w:val="-11"/>
        </w:rPr>
        <w:t> </w:t>
      </w:r>
      <w:r>
        <w:rPr>
          <w:spacing w:val="-2"/>
        </w:rPr>
        <w:t>with</w:t>
      </w:r>
      <w:r>
        <w:rPr>
          <w:spacing w:val="-10"/>
        </w:rPr>
        <w:t> </w:t>
      </w:r>
      <w:r>
        <w:rPr>
          <w:spacing w:val="-2"/>
        </w:rPr>
        <w:t>the</w:t>
      </w:r>
      <w:r>
        <w:rPr>
          <w:spacing w:val="-11"/>
        </w:rPr>
        <w:t> </w:t>
      </w:r>
      <w:r>
        <w:rPr>
          <w:spacing w:val="-2"/>
        </w:rPr>
        <w:t>science</w:t>
      </w:r>
      <w:r>
        <w:rPr>
          <w:spacing w:val="-10"/>
        </w:rPr>
        <w:t> </w:t>
      </w:r>
      <w:r>
        <w:rPr>
          <w:spacing w:val="-2"/>
        </w:rPr>
        <w:t>of</w:t>
      </w:r>
      <w:r>
        <w:rPr>
          <w:spacing w:val="-11"/>
        </w:rPr>
        <w:t> </w:t>
      </w:r>
      <w:r>
        <w:rPr>
          <w:spacing w:val="-2"/>
        </w:rPr>
        <w:t>our</w:t>
      </w:r>
      <w:r>
        <w:rPr>
          <w:spacing w:val="-10"/>
        </w:rPr>
        <w:t> </w:t>
      </w:r>
      <w:r>
        <w:rPr>
          <w:spacing w:val="-2"/>
        </w:rPr>
        <w:t>Digital</w:t>
      </w:r>
      <w:r>
        <w:rPr>
          <w:spacing w:val="-11"/>
        </w:rPr>
        <w:t> </w:t>
      </w:r>
      <w:r>
        <w:rPr>
          <w:spacing w:val="-2"/>
        </w:rPr>
        <w:t>Marketing</w:t>
      </w:r>
      <w:r>
        <w:rPr>
          <w:spacing w:val="-10"/>
        </w:rPr>
        <w:t> </w:t>
      </w:r>
      <w:r>
        <w:rPr>
          <w:spacing w:val="-2"/>
        </w:rPr>
        <w:t>business,</w:t>
      </w:r>
      <w:r>
        <w:rPr>
          <w:spacing w:val="-11"/>
        </w:rPr>
        <w:t> </w:t>
      </w:r>
      <w:r>
        <w:rPr>
          <w:spacing w:val="-2"/>
        </w:rPr>
        <w:t>we</w:t>
      </w:r>
      <w:r>
        <w:rPr>
          <w:spacing w:val="-10"/>
        </w:rPr>
        <w:t> </w:t>
      </w:r>
      <w:r>
        <w:rPr>
          <w:spacing w:val="-2"/>
        </w:rPr>
        <w:t>help</w:t>
      </w:r>
      <w:r>
        <w:rPr>
          <w:spacing w:val="-11"/>
        </w:rPr>
        <w:t> </w:t>
      </w:r>
      <w:r>
        <w:rPr>
          <w:spacing w:val="-2"/>
        </w:rPr>
        <w:t>our</w:t>
      </w:r>
      <w:r>
        <w:rPr>
          <w:spacing w:val="-10"/>
        </w:rPr>
        <w:t> </w:t>
      </w:r>
      <w:r>
        <w:rPr>
          <w:spacing w:val="-2"/>
        </w:rPr>
        <w:t>customers </w:t>
      </w:r>
      <w:r>
        <w:rPr/>
        <w:t>to more efficiently and effectively make, manage, measure and monetize their content across every channel with an end-to-end workflow and feedback loop.</w:t>
      </w:r>
    </w:p>
    <w:p>
      <w:pPr>
        <w:pStyle w:val="BodyText"/>
        <w:spacing w:before="15"/>
      </w:pPr>
    </w:p>
    <w:p>
      <w:pPr>
        <w:pStyle w:val="BodyText"/>
        <w:spacing w:line="249" w:lineRule="auto"/>
        <w:ind w:left="220" w:right="257" w:firstLine="540"/>
        <w:jc w:val="both"/>
      </w:pPr>
      <w:r>
        <w:rPr>
          <w:spacing w:val="-2"/>
        </w:rPr>
        <w:t>We</w:t>
      </w:r>
      <w:r>
        <w:rPr>
          <w:spacing w:val="-11"/>
        </w:rPr>
        <w:t> </w:t>
      </w:r>
      <w:r>
        <w:rPr>
          <w:spacing w:val="-2"/>
        </w:rPr>
        <w:t>utilize</w:t>
      </w:r>
      <w:r>
        <w:rPr>
          <w:spacing w:val="-10"/>
        </w:rPr>
        <w:t> </w:t>
      </w:r>
      <w:r>
        <w:rPr>
          <w:spacing w:val="-2"/>
        </w:rPr>
        <w:t>a</w:t>
      </w:r>
      <w:r>
        <w:rPr>
          <w:spacing w:val="-11"/>
        </w:rPr>
        <w:t> </w:t>
      </w:r>
      <w:r>
        <w:rPr>
          <w:spacing w:val="-2"/>
        </w:rPr>
        <w:t>direct</w:t>
      </w:r>
      <w:r>
        <w:rPr>
          <w:spacing w:val="-10"/>
        </w:rPr>
        <w:t> </w:t>
      </w:r>
      <w:r>
        <w:rPr>
          <w:spacing w:val="-2"/>
        </w:rPr>
        <w:t>sales</w:t>
      </w:r>
      <w:r>
        <w:rPr>
          <w:spacing w:val="-11"/>
        </w:rPr>
        <w:t> </w:t>
      </w:r>
      <w:r>
        <w:rPr>
          <w:spacing w:val="-2"/>
        </w:rPr>
        <w:t>force</w:t>
      </w:r>
      <w:r>
        <w:rPr>
          <w:spacing w:val="-10"/>
        </w:rPr>
        <w:t> </w:t>
      </w:r>
      <w:r>
        <w:rPr>
          <w:spacing w:val="-2"/>
        </w:rPr>
        <w:t>to</w:t>
      </w:r>
      <w:r>
        <w:rPr>
          <w:spacing w:val="-11"/>
        </w:rPr>
        <w:t> </w:t>
      </w:r>
      <w:r>
        <w:rPr>
          <w:spacing w:val="-2"/>
        </w:rPr>
        <w:t>market</w:t>
      </w:r>
      <w:r>
        <w:rPr>
          <w:spacing w:val="-10"/>
        </w:rPr>
        <w:t> </w:t>
      </w:r>
      <w:r>
        <w:rPr>
          <w:spacing w:val="-2"/>
        </w:rPr>
        <w:t>and</w:t>
      </w:r>
      <w:r>
        <w:rPr>
          <w:spacing w:val="-11"/>
        </w:rPr>
        <w:t> </w:t>
      </w:r>
      <w:r>
        <w:rPr>
          <w:spacing w:val="-2"/>
        </w:rPr>
        <w:t>license</w:t>
      </w:r>
      <w:r>
        <w:rPr>
          <w:spacing w:val="-10"/>
        </w:rPr>
        <w:t> </w:t>
      </w:r>
      <w:r>
        <w:rPr>
          <w:spacing w:val="-2"/>
        </w:rPr>
        <w:t>our</w:t>
      </w:r>
      <w:r>
        <w:rPr>
          <w:spacing w:val="-11"/>
        </w:rPr>
        <w:t> </w:t>
      </w:r>
      <w:r>
        <w:rPr>
          <w:spacing w:val="-2"/>
        </w:rPr>
        <w:t>Adobe</w:t>
      </w:r>
      <w:r>
        <w:rPr>
          <w:spacing w:val="-10"/>
        </w:rPr>
        <w:t> </w:t>
      </w:r>
      <w:r>
        <w:rPr>
          <w:spacing w:val="-2"/>
        </w:rPr>
        <w:t>Experience</w:t>
      </w:r>
      <w:r>
        <w:rPr>
          <w:spacing w:val="-11"/>
        </w:rPr>
        <w:t> </w:t>
      </w:r>
      <w:r>
        <w:rPr>
          <w:spacing w:val="-2"/>
        </w:rPr>
        <w:t>Cloud</w:t>
      </w:r>
      <w:r>
        <w:rPr>
          <w:spacing w:val="-10"/>
        </w:rPr>
        <w:t> </w:t>
      </w:r>
      <w:r>
        <w:rPr>
          <w:spacing w:val="-2"/>
        </w:rPr>
        <w:t>solutions,</w:t>
      </w:r>
      <w:r>
        <w:rPr>
          <w:spacing w:val="-11"/>
        </w:rPr>
        <w:t> </w:t>
      </w:r>
      <w:r>
        <w:rPr>
          <w:spacing w:val="-2"/>
        </w:rPr>
        <w:t>as</w:t>
      </w:r>
      <w:r>
        <w:rPr>
          <w:spacing w:val="-10"/>
        </w:rPr>
        <w:t> </w:t>
      </w:r>
      <w:r>
        <w:rPr>
          <w:spacing w:val="-2"/>
        </w:rPr>
        <w:t>well</w:t>
      </w:r>
      <w:r>
        <w:rPr>
          <w:spacing w:val="-11"/>
        </w:rPr>
        <w:t> </w:t>
      </w:r>
      <w:r>
        <w:rPr>
          <w:spacing w:val="-2"/>
        </w:rPr>
        <w:t>as</w:t>
      </w:r>
      <w:r>
        <w:rPr>
          <w:spacing w:val="-10"/>
        </w:rPr>
        <w:t> </w:t>
      </w:r>
      <w:r>
        <w:rPr>
          <w:spacing w:val="-2"/>
        </w:rPr>
        <w:t>an</w:t>
      </w:r>
      <w:r>
        <w:rPr>
          <w:spacing w:val="-11"/>
        </w:rPr>
        <w:t> </w:t>
      </w:r>
      <w:r>
        <w:rPr>
          <w:spacing w:val="-2"/>
        </w:rPr>
        <w:t>extensive</w:t>
      </w:r>
      <w:r>
        <w:rPr>
          <w:spacing w:val="-10"/>
        </w:rPr>
        <w:t> </w:t>
      </w:r>
      <w:r>
        <w:rPr>
          <w:spacing w:val="-2"/>
        </w:rPr>
        <w:t>ecosystem </w:t>
      </w:r>
      <w:r>
        <w:rPr/>
        <w:t>of</w:t>
      </w:r>
      <w:r>
        <w:rPr>
          <w:spacing w:val="-9"/>
        </w:rPr>
        <w:t> </w:t>
      </w:r>
      <w:r>
        <w:rPr/>
        <w:t>partners,</w:t>
      </w:r>
      <w:r>
        <w:rPr>
          <w:spacing w:val="-9"/>
        </w:rPr>
        <w:t> </w:t>
      </w:r>
      <w:r>
        <w:rPr/>
        <w:t>including</w:t>
      </w:r>
      <w:r>
        <w:rPr>
          <w:spacing w:val="-9"/>
        </w:rPr>
        <w:t> </w:t>
      </w:r>
      <w:r>
        <w:rPr/>
        <w:t>marketing</w:t>
      </w:r>
      <w:r>
        <w:rPr>
          <w:spacing w:val="-9"/>
        </w:rPr>
        <w:t> </w:t>
      </w:r>
      <w:r>
        <w:rPr/>
        <w:t>agencies,</w:t>
      </w:r>
      <w:r>
        <w:rPr>
          <w:spacing w:val="-9"/>
        </w:rPr>
        <w:t> </w:t>
      </w:r>
      <w:r>
        <w:rPr/>
        <w:t>systems</w:t>
      </w:r>
      <w:r>
        <w:rPr>
          <w:spacing w:val="-9"/>
        </w:rPr>
        <w:t> </w:t>
      </w:r>
      <w:r>
        <w:rPr/>
        <w:t>integrators</w:t>
      </w:r>
      <w:r>
        <w:rPr>
          <w:spacing w:val="-8"/>
        </w:rPr>
        <w:t> </w:t>
      </w:r>
      <w:r>
        <w:rPr/>
        <w:t>and</w:t>
      </w:r>
      <w:r>
        <w:rPr>
          <w:spacing w:val="-9"/>
        </w:rPr>
        <w:t> </w:t>
      </w:r>
      <w:r>
        <w:rPr/>
        <w:t>independent</w:t>
      </w:r>
      <w:r>
        <w:rPr>
          <w:spacing w:val="-9"/>
        </w:rPr>
        <w:t> </w:t>
      </w:r>
      <w:r>
        <w:rPr/>
        <w:t>software</w:t>
      </w:r>
      <w:r>
        <w:rPr>
          <w:spacing w:val="-9"/>
        </w:rPr>
        <w:t> </w:t>
      </w:r>
      <w:r>
        <w:rPr/>
        <w:t>vendors</w:t>
      </w:r>
      <w:r>
        <w:rPr>
          <w:spacing w:val="-9"/>
        </w:rPr>
        <w:t> </w:t>
      </w:r>
      <w:r>
        <w:rPr/>
        <w:t>that</w:t>
      </w:r>
      <w:r>
        <w:rPr>
          <w:spacing w:val="-9"/>
        </w:rPr>
        <w:t> </w:t>
      </w:r>
      <w:r>
        <w:rPr/>
        <w:t>help</w:t>
      </w:r>
      <w:r>
        <w:rPr>
          <w:spacing w:val="-9"/>
        </w:rPr>
        <w:t> </w:t>
      </w:r>
      <w:r>
        <w:rPr/>
        <w:t>license</w:t>
      </w:r>
      <w:r>
        <w:rPr>
          <w:spacing w:val="-9"/>
        </w:rPr>
        <w:t> </w:t>
      </w:r>
      <w:r>
        <w:rPr/>
        <w:t>and</w:t>
      </w:r>
      <w:r>
        <w:rPr>
          <w:spacing w:val="-9"/>
        </w:rPr>
        <w:t> </w:t>
      </w:r>
      <w:r>
        <w:rPr/>
        <w:t>deploy</w:t>
      </w:r>
      <w:r>
        <w:rPr>
          <w:spacing w:val="-9"/>
        </w:rPr>
        <w:t> </w:t>
      </w:r>
      <w:r>
        <w:rPr/>
        <w:t>our solutions</w:t>
      </w:r>
      <w:r>
        <w:rPr>
          <w:spacing w:val="-4"/>
        </w:rPr>
        <w:t> </w:t>
      </w:r>
      <w:r>
        <w:rPr/>
        <w:t>to</w:t>
      </w:r>
      <w:r>
        <w:rPr>
          <w:spacing w:val="-4"/>
        </w:rPr>
        <w:t> </w:t>
      </w:r>
      <w:r>
        <w:rPr/>
        <w:t>their</w:t>
      </w:r>
      <w:r>
        <w:rPr>
          <w:spacing w:val="-4"/>
        </w:rPr>
        <w:t> </w:t>
      </w:r>
      <w:r>
        <w:rPr/>
        <w:t>customers.</w:t>
      </w:r>
      <w:r>
        <w:rPr>
          <w:spacing w:val="-8"/>
        </w:rPr>
        <w:t> </w:t>
      </w:r>
      <w:r>
        <w:rPr/>
        <w:t>We</w:t>
      </w:r>
      <w:r>
        <w:rPr>
          <w:spacing w:val="-4"/>
        </w:rPr>
        <w:t> </w:t>
      </w:r>
      <w:r>
        <w:rPr/>
        <w:t>have</w:t>
      </w:r>
      <w:r>
        <w:rPr>
          <w:spacing w:val="-5"/>
        </w:rPr>
        <w:t> </w:t>
      </w:r>
      <w:r>
        <w:rPr/>
        <w:t>made</w:t>
      </w:r>
      <w:r>
        <w:rPr>
          <w:spacing w:val="-4"/>
        </w:rPr>
        <w:t> </w:t>
      </w:r>
      <w:r>
        <w:rPr/>
        <w:t>significant</w:t>
      </w:r>
      <w:r>
        <w:rPr>
          <w:spacing w:val="-5"/>
        </w:rPr>
        <w:t> </w:t>
      </w:r>
      <w:r>
        <w:rPr/>
        <w:t>investments</w:t>
      </w:r>
      <w:r>
        <w:rPr>
          <w:spacing w:val="-4"/>
        </w:rPr>
        <w:t> </w:t>
      </w:r>
      <w:r>
        <w:rPr/>
        <w:t>to</w:t>
      </w:r>
      <w:r>
        <w:rPr>
          <w:spacing w:val="-4"/>
        </w:rPr>
        <w:t> </w:t>
      </w:r>
      <w:r>
        <w:rPr/>
        <w:t>broaden</w:t>
      </w:r>
      <w:r>
        <w:rPr>
          <w:spacing w:val="-5"/>
        </w:rPr>
        <w:t> </w:t>
      </w:r>
      <w:r>
        <w:rPr/>
        <w:t>the</w:t>
      </w:r>
      <w:r>
        <w:rPr>
          <w:spacing w:val="-4"/>
        </w:rPr>
        <w:t> </w:t>
      </w:r>
      <w:r>
        <w:rPr/>
        <w:t>scale</w:t>
      </w:r>
      <w:r>
        <w:rPr>
          <w:spacing w:val="-5"/>
        </w:rPr>
        <w:t> </w:t>
      </w:r>
      <w:r>
        <w:rPr/>
        <w:t>and</w:t>
      </w:r>
      <w:r>
        <w:rPr>
          <w:spacing w:val="-4"/>
        </w:rPr>
        <w:t> </w:t>
      </w:r>
      <w:r>
        <w:rPr/>
        <w:t>size</w:t>
      </w:r>
      <w:r>
        <w:rPr>
          <w:spacing w:val="-5"/>
        </w:rPr>
        <w:t> </w:t>
      </w:r>
      <w:r>
        <w:rPr/>
        <w:t>of</w:t>
      </w:r>
      <w:r>
        <w:rPr>
          <w:spacing w:val="-4"/>
        </w:rPr>
        <w:t> </w:t>
      </w:r>
      <w:r>
        <w:rPr/>
        <w:t>all</w:t>
      </w:r>
      <w:r>
        <w:rPr>
          <w:spacing w:val="-5"/>
        </w:rPr>
        <w:t> </w:t>
      </w:r>
      <w:r>
        <w:rPr/>
        <w:t>of</w:t>
      </w:r>
      <w:r>
        <w:rPr>
          <w:spacing w:val="-4"/>
        </w:rPr>
        <w:t> </w:t>
      </w:r>
      <w:r>
        <w:rPr/>
        <w:t>these</w:t>
      </w:r>
      <w:r>
        <w:rPr>
          <w:spacing w:val="-5"/>
        </w:rPr>
        <w:t> </w:t>
      </w:r>
      <w:r>
        <w:rPr/>
        <w:t>routes</w:t>
      </w:r>
      <w:r>
        <w:rPr>
          <w:spacing w:val="-4"/>
        </w:rPr>
        <w:t> </w:t>
      </w:r>
      <w:r>
        <w:rPr/>
        <w:t>to</w:t>
      </w:r>
      <w:r>
        <w:rPr>
          <w:spacing w:val="-4"/>
        </w:rPr>
        <w:t> </w:t>
      </w:r>
      <w:r>
        <w:rPr/>
        <w:t>market, and</w:t>
      </w:r>
      <w:r>
        <w:rPr>
          <w:spacing w:val="-6"/>
        </w:rPr>
        <w:t> </w:t>
      </w:r>
      <w:r>
        <w:rPr/>
        <w:t>our</w:t>
      </w:r>
      <w:r>
        <w:rPr>
          <w:spacing w:val="-5"/>
        </w:rPr>
        <w:t> </w:t>
      </w:r>
      <w:r>
        <w:rPr/>
        <w:t>recent</w:t>
      </w:r>
      <w:r>
        <w:rPr>
          <w:spacing w:val="-5"/>
        </w:rPr>
        <w:t> </w:t>
      </w:r>
      <w:r>
        <w:rPr/>
        <w:t>financial</w:t>
      </w:r>
      <w:r>
        <w:rPr>
          <w:spacing w:val="-6"/>
        </w:rPr>
        <w:t> </w:t>
      </w:r>
      <w:r>
        <w:rPr/>
        <w:t>results</w:t>
      </w:r>
      <w:r>
        <w:rPr>
          <w:spacing w:val="-5"/>
        </w:rPr>
        <w:t> </w:t>
      </w:r>
      <w:r>
        <w:rPr/>
        <w:t>reflect</w:t>
      </w:r>
      <w:r>
        <w:rPr>
          <w:spacing w:val="-5"/>
        </w:rPr>
        <w:t> </w:t>
      </w:r>
      <w:r>
        <w:rPr/>
        <w:t>the</w:t>
      </w:r>
      <w:r>
        <w:rPr>
          <w:spacing w:val="-5"/>
        </w:rPr>
        <w:t> </w:t>
      </w:r>
      <w:r>
        <w:rPr/>
        <w:t>success</w:t>
      </w:r>
      <w:r>
        <w:rPr>
          <w:spacing w:val="-4"/>
        </w:rPr>
        <w:t> </w:t>
      </w:r>
      <w:r>
        <w:rPr/>
        <w:t>of</w:t>
      </w:r>
      <w:r>
        <w:rPr>
          <w:spacing w:val="-5"/>
        </w:rPr>
        <w:t> </w:t>
      </w:r>
      <w:r>
        <w:rPr/>
        <w:t>these</w:t>
      </w:r>
      <w:r>
        <w:rPr>
          <w:spacing w:val="-6"/>
        </w:rPr>
        <w:t> </w:t>
      </w:r>
      <w:r>
        <w:rPr/>
        <w:t>investments.</w:t>
      </w:r>
      <w:r>
        <w:rPr>
          <w:spacing w:val="-8"/>
        </w:rPr>
        <w:t> </w:t>
      </w:r>
      <w:r>
        <w:rPr/>
        <w:t>We</w:t>
      </w:r>
      <w:r>
        <w:rPr>
          <w:spacing w:val="-5"/>
        </w:rPr>
        <w:t> </w:t>
      </w:r>
      <w:r>
        <w:rPr/>
        <w:t>achieved</w:t>
      </w:r>
      <w:r>
        <w:rPr>
          <w:spacing w:val="-5"/>
        </w:rPr>
        <w:t> </w:t>
      </w:r>
      <w:r>
        <w:rPr/>
        <w:t>record</w:t>
      </w:r>
      <w:r>
        <w:rPr>
          <w:spacing w:val="-14"/>
        </w:rPr>
        <w:t> </w:t>
      </w:r>
      <w:r>
        <w:rPr/>
        <w:t>Adobe</w:t>
      </w:r>
      <w:r>
        <w:rPr>
          <w:spacing w:val="-6"/>
        </w:rPr>
        <w:t> </w:t>
      </w:r>
      <w:r>
        <w:rPr/>
        <w:t>Experience</w:t>
      </w:r>
      <w:r>
        <w:rPr>
          <w:spacing w:val="-5"/>
        </w:rPr>
        <w:t> </w:t>
      </w:r>
      <w:r>
        <w:rPr/>
        <w:t>Cloud</w:t>
      </w:r>
      <w:r>
        <w:rPr>
          <w:spacing w:val="-6"/>
        </w:rPr>
        <w:t> </w:t>
      </w:r>
      <w:r>
        <w:rPr/>
        <w:t>revenue</w:t>
      </w:r>
      <w:r>
        <w:rPr>
          <w:spacing w:val="-5"/>
        </w:rPr>
        <w:t> of</w:t>
      </w:r>
    </w:p>
    <w:p>
      <w:pPr>
        <w:pStyle w:val="BodyText"/>
        <w:spacing w:before="3"/>
        <w:ind w:left="220"/>
        <w:jc w:val="both"/>
      </w:pPr>
      <w:r>
        <w:rPr/>
        <w:t>$2.03</w:t>
      </w:r>
      <w:r>
        <w:rPr>
          <w:spacing w:val="-2"/>
        </w:rPr>
        <w:t> </w:t>
      </w:r>
      <w:r>
        <w:rPr/>
        <w:t>billion</w:t>
      </w:r>
      <w:r>
        <w:rPr>
          <w:spacing w:val="-3"/>
        </w:rPr>
        <w:t> </w:t>
      </w:r>
      <w:r>
        <w:rPr/>
        <w:t>in</w:t>
      </w:r>
      <w:r>
        <w:rPr>
          <w:spacing w:val="-2"/>
        </w:rPr>
        <w:t> </w:t>
      </w:r>
      <w:r>
        <w:rPr/>
        <w:t>fiscal</w:t>
      </w:r>
      <w:r>
        <w:rPr>
          <w:spacing w:val="-3"/>
        </w:rPr>
        <w:t> </w:t>
      </w:r>
      <w:r>
        <w:rPr/>
        <w:t>2017,</w:t>
      </w:r>
      <w:r>
        <w:rPr>
          <w:spacing w:val="-2"/>
        </w:rPr>
        <w:t> </w:t>
      </w:r>
      <w:r>
        <w:rPr/>
        <w:t>which</w:t>
      </w:r>
      <w:r>
        <w:rPr>
          <w:spacing w:val="-2"/>
        </w:rPr>
        <w:t> </w:t>
      </w:r>
      <w:r>
        <w:rPr/>
        <w:t>represents</w:t>
      </w:r>
      <w:r>
        <w:rPr>
          <w:spacing w:val="-2"/>
        </w:rPr>
        <w:t> </w:t>
      </w:r>
      <w:r>
        <w:rPr/>
        <w:t>24%</w:t>
      </w:r>
      <w:r>
        <w:rPr>
          <w:spacing w:val="-2"/>
        </w:rPr>
        <w:t> </w:t>
      </w:r>
      <w:r>
        <w:rPr/>
        <w:t>year-over-year</w:t>
      </w:r>
      <w:r>
        <w:rPr>
          <w:spacing w:val="-2"/>
        </w:rPr>
        <w:t> growth.</w:t>
      </w:r>
    </w:p>
    <w:p>
      <w:pPr>
        <w:pStyle w:val="BodyText"/>
        <w:spacing w:before="20"/>
      </w:pPr>
    </w:p>
    <w:p>
      <w:pPr>
        <w:spacing w:before="1"/>
        <w:ind w:left="220" w:right="0" w:firstLine="0"/>
        <w:jc w:val="both"/>
        <w:rPr>
          <w:i/>
          <w:sz w:val="20"/>
        </w:rPr>
      </w:pPr>
      <w:bookmarkStart w:name="Financial Performance Summary" w:id="41"/>
      <w:bookmarkEnd w:id="41"/>
      <w:r>
        <w:rPr/>
      </w:r>
      <w:r>
        <w:rPr>
          <w:i/>
          <w:sz w:val="20"/>
        </w:rPr>
        <w:t>Financial</w:t>
      </w:r>
      <w:r>
        <w:rPr>
          <w:i/>
          <w:spacing w:val="-1"/>
          <w:sz w:val="20"/>
        </w:rPr>
        <w:t> </w:t>
      </w:r>
      <w:r>
        <w:rPr>
          <w:i/>
          <w:sz w:val="20"/>
        </w:rPr>
        <w:t>Performance Summary</w:t>
      </w:r>
      <w:r>
        <w:rPr>
          <w:i/>
          <w:spacing w:val="-1"/>
          <w:sz w:val="20"/>
        </w:rPr>
        <w:t> </w:t>
      </w:r>
      <w:r>
        <w:rPr>
          <w:i/>
          <w:sz w:val="20"/>
        </w:rPr>
        <w:t>for</w:t>
      </w:r>
      <w:r>
        <w:rPr>
          <w:i/>
          <w:spacing w:val="-1"/>
          <w:sz w:val="20"/>
        </w:rPr>
        <w:t> </w:t>
      </w:r>
      <w:r>
        <w:rPr>
          <w:i/>
          <w:sz w:val="20"/>
        </w:rPr>
        <w:t>Fiscal</w:t>
      </w:r>
      <w:r>
        <w:rPr>
          <w:i/>
          <w:spacing w:val="-1"/>
          <w:sz w:val="20"/>
        </w:rPr>
        <w:t> </w:t>
      </w:r>
      <w:r>
        <w:rPr>
          <w:i/>
          <w:spacing w:val="-4"/>
          <w:sz w:val="20"/>
        </w:rPr>
        <w:t>2017</w:t>
      </w:r>
    </w:p>
    <w:p>
      <w:pPr>
        <w:pStyle w:val="BodyText"/>
        <w:spacing w:before="19"/>
        <w:rPr>
          <w:i/>
        </w:rPr>
      </w:pPr>
    </w:p>
    <w:p>
      <w:pPr>
        <w:pStyle w:val="ListParagraph"/>
        <w:numPr>
          <w:ilvl w:val="1"/>
          <w:numId w:val="6"/>
        </w:numPr>
        <w:tabs>
          <w:tab w:pos="1120" w:val="left" w:leader="none"/>
        </w:tabs>
        <w:spacing w:line="249" w:lineRule="auto" w:before="1" w:after="0"/>
        <w:ind w:left="1120" w:right="257" w:hanging="360"/>
        <w:jc w:val="both"/>
        <w:rPr>
          <w:sz w:val="20"/>
        </w:rPr>
      </w:pPr>
      <w:r>
        <w:rPr>
          <w:sz w:val="20"/>
        </w:rPr>
        <w:t>Total</w:t>
      </w:r>
      <w:r>
        <w:rPr>
          <w:spacing w:val="-4"/>
          <w:sz w:val="20"/>
        </w:rPr>
        <w:t> </w:t>
      </w:r>
      <w:r>
        <w:rPr>
          <w:sz w:val="20"/>
        </w:rPr>
        <w:t>Digital</w:t>
      </w:r>
      <w:r>
        <w:rPr>
          <w:spacing w:val="-3"/>
          <w:sz w:val="20"/>
        </w:rPr>
        <w:t> </w:t>
      </w:r>
      <w:r>
        <w:rPr>
          <w:sz w:val="20"/>
        </w:rPr>
        <w:t>Media</w:t>
      </w:r>
      <w:r>
        <w:rPr>
          <w:spacing w:val="-13"/>
          <w:sz w:val="20"/>
        </w:rPr>
        <w:t> </w:t>
      </w:r>
      <w:r>
        <w:rPr>
          <w:sz w:val="20"/>
        </w:rPr>
        <w:t>ARR</w:t>
      </w:r>
      <w:r>
        <w:rPr>
          <w:spacing w:val="-3"/>
          <w:sz w:val="20"/>
        </w:rPr>
        <w:t> </w:t>
      </w:r>
      <w:r>
        <w:rPr>
          <w:sz w:val="20"/>
        </w:rPr>
        <w:t>of</w:t>
      </w:r>
      <w:r>
        <w:rPr>
          <w:spacing w:val="-3"/>
          <w:sz w:val="20"/>
        </w:rPr>
        <w:t> </w:t>
      </w:r>
      <w:r>
        <w:rPr>
          <w:sz w:val="20"/>
        </w:rPr>
        <w:t>approximately</w:t>
      </w:r>
      <w:r>
        <w:rPr>
          <w:spacing w:val="-3"/>
          <w:sz w:val="20"/>
        </w:rPr>
        <w:t> </w:t>
      </w:r>
      <w:r>
        <w:rPr>
          <w:sz w:val="20"/>
        </w:rPr>
        <w:t>$5.23</w:t>
      </w:r>
      <w:r>
        <w:rPr>
          <w:spacing w:val="-3"/>
          <w:sz w:val="20"/>
        </w:rPr>
        <w:t> </w:t>
      </w:r>
      <w:r>
        <w:rPr>
          <w:sz w:val="20"/>
        </w:rPr>
        <w:t>billion</w:t>
      </w:r>
      <w:r>
        <w:rPr>
          <w:spacing w:val="-3"/>
          <w:sz w:val="20"/>
        </w:rPr>
        <w:t> </w:t>
      </w:r>
      <w:r>
        <w:rPr>
          <w:sz w:val="20"/>
        </w:rPr>
        <w:t>as</w:t>
      </w:r>
      <w:r>
        <w:rPr>
          <w:spacing w:val="-3"/>
          <w:sz w:val="20"/>
        </w:rPr>
        <w:t> </w:t>
      </w:r>
      <w:r>
        <w:rPr>
          <w:sz w:val="20"/>
        </w:rPr>
        <w:t>of</w:t>
      </w:r>
      <w:r>
        <w:rPr>
          <w:spacing w:val="-3"/>
          <w:sz w:val="20"/>
        </w:rPr>
        <w:t> </w:t>
      </w:r>
      <w:r>
        <w:rPr>
          <w:sz w:val="20"/>
        </w:rPr>
        <w:t>December</w:t>
      </w:r>
      <w:r>
        <w:rPr>
          <w:spacing w:val="-3"/>
          <w:sz w:val="20"/>
        </w:rPr>
        <w:t> </w:t>
      </w:r>
      <w:r>
        <w:rPr>
          <w:sz w:val="20"/>
        </w:rPr>
        <w:t>1,</w:t>
      </w:r>
      <w:r>
        <w:rPr>
          <w:spacing w:val="-3"/>
          <w:sz w:val="20"/>
        </w:rPr>
        <w:t> </w:t>
      </w:r>
      <w:r>
        <w:rPr>
          <w:sz w:val="20"/>
        </w:rPr>
        <w:t>2017</w:t>
      </w:r>
      <w:r>
        <w:rPr>
          <w:spacing w:val="-3"/>
          <w:sz w:val="20"/>
        </w:rPr>
        <w:t> </w:t>
      </w:r>
      <w:r>
        <w:rPr>
          <w:sz w:val="20"/>
        </w:rPr>
        <w:t>increased</w:t>
      </w:r>
      <w:r>
        <w:rPr>
          <w:spacing w:val="-3"/>
          <w:sz w:val="20"/>
        </w:rPr>
        <w:t> </w:t>
      </w:r>
      <w:r>
        <w:rPr>
          <w:sz w:val="20"/>
        </w:rPr>
        <w:t>by</w:t>
      </w:r>
      <w:r>
        <w:rPr>
          <w:spacing w:val="-3"/>
          <w:sz w:val="20"/>
        </w:rPr>
        <w:t> </w:t>
      </w:r>
      <w:r>
        <w:rPr>
          <w:sz w:val="20"/>
        </w:rPr>
        <w:t>$1.24</w:t>
      </w:r>
      <w:r>
        <w:rPr>
          <w:spacing w:val="-3"/>
          <w:sz w:val="20"/>
        </w:rPr>
        <w:t> </w:t>
      </w:r>
      <w:r>
        <w:rPr>
          <w:sz w:val="20"/>
        </w:rPr>
        <w:t>billion,</w:t>
      </w:r>
      <w:r>
        <w:rPr>
          <w:spacing w:val="-3"/>
          <w:sz w:val="20"/>
        </w:rPr>
        <w:t> </w:t>
      </w:r>
      <w:r>
        <w:rPr>
          <w:sz w:val="20"/>
        </w:rPr>
        <w:t>or</w:t>
      </w:r>
      <w:r>
        <w:rPr>
          <w:spacing w:val="-3"/>
          <w:sz w:val="20"/>
        </w:rPr>
        <w:t> </w:t>
      </w:r>
      <w:r>
        <w:rPr>
          <w:sz w:val="20"/>
        </w:rPr>
        <w:t>31%, </w:t>
      </w:r>
      <w:r>
        <w:rPr>
          <w:spacing w:val="-2"/>
          <w:sz w:val="20"/>
        </w:rPr>
        <w:t>from</w:t>
      </w:r>
      <w:r>
        <w:rPr>
          <w:spacing w:val="-11"/>
          <w:sz w:val="20"/>
        </w:rPr>
        <w:t> </w:t>
      </w:r>
      <w:r>
        <w:rPr>
          <w:spacing w:val="-2"/>
          <w:sz w:val="20"/>
        </w:rPr>
        <w:t>$3.99</w:t>
      </w:r>
      <w:r>
        <w:rPr>
          <w:spacing w:val="-5"/>
          <w:sz w:val="20"/>
        </w:rPr>
        <w:t> </w:t>
      </w:r>
      <w:r>
        <w:rPr>
          <w:spacing w:val="-2"/>
          <w:sz w:val="20"/>
        </w:rPr>
        <w:t>billion</w:t>
      </w:r>
      <w:r>
        <w:rPr>
          <w:spacing w:val="-6"/>
          <w:sz w:val="20"/>
        </w:rPr>
        <w:t> </w:t>
      </w:r>
      <w:r>
        <w:rPr>
          <w:spacing w:val="-2"/>
          <w:sz w:val="20"/>
        </w:rPr>
        <w:t>as</w:t>
      </w:r>
      <w:r>
        <w:rPr>
          <w:spacing w:val="-6"/>
          <w:sz w:val="20"/>
        </w:rPr>
        <w:t> </w:t>
      </w:r>
      <w:r>
        <w:rPr>
          <w:spacing w:val="-2"/>
          <w:sz w:val="20"/>
        </w:rPr>
        <w:t>of</w:t>
      </w:r>
      <w:r>
        <w:rPr>
          <w:spacing w:val="-6"/>
          <w:sz w:val="20"/>
        </w:rPr>
        <w:t> </w:t>
      </w:r>
      <w:r>
        <w:rPr>
          <w:spacing w:val="-2"/>
          <w:sz w:val="20"/>
        </w:rPr>
        <w:t>December</w:t>
      </w:r>
      <w:r>
        <w:rPr>
          <w:spacing w:val="10"/>
          <w:sz w:val="20"/>
        </w:rPr>
        <w:t> </w:t>
      </w:r>
      <w:r>
        <w:rPr>
          <w:spacing w:val="-2"/>
          <w:sz w:val="20"/>
        </w:rPr>
        <w:t>2,</w:t>
      </w:r>
      <w:r>
        <w:rPr>
          <w:spacing w:val="-6"/>
          <w:sz w:val="20"/>
        </w:rPr>
        <w:t> </w:t>
      </w:r>
      <w:r>
        <w:rPr>
          <w:spacing w:val="-2"/>
          <w:sz w:val="20"/>
        </w:rPr>
        <w:t>2016.</w:t>
      </w:r>
      <w:r>
        <w:rPr>
          <w:spacing w:val="-9"/>
          <w:sz w:val="20"/>
        </w:rPr>
        <w:t> </w:t>
      </w:r>
      <w:r>
        <w:rPr>
          <w:spacing w:val="-2"/>
          <w:sz w:val="20"/>
        </w:rPr>
        <w:t>The</w:t>
      </w:r>
      <w:r>
        <w:rPr>
          <w:spacing w:val="-6"/>
          <w:sz w:val="20"/>
        </w:rPr>
        <w:t> </w:t>
      </w:r>
      <w:r>
        <w:rPr>
          <w:spacing w:val="-2"/>
          <w:sz w:val="20"/>
        </w:rPr>
        <w:t>change</w:t>
      </w:r>
      <w:r>
        <w:rPr>
          <w:spacing w:val="-6"/>
          <w:sz w:val="20"/>
        </w:rPr>
        <w:t> </w:t>
      </w:r>
      <w:r>
        <w:rPr>
          <w:spacing w:val="-2"/>
          <w:sz w:val="20"/>
        </w:rPr>
        <w:t>in</w:t>
      </w:r>
      <w:r>
        <w:rPr>
          <w:spacing w:val="-6"/>
          <w:sz w:val="20"/>
        </w:rPr>
        <w:t> </w:t>
      </w:r>
      <w:r>
        <w:rPr>
          <w:spacing w:val="-2"/>
          <w:sz w:val="20"/>
        </w:rPr>
        <w:t>our</w:t>
      </w:r>
      <w:r>
        <w:rPr>
          <w:spacing w:val="-6"/>
          <w:sz w:val="20"/>
        </w:rPr>
        <w:t> </w:t>
      </w:r>
      <w:r>
        <w:rPr>
          <w:spacing w:val="-2"/>
          <w:sz w:val="20"/>
        </w:rPr>
        <w:t>Digital</w:t>
      </w:r>
      <w:r>
        <w:rPr>
          <w:spacing w:val="-6"/>
          <w:sz w:val="20"/>
        </w:rPr>
        <w:t> </w:t>
      </w:r>
      <w:r>
        <w:rPr>
          <w:spacing w:val="-2"/>
          <w:sz w:val="20"/>
        </w:rPr>
        <w:t>Media</w:t>
      </w:r>
      <w:r>
        <w:rPr>
          <w:spacing w:val="-11"/>
          <w:sz w:val="20"/>
        </w:rPr>
        <w:t> </w:t>
      </w:r>
      <w:r>
        <w:rPr>
          <w:spacing w:val="-2"/>
          <w:sz w:val="20"/>
        </w:rPr>
        <w:t>ARR</w:t>
      </w:r>
      <w:r>
        <w:rPr>
          <w:spacing w:val="-5"/>
          <w:sz w:val="20"/>
        </w:rPr>
        <w:t> </w:t>
      </w:r>
      <w:r>
        <w:rPr>
          <w:spacing w:val="-2"/>
          <w:sz w:val="20"/>
        </w:rPr>
        <w:t>was</w:t>
      </w:r>
      <w:r>
        <w:rPr>
          <w:spacing w:val="-6"/>
          <w:sz w:val="20"/>
        </w:rPr>
        <w:t> </w:t>
      </w:r>
      <w:r>
        <w:rPr>
          <w:spacing w:val="-2"/>
          <w:sz w:val="20"/>
        </w:rPr>
        <w:t>primarily</w:t>
      </w:r>
      <w:r>
        <w:rPr>
          <w:spacing w:val="-6"/>
          <w:sz w:val="20"/>
        </w:rPr>
        <w:t> </w:t>
      </w:r>
      <w:r>
        <w:rPr>
          <w:spacing w:val="-2"/>
          <w:sz w:val="20"/>
        </w:rPr>
        <w:t>due</w:t>
      </w:r>
      <w:r>
        <w:rPr>
          <w:spacing w:val="-6"/>
          <w:sz w:val="20"/>
        </w:rPr>
        <w:t> </w:t>
      </w:r>
      <w:r>
        <w:rPr>
          <w:spacing w:val="-2"/>
          <w:sz w:val="20"/>
        </w:rPr>
        <w:t>to</w:t>
      </w:r>
      <w:r>
        <w:rPr>
          <w:spacing w:val="-6"/>
          <w:sz w:val="20"/>
        </w:rPr>
        <w:t> </w:t>
      </w:r>
      <w:r>
        <w:rPr>
          <w:spacing w:val="-2"/>
          <w:sz w:val="20"/>
        </w:rPr>
        <w:t>strong</w:t>
      </w:r>
      <w:r>
        <w:rPr>
          <w:spacing w:val="-6"/>
          <w:sz w:val="20"/>
        </w:rPr>
        <w:t> </w:t>
      </w:r>
      <w:r>
        <w:rPr>
          <w:spacing w:val="-2"/>
          <w:sz w:val="20"/>
        </w:rPr>
        <w:t>adoption </w:t>
      </w:r>
      <w:r>
        <w:rPr>
          <w:sz w:val="20"/>
        </w:rPr>
        <w:t>of our Creative Cloud and Adobe Document Cloud offerings.</w:t>
      </w:r>
    </w:p>
    <w:p>
      <w:pPr>
        <w:pStyle w:val="BodyText"/>
        <w:spacing w:before="12"/>
      </w:pPr>
    </w:p>
    <w:p>
      <w:pPr>
        <w:pStyle w:val="ListParagraph"/>
        <w:numPr>
          <w:ilvl w:val="1"/>
          <w:numId w:val="6"/>
        </w:numPr>
        <w:tabs>
          <w:tab w:pos="1120" w:val="left" w:leader="none"/>
        </w:tabs>
        <w:spacing w:line="249" w:lineRule="auto" w:before="0" w:after="0"/>
        <w:ind w:left="1120" w:right="257" w:hanging="360"/>
        <w:jc w:val="both"/>
        <w:rPr>
          <w:sz w:val="20"/>
        </w:rPr>
      </w:pPr>
      <w:r>
        <w:rPr>
          <w:sz w:val="20"/>
        </w:rPr>
        <w:t>Creative</w:t>
      </w:r>
      <w:r>
        <w:rPr>
          <w:spacing w:val="-7"/>
          <w:sz w:val="20"/>
        </w:rPr>
        <w:t> </w:t>
      </w:r>
      <w:r>
        <w:rPr>
          <w:sz w:val="20"/>
        </w:rPr>
        <w:t>revenue</w:t>
      </w:r>
      <w:r>
        <w:rPr>
          <w:spacing w:val="-7"/>
          <w:sz w:val="20"/>
        </w:rPr>
        <w:t> </w:t>
      </w:r>
      <w:r>
        <w:rPr>
          <w:sz w:val="20"/>
        </w:rPr>
        <w:t>of</w:t>
      </w:r>
      <w:r>
        <w:rPr>
          <w:spacing w:val="-7"/>
          <w:sz w:val="20"/>
        </w:rPr>
        <w:t> </w:t>
      </w:r>
      <w:r>
        <w:rPr>
          <w:sz w:val="20"/>
        </w:rPr>
        <w:t>$4.17</w:t>
      </w:r>
      <w:r>
        <w:rPr>
          <w:spacing w:val="-7"/>
          <w:sz w:val="20"/>
        </w:rPr>
        <w:t> </w:t>
      </w:r>
      <w:r>
        <w:rPr>
          <w:sz w:val="20"/>
        </w:rPr>
        <w:t>billion</w:t>
      </w:r>
      <w:r>
        <w:rPr>
          <w:spacing w:val="-7"/>
          <w:sz w:val="20"/>
        </w:rPr>
        <w:t> </w:t>
      </w:r>
      <w:r>
        <w:rPr>
          <w:sz w:val="20"/>
        </w:rPr>
        <w:t>increased</w:t>
      </w:r>
      <w:r>
        <w:rPr>
          <w:spacing w:val="-7"/>
          <w:sz w:val="20"/>
        </w:rPr>
        <w:t> </w:t>
      </w:r>
      <w:r>
        <w:rPr>
          <w:sz w:val="20"/>
        </w:rPr>
        <w:t>by</w:t>
      </w:r>
      <w:r>
        <w:rPr>
          <w:spacing w:val="-7"/>
          <w:sz w:val="20"/>
        </w:rPr>
        <w:t> </w:t>
      </w:r>
      <w:r>
        <w:rPr>
          <w:sz w:val="20"/>
        </w:rPr>
        <w:t>$997.8</w:t>
      </w:r>
      <w:r>
        <w:rPr>
          <w:spacing w:val="-7"/>
          <w:sz w:val="20"/>
        </w:rPr>
        <w:t> </w:t>
      </w:r>
      <w:r>
        <w:rPr>
          <w:sz w:val="20"/>
        </w:rPr>
        <w:t>million,</w:t>
      </w:r>
      <w:r>
        <w:rPr>
          <w:spacing w:val="-7"/>
          <w:sz w:val="20"/>
        </w:rPr>
        <w:t> </w:t>
      </w:r>
      <w:r>
        <w:rPr>
          <w:sz w:val="20"/>
        </w:rPr>
        <w:t>or</w:t>
      </w:r>
      <w:r>
        <w:rPr>
          <w:spacing w:val="-7"/>
          <w:sz w:val="20"/>
        </w:rPr>
        <w:t> </w:t>
      </w:r>
      <w:r>
        <w:rPr>
          <w:sz w:val="20"/>
        </w:rPr>
        <w:t>31%,</w:t>
      </w:r>
      <w:r>
        <w:rPr>
          <w:spacing w:val="-7"/>
          <w:sz w:val="20"/>
        </w:rPr>
        <w:t> </w:t>
      </w:r>
      <w:r>
        <w:rPr>
          <w:sz w:val="20"/>
        </w:rPr>
        <w:t>during</w:t>
      </w:r>
      <w:r>
        <w:rPr>
          <w:spacing w:val="-7"/>
          <w:sz w:val="20"/>
        </w:rPr>
        <w:t> </w:t>
      </w:r>
      <w:r>
        <w:rPr>
          <w:sz w:val="20"/>
        </w:rPr>
        <w:t>fiscal</w:t>
      </w:r>
      <w:r>
        <w:rPr>
          <w:spacing w:val="-7"/>
          <w:sz w:val="20"/>
        </w:rPr>
        <w:t> </w:t>
      </w:r>
      <w:r>
        <w:rPr>
          <w:sz w:val="20"/>
        </w:rPr>
        <w:t>2017,</w:t>
      </w:r>
      <w:r>
        <w:rPr>
          <w:spacing w:val="-7"/>
          <w:sz w:val="20"/>
        </w:rPr>
        <w:t> </w:t>
      </w:r>
      <w:r>
        <w:rPr>
          <w:sz w:val="20"/>
        </w:rPr>
        <w:t>from</w:t>
      </w:r>
      <w:r>
        <w:rPr>
          <w:spacing w:val="-7"/>
          <w:sz w:val="20"/>
        </w:rPr>
        <w:t> </w:t>
      </w:r>
      <w:r>
        <w:rPr>
          <w:sz w:val="20"/>
        </w:rPr>
        <w:t>$3.18</w:t>
      </w:r>
      <w:r>
        <w:rPr>
          <w:spacing w:val="-7"/>
          <w:sz w:val="20"/>
        </w:rPr>
        <w:t> </w:t>
      </w:r>
      <w:r>
        <w:rPr>
          <w:sz w:val="20"/>
        </w:rPr>
        <w:t>billion</w:t>
      </w:r>
      <w:r>
        <w:rPr>
          <w:spacing w:val="-7"/>
          <w:sz w:val="20"/>
        </w:rPr>
        <w:t> </w:t>
      </w:r>
      <w:r>
        <w:rPr>
          <w:sz w:val="20"/>
        </w:rPr>
        <w:t>in</w:t>
      </w:r>
      <w:r>
        <w:rPr>
          <w:spacing w:val="-7"/>
          <w:sz w:val="20"/>
        </w:rPr>
        <w:t> </w:t>
      </w:r>
      <w:r>
        <w:rPr>
          <w:sz w:val="20"/>
        </w:rPr>
        <w:t>fiscal 2016. The increase was primarily due to the increase in subscription revenue associated with our Creative Cloud </w:t>
      </w:r>
      <w:r>
        <w:rPr>
          <w:spacing w:val="-2"/>
          <w:sz w:val="20"/>
        </w:rPr>
        <w:t>offerings.</w:t>
      </w:r>
    </w:p>
    <w:p>
      <w:pPr>
        <w:spacing w:after="0" w:line="249" w:lineRule="auto"/>
        <w:jc w:val="both"/>
        <w:rPr>
          <w:sz w:val="20"/>
        </w:rPr>
        <w:sectPr>
          <w:pgSz w:w="12240" w:h="15840"/>
          <w:pgMar w:header="210" w:footer="579" w:top="420" w:bottom="800" w:left="780" w:right="740"/>
        </w:sectPr>
      </w:pPr>
    </w:p>
    <w:p>
      <w:pPr>
        <w:pStyle w:val="BodyText"/>
        <w:spacing w:before="150"/>
      </w:pPr>
    </w:p>
    <w:p>
      <w:pPr>
        <w:pStyle w:val="ListParagraph"/>
        <w:numPr>
          <w:ilvl w:val="1"/>
          <w:numId w:val="6"/>
        </w:numPr>
        <w:tabs>
          <w:tab w:pos="1120" w:val="left" w:leader="none"/>
        </w:tabs>
        <w:spacing w:line="249" w:lineRule="auto" w:before="0" w:after="0"/>
        <w:ind w:left="1120" w:right="257" w:hanging="360"/>
        <w:jc w:val="both"/>
        <w:rPr>
          <w:sz w:val="20"/>
        </w:rPr>
      </w:pPr>
      <w:r>
        <w:rPr>
          <w:sz w:val="20"/>
        </w:rPr>
        <w:t>Adobe</w:t>
      </w:r>
      <w:r>
        <w:rPr>
          <w:spacing w:val="-12"/>
          <w:sz w:val="20"/>
        </w:rPr>
        <w:t> </w:t>
      </w:r>
      <w:r>
        <w:rPr>
          <w:sz w:val="20"/>
        </w:rPr>
        <w:t>Experience</w:t>
      </w:r>
      <w:r>
        <w:rPr>
          <w:spacing w:val="-12"/>
          <w:sz w:val="20"/>
        </w:rPr>
        <w:t> </w:t>
      </w:r>
      <w:r>
        <w:rPr>
          <w:sz w:val="20"/>
        </w:rPr>
        <w:t>Cloud</w:t>
      </w:r>
      <w:r>
        <w:rPr>
          <w:spacing w:val="-12"/>
          <w:sz w:val="20"/>
        </w:rPr>
        <w:t> </w:t>
      </w:r>
      <w:r>
        <w:rPr>
          <w:sz w:val="20"/>
        </w:rPr>
        <w:t>revenue</w:t>
      </w:r>
      <w:r>
        <w:rPr>
          <w:spacing w:val="-12"/>
          <w:sz w:val="20"/>
        </w:rPr>
        <w:t> </w:t>
      </w:r>
      <w:r>
        <w:rPr>
          <w:sz w:val="20"/>
        </w:rPr>
        <w:t>of</w:t>
      </w:r>
      <w:r>
        <w:rPr>
          <w:spacing w:val="-12"/>
          <w:sz w:val="20"/>
        </w:rPr>
        <w:t> </w:t>
      </w:r>
      <w:r>
        <w:rPr>
          <w:sz w:val="20"/>
        </w:rPr>
        <w:t>$2.03</w:t>
      </w:r>
      <w:r>
        <w:rPr>
          <w:spacing w:val="-12"/>
          <w:sz w:val="20"/>
        </w:rPr>
        <w:t> </w:t>
      </w:r>
      <w:r>
        <w:rPr>
          <w:sz w:val="20"/>
        </w:rPr>
        <w:t>billion</w:t>
      </w:r>
      <w:r>
        <w:rPr>
          <w:spacing w:val="-12"/>
          <w:sz w:val="20"/>
        </w:rPr>
        <w:t> </w:t>
      </w:r>
      <w:r>
        <w:rPr>
          <w:sz w:val="20"/>
        </w:rPr>
        <w:t>increased</w:t>
      </w:r>
      <w:r>
        <w:rPr>
          <w:spacing w:val="-12"/>
          <w:sz w:val="20"/>
        </w:rPr>
        <w:t> </w:t>
      </w:r>
      <w:r>
        <w:rPr>
          <w:sz w:val="20"/>
        </w:rPr>
        <w:t>by</w:t>
      </w:r>
      <w:r>
        <w:rPr>
          <w:spacing w:val="-12"/>
          <w:sz w:val="20"/>
        </w:rPr>
        <w:t> </w:t>
      </w:r>
      <w:r>
        <w:rPr>
          <w:sz w:val="20"/>
        </w:rPr>
        <w:t>$398.9</w:t>
      </w:r>
      <w:r>
        <w:rPr>
          <w:spacing w:val="-12"/>
          <w:sz w:val="20"/>
        </w:rPr>
        <w:t> </w:t>
      </w:r>
      <w:r>
        <w:rPr>
          <w:sz w:val="20"/>
        </w:rPr>
        <w:t>million,</w:t>
      </w:r>
      <w:r>
        <w:rPr>
          <w:spacing w:val="-12"/>
          <w:sz w:val="20"/>
        </w:rPr>
        <w:t> </w:t>
      </w:r>
      <w:r>
        <w:rPr>
          <w:sz w:val="20"/>
        </w:rPr>
        <w:t>or</w:t>
      </w:r>
      <w:r>
        <w:rPr>
          <w:spacing w:val="-12"/>
          <w:sz w:val="20"/>
        </w:rPr>
        <w:t> </w:t>
      </w:r>
      <w:r>
        <w:rPr>
          <w:sz w:val="20"/>
        </w:rPr>
        <w:t>24%,</w:t>
      </w:r>
      <w:r>
        <w:rPr>
          <w:spacing w:val="-12"/>
          <w:sz w:val="20"/>
        </w:rPr>
        <w:t> </w:t>
      </w:r>
      <w:r>
        <w:rPr>
          <w:sz w:val="20"/>
        </w:rPr>
        <w:t>during</w:t>
      </w:r>
      <w:r>
        <w:rPr>
          <w:spacing w:val="-12"/>
          <w:sz w:val="20"/>
        </w:rPr>
        <w:t> </w:t>
      </w:r>
      <w:r>
        <w:rPr>
          <w:sz w:val="20"/>
        </w:rPr>
        <w:t>fiscal</w:t>
      </w:r>
      <w:r>
        <w:rPr>
          <w:spacing w:val="-12"/>
          <w:sz w:val="20"/>
        </w:rPr>
        <w:t> </w:t>
      </w:r>
      <w:r>
        <w:rPr>
          <w:sz w:val="20"/>
        </w:rPr>
        <w:t>2017,</w:t>
      </w:r>
      <w:r>
        <w:rPr>
          <w:spacing w:val="-12"/>
          <w:sz w:val="20"/>
        </w:rPr>
        <w:t> </w:t>
      </w:r>
      <w:r>
        <w:rPr>
          <w:sz w:val="20"/>
        </w:rPr>
        <w:t>from</w:t>
      </w:r>
      <w:r>
        <w:rPr>
          <w:spacing w:val="-12"/>
          <w:sz w:val="20"/>
        </w:rPr>
        <w:t> </w:t>
      </w:r>
      <w:r>
        <w:rPr>
          <w:sz w:val="20"/>
        </w:rPr>
        <w:t>$1.63 billion in fiscal 2016.</w:t>
      </w:r>
      <w:r>
        <w:rPr>
          <w:spacing w:val="-2"/>
          <w:sz w:val="20"/>
        </w:rPr>
        <w:t> </w:t>
      </w:r>
      <w:r>
        <w:rPr>
          <w:sz w:val="20"/>
        </w:rPr>
        <w:t>The increase was primarily due to increases in revenue associated with our</w:t>
      </w:r>
      <w:r>
        <w:rPr>
          <w:spacing w:val="-10"/>
          <w:sz w:val="20"/>
        </w:rPr>
        <w:t> </w:t>
      </w:r>
      <w:r>
        <w:rPr>
          <w:sz w:val="20"/>
        </w:rPr>
        <w:t>Advertising Cloud offerings, including TubeMogul which we acquired in the first quarter of fiscal 2017, and increases in subscription revenue associated with our</w:t>
      </w:r>
      <w:r>
        <w:rPr>
          <w:spacing w:val="-1"/>
          <w:sz w:val="20"/>
        </w:rPr>
        <w:t> </w:t>
      </w:r>
      <w:r>
        <w:rPr>
          <w:sz w:val="20"/>
        </w:rPr>
        <w:t>Adobe Marketing Cloud offerings, including</w:t>
      </w:r>
      <w:r>
        <w:rPr>
          <w:spacing w:val="-2"/>
          <w:sz w:val="20"/>
        </w:rPr>
        <w:t> </w:t>
      </w:r>
      <w:r>
        <w:rPr>
          <w:sz w:val="20"/>
        </w:rPr>
        <w:t>AEM and</w:t>
      </w:r>
      <w:r>
        <w:rPr>
          <w:spacing w:val="-1"/>
          <w:sz w:val="20"/>
        </w:rPr>
        <w:t> </w:t>
      </w:r>
      <w:r>
        <w:rPr>
          <w:sz w:val="20"/>
        </w:rPr>
        <w:t>Adobe Campaign.</w:t>
      </w:r>
    </w:p>
    <w:p>
      <w:pPr>
        <w:pStyle w:val="BodyText"/>
        <w:spacing w:before="13"/>
      </w:pPr>
    </w:p>
    <w:p>
      <w:pPr>
        <w:pStyle w:val="ListParagraph"/>
        <w:numPr>
          <w:ilvl w:val="1"/>
          <w:numId w:val="6"/>
        </w:numPr>
        <w:tabs>
          <w:tab w:pos="1120" w:val="left" w:leader="none"/>
        </w:tabs>
        <w:spacing w:line="249" w:lineRule="auto" w:before="0" w:after="0"/>
        <w:ind w:left="1120" w:right="257" w:hanging="360"/>
        <w:jc w:val="both"/>
        <w:rPr>
          <w:sz w:val="20"/>
        </w:rPr>
      </w:pPr>
      <w:r>
        <w:rPr>
          <w:sz w:val="20"/>
        </w:rPr>
        <w:t>Our</w:t>
      </w:r>
      <w:r>
        <w:rPr>
          <w:spacing w:val="-1"/>
          <w:sz w:val="20"/>
        </w:rPr>
        <w:t> </w:t>
      </w:r>
      <w:r>
        <w:rPr>
          <w:sz w:val="20"/>
        </w:rPr>
        <w:t>total</w:t>
      </w:r>
      <w:r>
        <w:rPr>
          <w:spacing w:val="-1"/>
          <w:sz w:val="20"/>
        </w:rPr>
        <w:t> </w:t>
      </w:r>
      <w:r>
        <w:rPr>
          <w:sz w:val="20"/>
        </w:rPr>
        <w:t>deferred</w:t>
      </w:r>
      <w:r>
        <w:rPr>
          <w:spacing w:val="-1"/>
          <w:sz w:val="20"/>
        </w:rPr>
        <w:t> </w:t>
      </w:r>
      <w:r>
        <w:rPr>
          <w:sz w:val="20"/>
        </w:rPr>
        <w:t>revenue</w:t>
      </w:r>
      <w:r>
        <w:rPr>
          <w:spacing w:val="-1"/>
          <w:sz w:val="20"/>
        </w:rPr>
        <w:t> </w:t>
      </w:r>
      <w:r>
        <w:rPr>
          <w:sz w:val="20"/>
        </w:rPr>
        <w:t>of</w:t>
      </w:r>
      <w:r>
        <w:rPr>
          <w:spacing w:val="-1"/>
          <w:sz w:val="20"/>
        </w:rPr>
        <w:t> </w:t>
      </w:r>
      <w:r>
        <w:rPr>
          <w:sz w:val="20"/>
        </w:rPr>
        <w:t>$2.49</w:t>
      </w:r>
      <w:r>
        <w:rPr>
          <w:spacing w:val="-1"/>
          <w:sz w:val="20"/>
        </w:rPr>
        <w:t> </w:t>
      </w:r>
      <w:r>
        <w:rPr>
          <w:sz w:val="20"/>
        </w:rPr>
        <w:t>billion</w:t>
      </w:r>
      <w:r>
        <w:rPr>
          <w:spacing w:val="-1"/>
          <w:sz w:val="20"/>
        </w:rPr>
        <w:t> </w:t>
      </w:r>
      <w:r>
        <w:rPr>
          <w:sz w:val="20"/>
        </w:rPr>
        <w:t>as</w:t>
      </w:r>
      <w:r>
        <w:rPr>
          <w:spacing w:val="-1"/>
          <w:sz w:val="20"/>
        </w:rPr>
        <w:t> </w:t>
      </w:r>
      <w:r>
        <w:rPr>
          <w:sz w:val="20"/>
        </w:rPr>
        <w:t>of</w:t>
      </w:r>
      <w:r>
        <w:rPr>
          <w:spacing w:val="-1"/>
          <w:sz w:val="20"/>
        </w:rPr>
        <w:t> </w:t>
      </w:r>
      <w:r>
        <w:rPr>
          <w:sz w:val="20"/>
        </w:rPr>
        <w:t>December</w:t>
      </w:r>
      <w:r>
        <w:rPr>
          <w:spacing w:val="-2"/>
          <w:sz w:val="20"/>
        </w:rPr>
        <w:t> </w:t>
      </w:r>
      <w:r>
        <w:rPr>
          <w:sz w:val="20"/>
        </w:rPr>
        <w:t>1,</w:t>
      </w:r>
      <w:r>
        <w:rPr>
          <w:spacing w:val="-1"/>
          <w:sz w:val="20"/>
        </w:rPr>
        <w:t> </w:t>
      </w:r>
      <w:r>
        <w:rPr>
          <w:sz w:val="20"/>
        </w:rPr>
        <w:t>2017</w:t>
      </w:r>
      <w:r>
        <w:rPr>
          <w:spacing w:val="-1"/>
          <w:sz w:val="20"/>
        </w:rPr>
        <w:t> </w:t>
      </w:r>
      <w:r>
        <w:rPr>
          <w:sz w:val="20"/>
        </w:rPr>
        <w:t>increased</w:t>
      </w:r>
      <w:r>
        <w:rPr>
          <w:spacing w:val="-1"/>
          <w:sz w:val="20"/>
        </w:rPr>
        <w:t> </w:t>
      </w:r>
      <w:r>
        <w:rPr>
          <w:sz w:val="20"/>
        </w:rPr>
        <w:t>by</w:t>
      </w:r>
      <w:r>
        <w:rPr>
          <w:spacing w:val="-1"/>
          <w:sz w:val="20"/>
        </w:rPr>
        <w:t> </w:t>
      </w:r>
      <w:r>
        <w:rPr>
          <w:sz w:val="20"/>
        </w:rPr>
        <w:t>$479.8</w:t>
      </w:r>
      <w:r>
        <w:rPr>
          <w:spacing w:val="-1"/>
          <w:sz w:val="20"/>
        </w:rPr>
        <w:t> </w:t>
      </w:r>
      <w:r>
        <w:rPr>
          <w:sz w:val="20"/>
        </w:rPr>
        <w:t>million,</w:t>
      </w:r>
      <w:r>
        <w:rPr>
          <w:spacing w:val="-1"/>
          <w:sz w:val="20"/>
        </w:rPr>
        <w:t> </w:t>
      </w:r>
      <w:r>
        <w:rPr>
          <w:sz w:val="20"/>
        </w:rPr>
        <w:t>or</w:t>
      </w:r>
      <w:r>
        <w:rPr>
          <w:spacing w:val="-1"/>
          <w:sz w:val="20"/>
        </w:rPr>
        <w:t> </w:t>
      </w:r>
      <w:r>
        <w:rPr>
          <w:sz w:val="20"/>
        </w:rPr>
        <w:t>24%,</w:t>
      </w:r>
      <w:r>
        <w:rPr>
          <w:spacing w:val="-1"/>
          <w:sz w:val="20"/>
        </w:rPr>
        <w:t> </w:t>
      </w:r>
      <w:r>
        <w:rPr>
          <w:sz w:val="20"/>
        </w:rPr>
        <w:t>from</w:t>
      </w:r>
      <w:r>
        <w:rPr>
          <w:spacing w:val="-1"/>
          <w:sz w:val="20"/>
        </w:rPr>
        <w:t> </w:t>
      </w:r>
      <w:r>
        <w:rPr>
          <w:sz w:val="20"/>
        </w:rPr>
        <w:t>$2.01 billion as of December</w:t>
      </w:r>
      <w:r>
        <w:rPr>
          <w:spacing w:val="-2"/>
          <w:sz w:val="20"/>
        </w:rPr>
        <w:t> </w:t>
      </w:r>
      <w:r>
        <w:rPr>
          <w:sz w:val="20"/>
        </w:rPr>
        <w:t>2, 2016. The increase was primarily due to increases in Creative Cloud team and individual subscriptions, and new contracts and the timing of renewals for our</w:t>
      </w:r>
      <w:r>
        <w:rPr>
          <w:spacing w:val="-5"/>
          <w:sz w:val="20"/>
        </w:rPr>
        <w:t> </w:t>
      </w:r>
      <w:r>
        <w:rPr>
          <w:sz w:val="20"/>
        </w:rPr>
        <w:t>Adobe Experience Cloud services.</w:t>
      </w:r>
    </w:p>
    <w:p>
      <w:pPr>
        <w:pStyle w:val="BodyText"/>
        <w:spacing w:before="12"/>
      </w:pPr>
    </w:p>
    <w:p>
      <w:pPr>
        <w:pStyle w:val="ListParagraph"/>
        <w:numPr>
          <w:ilvl w:val="1"/>
          <w:numId w:val="6"/>
        </w:numPr>
        <w:tabs>
          <w:tab w:pos="1120" w:val="left" w:leader="none"/>
        </w:tabs>
        <w:spacing w:line="249" w:lineRule="auto" w:before="1" w:after="0"/>
        <w:ind w:left="1120" w:right="257" w:hanging="360"/>
        <w:jc w:val="both"/>
        <w:rPr>
          <w:sz w:val="20"/>
        </w:rPr>
      </w:pPr>
      <w:r>
        <w:rPr>
          <w:sz w:val="20"/>
        </w:rPr>
        <w:t>Cost</w:t>
      </w:r>
      <w:r>
        <w:rPr>
          <w:spacing w:val="-10"/>
          <w:sz w:val="20"/>
        </w:rPr>
        <w:t> </w:t>
      </w:r>
      <w:r>
        <w:rPr>
          <w:sz w:val="20"/>
        </w:rPr>
        <w:t>of</w:t>
      </w:r>
      <w:r>
        <w:rPr>
          <w:spacing w:val="-10"/>
          <w:sz w:val="20"/>
        </w:rPr>
        <w:t> </w:t>
      </w:r>
      <w:r>
        <w:rPr>
          <w:sz w:val="20"/>
        </w:rPr>
        <w:t>revenue</w:t>
      </w:r>
      <w:r>
        <w:rPr>
          <w:spacing w:val="-10"/>
          <w:sz w:val="20"/>
        </w:rPr>
        <w:t> </w:t>
      </w:r>
      <w:r>
        <w:rPr>
          <w:sz w:val="20"/>
        </w:rPr>
        <w:t>of</w:t>
      </w:r>
      <w:r>
        <w:rPr>
          <w:spacing w:val="-10"/>
          <w:sz w:val="20"/>
        </w:rPr>
        <w:t> </w:t>
      </w:r>
      <w:r>
        <w:rPr>
          <w:sz w:val="20"/>
        </w:rPr>
        <w:t>$1.01</w:t>
      </w:r>
      <w:r>
        <w:rPr>
          <w:spacing w:val="-10"/>
          <w:sz w:val="20"/>
        </w:rPr>
        <w:t> </w:t>
      </w:r>
      <w:r>
        <w:rPr>
          <w:sz w:val="20"/>
        </w:rPr>
        <w:t>billion</w:t>
      </w:r>
      <w:r>
        <w:rPr>
          <w:spacing w:val="-10"/>
          <w:sz w:val="20"/>
        </w:rPr>
        <w:t> </w:t>
      </w:r>
      <w:r>
        <w:rPr>
          <w:sz w:val="20"/>
        </w:rPr>
        <w:t>increased</w:t>
      </w:r>
      <w:r>
        <w:rPr>
          <w:spacing w:val="-10"/>
          <w:sz w:val="20"/>
        </w:rPr>
        <w:t> </w:t>
      </w:r>
      <w:r>
        <w:rPr>
          <w:sz w:val="20"/>
        </w:rPr>
        <w:t>by</w:t>
      </w:r>
      <w:r>
        <w:rPr>
          <w:spacing w:val="-10"/>
          <w:sz w:val="20"/>
        </w:rPr>
        <w:t> </w:t>
      </w:r>
      <w:r>
        <w:rPr>
          <w:sz w:val="20"/>
        </w:rPr>
        <w:t>$190.6</w:t>
      </w:r>
      <w:r>
        <w:rPr>
          <w:spacing w:val="-10"/>
          <w:sz w:val="20"/>
        </w:rPr>
        <w:t> </w:t>
      </w:r>
      <w:r>
        <w:rPr>
          <w:sz w:val="20"/>
        </w:rPr>
        <w:t>million,</w:t>
      </w:r>
      <w:r>
        <w:rPr>
          <w:spacing w:val="-10"/>
          <w:sz w:val="20"/>
        </w:rPr>
        <w:t> </w:t>
      </w:r>
      <w:r>
        <w:rPr>
          <w:sz w:val="20"/>
        </w:rPr>
        <w:t>or</w:t>
      </w:r>
      <w:r>
        <w:rPr>
          <w:spacing w:val="-10"/>
          <w:sz w:val="20"/>
        </w:rPr>
        <w:t> </w:t>
      </w:r>
      <w:r>
        <w:rPr>
          <w:sz w:val="20"/>
        </w:rPr>
        <w:t>23%,</w:t>
      </w:r>
      <w:r>
        <w:rPr>
          <w:spacing w:val="-10"/>
          <w:sz w:val="20"/>
        </w:rPr>
        <w:t> </w:t>
      </w:r>
      <w:r>
        <w:rPr>
          <w:sz w:val="20"/>
        </w:rPr>
        <w:t>during</w:t>
      </w:r>
      <w:r>
        <w:rPr>
          <w:spacing w:val="-10"/>
          <w:sz w:val="20"/>
        </w:rPr>
        <w:t> </w:t>
      </w:r>
      <w:r>
        <w:rPr>
          <w:sz w:val="20"/>
        </w:rPr>
        <w:t>fiscal</w:t>
      </w:r>
      <w:r>
        <w:rPr>
          <w:spacing w:val="-10"/>
          <w:sz w:val="20"/>
        </w:rPr>
        <w:t> </w:t>
      </w:r>
      <w:r>
        <w:rPr>
          <w:sz w:val="20"/>
        </w:rPr>
        <w:t>2017,</w:t>
      </w:r>
      <w:r>
        <w:rPr>
          <w:spacing w:val="-10"/>
          <w:sz w:val="20"/>
        </w:rPr>
        <w:t> </w:t>
      </w:r>
      <w:r>
        <w:rPr>
          <w:sz w:val="20"/>
        </w:rPr>
        <w:t>from</w:t>
      </w:r>
      <w:r>
        <w:rPr>
          <w:spacing w:val="-10"/>
          <w:sz w:val="20"/>
        </w:rPr>
        <w:t> </w:t>
      </w:r>
      <w:r>
        <w:rPr>
          <w:sz w:val="20"/>
        </w:rPr>
        <w:t>$819.9</w:t>
      </w:r>
      <w:r>
        <w:rPr>
          <w:spacing w:val="-10"/>
          <w:sz w:val="20"/>
        </w:rPr>
        <w:t> </w:t>
      </w:r>
      <w:r>
        <w:rPr>
          <w:sz w:val="20"/>
        </w:rPr>
        <w:t>million</w:t>
      </w:r>
      <w:r>
        <w:rPr>
          <w:spacing w:val="-10"/>
          <w:sz w:val="20"/>
        </w:rPr>
        <w:t> </w:t>
      </w:r>
      <w:r>
        <w:rPr>
          <w:sz w:val="20"/>
        </w:rPr>
        <w:t>in</w:t>
      </w:r>
      <w:r>
        <w:rPr>
          <w:spacing w:val="-10"/>
          <w:sz w:val="20"/>
        </w:rPr>
        <w:t> </w:t>
      </w:r>
      <w:r>
        <w:rPr>
          <w:sz w:val="20"/>
        </w:rPr>
        <w:t>fiscal 2016.</w:t>
      </w:r>
      <w:r>
        <w:rPr>
          <w:spacing w:val="-13"/>
          <w:sz w:val="20"/>
        </w:rPr>
        <w:t> </w:t>
      </w:r>
      <w:r>
        <w:rPr>
          <w:sz w:val="20"/>
        </w:rPr>
        <w:t>The</w:t>
      </w:r>
      <w:r>
        <w:rPr>
          <w:spacing w:val="-12"/>
          <w:sz w:val="20"/>
        </w:rPr>
        <w:t> </w:t>
      </w:r>
      <w:r>
        <w:rPr>
          <w:sz w:val="20"/>
        </w:rPr>
        <w:t>increase</w:t>
      </w:r>
      <w:r>
        <w:rPr>
          <w:spacing w:val="-13"/>
          <w:sz w:val="20"/>
        </w:rPr>
        <w:t> </w:t>
      </w:r>
      <w:r>
        <w:rPr>
          <w:sz w:val="20"/>
        </w:rPr>
        <w:t>was</w:t>
      </w:r>
      <w:r>
        <w:rPr>
          <w:spacing w:val="-12"/>
          <w:sz w:val="20"/>
        </w:rPr>
        <w:t> </w:t>
      </w:r>
      <w:r>
        <w:rPr>
          <w:sz w:val="20"/>
        </w:rPr>
        <w:t>primarily</w:t>
      </w:r>
      <w:r>
        <w:rPr>
          <w:spacing w:val="-13"/>
          <w:sz w:val="20"/>
        </w:rPr>
        <w:t> </w:t>
      </w:r>
      <w:r>
        <w:rPr>
          <w:sz w:val="20"/>
        </w:rPr>
        <w:t>due</w:t>
      </w:r>
      <w:r>
        <w:rPr>
          <w:spacing w:val="-12"/>
          <w:sz w:val="20"/>
        </w:rPr>
        <w:t> </w:t>
      </w:r>
      <w:r>
        <w:rPr>
          <w:sz w:val="20"/>
        </w:rPr>
        <w:t>to</w:t>
      </w:r>
      <w:r>
        <w:rPr>
          <w:spacing w:val="-13"/>
          <w:sz w:val="20"/>
        </w:rPr>
        <w:t> </w:t>
      </w:r>
      <w:r>
        <w:rPr>
          <w:sz w:val="20"/>
        </w:rPr>
        <w:t>increases</w:t>
      </w:r>
      <w:r>
        <w:rPr>
          <w:spacing w:val="-12"/>
          <w:sz w:val="20"/>
        </w:rPr>
        <w:t> </w:t>
      </w:r>
      <w:r>
        <w:rPr>
          <w:sz w:val="20"/>
        </w:rPr>
        <w:t>in</w:t>
      </w:r>
      <w:r>
        <w:rPr>
          <w:spacing w:val="-13"/>
          <w:sz w:val="20"/>
        </w:rPr>
        <w:t> </w:t>
      </w:r>
      <w:r>
        <w:rPr>
          <w:sz w:val="20"/>
        </w:rPr>
        <w:t>media</w:t>
      </w:r>
      <w:r>
        <w:rPr>
          <w:spacing w:val="-12"/>
          <w:sz w:val="20"/>
        </w:rPr>
        <w:t> </w:t>
      </w:r>
      <w:r>
        <w:rPr>
          <w:sz w:val="20"/>
        </w:rPr>
        <w:t>costs</w:t>
      </w:r>
      <w:r>
        <w:rPr>
          <w:spacing w:val="-13"/>
          <w:sz w:val="20"/>
        </w:rPr>
        <w:t> </w:t>
      </w:r>
      <w:r>
        <w:rPr>
          <w:sz w:val="20"/>
        </w:rPr>
        <w:t>associated</w:t>
      </w:r>
      <w:r>
        <w:rPr>
          <w:spacing w:val="-12"/>
          <w:sz w:val="20"/>
        </w:rPr>
        <w:t> </w:t>
      </w:r>
      <w:r>
        <w:rPr>
          <w:sz w:val="20"/>
        </w:rPr>
        <w:t>with</w:t>
      </w:r>
      <w:r>
        <w:rPr>
          <w:spacing w:val="-13"/>
          <w:sz w:val="20"/>
        </w:rPr>
        <w:t> </w:t>
      </w:r>
      <w:r>
        <w:rPr>
          <w:sz w:val="20"/>
        </w:rPr>
        <w:t>our</w:t>
      </w:r>
      <w:r>
        <w:rPr>
          <w:spacing w:val="-12"/>
          <w:sz w:val="20"/>
        </w:rPr>
        <w:t> </w:t>
      </w:r>
      <w:r>
        <w:rPr>
          <w:sz w:val="20"/>
        </w:rPr>
        <w:t>Advertising</w:t>
      </w:r>
      <w:r>
        <w:rPr>
          <w:spacing w:val="-13"/>
          <w:sz w:val="20"/>
        </w:rPr>
        <w:t> </w:t>
      </w:r>
      <w:r>
        <w:rPr>
          <w:sz w:val="20"/>
        </w:rPr>
        <w:t>Cloud</w:t>
      </w:r>
      <w:r>
        <w:rPr>
          <w:spacing w:val="-12"/>
          <w:sz w:val="20"/>
        </w:rPr>
        <w:t> </w:t>
      </w:r>
      <w:r>
        <w:rPr>
          <w:sz w:val="20"/>
        </w:rPr>
        <w:t>offerings,</w:t>
      </w:r>
      <w:r>
        <w:rPr>
          <w:spacing w:val="-13"/>
          <w:sz w:val="20"/>
        </w:rPr>
        <w:t> </w:t>
      </w:r>
      <w:r>
        <w:rPr>
          <w:sz w:val="20"/>
        </w:rPr>
        <w:t>data center and hosting costs and increased headcount.</w:t>
      </w:r>
    </w:p>
    <w:p>
      <w:pPr>
        <w:pStyle w:val="BodyText"/>
        <w:spacing w:before="12"/>
      </w:pPr>
    </w:p>
    <w:p>
      <w:pPr>
        <w:pStyle w:val="ListParagraph"/>
        <w:numPr>
          <w:ilvl w:val="1"/>
          <w:numId w:val="6"/>
        </w:numPr>
        <w:tabs>
          <w:tab w:pos="1120" w:val="left" w:leader="none"/>
        </w:tabs>
        <w:spacing w:line="249" w:lineRule="auto" w:before="0" w:after="0"/>
        <w:ind w:left="1120" w:right="257" w:hanging="360"/>
        <w:jc w:val="both"/>
        <w:rPr>
          <w:sz w:val="20"/>
        </w:rPr>
      </w:pPr>
      <w:r>
        <w:rPr>
          <w:sz w:val="20"/>
        </w:rPr>
        <w:t>Operating expenses of $4.12 billion increased by $582.0 million, or 16%, during fiscal 2017, from $3.54 billion in fiscal 2016. The increase was primarily due to increased headcount and stock based compensation expense.</w:t>
      </w:r>
    </w:p>
    <w:p>
      <w:pPr>
        <w:pStyle w:val="BodyText"/>
        <w:spacing w:before="11"/>
      </w:pPr>
    </w:p>
    <w:p>
      <w:pPr>
        <w:pStyle w:val="ListParagraph"/>
        <w:numPr>
          <w:ilvl w:val="1"/>
          <w:numId w:val="6"/>
        </w:numPr>
        <w:tabs>
          <w:tab w:pos="1120" w:val="left" w:leader="none"/>
        </w:tabs>
        <w:spacing w:line="249" w:lineRule="auto" w:before="1" w:after="0"/>
        <w:ind w:left="1120" w:right="259" w:hanging="360"/>
        <w:jc w:val="both"/>
        <w:rPr>
          <w:sz w:val="20"/>
        </w:rPr>
      </w:pPr>
      <w:r>
        <w:rPr>
          <w:sz w:val="20"/>
        </w:rPr>
        <w:t>Net</w:t>
      </w:r>
      <w:r>
        <w:rPr>
          <w:spacing w:val="-5"/>
          <w:sz w:val="20"/>
        </w:rPr>
        <w:t> </w:t>
      </w:r>
      <w:r>
        <w:rPr>
          <w:sz w:val="20"/>
        </w:rPr>
        <w:t>income</w:t>
      </w:r>
      <w:r>
        <w:rPr>
          <w:spacing w:val="-5"/>
          <w:sz w:val="20"/>
        </w:rPr>
        <w:t> </w:t>
      </w:r>
      <w:r>
        <w:rPr>
          <w:sz w:val="20"/>
        </w:rPr>
        <w:t>of</w:t>
      </w:r>
      <w:r>
        <w:rPr>
          <w:spacing w:val="-5"/>
          <w:sz w:val="20"/>
        </w:rPr>
        <w:t> </w:t>
      </w:r>
      <w:r>
        <w:rPr>
          <w:sz w:val="20"/>
        </w:rPr>
        <w:t>$1.69</w:t>
      </w:r>
      <w:r>
        <w:rPr>
          <w:spacing w:val="-5"/>
          <w:sz w:val="20"/>
        </w:rPr>
        <w:t> </w:t>
      </w:r>
      <w:r>
        <w:rPr>
          <w:sz w:val="20"/>
        </w:rPr>
        <w:t>billion</w:t>
      </w:r>
      <w:r>
        <w:rPr>
          <w:spacing w:val="-5"/>
          <w:sz w:val="20"/>
        </w:rPr>
        <w:t> </w:t>
      </w:r>
      <w:r>
        <w:rPr>
          <w:sz w:val="20"/>
        </w:rPr>
        <w:t>increased</w:t>
      </w:r>
      <w:r>
        <w:rPr>
          <w:spacing w:val="-5"/>
          <w:sz w:val="20"/>
        </w:rPr>
        <w:t> </w:t>
      </w:r>
      <w:r>
        <w:rPr>
          <w:sz w:val="20"/>
        </w:rPr>
        <w:t>by</w:t>
      </w:r>
      <w:r>
        <w:rPr>
          <w:spacing w:val="-5"/>
          <w:sz w:val="20"/>
        </w:rPr>
        <w:t> </w:t>
      </w:r>
      <w:r>
        <w:rPr>
          <w:sz w:val="20"/>
        </w:rPr>
        <w:t>$525.2</w:t>
      </w:r>
      <w:r>
        <w:rPr>
          <w:spacing w:val="-5"/>
          <w:sz w:val="20"/>
        </w:rPr>
        <w:t> </w:t>
      </w:r>
      <w:r>
        <w:rPr>
          <w:sz w:val="20"/>
        </w:rPr>
        <w:t>million,</w:t>
      </w:r>
      <w:r>
        <w:rPr>
          <w:spacing w:val="-5"/>
          <w:sz w:val="20"/>
        </w:rPr>
        <w:t> </w:t>
      </w:r>
      <w:r>
        <w:rPr>
          <w:sz w:val="20"/>
        </w:rPr>
        <w:t>or</w:t>
      </w:r>
      <w:r>
        <w:rPr>
          <w:spacing w:val="-5"/>
          <w:sz w:val="20"/>
        </w:rPr>
        <w:t> </w:t>
      </w:r>
      <w:r>
        <w:rPr>
          <w:sz w:val="20"/>
        </w:rPr>
        <w:t>45%,</w:t>
      </w:r>
      <w:r>
        <w:rPr>
          <w:spacing w:val="-5"/>
          <w:sz w:val="20"/>
        </w:rPr>
        <w:t> </w:t>
      </w:r>
      <w:r>
        <w:rPr>
          <w:sz w:val="20"/>
        </w:rPr>
        <w:t>during</w:t>
      </w:r>
      <w:r>
        <w:rPr>
          <w:spacing w:val="-5"/>
          <w:sz w:val="20"/>
        </w:rPr>
        <w:t> </w:t>
      </w:r>
      <w:r>
        <w:rPr>
          <w:sz w:val="20"/>
        </w:rPr>
        <w:t>fiscal</w:t>
      </w:r>
      <w:r>
        <w:rPr>
          <w:spacing w:val="-5"/>
          <w:sz w:val="20"/>
        </w:rPr>
        <w:t> </w:t>
      </w:r>
      <w:r>
        <w:rPr>
          <w:sz w:val="20"/>
        </w:rPr>
        <w:t>2017</w:t>
      </w:r>
      <w:r>
        <w:rPr>
          <w:spacing w:val="-5"/>
          <w:sz w:val="20"/>
        </w:rPr>
        <w:t> </w:t>
      </w:r>
      <w:r>
        <w:rPr>
          <w:sz w:val="20"/>
        </w:rPr>
        <w:t>from</w:t>
      </w:r>
      <w:r>
        <w:rPr>
          <w:spacing w:val="-5"/>
          <w:sz w:val="20"/>
        </w:rPr>
        <w:t> </w:t>
      </w:r>
      <w:r>
        <w:rPr>
          <w:sz w:val="20"/>
        </w:rPr>
        <w:t>$1.17</w:t>
      </w:r>
      <w:r>
        <w:rPr>
          <w:spacing w:val="-5"/>
          <w:sz w:val="20"/>
        </w:rPr>
        <w:t> </w:t>
      </w:r>
      <w:r>
        <w:rPr>
          <w:sz w:val="20"/>
        </w:rPr>
        <w:t>billion</w:t>
      </w:r>
      <w:r>
        <w:rPr>
          <w:spacing w:val="-5"/>
          <w:sz w:val="20"/>
        </w:rPr>
        <w:t> </w:t>
      </w:r>
      <w:r>
        <w:rPr>
          <w:sz w:val="20"/>
        </w:rPr>
        <w:t>in</w:t>
      </w:r>
      <w:r>
        <w:rPr>
          <w:spacing w:val="-5"/>
          <w:sz w:val="20"/>
        </w:rPr>
        <w:t> </w:t>
      </w:r>
      <w:r>
        <w:rPr>
          <w:sz w:val="20"/>
        </w:rPr>
        <w:t>fiscal</w:t>
      </w:r>
      <w:r>
        <w:rPr>
          <w:spacing w:val="-5"/>
          <w:sz w:val="20"/>
        </w:rPr>
        <w:t> </w:t>
      </w:r>
      <w:r>
        <w:rPr>
          <w:sz w:val="20"/>
        </w:rPr>
        <w:t>2016 primarily due to increases in subscription revenue.</w:t>
      </w:r>
    </w:p>
    <w:p>
      <w:pPr>
        <w:pStyle w:val="BodyText"/>
        <w:spacing w:before="11"/>
      </w:pPr>
    </w:p>
    <w:p>
      <w:pPr>
        <w:pStyle w:val="ListParagraph"/>
        <w:numPr>
          <w:ilvl w:val="1"/>
          <w:numId w:val="6"/>
        </w:numPr>
        <w:tabs>
          <w:tab w:pos="1120" w:val="left" w:leader="none"/>
        </w:tabs>
        <w:spacing w:line="249" w:lineRule="auto" w:before="0" w:after="0"/>
        <w:ind w:left="1120" w:right="257" w:hanging="360"/>
        <w:jc w:val="both"/>
        <w:rPr>
          <w:sz w:val="20"/>
        </w:rPr>
      </w:pPr>
      <w:r>
        <w:rPr>
          <w:sz w:val="20"/>
        </w:rPr>
        <w:t>Net cash flow from operations of $2.91 billion during fiscal 2017 increased by $713.1 million, or 32%, from $2.20 billion during fiscal 2016 primarily due to higher net income.</w:t>
      </w:r>
    </w:p>
    <w:p>
      <w:pPr>
        <w:pStyle w:val="Heading2"/>
        <w:spacing w:before="182"/>
      </w:pPr>
      <w:bookmarkStart w:name="Revenue" w:id="42"/>
      <w:bookmarkEnd w:id="42"/>
      <w:r>
        <w:rPr>
          <w:b w:val="0"/>
        </w:rPr>
      </w:r>
      <w:r>
        <w:rPr/>
        <w:t>Revenue</w:t>
      </w:r>
      <w:r>
        <w:rPr>
          <w:spacing w:val="-4"/>
        </w:rPr>
        <w:t> </w:t>
      </w:r>
      <w:r>
        <w:rPr/>
        <w:t>(dollars</w:t>
      </w:r>
      <w:r>
        <w:rPr>
          <w:spacing w:val="-3"/>
        </w:rPr>
        <w:t> </w:t>
      </w:r>
      <w:r>
        <w:rPr/>
        <w:t>in</w:t>
      </w:r>
      <w:r>
        <w:rPr>
          <w:spacing w:val="-2"/>
        </w:rPr>
        <w:t> millions)</w:t>
      </w:r>
    </w:p>
    <w:p>
      <w:pPr>
        <w:pStyle w:val="BodyText"/>
        <w:spacing w:line="249" w:lineRule="auto" w:before="190"/>
        <w:ind w:left="220" w:firstLine="540"/>
      </w:pPr>
      <w:r>
        <w:rPr/>
        <w:t>Revenue</w:t>
      </w:r>
      <w:r>
        <w:rPr>
          <w:spacing w:val="-2"/>
        </w:rPr>
        <w:t> </w:t>
      </w:r>
      <w:r>
        <w:rPr/>
        <w:t>for</w:t>
      </w:r>
      <w:r>
        <w:rPr>
          <w:spacing w:val="-2"/>
        </w:rPr>
        <w:t> </w:t>
      </w:r>
      <w:r>
        <w:rPr/>
        <w:t>fiscal</w:t>
      </w:r>
      <w:r>
        <w:rPr>
          <w:spacing w:val="-2"/>
        </w:rPr>
        <w:t> </w:t>
      </w:r>
      <w:r>
        <w:rPr/>
        <w:t>2016</w:t>
      </w:r>
      <w:r>
        <w:rPr>
          <w:spacing w:val="-2"/>
        </w:rPr>
        <w:t> </w:t>
      </w:r>
      <w:r>
        <w:rPr/>
        <w:t>benefited</w:t>
      </w:r>
      <w:r>
        <w:rPr>
          <w:spacing w:val="-2"/>
        </w:rPr>
        <w:t> </w:t>
      </w:r>
      <w:r>
        <w:rPr/>
        <w:t>from</w:t>
      </w:r>
      <w:r>
        <w:rPr>
          <w:spacing w:val="-2"/>
        </w:rPr>
        <w:t> </w:t>
      </w:r>
      <w:r>
        <w:rPr/>
        <w:t>an</w:t>
      </w:r>
      <w:r>
        <w:rPr>
          <w:spacing w:val="-2"/>
        </w:rPr>
        <w:t> </w:t>
      </w:r>
      <w:r>
        <w:rPr/>
        <w:t>extra</w:t>
      </w:r>
      <w:r>
        <w:rPr>
          <w:spacing w:val="-2"/>
        </w:rPr>
        <w:t> </w:t>
      </w:r>
      <w:r>
        <w:rPr/>
        <w:t>week</w:t>
      </w:r>
      <w:r>
        <w:rPr>
          <w:spacing w:val="-2"/>
        </w:rPr>
        <w:t> </w:t>
      </w:r>
      <w:r>
        <w:rPr/>
        <w:t>in</w:t>
      </w:r>
      <w:r>
        <w:rPr>
          <w:spacing w:val="-2"/>
        </w:rPr>
        <w:t> </w:t>
      </w:r>
      <w:r>
        <w:rPr/>
        <w:t>the</w:t>
      </w:r>
      <w:r>
        <w:rPr>
          <w:spacing w:val="-2"/>
        </w:rPr>
        <w:t> </w:t>
      </w:r>
      <w:r>
        <w:rPr/>
        <w:t>first</w:t>
      </w:r>
      <w:r>
        <w:rPr>
          <w:spacing w:val="-2"/>
        </w:rPr>
        <w:t> </w:t>
      </w:r>
      <w:r>
        <w:rPr/>
        <w:t>quarter</w:t>
      </w:r>
      <w:r>
        <w:rPr>
          <w:spacing w:val="-2"/>
        </w:rPr>
        <w:t> </w:t>
      </w:r>
      <w:r>
        <w:rPr/>
        <w:t>of</w:t>
      </w:r>
      <w:r>
        <w:rPr>
          <w:spacing w:val="-2"/>
        </w:rPr>
        <w:t> </w:t>
      </w:r>
      <w:r>
        <w:rPr/>
        <w:t>fiscal</w:t>
      </w:r>
      <w:r>
        <w:rPr>
          <w:spacing w:val="-2"/>
        </w:rPr>
        <w:t> </w:t>
      </w:r>
      <w:r>
        <w:rPr/>
        <w:t>2016</w:t>
      </w:r>
      <w:r>
        <w:rPr>
          <w:spacing w:val="-2"/>
        </w:rPr>
        <w:t> </w:t>
      </w:r>
      <w:r>
        <w:rPr/>
        <w:t>due</w:t>
      </w:r>
      <w:r>
        <w:rPr>
          <w:spacing w:val="-2"/>
        </w:rPr>
        <w:t> </w:t>
      </w:r>
      <w:r>
        <w:rPr/>
        <w:t>to</w:t>
      </w:r>
      <w:r>
        <w:rPr>
          <w:spacing w:val="-2"/>
        </w:rPr>
        <w:t> </w:t>
      </w:r>
      <w:r>
        <w:rPr/>
        <w:t>our</w:t>
      </w:r>
      <w:r>
        <w:rPr>
          <w:spacing w:val="-2"/>
        </w:rPr>
        <w:t> </w:t>
      </w:r>
      <w:r>
        <w:rPr/>
        <w:t>52/53</w:t>
      </w:r>
      <w:r>
        <w:rPr>
          <w:spacing w:val="-2"/>
        </w:rPr>
        <w:t> </w:t>
      </w:r>
      <w:r>
        <w:rPr/>
        <w:t>week</w:t>
      </w:r>
      <w:r>
        <w:rPr>
          <w:spacing w:val="-2"/>
        </w:rPr>
        <w:t> </w:t>
      </w:r>
      <w:r>
        <w:rPr/>
        <w:t>financial calendar whereby fiscal 2016 was a 53-week year compared with fiscal 2017 and 2015, which were 52-week years.</w:t>
      </w:r>
    </w:p>
    <w:p>
      <w:pPr>
        <w:pStyle w:val="BodyText"/>
        <w:spacing w:before="184"/>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1"/>
        <w:gridCol w:w="2168"/>
        <w:gridCol w:w="1180"/>
        <w:gridCol w:w="1224"/>
        <w:gridCol w:w="1180"/>
        <w:gridCol w:w="1057"/>
      </w:tblGrid>
      <w:tr>
        <w:trPr>
          <w:trHeight w:val="168" w:hRule="atLeast"/>
        </w:trPr>
        <w:tc>
          <w:tcPr>
            <w:tcW w:w="3431" w:type="dxa"/>
            <w:vMerge w:val="restart"/>
          </w:tcPr>
          <w:p>
            <w:pPr>
              <w:pStyle w:val="TableParagraph"/>
              <w:rPr>
                <w:sz w:val="18"/>
              </w:rPr>
            </w:pPr>
          </w:p>
        </w:tc>
        <w:tc>
          <w:tcPr>
            <w:tcW w:w="2168" w:type="dxa"/>
          </w:tcPr>
          <w:p>
            <w:pPr>
              <w:pStyle w:val="TableParagraph"/>
              <w:spacing w:line="149" w:lineRule="exact"/>
              <w:ind w:left="1358"/>
              <w:rPr>
                <w:b/>
                <w:sz w:val="16"/>
              </w:rPr>
            </w:pPr>
            <w:r>
              <w:rPr>
                <w:b/>
                <w:spacing w:val="-2"/>
                <w:sz w:val="16"/>
              </w:rPr>
              <w:t>Fiscal</w:t>
            </w:r>
          </w:p>
        </w:tc>
        <w:tc>
          <w:tcPr>
            <w:tcW w:w="1180" w:type="dxa"/>
          </w:tcPr>
          <w:p>
            <w:pPr>
              <w:pStyle w:val="TableParagraph"/>
              <w:spacing w:line="149" w:lineRule="exact"/>
              <w:ind w:left="360"/>
              <w:rPr>
                <w:b/>
                <w:sz w:val="16"/>
              </w:rPr>
            </w:pPr>
            <w:r>
              <w:rPr>
                <w:b/>
                <w:spacing w:val="-2"/>
                <w:sz w:val="16"/>
              </w:rPr>
              <w:t>Fiscal</w:t>
            </w:r>
          </w:p>
        </w:tc>
        <w:tc>
          <w:tcPr>
            <w:tcW w:w="1224" w:type="dxa"/>
          </w:tcPr>
          <w:p>
            <w:pPr>
              <w:pStyle w:val="TableParagraph"/>
              <w:spacing w:line="149" w:lineRule="exact"/>
              <w:ind w:left="350"/>
              <w:rPr>
                <w:b/>
                <w:sz w:val="16"/>
              </w:rPr>
            </w:pPr>
            <w:r>
              <w:rPr>
                <w:b/>
                <w:spacing w:val="-2"/>
                <w:sz w:val="16"/>
              </w:rPr>
              <w:t>Fiscal</w:t>
            </w:r>
          </w:p>
        </w:tc>
        <w:tc>
          <w:tcPr>
            <w:tcW w:w="1180" w:type="dxa"/>
          </w:tcPr>
          <w:p>
            <w:pPr>
              <w:pStyle w:val="TableParagraph"/>
              <w:spacing w:line="149" w:lineRule="exact"/>
              <w:ind w:left="133"/>
              <w:rPr>
                <w:b/>
                <w:sz w:val="16"/>
              </w:rPr>
            </w:pPr>
            <w:r>
              <w:rPr>
                <w:b/>
                <w:sz w:val="16"/>
              </w:rPr>
              <w:t>% </w:t>
            </w:r>
            <w:r>
              <w:rPr>
                <w:b/>
                <w:spacing w:val="-2"/>
                <w:sz w:val="16"/>
              </w:rPr>
              <w:t>Change</w:t>
            </w:r>
          </w:p>
        </w:tc>
        <w:tc>
          <w:tcPr>
            <w:tcW w:w="1057" w:type="dxa"/>
          </w:tcPr>
          <w:p>
            <w:pPr>
              <w:pStyle w:val="TableParagraph"/>
              <w:spacing w:line="149" w:lineRule="exact"/>
              <w:ind w:left="133"/>
              <w:rPr>
                <w:b/>
                <w:sz w:val="16"/>
              </w:rPr>
            </w:pPr>
            <w:r>
              <w:rPr>
                <w:b/>
                <w:sz w:val="16"/>
              </w:rPr>
              <w:t>% </w:t>
            </w:r>
            <w:r>
              <w:rPr>
                <w:b/>
                <w:spacing w:val="-2"/>
                <w:sz w:val="16"/>
              </w:rPr>
              <w:t>Change</w:t>
            </w:r>
          </w:p>
        </w:tc>
      </w:tr>
      <w:tr>
        <w:trPr>
          <w:trHeight w:val="205" w:hRule="atLeast"/>
        </w:trPr>
        <w:tc>
          <w:tcPr>
            <w:tcW w:w="3431" w:type="dxa"/>
            <w:vMerge/>
            <w:tcBorders>
              <w:top w:val="nil"/>
            </w:tcBorders>
          </w:tcPr>
          <w:p>
            <w:pPr>
              <w:rPr>
                <w:sz w:val="2"/>
                <w:szCs w:val="2"/>
              </w:rPr>
            </w:pPr>
          </w:p>
        </w:tc>
        <w:tc>
          <w:tcPr>
            <w:tcW w:w="2168" w:type="dxa"/>
            <w:tcBorders>
              <w:bottom w:val="single" w:sz="8" w:space="0" w:color="000000"/>
            </w:tcBorders>
          </w:tcPr>
          <w:p>
            <w:pPr>
              <w:pStyle w:val="TableParagraph"/>
              <w:spacing w:line="169" w:lineRule="exact"/>
              <w:ind w:left="1398"/>
              <w:rPr>
                <w:b/>
                <w:sz w:val="16"/>
              </w:rPr>
            </w:pPr>
            <w:r>
              <w:rPr>
                <w:b/>
                <w:spacing w:val="-4"/>
                <w:sz w:val="16"/>
              </w:rPr>
              <w:t>2017</w:t>
            </w:r>
          </w:p>
        </w:tc>
        <w:tc>
          <w:tcPr>
            <w:tcW w:w="1180" w:type="dxa"/>
            <w:tcBorders>
              <w:bottom w:val="single" w:sz="8" w:space="0" w:color="000000"/>
            </w:tcBorders>
          </w:tcPr>
          <w:p>
            <w:pPr>
              <w:pStyle w:val="TableParagraph"/>
              <w:spacing w:line="169" w:lineRule="exact"/>
              <w:ind w:left="8" w:right="65"/>
              <w:jc w:val="center"/>
              <w:rPr>
                <w:b/>
                <w:sz w:val="16"/>
              </w:rPr>
            </w:pPr>
            <w:r>
              <w:rPr>
                <w:b/>
                <w:spacing w:val="-4"/>
                <w:sz w:val="16"/>
              </w:rPr>
              <w:t>2016</w:t>
            </w:r>
          </w:p>
        </w:tc>
        <w:tc>
          <w:tcPr>
            <w:tcW w:w="1224" w:type="dxa"/>
            <w:tcBorders>
              <w:bottom w:val="single" w:sz="8" w:space="0" w:color="000000"/>
            </w:tcBorders>
          </w:tcPr>
          <w:p>
            <w:pPr>
              <w:pStyle w:val="TableParagraph"/>
              <w:spacing w:line="169" w:lineRule="exact"/>
              <w:ind w:left="390"/>
              <w:rPr>
                <w:b/>
                <w:sz w:val="16"/>
              </w:rPr>
            </w:pPr>
            <w:r>
              <w:rPr>
                <w:b/>
                <w:spacing w:val="-4"/>
                <w:sz w:val="16"/>
              </w:rPr>
              <w:t>2015</w:t>
            </w:r>
          </w:p>
        </w:tc>
        <w:tc>
          <w:tcPr>
            <w:tcW w:w="1180" w:type="dxa"/>
            <w:tcBorders>
              <w:bottom w:val="single" w:sz="8" w:space="0" w:color="000000"/>
            </w:tcBorders>
          </w:tcPr>
          <w:p>
            <w:pPr>
              <w:pStyle w:val="TableParagraph"/>
              <w:spacing w:line="169" w:lineRule="exact"/>
              <w:ind w:left="149"/>
              <w:rPr>
                <w:b/>
                <w:sz w:val="16"/>
              </w:rPr>
            </w:pPr>
            <w:r>
              <w:rPr>
                <w:b/>
                <w:sz w:val="16"/>
              </w:rPr>
              <w:t>2017-</w:t>
            </w:r>
            <w:r>
              <w:rPr>
                <w:b/>
                <w:spacing w:val="-4"/>
                <w:sz w:val="16"/>
              </w:rPr>
              <w:t>2016</w:t>
            </w:r>
          </w:p>
        </w:tc>
        <w:tc>
          <w:tcPr>
            <w:tcW w:w="1057" w:type="dxa"/>
            <w:tcBorders>
              <w:bottom w:val="single" w:sz="8" w:space="0" w:color="000000"/>
            </w:tcBorders>
          </w:tcPr>
          <w:p>
            <w:pPr>
              <w:pStyle w:val="TableParagraph"/>
              <w:spacing w:line="169" w:lineRule="exact"/>
              <w:ind w:left="149"/>
              <w:rPr>
                <w:b/>
                <w:sz w:val="16"/>
              </w:rPr>
            </w:pPr>
            <w:r>
              <w:rPr>
                <w:b/>
                <w:sz w:val="16"/>
              </w:rPr>
              <w:t>2016-</w:t>
            </w:r>
            <w:r>
              <w:rPr>
                <w:b/>
                <w:spacing w:val="-4"/>
                <w:sz w:val="16"/>
              </w:rPr>
              <w:t>2015</w:t>
            </w:r>
          </w:p>
        </w:tc>
      </w:tr>
      <w:tr>
        <w:trPr>
          <w:trHeight w:val="270" w:hRule="atLeast"/>
        </w:trPr>
        <w:tc>
          <w:tcPr>
            <w:tcW w:w="3431" w:type="dxa"/>
            <w:shd w:val="clear" w:color="auto" w:fill="CCEDFF"/>
          </w:tcPr>
          <w:p>
            <w:pPr>
              <w:pStyle w:val="TableParagraph"/>
              <w:spacing w:line="222" w:lineRule="exact"/>
              <w:ind w:left="50"/>
              <w:rPr>
                <w:sz w:val="20"/>
              </w:rPr>
            </w:pPr>
            <w:r>
              <w:rPr>
                <w:spacing w:val="-2"/>
                <w:sz w:val="20"/>
              </w:rPr>
              <w:t>Subscription</w:t>
            </w:r>
          </w:p>
        </w:tc>
        <w:tc>
          <w:tcPr>
            <w:tcW w:w="2168" w:type="dxa"/>
            <w:tcBorders>
              <w:top w:val="single" w:sz="8" w:space="0" w:color="000000"/>
            </w:tcBorders>
            <w:shd w:val="clear" w:color="auto" w:fill="CCEDFF"/>
          </w:tcPr>
          <w:p>
            <w:pPr>
              <w:pStyle w:val="TableParagraph"/>
              <w:spacing w:line="222" w:lineRule="exact"/>
              <w:ind w:left="1078"/>
              <w:rPr>
                <w:sz w:val="20"/>
              </w:rPr>
            </w:pPr>
            <w:r>
              <w:rPr>
                <w:sz w:val="20"/>
              </w:rPr>
              <w:t>$</w:t>
            </w:r>
            <w:r>
              <w:rPr>
                <w:spacing w:val="75"/>
                <w:w w:val="150"/>
                <w:sz w:val="20"/>
              </w:rPr>
              <w:t> </w:t>
            </w:r>
            <w:r>
              <w:rPr>
                <w:spacing w:val="-2"/>
                <w:sz w:val="20"/>
              </w:rPr>
              <w:t>6,133.9</w:t>
            </w:r>
          </w:p>
        </w:tc>
        <w:tc>
          <w:tcPr>
            <w:tcW w:w="1180" w:type="dxa"/>
            <w:tcBorders>
              <w:top w:val="single" w:sz="8" w:space="0" w:color="000000"/>
            </w:tcBorders>
            <w:shd w:val="clear" w:color="auto" w:fill="CCEDFF"/>
          </w:tcPr>
          <w:p>
            <w:pPr>
              <w:pStyle w:val="TableParagraph"/>
              <w:spacing w:line="222" w:lineRule="exact"/>
              <w:ind w:left="70"/>
              <w:rPr>
                <w:sz w:val="20"/>
              </w:rPr>
            </w:pPr>
            <w:r>
              <w:rPr>
                <w:sz w:val="20"/>
              </w:rPr>
              <w:t>$</w:t>
            </w:r>
            <w:r>
              <w:rPr>
                <w:spacing w:val="36"/>
                <w:sz w:val="20"/>
              </w:rPr>
              <w:t>  </w:t>
            </w:r>
            <w:r>
              <w:rPr>
                <w:spacing w:val="-2"/>
                <w:sz w:val="20"/>
              </w:rPr>
              <w:t>4,584.8</w:t>
            </w:r>
          </w:p>
        </w:tc>
        <w:tc>
          <w:tcPr>
            <w:tcW w:w="1224" w:type="dxa"/>
            <w:tcBorders>
              <w:top w:val="single" w:sz="8" w:space="0" w:color="000000"/>
            </w:tcBorders>
            <w:shd w:val="clear" w:color="auto" w:fill="CCEDFF"/>
          </w:tcPr>
          <w:p>
            <w:pPr>
              <w:pStyle w:val="TableParagraph"/>
              <w:spacing w:line="222" w:lineRule="exact"/>
              <w:ind w:left="70"/>
              <w:rPr>
                <w:sz w:val="20"/>
              </w:rPr>
            </w:pPr>
            <w:r>
              <w:rPr>
                <w:sz w:val="20"/>
              </w:rPr>
              <w:t>$</w:t>
            </w:r>
            <w:r>
              <w:rPr>
                <w:spacing w:val="75"/>
                <w:w w:val="150"/>
                <w:sz w:val="20"/>
              </w:rPr>
              <w:t> </w:t>
            </w:r>
            <w:r>
              <w:rPr>
                <w:spacing w:val="-2"/>
                <w:sz w:val="20"/>
              </w:rPr>
              <w:t>3,223.9</w:t>
            </w:r>
          </w:p>
        </w:tc>
        <w:tc>
          <w:tcPr>
            <w:tcW w:w="1180" w:type="dxa"/>
            <w:tcBorders>
              <w:top w:val="single" w:sz="8" w:space="0" w:color="000000"/>
            </w:tcBorders>
            <w:shd w:val="clear" w:color="auto" w:fill="CCEDFF"/>
          </w:tcPr>
          <w:p>
            <w:pPr>
              <w:pStyle w:val="TableParagraph"/>
              <w:spacing w:line="222" w:lineRule="exact"/>
              <w:ind w:right="131"/>
              <w:jc w:val="right"/>
              <w:rPr>
                <w:sz w:val="20"/>
              </w:rPr>
            </w:pPr>
            <w:r>
              <w:rPr>
                <w:sz w:val="20"/>
              </w:rPr>
              <w:t>34</w:t>
            </w:r>
            <w:r>
              <w:rPr>
                <w:spacing w:val="17"/>
                <w:sz w:val="20"/>
              </w:rPr>
              <w:t> </w:t>
            </w:r>
            <w:r>
              <w:rPr>
                <w:spacing w:val="-10"/>
                <w:sz w:val="20"/>
              </w:rPr>
              <w:t>%</w:t>
            </w:r>
          </w:p>
        </w:tc>
        <w:tc>
          <w:tcPr>
            <w:tcW w:w="1057" w:type="dxa"/>
            <w:tcBorders>
              <w:top w:val="single" w:sz="8" w:space="0" w:color="000000"/>
            </w:tcBorders>
            <w:shd w:val="clear" w:color="auto" w:fill="CCEDFF"/>
          </w:tcPr>
          <w:p>
            <w:pPr>
              <w:pStyle w:val="TableParagraph"/>
              <w:spacing w:line="222" w:lineRule="exact"/>
              <w:ind w:right="8"/>
              <w:jc w:val="right"/>
              <w:rPr>
                <w:sz w:val="20"/>
              </w:rPr>
            </w:pPr>
            <w:r>
              <w:rPr>
                <w:sz w:val="20"/>
              </w:rPr>
              <w:t>42</w:t>
            </w:r>
            <w:r>
              <w:rPr>
                <w:spacing w:val="17"/>
                <w:sz w:val="20"/>
              </w:rPr>
              <w:t> </w:t>
            </w:r>
            <w:r>
              <w:rPr>
                <w:spacing w:val="-10"/>
                <w:sz w:val="20"/>
              </w:rPr>
              <w:t>%</w:t>
            </w:r>
          </w:p>
        </w:tc>
      </w:tr>
      <w:tr>
        <w:trPr>
          <w:trHeight w:val="280" w:hRule="atLeast"/>
        </w:trPr>
        <w:tc>
          <w:tcPr>
            <w:tcW w:w="3431" w:type="dxa"/>
          </w:tcPr>
          <w:p>
            <w:pPr>
              <w:pStyle w:val="TableParagraph"/>
              <w:spacing w:before="2"/>
              <w:ind w:right="1076"/>
              <w:jc w:val="right"/>
              <w:rPr>
                <w:sz w:val="20"/>
              </w:rPr>
            </w:pPr>
            <w:r>
              <w:rPr>
                <w:sz w:val="20"/>
              </w:rPr>
              <w:t>Percentage of total </w:t>
            </w:r>
            <w:r>
              <w:rPr>
                <w:spacing w:val="-2"/>
                <w:sz w:val="20"/>
              </w:rPr>
              <w:t>revenue</w:t>
            </w:r>
          </w:p>
        </w:tc>
        <w:tc>
          <w:tcPr>
            <w:tcW w:w="2168" w:type="dxa"/>
          </w:tcPr>
          <w:p>
            <w:pPr>
              <w:pStyle w:val="TableParagraph"/>
              <w:spacing w:before="2"/>
              <w:ind w:right="67"/>
              <w:jc w:val="right"/>
              <w:rPr>
                <w:sz w:val="20"/>
              </w:rPr>
            </w:pPr>
            <w:r>
              <w:rPr>
                <w:spacing w:val="-5"/>
                <w:sz w:val="20"/>
              </w:rPr>
              <w:t>84%</w:t>
            </w:r>
          </w:p>
        </w:tc>
        <w:tc>
          <w:tcPr>
            <w:tcW w:w="1180" w:type="dxa"/>
          </w:tcPr>
          <w:p>
            <w:pPr>
              <w:pStyle w:val="TableParagraph"/>
              <w:spacing w:before="2"/>
              <w:ind w:right="67"/>
              <w:jc w:val="right"/>
              <w:rPr>
                <w:sz w:val="20"/>
              </w:rPr>
            </w:pPr>
            <w:r>
              <w:rPr>
                <w:spacing w:val="-5"/>
                <w:sz w:val="20"/>
              </w:rPr>
              <w:t>78%</w:t>
            </w:r>
          </w:p>
        </w:tc>
        <w:tc>
          <w:tcPr>
            <w:tcW w:w="1224" w:type="dxa"/>
          </w:tcPr>
          <w:p>
            <w:pPr>
              <w:pStyle w:val="TableParagraph"/>
              <w:spacing w:before="2"/>
              <w:ind w:right="131"/>
              <w:jc w:val="right"/>
              <w:rPr>
                <w:sz w:val="20"/>
              </w:rPr>
            </w:pPr>
            <w:r>
              <w:rPr>
                <w:spacing w:val="-5"/>
                <w:sz w:val="20"/>
              </w:rPr>
              <w:t>67%</w:t>
            </w:r>
          </w:p>
        </w:tc>
        <w:tc>
          <w:tcPr>
            <w:tcW w:w="1180" w:type="dxa"/>
          </w:tcPr>
          <w:p>
            <w:pPr>
              <w:pStyle w:val="TableParagraph"/>
              <w:rPr>
                <w:sz w:val="18"/>
              </w:rPr>
            </w:pPr>
          </w:p>
        </w:tc>
        <w:tc>
          <w:tcPr>
            <w:tcW w:w="1057" w:type="dxa"/>
          </w:tcPr>
          <w:p>
            <w:pPr>
              <w:pStyle w:val="TableParagraph"/>
              <w:rPr>
                <w:sz w:val="18"/>
              </w:rPr>
            </w:pPr>
          </w:p>
        </w:tc>
      </w:tr>
      <w:tr>
        <w:trPr>
          <w:trHeight w:val="280" w:hRule="atLeast"/>
        </w:trPr>
        <w:tc>
          <w:tcPr>
            <w:tcW w:w="3431" w:type="dxa"/>
            <w:shd w:val="clear" w:color="auto" w:fill="CCEDFF"/>
          </w:tcPr>
          <w:p>
            <w:pPr>
              <w:pStyle w:val="TableParagraph"/>
              <w:spacing w:before="2"/>
              <w:ind w:left="50"/>
              <w:rPr>
                <w:sz w:val="20"/>
              </w:rPr>
            </w:pPr>
            <w:r>
              <w:rPr>
                <w:spacing w:val="-2"/>
                <w:sz w:val="20"/>
              </w:rPr>
              <w:t>Product</w:t>
            </w:r>
          </w:p>
        </w:tc>
        <w:tc>
          <w:tcPr>
            <w:tcW w:w="2168" w:type="dxa"/>
            <w:shd w:val="clear" w:color="auto" w:fill="CCEDFF"/>
          </w:tcPr>
          <w:p>
            <w:pPr>
              <w:pStyle w:val="TableParagraph"/>
              <w:spacing w:before="2"/>
              <w:ind w:right="235"/>
              <w:jc w:val="right"/>
              <w:rPr>
                <w:sz w:val="20"/>
              </w:rPr>
            </w:pPr>
            <w:r>
              <w:rPr>
                <w:spacing w:val="-2"/>
                <w:sz w:val="20"/>
              </w:rPr>
              <w:t>706.7</w:t>
            </w:r>
          </w:p>
        </w:tc>
        <w:tc>
          <w:tcPr>
            <w:tcW w:w="1180" w:type="dxa"/>
            <w:shd w:val="clear" w:color="auto" w:fill="CCEDFF"/>
          </w:tcPr>
          <w:p>
            <w:pPr>
              <w:pStyle w:val="TableParagraph"/>
              <w:spacing w:before="2"/>
              <w:ind w:left="493"/>
              <w:rPr>
                <w:sz w:val="20"/>
              </w:rPr>
            </w:pPr>
            <w:r>
              <w:rPr>
                <w:spacing w:val="-2"/>
                <w:sz w:val="20"/>
              </w:rPr>
              <w:t>800.5</w:t>
            </w:r>
          </w:p>
        </w:tc>
        <w:tc>
          <w:tcPr>
            <w:tcW w:w="1224" w:type="dxa"/>
            <w:shd w:val="clear" w:color="auto" w:fill="CCEDFF"/>
          </w:tcPr>
          <w:p>
            <w:pPr>
              <w:pStyle w:val="TableParagraph"/>
              <w:spacing w:before="2"/>
              <w:ind w:left="322"/>
              <w:rPr>
                <w:sz w:val="20"/>
              </w:rPr>
            </w:pPr>
            <w:r>
              <w:rPr>
                <w:spacing w:val="-2"/>
                <w:sz w:val="20"/>
              </w:rPr>
              <w:t>1,125.1</w:t>
            </w:r>
          </w:p>
        </w:tc>
        <w:tc>
          <w:tcPr>
            <w:tcW w:w="1180" w:type="dxa"/>
            <w:shd w:val="clear" w:color="auto" w:fill="CCEDFF"/>
          </w:tcPr>
          <w:p>
            <w:pPr>
              <w:pStyle w:val="TableParagraph"/>
              <w:spacing w:before="2"/>
              <w:ind w:right="131"/>
              <w:jc w:val="right"/>
              <w:rPr>
                <w:sz w:val="20"/>
              </w:rPr>
            </w:pPr>
            <w:r>
              <w:rPr>
                <w:spacing w:val="-2"/>
                <w:sz w:val="20"/>
              </w:rPr>
              <w:t>(12)%</w:t>
            </w:r>
          </w:p>
        </w:tc>
        <w:tc>
          <w:tcPr>
            <w:tcW w:w="1057" w:type="dxa"/>
            <w:shd w:val="clear" w:color="auto" w:fill="CCEDFF"/>
          </w:tcPr>
          <w:p>
            <w:pPr>
              <w:pStyle w:val="TableParagraph"/>
              <w:spacing w:before="2"/>
              <w:ind w:right="8"/>
              <w:jc w:val="right"/>
              <w:rPr>
                <w:sz w:val="20"/>
              </w:rPr>
            </w:pPr>
            <w:r>
              <w:rPr>
                <w:spacing w:val="-2"/>
                <w:sz w:val="20"/>
              </w:rPr>
              <w:t>(29)%</w:t>
            </w:r>
          </w:p>
        </w:tc>
      </w:tr>
      <w:tr>
        <w:trPr>
          <w:trHeight w:val="280" w:hRule="atLeast"/>
        </w:trPr>
        <w:tc>
          <w:tcPr>
            <w:tcW w:w="3431" w:type="dxa"/>
          </w:tcPr>
          <w:p>
            <w:pPr>
              <w:pStyle w:val="TableParagraph"/>
              <w:spacing w:before="2"/>
              <w:ind w:right="1076"/>
              <w:jc w:val="right"/>
              <w:rPr>
                <w:sz w:val="20"/>
              </w:rPr>
            </w:pPr>
            <w:r>
              <w:rPr>
                <w:sz w:val="20"/>
              </w:rPr>
              <w:t>Percentage of total </w:t>
            </w:r>
            <w:r>
              <w:rPr>
                <w:spacing w:val="-2"/>
                <w:sz w:val="20"/>
              </w:rPr>
              <w:t>revenue</w:t>
            </w:r>
          </w:p>
        </w:tc>
        <w:tc>
          <w:tcPr>
            <w:tcW w:w="2168" w:type="dxa"/>
          </w:tcPr>
          <w:p>
            <w:pPr>
              <w:pStyle w:val="TableParagraph"/>
              <w:spacing w:before="2"/>
              <w:ind w:right="67"/>
              <w:jc w:val="right"/>
              <w:rPr>
                <w:sz w:val="20"/>
              </w:rPr>
            </w:pPr>
            <w:r>
              <w:rPr>
                <w:spacing w:val="-5"/>
                <w:sz w:val="20"/>
              </w:rPr>
              <w:t>10%</w:t>
            </w:r>
          </w:p>
        </w:tc>
        <w:tc>
          <w:tcPr>
            <w:tcW w:w="1180" w:type="dxa"/>
          </w:tcPr>
          <w:p>
            <w:pPr>
              <w:pStyle w:val="TableParagraph"/>
              <w:spacing w:before="2"/>
              <w:ind w:right="67"/>
              <w:jc w:val="right"/>
              <w:rPr>
                <w:sz w:val="20"/>
              </w:rPr>
            </w:pPr>
            <w:r>
              <w:rPr>
                <w:spacing w:val="-5"/>
                <w:sz w:val="20"/>
              </w:rPr>
              <w:t>14%</w:t>
            </w:r>
          </w:p>
        </w:tc>
        <w:tc>
          <w:tcPr>
            <w:tcW w:w="1224" w:type="dxa"/>
          </w:tcPr>
          <w:p>
            <w:pPr>
              <w:pStyle w:val="TableParagraph"/>
              <w:spacing w:before="2"/>
              <w:ind w:right="131"/>
              <w:jc w:val="right"/>
              <w:rPr>
                <w:sz w:val="20"/>
              </w:rPr>
            </w:pPr>
            <w:r>
              <w:rPr>
                <w:spacing w:val="-5"/>
                <w:sz w:val="20"/>
              </w:rPr>
              <w:t>24%</w:t>
            </w:r>
          </w:p>
        </w:tc>
        <w:tc>
          <w:tcPr>
            <w:tcW w:w="1180" w:type="dxa"/>
          </w:tcPr>
          <w:p>
            <w:pPr>
              <w:pStyle w:val="TableParagraph"/>
              <w:rPr>
                <w:sz w:val="18"/>
              </w:rPr>
            </w:pPr>
          </w:p>
        </w:tc>
        <w:tc>
          <w:tcPr>
            <w:tcW w:w="1057" w:type="dxa"/>
          </w:tcPr>
          <w:p>
            <w:pPr>
              <w:pStyle w:val="TableParagraph"/>
              <w:rPr>
                <w:sz w:val="18"/>
              </w:rPr>
            </w:pPr>
          </w:p>
        </w:tc>
      </w:tr>
      <w:tr>
        <w:trPr>
          <w:trHeight w:val="280" w:hRule="atLeast"/>
        </w:trPr>
        <w:tc>
          <w:tcPr>
            <w:tcW w:w="3431" w:type="dxa"/>
            <w:shd w:val="clear" w:color="auto" w:fill="CCEDFF"/>
          </w:tcPr>
          <w:p>
            <w:pPr>
              <w:pStyle w:val="TableParagraph"/>
              <w:spacing w:before="2"/>
              <w:ind w:left="50"/>
              <w:rPr>
                <w:sz w:val="20"/>
              </w:rPr>
            </w:pPr>
            <w:r>
              <w:rPr>
                <w:sz w:val="20"/>
              </w:rPr>
              <w:t>Services</w:t>
            </w:r>
            <w:r>
              <w:rPr>
                <w:spacing w:val="-5"/>
                <w:sz w:val="20"/>
              </w:rPr>
              <w:t> </w:t>
            </w:r>
            <w:r>
              <w:rPr>
                <w:sz w:val="20"/>
              </w:rPr>
              <w:t>and</w:t>
            </w:r>
            <w:r>
              <w:rPr>
                <w:spacing w:val="-3"/>
                <w:sz w:val="20"/>
              </w:rPr>
              <w:t> </w:t>
            </w:r>
            <w:r>
              <w:rPr>
                <w:spacing w:val="-2"/>
                <w:sz w:val="20"/>
              </w:rPr>
              <w:t>support</w:t>
            </w:r>
          </w:p>
        </w:tc>
        <w:tc>
          <w:tcPr>
            <w:tcW w:w="2168" w:type="dxa"/>
            <w:shd w:val="clear" w:color="auto" w:fill="CCEDFF"/>
          </w:tcPr>
          <w:p>
            <w:pPr>
              <w:pStyle w:val="TableParagraph"/>
              <w:spacing w:before="2"/>
              <w:ind w:right="235"/>
              <w:jc w:val="right"/>
              <w:rPr>
                <w:sz w:val="20"/>
              </w:rPr>
            </w:pPr>
            <w:r>
              <w:rPr>
                <w:spacing w:val="-2"/>
                <w:sz w:val="20"/>
              </w:rPr>
              <w:t>460.9</w:t>
            </w:r>
          </w:p>
        </w:tc>
        <w:tc>
          <w:tcPr>
            <w:tcW w:w="1180" w:type="dxa"/>
            <w:shd w:val="clear" w:color="auto" w:fill="CCEDFF"/>
          </w:tcPr>
          <w:p>
            <w:pPr>
              <w:pStyle w:val="TableParagraph"/>
              <w:spacing w:before="2"/>
              <w:ind w:left="493"/>
              <w:rPr>
                <w:sz w:val="20"/>
              </w:rPr>
            </w:pPr>
            <w:r>
              <w:rPr>
                <w:spacing w:val="-2"/>
                <w:sz w:val="20"/>
              </w:rPr>
              <w:t>469.1</w:t>
            </w:r>
          </w:p>
        </w:tc>
        <w:tc>
          <w:tcPr>
            <w:tcW w:w="1224" w:type="dxa"/>
            <w:shd w:val="clear" w:color="auto" w:fill="CCEDFF"/>
          </w:tcPr>
          <w:p>
            <w:pPr>
              <w:pStyle w:val="TableParagraph"/>
              <w:spacing w:before="2"/>
              <w:ind w:left="473"/>
              <w:rPr>
                <w:sz w:val="20"/>
              </w:rPr>
            </w:pPr>
            <w:r>
              <w:rPr>
                <w:spacing w:val="-2"/>
                <w:sz w:val="20"/>
              </w:rPr>
              <w:t>446.5</w:t>
            </w:r>
          </w:p>
        </w:tc>
        <w:tc>
          <w:tcPr>
            <w:tcW w:w="1180" w:type="dxa"/>
            <w:shd w:val="clear" w:color="auto" w:fill="CCEDFF"/>
          </w:tcPr>
          <w:p>
            <w:pPr>
              <w:pStyle w:val="TableParagraph"/>
              <w:spacing w:before="2"/>
              <w:ind w:right="131"/>
              <w:jc w:val="right"/>
              <w:rPr>
                <w:sz w:val="20"/>
              </w:rPr>
            </w:pPr>
            <w:r>
              <w:rPr>
                <w:spacing w:val="-4"/>
                <w:sz w:val="20"/>
              </w:rPr>
              <w:t>(2)%</w:t>
            </w:r>
          </w:p>
        </w:tc>
        <w:tc>
          <w:tcPr>
            <w:tcW w:w="1057" w:type="dxa"/>
            <w:shd w:val="clear" w:color="auto" w:fill="CCEDFF"/>
          </w:tcPr>
          <w:p>
            <w:pPr>
              <w:pStyle w:val="TableParagraph"/>
              <w:spacing w:before="2"/>
              <w:ind w:right="8"/>
              <w:jc w:val="right"/>
              <w:rPr>
                <w:sz w:val="20"/>
              </w:rPr>
            </w:pPr>
            <w:r>
              <w:rPr>
                <w:sz w:val="20"/>
              </w:rPr>
              <w:t>5</w:t>
            </w:r>
            <w:r>
              <w:rPr>
                <w:spacing w:val="17"/>
                <w:sz w:val="20"/>
              </w:rPr>
              <w:t> </w:t>
            </w:r>
            <w:r>
              <w:rPr>
                <w:spacing w:val="-10"/>
                <w:sz w:val="20"/>
              </w:rPr>
              <w:t>%</w:t>
            </w:r>
          </w:p>
        </w:tc>
      </w:tr>
      <w:tr>
        <w:trPr>
          <w:trHeight w:val="270" w:hRule="atLeast"/>
        </w:trPr>
        <w:tc>
          <w:tcPr>
            <w:tcW w:w="3431" w:type="dxa"/>
          </w:tcPr>
          <w:p>
            <w:pPr>
              <w:pStyle w:val="TableParagraph"/>
              <w:spacing w:before="2"/>
              <w:ind w:right="1076"/>
              <w:jc w:val="right"/>
              <w:rPr>
                <w:sz w:val="20"/>
              </w:rPr>
            </w:pPr>
            <w:r>
              <w:rPr>
                <w:sz w:val="20"/>
              </w:rPr>
              <w:t>Percentage of total </w:t>
            </w:r>
            <w:r>
              <w:rPr>
                <w:spacing w:val="-2"/>
                <w:sz w:val="20"/>
              </w:rPr>
              <w:t>revenue</w:t>
            </w:r>
          </w:p>
        </w:tc>
        <w:tc>
          <w:tcPr>
            <w:tcW w:w="2168" w:type="dxa"/>
            <w:tcBorders>
              <w:bottom w:val="single" w:sz="8" w:space="0" w:color="000000"/>
            </w:tcBorders>
          </w:tcPr>
          <w:p>
            <w:pPr>
              <w:pStyle w:val="TableParagraph"/>
              <w:spacing w:before="2"/>
              <w:ind w:right="67"/>
              <w:jc w:val="right"/>
              <w:rPr>
                <w:sz w:val="20"/>
              </w:rPr>
            </w:pPr>
            <w:r>
              <w:rPr>
                <w:spacing w:val="-5"/>
                <w:sz w:val="20"/>
              </w:rPr>
              <w:t>6%</w:t>
            </w:r>
          </w:p>
        </w:tc>
        <w:tc>
          <w:tcPr>
            <w:tcW w:w="1180" w:type="dxa"/>
            <w:tcBorders>
              <w:bottom w:val="single" w:sz="8" w:space="0" w:color="000000"/>
            </w:tcBorders>
          </w:tcPr>
          <w:p>
            <w:pPr>
              <w:pStyle w:val="TableParagraph"/>
              <w:spacing w:before="2"/>
              <w:ind w:right="67"/>
              <w:jc w:val="right"/>
              <w:rPr>
                <w:sz w:val="20"/>
              </w:rPr>
            </w:pPr>
            <w:r>
              <w:rPr>
                <w:spacing w:val="-5"/>
                <w:sz w:val="20"/>
              </w:rPr>
              <w:t>8%</w:t>
            </w:r>
          </w:p>
        </w:tc>
        <w:tc>
          <w:tcPr>
            <w:tcW w:w="1224" w:type="dxa"/>
            <w:tcBorders>
              <w:bottom w:val="single" w:sz="8" w:space="0" w:color="000000"/>
            </w:tcBorders>
          </w:tcPr>
          <w:p>
            <w:pPr>
              <w:pStyle w:val="TableParagraph"/>
              <w:spacing w:before="2"/>
              <w:ind w:right="131"/>
              <w:jc w:val="right"/>
              <w:rPr>
                <w:sz w:val="20"/>
              </w:rPr>
            </w:pPr>
            <w:r>
              <w:rPr>
                <w:spacing w:val="-5"/>
                <w:sz w:val="20"/>
              </w:rPr>
              <w:t>9%</w:t>
            </w:r>
          </w:p>
        </w:tc>
        <w:tc>
          <w:tcPr>
            <w:tcW w:w="1180" w:type="dxa"/>
          </w:tcPr>
          <w:p>
            <w:pPr>
              <w:pStyle w:val="TableParagraph"/>
              <w:rPr>
                <w:sz w:val="18"/>
              </w:rPr>
            </w:pPr>
          </w:p>
        </w:tc>
        <w:tc>
          <w:tcPr>
            <w:tcW w:w="1057" w:type="dxa"/>
          </w:tcPr>
          <w:p>
            <w:pPr>
              <w:pStyle w:val="TableParagraph"/>
              <w:rPr>
                <w:sz w:val="18"/>
              </w:rPr>
            </w:pPr>
          </w:p>
        </w:tc>
      </w:tr>
      <w:tr>
        <w:trPr>
          <w:trHeight w:val="270" w:hRule="atLeast"/>
        </w:trPr>
        <w:tc>
          <w:tcPr>
            <w:tcW w:w="3431" w:type="dxa"/>
            <w:shd w:val="clear" w:color="auto" w:fill="CCEDFF"/>
          </w:tcPr>
          <w:p>
            <w:pPr>
              <w:pStyle w:val="TableParagraph"/>
              <w:spacing w:line="222" w:lineRule="exact"/>
              <w:ind w:left="170"/>
              <w:rPr>
                <w:sz w:val="20"/>
              </w:rPr>
            </w:pPr>
            <w:r>
              <w:rPr>
                <w:spacing w:val="-2"/>
                <w:sz w:val="20"/>
              </w:rPr>
              <w:t>Total</w:t>
            </w:r>
            <w:r>
              <w:rPr>
                <w:spacing w:val="-4"/>
                <w:sz w:val="20"/>
              </w:rPr>
              <w:t> </w:t>
            </w:r>
            <w:r>
              <w:rPr>
                <w:spacing w:val="-2"/>
                <w:sz w:val="20"/>
              </w:rPr>
              <w:t>revenue</w:t>
            </w:r>
          </w:p>
        </w:tc>
        <w:tc>
          <w:tcPr>
            <w:tcW w:w="2168" w:type="dxa"/>
            <w:tcBorders>
              <w:top w:val="single" w:sz="8" w:space="0" w:color="000000"/>
            </w:tcBorders>
            <w:shd w:val="clear" w:color="auto" w:fill="CCEDFF"/>
          </w:tcPr>
          <w:p>
            <w:pPr>
              <w:pStyle w:val="TableParagraph"/>
              <w:spacing w:line="222" w:lineRule="exact"/>
              <w:ind w:left="1078"/>
              <w:rPr>
                <w:sz w:val="20"/>
              </w:rPr>
            </w:pPr>
            <w:r>
              <w:rPr>
                <w:sz w:val="20"/>
              </w:rPr>
              <w:t>$</w:t>
            </w:r>
            <w:r>
              <w:rPr>
                <w:spacing w:val="75"/>
                <w:w w:val="150"/>
                <w:sz w:val="20"/>
              </w:rPr>
              <w:t> </w:t>
            </w:r>
            <w:r>
              <w:rPr>
                <w:spacing w:val="-2"/>
                <w:sz w:val="20"/>
              </w:rPr>
              <w:t>7,301.5</w:t>
            </w:r>
          </w:p>
        </w:tc>
        <w:tc>
          <w:tcPr>
            <w:tcW w:w="1180" w:type="dxa"/>
            <w:tcBorders>
              <w:top w:val="single" w:sz="8" w:space="0" w:color="000000"/>
            </w:tcBorders>
            <w:shd w:val="clear" w:color="auto" w:fill="CCEDFF"/>
          </w:tcPr>
          <w:p>
            <w:pPr>
              <w:pStyle w:val="TableParagraph"/>
              <w:spacing w:line="222" w:lineRule="exact"/>
              <w:ind w:left="70"/>
              <w:rPr>
                <w:sz w:val="20"/>
              </w:rPr>
            </w:pPr>
            <w:r>
              <w:rPr>
                <w:sz w:val="20"/>
              </w:rPr>
              <w:t>$</w:t>
            </w:r>
            <w:r>
              <w:rPr>
                <w:spacing w:val="36"/>
                <w:sz w:val="20"/>
              </w:rPr>
              <w:t>  </w:t>
            </w:r>
            <w:r>
              <w:rPr>
                <w:spacing w:val="-2"/>
                <w:sz w:val="20"/>
              </w:rPr>
              <w:t>5,854.4</w:t>
            </w:r>
          </w:p>
        </w:tc>
        <w:tc>
          <w:tcPr>
            <w:tcW w:w="1224" w:type="dxa"/>
            <w:tcBorders>
              <w:top w:val="single" w:sz="8" w:space="0" w:color="000000"/>
            </w:tcBorders>
            <w:shd w:val="clear" w:color="auto" w:fill="CCEDFF"/>
          </w:tcPr>
          <w:p>
            <w:pPr>
              <w:pStyle w:val="TableParagraph"/>
              <w:spacing w:line="222" w:lineRule="exact"/>
              <w:ind w:left="70"/>
              <w:rPr>
                <w:sz w:val="20"/>
              </w:rPr>
            </w:pPr>
            <w:r>
              <w:rPr>
                <w:sz w:val="20"/>
              </w:rPr>
              <w:t>$</w:t>
            </w:r>
            <w:r>
              <w:rPr>
                <w:spacing w:val="75"/>
                <w:w w:val="150"/>
                <w:sz w:val="20"/>
              </w:rPr>
              <w:t> </w:t>
            </w:r>
            <w:r>
              <w:rPr>
                <w:spacing w:val="-2"/>
                <w:sz w:val="20"/>
              </w:rPr>
              <w:t>4,795.5</w:t>
            </w:r>
          </w:p>
        </w:tc>
        <w:tc>
          <w:tcPr>
            <w:tcW w:w="1180" w:type="dxa"/>
            <w:shd w:val="clear" w:color="auto" w:fill="CCEDFF"/>
          </w:tcPr>
          <w:p>
            <w:pPr>
              <w:pStyle w:val="TableParagraph"/>
              <w:spacing w:line="222" w:lineRule="exact"/>
              <w:ind w:right="131"/>
              <w:jc w:val="right"/>
              <w:rPr>
                <w:sz w:val="20"/>
              </w:rPr>
            </w:pPr>
            <w:r>
              <w:rPr>
                <w:sz w:val="20"/>
              </w:rPr>
              <w:t>25</w:t>
            </w:r>
            <w:r>
              <w:rPr>
                <w:spacing w:val="17"/>
                <w:sz w:val="20"/>
              </w:rPr>
              <w:t> </w:t>
            </w:r>
            <w:r>
              <w:rPr>
                <w:spacing w:val="-10"/>
                <w:sz w:val="20"/>
              </w:rPr>
              <w:t>%</w:t>
            </w:r>
          </w:p>
        </w:tc>
        <w:tc>
          <w:tcPr>
            <w:tcW w:w="1057" w:type="dxa"/>
            <w:shd w:val="clear" w:color="auto" w:fill="CCEDFF"/>
          </w:tcPr>
          <w:p>
            <w:pPr>
              <w:pStyle w:val="TableParagraph"/>
              <w:spacing w:line="222" w:lineRule="exact"/>
              <w:ind w:right="8"/>
              <w:jc w:val="right"/>
              <w:rPr>
                <w:sz w:val="20"/>
              </w:rPr>
            </w:pPr>
            <w:r>
              <w:rPr>
                <w:sz w:val="20"/>
              </w:rPr>
              <w:t>22</w:t>
            </w:r>
            <w:r>
              <w:rPr>
                <w:spacing w:val="17"/>
                <w:sz w:val="20"/>
              </w:rPr>
              <w:t> </w:t>
            </w:r>
            <w:r>
              <w:rPr>
                <w:spacing w:val="-10"/>
                <w:sz w:val="20"/>
              </w:rPr>
              <w:t>%</w:t>
            </w:r>
          </w:p>
        </w:tc>
      </w:tr>
    </w:tbl>
    <w:p>
      <w:pPr>
        <w:pStyle w:val="BodyText"/>
        <w:spacing w:line="249" w:lineRule="auto" w:before="224"/>
        <w:ind w:left="220" w:right="257" w:firstLine="540"/>
        <w:jc w:val="both"/>
      </w:pPr>
      <w:r>
        <w:rPr/>
        <mc:AlternateContent>
          <mc:Choice Requires="wps">
            <w:drawing>
              <wp:anchor distT="0" distB="0" distL="0" distR="0" allowOverlap="1" layoutInCell="1" locked="0" behindDoc="0" simplePos="0" relativeHeight="15753728">
                <wp:simplePos x="0" y="0"/>
                <wp:positionH relativeFrom="page">
                  <wp:posOffset>3473450</wp:posOffset>
                </wp:positionH>
                <wp:positionV relativeFrom="paragraph">
                  <wp:posOffset>-18301</wp:posOffset>
                </wp:positionV>
                <wp:extent cx="685800" cy="3810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685800" cy="38100"/>
                          <a:chExt cx="685800" cy="38100"/>
                        </a:xfrm>
                      </wpg:grpSpPr>
                      <wps:wsp>
                        <wps:cNvPr id="129" name="Graphic 129"/>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0" y="317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5pt;margin-top:-1.441094pt;width:54pt;height:3pt;mso-position-horizontal-relative:page;mso-position-vertical-relative:paragraph;z-index:15753728" id="docshapegroup88" coordorigin="5470,-29" coordsize="1080,60">
                <v:rect style="position:absolute;left:5470;top:-29;width:1080;height:20" id="docshape89" filled="true" fillcolor="#000000" stroked="false">
                  <v:fill type="solid"/>
                </v:rect>
                <v:line style="position:absolute" from="5470,21" to="6550,21"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4210050</wp:posOffset>
                </wp:positionH>
                <wp:positionV relativeFrom="paragraph">
                  <wp:posOffset>-18301</wp:posOffset>
                </wp:positionV>
                <wp:extent cx="698500" cy="3810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698500" cy="38100"/>
                          <a:chExt cx="698500" cy="38100"/>
                        </a:xfrm>
                      </wpg:grpSpPr>
                      <wps:wsp>
                        <wps:cNvPr id="132" name="Graphic 132"/>
                        <wps:cNvSpPr/>
                        <wps:spPr>
                          <a:xfrm>
                            <a:off x="0" y="0"/>
                            <a:ext cx="698500" cy="12700"/>
                          </a:xfrm>
                          <a:custGeom>
                            <a:avLst/>
                            <a:gdLst/>
                            <a:ahLst/>
                            <a:cxnLst/>
                            <a:rect l="l" t="t" r="r" b="b"/>
                            <a:pathLst>
                              <a:path w="698500" h="12700">
                                <a:moveTo>
                                  <a:pt x="0" y="12700"/>
                                </a:moveTo>
                                <a:lnTo>
                                  <a:pt x="698500" y="12700"/>
                                </a:lnTo>
                                <a:lnTo>
                                  <a:pt x="6985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0" y="3175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5pt;margin-top:-1.441094pt;width:55pt;height:3pt;mso-position-horizontal-relative:page;mso-position-vertical-relative:paragraph;z-index:15754240" id="docshapegroup90" coordorigin="6630,-29" coordsize="1100,60">
                <v:rect style="position:absolute;left:6630;top:-29;width:1100;height:20" id="docshape91" filled="true" fillcolor="#000000" stroked="false">
                  <v:fill type="solid"/>
                </v:rect>
                <v:line style="position:absolute" from="6630,21" to="7730,21"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4959350</wp:posOffset>
                </wp:positionH>
                <wp:positionV relativeFrom="paragraph">
                  <wp:posOffset>-18301</wp:posOffset>
                </wp:positionV>
                <wp:extent cx="685800" cy="3810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685800" cy="38100"/>
                          <a:chExt cx="685800" cy="38100"/>
                        </a:xfrm>
                      </wpg:grpSpPr>
                      <wps:wsp>
                        <wps:cNvPr id="135" name="Graphic 135"/>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0" y="317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5pt;margin-top:-1.441094pt;width:54pt;height:3pt;mso-position-horizontal-relative:page;mso-position-vertical-relative:paragraph;z-index:15754752" id="docshapegroup92" coordorigin="7810,-29" coordsize="1080,60">
                <v:rect style="position:absolute;left:7810;top:-29;width:1080;height:20" id="docshape93" filled="true" fillcolor="#000000" stroked="false">
                  <v:fill type="solid"/>
                </v:rect>
                <v:line style="position:absolute" from="7810,21" to="8890,21" stroked="true" strokeweight="1pt" strokecolor="#000000">
                  <v:stroke dashstyle="solid"/>
                </v:line>
                <w10:wrap type="none"/>
              </v:group>
            </w:pict>
          </mc:Fallback>
        </mc:AlternateContent>
      </w:r>
      <w:r>
        <w:rPr>
          <w:spacing w:val="-2"/>
        </w:rPr>
        <w:t>Our</w:t>
      </w:r>
      <w:r>
        <w:rPr>
          <w:spacing w:val="-11"/>
        </w:rPr>
        <w:t> </w:t>
      </w:r>
      <w:r>
        <w:rPr>
          <w:spacing w:val="-2"/>
        </w:rPr>
        <w:t>subscription</w:t>
      </w:r>
      <w:r>
        <w:rPr>
          <w:spacing w:val="-10"/>
        </w:rPr>
        <w:t> </w:t>
      </w:r>
      <w:r>
        <w:rPr>
          <w:spacing w:val="-2"/>
        </w:rPr>
        <w:t>revenue</w:t>
      </w:r>
      <w:r>
        <w:rPr>
          <w:spacing w:val="-11"/>
        </w:rPr>
        <w:t> </w:t>
      </w:r>
      <w:r>
        <w:rPr>
          <w:spacing w:val="-2"/>
        </w:rPr>
        <w:t>is</w:t>
      </w:r>
      <w:r>
        <w:rPr>
          <w:spacing w:val="-10"/>
        </w:rPr>
        <w:t> </w:t>
      </w:r>
      <w:r>
        <w:rPr>
          <w:spacing w:val="-2"/>
        </w:rPr>
        <w:t>comprised</w:t>
      </w:r>
      <w:r>
        <w:rPr>
          <w:spacing w:val="-11"/>
        </w:rPr>
        <w:t> </w:t>
      </w:r>
      <w:r>
        <w:rPr>
          <w:spacing w:val="-2"/>
        </w:rPr>
        <w:t>primarily</w:t>
      </w:r>
      <w:r>
        <w:rPr>
          <w:spacing w:val="-10"/>
        </w:rPr>
        <w:t> </w:t>
      </w:r>
      <w:r>
        <w:rPr>
          <w:spacing w:val="-2"/>
        </w:rPr>
        <w:t>of</w:t>
      </w:r>
      <w:r>
        <w:rPr>
          <w:spacing w:val="-11"/>
        </w:rPr>
        <w:t> </w:t>
      </w:r>
      <w:r>
        <w:rPr>
          <w:spacing w:val="-2"/>
        </w:rPr>
        <w:t>fees</w:t>
      </w:r>
      <w:r>
        <w:rPr>
          <w:spacing w:val="-10"/>
        </w:rPr>
        <w:t> </w:t>
      </w:r>
      <w:r>
        <w:rPr>
          <w:spacing w:val="-2"/>
        </w:rPr>
        <w:t>we</w:t>
      </w:r>
      <w:r>
        <w:rPr>
          <w:spacing w:val="-11"/>
        </w:rPr>
        <w:t> </w:t>
      </w:r>
      <w:r>
        <w:rPr>
          <w:spacing w:val="-2"/>
        </w:rPr>
        <w:t>charge</w:t>
      </w:r>
      <w:r>
        <w:rPr>
          <w:spacing w:val="-10"/>
        </w:rPr>
        <w:t> </w:t>
      </w:r>
      <w:r>
        <w:rPr>
          <w:spacing w:val="-2"/>
        </w:rPr>
        <w:t>for</w:t>
      </w:r>
      <w:r>
        <w:rPr>
          <w:spacing w:val="-11"/>
        </w:rPr>
        <w:t> </w:t>
      </w:r>
      <w:r>
        <w:rPr>
          <w:spacing w:val="-2"/>
        </w:rPr>
        <w:t>our</w:t>
      </w:r>
      <w:r>
        <w:rPr>
          <w:spacing w:val="-10"/>
        </w:rPr>
        <w:t> </w:t>
      </w:r>
      <w:r>
        <w:rPr>
          <w:spacing w:val="-2"/>
        </w:rPr>
        <w:t>subscription</w:t>
      </w:r>
      <w:r>
        <w:rPr>
          <w:spacing w:val="-11"/>
        </w:rPr>
        <w:t> </w:t>
      </w:r>
      <w:r>
        <w:rPr>
          <w:spacing w:val="-2"/>
        </w:rPr>
        <w:t>and</w:t>
      </w:r>
      <w:r>
        <w:rPr>
          <w:spacing w:val="-10"/>
        </w:rPr>
        <w:t> </w:t>
      </w:r>
      <w:r>
        <w:rPr>
          <w:spacing w:val="-2"/>
        </w:rPr>
        <w:t>hosted</w:t>
      </w:r>
      <w:r>
        <w:rPr>
          <w:spacing w:val="-11"/>
        </w:rPr>
        <w:t> </w:t>
      </w:r>
      <w:r>
        <w:rPr>
          <w:spacing w:val="-2"/>
        </w:rPr>
        <w:t>service</w:t>
      </w:r>
      <w:r>
        <w:rPr>
          <w:spacing w:val="-10"/>
        </w:rPr>
        <w:t> </w:t>
      </w:r>
      <w:r>
        <w:rPr>
          <w:spacing w:val="-2"/>
        </w:rPr>
        <w:t>offerings</w:t>
      </w:r>
      <w:r>
        <w:rPr>
          <w:spacing w:val="-11"/>
        </w:rPr>
        <w:t> </w:t>
      </w:r>
      <w:r>
        <w:rPr>
          <w:spacing w:val="-2"/>
        </w:rPr>
        <w:t>including </w:t>
      </w:r>
      <w:r>
        <w:rPr/>
        <w:t>Creative Cloud and certain of our</w:t>
      </w:r>
      <w:r>
        <w:rPr>
          <w:spacing w:val="-7"/>
        </w:rPr>
        <w:t> </w:t>
      </w:r>
      <w:r>
        <w:rPr/>
        <w:t>Adobe Experience Cloud and Document Cloud services. We recognize subscription </w:t>
      </w:r>
      <w:r>
        <w:rPr/>
        <w:t>revenue ratably over the term of agreements with our customers, beginning with commencement of the service.</w:t>
      </w:r>
    </w:p>
    <w:p>
      <w:pPr>
        <w:pStyle w:val="BodyText"/>
        <w:spacing w:line="249" w:lineRule="auto" w:before="183"/>
        <w:ind w:left="220" w:right="257" w:firstLine="540"/>
        <w:jc w:val="both"/>
      </w:pPr>
      <w:r>
        <w:rPr/>
        <w:t>We have the following reportable segments—Digital Media, Digital Marketing and Print and Publishing. Subscription revenue by reportable segment for fiscal 2017, 2016 and 2015 is as follows (dollars in millions):</w:t>
      </w:r>
    </w:p>
    <w:p>
      <w:pPr>
        <w:pStyle w:val="BodyText"/>
        <w:spacing w:before="124"/>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0"/>
        <w:gridCol w:w="2137"/>
        <w:gridCol w:w="1180"/>
        <w:gridCol w:w="1224"/>
        <w:gridCol w:w="1214"/>
        <w:gridCol w:w="1097"/>
      </w:tblGrid>
      <w:tr>
        <w:trPr>
          <w:trHeight w:val="168" w:hRule="atLeast"/>
        </w:trPr>
        <w:tc>
          <w:tcPr>
            <w:tcW w:w="3390" w:type="dxa"/>
            <w:vMerge w:val="restart"/>
          </w:tcPr>
          <w:p>
            <w:pPr>
              <w:pStyle w:val="TableParagraph"/>
              <w:rPr>
                <w:sz w:val="18"/>
              </w:rPr>
            </w:pPr>
          </w:p>
        </w:tc>
        <w:tc>
          <w:tcPr>
            <w:tcW w:w="2137" w:type="dxa"/>
          </w:tcPr>
          <w:p>
            <w:pPr>
              <w:pStyle w:val="TableParagraph"/>
              <w:spacing w:line="149" w:lineRule="exact"/>
              <w:ind w:left="1370"/>
              <w:rPr>
                <w:b/>
                <w:sz w:val="16"/>
              </w:rPr>
            </w:pPr>
            <w:r>
              <w:rPr>
                <w:b/>
                <w:spacing w:val="-2"/>
                <w:sz w:val="16"/>
              </w:rPr>
              <w:t>Fiscal</w:t>
            </w:r>
          </w:p>
        </w:tc>
        <w:tc>
          <w:tcPr>
            <w:tcW w:w="1180" w:type="dxa"/>
          </w:tcPr>
          <w:p>
            <w:pPr>
              <w:pStyle w:val="TableParagraph"/>
              <w:spacing w:line="149" w:lineRule="exact"/>
              <w:ind w:left="392"/>
              <w:rPr>
                <w:b/>
                <w:sz w:val="16"/>
              </w:rPr>
            </w:pPr>
            <w:r>
              <w:rPr>
                <w:b/>
                <w:spacing w:val="-2"/>
                <w:sz w:val="16"/>
              </w:rPr>
              <w:t>Fiscal</w:t>
            </w:r>
          </w:p>
        </w:tc>
        <w:tc>
          <w:tcPr>
            <w:tcW w:w="1224" w:type="dxa"/>
          </w:tcPr>
          <w:p>
            <w:pPr>
              <w:pStyle w:val="TableParagraph"/>
              <w:spacing w:line="149" w:lineRule="exact"/>
              <w:ind w:left="382"/>
              <w:rPr>
                <w:b/>
                <w:sz w:val="16"/>
              </w:rPr>
            </w:pPr>
            <w:r>
              <w:rPr>
                <w:b/>
                <w:spacing w:val="-2"/>
                <w:sz w:val="16"/>
              </w:rPr>
              <w:t>Fiscal</w:t>
            </w:r>
          </w:p>
        </w:tc>
        <w:tc>
          <w:tcPr>
            <w:tcW w:w="1214" w:type="dxa"/>
          </w:tcPr>
          <w:p>
            <w:pPr>
              <w:pStyle w:val="TableParagraph"/>
              <w:spacing w:line="149" w:lineRule="exact"/>
              <w:ind w:left="166"/>
              <w:rPr>
                <w:b/>
                <w:sz w:val="16"/>
              </w:rPr>
            </w:pPr>
            <w:r>
              <w:rPr>
                <w:b/>
                <w:sz w:val="16"/>
              </w:rPr>
              <w:t>% </w:t>
            </w:r>
            <w:r>
              <w:rPr>
                <w:b/>
                <w:spacing w:val="-2"/>
                <w:sz w:val="16"/>
              </w:rPr>
              <w:t>Change</w:t>
            </w:r>
          </w:p>
        </w:tc>
        <w:tc>
          <w:tcPr>
            <w:tcW w:w="1097" w:type="dxa"/>
          </w:tcPr>
          <w:p>
            <w:pPr>
              <w:pStyle w:val="TableParagraph"/>
              <w:spacing w:line="149" w:lineRule="exact"/>
              <w:ind w:left="132"/>
              <w:rPr>
                <w:b/>
                <w:sz w:val="16"/>
              </w:rPr>
            </w:pPr>
            <w:r>
              <w:rPr>
                <w:b/>
                <w:sz w:val="16"/>
              </w:rPr>
              <w:t>% </w:t>
            </w:r>
            <w:r>
              <w:rPr>
                <w:b/>
                <w:spacing w:val="-2"/>
                <w:sz w:val="16"/>
              </w:rPr>
              <w:t>Change</w:t>
            </w:r>
          </w:p>
        </w:tc>
      </w:tr>
      <w:tr>
        <w:trPr>
          <w:trHeight w:val="205" w:hRule="atLeast"/>
        </w:trPr>
        <w:tc>
          <w:tcPr>
            <w:tcW w:w="3390" w:type="dxa"/>
            <w:vMerge/>
            <w:tcBorders>
              <w:top w:val="nil"/>
            </w:tcBorders>
          </w:tcPr>
          <w:p>
            <w:pPr>
              <w:rPr>
                <w:sz w:val="2"/>
                <w:szCs w:val="2"/>
              </w:rPr>
            </w:pPr>
          </w:p>
        </w:tc>
        <w:tc>
          <w:tcPr>
            <w:tcW w:w="2137" w:type="dxa"/>
            <w:tcBorders>
              <w:bottom w:val="single" w:sz="8" w:space="0" w:color="000000"/>
            </w:tcBorders>
          </w:tcPr>
          <w:p>
            <w:pPr>
              <w:pStyle w:val="TableParagraph"/>
              <w:spacing w:line="169" w:lineRule="exact"/>
              <w:ind w:left="1410"/>
              <w:rPr>
                <w:b/>
                <w:sz w:val="16"/>
              </w:rPr>
            </w:pPr>
            <w:r>
              <w:rPr>
                <w:b/>
                <w:spacing w:val="-4"/>
                <w:sz w:val="16"/>
              </w:rPr>
              <w:t>2017</w:t>
            </w:r>
          </w:p>
        </w:tc>
        <w:tc>
          <w:tcPr>
            <w:tcW w:w="1180" w:type="dxa"/>
            <w:tcBorders>
              <w:bottom w:val="single" w:sz="8" w:space="0" w:color="000000"/>
            </w:tcBorders>
          </w:tcPr>
          <w:p>
            <w:pPr>
              <w:pStyle w:val="TableParagraph"/>
              <w:spacing w:line="169" w:lineRule="exact"/>
              <w:ind w:left="65" w:right="59"/>
              <w:jc w:val="center"/>
              <w:rPr>
                <w:b/>
                <w:sz w:val="16"/>
              </w:rPr>
            </w:pPr>
            <w:r>
              <w:rPr>
                <w:b/>
                <w:spacing w:val="-4"/>
                <w:sz w:val="16"/>
              </w:rPr>
              <w:t>2016</w:t>
            </w:r>
          </w:p>
        </w:tc>
        <w:tc>
          <w:tcPr>
            <w:tcW w:w="1224" w:type="dxa"/>
            <w:tcBorders>
              <w:bottom w:val="single" w:sz="8" w:space="0" w:color="000000"/>
            </w:tcBorders>
          </w:tcPr>
          <w:p>
            <w:pPr>
              <w:pStyle w:val="TableParagraph"/>
              <w:spacing w:line="169" w:lineRule="exact"/>
              <w:ind w:right="57"/>
              <w:jc w:val="center"/>
              <w:rPr>
                <w:b/>
                <w:sz w:val="16"/>
              </w:rPr>
            </w:pPr>
            <w:r>
              <w:rPr>
                <w:b/>
                <w:spacing w:val="-4"/>
                <w:sz w:val="16"/>
              </w:rPr>
              <w:t>2015</w:t>
            </w:r>
          </w:p>
        </w:tc>
        <w:tc>
          <w:tcPr>
            <w:tcW w:w="1214" w:type="dxa"/>
            <w:tcBorders>
              <w:bottom w:val="single" w:sz="8" w:space="0" w:color="000000"/>
            </w:tcBorders>
          </w:tcPr>
          <w:p>
            <w:pPr>
              <w:pStyle w:val="TableParagraph"/>
              <w:spacing w:line="169" w:lineRule="exact"/>
              <w:ind w:left="181"/>
              <w:rPr>
                <w:b/>
                <w:sz w:val="16"/>
              </w:rPr>
            </w:pPr>
            <w:r>
              <w:rPr>
                <w:b/>
                <w:sz w:val="16"/>
              </w:rPr>
              <w:t>2017-</w:t>
            </w:r>
            <w:r>
              <w:rPr>
                <w:b/>
                <w:spacing w:val="-4"/>
                <w:sz w:val="16"/>
              </w:rPr>
              <w:t>2016</w:t>
            </w:r>
          </w:p>
        </w:tc>
        <w:tc>
          <w:tcPr>
            <w:tcW w:w="1097" w:type="dxa"/>
            <w:tcBorders>
              <w:bottom w:val="single" w:sz="8" w:space="0" w:color="000000"/>
            </w:tcBorders>
          </w:tcPr>
          <w:p>
            <w:pPr>
              <w:pStyle w:val="TableParagraph"/>
              <w:spacing w:line="169" w:lineRule="exact"/>
              <w:ind w:left="147"/>
              <w:rPr>
                <w:b/>
                <w:sz w:val="16"/>
              </w:rPr>
            </w:pPr>
            <w:r>
              <w:rPr>
                <w:b/>
                <w:sz w:val="16"/>
              </w:rPr>
              <w:t>2016-</w:t>
            </w:r>
            <w:r>
              <w:rPr>
                <w:b/>
                <w:spacing w:val="-4"/>
                <w:sz w:val="16"/>
              </w:rPr>
              <w:t>2015</w:t>
            </w:r>
          </w:p>
        </w:tc>
      </w:tr>
      <w:tr>
        <w:trPr>
          <w:trHeight w:val="270" w:hRule="atLeast"/>
        </w:trPr>
        <w:tc>
          <w:tcPr>
            <w:tcW w:w="3390" w:type="dxa"/>
            <w:shd w:val="clear" w:color="auto" w:fill="CCEDFF"/>
          </w:tcPr>
          <w:p>
            <w:pPr>
              <w:pStyle w:val="TableParagraph"/>
              <w:spacing w:line="222" w:lineRule="exact"/>
              <w:ind w:left="50"/>
              <w:rPr>
                <w:sz w:val="20"/>
              </w:rPr>
            </w:pPr>
            <w:r>
              <w:rPr>
                <w:sz w:val="20"/>
              </w:rPr>
              <w:t>Digital </w:t>
            </w:r>
            <w:r>
              <w:rPr>
                <w:spacing w:val="-2"/>
                <w:sz w:val="20"/>
              </w:rPr>
              <w:t>Media</w:t>
            </w:r>
          </w:p>
        </w:tc>
        <w:tc>
          <w:tcPr>
            <w:tcW w:w="2137" w:type="dxa"/>
            <w:tcBorders>
              <w:top w:val="single" w:sz="8" w:space="0" w:color="000000"/>
            </w:tcBorders>
            <w:shd w:val="clear" w:color="auto" w:fill="CCEDFF"/>
          </w:tcPr>
          <w:p>
            <w:pPr>
              <w:pStyle w:val="TableParagraph"/>
              <w:tabs>
                <w:tab w:pos="332" w:val="left" w:leader="none"/>
              </w:tabs>
              <w:spacing w:line="222" w:lineRule="exact"/>
              <w:ind w:right="103"/>
              <w:jc w:val="right"/>
              <w:rPr>
                <w:sz w:val="20"/>
              </w:rPr>
            </w:pPr>
            <w:r>
              <w:rPr>
                <w:spacing w:val="-10"/>
                <w:sz w:val="20"/>
              </w:rPr>
              <w:t>$</w:t>
            </w:r>
            <w:r>
              <w:rPr>
                <w:sz w:val="20"/>
              </w:rPr>
              <w:tab/>
            </w:r>
            <w:r>
              <w:rPr>
                <w:spacing w:val="-2"/>
                <w:sz w:val="20"/>
              </w:rPr>
              <w:t>4,480.8</w:t>
            </w:r>
          </w:p>
        </w:tc>
        <w:tc>
          <w:tcPr>
            <w:tcW w:w="1180" w:type="dxa"/>
            <w:tcBorders>
              <w:top w:val="single" w:sz="8" w:space="0" w:color="000000"/>
            </w:tcBorders>
            <w:shd w:val="clear" w:color="auto" w:fill="CCEDFF"/>
          </w:tcPr>
          <w:p>
            <w:pPr>
              <w:pStyle w:val="TableParagraph"/>
              <w:tabs>
                <w:tab w:pos="372" w:val="left" w:leader="none"/>
              </w:tabs>
              <w:spacing w:line="222" w:lineRule="exact"/>
              <w:ind w:right="103"/>
              <w:jc w:val="right"/>
              <w:rPr>
                <w:sz w:val="20"/>
              </w:rPr>
            </w:pPr>
            <w:r>
              <w:rPr>
                <w:spacing w:val="-10"/>
                <w:sz w:val="20"/>
              </w:rPr>
              <w:t>$</w:t>
            </w:r>
            <w:r>
              <w:rPr>
                <w:sz w:val="20"/>
              </w:rPr>
              <w:tab/>
            </w:r>
            <w:r>
              <w:rPr>
                <w:spacing w:val="-2"/>
                <w:sz w:val="20"/>
              </w:rPr>
              <w:t>3,370.8</w:t>
            </w:r>
          </w:p>
        </w:tc>
        <w:tc>
          <w:tcPr>
            <w:tcW w:w="1224" w:type="dxa"/>
            <w:tcBorders>
              <w:top w:val="single" w:sz="8" w:space="0" w:color="000000"/>
            </w:tcBorders>
            <w:shd w:val="clear" w:color="auto" w:fill="CCEDFF"/>
          </w:tcPr>
          <w:p>
            <w:pPr>
              <w:pStyle w:val="TableParagraph"/>
              <w:tabs>
                <w:tab w:pos="352" w:val="left" w:leader="none"/>
              </w:tabs>
              <w:spacing w:line="222" w:lineRule="exact"/>
              <w:ind w:right="167"/>
              <w:jc w:val="right"/>
              <w:rPr>
                <w:sz w:val="20"/>
              </w:rPr>
            </w:pPr>
            <w:r>
              <w:rPr>
                <w:spacing w:val="-10"/>
                <w:sz w:val="20"/>
              </w:rPr>
              <w:t>$</w:t>
            </w:r>
            <w:r>
              <w:rPr>
                <w:sz w:val="20"/>
              </w:rPr>
              <w:tab/>
            </w:r>
            <w:r>
              <w:rPr>
                <w:spacing w:val="-2"/>
                <w:sz w:val="20"/>
              </w:rPr>
              <w:t>2,264.7</w:t>
            </w:r>
          </w:p>
        </w:tc>
        <w:tc>
          <w:tcPr>
            <w:tcW w:w="1214" w:type="dxa"/>
            <w:tcBorders>
              <w:top w:val="single" w:sz="8" w:space="0" w:color="000000"/>
            </w:tcBorders>
            <w:shd w:val="clear" w:color="auto" w:fill="CCEDFF"/>
          </w:tcPr>
          <w:p>
            <w:pPr>
              <w:pStyle w:val="TableParagraph"/>
              <w:spacing w:line="222" w:lineRule="exact"/>
              <w:ind w:right="133"/>
              <w:jc w:val="right"/>
              <w:rPr>
                <w:sz w:val="20"/>
              </w:rPr>
            </w:pPr>
            <w:r>
              <w:rPr>
                <w:spacing w:val="-5"/>
                <w:sz w:val="20"/>
              </w:rPr>
              <w:t>33%</w:t>
            </w:r>
          </w:p>
        </w:tc>
        <w:tc>
          <w:tcPr>
            <w:tcW w:w="1097" w:type="dxa"/>
            <w:tcBorders>
              <w:top w:val="single" w:sz="8" w:space="0" w:color="000000"/>
            </w:tcBorders>
            <w:shd w:val="clear" w:color="auto" w:fill="CCEDFF"/>
          </w:tcPr>
          <w:p>
            <w:pPr>
              <w:pStyle w:val="TableParagraph"/>
              <w:spacing w:line="222" w:lineRule="exact"/>
              <w:ind w:right="50"/>
              <w:jc w:val="right"/>
              <w:rPr>
                <w:sz w:val="20"/>
              </w:rPr>
            </w:pPr>
            <w:r>
              <w:rPr>
                <w:spacing w:val="-5"/>
                <w:sz w:val="20"/>
              </w:rPr>
              <w:t>49%</w:t>
            </w:r>
          </w:p>
        </w:tc>
      </w:tr>
      <w:tr>
        <w:trPr>
          <w:trHeight w:val="280" w:hRule="atLeast"/>
        </w:trPr>
        <w:tc>
          <w:tcPr>
            <w:tcW w:w="3390" w:type="dxa"/>
          </w:tcPr>
          <w:p>
            <w:pPr>
              <w:pStyle w:val="TableParagraph"/>
              <w:spacing w:before="2"/>
              <w:ind w:left="50"/>
              <w:rPr>
                <w:sz w:val="20"/>
              </w:rPr>
            </w:pPr>
            <w:r>
              <w:rPr>
                <w:sz w:val="20"/>
              </w:rPr>
              <w:t>Digital </w:t>
            </w:r>
            <w:r>
              <w:rPr>
                <w:spacing w:val="-2"/>
                <w:sz w:val="20"/>
              </w:rPr>
              <w:t>Marketing</w:t>
            </w:r>
          </w:p>
        </w:tc>
        <w:tc>
          <w:tcPr>
            <w:tcW w:w="2137" w:type="dxa"/>
          </w:tcPr>
          <w:p>
            <w:pPr>
              <w:pStyle w:val="TableParagraph"/>
              <w:spacing w:before="2"/>
              <w:ind w:right="103"/>
              <w:jc w:val="right"/>
              <w:rPr>
                <w:sz w:val="20"/>
              </w:rPr>
            </w:pPr>
            <w:r>
              <w:rPr>
                <w:spacing w:val="-2"/>
                <w:sz w:val="20"/>
              </w:rPr>
              <w:t>1,609.5</w:t>
            </w:r>
          </w:p>
        </w:tc>
        <w:tc>
          <w:tcPr>
            <w:tcW w:w="1180" w:type="dxa"/>
          </w:tcPr>
          <w:p>
            <w:pPr>
              <w:pStyle w:val="TableParagraph"/>
              <w:spacing w:before="2"/>
              <w:ind w:right="103"/>
              <w:jc w:val="right"/>
              <w:rPr>
                <w:sz w:val="20"/>
              </w:rPr>
            </w:pPr>
            <w:r>
              <w:rPr>
                <w:spacing w:val="-2"/>
                <w:sz w:val="20"/>
              </w:rPr>
              <w:t>1,180.4</w:t>
            </w:r>
          </w:p>
        </w:tc>
        <w:tc>
          <w:tcPr>
            <w:tcW w:w="1224" w:type="dxa"/>
          </w:tcPr>
          <w:p>
            <w:pPr>
              <w:pStyle w:val="TableParagraph"/>
              <w:spacing w:before="2"/>
              <w:ind w:right="167"/>
              <w:jc w:val="right"/>
              <w:rPr>
                <w:sz w:val="20"/>
              </w:rPr>
            </w:pPr>
            <w:r>
              <w:rPr>
                <w:spacing w:val="-2"/>
                <w:sz w:val="20"/>
              </w:rPr>
              <w:t>937.0</w:t>
            </w:r>
          </w:p>
        </w:tc>
        <w:tc>
          <w:tcPr>
            <w:tcW w:w="1214" w:type="dxa"/>
          </w:tcPr>
          <w:p>
            <w:pPr>
              <w:pStyle w:val="TableParagraph"/>
              <w:spacing w:before="2"/>
              <w:ind w:right="133"/>
              <w:jc w:val="right"/>
              <w:rPr>
                <w:sz w:val="20"/>
              </w:rPr>
            </w:pPr>
            <w:r>
              <w:rPr>
                <w:spacing w:val="-5"/>
                <w:sz w:val="20"/>
              </w:rPr>
              <w:t>36%</w:t>
            </w:r>
          </w:p>
        </w:tc>
        <w:tc>
          <w:tcPr>
            <w:tcW w:w="1097" w:type="dxa"/>
          </w:tcPr>
          <w:p>
            <w:pPr>
              <w:pStyle w:val="TableParagraph"/>
              <w:spacing w:before="2"/>
              <w:ind w:right="50"/>
              <w:jc w:val="right"/>
              <w:rPr>
                <w:sz w:val="20"/>
              </w:rPr>
            </w:pPr>
            <w:r>
              <w:rPr>
                <w:spacing w:val="-5"/>
                <w:sz w:val="20"/>
              </w:rPr>
              <w:t>26%</w:t>
            </w:r>
          </w:p>
        </w:tc>
      </w:tr>
      <w:tr>
        <w:trPr>
          <w:trHeight w:val="269" w:hRule="atLeast"/>
        </w:trPr>
        <w:tc>
          <w:tcPr>
            <w:tcW w:w="3390" w:type="dxa"/>
            <w:shd w:val="clear" w:color="auto" w:fill="CCEDFF"/>
          </w:tcPr>
          <w:p>
            <w:pPr>
              <w:pStyle w:val="TableParagraph"/>
              <w:spacing w:before="2"/>
              <w:ind w:left="50"/>
              <w:rPr>
                <w:sz w:val="20"/>
              </w:rPr>
            </w:pPr>
            <w:r>
              <w:rPr>
                <w:sz w:val="20"/>
              </w:rPr>
              <w:t>Print and </w:t>
            </w:r>
            <w:r>
              <w:rPr>
                <w:spacing w:val="-2"/>
                <w:sz w:val="20"/>
              </w:rPr>
              <w:t>Publishing</w:t>
            </w:r>
          </w:p>
        </w:tc>
        <w:tc>
          <w:tcPr>
            <w:tcW w:w="2137" w:type="dxa"/>
            <w:tcBorders>
              <w:bottom w:val="single" w:sz="8" w:space="0" w:color="000000"/>
            </w:tcBorders>
            <w:shd w:val="clear" w:color="auto" w:fill="CCEDFF"/>
          </w:tcPr>
          <w:p>
            <w:pPr>
              <w:pStyle w:val="TableParagraph"/>
              <w:spacing w:before="2"/>
              <w:ind w:right="103"/>
              <w:jc w:val="right"/>
              <w:rPr>
                <w:sz w:val="20"/>
              </w:rPr>
            </w:pPr>
            <w:r>
              <w:rPr>
                <w:spacing w:val="-4"/>
                <w:sz w:val="20"/>
              </w:rPr>
              <w:t>43.6</w:t>
            </w:r>
          </w:p>
        </w:tc>
        <w:tc>
          <w:tcPr>
            <w:tcW w:w="1180" w:type="dxa"/>
            <w:tcBorders>
              <w:bottom w:val="single" w:sz="8" w:space="0" w:color="000000"/>
            </w:tcBorders>
            <w:shd w:val="clear" w:color="auto" w:fill="CCEDFF"/>
          </w:tcPr>
          <w:p>
            <w:pPr>
              <w:pStyle w:val="TableParagraph"/>
              <w:spacing w:before="2"/>
              <w:ind w:right="103"/>
              <w:jc w:val="right"/>
              <w:rPr>
                <w:sz w:val="20"/>
              </w:rPr>
            </w:pPr>
            <w:r>
              <w:rPr>
                <w:spacing w:val="-4"/>
                <w:sz w:val="20"/>
              </w:rPr>
              <w:t>33.6</w:t>
            </w:r>
          </w:p>
        </w:tc>
        <w:tc>
          <w:tcPr>
            <w:tcW w:w="1224" w:type="dxa"/>
            <w:tcBorders>
              <w:bottom w:val="single" w:sz="8" w:space="0" w:color="000000"/>
            </w:tcBorders>
            <w:shd w:val="clear" w:color="auto" w:fill="CCEDFF"/>
          </w:tcPr>
          <w:p>
            <w:pPr>
              <w:pStyle w:val="TableParagraph"/>
              <w:spacing w:before="2"/>
              <w:ind w:right="167"/>
              <w:jc w:val="right"/>
              <w:rPr>
                <w:sz w:val="20"/>
              </w:rPr>
            </w:pPr>
            <w:r>
              <w:rPr>
                <w:spacing w:val="-4"/>
                <w:sz w:val="20"/>
              </w:rPr>
              <w:t>22.2</w:t>
            </w:r>
          </w:p>
        </w:tc>
        <w:tc>
          <w:tcPr>
            <w:tcW w:w="1214" w:type="dxa"/>
            <w:shd w:val="clear" w:color="auto" w:fill="CCEDFF"/>
          </w:tcPr>
          <w:p>
            <w:pPr>
              <w:pStyle w:val="TableParagraph"/>
              <w:spacing w:before="2"/>
              <w:ind w:right="133"/>
              <w:jc w:val="right"/>
              <w:rPr>
                <w:sz w:val="20"/>
              </w:rPr>
            </w:pPr>
            <w:r>
              <w:rPr>
                <w:spacing w:val="-5"/>
                <w:sz w:val="20"/>
              </w:rPr>
              <w:t>30%</w:t>
            </w:r>
          </w:p>
        </w:tc>
        <w:tc>
          <w:tcPr>
            <w:tcW w:w="1097" w:type="dxa"/>
            <w:shd w:val="clear" w:color="auto" w:fill="CCEDFF"/>
          </w:tcPr>
          <w:p>
            <w:pPr>
              <w:pStyle w:val="TableParagraph"/>
              <w:spacing w:before="2"/>
              <w:ind w:right="50"/>
              <w:jc w:val="right"/>
              <w:rPr>
                <w:sz w:val="20"/>
              </w:rPr>
            </w:pPr>
            <w:r>
              <w:rPr>
                <w:spacing w:val="-5"/>
                <w:sz w:val="20"/>
              </w:rPr>
              <w:t>51%</w:t>
            </w:r>
          </w:p>
        </w:tc>
      </w:tr>
      <w:tr>
        <w:trPr>
          <w:trHeight w:val="221" w:hRule="atLeast"/>
        </w:trPr>
        <w:tc>
          <w:tcPr>
            <w:tcW w:w="3390" w:type="dxa"/>
          </w:tcPr>
          <w:p>
            <w:pPr>
              <w:pStyle w:val="TableParagraph"/>
              <w:spacing w:line="202" w:lineRule="exact"/>
              <w:ind w:left="170"/>
              <w:rPr>
                <w:sz w:val="20"/>
              </w:rPr>
            </w:pPr>
            <w:r>
              <w:rPr>
                <w:sz w:val="20"/>
              </w:rPr>
              <w:t>Total</w:t>
            </w:r>
            <w:r>
              <w:rPr>
                <w:spacing w:val="-9"/>
                <w:sz w:val="20"/>
              </w:rPr>
              <w:t> </w:t>
            </w:r>
            <w:r>
              <w:rPr>
                <w:sz w:val="20"/>
              </w:rPr>
              <w:t>subscription</w:t>
            </w:r>
            <w:r>
              <w:rPr>
                <w:spacing w:val="-7"/>
                <w:sz w:val="20"/>
              </w:rPr>
              <w:t> </w:t>
            </w:r>
            <w:r>
              <w:rPr>
                <w:spacing w:val="-2"/>
                <w:sz w:val="20"/>
              </w:rPr>
              <w:t>revenue</w:t>
            </w:r>
          </w:p>
        </w:tc>
        <w:tc>
          <w:tcPr>
            <w:tcW w:w="2137" w:type="dxa"/>
            <w:tcBorders>
              <w:top w:val="single" w:sz="8" w:space="0" w:color="000000"/>
            </w:tcBorders>
          </w:tcPr>
          <w:p>
            <w:pPr>
              <w:pStyle w:val="TableParagraph"/>
              <w:tabs>
                <w:tab w:pos="332" w:val="left" w:leader="none"/>
              </w:tabs>
              <w:spacing w:line="202" w:lineRule="exact"/>
              <w:ind w:right="103"/>
              <w:jc w:val="right"/>
              <w:rPr>
                <w:sz w:val="20"/>
              </w:rPr>
            </w:pPr>
            <w:r>
              <w:rPr>
                <w:spacing w:val="-10"/>
                <w:sz w:val="20"/>
              </w:rPr>
              <w:t>$</w:t>
            </w:r>
            <w:r>
              <w:rPr>
                <w:sz w:val="20"/>
              </w:rPr>
              <w:tab/>
            </w:r>
            <w:r>
              <w:rPr>
                <w:spacing w:val="-2"/>
                <w:sz w:val="20"/>
              </w:rPr>
              <w:t>6,133.9</w:t>
            </w:r>
          </w:p>
        </w:tc>
        <w:tc>
          <w:tcPr>
            <w:tcW w:w="1180" w:type="dxa"/>
            <w:tcBorders>
              <w:top w:val="single" w:sz="8" w:space="0" w:color="000000"/>
            </w:tcBorders>
          </w:tcPr>
          <w:p>
            <w:pPr>
              <w:pStyle w:val="TableParagraph"/>
              <w:tabs>
                <w:tab w:pos="372" w:val="left" w:leader="none"/>
              </w:tabs>
              <w:spacing w:line="202" w:lineRule="exact"/>
              <w:ind w:right="103"/>
              <w:jc w:val="right"/>
              <w:rPr>
                <w:sz w:val="20"/>
              </w:rPr>
            </w:pPr>
            <w:r>
              <w:rPr>
                <w:spacing w:val="-10"/>
                <w:sz w:val="20"/>
              </w:rPr>
              <w:t>$</w:t>
            </w:r>
            <w:r>
              <w:rPr>
                <w:sz w:val="20"/>
              </w:rPr>
              <w:tab/>
            </w:r>
            <w:r>
              <w:rPr>
                <w:spacing w:val="-2"/>
                <w:sz w:val="20"/>
              </w:rPr>
              <w:t>4,584.8</w:t>
            </w:r>
          </w:p>
        </w:tc>
        <w:tc>
          <w:tcPr>
            <w:tcW w:w="1224" w:type="dxa"/>
            <w:tcBorders>
              <w:top w:val="single" w:sz="8" w:space="0" w:color="000000"/>
            </w:tcBorders>
          </w:tcPr>
          <w:p>
            <w:pPr>
              <w:pStyle w:val="TableParagraph"/>
              <w:tabs>
                <w:tab w:pos="352" w:val="left" w:leader="none"/>
              </w:tabs>
              <w:spacing w:line="202" w:lineRule="exact"/>
              <w:ind w:right="167"/>
              <w:jc w:val="right"/>
              <w:rPr>
                <w:sz w:val="20"/>
              </w:rPr>
            </w:pPr>
            <w:r>
              <w:rPr>
                <w:spacing w:val="-10"/>
                <w:sz w:val="20"/>
              </w:rPr>
              <w:t>$</w:t>
            </w:r>
            <w:r>
              <w:rPr>
                <w:sz w:val="20"/>
              </w:rPr>
              <w:tab/>
            </w:r>
            <w:r>
              <w:rPr>
                <w:spacing w:val="-2"/>
                <w:sz w:val="20"/>
              </w:rPr>
              <w:t>3,223.9</w:t>
            </w:r>
          </w:p>
        </w:tc>
        <w:tc>
          <w:tcPr>
            <w:tcW w:w="1214" w:type="dxa"/>
          </w:tcPr>
          <w:p>
            <w:pPr>
              <w:pStyle w:val="TableParagraph"/>
              <w:spacing w:line="202" w:lineRule="exact"/>
              <w:ind w:right="133"/>
              <w:jc w:val="right"/>
              <w:rPr>
                <w:sz w:val="20"/>
              </w:rPr>
            </w:pPr>
            <w:r>
              <w:rPr>
                <w:spacing w:val="-5"/>
                <w:sz w:val="20"/>
              </w:rPr>
              <w:t>34%</w:t>
            </w:r>
          </w:p>
        </w:tc>
        <w:tc>
          <w:tcPr>
            <w:tcW w:w="1097" w:type="dxa"/>
          </w:tcPr>
          <w:p>
            <w:pPr>
              <w:pStyle w:val="TableParagraph"/>
              <w:spacing w:line="202" w:lineRule="exact"/>
              <w:ind w:right="50"/>
              <w:jc w:val="right"/>
              <w:rPr>
                <w:sz w:val="20"/>
              </w:rPr>
            </w:pPr>
            <w:r>
              <w:rPr>
                <w:spacing w:val="-5"/>
                <w:sz w:val="20"/>
              </w:rPr>
              <w:t>42%</w:t>
            </w:r>
          </w:p>
        </w:tc>
      </w:tr>
    </w:tbl>
    <w:p>
      <w:pPr>
        <w:spacing w:line="60" w:lineRule="exact"/>
        <w:ind w:left="4660" w:right="0" w:firstLine="0"/>
        <w:jc w:val="left"/>
        <w:rPr>
          <w:sz w:val="6"/>
        </w:rPr>
      </w:pPr>
      <w:r>
        <w:rPr>
          <w:position w:val="0"/>
          <w:sz w:val="6"/>
        </w:rPr>
        <mc:AlternateContent>
          <mc:Choice Requires="wps">
            <w:drawing>
              <wp:inline distT="0" distB="0" distL="0" distR="0">
                <wp:extent cx="673100" cy="38100"/>
                <wp:effectExtent l="9525" t="0" r="3175" b="0"/>
                <wp:docPr id="137" name="Group 137"/>
                <wp:cNvGraphicFramePr>
                  <a:graphicFrameLocks/>
                </wp:cNvGraphicFramePr>
                <a:graphic>
                  <a:graphicData uri="http://schemas.microsoft.com/office/word/2010/wordprocessingGroup">
                    <wpg:wgp>
                      <wpg:cNvPr id="137" name="Group 137"/>
                      <wpg:cNvGrpSpPr/>
                      <wpg:grpSpPr>
                        <a:xfrm>
                          <a:off x="0" y="0"/>
                          <a:ext cx="673100" cy="38100"/>
                          <a:chExt cx="673100" cy="38100"/>
                        </a:xfrm>
                      </wpg:grpSpPr>
                      <wps:wsp>
                        <wps:cNvPr id="138" name="Graphic 138"/>
                        <wps:cNvSpPr/>
                        <wps:spPr>
                          <a:xfrm>
                            <a:off x="0" y="6350"/>
                            <a:ext cx="673100" cy="25400"/>
                          </a:xfrm>
                          <a:custGeom>
                            <a:avLst/>
                            <a:gdLst/>
                            <a:ahLst/>
                            <a:cxnLst/>
                            <a:rect l="l" t="t" r="r" b="b"/>
                            <a:pathLst>
                              <a:path w="673100" h="25400">
                                <a:moveTo>
                                  <a:pt x="0" y="0"/>
                                </a:moveTo>
                                <a:lnTo>
                                  <a:pt x="673100" y="0"/>
                                </a:lnTo>
                              </a:path>
                              <a:path w="673100" h="25400">
                                <a:moveTo>
                                  <a:pt x="0" y="25400"/>
                                </a:moveTo>
                                <a:lnTo>
                                  <a:pt x="6731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3pt;mso-position-horizontal-relative:char;mso-position-vertical-relative:line" id="docshapegroup94" coordorigin="0,0" coordsize="1060,60">
                <v:shape style="position:absolute;left:0;top:10;width:1060;height:40" id="docshape95" coordorigin="0,10" coordsize="1060,40" path="m0,10l1060,10m0,50l1060,50e" filled="false" stroked="true" strokeweight="1pt" strokecolor="#000000">
                  <v:path arrowok="t"/>
                  <v:stroke dashstyle="solid"/>
                </v:shape>
              </v:group>
            </w:pict>
          </mc:Fallback>
        </mc:AlternateContent>
      </w:r>
      <w:r>
        <w:rPr>
          <w:position w:val="0"/>
          <w:sz w:val="6"/>
        </w:rPr>
      </w:r>
      <w:r>
        <w:rPr>
          <w:spacing w:val="30"/>
          <w:position w:val="0"/>
          <w:sz w:val="6"/>
        </w:rPr>
        <w:t> </w:t>
      </w:r>
      <w:r>
        <w:rPr>
          <w:spacing w:val="30"/>
          <w:position w:val="0"/>
          <w:sz w:val="6"/>
        </w:rPr>
        <mc:AlternateContent>
          <mc:Choice Requires="wps">
            <w:drawing>
              <wp:inline distT="0" distB="0" distL="0" distR="0">
                <wp:extent cx="698500" cy="38100"/>
                <wp:effectExtent l="9525" t="0" r="6350" b="0"/>
                <wp:docPr id="139" name="Group 139"/>
                <wp:cNvGraphicFramePr>
                  <a:graphicFrameLocks/>
                </wp:cNvGraphicFramePr>
                <a:graphic>
                  <a:graphicData uri="http://schemas.microsoft.com/office/word/2010/wordprocessingGroup">
                    <wpg:wgp>
                      <wpg:cNvPr id="139" name="Group 139"/>
                      <wpg:cNvGrpSpPr/>
                      <wpg:grpSpPr>
                        <a:xfrm>
                          <a:off x="0" y="0"/>
                          <a:ext cx="698500" cy="38100"/>
                          <a:chExt cx="698500" cy="38100"/>
                        </a:xfrm>
                      </wpg:grpSpPr>
                      <wps:wsp>
                        <wps:cNvPr id="140" name="Graphic 140"/>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3pt;mso-position-horizontal-relative:char;mso-position-vertical-relative:line" id="docshapegroup96" coordorigin="0,0" coordsize="1100,60">
                <v:shape style="position:absolute;left:0;top:10;width:1100;height:40" id="docshape97" coordorigin="0,10" coordsize="1100,40" path="m0,10l1100,10m0,50l1100,50e" filled="false" stroked="true" strokeweight="1pt" strokecolor="#000000">
                  <v:path arrowok="t"/>
                  <v:stroke dashstyle="solid"/>
                </v:shape>
              </v:group>
            </w:pict>
          </mc:Fallback>
        </mc:AlternateContent>
      </w:r>
      <w:r>
        <w:rPr>
          <w:spacing w:val="30"/>
          <w:position w:val="0"/>
          <w:sz w:val="6"/>
        </w:rPr>
      </w:r>
      <w:r>
        <w:rPr>
          <w:spacing w:val="40"/>
          <w:position w:val="0"/>
          <w:sz w:val="6"/>
        </w:rPr>
        <w:t> </w:t>
      </w:r>
      <w:r>
        <w:rPr>
          <w:spacing w:val="40"/>
          <w:position w:val="0"/>
          <w:sz w:val="6"/>
        </w:rPr>
        <mc:AlternateContent>
          <mc:Choice Requires="wps">
            <w:drawing>
              <wp:inline distT="0" distB="0" distL="0" distR="0">
                <wp:extent cx="685800" cy="38100"/>
                <wp:effectExtent l="9525" t="0" r="0" b="0"/>
                <wp:docPr id="141" name="Group 141"/>
                <wp:cNvGraphicFramePr>
                  <a:graphicFrameLocks/>
                </wp:cNvGraphicFramePr>
                <a:graphic>
                  <a:graphicData uri="http://schemas.microsoft.com/office/word/2010/wordprocessingGroup">
                    <wpg:wgp>
                      <wpg:cNvPr id="141" name="Group 141"/>
                      <wpg:cNvGrpSpPr/>
                      <wpg:grpSpPr>
                        <a:xfrm>
                          <a:off x="0" y="0"/>
                          <a:ext cx="685800" cy="38100"/>
                          <a:chExt cx="685800" cy="38100"/>
                        </a:xfrm>
                      </wpg:grpSpPr>
                      <wps:wsp>
                        <wps:cNvPr id="142" name="Graphic 142"/>
                        <wps:cNvSpPr/>
                        <wps:spPr>
                          <a:xfrm>
                            <a:off x="0" y="6350"/>
                            <a:ext cx="685800" cy="25400"/>
                          </a:xfrm>
                          <a:custGeom>
                            <a:avLst/>
                            <a:gdLst/>
                            <a:ahLst/>
                            <a:cxnLst/>
                            <a:rect l="l" t="t" r="r" b="b"/>
                            <a:pathLst>
                              <a:path w="685800" h="25400">
                                <a:moveTo>
                                  <a:pt x="0" y="0"/>
                                </a:moveTo>
                                <a:lnTo>
                                  <a:pt x="685800" y="0"/>
                                </a:lnTo>
                              </a:path>
                              <a:path w="685800" h="25400">
                                <a:moveTo>
                                  <a:pt x="0" y="25400"/>
                                </a:moveTo>
                                <a:lnTo>
                                  <a:pt x="6858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3pt;mso-position-horizontal-relative:char;mso-position-vertical-relative:line" id="docshapegroup98" coordorigin="0,0" coordsize="1080,60">
                <v:shape style="position:absolute;left:0;top:10;width:1080;height:40" id="docshape99" coordorigin="0,10" coordsize="1080,40" path="m0,10l1080,10m0,50l1080,50e" filled="false" stroked="true" strokeweight="1pt" strokecolor="#000000">
                  <v:path arrowok="t"/>
                  <v:stroke dashstyle="solid"/>
                </v:shape>
              </v:group>
            </w:pict>
          </mc:Fallback>
        </mc:AlternateContent>
      </w:r>
      <w:r>
        <w:rPr>
          <w:spacing w:val="40"/>
          <w:position w:val="0"/>
          <w:sz w:val="6"/>
        </w:rPr>
      </w:r>
    </w:p>
    <w:p>
      <w:pPr>
        <w:pStyle w:val="BodyText"/>
        <w:spacing w:before="224"/>
      </w:pPr>
    </w:p>
    <w:p>
      <w:pPr>
        <w:pStyle w:val="BodyText"/>
        <w:spacing w:line="249" w:lineRule="auto"/>
        <w:ind w:left="220" w:right="257" w:firstLine="540"/>
        <w:jc w:val="both"/>
      </w:pPr>
      <w:r>
        <w:rPr/>
        <w:t>Our services and support revenue is comprised of consulting, training and maintenance and support, primarily related to the licensing of our enterprise offerings and the sale of our hosted</w:t>
      </w:r>
      <w:r>
        <w:rPr>
          <w:spacing w:val="-9"/>
        </w:rPr>
        <w:t> </w:t>
      </w:r>
      <w:r>
        <w:rPr/>
        <w:t>Adobe Experience Cloud services. Our support revenue also includes technical support and developer support to partners and developer organizations related to our desktop products. Our maintenance</w:t>
      </w:r>
      <w:r>
        <w:rPr>
          <w:spacing w:val="-2"/>
        </w:rPr>
        <w:t> </w:t>
      </w:r>
      <w:r>
        <w:rPr/>
        <w:t>and</w:t>
      </w:r>
      <w:r>
        <w:rPr>
          <w:spacing w:val="-2"/>
        </w:rPr>
        <w:t> </w:t>
      </w:r>
      <w:r>
        <w:rPr/>
        <w:t>support</w:t>
      </w:r>
      <w:r>
        <w:rPr>
          <w:spacing w:val="-2"/>
        </w:rPr>
        <w:t> </w:t>
      </w:r>
      <w:r>
        <w:rPr/>
        <w:t>offerings,</w:t>
      </w:r>
      <w:r>
        <w:rPr>
          <w:spacing w:val="-2"/>
        </w:rPr>
        <w:t> </w:t>
      </w:r>
      <w:r>
        <w:rPr/>
        <w:t>which</w:t>
      </w:r>
      <w:r>
        <w:rPr>
          <w:spacing w:val="-2"/>
        </w:rPr>
        <w:t> </w:t>
      </w:r>
      <w:r>
        <w:rPr/>
        <w:t>entitle</w:t>
      </w:r>
      <w:r>
        <w:rPr>
          <w:spacing w:val="-2"/>
        </w:rPr>
        <w:t> </w:t>
      </w:r>
      <w:r>
        <w:rPr/>
        <w:t>customers</w:t>
      </w:r>
      <w:r>
        <w:rPr>
          <w:spacing w:val="-2"/>
        </w:rPr>
        <w:t> </w:t>
      </w:r>
      <w:r>
        <w:rPr/>
        <w:t>to</w:t>
      </w:r>
      <w:r>
        <w:rPr>
          <w:spacing w:val="-2"/>
        </w:rPr>
        <w:t> </w:t>
      </w:r>
      <w:r>
        <w:rPr/>
        <w:t>receive</w:t>
      </w:r>
      <w:r>
        <w:rPr>
          <w:spacing w:val="-2"/>
        </w:rPr>
        <w:t> </w:t>
      </w:r>
      <w:r>
        <w:rPr/>
        <w:t>desktop</w:t>
      </w:r>
      <w:r>
        <w:rPr>
          <w:spacing w:val="-2"/>
        </w:rPr>
        <w:t> </w:t>
      </w:r>
      <w:r>
        <w:rPr/>
        <w:t>product</w:t>
      </w:r>
      <w:r>
        <w:rPr>
          <w:spacing w:val="-2"/>
        </w:rPr>
        <w:t> </w:t>
      </w:r>
      <w:r>
        <w:rPr/>
        <w:t>upgrades</w:t>
      </w:r>
      <w:r>
        <w:rPr>
          <w:spacing w:val="-2"/>
        </w:rPr>
        <w:t> </w:t>
      </w:r>
      <w:r>
        <w:rPr/>
        <w:t>and</w:t>
      </w:r>
      <w:r>
        <w:rPr>
          <w:spacing w:val="-2"/>
        </w:rPr>
        <w:t> </w:t>
      </w:r>
      <w:r>
        <w:rPr/>
        <w:t>enhancements</w:t>
      </w:r>
      <w:r>
        <w:rPr>
          <w:spacing w:val="-1"/>
        </w:rPr>
        <w:t> </w:t>
      </w:r>
      <w:r>
        <w:rPr/>
        <w:t>or</w:t>
      </w:r>
      <w:r>
        <w:rPr>
          <w:spacing w:val="-2"/>
        </w:rPr>
        <w:t> </w:t>
      </w:r>
      <w:r>
        <w:rPr/>
        <w:t>technical support, depending on the offering, are generally recognized ratably over the term of the arrangement.</w:t>
      </w:r>
    </w:p>
    <w:p>
      <w:pPr>
        <w:spacing w:after="0" w:line="249" w:lineRule="auto"/>
        <w:jc w:val="both"/>
        <w:sectPr>
          <w:pgSz w:w="12240" w:h="15840"/>
          <w:pgMar w:header="210" w:footer="579" w:top="420" w:bottom="800" w:left="780" w:right="740"/>
        </w:sectPr>
      </w:pPr>
    </w:p>
    <w:p>
      <w:pPr>
        <w:pStyle w:val="BodyText"/>
      </w:pPr>
    </w:p>
    <w:p>
      <w:pPr>
        <w:pStyle w:val="BodyText"/>
        <w:spacing w:before="160"/>
      </w:pPr>
    </w:p>
    <w:p>
      <w:pPr>
        <w:spacing w:before="0"/>
        <w:ind w:left="220" w:right="0" w:firstLine="0"/>
        <w:jc w:val="left"/>
        <w:rPr>
          <w:i/>
          <w:sz w:val="20"/>
        </w:rPr>
      </w:pPr>
      <w:r>
        <w:rPr>
          <w:i/>
          <w:spacing w:val="-2"/>
          <w:sz w:val="20"/>
        </w:rPr>
        <w:t>Segments</w:t>
      </w:r>
    </w:p>
    <w:p>
      <w:pPr>
        <w:pStyle w:val="BodyText"/>
        <w:spacing w:before="190"/>
        <w:ind w:left="760"/>
      </w:pPr>
      <w:r>
        <w:rPr/>
        <w:t>In</w:t>
      </w:r>
      <w:r>
        <w:rPr>
          <w:spacing w:val="-1"/>
        </w:rPr>
        <w:t> </w:t>
      </w:r>
      <w:r>
        <w:rPr/>
        <w:t>fiscal</w:t>
      </w:r>
      <w:r>
        <w:rPr>
          <w:spacing w:val="-2"/>
        </w:rPr>
        <w:t> </w:t>
      </w:r>
      <w:r>
        <w:rPr/>
        <w:t>2017, we</w:t>
      </w:r>
      <w:r>
        <w:rPr>
          <w:spacing w:val="-2"/>
        </w:rPr>
        <w:t> </w:t>
      </w:r>
      <w:r>
        <w:rPr/>
        <w:t>categorized</w:t>
      </w:r>
      <w:r>
        <w:rPr>
          <w:spacing w:val="-2"/>
        </w:rPr>
        <w:t> </w:t>
      </w:r>
      <w:r>
        <w:rPr/>
        <w:t>our products</w:t>
      </w:r>
      <w:r>
        <w:rPr>
          <w:spacing w:val="-1"/>
        </w:rPr>
        <w:t> </w:t>
      </w:r>
      <w:r>
        <w:rPr/>
        <w:t>into</w:t>
      </w:r>
      <w:r>
        <w:rPr>
          <w:spacing w:val="-1"/>
        </w:rPr>
        <w:t> </w:t>
      </w:r>
      <w:r>
        <w:rPr/>
        <w:t>the following</w:t>
      </w:r>
      <w:r>
        <w:rPr>
          <w:spacing w:val="-2"/>
        </w:rPr>
        <w:t> </w:t>
      </w:r>
      <w:r>
        <w:rPr/>
        <w:t>reportable</w:t>
      </w:r>
      <w:r>
        <w:rPr>
          <w:spacing w:val="-1"/>
        </w:rPr>
        <w:t> </w:t>
      </w:r>
      <w:r>
        <w:rPr>
          <w:spacing w:val="-2"/>
        </w:rPr>
        <w:t>segments:</w:t>
      </w:r>
    </w:p>
    <w:p>
      <w:pPr>
        <w:pStyle w:val="ListParagraph"/>
        <w:numPr>
          <w:ilvl w:val="1"/>
          <w:numId w:val="6"/>
        </w:numPr>
        <w:tabs>
          <w:tab w:pos="1120" w:val="left" w:leader="none"/>
        </w:tabs>
        <w:spacing w:line="249" w:lineRule="auto" w:before="190" w:after="0"/>
        <w:ind w:left="1120" w:right="257" w:hanging="360"/>
        <w:jc w:val="both"/>
        <w:rPr>
          <w:sz w:val="20"/>
        </w:rPr>
      </w:pPr>
      <w:r>
        <w:rPr>
          <w:i/>
          <w:sz w:val="20"/>
        </w:rPr>
        <w:t>Digital Media</w:t>
      </w:r>
      <w:r>
        <w:rPr>
          <w:sz w:val="20"/>
        </w:rPr>
        <w:t>—Our Digital Media segment provides tools and solutions that enable individuals, small and medium businesses and enterprises to create, publish, promote and monetize their digital content anywhere. Our customers include traditional content creators, web application developers and digital media professionals, as well as their </w:t>
      </w:r>
      <w:r>
        <w:rPr>
          <w:spacing w:val="-2"/>
          <w:sz w:val="20"/>
        </w:rPr>
        <w:t>management</w:t>
      </w:r>
      <w:r>
        <w:rPr>
          <w:spacing w:val="-6"/>
          <w:sz w:val="20"/>
        </w:rPr>
        <w:t> </w:t>
      </w:r>
      <w:r>
        <w:rPr>
          <w:spacing w:val="-2"/>
          <w:sz w:val="20"/>
        </w:rPr>
        <w:t>in</w:t>
      </w:r>
      <w:r>
        <w:rPr>
          <w:spacing w:val="-6"/>
          <w:sz w:val="20"/>
        </w:rPr>
        <w:t> </w:t>
      </w:r>
      <w:r>
        <w:rPr>
          <w:spacing w:val="-2"/>
          <w:sz w:val="20"/>
        </w:rPr>
        <w:t>marketing</w:t>
      </w:r>
      <w:r>
        <w:rPr>
          <w:spacing w:val="-6"/>
          <w:sz w:val="20"/>
        </w:rPr>
        <w:t> </w:t>
      </w:r>
      <w:r>
        <w:rPr>
          <w:spacing w:val="-2"/>
          <w:sz w:val="20"/>
        </w:rPr>
        <w:t>departments</w:t>
      </w:r>
      <w:r>
        <w:rPr>
          <w:spacing w:val="-6"/>
          <w:sz w:val="20"/>
        </w:rPr>
        <w:t> </w:t>
      </w:r>
      <w:r>
        <w:rPr>
          <w:spacing w:val="-2"/>
          <w:sz w:val="20"/>
        </w:rPr>
        <w:t>and</w:t>
      </w:r>
      <w:r>
        <w:rPr>
          <w:spacing w:val="-6"/>
          <w:sz w:val="20"/>
        </w:rPr>
        <w:t> </w:t>
      </w:r>
      <w:r>
        <w:rPr>
          <w:spacing w:val="-2"/>
          <w:sz w:val="20"/>
        </w:rPr>
        <w:t>agencies,</w:t>
      </w:r>
      <w:r>
        <w:rPr>
          <w:spacing w:val="-6"/>
          <w:sz w:val="20"/>
        </w:rPr>
        <w:t> </w:t>
      </w:r>
      <w:r>
        <w:rPr>
          <w:spacing w:val="-2"/>
          <w:sz w:val="20"/>
        </w:rPr>
        <w:t>companies</w:t>
      </w:r>
      <w:r>
        <w:rPr>
          <w:spacing w:val="-6"/>
          <w:sz w:val="20"/>
        </w:rPr>
        <w:t> </w:t>
      </w:r>
      <w:r>
        <w:rPr>
          <w:spacing w:val="-2"/>
          <w:sz w:val="20"/>
        </w:rPr>
        <w:t>and</w:t>
      </w:r>
      <w:r>
        <w:rPr>
          <w:spacing w:val="-6"/>
          <w:sz w:val="20"/>
        </w:rPr>
        <w:t> </w:t>
      </w:r>
      <w:r>
        <w:rPr>
          <w:spacing w:val="-2"/>
          <w:sz w:val="20"/>
        </w:rPr>
        <w:t>publishers.</w:t>
      </w:r>
      <w:r>
        <w:rPr>
          <w:spacing w:val="-6"/>
          <w:sz w:val="20"/>
        </w:rPr>
        <w:t> </w:t>
      </w:r>
      <w:r>
        <w:rPr>
          <w:spacing w:val="-2"/>
          <w:sz w:val="20"/>
        </w:rPr>
        <w:t>Our</w:t>
      </w:r>
      <w:r>
        <w:rPr>
          <w:spacing w:val="-6"/>
          <w:sz w:val="20"/>
        </w:rPr>
        <w:t> </w:t>
      </w:r>
      <w:r>
        <w:rPr>
          <w:spacing w:val="-2"/>
          <w:sz w:val="20"/>
        </w:rPr>
        <w:t>customers</w:t>
      </w:r>
      <w:r>
        <w:rPr>
          <w:spacing w:val="-6"/>
          <w:sz w:val="20"/>
        </w:rPr>
        <w:t> </w:t>
      </w:r>
      <w:r>
        <w:rPr>
          <w:spacing w:val="-2"/>
          <w:sz w:val="20"/>
        </w:rPr>
        <w:t>also</w:t>
      </w:r>
      <w:r>
        <w:rPr>
          <w:spacing w:val="-6"/>
          <w:sz w:val="20"/>
        </w:rPr>
        <w:t> </w:t>
      </w:r>
      <w:r>
        <w:rPr>
          <w:spacing w:val="-2"/>
          <w:sz w:val="20"/>
        </w:rPr>
        <w:t>include</w:t>
      </w:r>
      <w:r>
        <w:rPr>
          <w:spacing w:val="-6"/>
          <w:sz w:val="20"/>
        </w:rPr>
        <w:t> </w:t>
      </w:r>
      <w:r>
        <w:rPr>
          <w:spacing w:val="-2"/>
          <w:sz w:val="20"/>
        </w:rPr>
        <w:t>knowledge </w:t>
      </w:r>
      <w:r>
        <w:rPr>
          <w:sz w:val="20"/>
        </w:rPr>
        <w:t>workers who create, collaborate and distribute documents.</w:t>
      </w:r>
    </w:p>
    <w:p>
      <w:pPr>
        <w:pStyle w:val="ListParagraph"/>
        <w:numPr>
          <w:ilvl w:val="1"/>
          <w:numId w:val="6"/>
        </w:numPr>
        <w:tabs>
          <w:tab w:pos="1120" w:val="left" w:leader="none"/>
        </w:tabs>
        <w:spacing w:line="249" w:lineRule="auto" w:before="184" w:after="0"/>
        <w:ind w:left="1120" w:right="257" w:hanging="360"/>
        <w:jc w:val="both"/>
        <w:rPr>
          <w:sz w:val="20"/>
        </w:rPr>
      </w:pPr>
      <w:r>
        <w:rPr>
          <w:i/>
          <w:sz w:val="20"/>
        </w:rPr>
        <w:t>Digital Marketing</w:t>
      </w:r>
      <w:r>
        <w:rPr>
          <w:sz w:val="20"/>
        </w:rPr>
        <w:t>—Our Digital Marketing segment provides solutions and services for how digital advertising and marketing are created, managed, executed, measured and optimized. Our customers include digital marketers, advertisers, publishers, merchandisers, web analysts, chief marketing officers, chief information officers and chief revenue officers.</w:t>
      </w:r>
    </w:p>
    <w:p>
      <w:pPr>
        <w:pStyle w:val="ListParagraph"/>
        <w:numPr>
          <w:ilvl w:val="1"/>
          <w:numId w:val="6"/>
        </w:numPr>
        <w:tabs>
          <w:tab w:pos="1120" w:val="left" w:leader="none"/>
        </w:tabs>
        <w:spacing w:line="249" w:lineRule="auto" w:before="183" w:after="0"/>
        <w:ind w:left="1120" w:right="257" w:hanging="360"/>
        <w:jc w:val="both"/>
        <w:rPr>
          <w:sz w:val="20"/>
        </w:rPr>
      </w:pPr>
      <w:r>
        <w:rPr>
          <w:i/>
          <w:sz w:val="20"/>
        </w:rPr>
        <w:t>Print and Publishing</w:t>
      </w:r>
      <w:r>
        <w:rPr>
          <w:sz w:val="20"/>
        </w:rPr>
        <w:t>—Our Print and Publishing segment addresses market opportunities ranging from the diverse authoring</w:t>
      </w:r>
      <w:r>
        <w:rPr>
          <w:spacing w:val="-6"/>
          <w:sz w:val="20"/>
        </w:rPr>
        <w:t> </w:t>
      </w:r>
      <w:r>
        <w:rPr>
          <w:sz w:val="20"/>
        </w:rPr>
        <w:t>and</w:t>
      </w:r>
      <w:r>
        <w:rPr>
          <w:spacing w:val="-7"/>
          <w:sz w:val="20"/>
        </w:rPr>
        <w:t> </w:t>
      </w:r>
      <w:r>
        <w:rPr>
          <w:sz w:val="20"/>
        </w:rPr>
        <w:t>publishing</w:t>
      </w:r>
      <w:r>
        <w:rPr>
          <w:spacing w:val="-6"/>
          <w:sz w:val="20"/>
        </w:rPr>
        <w:t> </w:t>
      </w:r>
      <w:r>
        <w:rPr>
          <w:sz w:val="20"/>
        </w:rPr>
        <w:t>needs</w:t>
      </w:r>
      <w:r>
        <w:rPr>
          <w:spacing w:val="-6"/>
          <w:sz w:val="20"/>
        </w:rPr>
        <w:t> </w:t>
      </w:r>
      <w:r>
        <w:rPr>
          <w:sz w:val="20"/>
        </w:rPr>
        <w:t>of</w:t>
      </w:r>
      <w:r>
        <w:rPr>
          <w:spacing w:val="-6"/>
          <w:sz w:val="20"/>
        </w:rPr>
        <w:t> </w:t>
      </w:r>
      <w:r>
        <w:rPr>
          <w:sz w:val="20"/>
        </w:rPr>
        <w:t>technical</w:t>
      </w:r>
      <w:r>
        <w:rPr>
          <w:spacing w:val="-7"/>
          <w:sz w:val="20"/>
        </w:rPr>
        <w:t> </w:t>
      </w:r>
      <w:r>
        <w:rPr>
          <w:sz w:val="20"/>
        </w:rPr>
        <w:t>and</w:t>
      </w:r>
      <w:r>
        <w:rPr>
          <w:spacing w:val="-7"/>
          <w:sz w:val="20"/>
        </w:rPr>
        <w:t> </w:t>
      </w:r>
      <w:r>
        <w:rPr>
          <w:sz w:val="20"/>
        </w:rPr>
        <w:t>business</w:t>
      </w:r>
      <w:r>
        <w:rPr>
          <w:spacing w:val="-6"/>
          <w:sz w:val="20"/>
        </w:rPr>
        <w:t> </w:t>
      </w:r>
      <w:r>
        <w:rPr>
          <w:sz w:val="20"/>
        </w:rPr>
        <w:t>publishing</w:t>
      </w:r>
      <w:r>
        <w:rPr>
          <w:spacing w:val="-7"/>
          <w:sz w:val="20"/>
        </w:rPr>
        <w:t> </w:t>
      </w:r>
      <w:r>
        <w:rPr>
          <w:sz w:val="20"/>
        </w:rPr>
        <w:t>to</w:t>
      </w:r>
      <w:r>
        <w:rPr>
          <w:spacing w:val="-6"/>
          <w:sz w:val="20"/>
        </w:rPr>
        <w:t> </w:t>
      </w:r>
      <w:r>
        <w:rPr>
          <w:sz w:val="20"/>
        </w:rPr>
        <w:t>our</w:t>
      </w:r>
      <w:r>
        <w:rPr>
          <w:spacing w:val="-6"/>
          <w:sz w:val="20"/>
        </w:rPr>
        <w:t> </w:t>
      </w:r>
      <w:r>
        <w:rPr>
          <w:sz w:val="20"/>
        </w:rPr>
        <w:t>legacy</w:t>
      </w:r>
      <w:r>
        <w:rPr>
          <w:spacing w:val="-7"/>
          <w:sz w:val="20"/>
        </w:rPr>
        <w:t> </w:t>
      </w:r>
      <w:r>
        <w:rPr>
          <w:sz w:val="20"/>
        </w:rPr>
        <w:t>type</w:t>
      </w:r>
      <w:r>
        <w:rPr>
          <w:spacing w:val="-7"/>
          <w:sz w:val="20"/>
        </w:rPr>
        <w:t> </w:t>
      </w:r>
      <w:r>
        <w:rPr>
          <w:sz w:val="20"/>
        </w:rPr>
        <w:t>and</w:t>
      </w:r>
      <w:r>
        <w:rPr>
          <w:spacing w:val="-6"/>
          <w:sz w:val="20"/>
        </w:rPr>
        <w:t> </w:t>
      </w:r>
      <w:r>
        <w:rPr>
          <w:sz w:val="20"/>
        </w:rPr>
        <w:t>OEM</w:t>
      </w:r>
      <w:r>
        <w:rPr>
          <w:spacing w:val="-6"/>
          <w:sz w:val="20"/>
        </w:rPr>
        <w:t> </w:t>
      </w:r>
      <w:r>
        <w:rPr>
          <w:sz w:val="20"/>
        </w:rPr>
        <w:t>printing</w:t>
      </w:r>
      <w:r>
        <w:rPr>
          <w:spacing w:val="-6"/>
          <w:sz w:val="20"/>
        </w:rPr>
        <w:t> </w:t>
      </w:r>
      <w:r>
        <w:rPr>
          <w:sz w:val="20"/>
        </w:rPr>
        <w:t>businesses.</w:t>
      </w:r>
    </w:p>
    <w:p>
      <w:pPr>
        <w:pStyle w:val="BodyText"/>
        <w:spacing w:before="6"/>
        <w:rPr>
          <w:sz w:val="16"/>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0"/>
        <w:gridCol w:w="1140"/>
        <w:gridCol w:w="1180"/>
        <w:gridCol w:w="1100"/>
        <w:gridCol w:w="1303"/>
        <w:gridCol w:w="1056"/>
      </w:tblGrid>
      <w:tr>
        <w:trPr>
          <w:trHeight w:val="312" w:hRule="atLeast"/>
        </w:trPr>
        <w:tc>
          <w:tcPr>
            <w:tcW w:w="4460" w:type="dxa"/>
          </w:tcPr>
          <w:p>
            <w:pPr>
              <w:pStyle w:val="TableParagraph"/>
              <w:spacing w:line="221" w:lineRule="exact"/>
              <w:ind w:left="-10"/>
              <w:rPr>
                <w:i/>
                <w:sz w:val="20"/>
              </w:rPr>
            </w:pPr>
            <w:r>
              <w:rPr>
                <w:i/>
                <w:sz w:val="20"/>
              </w:rPr>
              <w:t>Segment</w:t>
            </w:r>
            <w:r>
              <w:rPr>
                <w:i/>
                <w:spacing w:val="-5"/>
                <w:sz w:val="20"/>
              </w:rPr>
              <w:t> </w:t>
            </w:r>
            <w:r>
              <w:rPr>
                <w:i/>
                <w:sz w:val="20"/>
              </w:rPr>
              <w:t>Information</w:t>
            </w:r>
            <w:r>
              <w:rPr>
                <w:i/>
                <w:spacing w:val="-2"/>
                <w:sz w:val="20"/>
              </w:rPr>
              <w:t> </w:t>
            </w:r>
            <w:r>
              <w:rPr>
                <w:i/>
                <w:sz w:val="20"/>
              </w:rPr>
              <w:t>(dollars</w:t>
            </w:r>
            <w:r>
              <w:rPr>
                <w:i/>
                <w:spacing w:val="-2"/>
                <w:sz w:val="20"/>
              </w:rPr>
              <w:t> </w:t>
            </w:r>
            <w:r>
              <w:rPr>
                <w:i/>
                <w:sz w:val="20"/>
              </w:rPr>
              <w:t>in</w:t>
            </w:r>
            <w:r>
              <w:rPr>
                <w:i/>
                <w:spacing w:val="-2"/>
                <w:sz w:val="20"/>
              </w:rPr>
              <w:t> millions)</w:t>
            </w:r>
          </w:p>
        </w:tc>
        <w:tc>
          <w:tcPr>
            <w:tcW w:w="5779" w:type="dxa"/>
            <w:gridSpan w:val="5"/>
          </w:tcPr>
          <w:p>
            <w:pPr>
              <w:pStyle w:val="TableParagraph"/>
              <w:rPr>
                <w:sz w:val="18"/>
              </w:rPr>
            </w:pPr>
          </w:p>
        </w:tc>
      </w:tr>
      <w:tr>
        <w:trPr>
          <w:trHeight w:val="259" w:hRule="atLeast"/>
        </w:trPr>
        <w:tc>
          <w:tcPr>
            <w:tcW w:w="4460" w:type="dxa"/>
          </w:tcPr>
          <w:p>
            <w:pPr>
              <w:pStyle w:val="TableParagraph"/>
              <w:rPr>
                <w:sz w:val="18"/>
              </w:rPr>
            </w:pPr>
          </w:p>
        </w:tc>
        <w:tc>
          <w:tcPr>
            <w:tcW w:w="1140" w:type="dxa"/>
          </w:tcPr>
          <w:p>
            <w:pPr>
              <w:pStyle w:val="TableParagraph"/>
              <w:spacing w:line="155" w:lineRule="exact" w:before="84"/>
              <w:ind w:left="330"/>
              <w:rPr>
                <w:b/>
                <w:sz w:val="16"/>
              </w:rPr>
            </w:pPr>
            <w:r>
              <w:rPr>
                <w:b/>
                <w:spacing w:val="-2"/>
                <w:sz w:val="16"/>
              </w:rPr>
              <w:t>Fiscal</w:t>
            </w:r>
          </w:p>
        </w:tc>
        <w:tc>
          <w:tcPr>
            <w:tcW w:w="1180" w:type="dxa"/>
          </w:tcPr>
          <w:p>
            <w:pPr>
              <w:pStyle w:val="TableParagraph"/>
              <w:spacing w:line="155" w:lineRule="exact" w:before="84"/>
              <w:ind w:left="360"/>
              <w:rPr>
                <w:b/>
                <w:sz w:val="16"/>
              </w:rPr>
            </w:pPr>
            <w:r>
              <w:rPr>
                <w:b/>
                <w:spacing w:val="-2"/>
                <w:sz w:val="16"/>
              </w:rPr>
              <w:t>Fiscal</w:t>
            </w:r>
          </w:p>
        </w:tc>
        <w:tc>
          <w:tcPr>
            <w:tcW w:w="1100" w:type="dxa"/>
          </w:tcPr>
          <w:p>
            <w:pPr>
              <w:pStyle w:val="TableParagraph"/>
              <w:spacing w:line="155" w:lineRule="exact" w:before="84"/>
              <w:ind w:left="350"/>
              <w:rPr>
                <w:b/>
                <w:sz w:val="16"/>
              </w:rPr>
            </w:pPr>
            <w:r>
              <w:rPr>
                <w:b/>
                <w:spacing w:val="-2"/>
                <w:sz w:val="16"/>
              </w:rPr>
              <w:t>Fiscal</w:t>
            </w:r>
          </w:p>
        </w:tc>
        <w:tc>
          <w:tcPr>
            <w:tcW w:w="1303" w:type="dxa"/>
          </w:tcPr>
          <w:p>
            <w:pPr>
              <w:pStyle w:val="TableParagraph"/>
              <w:spacing w:line="155" w:lineRule="exact" w:before="84"/>
              <w:ind w:left="257"/>
              <w:rPr>
                <w:b/>
                <w:sz w:val="16"/>
              </w:rPr>
            </w:pPr>
            <w:r>
              <w:rPr>
                <w:b/>
                <w:sz w:val="16"/>
              </w:rPr>
              <w:t>% </w:t>
            </w:r>
            <w:r>
              <w:rPr>
                <w:b/>
                <w:spacing w:val="-2"/>
                <w:sz w:val="16"/>
              </w:rPr>
              <w:t>Change</w:t>
            </w:r>
          </w:p>
        </w:tc>
        <w:tc>
          <w:tcPr>
            <w:tcW w:w="1056" w:type="dxa"/>
          </w:tcPr>
          <w:p>
            <w:pPr>
              <w:pStyle w:val="TableParagraph"/>
              <w:spacing w:line="155" w:lineRule="exact" w:before="84"/>
              <w:ind w:left="134"/>
              <w:rPr>
                <w:b/>
                <w:sz w:val="16"/>
              </w:rPr>
            </w:pPr>
            <w:r>
              <w:rPr>
                <w:b/>
                <w:sz w:val="16"/>
              </w:rPr>
              <w:t>% </w:t>
            </w:r>
            <w:r>
              <w:rPr>
                <w:b/>
                <w:spacing w:val="-2"/>
                <w:sz w:val="16"/>
              </w:rPr>
              <w:t>Change</w:t>
            </w:r>
          </w:p>
        </w:tc>
      </w:tr>
      <w:tr>
        <w:trPr>
          <w:trHeight w:val="205" w:hRule="atLeast"/>
        </w:trPr>
        <w:tc>
          <w:tcPr>
            <w:tcW w:w="4460" w:type="dxa"/>
          </w:tcPr>
          <w:p>
            <w:pPr>
              <w:pStyle w:val="TableParagraph"/>
              <w:rPr>
                <w:sz w:val="14"/>
              </w:rPr>
            </w:pPr>
          </w:p>
        </w:tc>
        <w:tc>
          <w:tcPr>
            <w:tcW w:w="1140" w:type="dxa"/>
            <w:tcBorders>
              <w:bottom w:val="single" w:sz="8" w:space="0" w:color="000000"/>
            </w:tcBorders>
          </w:tcPr>
          <w:p>
            <w:pPr>
              <w:pStyle w:val="TableParagraph"/>
              <w:spacing w:line="169" w:lineRule="exact"/>
              <w:ind w:left="370"/>
              <w:rPr>
                <w:b/>
                <w:sz w:val="16"/>
              </w:rPr>
            </w:pPr>
            <w:r>
              <w:rPr>
                <w:b/>
                <w:spacing w:val="-4"/>
                <w:sz w:val="16"/>
              </w:rPr>
              <w:t>2017</w:t>
            </w:r>
          </w:p>
        </w:tc>
        <w:tc>
          <w:tcPr>
            <w:tcW w:w="1180" w:type="dxa"/>
            <w:tcBorders>
              <w:bottom w:val="single" w:sz="8" w:space="0" w:color="000000"/>
            </w:tcBorders>
          </w:tcPr>
          <w:p>
            <w:pPr>
              <w:pStyle w:val="TableParagraph"/>
              <w:spacing w:line="169" w:lineRule="exact"/>
              <w:ind w:left="8" w:right="65"/>
              <w:jc w:val="center"/>
              <w:rPr>
                <w:b/>
                <w:sz w:val="16"/>
              </w:rPr>
            </w:pPr>
            <w:r>
              <w:rPr>
                <w:b/>
                <w:spacing w:val="-4"/>
                <w:sz w:val="16"/>
              </w:rPr>
              <w:t>2016</w:t>
            </w:r>
          </w:p>
        </w:tc>
        <w:tc>
          <w:tcPr>
            <w:tcW w:w="1100" w:type="dxa"/>
            <w:tcBorders>
              <w:bottom w:val="single" w:sz="8" w:space="0" w:color="000000"/>
            </w:tcBorders>
          </w:tcPr>
          <w:p>
            <w:pPr>
              <w:pStyle w:val="TableParagraph"/>
              <w:spacing w:line="169" w:lineRule="exact"/>
              <w:jc w:val="center"/>
              <w:rPr>
                <w:b/>
                <w:sz w:val="16"/>
              </w:rPr>
            </w:pPr>
            <w:r>
              <w:rPr>
                <w:b/>
                <w:spacing w:val="-4"/>
                <w:sz w:val="16"/>
              </w:rPr>
              <w:t>2015</w:t>
            </w:r>
          </w:p>
        </w:tc>
        <w:tc>
          <w:tcPr>
            <w:tcW w:w="1303" w:type="dxa"/>
            <w:tcBorders>
              <w:bottom w:val="single" w:sz="8" w:space="0" w:color="000000"/>
            </w:tcBorders>
          </w:tcPr>
          <w:p>
            <w:pPr>
              <w:pStyle w:val="TableParagraph"/>
              <w:spacing w:line="169" w:lineRule="exact"/>
              <w:ind w:left="273"/>
              <w:rPr>
                <w:b/>
                <w:sz w:val="16"/>
              </w:rPr>
            </w:pPr>
            <w:r>
              <w:rPr>
                <w:b/>
                <w:sz w:val="16"/>
              </w:rPr>
              <w:t>2017-</w:t>
            </w:r>
            <w:r>
              <w:rPr>
                <w:b/>
                <w:spacing w:val="-4"/>
                <w:sz w:val="16"/>
              </w:rPr>
              <w:t>2016</w:t>
            </w:r>
          </w:p>
        </w:tc>
        <w:tc>
          <w:tcPr>
            <w:tcW w:w="1056" w:type="dxa"/>
            <w:tcBorders>
              <w:bottom w:val="single" w:sz="8" w:space="0" w:color="000000"/>
            </w:tcBorders>
          </w:tcPr>
          <w:p>
            <w:pPr>
              <w:pStyle w:val="TableParagraph"/>
              <w:spacing w:line="169" w:lineRule="exact"/>
              <w:ind w:left="150"/>
              <w:rPr>
                <w:b/>
                <w:sz w:val="16"/>
              </w:rPr>
            </w:pPr>
            <w:r>
              <w:rPr>
                <w:b/>
                <w:sz w:val="16"/>
              </w:rPr>
              <w:t>2016-</w:t>
            </w:r>
            <w:r>
              <w:rPr>
                <w:b/>
                <w:spacing w:val="-4"/>
                <w:sz w:val="16"/>
              </w:rPr>
              <w:t>2015</w:t>
            </w:r>
          </w:p>
        </w:tc>
      </w:tr>
      <w:tr>
        <w:trPr>
          <w:trHeight w:val="270" w:hRule="atLeast"/>
        </w:trPr>
        <w:tc>
          <w:tcPr>
            <w:tcW w:w="4460" w:type="dxa"/>
            <w:shd w:val="clear" w:color="auto" w:fill="CCEDFF"/>
          </w:tcPr>
          <w:p>
            <w:pPr>
              <w:pStyle w:val="TableParagraph"/>
              <w:spacing w:line="222" w:lineRule="exact"/>
              <w:ind w:left="50"/>
              <w:rPr>
                <w:sz w:val="20"/>
              </w:rPr>
            </w:pPr>
            <w:r>
              <w:rPr>
                <w:sz w:val="20"/>
              </w:rPr>
              <w:t>Digital </w:t>
            </w:r>
            <w:r>
              <w:rPr>
                <w:spacing w:val="-2"/>
                <w:sz w:val="20"/>
              </w:rPr>
              <w:t>Media</w:t>
            </w:r>
          </w:p>
        </w:tc>
        <w:tc>
          <w:tcPr>
            <w:tcW w:w="1140" w:type="dxa"/>
            <w:tcBorders>
              <w:top w:val="single" w:sz="8" w:space="0" w:color="000000"/>
            </w:tcBorders>
            <w:shd w:val="clear" w:color="auto" w:fill="CCEDFF"/>
          </w:tcPr>
          <w:p>
            <w:pPr>
              <w:pStyle w:val="TableParagraph"/>
              <w:spacing w:line="222" w:lineRule="exact"/>
              <w:ind w:left="50"/>
              <w:rPr>
                <w:sz w:val="20"/>
              </w:rPr>
            </w:pPr>
            <w:r>
              <w:rPr>
                <w:sz w:val="20"/>
              </w:rPr>
              <w:t>$</w:t>
            </w:r>
            <w:r>
              <w:rPr>
                <w:spacing w:val="75"/>
                <w:w w:val="150"/>
                <w:sz w:val="20"/>
              </w:rPr>
              <w:t> </w:t>
            </w:r>
            <w:r>
              <w:rPr>
                <w:spacing w:val="-2"/>
                <w:sz w:val="20"/>
              </w:rPr>
              <w:t>5,010.6</w:t>
            </w:r>
          </w:p>
        </w:tc>
        <w:tc>
          <w:tcPr>
            <w:tcW w:w="1180" w:type="dxa"/>
            <w:tcBorders>
              <w:top w:val="single" w:sz="8" w:space="0" w:color="000000"/>
            </w:tcBorders>
            <w:shd w:val="clear" w:color="auto" w:fill="CCEDFF"/>
          </w:tcPr>
          <w:p>
            <w:pPr>
              <w:pStyle w:val="TableParagraph"/>
              <w:spacing w:line="222" w:lineRule="exact"/>
              <w:ind w:left="70"/>
              <w:rPr>
                <w:sz w:val="20"/>
              </w:rPr>
            </w:pPr>
            <w:r>
              <w:rPr>
                <w:sz w:val="20"/>
              </w:rPr>
              <w:t>$</w:t>
            </w:r>
            <w:r>
              <w:rPr>
                <w:spacing w:val="36"/>
                <w:sz w:val="20"/>
              </w:rPr>
              <w:t>  </w:t>
            </w:r>
            <w:r>
              <w:rPr>
                <w:spacing w:val="-2"/>
                <w:sz w:val="20"/>
              </w:rPr>
              <w:t>3,941.0</w:t>
            </w:r>
          </w:p>
        </w:tc>
        <w:tc>
          <w:tcPr>
            <w:tcW w:w="1100" w:type="dxa"/>
            <w:tcBorders>
              <w:top w:val="single" w:sz="8" w:space="0" w:color="000000"/>
            </w:tcBorders>
            <w:shd w:val="clear" w:color="auto" w:fill="CCEDFF"/>
          </w:tcPr>
          <w:p>
            <w:pPr>
              <w:pStyle w:val="TableParagraph"/>
              <w:spacing w:line="222" w:lineRule="exact"/>
              <w:ind w:left="70"/>
              <w:rPr>
                <w:sz w:val="20"/>
              </w:rPr>
            </w:pPr>
            <w:r>
              <w:rPr>
                <w:sz w:val="20"/>
              </w:rPr>
              <w:t>$</w:t>
            </w:r>
            <w:r>
              <w:rPr>
                <w:spacing w:val="75"/>
                <w:w w:val="150"/>
                <w:sz w:val="20"/>
              </w:rPr>
              <w:t> </w:t>
            </w:r>
            <w:r>
              <w:rPr>
                <w:spacing w:val="-2"/>
                <w:sz w:val="20"/>
              </w:rPr>
              <w:t>3,095.2</w:t>
            </w:r>
          </w:p>
        </w:tc>
        <w:tc>
          <w:tcPr>
            <w:tcW w:w="1303" w:type="dxa"/>
            <w:tcBorders>
              <w:top w:val="single" w:sz="8" w:space="0" w:color="000000"/>
            </w:tcBorders>
            <w:shd w:val="clear" w:color="auto" w:fill="CCEDFF"/>
          </w:tcPr>
          <w:p>
            <w:pPr>
              <w:pStyle w:val="TableParagraph"/>
              <w:spacing w:line="222" w:lineRule="exact"/>
              <w:ind w:right="131"/>
              <w:jc w:val="right"/>
              <w:rPr>
                <w:sz w:val="20"/>
              </w:rPr>
            </w:pPr>
            <w:r>
              <w:rPr>
                <w:sz w:val="20"/>
              </w:rPr>
              <w:t>27</w:t>
            </w:r>
            <w:r>
              <w:rPr>
                <w:spacing w:val="17"/>
                <w:sz w:val="20"/>
              </w:rPr>
              <w:t> </w:t>
            </w:r>
            <w:r>
              <w:rPr>
                <w:spacing w:val="-10"/>
                <w:sz w:val="20"/>
              </w:rPr>
              <w:t>%</w:t>
            </w:r>
          </w:p>
        </w:tc>
        <w:tc>
          <w:tcPr>
            <w:tcW w:w="1056" w:type="dxa"/>
            <w:tcBorders>
              <w:top w:val="single" w:sz="8" w:space="0" w:color="000000"/>
            </w:tcBorders>
            <w:shd w:val="clear" w:color="auto" w:fill="CCEDFF"/>
          </w:tcPr>
          <w:p>
            <w:pPr>
              <w:pStyle w:val="TableParagraph"/>
              <w:spacing w:line="222" w:lineRule="exact"/>
              <w:ind w:right="7"/>
              <w:jc w:val="right"/>
              <w:rPr>
                <w:sz w:val="20"/>
              </w:rPr>
            </w:pPr>
            <w:r>
              <w:rPr>
                <w:sz w:val="20"/>
              </w:rPr>
              <w:t>27</w:t>
            </w:r>
            <w:r>
              <w:rPr>
                <w:spacing w:val="17"/>
                <w:sz w:val="20"/>
              </w:rPr>
              <w:t> </w:t>
            </w:r>
            <w:r>
              <w:rPr>
                <w:spacing w:val="-10"/>
                <w:sz w:val="20"/>
              </w:rPr>
              <w:t>%</w:t>
            </w:r>
          </w:p>
        </w:tc>
      </w:tr>
      <w:tr>
        <w:trPr>
          <w:trHeight w:val="280" w:hRule="atLeast"/>
        </w:trPr>
        <w:tc>
          <w:tcPr>
            <w:tcW w:w="4460" w:type="dxa"/>
          </w:tcPr>
          <w:p>
            <w:pPr>
              <w:pStyle w:val="TableParagraph"/>
              <w:spacing w:before="2"/>
              <w:ind w:left="170"/>
              <w:rPr>
                <w:sz w:val="20"/>
              </w:rPr>
            </w:pPr>
            <w:r>
              <w:rPr>
                <w:sz w:val="20"/>
              </w:rPr>
              <w:t>Percentage of total </w:t>
            </w:r>
            <w:r>
              <w:rPr>
                <w:spacing w:val="-2"/>
                <w:sz w:val="20"/>
              </w:rPr>
              <w:t>revenue</w:t>
            </w:r>
          </w:p>
        </w:tc>
        <w:tc>
          <w:tcPr>
            <w:tcW w:w="1140" w:type="dxa"/>
          </w:tcPr>
          <w:p>
            <w:pPr>
              <w:pStyle w:val="TableParagraph"/>
              <w:spacing w:before="2"/>
              <w:ind w:right="68"/>
              <w:jc w:val="right"/>
              <w:rPr>
                <w:sz w:val="20"/>
              </w:rPr>
            </w:pPr>
            <w:r>
              <w:rPr>
                <w:spacing w:val="-5"/>
                <w:sz w:val="20"/>
              </w:rPr>
              <w:t>69%</w:t>
            </w:r>
          </w:p>
        </w:tc>
        <w:tc>
          <w:tcPr>
            <w:tcW w:w="1180" w:type="dxa"/>
          </w:tcPr>
          <w:p>
            <w:pPr>
              <w:pStyle w:val="TableParagraph"/>
              <w:spacing w:before="2"/>
              <w:ind w:right="68"/>
              <w:jc w:val="right"/>
              <w:rPr>
                <w:sz w:val="20"/>
              </w:rPr>
            </w:pPr>
            <w:r>
              <w:rPr>
                <w:spacing w:val="-5"/>
                <w:sz w:val="20"/>
              </w:rPr>
              <w:t>67%</w:t>
            </w:r>
          </w:p>
        </w:tc>
        <w:tc>
          <w:tcPr>
            <w:tcW w:w="1100" w:type="dxa"/>
          </w:tcPr>
          <w:p>
            <w:pPr>
              <w:pStyle w:val="TableParagraph"/>
              <w:spacing w:before="2"/>
              <w:ind w:right="8"/>
              <w:jc w:val="right"/>
              <w:rPr>
                <w:sz w:val="20"/>
              </w:rPr>
            </w:pPr>
            <w:r>
              <w:rPr>
                <w:spacing w:val="-5"/>
                <w:sz w:val="20"/>
              </w:rPr>
              <w:t>65%</w:t>
            </w:r>
          </w:p>
        </w:tc>
        <w:tc>
          <w:tcPr>
            <w:tcW w:w="1303" w:type="dxa"/>
          </w:tcPr>
          <w:p>
            <w:pPr>
              <w:pStyle w:val="TableParagraph"/>
              <w:rPr>
                <w:sz w:val="18"/>
              </w:rPr>
            </w:pPr>
          </w:p>
        </w:tc>
        <w:tc>
          <w:tcPr>
            <w:tcW w:w="1056" w:type="dxa"/>
          </w:tcPr>
          <w:p>
            <w:pPr>
              <w:pStyle w:val="TableParagraph"/>
              <w:rPr>
                <w:sz w:val="18"/>
              </w:rPr>
            </w:pPr>
          </w:p>
        </w:tc>
      </w:tr>
      <w:tr>
        <w:trPr>
          <w:trHeight w:val="280" w:hRule="atLeast"/>
        </w:trPr>
        <w:tc>
          <w:tcPr>
            <w:tcW w:w="4460" w:type="dxa"/>
            <w:shd w:val="clear" w:color="auto" w:fill="CCEDFF"/>
          </w:tcPr>
          <w:p>
            <w:pPr>
              <w:pStyle w:val="TableParagraph"/>
              <w:spacing w:before="2"/>
              <w:ind w:left="50"/>
              <w:rPr>
                <w:sz w:val="20"/>
              </w:rPr>
            </w:pPr>
            <w:r>
              <w:rPr>
                <w:sz w:val="20"/>
              </w:rPr>
              <w:t>Digital </w:t>
            </w:r>
            <w:r>
              <w:rPr>
                <w:spacing w:val="-2"/>
                <w:sz w:val="20"/>
              </w:rPr>
              <w:t>Marketing</w:t>
            </w:r>
          </w:p>
        </w:tc>
        <w:tc>
          <w:tcPr>
            <w:tcW w:w="1140" w:type="dxa"/>
            <w:shd w:val="clear" w:color="auto" w:fill="CCEDFF"/>
          </w:tcPr>
          <w:p>
            <w:pPr>
              <w:pStyle w:val="TableParagraph"/>
              <w:spacing w:before="2"/>
              <w:ind w:left="302"/>
              <w:rPr>
                <w:sz w:val="20"/>
              </w:rPr>
            </w:pPr>
            <w:r>
              <w:rPr>
                <w:spacing w:val="-2"/>
                <w:sz w:val="20"/>
              </w:rPr>
              <w:t>2,120.0</w:t>
            </w:r>
          </w:p>
        </w:tc>
        <w:tc>
          <w:tcPr>
            <w:tcW w:w="1180" w:type="dxa"/>
            <w:shd w:val="clear" w:color="auto" w:fill="CCEDFF"/>
          </w:tcPr>
          <w:p>
            <w:pPr>
              <w:pStyle w:val="TableParagraph"/>
              <w:spacing w:before="2"/>
              <w:ind w:left="342"/>
              <w:rPr>
                <w:sz w:val="20"/>
              </w:rPr>
            </w:pPr>
            <w:r>
              <w:rPr>
                <w:spacing w:val="-2"/>
                <w:sz w:val="20"/>
              </w:rPr>
              <w:t>1,736.6</w:t>
            </w:r>
          </w:p>
        </w:tc>
        <w:tc>
          <w:tcPr>
            <w:tcW w:w="1100" w:type="dxa"/>
            <w:shd w:val="clear" w:color="auto" w:fill="CCEDFF"/>
          </w:tcPr>
          <w:p>
            <w:pPr>
              <w:pStyle w:val="TableParagraph"/>
              <w:spacing w:before="2"/>
              <w:ind w:left="322"/>
              <w:rPr>
                <w:sz w:val="20"/>
              </w:rPr>
            </w:pPr>
            <w:r>
              <w:rPr>
                <w:spacing w:val="-2"/>
                <w:sz w:val="20"/>
              </w:rPr>
              <w:t>1,508.9</w:t>
            </w:r>
          </w:p>
        </w:tc>
        <w:tc>
          <w:tcPr>
            <w:tcW w:w="1303" w:type="dxa"/>
            <w:shd w:val="clear" w:color="auto" w:fill="CCEDFF"/>
          </w:tcPr>
          <w:p>
            <w:pPr>
              <w:pStyle w:val="TableParagraph"/>
              <w:spacing w:before="2"/>
              <w:ind w:right="131"/>
              <w:jc w:val="right"/>
              <w:rPr>
                <w:sz w:val="20"/>
              </w:rPr>
            </w:pPr>
            <w:r>
              <w:rPr>
                <w:sz w:val="20"/>
              </w:rPr>
              <w:t>22</w:t>
            </w:r>
            <w:r>
              <w:rPr>
                <w:spacing w:val="17"/>
                <w:sz w:val="20"/>
              </w:rPr>
              <w:t> </w:t>
            </w:r>
            <w:r>
              <w:rPr>
                <w:spacing w:val="-10"/>
                <w:sz w:val="20"/>
              </w:rPr>
              <w:t>%</w:t>
            </w:r>
          </w:p>
        </w:tc>
        <w:tc>
          <w:tcPr>
            <w:tcW w:w="1056" w:type="dxa"/>
            <w:shd w:val="clear" w:color="auto" w:fill="CCEDFF"/>
          </w:tcPr>
          <w:p>
            <w:pPr>
              <w:pStyle w:val="TableParagraph"/>
              <w:spacing w:before="2"/>
              <w:ind w:right="7"/>
              <w:jc w:val="right"/>
              <w:rPr>
                <w:sz w:val="20"/>
              </w:rPr>
            </w:pPr>
            <w:r>
              <w:rPr>
                <w:sz w:val="20"/>
              </w:rPr>
              <w:t>15</w:t>
            </w:r>
            <w:r>
              <w:rPr>
                <w:spacing w:val="17"/>
                <w:sz w:val="20"/>
              </w:rPr>
              <w:t> </w:t>
            </w:r>
            <w:r>
              <w:rPr>
                <w:spacing w:val="-10"/>
                <w:sz w:val="20"/>
              </w:rPr>
              <w:t>%</w:t>
            </w:r>
          </w:p>
        </w:tc>
      </w:tr>
      <w:tr>
        <w:trPr>
          <w:trHeight w:val="280" w:hRule="atLeast"/>
        </w:trPr>
        <w:tc>
          <w:tcPr>
            <w:tcW w:w="4460" w:type="dxa"/>
          </w:tcPr>
          <w:p>
            <w:pPr>
              <w:pStyle w:val="TableParagraph"/>
              <w:spacing w:before="2"/>
              <w:ind w:left="170"/>
              <w:rPr>
                <w:sz w:val="20"/>
              </w:rPr>
            </w:pPr>
            <w:r>
              <w:rPr>
                <w:sz w:val="20"/>
              </w:rPr>
              <w:t>Percentage of total </w:t>
            </w:r>
            <w:r>
              <w:rPr>
                <w:spacing w:val="-2"/>
                <w:sz w:val="20"/>
              </w:rPr>
              <w:t>revenue</w:t>
            </w:r>
          </w:p>
        </w:tc>
        <w:tc>
          <w:tcPr>
            <w:tcW w:w="1140" w:type="dxa"/>
          </w:tcPr>
          <w:p>
            <w:pPr>
              <w:pStyle w:val="TableParagraph"/>
              <w:spacing w:before="2"/>
              <w:ind w:right="68"/>
              <w:jc w:val="right"/>
              <w:rPr>
                <w:sz w:val="20"/>
              </w:rPr>
            </w:pPr>
            <w:r>
              <w:rPr>
                <w:spacing w:val="-5"/>
                <w:sz w:val="20"/>
              </w:rPr>
              <w:t>29%</w:t>
            </w:r>
          </w:p>
        </w:tc>
        <w:tc>
          <w:tcPr>
            <w:tcW w:w="1180" w:type="dxa"/>
          </w:tcPr>
          <w:p>
            <w:pPr>
              <w:pStyle w:val="TableParagraph"/>
              <w:spacing w:before="2"/>
              <w:ind w:right="68"/>
              <w:jc w:val="right"/>
              <w:rPr>
                <w:sz w:val="20"/>
              </w:rPr>
            </w:pPr>
            <w:r>
              <w:rPr>
                <w:spacing w:val="-5"/>
                <w:sz w:val="20"/>
              </w:rPr>
              <w:t>30%</w:t>
            </w:r>
          </w:p>
        </w:tc>
        <w:tc>
          <w:tcPr>
            <w:tcW w:w="1100" w:type="dxa"/>
          </w:tcPr>
          <w:p>
            <w:pPr>
              <w:pStyle w:val="TableParagraph"/>
              <w:spacing w:before="2"/>
              <w:ind w:right="8"/>
              <w:jc w:val="right"/>
              <w:rPr>
                <w:sz w:val="20"/>
              </w:rPr>
            </w:pPr>
            <w:r>
              <w:rPr>
                <w:spacing w:val="-5"/>
                <w:sz w:val="20"/>
              </w:rPr>
              <w:t>31%</w:t>
            </w:r>
          </w:p>
        </w:tc>
        <w:tc>
          <w:tcPr>
            <w:tcW w:w="1303" w:type="dxa"/>
          </w:tcPr>
          <w:p>
            <w:pPr>
              <w:pStyle w:val="TableParagraph"/>
              <w:rPr>
                <w:sz w:val="18"/>
              </w:rPr>
            </w:pPr>
          </w:p>
        </w:tc>
        <w:tc>
          <w:tcPr>
            <w:tcW w:w="1056" w:type="dxa"/>
          </w:tcPr>
          <w:p>
            <w:pPr>
              <w:pStyle w:val="TableParagraph"/>
              <w:rPr>
                <w:sz w:val="18"/>
              </w:rPr>
            </w:pPr>
          </w:p>
        </w:tc>
      </w:tr>
      <w:tr>
        <w:trPr>
          <w:trHeight w:val="280" w:hRule="atLeast"/>
        </w:trPr>
        <w:tc>
          <w:tcPr>
            <w:tcW w:w="4460" w:type="dxa"/>
            <w:shd w:val="clear" w:color="auto" w:fill="CCEDFF"/>
          </w:tcPr>
          <w:p>
            <w:pPr>
              <w:pStyle w:val="TableParagraph"/>
              <w:spacing w:before="2"/>
              <w:ind w:left="50"/>
              <w:rPr>
                <w:sz w:val="20"/>
              </w:rPr>
            </w:pPr>
            <w:r>
              <w:rPr>
                <w:sz w:val="20"/>
              </w:rPr>
              <w:t>Print and </w:t>
            </w:r>
            <w:r>
              <w:rPr>
                <w:spacing w:val="-2"/>
                <w:sz w:val="20"/>
              </w:rPr>
              <w:t>Publishing</w:t>
            </w:r>
          </w:p>
        </w:tc>
        <w:tc>
          <w:tcPr>
            <w:tcW w:w="1140" w:type="dxa"/>
            <w:shd w:val="clear" w:color="auto" w:fill="CCEDFF"/>
          </w:tcPr>
          <w:p>
            <w:pPr>
              <w:pStyle w:val="TableParagraph"/>
              <w:spacing w:before="2"/>
              <w:ind w:left="453"/>
              <w:rPr>
                <w:sz w:val="20"/>
              </w:rPr>
            </w:pPr>
            <w:r>
              <w:rPr>
                <w:spacing w:val="-2"/>
                <w:sz w:val="20"/>
              </w:rPr>
              <w:t>170.9</w:t>
            </w:r>
          </w:p>
        </w:tc>
        <w:tc>
          <w:tcPr>
            <w:tcW w:w="1180" w:type="dxa"/>
            <w:shd w:val="clear" w:color="auto" w:fill="CCEDFF"/>
          </w:tcPr>
          <w:p>
            <w:pPr>
              <w:pStyle w:val="TableParagraph"/>
              <w:spacing w:before="2"/>
              <w:ind w:left="493"/>
              <w:rPr>
                <w:sz w:val="20"/>
              </w:rPr>
            </w:pPr>
            <w:r>
              <w:rPr>
                <w:spacing w:val="-2"/>
                <w:sz w:val="20"/>
              </w:rPr>
              <w:t>176.8</w:t>
            </w:r>
          </w:p>
        </w:tc>
        <w:tc>
          <w:tcPr>
            <w:tcW w:w="1100" w:type="dxa"/>
            <w:shd w:val="clear" w:color="auto" w:fill="CCEDFF"/>
          </w:tcPr>
          <w:p>
            <w:pPr>
              <w:pStyle w:val="TableParagraph"/>
              <w:spacing w:before="2"/>
              <w:ind w:left="473"/>
              <w:rPr>
                <w:sz w:val="20"/>
              </w:rPr>
            </w:pPr>
            <w:r>
              <w:rPr>
                <w:spacing w:val="-2"/>
                <w:sz w:val="20"/>
              </w:rPr>
              <w:t>191.4</w:t>
            </w:r>
          </w:p>
        </w:tc>
        <w:tc>
          <w:tcPr>
            <w:tcW w:w="1303" w:type="dxa"/>
            <w:shd w:val="clear" w:color="auto" w:fill="CCEDFF"/>
          </w:tcPr>
          <w:p>
            <w:pPr>
              <w:pStyle w:val="TableParagraph"/>
              <w:spacing w:before="2"/>
              <w:ind w:right="131"/>
              <w:jc w:val="right"/>
              <w:rPr>
                <w:sz w:val="20"/>
              </w:rPr>
            </w:pPr>
            <w:r>
              <w:rPr>
                <w:spacing w:val="-4"/>
                <w:sz w:val="20"/>
              </w:rPr>
              <w:t>(3)%</w:t>
            </w:r>
          </w:p>
        </w:tc>
        <w:tc>
          <w:tcPr>
            <w:tcW w:w="1056" w:type="dxa"/>
            <w:shd w:val="clear" w:color="auto" w:fill="CCEDFF"/>
          </w:tcPr>
          <w:p>
            <w:pPr>
              <w:pStyle w:val="TableParagraph"/>
              <w:spacing w:before="2"/>
              <w:ind w:right="7"/>
              <w:jc w:val="right"/>
              <w:rPr>
                <w:sz w:val="20"/>
              </w:rPr>
            </w:pPr>
            <w:r>
              <w:rPr>
                <w:spacing w:val="-4"/>
                <w:sz w:val="20"/>
              </w:rPr>
              <w:t>(8)%</w:t>
            </w:r>
          </w:p>
        </w:tc>
      </w:tr>
      <w:tr>
        <w:trPr>
          <w:trHeight w:val="270" w:hRule="atLeast"/>
        </w:trPr>
        <w:tc>
          <w:tcPr>
            <w:tcW w:w="4460" w:type="dxa"/>
          </w:tcPr>
          <w:p>
            <w:pPr>
              <w:pStyle w:val="TableParagraph"/>
              <w:spacing w:before="2"/>
              <w:ind w:left="170"/>
              <w:rPr>
                <w:sz w:val="20"/>
              </w:rPr>
            </w:pPr>
            <w:r>
              <w:rPr>
                <w:sz w:val="20"/>
              </w:rPr>
              <w:t>Percentage of total </w:t>
            </w:r>
            <w:r>
              <w:rPr>
                <w:spacing w:val="-2"/>
                <w:sz w:val="20"/>
              </w:rPr>
              <w:t>revenue</w:t>
            </w:r>
          </w:p>
        </w:tc>
        <w:tc>
          <w:tcPr>
            <w:tcW w:w="1140" w:type="dxa"/>
            <w:tcBorders>
              <w:bottom w:val="single" w:sz="8" w:space="0" w:color="000000"/>
            </w:tcBorders>
          </w:tcPr>
          <w:p>
            <w:pPr>
              <w:pStyle w:val="TableParagraph"/>
              <w:spacing w:before="2"/>
              <w:ind w:right="68"/>
              <w:jc w:val="right"/>
              <w:rPr>
                <w:sz w:val="20"/>
              </w:rPr>
            </w:pPr>
            <w:r>
              <w:rPr>
                <w:spacing w:val="-5"/>
                <w:sz w:val="20"/>
              </w:rPr>
              <w:t>2%</w:t>
            </w:r>
          </w:p>
        </w:tc>
        <w:tc>
          <w:tcPr>
            <w:tcW w:w="1180" w:type="dxa"/>
            <w:tcBorders>
              <w:bottom w:val="single" w:sz="8" w:space="0" w:color="000000"/>
            </w:tcBorders>
          </w:tcPr>
          <w:p>
            <w:pPr>
              <w:pStyle w:val="TableParagraph"/>
              <w:spacing w:before="2"/>
              <w:ind w:right="68"/>
              <w:jc w:val="right"/>
              <w:rPr>
                <w:sz w:val="20"/>
              </w:rPr>
            </w:pPr>
            <w:r>
              <w:rPr>
                <w:spacing w:val="-5"/>
                <w:sz w:val="20"/>
              </w:rPr>
              <w:t>3%</w:t>
            </w:r>
          </w:p>
        </w:tc>
        <w:tc>
          <w:tcPr>
            <w:tcW w:w="1100" w:type="dxa"/>
            <w:tcBorders>
              <w:bottom w:val="single" w:sz="8" w:space="0" w:color="000000"/>
            </w:tcBorders>
          </w:tcPr>
          <w:p>
            <w:pPr>
              <w:pStyle w:val="TableParagraph"/>
              <w:spacing w:before="2"/>
              <w:ind w:right="8"/>
              <w:jc w:val="right"/>
              <w:rPr>
                <w:sz w:val="20"/>
              </w:rPr>
            </w:pPr>
            <w:r>
              <w:rPr>
                <w:spacing w:val="-5"/>
                <w:sz w:val="20"/>
              </w:rPr>
              <w:t>4%</w:t>
            </w:r>
          </w:p>
        </w:tc>
        <w:tc>
          <w:tcPr>
            <w:tcW w:w="1303" w:type="dxa"/>
          </w:tcPr>
          <w:p>
            <w:pPr>
              <w:pStyle w:val="TableParagraph"/>
              <w:rPr>
                <w:sz w:val="18"/>
              </w:rPr>
            </w:pPr>
          </w:p>
        </w:tc>
        <w:tc>
          <w:tcPr>
            <w:tcW w:w="1056" w:type="dxa"/>
          </w:tcPr>
          <w:p>
            <w:pPr>
              <w:pStyle w:val="TableParagraph"/>
              <w:rPr>
                <w:sz w:val="18"/>
              </w:rPr>
            </w:pPr>
          </w:p>
        </w:tc>
      </w:tr>
      <w:tr>
        <w:trPr>
          <w:trHeight w:val="240" w:hRule="atLeast"/>
        </w:trPr>
        <w:tc>
          <w:tcPr>
            <w:tcW w:w="4460" w:type="dxa"/>
            <w:shd w:val="clear" w:color="auto" w:fill="CCEDFF"/>
          </w:tcPr>
          <w:p>
            <w:pPr>
              <w:pStyle w:val="TableParagraph"/>
              <w:spacing w:line="220" w:lineRule="exact"/>
              <w:ind w:left="50"/>
              <w:rPr>
                <w:sz w:val="20"/>
              </w:rPr>
            </w:pPr>
            <w:r>
              <w:rPr>
                <w:spacing w:val="-2"/>
                <w:sz w:val="20"/>
              </w:rPr>
              <w:t>Total</w:t>
            </w:r>
            <w:r>
              <w:rPr>
                <w:spacing w:val="-4"/>
                <w:sz w:val="20"/>
              </w:rPr>
              <w:t> </w:t>
            </w:r>
            <w:r>
              <w:rPr>
                <w:spacing w:val="-2"/>
                <w:sz w:val="20"/>
              </w:rPr>
              <w:t>revenue</w:t>
            </w:r>
          </w:p>
        </w:tc>
        <w:tc>
          <w:tcPr>
            <w:tcW w:w="1140" w:type="dxa"/>
            <w:tcBorders>
              <w:top w:val="single" w:sz="8" w:space="0" w:color="000000"/>
              <w:bottom w:val="double" w:sz="8" w:space="0" w:color="000000"/>
            </w:tcBorders>
            <w:shd w:val="clear" w:color="auto" w:fill="CCEDFF"/>
          </w:tcPr>
          <w:p>
            <w:pPr>
              <w:pStyle w:val="TableParagraph"/>
              <w:spacing w:line="220" w:lineRule="exact"/>
              <w:ind w:left="50"/>
              <w:rPr>
                <w:sz w:val="20"/>
              </w:rPr>
            </w:pPr>
            <w:r>
              <w:rPr>
                <w:sz w:val="20"/>
              </w:rPr>
              <w:t>$</w:t>
            </w:r>
            <w:r>
              <w:rPr>
                <w:spacing w:val="75"/>
                <w:w w:val="150"/>
                <w:sz w:val="20"/>
              </w:rPr>
              <w:t> </w:t>
            </w:r>
            <w:r>
              <w:rPr>
                <w:spacing w:val="-2"/>
                <w:sz w:val="20"/>
              </w:rPr>
              <w:t>7,301.5</w:t>
            </w:r>
          </w:p>
        </w:tc>
        <w:tc>
          <w:tcPr>
            <w:tcW w:w="1180" w:type="dxa"/>
            <w:tcBorders>
              <w:top w:val="single" w:sz="8" w:space="0" w:color="000000"/>
              <w:bottom w:val="double" w:sz="8" w:space="0" w:color="000000"/>
            </w:tcBorders>
            <w:shd w:val="clear" w:color="auto" w:fill="CCEDFF"/>
          </w:tcPr>
          <w:p>
            <w:pPr>
              <w:pStyle w:val="TableParagraph"/>
              <w:spacing w:line="220" w:lineRule="exact"/>
              <w:ind w:left="70"/>
              <w:rPr>
                <w:sz w:val="20"/>
              </w:rPr>
            </w:pPr>
            <w:r>
              <w:rPr>
                <w:sz w:val="20"/>
              </w:rPr>
              <w:t>$</w:t>
            </w:r>
            <w:r>
              <w:rPr>
                <w:spacing w:val="36"/>
                <w:sz w:val="20"/>
              </w:rPr>
              <w:t>  </w:t>
            </w:r>
            <w:r>
              <w:rPr>
                <w:spacing w:val="-2"/>
                <w:sz w:val="20"/>
              </w:rPr>
              <w:t>5,854.4</w:t>
            </w:r>
          </w:p>
        </w:tc>
        <w:tc>
          <w:tcPr>
            <w:tcW w:w="1100" w:type="dxa"/>
            <w:tcBorders>
              <w:top w:val="single" w:sz="8" w:space="0" w:color="000000"/>
              <w:bottom w:val="double" w:sz="8" w:space="0" w:color="000000"/>
            </w:tcBorders>
            <w:shd w:val="clear" w:color="auto" w:fill="CCEDFF"/>
          </w:tcPr>
          <w:p>
            <w:pPr>
              <w:pStyle w:val="TableParagraph"/>
              <w:spacing w:line="220" w:lineRule="exact"/>
              <w:ind w:left="70"/>
              <w:rPr>
                <w:sz w:val="20"/>
              </w:rPr>
            </w:pPr>
            <w:r>
              <w:rPr>
                <w:sz w:val="20"/>
              </w:rPr>
              <w:t>$</w:t>
            </w:r>
            <w:r>
              <w:rPr>
                <w:spacing w:val="75"/>
                <w:w w:val="150"/>
                <w:sz w:val="20"/>
              </w:rPr>
              <w:t> </w:t>
            </w:r>
            <w:r>
              <w:rPr>
                <w:spacing w:val="-2"/>
                <w:sz w:val="20"/>
              </w:rPr>
              <w:t>4,795.5</w:t>
            </w:r>
          </w:p>
        </w:tc>
        <w:tc>
          <w:tcPr>
            <w:tcW w:w="1303" w:type="dxa"/>
            <w:shd w:val="clear" w:color="auto" w:fill="CCEDFF"/>
          </w:tcPr>
          <w:p>
            <w:pPr>
              <w:pStyle w:val="TableParagraph"/>
              <w:spacing w:line="220" w:lineRule="exact"/>
              <w:ind w:right="131"/>
              <w:jc w:val="right"/>
              <w:rPr>
                <w:sz w:val="20"/>
              </w:rPr>
            </w:pPr>
            <w:r>
              <w:rPr>
                <w:sz w:val="20"/>
              </w:rPr>
              <w:t>25</w:t>
            </w:r>
            <w:r>
              <w:rPr>
                <w:spacing w:val="17"/>
                <w:sz w:val="20"/>
              </w:rPr>
              <w:t> </w:t>
            </w:r>
            <w:r>
              <w:rPr>
                <w:spacing w:val="-10"/>
                <w:sz w:val="20"/>
              </w:rPr>
              <w:t>%</w:t>
            </w:r>
          </w:p>
        </w:tc>
        <w:tc>
          <w:tcPr>
            <w:tcW w:w="1056" w:type="dxa"/>
            <w:shd w:val="clear" w:color="auto" w:fill="CCEDFF"/>
          </w:tcPr>
          <w:p>
            <w:pPr>
              <w:pStyle w:val="TableParagraph"/>
              <w:spacing w:line="220" w:lineRule="exact"/>
              <w:ind w:right="7"/>
              <w:jc w:val="right"/>
              <w:rPr>
                <w:sz w:val="20"/>
              </w:rPr>
            </w:pPr>
            <w:r>
              <w:rPr>
                <w:sz w:val="20"/>
              </w:rPr>
              <w:t>22</w:t>
            </w:r>
            <w:r>
              <w:rPr>
                <w:spacing w:val="17"/>
                <w:sz w:val="20"/>
              </w:rPr>
              <w:t> </w:t>
            </w:r>
            <w:r>
              <w:rPr>
                <w:spacing w:val="-10"/>
                <w:sz w:val="20"/>
              </w:rPr>
              <w:t>%</w:t>
            </w:r>
          </w:p>
        </w:tc>
      </w:tr>
      <w:tr>
        <w:trPr>
          <w:trHeight w:val="522" w:hRule="atLeast"/>
        </w:trPr>
        <w:tc>
          <w:tcPr>
            <w:tcW w:w="4460" w:type="dxa"/>
          </w:tcPr>
          <w:p>
            <w:pPr>
              <w:pStyle w:val="TableParagraph"/>
              <w:spacing w:before="193"/>
              <w:ind w:left="-10" w:right="-29"/>
              <w:rPr>
                <w:i/>
                <w:sz w:val="20"/>
              </w:rPr>
            </w:pPr>
            <w:r>
              <w:rPr>
                <w:i/>
                <w:sz w:val="20"/>
              </w:rPr>
              <w:t>Fiscal</w:t>
            </w:r>
            <w:r>
              <w:rPr>
                <w:i/>
                <w:spacing w:val="-3"/>
                <w:sz w:val="20"/>
              </w:rPr>
              <w:t> </w:t>
            </w:r>
            <w:r>
              <w:rPr>
                <w:i/>
                <w:sz w:val="20"/>
              </w:rPr>
              <w:t>2017</w:t>
            </w:r>
            <w:r>
              <w:rPr>
                <w:i/>
                <w:spacing w:val="-2"/>
                <w:sz w:val="20"/>
              </w:rPr>
              <w:t> </w:t>
            </w:r>
            <w:r>
              <w:rPr>
                <w:i/>
                <w:sz w:val="20"/>
              </w:rPr>
              <w:t>Revenue</w:t>
            </w:r>
            <w:r>
              <w:rPr>
                <w:i/>
                <w:spacing w:val="-3"/>
                <w:sz w:val="20"/>
              </w:rPr>
              <w:t> </w:t>
            </w:r>
            <w:r>
              <w:rPr>
                <w:i/>
                <w:sz w:val="20"/>
              </w:rPr>
              <w:t>Compared</w:t>
            </w:r>
            <w:r>
              <w:rPr>
                <w:i/>
                <w:spacing w:val="-2"/>
                <w:sz w:val="20"/>
              </w:rPr>
              <w:t> </w:t>
            </w:r>
            <w:r>
              <w:rPr>
                <w:i/>
                <w:sz w:val="20"/>
              </w:rPr>
              <w:t>to</w:t>
            </w:r>
            <w:r>
              <w:rPr>
                <w:i/>
                <w:spacing w:val="-2"/>
                <w:sz w:val="20"/>
              </w:rPr>
              <w:t> </w:t>
            </w:r>
            <w:r>
              <w:rPr>
                <w:i/>
                <w:sz w:val="20"/>
              </w:rPr>
              <w:t>Fiscal</w:t>
            </w:r>
            <w:r>
              <w:rPr>
                <w:i/>
                <w:spacing w:val="-3"/>
                <w:sz w:val="20"/>
              </w:rPr>
              <w:t> </w:t>
            </w:r>
            <w:r>
              <w:rPr>
                <w:i/>
                <w:sz w:val="20"/>
              </w:rPr>
              <w:t>2016</w:t>
            </w:r>
            <w:r>
              <w:rPr>
                <w:i/>
                <w:spacing w:val="-1"/>
                <w:sz w:val="20"/>
              </w:rPr>
              <w:t> </w:t>
            </w:r>
            <w:r>
              <w:rPr>
                <w:i/>
                <w:spacing w:val="-2"/>
                <w:sz w:val="20"/>
              </w:rPr>
              <w:t>Revenue</w:t>
            </w:r>
          </w:p>
        </w:tc>
        <w:tc>
          <w:tcPr>
            <w:tcW w:w="1140" w:type="dxa"/>
            <w:tcBorders>
              <w:top w:val="double" w:sz="8" w:space="0" w:color="000000"/>
            </w:tcBorders>
          </w:tcPr>
          <w:p>
            <w:pPr>
              <w:pStyle w:val="TableParagraph"/>
              <w:rPr>
                <w:sz w:val="18"/>
              </w:rPr>
            </w:pPr>
          </w:p>
        </w:tc>
        <w:tc>
          <w:tcPr>
            <w:tcW w:w="1180" w:type="dxa"/>
            <w:tcBorders>
              <w:top w:val="double" w:sz="8" w:space="0" w:color="000000"/>
            </w:tcBorders>
          </w:tcPr>
          <w:p>
            <w:pPr>
              <w:pStyle w:val="TableParagraph"/>
              <w:rPr>
                <w:sz w:val="18"/>
              </w:rPr>
            </w:pPr>
          </w:p>
        </w:tc>
        <w:tc>
          <w:tcPr>
            <w:tcW w:w="1100" w:type="dxa"/>
            <w:tcBorders>
              <w:top w:val="double" w:sz="8" w:space="0" w:color="000000"/>
            </w:tcBorders>
          </w:tcPr>
          <w:p>
            <w:pPr>
              <w:pStyle w:val="TableParagraph"/>
              <w:rPr>
                <w:sz w:val="18"/>
              </w:rPr>
            </w:pPr>
          </w:p>
        </w:tc>
        <w:tc>
          <w:tcPr>
            <w:tcW w:w="1303" w:type="dxa"/>
          </w:tcPr>
          <w:p>
            <w:pPr>
              <w:pStyle w:val="TableParagraph"/>
              <w:rPr>
                <w:sz w:val="18"/>
              </w:rPr>
            </w:pPr>
          </w:p>
        </w:tc>
        <w:tc>
          <w:tcPr>
            <w:tcW w:w="1056" w:type="dxa"/>
          </w:tcPr>
          <w:p>
            <w:pPr>
              <w:pStyle w:val="TableParagraph"/>
              <w:rPr>
                <w:sz w:val="18"/>
              </w:rPr>
            </w:pPr>
          </w:p>
        </w:tc>
      </w:tr>
      <w:tr>
        <w:trPr>
          <w:trHeight w:val="320" w:hRule="atLeast"/>
        </w:trPr>
        <w:tc>
          <w:tcPr>
            <w:tcW w:w="4460" w:type="dxa"/>
          </w:tcPr>
          <w:p>
            <w:pPr>
              <w:pStyle w:val="TableParagraph"/>
              <w:spacing w:line="210" w:lineRule="exact" w:before="90"/>
              <w:ind w:left="-10"/>
              <w:rPr>
                <w:i/>
                <w:sz w:val="20"/>
              </w:rPr>
            </w:pPr>
            <w:r>
              <w:rPr>
                <w:i/>
                <w:sz w:val="20"/>
              </w:rPr>
              <w:t>Digital</w:t>
            </w:r>
            <w:r>
              <w:rPr>
                <w:i/>
                <w:spacing w:val="-1"/>
                <w:sz w:val="20"/>
              </w:rPr>
              <w:t> </w:t>
            </w:r>
            <w:r>
              <w:rPr>
                <w:i/>
                <w:spacing w:val="-2"/>
                <w:sz w:val="20"/>
              </w:rPr>
              <w:t>Media</w:t>
            </w:r>
          </w:p>
        </w:tc>
        <w:tc>
          <w:tcPr>
            <w:tcW w:w="1140" w:type="dxa"/>
          </w:tcPr>
          <w:p>
            <w:pPr>
              <w:pStyle w:val="TableParagraph"/>
              <w:rPr>
                <w:sz w:val="18"/>
              </w:rPr>
            </w:pPr>
          </w:p>
        </w:tc>
        <w:tc>
          <w:tcPr>
            <w:tcW w:w="1180" w:type="dxa"/>
          </w:tcPr>
          <w:p>
            <w:pPr>
              <w:pStyle w:val="TableParagraph"/>
              <w:rPr>
                <w:sz w:val="18"/>
              </w:rPr>
            </w:pPr>
          </w:p>
        </w:tc>
        <w:tc>
          <w:tcPr>
            <w:tcW w:w="1100" w:type="dxa"/>
          </w:tcPr>
          <w:p>
            <w:pPr>
              <w:pStyle w:val="TableParagraph"/>
              <w:rPr>
                <w:sz w:val="18"/>
              </w:rPr>
            </w:pPr>
          </w:p>
        </w:tc>
        <w:tc>
          <w:tcPr>
            <w:tcW w:w="1303" w:type="dxa"/>
          </w:tcPr>
          <w:p>
            <w:pPr>
              <w:pStyle w:val="TableParagraph"/>
              <w:rPr>
                <w:sz w:val="18"/>
              </w:rPr>
            </w:pPr>
          </w:p>
        </w:tc>
        <w:tc>
          <w:tcPr>
            <w:tcW w:w="1056" w:type="dxa"/>
          </w:tcPr>
          <w:p>
            <w:pPr>
              <w:pStyle w:val="TableParagraph"/>
              <w:rPr>
                <w:sz w:val="18"/>
              </w:rPr>
            </w:pPr>
          </w:p>
        </w:tc>
      </w:tr>
    </w:tbl>
    <w:p>
      <w:pPr>
        <w:pStyle w:val="BodyText"/>
        <w:spacing w:line="249" w:lineRule="auto" w:before="193"/>
        <w:ind w:left="220" w:right="259" w:firstLine="540"/>
        <w:jc w:val="both"/>
      </w:pPr>
      <w:r>
        <w:rPr/>
        <w:t>Revenue from Digital Media increased $1.07 billion during fiscal 2017 as compared to fiscal 2016, primarily driven by increases in revenue associated with our creative offerings.</w:t>
      </w:r>
    </w:p>
    <w:p>
      <w:pPr>
        <w:pStyle w:val="BodyText"/>
        <w:spacing w:before="12"/>
      </w:pPr>
    </w:p>
    <w:p>
      <w:pPr>
        <w:pStyle w:val="BodyText"/>
        <w:spacing w:line="249" w:lineRule="auto"/>
        <w:ind w:left="220" w:right="257" w:firstLine="540"/>
        <w:jc w:val="both"/>
      </w:pPr>
      <w:r>
        <w:rPr/>
        <w:t>Revenue</w:t>
      </w:r>
      <w:r>
        <w:rPr>
          <w:spacing w:val="-12"/>
        </w:rPr>
        <w:t> </w:t>
      </w:r>
      <w:r>
        <w:rPr/>
        <w:t>associated</w:t>
      </w:r>
      <w:r>
        <w:rPr>
          <w:spacing w:val="-12"/>
        </w:rPr>
        <w:t> </w:t>
      </w:r>
      <w:r>
        <w:rPr/>
        <w:t>with</w:t>
      </w:r>
      <w:r>
        <w:rPr>
          <w:spacing w:val="-12"/>
        </w:rPr>
        <w:t> </w:t>
      </w:r>
      <w:r>
        <w:rPr/>
        <w:t>our</w:t>
      </w:r>
      <w:r>
        <w:rPr>
          <w:spacing w:val="-12"/>
        </w:rPr>
        <w:t> </w:t>
      </w:r>
      <w:r>
        <w:rPr/>
        <w:t>creative</w:t>
      </w:r>
      <w:r>
        <w:rPr>
          <w:spacing w:val="-13"/>
        </w:rPr>
        <w:t> </w:t>
      </w:r>
      <w:r>
        <w:rPr/>
        <w:t>offerings,</w:t>
      </w:r>
      <w:r>
        <w:rPr>
          <w:spacing w:val="-11"/>
        </w:rPr>
        <w:t> </w:t>
      </w:r>
      <w:r>
        <w:rPr/>
        <w:t>which</w:t>
      </w:r>
      <w:r>
        <w:rPr>
          <w:spacing w:val="-12"/>
        </w:rPr>
        <w:t> </w:t>
      </w:r>
      <w:r>
        <w:rPr/>
        <w:t>includes</w:t>
      </w:r>
      <w:r>
        <w:rPr>
          <w:spacing w:val="-12"/>
        </w:rPr>
        <w:t> </w:t>
      </w:r>
      <w:r>
        <w:rPr/>
        <w:t>our</w:t>
      </w:r>
      <w:r>
        <w:rPr>
          <w:spacing w:val="-12"/>
        </w:rPr>
        <w:t> </w:t>
      </w:r>
      <w:r>
        <w:rPr/>
        <w:t>Creative</w:t>
      </w:r>
      <w:r>
        <w:rPr>
          <w:spacing w:val="-12"/>
        </w:rPr>
        <w:t> </w:t>
      </w:r>
      <w:r>
        <w:rPr/>
        <w:t>Cloud,</w:t>
      </w:r>
      <w:r>
        <w:rPr>
          <w:spacing w:val="-12"/>
        </w:rPr>
        <w:t> </w:t>
      </w:r>
      <w:r>
        <w:rPr/>
        <w:t>perpetually</w:t>
      </w:r>
      <w:r>
        <w:rPr>
          <w:spacing w:val="-12"/>
        </w:rPr>
        <w:t> </w:t>
      </w:r>
      <w:r>
        <w:rPr/>
        <w:t>licensed</w:t>
      </w:r>
      <w:r>
        <w:rPr>
          <w:spacing w:val="-12"/>
        </w:rPr>
        <w:t> </w:t>
      </w:r>
      <w:r>
        <w:rPr/>
        <w:t>creative</w:t>
      </w:r>
      <w:r>
        <w:rPr>
          <w:spacing w:val="-13"/>
        </w:rPr>
        <w:t> </w:t>
      </w:r>
      <w:r>
        <w:rPr/>
        <w:t>and</w:t>
      </w:r>
      <w:r>
        <w:rPr>
          <w:spacing w:val="-11"/>
        </w:rPr>
        <w:t> </w:t>
      </w:r>
      <w:r>
        <w:rPr/>
        <w:t>stock photography offerings, increased during fiscal 2017. The increase was primarily due to an increase in subscription revenue </w:t>
      </w:r>
      <w:r>
        <w:rPr>
          <w:spacing w:val="-2"/>
        </w:rPr>
        <w:t>associated</w:t>
      </w:r>
      <w:r>
        <w:rPr>
          <w:spacing w:val="-10"/>
        </w:rPr>
        <w:t> </w:t>
      </w:r>
      <w:r>
        <w:rPr>
          <w:spacing w:val="-2"/>
        </w:rPr>
        <w:t>with</w:t>
      </w:r>
      <w:r>
        <w:rPr>
          <w:spacing w:val="-5"/>
        </w:rPr>
        <w:t> </w:t>
      </w:r>
      <w:r>
        <w:rPr>
          <w:spacing w:val="-2"/>
        </w:rPr>
        <w:t>our</w:t>
      </w:r>
      <w:r>
        <w:rPr>
          <w:spacing w:val="-5"/>
        </w:rPr>
        <w:t> </w:t>
      </w:r>
      <w:r>
        <w:rPr>
          <w:spacing w:val="-2"/>
        </w:rPr>
        <w:t>Creative</w:t>
      </w:r>
      <w:r>
        <w:rPr>
          <w:spacing w:val="-6"/>
        </w:rPr>
        <w:t> </w:t>
      </w:r>
      <w:r>
        <w:rPr>
          <w:spacing w:val="-2"/>
        </w:rPr>
        <w:t>Cloud</w:t>
      </w:r>
      <w:r>
        <w:rPr>
          <w:spacing w:val="-5"/>
        </w:rPr>
        <w:t> </w:t>
      </w:r>
      <w:r>
        <w:rPr>
          <w:spacing w:val="-2"/>
        </w:rPr>
        <w:t>offerings</w:t>
      </w:r>
      <w:r>
        <w:rPr>
          <w:spacing w:val="-5"/>
        </w:rPr>
        <w:t> </w:t>
      </w:r>
      <w:r>
        <w:rPr>
          <w:spacing w:val="-2"/>
        </w:rPr>
        <w:t>driven</w:t>
      </w:r>
      <w:r>
        <w:rPr>
          <w:spacing w:val="-5"/>
        </w:rPr>
        <w:t> </w:t>
      </w:r>
      <w:r>
        <w:rPr>
          <w:spacing w:val="-2"/>
        </w:rPr>
        <w:t>by</w:t>
      </w:r>
      <w:r>
        <w:rPr>
          <w:spacing w:val="-5"/>
        </w:rPr>
        <w:t> </w:t>
      </w:r>
      <w:r>
        <w:rPr>
          <w:spacing w:val="-2"/>
        </w:rPr>
        <w:t>increases</w:t>
      </w:r>
      <w:r>
        <w:rPr>
          <w:spacing w:val="-5"/>
        </w:rPr>
        <w:t> </w:t>
      </w:r>
      <w:r>
        <w:rPr>
          <w:spacing w:val="-2"/>
        </w:rPr>
        <w:t>in</w:t>
      </w:r>
      <w:r>
        <w:rPr>
          <w:spacing w:val="-5"/>
        </w:rPr>
        <w:t> </w:t>
      </w:r>
      <w:r>
        <w:rPr>
          <w:spacing w:val="-2"/>
        </w:rPr>
        <w:t>individual,</w:t>
      </w:r>
      <w:r>
        <w:rPr>
          <w:spacing w:val="-5"/>
        </w:rPr>
        <w:t> </w:t>
      </w:r>
      <w:r>
        <w:rPr>
          <w:spacing w:val="-2"/>
        </w:rPr>
        <w:t>team</w:t>
      </w:r>
      <w:r>
        <w:rPr>
          <w:spacing w:val="-5"/>
        </w:rPr>
        <w:t> </w:t>
      </w:r>
      <w:r>
        <w:rPr>
          <w:spacing w:val="-2"/>
        </w:rPr>
        <w:t>and</w:t>
      </w:r>
      <w:r>
        <w:rPr>
          <w:spacing w:val="-5"/>
        </w:rPr>
        <w:t> </w:t>
      </w:r>
      <w:r>
        <w:rPr>
          <w:spacing w:val="-2"/>
        </w:rPr>
        <w:t>enterprise</w:t>
      </w:r>
      <w:r>
        <w:rPr>
          <w:spacing w:val="-6"/>
        </w:rPr>
        <w:t> </w:t>
      </w:r>
      <w:r>
        <w:rPr>
          <w:spacing w:val="-2"/>
        </w:rPr>
        <w:t>subscriptions.</w:t>
      </w:r>
      <w:r>
        <w:rPr>
          <w:spacing w:val="-11"/>
        </w:rPr>
        <w:t> </w:t>
      </w:r>
      <w:r>
        <w:rPr>
          <w:spacing w:val="-2"/>
        </w:rPr>
        <w:t>Also</w:t>
      </w:r>
      <w:r>
        <w:rPr>
          <w:spacing w:val="-4"/>
        </w:rPr>
        <w:t> </w:t>
      </w:r>
      <w:r>
        <w:rPr>
          <w:spacing w:val="-2"/>
        </w:rPr>
        <w:t>contributing </w:t>
      </w:r>
      <w:r>
        <w:rPr/>
        <w:t>to the increase in revenue was revenue growth associated with our Creative Cloud Photography Plan subscription offering.</w:t>
      </w:r>
    </w:p>
    <w:p>
      <w:pPr>
        <w:pStyle w:val="BodyText"/>
        <w:spacing w:before="13"/>
      </w:pPr>
    </w:p>
    <w:p>
      <w:pPr>
        <w:pStyle w:val="BodyText"/>
        <w:spacing w:line="249" w:lineRule="auto"/>
        <w:ind w:left="220" w:right="257" w:firstLine="540"/>
        <w:jc w:val="both"/>
      </w:pPr>
      <w:r>
        <w:rPr/>
        <w:t>Adobe Document Cloud revenue, which includes our</w:t>
      </w:r>
      <w:r>
        <w:rPr>
          <w:spacing w:val="-5"/>
        </w:rPr>
        <w:t> </w:t>
      </w:r>
      <w:r>
        <w:rPr/>
        <w:t>Acrobat product family and</w:t>
      </w:r>
      <w:r>
        <w:rPr>
          <w:spacing w:val="-5"/>
        </w:rPr>
        <w:t> </w:t>
      </w:r>
      <w:r>
        <w:rPr/>
        <w:t>Adobe Sign service, increased during fiscal 2017 as compared to fiscal 2016 primarily due to increases in Document Cloud subscriptions revenue, offset in part by expected declines in revenue associated with our perpetually licensed Acrobat offering.</w:t>
      </w:r>
      <w:r>
        <w:rPr>
          <w:spacing w:val="40"/>
        </w:rPr>
        <w:t> </w:t>
      </w:r>
      <w:r>
        <w:rPr/>
        <w:t>Also contributing to the increase in Document Cloud revenue was an increase in Adobe Sign revenue.</w:t>
      </w:r>
    </w:p>
    <w:p>
      <w:pPr>
        <w:pStyle w:val="BodyText"/>
        <w:spacing w:before="13"/>
      </w:pPr>
    </w:p>
    <w:p>
      <w:pPr>
        <w:spacing w:before="0"/>
        <w:ind w:left="220" w:right="0" w:firstLine="0"/>
        <w:jc w:val="left"/>
        <w:rPr>
          <w:i/>
          <w:sz w:val="20"/>
        </w:rPr>
      </w:pPr>
      <w:r>
        <w:rPr>
          <w:i/>
          <w:sz w:val="20"/>
        </w:rPr>
        <w:t>Digital</w:t>
      </w:r>
      <w:r>
        <w:rPr>
          <w:i/>
          <w:spacing w:val="-1"/>
          <w:sz w:val="20"/>
        </w:rPr>
        <w:t> </w:t>
      </w:r>
      <w:r>
        <w:rPr>
          <w:i/>
          <w:spacing w:val="-2"/>
          <w:sz w:val="20"/>
        </w:rPr>
        <w:t>Marketing</w:t>
      </w:r>
    </w:p>
    <w:p>
      <w:pPr>
        <w:pStyle w:val="BodyText"/>
        <w:spacing w:line="249" w:lineRule="auto" w:before="190"/>
        <w:ind w:left="220" w:right="257" w:firstLine="540"/>
        <w:jc w:val="both"/>
      </w:pPr>
      <w:r>
        <w:rPr/>
        <w:t>Revenue</w:t>
      </w:r>
      <w:r>
        <w:rPr>
          <w:spacing w:val="-5"/>
        </w:rPr>
        <w:t> </w:t>
      </w:r>
      <w:r>
        <w:rPr/>
        <w:t>from</w:t>
      </w:r>
      <w:r>
        <w:rPr>
          <w:spacing w:val="-5"/>
        </w:rPr>
        <w:t> </w:t>
      </w:r>
      <w:r>
        <w:rPr/>
        <w:t>Digital</w:t>
      </w:r>
      <w:r>
        <w:rPr>
          <w:spacing w:val="-6"/>
        </w:rPr>
        <w:t> </w:t>
      </w:r>
      <w:r>
        <w:rPr/>
        <w:t>Marketing</w:t>
      </w:r>
      <w:r>
        <w:rPr>
          <w:spacing w:val="-5"/>
        </w:rPr>
        <w:t> </w:t>
      </w:r>
      <w:r>
        <w:rPr/>
        <w:t>increased</w:t>
      </w:r>
      <w:r>
        <w:rPr>
          <w:spacing w:val="-5"/>
        </w:rPr>
        <w:t> </w:t>
      </w:r>
      <w:r>
        <w:rPr/>
        <w:t>$383.4</w:t>
      </w:r>
      <w:r>
        <w:rPr>
          <w:spacing w:val="-5"/>
        </w:rPr>
        <w:t> </w:t>
      </w:r>
      <w:r>
        <w:rPr/>
        <w:t>million</w:t>
      </w:r>
      <w:r>
        <w:rPr>
          <w:spacing w:val="-5"/>
        </w:rPr>
        <w:t> </w:t>
      </w:r>
      <w:r>
        <w:rPr/>
        <w:t>during</w:t>
      </w:r>
      <w:r>
        <w:rPr>
          <w:spacing w:val="-5"/>
        </w:rPr>
        <w:t> </w:t>
      </w:r>
      <w:r>
        <w:rPr/>
        <w:t>fiscal</w:t>
      </w:r>
      <w:r>
        <w:rPr>
          <w:spacing w:val="-5"/>
        </w:rPr>
        <w:t> </w:t>
      </w:r>
      <w:r>
        <w:rPr/>
        <w:t>2017,</w:t>
      </w:r>
      <w:r>
        <w:rPr>
          <w:spacing w:val="-5"/>
        </w:rPr>
        <w:t> </w:t>
      </w:r>
      <w:r>
        <w:rPr/>
        <w:t>as</w:t>
      </w:r>
      <w:r>
        <w:rPr>
          <w:spacing w:val="-5"/>
        </w:rPr>
        <w:t> </w:t>
      </w:r>
      <w:r>
        <w:rPr/>
        <w:t>compared</w:t>
      </w:r>
      <w:r>
        <w:rPr>
          <w:spacing w:val="-5"/>
        </w:rPr>
        <w:t> </w:t>
      </w:r>
      <w:r>
        <w:rPr/>
        <w:t>to</w:t>
      </w:r>
      <w:r>
        <w:rPr>
          <w:spacing w:val="-5"/>
        </w:rPr>
        <w:t> </w:t>
      </w:r>
      <w:r>
        <w:rPr/>
        <w:t>fiscal</w:t>
      </w:r>
      <w:r>
        <w:rPr>
          <w:spacing w:val="-5"/>
        </w:rPr>
        <w:t> </w:t>
      </w:r>
      <w:r>
        <w:rPr/>
        <w:t>2016</w:t>
      </w:r>
      <w:r>
        <w:rPr>
          <w:spacing w:val="-5"/>
        </w:rPr>
        <w:t> </w:t>
      </w:r>
      <w:r>
        <w:rPr/>
        <w:t>primarily</w:t>
      </w:r>
      <w:r>
        <w:rPr>
          <w:spacing w:val="-5"/>
        </w:rPr>
        <w:t> </w:t>
      </w:r>
      <w:r>
        <w:rPr/>
        <w:t>due</w:t>
      </w:r>
      <w:r>
        <w:rPr>
          <w:spacing w:val="-5"/>
        </w:rPr>
        <w:t> </w:t>
      </w:r>
      <w:r>
        <w:rPr/>
        <w:t>to subscription revenue growth associated with our</w:t>
      </w:r>
      <w:r>
        <w:rPr>
          <w:spacing w:val="-11"/>
        </w:rPr>
        <w:t> </w:t>
      </w:r>
      <w:r>
        <w:rPr/>
        <w:t>Adobe Experience Cloud.</w:t>
      </w:r>
      <w:r>
        <w:rPr>
          <w:spacing w:val="40"/>
        </w:rPr>
        <w:t> </w:t>
      </w:r>
      <w:r>
        <w:rPr/>
        <w:t>The increase in subscription revenue was driven by </w:t>
      </w:r>
      <w:r>
        <w:rPr>
          <w:spacing w:val="-4"/>
        </w:rPr>
        <w:t>strong</w:t>
      </w:r>
      <w:r>
        <w:rPr>
          <w:spacing w:val="-9"/>
        </w:rPr>
        <w:t> </w:t>
      </w:r>
      <w:r>
        <w:rPr>
          <w:spacing w:val="-4"/>
        </w:rPr>
        <w:t>performance with our</w:t>
      </w:r>
      <w:r>
        <w:rPr>
          <w:spacing w:val="-9"/>
        </w:rPr>
        <w:t> </w:t>
      </w:r>
      <w:r>
        <w:rPr>
          <w:spacing w:val="-4"/>
        </w:rPr>
        <w:t>Adobe Marketing Cloud offerings, which include</w:t>
      </w:r>
      <w:r>
        <w:rPr>
          <w:spacing w:val="-9"/>
        </w:rPr>
        <w:t> </w:t>
      </w:r>
      <w:r>
        <w:rPr>
          <w:spacing w:val="-4"/>
        </w:rPr>
        <w:t>AEM and</w:t>
      </w:r>
      <w:r>
        <w:rPr>
          <w:spacing w:val="-9"/>
        </w:rPr>
        <w:t> </w:t>
      </w:r>
      <w:r>
        <w:rPr>
          <w:spacing w:val="-4"/>
        </w:rPr>
        <w:t>Adobe Campaign, and our</w:t>
      </w:r>
      <w:r>
        <w:rPr>
          <w:spacing w:val="-9"/>
        </w:rPr>
        <w:t> </w:t>
      </w:r>
      <w:r>
        <w:rPr>
          <w:spacing w:val="-4"/>
        </w:rPr>
        <w:t>Adobe</w:t>
      </w:r>
      <w:r>
        <w:rPr>
          <w:spacing w:val="-8"/>
        </w:rPr>
        <w:t> </w:t>
      </w:r>
      <w:r>
        <w:rPr>
          <w:spacing w:val="-4"/>
        </w:rPr>
        <w:t>Analytics </w:t>
      </w:r>
      <w:r>
        <w:rPr/>
        <w:t>Cloud</w:t>
      </w:r>
      <w:r>
        <w:rPr>
          <w:spacing w:val="-2"/>
        </w:rPr>
        <w:t> </w:t>
      </w:r>
      <w:r>
        <w:rPr/>
        <w:t>offerings,</w:t>
      </w:r>
      <w:r>
        <w:rPr>
          <w:spacing w:val="-2"/>
        </w:rPr>
        <w:t> </w:t>
      </w:r>
      <w:r>
        <w:rPr/>
        <w:t>which</w:t>
      </w:r>
      <w:r>
        <w:rPr>
          <w:spacing w:val="-2"/>
        </w:rPr>
        <w:t> </w:t>
      </w:r>
      <w:r>
        <w:rPr/>
        <w:t>includes</w:t>
      </w:r>
      <w:r>
        <w:rPr>
          <w:spacing w:val="-12"/>
        </w:rPr>
        <w:t> </w:t>
      </w:r>
      <w:r>
        <w:rPr/>
        <w:t>Audience</w:t>
      </w:r>
      <w:r>
        <w:rPr>
          <w:spacing w:val="-2"/>
        </w:rPr>
        <w:t> </w:t>
      </w:r>
      <w:r>
        <w:rPr/>
        <w:t>Manager.</w:t>
      </w:r>
      <w:r>
        <w:rPr>
          <w:spacing w:val="-13"/>
        </w:rPr>
        <w:t> </w:t>
      </w:r>
      <w:r>
        <w:rPr/>
        <w:t>Also</w:t>
      </w:r>
      <w:r>
        <w:rPr>
          <w:spacing w:val="-1"/>
        </w:rPr>
        <w:t> </w:t>
      </w:r>
      <w:r>
        <w:rPr/>
        <w:t>contributing</w:t>
      </w:r>
      <w:r>
        <w:rPr>
          <w:spacing w:val="-2"/>
        </w:rPr>
        <w:t> </w:t>
      </w:r>
      <w:r>
        <w:rPr/>
        <w:t>to</w:t>
      </w:r>
      <w:r>
        <w:rPr>
          <w:spacing w:val="-2"/>
        </w:rPr>
        <w:t> </w:t>
      </w:r>
      <w:r>
        <w:rPr/>
        <w:t>the</w:t>
      </w:r>
      <w:r>
        <w:rPr>
          <w:spacing w:val="-2"/>
        </w:rPr>
        <w:t> </w:t>
      </w:r>
      <w:r>
        <w:rPr/>
        <w:t>increase</w:t>
      </w:r>
      <w:r>
        <w:rPr>
          <w:spacing w:val="-2"/>
        </w:rPr>
        <w:t> </w:t>
      </w:r>
      <w:r>
        <w:rPr/>
        <w:t>in</w:t>
      </w:r>
      <w:r>
        <w:rPr>
          <w:spacing w:val="-13"/>
        </w:rPr>
        <w:t> </w:t>
      </w:r>
      <w:r>
        <w:rPr/>
        <w:t>Adobe</w:t>
      </w:r>
      <w:r>
        <w:rPr>
          <w:spacing w:val="-1"/>
        </w:rPr>
        <w:t> </w:t>
      </w:r>
      <w:r>
        <w:rPr/>
        <w:t>Experience</w:t>
      </w:r>
      <w:r>
        <w:rPr>
          <w:spacing w:val="-2"/>
        </w:rPr>
        <w:t> </w:t>
      </w:r>
      <w:r>
        <w:rPr/>
        <w:t>Cloud</w:t>
      </w:r>
      <w:r>
        <w:rPr>
          <w:spacing w:val="-2"/>
        </w:rPr>
        <w:t> </w:t>
      </w:r>
      <w:r>
        <w:rPr/>
        <w:t>revenue</w:t>
      </w:r>
      <w:r>
        <w:rPr>
          <w:spacing w:val="-2"/>
        </w:rPr>
        <w:t> </w:t>
      </w:r>
      <w:r>
        <w:rPr/>
        <w:t>were increases</w:t>
      </w:r>
      <w:r>
        <w:rPr>
          <w:spacing w:val="-13"/>
        </w:rPr>
        <w:t> </w:t>
      </w:r>
      <w:r>
        <w:rPr/>
        <w:t>in</w:t>
      </w:r>
      <w:r>
        <w:rPr>
          <w:spacing w:val="-12"/>
        </w:rPr>
        <w:t> </w:t>
      </w:r>
      <w:r>
        <w:rPr/>
        <w:t>revenue</w:t>
      </w:r>
      <w:r>
        <w:rPr>
          <w:spacing w:val="-10"/>
        </w:rPr>
        <w:t> </w:t>
      </w:r>
      <w:r>
        <w:rPr/>
        <w:t>associated</w:t>
      </w:r>
      <w:r>
        <w:rPr>
          <w:spacing w:val="-9"/>
        </w:rPr>
        <w:t> </w:t>
      </w:r>
      <w:r>
        <w:rPr/>
        <w:t>with</w:t>
      </w:r>
      <w:r>
        <w:rPr>
          <w:spacing w:val="-9"/>
        </w:rPr>
        <w:t> </w:t>
      </w:r>
      <w:r>
        <w:rPr/>
        <w:t>our</w:t>
      </w:r>
      <w:r>
        <w:rPr>
          <w:spacing w:val="-13"/>
        </w:rPr>
        <w:t> </w:t>
      </w:r>
      <w:r>
        <w:rPr/>
        <w:t>Adobe</w:t>
      </w:r>
      <w:r>
        <w:rPr>
          <w:spacing w:val="-12"/>
        </w:rPr>
        <w:t> </w:t>
      </w:r>
      <w:r>
        <w:rPr/>
        <w:t>Advertising</w:t>
      </w:r>
      <w:r>
        <w:rPr>
          <w:spacing w:val="-9"/>
        </w:rPr>
        <w:t> </w:t>
      </w:r>
      <w:r>
        <w:rPr/>
        <w:t>Cloud</w:t>
      </w:r>
      <w:r>
        <w:rPr>
          <w:spacing w:val="-9"/>
        </w:rPr>
        <w:t> </w:t>
      </w:r>
      <w:r>
        <w:rPr/>
        <w:t>offerings,</w:t>
      </w:r>
      <w:r>
        <w:rPr>
          <w:spacing w:val="-9"/>
        </w:rPr>
        <w:t> </w:t>
      </w:r>
      <w:r>
        <w:rPr/>
        <w:t>including</w:t>
      </w:r>
      <w:r>
        <w:rPr>
          <w:spacing w:val="-12"/>
        </w:rPr>
        <w:t> </w:t>
      </w:r>
      <w:r>
        <w:rPr/>
        <w:t>Tubemogul</w:t>
      </w:r>
      <w:r>
        <w:rPr>
          <w:spacing w:val="-9"/>
        </w:rPr>
        <w:t> </w:t>
      </w:r>
      <w:r>
        <w:rPr/>
        <w:t>which</w:t>
      </w:r>
      <w:r>
        <w:rPr>
          <w:spacing w:val="-9"/>
        </w:rPr>
        <w:t> </w:t>
      </w:r>
      <w:r>
        <w:rPr/>
        <w:t>we</w:t>
      </w:r>
      <w:r>
        <w:rPr>
          <w:spacing w:val="-9"/>
        </w:rPr>
        <w:t> </w:t>
      </w:r>
      <w:r>
        <w:rPr/>
        <w:t>acquired</w:t>
      </w:r>
      <w:r>
        <w:rPr>
          <w:spacing w:val="-9"/>
        </w:rPr>
        <w:t> </w:t>
      </w:r>
      <w:r>
        <w:rPr/>
        <w:t>in</w:t>
      </w:r>
      <w:r>
        <w:rPr>
          <w:spacing w:val="-9"/>
        </w:rPr>
        <w:t> </w:t>
      </w:r>
      <w:r>
        <w:rPr/>
        <w:t>the</w:t>
      </w:r>
      <w:r>
        <w:rPr>
          <w:spacing w:val="-9"/>
        </w:rPr>
        <w:t> </w:t>
      </w:r>
      <w:r>
        <w:rPr/>
        <w:t>first quarter of fiscal 2017.</w:t>
      </w:r>
    </w:p>
    <w:p>
      <w:pPr>
        <w:spacing w:after="0" w:line="249" w:lineRule="auto"/>
        <w:jc w:val="both"/>
        <w:sectPr>
          <w:pgSz w:w="12240" w:h="15840"/>
          <w:pgMar w:header="210" w:footer="579" w:top="420" w:bottom="800" w:left="780" w:right="740"/>
        </w:sectPr>
      </w:pPr>
    </w:p>
    <w:p>
      <w:pPr>
        <w:pStyle w:val="BodyText"/>
        <w:spacing w:before="150"/>
      </w:pPr>
    </w:p>
    <w:p>
      <w:pPr>
        <w:spacing w:line="439" w:lineRule="auto" w:before="0"/>
        <w:ind w:left="220" w:right="5494" w:firstLine="0"/>
        <w:jc w:val="left"/>
        <w:rPr>
          <w:i/>
          <w:sz w:val="20"/>
        </w:rPr>
      </w:pPr>
      <w:r>
        <w:rPr>
          <w:i/>
          <w:sz w:val="20"/>
        </w:rPr>
        <w:t>Fiscal</w:t>
      </w:r>
      <w:r>
        <w:rPr>
          <w:i/>
          <w:spacing w:val="-7"/>
          <w:sz w:val="20"/>
        </w:rPr>
        <w:t> </w:t>
      </w:r>
      <w:r>
        <w:rPr>
          <w:i/>
          <w:sz w:val="20"/>
        </w:rPr>
        <w:t>2016</w:t>
      </w:r>
      <w:r>
        <w:rPr>
          <w:i/>
          <w:spacing w:val="-6"/>
          <w:sz w:val="20"/>
        </w:rPr>
        <w:t> </w:t>
      </w:r>
      <w:r>
        <w:rPr>
          <w:i/>
          <w:sz w:val="20"/>
        </w:rPr>
        <w:t>Revenue</w:t>
      </w:r>
      <w:r>
        <w:rPr>
          <w:i/>
          <w:spacing w:val="-7"/>
          <w:sz w:val="20"/>
        </w:rPr>
        <w:t> </w:t>
      </w:r>
      <w:r>
        <w:rPr>
          <w:i/>
          <w:sz w:val="20"/>
        </w:rPr>
        <w:t>Compared</w:t>
      </w:r>
      <w:r>
        <w:rPr>
          <w:i/>
          <w:spacing w:val="-6"/>
          <w:sz w:val="20"/>
        </w:rPr>
        <w:t> </w:t>
      </w:r>
      <w:r>
        <w:rPr>
          <w:i/>
          <w:sz w:val="20"/>
        </w:rPr>
        <w:t>to</w:t>
      </w:r>
      <w:r>
        <w:rPr>
          <w:i/>
          <w:spacing w:val="-6"/>
          <w:sz w:val="20"/>
        </w:rPr>
        <w:t> </w:t>
      </w:r>
      <w:r>
        <w:rPr>
          <w:i/>
          <w:sz w:val="20"/>
        </w:rPr>
        <w:t>Fiscal</w:t>
      </w:r>
      <w:r>
        <w:rPr>
          <w:i/>
          <w:spacing w:val="-7"/>
          <w:sz w:val="20"/>
        </w:rPr>
        <w:t> </w:t>
      </w:r>
      <w:r>
        <w:rPr>
          <w:i/>
          <w:sz w:val="20"/>
        </w:rPr>
        <w:t>2015</w:t>
      </w:r>
      <w:r>
        <w:rPr>
          <w:i/>
          <w:spacing w:val="-6"/>
          <w:sz w:val="20"/>
        </w:rPr>
        <w:t> </w:t>
      </w:r>
      <w:r>
        <w:rPr>
          <w:i/>
          <w:sz w:val="20"/>
        </w:rPr>
        <w:t>Revenue Digital Media</w:t>
      </w:r>
    </w:p>
    <w:p>
      <w:pPr>
        <w:pStyle w:val="BodyText"/>
        <w:spacing w:line="249" w:lineRule="auto"/>
        <w:ind w:left="220" w:right="257" w:firstLine="540"/>
        <w:jc w:val="both"/>
      </w:pPr>
      <w:r>
        <w:rPr/>
        <w:t>Revenue</w:t>
      </w:r>
      <w:r>
        <w:rPr>
          <w:spacing w:val="-2"/>
        </w:rPr>
        <w:t> </w:t>
      </w:r>
      <w:r>
        <w:rPr/>
        <w:t>from</w:t>
      </w:r>
      <w:r>
        <w:rPr>
          <w:spacing w:val="-2"/>
        </w:rPr>
        <w:t> </w:t>
      </w:r>
      <w:r>
        <w:rPr/>
        <w:t>Digital</w:t>
      </w:r>
      <w:r>
        <w:rPr>
          <w:spacing w:val="-2"/>
        </w:rPr>
        <w:t> </w:t>
      </w:r>
      <w:r>
        <w:rPr/>
        <w:t>Media</w:t>
      </w:r>
      <w:r>
        <w:rPr>
          <w:spacing w:val="-2"/>
        </w:rPr>
        <w:t> </w:t>
      </w:r>
      <w:r>
        <w:rPr/>
        <w:t>increased</w:t>
      </w:r>
      <w:r>
        <w:rPr>
          <w:spacing w:val="-2"/>
        </w:rPr>
        <w:t> </w:t>
      </w:r>
      <w:r>
        <w:rPr/>
        <w:t>$845.8</w:t>
      </w:r>
      <w:r>
        <w:rPr>
          <w:spacing w:val="-2"/>
        </w:rPr>
        <w:t> </w:t>
      </w:r>
      <w:r>
        <w:rPr/>
        <w:t>million</w:t>
      </w:r>
      <w:r>
        <w:rPr>
          <w:spacing w:val="-2"/>
        </w:rPr>
        <w:t> </w:t>
      </w:r>
      <w:r>
        <w:rPr/>
        <w:t>during</w:t>
      </w:r>
      <w:r>
        <w:rPr>
          <w:spacing w:val="-2"/>
        </w:rPr>
        <w:t> </w:t>
      </w:r>
      <w:r>
        <w:rPr/>
        <w:t>fiscal</w:t>
      </w:r>
      <w:r>
        <w:rPr>
          <w:spacing w:val="-2"/>
        </w:rPr>
        <w:t> </w:t>
      </w:r>
      <w:r>
        <w:rPr/>
        <w:t>2016</w:t>
      </w:r>
      <w:r>
        <w:rPr>
          <w:spacing w:val="-2"/>
        </w:rPr>
        <w:t> </w:t>
      </w:r>
      <w:r>
        <w:rPr/>
        <w:t>as</w:t>
      </w:r>
      <w:r>
        <w:rPr>
          <w:spacing w:val="-2"/>
        </w:rPr>
        <w:t> </w:t>
      </w:r>
      <w:r>
        <w:rPr/>
        <w:t>compared</w:t>
      </w:r>
      <w:r>
        <w:rPr>
          <w:spacing w:val="-2"/>
        </w:rPr>
        <w:t> </w:t>
      </w:r>
      <w:r>
        <w:rPr/>
        <w:t>to</w:t>
      </w:r>
      <w:r>
        <w:rPr>
          <w:spacing w:val="-2"/>
        </w:rPr>
        <w:t> </w:t>
      </w:r>
      <w:r>
        <w:rPr/>
        <w:t>fiscal</w:t>
      </w:r>
      <w:r>
        <w:rPr>
          <w:spacing w:val="-2"/>
        </w:rPr>
        <w:t> </w:t>
      </w:r>
      <w:r>
        <w:rPr/>
        <w:t>2015,</w:t>
      </w:r>
      <w:r>
        <w:rPr>
          <w:spacing w:val="-2"/>
        </w:rPr>
        <w:t> </w:t>
      </w:r>
      <w:r>
        <w:rPr/>
        <w:t>primarily</w:t>
      </w:r>
      <w:r>
        <w:rPr>
          <w:spacing w:val="-2"/>
        </w:rPr>
        <w:t> </w:t>
      </w:r>
      <w:r>
        <w:rPr/>
        <w:t>driven</w:t>
      </w:r>
      <w:r>
        <w:rPr>
          <w:spacing w:val="-2"/>
        </w:rPr>
        <w:t> </w:t>
      </w:r>
      <w:r>
        <w:rPr/>
        <w:t>by increases in revenue associated with our creative offerings.</w:t>
      </w:r>
    </w:p>
    <w:p>
      <w:pPr>
        <w:pStyle w:val="BodyText"/>
        <w:spacing w:before="9"/>
      </w:pPr>
    </w:p>
    <w:p>
      <w:pPr>
        <w:pStyle w:val="BodyText"/>
        <w:spacing w:line="249" w:lineRule="auto" w:before="1"/>
        <w:ind w:left="220" w:right="257" w:firstLine="540"/>
        <w:jc w:val="both"/>
      </w:pPr>
      <w:r>
        <w:rPr/>
        <w:t>Revenue</w:t>
      </w:r>
      <w:r>
        <w:rPr>
          <w:spacing w:val="-12"/>
        </w:rPr>
        <w:t> </w:t>
      </w:r>
      <w:r>
        <w:rPr/>
        <w:t>associated</w:t>
      </w:r>
      <w:r>
        <w:rPr>
          <w:spacing w:val="-12"/>
        </w:rPr>
        <w:t> </w:t>
      </w:r>
      <w:r>
        <w:rPr/>
        <w:t>with</w:t>
      </w:r>
      <w:r>
        <w:rPr>
          <w:spacing w:val="-12"/>
        </w:rPr>
        <w:t> </w:t>
      </w:r>
      <w:r>
        <w:rPr/>
        <w:t>our</w:t>
      </w:r>
      <w:r>
        <w:rPr>
          <w:spacing w:val="-12"/>
        </w:rPr>
        <w:t> </w:t>
      </w:r>
      <w:r>
        <w:rPr/>
        <w:t>creative</w:t>
      </w:r>
      <w:r>
        <w:rPr>
          <w:spacing w:val="-13"/>
        </w:rPr>
        <w:t> </w:t>
      </w:r>
      <w:r>
        <w:rPr/>
        <w:t>offerings,</w:t>
      </w:r>
      <w:r>
        <w:rPr>
          <w:spacing w:val="-11"/>
        </w:rPr>
        <w:t> </w:t>
      </w:r>
      <w:r>
        <w:rPr/>
        <w:t>which</w:t>
      </w:r>
      <w:r>
        <w:rPr>
          <w:spacing w:val="-12"/>
        </w:rPr>
        <w:t> </w:t>
      </w:r>
      <w:r>
        <w:rPr/>
        <w:t>includes</w:t>
      </w:r>
      <w:r>
        <w:rPr>
          <w:spacing w:val="-12"/>
        </w:rPr>
        <w:t> </w:t>
      </w:r>
      <w:r>
        <w:rPr/>
        <w:t>our</w:t>
      </w:r>
      <w:r>
        <w:rPr>
          <w:spacing w:val="-12"/>
        </w:rPr>
        <w:t> </w:t>
      </w:r>
      <w:r>
        <w:rPr/>
        <w:t>Creative</w:t>
      </w:r>
      <w:r>
        <w:rPr>
          <w:spacing w:val="-12"/>
        </w:rPr>
        <w:t> </w:t>
      </w:r>
      <w:r>
        <w:rPr/>
        <w:t>Cloud,</w:t>
      </w:r>
      <w:r>
        <w:rPr>
          <w:spacing w:val="-12"/>
        </w:rPr>
        <w:t> </w:t>
      </w:r>
      <w:r>
        <w:rPr/>
        <w:t>perpetually</w:t>
      </w:r>
      <w:r>
        <w:rPr>
          <w:spacing w:val="-12"/>
        </w:rPr>
        <w:t> </w:t>
      </w:r>
      <w:r>
        <w:rPr/>
        <w:t>licensed</w:t>
      </w:r>
      <w:r>
        <w:rPr>
          <w:spacing w:val="-12"/>
        </w:rPr>
        <w:t> </w:t>
      </w:r>
      <w:r>
        <w:rPr/>
        <w:t>creative</w:t>
      </w:r>
      <w:r>
        <w:rPr>
          <w:spacing w:val="-13"/>
        </w:rPr>
        <w:t> </w:t>
      </w:r>
      <w:r>
        <w:rPr/>
        <w:t>and</w:t>
      </w:r>
      <w:r>
        <w:rPr>
          <w:spacing w:val="-11"/>
        </w:rPr>
        <w:t> </w:t>
      </w:r>
      <w:r>
        <w:rPr/>
        <w:t>stock </w:t>
      </w:r>
      <w:r>
        <w:rPr>
          <w:spacing w:val="-2"/>
        </w:rPr>
        <w:t>photography</w:t>
      </w:r>
      <w:r>
        <w:rPr>
          <w:spacing w:val="-9"/>
        </w:rPr>
        <w:t> </w:t>
      </w:r>
      <w:r>
        <w:rPr>
          <w:spacing w:val="-2"/>
        </w:rPr>
        <w:t>offerings,</w:t>
      </w:r>
      <w:r>
        <w:rPr>
          <w:spacing w:val="-9"/>
        </w:rPr>
        <w:t> </w:t>
      </w:r>
      <w:r>
        <w:rPr>
          <w:spacing w:val="-2"/>
        </w:rPr>
        <w:t>increased</w:t>
      </w:r>
      <w:r>
        <w:rPr>
          <w:spacing w:val="-9"/>
        </w:rPr>
        <w:t> </w:t>
      </w:r>
      <w:r>
        <w:rPr>
          <w:spacing w:val="-2"/>
        </w:rPr>
        <w:t>during</w:t>
      </w:r>
      <w:r>
        <w:rPr>
          <w:spacing w:val="-9"/>
        </w:rPr>
        <w:t> </w:t>
      </w:r>
      <w:r>
        <w:rPr>
          <w:spacing w:val="-2"/>
        </w:rPr>
        <w:t>fiscal</w:t>
      </w:r>
      <w:r>
        <w:rPr>
          <w:spacing w:val="-9"/>
        </w:rPr>
        <w:t> </w:t>
      </w:r>
      <w:r>
        <w:rPr>
          <w:spacing w:val="-2"/>
        </w:rPr>
        <w:t>2016</w:t>
      </w:r>
      <w:r>
        <w:rPr>
          <w:spacing w:val="-9"/>
        </w:rPr>
        <w:t> </w:t>
      </w:r>
      <w:r>
        <w:rPr>
          <w:spacing w:val="-2"/>
        </w:rPr>
        <w:t>as</w:t>
      </w:r>
      <w:r>
        <w:rPr>
          <w:spacing w:val="-9"/>
        </w:rPr>
        <w:t> </w:t>
      </w:r>
      <w:r>
        <w:rPr>
          <w:spacing w:val="-2"/>
        </w:rPr>
        <w:t>compared</w:t>
      </w:r>
      <w:r>
        <w:rPr>
          <w:spacing w:val="-9"/>
        </w:rPr>
        <w:t> </w:t>
      </w:r>
      <w:r>
        <w:rPr>
          <w:spacing w:val="-2"/>
        </w:rPr>
        <w:t>to</w:t>
      </w:r>
      <w:r>
        <w:rPr>
          <w:spacing w:val="-9"/>
        </w:rPr>
        <w:t> </w:t>
      </w:r>
      <w:r>
        <w:rPr>
          <w:spacing w:val="-2"/>
        </w:rPr>
        <w:t>fiscal</w:t>
      </w:r>
      <w:r>
        <w:rPr>
          <w:spacing w:val="-9"/>
        </w:rPr>
        <w:t> </w:t>
      </w:r>
      <w:r>
        <w:rPr>
          <w:spacing w:val="-2"/>
        </w:rPr>
        <w:t>2015</w:t>
      </w:r>
      <w:r>
        <w:rPr>
          <w:spacing w:val="-9"/>
        </w:rPr>
        <w:t> </w:t>
      </w:r>
      <w:r>
        <w:rPr>
          <w:spacing w:val="-2"/>
        </w:rPr>
        <w:t>primarily</w:t>
      </w:r>
      <w:r>
        <w:rPr>
          <w:spacing w:val="-9"/>
        </w:rPr>
        <w:t> </w:t>
      </w:r>
      <w:r>
        <w:rPr>
          <w:spacing w:val="-2"/>
        </w:rPr>
        <w:t>due</w:t>
      </w:r>
      <w:r>
        <w:rPr>
          <w:spacing w:val="-9"/>
        </w:rPr>
        <w:t> </w:t>
      </w:r>
      <w:r>
        <w:rPr>
          <w:spacing w:val="-2"/>
        </w:rPr>
        <w:t>to</w:t>
      </w:r>
      <w:r>
        <w:rPr>
          <w:spacing w:val="-9"/>
        </w:rPr>
        <w:t> </w:t>
      </w:r>
      <w:r>
        <w:rPr>
          <w:spacing w:val="-2"/>
        </w:rPr>
        <w:t>the</w:t>
      </w:r>
      <w:r>
        <w:rPr>
          <w:spacing w:val="-9"/>
        </w:rPr>
        <w:t> </w:t>
      </w:r>
      <w:r>
        <w:rPr>
          <w:spacing w:val="-2"/>
        </w:rPr>
        <w:t>increase</w:t>
      </w:r>
      <w:r>
        <w:rPr>
          <w:spacing w:val="-9"/>
        </w:rPr>
        <w:t> </w:t>
      </w:r>
      <w:r>
        <w:rPr>
          <w:spacing w:val="-2"/>
        </w:rPr>
        <w:t>in</w:t>
      </w:r>
      <w:r>
        <w:rPr>
          <w:spacing w:val="-9"/>
        </w:rPr>
        <w:t> </w:t>
      </w:r>
      <w:r>
        <w:rPr>
          <w:spacing w:val="-2"/>
        </w:rPr>
        <w:t>subscription</w:t>
      </w:r>
      <w:r>
        <w:rPr>
          <w:spacing w:val="-9"/>
        </w:rPr>
        <w:t> </w:t>
      </w:r>
      <w:r>
        <w:rPr>
          <w:spacing w:val="-2"/>
        </w:rPr>
        <w:t>revenue </w:t>
      </w:r>
      <w:r>
        <w:rPr/>
        <w:t>associated with our Creative Cloud offerings driven by increases in the number of paid Creative Cloud individual and team subscriptions,</w:t>
      </w:r>
      <w:r>
        <w:rPr>
          <w:spacing w:val="-5"/>
        </w:rPr>
        <w:t> </w:t>
      </w:r>
      <w:r>
        <w:rPr/>
        <w:t>and</w:t>
      </w:r>
      <w:r>
        <w:rPr>
          <w:spacing w:val="-5"/>
        </w:rPr>
        <w:t> </w:t>
      </w:r>
      <w:r>
        <w:rPr/>
        <w:t>continued</w:t>
      </w:r>
      <w:r>
        <w:rPr>
          <w:spacing w:val="-6"/>
        </w:rPr>
        <w:t> </w:t>
      </w:r>
      <w:r>
        <w:rPr/>
        <w:t>adoption</w:t>
      </w:r>
      <w:r>
        <w:rPr>
          <w:spacing w:val="-5"/>
        </w:rPr>
        <w:t> </w:t>
      </w:r>
      <w:r>
        <w:rPr/>
        <w:t>of</w:t>
      </w:r>
      <w:r>
        <w:rPr>
          <w:spacing w:val="-5"/>
        </w:rPr>
        <w:t> </w:t>
      </w:r>
      <w:r>
        <w:rPr/>
        <w:t>our</w:t>
      </w:r>
      <w:r>
        <w:rPr>
          <w:spacing w:val="-5"/>
        </w:rPr>
        <w:t> </w:t>
      </w:r>
      <w:r>
        <w:rPr/>
        <w:t>ETLAs.</w:t>
      </w:r>
      <w:r>
        <w:rPr>
          <w:spacing w:val="-9"/>
        </w:rPr>
        <w:t> </w:t>
      </w:r>
      <w:r>
        <w:rPr/>
        <w:t>To</w:t>
      </w:r>
      <w:r>
        <w:rPr>
          <w:spacing w:val="-5"/>
        </w:rPr>
        <w:t> </w:t>
      </w:r>
      <w:r>
        <w:rPr/>
        <w:t>a</w:t>
      </w:r>
      <w:r>
        <w:rPr>
          <w:spacing w:val="-5"/>
        </w:rPr>
        <w:t> </w:t>
      </w:r>
      <w:r>
        <w:rPr/>
        <w:t>lesser</w:t>
      </w:r>
      <w:r>
        <w:rPr>
          <w:spacing w:val="-5"/>
        </w:rPr>
        <w:t> </w:t>
      </w:r>
      <w:r>
        <w:rPr/>
        <w:t>extent,</w:t>
      </w:r>
      <w:r>
        <w:rPr>
          <w:spacing w:val="-6"/>
        </w:rPr>
        <w:t> </w:t>
      </w:r>
      <w:r>
        <w:rPr/>
        <w:t>increases</w:t>
      </w:r>
      <w:r>
        <w:rPr>
          <w:spacing w:val="-5"/>
        </w:rPr>
        <w:t> </w:t>
      </w:r>
      <w:r>
        <w:rPr/>
        <w:t>in</w:t>
      </w:r>
      <w:r>
        <w:rPr>
          <w:spacing w:val="-5"/>
        </w:rPr>
        <w:t> </w:t>
      </w:r>
      <w:r>
        <w:rPr/>
        <w:t>revenue</w:t>
      </w:r>
      <w:r>
        <w:rPr>
          <w:spacing w:val="-6"/>
        </w:rPr>
        <w:t> </w:t>
      </w:r>
      <w:r>
        <w:rPr/>
        <w:t>associated</w:t>
      </w:r>
      <w:r>
        <w:rPr>
          <w:spacing w:val="-5"/>
        </w:rPr>
        <w:t> </w:t>
      </w:r>
      <w:r>
        <w:rPr/>
        <w:t>with</w:t>
      </w:r>
      <w:r>
        <w:rPr>
          <w:spacing w:val="-5"/>
        </w:rPr>
        <w:t> </w:t>
      </w:r>
      <w:r>
        <w:rPr/>
        <w:t>our</w:t>
      </w:r>
      <w:r>
        <w:rPr>
          <w:spacing w:val="-5"/>
        </w:rPr>
        <w:t> </w:t>
      </w:r>
      <w:r>
        <w:rPr/>
        <w:t>Creative</w:t>
      </w:r>
      <w:r>
        <w:rPr>
          <w:spacing w:val="-6"/>
        </w:rPr>
        <w:t> </w:t>
      </w:r>
      <w:r>
        <w:rPr/>
        <w:t>Cloud Photography Plan subscription offering and stock photography offerings also contributed to the increase in revenue associated with</w:t>
      </w:r>
      <w:r>
        <w:rPr>
          <w:spacing w:val="-1"/>
        </w:rPr>
        <w:t> </w:t>
      </w:r>
      <w:r>
        <w:rPr/>
        <w:t>our</w:t>
      </w:r>
      <w:r>
        <w:rPr>
          <w:spacing w:val="-2"/>
        </w:rPr>
        <w:t> </w:t>
      </w:r>
      <w:r>
        <w:rPr/>
        <w:t>creative</w:t>
      </w:r>
      <w:r>
        <w:rPr>
          <w:spacing w:val="-2"/>
        </w:rPr>
        <w:t> </w:t>
      </w:r>
      <w:r>
        <w:rPr/>
        <w:t>offerings.</w:t>
      </w:r>
      <w:r>
        <w:rPr>
          <w:spacing w:val="-2"/>
        </w:rPr>
        <w:t> </w:t>
      </w:r>
      <w:r>
        <w:rPr/>
        <w:t>Increases</w:t>
      </w:r>
      <w:r>
        <w:rPr>
          <w:spacing w:val="-1"/>
        </w:rPr>
        <w:t> </w:t>
      </w:r>
      <w:r>
        <w:rPr/>
        <w:t>associated</w:t>
      </w:r>
      <w:r>
        <w:rPr>
          <w:spacing w:val="-2"/>
        </w:rPr>
        <w:t> </w:t>
      </w:r>
      <w:r>
        <w:rPr/>
        <w:t>with</w:t>
      </w:r>
      <w:r>
        <w:rPr>
          <w:spacing w:val="-2"/>
        </w:rPr>
        <w:t> </w:t>
      </w:r>
      <w:r>
        <w:rPr/>
        <w:t>our</w:t>
      </w:r>
      <w:r>
        <w:rPr>
          <w:spacing w:val="-1"/>
        </w:rPr>
        <w:t> </w:t>
      </w:r>
      <w:r>
        <w:rPr/>
        <w:t>creative</w:t>
      </w:r>
      <w:r>
        <w:rPr>
          <w:spacing w:val="-2"/>
        </w:rPr>
        <w:t> </w:t>
      </w:r>
      <w:r>
        <w:rPr/>
        <w:t>offerings</w:t>
      </w:r>
      <w:r>
        <w:rPr>
          <w:spacing w:val="-1"/>
        </w:rPr>
        <w:t> </w:t>
      </w:r>
      <w:r>
        <w:rPr/>
        <w:t>were</w:t>
      </w:r>
      <w:r>
        <w:rPr>
          <w:spacing w:val="-2"/>
        </w:rPr>
        <w:t> </w:t>
      </w:r>
      <w:r>
        <w:rPr/>
        <w:t>slightly</w:t>
      </w:r>
      <w:r>
        <w:rPr>
          <w:spacing w:val="-2"/>
        </w:rPr>
        <w:t> </w:t>
      </w:r>
      <w:r>
        <w:rPr/>
        <w:t>offset</w:t>
      </w:r>
      <w:r>
        <w:rPr>
          <w:spacing w:val="-2"/>
        </w:rPr>
        <w:t> </w:t>
      </w:r>
      <w:r>
        <w:rPr/>
        <w:t>by</w:t>
      </w:r>
      <w:r>
        <w:rPr>
          <w:spacing w:val="-1"/>
        </w:rPr>
        <w:t> </w:t>
      </w:r>
      <w:r>
        <w:rPr/>
        <w:t>expected</w:t>
      </w:r>
      <w:r>
        <w:rPr>
          <w:spacing w:val="-2"/>
        </w:rPr>
        <w:t> </w:t>
      </w:r>
      <w:r>
        <w:rPr/>
        <w:t>declines</w:t>
      </w:r>
      <w:r>
        <w:rPr>
          <w:spacing w:val="-1"/>
        </w:rPr>
        <w:t> </w:t>
      </w:r>
      <w:r>
        <w:rPr/>
        <w:t>in</w:t>
      </w:r>
      <w:r>
        <w:rPr>
          <w:spacing w:val="-2"/>
        </w:rPr>
        <w:t> </w:t>
      </w:r>
      <w:r>
        <w:rPr/>
        <w:t>revenue associated with our perpetual creative offerings and distribution of third-party software downloads.</w:t>
      </w:r>
    </w:p>
    <w:p>
      <w:pPr>
        <w:pStyle w:val="BodyText"/>
        <w:spacing w:before="15"/>
      </w:pPr>
    </w:p>
    <w:p>
      <w:pPr>
        <w:pStyle w:val="BodyText"/>
        <w:spacing w:line="249" w:lineRule="auto"/>
        <w:ind w:left="220" w:right="257" w:firstLine="540"/>
        <w:jc w:val="both"/>
      </w:pPr>
      <w:r>
        <w:rPr/>
        <w:t>Document Cloud revenue, which includes our</w:t>
      </w:r>
      <w:r>
        <w:rPr>
          <w:spacing w:val="-11"/>
        </w:rPr>
        <w:t> </w:t>
      </w:r>
      <w:r>
        <w:rPr/>
        <w:t>Acrobat product family and</w:t>
      </w:r>
      <w:r>
        <w:rPr>
          <w:spacing w:val="-11"/>
        </w:rPr>
        <w:t> </w:t>
      </w:r>
      <w:r>
        <w:rPr/>
        <w:t>Adobe Sign service, decreased slightly during fiscal 2016 as compared to fiscal 2015, primarily due to expected decreases in revenue associated with our</w:t>
      </w:r>
      <w:r>
        <w:rPr>
          <w:spacing w:val="-3"/>
        </w:rPr>
        <w:t> </w:t>
      </w:r>
      <w:r>
        <w:rPr/>
        <w:t>Acrobat perpetual </w:t>
      </w:r>
      <w:r>
        <w:rPr>
          <w:spacing w:val="-2"/>
        </w:rPr>
        <w:t>license</w:t>
      </w:r>
      <w:r>
        <w:rPr>
          <w:spacing w:val="-9"/>
        </w:rPr>
        <w:t> </w:t>
      </w:r>
      <w:r>
        <w:rPr>
          <w:spacing w:val="-2"/>
        </w:rPr>
        <w:t>offering.</w:t>
      </w:r>
      <w:r>
        <w:rPr>
          <w:spacing w:val="-9"/>
        </w:rPr>
        <w:t> </w:t>
      </w:r>
      <w:r>
        <w:rPr>
          <w:spacing w:val="-2"/>
        </w:rPr>
        <w:t>Decreases</w:t>
      </w:r>
      <w:r>
        <w:rPr>
          <w:spacing w:val="-7"/>
        </w:rPr>
        <w:t> </w:t>
      </w:r>
      <w:r>
        <w:rPr>
          <w:spacing w:val="-2"/>
        </w:rPr>
        <w:t>were</w:t>
      </w:r>
      <w:r>
        <w:rPr>
          <w:spacing w:val="-9"/>
        </w:rPr>
        <w:t> </w:t>
      </w:r>
      <w:r>
        <w:rPr>
          <w:spacing w:val="-2"/>
        </w:rPr>
        <w:t>partially</w:t>
      </w:r>
      <w:r>
        <w:rPr>
          <w:spacing w:val="-7"/>
        </w:rPr>
        <w:t> </w:t>
      </w:r>
      <w:r>
        <w:rPr>
          <w:spacing w:val="-2"/>
        </w:rPr>
        <w:t>offset</w:t>
      </w:r>
      <w:r>
        <w:rPr>
          <w:spacing w:val="-9"/>
        </w:rPr>
        <w:t> </w:t>
      </w:r>
      <w:r>
        <w:rPr>
          <w:spacing w:val="-2"/>
        </w:rPr>
        <w:t>by</w:t>
      </w:r>
      <w:r>
        <w:rPr>
          <w:spacing w:val="-9"/>
        </w:rPr>
        <w:t> </w:t>
      </w:r>
      <w:r>
        <w:rPr>
          <w:spacing w:val="-2"/>
        </w:rPr>
        <w:t>increases</w:t>
      </w:r>
      <w:r>
        <w:rPr>
          <w:spacing w:val="-7"/>
        </w:rPr>
        <w:t> </w:t>
      </w:r>
      <w:r>
        <w:rPr>
          <w:spacing w:val="-2"/>
        </w:rPr>
        <w:t>in</w:t>
      </w:r>
      <w:r>
        <w:rPr>
          <w:spacing w:val="-9"/>
        </w:rPr>
        <w:t> </w:t>
      </w:r>
      <w:r>
        <w:rPr>
          <w:spacing w:val="-2"/>
        </w:rPr>
        <w:t>revenue</w:t>
      </w:r>
      <w:r>
        <w:rPr>
          <w:spacing w:val="-9"/>
        </w:rPr>
        <w:t> </w:t>
      </w:r>
      <w:r>
        <w:rPr>
          <w:spacing w:val="-2"/>
        </w:rPr>
        <w:t>associated</w:t>
      </w:r>
      <w:r>
        <w:rPr>
          <w:spacing w:val="-9"/>
        </w:rPr>
        <w:t> </w:t>
      </w:r>
      <w:r>
        <w:rPr>
          <w:spacing w:val="-2"/>
        </w:rPr>
        <w:t>with</w:t>
      </w:r>
      <w:r>
        <w:rPr>
          <w:spacing w:val="-9"/>
        </w:rPr>
        <w:t> </w:t>
      </w:r>
      <w:r>
        <w:rPr>
          <w:spacing w:val="-2"/>
        </w:rPr>
        <w:t>our</w:t>
      </w:r>
      <w:r>
        <w:rPr>
          <w:spacing w:val="-9"/>
        </w:rPr>
        <w:t> </w:t>
      </w:r>
      <w:r>
        <w:rPr>
          <w:spacing w:val="-2"/>
        </w:rPr>
        <w:t>Document</w:t>
      </w:r>
      <w:r>
        <w:rPr>
          <w:spacing w:val="-9"/>
        </w:rPr>
        <w:t> </w:t>
      </w:r>
      <w:r>
        <w:rPr>
          <w:spacing w:val="-2"/>
        </w:rPr>
        <w:t>Cloud</w:t>
      </w:r>
      <w:r>
        <w:rPr>
          <w:spacing w:val="-9"/>
        </w:rPr>
        <w:t> </w:t>
      </w:r>
      <w:r>
        <w:rPr>
          <w:spacing w:val="-2"/>
        </w:rPr>
        <w:t>subscription</w:t>
      </w:r>
      <w:r>
        <w:rPr>
          <w:spacing w:val="-9"/>
        </w:rPr>
        <w:t> </w:t>
      </w:r>
      <w:r>
        <w:rPr>
          <w:spacing w:val="-2"/>
        </w:rPr>
        <w:t>offerings </w:t>
      </w:r>
      <w:r>
        <w:rPr/>
        <w:t>as we continue to migrate more customers to our Document Cloud, along with increases in</w:t>
      </w:r>
      <w:r>
        <w:rPr>
          <w:spacing w:val="-5"/>
        </w:rPr>
        <w:t> </w:t>
      </w:r>
      <w:r>
        <w:rPr/>
        <w:t>Adobe Sign revenue.</w:t>
      </w:r>
    </w:p>
    <w:p>
      <w:pPr>
        <w:pStyle w:val="BodyText"/>
        <w:spacing w:before="14"/>
      </w:pPr>
    </w:p>
    <w:p>
      <w:pPr>
        <w:spacing w:before="0"/>
        <w:ind w:left="220" w:right="0" w:firstLine="0"/>
        <w:jc w:val="left"/>
        <w:rPr>
          <w:i/>
          <w:sz w:val="20"/>
        </w:rPr>
      </w:pPr>
      <w:r>
        <w:rPr>
          <w:i/>
          <w:sz w:val="20"/>
        </w:rPr>
        <w:t>Digital</w:t>
      </w:r>
      <w:r>
        <w:rPr>
          <w:i/>
          <w:spacing w:val="-1"/>
          <w:sz w:val="20"/>
        </w:rPr>
        <w:t> </w:t>
      </w:r>
      <w:r>
        <w:rPr>
          <w:i/>
          <w:spacing w:val="-2"/>
          <w:sz w:val="20"/>
        </w:rPr>
        <w:t>Marketing</w:t>
      </w:r>
    </w:p>
    <w:p>
      <w:pPr>
        <w:pStyle w:val="BodyText"/>
        <w:spacing w:line="249" w:lineRule="auto" w:before="190"/>
        <w:ind w:left="220" w:right="257" w:firstLine="540"/>
        <w:jc w:val="both"/>
      </w:pPr>
      <w:r>
        <w:rPr/>
        <w:t>Revenue</w:t>
      </w:r>
      <w:r>
        <w:rPr>
          <w:spacing w:val="-5"/>
        </w:rPr>
        <w:t> </w:t>
      </w:r>
      <w:r>
        <w:rPr/>
        <w:t>from</w:t>
      </w:r>
      <w:r>
        <w:rPr>
          <w:spacing w:val="-5"/>
        </w:rPr>
        <w:t> </w:t>
      </w:r>
      <w:r>
        <w:rPr/>
        <w:t>Digital</w:t>
      </w:r>
      <w:r>
        <w:rPr>
          <w:spacing w:val="-6"/>
        </w:rPr>
        <w:t> </w:t>
      </w:r>
      <w:r>
        <w:rPr/>
        <w:t>Marketing</w:t>
      </w:r>
      <w:r>
        <w:rPr>
          <w:spacing w:val="-5"/>
        </w:rPr>
        <w:t> </w:t>
      </w:r>
      <w:r>
        <w:rPr/>
        <w:t>increased</w:t>
      </w:r>
      <w:r>
        <w:rPr>
          <w:spacing w:val="-5"/>
        </w:rPr>
        <w:t> </w:t>
      </w:r>
      <w:r>
        <w:rPr/>
        <w:t>$227.7</w:t>
      </w:r>
      <w:r>
        <w:rPr>
          <w:spacing w:val="-5"/>
        </w:rPr>
        <w:t> </w:t>
      </w:r>
      <w:r>
        <w:rPr/>
        <w:t>million</w:t>
      </w:r>
      <w:r>
        <w:rPr>
          <w:spacing w:val="-5"/>
        </w:rPr>
        <w:t> </w:t>
      </w:r>
      <w:r>
        <w:rPr/>
        <w:t>during</w:t>
      </w:r>
      <w:r>
        <w:rPr>
          <w:spacing w:val="-5"/>
        </w:rPr>
        <w:t> </w:t>
      </w:r>
      <w:r>
        <w:rPr/>
        <w:t>fiscal</w:t>
      </w:r>
      <w:r>
        <w:rPr>
          <w:spacing w:val="-5"/>
        </w:rPr>
        <w:t> </w:t>
      </w:r>
      <w:r>
        <w:rPr/>
        <w:t>2016,</w:t>
      </w:r>
      <w:r>
        <w:rPr>
          <w:spacing w:val="-5"/>
        </w:rPr>
        <w:t> </w:t>
      </w:r>
      <w:r>
        <w:rPr/>
        <w:t>as</w:t>
      </w:r>
      <w:r>
        <w:rPr>
          <w:spacing w:val="-5"/>
        </w:rPr>
        <w:t> </w:t>
      </w:r>
      <w:r>
        <w:rPr/>
        <w:t>compared</w:t>
      </w:r>
      <w:r>
        <w:rPr>
          <w:spacing w:val="-5"/>
        </w:rPr>
        <w:t> </w:t>
      </w:r>
      <w:r>
        <w:rPr/>
        <w:t>to</w:t>
      </w:r>
      <w:r>
        <w:rPr>
          <w:spacing w:val="-5"/>
        </w:rPr>
        <w:t> </w:t>
      </w:r>
      <w:r>
        <w:rPr/>
        <w:t>fiscal</w:t>
      </w:r>
      <w:r>
        <w:rPr>
          <w:spacing w:val="-5"/>
        </w:rPr>
        <w:t> </w:t>
      </w:r>
      <w:r>
        <w:rPr/>
        <w:t>2015</w:t>
      </w:r>
      <w:r>
        <w:rPr>
          <w:spacing w:val="-5"/>
        </w:rPr>
        <w:t> </w:t>
      </w:r>
      <w:r>
        <w:rPr/>
        <w:t>primarily</w:t>
      </w:r>
      <w:r>
        <w:rPr>
          <w:spacing w:val="-5"/>
        </w:rPr>
        <w:t> </w:t>
      </w:r>
      <w:r>
        <w:rPr/>
        <w:t>due</w:t>
      </w:r>
      <w:r>
        <w:rPr>
          <w:spacing w:val="-5"/>
        </w:rPr>
        <w:t> </w:t>
      </w:r>
      <w:r>
        <w:rPr/>
        <w:t>to continued</w:t>
      </w:r>
      <w:r>
        <w:rPr>
          <w:spacing w:val="-13"/>
        </w:rPr>
        <w:t> </w:t>
      </w:r>
      <w:r>
        <w:rPr/>
        <w:t>revenue</w:t>
      </w:r>
      <w:r>
        <w:rPr>
          <w:spacing w:val="-12"/>
        </w:rPr>
        <w:t> </w:t>
      </w:r>
      <w:r>
        <w:rPr/>
        <w:t>growth</w:t>
      </w:r>
      <w:r>
        <w:rPr>
          <w:spacing w:val="-13"/>
        </w:rPr>
        <w:t> </w:t>
      </w:r>
      <w:r>
        <w:rPr/>
        <w:t>associated</w:t>
      </w:r>
      <w:r>
        <w:rPr>
          <w:spacing w:val="-12"/>
        </w:rPr>
        <w:t> </w:t>
      </w:r>
      <w:r>
        <w:rPr/>
        <w:t>with</w:t>
      </w:r>
      <w:r>
        <w:rPr>
          <w:spacing w:val="-13"/>
        </w:rPr>
        <w:t> </w:t>
      </w:r>
      <w:r>
        <w:rPr/>
        <w:t>our</w:t>
      </w:r>
      <w:r>
        <w:rPr>
          <w:spacing w:val="-12"/>
        </w:rPr>
        <w:t> </w:t>
      </w:r>
      <w:r>
        <w:rPr/>
        <w:t>Adobe</w:t>
      </w:r>
      <w:r>
        <w:rPr>
          <w:spacing w:val="-12"/>
        </w:rPr>
        <w:t> </w:t>
      </w:r>
      <w:r>
        <w:rPr/>
        <w:t>Experience</w:t>
      </w:r>
      <w:r>
        <w:rPr>
          <w:spacing w:val="-11"/>
        </w:rPr>
        <w:t> </w:t>
      </w:r>
      <w:r>
        <w:rPr/>
        <w:t>Cloud,</w:t>
      </w:r>
      <w:r>
        <w:rPr>
          <w:spacing w:val="-11"/>
        </w:rPr>
        <w:t> </w:t>
      </w:r>
      <w:r>
        <w:rPr/>
        <w:t>which</w:t>
      </w:r>
      <w:r>
        <w:rPr>
          <w:spacing w:val="-10"/>
        </w:rPr>
        <w:t> </w:t>
      </w:r>
      <w:r>
        <w:rPr/>
        <w:t>increased</w:t>
      </w:r>
      <w:r>
        <w:rPr>
          <w:spacing w:val="-11"/>
        </w:rPr>
        <w:t> </w:t>
      </w:r>
      <w:r>
        <w:rPr/>
        <w:t>20%</w:t>
      </w:r>
      <w:r>
        <w:rPr>
          <w:spacing w:val="-11"/>
        </w:rPr>
        <w:t> </w:t>
      </w:r>
      <w:r>
        <w:rPr/>
        <w:t>year</w:t>
      </w:r>
      <w:r>
        <w:rPr>
          <w:spacing w:val="-11"/>
        </w:rPr>
        <w:t> </w:t>
      </w:r>
      <w:r>
        <w:rPr/>
        <w:t>over</w:t>
      </w:r>
      <w:r>
        <w:rPr>
          <w:spacing w:val="-10"/>
        </w:rPr>
        <w:t> </w:t>
      </w:r>
      <w:r>
        <w:rPr/>
        <w:t>year.</w:t>
      </w:r>
      <w:r>
        <w:rPr>
          <w:spacing w:val="-10"/>
        </w:rPr>
        <w:t> </w:t>
      </w:r>
      <w:r>
        <w:rPr/>
        <w:t>Increases</w:t>
      </w:r>
      <w:r>
        <w:rPr>
          <w:spacing w:val="-10"/>
        </w:rPr>
        <w:t> </w:t>
      </w:r>
      <w:r>
        <w:rPr/>
        <w:t>in</w:t>
      </w:r>
      <w:r>
        <w:rPr>
          <w:spacing w:val="-13"/>
        </w:rPr>
        <w:t> </w:t>
      </w:r>
      <w:r>
        <w:rPr/>
        <w:t>Adobe </w:t>
      </w:r>
      <w:r>
        <w:rPr>
          <w:spacing w:val="-2"/>
        </w:rPr>
        <w:t>Experience</w:t>
      </w:r>
      <w:r>
        <w:rPr>
          <w:spacing w:val="-5"/>
        </w:rPr>
        <w:t> </w:t>
      </w:r>
      <w:r>
        <w:rPr>
          <w:spacing w:val="-2"/>
        </w:rPr>
        <w:t>Cloud</w:t>
      </w:r>
      <w:r>
        <w:rPr>
          <w:spacing w:val="-3"/>
        </w:rPr>
        <w:t> </w:t>
      </w:r>
      <w:r>
        <w:rPr>
          <w:spacing w:val="-2"/>
        </w:rPr>
        <w:t>revenue</w:t>
      </w:r>
      <w:r>
        <w:rPr>
          <w:spacing w:val="-3"/>
        </w:rPr>
        <w:t> </w:t>
      </w:r>
      <w:r>
        <w:rPr>
          <w:spacing w:val="-2"/>
        </w:rPr>
        <w:t>were</w:t>
      </w:r>
      <w:r>
        <w:rPr>
          <w:spacing w:val="-3"/>
        </w:rPr>
        <w:t> </w:t>
      </w:r>
      <w:r>
        <w:rPr>
          <w:spacing w:val="-2"/>
        </w:rPr>
        <w:t>largely</w:t>
      </w:r>
      <w:r>
        <w:rPr>
          <w:spacing w:val="-3"/>
        </w:rPr>
        <w:t> </w:t>
      </w:r>
      <w:r>
        <w:rPr>
          <w:spacing w:val="-2"/>
        </w:rPr>
        <w:t>driven</w:t>
      </w:r>
      <w:r>
        <w:rPr>
          <w:spacing w:val="-3"/>
        </w:rPr>
        <w:t> </w:t>
      </w:r>
      <w:r>
        <w:rPr>
          <w:spacing w:val="-2"/>
        </w:rPr>
        <w:t>by</w:t>
      </w:r>
      <w:r>
        <w:rPr>
          <w:spacing w:val="-3"/>
        </w:rPr>
        <w:t> </w:t>
      </w:r>
      <w:r>
        <w:rPr>
          <w:spacing w:val="-2"/>
        </w:rPr>
        <w:t>the</w:t>
      </w:r>
      <w:r>
        <w:rPr>
          <w:spacing w:val="-3"/>
        </w:rPr>
        <w:t> </w:t>
      </w:r>
      <w:r>
        <w:rPr>
          <w:spacing w:val="-2"/>
        </w:rPr>
        <w:t>continued</w:t>
      </w:r>
      <w:r>
        <w:rPr>
          <w:spacing w:val="-3"/>
        </w:rPr>
        <w:t> </w:t>
      </w:r>
      <w:r>
        <w:rPr>
          <w:spacing w:val="-2"/>
        </w:rPr>
        <w:t>adoption</w:t>
      </w:r>
      <w:r>
        <w:rPr>
          <w:spacing w:val="-3"/>
        </w:rPr>
        <w:t> </w:t>
      </w:r>
      <w:r>
        <w:rPr>
          <w:spacing w:val="-2"/>
        </w:rPr>
        <w:t>of</w:t>
      </w:r>
      <w:r>
        <w:rPr>
          <w:spacing w:val="-3"/>
        </w:rPr>
        <w:t> </w:t>
      </w:r>
      <w:r>
        <w:rPr>
          <w:spacing w:val="-2"/>
        </w:rPr>
        <w:t>our</w:t>
      </w:r>
      <w:r>
        <w:rPr>
          <w:spacing w:val="-11"/>
        </w:rPr>
        <w:t> </w:t>
      </w:r>
      <w:r>
        <w:rPr>
          <w:spacing w:val="-2"/>
        </w:rPr>
        <w:t>AEM</w:t>
      </w:r>
      <w:r>
        <w:rPr>
          <w:spacing w:val="-3"/>
        </w:rPr>
        <w:t> </w:t>
      </w:r>
      <w:r>
        <w:rPr>
          <w:spacing w:val="-2"/>
        </w:rPr>
        <w:t>offerings</w:t>
      </w:r>
      <w:r>
        <w:rPr>
          <w:spacing w:val="-3"/>
        </w:rPr>
        <w:t> </w:t>
      </w:r>
      <w:r>
        <w:rPr>
          <w:spacing w:val="-2"/>
        </w:rPr>
        <w:t>and,</w:t>
      </w:r>
      <w:r>
        <w:rPr>
          <w:spacing w:val="-3"/>
        </w:rPr>
        <w:t> </w:t>
      </w:r>
      <w:r>
        <w:rPr>
          <w:spacing w:val="-2"/>
        </w:rPr>
        <w:t>to</w:t>
      </w:r>
      <w:r>
        <w:rPr>
          <w:spacing w:val="-3"/>
        </w:rPr>
        <w:t> </w:t>
      </w:r>
      <w:r>
        <w:rPr>
          <w:spacing w:val="-2"/>
        </w:rPr>
        <w:t>a</w:t>
      </w:r>
      <w:r>
        <w:rPr>
          <w:spacing w:val="-3"/>
        </w:rPr>
        <w:t> </w:t>
      </w:r>
      <w:r>
        <w:rPr>
          <w:spacing w:val="-2"/>
        </w:rPr>
        <w:t>lesser</w:t>
      </w:r>
      <w:r>
        <w:rPr>
          <w:spacing w:val="-3"/>
        </w:rPr>
        <w:t> </w:t>
      </w:r>
      <w:r>
        <w:rPr>
          <w:spacing w:val="-2"/>
        </w:rPr>
        <w:t>extent,</w:t>
      </w:r>
      <w:r>
        <w:rPr>
          <w:spacing w:val="-3"/>
        </w:rPr>
        <w:t> </w:t>
      </w:r>
      <w:r>
        <w:rPr>
          <w:spacing w:val="-2"/>
        </w:rPr>
        <w:t>the</w:t>
      </w:r>
      <w:r>
        <w:rPr>
          <w:spacing w:val="-3"/>
        </w:rPr>
        <w:t> </w:t>
      </w:r>
      <w:r>
        <w:rPr>
          <w:spacing w:val="-2"/>
        </w:rPr>
        <w:t>increase </w:t>
      </w:r>
      <w:r>
        <w:rPr/>
        <w:t>in</w:t>
      </w:r>
      <w:r>
        <w:rPr>
          <w:spacing w:val="-4"/>
        </w:rPr>
        <w:t> </w:t>
      </w:r>
      <w:r>
        <w:rPr/>
        <w:t>revenue</w:t>
      </w:r>
      <w:r>
        <w:rPr>
          <w:spacing w:val="-3"/>
        </w:rPr>
        <w:t> </w:t>
      </w:r>
      <w:r>
        <w:rPr/>
        <w:t>associated</w:t>
      </w:r>
      <w:r>
        <w:rPr>
          <w:spacing w:val="-3"/>
        </w:rPr>
        <w:t> </w:t>
      </w:r>
      <w:r>
        <w:rPr/>
        <w:t>with</w:t>
      </w:r>
      <w:r>
        <w:rPr>
          <w:spacing w:val="-13"/>
        </w:rPr>
        <w:t> </w:t>
      </w:r>
      <w:r>
        <w:rPr/>
        <w:t>Adobe</w:t>
      </w:r>
      <w:r>
        <w:rPr>
          <w:spacing w:val="-3"/>
        </w:rPr>
        <w:t> </w:t>
      </w:r>
      <w:r>
        <w:rPr/>
        <w:t>Campaign.</w:t>
      </w:r>
      <w:r>
        <w:rPr>
          <w:spacing w:val="34"/>
        </w:rPr>
        <w:t> </w:t>
      </w:r>
      <w:r>
        <w:rPr/>
        <w:t>Also</w:t>
      </w:r>
      <w:r>
        <w:rPr>
          <w:spacing w:val="-3"/>
        </w:rPr>
        <w:t> </w:t>
      </w:r>
      <w:r>
        <w:rPr/>
        <w:t>contributing</w:t>
      </w:r>
      <w:r>
        <w:rPr>
          <w:spacing w:val="-3"/>
        </w:rPr>
        <w:t> </w:t>
      </w:r>
      <w:r>
        <w:rPr/>
        <w:t>to</w:t>
      </w:r>
      <w:r>
        <w:rPr>
          <w:spacing w:val="-3"/>
        </w:rPr>
        <w:t> </w:t>
      </w:r>
      <w:r>
        <w:rPr/>
        <w:t>the</w:t>
      </w:r>
      <w:r>
        <w:rPr>
          <w:spacing w:val="-3"/>
        </w:rPr>
        <w:t> </w:t>
      </w:r>
      <w:r>
        <w:rPr/>
        <w:t>increase</w:t>
      </w:r>
      <w:r>
        <w:rPr>
          <w:spacing w:val="-3"/>
        </w:rPr>
        <w:t> </w:t>
      </w:r>
      <w:r>
        <w:rPr/>
        <w:t>in</w:t>
      </w:r>
      <w:r>
        <w:rPr>
          <w:spacing w:val="-3"/>
        </w:rPr>
        <w:t> </w:t>
      </w:r>
      <w:r>
        <w:rPr/>
        <w:t>Digital</w:t>
      </w:r>
      <w:r>
        <w:rPr>
          <w:spacing w:val="-3"/>
        </w:rPr>
        <w:t> </w:t>
      </w:r>
      <w:r>
        <w:rPr/>
        <w:t>Marketing</w:t>
      </w:r>
      <w:r>
        <w:rPr>
          <w:spacing w:val="-3"/>
        </w:rPr>
        <w:t> </w:t>
      </w:r>
      <w:r>
        <w:rPr/>
        <w:t>revenue</w:t>
      </w:r>
      <w:r>
        <w:rPr>
          <w:spacing w:val="-3"/>
        </w:rPr>
        <w:t> </w:t>
      </w:r>
      <w:r>
        <w:rPr/>
        <w:t>was</w:t>
      </w:r>
      <w:r>
        <w:rPr>
          <w:spacing w:val="-3"/>
        </w:rPr>
        <w:t> </w:t>
      </w:r>
      <w:r>
        <w:rPr/>
        <w:t>the</w:t>
      </w:r>
      <w:r>
        <w:rPr>
          <w:spacing w:val="-3"/>
        </w:rPr>
        <w:t> </w:t>
      </w:r>
      <w:r>
        <w:rPr/>
        <w:t>increase</w:t>
      </w:r>
      <w:r>
        <w:rPr>
          <w:spacing w:val="-3"/>
        </w:rPr>
        <w:t> </w:t>
      </w:r>
      <w:r>
        <w:rPr/>
        <w:t>in Adobe Analytics Cloud revenue.</w:t>
      </w:r>
    </w:p>
    <w:p>
      <w:pPr>
        <w:pStyle w:val="BodyText"/>
        <w:spacing w:before="8"/>
        <w:rPr>
          <w:sz w:val="16"/>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3"/>
        <w:gridCol w:w="1466"/>
        <w:gridCol w:w="1179"/>
        <w:gridCol w:w="1223"/>
        <w:gridCol w:w="1179"/>
        <w:gridCol w:w="1056"/>
      </w:tblGrid>
      <w:tr>
        <w:trPr>
          <w:trHeight w:val="312" w:hRule="atLeast"/>
        </w:trPr>
        <w:tc>
          <w:tcPr>
            <w:tcW w:w="4133" w:type="dxa"/>
          </w:tcPr>
          <w:p>
            <w:pPr>
              <w:pStyle w:val="TableParagraph"/>
              <w:spacing w:line="221" w:lineRule="exact"/>
              <w:ind w:left="-10"/>
              <w:rPr>
                <w:i/>
                <w:sz w:val="20"/>
              </w:rPr>
            </w:pPr>
            <w:r>
              <w:rPr>
                <w:i/>
                <w:sz w:val="20"/>
              </w:rPr>
              <w:t>Geographical</w:t>
            </w:r>
            <w:r>
              <w:rPr>
                <w:i/>
                <w:spacing w:val="-5"/>
                <w:sz w:val="20"/>
              </w:rPr>
              <w:t> </w:t>
            </w:r>
            <w:r>
              <w:rPr>
                <w:i/>
                <w:sz w:val="20"/>
              </w:rPr>
              <w:t>Information</w:t>
            </w:r>
            <w:r>
              <w:rPr>
                <w:i/>
                <w:spacing w:val="-2"/>
                <w:sz w:val="20"/>
              </w:rPr>
              <w:t> </w:t>
            </w:r>
            <w:r>
              <w:rPr>
                <w:i/>
                <w:sz w:val="20"/>
              </w:rPr>
              <w:t>(dollars</w:t>
            </w:r>
            <w:r>
              <w:rPr>
                <w:i/>
                <w:spacing w:val="-2"/>
                <w:sz w:val="20"/>
              </w:rPr>
              <w:t> </w:t>
            </w:r>
            <w:r>
              <w:rPr>
                <w:i/>
                <w:sz w:val="20"/>
              </w:rPr>
              <w:t>in</w:t>
            </w:r>
            <w:r>
              <w:rPr>
                <w:i/>
                <w:spacing w:val="-2"/>
                <w:sz w:val="20"/>
              </w:rPr>
              <w:t> millions)</w:t>
            </w:r>
          </w:p>
        </w:tc>
        <w:tc>
          <w:tcPr>
            <w:tcW w:w="1466" w:type="dxa"/>
          </w:tcPr>
          <w:p>
            <w:pPr>
              <w:pStyle w:val="TableParagraph"/>
              <w:rPr>
                <w:sz w:val="18"/>
              </w:rPr>
            </w:pPr>
          </w:p>
        </w:tc>
        <w:tc>
          <w:tcPr>
            <w:tcW w:w="1179" w:type="dxa"/>
          </w:tcPr>
          <w:p>
            <w:pPr>
              <w:pStyle w:val="TableParagraph"/>
              <w:rPr>
                <w:sz w:val="18"/>
              </w:rPr>
            </w:pPr>
          </w:p>
        </w:tc>
        <w:tc>
          <w:tcPr>
            <w:tcW w:w="1223" w:type="dxa"/>
          </w:tcPr>
          <w:p>
            <w:pPr>
              <w:pStyle w:val="TableParagraph"/>
              <w:rPr>
                <w:sz w:val="18"/>
              </w:rPr>
            </w:pPr>
          </w:p>
        </w:tc>
        <w:tc>
          <w:tcPr>
            <w:tcW w:w="1179" w:type="dxa"/>
          </w:tcPr>
          <w:p>
            <w:pPr>
              <w:pStyle w:val="TableParagraph"/>
              <w:rPr>
                <w:sz w:val="18"/>
              </w:rPr>
            </w:pPr>
          </w:p>
        </w:tc>
        <w:tc>
          <w:tcPr>
            <w:tcW w:w="1056" w:type="dxa"/>
          </w:tcPr>
          <w:p>
            <w:pPr>
              <w:pStyle w:val="TableParagraph"/>
              <w:rPr>
                <w:sz w:val="18"/>
              </w:rPr>
            </w:pPr>
          </w:p>
        </w:tc>
      </w:tr>
      <w:tr>
        <w:trPr>
          <w:trHeight w:val="259" w:hRule="atLeast"/>
        </w:trPr>
        <w:tc>
          <w:tcPr>
            <w:tcW w:w="4133" w:type="dxa"/>
          </w:tcPr>
          <w:p>
            <w:pPr>
              <w:pStyle w:val="TableParagraph"/>
              <w:rPr>
                <w:sz w:val="18"/>
              </w:rPr>
            </w:pPr>
          </w:p>
        </w:tc>
        <w:tc>
          <w:tcPr>
            <w:tcW w:w="1466" w:type="dxa"/>
          </w:tcPr>
          <w:p>
            <w:pPr>
              <w:pStyle w:val="TableParagraph"/>
              <w:spacing w:line="155" w:lineRule="exact" w:before="84"/>
              <w:ind w:left="657"/>
              <w:rPr>
                <w:b/>
                <w:sz w:val="16"/>
              </w:rPr>
            </w:pPr>
            <w:r>
              <w:rPr>
                <w:b/>
                <w:spacing w:val="-2"/>
                <w:sz w:val="16"/>
              </w:rPr>
              <w:t>Fiscal</w:t>
            </w:r>
          </w:p>
        </w:tc>
        <w:tc>
          <w:tcPr>
            <w:tcW w:w="1179" w:type="dxa"/>
          </w:tcPr>
          <w:p>
            <w:pPr>
              <w:pStyle w:val="TableParagraph"/>
              <w:spacing w:line="155" w:lineRule="exact" w:before="84"/>
              <w:ind w:left="361"/>
              <w:rPr>
                <w:b/>
                <w:sz w:val="16"/>
              </w:rPr>
            </w:pPr>
            <w:r>
              <w:rPr>
                <w:b/>
                <w:spacing w:val="-2"/>
                <w:sz w:val="16"/>
              </w:rPr>
              <w:t>Fiscal</w:t>
            </w:r>
          </w:p>
        </w:tc>
        <w:tc>
          <w:tcPr>
            <w:tcW w:w="1223" w:type="dxa"/>
          </w:tcPr>
          <w:p>
            <w:pPr>
              <w:pStyle w:val="TableParagraph"/>
              <w:spacing w:line="155" w:lineRule="exact" w:before="84"/>
              <w:ind w:left="352"/>
              <w:rPr>
                <w:b/>
                <w:sz w:val="16"/>
              </w:rPr>
            </w:pPr>
            <w:r>
              <w:rPr>
                <w:b/>
                <w:spacing w:val="-2"/>
                <w:sz w:val="16"/>
              </w:rPr>
              <w:t>Fiscal</w:t>
            </w:r>
          </w:p>
        </w:tc>
        <w:tc>
          <w:tcPr>
            <w:tcW w:w="1179" w:type="dxa"/>
          </w:tcPr>
          <w:p>
            <w:pPr>
              <w:pStyle w:val="TableParagraph"/>
              <w:spacing w:line="155" w:lineRule="exact" w:before="84"/>
              <w:ind w:left="136"/>
              <w:rPr>
                <w:b/>
                <w:sz w:val="16"/>
              </w:rPr>
            </w:pPr>
            <w:r>
              <w:rPr>
                <w:b/>
                <w:sz w:val="16"/>
              </w:rPr>
              <w:t>% </w:t>
            </w:r>
            <w:r>
              <w:rPr>
                <w:b/>
                <w:spacing w:val="-2"/>
                <w:sz w:val="16"/>
              </w:rPr>
              <w:t>Change</w:t>
            </w:r>
          </w:p>
        </w:tc>
        <w:tc>
          <w:tcPr>
            <w:tcW w:w="1056" w:type="dxa"/>
          </w:tcPr>
          <w:p>
            <w:pPr>
              <w:pStyle w:val="TableParagraph"/>
              <w:spacing w:line="155" w:lineRule="exact" w:before="84"/>
              <w:ind w:left="137"/>
              <w:rPr>
                <w:b/>
                <w:sz w:val="16"/>
              </w:rPr>
            </w:pPr>
            <w:r>
              <w:rPr>
                <w:b/>
                <w:sz w:val="16"/>
              </w:rPr>
              <w:t>% </w:t>
            </w:r>
            <w:r>
              <w:rPr>
                <w:b/>
                <w:spacing w:val="-2"/>
                <w:sz w:val="16"/>
              </w:rPr>
              <w:t>Change</w:t>
            </w:r>
          </w:p>
        </w:tc>
      </w:tr>
      <w:tr>
        <w:trPr>
          <w:trHeight w:val="205" w:hRule="atLeast"/>
        </w:trPr>
        <w:tc>
          <w:tcPr>
            <w:tcW w:w="4133" w:type="dxa"/>
          </w:tcPr>
          <w:p>
            <w:pPr>
              <w:pStyle w:val="TableParagraph"/>
              <w:rPr>
                <w:sz w:val="14"/>
              </w:rPr>
            </w:pPr>
          </w:p>
        </w:tc>
        <w:tc>
          <w:tcPr>
            <w:tcW w:w="1466" w:type="dxa"/>
            <w:tcBorders>
              <w:bottom w:val="single" w:sz="8" w:space="0" w:color="000000"/>
            </w:tcBorders>
          </w:tcPr>
          <w:p>
            <w:pPr>
              <w:pStyle w:val="TableParagraph"/>
              <w:spacing w:line="169" w:lineRule="exact"/>
              <w:ind w:left="697"/>
              <w:rPr>
                <w:b/>
                <w:sz w:val="16"/>
              </w:rPr>
            </w:pPr>
            <w:r>
              <w:rPr>
                <w:b/>
                <w:spacing w:val="-4"/>
                <w:sz w:val="16"/>
              </w:rPr>
              <w:t>2017</w:t>
            </w:r>
          </w:p>
        </w:tc>
        <w:tc>
          <w:tcPr>
            <w:tcW w:w="1179" w:type="dxa"/>
            <w:tcBorders>
              <w:bottom w:val="single" w:sz="8" w:space="0" w:color="000000"/>
            </w:tcBorders>
          </w:tcPr>
          <w:p>
            <w:pPr>
              <w:pStyle w:val="TableParagraph"/>
              <w:spacing w:line="169" w:lineRule="exact"/>
              <w:ind w:left="2" w:right="56"/>
              <w:jc w:val="center"/>
              <w:rPr>
                <w:b/>
                <w:sz w:val="16"/>
              </w:rPr>
            </w:pPr>
            <w:r>
              <w:rPr>
                <w:b/>
                <w:spacing w:val="-4"/>
                <w:sz w:val="16"/>
              </w:rPr>
              <w:t>2016</w:t>
            </w:r>
          </w:p>
        </w:tc>
        <w:tc>
          <w:tcPr>
            <w:tcW w:w="1223" w:type="dxa"/>
            <w:tcBorders>
              <w:bottom w:val="single" w:sz="8" w:space="0" w:color="000000"/>
            </w:tcBorders>
          </w:tcPr>
          <w:p>
            <w:pPr>
              <w:pStyle w:val="TableParagraph"/>
              <w:spacing w:line="169" w:lineRule="exact"/>
              <w:ind w:left="392"/>
              <w:rPr>
                <w:b/>
                <w:sz w:val="16"/>
              </w:rPr>
            </w:pPr>
            <w:r>
              <w:rPr>
                <w:b/>
                <w:spacing w:val="-4"/>
                <w:sz w:val="16"/>
              </w:rPr>
              <w:t>2015</w:t>
            </w:r>
          </w:p>
        </w:tc>
        <w:tc>
          <w:tcPr>
            <w:tcW w:w="1179" w:type="dxa"/>
            <w:tcBorders>
              <w:bottom w:val="single" w:sz="8" w:space="0" w:color="000000"/>
            </w:tcBorders>
          </w:tcPr>
          <w:p>
            <w:pPr>
              <w:pStyle w:val="TableParagraph"/>
              <w:spacing w:line="169" w:lineRule="exact"/>
              <w:ind w:left="152"/>
              <w:rPr>
                <w:b/>
                <w:sz w:val="16"/>
              </w:rPr>
            </w:pPr>
            <w:r>
              <w:rPr>
                <w:b/>
                <w:sz w:val="16"/>
              </w:rPr>
              <w:t>2017-</w:t>
            </w:r>
            <w:r>
              <w:rPr>
                <w:b/>
                <w:spacing w:val="-4"/>
                <w:sz w:val="16"/>
              </w:rPr>
              <w:t>2016</w:t>
            </w:r>
          </w:p>
        </w:tc>
        <w:tc>
          <w:tcPr>
            <w:tcW w:w="1056" w:type="dxa"/>
            <w:tcBorders>
              <w:bottom w:val="single" w:sz="8" w:space="0" w:color="000000"/>
            </w:tcBorders>
          </w:tcPr>
          <w:p>
            <w:pPr>
              <w:pStyle w:val="TableParagraph"/>
              <w:spacing w:line="169" w:lineRule="exact"/>
              <w:ind w:left="153"/>
              <w:rPr>
                <w:b/>
                <w:sz w:val="16"/>
              </w:rPr>
            </w:pPr>
            <w:r>
              <w:rPr>
                <w:b/>
                <w:sz w:val="16"/>
              </w:rPr>
              <w:t>2016-</w:t>
            </w:r>
            <w:r>
              <w:rPr>
                <w:b/>
                <w:spacing w:val="-4"/>
                <w:sz w:val="16"/>
              </w:rPr>
              <w:t>2015</w:t>
            </w:r>
          </w:p>
        </w:tc>
      </w:tr>
      <w:tr>
        <w:trPr>
          <w:trHeight w:val="270" w:hRule="atLeast"/>
        </w:trPr>
        <w:tc>
          <w:tcPr>
            <w:tcW w:w="4133" w:type="dxa"/>
            <w:shd w:val="clear" w:color="auto" w:fill="CCEDFF"/>
          </w:tcPr>
          <w:p>
            <w:pPr>
              <w:pStyle w:val="TableParagraph"/>
              <w:spacing w:line="222" w:lineRule="exact"/>
              <w:ind w:left="50"/>
              <w:rPr>
                <w:sz w:val="20"/>
              </w:rPr>
            </w:pPr>
            <w:r>
              <w:rPr>
                <w:spacing w:val="-2"/>
                <w:sz w:val="20"/>
              </w:rPr>
              <w:t>Americas</w:t>
            </w:r>
          </w:p>
        </w:tc>
        <w:tc>
          <w:tcPr>
            <w:tcW w:w="1466" w:type="dxa"/>
            <w:tcBorders>
              <w:top w:val="single" w:sz="8" w:space="0" w:color="000000"/>
            </w:tcBorders>
            <w:shd w:val="clear" w:color="auto" w:fill="CCEDFF"/>
          </w:tcPr>
          <w:p>
            <w:pPr>
              <w:pStyle w:val="TableParagraph"/>
              <w:spacing w:line="222" w:lineRule="exact"/>
              <w:ind w:left="377"/>
              <w:rPr>
                <w:sz w:val="20"/>
              </w:rPr>
            </w:pPr>
            <w:r>
              <w:rPr>
                <w:sz w:val="20"/>
              </w:rPr>
              <w:t>$</w:t>
            </w:r>
            <w:r>
              <w:rPr>
                <w:spacing w:val="75"/>
                <w:w w:val="150"/>
                <w:sz w:val="20"/>
              </w:rPr>
              <w:t> </w:t>
            </w:r>
            <w:r>
              <w:rPr>
                <w:spacing w:val="-2"/>
                <w:sz w:val="20"/>
              </w:rPr>
              <w:t>4,216.5</w:t>
            </w:r>
          </w:p>
        </w:tc>
        <w:tc>
          <w:tcPr>
            <w:tcW w:w="1179" w:type="dxa"/>
            <w:tcBorders>
              <w:top w:val="single" w:sz="8" w:space="0" w:color="000000"/>
            </w:tcBorders>
            <w:shd w:val="clear" w:color="auto" w:fill="CCEDFF"/>
          </w:tcPr>
          <w:p>
            <w:pPr>
              <w:pStyle w:val="TableParagraph"/>
              <w:spacing w:line="222" w:lineRule="exact"/>
              <w:ind w:left="71"/>
              <w:rPr>
                <w:sz w:val="20"/>
              </w:rPr>
            </w:pPr>
            <w:r>
              <w:rPr>
                <w:sz w:val="20"/>
              </w:rPr>
              <w:t>$</w:t>
            </w:r>
            <w:r>
              <w:rPr>
                <w:spacing w:val="36"/>
                <w:sz w:val="20"/>
              </w:rPr>
              <w:t>  </w:t>
            </w:r>
            <w:r>
              <w:rPr>
                <w:spacing w:val="-2"/>
                <w:sz w:val="20"/>
              </w:rPr>
              <w:t>3,400.1</w:t>
            </w:r>
          </w:p>
        </w:tc>
        <w:tc>
          <w:tcPr>
            <w:tcW w:w="1223" w:type="dxa"/>
            <w:tcBorders>
              <w:top w:val="single" w:sz="8" w:space="0" w:color="000000"/>
            </w:tcBorders>
            <w:shd w:val="clear" w:color="auto" w:fill="CCEDFF"/>
          </w:tcPr>
          <w:p>
            <w:pPr>
              <w:pStyle w:val="TableParagraph"/>
              <w:spacing w:line="222" w:lineRule="exact"/>
              <w:ind w:left="72"/>
              <w:rPr>
                <w:sz w:val="20"/>
              </w:rPr>
            </w:pPr>
            <w:r>
              <w:rPr>
                <w:sz w:val="20"/>
              </w:rPr>
              <w:t>$</w:t>
            </w:r>
            <w:r>
              <w:rPr>
                <w:spacing w:val="75"/>
                <w:w w:val="150"/>
                <w:sz w:val="20"/>
              </w:rPr>
              <w:t> </w:t>
            </w:r>
            <w:r>
              <w:rPr>
                <w:spacing w:val="-2"/>
                <w:sz w:val="20"/>
              </w:rPr>
              <w:t>2,788.1</w:t>
            </w:r>
          </w:p>
        </w:tc>
        <w:tc>
          <w:tcPr>
            <w:tcW w:w="1179" w:type="dxa"/>
            <w:tcBorders>
              <w:top w:val="single" w:sz="8" w:space="0" w:color="000000"/>
            </w:tcBorders>
            <w:shd w:val="clear" w:color="auto" w:fill="CCEDFF"/>
          </w:tcPr>
          <w:p>
            <w:pPr>
              <w:pStyle w:val="TableParagraph"/>
              <w:spacing w:line="222" w:lineRule="exact"/>
              <w:ind w:right="128"/>
              <w:jc w:val="right"/>
              <w:rPr>
                <w:sz w:val="20"/>
              </w:rPr>
            </w:pPr>
            <w:r>
              <w:rPr>
                <w:spacing w:val="-5"/>
                <w:sz w:val="20"/>
              </w:rPr>
              <w:t>24%</w:t>
            </w:r>
          </w:p>
        </w:tc>
        <w:tc>
          <w:tcPr>
            <w:tcW w:w="1056" w:type="dxa"/>
            <w:tcBorders>
              <w:top w:val="single" w:sz="8" w:space="0" w:color="000000"/>
            </w:tcBorders>
            <w:shd w:val="clear" w:color="auto" w:fill="CCEDFF"/>
          </w:tcPr>
          <w:p>
            <w:pPr>
              <w:pStyle w:val="TableParagraph"/>
              <w:spacing w:line="222" w:lineRule="exact"/>
              <w:ind w:right="4"/>
              <w:jc w:val="right"/>
              <w:rPr>
                <w:sz w:val="20"/>
              </w:rPr>
            </w:pPr>
            <w:r>
              <w:rPr>
                <w:spacing w:val="-5"/>
                <w:sz w:val="20"/>
              </w:rPr>
              <w:t>22%</w:t>
            </w:r>
          </w:p>
        </w:tc>
      </w:tr>
      <w:tr>
        <w:trPr>
          <w:trHeight w:val="280" w:hRule="atLeast"/>
        </w:trPr>
        <w:tc>
          <w:tcPr>
            <w:tcW w:w="4133" w:type="dxa"/>
          </w:tcPr>
          <w:p>
            <w:pPr>
              <w:pStyle w:val="TableParagraph"/>
              <w:spacing w:before="2"/>
              <w:ind w:left="170"/>
              <w:rPr>
                <w:sz w:val="20"/>
              </w:rPr>
            </w:pPr>
            <w:r>
              <w:rPr>
                <w:sz w:val="20"/>
              </w:rPr>
              <w:t>Percentage of total </w:t>
            </w:r>
            <w:r>
              <w:rPr>
                <w:spacing w:val="-2"/>
                <w:sz w:val="20"/>
              </w:rPr>
              <w:t>revenue</w:t>
            </w:r>
          </w:p>
        </w:tc>
        <w:tc>
          <w:tcPr>
            <w:tcW w:w="1466" w:type="dxa"/>
          </w:tcPr>
          <w:p>
            <w:pPr>
              <w:pStyle w:val="TableParagraph"/>
              <w:spacing w:before="2"/>
              <w:ind w:right="67"/>
              <w:jc w:val="right"/>
              <w:rPr>
                <w:sz w:val="20"/>
              </w:rPr>
            </w:pPr>
            <w:r>
              <w:rPr>
                <w:spacing w:val="-5"/>
                <w:sz w:val="20"/>
              </w:rPr>
              <w:t>58%</w:t>
            </w:r>
          </w:p>
        </w:tc>
        <w:tc>
          <w:tcPr>
            <w:tcW w:w="1179" w:type="dxa"/>
          </w:tcPr>
          <w:p>
            <w:pPr>
              <w:pStyle w:val="TableParagraph"/>
              <w:spacing w:before="2"/>
              <w:ind w:right="66"/>
              <w:jc w:val="right"/>
              <w:rPr>
                <w:sz w:val="20"/>
              </w:rPr>
            </w:pPr>
            <w:r>
              <w:rPr>
                <w:spacing w:val="-5"/>
                <w:sz w:val="20"/>
              </w:rPr>
              <w:t>58%</w:t>
            </w:r>
          </w:p>
        </w:tc>
        <w:tc>
          <w:tcPr>
            <w:tcW w:w="1223" w:type="dxa"/>
          </w:tcPr>
          <w:p>
            <w:pPr>
              <w:pStyle w:val="TableParagraph"/>
              <w:spacing w:before="2"/>
              <w:ind w:right="129"/>
              <w:jc w:val="right"/>
              <w:rPr>
                <w:sz w:val="20"/>
              </w:rPr>
            </w:pPr>
            <w:r>
              <w:rPr>
                <w:spacing w:val="-5"/>
                <w:sz w:val="20"/>
              </w:rPr>
              <w:t>58%</w:t>
            </w:r>
          </w:p>
        </w:tc>
        <w:tc>
          <w:tcPr>
            <w:tcW w:w="1179" w:type="dxa"/>
          </w:tcPr>
          <w:p>
            <w:pPr>
              <w:pStyle w:val="TableParagraph"/>
              <w:rPr>
                <w:sz w:val="18"/>
              </w:rPr>
            </w:pPr>
          </w:p>
        </w:tc>
        <w:tc>
          <w:tcPr>
            <w:tcW w:w="1056" w:type="dxa"/>
          </w:tcPr>
          <w:p>
            <w:pPr>
              <w:pStyle w:val="TableParagraph"/>
              <w:rPr>
                <w:sz w:val="18"/>
              </w:rPr>
            </w:pPr>
          </w:p>
        </w:tc>
      </w:tr>
      <w:tr>
        <w:trPr>
          <w:trHeight w:val="280" w:hRule="atLeast"/>
        </w:trPr>
        <w:tc>
          <w:tcPr>
            <w:tcW w:w="4133" w:type="dxa"/>
            <w:shd w:val="clear" w:color="auto" w:fill="CCEDFF"/>
          </w:tcPr>
          <w:p>
            <w:pPr>
              <w:pStyle w:val="TableParagraph"/>
              <w:spacing w:before="2"/>
              <w:ind w:left="50"/>
              <w:rPr>
                <w:sz w:val="20"/>
              </w:rPr>
            </w:pPr>
            <w:r>
              <w:rPr>
                <w:spacing w:val="-4"/>
                <w:sz w:val="20"/>
              </w:rPr>
              <w:t>EMEA</w:t>
            </w:r>
          </w:p>
        </w:tc>
        <w:tc>
          <w:tcPr>
            <w:tcW w:w="1466" w:type="dxa"/>
            <w:shd w:val="clear" w:color="auto" w:fill="CCEDFF"/>
          </w:tcPr>
          <w:p>
            <w:pPr>
              <w:pStyle w:val="TableParagraph"/>
              <w:spacing w:before="2"/>
              <w:ind w:left="629"/>
              <w:rPr>
                <w:sz w:val="20"/>
              </w:rPr>
            </w:pPr>
            <w:r>
              <w:rPr>
                <w:spacing w:val="-2"/>
                <w:sz w:val="20"/>
              </w:rPr>
              <w:t>1,985.1</w:t>
            </w:r>
          </w:p>
        </w:tc>
        <w:tc>
          <w:tcPr>
            <w:tcW w:w="1179" w:type="dxa"/>
            <w:shd w:val="clear" w:color="auto" w:fill="CCEDFF"/>
          </w:tcPr>
          <w:p>
            <w:pPr>
              <w:pStyle w:val="TableParagraph"/>
              <w:spacing w:before="2"/>
              <w:ind w:left="343"/>
              <w:rPr>
                <w:sz w:val="20"/>
              </w:rPr>
            </w:pPr>
            <w:r>
              <w:rPr>
                <w:spacing w:val="-2"/>
                <w:sz w:val="20"/>
              </w:rPr>
              <w:t>1,619.2</w:t>
            </w:r>
          </w:p>
        </w:tc>
        <w:tc>
          <w:tcPr>
            <w:tcW w:w="1223" w:type="dxa"/>
            <w:shd w:val="clear" w:color="auto" w:fill="CCEDFF"/>
          </w:tcPr>
          <w:p>
            <w:pPr>
              <w:pStyle w:val="TableParagraph"/>
              <w:spacing w:before="2"/>
              <w:ind w:left="324"/>
              <w:rPr>
                <w:sz w:val="20"/>
              </w:rPr>
            </w:pPr>
            <w:r>
              <w:rPr>
                <w:spacing w:val="-2"/>
                <w:sz w:val="20"/>
              </w:rPr>
              <w:t>1,336.4</w:t>
            </w:r>
          </w:p>
        </w:tc>
        <w:tc>
          <w:tcPr>
            <w:tcW w:w="1179" w:type="dxa"/>
            <w:shd w:val="clear" w:color="auto" w:fill="CCEDFF"/>
          </w:tcPr>
          <w:p>
            <w:pPr>
              <w:pStyle w:val="TableParagraph"/>
              <w:spacing w:before="2"/>
              <w:ind w:right="128"/>
              <w:jc w:val="right"/>
              <w:rPr>
                <w:sz w:val="20"/>
              </w:rPr>
            </w:pPr>
            <w:r>
              <w:rPr>
                <w:spacing w:val="-5"/>
                <w:sz w:val="20"/>
              </w:rPr>
              <w:t>23%</w:t>
            </w:r>
          </w:p>
        </w:tc>
        <w:tc>
          <w:tcPr>
            <w:tcW w:w="1056" w:type="dxa"/>
            <w:shd w:val="clear" w:color="auto" w:fill="CCEDFF"/>
          </w:tcPr>
          <w:p>
            <w:pPr>
              <w:pStyle w:val="TableParagraph"/>
              <w:spacing w:before="2"/>
              <w:ind w:right="4"/>
              <w:jc w:val="right"/>
              <w:rPr>
                <w:sz w:val="20"/>
              </w:rPr>
            </w:pPr>
            <w:r>
              <w:rPr>
                <w:spacing w:val="-5"/>
                <w:sz w:val="20"/>
              </w:rPr>
              <w:t>21%</w:t>
            </w:r>
          </w:p>
        </w:tc>
      </w:tr>
      <w:tr>
        <w:trPr>
          <w:trHeight w:val="280" w:hRule="atLeast"/>
        </w:trPr>
        <w:tc>
          <w:tcPr>
            <w:tcW w:w="4133" w:type="dxa"/>
          </w:tcPr>
          <w:p>
            <w:pPr>
              <w:pStyle w:val="TableParagraph"/>
              <w:spacing w:before="2"/>
              <w:ind w:left="170"/>
              <w:rPr>
                <w:sz w:val="20"/>
              </w:rPr>
            </w:pPr>
            <w:r>
              <w:rPr>
                <w:sz w:val="20"/>
              </w:rPr>
              <w:t>Percentage of total </w:t>
            </w:r>
            <w:r>
              <w:rPr>
                <w:spacing w:val="-2"/>
                <w:sz w:val="20"/>
              </w:rPr>
              <w:t>revenue</w:t>
            </w:r>
          </w:p>
        </w:tc>
        <w:tc>
          <w:tcPr>
            <w:tcW w:w="1466" w:type="dxa"/>
          </w:tcPr>
          <w:p>
            <w:pPr>
              <w:pStyle w:val="TableParagraph"/>
              <w:spacing w:before="2"/>
              <w:ind w:right="67"/>
              <w:jc w:val="right"/>
              <w:rPr>
                <w:sz w:val="20"/>
              </w:rPr>
            </w:pPr>
            <w:r>
              <w:rPr>
                <w:spacing w:val="-5"/>
                <w:sz w:val="20"/>
              </w:rPr>
              <w:t>27%</w:t>
            </w:r>
          </w:p>
        </w:tc>
        <w:tc>
          <w:tcPr>
            <w:tcW w:w="1179" w:type="dxa"/>
          </w:tcPr>
          <w:p>
            <w:pPr>
              <w:pStyle w:val="TableParagraph"/>
              <w:spacing w:before="2"/>
              <w:ind w:right="66"/>
              <w:jc w:val="right"/>
              <w:rPr>
                <w:sz w:val="20"/>
              </w:rPr>
            </w:pPr>
            <w:r>
              <w:rPr>
                <w:spacing w:val="-5"/>
                <w:sz w:val="20"/>
              </w:rPr>
              <w:t>28%</w:t>
            </w:r>
          </w:p>
        </w:tc>
        <w:tc>
          <w:tcPr>
            <w:tcW w:w="1223" w:type="dxa"/>
          </w:tcPr>
          <w:p>
            <w:pPr>
              <w:pStyle w:val="TableParagraph"/>
              <w:spacing w:before="2"/>
              <w:ind w:right="129"/>
              <w:jc w:val="right"/>
              <w:rPr>
                <w:sz w:val="20"/>
              </w:rPr>
            </w:pPr>
            <w:r>
              <w:rPr>
                <w:spacing w:val="-5"/>
                <w:sz w:val="20"/>
              </w:rPr>
              <w:t>28%</w:t>
            </w:r>
          </w:p>
        </w:tc>
        <w:tc>
          <w:tcPr>
            <w:tcW w:w="1179" w:type="dxa"/>
          </w:tcPr>
          <w:p>
            <w:pPr>
              <w:pStyle w:val="TableParagraph"/>
              <w:rPr>
                <w:sz w:val="18"/>
              </w:rPr>
            </w:pPr>
          </w:p>
        </w:tc>
        <w:tc>
          <w:tcPr>
            <w:tcW w:w="1056" w:type="dxa"/>
          </w:tcPr>
          <w:p>
            <w:pPr>
              <w:pStyle w:val="TableParagraph"/>
              <w:rPr>
                <w:sz w:val="18"/>
              </w:rPr>
            </w:pPr>
          </w:p>
        </w:tc>
      </w:tr>
      <w:tr>
        <w:trPr>
          <w:trHeight w:val="280" w:hRule="atLeast"/>
        </w:trPr>
        <w:tc>
          <w:tcPr>
            <w:tcW w:w="4133" w:type="dxa"/>
            <w:shd w:val="clear" w:color="auto" w:fill="CCEDFF"/>
          </w:tcPr>
          <w:p>
            <w:pPr>
              <w:pStyle w:val="TableParagraph"/>
              <w:spacing w:before="2"/>
              <w:ind w:left="50"/>
              <w:rPr>
                <w:sz w:val="20"/>
              </w:rPr>
            </w:pPr>
            <w:r>
              <w:rPr>
                <w:spacing w:val="-4"/>
                <w:sz w:val="20"/>
              </w:rPr>
              <w:t>APAC</w:t>
            </w:r>
          </w:p>
        </w:tc>
        <w:tc>
          <w:tcPr>
            <w:tcW w:w="1466" w:type="dxa"/>
            <w:shd w:val="clear" w:color="auto" w:fill="CCEDFF"/>
          </w:tcPr>
          <w:p>
            <w:pPr>
              <w:pStyle w:val="TableParagraph"/>
              <w:spacing w:before="2"/>
              <w:ind w:left="629"/>
              <w:rPr>
                <w:sz w:val="20"/>
              </w:rPr>
            </w:pPr>
            <w:r>
              <w:rPr>
                <w:spacing w:val="-2"/>
                <w:sz w:val="20"/>
              </w:rPr>
              <w:t>1,099.9</w:t>
            </w:r>
          </w:p>
        </w:tc>
        <w:tc>
          <w:tcPr>
            <w:tcW w:w="1179" w:type="dxa"/>
            <w:shd w:val="clear" w:color="auto" w:fill="CCEDFF"/>
          </w:tcPr>
          <w:p>
            <w:pPr>
              <w:pStyle w:val="TableParagraph"/>
              <w:spacing w:before="2"/>
              <w:ind w:left="494"/>
              <w:rPr>
                <w:sz w:val="20"/>
              </w:rPr>
            </w:pPr>
            <w:r>
              <w:rPr>
                <w:spacing w:val="-2"/>
                <w:sz w:val="20"/>
              </w:rPr>
              <w:t>835.1</w:t>
            </w:r>
          </w:p>
        </w:tc>
        <w:tc>
          <w:tcPr>
            <w:tcW w:w="1223" w:type="dxa"/>
            <w:shd w:val="clear" w:color="auto" w:fill="CCEDFF"/>
          </w:tcPr>
          <w:p>
            <w:pPr>
              <w:pStyle w:val="TableParagraph"/>
              <w:spacing w:before="2"/>
              <w:ind w:left="475"/>
              <w:rPr>
                <w:sz w:val="20"/>
              </w:rPr>
            </w:pPr>
            <w:r>
              <w:rPr>
                <w:spacing w:val="-2"/>
                <w:sz w:val="20"/>
              </w:rPr>
              <w:t>671.0</w:t>
            </w:r>
          </w:p>
        </w:tc>
        <w:tc>
          <w:tcPr>
            <w:tcW w:w="1179" w:type="dxa"/>
            <w:shd w:val="clear" w:color="auto" w:fill="CCEDFF"/>
          </w:tcPr>
          <w:p>
            <w:pPr>
              <w:pStyle w:val="TableParagraph"/>
              <w:spacing w:before="2"/>
              <w:ind w:right="128"/>
              <w:jc w:val="right"/>
              <w:rPr>
                <w:sz w:val="20"/>
              </w:rPr>
            </w:pPr>
            <w:r>
              <w:rPr>
                <w:spacing w:val="-5"/>
                <w:sz w:val="20"/>
              </w:rPr>
              <w:t>32%</w:t>
            </w:r>
          </w:p>
        </w:tc>
        <w:tc>
          <w:tcPr>
            <w:tcW w:w="1056" w:type="dxa"/>
            <w:shd w:val="clear" w:color="auto" w:fill="CCEDFF"/>
          </w:tcPr>
          <w:p>
            <w:pPr>
              <w:pStyle w:val="TableParagraph"/>
              <w:spacing w:before="2"/>
              <w:ind w:right="4"/>
              <w:jc w:val="right"/>
              <w:rPr>
                <w:sz w:val="20"/>
              </w:rPr>
            </w:pPr>
            <w:r>
              <w:rPr>
                <w:spacing w:val="-5"/>
                <w:sz w:val="20"/>
              </w:rPr>
              <w:t>24%</w:t>
            </w:r>
          </w:p>
        </w:tc>
      </w:tr>
      <w:tr>
        <w:trPr>
          <w:trHeight w:val="270" w:hRule="atLeast"/>
        </w:trPr>
        <w:tc>
          <w:tcPr>
            <w:tcW w:w="4133" w:type="dxa"/>
          </w:tcPr>
          <w:p>
            <w:pPr>
              <w:pStyle w:val="TableParagraph"/>
              <w:spacing w:before="2"/>
              <w:ind w:left="170"/>
              <w:rPr>
                <w:sz w:val="20"/>
              </w:rPr>
            </w:pPr>
            <w:r>
              <w:rPr>
                <w:sz w:val="20"/>
              </w:rPr>
              <w:t>Percentage of total </w:t>
            </w:r>
            <w:r>
              <w:rPr>
                <w:spacing w:val="-2"/>
                <w:sz w:val="20"/>
              </w:rPr>
              <w:t>revenue</w:t>
            </w:r>
          </w:p>
        </w:tc>
        <w:tc>
          <w:tcPr>
            <w:tcW w:w="1466" w:type="dxa"/>
            <w:tcBorders>
              <w:bottom w:val="single" w:sz="8" w:space="0" w:color="000000"/>
            </w:tcBorders>
          </w:tcPr>
          <w:p>
            <w:pPr>
              <w:pStyle w:val="TableParagraph"/>
              <w:spacing w:before="2"/>
              <w:ind w:right="67"/>
              <w:jc w:val="right"/>
              <w:rPr>
                <w:sz w:val="20"/>
              </w:rPr>
            </w:pPr>
            <w:r>
              <w:rPr>
                <w:spacing w:val="-5"/>
                <w:sz w:val="20"/>
              </w:rPr>
              <w:t>15%</w:t>
            </w:r>
          </w:p>
        </w:tc>
        <w:tc>
          <w:tcPr>
            <w:tcW w:w="1179" w:type="dxa"/>
            <w:tcBorders>
              <w:bottom w:val="single" w:sz="8" w:space="0" w:color="000000"/>
            </w:tcBorders>
          </w:tcPr>
          <w:p>
            <w:pPr>
              <w:pStyle w:val="TableParagraph"/>
              <w:spacing w:before="2"/>
              <w:ind w:right="66"/>
              <w:jc w:val="right"/>
              <w:rPr>
                <w:sz w:val="20"/>
              </w:rPr>
            </w:pPr>
            <w:r>
              <w:rPr>
                <w:spacing w:val="-5"/>
                <w:sz w:val="20"/>
              </w:rPr>
              <w:t>14%</w:t>
            </w:r>
          </w:p>
        </w:tc>
        <w:tc>
          <w:tcPr>
            <w:tcW w:w="1223" w:type="dxa"/>
            <w:tcBorders>
              <w:bottom w:val="single" w:sz="8" w:space="0" w:color="000000"/>
            </w:tcBorders>
          </w:tcPr>
          <w:p>
            <w:pPr>
              <w:pStyle w:val="TableParagraph"/>
              <w:spacing w:before="2"/>
              <w:ind w:right="129"/>
              <w:jc w:val="right"/>
              <w:rPr>
                <w:sz w:val="20"/>
              </w:rPr>
            </w:pPr>
            <w:r>
              <w:rPr>
                <w:spacing w:val="-5"/>
                <w:sz w:val="20"/>
              </w:rPr>
              <w:t>14%</w:t>
            </w:r>
          </w:p>
        </w:tc>
        <w:tc>
          <w:tcPr>
            <w:tcW w:w="1179" w:type="dxa"/>
          </w:tcPr>
          <w:p>
            <w:pPr>
              <w:pStyle w:val="TableParagraph"/>
              <w:rPr>
                <w:sz w:val="18"/>
              </w:rPr>
            </w:pPr>
          </w:p>
        </w:tc>
        <w:tc>
          <w:tcPr>
            <w:tcW w:w="1056" w:type="dxa"/>
          </w:tcPr>
          <w:p>
            <w:pPr>
              <w:pStyle w:val="TableParagraph"/>
              <w:rPr>
                <w:sz w:val="18"/>
              </w:rPr>
            </w:pPr>
          </w:p>
        </w:tc>
      </w:tr>
      <w:tr>
        <w:trPr>
          <w:trHeight w:val="270" w:hRule="atLeast"/>
        </w:trPr>
        <w:tc>
          <w:tcPr>
            <w:tcW w:w="4133" w:type="dxa"/>
            <w:shd w:val="clear" w:color="auto" w:fill="CCEDFF"/>
          </w:tcPr>
          <w:p>
            <w:pPr>
              <w:pStyle w:val="TableParagraph"/>
              <w:spacing w:line="222" w:lineRule="exact"/>
              <w:ind w:left="50"/>
              <w:rPr>
                <w:sz w:val="20"/>
              </w:rPr>
            </w:pPr>
            <w:r>
              <w:rPr>
                <w:spacing w:val="-2"/>
                <w:sz w:val="20"/>
              </w:rPr>
              <w:t>Total</w:t>
            </w:r>
            <w:r>
              <w:rPr>
                <w:spacing w:val="-4"/>
                <w:sz w:val="20"/>
              </w:rPr>
              <w:t> </w:t>
            </w:r>
            <w:r>
              <w:rPr>
                <w:spacing w:val="-2"/>
                <w:sz w:val="20"/>
              </w:rPr>
              <w:t>revenue</w:t>
            </w:r>
          </w:p>
        </w:tc>
        <w:tc>
          <w:tcPr>
            <w:tcW w:w="1466" w:type="dxa"/>
            <w:tcBorders>
              <w:top w:val="single" w:sz="8" w:space="0" w:color="000000"/>
            </w:tcBorders>
            <w:shd w:val="clear" w:color="auto" w:fill="CCEDFF"/>
          </w:tcPr>
          <w:p>
            <w:pPr>
              <w:pStyle w:val="TableParagraph"/>
              <w:spacing w:line="222" w:lineRule="exact"/>
              <w:ind w:left="377"/>
              <w:rPr>
                <w:sz w:val="20"/>
              </w:rPr>
            </w:pPr>
            <w:r>
              <w:rPr>
                <w:sz w:val="20"/>
              </w:rPr>
              <w:t>$</w:t>
            </w:r>
            <w:r>
              <w:rPr>
                <w:spacing w:val="75"/>
                <w:w w:val="150"/>
                <w:sz w:val="20"/>
              </w:rPr>
              <w:t> </w:t>
            </w:r>
            <w:r>
              <w:rPr>
                <w:spacing w:val="-2"/>
                <w:sz w:val="20"/>
              </w:rPr>
              <w:t>7,301.5</w:t>
            </w:r>
          </w:p>
        </w:tc>
        <w:tc>
          <w:tcPr>
            <w:tcW w:w="1179" w:type="dxa"/>
            <w:tcBorders>
              <w:top w:val="single" w:sz="8" w:space="0" w:color="000000"/>
            </w:tcBorders>
            <w:shd w:val="clear" w:color="auto" w:fill="CCEDFF"/>
          </w:tcPr>
          <w:p>
            <w:pPr>
              <w:pStyle w:val="TableParagraph"/>
              <w:spacing w:line="222" w:lineRule="exact"/>
              <w:ind w:left="71"/>
              <w:rPr>
                <w:sz w:val="20"/>
              </w:rPr>
            </w:pPr>
            <w:r>
              <w:rPr>
                <w:sz w:val="20"/>
              </w:rPr>
              <w:t>$</w:t>
            </w:r>
            <w:r>
              <w:rPr>
                <w:spacing w:val="36"/>
                <w:sz w:val="20"/>
              </w:rPr>
              <w:t>  </w:t>
            </w:r>
            <w:r>
              <w:rPr>
                <w:spacing w:val="-2"/>
                <w:sz w:val="20"/>
              </w:rPr>
              <w:t>5,854.4</w:t>
            </w:r>
          </w:p>
        </w:tc>
        <w:tc>
          <w:tcPr>
            <w:tcW w:w="1223" w:type="dxa"/>
            <w:tcBorders>
              <w:top w:val="single" w:sz="8" w:space="0" w:color="000000"/>
            </w:tcBorders>
            <w:shd w:val="clear" w:color="auto" w:fill="CCEDFF"/>
          </w:tcPr>
          <w:p>
            <w:pPr>
              <w:pStyle w:val="TableParagraph"/>
              <w:spacing w:line="222" w:lineRule="exact"/>
              <w:ind w:left="72"/>
              <w:rPr>
                <w:sz w:val="20"/>
              </w:rPr>
            </w:pPr>
            <w:r>
              <w:rPr>
                <w:sz w:val="20"/>
              </w:rPr>
              <w:t>$</w:t>
            </w:r>
            <w:r>
              <w:rPr>
                <w:spacing w:val="75"/>
                <w:w w:val="150"/>
                <w:sz w:val="20"/>
              </w:rPr>
              <w:t> </w:t>
            </w:r>
            <w:r>
              <w:rPr>
                <w:spacing w:val="-2"/>
                <w:sz w:val="20"/>
              </w:rPr>
              <w:t>4,795.5</w:t>
            </w:r>
          </w:p>
        </w:tc>
        <w:tc>
          <w:tcPr>
            <w:tcW w:w="1179" w:type="dxa"/>
            <w:shd w:val="clear" w:color="auto" w:fill="CCEDFF"/>
          </w:tcPr>
          <w:p>
            <w:pPr>
              <w:pStyle w:val="TableParagraph"/>
              <w:spacing w:line="222" w:lineRule="exact"/>
              <w:ind w:right="128"/>
              <w:jc w:val="right"/>
              <w:rPr>
                <w:sz w:val="20"/>
              </w:rPr>
            </w:pPr>
            <w:r>
              <w:rPr>
                <w:spacing w:val="-5"/>
                <w:sz w:val="20"/>
              </w:rPr>
              <w:t>25%</w:t>
            </w:r>
          </w:p>
        </w:tc>
        <w:tc>
          <w:tcPr>
            <w:tcW w:w="1056" w:type="dxa"/>
            <w:shd w:val="clear" w:color="auto" w:fill="CCEDFF"/>
          </w:tcPr>
          <w:p>
            <w:pPr>
              <w:pStyle w:val="TableParagraph"/>
              <w:spacing w:line="222" w:lineRule="exact"/>
              <w:ind w:right="4"/>
              <w:jc w:val="right"/>
              <w:rPr>
                <w:sz w:val="20"/>
              </w:rPr>
            </w:pPr>
            <w:r>
              <w:rPr>
                <w:spacing w:val="-5"/>
                <w:sz w:val="20"/>
              </w:rPr>
              <w:t>22%</w:t>
            </w:r>
          </w:p>
        </w:tc>
      </w:tr>
    </w:tbl>
    <w:p>
      <w:pPr>
        <w:spacing w:before="225"/>
        <w:ind w:left="220" w:right="0" w:firstLine="0"/>
        <w:jc w:val="left"/>
        <w:rPr>
          <w:i/>
          <w:sz w:val="20"/>
        </w:rPr>
      </w:pPr>
      <w:r>
        <w:rPr/>
        <mc:AlternateContent>
          <mc:Choice Requires="wps">
            <w:drawing>
              <wp:anchor distT="0" distB="0" distL="0" distR="0" allowOverlap="1" layoutInCell="1" locked="0" behindDoc="0" simplePos="0" relativeHeight="15755264">
                <wp:simplePos x="0" y="0"/>
                <wp:positionH relativeFrom="page">
                  <wp:posOffset>3473450</wp:posOffset>
                </wp:positionH>
                <wp:positionV relativeFrom="paragraph">
                  <wp:posOffset>-17638</wp:posOffset>
                </wp:positionV>
                <wp:extent cx="685800" cy="3810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685800" cy="38100"/>
                          <a:chExt cx="685800" cy="38100"/>
                        </a:xfrm>
                      </wpg:grpSpPr>
                      <wps:wsp>
                        <wps:cNvPr id="144" name="Graphic 144"/>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0" y="317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5pt;margin-top:-1.388867pt;width:54pt;height:3pt;mso-position-horizontal-relative:page;mso-position-vertical-relative:paragraph;z-index:15755264" id="docshapegroup100" coordorigin="5470,-28" coordsize="1080,60">
                <v:rect style="position:absolute;left:5470;top:-28;width:1080;height:20" id="docshape101" filled="true" fillcolor="#000000" stroked="false">
                  <v:fill type="solid"/>
                </v:rect>
                <v:line style="position:absolute" from="5470,22" to="6550,22"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4210050</wp:posOffset>
                </wp:positionH>
                <wp:positionV relativeFrom="paragraph">
                  <wp:posOffset>-17638</wp:posOffset>
                </wp:positionV>
                <wp:extent cx="698500" cy="3810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698500" cy="38100"/>
                          <a:chExt cx="698500" cy="38100"/>
                        </a:xfrm>
                      </wpg:grpSpPr>
                      <wps:wsp>
                        <wps:cNvPr id="147" name="Graphic 147"/>
                        <wps:cNvSpPr/>
                        <wps:spPr>
                          <a:xfrm>
                            <a:off x="0" y="0"/>
                            <a:ext cx="698500" cy="12700"/>
                          </a:xfrm>
                          <a:custGeom>
                            <a:avLst/>
                            <a:gdLst/>
                            <a:ahLst/>
                            <a:cxnLst/>
                            <a:rect l="l" t="t" r="r" b="b"/>
                            <a:pathLst>
                              <a:path w="698500" h="12700">
                                <a:moveTo>
                                  <a:pt x="0" y="12700"/>
                                </a:moveTo>
                                <a:lnTo>
                                  <a:pt x="698500" y="12700"/>
                                </a:lnTo>
                                <a:lnTo>
                                  <a:pt x="6985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0" y="3175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5pt;margin-top:-1.388867pt;width:55pt;height:3pt;mso-position-horizontal-relative:page;mso-position-vertical-relative:paragraph;z-index:15755776" id="docshapegroup102" coordorigin="6630,-28" coordsize="1100,60">
                <v:rect style="position:absolute;left:6630;top:-28;width:1100;height:20" id="docshape103" filled="true" fillcolor="#000000" stroked="false">
                  <v:fill type="solid"/>
                </v:rect>
                <v:line style="position:absolute" from="6630,22" to="7730,22"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4959350</wp:posOffset>
                </wp:positionH>
                <wp:positionV relativeFrom="paragraph">
                  <wp:posOffset>-17638</wp:posOffset>
                </wp:positionV>
                <wp:extent cx="685800" cy="3810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685800" cy="38100"/>
                          <a:chExt cx="685800" cy="38100"/>
                        </a:xfrm>
                      </wpg:grpSpPr>
                      <wps:wsp>
                        <wps:cNvPr id="150" name="Graphic 150"/>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0" y="317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5pt;margin-top:-1.388867pt;width:54pt;height:3pt;mso-position-horizontal-relative:page;mso-position-vertical-relative:paragraph;z-index:15756288" id="docshapegroup104" coordorigin="7810,-28" coordsize="1080,60">
                <v:rect style="position:absolute;left:7810;top:-28;width:1080;height:20" id="docshape105" filled="true" fillcolor="#000000" stroked="false">
                  <v:fill type="solid"/>
                </v:rect>
                <v:line style="position:absolute" from="7810,22" to="8890,22" stroked="true" strokeweight="1pt" strokecolor="#000000">
                  <v:stroke dashstyle="solid"/>
                </v:line>
                <w10:wrap type="none"/>
              </v:group>
            </w:pict>
          </mc:Fallback>
        </mc:AlternateContent>
      </w:r>
      <w:r>
        <w:rPr>
          <w:i/>
          <w:sz w:val="20"/>
        </w:rPr>
        <w:t>Fiscal</w:t>
      </w:r>
      <w:r>
        <w:rPr>
          <w:i/>
          <w:spacing w:val="-3"/>
          <w:sz w:val="20"/>
        </w:rPr>
        <w:t> </w:t>
      </w:r>
      <w:r>
        <w:rPr>
          <w:i/>
          <w:sz w:val="20"/>
        </w:rPr>
        <w:t>2017</w:t>
      </w:r>
      <w:r>
        <w:rPr>
          <w:i/>
          <w:spacing w:val="-1"/>
          <w:sz w:val="20"/>
        </w:rPr>
        <w:t> </w:t>
      </w:r>
      <w:r>
        <w:rPr>
          <w:i/>
          <w:sz w:val="20"/>
        </w:rPr>
        <w:t>Revenue</w:t>
      </w:r>
      <w:r>
        <w:rPr>
          <w:i/>
          <w:spacing w:val="-2"/>
          <w:sz w:val="20"/>
        </w:rPr>
        <w:t> </w:t>
      </w:r>
      <w:r>
        <w:rPr>
          <w:i/>
          <w:sz w:val="20"/>
        </w:rPr>
        <w:t>by</w:t>
      </w:r>
      <w:r>
        <w:rPr>
          <w:i/>
          <w:spacing w:val="-1"/>
          <w:sz w:val="20"/>
        </w:rPr>
        <w:t> </w:t>
      </w:r>
      <w:r>
        <w:rPr>
          <w:i/>
          <w:sz w:val="20"/>
        </w:rPr>
        <w:t>Geography</w:t>
      </w:r>
      <w:r>
        <w:rPr>
          <w:i/>
          <w:spacing w:val="-2"/>
          <w:sz w:val="20"/>
        </w:rPr>
        <w:t> </w:t>
      </w:r>
      <w:r>
        <w:rPr>
          <w:i/>
          <w:sz w:val="20"/>
        </w:rPr>
        <w:t>Compared</w:t>
      </w:r>
      <w:r>
        <w:rPr>
          <w:i/>
          <w:spacing w:val="-2"/>
          <w:sz w:val="20"/>
        </w:rPr>
        <w:t> </w:t>
      </w:r>
      <w:r>
        <w:rPr>
          <w:i/>
          <w:sz w:val="20"/>
        </w:rPr>
        <w:t>to</w:t>
      </w:r>
      <w:r>
        <w:rPr>
          <w:i/>
          <w:spacing w:val="-1"/>
          <w:sz w:val="20"/>
        </w:rPr>
        <w:t> </w:t>
      </w:r>
      <w:r>
        <w:rPr>
          <w:i/>
          <w:sz w:val="20"/>
        </w:rPr>
        <w:t>Fiscal</w:t>
      </w:r>
      <w:r>
        <w:rPr>
          <w:i/>
          <w:spacing w:val="-2"/>
          <w:sz w:val="20"/>
        </w:rPr>
        <w:t> </w:t>
      </w:r>
      <w:r>
        <w:rPr>
          <w:i/>
          <w:sz w:val="20"/>
        </w:rPr>
        <w:t>2016</w:t>
      </w:r>
      <w:r>
        <w:rPr>
          <w:i/>
          <w:spacing w:val="-1"/>
          <w:sz w:val="20"/>
        </w:rPr>
        <w:t> </w:t>
      </w:r>
      <w:r>
        <w:rPr>
          <w:i/>
          <w:sz w:val="20"/>
        </w:rPr>
        <w:t>Revenue</w:t>
      </w:r>
      <w:r>
        <w:rPr>
          <w:i/>
          <w:spacing w:val="-2"/>
          <w:sz w:val="20"/>
        </w:rPr>
        <w:t> </w:t>
      </w:r>
      <w:r>
        <w:rPr>
          <w:i/>
          <w:sz w:val="20"/>
        </w:rPr>
        <w:t>by</w:t>
      </w:r>
      <w:r>
        <w:rPr>
          <w:i/>
          <w:spacing w:val="-1"/>
          <w:sz w:val="20"/>
        </w:rPr>
        <w:t> </w:t>
      </w:r>
      <w:r>
        <w:rPr>
          <w:i/>
          <w:spacing w:val="-2"/>
          <w:sz w:val="20"/>
        </w:rPr>
        <w:t>Geography</w:t>
      </w:r>
    </w:p>
    <w:p>
      <w:pPr>
        <w:pStyle w:val="BodyText"/>
        <w:spacing w:line="249" w:lineRule="auto" w:before="190"/>
        <w:ind w:left="220" w:right="257" w:firstLine="540"/>
        <w:jc w:val="both"/>
      </w:pPr>
      <w:r>
        <w:rPr>
          <w:spacing w:val="-2"/>
        </w:rPr>
        <w:t>Overall</w:t>
      </w:r>
      <w:r>
        <w:rPr>
          <w:spacing w:val="-4"/>
        </w:rPr>
        <w:t> </w:t>
      </w:r>
      <w:r>
        <w:rPr>
          <w:spacing w:val="-2"/>
        </w:rPr>
        <w:t>revenue</w:t>
      </w:r>
      <w:r>
        <w:rPr>
          <w:spacing w:val="-4"/>
        </w:rPr>
        <w:t> </w:t>
      </w:r>
      <w:r>
        <w:rPr>
          <w:spacing w:val="-2"/>
        </w:rPr>
        <w:t>during</w:t>
      </w:r>
      <w:r>
        <w:rPr>
          <w:spacing w:val="-4"/>
        </w:rPr>
        <w:t> </w:t>
      </w:r>
      <w:r>
        <w:rPr>
          <w:spacing w:val="-2"/>
        </w:rPr>
        <w:t>fiscal</w:t>
      </w:r>
      <w:r>
        <w:rPr>
          <w:spacing w:val="-4"/>
        </w:rPr>
        <w:t> </w:t>
      </w:r>
      <w:r>
        <w:rPr>
          <w:spacing w:val="-2"/>
        </w:rPr>
        <w:t>2017</w:t>
      </w:r>
      <w:r>
        <w:rPr>
          <w:spacing w:val="-4"/>
        </w:rPr>
        <w:t> </w:t>
      </w:r>
      <w:r>
        <w:rPr>
          <w:spacing w:val="-2"/>
        </w:rPr>
        <w:t>increased</w:t>
      </w:r>
      <w:r>
        <w:rPr>
          <w:spacing w:val="-4"/>
        </w:rPr>
        <w:t> </w:t>
      </w:r>
      <w:r>
        <w:rPr>
          <w:spacing w:val="-2"/>
        </w:rPr>
        <w:t>in</w:t>
      </w:r>
      <w:r>
        <w:rPr>
          <w:spacing w:val="-4"/>
        </w:rPr>
        <w:t> </w:t>
      </w:r>
      <w:r>
        <w:rPr>
          <w:spacing w:val="-2"/>
        </w:rPr>
        <w:t>all</w:t>
      </w:r>
      <w:r>
        <w:rPr>
          <w:spacing w:val="-4"/>
        </w:rPr>
        <w:t> </w:t>
      </w:r>
      <w:r>
        <w:rPr>
          <w:spacing w:val="-2"/>
        </w:rPr>
        <w:t>geographic</w:t>
      </w:r>
      <w:r>
        <w:rPr>
          <w:spacing w:val="-4"/>
        </w:rPr>
        <w:t> </w:t>
      </w:r>
      <w:r>
        <w:rPr>
          <w:spacing w:val="-2"/>
        </w:rPr>
        <w:t>regions</w:t>
      </w:r>
      <w:r>
        <w:rPr>
          <w:spacing w:val="-4"/>
        </w:rPr>
        <w:t> </w:t>
      </w:r>
      <w:r>
        <w:rPr>
          <w:spacing w:val="-2"/>
        </w:rPr>
        <w:t>as</w:t>
      </w:r>
      <w:r>
        <w:rPr>
          <w:spacing w:val="-4"/>
        </w:rPr>
        <w:t> </w:t>
      </w:r>
      <w:r>
        <w:rPr>
          <w:spacing w:val="-2"/>
        </w:rPr>
        <w:t>compared</w:t>
      </w:r>
      <w:r>
        <w:rPr>
          <w:spacing w:val="-4"/>
        </w:rPr>
        <w:t> </w:t>
      </w:r>
      <w:r>
        <w:rPr>
          <w:spacing w:val="-2"/>
        </w:rPr>
        <w:t>to</w:t>
      </w:r>
      <w:r>
        <w:rPr>
          <w:spacing w:val="-4"/>
        </w:rPr>
        <w:t> </w:t>
      </w:r>
      <w:r>
        <w:rPr>
          <w:spacing w:val="-2"/>
        </w:rPr>
        <w:t>fiscal</w:t>
      </w:r>
      <w:r>
        <w:rPr>
          <w:spacing w:val="-4"/>
        </w:rPr>
        <w:t> </w:t>
      </w:r>
      <w:r>
        <w:rPr>
          <w:spacing w:val="-2"/>
        </w:rPr>
        <w:t>2016</w:t>
      </w:r>
      <w:r>
        <w:rPr>
          <w:spacing w:val="-4"/>
        </w:rPr>
        <w:t> </w:t>
      </w:r>
      <w:r>
        <w:rPr>
          <w:spacing w:val="-2"/>
        </w:rPr>
        <w:t>primarily</w:t>
      </w:r>
      <w:r>
        <w:rPr>
          <w:spacing w:val="-4"/>
        </w:rPr>
        <w:t> </w:t>
      </w:r>
      <w:r>
        <w:rPr>
          <w:spacing w:val="-2"/>
        </w:rPr>
        <w:t>due</w:t>
      </w:r>
      <w:r>
        <w:rPr>
          <w:spacing w:val="-4"/>
        </w:rPr>
        <w:t> </w:t>
      </w:r>
      <w:r>
        <w:rPr>
          <w:spacing w:val="-2"/>
        </w:rPr>
        <w:t>to</w:t>
      </w:r>
      <w:r>
        <w:rPr>
          <w:spacing w:val="-4"/>
        </w:rPr>
        <w:t> </w:t>
      </w:r>
      <w:r>
        <w:rPr>
          <w:spacing w:val="-2"/>
        </w:rPr>
        <w:t>increases in Digital Media and Digital Marketing revenue.</w:t>
      </w:r>
      <w:r>
        <w:rPr>
          <w:spacing w:val="-5"/>
        </w:rPr>
        <w:t> </w:t>
      </w:r>
      <w:r>
        <w:rPr>
          <w:spacing w:val="-2"/>
        </w:rPr>
        <w:t>Within each geographic region, the fluctuations in revenue by reportable segment were</w:t>
      </w:r>
      <w:r>
        <w:rPr>
          <w:spacing w:val="-11"/>
        </w:rPr>
        <w:t> </w:t>
      </w:r>
      <w:r>
        <w:rPr>
          <w:spacing w:val="-2"/>
        </w:rPr>
        <w:t>attributable</w:t>
      </w:r>
      <w:r>
        <w:rPr>
          <w:spacing w:val="-8"/>
        </w:rPr>
        <w:t> </w:t>
      </w:r>
      <w:r>
        <w:rPr>
          <w:spacing w:val="-2"/>
        </w:rPr>
        <w:t>to</w:t>
      </w:r>
      <w:r>
        <w:rPr>
          <w:spacing w:val="-5"/>
        </w:rPr>
        <w:t> </w:t>
      </w:r>
      <w:r>
        <w:rPr>
          <w:spacing w:val="-2"/>
        </w:rPr>
        <w:t>the</w:t>
      </w:r>
      <w:r>
        <w:rPr>
          <w:spacing w:val="-5"/>
        </w:rPr>
        <w:t> </w:t>
      </w:r>
      <w:r>
        <w:rPr>
          <w:spacing w:val="-2"/>
        </w:rPr>
        <w:t>factors</w:t>
      </w:r>
      <w:r>
        <w:rPr>
          <w:spacing w:val="-5"/>
        </w:rPr>
        <w:t> </w:t>
      </w:r>
      <w:r>
        <w:rPr>
          <w:spacing w:val="-2"/>
        </w:rPr>
        <w:t>noted</w:t>
      </w:r>
      <w:r>
        <w:rPr>
          <w:spacing w:val="-5"/>
        </w:rPr>
        <w:t> </w:t>
      </w:r>
      <w:r>
        <w:rPr>
          <w:spacing w:val="-2"/>
        </w:rPr>
        <w:t>in</w:t>
      </w:r>
      <w:r>
        <w:rPr>
          <w:spacing w:val="-5"/>
        </w:rPr>
        <w:t> </w:t>
      </w:r>
      <w:r>
        <w:rPr>
          <w:spacing w:val="-2"/>
        </w:rPr>
        <w:t>the</w:t>
      </w:r>
      <w:r>
        <w:rPr>
          <w:spacing w:val="-5"/>
        </w:rPr>
        <w:t> </w:t>
      </w:r>
      <w:r>
        <w:rPr>
          <w:spacing w:val="-2"/>
        </w:rPr>
        <w:t>segment</w:t>
      </w:r>
      <w:r>
        <w:rPr>
          <w:spacing w:val="-5"/>
        </w:rPr>
        <w:t> </w:t>
      </w:r>
      <w:r>
        <w:rPr>
          <w:spacing w:val="-2"/>
        </w:rPr>
        <w:t>information</w:t>
      </w:r>
      <w:r>
        <w:rPr>
          <w:spacing w:val="-5"/>
        </w:rPr>
        <w:t> </w:t>
      </w:r>
      <w:r>
        <w:rPr>
          <w:spacing w:val="-2"/>
        </w:rPr>
        <w:t>above.</w:t>
      </w:r>
      <w:r>
        <w:rPr>
          <w:spacing w:val="-5"/>
        </w:rPr>
        <w:t> </w:t>
      </w:r>
      <w:r>
        <w:rPr>
          <w:spacing w:val="-2"/>
        </w:rPr>
        <w:t>Further,</w:t>
      </w:r>
      <w:r>
        <w:rPr>
          <w:spacing w:val="-5"/>
        </w:rPr>
        <w:t> </w:t>
      </w:r>
      <w:r>
        <w:rPr>
          <w:spacing w:val="-2"/>
        </w:rPr>
        <w:t>the</w:t>
      </w:r>
      <w:r>
        <w:rPr>
          <w:spacing w:val="-5"/>
        </w:rPr>
        <w:t> </w:t>
      </w:r>
      <w:r>
        <w:rPr>
          <w:spacing w:val="-2"/>
        </w:rPr>
        <w:t>overall</w:t>
      </w:r>
      <w:r>
        <w:rPr>
          <w:spacing w:val="-5"/>
        </w:rPr>
        <w:t> </w:t>
      </w:r>
      <w:r>
        <w:rPr>
          <w:spacing w:val="-2"/>
        </w:rPr>
        <w:t>increase</w:t>
      </w:r>
      <w:r>
        <w:rPr>
          <w:spacing w:val="-5"/>
        </w:rPr>
        <w:t> </w:t>
      </w:r>
      <w:r>
        <w:rPr>
          <w:spacing w:val="-2"/>
        </w:rPr>
        <w:t>in</w:t>
      </w:r>
      <w:r>
        <w:rPr>
          <w:spacing w:val="-5"/>
        </w:rPr>
        <w:t> </w:t>
      </w:r>
      <w:r>
        <w:rPr>
          <w:spacing w:val="-2"/>
        </w:rPr>
        <w:t>EMEA</w:t>
      </w:r>
      <w:r>
        <w:rPr>
          <w:spacing w:val="-11"/>
        </w:rPr>
        <w:t> </w:t>
      </w:r>
      <w:r>
        <w:rPr>
          <w:spacing w:val="-2"/>
        </w:rPr>
        <w:t>revenue</w:t>
      </w:r>
      <w:r>
        <w:rPr>
          <w:spacing w:val="-5"/>
        </w:rPr>
        <w:t> </w:t>
      </w:r>
      <w:r>
        <w:rPr>
          <w:spacing w:val="-2"/>
        </w:rPr>
        <w:t>was</w:t>
      </w:r>
      <w:r>
        <w:rPr>
          <w:spacing w:val="-5"/>
        </w:rPr>
        <w:t> </w:t>
      </w:r>
      <w:r>
        <w:rPr>
          <w:spacing w:val="-2"/>
        </w:rPr>
        <w:t>slightly </w:t>
      </w:r>
      <w:r>
        <w:rPr/>
        <w:t>offset by declines due to the relative strength of the U.S. Dollar against EMEA</w:t>
      </w:r>
      <w:r>
        <w:rPr>
          <w:spacing w:val="-6"/>
        </w:rPr>
        <w:t> </w:t>
      </w:r>
      <w:r>
        <w:rPr/>
        <w:t>currencies as discussed below.</w:t>
      </w:r>
    </w:p>
    <w:p>
      <w:pPr>
        <w:spacing w:before="184"/>
        <w:ind w:left="220" w:right="0" w:firstLine="0"/>
        <w:jc w:val="left"/>
        <w:rPr>
          <w:i/>
          <w:sz w:val="20"/>
        </w:rPr>
      </w:pPr>
      <w:r>
        <w:rPr>
          <w:i/>
          <w:sz w:val="20"/>
        </w:rPr>
        <w:t>Fiscal</w:t>
      </w:r>
      <w:r>
        <w:rPr>
          <w:i/>
          <w:spacing w:val="-3"/>
          <w:sz w:val="20"/>
        </w:rPr>
        <w:t> </w:t>
      </w:r>
      <w:r>
        <w:rPr>
          <w:i/>
          <w:sz w:val="20"/>
        </w:rPr>
        <w:t>2016</w:t>
      </w:r>
      <w:r>
        <w:rPr>
          <w:i/>
          <w:spacing w:val="-1"/>
          <w:sz w:val="20"/>
        </w:rPr>
        <w:t> </w:t>
      </w:r>
      <w:r>
        <w:rPr>
          <w:i/>
          <w:sz w:val="20"/>
        </w:rPr>
        <w:t>Revenue</w:t>
      </w:r>
      <w:r>
        <w:rPr>
          <w:i/>
          <w:spacing w:val="-2"/>
          <w:sz w:val="20"/>
        </w:rPr>
        <w:t> </w:t>
      </w:r>
      <w:r>
        <w:rPr>
          <w:i/>
          <w:sz w:val="20"/>
        </w:rPr>
        <w:t>by</w:t>
      </w:r>
      <w:r>
        <w:rPr>
          <w:i/>
          <w:spacing w:val="-1"/>
          <w:sz w:val="20"/>
        </w:rPr>
        <w:t> </w:t>
      </w:r>
      <w:r>
        <w:rPr>
          <w:i/>
          <w:sz w:val="20"/>
        </w:rPr>
        <w:t>Geography</w:t>
      </w:r>
      <w:r>
        <w:rPr>
          <w:i/>
          <w:spacing w:val="-2"/>
          <w:sz w:val="20"/>
        </w:rPr>
        <w:t> </w:t>
      </w:r>
      <w:r>
        <w:rPr>
          <w:i/>
          <w:sz w:val="20"/>
        </w:rPr>
        <w:t>Compared</w:t>
      </w:r>
      <w:r>
        <w:rPr>
          <w:i/>
          <w:spacing w:val="-2"/>
          <w:sz w:val="20"/>
        </w:rPr>
        <w:t> </w:t>
      </w:r>
      <w:r>
        <w:rPr>
          <w:i/>
          <w:sz w:val="20"/>
        </w:rPr>
        <w:t>to</w:t>
      </w:r>
      <w:r>
        <w:rPr>
          <w:i/>
          <w:spacing w:val="-1"/>
          <w:sz w:val="20"/>
        </w:rPr>
        <w:t> </w:t>
      </w:r>
      <w:r>
        <w:rPr>
          <w:i/>
          <w:sz w:val="20"/>
        </w:rPr>
        <w:t>Fiscal</w:t>
      </w:r>
      <w:r>
        <w:rPr>
          <w:i/>
          <w:spacing w:val="-2"/>
          <w:sz w:val="20"/>
        </w:rPr>
        <w:t> </w:t>
      </w:r>
      <w:r>
        <w:rPr>
          <w:i/>
          <w:sz w:val="20"/>
        </w:rPr>
        <w:t>2015</w:t>
      </w:r>
      <w:r>
        <w:rPr>
          <w:i/>
          <w:spacing w:val="-1"/>
          <w:sz w:val="20"/>
        </w:rPr>
        <w:t> </w:t>
      </w:r>
      <w:r>
        <w:rPr>
          <w:i/>
          <w:sz w:val="20"/>
        </w:rPr>
        <w:t>Revenue</w:t>
      </w:r>
      <w:r>
        <w:rPr>
          <w:i/>
          <w:spacing w:val="-2"/>
          <w:sz w:val="20"/>
        </w:rPr>
        <w:t> </w:t>
      </w:r>
      <w:r>
        <w:rPr>
          <w:i/>
          <w:sz w:val="20"/>
        </w:rPr>
        <w:t>by</w:t>
      </w:r>
      <w:r>
        <w:rPr>
          <w:i/>
          <w:spacing w:val="-1"/>
          <w:sz w:val="20"/>
        </w:rPr>
        <w:t> </w:t>
      </w:r>
      <w:r>
        <w:rPr>
          <w:i/>
          <w:spacing w:val="-2"/>
          <w:sz w:val="20"/>
        </w:rPr>
        <w:t>Geography</w:t>
      </w:r>
    </w:p>
    <w:p>
      <w:pPr>
        <w:pStyle w:val="BodyText"/>
        <w:spacing w:line="249" w:lineRule="auto" w:before="190"/>
        <w:ind w:left="220" w:right="257" w:firstLine="540"/>
        <w:jc w:val="both"/>
      </w:pPr>
      <w:r>
        <w:rPr>
          <w:spacing w:val="-2"/>
        </w:rPr>
        <w:t>Overall</w:t>
      </w:r>
      <w:r>
        <w:rPr>
          <w:spacing w:val="-4"/>
        </w:rPr>
        <w:t> </w:t>
      </w:r>
      <w:r>
        <w:rPr>
          <w:spacing w:val="-2"/>
        </w:rPr>
        <w:t>revenue</w:t>
      </w:r>
      <w:r>
        <w:rPr>
          <w:spacing w:val="-4"/>
        </w:rPr>
        <w:t> </w:t>
      </w:r>
      <w:r>
        <w:rPr>
          <w:spacing w:val="-2"/>
        </w:rPr>
        <w:t>during</w:t>
      </w:r>
      <w:r>
        <w:rPr>
          <w:spacing w:val="-4"/>
        </w:rPr>
        <w:t> </w:t>
      </w:r>
      <w:r>
        <w:rPr>
          <w:spacing w:val="-2"/>
        </w:rPr>
        <w:t>fiscal</w:t>
      </w:r>
      <w:r>
        <w:rPr>
          <w:spacing w:val="-4"/>
        </w:rPr>
        <w:t> </w:t>
      </w:r>
      <w:r>
        <w:rPr>
          <w:spacing w:val="-2"/>
        </w:rPr>
        <w:t>2016</w:t>
      </w:r>
      <w:r>
        <w:rPr>
          <w:spacing w:val="-4"/>
        </w:rPr>
        <w:t> </w:t>
      </w:r>
      <w:r>
        <w:rPr>
          <w:spacing w:val="-2"/>
        </w:rPr>
        <w:t>increased</w:t>
      </w:r>
      <w:r>
        <w:rPr>
          <w:spacing w:val="-4"/>
        </w:rPr>
        <w:t> </w:t>
      </w:r>
      <w:r>
        <w:rPr>
          <w:spacing w:val="-2"/>
        </w:rPr>
        <w:t>in</w:t>
      </w:r>
      <w:r>
        <w:rPr>
          <w:spacing w:val="-4"/>
        </w:rPr>
        <w:t> </w:t>
      </w:r>
      <w:r>
        <w:rPr>
          <w:spacing w:val="-2"/>
        </w:rPr>
        <w:t>all</w:t>
      </w:r>
      <w:r>
        <w:rPr>
          <w:spacing w:val="-4"/>
        </w:rPr>
        <w:t> </w:t>
      </w:r>
      <w:r>
        <w:rPr>
          <w:spacing w:val="-2"/>
        </w:rPr>
        <w:t>geographic</w:t>
      </w:r>
      <w:r>
        <w:rPr>
          <w:spacing w:val="-4"/>
        </w:rPr>
        <w:t> </w:t>
      </w:r>
      <w:r>
        <w:rPr>
          <w:spacing w:val="-2"/>
        </w:rPr>
        <w:t>regions</w:t>
      </w:r>
      <w:r>
        <w:rPr>
          <w:spacing w:val="-4"/>
        </w:rPr>
        <w:t> </w:t>
      </w:r>
      <w:r>
        <w:rPr>
          <w:spacing w:val="-2"/>
        </w:rPr>
        <w:t>as</w:t>
      </w:r>
      <w:r>
        <w:rPr>
          <w:spacing w:val="-4"/>
        </w:rPr>
        <w:t> </w:t>
      </w:r>
      <w:r>
        <w:rPr>
          <w:spacing w:val="-2"/>
        </w:rPr>
        <w:t>compared</w:t>
      </w:r>
      <w:r>
        <w:rPr>
          <w:spacing w:val="-4"/>
        </w:rPr>
        <w:t> </w:t>
      </w:r>
      <w:r>
        <w:rPr>
          <w:spacing w:val="-2"/>
        </w:rPr>
        <w:t>to</w:t>
      </w:r>
      <w:r>
        <w:rPr>
          <w:spacing w:val="-4"/>
        </w:rPr>
        <w:t> </w:t>
      </w:r>
      <w:r>
        <w:rPr>
          <w:spacing w:val="-2"/>
        </w:rPr>
        <w:t>fiscal</w:t>
      </w:r>
      <w:r>
        <w:rPr>
          <w:spacing w:val="-4"/>
        </w:rPr>
        <w:t> </w:t>
      </w:r>
      <w:r>
        <w:rPr>
          <w:spacing w:val="-2"/>
        </w:rPr>
        <w:t>2015</w:t>
      </w:r>
      <w:r>
        <w:rPr>
          <w:spacing w:val="-4"/>
        </w:rPr>
        <w:t> </w:t>
      </w:r>
      <w:r>
        <w:rPr>
          <w:spacing w:val="-2"/>
        </w:rPr>
        <w:t>primarily</w:t>
      </w:r>
      <w:r>
        <w:rPr>
          <w:spacing w:val="-4"/>
        </w:rPr>
        <w:t> </w:t>
      </w:r>
      <w:r>
        <w:rPr>
          <w:spacing w:val="-2"/>
        </w:rPr>
        <w:t>due</w:t>
      </w:r>
      <w:r>
        <w:rPr>
          <w:spacing w:val="-4"/>
        </w:rPr>
        <w:t> </w:t>
      </w:r>
      <w:r>
        <w:rPr>
          <w:spacing w:val="-2"/>
        </w:rPr>
        <w:t>to</w:t>
      </w:r>
      <w:r>
        <w:rPr>
          <w:spacing w:val="-4"/>
        </w:rPr>
        <w:t> </w:t>
      </w:r>
      <w:r>
        <w:rPr>
          <w:spacing w:val="-2"/>
        </w:rPr>
        <w:t>increases </w:t>
      </w:r>
      <w:r>
        <w:rPr/>
        <w:t>in Digital Media and Digital Marketing revenue, slightly offset by a decrease in Print and Publishing revenue. Within each geographic</w:t>
      </w:r>
      <w:r>
        <w:rPr>
          <w:spacing w:val="-13"/>
        </w:rPr>
        <w:t> </w:t>
      </w:r>
      <w:r>
        <w:rPr/>
        <w:t>region,</w:t>
      </w:r>
      <w:r>
        <w:rPr>
          <w:spacing w:val="-12"/>
        </w:rPr>
        <w:t> </w:t>
      </w:r>
      <w:r>
        <w:rPr/>
        <w:t>fluctuations</w:t>
      </w:r>
      <w:r>
        <w:rPr>
          <w:spacing w:val="-12"/>
        </w:rPr>
        <w:t> </w:t>
      </w:r>
      <w:r>
        <w:rPr/>
        <w:t>in</w:t>
      </w:r>
      <w:r>
        <w:rPr>
          <w:spacing w:val="-12"/>
        </w:rPr>
        <w:t> </w:t>
      </w:r>
      <w:r>
        <w:rPr/>
        <w:t>revenue</w:t>
      </w:r>
      <w:r>
        <w:rPr>
          <w:spacing w:val="-13"/>
        </w:rPr>
        <w:t> </w:t>
      </w:r>
      <w:r>
        <w:rPr/>
        <w:t>by</w:t>
      </w:r>
      <w:r>
        <w:rPr>
          <w:spacing w:val="-12"/>
        </w:rPr>
        <w:t> </w:t>
      </w:r>
      <w:r>
        <w:rPr/>
        <w:t>reportable</w:t>
      </w:r>
      <w:r>
        <w:rPr>
          <w:spacing w:val="-13"/>
        </w:rPr>
        <w:t> </w:t>
      </w:r>
      <w:r>
        <w:rPr/>
        <w:t>segment</w:t>
      </w:r>
      <w:r>
        <w:rPr>
          <w:spacing w:val="-12"/>
        </w:rPr>
        <w:t> </w:t>
      </w:r>
      <w:r>
        <w:rPr/>
        <w:t>were</w:t>
      </w:r>
      <w:r>
        <w:rPr>
          <w:spacing w:val="-13"/>
        </w:rPr>
        <w:t> </w:t>
      </w:r>
      <w:r>
        <w:rPr/>
        <w:t>attributable</w:t>
      </w:r>
      <w:r>
        <w:rPr>
          <w:spacing w:val="-12"/>
        </w:rPr>
        <w:t> </w:t>
      </w:r>
      <w:r>
        <w:rPr/>
        <w:t>to</w:t>
      </w:r>
      <w:r>
        <w:rPr>
          <w:spacing w:val="-12"/>
        </w:rPr>
        <w:t> </w:t>
      </w:r>
      <w:r>
        <w:rPr/>
        <w:t>the</w:t>
      </w:r>
      <w:r>
        <w:rPr>
          <w:spacing w:val="-12"/>
        </w:rPr>
        <w:t> </w:t>
      </w:r>
      <w:r>
        <w:rPr/>
        <w:t>factors</w:t>
      </w:r>
      <w:r>
        <w:rPr>
          <w:spacing w:val="-12"/>
        </w:rPr>
        <w:t> </w:t>
      </w:r>
      <w:r>
        <w:rPr/>
        <w:t>noted</w:t>
      </w:r>
      <w:r>
        <w:rPr>
          <w:spacing w:val="-12"/>
        </w:rPr>
        <w:t> </w:t>
      </w:r>
      <w:r>
        <w:rPr/>
        <w:t>in</w:t>
      </w:r>
      <w:r>
        <w:rPr>
          <w:spacing w:val="-12"/>
        </w:rPr>
        <w:t> </w:t>
      </w:r>
      <w:r>
        <w:rPr/>
        <w:t>the</w:t>
      </w:r>
      <w:r>
        <w:rPr>
          <w:spacing w:val="-12"/>
        </w:rPr>
        <w:t> </w:t>
      </w:r>
      <w:r>
        <w:rPr/>
        <w:t>segment</w:t>
      </w:r>
      <w:r>
        <w:rPr>
          <w:spacing w:val="-12"/>
        </w:rPr>
        <w:t> </w:t>
      </w:r>
      <w:r>
        <w:rPr/>
        <w:t>information </w:t>
      </w:r>
      <w:r>
        <w:rPr>
          <w:spacing w:val="-2"/>
        </w:rPr>
        <w:t>above.</w:t>
      </w:r>
      <w:r>
        <w:rPr>
          <w:spacing w:val="-11"/>
        </w:rPr>
        <w:t> </w:t>
      </w:r>
      <w:r>
        <w:rPr>
          <w:spacing w:val="-2"/>
        </w:rPr>
        <w:t>Further,</w:t>
      </w:r>
      <w:r>
        <w:rPr>
          <w:spacing w:val="-5"/>
        </w:rPr>
        <w:t> </w:t>
      </w:r>
      <w:r>
        <w:rPr>
          <w:spacing w:val="-2"/>
        </w:rPr>
        <w:t>the</w:t>
      </w:r>
      <w:r>
        <w:rPr>
          <w:spacing w:val="-4"/>
        </w:rPr>
        <w:t> </w:t>
      </w:r>
      <w:r>
        <w:rPr>
          <w:spacing w:val="-2"/>
        </w:rPr>
        <w:t>overall</w:t>
      </w:r>
      <w:r>
        <w:rPr>
          <w:spacing w:val="-4"/>
        </w:rPr>
        <w:t> </w:t>
      </w:r>
      <w:r>
        <w:rPr>
          <w:spacing w:val="-2"/>
        </w:rPr>
        <w:t>increase</w:t>
      </w:r>
      <w:r>
        <w:rPr>
          <w:spacing w:val="-4"/>
        </w:rPr>
        <w:t> </w:t>
      </w:r>
      <w:r>
        <w:rPr>
          <w:spacing w:val="-2"/>
        </w:rPr>
        <w:t>in</w:t>
      </w:r>
      <w:r>
        <w:rPr>
          <w:spacing w:val="-4"/>
        </w:rPr>
        <w:t> </w:t>
      </w:r>
      <w:r>
        <w:rPr>
          <w:spacing w:val="-2"/>
        </w:rPr>
        <w:t>EMEA</w:t>
      </w:r>
      <w:r>
        <w:rPr>
          <w:spacing w:val="-11"/>
        </w:rPr>
        <w:t> </w:t>
      </w:r>
      <w:r>
        <w:rPr>
          <w:spacing w:val="-2"/>
        </w:rPr>
        <w:t>revenue</w:t>
      </w:r>
      <w:r>
        <w:rPr>
          <w:spacing w:val="-4"/>
        </w:rPr>
        <w:t> </w:t>
      </w:r>
      <w:r>
        <w:rPr>
          <w:spacing w:val="-2"/>
        </w:rPr>
        <w:t>was</w:t>
      </w:r>
      <w:r>
        <w:rPr>
          <w:spacing w:val="-4"/>
        </w:rPr>
        <w:t> </w:t>
      </w:r>
      <w:r>
        <w:rPr>
          <w:spacing w:val="-2"/>
        </w:rPr>
        <w:t>partially</w:t>
      </w:r>
      <w:r>
        <w:rPr>
          <w:spacing w:val="-4"/>
        </w:rPr>
        <w:t> </w:t>
      </w:r>
      <w:r>
        <w:rPr>
          <w:spacing w:val="-2"/>
        </w:rPr>
        <w:t>offset</w:t>
      </w:r>
      <w:r>
        <w:rPr>
          <w:spacing w:val="-4"/>
        </w:rPr>
        <w:t> </w:t>
      </w:r>
      <w:r>
        <w:rPr>
          <w:spacing w:val="-2"/>
        </w:rPr>
        <w:t>by</w:t>
      </w:r>
      <w:r>
        <w:rPr>
          <w:spacing w:val="-4"/>
        </w:rPr>
        <w:t> </w:t>
      </w:r>
      <w:r>
        <w:rPr>
          <w:spacing w:val="-2"/>
        </w:rPr>
        <w:t>declines</w:t>
      </w:r>
      <w:r>
        <w:rPr>
          <w:spacing w:val="-4"/>
        </w:rPr>
        <w:t> </w:t>
      </w:r>
      <w:r>
        <w:rPr>
          <w:spacing w:val="-2"/>
        </w:rPr>
        <w:t>due</w:t>
      </w:r>
      <w:r>
        <w:rPr>
          <w:spacing w:val="-4"/>
        </w:rPr>
        <w:t> </w:t>
      </w:r>
      <w:r>
        <w:rPr>
          <w:spacing w:val="-2"/>
        </w:rPr>
        <w:t>to</w:t>
      </w:r>
      <w:r>
        <w:rPr>
          <w:spacing w:val="-4"/>
        </w:rPr>
        <w:t> </w:t>
      </w:r>
      <w:r>
        <w:rPr>
          <w:spacing w:val="-2"/>
        </w:rPr>
        <w:t>the</w:t>
      </w:r>
      <w:r>
        <w:rPr>
          <w:spacing w:val="-4"/>
        </w:rPr>
        <w:t> </w:t>
      </w:r>
      <w:r>
        <w:rPr>
          <w:spacing w:val="-2"/>
        </w:rPr>
        <w:t>relative</w:t>
      </w:r>
      <w:r>
        <w:rPr>
          <w:spacing w:val="-4"/>
        </w:rPr>
        <w:t> </w:t>
      </w:r>
      <w:r>
        <w:rPr>
          <w:spacing w:val="-2"/>
        </w:rPr>
        <w:t>strength</w:t>
      </w:r>
      <w:r>
        <w:rPr>
          <w:spacing w:val="-4"/>
        </w:rPr>
        <w:t> </w:t>
      </w:r>
      <w:r>
        <w:rPr>
          <w:spacing w:val="-2"/>
        </w:rPr>
        <w:t>of</w:t>
      </w:r>
      <w:r>
        <w:rPr>
          <w:spacing w:val="-4"/>
        </w:rPr>
        <w:t> </w:t>
      </w:r>
      <w:r>
        <w:rPr>
          <w:spacing w:val="-2"/>
        </w:rPr>
        <w:t>the</w:t>
      </w:r>
      <w:r>
        <w:rPr>
          <w:spacing w:val="-4"/>
        </w:rPr>
        <w:t> </w:t>
      </w:r>
      <w:r>
        <w:rPr>
          <w:spacing w:val="-2"/>
        </w:rPr>
        <w:t>U.S.</w:t>
      </w:r>
      <w:r>
        <w:rPr>
          <w:spacing w:val="-4"/>
        </w:rPr>
        <w:t> </w:t>
      </w:r>
      <w:r>
        <w:rPr>
          <w:spacing w:val="-2"/>
        </w:rPr>
        <w:t>Dollar </w:t>
      </w:r>
      <w:r>
        <w:rPr/>
        <w:t>against EMEA currencies as discussed below.</w:t>
      </w:r>
    </w:p>
    <w:p>
      <w:pPr>
        <w:spacing w:after="0" w:line="249" w:lineRule="auto"/>
        <w:jc w:val="both"/>
        <w:sectPr>
          <w:pgSz w:w="12240" w:h="15840"/>
          <w:pgMar w:header="210" w:footer="579" w:top="420" w:bottom="800" w:left="780" w:right="740"/>
        </w:sectPr>
      </w:pPr>
    </w:p>
    <w:p>
      <w:pPr>
        <w:pStyle w:val="BodyText"/>
        <w:spacing w:before="150"/>
      </w:pPr>
    </w:p>
    <w:p>
      <w:pPr>
        <w:pStyle w:val="BodyText"/>
        <w:spacing w:line="249" w:lineRule="auto"/>
        <w:ind w:left="220" w:firstLine="540"/>
      </w:pPr>
      <w:r>
        <w:rPr/>
        <w:t>Included</w:t>
      </w:r>
      <w:r>
        <w:rPr>
          <w:spacing w:val="-7"/>
        </w:rPr>
        <w:t> </w:t>
      </w:r>
      <w:r>
        <w:rPr/>
        <w:t>in</w:t>
      </w:r>
      <w:r>
        <w:rPr>
          <w:spacing w:val="-7"/>
        </w:rPr>
        <w:t> </w:t>
      </w:r>
      <w:r>
        <w:rPr/>
        <w:t>the</w:t>
      </w:r>
      <w:r>
        <w:rPr>
          <w:spacing w:val="-7"/>
        </w:rPr>
        <w:t> </w:t>
      </w:r>
      <w:r>
        <w:rPr/>
        <w:t>overall</w:t>
      </w:r>
      <w:r>
        <w:rPr>
          <w:spacing w:val="-7"/>
        </w:rPr>
        <w:t> </w:t>
      </w:r>
      <w:r>
        <w:rPr/>
        <w:t>change</w:t>
      </w:r>
      <w:r>
        <w:rPr>
          <w:spacing w:val="-7"/>
        </w:rPr>
        <w:t> </w:t>
      </w:r>
      <w:r>
        <w:rPr/>
        <w:t>in</w:t>
      </w:r>
      <w:r>
        <w:rPr>
          <w:spacing w:val="-7"/>
        </w:rPr>
        <w:t> </w:t>
      </w:r>
      <w:r>
        <w:rPr/>
        <w:t>revenue</w:t>
      </w:r>
      <w:r>
        <w:rPr>
          <w:spacing w:val="-7"/>
        </w:rPr>
        <w:t> </w:t>
      </w:r>
      <w:r>
        <w:rPr/>
        <w:t>for</w:t>
      </w:r>
      <w:r>
        <w:rPr>
          <w:spacing w:val="-6"/>
        </w:rPr>
        <w:t> </w:t>
      </w:r>
      <w:r>
        <w:rPr/>
        <w:t>fiscal</w:t>
      </w:r>
      <w:r>
        <w:rPr>
          <w:spacing w:val="-7"/>
        </w:rPr>
        <w:t> </w:t>
      </w:r>
      <w:r>
        <w:rPr/>
        <w:t>2017</w:t>
      </w:r>
      <w:r>
        <w:rPr>
          <w:spacing w:val="-7"/>
        </w:rPr>
        <w:t> </w:t>
      </w:r>
      <w:r>
        <w:rPr/>
        <w:t>and</w:t>
      </w:r>
      <w:r>
        <w:rPr>
          <w:spacing w:val="-7"/>
        </w:rPr>
        <w:t> </w:t>
      </w:r>
      <w:r>
        <w:rPr/>
        <w:t>fiscal</w:t>
      </w:r>
      <w:r>
        <w:rPr>
          <w:spacing w:val="-7"/>
        </w:rPr>
        <w:t> </w:t>
      </w:r>
      <w:r>
        <w:rPr/>
        <w:t>2016</w:t>
      </w:r>
      <w:r>
        <w:rPr>
          <w:spacing w:val="-7"/>
        </w:rPr>
        <w:t> </w:t>
      </w:r>
      <w:r>
        <w:rPr/>
        <w:t>were</w:t>
      </w:r>
      <w:r>
        <w:rPr>
          <w:spacing w:val="-7"/>
        </w:rPr>
        <w:t> </w:t>
      </w:r>
      <w:r>
        <w:rPr/>
        <w:t>impacts</w:t>
      </w:r>
      <w:r>
        <w:rPr>
          <w:spacing w:val="-6"/>
        </w:rPr>
        <w:t> </w:t>
      </w:r>
      <w:r>
        <w:rPr/>
        <w:t>associated</w:t>
      </w:r>
      <w:r>
        <w:rPr>
          <w:spacing w:val="-7"/>
        </w:rPr>
        <w:t> </w:t>
      </w:r>
      <w:r>
        <w:rPr/>
        <w:t>with</w:t>
      </w:r>
      <w:r>
        <w:rPr>
          <w:spacing w:val="-7"/>
        </w:rPr>
        <w:t> </w:t>
      </w:r>
      <w:r>
        <w:rPr/>
        <w:t>foreign</w:t>
      </w:r>
      <w:r>
        <w:rPr>
          <w:spacing w:val="-7"/>
        </w:rPr>
        <w:t> </w:t>
      </w:r>
      <w:r>
        <w:rPr/>
        <w:t>currency</w:t>
      </w:r>
      <w:r>
        <w:rPr>
          <w:spacing w:val="-7"/>
        </w:rPr>
        <w:t> </w:t>
      </w:r>
      <w:r>
        <w:rPr/>
        <w:t>as shown below. Our currency hedging program is used to mitigate a portion of the foreign currency impact to revenue.</w:t>
      </w:r>
    </w:p>
    <w:p>
      <w:pPr>
        <w:pStyle w:val="BodyText"/>
        <w:spacing w:before="24"/>
      </w:pPr>
    </w:p>
    <w:p>
      <w:pPr>
        <w:spacing w:after="0"/>
        <w:sectPr>
          <w:pgSz w:w="12240" w:h="15840"/>
          <w:pgMar w:header="210" w:footer="579" w:top="420" w:bottom="800" w:left="780" w:right="740"/>
        </w:sectPr>
      </w:pPr>
    </w:p>
    <w:p>
      <w:pPr>
        <w:pStyle w:val="BodyText"/>
        <w:spacing w:before="66"/>
        <w:rPr>
          <w:sz w:val="16"/>
        </w:rPr>
      </w:pPr>
    </w:p>
    <w:p>
      <w:pPr>
        <w:spacing w:before="0"/>
        <w:ind w:left="260" w:right="0" w:firstLine="0"/>
        <w:jc w:val="left"/>
        <w:rPr>
          <w:sz w:val="16"/>
        </w:rPr>
      </w:pPr>
      <w:r>
        <w:rPr>
          <w:sz w:val="16"/>
        </w:rPr>
        <w:t>(in </w:t>
      </w:r>
      <w:r>
        <w:rPr>
          <w:spacing w:val="-2"/>
          <w:sz w:val="16"/>
        </w:rPr>
        <w:t>millions)</w:t>
      </w:r>
    </w:p>
    <w:p>
      <w:pPr>
        <w:spacing w:line="208" w:lineRule="auto" w:before="113"/>
        <w:ind w:left="300" w:right="38" w:hanging="40"/>
        <w:jc w:val="left"/>
        <w:rPr>
          <w:b/>
          <w:sz w:val="16"/>
        </w:rPr>
      </w:pPr>
      <w:r>
        <w:rPr/>
        <w:br w:type="column"/>
      </w:r>
      <w:r>
        <w:rPr>
          <w:b/>
          <w:spacing w:val="-2"/>
          <w:sz w:val="16"/>
        </w:rPr>
        <w:t>Fiscal</w:t>
      </w:r>
      <w:r>
        <w:rPr>
          <w:b/>
          <w:spacing w:val="40"/>
          <w:sz w:val="16"/>
        </w:rPr>
        <w:t> </w:t>
      </w:r>
      <w:r>
        <w:rPr>
          <w:b/>
          <w:spacing w:val="-4"/>
          <w:sz w:val="16"/>
        </w:rPr>
        <w:t>2017</w:t>
      </w:r>
    </w:p>
    <w:p>
      <w:pPr>
        <w:spacing w:line="208" w:lineRule="auto" w:before="113"/>
        <w:ind w:left="300" w:right="772" w:hanging="40"/>
        <w:jc w:val="left"/>
        <w:rPr>
          <w:b/>
          <w:sz w:val="16"/>
        </w:rPr>
      </w:pPr>
      <w:r>
        <w:rPr/>
        <w:br w:type="column"/>
      </w:r>
      <w:r>
        <w:rPr>
          <w:b/>
          <w:spacing w:val="-2"/>
          <w:sz w:val="16"/>
        </w:rPr>
        <w:t>Fiscal</w:t>
      </w:r>
      <w:r>
        <w:rPr>
          <w:b/>
          <w:spacing w:val="40"/>
          <w:sz w:val="16"/>
        </w:rPr>
        <w:t> </w:t>
      </w:r>
      <w:r>
        <w:rPr>
          <w:b/>
          <w:spacing w:val="-4"/>
          <w:sz w:val="16"/>
        </w:rPr>
        <w:t>2016</w:t>
      </w:r>
    </w:p>
    <w:p>
      <w:pPr>
        <w:spacing w:after="0" w:line="208" w:lineRule="auto"/>
        <w:jc w:val="left"/>
        <w:rPr>
          <w:sz w:val="16"/>
        </w:rPr>
        <w:sectPr>
          <w:type w:val="continuous"/>
          <w:pgSz w:w="12240" w:h="15840"/>
          <w:pgMar w:header="210" w:footer="579" w:top="680" w:bottom="280" w:left="780" w:right="740"/>
          <w:cols w:num="3" w:equalWidth="0">
            <w:col w:w="1096" w:space="6704"/>
            <w:col w:w="701" w:space="779"/>
            <w:col w:w="1440"/>
          </w:cols>
        </w:sectPr>
      </w:pPr>
    </w:p>
    <w:p>
      <w:pPr>
        <w:pStyle w:val="BodyText"/>
        <w:spacing w:before="4"/>
        <w:rPr>
          <w:b/>
          <w:sz w:val="4"/>
        </w:rPr>
      </w:pPr>
    </w:p>
    <w:p>
      <w:pPr>
        <w:spacing w:line="20" w:lineRule="exact"/>
        <w:ind w:left="7570" w:right="0" w:firstLine="0"/>
        <w:jc w:val="left"/>
        <w:rPr>
          <w:sz w:val="2"/>
        </w:rPr>
      </w:pPr>
      <w:r>
        <w:rPr>
          <w:sz w:val="2"/>
        </w:rPr>
        <mc:AlternateContent>
          <mc:Choice Requires="wps">
            <w:drawing>
              <wp:inline distT="0" distB="0" distL="0" distR="0">
                <wp:extent cx="889000" cy="12700"/>
                <wp:effectExtent l="9525" t="0" r="6350" b="6350"/>
                <wp:docPr id="152" name="Group 152"/>
                <wp:cNvGraphicFramePr>
                  <a:graphicFrameLocks/>
                </wp:cNvGraphicFramePr>
                <a:graphic>
                  <a:graphicData uri="http://schemas.microsoft.com/office/word/2010/wordprocessingGroup">
                    <wpg:wgp>
                      <wpg:cNvPr id="152" name="Group 152"/>
                      <wpg:cNvGrpSpPr/>
                      <wpg:grpSpPr>
                        <a:xfrm>
                          <a:off x="0" y="0"/>
                          <a:ext cx="889000" cy="12700"/>
                          <a:chExt cx="889000" cy="12700"/>
                        </a:xfrm>
                      </wpg:grpSpPr>
                      <wps:wsp>
                        <wps:cNvPr id="153" name="Graphic 153"/>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106"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154" name="Group 154"/>
                <wp:cNvGraphicFramePr>
                  <a:graphicFrameLocks/>
                </wp:cNvGraphicFramePr>
                <a:graphic>
                  <a:graphicData uri="http://schemas.microsoft.com/office/word/2010/wordprocessingGroup">
                    <wpg:wgp>
                      <wpg:cNvPr id="154" name="Group 154"/>
                      <wpg:cNvGrpSpPr/>
                      <wpg:grpSpPr>
                        <a:xfrm>
                          <a:off x="0" y="0"/>
                          <a:ext cx="889000" cy="12700"/>
                          <a:chExt cx="889000" cy="12700"/>
                        </a:xfrm>
                      </wpg:grpSpPr>
                      <wps:wsp>
                        <wps:cNvPr id="155" name="Graphic 155"/>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107" coordorigin="0,0" coordsize="1400,20">
                <v:line style="position:absolute" from="0,10" to="1400,10" stroked="true" strokeweight="1pt" strokecolor="#000000">
                  <v:stroke dashstyle="solid"/>
                </v:line>
              </v:group>
            </w:pict>
          </mc:Fallback>
        </mc:AlternateContent>
      </w:r>
      <w:r>
        <w:rPr>
          <w:spacing w:val="70"/>
          <w:sz w:val="2"/>
        </w:rPr>
      </w:r>
    </w:p>
    <w:p>
      <w:pPr>
        <w:tabs>
          <w:tab w:pos="8351" w:val="left" w:leader="none"/>
        </w:tabs>
        <w:spacing w:before="0" w:after="33"/>
        <w:ind w:left="260" w:right="0" w:firstLine="0"/>
        <w:jc w:val="left"/>
        <w:rPr>
          <w:b/>
          <w:sz w:val="16"/>
        </w:rPr>
      </w:pPr>
      <w:r>
        <w:rPr>
          <w:b/>
          <w:sz w:val="18"/>
        </w:rPr>
        <w:t>Revenue </w:t>
      </w:r>
      <w:r>
        <w:rPr>
          <w:b/>
          <w:spacing w:val="-2"/>
          <w:sz w:val="18"/>
        </w:rPr>
        <w:t>impact:</w:t>
      </w:r>
      <w:r>
        <w:rPr>
          <w:b/>
          <w:sz w:val="18"/>
        </w:rPr>
        <w:tab/>
      </w:r>
      <w:r>
        <w:rPr>
          <w:b/>
          <w:spacing w:val="-2"/>
          <w:sz w:val="16"/>
        </w:rPr>
        <w:t>Increase/(Decrease)</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0"/>
        <w:gridCol w:w="1460"/>
        <w:gridCol w:w="1420"/>
      </w:tblGrid>
      <w:tr>
        <w:trPr>
          <w:trHeight w:val="290" w:hRule="atLeast"/>
        </w:trPr>
        <w:tc>
          <w:tcPr>
            <w:tcW w:w="7360" w:type="dxa"/>
          </w:tcPr>
          <w:p>
            <w:pPr>
              <w:pStyle w:val="TableParagraph"/>
              <w:spacing w:before="10"/>
              <w:ind w:left="170"/>
              <w:rPr>
                <w:sz w:val="20"/>
              </w:rPr>
            </w:pPr>
            <w:r>
              <w:rPr>
                <w:spacing w:val="-4"/>
                <w:sz w:val="20"/>
              </w:rPr>
              <w:t>Euro</w:t>
            </w:r>
          </w:p>
        </w:tc>
        <w:tc>
          <w:tcPr>
            <w:tcW w:w="1460" w:type="dxa"/>
            <w:tcBorders>
              <w:top w:val="single" w:sz="8" w:space="0" w:color="000000"/>
            </w:tcBorders>
          </w:tcPr>
          <w:p>
            <w:pPr>
              <w:pStyle w:val="TableParagraph"/>
              <w:tabs>
                <w:tab w:pos="955" w:val="left" w:leader="none"/>
              </w:tabs>
              <w:spacing w:before="10"/>
              <w:ind w:right="68"/>
              <w:jc w:val="right"/>
              <w:rPr>
                <w:sz w:val="20"/>
              </w:rPr>
            </w:pPr>
            <w:r>
              <w:rPr>
                <w:spacing w:val="-10"/>
                <w:sz w:val="20"/>
              </w:rPr>
              <w:t>$</w:t>
            </w:r>
            <w:r>
              <w:rPr>
                <w:sz w:val="20"/>
              </w:rPr>
              <w:tab/>
            </w:r>
            <w:r>
              <w:rPr>
                <w:spacing w:val="-2"/>
                <w:sz w:val="20"/>
              </w:rPr>
              <w:t>(2.3)</w:t>
            </w:r>
          </w:p>
        </w:tc>
        <w:tc>
          <w:tcPr>
            <w:tcW w:w="1420" w:type="dxa"/>
            <w:tcBorders>
              <w:top w:val="single" w:sz="8" w:space="0" w:color="000000"/>
            </w:tcBorders>
          </w:tcPr>
          <w:p>
            <w:pPr>
              <w:pStyle w:val="TableParagraph"/>
              <w:tabs>
                <w:tab w:pos="855" w:val="left" w:leader="none"/>
              </w:tabs>
              <w:spacing w:before="10"/>
              <w:ind w:right="8"/>
              <w:jc w:val="right"/>
              <w:rPr>
                <w:sz w:val="20"/>
              </w:rPr>
            </w:pPr>
            <w:r>
              <w:rPr>
                <w:spacing w:val="-10"/>
                <w:sz w:val="20"/>
              </w:rPr>
              <w:t>$</w:t>
            </w:r>
            <w:r>
              <w:rPr>
                <w:sz w:val="20"/>
              </w:rPr>
              <w:tab/>
            </w:r>
            <w:r>
              <w:rPr>
                <w:spacing w:val="-2"/>
                <w:sz w:val="20"/>
              </w:rPr>
              <w:t>(50.2)</w:t>
            </w:r>
          </w:p>
        </w:tc>
      </w:tr>
      <w:tr>
        <w:trPr>
          <w:trHeight w:val="300" w:hRule="atLeast"/>
        </w:trPr>
        <w:tc>
          <w:tcPr>
            <w:tcW w:w="7360" w:type="dxa"/>
            <w:shd w:val="clear" w:color="auto" w:fill="CCEDFF"/>
          </w:tcPr>
          <w:p>
            <w:pPr>
              <w:pStyle w:val="TableParagraph"/>
              <w:spacing w:before="20"/>
              <w:ind w:left="170"/>
              <w:rPr>
                <w:sz w:val="20"/>
              </w:rPr>
            </w:pPr>
            <w:r>
              <w:rPr>
                <w:sz w:val="20"/>
              </w:rPr>
              <w:t>British </w:t>
            </w:r>
            <w:r>
              <w:rPr>
                <w:spacing w:val="-2"/>
                <w:sz w:val="20"/>
              </w:rPr>
              <w:t>Pound</w:t>
            </w:r>
          </w:p>
        </w:tc>
        <w:tc>
          <w:tcPr>
            <w:tcW w:w="1460" w:type="dxa"/>
            <w:shd w:val="clear" w:color="auto" w:fill="CCEDFF"/>
          </w:tcPr>
          <w:p>
            <w:pPr>
              <w:pStyle w:val="TableParagraph"/>
              <w:spacing w:before="20"/>
              <w:ind w:right="68"/>
              <w:jc w:val="right"/>
              <w:rPr>
                <w:sz w:val="20"/>
              </w:rPr>
            </w:pPr>
            <w:r>
              <w:rPr>
                <w:spacing w:val="-2"/>
                <w:sz w:val="20"/>
              </w:rPr>
              <w:t>(46.1)</w:t>
            </w:r>
          </w:p>
        </w:tc>
        <w:tc>
          <w:tcPr>
            <w:tcW w:w="1420" w:type="dxa"/>
            <w:shd w:val="clear" w:color="auto" w:fill="CCEDFF"/>
          </w:tcPr>
          <w:p>
            <w:pPr>
              <w:pStyle w:val="TableParagraph"/>
              <w:spacing w:before="20"/>
              <w:ind w:right="8"/>
              <w:jc w:val="right"/>
              <w:rPr>
                <w:sz w:val="20"/>
              </w:rPr>
            </w:pPr>
            <w:r>
              <w:rPr>
                <w:spacing w:val="-2"/>
                <w:sz w:val="20"/>
              </w:rPr>
              <w:t>(36.2)</w:t>
            </w:r>
          </w:p>
        </w:tc>
      </w:tr>
      <w:tr>
        <w:trPr>
          <w:trHeight w:val="300" w:hRule="atLeast"/>
        </w:trPr>
        <w:tc>
          <w:tcPr>
            <w:tcW w:w="7360" w:type="dxa"/>
          </w:tcPr>
          <w:p>
            <w:pPr>
              <w:pStyle w:val="TableParagraph"/>
              <w:spacing w:before="20"/>
              <w:ind w:left="170"/>
              <w:rPr>
                <w:sz w:val="20"/>
              </w:rPr>
            </w:pPr>
            <w:r>
              <w:rPr>
                <w:sz w:val="20"/>
              </w:rPr>
              <w:t>Japanese</w:t>
            </w:r>
            <w:r>
              <w:rPr>
                <w:spacing w:val="-4"/>
                <w:sz w:val="20"/>
              </w:rPr>
              <w:t> </w:t>
            </w:r>
            <w:r>
              <w:rPr>
                <w:spacing w:val="-5"/>
                <w:sz w:val="20"/>
              </w:rPr>
              <w:t>Yen</w:t>
            </w:r>
          </w:p>
        </w:tc>
        <w:tc>
          <w:tcPr>
            <w:tcW w:w="1460" w:type="dxa"/>
          </w:tcPr>
          <w:p>
            <w:pPr>
              <w:pStyle w:val="TableParagraph"/>
              <w:spacing w:before="20"/>
              <w:ind w:right="136"/>
              <w:jc w:val="right"/>
              <w:rPr>
                <w:sz w:val="20"/>
              </w:rPr>
            </w:pPr>
            <w:r>
              <w:rPr>
                <w:spacing w:val="-5"/>
                <w:sz w:val="20"/>
              </w:rPr>
              <w:t>4.0</w:t>
            </w:r>
          </w:p>
        </w:tc>
        <w:tc>
          <w:tcPr>
            <w:tcW w:w="1420" w:type="dxa"/>
          </w:tcPr>
          <w:p>
            <w:pPr>
              <w:pStyle w:val="TableParagraph"/>
              <w:spacing w:before="20"/>
              <w:ind w:right="76"/>
              <w:jc w:val="right"/>
              <w:rPr>
                <w:sz w:val="20"/>
              </w:rPr>
            </w:pPr>
            <w:r>
              <w:rPr>
                <w:spacing w:val="-4"/>
                <w:sz w:val="20"/>
              </w:rPr>
              <w:t>15.0</w:t>
            </w:r>
          </w:p>
        </w:tc>
      </w:tr>
      <w:tr>
        <w:trPr>
          <w:trHeight w:val="290" w:hRule="atLeast"/>
        </w:trPr>
        <w:tc>
          <w:tcPr>
            <w:tcW w:w="7360" w:type="dxa"/>
            <w:shd w:val="clear" w:color="auto" w:fill="CCEDFF"/>
          </w:tcPr>
          <w:p>
            <w:pPr>
              <w:pStyle w:val="TableParagraph"/>
              <w:spacing w:before="20"/>
              <w:ind w:left="170"/>
              <w:rPr>
                <w:sz w:val="20"/>
              </w:rPr>
            </w:pPr>
            <w:r>
              <w:rPr>
                <w:sz w:val="20"/>
              </w:rPr>
              <w:t>Other </w:t>
            </w:r>
            <w:r>
              <w:rPr>
                <w:spacing w:val="-2"/>
                <w:sz w:val="20"/>
              </w:rPr>
              <w:t>currencies</w:t>
            </w:r>
          </w:p>
        </w:tc>
        <w:tc>
          <w:tcPr>
            <w:tcW w:w="1460" w:type="dxa"/>
            <w:tcBorders>
              <w:bottom w:val="single" w:sz="8" w:space="0" w:color="000000"/>
            </w:tcBorders>
            <w:shd w:val="clear" w:color="auto" w:fill="CCEDFF"/>
          </w:tcPr>
          <w:p>
            <w:pPr>
              <w:pStyle w:val="TableParagraph"/>
              <w:spacing w:before="20"/>
              <w:ind w:right="136"/>
              <w:jc w:val="right"/>
              <w:rPr>
                <w:sz w:val="20"/>
              </w:rPr>
            </w:pPr>
            <w:r>
              <w:rPr>
                <w:spacing w:val="-5"/>
                <w:sz w:val="20"/>
              </w:rPr>
              <w:t>6.1</w:t>
            </w:r>
          </w:p>
        </w:tc>
        <w:tc>
          <w:tcPr>
            <w:tcW w:w="1420" w:type="dxa"/>
            <w:tcBorders>
              <w:bottom w:val="single" w:sz="8" w:space="0" w:color="000000"/>
            </w:tcBorders>
            <w:shd w:val="clear" w:color="auto" w:fill="CCEDFF"/>
          </w:tcPr>
          <w:p>
            <w:pPr>
              <w:pStyle w:val="TableParagraph"/>
              <w:spacing w:before="20"/>
              <w:ind w:right="8"/>
              <w:jc w:val="right"/>
              <w:rPr>
                <w:sz w:val="20"/>
              </w:rPr>
            </w:pPr>
            <w:r>
              <w:rPr>
                <w:spacing w:val="-2"/>
                <w:sz w:val="20"/>
              </w:rPr>
              <w:t>(21.7)</w:t>
            </w:r>
          </w:p>
        </w:tc>
      </w:tr>
      <w:tr>
        <w:trPr>
          <w:trHeight w:val="290" w:hRule="atLeast"/>
        </w:trPr>
        <w:tc>
          <w:tcPr>
            <w:tcW w:w="7360" w:type="dxa"/>
          </w:tcPr>
          <w:p>
            <w:pPr>
              <w:pStyle w:val="TableParagraph"/>
              <w:spacing w:before="10"/>
              <w:ind w:right="5135"/>
              <w:jc w:val="right"/>
              <w:rPr>
                <w:sz w:val="20"/>
              </w:rPr>
            </w:pPr>
            <w:r>
              <w:rPr>
                <w:sz w:val="20"/>
              </w:rPr>
              <w:t>Total</w:t>
            </w:r>
            <w:r>
              <w:rPr>
                <w:spacing w:val="-4"/>
                <w:sz w:val="20"/>
              </w:rPr>
              <w:t> </w:t>
            </w:r>
            <w:r>
              <w:rPr>
                <w:sz w:val="20"/>
              </w:rPr>
              <w:t>revenue</w:t>
            </w:r>
            <w:r>
              <w:rPr>
                <w:spacing w:val="-3"/>
                <w:sz w:val="20"/>
              </w:rPr>
              <w:t> </w:t>
            </w:r>
            <w:r>
              <w:rPr>
                <w:spacing w:val="-2"/>
                <w:sz w:val="20"/>
              </w:rPr>
              <w:t>impact</w:t>
            </w:r>
          </w:p>
        </w:tc>
        <w:tc>
          <w:tcPr>
            <w:tcW w:w="1460" w:type="dxa"/>
            <w:tcBorders>
              <w:top w:val="single" w:sz="8" w:space="0" w:color="000000"/>
            </w:tcBorders>
          </w:tcPr>
          <w:p>
            <w:pPr>
              <w:pStyle w:val="TableParagraph"/>
              <w:spacing w:before="10"/>
              <w:ind w:right="68"/>
              <w:jc w:val="right"/>
              <w:rPr>
                <w:sz w:val="20"/>
              </w:rPr>
            </w:pPr>
            <w:r>
              <w:rPr>
                <w:spacing w:val="-2"/>
                <w:sz w:val="20"/>
              </w:rPr>
              <w:t>(38.3)</w:t>
            </w:r>
          </w:p>
        </w:tc>
        <w:tc>
          <w:tcPr>
            <w:tcW w:w="1420" w:type="dxa"/>
            <w:tcBorders>
              <w:top w:val="single" w:sz="8" w:space="0" w:color="000000"/>
            </w:tcBorders>
          </w:tcPr>
          <w:p>
            <w:pPr>
              <w:pStyle w:val="TableParagraph"/>
              <w:spacing w:before="10"/>
              <w:ind w:right="8"/>
              <w:jc w:val="right"/>
              <w:rPr>
                <w:sz w:val="20"/>
              </w:rPr>
            </w:pPr>
            <w:r>
              <w:rPr>
                <w:spacing w:val="-2"/>
                <w:sz w:val="20"/>
              </w:rPr>
              <w:t>(93.1)</w:t>
            </w:r>
          </w:p>
        </w:tc>
      </w:tr>
      <w:tr>
        <w:trPr>
          <w:trHeight w:val="300" w:hRule="atLeast"/>
        </w:trPr>
        <w:tc>
          <w:tcPr>
            <w:tcW w:w="10240" w:type="dxa"/>
            <w:gridSpan w:val="3"/>
            <w:shd w:val="clear" w:color="auto" w:fill="CCEDFF"/>
          </w:tcPr>
          <w:p>
            <w:pPr>
              <w:pStyle w:val="TableParagraph"/>
              <w:spacing w:before="43"/>
              <w:ind w:left="50"/>
              <w:rPr>
                <w:b/>
                <w:sz w:val="18"/>
              </w:rPr>
            </w:pPr>
            <w:r>
              <w:rPr>
                <w:b/>
                <w:sz w:val="18"/>
              </w:rPr>
              <w:t>Hedging </w:t>
            </w:r>
            <w:r>
              <w:rPr>
                <w:b/>
                <w:spacing w:val="-2"/>
                <w:sz w:val="18"/>
              </w:rPr>
              <w:t>impact:</w:t>
            </w:r>
          </w:p>
        </w:tc>
      </w:tr>
      <w:tr>
        <w:trPr>
          <w:trHeight w:val="300" w:hRule="atLeast"/>
        </w:trPr>
        <w:tc>
          <w:tcPr>
            <w:tcW w:w="7360" w:type="dxa"/>
          </w:tcPr>
          <w:p>
            <w:pPr>
              <w:pStyle w:val="TableParagraph"/>
              <w:spacing w:before="20"/>
              <w:ind w:left="170"/>
              <w:rPr>
                <w:sz w:val="20"/>
              </w:rPr>
            </w:pPr>
            <w:r>
              <w:rPr>
                <w:spacing w:val="-4"/>
                <w:sz w:val="20"/>
              </w:rPr>
              <w:t>Euro</w:t>
            </w:r>
          </w:p>
        </w:tc>
        <w:tc>
          <w:tcPr>
            <w:tcW w:w="1460" w:type="dxa"/>
          </w:tcPr>
          <w:p>
            <w:pPr>
              <w:pStyle w:val="TableParagraph"/>
              <w:spacing w:before="20"/>
              <w:ind w:right="136"/>
              <w:jc w:val="right"/>
              <w:rPr>
                <w:sz w:val="20"/>
              </w:rPr>
            </w:pPr>
            <w:r>
              <w:rPr>
                <w:spacing w:val="-4"/>
                <w:sz w:val="20"/>
              </w:rPr>
              <w:t>13.7</w:t>
            </w:r>
          </w:p>
        </w:tc>
        <w:tc>
          <w:tcPr>
            <w:tcW w:w="1420" w:type="dxa"/>
          </w:tcPr>
          <w:p>
            <w:pPr>
              <w:pStyle w:val="TableParagraph"/>
              <w:spacing w:before="20"/>
              <w:ind w:right="76"/>
              <w:jc w:val="right"/>
              <w:rPr>
                <w:sz w:val="20"/>
              </w:rPr>
            </w:pPr>
            <w:r>
              <w:rPr>
                <w:spacing w:val="-5"/>
                <w:sz w:val="20"/>
              </w:rPr>
              <w:t>4.2</w:t>
            </w:r>
          </w:p>
        </w:tc>
      </w:tr>
      <w:tr>
        <w:trPr>
          <w:trHeight w:val="300" w:hRule="atLeast"/>
        </w:trPr>
        <w:tc>
          <w:tcPr>
            <w:tcW w:w="7360" w:type="dxa"/>
            <w:shd w:val="clear" w:color="auto" w:fill="CCEDFF"/>
          </w:tcPr>
          <w:p>
            <w:pPr>
              <w:pStyle w:val="TableParagraph"/>
              <w:spacing w:before="20"/>
              <w:ind w:left="170"/>
              <w:rPr>
                <w:sz w:val="20"/>
              </w:rPr>
            </w:pPr>
            <w:r>
              <w:rPr>
                <w:sz w:val="20"/>
              </w:rPr>
              <w:t>British </w:t>
            </w:r>
            <w:r>
              <w:rPr>
                <w:spacing w:val="-2"/>
                <w:sz w:val="20"/>
              </w:rPr>
              <w:t>Pound</w:t>
            </w:r>
          </w:p>
        </w:tc>
        <w:tc>
          <w:tcPr>
            <w:tcW w:w="1460" w:type="dxa"/>
            <w:shd w:val="clear" w:color="auto" w:fill="CCEDFF"/>
          </w:tcPr>
          <w:p>
            <w:pPr>
              <w:pStyle w:val="TableParagraph"/>
              <w:spacing w:before="20"/>
              <w:ind w:right="136"/>
              <w:jc w:val="right"/>
              <w:rPr>
                <w:sz w:val="20"/>
              </w:rPr>
            </w:pPr>
            <w:r>
              <w:rPr>
                <w:spacing w:val="-5"/>
                <w:sz w:val="20"/>
              </w:rPr>
              <w:t>7.1</w:t>
            </w:r>
          </w:p>
        </w:tc>
        <w:tc>
          <w:tcPr>
            <w:tcW w:w="1420" w:type="dxa"/>
            <w:shd w:val="clear" w:color="auto" w:fill="CCEDFF"/>
          </w:tcPr>
          <w:p>
            <w:pPr>
              <w:pStyle w:val="TableParagraph"/>
              <w:spacing w:before="20"/>
              <w:ind w:right="76"/>
              <w:jc w:val="right"/>
              <w:rPr>
                <w:sz w:val="20"/>
              </w:rPr>
            </w:pPr>
            <w:r>
              <w:rPr>
                <w:spacing w:val="-4"/>
                <w:sz w:val="20"/>
              </w:rPr>
              <w:t>14.5</w:t>
            </w:r>
          </w:p>
        </w:tc>
      </w:tr>
      <w:tr>
        <w:trPr>
          <w:trHeight w:val="290" w:hRule="atLeast"/>
        </w:trPr>
        <w:tc>
          <w:tcPr>
            <w:tcW w:w="7360" w:type="dxa"/>
          </w:tcPr>
          <w:p>
            <w:pPr>
              <w:pStyle w:val="TableParagraph"/>
              <w:spacing w:before="20"/>
              <w:ind w:left="170"/>
              <w:rPr>
                <w:sz w:val="20"/>
              </w:rPr>
            </w:pPr>
            <w:r>
              <w:rPr>
                <w:sz w:val="20"/>
              </w:rPr>
              <w:t>Japanese</w:t>
            </w:r>
            <w:r>
              <w:rPr>
                <w:spacing w:val="-4"/>
                <w:sz w:val="20"/>
              </w:rPr>
              <w:t> </w:t>
            </w:r>
            <w:r>
              <w:rPr>
                <w:spacing w:val="-5"/>
                <w:sz w:val="20"/>
              </w:rPr>
              <w:t>Yen</w:t>
            </w:r>
          </w:p>
        </w:tc>
        <w:tc>
          <w:tcPr>
            <w:tcW w:w="1460" w:type="dxa"/>
            <w:tcBorders>
              <w:bottom w:val="single" w:sz="8" w:space="0" w:color="000000"/>
            </w:tcBorders>
          </w:tcPr>
          <w:p>
            <w:pPr>
              <w:pStyle w:val="TableParagraph"/>
              <w:spacing w:before="20"/>
              <w:ind w:right="136"/>
              <w:jc w:val="right"/>
              <w:rPr>
                <w:sz w:val="20"/>
              </w:rPr>
            </w:pPr>
            <w:r>
              <w:rPr>
                <w:spacing w:val="-4"/>
                <w:sz w:val="20"/>
              </w:rPr>
              <w:t>12.1</w:t>
            </w:r>
          </w:p>
        </w:tc>
        <w:tc>
          <w:tcPr>
            <w:tcW w:w="1420" w:type="dxa"/>
            <w:tcBorders>
              <w:bottom w:val="single" w:sz="8" w:space="0" w:color="000000"/>
            </w:tcBorders>
          </w:tcPr>
          <w:p>
            <w:pPr>
              <w:pStyle w:val="TableParagraph"/>
              <w:spacing w:before="20"/>
              <w:ind w:right="76"/>
              <w:jc w:val="right"/>
              <w:rPr>
                <w:sz w:val="20"/>
              </w:rPr>
            </w:pPr>
            <w:r>
              <w:rPr>
                <w:spacing w:val="-5"/>
                <w:sz w:val="20"/>
              </w:rPr>
              <w:t>0.1</w:t>
            </w:r>
          </w:p>
        </w:tc>
      </w:tr>
      <w:tr>
        <w:trPr>
          <w:trHeight w:val="280" w:hRule="atLeast"/>
        </w:trPr>
        <w:tc>
          <w:tcPr>
            <w:tcW w:w="7360" w:type="dxa"/>
            <w:shd w:val="clear" w:color="auto" w:fill="CCEDFF"/>
          </w:tcPr>
          <w:p>
            <w:pPr>
              <w:pStyle w:val="TableParagraph"/>
              <w:spacing w:before="10"/>
              <w:ind w:right="5130"/>
              <w:jc w:val="right"/>
              <w:rPr>
                <w:sz w:val="20"/>
              </w:rPr>
            </w:pPr>
            <w:r>
              <w:rPr>
                <w:sz w:val="20"/>
              </w:rPr>
              <w:t>Total</w:t>
            </w:r>
            <w:r>
              <w:rPr>
                <w:spacing w:val="-7"/>
                <w:sz w:val="20"/>
              </w:rPr>
              <w:t> </w:t>
            </w:r>
            <w:r>
              <w:rPr>
                <w:sz w:val="20"/>
              </w:rPr>
              <w:t>hedging</w:t>
            </w:r>
            <w:r>
              <w:rPr>
                <w:spacing w:val="-7"/>
                <w:sz w:val="20"/>
              </w:rPr>
              <w:t> </w:t>
            </w:r>
            <w:r>
              <w:rPr>
                <w:spacing w:val="-2"/>
                <w:sz w:val="20"/>
              </w:rPr>
              <w:t>impact</w:t>
            </w:r>
          </w:p>
        </w:tc>
        <w:tc>
          <w:tcPr>
            <w:tcW w:w="1460" w:type="dxa"/>
            <w:tcBorders>
              <w:top w:val="single" w:sz="8" w:space="0" w:color="000000"/>
              <w:bottom w:val="single" w:sz="8" w:space="0" w:color="000000"/>
            </w:tcBorders>
            <w:shd w:val="clear" w:color="auto" w:fill="CCEDFF"/>
          </w:tcPr>
          <w:p>
            <w:pPr>
              <w:pStyle w:val="TableParagraph"/>
              <w:spacing w:before="10"/>
              <w:ind w:right="136"/>
              <w:jc w:val="right"/>
              <w:rPr>
                <w:sz w:val="20"/>
              </w:rPr>
            </w:pPr>
            <w:r>
              <w:rPr>
                <w:spacing w:val="-4"/>
                <w:sz w:val="20"/>
              </w:rPr>
              <w:t>32.9</w:t>
            </w:r>
          </w:p>
        </w:tc>
        <w:tc>
          <w:tcPr>
            <w:tcW w:w="1420" w:type="dxa"/>
            <w:tcBorders>
              <w:top w:val="single" w:sz="8" w:space="0" w:color="000000"/>
              <w:bottom w:val="single" w:sz="8" w:space="0" w:color="000000"/>
            </w:tcBorders>
            <w:shd w:val="clear" w:color="auto" w:fill="CCEDFF"/>
          </w:tcPr>
          <w:p>
            <w:pPr>
              <w:pStyle w:val="TableParagraph"/>
              <w:spacing w:before="10"/>
              <w:ind w:right="76"/>
              <w:jc w:val="right"/>
              <w:rPr>
                <w:sz w:val="20"/>
              </w:rPr>
            </w:pPr>
            <w:r>
              <w:rPr>
                <w:spacing w:val="-4"/>
                <w:sz w:val="20"/>
              </w:rPr>
              <w:t>18.8</w:t>
            </w:r>
          </w:p>
        </w:tc>
      </w:tr>
      <w:tr>
        <w:trPr>
          <w:trHeight w:val="260" w:hRule="atLeast"/>
        </w:trPr>
        <w:tc>
          <w:tcPr>
            <w:tcW w:w="7360" w:type="dxa"/>
          </w:tcPr>
          <w:p>
            <w:pPr>
              <w:pStyle w:val="TableParagraph"/>
              <w:spacing w:before="10"/>
              <w:ind w:left="170"/>
              <w:rPr>
                <w:sz w:val="20"/>
              </w:rPr>
            </w:pPr>
            <w:r>
              <w:rPr>
                <w:spacing w:val="-2"/>
                <w:sz w:val="20"/>
              </w:rPr>
              <w:t>Total</w:t>
            </w:r>
            <w:r>
              <w:rPr>
                <w:spacing w:val="-4"/>
                <w:sz w:val="20"/>
              </w:rPr>
              <w:t> </w:t>
            </w:r>
            <w:r>
              <w:rPr>
                <w:spacing w:val="-2"/>
                <w:sz w:val="20"/>
              </w:rPr>
              <w:t>impact</w:t>
            </w:r>
          </w:p>
        </w:tc>
        <w:tc>
          <w:tcPr>
            <w:tcW w:w="1460" w:type="dxa"/>
            <w:tcBorders>
              <w:top w:val="single" w:sz="8" w:space="0" w:color="000000"/>
              <w:bottom w:val="double" w:sz="8" w:space="0" w:color="000000"/>
            </w:tcBorders>
          </w:tcPr>
          <w:p>
            <w:pPr>
              <w:pStyle w:val="TableParagraph"/>
              <w:tabs>
                <w:tab w:pos="955" w:val="left" w:leader="none"/>
              </w:tabs>
              <w:spacing w:before="10"/>
              <w:ind w:right="68"/>
              <w:jc w:val="right"/>
              <w:rPr>
                <w:sz w:val="20"/>
              </w:rPr>
            </w:pPr>
            <w:r>
              <w:rPr>
                <w:spacing w:val="-10"/>
                <w:sz w:val="20"/>
              </w:rPr>
              <w:t>$</w:t>
            </w:r>
            <w:r>
              <w:rPr>
                <w:sz w:val="20"/>
              </w:rPr>
              <w:tab/>
            </w:r>
            <w:r>
              <w:rPr>
                <w:spacing w:val="-2"/>
                <w:sz w:val="20"/>
              </w:rPr>
              <w:t>(5.4)</w:t>
            </w:r>
          </w:p>
        </w:tc>
        <w:tc>
          <w:tcPr>
            <w:tcW w:w="1420" w:type="dxa"/>
            <w:tcBorders>
              <w:top w:val="single" w:sz="8" w:space="0" w:color="000000"/>
              <w:bottom w:val="double" w:sz="8" w:space="0" w:color="000000"/>
            </w:tcBorders>
          </w:tcPr>
          <w:p>
            <w:pPr>
              <w:pStyle w:val="TableParagraph"/>
              <w:tabs>
                <w:tab w:pos="855" w:val="left" w:leader="none"/>
              </w:tabs>
              <w:spacing w:before="10"/>
              <w:ind w:right="8"/>
              <w:jc w:val="right"/>
              <w:rPr>
                <w:sz w:val="20"/>
              </w:rPr>
            </w:pPr>
            <w:r>
              <w:rPr>
                <w:spacing w:val="-10"/>
                <w:sz w:val="20"/>
              </w:rPr>
              <w:t>$</w:t>
            </w:r>
            <w:r>
              <w:rPr>
                <w:sz w:val="20"/>
              </w:rPr>
              <w:tab/>
            </w:r>
            <w:r>
              <w:rPr>
                <w:spacing w:val="-2"/>
                <w:sz w:val="20"/>
              </w:rPr>
              <w:t>(74.3)</w:t>
            </w:r>
          </w:p>
        </w:tc>
      </w:tr>
    </w:tbl>
    <w:p>
      <w:pPr>
        <w:pStyle w:val="BodyText"/>
        <w:spacing w:line="249" w:lineRule="auto" w:before="183"/>
        <w:ind w:left="220" w:right="246" w:firstLine="587"/>
        <w:jc w:val="both"/>
      </w:pPr>
      <w:r>
        <w:rPr/>
        <w:t>During</w:t>
      </w:r>
      <w:r>
        <w:rPr>
          <w:spacing w:val="-6"/>
        </w:rPr>
        <w:t> </w:t>
      </w:r>
      <w:r>
        <w:rPr/>
        <w:t>fiscal</w:t>
      </w:r>
      <w:r>
        <w:rPr>
          <w:spacing w:val="-7"/>
        </w:rPr>
        <w:t> </w:t>
      </w:r>
      <w:r>
        <w:rPr/>
        <w:t>2017,</w:t>
      </w:r>
      <w:r>
        <w:rPr>
          <w:spacing w:val="-6"/>
        </w:rPr>
        <w:t> </w:t>
      </w:r>
      <w:r>
        <w:rPr/>
        <w:t>the</w:t>
      </w:r>
      <w:r>
        <w:rPr>
          <w:spacing w:val="-6"/>
        </w:rPr>
        <w:t> </w:t>
      </w:r>
      <w:r>
        <w:rPr/>
        <w:t>U.S.</w:t>
      </w:r>
      <w:r>
        <w:rPr>
          <w:spacing w:val="-6"/>
        </w:rPr>
        <w:t> </w:t>
      </w:r>
      <w:r>
        <w:rPr/>
        <w:t>Dollar</w:t>
      </w:r>
      <w:r>
        <w:rPr>
          <w:spacing w:val="-6"/>
        </w:rPr>
        <w:t> </w:t>
      </w:r>
      <w:r>
        <w:rPr/>
        <w:t>strengthened</w:t>
      </w:r>
      <w:r>
        <w:rPr>
          <w:spacing w:val="-6"/>
        </w:rPr>
        <w:t> </w:t>
      </w:r>
      <w:r>
        <w:rPr/>
        <w:t>against</w:t>
      </w:r>
      <w:r>
        <w:rPr>
          <w:spacing w:val="-6"/>
        </w:rPr>
        <w:t> </w:t>
      </w:r>
      <w:r>
        <w:rPr/>
        <w:t>the</w:t>
      </w:r>
      <w:r>
        <w:rPr>
          <w:spacing w:val="-6"/>
        </w:rPr>
        <w:t> </w:t>
      </w:r>
      <w:r>
        <w:rPr/>
        <w:t>British</w:t>
      </w:r>
      <w:r>
        <w:rPr>
          <w:spacing w:val="-6"/>
        </w:rPr>
        <w:t> </w:t>
      </w:r>
      <w:r>
        <w:rPr/>
        <w:t>Pound,</w:t>
      </w:r>
      <w:r>
        <w:rPr>
          <w:spacing w:val="-6"/>
        </w:rPr>
        <w:t> </w:t>
      </w:r>
      <w:r>
        <w:rPr/>
        <w:t>which</w:t>
      </w:r>
      <w:r>
        <w:rPr>
          <w:spacing w:val="-6"/>
        </w:rPr>
        <w:t> </w:t>
      </w:r>
      <w:r>
        <w:rPr/>
        <w:t>negatively</w:t>
      </w:r>
      <w:r>
        <w:rPr>
          <w:spacing w:val="-6"/>
        </w:rPr>
        <w:t> </w:t>
      </w:r>
      <w:r>
        <w:rPr/>
        <w:t>impacted</w:t>
      </w:r>
      <w:r>
        <w:rPr>
          <w:spacing w:val="-6"/>
        </w:rPr>
        <w:t> </w:t>
      </w:r>
      <w:r>
        <w:rPr/>
        <w:t>revenue</w:t>
      </w:r>
      <w:r>
        <w:rPr>
          <w:spacing w:val="-6"/>
        </w:rPr>
        <w:t> </w:t>
      </w:r>
      <w:r>
        <w:rPr/>
        <w:t>in</w:t>
      </w:r>
      <w:r>
        <w:rPr>
          <w:spacing w:val="-6"/>
        </w:rPr>
        <w:t> </w:t>
      </w:r>
      <w:r>
        <w:rPr/>
        <w:t>EMEA measured in U.S. Dollar equivalents. The net foreign currency impact to revenue was offset in part by hedging gains from our EMEA</w:t>
      </w:r>
      <w:r>
        <w:rPr>
          <w:spacing w:val="-1"/>
        </w:rPr>
        <w:t> </w:t>
      </w:r>
      <w:r>
        <w:rPr/>
        <w:t>and Japanese Yen currencies hedging programs during fiscal 2017.</w:t>
      </w:r>
    </w:p>
    <w:p>
      <w:pPr>
        <w:pStyle w:val="BodyText"/>
        <w:spacing w:before="12"/>
      </w:pPr>
    </w:p>
    <w:p>
      <w:pPr>
        <w:pStyle w:val="BodyText"/>
        <w:spacing w:line="249" w:lineRule="auto"/>
        <w:ind w:left="220" w:right="257" w:firstLine="592"/>
        <w:jc w:val="both"/>
      </w:pPr>
      <w:r>
        <w:rPr/>
        <w:t>During</w:t>
      </w:r>
      <w:r>
        <w:rPr>
          <w:spacing w:val="-1"/>
        </w:rPr>
        <w:t> </w:t>
      </w:r>
      <w:r>
        <w:rPr/>
        <w:t>fiscal</w:t>
      </w:r>
      <w:r>
        <w:rPr>
          <w:spacing w:val="-1"/>
        </w:rPr>
        <w:t> </w:t>
      </w:r>
      <w:r>
        <w:rPr/>
        <w:t>2016,</w:t>
      </w:r>
      <w:r>
        <w:rPr>
          <w:spacing w:val="-1"/>
        </w:rPr>
        <w:t> </w:t>
      </w:r>
      <w:r>
        <w:rPr/>
        <w:t>the</w:t>
      </w:r>
      <w:r>
        <w:rPr>
          <w:spacing w:val="-1"/>
        </w:rPr>
        <w:t> </w:t>
      </w:r>
      <w:r>
        <w:rPr/>
        <w:t>U.S.</w:t>
      </w:r>
      <w:r>
        <w:rPr>
          <w:spacing w:val="-1"/>
        </w:rPr>
        <w:t> </w:t>
      </w:r>
      <w:r>
        <w:rPr/>
        <w:t>Dollar</w:t>
      </w:r>
      <w:r>
        <w:rPr>
          <w:spacing w:val="-1"/>
        </w:rPr>
        <w:t> </w:t>
      </w:r>
      <w:r>
        <w:rPr/>
        <w:t>strengthened</w:t>
      </w:r>
      <w:r>
        <w:rPr>
          <w:spacing w:val="-1"/>
        </w:rPr>
        <w:t> </w:t>
      </w:r>
      <w:r>
        <w:rPr/>
        <w:t>against</w:t>
      </w:r>
      <w:r>
        <w:rPr>
          <w:spacing w:val="-1"/>
        </w:rPr>
        <w:t> </w:t>
      </w:r>
      <w:r>
        <w:rPr/>
        <w:t>the</w:t>
      </w:r>
      <w:r>
        <w:rPr>
          <w:spacing w:val="-1"/>
        </w:rPr>
        <w:t> </w:t>
      </w:r>
      <w:r>
        <w:rPr/>
        <w:t>Euro</w:t>
      </w:r>
      <w:r>
        <w:rPr>
          <w:spacing w:val="-1"/>
        </w:rPr>
        <w:t> </w:t>
      </w:r>
      <w:r>
        <w:rPr/>
        <w:t>and</w:t>
      </w:r>
      <w:r>
        <w:rPr>
          <w:spacing w:val="-1"/>
        </w:rPr>
        <w:t> </w:t>
      </w:r>
      <w:r>
        <w:rPr/>
        <w:t>British</w:t>
      </w:r>
      <w:r>
        <w:rPr>
          <w:spacing w:val="-1"/>
        </w:rPr>
        <w:t> </w:t>
      </w:r>
      <w:r>
        <w:rPr/>
        <w:t>Pound</w:t>
      </w:r>
      <w:r>
        <w:rPr>
          <w:spacing w:val="-1"/>
        </w:rPr>
        <w:t> </w:t>
      </w:r>
      <w:r>
        <w:rPr/>
        <w:t>which</w:t>
      </w:r>
      <w:r>
        <w:rPr>
          <w:spacing w:val="-1"/>
        </w:rPr>
        <w:t> </w:t>
      </w:r>
      <w:r>
        <w:rPr/>
        <w:t>negatively</w:t>
      </w:r>
      <w:r>
        <w:rPr>
          <w:spacing w:val="-1"/>
        </w:rPr>
        <w:t> </w:t>
      </w:r>
      <w:r>
        <w:rPr/>
        <w:t>impacted</w:t>
      </w:r>
      <w:r>
        <w:rPr>
          <w:spacing w:val="-1"/>
        </w:rPr>
        <w:t> </w:t>
      </w:r>
      <w:r>
        <w:rPr/>
        <w:t>revenue in EMEA measured in U.S. Dollar equivalents. This impact was partially offset by hedging gains from our EMEA currencies hedging</w:t>
      </w:r>
      <w:r>
        <w:rPr>
          <w:spacing w:val="-13"/>
        </w:rPr>
        <w:t> </w:t>
      </w:r>
      <w:r>
        <w:rPr/>
        <w:t>programs</w:t>
      </w:r>
      <w:r>
        <w:rPr>
          <w:spacing w:val="-12"/>
        </w:rPr>
        <w:t> </w:t>
      </w:r>
      <w:r>
        <w:rPr/>
        <w:t>during</w:t>
      </w:r>
      <w:r>
        <w:rPr>
          <w:spacing w:val="-13"/>
        </w:rPr>
        <w:t> </w:t>
      </w:r>
      <w:r>
        <w:rPr/>
        <w:t>fiscal</w:t>
      </w:r>
      <w:r>
        <w:rPr>
          <w:spacing w:val="-12"/>
        </w:rPr>
        <w:t> </w:t>
      </w:r>
      <w:r>
        <w:rPr/>
        <w:t>2016.</w:t>
      </w:r>
      <w:r>
        <w:rPr>
          <w:spacing w:val="-13"/>
        </w:rPr>
        <w:t> </w:t>
      </w:r>
      <w:r>
        <w:rPr/>
        <w:t>During</w:t>
      </w:r>
      <w:r>
        <w:rPr>
          <w:spacing w:val="-12"/>
        </w:rPr>
        <w:t> </w:t>
      </w:r>
      <w:r>
        <w:rPr/>
        <w:t>fiscal</w:t>
      </w:r>
      <w:r>
        <w:rPr>
          <w:spacing w:val="-13"/>
        </w:rPr>
        <w:t> </w:t>
      </w:r>
      <w:r>
        <w:rPr/>
        <w:t>2016,</w:t>
      </w:r>
      <w:r>
        <w:rPr>
          <w:spacing w:val="-12"/>
        </w:rPr>
        <w:t> </w:t>
      </w:r>
      <w:r>
        <w:rPr/>
        <w:t>the</w:t>
      </w:r>
      <w:r>
        <w:rPr>
          <w:spacing w:val="-13"/>
        </w:rPr>
        <w:t> </w:t>
      </w:r>
      <w:r>
        <w:rPr/>
        <w:t>U.S.</w:t>
      </w:r>
      <w:r>
        <w:rPr>
          <w:spacing w:val="-12"/>
        </w:rPr>
        <w:t> </w:t>
      </w:r>
      <w:r>
        <w:rPr/>
        <w:t>Dollar</w:t>
      </w:r>
      <w:r>
        <w:rPr>
          <w:spacing w:val="-13"/>
        </w:rPr>
        <w:t> </w:t>
      </w:r>
      <w:r>
        <w:rPr/>
        <w:t>weakened</w:t>
      </w:r>
      <w:r>
        <w:rPr>
          <w:spacing w:val="-12"/>
        </w:rPr>
        <w:t> </w:t>
      </w:r>
      <w:r>
        <w:rPr/>
        <w:t>against</w:t>
      </w:r>
      <w:r>
        <w:rPr>
          <w:spacing w:val="-13"/>
        </w:rPr>
        <w:t> </w:t>
      </w:r>
      <w:r>
        <w:rPr/>
        <w:t>the</w:t>
      </w:r>
      <w:r>
        <w:rPr>
          <w:spacing w:val="-12"/>
        </w:rPr>
        <w:t> </w:t>
      </w:r>
      <w:r>
        <w:rPr/>
        <w:t>Japanese</w:t>
      </w:r>
      <w:r>
        <w:rPr>
          <w:spacing w:val="-13"/>
        </w:rPr>
        <w:t> </w:t>
      </w:r>
      <w:r>
        <w:rPr/>
        <w:t>Yen,</w:t>
      </w:r>
      <w:r>
        <w:rPr>
          <w:spacing w:val="-12"/>
        </w:rPr>
        <w:t> </w:t>
      </w:r>
      <w:r>
        <w:rPr/>
        <w:t>the</w:t>
      </w:r>
      <w:r>
        <w:rPr>
          <w:spacing w:val="-13"/>
        </w:rPr>
        <w:t> </w:t>
      </w:r>
      <w:r>
        <w:rPr/>
        <w:t>impact</w:t>
      </w:r>
      <w:r>
        <w:rPr>
          <w:spacing w:val="-12"/>
        </w:rPr>
        <w:t> </w:t>
      </w:r>
      <w:r>
        <w:rPr/>
        <w:t>of</w:t>
      </w:r>
      <w:r>
        <w:rPr>
          <w:spacing w:val="-13"/>
        </w:rPr>
        <w:t> </w:t>
      </w:r>
      <w:r>
        <w:rPr/>
        <w:t>which was offset by the impact of the U.S. Dollar strengthening against other</w:t>
      </w:r>
      <w:r>
        <w:rPr>
          <w:spacing w:val="-2"/>
        </w:rPr>
        <w:t> </w:t>
      </w:r>
      <w:r>
        <w:rPr/>
        <w:t>Asian currencies.</w:t>
      </w:r>
    </w:p>
    <w:p>
      <w:pPr>
        <w:pStyle w:val="BodyText"/>
        <w:spacing w:before="14"/>
      </w:pPr>
    </w:p>
    <w:p>
      <w:pPr>
        <w:spacing w:before="0"/>
        <w:ind w:left="760" w:right="0" w:firstLine="0"/>
        <w:jc w:val="left"/>
        <w:rPr>
          <w:i/>
          <w:sz w:val="20"/>
        </w:rPr>
      </w:pPr>
      <w:hyperlink w:history="true" w:anchor="_bookmark32">
        <w:r>
          <w:rPr>
            <w:i/>
            <w:sz w:val="20"/>
          </w:rPr>
          <w:t>See</w:t>
        </w:r>
        <w:r>
          <w:rPr>
            <w:i/>
            <w:spacing w:val="-2"/>
            <w:sz w:val="20"/>
          </w:rPr>
          <w:t> </w:t>
        </w:r>
        <w:r>
          <w:rPr>
            <w:i/>
            <w:sz w:val="20"/>
          </w:rPr>
          <w:t>Note</w:t>
        </w:r>
        <w:r>
          <w:rPr>
            <w:i/>
            <w:spacing w:val="-3"/>
            <w:sz w:val="20"/>
          </w:rPr>
          <w:t> </w:t>
        </w:r>
        <w:r>
          <w:rPr>
            <w:i/>
            <w:sz w:val="20"/>
          </w:rPr>
          <w:t>17</w:t>
        </w:r>
        <w:r>
          <w:rPr>
            <w:i/>
            <w:spacing w:val="-2"/>
            <w:sz w:val="20"/>
          </w:rPr>
          <w:t> </w:t>
        </w:r>
        <w:r>
          <w:rPr>
            <w:i/>
            <w:sz w:val="20"/>
          </w:rPr>
          <w:t>of</w:t>
        </w:r>
        <w:r>
          <w:rPr>
            <w:i/>
            <w:spacing w:val="-2"/>
            <w:sz w:val="20"/>
          </w:rPr>
          <w:t> </w:t>
        </w:r>
        <w:r>
          <w:rPr>
            <w:i/>
            <w:sz w:val="20"/>
          </w:rPr>
          <w:t>our</w:t>
        </w:r>
        <w:r>
          <w:rPr>
            <w:i/>
            <w:spacing w:val="-1"/>
            <w:sz w:val="20"/>
          </w:rPr>
          <w:t> </w:t>
        </w:r>
        <w:r>
          <w:rPr>
            <w:i/>
            <w:sz w:val="20"/>
          </w:rPr>
          <w:t>Notes</w:t>
        </w:r>
        <w:r>
          <w:rPr>
            <w:i/>
            <w:spacing w:val="-2"/>
            <w:sz w:val="20"/>
          </w:rPr>
          <w:t> </w:t>
        </w:r>
        <w:r>
          <w:rPr>
            <w:i/>
            <w:sz w:val="20"/>
          </w:rPr>
          <w:t>to</w:t>
        </w:r>
        <w:r>
          <w:rPr>
            <w:i/>
            <w:spacing w:val="-2"/>
            <w:sz w:val="20"/>
          </w:rPr>
          <w:t> </w:t>
        </w:r>
        <w:r>
          <w:rPr>
            <w:i/>
            <w:sz w:val="20"/>
          </w:rPr>
          <w:t>Consolidated</w:t>
        </w:r>
        <w:r>
          <w:rPr>
            <w:i/>
            <w:spacing w:val="-2"/>
            <w:sz w:val="20"/>
          </w:rPr>
          <w:t> </w:t>
        </w:r>
        <w:r>
          <w:rPr>
            <w:i/>
            <w:sz w:val="20"/>
          </w:rPr>
          <w:t>Financial</w:t>
        </w:r>
        <w:r>
          <w:rPr>
            <w:i/>
            <w:spacing w:val="-2"/>
            <w:sz w:val="20"/>
          </w:rPr>
          <w:t> </w:t>
        </w:r>
        <w:r>
          <w:rPr>
            <w:i/>
            <w:sz w:val="20"/>
          </w:rPr>
          <w:t>Statements</w:t>
        </w:r>
        <w:r>
          <w:rPr>
            <w:i/>
            <w:spacing w:val="-2"/>
            <w:sz w:val="20"/>
          </w:rPr>
          <w:t> </w:t>
        </w:r>
        <w:r>
          <w:rPr>
            <w:i/>
            <w:sz w:val="20"/>
          </w:rPr>
          <w:t>for</w:t>
        </w:r>
        <w:r>
          <w:rPr>
            <w:i/>
            <w:spacing w:val="-2"/>
            <w:sz w:val="20"/>
          </w:rPr>
          <w:t> </w:t>
        </w:r>
        <w:r>
          <w:rPr>
            <w:i/>
            <w:sz w:val="20"/>
          </w:rPr>
          <w:t>further</w:t>
        </w:r>
        <w:r>
          <w:rPr>
            <w:i/>
            <w:spacing w:val="-2"/>
            <w:sz w:val="20"/>
          </w:rPr>
          <w:t> </w:t>
        </w:r>
        <w:r>
          <w:rPr>
            <w:i/>
            <w:sz w:val="20"/>
          </w:rPr>
          <w:t>geographic</w:t>
        </w:r>
        <w:r>
          <w:rPr>
            <w:i/>
            <w:spacing w:val="-2"/>
            <w:sz w:val="20"/>
          </w:rPr>
          <w:t> information.</w:t>
        </w:r>
      </w:hyperlink>
    </w:p>
    <w:p>
      <w:pPr>
        <w:spacing w:before="190"/>
        <w:ind w:left="220" w:right="0" w:firstLine="0"/>
        <w:jc w:val="left"/>
        <w:rPr>
          <w:i/>
          <w:sz w:val="20"/>
        </w:rPr>
      </w:pPr>
      <w:r>
        <w:rPr>
          <w:i/>
          <w:spacing w:val="-2"/>
          <w:sz w:val="20"/>
        </w:rPr>
        <w:t>Backlog</w:t>
      </w:r>
    </w:p>
    <w:p>
      <w:pPr>
        <w:pStyle w:val="BodyText"/>
        <w:spacing w:line="249" w:lineRule="auto" w:before="190"/>
        <w:ind w:left="220" w:right="257" w:firstLine="540"/>
        <w:jc w:val="both"/>
      </w:pPr>
      <w:r>
        <w:rPr/>
        <w:t>Deferred revenue on our consolidated balance sheet consists of billings and payments received in advance of revenue recognition for our products and solutions and does not represent the total contract value of existing annual or multi-year, non- cancelable</w:t>
      </w:r>
      <w:r>
        <w:rPr>
          <w:spacing w:val="-13"/>
        </w:rPr>
        <w:t> </w:t>
      </w:r>
      <w:r>
        <w:rPr/>
        <w:t>commercial</w:t>
      </w:r>
      <w:r>
        <w:rPr>
          <w:spacing w:val="-12"/>
        </w:rPr>
        <w:t> </w:t>
      </w:r>
      <w:r>
        <w:rPr/>
        <w:t>subscription,</w:t>
      </w:r>
      <w:r>
        <w:rPr>
          <w:spacing w:val="-12"/>
        </w:rPr>
        <w:t> </w:t>
      </w:r>
      <w:r>
        <w:rPr/>
        <w:t>SaaS</w:t>
      </w:r>
      <w:r>
        <w:rPr>
          <w:spacing w:val="-12"/>
        </w:rPr>
        <w:t> </w:t>
      </w:r>
      <w:r>
        <w:rPr/>
        <w:t>and</w:t>
      </w:r>
      <w:r>
        <w:rPr>
          <w:spacing w:val="-12"/>
        </w:rPr>
        <w:t> </w:t>
      </w:r>
      <w:r>
        <w:rPr/>
        <w:t>managed</w:t>
      </w:r>
      <w:r>
        <w:rPr>
          <w:spacing w:val="-12"/>
        </w:rPr>
        <w:t> </w:t>
      </w:r>
      <w:r>
        <w:rPr/>
        <w:t>services</w:t>
      </w:r>
      <w:r>
        <w:rPr>
          <w:spacing w:val="-12"/>
        </w:rPr>
        <w:t> </w:t>
      </w:r>
      <w:r>
        <w:rPr/>
        <w:t>agreements</w:t>
      </w:r>
      <w:r>
        <w:rPr>
          <w:spacing w:val="-12"/>
        </w:rPr>
        <w:t> </w:t>
      </w:r>
      <w:r>
        <w:rPr/>
        <w:t>or</w:t>
      </w:r>
      <w:r>
        <w:rPr>
          <w:spacing w:val="-12"/>
        </w:rPr>
        <w:t> </w:t>
      </w:r>
      <w:r>
        <w:rPr/>
        <w:t>government</w:t>
      </w:r>
      <w:r>
        <w:rPr>
          <w:spacing w:val="-13"/>
        </w:rPr>
        <w:t> </w:t>
      </w:r>
      <w:r>
        <w:rPr/>
        <w:t>contracts</w:t>
      </w:r>
      <w:r>
        <w:rPr>
          <w:spacing w:val="-11"/>
        </w:rPr>
        <w:t> </w:t>
      </w:r>
      <w:r>
        <w:rPr/>
        <w:t>with</w:t>
      </w:r>
      <w:r>
        <w:rPr>
          <w:spacing w:val="-12"/>
        </w:rPr>
        <w:t> </w:t>
      </w:r>
      <w:r>
        <w:rPr/>
        <w:t>fiscal</w:t>
      </w:r>
      <w:r>
        <w:rPr>
          <w:spacing w:val="-13"/>
        </w:rPr>
        <w:t> </w:t>
      </w:r>
      <w:r>
        <w:rPr/>
        <w:t>funding</w:t>
      </w:r>
      <w:r>
        <w:rPr>
          <w:spacing w:val="-11"/>
        </w:rPr>
        <w:t> </w:t>
      </w:r>
      <w:r>
        <w:rPr/>
        <w:t>clauses. Unbilled deferred revenue represents expected future billings that are contractually committed under our existing subscription, SaaS</w:t>
      </w:r>
      <w:r>
        <w:rPr>
          <w:spacing w:val="-7"/>
        </w:rPr>
        <w:t> </w:t>
      </w:r>
      <w:r>
        <w:rPr/>
        <w:t>and</w:t>
      </w:r>
      <w:r>
        <w:rPr>
          <w:spacing w:val="-7"/>
        </w:rPr>
        <w:t> </w:t>
      </w:r>
      <w:r>
        <w:rPr/>
        <w:t>managed</w:t>
      </w:r>
      <w:r>
        <w:rPr>
          <w:spacing w:val="-7"/>
        </w:rPr>
        <w:t> </w:t>
      </w:r>
      <w:r>
        <w:rPr/>
        <w:t>services</w:t>
      </w:r>
      <w:r>
        <w:rPr>
          <w:spacing w:val="-7"/>
        </w:rPr>
        <w:t> </w:t>
      </w:r>
      <w:r>
        <w:rPr/>
        <w:t>agreements</w:t>
      </w:r>
      <w:r>
        <w:rPr>
          <w:spacing w:val="-7"/>
        </w:rPr>
        <w:t> </w:t>
      </w:r>
      <w:r>
        <w:rPr/>
        <w:t>that</w:t>
      </w:r>
      <w:r>
        <w:rPr>
          <w:spacing w:val="-8"/>
        </w:rPr>
        <w:t> </w:t>
      </w:r>
      <w:r>
        <w:rPr/>
        <w:t>have</w:t>
      </w:r>
      <w:r>
        <w:rPr>
          <w:spacing w:val="-8"/>
        </w:rPr>
        <w:t> </w:t>
      </w:r>
      <w:r>
        <w:rPr/>
        <w:t>not</w:t>
      </w:r>
      <w:r>
        <w:rPr>
          <w:spacing w:val="-8"/>
        </w:rPr>
        <w:t> </w:t>
      </w:r>
      <w:r>
        <w:rPr/>
        <w:t>been</w:t>
      </w:r>
      <w:r>
        <w:rPr>
          <w:spacing w:val="-7"/>
        </w:rPr>
        <w:t> </w:t>
      </w:r>
      <w:r>
        <w:rPr/>
        <w:t>invoiced</w:t>
      </w:r>
      <w:r>
        <w:rPr>
          <w:spacing w:val="-8"/>
        </w:rPr>
        <w:t> </w:t>
      </w:r>
      <w:r>
        <w:rPr/>
        <w:t>and</w:t>
      </w:r>
      <w:r>
        <w:rPr>
          <w:spacing w:val="-7"/>
        </w:rPr>
        <w:t> </w:t>
      </w:r>
      <w:r>
        <w:rPr/>
        <w:t>are</w:t>
      </w:r>
      <w:r>
        <w:rPr>
          <w:spacing w:val="-7"/>
        </w:rPr>
        <w:t> </w:t>
      </w:r>
      <w:r>
        <w:rPr/>
        <w:t>not</w:t>
      </w:r>
      <w:r>
        <w:rPr>
          <w:spacing w:val="-8"/>
        </w:rPr>
        <w:t> </w:t>
      </w:r>
      <w:r>
        <w:rPr/>
        <w:t>recorded</w:t>
      </w:r>
      <w:r>
        <w:rPr>
          <w:spacing w:val="-7"/>
        </w:rPr>
        <w:t> </w:t>
      </w:r>
      <w:r>
        <w:rPr/>
        <w:t>in</w:t>
      </w:r>
      <w:r>
        <w:rPr>
          <w:spacing w:val="-8"/>
        </w:rPr>
        <w:t> </w:t>
      </w:r>
      <w:r>
        <w:rPr/>
        <w:t>deferred</w:t>
      </w:r>
      <w:r>
        <w:rPr>
          <w:spacing w:val="-7"/>
        </w:rPr>
        <w:t> </w:t>
      </w:r>
      <w:r>
        <w:rPr/>
        <w:t>revenue</w:t>
      </w:r>
      <w:r>
        <w:rPr>
          <w:spacing w:val="-8"/>
        </w:rPr>
        <w:t> </w:t>
      </w:r>
      <w:r>
        <w:rPr/>
        <w:t>within</w:t>
      </w:r>
      <w:r>
        <w:rPr>
          <w:spacing w:val="-7"/>
        </w:rPr>
        <w:t> </w:t>
      </w:r>
      <w:r>
        <w:rPr/>
        <w:t>our</w:t>
      </w:r>
      <w:r>
        <w:rPr>
          <w:spacing w:val="-7"/>
        </w:rPr>
        <w:t> </w:t>
      </w:r>
      <w:r>
        <w:rPr/>
        <w:t>financial statements.</w:t>
      </w:r>
      <w:r>
        <w:rPr>
          <w:spacing w:val="-6"/>
        </w:rPr>
        <w:t> </w:t>
      </w:r>
      <w:r>
        <w:rPr/>
        <w:t>Our</w:t>
      </w:r>
      <w:r>
        <w:rPr>
          <w:spacing w:val="-5"/>
        </w:rPr>
        <w:t> </w:t>
      </w:r>
      <w:r>
        <w:rPr/>
        <w:t>presentation</w:t>
      </w:r>
      <w:r>
        <w:rPr>
          <w:spacing w:val="-5"/>
        </w:rPr>
        <w:t> </w:t>
      </w:r>
      <w:r>
        <w:rPr/>
        <w:t>of</w:t>
      </w:r>
      <w:r>
        <w:rPr>
          <w:spacing w:val="-5"/>
        </w:rPr>
        <w:t> </w:t>
      </w:r>
      <w:r>
        <w:rPr/>
        <w:t>unbilled</w:t>
      </w:r>
      <w:r>
        <w:rPr>
          <w:spacing w:val="-5"/>
        </w:rPr>
        <w:t> </w:t>
      </w:r>
      <w:r>
        <w:rPr/>
        <w:t>deferred</w:t>
      </w:r>
      <w:r>
        <w:rPr>
          <w:spacing w:val="-5"/>
        </w:rPr>
        <w:t> </w:t>
      </w:r>
      <w:r>
        <w:rPr/>
        <w:t>revenue</w:t>
      </w:r>
      <w:r>
        <w:rPr>
          <w:spacing w:val="-5"/>
        </w:rPr>
        <w:t> </w:t>
      </w:r>
      <w:r>
        <w:rPr/>
        <w:t>backlog</w:t>
      </w:r>
      <w:r>
        <w:rPr>
          <w:spacing w:val="-5"/>
        </w:rPr>
        <w:t> </w:t>
      </w:r>
      <w:r>
        <w:rPr/>
        <w:t>may</w:t>
      </w:r>
      <w:r>
        <w:rPr>
          <w:spacing w:val="-5"/>
        </w:rPr>
        <w:t> </w:t>
      </w:r>
      <w:r>
        <w:rPr/>
        <w:t>differ</w:t>
      </w:r>
      <w:r>
        <w:rPr>
          <w:spacing w:val="-5"/>
        </w:rPr>
        <w:t> </w:t>
      </w:r>
      <w:r>
        <w:rPr/>
        <w:t>from</w:t>
      </w:r>
      <w:r>
        <w:rPr>
          <w:spacing w:val="-5"/>
        </w:rPr>
        <w:t> </w:t>
      </w:r>
      <w:r>
        <w:rPr/>
        <w:t>that</w:t>
      </w:r>
      <w:r>
        <w:rPr>
          <w:spacing w:val="-5"/>
        </w:rPr>
        <w:t> </w:t>
      </w:r>
      <w:r>
        <w:rPr/>
        <w:t>of</w:t>
      </w:r>
      <w:r>
        <w:rPr>
          <w:spacing w:val="-5"/>
        </w:rPr>
        <w:t> </w:t>
      </w:r>
      <w:r>
        <w:rPr/>
        <w:t>other</w:t>
      </w:r>
      <w:r>
        <w:rPr>
          <w:spacing w:val="-5"/>
        </w:rPr>
        <w:t> </w:t>
      </w:r>
      <w:r>
        <w:rPr/>
        <w:t>companies</w:t>
      </w:r>
      <w:r>
        <w:rPr>
          <w:spacing w:val="-5"/>
        </w:rPr>
        <w:t> </w:t>
      </w:r>
      <w:r>
        <w:rPr/>
        <w:t>in</w:t>
      </w:r>
      <w:r>
        <w:rPr>
          <w:spacing w:val="-5"/>
        </w:rPr>
        <w:t> </w:t>
      </w:r>
      <w:r>
        <w:rPr/>
        <w:t>the</w:t>
      </w:r>
      <w:r>
        <w:rPr>
          <w:spacing w:val="-5"/>
        </w:rPr>
        <w:t> </w:t>
      </w:r>
      <w:r>
        <w:rPr/>
        <w:t>industry.</w:t>
      </w:r>
      <w:r>
        <w:rPr>
          <w:spacing w:val="-13"/>
        </w:rPr>
        <w:t> </w:t>
      </w:r>
      <w:r>
        <w:rPr/>
        <w:t>As</w:t>
      </w:r>
      <w:r>
        <w:rPr>
          <w:spacing w:val="-4"/>
        </w:rPr>
        <w:t> </w:t>
      </w:r>
      <w:r>
        <w:rPr/>
        <w:t>of December</w:t>
      </w:r>
      <w:r>
        <w:rPr>
          <w:spacing w:val="-10"/>
        </w:rPr>
        <w:t> </w:t>
      </w:r>
      <w:r>
        <w:rPr/>
        <w:t>1,</w:t>
      </w:r>
      <w:r>
        <w:rPr>
          <w:spacing w:val="-12"/>
        </w:rPr>
        <w:t> </w:t>
      </w:r>
      <w:r>
        <w:rPr/>
        <w:t>2017,</w:t>
      </w:r>
      <w:r>
        <w:rPr>
          <w:spacing w:val="-13"/>
        </w:rPr>
        <w:t> </w:t>
      </w:r>
      <w:r>
        <w:rPr/>
        <w:t>we</w:t>
      </w:r>
      <w:r>
        <w:rPr>
          <w:spacing w:val="-12"/>
        </w:rPr>
        <w:t> </w:t>
      </w:r>
      <w:r>
        <w:rPr/>
        <w:t>had</w:t>
      </w:r>
      <w:r>
        <w:rPr>
          <w:spacing w:val="-13"/>
        </w:rPr>
        <w:t> </w:t>
      </w:r>
      <w:r>
        <w:rPr/>
        <w:t>unbilled</w:t>
      </w:r>
      <w:r>
        <w:rPr>
          <w:spacing w:val="-12"/>
        </w:rPr>
        <w:t> </w:t>
      </w:r>
      <w:r>
        <w:rPr/>
        <w:t>deferred</w:t>
      </w:r>
      <w:r>
        <w:rPr>
          <w:spacing w:val="-13"/>
        </w:rPr>
        <w:t> </w:t>
      </w:r>
      <w:r>
        <w:rPr/>
        <w:t>revenue</w:t>
      </w:r>
      <w:r>
        <w:rPr>
          <w:spacing w:val="-12"/>
        </w:rPr>
        <w:t> </w:t>
      </w:r>
      <w:r>
        <w:rPr/>
        <w:t>backlog</w:t>
      </w:r>
      <w:r>
        <w:rPr>
          <w:spacing w:val="-13"/>
        </w:rPr>
        <w:t> </w:t>
      </w:r>
      <w:r>
        <w:rPr/>
        <w:t>of</w:t>
      </w:r>
      <w:r>
        <w:rPr>
          <w:spacing w:val="-12"/>
        </w:rPr>
        <w:t> </w:t>
      </w:r>
      <w:r>
        <w:rPr/>
        <w:t>approximately</w:t>
      </w:r>
      <w:r>
        <w:rPr>
          <w:spacing w:val="-13"/>
        </w:rPr>
        <w:t> </w:t>
      </w:r>
      <w:r>
        <w:rPr/>
        <w:t>$3.94</w:t>
      </w:r>
      <w:r>
        <w:rPr>
          <w:spacing w:val="-12"/>
        </w:rPr>
        <w:t> </w:t>
      </w:r>
      <w:r>
        <w:rPr/>
        <w:t>billion</w:t>
      </w:r>
      <w:r>
        <w:rPr>
          <w:spacing w:val="-13"/>
        </w:rPr>
        <w:t> </w:t>
      </w:r>
      <w:r>
        <w:rPr/>
        <w:t>of</w:t>
      </w:r>
      <w:r>
        <w:rPr>
          <w:spacing w:val="-12"/>
        </w:rPr>
        <w:t> </w:t>
      </w:r>
      <w:r>
        <w:rPr/>
        <w:t>which</w:t>
      </w:r>
      <w:r>
        <w:rPr>
          <w:spacing w:val="-13"/>
        </w:rPr>
        <w:t> </w:t>
      </w:r>
      <w:r>
        <w:rPr/>
        <w:t>approximately</w:t>
      </w:r>
      <w:r>
        <w:rPr>
          <w:spacing w:val="-12"/>
        </w:rPr>
        <w:t> </w:t>
      </w:r>
      <w:r>
        <w:rPr/>
        <w:t>40%</w:t>
      </w:r>
      <w:r>
        <w:rPr>
          <w:spacing w:val="-13"/>
        </w:rPr>
        <w:t> </w:t>
      </w:r>
      <w:r>
        <w:rPr/>
        <w:t>to</w:t>
      </w:r>
      <w:r>
        <w:rPr>
          <w:spacing w:val="-12"/>
        </w:rPr>
        <w:t> </w:t>
      </w:r>
      <w:r>
        <w:rPr/>
        <w:t>50% is not reasonably expected to be billed during fiscal 2018. Comparatively, we had unbilled deferred revenue backlog of approximately $3.42 billion as of December</w:t>
      </w:r>
      <w:r>
        <w:rPr>
          <w:spacing w:val="-2"/>
        </w:rPr>
        <w:t> </w:t>
      </w:r>
      <w:r>
        <w:rPr/>
        <w:t>2, 2016, of which approximately 40% to 50% was not reasonably expected to be billed during fiscal 2017.</w:t>
      </w:r>
    </w:p>
    <w:p>
      <w:pPr>
        <w:pStyle w:val="BodyText"/>
        <w:spacing w:before="18"/>
      </w:pPr>
    </w:p>
    <w:p>
      <w:pPr>
        <w:pStyle w:val="BodyText"/>
        <w:spacing w:line="249" w:lineRule="auto"/>
        <w:ind w:left="220" w:right="257" w:firstLine="540"/>
        <w:jc w:val="both"/>
      </w:pPr>
      <w:r>
        <w:rPr/>
        <w:t>We</w:t>
      </w:r>
      <w:r>
        <w:rPr>
          <w:spacing w:val="-1"/>
        </w:rPr>
        <w:t> </w:t>
      </w:r>
      <w:r>
        <w:rPr/>
        <w:t>expect</w:t>
      </w:r>
      <w:r>
        <w:rPr>
          <w:spacing w:val="-2"/>
        </w:rPr>
        <w:t> </w:t>
      </w:r>
      <w:r>
        <w:rPr/>
        <w:t>that</w:t>
      </w:r>
      <w:r>
        <w:rPr>
          <w:spacing w:val="-1"/>
        </w:rPr>
        <w:t> </w:t>
      </w:r>
      <w:r>
        <w:rPr/>
        <w:t>the</w:t>
      </w:r>
      <w:r>
        <w:rPr>
          <w:spacing w:val="-1"/>
        </w:rPr>
        <w:t> </w:t>
      </w:r>
      <w:r>
        <w:rPr/>
        <w:t>amount</w:t>
      </w:r>
      <w:r>
        <w:rPr>
          <w:spacing w:val="-2"/>
        </w:rPr>
        <w:t> </w:t>
      </w:r>
      <w:r>
        <w:rPr/>
        <w:t>of</w:t>
      </w:r>
      <w:r>
        <w:rPr>
          <w:spacing w:val="-1"/>
        </w:rPr>
        <w:t> </w:t>
      </w:r>
      <w:r>
        <w:rPr/>
        <w:t>unbilled</w:t>
      </w:r>
      <w:r>
        <w:rPr>
          <w:spacing w:val="-1"/>
        </w:rPr>
        <w:t> </w:t>
      </w:r>
      <w:r>
        <w:rPr/>
        <w:t>deferred</w:t>
      </w:r>
      <w:r>
        <w:rPr>
          <w:spacing w:val="-1"/>
        </w:rPr>
        <w:t> </w:t>
      </w:r>
      <w:r>
        <w:rPr/>
        <w:t>revenue</w:t>
      </w:r>
      <w:r>
        <w:rPr>
          <w:spacing w:val="-2"/>
        </w:rPr>
        <w:t> </w:t>
      </w:r>
      <w:r>
        <w:rPr/>
        <w:t>backlog</w:t>
      </w:r>
      <w:r>
        <w:rPr>
          <w:spacing w:val="-1"/>
        </w:rPr>
        <w:t> </w:t>
      </w:r>
      <w:r>
        <w:rPr/>
        <w:t>will</w:t>
      </w:r>
      <w:r>
        <w:rPr>
          <w:spacing w:val="-1"/>
        </w:rPr>
        <w:t> </w:t>
      </w:r>
      <w:r>
        <w:rPr/>
        <w:t>change</w:t>
      </w:r>
      <w:r>
        <w:rPr>
          <w:spacing w:val="-2"/>
        </w:rPr>
        <w:t> </w:t>
      </w:r>
      <w:r>
        <w:rPr/>
        <w:t>from</w:t>
      </w:r>
      <w:r>
        <w:rPr>
          <w:spacing w:val="-1"/>
        </w:rPr>
        <w:t> </w:t>
      </w:r>
      <w:r>
        <w:rPr/>
        <w:t>period</w:t>
      </w:r>
      <w:r>
        <w:rPr>
          <w:spacing w:val="-1"/>
        </w:rPr>
        <w:t> </w:t>
      </w:r>
      <w:r>
        <w:rPr/>
        <w:t>to</w:t>
      </w:r>
      <w:r>
        <w:rPr>
          <w:spacing w:val="-1"/>
        </w:rPr>
        <w:t> </w:t>
      </w:r>
      <w:r>
        <w:rPr/>
        <w:t>period</w:t>
      </w:r>
      <w:r>
        <w:rPr>
          <w:spacing w:val="-1"/>
        </w:rPr>
        <w:t> </w:t>
      </w:r>
      <w:r>
        <w:rPr/>
        <w:t>due</w:t>
      </w:r>
      <w:r>
        <w:rPr>
          <w:spacing w:val="-1"/>
        </w:rPr>
        <w:t> </w:t>
      </w:r>
      <w:r>
        <w:rPr/>
        <w:t>to</w:t>
      </w:r>
      <w:r>
        <w:rPr>
          <w:spacing w:val="-1"/>
        </w:rPr>
        <w:t> </w:t>
      </w:r>
      <w:r>
        <w:rPr/>
        <w:t>certain</w:t>
      </w:r>
      <w:r>
        <w:rPr>
          <w:spacing w:val="-1"/>
        </w:rPr>
        <w:t> </w:t>
      </w:r>
      <w:r>
        <w:rPr/>
        <w:t>factors, including</w:t>
      </w:r>
      <w:r>
        <w:rPr>
          <w:spacing w:val="-4"/>
        </w:rPr>
        <w:t> </w:t>
      </w:r>
      <w:r>
        <w:rPr/>
        <w:t>the</w:t>
      </w:r>
      <w:r>
        <w:rPr>
          <w:spacing w:val="-4"/>
        </w:rPr>
        <w:t> </w:t>
      </w:r>
      <w:r>
        <w:rPr/>
        <w:t>timing</w:t>
      </w:r>
      <w:r>
        <w:rPr>
          <w:spacing w:val="-4"/>
        </w:rPr>
        <w:t> </w:t>
      </w:r>
      <w:r>
        <w:rPr/>
        <w:t>and</w:t>
      </w:r>
      <w:r>
        <w:rPr>
          <w:spacing w:val="-4"/>
        </w:rPr>
        <w:t> </w:t>
      </w:r>
      <w:r>
        <w:rPr/>
        <w:t>duration</w:t>
      </w:r>
      <w:r>
        <w:rPr>
          <w:spacing w:val="-4"/>
        </w:rPr>
        <w:t> </w:t>
      </w:r>
      <w:r>
        <w:rPr/>
        <w:t>of</w:t>
      </w:r>
      <w:r>
        <w:rPr>
          <w:spacing w:val="-4"/>
        </w:rPr>
        <w:t> </w:t>
      </w:r>
      <w:r>
        <w:rPr/>
        <w:t>large</w:t>
      </w:r>
      <w:r>
        <w:rPr>
          <w:spacing w:val="-4"/>
        </w:rPr>
        <w:t> </w:t>
      </w:r>
      <w:r>
        <w:rPr/>
        <w:t>customer</w:t>
      </w:r>
      <w:r>
        <w:rPr>
          <w:spacing w:val="-4"/>
        </w:rPr>
        <w:t> </w:t>
      </w:r>
      <w:r>
        <w:rPr/>
        <w:t>subscriptions,</w:t>
      </w:r>
      <w:r>
        <w:rPr>
          <w:spacing w:val="-4"/>
        </w:rPr>
        <w:t> </w:t>
      </w:r>
      <w:r>
        <w:rPr/>
        <w:t>SaaS</w:t>
      </w:r>
      <w:r>
        <w:rPr>
          <w:spacing w:val="-4"/>
        </w:rPr>
        <w:t> </w:t>
      </w:r>
      <w:r>
        <w:rPr/>
        <w:t>and</w:t>
      </w:r>
      <w:r>
        <w:rPr>
          <w:spacing w:val="-4"/>
        </w:rPr>
        <w:t> </w:t>
      </w:r>
      <w:r>
        <w:rPr/>
        <w:t>managed</w:t>
      </w:r>
      <w:r>
        <w:rPr>
          <w:spacing w:val="-4"/>
        </w:rPr>
        <w:t> </w:t>
      </w:r>
      <w:r>
        <w:rPr/>
        <w:t>service</w:t>
      </w:r>
      <w:r>
        <w:rPr>
          <w:spacing w:val="-4"/>
        </w:rPr>
        <w:t> </w:t>
      </w:r>
      <w:r>
        <w:rPr/>
        <w:t>agreements,</w:t>
      </w:r>
      <w:r>
        <w:rPr>
          <w:spacing w:val="-4"/>
        </w:rPr>
        <w:t> </w:t>
      </w:r>
      <w:r>
        <w:rPr/>
        <w:t>varying</w:t>
      </w:r>
      <w:r>
        <w:rPr>
          <w:spacing w:val="-4"/>
        </w:rPr>
        <w:t> </w:t>
      </w:r>
      <w:r>
        <w:rPr/>
        <w:t>billing</w:t>
      </w:r>
      <w:r>
        <w:rPr>
          <w:spacing w:val="-4"/>
        </w:rPr>
        <w:t> </w:t>
      </w:r>
      <w:r>
        <w:rPr/>
        <w:t>cycles </w:t>
      </w:r>
      <w:r>
        <w:rPr>
          <w:spacing w:val="-2"/>
        </w:rPr>
        <w:t>of</w:t>
      </w:r>
      <w:r>
        <w:rPr>
          <w:spacing w:val="-7"/>
        </w:rPr>
        <w:t> </w:t>
      </w:r>
      <w:r>
        <w:rPr>
          <w:spacing w:val="-2"/>
        </w:rPr>
        <w:t>these</w:t>
      </w:r>
      <w:r>
        <w:rPr>
          <w:spacing w:val="-7"/>
        </w:rPr>
        <w:t> </w:t>
      </w:r>
      <w:r>
        <w:rPr>
          <w:spacing w:val="-2"/>
        </w:rPr>
        <w:t>agreements,</w:t>
      </w:r>
      <w:r>
        <w:rPr>
          <w:spacing w:val="-7"/>
        </w:rPr>
        <w:t> </w:t>
      </w:r>
      <w:r>
        <w:rPr>
          <w:spacing w:val="-2"/>
        </w:rPr>
        <w:t>the</w:t>
      </w:r>
      <w:r>
        <w:rPr>
          <w:spacing w:val="-7"/>
        </w:rPr>
        <w:t> </w:t>
      </w:r>
      <w:r>
        <w:rPr>
          <w:spacing w:val="-2"/>
        </w:rPr>
        <w:t>timing</w:t>
      </w:r>
      <w:r>
        <w:rPr>
          <w:spacing w:val="-7"/>
        </w:rPr>
        <w:t> </w:t>
      </w:r>
      <w:r>
        <w:rPr>
          <w:spacing w:val="-2"/>
        </w:rPr>
        <w:t>of</w:t>
      </w:r>
      <w:r>
        <w:rPr>
          <w:spacing w:val="-7"/>
        </w:rPr>
        <w:t> </w:t>
      </w:r>
      <w:r>
        <w:rPr>
          <w:spacing w:val="-2"/>
        </w:rPr>
        <w:t>customer</w:t>
      </w:r>
      <w:r>
        <w:rPr>
          <w:spacing w:val="-7"/>
        </w:rPr>
        <w:t> </w:t>
      </w:r>
      <w:r>
        <w:rPr>
          <w:spacing w:val="-2"/>
        </w:rPr>
        <w:t>renewals,</w:t>
      </w:r>
      <w:r>
        <w:rPr>
          <w:spacing w:val="-7"/>
        </w:rPr>
        <w:t> </w:t>
      </w:r>
      <w:r>
        <w:rPr>
          <w:spacing w:val="-2"/>
        </w:rPr>
        <w:t>the</w:t>
      </w:r>
      <w:r>
        <w:rPr>
          <w:spacing w:val="-7"/>
        </w:rPr>
        <w:t> </w:t>
      </w:r>
      <w:r>
        <w:rPr>
          <w:spacing w:val="-2"/>
        </w:rPr>
        <w:t>timing</w:t>
      </w:r>
      <w:r>
        <w:rPr>
          <w:spacing w:val="-7"/>
        </w:rPr>
        <w:t> </w:t>
      </w:r>
      <w:r>
        <w:rPr>
          <w:spacing w:val="-2"/>
        </w:rPr>
        <w:t>of</w:t>
      </w:r>
      <w:r>
        <w:rPr>
          <w:spacing w:val="-7"/>
        </w:rPr>
        <w:t> </w:t>
      </w:r>
      <w:r>
        <w:rPr>
          <w:spacing w:val="-2"/>
        </w:rPr>
        <w:t>when</w:t>
      </w:r>
      <w:r>
        <w:rPr>
          <w:spacing w:val="-7"/>
        </w:rPr>
        <w:t> </w:t>
      </w:r>
      <w:r>
        <w:rPr>
          <w:spacing w:val="-2"/>
        </w:rPr>
        <w:t>unbilled</w:t>
      </w:r>
      <w:r>
        <w:rPr>
          <w:spacing w:val="-7"/>
        </w:rPr>
        <w:t> </w:t>
      </w:r>
      <w:r>
        <w:rPr>
          <w:spacing w:val="-2"/>
        </w:rPr>
        <w:t>deferred</w:t>
      </w:r>
      <w:r>
        <w:rPr>
          <w:spacing w:val="-7"/>
        </w:rPr>
        <w:t> </w:t>
      </w:r>
      <w:r>
        <w:rPr>
          <w:spacing w:val="-2"/>
        </w:rPr>
        <w:t>revenue</w:t>
      </w:r>
      <w:r>
        <w:rPr>
          <w:spacing w:val="-7"/>
        </w:rPr>
        <w:t> </w:t>
      </w:r>
      <w:r>
        <w:rPr>
          <w:spacing w:val="-2"/>
        </w:rPr>
        <w:t>backlog</w:t>
      </w:r>
      <w:r>
        <w:rPr>
          <w:spacing w:val="-7"/>
        </w:rPr>
        <w:t> </w:t>
      </w:r>
      <w:r>
        <w:rPr>
          <w:spacing w:val="-2"/>
        </w:rPr>
        <w:t>is</w:t>
      </w:r>
      <w:r>
        <w:rPr>
          <w:spacing w:val="-7"/>
        </w:rPr>
        <w:t> </w:t>
      </w:r>
      <w:r>
        <w:rPr>
          <w:spacing w:val="-2"/>
        </w:rPr>
        <w:t>to</w:t>
      </w:r>
      <w:r>
        <w:rPr>
          <w:spacing w:val="-7"/>
        </w:rPr>
        <w:t> </w:t>
      </w:r>
      <w:r>
        <w:rPr>
          <w:spacing w:val="-2"/>
        </w:rPr>
        <w:t>be</w:t>
      </w:r>
      <w:r>
        <w:rPr>
          <w:spacing w:val="-7"/>
        </w:rPr>
        <w:t> </w:t>
      </w:r>
      <w:r>
        <w:rPr>
          <w:spacing w:val="-2"/>
        </w:rPr>
        <w:t>billed,</w:t>
      </w:r>
      <w:r>
        <w:rPr>
          <w:spacing w:val="-7"/>
        </w:rPr>
        <w:t> </w:t>
      </w:r>
      <w:r>
        <w:rPr>
          <w:spacing w:val="-2"/>
        </w:rPr>
        <w:t>changes </w:t>
      </w:r>
      <w:r>
        <w:rPr/>
        <w:t>in customer financial circumstances and foreign currency fluctuations.</w:t>
      </w:r>
      <w:r>
        <w:rPr>
          <w:spacing w:val="-6"/>
        </w:rPr>
        <w:t> </w:t>
      </w:r>
      <w:r>
        <w:rPr/>
        <w:t>Additionally, the unbilled deferred revenue backlog for multi-year</w:t>
      </w:r>
      <w:r>
        <w:rPr>
          <w:spacing w:val="-6"/>
        </w:rPr>
        <w:t> </w:t>
      </w:r>
      <w:r>
        <w:rPr/>
        <w:t>subscription</w:t>
      </w:r>
      <w:r>
        <w:rPr>
          <w:spacing w:val="-6"/>
        </w:rPr>
        <w:t> </w:t>
      </w:r>
      <w:r>
        <w:rPr/>
        <w:t>agreements</w:t>
      </w:r>
      <w:r>
        <w:rPr>
          <w:spacing w:val="-6"/>
        </w:rPr>
        <w:t> </w:t>
      </w:r>
      <w:r>
        <w:rPr/>
        <w:t>that</w:t>
      </w:r>
      <w:r>
        <w:rPr>
          <w:spacing w:val="-6"/>
        </w:rPr>
        <w:t> </w:t>
      </w:r>
      <w:r>
        <w:rPr/>
        <w:t>are</w:t>
      </w:r>
      <w:r>
        <w:rPr>
          <w:spacing w:val="-6"/>
        </w:rPr>
        <w:t> </w:t>
      </w:r>
      <w:r>
        <w:rPr/>
        <w:t>billed</w:t>
      </w:r>
      <w:r>
        <w:rPr>
          <w:spacing w:val="-6"/>
        </w:rPr>
        <w:t> </w:t>
      </w:r>
      <w:r>
        <w:rPr/>
        <w:t>annually</w:t>
      </w:r>
      <w:r>
        <w:rPr>
          <w:spacing w:val="-6"/>
        </w:rPr>
        <w:t> </w:t>
      </w:r>
      <w:r>
        <w:rPr/>
        <w:t>is</w:t>
      </w:r>
      <w:r>
        <w:rPr>
          <w:spacing w:val="-6"/>
        </w:rPr>
        <w:t> </w:t>
      </w:r>
      <w:r>
        <w:rPr/>
        <w:t>typically</w:t>
      </w:r>
      <w:r>
        <w:rPr>
          <w:spacing w:val="-6"/>
        </w:rPr>
        <w:t> </w:t>
      </w:r>
      <w:r>
        <w:rPr/>
        <w:t>higher</w:t>
      </w:r>
      <w:r>
        <w:rPr>
          <w:spacing w:val="-6"/>
        </w:rPr>
        <w:t> </w:t>
      </w:r>
      <w:r>
        <w:rPr/>
        <w:t>at</w:t>
      </w:r>
      <w:r>
        <w:rPr>
          <w:spacing w:val="-6"/>
        </w:rPr>
        <w:t> </w:t>
      </w:r>
      <w:r>
        <w:rPr/>
        <w:t>the</w:t>
      </w:r>
      <w:r>
        <w:rPr>
          <w:spacing w:val="-6"/>
        </w:rPr>
        <w:t> </w:t>
      </w:r>
      <w:r>
        <w:rPr/>
        <w:t>beginning</w:t>
      </w:r>
      <w:r>
        <w:rPr>
          <w:spacing w:val="-6"/>
        </w:rPr>
        <w:t> </w:t>
      </w:r>
      <w:r>
        <w:rPr/>
        <w:t>of</w:t>
      </w:r>
      <w:r>
        <w:rPr>
          <w:spacing w:val="-6"/>
        </w:rPr>
        <w:t> </w:t>
      </w:r>
      <w:r>
        <w:rPr/>
        <w:t>the</w:t>
      </w:r>
      <w:r>
        <w:rPr>
          <w:spacing w:val="-6"/>
        </w:rPr>
        <w:t> </w:t>
      </w:r>
      <w:r>
        <w:rPr/>
        <w:t>contract</w:t>
      </w:r>
      <w:r>
        <w:rPr>
          <w:spacing w:val="-6"/>
        </w:rPr>
        <w:t> </w:t>
      </w:r>
      <w:r>
        <w:rPr/>
        <w:t>period,</w:t>
      </w:r>
      <w:r>
        <w:rPr>
          <w:spacing w:val="-6"/>
        </w:rPr>
        <w:t> </w:t>
      </w:r>
      <w:r>
        <w:rPr/>
        <w:t>lower</w:t>
      </w:r>
      <w:r>
        <w:rPr>
          <w:spacing w:val="-6"/>
        </w:rPr>
        <w:t> </w:t>
      </w:r>
      <w:r>
        <w:rPr/>
        <w:t>prior to</w:t>
      </w:r>
      <w:r>
        <w:rPr>
          <w:spacing w:val="-13"/>
        </w:rPr>
        <w:t> </w:t>
      </w:r>
      <w:r>
        <w:rPr/>
        <w:t>renewal</w:t>
      </w:r>
      <w:r>
        <w:rPr>
          <w:spacing w:val="-12"/>
        </w:rPr>
        <w:t> </w:t>
      </w:r>
      <w:r>
        <w:rPr/>
        <w:t>and</w:t>
      </w:r>
      <w:r>
        <w:rPr>
          <w:spacing w:val="-13"/>
        </w:rPr>
        <w:t> </w:t>
      </w:r>
      <w:r>
        <w:rPr/>
        <w:t>typically</w:t>
      </w:r>
      <w:r>
        <w:rPr>
          <w:spacing w:val="-12"/>
        </w:rPr>
        <w:t> </w:t>
      </w:r>
      <w:r>
        <w:rPr/>
        <w:t>increases</w:t>
      </w:r>
      <w:r>
        <w:rPr>
          <w:spacing w:val="-13"/>
        </w:rPr>
        <w:t> </w:t>
      </w:r>
      <w:r>
        <w:rPr/>
        <w:t>when</w:t>
      </w:r>
      <w:r>
        <w:rPr>
          <w:spacing w:val="-12"/>
        </w:rPr>
        <w:t> </w:t>
      </w:r>
      <w:r>
        <w:rPr/>
        <w:t>the</w:t>
      </w:r>
      <w:r>
        <w:rPr>
          <w:spacing w:val="-13"/>
        </w:rPr>
        <w:t> </w:t>
      </w:r>
      <w:r>
        <w:rPr/>
        <w:t>agreement</w:t>
      </w:r>
      <w:r>
        <w:rPr>
          <w:spacing w:val="-12"/>
        </w:rPr>
        <w:t> </w:t>
      </w:r>
      <w:r>
        <w:rPr/>
        <w:t>is</w:t>
      </w:r>
      <w:r>
        <w:rPr>
          <w:spacing w:val="-13"/>
        </w:rPr>
        <w:t> </w:t>
      </w:r>
      <w:r>
        <w:rPr/>
        <w:t>renewed.</w:t>
      </w:r>
      <w:r>
        <w:rPr>
          <w:spacing w:val="-12"/>
        </w:rPr>
        <w:t> </w:t>
      </w:r>
      <w:r>
        <w:rPr/>
        <w:t>Accordingly,</w:t>
      </w:r>
      <w:r>
        <w:rPr>
          <w:spacing w:val="-13"/>
        </w:rPr>
        <w:t> </w:t>
      </w:r>
      <w:r>
        <w:rPr/>
        <w:t>fluctuations</w:t>
      </w:r>
      <w:r>
        <w:rPr>
          <w:spacing w:val="-12"/>
        </w:rPr>
        <w:t> </w:t>
      </w:r>
      <w:r>
        <w:rPr/>
        <w:t>in</w:t>
      </w:r>
      <w:r>
        <w:rPr>
          <w:spacing w:val="-13"/>
        </w:rPr>
        <w:t> </w:t>
      </w:r>
      <w:r>
        <w:rPr/>
        <w:t>unbilled</w:t>
      </w:r>
      <w:r>
        <w:rPr>
          <w:spacing w:val="-12"/>
        </w:rPr>
        <w:t> </w:t>
      </w:r>
      <w:r>
        <w:rPr/>
        <w:t>deferred</w:t>
      </w:r>
      <w:r>
        <w:rPr>
          <w:spacing w:val="-13"/>
        </w:rPr>
        <w:t> </w:t>
      </w:r>
      <w:r>
        <w:rPr/>
        <w:t>revenue</w:t>
      </w:r>
      <w:r>
        <w:rPr>
          <w:spacing w:val="-12"/>
        </w:rPr>
        <w:t> </w:t>
      </w:r>
      <w:r>
        <w:rPr/>
        <w:t>backlog </w:t>
      </w:r>
      <w:r>
        <w:rPr>
          <w:spacing w:val="-2"/>
        </w:rPr>
        <w:t>may</w:t>
      </w:r>
      <w:r>
        <w:rPr>
          <w:spacing w:val="-4"/>
        </w:rPr>
        <w:t> </w:t>
      </w:r>
      <w:r>
        <w:rPr>
          <w:spacing w:val="-2"/>
        </w:rPr>
        <w:t>not</w:t>
      </w:r>
      <w:r>
        <w:rPr>
          <w:spacing w:val="-5"/>
        </w:rPr>
        <w:t> </w:t>
      </w:r>
      <w:r>
        <w:rPr>
          <w:spacing w:val="-2"/>
        </w:rPr>
        <w:t>be</w:t>
      </w:r>
      <w:r>
        <w:rPr>
          <w:spacing w:val="-3"/>
        </w:rPr>
        <w:t> </w:t>
      </w:r>
      <w:r>
        <w:rPr>
          <w:spacing w:val="-2"/>
        </w:rPr>
        <w:t>a</w:t>
      </w:r>
      <w:r>
        <w:rPr>
          <w:spacing w:val="-4"/>
        </w:rPr>
        <w:t> </w:t>
      </w:r>
      <w:r>
        <w:rPr>
          <w:spacing w:val="-2"/>
        </w:rPr>
        <w:t>reliable</w:t>
      </w:r>
      <w:r>
        <w:rPr>
          <w:spacing w:val="-4"/>
        </w:rPr>
        <w:t> </w:t>
      </w:r>
      <w:r>
        <w:rPr>
          <w:spacing w:val="-2"/>
        </w:rPr>
        <w:t>indicator</w:t>
      </w:r>
      <w:r>
        <w:rPr>
          <w:spacing w:val="-5"/>
        </w:rPr>
        <w:t> </w:t>
      </w:r>
      <w:r>
        <w:rPr>
          <w:spacing w:val="-2"/>
        </w:rPr>
        <w:t>of</w:t>
      </w:r>
      <w:r>
        <w:rPr>
          <w:spacing w:val="-4"/>
        </w:rPr>
        <w:t> </w:t>
      </w:r>
      <w:r>
        <w:rPr>
          <w:spacing w:val="-2"/>
        </w:rPr>
        <w:t>future</w:t>
      </w:r>
      <w:r>
        <w:rPr>
          <w:spacing w:val="-5"/>
        </w:rPr>
        <w:t> </w:t>
      </w:r>
      <w:r>
        <w:rPr>
          <w:spacing w:val="-2"/>
        </w:rPr>
        <w:t>business</w:t>
      </w:r>
      <w:r>
        <w:rPr>
          <w:spacing w:val="-3"/>
        </w:rPr>
        <w:t> </w:t>
      </w:r>
      <w:r>
        <w:rPr>
          <w:spacing w:val="-2"/>
        </w:rPr>
        <w:t>prospects</w:t>
      </w:r>
      <w:r>
        <w:rPr>
          <w:spacing w:val="-3"/>
        </w:rPr>
        <w:t> </w:t>
      </w:r>
      <w:r>
        <w:rPr>
          <w:spacing w:val="-2"/>
        </w:rPr>
        <w:t>and</w:t>
      </w:r>
      <w:r>
        <w:rPr>
          <w:spacing w:val="-4"/>
        </w:rPr>
        <w:t> </w:t>
      </w:r>
      <w:r>
        <w:rPr>
          <w:spacing w:val="-2"/>
        </w:rPr>
        <w:t>the</w:t>
      </w:r>
      <w:r>
        <w:rPr>
          <w:spacing w:val="-3"/>
        </w:rPr>
        <w:t> </w:t>
      </w:r>
      <w:r>
        <w:rPr>
          <w:spacing w:val="-2"/>
        </w:rPr>
        <w:t>related</w:t>
      </w:r>
      <w:r>
        <w:rPr>
          <w:spacing w:val="-5"/>
        </w:rPr>
        <w:t> </w:t>
      </w:r>
      <w:r>
        <w:rPr>
          <w:spacing w:val="-2"/>
        </w:rPr>
        <w:t>revenue</w:t>
      </w:r>
      <w:r>
        <w:rPr>
          <w:spacing w:val="-5"/>
        </w:rPr>
        <w:t> </w:t>
      </w:r>
      <w:r>
        <w:rPr>
          <w:spacing w:val="-2"/>
        </w:rPr>
        <w:t>associated</w:t>
      </w:r>
      <w:r>
        <w:rPr>
          <w:spacing w:val="-3"/>
        </w:rPr>
        <w:t> </w:t>
      </w:r>
      <w:r>
        <w:rPr>
          <w:spacing w:val="-2"/>
        </w:rPr>
        <w:t>with</w:t>
      </w:r>
      <w:r>
        <w:rPr>
          <w:spacing w:val="-4"/>
        </w:rPr>
        <w:t> </w:t>
      </w:r>
      <w:r>
        <w:rPr>
          <w:spacing w:val="-2"/>
        </w:rPr>
        <w:t>these</w:t>
      </w:r>
      <w:r>
        <w:rPr>
          <w:spacing w:val="-5"/>
        </w:rPr>
        <w:t> </w:t>
      </w:r>
      <w:r>
        <w:rPr>
          <w:spacing w:val="-2"/>
        </w:rPr>
        <w:t>contractual</w:t>
      </w:r>
      <w:r>
        <w:rPr>
          <w:spacing w:val="-4"/>
        </w:rPr>
        <w:t> </w:t>
      </w:r>
      <w:r>
        <w:rPr>
          <w:spacing w:val="-2"/>
        </w:rPr>
        <w:t>commitments.</w:t>
      </w:r>
    </w:p>
    <w:p>
      <w:pPr>
        <w:spacing w:after="0" w:line="249" w:lineRule="auto"/>
        <w:jc w:val="both"/>
        <w:sectPr>
          <w:type w:val="continuous"/>
          <w:pgSz w:w="12240" w:h="15840"/>
          <w:pgMar w:header="210" w:footer="579" w:top="680" w:bottom="280" w:left="780" w:right="740"/>
        </w:sectPr>
      </w:pPr>
    </w:p>
    <w:p>
      <w:pPr>
        <w:pStyle w:val="BodyText"/>
        <w:spacing w:before="155"/>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0"/>
        <w:gridCol w:w="1140"/>
        <w:gridCol w:w="1180"/>
        <w:gridCol w:w="1100"/>
        <w:gridCol w:w="1303"/>
        <w:gridCol w:w="1056"/>
      </w:tblGrid>
      <w:tr>
        <w:trPr>
          <w:trHeight w:val="412" w:hRule="atLeast"/>
        </w:trPr>
        <w:tc>
          <w:tcPr>
            <w:tcW w:w="4480" w:type="dxa"/>
          </w:tcPr>
          <w:p>
            <w:pPr>
              <w:pStyle w:val="TableParagraph"/>
              <w:spacing w:line="221" w:lineRule="exact"/>
              <w:ind w:left="10"/>
              <w:rPr>
                <w:b/>
                <w:sz w:val="20"/>
              </w:rPr>
            </w:pPr>
            <w:bookmarkStart w:name="Cost of Revenue" w:id="43"/>
            <w:bookmarkEnd w:id="43"/>
            <w:r>
              <w:rPr/>
            </w:r>
            <w:r>
              <w:rPr>
                <w:b/>
                <w:sz w:val="20"/>
              </w:rPr>
              <w:t>Cost</w:t>
            </w:r>
            <w:r>
              <w:rPr>
                <w:b/>
                <w:spacing w:val="-2"/>
                <w:sz w:val="20"/>
              </w:rPr>
              <w:t> </w:t>
            </w:r>
            <w:r>
              <w:rPr>
                <w:b/>
                <w:sz w:val="20"/>
              </w:rPr>
              <w:t>of</w:t>
            </w:r>
            <w:r>
              <w:rPr>
                <w:b/>
                <w:spacing w:val="-2"/>
                <w:sz w:val="20"/>
              </w:rPr>
              <w:t> </w:t>
            </w:r>
            <w:r>
              <w:rPr>
                <w:b/>
                <w:sz w:val="20"/>
              </w:rPr>
              <w:t>Revenue</w:t>
            </w:r>
            <w:r>
              <w:rPr>
                <w:b/>
                <w:spacing w:val="-1"/>
                <w:sz w:val="20"/>
              </w:rPr>
              <w:t> </w:t>
            </w:r>
            <w:r>
              <w:rPr>
                <w:b/>
                <w:sz w:val="20"/>
              </w:rPr>
              <w:t>(dollars</w:t>
            </w:r>
            <w:r>
              <w:rPr>
                <w:b/>
                <w:spacing w:val="-3"/>
                <w:sz w:val="20"/>
              </w:rPr>
              <w:t> </w:t>
            </w:r>
            <w:r>
              <w:rPr>
                <w:b/>
                <w:sz w:val="20"/>
              </w:rPr>
              <w:t>in</w:t>
            </w:r>
            <w:r>
              <w:rPr>
                <w:b/>
                <w:spacing w:val="-2"/>
                <w:sz w:val="20"/>
              </w:rPr>
              <w:t> millions)</w:t>
            </w:r>
          </w:p>
        </w:tc>
        <w:tc>
          <w:tcPr>
            <w:tcW w:w="5779" w:type="dxa"/>
            <w:gridSpan w:val="5"/>
          </w:tcPr>
          <w:p>
            <w:pPr>
              <w:pStyle w:val="TableParagraph"/>
              <w:rPr>
                <w:sz w:val="18"/>
              </w:rPr>
            </w:pPr>
          </w:p>
        </w:tc>
      </w:tr>
      <w:tr>
        <w:trPr>
          <w:trHeight w:val="359" w:hRule="atLeast"/>
        </w:trPr>
        <w:tc>
          <w:tcPr>
            <w:tcW w:w="4480" w:type="dxa"/>
          </w:tcPr>
          <w:p>
            <w:pPr>
              <w:pStyle w:val="TableParagraph"/>
              <w:rPr>
                <w:sz w:val="18"/>
              </w:rPr>
            </w:pPr>
          </w:p>
        </w:tc>
        <w:tc>
          <w:tcPr>
            <w:tcW w:w="1140" w:type="dxa"/>
          </w:tcPr>
          <w:p>
            <w:pPr>
              <w:pStyle w:val="TableParagraph"/>
              <w:rPr>
                <w:sz w:val="16"/>
              </w:rPr>
            </w:pPr>
          </w:p>
          <w:p>
            <w:pPr>
              <w:pStyle w:val="TableParagraph"/>
              <w:spacing w:line="155" w:lineRule="exact"/>
              <w:ind w:left="330"/>
              <w:rPr>
                <w:b/>
                <w:sz w:val="16"/>
              </w:rPr>
            </w:pPr>
            <w:r>
              <w:rPr>
                <w:b/>
                <w:spacing w:val="-2"/>
                <w:sz w:val="16"/>
              </w:rPr>
              <w:t>Fiscal</w:t>
            </w:r>
          </w:p>
        </w:tc>
        <w:tc>
          <w:tcPr>
            <w:tcW w:w="1180" w:type="dxa"/>
          </w:tcPr>
          <w:p>
            <w:pPr>
              <w:pStyle w:val="TableParagraph"/>
              <w:rPr>
                <w:sz w:val="16"/>
              </w:rPr>
            </w:pPr>
          </w:p>
          <w:p>
            <w:pPr>
              <w:pStyle w:val="TableParagraph"/>
              <w:spacing w:line="155" w:lineRule="exact"/>
              <w:ind w:left="360"/>
              <w:rPr>
                <w:b/>
                <w:sz w:val="16"/>
              </w:rPr>
            </w:pPr>
            <w:r>
              <w:rPr>
                <w:b/>
                <w:spacing w:val="-2"/>
                <w:sz w:val="16"/>
              </w:rPr>
              <w:t>Fiscal</w:t>
            </w:r>
          </w:p>
        </w:tc>
        <w:tc>
          <w:tcPr>
            <w:tcW w:w="1100" w:type="dxa"/>
          </w:tcPr>
          <w:p>
            <w:pPr>
              <w:pStyle w:val="TableParagraph"/>
              <w:rPr>
                <w:sz w:val="16"/>
              </w:rPr>
            </w:pPr>
          </w:p>
          <w:p>
            <w:pPr>
              <w:pStyle w:val="TableParagraph"/>
              <w:spacing w:line="155" w:lineRule="exact"/>
              <w:ind w:left="350"/>
              <w:rPr>
                <w:b/>
                <w:sz w:val="16"/>
              </w:rPr>
            </w:pPr>
            <w:r>
              <w:rPr>
                <w:b/>
                <w:spacing w:val="-2"/>
                <w:sz w:val="16"/>
              </w:rPr>
              <w:t>Fiscal</w:t>
            </w:r>
          </w:p>
        </w:tc>
        <w:tc>
          <w:tcPr>
            <w:tcW w:w="1303" w:type="dxa"/>
          </w:tcPr>
          <w:p>
            <w:pPr>
              <w:pStyle w:val="TableParagraph"/>
              <w:rPr>
                <w:sz w:val="16"/>
              </w:rPr>
            </w:pPr>
          </w:p>
          <w:p>
            <w:pPr>
              <w:pStyle w:val="TableParagraph"/>
              <w:spacing w:line="155" w:lineRule="exact"/>
              <w:ind w:left="257"/>
              <w:rPr>
                <w:b/>
                <w:sz w:val="16"/>
              </w:rPr>
            </w:pPr>
            <w:r>
              <w:rPr>
                <w:b/>
                <w:sz w:val="16"/>
              </w:rPr>
              <w:t>% </w:t>
            </w:r>
            <w:r>
              <w:rPr>
                <w:b/>
                <w:spacing w:val="-2"/>
                <w:sz w:val="16"/>
              </w:rPr>
              <w:t>Change</w:t>
            </w:r>
          </w:p>
        </w:tc>
        <w:tc>
          <w:tcPr>
            <w:tcW w:w="1056" w:type="dxa"/>
          </w:tcPr>
          <w:p>
            <w:pPr>
              <w:pStyle w:val="TableParagraph"/>
              <w:rPr>
                <w:sz w:val="16"/>
              </w:rPr>
            </w:pPr>
          </w:p>
          <w:p>
            <w:pPr>
              <w:pStyle w:val="TableParagraph"/>
              <w:spacing w:line="155" w:lineRule="exact"/>
              <w:ind w:left="134"/>
              <w:rPr>
                <w:b/>
                <w:sz w:val="16"/>
              </w:rPr>
            </w:pPr>
            <w:r>
              <w:rPr>
                <w:b/>
                <w:sz w:val="16"/>
              </w:rPr>
              <w:t>% </w:t>
            </w:r>
            <w:r>
              <w:rPr>
                <w:b/>
                <w:spacing w:val="-2"/>
                <w:sz w:val="16"/>
              </w:rPr>
              <w:t>Change</w:t>
            </w:r>
          </w:p>
        </w:tc>
      </w:tr>
      <w:tr>
        <w:trPr>
          <w:trHeight w:val="205" w:hRule="atLeast"/>
        </w:trPr>
        <w:tc>
          <w:tcPr>
            <w:tcW w:w="4480" w:type="dxa"/>
          </w:tcPr>
          <w:p>
            <w:pPr>
              <w:pStyle w:val="TableParagraph"/>
              <w:rPr>
                <w:sz w:val="14"/>
              </w:rPr>
            </w:pPr>
          </w:p>
        </w:tc>
        <w:tc>
          <w:tcPr>
            <w:tcW w:w="1140" w:type="dxa"/>
            <w:tcBorders>
              <w:bottom w:val="single" w:sz="8" w:space="0" w:color="000000"/>
            </w:tcBorders>
          </w:tcPr>
          <w:p>
            <w:pPr>
              <w:pStyle w:val="TableParagraph"/>
              <w:spacing w:line="169" w:lineRule="exact"/>
              <w:ind w:left="370"/>
              <w:rPr>
                <w:b/>
                <w:sz w:val="16"/>
              </w:rPr>
            </w:pPr>
            <w:r>
              <w:rPr>
                <w:b/>
                <w:spacing w:val="-4"/>
                <w:sz w:val="16"/>
              </w:rPr>
              <w:t>2017</w:t>
            </w:r>
          </w:p>
        </w:tc>
        <w:tc>
          <w:tcPr>
            <w:tcW w:w="1180" w:type="dxa"/>
            <w:tcBorders>
              <w:bottom w:val="single" w:sz="8" w:space="0" w:color="000000"/>
            </w:tcBorders>
          </w:tcPr>
          <w:p>
            <w:pPr>
              <w:pStyle w:val="TableParagraph"/>
              <w:spacing w:line="169" w:lineRule="exact"/>
              <w:ind w:left="8" w:right="67"/>
              <w:jc w:val="center"/>
              <w:rPr>
                <w:b/>
                <w:sz w:val="16"/>
              </w:rPr>
            </w:pPr>
            <w:r>
              <w:rPr>
                <w:b/>
                <w:spacing w:val="-4"/>
                <w:sz w:val="16"/>
              </w:rPr>
              <w:t>2016</w:t>
            </w:r>
          </w:p>
        </w:tc>
        <w:tc>
          <w:tcPr>
            <w:tcW w:w="1100" w:type="dxa"/>
            <w:tcBorders>
              <w:bottom w:val="single" w:sz="8" w:space="0" w:color="000000"/>
            </w:tcBorders>
          </w:tcPr>
          <w:p>
            <w:pPr>
              <w:pStyle w:val="TableParagraph"/>
              <w:spacing w:line="169" w:lineRule="exact"/>
              <w:jc w:val="center"/>
              <w:rPr>
                <w:b/>
                <w:sz w:val="16"/>
              </w:rPr>
            </w:pPr>
            <w:r>
              <w:rPr>
                <w:b/>
                <w:spacing w:val="-4"/>
                <w:sz w:val="16"/>
              </w:rPr>
              <w:t>2015</w:t>
            </w:r>
          </w:p>
        </w:tc>
        <w:tc>
          <w:tcPr>
            <w:tcW w:w="1303" w:type="dxa"/>
            <w:tcBorders>
              <w:bottom w:val="single" w:sz="8" w:space="0" w:color="000000"/>
            </w:tcBorders>
          </w:tcPr>
          <w:p>
            <w:pPr>
              <w:pStyle w:val="TableParagraph"/>
              <w:spacing w:line="169" w:lineRule="exact"/>
              <w:ind w:left="272"/>
              <w:rPr>
                <w:b/>
                <w:sz w:val="16"/>
              </w:rPr>
            </w:pPr>
            <w:r>
              <w:rPr>
                <w:b/>
                <w:sz w:val="16"/>
              </w:rPr>
              <w:t>2017-</w:t>
            </w:r>
            <w:r>
              <w:rPr>
                <w:b/>
                <w:spacing w:val="-4"/>
                <w:sz w:val="16"/>
              </w:rPr>
              <w:t>2016</w:t>
            </w:r>
          </w:p>
        </w:tc>
        <w:tc>
          <w:tcPr>
            <w:tcW w:w="1056" w:type="dxa"/>
            <w:tcBorders>
              <w:bottom w:val="single" w:sz="8" w:space="0" w:color="000000"/>
            </w:tcBorders>
          </w:tcPr>
          <w:p>
            <w:pPr>
              <w:pStyle w:val="TableParagraph"/>
              <w:spacing w:line="169" w:lineRule="exact"/>
              <w:ind w:left="150"/>
              <w:rPr>
                <w:b/>
                <w:sz w:val="16"/>
              </w:rPr>
            </w:pPr>
            <w:r>
              <w:rPr>
                <w:b/>
                <w:sz w:val="16"/>
              </w:rPr>
              <w:t>2016-</w:t>
            </w:r>
            <w:r>
              <w:rPr>
                <w:b/>
                <w:spacing w:val="-4"/>
                <w:sz w:val="16"/>
              </w:rPr>
              <w:t>2015</w:t>
            </w:r>
          </w:p>
        </w:tc>
      </w:tr>
      <w:tr>
        <w:trPr>
          <w:trHeight w:val="270" w:hRule="atLeast"/>
        </w:trPr>
        <w:tc>
          <w:tcPr>
            <w:tcW w:w="4480" w:type="dxa"/>
            <w:shd w:val="clear" w:color="auto" w:fill="CCEDFF"/>
          </w:tcPr>
          <w:p>
            <w:pPr>
              <w:pStyle w:val="TableParagraph"/>
              <w:spacing w:line="222" w:lineRule="exact"/>
              <w:ind w:left="70"/>
              <w:rPr>
                <w:sz w:val="20"/>
              </w:rPr>
            </w:pPr>
            <w:r>
              <w:rPr>
                <w:spacing w:val="-2"/>
                <w:sz w:val="20"/>
              </w:rPr>
              <w:t>Subscription</w:t>
            </w:r>
          </w:p>
        </w:tc>
        <w:tc>
          <w:tcPr>
            <w:tcW w:w="1140" w:type="dxa"/>
            <w:tcBorders>
              <w:top w:val="single" w:sz="8" w:space="0" w:color="000000"/>
            </w:tcBorders>
            <w:shd w:val="clear" w:color="auto" w:fill="CCEDFF"/>
          </w:tcPr>
          <w:p>
            <w:pPr>
              <w:pStyle w:val="TableParagraph"/>
              <w:tabs>
                <w:tab w:pos="452" w:val="left" w:leader="none"/>
              </w:tabs>
              <w:spacing w:line="222" w:lineRule="exact"/>
              <w:ind w:left="50"/>
              <w:rPr>
                <w:sz w:val="20"/>
              </w:rPr>
            </w:pPr>
            <w:r>
              <w:rPr>
                <w:spacing w:val="-10"/>
                <w:sz w:val="20"/>
              </w:rPr>
              <w:t>$</w:t>
            </w:r>
            <w:r>
              <w:rPr>
                <w:sz w:val="20"/>
              </w:rPr>
              <w:tab/>
            </w:r>
            <w:r>
              <w:rPr>
                <w:spacing w:val="-2"/>
                <w:sz w:val="20"/>
              </w:rPr>
              <w:t>623.0</w:t>
            </w:r>
          </w:p>
        </w:tc>
        <w:tc>
          <w:tcPr>
            <w:tcW w:w="1180" w:type="dxa"/>
            <w:tcBorders>
              <w:top w:val="single" w:sz="8" w:space="0" w:color="000000"/>
            </w:tcBorders>
            <w:shd w:val="clear" w:color="auto" w:fill="CCEDFF"/>
          </w:tcPr>
          <w:p>
            <w:pPr>
              <w:pStyle w:val="TableParagraph"/>
              <w:tabs>
                <w:tab w:pos="492" w:val="left" w:leader="none"/>
              </w:tabs>
              <w:spacing w:line="222" w:lineRule="exact"/>
              <w:ind w:left="70"/>
              <w:rPr>
                <w:sz w:val="20"/>
              </w:rPr>
            </w:pPr>
            <w:r>
              <w:rPr>
                <w:spacing w:val="-10"/>
                <w:sz w:val="20"/>
              </w:rPr>
              <w:t>$</w:t>
            </w:r>
            <w:r>
              <w:rPr>
                <w:sz w:val="20"/>
              </w:rPr>
              <w:tab/>
            </w:r>
            <w:r>
              <w:rPr>
                <w:spacing w:val="-2"/>
                <w:sz w:val="20"/>
              </w:rPr>
              <w:t>461.9</w:t>
            </w:r>
          </w:p>
        </w:tc>
        <w:tc>
          <w:tcPr>
            <w:tcW w:w="1100" w:type="dxa"/>
            <w:tcBorders>
              <w:top w:val="single" w:sz="8" w:space="0" w:color="000000"/>
            </w:tcBorders>
            <w:shd w:val="clear" w:color="auto" w:fill="CCEDFF"/>
          </w:tcPr>
          <w:p>
            <w:pPr>
              <w:pStyle w:val="TableParagraph"/>
              <w:tabs>
                <w:tab w:pos="472" w:val="left" w:leader="none"/>
              </w:tabs>
              <w:spacing w:line="222" w:lineRule="exact"/>
              <w:ind w:left="70"/>
              <w:rPr>
                <w:sz w:val="20"/>
              </w:rPr>
            </w:pPr>
            <w:r>
              <w:rPr>
                <w:spacing w:val="-10"/>
                <w:sz w:val="20"/>
              </w:rPr>
              <w:t>$</w:t>
            </w:r>
            <w:r>
              <w:rPr>
                <w:sz w:val="20"/>
              </w:rPr>
              <w:tab/>
            </w:r>
            <w:r>
              <w:rPr>
                <w:spacing w:val="-2"/>
                <w:sz w:val="20"/>
              </w:rPr>
              <w:t>409.2</w:t>
            </w:r>
          </w:p>
        </w:tc>
        <w:tc>
          <w:tcPr>
            <w:tcW w:w="1303" w:type="dxa"/>
            <w:tcBorders>
              <w:top w:val="single" w:sz="8" w:space="0" w:color="000000"/>
            </w:tcBorders>
            <w:shd w:val="clear" w:color="auto" w:fill="CCEDFF"/>
          </w:tcPr>
          <w:p>
            <w:pPr>
              <w:pStyle w:val="TableParagraph"/>
              <w:spacing w:line="222" w:lineRule="exact"/>
              <w:ind w:right="131"/>
              <w:jc w:val="right"/>
              <w:rPr>
                <w:sz w:val="20"/>
              </w:rPr>
            </w:pPr>
            <w:r>
              <w:rPr>
                <w:sz w:val="20"/>
              </w:rPr>
              <w:t>35</w:t>
            </w:r>
            <w:r>
              <w:rPr>
                <w:spacing w:val="17"/>
                <w:sz w:val="20"/>
              </w:rPr>
              <w:t> </w:t>
            </w:r>
            <w:r>
              <w:rPr>
                <w:spacing w:val="-10"/>
                <w:sz w:val="20"/>
              </w:rPr>
              <w:t>%</w:t>
            </w:r>
          </w:p>
        </w:tc>
        <w:tc>
          <w:tcPr>
            <w:tcW w:w="1056" w:type="dxa"/>
            <w:tcBorders>
              <w:top w:val="single" w:sz="8" w:space="0" w:color="000000"/>
            </w:tcBorders>
            <w:shd w:val="clear" w:color="auto" w:fill="CCEDFF"/>
          </w:tcPr>
          <w:p>
            <w:pPr>
              <w:pStyle w:val="TableParagraph"/>
              <w:spacing w:line="222" w:lineRule="exact"/>
              <w:ind w:right="7"/>
              <w:jc w:val="right"/>
              <w:rPr>
                <w:sz w:val="20"/>
              </w:rPr>
            </w:pPr>
            <w:r>
              <w:rPr>
                <w:sz w:val="20"/>
              </w:rPr>
              <w:t>13</w:t>
            </w:r>
            <w:r>
              <w:rPr>
                <w:spacing w:val="17"/>
                <w:sz w:val="20"/>
              </w:rPr>
              <w:t> </w:t>
            </w:r>
            <w:r>
              <w:rPr>
                <w:spacing w:val="-10"/>
                <w:sz w:val="20"/>
              </w:rPr>
              <w:t>%</w:t>
            </w:r>
          </w:p>
        </w:tc>
      </w:tr>
      <w:tr>
        <w:trPr>
          <w:trHeight w:val="280" w:hRule="atLeast"/>
        </w:trPr>
        <w:tc>
          <w:tcPr>
            <w:tcW w:w="4480" w:type="dxa"/>
          </w:tcPr>
          <w:p>
            <w:pPr>
              <w:pStyle w:val="TableParagraph"/>
              <w:spacing w:before="2"/>
              <w:ind w:left="190"/>
              <w:rPr>
                <w:sz w:val="20"/>
              </w:rPr>
            </w:pPr>
            <w:r>
              <w:rPr>
                <w:sz w:val="20"/>
              </w:rPr>
              <w:t>Percentage of total </w:t>
            </w:r>
            <w:r>
              <w:rPr>
                <w:spacing w:val="-2"/>
                <w:sz w:val="20"/>
              </w:rPr>
              <w:t>revenue</w:t>
            </w:r>
          </w:p>
        </w:tc>
        <w:tc>
          <w:tcPr>
            <w:tcW w:w="1140" w:type="dxa"/>
          </w:tcPr>
          <w:p>
            <w:pPr>
              <w:pStyle w:val="TableParagraph"/>
              <w:spacing w:before="2"/>
              <w:ind w:right="68"/>
              <w:jc w:val="right"/>
              <w:rPr>
                <w:sz w:val="20"/>
              </w:rPr>
            </w:pPr>
            <w:r>
              <w:rPr>
                <w:spacing w:val="-5"/>
                <w:sz w:val="20"/>
              </w:rPr>
              <w:t>9%</w:t>
            </w:r>
          </w:p>
        </w:tc>
        <w:tc>
          <w:tcPr>
            <w:tcW w:w="1180" w:type="dxa"/>
          </w:tcPr>
          <w:p>
            <w:pPr>
              <w:pStyle w:val="TableParagraph"/>
              <w:spacing w:before="2"/>
              <w:ind w:right="68"/>
              <w:jc w:val="right"/>
              <w:rPr>
                <w:sz w:val="20"/>
              </w:rPr>
            </w:pPr>
            <w:r>
              <w:rPr>
                <w:spacing w:val="-5"/>
                <w:sz w:val="20"/>
              </w:rPr>
              <w:t>8%</w:t>
            </w:r>
          </w:p>
        </w:tc>
        <w:tc>
          <w:tcPr>
            <w:tcW w:w="1100" w:type="dxa"/>
          </w:tcPr>
          <w:p>
            <w:pPr>
              <w:pStyle w:val="TableParagraph"/>
              <w:spacing w:before="2"/>
              <w:ind w:right="8"/>
              <w:jc w:val="right"/>
              <w:rPr>
                <w:sz w:val="20"/>
              </w:rPr>
            </w:pPr>
            <w:r>
              <w:rPr>
                <w:spacing w:val="-5"/>
                <w:sz w:val="20"/>
              </w:rPr>
              <w:t>9%</w:t>
            </w:r>
          </w:p>
        </w:tc>
        <w:tc>
          <w:tcPr>
            <w:tcW w:w="1303" w:type="dxa"/>
          </w:tcPr>
          <w:p>
            <w:pPr>
              <w:pStyle w:val="TableParagraph"/>
              <w:rPr>
                <w:sz w:val="18"/>
              </w:rPr>
            </w:pPr>
          </w:p>
        </w:tc>
        <w:tc>
          <w:tcPr>
            <w:tcW w:w="1056" w:type="dxa"/>
          </w:tcPr>
          <w:p>
            <w:pPr>
              <w:pStyle w:val="TableParagraph"/>
              <w:rPr>
                <w:sz w:val="18"/>
              </w:rPr>
            </w:pPr>
          </w:p>
        </w:tc>
      </w:tr>
      <w:tr>
        <w:trPr>
          <w:trHeight w:val="280" w:hRule="atLeast"/>
        </w:trPr>
        <w:tc>
          <w:tcPr>
            <w:tcW w:w="4480" w:type="dxa"/>
            <w:shd w:val="clear" w:color="auto" w:fill="CCEDFF"/>
          </w:tcPr>
          <w:p>
            <w:pPr>
              <w:pStyle w:val="TableParagraph"/>
              <w:spacing w:before="2"/>
              <w:ind w:left="70"/>
              <w:rPr>
                <w:sz w:val="20"/>
              </w:rPr>
            </w:pPr>
            <w:r>
              <w:rPr>
                <w:spacing w:val="-2"/>
                <w:sz w:val="20"/>
              </w:rPr>
              <w:t>Product</w:t>
            </w:r>
          </w:p>
        </w:tc>
        <w:tc>
          <w:tcPr>
            <w:tcW w:w="1140" w:type="dxa"/>
            <w:shd w:val="clear" w:color="auto" w:fill="CCEDFF"/>
          </w:tcPr>
          <w:p>
            <w:pPr>
              <w:pStyle w:val="TableParagraph"/>
              <w:spacing w:before="2"/>
              <w:ind w:left="552"/>
              <w:rPr>
                <w:sz w:val="20"/>
              </w:rPr>
            </w:pPr>
            <w:r>
              <w:rPr>
                <w:spacing w:val="-4"/>
                <w:sz w:val="20"/>
              </w:rPr>
              <w:t>57.1</w:t>
            </w:r>
          </w:p>
        </w:tc>
        <w:tc>
          <w:tcPr>
            <w:tcW w:w="1180" w:type="dxa"/>
            <w:shd w:val="clear" w:color="auto" w:fill="CCEDFF"/>
          </w:tcPr>
          <w:p>
            <w:pPr>
              <w:pStyle w:val="TableParagraph"/>
              <w:spacing w:before="2"/>
              <w:ind w:left="592"/>
              <w:rPr>
                <w:sz w:val="20"/>
              </w:rPr>
            </w:pPr>
            <w:r>
              <w:rPr>
                <w:spacing w:val="-4"/>
                <w:sz w:val="20"/>
              </w:rPr>
              <w:t>68.9</w:t>
            </w:r>
          </w:p>
        </w:tc>
        <w:tc>
          <w:tcPr>
            <w:tcW w:w="1100" w:type="dxa"/>
            <w:shd w:val="clear" w:color="auto" w:fill="CCEDFF"/>
          </w:tcPr>
          <w:p>
            <w:pPr>
              <w:pStyle w:val="TableParagraph"/>
              <w:spacing w:before="2"/>
              <w:ind w:left="572"/>
              <w:rPr>
                <w:sz w:val="20"/>
              </w:rPr>
            </w:pPr>
            <w:r>
              <w:rPr>
                <w:spacing w:val="-4"/>
                <w:sz w:val="20"/>
              </w:rPr>
              <w:t>90.0</w:t>
            </w:r>
          </w:p>
        </w:tc>
        <w:tc>
          <w:tcPr>
            <w:tcW w:w="1303" w:type="dxa"/>
            <w:shd w:val="clear" w:color="auto" w:fill="CCEDFF"/>
          </w:tcPr>
          <w:p>
            <w:pPr>
              <w:pStyle w:val="TableParagraph"/>
              <w:spacing w:before="2"/>
              <w:ind w:right="131"/>
              <w:jc w:val="right"/>
              <w:rPr>
                <w:sz w:val="20"/>
              </w:rPr>
            </w:pPr>
            <w:r>
              <w:rPr>
                <w:spacing w:val="-2"/>
                <w:sz w:val="20"/>
              </w:rPr>
              <w:t>(17)%</w:t>
            </w:r>
          </w:p>
        </w:tc>
        <w:tc>
          <w:tcPr>
            <w:tcW w:w="1056" w:type="dxa"/>
            <w:shd w:val="clear" w:color="auto" w:fill="CCEDFF"/>
          </w:tcPr>
          <w:p>
            <w:pPr>
              <w:pStyle w:val="TableParagraph"/>
              <w:spacing w:before="2"/>
              <w:ind w:right="7"/>
              <w:jc w:val="right"/>
              <w:rPr>
                <w:sz w:val="20"/>
              </w:rPr>
            </w:pPr>
            <w:r>
              <w:rPr>
                <w:spacing w:val="-2"/>
                <w:sz w:val="20"/>
              </w:rPr>
              <w:t>(23)%</w:t>
            </w:r>
          </w:p>
        </w:tc>
      </w:tr>
      <w:tr>
        <w:trPr>
          <w:trHeight w:val="280" w:hRule="atLeast"/>
        </w:trPr>
        <w:tc>
          <w:tcPr>
            <w:tcW w:w="4480" w:type="dxa"/>
          </w:tcPr>
          <w:p>
            <w:pPr>
              <w:pStyle w:val="TableParagraph"/>
              <w:spacing w:before="2"/>
              <w:ind w:left="190"/>
              <w:rPr>
                <w:sz w:val="20"/>
              </w:rPr>
            </w:pPr>
            <w:r>
              <w:rPr>
                <w:sz w:val="20"/>
              </w:rPr>
              <w:t>Percentage of total </w:t>
            </w:r>
            <w:r>
              <w:rPr>
                <w:spacing w:val="-2"/>
                <w:sz w:val="20"/>
              </w:rPr>
              <w:t>revenue</w:t>
            </w:r>
          </w:p>
        </w:tc>
        <w:tc>
          <w:tcPr>
            <w:tcW w:w="1140" w:type="dxa"/>
          </w:tcPr>
          <w:p>
            <w:pPr>
              <w:pStyle w:val="TableParagraph"/>
              <w:spacing w:before="2"/>
              <w:ind w:right="68"/>
              <w:jc w:val="right"/>
              <w:rPr>
                <w:sz w:val="20"/>
              </w:rPr>
            </w:pPr>
            <w:r>
              <w:rPr>
                <w:spacing w:val="-5"/>
                <w:sz w:val="20"/>
              </w:rPr>
              <w:t>1%</w:t>
            </w:r>
          </w:p>
        </w:tc>
        <w:tc>
          <w:tcPr>
            <w:tcW w:w="1180" w:type="dxa"/>
          </w:tcPr>
          <w:p>
            <w:pPr>
              <w:pStyle w:val="TableParagraph"/>
              <w:spacing w:before="2"/>
              <w:ind w:right="68"/>
              <w:jc w:val="right"/>
              <w:rPr>
                <w:sz w:val="20"/>
              </w:rPr>
            </w:pPr>
            <w:r>
              <w:rPr>
                <w:spacing w:val="-5"/>
                <w:sz w:val="20"/>
              </w:rPr>
              <w:t>1%</w:t>
            </w:r>
          </w:p>
        </w:tc>
        <w:tc>
          <w:tcPr>
            <w:tcW w:w="1100" w:type="dxa"/>
          </w:tcPr>
          <w:p>
            <w:pPr>
              <w:pStyle w:val="TableParagraph"/>
              <w:spacing w:before="2"/>
              <w:ind w:right="8"/>
              <w:jc w:val="right"/>
              <w:rPr>
                <w:sz w:val="20"/>
              </w:rPr>
            </w:pPr>
            <w:r>
              <w:rPr>
                <w:spacing w:val="-5"/>
                <w:sz w:val="20"/>
              </w:rPr>
              <w:t>2%</w:t>
            </w:r>
          </w:p>
        </w:tc>
        <w:tc>
          <w:tcPr>
            <w:tcW w:w="1303" w:type="dxa"/>
          </w:tcPr>
          <w:p>
            <w:pPr>
              <w:pStyle w:val="TableParagraph"/>
              <w:rPr>
                <w:sz w:val="18"/>
              </w:rPr>
            </w:pPr>
          </w:p>
        </w:tc>
        <w:tc>
          <w:tcPr>
            <w:tcW w:w="1056" w:type="dxa"/>
          </w:tcPr>
          <w:p>
            <w:pPr>
              <w:pStyle w:val="TableParagraph"/>
              <w:rPr>
                <w:sz w:val="18"/>
              </w:rPr>
            </w:pPr>
          </w:p>
        </w:tc>
      </w:tr>
      <w:tr>
        <w:trPr>
          <w:trHeight w:val="280" w:hRule="atLeast"/>
        </w:trPr>
        <w:tc>
          <w:tcPr>
            <w:tcW w:w="4480" w:type="dxa"/>
            <w:shd w:val="clear" w:color="auto" w:fill="CCEDFF"/>
          </w:tcPr>
          <w:p>
            <w:pPr>
              <w:pStyle w:val="TableParagraph"/>
              <w:spacing w:before="2"/>
              <w:ind w:left="70"/>
              <w:rPr>
                <w:sz w:val="20"/>
              </w:rPr>
            </w:pPr>
            <w:r>
              <w:rPr>
                <w:sz w:val="20"/>
              </w:rPr>
              <w:t>Services</w:t>
            </w:r>
            <w:r>
              <w:rPr>
                <w:spacing w:val="-5"/>
                <w:sz w:val="20"/>
              </w:rPr>
              <w:t> </w:t>
            </w:r>
            <w:r>
              <w:rPr>
                <w:sz w:val="20"/>
              </w:rPr>
              <w:t>and</w:t>
            </w:r>
            <w:r>
              <w:rPr>
                <w:spacing w:val="-3"/>
                <w:sz w:val="20"/>
              </w:rPr>
              <w:t> </w:t>
            </w:r>
            <w:r>
              <w:rPr>
                <w:spacing w:val="-2"/>
                <w:sz w:val="20"/>
              </w:rPr>
              <w:t>support</w:t>
            </w:r>
          </w:p>
        </w:tc>
        <w:tc>
          <w:tcPr>
            <w:tcW w:w="1140" w:type="dxa"/>
            <w:shd w:val="clear" w:color="auto" w:fill="CCEDFF"/>
          </w:tcPr>
          <w:p>
            <w:pPr>
              <w:pStyle w:val="TableParagraph"/>
              <w:spacing w:before="2"/>
              <w:ind w:left="452"/>
              <w:rPr>
                <w:sz w:val="20"/>
              </w:rPr>
            </w:pPr>
            <w:r>
              <w:rPr>
                <w:spacing w:val="-2"/>
                <w:sz w:val="20"/>
              </w:rPr>
              <w:t>330.4</w:t>
            </w:r>
          </w:p>
        </w:tc>
        <w:tc>
          <w:tcPr>
            <w:tcW w:w="1180" w:type="dxa"/>
            <w:shd w:val="clear" w:color="auto" w:fill="CCEDFF"/>
          </w:tcPr>
          <w:p>
            <w:pPr>
              <w:pStyle w:val="TableParagraph"/>
              <w:spacing w:before="2"/>
              <w:ind w:left="492"/>
              <w:rPr>
                <w:sz w:val="20"/>
              </w:rPr>
            </w:pPr>
            <w:r>
              <w:rPr>
                <w:spacing w:val="-2"/>
                <w:sz w:val="20"/>
              </w:rPr>
              <w:t>289.1</w:t>
            </w:r>
          </w:p>
        </w:tc>
        <w:tc>
          <w:tcPr>
            <w:tcW w:w="1100" w:type="dxa"/>
            <w:shd w:val="clear" w:color="auto" w:fill="CCEDFF"/>
          </w:tcPr>
          <w:p>
            <w:pPr>
              <w:pStyle w:val="TableParagraph"/>
              <w:spacing w:before="2"/>
              <w:ind w:left="472"/>
              <w:rPr>
                <w:sz w:val="20"/>
              </w:rPr>
            </w:pPr>
            <w:r>
              <w:rPr>
                <w:spacing w:val="-2"/>
                <w:sz w:val="20"/>
              </w:rPr>
              <w:t>245.1</w:t>
            </w:r>
          </w:p>
        </w:tc>
        <w:tc>
          <w:tcPr>
            <w:tcW w:w="1303" w:type="dxa"/>
            <w:shd w:val="clear" w:color="auto" w:fill="CCEDFF"/>
          </w:tcPr>
          <w:p>
            <w:pPr>
              <w:pStyle w:val="TableParagraph"/>
              <w:spacing w:before="2"/>
              <w:ind w:right="131"/>
              <w:jc w:val="right"/>
              <w:rPr>
                <w:sz w:val="20"/>
              </w:rPr>
            </w:pPr>
            <w:r>
              <w:rPr>
                <w:sz w:val="20"/>
              </w:rPr>
              <w:t>14</w:t>
            </w:r>
            <w:r>
              <w:rPr>
                <w:spacing w:val="17"/>
                <w:sz w:val="20"/>
              </w:rPr>
              <w:t> </w:t>
            </w:r>
            <w:r>
              <w:rPr>
                <w:spacing w:val="-10"/>
                <w:sz w:val="20"/>
              </w:rPr>
              <w:t>%</w:t>
            </w:r>
          </w:p>
        </w:tc>
        <w:tc>
          <w:tcPr>
            <w:tcW w:w="1056" w:type="dxa"/>
            <w:shd w:val="clear" w:color="auto" w:fill="CCEDFF"/>
          </w:tcPr>
          <w:p>
            <w:pPr>
              <w:pStyle w:val="TableParagraph"/>
              <w:spacing w:before="2"/>
              <w:ind w:right="7"/>
              <w:jc w:val="right"/>
              <w:rPr>
                <w:sz w:val="20"/>
              </w:rPr>
            </w:pPr>
            <w:r>
              <w:rPr>
                <w:sz w:val="20"/>
              </w:rPr>
              <w:t>18</w:t>
            </w:r>
            <w:r>
              <w:rPr>
                <w:spacing w:val="17"/>
                <w:sz w:val="20"/>
              </w:rPr>
              <w:t> </w:t>
            </w:r>
            <w:r>
              <w:rPr>
                <w:spacing w:val="-10"/>
                <w:sz w:val="20"/>
              </w:rPr>
              <w:t>%</w:t>
            </w:r>
          </w:p>
        </w:tc>
      </w:tr>
      <w:tr>
        <w:trPr>
          <w:trHeight w:val="270" w:hRule="atLeast"/>
        </w:trPr>
        <w:tc>
          <w:tcPr>
            <w:tcW w:w="4480" w:type="dxa"/>
          </w:tcPr>
          <w:p>
            <w:pPr>
              <w:pStyle w:val="TableParagraph"/>
              <w:spacing w:before="2"/>
              <w:ind w:left="190"/>
              <w:rPr>
                <w:sz w:val="20"/>
              </w:rPr>
            </w:pPr>
            <w:r>
              <w:rPr>
                <w:sz w:val="20"/>
              </w:rPr>
              <w:t>Percentage of total </w:t>
            </w:r>
            <w:r>
              <w:rPr>
                <w:spacing w:val="-2"/>
                <w:sz w:val="20"/>
              </w:rPr>
              <w:t>revenue</w:t>
            </w:r>
          </w:p>
        </w:tc>
        <w:tc>
          <w:tcPr>
            <w:tcW w:w="1140" w:type="dxa"/>
            <w:tcBorders>
              <w:bottom w:val="single" w:sz="8" w:space="0" w:color="000000"/>
            </w:tcBorders>
          </w:tcPr>
          <w:p>
            <w:pPr>
              <w:pStyle w:val="TableParagraph"/>
              <w:spacing w:before="2"/>
              <w:ind w:right="68"/>
              <w:jc w:val="right"/>
              <w:rPr>
                <w:sz w:val="20"/>
              </w:rPr>
            </w:pPr>
            <w:r>
              <w:rPr>
                <w:spacing w:val="-5"/>
                <w:sz w:val="20"/>
              </w:rPr>
              <w:t>5%</w:t>
            </w:r>
          </w:p>
        </w:tc>
        <w:tc>
          <w:tcPr>
            <w:tcW w:w="1180" w:type="dxa"/>
            <w:tcBorders>
              <w:bottom w:val="single" w:sz="8" w:space="0" w:color="000000"/>
            </w:tcBorders>
          </w:tcPr>
          <w:p>
            <w:pPr>
              <w:pStyle w:val="TableParagraph"/>
              <w:spacing w:before="2"/>
              <w:ind w:right="68"/>
              <w:jc w:val="right"/>
              <w:rPr>
                <w:sz w:val="20"/>
              </w:rPr>
            </w:pPr>
            <w:r>
              <w:rPr>
                <w:spacing w:val="-5"/>
                <w:sz w:val="20"/>
              </w:rPr>
              <w:t>5%</w:t>
            </w:r>
          </w:p>
        </w:tc>
        <w:tc>
          <w:tcPr>
            <w:tcW w:w="1100" w:type="dxa"/>
            <w:tcBorders>
              <w:bottom w:val="single" w:sz="8" w:space="0" w:color="000000"/>
            </w:tcBorders>
          </w:tcPr>
          <w:p>
            <w:pPr>
              <w:pStyle w:val="TableParagraph"/>
              <w:spacing w:before="2"/>
              <w:ind w:right="8"/>
              <w:jc w:val="right"/>
              <w:rPr>
                <w:sz w:val="20"/>
              </w:rPr>
            </w:pPr>
            <w:r>
              <w:rPr>
                <w:spacing w:val="-5"/>
                <w:sz w:val="20"/>
              </w:rPr>
              <w:t>5%</w:t>
            </w:r>
          </w:p>
        </w:tc>
        <w:tc>
          <w:tcPr>
            <w:tcW w:w="1303" w:type="dxa"/>
          </w:tcPr>
          <w:p>
            <w:pPr>
              <w:pStyle w:val="TableParagraph"/>
              <w:rPr>
                <w:sz w:val="18"/>
              </w:rPr>
            </w:pPr>
          </w:p>
        </w:tc>
        <w:tc>
          <w:tcPr>
            <w:tcW w:w="1056" w:type="dxa"/>
          </w:tcPr>
          <w:p>
            <w:pPr>
              <w:pStyle w:val="TableParagraph"/>
              <w:rPr>
                <w:sz w:val="18"/>
              </w:rPr>
            </w:pPr>
          </w:p>
        </w:tc>
      </w:tr>
      <w:tr>
        <w:trPr>
          <w:trHeight w:val="240" w:hRule="atLeast"/>
        </w:trPr>
        <w:tc>
          <w:tcPr>
            <w:tcW w:w="4480" w:type="dxa"/>
            <w:shd w:val="clear" w:color="auto" w:fill="CCEDFF"/>
          </w:tcPr>
          <w:p>
            <w:pPr>
              <w:pStyle w:val="TableParagraph"/>
              <w:spacing w:line="220" w:lineRule="exact"/>
              <w:ind w:left="70"/>
              <w:rPr>
                <w:sz w:val="20"/>
              </w:rPr>
            </w:pPr>
            <w:r>
              <w:rPr>
                <w:sz w:val="20"/>
              </w:rPr>
              <w:t>Total</w:t>
            </w:r>
            <w:r>
              <w:rPr>
                <w:spacing w:val="-5"/>
                <w:sz w:val="20"/>
              </w:rPr>
              <w:t> </w:t>
            </w:r>
            <w:r>
              <w:rPr>
                <w:sz w:val="20"/>
              </w:rPr>
              <w:t>cost</w:t>
            </w:r>
            <w:r>
              <w:rPr>
                <w:spacing w:val="-5"/>
                <w:sz w:val="20"/>
              </w:rPr>
              <w:t> </w:t>
            </w:r>
            <w:r>
              <w:rPr>
                <w:sz w:val="20"/>
              </w:rPr>
              <w:t>of</w:t>
            </w:r>
            <w:r>
              <w:rPr>
                <w:spacing w:val="-4"/>
                <w:sz w:val="20"/>
              </w:rPr>
              <w:t> </w:t>
            </w:r>
            <w:r>
              <w:rPr>
                <w:spacing w:val="-2"/>
                <w:sz w:val="20"/>
              </w:rPr>
              <w:t>revenue</w:t>
            </w:r>
          </w:p>
        </w:tc>
        <w:tc>
          <w:tcPr>
            <w:tcW w:w="1140" w:type="dxa"/>
            <w:tcBorders>
              <w:top w:val="single" w:sz="8" w:space="0" w:color="000000"/>
              <w:bottom w:val="double" w:sz="8" w:space="0" w:color="000000"/>
            </w:tcBorders>
            <w:shd w:val="clear" w:color="auto" w:fill="CCEDFF"/>
          </w:tcPr>
          <w:p>
            <w:pPr>
              <w:pStyle w:val="TableParagraph"/>
              <w:spacing w:line="220" w:lineRule="exact"/>
              <w:ind w:left="50"/>
              <w:rPr>
                <w:sz w:val="20"/>
              </w:rPr>
            </w:pPr>
            <w:r>
              <w:rPr>
                <w:sz w:val="20"/>
              </w:rPr>
              <w:t>$</w:t>
            </w:r>
            <w:r>
              <w:rPr>
                <w:spacing w:val="75"/>
                <w:w w:val="150"/>
                <w:sz w:val="20"/>
              </w:rPr>
              <w:t> </w:t>
            </w:r>
            <w:r>
              <w:rPr>
                <w:spacing w:val="-2"/>
                <w:sz w:val="20"/>
              </w:rPr>
              <w:t>1,010.5</w:t>
            </w:r>
          </w:p>
        </w:tc>
        <w:tc>
          <w:tcPr>
            <w:tcW w:w="1180" w:type="dxa"/>
            <w:tcBorders>
              <w:top w:val="single" w:sz="8" w:space="0" w:color="000000"/>
              <w:bottom w:val="double" w:sz="8" w:space="0" w:color="000000"/>
            </w:tcBorders>
            <w:shd w:val="clear" w:color="auto" w:fill="CCEDFF"/>
          </w:tcPr>
          <w:p>
            <w:pPr>
              <w:pStyle w:val="TableParagraph"/>
              <w:tabs>
                <w:tab w:pos="492" w:val="left" w:leader="none"/>
              </w:tabs>
              <w:spacing w:line="220" w:lineRule="exact"/>
              <w:ind w:left="70"/>
              <w:rPr>
                <w:sz w:val="20"/>
              </w:rPr>
            </w:pPr>
            <w:r>
              <w:rPr>
                <w:spacing w:val="-10"/>
                <w:sz w:val="20"/>
              </w:rPr>
              <w:t>$</w:t>
            </w:r>
            <w:r>
              <w:rPr>
                <w:sz w:val="20"/>
              </w:rPr>
              <w:tab/>
            </w:r>
            <w:r>
              <w:rPr>
                <w:spacing w:val="-2"/>
                <w:sz w:val="20"/>
              </w:rPr>
              <w:t>819.9</w:t>
            </w:r>
          </w:p>
        </w:tc>
        <w:tc>
          <w:tcPr>
            <w:tcW w:w="1100" w:type="dxa"/>
            <w:tcBorders>
              <w:top w:val="single" w:sz="8" w:space="0" w:color="000000"/>
              <w:bottom w:val="double" w:sz="8" w:space="0" w:color="000000"/>
            </w:tcBorders>
            <w:shd w:val="clear" w:color="auto" w:fill="CCEDFF"/>
          </w:tcPr>
          <w:p>
            <w:pPr>
              <w:pStyle w:val="TableParagraph"/>
              <w:tabs>
                <w:tab w:pos="472" w:val="left" w:leader="none"/>
              </w:tabs>
              <w:spacing w:line="220" w:lineRule="exact"/>
              <w:ind w:left="70"/>
              <w:rPr>
                <w:sz w:val="20"/>
              </w:rPr>
            </w:pPr>
            <w:r>
              <w:rPr>
                <w:spacing w:val="-10"/>
                <w:sz w:val="20"/>
              </w:rPr>
              <w:t>$</w:t>
            </w:r>
            <w:r>
              <w:rPr>
                <w:sz w:val="20"/>
              </w:rPr>
              <w:tab/>
            </w:r>
            <w:r>
              <w:rPr>
                <w:spacing w:val="-2"/>
                <w:sz w:val="20"/>
              </w:rPr>
              <w:t>744.3</w:t>
            </w:r>
          </w:p>
        </w:tc>
        <w:tc>
          <w:tcPr>
            <w:tcW w:w="1303" w:type="dxa"/>
            <w:shd w:val="clear" w:color="auto" w:fill="CCEDFF"/>
          </w:tcPr>
          <w:p>
            <w:pPr>
              <w:pStyle w:val="TableParagraph"/>
              <w:spacing w:line="220" w:lineRule="exact"/>
              <w:ind w:right="131"/>
              <w:jc w:val="right"/>
              <w:rPr>
                <w:sz w:val="20"/>
              </w:rPr>
            </w:pPr>
            <w:r>
              <w:rPr>
                <w:sz w:val="20"/>
              </w:rPr>
              <w:t>23</w:t>
            </w:r>
            <w:r>
              <w:rPr>
                <w:spacing w:val="17"/>
                <w:sz w:val="20"/>
              </w:rPr>
              <w:t> </w:t>
            </w:r>
            <w:r>
              <w:rPr>
                <w:spacing w:val="-10"/>
                <w:sz w:val="20"/>
              </w:rPr>
              <w:t>%</w:t>
            </w:r>
          </w:p>
        </w:tc>
        <w:tc>
          <w:tcPr>
            <w:tcW w:w="1056" w:type="dxa"/>
            <w:shd w:val="clear" w:color="auto" w:fill="CCEDFF"/>
          </w:tcPr>
          <w:p>
            <w:pPr>
              <w:pStyle w:val="TableParagraph"/>
              <w:spacing w:line="220" w:lineRule="exact"/>
              <w:ind w:right="7"/>
              <w:jc w:val="right"/>
              <w:rPr>
                <w:sz w:val="20"/>
              </w:rPr>
            </w:pPr>
            <w:r>
              <w:rPr>
                <w:sz w:val="20"/>
              </w:rPr>
              <w:t>10</w:t>
            </w:r>
            <w:r>
              <w:rPr>
                <w:spacing w:val="17"/>
                <w:sz w:val="20"/>
              </w:rPr>
              <w:t> </w:t>
            </w:r>
            <w:r>
              <w:rPr>
                <w:spacing w:val="-10"/>
                <w:sz w:val="20"/>
              </w:rPr>
              <w:t>%</w:t>
            </w:r>
          </w:p>
        </w:tc>
      </w:tr>
      <w:tr>
        <w:trPr>
          <w:trHeight w:val="443" w:hRule="atLeast"/>
        </w:trPr>
        <w:tc>
          <w:tcPr>
            <w:tcW w:w="4480" w:type="dxa"/>
          </w:tcPr>
          <w:p>
            <w:pPr>
              <w:pStyle w:val="TableParagraph"/>
              <w:spacing w:line="210" w:lineRule="exact" w:before="213"/>
              <w:ind w:left="10"/>
              <w:rPr>
                <w:i/>
                <w:sz w:val="20"/>
              </w:rPr>
            </w:pPr>
            <w:r>
              <w:rPr>
                <w:i/>
                <w:spacing w:val="-2"/>
                <w:sz w:val="20"/>
              </w:rPr>
              <w:t>Subscription</w:t>
            </w:r>
          </w:p>
        </w:tc>
        <w:tc>
          <w:tcPr>
            <w:tcW w:w="1140" w:type="dxa"/>
            <w:tcBorders>
              <w:top w:val="double" w:sz="8" w:space="0" w:color="000000"/>
            </w:tcBorders>
          </w:tcPr>
          <w:p>
            <w:pPr>
              <w:pStyle w:val="TableParagraph"/>
              <w:rPr>
                <w:sz w:val="18"/>
              </w:rPr>
            </w:pPr>
          </w:p>
        </w:tc>
        <w:tc>
          <w:tcPr>
            <w:tcW w:w="1180" w:type="dxa"/>
            <w:tcBorders>
              <w:top w:val="double" w:sz="8" w:space="0" w:color="000000"/>
            </w:tcBorders>
          </w:tcPr>
          <w:p>
            <w:pPr>
              <w:pStyle w:val="TableParagraph"/>
              <w:rPr>
                <w:sz w:val="18"/>
              </w:rPr>
            </w:pPr>
          </w:p>
        </w:tc>
        <w:tc>
          <w:tcPr>
            <w:tcW w:w="1100" w:type="dxa"/>
            <w:tcBorders>
              <w:top w:val="double" w:sz="8" w:space="0" w:color="000000"/>
            </w:tcBorders>
          </w:tcPr>
          <w:p>
            <w:pPr>
              <w:pStyle w:val="TableParagraph"/>
              <w:rPr>
                <w:sz w:val="18"/>
              </w:rPr>
            </w:pPr>
          </w:p>
        </w:tc>
        <w:tc>
          <w:tcPr>
            <w:tcW w:w="1303" w:type="dxa"/>
          </w:tcPr>
          <w:p>
            <w:pPr>
              <w:pStyle w:val="TableParagraph"/>
              <w:rPr>
                <w:sz w:val="18"/>
              </w:rPr>
            </w:pPr>
          </w:p>
        </w:tc>
        <w:tc>
          <w:tcPr>
            <w:tcW w:w="1056" w:type="dxa"/>
          </w:tcPr>
          <w:p>
            <w:pPr>
              <w:pStyle w:val="TableParagraph"/>
              <w:rPr>
                <w:sz w:val="18"/>
              </w:rPr>
            </w:pPr>
          </w:p>
        </w:tc>
      </w:tr>
    </w:tbl>
    <w:p>
      <w:pPr>
        <w:pStyle w:val="BodyText"/>
        <w:spacing w:line="249" w:lineRule="auto" w:before="212"/>
        <w:ind w:left="220" w:right="257" w:firstLine="540"/>
        <w:jc w:val="both"/>
      </w:pPr>
      <w:r>
        <w:rPr/>
        <w:t>Cost</w:t>
      </w:r>
      <w:r>
        <w:rPr>
          <w:spacing w:val="-6"/>
        </w:rPr>
        <w:t> </w:t>
      </w:r>
      <w:r>
        <w:rPr/>
        <w:t>of</w:t>
      </w:r>
      <w:r>
        <w:rPr>
          <w:spacing w:val="-6"/>
        </w:rPr>
        <w:t> </w:t>
      </w:r>
      <w:r>
        <w:rPr/>
        <w:t>subscription</w:t>
      </w:r>
      <w:r>
        <w:rPr>
          <w:spacing w:val="-6"/>
        </w:rPr>
        <w:t> </w:t>
      </w:r>
      <w:r>
        <w:rPr/>
        <w:t>revenue</w:t>
      </w:r>
      <w:r>
        <w:rPr>
          <w:spacing w:val="-6"/>
        </w:rPr>
        <w:t> </w:t>
      </w:r>
      <w:r>
        <w:rPr/>
        <w:t>consists</w:t>
      </w:r>
      <w:r>
        <w:rPr>
          <w:spacing w:val="-7"/>
        </w:rPr>
        <w:t> </w:t>
      </w:r>
      <w:r>
        <w:rPr/>
        <w:t>of</w:t>
      </w:r>
      <w:r>
        <w:rPr>
          <w:spacing w:val="-6"/>
        </w:rPr>
        <w:t> </w:t>
      </w:r>
      <w:r>
        <w:rPr/>
        <w:t>third-party</w:t>
      </w:r>
      <w:r>
        <w:rPr>
          <w:spacing w:val="-6"/>
        </w:rPr>
        <w:t> </w:t>
      </w:r>
      <w:r>
        <w:rPr/>
        <w:t>royalties</w:t>
      </w:r>
      <w:r>
        <w:rPr>
          <w:spacing w:val="-6"/>
        </w:rPr>
        <w:t> </w:t>
      </w:r>
      <w:r>
        <w:rPr/>
        <w:t>and</w:t>
      </w:r>
      <w:r>
        <w:rPr>
          <w:spacing w:val="-6"/>
        </w:rPr>
        <w:t> </w:t>
      </w:r>
      <w:r>
        <w:rPr/>
        <w:t>expenses</w:t>
      </w:r>
      <w:r>
        <w:rPr>
          <w:spacing w:val="-7"/>
        </w:rPr>
        <w:t> </w:t>
      </w:r>
      <w:r>
        <w:rPr/>
        <w:t>related</w:t>
      </w:r>
      <w:r>
        <w:rPr>
          <w:spacing w:val="-6"/>
        </w:rPr>
        <w:t> </w:t>
      </w:r>
      <w:r>
        <w:rPr/>
        <w:t>to</w:t>
      </w:r>
      <w:r>
        <w:rPr>
          <w:spacing w:val="-6"/>
        </w:rPr>
        <w:t> </w:t>
      </w:r>
      <w:r>
        <w:rPr/>
        <w:t>operating</w:t>
      </w:r>
      <w:r>
        <w:rPr>
          <w:spacing w:val="-6"/>
        </w:rPr>
        <w:t> </w:t>
      </w:r>
      <w:r>
        <w:rPr/>
        <w:t>our</w:t>
      </w:r>
      <w:r>
        <w:rPr>
          <w:spacing w:val="-6"/>
        </w:rPr>
        <w:t> </w:t>
      </w:r>
      <w:r>
        <w:rPr/>
        <w:t>network</w:t>
      </w:r>
      <w:r>
        <w:rPr>
          <w:spacing w:val="-7"/>
        </w:rPr>
        <w:t> </w:t>
      </w:r>
      <w:r>
        <w:rPr/>
        <w:t>infrastructure, including</w:t>
      </w:r>
      <w:r>
        <w:rPr>
          <w:spacing w:val="-9"/>
        </w:rPr>
        <w:t> </w:t>
      </w:r>
      <w:r>
        <w:rPr/>
        <w:t>depreciation</w:t>
      </w:r>
      <w:r>
        <w:rPr>
          <w:spacing w:val="-9"/>
        </w:rPr>
        <w:t> </w:t>
      </w:r>
      <w:r>
        <w:rPr/>
        <w:t>expense</w:t>
      </w:r>
      <w:r>
        <w:rPr>
          <w:spacing w:val="-9"/>
        </w:rPr>
        <w:t> </w:t>
      </w:r>
      <w:r>
        <w:rPr/>
        <w:t>and</w:t>
      </w:r>
      <w:r>
        <w:rPr>
          <w:spacing w:val="-9"/>
        </w:rPr>
        <w:t> </w:t>
      </w:r>
      <w:r>
        <w:rPr/>
        <w:t>operating</w:t>
      </w:r>
      <w:r>
        <w:rPr>
          <w:spacing w:val="-9"/>
        </w:rPr>
        <w:t> </w:t>
      </w:r>
      <w:r>
        <w:rPr/>
        <w:t>lease</w:t>
      </w:r>
      <w:r>
        <w:rPr>
          <w:spacing w:val="-9"/>
        </w:rPr>
        <w:t> </w:t>
      </w:r>
      <w:r>
        <w:rPr/>
        <w:t>payments</w:t>
      </w:r>
      <w:r>
        <w:rPr>
          <w:spacing w:val="-9"/>
        </w:rPr>
        <w:t> </w:t>
      </w:r>
      <w:r>
        <w:rPr/>
        <w:t>associated</w:t>
      </w:r>
      <w:r>
        <w:rPr>
          <w:spacing w:val="-9"/>
        </w:rPr>
        <w:t> </w:t>
      </w:r>
      <w:r>
        <w:rPr/>
        <w:t>with</w:t>
      </w:r>
      <w:r>
        <w:rPr>
          <w:spacing w:val="-9"/>
        </w:rPr>
        <w:t> </w:t>
      </w:r>
      <w:r>
        <w:rPr/>
        <w:t>computer</w:t>
      </w:r>
      <w:r>
        <w:rPr>
          <w:spacing w:val="-9"/>
        </w:rPr>
        <w:t> </w:t>
      </w:r>
      <w:r>
        <w:rPr/>
        <w:t>equipment,</w:t>
      </w:r>
      <w:r>
        <w:rPr>
          <w:spacing w:val="-9"/>
        </w:rPr>
        <w:t> </w:t>
      </w:r>
      <w:r>
        <w:rPr/>
        <w:t>data</w:t>
      </w:r>
      <w:r>
        <w:rPr>
          <w:spacing w:val="-9"/>
        </w:rPr>
        <w:t> </w:t>
      </w:r>
      <w:r>
        <w:rPr/>
        <w:t>center</w:t>
      </w:r>
      <w:r>
        <w:rPr>
          <w:spacing w:val="-9"/>
        </w:rPr>
        <w:t> </w:t>
      </w:r>
      <w:r>
        <w:rPr/>
        <w:t>costs,</w:t>
      </w:r>
      <w:r>
        <w:rPr>
          <w:spacing w:val="-9"/>
        </w:rPr>
        <w:t> </w:t>
      </w:r>
      <w:r>
        <w:rPr/>
        <w:t>salaries</w:t>
      </w:r>
      <w:r>
        <w:rPr>
          <w:spacing w:val="-9"/>
        </w:rPr>
        <w:t> </w:t>
      </w:r>
      <w:r>
        <w:rPr/>
        <w:t>and related expenses of network operations, implementation, account management and technical support personnel, amortization of certain intangible assets and allocated overhead. We enter into contracts with third parties for hosting services and use of data center</w:t>
      </w:r>
      <w:r>
        <w:rPr>
          <w:spacing w:val="-13"/>
        </w:rPr>
        <w:t> </w:t>
      </w:r>
      <w:r>
        <w:rPr/>
        <w:t>facilities.</w:t>
      </w:r>
      <w:r>
        <w:rPr>
          <w:spacing w:val="-12"/>
        </w:rPr>
        <w:t> </w:t>
      </w:r>
      <w:r>
        <w:rPr/>
        <w:t>Our</w:t>
      </w:r>
      <w:r>
        <w:rPr>
          <w:spacing w:val="-13"/>
        </w:rPr>
        <w:t> </w:t>
      </w:r>
      <w:r>
        <w:rPr/>
        <w:t>data</w:t>
      </w:r>
      <w:r>
        <w:rPr>
          <w:spacing w:val="-12"/>
        </w:rPr>
        <w:t> </w:t>
      </w:r>
      <w:r>
        <w:rPr/>
        <w:t>center</w:t>
      </w:r>
      <w:r>
        <w:rPr>
          <w:spacing w:val="-13"/>
        </w:rPr>
        <w:t> </w:t>
      </w:r>
      <w:r>
        <w:rPr/>
        <w:t>costs</w:t>
      </w:r>
      <w:r>
        <w:rPr>
          <w:spacing w:val="-12"/>
        </w:rPr>
        <w:t> </w:t>
      </w:r>
      <w:r>
        <w:rPr/>
        <w:t>largely</w:t>
      </w:r>
      <w:r>
        <w:rPr>
          <w:spacing w:val="-13"/>
        </w:rPr>
        <w:t> </w:t>
      </w:r>
      <w:r>
        <w:rPr/>
        <w:t>consist</w:t>
      </w:r>
      <w:r>
        <w:rPr>
          <w:spacing w:val="-12"/>
        </w:rPr>
        <w:t> </w:t>
      </w:r>
      <w:r>
        <w:rPr/>
        <w:t>of</w:t>
      </w:r>
      <w:r>
        <w:rPr>
          <w:spacing w:val="-13"/>
        </w:rPr>
        <w:t> </w:t>
      </w:r>
      <w:r>
        <w:rPr/>
        <w:t>the</w:t>
      </w:r>
      <w:r>
        <w:rPr>
          <w:spacing w:val="-12"/>
        </w:rPr>
        <w:t> </w:t>
      </w:r>
      <w:r>
        <w:rPr/>
        <w:t>amounts</w:t>
      </w:r>
      <w:r>
        <w:rPr>
          <w:spacing w:val="-13"/>
        </w:rPr>
        <w:t> </w:t>
      </w:r>
      <w:r>
        <w:rPr/>
        <w:t>we</w:t>
      </w:r>
      <w:r>
        <w:rPr>
          <w:spacing w:val="-12"/>
        </w:rPr>
        <w:t> </w:t>
      </w:r>
      <w:r>
        <w:rPr/>
        <w:t>pay</w:t>
      </w:r>
      <w:r>
        <w:rPr>
          <w:spacing w:val="-13"/>
        </w:rPr>
        <w:t> </w:t>
      </w:r>
      <w:r>
        <w:rPr/>
        <w:t>to</w:t>
      </w:r>
      <w:r>
        <w:rPr>
          <w:spacing w:val="-12"/>
        </w:rPr>
        <w:t> </w:t>
      </w:r>
      <w:r>
        <w:rPr/>
        <w:t>these</w:t>
      </w:r>
      <w:r>
        <w:rPr>
          <w:spacing w:val="-13"/>
        </w:rPr>
        <w:t> </w:t>
      </w:r>
      <w:r>
        <w:rPr/>
        <w:t>third</w:t>
      </w:r>
      <w:r>
        <w:rPr>
          <w:spacing w:val="-12"/>
        </w:rPr>
        <w:t> </w:t>
      </w:r>
      <w:r>
        <w:rPr/>
        <w:t>parties</w:t>
      </w:r>
      <w:r>
        <w:rPr>
          <w:spacing w:val="-13"/>
        </w:rPr>
        <w:t> </w:t>
      </w:r>
      <w:r>
        <w:rPr/>
        <w:t>for</w:t>
      </w:r>
      <w:r>
        <w:rPr>
          <w:spacing w:val="-12"/>
        </w:rPr>
        <w:t> </w:t>
      </w:r>
      <w:r>
        <w:rPr/>
        <w:t>rack</w:t>
      </w:r>
      <w:r>
        <w:rPr>
          <w:spacing w:val="-13"/>
        </w:rPr>
        <w:t> </w:t>
      </w:r>
      <w:r>
        <w:rPr/>
        <w:t>space,</w:t>
      </w:r>
      <w:r>
        <w:rPr>
          <w:spacing w:val="-12"/>
        </w:rPr>
        <w:t> </w:t>
      </w:r>
      <w:r>
        <w:rPr/>
        <w:t>power</w:t>
      </w:r>
      <w:r>
        <w:rPr>
          <w:spacing w:val="-13"/>
        </w:rPr>
        <w:t> </w:t>
      </w:r>
      <w:r>
        <w:rPr/>
        <w:t>and</w:t>
      </w:r>
      <w:r>
        <w:rPr>
          <w:spacing w:val="-12"/>
        </w:rPr>
        <w:t> </w:t>
      </w:r>
      <w:r>
        <w:rPr/>
        <w:t>similar items. Cost of subscription revenue also includes media costs related to impressions purchased from third-party ad inventory sources for our Adobe Advertising Cloud offerings.</w:t>
      </w:r>
    </w:p>
    <w:p>
      <w:pPr>
        <w:pStyle w:val="BodyText"/>
        <w:spacing w:before="206"/>
        <w:ind w:left="760"/>
      </w:pPr>
      <w:r>
        <w:rPr/>
        <w:t>Cost</w:t>
      </w:r>
      <w:r>
        <w:rPr>
          <w:spacing w:val="-1"/>
        </w:rPr>
        <w:t> </w:t>
      </w:r>
      <w:r>
        <w:rPr/>
        <w:t>of subscription revenue</w:t>
      </w:r>
      <w:r>
        <w:rPr>
          <w:spacing w:val="-1"/>
        </w:rPr>
        <w:t> </w:t>
      </w:r>
      <w:r>
        <w:rPr/>
        <w:t>increased due</w:t>
      </w:r>
      <w:r>
        <w:rPr>
          <w:spacing w:val="-1"/>
        </w:rPr>
        <w:t> </w:t>
      </w:r>
      <w:r>
        <w:rPr/>
        <w:t>to the </w:t>
      </w:r>
      <w:r>
        <w:rPr>
          <w:spacing w:val="-2"/>
        </w:rPr>
        <w:t>following:</w:t>
      </w:r>
    </w:p>
    <w:p>
      <w:pPr>
        <w:pStyle w:val="BodyText"/>
      </w:pPr>
    </w:p>
    <w:p>
      <w:pPr>
        <w:pStyle w:val="BodyText"/>
        <w:spacing w:before="79" w:after="1"/>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6"/>
        <w:gridCol w:w="1888"/>
        <w:gridCol w:w="545"/>
        <w:gridCol w:w="1302"/>
      </w:tblGrid>
      <w:tr>
        <w:trPr>
          <w:trHeight w:val="168" w:hRule="atLeast"/>
        </w:trPr>
        <w:tc>
          <w:tcPr>
            <w:tcW w:w="6526" w:type="dxa"/>
            <w:vMerge w:val="restart"/>
          </w:tcPr>
          <w:p>
            <w:pPr>
              <w:pStyle w:val="TableParagraph"/>
              <w:rPr>
                <w:sz w:val="18"/>
              </w:rPr>
            </w:pPr>
          </w:p>
        </w:tc>
        <w:tc>
          <w:tcPr>
            <w:tcW w:w="1888" w:type="dxa"/>
          </w:tcPr>
          <w:p>
            <w:pPr>
              <w:pStyle w:val="TableParagraph"/>
              <w:spacing w:line="149" w:lineRule="exact"/>
              <w:jc w:val="right"/>
              <w:rPr>
                <w:b/>
                <w:sz w:val="16"/>
              </w:rPr>
            </w:pPr>
            <w:r>
              <w:rPr>
                <w:b/>
                <w:sz w:val="16"/>
              </w:rPr>
              <w:t>% </w:t>
            </w:r>
            <w:r>
              <w:rPr>
                <w:b/>
                <w:spacing w:val="-2"/>
                <w:sz w:val="16"/>
              </w:rPr>
              <w:t>Change</w:t>
            </w:r>
          </w:p>
        </w:tc>
        <w:tc>
          <w:tcPr>
            <w:tcW w:w="545" w:type="dxa"/>
          </w:tcPr>
          <w:p>
            <w:pPr>
              <w:pStyle w:val="TableParagraph"/>
              <w:rPr>
                <w:sz w:val="10"/>
              </w:rPr>
            </w:pPr>
          </w:p>
        </w:tc>
        <w:tc>
          <w:tcPr>
            <w:tcW w:w="1302" w:type="dxa"/>
          </w:tcPr>
          <w:p>
            <w:pPr>
              <w:pStyle w:val="TableParagraph"/>
              <w:spacing w:line="149" w:lineRule="exact"/>
              <w:ind w:left="207"/>
              <w:rPr>
                <w:b/>
                <w:sz w:val="16"/>
              </w:rPr>
            </w:pPr>
            <w:r>
              <w:rPr>
                <w:b/>
                <w:sz w:val="16"/>
              </w:rPr>
              <w:t>% </w:t>
            </w:r>
            <w:r>
              <w:rPr>
                <w:b/>
                <w:spacing w:val="-2"/>
                <w:sz w:val="16"/>
              </w:rPr>
              <w:t>Change</w:t>
            </w:r>
          </w:p>
        </w:tc>
      </w:tr>
      <w:tr>
        <w:trPr>
          <w:trHeight w:val="208" w:hRule="atLeast"/>
        </w:trPr>
        <w:tc>
          <w:tcPr>
            <w:tcW w:w="6526" w:type="dxa"/>
            <w:vMerge/>
            <w:tcBorders>
              <w:top w:val="nil"/>
            </w:tcBorders>
          </w:tcPr>
          <w:p>
            <w:pPr>
              <w:rPr>
                <w:sz w:val="2"/>
                <w:szCs w:val="2"/>
              </w:rPr>
            </w:pPr>
          </w:p>
        </w:tc>
        <w:tc>
          <w:tcPr>
            <w:tcW w:w="1888" w:type="dxa"/>
            <w:tcBorders>
              <w:bottom w:val="single" w:sz="8" w:space="0" w:color="000000"/>
            </w:tcBorders>
          </w:tcPr>
          <w:p>
            <w:pPr>
              <w:pStyle w:val="TableParagraph"/>
              <w:spacing w:line="169" w:lineRule="exact"/>
              <w:ind w:right="15"/>
              <w:jc w:val="right"/>
              <w:rPr>
                <w:b/>
                <w:sz w:val="16"/>
              </w:rPr>
            </w:pPr>
            <w:r>
              <w:rPr>
                <w:b/>
                <w:sz w:val="16"/>
              </w:rPr>
              <w:t>2017-</w:t>
            </w:r>
            <w:r>
              <w:rPr>
                <w:b/>
                <w:spacing w:val="-4"/>
                <w:sz w:val="16"/>
              </w:rPr>
              <w:t>2016</w:t>
            </w:r>
          </w:p>
        </w:tc>
        <w:tc>
          <w:tcPr>
            <w:tcW w:w="545" w:type="dxa"/>
          </w:tcPr>
          <w:p>
            <w:pPr>
              <w:pStyle w:val="TableParagraph"/>
              <w:rPr>
                <w:sz w:val="14"/>
              </w:rPr>
            </w:pPr>
          </w:p>
        </w:tc>
        <w:tc>
          <w:tcPr>
            <w:tcW w:w="1302" w:type="dxa"/>
            <w:tcBorders>
              <w:bottom w:val="single" w:sz="8" w:space="0" w:color="000000"/>
            </w:tcBorders>
          </w:tcPr>
          <w:p>
            <w:pPr>
              <w:pStyle w:val="TableParagraph"/>
              <w:spacing w:line="169" w:lineRule="exact"/>
              <w:ind w:left="223"/>
              <w:rPr>
                <w:b/>
                <w:sz w:val="16"/>
              </w:rPr>
            </w:pPr>
            <w:r>
              <w:rPr>
                <w:b/>
                <w:sz w:val="16"/>
              </w:rPr>
              <w:t>2016-</w:t>
            </w:r>
            <w:r>
              <w:rPr>
                <w:b/>
                <w:spacing w:val="-4"/>
                <w:sz w:val="16"/>
              </w:rPr>
              <w:t>2015</w:t>
            </w:r>
          </w:p>
        </w:tc>
      </w:tr>
      <w:tr>
        <w:trPr>
          <w:trHeight w:val="270" w:hRule="atLeast"/>
        </w:trPr>
        <w:tc>
          <w:tcPr>
            <w:tcW w:w="6526" w:type="dxa"/>
            <w:shd w:val="clear" w:color="auto" w:fill="CCEDFF"/>
          </w:tcPr>
          <w:p>
            <w:pPr>
              <w:pStyle w:val="TableParagraph"/>
              <w:spacing w:line="222" w:lineRule="exact"/>
              <w:ind w:left="50"/>
              <w:rPr>
                <w:sz w:val="20"/>
              </w:rPr>
            </w:pPr>
            <w:r>
              <w:rPr>
                <w:sz w:val="20"/>
              </w:rPr>
              <w:t>Media </w:t>
            </w:r>
            <w:r>
              <w:rPr>
                <w:spacing w:val="-2"/>
                <w:sz w:val="20"/>
              </w:rPr>
              <w:t>costs</w:t>
            </w:r>
          </w:p>
        </w:tc>
        <w:tc>
          <w:tcPr>
            <w:tcW w:w="1888" w:type="dxa"/>
            <w:tcBorders>
              <w:top w:val="single" w:sz="8" w:space="0" w:color="000000"/>
            </w:tcBorders>
            <w:shd w:val="clear" w:color="auto" w:fill="CCEDFF"/>
          </w:tcPr>
          <w:p>
            <w:pPr>
              <w:pStyle w:val="TableParagraph"/>
              <w:rPr>
                <w:sz w:val="18"/>
              </w:rPr>
            </w:pPr>
          </w:p>
        </w:tc>
        <w:tc>
          <w:tcPr>
            <w:tcW w:w="545" w:type="dxa"/>
            <w:shd w:val="clear" w:color="auto" w:fill="CCEDFF"/>
          </w:tcPr>
          <w:p>
            <w:pPr>
              <w:pStyle w:val="TableParagraph"/>
              <w:spacing w:line="222" w:lineRule="exact"/>
              <w:ind w:left="68"/>
              <w:rPr>
                <w:sz w:val="20"/>
              </w:rPr>
            </w:pPr>
            <w:r>
              <w:rPr>
                <w:spacing w:val="-10"/>
                <w:sz w:val="20"/>
              </w:rPr>
              <w:t>9</w:t>
            </w:r>
          </w:p>
        </w:tc>
        <w:tc>
          <w:tcPr>
            <w:tcW w:w="1302" w:type="dxa"/>
            <w:tcBorders>
              <w:top w:val="single" w:sz="8" w:space="0" w:color="000000"/>
            </w:tcBorders>
            <w:shd w:val="clear" w:color="auto" w:fill="CCEDFF"/>
          </w:tcPr>
          <w:p>
            <w:pPr>
              <w:pStyle w:val="TableParagraph"/>
              <w:spacing w:line="222" w:lineRule="exact"/>
              <w:ind w:right="197"/>
              <w:jc w:val="right"/>
              <w:rPr>
                <w:sz w:val="20"/>
              </w:rPr>
            </w:pPr>
            <w:r>
              <w:rPr>
                <w:spacing w:val="-10"/>
                <w:sz w:val="20"/>
              </w:rPr>
              <w:t>—</w:t>
            </w:r>
          </w:p>
        </w:tc>
      </w:tr>
      <w:tr>
        <w:trPr>
          <w:trHeight w:val="280" w:hRule="atLeast"/>
        </w:trPr>
        <w:tc>
          <w:tcPr>
            <w:tcW w:w="6526" w:type="dxa"/>
          </w:tcPr>
          <w:p>
            <w:pPr>
              <w:pStyle w:val="TableParagraph"/>
              <w:spacing w:before="2"/>
              <w:ind w:left="50"/>
              <w:rPr>
                <w:sz w:val="20"/>
              </w:rPr>
            </w:pPr>
            <w:r>
              <w:rPr>
                <w:sz w:val="20"/>
              </w:rPr>
              <w:t>Hosting</w:t>
            </w:r>
            <w:r>
              <w:rPr>
                <w:spacing w:val="-2"/>
                <w:sz w:val="20"/>
              </w:rPr>
              <w:t> </w:t>
            </w:r>
            <w:r>
              <w:rPr>
                <w:sz w:val="20"/>
              </w:rPr>
              <w:t>services</w:t>
            </w:r>
            <w:r>
              <w:rPr>
                <w:spacing w:val="-2"/>
                <w:sz w:val="20"/>
              </w:rPr>
              <w:t> </w:t>
            </w:r>
            <w:r>
              <w:rPr>
                <w:sz w:val="20"/>
              </w:rPr>
              <w:t>and</w:t>
            </w:r>
            <w:r>
              <w:rPr>
                <w:spacing w:val="-2"/>
                <w:sz w:val="20"/>
              </w:rPr>
              <w:t> </w:t>
            </w:r>
            <w:r>
              <w:rPr>
                <w:sz w:val="20"/>
              </w:rPr>
              <w:t>data</w:t>
            </w:r>
            <w:r>
              <w:rPr>
                <w:spacing w:val="-1"/>
                <w:sz w:val="20"/>
              </w:rPr>
              <w:t> </w:t>
            </w:r>
            <w:r>
              <w:rPr>
                <w:sz w:val="20"/>
              </w:rPr>
              <w:t>center</w:t>
            </w:r>
            <w:r>
              <w:rPr>
                <w:spacing w:val="-1"/>
                <w:sz w:val="20"/>
              </w:rPr>
              <w:t> </w:t>
            </w:r>
            <w:r>
              <w:rPr>
                <w:spacing w:val="-2"/>
                <w:sz w:val="20"/>
              </w:rPr>
              <w:t>costs</w:t>
            </w:r>
          </w:p>
        </w:tc>
        <w:tc>
          <w:tcPr>
            <w:tcW w:w="1888" w:type="dxa"/>
          </w:tcPr>
          <w:p>
            <w:pPr>
              <w:pStyle w:val="TableParagraph"/>
              <w:rPr>
                <w:sz w:val="18"/>
              </w:rPr>
            </w:pPr>
          </w:p>
        </w:tc>
        <w:tc>
          <w:tcPr>
            <w:tcW w:w="545" w:type="dxa"/>
          </w:tcPr>
          <w:p>
            <w:pPr>
              <w:pStyle w:val="TableParagraph"/>
              <w:spacing w:before="2"/>
              <w:ind w:left="68"/>
              <w:rPr>
                <w:sz w:val="20"/>
              </w:rPr>
            </w:pPr>
            <w:r>
              <w:rPr>
                <w:spacing w:val="-10"/>
                <w:sz w:val="20"/>
              </w:rPr>
              <w:t>7</w:t>
            </w:r>
          </w:p>
        </w:tc>
        <w:tc>
          <w:tcPr>
            <w:tcW w:w="1302" w:type="dxa"/>
          </w:tcPr>
          <w:p>
            <w:pPr>
              <w:pStyle w:val="TableParagraph"/>
              <w:spacing w:before="2"/>
              <w:ind w:right="197"/>
              <w:jc w:val="right"/>
              <w:rPr>
                <w:sz w:val="20"/>
              </w:rPr>
            </w:pPr>
            <w:r>
              <w:rPr>
                <w:spacing w:val="-10"/>
                <w:sz w:val="20"/>
              </w:rPr>
              <w:t>9</w:t>
            </w:r>
          </w:p>
        </w:tc>
      </w:tr>
      <w:tr>
        <w:trPr>
          <w:trHeight w:val="280" w:hRule="atLeast"/>
        </w:trPr>
        <w:tc>
          <w:tcPr>
            <w:tcW w:w="6526" w:type="dxa"/>
            <w:shd w:val="clear" w:color="auto" w:fill="CCEDFF"/>
          </w:tcPr>
          <w:p>
            <w:pPr>
              <w:pStyle w:val="TableParagraph"/>
              <w:spacing w:before="2"/>
              <w:ind w:left="50"/>
              <w:rPr>
                <w:sz w:val="20"/>
              </w:rPr>
            </w:pPr>
            <w:r>
              <w:rPr>
                <w:sz w:val="20"/>
              </w:rPr>
              <w:t>Royalty </w:t>
            </w:r>
            <w:r>
              <w:rPr>
                <w:spacing w:val="-2"/>
                <w:sz w:val="20"/>
              </w:rPr>
              <w:t>costs</w:t>
            </w:r>
          </w:p>
        </w:tc>
        <w:tc>
          <w:tcPr>
            <w:tcW w:w="1888" w:type="dxa"/>
            <w:shd w:val="clear" w:color="auto" w:fill="CCEDFF"/>
          </w:tcPr>
          <w:p>
            <w:pPr>
              <w:pStyle w:val="TableParagraph"/>
              <w:rPr>
                <w:sz w:val="18"/>
              </w:rPr>
            </w:pPr>
          </w:p>
        </w:tc>
        <w:tc>
          <w:tcPr>
            <w:tcW w:w="545" w:type="dxa"/>
            <w:shd w:val="clear" w:color="auto" w:fill="CCEDFF"/>
          </w:tcPr>
          <w:p>
            <w:pPr>
              <w:pStyle w:val="TableParagraph"/>
              <w:spacing w:before="2"/>
              <w:ind w:left="68"/>
              <w:rPr>
                <w:sz w:val="20"/>
              </w:rPr>
            </w:pPr>
            <w:r>
              <w:rPr>
                <w:spacing w:val="-10"/>
                <w:sz w:val="20"/>
              </w:rPr>
              <w:t>6</w:t>
            </w:r>
          </w:p>
        </w:tc>
        <w:tc>
          <w:tcPr>
            <w:tcW w:w="1302" w:type="dxa"/>
            <w:shd w:val="clear" w:color="auto" w:fill="CCEDFF"/>
          </w:tcPr>
          <w:p>
            <w:pPr>
              <w:pStyle w:val="TableParagraph"/>
              <w:spacing w:before="2"/>
              <w:ind w:right="197"/>
              <w:jc w:val="right"/>
              <w:rPr>
                <w:sz w:val="20"/>
              </w:rPr>
            </w:pPr>
            <w:r>
              <w:rPr>
                <w:spacing w:val="-10"/>
                <w:sz w:val="20"/>
              </w:rPr>
              <w:t>2</w:t>
            </w:r>
          </w:p>
        </w:tc>
      </w:tr>
      <w:tr>
        <w:trPr>
          <w:trHeight w:val="280" w:hRule="atLeast"/>
        </w:trPr>
        <w:tc>
          <w:tcPr>
            <w:tcW w:w="6526" w:type="dxa"/>
          </w:tcPr>
          <w:p>
            <w:pPr>
              <w:pStyle w:val="TableParagraph"/>
              <w:spacing w:before="2"/>
              <w:ind w:left="50"/>
              <w:rPr>
                <w:sz w:val="20"/>
              </w:rPr>
            </w:pPr>
            <w:r>
              <w:rPr>
                <w:sz w:val="20"/>
              </w:rPr>
              <w:t>Base</w:t>
            </w:r>
            <w:r>
              <w:rPr>
                <w:spacing w:val="-1"/>
                <w:sz w:val="20"/>
              </w:rPr>
              <w:t> </w:t>
            </w:r>
            <w:r>
              <w:rPr>
                <w:sz w:val="20"/>
              </w:rPr>
              <w:t>compensation</w:t>
            </w:r>
            <w:r>
              <w:rPr>
                <w:spacing w:val="-1"/>
                <w:sz w:val="20"/>
              </w:rPr>
              <w:t> </w:t>
            </w:r>
            <w:r>
              <w:rPr>
                <w:sz w:val="20"/>
              </w:rPr>
              <w:t>and</w:t>
            </w:r>
            <w:r>
              <w:rPr>
                <w:spacing w:val="-1"/>
                <w:sz w:val="20"/>
              </w:rPr>
              <w:t> </w:t>
            </w:r>
            <w:r>
              <w:rPr>
                <w:sz w:val="20"/>
              </w:rPr>
              <w:t>related</w:t>
            </w:r>
            <w:r>
              <w:rPr>
                <w:spacing w:val="-2"/>
                <w:sz w:val="20"/>
              </w:rPr>
              <w:t> </w:t>
            </w:r>
            <w:r>
              <w:rPr>
                <w:sz w:val="20"/>
              </w:rPr>
              <w:t>benefits</w:t>
            </w:r>
            <w:r>
              <w:rPr>
                <w:spacing w:val="-1"/>
                <w:sz w:val="20"/>
              </w:rPr>
              <w:t> </w:t>
            </w:r>
            <w:r>
              <w:rPr>
                <w:sz w:val="20"/>
              </w:rPr>
              <w:t>associated</w:t>
            </w:r>
            <w:r>
              <w:rPr>
                <w:spacing w:val="-1"/>
                <w:sz w:val="20"/>
              </w:rPr>
              <w:t> </w:t>
            </w:r>
            <w:r>
              <w:rPr>
                <w:sz w:val="20"/>
              </w:rPr>
              <w:t>with</w:t>
            </w:r>
            <w:r>
              <w:rPr>
                <w:spacing w:val="-1"/>
                <w:sz w:val="20"/>
              </w:rPr>
              <w:t> </w:t>
            </w:r>
            <w:r>
              <w:rPr>
                <w:spacing w:val="-2"/>
                <w:sz w:val="20"/>
              </w:rPr>
              <w:t>headcount</w:t>
            </w:r>
          </w:p>
        </w:tc>
        <w:tc>
          <w:tcPr>
            <w:tcW w:w="1888" w:type="dxa"/>
          </w:tcPr>
          <w:p>
            <w:pPr>
              <w:pStyle w:val="TableParagraph"/>
              <w:rPr>
                <w:sz w:val="18"/>
              </w:rPr>
            </w:pPr>
          </w:p>
        </w:tc>
        <w:tc>
          <w:tcPr>
            <w:tcW w:w="545" w:type="dxa"/>
          </w:tcPr>
          <w:p>
            <w:pPr>
              <w:pStyle w:val="TableParagraph"/>
              <w:spacing w:before="2"/>
              <w:ind w:left="68"/>
              <w:rPr>
                <w:sz w:val="20"/>
              </w:rPr>
            </w:pPr>
            <w:r>
              <w:rPr>
                <w:spacing w:val="-10"/>
                <w:sz w:val="20"/>
              </w:rPr>
              <w:t>6</w:t>
            </w:r>
          </w:p>
        </w:tc>
        <w:tc>
          <w:tcPr>
            <w:tcW w:w="1302" w:type="dxa"/>
          </w:tcPr>
          <w:p>
            <w:pPr>
              <w:pStyle w:val="TableParagraph"/>
              <w:spacing w:before="2"/>
              <w:ind w:right="197"/>
              <w:jc w:val="right"/>
              <w:rPr>
                <w:sz w:val="20"/>
              </w:rPr>
            </w:pPr>
            <w:r>
              <w:rPr>
                <w:spacing w:val="-10"/>
                <w:sz w:val="20"/>
              </w:rPr>
              <w:t>2</w:t>
            </w:r>
          </w:p>
        </w:tc>
      </w:tr>
      <w:tr>
        <w:trPr>
          <w:trHeight w:val="280" w:hRule="atLeast"/>
        </w:trPr>
        <w:tc>
          <w:tcPr>
            <w:tcW w:w="6526" w:type="dxa"/>
            <w:shd w:val="clear" w:color="auto" w:fill="CCEDFF"/>
          </w:tcPr>
          <w:p>
            <w:pPr>
              <w:pStyle w:val="TableParagraph"/>
              <w:spacing w:before="2"/>
              <w:ind w:left="50"/>
              <w:rPr>
                <w:sz w:val="20"/>
              </w:rPr>
            </w:pPr>
            <w:r>
              <w:rPr>
                <w:sz w:val="20"/>
              </w:rPr>
              <w:t>Incentive compensation, cash and stock </w:t>
            </w:r>
            <w:r>
              <w:rPr>
                <w:spacing w:val="-2"/>
                <w:sz w:val="20"/>
              </w:rPr>
              <w:t>based</w:t>
            </w:r>
          </w:p>
        </w:tc>
        <w:tc>
          <w:tcPr>
            <w:tcW w:w="1888" w:type="dxa"/>
            <w:shd w:val="clear" w:color="auto" w:fill="CCEDFF"/>
          </w:tcPr>
          <w:p>
            <w:pPr>
              <w:pStyle w:val="TableParagraph"/>
              <w:rPr>
                <w:sz w:val="18"/>
              </w:rPr>
            </w:pPr>
          </w:p>
        </w:tc>
        <w:tc>
          <w:tcPr>
            <w:tcW w:w="545" w:type="dxa"/>
            <w:shd w:val="clear" w:color="auto" w:fill="CCEDFF"/>
          </w:tcPr>
          <w:p>
            <w:pPr>
              <w:pStyle w:val="TableParagraph"/>
              <w:spacing w:before="2"/>
              <w:ind w:left="68"/>
              <w:rPr>
                <w:sz w:val="20"/>
              </w:rPr>
            </w:pPr>
            <w:r>
              <w:rPr>
                <w:spacing w:val="-10"/>
                <w:sz w:val="20"/>
              </w:rPr>
              <w:t>5</w:t>
            </w:r>
          </w:p>
        </w:tc>
        <w:tc>
          <w:tcPr>
            <w:tcW w:w="1302" w:type="dxa"/>
            <w:shd w:val="clear" w:color="auto" w:fill="CCEDFF"/>
          </w:tcPr>
          <w:p>
            <w:pPr>
              <w:pStyle w:val="TableParagraph"/>
              <w:spacing w:before="2"/>
              <w:ind w:right="197"/>
              <w:jc w:val="right"/>
              <w:rPr>
                <w:sz w:val="20"/>
              </w:rPr>
            </w:pPr>
            <w:r>
              <w:rPr>
                <w:spacing w:val="-10"/>
                <w:sz w:val="20"/>
              </w:rPr>
              <w:t>—</w:t>
            </w:r>
          </w:p>
        </w:tc>
      </w:tr>
      <w:tr>
        <w:trPr>
          <w:trHeight w:val="280" w:hRule="atLeast"/>
        </w:trPr>
        <w:tc>
          <w:tcPr>
            <w:tcW w:w="6526" w:type="dxa"/>
          </w:tcPr>
          <w:p>
            <w:pPr>
              <w:pStyle w:val="TableParagraph"/>
              <w:spacing w:before="2"/>
              <w:ind w:left="50"/>
              <w:rPr>
                <w:sz w:val="20"/>
              </w:rPr>
            </w:pPr>
            <w:r>
              <w:rPr>
                <w:sz w:val="20"/>
              </w:rPr>
              <w:t>Amortization of purchased </w:t>
            </w:r>
            <w:r>
              <w:rPr>
                <w:spacing w:val="-2"/>
                <w:sz w:val="20"/>
              </w:rPr>
              <w:t>intangibles</w:t>
            </w:r>
          </w:p>
        </w:tc>
        <w:tc>
          <w:tcPr>
            <w:tcW w:w="1888" w:type="dxa"/>
          </w:tcPr>
          <w:p>
            <w:pPr>
              <w:pStyle w:val="TableParagraph"/>
              <w:rPr>
                <w:sz w:val="18"/>
              </w:rPr>
            </w:pPr>
          </w:p>
        </w:tc>
        <w:tc>
          <w:tcPr>
            <w:tcW w:w="545" w:type="dxa"/>
          </w:tcPr>
          <w:p>
            <w:pPr>
              <w:pStyle w:val="TableParagraph"/>
              <w:spacing w:before="2"/>
              <w:ind w:left="68"/>
              <w:rPr>
                <w:sz w:val="20"/>
              </w:rPr>
            </w:pPr>
            <w:r>
              <w:rPr>
                <w:spacing w:val="-10"/>
                <w:sz w:val="20"/>
              </w:rPr>
              <w:t>2</w:t>
            </w:r>
          </w:p>
        </w:tc>
        <w:tc>
          <w:tcPr>
            <w:tcW w:w="1302" w:type="dxa"/>
          </w:tcPr>
          <w:p>
            <w:pPr>
              <w:pStyle w:val="TableParagraph"/>
              <w:spacing w:before="2"/>
              <w:ind w:right="129"/>
              <w:jc w:val="right"/>
              <w:rPr>
                <w:sz w:val="20"/>
              </w:rPr>
            </w:pPr>
            <w:r>
              <w:rPr>
                <w:spacing w:val="-5"/>
                <w:sz w:val="20"/>
              </w:rPr>
              <w:t>(4)</w:t>
            </w:r>
          </w:p>
        </w:tc>
      </w:tr>
      <w:tr>
        <w:trPr>
          <w:trHeight w:val="280" w:hRule="atLeast"/>
        </w:trPr>
        <w:tc>
          <w:tcPr>
            <w:tcW w:w="6526" w:type="dxa"/>
            <w:shd w:val="clear" w:color="auto" w:fill="CCEDFF"/>
          </w:tcPr>
          <w:p>
            <w:pPr>
              <w:pStyle w:val="TableParagraph"/>
              <w:spacing w:before="2"/>
              <w:ind w:left="50"/>
              <w:rPr>
                <w:sz w:val="20"/>
              </w:rPr>
            </w:pPr>
            <w:r>
              <w:rPr>
                <w:sz w:val="20"/>
              </w:rPr>
              <w:t>Depreciation </w:t>
            </w:r>
            <w:r>
              <w:rPr>
                <w:spacing w:val="-2"/>
                <w:sz w:val="20"/>
              </w:rPr>
              <w:t>expense</w:t>
            </w:r>
          </w:p>
        </w:tc>
        <w:tc>
          <w:tcPr>
            <w:tcW w:w="1888" w:type="dxa"/>
            <w:shd w:val="clear" w:color="auto" w:fill="CCEDFF"/>
          </w:tcPr>
          <w:p>
            <w:pPr>
              <w:pStyle w:val="TableParagraph"/>
              <w:rPr>
                <w:sz w:val="18"/>
              </w:rPr>
            </w:pPr>
          </w:p>
        </w:tc>
        <w:tc>
          <w:tcPr>
            <w:tcW w:w="545" w:type="dxa"/>
            <w:shd w:val="clear" w:color="auto" w:fill="CCEDFF"/>
          </w:tcPr>
          <w:p>
            <w:pPr>
              <w:pStyle w:val="TableParagraph"/>
              <w:spacing w:before="2"/>
              <w:ind w:left="1"/>
              <w:rPr>
                <w:sz w:val="20"/>
              </w:rPr>
            </w:pPr>
            <w:r>
              <w:rPr>
                <w:spacing w:val="-5"/>
                <w:sz w:val="20"/>
              </w:rPr>
              <w:t>(1)</w:t>
            </w:r>
          </w:p>
        </w:tc>
        <w:tc>
          <w:tcPr>
            <w:tcW w:w="1302" w:type="dxa"/>
            <w:shd w:val="clear" w:color="auto" w:fill="CCEDFF"/>
          </w:tcPr>
          <w:p>
            <w:pPr>
              <w:pStyle w:val="TableParagraph"/>
              <w:spacing w:before="2"/>
              <w:ind w:right="197"/>
              <w:jc w:val="right"/>
              <w:rPr>
                <w:sz w:val="20"/>
              </w:rPr>
            </w:pPr>
            <w:r>
              <w:rPr>
                <w:spacing w:val="-10"/>
                <w:sz w:val="20"/>
              </w:rPr>
              <w:t>2</w:t>
            </w:r>
          </w:p>
        </w:tc>
      </w:tr>
      <w:tr>
        <w:trPr>
          <w:trHeight w:val="280" w:hRule="atLeast"/>
        </w:trPr>
        <w:tc>
          <w:tcPr>
            <w:tcW w:w="6526" w:type="dxa"/>
          </w:tcPr>
          <w:p>
            <w:pPr>
              <w:pStyle w:val="TableParagraph"/>
              <w:spacing w:before="2"/>
              <w:ind w:left="50"/>
              <w:rPr>
                <w:sz w:val="20"/>
              </w:rPr>
            </w:pPr>
            <w:r>
              <w:rPr>
                <w:sz w:val="20"/>
              </w:rPr>
              <w:t>Various</w:t>
            </w:r>
            <w:r>
              <w:rPr>
                <w:spacing w:val="-11"/>
                <w:sz w:val="20"/>
              </w:rPr>
              <w:t> </w:t>
            </w:r>
            <w:r>
              <w:rPr>
                <w:sz w:val="20"/>
              </w:rPr>
              <w:t>individually</w:t>
            </w:r>
            <w:r>
              <w:rPr>
                <w:spacing w:val="-9"/>
                <w:sz w:val="20"/>
              </w:rPr>
              <w:t> </w:t>
            </w:r>
            <w:r>
              <w:rPr>
                <w:sz w:val="20"/>
              </w:rPr>
              <w:t>insignificant</w:t>
            </w:r>
            <w:r>
              <w:rPr>
                <w:spacing w:val="-9"/>
                <w:sz w:val="20"/>
              </w:rPr>
              <w:t> </w:t>
            </w:r>
            <w:r>
              <w:rPr>
                <w:spacing w:val="-2"/>
                <w:sz w:val="20"/>
              </w:rPr>
              <w:t>items</w:t>
            </w:r>
          </w:p>
        </w:tc>
        <w:tc>
          <w:tcPr>
            <w:tcW w:w="1888" w:type="dxa"/>
          </w:tcPr>
          <w:p>
            <w:pPr>
              <w:pStyle w:val="TableParagraph"/>
              <w:rPr>
                <w:sz w:val="18"/>
              </w:rPr>
            </w:pPr>
          </w:p>
        </w:tc>
        <w:tc>
          <w:tcPr>
            <w:tcW w:w="545" w:type="dxa"/>
          </w:tcPr>
          <w:p>
            <w:pPr>
              <w:pStyle w:val="TableParagraph"/>
              <w:spacing w:before="2"/>
              <w:ind w:left="68"/>
              <w:rPr>
                <w:sz w:val="20"/>
              </w:rPr>
            </w:pPr>
            <w:r>
              <w:rPr>
                <w:spacing w:val="-10"/>
                <w:sz w:val="20"/>
              </w:rPr>
              <w:t>1</w:t>
            </w:r>
          </w:p>
        </w:tc>
        <w:tc>
          <w:tcPr>
            <w:tcW w:w="1302" w:type="dxa"/>
          </w:tcPr>
          <w:p>
            <w:pPr>
              <w:pStyle w:val="TableParagraph"/>
              <w:spacing w:before="2"/>
              <w:ind w:right="197"/>
              <w:jc w:val="right"/>
              <w:rPr>
                <w:sz w:val="20"/>
              </w:rPr>
            </w:pPr>
            <w:r>
              <w:rPr>
                <w:spacing w:val="-10"/>
                <w:sz w:val="20"/>
              </w:rPr>
              <w:t>2</w:t>
            </w:r>
          </w:p>
        </w:tc>
      </w:tr>
      <w:tr>
        <w:trPr>
          <w:trHeight w:val="229" w:hRule="atLeast"/>
        </w:trPr>
        <w:tc>
          <w:tcPr>
            <w:tcW w:w="6526" w:type="dxa"/>
            <w:shd w:val="clear" w:color="auto" w:fill="CCEDFF"/>
          </w:tcPr>
          <w:p>
            <w:pPr>
              <w:pStyle w:val="TableParagraph"/>
              <w:spacing w:line="220" w:lineRule="exact"/>
              <w:ind w:left="170"/>
              <w:rPr>
                <w:sz w:val="20"/>
              </w:rPr>
            </w:pPr>
            <w:r>
              <w:rPr>
                <w:spacing w:val="-2"/>
                <w:sz w:val="20"/>
              </w:rPr>
              <w:t>Total</w:t>
            </w:r>
            <w:r>
              <w:rPr>
                <w:spacing w:val="-4"/>
                <w:sz w:val="20"/>
              </w:rPr>
              <w:t> </w:t>
            </w:r>
            <w:r>
              <w:rPr>
                <w:spacing w:val="-2"/>
                <w:sz w:val="20"/>
              </w:rPr>
              <w:t>change</w:t>
            </w:r>
          </w:p>
        </w:tc>
        <w:tc>
          <w:tcPr>
            <w:tcW w:w="2433" w:type="dxa"/>
            <w:gridSpan w:val="2"/>
            <w:shd w:val="clear" w:color="auto" w:fill="CCEDFF"/>
          </w:tcPr>
          <w:p>
            <w:pPr>
              <w:pStyle w:val="TableParagraph"/>
              <w:spacing w:line="220" w:lineRule="exact"/>
              <w:ind w:right="207"/>
              <w:jc w:val="right"/>
              <w:rPr>
                <w:sz w:val="20"/>
              </w:rPr>
            </w:pPr>
            <w:r>
              <w:rPr>
                <w:spacing w:val="-5"/>
                <w:sz w:val="20"/>
              </w:rPr>
              <w:t>35%</w:t>
            </w:r>
          </w:p>
        </w:tc>
        <w:tc>
          <w:tcPr>
            <w:tcW w:w="1302" w:type="dxa"/>
            <w:tcBorders>
              <w:top w:val="single" w:sz="8" w:space="0" w:color="000000"/>
              <w:bottom w:val="double" w:sz="8" w:space="0" w:color="000000"/>
            </w:tcBorders>
            <w:shd w:val="clear" w:color="auto" w:fill="CCEDFF"/>
          </w:tcPr>
          <w:p>
            <w:pPr>
              <w:pStyle w:val="TableParagraph"/>
              <w:spacing w:line="220" w:lineRule="exact"/>
              <w:ind w:right="29"/>
              <w:jc w:val="right"/>
              <w:rPr>
                <w:sz w:val="20"/>
              </w:rPr>
            </w:pPr>
            <w:r>
              <w:rPr>
                <w:spacing w:val="-5"/>
                <w:sz w:val="20"/>
              </w:rPr>
              <w:t>13%</w:t>
            </w:r>
          </w:p>
        </w:tc>
      </w:tr>
    </w:tbl>
    <w:p>
      <w:pPr>
        <w:pStyle w:val="BodyText"/>
        <w:spacing w:line="249" w:lineRule="auto" w:before="215"/>
        <w:ind w:left="220" w:right="257" w:firstLine="540"/>
        <w:jc w:val="both"/>
      </w:pPr>
      <w:r>
        <w:rPr/>
        <w:t>Media</w:t>
      </w:r>
      <w:r>
        <w:rPr>
          <w:spacing w:val="-8"/>
        </w:rPr>
        <w:t> </w:t>
      </w:r>
      <w:r>
        <w:rPr/>
        <w:t>costs</w:t>
      </w:r>
      <w:r>
        <w:rPr>
          <w:spacing w:val="-8"/>
        </w:rPr>
        <w:t> </w:t>
      </w:r>
      <w:r>
        <w:rPr/>
        <w:t>increased</w:t>
      </w:r>
      <w:r>
        <w:rPr>
          <w:spacing w:val="-8"/>
        </w:rPr>
        <w:t> </w:t>
      </w:r>
      <w:r>
        <w:rPr/>
        <w:t>during</w:t>
      </w:r>
      <w:r>
        <w:rPr>
          <w:spacing w:val="-8"/>
        </w:rPr>
        <w:t> </w:t>
      </w:r>
      <w:r>
        <w:rPr/>
        <w:t>fiscal</w:t>
      </w:r>
      <w:r>
        <w:rPr>
          <w:spacing w:val="-8"/>
        </w:rPr>
        <w:t> </w:t>
      </w:r>
      <w:r>
        <w:rPr/>
        <w:t>2017</w:t>
      </w:r>
      <w:r>
        <w:rPr>
          <w:spacing w:val="-8"/>
        </w:rPr>
        <w:t> </w:t>
      </w:r>
      <w:r>
        <w:rPr/>
        <w:t>as</w:t>
      </w:r>
      <w:r>
        <w:rPr>
          <w:spacing w:val="-8"/>
        </w:rPr>
        <w:t> </w:t>
      </w:r>
      <w:r>
        <w:rPr/>
        <w:t>compared</w:t>
      </w:r>
      <w:r>
        <w:rPr>
          <w:spacing w:val="-8"/>
        </w:rPr>
        <w:t> </w:t>
      </w:r>
      <w:r>
        <w:rPr/>
        <w:t>to</w:t>
      </w:r>
      <w:r>
        <w:rPr>
          <w:spacing w:val="-8"/>
        </w:rPr>
        <w:t> </w:t>
      </w:r>
      <w:r>
        <w:rPr/>
        <w:t>fiscal</w:t>
      </w:r>
      <w:r>
        <w:rPr>
          <w:spacing w:val="-8"/>
        </w:rPr>
        <w:t> </w:t>
      </w:r>
      <w:r>
        <w:rPr/>
        <w:t>2016</w:t>
      </w:r>
      <w:r>
        <w:rPr>
          <w:spacing w:val="-8"/>
        </w:rPr>
        <w:t> </w:t>
      </w:r>
      <w:r>
        <w:rPr/>
        <w:t>primarily</w:t>
      </w:r>
      <w:r>
        <w:rPr>
          <w:spacing w:val="-8"/>
        </w:rPr>
        <w:t> </w:t>
      </w:r>
      <w:r>
        <w:rPr/>
        <w:t>due</w:t>
      </w:r>
      <w:r>
        <w:rPr>
          <w:spacing w:val="-8"/>
        </w:rPr>
        <w:t> </w:t>
      </w:r>
      <w:r>
        <w:rPr/>
        <w:t>to</w:t>
      </w:r>
      <w:r>
        <w:rPr>
          <w:spacing w:val="-8"/>
        </w:rPr>
        <w:t> </w:t>
      </w:r>
      <w:r>
        <w:rPr/>
        <w:t>our</w:t>
      </w:r>
      <w:r>
        <w:rPr>
          <w:spacing w:val="-11"/>
        </w:rPr>
        <w:t> </w:t>
      </w:r>
      <w:r>
        <w:rPr/>
        <w:t>TubeMogul</w:t>
      </w:r>
      <w:r>
        <w:rPr>
          <w:spacing w:val="-9"/>
        </w:rPr>
        <w:t> </w:t>
      </w:r>
      <w:r>
        <w:rPr/>
        <w:t>advertising</w:t>
      </w:r>
      <w:r>
        <w:rPr>
          <w:spacing w:val="-8"/>
        </w:rPr>
        <w:t> </w:t>
      </w:r>
      <w:r>
        <w:rPr/>
        <w:t>platform offerings, which are part of the</w:t>
      </w:r>
      <w:r>
        <w:rPr>
          <w:spacing w:val="-6"/>
        </w:rPr>
        <w:t> </w:t>
      </w:r>
      <w:r>
        <w:rPr/>
        <w:t>Adobe</w:t>
      </w:r>
      <w:r>
        <w:rPr>
          <w:spacing w:val="-7"/>
        </w:rPr>
        <w:t> </w:t>
      </w:r>
      <w:r>
        <w:rPr/>
        <w:t>Advertising Cloud and were acquired through our acquisition of TubeMogul in the first quarter of fiscal 2017. Royalty costs increased due to increases in obligations to certain key vendors for technology use.</w:t>
      </w:r>
    </w:p>
    <w:p>
      <w:pPr>
        <w:pStyle w:val="BodyText"/>
        <w:spacing w:line="249" w:lineRule="auto" w:before="203"/>
        <w:ind w:left="220" w:right="257" w:firstLine="540"/>
        <w:jc w:val="both"/>
      </w:pPr>
      <w:r>
        <w:rPr>
          <w:spacing w:val="-2"/>
        </w:rPr>
        <w:t>Hosting</w:t>
      </w:r>
      <w:r>
        <w:rPr>
          <w:spacing w:val="-11"/>
        </w:rPr>
        <w:t> </w:t>
      </w:r>
      <w:r>
        <w:rPr>
          <w:spacing w:val="-2"/>
        </w:rPr>
        <w:t>services</w:t>
      </w:r>
      <w:r>
        <w:rPr>
          <w:spacing w:val="-9"/>
        </w:rPr>
        <w:t> </w:t>
      </w:r>
      <w:r>
        <w:rPr>
          <w:spacing w:val="-2"/>
        </w:rPr>
        <w:t>and</w:t>
      </w:r>
      <w:r>
        <w:rPr>
          <w:spacing w:val="-10"/>
        </w:rPr>
        <w:t> </w:t>
      </w:r>
      <w:r>
        <w:rPr>
          <w:spacing w:val="-2"/>
        </w:rPr>
        <w:t>data</w:t>
      </w:r>
      <w:r>
        <w:rPr>
          <w:spacing w:val="-11"/>
        </w:rPr>
        <w:t> </w:t>
      </w:r>
      <w:r>
        <w:rPr>
          <w:spacing w:val="-2"/>
        </w:rPr>
        <w:t>center</w:t>
      </w:r>
      <w:r>
        <w:rPr>
          <w:spacing w:val="-10"/>
        </w:rPr>
        <w:t> </w:t>
      </w:r>
      <w:r>
        <w:rPr>
          <w:spacing w:val="-2"/>
        </w:rPr>
        <w:t>costs</w:t>
      </w:r>
      <w:r>
        <w:rPr>
          <w:spacing w:val="-11"/>
        </w:rPr>
        <w:t> </w:t>
      </w:r>
      <w:r>
        <w:rPr>
          <w:spacing w:val="-2"/>
        </w:rPr>
        <w:t>increased</w:t>
      </w:r>
      <w:r>
        <w:rPr>
          <w:spacing w:val="-10"/>
        </w:rPr>
        <w:t> </w:t>
      </w:r>
      <w:r>
        <w:rPr>
          <w:spacing w:val="-2"/>
        </w:rPr>
        <w:t>in</w:t>
      </w:r>
      <w:r>
        <w:rPr>
          <w:spacing w:val="-11"/>
        </w:rPr>
        <w:t> </w:t>
      </w:r>
      <w:r>
        <w:rPr>
          <w:spacing w:val="-2"/>
        </w:rPr>
        <w:t>all</w:t>
      </w:r>
      <w:r>
        <w:rPr>
          <w:spacing w:val="-10"/>
        </w:rPr>
        <w:t> </w:t>
      </w:r>
      <w:r>
        <w:rPr>
          <w:spacing w:val="-2"/>
        </w:rPr>
        <w:t>periods</w:t>
      </w:r>
      <w:r>
        <w:rPr>
          <w:spacing w:val="-9"/>
        </w:rPr>
        <w:t> </w:t>
      </w:r>
      <w:r>
        <w:rPr>
          <w:spacing w:val="-2"/>
        </w:rPr>
        <w:t>presented</w:t>
      </w:r>
      <w:r>
        <w:rPr>
          <w:spacing w:val="-11"/>
        </w:rPr>
        <w:t> </w:t>
      </w:r>
      <w:r>
        <w:rPr>
          <w:spacing w:val="-2"/>
        </w:rPr>
        <w:t>primarily</w:t>
      </w:r>
      <w:r>
        <w:rPr>
          <w:spacing w:val="-10"/>
        </w:rPr>
        <w:t> </w:t>
      </w:r>
      <w:r>
        <w:rPr>
          <w:spacing w:val="-2"/>
        </w:rPr>
        <w:t>due</w:t>
      </w:r>
      <w:r>
        <w:rPr>
          <w:spacing w:val="-11"/>
        </w:rPr>
        <w:t> </w:t>
      </w:r>
      <w:r>
        <w:rPr>
          <w:spacing w:val="-2"/>
        </w:rPr>
        <w:t>to</w:t>
      </w:r>
      <w:r>
        <w:rPr>
          <w:spacing w:val="-10"/>
        </w:rPr>
        <w:t> </w:t>
      </w:r>
      <w:r>
        <w:rPr>
          <w:spacing w:val="-2"/>
        </w:rPr>
        <w:t>the</w:t>
      </w:r>
      <w:r>
        <w:rPr>
          <w:spacing w:val="-11"/>
        </w:rPr>
        <w:t> </w:t>
      </w:r>
      <w:r>
        <w:rPr>
          <w:spacing w:val="-2"/>
        </w:rPr>
        <w:t>continued</w:t>
      </w:r>
      <w:r>
        <w:rPr>
          <w:spacing w:val="-10"/>
        </w:rPr>
        <w:t> </w:t>
      </w:r>
      <w:r>
        <w:rPr>
          <w:spacing w:val="-2"/>
        </w:rPr>
        <w:t>increase</w:t>
      </w:r>
      <w:r>
        <w:rPr>
          <w:spacing w:val="-11"/>
        </w:rPr>
        <w:t> </w:t>
      </w:r>
      <w:r>
        <w:rPr>
          <w:spacing w:val="-2"/>
        </w:rPr>
        <w:t>in</w:t>
      </w:r>
      <w:r>
        <w:rPr>
          <w:spacing w:val="-10"/>
        </w:rPr>
        <w:t> </w:t>
      </w:r>
      <w:r>
        <w:rPr>
          <w:spacing w:val="-2"/>
        </w:rPr>
        <w:t>transaction </w:t>
      </w:r>
      <w:r>
        <w:rPr/>
        <w:t>volumes in our Adobe Experience Cloud and Creative Cloud offerings.</w:t>
      </w:r>
    </w:p>
    <w:p>
      <w:pPr>
        <w:pStyle w:val="BodyText"/>
        <w:spacing w:line="249" w:lineRule="auto" w:before="201"/>
        <w:ind w:left="220" w:right="258" w:firstLine="540"/>
        <w:jc w:val="both"/>
      </w:pPr>
      <w:r>
        <w:rPr/>
        <w:t>The</w:t>
      </w:r>
      <w:r>
        <w:rPr>
          <w:spacing w:val="-4"/>
        </w:rPr>
        <w:t> </w:t>
      </w:r>
      <w:r>
        <w:rPr/>
        <w:t>increase</w:t>
      </w:r>
      <w:r>
        <w:rPr>
          <w:spacing w:val="-4"/>
        </w:rPr>
        <w:t> </w:t>
      </w:r>
      <w:r>
        <w:rPr/>
        <w:t>in</w:t>
      </w:r>
      <w:r>
        <w:rPr>
          <w:spacing w:val="-4"/>
        </w:rPr>
        <w:t> </w:t>
      </w:r>
      <w:r>
        <w:rPr/>
        <w:t>cost</w:t>
      </w:r>
      <w:r>
        <w:rPr>
          <w:spacing w:val="-4"/>
        </w:rPr>
        <w:t> </w:t>
      </w:r>
      <w:r>
        <w:rPr/>
        <w:t>of</w:t>
      </w:r>
      <w:r>
        <w:rPr>
          <w:spacing w:val="-4"/>
        </w:rPr>
        <w:t> </w:t>
      </w:r>
      <w:r>
        <w:rPr/>
        <w:t>subscription</w:t>
      </w:r>
      <w:r>
        <w:rPr>
          <w:spacing w:val="-4"/>
        </w:rPr>
        <w:t> </w:t>
      </w:r>
      <w:r>
        <w:rPr/>
        <w:t>revenue</w:t>
      </w:r>
      <w:r>
        <w:rPr>
          <w:spacing w:val="-4"/>
        </w:rPr>
        <w:t> </w:t>
      </w:r>
      <w:r>
        <w:rPr/>
        <w:t>during</w:t>
      </w:r>
      <w:r>
        <w:rPr>
          <w:spacing w:val="-4"/>
        </w:rPr>
        <w:t> </w:t>
      </w:r>
      <w:r>
        <w:rPr/>
        <w:t>fiscal</w:t>
      </w:r>
      <w:r>
        <w:rPr>
          <w:spacing w:val="-4"/>
        </w:rPr>
        <w:t> </w:t>
      </w:r>
      <w:r>
        <w:rPr/>
        <w:t>2016</w:t>
      </w:r>
      <w:r>
        <w:rPr>
          <w:spacing w:val="-4"/>
        </w:rPr>
        <w:t> </w:t>
      </w:r>
      <w:r>
        <w:rPr/>
        <w:t>compared</w:t>
      </w:r>
      <w:r>
        <w:rPr>
          <w:spacing w:val="-4"/>
        </w:rPr>
        <w:t> </w:t>
      </w:r>
      <w:r>
        <w:rPr/>
        <w:t>to</w:t>
      </w:r>
      <w:r>
        <w:rPr>
          <w:spacing w:val="-4"/>
        </w:rPr>
        <w:t> </w:t>
      </w:r>
      <w:r>
        <w:rPr/>
        <w:t>fiscal</w:t>
      </w:r>
      <w:r>
        <w:rPr>
          <w:spacing w:val="-4"/>
        </w:rPr>
        <w:t> </w:t>
      </w:r>
      <w:r>
        <w:rPr/>
        <w:t>2015</w:t>
      </w:r>
      <w:r>
        <w:rPr>
          <w:spacing w:val="-4"/>
        </w:rPr>
        <w:t> </w:t>
      </w:r>
      <w:r>
        <w:rPr/>
        <w:t>were</w:t>
      </w:r>
      <w:r>
        <w:rPr>
          <w:spacing w:val="-4"/>
        </w:rPr>
        <w:t> </w:t>
      </w:r>
      <w:r>
        <w:rPr/>
        <w:t>partially</w:t>
      </w:r>
      <w:r>
        <w:rPr>
          <w:spacing w:val="-4"/>
        </w:rPr>
        <w:t> </w:t>
      </w:r>
      <w:r>
        <w:rPr/>
        <w:t>offset</w:t>
      </w:r>
      <w:r>
        <w:rPr>
          <w:spacing w:val="-4"/>
        </w:rPr>
        <w:t> </w:t>
      </w:r>
      <w:r>
        <w:rPr/>
        <w:t>by</w:t>
      </w:r>
      <w:r>
        <w:rPr>
          <w:spacing w:val="-4"/>
        </w:rPr>
        <w:t> </w:t>
      </w:r>
      <w:r>
        <w:rPr/>
        <w:t>decreases </w:t>
      </w:r>
      <w:r>
        <w:rPr>
          <w:spacing w:val="-2"/>
        </w:rPr>
        <w:t>in</w:t>
      </w:r>
      <w:r>
        <w:rPr>
          <w:spacing w:val="-7"/>
        </w:rPr>
        <w:t> </w:t>
      </w:r>
      <w:r>
        <w:rPr>
          <w:spacing w:val="-2"/>
        </w:rPr>
        <w:t>amortization</w:t>
      </w:r>
      <w:r>
        <w:rPr>
          <w:spacing w:val="-7"/>
        </w:rPr>
        <w:t> </w:t>
      </w:r>
      <w:r>
        <w:rPr>
          <w:spacing w:val="-2"/>
        </w:rPr>
        <w:t>of</w:t>
      </w:r>
      <w:r>
        <w:rPr>
          <w:spacing w:val="-5"/>
        </w:rPr>
        <w:t> </w:t>
      </w:r>
      <w:r>
        <w:rPr>
          <w:spacing w:val="-2"/>
        </w:rPr>
        <w:t>purchased</w:t>
      </w:r>
      <w:r>
        <w:rPr>
          <w:spacing w:val="-7"/>
        </w:rPr>
        <w:t> </w:t>
      </w:r>
      <w:r>
        <w:rPr>
          <w:spacing w:val="-2"/>
        </w:rPr>
        <w:t>intangibles</w:t>
      </w:r>
      <w:r>
        <w:rPr>
          <w:spacing w:val="-5"/>
        </w:rPr>
        <w:t> </w:t>
      </w:r>
      <w:r>
        <w:rPr>
          <w:spacing w:val="-2"/>
        </w:rPr>
        <w:t>driven</w:t>
      </w:r>
      <w:r>
        <w:rPr>
          <w:spacing w:val="-7"/>
        </w:rPr>
        <w:t> </w:t>
      </w:r>
      <w:r>
        <w:rPr>
          <w:spacing w:val="-2"/>
        </w:rPr>
        <w:t>by</w:t>
      </w:r>
      <w:r>
        <w:rPr>
          <w:spacing w:val="-7"/>
        </w:rPr>
        <w:t> </w:t>
      </w:r>
      <w:r>
        <w:rPr>
          <w:spacing w:val="-2"/>
        </w:rPr>
        <w:t>the</w:t>
      </w:r>
      <w:r>
        <w:rPr>
          <w:spacing w:val="-7"/>
        </w:rPr>
        <w:t> </w:t>
      </w:r>
      <w:r>
        <w:rPr>
          <w:spacing w:val="-2"/>
        </w:rPr>
        <w:t>decrease</w:t>
      </w:r>
      <w:r>
        <w:rPr>
          <w:spacing w:val="-7"/>
        </w:rPr>
        <w:t> </w:t>
      </w:r>
      <w:r>
        <w:rPr>
          <w:spacing w:val="-2"/>
        </w:rPr>
        <w:t>in</w:t>
      </w:r>
      <w:r>
        <w:rPr>
          <w:spacing w:val="-7"/>
        </w:rPr>
        <w:t> </w:t>
      </w:r>
      <w:r>
        <w:rPr>
          <w:spacing w:val="-2"/>
        </w:rPr>
        <w:t>amortization</w:t>
      </w:r>
      <w:r>
        <w:rPr>
          <w:spacing w:val="-7"/>
        </w:rPr>
        <w:t> </w:t>
      </w:r>
      <w:r>
        <w:rPr>
          <w:spacing w:val="-2"/>
        </w:rPr>
        <w:t>expense</w:t>
      </w:r>
      <w:r>
        <w:rPr>
          <w:spacing w:val="-7"/>
        </w:rPr>
        <w:t> </w:t>
      </w:r>
      <w:r>
        <w:rPr>
          <w:spacing w:val="-2"/>
        </w:rPr>
        <w:t>associated</w:t>
      </w:r>
      <w:r>
        <w:rPr>
          <w:spacing w:val="-7"/>
        </w:rPr>
        <w:t> </w:t>
      </w:r>
      <w:r>
        <w:rPr>
          <w:spacing w:val="-2"/>
        </w:rPr>
        <w:t>with</w:t>
      </w:r>
      <w:r>
        <w:rPr>
          <w:spacing w:val="-5"/>
        </w:rPr>
        <w:t> </w:t>
      </w:r>
      <w:r>
        <w:rPr>
          <w:spacing w:val="-2"/>
        </w:rPr>
        <w:t>intangible</w:t>
      </w:r>
      <w:r>
        <w:rPr>
          <w:spacing w:val="-7"/>
        </w:rPr>
        <w:t> </w:t>
      </w:r>
      <w:r>
        <w:rPr>
          <w:spacing w:val="-2"/>
        </w:rPr>
        <w:t>assets</w:t>
      </w:r>
      <w:r>
        <w:rPr>
          <w:spacing w:val="-7"/>
        </w:rPr>
        <w:t> </w:t>
      </w:r>
      <w:r>
        <w:rPr>
          <w:spacing w:val="-2"/>
        </w:rPr>
        <w:t>purchased </w:t>
      </w:r>
      <w:r>
        <w:rPr/>
        <w:t>through our acquisitions of Omniture and Efficient Frontier that became fully amortized in the latter part of fiscal 2015.</w:t>
      </w:r>
    </w:p>
    <w:p>
      <w:pPr>
        <w:spacing w:after="0" w:line="249" w:lineRule="auto"/>
        <w:jc w:val="both"/>
        <w:sectPr>
          <w:pgSz w:w="12240" w:h="15840"/>
          <w:pgMar w:header="210" w:footer="579" w:top="420" w:bottom="800" w:left="780" w:right="740"/>
        </w:sectPr>
      </w:pPr>
    </w:p>
    <w:p>
      <w:pPr>
        <w:pStyle w:val="BodyText"/>
        <w:spacing w:before="150"/>
      </w:pPr>
      <w:r>
        <w:rPr/>
        <mc:AlternateContent>
          <mc:Choice Requires="wps">
            <w:drawing>
              <wp:anchor distT="0" distB="0" distL="0" distR="0" allowOverlap="1" layoutInCell="1" locked="0" behindDoc="0" simplePos="0" relativeHeight="15758336">
                <wp:simplePos x="0" y="0"/>
                <wp:positionH relativeFrom="page">
                  <wp:posOffset>3473450</wp:posOffset>
                </wp:positionH>
                <wp:positionV relativeFrom="page">
                  <wp:posOffset>9282430</wp:posOffset>
                </wp:positionV>
                <wp:extent cx="685800" cy="3810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685800" cy="38100"/>
                          <a:chExt cx="685800" cy="38100"/>
                        </a:xfrm>
                      </wpg:grpSpPr>
                      <wps:wsp>
                        <wps:cNvPr id="157" name="Graphic 157"/>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0" y="317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5pt;margin-top:730.900024pt;width:54pt;height:3pt;mso-position-horizontal-relative:page;mso-position-vertical-relative:page;z-index:15758336" id="docshapegroup108" coordorigin="5470,14618" coordsize="1080,60">
                <v:rect style="position:absolute;left:5470;top:14618;width:1080;height:20" id="docshape109" filled="true" fillcolor="#000000" stroked="false">
                  <v:fill type="solid"/>
                </v:rect>
                <v:line style="position:absolute" from="5470,14668" to="6550,14668"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4210050</wp:posOffset>
                </wp:positionH>
                <wp:positionV relativeFrom="page">
                  <wp:posOffset>9282430</wp:posOffset>
                </wp:positionV>
                <wp:extent cx="698500" cy="3810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698500" cy="38100"/>
                          <a:chExt cx="698500" cy="38100"/>
                        </a:xfrm>
                      </wpg:grpSpPr>
                      <wps:wsp>
                        <wps:cNvPr id="160" name="Graphic 160"/>
                        <wps:cNvSpPr/>
                        <wps:spPr>
                          <a:xfrm>
                            <a:off x="0" y="0"/>
                            <a:ext cx="698500" cy="12700"/>
                          </a:xfrm>
                          <a:custGeom>
                            <a:avLst/>
                            <a:gdLst/>
                            <a:ahLst/>
                            <a:cxnLst/>
                            <a:rect l="l" t="t" r="r" b="b"/>
                            <a:pathLst>
                              <a:path w="698500" h="12700">
                                <a:moveTo>
                                  <a:pt x="0" y="12700"/>
                                </a:moveTo>
                                <a:lnTo>
                                  <a:pt x="698500" y="12700"/>
                                </a:lnTo>
                                <a:lnTo>
                                  <a:pt x="6985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0" y="3175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5pt;margin-top:730.900024pt;width:55pt;height:3pt;mso-position-horizontal-relative:page;mso-position-vertical-relative:page;z-index:15758848" id="docshapegroup110" coordorigin="6630,14618" coordsize="1100,60">
                <v:rect style="position:absolute;left:6630;top:14618;width:1100;height:20" id="docshape111" filled="true" fillcolor="#000000" stroked="false">
                  <v:fill type="solid"/>
                </v:rect>
                <v:line style="position:absolute" from="6630,14668" to="7730,14668"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4959350</wp:posOffset>
                </wp:positionH>
                <wp:positionV relativeFrom="page">
                  <wp:posOffset>9282430</wp:posOffset>
                </wp:positionV>
                <wp:extent cx="685800" cy="3810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685800" cy="38100"/>
                          <a:chExt cx="685800" cy="38100"/>
                        </a:xfrm>
                      </wpg:grpSpPr>
                      <wps:wsp>
                        <wps:cNvPr id="163" name="Graphic 163"/>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0" y="317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5pt;margin-top:730.900024pt;width:54pt;height:3pt;mso-position-horizontal-relative:page;mso-position-vertical-relative:page;z-index:15759360" id="docshapegroup112" coordorigin="7810,14618" coordsize="1080,60">
                <v:rect style="position:absolute;left:7810;top:14618;width:1080;height:20" id="docshape113" filled="true" fillcolor="#000000" stroked="false">
                  <v:fill type="solid"/>
                </v:rect>
                <v:line style="position:absolute" from="7810,14668" to="8890,14668" stroked="true" strokeweight="1pt" strokecolor="#000000">
                  <v:stroke dashstyle="solid"/>
                </v:line>
                <w10:wrap type="none"/>
              </v:group>
            </w:pict>
          </mc:Fallback>
        </mc:AlternateContent>
      </w:r>
    </w:p>
    <w:p>
      <w:pPr>
        <w:spacing w:before="0"/>
        <w:ind w:left="220" w:right="0" w:firstLine="0"/>
        <w:jc w:val="left"/>
        <w:rPr>
          <w:i/>
          <w:sz w:val="20"/>
        </w:rPr>
      </w:pPr>
      <w:r>
        <w:rPr>
          <w:i/>
          <w:spacing w:val="-2"/>
          <w:sz w:val="20"/>
        </w:rPr>
        <w:t>Product</w:t>
      </w:r>
    </w:p>
    <w:p>
      <w:pPr>
        <w:pStyle w:val="BodyText"/>
        <w:spacing w:line="249" w:lineRule="auto" w:before="210"/>
        <w:ind w:left="220" w:right="257" w:firstLine="540"/>
        <w:jc w:val="both"/>
      </w:pPr>
      <w:r>
        <w:rPr/>
        <w:t>Cost of product revenue includes product packaging, third-party royalties, excess and obsolete inventory, amortization related to localization costs, purchased intangibles and acquired rights to use technology and the costs associated with the manufacturing of our products.</w:t>
      </w:r>
    </w:p>
    <w:p>
      <w:pPr>
        <w:pStyle w:val="BodyText"/>
        <w:spacing w:line="249" w:lineRule="auto" w:before="202"/>
        <w:ind w:left="220" w:right="257" w:firstLine="540"/>
        <w:jc w:val="both"/>
      </w:pPr>
      <w:r>
        <w:rPr/>
        <w:t>As a result of redirecting our focus and development efforts towards our Creative Cloud and</w:t>
      </w:r>
      <w:r>
        <w:rPr>
          <w:spacing w:val="-2"/>
        </w:rPr>
        <w:t> </w:t>
      </w:r>
      <w:r>
        <w:rPr/>
        <w:t>Adobe Experience Cloud subscription offerings, our cost of product revenue declined in all periods presented due to the following:</w:t>
      </w:r>
    </w:p>
    <w:p>
      <w:pPr>
        <w:pStyle w:val="BodyText"/>
        <w:spacing w:before="161"/>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4"/>
        <w:gridCol w:w="3654"/>
        <w:gridCol w:w="1281"/>
      </w:tblGrid>
      <w:tr>
        <w:trPr>
          <w:trHeight w:val="168" w:hRule="atLeast"/>
        </w:trPr>
        <w:tc>
          <w:tcPr>
            <w:tcW w:w="5504" w:type="dxa"/>
            <w:vMerge w:val="restart"/>
          </w:tcPr>
          <w:p>
            <w:pPr>
              <w:pStyle w:val="TableParagraph"/>
              <w:rPr>
                <w:sz w:val="18"/>
              </w:rPr>
            </w:pPr>
          </w:p>
        </w:tc>
        <w:tc>
          <w:tcPr>
            <w:tcW w:w="3654" w:type="dxa"/>
          </w:tcPr>
          <w:p>
            <w:pPr>
              <w:pStyle w:val="TableParagraph"/>
              <w:spacing w:line="149" w:lineRule="exact"/>
              <w:ind w:left="2383"/>
              <w:rPr>
                <w:b/>
                <w:sz w:val="16"/>
              </w:rPr>
            </w:pPr>
            <w:r>
              <w:rPr>
                <w:b/>
                <w:sz w:val="16"/>
              </w:rPr>
              <w:t>% </w:t>
            </w:r>
            <w:r>
              <w:rPr>
                <w:b/>
                <w:spacing w:val="-2"/>
                <w:sz w:val="16"/>
              </w:rPr>
              <w:t>Change</w:t>
            </w:r>
          </w:p>
        </w:tc>
        <w:tc>
          <w:tcPr>
            <w:tcW w:w="1281" w:type="dxa"/>
          </w:tcPr>
          <w:p>
            <w:pPr>
              <w:pStyle w:val="TableParagraph"/>
              <w:spacing w:line="149" w:lineRule="exact"/>
              <w:ind w:left="209"/>
              <w:rPr>
                <w:b/>
                <w:sz w:val="16"/>
              </w:rPr>
            </w:pPr>
            <w:r>
              <w:rPr>
                <w:b/>
                <w:sz w:val="16"/>
              </w:rPr>
              <w:t>% </w:t>
            </w:r>
            <w:r>
              <w:rPr>
                <w:b/>
                <w:spacing w:val="-2"/>
                <w:sz w:val="16"/>
              </w:rPr>
              <w:t>Change</w:t>
            </w:r>
          </w:p>
        </w:tc>
      </w:tr>
      <w:tr>
        <w:trPr>
          <w:trHeight w:val="208" w:hRule="atLeast"/>
        </w:trPr>
        <w:tc>
          <w:tcPr>
            <w:tcW w:w="5504" w:type="dxa"/>
            <w:vMerge/>
            <w:tcBorders>
              <w:top w:val="nil"/>
            </w:tcBorders>
          </w:tcPr>
          <w:p>
            <w:pPr>
              <w:rPr>
                <w:sz w:val="2"/>
                <w:szCs w:val="2"/>
              </w:rPr>
            </w:pPr>
          </w:p>
        </w:tc>
        <w:tc>
          <w:tcPr>
            <w:tcW w:w="3654" w:type="dxa"/>
          </w:tcPr>
          <w:p>
            <w:pPr>
              <w:pStyle w:val="TableParagraph"/>
              <w:spacing w:line="169" w:lineRule="exact"/>
              <w:ind w:left="2398"/>
              <w:rPr>
                <w:b/>
                <w:sz w:val="16"/>
              </w:rPr>
            </w:pPr>
            <w:r>
              <w:rPr>
                <w:b/>
                <w:sz w:val="16"/>
              </w:rPr>
              <w:t>2017-</w:t>
            </w:r>
            <w:r>
              <w:rPr>
                <w:b/>
                <w:spacing w:val="-4"/>
                <w:sz w:val="16"/>
              </w:rPr>
              <w:t>2016</w:t>
            </w:r>
          </w:p>
        </w:tc>
        <w:tc>
          <w:tcPr>
            <w:tcW w:w="1281" w:type="dxa"/>
            <w:tcBorders>
              <w:bottom w:val="single" w:sz="8" w:space="0" w:color="000000"/>
            </w:tcBorders>
          </w:tcPr>
          <w:p>
            <w:pPr>
              <w:pStyle w:val="TableParagraph"/>
              <w:spacing w:line="169" w:lineRule="exact"/>
              <w:ind w:left="225"/>
              <w:rPr>
                <w:b/>
                <w:sz w:val="16"/>
              </w:rPr>
            </w:pPr>
            <w:r>
              <w:rPr>
                <w:b/>
                <w:sz w:val="16"/>
              </w:rPr>
              <w:t>2016-</w:t>
            </w:r>
            <w:r>
              <w:rPr>
                <w:b/>
                <w:spacing w:val="-4"/>
                <w:sz w:val="16"/>
              </w:rPr>
              <w:t>2015</w:t>
            </w:r>
          </w:p>
        </w:tc>
      </w:tr>
      <w:tr>
        <w:trPr>
          <w:trHeight w:val="270" w:hRule="atLeast"/>
        </w:trPr>
        <w:tc>
          <w:tcPr>
            <w:tcW w:w="5504" w:type="dxa"/>
            <w:shd w:val="clear" w:color="auto" w:fill="CCEDFF"/>
          </w:tcPr>
          <w:p>
            <w:pPr>
              <w:pStyle w:val="TableParagraph"/>
              <w:spacing w:line="222" w:lineRule="exact"/>
              <w:ind w:left="50"/>
              <w:rPr>
                <w:sz w:val="20"/>
              </w:rPr>
            </w:pPr>
            <w:r>
              <w:rPr>
                <w:sz w:val="20"/>
              </w:rPr>
              <w:t>Amortization of purchased </w:t>
            </w:r>
            <w:r>
              <w:rPr>
                <w:spacing w:val="-2"/>
                <w:sz w:val="20"/>
              </w:rPr>
              <w:t>intangibles</w:t>
            </w:r>
          </w:p>
        </w:tc>
        <w:tc>
          <w:tcPr>
            <w:tcW w:w="3654" w:type="dxa"/>
            <w:shd w:val="clear" w:color="auto" w:fill="CCEDFF"/>
          </w:tcPr>
          <w:p>
            <w:pPr>
              <w:pStyle w:val="TableParagraph"/>
              <w:spacing w:line="222" w:lineRule="exact"/>
              <w:ind w:right="206"/>
              <w:jc w:val="right"/>
              <w:rPr>
                <w:sz w:val="20"/>
              </w:rPr>
            </w:pPr>
            <w:r>
              <w:rPr>
                <w:spacing w:val="-4"/>
                <w:sz w:val="20"/>
              </w:rPr>
              <w:t>(7)%</w:t>
            </w:r>
          </w:p>
        </w:tc>
        <w:tc>
          <w:tcPr>
            <w:tcW w:w="1281" w:type="dxa"/>
            <w:tcBorders>
              <w:top w:val="single" w:sz="8" w:space="0" w:color="000000"/>
            </w:tcBorders>
            <w:shd w:val="clear" w:color="auto" w:fill="CCEDFF"/>
          </w:tcPr>
          <w:p>
            <w:pPr>
              <w:pStyle w:val="TableParagraph"/>
              <w:spacing w:line="222" w:lineRule="exact"/>
              <w:ind w:right="7"/>
              <w:jc w:val="right"/>
              <w:rPr>
                <w:sz w:val="20"/>
              </w:rPr>
            </w:pPr>
            <w:r>
              <w:rPr>
                <w:spacing w:val="-2"/>
                <w:sz w:val="20"/>
              </w:rPr>
              <w:t>(16)%</w:t>
            </w:r>
          </w:p>
        </w:tc>
      </w:tr>
      <w:tr>
        <w:trPr>
          <w:trHeight w:val="280" w:hRule="atLeast"/>
        </w:trPr>
        <w:tc>
          <w:tcPr>
            <w:tcW w:w="5504" w:type="dxa"/>
          </w:tcPr>
          <w:p>
            <w:pPr>
              <w:pStyle w:val="TableParagraph"/>
              <w:spacing w:before="2"/>
              <w:ind w:left="50"/>
              <w:rPr>
                <w:sz w:val="20"/>
              </w:rPr>
            </w:pPr>
            <w:r>
              <w:rPr>
                <w:sz w:val="20"/>
              </w:rPr>
              <w:t>Localization </w:t>
            </w:r>
            <w:r>
              <w:rPr>
                <w:spacing w:val="-2"/>
                <w:sz w:val="20"/>
              </w:rPr>
              <w:t>costs</w:t>
            </w:r>
          </w:p>
        </w:tc>
        <w:tc>
          <w:tcPr>
            <w:tcW w:w="3654" w:type="dxa"/>
          </w:tcPr>
          <w:p>
            <w:pPr>
              <w:pStyle w:val="TableParagraph"/>
              <w:spacing w:before="2"/>
              <w:ind w:right="206"/>
              <w:jc w:val="right"/>
              <w:rPr>
                <w:sz w:val="20"/>
              </w:rPr>
            </w:pPr>
            <w:r>
              <w:rPr>
                <w:sz w:val="20"/>
              </w:rPr>
              <w:t>—</w:t>
            </w:r>
            <w:r>
              <w:rPr>
                <w:spacing w:val="17"/>
                <w:sz w:val="20"/>
              </w:rPr>
              <w:t> </w:t>
            </w:r>
            <w:r>
              <w:rPr>
                <w:spacing w:val="-10"/>
                <w:sz w:val="20"/>
              </w:rPr>
              <w:t>%</w:t>
            </w:r>
          </w:p>
        </w:tc>
        <w:tc>
          <w:tcPr>
            <w:tcW w:w="1281" w:type="dxa"/>
          </w:tcPr>
          <w:p>
            <w:pPr>
              <w:pStyle w:val="TableParagraph"/>
              <w:spacing w:before="2"/>
              <w:ind w:right="7"/>
              <w:jc w:val="right"/>
              <w:rPr>
                <w:sz w:val="20"/>
              </w:rPr>
            </w:pPr>
            <w:r>
              <w:rPr>
                <w:spacing w:val="-2"/>
                <w:sz w:val="20"/>
              </w:rPr>
              <w:t>(10)%</w:t>
            </w:r>
          </w:p>
        </w:tc>
      </w:tr>
      <w:tr>
        <w:trPr>
          <w:trHeight w:val="280" w:hRule="atLeast"/>
        </w:trPr>
        <w:tc>
          <w:tcPr>
            <w:tcW w:w="5504" w:type="dxa"/>
            <w:shd w:val="clear" w:color="auto" w:fill="CCEDFF"/>
          </w:tcPr>
          <w:p>
            <w:pPr>
              <w:pStyle w:val="TableParagraph"/>
              <w:spacing w:before="2"/>
              <w:ind w:left="50"/>
              <w:rPr>
                <w:sz w:val="20"/>
              </w:rPr>
            </w:pPr>
            <w:r>
              <w:rPr>
                <w:sz w:val="20"/>
              </w:rPr>
              <w:t>Royalty </w:t>
            </w:r>
            <w:r>
              <w:rPr>
                <w:spacing w:val="-2"/>
                <w:sz w:val="20"/>
              </w:rPr>
              <w:t>costs</w:t>
            </w:r>
          </w:p>
        </w:tc>
        <w:tc>
          <w:tcPr>
            <w:tcW w:w="3654" w:type="dxa"/>
            <w:shd w:val="clear" w:color="auto" w:fill="CCEDFF"/>
          </w:tcPr>
          <w:p>
            <w:pPr>
              <w:pStyle w:val="TableParagraph"/>
              <w:spacing w:before="2"/>
              <w:ind w:right="206"/>
              <w:jc w:val="right"/>
              <w:rPr>
                <w:sz w:val="20"/>
              </w:rPr>
            </w:pPr>
            <w:r>
              <w:rPr>
                <w:spacing w:val="-4"/>
                <w:sz w:val="20"/>
              </w:rPr>
              <w:t>(8)%</w:t>
            </w:r>
          </w:p>
        </w:tc>
        <w:tc>
          <w:tcPr>
            <w:tcW w:w="1281" w:type="dxa"/>
            <w:shd w:val="clear" w:color="auto" w:fill="CCEDFF"/>
          </w:tcPr>
          <w:p>
            <w:pPr>
              <w:pStyle w:val="TableParagraph"/>
              <w:spacing w:before="2"/>
              <w:ind w:right="7"/>
              <w:jc w:val="right"/>
              <w:rPr>
                <w:sz w:val="20"/>
              </w:rPr>
            </w:pPr>
            <w:r>
              <w:rPr>
                <w:sz w:val="20"/>
              </w:rPr>
              <w:t>10</w:t>
            </w:r>
            <w:r>
              <w:rPr>
                <w:spacing w:val="17"/>
                <w:sz w:val="20"/>
              </w:rPr>
              <w:t> </w:t>
            </w:r>
            <w:r>
              <w:rPr>
                <w:spacing w:val="-10"/>
                <w:sz w:val="20"/>
              </w:rPr>
              <w:t>%</w:t>
            </w:r>
          </w:p>
        </w:tc>
      </w:tr>
      <w:tr>
        <w:trPr>
          <w:trHeight w:val="280" w:hRule="atLeast"/>
        </w:trPr>
        <w:tc>
          <w:tcPr>
            <w:tcW w:w="5504" w:type="dxa"/>
          </w:tcPr>
          <w:p>
            <w:pPr>
              <w:pStyle w:val="TableParagraph"/>
              <w:spacing w:before="2"/>
              <w:ind w:left="50"/>
              <w:rPr>
                <w:sz w:val="20"/>
              </w:rPr>
            </w:pPr>
            <w:r>
              <w:rPr>
                <w:sz w:val="20"/>
              </w:rPr>
              <w:t>Cost of </w:t>
            </w:r>
            <w:r>
              <w:rPr>
                <w:spacing w:val="-2"/>
                <w:sz w:val="20"/>
              </w:rPr>
              <w:t>sales</w:t>
            </w:r>
          </w:p>
        </w:tc>
        <w:tc>
          <w:tcPr>
            <w:tcW w:w="3654" w:type="dxa"/>
          </w:tcPr>
          <w:p>
            <w:pPr>
              <w:pStyle w:val="TableParagraph"/>
              <w:spacing w:before="2"/>
              <w:ind w:right="206"/>
              <w:jc w:val="right"/>
              <w:rPr>
                <w:sz w:val="20"/>
              </w:rPr>
            </w:pPr>
            <w:r>
              <w:rPr>
                <w:spacing w:val="-4"/>
                <w:sz w:val="20"/>
              </w:rPr>
              <w:t>(2)%</w:t>
            </w:r>
          </w:p>
        </w:tc>
        <w:tc>
          <w:tcPr>
            <w:tcW w:w="1281" w:type="dxa"/>
          </w:tcPr>
          <w:p>
            <w:pPr>
              <w:pStyle w:val="TableParagraph"/>
              <w:spacing w:before="2"/>
              <w:ind w:right="7"/>
              <w:jc w:val="right"/>
              <w:rPr>
                <w:sz w:val="20"/>
              </w:rPr>
            </w:pPr>
            <w:r>
              <w:rPr>
                <w:spacing w:val="-4"/>
                <w:sz w:val="20"/>
              </w:rPr>
              <w:t>(2)%</w:t>
            </w:r>
          </w:p>
        </w:tc>
      </w:tr>
      <w:tr>
        <w:trPr>
          <w:trHeight w:val="280" w:hRule="atLeast"/>
        </w:trPr>
        <w:tc>
          <w:tcPr>
            <w:tcW w:w="10439" w:type="dxa"/>
            <w:gridSpan w:val="3"/>
            <w:shd w:val="clear" w:color="auto" w:fill="CCEDFF"/>
          </w:tcPr>
          <w:p>
            <w:pPr>
              <w:pStyle w:val="TableParagraph"/>
              <w:tabs>
                <w:tab w:pos="8515" w:val="left" w:leader="none"/>
                <w:tab w:pos="10028" w:val="left" w:leader="none"/>
              </w:tabs>
              <w:spacing w:before="2"/>
              <w:ind w:left="50"/>
              <w:rPr>
                <w:sz w:val="20"/>
              </w:rPr>
            </w:pPr>
            <w:r>
              <w:rPr>
                <w:sz w:val="20"/>
              </w:rPr>
              <w:t>Excess</w:t>
            </w:r>
            <w:r>
              <w:rPr>
                <w:spacing w:val="-3"/>
                <w:sz w:val="20"/>
              </w:rPr>
              <w:t> </w:t>
            </w:r>
            <w:r>
              <w:rPr>
                <w:sz w:val="20"/>
              </w:rPr>
              <w:t>and</w:t>
            </w:r>
            <w:r>
              <w:rPr>
                <w:spacing w:val="-2"/>
                <w:sz w:val="20"/>
              </w:rPr>
              <w:t> </w:t>
            </w:r>
            <w:r>
              <w:rPr>
                <w:sz w:val="20"/>
              </w:rPr>
              <w:t>obsolete</w:t>
            </w:r>
            <w:r>
              <w:rPr>
                <w:spacing w:val="-1"/>
                <w:sz w:val="20"/>
              </w:rPr>
              <w:t> </w:t>
            </w:r>
            <w:r>
              <w:rPr>
                <w:spacing w:val="-2"/>
                <w:sz w:val="20"/>
              </w:rPr>
              <w:t>inventory</w:t>
            </w:r>
            <w:r>
              <w:rPr>
                <w:sz w:val="20"/>
              </w:rPr>
              <w:tab/>
            </w:r>
            <w:r>
              <w:rPr>
                <w:spacing w:val="-10"/>
                <w:sz w:val="20"/>
              </w:rPr>
              <w:t>—</w:t>
            </w:r>
            <w:r>
              <w:rPr>
                <w:sz w:val="20"/>
              </w:rPr>
              <w:tab/>
            </w:r>
            <w:r>
              <w:rPr>
                <w:spacing w:val="-5"/>
                <w:sz w:val="20"/>
              </w:rPr>
              <w:t>(3)</w:t>
            </w:r>
          </w:p>
        </w:tc>
      </w:tr>
    </w:tbl>
    <w:p>
      <w:pPr>
        <w:pStyle w:val="BodyText"/>
        <w:tabs>
          <w:tab w:pos="8625" w:val="left" w:leader="none"/>
          <w:tab w:pos="10138" w:val="left" w:leader="none"/>
        </w:tabs>
        <w:spacing w:before="3"/>
        <w:ind w:left="160"/>
      </w:pPr>
      <w:r>
        <w:rPr/>
        <mc:AlternateContent>
          <mc:Choice Requires="wps">
            <w:drawing>
              <wp:anchor distT="0" distB="0" distL="0" distR="0" allowOverlap="1" layoutInCell="1" locked="0" behindDoc="1" simplePos="0" relativeHeight="487617024">
                <wp:simplePos x="0" y="0"/>
                <wp:positionH relativeFrom="page">
                  <wp:posOffset>565150</wp:posOffset>
                </wp:positionH>
                <wp:positionV relativeFrom="paragraph">
                  <wp:posOffset>172198</wp:posOffset>
                </wp:positionV>
                <wp:extent cx="6629400" cy="203200"/>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6629400" cy="203200"/>
                          <a:chExt cx="6629400" cy="203200"/>
                        </a:xfrm>
                      </wpg:grpSpPr>
                      <wps:wsp>
                        <wps:cNvPr id="166" name="Graphic 166"/>
                        <wps:cNvSpPr/>
                        <wps:spPr>
                          <a:xfrm>
                            <a:off x="4800600" y="0"/>
                            <a:ext cx="1828800" cy="177800"/>
                          </a:xfrm>
                          <a:custGeom>
                            <a:avLst/>
                            <a:gdLst/>
                            <a:ahLst/>
                            <a:cxnLst/>
                            <a:rect l="l" t="t" r="r" b="b"/>
                            <a:pathLst>
                              <a:path w="1828800" h="177800">
                                <a:moveTo>
                                  <a:pt x="889000" y="165100"/>
                                </a:moveTo>
                                <a:lnTo>
                                  <a:pt x="0" y="165100"/>
                                </a:lnTo>
                                <a:lnTo>
                                  <a:pt x="0" y="177800"/>
                                </a:lnTo>
                                <a:lnTo>
                                  <a:pt x="889000" y="177800"/>
                                </a:lnTo>
                                <a:lnTo>
                                  <a:pt x="889000" y="165100"/>
                                </a:lnTo>
                                <a:close/>
                              </a:path>
                              <a:path w="1828800" h="177800">
                                <a:moveTo>
                                  <a:pt x="889000" y="0"/>
                                </a:moveTo>
                                <a:lnTo>
                                  <a:pt x="0" y="0"/>
                                </a:lnTo>
                                <a:lnTo>
                                  <a:pt x="0" y="12700"/>
                                </a:lnTo>
                                <a:lnTo>
                                  <a:pt x="889000" y="12700"/>
                                </a:lnTo>
                                <a:lnTo>
                                  <a:pt x="889000" y="0"/>
                                </a:lnTo>
                                <a:close/>
                              </a:path>
                              <a:path w="1828800" h="177800">
                                <a:moveTo>
                                  <a:pt x="1828800" y="0"/>
                                </a:moveTo>
                                <a:lnTo>
                                  <a:pt x="939800" y="0"/>
                                </a:lnTo>
                                <a:lnTo>
                                  <a:pt x="939800" y="12700"/>
                                </a:lnTo>
                                <a:lnTo>
                                  <a:pt x="1828800" y="12700"/>
                                </a:lnTo>
                                <a:lnTo>
                                  <a:pt x="1828800"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4800600" y="1968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s:wsp>
                        <wps:cNvPr id="168" name="Graphic 168"/>
                        <wps:cNvSpPr/>
                        <wps:spPr>
                          <a:xfrm>
                            <a:off x="5740400" y="165100"/>
                            <a:ext cx="889000" cy="12700"/>
                          </a:xfrm>
                          <a:custGeom>
                            <a:avLst/>
                            <a:gdLst/>
                            <a:ahLst/>
                            <a:cxnLst/>
                            <a:rect l="l" t="t" r="r" b="b"/>
                            <a:pathLst>
                              <a:path w="889000" h="12700">
                                <a:moveTo>
                                  <a:pt x="0" y="12700"/>
                                </a:moveTo>
                                <a:lnTo>
                                  <a:pt x="889000" y="12700"/>
                                </a:lnTo>
                                <a:lnTo>
                                  <a:pt x="8890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5740400" y="1968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s:wsp>
                        <wps:cNvPr id="170" name="Textbox 170"/>
                        <wps:cNvSpPr txBox="1"/>
                        <wps:spPr>
                          <a:xfrm>
                            <a:off x="0" y="6350"/>
                            <a:ext cx="6629400" cy="165100"/>
                          </a:xfrm>
                          <a:prstGeom prst="rect">
                            <a:avLst/>
                          </a:prstGeom>
                          <a:solidFill>
                            <a:srgbClr val="CCEDFF"/>
                          </a:solidFill>
                        </wps:spPr>
                        <wps:txbx>
                          <w:txbxContent>
                            <w:p>
                              <w:pPr>
                                <w:tabs>
                                  <w:tab w:pos="8448" w:val="left" w:leader="none"/>
                                  <w:tab w:pos="9928" w:val="left" w:leader="none"/>
                                </w:tabs>
                                <w:spacing w:before="2"/>
                                <w:ind w:left="170" w:right="0" w:firstLine="0"/>
                                <w:jc w:val="left"/>
                                <w:rPr>
                                  <w:color w:val="000000"/>
                                  <w:sz w:val="20"/>
                                </w:rPr>
                              </w:pPr>
                              <w:r>
                                <w:rPr>
                                  <w:color w:val="000000"/>
                                  <w:spacing w:val="-2"/>
                                  <w:sz w:val="20"/>
                                </w:rPr>
                                <w:t>Total</w:t>
                              </w:r>
                              <w:r>
                                <w:rPr>
                                  <w:color w:val="000000"/>
                                  <w:spacing w:val="-4"/>
                                  <w:sz w:val="20"/>
                                </w:rPr>
                                <w:t> </w:t>
                              </w:r>
                              <w:r>
                                <w:rPr>
                                  <w:color w:val="000000"/>
                                  <w:spacing w:val="-2"/>
                                  <w:sz w:val="20"/>
                                </w:rPr>
                                <w:t>change</w:t>
                              </w:r>
                              <w:r>
                                <w:rPr>
                                  <w:color w:val="000000"/>
                                  <w:sz w:val="20"/>
                                </w:rPr>
                                <w:tab/>
                              </w:r>
                              <w:r>
                                <w:rPr>
                                  <w:color w:val="000000"/>
                                  <w:spacing w:val="-2"/>
                                  <w:sz w:val="20"/>
                                </w:rPr>
                                <w:t>(17)%</w:t>
                              </w:r>
                              <w:r>
                                <w:rPr>
                                  <w:color w:val="000000"/>
                                  <w:sz w:val="20"/>
                                </w:rPr>
                                <w:tab/>
                              </w:r>
                              <w:r>
                                <w:rPr>
                                  <w:color w:val="000000"/>
                                  <w:spacing w:val="-2"/>
                                  <w:sz w:val="20"/>
                                </w:rPr>
                                <w:t>(23)%</w:t>
                              </w:r>
                            </w:p>
                          </w:txbxContent>
                        </wps:txbx>
                        <wps:bodyPr wrap="square" lIns="0" tIns="0" rIns="0" bIns="0" rtlCol="0">
                          <a:noAutofit/>
                        </wps:bodyPr>
                      </wps:wsp>
                    </wpg:wgp>
                  </a:graphicData>
                </a:graphic>
              </wp:anchor>
            </w:drawing>
          </mc:Choice>
          <mc:Fallback>
            <w:pict>
              <v:group style="position:absolute;margin-left:44.5pt;margin-top:13.558907pt;width:522pt;height:16pt;mso-position-horizontal-relative:page;mso-position-vertical-relative:paragraph;z-index:-15699456;mso-wrap-distance-left:0;mso-wrap-distance-right:0" id="docshapegroup114" coordorigin="890,271" coordsize="10440,320">
                <v:shape style="position:absolute;left:8450;top:271;width:2880;height:280" id="docshape115" coordorigin="8450,271" coordsize="2880,280" path="m9850,531l8450,531,8450,551,9850,551,9850,531xm9850,271l8450,271,8450,291,9850,291,9850,271xm11330,271l9930,271,9930,291,11330,291,11330,271xe" filled="true" fillcolor="#000000" stroked="false">
                  <v:path arrowok="t"/>
                  <v:fill type="solid"/>
                </v:shape>
                <v:line style="position:absolute" from="8450,581" to="9850,581" stroked="true" strokeweight="1pt" strokecolor="#000000">
                  <v:stroke dashstyle="solid"/>
                </v:line>
                <v:rect style="position:absolute;left:9930;top:531;width:1400;height:20" id="docshape116" filled="true" fillcolor="#000000" stroked="false">
                  <v:fill type="solid"/>
                </v:rect>
                <v:line style="position:absolute" from="9930,581" to="11330,581" stroked="true" strokeweight="1pt" strokecolor="#000000">
                  <v:stroke dashstyle="solid"/>
                </v:line>
                <v:shape style="position:absolute;left:890;top:281;width:10440;height:260" type="#_x0000_t202" id="docshape117" filled="true" fillcolor="#ccedff" stroked="false">
                  <v:textbox inset="0,0,0,0">
                    <w:txbxContent>
                      <w:p>
                        <w:pPr>
                          <w:tabs>
                            <w:tab w:pos="8448" w:val="left" w:leader="none"/>
                            <w:tab w:pos="9928" w:val="left" w:leader="none"/>
                          </w:tabs>
                          <w:spacing w:before="2"/>
                          <w:ind w:left="170" w:right="0" w:firstLine="0"/>
                          <w:jc w:val="left"/>
                          <w:rPr>
                            <w:color w:val="000000"/>
                            <w:sz w:val="20"/>
                          </w:rPr>
                        </w:pPr>
                        <w:r>
                          <w:rPr>
                            <w:color w:val="000000"/>
                            <w:spacing w:val="-2"/>
                            <w:sz w:val="20"/>
                          </w:rPr>
                          <w:t>Total</w:t>
                        </w:r>
                        <w:r>
                          <w:rPr>
                            <w:color w:val="000000"/>
                            <w:spacing w:val="-4"/>
                            <w:sz w:val="20"/>
                          </w:rPr>
                          <w:t> </w:t>
                        </w:r>
                        <w:r>
                          <w:rPr>
                            <w:color w:val="000000"/>
                            <w:spacing w:val="-2"/>
                            <w:sz w:val="20"/>
                          </w:rPr>
                          <w:t>change</w:t>
                        </w:r>
                        <w:r>
                          <w:rPr>
                            <w:color w:val="000000"/>
                            <w:sz w:val="20"/>
                          </w:rPr>
                          <w:tab/>
                        </w:r>
                        <w:r>
                          <w:rPr>
                            <w:color w:val="000000"/>
                            <w:spacing w:val="-2"/>
                            <w:sz w:val="20"/>
                          </w:rPr>
                          <w:t>(17)%</w:t>
                        </w:r>
                        <w:r>
                          <w:rPr>
                            <w:color w:val="000000"/>
                            <w:sz w:val="20"/>
                          </w:rPr>
                          <w:tab/>
                        </w:r>
                        <w:r>
                          <w:rPr>
                            <w:color w:val="000000"/>
                            <w:spacing w:val="-2"/>
                            <w:sz w:val="20"/>
                          </w:rPr>
                          <w:t>(23)%</w:t>
                        </w:r>
                      </w:p>
                    </w:txbxContent>
                  </v:textbox>
                  <v:fill type="solid"/>
                  <w10:wrap type="none"/>
                </v:shape>
                <w10:wrap type="topAndBottom"/>
              </v:group>
            </w:pict>
          </mc:Fallback>
        </mc:AlternateContent>
      </w:r>
      <w:r>
        <w:rPr/>
        <w:t>Various</w:t>
      </w:r>
      <w:r>
        <w:rPr>
          <w:spacing w:val="-11"/>
        </w:rPr>
        <w:t> </w:t>
      </w:r>
      <w:r>
        <w:rPr/>
        <w:t>individually</w:t>
      </w:r>
      <w:r>
        <w:rPr>
          <w:spacing w:val="-9"/>
        </w:rPr>
        <w:t> </w:t>
      </w:r>
      <w:r>
        <w:rPr/>
        <w:t>insignificant</w:t>
      </w:r>
      <w:r>
        <w:rPr>
          <w:spacing w:val="-9"/>
        </w:rPr>
        <w:t> </w:t>
      </w:r>
      <w:r>
        <w:rPr>
          <w:spacing w:val="-2"/>
        </w:rPr>
        <w:t>items</w:t>
      </w:r>
      <w:r>
        <w:rPr/>
        <w:tab/>
      </w:r>
      <w:r>
        <w:rPr>
          <w:spacing w:val="-10"/>
        </w:rPr>
        <w:t>—</w:t>
      </w:r>
      <w:r>
        <w:rPr/>
        <w:tab/>
      </w:r>
      <w:r>
        <w:rPr>
          <w:spacing w:val="-5"/>
        </w:rPr>
        <w:t>(2)</w:t>
      </w:r>
    </w:p>
    <w:p>
      <w:pPr>
        <w:pStyle w:val="BodyText"/>
        <w:spacing w:line="249" w:lineRule="auto" w:before="213"/>
        <w:ind w:left="220" w:right="257" w:firstLine="540"/>
        <w:jc w:val="both"/>
      </w:pPr>
      <w:r>
        <w:rPr/>
        <w:t>The decrease</w:t>
      </w:r>
      <w:r>
        <w:rPr>
          <w:spacing w:val="-1"/>
        </w:rPr>
        <w:t> </w:t>
      </w:r>
      <w:r>
        <w:rPr/>
        <w:t>in cost</w:t>
      </w:r>
      <w:r>
        <w:rPr>
          <w:spacing w:val="-1"/>
        </w:rPr>
        <w:t> </w:t>
      </w:r>
      <w:r>
        <w:rPr/>
        <w:t>of product</w:t>
      </w:r>
      <w:r>
        <w:rPr>
          <w:spacing w:val="-1"/>
        </w:rPr>
        <w:t> </w:t>
      </w:r>
      <w:r>
        <w:rPr/>
        <w:t>revenue</w:t>
      </w:r>
      <w:r>
        <w:rPr>
          <w:spacing w:val="-1"/>
        </w:rPr>
        <w:t> </w:t>
      </w:r>
      <w:r>
        <w:rPr/>
        <w:t>during fiscal</w:t>
      </w:r>
      <w:r>
        <w:rPr>
          <w:spacing w:val="-1"/>
        </w:rPr>
        <w:t> </w:t>
      </w:r>
      <w:r>
        <w:rPr/>
        <w:t>2016 as compared to fiscal</w:t>
      </w:r>
      <w:r>
        <w:rPr>
          <w:spacing w:val="-1"/>
        </w:rPr>
        <w:t> </w:t>
      </w:r>
      <w:r>
        <w:rPr/>
        <w:t>2015 was partially offset</w:t>
      </w:r>
      <w:r>
        <w:rPr>
          <w:spacing w:val="-1"/>
        </w:rPr>
        <w:t> </w:t>
      </w:r>
      <w:r>
        <w:rPr/>
        <w:t>by an increase in royalty payments related to our stock photography perpetual offering.</w:t>
      </w:r>
    </w:p>
    <w:p>
      <w:pPr>
        <w:spacing w:before="202"/>
        <w:ind w:left="220" w:right="0" w:firstLine="0"/>
        <w:jc w:val="left"/>
        <w:rPr>
          <w:i/>
          <w:sz w:val="20"/>
        </w:rPr>
      </w:pPr>
      <w:r>
        <w:rPr>
          <w:i/>
          <w:sz w:val="20"/>
        </w:rPr>
        <w:t>Services</w:t>
      </w:r>
      <w:r>
        <w:rPr>
          <w:i/>
          <w:spacing w:val="-5"/>
          <w:sz w:val="20"/>
        </w:rPr>
        <w:t> </w:t>
      </w:r>
      <w:r>
        <w:rPr>
          <w:i/>
          <w:sz w:val="20"/>
        </w:rPr>
        <w:t>and</w:t>
      </w:r>
      <w:r>
        <w:rPr>
          <w:i/>
          <w:spacing w:val="-3"/>
          <w:sz w:val="20"/>
        </w:rPr>
        <w:t> </w:t>
      </w:r>
      <w:r>
        <w:rPr>
          <w:i/>
          <w:spacing w:val="-2"/>
          <w:sz w:val="20"/>
        </w:rPr>
        <w:t>Support</w:t>
      </w:r>
    </w:p>
    <w:p>
      <w:pPr>
        <w:pStyle w:val="BodyText"/>
        <w:spacing w:line="249" w:lineRule="auto" w:before="210"/>
        <w:ind w:left="220" w:right="257" w:firstLine="540"/>
        <w:jc w:val="both"/>
      </w:pPr>
      <w:r>
        <w:rPr/>
        <w:t>Cost of services and support revenue is primarily comprised of employee-related costs and associated costs incurred to provide consulting services, training and product support.</w:t>
      </w:r>
    </w:p>
    <w:p>
      <w:pPr>
        <w:pStyle w:val="BodyText"/>
        <w:spacing w:before="3"/>
        <w:rPr>
          <w:sz w:val="18"/>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2"/>
        <w:gridCol w:w="2112"/>
        <w:gridCol w:w="960"/>
        <w:gridCol w:w="309"/>
      </w:tblGrid>
      <w:tr>
        <w:trPr>
          <w:trHeight w:val="421" w:hRule="atLeast"/>
        </w:trPr>
        <w:tc>
          <w:tcPr>
            <w:tcW w:w="6862" w:type="dxa"/>
          </w:tcPr>
          <w:p>
            <w:pPr>
              <w:pStyle w:val="TableParagraph"/>
              <w:spacing w:line="221" w:lineRule="exact"/>
              <w:ind w:left="530"/>
              <w:rPr>
                <w:sz w:val="20"/>
              </w:rPr>
            </w:pPr>
            <w:r>
              <w:rPr>
                <w:sz w:val="20"/>
              </w:rPr>
              <w:t>Cost</w:t>
            </w:r>
            <w:r>
              <w:rPr>
                <w:spacing w:val="-2"/>
                <w:sz w:val="20"/>
              </w:rPr>
              <w:t> </w:t>
            </w:r>
            <w:r>
              <w:rPr>
                <w:sz w:val="20"/>
              </w:rPr>
              <w:t>of</w:t>
            </w:r>
            <w:r>
              <w:rPr>
                <w:spacing w:val="-1"/>
                <w:sz w:val="20"/>
              </w:rPr>
              <w:t> </w:t>
            </w:r>
            <w:r>
              <w:rPr>
                <w:sz w:val="20"/>
              </w:rPr>
              <w:t>services</w:t>
            </w:r>
            <w:r>
              <w:rPr>
                <w:spacing w:val="-1"/>
                <w:sz w:val="20"/>
              </w:rPr>
              <w:t> </w:t>
            </w:r>
            <w:r>
              <w:rPr>
                <w:sz w:val="20"/>
              </w:rPr>
              <w:t>and support</w:t>
            </w:r>
            <w:r>
              <w:rPr>
                <w:spacing w:val="-2"/>
                <w:sz w:val="20"/>
              </w:rPr>
              <w:t> </w:t>
            </w:r>
            <w:r>
              <w:rPr>
                <w:sz w:val="20"/>
              </w:rPr>
              <w:t>revenue</w:t>
            </w:r>
            <w:r>
              <w:rPr>
                <w:spacing w:val="-2"/>
                <w:sz w:val="20"/>
              </w:rPr>
              <w:t> </w:t>
            </w:r>
            <w:r>
              <w:rPr>
                <w:sz w:val="20"/>
              </w:rPr>
              <w:t>increased</w:t>
            </w:r>
            <w:r>
              <w:rPr>
                <w:spacing w:val="-1"/>
                <w:sz w:val="20"/>
              </w:rPr>
              <w:t> </w:t>
            </w:r>
            <w:r>
              <w:rPr>
                <w:sz w:val="20"/>
              </w:rPr>
              <w:t>due</w:t>
            </w:r>
            <w:r>
              <w:rPr>
                <w:spacing w:val="-2"/>
                <w:sz w:val="20"/>
              </w:rPr>
              <w:t> </w:t>
            </w:r>
            <w:r>
              <w:rPr>
                <w:sz w:val="20"/>
              </w:rPr>
              <w:t>to</w:t>
            </w:r>
            <w:r>
              <w:rPr>
                <w:spacing w:val="-1"/>
                <w:sz w:val="20"/>
              </w:rPr>
              <w:t> </w:t>
            </w:r>
            <w:r>
              <w:rPr>
                <w:sz w:val="20"/>
              </w:rPr>
              <w:t>the </w:t>
            </w:r>
            <w:r>
              <w:rPr>
                <w:spacing w:val="-2"/>
                <w:sz w:val="20"/>
              </w:rPr>
              <w:t>following:</w:t>
            </w:r>
          </w:p>
        </w:tc>
        <w:tc>
          <w:tcPr>
            <w:tcW w:w="3381" w:type="dxa"/>
            <w:gridSpan w:val="3"/>
          </w:tcPr>
          <w:p>
            <w:pPr>
              <w:pStyle w:val="TableParagraph"/>
              <w:rPr>
                <w:sz w:val="18"/>
              </w:rPr>
            </w:pPr>
          </w:p>
        </w:tc>
      </w:tr>
      <w:tr>
        <w:trPr>
          <w:trHeight w:val="576" w:hRule="atLeast"/>
        </w:trPr>
        <w:tc>
          <w:tcPr>
            <w:tcW w:w="6862" w:type="dxa"/>
          </w:tcPr>
          <w:p>
            <w:pPr>
              <w:pStyle w:val="TableParagraph"/>
              <w:rPr>
                <w:sz w:val="18"/>
              </w:rPr>
            </w:pPr>
          </w:p>
        </w:tc>
        <w:tc>
          <w:tcPr>
            <w:tcW w:w="2112" w:type="dxa"/>
          </w:tcPr>
          <w:p>
            <w:pPr>
              <w:pStyle w:val="TableParagraph"/>
              <w:spacing w:before="28"/>
              <w:rPr>
                <w:sz w:val="16"/>
              </w:rPr>
            </w:pPr>
          </w:p>
          <w:p>
            <w:pPr>
              <w:pStyle w:val="TableParagraph"/>
              <w:spacing w:line="208" w:lineRule="auto"/>
              <w:ind w:left="870" w:right="530" w:hanging="16"/>
              <w:rPr>
                <w:b/>
                <w:sz w:val="16"/>
              </w:rPr>
            </w:pPr>
            <w:r>
              <w:rPr>
                <w:b/>
                <w:sz w:val="16"/>
              </w:rPr>
              <w:t>%</w:t>
            </w:r>
            <w:r>
              <w:rPr>
                <w:b/>
                <w:spacing w:val="-10"/>
                <w:sz w:val="16"/>
              </w:rPr>
              <w:t> </w:t>
            </w:r>
            <w:r>
              <w:rPr>
                <w:b/>
                <w:sz w:val="16"/>
              </w:rPr>
              <w:t>Change</w:t>
            </w:r>
            <w:r>
              <w:rPr>
                <w:b/>
                <w:spacing w:val="40"/>
                <w:sz w:val="16"/>
              </w:rPr>
              <w:t> </w:t>
            </w:r>
            <w:r>
              <w:rPr>
                <w:b/>
                <w:sz w:val="16"/>
              </w:rPr>
              <w:t>2017-</w:t>
            </w:r>
            <w:r>
              <w:rPr>
                <w:b/>
                <w:spacing w:val="-4"/>
                <w:sz w:val="16"/>
              </w:rPr>
              <w:t>2016</w:t>
            </w:r>
          </w:p>
        </w:tc>
        <w:tc>
          <w:tcPr>
            <w:tcW w:w="960" w:type="dxa"/>
            <w:tcBorders>
              <w:bottom w:val="single" w:sz="8" w:space="0" w:color="000000"/>
            </w:tcBorders>
          </w:tcPr>
          <w:p>
            <w:pPr>
              <w:pStyle w:val="TableParagraph"/>
              <w:spacing w:before="28"/>
              <w:rPr>
                <w:sz w:val="16"/>
              </w:rPr>
            </w:pPr>
          </w:p>
          <w:p>
            <w:pPr>
              <w:pStyle w:val="TableParagraph"/>
              <w:spacing w:line="208" w:lineRule="auto"/>
              <w:ind w:left="218" w:right="30" w:hanging="16"/>
              <w:rPr>
                <w:b/>
                <w:sz w:val="16"/>
              </w:rPr>
            </w:pPr>
            <w:r>
              <w:rPr>
                <w:b/>
                <w:sz w:val="16"/>
              </w:rPr>
              <w:t>%</w:t>
            </w:r>
            <w:r>
              <w:rPr>
                <w:b/>
                <w:spacing w:val="-10"/>
                <w:sz w:val="16"/>
              </w:rPr>
              <w:t> </w:t>
            </w:r>
            <w:r>
              <w:rPr>
                <w:b/>
                <w:sz w:val="16"/>
              </w:rPr>
              <w:t>Change</w:t>
            </w:r>
            <w:r>
              <w:rPr>
                <w:b/>
                <w:spacing w:val="40"/>
                <w:sz w:val="16"/>
              </w:rPr>
              <w:t> </w:t>
            </w:r>
            <w:r>
              <w:rPr>
                <w:b/>
                <w:sz w:val="16"/>
              </w:rPr>
              <w:t>2016-</w:t>
            </w:r>
            <w:r>
              <w:rPr>
                <w:b/>
                <w:spacing w:val="-4"/>
                <w:sz w:val="16"/>
              </w:rPr>
              <w:t>2015</w:t>
            </w:r>
          </w:p>
        </w:tc>
        <w:tc>
          <w:tcPr>
            <w:tcW w:w="309" w:type="dxa"/>
            <w:tcBorders>
              <w:bottom w:val="single" w:sz="8" w:space="0" w:color="000000"/>
            </w:tcBorders>
          </w:tcPr>
          <w:p>
            <w:pPr>
              <w:pStyle w:val="TableParagraph"/>
              <w:rPr>
                <w:sz w:val="18"/>
              </w:rPr>
            </w:pPr>
          </w:p>
        </w:tc>
      </w:tr>
      <w:tr>
        <w:trPr>
          <w:trHeight w:val="290" w:hRule="atLeast"/>
        </w:trPr>
        <w:tc>
          <w:tcPr>
            <w:tcW w:w="6862" w:type="dxa"/>
            <w:shd w:val="clear" w:color="auto" w:fill="CCEDFF"/>
          </w:tcPr>
          <w:p>
            <w:pPr>
              <w:pStyle w:val="TableParagraph"/>
              <w:spacing w:before="10"/>
              <w:ind w:left="50"/>
              <w:rPr>
                <w:sz w:val="20"/>
              </w:rPr>
            </w:pPr>
            <w:r>
              <w:rPr>
                <w:sz w:val="20"/>
              </w:rPr>
              <w:t>Base</w:t>
            </w:r>
            <w:r>
              <w:rPr>
                <w:spacing w:val="-1"/>
                <w:sz w:val="20"/>
              </w:rPr>
              <w:t> </w:t>
            </w:r>
            <w:r>
              <w:rPr>
                <w:sz w:val="20"/>
              </w:rPr>
              <w:t>compensation</w:t>
            </w:r>
            <w:r>
              <w:rPr>
                <w:spacing w:val="-1"/>
                <w:sz w:val="20"/>
              </w:rPr>
              <w:t> </w:t>
            </w:r>
            <w:r>
              <w:rPr>
                <w:sz w:val="20"/>
              </w:rPr>
              <w:t>and</w:t>
            </w:r>
            <w:r>
              <w:rPr>
                <w:spacing w:val="-1"/>
                <w:sz w:val="20"/>
              </w:rPr>
              <w:t> </w:t>
            </w:r>
            <w:r>
              <w:rPr>
                <w:sz w:val="20"/>
              </w:rPr>
              <w:t>related</w:t>
            </w:r>
            <w:r>
              <w:rPr>
                <w:spacing w:val="-2"/>
                <w:sz w:val="20"/>
              </w:rPr>
              <w:t> </w:t>
            </w:r>
            <w:r>
              <w:rPr>
                <w:sz w:val="20"/>
              </w:rPr>
              <w:t>benefits</w:t>
            </w:r>
            <w:r>
              <w:rPr>
                <w:spacing w:val="-1"/>
                <w:sz w:val="20"/>
              </w:rPr>
              <w:t> </w:t>
            </w:r>
            <w:r>
              <w:rPr>
                <w:sz w:val="20"/>
              </w:rPr>
              <w:t>associated</w:t>
            </w:r>
            <w:r>
              <w:rPr>
                <w:spacing w:val="-1"/>
                <w:sz w:val="20"/>
              </w:rPr>
              <w:t> </w:t>
            </w:r>
            <w:r>
              <w:rPr>
                <w:sz w:val="20"/>
              </w:rPr>
              <w:t>with</w:t>
            </w:r>
            <w:r>
              <w:rPr>
                <w:spacing w:val="-1"/>
                <w:sz w:val="20"/>
              </w:rPr>
              <w:t> </w:t>
            </w:r>
            <w:r>
              <w:rPr>
                <w:spacing w:val="-2"/>
                <w:sz w:val="20"/>
              </w:rPr>
              <w:t>headcount</w:t>
            </w:r>
          </w:p>
        </w:tc>
        <w:tc>
          <w:tcPr>
            <w:tcW w:w="2112" w:type="dxa"/>
            <w:shd w:val="clear" w:color="auto" w:fill="CCEDFF"/>
          </w:tcPr>
          <w:p>
            <w:pPr>
              <w:pStyle w:val="TableParagraph"/>
              <w:spacing w:before="10"/>
              <w:ind w:left="1540"/>
              <w:rPr>
                <w:sz w:val="20"/>
              </w:rPr>
            </w:pPr>
            <w:r>
              <w:rPr>
                <w:spacing w:val="-5"/>
                <w:sz w:val="20"/>
              </w:rPr>
              <w:t>13%</w:t>
            </w:r>
          </w:p>
        </w:tc>
        <w:tc>
          <w:tcPr>
            <w:tcW w:w="960" w:type="dxa"/>
            <w:tcBorders>
              <w:top w:val="single" w:sz="8" w:space="0" w:color="000000"/>
            </w:tcBorders>
            <w:shd w:val="clear" w:color="auto" w:fill="CCEDFF"/>
          </w:tcPr>
          <w:p>
            <w:pPr>
              <w:pStyle w:val="TableParagraph"/>
              <w:rPr>
                <w:sz w:val="18"/>
              </w:rPr>
            </w:pPr>
          </w:p>
        </w:tc>
        <w:tc>
          <w:tcPr>
            <w:tcW w:w="309" w:type="dxa"/>
            <w:tcBorders>
              <w:top w:val="single" w:sz="8" w:space="0" w:color="000000"/>
            </w:tcBorders>
            <w:shd w:val="clear" w:color="auto" w:fill="CCEDFF"/>
          </w:tcPr>
          <w:p>
            <w:pPr>
              <w:pStyle w:val="TableParagraph"/>
              <w:spacing w:before="10"/>
              <w:ind w:left="28"/>
              <w:rPr>
                <w:sz w:val="20"/>
              </w:rPr>
            </w:pPr>
            <w:r>
              <w:rPr>
                <w:spacing w:val="-5"/>
                <w:sz w:val="20"/>
              </w:rPr>
              <w:t>9%</w:t>
            </w:r>
          </w:p>
        </w:tc>
      </w:tr>
      <w:tr>
        <w:trPr>
          <w:trHeight w:val="300" w:hRule="atLeast"/>
        </w:trPr>
        <w:tc>
          <w:tcPr>
            <w:tcW w:w="6862" w:type="dxa"/>
          </w:tcPr>
          <w:p>
            <w:pPr>
              <w:pStyle w:val="TableParagraph"/>
              <w:spacing w:before="20"/>
              <w:ind w:left="50"/>
              <w:rPr>
                <w:sz w:val="20"/>
              </w:rPr>
            </w:pPr>
            <w:r>
              <w:rPr>
                <w:sz w:val="20"/>
              </w:rPr>
              <w:t>Incentive compensation, cash and stock </w:t>
            </w:r>
            <w:r>
              <w:rPr>
                <w:spacing w:val="-2"/>
                <w:sz w:val="20"/>
              </w:rPr>
              <w:t>based</w:t>
            </w:r>
          </w:p>
        </w:tc>
        <w:tc>
          <w:tcPr>
            <w:tcW w:w="2112" w:type="dxa"/>
          </w:tcPr>
          <w:p>
            <w:pPr>
              <w:pStyle w:val="TableParagraph"/>
              <w:spacing w:before="20"/>
              <w:ind w:left="1640"/>
              <w:rPr>
                <w:sz w:val="20"/>
              </w:rPr>
            </w:pPr>
            <w:r>
              <w:rPr>
                <w:spacing w:val="-10"/>
                <w:sz w:val="20"/>
              </w:rPr>
              <w:t>1</w:t>
            </w:r>
          </w:p>
        </w:tc>
        <w:tc>
          <w:tcPr>
            <w:tcW w:w="960" w:type="dxa"/>
          </w:tcPr>
          <w:p>
            <w:pPr>
              <w:pStyle w:val="TableParagraph"/>
              <w:rPr>
                <w:sz w:val="18"/>
              </w:rPr>
            </w:pPr>
          </w:p>
        </w:tc>
        <w:tc>
          <w:tcPr>
            <w:tcW w:w="309" w:type="dxa"/>
          </w:tcPr>
          <w:p>
            <w:pPr>
              <w:pStyle w:val="TableParagraph"/>
              <w:spacing w:before="20"/>
              <w:ind w:left="28"/>
              <w:rPr>
                <w:sz w:val="20"/>
              </w:rPr>
            </w:pPr>
            <w:r>
              <w:rPr>
                <w:spacing w:val="-10"/>
                <w:sz w:val="20"/>
              </w:rPr>
              <w:t>6</w:t>
            </w:r>
          </w:p>
        </w:tc>
      </w:tr>
      <w:tr>
        <w:trPr>
          <w:trHeight w:val="300" w:hRule="atLeast"/>
        </w:trPr>
        <w:tc>
          <w:tcPr>
            <w:tcW w:w="6862" w:type="dxa"/>
            <w:shd w:val="clear" w:color="auto" w:fill="CCEDFF"/>
          </w:tcPr>
          <w:p>
            <w:pPr>
              <w:pStyle w:val="TableParagraph"/>
              <w:spacing w:before="20"/>
              <w:ind w:left="50"/>
              <w:rPr>
                <w:sz w:val="20"/>
              </w:rPr>
            </w:pPr>
            <w:r>
              <w:rPr>
                <w:sz w:val="20"/>
              </w:rPr>
              <w:t>Professional and consulting </w:t>
            </w:r>
            <w:r>
              <w:rPr>
                <w:spacing w:val="-4"/>
                <w:sz w:val="20"/>
              </w:rPr>
              <w:t>fees</w:t>
            </w:r>
          </w:p>
        </w:tc>
        <w:tc>
          <w:tcPr>
            <w:tcW w:w="2112" w:type="dxa"/>
            <w:shd w:val="clear" w:color="auto" w:fill="CCEDFF"/>
          </w:tcPr>
          <w:p>
            <w:pPr>
              <w:pStyle w:val="TableParagraph"/>
              <w:spacing w:before="20"/>
              <w:ind w:left="1573"/>
              <w:rPr>
                <w:sz w:val="20"/>
              </w:rPr>
            </w:pPr>
            <w:r>
              <w:rPr>
                <w:spacing w:val="-5"/>
                <w:sz w:val="20"/>
              </w:rPr>
              <w:t>(3)</w:t>
            </w:r>
          </w:p>
        </w:tc>
        <w:tc>
          <w:tcPr>
            <w:tcW w:w="960" w:type="dxa"/>
            <w:shd w:val="clear" w:color="auto" w:fill="CCEDFF"/>
          </w:tcPr>
          <w:p>
            <w:pPr>
              <w:pStyle w:val="TableParagraph"/>
              <w:rPr>
                <w:sz w:val="18"/>
              </w:rPr>
            </w:pPr>
          </w:p>
        </w:tc>
        <w:tc>
          <w:tcPr>
            <w:tcW w:w="309" w:type="dxa"/>
            <w:shd w:val="clear" w:color="auto" w:fill="CCEDFF"/>
          </w:tcPr>
          <w:p>
            <w:pPr>
              <w:pStyle w:val="TableParagraph"/>
              <w:spacing w:before="20"/>
              <w:ind w:left="28"/>
              <w:rPr>
                <w:sz w:val="20"/>
              </w:rPr>
            </w:pPr>
            <w:r>
              <w:rPr>
                <w:spacing w:val="-10"/>
                <w:sz w:val="20"/>
              </w:rPr>
              <w:t>3</w:t>
            </w:r>
          </w:p>
        </w:tc>
      </w:tr>
      <w:tr>
        <w:trPr>
          <w:trHeight w:val="290" w:hRule="atLeast"/>
        </w:trPr>
        <w:tc>
          <w:tcPr>
            <w:tcW w:w="6862" w:type="dxa"/>
          </w:tcPr>
          <w:p>
            <w:pPr>
              <w:pStyle w:val="TableParagraph"/>
              <w:spacing w:before="20"/>
              <w:ind w:left="50"/>
              <w:rPr>
                <w:sz w:val="20"/>
              </w:rPr>
            </w:pPr>
            <w:r>
              <w:rPr>
                <w:sz w:val="20"/>
              </w:rPr>
              <w:t>Various</w:t>
            </w:r>
            <w:r>
              <w:rPr>
                <w:spacing w:val="-11"/>
                <w:sz w:val="20"/>
              </w:rPr>
              <w:t> </w:t>
            </w:r>
            <w:r>
              <w:rPr>
                <w:sz w:val="20"/>
              </w:rPr>
              <w:t>individually</w:t>
            </w:r>
            <w:r>
              <w:rPr>
                <w:spacing w:val="-9"/>
                <w:sz w:val="20"/>
              </w:rPr>
              <w:t> </w:t>
            </w:r>
            <w:r>
              <w:rPr>
                <w:sz w:val="20"/>
              </w:rPr>
              <w:t>insignificant</w:t>
            </w:r>
            <w:r>
              <w:rPr>
                <w:spacing w:val="-9"/>
                <w:sz w:val="20"/>
              </w:rPr>
              <w:t> </w:t>
            </w:r>
            <w:r>
              <w:rPr>
                <w:spacing w:val="-2"/>
                <w:sz w:val="20"/>
              </w:rPr>
              <w:t>items</w:t>
            </w:r>
          </w:p>
        </w:tc>
        <w:tc>
          <w:tcPr>
            <w:tcW w:w="2112" w:type="dxa"/>
          </w:tcPr>
          <w:p>
            <w:pPr>
              <w:pStyle w:val="TableParagraph"/>
              <w:spacing w:before="20"/>
              <w:ind w:left="1640"/>
              <w:rPr>
                <w:sz w:val="20"/>
              </w:rPr>
            </w:pPr>
            <w:r>
              <w:rPr>
                <w:spacing w:val="-10"/>
                <w:sz w:val="20"/>
              </w:rPr>
              <w:t>3</w:t>
            </w:r>
          </w:p>
        </w:tc>
        <w:tc>
          <w:tcPr>
            <w:tcW w:w="1269" w:type="dxa"/>
            <w:gridSpan w:val="2"/>
            <w:tcBorders>
              <w:bottom w:val="single" w:sz="8" w:space="0" w:color="000000"/>
            </w:tcBorders>
          </w:tcPr>
          <w:p>
            <w:pPr>
              <w:pStyle w:val="TableParagraph"/>
              <w:spacing w:before="20"/>
              <w:ind w:right="179"/>
              <w:jc w:val="right"/>
              <w:rPr>
                <w:sz w:val="20"/>
              </w:rPr>
            </w:pPr>
            <w:r>
              <w:rPr>
                <w:spacing w:val="-10"/>
                <w:sz w:val="20"/>
              </w:rPr>
              <w:t>—</w:t>
            </w:r>
          </w:p>
        </w:tc>
      </w:tr>
      <w:tr>
        <w:trPr>
          <w:trHeight w:val="240" w:hRule="atLeast"/>
        </w:trPr>
        <w:tc>
          <w:tcPr>
            <w:tcW w:w="6862" w:type="dxa"/>
            <w:shd w:val="clear" w:color="auto" w:fill="CCEDFF"/>
          </w:tcPr>
          <w:p>
            <w:pPr>
              <w:pStyle w:val="TableParagraph"/>
              <w:spacing w:line="210" w:lineRule="exact" w:before="10"/>
              <w:ind w:left="170"/>
              <w:rPr>
                <w:sz w:val="20"/>
              </w:rPr>
            </w:pPr>
            <w:r>
              <w:rPr>
                <w:spacing w:val="-2"/>
                <w:sz w:val="20"/>
              </w:rPr>
              <w:t>Total</w:t>
            </w:r>
            <w:r>
              <w:rPr>
                <w:spacing w:val="-4"/>
                <w:sz w:val="20"/>
              </w:rPr>
              <w:t> </w:t>
            </w:r>
            <w:r>
              <w:rPr>
                <w:spacing w:val="-2"/>
                <w:sz w:val="20"/>
              </w:rPr>
              <w:t>change</w:t>
            </w:r>
          </w:p>
        </w:tc>
        <w:tc>
          <w:tcPr>
            <w:tcW w:w="2112" w:type="dxa"/>
            <w:shd w:val="clear" w:color="auto" w:fill="CCEDFF"/>
          </w:tcPr>
          <w:p>
            <w:pPr>
              <w:pStyle w:val="TableParagraph"/>
              <w:spacing w:line="210" w:lineRule="exact" w:before="10"/>
              <w:ind w:left="1540"/>
              <w:rPr>
                <w:sz w:val="20"/>
              </w:rPr>
            </w:pPr>
            <w:r>
              <w:rPr>
                <w:spacing w:val="-5"/>
                <w:sz w:val="20"/>
              </w:rPr>
              <w:t>14%</w:t>
            </w:r>
          </w:p>
        </w:tc>
        <w:tc>
          <w:tcPr>
            <w:tcW w:w="1269" w:type="dxa"/>
            <w:gridSpan w:val="2"/>
            <w:tcBorders>
              <w:top w:val="single" w:sz="8" w:space="0" w:color="000000"/>
              <w:bottom w:val="double" w:sz="8" w:space="0" w:color="000000"/>
            </w:tcBorders>
            <w:shd w:val="clear" w:color="auto" w:fill="CCEDFF"/>
          </w:tcPr>
          <w:p>
            <w:pPr>
              <w:pStyle w:val="TableParagraph"/>
              <w:spacing w:line="210" w:lineRule="exact" w:before="10"/>
              <w:ind w:right="11"/>
              <w:jc w:val="right"/>
              <w:rPr>
                <w:sz w:val="20"/>
              </w:rPr>
            </w:pPr>
            <w:r>
              <w:rPr>
                <w:spacing w:val="-5"/>
                <w:sz w:val="20"/>
              </w:rPr>
              <w:t>18%</w:t>
            </w:r>
          </w:p>
        </w:tc>
      </w:tr>
    </w:tbl>
    <w:p>
      <w:pPr>
        <w:pStyle w:val="BodyText"/>
        <w:spacing w:before="4"/>
      </w:pPr>
    </w:p>
    <w:p>
      <w:pPr>
        <w:pStyle w:val="BodyText"/>
        <w:spacing w:line="249" w:lineRule="auto"/>
        <w:ind w:left="220" w:right="257" w:firstLine="540"/>
        <w:jc w:val="both"/>
      </w:pPr>
      <w:r>
        <w:rPr>
          <w:spacing w:val="-4"/>
        </w:rPr>
        <w:t>Compensation costs increased during fiscal 2017 and fiscal 2016 as compared to the corresponding year ago periods primarily </w:t>
      </w:r>
      <w:r>
        <w:rPr/>
        <w:t>due to increases in headcount resulting from decreased usage of outside consultants that were providing consulting and training services to customers.</w:t>
      </w:r>
    </w:p>
    <w:p>
      <w:pPr>
        <w:pStyle w:val="BodyText"/>
        <w:spacing w:before="4"/>
        <w:rPr>
          <w:sz w:val="18"/>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7"/>
        <w:gridCol w:w="1633"/>
        <w:gridCol w:w="1180"/>
        <w:gridCol w:w="1224"/>
        <w:gridCol w:w="1180"/>
        <w:gridCol w:w="1057"/>
      </w:tblGrid>
      <w:tr>
        <w:trPr>
          <w:trHeight w:val="412" w:hRule="atLeast"/>
        </w:trPr>
        <w:tc>
          <w:tcPr>
            <w:tcW w:w="3967" w:type="dxa"/>
          </w:tcPr>
          <w:p>
            <w:pPr>
              <w:pStyle w:val="TableParagraph"/>
              <w:spacing w:line="221" w:lineRule="exact"/>
              <w:ind w:left="-10"/>
              <w:rPr>
                <w:b/>
                <w:sz w:val="20"/>
              </w:rPr>
            </w:pPr>
            <w:bookmarkStart w:name="Operating Expenses" w:id="44"/>
            <w:bookmarkEnd w:id="44"/>
            <w:r>
              <w:rPr/>
            </w:r>
            <w:r>
              <w:rPr>
                <w:b/>
                <w:sz w:val="20"/>
              </w:rPr>
              <w:t>Operating</w:t>
            </w:r>
            <w:r>
              <w:rPr>
                <w:b/>
                <w:spacing w:val="-4"/>
                <w:sz w:val="20"/>
              </w:rPr>
              <w:t> </w:t>
            </w:r>
            <w:r>
              <w:rPr>
                <w:b/>
                <w:sz w:val="20"/>
              </w:rPr>
              <w:t>Expenses</w:t>
            </w:r>
            <w:r>
              <w:rPr>
                <w:b/>
                <w:spacing w:val="-4"/>
                <w:sz w:val="20"/>
              </w:rPr>
              <w:t> </w:t>
            </w:r>
            <w:r>
              <w:rPr>
                <w:b/>
                <w:sz w:val="20"/>
              </w:rPr>
              <w:t>(dollars</w:t>
            </w:r>
            <w:r>
              <w:rPr>
                <w:b/>
                <w:spacing w:val="-4"/>
                <w:sz w:val="20"/>
              </w:rPr>
              <w:t> </w:t>
            </w:r>
            <w:r>
              <w:rPr>
                <w:b/>
                <w:sz w:val="20"/>
              </w:rPr>
              <w:t>in</w:t>
            </w:r>
            <w:r>
              <w:rPr>
                <w:b/>
                <w:spacing w:val="-3"/>
                <w:sz w:val="20"/>
              </w:rPr>
              <w:t> </w:t>
            </w:r>
            <w:r>
              <w:rPr>
                <w:b/>
                <w:spacing w:val="-2"/>
                <w:sz w:val="20"/>
              </w:rPr>
              <w:t>millions)</w:t>
            </w:r>
          </w:p>
        </w:tc>
        <w:tc>
          <w:tcPr>
            <w:tcW w:w="6274" w:type="dxa"/>
            <w:gridSpan w:val="5"/>
          </w:tcPr>
          <w:p>
            <w:pPr>
              <w:pStyle w:val="TableParagraph"/>
              <w:rPr>
                <w:sz w:val="18"/>
              </w:rPr>
            </w:pPr>
          </w:p>
        </w:tc>
      </w:tr>
      <w:tr>
        <w:trPr>
          <w:trHeight w:val="359" w:hRule="atLeast"/>
        </w:trPr>
        <w:tc>
          <w:tcPr>
            <w:tcW w:w="3967" w:type="dxa"/>
          </w:tcPr>
          <w:p>
            <w:pPr>
              <w:pStyle w:val="TableParagraph"/>
              <w:rPr>
                <w:sz w:val="18"/>
              </w:rPr>
            </w:pPr>
          </w:p>
        </w:tc>
        <w:tc>
          <w:tcPr>
            <w:tcW w:w="1633" w:type="dxa"/>
          </w:tcPr>
          <w:p>
            <w:pPr>
              <w:pStyle w:val="TableParagraph"/>
              <w:rPr>
                <w:sz w:val="16"/>
              </w:rPr>
            </w:pPr>
          </w:p>
          <w:p>
            <w:pPr>
              <w:pStyle w:val="TableParagraph"/>
              <w:spacing w:line="155" w:lineRule="exact"/>
              <w:ind w:left="823"/>
              <w:rPr>
                <w:b/>
                <w:sz w:val="16"/>
              </w:rPr>
            </w:pPr>
            <w:r>
              <w:rPr>
                <w:b/>
                <w:spacing w:val="-2"/>
                <w:sz w:val="16"/>
              </w:rPr>
              <w:t>Fiscal</w:t>
            </w:r>
          </w:p>
        </w:tc>
        <w:tc>
          <w:tcPr>
            <w:tcW w:w="1180" w:type="dxa"/>
          </w:tcPr>
          <w:p>
            <w:pPr>
              <w:pStyle w:val="TableParagraph"/>
              <w:rPr>
                <w:sz w:val="16"/>
              </w:rPr>
            </w:pPr>
          </w:p>
          <w:p>
            <w:pPr>
              <w:pStyle w:val="TableParagraph"/>
              <w:spacing w:line="155" w:lineRule="exact"/>
              <w:ind w:left="360"/>
              <w:rPr>
                <w:b/>
                <w:sz w:val="16"/>
              </w:rPr>
            </w:pPr>
            <w:r>
              <w:rPr>
                <w:b/>
                <w:spacing w:val="-2"/>
                <w:sz w:val="16"/>
              </w:rPr>
              <w:t>Fiscal</w:t>
            </w:r>
          </w:p>
        </w:tc>
        <w:tc>
          <w:tcPr>
            <w:tcW w:w="1224" w:type="dxa"/>
          </w:tcPr>
          <w:p>
            <w:pPr>
              <w:pStyle w:val="TableParagraph"/>
              <w:rPr>
                <w:sz w:val="16"/>
              </w:rPr>
            </w:pPr>
          </w:p>
          <w:p>
            <w:pPr>
              <w:pStyle w:val="TableParagraph"/>
              <w:spacing w:line="155" w:lineRule="exact"/>
              <w:ind w:left="350"/>
              <w:rPr>
                <w:b/>
                <w:sz w:val="16"/>
              </w:rPr>
            </w:pPr>
            <w:r>
              <w:rPr>
                <w:b/>
                <w:spacing w:val="-2"/>
                <w:sz w:val="16"/>
              </w:rPr>
              <w:t>Fiscal</w:t>
            </w:r>
          </w:p>
        </w:tc>
        <w:tc>
          <w:tcPr>
            <w:tcW w:w="1180" w:type="dxa"/>
          </w:tcPr>
          <w:p>
            <w:pPr>
              <w:pStyle w:val="TableParagraph"/>
              <w:rPr>
                <w:sz w:val="16"/>
              </w:rPr>
            </w:pPr>
          </w:p>
          <w:p>
            <w:pPr>
              <w:pStyle w:val="TableParagraph"/>
              <w:spacing w:line="155" w:lineRule="exact"/>
              <w:ind w:left="133"/>
              <w:rPr>
                <w:b/>
                <w:sz w:val="16"/>
              </w:rPr>
            </w:pPr>
            <w:r>
              <w:rPr>
                <w:b/>
                <w:sz w:val="16"/>
              </w:rPr>
              <w:t>% </w:t>
            </w:r>
            <w:r>
              <w:rPr>
                <w:b/>
                <w:spacing w:val="-2"/>
                <w:sz w:val="16"/>
              </w:rPr>
              <w:t>Change</w:t>
            </w:r>
          </w:p>
        </w:tc>
        <w:tc>
          <w:tcPr>
            <w:tcW w:w="1057" w:type="dxa"/>
          </w:tcPr>
          <w:p>
            <w:pPr>
              <w:pStyle w:val="TableParagraph"/>
              <w:rPr>
                <w:sz w:val="16"/>
              </w:rPr>
            </w:pPr>
          </w:p>
          <w:p>
            <w:pPr>
              <w:pStyle w:val="TableParagraph"/>
              <w:spacing w:line="155" w:lineRule="exact"/>
              <w:ind w:left="133"/>
              <w:rPr>
                <w:b/>
                <w:sz w:val="16"/>
              </w:rPr>
            </w:pPr>
            <w:r>
              <w:rPr>
                <w:b/>
                <w:sz w:val="16"/>
              </w:rPr>
              <w:t>% </w:t>
            </w:r>
            <w:r>
              <w:rPr>
                <w:b/>
                <w:spacing w:val="-2"/>
                <w:sz w:val="16"/>
              </w:rPr>
              <w:t>Change</w:t>
            </w:r>
          </w:p>
        </w:tc>
      </w:tr>
      <w:tr>
        <w:trPr>
          <w:trHeight w:val="205" w:hRule="atLeast"/>
        </w:trPr>
        <w:tc>
          <w:tcPr>
            <w:tcW w:w="3967" w:type="dxa"/>
          </w:tcPr>
          <w:p>
            <w:pPr>
              <w:pStyle w:val="TableParagraph"/>
              <w:rPr>
                <w:sz w:val="14"/>
              </w:rPr>
            </w:pPr>
          </w:p>
        </w:tc>
        <w:tc>
          <w:tcPr>
            <w:tcW w:w="1633" w:type="dxa"/>
            <w:tcBorders>
              <w:bottom w:val="single" w:sz="8" w:space="0" w:color="000000"/>
            </w:tcBorders>
          </w:tcPr>
          <w:p>
            <w:pPr>
              <w:pStyle w:val="TableParagraph"/>
              <w:spacing w:line="169" w:lineRule="exact"/>
              <w:ind w:left="863"/>
              <w:rPr>
                <w:b/>
                <w:sz w:val="16"/>
              </w:rPr>
            </w:pPr>
            <w:r>
              <w:rPr>
                <w:b/>
                <w:spacing w:val="-4"/>
                <w:sz w:val="16"/>
              </w:rPr>
              <w:t>2017</w:t>
            </w:r>
          </w:p>
        </w:tc>
        <w:tc>
          <w:tcPr>
            <w:tcW w:w="1180" w:type="dxa"/>
            <w:tcBorders>
              <w:bottom w:val="single" w:sz="8" w:space="0" w:color="000000"/>
            </w:tcBorders>
          </w:tcPr>
          <w:p>
            <w:pPr>
              <w:pStyle w:val="TableParagraph"/>
              <w:spacing w:line="169" w:lineRule="exact"/>
              <w:ind w:left="8" w:right="65"/>
              <w:jc w:val="center"/>
              <w:rPr>
                <w:b/>
                <w:sz w:val="16"/>
              </w:rPr>
            </w:pPr>
            <w:r>
              <w:rPr>
                <w:b/>
                <w:spacing w:val="-4"/>
                <w:sz w:val="16"/>
              </w:rPr>
              <w:t>2016</w:t>
            </w:r>
          </w:p>
        </w:tc>
        <w:tc>
          <w:tcPr>
            <w:tcW w:w="1224" w:type="dxa"/>
            <w:tcBorders>
              <w:bottom w:val="single" w:sz="8" w:space="0" w:color="000000"/>
            </w:tcBorders>
          </w:tcPr>
          <w:p>
            <w:pPr>
              <w:pStyle w:val="TableParagraph"/>
              <w:spacing w:line="169" w:lineRule="exact"/>
              <w:ind w:left="390"/>
              <w:rPr>
                <w:b/>
                <w:sz w:val="16"/>
              </w:rPr>
            </w:pPr>
            <w:r>
              <w:rPr>
                <w:b/>
                <w:spacing w:val="-4"/>
                <w:sz w:val="16"/>
              </w:rPr>
              <w:t>2015</w:t>
            </w:r>
          </w:p>
        </w:tc>
        <w:tc>
          <w:tcPr>
            <w:tcW w:w="1180" w:type="dxa"/>
            <w:tcBorders>
              <w:bottom w:val="single" w:sz="8" w:space="0" w:color="000000"/>
            </w:tcBorders>
          </w:tcPr>
          <w:p>
            <w:pPr>
              <w:pStyle w:val="TableParagraph"/>
              <w:spacing w:line="169" w:lineRule="exact"/>
              <w:ind w:left="149"/>
              <w:rPr>
                <w:b/>
                <w:sz w:val="16"/>
              </w:rPr>
            </w:pPr>
            <w:r>
              <w:rPr>
                <w:b/>
                <w:sz w:val="16"/>
              </w:rPr>
              <w:t>2017-</w:t>
            </w:r>
            <w:r>
              <w:rPr>
                <w:b/>
                <w:spacing w:val="-4"/>
                <w:sz w:val="16"/>
              </w:rPr>
              <w:t>2016</w:t>
            </w:r>
          </w:p>
        </w:tc>
        <w:tc>
          <w:tcPr>
            <w:tcW w:w="1057" w:type="dxa"/>
            <w:tcBorders>
              <w:bottom w:val="single" w:sz="8" w:space="0" w:color="000000"/>
            </w:tcBorders>
          </w:tcPr>
          <w:p>
            <w:pPr>
              <w:pStyle w:val="TableParagraph"/>
              <w:spacing w:line="169" w:lineRule="exact"/>
              <w:ind w:left="149"/>
              <w:rPr>
                <w:b/>
                <w:sz w:val="16"/>
              </w:rPr>
            </w:pPr>
            <w:r>
              <w:rPr>
                <w:b/>
                <w:sz w:val="16"/>
              </w:rPr>
              <w:t>2016-</w:t>
            </w:r>
            <w:r>
              <w:rPr>
                <w:b/>
                <w:spacing w:val="-4"/>
                <w:sz w:val="16"/>
              </w:rPr>
              <w:t>2015</w:t>
            </w:r>
          </w:p>
        </w:tc>
      </w:tr>
      <w:tr>
        <w:trPr>
          <w:trHeight w:val="270" w:hRule="atLeast"/>
        </w:trPr>
        <w:tc>
          <w:tcPr>
            <w:tcW w:w="3967" w:type="dxa"/>
            <w:shd w:val="clear" w:color="auto" w:fill="CCEDFF"/>
          </w:tcPr>
          <w:p>
            <w:pPr>
              <w:pStyle w:val="TableParagraph"/>
              <w:spacing w:line="222" w:lineRule="exact"/>
              <w:ind w:left="50"/>
              <w:rPr>
                <w:sz w:val="20"/>
              </w:rPr>
            </w:pPr>
            <w:r>
              <w:rPr>
                <w:sz w:val="20"/>
              </w:rPr>
              <w:t>Research and </w:t>
            </w:r>
            <w:r>
              <w:rPr>
                <w:spacing w:val="-2"/>
                <w:sz w:val="20"/>
              </w:rPr>
              <w:t>development</w:t>
            </w:r>
          </w:p>
        </w:tc>
        <w:tc>
          <w:tcPr>
            <w:tcW w:w="1633" w:type="dxa"/>
            <w:tcBorders>
              <w:top w:val="single" w:sz="8" w:space="0" w:color="000000"/>
            </w:tcBorders>
            <w:shd w:val="clear" w:color="auto" w:fill="CCEDFF"/>
          </w:tcPr>
          <w:p>
            <w:pPr>
              <w:pStyle w:val="TableParagraph"/>
              <w:spacing w:line="222" w:lineRule="exact"/>
              <w:ind w:left="543"/>
              <w:rPr>
                <w:sz w:val="20"/>
              </w:rPr>
            </w:pPr>
            <w:r>
              <w:rPr>
                <w:sz w:val="20"/>
              </w:rPr>
              <w:t>$</w:t>
            </w:r>
            <w:r>
              <w:rPr>
                <w:spacing w:val="75"/>
                <w:w w:val="150"/>
                <w:sz w:val="20"/>
              </w:rPr>
              <w:t> </w:t>
            </w:r>
            <w:r>
              <w:rPr>
                <w:spacing w:val="-2"/>
                <w:sz w:val="20"/>
              </w:rPr>
              <w:t>1,224.1</w:t>
            </w:r>
          </w:p>
        </w:tc>
        <w:tc>
          <w:tcPr>
            <w:tcW w:w="1180" w:type="dxa"/>
            <w:tcBorders>
              <w:top w:val="single" w:sz="8" w:space="0" w:color="000000"/>
            </w:tcBorders>
            <w:shd w:val="clear" w:color="auto" w:fill="CCEDFF"/>
          </w:tcPr>
          <w:p>
            <w:pPr>
              <w:pStyle w:val="TableParagraph"/>
              <w:tabs>
                <w:tab w:pos="492" w:val="left" w:leader="none"/>
              </w:tabs>
              <w:spacing w:line="222" w:lineRule="exact"/>
              <w:ind w:left="70"/>
              <w:rPr>
                <w:sz w:val="20"/>
              </w:rPr>
            </w:pPr>
            <w:r>
              <w:rPr>
                <w:spacing w:val="-10"/>
                <w:sz w:val="20"/>
              </w:rPr>
              <w:t>$</w:t>
            </w:r>
            <w:r>
              <w:rPr>
                <w:sz w:val="20"/>
              </w:rPr>
              <w:tab/>
            </w:r>
            <w:r>
              <w:rPr>
                <w:spacing w:val="-2"/>
                <w:sz w:val="20"/>
              </w:rPr>
              <w:t>976.0</w:t>
            </w:r>
          </w:p>
        </w:tc>
        <w:tc>
          <w:tcPr>
            <w:tcW w:w="1224" w:type="dxa"/>
            <w:tcBorders>
              <w:top w:val="single" w:sz="8" w:space="0" w:color="000000"/>
            </w:tcBorders>
            <w:shd w:val="clear" w:color="auto" w:fill="CCEDFF"/>
          </w:tcPr>
          <w:p>
            <w:pPr>
              <w:pStyle w:val="TableParagraph"/>
              <w:tabs>
                <w:tab w:pos="472" w:val="left" w:leader="none"/>
              </w:tabs>
              <w:spacing w:line="222" w:lineRule="exact"/>
              <w:ind w:left="70"/>
              <w:rPr>
                <w:sz w:val="20"/>
              </w:rPr>
            </w:pPr>
            <w:r>
              <w:rPr>
                <w:spacing w:val="-10"/>
                <w:sz w:val="20"/>
              </w:rPr>
              <w:t>$</w:t>
            </w:r>
            <w:r>
              <w:rPr>
                <w:sz w:val="20"/>
              </w:rPr>
              <w:tab/>
            </w:r>
            <w:r>
              <w:rPr>
                <w:spacing w:val="-2"/>
                <w:sz w:val="20"/>
              </w:rPr>
              <w:t>862.7</w:t>
            </w:r>
          </w:p>
        </w:tc>
        <w:tc>
          <w:tcPr>
            <w:tcW w:w="1180" w:type="dxa"/>
            <w:tcBorders>
              <w:top w:val="single" w:sz="8" w:space="0" w:color="000000"/>
            </w:tcBorders>
            <w:shd w:val="clear" w:color="auto" w:fill="CCEDFF"/>
          </w:tcPr>
          <w:p>
            <w:pPr>
              <w:pStyle w:val="TableParagraph"/>
              <w:spacing w:line="222" w:lineRule="exact"/>
              <w:ind w:right="132"/>
              <w:jc w:val="right"/>
              <w:rPr>
                <w:sz w:val="20"/>
              </w:rPr>
            </w:pPr>
            <w:r>
              <w:rPr>
                <w:sz w:val="20"/>
              </w:rPr>
              <w:t>25</w:t>
            </w:r>
            <w:r>
              <w:rPr>
                <w:spacing w:val="17"/>
                <w:sz w:val="20"/>
              </w:rPr>
              <w:t> </w:t>
            </w:r>
            <w:r>
              <w:rPr>
                <w:spacing w:val="-10"/>
                <w:sz w:val="20"/>
              </w:rPr>
              <w:t>%</w:t>
            </w:r>
          </w:p>
        </w:tc>
        <w:tc>
          <w:tcPr>
            <w:tcW w:w="1057" w:type="dxa"/>
            <w:tcBorders>
              <w:top w:val="single" w:sz="8" w:space="0" w:color="000000"/>
            </w:tcBorders>
            <w:shd w:val="clear" w:color="auto" w:fill="CCEDFF"/>
          </w:tcPr>
          <w:p>
            <w:pPr>
              <w:pStyle w:val="TableParagraph"/>
              <w:spacing w:line="222" w:lineRule="exact"/>
              <w:ind w:right="9"/>
              <w:jc w:val="right"/>
              <w:rPr>
                <w:sz w:val="20"/>
              </w:rPr>
            </w:pPr>
            <w:r>
              <w:rPr>
                <w:spacing w:val="-5"/>
                <w:sz w:val="20"/>
              </w:rPr>
              <w:t>13%</w:t>
            </w:r>
          </w:p>
        </w:tc>
      </w:tr>
      <w:tr>
        <w:trPr>
          <w:trHeight w:val="280" w:hRule="atLeast"/>
        </w:trPr>
        <w:tc>
          <w:tcPr>
            <w:tcW w:w="3967" w:type="dxa"/>
          </w:tcPr>
          <w:p>
            <w:pPr>
              <w:pStyle w:val="TableParagraph"/>
              <w:spacing w:before="2"/>
              <w:ind w:left="170"/>
              <w:rPr>
                <w:sz w:val="20"/>
              </w:rPr>
            </w:pPr>
            <w:r>
              <w:rPr>
                <w:sz w:val="20"/>
              </w:rPr>
              <w:t>Percentage of total </w:t>
            </w:r>
            <w:r>
              <w:rPr>
                <w:spacing w:val="-2"/>
                <w:sz w:val="20"/>
              </w:rPr>
              <w:t>revenue</w:t>
            </w:r>
          </w:p>
        </w:tc>
        <w:tc>
          <w:tcPr>
            <w:tcW w:w="1633" w:type="dxa"/>
          </w:tcPr>
          <w:p>
            <w:pPr>
              <w:pStyle w:val="TableParagraph"/>
              <w:spacing w:before="2"/>
              <w:ind w:right="68"/>
              <w:jc w:val="right"/>
              <w:rPr>
                <w:sz w:val="20"/>
              </w:rPr>
            </w:pPr>
            <w:r>
              <w:rPr>
                <w:spacing w:val="-5"/>
                <w:sz w:val="20"/>
              </w:rPr>
              <w:t>17%</w:t>
            </w:r>
          </w:p>
        </w:tc>
        <w:tc>
          <w:tcPr>
            <w:tcW w:w="1180" w:type="dxa"/>
          </w:tcPr>
          <w:p>
            <w:pPr>
              <w:pStyle w:val="TableParagraph"/>
              <w:spacing w:before="2"/>
              <w:ind w:right="68"/>
              <w:jc w:val="right"/>
              <w:rPr>
                <w:sz w:val="20"/>
              </w:rPr>
            </w:pPr>
            <w:r>
              <w:rPr>
                <w:spacing w:val="-5"/>
                <w:sz w:val="20"/>
              </w:rPr>
              <w:t>17%</w:t>
            </w:r>
          </w:p>
        </w:tc>
        <w:tc>
          <w:tcPr>
            <w:tcW w:w="1224" w:type="dxa"/>
          </w:tcPr>
          <w:p>
            <w:pPr>
              <w:pStyle w:val="TableParagraph"/>
              <w:spacing w:before="2"/>
              <w:ind w:right="132"/>
              <w:jc w:val="right"/>
              <w:rPr>
                <w:sz w:val="20"/>
              </w:rPr>
            </w:pPr>
            <w:r>
              <w:rPr>
                <w:spacing w:val="-5"/>
                <w:sz w:val="20"/>
              </w:rPr>
              <w:t>18%</w:t>
            </w:r>
          </w:p>
        </w:tc>
        <w:tc>
          <w:tcPr>
            <w:tcW w:w="1180" w:type="dxa"/>
          </w:tcPr>
          <w:p>
            <w:pPr>
              <w:pStyle w:val="TableParagraph"/>
              <w:rPr>
                <w:sz w:val="18"/>
              </w:rPr>
            </w:pPr>
          </w:p>
        </w:tc>
        <w:tc>
          <w:tcPr>
            <w:tcW w:w="1057" w:type="dxa"/>
          </w:tcPr>
          <w:p>
            <w:pPr>
              <w:pStyle w:val="TableParagraph"/>
              <w:rPr>
                <w:sz w:val="18"/>
              </w:rPr>
            </w:pPr>
          </w:p>
        </w:tc>
      </w:tr>
      <w:tr>
        <w:trPr>
          <w:trHeight w:val="280" w:hRule="atLeast"/>
        </w:trPr>
        <w:tc>
          <w:tcPr>
            <w:tcW w:w="3967" w:type="dxa"/>
            <w:shd w:val="clear" w:color="auto" w:fill="CCEDFF"/>
          </w:tcPr>
          <w:p>
            <w:pPr>
              <w:pStyle w:val="TableParagraph"/>
              <w:spacing w:before="2"/>
              <w:ind w:left="50"/>
              <w:rPr>
                <w:sz w:val="20"/>
              </w:rPr>
            </w:pPr>
            <w:r>
              <w:rPr>
                <w:sz w:val="20"/>
              </w:rPr>
              <w:t>Sales</w:t>
            </w:r>
            <w:r>
              <w:rPr>
                <w:spacing w:val="-3"/>
                <w:sz w:val="20"/>
              </w:rPr>
              <w:t> </w:t>
            </w:r>
            <w:r>
              <w:rPr>
                <w:sz w:val="20"/>
              </w:rPr>
              <w:t>and</w:t>
            </w:r>
            <w:r>
              <w:rPr>
                <w:spacing w:val="-2"/>
                <w:sz w:val="20"/>
              </w:rPr>
              <w:t> marketing</w:t>
            </w:r>
          </w:p>
        </w:tc>
        <w:tc>
          <w:tcPr>
            <w:tcW w:w="1633" w:type="dxa"/>
            <w:shd w:val="clear" w:color="auto" w:fill="CCEDFF"/>
          </w:tcPr>
          <w:p>
            <w:pPr>
              <w:pStyle w:val="TableParagraph"/>
              <w:spacing w:before="2"/>
              <w:ind w:left="795"/>
              <w:rPr>
                <w:sz w:val="20"/>
              </w:rPr>
            </w:pPr>
            <w:r>
              <w:rPr>
                <w:spacing w:val="-2"/>
                <w:sz w:val="20"/>
              </w:rPr>
              <w:t>2,197.6</w:t>
            </w:r>
          </w:p>
        </w:tc>
        <w:tc>
          <w:tcPr>
            <w:tcW w:w="1180" w:type="dxa"/>
            <w:shd w:val="clear" w:color="auto" w:fill="CCEDFF"/>
          </w:tcPr>
          <w:p>
            <w:pPr>
              <w:pStyle w:val="TableParagraph"/>
              <w:spacing w:before="2"/>
              <w:ind w:left="342"/>
              <w:rPr>
                <w:sz w:val="20"/>
              </w:rPr>
            </w:pPr>
            <w:r>
              <w:rPr>
                <w:spacing w:val="-2"/>
                <w:sz w:val="20"/>
              </w:rPr>
              <w:t>1,910.2</w:t>
            </w:r>
          </w:p>
        </w:tc>
        <w:tc>
          <w:tcPr>
            <w:tcW w:w="1224" w:type="dxa"/>
            <w:shd w:val="clear" w:color="auto" w:fill="CCEDFF"/>
          </w:tcPr>
          <w:p>
            <w:pPr>
              <w:pStyle w:val="TableParagraph"/>
              <w:spacing w:before="2"/>
              <w:ind w:left="322"/>
              <w:rPr>
                <w:sz w:val="20"/>
              </w:rPr>
            </w:pPr>
            <w:r>
              <w:rPr>
                <w:spacing w:val="-2"/>
                <w:sz w:val="20"/>
              </w:rPr>
              <w:t>1,683.2</w:t>
            </w:r>
          </w:p>
        </w:tc>
        <w:tc>
          <w:tcPr>
            <w:tcW w:w="1180" w:type="dxa"/>
            <w:shd w:val="clear" w:color="auto" w:fill="CCEDFF"/>
          </w:tcPr>
          <w:p>
            <w:pPr>
              <w:pStyle w:val="TableParagraph"/>
              <w:spacing w:before="2"/>
              <w:ind w:right="132"/>
              <w:jc w:val="right"/>
              <w:rPr>
                <w:sz w:val="20"/>
              </w:rPr>
            </w:pPr>
            <w:r>
              <w:rPr>
                <w:sz w:val="20"/>
              </w:rPr>
              <w:t>15</w:t>
            </w:r>
            <w:r>
              <w:rPr>
                <w:spacing w:val="17"/>
                <w:sz w:val="20"/>
              </w:rPr>
              <w:t> </w:t>
            </w:r>
            <w:r>
              <w:rPr>
                <w:spacing w:val="-10"/>
                <w:sz w:val="20"/>
              </w:rPr>
              <w:t>%</w:t>
            </w:r>
          </w:p>
        </w:tc>
        <w:tc>
          <w:tcPr>
            <w:tcW w:w="1057" w:type="dxa"/>
            <w:shd w:val="clear" w:color="auto" w:fill="CCEDFF"/>
          </w:tcPr>
          <w:p>
            <w:pPr>
              <w:pStyle w:val="TableParagraph"/>
              <w:spacing w:before="2"/>
              <w:ind w:right="9"/>
              <w:jc w:val="right"/>
              <w:rPr>
                <w:sz w:val="20"/>
              </w:rPr>
            </w:pPr>
            <w:r>
              <w:rPr>
                <w:spacing w:val="-5"/>
                <w:sz w:val="20"/>
              </w:rPr>
              <w:t>13%</w:t>
            </w:r>
          </w:p>
        </w:tc>
      </w:tr>
      <w:tr>
        <w:trPr>
          <w:trHeight w:val="280" w:hRule="atLeast"/>
        </w:trPr>
        <w:tc>
          <w:tcPr>
            <w:tcW w:w="3967" w:type="dxa"/>
          </w:tcPr>
          <w:p>
            <w:pPr>
              <w:pStyle w:val="TableParagraph"/>
              <w:spacing w:before="2"/>
              <w:ind w:left="170"/>
              <w:rPr>
                <w:sz w:val="20"/>
              </w:rPr>
            </w:pPr>
            <w:r>
              <w:rPr>
                <w:sz w:val="20"/>
              </w:rPr>
              <w:t>Percentage of total </w:t>
            </w:r>
            <w:r>
              <w:rPr>
                <w:spacing w:val="-2"/>
                <w:sz w:val="20"/>
              </w:rPr>
              <w:t>revenue</w:t>
            </w:r>
          </w:p>
        </w:tc>
        <w:tc>
          <w:tcPr>
            <w:tcW w:w="1633" w:type="dxa"/>
          </w:tcPr>
          <w:p>
            <w:pPr>
              <w:pStyle w:val="TableParagraph"/>
              <w:spacing w:before="2"/>
              <w:ind w:right="68"/>
              <w:jc w:val="right"/>
              <w:rPr>
                <w:sz w:val="20"/>
              </w:rPr>
            </w:pPr>
            <w:r>
              <w:rPr>
                <w:spacing w:val="-5"/>
                <w:sz w:val="20"/>
              </w:rPr>
              <w:t>30%</w:t>
            </w:r>
          </w:p>
        </w:tc>
        <w:tc>
          <w:tcPr>
            <w:tcW w:w="1180" w:type="dxa"/>
          </w:tcPr>
          <w:p>
            <w:pPr>
              <w:pStyle w:val="TableParagraph"/>
              <w:spacing w:before="2"/>
              <w:ind w:right="68"/>
              <w:jc w:val="right"/>
              <w:rPr>
                <w:sz w:val="20"/>
              </w:rPr>
            </w:pPr>
            <w:r>
              <w:rPr>
                <w:spacing w:val="-5"/>
                <w:sz w:val="20"/>
              </w:rPr>
              <w:t>33%</w:t>
            </w:r>
          </w:p>
        </w:tc>
        <w:tc>
          <w:tcPr>
            <w:tcW w:w="1224" w:type="dxa"/>
          </w:tcPr>
          <w:p>
            <w:pPr>
              <w:pStyle w:val="TableParagraph"/>
              <w:spacing w:before="2"/>
              <w:ind w:right="132"/>
              <w:jc w:val="right"/>
              <w:rPr>
                <w:sz w:val="20"/>
              </w:rPr>
            </w:pPr>
            <w:r>
              <w:rPr>
                <w:spacing w:val="-5"/>
                <w:sz w:val="20"/>
              </w:rPr>
              <w:t>35%</w:t>
            </w:r>
          </w:p>
        </w:tc>
        <w:tc>
          <w:tcPr>
            <w:tcW w:w="1180" w:type="dxa"/>
          </w:tcPr>
          <w:p>
            <w:pPr>
              <w:pStyle w:val="TableParagraph"/>
              <w:rPr>
                <w:sz w:val="18"/>
              </w:rPr>
            </w:pPr>
          </w:p>
        </w:tc>
        <w:tc>
          <w:tcPr>
            <w:tcW w:w="1057" w:type="dxa"/>
          </w:tcPr>
          <w:p>
            <w:pPr>
              <w:pStyle w:val="TableParagraph"/>
              <w:rPr>
                <w:sz w:val="18"/>
              </w:rPr>
            </w:pPr>
          </w:p>
        </w:tc>
      </w:tr>
      <w:tr>
        <w:trPr>
          <w:trHeight w:val="280" w:hRule="atLeast"/>
        </w:trPr>
        <w:tc>
          <w:tcPr>
            <w:tcW w:w="3967" w:type="dxa"/>
            <w:shd w:val="clear" w:color="auto" w:fill="CCEDFF"/>
          </w:tcPr>
          <w:p>
            <w:pPr>
              <w:pStyle w:val="TableParagraph"/>
              <w:spacing w:before="2"/>
              <w:ind w:left="50"/>
              <w:rPr>
                <w:sz w:val="20"/>
              </w:rPr>
            </w:pPr>
            <w:r>
              <w:rPr>
                <w:sz w:val="20"/>
              </w:rPr>
              <w:t>General and </w:t>
            </w:r>
            <w:r>
              <w:rPr>
                <w:spacing w:val="-2"/>
                <w:sz w:val="20"/>
              </w:rPr>
              <w:t>administrative</w:t>
            </w:r>
          </w:p>
        </w:tc>
        <w:tc>
          <w:tcPr>
            <w:tcW w:w="1633" w:type="dxa"/>
            <w:shd w:val="clear" w:color="auto" w:fill="CCEDFF"/>
          </w:tcPr>
          <w:p>
            <w:pPr>
              <w:pStyle w:val="TableParagraph"/>
              <w:spacing w:before="2"/>
              <w:ind w:left="946"/>
              <w:rPr>
                <w:sz w:val="20"/>
              </w:rPr>
            </w:pPr>
            <w:r>
              <w:rPr>
                <w:spacing w:val="-2"/>
                <w:sz w:val="20"/>
              </w:rPr>
              <w:t>624.7</w:t>
            </w:r>
          </w:p>
        </w:tc>
        <w:tc>
          <w:tcPr>
            <w:tcW w:w="1180" w:type="dxa"/>
            <w:shd w:val="clear" w:color="auto" w:fill="CCEDFF"/>
          </w:tcPr>
          <w:p>
            <w:pPr>
              <w:pStyle w:val="TableParagraph"/>
              <w:spacing w:before="2"/>
              <w:ind w:left="493"/>
              <w:rPr>
                <w:sz w:val="20"/>
              </w:rPr>
            </w:pPr>
            <w:r>
              <w:rPr>
                <w:spacing w:val="-2"/>
                <w:sz w:val="20"/>
              </w:rPr>
              <w:t>576.2</w:t>
            </w:r>
          </w:p>
        </w:tc>
        <w:tc>
          <w:tcPr>
            <w:tcW w:w="1224" w:type="dxa"/>
            <w:shd w:val="clear" w:color="auto" w:fill="CCEDFF"/>
          </w:tcPr>
          <w:p>
            <w:pPr>
              <w:pStyle w:val="TableParagraph"/>
              <w:spacing w:before="2"/>
              <w:ind w:left="473"/>
              <w:rPr>
                <w:sz w:val="20"/>
              </w:rPr>
            </w:pPr>
            <w:r>
              <w:rPr>
                <w:spacing w:val="-2"/>
                <w:sz w:val="20"/>
              </w:rPr>
              <w:t>533.5</w:t>
            </w:r>
          </w:p>
        </w:tc>
        <w:tc>
          <w:tcPr>
            <w:tcW w:w="1180" w:type="dxa"/>
            <w:shd w:val="clear" w:color="auto" w:fill="CCEDFF"/>
          </w:tcPr>
          <w:p>
            <w:pPr>
              <w:pStyle w:val="TableParagraph"/>
              <w:spacing w:before="2"/>
              <w:ind w:right="132"/>
              <w:jc w:val="right"/>
              <w:rPr>
                <w:sz w:val="20"/>
              </w:rPr>
            </w:pPr>
            <w:r>
              <w:rPr>
                <w:sz w:val="20"/>
              </w:rPr>
              <w:t>8</w:t>
            </w:r>
            <w:r>
              <w:rPr>
                <w:spacing w:val="17"/>
                <w:sz w:val="20"/>
              </w:rPr>
              <w:t> </w:t>
            </w:r>
            <w:r>
              <w:rPr>
                <w:spacing w:val="-10"/>
                <w:sz w:val="20"/>
              </w:rPr>
              <w:t>%</w:t>
            </w:r>
          </w:p>
        </w:tc>
        <w:tc>
          <w:tcPr>
            <w:tcW w:w="1057" w:type="dxa"/>
            <w:shd w:val="clear" w:color="auto" w:fill="CCEDFF"/>
          </w:tcPr>
          <w:p>
            <w:pPr>
              <w:pStyle w:val="TableParagraph"/>
              <w:spacing w:before="2"/>
              <w:ind w:right="9"/>
              <w:jc w:val="right"/>
              <w:rPr>
                <w:sz w:val="20"/>
              </w:rPr>
            </w:pPr>
            <w:r>
              <w:rPr>
                <w:spacing w:val="-5"/>
                <w:sz w:val="20"/>
              </w:rPr>
              <w:t>8%</w:t>
            </w:r>
          </w:p>
        </w:tc>
      </w:tr>
      <w:tr>
        <w:trPr>
          <w:trHeight w:val="280" w:hRule="atLeast"/>
        </w:trPr>
        <w:tc>
          <w:tcPr>
            <w:tcW w:w="3967" w:type="dxa"/>
          </w:tcPr>
          <w:p>
            <w:pPr>
              <w:pStyle w:val="TableParagraph"/>
              <w:spacing w:before="2"/>
              <w:ind w:left="170"/>
              <w:rPr>
                <w:sz w:val="20"/>
              </w:rPr>
            </w:pPr>
            <w:r>
              <w:rPr>
                <w:sz w:val="20"/>
              </w:rPr>
              <w:t>Percentage of total </w:t>
            </w:r>
            <w:r>
              <w:rPr>
                <w:spacing w:val="-2"/>
                <w:sz w:val="20"/>
              </w:rPr>
              <w:t>revenue</w:t>
            </w:r>
          </w:p>
        </w:tc>
        <w:tc>
          <w:tcPr>
            <w:tcW w:w="1633" w:type="dxa"/>
          </w:tcPr>
          <w:p>
            <w:pPr>
              <w:pStyle w:val="TableParagraph"/>
              <w:spacing w:before="2"/>
              <w:ind w:right="68"/>
              <w:jc w:val="right"/>
              <w:rPr>
                <w:sz w:val="20"/>
              </w:rPr>
            </w:pPr>
            <w:r>
              <w:rPr>
                <w:spacing w:val="-5"/>
                <w:sz w:val="20"/>
              </w:rPr>
              <w:t>9%</w:t>
            </w:r>
          </w:p>
        </w:tc>
        <w:tc>
          <w:tcPr>
            <w:tcW w:w="1180" w:type="dxa"/>
          </w:tcPr>
          <w:p>
            <w:pPr>
              <w:pStyle w:val="TableParagraph"/>
              <w:spacing w:before="2"/>
              <w:ind w:right="68"/>
              <w:jc w:val="right"/>
              <w:rPr>
                <w:sz w:val="20"/>
              </w:rPr>
            </w:pPr>
            <w:r>
              <w:rPr>
                <w:spacing w:val="-5"/>
                <w:sz w:val="20"/>
              </w:rPr>
              <w:t>10%</w:t>
            </w:r>
          </w:p>
        </w:tc>
        <w:tc>
          <w:tcPr>
            <w:tcW w:w="1224" w:type="dxa"/>
          </w:tcPr>
          <w:p>
            <w:pPr>
              <w:pStyle w:val="TableParagraph"/>
              <w:spacing w:before="2"/>
              <w:ind w:right="132"/>
              <w:jc w:val="right"/>
              <w:rPr>
                <w:sz w:val="20"/>
              </w:rPr>
            </w:pPr>
            <w:r>
              <w:rPr>
                <w:spacing w:val="-5"/>
                <w:sz w:val="20"/>
              </w:rPr>
              <w:t>11%</w:t>
            </w:r>
          </w:p>
        </w:tc>
        <w:tc>
          <w:tcPr>
            <w:tcW w:w="1180" w:type="dxa"/>
          </w:tcPr>
          <w:p>
            <w:pPr>
              <w:pStyle w:val="TableParagraph"/>
              <w:rPr>
                <w:sz w:val="18"/>
              </w:rPr>
            </w:pPr>
          </w:p>
        </w:tc>
        <w:tc>
          <w:tcPr>
            <w:tcW w:w="1057" w:type="dxa"/>
          </w:tcPr>
          <w:p>
            <w:pPr>
              <w:pStyle w:val="TableParagraph"/>
              <w:rPr>
                <w:sz w:val="18"/>
              </w:rPr>
            </w:pPr>
          </w:p>
        </w:tc>
      </w:tr>
      <w:tr>
        <w:trPr>
          <w:trHeight w:val="300" w:hRule="atLeast"/>
        </w:trPr>
        <w:tc>
          <w:tcPr>
            <w:tcW w:w="3967" w:type="dxa"/>
            <w:shd w:val="clear" w:color="auto" w:fill="CCEDFF"/>
          </w:tcPr>
          <w:p>
            <w:pPr>
              <w:pStyle w:val="TableParagraph"/>
              <w:spacing w:before="20"/>
              <w:ind w:left="50"/>
              <w:rPr>
                <w:sz w:val="20"/>
              </w:rPr>
            </w:pPr>
            <w:r>
              <w:rPr>
                <w:sz w:val="20"/>
              </w:rPr>
              <w:t>Amortization of purchased </w:t>
            </w:r>
            <w:r>
              <w:rPr>
                <w:spacing w:val="-2"/>
                <w:sz w:val="20"/>
              </w:rPr>
              <w:t>intangibles</w:t>
            </w:r>
          </w:p>
        </w:tc>
        <w:tc>
          <w:tcPr>
            <w:tcW w:w="1633" w:type="dxa"/>
            <w:shd w:val="clear" w:color="auto" w:fill="CCEDFF"/>
          </w:tcPr>
          <w:p>
            <w:pPr>
              <w:pStyle w:val="TableParagraph"/>
              <w:spacing w:before="20"/>
              <w:ind w:left="1046"/>
              <w:rPr>
                <w:sz w:val="20"/>
              </w:rPr>
            </w:pPr>
            <w:r>
              <w:rPr>
                <w:spacing w:val="-4"/>
                <w:sz w:val="20"/>
              </w:rPr>
              <w:t>76.5</w:t>
            </w:r>
          </w:p>
        </w:tc>
        <w:tc>
          <w:tcPr>
            <w:tcW w:w="1180" w:type="dxa"/>
            <w:shd w:val="clear" w:color="auto" w:fill="CCEDFF"/>
          </w:tcPr>
          <w:p>
            <w:pPr>
              <w:pStyle w:val="TableParagraph"/>
              <w:spacing w:before="20"/>
              <w:ind w:left="593"/>
              <w:rPr>
                <w:sz w:val="20"/>
              </w:rPr>
            </w:pPr>
            <w:r>
              <w:rPr>
                <w:spacing w:val="-4"/>
                <w:sz w:val="20"/>
              </w:rPr>
              <w:t>78.5</w:t>
            </w:r>
          </w:p>
        </w:tc>
        <w:tc>
          <w:tcPr>
            <w:tcW w:w="1224" w:type="dxa"/>
            <w:shd w:val="clear" w:color="auto" w:fill="CCEDFF"/>
          </w:tcPr>
          <w:p>
            <w:pPr>
              <w:pStyle w:val="TableParagraph"/>
              <w:spacing w:before="20"/>
              <w:ind w:left="573"/>
              <w:rPr>
                <w:sz w:val="20"/>
              </w:rPr>
            </w:pPr>
            <w:r>
              <w:rPr>
                <w:spacing w:val="-4"/>
                <w:sz w:val="20"/>
              </w:rPr>
              <w:t>68.7</w:t>
            </w:r>
          </w:p>
        </w:tc>
        <w:tc>
          <w:tcPr>
            <w:tcW w:w="1180" w:type="dxa"/>
            <w:shd w:val="clear" w:color="auto" w:fill="CCEDFF"/>
          </w:tcPr>
          <w:p>
            <w:pPr>
              <w:pStyle w:val="TableParagraph"/>
              <w:spacing w:before="20"/>
              <w:ind w:right="132"/>
              <w:jc w:val="right"/>
              <w:rPr>
                <w:sz w:val="20"/>
              </w:rPr>
            </w:pPr>
            <w:r>
              <w:rPr>
                <w:spacing w:val="-4"/>
                <w:sz w:val="20"/>
              </w:rPr>
              <w:t>(3)%</w:t>
            </w:r>
          </w:p>
        </w:tc>
        <w:tc>
          <w:tcPr>
            <w:tcW w:w="1057" w:type="dxa"/>
            <w:shd w:val="clear" w:color="auto" w:fill="CCEDFF"/>
          </w:tcPr>
          <w:p>
            <w:pPr>
              <w:pStyle w:val="TableParagraph"/>
              <w:spacing w:before="20"/>
              <w:ind w:right="9"/>
              <w:jc w:val="right"/>
              <w:rPr>
                <w:sz w:val="20"/>
              </w:rPr>
            </w:pPr>
            <w:r>
              <w:rPr>
                <w:spacing w:val="-5"/>
                <w:sz w:val="20"/>
              </w:rPr>
              <w:t>14%</w:t>
            </w:r>
          </w:p>
        </w:tc>
      </w:tr>
      <w:tr>
        <w:trPr>
          <w:trHeight w:val="269" w:hRule="atLeast"/>
        </w:trPr>
        <w:tc>
          <w:tcPr>
            <w:tcW w:w="3967" w:type="dxa"/>
          </w:tcPr>
          <w:p>
            <w:pPr>
              <w:pStyle w:val="TableParagraph"/>
              <w:spacing w:before="2"/>
              <w:ind w:left="170"/>
              <w:rPr>
                <w:sz w:val="20"/>
              </w:rPr>
            </w:pPr>
            <w:r>
              <w:rPr>
                <w:sz w:val="20"/>
              </w:rPr>
              <w:t>Percentage of total </w:t>
            </w:r>
            <w:r>
              <w:rPr>
                <w:spacing w:val="-2"/>
                <w:sz w:val="20"/>
              </w:rPr>
              <w:t>revenue</w:t>
            </w:r>
          </w:p>
        </w:tc>
        <w:tc>
          <w:tcPr>
            <w:tcW w:w="1633" w:type="dxa"/>
            <w:tcBorders>
              <w:bottom w:val="single" w:sz="8" w:space="0" w:color="000000"/>
            </w:tcBorders>
          </w:tcPr>
          <w:p>
            <w:pPr>
              <w:pStyle w:val="TableParagraph"/>
              <w:spacing w:before="2"/>
              <w:ind w:right="68"/>
              <w:jc w:val="right"/>
              <w:rPr>
                <w:sz w:val="20"/>
              </w:rPr>
            </w:pPr>
            <w:r>
              <w:rPr>
                <w:spacing w:val="-5"/>
                <w:sz w:val="20"/>
              </w:rPr>
              <w:t>1%</w:t>
            </w:r>
          </w:p>
        </w:tc>
        <w:tc>
          <w:tcPr>
            <w:tcW w:w="1180" w:type="dxa"/>
            <w:tcBorders>
              <w:bottom w:val="single" w:sz="8" w:space="0" w:color="000000"/>
            </w:tcBorders>
          </w:tcPr>
          <w:p>
            <w:pPr>
              <w:pStyle w:val="TableParagraph"/>
              <w:spacing w:before="2"/>
              <w:ind w:right="68"/>
              <w:jc w:val="right"/>
              <w:rPr>
                <w:sz w:val="20"/>
              </w:rPr>
            </w:pPr>
            <w:r>
              <w:rPr>
                <w:spacing w:val="-5"/>
                <w:sz w:val="20"/>
              </w:rPr>
              <w:t>1%</w:t>
            </w:r>
          </w:p>
        </w:tc>
        <w:tc>
          <w:tcPr>
            <w:tcW w:w="1224" w:type="dxa"/>
            <w:tcBorders>
              <w:bottom w:val="single" w:sz="8" w:space="0" w:color="000000"/>
            </w:tcBorders>
          </w:tcPr>
          <w:p>
            <w:pPr>
              <w:pStyle w:val="TableParagraph"/>
              <w:spacing w:before="2"/>
              <w:ind w:right="132"/>
              <w:jc w:val="right"/>
              <w:rPr>
                <w:sz w:val="20"/>
              </w:rPr>
            </w:pPr>
            <w:r>
              <w:rPr>
                <w:spacing w:val="-5"/>
                <w:sz w:val="20"/>
              </w:rPr>
              <w:t>1%</w:t>
            </w:r>
          </w:p>
        </w:tc>
        <w:tc>
          <w:tcPr>
            <w:tcW w:w="1180" w:type="dxa"/>
          </w:tcPr>
          <w:p>
            <w:pPr>
              <w:pStyle w:val="TableParagraph"/>
              <w:rPr>
                <w:sz w:val="18"/>
              </w:rPr>
            </w:pPr>
          </w:p>
        </w:tc>
        <w:tc>
          <w:tcPr>
            <w:tcW w:w="1057" w:type="dxa"/>
          </w:tcPr>
          <w:p>
            <w:pPr>
              <w:pStyle w:val="TableParagraph"/>
              <w:rPr>
                <w:sz w:val="18"/>
              </w:rPr>
            </w:pPr>
          </w:p>
        </w:tc>
      </w:tr>
      <w:tr>
        <w:trPr>
          <w:trHeight w:val="270" w:hRule="atLeast"/>
        </w:trPr>
        <w:tc>
          <w:tcPr>
            <w:tcW w:w="3967" w:type="dxa"/>
            <w:shd w:val="clear" w:color="auto" w:fill="CCEDFF"/>
          </w:tcPr>
          <w:p>
            <w:pPr>
              <w:pStyle w:val="TableParagraph"/>
              <w:spacing w:line="222" w:lineRule="exact"/>
              <w:ind w:left="50"/>
              <w:rPr>
                <w:sz w:val="20"/>
              </w:rPr>
            </w:pPr>
            <w:r>
              <w:rPr>
                <w:sz w:val="20"/>
              </w:rPr>
              <w:t>Total</w:t>
            </w:r>
            <w:r>
              <w:rPr>
                <w:spacing w:val="-9"/>
                <w:sz w:val="20"/>
              </w:rPr>
              <w:t> </w:t>
            </w:r>
            <w:r>
              <w:rPr>
                <w:sz w:val="20"/>
              </w:rPr>
              <w:t>operating</w:t>
            </w:r>
            <w:r>
              <w:rPr>
                <w:spacing w:val="-7"/>
                <w:sz w:val="20"/>
              </w:rPr>
              <w:t> </w:t>
            </w:r>
            <w:r>
              <w:rPr>
                <w:spacing w:val="-2"/>
                <w:sz w:val="20"/>
              </w:rPr>
              <w:t>expenses</w:t>
            </w:r>
          </w:p>
        </w:tc>
        <w:tc>
          <w:tcPr>
            <w:tcW w:w="1633" w:type="dxa"/>
            <w:tcBorders>
              <w:top w:val="single" w:sz="8" w:space="0" w:color="000000"/>
            </w:tcBorders>
            <w:shd w:val="clear" w:color="auto" w:fill="CCEDFF"/>
          </w:tcPr>
          <w:p>
            <w:pPr>
              <w:pStyle w:val="TableParagraph"/>
              <w:spacing w:line="222" w:lineRule="exact"/>
              <w:ind w:left="543"/>
              <w:rPr>
                <w:sz w:val="20"/>
              </w:rPr>
            </w:pPr>
            <w:r>
              <w:rPr>
                <w:sz w:val="20"/>
              </w:rPr>
              <w:t>$</w:t>
            </w:r>
            <w:r>
              <w:rPr>
                <w:spacing w:val="75"/>
                <w:w w:val="150"/>
                <w:sz w:val="20"/>
              </w:rPr>
              <w:t> </w:t>
            </w:r>
            <w:r>
              <w:rPr>
                <w:spacing w:val="-2"/>
                <w:sz w:val="20"/>
              </w:rPr>
              <w:t>4,122.9</w:t>
            </w:r>
          </w:p>
        </w:tc>
        <w:tc>
          <w:tcPr>
            <w:tcW w:w="1180" w:type="dxa"/>
            <w:tcBorders>
              <w:top w:val="single" w:sz="8" w:space="0" w:color="000000"/>
            </w:tcBorders>
            <w:shd w:val="clear" w:color="auto" w:fill="CCEDFF"/>
          </w:tcPr>
          <w:p>
            <w:pPr>
              <w:pStyle w:val="TableParagraph"/>
              <w:spacing w:line="222" w:lineRule="exact"/>
              <w:ind w:left="70"/>
              <w:rPr>
                <w:sz w:val="20"/>
              </w:rPr>
            </w:pPr>
            <w:r>
              <w:rPr>
                <w:sz w:val="20"/>
              </w:rPr>
              <w:t>$</w:t>
            </w:r>
            <w:r>
              <w:rPr>
                <w:spacing w:val="36"/>
                <w:sz w:val="20"/>
              </w:rPr>
              <w:t>  </w:t>
            </w:r>
            <w:r>
              <w:rPr>
                <w:spacing w:val="-2"/>
                <w:sz w:val="20"/>
              </w:rPr>
              <w:t>3,540.9</w:t>
            </w:r>
          </w:p>
        </w:tc>
        <w:tc>
          <w:tcPr>
            <w:tcW w:w="1224" w:type="dxa"/>
            <w:tcBorders>
              <w:top w:val="single" w:sz="8" w:space="0" w:color="000000"/>
            </w:tcBorders>
            <w:shd w:val="clear" w:color="auto" w:fill="CCEDFF"/>
          </w:tcPr>
          <w:p>
            <w:pPr>
              <w:pStyle w:val="TableParagraph"/>
              <w:spacing w:line="222" w:lineRule="exact"/>
              <w:ind w:left="70"/>
              <w:rPr>
                <w:sz w:val="20"/>
              </w:rPr>
            </w:pPr>
            <w:r>
              <w:rPr>
                <w:sz w:val="20"/>
              </w:rPr>
              <w:t>$</w:t>
            </w:r>
            <w:r>
              <w:rPr>
                <w:spacing w:val="75"/>
                <w:w w:val="150"/>
                <w:sz w:val="20"/>
              </w:rPr>
              <w:t> </w:t>
            </w:r>
            <w:r>
              <w:rPr>
                <w:spacing w:val="-2"/>
                <w:sz w:val="20"/>
              </w:rPr>
              <w:t>3,148.1</w:t>
            </w:r>
          </w:p>
        </w:tc>
        <w:tc>
          <w:tcPr>
            <w:tcW w:w="1180" w:type="dxa"/>
            <w:shd w:val="clear" w:color="auto" w:fill="CCEDFF"/>
          </w:tcPr>
          <w:p>
            <w:pPr>
              <w:pStyle w:val="TableParagraph"/>
              <w:spacing w:line="222" w:lineRule="exact"/>
              <w:ind w:right="132"/>
              <w:jc w:val="right"/>
              <w:rPr>
                <w:sz w:val="20"/>
              </w:rPr>
            </w:pPr>
            <w:r>
              <w:rPr>
                <w:sz w:val="20"/>
              </w:rPr>
              <w:t>16</w:t>
            </w:r>
            <w:r>
              <w:rPr>
                <w:spacing w:val="17"/>
                <w:sz w:val="20"/>
              </w:rPr>
              <w:t> </w:t>
            </w:r>
            <w:r>
              <w:rPr>
                <w:spacing w:val="-10"/>
                <w:sz w:val="20"/>
              </w:rPr>
              <w:t>%</w:t>
            </w:r>
          </w:p>
        </w:tc>
        <w:tc>
          <w:tcPr>
            <w:tcW w:w="1057" w:type="dxa"/>
            <w:shd w:val="clear" w:color="auto" w:fill="CCEDFF"/>
          </w:tcPr>
          <w:p>
            <w:pPr>
              <w:pStyle w:val="TableParagraph"/>
              <w:spacing w:line="222" w:lineRule="exact"/>
              <w:ind w:right="9"/>
              <w:jc w:val="right"/>
              <w:rPr>
                <w:sz w:val="20"/>
              </w:rPr>
            </w:pPr>
            <w:r>
              <w:rPr>
                <w:spacing w:val="-5"/>
                <w:sz w:val="20"/>
              </w:rPr>
              <w:t>12%</w:t>
            </w:r>
          </w:p>
        </w:tc>
      </w:tr>
    </w:tbl>
    <w:p>
      <w:pPr>
        <w:spacing w:after="0" w:line="222" w:lineRule="exact"/>
        <w:jc w:val="right"/>
        <w:rPr>
          <w:sz w:val="20"/>
        </w:rPr>
        <w:sectPr>
          <w:pgSz w:w="12240" w:h="15840"/>
          <w:pgMar w:header="210" w:footer="579" w:top="420" w:bottom="800" w:left="780" w:right="740"/>
        </w:sectPr>
      </w:pPr>
    </w:p>
    <w:p>
      <w:pPr>
        <w:pStyle w:val="BodyText"/>
        <w:spacing w:before="150"/>
      </w:pPr>
    </w:p>
    <w:p>
      <w:pPr>
        <w:spacing w:before="0"/>
        <w:ind w:left="220" w:right="0" w:firstLine="0"/>
        <w:jc w:val="left"/>
        <w:rPr>
          <w:i/>
          <w:sz w:val="20"/>
        </w:rPr>
      </w:pPr>
      <w:r>
        <w:rPr>
          <w:i/>
          <w:sz w:val="20"/>
        </w:rPr>
        <w:t>Research</w:t>
      </w:r>
      <w:r>
        <w:rPr>
          <w:i/>
          <w:spacing w:val="-2"/>
          <w:sz w:val="20"/>
        </w:rPr>
        <w:t> </w:t>
      </w:r>
      <w:r>
        <w:rPr>
          <w:i/>
          <w:sz w:val="20"/>
        </w:rPr>
        <w:t>and</w:t>
      </w:r>
      <w:r>
        <w:rPr>
          <w:i/>
          <w:spacing w:val="-2"/>
          <w:sz w:val="20"/>
        </w:rPr>
        <w:t> </w:t>
      </w:r>
      <w:r>
        <w:rPr>
          <w:i/>
          <w:sz w:val="20"/>
        </w:rPr>
        <w:t>Development,</w:t>
      </w:r>
      <w:r>
        <w:rPr>
          <w:i/>
          <w:spacing w:val="-3"/>
          <w:sz w:val="20"/>
        </w:rPr>
        <w:t> </w:t>
      </w:r>
      <w:r>
        <w:rPr>
          <w:i/>
          <w:sz w:val="20"/>
        </w:rPr>
        <w:t>Sales</w:t>
      </w:r>
      <w:r>
        <w:rPr>
          <w:i/>
          <w:spacing w:val="-1"/>
          <w:sz w:val="20"/>
        </w:rPr>
        <w:t> </w:t>
      </w:r>
      <w:r>
        <w:rPr>
          <w:i/>
          <w:sz w:val="20"/>
        </w:rPr>
        <w:t>and</w:t>
      </w:r>
      <w:r>
        <w:rPr>
          <w:i/>
          <w:spacing w:val="-2"/>
          <w:sz w:val="20"/>
        </w:rPr>
        <w:t> </w:t>
      </w:r>
      <w:r>
        <w:rPr>
          <w:i/>
          <w:sz w:val="20"/>
        </w:rPr>
        <w:t>Marketing</w:t>
      </w:r>
      <w:r>
        <w:rPr>
          <w:i/>
          <w:spacing w:val="-3"/>
          <w:sz w:val="20"/>
        </w:rPr>
        <w:t> </w:t>
      </w:r>
      <w:r>
        <w:rPr>
          <w:i/>
          <w:sz w:val="20"/>
        </w:rPr>
        <w:t>and</w:t>
      </w:r>
      <w:r>
        <w:rPr>
          <w:i/>
          <w:spacing w:val="-2"/>
          <w:sz w:val="20"/>
        </w:rPr>
        <w:t> </w:t>
      </w:r>
      <w:r>
        <w:rPr>
          <w:i/>
          <w:sz w:val="20"/>
        </w:rPr>
        <w:t>General</w:t>
      </w:r>
      <w:r>
        <w:rPr>
          <w:i/>
          <w:spacing w:val="-2"/>
          <w:sz w:val="20"/>
        </w:rPr>
        <w:t> </w:t>
      </w:r>
      <w:r>
        <w:rPr>
          <w:i/>
          <w:sz w:val="20"/>
        </w:rPr>
        <w:t>and</w:t>
      </w:r>
      <w:r>
        <w:rPr>
          <w:i/>
          <w:spacing w:val="-6"/>
          <w:sz w:val="20"/>
        </w:rPr>
        <w:t> </w:t>
      </w:r>
      <w:r>
        <w:rPr>
          <w:i/>
          <w:sz w:val="20"/>
        </w:rPr>
        <w:t>Administrative</w:t>
      </w:r>
      <w:r>
        <w:rPr>
          <w:i/>
          <w:spacing w:val="-2"/>
          <w:sz w:val="20"/>
        </w:rPr>
        <w:t> Expenses</w:t>
      </w:r>
    </w:p>
    <w:p>
      <w:pPr>
        <w:pStyle w:val="BodyText"/>
        <w:spacing w:line="249" w:lineRule="auto" w:before="210"/>
        <w:ind w:left="220" w:right="257" w:firstLine="540"/>
        <w:jc w:val="both"/>
      </w:pPr>
      <w:r>
        <w:rPr/>
        <w:t>Research and development, sales and marketing and general and administrative</w:t>
      </w:r>
      <w:r>
        <w:rPr>
          <w:spacing w:val="-1"/>
        </w:rPr>
        <w:t> </w:t>
      </w:r>
      <w:r>
        <w:rPr/>
        <w:t>expenses increased during fiscal 2017 as compared to fiscal 2016 primarily due to increases in compensation costs driven by headcount increases and stock-based compensation expense.</w:t>
      </w:r>
    </w:p>
    <w:p>
      <w:pPr>
        <w:pStyle w:val="BodyText"/>
        <w:spacing w:line="249" w:lineRule="auto" w:before="202"/>
        <w:ind w:left="220" w:right="257" w:firstLine="540"/>
        <w:jc w:val="both"/>
      </w:pPr>
      <w:r>
        <w:rPr>
          <w:spacing w:val="-2"/>
        </w:rPr>
        <w:t>Research</w:t>
      </w:r>
      <w:r>
        <w:rPr>
          <w:spacing w:val="-11"/>
        </w:rPr>
        <w:t> </w:t>
      </w:r>
      <w:r>
        <w:rPr>
          <w:spacing w:val="-2"/>
        </w:rPr>
        <w:t>and</w:t>
      </w:r>
      <w:r>
        <w:rPr>
          <w:spacing w:val="-10"/>
        </w:rPr>
        <w:t> </w:t>
      </w:r>
      <w:r>
        <w:rPr>
          <w:spacing w:val="-2"/>
        </w:rPr>
        <w:t>development,</w:t>
      </w:r>
      <w:r>
        <w:rPr>
          <w:spacing w:val="-11"/>
        </w:rPr>
        <w:t> </w:t>
      </w:r>
      <w:r>
        <w:rPr>
          <w:spacing w:val="-2"/>
        </w:rPr>
        <w:t>sales</w:t>
      </w:r>
      <w:r>
        <w:rPr>
          <w:spacing w:val="-10"/>
        </w:rPr>
        <w:t> </w:t>
      </w:r>
      <w:r>
        <w:rPr>
          <w:spacing w:val="-2"/>
        </w:rPr>
        <w:t>and</w:t>
      </w:r>
      <w:r>
        <w:rPr>
          <w:spacing w:val="-11"/>
        </w:rPr>
        <w:t> </w:t>
      </w:r>
      <w:r>
        <w:rPr>
          <w:spacing w:val="-2"/>
        </w:rPr>
        <w:t>marketing</w:t>
      </w:r>
      <w:r>
        <w:rPr>
          <w:spacing w:val="-10"/>
        </w:rPr>
        <w:t> </w:t>
      </w:r>
      <w:r>
        <w:rPr>
          <w:spacing w:val="-2"/>
        </w:rPr>
        <w:t>and</w:t>
      </w:r>
      <w:r>
        <w:rPr>
          <w:spacing w:val="-11"/>
        </w:rPr>
        <w:t> </w:t>
      </w:r>
      <w:r>
        <w:rPr>
          <w:spacing w:val="-2"/>
        </w:rPr>
        <w:t>general</w:t>
      </w:r>
      <w:r>
        <w:rPr>
          <w:spacing w:val="-10"/>
        </w:rPr>
        <w:t> </w:t>
      </w:r>
      <w:r>
        <w:rPr>
          <w:spacing w:val="-2"/>
        </w:rPr>
        <w:t>and</w:t>
      </w:r>
      <w:r>
        <w:rPr>
          <w:spacing w:val="-11"/>
        </w:rPr>
        <w:t> </w:t>
      </w:r>
      <w:r>
        <w:rPr>
          <w:spacing w:val="-2"/>
        </w:rPr>
        <w:t>administrative</w:t>
      </w:r>
      <w:r>
        <w:rPr>
          <w:spacing w:val="-10"/>
        </w:rPr>
        <w:t> </w:t>
      </w:r>
      <w:r>
        <w:rPr>
          <w:spacing w:val="-2"/>
        </w:rPr>
        <w:t>expenses</w:t>
      </w:r>
      <w:r>
        <w:rPr>
          <w:spacing w:val="-11"/>
        </w:rPr>
        <w:t> </w:t>
      </w:r>
      <w:r>
        <w:rPr>
          <w:spacing w:val="-2"/>
        </w:rPr>
        <w:t>increased</w:t>
      </w:r>
      <w:r>
        <w:rPr>
          <w:spacing w:val="-10"/>
        </w:rPr>
        <w:t> </w:t>
      </w:r>
      <w:r>
        <w:rPr>
          <w:spacing w:val="-2"/>
        </w:rPr>
        <w:t>during</w:t>
      </w:r>
      <w:r>
        <w:rPr>
          <w:spacing w:val="10"/>
        </w:rPr>
        <w:t> </w:t>
      </w:r>
      <w:r>
        <w:rPr>
          <w:spacing w:val="-2"/>
        </w:rPr>
        <w:t>2016</w:t>
      </w:r>
      <w:r>
        <w:rPr>
          <w:spacing w:val="-11"/>
        </w:rPr>
        <w:t> </w:t>
      </w:r>
      <w:r>
        <w:rPr>
          <w:spacing w:val="-2"/>
        </w:rPr>
        <w:t>as</w:t>
      </w:r>
      <w:r>
        <w:rPr>
          <w:spacing w:val="-10"/>
        </w:rPr>
        <w:t> </w:t>
      </w:r>
      <w:r>
        <w:rPr>
          <w:spacing w:val="-2"/>
        </w:rPr>
        <w:t>compared </w:t>
      </w:r>
      <w:r>
        <w:rPr/>
        <w:t>to fiscal 2015 primarily due to increases in compensation and related benefits associated with headcount increases.</w:t>
      </w:r>
    </w:p>
    <w:p>
      <w:pPr>
        <w:spacing w:before="202"/>
        <w:ind w:left="220" w:right="0" w:firstLine="0"/>
        <w:jc w:val="left"/>
        <w:rPr>
          <w:i/>
          <w:sz w:val="20"/>
        </w:rPr>
      </w:pPr>
      <w:r>
        <w:rPr>
          <w:i/>
          <w:sz w:val="20"/>
        </w:rPr>
        <w:t>Research</w:t>
      </w:r>
      <w:r>
        <w:rPr>
          <w:i/>
          <w:spacing w:val="-7"/>
          <w:sz w:val="20"/>
        </w:rPr>
        <w:t> </w:t>
      </w:r>
      <w:r>
        <w:rPr>
          <w:i/>
          <w:sz w:val="20"/>
        </w:rPr>
        <w:t>and</w:t>
      </w:r>
      <w:r>
        <w:rPr>
          <w:i/>
          <w:spacing w:val="-6"/>
          <w:sz w:val="20"/>
        </w:rPr>
        <w:t> </w:t>
      </w:r>
      <w:r>
        <w:rPr>
          <w:i/>
          <w:spacing w:val="-2"/>
          <w:sz w:val="20"/>
        </w:rPr>
        <w:t>Development</w:t>
      </w:r>
    </w:p>
    <w:p>
      <w:pPr>
        <w:pStyle w:val="BodyText"/>
        <w:spacing w:line="249" w:lineRule="auto" w:before="210"/>
        <w:ind w:left="220" w:right="257" w:firstLine="540"/>
        <w:jc w:val="both"/>
      </w:pPr>
      <w:r>
        <w:rPr/>
        <w:t>Research and development</w:t>
      </w:r>
      <w:r>
        <w:rPr>
          <w:spacing w:val="-1"/>
        </w:rPr>
        <w:t> </w:t>
      </w:r>
      <w:r>
        <w:rPr/>
        <w:t>expenses consist primarily</w:t>
      </w:r>
      <w:r>
        <w:rPr>
          <w:spacing w:val="-1"/>
        </w:rPr>
        <w:t> </w:t>
      </w:r>
      <w:r>
        <w:rPr/>
        <w:t>of salary and benefit</w:t>
      </w:r>
      <w:r>
        <w:rPr>
          <w:spacing w:val="-1"/>
        </w:rPr>
        <w:t> </w:t>
      </w:r>
      <w:r>
        <w:rPr/>
        <w:t>expenses for software</w:t>
      </w:r>
      <w:r>
        <w:rPr>
          <w:spacing w:val="-1"/>
        </w:rPr>
        <w:t> </w:t>
      </w:r>
      <w:r>
        <w:rPr/>
        <w:t>developers, contracted development efforts, related facilities costs and expenses associated with computer equipment used in software development.</w:t>
      </w:r>
    </w:p>
    <w:p>
      <w:pPr>
        <w:pStyle w:val="BodyText"/>
        <w:spacing w:before="3"/>
        <w:rPr>
          <w:sz w:val="18"/>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6"/>
        <w:gridCol w:w="2123"/>
        <w:gridCol w:w="936"/>
        <w:gridCol w:w="347"/>
      </w:tblGrid>
      <w:tr>
        <w:trPr>
          <w:trHeight w:val="331" w:hRule="atLeast"/>
        </w:trPr>
        <w:tc>
          <w:tcPr>
            <w:tcW w:w="6836" w:type="dxa"/>
          </w:tcPr>
          <w:p>
            <w:pPr>
              <w:pStyle w:val="TableParagraph"/>
              <w:spacing w:line="221" w:lineRule="exact"/>
              <w:ind w:left="530"/>
              <w:rPr>
                <w:sz w:val="20"/>
              </w:rPr>
            </w:pPr>
            <w:r>
              <w:rPr>
                <w:sz w:val="20"/>
              </w:rPr>
              <w:t>Research</w:t>
            </w:r>
            <w:r>
              <w:rPr>
                <w:spacing w:val="-1"/>
                <w:sz w:val="20"/>
              </w:rPr>
              <w:t> </w:t>
            </w:r>
            <w:r>
              <w:rPr>
                <w:sz w:val="20"/>
              </w:rPr>
              <w:t>and</w:t>
            </w:r>
            <w:r>
              <w:rPr>
                <w:spacing w:val="-1"/>
                <w:sz w:val="20"/>
              </w:rPr>
              <w:t> </w:t>
            </w:r>
            <w:r>
              <w:rPr>
                <w:sz w:val="20"/>
              </w:rPr>
              <w:t>development</w:t>
            </w:r>
            <w:r>
              <w:rPr>
                <w:spacing w:val="-1"/>
                <w:sz w:val="20"/>
              </w:rPr>
              <w:t> </w:t>
            </w:r>
            <w:r>
              <w:rPr>
                <w:sz w:val="20"/>
              </w:rPr>
              <w:t>expenses</w:t>
            </w:r>
            <w:r>
              <w:rPr>
                <w:spacing w:val="-2"/>
                <w:sz w:val="20"/>
              </w:rPr>
              <w:t> </w:t>
            </w:r>
            <w:r>
              <w:rPr>
                <w:sz w:val="20"/>
              </w:rPr>
              <w:t>increased</w:t>
            </w:r>
            <w:r>
              <w:rPr>
                <w:spacing w:val="-1"/>
                <w:sz w:val="20"/>
              </w:rPr>
              <w:t> </w:t>
            </w:r>
            <w:r>
              <w:rPr>
                <w:sz w:val="20"/>
              </w:rPr>
              <w:t>due</w:t>
            </w:r>
            <w:r>
              <w:rPr>
                <w:spacing w:val="-1"/>
                <w:sz w:val="20"/>
              </w:rPr>
              <w:t> </w:t>
            </w:r>
            <w:r>
              <w:rPr>
                <w:sz w:val="20"/>
              </w:rPr>
              <w:t>to</w:t>
            </w:r>
            <w:r>
              <w:rPr>
                <w:spacing w:val="-1"/>
                <w:sz w:val="20"/>
              </w:rPr>
              <w:t> </w:t>
            </w:r>
            <w:r>
              <w:rPr>
                <w:sz w:val="20"/>
              </w:rPr>
              <w:t>the </w:t>
            </w:r>
            <w:r>
              <w:rPr>
                <w:spacing w:val="-2"/>
                <w:sz w:val="20"/>
              </w:rPr>
              <w:t>following:</w:t>
            </w:r>
          </w:p>
        </w:tc>
        <w:tc>
          <w:tcPr>
            <w:tcW w:w="3406" w:type="dxa"/>
            <w:gridSpan w:val="3"/>
          </w:tcPr>
          <w:p>
            <w:pPr>
              <w:pStyle w:val="TableParagraph"/>
              <w:rPr>
                <w:sz w:val="18"/>
              </w:rPr>
            </w:pPr>
          </w:p>
        </w:tc>
      </w:tr>
      <w:tr>
        <w:trPr>
          <w:trHeight w:val="486" w:hRule="atLeast"/>
        </w:trPr>
        <w:tc>
          <w:tcPr>
            <w:tcW w:w="6836" w:type="dxa"/>
          </w:tcPr>
          <w:p>
            <w:pPr>
              <w:pStyle w:val="TableParagraph"/>
              <w:rPr>
                <w:sz w:val="18"/>
              </w:rPr>
            </w:pPr>
          </w:p>
        </w:tc>
        <w:tc>
          <w:tcPr>
            <w:tcW w:w="2123" w:type="dxa"/>
          </w:tcPr>
          <w:p>
            <w:pPr>
              <w:pStyle w:val="TableParagraph"/>
              <w:spacing w:line="208" w:lineRule="auto" w:before="122"/>
              <w:ind w:left="866" w:right="545" w:hanging="16"/>
              <w:rPr>
                <w:b/>
                <w:sz w:val="16"/>
              </w:rPr>
            </w:pPr>
            <w:r>
              <w:rPr>
                <w:b/>
                <w:sz w:val="16"/>
              </w:rPr>
              <w:t>%</w:t>
            </w:r>
            <w:r>
              <w:rPr>
                <w:b/>
                <w:spacing w:val="-10"/>
                <w:sz w:val="16"/>
              </w:rPr>
              <w:t> </w:t>
            </w:r>
            <w:r>
              <w:rPr>
                <w:b/>
                <w:sz w:val="16"/>
              </w:rPr>
              <w:t>Change</w:t>
            </w:r>
            <w:r>
              <w:rPr>
                <w:b/>
                <w:spacing w:val="40"/>
                <w:sz w:val="16"/>
              </w:rPr>
              <w:t> </w:t>
            </w:r>
            <w:r>
              <w:rPr>
                <w:b/>
                <w:sz w:val="16"/>
              </w:rPr>
              <w:t>2017-</w:t>
            </w:r>
            <w:r>
              <w:rPr>
                <w:b/>
                <w:spacing w:val="-4"/>
                <w:sz w:val="16"/>
              </w:rPr>
              <w:t>2016</w:t>
            </w:r>
          </w:p>
        </w:tc>
        <w:tc>
          <w:tcPr>
            <w:tcW w:w="936" w:type="dxa"/>
            <w:tcBorders>
              <w:bottom w:val="single" w:sz="8" w:space="0" w:color="000000"/>
            </w:tcBorders>
          </w:tcPr>
          <w:p>
            <w:pPr>
              <w:pStyle w:val="TableParagraph"/>
              <w:spacing w:line="208" w:lineRule="auto" w:before="122"/>
              <w:ind w:left="223" w:right="1" w:hanging="16"/>
              <w:rPr>
                <w:b/>
                <w:sz w:val="16"/>
              </w:rPr>
            </w:pPr>
            <w:r>
              <w:rPr>
                <w:b/>
                <w:sz w:val="16"/>
              </w:rPr>
              <w:t>%</w:t>
            </w:r>
            <w:r>
              <w:rPr>
                <w:b/>
                <w:spacing w:val="-10"/>
                <w:sz w:val="16"/>
              </w:rPr>
              <w:t> </w:t>
            </w:r>
            <w:r>
              <w:rPr>
                <w:b/>
                <w:sz w:val="16"/>
              </w:rPr>
              <w:t>Change</w:t>
            </w:r>
            <w:r>
              <w:rPr>
                <w:b/>
                <w:spacing w:val="40"/>
                <w:sz w:val="16"/>
              </w:rPr>
              <w:t> </w:t>
            </w:r>
            <w:r>
              <w:rPr>
                <w:b/>
                <w:sz w:val="16"/>
              </w:rPr>
              <w:t>2016-</w:t>
            </w:r>
            <w:r>
              <w:rPr>
                <w:b/>
                <w:spacing w:val="-4"/>
                <w:sz w:val="16"/>
              </w:rPr>
              <w:t>2015</w:t>
            </w:r>
          </w:p>
        </w:tc>
        <w:tc>
          <w:tcPr>
            <w:tcW w:w="347" w:type="dxa"/>
            <w:tcBorders>
              <w:bottom w:val="single" w:sz="8" w:space="0" w:color="000000"/>
            </w:tcBorders>
          </w:tcPr>
          <w:p>
            <w:pPr>
              <w:pStyle w:val="TableParagraph"/>
              <w:rPr>
                <w:sz w:val="18"/>
              </w:rPr>
            </w:pPr>
          </w:p>
        </w:tc>
      </w:tr>
      <w:tr>
        <w:trPr>
          <w:trHeight w:val="270" w:hRule="atLeast"/>
        </w:trPr>
        <w:tc>
          <w:tcPr>
            <w:tcW w:w="6836" w:type="dxa"/>
            <w:shd w:val="clear" w:color="auto" w:fill="CCEDFF"/>
          </w:tcPr>
          <w:p>
            <w:pPr>
              <w:pStyle w:val="TableParagraph"/>
              <w:spacing w:line="222" w:lineRule="exact"/>
              <w:ind w:left="50"/>
              <w:rPr>
                <w:sz w:val="20"/>
              </w:rPr>
            </w:pPr>
            <w:r>
              <w:rPr>
                <w:sz w:val="20"/>
              </w:rPr>
              <w:t>Base</w:t>
            </w:r>
            <w:r>
              <w:rPr>
                <w:spacing w:val="-1"/>
                <w:sz w:val="20"/>
              </w:rPr>
              <w:t> </w:t>
            </w:r>
            <w:r>
              <w:rPr>
                <w:sz w:val="20"/>
              </w:rPr>
              <w:t>compensation</w:t>
            </w:r>
            <w:r>
              <w:rPr>
                <w:spacing w:val="-1"/>
                <w:sz w:val="20"/>
              </w:rPr>
              <w:t> </w:t>
            </w:r>
            <w:r>
              <w:rPr>
                <w:sz w:val="20"/>
              </w:rPr>
              <w:t>and</w:t>
            </w:r>
            <w:r>
              <w:rPr>
                <w:spacing w:val="-1"/>
                <w:sz w:val="20"/>
              </w:rPr>
              <w:t> </w:t>
            </w:r>
            <w:r>
              <w:rPr>
                <w:sz w:val="20"/>
              </w:rPr>
              <w:t>related</w:t>
            </w:r>
            <w:r>
              <w:rPr>
                <w:spacing w:val="-2"/>
                <w:sz w:val="20"/>
              </w:rPr>
              <w:t> </w:t>
            </w:r>
            <w:r>
              <w:rPr>
                <w:sz w:val="20"/>
              </w:rPr>
              <w:t>benefits</w:t>
            </w:r>
            <w:r>
              <w:rPr>
                <w:spacing w:val="-1"/>
                <w:sz w:val="20"/>
              </w:rPr>
              <w:t> </w:t>
            </w:r>
            <w:r>
              <w:rPr>
                <w:sz w:val="20"/>
              </w:rPr>
              <w:t>associated</w:t>
            </w:r>
            <w:r>
              <w:rPr>
                <w:spacing w:val="-1"/>
                <w:sz w:val="20"/>
              </w:rPr>
              <w:t> </w:t>
            </w:r>
            <w:r>
              <w:rPr>
                <w:sz w:val="20"/>
              </w:rPr>
              <w:t>with</w:t>
            </w:r>
            <w:r>
              <w:rPr>
                <w:spacing w:val="-1"/>
                <w:sz w:val="20"/>
              </w:rPr>
              <w:t> </w:t>
            </w:r>
            <w:r>
              <w:rPr>
                <w:spacing w:val="-2"/>
                <w:sz w:val="20"/>
              </w:rPr>
              <w:t>headcount</w:t>
            </w:r>
          </w:p>
        </w:tc>
        <w:tc>
          <w:tcPr>
            <w:tcW w:w="2123" w:type="dxa"/>
            <w:shd w:val="clear" w:color="auto" w:fill="CCEDFF"/>
          </w:tcPr>
          <w:p>
            <w:pPr>
              <w:pStyle w:val="TableParagraph"/>
              <w:spacing w:line="222" w:lineRule="exact"/>
              <w:ind w:left="1337"/>
              <w:jc w:val="center"/>
              <w:rPr>
                <w:sz w:val="20"/>
              </w:rPr>
            </w:pPr>
            <w:r>
              <w:rPr>
                <w:spacing w:val="-5"/>
                <w:sz w:val="20"/>
              </w:rPr>
              <w:t>11%</w:t>
            </w:r>
          </w:p>
        </w:tc>
        <w:tc>
          <w:tcPr>
            <w:tcW w:w="936" w:type="dxa"/>
            <w:tcBorders>
              <w:top w:val="single" w:sz="8" w:space="0" w:color="000000"/>
            </w:tcBorders>
            <w:shd w:val="clear" w:color="auto" w:fill="CCEDFF"/>
          </w:tcPr>
          <w:p>
            <w:pPr>
              <w:pStyle w:val="TableParagraph"/>
              <w:rPr>
                <w:sz w:val="18"/>
              </w:rPr>
            </w:pPr>
          </w:p>
        </w:tc>
        <w:tc>
          <w:tcPr>
            <w:tcW w:w="347" w:type="dxa"/>
            <w:tcBorders>
              <w:top w:val="single" w:sz="8" w:space="0" w:color="000000"/>
            </w:tcBorders>
            <w:shd w:val="clear" w:color="auto" w:fill="CCEDFF"/>
          </w:tcPr>
          <w:p>
            <w:pPr>
              <w:pStyle w:val="TableParagraph"/>
              <w:spacing w:line="222" w:lineRule="exact"/>
              <w:ind w:left="67"/>
              <w:rPr>
                <w:sz w:val="20"/>
              </w:rPr>
            </w:pPr>
            <w:r>
              <w:rPr>
                <w:spacing w:val="-5"/>
                <w:sz w:val="20"/>
              </w:rPr>
              <w:t>6%</w:t>
            </w:r>
          </w:p>
        </w:tc>
      </w:tr>
      <w:tr>
        <w:trPr>
          <w:trHeight w:val="280" w:hRule="atLeast"/>
        </w:trPr>
        <w:tc>
          <w:tcPr>
            <w:tcW w:w="6836" w:type="dxa"/>
          </w:tcPr>
          <w:p>
            <w:pPr>
              <w:pStyle w:val="TableParagraph"/>
              <w:spacing w:before="2"/>
              <w:ind w:left="50"/>
              <w:rPr>
                <w:sz w:val="20"/>
              </w:rPr>
            </w:pPr>
            <w:r>
              <w:rPr>
                <w:sz w:val="20"/>
              </w:rPr>
              <w:t>Incentive compensation, cash and stock </w:t>
            </w:r>
            <w:r>
              <w:rPr>
                <w:spacing w:val="-2"/>
                <w:sz w:val="20"/>
              </w:rPr>
              <w:t>based</w:t>
            </w:r>
          </w:p>
        </w:tc>
        <w:tc>
          <w:tcPr>
            <w:tcW w:w="2123" w:type="dxa"/>
          </w:tcPr>
          <w:p>
            <w:pPr>
              <w:pStyle w:val="TableParagraph"/>
              <w:spacing w:before="2"/>
              <w:ind w:left="1337" w:right="66"/>
              <w:jc w:val="center"/>
              <w:rPr>
                <w:sz w:val="20"/>
              </w:rPr>
            </w:pPr>
            <w:r>
              <w:rPr>
                <w:spacing w:val="-10"/>
                <w:sz w:val="20"/>
              </w:rPr>
              <w:t>9</w:t>
            </w:r>
          </w:p>
        </w:tc>
        <w:tc>
          <w:tcPr>
            <w:tcW w:w="936" w:type="dxa"/>
          </w:tcPr>
          <w:p>
            <w:pPr>
              <w:pStyle w:val="TableParagraph"/>
              <w:rPr>
                <w:sz w:val="18"/>
              </w:rPr>
            </w:pPr>
          </w:p>
        </w:tc>
        <w:tc>
          <w:tcPr>
            <w:tcW w:w="347" w:type="dxa"/>
          </w:tcPr>
          <w:p>
            <w:pPr>
              <w:pStyle w:val="TableParagraph"/>
              <w:spacing w:before="2"/>
              <w:ind w:left="67"/>
              <w:rPr>
                <w:sz w:val="20"/>
              </w:rPr>
            </w:pPr>
            <w:r>
              <w:rPr>
                <w:spacing w:val="-10"/>
                <w:sz w:val="20"/>
              </w:rPr>
              <w:t>4</w:t>
            </w:r>
          </w:p>
        </w:tc>
      </w:tr>
      <w:tr>
        <w:trPr>
          <w:trHeight w:val="280" w:hRule="atLeast"/>
        </w:trPr>
        <w:tc>
          <w:tcPr>
            <w:tcW w:w="6836" w:type="dxa"/>
            <w:shd w:val="clear" w:color="auto" w:fill="CCEDFF"/>
          </w:tcPr>
          <w:p>
            <w:pPr>
              <w:pStyle w:val="TableParagraph"/>
              <w:spacing w:before="2"/>
              <w:ind w:left="50"/>
              <w:rPr>
                <w:sz w:val="20"/>
              </w:rPr>
            </w:pPr>
            <w:r>
              <w:rPr>
                <w:sz w:val="20"/>
              </w:rPr>
              <w:t>Professional and consulting </w:t>
            </w:r>
            <w:r>
              <w:rPr>
                <w:spacing w:val="-4"/>
                <w:sz w:val="20"/>
              </w:rPr>
              <w:t>fees</w:t>
            </w:r>
          </w:p>
        </w:tc>
        <w:tc>
          <w:tcPr>
            <w:tcW w:w="2123" w:type="dxa"/>
            <w:shd w:val="clear" w:color="auto" w:fill="CCEDFF"/>
          </w:tcPr>
          <w:p>
            <w:pPr>
              <w:pStyle w:val="TableParagraph"/>
              <w:spacing w:before="2"/>
              <w:ind w:left="1337" w:right="66"/>
              <w:jc w:val="center"/>
              <w:rPr>
                <w:sz w:val="20"/>
              </w:rPr>
            </w:pPr>
            <w:r>
              <w:rPr>
                <w:spacing w:val="-10"/>
                <w:sz w:val="20"/>
              </w:rPr>
              <w:t>4</w:t>
            </w:r>
          </w:p>
        </w:tc>
        <w:tc>
          <w:tcPr>
            <w:tcW w:w="936" w:type="dxa"/>
            <w:shd w:val="clear" w:color="auto" w:fill="CCEDFF"/>
          </w:tcPr>
          <w:p>
            <w:pPr>
              <w:pStyle w:val="TableParagraph"/>
              <w:rPr>
                <w:sz w:val="18"/>
              </w:rPr>
            </w:pPr>
          </w:p>
        </w:tc>
        <w:tc>
          <w:tcPr>
            <w:tcW w:w="347" w:type="dxa"/>
            <w:shd w:val="clear" w:color="auto" w:fill="CCEDFF"/>
          </w:tcPr>
          <w:p>
            <w:pPr>
              <w:pStyle w:val="TableParagraph"/>
              <w:spacing w:before="2"/>
              <w:ind w:left="67"/>
              <w:rPr>
                <w:sz w:val="20"/>
              </w:rPr>
            </w:pPr>
            <w:r>
              <w:rPr>
                <w:spacing w:val="-10"/>
                <w:sz w:val="20"/>
              </w:rPr>
              <w:t>4</w:t>
            </w:r>
          </w:p>
        </w:tc>
      </w:tr>
      <w:tr>
        <w:trPr>
          <w:trHeight w:val="280" w:hRule="atLeast"/>
        </w:trPr>
        <w:tc>
          <w:tcPr>
            <w:tcW w:w="6836" w:type="dxa"/>
          </w:tcPr>
          <w:p>
            <w:pPr>
              <w:pStyle w:val="TableParagraph"/>
              <w:spacing w:before="2"/>
              <w:ind w:left="50"/>
              <w:rPr>
                <w:sz w:val="20"/>
              </w:rPr>
            </w:pPr>
            <w:r>
              <w:rPr>
                <w:sz w:val="20"/>
              </w:rPr>
              <w:t>Various</w:t>
            </w:r>
            <w:r>
              <w:rPr>
                <w:spacing w:val="-11"/>
                <w:sz w:val="20"/>
              </w:rPr>
              <w:t> </w:t>
            </w:r>
            <w:r>
              <w:rPr>
                <w:sz w:val="20"/>
              </w:rPr>
              <w:t>individually</w:t>
            </w:r>
            <w:r>
              <w:rPr>
                <w:spacing w:val="-9"/>
                <w:sz w:val="20"/>
              </w:rPr>
              <w:t> </w:t>
            </w:r>
            <w:r>
              <w:rPr>
                <w:sz w:val="20"/>
              </w:rPr>
              <w:t>insignificant</w:t>
            </w:r>
            <w:r>
              <w:rPr>
                <w:spacing w:val="-9"/>
                <w:sz w:val="20"/>
              </w:rPr>
              <w:t> </w:t>
            </w:r>
            <w:r>
              <w:rPr>
                <w:spacing w:val="-2"/>
                <w:sz w:val="20"/>
              </w:rPr>
              <w:t>items</w:t>
            </w:r>
          </w:p>
        </w:tc>
        <w:tc>
          <w:tcPr>
            <w:tcW w:w="2123" w:type="dxa"/>
          </w:tcPr>
          <w:p>
            <w:pPr>
              <w:pStyle w:val="TableParagraph"/>
              <w:spacing w:before="2"/>
              <w:ind w:left="1337" w:right="66"/>
              <w:jc w:val="center"/>
              <w:rPr>
                <w:sz w:val="20"/>
              </w:rPr>
            </w:pPr>
            <w:r>
              <w:rPr>
                <w:spacing w:val="-10"/>
                <w:sz w:val="20"/>
              </w:rPr>
              <w:t>1</w:t>
            </w:r>
          </w:p>
        </w:tc>
        <w:tc>
          <w:tcPr>
            <w:tcW w:w="936" w:type="dxa"/>
          </w:tcPr>
          <w:p>
            <w:pPr>
              <w:pStyle w:val="TableParagraph"/>
              <w:rPr>
                <w:sz w:val="18"/>
              </w:rPr>
            </w:pPr>
          </w:p>
        </w:tc>
        <w:tc>
          <w:tcPr>
            <w:tcW w:w="347" w:type="dxa"/>
          </w:tcPr>
          <w:p>
            <w:pPr>
              <w:pStyle w:val="TableParagraph"/>
              <w:spacing w:before="2"/>
              <w:rPr>
                <w:sz w:val="20"/>
              </w:rPr>
            </w:pPr>
            <w:r>
              <w:rPr>
                <w:spacing w:val="-5"/>
                <w:sz w:val="20"/>
              </w:rPr>
              <w:t>(1)</w:t>
            </w:r>
          </w:p>
        </w:tc>
      </w:tr>
      <w:tr>
        <w:trPr>
          <w:trHeight w:val="209" w:hRule="atLeast"/>
        </w:trPr>
        <w:tc>
          <w:tcPr>
            <w:tcW w:w="6836" w:type="dxa"/>
            <w:shd w:val="clear" w:color="auto" w:fill="CCEDFF"/>
          </w:tcPr>
          <w:p>
            <w:pPr>
              <w:pStyle w:val="TableParagraph"/>
              <w:spacing w:line="200" w:lineRule="exact"/>
              <w:ind w:left="170"/>
              <w:rPr>
                <w:sz w:val="20"/>
              </w:rPr>
            </w:pPr>
            <w:r>
              <w:rPr>
                <w:spacing w:val="-2"/>
                <w:sz w:val="20"/>
              </w:rPr>
              <w:t>Total</w:t>
            </w:r>
            <w:r>
              <w:rPr>
                <w:spacing w:val="-4"/>
                <w:sz w:val="20"/>
              </w:rPr>
              <w:t> </w:t>
            </w:r>
            <w:r>
              <w:rPr>
                <w:spacing w:val="-2"/>
                <w:sz w:val="20"/>
              </w:rPr>
              <w:t>change</w:t>
            </w:r>
          </w:p>
        </w:tc>
        <w:tc>
          <w:tcPr>
            <w:tcW w:w="2123" w:type="dxa"/>
            <w:shd w:val="clear" w:color="auto" w:fill="CCEDFF"/>
          </w:tcPr>
          <w:p>
            <w:pPr>
              <w:pStyle w:val="TableParagraph"/>
              <w:spacing w:line="200" w:lineRule="exact"/>
              <w:ind w:left="1337"/>
              <w:jc w:val="center"/>
              <w:rPr>
                <w:sz w:val="20"/>
              </w:rPr>
            </w:pPr>
            <w:r>
              <w:rPr>
                <w:spacing w:val="-5"/>
                <w:sz w:val="20"/>
              </w:rPr>
              <w:t>25%</w:t>
            </w:r>
          </w:p>
        </w:tc>
        <w:tc>
          <w:tcPr>
            <w:tcW w:w="1283" w:type="dxa"/>
            <w:gridSpan w:val="2"/>
            <w:tcBorders>
              <w:top w:val="single" w:sz="8" w:space="0" w:color="000000"/>
              <w:bottom w:val="double" w:sz="8" w:space="0" w:color="000000"/>
            </w:tcBorders>
            <w:shd w:val="clear" w:color="auto" w:fill="CCEDFF"/>
          </w:tcPr>
          <w:p>
            <w:pPr>
              <w:pStyle w:val="TableParagraph"/>
              <w:spacing w:line="200" w:lineRule="exact"/>
              <w:ind w:right="10"/>
              <w:jc w:val="right"/>
              <w:rPr>
                <w:sz w:val="20"/>
              </w:rPr>
            </w:pPr>
            <w:r>
              <w:rPr>
                <w:spacing w:val="-5"/>
                <w:sz w:val="20"/>
              </w:rPr>
              <w:t>13%</w:t>
            </w:r>
          </w:p>
        </w:tc>
      </w:tr>
    </w:tbl>
    <w:p>
      <w:pPr>
        <w:pStyle w:val="BodyText"/>
        <w:spacing w:before="5"/>
      </w:pPr>
    </w:p>
    <w:p>
      <w:pPr>
        <w:pStyle w:val="BodyText"/>
        <w:spacing w:line="249" w:lineRule="auto"/>
        <w:ind w:left="220" w:right="257" w:firstLine="540"/>
        <w:jc w:val="both"/>
      </w:pPr>
      <w:r>
        <w:rPr/>
        <w:t>We</w:t>
      </w:r>
      <w:r>
        <w:rPr>
          <w:spacing w:val="-1"/>
        </w:rPr>
        <w:t> </w:t>
      </w:r>
      <w:r>
        <w:rPr/>
        <w:t>believe</w:t>
      </w:r>
      <w:r>
        <w:rPr>
          <w:spacing w:val="-1"/>
        </w:rPr>
        <w:t> </w:t>
      </w:r>
      <w:r>
        <w:rPr/>
        <w:t>that</w:t>
      </w:r>
      <w:r>
        <w:rPr>
          <w:spacing w:val="-1"/>
        </w:rPr>
        <w:t> </w:t>
      </w:r>
      <w:r>
        <w:rPr/>
        <w:t>investments</w:t>
      </w:r>
      <w:r>
        <w:rPr>
          <w:spacing w:val="-1"/>
        </w:rPr>
        <w:t> </w:t>
      </w:r>
      <w:r>
        <w:rPr/>
        <w:t>in</w:t>
      </w:r>
      <w:r>
        <w:rPr>
          <w:spacing w:val="-1"/>
        </w:rPr>
        <w:t> </w:t>
      </w:r>
      <w:r>
        <w:rPr/>
        <w:t>research</w:t>
      </w:r>
      <w:r>
        <w:rPr>
          <w:spacing w:val="-1"/>
        </w:rPr>
        <w:t> </w:t>
      </w:r>
      <w:r>
        <w:rPr/>
        <w:t>and</w:t>
      </w:r>
      <w:r>
        <w:rPr>
          <w:spacing w:val="-1"/>
        </w:rPr>
        <w:t> </w:t>
      </w:r>
      <w:r>
        <w:rPr/>
        <w:t>development,</w:t>
      </w:r>
      <w:r>
        <w:rPr>
          <w:spacing w:val="-1"/>
        </w:rPr>
        <w:t> </w:t>
      </w:r>
      <w:r>
        <w:rPr/>
        <w:t>including</w:t>
      </w:r>
      <w:r>
        <w:rPr>
          <w:spacing w:val="-1"/>
        </w:rPr>
        <w:t> </w:t>
      </w:r>
      <w:r>
        <w:rPr/>
        <w:t>the</w:t>
      </w:r>
      <w:r>
        <w:rPr>
          <w:spacing w:val="-1"/>
        </w:rPr>
        <w:t> </w:t>
      </w:r>
      <w:r>
        <w:rPr/>
        <w:t>recruiting</w:t>
      </w:r>
      <w:r>
        <w:rPr>
          <w:spacing w:val="-1"/>
        </w:rPr>
        <w:t> </w:t>
      </w:r>
      <w:r>
        <w:rPr/>
        <w:t>and</w:t>
      </w:r>
      <w:r>
        <w:rPr>
          <w:spacing w:val="-1"/>
        </w:rPr>
        <w:t> </w:t>
      </w:r>
      <w:r>
        <w:rPr/>
        <w:t>hiring</w:t>
      </w:r>
      <w:r>
        <w:rPr>
          <w:spacing w:val="-1"/>
        </w:rPr>
        <w:t> </w:t>
      </w:r>
      <w:r>
        <w:rPr/>
        <w:t>of</w:t>
      </w:r>
      <w:r>
        <w:rPr>
          <w:spacing w:val="-1"/>
        </w:rPr>
        <w:t> </w:t>
      </w:r>
      <w:r>
        <w:rPr/>
        <w:t>software</w:t>
      </w:r>
      <w:r>
        <w:rPr>
          <w:spacing w:val="-1"/>
        </w:rPr>
        <w:t> </w:t>
      </w:r>
      <w:r>
        <w:rPr/>
        <w:t>developers,</w:t>
      </w:r>
      <w:r>
        <w:rPr>
          <w:spacing w:val="-1"/>
        </w:rPr>
        <w:t> </w:t>
      </w:r>
      <w:r>
        <w:rPr/>
        <w:t>are critical</w:t>
      </w:r>
      <w:r>
        <w:rPr>
          <w:spacing w:val="-1"/>
        </w:rPr>
        <w:t> </w:t>
      </w:r>
      <w:r>
        <w:rPr/>
        <w:t>to</w:t>
      </w:r>
      <w:r>
        <w:rPr>
          <w:spacing w:val="-1"/>
        </w:rPr>
        <w:t> </w:t>
      </w:r>
      <w:r>
        <w:rPr/>
        <w:t>remain</w:t>
      </w:r>
      <w:r>
        <w:rPr>
          <w:spacing w:val="-1"/>
        </w:rPr>
        <w:t> </w:t>
      </w:r>
      <w:r>
        <w:rPr/>
        <w:t>competitive</w:t>
      </w:r>
      <w:r>
        <w:rPr>
          <w:spacing w:val="-1"/>
        </w:rPr>
        <w:t> </w:t>
      </w:r>
      <w:r>
        <w:rPr/>
        <w:t>in</w:t>
      </w:r>
      <w:r>
        <w:rPr>
          <w:spacing w:val="-1"/>
        </w:rPr>
        <w:t> </w:t>
      </w:r>
      <w:r>
        <w:rPr/>
        <w:t>the</w:t>
      </w:r>
      <w:r>
        <w:rPr>
          <w:spacing w:val="-1"/>
        </w:rPr>
        <w:t> </w:t>
      </w:r>
      <w:r>
        <w:rPr/>
        <w:t>marketplace</w:t>
      </w:r>
      <w:r>
        <w:rPr>
          <w:spacing w:val="-1"/>
        </w:rPr>
        <w:t> </w:t>
      </w:r>
      <w:r>
        <w:rPr/>
        <w:t>and</w:t>
      </w:r>
      <w:r>
        <w:rPr>
          <w:spacing w:val="-1"/>
        </w:rPr>
        <w:t> </w:t>
      </w:r>
      <w:r>
        <w:rPr/>
        <w:t>are</w:t>
      </w:r>
      <w:r>
        <w:rPr>
          <w:spacing w:val="-1"/>
        </w:rPr>
        <w:t> </w:t>
      </w:r>
      <w:r>
        <w:rPr/>
        <w:t>directly</w:t>
      </w:r>
      <w:r>
        <w:rPr>
          <w:spacing w:val="-1"/>
        </w:rPr>
        <w:t> </w:t>
      </w:r>
      <w:r>
        <w:rPr/>
        <w:t>related</w:t>
      </w:r>
      <w:r>
        <w:rPr>
          <w:spacing w:val="-1"/>
        </w:rPr>
        <w:t> </w:t>
      </w:r>
      <w:r>
        <w:rPr/>
        <w:t>to</w:t>
      </w:r>
      <w:r>
        <w:rPr>
          <w:spacing w:val="-1"/>
        </w:rPr>
        <w:t> </w:t>
      </w:r>
      <w:r>
        <w:rPr/>
        <w:t>continued</w:t>
      </w:r>
      <w:r>
        <w:rPr>
          <w:spacing w:val="-1"/>
        </w:rPr>
        <w:t> </w:t>
      </w:r>
      <w:r>
        <w:rPr/>
        <w:t>timely</w:t>
      </w:r>
      <w:r>
        <w:rPr>
          <w:spacing w:val="-1"/>
        </w:rPr>
        <w:t> </w:t>
      </w:r>
      <w:r>
        <w:rPr/>
        <w:t>development</w:t>
      </w:r>
      <w:r>
        <w:rPr>
          <w:spacing w:val="-1"/>
        </w:rPr>
        <w:t> </w:t>
      </w:r>
      <w:r>
        <w:rPr/>
        <w:t>of</w:t>
      </w:r>
      <w:r>
        <w:rPr>
          <w:spacing w:val="-1"/>
        </w:rPr>
        <w:t> </w:t>
      </w:r>
      <w:r>
        <w:rPr/>
        <w:t>new</w:t>
      </w:r>
      <w:r>
        <w:rPr>
          <w:spacing w:val="-1"/>
        </w:rPr>
        <w:t> </w:t>
      </w:r>
      <w:r>
        <w:rPr/>
        <w:t>and enhanced offerings</w:t>
      </w:r>
      <w:r>
        <w:rPr>
          <w:spacing w:val="-1"/>
        </w:rPr>
        <w:t> </w:t>
      </w:r>
      <w:r>
        <w:rPr/>
        <w:t>and</w:t>
      </w:r>
      <w:r>
        <w:rPr>
          <w:spacing w:val="-1"/>
        </w:rPr>
        <w:t> </w:t>
      </w:r>
      <w:r>
        <w:rPr/>
        <w:t>solutions.</w:t>
      </w:r>
      <w:r>
        <w:rPr>
          <w:spacing w:val="-5"/>
        </w:rPr>
        <w:t> </w:t>
      </w:r>
      <w:r>
        <w:rPr/>
        <w:t>We</w:t>
      </w:r>
      <w:r>
        <w:rPr>
          <w:spacing w:val="-1"/>
        </w:rPr>
        <w:t> </w:t>
      </w:r>
      <w:r>
        <w:rPr/>
        <w:t>will</w:t>
      </w:r>
      <w:r>
        <w:rPr>
          <w:spacing w:val="-2"/>
        </w:rPr>
        <w:t> </w:t>
      </w:r>
      <w:r>
        <w:rPr/>
        <w:t>continue</w:t>
      </w:r>
      <w:r>
        <w:rPr>
          <w:spacing w:val="-2"/>
        </w:rPr>
        <w:t> </w:t>
      </w:r>
      <w:r>
        <w:rPr/>
        <w:t>to</w:t>
      </w:r>
      <w:r>
        <w:rPr>
          <w:spacing w:val="-1"/>
        </w:rPr>
        <w:t> </w:t>
      </w:r>
      <w:r>
        <w:rPr/>
        <w:t>focus</w:t>
      </w:r>
      <w:r>
        <w:rPr>
          <w:spacing w:val="-1"/>
        </w:rPr>
        <w:t> </w:t>
      </w:r>
      <w:r>
        <w:rPr/>
        <w:t>on</w:t>
      </w:r>
      <w:r>
        <w:rPr>
          <w:spacing w:val="-1"/>
        </w:rPr>
        <w:t> </w:t>
      </w:r>
      <w:r>
        <w:rPr/>
        <w:t>long-term</w:t>
      </w:r>
      <w:r>
        <w:rPr>
          <w:spacing w:val="-2"/>
        </w:rPr>
        <w:t> </w:t>
      </w:r>
      <w:r>
        <w:rPr/>
        <w:t>opportunities</w:t>
      </w:r>
      <w:r>
        <w:rPr>
          <w:spacing w:val="-1"/>
        </w:rPr>
        <w:t> </w:t>
      </w:r>
      <w:r>
        <w:rPr/>
        <w:t>available</w:t>
      </w:r>
      <w:r>
        <w:rPr>
          <w:spacing w:val="-2"/>
        </w:rPr>
        <w:t> </w:t>
      </w:r>
      <w:r>
        <w:rPr/>
        <w:t>in</w:t>
      </w:r>
      <w:r>
        <w:rPr>
          <w:spacing w:val="-1"/>
        </w:rPr>
        <w:t> </w:t>
      </w:r>
      <w:r>
        <w:rPr/>
        <w:t>our</w:t>
      </w:r>
      <w:r>
        <w:rPr>
          <w:spacing w:val="-1"/>
        </w:rPr>
        <w:t> </w:t>
      </w:r>
      <w:r>
        <w:rPr/>
        <w:t>end</w:t>
      </w:r>
      <w:r>
        <w:rPr>
          <w:spacing w:val="-1"/>
        </w:rPr>
        <w:t> </w:t>
      </w:r>
      <w:r>
        <w:rPr/>
        <w:t>markets</w:t>
      </w:r>
      <w:r>
        <w:rPr>
          <w:spacing w:val="-1"/>
        </w:rPr>
        <w:t> </w:t>
      </w:r>
      <w:r>
        <w:rPr/>
        <w:t>and</w:t>
      </w:r>
      <w:r>
        <w:rPr>
          <w:spacing w:val="-1"/>
        </w:rPr>
        <w:t> </w:t>
      </w:r>
      <w:r>
        <w:rPr/>
        <w:t>make</w:t>
      </w:r>
      <w:r>
        <w:rPr>
          <w:spacing w:val="-1"/>
        </w:rPr>
        <w:t> </w:t>
      </w:r>
      <w:r>
        <w:rPr/>
        <w:t>significant investments in the development of our subscription and service offerings, applications and tools.</w:t>
      </w:r>
    </w:p>
    <w:p>
      <w:pPr>
        <w:spacing w:before="204"/>
        <w:ind w:left="220" w:right="0" w:firstLine="0"/>
        <w:jc w:val="left"/>
        <w:rPr>
          <w:i/>
          <w:sz w:val="20"/>
        </w:rPr>
      </w:pPr>
      <w:r>
        <w:rPr>
          <w:i/>
          <w:sz w:val="20"/>
        </w:rPr>
        <w:t>Sales</w:t>
      </w:r>
      <w:r>
        <w:rPr>
          <w:i/>
          <w:spacing w:val="-3"/>
          <w:sz w:val="20"/>
        </w:rPr>
        <w:t> </w:t>
      </w:r>
      <w:r>
        <w:rPr>
          <w:i/>
          <w:sz w:val="20"/>
        </w:rPr>
        <w:t>and</w:t>
      </w:r>
      <w:r>
        <w:rPr>
          <w:i/>
          <w:spacing w:val="-2"/>
          <w:sz w:val="20"/>
        </w:rPr>
        <w:t> Marketing</w:t>
      </w:r>
    </w:p>
    <w:p>
      <w:pPr>
        <w:pStyle w:val="BodyText"/>
        <w:spacing w:line="249" w:lineRule="auto" w:before="210"/>
        <w:ind w:left="220" w:right="257" w:firstLine="540"/>
        <w:jc w:val="both"/>
      </w:pPr>
      <w:r>
        <w:rPr/>
        <w:t>Sales and marketing expenses consist primarily of salary and benefit expenses, sales commissions, travel expenses and related facilities costs for our sales, marketing, order management and global supply chain management personnel. Sales and marketing expenses also include the costs of programs aimed at increasing revenue, such as advertising, trade shows, public relations and other market development programs.</w:t>
      </w:r>
    </w:p>
    <w:p>
      <w:pPr>
        <w:pStyle w:val="BodyText"/>
        <w:spacing w:before="203"/>
        <w:ind w:left="760"/>
      </w:pPr>
      <w:r>
        <w:rPr/>
        <w:t>Sales</w:t>
      </w:r>
      <w:r>
        <w:rPr>
          <w:spacing w:val="-5"/>
        </w:rPr>
        <w:t> </w:t>
      </w:r>
      <w:r>
        <w:rPr/>
        <w:t>and</w:t>
      </w:r>
      <w:r>
        <w:rPr>
          <w:spacing w:val="-1"/>
        </w:rPr>
        <w:t> </w:t>
      </w:r>
      <w:r>
        <w:rPr/>
        <w:t>marketing</w:t>
      </w:r>
      <w:r>
        <w:rPr>
          <w:spacing w:val="-2"/>
        </w:rPr>
        <w:t> </w:t>
      </w:r>
      <w:r>
        <w:rPr/>
        <w:t>expenses</w:t>
      </w:r>
      <w:r>
        <w:rPr>
          <w:spacing w:val="-1"/>
        </w:rPr>
        <w:t> </w:t>
      </w:r>
      <w:r>
        <w:rPr/>
        <w:t>increased</w:t>
      </w:r>
      <w:r>
        <w:rPr>
          <w:spacing w:val="-2"/>
        </w:rPr>
        <w:t> </w:t>
      </w:r>
      <w:r>
        <w:rPr/>
        <w:t>due</w:t>
      </w:r>
      <w:r>
        <w:rPr>
          <w:spacing w:val="-2"/>
        </w:rPr>
        <w:t> </w:t>
      </w:r>
      <w:r>
        <w:rPr/>
        <w:t>to</w:t>
      </w:r>
      <w:r>
        <w:rPr>
          <w:spacing w:val="-1"/>
        </w:rPr>
        <w:t> </w:t>
      </w:r>
      <w:r>
        <w:rPr/>
        <w:t>the</w:t>
      </w:r>
      <w:r>
        <w:rPr>
          <w:spacing w:val="-1"/>
        </w:rPr>
        <w:t> </w:t>
      </w:r>
      <w:r>
        <w:rPr>
          <w:spacing w:val="-2"/>
        </w:rPr>
        <w:t>following:</w:t>
      </w:r>
    </w:p>
    <w:p>
      <w:pPr>
        <w:pStyle w:val="BodyText"/>
        <w:spacing w:before="1"/>
        <w:rPr>
          <w:sz w:val="19"/>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4"/>
        <w:gridCol w:w="1244"/>
        <w:gridCol w:w="476"/>
        <w:gridCol w:w="939"/>
        <w:gridCol w:w="342"/>
      </w:tblGrid>
      <w:tr>
        <w:trPr>
          <w:trHeight w:val="377" w:hRule="atLeast"/>
        </w:trPr>
        <w:tc>
          <w:tcPr>
            <w:tcW w:w="6744" w:type="dxa"/>
          </w:tcPr>
          <w:p>
            <w:pPr>
              <w:pStyle w:val="TableParagraph"/>
              <w:rPr>
                <w:sz w:val="18"/>
              </w:rPr>
            </w:pPr>
          </w:p>
        </w:tc>
        <w:tc>
          <w:tcPr>
            <w:tcW w:w="1244" w:type="dxa"/>
            <w:tcBorders>
              <w:bottom w:val="single" w:sz="8" w:space="0" w:color="000000"/>
            </w:tcBorders>
          </w:tcPr>
          <w:p>
            <w:pPr>
              <w:pStyle w:val="TableParagraph"/>
              <w:spacing w:line="208" w:lineRule="auto" w:before="12"/>
              <w:ind w:left="518" w:right="14" w:hanging="16"/>
              <w:rPr>
                <w:b/>
                <w:sz w:val="16"/>
              </w:rPr>
            </w:pPr>
            <w:r>
              <w:rPr>
                <w:b/>
                <w:sz w:val="16"/>
              </w:rPr>
              <w:t>%</w:t>
            </w:r>
            <w:r>
              <w:rPr>
                <w:b/>
                <w:spacing w:val="-10"/>
                <w:sz w:val="16"/>
              </w:rPr>
              <w:t> </w:t>
            </w:r>
            <w:r>
              <w:rPr>
                <w:b/>
                <w:sz w:val="16"/>
              </w:rPr>
              <w:t>Change</w:t>
            </w:r>
            <w:r>
              <w:rPr>
                <w:b/>
                <w:spacing w:val="40"/>
                <w:sz w:val="16"/>
              </w:rPr>
              <w:t> </w:t>
            </w:r>
            <w:r>
              <w:rPr>
                <w:b/>
                <w:sz w:val="16"/>
              </w:rPr>
              <w:t>2017-</w:t>
            </w:r>
            <w:r>
              <w:rPr>
                <w:b/>
                <w:spacing w:val="-4"/>
                <w:sz w:val="16"/>
              </w:rPr>
              <w:t>2016</w:t>
            </w:r>
          </w:p>
        </w:tc>
        <w:tc>
          <w:tcPr>
            <w:tcW w:w="476" w:type="dxa"/>
          </w:tcPr>
          <w:p>
            <w:pPr>
              <w:pStyle w:val="TableParagraph"/>
              <w:rPr>
                <w:sz w:val="18"/>
              </w:rPr>
            </w:pPr>
          </w:p>
        </w:tc>
        <w:tc>
          <w:tcPr>
            <w:tcW w:w="939" w:type="dxa"/>
            <w:tcBorders>
              <w:bottom w:val="single" w:sz="8" w:space="0" w:color="000000"/>
            </w:tcBorders>
          </w:tcPr>
          <w:p>
            <w:pPr>
              <w:pStyle w:val="TableParagraph"/>
              <w:spacing w:line="208" w:lineRule="auto" w:before="12"/>
              <w:ind w:left="208" w:right="19" w:hanging="16"/>
              <w:rPr>
                <w:b/>
                <w:sz w:val="16"/>
              </w:rPr>
            </w:pPr>
            <w:r>
              <w:rPr>
                <w:b/>
                <w:sz w:val="16"/>
              </w:rPr>
              <w:t>%</w:t>
            </w:r>
            <w:r>
              <w:rPr>
                <w:b/>
                <w:spacing w:val="-10"/>
                <w:sz w:val="16"/>
              </w:rPr>
              <w:t> </w:t>
            </w:r>
            <w:r>
              <w:rPr>
                <w:b/>
                <w:sz w:val="16"/>
              </w:rPr>
              <w:t>Change</w:t>
            </w:r>
            <w:r>
              <w:rPr>
                <w:b/>
                <w:spacing w:val="40"/>
                <w:sz w:val="16"/>
              </w:rPr>
              <w:t> </w:t>
            </w:r>
            <w:r>
              <w:rPr>
                <w:b/>
                <w:sz w:val="16"/>
              </w:rPr>
              <w:t>2016-</w:t>
            </w:r>
            <w:r>
              <w:rPr>
                <w:b/>
                <w:spacing w:val="-4"/>
                <w:sz w:val="16"/>
              </w:rPr>
              <w:t>2015</w:t>
            </w:r>
          </w:p>
        </w:tc>
        <w:tc>
          <w:tcPr>
            <w:tcW w:w="342" w:type="dxa"/>
            <w:tcBorders>
              <w:bottom w:val="single" w:sz="8" w:space="0" w:color="000000"/>
            </w:tcBorders>
          </w:tcPr>
          <w:p>
            <w:pPr>
              <w:pStyle w:val="TableParagraph"/>
              <w:rPr>
                <w:sz w:val="18"/>
              </w:rPr>
            </w:pPr>
          </w:p>
        </w:tc>
      </w:tr>
      <w:tr>
        <w:trPr>
          <w:trHeight w:val="270" w:hRule="atLeast"/>
        </w:trPr>
        <w:tc>
          <w:tcPr>
            <w:tcW w:w="6744" w:type="dxa"/>
            <w:shd w:val="clear" w:color="auto" w:fill="CCEDFF"/>
          </w:tcPr>
          <w:p>
            <w:pPr>
              <w:pStyle w:val="TableParagraph"/>
              <w:spacing w:line="222" w:lineRule="exact"/>
              <w:ind w:left="50"/>
              <w:rPr>
                <w:sz w:val="20"/>
              </w:rPr>
            </w:pPr>
            <w:r>
              <w:rPr>
                <w:sz w:val="20"/>
              </w:rPr>
              <w:t>Base</w:t>
            </w:r>
            <w:r>
              <w:rPr>
                <w:spacing w:val="-1"/>
                <w:sz w:val="20"/>
              </w:rPr>
              <w:t> </w:t>
            </w:r>
            <w:r>
              <w:rPr>
                <w:sz w:val="20"/>
              </w:rPr>
              <w:t>compensation</w:t>
            </w:r>
            <w:r>
              <w:rPr>
                <w:spacing w:val="-1"/>
                <w:sz w:val="20"/>
              </w:rPr>
              <w:t> </w:t>
            </w:r>
            <w:r>
              <w:rPr>
                <w:sz w:val="20"/>
              </w:rPr>
              <w:t>and</w:t>
            </w:r>
            <w:r>
              <w:rPr>
                <w:spacing w:val="-1"/>
                <w:sz w:val="20"/>
              </w:rPr>
              <w:t> </w:t>
            </w:r>
            <w:r>
              <w:rPr>
                <w:sz w:val="20"/>
              </w:rPr>
              <w:t>related</w:t>
            </w:r>
            <w:r>
              <w:rPr>
                <w:spacing w:val="-2"/>
                <w:sz w:val="20"/>
              </w:rPr>
              <w:t> </w:t>
            </w:r>
            <w:r>
              <w:rPr>
                <w:sz w:val="20"/>
              </w:rPr>
              <w:t>benefits</w:t>
            </w:r>
            <w:r>
              <w:rPr>
                <w:spacing w:val="-1"/>
                <w:sz w:val="20"/>
              </w:rPr>
              <w:t> </w:t>
            </w:r>
            <w:r>
              <w:rPr>
                <w:sz w:val="20"/>
              </w:rPr>
              <w:t>associated</w:t>
            </w:r>
            <w:r>
              <w:rPr>
                <w:spacing w:val="-1"/>
                <w:sz w:val="20"/>
              </w:rPr>
              <w:t> </w:t>
            </w:r>
            <w:r>
              <w:rPr>
                <w:sz w:val="20"/>
              </w:rPr>
              <w:t>with</w:t>
            </w:r>
            <w:r>
              <w:rPr>
                <w:spacing w:val="-1"/>
                <w:sz w:val="20"/>
              </w:rPr>
              <w:t> </w:t>
            </w:r>
            <w:r>
              <w:rPr>
                <w:spacing w:val="-2"/>
                <w:sz w:val="20"/>
              </w:rPr>
              <w:t>headcount</w:t>
            </w:r>
          </w:p>
        </w:tc>
        <w:tc>
          <w:tcPr>
            <w:tcW w:w="1244" w:type="dxa"/>
            <w:tcBorders>
              <w:top w:val="single" w:sz="8" w:space="0" w:color="000000"/>
            </w:tcBorders>
            <w:shd w:val="clear" w:color="auto" w:fill="CCEDFF"/>
          </w:tcPr>
          <w:p>
            <w:pPr>
              <w:pStyle w:val="TableParagraph"/>
              <w:rPr>
                <w:sz w:val="18"/>
              </w:rPr>
            </w:pPr>
          </w:p>
        </w:tc>
        <w:tc>
          <w:tcPr>
            <w:tcW w:w="476" w:type="dxa"/>
            <w:shd w:val="clear" w:color="auto" w:fill="CCEDFF"/>
          </w:tcPr>
          <w:p>
            <w:pPr>
              <w:pStyle w:val="TableParagraph"/>
              <w:spacing w:line="222" w:lineRule="exact"/>
              <w:ind w:left="15"/>
              <w:rPr>
                <w:sz w:val="20"/>
              </w:rPr>
            </w:pPr>
            <w:r>
              <w:rPr>
                <w:spacing w:val="-5"/>
                <w:sz w:val="20"/>
              </w:rPr>
              <w:t>5%</w:t>
            </w:r>
          </w:p>
        </w:tc>
        <w:tc>
          <w:tcPr>
            <w:tcW w:w="939" w:type="dxa"/>
            <w:tcBorders>
              <w:top w:val="single" w:sz="8" w:space="0" w:color="000000"/>
            </w:tcBorders>
            <w:shd w:val="clear" w:color="auto" w:fill="CCEDFF"/>
          </w:tcPr>
          <w:p>
            <w:pPr>
              <w:pStyle w:val="TableParagraph"/>
              <w:rPr>
                <w:sz w:val="18"/>
              </w:rPr>
            </w:pPr>
          </w:p>
        </w:tc>
        <w:tc>
          <w:tcPr>
            <w:tcW w:w="342" w:type="dxa"/>
            <w:tcBorders>
              <w:top w:val="single" w:sz="8" w:space="0" w:color="000000"/>
            </w:tcBorders>
            <w:shd w:val="clear" w:color="auto" w:fill="CCEDFF"/>
          </w:tcPr>
          <w:p>
            <w:pPr>
              <w:pStyle w:val="TableParagraph"/>
              <w:spacing w:line="222" w:lineRule="exact"/>
              <w:ind w:left="20"/>
              <w:rPr>
                <w:sz w:val="20"/>
              </w:rPr>
            </w:pPr>
            <w:r>
              <w:rPr>
                <w:spacing w:val="-5"/>
                <w:sz w:val="20"/>
              </w:rPr>
              <w:t>5%</w:t>
            </w:r>
          </w:p>
        </w:tc>
      </w:tr>
      <w:tr>
        <w:trPr>
          <w:trHeight w:val="280" w:hRule="atLeast"/>
        </w:trPr>
        <w:tc>
          <w:tcPr>
            <w:tcW w:w="6744" w:type="dxa"/>
          </w:tcPr>
          <w:p>
            <w:pPr>
              <w:pStyle w:val="TableParagraph"/>
              <w:spacing w:before="2"/>
              <w:ind w:left="50"/>
              <w:rPr>
                <w:sz w:val="20"/>
              </w:rPr>
            </w:pPr>
            <w:r>
              <w:rPr>
                <w:sz w:val="20"/>
              </w:rPr>
              <w:t>Incentive compensation, cash and stock </w:t>
            </w:r>
            <w:r>
              <w:rPr>
                <w:spacing w:val="-2"/>
                <w:sz w:val="20"/>
              </w:rPr>
              <w:t>based</w:t>
            </w:r>
          </w:p>
        </w:tc>
        <w:tc>
          <w:tcPr>
            <w:tcW w:w="1244" w:type="dxa"/>
          </w:tcPr>
          <w:p>
            <w:pPr>
              <w:pStyle w:val="TableParagraph"/>
              <w:rPr>
                <w:sz w:val="18"/>
              </w:rPr>
            </w:pPr>
          </w:p>
        </w:tc>
        <w:tc>
          <w:tcPr>
            <w:tcW w:w="476" w:type="dxa"/>
          </w:tcPr>
          <w:p>
            <w:pPr>
              <w:pStyle w:val="TableParagraph"/>
              <w:spacing w:before="2"/>
              <w:ind w:left="15"/>
              <w:rPr>
                <w:sz w:val="20"/>
              </w:rPr>
            </w:pPr>
            <w:r>
              <w:rPr>
                <w:spacing w:val="-10"/>
                <w:sz w:val="20"/>
              </w:rPr>
              <w:t>2</w:t>
            </w:r>
          </w:p>
        </w:tc>
        <w:tc>
          <w:tcPr>
            <w:tcW w:w="939" w:type="dxa"/>
          </w:tcPr>
          <w:p>
            <w:pPr>
              <w:pStyle w:val="TableParagraph"/>
              <w:rPr>
                <w:sz w:val="18"/>
              </w:rPr>
            </w:pPr>
          </w:p>
        </w:tc>
        <w:tc>
          <w:tcPr>
            <w:tcW w:w="342" w:type="dxa"/>
          </w:tcPr>
          <w:p>
            <w:pPr>
              <w:pStyle w:val="TableParagraph"/>
              <w:spacing w:before="2"/>
              <w:ind w:left="20"/>
              <w:rPr>
                <w:sz w:val="20"/>
              </w:rPr>
            </w:pPr>
            <w:r>
              <w:rPr>
                <w:spacing w:val="-10"/>
                <w:sz w:val="20"/>
              </w:rPr>
              <w:t>2</w:t>
            </w:r>
          </w:p>
        </w:tc>
      </w:tr>
      <w:tr>
        <w:trPr>
          <w:trHeight w:val="280" w:hRule="atLeast"/>
        </w:trPr>
        <w:tc>
          <w:tcPr>
            <w:tcW w:w="6744" w:type="dxa"/>
            <w:shd w:val="clear" w:color="auto" w:fill="CCEDFF"/>
          </w:tcPr>
          <w:p>
            <w:pPr>
              <w:pStyle w:val="TableParagraph"/>
              <w:spacing w:before="2"/>
              <w:ind w:left="50"/>
              <w:rPr>
                <w:sz w:val="20"/>
              </w:rPr>
            </w:pPr>
            <w:r>
              <w:rPr>
                <w:sz w:val="20"/>
              </w:rPr>
              <w:t>Professional and consulting </w:t>
            </w:r>
            <w:r>
              <w:rPr>
                <w:spacing w:val="-4"/>
                <w:sz w:val="20"/>
              </w:rPr>
              <w:t>fees</w:t>
            </w:r>
          </w:p>
        </w:tc>
        <w:tc>
          <w:tcPr>
            <w:tcW w:w="1244" w:type="dxa"/>
            <w:shd w:val="clear" w:color="auto" w:fill="CCEDFF"/>
          </w:tcPr>
          <w:p>
            <w:pPr>
              <w:pStyle w:val="TableParagraph"/>
              <w:rPr>
                <w:sz w:val="18"/>
              </w:rPr>
            </w:pPr>
          </w:p>
        </w:tc>
        <w:tc>
          <w:tcPr>
            <w:tcW w:w="476" w:type="dxa"/>
            <w:shd w:val="clear" w:color="auto" w:fill="CCEDFF"/>
          </w:tcPr>
          <w:p>
            <w:pPr>
              <w:pStyle w:val="TableParagraph"/>
              <w:spacing w:before="2"/>
              <w:ind w:left="15"/>
              <w:rPr>
                <w:sz w:val="20"/>
              </w:rPr>
            </w:pPr>
            <w:r>
              <w:rPr>
                <w:spacing w:val="-10"/>
                <w:sz w:val="20"/>
              </w:rPr>
              <w:t>2</w:t>
            </w:r>
          </w:p>
        </w:tc>
        <w:tc>
          <w:tcPr>
            <w:tcW w:w="939" w:type="dxa"/>
            <w:shd w:val="clear" w:color="auto" w:fill="CCEDFF"/>
          </w:tcPr>
          <w:p>
            <w:pPr>
              <w:pStyle w:val="TableParagraph"/>
              <w:rPr>
                <w:sz w:val="18"/>
              </w:rPr>
            </w:pPr>
          </w:p>
        </w:tc>
        <w:tc>
          <w:tcPr>
            <w:tcW w:w="342" w:type="dxa"/>
            <w:shd w:val="clear" w:color="auto" w:fill="CCEDFF"/>
          </w:tcPr>
          <w:p>
            <w:pPr>
              <w:pStyle w:val="TableParagraph"/>
              <w:spacing w:before="2"/>
              <w:ind w:left="20"/>
              <w:rPr>
                <w:sz w:val="20"/>
              </w:rPr>
            </w:pPr>
            <w:r>
              <w:rPr>
                <w:spacing w:val="-10"/>
                <w:sz w:val="20"/>
              </w:rPr>
              <w:t>1</w:t>
            </w:r>
          </w:p>
        </w:tc>
      </w:tr>
      <w:tr>
        <w:trPr>
          <w:trHeight w:val="280" w:hRule="atLeast"/>
        </w:trPr>
        <w:tc>
          <w:tcPr>
            <w:tcW w:w="6744" w:type="dxa"/>
          </w:tcPr>
          <w:p>
            <w:pPr>
              <w:pStyle w:val="TableParagraph"/>
              <w:spacing w:before="2"/>
              <w:ind w:left="50"/>
              <w:rPr>
                <w:sz w:val="20"/>
              </w:rPr>
            </w:pPr>
            <w:r>
              <w:rPr>
                <w:sz w:val="20"/>
              </w:rPr>
              <w:t>Marketing</w:t>
            </w:r>
            <w:r>
              <w:rPr>
                <w:spacing w:val="-3"/>
                <w:sz w:val="20"/>
              </w:rPr>
              <w:t> </w:t>
            </w:r>
            <w:r>
              <w:rPr>
                <w:sz w:val="20"/>
              </w:rPr>
              <w:t>spending</w:t>
            </w:r>
            <w:r>
              <w:rPr>
                <w:spacing w:val="-1"/>
                <w:sz w:val="20"/>
              </w:rPr>
              <w:t> </w:t>
            </w:r>
            <w:r>
              <w:rPr>
                <w:sz w:val="20"/>
              </w:rPr>
              <w:t>related</w:t>
            </w:r>
            <w:r>
              <w:rPr>
                <w:spacing w:val="-1"/>
                <w:sz w:val="20"/>
              </w:rPr>
              <w:t> </w:t>
            </w:r>
            <w:r>
              <w:rPr>
                <w:sz w:val="20"/>
              </w:rPr>
              <w:t>to</w:t>
            </w:r>
            <w:r>
              <w:rPr>
                <w:spacing w:val="-1"/>
                <w:sz w:val="20"/>
              </w:rPr>
              <w:t> </w:t>
            </w:r>
            <w:r>
              <w:rPr>
                <w:sz w:val="20"/>
              </w:rPr>
              <w:t>product launches</w:t>
            </w:r>
            <w:r>
              <w:rPr>
                <w:spacing w:val="-2"/>
                <w:sz w:val="20"/>
              </w:rPr>
              <w:t> </w:t>
            </w:r>
            <w:r>
              <w:rPr>
                <w:sz w:val="20"/>
              </w:rPr>
              <w:t>and</w:t>
            </w:r>
            <w:r>
              <w:rPr>
                <w:spacing w:val="-1"/>
                <w:sz w:val="20"/>
              </w:rPr>
              <w:t> </w:t>
            </w:r>
            <w:r>
              <w:rPr>
                <w:sz w:val="20"/>
              </w:rPr>
              <w:t>overall</w:t>
            </w:r>
            <w:r>
              <w:rPr>
                <w:spacing w:val="-1"/>
                <w:sz w:val="20"/>
              </w:rPr>
              <w:t> </w:t>
            </w:r>
            <w:r>
              <w:rPr>
                <w:sz w:val="20"/>
              </w:rPr>
              <w:t>marketing </w:t>
            </w:r>
            <w:r>
              <w:rPr>
                <w:spacing w:val="-2"/>
                <w:sz w:val="20"/>
              </w:rPr>
              <w:t>efforts</w:t>
            </w:r>
          </w:p>
        </w:tc>
        <w:tc>
          <w:tcPr>
            <w:tcW w:w="1244" w:type="dxa"/>
          </w:tcPr>
          <w:p>
            <w:pPr>
              <w:pStyle w:val="TableParagraph"/>
              <w:rPr>
                <w:sz w:val="18"/>
              </w:rPr>
            </w:pPr>
          </w:p>
        </w:tc>
        <w:tc>
          <w:tcPr>
            <w:tcW w:w="476" w:type="dxa"/>
          </w:tcPr>
          <w:p>
            <w:pPr>
              <w:pStyle w:val="TableParagraph"/>
              <w:spacing w:before="2"/>
              <w:ind w:left="15"/>
              <w:rPr>
                <w:sz w:val="20"/>
              </w:rPr>
            </w:pPr>
            <w:r>
              <w:rPr>
                <w:spacing w:val="-10"/>
                <w:sz w:val="20"/>
              </w:rPr>
              <w:t>4</w:t>
            </w:r>
          </w:p>
        </w:tc>
        <w:tc>
          <w:tcPr>
            <w:tcW w:w="939" w:type="dxa"/>
          </w:tcPr>
          <w:p>
            <w:pPr>
              <w:pStyle w:val="TableParagraph"/>
              <w:rPr>
                <w:sz w:val="18"/>
              </w:rPr>
            </w:pPr>
          </w:p>
        </w:tc>
        <w:tc>
          <w:tcPr>
            <w:tcW w:w="342" w:type="dxa"/>
          </w:tcPr>
          <w:p>
            <w:pPr>
              <w:pStyle w:val="TableParagraph"/>
              <w:spacing w:before="2"/>
              <w:ind w:left="20"/>
              <w:rPr>
                <w:sz w:val="20"/>
              </w:rPr>
            </w:pPr>
            <w:r>
              <w:rPr>
                <w:spacing w:val="-10"/>
                <w:sz w:val="20"/>
              </w:rPr>
              <w:t>4</w:t>
            </w:r>
          </w:p>
        </w:tc>
      </w:tr>
      <w:tr>
        <w:trPr>
          <w:trHeight w:val="269" w:hRule="atLeast"/>
        </w:trPr>
        <w:tc>
          <w:tcPr>
            <w:tcW w:w="6744" w:type="dxa"/>
            <w:shd w:val="clear" w:color="auto" w:fill="CCEDFF"/>
          </w:tcPr>
          <w:p>
            <w:pPr>
              <w:pStyle w:val="TableParagraph"/>
              <w:spacing w:before="2"/>
              <w:ind w:left="50"/>
              <w:rPr>
                <w:sz w:val="20"/>
              </w:rPr>
            </w:pPr>
            <w:r>
              <w:rPr>
                <w:sz w:val="20"/>
              </w:rPr>
              <w:t>Various</w:t>
            </w:r>
            <w:r>
              <w:rPr>
                <w:spacing w:val="-11"/>
                <w:sz w:val="20"/>
              </w:rPr>
              <w:t> </w:t>
            </w:r>
            <w:r>
              <w:rPr>
                <w:sz w:val="20"/>
              </w:rPr>
              <w:t>individually</w:t>
            </w:r>
            <w:r>
              <w:rPr>
                <w:spacing w:val="-9"/>
                <w:sz w:val="20"/>
              </w:rPr>
              <w:t> </w:t>
            </w:r>
            <w:r>
              <w:rPr>
                <w:sz w:val="20"/>
              </w:rPr>
              <w:t>insignificant</w:t>
            </w:r>
            <w:r>
              <w:rPr>
                <w:spacing w:val="-9"/>
                <w:sz w:val="20"/>
              </w:rPr>
              <w:t> </w:t>
            </w:r>
            <w:r>
              <w:rPr>
                <w:spacing w:val="-2"/>
                <w:sz w:val="20"/>
              </w:rPr>
              <w:t>items</w:t>
            </w:r>
          </w:p>
        </w:tc>
        <w:tc>
          <w:tcPr>
            <w:tcW w:w="1244" w:type="dxa"/>
            <w:tcBorders>
              <w:bottom w:val="single" w:sz="8" w:space="0" w:color="000000"/>
            </w:tcBorders>
            <w:shd w:val="clear" w:color="auto" w:fill="CCEDFF"/>
          </w:tcPr>
          <w:p>
            <w:pPr>
              <w:pStyle w:val="TableParagraph"/>
              <w:rPr>
                <w:sz w:val="18"/>
              </w:rPr>
            </w:pPr>
          </w:p>
        </w:tc>
        <w:tc>
          <w:tcPr>
            <w:tcW w:w="476" w:type="dxa"/>
            <w:shd w:val="clear" w:color="auto" w:fill="CCEDFF"/>
          </w:tcPr>
          <w:p>
            <w:pPr>
              <w:pStyle w:val="TableParagraph"/>
              <w:spacing w:before="2"/>
              <w:ind w:left="15"/>
              <w:rPr>
                <w:sz w:val="20"/>
              </w:rPr>
            </w:pPr>
            <w:r>
              <w:rPr>
                <w:spacing w:val="-10"/>
                <w:sz w:val="20"/>
              </w:rPr>
              <w:t>2</w:t>
            </w:r>
          </w:p>
        </w:tc>
        <w:tc>
          <w:tcPr>
            <w:tcW w:w="939" w:type="dxa"/>
            <w:tcBorders>
              <w:bottom w:val="single" w:sz="8" w:space="0" w:color="000000"/>
            </w:tcBorders>
            <w:shd w:val="clear" w:color="auto" w:fill="CCEDFF"/>
          </w:tcPr>
          <w:p>
            <w:pPr>
              <w:pStyle w:val="TableParagraph"/>
              <w:rPr>
                <w:sz w:val="18"/>
              </w:rPr>
            </w:pPr>
          </w:p>
        </w:tc>
        <w:tc>
          <w:tcPr>
            <w:tcW w:w="342" w:type="dxa"/>
            <w:tcBorders>
              <w:bottom w:val="single" w:sz="8" w:space="0" w:color="000000"/>
            </w:tcBorders>
            <w:shd w:val="clear" w:color="auto" w:fill="CCEDFF"/>
          </w:tcPr>
          <w:p>
            <w:pPr>
              <w:pStyle w:val="TableParagraph"/>
              <w:spacing w:before="2"/>
              <w:ind w:left="20"/>
              <w:rPr>
                <w:sz w:val="20"/>
              </w:rPr>
            </w:pPr>
            <w:r>
              <w:rPr>
                <w:spacing w:val="-10"/>
                <w:sz w:val="20"/>
              </w:rPr>
              <w:t>1</w:t>
            </w:r>
          </w:p>
        </w:tc>
      </w:tr>
      <w:tr>
        <w:trPr>
          <w:trHeight w:val="300" w:hRule="atLeast"/>
        </w:trPr>
        <w:tc>
          <w:tcPr>
            <w:tcW w:w="6744" w:type="dxa"/>
          </w:tcPr>
          <w:p>
            <w:pPr>
              <w:pStyle w:val="TableParagraph"/>
              <w:spacing w:line="212" w:lineRule="exact"/>
              <w:ind w:left="170"/>
              <w:rPr>
                <w:sz w:val="20"/>
              </w:rPr>
            </w:pPr>
            <w:r>
              <w:rPr>
                <w:spacing w:val="-2"/>
                <w:sz w:val="20"/>
              </w:rPr>
              <w:t>Total</w:t>
            </w:r>
            <w:r>
              <w:rPr>
                <w:spacing w:val="-4"/>
                <w:sz w:val="20"/>
              </w:rPr>
              <w:t> </w:t>
            </w:r>
            <w:r>
              <w:rPr>
                <w:spacing w:val="-2"/>
                <w:sz w:val="20"/>
              </w:rPr>
              <w:t>change</w:t>
            </w:r>
          </w:p>
        </w:tc>
        <w:tc>
          <w:tcPr>
            <w:tcW w:w="1720" w:type="dxa"/>
            <w:gridSpan w:val="2"/>
          </w:tcPr>
          <w:p>
            <w:pPr>
              <w:pStyle w:val="TableParagraph"/>
              <w:spacing w:line="212" w:lineRule="exact"/>
              <w:ind w:right="192"/>
              <w:jc w:val="right"/>
              <w:rPr>
                <w:sz w:val="20"/>
              </w:rPr>
            </w:pPr>
            <w:r>
              <w:rPr/>
              <mc:AlternateContent>
                <mc:Choice Requires="wps">
                  <w:drawing>
                    <wp:anchor distT="0" distB="0" distL="0" distR="0" allowOverlap="1" layoutInCell="1" locked="0" behindDoc="1" simplePos="0" relativeHeight="479817216">
                      <wp:simplePos x="0" y="0"/>
                      <wp:positionH relativeFrom="column">
                        <wp:posOffset>137337</wp:posOffset>
                      </wp:positionH>
                      <wp:positionV relativeFrom="paragraph">
                        <wp:posOffset>146050</wp:posOffset>
                      </wp:positionV>
                      <wp:extent cx="838200" cy="38100"/>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838200" cy="38100"/>
                                <a:chExt cx="838200" cy="38100"/>
                              </a:xfrm>
                            </wpg:grpSpPr>
                            <wps:wsp>
                              <wps:cNvPr id="172" name="Graphic 172"/>
                              <wps:cNvSpPr/>
                              <wps:spPr>
                                <a:xfrm>
                                  <a:off x="0" y="6350"/>
                                  <a:ext cx="838200" cy="25400"/>
                                </a:xfrm>
                                <a:custGeom>
                                  <a:avLst/>
                                  <a:gdLst/>
                                  <a:ahLst/>
                                  <a:cxnLst/>
                                  <a:rect l="l" t="t" r="r" b="b"/>
                                  <a:pathLst>
                                    <a:path w="838200" h="25400">
                                      <a:moveTo>
                                        <a:pt x="0" y="0"/>
                                      </a:moveTo>
                                      <a:lnTo>
                                        <a:pt x="838200" y="0"/>
                                      </a:lnTo>
                                    </a:path>
                                    <a:path w="838200" h="25400">
                                      <a:moveTo>
                                        <a:pt x="0" y="25400"/>
                                      </a:moveTo>
                                      <a:lnTo>
                                        <a:pt x="838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13965pt;margin-top:11.5pt;width:66pt;height:3pt;mso-position-horizontal-relative:column;mso-position-vertical-relative:paragraph;z-index:-23499264" id="docshapegroup118" coordorigin="216,230" coordsize="1320,60">
                      <v:shape style="position:absolute;left:216;top:240;width:1320;height:40" id="docshape119" coordorigin="216,240" coordsize="1320,40" path="m216,240l1536,240m216,280l1536,280e" filled="false" stroked="true" strokeweight="1pt" strokecolor="#000000">
                        <v:path arrowok="t"/>
                        <v:stroke dashstyle="solid"/>
                      </v:shape>
                      <w10:wrap type="none"/>
                    </v:group>
                  </w:pict>
                </mc:Fallback>
              </mc:AlternateContent>
            </w:r>
            <w:r>
              <w:rPr>
                <w:spacing w:val="-5"/>
                <w:sz w:val="20"/>
              </w:rPr>
              <w:t>15%</w:t>
            </w:r>
          </w:p>
        </w:tc>
        <w:tc>
          <w:tcPr>
            <w:tcW w:w="1281" w:type="dxa"/>
            <w:gridSpan w:val="2"/>
          </w:tcPr>
          <w:p>
            <w:pPr>
              <w:pStyle w:val="TableParagraph"/>
              <w:spacing w:line="212" w:lineRule="exact"/>
              <w:ind w:right="53"/>
              <w:jc w:val="right"/>
              <w:rPr>
                <w:sz w:val="20"/>
              </w:rPr>
            </w:pPr>
            <w:r>
              <w:rPr/>
              <mc:AlternateContent>
                <mc:Choice Requires="wps">
                  <w:drawing>
                    <wp:anchor distT="0" distB="0" distL="0" distR="0" allowOverlap="1" layoutInCell="1" locked="0" behindDoc="1" simplePos="0" relativeHeight="479817728">
                      <wp:simplePos x="0" y="0"/>
                      <wp:positionH relativeFrom="column">
                        <wp:posOffset>-65596</wp:posOffset>
                      </wp:positionH>
                      <wp:positionV relativeFrom="paragraph">
                        <wp:posOffset>146050</wp:posOffset>
                      </wp:positionV>
                      <wp:extent cx="850900" cy="3810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850900" cy="38100"/>
                                <a:chExt cx="850900" cy="38100"/>
                              </a:xfrm>
                            </wpg:grpSpPr>
                            <wps:wsp>
                              <wps:cNvPr id="174" name="Graphic 174"/>
                              <wps:cNvSpPr/>
                              <wps:spPr>
                                <a:xfrm>
                                  <a:off x="0" y="6350"/>
                                  <a:ext cx="850900" cy="25400"/>
                                </a:xfrm>
                                <a:custGeom>
                                  <a:avLst/>
                                  <a:gdLst/>
                                  <a:ahLst/>
                                  <a:cxnLst/>
                                  <a:rect l="l" t="t" r="r" b="b"/>
                                  <a:pathLst>
                                    <a:path w="850900" h="25400">
                                      <a:moveTo>
                                        <a:pt x="0" y="0"/>
                                      </a:moveTo>
                                      <a:lnTo>
                                        <a:pt x="850900" y="0"/>
                                      </a:lnTo>
                                    </a:path>
                                    <a:path w="850900" h="25400">
                                      <a:moveTo>
                                        <a:pt x="0" y="25400"/>
                                      </a:moveTo>
                                      <a:lnTo>
                                        <a:pt x="8509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65040pt;margin-top:11.5pt;width:67pt;height:3pt;mso-position-horizontal-relative:column;mso-position-vertical-relative:paragraph;z-index:-23498752" id="docshapegroup120" coordorigin="-103,230" coordsize="1340,60">
                      <v:shape style="position:absolute;left:-104;top:240;width:1340;height:40" id="docshape121" coordorigin="-103,240" coordsize="1340,40" path="m-103,240l1237,240m-103,280l1237,280e" filled="false" stroked="true" strokeweight="1pt" strokecolor="#000000">
                        <v:path arrowok="t"/>
                        <v:stroke dashstyle="solid"/>
                      </v:shape>
                      <w10:wrap type="none"/>
                    </v:group>
                  </w:pict>
                </mc:Fallback>
              </mc:AlternateContent>
            </w:r>
            <w:r>
              <w:rPr>
                <w:spacing w:val="-5"/>
                <w:sz w:val="20"/>
              </w:rPr>
              <w:t>13%</w:t>
            </w:r>
          </w:p>
        </w:tc>
      </w:tr>
    </w:tbl>
    <w:p>
      <w:pPr>
        <w:spacing w:before="214"/>
        <w:ind w:left="220" w:right="0" w:firstLine="0"/>
        <w:jc w:val="left"/>
        <w:rPr>
          <w:i/>
          <w:sz w:val="20"/>
        </w:rPr>
      </w:pPr>
      <w:r>
        <w:rPr>
          <w:i/>
          <w:sz w:val="20"/>
        </w:rPr>
        <w:t>General and</w:t>
      </w:r>
      <w:r>
        <w:rPr>
          <w:i/>
          <w:spacing w:val="-4"/>
          <w:sz w:val="20"/>
        </w:rPr>
        <w:t> </w:t>
      </w:r>
      <w:r>
        <w:rPr>
          <w:i/>
          <w:spacing w:val="-2"/>
          <w:sz w:val="20"/>
        </w:rPr>
        <w:t>Administrative</w:t>
      </w:r>
    </w:p>
    <w:p>
      <w:pPr>
        <w:pStyle w:val="BodyText"/>
        <w:spacing w:line="249" w:lineRule="auto" w:before="210"/>
        <w:ind w:left="220" w:right="257" w:firstLine="540"/>
        <w:jc w:val="both"/>
      </w:pPr>
      <w:r>
        <w:rPr/>
        <w:t>General</w:t>
      </w:r>
      <w:r>
        <w:rPr>
          <w:spacing w:val="-3"/>
        </w:rPr>
        <w:t> </w:t>
      </w:r>
      <w:r>
        <w:rPr/>
        <w:t>and</w:t>
      </w:r>
      <w:r>
        <w:rPr>
          <w:spacing w:val="-3"/>
        </w:rPr>
        <w:t> </w:t>
      </w:r>
      <w:r>
        <w:rPr/>
        <w:t>administrative</w:t>
      </w:r>
      <w:r>
        <w:rPr>
          <w:spacing w:val="-3"/>
        </w:rPr>
        <w:t> </w:t>
      </w:r>
      <w:r>
        <w:rPr/>
        <w:t>expenses</w:t>
      </w:r>
      <w:r>
        <w:rPr>
          <w:spacing w:val="-3"/>
        </w:rPr>
        <w:t> </w:t>
      </w:r>
      <w:r>
        <w:rPr/>
        <w:t>consist</w:t>
      </w:r>
      <w:r>
        <w:rPr>
          <w:spacing w:val="-3"/>
        </w:rPr>
        <w:t> </w:t>
      </w:r>
      <w:r>
        <w:rPr/>
        <w:t>primarily</w:t>
      </w:r>
      <w:r>
        <w:rPr>
          <w:spacing w:val="-3"/>
        </w:rPr>
        <w:t> </w:t>
      </w:r>
      <w:r>
        <w:rPr/>
        <w:t>of</w:t>
      </w:r>
      <w:r>
        <w:rPr>
          <w:spacing w:val="-3"/>
        </w:rPr>
        <w:t> </w:t>
      </w:r>
      <w:r>
        <w:rPr/>
        <w:t>compensation</w:t>
      </w:r>
      <w:r>
        <w:rPr>
          <w:spacing w:val="-3"/>
        </w:rPr>
        <w:t> </w:t>
      </w:r>
      <w:r>
        <w:rPr/>
        <w:t>and</w:t>
      </w:r>
      <w:r>
        <w:rPr>
          <w:spacing w:val="-3"/>
        </w:rPr>
        <w:t> </w:t>
      </w:r>
      <w:r>
        <w:rPr/>
        <w:t>benefit</w:t>
      </w:r>
      <w:r>
        <w:rPr>
          <w:spacing w:val="-3"/>
        </w:rPr>
        <w:t> </w:t>
      </w:r>
      <w:r>
        <w:rPr/>
        <w:t>expenses,</w:t>
      </w:r>
      <w:r>
        <w:rPr>
          <w:spacing w:val="-3"/>
        </w:rPr>
        <w:t> </w:t>
      </w:r>
      <w:r>
        <w:rPr/>
        <w:t>travel</w:t>
      </w:r>
      <w:r>
        <w:rPr>
          <w:spacing w:val="-3"/>
        </w:rPr>
        <w:t> </w:t>
      </w:r>
      <w:r>
        <w:rPr/>
        <w:t>expenses</w:t>
      </w:r>
      <w:r>
        <w:rPr>
          <w:spacing w:val="-3"/>
        </w:rPr>
        <w:t> </w:t>
      </w:r>
      <w:r>
        <w:rPr/>
        <w:t>and</w:t>
      </w:r>
      <w:r>
        <w:rPr>
          <w:spacing w:val="-3"/>
        </w:rPr>
        <w:t> </w:t>
      </w:r>
      <w:r>
        <w:rPr/>
        <w:t>related facilities costs for our finance, facilities, human resources, legal, information services and executive personnel. General and </w:t>
      </w:r>
      <w:r>
        <w:rPr>
          <w:spacing w:val="-2"/>
        </w:rPr>
        <w:t>administrative</w:t>
      </w:r>
      <w:r>
        <w:rPr>
          <w:spacing w:val="-4"/>
        </w:rPr>
        <w:t> </w:t>
      </w:r>
      <w:r>
        <w:rPr>
          <w:spacing w:val="-2"/>
        </w:rPr>
        <w:t>expenses</w:t>
      </w:r>
      <w:r>
        <w:rPr>
          <w:spacing w:val="-4"/>
        </w:rPr>
        <w:t> </w:t>
      </w:r>
      <w:r>
        <w:rPr>
          <w:spacing w:val="-2"/>
        </w:rPr>
        <w:t>also</w:t>
      </w:r>
      <w:r>
        <w:rPr>
          <w:spacing w:val="-4"/>
        </w:rPr>
        <w:t> </w:t>
      </w:r>
      <w:r>
        <w:rPr>
          <w:spacing w:val="-2"/>
        </w:rPr>
        <w:t>include</w:t>
      </w:r>
      <w:r>
        <w:rPr>
          <w:spacing w:val="-4"/>
        </w:rPr>
        <w:t> </w:t>
      </w:r>
      <w:r>
        <w:rPr>
          <w:spacing w:val="-2"/>
        </w:rPr>
        <w:t>outside</w:t>
      </w:r>
      <w:r>
        <w:rPr>
          <w:spacing w:val="-4"/>
        </w:rPr>
        <w:t> </w:t>
      </w:r>
      <w:r>
        <w:rPr>
          <w:spacing w:val="-2"/>
        </w:rPr>
        <w:t>legal</w:t>
      </w:r>
      <w:r>
        <w:rPr>
          <w:spacing w:val="-4"/>
        </w:rPr>
        <w:t> </w:t>
      </w:r>
      <w:r>
        <w:rPr>
          <w:spacing w:val="-2"/>
        </w:rPr>
        <w:t>and</w:t>
      </w:r>
      <w:r>
        <w:rPr>
          <w:spacing w:val="-4"/>
        </w:rPr>
        <w:t> </w:t>
      </w:r>
      <w:r>
        <w:rPr>
          <w:spacing w:val="-2"/>
        </w:rPr>
        <w:t>accounting</w:t>
      </w:r>
      <w:r>
        <w:rPr>
          <w:spacing w:val="-4"/>
        </w:rPr>
        <w:t> </w:t>
      </w:r>
      <w:r>
        <w:rPr>
          <w:spacing w:val="-2"/>
        </w:rPr>
        <w:t>fees,</w:t>
      </w:r>
      <w:r>
        <w:rPr>
          <w:spacing w:val="-4"/>
        </w:rPr>
        <w:t> </w:t>
      </w:r>
      <w:r>
        <w:rPr>
          <w:spacing w:val="-2"/>
        </w:rPr>
        <w:t>provision</w:t>
      </w:r>
      <w:r>
        <w:rPr>
          <w:spacing w:val="-4"/>
        </w:rPr>
        <w:t> </w:t>
      </w:r>
      <w:r>
        <w:rPr>
          <w:spacing w:val="-2"/>
        </w:rPr>
        <w:t>for</w:t>
      </w:r>
      <w:r>
        <w:rPr>
          <w:spacing w:val="-4"/>
        </w:rPr>
        <w:t> </w:t>
      </w:r>
      <w:r>
        <w:rPr>
          <w:spacing w:val="-2"/>
        </w:rPr>
        <w:t>bad</w:t>
      </w:r>
      <w:r>
        <w:rPr>
          <w:spacing w:val="-4"/>
        </w:rPr>
        <w:t> </w:t>
      </w:r>
      <w:r>
        <w:rPr>
          <w:spacing w:val="-2"/>
        </w:rPr>
        <w:t>debts,</w:t>
      </w:r>
      <w:r>
        <w:rPr>
          <w:spacing w:val="-4"/>
        </w:rPr>
        <w:t> </w:t>
      </w:r>
      <w:r>
        <w:rPr>
          <w:spacing w:val="-2"/>
        </w:rPr>
        <w:t>expenses</w:t>
      </w:r>
      <w:r>
        <w:rPr>
          <w:spacing w:val="-3"/>
        </w:rPr>
        <w:t> </w:t>
      </w:r>
      <w:r>
        <w:rPr>
          <w:spacing w:val="-2"/>
        </w:rPr>
        <w:t>associated</w:t>
      </w:r>
      <w:r>
        <w:rPr>
          <w:spacing w:val="-4"/>
        </w:rPr>
        <w:t> </w:t>
      </w:r>
      <w:r>
        <w:rPr>
          <w:spacing w:val="-2"/>
        </w:rPr>
        <w:t>with</w:t>
      </w:r>
      <w:r>
        <w:rPr>
          <w:spacing w:val="-4"/>
        </w:rPr>
        <w:t> </w:t>
      </w:r>
      <w:r>
        <w:rPr>
          <w:spacing w:val="-2"/>
        </w:rPr>
        <w:t>computer </w:t>
      </w:r>
      <w:r>
        <w:rPr/>
        <w:t>equipment and software used in the administration of the business, charitable contributions and various forms of insurance.</w:t>
      </w:r>
    </w:p>
    <w:p>
      <w:pPr>
        <w:spacing w:after="0" w:line="249" w:lineRule="auto"/>
        <w:jc w:val="both"/>
        <w:sectPr>
          <w:pgSz w:w="12240" w:h="15840"/>
          <w:pgMar w:header="210" w:footer="579" w:top="420" w:bottom="800" w:left="780" w:right="740"/>
        </w:sectPr>
      </w:pPr>
    </w:p>
    <w:p>
      <w:pPr>
        <w:pStyle w:val="BodyText"/>
        <w:spacing w:before="150"/>
      </w:pPr>
    </w:p>
    <w:p>
      <w:pPr>
        <w:pStyle w:val="BodyText"/>
        <w:ind w:left="760"/>
      </w:pPr>
      <w:r>
        <w:rPr/>
        <w:t>General</w:t>
      </w:r>
      <w:r>
        <w:rPr>
          <w:spacing w:val="-1"/>
        </w:rPr>
        <w:t> </w:t>
      </w:r>
      <w:r>
        <w:rPr/>
        <w:t>and</w:t>
      </w:r>
      <w:r>
        <w:rPr>
          <w:spacing w:val="-1"/>
        </w:rPr>
        <w:t> </w:t>
      </w:r>
      <w:r>
        <w:rPr/>
        <w:t>administrative</w:t>
      </w:r>
      <w:r>
        <w:rPr>
          <w:spacing w:val="-1"/>
        </w:rPr>
        <w:t> </w:t>
      </w:r>
      <w:r>
        <w:rPr/>
        <w:t>expenses</w:t>
      </w:r>
      <w:r>
        <w:rPr>
          <w:spacing w:val="-2"/>
        </w:rPr>
        <w:t> </w:t>
      </w:r>
      <w:r>
        <w:rPr/>
        <w:t>increased</w:t>
      </w:r>
      <w:r>
        <w:rPr>
          <w:spacing w:val="-1"/>
        </w:rPr>
        <w:t> </w:t>
      </w:r>
      <w:r>
        <w:rPr/>
        <w:t>due</w:t>
      </w:r>
      <w:r>
        <w:rPr>
          <w:spacing w:val="-1"/>
        </w:rPr>
        <w:t> </w:t>
      </w:r>
      <w:r>
        <w:rPr/>
        <w:t>to</w:t>
      </w:r>
      <w:r>
        <w:rPr>
          <w:spacing w:val="-1"/>
        </w:rPr>
        <w:t> </w:t>
      </w:r>
      <w:r>
        <w:rPr/>
        <w:t>the </w:t>
      </w:r>
      <w:r>
        <w:rPr>
          <w:spacing w:val="-2"/>
        </w:rPr>
        <w:t>following:</w:t>
      </w:r>
    </w:p>
    <w:p>
      <w:pPr>
        <w:pStyle w:val="BodyText"/>
        <w:spacing w:before="152"/>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6"/>
        <w:gridCol w:w="1921"/>
        <w:gridCol w:w="511"/>
        <w:gridCol w:w="969"/>
        <w:gridCol w:w="313"/>
      </w:tblGrid>
      <w:tr>
        <w:trPr>
          <w:trHeight w:val="374" w:hRule="atLeast"/>
        </w:trPr>
        <w:tc>
          <w:tcPr>
            <w:tcW w:w="6526" w:type="dxa"/>
          </w:tcPr>
          <w:p>
            <w:pPr>
              <w:pStyle w:val="TableParagraph"/>
              <w:rPr>
                <w:sz w:val="18"/>
              </w:rPr>
            </w:pPr>
          </w:p>
        </w:tc>
        <w:tc>
          <w:tcPr>
            <w:tcW w:w="1921" w:type="dxa"/>
            <w:tcBorders>
              <w:bottom w:val="single" w:sz="8" w:space="0" w:color="000000"/>
            </w:tcBorders>
          </w:tcPr>
          <w:p>
            <w:pPr>
              <w:pStyle w:val="TableParagraph"/>
              <w:spacing w:line="208" w:lineRule="auto" w:before="12"/>
              <w:ind w:left="1176" w:right="33" w:hanging="16"/>
              <w:rPr>
                <w:b/>
                <w:sz w:val="16"/>
              </w:rPr>
            </w:pPr>
            <w:r>
              <w:rPr>
                <w:b/>
                <w:sz w:val="16"/>
              </w:rPr>
              <w:t>%</w:t>
            </w:r>
            <w:r>
              <w:rPr>
                <w:b/>
                <w:spacing w:val="-10"/>
                <w:sz w:val="16"/>
              </w:rPr>
              <w:t> </w:t>
            </w:r>
            <w:r>
              <w:rPr>
                <w:b/>
                <w:sz w:val="16"/>
              </w:rPr>
              <w:t>Change</w:t>
            </w:r>
            <w:r>
              <w:rPr>
                <w:b/>
                <w:spacing w:val="40"/>
                <w:sz w:val="16"/>
              </w:rPr>
              <w:t> </w:t>
            </w:r>
            <w:r>
              <w:rPr>
                <w:b/>
                <w:sz w:val="16"/>
              </w:rPr>
              <w:t>2017-</w:t>
            </w:r>
            <w:r>
              <w:rPr>
                <w:b/>
                <w:spacing w:val="-4"/>
                <w:sz w:val="16"/>
              </w:rPr>
              <w:t>2016</w:t>
            </w:r>
          </w:p>
        </w:tc>
        <w:tc>
          <w:tcPr>
            <w:tcW w:w="511" w:type="dxa"/>
          </w:tcPr>
          <w:p>
            <w:pPr>
              <w:pStyle w:val="TableParagraph"/>
              <w:rPr>
                <w:sz w:val="18"/>
              </w:rPr>
            </w:pPr>
          </w:p>
        </w:tc>
        <w:tc>
          <w:tcPr>
            <w:tcW w:w="969" w:type="dxa"/>
            <w:tcBorders>
              <w:bottom w:val="single" w:sz="8" w:space="0" w:color="000000"/>
            </w:tcBorders>
          </w:tcPr>
          <w:p>
            <w:pPr>
              <w:pStyle w:val="TableParagraph"/>
              <w:spacing w:line="208" w:lineRule="auto" w:before="12"/>
              <w:ind w:left="224" w:right="33" w:hanging="16"/>
              <w:rPr>
                <w:b/>
                <w:sz w:val="16"/>
              </w:rPr>
            </w:pPr>
            <w:r>
              <w:rPr>
                <w:b/>
                <w:sz w:val="16"/>
              </w:rPr>
              <w:t>%</w:t>
            </w:r>
            <w:r>
              <w:rPr>
                <w:b/>
                <w:spacing w:val="-10"/>
                <w:sz w:val="16"/>
              </w:rPr>
              <w:t> </w:t>
            </w:r>
            <w:r>
              <w:rPr>
                <w:b/>
                <w:sz w:val="16"/>
              </w:rPr>
              <w:t>Change</w:t>
            </w:r>
            <w:r>
              <w:rPr>
                <w:b/>
                <w:spacing w:val="40"/>
                <w:sz w:val="16"/>
              </w:rPr>
              <w:t> </w:t>
            </w:r>
            <w:r>
              <w:rPr>
                <w:b/>
                <w:sz w:val="16"/>
              </w:rPr>
              <w:t>2016-</w:t>
            </w:r>
            <w:r>
              <w:rPr>
                <w:b/>
                <w:spacing w:val="-4"/>
                <w:sz w:val="16"/>
              </w:rPr>
              <w:t>2015</w:t>
            </w:r>
          </w:p>
        </w:tc>
        <w:tc>
          <w:tcPr>
            <w:tcW w:w="313" w:type="dxa"/>
            <w:tcBorders>
              <w:bottom w:val="single" w:sz="8" w:space="0" w:color="000000"/>
            </w:tcBorders>
          </w:tcPr>
          <w:p>
            <w:pPr>
              <w:pStyle w:val="TableParagraph"/>
              <w:rPr>
                <w:sz w:val="18"/>
              </w:rPr>
            </w:pPr>
          </w:p>
        </w:tc>
      </w:tr>
      <w:tr>
        <w:trPr>
          <w:trHeight w:val="270" w:hRule="atLeast"/>
        </w:trPr>
        <w:tc>
          <w:tcPr>
            <w:tcW w:w="6526" w:type="dxa"/>
            <w:shd w:val="clear" w:color="auto" w:fill="CCEDFF"/>
          </w:tcPr>
          <w:p>
            <w:pPr>
              <w:pStyle w:val="TableParagraph"/>
              <w:spacing w:line="222" w:lineRule="exact"/>
              <w:ind w:left="50"/>
              <w:rPr>
                <w:sz w:val="20"/>
              </w:rPr>
            </w:pPr>
            <w:r>
              <w:rPr>
                <w:sz w:val="20"/>
              </w:rPr>
              <w:t>Base</w:t>
            </w:r>
            <w:r>
              <w:rPr>
                <w:spacing w:val="-1"/>
                <w:sz w:val="20"/>
              </w:rPr>
              <w:t> </w:t>
            </w:r>
            <w:r>
              <w:rPr>
                <w:sz w:val="20"/>
              </w:rPr>
              <w:t>compensation</w:t>
            </w:r>
            <w:r>
              <w:rPr>
                <w:spacing w:val="-1"/>
                <w:sz w:val="20"/>
              </w:rPr>
              <w:t> </w:t>
            </w:r>
            <w:r>
              <w:rPr>
                <w:sz w:val="20"/>
              </w:rPr>
              <w:t>and</w:t>
            </w:r>
            <w:r>
              <w:rPr>
                <w:spacing w:val="-1"/>
                <w:sz w:val="20"/>
              </w:rPr>
              <w:t> </w:t>
            </w:r>
            <w:r>
              <w:rPr>
                <w:sz w:val="20"/>
              </w:rPr>
              <w:t>related</w:t>
            </w:r>
            <w:r>
              <w:rPr>
                <w:spacing w:val="-2"/>
                <w:sz w:val="20"/>
              </w:rPr>
              <w:t> </w:t>
            </w:r>
            <w:r>
              <w:rPr>
                <w:sz w:val="20"/>
              </w:rPr>
              <w:t>benefits</w:t>
            </w:r>
            <w:r>
              <w:rPr>
                <w:spacing w:val="-1"/>
                <w:sz w:val="20"/>
              </w:rPr>
              <w:t> </w:t>
            </w:r>
            <w:r>
              <w:rPr>
                <w:sz w:val="20"/>
              </w:rPr>
              <w:t>associated</w:t>
            </w:r>
            <w:r>
              <w:rPr>
                <w:spacing w:val="-1"/>
                <w:sz w:val="20"/>
              </w:rPr>
              <w:t> </w:t>
            </w:r>
            <w:r>
              <w:rPr>
                <w:sz w:val="20"/>
              </w:rPr>
              <w:t>with</w:t>
            </w:r>
            <w:r>
              <w:rPr>
                <w:spacing w:val="-1"/>
                <w:sz w:val="20"/>
              </w:rPr>
              <w:t> </w:t>
            </w:r>
            <w:r>
              <w:rPr>
                <w:spacing w:val="-2"/>
                <w:sz w:val="20"/>
              </w:rPr>
              <w:t>headcount</w:t>
            </w:r>
          </w:p>
        </w:tc>
        <w:tc>
          <w:tcPr>
            <w:tcW w:w="1921" w:type="dxa"/>
            <w:tcBorders>
              <w:top w:val="single" w:sz="8" w:space="0" w:color="000000"/>
            </w:tcBorders>
            <w:shd w:val="clear" w:color="auto" w:fill="CCEDFF"/>
          </w:tcPr>
          <w:p>
            <w:pPr>
              <w:pStyle w:val="TableParagraph"/>
              <w:rPr>
                <w:sz w:val="18"/>
              </w:rPr>
            </w:pPr>
          </w:p>
        </w:tc>
        <w:tc>
          <w:tcPr>
            <w:tcW w:w="511" w:type="dxa"/>
            <w:shd w:val="clear" w:color="auto" w:fill="CCEDFF"/>
          </w:tcPr>
          <w:p>
            <w:pPr>
              <w:pStyle w:val="TableParagraph"/>
              <w:spacing w:line="222" w:lineRule="exact"/>
              <w:ind w:left="35"/>
              <w:rPr>
                <w:sz w:val="20"/>
              </w:rPr>
            </w:pPr>
            <w:r>
              <w:rPr>
                <w:spacing w:val="-5"/>
                <w:sz w:val="20"/>
              </w:rPr>
              <w:t>2%</w:t>
            </w:r>
          </w:p>
        </w:tc>
        <w:tc>
          <w:tcPr>
            <w:tcW w:w="969" w:type="dxa"/>
            <w:tcBorders>
              <w:top w:val="single" w:sz="8" w:space="0" w:color="000000"/>
            </w:tcBorders>
            <w:shd w:val="clear" w:color="auto" w:fill="CCEDFF"/>
          </w:tcPr>
          <w:p>
            <w:pPr>
              <w:pStyle w:val="TableParagraph"/>
              <w:rPr>
                <w:sz w:val="18"/>
              </w:rPr>
            </w:pPr>
          </w:p>
        </w:tc>
        <w:tc>
          <w:tcPr>
            <w:tcW w:w="313" w:type="dxa"/>
            <w:tcBorders>
              <w:top w:val="single" w:sz="8" w:space="0" w:color="000000"/>
            </w:tcBorders>
            <w:shd w:val="clear" w:color="auto" w:fill="CCEDFF"/>
          </w:tcPr>
          <w:p>
            <w:pPr>
              <w:pStyle w:val="TableParagraph"/>
              <w:spacing w:line="222" w:lineRule="exact"/>
              <w:ind w:left="35"/>
              <w:rPr>
                <w:sz w:val="20"/>
              </w:rPr>
            </w:pPr>
            <w:r>
              <w:rPr>
                <w:spacing w:val="-5"/>
                <w:sz w:val="20"/>
              </w:rPr>
              <w:t>3%</w:t>
            </w:r>
          </w:p>
        </w:tc>
      </w:tr>
      <w:tr>
        <w:trPr>
          <w:trHeight w:val="280" w:hRule="atLeast"/>
        </w:trPr>
        <w:tc>
          <w:tcPr>
            <w:tcW w:w="6526" w:type="dxa"/>
          </w:tcPr>
          <w:p>
            <w:pPr>
              <w:pStyle w:val="TableParagraph"/>
              <w:spacing w:before="2"/>
              <w:ind w:left="50"/>
              <w:rPr>
                <w:sz w:val="20"/>
              </w:rPr>
            </w:pPr>
            <w:r>
              <w:rPr>
                <w:sz w:val="20"/>
              </w:rPr>
              <w:t>Incentive compensation, cash and stock </w:t>
            </w:r>
            <w:r>
              <w:rPr>
                <w:spacing w:val="-2"/>
                <w:sz w:val="20"/>
              </w:rPr>
              <w:t>based</w:t>
            </w:r>
          </w:p>
        </w:tc>
        <w:tc>
          <w:tcPr>
            <w:tcW w:w="1921" w:type="dxa"/>
          </w:tcPr>
          <w:p>
            <w:pPr>
              <w:pStyle w:val="TableParagraph"/>
              <w:rPr>
                <w:sz w:val="18"/>
              </w:rPr>
            </w:pPr>
          </w:p>
        </w:tc>
        <w:tc>
          <w:tcPr>
            <w:tcW w:w="511" w:type="dxa"/>
          </w:tcPr>
          <w:p>
            <w:pPr>
              <w:pStyle w:val="TableParagraph"/>
              <w:spacing w:before="2"/>
              <w:ind w:left="35"/>
              <w:rPr>
                <w:sz w:val="20"/>
              </w:rPr>
            </w:pPr>
            <w:r>
              <w:rPr>
                <w:spacing w:val="-10"/>
                <w:sz w:val="20"/>
              </w:rPr>
              <w:t>3</w:t>
            </w:r>
          </w:p>
        </w:tc>
        <w:tc>
          <w:tcPr>
            <w:tcW w:w="969" w:type="dxa"/>
          </w:tcPr>
          <w:p>
            <w:pPr>
              <w:pStyle w:val="TableParagraph"/>
              <w:rPr>
                <w:sz w:val="18"/>
              </w:rPr>
            </w:pPr>
          </w:p>
        </w:tc>
        <w:tc>
          <w:tcPr>
            <w:tcW w:w="313" w:type="dxa"/>
          </w:tcPr>
          <w:p>
            <w:pPr>
              <w:pStyle w:val="TableParagraph"/>
              <w:spacing w:before="2"/>
              <w:ind w:left="35"/>
              <w:rPr>
                <w:sz w:val="20"/>
              </w:rPr>
            </w:pPr>
            <w:r>
              <w:rPr>
                <w:spacing w:val="-10"/>
                <w:sz w:val="20"/>
              </w:rPr>
              <w:t>3</w:t>
            </w:r>
          </w:p>
        </w:tc>
      </w:tr>
      <w:tr>
        <w:trPr>
          <w:trHeight w:val="280" w:hRule="atLeast"/>
        </w:trPr>
        <w:tc>
          <w:tcPr>
            <w:tcW w:w="6526" w:type="dxa"/>
            <w:shd w:val="clear" w:color="auto" w:fill="CCEDFF"/>
          </w:tcPr>
          <w:p>
            <w:pPr>
              <w:pStyle w:val="TableParagraph"/>
              <w:spacing w:before="2"/>
              <w:ind w:left="50"/>
              <w:rPr>
                <w:sz w:val="20"/>
              </w:rPr>
            </w:pPr>
            <w:r>
              <w:rPr>
                <w:sz w:val="20"/>
              </w:rPr>
              <w:t>Professional and consulting </w:t>
            </w:r>
            <w:r>
              <w:rPr>
                <w:spacing w:val="-4"/>
                <w:sz w:val="20"/>
              </w:rPr>
              <w:t>fees</w:t>
            </w:r>
          </w:p>
        </w:tc>
        <w:tc>
          <w:tcPr>
            <w:tcW w:w="1921" w:type="dxa"/>
            <w:shd w:val="clear" w:color="auto" w:fill="CCEDFF"/>
          </w:tcPr>
          <w:p>
            <w:pPr>
              <w:pStyle w:val="TableParagraph"/>
              <w:rPr>
                <w:sz w:val="18"/>
              </w:rPr>
            </w:pPr>
          </w:p>
        </w:tc>
        <w:tc>
          <w:tcPr>
            <w:tcW w:w="511" w:type="dxa"/>
            <w:shd w:val="clear" w:color="auto" w:fill="CCEDFF"/>
          </w:tcPr>
          <w:p>
            <w:pPr>
              <w:pStyle w:val="TableParagraph"/>
              <w:spacing w:before="2"/>
              <w:ind w:left="35"/>
              <w:rPr>
                <w:sz w:val="20"/>
              </w:rPr>
            </w:pPr>
            <w:r>
              <w:rPr>
                <w:spacing w:val="-10"/>
                <w:sz w:val="20"/>
              </w:rPr>
              <w:t>1</w:t>
            </w:r>
          </w:p>
        </w:tc>
        <w:tc>
          <w:tcPr>
            <w:tcW w:w="969" w:type="dxa"/>
            <w:shd w:val="clear" w:color="auto" w:fill="CCEDFF"/>
          </w:tcPr>
          <w:p>
            <w:pPr>
              <w:pStyle w:val="TableParagraph"/>
              <w:rPr>
                <w:sz w:val="18"/>
              </w:rPr>
            </w:pPr>
          </w:p>
        </w:tc>
        <w:tc>
          <w:tcPr>
            <w:tcW w:w="313" w:type="dxa"/>
            <w:shd w:val="clear" w:color="auto" w:fill="CCEDFF"/>
          </w:tcPr>
          <w:p>
            <w:pPr>
              <w:pStyle w:val="TableParagraph"/>
              <w:spacing w:before="2"/>
              <w:ind w:left="35"/>
              <w:rPr>
                <w:sz w:val="20"/>
              </w:rPr>
            </w:pPr>
            <w:r>
              <w:rPr>
                <w:spacing w:val="-10"/>
                <w:sz w:val="20"/>
              </w:rPr>
              <w:t>1</w:t>
            </w:r>
          </w:p>
        </w:tc>
      </w:tr>
      <w:tr>
        <w:trPr>
          <w:trHeight w:val="270" w:hRule="atLeast"/>
        </w:trPr>
        <w:tc>
          <w:tcPr>
            <w:tcW w:w="6526" w:type="dxa"/>
          </w:tcPr>
          <w:p>
            <w:pPr>
              <w:pStyle w:val="TableParagraph"/>
              <w:spacing w:before="2"/>
              <w:ind w:left="50"/>
              <w:rPr>
                <w:sz w:val="20"/>
              </w:rPr>
            </w:pPr>
            <w:r>
              <w:rPr>
                <w:sz w:val="20"/>
              </w:rPr>
              <w:t>Facilities</w:t>
            </w:r>
            <w:r>
              <w:rPr>
                <w:spacing w:val="-6"/>
                <w:sz w:val="20"/>
              </w:rPr>
              <w:t> </w:t>
            </w:r>
            <w:r>
              <w:rPr>
                <w:sz w:val="20"/>
              </w:rPr>
              <w:t>and</w:t>
            </w:r>
            <w:r>
              <w:rPr>
                <w:spacing w:val="-4"/>
                <w:sz w:val="20"/>
              </w:rPr>
              <w:t> </w:t>
            </w:r>
            <w:r>
              <w:rPr>
                <w:spacing w:val="-2"/>
                <w:sz w:val="20"/>
              </w:rPr>
              <w:t>telecom</w:t>
            </w:r>
          </w:p>
        </w:tc>
        <w:tc>
          <w:tcPr>
            <w:tcW w:w="1921" w:type="dxa"/>
            <w:tcBorders>
              <w:bottom w:val="single" w:sz="8" w:space="0" w:color="000000"/>
            </w:tcBorders>
          </w:tcPr>
          <w:p>
            <w:pPr>
              <w:pStyle w:val="TableParagraph"/>
              <w:rPr>
                <w:sz w:val="18"/>
              </w:rPr>
            </w:pPr>
          </w:p>
        </w:tc>
        <w:tc>
          <w:tcPr>
            <w:tcW w:w="511" w:type="dxa"/>
          </w:tcPr>
          <w:p>
            <w:pPr>
              <w:pStyle w:val="TableParagraph"/>
              <w:spacing w:before="2"/>
              <w:ind w:left="35"/>
              <w:rPr>
                <w:sz w:val="20"/>
              </w:rPr>
            </w:pPr>
            <w:r>
              <w:rPr>
                <w:spacing w:val="-10"/>
                <w:sz w:val="20"/>
              </w:rPr>
              <w:t>2</w:t>
            </w:r>
          </w:p>
        </w:tc>
        <w:tc>
          <w:tcPr>
            <w:tcW w:w="969" w:type="dxa"/>
            <w:tcBorders>
              <w:bottom w:val="single" w:sz="8" w:space="0" w:color="000000"/>
            </w:tcBorders>
          </w:tcPr>
          <w:p>
            <w:pPr>
              <w:pStyle w:val="TableParagraph"/>
              <w:rPr>
                <w:sz w:val="18"/>
              </w:rPr>
            </w:pPr>
          </w:p>
        </w:tc>
        <w:tc>
          <w:tcPr>
            <w:tcW w:w="313" w:type="dxa"/>
            <w:tcBorders>
              <w:bottom w:val="single" w:sz="8" w:space="0" w:color="000000"/>
            </w:tcBorders>
          </w:tcPr>
          <w:p>
            <w:pPr>
              <w:pStyle w:val="TableParagraph"/>
              <w:spacing w:before="2"/>
              <w:ind w:left="35"/>
              <w:rPr>
                <w:sz w:val="20"/>
              </w:rPr>
            </w:pPr>
            <w:r>
              <w:rPr>
                <w:spacing w:val="-10"/>
                <w:sz w:val="20"/>
              </w:rPr>
              <w:t>1</w:t>
            </w:r>
          </w:p>
        </w:tc>
      </w:tr>
      <w:tr>
        <w:trPr>
          <w:trHeight w:val="220" w:hRule="atLeast"/>
        </w:trPr>
        <w:tc>
          <w:tcPr>
            <w:tcW w:w="6526" w:type="dxa"/>
            <w:shd w:val="clear" w:color="auto" w:fill="CCEDFF"/>
          </w:tcPr>
          <w:p>
            <w:pPr>
              <w:pStyle w:val="TableParagraph"/>
              <w:spacing w:line="200" w:lineRule="exact"/>
              <w:ind w:left="170"/>
              <w:rPr>
                <w:sz w:val="20"/>
              </w:rPr>
            </w:pPr>
            <w:r>
              <w:rPr>
                <w:spacing w:val="-2"/>
                <w:sz w:val="20"/>
              </w:rPr>
              <w:t>Total</w:t>
            </w:r>
            <w:r>
              <w:rPr>
                <w:spacing w:val="-4"/>
                <w:sz w:val="20"/>
              </w:rPr>
              <w:t> </w:t>
            </w:r>
            <w:r>
              <w:rPr>
                <w:spacing w:val="-2"/>
                <w:sz w:val="20"/>
              </w:rPr>
              <w:t>change</w:t>
            </w:r>
          </w:p>
        </w:tc>
        <w:tc>
          <w:tcPr>
            <w:tcW w:w="1921" w:type="dxa"/>
            <w:tcBorders>
              <w:top w:val="single" w:sz="8" w:space="0" w:color="000000"/>
              <w:bottom w:val="double" w:sz="8" w:space="0" w:color="000000"/>
            </w:tcBorders>
            <w:shd w:val="clear" w:color="auto" w:fill="CCEDFF"/>
          </w:tcPr>
          <w:p>
            <w:pPr>
              <w:pStyle w:val="TableParagraph"/>
              <w:rPr>
                <w:sz w:val="14"/>
              </w:rPr>
            </w:pPr>
          </w:p>
        </w:tc>
        <w:tc>
          <w:tcPr>
            <w:tcW w:w="511" w:type="dxa"/>
            <w:shd w:val="clear" w:color="auto" w:fill="CCEDFF"/>
          </w:tcPr>
          <w:p>
            <w:pPr>
              <w:pStyle w:val="TableParagraph"/>
              <w:spacing w:line="200" w:lineRule="exact"/>
              <w:ind w:left="35"/>
              <w:rPr>
                <w:sz w:val="20"/>
              </w:rPr>
            </w:pPr>
            <w:r>
              <w:rPr>
                <w:spacing w:val="-5"/>
                <w:sz w:val="20"/>
              </w:rPr>
              <w:t>8%</w:t>
            </w:r>
          </w:p>
        </w:tc>
        <w:tc>
          <w:tcPr>
            <w:tcW w:w="969" w:type="dxa"/>
            <w:tcBorders>
              <w:top w:val="single" w:sz="8" w:space="0" w:color="000000"/>
              <w:bottom w:val="double" w:sz="8" w:space="0" w:color="000000"/>
            </w:tcBorders>
            <w:shd w:val="clear" w:color="auto" w:fill="CCEDFF"/>
          </w:tcPr>
          <w:p>
            <w:pPr>
              <w:pStyle w:val="TableParagraph"/>
              <w:rPr>
                <w:sz w:val="14"/>
              </w:rPr>
            </w:pPr>
          </w:p>
        </w:tc>
        <w:tc>
          <w:tcPr>
            <w:tcW w:w="313" w:type="dxa"/>
            <w:tcBorders>
              <w:top w:val="single" w:sz="8" w:space="0" w:color="000000"/>
              <w:bottom w:val="double" w:sz="8" w:space="0" w:color="000000"/>
            </w:tcBorders>
            <w:shd w:val="clear" w:color="auto" w:fill="CCEDFF"/>
          </w:tcPr>
          <w:p>
            <w:pPr>
              <w:pStyle w:val="TableParagraph"/>
              <w:spacing w:line="200" w:lineRule="exact"/>
              <w:ind w:left="35"/>
              <w:rPr>
                <w:sz w:val="20"/>
              </w:rPr>
            </w:pPr>
            <w:r>
              <w:rPr>
                <w:spacing w:val="-5"/>
                <w:sz w:val="20"/>
              </w:rPr>
              <w:t>8%</w:t>
            </w:r>
          </w:p>
        </w:tc>
      </w:tr>
    </w:tbl>
    <w:p>
      <w:pPr>
        <w:pStyle w:val="BodyText"/>
        <w:spacing w:before="3"/>
      </w:pPr>
    </w:p>
    <w:p>
      <w:pPr>
        <w:spacing w:before="0"/>
        <w:ind w:left="220" w:right="0" w:firstLine="0"/>
        <w:jc w:val="left"/>
        <w:rPr>
          <w:i/>
          <w:sz w:val="20"/>
        </w:rPr>
      </w:pPr>
      <w:r>
        <w:rPr>
          <w:i/>
          <w:sz w:val="20"/>
        </w:rPr>
        <w:t>Amortization</w:t>
      </w:r>
      <w:r>
        <w:rPr>
          <w:i/>
          <w:spacing w:val="-4"/>
          <w:sz w:val="20"/>
        </w:rPr>
        <w:t> </w:t>
      </w:r>
      <w:r>
        <w:rPr>
          <w:i/>
          <w:sz w:val="20"/>
        </w:rPr>
        <w:t>of</w:t>
      </w:r>
      <w:r>
        <w:rPr>
          <w:i/>
          <w:spacing w:val="-3"/>
          <w:sz w:val="20"/>
        </w:rPr>
        <w:t> </w:t>
      </w:r>
      <w:r>
        <w:rPr>
          <w:i/>
          <w:sz w:val="20"/>
        </w:rPr>
        <w:t>Purchased</w:t>
      </w:r>
      <w:r>
        <w:rPr>
          <w:i/>
          <w:spacing w:val="-3"/>
          <w:sz w:val="20"/>
        </w:rPr>
        <w:t> </w:t>
      </w:r>
      <w:r>
        <w:rPr>
          <w:i/>
          <w:spacing w:val="-2"/>
          <w:sz w:val="20"/>
        </w:rPr>
        <w:t>Intangibles</w:t>
      </w:r>
    </w:p>
    <w:p>
      <w:pPr>
        <w:pStyle w:val="BodyText"/>
        <w:spacing w:line="249" w:lineRule="auto" w:before="210"/>
        <w:ind w:left="220" w:right="257" w:firstLine="540"/>
        <w:jc w:val="both"/>
      </w:pPr>
      <w:r>
        <w:rPr/>
        <w:t>During</w:t>
      </w:r>
      <w:r>
        <w:rPr>
          <w:spacing w:val="-6"/>
        </w:rPr>
        <w:t> </w:t>
      </w:r>
      <w:r>
        <w:rPr/>
        <w:t>the</w:t>
      </w:r>
      <w:r>
        <w:rPr>
          <w:spacing w:val="-4"/>
        </w:rPr>
        <w:t> </w:t>
      </w:r>
      <w:r>
        <w:rPr/>
        <w:t>last</w:t>
      </w:r>
      <w:r>
        <w:rPr>
          <w:spacing w:val="-4"/>
        </w:rPr>
        <w:t> </w:t>
      </w:r>
      <w:r>
        <w:rPr/>
        <w:t>several</w:t>
      </w:r>
      <w:r>
        <w:rPr>
          <w:spacing w:val="-5"/>
        </w:rPr>
        <w:t> </w:t>
      </w:r>
      <w:r>
        <w:rPr/>
        <w:t>years,</w:t>
      </w:r>
      <w:r>
        <w:rPr>
          <w:spacing w:val="-4"/>
        </w:rPr>
        <w:t> </w:t>
      </w:r>
      <w:r>
        <w:rPr/>
        <w:t>we</w:t>
      </w:r>
      <w:r>
        <w:rPr>
          <w:spacing w:val="-5"/>
        </w:rPr>
        <w:t> </w:t>
      </w:r>
      <w:r>
        <w:rPr/>
        <w:t>have</w:t>
      </w:r>
      <w:r>
        <w:rPr>
          <w:spacing w:val="-5"/>
        </w:rPr>
        <w:t> </w:t>
      </w:r>
      <w:r>
        <w:rPr/>
        <w:t>completed</w:t>
      </w:r>
      <w:r>
        <w:rPr>
          <w:spacing w:val="-4"/>
        </w:rPr>
        <w:t> </w:t>
      </w:r>
      <w:r>
        <w:rPr/>
        <w:t>a</w:t>
      </w:r>
      <w:r>
        <w:rPr>
          <w:spacing w:val="-4"/>
        </w:rPr>
        <w:t> </w:t>
      </w:r>
      <w:r>
        <w:rPr/>
        <w:t>number</w:t>
      </w:r>
      <w:r>
        <w:rPr>
          <w:spacing w:val="-4"/>
        </w:rPr>
        <w:t> </w:t>
      </w:r>
      <w:r>
        <w:rPr/>
        <w:t>of</w:t>
      </w:r>
      <w:r>
        <w:rPr>
          <w:spacing w:val="-4"/>
        </w:rPr>
        <w:t> </w:t>
      </w:r>
      <w:r>
        <w:rPr/>
        <w:t>business</w:t>
      </w:r>
      <w:r>
        <w:rPr>
          <w:spacing w:val="-4"/>
        </w:rPr>
        <w:t> </w:t>
      </w:r>
      <w:r>
        <w:rPr/>
        <w:t>combinations</w:t>
      </w:r>
      <w:r>
        <w:rPr>
          <w:spacing w:val="-4"/>
        </w:rPr>
        <w:t> </w:t>
      </w:r>
      <w:r>
        <w:rPr/>
        <w:t>and</w:t>
      </w:r>
      <w:r>
        <w:rPr>
          <w:spacing w:val="-4"/>
        </w:rPr>
        <w:t> </w:t>
      </w:r>
      <w:r>
        <w:rPr/>
        <w:t>asset</w:t>
      </w:r>
      <w:r>
        <w:rPr>
          <w:spacing w:val="-5"/>
        </w:rPr>
        <w:t> </w:t>
      </w:r>
      <w:r>
        <w:rPr/>
        <w:t>acquisitions.</w:t>
      </w:r>
      <w:r>
        <w:rPr>
          <w:spacing w:val="-13"/>
        </w:rPr>
        <w:t> </w:t>
      </w:r>
      <w:r>
        <w:rPr/>
        <w:t>As</w:t>
      </w:r>
      <w:r>
        <w:rPr>
          <w:spacing w:val="-4"/>
        </w:rPr>
        <w:t> </w:t>
      </w:r>
      <w:r>
        <w:rPr/>
        <w:t>a</w:t>
      </w:r>
      <w:r>
        <w:rPr>
          <w:spacing w:val="-4"/>
        </w:rPr>
        <w:t> </w:t>
      </w:r>
      <w:r>
        <w:rPr/>
        <w:t>result</w:t>
      </w:r>
      <w:r>
        <w:rPr>
          <w:spacing w:val="-5"/>
        </w:rPr>
        <w:t> </w:t>
      </w:r>
      <w:r>
        <w:rPr/>
        <w:t>of these</w:t>
      </w:r>
      <w:r>
        <w:rPr>
          <w:spacing w:val="-1"/>
        </w:rPr>
        <w:t> </w:t>
      </w:r>
      <w:r>
        <w:rPr/>
        <w:t>acquisitions,</w:t>
      </w:r>
      <w:r>
        <w:rPr>
          <w:spacing w:val="-1"/>
        </w:rPr>
        <w:t> </w:t>
      </w:r>
      <w:r>
        <w:rPr/>
        <w:t>we</w:t>
      </w:r>
      <w:r>
        <w:rPr>
          <w:spacing w:val="-1"/>
        </w:rPr>
        <w:t> </w:t>
      </w:r>
      <w:r>
        <w:rPr/>
        <w:t>purchased</w:t>
      </w:r>
      <w:r>
        <w:rPr>
          <w:spacing w:val="-1"/>
        </w:rPr>
        <w:t> </w:t>
      </w:r>
      <w:r>
        <w:rPr/>
        <w:t>intangible</w:t>
      </w:r>
      <w:r>
        <w:rPr>
          <w:spacing w:val="-1"/>
        </w:rPr>
        <w:t> </w:t>
      </w:r>
      <w:r>
        <w:rPr/>
        <w:t>assets</w:t>
      </w:r>
      <w:r>
        <w:rPr>
          <w:spacing w:val="-1"/>
        </w:rPr>
        <w:t> </w:t>
      </w:r>
      <w:r>
        <w:rPr/>
        <w:t>that</w:t>
      </w:r>
      <w:r>
        <w:rPr>
          <w:spacing w:val="-1"/>
        </w:rPr>
        <w:t> </w:t>
      </w:r>
      <w:r>
        <w:rPr/>
        <w:t>are</w:t>
      </w:r>
      <w:r>
        <w:rPr>
          <w:spacing w:val="-1"/>
        </w:rPr>
        <w:t> </w:t>
      </w:r>
      <w:r>
        <w:rPr/>
        <w:t>being</w:t>
      </w:r>
      <w:r>
        <w:rPr>
          <w:spacing w:val="-1"/>
        </w:rPr>
        <w:t> </w:t>
      </w:r>
      <w:r>
        <w:rPr/>
        <w:t>amortized</w:t>
      </w:r>
      <w:r>
        <w:rPr>
          <w:spacing w:val="-1"/>
        </w:rPr>
        <w:t> </w:t>
      </w:r>
      <w:r>
        <w:rPr/>
        <w:t>over</w:t>
      </w:r>
      <w:r>
        <w:rPr>
          <w:spacing w:val="-1"/>
        </w:rPr>
        <w:t> </w:t>
      </w:r>
      <w:r>
        <w:rPr/>
        <w:t>their</w:t>
      </w:r>
      <w:r>
        <w:rPr>
          <w:spacing w:val="-1"/>
        </w:rPr>
        <w:t> </w:t>
      </w:r>
      <w:r>
        <w:rPr/>
        <w:t>estimated</w:t>
      </w:r>
      <w:r>
        <w:rPr>
          <w:spacing w:val="-1"/>
        </w:rPr>
        <w:t> </w:t>
      </w:r>
      <w:r>
        <w:rPr/>
        <w:t>useful</w:t>
      </w:r>
      <w:r>
        <w:rPr>
          <w:spacing w:val="-1"/>
        </w:rPr>
        <w:t> </w:t>
      </w:r>
      <w:r>
        <w:rPr/>
        <w:t>lives</w:t>
      </w:r>
      <w:r>
        <w:rPr>
          <w:spacing w:val="-1"/>
        </w:rPr>
        <w:t> </w:t>
      </w:r>
      <w:r>
        <w:rPr/>
        <w:t>ranging</w:t>
      </w:r>
      <w:r>
        <w:rPr>
          <w:spacing w:val="-1"/>
        </w:rPr>
        <w:t> </w:t>
      </w:r>
      <w:r>
        <w:rPr/>
        <w:t>from</w:t>
      </w:r>
      <w:r>
        <w:rPr>
          <w:spacing w:val="-1"/>
        </w:rPr>
        <w:t> </w:t>
      </w:r>
      <w:r>
        <w:rPr/>
        <w:t>one</w:t>
      </w:r>
      <w:r>
        <w:rPr>
          <w:spacing w:val="-1"/>
        </w:rPr>
        <w:t> </w:t>
      </w:r>
      <w:r>
        <w:rPr/>
        <w:t>to fourteen years.</w:t>
      </w:r>
    </w:p>
    <w:p>
      <w:pPr>
        <w:pStyle w:val="BodyText"/>
        <w:spacing w:line="249" w:lineRule="auto" w:before="203"/>
        <w:ind w:left="220" w:right="257" w:firstLine="540"/>
        <w:jc w:val="both"/>
      </w:pPr>
      <w:r>
        <w:rPr>
          <w:spacing w:val="-2"/>
        </w:rPr>
        <w:t>Amortization</w:t>
      </w:r>
      <w:r>
        <w:rPr>
          <w:spacing w:val="-11"/>
        </w:rPr>
        <w:t> </w:t>
      </w:r>
      <w:r>
        <w:rPr>
          <w:spacing w:val="-2"/>
        </w:rPr>
        <w:t>expense</w:t>
      </w:r>
      <w:r>
        <w:rPr>
          <w:spacing w:val="-10"/>
        </w:rPr>
        <w:t> </w:t>
      </w:r>
      <w:r>
        <w:rPr>
          <w:spacing w:val="-2"/>
        </w:rPr>
        <w:t>remained</w:t>
      </w:r>
      <w:r>
        <w:rPr>
          <w:spacing w:val="-11"/>
        </w:rPr>
        <w:t> </w:t>
      </w:r>
      <w:r>
        <w:rPr>
          <w:spacing w:val="-2"/>
        </w:rPr>
        <w:t>relatively</w:t>
      </w:r>
      <w:r>
        <w:rPr>
          <w:spacing w:val="-10"/>
        </w:rPr>
        <w:t> </w:t>
      </w:r>
      <w:r>
        <w:rPr>
          <w:spacing w:val="-2"/>
        </w:rPr>
        <w:t>consistent</w:t>
      </w:r>
      <w:r>
        <w:rPr>
          <w:spacing w:val="-11"/>
        </w:rPr>
        <w:t> </w:t>
      </w:r>
      <w:r>
        <w:rPr>
          <w:spacing w:val="-2"/>
        </w:rPr>
        <w:t>during</w:t>
      </w:r>
      <w:r>
        <w:rPr>
          <w:spacing w:val="-10"/>
        </w:rPr>
        <w:t> </w:t>
      </w:r>
      <w:r>
        <w:rPr>
          <w:spacing w:val="-2"/>
        </w:rPr>
        <w:t>fiscal</w:t>
      </w:r>
      <w:r>
        <w:rPr>
          <w:spacing w:val="-11"/>
        </w:rPr>
        <w:t> </w:t>
      </w:r>
      <w:r>
        <w:rPr>
          <w:spacing w:val="-2"/>
        </w:rPr>
        <w:t>2017</w:t>
      </w:r>
      <w:r>
        <w:rPr>
          <w:spacing w:val="-10"/>
        </w:rPr>
        <w:t> </w:t>
      </w:r>
      <w:r>
        <w:rPr>
          <w:spacing w:val="-2"/>
        </w:rPr>
        <w:t>as</w:t>
      </w:r>
      <w:r>
        <w:rPr>
          <w:spacing w:val="-11"/>
        </w:rPr>
        <w:t> </w:t>
      </w:r>
      <w:r>
        <w:rPr>
          <w:spacing w:val="-2"/>
        </w:rPr>
        <w:t>compared</w:t>
      </w:r>
      <w:r>
        <w:rPr>
          <w:spacing w:val="-10"/>
        </w:rPr>
        <w:t> </w:t>
      </w:r>
      <w:r>
        <w:rPr>
          <w:spacing w:val="-2"/>
        </w:rPr>
        <w:t>to</w:t>
      </w:r>
      <w:r>
        <w:rPr>
          <w:spacing w:val="-11"/>
        </w:rPr>
        <w:t> </w:t>
      </w:r>
      <w:r>
        <w:rPr>
          <w:spacing w:val="-2"/>
        </w:rPr>
        <w:t>fiscal</w:t>
      </w:r>
      <w:r>
        <w:rPr>
          <w:spacing w:val="-10"/>
        </w:rPr>
        <w:t> </w:t>
      </w:r>
      <w:r>
        <w:rPr>
          <w:spacing w:val="-2"/>
        </w:rPr>
        <w:t>2016.</w:t>
      </w:r>
      <w:r>
        <w:rPr>
          <w:spacing w:val="18"/>
        </w:rPr>
        <w:t> </w:t>
      </w:r>
      <w:r>
        <w:rPr>
          <w:spacing w:val="-2"/>
        </w:rPr>
        <w:t>The</w:t>
      </w:r>
      <w:r>
        <w:rPr>
          <w:spacing w:val="-11"/>
        </w:rPr>
        <w:t> </w:t>
      </w:r>
      <w:r>
        <w:rPr>
          <w:spacing w:val="-2"/>
        </w:rPr>
        <w:t>decreases</w:t>
      </w:r>
      <w:r>
        <w:rPr>
          <w:spacing w:val="-10"/>
        </w:rPr>
        <w:t> </w:t>
      </w:r>
      <w:r>
        <w:rPr>
          <w:spacing w:val="-2"/>
        </w:rPr>
        <w:t>associated with</w:t>
      </w:r>
      <w:r>
        <w:rPr>
          <w:spacing w:val="-11"/>
        </w:rPr>
        <w:t> </w:t>
      </w:r>
      <w:r>
        <w:rPr>
          <w:spacing w:val="-2"/>
        </w:rPr>
        <w:t>certain</w:t>
      </w:r>
      <w:r>
        <w:rPr>
          <w:spacing w:val="-10"/>
        </w:rPr>
        <w:t> </w:t>
      </w:r>
      <w:r>
        <w:rPr>
          <w:spacing w:val="-2"/>
        </w:rPr>
        <w:t>fully</w:t>
      </w:r>
      <w:r>
        <w:rPr>
          <w:spacing w:val="-11"/>
        </w:rPr>
        <w:t> </w:t>
      </w:r>
      <w:r>
        <w:rPr>
          <w:spacing w:val="-2"/>
        </w:rPr>
        <w:t>amortized</w:t>
      </w:r>
      <w:r>
        <w:rPr>
          <w:spacing w:val="-10"/>
        </w:rPr>
        <w:t> </w:t>
      </w:r>
      <w:r>
        <w:rPr>
          <w:spacing w:val="-2"/>
        </w:rPr>
        <w:t>acquired</w:t>
      </w:r>
      <w:r>
        <w:rPr>
          <w:spacing w:val="-11"/>
        </w:rPr>
        <w:t> </w:t>
      </w:r>
      <w:r>
        <w:rPr>
          <w:spacing w:val="-2"/>
        </w:rPr>
        <w:t>intangible</w:t>
      </w:r>
      <w:r>
        <w:rPr>
          <w:spacing w:val="-10"/>
        </w:rPr>
        <w:t> </w:t>
      </w:r>
      <w:r>
        <w:rPr>
          <w:spacing w:val="-2"/>
        </w:rPr>
        <w:t>assets</w:t>
      </w:r>
      <w:r>
        <w:rPr>
          <w:spacing w:val="-11"/>
        </w:rPr>
        <w:t> </w:t>
      </w:r>
      <w:r>
        <w:rPr>
          <w:spacing w:val="-2"/>
        </w:rPr>
        <w:t>from</w:t>
      </w:r>
      <w:r>
        <w:rPr>
          <w:spacing w:val="-10"/>
        </w:rPr>
        <w:t> </w:t>
      </w:r>
      <w:r>
        <w:rPr>
          <w:spacing w:val="-2"/>
        </w:rPr>
        <w:t>previous</w:t>
      </w:r>
      <w:r>
        <w:rPr>
          <w:spacing w:val="-11"/>
        </w:rPr>
        <w:t> </w:t>
      </w:r>
      <w:r>
        <w:rPr>
          <w:spacing w:val="-2"/>
        </w:rPr>
        <w:t>acquisitions</w:t>
      </w:r>
      <w:r>
        <w:rPr>
          <w:spacing w:val="-10"/>
        </w:rPr>
        <w:t> </w:t>
      </w:r>
      <w:r>
        <w:rPr>
          <w:spacing w:val="-2"/>
        </w:rPr>
        <w:t>were</w:t>
      </w:r>
      <w:r>
        <w:rPr>
          <w:spacing w:val="-11"/>
        </w:rPr>
        <w:t> </w:t>
      </w:r>
      <w:r>
        <w:rPr>
          <w:spacing w:val="-2"/>
        </w:rPr>
        <w:t>offset</w:t>
      </w:r>
      <w:r>
        <w:rPr>
          <w:spacing w:val="-10"/>
        </w:rPr>
        <w:t> </w:t>
      </w:r>
      <w:r>
        <w:rPr>
          <w:spacing w:val="-2"/>
        </w:rPr>
        <w:t>by</w:t>
      </w:r>
      <w:r>
        <w:rPr>
          <w:spacing w:val="-11"/>
        </w:rPr>
        <w:t> </w:t>
      </w:r>
      <w:r>
        <w:rPr>
          <w:spacing w:val="-2"/>
        </w:rPr>
        <w:t>increases</w:t>
      </w:r>
      <w:r>
        <w:rPr>
          <w:spacing w:val="-10"/>
        </w:rPr>
        <w:t> </w:t>
      </w:r>
      <w:r>
        <w:rPr>
          <w:spacing w:val="-2"/>
        </w:rPr>
        <w:t>associated</w:t>
      </w:r>
      <w:r>
        <w:rPr>
          <w:spacing w:val="-11"/>
        </w:rPr>
        <w:t> </w:t>
      </w:r>
      <w:r>
        <w:rPr>
          <w:spacing w:val="-2"/>
        </w:rPr>
        <w:t>with</w:t>
      </w:r>
      <w:r>
        <w:rPr>
          <w:spacing w:val="-10"/>
        </w:rPr>
        <w:t> </w:t>
      </w:r>
      <w:r>
        <w:rPr>
          <w:spacing w:val="-2"/>
        </w:rPr>
        <w:t>intangible </w:t>
      </w:r>
      <w:r>
        <w:rPr/>
        <w:t>assets purchased through our acquisition of TubeMogul in the first quarter of fiscal 2017.</w:t>
      </w:r>
    </w:p>
    <w:p>
      <w:pPr>
        <w:pStyle w:val="BodyText"/>
        <w:spacing w:line="249" w:lineRule="auto" w:before="202"/>
        <w:ind w:left="220" w:right="257" w:firstLine="540"/>
        <w:jc w:val="both"/>
      </w:pPr>
      <w:r>
        <w:rPr/>
        <w:t>Amortization expense increased during fiscal 2016 as compared to fiscal 2015 primarily due to the write-off of certain acquired</w:t>
      </w:r>
      <w:r>
        <w:rPr>
          <w:spacing w:val="-3"/>
        </w:rPr>
        <w:t> </w:t>
      </w:r>
      <w:r>
        <w:rPr/>
        <w:t>intangible</w:t>
      </w:r>
      <w:r>
        <w:rPr>
          <w:spacing w:val="-3"/>
        </w:rPr>
        <w:t> </w:t>
      </w:r>
      <w:r>
        <w:rPr/>
        <w:t>assets</w:t>
      </w:r>
      <w:r>
        <w:rPr>
          <w:spacing w:val="-3"/>
        </w:rPr>
        <w:t> </w:t>
      </w:r>
      <w:r>
        <w:rPr/>
        <w:t>from</w:t>
      </w:r>
      <w:r>
        <w:rPr>
          <w:spacing w:val="-3"/>
        </w:rPr>
        <w:t> </w:t>
      </w:r>
      <w:r>
        <w:rPr/>
        <w:t>a</w:t>
      </w:r>
      <w:r>
        <w:rPr>
          <w:spacing w:val="-3"/>
        </w:rPr>
        <w:t> </w:t>
      </w:r>
      <w:r>
        <w:rPr/>
        <w:t>previous</w:t>
      </w:r>
      <w:r>
        <w:rPr>
          <w:spacing w:val="-2"/>
        </w:rPr>
        <w:t> </w:t>
      </w:r>
      <w:r>
        <w:rPr/>
        <w:t>acquisition</w:t>
      </w:r>
      <w:r>
        <w:rPr>
          <w:spacing w:val="-3"/>
        </w:rPr>
        <w:t> </w:t>
      </w:r>
      <w:r>
        <w:rPr/>
        <w:t>and</w:t>
      </w:r>
      <w:r>
        <w:rPr>
          <w:spacing w:val="-3"/>
        </w:rPr>
        <w:t> </w:t>
      </w:r>
      <w:r>
        <w:rPr/>
        <w:t>the</w:t>
      </w:r>
      <w:r>
        <w:rPr>
          <w:spacing w:val="-2"/>
        </w:rPr>
        <w:t> </w:t>
      </w:r>
      <w:r>
        <w:rPr/>
        <w:t>increase</w:t>
      </w:r>
      <w:r>
        <w:rPr>
          <w:spacing w:val="-3"/>
        </w:rPr>
        <w:t> </w:t>
      </w:r>
      <w:r>
        <w:rPr/>
        <w:t>in</w:t>
      </w:r>
      <w:r>
        <w:rPr>
          <w:spacing w:val="-3"/>
        </w:rPr>
        <w:t> </w:t>
      </w:r>
      <w:r>
        <w:rPr/>
        <w:t>amortization</w:t>
      </w:r>
      <w:r>
        <w:rPr>
          <w:spacing w:val="-2"/>
        </w:rPr>
        <w:t> </w:t>
      </w:r>
      <w:r>
        <w:rPr/>
        <w:t>expense</w:t>
      </w:r>
      <w:r>
        <w:rPr>
          <w:spacing w:val="-3"/>
        </w:rPr>
        <w:t> </w:t>
      </w:r>
      <w:r>
        <w:rPr/>
        <w:t>associated</w:t>
      </w:r>
      <w:r>
        <w:rPr>
          <w:spacing w:val="-3"/>
        </w:rPr>
        <w:t> </w:t>
      </w:r>
      <w:r>
        <w:rPr/>
        <w:t>with</w:t>
      </w:r>
      <w:r>
        <w:rPr>
          <w:spacing w:val="-3"/>
        </w:rPr>
        <w:t> </w:t>
      </w:r>
      <w:r>
        <w:rPr/>
        <w:t>intangible</w:t>
      </w:r>
      <w:r>
        <w:rPr>
          <w:spacing w:val="-3"/>
        </w:rPr>
        <w:t> </w:t>
      </w:r>
      <w:r>
        <w:rPr/>
        <w:t>assets purchased in fiscal 2016.</w:t>
      </w:r>
    </w:p>
    <w:p>
      <w:pPr>
        <w:pStyle w:val="Heading2"/>
        <w:spacing w:before="203"/>
      </w:pPr>
      <w:bookmarkStart w:name="Nonoperating Income (Expense)" w:id="45"/>
      <w:bookmarkEnd w:id="45"/>
      <w:r>
        <w:rPr>
          <w:b w:val="0"/>
        </w:rPr>
      </w:r>
      <w:r>
        <w:rPr/>
        <w:t>Non-Operating</w:t>
      </w:r>
      <w:r>
        <w:rPr>
          <w:spacing w:val="-4"/>
        </w:rPr>
        <w:t> </w:t>
      </w:r>
      <w:r>
        <w:rPr/>
        <w:t>Income</w:t>
      </w:r>
      <w:r>
        <w:rPr>
          <w:spacing w:val="-2"/>
        </w:rPr>
        <w:t> </w:t>
      </w:r>
      <w:r>
        <w:rPr/>
        <w:t>(Expense),</w:t>
      </w:r>
      <w:r>
        <w:rPr>
          <w:spacing w:val="-2"/>
        </w:rPr>
        <w:t> </w:t>
      </w:r>
      <w:r>
        <w:rPr/>
        <w:t>Net</w:t>
      </w:r>
      <w:r>
        <w:rPr>
          <w:spacing w:val="-2"/>
        </w:rPr>
        <w:t> </w:t>
      </w:r>
      <w:r>
        <w:rPr/>
        <w:t>(dollars</w:t>
      </w:r>
      <w:r>
        <w:rPr>
          <w:spacing w:val="-1"/>
        </w:rPr>
        <w:t> </w:t>
      </w:r>
      <w:r>
        <w:rPr/>
        <w:t>in</w:t>
      </w:r>
      <w:r>
        <w:rPr>
          <w:spacing w:val="-1"/>
        </w:rPr>
        <w:t> </w:t>
      </w:r>
      <w:r>
        <w:rPr>
          <w:spacing w:val="-2"/>
        </w:rPr>
        <w:t>millions)</w:t>
      </w:r>
    </w:p>
    <w:p>
      <w:pPr>
        <w:pStyle w:val="BodyText"/>
        <w:spacing w:before="132"/>
        <w:rPr>
          <w:b/>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5"/>
        <w:gridCol w:w="1624"/>
        <w:gridCol w:w="1180"/>
        <w:gridCol w:w="1224"/>
        <w:gridCol w:w="1181"/>
        <w:gridCol w:w="1057"/>
      </w:tblGrid>
      <w:tr>
        <w:trPr>
          <w:trHeight w:val="168" w:hRule="atLeast"/>
        </w:trPr>
        <w:tc>
          <w:tcPr>
            <w:tcW w:w="3975" w:type="dxa"/>
            <w:vMerge w:val="restart"/>
          </w:tcPr>
          <w:p>
            <w:pPr>
              <w:pStyle w:val="TableParagraph"/>
              <w:rPr>
                <w:sz w:val="18"/>
              </w:rPr>
            </w:pPr>
          </w:p>
        </w:tc>
        <w:tc>
          <w:tcPr>
            <w:tcW w:w="1624" w:type="dxa"/>
          </w:tcPr>
          <w:p>
            <w:pPr>
              <w:pStyle w:val="TableParagraph"/>
              <w:spacing w:line="149" w:lineRule="exact"/>
              <w:ind w:left="815"/>
              <w:rPr>
                <w:b/>
                <w:sz w:val="16"/>
              </w:rPr>
            </w:pPr>
            <w:r>
              <w:rPr>
                <w:b/>
                <w:spacing w:val="-2"/>
                <w:sz w:val="16"/>
              </w:rPr>
              <w:t>Fiscal</w:t>
            </w:r>
          </w:p>
        </w:tc>
        <w:tc>
          <w:tcPr>
            <w:tcW w:w="1180" w:type="dxa"/>
          </w:tcPr>
          <w:p>
            <w:pPr>
              <w:pStyle w:val="TableParagraph"/>
              <w:spacing w:line="149" w:lineRule="exact"/>
              <w:ind w:left="361"/>
              <w:rPr>
                <w:b/>
                <w:sz w:val="16"/>
              </w:rPr>
            </w:pPr>
            <w:r>
              <w:rPr>
                <w:b/>
                <w:spacing w:val="-2"/>
                <w:sz w:val="16"/>
              </w:rPr>
              <w:t>Fiscal</w:t>
            </w:r>
          </w:p>
        </w:tc>
        <w:tc>
          <w:tcPr>
            <w:tcW w:w="1224" w:type="dxa"/>
          </w:tcPr>
          <w:p>
            <w:pPr>
              <w:pStyle w:val="TableParagraph"/>
              <w:spacing w:line="149" w:lineRule="exact"/>
              <w:ind w:left="351"/>
              <w:rPr>
                <w:b/>
                <w:sz w:val="16"/>
              </w:rPr>
            </w:pPr>
            <w:r>
              <w:rPr>
                <w:b/>
                <w:spacing w:val="-2"/>
                <w:sz w:val="16"/>
              </w:rPr>
              <w:t>Fiscal</w:t>
            </w:r>
          </w:p>
        </w:tc>
        <w:tc>
          <w:tcPr>
            <w:tcW w:w="1181" w:type="dxa"/>
          </w:tcPr>
          <w:p>
            <w:pPr>
              <w:pStyle w:val="TableParagraph"/>
              <w:spacing w:line="149" w:lineRule="exact"/>
              <w:ind w:left="134"/>
              <w:rPr>
                <w:b/>
                <w:sz w:val="16"/>
              </w:rPr>
            </w:pPr>
            <w:r>
              <w:rPr>
                <w:b/>
                <w:sz w:val="16"/>
              </w:rPr>
              <w:t>% </w:t>
            </w:r>
            <w:r>
              <w:rPr>
                <w:b/>
                <w:spacing w:val="-2"/>
                <w:sz w:val="16"/>
              </w:rPr>
              <w:t>Change</w:t>
            </w:r>
          </w:p>
        </w:tc>
        <w:tc>
          <w:tcPr>
            <w:tcW w:w="1057" w:type="dxa"/>
          </w:tcPr>
          <w:p>
            <w:pPr>
              <w:pStyle w:val="TableParagraph"/>
              <w:spacing w:line="149" w:lineRule="exact"/>
              <w:ind w:left="133"/>
              <w:rPr>
                <w:b/>
                <w:sz w:val="16"/>
              </w:rPr>
            </w:pPr>
            <w:r>
              <w:rPr>
                <w:b/>
                <w:sz w:val="16"/>
              </w:rPr>
              <w:t>% </w:t>
            </w:r>
            <w:r>
              <w:rPr>
                <w:b/>
                <w:spacing w:val="-2"/>
                <w:sz w:val="16"/>
              </w:rPr>
              <w:t>Change</w:t>
            </w:r>
          </w:p>
        </w:tc>
      </w:tr>
      <w:tr>
        <w:trPr>
          <w:trHeight w:val="205" w:hRule="atLeast"/>
        </w:trPr>
        <w:tc>
          <w:tcPr>
            <w:tcW w:w="3975" w:type="dxa"/>
            <w:vMerge/>
            <w:tcBorders>
              <w:top w:val="nil"/>
            </w:tcBorders>
          </w:tcPr>
          <w:p>
            <w:pPr>
              <w:rPr>
                <w:sz w:val="2"/>
                <w:szCs w:val="2"/>
              </w:rPr>
            </w:pPr>
          </w:p>
        </w:tc>
        <w:tc>
          <w:tcPr>
            <w:tcW w:w="1624" w:type="dxa"/>
            <w:tcBorders>
              <w:bottom w:val="single" w:sz="8" w:space="0" w:color="000000"/>
            </w:tcBorders>
          </w:tcPr>
          <w:p>
            <w:pPr>
              <w:pStyle w:val="TableParagraph"/>
              <w:spacing w:line="169" w:lineRule="exact"/>
              <w:ind w:left="855"/>
              <w:rPr>
                <w:b/>
                <w:sz w:val="16"/>
              </w:rPr>
            </w:pPr>
            <w:r>
              <w:rPr>
                <w:b/>
                <w:spacing w:val="-4"/>
                <w:sz w:val="16"/>
              </w:rPr>
              <w:t>2017</w:t>
            </w:r>
          </w:p>
        </w:tc>
        <w:tc>
          <w:tcPr>
            <w:tcW w:w="1180" w:type="dxa"/>
            <w:tcBorders>
              <w:bottom w:val="single" w:sz="8" w:space="0" w:color="000000"/>
            </w:tcBorders>
          </w:tcPr>
          <w:p>
            <w:pPr>
              <w:pStyle w:val="TableParagraph"/>
              <w:spacing w:line="169" w:lineRule="exact"/>
              <w:ind w:left="8" w:right="65"/>
              <w:jc w:val="center"/>
              <w:rPr>
                <w:b/>
                <w:sz w:val="16"/>
              </w:rPr>
            </w:pPr>
            <w:r>
              <w:rPr>
                <w:b/>
                <w:spacing w:val="-4"/>
                <w:sz w:val="16"/>
              </w:rPr>
              <w:t>2016</w:t>
            </w:r>
          </w:p>
        </w:tc>
        <w:tc>
          <w:tcPr>
            <w:tcW w:w="1224" w:type="dxa"/>
            <w:tcBorders>
              <w:bottom w:val="single" w:sz="8" w:space="0" w:color="000000"/>
            </w:tcBorders>
          </w:tcPr>
          <w:p>
            <w:pPr>
              <w:pStyle w:val="TableParagraph"/>
              <w:spacing w:line="169" w:lineRule="exact"/>
              <w:ind w:left="391"/>
              <w:rPr>
                <w:b/>
                <w:sz w:val="16"/>
              </w:rPr>
            </w:pPr>
            <w:r>
              <w:rPr>
                <w:b/>
                <w:spacing w:val="-4"/>
                <w:sz w:val="16"/>
              </w:rPr>
              <w:t>2015</w:t>
            </w:r>
          </w:p>
        </w:tc>
        <w:tc>
          <w:tcPr>
            <w:tcW w:w="1181" w:type="dxa"/>
            <w:tcBorders>
              <w:bottom w:val="single" w:sz="8" w:space="0" w:color="000000"/>
            </w:tcBorders>
          </w:tcPr>
          <w:p>
            <w:pPr>
              <w:pStyle w:val="TableParagraph"/>
              <w:spacing w:line="169" w:lineRule="exact"/>
              <w:ind w:left="150"/>
              <w:rPr>
                <w:b/>
                <w:sz w:val="16"/>
              </w:rPr>
            </w:pPr>
            <w:r>
              <w:rPr>
                <w:b/>
                <w:sz w:val="16"/>
              </w:rPr>
              <w:t>2017-</w:t>
            </w:r>
            <w:r>
              <w:rPr>
                <w:b/>
                <w:spacing w:val="-4"/>
                <w:sz w:val="16"/>
              </w:rPr>
              <w:t>2016</w:t>
            </w:r>
          </w:p>
        </w:tc>
        <w:tc>
          <w:tcPr>
            <w:tcW w:w="1057" w:type="dxa"/>
            <w:tcBorders>
              <w:bottom w:val="single" w:sz="8" w:space="0" w:color="000000"/>
            </w:tcBorders>
          </w:tcPr>
          <w:p>
            <w:pPr>
              <w:pStyle w:val="TableParagraph"/>
              <w:spacing w:line="169" w:lineRule="exact"/>
              <w:ind w:left="148"/>
              <w:rPr>
                <w:b/>
                <w:sz w:val="16"/>
              </w:rPr>
            </w:pPr>
            <w:r>
              <w:rPr>
                <w:b/>
                <w:sz w:val="16"/>
              </w:rPr>
              <w:t>2016-</w:t>
            </w:r>
            <w:r>
              <w:rPr>
                <w:b/>
                <w:spacing w:val="-4"/>
                <w:sz w:val="16"/>
              </w:rPr>
              <w:t>2015</w:t>
            </w:r>
          </w:p>
        </w:tc>
      </w:tr>
      <w:tr>
        <w:trPr>
          <w:trHeight w:val="270" w:hRule="atLeast"/>
        </w:trPr>
        <w:tc>
          <w:tcPr>
            <w:tcW w:w="3975" w:type="dxa"/>
            <w:shd w:val="clear" w:color="auto" w:fill="CCEDFF"/>
          </w:tcPr>
          <w:p>
            <w:pPr>
              <w:pStyle w:val="TableParagraph"/>
              <w:spacing w:line="222" w:lineRule="exact"/>
              <w:ind w:left="50"/>
              <w:rPr>
                <w:sz w:val="20"/>
              </w:rPr>
            </w:pPr>
            <w:r>
              <w:rPr>
                <w:sz w:val="20"/>
              </w:rPr>
              <w:t>Interest and other income (expense), </w:t>
            </w:r>
            <w:r>
              <w:rPr>
                <w:spacing w:val="-5"/>
                <w:sz w:val="20"/>
              </w:rPr>
              <w:t>net</w:t>
            </w:r>
          </w:p>
        </w:tc>
        <w:tc>
          <w:tcPr>
            <w:tcW w:w="1624" w:type="dxa"/>
            <w:tcBorders>
              <w:top w:val="single" w:sz="8" w:space="0" w:color="000000"/>
            </w:tcBorders>
            <w:shd w:val="clear" w:color="auto" w:fill="CCEDFF"/>
          </w:tcPr>
          <w:p>
            <w:pPr>
              <w:pStyle w:val="TableParagraph"/>
              <w:tabs>
                <w:tab w:pos="969" w:val="left" w:leader="none"/>
              </w:tabs>
              <w:spacing w:line="222" w:lineRule="exact"/>
              <w:ind w:left="535"/>
              <w:rPr>
                <w:sz w:val="20"/>
              </w:rPr>
            </w:pPr>
            <w:r>
              <w:rPr>
                <w:spacing w:val="-10"/>
                <w:sz w:val="20"/>
              </w:rPr>
              <w:t>$</w:t>
            </w:r>
            <w:r>
              <w:rPr>
                <w:sz w:val="20"/>
              </w:rPr>
              <w:tab/>
            </w:r>
            <w:r>
              <w:rPr>
                <w:spacing w:val="-4"/>
                <w:sz w:val="20"/>
              </w:rPr>
              <w:t>36.4</w:t>
            </w:r>
          </w:p>
        </w:tc>
        <w:tc>
          <w:tcPr>
            <w:tcW w:w="1180" w:type="dxa"/>
            <w:tcBorders>
              <w:top w:val="single" w:sz="8" w:space="0" w:color="000000"/>
            </w:tcBorders>
            <w:shd w:val="clear" w:color="auto" w:fill="CCEDFF"/>
          </w:tcPr>
          <w:p>
            <w:pPr>
              <w:pStyle w:val="TableParagraph"/>
              <w:tabs>
                <w:tab w:pos="525" w:val="left" w:leader="none"/>
              </w:tabs>
              <w:spacing w:line="222" w:lineRule="exact"/>
              <w:ind w:left="71"/>
              <w:rPr>
                <w:sz w:val="20"/>
              </w:rPr>
            </w:pPr>
            <w:r>
              <w:rPr>
                <w:spacing w:val="-10"/>
                <w:sz w:val="20"/>
              </w:rPr>
              <w:t>$</w:t>
            </w:r>
            <w:r>
              <w:rPr>
                <w:sz w:val="20"/>
              </w:rPr>
              <w:tab/>
            </w:r>
            <w:r>
              <w:rPr>
                <w:spacing w:val="-4"/>
                <w:sz w:val="20"/>
              </w:rPr>
              <w:t>13.5</w:t>
            </w:r>
          </w:p>
        </w:tc>
        <w:tc>
          <w:tcPr>
            <w:tcW w:w="1224" w:type="dxa"/>
            <w:tcBorders>
              <w:top w:val="single" w:sz="8" w:space="0" w:color="000000"/>
            </w:tcBorders>
            <w:shd w:val="clear" w:color="auto" w:fill="CCEDFF"/>
          </w:tcPr>
          <w:p>
            <w:pPr>
              <w:pStyle w:val="TableParagraph"/>
              <w:tabs>
                <w:tab w:pos="505" w:val="left" w:leader="none"/>
              </w:tabs>
              <w:spacing w:line="222" w:lineRule="exact"/>
              <w:ind w:left="71"/>
              <w:rPr>
                <w:sz w:val="20"/>
              </w:rPr>
            </w:pPr>
            <w:r>
              <w:rPr>
                <w:spacing w:val="-10"/>
                <w:sz w:val="20"/>
              </w:rPr>
              <w:t>$</w:t>
            </w:r>
            <w:r>
              <w:rPr>
                <w:sz w:val="20"/>
              </w:rPr>
              <w:tab/>
            </w:r>
            <w:r>
              <w:rPr>
                <w:spacing w:val="-4"/>
                <w:sz w:val="20"/>
              </w:rPr>
              <w:t>33.9</w:t>
            </w:r>
          </w:p>
        </w:tc>
        <w:tc>
          <w:tcPr>
            <w:tcW w:w="1181" w:type="dxa"/>
            <w:tcBorders>
              <w:top w:val="single" w:sz="8" w:space="0" w:color="000000"/>
            </w:tcBorders>
            <w:shd w:val="clear" w:color="auto" w:fill="CCEDFF"/>
          </w:tcPr>
          <w:p>
            <w:pPr>
              <w:pStyle w:val="TableParagraph"/>
              <w:spacing w:line="222" w:lineRule="exact"/>
              <w:ind w:right="132"/>
              <w:jc w:val="right"/>
              <w:rPr>
                <w:sz w:val="20"/>
              </w:rPr>
            </w:pPr>
            <w:r>
              <w:rPr>
                <w:sz w:val="20"/>
              </w:rPr>
              <w:t>170</w:t>
            </w:r>
            <w:r>
              <w:rPr>
                <w:spacing w:val="18"/>
                <w:sz w:val="20"/>
              </w:rPr>
              <w:t> </w:t>
            </w:r>
            <w:r>
              <w:rPr>
                <w:spacing w:val="-10"/>
                <w:sz w:val="20"/>
              </w:rPr>
              <w:t>%</w:t>
            </w:r>
          </w:p>
        </w:tc>
        <w:tc>
          <w:tcPr>
            <w:tcW w:w="1057" w:type="dxa"/>
            <w:tcBorders>
              <w:top w:val="single" w:sz="8" w:space="0" w:color="000000"/>
            </w:tcBorders>
            <w:shd w:val="clear" w:color="auto" w:fill="CCEDFF"/>
          </w:tcPr>
          <w:p>
            <w:pPr>
              <w:pStyle w:val="TableParagraph"/>
              <w:spacing w:line="222" w:lineRule="exact"/>
              <w:ind w:right="9"/>
              <w:jc w:val="right"/>
              <w:rPr>
                <w:sz w:val="20"/>
              </w:rPr>
            </w:pPr>
            <w:r>
              <w:rPr>
                <w:spacing w:val="-2"/>
                <w:sz w:val="20"/>
              </w:rPr>
              <w:t>(60)%</w:t>
            </w:r>
          </w:p>
        </w:tc>
      </w:tr>
      <w:tr>
        <w:trPr>
          <w:trHeight w:val="280" w:hRule="atLeast"/>
        </w:trPr>
        <w:tc>
          <w:tcPr>
            <w:tcW w:w="3975" w:type="dxa"/>
          </w:tcPr>
          <w:p>
            <w:pPr>
              <w:pStyle w:val="TableParagraph"/>
              <w:spacing w:before="2"/>
              <w:ind w:left="170"/>
              <w:rPr>
                <w:sz w:val="20"/>
              </w:rPr>
            </w:pPr>
            <w:r>
              <w:rPr>
                <w:sz w:val="20"/>
              </w:rPr>
              <w:t>Percentage of total </w:t>
            </w:r>
            <w:r>
              <w:rPr>
                <w:spacing w:val="-2"/>
                <w:sz w:val="20"/>
              </w:rPr>
              <w:t>revenue</w:t>
            </w:r>
          </w:p>
        </w:tc>
        <w:tc>
          <w:tcPr>
            <w:tcW w:w="1624" w:type="dxa"/>
          </w:tcPr>
          <w:p>
            <w:pPr>
              <w:pStyle w:val="TableParagraph"/>
              <w:spacing w:before="2"/>
              <w:ind w:right="128"/>
              <w:jc w:val="right"/>
              <w:rPr>
                <w:sz w:val="20"/>
              </w:rPr>
            </w:pPr>
            <w:r>
              <w:rPr>
                <w:spacing w:val="-5"/>
                <w:sz w:val="20"/>
              </w:rPr>
              <w:t>**</w:t>
            </w:r>
          </w:p>
        </w:tc>
        <w:tc>
          <w:tcPr>
            <w:tcW w:w="1180" w:type="dxa"/>
          </w:tcPr>
          <w:p>
            <w:pPr>
              <w:pStyle w:val="TableParagraph"/>
              <w:spacing w:before="2"/>
              <w:ind w:right="128"/>
              <w:jc w:val="right"/>
              <w:rPr>
                <w:sz w:val="20"/>
              </w:rPr>
            </w:pPr>
            <w:r>
              <w:rPr>
                <w:spacing w:val="-5"/>
                <w:sz w:val="20"/>
              </w:rPr>
              <w:t>**</w:t>
            </w:r>
          </w:p>
        </w:tc>
        <w:tc>
          <w:tcPr>
            <w:tcW w:w="1224" w:type="dxa"/>
          </w:tcPr>
          <w:p>
            <w:pPr>
              <w:pStyle w:val="TableParagraph"/>
              <w:spacing w:before="2"/>
              <w:ind w:right="192"/>
              <w:jc w:val="right"/>
              <w:rPr>
                <w:sz w:val="20"/>
              </w:rPr>
            </w:pPr>
            <w:r>
              <w:rPr>
                <w:spacing w:val="-5"/>
                <w:sz w:val="20"/>
              </w:rPr>
              <w:t>**</w:t>
            </w:r>
          </w:p>
        </w:tc>
        <w:tc>
          <w:tcPr>
            <w:tcW w:w="1181" w:type="dxa"/>
          </w:tcPr>
          <w:p>
            <w:pPr>
              <w:pStyle w:val="TableParagraph"/>
              <w:rPr>
                <w:sz w:val="18"/>
              </w:rPr>
            </w:pPr>
          </w:p>
        </w:tc>
        <w:tc>
          <w:tcPr>
            <w:tcW w:w="1057" w:type="dxa"/>
          </w:tcPr>
          <w:p>
            <w:pPr>
              <w:pStyle w:val="TableParagraph"/>
              <w:rPr>
                <w:sz w:val="18"/>
              </w:rPr>
            </w:pPr>
          </w:p>
        </w:tc>
      </w:tr>
      <w:tr>
        <w:trPr>
          <w:trHeight w:val="280" w:hRule="atLeast"/>
        </w:trPr>
        <w:tc>
          <w:tcPr>
            <w:tcW w:w="3975" w:type="dxa"/>
            <w:shd w:val="clear" w:color="auto" w:fill="CCEDFF"/>
          </w:tcPr>
          <w:p>
            <w:pPr>
              <w:pStyle w:val="TableParagraph"/>
              <w:spacing w:before="2"/>
              <w:ind w:left="50"/>
              <w:rPr>
                <w:sz w:val="20"/>
              </w:rPr>
            </w:pPr>
            <w:r>
              <w:rPr>
                <w:sz w:val="20"/>
              </w:rPr>
              <w:t>Interest </w:t>
            </w:r>
            <w:r>
              <w:rPr>
                <w:spacing w:val="-2"/>
                <w:sz w:val="20"/>
              </w:rPr>
              <w:t>expense</w:t>
            </w:r>
          </w:p>
        </w:tc>
        <w:tc>
          <w:tcPr>
            <w:tcW w:w="1624" w:type="dxa"/>
            <w:shd w:val="clear" w:color="auto" w:fill="CCEDFF"/>
          </w:tcPr>
          <w:p>
            <w:pPr>
              <w:pStyle w:val="TableParagraph"/>
              <w:spacing w:before="2"/>
              <w:ind w:right="234"/>
              <w:jc w:val="right"/>
              <w:rPr>
                <w:sz w:val="20"/>
              </w:rPr>
            </w:pPr>
            <w:r>
              <w:rPr>
                <w:spacing w:val="-2"/>
                <w:sz w:val="20"/>
              </w:rPr>
              <w:t>(74.4)</w:t>
            </w:r>
          </w:p>
        </w:tc>
        <w:tc>
          <w:tcPr>
            <w:tcW w:w="1180" w:type="dxa"/>
            <w:shd w:val="clear" w:color="auto" w:fill="CCEDFF"/>
          </w:tcPr>
          <w:p>
            <w:pPr>
              <w:pStyle w:val="TableParagraph"/>
              <w:spacing w:before="2"/>
              <w:ind w:left="460"/>
              <w:rPr>
                <w:sz w:val="20"/>
              </w:rPr>
            </w:pPr>
            <w:r>
              <w:rPr>
                <w:spacing w:val="-2"/>
                <w:sz w:val="20"/>
              </w:rPr>
              <w:t>(70.4)</w:t>
            </w:r>
          </w:p>
        </w:tc>
        <w:tc>
          <w:tcPr>
            <w:tcW w:w="1224" w:type="dxa"/>
            <w:shd w:val="clear" w:color="auto" w:fill="CCEDFF"/>
          </w:tcPr>
          <w:p>
            <w:pPr>
              <w:pStyle w:val="TableParagraph"/>
              <w:spacing w:before="2"/>
              <w:ind w:left="440"/>
              <w:rPr>
                <w:sz w:val="20"/>
              </w:rPr>
            </w:pPr>
            <w:r>
              <w:rPr>
                <w:spacing w:val="-2"/>
                <w:sz w:val="20"/>
              </w:rPr>
              <w:t>(64.2)</w:t>
            </w:r>
          </w:p>
        </w:tc>
        <w:tc>
          <w:tcPr>
            <w:tcW w:w="1181" w:type="dxa"/>
            <w:shd w:val="clear" w:color="auto" w:fill="CCEDFF"/>
          </w:tcPr>
          <w:p>
            <w:pPr>
              <w:pStyle w:val="TableParagraph"/>
              <w:spacing w:before="2"/>
              <w:ind w:right="132"/>
              <w:jc w:val="right"/>
              <w:rPr>
                <w:sz w:val="20"/>
              </w:rPr>
            </w:pPr>
            <w:r>
              <w:rPr>
                <w:sz w:val="20"/>
              </w:rPr>
              <w:t>6</w:t>
            </w:r>
            <w:r>
              <w:rPr>
                <w:spacing w:val="17"/>
                <w:sz w:val="20"/>
              </w:rPr>
              <w:t> </w:t>
            </w:r>
            <w:r>
              <w:rPr>
                <w:spacing w:val="-10"/>
                <w:sz w:val="20"/>
              </w:rPr>
              <w:t>%</w:t>
            </w:r>
          </w:p>
        </w:tc>
        <w:tc>
          <w:tcPr>
            <w:tcW w:w="1057" w:type="dxa"/>
            <w:shd w:val="clear" w:color="auto" w:fill="CCEDFF"/>
          </w:tcPr>
          <w:p>
            <w:pPr>
              <w:pStyle w:val="TableParagraph"/>
              <w:spacing w:before="2"/>
              <w:ind w:right="9"/>
              <w:jc w:val="right"/>
              <w:rPr>
                <w:sz w:val="20"/>
              </w:rPr>
            </w:pPr>
            <w:r>
              <w:rPr>
                <w:sz w:val="20"/>
              </w:rPr>
              <w:t>10</w:t>
            </w:r>
            <w:r>
              <w:rPr>
                <w:spacing w:val="17"/>
                <w:sz w:val="20"/>
              </w:rPr>
              <w:t> </w:t>
            </w:r>
            <w:r>
              <w:rPr>
                <w:spacing w:val="-10"/>
                <w:sz w:val="20"/>
              </w:rPr>
              <w:t>%</w:t>
            </w:r>
          </w:p>
        </w:tc>
      </w:tr>
      <w:tr>
        <w:trPr>
          <w:trHeight w:val="280" w:hRule="atLeast"/>
        </w:trPr>
        <w:tc>
          <w:tcPr>
            <w:tcW w:w="3975" w:type="dxa"/>
          </w:tcPr>
          <w:p>
            <w:pPr>
              <w:pStyle w:val="TableParagraph"/>
              <w:spacing w:before="2"/>
              <w:ind w:left="170"/>
              <w:rPr>
                <w:sz w:val="20"/>
              </w:rPr>
            </w:pPr>
            <w:r>
              <w:rPr>
                <w:sz w:val="20"/>
              </w:rPr>
              <w:t>Percentage of total </w:t>
            </w:r>
            <w:r>
              <w:rPr>
                <w:spacing w:val="-2"/>
                <w:sz w:val="20"/>
              </w:rPr>
              <w:t>revenue</w:t>
            </w:r>
          </w:p>
        </w:tc>
        <w:tc>
          <w:tcPr>
            <w:tcW w:w="1624" w:type="dxa"/>
          </w:tcPr>
          <w:p>
            <w:pPr>
              <w:pStyle w:val="TableParagraph"/>
              <w:spacing w:before="2"/>
              <w:ind w:right="67"/>
              <w:jc w:val="right"/>
              <w:rPr>
                <w:sz w:val="20"/>
              </w:rPr>
            </w:pPr>
            <w:r>
              <w:rPr>
                <w:spacing w:val="-4"/>
                <w:sz w:val="20"/>
              </w:rPr>
              <w:t>(1)%</w:t>
            </w:r>
          </w:p>
        </w:tc>
        <w:tc>
          <w:tcPr>
            <w:tcW w:w="1180" w:type="dxa"/>
          </w:tcPr>
          <w:p>
            <w:pPr>
              <w:pStyle w:val="TableParagraph"/>
              <w:spacing w:before="2"/>
              <w:ind w:right="67"/>
              <w:jc w:val="right"/>
              <w:rPr>
                <w:sz w:val="20"/>
              </w:rPr>
            </w:pPr>
            <w:r>
              <w:rPr>
                <w:spacing w:val="-4"/>
                <w:sz w:val="20"/>
              </w:rPr>
              <w:t>(1)%</w:t>
            </w:r>
          </w:p>
        </w:tc>
        <w:tc>
          <w:tcPr>
            <w:tcW w:w="1224" w:type="dxa"/>
          </w:tcPr>
          <w:p>
            <w:pPr>
              <w:pStyle w:val="TableParagraph"/>
              <w:spacing w:before="2"/>
              <w:ind w:right="131"/>
              <w:jc w:val="right"/>
              <w:rPr>
                <w:sz w:val="20"/>
              </w:rPr>
            </w:pPr>
            <w:r>
              <w:rPr>
                <w:spacing w:val="-4"/>
                <w:sz w:val="20"/>
              </w:rPr>
              <w:t>(1)%</w:t>
            </w:r>
          </w:p>
        </w:tc>
        <w:tc>
          <w:tcPr>
            <w:tcW w:w="1181" w:type="dxa"/>
          </w:tcPr>
          <w:p>
            <w:pPr>
              <w:pStyle w:val="TableParagraph"/>
              <w:rPr>
                <w:sz w:val="18"/>
              </w:rPr>
            </w:pPr>
          </w:p>
        </w:tc>
        <w:tc>
          <w:tcPr>
            <w:tcW w:w="1057" w:type="dxa"/>
          </w:tcPr>
          <w:p>
            <w:pPr>
              <w:pStyle w:val="TableParagraph"/>
              <w:rPr>
                <w:sz w:val="18"/>
              </w:rPr>
            </w:pPr>
          </w:p>
        </w:tc>
      </w:tr>
      <w:tr>
        <w:trPr>
          <w:trHeight w:val="280" w:hRule="atLeast"/>
        </w:trPr>
        <w:tc>
          <w:tcPr>
            <w:tcW w:w="3975" w:type="dxa"/>
            <w:shd w:val="clear" w:color="auto" w:fill="CCEDFF"/>
          </w:tcPr>
          <w:p>
            <w:pPr>
              <w:pStyle w:val="TableParagraph"/>
              <w:spacing w:before="2"/>
              <w:ind w:left="50"/>
              <w:rPr>
                <w:sz w:val="20"/>
              </w:rPr>
            </w:pPr>
            <w:r>
              <w:rPr>
                <w:sz w:val="20"/>
              </w:rPr>
              <w:t>Investment</w:t>
            </w:r>
            <w:r>
              <w:rPr>
                <w:spacing w:val="-4"/>
                <w:sz w:val="20"/>
              </w:rPr>
              <w:t> </w:t>
            </w:r>
            <w:r>
              <w:rPr>
                <w:sz w:val="20"/>
              </w:rPr>
              <w:t>gains</w:t>
            </w:r>
            <w:r>
              <w:rPr>
                <w:spacing w:val="-2"/>
                <w:sz w:val="20"/>
              </w:rPr>
              <w:t> </w:t>
            </w:r>
            <w:r>
              <w:rPr>
                <w:sz w:val="20"/>
              </w:rPr>
              <w:t>(losses),</w:t>
            </w:r>
            <w:r>
              <w:rPr>
                <w:spacing w:val="-1"/>
                <w:sz w:val="20"/>
              </w:rPr>
              <w:t> </w:t>
            </w:r>
            <w:r>
              <w:rPr>
                <w:spacing w:val="-5"/>
                <w:sz w:val="20"/>
              </w:rPr>
              <w:t>net</w:t>
            </w:r>
          </w:p>
        </w:tc>
        <w:tc>
          <w:tcPr>
            <w:tcW w:w="1624" w:type="dxa"/>
            <w:shd w:val="clear" w:color="auto" w:fill="CCEDFF"/>
          </w:tcPr>
          <w:p>
            <w:pPr>
              <w:pStyle w:val="TableParagraph"/>
              <w:spacing w:before="2"/>
              <w:ind w:left="1070"/>
              <w:rPr>
                <w:sz w:val="20"/>
              </w:rPr>
            </w:pPr>
            <w:r>
              <w:rPr>
                <w:spacing w:val="-5"/>
                <w:sz w:val="20"/>
              </w:rPr>
              <w:t>7.5</w:t>
            </w:r>
          </w:p>
        </w:tc>
        <w:tc>
          <w:tcPr>
            <w:tcW w:w="1180" w:type="dxa"/>
            <w:shd w:val="clear" w:color="auto" w:fill="CCEDFF"/>
          </w:tcPr>
          <w:p>
            <w:pPr>
              <w:pStyle w:val="TableParagraph"/>
              <w:spacing w:before="2"/>
              <w:ind w:left="560"/>
              <w:rPr>
                <w:sz w:val="20"/>
              </w:rPr>
            </w:pPr>
            <w:r>
              <w:rPr>
                <w:spacing w:val="-2"/>
                <w:sz w:val="20"/>
              </w:rPr>
              <w:t>(1.6)</w:t>
            </w:r>
          </w:p>
        </w:tc>
        <w:tc>
          <w:tcPr>
            <w:tcW w:w="1224" w:type="dxa"/>
            <w:shd w:val="clear" w:color="auto" w:fill="CCEDFF"/>
          </w:tcPr>
          <w:p>
            <w:pPr>
              <w:pStyle w:val="TableParagraph"/>
              <w:spacing w:before="2"/>
              <w:ind w:left="606"/>
              <w:rPr>
                <w:sz w:val="20"/>
              </w:rPr>
            </w:pPr>
            <w:r>
              <w:rPr>
                <w:spacing w:val="-5"/>
                <w:sz w:val="20"/>
              </w:rPr>
              <w:t>1.0</w:t>
            </w:r>
          </w:p>
        </w:tc>
        <w:tc>
          <w:tcPr>
            <w:tcW w:w="1181" w:type="dxa"/>
            <w:shd w:val="clear" w:color="auto" w:fill="CCEDFF"/>
          </w:tcPr>
          <w:p>
            <w:pPr>
              <w:pStyle w:val="TableParagraph"/>
              <w:spacing w:before="2"/>
              <w:ind w:right="193"/>
              <w:jc w:val="right"/>
              <w:rPr>
                <w:sz w:val="20"/>
              </w:rPr>
            </w:pPr>
            <w:r>
              <w:rPr>
                <w:spacing w:val="-10"/>
                <w:sz w:val="20"/>
              </w:rPr>
              <w:t>*</w:t>
            </w:r>
          </w:p>
        </w:tc>
        <w:tc>
          <w:tcPr>
            <w:tcW w:w="1057" w:type="dxa"/>
            <w:shd w:val="clear" w:color="auto" w:fill="CCEDFF"/>
          </w:tcPr>
          <w:p>
            <w:pPr>
              <w:pStyle w:val="TableParagraph"/>
              <w:spacing w:before="2"/>
              <w:ind w:right="70"/>
              <w:jc w:val="right"/>
              <w:rPr>
                <w:sz w:val="20"/>
              </w:rPr>
            </w:pPr>
            <w:r>
              <w:rPr>
                <w:spacing w:val="-10"/>
                <w:sz w:val="20"/>
              </w:rPr>
              <w:t>*</w:t>
            </w:r>
          </w:p>
        </w:tc>
      </w:tr>
      <w:tr>
        <w:trPr>
          <w:trHeight w:val="270" w:hRule="atLeast"/>
        </w:trPr>
        <w:tc>
          <w:tcPr>
            <w:tcW w:w="3975" w:type="dxa"/>
          </w:tcPr>
          <w:p>
            <w:pPr>
              <w:pStyle w:val="TableParagraph"/>
              <w:spacing w:before="2"/>
              <w:ind w:left="170"/>
              <w:rPr>
                <w:sz w:val="20"/>
              </w:rPr>
            </w:pPr>
            <w:r>
              <w:rPr>
                <w:sz w:val="20"/>
              </w:rPr>
              <w:t>Percentage of total </w:t>
            </w:r>
            <w:r>
              <w:rPr>
                <w:spacing w:val="-2"/>
                <w:sz w:val="20"/>
              </w:rPr>
              <w:t>revenue</w:t>
            </w:r>
          </w:p>
        </w:tc>
        <w:tc>
          <w:tcPr>
            <w:tcW w:w="1624" w:type="dxa"/>
            <w:tcBorders>
              <w:bottom w:val="single" w:sz="8" w:space="0" w:color="000000"/>
            </w:tcBorders>
          </w:tcPr>
          <w:p>
            <w:pPr>
              <w:pStyle w:val="TableParagraph"/>
              <w:spacing w:before="2"/>
              <w:ind w:right="128"/>
              <w:jc w:val="right"/>
              <w:rPr>
                <w:sz w:val="20"/>
              </w:rPr>
            </w:pPr>
            <w:r>
              <w:rPr>
                <w:spacing w:val="-5"/>
                <w:sz w:val="20"/>
              </w:rPr>
              <w:t>**</w:t>
            </w:r>
          </w:p>
        </w:tc>
        <w:tc>
          <w:tcPr>
            <w:tcW w:w="1180" w:type="dxa"/>
            <w:tcBorders>
              <w:bottom w:val="single" w:sz="8" w:space="0" w:color="000000"/>
            </w:tcBorders>
          </w:tcPr>
          <w:p>
            <w:pPr>
              <w:pStyle w:val="TableParagraph"/>
              <w:spacing w:before="2"/>
              <w:ind w:right="128"/>
              <w:jc w:val="right"/>
              <w:rPr>
                <w:sz w:val="20"/>
              </w:rPr>
            </w:pPr>
            <w:r>
              <w:rPr>
                <w:spacing w:val="-5"/>
                <w:sz w:val="20"/>
              </w:rPr>
              <w:t>**</w:t>
            </w:r>
          </w:p>
        </w:tc>
        <w:tc>
          <w:tcPr>
            <w:tcW w:w="1224" w:type="dxa"/>
            <w:tcBorders>
              <w:bottom w:val="single" w:sz="8" w:space="0" w:color="000000"/>
            </w:tcBorders>
          </w:tcPr>
          <w:p>
            <w:pPr>
              <w:pStyle w:val="TableParagraph"/>
              <w:spacing w:before="2"/>
              <w:ind w:right="192"/>
              <w:jc w:val="right"/>
              <w:rPr>
                <w:sz w:val="20"/>
              </w:rPr>
            </w:pPr>
            <w:r>
              <w:rPr>
                <w:spacing w:val="-5"/>
                <w:sz w:val="20"/>
              </w:rPr>
              <w:t>**</w:t>
            </w:r>
          </w:p>
        </w:tc>
        <w:tc>
          <w:tcPr>
            <w:tcW w:w="1181" w:type="dxa"/>
          </w:tcPr>
          <w:p>
            <w:pPr>
              <w:pStyle w:val="TableParagraph"/>
              <w:rPr>
                <w:sz w:val="18"/>
              </w:rPr>
            </w:pPr>
          </w:p>
        </w:tc>
        <w:tc>
          <w:tcPr>
            <w:tcW w:w="1057" w:type="dxa"/>
          </w:tcPr>
          <w:p>
            <w:pPr>
              <w:pStyle w:val="TableParagraph"/>
              <w:rPr>
                <w:sz w:val="18"/>
              </w:rPr>
            </w:pPr>
          </w:p>
        </w:tc>
      </w:tr>
      <w:tr>
        <w:trPr>
          <w:trHeight w:val="270" w:hRule="atLeast"/>
        </w:trPr>
        <w:tc>
          <w:tcPr>
            <w:tcW w:w="3975" w:type="dxa"/>
            <w:shd w:val="clear" w:color="auto" w:fill="CCEDFF"/>
          </w:tcPr>
          <w:p>
            <w:pPr>
              <w:pStyle w:val="TableParagraph"/>
              <w:spacing w:line="222" w:lineRule="exact"/>
              <w:ind w:left="50"/>
              <w:rPr>
                <w:sz w:val="20"/>
              </w:rPr>
            </w:pPr>
            <w:r>
              <w:rPr>
                <w:sz w:val="20"/>
              </w:rPr>
              <w:t>Total</w:t>
            </w:r>
            <w:r>
              <w:rPr>
                <w:spacing w:val="-4"/>
                <w:sz w:val="20"/>
              </w:rPr>
              <w:t> </w:t>
            </w:r>
            <w:r>
              <w:rPr>
                <w:sz w:val="20"/>
              </w:rPr>
              <w:t>non-operating</w:t>
            </w:r>
            <w:r>
              <w:rPr>
                <w:spacing w:val="-3"/>
                <w:sz w:val="20"/>
              </w:rPr>
              <w:t> </w:t>
            </w:r>
            <w:r>
              <w:rPr>
                <w:sz w:val="20"/>
              </w:rPr>
              <w:t>income</w:t>
            </w:r>
            <w:r>
              <w:rPr>
                <w:spacing w:val="-4"/>
                <w:sz w:val="20"/>
              </w:rPr>
              <w:t> </w:t>
            </w:r>
            <w:r>
              <w:rPr>
                <w:sz w:val="20"/>
              </w:rPr>
              <w:t>(expense),</w:t>
            </w:r>
            <w:r>
              <w:rPr>
                <w:spacing w:val="-3"/>
                <w:sz w:val="20"/>
              </w:rPr>
              <w:t> </w:t>
            </w:r>
            <w:r>
              <w:rPr>
                <w:spacing w:val="-5"/>
                <w:sz w:val="20"/>
              </w:rPr>
              <w:t>net</w:t>
            </w:r>
          </w:p>
        </w:tc>
        <w:tc>
          <w:tcPr>
            <w:tcW w:w="1624" w:type="dxa"/>
            <w:tcBorders>
              <w:top w:val="single" w:sz="8" w:space="0" w:color="000000"/>
            </w:tcBorders>
            <w:shd w:val="clear" w:color="auto" w:fill="CCEDFF"/>
          </w:tcPr>
          <w:p>
            <w:pPr>
              <w:pStyle w:val="TableParagraph"/>
              <w:tabs>
                <w:tab w:pos="368" w:val="left" w:leader="none"/>
              </w:tabs>
              <w:spacing w:line="222" w:lineRule="exact"/>
              <w:ind w:right="234"/>
              <w:jc w:val="right"/>
              <w:rPr>
                <w:sz w:val="20"/>
              </w:rPr>
            </w:pPr>
            <w:r>
              <w:rPr/>
              <mc:AlternateContent>
                <mc:Choice Requires="wps">
                  <w:drawing>
                    <wp:anchor distT="0" distB="0" distL="0" distR="0" allowOverlap="1" layoutInCell="1" locked="0" behindDoc="0" simplePos="0" relativeHeight="15762944">
                      <wp:simplePos x="0" y="0"/>
                      <wp:positionH relativeFrom="column">
                        <wp:posOffset>307737</wp:posOffset>
                      </wp:positionH>
                      <wp:positionV relativeFrom="paragraph">
                        <wp:posOffset>152400</wp:posOffset>
                      </wp:positionV>
                      <wp:extent cx="685800" cy="1270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685800" cy="12700"/>
                                <a:chExt cx="685800" cy="12700"/>
                              </a:xfrm>
                            </wpg:grpSpPr>
                            <wps:wsp>
                              <wps:cNvPr id="176" name="Graphic 176"/>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231323pt;margin-top:12pt;width:54pt;height:1pt;mso-position-horizontal-relative:column;mso-position-vertical-relative:paragraph;z-index:15762944" id="docshapegroup122" coordorigin="485,240" coordsize="1080,20">
                      <v:rect style="position:absolute;left:484;top:240;width:1080;height:20" id="docshape123" filled="true" fillcolor="#000000" stroked="false">
                        <v:fill type="solid"/>
                      </v:rect>
                      <w10:wrap type="none"/>
                    </v:group>
                  </w:pict>
                </mc:Fallback>
              </mc:AlternateContent>
            </w:r>
            <w:r>
              <w:rPr>
                <w:spacing w:val="-10"/>
                <w:sz w:val="20"/>
              </w:rPr>
              <w:t>$</w:t>
            </w:r>
            <w:r>
              <w:rPr>
                <w:sz w:val="20"/>
              </w:rPr>
              <w:tab/>
            </w:r>
            <w:r>
              <w:rPr>
                <w:spacing w:val="-2"/>
                <w:sz w:val="20"/>
              </w:rPr>
              <w:t>(30.5)</w:t>
            </w:r>
          </w:p>
        </w:tc>
        <w:tc>
          <w:tcPr>
            <w:tcW w:w="1180" w:type="dxa"/>
            <w:tcBorders>
              <w:top w:val="single" w:sz="8" w:space="0" w:color="000000"/>
            </w:tcBorders>
            <w:shd w:val="clear" w:color="auto" w:fill="CCEDFF"/>
          </w:tcPr>
          <w:p>
            <w:pPr>
              <w:pStyle w:val="TableParagraph"/>
              <w:tabs>
                <w:tab w:pos="459" w:val="left" w:leader="none"/>
              </w:tabs>
              <w:spacing w:line="222" w:lineRule="exact"/>
              <w:ind w:left="71"/>
              <w:rPr>
                <w:sz w:val="20"/>
              </w:rPr>
            </w:pPr>
            <w:r>
              <w:rPr/>
              <mc:AlternateContent>
                <mc:Choice Requires="wps">
                  <w:drawing>
                    <wp:anchor distT="0" distB="0" distL="0" distR="0" allowOverlap="1" layoutInCell="1" locked="0" behindDoc="0" simplePos="0" relativeHeight="15763456">
                      <wp:simplePos x="0" y="0"/>
                      <wp:positionH relativeFrom="column">
                        <wp:posOffset>12953</wp:posOffset>
                      </wp:positionH>
                      <wp:positionV relativeFrom="paragraph">
                        <wp:posOffset>152400</wp:posOffset>
                      </wp:positionV>
                      <wp:extent cx="698500" cy="1270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698500" cy="12700"/>
                                <a:chExt cx="698500" cy="12700"/>
                              </a:xfrm>
                            </wpg:grpSpPr>
                            <wps:wsp>
                              <wps:cNvPr id="178" name="Graphic 178"/>
                              <wps:cNvSpPr/>
                              <wps:spPr>
                                <a:xfrm>
                                  <a:off x="0" y="0"/>
                                  <a:ext cx="698500" cy="12700"/>
                                </a:xfrm>
                                <a:custGeom>
                                  <a:avLst/>
                                  <a:gdLst/>
                                  <a:ahLst/>
                                  <a:cxnLst/>
                                  <a:rect l="l" t="t" r="r" b="b"/>
                                  <a:pathLst>
                                    <a:path w="698500" h="12700">
                                      <a:moveTo>
                                        <a:pt x="0" y="12700"/>
                                      </a:moveTo>
                                      <a:lnTo>
                                        <a:pt x="698500" y="12700"/>
                                      </a:lnTo>
                                      <a:lnTo>
                                        <a:pt x="698500" y="0"/>
                                      </a:lnTo>
                                      <a:lnTo>
                                        <a:pt x="0" y="0"/>
                                      </a:lnTo>
                                      <a:lnTo>
                                        <a:pt x="0" y="127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2pt;margin-top:12pt;width:55pt;height:1pt;mso-position-horizontal-relative:column;mso-position-vertical-relative:paragraph;z-index:15763456" id="docshapegroup124" coordorigin="20,240" coordsize="1100,20">
                      <v:rect style="position:absolute;left:20;top:240;width:1100;height:20" id="docshape125" filled="true" fillcolor="#000000" stroked="false">
                        <v:fill type="solid"/>
                      </v:rect>
                      <w10:wrap type="none"/>
                    </v:group>
                  </w:pict>
                </mc:Fallback>
              </mc:AlternateContent>
            </w:r>
            <w:r>
              <w:rPr>
                <w:spacing w:val="-10"/>
                <w:sz w:val="20"/>
              </w:rPr>
              <w:t>$</w:t>
            </w:r>
            <w:r>
              <w:rPr>
                <w:sz w:val="20"/>
              </w:rPr>
              <w:tab/>
            </w:r>
            <w:r>
              <w:rPr>
                <w:spacing w:val="-2"/>
                <w:sz w:val="20"/>
              </w:rPr>
              <w:t>(58.5)</w:t>
            </w:r>
          </w:p>
        </w:tc>
        <w:tc>
          <w:tcPr>
            <w:tcW w:w="1224" w:type="dxa"/>
            <w:tcBorders>
              <w:top w:val="single" w:sz="8" w:space="0" w:color="000000"/>
            </w:tcBorders>
            <w:shd w:val="clear" w:color="auto" w:fill="CCEDFF"/>
          </w:tcPr>
          <w:p>
            <w:pPr>
              <w:pStyle w:val="TableParagraph"/>
              <w:tabs>
                <w:tab w:pos="439" w:val="left" w:leader="none"/>
              </w:tabs>
              <w:spacing w:line="222" w:lineRule="exact"/>
              <w:ind w:left="71"/>
              <w:rPr>
                <w:sz w:val="20"/>
              </w:rPr>
            </w:pPr>
            <w:r>
              <w:rPr/>
              <mc:AlternateContent>
                <mc:Choice Requires="wps">
                  <w:drawing>
                    <wp:anchor distT="0" distB="0" distL="0" distR="0" allowOverlap="1" layoutInCell="1" locked="0" behindDoc="0" simplePos="0" relativeHeight="15763968">
                      <wp:simplePos x="0" y="0"/>
                      <wp:positionH relativeFrom="column">
                        <wp:posOffset>12953</wp:posOffset>
                      </wp:positionH>
                      <wp:positionV relativeFrom="paragraph">
                        <wp:posOffset>152400</wp:posOffset>
                      </wp:positionV>
                      <wp:extent cx="685800" cy="1270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685800" cy="12700"/>
                                <a:chExt cx="685800" cy="12700"/>
                              </a:xfrm>
                            </wpg:grpSpPr>
                            <wps:wsp>
                              <wps:cNvPr id="180" name="Graphic 180"/>
                              <wps:cNvSpPr/>
                              <wps:spPr>
                                <a:xfrm>
                                  <a:off x="0" y="0"/>
                                  <a:ext cx="685800" cy="12700"/>
                                </a:xfrm>
                                <a:custGeom>
                                  <a:avLst/>
                                  <a:gdLst/>
                                  <a:ahLst/>
                                  <a:cxnLst/>
                                  <a:rect l="l" t="t" r="r" b="b"/>
                                  <a:pathLst>
                                    <a:path w="685800" h="12700">
                                      <a:moveTo>
                                        <a:pt x="0" y="12700"/>
                                      </a:moveTo>
                                      <a:lnTo>
                                        <a:pt x="685800" y="12700"/>
                                      </a:lnTo>
                                      <a:lnTo>
                                        <a:pt x="685800" y="0"/>
                                      </a:lnTo>
                                      <a:lnTo>
                                        <a:pt x="0" y="0"/>
                                      </a:lnTo>
                                      <a:lnTo>
                                        <a:pt x="0" y="127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2pt;margin-top:12pt;width:54pt;height:1pt;mso-position-horizontal-relative:column;mso-position-vertical-relative:paragraph;z-index:15763968" id="docshapegroup126" coordorigin="20,240" coordsize="1080,20">
                      <v:rect style="position:absolute;left:20;top:240;width:1080;height:20" id="docshape127" filled="true" fillcolor="#000000" stroked="false">
                        <v:fill type="solid"/>
                      </v:rect>
                      <w10:wrap type="none"/>
                    </v:group>
                  </w:pict>
                </mc:Fallback>
              </mc:AlternateContent>
            </w:r>
            <w:r>
              <w:rPr>
                <w:spacing w:val="-10"/>
                <w:sz w:val="20"/>
              </w:rPr>
              <w:t>$</w:t>
            </w:r>
            <w:r>
              <w:rPr>
                <w:sz w:val="20"/>
              </w:rPr>
              <w:tab/>
            </w:r>
            <w:r>
              <w:rPr>
                <w:spacing w:val="-2"/>
                <w:sz w:val="20"/>
              </w:rPr>
              <w:t>(29.3)</w:t>
            </w:r>
          </w:p>
        </w:tc>
        <w:tc>
          <w:tcPr>
            <w:tcW w:w="1181" w:type="dxa"/>
            <w:shd w:val="clear" w:color="auto" w:fill="CCEDFF"/>
          </w:tcPr>
          <w:p>
            <w:pPr>
              <w:pStyle w:val="TableParagraph"/>
              <w:spacing w:line="222" w:lineRule="exact"/>
              <w:ind w:right="132"/>
              <w:jc w:val="right"/>
              <w:rPr>
                <w:sz w:val="20"/>
              </w:rPr>
            </w:pPr>
            <w:r>
              <w:rPr>
                <w:spacing w:val="-2"/>
                <w:sz w:val="20"/>
              </w:rPr>
              <w:t>(48)%</w:t>
            </w:r>
          </w:p>
        </w:tc>
        <w:tc>
          <w:tcPr>
            <w:tcW w:w="1057" w:type="dxa"/>
            <w:shd w:val="clear" w:color="auto" w:fill="CCEDFF"/>
          </w:tcPr>
          <w:p>
            <w:pPr>
              <w:pStyle w:val="TableParagraph"/>
              <w:spacing w:line="222" w:lineRule="exact"/>
              <w:ind w:right="9"/>
              <w:jc w:val="right"/>
              <w:rPr>
                <w:sz w:val="20"/>
              </w:rPr>
            </w:pPr>
            <w:r>
              <w:rPr>
                <w:sz w:val="20"/>
              </w:rPr>
              <w:t>100</w:t>
            </w:r>
            <w:r>
              <w:rPr>
                <w:spacing w:val="18"/>
                <w:sz w:val="20"/>
              </w:rPr>
              <w:t> </w:t>
            </w:r>
            <w:r>
              <w:rPr>
                <w:spacing w:val="-10"/>
                <w:sz w:val="20"/>
              </w:rPr>
              <w:t>%</w:t>
            </w:r>
          </w:p>
        </w:tc>
      </w:tr>
    </w:tbl>
    <w:p>
      <w:pPr>
        <w:spacing w:line="20" w:lineRule="exact"/>
        <w:ind w:left="4690" w:right="0" w:firstLine="0"/>
        <w:jc w:val="left"/>
        <w:rPr>
          <w:sz w:val="2"/>
        </w:rPr>
      </w:pPr>
      <w:r>
        <w:rPr>
          <w:sz w:val="2"/>
        </w:rPr>
        <mc:AlternateContent>
          <mc:Choice Requires="wps">
            <w:drawing>
              <wp:inline distT="0" distB="0" distL="0" distR="0">
                <wp:extent cx="685800" cy="12700"/>
                <wp:effectExtent l="9525" t="0" r="0" b="6350"/>
                <wp:docPr id="181" name="Group 181"/>
                <wp:cNvGraphicFramePr>
                  <a:graphicFrameLocks/>
                </wp:cNvGraphicFramePr>
                <a:graphic>
                  <a:graphicData uri="http://schemas.microsoft.com/office/word/2010/wordprocessingGroup">
                    <wpg:wgp>
                      <wpg:cNvPr id="181" name="Group 181"/>
                      <wpg:cNvGrpSpPr/>
                      <wpg:grpSpPr>
                        <a:xfrm>
                          <a:off x="0" y="0"/>
                          <a:ext cx="685800" cy="12700"/>
                          <a:chExt cx="685800" cy="12700"/>
                        </a:xfrm>
                      </wpg:grpSpPr>
                      <wps:wsp>
                        <wps:cNvPr id="182" name="Graphic 182"/>
                        <wps:cNvSpPr/>
                        <wps:spPr>
                          <a:xfrm>
                            <a:off x="0" y="63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1pt;mso-position-horizontal-relative:char;mso-position-vertical-relative:line" id="docshapegroup128" coordorigin="0,0" coordsize="1080,20">
                <v:line style="position:absolute" from="0,10" to="1080,10" stroked="true" strokeweight="1pt" strokecolor="#000000">
                  <v:stroke dashstyle="solid"/>
                </v:line>
              </v:group>
            </w:pict>
          </mc:Fallback>
        </mc:AlternateContent>
      </w:r>
      <w:r>
        <w:rPr>
          <w:sz w:val="2"/>
        </w:rPr>
      </w:r>
      <w:r>
        <w:rPr>
          <w:spacing w:val="65"/>
          <w:sz w:val="2"/>
        </w:rPr>
        <w:t> </w:t>
      </w:r>
      <w:r>
        <w:rPr>
          <w:spacing w:val="65"/>
          <w:sz w:val="2"/>
        </w:rPr>
        <mc:AlternateContent>
          <mc:Choice Requires="wps">
            <w:drawing>
              <wp:inline distT="0" distB="0" distL="0" distR="0">
                <wp:extent cx="698500" cy="12700"/>
                <wp:effectExtent l="9525" t="0" r="6350" b="6350"/>
                <wp:docPr id="183" name="Group 183"/>
                <wp:cNvGraphicFramePr>
                  <a:graphicFrameLocks/>
                </wp:cNvGraphicFramePr>
                <a:graphic>
                  <a:graphicData uri="http://schemas.microsoft.com/office/word/2010/wordprocessingGroup">
                    <wpg:wgp>
                      <wpg:cNvPr id="183" name="Group 183"/>
                      <wpg:cNvGrpSpPr/>
                      <wpg:grpSpPr>
                        <a:xfrm>
                          <a:off x="0" y="0"/>
                          <a:ext cx="698500" cy="12700"/>
                          <a:chExt cx="698500" cy="12700"/>
                        </a:xfrm>
                      </wpg:grpSpPr>
                      <wps:wsp>
                        <wps:cNvPr id="184" name="Graphic 184"/>
                        <wps:cNvSpPr/>
                        <wps:spPr>
                          <a:xfrm>
                            <a:off x="0" y="635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1pt;mso-position-horizontal-relative:char;mso-position-vertical-relative:line" id="docshapegroup129" coordorigin="0,0" coordsize="1100,20">
                <v:line style="position:absolute" from="0,10" to="1100,10" stroked="true" strokeweight="1pt" strokecolor="#000000">
                  <v:stroke dashstyle="solid"/>
                </v:line>
              </v:group>
            </w:pict>
          </mc:Fallback>
        </mc:AlternateContent>
      </w:r>
      <w:r>
        <w:rPr>
          <w:spacing w:val="65"/>
          <w:sz w:val="2"/>
        </w:rPr>
      </w:r>
      <w:r>
        <w:rPr>
          <w:spacing w:val="70"/>
          <w:sz w:val="2"/>
        </w:rPr>
        <w:t> </w:t>
      </w:r>
      <w:r>
        <w:rPr>
          <w:spacing w:val="70"/>
          <w:sz w:val="2"/>
        </w:rPr>
        <mc:AlternateContent>
          <mc:Choice Requires="wps">
            <w:drawing>
              <wp:inline distT="0" distB="0" distL="0" distR="0">
                <wp:extent cx="685800" cy="12700"/>
                <wp:effectExtent l="9525" t="0" r="0" b="6350"/>
                <wp:docPr id="185" name="Group 185"/>
                <wp:cNvGraphicFramePr>
                  <a:graphicFrameLocks/>
                </wp:cNvGraphicFramePr>
                <a:graphic>
                  <a:graphicData uri="http://schemas.microsoft.com/office/word/2010/wordprocessingGroup">
                    <wpg:wgp>
                      <wpg:cNvPr id="185" name="Group 185"/>
                      <wpg:cNvGrpSpPr/>
                      <wpg:grpSpPr>
                        <a:xfrm>
                          <a:off x="0" y="0"/>
                          <a:ext cx="685800" cy="12700"/>
                          <a:chExt cx="685800" cy="12700"/>
                        </a:xfrm>
                      </wpg:grpSpPr>
                      <wps:wsp>
                        <wps:cNvPr id="186" name="Graphic 186"/>
                        <wps:cNvSpPr/>
                        <wps:spPr>
                          <a:xfrm>
                            <a:off x="0" y="6350"/>
                            <a:ext cx="685800" cy="1270"/>
                          </a:xfrm>
                          <a:custGeom>
                            <a:avLst/>
                            <a:gdLst/>
                            <a:ahLst/>
                            <a:cxnLst/>
                            <a:rect l="l" t="t" r="r" b="b"/>
                            <a:pathLst>
                              <a:path w="685800" h="0">
                                <a:moveTo>
                                  <a:pt x="0" y="0"/>
                                </a:moveTo>
                                <a:lnTo>
                                  <a:pt x="685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1pt;mso-position-horizontal-relative:char;mso-position-vertical-relative:line" id="docshapegroup130" coordorigin="0,0" coordsize="1080,20">
                <v:line style="position:absolute" from="0,10" to="1080,10" stroked="true" strokeweight="1pt" strokecolor="#000000">
                  <v:stroke dashstyle="solid"/>
                </v:line>
              </v:group>
            </w:pict>
          </mc:Fallback>
        </mc:AlternateContent>
      </w:r>
      <w:r>
        <w:rPr>
          <w:spacing w:val="70"/>
          <w:sz w:val="2"/>
        </w:rPr>
      </w:r>
    </w:p>
    <w:p>
      <w:pPr>
        <w:pStyle w:val="BodyText"/>
        <w:spacing w:before="7"/>
        <w:rPr>
          <w:b/>
          <w:sz w:val="10"/>
        </w:rPr>
      </w:pPr>
      <w:r>
        <w:rPr/>
        <mc:AlternateContent>
          <mc:Choice Requires="wps">
            <w:drawing>
              <wp:anchor distT="0" distB="0" distL="0" distR="0" allowOverlap="1" layoutInCell="1" locked="0" behindDoc="1" simplePos="0" relativeHeight="487621632">
                <wp:simplePos x="0" y="0"/>
                <wp:positionH relativeFrom="page">
                  <wp:posOffset>635000</wp:posOffset>
                </wp:positionH>
                <wp:positionV relativeFrom="paragraph">
                  <wp:posOffset>92746</wp:posOffset>
                </wp:positionV>
                <wp:extent cx="1692275" cy="127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7.302901pt;width:133.25pt;height:.1pt;mso-position-horizontal-relative:page;mso-position-vertical-relative:paragraph;z-index:-15694848;mso-wrap-distance-left:0;mso-wrap-distance-right:0" id="docshape131" coordorigin="1000,146" coordsize="2665,0" path="m1000,146l3665,146e" filled="false" stroked="true" strokeweight=".26pt" strokecolor="#000000">
                <v:path arrowok="t"/>
                <v:stroke dashstyle="solid"/>
                <w10:wrap type="topAndBottom"/>
              </v:shape>
            </w:pict>
          </mc:Fallback>
        </mc:AlternateContent>
      </w:r>
    </w:p>
    <w:p>
      <w:pPr>
        <w:pStyle w:val="BodyText"/>
        <w:tabs>
          <w:tab w:pos="759" w:val="left" w:leader="none"/>
        </w:tabs>
        <w:spacing w:before="116"/>
        <w:ind w:left="220"/>
      </w:pPr>
      <w:r>
        <w:rPr>
          <w:spacing w:val="-5"/>
          <w:vertAlign w:val="superscript"/>
        </w:rPr>
        <w:t>(*)</w:t>
      </w:r>
      <w:r>
        <w:rPr>
          <w:vertAlign w:val="baseline"/>
        </w:rPr>
        <w:tab/>
        <w:t>Percentage</w:t>
      </w:r>
      <w:r>
        <w:rPr>
          <w:spacing w:val="-1"/>
          <w:vertAlign w:val="baseline"/>
        </w:rPr>
        <w:t> </w:t>
      </w:r>
      <w:r>
        <w:rPr>
          <w:vertAlign w:val="baseline"/>
        </w:rPr>
        <w:t>is</w:t>
      </w:r>
      <w:r>
        <w:rPr>
          <w:spacing w:val="-1"/>
          <w:vertAlign w:val="baseline"/>
        </w:rPr>
        <w:t> </w:t>
      </w:r>
      <w:r>
        <w:rPr>
          <w:vertAlign w:val="baseline"/>
        </w:rPr>
        <w:t>not </w:t>
      </w:r>
      <w:r>
        <w:rPr>
          <w:spacing w:val="-2"/>
          <w:vertAlign w:val="baseline"/>
        </w:rPr>
        <w:t>meaningful.</w:t>
      </w:r>
    </w:p>
    <w:p>
      <w:pPr>
        <w:pStyle w:val="BodyText"/>
        <w:tabs>
          <w:tab w:pos="759" w:val="left" w:leader="none"/>
        </w:tabs>
        <w:spacing w:before="10"/>
        <w:ind w:left="220"/>
      </w:pPr>
      <w:r>
        <w:rPr>
          <w:spacing w:val="-4"/>
          <w:vertAlign w:val="superscript"/>
        </w:rPr>
        <w:t>(**)</w:t>
      </w:r>
      <w:r>
        <w:rPr>
          <w:vertAlign w:val="baseline"/>
        </w:rPr>
        <w:tab/>
        <w:t>Percentage</w:t>
      </w:r>
      <w:r>
        <w:rPr>
          <w:spacing w:val="-2"/>
          <w:vertAlign w:val="baseline"/>
        </w:rPr>
        <w:t> </w:t>
      </w:r>
      <w:r>
        <w:rPr>
          <w:vertAlign w:val="baseline"/>
        </w:rPr>
        <w:t>is</w:t>
      </w:r>
      <w:r>
        <w:rPr>
          <w:spacing w:val="-1"/>
          <w:vertAlign w:val="baseline"/>
        </w:rPr>
        <w:t> </w:t>
      </w:r>
      <w:r>
        <w:rPr>
          <w:vertAlign w:val="baseline"/>
        </w:rPr>
        <w:t>less</w:t>
      </w:r>
      <w:r>
        <w:rPr>
          <w:spacing w:val="-2"/>
          <w:vertAlign w:val="baseline"/>
        </w:rPr>
        <w:t> </w:t>
      </w:r>
      <w:r>
        <w:rPr>
          <w:vertAlign w:val="baseline"/>
        </w:rPr>
        <w:t>than</w:t>
      </w:r>
      <w:r>
        <w:rPr>
          <w:spacing w:val="-1"/>
          <w:vertAlign w:val="baseline"/>
        </w:rPr>
        <w:t> </w:t>
      </w:r>
      <w:r>
        <w:rPr>
          <w:spacing w:val="-5"/>
          <w:vertAlign w:val="baseline"/>
        </w:rPr>
        <w:t>1%.</w:t>
      </w:r>
    </w:p>
    <w:p>
      <w:pPr>
        <w:pStyle w:val="BodyText"/>
        <w:spacing w:before="19"/>
      </w:pPr>
    </w:p>
    <w:p>
      <w:pPr>
        <w:spacing w:before="1"/>
        <w:ind w:left="220" w:right="0" w:firstLine="0"/>
        <w:jc w:val="left"/>
        <w:rPr>
          <w:i/>
          <w:sz w:val="20"/>
        </w:rPr>
      </w:pPr>
      <w:r>
        <w:rPr>
          <w:i/>
          <w:sz w:val="20"/>
        </w:rPr>
        <w:t>Interest</w:t>
      </w:r>
      <w:r>
        <w:rPr>
          <w:i/>
          <w:spacing w:val="-4"/>
          <w:sz w:val="20"/>
        </w:rPr>
        <w:t> </w:t>
      </w:r>
      <w:r>
        <w:rPr>
          <w:i/>
          <w:sz w:val="20"/>
        </w:rPr>
        <w:t>and</w:t>
      </w:r>
      <w:r>
        <w:rPr>
          <w:i/>
          <w:spacing w:val="-3"/>
          <w:sz w:val="20"/>
        </w:rPr>
        <w:t> </w:t>
      </w:r>
      <w:r>
        <w:rPr>
          <w:i/>
          <w:sz w:val="20"/>
        </w:rPr>
        <w:t>Other</w:t>
      </w:r>
      <w:r>
        <w:rPr>
          <w:i/>
          <w:spacing w:val="-4"/>
          <w:sz w:val="20"/>
        </w:rPr>
        <w:t> </w:t>
      </w:r>
      <w:r>
        <w:rPr>
          <w:i/>
          <w:sz w:val="20"/>
        </w:rPr>
        <w:t>Income</w:t>
      </w:r>
      <w:r>
        <w:rPr>
          <w:i/>
          <w:spacing w:val="-3"/>
          <w:sz w:val="20"/>
        </w:rPr>
        <w:t> </w:t>
      </w:r>
      <w:r>
        <w:rPr>
          <w:i/>
          <w:sz w:val="20"/>
        </w:rPr>
        <w:t>(Expense),</w:t>
      </w:r>
      <w:r>
        <w:rPr>
          <w:i/>
          <w:spacing w:val="-3"/>
          <w:sz w:val="20"/>
        </w:rPr>
        <w:t> </w:t>
      </w:r>
      <w:r>
        <w:rPr>
          <w:i/>
          <w:spacing w:val="-5"/>
          <w:sz w:val="20"/>
        </w:rPr>
        <w:t>Net</w:t>
      </w:r>
    </w:p>
    <w:p>
      <w:pPr>
        <w:pStyle w:val="BodyText"/>
        <w:spacing w:line="249" w:lineRule="auto" w:before="170"/>
        <w:ind w:left="220" w:right="257" w:firstLine="540"/>
        <w:jc w:val="both"/>
      </w:pPr>
      <w:r>
        <w:rPr/>
        <w:t>Interest</w:t>
      </w:r>
      <w:r>
        <w:rPr>
          <w:spacing w:val="-13"/>
        </w:rPr>
        <w:t> </w:t>
      </w:r>
      <w:r>
        <w:rPr/>
        <w:t>and</w:t>
      </w:r>
      <w:r>
        <w:rPr>
          <w:spacing w:val="-12"/>
        </w:rPr>
        <w:t> </w:t>
      </w:r>
      <w:r>
        <w:rPr/>
        <w:t>other</w:t>
      </w:r>
      <w:r>
        <w:rPr>
          <w:spacing w:val="-13"/>
        </w:rPr>
        <w:t> </w:t>
      </w:r>
      <w:r>
        <w:rPr/>
        <w:t>income</w:t>
      </w:r>
      <w:r>
        <w:rPr>
          <w:spacing w:val="-12"/>
        </w:rPr>
        <w:t> </w:t>
      </w:r>
      <w:r>
        <w:rPr/>
        <w:t>(expense),</w:t>
      </w:r>
      <w:r>
        <w:rPr>
          <w:spacing w:val="-13"/>
        </w:rPr>
        <w:t> </w:t>
      </w:r>
      <w:r>
        <w:rPr/>
        <w:t>net</w:t>
      </w:r>
      <w:r>
        <w:rPr>
          <w:spacing w:val="-12"/>
        </w:rPr>
        <w:t> </w:t>
      </w:r>
      <w:r>
        <w:rPr/>
        <w:t>consists</w:t>
      </w:r>
      <w:r>
        <w:rPr>
          <w:spacing w:val="-13"/>
        </w:rPr>
        <w:t> </w:t>
      </w:r>
      <w:r>
        <w:rPr/>
        <w:t>primarily</w:t>
      </w:r>
      <w:r>
        <w:rPr>
          <w:spacing w:val="-12"/>
        </w:rPr>
        <w:t> </w:t>
      </w:r>
      <w:r>
        <w:rPr/>
        <w:t>of</w:t>
      </w:r>
      <w:r>
        <w:rPr>
          <w:spacing w:val="-13"/>
        </w:rPr>
        <w:t> </w:t>
      </w:r>
      <w:r>
        <w:rPr/>
        <w:t>interest</w:t>
      </w:r>
      <w:r>
        <w:rPr>
          <w:spacing w:val="-12"/>
        </w:rPr>
        <w:t> </w:t>
      </w:r>
      <w:r>
        <w:rPr/>
        <w:t>earned</w:t>
      </w:r>
      <w:r>
        <w:rPr>
          <w:spacing w:val="-13"/>
        </w:rPr>
        <w:t> </w:t>
      </w:r>
      <w:r>
        <w:rPr/>
        <w:t>on</w:t>
      </w:r>
      <w:r>
        <w:rPr>
          <w:spacing w:val="-12"/>
        </w:rPr>
        <w:t> </w:t>
      </w:r>
      <w:r>
        <w:rPr/>
        <w:t>cash,</w:t>
      </w:r>
      <w:r>
        <w:rPr>
          <w:spacing w:val="-13"/>
        </w:rPr>
        <w:t> </w:t>
      </w:r>
      <w:r>
        <w:rPr/>
        <w:t>cash</w:t>
      </w:r>
      <w:r>
        <w:rPr>
          <w:spacing w:val="-12"/>
        </w:rPr>
        <w:t> </w:t>
      </w:r>
      <w:r>
        <w:rPr/>
        <w:t>equivalents</w:t>
      </w:r>
      <w:r>
        <w:rPr>
          <w:spacing w:val="-13"/>
        </w:rPr>
        <w:t> </w:t>
      </w:r>
      <w:r>
        <w:rPr/>
        <w:t>and</w:t>
      </w:r>
      <w:r>
        <w:rPr>
          <w:spacing w:val="-12"/>
        </w:rPr>
        <w:t> </w:t>
      </w:r>
      <w:r>
        <w:rPr/>
        <w:t>short-term</w:t>
      </w:r>
      <w:r>
        <w:rPr>
          <w:spacing w:val="-13"/>
        </w:rPr>
        <w:t> </w:t>
      </w:r>
      <w:r>
        <w:rPr/>
        <w:t>fixed income investments. Interest and other income (expense), net also includes gains and losses on fixed income investments and foreign exchange gains and losses other than any gains recorded to revenue from our hedging programs.</w:t>
      </w:r>
    </w:p>
    <w:p>
      <w:pPr>
        <w:pStyle w:val="BodyText"/>
        <w:spacing w:line="249" w:lineRule="auto" w:before="162"/>
        <w:ind w:left="220" w:right="257" w:firstLine="540"/>
        <w:jc w:val="both"/>
      </w:pPr>
      <w:r>
        <w:rPr/>
        <w:t>Interest</w:t>
      </w:r>
      <w:r>
        <w:rPr>
          <w:spacing w:val="-10"/>
        </w:rPr>
        <w:t> </w:t>
      </w:r>
      <w:r>
        <w:rPr/>
        <w:t>and</w:t>
      </w:r>
      <w:r>
        <w:rPr>
          <w:spacing w:val="-10"/>
        </w:rPr>
        <w:t> </w:t>
      </w:r>
      <w:r>
        <w:rPr/>
        <w:t>other</w:t>
      </w:r>
      <w:r>
        <w:rPr>
          <w:spacing w:val="-10"/>
        </w:rPr>
        <w:t> </w:t>
      </w:r>
      <w:r>
        <w:rPr/>
        <w:t>income</w:t>
      </w:r>
      <w:r>
        <w:rPr>
          <w:spacing w:val="-10"/>
        </w:rPr>
        <w:t> </w:t>
      </w:r>
      <w:r>
        <w:rPr/>
        <w:t>(expense),</w:t>
      </w:r>
      <w:r>
        <w:rPr>
          <w:spacing w:val="-10"/>
        </w:rPr>
        <w:t> </w:t>
      </w:r>
      <w:r>
        <w:rPr/>
        <w:t>net</w:t>
      </w:r>
      <w:r>
        <w:rPr>
          <w:spacing w:val="-10"/>
        </w:rPr>
        <w:t> </w:t>
      </w:r>
      <w:r>
        <w:rPr/>
        <w:t>increased</w:t>
      </w:r>
      <w:r>
        <w:rPr>
          <w:spacing w:val="-10"/>
        </w:rPr>
        <w:t> </w:t>
      </w:r>
      <w:r>
        <w:rPr/>
        <w:t>in</w:t>
      </w:r>
      <w:r>
        <w:rPr>
          <w:spacing w:val="-10"/>
        </w:rPr>
        <w:t> </w:t>
      </w:r>
      <w:r>
        <w:rPr/>
        <w:t>fiscal</w:t>
      </w:r>
      <w:r>
        <w:rPr>
          <w:spacing w:val="-10"/>
        </w:rPr>
        <w:t> </w:t>
      </w:r>
      <w:r>
        <w:rPr/>
        <w:t>2017</w:t>
      </w:r>
      <w:r>
        <w:rPr>
          <w:spacing w:val="-10"/>
        </w:rPr>
        <w:t> </w:t>
      </w:r>
      <w:r>
        <w:rPr/>
        <w:t>as</w:t>
      </w:r>
      <w:r>
        <w:rPr>
          <w:spacing w:val="-10"/>
        </w:rPr>
        <w:t> </w:t>
      </w:r>
      <w:r>
        <w:rPr/>
        <w:t>compared</w:t>
      </w:r>
      <w:r>
        <w:rPr>
          <w:spacing w:val="-10"/>
        </w:rPr>
        <w:t> </w:t>
      </w:r>
      <w:r>
        <w:rPr/>
        <w:t>to</w:t>
      </w:r>
      <w:r>
        <w:rPr>
          <w:spacing w:val="-10"/>
        </w:rPr>
        <w:t> </w:t>
      </w:r>
      <w:r>
        <w:rPr/>
        <w:t>fiscal</w:t>
      </w:r>
      <w:r>
        <w:rPr>
          <w:spacing w:val="-10"/>
        </w:rPr>
        <w:t> </w:t>
      </w:r>
      <w:r>
        <w:rPr/>
        <w:t>2016</w:t>
      </w:r>
      <w:r>
        <w:rPr>
          <w:spacing w:val="-10"/>
        </w:rPr>
        <w:t> </w:t>
      </w:r>
      <w:r>
        <w:rPr/>
        <w:t>due</w:t>
      </w:r>
      <w:r>
        <w:rPr>
          <w:spacing w:val="-10"/>
        </w:rPr>
        <w:t> </w:t>
      </w:r>
      <w:r>
        <w:rPr/>
        <w:t>to</w:t>
      </w:r>
      <w:r>
        <w:rPr>
          <w:spacing w:val="-10"/>
        </w:rPr>
        <w:t> </w:t>
      </w:r>
      <w:r>
        <w:rPr/>
        <w:t>higher</w:t>
      </w:r>
      <w:r>
        <w:rPr>
          <w:spacing w:val="-10"/>
        </w:rPr>
        <w:t> </w:t>
      </w:r>
      <w:r>
        <w:rPr/>
        <w:t>average</w:t>
      </w:r>
      <w:r>
        <w:rPr>
          <w:spacing w:val="-10"/>
        </w:rPr>
        <w:t> </w:t>
      </w:r>
      <w:r>
        <w:rPr/>
        <w:t>invested balances and interest rates and a decline in foreign exchange hedging costs.</w:t>
      </w:r>
    </w:p>
    <w:p>
      <w:pPr>
        <w:pStyle w:val="BodyText"/>
        <w:spacing w:line="249" w:lineRule="auto" w:before="162"/>
        <w:ind w:left="220" w:right="257" w:firstLine="540"/>
        <w:jc w:val="both"/>
      </w:pPr>
      <w:r>
        <w:rPr/>
        <w:t>Interest and other income (expense), net decreased in fiscal 2016 as compared to fiscal 2015 due to a gain on the sale of certain</w:t>
      </w:r>
      <w:r>
        <w:rPr>
          <w:spacing w:val="-10"/>
        </w:rPr>
        <w:t> </w:t>
      </w:r>
      <w:r>
        <w:rPr/>
        <w:t>property</w:t>
      </w:r>
      <w:r>
        <w:rPr>
          <w:spacing w:val="-10"/>
        </w:rPr>
        <w:t> </w:t>
      </w:r>
      <w:r>
        <w:rPr/>
        <w:t>assets</w:t>
      </w:r>
      <w:r>
        <w:rPr>
          <w:spacing w:val="-10"/>
        </w:rPr>
        <w:t> </w:t>
      </w:r>
      <w:r>
        <w:rPr/>
        <w:t>that</w:t>
      </w:r>
      <w:r>
        <w:rPr>
          <w:spacing w:val="-10"/>
        </w:rPr>
        <w:t> </w:t>
      </w:r>
      <w:r>
        <w:rPr/>
        <w:t>occurred</w:t>
      </w:r>
      <w:r>
        <w:rPr>
          <w:spacing w:val="-10"/>
        </w:rPr>
        <w:t> </w:t>
      </w:r>
      <w:r>
        <w:rPr/>
        <w:t>in</w:t>
      </w:r>
      <w:r>
        <w:rPr>
          <w:spacing w:val="-10"/>
        </w:rPr>
        <w:t> </w:t>
      </w:r>
      <w:r>
        <w:rPr/>
        <w:t>fiscal</w:t>
      </w:r>
      <w:r>
        <w:rPr>
          <w:spacing w:val="-10"/>
        </w:rPr>
        <w:t> </w:t>
      </w:r>
      <w:r>
        <w:rPr/>
        <w:t>2015</w:t>
      </w:r>
      <w:r>
        <w:rPr>
          <w:spacing w:val="-10"/>
        </w:rPr>
        <w:t> </w:t>
      </w:r>
      <w:r>
        <w:rPr/>
        <w:t>and</w:t>
      </w:r>
      <w:r>
        <w:rPr>
          <w:spacing w:val="-10"/>
        </w:rPr>
        <w:t> </w:t>
      </w:r>
      <w:r>
        <w:rPr/>
        <w:t>an</w:t>
      </w:r>
      <w:r>
        <w:rPr>
          <w:spacing w:val="-10"/>
        </w:rPr>
        <w:t> </w:t>
      </w:r>
      <w:r>
        <w:rPr/>
        <w:t>increase</w:t>
      </w:r>
      <w:r>
        <w:rPr>
          <w:spacing w:val="-11"/>
        </w:rPr>
        <w:t> </w:t>
      </w:r>
      <w:r>
        <w:rPr/>
        <w:t>in</w:t>
      </w:r>
      <w:r>
        <w:rPr>
          <w:spacing w:val="-10"/>
        </w:rPr>
        <w:t> </w:t>
      </w:r>
      <w:r>
        <w:rPr/>
        <w:t>foreign</w:t>
      </w:r>
      <w:r>
        <w:rPr>
          <w:spacing w:val="-10"/>
        </w:rPr>
        <w:t> </w:t>
      </w:r>
      <w:r>
        <w:rPr/>
        <w:t>exchange</w:t>
      </w:r>
      <w:r>
        <w:rPr>
          <w:spacing w:val="-10"/>
        </w:rPr>
        <w:t> </w:t>
      </w:r>
      <w:r>
        <w:rPr/>
        <w:t>hedging</w:t>
      </w:r>
      <w:r>
        <w:rPr>
          <w:spacing w:val="-10"/>
        </w:rPr>
        <w:t> </w:t>
      </w:r>
      <w:r>
        <w:rPr/>
        <w:t>costs,</w:t>
      </w:r>
      <w:r>
        <w:rPr>
          <w:spacing w:val="-10"/>
        </w:rPr>
        <w:t> </w:t>
      </w:r>
      <w:r>
        <w:rPr/>
        <w:t>offset</w:t>
      </w:r>
      <w:r>
        <w:rPr>
          <w:spacing w:val="-10"/>
        </w:rPr>
        <w:t> </w:t>
      </w:r>
      <w:r>
        <w:rPr/>
        <w:t>in</w:t>
      </w:r>
      <w:r>
        <w:rPr>
          <w:spacing w:val="-10"/>
        </w:rPr>
        <w:t> </w:t>
      </w:r>
      <w:r>
        <w:rPr/>
        <w:t>part</w:t>
      </w:r>
      <w:r>
        <w:rPr>
          <w:spacing w:val="-10"/>
        </w:rPr>
        <w:t> </w:t>
      </w:r>
      <w:r>
        <w:rPr/>
        <w:t>by</w:t>
      </w:r>
      <w:r>
        <w:rPr>
          <w:spacing w:val="-10"/>
        </w:rPr>
        <w:t> </w:t>
      </w:r>
      <w:r>
        <w:rPr/>
        <w:t>an</w:t>
      </w:r>
      <w:r>
        <w:rPr>
          <w:spacing w:val="-10"/>
        </w:rPr>
        <w:t> </w:t>
      </w:r>
      <w:r>
        <w:rPr/>
        <w:t>increase in interest income due to higher average invested balances and interest rates.</w:t>
      </w:r>
    </w:p>
    <w:p>
      <w:pPr>
        <w:spacing w:before="162"/>
        <w:ind w:left="220" w:right="0" w:firstLine="0"/>
        <w:jc w:val="left"/>
        <w:rPr>
          <w:i/>
          <w:sz w:val="20"/>
        </w:rPr>
      </w:pPr>
      <w:r>
        <w:rPr>
          <w:i/>
          <w:spacing w:val="-2"/>
          <w:sz w:val="20"/>
        </w:rPr>
        <w:t>Interest</w:t>
      </w:r>
      <w:r>
        <w:rPr>
          <w:i/>
          <w:spacing w:val="1"/>
          <w:sz w:val="20"/>
        </w:rPr>
        <w:t> </w:t>
      </w:r>
      <w:r>
        <w:rPr>
          <w:i/>
          <w:spacing w:val="-2"/>
          <w:sz w:val="20"/>
        </w:rPr>
        <w:t>Expense</w:t>
      </w:r>
    </w:p>
    <w:p>
      <w:pPr>
        <w:spacing w:line="249" w:lineRule="auto" w:before="170"/>
        <w:ind w:left="220" w:right="257" w:firstLine="540"/>
        <w:jc w:val="both"/>
        <w:rPr>
          <w:i/>
          <w:sz w:val="20"/>
        </w:rPr>
      </w:pPr>
      <w:r>
        <w:rPr>
          <w:sz w:val="20"/>
        </w:rPr>
        <w:t>Interest</w:t>
      </w:r>
      <w:r>
        <w:rPr>
          <w:spacing w:val="-12"/>
          <w:sz w:val="20"/>
        </w:rPr>
        <w:t> </w:t>
      </w:r>
      <w:r>
        <w:rPr>
          <w:sz w:val="20"/>
        </w:rPr>
        <w:t>expense</w:t>
      </w:r>
      <w:r>
        <w:rPr>
          <w:spacing w:val="-12"/>
          <w:sz w:val="20"/>
        </w:rPr>
        <w:t> </w:t>
      </w:r>
      <w:r>
        <w:rPr>
          <w:sz w:val="20"/>
        </w:rPr>
        <w:t>primarily</w:t>
      </w:r>
      <w:r>
        <w:rPr>
          <w:spacing w:val="-12"/>
          <w:sz w:val="20"/>
        </w:rPr>
        <w:t> </w:t>
      </w:r>
      <w:r>
        <w:rPr>
          <w:sz w:val="20"/>
        </w:rPr>
        <w:t>represents</w:t>
      </w:r>
      <w:r>
        <w:rPr>
          <w:spacing w:val="-12"/>
          <w:sz w:val="20"/>
        </w:rPr>
        <w:t> </w:t>
      </w:r>
      <w:r>
        <w:rPr>
          <w:sz w:val="20"/>
        </w:rPr>
        <w:t>interest</w:t>
      </w:r>
      <w:r>
        <w:rPr>
          <w:spacing w:val="-12"/>
          <w:sz w:val="20"/>
        </w:rPr>
        <w:t> </w:t>
      </w:r>
      <w:r>
        <w:rPr>
          <w:sz w:val="20"/>
        </w:rPr>
        <w:t>associated</w:t>
      </w:r>
      <w:r>
        <w:rPr>
          <w:spacing w:val="-12"/>
          <w:sz w:val="20"/>
        </w:rPr>
        <w:t> </w:t>
      </w:r>
      <w:r>
        <w:rPr>
          <w:sz w:val="20"/>
        </w:rPr>
        <w:t>with</w:t>
      </w:r>
      <w:r>
        <w:rPr>
          <w:spacing w:val="-12"/>
          <w:sz w:val="20"/>
        </w:rPr>
        <w:t> </w:t>
      </w:r>
      <w:r>
        <w:rPr>
          <w:sz w:val="20"/>
        </w:rPr>
        <w:t>our</w:t>
      </w:r>
      <w:r>
        <w:rPr>
          <w:spacing w:val="-12"/>
          <w:sz w:val="20"/>
        </w:rPr>
        <w:t> </w:t>
      </w:r>
      <w:r>
        <w:rPr>
          <w:sz w:val="20"/>
        </w:rPr>
        <w:t>senior</w:t>
      </w:r>
      <w:r>
        <w:rPr>
          <w:spacing w:val="-12"/>
          <w:sz w:val="20"/>
        </w:rPr>
        <w:t> </w:t>
      </w:r>
      <w:r>
        <w:rPr>
          <w:sz w:val="20"/>
        </w:rPr>
        <w:t>notes</w:t>
      </w:r>
      <w:r>
        <w:rPr>
          <w:spacing w:val="-12"/>
          <w:sz w:val="20"/>
        </w:rPr>
        <w:t> </w:t>
      </w:r>
      <w:r>
        <w:rPr>
          <w:sz w:val="20"/>
        </w:rPr>
        <w:t>and</w:t>
      </w:r>
      <w:r>
        <w:rPr>
          <w:spacing w:val="-12"/>
          <w:sz w:val="20"/>
        </w:rPr>
        <w:t> </w:t>
      </w:r>
      <w:r>
        <w:rPr>
          <w:sz w:val="20"/>
        </w:rPr>
        <w:t>interest</w:t>
      </w:r>
      <w:r>
        <w:rPr>
          <w:spacing w:val="-12"/>
          <w:sz w:val="20"/>
        </w:rPr>
        <w:t> </w:t>
      </w:r>
      <w:r>
        <w:rPr>
          <w:sz w:val="20"/>
        </w:rPr>
        <w:t>rate</w:t>
      </w:r>
      <w:r>
        <w:rPr>
          <w:spacing w:val="-12"/>
          <w:sz w:val="20"/>
        </w:rPr>
        <w:t> </w:t>
      </w:r>
      <w:r>
        <w:rPr>
          <w:sz w:val="20"/>
        </w:rPr>
        <w:t>swaps.</w:t>
      </w:r>
      <w:r>
        <w:rPr>
          <w:spacing w:val="-12"/>
          <w:sz w:val="20"/>
        </w:rPr>
        <w:t> </w:t>
      </w:r>
      <w:r>
        <w:rPr>
          <w:sz w:val="20"/>
        </w:rPr>
        <w:t>Interest</w:t>
      </w:r>
      <w:r>
        <w:rPr>
          <w:spacing w:val="-12"/>
          <w:sz w:val="20"/>
        </w:rPr>
        <w:t> </w:t>
      </w:r>
      <w:r>
        <w:rPr>
          <w:sz w:val="20"/>
        </w:rPr>
        <w:t>on</w:t>
      </w:r>
      <w:r>
        <w:rPr>
          <w:spacing w:val="-12"/>
          <w:sz w:val="20"/>
        </w:rPr>
        <w:t> </w:t>
      </w:r>
      <w:r>
        <w:rPr>
          <w:sz w:val="20"/>
        </w:rPr>
        <w:t>our</w:t>
      </w:r>
      <w:r>
        <w:rPr>
          <w:spacing w:val="-12"/>
          <w:sz w:val="20"/>
        </w:rPr>
        <w:t> </w:t>
      </w:r>
      <w:r>
        <w:rPr>
          <w:sz w:val="20"/>
        </w:rPr>
        <w:t>senior notes</w:t>
      </w:r>
      <w:r>
        <w:rPr>
          <w:spacing w:val="-2"/>
          <w:sz w:val="20"/>
        </w:rPr>
        <w:t> </w:t>
      </w:r>
      <w:r>
        <w:rPr>
          <w:sz w:val="20"/>
        </w:rPr>
        <w:t>is</w:t>
      </w:r>
      <w:r>
        <w:rPr>
          <w:spacing w:val="-2"/>
          <w:sz w:val="20"/>
        </w:rPr>
        <w:t> </w:t>
      </w:r>
      <w:r>
        <w:rPr>
          <w:sz w:val="20"/>
        </w:rPr>
        <w:t>payable</w:t>
      </w:r>
      <w:r>
        <w:rPr>
          <w:spacing w:val="-2"/>
          <w:sz w:val="20"/>
        </w:rPr>
        <w:t> </w:t>
      </w:r>
      <w:r>
        <w:rPr>
          <w:sz w:val="20"/>
        </w:rPr>
        <w:t>semi-annually,</w:t>
      </w:r>
      <w:r>
        <w:rPr>
          <w:spacing w:val="-2"/>
          <w:sz w:val="20"/>
        </w:rPr>
        <w:t> </w:t>
      </w:r>
      <w:r>
        <w:rPr>
          <w:sz w:val="20"/>
        </w:rPr>
        <w:t>in</w:t>
      </w:r>
      <w:r>
        <w:rPr>
          <w:spacing w:val="-2"/>
          <w:sz w:val="20"/>
        </w:rPr>
        <w:t> </w:t>
      </w:r>
      <w:r>
        <w:rPr>
          <w:sz w:val="20"/>
        </w:rPr>
        <w:t>arrears,</w:t>
      </w:r>
      <w:r>
        <w:rPr>
          <w:spacing w:val="-2"/>
          <w:sz w:val="20"/>
        </w:rPr>
        <w:t> </w:t>
      </w:r>
      <w:r>
        <w:rPr>
          <w:sz w:val="20"/>
        </w:rPr>
        <w:t>on</w:t>
      </w:r>
      <w:r>
        <w:rPr>
          <w:spacing w:val="-2"/>
          <w:sz w:val="20"/>
        </w:rPr>
        <w:t> </w:t>
      </w:r>
      <w:r>
        <w:rPr>
          <w:sz w:val="20"/>
        </w:rPr>
        <w:t>February</w:t>
      </w:r>
      <w:r>
        <w:rPr>
          <w:spacing w:val="-2"/>
          <w:sz w:val="20"/>
        </w:rPr>
        <w:t> </w:t>
      </w:r>
      <w:r>
        <w:rPr>
          <w:sz w:val="20"/>
        </w:rPr>
        <w:t>1</w:t>
      </w:r>
      <w:r>
        <w:rPr>
          <w:spacing w:val="-2"/>
          <w:sz w:val="20"/>
        </w:rPr>
        <w:t> </w:t>
      </w:r>
      <w:r>
        <w:rPr>
          <w:sz w:val="20"/>
        </w:rPr>
        <w:t>and</w:t>
      </w:r>
      <w:r>
        <w:rPr>
          <w:spacing w:val="-12"/>
          <w:sz w:val="20"/>
        </w:rPr>
        <w:t> </w:t>
      </w:r>
      <w:r>
        <w:rPr>
          <w:sz w:val="20"/>
        </w:rPr>
        <w:t>August</w:t>
      </w:r>
      <w:r>
        <w:rPr>
          <w:spacing w:val="-2"/>
          <w:sz w:val="20"/>
        </w:rPr>
        <w:t> </w:t>
      </w:r>
      <w:r>
        <w:rPr>
          <w:sz w:val="20"/>
        </w:rPr>
        <w:t>1.</w:t>
      </w:r>
      <w:r>
        <w:rPr>
          <w:spacing w:val="-2"/>
          <w:sz w:val="20"/>
        </w:rPr>
        <w:t> </w:t>
      </w:r>
      <w:r>
        <w:rPr>
          <w:sz w:val="20"/>
        </w:rPr>
        <w:t>Floating</w:t>
      </w:r>
      <w:r>
        <w:rPr>
          <w:spacing w:val="-2"/>
          <w:sz w:val="20"/>
        </w:rPr>
        <w:t> </w:t>
      </w:r>
      <w:r>
        <w:rPr>
          <w:sz w:val="20"/>
        </w:rPr>
        <w:t>interest</w:t>
      </w:r>
      <w:r>
        <w:rPr>
          <w:spacing w:val="-2"/>
          <w:sz w:val="20"/>
        </w:rPr>
        <w:t> </w:t>
      </w:r>
      <w:r>
        <w:rPr>
          <w:sz w:val="20"/>
        </w:rPr>
        <w:t>payments</w:t>
      </w:r>
      <w:r>
        <w:rPr>
          <w:spacing w:val="-2"/>
          <w:sz w:val="20"/>
        </w:rPr>
        <w:t> </w:t>
      </w:r>
      <w:r>
        <w:rPr>
          <w:sz w:val="20"/>
        </w:rPr>
        <w:t>on</w:t>
      </w:r>
      <w:r>
        <w:rPr>
          <w:spacing w:val="-2"/>
          <w:sz w:val="20"/>
        </w:rPr>
        <w:t> </w:t>
      </w:r>
      <w:r>
        <w:rPr>
          <w:sz w:val="20"/>
        </w:rPr>
        <w:t>the</w:t>
      </w:r>
      <w:r>
        <w:rPr>
          <w:spacing w:val="-2"/>
          <w:sz w:val="20"/>
        </w:rPr>
        <w:t> </w:t>
      </w:r>
      <w:r>
        <w:rPr>
          <w:sz w:val="20"/>
        </w:rPr>
        <w:t>interest</w:t>
      </w:r>
      <w:r>
        <w:rPr>
          <w:spacing w:val="-2"/>
          <w:sz w:val="20"/>
        </w:rPr>
        <w:t> </w:t>
      </w:r>
      <w:r>
        <w:rPr>
          <w:sz w:val="20"/>
        </w:rPr>
        <w:t>rate</w:t>
      </w:r>
      <w:r>
        <w:rPr>
          <w:spacing w:val="-2"/>
          <w:sz w:val="20"/>
        </w:rPr>
        <w:t> </w:t>
      </w:r>
      <w:r>
        <w:rPr>
          <w:sz w:val="20"/>
        </w:rPr>
        <w:t>swaps</w:t>
      </w:r>
      <w:r>
        <w:rPr>
          <w:spacing w:val="-2"/>
          <w:sz w:val="20"/>
        </w:rPr>
        <w:t> </w:t>
      </w:r>
      <w:r>
        <w:rPr>
          <w:sz w:val="20"/>
        </w:rPr>
        <w:t>are paid</w:t>
      </w:r>
      <w:r>
        <w:rPr>
          <w:spacing w:val="-3"/>
          <w:sz w:val="20"/>
        </w:rPr>
        <w:t> </w:t>
      </w:r>
      <w:r>
        <w:rPr>
          <w:sz w:val="20"/>
        </w:rPr>
        <w:t>monthly.</w:t>
      </w:r>
      <w:r>
        <w:rPr>
          <w:spacing w:val="-6"/>
          <w:sz w:val="20"/>
        </w:rPr>
        <w:t> </w:t>
      </w:r>
      <w:r>
        <w:rPr>
          <w:sz w:val="20"/>
        </w:rPr>
        <w:t>The</w:t>
      </w:r>
      <w:r>
        <w:rPr>
          <w:spacing w:val="-3"/>
          <w:sz w:val="20"/>
        </w:rPr>
        <w:t> </w:t>
      </w:r>
      <w:r>
        <w:rPr>
          <w:sz w:val="20"/>
        </w:rPr>
        <w:t>fixed-rate</w:t>
      </w:r>
      <w:r>
        <w:rPr>
          <w:spacing w:val="-3"/>
          <w:sz w:val="20"/>
        </w:rPr>
        <w:t> </w:t>
      </w:r>
      <w:r>
        <w:rPr>
          <w:sz w:val="20"/>
        </w:rPr>
        <w:t>interest</w:t>
      </w:r>
      <w:r>
        <w:rPr>
          <w:spacing w:val="-3"/>
          <w:sz w:val="20"/>
        </w:rPr>
        <w:t> </w:t>
      </w:r>
      <w:r>
        <w:rPr>
          <w:sz w:val="20"/>
        </w:rPr>
        <w:t>receivable</w:t>
      </w:r>
      <w:r>
        <w:rPr>
          <w:spacing w:val="-3"/>
          <w:sz w:val="20"/>
        </w:rPr>
        <w:t> </w:t>
      </w:r>
      <w:r>
        <w:rPr>
          <w:sz w:val="20"/>
        </w:rPr>
        <w:t>on</w:t>
      </w:r>
      <w:r>
        <w:rPr>
          <w:spacing w:val="-3"/>
          <w:sz w:val="20"/>
        </w:rPr>
        <w:t> </w:t>
      </w:r>
      <w:r>
        <w:rPr>
          <w:sz w:val="20"/>
        </w:rPr>
        <w:t>the</w:t>
      </w:r>
      <w:r>
        <w:rPr>
          <w:spacing w:val="-2"/>
          <w:sz w:val="20"/>
        </w:rPr>
        <w:t> </w:t>
      </w:r>
      <w:r>
        <w:rPr>
          <w:sz w:val="20"/>
        </w:rPr>
        <w:t>swaps</w:t>
      </w:r>
      <w:r>
        <w:rPr>
          <w:spacing w:val="-2"/>
          <w:sz w:val="20"/>
        </w:rPr>
        <w:t> </w:t>
      </w:r>
      <w:r>
        <w:rPr>
          <w:sz w:val="20"/>
        </w:rPr>
        <w:t>is</w:t>
      </w:r>
      <w:r>
        <w:rPr>
          <w:spacing w:val="-3"/>
          <w:sz w:val="20"/>
        </w:rPr>
        <w:t> </w:t>
      </w:r>
      <w:r>
        <w:rPr>
          <w:sz w:val="20"/>
        </w:rPr>
        <w:t>received</w:t>
      </w:r>
      <w:r>
        <w:rPr>
          <w:spacing w:val="-3"/>
          <w:sz w:val="20"/>
        </w:rPr>
        <w:t> </w:t>
      </w:r>
      <w:r>
        <w:rPr>
          <w:sz w:val="20"/>
        </w:rPr>
        <w:t>semi-annually</w:t>
      </w:r>
      <w:r>
        <w:rPr>
          <w:spacing w:val="-2"/>
          <w:sz w:val="20"/>
        </w:rPr>
        <w:t> </w:t>
      </w:r>
      <w:r>
        <w:rPr>
          <w:sz w:val="20"/>
        </w:rPr>
        <w:t>concurrent</w:t>
      </w:r>
      <w:r>
        <w:rPr>
          <w:spacing w:val="-3"/>
          <w:sz w:val="20"/>
        </w:rPr>
        <w:t> </w:t>
      </w:r>
      <w:r>
        <w:rPr>
          <w:sz w:val="20"/>
        </w:rPr>
        <w:t>with</w:t>
      </w:r>
      <w:r>
        <w:rPr>
          <w:spacing w:val="-3"/>
          <w:sz w:val="20"/>
        </w:rPr>
        <w:t> </w:t>
      </w:r>
      <w:r>
        <w:rPr>
          <w:sz w:val="20"/>
        </w:rPr>
        <w:t>the</w:t>
      </w:r>
      <w:r>
        <w:rPr>
          <w:spacing w:val="-2"/>
          <w:sz w:val="20"/>
        </w:rPr>
        <w:t> </w:t>
      </w:r>
      <w:r>
        <w:rPr>
          <w:sz w:val="20"/>
        </w:rPr>
        <w:t>senior</w:t>
      </w:r>
      <w:r>
        <w:rPr>
          <w:spacing w:val="-3"/>
          <w:sz w:val="20"/>
        </w:rPr>
        <w:t> </w:t>
      </w:r>
      <w:r>
        <w:rPr>
          <w:sz w:val="20"/>
        </w:rPr>
        <w:t>notes</w:t>
      </w:r>
      <w:r>
        <w:rPr>
          <w:spacing w:val="-2"/>
          <w:sz w:val="20"/>
        </w:rPr>
        <w:t> </w:t>
      </w:r>
      <w:r>
        <w:rPr>
          <w:sz w:val="20"/>
        </w:rPr>
        <w:t>interest payments.</w:t>
      </w:r>
      <w:r>
        <w:rPr>
          <w:spacing w:val="40"/>
          <w:sz w:val="20"/>
        </w:rPr>
        <w:t> </w:t>
      </w:r>
      <w:hyperlink w:history="true" w:anchor="_bookmark26">
        <w:r>
          <w:rPr>
            <w:i/>
            <w:sz w:val="20"/>
          </w:rPr>
          <w:t>See</w:t>
        </w:r>
        <w:r>
          <w:rPr>
            <w:i/>
            <w:spacing w:val="-2"/>
            <w:sz w:val="20"/>
          </w:rPr>
          <w:t> </w:t>
        </w:r>
        <w:r>
          <w:rPr>
            <w:i/>
            <w:sz w:val="20"/>
          </w:rPr>
          <w:t>Notes</w:t>
        </w:r>
        <w:r>
          <w:rPr>
            <w:i/>
            <w:spacing w:val="-2"/>
            <w:sz w:val="20"/>
          </w:rPr>
          <w:t> </w:t>
        </w:r>
        <w:r>
          <w:rPr>
            <w:i/>
            <w:sz w:val="20"/>
          </w:rPr>
          <w:t>5</w:t>
        </w:r>
      </w:hyperlink>
      <w:r>
        <w:rPr>
          <w:i/>
          <w:spacing w:val="-2"/>
          <w:sz w:val="20"/>
        </w:rPr>
        <w:t> </w:t>
      </w:r>
      <w:hyperlink w:history="true" w:anchor="_bookmark31">
        <w:r>
          <w:rPr>
            <w:i/>
            <w:sz w:val="20"/>
          </w:rPr>
          <w:t>and</w:t>
        </w:r>
        <w:r>
          <w:rPr>
            <w:i/>
            <w:spacing w:val="-2"/>
            <w:sz w:val="20"/>
          </w:rPr>
          <w:t> </w:t>
        </w:r>
        <w:r>
          <w:rPr>
            <w:i/>
            <w:sz w:val="20"/>
          </w:rPr>
          <w:t>15</w:t>
        </w:r>
        <w:r>
          <w:rPr>
            <w:i/>
            <w:spacing w:val="-2"/>
            <w:sz w:val="20"/>
          </w:rPr>
          <w:t> </w:t>
        </w:r>
        <w:r>
          <w:rPr>
            <w:i/>
            <w:sz w:val="20"/>
          </w:rPr>
          <w:t>of</w:t>
        </w:r>
        <w:r>
          <w:rPr>
            <w:i/>
            <w:spacing w:val="-2"/>
            <w:sz w:val="20"/>
          </w:rPr>
          <w:t> </w:t>
        </w:r>
        <w:r>
          <w:rPr>
            <w:i/>
            <w:sz w:val="20"/>
          </w:rPr>
          <w:t>our</w:t>
        </w:r>
        <w:r>
          <w:rPr>
            <w:i/>
            <w:spacing w:val="-2"/>
            <w:sz w:val="20"/>
          </w:rPr>
          <w:t> </w:t>
        </w:r>
        <w:r>
          <w:rPr>
            <w:i/>
            <w:sz w:val="20"/>
          </w:rPr>
          <w:t>Notes</w:t>
        </w:r>
        <w:r>
          <w:rPr>
            <w:i/>
            <w:spacing w:val="-2"/>
            <w:sz w:val="20"/>
          </w:rPr>
          <w:t> </w:t>
        </w:r>
        <w:r>
          <w:rPr>
            <w:i/>
            <w:sz w:val="20"/>
          </w:rPr>
          <w:t>to</w:t>
        </w:r>
        <w:r>
          <w:rPr>
            <w:i/>
            <w:spacing w:val="-2"/>
            <w:sz w:val="20"/>
          </w:rPr>
          <w:t> </w:t>
        </w:r>
        <w:r>
          <w:rPr>
            <w:i/>
            <w:sz w:val="20"/>
          </w:rPr>
          <w:t>Consolidated</w:t>
        </w:r>
        <w:r>
          <w:rPr>
            <w:i/>
            <w:spacing w:val="-2"/>
            <w:sz w:val="20"/>
          </w:rPr>
          <w:t> </w:t>
        </w:r>
        <w:r>
          <w:rPr>
            <w:i/>
            <w:sz w:val="20"/>
          </w:rPr>
          <w:t>Financial</w:t>
        </w:r>
        <w:r>
          <w:rPr>
            <w:i/>
            <w:spacing w:val="-2"/>
            <w:sz w:val="20"/>
          </w:rPr>
          <w:t> </w:t>
        </w:r>
        <w:r>
          <w:rPr>
            <w:i/>
            <w:sz w:val="20"/>
          </w:rPr>
          <w:t>Statements</w:t>
        </w:r>
        <w:r>
          <w:rPr>
            <w:i/>
            <w:spacing w:val="-2"/>
            <w:sz w:val="20"/>
          </w:rPr>
          <w:t> </w:t>
        </w:r>
        <w:r>
          <w:rPr>
            <w:i/>
            <w:sz w:val="20"/>
          </w:rPr>
          <w:t>for</w:t>
        </w:r>
        <w:r>
          <w:rPr>
            <w:i/>
            <w:spacing w:val="-2"/>
            <w:sz w:val="20"/>
          </w:rPr>
          <w:t> </w:t>
        </w:r>
        <w:r>
          <w:rPr>
            <w:i/>
            <w:sz w:val="20"/>
          </w:rPr>
          <w:t>further</w:t>
        </w:r>
        <w:r>
          <w:rPr>
            <w:i/>
            <w:spacing w:val="-2"/>
            <w:sz w:val="20"/>
          </w:rPr>
          <w:t> </w:t>
        </w:r>
        <w:r>
          <w:rPr>
            <w:i/>
            <w:sz w:val="20"/>
          </w:rPr>
          <w:t>details</w:t>
        </w:r>
        <w:r>
          <w:rPr>
            <w:i/>
            <w:spacing w:val="-1"/>
            <w:sz w:val="20"/>
          </w:rPr>
          <w:t> </w:t>
        </w:r>
        <w:r>
          <w:rPr>
            <w:i/>
            <w:sz w:val="20"/>
          </w:rPr>
          <w:t>regarding</w:t>
        </w:r>
        <w:r>
          <w:rPr>
            <w:i/>
            <w:spacing w:val="-2"/>
            <w:sz w:val="20"/>
          </w:rPr>
          <w:t> </w:t>
        </w:r>
        <w:r>
          <w:rPr>
            <w:i/>
            <w:sz w:val="20"/>
          </w:rPr>
          <w:t>our</w:t>
        </w:r>
        <w:r>
          <w:rPr>
            <w:i/>
            <w:spacing w:val="-2"/>
            <w:sz w:val="20"/>
          </w:rPr>
          <w:t> </w:t>
        </w:r>
        <w:r>
          <w:rPr>
            <w:i/>
            <w:sz w:val="20"/>
          </w:rPr>
          <w:t>interest</w:t>
        </w:r>
        <w:r>
          <w:rPr>
            <w:i/>
            <w:spacing w:val="-2"/>
            <w:sz w:val="20"/>
          </w:rPr>
          <w:t> </w:t>
        </w:r>
        <w:r>
          <w:rPr>
            <w:i/>
            <w:sz w:val="20"/>
          </w:rPr>
          <w:t>rate</w:t>
        </w:r>
      </w:hyperlink>
      <w:r>
        <w:rPr>
          <w:i/>
          <w:sz w:val="20"/>
        </w:rPr>
        <w:t> </w:t>
      </w:r>
      <w:hyperlink w:history="true" w:anchor="_bookmark31">
        <w:r>
          <w:rPr>
            <w:i/>
            <w:spacing w:val="-2"/>
            <w:sz w:val="20"/>
          </w:rPr>
          <w:t>swaps.</w:t>
        </w:r>
      </w:hyperlink>
    </w:p>
    <w:p>
      <w:pPr>
        <w:spacing w:after="0" w:line="249" w:lineRule="auto"/>
        <w:jc w:val="both"/>
        <w:rPr>
          <w:sz w:val="20"/>
        </w:rPr>
        <w:sectPr>
          <w:pgSz w:w="12240" w:h="15840"/>
          <w:pgMar w:header="210" w:footer="579" w:top="420" w:bottom="760" w:left="780" w:right="740"/>
        </w:sectPr>
      </w:pPr>
    </w:p>
    <w:p>
      <w:pPr>
        <w:pStyle w:val="BodyText"/>
        <w:spacing w:before="150"/>
        <w:rPr>
          <w:i/>
        </w:rPr>
      </w:pPr>
    </w:p>
    <w:p>
      <w:pPr>
        <w:pStyle w:val="BodyText"/>
        <w:spacing w:line="249" w:lineRule="auto"/>
        <w:ind w:left="220" w:right="257" w:firstLine="540"/>
        <w:jc w:val="both"/>
      </w:pPr>
      <w:r>
        <w:rPr/>
        <w:t>Interest</w:t>
      </w:r>
      <w:r>
        <w:rPr>
          <w:spacing w:val="-13"/>
        </w:rPr>
        <w:t> </w:t>
      </w:r>
      <w:r>
        <w:rPr/>
        <w:t>expense</w:t>
      </w:r>
      <w:r>
        <w:rPr>
          <w:spacing w:val="-12"/>
        </w:rPr>
        <w:t> </w:t>
      </w:r>
      <w:r>
        <w:rPr/>
        <w:t>increased</w:t>
      </w:r>
      <w:r>
        <w:rPr>
          <w:spacing w:val="-13"/>
        </w:rPr>
        <w:t> </w:t>
      </w:r>
      <w:r>
        <w:rPr/>
        <w:t>during</w:t>
      </w:r>
      <w:r>
        <w:rPr>
          <w:spacing w:val="-12"/>
        </w:rPr>
        <w:t> </w:t>
      </w:r>
      <w:r>
        <w:rPr/>
        <w:t>fiscal</w:t>
      </w:r>
      <w:r>
        <w:rPr>
          <w:spacing w:val="-13"/>
        </w:rPr>
        <w:t> </w:t>
      </w:r>
      <w:r>
        <w:rPr/>
        <w:t>2017</w:t>
      </w:r>
      <w:r>
        <w:rPr>
          <w:spacing w:val="-12"/>
        </w:rPr>
        <w:t> </w:t>
      </w:r>
      <w:r>
        <w:rPr/>
        <w:t>as</w:t>
      </w:r>
      <w:r>
        <w:rPr>
          <w:spacing w:val="-13"/>
        </w:rPr>
        <w:t> </w:t>
      </w:r>
      <w:r>
        <w:rPr/>
        <w:t>compared</w:t>
      </w:r>
      <w:r>
        <w:rPr>
          <w:spacing w:val="-12"/>
        </w:rPr>
        <w:t> </w:t>
      </w:r>
      <w:r>
        <w:rPr/>
        <w:t>to</w:t>
      </w:r>
      <w:r>
        <w:rPr>
          <w:spacing w:val="-13"/>
        </w:rPr>
        <w:t> </w:t>
      </w:r>
      <w:r>
        <w:rPr/>
        <w:t>fiscal</w:t>
      </w:r>
      <w:r>
        <w:rPr>
          <w:spacing w:val="-12"/>
        </w:rPr>
        <w:t> </w:t>
      </w:r>
      <w:r>
        <w:rPr/>
        <w:t>2016</w:t>
      </w:r>
      <w:r>
        <w:rPr>
          <w:spacing w:val="-13"/>
        </w:rPr>
        <w:t> </w:t>
      </w:r>
      <w:r>
        <w:rPr/>
        <w:t>primarily</w:t>
      </w:r>
      <w:r>
        <w:rPr>
          <w:spacing w:val="-12"/>
        </w:rPr>
        <w:t> </w:t>
      </w:r>
      <w:r>
        <w:rPr/>
        <w:t>due</w:t>
      </w:r>
      <w:r>
        <w:rPr>
          <w:spacing w:val="-13"/>
        </w:rPr>
        <w:t> </w:t>
      </w:r>
      <w:r>
        <w:rPr/>
        <w:t>to</w:t>
      </w:r>
      <w:r>
        <w:rPr>
          <w:spacing w:val="-12"/>
        </w:rPr>
        <w:t> </w:t>
      </w:r>
      <w:r>
        <w:rPr/>
        <w:t>higher</w:t>
      </w:r>
      <w:r>
        <w:rPr>
          <w:spacing w:val="-13"/>
        </w:rPr>
        <w:t> </w:t>
      </w:r>
      <w:r>
        <w:rPr/>
        <w:t>short-term</w:t>
      </w:r>
      <w:r>
        <w:rPr>
          <w:spacing w:val="-12"/>
        </w:rPr>
        <w:t> </w:t>
      </w:r>
      <w:r>
        <w:rPr/>
        <w:t>floating</w:t>
      </w:r>
      <w:r>
        <w:rPr>
          <w:spacing w:val="-13"/>
        </w:rPr>
        <w:t> </w:t>
      </w:r>
      <w:r>
        <w:rPr/>
        <w:t>interest rates on interest rate swaps.</w:t>
      </w:r>
    </w:p>
    <w:p>
      <w:pPr>
        <w:pStyle w:val="BodyText"/>
        <w:spacing w:line="249" w:lineRule="auto" w:before="181"/>
        <w:ind w:left="220" w:right="257" w:firstLine="540"/>
        <w:jc w:val="both"/>
      </w:pPr>
      <w:r>
        <w:rPr/>
        <w:t>Interest</w:t>
      </w:r>
      <w:r>
        <w:rPr>
          <w:spacing w:val="-13"/>
        </w:rPr>
        <w:t> </w:t>
      </w:r>
      <w:r>
        <w:rPr/>
        <w:t>expense</w:t>
      </w:r>
      <w:r>
        <w:rPr>
          <w:spacing w:val="-12"/>
        </w:rPr>
        <w:t> </w:t>
      </w:r>
      <w:r>
        <w:rPr/>
        <w:t>increased</w:t>
      </w:r>
      <w:r>
        <w:rPr>
          <w:spacing w:val="-13"/>
        </w:rPr>
        <w:t> </w:t>
      </w:r>
      <w:r>
        <w:rPr/>
        <w:t>during</w:t>
      </w:r>
      <w:r>
        <w:rPr>
          <w:spacing w:val="-12"/>
        </w:rPr>
        <w:t> </w:t>
      </w:r>
      <w:r>
        <w:rPr/>
        <w:t>fiscal</w:t>
      </w:r>
      <w:r>
        <w:rPr>
          <w:spacing w:val="-13"/>
        </w:rPr>
        <w:t> </w:t>
      </w:r>
      <w:r>
        <w:rPr/>
        <w:t>2016</w:t>
      </w:r>
      <w:r>
        <w:rPr>
          <w:spacing w:val="-12"/>
        </w:rPr>
        <w:t> </w:t>
      </w:r>
      <w:r>
        <w:rPr/>
        <w:t>as</w:t>
      </w:r>
      <w:r>
        <w:rPr>
          <w:spacing w:val="-13"/>
        </w:rPr>
        <w:t> </w:t>
      </w:r>
      <w:r>
        <w:rPr/>
        <w:t>compared</w:t>
      </w:r>
      <w:r>
        <w:rPr>
          <w:spacing w:val="-12"/>
        </w:rPr>
        <w:t> </w:t>
      </w:r>
      <w:r>
        <w:rPr/>
        <w:t>to</w:t>
      </w:r>
      <w:r>
        <w:rPr>
          <w:spacing w:val="-13"/>
        </w:rPr>
        <w:t> </w:t>
      </w:r>
      <w:r>
        <w:rPr/>
        <w:t>fiscal</w:t>
      </w:r>
      <w:r>
        <w:rPr>
          <w:spacing w:val="-12"/>
        </w:rPr>
        <w:t> </w:t>
      </w:r>
      <w:r>
        <w:rPr/>
        <w:t>2015</w:t>
      </w:r>
      <w:r>
        <w:rPr>
          <w:spacing w:val="-13"/>
        </w:rPr>
        <w:t> </w:t>
      </w:r>
      <w:r>
        <w:rPr/>
        <w:t>primarily</w:t>
      </w:r>
      <w:r>
        <w:rPr>
          <w:spacing w:val="-12"/>
        </w:rPr>
        <w:t> </w:t>
      </w:r>
      <w:r>
        <w:rPr/>
        <w:t>due</w:t>
      </w:r>
      <w:r>
        <w:rPr>
          <w:spacing w:val="-13"/>
        </w:rPr>
        <w:t> </w:t>
      </w:r>
      <w:r>
        <w:rPr/>
        <w:t>to</w:t>
      </w:r>
      <w:r>
        <w:rPr>
          <w:spacing w:val="-12"/>
        </w:rPr>
        <w:t> </w:t>
      </w:r>
      <w:r>
        <w:rPr/>
        <w:t>higher</w:t>
      </w:r>
      <w:r>
        <w:rPr>
          <w:spacing w:val="-13"/>
        </w:rPr>
        <w:t> </w:t>
      </w:r>
      <w:r>
        <w:rPr/>
        <w:t>short-term</w:t>
      </w:r>
      <w:r>
        <w:rPr>
          <w:spacing w:val="-12"/>
        </w:rPr>
        <w:t> </w:t>
      </w:r>
      <w:r>
        <w:rPr/>
        <w:t>floating</w:t>
      </w:r>
      <w:r>
        <w:rPr>
          <w:spacing w:val="-13"/>
        </w:rPr>
        <w:t> </w:t>
      </w:r>
      <w:r>
        <w:rPr/>
        <w:t>interest rates on interest rate swaps and higher average debt balances.</w:t>
      </w:r>
    </w:p>
    <w:p>
      <w:pPr>
        <w:spacing w:before="182"/>
        <w:ind w:left="220" w:right="0" w:firstLine="0"/>
        <w:jc w:val="left"/>
        <w:rPr>
          <w:i/>
          <w:sz w:val="20"/>
        </w:rPr>
      </w:pPr>
      <w:r>
        <w:rPr>
          <w:i/>
          <w:sz w:val="20"/>
        </w:rPr>
        <w:t>Investment</w:t>
      </w:r>
      <w:r>
        <w:rPr>
          <w:i/>
          <w:spacing w:val="-3"/>
          <w:sz w:val="20"/>
        </w:rPr>
        <w:t> </w:t>
      </w:r>
      <w:r>
        <w:rPr>
          <w:i/>
          <w:sz w:val="20"/>
        </w:rPr>
        <w:t>Gains</w:t>
      </w:r>
      <w:r>
        <w:rPr>
          <w:i/>
          <w:spacing w:val="-1"/>
          <w:sz w:val="20"/>
        </w:rPr>
        <w:t> </w:t>
      </w:r>
      <w:r>
        <w:rPr>
          <w:i/>
          <w:sz w:val="20"/>
        </w:rPr>
        <w:t>(Losses),</w:t>
      </w:r>
      <w:r>
        <w:rPr>
          <w:i/>
          <w:spacing w:val="-2"/>
          <w:sz w:val="20"/>
        </w:rPr>
        <w:t> </w:t>
      </w:r>
      <w:r>
        <w:rPr>
          <w:i/>
          <w:spacing w:val="-5"/>
          <w:sz w:val="20"/>
        </w:rPr>
        <w:t>Net</w:t>
      </w:r>
    </w:p>
    <w:p>
      <w:pPr>
        <w:pStyle w:val="BodyText"/>
        <w:spacing w:line="249" w:lineRule="auto" w:before="190"/>
        <w:ind w:left="220" w:right="257" w:firstLine="540"/>
        <w:jc w:val="both"/>
      </w:pPr>
      <w:r>
        <w:rPr/>
        <w:t>Investment gains (losses), net consists principally of unrealized holding gains and losses associated with our deferred compensation plan assets which are classified as trading securities, and gains and losses associated with our direct and indirect investments in privately held companies.</w:t>
      </w:r>
    </w:p>
    <w:p>
      <w:pPr>
        <w:pStyle w:val="BodyText"/>
        <w:spacing w:before="201"/>
      </w:pPr>
    </w:p>
    <w:tbl>
      <w:tblPr>
        <w:tblW w:w="0" w:type="auto"/>
        <w:jc w:val="left"/>
        <w:tblInd w:w="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9"/>
        <w:gridCol w:w="1331"/>
        <w:gridCol w:w="1180"/>
        <w:gridCol w:w="1224"/>
        <w:gridCol w:w="1180"/>
        <w:gridCol w:w="1057"/>
      </w:tblGrid>
      <w:tr>
        <w:trPr>
          <w:trHeight w:val="312" w:hRule="atLeast"/>
        </w:trPr>
        <w:tc>
          <w:tcPr>
            <w:tcW w:w="4269" w:type="dxa"/>
          </w:tcPr>
          <w:p>
            <w:pPr>
              <w:pStyle w:val="TableParagraph"/>
              <w:spacing w:line="221" w:lineRule="exact"/>
              <w:ind w:left="-10"/>
              <w:rPr>
                <w:b/>
                <w:sz w:val="20"/>
              </w:rPr>
            </w:pPr>
            <w:bookmarkStart w:name="Provision for Income Taxes" w:id="46"/>
            <w:bookmarkEnd w:id="46"/>
            <w:r>
              <w:rPr/>
            </w:r>
            <w:bookmarkStart w:name="_bookmark13" w:id="47"/>
            <w:bookmarkEnd w:id="47"/>
            <w:r>
              <w:rPr/>
            </w:r>
            <w:r>
              <w:rPr>
                <w:b/>
                <w:sz w:val="20"/>
              </w:rPr>
              <w:t>Provision</w:t>
            </w:r>
            <w:r>
              <w:rPr>
                <w:b/>
                <w:spacing w:val="-7"/>
                <w:sz w:val="20"/>
              </w:rPr>
              <w:t> </w:t>
            </w:r>
            <w:r>
              <w:rPr>
                <w:b/>
                <w:sz w:val="20"/>
              </w:rPr>
              <w:t>for</w:t>
            </w:r>
            <w:r>
              <w:rPr>
                <w:b/>
                <w:spacing w:val="-11"/>
                <w:sz w:val="20"/>
              </w:rPr>
              <w:t> </w:t>
            </w:r>
            <w:r>
              <w:rPr>
                <w:b/>
                <w:sz w:val="20"/>
              </w:rPr>
              <w:t>Income</w:t>
            </w:r>
            <w:r>
              <w:rPr>
                <w:b/>
                <w:spacing w:val="-10"/>
                <w:sz w:val="20"/>
              </w:rPr>
              <w:t> </w:t>
            </w:r>
            <w:r>
              <w:rPr>
                <w:b/>
                <w:sz w:val="20"/>
              </w:rPr>
              <w:t>Taxes</w:t>
            </w:r>
            <w:r>
              <w:rPr>
                <w:b/>
                <w:spacing w:val="-7"/>
                <w:sz w:val="20"/>
              </w:rPr>
              <w:t> </w:t>
            </w:r>
            <w:r>
              <w:rPr>
                <w:b/>
                <w:sz w:val="20"/>
              </w:rPr>
              <w:t>(dollars</w:t>
            </w:r>
            <w:r>
              <w:rPr>
                <w:b/>
                <w:spacing w:val="-7"/>
                <w:sz w:val="20"/>
              </w:rPr>
              <w:t> </w:t>
            </w:r>
            <w:r>
              <w:rPr>
                <w:b/>
                <w:sz w:val="20"/>
              </w:rPr>
              <w:t>in</w:t>
            </w:r>
            <w:r>
              <w:rPr>
                <w:b/>
                <w:spacing w:val="-6"/>
                <w:sz w:val="20"/>
              </w:rPr>
              <w:t> </w:t>
            </w:r>
            <w:r>
              <w:rPr>
                <w:b/>
                <w:spacing w:val="-2"/>
                <w:sz w:val="20"/>
              </w:rPr>
              <w:t>millions)</w:t>
            </w:r>
          </w:p>
        </w:tc>
        <w:tc>
          <w:tcPr>
            <w:tcW w:w="1331" w:type="dxa"/>
          </w:tcPr>
          <w:p>
            <w:pPr>
              <w:pStyle w:val="TableParagraph"/>
              <w:rPr>
                <w:sz w:val="18"/>
              </w:rPr>
            </w:pPr>
          </w:p>
        </w:tc>
        <w:tc>
          <w:tcPr>
            <w:tcW w:w="1180" w:type="dxa"/>
          </w:tcPr>
          <w:p>
            <w:pPr>
              <w:pStyle w:val="TableParagraph"/>
              <w:rPr>
                <w:sz w:val="18"/>
              </w:rPr>
            </w:pPr>
          </w:p>
        </w:tc>
        <w:tc>
          <w:tcPr>
            <w:tcW w:w="1224" w:type="dxa"/>
          </w:tcPr>
          <w:p>
            <w:pPr>
              <w:pStyle w:val="TableParagraph"/>
              <w:rPr>
                <w:sz w:val="18"/>
              </w:rPr>
            </w:pPr>
          </w:p>
        </w:tc>
        <w:tc>
          <w:tcPr>
            <w:tcW w:w="1180" w:type="dxa"/>
          </w:tcPr>
          <w:p>
            <w:pPr>
              <w:pStyle w:val="TableParagraph"/>
              <w:rPr>
                <w:sz w:val="18"/>
              </w:rPr>
            </w:pPr>
          </w:p>
        </w:tc>
        <w:tc>
          <w:tcPr>
            <w:tcW w:w="1057" w:type="dxa"/>
          </w:tcPr>
          <w:p>
            <w:pPr>
              <w:pStyle w:val="TableParagraph"/>
              <w:rPr>
                <w:sz w:val="18"/>
              </w:rPr>
            </w:pPr>
          </w:p>
        </w:tc>
      </w:tr>
      <w:tr>
        <w:trPr>
          <w:trHeight w:val="259" w:hRule="atLeast"/>
        </w:trPr>
        <w:tc>
          <w:tcPr>
            <w:tcW w:w="4269" w:type="dxa"/>
          </w:tcPr>
          <w:p>
            <w:pPr>
              <w:pStyle w:val="TableParagraph"/>
              <w:rPr>
                <w:sz w:val="18"/>
              </w:rPr>
            </w:pPr>
          </w:p>
        </w:tc>
        <w:tc>
          <w:tcPr>
            <w:tcW w:w="1331" w:type="dxa"/>
          </w:tcPr>
          <w:p>
            <w:pPr>
              <w:pStyle w:val="TableParagraph"/>
              <w:spacing w:line="155" w:lineRule="exact" w:before="84"/>
              <w:ind w:left="521"/>
              <w:rPr>
                <w:b/>
                <w:sz w:val="16"/>
              </w:rPr>
            </w:pPr>
            <w:r>
              <w:rPr>
                <w:b/>
                <w:spacing w:val="-2"/>
                <w:sz w:val="16"/>
              </w:rPr>
              <w:t>Fiscal</w:t>
            </w:r>
          </w:p>
        </w:tc>
        <w:tc>
          <w:tcPr>
            <w:tcW w:w="1180" w:type="dxa"/>
          </w:tcPr>
          <w:p>
            <w:pPr>
              <w:pStyle w:val="TableParagraph"/>
              <w:spacing w:line="155" w:lineRule="exact" w:before="84"/>
              <w:ind w:left="360"/>
              <w:rPr>
                <w:b/>
                <w:sz w:val="16"/>
              </w:rPr>
            </w:pPr>
            <w:r>
              <w:rPr>
                <w:b/>
                <w:spacing w:val="-2"/>
                <w:sz w:val="16"/>
              </w:rPr>
              <w:t>Fiscal</w:t>
            </w:r>
          </w:p>
        </w:tc>
        <w:tc>
          <w:tcPr>
            <w:tcW w:w="1224" w:type="dxa"/>
          </w:tcPr>
          <w:p>
            <w:pPr>
              <w:pStyle w:val="TableParagraph"/>
              <w:spacing w:line="155" w:lineRule="exact" w:before="84"/>
              <w:ind w:left="350"/>
              <w:rPr>
                <w:b/>
                <w:sz w:val="16"/>
              </w:rPr>
            </w:pPr>
            <w:r>
              <w:rPr>
                <w:b/>
                <w:spacing w:val="-2"/>
                <w:sz w:val="16"/>
              </w:rPr>
              <w:t>Fiscal</w:t>
            </w:r>
          </w:p>
        </w:tc>
        <w:tc>
          <w:tcPr>
            <w:tcW w:w="1180" w:type="dxa"/>
          </w:tcPr>
          <w:p>
            <w:pPr>
              <w:pStyle w:val="TableParagraph"/>
              <w:spacing w:line="155" w:lineRule="exact" w:before="84"/>
              <w:ind w:left="133"/>
              <w:rPr>
                <w:b/>
                <w:sz w:val="16"/>
              </w:rPr>
            </w:pPr>
            <w:r>
              <w:rPr>
                <w:b/>
                <w:sz w:val="16"/>
              </w:rPr>
              <w:t>% </w:t>
            </w:r>
            <w:r>
              <w:rPr>
                <w:b/>
                <w:spacing w:val="-2"/>
                <w:sz w:val="16"/>
              </w:rPr>
              <w:t>Change</w:t>
            </w:r>
          </w:p>
        </w:tc>
        <w:tc>
          <w:tcPr>
            <w:tcW w:w="1057" w:type="dxa"/>
          </w:tcPr>
          <w:p>
            <w:pPr>
              <w:pStyle w:val="TableParagraph"/>
              <w:spacing w:line="155" w:lineRule="exact" w:before="84"/>
              <w:ind w:left="133"/>
              <w:rPr>
                <w:b/>
                <w:sz w:val="16"/>
              </w:rPr>
            </w:pPr>
            <w:r>
              <w:rPr>
                <w:b/>
                <w:sz w:val="16"/>
              </w:rPr>
              <w:t>% </w:t>
            </w:r>
            <w:r>
              <w:rPr>
                <w:b/>
                <w:spacing w:val="-2"/>
                <w:sz w:val="16"/>
              </w:rPr>
              <w:t>Change</w:t>
            </w:r>
          </w:p>
        </w:tc>
      </w:tr>
      <w:tr>
        <w:trPr>
          <w:trHeight w:val="205" w:hRule="atLeast"/>
        </w:trPr>
        <w:tc>
          <w:tcPr>
            <w:tcW w:w="4269" w:type="dxa"/>
          </w:tcPr>
          <w:p>
            <w:pPr>
              <w:pStyle w:val="TableParagraph"/>
              <w:rPr>
                <w:sz w:val="14"/>
              </w:rPr>
            </w:pPr>
          </w:p>
        </w:tc>
        <w:tc>
          <w:tcPr>
            <w:tcW w:w="1331" w:type="dxa"/>
            <w:tcBorders>
              <w:bottom w:val="single" w:sz="8" w:space="0" w:color="000000"/>
            </w:tcBorders>
          </w:tcPr>
          <w:p>
            <w:pPr>
              <w:pStyle w:val="TableParagraph"/>
              <w:spacing w:line="169" w:lineRule="exact"/>
              <w:ind w:left="112"/>
              <w:jc w:val="center"/>
              <w:rPr>
                <w:b/>
                <w:sz w:val="16"/>
              </w:rPr>
            </w:pPr>
            <w:r>
              <w:rPr>
                <w:b/>
                <w:spacing w:val="-4"/>
                <w:sz w:val="16"/>
              </w:rPr>
              <w:t>2017</w:t>
            </w:r>
          </w:p>
        </w:tc>
        <w:tc>
          <w:tcPr>
            <w:tcW w:w="1180" w:type="dxa"/>
            <w:tcBorders>
              <w:bottom w:val="single" w:sz="8" w:space="0" w:color="000000"/>
            </w:tcBorders>
          </w:tcPr>
          <w:p>
            <w:pPr>
              <w:pStyle w:val="TableParagraph"/>
              <w:spacing w:line="169" w:lineRule="exact"/>
              <w:ind w:left="8" w:right="64"/>
              <w:jc w:val="center"/>
              <w:rPr>
                <w:b/>
                <w:sz w:val="16"/>
              </w:rPr>
            </w:pPr>
            <w:r>
              <w:rPr>
                <w:b/>
                <w:spacing w:val="-4"/>
                <w:sz w:val="16"/>
              </w:rPr>
              <w:t>2016</w:t>
            </w:r>
          </w:p>
        </w:tc>
        <w:tc>
          <w:tcPr>
            <w:tcW w:w="1224" w:type="dxa"/>
            <w:tcBorders>
              <w:bottom w:val="single" w:sz="8" w:space="0" w:color="000000"/>
            </w:tcBorders>
          </w:tcPr>
          <w:p>
            <w:pPr>
              <w:pStyle w:val="TableParagraph"/>
              <w:spacing w:line="169" w:lineRule="exact"/>
              <w:ind w:left="390"/>
              <w:rPr>
                <w:b/>
                <w:sz w:val="16"/>
              </w:rPr>
            </w:pPr>
            <w:r>
              <w:rPr>
                <w:b/>
                <w:spacing w:val="-4"/>
                <w:sz w:val="16"/>
              </w:rPr>
              <w:t>2015</w:t>
            </w:r>
          </w:p>
        </w:tc>
        <w:tc>
          <w:tcPr>
            <w:tcW w:w="1180" w:type="dxa"/>
            <w:tcBorders>
              <w:bottom w:val="single" w:sz="8" w:space="0" w:color="000000"/>
            </w:tcBorders>
          </w:tcPr>
          <w:p>
            <w:pPr>
              <w:pStyle w:val="TableParagraph"/>
              <w:spacing w:line="169" w:lineRule="exact"/>
              <w:ind w:left="149"/>
              <w:rPr>
                <w:b/>
                <w:sz w:val="16"/>
              </w:rPr>
            </w:pPr>
            <w:r>
              <w:rPr>
                <w:b/>
                <w:sz w:val="16"/>
              </w:rPr>
              <w:t>2017-</w:t>
            </w:r>
            <w:r>
              <w:rPr>
                <w:b/>
                <w:spacing w:val="-4"/>
                <w:sz w:val="16"/>
              </w:rPr>
              <w:t>2016</w:t>
            </w:r>
          </w:p>
        </w:tc>
        <w:tc>
          <w:tcPr>
            <w:tcW w:w="1057" w:type="dxa"/>
            <w:tcBorders>
              <w:bottom w:val="single" w:sz="8" w:space="0" w:color="000000"/>
            </w:tcBorders>
          </w:tcPr>
          <w:p>
            <w:pPr>
              <w:pStyle w:val="TableParagraph"/>
              <w:spacing w:line="169" w:lineRule="exact"/>
              <w:ind w:left="149"/>
              <w:rPr>
                <w:b/>
                <w:sz w:val="16"/>
              </w:rPr>
            </w:pPr>
            <w:r>
              <w:rPr>
                <w:b/>
                <w:sz w:val="16"/>
              </w:rPr>
              <w:t>2016-</w:t>
            </w:r>
            <w:r>
              <w:rPr>
                <w:b/>
                <w:spacing w:val="-4"/>
                <w:sz w:val="16"/>
              </w:rPr>
              <w:t>2015</w:t>
            </w:r>
          </w:p>
        </w:tc>
      </w:tr>
      <w:tr>
        <w:trPr>
          <w:trHeight w:val="270" w:hRule="atLeast"/>
        </w:trPr>
        <w:tc>
          <w:tcPr>
            <w:tcW w:w="4269" w:type="dxa"/>
            <w:shd w:val="clear" w:color="auto" w:fill="CCEDFF"/>
          </w:tcPr>
          <w:p>
            <w:pPr>
              <w:pStyle w:val="TableParagraph"/>
              <w:spacing w:line="222" w:lineRule="exact"/>
              <w:ind w:left="50"/>
              <w:rPr>
                <w:sz w:val="20"/>
              </w:rPr>
            </w:pPr>
            <w:r>
              <w:rPr>
                <w:spacing w:val="-2"/>
                <w:sz w:val="20"/>
              </w:rPr>
              <w:t>Provision</w:t>
            </w:r>
          </w:p>
        </w:tc>
        <w:tc>
          <w:tcPr>
            <w:tcW w:w="1331" w:type="dxa"/>
            <w:tcBorders>
              <w:top w:val="single" w:sz="8" w:space="0" w:color="000000"/>
            </w:tcBorders>
            <w:shd w:val="clear" w:color="auto" w:fill="CCEDFF"/>
          </w:tcPr>
          <w:p>
            <w:pPr>
              <w:pStyle w:val="TableParagraph"/>
              <w:tabs>
                <w:tab w:pos="644" w:val="left" w:leader="none"/>
              </w:tabs>
              <w:spacing w:line="222" w:lineRule="exact"/>
              <w:ind w:left="241"/>
              <w:rPr>
                <w:sz w:val="20"/>
              </w:rPr>
            </w:pPr>
            <w:r>
              <w:rPr>
                <w:spacing w:val="-10"/>
                <w:sz w:val="20"/>
              </w:rPr>
              <w:t>$</w:t>
            </w:r>
            <w:r>
              <w:rPr>
                <w:sz w:val="20"/>
              </w:rPr>
              <w:tab/>
            </w:r>
            <w:r>
              <w:rPr>
                <w:spacing w:val="-2"/>
                <w:sz w:val="20"/>
              </w:rPr>
              <w:t>443.7</w:t>
            </w:r>
          </w:p>
        </w:tc>
        <w:tc>
          <w:tcPr>
            <w:tcW w:w="1180" w:type="dxa"/>
            <w:tcBorders>
              <w:top w:val="single" w:sz="8" w:space="0" w:color="000000"/>
            </w:tcBorders>
            <w:shd w:val="clear" w:color="auto" w:fill="CCEDFF"/>
          </w:tcPr>
          <w:p>
            <w:pPr>
              <w:pStyle w:val="TableParagraph"/>
              <w:tabs>
                <w:tab w:pos="493" w:val="left" w:leader="none"/>
              </w:tabs>
              <w:spacing w:line="222" w:lineRule="exact"/>
              <w:ind w:left="70"/>
              <w:rPr>
                <w:sz w:val="20"/>
              </w:rPr>
            </w:pPr>
            <w:r>
              <w:rPr>
                <w:spacing w:val="-10"/>
                <w:sz w:val="20"/>
              </w:rPr>
              <w:t>$</w:t>
            </w:r>
            <w:r>
              <w:rPr>
                <w:sz w:val="20"/>
              </w:rPr>
              <w:tab/>
            </w:r>
            <w:r>
              <w:rPr>
                <w:spacing w:val="-2"/>
                <w:sz w:val="20"/>
              </w:rPr>
              <w:t>266.4</w:t>
            </w:r>
          </w:p>
        </w:tc>
        <w:tc>
          <w:tcPr>
            <w:tcW w:w="1224" w:type="dxa"/>
            <w:tcBorders>
              <w:top w:val="single" w:sz="8" w:space="0" w:color="000000"/>
            </w:tcBorders>
            <w:shd w:val="clear" w:color="auto" w:fill="CCEDFF"/>
          </w:tcPr>
          <w:p>
            <w:pPr>
              <w:pStyle w:val="TableParagraph"/>
              <w:tabs>
                <w:tab w:pos="473" w:val="left" w:leader="none"/>
              </w:tabs>
              <w:spacing w:line="222" w:lineRule="exact"/>
              <w:ind w:left="70"/>
              <w:rPr>
                <w:sz w:val="20"/>
              </w:rPr>
            </w:pPr>
            <w:r>
              <w:rPr>
                <w:spacing w:val="-10"/>
                <w:sz w:val="20"/>
              </w:rPr>
              <w:t>$</w:t>
            </w:r>
            <w:r>
              <w:rPr>
                <w:sz w:val="20"/>
              </w:rPr>
              <w:tab/>
            </w:r>
            <w:r>
              <w:rPr>
                <w:spacing w:val="-2"/>
                <w:sz w:val="20"/>
              </w:rPr>
              <w:t>244.2</w:t>
            </w:r>
          </w:p>
        </w:tc>
        <w:tc>
          <w:tcPr>
            <w:tcW w:w="1180" w:type="dxa"/>
            <w:tcBorders>
              <w:top w:val="single" w:sz="8" w:space="0" w:color="000000"/>
            </w:tcBorders>
            <w:shd w:val="clear" w:color="auto" w:fill="CCEDFF"/>
          </w:tcPr>
          <w:p>
            <w:pPr>
              <w:pStyle w:val="TableParagraph"/>
              <w:spacing w:line="222" w:lineRule="exact"/>
              <w:ind w:left="679"/>
              <w:rPr>
                <w:sz w:val="20"/>
              </w:rPr>
            </w:pPr>
            <w:r>
              <w:rPr>
                <w:spacing w:val="-5"/>
                <w:sz w:val="20"/>
              </w:rPr>
              <w:t>67%</w:t>
            </w:r>
          </w:p>
        </w:tc>
        <w:tc>
          <w:tcPr>
            <w:tcW w:w="1057" w:type="dxa"/>
            <w:tcBorders>
              <w:top w:val="single" w:sz="8" w:space="0" w:color="000000"/>
            </w:tcBorders>
            <w:shd w:val="clear" w:color="auto" w:fill="CCEDFF"/>
          </w:tcPr>
          <w:p>
            <w:pPr>
              <w:pStyle w:val="TableParagraph"/>
              <w:spacing w:line="222" w:lineRule="exact"/>
              <w:ind w:right="8"/>
              <w:jc w:val="right"/>
              <w:rPr>
                <w:sz w:val="20"/>
              </w:rPr>
            </w:pPr>
            <w:r>
              <w:rPr>
                <w:spacing w:val="-5"/>
                <w:sz w:val="20"/>
              </w:rPr>
              <w:t>9%</w:t>
            </w:r>
          </w:p>
        </w:tc>
      </w:tr>
      <w:tr>
        <w:trPr>
          <w:trHeight w:val="280" w:hRule="atLeast"/>
        </w:trPr>
        <w:tc>
          <w:tcPr>
            <w:tcW w:w="4269" w:type="dxa"/>
          </w:tcPr>
          <w:p>
            <w:pPr>
              <w:pStyle w:val="TableParagraph"/>
              <w:spacing w:before="2"/>
              <w:ind w:left="170"/>
              <w:rPr>
                <w:sz w:val="20"/>
              </w:rPr>
            </w:pPr>
            <w:r>
              <w:rPr>
                <w:sz w:val="20"/>
              </w:rPr>
              <w:t>Percentage of total </w:t>
            </w:r>
            <w:r>
              <w:rPr>
                <w:spacing w:val="-2"/>
                <w:sz w:val="20"/>
              </w:rPr>
              <w:t>revenue</w:t>
            </w:r>
          </w:p>
        </w:tc>
        <w:tc>
          <w:tcPr>
            <w:tcW w:w="1331" w:type="dxa"/>
          </w:tcPr>
          <w:p>
            <w:pPr>
              <w:pStyle w:val="TableParagraph"/>
              <w:spacing w:before="2"/>
              <w:ind w:right="67"/>
              <w:jc w:val="right"/>
              <w:rPr>
                <w:sz w:val="20"/>
              </w:rPr>
            </w:pPr>
            <w:r>
              <w:rPr>
                <w:spacing w:val="-5"/>
                <w:sz w:val="20"/>
              </w:rPr>
              <w:t>6%</w:t>
            </w:r>
          </w:p>
        </w:tc>
        <w:tc>
          <w:tcPr>
            <w:tcW w:w="1180" w:type="dxa"/>
          </w:tcPr>
          <w:p>
            <w:pPr>
              <w:pStyle w:val="TableParagraph"/>
              <w:spacing w:before="2"/>
              <w:ind w:right="67"/>
              <w:jc w:val="right"/>
              <w:rPr>
                <w:sz w:val="20"/>
              </w:rPr>
            </w:pPr>
            <w:r>
              <w:rPr>
                <w:spacing w:val="-5"/>
                <w:sz w:val="20"/>
              </w:rPr>
              <w:t>5%</w:t>
            </w:r>
          </w:p>
        </w:tc>
        <w:tc>
          <w:tcPr>
            <w:tcW w:w="1224" w:type="dxa"/>
          </w:tcPr>
          <w:p>
            <w:pPr>
              <w:pStyle w:val="TableParagraph"/>
              <w:spacing w:before="2"/>
              <w:ind w:right="131"/>
              <w:jc w:val="right"/>
              <w:rPr>
                <w:sz w:val="20"/>
              </w:rPr>
            </w:pPr>
            <w:r>
              <w:rPr>
                <w:spacing w:val="-5"/>
                <w:sz w:val="20"/>
              </w:rPr>
              <w:t>5%</w:t>
            </w:r>
          </w:p>
        </w:tc>
        <w:tc>
          <w:tcPr>
            <w:tcW w:w="1180" w:type="dxa"/>
          </w:tcPr>
          <w:p>
            <w:pPr>
              <w:pStyle w:val="TableParagraph"/>
              <w:rPr>
                <w:sz w:val="18"/>
              </w:rPr>
            </w:pPr>
          </w:p>
        </w:tc>
        <w:tc>
          <w:tcPr>
            <w:tcW w:w="1057" w:type="dxa"/>
          </w:tcPr>
          <w:p>
            <w:pPr>
              <w:pStyle w:val="TableParagraph"/>
              <w:rPr>
                <w:sz w:val="18"/>
              </w:rPr>
            </w:pPr>
          </w:p>
        </w:tc>
      </w:tr>
      <w:tr>
        <w:trPr>
          <w:trHeight w:val="280" w:hRule="atLeast"/>
        </w:trPr>
        <w:tc>
          <w:tcPr>
            <w:tcW w:w="4269" w:type="dxa"/>
            <w:shd w:val="clear" w:color="auto" w:fill="CCEDFF"/>
          </w:tcPr>
          <w:p>
            <w:pPr>
              <w:pStyle w:val="TableParagraph"/>
              <w:spacing w:before="2"/>
              <w:ind w:left="170"/>
              <w:rPr>
                <w:sz w:val="20"/>
              </w:rPr>
            </w:pPr>
            <w:r>
              <w:rPr>
                <w:sz w:val="20"/>
              </w:rPr>
              <w:t>Effective</w:t>
            </w:r>
            <w:r>
              <w:rPr>
                <w:spacing w:val="-2"/>
                <w:sz w:val="20"/>
              </w:rPr>
              <w:t> </w:t>
            </w:r>
            <w:r>
              <w:rPr>
                <w:sz w:val="20"/>
              </w:rPr>
              <w:t>tax</w:t>
            </w:r>
            <w:r>
              <w:rPr>
                <w:spacing w:val="-2"/>
                <w:sz w:val="20"/>
              </w:rPr>
              <w:t> </w:t>
            </w:r>
            <w:r>
              <w:rPr>
                <w:spacing w:val="-4"/>
                <w:sz w:val="20"/>
              </w:rPr>
              <w:t>rate</w:t>
            </w:r>
          </w:p>
        </w:tc>
        <w:tc>
          <w:tcPr>
            <w:tcW w:w="1331" w:type="dxa"/>
            <w:shd w:val="clear" w:color="auto" w:fill="CCEDFF"/>
          </w:tcPr>
          <w:p>
            <w:pPr>
              <w:pStyle w:val="TableParagraph"/>
              <w:spacing w:before="2"/>
              <w:ind w:right="67"/>
              <w:jc w:val="right"/>
              <w:rPr>
                <w:sz w:val="20"/>
              </w:rPr>
            </w:pPr>
            <w:r>
              <w:rPr>
                <w:spacing w:val="-5"/>
                <w:sz w:val="20"/>
              </w:rPr>
              <w:t>21%</w:t>
            </w:r>
          </w:p>
        </w:tc>
        <w:tc>
          <w:tcPr>
            <w:tcW w:w="1180" w:type="dxa"/>
            <w:shd w:val="clear" w:color="auto" w:fill="CCEDFF"/>
          </w:tcPr>
          <w:p>
            <w:pPr>
              <w:pStyle w:val="TableParagraph"/>
              <w:spacing w:before="2"/>
              <w:ind w:right="67"/>
              <w:jc w:val="right"/>
              <w:rPr>
                <w:sz w:val="20"/>
              </w:rPr>
            </w:pPr>
            <w:r>
              <w:rPr>
                <w:spacing w:val="-5"/>
                <w:sz w:val="20"/>
              </w:rPr>
              <w:t>19%</w:t>
            </w:r>
          </w:p>
        </w:tc>
        <w:tc>
          <w:tcPr>
            <w:tcW w:w="1224" w:type="dxa"/>
            <w:shd w:val="clear" w:color="auto" w:fill="CCEDFF"/>
          </w:tcPr>
          <w:p>
            <w:pPr>
              <w:pStyle w:val="TableParagraph"/>
              <w:spacing w:before="2"/>
              <w:ind w:right="131"/>
              <w:jc w:val="right"/>
              <w:rPr>
                <w:sz w:val="20"/>
              </w:rPr>
            </w:pPr>
            <w:r>
              <w:rPr>
                <w:spacing w:val="-5"/>
                <w:sz w:val="20"/>
              </w:rPr>
              <w:t>28%</w:t>
            </w:r>
          </w:p>
        </w:tc>
        <w:tc>
          <w:tcPr>
            <w:tcW w:w="1180" w:type="dxa"/>
            <w:shd w:val="clear" w:color="auto" w:fill="CCEDFF"/>
          </w:tcPr>
          <w:p>
            <w:pPr>
              <w:pStyle w:val="TableParagraph"/>
              <w:rPr>
                <w:sz w:val="18"/>
              </w:rPr>
            </w:pPr>
          </w:p>
        </w:tc>
        <w:tc>
          <w:tcPr>
            <w:tcW w:w="1057" w:type="dxa"/>
            <w:shd w:val="clear" w:color="auto" w:fill="CCEDFF"/>
          </w:tcPr>
          <w:p>
            <w:pPr>
              <w:pStyle w:val="TableParagraph"/>
              <w:rPr>
                <w:sz w:val="18"/>
              </w:rPr>
            </w:pPr>
          </w:p>
        </w:tc>
      </w:tr>
    </w:tbl>
    <w:p>
      <w:pPr>
        <w:pStyle w:val="BodyText"/>
        <w:spacing w:line="249" w:lineRule="auto" w:before="225"/>
        <w:ind w:left="220" w:right="257" w:firstLine="540"/>
        <w:jc w:val="both"/>
      </w:pPr>
      <w:r>
        <w:rPr>
          <w:spacing w:val="-2"/>
        </w:rPr>
        <w:t>As</w:t>
      </w:r>
      <w:r>
        <w:rPr>
          <w:spacing w:val="-9"/>
        </w:rPr>
        <w:t> </w:t>
      </w:r>
      <w:r>
        <w:rPr>
          <w:spacing w:val="-2"/>
        </w:rPr>
        <w:t>described</w:t>
      </w:r>
      <w:r>
        <w:rPr>
          <w:spacing w:val="-9"/>
        </w:rPr>
        <w:t> </w:t>
      </w:r>
      <w:r>
        <w:rPr>
          <w:spacing w:val="-2"/>
        </w:rPr>
        <w:t>in</w:t>
      </w:r>
      <w:r>
        <w:rPr>
          <w:spacing w:val="-9"/>
        </w:rPr>
        <w:t> </w:t>
      </w:r>
      <w:r>
        <w:rPr>
          <w:i/>
          <w:spacing w:val="-2"/>
        </w:rPr>
        <w:t>Note</w:t>
      </w:r>
      <w:r>
        <w:rPr>
          <w:i/>
          <w:spacing w:val="-9"/>
        </w:rPr>
        <w:t> </w:t>
      </w:r>
      <w:r>
        <w:rPr>
          <w:i/>
          <w:spacing w:val="-2"/>
        </w:rPr>
        <w:t>1</w:t>
      </w:r>
      <w:r>
        <w:rPr>
          <w:i/>
          <w:spacing w:val="-9"/>
        </w:rPr>
        <w:t> </w:t>
      </w:r>
      <w:r>
        <w:rPr>
          <w:i/>
          <w:spacing w:val="-2"/>
        </w:rPr>
        <w:t>of</w:t>
      </w:r>
      <w:r>
        <w:rPr>
          <w:i/>
          <w:spacing w:val="-8"/>
        </w:rPr>
        <w:t> </w:t>
      </w:r>
      <w:r>
        <w:rPr>
          <w:i/>
          <w:spacing w:val="-2"/>
        </w:rPr>
        <w:t>our</w:t>
      </w:r>
      <w:r>
        <w:rPr>
          <w:i/>
          <w:spacing w:val="-9"/>
        </w:rPr>
        <w:t> </w:t>
      </w:r>
      <w:r>
        <w:rPr>
          <w:i/>
          <w:spacing w:val="-2"/>
        </w:rPr>
        <w:t>Notes</w:t>
      </w:r>
      <w:r>
        <w:rPr>
          <w:i/>
          <w:spacing w:val="-8"/>
        </w:rPr>
        <w:t> </w:t>
      </w:r>
      <w:r>
        <w:rPr>
          <w:i/>
          <w:spacing w:val="-2"/>
        </w:rPr>
        <w:t>to</w:t>
      </w:r>
      <w:r>
        <w:rPr>
          <w:i/>
          <w:spacing w:val="-9"/>
        </w:rPr>
        <w:t> </w:t>
      </w:r>
      <w:r>
        <w:rPr>
          <w:i/>
          <w:spacing w:val="-2"/>
        </w:rPr>
        <w:t>Consolidated</w:t>
      </w:r>
      <w:r>
        <w:rPr>
          <w:i/>
          <w:spacing w:val="-9"/>
        </w:rPr>
        <w:t> </w:t>
      </w:r>
      <w:r>
        <w:rPr>
          <w:i/>
          <w:spacing w:val="-2"/>
        </w:rPr>
        <w:t>Financial</w:t>
      </w:r>
      <w:r>
        <w:rPr>
          <w:i/>
          <w:spacing w:val="-9"/>
        </w:rPr>
        <w:t> </w:t>
      </w:r>
      <w:r>
        <w:rPr>
          <w:i/>
          <w:spacing w:val="-2"/>
        </w:rPr>
        <w:t>Statements</w:t>
      </w:r>
      <w:r>
        <w:rPr>
          <w:spacing w:val="-2"/>
        </w:rPr>
        <w:t>,</w:t>
      </w:r>
      <w:r>
        <w:rPr>
          <w:spacing w:val="-9"/>
        </w:rPr>
        <w:t> </w:t>
      </w:r>
      <w:r>
        <w:rPr>
          <w:spacing w:val="-2"/>
        </w:rPr>
        <w:t>we</w:t>
      </w:r>
      <w:r>
        <w:rPr>
          <w:spacing w:val="-9"/>
        </w:rPr>
        <w:t> </w:t>
      </w:r>
      <w:r>
        <w:rPr>
          <w:spacing w:val="-2"/>
        </w:rPr>
        <w:t>early</w:t>
      </w:r>
      <w:r>
        <w:rPr>
          <w:spacing w:val="-9"/>
        </w:rPr>
        <w:t> </w:t>
      </w:r>
      <w:r>
        <w:rPr>
          <w:spacing w:val="-2"/>
        </w:rPr>
        <w:t>adopted</w:t>
      </w:r>
      <w:r>
        <w:rPr>
          <w:spacing w:val="-9"/>
        </w:rPr>
        <w:t> </w:t>
      </w:r>
      <w:r>
        <w:rPr>
          <w:spacing w:val="-2"/>
        </w:rPr>
        <w:t>the</w:t>
      </w:r>
      <w:r>
        <w:rPr>
          <w:spacing w:val="-9"/>
        </w:rPr>
        <w:t> </w:t>
      </w:r>
      <w:r>
        <w:rPr>
          <w:spacing w:val="-2"/>
        </w:rPr>
        <w:t>updated</w:t>
      </w:r>
      <w:r>
        <w:rPr>
          <w:spacing w:val="-9"/>
        </w:rPr>
        <w:t> </w:t>
      </w:r>
      <w:r>
        <w:rPr>
          <w:spacing w:val="-2"/>
        </w:rPr>
        <w:t>accounting</w:t>
      </w:r>
      <w:r>
        <w:rPr>
          <w:spacing w:val="-9"/>
        </w:rPr>
        <w:t> </w:t>
      </w:r>
      <w:r>
        <w:rPr>
          <w:spacing w:val="-2"/>
        </w:rPr>
        <w:t>standard </w:t>
      </w:r>
      <w:r>
        <w:rPr/>
        <w:t>for share-based payment accounting during fiscal 2017.</w:t>
      </w:r>
      <w:r>
        <w:rPr>
          <w:spacing w:val="-12"/>
        </w:rPr>
        <w:t> </w:t>
      </w:r>
      <w:r>
        <w:rPr/>
        <w:t>As a result, we recorded deferred tax attributes that we were previously tracking pursuant to the rules that preceded this standard. The deferred tax asset recorded with the adoption was offset by the establishment of a valuation allowance.</w:t>
      </w:r>
    </w:p>
    <w:p>
      <w:pPr>
        <w:pStyle w:val="BodyText"/>
        <w:spacing w:before="13"/>
      </w:pPr>
    </w:p>
    <w:p>
      <w:pPr>
        <w:pStyle w:val="BodyText"/>
        <w:spacing w:line="249" w:lineRule="auto" w:before="1"/>
        <w:ind w:left="220" w:right="257" w:firstLine="540"/>
        <w:jc w:val="both"/>
      </w:pPr>
      <w:r>
        <w:rPr/>
        <w:t>Our effective tax rate increased by approximately two percentage points during fiscal 2017 as compared to fiscal 2016. The increase was partially related to a one-time tax cost associated with licensing acquired company assets to our trading subsidiaries, offset in part by the recognition of excess tax benefits due to our adoption of new accounting guidance related to </w:t>
      </w:r>
      <w:r>
        <w:rPr>
          <w:spacing w:val="-2"/>
        </w:rPr>
        <w:t>stock-based</w:t>
      </w:r>
      <w:r>
        <w:rPr>
          <w:spacing w:val="-11"/>
        </w:rPr>
        <w:t> </w:t>
      </w:r>
      <w:r>
        <w:rPr>
          <w:spacing w:val="-2"/>
        </w:rPr>
        <w:t>compensation</w:t>
      </w:r>
      <w:r>
        <w:rPr>
          <w:spacing w:val="-10"/>
        </w:rPr>
        <w:t> </w:t>
      </w:r>
      <w:r>
        <w:rPr>
          <w:spacing w:val="-2"/>
        </w:rPr>
        <w:t>and</w:t>
      </w:r>
      <w:r>
        <w:rPr>
          <w:spacing w:val="-11"/>
        </w:rPr>
        <w:t> </w:t>
      </w:r>
      <w:r>
        <w:rPr>
          <w:spacing w:val="-2"/>
        </w:rPr>
        <w:t>the</w:t>
      </w:r>
      <w:r>
        <w:rPr>
          <w:spacing w:val="-10"/>
        </w:rPr>
        <w:t> </w:t>
      </w:r>
      <w:r>
        <w:rPr>
          <w:spacing w:val="-2"/>
        </w:rPr>
        <w:t>completion</w:t>
      </w:r>
      <w:r>
        <w:rPr>
          <w:spacing w:val="-11"/>
        </w:rPr>
        <w:t> </w:t>
      </w:r>
      <w:r>
        <w:rPr>
          <w:spacing w:val="-2"/>
        </w:rPr>
        <w:t>of</w:t>
      </w:r>
      <w:r>
        <w:rPr>
          <w:spacing w:val="-10"/>
        </w:rPr>
        <w:t> </w:t>
      </w:r>
      <w:r>
        <w:rPr>
          <w:spacing w:val="-2"/>
        </w:rPr>
        <w:t>certain</w:t>
      </w:r>
      <w:r>
        <w:rPr>
          <w:spacing w:val="-11"/>
        </w:rPr>
        <w:t> </w:t>
      </w:r>
      <w:r>
        <w:rPr>
          <w:spacing w:val="-2"/>
        </w:rPr>
        <w:t>income</w:t>
      </w:r>
      <w:r>
        <w:rPr>
          <w:spacing w:val="-10"/>
        </w:rPr>
        <w:t> </w:t>
      </w:r>
      <w:r>
        <w:rPr>
          <w:spacing w:val="-2"/>
        </w:rPr>
        <w:t>tax</w:t>
      </w:r>
      <w:r>
        <w:rPr>
          <w:spacing w:val="-11"/>
        </w:rPr>
        <w:t> </w:t>
      </w:r>
      <w:r>
        <w:rPr>
          <w:spacing w:val="-2"/>
        </w:rPr>
        <w:t>examinations.</w:t>
      </w:r>
      <w:r>
        <w:rPr>
          <w:spacing w:val="-10"/>
        </w:rPr>
        <w:t> </w:t>
      </w:r>
      <w:r>
        <w:rPr>
          <w:spacing w:val="-2"/>
        </w:rPr>
        <w:t>In</w:t>
      </w:r>
      <w:r>
        <w:rPr>
          <w:spacing w:val="-11"/>
        </w:rPr>
        <w:t> </w:t>
      </w:r>
      <w:r>
        <w:rPr>
          <w:spacing w:val="-2"/>
        </w:rPr>
        <w:t>addition</w:t>
      </w:r>
      <w:r>
        <w:rPr>
          <w:spacing w:val="-10"/>
        </w:rPr>
        <w:t> </w:t>
      </w:r>
      <w:r>
        <w:rPr>
          <w:spacing w:val="-2"/>
        </w:rPr>
        <w:t>to</w:t>
      </w:r>
      <w:r>
        <w:rPr>
          <w:spacing w:val="-11"/>
        </w:rPr>
        <w:t> </w:t>
      </w:r>
      <w:r>
        <w:rPr>
          <w:spacing w:val="-2"/>
        </w:rPr>
        <w:t>the</w:t>
      </w:r>
      <w:r>
        <w:rPr>
          <w:spacing w:val="-10"/>
        </w:rPr>
        <w:t> </w:t>
      </w:r>
      <w:r>
        <w:rPr>
          <w:spacing w:val="-2"/>
        </w:rPr>
        <w:t>above</w:t>
      </w:r>
      <w:r>
        <w:rPr>
          <w:spacing w:val="-11"/>
        </w:rPr>
        <w:t> </w:t>
      </w:r>
      <w:r>
        <w:rPr>
          <w:spacing w:val="-2"/>
        </w:rPr>
        <w:t>noted</w:t>
      </w:r>
      <w:r>
        <w:rPr>
          <w:spacing w:val="-10"/>
        </w:rPr>
        <w:t> </w:t>
      </w:r>
      <w:r>
        <w:rPr>
          <w:spacing w:val="-2"/>
        </w:rPr>
        <w:t>items,</w:t>
      </w:r>
      <w:r>
        <w:rPr>
          <w:spacing w:val="-11"/>
        </w:rPr>
        <w:t> </w:t>
      </w:r>
      <w:r>
        <w:rPr>
          <w:spacing w:val="-2"/>
        </w:rPr>
        <w:t>the</w:t>
      </w:r>
      <w:r>
        <w:rPr>
          <w:spacing w:val="-10"/>
        </w:rPr>
        <w:t> </w:t>
      </w:r>
      <w:r>
        <w:rPr>
          <w:spacing w:val="-2"/>
        </w:rPr>
        <w:t>effective </w:t>
      </w:r>
      <w:r>
        <w:rPr/>
        <w:t>tax</w:t>
      </w:r>
      <w:r>
        <w:rPr>
          <w:spacing w:val="-1"/>
        </w:rPr>
        <w:t> </w:t>
      </w:r>
      <w:r>
        <w:rPr/>
        <w:t>rate</w:t>
      </w:r>
      <w:r>
        <w:rPr>
          <w:spacing w:val="-2"/>
        </w:rPr>
        <w:t> </w:t>
      </w:r>
      <w:r>
        <w:rPr/>
        <w:t>for</w:t>
      </w:r>
      <w:r>
        <w:rPr>
          <w:spacing w:val="-1"/>
        </w:rPr>
        <w:t> </w:t>
      </w:r>
      <w:r>
        <w:rPr/>
        <w:t>fiscal</w:t>
      </w:r>
      <w:r>
        <w:rPr>
          <w:spacing w:val="-2"/>
        </w:rPr>
        <w:t> </w:t>
      </w:r>
      <w:r>
        <w:rPr/>
        <w:t>2016</w:t>
      </w:r>
      <w:r>
        <w:rPr>
          <w:spacing w:val="-1"/>
        </w:rPr>
        <w:t> </w:t>
      </w:r>
      <w:r>
        <w:rPr/>
        <w:t>included</w:t>
      </w:r>
      <w:r>
        <w:rPr>
          <w:spacing w:val="-1"/>
        </w:rPr>
        <w:t> </w:t>
      </w:r>
      <w:r>
        <w:rPr/>
        <w:t>tax</w:t>
      </w:r>
      <w:r>
        <w:rPr>
          <w:spacing w:val="-1"/>
        </w:rPr>
        <w:t> </w:t>
      </w:r>
      <w:r>
        <w:rPr/>
        <w:t>benefits</w:t>
      </w:r>
      <w:r>
        <w:rPr>
          <w:spacing w:val="-1"/>
        </w:rPr>
        <w:t> </w:t>
      </w:r>
      <w:r>
        <w:rPr/>
        <w:t>recognized</w:t>
      </w:r>
      <w:r>
        <w:rPr>
          <w:spacing w:val="-1"/>
        </w:rPr>
        <w:t> </w:t>
      </w:r>
      <w:r>
        <w:rPr/>
        <w:t>as</w:t>
      </w:r>
      <w:r>
        <w:rPr>
          <w:spacing w:val="-1"/>
        </w:rPr>
        <w:t> </w:t>
      </w:r>
      <w:r>
        <w:rPr/>
        <w:t>a</w:t>
      </w:r>
      <w:r>
        <w:rPr>
          <w:spacing w:val="-1"/>
        </w:rPr>
        <w:t> </w:t>
      </w:r>
      <w:r>
        <w:rPr/>
        <w:t>result</w:t>
      </w:r>
      <w:r>
        <w:rPr>
          <w:spacing w:val="-2"/>
        </w:rPr>
        <w:t> </w:t>
      </w:r>
      <w:r>
        <w:rPr/>
        <w:t>of</w:t>
      </w:r>
      <w:r>
        <w:rPr>
          <w:spacing w:val="-1"/>
        </w:rPr>
        <w:t> </w:t>
      </w:r>
      <w:r>
        <w:rPr/>
        <w:t>the</w:t>
      </w:r>
      <w:r>
        <w:rPr>
          <w:spacing w:val="-1"/>
        </w:rPr>
        <w:t> </w:t>
      </w:r>
      <w:r>
        <w:rPr/>
        <w:t>completion</w:t>
      </w:r>
      <w:r>
        <w:rPr>
          <w:spacing w:val="-1"/>
        </w:rPr>
        <w:t> </w:t>
      </w:r>
      <w:r>
        <w:rPr/>
        <w:t>of</w:t>
      </w:r>
      <w:r>
        <w:rPr>
          <w:spacing w:val="-1"/>
        </w:rPr>
        <w:t> </w:t>
      </w:r>
      <w:r>
        <w:rPr/>
        <w:t>certain</w:t>
      </w:r>
      <w:r>
        <w:rPr>
          <w:spacing w:val="-2"/>
        </w:rPr>
        <w:t> </w:t>
      </w:r>
      <w:r>
        <w:rPr/>
        <w:t>income</w:t>
      </w:r>
      <w:r>
        <w:rPr>
          <w:spacing w:val="-2"/>
        </w:rPr>
        <w:t> </w:t>
      </w:r>
      <w:r>
        <w:rPr/>
        <w:t>tax</w:t>
      </w:r>
      <w:r>
        <w:rPr>
          <w:spacing w:val="-2"/>
        </w:rPr>
        <w:t> </w:t>
      </w:r>
      <w:r>
        <w:rPr/>
        <w:t>examinations,</w:t>
      </w:r>
      <w:r>
        <w:rPr>
          <w:spacing w:val="-1"/>
        </w:rPr>
        <w:t> </w:t>
      </w:r>
      <w:r>
        <w:rPr/>
        <w:t>and</w:t>
      </w:r>
      <w:r>
        <w:rPr>
          <w:spacing w:val="-1"/>
        </w:rPr>
        <w:t> </w:t>
      </w:r>
      <w:r>
        <w:rPr/>
        <w:t>to a</w:t>
      </w:r>
      <w:r>
        <w:rPr>
          <w:spacing w:val="-1"/>
        </w:rPr>
        <w:t> </w:t>
      </w:r>
      <w:r>
        <w:rPr/>
        <w:t>lesser</w:t>
      </w:r>
      <w:r>
        <w:rPr>
          <w:spacing w:val="-1"/>
        </w:rPr>
        <w:t> </w:t>
      </w:r>
      <w:r>
        <w:rPr/>
        <w:t>extent,</w:t>
      </w:r>
      <w:r>
        <w:rPr>
          <w:spacing w:val="-1"/>
        </w:rPr>
        <w:t> </w:t>
      </w:r>
      <w:r>
        <w:rPr/>
        <w:t>a</w:t>
      </w:r>
      <w:r>
        <w:rPr>
          <w:spacing w:val="-1"/>
        </w:rPr>
        <w:t> </w:t>
      </w:r>
      <w:r>
        <w:rPr/>
        <w:t>one-time</w:t>
      </w:r>
      <w:r>
        <w:rPr>
          <w:spacing w:val="-1"/>
        </w:rPr>
        <w:t> </w:t>
      </w:r>
      <w:r>
        <w:rPr/>
        <w:t>tax</w:t>
      </w:r>
      <w:r>
        <w:rPr>
          <w:spacing w:val="-1"/>
        </w:rPr>
        <w:t> </w:t>
      </w:r>
      <w:r>
        <w:rPr/>
        <w:t>benefit</w:t>
      </w:r>
      <w:r>
        <w:rPr>
          <w:spacing w:val="-1"/>
        </w:rPr>
        <w:t> </w:t>
      </w:r>
      <w:r>
        <w:rPr/>
        <w:t>related</w:t>
      </w:r>
      <w:r>
        <w:rPr>
          <w:spacing w:val="-1"/>
        </w:rPr>
        <w:t> </w:t>
      </w:r>
      <w:r>
        <w:rPr/>
        <w:t>to</w:t>
      </w:r>
      <w:r>
        <w:rPr>
          <w:spacing w:val="-1"/>
        </w:rPr>
        <w:t> </w:t>
      </w:r>
      <w:r>
        <w:rPr/>
        <w:t>the</w:t>
      </w:r>
      <w:r>
        <w:rPr>
          <w:spacing w:val="-1"/>
        </w:rPr>
        <w:t> </w:t>
      </w:r>
      <w:r>
        <w:rPr/>
        <w:t>retroactive</w:t>
      </w:r>
      <w:r>
        <w:rPr>
          <w:spacing w:val="-1"/>
        </w:rPr>
        <w:t> </w:t>
      </w:r>
      <w:r>
        <w:rPr/>
        <w:t>reinstatement</w:t>
      </w:r>
      <w:r>
        <w:rPr>
          <w:spacing w:val="-1"/>
        </w:rPr>
        <w:t> </w:t>
      </w:r>
      <w:r>
        <w:rPr/>
        <w:t>of</w:t>
      </w:r>
      <w:r>
        <w:rPr>
          <w:spacing w:val="-1"/>
        </w:rPr>
        <w:t> </w:t>
      </w:r>
      <w:r>
        <w:rPr/>
        <w:t>the</w:t>
      </w:r>
      <w:r>
        <w:rPr>
          <w:spacing w:val="-1"/>
        </w:rPr>
        <w:t> </w:t>
      </w:r>
      <w:r>
        <w:rPr/>
        <w:t>fiscal</w:t>
      </w:r>
      <w:r>
        <w:rPr>
          <w:spacing w:val="-1"/>
        </w:rPr>
        <w:t> </w:t>
      </w:r>
      <w:r>
        <w:rPr/>
        <w:t>2015</w:t>
      </w:r>
      <w:r>
        <w:rPr>
          <w:spacing w:val="-1"/>
        </w:rPr>
        <w:t> </w:t>
      </w:r>
      <w:r>
        <w:rPr/>
        <w:t>U.S.</w:t>
      </w:r>
      <w:r>
        <w:rPr>
          <w:spacing w:val="-1"/>
        </w:rPr>
        <w:t> </w:t>
      </w:r>
      <w:r>
        <w:rPr/>
        <w:t>Research</w:t>
      </w:r>
      <w:r>
        <w:rPr>
          <w:spacing w:val="-1"/>
        </w:rPr>
        <w:t> </w:t>
      </w:r>
      <w:r>
        <w:rPr/>
        <w:t>and</w:t>
      </w:r>
      <w:r>
        <w:rPr>
          <w:spacing w:val="-1"/>
        </w:rPr>
        <w:t> </w:t>
      </w:r>
      <w:r>
        <w:rPr/>
        <w:t>Development </w:t>
      </w:r>
      <w:r>
        <w:rPr>
          <w:spacing w:val="-2"/>
        </w:rPr>
        <w:t>credit.</w:t>
      </w:r>
    </w:p>
    <w:p>
      <w:pPr>
        <w:pStyle w:val="BodyText"/>
        <w:spacing w:before="15"/>
      </w:pPr>
    </w:p>
    <w:p>
      <w:pPr>
        <w:pStyle w:val="BodyText"/>
        <w:spacing w:line="249" w:lineRule="auto"/>
        <w:ind w:left="220" w:right="257" w:firstLine="540"/>
        <w:jc w:val="both"/>
      </w:pPr>
      <w:r>
        <w:rPr/>
        <w:t>Our effective tax rate decreased by approximately nine percentage points during fiscal 2016 as compared to fiscal 2015. The decrease was primarily due to tax benefits recognized as a result of the completion of certain income tax examinations and the</w:t>
      </w:r>
      <w:r>
        <w:rPr>
          <w:spacing w:val="-3"/>
        </w:rPr>
        <w:t> </w:t>
      </w:r>
      <w:r>
        <w:rPr/>
        <w:t>permanent</w:t>
      </w:r>
      <w:r>
        <w:rPr>
          <w:spacing w:val="-4"/>
        </w:rPr>
        <w:t> </w:t>
      </w:r>
      <w:r>
        <w:rPr/>
        <w:t>extension</w:t>
      </w:r>
      <w:r>
        <w:rPr>
          <w:spacing w:val="-4"/>
        </w:rPr>
        <w:t> </w:t>
      </w:r>
      <w:r>
        <w:rPr/>
        <w:t>of</w:t>
      </w:r>
      <w:r>
        <w:rPr>
          <w:spacing w:val="-3"/>
        </w:rPr>
        <w:t> </w:t>
      </w:r>
      <w:r>
        <w:rPr/>
        <w:t>the</w:t>
      </w:r>
      <w:r>
        <w:rPr>
          <w:spacing w:val="-4"/>
        </w:rPr>
        <w:t> </w:t>
      </w:r>
      <w:r>
        <w:rPr/>
        <w:t>U.S.</w:t>
      </w:r>
      <w:r>
        <w:rPr>
          <w:spacing w:val="-3"/>
        </w:rPr>
        <w:t> </w:t>
      </w:r>
      <w:r>
        <w:rPr/>
        <w:t>Research</w:t>
      </w:r>
      <w:r>
        <w:rPr>
          <w:spacing w:val="-4"/>
        </w:rPr>
        <w:t> </w:t>
      </w:r>
      <w:r>
        <w:rPr/>
        <w:t>and</w:t>
      </w:r>
      <w:r>
        <w:rPr>
          <w:spacing w:val="-3"/>
        </w:rPr>
        <w:t> </w:t>
      </w:r>
      <w:r>
        <w:rPr/>
        <w:t>Development</w:t>
      </w:r>
      <w:r>
        <w:rPr>
          <w:spacing w:val="-4"/>
        </w:rPr>
        <w:t> </w:t>
      </w:r>
      <w:r>
        <w:rPr/>
        <w:t>credit</w:t>
      </w:r>
      <w:r>
        <w:rPr>
          <w:spacing w:val="-4"/>
        </w:rPr>
        <w:t> </w:t>
      </w:r>
      <w:r>
        <w:rPr/>
        <w:t>for</w:t>
      </w:r>
      <w:r>
        <w:rPr>
          <w:spacing w:val="-3"/>
        </w:rPr>
        <w:t> </w:t>
      </w:r>
      <w:r>
        <w:rPr/>
        <w:t>2015</w:t>
      </w:r>
      <w:r>
        <w:rPr>
          <w:spacing w:val="-3"/>
        </w:rPr>
        <w:t> </w:t>
      </w:r>
      <w:r>
        <w:rPr/>
        <w:t>and</w:t>
      </w:r>
      <w:r>
        <w:rPr>
          <w:spacing w:val="-3"/>
        </w:rPr>
        <w:t> </w:t>
      </w:r>
      <w:r>
        <w:rPr/>
        <w:t>onward.</w:t>
      </w:r>
      <w:r>
        <w:rPr>
          <w:spacing w:val="-7"/>
        </w:rPr>
        <w:t> </w:t>
      </w:r>
      <w:r>
        <w:rPr/>
        <w:t>The</w:t>
      </w:r>
      <w:r>
        <w:rPr>
          <w:spacing w:val="-4"/>
        </w:rPr>
        <w:t> </w:t>
      </w:r>
      <w:r>
        <w:rPr/>
        <w:t>reinstatement</w:t>
      </w:r>
      <w:r>
        <w:rPr>
          <w:spacing w:val="-4"/>
        </w:rPr>
        <w:t> </w:t>
      </w:r>
      <w:r>
        <w:rPr/>
        <w:t>of</w:t>
      </w:r>
      <w:r>
        <w:rPr>
          <w:spacing w:val="-3"/>
        </w:rPr>
        <w:t> </w:t>
      </w:r>
      <w:r>
        <w:rPr/>
        <w:t>the</w:t>
      </w:r>
      <w:r>
        <w:rPr>
          <w:spacing w:val="-4"/>
        </w:rPr>
        <w:t> </w:t>
      </w:r>
      <w:r>
        <w:rPr/>
        <w:t>credit</w:t>
      </w:r>
      <w:r>
        <w:rPr>
          <w:spacing w:val="-4"/>
        </w:rPr>
        <w:t> </w:t>
      </w:r>
      <w:r>
        <w:rPr/>
        <w:t>was retroactive</w:t>
      </w:r>
      <w:r>
        <w:rPr>
          <w:spacing w:val="-11"/>
        </w:rPr>
        <w:t> </w:t>
      </w:r>
      <w:r>
        <w:rPr/>
        <w:t>to</w:t>
      </w:r>
      <w:r>
        <w:rPr>
          <w:spacing w:val="-5"/>
        </w:rPr>
        <w:t> </w:t>
      </w:r>
      <w:r>
        <w:rPr/>
        <w:t>January</w:t>
      </w:r>
      <w:r>
        <w:rPr>
          <w:spacing w:val="-5"/>
        </w:rPr>
        <w:t> </w:t>
      </w:r>
      <w:r>
        <w:rPr/>
        <w:t>1,</w:t>
      </w:r>
      <w:r>
        <w:rPr>
          <w:spacing w:val="-5"/>
        </w:rPr>
        <w:t> </w:t>
      </w:r>
      <w:r>
        <w:rPr/>
        <w:t>2015.</w:t>
      </w:r>
      <w:r>
        <w:rPr>
          <w:spacing w:val="-13"/>
        </w:rPr>
        <w:t> </w:t>
      </w:r>
      <w:r>
        <w:rPr/>
        <w:t>A</w:t>
      </w:r>
      <w:r>
        <w:rPr>
          <w:spacing w:val="-12"/>
        </w:rPr>
        <w:t> </w:t>
      </w:r>
      <w:r>
        <w:rPr/>
        <w:t>tax</w:t>
      </w:r>
      <w:r>
        <w:rPr>
          <w:spacing w:val="-5"/>
        </w:rPr>
        <w:t> </w:t>
      </w:r>
      <w:r>
        <w:rPr/>
        <w:t>benefit</w:t>
      </w:r>
      <w:r>
        <w:rPr>
          <w:spacing w:val="-6"/>
        </w:rPr>
        <w:t> </w:t>
      </w:r>
      <w:r>
        <w:rPr/>
        <w:t>for</w:t>
      </w:r>
      <w:r>
        <w:rPr>
          <w:spacing w:val="-5"/>
        </w:rPr>
        <w:t> </w:t>
      </w:r>
      <w:r>
        <w:rPr/>
        <w:t>the</w:t>
      </w:r>
      <w:r>
        <w:rPr>
          <w:spacing w:val="-5"/>
        </w:rPr>
        <w:t> </w:t>
      </w:r>
      <w:r>
        <w:rPr/>
        <w:t>credit</w:t>
      </w:r>
      <w:r>
        <w:rPr>
          <w:spacing w:val="-6"/>
        </w:rPr>
        <w:t> </w:t>
      </w:r>
      <w:r>
        <w:rPr/>
        <w:t>relating</w:t>
      </w:r>
      <w:r>
        <w:rPr>
          <w:spacing w:val="-5"/>
        </w:rPr>
        <w:t> </w:t>
      </w:r>
      <w:r>
        <w:rPr/>
        <w:t>to</w:t>
      </w:r>
      <w:r>
        <w:rPr>
          <w:spacing w:val="-5"/>
        </w:rPr>
        <w:t> </w:t>
      </w:r>
      <w:r>
        <w:rPr/>
        <w:t>fiscal</w:t>
      </w:r>
      <w:r>
        <w:rPr>
          <w:spacing w:val="-6"/>
        </w:rPr>
        <w:t> </w:t>
      </w:r>
      <w:r>
        <w:rPr/>
        <w:t>2015</w:t>
      </w:r>
      <w:r>
        <w:rPr>
          <w:spacing w:val="-5"/>
        </w:rPr>
        <w:t> </w:t>
      </w:r>
      <w:r>
        <w:rPr/>
        <w:t>was</w:t>
      </w:r>
      <w:r>
        <w:rPr>
          <w:spacing w:val="-5"/>
        </w:rPr>
        <w:t> </w:t>
      </w:r>
      <w:r>
        <w:rPr/>
        <w:t>reflected</w:t>
      </w:r>
      <w:r>
        <w:rPr>
          <w:spacing w:val="-5"/>
        </w:rPr>
        <w:t> </w:t>
      </w:r>
      <w:r>
        <w:rPr/>
        <w:t>in</w:t>
      </w:r>
      <w:r>
        <w:rPr>
          <w:spacing w:val="-5"/>
        </w:rPr>
        <w:t> </w:t>
      </w:r>
      <w:r>
        <w:rPr/>
        <w:t>its</w:t>
      </w:r>
      <w:r>
        <w:rPr>
          <w:spacing w:val="-5"/>
        </w:rPr>
        <w:t> </w:t>
      </w:r>
      <w:r>
        <w:rPr/>
        <w:t>entirety</w:t>
      </w:r>
      <w:r>
        <w:rPr>
          <w:spacing w:val="-5"/>
        </w:rPr>
        <w:t> </w:t>
      </w:r>
      <w:r>
        <w:rPr/>
        <w:t>in</w:t>
      </w:r>
      <w:r>
        <w:rPr>
          <w:spacing w:val="-5"/>
        </w:rPr>
        <w:t> </w:t>
      </w:r>
      <w:r>
        <w:rPr/>
        <w:t>the</w:t>
      </w:r>
      <w:r>
        <w:rPr>
          <w:spacing w:val="-5"/>
        </w:rPr>
        <w:t> </w:t>
      </w:r>
      <w:r>
        <w:rPr/>
        <w:t>first</w:t>
      </w:r>
      <w:r>
        <w:rPr>
          <w:spacing w:val="-5"/>
        </w:rPr>
        <w:t> </w:t>
      </w:r>
      <w:r>
        <w:rPr/>
        <w:t>quarter</w:t>
      </w:r>
      <w:r>
        <w:rPr>
          <w:spacing w:val="-5"/>
        </w:rPr>
        <w:t> </w:t>
      </w:r>
      <w:r>
        <w:rPr/>
        <w:t>of fiscal 2016. The decrease was partially offset by stronger domestic profits for fiscal 2016. In addition, the fiscal 2015 effective tax rate included one-time tax costs associated with licensing acquired company assets to</w:t>
      </w:r>
      <w:r>
        <w:rPr>
          <w:spacing w:val="-10"/>
        </w:rPr>
        <w:t> </w:t>
      </w:r>
      <w:r>
        <w:rPr/>
        <w:t>Adobe’s trading companies, offset by tax benefits for the temporary reinstatement of the U.S. Research and Development credit in December 2014.</w:t>
      </w:r>
    </w:p>
    <w:p>
      <w:pPr>
        <w:pStyle w:val="BodyText"/>
        <w:spacing w:before="16"/>
      </w:pPr>
    </w:p>
    <w:p>
      <w:pPr>
        <w:pStyle w:val="BodyText"/>
        <w:spacing w:line="249" w:lineRule="auto"/>
        <w:ind w:left="220" w:right="257" w:firstLine="540"/>
        <w:jc w:val="both"/>
      </w:pPr>
      <w:r>
        <w:rPr>
          <w:spacing w:val="-2"/>
        </w:rPr>
        <w:t>We</w:t>
      </w:r>
      <w:r>
        <w:rPr>
          <w:spacing w:val="-11"/>
        </w:rPr>
        <w:t> </w:t>
      </w:r>
      <w:r>
        <w:rPr>
          <w:spacing w:val="-2"/>
        </w:rPr>
        <w:t>are</w:t>
      </w:r>
      <w:r>
        <w:rPr>
          <w:spacing w:val="-10"/>
        </w:rPr>
        <w:t> </w:t>
      </w:r>
      <w:r>
        <w:rPr>
          <w:spacing w:val="-2"/>
        </w:rPr>
        <w:t>a</w:t>
      </w:r>
      <w:r>
        <w:rPr>
          <w:spacing w:val="-11"/>
        </w:rPr>
        <w:t> </w:t>
      </w:r>
      <w:r>
        <w:rPr>
          <w:spacing w:val="-2"/>
        </w:rPr>
        <w:t>United</w:t>
      </w:r>
      <w:r>
        <w:rPr>
          <w:spacing w:val="-10"/>
        </w:rPr>
        <w:t> </w:t>
      </w:r>
      <w:r>
        <w:rPr>
          <w:spacing w:val="-2"/>
        </w:rPr>
        <w:t>States-based</w:t>
      </w:r>
      <w:r>
        <w:rPr>
          <w:spacing w:val="-11"/>
        </w:rPr>
        <w:t> </w:t>
      </w:r>
      <w:r>
        <w:rPr>
          <w:spacing w:val="-2"/>
        </w:rPr>
        <w:t>multinational</w:t>
      </w:r>
      <w:r>
        <w:rPr>
          <w:spacing w:val="-10"/>
        </w:rPr>
        <w:t> </w:t>
      </w:r>
      <w:r>
        <w:rPr>
          <w:spacing w:val="-2"/>
        </w:rPr>
        <w:t>company</w:t>
      </w:r>
      <w:r>
        <w:rPr>
          <w:spacing w:val="-11"/>
        </w:rPr>
        <w:t> </w:t>
      </w:r>
      <w:r>
        <w:rPr>
          <w:spacing w:val="-2"/>
        </w:rPr>
        <w:t>subject</w:t>
      </w:r>
      <w:r>
        <w:rPr>
          <w:spacing w:val="-10"/>
        </w:rPr>
        <w:t> </w:t>
      </w:r>
      <w:r>
        <w:rPr>
          <w:spacing w:val="-2"/>
        </w:rPr>
        <w:t>to</w:t>
      </w:r>
      <w:r>
        <w:rPr>
          <w:spacing w:val="-11"/>
        </w:rPr>
        <w:t> </w:t>
      </w:r>
      <w:r>
        <w:rPr>
          <w:spacing w:val="-2"/>
        </w:rPr>
        <w:t>tax</w:t>
      </w:r>
      <w:r>
        <w:rPr>
          <w:spacing w:val="-10"/>
        </w:rPr>
        <w:t> </w:t>
      </w:r>
      <w:r>
        <w:rPr>
          <w:spacing w:val="-2"/>
        </w:rPr>
        <w:t>in</w:t>
      </w:r>
      <w:r>
        <w:rPr>
          <w:spacing w:val="-11"/>
        </w:rPr>
        <w:t> </w:t>
      </w:r>
      <w:r>
        <w:rPr>
          <w:spacing w:val="-2"/>
        </w:rPr>
        <w:t>multiple</w:t>
      </w:r>
      <w:r>
        <w:rPr>
          <w:spacing w:val="-10"/>
        </w:rPr>
        <w:t> </w:t>
      </w:r>
      <w:r>
        <w:rPr>
          <w:spacing w:val="-2"/>
        </w:rPr>
        <w:t>U.S.</w:t>
      </w:r>
      <w:r>
        <w:rPr>
          <w:spacing w:val="-11"/>
        </w:rPr>
        <w:t> </w:t>
      </w:r>
      <w:r>
        <w:rPr>
          <w:spacing w:val="-2"/>
        </w:rPr>
        <w:t>and</w:t>
      </w:r>
      <w:r>
        <w:rPr>
          <w:spacing w:val="-10"/>
        </w:rPr>
        <w:t> </w:t>
      </w:r>
      <w:r>
        <w:rPr>
          <w:spacing w:val="-2"/>
        </w:rPr>
        <w:t>foreign</w:t>
      </w:r>
      <w:r>
        <w:rPr>
          <w:spacing w:val="-11"/>
        </w:rPr>
        <w:t> </w:t>
      </w:r>
      <w:r>
        <w:rPr>
          <w:spacing w:val="-2"/>
        </w:rPr>
        <w:t>tax</w:t>
      </w:r>
      <w:r>
        <w:rPr>
          <w:spacing w:val="-10"/>
        </w:rPr>
        <w:t> </w:t>
      </w:r>
      <w:r>
        <w:rPr>
          <w:spacing w:val="-2"/>
        </w:rPr>
        <w:t>jurisdictions.</w:t>
      </w:r>
      <w:r>
        <w:rPr>
          <w:spacing w:val="-11"/>
        </w:rPr>
        <w:t> </w:t>
      </w:r>
      <w:r>
        <w:rPr>
          <w:spacing w:val="-2"/>
        </w:rPr>
        <w:t>Asignificant </w:t>
      </w:r>
      <w:r>
        <w:rPr/>
        <w:t>portion of our foreign earnings for the current fiscal year was earned by our Irish subsidiaries. In addition to providing for U.S. income</w:t>
      </w:r>
      <w:r>
        <w:rPr>
          <w:spacing w:val="-7"/>
        </w:rPr>
        <w:t> </w:t>
      </w:r>
      <w:r>
        <w:rPr/>
        <w:t>taxes</w:t>
      </w:r>
      <w:r>
        <w:rPr>
          <w:spacing w:val="-6"/>
        </w:rPr>
        <w:t> </w:t>
      </w:r>
      <w:r>
        <w:rPr/>
        <w:t>on</w:t>
      </w:r>
      <w:r>
        <w:rPr>
          <w:spacing w:val="-7"/>
        </w:rPr>
        <w:t> </w:t>
      </w:r>
      <w:r>
        <w:rPr/>
        <w:t>earnings</w:t>
      </w:r>
      <w:r>
        <w:rPr>
          <w:spacing w:val="-6"/>
        </w:rPr>
        <w:t> </w:t>
      </w:r>
      <w:r>
        <w:rPr/>
        <w:t>from</w:t>
      </w:r>
      <w:r>
        <w:rPr>
          <w:spacing w:val="-7"/>
        </w:rPr>
        <w:t> </w:t>
      </w:r>
      <w:r>
        <w:rPr/>
        <w:t>the</w:t>
      </w:r>
      <w:r>
        <w:rPr>
          <w:spacing w:val="-7"/>
        </w:rPr>
        <w:t> </w:t>
      </w:r>
      <w:r>
        <w:rPr/>
        <w:t>United</w:t>
      </w:r>
      <w:r>
        <w:rPr>
          <w:spacing w:val="-7"/>
        </w:rPr>
        <w:t> </w:t>
      </w:r>
      <w:r>
        <w:rPr/>
        <w:t>States,</w:t>
      </w:r>
      <w:r>
        <w:rPr>
          <w:spacing w:val="-7"/>
        </w:rPr>
        <w:t> </w:t>
      </w:r>
      <w:r>
        <w:rPr/>
        <w:t>we</w:t>
      </w:r>
      <w:r>
        <w:rPr>
          <w:spacing w:val="-7"/>
        </w:rPr>
        <w:t> </w:t>
      </w:r>
      <w:r>
        <w:rPr/>
        <w:t>provide</w:t>
      </w:r>
      <w:r>
        <w:rPr>
          <w:spacing w:val="-7"/>
        </w:rPr>
        <w:t> </w:t>
      </w:r>
      <w:r>
        <w:rPr/>
        <w:t>for</w:t>
      </w:r>
      <w:r>
        <w:rPr>
          <w:spacing w:val="-7"/>
        </w:rPr>
        <w:t> </w:t>
      </w:r>
      <w:r>
        <w:rPr/>
        <w:t>U.S.</w:t>
      </w:r>
      <w:r>
        <w:rPr>
          <w:spacing w:val="-7"/>
        </w:rPr>
        <w:t> </w:t>
      </w:r>
      <w:r>
        <w:rPr/>
        <w:t>income</w:t>
      </w:r>
      <w:r>
        <w:rPr>
          <w:spacing w:val="-7"/>
        </w:rPr>
        <w:t> </w:t>
      </w:r>
      <w:r>
        <w:rPr/>
        <w:t>taxes</w:t>
      </w:r>
      <w:r>
        <w:rPr>
          <w:spacing w:val="-7"/>
        </w:rPr>
        <w:t> </w:t>
      </w:r>
      <w:r>
        <w:rPr/>
        <w:t>on</w:t>
      </w:r>
      <w:r>
        <w:rPr>
          <w:spacing w:val="-7"/>
        </w:rPr>
        <w:t> </w:t>
      </w:r>
      <w:r>
        <w:rPr/>
        <w:t>the</w:t>
      </w:r>
      <w:r>
        <w:rPr>
          <w:spacing w:val="-7"/>
        </w:rPr>
        <w:t> </w:t>
      </w:r>
      <w:r>
        <w:rPr/>
        <w:t>earnings</w:t>
      </w:r>
      <w:r>
        <w:rPr>
          <w:spacing w:val="-7"/>
        </w:rPr>
        <w:t> </w:t>
      </w:r>
      <w:r>
        <w:rPr/>
        <w:t>of</w:t>
      </w:r>
      <w:r>
        <w:rPr>
          <w:spacing w:val="-7"/>
        </w:rPr>
        <w:t> </w:t>
      </w:r>
      <w:r>
        <w:rPr/>
        <w:t>foreign</w:t>
      </w:r>
      <w:r>
        <w:rPr>
          <w:spacing w:val="-7"/>
        </w:rPr>
        <w:t> </w:t>
      </w:r>
      <w:r>
        <w:rPr/>
        <w:t>subsidiaries</w:t>
      </w:r>
      <w:r>
        <w:rPr>
          <w:spacing w:val="-6"/>
        </w:rPr>
        <w:t> </w:t>
      </w:r>
      <w:r>
        <w:rPr/>
        <w:t>unless the</w:t>
      </w:r>
      <w:r>
        <w:rPr>
          <w:spacing w:val="-6"/>
        </w:rPr>
        <w:t> </w:t>
      </w:r>
      <w:r>
        <w:rPr/>
        <w:t>subsidiaries’</w:t>
      </w:r>
      <w:r>
        <w:rPr>
          <w:spacing w:val="-13"/>
        </w:rPr>
        <w:t> </w:t>
      </w:r>
      <w:r>
        <w:rPr/>
        <w:t>earnings</w:t>
      </w:r>
      <w:r>
        <w:rPr>
          <w:spacing w:val="-1"/>
        </w:rPr>
        <w:t> </w:t>
      </w:r>
      <w:r>
        <w:rPr/>
        <w:t>are</w:t>
      </w:r>
      <w:r>
        <w:rPr>
          <w:spacing w:val="-2"/>
        </w:rPr>
        <w:t> </w:t>
      </w:r>
      <w:r>
        <w:rPr/>
        <w:t>considered</w:t>
      </w:r>
      <w:r>
        <w:rPr>
          <w:spacing w:val="-2"/>
        </w:rPr>
        <w:t> </w:t>
      </w:r>
      <w:r>
        <w:rPr/>
        <w:t>permanently</w:t>
      </w:r>
      <w:r>
        <w:rPr>
          <w:spacing w:val="-2"/>
        </w:rPr>
        <w:t> </w:t>
      </w:r>
      <w:r>
        <w:rPr/>
        <w:t>reinvested</w:t>
      </w:r>
      <w:r>
        <w:rPr>
          <w:spacing w:val="-2"/>
        </w:rPr>
        <w:t> </w:t>
      </w:r>
      <w:r>
        <w:rPr/>
        <w:t>outside</w:t>
      </w:r>
      <w:r>
        <w:rPr>
          <w:spacing w:val="-2"/>
        </w:rPr>
        <w:t> </w:t>
      </w:r>
      <w:r>
        <w:rPr/>
        <w:t>the</w:t>
      </w:r>
      <w:r>
        <w:rPr>
          <w:spacing w:val="-2"/>
        </w:rPr>
        <w:t> </w:t>
      </w:r>
      <w:r>
        <w:rPr/>
        <w:t>United</w:t>
      </w:r>
      <w:r>
        <w:rPr>
          <w:spacing w:val="-2"/>
        </w:rPr>
        <w:t> </w:t>
      </w:r>
      <w:r>
        <w:rPr/>
        <w:t>States.</w:t>
      </w:r>
      <w:r>
        <w:rPr>
          <w:spacing w:val="-5"/>
        </w:rPr>
        <w:t> </w:t>
      </w:r>
      <w:r>
        <w:rPr/>
        <w:t>While</w:t>
      </w:r>
      <w:r>
        <w:rPr>
          <w:spacing w:val="-2"/>
        </w:rPr>
        <w:t> </w:t>
      </w:r>
      <w:r>
        <w:rPr/>
        <w:t>we</w:t>
      </w:r>
      <w:r>
        <w:rPr>
          <w:spacing w:val="-2"/>
        </w:rPr>
        <w:t> </w:t>
      </w:r>
      <w:r>
        <w:rPr/>
        <w:t>do</w:t>
      </w:r>
      <w:r>
        <w:rPr>
          <w:spacing w:val="-2"/>
        </w:rPr>
        <w:t> </w:t>
      </w:r>
      <w:r>
        <w:rPr/>
        <w:t>not</w:t>
      </w:r>
      <w:r>
        <w:rPr>
          <w:spacing w:val="-2"/>
        </w:rPr>
        <w:t> </w:t>
      </w:r>
      <w:r>
        <w:rPr/>
        <w:t>anticipate</w:t>
      </w:r>
      <w:r>
        <w:rPr>
          <w:spacing w:val="-2"/>
        </w:rPr>
        <w:t> </w:t>
      </w:r>
      <w:r>
        <w:rPr/>
        <w:t>changing our</w:t>
      </w:r>
      <w:r>
        <w:rPr>
          <w:spacing w:val="-11"/>
        </w:rPr>
        <w:t> </w:t>
      </w:r>
      <w:r>
        <w:rPr/>
        <w:t>intention</w:t>
      </w:r>
      <w:r>
        <w:rPr>
          <w:spacing w:val="-11"/>
        </w:rPr>
        <w:t> </w:t>
      </w:r>
      <w:r>
        <w:rPr/>
        <w:t>regarding</w:t>
      </w:r>
      <w:r>
        <w:rPr>
          <w:spacing w:val="-11"/>
        </w:rPr>
        <w:t> </w:t>
      </w:r>
      <w:r>
        <w:rPr/>
        <w:t>permanently</w:t>
      </w:r>
      <w:r>
        <w:rPr>
          <w:spacing w:val="-11"/>
        </w:rPr>
        <w:t> </w:t>
      </w:r>
      <w:r>
        <w:rPr/>
        <w:t>reinvested</w:t>
      </w:r>
      <w:r>
        <w:rPr>
          <w:spacing w:val="-11"/>
        </w:rPr>
        <w:t> </w:t>
      </w:r>
      <w:r>
        <w:rPr/>
        <w:t>earnings</w:t>
      </w:r>
      <w:r>
        <w:rPr>
          <w:spacing w:val="-11"/>
        </w:rPr>
        <w:t> </w:t>
      </w:r>
      <w:r>
        <w:rPr/>
        <w:t>as</w:t>
      </w:r>
      <w:r>
        <w:rPr>
          <w:spacing w:val="-11"/>
        </w:rPr>
        <w:t> </w:t>
      </w:r>
      <w:r>
        <w:rPr/>
        <w:t>of</w:t>
      </w:r>
      <w:r>
        <w:rPr>
          <w:spacing w:val="-11"/>
        </w:rPr>
        <w:t> </w:t>
      </w:r>
      <w:r>
        <w:rPr/>
        <w:t>the</w:t>
      </w:r>
      <w:r>
        <w:rPr>
          <w:spacing w:val="-11"/>
        </w:rPr>
        <w:t> </w:t>
      </w:r>
      <w:r>
        <w:rPr/>
        <w:t>balance</w:t>
      </w:r>
      <w:r>
        <w:rPr>
          <w:spacing w:val="-11"/>
        </w:rPr>
        <w:t> </w:t>
      </w:r>
      <w:r>
        <w:rPr/>
        <w:t>sheet</w:t>
      </w:r>
      <w:r>
        <w:rPr>
          <w:spacing w:val="-11"/>
        </w:rPr>
        <w:t> </w:t>
      </w:r>
      <w:r>
        <w:rPr/>
        <w:t>date,</w:t>
      </w:r>
      <w:r>
        <w:rPr>
          <w:spacing w:val="-11"/>
        </w:rPr>
        <w:t> </w:t>
      </w:r>
      <w:r>
        <w:rPr/>
        <w:t>if</w:t>
      </w:r>
      <w:r>
        <w:rPr>
          <w:spacing w:val="-11"/>
        </w:rPr>
        <w:t> </w:t>
      </w:r>
      <w:r>
        <w:rPr/>
        <w:t>certain</w:t>
      </w:r>
      <w:r>
        <w:rPr>
          <w:spacing w:val="-11"/>
        </w:rPr>
        <w:t> </w:t>
      </w:r>
      <w:r>
        <w:rPr/>
        <w:t>foreign</w:t>
      </w:r>
      <w:r>
        <w:rPr>
          <w:spacing w:val="-11"/>
        </w:rPr>
        <w:t> </w:t>
      </w:r>
      <w:r>
        <w:rPr/>
        <w:t>earnings</w:t>
      </w:r>
      <w:r>
        <w:rPr>
          <w:spacing w:val="-11"/>
        </w:rPr>
        <w:t> </w:t>
      </w:r>
      <w:r>
        <w:rPr/>
        <w:t>previously</w:t>
      </w:r>
      <w:r>
        <w:rPr>
          <w:spacing w:val="-11"/>
        </w:rPr>
        <w:t> </w:t>
      </w:r>
      <w:r>
        <w:rPr/>
        <w:t>treated as</w:t>
      </w:r>
      <w:r>
        <w:rPr>
          <w:spacing w:val="-7"/>
        </w:rPr>
        <w:t> </w:t>
      </w:r>
      <w:r>
        <w:rPr/>
        <w:t>permanently</w:t>
      </w:r>
      <w:r>
        <w:rPr>
          <w:spacing w:val="-7"/>
        </w:rPr>
        <w:t> </w:t>
      </w:r>
      <w:r>
        <w:rPr/>
        <w:t>reinvested</w:t>
      </w:r>
      <w:r>
        <w:rPr>
          <w:spacing w:val="-7"/>
        </w:rPr>
        <w:t> </w:t>
      </w:r>
      <w:r>
        <w:rPr/>
        <w:t>are</w:t>
      </w:r>
      <w:r>
        <w:rPr>
          <w:spacing w:val="-7"/>
        </w:rPr>
        <w:t> </w:t>
      </w:r>
      <w:r>
        <w:rPr/>
        <w:t>repatriated,</w:t>
      </w:r>
      <w:r>
        <w:rPr>
          <w:spacing w:val="-7"/>
        </w:rPr>
        <w:t> </w:t>
      </w:r>
      <w:r>
        <w:rPr/>
        <w:t>the</w:t>
      </w:r>
      <w:r>
        <w:rPr>
          <w:spacing w:val="-7"/>
        </w:rPr>
        <w:t> </w:t>
      </w:r>
      <w:r>
        <w:rPr/>
        <w:t>related</w:t>
      </w:r>
      <w:r>
        <w:rPr>
          <w:spacing w:val="-7"/>
        </w:rPr>
        <w:t> </w:t>
      </w:r>
      <w:r>
        <w:rPr/>
        <w:t>U.S.</w:t>
      </w:r>
      <w:r>
        <w:rPr>
          <w:spacing w:val="-7"/>
        </w:rPr>
        <w:t> </w:t>
      </w:r>
      <w:r>
        <w:rPr/>
        <w:t>tax</w:t>
      </w:r>
      <w:r>
        <w:rPr>
          <w:spacing w:val="-7"/>
        </w:rPr>
        <w:t> </w:t>
      </w:r>
      <w:r>
        <w:rPr/>
        <w:t>liability</w:t>
      </w:r>
      <w:r>
        <w:rPr>
          <w:spacing w:val="-7"/>
        </w:rPr>
        <w:t> </w:t>
      </w:r>
      <w:r>
        <w:rPr/>
        <w:t>may</w:t>
      </w:r>
      <w:r>
        <w:rPr>
          <w:spacing w:val="-7"/>
        </w:rPr>
        <w:t> </w:t>
      </w:r>
      <w:r>
        <w:rPr/>
        <w:t>be</w:t>
      </w:r>
      <w:r>
        <w:rPr>
          <w:spacing w:val="-7"/>
        </w:rPr>
        <w:t> </w:t>
      </w:r>
      <w:r>
        <w:rPr/>
        <w:t>reduced</w:t>
      </w:r>
      <w:r>
        <w:rPr>
          <w:spacing w:val="-7"/>
        </w:rPr>
        <w:t> </w:t>
      </w:r>
      <w:r>
        <w:rPr/>
        <w:t>by</w:t>
      </w:r>
      <w:r>
        <w:rPr>
          <w:spacing w:val="-7"/>
        </w:rPr>
        <w:t> </w:t>
      </w:r>
      <w:r>
        <w:rPr/>
        <w:t>any</w:t>
      </w:r>
      <w:r>
        <w:rPr>
          <w:spacing w:val="-7"/>
        </w:rPr>
        <w:t> </w:t>
      </w:r>
      <w:r>
        <w:rPr/>
        <w:t>foreign</w:t>
      </w:r>
      <w:r>
        <w:rPr>
          <w:spacing w:val="-7"/>
        </w:rPr>
        <w:t> </w:t>
      </w:r>
      <w:r>
        <w:rPr/>
        <w:t>income</w:t>
      </w:r>
      <w:r>
        <w:rPr>
          <w:spacing w:val="-7"/>
        </w:rPr>
        <w:t> </w:t>
      </w:r>
      <w:r>
        <w:rPr/>
        <w:t>taxes</w:t>
      </w:r>
      <w:r>
        <w:rPr>
          <w:spacing w:val="-7"/>
        </w:rPr>
        <w:t> </w:t>
      </w:r>
      <w:r>
        <w:rPr/>
        <w:t>paid</w:t>
      </w:r>
      <w:r>
        <w:rPr>
          <w:spacing w:val="-7"/>
        </w:rPr>
        <w:t> </w:t>
      </w:r>
      <w:r>
        <w:rPr/>
        <w:t>on</w:t>
      </w:r>
      <w:r>
        <w:rPr>
          <w:spacing w:val="-7"/>
        </w:rPr>
        <w:t> </w:t>
      </w:r>
      <w:r>
        <w:rPr/>
        <w:t>these earnings. Currently, there is a significant amount of foreign earnings upon which U.S. income taxes have not been provided.</w:t>
      </w:r>
    </w:p>
    <w:p>
      <w:pPr>
        <w:pStyle w:val="BodyText"/>
        <w:spacing w:before="16"/>
      </w:pPr>
    </w:p>
    <w:p>
      <w:pPr>
        <w:spacing w:before="0"/>
        <w:ind w:left="760" w:right="0" w:firstLine="0"/>
        <w:jc w:val="left"/>
        <w:rPr>
          <w:i/>
          <w:sz w:val="20"/>
        </w:rPr>
      </w:pPr>
      <w:hyperlink w:history="true" w:anchor="_bookmark28">
        <w:r>
          <w:rPr>
            <w:i/>
            <w:sz w:val="20"/>
          </w:rPr>
          <w:t>See</w:t>
        </w:r>
        <w:r>
          <w:rPr>
            <w:i/>
            <w:spacing w:val="-4"/>
            <w:sz w:val="20"/>
          </w:rPr>
          <w:t> </w:t>
        </w:r>
        <w:r>
          <w:rPr>
            <w:i/>
            <w:sz w:val="20"/>
          </w:rPr>
          <w:t>Note</w:t>
        </w:r>
        <w:r>
          <w:rPr>
            <w:i/>
            <w:spacing w:val="-2"/>
            <w:sz w:val="20"/>
          </w:rPr>
          <w:t> </w:t>
        </w:r>
        <w:r>
          <w:rPr>
            <w:i/>
            <w:sz w:val="20"/>
          </w:rPr>
          <w:t>9</w:t>
        </w:r>
        <w:r>
          <w:rPr>
            <w:i/>
            <w:spacing w:val="-2"/>
            <w:sz w:val="20"/>
          </w:rPr>
          <w:t> </w:t>
        </w:r>
        <w:r>
          <w:rPr>
            <w:i/>
            <w:sz w:val="20"/>
          </w:rPr>
          <w:t>of</w:t>
        </w:r>
        <w:r>
          <w:rPr>
            <w:i/>
            <w:spacing w:val="-2"/>
            <w:sz w:val="20"/>
          </w:rPr>
          <w:t> </w:t>
        </w:r>
        <w:r>
          <w:rPr>
            <w:i/>
            <w:sz w:val="20"/>
          </w:rPr>
          <w:t>our</w:t>
        </w:r>
        <w:r>
          <w:rPr>
            <w:i/>
            <w:spacing w:val="-3"/>
            <w:sz w:val="20"/>
          </w:rPr>
          <w:t> </w:t>
        </w:r>
        <w:r>
          <w:rPr>
            <w:i/>
            <w:sz w:val="20"/>
          </w:rPr>
          <w:t>Notes</w:t>
        </w:r>
        <w:r>
          <w:rPr>
            <w:i/>
            <w:spacing w:val="-3"/>
            <w:sz w:val="20"/>
          </w:rPr>
          <w:t> </w:t>
        </w:r>
        <w:r>
          <w:rPr>
            <w:i/>
            <w:sz w:val="20"/>
          </w:rPr>
          <w:t>to</w:t>
        </w:r>
        <w:r>
          <w:rPr>
            <w:i/>
            <w:spacing w:val="-2"/>
            <w:sz w:val="20"/>
          </w:rPr>
          <w:t> </w:t>
        </w:r>
        <w:r>
          <w:rPr>
            <w:i/>
            <w:sz w:val="20"/>
          </w:rPr>
          <w:t>the</w:t>
        </w:r>
        <w:r>
          <w:rPr>
            <w:i/>
            <w:spacing w:val="-2"/>
            <w:sz w:val="20"/>
          </w:rPr>
          <w:t> </w:t>
        </w:r>
        <w:r>
          <w:rPr>
            <w:i/>
            <w:sz w:val="20"/>
          </w:rPr>
          <w:t>Consolidated</w:t>
        </w:r>
        <w:r>
          <w:rPr>
            <w:i/>
            <w:spacing w:val="-2"/>
            <w:sz w:val="20"/>
          </w:rPr>
          <w:t> </w:t>
        </w:r>
        <w:r>
          <w:rPr>
            <w:i/>
            <w:sz w:val="20"/>
          </w:rPr>
          <w:t>Financial</w:t>
        </w:r>
        <w:r>
          <w:rPr>
            <w:i/>
            <w:spacing w:val="-2"/>
            <w:sz w:val="20"/>
          </w:rPr>
          <w:t> </w:t>
        </w:r>
        <w:r>
          <w:rPr>
            <w:i/>
            <w:sz w:val="20"/>
          </w:rPr>
          <w:t>Statements</w:t>
        </w:r>
        <w:r>
          <w:rPr>
            <w:i/>
            <w:spacing w:val="-3"/>
            <w:sz w:val="20"/>
          </w:rPr>
          <w:t> </w:t>
        </w:r>
        <w:r>
          <w:rPr>
            <w:i/>
            <w:sz w:val="20"/>
          </w:rPr>
          <w:t>for</w:t>
        </w:r>
        <w:r>
          <w:rPr>
            <w:i/>
            <w:spacing w:val="-3"/>
            <w:sz w:val="20"/>
          </w:rPr>
          <w:t> </w:t>
        </w:r>
        <w:r>
          <w:rPr>
            <w:i/>
            <w:sz w:val="20"/>
          </w:rPr>
          <w:t>further</w:t>
        </w:r>
        <w:r>
          <w:rPr>
            <w:i/>
            <w:spacing w:val="-3"/>
            <w:sz w:val="20"/>
          </w:rPr>
          <w:t> </w:t>
        </w:r>
        <w:r>
          <w:rPr>
            <w:i/>
            <w:sz w:val="20"/>
          </w:rPr>
          <w:t>information</w:t>
        </w:r>
        <w:r>
          <w:rPr>
            <w:i/>
            <w:spacing w:val="-2"/>
            <w:sz w:val="20"/>
          </w:rPr>
          <w:t> </w:t>
        </w:r>
        <w:r>
          <w:rPr>
            <w:i/>
            <w:sz w:val="20"/>
          </w:rPr>
          <w:t>on</w:t>
        </w:r>
        <w:r>
          <w:rPr>
            <w:i/>
            <w:spacing w:val="-2"/>
            <w:sz w:val="20"/>
          </w:rPr>
          <w:t> </w:t>
        </w:r>
        <w:r>
          <w:rPr>
            <w:i/>
            <w:sz w:val="20"/>
          </w:rPr>
          <w:t>our</w:t>
        </w:r>
        <w:r>
          <w:rPr>
            <w:i/>
            <w:spacing w:val="-3"/>
            <w:sz w:val="20"/>
          </w:rPr>
          <w:t> </w:t>
        </w:r>
        <w:r>
          <w:rPr>
            <w:i/>
            <w:sz w:val="20"/>
          </w:rPr>
          <w:t>provision</w:t>
        </w:r>
        <w:r>
          <w:rPr>
            <w:i/>
            <w:spacing w:val="-2"/>
            <w:sz w:val="20"/>
          </w:rPr>
          <w:t> </w:t>
        </w:r>
        <w:r>
          <w:rPr>
            <w:i/>
            <w:sz w:val="20"/>
          </w:rPr>
          <w:t>for</w:t>
        </w:r>
        <w:r>
          <w:rPr>
            <w:i/>
            <w:spacing w:val="-2"/>
            <w:sz w:val="20"/>
          </w:rPr>
          <w:t> income</w:t>
        </w:r>
      </w:hyperlink>
    </w:p>
    <w:p>
      <w:pPr>
        <w:spacing w:before="10"/>
        <w:ind w:left="220" w:right="0" w:firstLine="0"/>
        <w:jc w:val="left"/>
        <w:rPr>
          <w:i/>
          <w:sz w:val="20"/>
        </w:rPr>
      </w:pPr>
      <w:hyperlink w:history="true" w:anchor="_bookmark28">
        <w:r>
          <w:rPr>
            <w:i/>
            <w:spacing w:val="-2"/>
            <w:sz w:val="20"/>
          </w:rPr>
          <w:t>taxes.</w:t>
        </w:r>
      </w:hyperlink>
    </w:p>
    <w:p>
      <w:pPr>
        <w:pStyle w:val="BodyText"/>
        <w:spacing w:before="20"/>
        <w:rPr>
          <w:i/>
        </w:rPr>
      </w:pPr>
    </w:p>
    <w:p>
      <w:pPr>
        <w:spacing w:before="0"/>
        <w:ind w:left="220" w:right="0" w:firstLine="0"/>
        <w:jc w:val="both"/>
        <w:rPr>
          <w:i/>
          <w:sz w:val="20"/>
        </w:rPr>
      </w:pPr>
      <w:r>
        <w:rPr>
          <w:i/>
          <w:sz w:val="20"/>
        </w:rPr>
        <w:t>Accounting</w:t>
      </w:r>
      <w:r>
        <w:rPr>
          <w:i/>
          <w:spacing w:val="-2"/>
          <w:sz w:val="20"/>
        </w:rPr>
        <w:t> </w:t>
      </w:r>
      <w:r>
        <w:rPr>
          <w:i/>
          <w:sz w:val="20"/>
        </w:rPr>
        <w:t>for Uncertainty</w:t>
      </w:r>
      <w:r>
        <w:rPr>
          <w:i/>
          <w:spacing w:val="-2"/>
          <w:sz w:val="20"/>
        </w:rPr>
        <w:t> </w:t>
      </w:r>
      <w:r>
        <w:rPr>
          <w:i/>
          <w:sz w:val="20"/>
        </w:rPr>
        <w:t>in</w:t>
      </w:r>
      <w:r>
        <w:rPr>
          <w:i/>
          <w:spacing w:val="-1"/>
          <w:sz w:val="20"/>
        </w:rPr>
        <w:t> </w:t>
      </w:r>
      <w:r>
        <w:rPr>
          <w:i/>
          <w:sz w:val="20"/>
        </w:rPr>
        <w:t>Income</w:t>
      </w:r>
      <w:r>
        <w:rPr>
          <w:i/>
          <w:spacing w:val="-1"/>
          <w:sz w:val="20"/>
        </w:rPr>
        <w:t> </w:t>
      </w:r>
      <w:r>
        <w:rPr>
          <w:i/>
          <w:spacing w:val="-2"/>
          <w:sz w:val="20"/>
        </w:rPr>
        <w:t>Taxes</w:t>
      </w:r>
    </w:p>
    <w:p>
      <w:pPr>
        <w:pStyle w:val="BodyText"/>
        <w:spacing w:before="190"/>
        <w:ind w:left="760"/>
        <w:jc w:val="both"/>
      </w:pPr>
      <w:r>
        <w:rPr/>
        <w:t>The</w:t>
      </w:r>
      <w:r>
        <w:rPr>
          <w:spacing w:val="-10"/>
        </w:rPr>
        <w:t> </w:t>
      </w:r>
      <w:r>
        <w:rPr/>
        <w:t>gross</w:t>
      </w:r>
      <w:r>
        <w:rPr>
          <w:spacing w:val="-10"/>
        </w:rPr>
        <w:t> </w:t>
      </w:r>
      <w:r>
        <w:rPr/>
        <w:t>liabilities</w:t>
      </w:r>
      <w:r>
        <w:rPr>
          <w:spacing w:val="-10"/>
        </w:rPr>
        <w:t> </w:t>
      </w:r>
      <w:r>
        <w:rPr/>
        <w:t>for</w:t>
      </w:r>
      <w:r>
        <w:rPr>
          <w:spacing w:val="-10"/>
        </w:rPr>
        <w:t> </w:t>
      </w:r>
      <w:r>
        <w:rPr/>
        <w:t>unrecognized</w:t>
      </w:r>
      <w:r>
        <w:rPr>
          <w:spacing w:val="-10"/>
        </w:rPr>
        <w:t> </w:t>
      </w:r>
      <w:r>
        <w:rPr/>
        <w:t>tax</w:t>
      </w:r>
      <w:r>
        <w:rPr>
          <w:spacing w:val="-10"/>
        </w:rPr>
        <w:t> </w:t>
      </w:r>
      <w:r>
        <w:rPr/>
        <w:t>benefits</w:t>
      </w:r>
      <w:r>
        <w:rPr>
          <w:spacing w:val="-10"/>
        </w:rPr>
        <w:t> </w:t>
      </w:r>
      <w:r>
        <w:rPr/>
        <w:t>excluding</w:t>
      </w:r>
      <w:r>
        <w:rPr>
          <w:spacing w:val="-10"/>
        </w:rPr>
        <w:t> </w:t>
      </w:r>
      <w:r>
        <w:rPr/>
        <w:t>interest</w:t>
      </w:r>
      <w:r>
        <w:rPr>
          <w:spacing w:val="-10"/>
        </w:rPr>
        <w:t> </w:t>
      </w:r>
      <w:r>
        <w:rPr/>
        <w:t>and</w:t>
      </w:r>
      <w:r>
        <w:rPr>
          <w:spacing w:val="-10"/>
        </w:rPr>
        <w:t> </w:t>
      </w:r>
      <w:r>
        <w:rPr/>
        <w:t>penalties</w:t>
      </w:r>
      <w:r>
        <w:rPr>
          <w:spacing w:val="-10"/>
        </w:rPr>
        <w:t> </w:t>
      </w:r>
      <w:r>
        <w:rPr/>
        <w:t>were</w:t>
      </w:r>
      <w:r>
        <w:rPr>
          <w:spacing w:val="-10"/>
        </w:rPr>
        <w:t> </w:t>
      </w:r>
      <w:r>
        <w:rPr/>
        <w:t>$172.9</w:t>
      </w:r>
      <w:r>
        <w:rPr>
          <w:spacing w:val="-10"/>
        </w:rPr>
        <w:t> </w:t>
      </w:r>
      <w:r>
        <w:rPr/>
        <w:t>million,</w:t>
      </w:r>
      <w:r>
        <w:rPr>
          <w:spacing w:val="-10"/>
        </w:rPr>
        <w:t> </w:t>
      </w:r>
      <w:r>
        <w:rPr/>
        <w:t>$178.4</w:t>
      </w:r>
      <w:r>
        <w:rPr>
          <w:spacing w:val="-10"/>
        </w:rPr>
        <w:t> </w:t>
      </w:r>
      <w:r>
        <w:rPr/>
        <w:t>million</w:t>
      </w:r>
      <w:r>
        <w:rPr>
          <w:spacing w:val="-9"/>
        </w:rPr>
        <w:t> </w:t>
      </w:r>
      <w:r>
        <w:rPr>
          <w:spacing w:val="-5"/>
        </w:rPr>
        <w:t>and</w:t>
      </w:r>
    </w:p>
    <w:p>
      <w:pPr>
        <w:pStyle w:val="BodyText"/>
        <w:spacing w:line="249" w:lineRule="auto" w:before="10"/>
        <w:ind w:left="220" w:right="257"/>
        <w:jc w:val="both"/>
      </w:pPr>
      <w:r>
        <w:rPr/>
        <w:t>$258.7 million for fiscal 2017, 2016 and 2015, respectively, of which, $135.0 million, $144.5 million and $220.2 million if </w:t>
      </w:r>
      <w:r>
        <w:rPr>
          <w:spacing w:val="-2"/>
        </w:rPr>
        <w:t>recognized,</w:t>
      </w:r>
      <w:r>
        <w:rPr>
          <w:spacing w:val="-4"/>
        </w:rPr>
        <w:t> </w:t>
      </w:r>
      <w:r>
        <w:rPr>
          <w:spacing w:val="-2"/>
        </w:rPr>
        <w:t>would</w:t>
      </w:r>
      <w:r>
        <w:rPr>
          <w:spacing w:val="-4"/>
        </w:rPr>
        <w:t> </w:t>
      </w:r>
      <w:r>
        <w:rPr>
          <w:spacing w:val="-2"/>
        </w:rPr>
        <w:t>affect</w:t>
      </w:r>
      <w:r>
        <w:rPr>
          <w:spacing w:val="-4"/>
        </w:rPr>
        <w:t> </w:t>
      </w:r>
      <w:r>
        <w:rPr>
          <w:spacing w:val="-2"/>
        </w:rPr>
        <w:t>our</w:t>
      </w:r>
      <w:r>
        <w:rPr>
          <w:spacing w:val="-4"/>
        </w:rPr>
        <w:t> </w:t>
      </w:r>
      <w:r>
        <w:rPr>
          <w:spacing w:val="-2"/>
        </w:rPr>
        <w:t>effective</w:t>
      </w:r>
      <w:r>
        <w:rPr>
          <w:spacing w:val="-4"/>
        </w:rPr>
        <w:t> </w:t>
      </w:r>
      <w:r>
        <w:rPr>
          <w:spacing w:val="-2"/>
        </w:rPr>
        <w:t>tax</w:t>
      </w:r>
      <w:r>
        <w:rPr>
          <w:spacing w:val="-4"/>
        </w:rPr>
        <w:t> </w:t>
      </w:r>
      <w:r>
        <w:rPr>
          <w:spacing w:val="-2"/>
        </w:rPr>
        <w:t>rates</w:t>
      </w:r>
      <w:r>
        <w:rPr>
          <w:spacing w:val="-4"/>
        </w:rPr>
        <w:t> </w:t>
      </w:r>
      <w:r>
        <w:rPr>
          <w:spacing w:val="-2"/>
        </w:rPr>
        <w:t>for</w:t>
      </w:r>
      <w:r>
        <w:rPr>
          <w:spacing w:val="-4"/>
        </w:rPr>
        <w:t> </w:t>
      </w:r>
      <w:r>
        <w:rPr>
          <w:spacing w:val="-2"/>
        </w:rPr>
        <w:t>fiscal</w:t>
      </w:r>
      <w:r>
        <w:rPr>
          <w:spacing w:val="-4"/>
        </w:rPr>
        <w:t> </w:t>
      </w:r>
      <w:r>
        <w:rPr>
          <w:spacing w:val="-2"/>
        </w:rPr>
        <w:t>2017,</w:t>
      </w:r>
      <w:r>
        <w:rPr>
          <w:spacing w:val="-4"/>
        </w:rPr>
        <w:t> </w:t>
      </w:r>
      <w:r>
        <w:rPr>
          <w:spacing w:val="-2"/>
        </w:rPr>
        <w:t>2016</w:t>
      </w:r>
      <w:r>
        <w:rPr>
          <w:spacing w:val="-4"/>
        </w:rPr>
        <w:t> </w:t>
      </w:r>
      <w:r>
        <w:rPr>
          <w:spacing w:val="-2"/>
        </w:rPr>
        <w:t>and</w:t>
      </w:r>
      <w:r>
        <w:rPr>
          <w:spacing w:val="-4"/>
        </w:rPr>
        <w:t> </w:t>
      </w:r>
      <w:r>
        <w:rPr>
          <w:spacing w:val="-2"/>
        </w:rPr>
        <w:t>2015,</w:t>
      </w:r>
      <w:r>
        <w:rPr>
          <w:spacing w:val="-4"/>
        </w:rPr>
        <w:t> </w:t>
      </w:r>
      <w:r>
        <w:rPr>
          <w:spacing w:val="-2"/>
        </w:rPr>
        <w:t>respectively,</w:t>
      </w:r>
      <w:r>
        <w:rPr>
          <w:spacing w:val="-4"/>
        </w:rPr>
        <w:t> </w:t>
      </w:r>
      <w:r>
        <w:rPr>
          <w:spacing w:val="-2"/>
        </w:rPr>
        <w:t>which</w:t>
      </w:r>
      <w:r>
        <w:rPr>
          <w:spacing w:val="-4"/>
        </w:rPr>
        <w:t> </w:t>
      </w:r>
      <w:r>
        <w:rPr>
          <w:spacing w:val="-2"/>
        </w:rPr>
        <w:t>were</w:t>
      </w:r>
      <w:r>
        <w:rPr>
          <w:spacing w:val="-4"/>
        </w:rPr>
        <w:t> </w:t>
      </w:r>
      <w:r>
        <w:rPr>
          <w:spacing w:val="-2"/>
        </w:rPr>
        <w:t>net</w:t>
      </w:r>
      <w:r>
        <w:rPr>
          <w:spacing w:val="-4"/>
        </w:rPr>
        <w:t> </w:t>
      </w:r>
      <w:r>
        <w:rPr>
          <w:spacing w:val="-2"/>
        </w:rPr>
        <w:t>of</w:t>
      </w:r>
      <w:r>
        <w:rPr>
          <w:spacing w:val="-4"/>
        </w:rPr>
        <w:t> </w:t>
      </w:r>
      <w:r>
        <w:rPr>
          <w:spacing w:val="-2"/>
        </w:rPr>
        <w:t>the</w:t>
      </w:r>
      <w:r>
        <w:rPr>
          <w:spacing w:val="-4"/>
        </w:rPr>
        <w:t> </w:t>
      </w:r>
      <w:r>
        <w:rPr>
          <w:spacing w:val="-2"/>
        </w:rPr>
        <w:t>estimated</w:t>
      </w:r>
      <w:r>
        <w:rPr>
          <w:spacing w:val="-4"/>
        </w:rPr>
        <w:t> </w:t>
      </w:r>
      <w:r>
        <w:rPr>
          <w:spacing w:val="-2"/>
        </w:rPr>
        <w:t>$37.9 </w:t>
      </w:r>
      <w:r>
        <w:rPr/>
        <w:t>million, $33.9 million and $38.5 million federal benefits related to deducting certain payments on future federal and state tax returns for fiscal 2017, 2016 and 2015, respectively.</w:t>
      </w:r>
    </w:p>
    <w:p>
      <w:pPr>
        <w:spacing w:after="0" w:line="249" w:lineRule="auto"/>
        <w:jc w:val="both"/>
        <w:sectPr>
          <w:pgSz w:w="12240" w:h="15840"/>
          <w:pgMar w:header="210" w:footer="579" w:top="420" w:bottom="800" w:left="780" w:right="740"/>
        </w:sectPr>
      </w:pPr>
    </w:p>
    <w:p>
      <w:pPr>
        <w:pStyle w:val="BodyText"/>
      </w:pPr>
    </w:p>
    <w:p>
      <w:pPr>
        <w:pStyle w:val="BodyText"/>
        <w:spacing w:before="160"/>
      </w:pPr>
    </w:p>
    <w:p>
      <w:pPr>
        <w:pStyle w:val="BodyText"/>
        <w:ind w:left="760"/>
      </w:pPr>
      <w:r>
        <w:rPr/>
        <w:t>The</w:t>
      </w:r>
      <w:r>
        <w:rPr>
          <w:spacing w:val="-13"/>
        </w:rPr>
        <w:t> </w:t>
      </w:r>
      <w:r>
        <w:rPr/>
        <w:t>combined</w:t>
      </w:r>
      <w:r>
        <w:rPr>
          <w:spacing w:val="-12"/>
        </w:rPr>
        <w:t> </w:t>
      </w:r>
      <w:r>
        <w:rPr/>
        <w:t>amount</w:t>
      </w:r>
      <w:r>
        <w:rPr>
          <w:spacing w:val="-12"/>
        </w:rPr>
        <w:t> </w:t>
      </w:r>
      <w:r>
        <w:rPr/>
        <w:t>of</w:t>
      </w:r>
      <w:r>
        <w:rPr>
          <w:spacing w:val="-12"/>
        </w:rPr>
        <w:t> </w:t>
      </w:r>
      <w:r>
        <w:rPr/>
        <w:t>accrued</w:t>
      </w:r>
      <w:r>
        <w:rPr>
          <w:spacing w:val="-13"/>
        </w:rPr>
        <w:t> </w:t>
      </w:r>
      <w:r>
        <w:rPr/>
        <w:t>interest</w:t>
      </w:r>
      <w:r>
        <w:rPr>
          <w:spacing w:val="-12"/>
        </w:rPr>
        <w:t> </w:t>
      </w:r>
      <w:r>
        <w:rPr/>
        <w:t>and</w:t>
      </w:r>
      <w:r>
        <w:rPr>
          <w:spacing w:val="-12"/>
        </w:rPr>
        <w:t> </w:t>
      </w:r>
      <w:r>
        <w:rPr/>
        <w:t>penalties</w:t>
      </w:r>
      <w:r>
        <w:rPr>
          <w:spacing w:val="-12"/>
        </w:rPr>
        <w:t> </w:t>
      </w:r>
      <w:r>
        <w:rPr/>
        <w:t>related</w:t>
      </w:r>
      <w:r>
        <w:rPr>
          <w:spacing w:val="-12"/>
        </w:rPr>
        <w:t> </w:t>
      </w:r>
      <w:r>
        <w:rPr/>
        <w:t>to</w:t>
      </w:r>
      <w:r>
        <w:rPr>
          <w:spacing w:val="-13"/>
        </w:rPr>
        <w:t> </w:t>
      </w:r>
      <w:r>
        <w:rPr/>
        <w:t>tax</w:t>
      </w:r>
      <w:r>
        <w:rPr>
          <w:spacing w:val="-12"/>
        </w:rPr>
        <w:t> </w:t>
      </w:r>
      <w:r>
        <w:rPr/>
        <w:t>positions</w:t>
      </w:r>
      <w:r>
        <w:rPr>
          <w:spacing w:val="-11"/>
        </w:rPr>
        <w:t> </w:t>
      </w:r>
      <w:r>
        <w:rPr/>
        <w:t>taken</w:t>
      </w:r>
      <w:r>
        <w:rPr>
          <w:spacing w:val="-12"/>
        </w:rPr>
        <w:t> </w:t>
      </w:r>
      <w:r>
        <w:rPr/>
        <w:t>on</w:t>
      </w:r>
      <w:r>
        <w:rPr>
          <w:spacing w:val="-13"/>
        </w:rPr>
        <w:t> </w:t>
      </w:r>
      <w:r>
        <w:rPr/>
        <w:t>our</w:t>
      </w:r>
      <w:r>
        <w:rPr>
          <w:spacing w:val="-12"/>
        </w:rPr>
        <w:t> </w:t>
      </w:r>
      <w:r>
        <w:rPr/>
        <w:t>tax</w:t>
      </w:r>
      <w:r>
        <w:rPr>
          <w:spacing w:val="-12"/>
        </w:rPr>
        <w:t> </w:t>
      </w:r>
      <w:r>
        <w:rPr/>
        <w:t>returns</w:t>
      </w:r>
      <w:r>
        <w:rPr>
          <w:spacing w:val="-12"/>
        </w:rPr>
        <w:t> </w:t>
      </w:r>
      <w:r>
        <w:rPr/>
        <w:t>were</w:t>
      </w:r>
      <w:r>
        <w:rPr>
          <w:spacing w:val="-12"/>
        </w:rPr>
        <w:t> </w:t>
      </w:r>
      <w:r>
        <w:rPr>
          <w:spacing w:val="-2"/>
        </w:rPr>
        <w:t>approximately</w:t>
      </w:r>
    </w:p>
    <w:p>
      <w:pPr>
        <w:pStyle w:val="BodyText"/>
        <w:spacing w:line="249" w:lineRule="auto" w:before="10"/>
        <w:ind w:left="220"/>
      </w:pPr>
      <w:r>
        <w:rPr/>
        <w:t>$23.6</w:t>
      </w:r>
      <w:r>
        <w:rPr>
          <w:spacing w:val="-11"/>
        </w:rPr>
        <w:t> </w:t>
      </w:r>
      <w:r>
        <w:rPr/>
        <w:t>million</w:t>
      </w:r>
      <w:r>
        <w:rPr>
          <w:spacing w:val="-11"/>
        </w:rPr>
        <w:t> </w:t>
      </w:r>
      <w:r>
        <w:rPr/>
        <w:t>and</w:t>
      </w:r>
      <w:r>
        <w:rPr>
          <w:spacing w:val="-11"/>
        </w:rPr>
        <w:t> </w:t>
      </w:r>
      <w:r>
        <w:rPr/>
        <w:t>$22.4</w:t>
      </w:r>
      <w:r>
        <w:rPr>
          <w:spacing w:val="-11"/>
        </w:rPr>
        <w:t> </w:t>
      </w:r>
      <w:r>
        <w:rPr/>
        <w:t>million</w:t>
      </w:r>
      <w:r>
        <w:rPr>
          <w:spacing w:val="-11"/>
        </w:rPr>
        <w:t> </w:t>
      </w:r>
      <w:r>
        <w:rPr/>
        <w:t>for</w:t>
      </w:r>
      <w:r>
        <w:rPr>
          <w:spacing w:val="-11"/>
        </w:rPr>
        <w:t> </w:t>
      </w:r>
      <w:r>
        <w:rPr/>
        <w:t>fiscal</w:t>
      </w:r>
      <w:r>
        <w:rPr>
          <w:spacing w:val="-11"/>
        </w:rPr>
        <w:t> </w:t>
      </w:r>
      <w:r>
        <w:rPr/>
        <w:t>2017</w:t>
      </w:r>
      <w:r>
        <w:rPr>
          <w:spacing w:val="-11"/>
        </w:rPr>
        <w:t> </w:t>
      </w:r>
      <w:r>
        <w:rPr/>
        <w:t>and</w:t>
      </w:r>
      <w:r>
        <w:rPr>
          <w:spacing w:val="-11"/>
        </w:rPr>
        <w:t> </w:t>
      </w:r>
      <w:r>
        <w:rPr/>
        <w:t>2016,</w:t>
      </w:r>
      <w:r>
        <w:rPr>
          <w:spacing w:val="-11"/>
        </w:rPr>
        <w:t> </w:t>
      </w:r>
      <w:r>
        <w:rPr/>
        <w:t>respectively.</w:t>
      </w:r>
      <w:r>
        <w:rPr>
          <w:spacing w:val="-13"/>
        </w:rPr>
        <w:t> </w:t>
      </w:r>
      <w:r>
        <w:rPr/>
        <w:t>These</w:t>
      </w:r>
      <w:r>
        <w:rPr>
          <w:spacing w:val="-10"/>
        </w:rPr>
        <w:t> </w:t>
      </w:r>
      <w:r>
        <w:rPr/>
        <w:t>amounts</w:t>
      </w:r>
      <w:r>
        <w:rPr>
          <w:spacing w:val="-10"/>
        </w:rPr>
        <w:t> </w:t>
      </w:r>
      <w:r>
        <w:rPr/>
        <w:t>were</w:t>
      </w:r>
      <w:r>
        <w:rPr>
          <w:spacing w:val="-11"/>
        </w:rPr>
        <w:t> </w:t>
      </w:r>
      <w:r>
        <w:rPr/>
        <w:t>included</w:t>
      </w:r>
      <w:r>
        <w:rPr>
          <w:spacing w:val="-11"/>
        </w:rPr>
        <w:t> </w:t>
      </w:r>
      <w:r>
        <w:rPr/>
        <w:t>in</w:t>
      </w:r>
      <w:r>
        <w:rPr>
          <w:spacing w:val="-11"/>
        </w:rPr>
        <w:t> </w:t>
      </w:r>
      <w:r>
        <w:rPr/>
        <w:t>non-current</w:t>
      </w:r>
      <w:r>
        <w:rPr>
          <w:spacing w:val="-11"/>
        </w:rPr>
        <w:t> </w:t>
      </w:r>
      <w:r>
        <w:rPr/>
        <w:t>income</w:t>
      </w:r>
      <w:r>
        <w:rPr>
          <w:spacing w:val="-11"/>
        </w:rPr>
        <w:t> </w:t>
      </w:r>
      <w:r>
        <w:rPr/>
        <w:t>taxes payable in their respective years.</w:t>
      </w:r>
    </w:p>
    <w:p>
      <w:pPr>
        <w:pStyle w:val="BodyText"/>
        <w:spacing w:before="11"/>
      </w:pPr>
    </w:p>
    <w:p>
      <w:pPr>
        <w:pStyle w:val="BodyText"/>
        <w:spacing w:line="249" w:lineRule="auto"/>
        <w:ind w:left="220" w:right="257" w:firstLine="540"/>
        <w:jc w:val="both"/>
      </w:pPr>
      <w:r>
        <w:rPr/>
        <w:t>The</w:t>
      </w:r>
      <w:r>
        <w:rPr>
          <w:spacing w:val="-8"/>
        </w:rPr>
        <w:t> </w:t>
      </w:r>
      <w:r>
        <w:rPr/>
        <w:t>timing</w:t>
      </w:r>
      <w:r>
        <w:rPr>
          <w:spacing w:val="-9"/>
        </w:rPr>
        <w:t> </w:t>
      </w:r>
      <w:r>
        <w:rPr/>
        <w:t>of</w:t>
      </w:r>
      <w:r>
        <w:rPr>
          <w:spacing w:val="-8"/>
        </w:rPr>
        <w:t> </w:t>
      </w:r>
      <w:r>
        <w:rPr/>
        <w:t>the</w:t>
      </w:r>
      <w:r>
        <w:rPr>
          <w:spacing w:val="-8"/>
        </w:rPr>
        <w:t> </w:t>
      </w:r>
      <w:r>
        <w:rPr/>
        <w:t>resolution</w:t>
      </w:r>
      <w:r>
        <w:rPr>
          <w:spacing w:val="-8"/>
        </w:rPr>
        <w:t> </w:t>
      </w:r>
      <w:r>
        <w:rPr/>
        <w:t>of</w:t>
      </w:r>
      <w:r>
        <w:rPr>
          <w:spacing w:val="-8"/>
        </w:rPr>
        <w:t> </w:t>
      </w:r>
      <w:r>
        <w:rPr/>
        <w:t>income</w:t>
      </w:r>
      <w:r>
        <w:rPr>
          <w:spacing w:val="-9"/>
        </w:rPr>
        <w:t> </w:t>
      </w:r>
      <w:r>
        <w:rPr/>
        <w:t>tax</w:t>
      </w:r>
      <w:r>
        <w:rPr>
          <w:spacing w:val="-8"/>
        </w:rPr>
        <w:t> </w:t>
      </w:r>
      <w:r>
        <w:rPr/>
        <w:t>examinations</w:t>
      </w:r>
      <w:r>
        <w:rPr>
          <w:spacing w:val="-8"/>
        </w:rPr>
        <w:t> </w:t>
      </w:r>
      <w:r>
        <w:rPr/>
        <w:t>is</w:t>
      </w:r>
      <w:r>
        <w:rPr>
          <w:spacing w:val="-8"/>
        </w:rPr>
        <w:t> </w:t>
      </w:r>
      <w:r>
        <w:rPr/>
        <w:t>highly</w:t>
      </w:r>
      <w:r>
        <w:rPr>
          <w:spacing w:val="-8"/>
        </w:rPr>
        <w:t> </w:t>
      </w:r>
      <w:r>
        <w:rPr/>
        <w:t>uncertain</w:t>
      </w:r>
      <w:r>
        <w:rPr>
          <w:spacing w:val="-8"/>
        </w:rPr>
        <w:t> </w:t>
      </w:r>
      <w:r>
        <w:rPr/>
        <w:t>as</w:t>
      </w:r>
      <w:r>
        <w:rPr>
          <w:spacing w:val="-8"/>
        </w:rPr>
        <w:t> </w:t>
      </w:r>
      <w:r>
        <w:rPr/>
        <w:t>are</w:t>
      </w:r>
      <w:r>
        <w:rPr>
          <w:spacing w:val="-8"/>
        </w:rPr>
        <w:t> </w:t>
      </w:r>
      <w:r>
        <w:rPr/>
        <w:t>the</w:t>
      </w:r>
      <w:r>
        <w:rPr>
          <w:spacing w:val="-9"/>
        </w:rPr>
        <w:t> </w:t>
      </w:r>
      <w:r>
        <w:rPr/>
        <w:t>amounts</w:t>
      </w:r>
      <w:r>
        <w:rPr>
          <w:spacing w:val="-8"/>
        </w:rPr>
        <w:t> </w:t>
      </w:r>
      <w:r>
        <w:rPr/>
        <w:t>and</w:t>
      </w:r>
      <w:r>
        <w:rPr>
          <w:spacing w:val="-8"/>
        </w:rPr>
        <w:t> </w:t>
      </w:r>
      <w:r>
        <w:rPr/>
        <w:t>timing</w:t>
      </w:r>
      <w:r>
        <w:rPr>
          <w:spacing w:val="-8"/>
        </w:rPr>
        <w:t> </w:t>
      </w:r>
      <w:r>
        <w:rPr/>
        <w:t>of</w:t>
      </w:r>
      <w:r>
        <w:rPr>
          <w:spacing w:val="-8"/>
        </w:rPr>
        <w:t> </w:t>
      </w:r>
      <w:r>
        <w:rPr/>
        <w:t>tax</w:t>
      </w:r>
      <w:r>
        <w:rPr>
          <w:spacing w:val="-9"/>
        </w:rPr>
        <w:t> </w:t>
      </w:r>
      <w:r>
        <w:rPr/>
        <w:t>payments that</w:t>
      </w:r>
      <w:r>
        <w:rPr>
          <w:spacing w:val="-9"/>
        </w:rPr>
        <w:t> </w:t>
      </w:r>
      <w:r>
        <w:rPr/>
        <w:t>are</w:t>
      </w:r>
      <w:r>
        <w:rPr>
          <w:spacing w:val="-8"/>
        </w:rPr>
        <w:t> </w:t>
      </w:r>
      <w:r>
        <w:rPr/>
        <w:t>part</w:t>
      </w:r>
      <w:r>
        <w:rPr>
          <w:spacing w:val="-9"/>
        </w:rPr>
        <w:t> </w:t>
      </w:r>
      <w:r>
        <w:rPr/>
        <w:t>of</w:t>
      </w:r>
      <w:r>
        <w:rPr>
          <w:spacing w:val="-8"/>
        </w:rPr>
        <w:t> </w:t>
      </w:r>
      <w:r>
        <w:rPr/>
        <w:t>any</w:t>
      </w:r>
      <w:r>
        <w:rPr>
          <w:spacing w:val="-9"/>
        </w:rPr>
        <w:t> </w:t>
      </w:r>
      <w:r>
        <w:rPr/>
        <w:t>audit</w:t>
      </w:r>
      <w:r>
        <w:rPr>
          <w:spacing w:val="-9"/>
        </w:rPr>
        <w:t> </w:t>
      </w:r>
      <w:r>
        <w:rPr/>
        <w:t>settlement</w:t>
      </w:r>
      <w:r>
        <w:rPr>
          <w:spacing w:val="-9"/>
        </w:rPr>
        <w:t> </w:t>
      </w:r>
      <w:r>
        <w:rPr/>
        <w:t>process.</w:t>
      </w:r>
      <w:r>
        <w:rPr>
          <w:spacing w:val="-12"/>
        </w:rPr>
        <w:t> </w:t>
      </w:r>
      <w:r>
        <w:rPr/>
        <w:t>These</w:t>
      </w:r>
      <w:r>
        <w:rPr>
          <w:spacing w:val="-9"/>
        </w:rPr>
        <w:t> </w:t>
      </w:r>
      <w:r>
        <w:rPr/>
        <w:t>events</w:t>
      </w:r>
      <w:r>
        <w:rPr>
          <w:spacing w:val="-8"/>
        </w:rPr>
        <w:t> </w:t>
      </w:r>
      <w:r>
        <w:rPr/>
        <w:t>could</w:t>
      </w:r>
      <w:r>
        <w:rPr>
          <w:spacing w:val="-9"/>
        </w:rPr>
        <w:t> </w:t>
      </w:r>
      <w:r>
        <w:rPr/>
        <w:t>cause</w:t>
      </w:r>
      <w:r>
        <w:rPr>
          <w:spacing w:val="-9"/>
        </w:rPr>
        <w:t> </w:t>
      </w:r>
      <w:r>
        <w:rPr/>
        <w:t>large</w:t>
      </w:r>
      <w:r>
        <w:rPr>
          <w:spacing w:val="-8"/>
        </w:rPr>
        <w:t> </w:t>
      </w:r>
      <w:r>
        <w:rPr/>
        <w:t>fluctuations</w:t>
      </w:r>
      <w:r>
        <w:rPr>
          <w:spacing w:val="-8"/>
        </w:rPr>
        <w:t> </w:t>
      </w:r>
      <w:r>
        <w:rPr/>
        <w:t>in</w:t>
      </w:r>
      <w:r>
        <w:rPr>
          <w:spacing w:val="-9"/>
        </w:rPr>
        <w:t> </w:t>
      </w:r>
      <w:r>
        <w:rPr/>
        <w:t>the</w:t>
      </w:r>
      <w:r>
        <w:rPr>
          <w:spacing w:val="-8"/>
        </w:rPr>
        <w:t> </w:t>
      </w:r>
      <w:r>
        <w:rPr/>
        <w:t>balance</w:t>
      </w:r>
      <w:r>
        <w:rPr>
          <w:spacing w:val="-9"/>
        </w:rPr>
        <w:t> </w:t>
      </w:r>
      <w:r>
        <w:rPr/>
        <w:t>of</w:t>
      </w:r>
      <w:r>
        <w:rPr>
          <w:spacing w:val="-8"/>
        </w:rPr>
        <w:t> </w:t>
      </w:r>
      <w:r>
        <w:rPr/>
        <w:t>current</w:t>
      </w:r>
      <w:r>
        <w:rPr>
          <w:spacing w:val="-9"/>
        </w:rPr>
        <w:t> </w:t>
      </w:r>
      <w:r>
        <w:rPr/>
        <w:t>and</w:t>
      </w:r>
      <w:r>
        <w:rPr>
          <w:spacing w:val="-9"/>
        </w:rPr>
        <w:t> </w:t>
      </w:r>
      <w:r>
        <w:rPr/>
        <w:t>non-current assets,</w:t>
      </w:r>
      <w:r>
        <w:rPr>
          <w:spacing w:val="-9"/>
        </w:rPr>
        <w:t> </w:t>
      </w:r>
      <w:r>
        <w:rPr/>
        <w:t>liabilities</w:t>
      </w:r>
      <w:r>
        <w:rPr>
          <w:spacing w:val="-9"/>
        </w:rPr>
        <w:t> </w:t>
      </w:r>
      <w:r>
        <w:rPr/>
        <w:t>and</w:t>
      </w:r>
      <w:r>
        <w:rPr>
          <w:spacing w:val="-9"/>
        </w:rPr>
        <w:t> </w:t>
      </w:r>
      <w:r>
        <w:rPr/>
        <w:t>income</w:t>
      </w:r>
      <w:r>
        <w:rPr>
          <w:spacing w:val="-10"/>
        </w:rPr>
        <w:t> </w:t>
      </w:r>
      <w:r>
        <w:rPr/>
        <w:t>taxes</w:t>
      </w:r>
      <w:r>
        <w:rPr>
          <w:spacing w:val="-9"/>
        </w:rPr>
        <w:t> </w:t>
      </w:r>
      <w:r>
        <w:rPr/>
        <w:t>payable.</w:t>
      </w:r>
      <w:r>
        <w:rPr>
          <w:spacing w:val="-13"/>
        </w:rPr>
        <w:t> </w:t>
      </w:r>
      <w:r>
        <w:rPr/>
        <w:t>We</w:t>
      </w:r>
      <w:r>
        <w:rPr>
          <w:spacing w:val="-8"/>
        </w:rPr>
        <w:t> </w:t>
      </w:r>
      <w:r>
        <w:rPr/>
        <w:t>believe</w:t>
      </w:r>
      <w:r>
        <w:rPr>
          <w:spacing w:val="-10"/>
        </w:rPr>
        <w:t> </w:t>
      </w:r>
      <w:r>
        <w:rPr/>
        <w:t>that</w:t>
      </w:r>
      <w:r>
        <w:rPr>
          <w:spacing w:val="-10"/>
        </w:rPr>
        <w:t> </w:t>
      </w:r>
      <w:r>
        <w:rPr/>
        <w:t>within</w:t>
      </w:r>
      <w:r>
        <w:rPr>
          <w:spacing w:val="-10"/>
        </w:rPr>
        <w:t> </w:t>
      </w:r>
      <w:r>
        <w:rPr/>
        <w:t>the</w:t>
      </w:r>
      <w:r>
        <w:rPr>
          <w:spacing w:val="-9"/>
        </w:rPr>
        <w:t> </w:t>
      </w:r>
      <w:r>
        <w:rPr/>
        <w:t>next</w:t>
      </w:r>
      <w:r>
        <w:rPr>
          <w:spacing w:val="-10"/>
        </w:rPr>
        <w:t> </w:t>
      </w:r>
      <w:r>
        <w:rPr/>
        <w:t>12</w:t>
      </w:r>
      <w:r>
        <w:rPr>
          <w:spacing w:val="-9"/>
        </w:rPr>
        <w:t> </w:t>
      </w:r>
      <w:r>
        <w:rPr/>
        <w:t>months,</w:t>
      </w:r>
      <w:r>
        <w:rPr>
          <w:spacing w:val="-10"/>
        </w:rPr>
        <w:t> </w:t>
      </w:r>
      <w:r>
        <w:rPr/>
        <w:t>it</w:t>
      </w:r>
      <w:r>
        <w:rPr>
          <w:spacing w:val="-9"/>
        </w:rPr>
        <w:t> </w:t>
      </w:r>
      <w:r>
        <w:rPr/>
        <w:t>is</w:t>
      </w:r>
      <w:r>
        <w:rPr>
          <w:spacing w:val="-9"/>
        </w:rPr>
        <w:t> </w:t>
      </w:r>
      <w:r>
        <w:rPr/>
        <w:t>reasonably</w:t>
      </w:r>
      <w:r>
        <w:rPr>
          <w:spacing w:val="-10"/>
        </w:rPr>
        <w:t> </w:t>
      </w:r>
      <w:r>
        <w:rPr/>
        <w:t>possible</w:t>
      </w:r>
      <w:r>
        <w:rPr>
          <w:spacing w:val="-10"/>
        </w:rPr>
        <w:t> </w:t>
      </w:r>
      <w:r>
        <w:rPr/>
        <w:t>that</w:t>
      </w:r>
      <w:r>
        <w:rPr>
          <w:spacing w:val="-9"/>
        </w:rPr>
        <w:t> </w:t>
      </w:r>
      <w:r>
        <w:rPr/>
        <w:t>either</w:t>
      </w:r>
      <w:r>
        <w:rPr>
          <w:spacing w:val="-10"/>
        </w:rPr>
        <w:t> </w:t>
      </w:r>
      <w:r>
        <w:rPr/>
        <w:t>certain </w:t>
      </w:r>
      <w:r>
        <w:rPr>
          <w:spacing w:val="-2"/>
        </w:rPr>
        <w:t>audits</w:t>
      </w:r>
      <w:r>
        <w:rPr>
          <w:spacing w:val="-9"/>
        </w:rPr>
        <w:t> </w:t>
      </w:r>
      <w:r>
        <w:rPr>
          <w:spacing w:val="-2"/>
        </w:rPr>
        <w:t>will</w:t>
      </w:r>
      <w:r>
        <w:rPr>
          <w:spacing w:val="-9"/>
        </w:rPr>
        <w:t> </w:t>
      </w:r>
      <w:r>
        <w:rPr>
          <w:spacing w:val="-2"/>
        </w:rPr>
        <w:t>conclude</w:t>
      </w:r>
      <w:r>
        <w:rPr>
          <w:spacing w:val="-9"/>
        </w:rPr>
        <w:t> </w:t>
      </w:r>
      <w:r>
        <w:rPr>
          <w:spacing w:val="-2"/>
        </w:rPr>
        <w:t>or</w:t>
      </w:r>
      <w:r>
        <w:rPr>
          <w:spacing w:val="-9"/>
        </w:rPr>
        <w:t> </w:t>
      </w:r>
      <w:r>
        <w:rPr>
          <w:spacing w:val="-2"/>
        </w:rPr>
        <w:t>statutes</w:t>
      </w:r>
      <w:r>
        <w:rPr>
          <w:spacing w:val="-9"/>
        </w:rPr>
        <w:t> </w:t>
      </w:r>
      <w:r>
        <w:rPr>
          <w:spacing w:val="-2"/>
        </w:rPr>
        <w:t>of</w:t>
      </w:r>
      <w:r>
        <w:rPr>
          <w:spacing w:val="-9"/>
        </w:rPr>
        <w:t> </w:t>
      </w:r>
      <w:r>
        <w:rPr>
          <w:spacing w:val="-2"/>
        </w:rPr>
        <w:t>limitations</w:t>
      </w:r>
      <w:r>
        <w:rPr>
          <w:spacing w:val="-9"/>
        </w:rPr>
        <w:t> </w:t>
      </w:r>
      <w:r>
        <w:rPr>
          <w:spacing w:val="-2"/>
        </w:rPr>
        <w:t>on</w:t>
      </w:r>
      <w:r>
        <w:rPr>
          <w:spacing w:val="-9"/>
        </w:rPr>
        <w:t> </w:t>
      </w:r>
      <w:r>
        <w:rPr>
          <w:spacing w:val="-2"/>
        </w:rPr>
        <w:t>certain</w:t>
      </w:r>
      <w:r>
        <w:rPr>
          <w:spacing w:val="-9"/>
        </w:rPr>
        <w:t> </w:t>
      </w:r>
      <w:r>
        <w:rPr>
          <w:spacing w:val="-2"/>
        </w:rPr>
        <w:t>income</w:t>
      </w:r>
      <w:r>
        <w:rPr>
          <w:spacing w:val="-9"/>
        </w:rPr>
        <w:t> </w:t>
      </w:r>
      <w:r>
        <w:rPr>
          <w:spacing w:val="-2"/>
        </w:rPr>
        <w:t>tax</w:t>
      </w:r>
      <w:r>
        <w:rPr>
          <w:spacing w:val="-9"/>
        </w:rPr>
        <w:t> </w:t>
      </w:r>
      <w:r>
        <w:rPr>
          <w:spacing w:val="-2"/>
        </w:rPr>
        <w:t>examination</w:t>
      </w:r>
      <w:r>
        <w:rPr>
          <w:spacing w:val="-9"/>
        </w:rPr>
        <w:t> </w:t>
      </w:r>
      <w:r>
        <w:rPr>
          <w:spacing w:val="-2"/>
        </w:rPr>
        <w:t>periods</w:t>
      </w:r>
      <w:r>
        <w:rPr>
          <w:spacing w:val="-9"/>
        </w:rPr>
        <w:t> </w:t>
      </w:r>
      <w:r>
        <w:rPr>
          <w:spacing w:val="-2"/>
        </w:rPr>
        <w:t>will</w:t>
      </w:r>
      <w:r>
        <w:rPr>
          <w:spacing w:val="-9"/>
        </w:rPr>
        <w:t> </w:t>
      </w:r>
      <w:r>
        <w:rPr>
          <w:spacing w:val="-2"/>
        </w:rPr>
        <w:t>expire,</w:t>
      </w:r>
      <w:r>
        <w:rPr>
          <w:spacing w:val="-9"/>
        </w:rPr>
        <w:t> </w:t>
      </w:r>
      <w:r>
        <w:rPr>
          <w:spacing w:val="-2"/>
        </w:rPr>
        <w:t>or</w:t>
      </w:r>
      <w:r>
        <w:rPr>
          <w:spacing w:val="-9"/>
        </w:rPr>
        <w:t> </w:t>
      </w:r>
      <w:r>
        <w:rPr>
          <w:spacing w:val="-2"/>
        </w:rPr>
        <w:t>both.</w:t>
      </w:r>
      <w:r>
        <w:rPr>
          <w:spacing w:val="-9"/>
        </w:rPr>
        <w:t> </w:t>
      </w:r>
      <w:r>
        <w:rPr>
          <w:spacing w:val="-2"/>
        </w:rPr>
        <w:t>Given</w:t>
      </w:r>
      <w:r>
        <w:rPr>
          <w:spacing w:val="-9"/>
        </w:rPr>
        <w:t> </w:t>
      </w:r>
      <w:r>
        <w:rPr>
          <w:spacing w:val="-2"/>
        </w:rPr>
        <w:t>the</w:t>
      </w:r>
      <w:r>
        <w:rPr>
          <w:spacing w:val="-9"/>
        </w:rPr>
        <w:t> </w:t>
      </w:r>
      <w:r>
        <w:rPr>
          <w:spacing w:val="-2"/>
        </w:rPr>
        <w:t>uncertainties </w:t>
      </w:r>
      <w:r>
        <w:rPr/>
        <w:t>described</w:t>
      </w:r>
      <w:r>
        <w:rPr>
          <w:spacing w:val="-8"/>
        </w:rPr>
        <w:t> </w:t>
      </w:r>
      <w:r>
        <w:rPr/>
        <w:t>above,</w:t>
      </w:r>
      <w:r>
        <w:rPr>
          <w:spacing w:val="-8"/>
        </w:rPr>
        <w:t> </w:t>
      </w:r>
      <w:r>
        <w:rPr/>
        <w:t>we</w:t>
      </w:r>
      <w:r>
        <w:rPr>
          <w:spacing w:val="-8"/>
        </w:rPr>
        <w:t> </w:t>
      </w:r>
      <w:r>
        <w:rPr/>
        <w:t>can</w:t>
      </w:r>
      <w:r>
        <w:rPr>
          <w:spacing w:val="-8"/>
        </w:rPr>
        <w:t> </w:t>
      </w:r>
      <w:r>
        <w:rPr/>
        <w:t>only</w:t>
      </w:r>
      <w:r>
        <w:rPr>
          <w:spacing w:val="-8"/>
        </w:rPr>
        <w:t> </w:t>
      </w:r>
      <w:r>
        <w:rPr/>
        <w:t>determine</w:t>
      </w:r>
      <w:r>
        <w:rPr>
          <w:spacing w:val="-8"/>
        </w:rPr>
        <w:t> </w:t>
      </w:r>
      <w:r>
        <w:rPr/>
        <w:t>a</w:t>
      </w:r>
      <w:r>
        <w:rPr>
          <w:spacing w:val="-8"/>
        </w:rPr>
        <w:t> </w:t>
      </w:r>
      <w:r>
        <w:rPr/>
        <w:t>range</w:t>
      </w:r>
      <w:r>
        <w:rPr>
          <w:spacing w:val="-8"/>
        </w:rPr>
        <w:t> </w:t>
      </w:r>
      <w:r>
        <w:rPr/>
        <w:t>of</w:t>
      </w:r>
      <w:r>
        <w:rPr>
          <w:spacing w:val="-8"/>
        </w:rPr>
        <w:t> </w:t>
      </w:r>
      <w:r>
        <w:rPr/>
        <w:t>estimated</w:t>
      </w:r>
      <w:r>
        <w:rPr>
          <w:spacing w:val="-8"/>
        </w:rPr>
        <w:t> </w:t>
      </w:r>
      <w:r>
        <w:rPr/>
        <w:t>potential</w:t>
      </w:r>
      <w:r>
        <w:rPr>
          <w:spacing w:val="-8"/>
        </w:rPr>
        <w:t> </w:t>
      </w:r>
      <w:r>
        <w:rPr/>
        <w:t>decreases</w:t>
      </w:r>
      <w:r>
        <w:rPr>
          <w:spacing w:val="-8"/>
        </w:rPr>
        <w:t> </w:t>
      </w:r>
      <w:r>
        <w:rPr/>
        <w:t>in</w:t>
      </w:r>
      <w:r>
        <w:rPr>
          <w:spacing w:val="-8"/>
        </w:rPr>
        <w:t> </w:t>
      </w:r>
      <w:r>
        <w:rPr/>
        <w:t>underlying</w:t>
      </w:r>
      <w:r>
        <w:rPr>
          <w:spacing w:val="-8"/>
        </w:rPr>
        <w:t> </w:t>
      </w:r>
      <w:r>
        <w:rPr/>
        <w:t>unrecognized</w:t>
      </w:r>
      <w:r>
        <w:rPr>
          <w:spacing w:val="-8"/>
        </w:rPr>
        <w:t> </w:t>
      </w:r>
      <w:r>
        <w:rPr/>
        <w:t>tax</w:t>
      </w:r>
      <w:r>
        <w:rPr>
          <w:spacing w:val="-8"/>
        </w:rPr>
        <w:t> </w:t>
      </w:r>
      <w:r>
        <w:rPr/>
        <w:t>benefits</w:t>
      </w:r>
      <w:r>
        <w:rPr>
          <w:spacing w:val="-8"/>
        </w:rPr>
        <w:t> </w:t>
      </w:r>
      <w:r>
        <w:rPr/>
        <w:t>ranging from $0 to approximately $40 million.</w:t>
      </w:r>
    </w:p>
    <w:p>
      <w:pPr>
        <w:pStyle w:val="BodyText"/>
        <w:spacing w:before="195"/>
      </w:pPr>
    </w:p>
    <w:p>
      <w:pPr>
        <w:pStyle w:val="Heading1"/>
        <w:ind w:left="241" w:right="280"/>
        <w:jc w:val="center"/>
      </w:pPr>
      <w:bookmarkStart w:name="Liquidity and Capital Resources" w:id="48"/>
      <w:bookmarkEnd w:id="48"/>
      <w:r>
        <w:rPr>
          <w:b w:val="0"/>
        </w:rPr>
      </w:r>
      <w:r>
        <w:rPr>
          <w:spacing w:val="-2"/>
        </w:rPr>
        <w:t>LIQUIDITY</w:t>
      </w:r>
      <w:r>
        <w:rPr>
          <w:spacing w:val="-16"/>
        </w:rPr>
        <w:t> </w:t>
      </w:r>
      <w:r>
        <w:rPr>
          <w:spacing w:val="-2"/>
        </w:rPr>
        <w:t>AND</w:t>
      </w:r>
      <w:r>
        <w:rPr>
          <w:spacing w:val="4"/>
        </w:rPr>
        <w:t> </w:t>
      </w:r>
      <w:r>
        <w:rPr>
          <w:spacing w:val="-2"/>
        </w:rPr>
        <w:t>CAPITAL</w:t>
      </w:r>
      <w:r>
        <w:rPr>
          <w:spacing w:val="-7"/>
        </w:rPr>
        <w:t> </w:t>
      </w:r>
      <w:r>
        <w:rPr>
          <w:spacing w:val="-2"/>
        </w:rPr>
        <w:t>RESOURCES</w:t>
      </w:r>
    </w:p>
    <w:p>
      <w:pPr>
        <w:pStyle w:val="BodyText"/>
        <w:spacing w:before="190"/>
        <w:ind w:left="760"/>
      </w:pPr>
      <w:r>
        <w:rPr/>
        <w:t>This</w:t>
      </w:r>
      <w:r>
        <w:rPr>
          <w:spacing w:val="-2"/>
        </w:rPr>
        <w:t> </w:t>
      </w:r>
      <w:r>
        <w:rPr/>
        <w:t>data</w:t>
      </w:r>
      <w:r>
        <w:rPr>
          <w:spacing w:val="-1"/>
        </w:rPr>
        <w:t> </w:t>
      </w:r>
      <w:r>
        <w:rPr/>
        <w:t>should</w:t>
      </w:r>
      <w:r>
        <w:rPr>
          <w:spacing w:val="-1"/>
        </w:rPr>
        <w:t> </w:t>
      </w:r>
      <w:r>
        <w:rPr/>
        <w:t>be</w:t>
      </w:r>
      <w:r>
        <w:rPr>
          <w:spacing w:val="-1"/>
        </w:rPr>
        <w:t> </w:t>
      </w:r>
      <w:r>
        <w:rPr/>
        <w:t>read</w:t>
      </w:r>
      <w:r>
        <w:rPr>
          <w:spacing w:val="-1"/>
        </w:rPr>
        <w:t> </w:t>
      </w:r>
      <w:r>
        <w:rPr/>
        <w:t>in</w:t>
      </w:r>
      <w:r>
        <w:rPr>
          <w:spacing w:val="-1"/>
        </w:rPr>
        <w:t> </w:t>
      </w:r>
      <w:r>
        <w:rPr/>
        <w:t>conjunction</w:t>
      </w:r>
      <w:r>
        <w:rPr>
          <w:spacing w:val="-1"/>
        </w:rPr>
        <w:t> </w:t>
      </w:r>
      <w:r>
        <w:rPr/>
        <w:t>with</w:t>
      </w:r>
      <w:r>
        <w:rPr>
          <w:spacing w:val="-1"/>
        </w:rPr>
        <w:t> </w:t>
      </w:r>
      <w:r>
        <w:rPr/>
        <w:t>our</w:t>
      </w:r>
      <w:r>
        <w:rPr>
          <w:spacing w:val="-1"/>
        </w:rPr>
        <w:t> </w:t>
      </w:r>
      <w:r>
        <w:rPr/>
        <w:t>Consolidated</w:t>
      </w:r>
      <w:r>
        <w:rPr>
          <w:spacing w:val="-1"/>
        </w:rPr>
        <w:t> </w:t>
      </w:r>
      <w:r>
        <w:rPr/>
        <w:t>Statements</w:t>
      </w:r>
      <w:r>
        <w:rPr>
          <w:spacing w:val="-2"/>
        </w:rPr>
        <w:t> </w:t>
      </w:r>
      <w:r>
        <w:rPr/>
        <w:t>of</w:t>
      </w:r>
      <w:r>
        <w:rPr>
          <w:spacing w:val="-1"/>
        </w:rPr>
        <w:t> </w:t>
      </w:r>
      <w:r>
        <w:rPr/>
        <w:t>Cash </w:t>
      </w:r>
      <w:r>
        <w:rPr>
          <w:spacing w:val="-2"/>
        </w:rPr>
        <w:t>Flows.</w:t>
      </w:r>
    </w:p>
    <w:p>
      <w:pPr>
        <w:pStyle w:val="BodyText"/>
        <w:spacing w:before="29"/>
        <w:rPr>
          <w:sz w:val="16"/>
        </w:rPr>
      </w:pPr>
    </w:p>
    <w:p>
      <w:pPr>
        <w:spacing w:before="0" w:after="50"/>
        <w:ind w:left="0" w:right="1622" w:firstLine="0"/>
        <w:jc w:val="right"/>
        <w:rPr>
          <w:b/>
          <w:sz w:val="16"/>
        </w:rPr>
      </w:pPr>
      <w:r>
        <w:rPr>
          <w:b/>
          <w:sz w:val="16"/>
        </w:rPr>
        <w:t>As</w:t>
      </w:r>
      <w:r>
        <w:rPr>
          <w:b/>
          <w:spacing w:val="-2"/>
          <w:sz w:val="16"/>
        </w:rPr>
        <w:t> </w:t>
      </w:r>
      <w:r>
        <w:rPr>
          <w:b/>
          <w:spacing w:val="-5"/>
          <w:sz w:val="16"/>
        </w:rPr>
        <w:t>of</w:t>
      </w: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0"/>
        <w:gridCol w:w="1487"/>
        <w:gridCol w:w="1514"/>
      </w:tblGrid>
      <w:tr>
        <w:trPr>
          <w:trHeight w:val="400" w:hRule="atLeast"/>
        </w:trPr>
        <w:tc>
          <w:tcPr>
            <w:tcW w:w="7200" w:type="dxa"/>
          </w:tcPr>
          <w:p>
            <w:pPr>
              <w:pStyle w:val="TableParagraph"/>
              <w:spacing w:before="175"/>
              <w:ind w:left="50"/>
              <w:rPr>
                <w:sz w:val="16"/>
              </w:rPr>
            </w:pPr>
            <w:r>
              <w:rPr>
                <w:sz w:val="16"/>
              </w:rPr>
              <w:t>(in </w:t>
            </w:r>
            <w:r>
              <w:rPr>
                <w:spacing w:val="-2"/>
                <w:sz w:val="16"/>
              </w:rPr>
              <w:t>millions)</w:t>
            </w:r>
          </w:p>
        </w:tc>
        <w:tc>
          <w:tcPr>
            <w:tcW w:w="1487" w:type="dxa"/>
            <w:tcBorders>
              <w:top w:val="single" w:sz="8" w:space="0" w:color="000000"/>
              <w:bottom w:val="single" w:sz="8" w:space="0" w:color="000000"/>
            </w:tcBorders>
          </w:tcPr>
          <w:p>
            <w:pPr>
              <w:pStyle w:val="TableParagraph"/>
              <w:spacing w:before="176"/>
              <w:ind w:right="158"/>
              <w:jc w:val="right"/>
              <w:rPr>
                <w:b/>
                <w:sz w:val="16"/>
              </w:rPr>
            </w:pPr>
            <w:r>
              <w:rPr>
                <w:b/>
                <w:sz w:val="16"/>
              </w:rPr>
              <w:t>December</w:t>
            </w:r>
            <w:r>
              <w:rPr>
                <w:b/>
                <w:spacing w:val="-2"/>
                <w:sz w:val="16"/>
              </w:rPr>
              <w:t> </w:t>
            </w:r>
            <w:r>
              <w:rPr>
                <w:b/>
                <w:sz w:val="16"/>
              </w:rPr>
              <w:t>1, </w:t>
            </w:r>
            <w:r>
              <w:rPr>
                <w:b/>
                <w:spacing w:val="-4"/>
                <w:sz w:val="16"/>
              </w:rPr>
              <w:t>2017</w:t>
            </w:r>
          </w:p>
        </w:tc>
        <w:tc>
          <w:tcPr>
            <w:tcW w:w="1514" w:type="dxa"/>
            <w:tcBorders>
              <w:top w:val="single" w:sz="8" w:space="0" w:color="000000"/>
              <w:bottom w:val="single" w:sz="8" w:space="0" w:color="000000"/>
            </w:tcBorders>
          </w:tcPr>
          <w:p>
            <w:pPr>
              <w:pStyle w:val="TableParagraph"/>
              <w:spacing w:before="176"/>
              <w:ind w:left="32"/>
              <w:jc w:val="center"/>
              <w:rPr>
                <w:b/>
                <w:sz w:val="16"/>
              </w:rPr>
            </w:pPr>
            <w:r>
              <w:rPr>
                <w:b/>
                <w:sz w:val="16"/>
              </w:rPr>
              <w:t>December</w:t>
            </w:r>
            <w:r>
              <w:rPr>
                <w:b/>
                <w:spacing w:val="-4"/>
                <w:sz w:val="16"/>
              </w:rPr>
              <w:t> </w:t>
            </w:r>
            <w:r>
              <w:rPr>
                <w:b/>
                <w:sz w:val="16"/>
              </w:rPr>
              <w:t>2, </w:t>
            </w:r>
            <w:r>
              <w:rPr>
                <w:b/>
                <w:spacing w:val="-4"/>
                <w:sz w:val="16"/>
              </w:rPr>
              <w:t>2016</w:t>
            </w:r>
          </w:p>
        </w:tc>
      </w:tr>
      <w:tr>
        <w:trPr>
          <w:trHeight w:val="290" w:hRule="atLeast"/>
        </w:trPr>
        <w:tc>
          <w:tcPr>
            <w:tcW w:w="7200" w:type="dxa"/>
            <w:shd w:val="clear" w:color="auto" w:fill="CCEDFF"/>
          </w:tcPr>
          <w:p>
            <w:pPr>
              <w:pStyle w:val="TableParagraph"/>
              <w:spacing w:before="10"/>
              <w:ind w:left="50"/>
              <w:rPr>
                <w:sz w:val="20"/>
              </w:rPr>
            </w:pPr>
            <w:r>
              <w:rPr>
                <w:sz w:val="20"/>
              </w:rPr>
              <w:t>Cash and cash </w:t>
            </w:r>
            <w:r>
              <w:rPr>
                <w:spacing w:val="-2"/>
                <w:sz w:val="20"/>
              </w:rPr>
              <w:t>equivalents</w:t>
            </w:r>
          </w:p>
        </w:tc>
        <w:tc>
          <w:tcPr>
            <w:tcW w:w="1487" w:type="dxa"/>
            <w:tcBorders>
              <w:top w:val="single" w:sz="8" w:space="0" w:color="000000"/>
            </w:tcBorders>
            <w:shd w:val="clear" w:color="auto" w:fill="CCEDFF"/>
          </w:tcPr>
          <w:p>
            <w:pPr>
              <w:pStyle w:val="TableParagraph"/>
              <w:tabs>
                <w:tab w:pos="732" w:val="left" w:leader="none"/>
              </w:tabs>
              <w:spacing w:before="10"/>
              <w:ind w:right="103"/>
              <w:jc w:val="right"/>
              <w:rPr>
                <w:sz w:val="20"/>
              </w:rPr>
            </w:pPr>
            <w:r>
              <w:rPr>
                <w:spacing w:val="-10"/>
                <w:sz w:val="20"/>
              </w:rPr>
              <w:t>$</w:t>
            </w:r>
            <w:r>
              <w:rPr>
                <w:sz w:val="20"/>
              </w:rPr>
              <w:tab/>
            </w:r>
            <w:r>
              <w:rPr>
                <w:spacing w:val="-2"/>
                <w:sz w:val="20"/>
              </w:rPr>
              <w:t>2,306.1</w:t>
            </w:r>
          </w:p>
        </w:tc>
        <w:tc>
          <w:tcPr>
            <w:tcW w:w="1514" w:type="dxa"/>
            <w:tcBorders>
              <w:top w:val="single" w:sz="8" w:space="0" w:color="000000"/>
            </w:tcBorders>
            <w:shd w:val="clear" w:color="auto" w:fill="CCEDFF"/>
          </w:tcPr>
          <w:p>
            <w:pPr>
              <w:pStyle w:val="TableParagraph"/>
              <w:tabs>
                <w:tab w:pos="757" w:val="left" w:leader="none"/>
              </w:tabs>
              <w:spacing w:before="10"/>
              <w:ind w:left="25"/>
              <w:jc w:val="center"/>
              <w:rPr>
                <w:sz w:val="20"/>
              </w:rPr>
            </w:pPr>
            <w:r>
              <w:rPr>
                <w:spacing w:val="-10"/>
                <w:sz w:val="20"/>
              </w:rPr>
              <w:t>$</w:t>
            </w:r>
            <w:r>
              <w:rPr>
                <w:sz w:val="20"/>
              </w:rPr>
              <w:tab/>
            </w:r>
            <w:r>
              <w:rPr>
                <w:spacing w:val="-2"/>
                <w:sz w:val="20"/>
              </w:rPr>
              <w:t>1,011.3</w:t>
            </w:r>
          </w:p>
        </w:tc>
      </w:tr>
      <w:tr>
        <w:trPr>
          <w:trHeight w:val="300" w:hRule="atLeast"/>
        </w:trPr>
        <w:tc>
          <w:tcPr>
            <w:tcW w:w="7200" w:type="dxa"/>
          </w:tcPr>
          <w:p>
            <w:pPr>
              <w:pStyle w:val="TableParagraph"/>
              <w:spacing w:before="20"/>
              <w:ind w:left="50"/>
              <w:rPr>
                <w:sz w:val="20"/>
              </w:rPr>
            </w:pPr>
            <w:r>
              <w:rPr>
                <w:sz w:val="20"/>
              </w:rPr>
              <w:t>Short-term </w:t>
            </w:r>
            <w:r>
              <w:rPr>
                <w:spacing w:val="-2"/>
                <w:sz w:val="20"/>
              </w:rPr>
              <w:t>investments</w:t>
            </w:r>
          </w:p>
        </w:tc>
        <w:tc>
          <w:tcPr>
            <w:tcW w:w="1487" w:type="dxa"/>
          </w:tcPr>
          <w:p>
            <w:pPr>
              <w:pStyle w:val="TableParagraph"/>
              <w:tabs>
                <w:tab w:pos="732" w:val="left" w:leader="none"/>
              </w:tabs>
              <w:spacing w:before="20"/>
              <w:ind w:right="103"/>
              <w:jc w:val="right"/>
              <w:rPr>
                <w:sz w:val="20"/>
              </w:rPr>
            </w:pPr>
            <w:r>
              <w:rPr>
                <w:spacing w:val="-10"/>
                <w:sz w:val="20"/>
              </w:rPr>
              <w:t>$</w:t>
            </w:r>
            <w:r>
              <w:rPr>
                <w:sz w:val="20"/>
              </w:rPr>
              <w:tab/>
            </w:r>
            <w:r>
              <w:rPr>
                <w:spacing w:val="-2"/>
                <w:sz w:val="20"/>
              </w:rPr>
              <w:t>3,513.7</w:t>
            </w:r>
          </w:p>
        </w:tc>
        <w:tc>
          <w:tcPr>
            <w:tcW w:w="1514" w:type="dxa"/>
          </w:tcPr>
          <w:p>
            <w:pPr>
              <w:pStyle w:val="TableParagraph"/>
              <w:tabs>
                <w:tab w:pos="757" w:val="left" w:leader="none"/>
              </w:tabs>
              <w:spacing w:before="20"/>
              <w:ind w:left="25"/>
              <w:jc w:val="center"/>
              <w:rPr>
                <w:sz w:val="20"/>
              </w:rPr>
            </w:pPr>
            <w:r>
              <w:rPr>
                <w:spacing w:val="-10"/>
                <w:sz w:val="20"/>
              </w:rPr>
              <w:t>$</w:t>
            </w:r>
            <w:r>
              <w:rPr>
                <w:sz w:val="20"/>
              </w:rPr>
              <w:tab/>
            </w:r>
            <w:r>
              <w:rPr>
                <w:spacing w:val="-2"/>
                <w:sz w:val="20"/>
              </w:rPr>
              <w:t>3,750.0</w:t>
            </w:r>
          </w:p>
        </w:tc>
      </w:tr>
      <w:tr>
        <w:trPr>
          <w:trHeight w:val="300" w:hRule="atLeast"/>
        </w:trPr>
        <w:tc>
          <w:tcPr>
            <w:tcW w:w="7200" w:type="dxa"/>
            <w:shd w:val="clear" w:color="auto" w:fill="CCEDFF"/>
          </w:tcPr>
          <w:p>
            <w:pPr>
              <w:pStyle w:val="TableParagraph"/>
              <w:spacing w:before="20"/>
              <w:ind w:left="50"/>
              <w:rPr>
                <w:sz w:val="20"/>
              </w:rPr>
            </w:pPr>
            <w:r>
              <w:rPr>
                <w:sz w:val="20"/>
              </w:rPr>
              <w:t>Working</w:t>
            </w:r>
            <w:r>
              <w:rPr>
                <w:spacing w:val="-8"/>
                <w:sz w:val="20"/>
              </w:rPr>
              <w:t> </w:t>
            </w:r>
            <w:r>
              <w:rPr>
                <w:spacing w:val="-2"/>
                <w:sz w:val="20"/>
              </w:rPr>
              <w:t>capital</w:t>
            </w:r>
          </w:p>
        </w:tc>
        <w:tc>
          <w:tcPr>
            <w:tcW w:w="1487" w:type="dxa"/>
            <w:shd w:val="clear" w:color="auto" w:fill="CCEDFF"/>
          </w:tcPr>
          <w:p>
            <w:pPr>
              <w:pStyle w:val="TableParagraph"/>
              <w:tabs>
                <w:tab w:pos="732" w:val="left" w:leader="none"/>
              </w:tabs>
              <w:spacing w:before="20"/>
              <w:ind w:right="103"/>
              <w:jc w:val="right"/>
              <w:rPr>
                <w:sz w:val="20"/>
              </w:rPr>
            </w:pPr>
            <w:r>
              <w:rPr>
                <w:spacing w:val="-10"/>
                <w:sz w:val="20"/>
              </w:rPr>
              <w:t>$</w:t>
            </w:r>
            <w:r>
              <w:rPr>
                <w:sz w:val="20"/>
              </w:rPr>
              <w:tab/>
            </w:r>
            <w:r>
              <w:rPr>
                <w:spacing w:val="-2"/>
                <w:sz w:val="20"/>
              </w:rPr>
              <w:t>3,720.4</w:t>
            </w:r>
          </w:p>
        </w:tc>
        <w:tc>
          <w:tcPr>
            <w:tcW w:w="1514" w:type="dxa"/>
            <w:shd w:val="clear" w:color="auto" w:fill="CCEDFF"/>
          </w:tcPr>
          <w:p>
            <w:pPr>
              <w:pStyle w:val="TableParagraph"/>
              <w:tabs>
                <w:tab w:pos="757" w:val="left" w:leader="none"/>
              </w:tabs>
              <w:spacing w:before="20"/>
              <w:ind w:left="25"/>
              <w:jc w:val="center"/>
              <w:rPr>
                <w:sz w:val="20"/>
              </w:rPr>
            </w:pPr>
            <w:r>
              <w:rPr>
                <w:spacing w:val="-10"/>
                <w:sz w:val="20"/>
              </w:rPr>
              <w:t>$</w:t>
            </w:r>
            <w:r>
              <w:rPr>
                <w:sz w:val="20"/>
              </w:rPr>
              <w:tab/>
            </w:r>
            <w:r>
              <w:rPr>
                <w:spacing w:val="-2"/>
                <w:sz w:val="20"/>
              </w:rPr>
              <w:t>3,028.1</w:t>
            </w:r>
          </w:p>
        </w:tc>
      </w:tr>
      <w:tr>
        <w:trPr>
          <w:trHeight w:val="249" w:hRule="atLeast"/>
        </w:trPr>
        <w:tc>
          <w:tcPr>
            <w:tcW w:w="7200" w:type="dxa"/>
          </w:tcPr>
          <w:p>
            <w:pPr>
              <w:pStyle w:val="TableParagraph"/>
              <w:spacing w:line="210" w:lineRule="exact" w:before="20"/>
              <w:ind w:left="50"/>
              <w:rPr>
                <w:sz w:val="20"/>
              </w:rPr>
            </w:pPr>
            <w:r>
              <w:rPr>
                <w:sz w:val="20"/>
              </w:rPr>
              <w:t>Stockholders’</w:t>
            </w:r>
            <w:r>
              <w:rPr>
                <w:spacing w:val="-15"/>
                <w:sz w:val="20"/>
              </w:rPr>
              <w:t> </w:t>
            </w:r>
            <w:r>
              <w:rPr>
                <w:spacing w:val="-2"/>
                <w:sz w:val="20"/>
              </w:rPr>
              <w:t>equity</w:t>
            </w:r>
          </w:p>
        </w:tc>
        <w:tc>
          <w:tcPr>
            <w:tcW w:w="1487" w:type="dxa"/>
          </w:tcPr>
          <w:p>
            <w:pPr>
              <w:pStyle w:val="TableParagraph"/>
              <w:tabs>
                <w:tab w:pos="732" w:val="left" w:leader="none"/>
              </w:tabs>
              <w:spacing w:line="210" w:lineRule="exact" w:before="20"/>
              <w:ind w:right="103"/>
              <w:jc w:val="right"/>
              <w:rPr>
                <w:sz w:val="20"/>
              </w:rPr>
            </w:pPr>
            <w:r>
              <w:rPr>
                <w:spacing w:val="-10"/>
                <w:sz w:val="20"/>
              </w:rPr>
              <w:t>$</w:t>
            </w:r>
            <w:r>
              <w:rPr>
                <w:sz w:val="20"/>
              </w:rPr>
              <w:tab/>
            </w:r>
            <w:r>
              <w:rPr>
                <w:spacing w:val="-2"/>
                <w:sz w:val="20"/>
              </w:rPr>
              <w:t>8,459.9</w:t>
            </w:r>
          </w:p>
        </w:tc>
        <w:tc>
          <w:tcPr>
            <w:tcW w:w="1514" w:type="dxa"/>
          </w:tcPr>
          <w:p>
            <w:pPr>
              <w:pStyle w:val="TableParagraph"/>
              <w:tabs>
                <w:tab w:pos="757" w:val="left" w:leader="none"/>
              </w:tabs>
              <w:spacing w:line="210" w:lineRule="exact" w:before="20"/>
              <w:ind w:left="25"/>
              <w:jc w:val="center"/>
              <w:rPr>
                <w:sz w:val="20"/>
              </w:rPr>
            </w:pPr>
            <w:r>
              <w:rPr>
                <w:spacing w:val="-10"/>
                <w:sz w:val="20"/>
              </w:rPr>
              <w:t>$</w:t>
            </w:r>
            <w:r>
              <w:rPr>
                <w:sz w:val="20"/>
              </w:rPr>
              <w:tab/>
            </w:r>
            <w:r>
              <w:rPr>
                <w:spacing w:val="-2"/>
                <w:sz w:val="20"/>
              </w:rPr>
              <w:t>7,424.8</w:t>
            </w:r>
          </w:p>
        </w:tc>
      </w:tr>
    </w:tbl>
    <w:p>
      <w:pPr>
        <w:pStyle w:val="BodyText"/>
        <w:spacing w:before="34"/>
        <w:rPr>
          <w:b/>
        </w:rPr>
      </w:pPr>
    </w:p>
    <w:p>
      <w:pPr>
        <w:pStyle w:val="BodyText"/>
        <w:ind w:left="799"/>
      </w:pPr>
      <w:r>
        <w:rPr/>
        <w:t>A</w:t>
      </w:r>
      <w:r>
        <w:rPr>
          <w:spacing w:val="-13"/>
        </w:rPr>
        <w:t> </w:t>
      </w:r>
      <w:r>
        <w:rPr/>
        <w:t>summary</w:t>
      </w:r>
      <w:r>
        <w:rPr>
          <w:spacing w:val="-1"/>
        </w:rPr>
        <w:t> </w:t>
      </w:r>
      <w:r>
        <w:rPr/>
        <w:t>of</w:t>
      </w:r>
      <w:r>
        <w:rPr>
          <w:spacing w:val="-1"/>
        </w:rPr>
        <w:t> </w:t>
      </w:r>
      <w:r>
        <w:rPr/>
        <w:t>our cash</w:t>
      </w:r>
      <w:r>
        <w:rPr>
          <w:spacing w:val="-1"/>
        </w:rPr>
        <w:t> </w:t>
      </w:r>
      <w:r>
        <w:rPr/>
        <w:t>flows</w:t>
      </w:r>
      <w:r>
        <w:rPr>
          <w:spacing w:val="-2"/>
        </w:rPr>
        <w:t> </w:t>
      </w:r>
      <w:r>
        <w:rPr/>
        <w:t>is</w:t>
      </w:r>
      <w:r>
        <w:rPr>
          <w:spacing w:val="-2"/>
        </w:rPr>
        <w:t> </w:t>
      </w:r>
      <w:r>
        <w:rPr/>
        <w:t>as</w:t>
      </w:r>
      <w:r>
        <w:rPr>
          <w:spacing w:val="-1"/>
        </w:rPr>
        <w:t> </w:t>
      </w:r>
      <w:r>
        <w:rPr>
          <w:spacing w:val="-2"/>
        </w:rPr>
        <w:t>follows:</w:t>
      </w:r>
    </w:p>
    <w:p>
      <w:pPr>
        <w:spacing w:after="0"/>
        <w:sectPr>
          <w:pgSz w:w="12240" w:h="15840"/>
          <w:pgMar w:header="210" w:footer="579" w:top="420" w:bottom="800" w:left="780" w:right="740"/>
        </w:sectPr>
      </w:pPr>
    </w:p>
    <w:p>
      <w:pPr>
        <w:spacing w:before="176"/>
        <w:ind w:left="0" w:right="0" w:firstLine="0"/>
        <w:jc w:val="right"/>
        <w:rPr>
          <w:b/>
          <w:sz w:val="16"/>
        </w:rPr>
      </w:pPr>
      <w:r>
        <w:rPr/>
        <mc:AlternateContent>
          <mc:Choice Requires="wps">
            <w:drawing>
              <wp:anchor distT="0" distB="0" distL="0" distR="0" allowOverlap="1" layoutInCell="1" locked="0" behindDoc="0" simplePos="0" relativeHeight="15764480">
                <wp:simplePos x="0" y="0"/>
                <wp:positionH relativeFrom="page">
                  <wp:posOffset>603250</wp:posOffset>
                </wp:positionH>
                <wp:positionV relativeFrom="paragraph">
                  <wp:posOffset>202857</wp:posOffset>
                </wp:positionV>
                <wp:extent cx="6553200" cy="115316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6553200" cy="11531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1"/>
                              <w:gridCol w:w="2210"/>
                              <w:gridCol w:w="1541"/>
                              <w:gridCol w:w="1481"/>
                            </w:tblGrid>
                            <w:tr>
                              <w:trPr>
                                <w:trHeight w:val="217" w:hRule="atLeast"/>
                              </w:trPr>
                              <w:tc>
                                <w:tcPr>
                                  <w:tcW w:w="4971" w:type="dxa"/>
                                </w:tcPr>
                                <w:p>
                                  <w:pPr>
                                    <w:pStyle w:val="TableParagraph"/>
                                    <w:spacing w:line="177" w:lineRule="exact"/>
                                    <w:ind w:left="50"/>
                                    <w:rPr>
                                      <w:sz w:val="16"/>
                                    </w:rPr>
                                  </w:pPr>
                                  <w:r>
                                    <w:rPr>
                                      <w:sz w:val="16"/>
                                    </w:rPr>
                                    <w:t>(in </w:t>
                                  </w:r>
                                  <w:r>
                                    <w:rPr>
                                      <w:spacing w:val="-2"/>
                                      <w:sz w:val="16"/>
                                    </w:rPr>
                                    <w:t>millions)</w:t>
                                  </w:r>
                                </w:p>
                              </w:tc>
                              <w:tc>
                                <w:tcPr>
                                  <w:tcW w:w="2210" w:type="dxa"/>
                                  <w:tcBorders>
                                    <w:bottom w:val="single" w:sz="8" w:space="0" w:color="000000"/>
                                  </w:tcBorders>
                                </w:tcPr>
                                <w:p>
                                  <w:pPr>
                                    <w:pStyle w:val="TableParagraph"/>
                                    <w:spacing w:line="181" w:lineRule="exact" w:before="16"/>
                                    <w:ind w:left="1248"/>
                                    <w:rPr>
                                      <w:b/>
                                      <w:sz w:val="16"/>
                                    </w:rPr>
                                  </w:pPr>
                                  <w:r>
                                    <w:rPr>
                                      <w:b/>
                                      <w:spacing w:val="-4"/>
                                      <w:sz w:val="16"/>
                                    </w:rPr>
                                    <w:t>2017</w:t>
                                  </w:r>
                                </w:p>
                              </w:tc>
                              <w:tc>
                                <w:tcPr>
                                  <w:tcW w:w="1541" w:type="dxa"/>
                                  <w:tcBorders>
                                    <w:bottom w:val="single" w:sz="8" w:space="0" w:color="000000"/>
                                  </w:tcBorders>
                                </w:tcPr>
                                <w:p>
                                  <w:pPr>
                                    <w:pStyle w:val="TableParagraph"/>
                                    <w:spacing w:line="181" w:lineRule="exact" w:before="16"/>
                                    <w:ind w:right="62"/>
                                    <w:jc w:val="center"/>
                                    <w:rPr>
                                      <w:b/>
                                      <w:sz w:val="16"/>
                                    </w:rPr>
                                  </w:pPr>
                                  <w:r>
                                    <w:rPr>
                                      <w:b/>
                                      <w:spacing w:val="-4"/>
                                      <w:sz w:val="16"/>
                                    </w:rPr>
                                    <w:t>2016</w:t>
                                  </w:r>
                                </w:p>
                              </w:tc>
                              <w:tc>
                                <w:tcPr>
                                  <w:tcW w:w="1481" w:type="dxa"/>
                                  <w:tcBorders>
                                    <w:bottom w:val="single" w:sz="8" w:space="0" w:color="000000"/>
                                  </w:tcBorders>
                                </w:tcPr>
                                <w:p>
                                  <w:pPr>
                                    <w:pStyle w:val="TableParagraph"/>
                                    <w:spacing w:line="181" w:lineRule="exact" w:before="16"/>
                                    <w:ind w:right="4"/>
                                    <w:jc w:val="center"/>
                                    <w:rPr>
                                      <w:b/>
                                      <w:sz w:val="16"/>
                                    </w:rPr>
                                  </w:pPr>
                                  <w:r>
                                    <w:rPr>
                                      <w:b/>
                                      <w:spacing w:val="-4"/>
                                      <w:sz w:val="16"/>
                                    </w:rPr>
                                    <w:t>2015</w:t>
                                  </w:r>
                                </w:p>
                              </w:tc>
                            </w:tr>
                            <w:tr>
                              <w:trPr>
                                <w:trHeight w:val="270" w:hRule="atLeast"/>
                              </w:trPr>
                              <w:tc>
                                <w:tcPr>
                                  <w:tcW w:w="4971" w:type="dxa"/>
                                  <w:shd w:val="clear" w:color="auto" w:fill="CCEDFF"/>
                                </w:tcPr>
                                <w:p>
                                  <w:pPr>
                                    <w:pStyle w:val="TableParagraph"/>
                                    <w:spacing w:line="222" w:lineRule="exact"/>
                                    <w:ind w:left="50"/>
                                    <w:rPr>
                                      <w:sz w:val="20"/>
                                    </w:rPr>
                                  </w:pPr>
                                  <w:r>
                                    <w:rPr>
                                      <w:sz w:val="20"/>
                                    </w:rPr>
                                    <w:t>Net cash provided by operating </w:t>
                                  </w:r>
                                  <w:r>
                                    <w:rPr>
                                      <w:spacing w:val="-2"/>
                                      <w:sz w:val="20"/>
                                    </w:rPr>
                                    <w:t>activities</w:t>
                                  </w:r>
                                </w:p>
                              </w:tc>
                              <w:tc>
                                <w:tcPr>
                                  <w:tcW w:w="2210" w:type="dxa"/>
                                  <w:tcBorders>
                                    <w:top w:val="single" w:sz="8" w:space="0" w:color="000000"/>
                                  </w:tcBorders>
                                  <w:shd w:val="clear" w:color="auto" w:fill="CCEDFF"/>
                                </w:tcPr>
                                <w:p>
                                  <w:pPr>
                                    <w:pStyle w:val="TableParagraph"/>
                                    <w:tabs>
                                      <w:tab w:pos="732" w:val="left" w:leader="none"/>
                                    </w:tabs>
                                    <w:spacing w:line="222" w:lineRule="exact"/>
                                    <w:ind w:right="137"/>
                                    <w:jc w:val="right"/>
                                    <w:rPr>
                                      <w:sz w:val="20"/>
                                    </w:rPr>
                                  </w:pPr>
                                  <w:r>
                                    <w:rPr>
                                      <w:spacing w:val="-10"/>
                                      <w:sz w:val="20"/>
                                    </w:rPr>
                                    <w:t>$</w:t>
                                  </w:r>
                                  <w:r>
                                    <w:rPr>
                                      <w:sz w:val="20"/>
                                    </w:rPr>
                                    <w:tab/>
                                  </w:r>
                                  <w:r>
                                    <w:rPr>
                                      <w:spacing w:val="-2"/>
                                      <w:sz w:val="20"/>
                                    </w:rPr>
                                    <w:t>2,912.9</w:t>
                                  </w:r>
                                </w:p>
                              </w:tc>
                              <w:tc>
                                <w:tcPr>
                                  <w:tcW w:w="1541" w:type="dxa"/>
                                  <w:tcBorders>
                                    <w:top w:val="single" w:sz="8" w:space="0" w:color="000000"/>
                                  </w:tcBorders>
                                  <w:shd w:val="clear" w:color="auto" w:fill="CCEDFF"/>
                                </w:tcPr>
                                <w:p>
                                  <w:pPr>
                                    <w:pStyle w:val="TableParagraph"/>
                                    <w:tabs>
                                      <w:tab w:pos="801" w:val="left" w:leader="none"/>
                                    </w:tabs>
                                    <w:spacing w:line="222" w:lineRule="exact"/>
                                    <w:ind w:left="68"/>
                                    <w:rPr>
                                      <w:sz w:val="20"/>
                                    </w:rPr>
                                  </w:pPr>
                                  <w:r>
                                    <w:rPr>
                                      <w:spacing w:val="-10"/>
                                      <w:sz w:val="20"/>
                                    </w:rPr>
                                    <w:t>$</w:t>
                                  </w:r>
                                  <w:r>
                                    <w:rPr>
                                      <w:sz w:val="20"/>
                                    </w:rPr>
                                    <w:tab/>
                                  </w:r>
                                  <w:r>
                                    <w:rPr>
                                      <w:spacing w:val="-2"/>
                                      <w:sz w:val="20"/>
                                    </w:rPr>
                                    <w:t>2,199.7</w:t>
                                  </w:r>
                                </w:p>
                              </w:tc>
                              <w:tc>
                                <w:tcPr>
                                  <w:tcW w:w="1481" w:type="dxa"/>
                                  <w:tcBorders>
                                    <w:top w:val="single" w:sz="8" w:space="0" w:color="000000"/>
                                  </w:tcBorders>
                                  <w:shd w:val="clear" w:color="auto" w:fill="CCEDFF"/>
                                </w:tcPr>
                                <w:p>
                                  <w:pPr>
                                    <w:pStyle w:val="TableParagraph"/>
                                    <w:tabs>
                                      <w:tab w:pos="732" w:val="left" w:leader="none"/>
                                    </w:tabs>
                                    <w:spacing w:line="222" w:lineRule="exact"/>
                                    <w:ind w:right="79"/>
                                    <w:jc w:val="right"/>
                                    <w:rPr>
                                      <w:sz w:val="20"/>
                                    </w:rPr>
                                  </w:pPr>
                                  <w:r>
                                    <w:rPr>
                                      <w:spacing w:val="-10"/>
                                      <w:sz w:val="20"/>
                                    </w:rPr>
                                    <w:t>$</w:t>
                                  </w:r>
                                  <w:r>
                                    <w:rPr>
                                      <w:sz w:val="20"/>
                                    </w:rPr>
                                    <w:tab/>
                                  </w:r>
                                  <w:r>
                                    <w:rPr>
                                      <w:spacing w:val="-2"/>
                                      <w:sz w:val="20"/>
                                    </w:rPr>
                                    <w:t>1,469.5</w:t>
                                  </w:r>
                                </w:p>
                              </w:tc>
                            </w:tr>
                            <w:tr>
                              <w:trPr>
                                <w:trHeight w:val="280" w:hRule="atLeast"/>
                              </w:trPr>
                              <w:tc>
                                <w:tcPr>
                                  <w:tcW w:w="4971" w:type="dxa"/>
                                </w:tcPr>
                                <w:p>
                                  <w:pPr>
                                    <w:pStyle w:val="TableParagraph"/>
                                    <w:spacing w:before="2"/>
                                    <w:ind w:left="50"/>
                                    <w:rPr>
                                      <w:sz w:val="20"/>
                                    </w:rPr>
                                  </w:pPr>
                                  <w:r>
                                    <w:rPr>
                                      <w:sz w:val="20"/>
                                    </w:rPr>
                                    <w:t>Net cash used for investing </w:t>
                                  </w:r>
                                  <w:r>
                                    <w:rPr>
                                      <w:spacing w:val="-2"/>
                                      <w:sz w:val="20"/>
                                    </w:rPr>
                                    <w:t>activities</w:t>
                                  </w:r>
                                </w:p>
                              </w:tc>
                              <w:tc>
                                <w:tcPr>
                                  <w:tcW w:w="2210" w:type="dxa"/>
                                </w:tcPr>
                                <w:p>
                                  <w:pPr>
                                    <w:pStyle w:val="TableParagraph"/>
                                    <w:spacing w:before="2"/>
                                    <w:ind w:right="69"/>
                                    <w:jc w:val="right"/>
                                    <w:rPr>
                                      <w:sz w:val="20"/>
                                    </w:rPr>
                                  </w:pPr>
                                  <w:r>
                                    <w:rPr>
                                      <w:spacing w:val="-2"/>
                                      <w:sz w:val="20"/>
                                    </w:rPr>
                                    <w:t>(442.9)</w:t>
                                  </w:r>
                                </w:p>
                              </w:tc>
                              <w:tc>
                                <w:tcPr>
                                  <w:tcW w:w="1541" w:type="dxa"/>
                                </w:tcPr>
                                <w:p>
                                  <w:pPr>
                                    <w:pStyle w:val="TableParagraph"/>
                                    <w:spacing w:before="2"/>
                                    <w:ind w:right="70"/>
                                    <w:jc w:val="right"/>
                                    <w:rPr>
                                      <w:sz w:val="20"/>
                                    </w:rPr>
                                  </w:pPr>
                                  <w:r>
                                    <w:rPr>
                                      <w:spacing w:val="-2"/>
                                      <w:sz w:val="20"/>
                                    </w:rPr>
                                    <w:t>(960.0)</w:t>
                                  </w:r>
                                </w:p>
                              </w:tc>
                              <w:tc>
                                <w:tcPr>
                                  <w:tcW w:w="1481" w:type="dxa"/>
                                </w:tcPr>
                                <w:p>
                                  <w:pPr>
                                    <w:pStyle w:val="TableParagraph"/>
                                    <w:spacing w:before="2"/>
                                    <w:ind w:right="11"/>
                                    <w:jc w:val="right"/>
                                    <w:rPr>
                                      <w:sz w:val="20"/>
                                    </w:rPr>
                                  </w:pPr>
                                  <w:r>
                                    <w:rPr>
                                      <w:spacing w:val="-2"/>
                                      <w:sz w:val="20"/>
                                    </w:rPr>
                                    <w:t>(1,488.4)</w:t>
                                  </w:r>
                                </w:p>
                              </w:tc>
                            </w:tr>
                            <w:tr>
                              <w:trPr>
                                <w:trHeight w:val="280" w:hRule="atLeast"/>
                              </w:trPr>
                              <w:tc>
                                <w:tcPr>
                                  <w:tcW w:w="4971" w:type="dxa"/>
                                  <w:shd w:val="clear" w:color="auto" w:fill="CCEDFF"/>
                                </w:tcPr>
                                <w:p>
                                  <w:pPr>
                                    <w:pStyle w:val="TableParagraph"/>
                                    <w:spacing w:before="2"/>
                                    <w:ind w:left="50"/>
                                    <w:rPr>
                                      <w:sz w:val="20"/>
                                    </w:rPr>
                                  </w:pPr>
                                  <w:r>
                                    <w:rPr>
                                      <w:sz w:val="20"/>
                                    </w:rPr>
                                    <w:t>Net cash used for financing </w:t>
                                  </w:r>
                                  <w:r>
                                    <w:rPr>
                                      <w:spacing w:val="-2"/>
                                      <w:sz w:val="20"/>
                                    </w:rPr>
                                    <w:t>activities</w:t>
                                  </w:r>
                                </w:p>
                              </w:tc>
                              <w:tc>
                                <w:tcPr>
                                  <w:tcW w:w="2210" w:type="dxa"/>
                                  <w:shd w:val="clear" w:color="auto" w:fill="CCEDFF"/>
                                </w:tcPr>
                                <w:p>
                                  <w:pPr>
                                    <w:pStyle w:val="TableParagraph"/>
                                    <w:spacing w:before="2"/>
                                    <w:ind w:right="69"/>
                                    <w:jc w:val="right"/>
                                    <w:rPr>
                                      <w:sz w:val="20"/>
                                    </w:rPr>
                                  </w:pPr>
                                  <w:r>
                                    <w:rPr>
                                      <w:spacing w:val="-2"/>
                                      <w:sz w:val="20"/>
                                    </w:rPr>
                                    <w:t>(1,183.7)</w:t>
                                  </w:r>
                                </w:p>
                              </w:tc>
                              <w:tc>
                                <w:tcPr>
                                  <w:tcW w:w="1541" w:type="dxa"/>
                                  <w:shd w:val="clear" w:color="auto" w:fill="CCEDFF"/>
                                </w:tcPr>
                                <w:p>
                                  <w:pPr>
                                    <w:pStyle w:val="TableParagraph"/>
                                    <w:spacing w:before="2"/>
                                    <w:ind w:right="70"/>
                                    <w:jc w:val="right"/>
                                    <w:rPr>
                                      <w:sz w:val="20"/>
                                    </w:rPr>
                                  </w:pPr>
                                  <w:r>
                                    <w:rPr>
                                      <w:spacing w:val="-2"/>
                                      <w:sz w:val="20"/>
                                    </w:rPr>
                                    <w:t>(1,090.7)</w:t>
                                  </w:r>
                                </w:p>
                              </w:tc>
                              <w:tc>
                                <w:tcPr>
                                  <w:tcW w:w="1481" w:type="dxa"/>
                                  <w:shd w:val="clear" w:color="auto" w:fill="CCEDFF"/>
                                </w:tcPr>
                                <w:p>
                                  <w:pPr>
                                    <w:pStyle w:val="TableParagraph"/>
                                    <w:spacing w:before="2"/>
                                    <w:ind w:right="11"/>
                                    <w:jc w:val="right"/>
                                    <w:rPr>
                                      <w:sz w:val="20"/>
                                    </w:rPr>
                                  </w:pPr>
                                  <w:r>
                                    <w:rPr>
                                      <w:spacing w:val="-2"/>
                                      <w:sz w:val="20"/>
                                    </w:rPr>
                                    <w:t>(200.7)</w:t>
                                  </w:r>
                                </w:p>
                              </w:tc>
                            </w:tr>
                            <w:tr>
                              <w:trPr>
                                <w:trHeight w:val="187" w:hRule="atLeast"/>
                              </w:trPr>
                              <w:tc>
                                <w:tcPr>
                                  <w:tcW w:w="10203" w:type="dxa"/>
                                  <w:gridSpan w:val="4"/>
                                </w:tcPr>
                                <w:p>
                                  <w:pPr>
                                    <w:pStyle w:val="TableParagraph"/>
                                    <w:spacing w:line="165" w:lineRule="exact" w:before="2"/>
                                    <w:ind w:left="50"/>
                                    <w:rPr>
                                      <w:sz w:val="20"/>
                                    </w:rPr>
                                  </w:pPr>
                                  <w:r>
                                    <w:rPr>
                                      <w:sz w:val="20"/>
                                    </w:rPr>
                                    <w:t>Effect</w:t>
                                  </w:r>
                                  <w:r>
                                    <w:rPr>
                                      <w:spacing w:val="-1"/>
                                      <w:sz w:val="20"/>
                                    </w:rPr>
                                    <w:t> </w:t>
                                  </w:r>
                                  <w:r>
                                    <w:rPr>
                                      <w:sz w:val="20"/>
                                    </w:rPr>
                                    <w:t>of</w:t>
                                  </w:r>
                                  <w:r>
                                    <w:rPr>
                                      <w:spacing w:val="-1"/>
                                      <w:sz w:val="20"/>
                                    </w:rPr>
                                    <w:t> </w:t>
                                  </w:r>
                                  <w:r>
                                    <w:rPr>
                                      <w:sz w:val="20"/>
                                    </w:rPr>
                                    <w:t>foreign currency</w:t>
                                  </w:r>
                                  <w:r>
                                    <w:rPr>
                                      <w:spacing w:val="-1"/>
                                      <w:sz w:val="20"/>
                                    </w:rPr>
                                    <w:t> </w:t>
                                  </w:r>
                                  <w:r>
                                    <w:rPr>
                                      <w:sz w:val="20"/>
                                    </w:rPr>
                                    <w:t>exchange</w:t>
                                  </w:r>
                                  <w:r>
                                    <w:rPr>
                                      <w:spacing w:val="-1"/>
                                      <w:sz w:val="20"/>
                                    </w:rPr>
                                    <w:t> </w:t>
                                  </w:r>
                                  <w:r>
                                    <w:rPr>
                                      <w:sz w:val="20"/>
                                    </w:rPr>
                                    <w:t>rates</w:t>
                                  </w:r>
                                  <w:r>
                                    <w:rPr>
                                      <w:spacing w:val="-1"/>
                                      <w:sz w:val="20"/>
                                    </w:rPr>
                                    <w:t> </w:t>
                                  </w:r>
                                  <w:r>
                                    <w:rPr>
                                      <w:sz w:val="20"/>
                                    </w:rPr>
                                    <w:t>on</w:t>
                                  </w:r>
                                  <w:r>
                                    <w:rPr>
                                      <w:spacing w:val="-1"/>
                                      <w:sz w:val="20"/>
                                    </w:rPr>
                                    <w:t> </w:t>
                                  </w:r>
                                  <w:r>
                                    <w:rPr>
                                      <w:sz w:val="20"/>
                                    </w:rPr>
                                    <w:t>cash</w:t>
                                  </w:r>
                                  <w:r>
                                    <w:rPr>
                                      <w:spacing w:val="-1"/>
                                      <w:sz w:val="20"/>
                                    </w:rPr>
                                    <w:t> </w:t>
                                  </w:r>
                                  <w:r>
                                    <w:rPr>
                                      <w:sz w:val="20"/>
                                    </w:rPr>
                                    <w:t>and </w:t>
                                  </w:r>
                                  <w:r>
                                    <w:rPr>
                                      <w:spacing w:val="-4"/>
                                      <w:sz w:val="20"/>
                                    </w:rPr>
                                    <w:t>cash</w:t>
                                  </w:r>
                                </w:p>
                              </w:tc>
                            </w:tr>
                            <w:tr>
                              <w:trPr>
                                <w:trHeight w:val="262" w:hRule="atLeast"/>
                              </w:trPr>
                              <w:tc>
                                <w:tcPr>
                                  <w:tcW w:w="4971" w:type="dxa"/>
                                </w:tcPr>
                                <w:p>
                                  <w:pPr>
                                    <w:pStyle w:val="TableParagraph"/>
                                    <w:spacing w:line="228" w:lineRule="exact" w:before="14"/>
                                    <w:ind w:left="50"/>
                                    <w:rPr>
                                      <w:sz w:val="20"/>
                                    </w:rPr>
                                  </w:pPr>
                                  <w:r>
                                    <w:rPr>
                                      <w:spacing w:val="-2"/>
                                      <w:sz w:val="20"/>
                                    </w:rPr>
                                    <w:t>equivalents</w:t>
                                  </w:r>
                                </w:p>
                              </w:tc>
                              <w:tc>
                                <w:tcPr>
                                  <w:tcW w:w="2210" w:type="dxa"/>
                                  <w:tcBorders>
                                    <w:bottom w:val="single" w:sz="8" w:space="0" w:color="000000"/>
                                  </w:tcBorders>
                                </w:tcPr>
                                <w:p>
                                  <w:pPr>
                                    <w:pStyle w:val="TableParagraph"/>
                                    <w:spacing w:line="222" w:lineRule="exact"/>
                                    <w:ind w:right="137"/>
                                    <w:jc w:val="right"/>
                                    <w:rPr>
                                      <w:sz w:val="20"/>
                                    </w:rPr>
                                  </w:pPr>
                                  <w:r>
                                    <w:rPr>
                                      <w:spacing w:val="-5"/>
                                      <w:sz w:val="20"/>
                                    </w:rPr>
                                    <w:t>8.5</w:t>
                                  </w:r>
                                </w:p>
                              </w:tc>
                              <w:tc>
                                <w:tcPr>
                                  <w:tcW w:w="1541" w:type="dxa"/>
                                  <w:tcBorders>
                                    <w:bottom w:val="single" w:sz="8" w:space="0" w:color="000000"/>
                                  </w:tcBorders>
                                </w:tcPr>
                                <w:p>
                                  <w:pPr>
                                    <w:pStyle w:val="TableParagraph"/>
                                    <w:spacing w:line="222" w:lineRule="exact"/>
                                    <w:ind w:right="70"/>
                                    <w:jc w:val="right"/>
                                    <w:rPr>
                                      <w:sz w:val="20"/>
                                    </w:rPr>
                                  </w:pPr>
                                  <w:r>
                                    <w:rPr>
                                      <w:spacing w:val="-2"/>
                                      <w:sz w:val="20"/>
                                    </w:rPr>
                                    <w:t>(14.2)</w:t>
                                  </w:r>
                                </w:p>
                              </w:tc>
                              <w:tc>
                                <w:tcPr>
                                  <w:tcW w:w="1481" w:type="dxa"/>
                                  <w:tcBorders>
                                    <w:bottom w:val="single" w:sz="8" w:space="0" w:color="000000"/>
                                  </w:tcBorders>
                                </w:tcPr>
                                <w:p>
                                  <w:pPr>
                                    <w:pStyle w:val="TableParagraph"/>
                                    <w:spacing w:line="222" w:lineRule="exact"/>
                                    <w:ind w:right="11"/>
                                    <w:jc w:val="right"/>
                                    <w:rPr>
                                      <w:sz w:val="20"/>
                                    </w:rPr>
                                  </w:pPr>
                                  <w:r>
                                    <w:rPr>
                                      <w:spacing w:val="-2"/>
                                      <w:sz w:val="20"/>
                                    </w:rPr>
                                    <w:t>(21.2)</w:t>
                                  </w:r>
                                </w:p>
                              </w:tc>
                            </w:tr>
                            <w:tr>
                              <w:trPr>
                                <w:trHeight w:val="220" w:hRule="atLeast"/>
                              </w:trPr>
                              <w:tc>
                                <w:tcPr>
                                  <w:tcW w:w="4971" w:type="dxa"/>
                                  <w:shd w:val="clear" w:color="auto" w:fill="CCEDFF"/>
                                </w:tcPr>
                                <w:p>
                                  <w:pPr>
                                    <w:pStyle w:val="TableParagraph"/>
                                    <w:spacing w:line="200" w:lineRule="exact"/>
                                    <w:ind w:left="50"/>
                                    <w:rPr>
                                      <w:sz w:val="20"/>
                                    </w:rPr>
                                  </w:pPr>
                                  <w:r>
                                    <w:rPr>
                                      <w:sz w:val="20"/>
                                    </w:rPr>
                                    <w:t>Net increase (decrease) in cash and cash </w:t>
                                  </w:r>
                                  <w:r>
                                    <w:rPr>
                                      <w:spacing w:val="-2"/>
                                      <w:sz w:val="20"/>
                                    </w:rPr>
                                    <w:t>equivalents</w:t>
                                  </w:r>
                                </w:p>
                              </w:tc>
                              <w:tc>
                                <w:tcPr>
                                  <w:tcW w:w="2210" w:type="dxa"/>
                                  <w:tcBorders>
                                    <w:top w:val="single" w:sz="8" w:space="0" w:color="000000"/>
                                    <w:bottom w:val="double" w:sz="8" w:space="0" w:color="000000"/>
                                  </w:tcBorders>
                                  <w:shd w:val="clear" w:color="auto" w:fill="CCEDFF"/>
                                </w:tcPr>
                                <w:p>
                                  <w:pPr>
                                    <w:pStyle w:val="TableParagraph"/>
                                    <w:tabs>
                                      <w:tab w:pos="732" w:val="left" w:leader="none"/>
                                    </w:tabs>
                                    <w:spacing w:line="200" w:lineRule="exact"/>
                                    <w:ind w:right="137"/>
                                    <w:jc w:val="right"/>
                                    <w:rPr>
                                      <w:sz w:val="20"/>
                                    </w:rPr>
                                  </w:pPr>
                                  <w:r>
                                    <w:rPr>
                                      <w:spacing w:val="-10"/>
                                      <w:sz w:val="20"/>
                                    </w:rPr>
                                    <w:t>$</w:t>
                                  </w:r>
                                  <w:r>
                                    <w:rPr>
                                      <w:sz w:val="20"/>
                                    </w:rPr>
                                    <w:tab/>
                                  </w:r>
                                  <w:r>
                                    <w:rPr>
                                      <w:spacing w:val="-2"/>
                                      <w:sz w:val="20"/>
                                    </w:rPr>
                                    <w:t>1,294.8</w:t>
                                  </w:r>
                                </w:p>
                              </w:tc>
                              <w:tc>
                                <w:tcPr>
                                  <w:tcW w:w="1541" w:type="dxa"/>
                                  <w:tcBorders>
                                    <w:top w:val="single" w:sz="8" w:space="0" w:color="000000"/>
                                    <w:bottom w:val="double" w:sz="8" w:space="0" w:color="000000"/>
                                  </w:tcBorders>
                                  <w:shd w:val="clear" w:color="auto" w:fill="CCEDFF"/>
                                </w:tcPr>
                                <w:p>
                                  <w:pPr>
                                    <w:pStyle w:val="TableParagraph"/>
                                    <w:tabs>
                                      <w:tab w:pos="951" w:val="left" w:leader="none"/>
                                    </w:tabs>
                                    <w:spacing w:line="200" w:lineRule="exact"/>
                                    <w:ind w:left="68"/>
                                    <w:rPr>
                                      <w:sz w:val="20"/>
                                    </w:rPr>
                                  </w:pPr>
                                  <w:r>
                                    <w:rPr>
                                      <w:spacing w:val="-10"/>
                                      <w:sz w:val="20"/>
                                    </w:rPr>
                                    <w:t>$</w:t>
                                  </w:r>
                                  <w:r>
                                    <w:rPr>
                                      <w:sz w:val="20"/>
                                    </w:rPr>
                                    <w:tab/>
                                  </w:r>
                                  <w:r>
                                    <w:rPr>
                                      <w:spacing w:val="-2"/>
                                      <w:sz w:val="20"/>
                                    </w:rPr>
                                    <w:t>134.8</w:t>
                                  </w:r>
                                </w:p>
                              </w:tc>
                              <w:tc>
                                <w:tcPr>
                                  <w:tcW w:w="1481" w:type="dxa"/>
                                  <w:tcBorders>
                                    <w:top w:val="single" w:sz="8" w:space="0" w:color="000000"/>
                                    <w:bottom w:val="double" w:sz="8" w:space="0" w:color="000000"/>
                                  </w:tcBorders>
                                  <w:shd w:val="clear" w:color="auto" w:fill="CCEDFF"/>
                                </w:tcPr>
                                <w:p>
                                  <w:pPr>
                                    <w:pStyle w:val="TableParagraph"/>
                                    <w:tabs>
                                      <w:tab w:pos="815" w:val="left" w:leader="none"/>
                                    </w:tabs>
                                    <w:spacing w:line="200" w:lineRule="exact"/>
                                    <w:ind w:right="11"/>
                                    <w:jc w:val="right"/>
                                    <w:rPr>
                                      <w:sz w:val="20"/>
                                    </w:rPr>
                                  </w:pPr>
                                  <w:r>
                                    <w:rPr>
                                      <w:spacing w:val="-10"/>
                                      <w:sz w:val="20"/>
                                    </w:rPr>
                                    <w:t>$</w:t>
                                  </w:r>
                                  <w:r>
                                    <w:rPr>
                                      <w:sz w:val="20"/>
                                    </w:rPr>
                                    <w:tab/>
                                  </w:r>
                                  <w:r>
                                    <w:rPr>
                                      <w:spacing w:val="-2"/>
                                      <w:sz w:val="20"/>
                                    </w:rPr>
                                    <w:t>(240.8)</w:t>
                                  </w:r>
                                </w:p>
                              </w:tc>
                            </w:tr>
                          </w:tbl>
                          <w:p>
                            <w:pPr>
                              <w:pStyle w:val="BodyText"/>
                            </w:pPr>
                          </w:p>
                        </w:txbxContent>
                      </wps:txbx>
                      <wps:bodyPr wrap="square" lIns="0" tIns="0" rIns="0" bIns="0" rtlCol="0">
                        <a:noAutofit/>
                      </wps:bodyPr>
                    </wps:wsp>
                  </a:graphicData>
                </a:graphic>
              </wp:anchor>
            </w:drawing>
          </mc:Choice>
          <mc:Fallback>
            <w:pict>
              <v:shape style="position:absolute;margin-left:47.5pt;margin-top:15.973047pt;width:516pt;height:90.8pt;mso-position-horizontal-relative:page;mso-position-vertical-relative:paragraph;z-index:15764480" type="#_x0000_t202" id="docshape13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1"/>
                        <w:gridCol w:w="2210"/>
                        <w:gridCol w:w="1541"/>
                        <w:gridCol w:w="1481"/>
                      </w:tblGrid>
                      <w:tr>
                        <w:trPr>
                          <w:trHeight w:val="217" w:hRule="atLeast"/>
                        </w:trPr>
                        <w:tc>
                          <w:tcPr>
                            <w:tcW w:w="4971" w:type="dxa"/>
                          </w:tcPr>
                          <w:p>
                            <w:pPr>
                              <w:pStyle w:val="TableParagraph"/>
                              <w:spacing w:line="177" w:lineRule="exact"/>
                              <w:ind w:left="50"/>
                              <w:rPr>
                                <w:sz w:val="16"/>
                              </w:rPr>
                            </w:pPr>
                            <w:r>
                              <w:rPr>
                                <w:sz w:val="16"/>
                              </w:rPr>
                              <w:t>(in </w:t>
                            </w:r>
                            <w:r>
                              <w:rPr>
                                <w:spacing w:val="-2"/>
                                <w:sz w:val="16"/>
                              </w:rPr>
                              <w:t>millions)</w:t>
                            </w:r>
                          </w:p>
                        </w:tc>
                        <w:tc>
                          <w:tcPr>
                            <w:tcW w:w="2210" w:type="dxa"/>
                            <w:tcBorders>
                              <w:bottom w:val="single" w:sz="8" w:space="0" w:color="000000"/>
                            </w:tcBorders>
                          </w:tcPr>
                          <w:p>
                            <w:pPr>
                              <w:pStyle w:val="TableParagraph"/>
                              <w:spacing w:line="181" w:lineRule="exact" w:before="16"/>
                              <w:ind w:left="1248"/>
                              <w:rPr>
                                <w:b/>
                                <w:sz w:val="16"/>
                              </w:rPr>
                            </w:pPr>
                            <w:r>
                              <w:rPr>
                                <w:b/>
                                <w:spacing w:val="-4"/>
                                <w:sz w:val="16"/>
                              </w:rPr>
                              <w:t>2017</w:t>
                            </w:r>
                          </w:p>
                        </w:tc>
                        <w:tc>
                          <w:tcPr>
                            <w:tcW w:w="1541" w:type="dxa"/>
                            <w:tcBorders>
                              <w:bottom w:val="single" w:sz="8" w:space="0" w:color="000000"/>
                            </w:tcBorders>
                          </w:tcPr>
                          <w:p>
                            <w:pPr>
                              <w:pStyle w:val="TableParagraph"/>
                              <w:spacing w:line="181" w:lineRule="exact" w:before="16"/>
                              <w:ind w:right="62"/>
                              <w:jc w:val="center"/>
                              <w:rPr>
                                <w:b/>
                                <w:sz w:val="16"/>
                              </w:rPr>
                            </w:pPr>
                            <w:r>
                              <w:rPr>
                                <w:b/>
                                <w:spacing w:val="-4"/>
                                <w:sz w:val="16"/>
                              </w:rPr>
                              <w:t>2016</w:t>
                            </w:r>
                          </w:p>
                        </w:tc>
                        <w:tc>
                          <w:tcPr>
                            <w:tcW w:w="1481" w:type="dxa"/>
                            <w:tcBorders>
                              <w:bottom w:val="single" w:sz="8" w:space="0" w:color="000000"/>
                            </w:tcBorders>
                          </w:tcPr>
                          <w:p>
                            <w:pPr>
                              <w:pStyle w:val="TableParagraph"/>
                              <w:spacing w:line="181" w:lineRule="exact" w:before="16"/>
                              <w:ind w:right="4"/>
                              <w:jc w:val="center"/>
                              <w:rPr>
                                <w:b/>
                                <w:sz w:val="16"/>
                              </w:rPr>
                            </w:pPr>
                            <w:r>
                              <w:rPr>
                                <w:b/>
                                <w:spacing w:val="-4"/>
                                <w:sz w:val="16"/>
                              </w:rPr>
                              <w:t>2015</w:t>
                            </w:r>
                          </w:p>
                        </w:tc>
                      </w:tr>
                      <w:tr>
                        <w:trPr>
                          <w:trHeight w:val="270" w:hRule="atLeast"/>
                        </w:trPr>
                        <w:tc>
                          <w:tcPr>
                            <w:tcW w:w="4971" w:type="dxa"/>
                            <w:shd w:val="clear" w:color="auto" w:fill="CCEDFF"/>
                          </w:tcPr>
                          <w:p>
                            <w:pPr>
                              <w:pStyle w:val="TableParagraph"/>
                              <w:spacing w:line="222" w:lineRule="exact"/>
                              <w:ind w:left="50"/>
                              <w:rPr>
                                <w:sz w:val="20"/>
                              </w:rPr>
                            </w:pPr>
                            <w:r>
                              <w:rPr>
                                <w:sz w:val="20"/>
                              </w:rPr>
                              <w:t>Net cash provided by operating </w:t>
                            </w:r>
                            <w:r>
                              <w:rPr>
                                <w:spacing w:val="-2"/>
                                <w:sz w:val="20"/>
                              </w:rPr>
                              <w:t>activities</w:t>
                            </w:r>
                          </w:p>
                        </w:tc>
                        <w:tc>
                          <w:tcPr>
                            <w:tcW w:w="2210" w:type="dxa"/>
                            <w:tcBorders>
                              <w:top w:val="single" w:sz="8" w:space="0" w:color="000000"/>
                            </w:tcBorders>
                            <w:shd w:val="clear" w:color="auto" w:fill="CCEDFF"/>
                          </w:tcPr>
                          <w:p>
                            <w:pPr>
                              <w:pStyle w:val="TableParagraph"/>
                              <w:tabs>
                                <w:tab w:pos="732" w:val="left" w:leader="none"/>
                              </w:tabs>
                              <w:spacing w:line="222" w:lineRule="exact"/>
                              <w:ind w:right="137"/>
                              <w:jc w:val="right"/>
                              <w:rPr>
                                <w:sz w:val="20"/>
                              </w:rPr>
                            </w:pPr>
                            <w:r>
                              <w:rPr>
                                <w:spacing w:val="-10"/>
                                <w:sz w:val="20"/>
                              </w:rPr>
                              <w:t>$</w:t>
                            </w:r>
                            <w:r>
                              <w:rPr>
                                <w:sz w:val="20"/>
                              </w:rPr>
                              <w:tab/>
                            </w:r>
                            <w:r>
                              <w:rPr>
                                <w:spacing w:val="-2"/>
                                <w:sz w:val="20"/>
                              </w:rPr>
                              <w:t>2,912.9</w:t>
                            </w:r>
                          </w:p>
                        </w:tc>
                        <w:tc>
                          <w:tcPr>
                            <w:tcW w:w="1541" w:type="dxa"/>
                            <w:tcBorders>
                              <w:top w:val="single" w:sz="8" w:space="0" w:color="000000"/>
                            </w:tcBorders>
                            <w:shd w:val="clear" w:color="auto" w:fill="CCEDFF"/>
                          </w:tcPr>
                          <w:p>
                            <w:pPr>
                              <w:pStyle w:val="TableParagraph"/>
                              <w:tabs>
                                <w:tab w:pos="801" w:val="left" w:leader="none"/>
                              </w:tabs>
                              <w:spacing w:line="222" w:lineRule="exact"/>
                              <w:ind w:left="68"/>
                              <w:rPr>
                                <w:sz w:val="20"/>
                              </w:rPr>
                            </w:pPr>
                            <w:r>
                              <w:rPr>
                                <w:spacing w:val="-10"/>
                                <w:sz w:val="20"/>
                              </w:rPr>
                              <w:t>$</w:t>
                            </w:r>
                            <w:r>
                              <w:rPr>
                                <w:sz w:val="20"/>
                              </w:rPr>
                              <w:tab/>
                            </w:r>
                            <w:r>
                              <w:rPr>
                                <w:spacing w:val="-2"/>
                                <w:sz w:val="20"/>
                              </w:rPr>
                              <w:t>2,199.7</w:t>
                            </w:r>
                          </w:p>
                        </w:tc>
                        <w:tc>
                          <w:tcPr>
                            <w:tcW w:w="1481" w:type="dxa"/>
                            <w:tcBorders>
                              <w:top w:val="single" w:sz="8" w:space="0" w:color="000000"/>
                            </w:tcBorders>
                            <w:shd w:val="clear" w:color="auto" w:fill="CCEDFF"/>
                          </w:tcPr>
                          <w:p>
                            <w:pPr>
                              <w:pStyle w:val="TableParagraph"/>
                              <w:tabs>
                                <w:tab w:pos="732" w:val="left" w:leader="none"/>
                              </w:tabs>
                              <w:spacing w:line="222" w:lineRule="exact"/>
                              <w:ind w:right="79"/>
                              <w:jc w:val="right"/>
                              <w:rPr>
                                <w:sz w:val="20"/>
                              </w:rPr>
                            </w:pPr>
                            <w:r>
                              <w:rPr>
                                <w:spacing w:val="-10"/>
                                <w:sz w:val="20"/>
                              </w:rPr>
                              <w:t>$</w:t>
                            </w:r>
                            <w:r>
                              <w:rPr>
                                <w:sz w:val="20"/>
                              </w:rPr>
                              <w:tab/>
                            </w:r>
                            <w:r>
                              <w:rPr>
                                <w:spacing w:val="-2"/>
                                <w:sz w:val="20"/>
                              </w:rPr>
                              <w:t>1,469.5</w:t>
                            </w:r>
                          </w:p>
                        </w:tc>
                      </w:tr>
                      <w:tr>
                        <w:trPr>
                          <w:trHeight w:val="280" w:hRule="atLeast"/>
                        </w:trPr>
                        <w:tc>
                          <w:tcPr>
                            <w:tcW w:w="4971" w:type="dxa"/>
                          </w:tcPr>
                          <w:p>
                            <w:pPr>
                              <w:pStyle w:val="TableParagraph"/>
                              <w:spacing w:before="2"/>
                              <w:ind w:left="50"/>
                              <w:rPr>
                                <w:sz w:val="20"/>
                              </w:rPr>
                            </w:pPr>
                            <w:r>
                              <w:rPr>
                                <w:sz w:val="20"/>
                              </w:rPr>
                              <w:t>Net cash used for investing </w:t>
                            </w:r>
                            <w:r>
                              <w:rPr>
                                <w:spacing w:val="-2"/>
                                <w:sz w:val="20"/>
                              </w:rPr>
                              <w:t>activities</w:t>
                            </w:r>
                          </w:p>
                        </w:tc>
                        <w:tc>
                          <w:tcPr>
                            <w:tcW w:w="2210" w:type="dxa"/>
                          </w:tcPr>
                          <w:p>
                            <w:pPr>
                              <w:pStyle w:val="TableParagraph"/>
                              <w:spacing w:before="2"/>
                              <w:ind w:right="69"/>
                              <w:jc w:val="right"/>
                              <w:rPr>
                                <w:sz w:val="20"/>
                              </w:rPr>
                            </w:pPr>
                            <w:r>
                              <w:rPr>
                                <w:spacing w:val="-2"/>
                                <w:sz w:val="20"/>
                              </w:rPr>
                              <w:t>(442.9)</w:t>
                            </w:r>
                          </w:p>
                        </w:tc>
                        <w:tc>
                          <w:tcPr>
                            <w:tcW w:w="1541" w:type="dxa"/>
                          </w:tcPr>
                          <w:p>
                            <w:pPr>
                              <w:pStyle w:val="TableParagraph"/>
                              <w:spacing w:before="2"/>
                              <w:ind w:right="70"/>
                              <w:jc w:val="right"/>
                              <w:rPr>
                                <w:sz w:val="20"/>
                              </w:rPr>
                            </w:pPr>
                            <w:r>
                              <w:rPr>
                                <w:spacing w:val="-2"/>
                                <w:sz w:val="20"/>
                              </w:rPr>
                              <w:t>(960.0)</w:t>
                            </w:r>
                          </w:p>
                        </w:tc>
                        <w:tc>
                          <w:tcPr>
                            <w:tcW w:w="1481" w:type="dxa"/>
                          </w:tcPr>
                          <w:p>
                            <w:pPr>
                              <w:pStyle w:val="TableParagraph"/>
                              <w:spacing w:before="2"/>
                              <w:ind w:right="11"/>
                              <w:jc w:val="right"/>
                              <w:rPr>
                                <w:sz w:val="20"/>
                              </w:rPr>
                            </w:pPr>
                            <w:r>
                              <w:rPr>
                                <w:spacing w:val="-2"/>
                                <w:sz w:val="20"/>
                              </w:rPr>
                              <w:t>(1,488.4)</w:t>
                            </w:r>
                          </w:p>
                        </w:tc>
                      </w:tr>
                      <w:tr>
                        <w:trPr>
                          <w:trHeight w:val="280" w:hRule="atLeast"/>
                        </w:trPr>
                        <w:tc>
                          <w:tcPr>
                            <w:tcW w:w="4971" w:type="dxa"/>
                            <w:shd w:val="clear" w:color="auto" w:fill="CCEDFF"/>
                          </w:tcPr>
                          <w:p>
                            <w:pPr>
                              <w:pStyle w:val="TableParagraph"/>
                              <w:spacing w:before="2"/>
                              <w:ind w:left="50"/>
                              <w:rPr>
                                <w:sz w:val="20"/>
                              </w:rPr>
                            </w:pPr>
                            <w:r>
                              <w:rPr>
                                <w:sz w:val="20"/>
                              </w:rPr>
                              <w:t>Net cash used for financing </w:t>
                            </w:r>
                            <w:r>
                              <w:rPr>
                                <w:spacing w:val="-2"/>
                                <w:sz w:val="20"/>
                              </w:rPr>
                              <w:t>activities</w:t>
                            </w:r>
                          </w:p>
                        </w:tc>
                        <w:tc>
                          <w:tcPr>
                            <w:tcW w:w="2210" w:type="dxa"/>
                            <w:shd w:val="clear" w:color="auto" w:fill="CCEDFF"/>
                          </w:tcPr>
                          <w:p>
                            <w:pPr>
                              <w:pStyle w:val="TableParagraph"/>
                              <w:spacing w:before="2"/>
                              <w:ind w:right="69"/>
                              <w:jc w:val="right"/>
                              <w:rPr>
                                <w:sz w:val="20"/>
                              </w:rPr>
                            </w:pPr>
                            <w:r>
                              <w:rPr>
                                <w:spacing w:val="-2"/>
                                <w:sz w:val="20"/>
                              </w:rPr>
                              <w:t>(1,183.7)</w:t>
                            </w:r>
                          </w:p>
                        </w:tc>
                        <w:tc>
                          <w:tcPr>
                            <w:tcW w:w="1541" w:type="dxa"/>
                            <w:shd w:val="clear" w:color="auto" w:fill="CCEDFF"/>
                          </w:tcPr>
                          <w:p>
                            <w:pPr>
                              <w:pStyle w:val="TableParagraph"/>
                              <w:spacing w:before="2"/>
                              <w:ind w:right="70"/>
                              <w:jc w:val="right"/>
                              <w:rPr>
                                <w:sz w:val="20"/>
                              </w:rPr>
                            </w:pPr>
                            <w:r>
                              <w:rPr>
                                <w:spacing w:val="-2"/>
                                <w:sz w:val="20"/>
                              </w:rPr>
                              <w:t>(1,090.7)</w:t>
                            </w:r>
                          </w:p>
                        </w:tc>
                        <w:tc>
                          <w:tcPr>
                            <w:tcW w:w="1481" w:type="dxa"/>
                            <w:shd w:val="clear" w:color="auto" w:fill="CCEDFF"/>
                          </w:tcPr>
                          <w:p>
                            <w:pPr>
                              <w:pStyle w:val="TableParagraph"/>
                              <w:spacing w:before="2"/>
                              <w:ind w:right="11"/>
                              <w:jc w:val="right"/>
                              <w:rPr>
                                <w:sz w:val="20"/>
                              </w:rPr>
                            </w:pPr>
                            <w:r>
                              <w:rPr>
                                <w:spacing w:val="-2"/>
                                <w:sz w:val="20"/>
                              </w:rPr>
                              <w:t>(200.7)</w:t>
                            </w:r>
                          </w:p>
                        </w:tc>
                      </w:tr>
                      <w:tr>
                        <w:trPr>
                          <w:trHeight w:val="187" w:hRule="atLeast"/>
                        </w:trPr>
                        <w:tc>
                          <w:tcPr>
                            <w:tcW w:w="10203" w:type="dxa"/>
                            <w:gridSpan w:val="4"/>
                          </w:tcPr>
                          <w:p>
                            <w:pPr>
                              <w:pStyle w:val="TableParagraph"/>
                              <w:spacing w:line="165" w:lineRule="exact" w:before="2"/>
                              <w:ind w:left="50"/>
                              <w:rPr>
                                <w:sz w:val="20"/>
                              </w:rPr>
                            </w:pPr>
                            <w:r>
                              <w:rPr>
                                <w:sz w:val="20"/>
                              </w:rPr>
                              <w:t>Effect</w:t>
                            </w:r>
                            <w:r>
                              <w:rPr>
                                <w:spacing w:val="-1"/>
                                <w:sz w:val="20"/>
                              </w:rPr>
                              <w:t> </w:t>
                            </w:r>
                            <w:r>
                              <w:rPr>
                                <w:sz w:val="20"/>
                              </w:rPr>
                              <w:t>of</w:t>
                            </w:r>
                            <w:r>
                              <w:rPr>
                                <w:spacing w:val="-1"/>
                                <w:sz w:val="20"/>
                              </w:rPr>
                              <w:t> </w:t>
                            </w:r>
                            <w:r>
                              <w:rPr>
                                <w:sz w:val="20"/>
                              </w:rPr>
                              <w:t>foreign currency</w:t>
                            </w:r>
                            <w:r>
                              <w:rPr>
                                <w:spacing w:val="-1"/>
                                <w:sz w:val="20"/>
                              </w:rPr>
                              <w:t> </w:t>
                            </w:r>
                            <w:r>
                              <w:rPr>
                                <w:sz w:val="20"/>
                              </w:rPr>
                              <w:t>exchange</w:t>
                            </w:r>
                            <w:r>
                              <w:rPr>
                                <w:spacing w:val="-1"/>
                                <w:sz w:val="20"/>
                              </w:rPr>
                              <w:t> </w:t>
                            </w:r>
                            <w:r>
                              <w:rPr>
                                <w:sz w:val="20"/>
                              </w:rPr>
                              <w:t>rates</w:t>
                            </w:r>
                            <w:r>
                              <w:rPr>
                                <w:spacing w:val="-1"/>
                                <w:sz w:val="20"/>
                              </w:rPr>
                              <w:t> </w:t>
                            </w:r>
                            <w:r>
                              <w:rPr>
                                <w:sz w:val="20"/>
                              </w:rPr>
                              <w:t>on</w:t>
                            </w:r>
                            <w:r>
                              <w:rPr>
                                <w:spacing w:val="-1"/>
                                <w:sz w:val="20"/>
                              </w:rPr>
                              <w:t> </w:t>
                            </w:r>
                            <w:r>
                              <w:rPr>
                                <w:sz w:val="20"/>
                              </w:rPr>
                              <w:t>cash</w:t>
                            </w:r>
                            <w:r>
                              <w:rPr>
                                <w:spacing w:val="-1"/>
                                <w:sz w:val="20"/>
                              </w:rPr>
                              <w:t> </w:t>
                            </w:r>
                            <w:r>
                              <w:rPr>
                                <w:sz w:val="20"/>
                              </w:rPr>
                              <w:t>and </w:t>
                            </w:r>
                            <w:r>
                              <w:rPr>
                                <w:spacing w:val="-4"/>
                                <w:sz w:val="20"/>
                              </w:rPr>
                              <w:t>cash</w:t>
                            </w:r>
                          </w:p>
                        </w:tc>
                      </w:tr>
                      <w:tr>
                        <w:trPr>
                          <w:trHeight w:val="262" w:hRule="atLeast"/>
                        </w:trPr>
                        <w:tc>
                          <w:tcPr>
                            <w:tcW w:w="4971" w:type="dxa"/>
                          </w:tcPr>
                          <w:p>
                            <w:pPr>
                              <w:pStyle w:val="TableParagraph"/>
                              <w:spacing w:line="228" w:lineRule="exact" w:before="14"/>
                              <w:ind w:left="50"/>
                              <w:rPr>
                                <w:sz w:val="20"/>
                              </w:rPr>
                            </w:pPr>
                            <w:r>
                              <w:rPr>
                                <w:spacing w:val="-2"/>
                                <w:sz w:val="20"/>
                              </w:rPr>
                              <w:t>equivalents</w:t>
                            </w:r>
                          </w:p>
                        </w:tc>
                        <w:tc>
                          <w:tcPr>
                            <w:tcW w:w="2210" w:type="dxa"/>
                            <w:tcBorders>
                              <w:bottom w:val="single" w:sz="8" w:space="0" w:color="000000"/>
                            </w:tcBorders>
                          </w:tcPr>
                          <w:p>
                            <w:pPr>
                              <w:pStyle w:val="TableParagraph"/>
                              <w:spacing w:line="222" w:lineRule="exact"/>
                              <w:ind w:right="137"/>
                              <w:jc w:val="right"/>
                              <w:rPr>
                                <w:sz w:val="20"/>
                              </w:rPr>
                            </w:pPr>
                            <w:r>
                              <w:rPr>
                                <w:spacing w:val="-5"/>
                                <w:sz w:val="20"/>
                              </w:rPr>
                              <w:t>8.5</w:t>
                            </w:r>
                          </w:p>
                        </w:tc>
                        <w:tc>
                          <w:tcPr>
                            <w:tcW w:w="1541" w:type="dxa"/>
                            <w:tcBorders>
                              <w:bottom w:val="single" w:sz="8" w:space="0" w:color="000000"/>
                            </w:tcBorders>
                          </w:tcPr>
                          <w:p>
                            <w:pPr>
                              <w:pStyle w:val="TableParagraph"/>
                              <w:spacing w:line="222" w:lineRule="exact"/>
                              <w:ind w:right="70"/>
                              <w:jc w:val="right"/>
                              <w:rPr>
                                <w:sz w:val="20"/>
                              </w:rPr>
                            </w:pPr>
                            <w:r>
                              <w:rPr>
                                <w:spacing w:val="-2"/>
                                <w:sz w:val="20"/>
                              </w:rPr>
                              <w:t>(14.2)</w:t>
                            </w:r>
                          </w:p>
                        </w:tc>
                        <w:tc>
                          <w:tcPr>
                            <w:tcW w:w="1481" w:type="dxa"/>
                            <w:tcBorders>
                              <w:bottom w:val="single" w:sz="8" w:space="0" w:color="000000"/>
                            </w:tcBorders>
                          </w:tcPr>
                          <w:p>
                            <w:pPr>
                              <w:pStyle w:val="TableParagraph"/>
                              <w:spacing w:line="222" w:lineRule="exact"/>
                              <w:ind w:right="11"/>
                              <w:jc w:val="right"/>
                              <w:rPr>
                                <w:sz w:val="20"/>
                              </w:rPr>
                            </w:pPr>
                            <w:r>
                              <w:rPr>
                                <w:spacing w:val="-2"/>
                                <w:sz w:val="20"/>
                              </w:rPr>
                              <w:t>(21.2)</w:t>
                            </w:r>
                          </w:p>
                        </w:tc>
                      </w:tr>
                      <w:tr>
                        <w:trPr>
                          <w:trHeight w:val="220" w:hRule="atLeast"/>
                        </w:trPr>
                        <w:tc>
                          <w:tcPr>
                            <w:tcW w:w="4971" w:type="dxa"/>
                            <w:shd w:val="clear" w:color="auto" w:fill="CCEDFF"/>
                          </w:tcPr>
                          <w:p>
                            <w:pPr>
                              <w:pStyle w:val="TableParagraph"/>
                              <w:spacing w:line="200" w:lineRule="exact"/>
                              <w:ind w:left="50"/>
                              <w:rPr>
                                <w:sz w:val="20"/>
                              </w:rPr>
                            </w:pPr>
                            <w:r>
                              <w:rPr>
                                <w:sz w:val="20"/>
                              </w:rPr>
                              <w:t>Net increase (decrease) in cash and cash </w:t>
                            </w:r>
                            <w:r>
                              <w:rPr>
                                <w:spacing w:val="-2"/>
                                <w:sz w:val="20"/>
                              </w:rPr>
                              <w:t>equivalents</w:t>
                            </w:r>
                          </w:p>
                        </w:tc>
                        <w:tc>
                          <w:tcPr>
                            <w:tcW w:w="2210" w:type="dxa"/>
                            <w:tcBorders>
                              <w:top w:val="single" w:sz="8" w:space="0" w:color="000000"/>
                              <w:bottom w:val="double" w:sz="8" w:space="0" w:color="000000"/>
                            </w:tcBorders>
                            <w:shd w:val="clear" w:color="auto" w:fill="CCEDFF"/>
                          </w:tcPr>
                          <w:p>
                            <w:pPr>
                              <w:pStyle w:val="TableParagraph"/>
                              <w:tabs>
                                <w:tab w:pos="732" w:val="left" w:leader="none"/>
                              </w:tabs>
                              <w:spacing w:line="200" w:lineRule="exact"/>
                              <w:ind w:right="137"/>
                              <w:jc w:val="right"/>
                              <w:rPr>
                                <w:sz w:val="20"/>
                              </w:rPr>
                            </w:pPr>
                            <w:r>
                              <w:rPr>
                                <w:spacing w:val="-10"/>
                                <w:sz w:val="20"/>
                              </w:rPr>
                              <w:t>$</w:t>
                            </w:r>
                            <w:r>
                              <w:rPr>
                                <w:sz w:val="20"/>
                              </w:rPr>
                              <w:tab/>
                            </w:r>
                            <w:r>
                              <w:rPr>
                                <w:spacing w:val="-2"/>
                                <w:sz w:val="20"/>
                              </w:rPr>
                              <w:t>1,294.8</w:t>
                            </w:r>
                          </w:p>
                        </w:tc>
                        <w:tc>
                          <w:tcPr>
                            <w:tcW w:w="1541" w:type="dxa"/>
                            <w:tcBorders>
                              <w:top w:val="single" w:sz="8" w:space="0" w:color="000000"/>
                              <w:bottom w:val="double" w:sz="8" w:space="0" w:color="000000"/>
                            </w:tcBorders>
                            <w:shd w:val="clear" w:color="auto" w:fill="CCEDFF"/>
                          </w:tcPr>
                          <w:p>
                            <w:pPr>
                              <w:pStyle w:val="TableParagraph"/>
                              <w:tabs>
                                <w:tab w:pos="951" w:val="left" w:leader="none"/>
                              </w:tabs>
                              <w:spacing w:line="200" w:lineRule="exact"/>
                              <w:ind w:left="68"/>
                              <w:rPr>
                                <w:sz w:val="20"/>
                              </w:rPr>
                            </w:pPr>
                            <w:r>
                              <w:rPr>
                                <w:spacing w:val="-10"/>
                                <w:sz w:val="20"/>
                              </w:rPr>
                              <w:t>$</w:t>
                            </w:r>
                            <w:r>
                              <w:rPr>
                                <w:sz w:val="20"/>
                              </w:rPr>
                              <w:tab/>
                            </w:r>
                            <w:r>
                              <w:rPr>
                                <w:spacing w:val="-2"/>
                                <w:sz w:val="20"/>
                              </w:rPr>
                              <w:t>134.8</w:t>
                            </w:r>
                          </w:p>
                        </w:tc>
                        <w:tc>
                          <w:tcPr>
                            <w:tcW w:w="1481" w:type="dxa"/>
                            <w:tcBorders>
                              <w:top w:val="single" w:sz="8" w:space="0" w:color="000000"/>
                              <w:bottom w:val="double" w:sz="8" w:space="0" w:color="000000"/>
                            </w:tcBorders>
                            <w:shd w:val="clear" w:color="auto" w:fill="CCEDFF"/>
                          </w:tcPr>
                          <w:p>
                            <w:pPr>
                              <w:pStyle w:val="TableParagraph"/>
                              <w:tabs>
                                <w:tab w:pos="815" w:val="left" w:leader="none"/>
                              </w:tabs>
                              <w:spacing w:line="200" w:lineRule="exact"/>
                              <w:ind w:right="11"/>
                              <w:jc w:val="right"/>
                              <w:rPr>
                                <w:sz w:val="20"/>
                              </w:rPr>
                            </w:pPr>
                            <w:r>
                              <w:rPr>
                                <w:spacing w:val="-10"/>
                                <w:sz w:val="20"/>
                              </w:rPr>
                              <w:t>$</w:t>
                            </w:r>
                            <w:r>
                              <w:rPr>
                                <w:sz w:val="20"/>
                              </w:rPr>
                              <w:tab/>
                            </w:r>
                            <w:r>
                              <w:rPr>
                                <w:spacing w:val="-2"/>
                                <w:sz w:val="20"/>
                              </w:rPr>
                              <w:t>(240.8)</w:t>
                            </w:r>
                          </w:p>
                        </w:tc>
                      </w:tr>
                    </w:tbl>
                    <w:p>
                      <w:pPr>
                        <w:pStyle w:val="BodyText"/>
                      </w:pPr>
                    </w:p>
                  </w:txbxContent>
                </v:textbox>
                <w10:wrap type="none"/>
              </v:shape>
            </w:pict>
          </mc:Fallback>
        </mc:AlternateContent>
      </w:r>
      <w:r>
        <w:rPr>
          <w:b/>
          <w:spacing w:val="-2"/>
          <w:sz w:val="16"/>
        </w:rPr>
        <w:t>Fiscal</w:t>
      </w:r>
    </w:p>
    <w:p>
      <w:pPr>
        <w:spacing w:before="176"/>
        <w:ind w:left="0" w:right="0" w:firstLine="0"/>
        <w:jc w:val="right"/>
        <w:rPr>
          <w:b/>
          <w:sz w:val="16"/>
        </w:rPr>
      </w:pPr>
      <w:r>
        <w:rPr/>
        <w:br w:type="column"/>
      </w:r>
      <w:r>
        <w:rPr>
          <w:b/>
          <w:spacing w:val="-2"/>
          <w:sz w:val="16"/>
        </w:rPr>
        <w:t>Fiscal</w:t>
      </w:r>
    </w:p>
    <w:p>
      <w:pPr>
        <w:spacing w:before="176"/>
        <w:ind w:left="270" w:right="0" w:firstLine="0"/>
        <w:jc w:val="center"/>
        <w:rPr>
          <w:b/>
          <w:sz w:val="16"/>
        </w:rPr>
      </w:pPr>
      <w:r>
        <w:rPr/>
        <w:br w:type="column"/>
      </w:r>
      <w:r>
        <w:rPr>
          <w:b/>
          <w:spacing w:val="-2"/>
          <w:sz w:val="16"/>
        </w:rPr>
        <w:t>Fiscal</w:t>
      </w:r>
    </w:p>
    <w:p>
      <w:pPr>
        <w:spacing w:after="0"/>
        <w:jc w:val="center"/>
        <w:rPr>
          <w:sz w:val="16"/>
        </w:rPr>
        <w:sectPr>
          <w:type w:val="continuous"/>
          <w:pgSz w:w="12240" w:h="15840"/>
          <w:pgMar w:header="210" w:footer="579" w:top="680" w:bottom="280" w:left="780" w:right="740"/>
          <w:cols w:num="3" w:equalWidth="0">
            <w:col w:w="6811" w:space="40"/>
            <w:col w:w="1500" w:space="39"/>
            <w:col w:w="2330"/>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0"/>
        <w:rPr>
          <w:b/>
        </w:rPr>
      </w:pPr>
    </w:p>
    <w:p>
      <w:pPr>
        <w:pStyle w:val="BodyText"/>
        <w:spacing w:line="249" w:lineRule="auto"/>
        <w:ind w:left="220" w:right="257" w:firstLine="540"/>
        <w:jc w:val="both"/>
      </w:pPr>
      <w:r>
        <w:rPr>
          <w:spacing w:val="-2"/>
        </w:rPr>
        <w:t>Our</w:t>
      </w:r>
      <w:r>
        <w:rPr>
          <w:spacing w:val="-11"/>
        </w:rPr>
        <w:t> </w:t>
      </w:r>
      <w:r>
        <w:rPr>
          <w:spacing w:val="-2"/>
        </w:rPr>
        <w:t>primary</w:t>
      </w:r>
      <w:r>
        <w:rPr>
          <w:spacing w:val="-9"/>
        </w:rPr>
        <w:t> </w:t>
      </w:r>
      <w:r>
        <w:rPr>
          <w:spacing w:val="-2"/>
        </w:rPr>
        <w:t>source</w:t>
      </w:r>
      <w:r>
        <w:rPr>
          <w:spacing w:val="-10"/>
        </w:rPr>
        <w:t> </w:t>
      </w:r>
      <w:r>
        <w:rPr>
          <w:spacing w:val="-2"/>
        </w:rPr>
        <w:t>of</w:t>
      </w:r>
      <w:r>
        <w:rPr>
          <w:spacing w:val="-10"/>
        </w:rPr>
        <w:t> </w:t>
      </w:r>
      <w:r>
        <w:rPr>
          <w:spacing w:val="-2"/>
        </w:rPr>
        <w:t>cash</w:t>
      </w:r>
      <w:r>
        <w:rPr>
          <w:spacing w:val="-8"/>
        </w:rPr>
        <w:t> </w:t>
      </w:r>
      <w:r>
        <w:rPr>
          <w:spacing w:val="-2"/>
        </w:rPr>
        <w:t>is</w:t>
      </w:r>
      <w:r>
        <w:rPr>
          <w:spacing w:val="-10"/>
        </w:rPr>
        <w:t> </w:t>
      </w:r>
      <w:r>
        <w:rPr>
          <w:spacing w:val="-2"/>
        </w:rPr>
        <w:t>receipts</w:t>
      </w:r>
      <w:r>
        <w:rPr>
          <w:spacing w:val="-8"/>
        </w:rPr>
        <w:t> </w:t>
      </w:r>
      <w:r>
        <w:rPr>
          <w:spacing w:val="-2"/>
        </w:rPr>
        <w:t>from</w:t>
      </w:r>
      <w:r>
        <w:rPr>
          <w:spacing w:val="-10"/>
        </w:rPr>
        <w:t> </w:t>
      </w:r>
      <w:r>
        <w:rPr>
          <w:spacing w:val="-2"/>
        </w:rPr>
        <w:t>revenue.</w:t>
      </w:r>
      <w:r>
        <w:rPr>
          <w:spacing w:val="-11"/>
        </w:rPr>
        <w:t> </w:t>
      </w:r>
      <w:r>
        <w:rPr>
          <w:spacing w:val="-2"/>
        </w:rPr>
        <w:t>The</w:t>
      </w:r>
      <w:r>
        <w:rPr>
          <w:spacing w:val="-9"/>
        </w:rPr>
        <w:t> </w:t>
      </w:r>
      <w:r>
        <w:rPr>
          <w:spacing w:val="-2"/>
        </w:rPr>
        <w:t>primary</w:t>
      </w:r>
      <w:r>
        <w:rPr>
          <w:spacing w:val="-10"/>
        </w:rPr>
        <w:t> </w:t>
      </w:r>
      <w:r>
        <w:rPr>
          <w:spacing w:val="-2"/>
        </w:rPr>
        <w:t>uses</w:t>
      </w:r>
      <w:r>
        <w:rPr>
          <w:spacing w:val="-8"/>
        </w:rPr>
        <w:t> </w:t>
      </w:r>
      <w:r>
        <w:rPr>
          <w:spacing w:val="-2"/>
        </w:rPr>
        <w:t>of</w:t>
      </w:r>
      <w:r>
        <w:rPr>
          <w:spacing w:val="-8"/>
        </w:rPr>
        <w:t> </w:t>
      </w:r>
      <w:r>
        <w:rPr>
          <w:spacing w:val="-2"/>
        </w:rPr>
        <w:t>cash</w:t>
      </w:r>
      <w:r>
        <w:rPr>
          <w:spacing w:val="-10"/>
        </w:rPr>
        <w:t> </w:t>
      </w:r>
      <w:r>
        <w:rPr>
          <w:spacing w:val="-2"/>
        </w:rPr>
        <w:t>are</w:t>
      </w:r>
      <w:r>
        <w:rPr>
          <w:spacing w:val="-8"/>
        </w:rPr>
        <w:t> </w:t>
      </w:r>
      <w:r>
        <w:rPr>
          <w:spacing w:val="-2"/>
        </w:rPr>
        <w:t>payroll</w:t>
      </w:r>
      <w:r>
        <w:rPr>
          <w:spacing w:val="-10"/>
        </w:rPr>
        <w:t> </w:t>
      </w:r>
      <w:r>
        <w:rPr>
          <w:spacing w:val="-2"/>
        </w:rPr>
        <w:t>related</w:t>
      </w:r>
      <w:r>
        <w:rPr>
          <w:spacing w:val="-10"/>
        </w:rPr>
        <w:t> </w:t>
      </w:r>
      <w:r>
        <w:rPr>
          <w:spacing w:val="-2"/>
        </w:rPr>
        <w:t>expenses,</w:t>
      </w:r>
      <w:r>
        <w:rPr>
          <w:spacing w:val="-10"/>
        </w:rPr>
        <w:t> </w:t>
      </w:r>
      <w:r>
        <w:rPr>
          <w:spacing w:val="-2"/>
        </w:rPr>
        <w:t>general</w:t>
      </w:r>
      <w:r>
        <w:rPr>
          <w:spacing w:val="-10"/>
        </w:rPr>
        <w:t> </w:t>
      </w:r>
      <w:r>
        <w:rPr>
          <w:spacing w:val="-2"/>
        </w:rPr>
        <w:t>operating </w:t>
      </w:r>
      <w:r>
        <w:rPr/>
        <w:t>expenses including marketing, travel and office rent, and cost of revenue. Other sources of cash are proceeds from participation in</w:t>
      </w:r>
      <w:r>
        <w:rPr>
          <w:spacing w:val="-13"/>
        </w:rPr>
        <w:t> </w:t>
      </w:r>
      <w:r>
        <w:rPr/>
        <w:t>the</w:t>
      </w:r>
      <w:r>
        <w:rPr>
          <w:spacing w:val="-12"/>
        </w:rPr>
        <w:t> </w:t>
      </w:r>
      <w:r>
        <w:rPr/>
        <w:t>employee</w:t>
      </w:r>
      <w:r>
        <w:rPr>
          <w:spacing w:val="-13"/>
        </w:rPr>
        <w:t> </w:t>
      </w:r>
      <w:r>
        <w:rPr/>
        <w:t>stock</w:t>
      </w:r>
      <w:r>
        <w:rPr>
          <w:spacing w:val="-12"/>
        </w:rPr>
        <w:t> </w:t>
      </w:r>
      <w:r>
        <w:rPr/>
        <w:t>purchase</w:t>
      </w:r>
      <w:r>
        <w:rPr>
          <w:spacing w:val="-13"/>
        </w:rPr>
        <w:t> </w:t>
      </w:r>
      <w:r>
        <w:rPr/>
        <w:t>plan.</w:t>
      </w:r>
      <w:r>
        <w:rPr>
          <w:spacing w:val="-12"/>
        </w:rPr>
        <w:t> </w:t>
      </w:r>
      <w:r>
        <w:rPr/>
        <w:t>Other</w:t>
      </w:r>
      <w:r>
        <w:rPr>
          <w:spacing w:val="-13"/>
        </w:rPr>
        <w:t> </w:t>
      </w:r>
      <w:r>
        <w:rPr/>
        <w:t>uses</w:t>
      </w:r>
      <w:r>
        <w:rPr>
          <w:spacing w:val="-12"/>
        </w:rPr>
        <w:t> </w:t>
      </w:r>
      <w:r>
        <w:rPr/>
        <w:t>of</w:t>
      </w:r>
      <w:r>
        <w:rPr>
          <w:spacing w:val="-13"/>
        </w:rPr>
        <w:t> </w:t>
      </w:r>
      <w:r>
        <w:rPr/>
        <w:t>cash</w:t>
      </w:r>
      <w:r>
        <w:rPr>
          <w:spacing w:val="-12"/>
        </w:rPr>
        <w:t> </w:t>
      </w:r>
      <w:r>
        <w:rPr/>
        <w:t>include</w:t>
      </w:r>
      <w:r>
        <w:rPr>
          <w:spacing w:val="-13"/>
        </w:rPr>
        <w:t> </w:t>
      </w:r>
      <w:r>
        <w:rPr/>
        <w:t>our</w:t>
      </w:r>
      <w:r>
        <w:rPr>
          <w:spacing w:val="-12"/>
        </w:rPr>
        <w:t> </w:t>
      </w:r>
      <w:r>
        <w:rPr/>
        <w:t>stock</w:t>
      </w:r>
      <w:r>
        <w:rPr>
          <w:spacing w:val="-13"/>
        </w:rPr>
        <w:t> </w:t>
      </w:r>
      <w:r>
        <w:rPr/>
        <w:t>repurchase</w:t>
      </w:r>
      <w:r>
        <w:rPr>
          <w:spacing w:val="-12"/>
        </w:rPr>
        <w:t> </w:t>
      </w:r>
      <w:r>
        <w:rPr/>
        <w:t>program,</w:t>
      </w:r>
      <w:r>
        <w:rPr>
          <w:spacing w:val="-13"/>
        </w:rPr>
        <w:t> </w:t>
      </w:r>
      <w:r>
        <w:rPr/>
        <w:t>which</w:t>
      </w:r>
      <w:r>
        <w:rPr>
          <w:spacing w:val="-12"/>
        </w:rPr>
        <w:t> </w:t>
      </w:r>
      <w:r>
        <w:rPr/>
        <w:t>is</w:t>
      </w:r>
      <w:r>
        <w:rPr>
          <w:spacing w:val="-13"/>
        </w:rPr>
        <w:t> </w:t>
      </w:r>
      <w:r>
        <w:rPr/>
        <w:t>described</w:t>
      </w:r>
      <w:r>
        <w:rPr>
          <w:spacing w:val="-12"/>
        </w:rPr>
        <w:t> </w:t>
      </w:r>
      <w:r>
        <w:rPr/>
        <w:t>below,</w:t>
      </w:r>
      <w:r>
        <w:rPr>
          <w:spacing w:val="-13"/>
        </w:rPr>
        <w:t> </w:t>
      </w:r>
      <w:r>
        <w:rPr/>
        <w:t>business acquisitions and purchases of property and equipment.</w:t>
      </w:r>
    </w:p>
    <w:p>
      <w:pPr>
        <w:spacing w:before="183"/>
        <w:ind w:left="220" w:right="0" w:firstLine="0"/>
        <w:jc w:val="left"/>
        <w:rPr>
          <w:i/>
          <w:sz w:val="20"/>
        </w:rPr>
      </w:pPr>
      <w:r>
        <w:rPr>
          <w:i/>
          <w:sz w:val="20"/>
        </w:rPr>
        <w:t>Cash</w:t>
      </w:r>
      <w:r>
        <w:rPr>
          <w:i/>
          <w:spacing w:val="-4"/>
          <w:sz w:val="20"/>
        </w:rPr>
        <w:t> </w:t>
      </w:r>
      <w:r>
        <w:rPr>
          <w:i/>
          <w:sz w:val="20"/>
        </w:rPr>
        <w:t>Flows</w:t>
      </w:r>
      <w:r>
        <w:rPr>
          <w:i/>
          <w:spacing w:val="-5"/>
          <w:sz w:val="20"/>
        </w:rPr>
        <w:t> </w:t>
      </w:r>
      <w:r>
        <w:rPr>
          <w:i/>
          <w:sz w:val="20"/>
        </w:rPr>
        <w:t>from</w:t>
      </w:r>
      <w:r>
        <w:rPr>
          <w:i/>
          <w:spacing w:val="-4"/>
          <w:sz w:val="20"/>
        </w:rPr>
        <w:t> </w:t>
      </w:r>
      <w:r>
        <w:rPr>
          <w:i/>
          <w:sz w:val="20"/>
        </w:rPr>
        <w:t>Operating</w:t>
      </w:r>
      <w:r>
        <w:rPr>
          <w:i/>
          <w:spacing w:val="-7"/>
          <w:sz w:val="20"/>
        </w:rPr>
        <w:t> </w:t>
      </w:r>
      <w:r>
        <w:rPr>
          <w:i/>
          <w:spacing w:val="-2"/>
          <w:sz w:val="20"/>
        </w:rPr>
        <w:t>Activities</w:t>
      </w:r>
    </w:p>
    <w:p>
      <w:pPr>
        <w:pStyle w:val="BodyText"/>
        <w:spacing w:line="249" w:lineRule="auto" w:before="190"/>
        <w:ind w:left="220" w:right="257" w:firstLine="540"/>
        <w:jc w:val="both"/>
      </w:pPr>
      <w:r>
        <w:rPr/>
        <w:t>For</w:t>
      </w:r>
      <w:r>
        <w:rPr>
          <w:spacing w:val="-3"/>
        </w:rPr>
        <w:t> </w:t>
      </w:r>
      <w:r>
        <w:rPr/>
        <w:t>fiscal</w:t>
      </w:r>
      <w:r>
        <w:rPr>
          <w:spacing w:val="-3"/>
        </w:rPr>
        <w:t> </w:t>
      </w:r>
      <w:r>
        <w:rPr/>
        <w:t>2017,</w:t>
      </w:r>
      <w:r>
        <w:rPr>
          <w:spacing w:val="-3"/>
        </w:rPr>
        <w:t> </w:t>
      </w:r>
      <w:r>
        <w:rPr/>
        <w:t>net</w:t>
      </w:r>
      <w:r>
        <w:rPr>
          <w:spacing w:val="-3"/>
        </w:rPr>
        <w:t> </w:t>
      </w:r>
      <w:r>
        <w:rPr/>
        <w:t>cash</w:t>
      </w:r>
      <w:r>
        <w:rPr>
          <w:spacing w:val="-3"/>
        </w:rPr>
        <w:t> </w:t>
      </w:r>
      <w:r>
        <w:rPr/>
        <w:t>provided</w:t>
      </w:r>
      <w:r>
        <w:rPr>
          <w:spacing w:val="-3"/>
        </w:rPr>
        <w:t> </w:t>
      </w:r>
      <w:r>
        <w:rPr/>
        <w:t>by</w:t>
      </w:r>
      <w:r>
        <w:rPr>
          <w:spacing w:val="-3"/>
        </w:rPr>
        <w:t> </w:t>
      </w:r>
      <w:r>
        <w:rPr/>
        <w:t>operating</w:t>
      </w:r>
      <w:r>
        <w:rPr>
          <w:spacing w:val="-3"/>
        </w:rPr>
        <w:t> </w:t>
      </w:r>
      <w:r>
        <w:rPr/>
        <w:t>activities</w:t>
      </w:r>
      <w:r>
        <w:rPr>
          <w:spacing w:val="-2"/>
        </w:rPr>
        <w:t> </w:t>
      </w:r>
      <w:r>
        <w:rPr/>
        <w:t>of</w:t>
      </w:r>
      <w:r>
        <w:rPr>
          <w:spacing w:val="-3"/>
        </w:rPr>
        <w:t> </w:t>
      </w:r>
      <w:r>
        <w:rPr/>
        <w:t>$2.91</w:t>
      </w:r>
      <w:r>
        <w:rPr>
          <w:spacing w:val="-3"/>
        </w:rPr>
        <w:t> </w:t>
      </w:r>
      <w:r>
        <w:rPr/>
        <w:t>billion</w:t>
      </w:r>
      <w:r>
        <w:rPr>
          <w:spacing w:val="-3"/>
        </w:rPr>
        <w:t> </w:t>
      </w:r>
      <w:r>
        <w:rPr/>
        <w:t>was</w:t>
      </w:r>
      <w:r>
        <w:rPr>
          <w:spacing w:val="-3"/>
        </w:rPr>
        <w:t> </w:t>
      </w:r>
      <w:r>
        <w:rPr/>
        <w:t>primarily</w:t>
      </w:r>
      <w:r>
        <w:rPr>
          <w:spacing w:val="-3"/>
        </w:rPr>
        <w:t> </w:t>
      </w:r>
      <w:r>
        <w:rPr/>
        <w:t>comprised</w:t>
      </w:r>
      <w:r>
        <w:rPr>
          <w:spacing w:val="-3"/>
        </w:rPr>
        <w:t> </w:t>
      </w:r>
      <w:r>
        <w:rPr/>
        <w:t>of</w:t>
      </w:r>
      <w:r>
        <w:rPr>
          <w:spacing w:val="-3"/>
        </w:rPr>
        <w:t> </w:t>
      </w:r>
      <w:r>
        <w:rPr/>
        <w:t>net</w:t>
      </w:r>
      <w:r>
        <w:rPr>
          <w:spacing w:val="-3"/>
        </w:rPr>
        <w:t> </w:t>
      </w:r>
      <w:r>
        <w:rPr/>
        <w:t>income</w:t>
      </w:r>
      <w:r>
        <w:rPr>
          <w:spacing w:val="-3"/>
        </w:rPr>
        <w:t> </w:t>
      </w:r>
      <w:r>
        <w:rPr/>
        <w:t>plus</w:t>
      </w:r>
      <w:r>
        <w:rPr>
          <w:spacing w:val="-2"/>
        </w:rPr>
        <w:t> </w:t>
      </w:r>
      <w:r>
        <w:rPr/>
        <w:t>the net effect of non-cash items. The primary working capital sources of cash were net income coupled with increases in deferred revenue and accrued expenses. The increase in deferred revenue was primarily due to increased subscriptions for our Creative Cloud offerings and increases in Digital Marketing hosted services. The increase in accrued expenses is primarily due to the </w:t>
      </w:r>
      <w:r>
        <w:rPr>
          <w:spacing w:val="-2"/>
        </w:rPr>
        <w:t>increase</w:t>
      </w:r>
      <w:r>
        <w:rPr>
          <w:spacing w:val="-3"/>
        </w:rPr>
        <w:t> </w:t>
      </w:r>
      <w:r>
        <w:rPr>
          <w:spacing w:val="-2"/>
        </w:rPr>
        <w:t>in</w:t>
      </w:r>
      <w:r>
        <w:rPr>
          <w:spacing w:val="-3"/>
        </w:rPr>
        <w:t> </w:t>
      </w:r>
      <w:r>
        <w:rPr>
          <w:spacing w:val="-2"/>
        </w:rPr>
        <w:t>accruals for compensation</w:t>
      </w:r>
      <w:r>
        <w:rPr>
          <w:spacing w:val="-3"/>
        </w:rPr>
        <w:t> </w:t>
      </w:r>
      <w:r>
        <w:rPr>
          <w:spacing w:val="-2"/>
        </w:rPr>
        <w:t>costs</w:t>
      </w:r>
      <w:r>
        <w:rPr>
          <w:spacing w:val="-3"/>
        </w:rPr>
        <w:t> </w:t>
      </w:r>
      <w:r>
        <w:rPr>
          <w:spacing w:val="-2"/>
        </w:rPr>
        <w:t>and employee</w:t>
      </w:r>
      <w:r>
        <w:rPr>
          <w:spacing w:val="-3"/>
        </w:rPr>
        <w:t> </w:t>
      </w:r>
      <w:r>
        <w:rPr>
          <w:spacing w:val="-2"/>
        </w:rPr>
        <w:t>benefits driven</w:t>
      </w:r>
      <w:r>
        <w:rPr>
          <w:spacing w:val="-3"/>
        </w:rPr>
        <w:t> </w:t>
      </w:r>
      <w:r>
        <w:rPr>
          <w:spacing w:val="-2"/>
        </w:rPr>
        <w:t>by</w:t>
      </w:r>
      <w:r>
        <w:rPr>
          <w:spacing w:val="-3"/>
        </w:rPr>
        <w:t> </w:t>
      </w:r>
      <w:r>
        <w:rPr>
          <w:spacing w:val="-2"/>
        </w:rPr>
        <w:t>headcount</w:t>
      </w:r>
      <w:r>
        <w:rPr>
          <w:spacing w:val="-3"/>
        </w:rPr>
        <w:t> </w:t>
      </w:r>
      <w:r>
        <w:rPr>
          <w:spacing w:val="-2"/>
        </w:rPr>
        <w:t>growth, and</w:t>
      </w:r>
      <w:r>
        <w:rPr>
          <w:spacing w:val="-3"/>
        </w:rPr>
        <w:t> </w:t>
      </w:r>
      <w:r>
        <w:rPr>
          <w:spacing w:val="-2"/>
        </w:rPr>
        <w:t>increased</w:t>
      </w:r>
      <w:r>
        <w:rPr>
          <w:spacing w:val="-3"/>
        </w:rPr>
        <w:t> </w:t>
      </w:r>
      <w:r>
        <w:rPr>
          <w:spacing w:val="-2"/>
        </w:rPr>
        <w:t>accrued</w:t>
      </w:r>
      <w:r>
        <w:rPr>
          <w:spacing w:val="-3"/>
        </w:rPr>
        <w:t> </w:t>
      </w:r>
      <w:r>
        <w:rPr>
          <w:spacing w:val="-2"/>
        </w:rPr>
        <w:t>media</w:t>
      </w:r>
      <w:r>
        <w:rPr>
          <w:spacing w:val="-3"/>
        </w:rPr>
        <w:t> </w:t>
      </w:r>
      <w:r>
        <w:rPr>
          <w:spacing w:val="-2"/>
        </w:rPr>
        <w:t>costs </w:t>
      </w:r>
      <w:r>
        <w:rPr/>
        <w:t>associated</w:t>
      </w:r>
      <w:r>
        <w:rPr>
          <w:spacing w:val="-12"/>
        </w:rPr>
        <w:t> </w:t>
      </w:r>
      <w:r>
        <w:rPr/>
        <w:t>with</w:t>
      </w:r>
      <w:r>
        <w:rPr>
          <w:spacing w:val="-7"/>
        </w:rPr>
        <w:t> </w:t>
      </w:r>
      <w:r>
        <w:rPr/>
        <w:t>our</w:t>
      </w:r>
      <w:r>
        <w:rPr>
          <w:spacing w:val="-13"/>
        </w:rPr>
        <w:t> </w:t>
      </w:r>
      <w:r>
        <w:rPr/>
        <w:t>Advertising</w:t>
      </w:r>
      <w:r>
        <w:rPr>
          <w:spacing w:val="-7"/>
        </w:rPr>
        <w:t> </w:t>
      </w:r>
      <w:r>
        <w:rPr/>
        <w:t>Cloud</w:t>
      </w:r>
      <w:r>
        <w:rPr>
          <w:spacing w:val="-7"/>
        </w:rPr>
        <w:t> </w:t>
      </w:r>
      <w:r>
        <w:rPr/>
        <w:t>offerings,</w:t>
      </w:r>
      <w:r>
        <w:rPr>
          <w:spacing w:val="-7"/>
        </w:rPr>
        <w:t> </w:t>
      </w:r>
      <w:r>
        <w:rPr/>
        <w:t>including</w:t>
      </w:r>
      <w:r>
        <w:rPr>
          <w:spacing w:val="-11"/>
        </w:rPr>
        <w:t> </w:t>
      </w:r>
      <w:r>
        <w:rPr/>
        <w:t>TubeMogul.</w:t>
      </w:r>
      <w:r>
        <w:rPr>
          <w:spacing w:val="-11"/>
        </w:rPr>
        <w:t> </w:t>
      </w:r>
      <w:r>
        <w:rPr/>
        <w:t>The</w:t>
      </w:r>
      <w:r>
        <w:rPr>
          <w:spacing w:val="-7"/>
        </w:rPr>
        <w:t> </w:t>
      </w:r>
      <w:r>
        <w:rPr/>
        <w:t>primary</w:t>
      </w:r>
      <w:r>
        <w:rPr>
          <w:spacing w:val="-7"/>
        </w:rPr>
        <w:t> </w:t>
      </w:r>
      <w:r>
        <w:rPr/>
        <w:t>working</w:t>
      </w:r>
      <w:r>
        <w:rPr>
          <w:spacing w:val="-7"/>
        </w:rPr>
        <w:t> </w:t>
      </w:r>
      <w:r>
        <w:rPr/>
        <w:t>capital</w:t>
      </w:r>
      <w:r>
        <w:rPr>
          <w:spacing w:val="-8"/>
        </w:rPr>
        <w:t> </w:t>
      </w:r>
      <w:r>
        <w:rPr/>
        <w:t>uses</w:t>
      </w:r>
      <w:r>
        <w:rPr>
          <w:spacing w:val="-7"/>
        </w:rPr>
        <w:t> </w:t>
      </w:r>
      <w:r>
        <w:rPr/>
        <w:t>of</w:t>
      </w:r>
      <w:r>
        <w:rPr>
          <w:spacing w:val="-7"/>
        </w:rPr>
        <w:t> </w:t>
      </w:r>
      <w:r>
        <w:rPr/>
        <w:t>cash</w:t>
      </w:r>
      <w:r>
        <w:rPr>
          <w:spacing w:val="-7"/>
        </w:rPr>
        <w:t> </w:t>
      </w:r>
      <w:r>
        <w:rPr/>
        <w:t>were</w:t>
      </w:r>
      <w:r>
        <w:rPr>
          <w:spacing w:val="-8"/>
        </w:rPr>
        <w:t> </w:t>
      </w:r>
      <w:r>
        <w:rPr/>
        <w:t>increases in trade receivables, payments of trade payables assumed as part of the</w:t>
      </w:r>
      <w:r>
        <w:rPr>
          <w:spacing w:val="-2"/>
        </w:rPr>
        <w:t> </w:t>
      </w:r>
      <w:r>
        <w:rPr/>
        <w:t>TubeMogul acquisition, and a decrease in income taxes </w:t>
      </w:r>
      <w:r>
        <w:rPr>
          <w:spacing w:val="-4"/>
        </w:rPr>
        <w:t>payable. Trade receivables increased primarily due to revenue linearity, higher revenue levels, and increased media rebill receivables </w:t>
      </w:r>
      <w:r>
        <w:rPr/>
        <w:t>attributable to TubeMogul. Income taxes payable decreased primarily due to taxes paid in excess of the tax provision increase.</w:t>
      </w:r>
    </w:p>
    <w:p>
      <w:pPr>
        <w:pStyle w:val="BodyText"/>
        <w:spacing w:line="249" w:lineRule="auto" w:before="168"/>
        <w:ind w:left="220" w:right="257" w:firstLine="540"/>
        <w:jc w:val="both"/>
      </w:pPr>
      <w:r>
        <w:rPr/>
        <w:t>For</w:t>
      </w:r>
      <w:r>
        <w:rPr>
          <w:spacing w:val="-3"/>
        </w:rPr>
        <w:t> </w:t>
      </w:r>
      <w:r>
        <w:rPr/>
        <w:t>fiscal</w:t>
      </w:r>
      <w:r>
        <w:rPr>
          <w:spacing w:val="-3"/>
        </w:rPr>
        <w:t> </w:t>
      </w:r>
      <w:r>
        <w:rPr/>
        <w:t>2016,</w:t>
      </w:r>
      <w:r>
        <w:rPr>
          <w:spacing w:val="-3"/>
        </w:rPr>
        <w:t> </w:t>
      </w:r>
      <w:r>
        <w:rPr/>
        <w:t>net</w:t>
      </w:r>
      <w:r>
        <w:rPr>
          <w:spacing w:val="-3"/>
        </w:rPr>
        <w:t> </w:t>
      </w:r>
      <w:r>
        <w:rPr/>
        <w:t>cash</w:t>
      </w:r>
      <w:r>
        <w:rPr>
          <w:spacing w:val="-3"/>
        </w:rPr>
        <w:t> </w:t>
      </w:r>
      <w:r>
        <w:rPr/>
        <w:t>provided</w:t>
      </w:r>
      <w:r>
        <w:rPr>
          <w:spacing w:val="-3"/>
        </w:rPr>
        <w:t> </w:t>
      </w:r>
      <w:r>
        <w:rPr/>
        <w:t>by</w:t>
      </w:r>
      <w:r>
        <w:rPr>
          <w:spacing w:val="-3"/>
        </w:rPr>
        <w:t> </w:t>
      </w:r>
      <w:r>
        <w:rPr/>
        <w:t>operating</w:t>
      </w:r>
      <w:r>
        <w:rPr>
          <w:spacing w:val="-3"/>
        </w:rPr>
        <w:t> </w:t>
      </w:r>
      <w:r>
        <w:rPr/>
        <w:t>activities</w:t>
      </w:r>
      <w:r>
        <w:rPr>
          <w:spacing w:val="-2"/>
        </w:rPr>
        <w:t> </w:t>
      </w:r>
      <w:r>
        <w:rPr/>
        <w:t>of</w:t>
      </w:r>
      <w:r>
        <w:rPr>
          <w:spacing w:val="-3"/>
        </w:rPr>
        <w:t> </w:t>
      </w:r>
      <w:r>
        <w:rPr/>
        <w:t>$2.20</w:t>
      </w:r>
      <w:r>
        <w:rPr>
          <w:spacing w:val="-3"/>
        </w:rPr>
        <w:t> </w:t>
      </w:r>
      <w:r>
        <w:rPr/>
        <w:t>billion</w:t>
      </w:r>
      <w:r>
        <w:rPr>
          <w:spacing w:val="-3"/>
        </w:rPr>
        <w:t> </w:t>
      </w:r>
      <w:r>
        <w:rPr/>
        <w:t>was</w:t>
      </w:r>
      <w:r>
        <w:rPr>
          <w:spacing w:val="-3"/>
        </w:rPr>
        <w:t> </w:t>
      </w:r>
      <w:r>
        <w:rPr/>
        <w:t>primarily</w:t>
      </w:r>
      <w:r>
        <w:rPr>
          <w:spacing w:val="-3"/>
        </w:rPr>
        <w:t> </w:t>
      </w:r>
      <w:r>
        <w:rPr/>
        <w:t>comprised</w:t>
      </w:r>
      <w:r>
        <w:rPr>
          <w:spacing w:val="-3"/>
        </w:rPr>
        <w:t> </w:t>
      </w:r>
      <w:r>
        <w:rPr/>
        <w:t>of</w:t>
      </w:r>
      <w:r>
        <w:rPr>
          <w:spacing w:val="-3"/>
        </w:rPr>
        <w:t> </w:t>
      </w:r>
      <w:r>
        <w:rPr/>
        <w:t>net</w:t>
      </w:r>
      <w:r>
        <w:rPr>
          <w:spacing w:val="-3"/>
        </w:rPr>
        <w:t> </w:t>
      </w:r>
      <w:r>
        <w:rPr/>
        <w:t>income</w:t>
      </w:r>
      <w:r>
        <w:rPr>
          <w:spacing w:val="-3"/>
        </w:rPr>
        <w:t> </w:t>
      </w:r>
      <w:r>
        <w:rPr/>
        <w:t>plus</w:t>
      </w:r>
      <w:r>
        <w:rPr>
          <w:spacing w:val="-2"/>
        </w:rPr>
        <w:t> </w:t>
      </w:r>
      <w:r>
        <w:rPr/>
        <w:t>the net effect of non-cash items. The primary working capital sources of cash were net income coupled with increases in deferred revenue and accrued expenses. The increase in deferred revenue was primarily due to increased subscriptions for our Creative Cloud offerings and increases in Digital Marketing hosted services. The increase in accrued expenses is primarily due to the increase in accruals for compensation costs and employee benefits driven by the increase in headcount. The primary working capital</w:t>
      </w:r>
      <w:r>
        <w:rPr>
          <w:spacing w:val="-8"/>
        </w:rPr>
        <w:t> </w:t>
      </w:r>
      <w:r>
        <w:rPr/>
        <w:t>uses</w:t>
      </w:r>
      <w:r>
        <w:rPr>
          <w:spacing w:val="-8"/>
        </w:rPr>
        <w:t> </w:t>
      </w:r>
      <w:r>
        <w:rPr/>
        <w:t>of</w:t>
      </w:r>
      <w:r>
        <w:rPr>
          <w:spacing w:val="-8"/>
        </w:rPr>
        <w:t> </w:t>
      </w:r>
      <w:r>
        <w:rPr/>
        <w:t>cash</w:t>
      </w:r>
      <w:r>
        <w:rPr>
          <w:spacing w:val="-8"/>
        </w:rPr>
        <w:t> </w:t>
      </w:r>
      <w:r>
        <w:rPr/>
        <w:t>were</w:t>
      </w:r>
      <w:r>
        <w:rPr>
          <w:spacing w:val="-8"/>
        </w:rPr>
        <w:t> </w:t>
      </w:r>
      <w:r>
        <w:rPr/>
        <w:t>increases</w:t>
      </w:r>
      <w:r>
        <w:rPr>
          <w:spacing w:val="-8"/>
        </w:rPr>
        <w:t> </w:t>
      </w:r>
      <w:r>
        <w:rPr/>
        <w:t>in</w:t>
      </w:r>
      <w:r>
        <w:rPr>
          <w:spacing w:val="-8"/>
        </w:rPr>
        <w:t> </w:t>
      </w:r>
      <w:r>
        <w:rPr/>
        <w:t>trade</w:t>
      </w:r>
      <w:r>
        <w:rPr>
          <w:spacing w:val="-8"/>
        </w:rPr>
        <w:t> </w:t>
      </w:r>
      <w:r>
        <w:rPr/>
        <w:t>receivables,</w:t>
      </w:r>
      <w:r>
        <w:rPr>
          <w:spacing w:val="-8"/>
        </w:rPr>
        <w:t> </w:t>
      </w:r>
      <w:r>
        <w:rPr/>
        <w:t>prepaid</w:t>
      </w:r>
      <w:r>
        <w:rPr>
          <w:spacing w:val="-8"/>
        </w:rPr>
        <w:t> </w:t>
      </w:r>
      <w:r>
        <w:rPr/>
        <w:t>expenses</w:t>
      </w:r>
      <w:r>
        <w:rPr>
          <w:spacing w:val="-8"/>
        </w:rPr>
        <w:t> </w:t>
      </w:r>
      <w:r>
        <w:rPr/>
        <w:t>and</w:t>
      </w:r>
      <w:r>
        <w:rPr>
          <w:spacing w:val="-8"/>
        </w:rPr>
        <w:t> </w:t>
      </w:r>
      <w:r>
        <w:rPr/>
        <w:t>other</w:t>
      </w:r>
      <w:r>
        <w:rPr>
          <w:spacing w:val="-8"/>
        </w:rPr>
        <w:t> </w:t>
      </w:r>
      <w:r>
        <w:rPr/>
        <w:t>current</w:t>
      </w:r>
      <w:r>
        <w:rPr>
          <w:spacing w:val="-8"/>
        </w:rPr>
        <w:t> </w:t>
      </w:r>
      <w:r>
        <w:rPr/>
        <w:t>assets,</w:t>
      </w:r>
      <w:r>
        <w:rPr>
          <w:spacing w:val="-8"/>
        </w:rPr>
        <w:t> </w:t>
      </w:r>
      <w:r>
        <w:rPr/>
        <w:t>and</w:t>
      </w:r>
      <w:r>
        <w:rPr>
          <w:spacing w:val="-8"/>
        </w:rPr>
        <w:t> </w:t>
      </w:r>
      <w:r>
        <w:rPr/>
        <w:t>a</w:t>
      </w:r>
      <w:r>
        <w:rPr>
          <w:spacing w:val="-8"/>
        </w:rPr>
        <w:t> </w:t>
      </w:r>
      <w:r>
        <w:rPr/>
        <w:t>decrease</w:t>
      </w:r>
      <w:r>
        <w:rPr>
          <w:spacing w:val="-8"/>
        </w:rPr>
        <w:t> </w:t>
      </w:r>
      <w:r>
        <w:rPr/>
        <w:t>in</w:t>
      </w:r>
      <w:r>
        <w:rPr>
          <w:spacing w:val="-8"/>
        </w:rPr>
        <w:t> </w:t>
      </w:r>
      <w:r>
        <w:rPr/>
        <w:t>income</w:t>
      </w:r>
      <w:r>
        <w:rPr>
          <w:spacing w:val="-8"/>
        </w:rPr>
        <w:t> </w:t>
      </w:r>
      <w:r>
        <w:rPr/>
        <w:t>taxes payable.</w:t>
      </w:r>
      <w:r>
        <w:rPr>
          <w:spacing w:val="-10"/>
        </w:rPr>
        <w:t> </w:t>
      </w:r>
      <w:r>
        <w:rPr/>
        <w:t>Trade</w:t>
      </w:r>
      <w:r>
        <w:rPr>
          <w:spacing w:val="-6"/>
        </w:rPr>
        <w:t> </w:t>
      </w:r>
      <w:r>
        <w:rPr/>
        <w:t>receivables</w:t>
      </w:r>
      <w:r>
        <w:rPr>
          <w:spacing w:val="-5"/>
        </w:rPr>
        <w:t> </w:t>
      </w:r>
      <w:r>
        <w:rPr/>
        <w:t>increased</w:t>
      </w:r>
      <w:r>
        <w:rPr>
          <w:spacing w:val="-6"/>
        </w:rPr>
        <w:t> </w:t>
      </w:r>
      <w:r>
        <w:rPr/>
        <w:t>primarily</w:t>
      </w:r>
      <w:r>
        <w:rPr>
          <w:spacing w:val="-6"/>
        </w:rPr>
        <w:t> </w:t>
      </w:r>
      <w:r>
        <w:rPr/>
        <w:t>due</w:t>
      </w:r>
      <w:r>
        <w:rPr>
          <w:spacing w:val="-6"/>
        </w:rPr>
        <w:t> </w:t>
      </w:r>
      <w:r>
        <w:rPr/>
        <w:t>to</w:t>
      </w:r>
      <w:r>
        <w:rPr>
          <w:spacing w:val="-5"/>
        </w:rPr>
        <w:t> </w:t>
      </w:r>
      <w:r>
        <w:rPr/>
        <w:t>higher</w:t>
      </w:r>
      <w:r>
        <w:rPr>
          <w:spacing w:val="-6"/>
        </w:rPr>
        <w:t> </w:t>
      </w:r>
      <w:r>
        <w:rPr/>
        <w:t>revenue</w:t>
      </w:r>
      <w:r>
        <w:rPr>
          <w:spacing w:val="-6"/>
        </w:rPr>
        <w:t> </w:t>
      </w:r>
      <w:r>
        <w:rPr/>
        <w:t>levels.</w:t>
      </w:r>
      <w:r>
        <w:rPr>
          <w:spacing w:val="39"/>
        </w:rPr>
        <w:t> </w:t>
      </w:r>
      <w:r>
        <w:rPr/>
        <w:t>Prepaid</w:t>
      </w:r>
      <w:r>
        <w:rPr>
          <w:spacing w:val="-6"/>
        </w:rPr>
        <w:t> </w:t>
      </w:r>
      <w:r>
        <w:rPr/>
        <w:t>expenses</w:t>
      </w:r>
      <w:r>
        <w:rPr>
          <w:spacing w:val="-6"/>
        </w:rPr>
        <w:t> </w:t>
      </w:r>
      <w:r>
        <w:rPr/>
        <w:t>and</w:t>
      </w:r>
      <w:r>
        <w:rPr>
          <w:spacing w:val="-5"/>
        </w:rPr>
        <w:t> </w:t>
      </w:r>
      <w:r>
        <w:rPr/>
        <w:t>other</w:t>
      </w:r>
      <w:r>
        <w:rPr>
          <w:spacing w:val="-6"/>
        </w:rPr>
        <w:t> </w:t>
      </w:r>
      <w:r>
        <w:rPr/>
        <w:t>current</w:t>
      </w:r>
      <w:r>
        <w:rPr>
          <w:spacing w:val="-6"/>
        </w:rPr>
        <w:t> </w:t>
      </w:r>
      <w:r>
        <w:rPr/>
        <w:t>assets</w:t>
      </w:r>
      <w:r>
        <w:rPr>
          <w:spacing w:val="-5"/>
        </w:rPr>
        <w:t> </w:t>
      </w:r>
      <w:r>
        <w:rPr>
          <w:spacing w:val="-2"/>
        </w:rPr>
        <w:t>increased</w:t>
      </w:r>
    </w:p>
    <w:p>
      <w:pPr>
        <w:spacing w:after="0" w:line="249" w:lineRule="auto"/>
        <w:jc w:val="both"/>
        <w:sectPr>
          <w:type w:val="continuous"/>
          <w:pgSz w:w="12240" w:h="15840"/>
          <w:pgMar w:header="210" w:footer="579" w:top="680" w:bottom="280" w:left="780" w:right="740"/>
        </w:sectPr>
      </w:pPr>
    </w:p>
    <w:p>
      <w:pPr>
        <w:pStyle w:val="BodyText"/>
        <w:spacing w:before="150"/>
      </w:pPr>
    </w:p>
    <w:p>
      <w:pPr>
        <w:pStyle w:val="BodyText"/>
        <w:spacing w:line="249" w:lineRule="auto"/>
        <w:ind w:left="220" w:right="240"/>
      </w:pPr>
      <w:r>
        <w:rPr/>
        <w:t>primarily</w:t>
      </w:r>
      <w:r>
        <w:rPr>
          <w:spacing w:val="-8"/>
        </w:rPr>
        <w:t> </w:t>
      </w:r>
      <w:r>
        <w:rPr/>
        <w:t>due</w:t>
      </w:r>
      <w:r>
        <w:rPr>
          <w:spacing w:val="-8"/>
        </w:rPr>
        <w:t> </w:t>
      </w:r>
      <w:r>
        <w:rPr/>
        <w:t>to</w:t>
      </w:r>
      <w:r>
        <w:rPr>
          <w:spacing w:val="-8"/>
        </w:rPr>
        <w:t> </w:t>
      </w:r>
      <w:r>
        <w:rPr/>
        <w:t>advanced</w:t>
      </w:r>
      <w:r>
        <w:rPr>
          <w:spacing w:val="-8"/>
        </w:rPr>
        <w:t> </w:t>
      </w:r>
      <w:r>
        <w:rPr/>
        <w:t>tax</w:t>
      </w:r>
      <w:r>
        <w:rPr>
          <w:spacing w:val="-8"/>
        </w:rPr>
        <w:t> </w:t>
      </w:r>
      <w:r>
        <w:rPr/>
        <w:t>payments</w:t>
      </w:r>
      <w:r>
        <w:rPr>
          <w:spacing w:val="-8"/>
        </w:rPr>
        <w:t> </w:t>
      </w:r>
      <w:r>
        <w:rPr/>
        <w:t>made</w:t>
      </w:r>
      <w:r>
        <w:rPr>
          <w:spacing w:val="-8"/>
        </w:rPr>
        <w:t> </w:t>
      </w:r>
      <w:r>
        <w:rPr/>
        <w:t>in</w:t>
      </w:r>
      <w:r>
        <w:rPr>
          <w:spacing w:val="-8"/>
        </w:rPr>
        <w:t> </w:t>
      </w:r>
      <w:r>
        <w:rPr/>
        <w:t>the</w:t>
      </w:r>
      <w:r>
        <w:rPr>
          <w:spacing w:val="-8"/>
        </w:rPr>
        <w:t> </w:t>
      </w:r>
      <w:r>
        <w:rPr/>
        <w:t>fourth</w:t>
      </w:r>
      <w:r>
        <w:rPr>
          <w:spacing w:val="-8"/>
        </w:rPr>
        <w:t> </w:t>
      </w:r>
      <w:r>
        <w:rPr/>
        <w:t>quarter</w:t>
      </w:r>
      <w:r>
        <w:rPr>
          <w:spacing w:val="-8"/>
        </w:rPr>
        <w:t> </w:t>
      </w:r>
      <w:r>
        <w:rPr/>
        <w:t>of</w:t>
      </w:r>
      <w:r>
        <w:rPr>
          <w:spacing w:val="36"/>
        </w:rPr>
        <w:t> </w:t>
      </w:r>
      <w:r>
        <w:rPr/>
        <w:t>fiscal</w:t>
      </w:r>
      <w:r>
        <w:rPr>
          <w:spacing w:val="-8"/>
        </w:rPr>
        <w:t> </w:t>
      </w:r>
      <w:r>
        <w:rPr/>
        <w:t>2016.</w:t>
      </w:r>
      <w:r>
        <w:rPr>
          <w:spacing w:val="-8"/>
        </w:rPr>
        <w:t> </w:t>
      </w:r>
      <w:r>
        <w:rPr/>
        <w:t>Income</w:t>
      </w:r>
      <w:r>
        <w:rPr>
          <w:spacing w:val="-8"/>
        </w:rPr>
        <w:t> </w:t>
      </w:r>
      <w:r>
        <w:rPr/>
        <w:t>taxes</w:t>
      </w:r>
      <w:r>
        <w:rPr>
          <w:spacing w:val="-8"/>
        </w:rPr>
        <w:t> </w:t>
      </w:r>
      <w:r>
        <w:rPr/>
        <w:t>payable</w:t>
      </w:r>
      <w:r>
        <w:rPr>
          <w:spacing w:val="-8"/>
        </w:rPr>
        <w:t> </w:t>
      </w:r>
      <w:r>
        <w:rPr/>
        <w:t>decreased</w:t>
      </w:r>
      <w:r>
        <w:rPr>
          <w:spacing w:val="-8"/>
        </w:rPr>
        <w:t> </w:t>
      </w:r>
      <w:r>
        <w:rPr/>
        <w:t>primarily</w:t>
      </w:r>
      <w:r>
        <w:rPr>
          <w:spacing w:val="-8"/>
        </w:rPr>
        <w:t> </w:t>
      </w:r>
      <w:r>
        <w:rPr/>
        <w:t>due to</w:t>
      </w:r>
      <w:r>
        <w:rPr>
          <w:spacing w:val="-12"/>
        </w:rPr>
        <w:t> </w:t>
      </w:r>
      <w:r>
        <w:rPr/>
        <w:t>the</w:t>
      </w:r>
      <w:r>
        <w:rPr>
          <w:spacing w:val="-11"/>
        </w:rPr>
        <w:t> </w:t>
      </w:r>
      <w:r>
        <w:rPr/>
        <w:t>completion</w:t>
      </w:r>
      <w:r>
        <w:rPr>
          <w:spacing w:val="-11"/>
        </w:rPr>
        <w:t> </w:t>
      </w:r>
      <w:r>
        <w:rPr/>
        <w:t>of</w:t>
      </w:r>
      <w:r>
        <w:rPr>
          <w:spacing w:val="-10"/>
        </w:rPr>
        <w:t> </w:t>
      </w:r>
      <w:r>
        <w:rPr/>
        <w:t>certain</w:t>
      </w:r>
      <w:r>
        <w:rPr>
          <w:spacing w:val="-11"/>
        </w:rPr>
        <w:t> </w:t>
      </w:r>
      <w:r>
        <w:rPr/>
        <w:t>income</w:t>
      </w:r>
      <w:r>
        <w:rPr>
          <w:spacing w:val="-11"/>
        </w:rPr>
        <w:t> </w:t>
      </w:r>
      <w:r>
        <w:rPr/>
        <w:t>tax</w:t>
      </w:r>
      <w:r>
        <w:rPr>
          <w:spacing w:val="-11"/>
        </w:rPr>
        <w:t> </w:t>
      </w:r>
      <w:r>
        <w:rPr/>
        <w:t>audits</w:t>
      </w:r>
      <w:r>
        <w:rPr>
          <w:spacing w:val="-11"/>
        </w:rPr>
        <w:t> </w:t>
      </w:r>
      <w:r>
        <w:rPr/>
        <w:t>in</w:t>
      </w:r>
      <w:r>
        <w:rPr>
          <w:spacing w:val="-10"/>
        </w:rPr>
        <w:t> </w:t>
      </w:r>
      <w:r>
        <w:rPr/>
        <w:t>fiscal</w:t>
      </w:r>
      <w:r>
        <w:rPr>
          <w:spacing w:val="-11"/>
        </w:rPr>
        <w:t> </w:t>
      </w:r>
      <w:r>
        <w:rPr/>
        <w:t>2016,</w:t>
      </w:r>
      <w:r>
        <w:rPr>
          <w:spacing w:val="-10"/>
        </w:rPr>
        <w:t> </w:t>
      </w:r>
      <w:r>
        <w:rPr/>
        <w:t>offset</w:t>
      </w:r>
      <w:r>
        <w:rPr>
          <w:spacing w:val="-12"/>
        </w:rPr>
        <w:t> </w:t>
      </w:r>
      <w:r>
        <w:rPr/>
        <w:t>in</w:t>
      </w:r>
      <w:r>
        <w:rPr>
          <w:spacing w:val="-11"/>
        </w:rPr>
        <w:t> </w:t>
      </w:r>
      <w:r>
        <w:rPr/>
        <w:t>part</w:t>
      </w:r>
      <w:r>
        <w:rPr>
          <w:spacing w:val="-11"/>
        </w:rPr>
        <w:t> </w:t>
      </w:r>
      <w:r>
        <w:rPr/>
        <w:t>by</w:t>
      </w:r>
      <w:r>
        <w:rPr>
          <w:spacing w:val="-11"/>
        </w:rPr>
        <w:t> </w:t>
      </w:r>
      <w:r>
        <w:rPr/>
        <w:t>increases</w:t>
      </w:r>
      <w:r>
        <w:rPr>
          <w:spacing w:val="-10"/>
        </w:rPr>
        <w:t> </w:t>
      </w:r>
      <w:r>
        <w:rPr/>
        <w:t>to</w:t>
      </w:r>
      <w:r>
        <w:rPr>
          <w:spacing w:val="-11"/>
        </w:rPr>
        <w:t> </w:t>
      </w:r>
      <w:r>
        <w:rPr/>
        <w:t>the</w:t>
      </w:r>
      <w:r>
        <w:rPr>
          <w:spacing w:val="-11"/>
        </w:rPr>
        <w:t> </w:t>
      </w:r>
      <w:r>
        <w:rPr/>
        <w:t>tax</w:t>
      </w:r>
      <w:r>
        <w:rPr>
          <w:spacing w:val="-11"/>
        </w:rPr>
        <w:t> </w:t>
      </w:r>
      <w:r>
        <w:rPr/>
        <w:t>provision</w:t>
      </w:r>
      <w:r>
        <w:rPr>
          <w:spacing w:val="-11"/>
        </w:rPr>
        <w:t> </w:t>
      </w:r>
      <w:r>
        <w:rPr/>
        <w:t>in</w:t>
      </w:r>
      <w:r>
        <w:rPr>
          <w:spacing w:val="-11"/>
        </w:rPr>
        <w:t> </w:t>
      </w:r>
      <w:r>
        <w:rPr/>
        <w:t>excess</w:t>
      </w:r>
      <w:r>
        <w:rPr>
          <w:spacing w:val="-11"/>
        </w:rPr>
        <w:t> </w:t>
      </w:r>
      <w:r>
        <w:rPr/>
        <w:t>of</w:t>
      </w:r>
      <w:r>
        <w:rPr>
          <w:spacing w:val="-11"/>
        </w:rPr>
        <w:t> </w:t>
      </w:r>
      <w:r>
        <w:rPr/>
        <w:t>taxes</w:t>
      </w:r>
      <w:r>
        <w:rPr>
          <w:spacing w:val="-10"/>
        </w:rPr>
        <w:t> </w:t>
      </w:r>
      <w:r>
        <w:rPr>
          <w:spacing w:val="-2"/>
        </w:rPr>
        <w:t>paid.</w:t>
      </w:r>
    </w:p>
    <w:p>
      <w:pPr>
        <w:pStyle w:val="BodyText"/>
        <w:spacing w:line="249" w:lineRule="auto" w:before="181"/>
        <w:ind w:left="220" w:right="257" w:firstLine="540"/>
        <w:jc w:val="both"/>
      </w:pPr>
      <w:r>
        <w:rPr/>
        <w:t>For</w:t>
      </w:r>
      <w:r>
        <w:rPr>
          <w:spacing w:val="-3"/>
        </w:rPr>
        <w:t> </w:t>
      </w:r>
      <w:r>
        <w:rPr/>
        <w:t>fiscal</w:t>
      </w:r>
      <w:r>
        <w:rPr>
          <w:spacing w:val="-3"/>
        </w:rPr>
        <w:t> </w:t>
      </w:r>
      <w:r>
        <w:rPr/>
        <w:t>2015,</w:t>
      </w:r>
      <w:r>
        <w:rPr>
          <w:spacing w:val="-3"/>
        </w:rPr>
        <w:t> </w:t>
      </w:r>
      <w:r>
        <w:rPr/>
        <w:t>net</w:t>
      </w:r>
      <w:r>
        <w:rPr>
          <w:spacing w:val="-3"/>
        </w:rPr>
        <w:t> </w:t>
      </w:r>
      <w:r>
        <w:rPr/>
        <w:t>cash</w:t>
      </w:r>
      <w:r>
        <w:rPr>
          <w:spacing w:val="-3"/>
        </w:rPr>
        <w:t> </w:t>
      </w:r>
      <w:r>
        <w:rPr/>
        <w:t>provided</w:t>
      </w:r>
      <w:r>
        <w:rPr>
          <w:spacing w:val="-3"/>
        </w:rPr>
        <w:t> </w:t>
      </w:r>
      <w:r>
        <w:rPr/>
        <w:t>by</w:t>
      </w:r>
      <w:r>
        <w:rPr>
          <w:spacing w:val="-3"/>
        </w:rPr>
        <w:t> </w:t>
      </w:r>
      <w:r>
        <w:rPr/>
        <w:t>operating</w:t>
      </w:r>
      <w:r>
        <w:rPr>
          <w:spacing w:val="-3"/>
        </w:rPr>
        <w:t> </w:t>
      </w:r>
      <w:r>
        <w:rPr/>
        <w:t>activities</w:t>
      </w:r>
      <w:r>
        <w:rPr>
          <w:spacing w:val="-2"/>
        </w:rPr>
        <w:t> </w:t>
      </w:r>
      <w:r>
        <w:rPr/>
        <w:t>of</w:t>
      </w:r>
      <w:r>
        <w:rPr>
          <w:spacing w:val="-3"/>
        </w:rPr>
        <w:t> </w:t>
      </w:r>
      <w:r>
        <w:rPr/>
        <w:t>$1.47</w:t>
      </w:r>
      <w:r>
        <w:rPr>
          <w:spacing w:val="-3"/>
        </w:rPr>
        <w:t> </w:t>
      </w:r>
      <w:r>
        <w:rPr/>
        <w:t>billion</w:t>
      </w:r>
      <w:r>
        <w:rPr>
          <w:spacing w:val="-3"/>
        </w:rPr>
        <w:t> </w:t>
      </w:r>
      <w:r>
        <w:rPr/>
        <w:t>was</w:t>
      </w:r>
      <w:r>
        <w:rPr>
          <w:spacing w:val="-3"/>
        </w:rPr>
        <w:t> </w:t>
      </w:r>
      <w:r>
        <w:rPr/>
        <w:t>primarily</w:t>
      </w:r>
      <w:r>
        <w:rPr>
          <w:spacing w:val="-3"/>
        </w:rPr>
        <w:t> </w:t>
      </w:r>
      <w:r>
        <w:rPr/>
        <w:t>comprised</w:t>
      </w:r>
      <w:r>
        <w:rPr>
          <w:spacing w:val="-3"/>
        </w:rPr>
        <w:t> </w:t>
      </w:r>
      <w:r>
        <w:rPr/>
        <w:t>of</w:t>
      </w:r>
      <w:r>
        <w:rPr>
          <w:spacing w:val="-3"/>
        </w:rPr>
        <w:t> </w:t>
      </w:r>
      <w:r>
        <w:rPr/>
        <w:t>net</w:t>
      </w:r>
      <w:r>
        <w:rPr>
          <w:spacing w:val="-3"/>
        </w:rPr>
        <w:t> </w:t>
      </w:r>
      <w:r>
        <w:rPr/>
        <w:t>income</w:t>
      </w:r>
      <w:r>
        <w:rPr>
          <w:spacing w:val="-3"/>
        </w:rPr>
        <w:t> </w:t>
      </w:r>
      <w:r>
        <w:rPr/>
        <w:t>plus</w:t>
      </w:r>
      <w:r>
        <w:rPr>
          <w:spacing w:val="-2"/>
        </w:rPr>
        <w:t> </w:t>
      </w:r>
      <w:r>
        <w:rPr/>
        <w:t>the net effect of non-cash items. The primary working capital sources of cash were net income coupled with increases in deferred revenue,</w:t>
      </w:r>
      <w:r>
        <w:rPr>
          <w:spacing w:val="-7"/>
        </w:rPr>
        <w:t> </w:t>
      </w:r>
      <w:r>
        <w:rPr/>
        <w:t>income</w:t>
      </w:r>
      <w:r>
        <w:rPr>
          <w:spacing w:val="-7"/>
        </w:rPr>
        <w:t> </w:t>
      </w:r>
      <w:r>
        <w:rPr/>
        <w:t>taxes</w:t>
      </w:r>
      <w:r>
        <w:rPr>
          <w:spacing w:val="-7"/>
        </w:rPr>
        <w:t> </w:t>
      </w:r>
      <w:r>
        <w:rPr/>
        <w:t>payable</w:t>
      </w:r>
      <w:r>
        <w:rPr>
          <w:spacing w:val="-7"/>
        </w:rPr>
        <w:t> </w:t>
      </w:r>
      <w:r>
        <w:rPr/>
        <w:t>and</w:t>
      </w:r>
      <w:r>
        <w:rPr>
          <w:spacing w:val="-7"/>
        </w:rPr>
        <w:t> </w:t>
      </w:r>
      <w:r>
        <w:rPr/>
        <w:t>trade</w:t>
      </w:r>
      <w:r>
        <w:rPr>
          <w:spacing w:val="-7"/>
        </w:rPr>
        <w:t> </w:t>
      </w:r>
      <w:r>
        <w:rPr/>
        <w:t>payables.</w:t>
      </w:r>
      <w:r>
        <w:rPr>
          <w:spacing w:val="-10"/>
        </w:rPr>
        <w:t> </w:t>
      </w:r>
      <w:r>
        <w:rPr/>
        <w:t>The</w:t>
      </w:r>
      <w:r>
        <w:rPr>
          <w:spacing w:val="-7"/>
        </w:rPr>
        <w:t> </w:t>
      </w:r>
      <w:r>
        <w:rPr/>
        <w:t>increase</w:t>
      </w:r>
      <w:r>
        <w:rPr>
          <w:spacing w:val="-7"/>
        </w:rPr>
        <w:t> </w:t>
      </w:r>
      <w:r>
        <w:rPr/>
        <w:t>in</w:t>
      </w:r>
      <w:r>
        <w:rPr>
          <w:spacing w:val="-7"/>
        </w:rPr>
        <w:t> </w:t>
      </w:r>
      <w:r>
        <w:rPr/>
        <w:t>deferred</w:t>
      </w:r>
      <w:r>
        <w:rPr>
          <w:spacing w:val="-7"/>
        </w:rPr>
        <w:t> </w:t>
      </w:r>
      <w:r>
        <w:rPr/>
        <w:t>revenue</w:t>
      </w:r>
      <w:r>
        <w:rPr>
          <w:spacing w:val="-7"/>
        </w:rPr>
        <w:t> </w:t>
      </w:r>
      <w:r>
        <w:rPr/>
        <w:t>was</w:t>
      </w:r>
      <w:r>
        <w:rPr>
          <w:spacing w:val="-7"/>
        </w:rPr>
        <w:t> </w:t>
      </w:r>
      <w:r>
        <w:rPr/>
        <w:t>primarily</w:t>
      </w:r>
      <w:r>
        <w:rPr>
          <w:spacing w:val="-7"/>
        </w:rPr>
        <w:t> </w:t>
      </w:r>
      <w:r>
        <w:rPr/>
        <w:t>due</w:t>
      </w:r>
      <w:r>
        <w:rPr>
          <w:spacing w:val="-7"/>
        </w:rPr>
        <w:t> </w:t>
      </w:r>
      <w:r>
        <w:rPr/>
        <w:t>to</w:t>
      </w:r>
      <w:r>
        <w:rPr>
          <w:spacing w:val="-7"/>
        </w:rPr>
        <w:t> </w:t>
      </w:r>
      <w:r>
        <w:rPr/>
        <w:t>increased</w:t>
      </w:r>
      <w:r>
        <w:rPr>
          <w:spacing w:val="-7"/>
        </w:rPr>
        <w:t> </w:t>
      </w:r>
      <w:r>
        <w:rPr/>
        <w:t>subscriptions for</w:t>
      </w:r>
      <w:r>
        <w:rPr>
          <w:spacing w:val="-7"/>
        </w:rPr>
        <w:t> </w:t>
      </w:r>
      <w:r>
        <w:rPr/>
        <w:t>our</w:t>
      </w:r>
      <w:r>
        <w:rPr>
          <w:spacing w:val="-7"/>
        </w:rPr>
        <w:t> </w:t>
      </w:r>
      <w:r>
        <w:rPr/>
        <w:t>team,</w:t>
      </w:r>
      <w:r>
        <w:rPr>
          <w:spacing w:val="-7"/>
        </w:rPr>
        <w:t> </w:t>
      </w:r>
      <w:r>
        <w:rPr/>
        <w:t>individual</w:t>
      </w:r>
      <w:r>
        <w:rPr>
          <w:spacing w:val="-7"/>
        </w:rPr>
        <w:t> </w:t>
      </w:r>
      <w:r>
        <w:rPr/>
        <w:t>and</w:t>
      </w:r>
      <w:r>
        <w:rPr>
          <w:spacing w:val="-7"/>
        </w:rPr>
        <w:t> </w:t>
      </w:r>
      <w:r>
        <w:rPr/>
        <w:t>enterprise</w:t>
      </w:r>
      <w:r>
        <w:rPr>
          <w:spacing w:val="-7"/>
        </w:rPr>
        <w:t> </w:t>
      </w:r>
      <w:r>
        <w:rPr/>
        <w:t>Creative</w:t>
      </w:r>
      <w:r>
        <w:rPr>
          <w:spacing w:val="-7"/>
        </w:rPr>
        <w:t> </w:t>
      </w:r>
      <w:r>
        <w:rPr/>
        <w:t>Cloud</w:t>
      </w:r>
      <w:r>
        <w:rPr>
          <w:spacing w:val="-7"/>
        </w:rPr>
        <w:t> </w:t>
      </w:r>
      <w:r>
        <w:rPr/>
        <w:t>offerings</w:t>
      </w:r>
      <w:r>
        <w:rPr>
          <w:spacing w:val="-7"/>
        </w:rPr>
        <w:t> </w:t>
      </w:r>
      <w:r>
        <w:rPr/>
        <w:t>and</w:t>
      </w:r>
      <w:r>
        <w:rPr>
          <w:spacing w:val="-7"/>
        </w:rPr>
        <w:t> </w:t>
      </w:r>
      <w:r>
        <w:rPr/>
        <w:t>increases</w:t>
      </w:r>
      <w:r>
        <w:rPr>
          <w:spacing w:val="-7"/>
        </w:rPr>
        <w:t> </w:t>
      </w:r>
      <w:r>
        <w:rPr/>
        <w:t>in</w:t>
      </w:r>
      <w:r>
        <w:rPr>
          <w:spacing w:val="-7"/>
        </w:rPr>
        <w:t> </w:t>
      </w:r>
      <w:r>
        <w:rPr/>
        <w:t>Digital</w:t>
      </w:r>
      <w:r>
        <w:rPr>
          <w:spacing w:val="-7"/>
        </w:rPr>
        <w:t> </w:t>
      </w:r>
      <w:r>
        <w:rPr/>
        <w:t>Marketing</w:t>
      </w:r>
      <w:r>
        <w:rPr>
          <w:spacing w:val="-7"/>
        </w:rPr>
        <w:t> </w:t>
      </w:r>
      <w:r>
        <w:rPr/>
        <w:t>hosted</w:t>
      </w:r>
      <w:r>
        <w:rPr>
          <w:spacing w:val="-7"/>
        </w:rPr>
        <w:t> </w:t>
      </w:r>
      <w:r>
        <w:rPr/>
        <w:t>services.</w:t>
      </w:r>
      <w:r>
        <w:rPr>
          <w:spacing w:val="-10"/>
        </w:rPr>
        <w:t> </w:t>
      </w:r>
      <w:r>
        <w:rPr/>
        <w:t>The</w:t>
      </w:r>
      <w:r>
        <w:rPr>
          <w:spacing w:val="-7"/>
        </w:rPr>
        <w:t> </w:t>
      </w:r>
      <w:r>
        <w:rPr/>
        <w:t>increase in</w:t>
      </w:r>
      <w:r>
        <w:rPr>
          <w:spacing w:val="-11"/>
        </w:rPr>
        <w:t> </w:t>
      </w:r>
      <w:r>
        <w:rPr/>
        <w:t>income</w:t>
      </w:r>
      <w:r>
        <w:rPr>
          <w:spacing w:val="-12"/>
        </w:rPr>
        <w:t> </w:t>
      </w:r>
      <w:r>
        <w:rPr/>
        <w:t>taxes</w:t>
      </w:r>
      <w:r>
        <w:rPr>
          <w:spacing w:val="-11"/>
        </w:rPr>
        <w:t> </w:t>
      </w:r>
      <w:r>
        <w:rPr/>
        <w:t>payable</w:t>
      </w:r>
      <w:r>
        <w:rPr>
          <w:spacing w:val="-12"/>
        </w:rPr>
        <w:t> </w:t>
      </w:r>
      <w:r>
        <w:rPr/>
        <w:t>was</w:t>
      </w:r>
      <w:r>
        <w:rPr>
          <w:spacing w:val="-11"/>
        </w:rPr>
        <w:t> </w:t>
      </w:r>
      <w:r>
        <w:rPr/>
        <w:t>primarily</w:t>
      </w:r>
      <w:r>
        <w:rPr>
          <w:spacing w:val="-11"/>
        </w:rPr>
        <w:t> </w:t>
      </w:r>
      <w:r>
        <w:rPr/>
        <w:t>due</w:t>
      </w:r>
      <w:r>
        <w:rPr>
          <w:spacing w:val="-11"/>
        </w:rPr>
        <w:t> </w:t>
      </w:r>
      <w:r>
        <w:rPr/>
        <w:t>to</w:t>
      </w:r>
      <w:r>
        <w:rPr>
          <w:spacing w:val="-11"/>
        </w:rPr>
        <w:t> </w:t>
      </w:r>
      <w:r>
        <w:rPr/>
        <w:t>higher</w:t>
      </w:r>
      <w:r>
        <w:rPr>
          <w:spacing w:val="-11"/>
        </w:rPr>
        <w:t> </w:t>
      </w:r>
      <w:r>
        <w:rPr/>
        <w:t>taxable</w:t>
      </w:r>
      <w:r>
        <w:rPr>
          <w:spacing w:val="-11"/>
        </w:rPr>
        <w:t> </w:t>
      </w:r>
      <w:r>
        <w:rPr/>
        <w:t>income</w:t>
      </w:r>
      <w:r>
        <w:rPr>
          <w:spacing w:val="-12"/>
        </w:rPr>
        <w:t> </w:t>
      </w:r>
      <w:r>
        <w:rPr/>
        <w:t>levels</w:t>
      </w:r>
      <w:r>
        <w:rPr>
          <w:spacing w:val="-11"/>
        </w:rPr>
        <w:t> </w:t>
      </w:r>
      <w:r>
        <w:rPr/>
        <w:t>during</w:t>
      </w:r>
      <w:r>
        <w:rPr>
          <w:spacing w:val="-11"/>
        </w:rPr>
        <w:t> </w:t>
      </w:r>
      <w:r>
        <w:rPr/>
        <w:t>fiscal</w:t>
      </w:r>
      <w:r>
        <w:rPr>
          <w:spacing w:val="-11"/>
        </w:rPr>
        <w:t> </w:t>
      </w:r>
      <w:r>
        <w:rPr/>
        <w:t>2015.</w:t>
      </w:r>
      <w:r>
        <w:rPr>
          <w:spacing w:val="-13"/>
        </w:rPr>
        <w:t> </w:t>
      </w:r>
      <w:r>
        <w:rPr/>
        <w:t>Trade</w:t>
      </w:r>
      <w:r>
        <w:rPr>
          <w:spacing w:val="-10"/>
        </w:rPr>
        <w:t> </w:t>
      </w:r>
      <w:r>
        <w:rPr/>
        <w:t>payables</w:t>
      </w:r>
      <w:r>
        <w:rPr>
          <w:spacing w:val="-11"/>
        </w:rPr>
        <w:t> </w:t>
      </w:r>
      <w:r>
        <w:rPr/>
        <w:t>increased</w:t>
      </w:r>
      <w:r>
        <w:rPr>
          <w:spacing w:val="-11"/>
        </w:rPr>
        <w:t> </w:t>
      </w:r>
      <w:r>
        <w:rPr/>
        <w:t>primarily due to the timing of payments to web services vendors as certain invoices were received in the final weeks of fiscal 2015. The primary working capital uses of cash were increases in trade receivables which were principally due to higher revenue levels.</w:t>
      </w:r>
    </w:p>
    <w:p>
      <w:pPr>
        <w:spacing w:before="186"/>
        <w:ind w:left="220" w:right="0" w:firstLine="0"/>
        <w:jc w:val="left"/>
        <w:rPr>
          <w:i/>
          <w:sz w:val="20"/>
        </w:rPr>
      </w:pPr>
      <w:r>
        <w:rPr>
          <w:i/>
          <w:sz w:val="20"/>
        </w:rPr>
        <w:t>Cash</w:t>
      </w:r>
      <w:r>
        <w:rPr>
          <w:i/>
          <w:spacing w:val="-5"/>
          <w:sz w:val="20"/>
        </w:rPr>
        <w:t> </w:t>
      </w:r>
      <w:r>
        <w:rPr>
          <w:i/>
          <w:sz w:val="20"/>
        </w:rPr>
        <w:t>Flows</w:t>
      </w:r>
      <w:r>
        <w:rPr>
          <w:i/>
          <w:spacing w:val="-4"/>
          <w:sz w:val="20"/>
        </w:rPr>
        <w:t> </w:t>
      </w:r>
      <w:r>
        <w:rPr>
          <w:i/>
          <w:sz w:val="20"/>
        </w:rPr>
        <w:t>from</w:t>
      </w:r>
      <w:r>
        <w:rPr>
          <w:i/>
          <w:spacing w:val="-3"/>
          <w:sz w:val="20"/>
        </w:rPr>
        <w:t> </w:t>
      </w:r>
      <w:r>
        <w:rPr>
          <w:i/>
          <w:sz w:val="20"/>
        </w:rPr>
        <w:t>Investing</w:t>
      </w:r>
      <w:r>
        <w:rPr>
          <w:i/>
          <w:spacing w:val="-7"/>
          <w:sz w:val="20"/>
        </w:rPr>
        <w:t> </w:t>
      </w:r>
      <w:r>
        <w:rPr>
          <w:i/>
          <w:spacing w:val="-2"/>
          <w:sz w:val="20"/>
        </w:rPr>
        <w:t>Activities</w:t>
      </w:r>
    </w:p>
    <w:p>
      <w:pPr>
        <w:pStyle w:val="BodyText"/>
        <w:spacing w:line="249" w:lineRule="auto" w:before="190"/>
        <w:ind w:left="220" w:right="257" w:firstLine="540"/>
        <w:jc w:val="both"/>
      </w:pPr>
      <w:r>
        <w:rPr/>
        <w:t>For fiscal 2017, net cash used for investing activities of $442.9 million was primarily due to purchases of short-term investments</w:t>
      </w:r>
      <w:r>
        <w:rPr>
          <w:spacing w:val="-4"/>
        </w:rPr>
        <w:t> </w:t>
      </w:r>
      <w:r>
        <w:rPr/>
        <w:t>and</w:t>
      </w:r>
      <w:r>
        <w:rPr>
          <w:spacing w:val="-4"/>
        </w:rPr>
        <w:t> </w:t>
      </w:r>
      <w:r>
        <w:rPr/>
        <w:t>our</w:t>
      </w:r>
      <w:r>
        <w:rPr>
          <w:spacing w:val="-4"/>
        </w:rPr>
        <w:t> </w:t>
      </w:r>
      <w:r>
        <w:rPr/>
        <w:t>acquisition</w:t>
      </w:r>
      <w:r>
        <w:rPr>
          <w:spacing w:val="-4"/>
        </w:rPr>
        <w:t> </w:t>
      </w:r>
      <w:r>
        <w:rPr/>
        <w:t>of</w:t>
      </w:r>
      <w:r>
        <w:rPr>
          <w:spacing w:val="-7"/>
        </w:rPr>
        <w:t> </w:t>
      </w:r>
      <w:r>
        <w:rPr/>
        <w:t>TubeMogul.</w:t>
      </w:r>
      <w:r>
        <w:rPr>
          <w:spacing w:val="40"/>
        </w:rPr>
        <w:t> </w:t>
      </w:r>
      <w:r>
        <w:rPr/>
        <w:t>Other</w:t>
      </w:r>
      <w:r>
        <w:rPr>
          <w:spacing w:val="-4"/>
        </w:rPr>
        <w:t> </w:t>
      </w:r>
      <w:r>
        <w:rPr/>
        <w:t>uses</w:t>
      </w:r>
      <w:r>
        <w:rPr>
          <w:spacing w:val="-4"/>
        </w:rPr>
        <w:t> </w:t>
      </w:r>
      <w:r>
        <w:rPr/>
        <w:t>of</w:t>
      </w:r>
      <w:r>
        <w:rPr>
          <w:spacing w:val="-4"/>
        </w:rPr>
        <w:t> </w:t>
      </w:r>
      <w:r>
        <w:rPr/>
        <w:t>cash</w:t>
      </w:r>
      <w:r>
        <w:rPr>
          <w:spacing w:val="-4"/>
        </w:rPr>
        <w:t> </w:t>
      </w:r>
      <w:r>
        <w:rPr/>
        <w:t>included</w:t>
      </w:r>
      <w:r>
        <w:rPr>
          <w:spacing w:val="-4"/>
        </w:rPr>
        <w:t> </w:t>
      </w:r>
      <w:r>
        <w:rPr/>
        <w:t>purchases</w:t>
      </w:r>
      <w:r>
        <w:rPr>
          <w:spacing w:val="-4"/>
        </w:rPr>
        <w:t> </w:t>
      </w:r>
      <w:r>
        <w:rPr/>
        <w:t>of</w:t>
      </w:r>
      <w:r>
        <w:rPr>
          <w:spacing w:val="-4"/>
        </w:rPr>
        <w:t> </w:t>
      </w:r>
      <w:r>
        <w:rPr/>
        <w:t>property</w:t>
      </w:r>
      <w:r>
        <w:rPr>
          <w:spacing w:val="-4"/>
        </w:rPr>
        <w:t> </w:t>
      </w:r>
      <w:r>
        <w:rPr/>
        <w:t>and</w:t>
      </w:r>
      <w:r>
        <w:rPr>
          <w:spacing w:val="-4"/>
        </w:rPr>
        <w:t> </w:t>
      </w:r>
      <w:r>
        <w:rPr/>
        <w:t>equipment,</w:t>
      </w:r>
      <w:r>
        <w:rPr>
          <w:spacing w:val="-4"/>
        </w:rPr>
        <w:t> </w:t>
      </w:r>
      <w:r>
        <w:rPr/>
        <w:t>including</w:t>
      </w:r>
      <w:r>
        <w:rPr>
          <w:spacing w:val="-4"/>
        </w:rPr>
        <w:t> </w:t>
      </w:r>
      <w:r>
        <w:rPr/>
        <w:t>the Almaden</w:t>
      </w:r>
      <w:r>
        <w:rPr>
          <w:spacing w:val="-1"/>
        </w:rPr>
        <w:t> </w:t>
      </w:r>
      <w:r>
        <w:rPr/>
        <w:t>Tower and long-term investments and other assets.</w:t>
      </w:r>
      <w:r>
        <w:rPr>
          <w:spacing w:val="-1"/>
        </w:rPr>
        <w:t> </w:t>
      </w:r>
      <w:r>
        <w:rPr/>
        <w:t>These cash outflows were offset in part by sales and maturities of short-term investments.</w:t>
      </w:r>
    </w:p>
    <w:p>
      <w:pPr>
        <w:pStyle w:val="BodyText"/>
        <w:spacing w:line="249" w:lineRule="auto" w:before="163"/>
        <w:ind w:left="220" w:right="257" w:firstLine="540"/>
        <w:jc w:val="both"/>
      </w:pPr>
      <w:r>
        <w:rPr/>
        <w:t>For fiscal 2016, net cash used for investing activities of $960.0 million was primarily due to purchases of short-term investments.</w:t>
      </w:r>
      <w:r>
        <w:rPr>
          <w:spacing w:val="37"/>
        </w:rPr>
        <w:t> </w:t>
      </w:r>
      <w:r>
        <w:rPr/>
        <w:t>Other</w:t>
      </w:r>
      <w:r>
        <w:rPr>
          <w:spacing w:val="-7"/>
        </w:rPr>
        <w:t> </w:t>
      </w:r>
      <w:r>
        <w:rPr/>
        <w:t>uses</w:t>
      </w:r>
      <w:r>
        <w:rPr>
          <w:spacing w:val="-7"/>
        </w:rPr>
        <w:t> </w:t>
      </w:r>
      <w:r>
        <w:rPr/>
        <w:t>of</w:t>
      </w:r>
      <w:r>
        <w:rPr>
          <w:spacing w:val="-7"/>
        </w:rPr>
        <w:t> </w:t>
      </w:r>
      <w:r>
        <w:rPr/>
        <w:t>cash</w:t>
      </w:r>
      <w:r>
        <w:rPr>
          <w:spacing w:val="-7"/>
        </w:rPr>
        <w:t> </w:t>
      </w:r>
      <w:r>
        <w:rPr/>
        <w:t>represented</w:t>
      </w:r>
      <w:r>
        <w:rPr>
          <w:spacing w:val="-7"/>
        </w:rPr>
        <w:t> </w:t>
      </w:r>
      <w:r>
        <w:rPr/>
        <w:t>purchases</w:t>
      </w:r>
      <w:r>
        <w:rPr>
          <w:spacing w:val="-7"/>
        </w:rPr>
        <w:t> </w:t>
      </w:r>
      <w:r>
        <w:rPr/>
        <w:t>of</w:t>
      </w:r>
      <w:r>
        <w:rPr>
          <w:spacing w:val="-7"/>
        </w:rPr>
        <w:t> </w:t>
      </w:r>
      <w:r>
        <w:rPr/>
        <w:t>property</w:t>
      </w:r>
      <w:r>
        <w:rPr>
          <w:spacing w:val="-7"/>
        </w:rPr>
        <w:t> </w:t>
      </w:r>
      <w:r>
        <w:rPr/>
        <w:t>and</w:t>
      </w:r>
      <w:r>
        <w:rPr>
          <w:spacing w:val="-7"/>
        </w:rPr>
        <w:t> </w:t>
      </w:r>
      <w:r>
        <w:rPr/>
        <w:t>equipment,</w:t>
      </w:r>
      <w:r>
        <w:rPr>
          <w:spacing w:val="-7"/>
        </w:rPr>
        <w:t> </w:t>
      </w:r>
      <w:r>
        <w:rPr/>
        <w:t>purchases</w:t>
      </w:r>
      <w:r>
        <w:rPr>
          <w:spacing w:val="-6"/>
        </w:rPr>
        <w:t> </w:t>
      </w:r>
      <w:r>
        <w:rPr/>
        <w:t>of</w:t>
      </w:r>
      <w:r>
        <w:rPr>
          <w:spacing w:val="-7"/>
        </w:rPr>
        <w:t> </w:t>
      </w:r>
      <w:r>
        <w:rPr/>
        <w:t>long-term</w:t>
      </w:r>
      <w:r>
        <w:rPr>
          <w:spacing w:val="-7"/>
        </w:rPr>
        <w:t> </w:t>
      </w:r>
      <w:r>
        <w:rPr/>
        <w:t>investments</w:t>
      </w:r>
      <w:r>
        <w:rPr>
          <w:spacing w:val="-6"/>
        </w:rPr>
        <w:t> </w:t>
      </w:r>
      <w:r>
        <w:rPr/>
        <w:t>and</w:t>
      </w:r>
      <w:r>
        <w:rPr>
          <w:spacing w:val="-7"/>
        </w:rPr>
        <w:t> </w:t>
      </w:r>
      <w:r>
        <w:rPr/>
        <w:t>other assets, and</w:t>
      </w:r>
      <w:r>
        <w:rPr>
          <w:spacing w:val="-1"/>
        </w:rPr>
        <w:t> </w:t>
      </w:r>
      <w:r>
        <w:rPr/>
        <w:t>an immaterial</w:t>
      </w:r>
      <w:r>
        <w:rPr>
          <w:spacing w:val="-2"/>
        </w:rPr>
        <w:t> </w:t>
      </w:r>
      <w:r>
        <w:rPr/>
        <w:t>acquisition.</w:t>
      </w:r>
      <w:r>
        <w:rPr>
          <w:spacing w:val="-4"/>
        </w:rPr>
        <w:t> </w:t>
      </w:r>
      <w:r>
        <w:rPr/>
        <w:t>These</w:t>
      </w:r>
      <w:r>
        <w:rPr>
          <w:spacing w:val="-2"/>
        </w:rPr>
        <w:t> </w:t>
      </w:r>
      <w:r>
        <w:rPr/>
        <w:t>cash outflows</w:t>
      </w:r>
      <w:r>
        <w:rPr>
          <w:spacing w:val="-1"/>
        </w:rPr>
        <w:t> </w:t>
      </w:r>
      <w:r>
        <w:rPr/>
        <w:t>were</w:t>
      </w:r>
      <w:r>
        <w:rPr>
          <w:spacing w:val="-1"/>
        </w:rPr>
        <w:t> </w:t>
      </w:r>
      <w:r>
        <w:rPr/>
        <w:t>offset</w:t>
      </w:r>
      <w:r>
        <w:rPr>
          <w:spacing w:val="-2"/>
        </w:rPr>
        <w:t> </w:t>
      </w:r>
      <w:r>
        <w:rPr/>
        <w:t>in</w:t>
      </w:r>
      <w:r>
        <w:rPr>
          <w:spacing w:val="-1"/>
        </w:rPr>
        <w:t> </w:t>
      </w:r>
      <w:r>
        <w:rPr/>
        <w:t>part</w:t>
      </w:r>
      <w:r>
        <w:rPr>
          <w:spacing w:val="-2"/>
        </w:rPr>
        <w:t> </w:t>
      </w:r>
      <w:r>
        <w:rPr/>
        <w:t>by sales</w:t>
      </w:r>
      <w:r>
        <w:rPr>
          <w:spacing w:val="-1"/>
        </w:rPr>
        <w:t> </w:t>
      </w:r>
      <w:r>
        <w:rPr/>
        <w:t>and maturities</w:t>
      </w:r>
      <w:r>
        <w:rPr>
          <w:spacing w:val="-1"/>
        </w:rPr>
        <w:t> </w:t>
      </w:r>
      <w:r>
        <w:rPr/>
        <w:t>of short-term</w:t>
      </w:r>
      <w:r>
        <w:rPr>
          <w:spacing w:val="-2"/>
        </w:rPr>
        <w:t> </w:t>
      </w:r>
      <w:r>
        <w:rPr/>
        <w:t>investments.</w:t>
      </w:r>
    </w:p>
    <w:p>
      <w:pPr>
        <w:pStyle w:val="BodyText"/>
        <w:spacing w:line="249" w:lineRule="auto" w:before="183"/>
        <w:ind w:left="220" w:right="257" w:firstLine="540"/>
        <w:jc w:val="both"/>
      </w:pPr>
      <w:r>
        <w:rPr>
          <w:spacing w:val="-4"/>
        </w:rPr>
        <w:t>For fiscal 2015, net cash used for investing activities of $1.49 billion was primarily due to purchases of short-term investments </w:t>
      </w:r>
      <w:r>
        <w:rPr/>
        <w:t>and</w:t>
      </w:r>
      <w:r>
        <w:rPr>
          <w:spacing w:val="-2"/>
        </w:rPr>
        <w:t> </w:t>
      </w:r>
      <w:r>
        <w:rPr/>
        <w:t>our</w:t>
      </w:r>
      <w:r>
        <w:rPr>
          <w:spacing w:val="-3"/>
        </w:rPr>
        <w:t> </w:t>
      </w:r>
      <w:r>
        <w:rPr/>
        <w:t>acquisition</w:t>
      </w:r>
      <w:r>
        <w:rPr>
          <w:spacing w:val="-3"/>
        </w:rPr>
        <w:t> </w:t>
      </w:r>
      <w:r>
        <w:rPr/>
        <w:t>of</w:t>
      </w:r>
      <w:r>
        <w:rPr>
          <w:spacing w:val="-2"/>
        </w:rPr>
        <w:t> </w:t>
      </w:r>
      <w:r>
        <w:rPr/>
        <w:t>Fotolia.</w:t>
      </w:r>
      <w:r>
        <w:rPr>
          <w:spacing w:val="-3"/>
        </w:rPr>
        <w:t> </w:t>
      </w:r>
      <w:r>
        <w:rPr/>
        <w:t>Other</w:t>
      </w:r>
      <w:r>
        <w:rPr>
          <w:spacing w:val="-3"/>
        </w:rPr>
        <w:t> </w:t>
      </w:r>
      <w:r>
        <w:rPr/>
        <w:t>uses</w:t>
      </w:r>
      <w:r>
        <w:rPr>
          <w:spacing w:val="-2"/>
        </w:rPr>
        <w:t> </w:t>
      </w:r>
      <w:r>
        <w:rPr/>
        <w:t>of</w:t>
      </w:r>
      <w:r>
        <w:rPr>
          <w:spacing w:val="-2"/>
        </w:rPr>
        <w:t> </w:t>
      </w:r>
      <w:r>
        <w:rPr/>
        <w:t>cash</w:t>
      </w:r>
      <w:r>
        <w:rPr>
          <w:spacing w:val="-3"/>
        </w:rPr>
        <w:t> </w:t>
      </w:r>
      <w:r>
        <w:rPr/>
        <w:t>during</w:t>
      </w:r>
      <w:r>
        <w:rPr>
          <w:spacing w:val="-2"/>
        </w:rPr>
        <w:t> </w:t>
      </w:r>
      <w:r>
        <w:rPr/>
        <w:t>fiscal</w:t>
      </w:r>
      <w:r>
        <w:rPr>
          <w:spacing w:val="-3"/>
        </w:rPr>
        <w:t> </w:t>
      </w:r>
      <w:r>
        <w:rPr/>
        <w:t>2015</w:t>
      </w:r>
      <w:r>
        <w:rPr>
          <w:spacing w:val="-2"/>
        </w:rPr>
        <w:t> </w:t>
      </w:r>
      <w:r>
        <w:rPr/>
        <w:t>represented</w:t>
      </w:r>
      <w:r>
        <w:rPr>
          <w:spacing w:val="-3"/>
        </w:rPr>
        <w:t> </w:t>
      </w:r>
      <w:r>
        <w:rPr/>
        <w:t>purchases</w:t>
      </w:r>
      <w:r>
        <w:rPr>
          <w:spacing w:val="-2"/>
        </w:rPr>
        <w:t> </w:t>
      </w:r>
      <w:r>
        <w:rPr/>
        <w:t>of</w:t>
      </w:r>
      <w:r>
        <w:rPr>
          <w:spacing w:val="-2"/>
        </w:rPr>
        <w:t> </w:t>
      </w:r>
      <w:r>
        <w:rPr/>
        <w:t>property</w:t>
      </w:r>
      <w:r>
        <w:rPr>
          <w:spacing w:val="-3"/>
        </w:rPr>
        <w:t> </w:t>
      </w:r>
      <w:r>
        <w:rPr/>
        <w:t>and</w:t>
      </w:r>
      <w:r>
        <w:rPr>
          <w:spacing w:val="-2"/>
        </w:rPr>
        <w:t> </w:t>
      </w:r>
      <w:r>
        <w:rPr/>
        <w:t>equipment</w:t>
      </w:r>
      <w:r>
        <w:rPr>
          <w:spacing w:val="-3"/>
        </w:rPr>
        <w:t> </w:t>
      </w:r>
      <w:r>
        <w:rPr/>
        <w:t>and</w:t>
      </w:r>
      <w:r>
        <w:rPr>
          <w:spacing w:val="-3"/>
        </w:rPr>
        <w:t> </w:t>
      </w:r>
      <w:r>
        <w:rPr/>
        <w:t>long- term</w:t>
      </w:r>
      <w:r>
        <w:rPr>
          <w:spacing w:val="-3"/>
        </w:rPr>
        <w:t> </w:t>
      </w:r>
      <w:r>
        <w:rPr/>
        <w:t>investments</w:t>
      </w:r>
      <w:r>
        <w:rPr>
          <w:spacing w:val="-2"/>
        </w:rPr>
        <w:t> </w:t>
      </w:r>
      <w:r>
        <w:rPr/>
        <w:t>and</w:t>
      </w:r>
      <w:r>
        <w:rPr>
          <w:spacing w:val="-3"/>
        </w:rPr>
        <w:t> </w:t>
      </w:r>
      <w:r>
        <w:rPr/>
        <w:t>other</w:t>
      </w:r>
      <w:r>
        <w:rPr>
          <w:spacing w:val="-3"/>
        </w:rPr>
        <w:t> </w:t>
      </w:r>
      <w:r>
        <w:rPr/>
        <w:t>assets.</w:t>
      </w:r>
      <w:r>
        <w:rPr>
          <w:spacing w:val="-6"/>
        </w:rPr>
        <w:t> </w:t>
      </w:r>
      <w:r>
        <w:rPr/>
        <w:t>These</w:t>
      </w:r>
      <w:r>
        <w:rPr>
          <w:spacing w:val="-3"/>
        </w:rPr>
        <w:t> </w:t>
      </w:r>
      <w:r>
        <w:rPr/>
        <w:t>cash</w:t>
      </w:r>
      <w:r>
        <w:rPr>
          <w:spacing w:val="-3"/>
        </w:rPr>
        <w:t> </w:t>
      </w:r>
      <w:r>
        <w:rPr/>
        <w:t>outflows</w:t>
      </w:r>
      <w:r>
        <w:rPr>
          <w:spacing w:val="-3"/>
        </w:rPr>
        <w:t> </w:t>
      </w:r>
      <w:r>
        <w:rPr/>
        <w:t>were</w:t>
      </w:r>
      <w:r>
        <w:rPr>
          <w:spacing w:val="-3"/>
        </w:rPr>
        <w:t> </w:t>
      </w:r>
      <w:r>
        <w:rPr/>
        <w:t>offset</w:t>
      </w:r>
      <w:r>
        <w:rPr>
          <w:spacing w:val="-3"/>
        </w:rPr>
        <w:t> </w:t>
      </w:r>
      <w:r>
        <w:rPr/>
        <w:t>in</w:t>
      </w:r>
      <w:r>
        <w:rPr>
          <w:spacing w:val="-3"/>
        </w:rPr>
        <w:t> </w:t>
      </w:r>
      <w:r>
        <w:rPr/>
        <w:t>part</w:t>
      </w:r>
      <w:r>
        <w:rPr>
          <w:spacing w:val="-3"/>
        </w:rPr>
        <w:t> </w:t>
      </w:r>
      <w:r>
        <w:rPr/>
        <w:t>by</w:t>
      </w:r>
      <w:r>
        <w:rPr>
          <w:spacing w:val="-3"/>
        </w:rPr>
        <w:t> </w:t>
      </w:r>
      <w:r>
        <w:rPr/>
        <w:t>sales</w:t>
      </w:r>
      <w:r>
        <w:rPr>
          <w:spacing w:val="-3"/>
        </w:rPr>
        <w:t> </w:t>
      </w:r>
      <w:r>
        <w:rPr/>
        <w:t>and</w:t>
      </w:r>
      <w:r>
        <w:rPr>
          <w:spacing w:val="-3"/>
        </w:rPr>
        <w:t> </w:t>
      </w:r>
      <w:r>
        <w:rPr/>
        <w:t>maturities</w:t>
      </w:r>
      <w:r>
        <w:rPr>
          <w:spacing w:val="-3"/>
        </w:rPr>
        <w:t> </w:t>
      </w:r>
      <w:r>
        <w:rPr/>
        <w:t>of</w:t>
      </w:r>
      <w:r>
        <w:rPr>
          <w:spacing w:val="-3"/>
        </w:rPr>
        <w:t> </w:t>
      </w:r>
      <w:r>
        <w:rPr/>
        <w:t>short-term</w:t>
      </w:r>
      <w:r>
        <w:rPr>
          <w:spacing w:val="-3"/>
        </w:rPr>
        <w:t> </w:t>
      </w:r>
      <w:r>
        <w:rPr/>
        <w:t>investments</w:t>
      </w:r>
      <w:r>
        <w:rPr>
          <w:spacing w:val="-2"/>
        </w:rPr>
        <w:t> </w:t>
      </w:r>
      <w:r>
        <w:rPr/>
        <w:t>and proceeds received from the sale of certain property assets.</w:t>
      </w:r>
    </w:p>
    <w:p>
      <w:pPr>
        <w:spacing w:line="249" w:lineRule="auto" w:before="183"/>
        <w:ind w:left="220" w:right="258" w:firstLine="540"/>
        <w:jc w:val="both"/>
        <w:rPr>
          <w:i/>
          <w:sz w:val="20"/>
        </w:rPr>
      </w:pPr>
      <w:hyperlink w:history="true" w:anchor="_bookmark23">
        <w:r>
          <w:rPr>
            <w:i/>
            <w:sz w:val="20"/>
          </w:rPr>
          <w:t>See</w:t>
        </w:r>
        <w:r>
          <w:rPr>
            <w:i/>
            <w:spacing w:val="-9"/>
            <w:sz w:val="20"/>
          </w:rPr>
          <w:t> </w:t>
        </w:r>
        <w:r>
          <w:rPr>
            <w:i/>
            <w:sz w:val="20"/>
          </w:rPr>
          <w:t>Note</w:t>
        </w:r>
        <w:r>
          <w:rPr>
            <w:i/>
            <w:spacing w:val="-9"/>
            <w:sz w:val="20"/>
          </w:rPr>
          <w:t> </w:t>
        </w:r>
        <w:r>
          <w:rPr>
            <w:i/>
            <w:sz w:val="20"/>
          </w:rPr>
          <w:t>2</w:t>
        </w:r>
      </w:hyperlink>
      <w:r>
        <w:rPr>
          <w:i/>
          <w:spacing w:val="-9"/>
          <w:sz w:val="20"/>
        </w:rPr>
        <w:t> </w:t>
      </w:r>
      <w:r>
        <w:rPr>
          <w:i/>
          <w:sz w:val="20"/>
        </w:rPr>
        <w:t>and</w:t>
      </w:r>
      <w:r>
        <w:rPr>
          <w:i/>
          <w:spacing w:val="-9"/>
          <w:sz w:val="20"/>
        </w:rPr>
        <w:t> </w:t>
      </w:r>
      <w:hyperlink w:history="true" w:anchor="_bookmark27">
        <w:r>
          <w:rPr>
            <w:i/>
            <w:sz w:val="20"/>
          </w:rPr>
          <w:t>Note</w:t>
        </w:r>
        <w:r>
          <w:rPr>
            <w:i/>
            <w:spacing w:val="-9"/>
            <w:sz w:val="20"/>
          </w:rPr>
          <w:t> </w:t>
        </w:r>
        <w:r>
          <w:rPr>
            <w:i/>
            <w:sz w:val="20"/>
          </w:rPr>
          <w:t>6</w:t>
        </w:r>
      </w:hyperlink>
      <w:r>
        <w:rPr>
          <w:i/>
          <w:spacing w:val="-9"/>
          <w:sz w:val="20"/>
        </w:rPr>
        <w:t> </w:t>
      </w:r>
      <w:r>
        <w:rPr>
          <w:i/>
          <w:sz w:val="20"/>
        </w:rPr>
        <w:t>of</w:t>
      </w:r>
      <w:r>
        <w:rPr>
          <w:i/>
          <w:spacing w:val="-9"/>
          <w:sz w:val="20"/>
        </w:rPr>
        <w:t> </w:t>
      </w:r>
      <w:r>
        <w:rPr>
          <w:i/>
          <w:sz w:val="20"/>
        </w:rPr>
        <w:t>our</w:t>
      </w:r>
      <w:r>
        <w:rPr>
          <w:i/>
          <w:spacing w:val="-9"/>
          <w:sz w:val="20"/>
        </w:rPr>
        <w:t> </w:t>
      </w:r>
      <w:r>
        <w:rPr>
          <w:i/>
          <w:sz w:val="20"/>
        </w:rPr>
        <w:t>Consolidated</w:t>
      </w:r>
      <w:r>
        <w:rPr>
          <w:i/>
          <w:spacing w:val="-9"/>
          <w:sz w:val="20"/>
        </w:rPr>
        <w:t> </w:t>
      </w:r>
      <w:r>
        <w:rPr>
          <w:i/>
          <w:sz w:val="20"/>
        </w:rPr>
        <w:t>Financial</w:t>
      </w:r>
      <w:r>
        <w:rPr>
          <w:i/>
          <w:spacing w:val="-10"/>
          <w:sz w:val="20"/>
        </w:rPr>
        <w:t> </w:t>
      </w:r>
      <w:r>
        <w:rPr>
          <w:i/>
          <w:sz w:val="20"/>
        </w:rPr>
        <w:t>Statements</w:t>
      </w:r>
      <w:r>
        <w:rPr>
          <w:i/>
          <w:spacing w:val="-9"/>
          <w:sz w:val="20"/>
        </w:rPr>
        <w:t> </w:t>
      </w:r>
      <w:r>
        <w:rPr>
          <w:i/>
          <w:sz w:val="20"/>
        </w:rPr>
        <w:t>for</w:t>
      </w:r>
      <w:r>
        <w:rPr>
          <w:i/>
          <w:spacing w:val="-9"/>
          <w:sz w:val="20"/>
        </w:rPr>
        <w:t> </w:t>
      </w:r>
      <w:r>
        <w:rPr>
          <w:i/>
          <w:sz w:val="20"/>
        </w:rPr>
        <w:t>more</w:t>
      </w:r>
      <w:r>
        <w:rPr>
          <w:i/>
          <w:spacing w:val="-9"/>
          <w:sz w:val="20"/>
        </w:rPr>
        <w:t> </w:t>
      </w:r>
      <w:r>
        <w:rPr>
          <w:i/>
          <w:sz w:val="20"/>
        </w:rPr>
        <w:t>detailed</w:t>
      </w:r>
      <w:r>
        <w:rPr>
          <w:i/>
          <w:spacing w:val="-9"/>
          <w:sz w:val="20"/>
        </w:rPr>
        <w:t> </w:t>
      </w:r>
      <w:r>
        <w:rPr>
          <w:i/>
          <w:sz w:val="20"/>
        </w:rPr>
        <w:t>information</w:t>
      </w:r>
      <w:r>
        <w:rPr>
          <w:i/>
          <w:spacing w:val="-9"/>
          <w:sz w:val="20"/>
        </w:rPr>
        <w:t> </w:t>
      </w:r>
      <w:r>
        <w:rPr>
          <w:i/>
          <w:sz w:val="20"/>
        </w:rPr>
        <w:t>regarding</w:t>
      </w:r>
      <w:r>
        <w:rPr>
          <w:i/>
          <w:spacing w:val="-9"/>
          <w:sz w:val="20"/>
        </w:rPr>
        <w:t> </w:t>
      </w:r>
      <w:r>
        <w:rPr>
          <w:i/>
          <w:sz w:val="20"/>
        </w:rPr>
        <w:t>our</w:t>
      </w:r>
      <w:r>
        <w:rPr>
          <w:i/>
          <w:spacing w:val="-9"/>
          <w:sz w:val="20"/>
        </w:rPr>
        <w:t> </w:t>
      </w:r>
      <w:r>
        <w:rPr>
          <w:i/>
          <w:sz w:val="20"/>
        </w:rPr>
        <w:t>acquisitions and the Almaden Tower purchase, respectively.</w:t>
      </w:r>
    </w:p>
    <w:p>
      <w:pPr>
        <w:spacing w:before="182"/>
        <w:ind w:left="220" w:right="0" w:firstLine="0"/>
        <w:jc w:val="left"/>
        <w:rPr>
          <w:i/>
          <w:sz w:val="20"/>
        </w:rPr>
      </w:pPr>
      <w:r>
        <w:rPr>
          <w:i/>
          <w:sz w:val="20"/>
        </w:rPr>
        <w:t>Cash</w:t>
      </w:r>
      <w:r>
        <w:rPr>
          <w:i/>
          <w:spacing w:val="-5"/>
          <w:sz w:val="20"/>
        </w:rPr>
        <w:t> </w:t>
      </w:r>
      <w:r>
        <w:rPr>
          <w:i/>
          <w:sz w:val="20"/>
        </w:rPr>
        <w:t>Flows</w:t>
      </w:r>
      <w:r>
        <w:rPr>
          <w:i/>
          <w:spacing w:val="-4"/>
          <w:sz w:val="20"/>
        </w:rPr>
        <w:t> </w:t>
      </w:r>
      <w:r>
        <w:rPr>
          <w:i/>
          <w:sz w:val="20"/>
        </w:rPr>
        <w:t>from</w:t>
      </w:r>
      <w:r>
        <w:rPr>
          <w:i/>
          <w:spacing w:val="-3"/>
          <w:sz w:val="20"/>
        </w:rPr>
        <w:t> </w:t>
      </w:r>
      <w:r>
        <w:rPr>
          <w:i/>
          <w:sz w:val="20"/>
        </w:rPr>
        <w:t>Financing</w:t>
      </w:r>
      <w:r>
        <w:rPr>
          <w:i/>
          <w:spacing w:val="-7"/>
          <w:sz w:val="20"/>
        </w:rPr>
        <w:t> </w:t>
      </w:r>
      <w:r>
        <w:rPr>
          <w:i/>
          <w:spacing w:val="-2"/>
          <w:sz w:val="20"/>
        </w:rPr>
        <w:t>Activities</w:t>
      </w:r>
    </w:p>
    <w:p>
      <w:pPr>
        <w:pStyle w:val="BodyText"/>
        <w:spacing w:line="249" w:lineRule="auto" w:before="190"/>
        <w:ind w:left="220" w:right="257" w:firstLine="540"/>
        <w:jc w:val="both"/>
      </w:pPr>
      <w:r>
        <w:rPr/>
        <w:t>For</w:t>
      </w:r>
      <w:r>
        <w:rPr>
          <w:spacing w:val="31"/>
        </w:rPr>
        <w:t> </w:t>
      </w:r>
      <w:r>
        <w:rPr/>
        <w:t>fiscal</w:t>
      </w:r>
      <w:r>
        <w:rPr>
          <w:spacing w:val="-10"/>
        </w:rPr>
        <w:t> </w:t>
      </w:r>
      <w:r>
        <w:rPr/>
        <w:t>2017,</w:t>
      </w:r>
      <w:r>
        <w:rPr>
          <w:spacing w:val="-10"/>
        </w:rPr>
        <w:t> </w:t>
      </w:r>
      <w:r>
        <w:rPr/>
        <w:t>net</w:t>
      </w:r>
      <w:r>
        <w:rPr>
          <w:spacing w:val="-10"/>
        </w:rPr>
        <w:t> </w:t>
      </w:r>
      <w:r>
        <w:rPr/>
        <w:t>cash</w:t>
      </w:r>
      <w:r>
        <w:rPr>
          <w:spacing w:val="-10"/>
        </w:rPr>
        <w:t> </w:t>
      </w:r>
      <w:r>
        <w:rPr/>
        <w:t>used</w:t>
      </w:r>
      <w:r>
        <w:rPr>
          <w:spacing w:val="-10"/>
        </w:rPr>
        <w:t> </w:t>
      </w:r>
      <w:r>
        <w:rPr/>
        <w:t>for</w:t>
      </w:r>
      <w:r>
        <w:rPr>
          <w:spacing w:val="-10"/>
        </w:rPr>
        <w:t> </w:t>
      </w:r>
      <w:r>
        <w:rPr/>
        <w:t>financing</w:t>
      </w:r>
      <w:r>
        <w:rPr>
          <w:spacing w:val="-10"/>
        </w:rPr>
        <w:t> </w:t>
      </w:r>
      <w:r>
        <w:rPr/>
        <w:t>activities</w:t>
      </w:r>
      <w:r>
        <w:rPr>
          <w:spacing w:val="-10"/>
        </w:rPr>
        <w:t> </w:t>
      </w:r>
      <w:r>
        <w:rPr/>
        <w:t>of</w:t>
      </w:r>
      <w:r>
        <w:rPr>
          <w:spacing w:val="-10"/>
        </w:rPr>
        <w:t> </w:t>
      </w:r>
      <w:r>
        <w:rPr/>
        <w:t>$1.18</w:t>
      </w:r>
      <w:r>
        <w:rPr>
          <w:spacing w:val="-10"/>
        </w:rPr>
        <w:t> </w:t>
      </w:r>
      <w:r>
        <w:rPr/>
        <w:t>billion</w:t>
      </w:r>
      <w:r>
        <w:rPr>
          <w:spacing w:val="-10"/>
        </w:rPr>
        <w:t> </w:t>
      </w:r>
      <w:r>
        <w:rPr/>
        <w:t>was</w:t>
      </w:r>
      <w:r>
        <w:rPr>
          <w:spacing w:val="-10"/>
        </w:rPr>
        <w:t> </w:t>
      </w:r>
      <w:r>
        <w:rPr/>
        <w:t>primarily</w:t>
      </w:r>
      <w:r>
        <w:rPr>
          <w:spacing w:val="-10"/>
        </w:rPr>
        <w:t> </w:t>
      </w:r>
      <w:r>
        <w:rPr/>
        <w:t>due</w:t>
      </w:r>
      <w:r>
        <w:rPr>
          <w:spacing w:val="-10"/>
        </w:rPr>
        <w:t> </w:t>
      </w:r>
      <w:r>
        <w:rPr/>
        <w:t>to</w:t>
      </w:r>
      <w:r>
        <w:rPr>
          <w:spacing w:val="-10"/>
        </w:rPr>
        <w:t> </w:t>
      </w:r>
      <w:r>
        <w:rPr/>
        <w:t>payments</w:t>
      </w:r>
      <w:r>
        <w:rPr>
          <w:spacing w:val="-10"/>
        </w:rPr>
        <w:t> </w:t>
      </w:r>
      <w:r>
        <w:rPr/>
        <w:t>for</w:t>
      </w:r>
      <w:r>
        <w:rPr>
          <w:spacing w:val="-10"/>
        </w:rPr>
        <w:t> </w:t>
      </w:r>
      <w:r>
        <w:rPr/>
        <w:t>our</w:t>
      </w:r>
      <w:r>
        <w:rPr>
          <w:spacing w:val="-10"/>
        </w:rPr>
        <w:t> </w:t>
      </w:r>
      <w:r>
        <w:rPr/>
        <w:t>treasury</w:t>
      </w:r>
      <w:r>
        <w:rPr>
          <w:spacing w:val="-10"/>
        </w:rPr>
        <w:t> </w:t>
      </w:r>
      <w:r>
        <w:rPr/>
        <w:t>stock repurchases</w:t>
      </w:r>
      <w:r>
        <w:rPr>
          <w:spacing w:val="-12"/>
        </w:rPr>
        <w:t> </w:t>
      </w:r>
      <w:r>
        <w:rPr/>
        <w:t>and</w:t>
      </w:r>
      <w:r>
        <w:rPr>
          <w:spacing w:val="-11"/>
        </w:rPr>
        <w:t> </w:t>
      </w:r>
      <w:r>
        <w:rPr/>
        <w:t>costs</w:t>
      </w:r>
      <w:r>
        <w:rPr>
          <w:spacing w:val="-11"/>
        </w:rPr>
        <w:t> </w:t>
      </w:r>
      <w:r>
        <w:rPr/>
        <w:t>associated</w:t>
      </w:r>
      <w:r>
        <w:rPr>
          <w:spacing w:val="-12"/>
        </w:rPr>
        <w:t> </w:t>
      </w:r>
      <w:r>
        <w:rPr/>
        <w:t>with</w:t>
      </w:r>
      <w:r>
        <w:rPr>
          <w:spacing w:val="-11"/>
        </w:rPr>
        <w:t> </w:t>
      </w:r>
      <w:r>
        <w:rPr/>
        <w:t>the</w:t>
      </w:r>
      <w:r>
        <w:rPr>
          <w:spacing w:val="-11"/>
        </w:rPr>
        <w:t> </w:t>
      </w:r>
      <w:r>
        <w:rPr/>
        <w:t>issuance</w:t>
      </w:r>
      <w:r>
        <w:rPr>
          <w:spacing w:val="-12"/>
        </w:rPr>
        <w:t> </w:t>
      </w:r>
      <w:r>
        <w:rPr/>
        <w:t>of</w:t>
      </w:r>
      <w:r>
        <w:rPr>
          <w:spacing w:val="-11"/>
        </w:rPr>
        <w:t> </w:t>
      </w:r>
      <w:r>
        <w:rPr/>
        <w:t>treasury</w:t>
      </w:r>
      <w:r>
        <w:rPr>
          <w:spacing w:val="-12"/>
        </w:rPr>
        <w:t> </w:t>
      </w:r>
      <w:r>
        <w:rPr/>
        <w:t>stock,</w:t>
      </w:r>
      <w:r>
        <w:rPr>
          <w:spacing w:val="-11"/>
        </w:rPr>
        <w:t> </w:t>
      </w:r>
      <w:r>
        <w:rPr/>
        <w:t>offset</w:t>
      </w:r>
      <w:r>
        <w:rPr>
          <w:spacing w:val="-11"/>
        </w:rPr>
        <w:t> </w:t>
      </w:r>
      <w:r>
        <w:rPr/>
        <w:t>in</w:t>
      </w:r>
      <w:r>
        <w:rPr>
          <w:spacing w:val="-12"/>
        </w:rPr>
        <w:t> </w:t>
      </w:r>
      <w:r>
        <w:rPr/>
        <w:t>part</w:t>
      </w:r>
      <w:r>
        <w:rPr>
          <w:spacing w:val="-12"/>
        </w:rPr>
        <w:t> </w:t>
      </w:r>
      <w:r>
        <w:rPr/>
        <w:t>by</w:t>
      </w:r>
      <w:r>
        <w:rPr>
          <w:spacing w:val="-11"/>
        </w:rPr>
        <w:t> </w:t>
      </w:r>
      <w:r>
        <w:rPr/>
        <w:t>proceeds</w:t>
      </w:r>
      <w:r>
        <w:rPr>
          <w:spacing w:val="-11"/>
        </w:rPr>
        <w:t> </w:t>
      </w:r>
      <w:r>
        <w:rPr/>
        <w:t>from</w:t>
      </w:r>
      <w:r>
        <w:rPr>
          <w:spacing w:val="-12"/>
        </w:rPr>
        <w:t> </w:t>
      </w:r>
      <w:r>
        <w:rPr/>
        <w:t>the</w:t>
      </w:r>
      <w:r>
        <w:rPr>
          <w:spacing w:val="-11"/>
        </w:rPr>
        <w:t> </w:t>
      </w:r>
      <w:r>
        <w:rPr/>
        <w:t>issuance</w:t>
      </w:r>
      <w:r>
        <w:rPr>
          <w:spacing w:val="-12"/>
        </w:rPr>
        <w:t> </w:t>
      </w:r>
      <w:r>
        <w:rPr/>
        <w:t>of</w:t>
      </w:r>
      <w:r>
        <w:rPr>
          <w:spacing w:val="-11"/>
        </w:rPr>
        <w:t> </w:t>
      </w:r>
      <w:r>
        <w:rPr/>
        <w:t>treasury</w:t>
      </w:r>
      <w:r>
        <w:rPr>
          <w:spacing w:val="-11"/>
        </w:rPr>
        <w:t> </w:t>
      </w:r>
      <w:r>
        <w:rPr>
          <w:spacing w:val="-2"/>
        </w:rPr>
        <w:t>stock.</w:t>
      </w:r>
    </w:p>
    <w:p>
      <w:pPr>
        <w:pStyle w:val="BodyText"/>
        <w:spacing w:line="249" w:lineRule="auto" w:before="161"/>
        <w:ind w:left="220" w:right="257" w:firstLine="540"/>
        <w:jc w:val="both"/>
      </w:pPr>
      <w:r>
        <w:rPr/>
        <w:t>For</w:t>
      </w:r>
      <w:r>
        <w:rPr>
          <w:spacing w:val="31"/>
        </w:rPr>
        <w:t> </w:t>
      </w:r>
      <w:r>
        <w:rPr/>
        <w:t>fiscal</w:t>
      </w:r>
      <w:r>
        <w:rPr>
          <w:spacing w:val="-10"/>
        </w:rPr>
        <w:t> </w:t>
      </w:r>
      <w:r>
        <w:rPr/>
        <w:t>2016,</w:t>
      </w:r>
      <w:r>
        <w:rPr>
          <w:spacing w:val="-10"/>
        </w:rPr>
        <w:t> </w:t>
      </w:r>
      <w:r>
        <w:rPr/>
        <w:t>net</w:t>
      </w:r>
      <w:r>
        <w:rPr>
          <w:spacing w:val="-10"/>
        </w:rPr>
        <w:t> </w:t>
      </w:r>
      <w:r>
        <w:rPr/>
        <w:t>cash</w:t>
      </w:r>
      <w:r>
        <w:rPr>
          <w:spacing w:val="-10"/>
        </w:rPr>
        <w:t> </w:t>
      </w:r>
      <w:r>
        <w:rPr/>
        <w:t>used</w:t>
      </w:r>
      <w:r>
        <w:rPr>
          <w:spacing w:val="-10"/>
        </w:rPr>
        <w:t> </w:t>
      </w:r>
      <w:r>
        <w:rPr/>
        <w:t>for</w:t>
      </w:r>
      <w:r>
        <w:rPr>
          <w:spacing w:val="-10"/>
        </w:rPr>
        <w:t> </w:t>
      </w:r>
      <w:r>
        <w:rPr/>
        <w:t>financing</w:t>
      </w:r>
      <w:r>
        <w:rPr>
          <w:spacing w:val="-10"/>
        </w:rPr>
        <w:t> </w:t>
      </w:r>
      <w:r>
        <w:rPr/>
        <w:t>activities</w:t>
      </w:r>
      <w:r>
        <w:rPr>
          <w:spacing w:val="-10"/>
        </w:rPr>
        <w:t> </w:t>
      </w:r>
      <w:r>
        <w:rPr/>
        <w:t>of</w:t>
      </w:r>
      <w:r>
        <w:rPr>
          <w:spacing w:val="-10"/>
        </w:rPr>
        <w:t> </w:t>
      </w:r>
      <w:r>
        <w:rPr/>
        <w:t>$1.09</w:t>
      </w:r>
      <w:r>
        <w:rPr>
          <w:spacing w:val="-10"/>
        </w:rPr>
        <w:t> </w:t>
      </w:r>
      <w:r>
        <w:rPr/>
        <w:t>billion</w:t>
      </w:r>
      <w:r>
        <w:rPr>
          <w:spacing w:val="-10"/>
        </w:rPr>
        <w:t> </w:t>
      </w:r>
      <w:r>
        <w:rPr/>
        <w:t>was</w:t>
      </w:r>
      <w:r>
        <w:rPr>
          <w:spacing w:val="-10"/>
        </w:rPr>
        <w:t> </w:t>
      </w:r>
      <w:r>
        <w:rPr/>
        <w:t>primarily</w:t>
      </w:r>
      <w:r>
        <w:rPr>
          <w:spacing w:val="-10"/>
        </w:rPr>
        <w:t> </w:t>
      </w:r>
      <w:r>
        <w:rPr/>
        <w:t>due</w:t>
      </w:r>
      <w:r>
        <w:rPr>
          <w:spacing w:val="-10"/>
        </w:rPr>
        <w:t> </w:t>
      </w:r>
      <w:r>
        <w:rPr/>
        <w:t>to</w:t>
      </w:r>
      <w:r>
        <w:rPr>
          <w:spacing w:val="-10"/>
        </w:rPr>
        <w:t> </w:t>
      </w:r>
      <w:r>
        <w:rPr/>
        <w:t>payments</w:t>
      </w:r>
      <w:r>
        <w:rPr>
          <w:spacing w:val="-10"/>
        </w:rPr>
        <w:t> </w:t>
      </w:r>
      <w:r>
        <w:rPr/>
        <w:t>for</w:t>
      </w:r>
      <w:r>
        <w:rPr>
          <w:spacing w:val="-10"/>
        </w:rPr>
        <w:t> </w:t>
      </w:r>
      <w:r>
        <w:rPr/>
        <w:t>our</w:t>
      </w:r>
      <w:r>
        <w:rPr>
          <w:spacing w:val="-10"/>
        </w:rPr>
        <w:t> </w:t>
      </w:r>
      <w:r>
        <w:rPr/>
        <w:t>treasury</w:t>
      </w:r>
      <w:r>
        <w:rPr>
          <w:spacing w:val="-10"/>
        </w:rPr>
        <w:t> </w:t>
      </w:r>
      <w:r>
        <w:rPr/>
        <w:t>stock repurchases</w:t>
      </w:r>
      <w:r>
        <w:rPr>
          <w:spacing w:val="-10"/>
        </w:rPr>
        <w:t> </w:t>
      </w:r>
      <w:r>
        <w:rPr/>
        <w:t>and</w:t>
      </w:r>
      <w:r>
        <w:rPr>
          <w:spacing w:val="-10"/>
        </w:rPr>
        <w:t> </w:t>
      </w:r>
      <w:r>
        <w:rPr/>
        <w:t>costs</w:t>
      </w:r>
      <w:r>
        <w:rPr>
          <w:spacing w:val="-10"/>
        </w:rPr>
        <w:t> </w:t>
      </w:r>
      <w:r>
        <w:rPr/>
        <w:t>associated</w:t>
      </w:r>
      <w:r>
        <w:rPr>
          <w:spacing w:val="-10"/>
        </w:rPr>
        <w:t> </w:t>
      </w:r>
      <w:r>
        <w:rPr/>
        <w:t>with</w:t>
      </w:r>
      <w:r>
        <w:rPr>
          <w:spacing w:val="-10"/>
        </w:rPr>
        <w:t> </w:t>
      </w:r>
      <w:r>
        <w:rPr/>
        <w:t>the</w:t>
      </w:r>
      <w:r>
        <w:rPr>
          <w:spacing w:val="-10"/>
        </w:rPr>
        <w:t> </w:t>
      </w:r>
      <w:r>
        <w:rPr/>
        <w:t>issuance</w:t>
      </w:r>
      <w:r>
        <w:rPr>
          <w:spacing w:val="-10"/>
        </w:rPr>
        <w:t> </w:t>
      </w:r>
      <w:r>
        <w:rPr/>
        <w:t>of</w:t>
      </w:r>
      <w:r>
        <w:rPr>
          <w:spacing w:val="-10"/>
        </w:rPr>
        <w:t> </w:t>
      </w:r>
      <w:r>
        <w:rPr/>
        <w:t>treasury</w:t>
      </w:r>
      <w:r>
        <w:rPr>
          <w:spacing w:val="-10"/>
        </w:rPr>
        <w:t> </w:t>
      </w:r>
      <w:r>
        <w:rPr/>
        <w:t>stock,</w:t>
      </w:r>
      <w:r>
        <w:rPr>
          <w:spacing w:val="-10"/>
        </w:rPr>
        <w:t> </w:t>
      </w:r>
      <w:r>
        <w:rPr/>
        <w:t>offset</w:t>
      </w:r>
      <w:r>
        <w:rPr>
          <w:spacing w:val="-10"/>
        </w:rPr>
        <w:t> </w:t>
      </w:r>
      <w:r>
        <w:rPr/>
        <w:t>in</w:t>
      </w:r>
      <w:r>
        <w:rPr>
          <w:spacing w:val="-10"/>
        </w:rPr>
        <w:t> </w:t>
      </w:r>
      <w:r>
        <w:rPr/>
        <w:t>part</w:t>
      </w:r>
      <w:r>
        <w:rPr>
          <w:spacing w:val="-10"/>
        </w:rPr>
        <w:t> </w:t>
      </w:r>
      <w:r>
        <w:rPr/>
        <w:t>by</w:t>
      </w:r>
      <w:r>
        <w:rPr>
          <w:spacing w:val="-10"/>
        </w:rPr>
        <w:t> </w:t>
      </w:r>
      <w:r>
        <w:rPr/>
        <w:t>proceeds</w:t>
      </w:r>
      <w:r>
        <w:rPr>
          <w:spacing w:val="-10"/>
        </w:rPr>
        <w:t> </w:t>
      </w:r>
      <w:r>
        <w:rPr/>
        <w:t>from</w:t>
      </w:r>
      <w:r>
        <w:rPr>
          <w:spacing w:val="-10"/>
        </w:rPr>
        <w:t> </w:t>
      </w:r>
      <w:r>
        <w:rPr/>
        <w:t>the</w:t>
      </w:r>
      <w:r>
        <w:rPr>
          <w:spacing w:val="-10"/>
        </w:rPr>
        <w:t> </w:t>
      </w:r>
      <w:r>
        <w:rPr/>
        <w:t>issuance</w:t>
      </w:r>
      <w:r>
        <w:rPr>
          <w:spacing w:val="-10"/>
        </w:rPr>
        <w:t> </w:t>
      </w:r>
      <w:r>
        <w:rPr/>
        <w:t>of</w:t>
      </w:r>
      <w:r>
        <w:rPr>
          <w:spacing w:val="-10"/>
        </w:rPr>
        <w:t> </w:t>
      </w:r>
      <w:r>
        <w:rPr/>
        <w:t>treasury</w:t>
      </w:r>
      <w:r>
        <w:rPr>
          <w:spacing w:val="-10"/>
        </w:rPr>
        <w:t> </w:t>
      </w:r>
      <w:r>
        <w:rPr/>
        <w:t>stock and excess tax benefits from stock-based compensation.</w:t>
      </w:r>
    </w:p>
    <w:p>
      <w:pPr>
        <w:pStyle w:val="BodyText"/>
        <w:spacing w:before="13"/>
      </w:pPr>
    </w:p>
    <w:p>
      <w:pPr>
        <w:pStyle w:val="BodyText"/>
        <w:spacing w:line="249" w:lineRule="auto"/>
        <w:ind w:left="220" w:right="257" w:firstLine="540"/>
        <w:jc w:val="both"/>
      </w:pPr>
      <w:r>
        <w:rPr/>
        <w:t>In</w:t>
      </w:r>
      <w:r>
        <w:rPr>
          <w:spacing w:val="-4"/>
        </w:rPr>
        <w:t> </w:t>
      </w:r>
      <w:r>
        <w:rPr/>
        <w:t>January</w:t>
      </w:r>
      <w:r>
        <w:rPr>
          <w:spacing w:val="-4"/>
        </w:rPr>
        <w:t> </w:t>
      </w:r>
      <w:r>
        <w:rPr/>
        <w:t>2015,</w:t>
      </w:r>
      <w:r>
        <w:rPr>
          <w:spacing w:val="-4"/>
        </w:rPr>
        <w:t> </w:t>
      </w:r>
      <w:r>
        <w:rPr/>
        <w:t>we</w:t>
      </w:r>
      <w:r>
        <w:rPr>
          <w:spacing w:val="-4"/>
        </w:rPr>
        <w:t> </w:t>
      </w:r>
      <w:r>
        <w:rPr/>
        <w:t>issued</w:t>
      </w:r>
      <w:r>
        <w:rPr>
          <w:spacing w:val="-4"/>
        </w:rPr>
        <w:t> </w:t>
      </w:r>
      <w:r>
        <w:rPr/>
        <w:t>$1</w:t>
      </w:r>
      <w:r>
        <w:rPr>
          <w:spacing w:val="-4"/>
        </w:rPr>
        <w:t> </w:t>
      </w:r>
      <w:r>
        <w:rPr/>
        <w:t>billion</w:t>
      </w:r>
      <w:r>
        <w:rPr>
          <w:spacing w:val="-4"/>
        </w:rPr>
        <w:t> </w:t>
      </w:r>
      <w:r>
        <w:rPr/>
        <w:t>of</w:t>
      </w:r>
      <w:r>
        <w:rPr>
          <w:spacing w:val="-4"/>
        </w:rPr>
        <w:t> </w:t>
      </w:r>
      <w:r>
        <w:rPr/>
        <w:t>3.25%</w:t>
      </w:r>
      <w:r>
        <w:rPr>
          <w:spacing w:val="-4"/>
        </w:rPr>
        <w:t> </w:t>
      </w:r>
      <w:r>
        <w:rPr/>
        <w:t>senior</w:t>
      </w:r>
      <w:r>
        <w:rPr>
          <w:spacing w:val="-4"/>
        </w:rPr>
        <w:t> </w:t>
      </w:r>
      <w:r>
        <w:rPr/>
        <w:t>notes</w:t>
      </w:r>
      <w:r>
        <w:rPr>
          <w:spacing w:val="-4"/>
        </w:rPr>
        <w:t> </w:t>
      </w:r>
      <w:r>
        <w:rPr/>
        <w:t>due</w:t>
      </w:r>
      <w:r>
        <w:rPr>
          <w:spacing w:val="-4"/>
        </w:rPr>
        <w:t> </w:t>
      </w:r>
      <w:r>
        <w:rPr/>
        <w:t>February</w:t>
      </w:r>
      <w:r>
        <w:rPr>
          <w:spacing w:val="-2"/>
        </w:rPr>
        <w:t> </w:t>
      </w:r>
      <w:r>
        <w:rPr/>
        <w:t>1,</w:t>
      </w:r>
      <w:r>
        <w:rPr>
          <w:spacing w:val="-4"/>
        </w:rPr>
        <w:t> </w:t>
      </w:r>
      <w:r>
        <w:rPr/>
        <w:t>2025</w:t>
      </w:r>
      <w:r>
        <w:rPr>
          <w:spacing w:val="-4"/>
        </w:rPr>
        <w:t> </w:t>
      </w:r>
      <w:r>
        <w:rPr/>
        <w:t>(the</w:t>
      </w:r>
      <w:r>
        <w:rPr>
          <w:spacing w:val="-4"/>
        </w:rPr>
        <w:t> </w:t>
      </w:r>
      <w:r>
        <w:rPr/>
        <w:t>“2025</w:t>
      </w:r>
      <w:r>
        <w:rPr>
          <w:spacing w:val="-4"/>
        </w:rPr>
        <w:t> </w:t>
      </w:r>
      <w:r>
        <w:rPr/>
        <w:t>Notes”).</w:t>
      </w:r>
      <w:r>
        <w:rPr>
          <w:spacing w:val="-4"/>
        </w:rPr>
        <w:t> </w:t>
      </w:r>
      <w:r>
        <w:rPr/>
        <w:t>Our</w:t>
      </w:r>
      <w:r>
        <w:rPr>
          <w:spacing w:val="-4"/>
        </w:rPr>
        <w:t> </w:t>
      </w:r>
      <w:r>
        <w:rPr/>
        <w:t>proceeds</w:t>
      </w:r>
      <w:r>
        <w:rPr>
          <w:spacing w:val="-4"/>
        </w:rPr>
        <w:t> </w:t>
      </w:r>
      <w:r>
        <w:rPr/>
        <w:t>were approximately</w:t>
      </w:r>
      <w:r>
        <w:rPr>
          <w:spacing w:val="5"/>
        </w:rPr>
        <w:t> </w:t>
      </w:r>
      <w:r>
        <w:rPr/>
        <w:t>$989.3</w:t>
      </w:r>
      <w:r>
        <w:rPr>
          <w:spacing w:val="6"/>
        </w:rPr>
        <w:t> </w:t>
      </w:r>
      <w:r>
        <w:rPr/>
        <w:t>million</w:t>
      </w:r>
      <w:r>
        <w:rPr>
          <w:spacing w:val="5"/>
        </w:rPr>
        <w:t> </w:t>
      </w:r>
      <w:r>
        <w:rPr/>
        <w:t>which</w:t>
      </w:r>
      <w:r>
        <w:rPr>
          <w:spacing w:val="5"/>
        </w:rPr>
        <w:t> </w:t>
      </w:r>
      <w:r>
        <w:rPr/>
        <w:t>is</w:t>
      </w:r>
      <w:r>
        <w:rPr>
          <w:spacing w:val="6"/>
        </w:rPr>
        <w:t> </w:t>
      </w:r>
      <w:r>
        <w:rPr/>
        <w:t>net</w:t>
      </w:r>
      <w:r>
        <w:rPr>
          <w:spacing w:val="5"/>
        </w:rPr>
        <w:t> </w:t>
      </w:r>
      <w:r>
        <w:rPr/>
        <w:t>of</w:t>
      </w:r>
      <w:r>
        <w:rPr>
          <w:spacing w:val="5"/>
        </w:rPr>
        <w:t> </w:t>
      </w:r>
      <w:r>
        <w:rPr/>
        <w:t>an</w:t>
      </w:r>
      <w:r>
        <w:rPr>
          <w:spacing w:val="6"/>
        </w:rPr>
        <w:t> </w:t>
      </w:r>
      <w:r>
        <w:rPr/>
        <w:t>issuance</w:t>
      </w:r>
      <w:r>
        <w:rPr>
          <w:spacing w:val="5"/>
        </w:rPr>
        <w:t> </w:t>
      </w:r>
      <w:r>
        <w:rPr/>
        <w:t>discount</w:t>
      </w:r>
      <w:r>
        <w:rPr>
          <w:spacing w:val="5"/>
        </w:rPr>
        <w:t> </w:t>
      </w:r>
      <w:r>
        <w:rPr/>
        <w:t>of</w:t>
      </w:r>
      <w:r>
        <w:rPr>
          <w:spacing w:val="5"/>
        </w:rPr>
        <w:t> </w:t>
      </w:r>
      <w:r>
        <w:rPr/>
        <w:t>$10.7</w:t>
      </w:r>
      <w:r>
        <w:rPr>
          <w:spacing w:val="6"/>
        </w:rPr>
        <w:t> </w:t>
      </w:r>
      <w:r>
        <w:rPr/>
        <w:t>million.</w:t>
      </w:r>
      <w:r>
        <w:rPr>
          <w:spacing w:val="61"/>
        </w:rPr>
        <w:t> </w:t>
      </w:r>
      <w:r>
        <w:rPr/>
        <w:t>In</w:t>
      </w:r>
      <w:r>
        <w:rPr>
          <w:spacing w:val="6"/>
        </w:rPr>
        <w:t> </w:t>
      </w:r>
      <w:r>
        <w:rPr/>
        <w:t>addition,</w:t>
      </w:r>
      <w:r>
        <w:rPr>
          <w:spacing w:val="5"/>
        </w:rPr>
        <w:t> </w:t>
      </w:r>
      <w:r>
        <w:rPr/>
        <w:t>we</w:t>
      </w:r>
      <w:r>
        <w:rPr>
          <w:spacing w:val="4"/>
        </w:rPr>
        <w:t> </w:t>
      </w:r>
      <w:r>
        <w:rPr/>
        <w:t>incurred</w:t>
      </w:r>
      <w:r>
        <w:rPr>
          <w:spacing w:val="6"/>
        </w:rPr>
        <w:t> </w:t>
      </w:r>
      <w:r>
        <w:rPr/>
        <w:t>issuance</w:t>
      </w:r>
      <w:r>
        <w:rPr>
          <w:spacing w:val="5"/>
        </w:rPr>
        <w:t> </w:t>
      </w:r>
      <w:r>
        <w:rPr/>
        <w:t>costs</w:t>
      </w:r>
      <w:r>
        <w:rPr>
          <w:spacing w:val="6"/>
        </w:rPr>
        <w:t> </w:t>
      </w:r>
      <w:r>
        <w:rPr>
          <w:spacing w:val="-5"/>
        </w:rPr>
        <w:t>of</w:t>
      </w:r>
    </w:p>
    <w:p>
      <w:pPr>
        <w:pStyle w:val="BodyText"/>
        <w:spacing w:line="249" w:lineRule="auto" w:before="2"/>
        <w:ind w:left="220" w:right="240"/>
      </w:pPr>
      <w:r>
        <w:rPr/>
        <w:t>$7.9</w:t>
      </w:r>
      <w:r>
        <w:rPr>
          <w:spacing w:val="-6"/>
        </w:rPr>
        <w:t> </w:t>
      </w:r>
      <w:r>
        <w:rPr/>
        <w:t>million.</w:t>
      </w:r>
      <w:r>
        <w:rPr>
          <w:spacing w:val="40"/>
        </w:rPr>
        <w:t> </w:t>
      </w:r>
      <w:r>
        <w:rPr/>
        <w:t>Both</w:t>
      </w:r>
      <w:r>
        <w:rPr>
          <w:spacing w:val="-6"/>
        </w:rPr>
        <w:t> </w:t>
      </w:r>
      <w:r>
        <w:rPr/>
        <w:t>the</w:t>
      </w:r>
      <w:r>
        <w:rPr>
          <w:spacing w:val="-5"/>
        </w:rPr>
        <w:t> </w:t>
      </w:r>
      <w:r>
        <w:rPr/>
        <w:t>discount</w:t>
      </w:r>
      <w:r>
        <w:rPr>
          <w:spacing w:val="-6"/>
        </w:rPr>
        <w:t> </w:t>
      </w:r>
      <w:r>
        <w:rPr/>
        <w:t>and</w:t>
      </w:r>
      <w:r>
        <w:rPr>
          <w:spacing w:val="-6"/>
        </w:rPr>
        <w:t> </w:t>
      </w:r>
      <w:r>
        <w:rPr/>
        <w:t>issuance</w:t>
      </w:r>
      <w:r>
        <w:rPr>
          <w:spacing w:val="-6"/>
        </w:rPr>
        <w:t> </w:t>
      </w:r>
      <w:r>
        <w:rPr/>
        <w:t>costs</w:t>
      </w:r>
      <w:r>
        <w:rPr>
          <w:spacing w:val="-6"/>
        </w:rPr>
        <w:t> </w:t>
      </w:r>
      <w:r>
        <w:rPr/>
        <w:t>are</w:t>
      </w:r>
      <w:r>
        <w:rPr>
          <w:spacing w:val="-6"/>
        </w:rPr>
        <w:t> </w:t>
      </w:r>
      <w:r>
        <w:rPr/>
        <w:t>being</w:t>
      </w:r>
      <w:r>
        <w:rPr>
          <w:spacing w:val="-6"/>
        </w:rPr>
        <w:t> </w:t>
      </w:r>
      <w:r>
        <w:rPr/>
        <w:t>amortized</w:t>
      </w:r>
      <w:r>
        <w:rPr>
          <w:spacing w:val="-5"/>
        </w:rPr>
        <w:t> </w:t>
      </w:r>
      <w:r>
        <w:rPr/>
        <w:t>to</w:t>
      </w:r>
      <w:r>
        <w:rPr>
          <w:spacing w:val="-6"/>
        </w:rPr>
        <w:t> </w:t>
      </w:r>
      <w:r>
        <w:rPr/>
        <w:t>interest</w:t>
      </w:r>
      <w:r>
        <w:rPr>
          <w:spacing w:val="-6"/>
        </w:rPr>
        <w:t> </w:t>
      </w:r>
      <w:r>
        <w:rPr/>
        <w:t>expense</w:t>
      </w:r>
      <w:r>
        <w:rPr>
          <w:spacing w:val="-6"/>
        </w:rPr>
        <w:t> </w:t>
      </w:r>
      <w:r>
        <w:rPr/>
        <w:t>over</w:t>
      </w:r>
      <w:r>
        <w:rPr>
          <w:spacing w:val="-6"/>
        </w:rPr>
        <w:t> </w:t>
      </w:r>
      <w:r>
        <w:rPr/>
        <w:t>the</w:t>
      </w:r>
      <w:r>
        <w:rPr>
          <w:spacing w:val="-6"/>
        </w:rPr>
        <w:t> </w:t>
      </w:r>
      <w:r>
        <w:rPr/>
        <w:t>term</w:t>
      </w:r>
      <w:r>
        <w:rPr>
          <w:spacing w:val="-6"/>
        </w:rPr>
        <w:t> </w:t>
      </w:r>
      <w:r>
        <w:rPr/>
        <w:t>of</w:t>
      </w:r>
      <w:r>
        <w:rPr>
          <w:spacing w:val="-6"/>
        </w:rPr>
        <w:t> </w:t>
      </w:r>
      <w:r>
        <w:rPr/>
        <w:t>the</w:t>
      </w:r>
      <w:r>
        <w:rPr>
          <w:spacing w:val="-6"/>
        </w:rPr>
        <w:t> </w:t>
      </w:r>
      <w:r>
        <w:rPr/>
        <w:t>2025</w:t>
      </w:r>
      <w:r>
        <w:rPr>
          <w:spacing w:val="-5"/>
        </w:rPr>
        <w:t> </w:t>
      </w:r>
      <w:r>
        <w:rPr/>
        <w:t>Notes</w:t>
      </w:r>
      <w:r>
        <w:rPr>
          <w:spacing w:val="-6"/>
        </w:rPr>
        <w:t> </w:t>
      </w:r>
      <w:r>
        <w:rPr/>
        <w:t>using the effective interest method.</w:t>
      </w:r>
      <w:r>
        <w:rPr>
          <w:spacing w:val="40"/>
        </w:rPr>
        <w:t> </w:t>
      </w:r>
      <w:r>
        <w:rPr/>
        <w:t>The 2025 Notes rank equally with our other unsecured and unsubordinated indebtedness.</w:t>
      </w:r>
    </w:p>
    <w:p>
      <w:pPr>
        <w:pStyle w:val="BodyText"/>
        <w:spacing w:before="11"/>
      </w:pPr>
    </w:p>
    <w:p>
      <w:pPr>
        <w:spacing w:line="249" w:lineRule="auto" w:before="0"/>
        <w:ind w:left="220" w:right="257" w:firstLine="540"/>
        <w:jc w:val="both"/>
        <w:rPr>
          <w:i/>
          <w:sz w:val="20"/>
        </w:rPr>
      </w:pPr>
      <w:r>
        <w:rPr>
          <w:sz w:val="20"/>
        </w:rPr>
        <w:t>We used $600 million of the proceeds from the 2025 Notes offering to repay the outstanding balance plus accrued and unpaid</w:t>
      </w:r>
      <w:r>
        <w:rPr>
          <w:spacing w:val="-4"/>
          <w:sz w:val="20"/>
        </w:rPr>
        <w:t> </w:t>
      </w:r>
      <w:r>
        <w:rPr>
          <w:sz w:val="20"/>
        </w:rPr>
        <w:t>interest</w:t>
      </w:r>
      <w:r>
        <w:rPr>
          <w:spacing w:val="-5"/>
          <w:sz w:val="20"/>
        </w:rPr>
        <w:t> </w:t>
      </w:r>
      <w:r>
        <w:rPr>
          <w:sz w:val="20"/>
        </w:rPr>
        <w:t>of</w:t>
      </w:r>
      <w:r>
        <w:rPr>
          <w:spacing w:val="-4"/>
          <w:sz w:val="20"/>
        </w:rPr>
        <w:t> </w:t>
      </w:r>
      <w:r>
        <w:rPr>
          <w:sz w:val="20"/>
        </w:rPr>
        <w:t>the</w:t>
      </w:r>
      <w:r>
        <w:rPr>
          <w:spacing w:val="-4"/>
          <w:sz w:val="20"/>
        </w:rPr>
        <w:t> </w:t>
      </w:r>
      <w:r>
        <w:rPr>
          <w:sz w:val="20"/>
        </w:rPr>
        <w:t>$600</w:t>
      </w:r>
      <w:r>
        <w:rPr>
          <w:spacing w:val="-4"/>
          <w:sz w:val="20"/>
        </w:rPr>
        <w:t> </w:t>
      </w:r>
      <w:r>
        <w:rPr>
          <w:sz w:val="20"/>
        </w:rPr>
        <w:t>million</w:t>
      </w:r>
      <w:r>
        <w:rPr>
          <w:spacing w:val="-4"/>
          <w:sz w:val="20"/>
        </w:rPr>
        <w:t> </w:t>
      </w:r>
      <w:r>
        <w:rPr>
          <w:sz w:val="20"/>
        </w:rPr>
        <w:t>3.25%</w:t>
      </w:r>
      <w:r>
        <w:rPr>
          <w:spacing w:val="-4"/>
          <w:sz w:val="20"/>
        </w:rPr>
        <w:t> </w:t>
      </w:r>
      <w:r>
        <w:rPr>
          <w:sz w:val="20"/>
        </w:rPr>
        <w:t>senior</w:t>
      </w:r>
      <w:r>
        <w:rPr>
          <w:spacing w:val="-4"/>
          <w:sz w:val="20"/>
        </w:rPr>
        <w:t> </w:t>
      </w:r>
      <w:r>
        <w:rPr>
          <w:sz w:val="20"/>
        </w:rPr>
        <w:t>notes</w:t>
      </w:r>
      <w:r>
        <w:rPr>
          <w:spacing w:val="-4"/>
          <w:sz w:val="20"/>
        </w:rPr>
        <w:t> </w:t>
      </w:r>
      <w:r>
        <w:rPr>
          <w:sz w:val="20"/>
        </w:rPr>
        <w:t>due</w:t>
      </w:r>
      <w:r>
        <w:rPr>
          <w:spacing w:val="-4"/>
          <w:sz w:val="20"/>
        </w:rPr>
        <w:t> </w:t>
      </w:r>
      <w:r>
        <w:rPr>
          <w:sz w:val="20"/>
        </w:rPr>
        <w:t>February</w:t>
      </w:r>
      <w:r>
        <w:rPr>
          <w:spacing w:val="-2"/>
          <w:sz w:val="20"/>
        </w:rPr>
        <w:t> </w:t>
      </w:r>
      <w:r>
        <w:rPr>
          <w:sz w:val="20"/>
        </w:rPr>
        <w:t>1,</w:t>
      </w:r>
      <w:r>
        <w:rPr>
          <w:spacing w:val="-4"/>
          <w:sz w:val="20"/>
        </w:rPr>
        <w:t> </w:t>
      </w:r>
      <w:r>
        <w:rPr>
          <w:sz w:val="20"/>
        </w:rPr>
        <w:t>2015</w:t>
      </w:r>
      <w:r>
        <w:rPr>
          <w:spacing w:val="-4"/>
          <w:sz w:val="20"/>
        </w:rPr>
        <w:t> </w:t>
      </w:r>
      <w:r>
        <w:rPr>
          <w:sz w:val="20"/>
        </w:rPr>
        <w:t>(“2015</w:t>
      </w:r>
      <w:r>
        <w:rPr>
          <w:spacing w:val="-4"/>
          <w:sz w:val="20"/>
        </w:rPr>
        <w:t> </w:t>
      </w:r>
      <w:r>
        <w:rPr>
          <w:sz w:val="20"/>
        </w:rPr>
        <w:t>Notes”).</w:t>
      </w:r>
      <w:r>
        <w:rPr>
          <w:spacing w:val="-8"/>
          <w:sz w:val="20"/>
        </w:rPr>
        <w:t> </w:t>
      </w:r>
      <w:r>
        <w:rPr>
          <w:sz w:val="20"/>
        </w:rPr>
        <w:t>The</w:t>
      </w:r>
      <w:r>
        <w:rPr>
          <w:spacing w:val="-4"/>
          <w:sz w:val="20"/>
        </w:rPr>
        <w:t> </w:t>
      </w:r>
      <w:r>
        <w:rPr>
          <w:sz w:val="20"/>
        </w:rPr>
        <w:t>remaining</w:t>
      </w:r>
      <w:r>
        <w:rPr>
          <w:spacing w:val="-4"/>
          <w:sz w:val="20"/>
        </w:rPr>
        <w:t> </w:t>
      </w:r>
      <w:r>
        <w:rPr>
          <w:sz w:val="20"/>
        </w:rPr>
        <w:t>proceeds</w:t>
      </w:r>
      <w:r>
        <w:rPr>
          <w:spacing w:val="-4"/>
          <w:sz w:val="20"/>
        </w:rPr>
        <w:t> </w:t>
      </w:r>
      <w:r>
        <w:rPr>
          <w:sz w:val="20"/>
        </w:rPr>
        <w:t>were</w:t>
      </w:r>
      <w:r>
        <w:rPr>
          <w:spacing w:val="-4"/>
          <w:sz w:val="20"/>
        </w:rPr>
        <w:t> </w:t>
      </w:r>
      <w:r>
        <w:rPr>
          <w:sz w:val="20"/>
        </w:rPr>
        <w:t>used for general corporate purposes.</w:t>
      </w:r>
      <w:r>
        <w:rPr>
          <w:spacing w:val="40"/>
          <w:sz w:val="20"/>
        </w:rPr>
        <w:t> </w:t>
      </w:r>
      <w:hyperlink w:history="true" w:anchor="_bookmark31">
        <w:r>
          <w:rPr>
            <w:i/>
            <w:sz w:val="20"/>
          </w:rPr>
          <w:t>See Note 15 of our Consolidated Financial Statements for more detailed information.</w:t>
        </w:r>
      </w:hyperlink>
    </w:p>
    <w:p>
      <w:pPr>
        <w:pStyle w:val="BodyText"/>
        <w:spacing w:before="13"/>
        <w:rPr>
          <w:i/>
        </w:rPr>
      </w:pPr>
    </w:p>
    <w:p>
      <w:pPr>
        <w:pStyle w:val="BodyText"/>
        <w:spacing w:line="249" w:lineRule="auto"/>
        <w:ind w:left="220" w:right="257" w:firstLine="540"/>
        <w:jc w:val="both"/>
        <w:rPr>
          <w:i/>
        </w:rPr>
      </w:pPr>
      <w:r>
        <w:rPr/>
        <w:t>In addition to the 2025 Notes issuance and 2015 Notes repayment, other financing activities during fiscal 2015 included payments for our treasury stock repurchases and costs associated with the issuance of treasury stock, offset in part by proceeds </w:t>
      </w:r>
      <w:r>
        <w:rPr>
          <w:spacing w:val="-2"/>
        </w:rPr>
        <w:t>from</w:t>
      </w:r>
      <w:r>
        <w:rPr>
          <w:spacing w:val="-11"/>
        </w:rPr>
        <w:t> </w:t>
      </w:r>
      <w:r>
        <w:rPr>
          <w:spacing w:val="-2"/>
        </w:rPr>
        <w:t>the</w:t>
      </w:r>
      <w:r>
        <w:rPr>
          <w:spacing w:val="-10"/>
        </w:rPr>
        <w:t> </w:t>
      </w:r>
      <w:r>
        <w:rPr>
          <w:spacing w:val="-2"/>
        </w:rPr>
        <w:t>issuance</w:t>
      </w:r>
      <w:r>
        <w:rPr>
          <w:spacing w:val="-11"/>
        </w:rPr>
        <w:t> </w:t>
      </w:r>
      <w:r>
        <w:rPr>
          <w:spacing w:val="-2"/>
        </w:rPr>
        <w:t>of</w:t>
      </w:r>
      <w:r>
        <w:rPr>
          <w:spacing w:val="-10"/>
        </w:rPr>
        <w:t> </w:t>
      </w:r>
      <w:r>
        <w:rPr>
          <w:spacing w:val="-2"/>
        </w:rPr>
        <w:t>treasury</w:t>
      </w:r>
      <w:r>
        <w:rPr>
          <w:spacing w:val="-11"/>
        </w:rPr>
        <w:t> </w:t>
      </w:r>
      <w:r>
        <w:rPr>
          <w:spacing w:val="-2"/>
        </w:rPr>
        <w:t>stock</w:t>
      </w:r>
      <w:r>
        <w:rPr>
          <w:spacing w:val="-10"/>
        </w:rPr>
        <w:t> </w:t>
      </w:r>
      <w:r>
        <w:rPr>
          <w:spacing w:val="-2"/>
        </w:rPr>
        <w:t>and</w:t>
      </w:r>
      <w:r>
        <w:rPr>
          <w:spacing w:val="-11"/>
        </w:rPr>
        <w:t> </w:t>
      </w:r>
      <w:r>
        <w:rPr>
          <w:spacing w:val="-2"/>
        </w:rPr>
        <w:t>excess</w:t>
      </w:r>
      <w:r>
        <w:rPr>
          <w:spacing w:val="-10"/>
        </w:rPr>
        <w:t> </w:t>
      </w:r>
      <w:r>
        <w:rPr>
          <w:spacing w:val="-2"/>
        </w:rPr>
        <w:t>tax</w:t>
      </w:r>
      <w:r>
        <w:rPr>
          <w:spacing w:val="-11"/>
        </w:rPr>
        <w:t> </w:t>
      </w:r>
      <w:r>
        <w:rPr>
          <w:spacing w:val="-2"/>
        </w:rPr>
        <w:t>benefits</w:t>
      </w:r>
      <w:r>
        <w:rPr>
          <w:spacing w:val="-10"/>
        </w:rPr>
        <w:t> </w:t>
      </w:r>
      <w:r>
        <w:rPr>
          <w:spacing w:val="-2"/>
        </w:rPr>
        <w:t>from</w:t>
      </w:r>
      <w:r>
        <w:rPr>
          <w:spacing w:val="-11"/>
        </w:rPr>
        <w:t> </w:t>
      </w:r>
      <w:r>
        <w:rPr>
          <w:spacing w:val="-2"/>
        </w:rPr>
        <w:t>stock-based</w:t>
      </w:r>
      <w:r>
        <w:rPr>
          <w:spacing w:val="-10"/>
        </w:rPr>
        <w:t> </w:t>
      </w:r>
      <w:r>
        <w:rPr>
          <w:spacing w:val="-2"/>
        </w:rPr>
        <w:t>compensation.</w:t>
      </w:r>
      <w:r>
        <w:rPr>
          <w:spacing w:val="-11"/>
        </w:rPr>
        <w:t> </w:t>
      </w:r>
      <w:r>
        <w:rPr>
          <w:i/>
          <w:spacing w:val="-2"/>
        </w:rPr>
        <w:t>See</w:t>
      </w:r>
      <w:r>
        <w:rPr>
          <w:i/>
          <w:spacing w:val="-10"/>
        </w:rPr>
        <w:t> </w:t>
      </w:r>
      <w:r>
        <w:rPr>
          <w:i/>
          <w:spacing w:val="-2"/>
        </w:rPr>
        <w:t>the</w:t>
      </w:r>
      <w:r>
        <w:rPr>
          <w:i/>
          <w:spacing w:val="-11"/>
        </w:rPr>
        <w:t> </w:t>
      </w:r>
      <w:r>
        <w:rPr>
          <w:i/>
          <w:spacing w:val="-2"/>
        </w:rPr>
        <w:t>section</w:t>
      </w:r>
      <w:r>
        <w:rPr>
          <w:i/>
          <w:spacing w:val="-10"/>
        </w:rPr>
        <w:t> </w:t>
      </w:r>
      <w:r>
        <w:rPr>
          <w:i/>
          <w:spacing w:val="-2"/>
        </w:rPr>
        <w:t>titled</w:t>
      </w:r>
      <w:r>
        <w:rPr>
          <w:i/>
          <w:spacing w:val="-11"/>
        </w:rPr>
        <w:t> </w:t>
      </w:r>
      <w:r>
        <w:rPr>
          <w:i/>
          <w:spacing w:val="-2"/>
        </w:rPr>
        <w:t>“Stock</w:t>
      </w:r>
      <w:r>
        <w:rPr>
          <w:i/>
          <w:spacing w:val="-10"/>
        </w:rPr>
        <w:t> </w:t>
      </w:r>
      <w:r>
        <w:rPr>
          <w:i/>
          <w:spacing w:val="-2"/>
        </w:rPr>
        <w:t>Repurchase </w:t>
      </w:r>
      <w:r>
        <w:rPr>
          <w:i/>
        </w:rPr>
        <w:t>Program” discussed below.</w:t>
      </w:r>
    </w:p>
    <w:p>
      <w:pPr>
        <w:pStyle w:val="BodyText"/>
        <w:spacing w:before="13"/>
        <w:rPr>
          <w:i/>
        </w:rPr>
      </w:pPr>
    </w:p>
    <w:p>
      <w:pPr>
        <w:pStyle w:val="BodyText"/>
        <w:spacing w:line="249" w:lineRule="auto"/>
        <w:ind w:left="220" w:right="257" w:firstLine="540"/>
        <w:jc w:val="both"/>
      </w:pPr>
      <w:r>
        <w:rPr/>
        <w:t>We expect</w:t>
      </w:r>
      <w:r>
        <w:rPr>
          <w:spacing w:val="-1"/>
        </w:rPr>
        <w:t> </w:t>
      </w:r>
      <w:r>
        <w:rPr/>
        <w:t>to continue</w:t>
      </w:r>
      <w:r>
        <w:rPr>
          <w:spacing w:val="-1"/>
        </w:rPr>
        <w:t> </w:t>
      </w:r>
      <w:r>
        <w:rPr/>
        <w:t>our investing activities, including short-term</w:t>
      </w:r>
      <w:r>
        <w:rPr>
          <w:spacing w:val="-1"/>
        </w:rPr>
        <w:t> </w:t>
      </w:r>
      <w:r>
        <w:rPr/>
        <w:t>and long-term</w:t>
      </w:r>
      <w:r>
        <w:rPr>
          <w:spacing w:val="-1"/>
        </w:rPr>
        <w:t> </w:t>
      </w:r>
      <w:r>
        <w:rPr/>
        <w:t>investments, venture</w:t>
      </w:r>
      <w:r>
        <w:rPr>
          <w:spacing w:val="-1"/>
        </w:rPr>
        <w:t> </w:t>
      </w:r>
      <w:r>
        <w:rPr/>
        <w:t>capital, facilities expansion and purchases of computer systems for research and development, sales and marketing, product support and administrative staff. Furthermore, cash reserves may be used to repurchase stock under our stock repurchase program and to strategically acquire companies, products or technologies that are complementary to our business.</w:t>
      </w:r>
    </w:p>
    <w:p>
      <w:pPr>
        <w:pStyle w:val="Heading2"/>
        <w:spacing w:before="183"/>
      </w:pPr>
      <w:r>
        <w:rPr/>
        <w:t>Other</w:t>
      </w:r>
      <w:r>
        <w:rPr>
          <w:spacing w:val="-6"/>
        </w:rPr>
        <w:t> </w:t>
      </w:r>
      <w:r>
        <w:rPr/>
        <w:t>Liquidity</w:t>
      </w:r>
      <w:r>
        <w:rPr>
          <w:spacing w:val="-2"/>
        </w:rPr>
        <w:t> </w:t>
      </w:r>
      <w:r>
        <w:rPr/>
        <w:t>and</w:t>
      </w:r>
      <w:r>
        <w:rPr>
          <w:spacing w:val="-1"/>
        </w:rPr>
        <w:t> </w:t>
      </w:r>
      <w:r>
        <w:rPr/>
        <w:t>Capital</w:t>
      </w:r>
      <w:r>
        <w:rPr>
          <w:spacing w:val="-3"/>
        </w:rPr>
        <w:t> </w:t>
      </w:r>
      <w:r>
        <w:rPr/>
        <w:t>Resources</w:t>
      </w:r>
      <w:r>
        <w:rPr>
          <w:spacing w:val="-1"/>
        </w:rPr>
        <w:t> </w:t>
      </w:r>
      <w:r>
        <w:rPr>
          <w:spacing w:val="-2"/>
        </w:rPr>
        <w:t>Considerations</w:t>
      </w:r>
    </w:p>
    <w:p>
      <w:pPr>
        <w:pStyle w:val="BodyText"/>
        <w:spacing w:line="249" w:lineRule="auto" w:before="190"/>
        <w:ind w:left="220" w:right="257" w:firstLine="540"/>
        <w:jc w:val="both"/>
      </w:pPr>
      <w:r>
        <w:rPr/>
        <w:t>Our</w:t>
      </w:r>
      <w:r>
        <w:rPr>
          <w:spacing w:val="-13"/>
        </w:rPr>
        <w:t> </w:t>
      </w:r>
      <w:r>
        <w:rPr/>
        <w:t>existing</w:t>
      </w:r>
      <w:r>
        <w:rPr>
          <w:spacing w:val="-12"/>
        </w:rPr>
        <w:t> </w:t>
      </w:r>
      <w:r>
        <w:rPr/>
        <w:t>cash,</w:t>
      </w:r>
      <w:r>
        <w:rPr>
          <w:spacing w:val="-13"/>
        </w:rPr>
        <w:t> </w:t>
      </w:r>
      <w:r>
        <w:rPr/>
        <w:t>cash</w:t>
      </w:r>
      <w:r>
        <w:rPr>
          <w:spacing w:val="-12"/>
        </w:rPr>
        <w:t> </w:t>
      </w:r>
      <w:r>
        <w:rPr/>
        <w:t>equivalents</w:t>
      </w:r>
      <w:r>
        <w:rPr>
          <w:spacing w:val="-13"/>
        </w:rPr>
        <w:t> </w:t>
      </w:r>
      <w:r>
        <w:rPr/>
        <w:t>and</w:t>
      </w:r>
      <w:r>
        <w:rPr>
          <w:spacing w:val="-12"/>
        </w:rPr>
        <w:t> </w:t>
      </w:r>
      <w:r>
        <w:rPr/>
        <w:t>investment</w:t>
      </w:r>
      <w:r>
        <w:rPr>
          <w:spacing w:val="-13"/>
        </w:rPr>
        <w:t> </w:t>
      </w:r>
      <w:r>
        <w:rPr/>
        <w:t>balances</w:t>
      </w:r>
      <w:r>
        <w:rPr>
          <w:spacing w:val="-12"/>
        </w:rPr>
        <w:t> </w:t>
      </w:r>
      <w:r>
        <w:rPr/>
        <w:t>may</w:t>
      </w:r>
      <w:r>
        <w:rPr>
          <w:spacing w:val="-13"/>
        </w:rPr>
        <w:t> </w:t>
      </w:r>
      <w:r>
        <w:rPr/>
        <w:t>fluctuate</w:t>
      </w:r>
      <w:r>
        <w:rPr>
          <w:spacing w:val="-12"/>
        </w:rPr>
        <w:t> </w:t>
      </w:r>
      <w:r>
        <w:rPr/>
        <w:t>during</w:t>
      </w:r>
      <w:r>
        <w:rPr>
          <w:spacing w:val="-13"/>
        </w:rPr>
        <w:t> </w:t>
      </w:r>
      <w:r>
        <w:rPr/>
        <w:t>fiscal</w:t>
      </w:r>
      <w:r>
        <w:rPr>
          <w:spacing w:val="-12"/>
        </w:rPr>
        <w:t> </w:t>
      </w:r>
      <w:r>
        <w:rPr/>
        <w:t>2018</w:t>
      </w:r>
      <w:r>
        <w:rPr>
          <w:spacing w:val="-13"/>
        </w:rPr>
        <w:t> </w:t>
      </w:r>
      <w:r>
        <w:rPr/>
        <w:t>due</w:t>
      </w:r>
      <w:r>
        <w:rPr>
          <w:spacing w:val="-12"/>
        </w:rPr>
        <w:t> </w:t>
      </w:r>
      <w:r>
        <w:rPr/>
        <w:t>to</w:t>
      </w:r>
      <w:r>
        <w:rPr>
          <w:spacing w:val="-13"/>
        </w:rPr>
        <w:t> </w:t>
      </w:r>
      <w:r>
        <w:rPr/>
        <w:t>changes</w:t>
      </w:r>
      <w:r>
        <w:rPr>
          <w:spacing w:val="-12"/>
        </w:rPr>
        <w:t> </w:t>
      </w:r>
      <w:r>
        <w:rPr/>
        <w:t>in</w:t>
      </w:r>
      <w:r>
        <w:rPr>
          <w:spacing w:val="-13"/>
        </w:rPr>
        <w:t> </w:t>
      </w:r>
      <w:r>
        <w:rPr/>
        <w:t>our</w:t>
      </w:r>
      <w:r>
        <w:rPr>
          <w:spacing w:val="-12"/>
        </w:rPr>
        <w:t> </w:t>
      </w:r>
      <w:r>
        <w:rPr/>
        <w:t>planned cash</w:t>
      </w:r>
      <w:r>
        <w:rPr>
          <w:spacing w:val="-1"/>
        </w:rPr>
        <w:t> </w:t>
      </w:r>
      <w:r>
        <w:rPr/>
        <w:t>outlay, including</w:t>
      </w:r>
      <w:r>
        <w:rPr>
          <w:spacing w:val="-1"/>
        </w:rPr>
        <w:t> </w:t>
      </w:r>
      <w:r>
        <w:rPr/>
        <w:t>changes in</w:t>
      </w:r>
      <w:r>
        <w:rPr>
          <w:spacing w:val="-1"/>
        </w:rPr>
        <w:t> </w:t>
      </w:r>
      <w:r>
        <w:rPr/>
        <w:t>incremental costs</w:t>
      </w:r>
      <w:r>
        <w:rPr>
          <w:spacing w:val="-1"/>
        </w:rPr>
        <w:t> </w:t>
      </w:r>
      <w:r>
        <w:rPr/>
        <w:t>such as</w:t>
      </w:r>
      <w:r>
        <w:rPr>
          <w:spacing w:val="-1"/>
        </w:rPr>
        <w:t> </w:t>
      </w:r>
      <w:r>
        <w:rPr/>
        <w:t>direct and</w:t>
      </w:r>
      <w:r>
        <w:rPr>
          <w:spacing w:val="-1"/>
        </w:rPr>
        <w:t> </w:t>
      </w:r>
      <w:r>
        <w:rPr/>
        <w:t>integration costs</w:t>
      </w:r>
      <w:r>
        <w:rPr>
          <w:spacing w:val="-1"/>
        </w:rPr>
        <w:t> </w:t>
      </w:r>
      <w:r>
        <w:rPr/>
        <w:t>related to</w:t>
      </w:r>
      <w:r>
        <w:rPr>
          <w:spacing w:val="-1"/>
        </w:rPr>
        <w:t> </w:t>
      </w:r>
      <w:r>
        <w:rPr/>
        <w:t>our acquisitions.</w:t>
      </w:r>
      <w:r>
        <w:rPr>
          <w:spacing w:val="-1"/>
        </w:rPr>
        <w:t> </w:t>
      </w:r>
      <w:r>
        <w:rPr/>
        <w:t>Our cash </w:t>
      </w:r>
      <w:r>
        <w:rPr>
          <w:spacing w:val="-5"/>
        </w:rPr>
        <w:t>and</w:t>
      </w:r>
    </w:p>
    <w:p>
      <w:pPr>
        <w:spacing w:after="0" w:line="249" w:lineRule="auto"/>
        <w:jc w:val="both"/>
        <w:sectPr>
          <w:pgSz w:w="12240" w:h="15840"/>
          <w:pgMar w:header="210" w:footer="579" w:top="420" w:bottom="760" w:left="780" w:right="740"/>
        </w:sectPr>
      </w:pPr>
    </w:p>
    <w:p>
      <w:pPr>
        <w:pStyle w:val="BodyText"/>
        <w:spacing w:before="150"/>
      </w:pPr>
    </w:p>
    <w:p>
      <w:pPr>
        <w:pStyle w:val="BodyText"/>
        <w:spacing w:line="249" w:lineRule="auto"/>
        <w:ind w:left="220" w:right="257"/>
        <w:jc w:val="both"/>
      </w:pPr>
      <w:r>
        <w:rPr>
          <w:spacing w:val="-2"/>
        </w:rPr>
        <w:t>investments</w:t>
      </w:r>
      <w:r>
        <w:rPr>
          <w:spacing w:val="-5"/>
        </w:rPr>
        <w:t> </w:t>
      </w:r>
      <w:r>
        <w:rPr>
          <w:spacing w:val="-2"/>
        </w:rPr>
        <w:t>totaled</w:t>
      </w:r>
      <w:r>
        <w:rPr>
          <w:spacing w:val="-6"/>
        </w:rPr>
        <w:t> </w:t>
      </w:r>
      <w:r>
        <w:rPr>
          <w:spacing w:val="-2"/>
        </w:rPr>
        <w:t>$5.82</w:t>
      </w:r>
      <w:r>
        <w:rPr>
          <w:spacing w:val="-5"/>
        </w:rPr>
        <w:t> </w:t>
      </w:r>
      <w:r>
        <w:rPr>
          <w:spacing w:val="-2"/>
        </w:rPr>
        <w:t>billion</w:t>
      </w:r>
      <w:r>
        <w:rPr>
          <w:spacing w:val="-5"/>
        </w:rPr>
        <w:t> </w:t>
      </w:r>
      <w:r>
        <w:rPr>
          <w:spacing w:val="-2"/>
        </w:rPr>
        <w:t>as</w:t>
      </w:r>
      <w:r>
        <w:rPr>
          <w:spacing w:val="-5"/>
        </w:rPr>
        <w:t> </w:t>
      </w:r>
      <w:r>
        <w:rPr>
          <w:spacing w:val="-2"/>
        </w:rPr>
        <w:t>of</w:t>
      </w:r>
      <w:r>
        <w:rPr>
          <w:spacing w:val="-6"/>
        </w:rPr>
        <w:t> </w:t>
      </w:r>
      <w:r>
        <w:rPr>
          <w:spacing w:val="-2"/>
        </w:rPr>
        <w:t>December</w:t>
      </w:r>
      <w:r>
        <w:rPr>
          <w:spacing w:val="13"/>
        </w:rPr>
        <w:t> </w:t>
      </w:r>
      <w:r>
        <w:rPr>
          <w:spacing w:val="-2"/>
        </w:rPr>
        <w:t>1,</w:t>
      </w:r>
      <w:r>
        <w:rPr>
          <w:spacing w:val="-5"/>
        </w:rPr>
        <w:t> </w:t>
      </w:r>
      <w:r>
        <w:rPr>
          <w:spacing w:val="-2"/>
        </w:rPr>
        <w:t>2017.</w:t>
      </w:r>
      <w:r>
        <w:rPr>
          <w:spacing w:val="-5"/>
        </w:rPr>
        <w:t> </w:t>
      </w:r>
      <w:r>
        <w:rPr>
          <w:spacing w:val="-2"/>
        </w:rPr>
        <w:t>Of</w:t>
      </w:r>
      <w:r>
        <w:rPr>
          <w:spacing w:val="-6"/>
        </w:rPr>
        <w:t> </w:t>
      </w:r>
      <w:r>
        <w:rPr>
          <w:spacing w:val="-2"/>
        </w:rPr>
        <w:t>this</w:t>
      </w:r>
      <w:r>
        <w:rPr>
          <w:spacing w:val="-5"/>
        </w:rPr>
        <w:t> </w:t>
      </w:r>
      <w:r>
        <w:rPr>
          <w:spacing w:val="-2"/>
        </w:rPr>
        <w:t>amount,</w:t>
      </w:r>
      <w:r>
        <w:rPr>
          <w:spacing w:val="-6"/>
        </w:rPr>
        <w:t> </w:t>
      </w:r>
      <w:r>
        <w:rPr>
          <w:spacing w:val="-2"/>
        </w:rPr>
        <w:t>approximately</w:t>
      </w:r>
      <w:r>
        <w:rPr>
          <w:spacing w:val="-5"/>
        </w:rPr>
        <w:t> </w:t>
      </w:r>
      <w:r>
        <w:rPr>
          <w:spacing w:val="-2"/>
        </w:rPr>
        <w:t>89%</w:t>
      </w:r>
      <w:r>
        <w:rPr>
          <w:spacing w:val="-5"/>
        </w:rPr>
        <w:t> </w:t>
      </w:r>
      <w:r>
        <w:rPr>
          <w:spacing w:val="-2"/>
        </w:rPr>
        <w:t>was</w:t>
      </w:r>
      <w:r>
        <w:rPr>
          <w:spacing w:val="-5"/>
        </w:rPr>
        <w:t> </w:t>
      </w:r>
      <w:r>
        <w:rPr>
          <w:spacing w:val="-2"/>
        </w:rPr>
        <w:t>held</w:t>
      </w:r>
      <w:r>
        <w:rPr>
          <w:spacing w:val="-5"/>
        </w:rPr>
        <w:t> </w:t>
      </w:r>
      <w:r>
        <w:rPr>
          <w:spacing w:val="-2"/>
        </w:rPr>
        <w:t>by</w:t>
      </w:r>
      <w:r>
        <w:rPr>
          <w:spacing w:val="-6"/>
        </w:rPr>
        <w:t> </w:t>
      </w:r>
      <w:r>
        <w:rPr>
          <w:spacing w:val="-2"/>
        </w:rPr>
        <w:t>our</w:t>
      </w:r>
      <w:r>
        <w:rPr>
          <w:spacing w:val="-5"/>
        </w:rPr>
        <w:t> </w:t>
      </w:r>
      <w:r>
        <w:rPr>
          <w:spacing w:val="-2"/>
        </w:rPr>
        <w:t>foreign</w:t>
      </w:r>
      <w:r>
        <w:rPr>
          <w:spacing w:val="-5"/>
        </w:rPr>
        <w:t> </w:t>
      </w:r>
      <w:r>
        <w:rPr>
          <w:spacing w:val="-2"/>
        </w:rPr>
        <w:t>subsidiaries </w:t>
      </w:r>
      <w:r>
        <w:rPr/>
        <w:t>and subject to material repatriation tax effects.</w:t>
      </w:r>
      <w:r>
        <w:rPr>
          <w:spacing w:val="-5"/>
        </w:rPr>
        <w:t> </w:t>
      </w:r>
      <w:r>
        <w:rPr/>
        <w:t>As of our balance sheet date, our intent is to permanently reinvest a significant portion</w:t>
      </w:r>
      <w:r>
        <w:rPr>
          <w:spacing w:val="-13"/>
        </w:rPr>
        <w:t> </w:t>
      </w:r>
      <w:r>
        <w:rPr/>
        <w:t>of</w:t>
      </w:r>
      <w:r>
        <w:rPr>
          <w:spacing w:val="-12"/>
        </w:rPr>
        <w:t> </w:t>
      </w:r>
      <w:r>
        <w:rPr/>
        <w:t>our</w:t>
      </w:r>
      <w:r>
        <w:rPr>
          <w:spacing w:val="-13"/>
        </w:rPr>
        <w:t> </w:t>
      </w:r>
      <w:r>
        <w:rPr/>
        <w:t>earnings</w:t>
      </w:r>
      <w:r>
        <w:rPr>
          <w:spacing w:val="-12"/>
        </w:rPr>
        <w:t> </w:t>
      </w:r>
      <w:r>
        <w:rPr/>
        <w:t>from</w:t>
      </w:r>
      <w:r>
        <w:rPr>
          <w:spacing w:val="-13"/>
        </w:rPr>
        <w:t> </w:t>
      </w:r>
      <w:r>
        <w:rPr/>
        <w:t>foreign</w:t>
      </w:r>
      <w:r>
        <w:rPr>
          <w:spacing w:val="-12"/>
        </w:rPr>
        <w:t> </w:t>
      </w:r>
      <w:r>
        <w:rPr/>
        <w:t>operations,</w:t>
      </w:r>
      <w:r>
        <w:rPr>
          <w:spacing w:val="-13"/>
        </w:rPr>
        <w:t> </w:t>
      </w:r>
      <w:r>
        <w:rPr/>
        <w:t>and</w:t>
      </w:r>
      <w:r>
        <w:rPr>
          <w:spacing w:val="-12"/>
        </w:rPr>
        <w:t> </w:t>
      </w:r>
      <w:r>
        <w:rPr/>
        <w:t>current</w:t>
      </w:r>
      <w:r>
        <w:rPr>
          <w:spacing w:val="-13"/>
        </w:rPr>
        <w:t> </w:t>
      </w:r>
      <w:r>
        <w:rPr/>
        <w:t>plans</w:t>
      </w:r>
      <w:r>
        <w:rPr>
          <w:spacing w:val="-12"/>
        </w:rPr>
        <w:t> </w:t>
      </w:r>
      <w:r>
        <w:rPr/>
        <w:t>do</w:t>
      </w:r>
      <w:r>
        <w:rPr>
          <w:spacing w:val="-13"/>
        </w:rPr>
        <w:t> </w:t>
      </w:r>
      <w:r>
        <w:rPr/>
        <w:t>not</w:t>
      </w:r>
      <w:r>
        <w:rPr>
          <w:spacing w:val="-12"/>
        </w:rPr>
        <w:t> </w:t>
      </w:r>
      <w:r>
        <w:rPr/>
        <w:t>anticipate</w:t>
      </w:r>
      <w:r>
        <w:rPr>
          <w:spacing w:val="-13"/>
        </w:rPr>
        <w:t> </w:t>
      </w:r>
      <w:r>
        <w:rPr/>
        <w:t>that</w:t>
      </w:r>
      <w:r>
        <w:rPr>
          <w:spacing w:val="-12"/>
        </w:rPr>
        <w:t> </w:t>
      </w:r>
      <w:r>
        <w:rPr/>
        <w:t>we</w:t>
      </w:r>
      <w:r>
        <w:rPr>
          <w:spacing w:val="-13"/>
        </w:rPr>
        <w:t> </w:t>
      </w:r>
      <w:r>
        <w:rPr/>
        <w:t>will</w:t>
      </w:r>
      <w:r>
        <w:rPr>
          <w:spacing w:val="-12"/>
        </w:rPr>
        <w:t> </w:t>
      </w:r>
      <w:r>
        <w:rPr/>
        <w:t>need</w:t>
      </w:r>
      <w:r>
        <w:rPr>
          <w:spacing w:val="-13"/>
        </w:rPr>
        <w:t> </w:t>
      </w:r>
      <w:r>
        <w:rPr/>
        <w:t>funds</w:t>
      </w:r>
      <w:r>
        <w:rPr>
          <w:spacing w:val="-12"/>
        </w:rPr>
        <w:t> </w:t>
      </w:r>
      <w:r>
        <w:rPr/>
        <w:t>generated</w:t>
      </w:r>
      <w:r>
        <w:rPr>
          <w:spacing w:val="-13"/>
        </w:rPr>
        <w:t> </w:t>
      </w:r>
      <w:r>
        <w:rPr/>
        <w:t>from</w:t>
      </w:r>
      <w:r>
        <w:rPr>
          <w:spacing w:val="-12"/>
        </w:rPr>
        <w:t> </w:t>
      </w:r>
      <w:r>
        <w:rPr/>
        <w:t>foreign operations</w:t>
      </w:r>
      <w:r>
        <w:rPr>
          <w:spacing w:val="-12"/>
        </w:rPr>
        <w:t> </w:t>
      </w:r>
      <w:r>
        <w:rPr/>
        <w:t>to</w:t>
      </w:r>
      <w:r>
        <w:rPr>
          <w:spacing w:val="-12"/>
        </w:rPr>
        <w:t> </w:t>
      </w:r>
      <w:r>
        <w:rPr/>
        <w:t>fund</w:t>
      </w:r>
      <w:r>
        <w:rPr>
          <w:spacing w:val="-12"/>
        </w:rPr>
        <w:t> </w:t>
      </w:r>
      <w:r>
        <w:rPr/>
        <w:t>our</w:t>
      </w:r>
      <w:r>
        <w:rPr>
          <w:spacing w:val="-12"/>
        </w:rPr>
        <w:t> </w:t>
      </w:r>
      <w:r>
        <w:rPr/>
        <w:t>domestic</w:t>
      </w:r>
      <w:r>
        <w:rPr>
          <w:spacing w:val="-12"/>
        </w:rPr>
        <w:t> </w:t>
      </w:r>
      <w:r>
        <w:rPr/>
        <w:t>operations.</w:t>
      </w:r>
      <w:r>
        <w:rPr>
          <w:spacing w:val="-12"/>
        </w:rPr>
        <w:t> </w:t>
      </w:r>
      <w:r>
        <w:rPr/>
        <w:t>In</w:t>
      </w:r>
      <w:r>
        <w:rPr>
          <w:spacing w:val="-12"/>
        </w:rPr>
        <w:t> </w:t>
      </w:r>
      <w:r>
        <w:rPr/>
        <w:t>the</w:t>
      </w:r>
      <w:r>
        <w:rPr>
          <w:spacing w:val="-12"/>
        </w:rPr>
        <w:t> </w:t>
      </w:r>
      <w:r>
        <w:rPr/>
        <w:t>event</w:t>
      </w:r>
      <w:r>
        <w:rPr>
          <w:spacing w:val="-12"/>
        </w:rPr>
        <w:t> </w:t>
      </w:r>
      <w:r>
        <w:rPr/>
        <w:t>funds</w:t>
      </w:r>
      <w:r>
        <w:rPr>
          <w:spacing w:val="-12"/>
        </w:rPr>
        <w:t> </w:t>
      </w:r>
      <w:r>
        <w:rPr/>
        <w:t>from</w:t>
      </w:r>
      <w:r>
        <w:rPr>
          <w:spacing w:val="-12"/>
        </w:rPr>
        <w:t> </w:t>
      </w:r>
      <w:r>
        <w:rPr/>
        <w:t>foreign</w:t>
      </w:r>
      <w:r>
        <w:rPr>
          <w:spacing w:val="-12"/>
        </w:rPr>
        <w:t> </w:t>
      </w:r>
      <w:r>
        <w:rPr/>
        <w:t>operations</w:t>
      </w:r>
      <w:r>
        <w:rPr>
          <w:spacing w:val="-11"/>
        </w:rPr>
        <w:t> </w:t>
      </w:r>
      <w:r>
        <w:rPr/>
        <w:t>are</w:t>
      </w:r>
      <w:r>
        <w:rPr>
          <w:spacing w:val="-12"/>
        </w:rPr>
        <w:t> </w:t>
      </w:r>
      <w:r>
        <w:rPr/>
        <w:t>needed</w:t>
      </w:r>
      <w:r>
        <w:rPr>
          <w:spacing w:val="-12"/>
        </w:rPr>
        <w:t> </w:t>
      </w:r>
      <w:r>
        <w:rPr/>
        <w:t>to</w:t>
      </w:r>
      <w:r>
        <w:rPr>
          <w:spacing w:val="-12"/>
        </w:rPr>
        <w:t> </w:t>
      </w:r>
      <w:r>
        <w:rPr/>
        <w:t>fund</w:t>
      </w:r>
      <w:r>
        <w:rPr>
          <w:spacing w:val="-12"/>
        </w:rPr>
        <w:t> </w:t>
      </w:r>
      <w:r>
        <w:rPr/>
        <w:t>operations</w:t>
      </w:r>
      <w:r>
        <w:rPr>
          <w:spacing w:val="-11"/>
        </w:rPr>
        <w:t> </w:t>
      </w:r>
      <w:r>
        <w:rPr/>
        <w:t>in</w:t>
      </w:r>
      <w:r>
        <w:rPr>
          <w:spacing w:val="-12"/>
        </w:rPr>
        <w:t> </w:t>
      </w:r>
      <w:r>
        <w:rPr/>
        <w:t>the</w:t>
      </w:r>
      <w:r>
        <w:rPr>
          <w:spacing w:val="-12"/>
        </w:rPr>
        <w:t> </w:t>
      </w:r>
      <w:r>
        <w:rPr/>
        <w:t>United States</w:t>
      </w:r>
      <w:r>
        <w:rPr>
          <w:spacing w:val="-9"/>
        </w:rPr>
        <w:t> </w:t>
      </w:r>
      <w:r>
        <w:rPr/>
        <w:t>and</w:t>
      </w:r>
      <w:r>
        <w:rPr>
          <w:spacing w:val="-9"/>
        </w:rPr>
        <w:t> </w:t>
      </w:r>
      <w:r>
        <w:rPr/>
        <w:t>if</w:t>
      </w:r>
      <w:r>
        <w:rPr>
          <w:spacing w:val="-9"/>
        </w:rPr>
        <w:t> </w:t>
      </w:r>
      <w:r>
        <w:rPr/>
        <w:t>U.S.</w:t>
      </w:r>
      <w:r>
        <w:rPr>
          <w:spacing w:val="-9"/>
        </w:rPr>
        <w:t> </w:t>
      </w:r>
      <w:r>
        <w:rPr/>
        <w:t>tax</w:t>
      </w:r>
      <w:r>
        <w:rPr>
          <w:spacing w:val="-9"/>
        </w:rPr>
        <w:t> </w:t>
      </w:r>
      <w:r>
        <w:rPr/>
        <w:t>has</w:t>
      </w:r>
      <w:r>
        <w:rPr>
          <w:spacing w:val="-9"/>
        </w:rPr>
        <w:t> </w:t>
      </w:r>
      <w:r>
        <w:rPr/>
        <w:t>not</w:t>
      </w:r>
      <w:r>
        <w:rPr>
          <w:spacing w:val="-10"/>
        </w:rPr>
        <w:t> </w:t>
      </w:r>
      <w:r>
        <w:rPr/>
        <w:t>already</w:t>
      </w:r>
      <w:r>
        <w:rPr>
          <w:spacing w:val="-10"/>
        </w:rPr>
        <w:t> </w:t>
      </w:r>
      <w:r>
        <w:rPr/>
        <w:t>been</w:t>
      </w:r>
      <w:r>
        <w:rPr>
          <w:spacing w:val="-9"/>
        </w:rPr>
        <w:t> </w:t>
      </w:r>
      <w:r>
        <w:rPr/>
        <w:t>previously</w:t>
      </w:r>
      <w:r>
        <w:rPr>
          <w:spacing w:val="-9"/>
        </w:rPr>
        <w:t> </w:t>
      </w:r>
      <w:r>
        <w:rPr/>
        <w:t>provided,</w:t>
      </w:r>
      <w:r>
        <w:rPr>
          <w:spacing w:val="-9"/>
        </w:rPr>
        <w:t> </w:t>
      </w:r>
      <w:r>
        <w:rPr/>
        <w:t>we</w:t>
      </w:r>
      <w:r>
        <w:rPr>
          <w:spacing w:val="-10"/>
        </w:rPr>
        <w:t> </w:t>
      </w:r>
      <w:r>
        <w:rPr/>
        <w:t>would</w:t>
      </w:r>
      <w:r>
        <w:rPr>
          <w:spacing w:val="-9"/>
        </w:rPr>
        <w:t> </w:t>
      </w:r>
      <w:r>
        <w:rPr/>
        <w:t>provide</w:t>
      </w:r>
      <w:r>
        <w:rPr>
          <w:spacing w:val="-10"/>
        </w:rPr>
        <w:t> </w:t>
      </w:r>
      <w:r>
        <w:rPr/>
        <w:t>for</w:t>
      </w:r>
      <w:r>
        <w:rPr>
          <w:spacing w:val="-9"/>
        </w:rPr>
        <w:t> </w:t>
      </w:r>
      <w:r>
        <w:rPr/>
        <w:t>and</w:t>
      </w:r>
      <w:r>
        <w:rPr>
          <w:spacing w:val="-9"/>
        </w:rPr>
        <w:t> </w:t>
      </w:r>
      <w:r>
        <w:rPr/>
        <w:t>pay</w:t>
      </w:r>
      <w:r>
        <w:rPr>
          <w:spacing w:val="-9"/>
        </w:rPr>
        <w:t> </w:t>
      </w:r>
      <w:r>
        <w:rPr/>
        <w:t>additional</w:t>
      </w:r>
      <w:r>
        <w:rPr>
          <w:spacing w:val="-10"/>
        </w:rPr>
        <w:t> </w:t>
      </w:r>
      <w:r>
        <w:rPr/>
        <w:t>U.S.</w:t>
      </w:r>
      <w:r>
        <w:rPr>
          <w:spacing w:val="-9"/>
        </w:rPr>
        <w:t> </w:t>
      </w:r>
      <w:r>
        <w:rPr/>
        <w:t>taxes</w:t>
      </w:r>
      <w:r>
        <w:rPr>
          <w:spacing w:val="-9"/>
        </w:rPr>
        <w:t> </w:t>
      </w:r>
      <w:r>
        <w:rPr/>
        <w:t>in</w:t>
      </w:r>
      <w:r>
        <w:rPr>
          <w:spacing w:val="-9"/>
        </w:rPr>
        <w:t> </w:t>
      </w:r>
      <w:r>
        <w:rPr/>
        <w:t>connection with repatriating these funds.</w:t>
      </w:r>
    </w:p>
    <w:p>
      <w:pPr>
        <w:pStyle w:val="BodyText"/>
        <w:spacing w:line="249" w:lineRule="auto" w:before="185"/>
        <w:ind w:left="220" w:right="257" w:firstLine="540"/>
        <w:jc w:val="both"/>
      </w:pPr>
      <w:r>
        <w:rPr/>
        <w:t>Subsequent</w:t>
      </w:r>
      <w:r>
        <w:rPr>
          <w:spacing w:val="-13"/>
        </w:rPr>
        <w:t> </w:t>
      </w:r>
      <w:r>
        <w:rPr/>
        <w:t>to</w:t>
      </w:r>
      <w:r>
        <w:rPr>
          <w:spacing w:val="-12"/>
        </w:rPr>
        <w:t> </w:t>
      </w:r>
      <w:r>
        <w:rPr/>
        <w:t>December</w:t>
      </w:r>
      <w:r>
        <w:rPr>
          <w:spacing w:val="-9"/>
        </w:rPr>
        <w:t> </w:t>
      </w:r>
      <w:r>
        <w:rPr/>
        <w:t>1,</w:t>
      </w:r>
      <w:r>
        <w:rPr>
          <w:spacing w:val="-12"/>
        </w:rPr>
        <w:t> </w:t>
      </w:r>
      <w:r>
        <w:rPr/>
        <w:t>2017,</w:t>
      </w:r>
      <w:r>
        <w:rPr>
          <w:spacing w:val="-12"/>
        </w:rPr>
        <w:t> </w:t>
      </w:r>
      <w:r>
        <w:rPr/>
        <w:t>the</w:t>
      </w:r>
      <w:r>
        <w:rPr>
          <w:spacing w:val="-12"/>
        </w:rPr>
        <w:t> </w:t>
      </w:r>
      <w:r>
        <w:rPr/>
        <w:t>“Tax</w:t>
      </w:r>
      <w:r>
        <w:rPr>
          <w:spacing w:val="-11"/>
        </w:rPr>
        <w:t> </w:t>
      </w:r>
      <w:r>
        <w:rPr/>
        <w:t>Cuts</w:t>
      </w:r>
      <w:r>
        <w:rPr>
          <w:spacing w:val="-12"/>
        </w:rPr>
        <w:t> </w:t>
      </w:r>
      <w:r>
        <w:rPr/>
        <w:t>and</w:t>
      </w:r>
      <w:r>
        <w:rPr>
          <w:spacing w:val="-12"/>
        </w:rPr>
        <w:t> </w:t>
      </w:r>
      <w:r>
        <w:rPr/>
        <w:t>Jobs</w:t>
      </w:r>
      <w:r>
        <w:rPr>
          <w:spacing w:val="-13"/>
        </w:rPr>
        <w:t> </w:t>
      </w:r>
      <w:r>
        <w:rPr/>
        <w:t>Act”</w:t>
      </w:r>
      <w:r>
        <w:rPr>
          <w:spacing w:val="-12"/>
        </w:rPr>
        <w:t> </w:t>
      </w:r>
      <w:r>
        <w:rPr/>
        <w:t>(the</w:t>
      </w:r>
      <w:r>
        <w:rPr>
          <w:spacing w:val="-12"/>
        </w:rPr>
        <w:t> </w:t>
      </w:r>
      <w:r>
        <w:rPr/>
        <w:t>“Act”)</w:t>
      </w:r>
      <w:r>
        <w:rPr>
          <w:spacing w:val="-12"/>
        </w:rPr>
        <w:t> </w:t>
      </w:r>
      <w:r>
        <w:rPr/>
        <w:t>was</w:t>
      </w:r>
      <w:r>
        <w:rPr>
          <w:spacing w:val="-12"/>
        </w:rPr>
        <w:t> </w:t>
      </w:r>
      <w:r>
        <w:rPr/>
        <w:t>enacted</w:t>
      </w:r>
      <w:r>
        <w:rPr>
          <w:spacing w:val="-12"/>
        </w:rPr>
        <w:t> </w:t>
      </w:r>
      <w:r>
        <w:rPr/>
        <w:t>and</w:t>
      </w:r>
      <w:r>
        <w:rPr>
          <w:spacing w:val="-12"/>
        </w:rPr>
        <w:t> </w:t>
      </w:r>
      <w:r>
        <w:rPr/>
        <w:t>included</w:t>
      </w:r>
      <w:r>
        <w:rPr>
          <w:spacing w:val="-12"/>
        </w:rPr>
        <w:t> </w:t>
      </w:r>
      <w:r>
        <w:rPr/>
        <w:t>broad</w:t>
      </w:r>
      <w:r>
        <w:rPr>
          <w:spacing w:val="-12"/>
        </w:rPr>
        <w:t> </w:t>
      </w:r>
      <w:r>
        <w:rPr/>
        <w:t>tax</w:t>
      </w:r>
      <w:r>
        <w:rPr>
          <w:spacing w:val="-12"/>
        </w:rPr>
        <w:t> </w:t>
      </w:r>
      <w:r>
        <w:rPr/>
        <w:t>reforms</w:t>
      </w:r>
      <w:r>
        <w:rPr>
          <w:spacing w:val="-11"/>
        </w:rPr>
        <w:t> </w:t>
      </w:r>
      <w:r>
        <w:rPr/>
        <w:t>that are</w:t>
      </w:r>
      <w:r>
        <w:rPr>
          <w:spacing w:val="-13"/>
        </w:rPr>
        <w:t> </w:t>
      </w:r>
      <w:r>
        <w:rPr/>
        <w:t>applicable</w:t>
      </w:r>
      <w:r>
        <w:rPr>
          <w:spacing w:val="-12"/>
        </w:rPr>
        <w:t> </w:t>
      </w:r>
      <w:r>
        <w:rPr/>
        <w:t>to</w:t>
      </w:r>
      <w:r>
        <w:rPr>
          <w:spacing w:val="-13"/>
        </w:rPr>
        <w:t> </w:t>
      </w:r>
      <w:r>
        <w:rPr/>
        <w:t>Adobe.</w:t>
      </w:r>
      <w:r>
        <w:rPr>
          <w:spacing w:val="-12"/>
        </w:rPr>
        <w:t> </w:t>
      </w:r>
      <w:r>
        <w:rPr/>
        <w:t>Under</w:t>
      </w:r>
      <w:r>
        <w:rPr>
          <w:spacing w:val="-13"/>
        </w:rPr>
        <w:t> </w:t>
      </w:r>
      <w:r>
        <w:rPr/>
        <w:t>the</w:t>
      </w:r>
      <w:r>
        <w:rPr>
          <w:spacing w:val="-12"/>
        </w:rPr>
        <w:t> </w:t>
      </w:r>
      <w:r>
        <w:rPr/>
        <w:t>provisions</w:t>
      </w:r>
      <w:r>
        <w:rPr>
          <w:spacing w:val="-13"/>
        </w:rPr>
        <w:t> </w:t>
      </w:r>
      <w:r>
        <w:rPr/>
        <w:t>of</w:t>
      </w:r>
      <w:r>
        <w:rPr>
          <w:spacing w:val="-12"/>
        </w:rPr>
        <w:t> </w:t>
      </w:r>
      <w:r>
        <w:rPr/>
        <w:t>the</w:t>
      </w:r>
      <w:r>
        <w:rPr>
          <w:spacing w:val="-13"/>
        </w:rPr>
        <w:t> </w:t>
      </w:r>
      <w:r>
        <w:rPr/>
        <w:t>Act,</w:t>
      </w:r>
      <w:r>
        <w:rPr>
          <w:spacing w:val="-12"/>
        </w:rPr>
        <w:t> </w:t>
      </w:r>
      <w:r>
        <w:rPr/>
        <w:t>the</w:t>
      </w:r>
      <w:r>
        <w:rPr>
          <w:spacing w:val="-13"/>
        </w:rPr>
        <w:t> </w:t>
      </w:r>
      <w:r>
        <w:rPr/>
        <w:t>U.S.</w:t>
      </w:r>
      <w:r>
        <w:rPr>
          <w:spacing w:val="-12"/>
        </w:rPr>
        <w:t> </w:t>
      </w:r>
      <w:r>
        <w:rPr/>
        <w:t>corporate</w:t>
      </w:r>
      <w:r>
        <w:rPr>
          <w:spacing w:val="-13"/>
        </w:rPr>
        <w:t> </w:t>
      </w:r>
      <w:r>
        <w:rPr/>
        <w:t>tax</w:t>
      </w:r>
      <w:r>
        <w:rPr>
          <w:spacing w:val="-12"/>
        </w:rPr>
        <w:t> </w:t>
      </w:r>
      <w:r>
        <w:rPr/>
        <w:t>rate</w:t>
      </w:r>
      <w:r>
        <w:rPr>
          <w:spacing w:val="-13"/>
        </w:rPr>
        <w:t> </w:t>
      </w:r>
      <w:r>
        <w:rPr/>
        <w:t>decreased</w:t>
      </w:r>
      <w:r>
        <w:rPr>
          <w:spacing w:val="-12"/>
        </w:rPr>
        <w:t> </w:t>
      </w:r>
      <w:r>
        <w:rPr/>
        <w:t>from</w:t>
      </w:r>
      <w:r>
        <w:rPr>
          <w:spacing w:val="-13"/>
        </w:rPr>
        <w:t> </w:t>
      </w:r>
      <w:r>
        <w:rPr/>
        <w:t>35%</w:t>
      </w:r>
      <w:r>
        <w:rPr>
          <w:spacing w:val="-12"/>
        </w:rPr>
        <w:t> </w:t>
      </w:r>
      <w:r>
        <w:rPr/>
        <w:t>to</w:t>
      </w:r>
      <w:r>
        <w:rPr>
          <w:spacing w:val="-13"/>
        </w:rPr>
        <w:t> </w:t>
      </w:r>
      <w:r>
        <w:rPr/>
        <w:t>21%</w:t>
      </w:r>
      <w:r>
        <w:rPr>
          <w:spacing w:val="-12"/>
        </w:rPr>
        <w:t> </w:t>
      </w:r>
      <w:r>
        <w:rPr/>
        <w:t>effective</w:t>
      </w:r>
      <w:r>
        <w:rPr>
          <w:spacing w:val="-13"/>
        </w:rPr>
        <w:t> </w:t>
      </w:r>
      <w:r>
        <w:rPr/>
        <w:t>January 1, 2018, our undistributed foreign earnings amount of approximately $4 billion are subject to taxation in fiscal 2018 and are available</w:t>
      </w:r>
      <w:r>
        <w:rPr>
          <w:spacing w:val="-8"/>
        </w:rPr>
        <w:t> </w:t>
      </w:r>
      <w:r>
        <w:rPr/>
        <w:t>for</w:t>
      </w:r>
      <w:r>
        <w:rPr>
          <w:spacing w:val="-7"/>
        </w:rPr>
        <w:t> </w:t>
      </w:r>
      <w:r>
        <w:rPr/>
        <w:t>repatriation,</w:t>
      </w:r>
      <w:r>
        <w:rPr>
          <w:spacing w:val="-7"/>
        </w:rPr>
        <w:t> </w:t>
      </w:r>
      <w:r>
        <w:rPr/>
        <w:t>and</w:t>
      </w:r>
      <w:r>
        <w:rPr>
          <w:spacing w:val="-7"/>
        </w:rPr>
        <w:t> </w:t>
      </w:r>
      <w:r>
        <w:rPr/>
        <w:t>our</w:t>
      </w:r>
      <w:r>
        <w:rPr>
          <w:spacing w:val="-7"/>
        </w:rPr>
        <w:t> </w:t>
      </w:r>
      <w:r>
        <w:rPr/>
        <w:t>future</w:t>
      </w:r>
      <w:r>
        <w:rPr>
          <w:spacing w:val="-8"/>
        </w:rPr>
        <w:t> </w:t>
      </w:r>
      <w:r>
        <w:rPr/>
        <w:t>foreign</w:t>
      </w:r>
      <w:r>
        <w:rPr>
          <w:spacing w:val="-7"/>
        </w:rPr>
        <w:t> </w:t>
      </w:r>
      <w:r>
        <w:rPr/>
        <w:t>earnings</w:t>
      </w:r>
      <w:r>
        <w:rPr>
          <w:spacing w:val="-7"/>
        </w:rPr>
        <w:t> </w:t>
      </w:r>
      <w:r>
        <w:rPr/>
        <w:t>are</w:t>
      </w:r>
      <w:r>
        <w:rPr>
          <w:spacing w:val="-7"/>
        </w:rPr>
        <w:t> </w:t>
      </w:r>
      <w:r>
        <w:rPr/>
        <w:t>subject</w:t>
      </w:r>
      <w:r>
        <w:rPr>
          <w:spacing w:val="-8"/>
        </w:rPr>
        <w:t> </w:t>
      </w:r>
      <w:r>
        <w:rPr/>
        <w:t>to</w:t>
      </w:r>
      <w:r>
        <w:rPr>
          <w:spacing w:val="-7"/>
        </w:rPr>
        <w:t> </w:t>
      </w:r>
      <w:r>
        <w:rPr/>
        <w:t>U.S.</w:t>
      </w:r>
      <w:r>
        <w:rPr>
          <w:spacing w:val="-7"/>
        </w:rPr>
        <w:t> </w:t>
      </w:r>
      <w:r>
        <w:rPr/>
        <w:t>taxation.</w:t>
      </w:r>
      <w:r>
        <w:rPr>
          <w:spacing w:val="-11"/>
        </w:rPr>
        <w:t> </w:t>
      </w:r>
      <w:r>
        <w:rPr/>
        <w:t>These</w:t>
      </w:r>
      <w:r>
        <w:rPr>
          <w:spacing w:val="-8"/>
        </w:rPr>
        <w:t> </w:t>
      </w:r>
      <w:r>
        <w:rPr/>
        <w:t>changes</w:t>
      </w:r>
      <w:r>
        <w:rPr>
          <w:spacing w:val="-7"/>
        </w:rPr>
        <w:t> </w:t>
      </w:r>
      <w:r>
        <w:rPr/>
        <w:t>will</w:t>
      </w:r>
      <w:r>
        <w:rPr>
          <w:spacing w:val="-8"/>
        </w:rPr>
        <w:t> </w:t>
      </w:r>
      <w:r>
        <w:rPr/>
        <w:t>require</w:t>
      </w:r>
      <w:r>
        <w:rPr>
          <w:spacing w:val="-7"/>
        </w:rPr>
        <w:t> </w:t>
      </w:r>
      <w:r>
        <w:rPr/>
        <w:t>us</w:t>
      </w:r>
      <w:r>
        <w:rPr>
          <w:spacing w:val="-7"/>
        </w:rPr>
        <w:t> </w:t>
      </w:r>
      <w:r>
        <w:rPr/>
        <w:t>to</w:t>
      </w:r>
      <w:r>
        <w:rPr>
          <w:spacing w:val="-7"/>
        </w:rPr>
        <w:t> </w:t>
      </w:r>
      <w:r>
        <w:rPr/>
        <w:t>remeasure our</w:t>
      </w:r>
      <w:r>
        <w:rPr>
          <w:spacing w:val="-5"/>
        </w:rPr>
        <w:t> </w:t>
      </w:r>
      <w:r>
        <w:rPr/>
        <w:t>deferred</w:t>
      </w:r>
      <w:r>
        <w:rPr>
          <w:spacing w:val="-5"/>
        </w:rPr>
        <w:t> </w:t>
      </w:r>
      <w:r>
        <w:rPr/>
        <w:t>tax</w:t>
      </w:r>
      <w:r>
        <w:rPr>
          <w:spacing w:val="-6"/>
        </w:rPr>
        <w:t> </w:t>
      </w:r>
      <w:r>
        <w:rPr/>
        <w:t>assets</w:t>
      </w:r>
      <w:r>
        <w:rPr>
          <w:spacing w:val="-5"/>
        </w:rPr>
        <w:t> </w:t>
      </w:r>
      <w:r>
        <w:rPr/>
        <w:t>and</w:t>
      </w:r>
      <w:r>
        <w:rPr>
          <w:spacing w:val="-5"/>
        </w:rPr>
        <w:t> </w:t>
      </w:r>
      <w:r>
        <w:rPr/>
        <w:t>liabilities</w:t>
      </w:r>
      <w:r>
        <w:rPr>
          <w:spacing w:val="-5"/>
        </w:rPr>
        <w:t> </w:t>
      </w:r>
      <w:r>
        <w:rPr/>
        <w:t>and</w:t>
      </w:r>
      <w:r>
        <w:rPr>
          <w:spacing w:val="-5"/>
        </w:rPr>
        <w:t> </w:t>
      </w:r>
      <w:r>
        <w:rPr/>
        <w:t>reclassify</w:t>
      </w:r>
      <w:r>
        <w:rPr>
          <w:spacing w:val="-6"/>
        </w:rPr>
        <w:t> </w:t>
      </w:r>
      <w:r>
        <w:rPr/>
        <w:t>approximately</w:t>
      </w:r>
      <w:r>
        <w:rPr>
          <w:spacing w:val="-5"/>
        </w:rPr>
        <w:t> </w:t>
      </w:r>
      <w:r>
        <w:rPr/>
        <w:t>$380</w:t>
      </w:r>
      <w:r>
        <w:rPr>
          <w:spacing w:val="-5"/>
        </w:rPr>
        <w:t> </w:t>
      </w:r>
      <w:r>
        <w:rPr/>
        <w:t>million</w:t>
      </w:r>
      <w:r>
        <w:rPr>
          <w:spacing w:val="-6"/>
        </w:rPr>
        <w:t> </w:t>
      </w:r>
      <w:r>
        <w:rPr/>
        <w:t>of</w:t>
      </w:r>
      <w:r>
        <w:rPr>
          <w:spacing w:val="-5"/>
        </w:rPr>
        <w:t> </w:t>
      </w:r>
      <w:r>
        <w:rPr/>
        <w:t>deferred</w:t>
      </w:r>
      <w:r>
        <w:rPr>
          <w:spacing w:val="-5"/>
        </w:rPr>
        <w:t> </w:t>
      </w:r>
      <w:r>
        <w:rPr/>
        <w:t>tax</w:t>
      </w:r>
      <w:r>
        <w:rPr>
          <w:spacing w:val="-5"/>
        </w:rPr>
        <w:t> </w:t>
      </w:r>
      <w:r>
        <w:rPr/>
        <w:t>liabilities</w:t>
      </w:r>
      <w:r>
        <w:rPr>
          <w:spacing w:val="-5"/>
        </w:rPr>
        <w:t> </w:t>
      </w:r>
      <w:r>
        <w:rPr/>
        <w:t>related</w:t>
      </w:r>
      <w:r>
        <w:rPr>
          <w:spacing w:val="-5"/>
        </w:rPr>
        <w:t> </w:t>
      </w:r>
      <w:r>
        <w:rPr/>
        <w:t>to</w:t>
      </w:r>
      <w:r>
        <w:rPr>
          <w:spacing w:val="-6"/>
        </w:rPr>
        <w:t> </w:t>
      </w:r>
      <w:r>
        <w:rPr/>
        <w:t>undistributed </w:t>
      </w:r>
      <w:r>
        <w:rPr>
          <w:spacing w:val="-2"/>
        </w:rPr>
        <w:t>foreign</w:t>
      </w:r>
      <w:r>
        <w:rPr>
          <w:spacing w:val="-5"/>
        </w:rPr>
        <w:t> </w:t>
      </w:r>
      <w:r>
        <w:rPr>
          <w:spacing w:val="-2"/>
        </w:rPr>
        <w:t>earnings</w:t>
      </w:r>
      <w:r>
        <w:rPr>
          <w:spacing w:val="-5"/>
        </w:rPr>
        <w:t> </w:t>
      </w:r>
      <w:r>
        <w:rPr>
          <w:spacing w:val="-2"/>
        </w:rPr>
        <w:t>to</w:t>
      </w:r>
      <w:r>
        <w:rPr>
          <w:spacing w:val="-5"/>
        </w:rPr>
        <w:t> </w:t>
      </w:r>
      <w:r>
        <w:rPr>
          <w:spacing w:val="-2"/>
        </w:rPr>
        <w:t>long-term</w:t>
      </w:r>
      <w:r>
        <w:rPr>
          <w:spacing w:val="-5"/>
        </w:rPr>
        <w:t> </w:t>
      </w:r>
      <w:r>
        <w:rPr>
          <w:spacing w:val="-2"/>
        </w:rPr>
        <w:t>income</w:t>
      </w:r>
      <w:r>
        <w:rPr>
          <w:spacing w:val="-5"/>
        </w:rPr>
        <w:t> </w:t>
      </w:r>
      <w:r>
        <w:rPr>
          <w:spacing w:val="-2"/>
        </w:rPr>
        <w:t>taxes</w:t>
      </w:r>
      <w:r>
        <w:rPr>
          <w:spacing w:val="-5"/>
        </w:rPr>
        <w:t> </w:t>
      </w:r>
      <w:r>
        <w:rPr>
          <w:spacing w:val="-2"/>
        </w:rPr>
        <w:t>payable</w:t>
      </w:r>
      <w:r>
        <w:rPr>
          <w:spacing w:val="-5"/>
        </w:rPr>
        <w:t> </w:t>
      </w:r>
      <w:r>
        <w:rPr>
          <w:spacing w:val="-2"/>
        </w:rPr>
        <w:t>due</w:t>
      </w:r>
      <w:r>
        <w:rPr>
          <w:spacing w:val="-5"/>
        </w:rPr>
        <w:t> </w:t>
      </w:r>
      <w:r>
        <w:rPr>
          <w:spacing w:val="-2"/>
        </w:rPr>
        <w:t>over</w:t>
      </w:r>
      <w:r>
        <w:rPr>
          <w:spacing w:val="-5"/>
        </w:rPr>
        <w:t> </w:t>
      </w:r>
      <w:r>
        <w:rPr>
          <w:spacing w:val="-2"/>
        </w:rPr>
        <w:t>eight</w:t>
      </w:r>
      <w:r>
        <w:rPr>
          <w:spacing w:val="-5"/>
        </w:rPr>
        <w:t> </w:t>
      </w:r>
      <w:r>
        <w:rPr>
          <w:spacing w:val="-2"/>
        </w:rPr>
        <w:t>years.</w:t>
      </w:r>
      <w:r>
        <w:rPr>
          <w:spacing w:val="-5"/>
        </w:rPr>
        <w:t> </w:t>
      </w:r>
      <w:r>
        <w:rPr>
          <w:spacing w:val="-2"/>
        </w:rPr>
        <w:t>In</w:t>
      </w:r>
      <w:r>
        <w:rPr>
          <w:spacing w:val="-5"/>
        </w:rPr>
        <w:t> </w:t>
      </w:r>
      <w:r>
        <w:rPr>
          <w:spacing w:val="-2"/>
        </w:rPr>
        <w:t>addition,</w:t>
      </w:r>
      <w:r>
        <w:rPr>
          <w:spacing w:val="-5"/>
        </w:rPr>
        <w:t> </w:t>
      </w:r>
      <w:r>
        <w:rPr>
          <w:spacing w:val="-2"/>
        </w:rPr>
        <w:t>based</w:t>
      </w:r>
      <w:r>
        <w:rPr>
          <w:spacing w:val="-5"/>
        </w:rPr>
        <w:t> </w:t>
      </w:r>
      <w:r>
        <w:rPr>
          <w:spacing w:val="-2"/>
        </w:rPr>
        <w:t>on</w:t>
      </w:r>
      <w:r>
        <w:rPr>
          <w:spacing w:val="-5"/>
        </w:rPr>
        <w:t> </w:t>
      </w:r>
      <w:r>
        <w:rPr>
          <w:spacing w:val="-2"/>
        </w:rPr>
        <w:t>preliminary</w:t>
      </w:r>
      <w:r>
        <w:rPr>
          <w:spacing w:val="-5"/>
        </w:rPr>
        <w:t> </w:t>
      </w:r>
      <w:r>
        <w:rPr>
          <w:spacing w:val="-2"/>
        </w:rPr>
        <w:t>estimates,</w:t>
      </w:r>
      <w:r>
        <w:rPr>
          <w:spacing w:val="-5"/>
        </w:rPr>
        <w:t> </w:t>
      </w:r>
      <w:r>
        <w:rPr>
          <w:spacing w:val="-2"/>
        </w:rPr>
        <w:t>we</w:t>
      </w:r>
      <w:r>
        <w:rPr>
          <w:spacing w:val="-5"/>
        </w:rPr>
        <w:t> </w:t>
      </w:r>
      <w:r>
        <w:rPr>
          <w:spacing w:val="-2"/>
        </w:rPr>
        <w:t>anticipate </w:t>
      </w:r>
      <w:r>
        <w:rPr/>
        <w:t>a tax provision charge of approximately $85 million in fiscal 2018 predominately due to the taxation of undistributed foreign </w:t>
      </w:r>
      <w:r>
        <w:rPr>
          <w:spacing w:val="-2"/>
        </w:rPr>
        <w:t>earnings.</w:t>
      </w:r>
    </w:p>
    <w:p>
      <w:pPr>
        <w:pStyle w:val="BodyText"/>
        <w:spacing w:line="249" w:lineRule="auto" w:before="186"/>
        <w:ind w:left="220" w:right="257" w:firstLine="540"/>
        <w:jc w:val="both"/>
      </w:pPr>
      <w:r>
        <w:rPr>
          <w:spacing w:val="-2"/>
        </w:rPr>
        <w:t>Cash</w:t>
      </w:r>
      <w:r>
        <w:rPr>
          <w:spacing w:val="-7"/>
        </w:rPr>
        <w:t> </w:t>
      </w:r>
      <w:r>
        <w:rPr>
          <w:spacing w:val="-2"/>
        </w:rPr>
        <w:t>from</w:t>
      </w:r>
      <w:r>
        <w:rPr>
          <w:spacing w:val="-7"/>
        </w:rPr>
        <w:t> </w:t>
      </w:r>
      <w:r>
        <w:rPr>
          <w:spacing w:val="-2"/>
        </w:rPr>
        <w:t>operations</w:t>
      </w:r>
      <w:r>
        <w:rPr>
          <w:spacing w:val="-5"/>
        </w:rPr>
        <w:t> </w:t>
      </w:r>
      <w:r>
        <w:rPr>
          <w:spacing w:val="-2"/>
        </w:rPr>
        <w:t>could</w:t>
      </w:r>
      <w:r>
        <w:rPr>
          <w:spacing w:val="-7"/>
        </w:rPr>
        <w:t> </w:t>
      </w:r>
      <w:r>
        <w:rPr>
          <w:spacing w:val="-2"/>
        </w:rPr>
        <w:t>also</w:t>
      </w:r>
      <w:r>
        <w:rPr>
          <w:spacing w:val="-7"/>
        </w:rPr>
        <w:t> </w:t>
      </w:r>
      <w:r>
        <w:rPr>
          <w:spacing w:val="-2"/>
        </w:rPr>
        <w:t>be</w:t>
      </w:r>
      <w:r>
        <w:rPr>
          <w:spacing w:val="-7"/>
        </w:rPr>
        <w:t> </w:t>
      </w:r>
      <w:r>
        <w:rPr>
          <w:spacing w:val="-2"/>
        </w:rPr>
        <w:t>affected</w:t>
      </w:r>
      <w:r>
        <w:rPr>
          <w:spacing w:val="-7"/>
        </w:rPr>
        <w:t> </w:t>
      </w:r>
      <w:r>
        <w:rPr>
          <w:spacing w:val="-2"/>
        </w:rPr>
        <w:t>by</w:t>
      </w:r>
      <w:r>
        <w:rPr>
          <w:spacing w:val="-7"/>
        </w:rPr>
        <w:t> </w:t>
      </w:r>
      <w:r>
        <w:rPr>
          <w:spacing w:val="-2"/>
        </w:rPr>
        <w:t>various</w:t>
      </w:r>
      <w:r>
        <w:rPr>
          <w:spacing w:val="-5"/>
        </w:rPr>
        <w:t> </w:t>
      </w:r>
      <w:r>
        <w:rPr>
          <w:spacing w:val="-2"/>
        </w:rPr>
        <w:t>risks</w:t>
      </w:r>
      <w:r>
        <w:rPr>
          <w:spacing w:val="-5"/>
        </w:rPr>
        <w:t> </w:t>
      </w:r>
      <w:r>
        <w:rPr>
          <w:spacing w:val="-2"/>
        </w:rPr>
        <w:t>and</w:t>
      </w:r>
      <w:r>
        <w:rPr>
          <w:spacing w:val="-7"/>
        </w:rPr>
        <w:t> </w:t>
      </w:r>
      <w:r>
        <w:rPr>
          <w:spacing w:val="-2"/>
        </w:rPr>
        <w:t>uncertainties,</w:t>
      </w:r>
      <w:r>
        <w:rPr>
          <w:spacing w:val="-7"/>
        </w:rPr>
        <w:t> </w:t>
      </w:r>
      <w:r>
        <w:rPr>
          <w:spacing w:val="-2"/>
        </w:rPr>
        <w:t>including,</w:t>
      </w:r>
      <w:r>
        <w:rPr>
          <w:spacing w:val="-7"/>
        </w:rPr>
        <w:t> </w:t>
      </w:r>
      <w:r>
        <w:rPr>
          <w:spacing w:val="-2"/>
        </w:rPr>
        <w:t>but</w:t>
      </w:r>
      <w:r>
        <w:rPr>
          <w:spacing w:val="-7"/>
        </w:rPr>
        <w:t> </w:t>
      </w:r>
      <w:r>
        <w:rPr>
          <w:spacing w:val="-2"/>
        </w:rPr>
        <w:t>not</w:t>
      </w:r>
      <w:r>
        <w:rPr>
          <w:spacing w:val="-7"/>
        </w:rPr>
        <w:t> </w:t>
      </w:r>
      <w:r>
        <w:rPr>
          <w:spacing w:val="-2"/>
        </w:rPr>
        <w:t>limited</w:t>
      </w:r>
      <w:r>
        <w:rPr>
          <w:spacing w:val="-7"/>
        </w:rPr>
        <w:t> </w:t>
      </w:r>
      <w:r>
        <w:rPr>
          <w:spacing w:val="-2"/>
        </w:rPr>
        <w:t>to</w:t>
      </w:r>
      <w:r>
        <w:rPr>
          <w:spacing w:val="-7"/>
        </w:rPr>
        <w:t> </w:t>
      </w:r>
      <w:r>
        <w:rPr>
          <w:spacing w:val="-2"/>
        </w:rPr>
        <w:t>the</w:t>
      </w:r>
      <w:r>
        <w:rPr>
          <w:spacing w:val="-7"/>
        </w:rPr>
        <w:t> </w:t>
      </w:r>
      <w:r>
        <w:rPr>
          <w:spacing w:val="-2"/>
        </w:rPr>
        <w:t>risks</w:t>
      </w:r>
      <w:r>
        <w:rPr>
          <w:spacing w:val="-5"/>
        </w:rPr>
        <w:t> </w:t>
      </w:r>
      <w:r>
        <w:rPr>
          <w:spacing w:val="-2"/>
        </w:rPr>
        <w:t>detailed </w:t>
      </w:r>
      <w:r>
        <w:rPr/>
        <w:t>in</w:t>
      </w:r>
      <w:r>
        <w:rPr>
          <w:spacing w:val="-2"/>
        </w:rPr>
        <w:t> </w:t>
      </w:r>
      <w:r>
        <w:rPr/>
        <w:t>Part</w:t>
      </w:r>
      <w:r>
        <w:rPr>
          <w:spacing w:val="-2"/>
        </w:rPr>
        <w:t> </w:t>
      </w:r>
      <w:r>
        <w:rPr/>
        <w:t>I,</w:t>
      </w:r>
      <w:r>
        <w:rPr>
          <w:spacing w:val="-2"/>
        </w:rPr>
        <w:t> </w:t>
      </w:r>
      <w:r>
        <w:rPr/>
        <w:t>Item</w:t>
      </w:r>
      <w:r>
        <w:rPr>
          <w:spacing w:val="-2"/>
        </w:rPr>
        <w:t> </w:t>
      </w:r>
      <w:r>
        <w:rPr/>
        <w:t>1A</w:t>
      </w:r>
      <w:r>
        <w:rPr>
          <w:spacing w:val="-13"/>
        </w:rPr>
        <w:t> </w:t>
      </w:r>
      <w:r>
        <w:rPr/>
        <w:t>titled</w:t>
      </w:r>
      <w:r>
        <w:rPr>
          <w:spacing w:val="-2"/>
        </w:rPr>
        <w:t> </w:t>
      </w:r>
      <w:r>
        <w:rPr/>
        <w:t>“Risk</w:t>
      </w:r>
      <w:r>
        <w:rPr>
          <w:spacing w:val="-2"/>
        </w:rPr>
        <w:t> </w:t>
      </w:r>
      <w:r>
        <w:rPr/>
        <w:t>Factors.”</w:t>
      </w:r>
      <w:r>
        <w:rPr>
          <w:spacing w:val="-2"/>
        </w:rPr>
        <w:t> </w:t>
      </w:r>
      <w:r>
        <w:rPr/>
        <w:t>However,</w:t>
      </w:r>
      <w:r>
        <w:rPr>
          <w:spacing w:val="-2"/>
        </w:rPr>
        <w:t> </w:t>
      </w:r>
      <w:r>
        <w:rPr/>
        <w:t>based</w:t>
      </w:r>
      <w:r>
        <w:rPr>
          <w:spacing w:val="-2"/>
        </w:rPr>
        <w:t> </w:t>
      </w:r>
      <w:r>
        <w:rPr/>
        <w:t>on</w:t>
      </w:r>
      <w:r>
        <w:rPr>
          <w:spacing w:val="-2"/>
        </w:rPr>
        <w:t> </w:t>
      </w:r>
      <w:r>
        <w:rPr/>
        <w:t>our</w:t>
      </w:r>
      <w:r>
        <w:rPr>
          <w:spacing w:val="-2"/>
        </w:rPr>
        <w:t> </w:t>
      </w:r>
      <w:r>
        <w:rPr/>
        <w:t>current</w:t>
      </w:r>
      <w:r>
        <w:rPr>
          <w:spacing w:val="-2"/>
        </w:rPr>
        <w:t> </w:t>
      </w:r>
      <w:r>
        <w:rPr/>
        <w:t>business</w:t>
      </w:r>
      <w:r>
        <w:rPr>
          <w:spacing w:val="-2"/>
        </w:rPr>
        <w:t> </w:t>
      </w:r>
      <w:r>
        <w:rPr/>
        <w:t>plan</w:t>
      </w:r>
      <w:r>
        <w:rPr>
          <w:spacing w:val="-2"/>
        </w:rPr>
        <w:t> </w:t>
      </w:r>
      <w:r>
        <w:rPr/>
        <w:t>and</w:t>
      </w:r>
      <w:r>
        <w:rPr>
          <w:spacing w:val="-2"/>
        </w:rPr>
        <w:t> </w:t>
      </w:r>
      <w:r>
        <w:rPr/>
        <w:t>revenue</w:t>
      </w:r>
      <w:r>
        <w:rPr>
          <w:spacing w:val="-2"/>
        </w:rPr>
        <w:t> </w:t>
      </w:r>
      <w:r>
        <w:rPr/>
        <w:t>prospects,</w:t>
      </w:r>
      <w:r>
        <w:rPr>
          <w:spacing w:val="-2"/>
        </w:rPr>
        <w:t> </w:t>
      </w:r>
      <w:r>
        <w:rPr/>
        <w:t>we</w:t>
      </w:r>
      <w:r>
        <w:rPr>
          <w:spacing w:val="-2"/>
        </w:rPr>
        <w:t> </w:t>
      </w:r>
      <w:r>
        <w:rPr/>
        <w:t>believe</w:t>
      </w:r>
      <w:r>
        <w:rPr>
          <w:spacing w:val="-2"/>
        </w:rPr>
        <w:t> </w:t>
      </w:r>
      <w:r>
        <w:rPr/>
        <w:t>that</w:t>
      </w:r>
      <w:r>
        <w:rPr>
          <w:spacing w:val="-2"/>
        </w:rPr>
        <w:t> </w:t>
      </w:r>
      <w:r>
        <w:rPr/>
        <w:t>our </w:t>
      </w:r>
      <w:r>
        <w:rPr>
          <w:spacing w:val="-2"/>
        </w:rPr>
        <w:t>existing</w:t>
      </w:r>
      <w:r>
        <w:rPr>
          <w:spacing w:val="-6"/>
        </w:rPr>
        <w:t> </w:t>
      </w:r>
      <w:r>
        <w:rPr>
          <w:spacing w:val="-2"/>
        </w:rPr>
        <w:t>cash,</w:t>
      </w:r>
      <w:r>
        <w:rPr>
          <w:spacing w:val="-6"/>
        </w:rPr>
        <w:t> </w:t>
      </w:r>
      <w:r>
        <w:rPr>
          <w:spacing w:val="-2"/>
        </w:rPr>
        <w:t>cash</w:t>
      </w:r>
      <w:r>
        <w:rPr>
          <w:spacing w:val="-6"/>
        </w:rPr>
        <w:t> </w:t>
      </w:r>
      <w:r>
        <w:rPr>
          <w:spacing w:val="-2"/>
        </w:rPr>
        <w:t>equivalents</w:t>
      </w:r>
      <w:r>
        <w:rPr>
          <w:spacing w:val="-6"/>
        </w:rPr>
        <w:t> </w:t>
      </w:r>
      <w:r>
        <w:rPr>
          <w:spacing w:val="-2"/>
        </w:rPr>
        <w:t>and</w:t>
      </w:r>
      <w:r>
        <w:rPr>
          <w:spacing w:val="-6"/>
        </w:rPr>
        <w:t> </w:t>
      </w:r>
      <w:r>
        <w:rPr>
          <w:spacing w:val="-2"/>
        </w:rPr>
        <w:t>investment</w:t>
      </w:r>
      <w:r>
        <w:rPr>
          <w:spacing w:val="-6"/>
        </w:rPr>
        <w:t> </w:t>
      </w:r>
      <w:r>
        <w:rPr>
          <w:spacing w:val="-2"/>
        </w:rPr>
        <w:t>balances,</w:t>
      </w:r>
      <w:r>
        <w:rPr>
          <w:spacing w:val="-6"/>
        </w:rPr>
        <w:t> </w:t>
      </w:r>
      <w:r>
        <w:rPr>
          <w:spacing w:val="-2"/>
        </w:rPr>
        <w:t>our</w:t>
      </w:r>
      <w:r>
        <w:rPr>
          <w:spacing w:val="-6"/>
        </w:rPr>
        <w:t> </w:t>
      </w:r>
      <w:r>
        <w:rPr>
          <w:spacing w:val="-2"/>
        </w:rPr>
        <w:t>anticipated</w:t>
      </w:r>
      <w:r>
        <w:rPr>
          <w:spacing w:val="-6"/>
        </w:rPr>
        <w:t> </w:t>
      </w:r>
      <w:r>
        <w:rPr>
          <w:spacing w:val="-2"/>
        </w:rPr>
        <w:t>cash</w:t>
      </w:r>
      <w:r>
        <w:rPr>
          <w:spacing w:val="-6"/>
        </w:rPr>
        <w:t> </w:t>
      </w:r>
      <w:r>
        <w:rPr>
          <w:spacing w:val="-2"/>
        </w:rPr>
        <w:t>flows</w:t>
      </w:r>
      <w:r>
        <w:rPr>
          <w:spacing w:val="-6"/>
        </w:rPr>
        <w:t> </w:t>
      </w:r>
      <w:r>
        <w:rPr>
          <w:spacing w:val="-2"/>
        </w:rPr>
        <w:t>from</w:t>
      </w:r>
      <w:r>
        <w:rPr>
          <w:spacing w:val="-6"/>
        </w:rPr>
        <w:t> </w:t>
      </w:r>
      <w:r>
        <w:rPr>
          <w:spacing w:val="-2"/>
        </w:rPr>
        <w:t>operations</w:t>
      </w:r>
      <w:r>
        <w:rPr>
          <w:spacing w:val="-6"/>
        </w:rPr>
        <w:t> </w:t>
      </w:r>
      <w:r>
        <w:rPr>
          <w:spacing w:val="-2"/>
        </w:rPr>
        <w:t>and</w:t>
      </w:r>
      <w:r>
        <w:rPr>
          <w:spacing w:val="-6"/>
        </w:rPr>
        <w:t> </w:t>
      </w:r>
      <w:r>
        <w:rPr>
          <w:spacing w:val="-2"/>
        </w:rPr>
        <w:t>our</w:t>
      </w:r>
      <w:r>
        <w:rPr>
          <w:spacing w:val="-6"/>
        </w:rPr>
        <w:t> </w:t>
      </w:r>
      <w:r>
        <w:rPr>
          <w:spacing w:val="-2"/>
        </w:rPr>
        <w:t>available</w:t>
      </w:r>
      <w:r>
        <w:rPr>
          <w:spacing w:val="-7"/>
        </w:rPr>
        <w:t> </w:t>
      </w:r>
      <w:r>
        <w:rPr>
          <w:spacing w:val="-2"/>
        </w:rPr>
        <w:t>credit</w:t>
      </w:r>
      <w:r>
        <w:rPr>
          <w:spacing w:val="-6"/>
        </w:rPr>
        <w:t> </w:t>
      </w:r>
      <w:r>
        <w:rPr>
          <w:spacing w:val="-2"/>
        </w:rPr>
        <w:t>facility </w:t>
      </w:r>
      <w:r>
        <w:rPr/>
        <w:t>will be sufficient to meet our working capital and operating resource expenditure requirements for the next twelve months.</w:t>
      </w:r>
    </w:p>
    <w:p>
      <w:pPr>
        <w:pStyle w:val="BodyText"/>
        <w:spacing w:line="249" w:lineRule="auto" w:before="184"/>
        <w:ind w:left="220" w:right="257" w:firstLine="540"/>
        <w:jc w:val="both"/>
      </w:pPr>
      <w:r>
        <w:rPr/>
        <w:t>On March 2, 2012, we entered into a five-year $1 billion senior unsecured revolving credit agreement (the </w:t>
      </w:r>
      <w:r>
        <w:rPr/>
        <w:t>“Credit </w:t>
      </w:r>
      <w:r>
        <w:rPr>
          <w:spacing w:val="-2"/>
        </w:rPr>
        <w:t>Agreement”),</w:t>
      </w:r>
      <w:r>
        <w:rPr>
          <w:spacing w:val="-4"/>
        </w:rPr>
        <w:t> </w:t>
      </w:r>
      <w:r>
        <w:rPr>
          <w:spacing w:val="-2"/>
        </w:rPr>
        <w:t>providing</w:t>
      </w:r>
      <w:r>
        <w:rPr>
          <w:spacing w:val="-4"/>
        </w:rPr>
        <w:t> </w:t>
      </w:r>
      <w:r>
        <w:rPr>
          <w:spacing w:val="-2"/>
        </w:rPr>
        <w:t>for</w:t>
      </w:r>
      <w:r>
        <w:rPr>
          <w:spacing w:val="-4"/>
        </w:rPr>
        <w:t> </w:t>
      </w:r>
      <w:r>
        <w:rPr>
          <w:spacing w:val="-2"/>
        </w:rPr>
        <w:t>loans</w:t>
      </w:r>
      <w:r>
        <w:rPr>
          <w:spacing w:val="-4"/>
        </w:rPr>
        <w:t> </w:t>
      </w:r>
      <w:r>
        <w:rPr>
          <w:spacing w:val="-2"/>
        </w:rPr>
        <w:t>to</w:t>
      </w:r>
      <w:r>
        <w:rPr>
          <w:spacing w:val="-4"/>
        </w:rPr>
        <w:t> </w:t>
      </w:r>
      <w:r>
        <w:rPr>
          <w:spacing w:val="-2"/>
        </w:rPr>
        <w:t>us</w:t>
      </w:r>
      <w:r>
        <w:rPr>
          <w:spacing w:val="-4"/>
        </w:rPr>
        <w:t> </w:t>
      </w:r>
      <w:r>
        <w:rPr>
          <w:spacing w:val="-2"/>
        </w:rPr>
        <w:t>and</w:t>
      </w:r>
      <w:r>
        <w:rPr>
          <w:spacing w:val="-4"/>
        </w:rPr>
        <w:t> </w:t>
      </w:r>
      <w:r>
        <w:rPr>
          <w:spacing w:val="-2"/>
        </w:rPr>
        <w:t>certain</w:t>
      </w:r>
      <w:r>
        <w:rPr>
          <w:spacing w:val="-4"/>
        </w:rPr>
        <w:t> </w:t>
      </w:r>
      <w:r>
        <w:rPr>
          <w:spacing w:val="-2"/>
        </w:rPr>
        <w:t>of</w:t>
      </w:r>
      <w:r>
        <w:rPr>
          <w:spacing w:val="-4"/>
        </w:rPr>
        <w:t> </w:t>
      </w:r>
      <w:r>
        <w:rPr>
          <w:spacing w:val="-2"/>
        </w:rPr>
        <w:t>our</w:t>
      </w:r>
      <w:r>
        <w:rPr>
          <w:spacing w:val="-4"/>
        </w:rPr>
        <w:t> </w:t>
      </w:r>
      <w:r>
        <w:rPr>
          <w:spacing w:val="-2"/>
        </w:rPr>
        <w:t>subsidiaries.</w:t>
      </w:r>
      <w:r>
        <w:rPr>
          <w:spacing w:val="-4"/>
        </w:rPr>
        <w:t> </w:t>
      </w:r>
      <w:r>
        <w:rPr>
          <w:spacing w:val="-2"/>
        </w:rPr>
        <w:t>On</w:t>
      </w:r>
      <w:r>
        <w:rPr>
          <w:spacing w:val="-4"/>
        </w:rPr>
        <w:t> </w:t>
      </w:r>
      <w:r>
        <w:rPr>
          <w:spacing w:val="-2"/>
        </w:rPr>
        <w:t>March</w:t>
      </w:r>
      <w:r>
        <w:rPr>
          <w:spacing w:val="-4"/>
        </w:rPr>
        <w:t> </w:t>
      </w:r>
      <w:r>
        <w:rPr>
          <w:spacing w:val="-2"/>
        </w:rPr>
        <w:t>1,</w:t>
      </w:r>
      <w:r>
        <w:rPr>
          <w:spacing w:val="-4"/>
        </w:rPr>
        <w:t> </w:t>
      </w:r>
      <w:r>
        <w:rPr>
          <w:spacing w:val="-2"/>
        </w:rPr>
        <w:t>2013,</w:t>
      </w:r>
      <w:r>
        <w:rPr>
          <w:spacing w:val="-4"/>
        </w:rPr>
        <w:t> </w:t>
      </w:r>
      <w:r>
        <w:rPr>
          <w:spacing w:val="-2"/>
        </w:rPr>
        <w:t>we</w:t>
      </w:r>
      <w:r>
        <w:rPr>
          <w:spacing w:val="-4"/>
        </w:rPr>
        <w:t> </w:t>
      </w:r>
      <w:r>
        <w:rPr>
          <w:spacing w:val="-2"/>
        </w:rPr>
        <w:t>exercised</w:t>
      </w:r>
      <w:r>
        <w:rPr>
          <w:spacing w:val="-4"/>
        </w:rPr>
        <w:t> </w:t>
      </w:r>
      <w:r>
        <w:rPr>
          <w:spacing w:val="-2"/>
        </w:rPr>
        <w:t>our</w:t>
      </w:r>
      <w:r>
        <w:rPr>
          <w:spacing w:val="-4"/>
        </w:rPr>
        <w:t> </w:t>
      </w:r>
      <w:r>
        <w:rPr>
          <w:spacing w:val="-2"/>
        </w:rPr>
        <w:t>option</w:t>
      </w:r>
      <w:r>
        <w:rPr>
          <w:spacing w:val="-4"/>
        </w:rPr>
        <w:t> </w:t>
      </w:r>
      <w:r>
        <w:rPr>
          <w:spacing w:val="-2"/>
        </w:rPr>
        <w:t>under</w:t>
      </w:r>
      <w:r>
        <w:rPr>
          <w:spacing w:val="-4"/>
        </w:rPr>
        <w:t> </w:t>
      </w:r>
      <w:r>
        <w:rPr>
          <w:spacing w:val="-2"/>
        </w:rPr>
        <w:t>the</w:t>
      </w:r>
      <w:r>
        <w:rPr>
          <w:spacing w:val="-4"/>
        </w:rPr>
        <w:t> </w:t>
      </w:r>
      <w:r>
        <w:rPr>
          <w:spacing w:val="-2"/>
        </w:rPr>
        <w:t>Credit </w:t>
      </w:r>
      <w:r>
        <w:rPr/>
        <w:t>Agreement</w:t>
      </w:r>
      <w:r>
        <w:rPr>
          <w:spacing w:val="-6"/>
        </w:rPr>
        <w:t> </w:t>
      </w:r>
      <w:r>
        <w:rPr/>
        <w:t>to</w:t>
      </w:r>
      <w:r>
        <w:rPr>
          <w:spacing w:val="-4"/>
        </w:rPr>
        <w:t> </w:t>
      </w:r>
      <w:r>
        <w:rPr/>
        <w:t>extend</w:t>
      </w:r>
      <w:r>
        <w:rPr>
          <w:spacing w:val="-4"/>
        </w:rPr>
        <w:t> </w:t>
      </w:r>
      <w:r>
        <w:rPr/>
        <w:t>the</w:t>
      </w:r>
      <w:r>
        <w:rPr>
          <w:spacing w:val="-4"/>
        </w:rPr>
        <w:t> </w:t>
      </w:r>
      <w:r>
        <w:rPr/>
        <w:t>maturity</w:t>
      </w:r>
      <w:r>
        <w:rPr>
          <w:spacing w:val="-4"/>
        </w:rPr>
        <w:t> </w:t>
      </w:r>
      <w:r>
        <w:rPr/>
        <w:t>date</w:t>
      </w:r>
      <w:r>
        <w:rPr>
          <w:spacing w:val="-4"/>
        </w:rPr>
        <w:t> </w:t>
      </w:r>
      <w:r>
        <w:rPr/>
        <w:t>of</w:t>
      </w:r>
      <w:r>
        <w:rPr>
          <w:spacing w:val="-4"/>
        </w:rPr>
        <w:t> </w:t>
      </w:r>
      <w:r>
        <w:rPr/>
        <w:t>the</w:t>
      </w:r>
      <w:r>
        <w:rPr>
          <w:spacing w:val="-4"/>
        </w:rPr>
        <w:t> </w:t>
      </w:r>
      <w:r>
        <w:rPr/>
        <w:t>Credit</w:t>
      </w:r>
      <w:r>
        <w:rPr>
          <w:spacing w:val="-13"/>
        </w:rPr>
        <w:t> </w:t>
      </w:r>
      <w:r>
        <w:rPr/>
        <w:t>Agreement</w:t>
      </w:r>
      <w:r>
        <w:rPr>
          <w:spacing w:val="-4"/>
        </w:rPr>
        <w:t> </w:t>
      </w:r>
      <w:r>
        <w:rPr/>
        <w:t>by</w:t>
      </w:r>
      <w:r>
        <w:rPr>
          <w:spacing w:val="-4"/>
        </w:rPr>
        <w:t> </w:t>
      </w:r>
      <w:r>
        <w:rPr/>
        <w:t>one</w:t>
      </w:r>
      <w:r>
        <w:rPr>
          <w:spacing w:val="-4"/>
        </w:rPr>
        <w:t> </w:t>
      </w:r>
      <w:r>
        <w:rPr/>
        <w:t>year</w:t>
      </w:r>
      <w:r>
        <w:rPr>
          <w:spacing w:val="-4"/>
        </w:rPr>
        <w:t> </w:t>
      </w:r>
      <w:r>
        <w:rPr/>
        <w:t>to</w:t>
      </w:r>
      <w:r>
        <w:rPr>
          <w:spacing w:val="-4"/>
        </w:rPr>
        <w:t> </w:t>
      </w:r>
      <w:r>
        <w:rPr/>
        <w:t>March</w:t>
      </w:r>
      <w:r>
        <w:rPr>
          <w:spacing w:val="-4"/>
        </w:rPr>
        <w:t> </w:t>
      </w:r>
      <w:r>
        <w:rPr/>
        <w:t>2,</w:t>
      </w:r>
      <w:r>
        <w:rPr>
          <w:spacing w:val="-4"/>
        </w:rPr>
        <w:t> </w:t>
      </w:r>
      <w:r>
        <w:rPr/>
        <w:t>2018.</w:t>
      </w:r>
      <w:r>
        <w:rPr>
          <w:spacing w:val="-4"/>
        </w:rPr>
        <w:t> </w:t>
      </w:r>
      <w:r>
        <w:rPr/>
        <w:t>On</w:t>
      </w:r>
      <w:r>
        <w:rPr>
          <w:spacing w:val="-4"/>
        </w:rPr>
        <w:t> </w:t>
      </w:r>
      <w:r>
        <w:rPr/>
        <w:t>July</w:t>
      </w:r>
      <w:r>
        <w:rPr>
          <w:spacing w:val="-4"/>
        </w:rPr>
        <w:t> </w:t>
      </w:r>
      <w:r>
        <w:rPr/>
        <w:t>27,</w:t>
      </w:r>
      <w:r>
        <w:rPr>
          <w:spacing w:val="-4"/>
        </w:rPr>
        <w:t> </w:t>
      </w:r>
      <w:r>
        <w:rPr/>
        <w:t>2015,</w:t>
      </w:r>
      <w:r>
        <w:rPr>
          <w:spacing w:val="-4"/>
        </w:rPr>
        <w:t> </w:t>
      </w:r>
      <w:r>
        <w:rPr/>
        <w:t>we</w:t>
      </w:r>
      <w:r>
        <w:rPr>
          <w:spacing w:val="-4"/>
        </w:rPr>
        <w:t> </w:t>
      </w:r>
      <w:r>
        <w:rPr/>
        <w:t>entered</w:t>
      </w:r>
      <w:r>
        <w:rPr>
          <w:spacing w:val="-4"/>
        </w:rPr>
        <w:t> </w:t>
      </w:r>
      <w:r>
        <w:rPr/>
        <w:t>into an</w:t>
      </w:r>
      <w:r>
        <w:rPr>
          <w:spacing w:val="-12"/>
        </w:rPr>
        <w:t> </w:t>
      </w:r>
      <w:r>
        <w:rPr/>
        <w:t>amendment</w:t>
      </w:r>
      <w:r>
        <w:rPr>
          <w:spacing w:val="-8"/>
        </w:rPr>
        <w:t> </w:t>
      </w:r>
      <w:r>
        <w:rPr/>
        <w:t>to</w:t>
      </w:r>
      <w:r>
        <w:rPr>
          <w:spacing w:val="-8"/>
        </w:rPr>
        <w:t> </w:t>
      </w:r>
      <w:r>
        <w:rPr/>
        <w:t>further</w:t>
      </w:r>
      <w:r>
        <w:rPr>
          <w:spacing w:val="-8"/>
        </w:rPr>
        <w:t> </w:t>
      </w:r>
      <w:r>
        <w:rPr/>
        <w:t>extend</w:t>
      </w:r>
      <w:r>
        <w:rPr>
          <w:spacing w:val="-8"/>
        </w:rPr>
        <w:t> </w:t>
      </w:r>
      <w:r>
        <w:rPr/>
        <w:t>the</w:t>
      </w:r>
      <w:r>
        <w:rPr>
          <w:spacing w:val="-8"/>
        </w:rPr>
        <w:t> </w:t>
      </w:r>
      <w:r>
        <w:rPr/>
        <w:t>maturity</w:t>
      </w:r>
      <w:r>
        <w:rPr>
          <w:spacing w:val="-8"/>
        </w:rPr>
        <w:t> </w:t>
      </w:r>
      <w:r>
        <w:rPr/>
        <w:t>date</w:t>
      </w:r>
      <w:r>
        <w:rPr>
          <w:spacing w:val="-8"/>
        </w:rPr>
        <w:t> </w:t>
      </w:r>
      <w:r>
        <w:rPr/>
        <w:t>of</w:t>
      </w:r>
      <w:r>
        <w:rPr>
          <w:spacing w:val="-8"/>
        </w:rPr>
        <w:t> </w:t>
      </w:r>
      <w:r>
        <w:rPr/>
        <w:t>the</w:t>
      </w:r>
      <w:r>
        <w:rPr>
          <w:spacing w:val="-8"/>
        </w:rPr>
        <w:t> </w:t>
      </w:r>
      <w:r>
        <w:rPr/>
        <w:t>Credit</w:t>
      </w:r>
      <w:r>
        <w:rPr>
          <w:spacing w:val="-13"/>
        </w:rPr>
        <w:t> </w:t>
      </w:r>
      <w:r>
        <w:rPr/>
        <w:t>Agreement</w:t>
      </w:r>
      <w:r>
        <w:rPr>
          <w:spacing w:val="-7"/>
        </w:rPr>
        <w:t> </w:t>
      </w:r>
      <w:r>
        <w:rPr/>
        <w:t>to</w:t>
      </w:r>
      <w:r>
        <w:rPr>
          <w:spacing w:val="-8"/>
        </w:rPr>
        <w:t> </w:t>
      </w:r>
      <w:r>
        <w:rPr/>
        <w:t>July</w:t>
      </w:r>
      <w:r>
        <w:rPr>
          <w:spacing w:val="-8"/>
        </w:rPr>
        <w:t> </w:t>
      </w:r>
      <w:r>
        <w:rPr/>
        <w:t>27,</w:t>
      </w:r>
      <w:r>
        <w:rPr>
          <w:spacing w:val="-8"/>
        </w:rPr>
        <w:t> </w:t>
      </w:r>
      <w:r>
        <w:rPr/>
        <w:t>2020</w:t>
      </w:r>
      <w:r>
        <w:rPr>
          <w:spacing w:val="-8"/>
        </w:rPr>
        <w:t> </w:t>
      </w:r>
      <w:r>
        <w:rPr/>
        <w:t>and</w:t>
      </w:r>
      <w:r>
        <w:rPr>
          <w:spacing w:val="-8"/>
        </w:rPr>
        <w:t> </w:t>
      </w:r>
      <w:r>
        <w:rPr/>
        <w:t>reallocated</w:t>
      </w:r>
      <w:r>
        <w:rPr>
          <w:spacing w:val="-8"/>
        </w:rPr>
        <w:t> </w:t>
      </w:r>
      <w:r>
        <w:rPr/>
        <w:t>the</w:t>
      </w:r>
      <w:r>
        <w:rPr>
          <w:spacing w:val="-8"/>
        </w:rPr>
        <w:t> </w:t>
      </w:r>
      <w:r>
        <w:rPr/>
        <w:t>facility</w:t>
      </w:r>
      <w:r>
        <w:rPr>
          <w:spacing w:val="-8"/>
        </w:rPr>
        <w:t> </w:t>
      </w:r>
      <w:r>
        <w:rPr/>
        <w:t>among</w:t>
      </w:r>
      <w:r>
        <w:rPr>
          <w:spacing w:val="-8"/>
        </w:rPr>
        <w:t> </w:t>
      </w:r>
      <w:r>
        <w:rPr/>
        <w:t>the </w:t>
      </w:r>
      <w:r>
        <w:rPr>
          <w:spacing w:val="-2"/>
        </w:rPr>
        <w:t>syndicate</w:t>
      </w:r>
      <w:r>
        <w:rPr>
          <w:spacing w:val="-11"/>
        </w:rPr>
        <w:t> </w:t>
      </w:r>
      <w:r>
        <w:rPr>
          <w:spacing w:val="-2"/>
        </w:rPr>
        <w:t>of</w:t>
      </w:r>
      <w:r>
        <w:rPr>
          <w:spacing w:val="-7"/>
        </w:rPr>
        <w:t> </w:t>
      </w:r>
      <w:r>
        <w:rPr>
          <w:spacing w:val="-2"/>
        </w:rPr>
        <w:t>lenders</w:t>
      </w:r>
      <w:r>
        <w:rPr>
          <w:spacing w:val="-5"/>
        </w:rPr>
        <w:t> </w:t>
      </w:r>
      <w:r>
        <w:rPr>
          <w:spacing w:val="-2"/>
        </w:rPr>
        <w:t>that</w:t>
      </w:r>
      <w:r>
        <w:rPr>
          <w:spacing w:val="-5"/>
        </w:rPr>
        <w:t> </w:t>
      </w:r>
      <w:r>
        <w:rPr>
          <w:spacing w:val="-2"/>
        </w:rPr>
        <w:t>are</w:t>
      </w:r>
      <w:r>
        <w:rPr>
          <w:spacing w:val="-5"/>
        </w:rPr>
        <w:t> </w:t>
      </w:r>
      <w:r>
        <w:rPr>
          <w:spacing w:val="-2"/>
        </w:rPr>
        <w:t>parties</w:t>
      </w:r>
      <w:r>
        <w:rPr>
          <w:spacing w:val="-5"/>
        </w:rPr>
        <w:t> </w:t>
      </w:r>
      <w:r>
        <w:rPr>
          <w:spacing w:val="-2"/>
        </w:rPr>
        <w:t>to</w:t>
      </w:r>
      <w:r>
        <w:rPr>
          <w:spacing w:val="-5"/>
        </w:rPr>
        <w:t> </w:t>
      </w:r>
      <w:r>
        <w:rPr>
          <w:spacing w:val="-2"/>
        </w:rPr>
        <w:t>the</w:t>
      </w:r>
      <w:r>
        <w:rPr>
          <w:spacing w:val="-5"/>
        </w:rPr>
        <w:t> </w:t>
      </w:r>
      <w:r>
        <w:rPr>
          <w:spacing w:val="-2"/>
        </w:rPr>
        <w:t>Credit</w:t>
      </w:r>
      <w:r>
        <w:rPr>
          <w:spacing w:val="-11"/>
        </w:rPr>
        <w:t> </w:t>
      </w:r>
      <w:r>
        <w:rPr>
          <w:spacing w:val="-2"/>
        </w:rPr>
        <w:t>Agreement.</w:t>
      </w:r>
      <w:r>
        <w:rPr>
          <w:spacing w:val="-10"/>
        </w:rPr>
        <w:t> </w:t>
      </w:r>
      <w:r>
        <w:rPr>
          <w:spacing w:val="-2"/>
        </w:rPr>
        <w:t>As</w:t>
      </w:r>
      <w:r>
        <w:rPr>
          <w:spacing w:val="-5"/>
        </w:rPr>
        <w:t> </w:t>
      </w:r>
      <w:r>
        <w:rPr>
          <w:spacing w:val="-2"/>
        </w:rPr>
        <w:t>of</w:t>
      </w:r>
      <w:r>
        <w:rPr>
          <w:spacing w:val="-5"/>
        </w:rPr>
        <w:t> </w:t>
      </w:r>
      <w:r>
        <w:rPr>
          <w:spacing w:val="-2"/>
        </w:rPr>
        <w:t>December</w:t>
      </w:r>
      <w:r>
        <w:rPr>
          <w:spacing w:val="13"/>
        </w:rPr>
        <w:t> </w:t>
      </w:r>
      <w:r>
        <w:rPr>
          <w:spacing w:val="-2"/>
        </w:rPr>
        <w:t>1,</w:t>
      </w:r>
      <w:r>
        <w:rPr>
          <w:spacing w:val="-5"/>
        </w:rPr>
        <w:t> </w:t>
      </w:r>
      <w:r>
        <w:rPr>
          <w:spacing w:val="-2"/>
        </w:rPr>
        <w:t>2017,</w:t>
      </w:r>
      <w:r>
        <w:rPr>
          <w:spacing w:val="-5"/>
        </w:rPr>
        <w:t> </w:t>
      </w:r>
      <w:r>
        <w:rPr>
          <w:spacing w:val="-2"/>
        </w:rPr>
        <w:t>there</w:t>
      </w:r>
      <w:r>
        <w:rPr>
          <w:spacing w:val="-5"/>
        </w:rPr>
        <w:t> </w:t>
      </w:r>
      <w:r>
        <w:rPr>
          <w:spacing w:val="-2"/>
        </w:rPr>
        <w:t>were</w:t>
      </w:r>
      <w:r>
        <w:rPr>
          <w:spacing w:val="-5"/>
        </w:rPr>
        <w:t> </w:t>
      </w:r>
      <w:r>
        <w:rPr>
          <w:spacing w:val="-2"/>
        </w:rPr>
        <w:t>no</w:t>
      </w:r>
      <w:r>
        <w:rPr>
          <w:spacing w:val="-5"/>
        </w:rPr>
        <w:t> </w:t>
      </w:r>
      <w:r>
        <w:rPr>
          <w:spacing w:val="-2"/>
        </w:rPr>
        <w:t>outstanding</w:t>
      </w:r>
      <w:r>
        <w:rPr>
          <w:spacing w:val="-5"/>
        </w:rPr>
        <w:t> </w:t>
      </w:r>
      <w:r>
        <w:rPr>
          <w:spacing w:val="-2"/>
        </w:rPr>
        <w:t>borrowings</w:t>
      </w:r>
      <w:r>
        <w:rPr>
          <w:spacing w:val="-5"/>
        </w:rPr>
        <w:t> </w:t>
      </w:r>
      <w:r>
        <w:rPr>
          <w:spacing w:val="-2"/>
        </w:rPr>
        <w:t>under </w:t>
      </w:r>
      <w:r>
        <w:rPr/>
        <w:t>this Credit</w:t>
      </w:r>
      <w:r>
        <w:rPr>
          <w:spacing w:val="-3"/>
        </w:rPr>
        <w:t> </w:t>
      </w:r>
      <w:r>
        <w:rPr/>
        <w:t>Agreement and the entire $1 billion credit line remains available for borrowing.</w:t>
      </w:r>
    </w:p>
    <w:p>
      <w:pPr>
        <w:pStyle w:val="BodyText"/>
        <w:spacing w:line="249" w:lineRule="auto" w:before="184"/>
        <w:ind w:left="220" w:right="257" w:firstLine="540"/>
        <w:jc w:val="both"/>
      </w:pPr>
      <w:r>
        <w:rPr/>
        <w:t>As of December</w:t>
      </w:r>
      <w:r>
        <w:rPr>
          <w:spacing w:val="-2"/>
        </w:rPr>
        <w:t> </w:t>
      </w:r>
      <w:r>
        <w:rPr/>
        <w:t>1, 2017, the amount outstanding under our senior notes was $1.9 billion, consisting of $900 million of 4.75%</w:t>
      </w:r>
      <w:r>
        <w:rPr>
          <w:spacing w:val="-8"/>
        </w:rPr>
        <w:t> </w:t>
      </w:r>
      <w:r>
        <w:rPr/>
        <w:t>senior</w:t>
      </w:r>
      <w:r>
        <w:rPr>
          <w:spacing w:val="-8"/>
        </w:rPr>
        <w:t> </w:t>
      </w:r>
      <w:r>
        <w:rPr/>
        <w:t>notes</w:t>
      </w:r>
      <w:r>
        <w:rPr>
          <w:spacing w:val="-8"/>
        </w:rPr>
        <w:t> </w:t>
      </w:r>
      <w:r>
        <w:rPr/>
        <w:t>due</w:t>
      </w:r>
      <w:r>
        <w:rPr>
          <w:spacing w:val="-8"/>
        </w:rPr>
        <w:t> </w:t>
      </w:r>
      <w:r>
        <w:rPr/>
        <w:t>February</w:t>
      </w:r>
      <w:r>
        <w:rPr>
          <w:spacing w:val="-8"/>
        </w:rPr>
        <w:t> </w:t>
      </w:r>
      <w:r>
        <w:rPr/>
        <w:t>1,</w:t>
      </w:r>
      <w:r>
        <w:rPr>
          <w:spacing w:val="-8"/>
        </w:rPr>
        <w:t> </w:t>
      </w:r>
      <w:r>
        <w:rPr/>
        <w:t>2020</w:t>
      </w:r>
      <w:r>
        <w:rPr>
          <w:spacing w:val="-8"/>
        </w:rPr>
        <w:t> </w:t>
      </w:r>
      <w:r>
        <w:rPr/>
        <w:t>(the</w:t>
      </w:r>
      <w:r>
        <w:rPr>
          <w:spacing w:val="-8"/>
        </w:rPr>
        <w:t> </w:t>
      </w:r>
      <w:r>
        <w:rPr/>
        <w:t>“2020</w:t>
      </w:r>
      <w:r>
        <w:rPr>
          <w:spacing w:val="-8"/>
        </w:rPr>
        <w:t> </w:t>
      </w:r>
      <w:r>
        <w:rPr/>
        <w:t>Notes”)</w:t>
      </w:r>
      <w:r>
        <w:rPr>
          <w:spacing w:val="-8"/>
        </w:rPr>
        <w:t> </w:t>
      </w:r>
      <w:r>
        <w:rPr/>
        <w:t>and</w:t>
      </w:r>
      <w:r>
        <w:rPr>
          <w:spacing w:val="-8"/>
        </w:rPr>
        <w:t> </w:t>
      </w:r>
      <w:r>
        <w:rPr/>
        <w:t>$1</w:t>
      </w:r>
      <w:r>
        <w:rPr>
          <w:spacing w:val="-8"/>
        </w:rPr>
        <w:t> </w:t>
      </w:r>
      <w:r>
        <w:rPr/>
        <w:t>billion</w:t>
      </w:r>
      <w:r>
        <w:rPr>
          <w:spacing w:val="-8"/>
        </w:rPr>
        <w:t> </w:t>
      </w:r>
      <w:r>
        <w:rPr/>
        <w:t>of</w:t>
      </w:r>
      <w:r>
        <w:rPr>
          <w:spacing w:val="-8"/>
        </w:rPr>
        <w:t> </w:t>
      </w:r>
      <w:r>
        <w:rPr/>
        <w:t>3.25%</w:t>
      </w:r>
      <w:r>
        <w:rPr>
          <w:spacing w:val="-8"/>
        </w:rPr>
        <w:t> </w:t>
      </w:r>
      <w:r>
        <w:rPr/>
        <w:t>senior</w:t>
      </w:r>
      <w:r>
        <w:rPr>
          <w:spacing w:val="-8"/>
        </w:rPr>
        <w:t> </w:t>
      </w:r>
      <w:r>
        <w:rPr/>
        <w:t>notes</w:t>
      </w:r>
      <w:r>
        <w:rPr>
          <w:spacing w:val="-8"/>
        </w:rPr>
        <w:t> </w:t>
      </w:r>
      <w:r>
        <w:rPr/>
        <w:t>due</w:t>
      </w:r>
      <w:r>
        <w:rPr>
          <w:spacing w:val="-8"/>
        </w:rPr>
        <w:t> </w:t>
      </w:r>
      <w:r>
        <w:rPr/>
        <w:t>February</w:t>
      </w:r>
      <w:r>
        <w:rPr>
          <w:spacing w:val="-2"/>
        </w:rPr>
        <w:t> </w:t>
      </w:r>
      <w:r>
        <w:rPr/>
        <w:t>1,</w:t>
      </w:r>
      <w:r>
        <w:rPr>
          <w:spacing w:val="-8"/>
        </w:rPr>
        <w:t> </w:t>
      </w:r>
      <w:r>
        <w:rPr/>
        <w:t>2025</w:t>
      </w:r>
      <w:r>
        <w:rPr>
          <w:spacing w:val="-8"/>
        </w:rPr>
        <w:t> </w:t>
      </w:r>
      <w:r>
        <w:rPr/>
        <w:t>(together with the 2020 Notes, the “Notes”).</w:t>
      </w:r>
    </w:p>
    <w:p>
      <w:pPr>
        <w:pStyle w:val="BodyText"/>
        <w:spacing w:line="249" w:lineRule="auto" w:before="183"/>
        <w:ind w:left="220" w:right="259" w:firstLine="540"/>
        <w:jc w:val="both"/>
      </w:pPr>
      <w:r>
        <w:rPr>
          <w:spacing w:val="-2"/>
        </w:rPr>
        <w:t>Our</w:t>
      </w:r>
      <w:r>
        <w:rPr>
          <w:spacing w:val="-10"/>
        </w:rPr>
        <w:t> </w:t>
      </w:r>
      <w:r>
        <w:rPr>
          <w:spacing w:val="-2"/>
        </w:rPr>
        <w:t>short-term</w:t>
      </w:r>
      <w:r>
        <w:rPr>
          <w:spacing w:val="-9"/>
        </w:rPr>
        <w:t> </w:t>
      </w:r>
      <w:r>
        <w:rPr>
          <w:spacing w:val="-2"/>
        </w:rPr>
        <w:t>investment</w:t>
      </w:r>
      <w:r>
        <w:rPr>
          <w:spacing w:val="-9"/>
        </w:rPr>
        <w:t> </w:t>
      </w:r>
      <w:r>
        <w:rPr>
          <w:spacing w:val="-2"/>
        </w:rPr>
        <w:t>portfolio</w:t>
      </w:r>
      <w:r>
        <w:rPr>
          <w:spacing w:val="-8"/>
        </w:rPr>
        <w:t> </w:t>
      </w:r>
      <w:r>
        <w:rPr>
          <w:spacing w:val="-2"/>
        </w:rPr>
        <w:t>is</w:t>
      </w:r>
      <w:r>
        <w:rPr>
          <w:spacing w:val="-9"/>
        </w:rPr>
        <w:t> </w:t>
      </w:r>
      <w:r>
        <w:rPr>
          <w:spacing w:val="-2"/>
        </w:rPr>
        <w:t>primarily</w:t>
      </w:r>
      <w:r>
        <w:rPr>
          <w:spacing w:val="-9"/>
        </w:rPr>
        <w:t> </w:t>
      </w:r>
      <w:r>
        <w:rPr>
          <w:spacing w:val="-2"/>
        </w:rPr>
        <w:t>invested</w:t>
      </w:r>
      <w:r>
        <w:rPr>
          <w:spacing w:val="-8"/>
        </w:rPr>
        <w:t> </w:t>
      </w:r>
      <w:r>
        <w:rPr>
          <w:spacing w:val="-2"/>
        </w:rPr>
        <w:t>in</w:t>
      </w:r>
      <w:r>
        <w:rPr>
          <w:spacing w:val="-9"/>
        </w:rPr>
        <w:t> </w:t>
      </w:r>
      <w:r>
        <w:rPr>
          <w:spacing w:val="-2"/>
        </w:rPr>
        <w:t>corporate</w:t>
      </w:r>
      <w:r>
        <w:rPr>
          <w:spacing w:val="-9"/>
        </w:rPr>
        <w:t> </w:t>
      </w:r>
      <w:r>
        <w:rPr>
          <w:spacing w:val="-2"/>
        </w:rPr>
        <w:t>bonds</w:t>
      </w:r>
      <w:r>
        <w:rPr>
          <w:spacing w:val="-8"/>
        </w:rPr>
        <w:t> </w:t>
      </w:r>
      <w:r>
        <w:rPr>
          <w:spacing w:val="-2"/>
        </w:rPr>
        <w:t>and</w:t>
      </w:r>
      <w:r>
        <w:rPr>
          <w:spacing w:val="-8"/>
        </w:rPr>
        <w:t> </w:t>
      </w:r>
      <w:r>
        <w:rPr>
          <w:spacing w:val="-2"/>
        </w:rPr>
        <w:t>commercial</w:t>
      </w:r>
      <w:r>
        <w:rPr>
          <w:spacing w:val="-9"/>
        </w:rPr>
        <w:t> </w:t>
      </w:r>
      <w:r>
        <w:rPr>
          <w:spacing w:val="-2"/>
        </w:rPr>
        <w:t>paper,</w:t>
      </w:r>
      <w:r>
        <w:rPr>
          <w:spacing w:val="-8"/>
        </w:rPr>
        <w:t> </w:t>
      </w:r>
      <w:r>
        <w:rPr>
          <w:spacing w:val="-2"/>
        </w:rPr>
        <w:t>U.S.</w:t>
      </w:r>
      <w:r>
        <w:rPr>
          <w:spacing w:val="-11"/>
        </w:rPr>
        <w:t> </w:t>
      </w:r>
      <w:r>
        <w:rPr>
          <w:spacing w:val="-2"/>
        </w:rPr>
        <w:t>Treasury</w:t>
      </w:r>
      <w:r>
        <w:rPr>
          <w:spacing w:val="-9"/>
        </w:rPr>
        <w:t> </w:t>
      </w:r>
      <w:r>
        <w:rPr>
          <w:spacing w:val="-2"/>
        </w:rPr>
        <w:t>securities, foreign</w:t>
      </w:r>
      <w:r>
        <w:rPr>
          <w:spacing w:val="-5"/>
        </w:rPr>
        <w:t> </w:t>
      </w:r>
      <w:r>
        <w:rPr>
          <w:spacing w:val="-2"/>
        </w:rPr>
        <w:t>government</w:t>
      </w:r>
      <w:r>
        <w:rPr>
          <w:spacing w:val="-5"/>
        </w:rPr>
        <w:t> </w:t>
      </w:r>
      <w:r>
        <w:rPr>
          <w:spacing w:val="-2"/>
        </w:rPr>
        <w:t>securities,</w:t>
      </w:r>
      <w:r>
        <w:rPr>
          <w:spacing w:val="-5"/>
        </w:rPr>
        <w:t> </w:t>
      </w:r>
      <w:r>
        <w:rPr>
          <w:spacing w:val="-2"/>
        </w:rPr>
        <w:t>municipal</w:t>
      </w:r>
      <w:r>
        <w:rPr>
          <w:spacing w:val="-7"/>
        </w:rPr>
        <w:t> </w:t>
      </w:r>
      <w:r>
        <w:rPr>
          <w:spacing w:val="-2"/>
        </w:rPr>
        <w:t>securities</w:t>
      </w:r>
      <w:r>
        <w:rPr>
          <w:spacing w:val="-5"/>
        </w:rPr>
        <w:t> </w:t>
      </w:r>
      <w:r>
        <w:rPr>
          <w:spacing w:val="-2"/>
        </w:rPr>
        <w:t>and</w:t>
      </w:r>
      <w:r>
        <w:rPr>
          <w:spacing w:val="-5"/>
        </w:rPr>
        <w:t> </w:t>
      </w:r>
      <w:r>
        <w:rPr>
          <w:spacing w:val="-2"/>
        </w:rPr>
        <w:t>asset-backed</w:t>
      </w:r>
      <w:r>
        <w:rPr>
          <w:spacing w:val="-5"/>
        </w:rPr>
        <w:t> </w:t>
      </w:r>
      <w:r>
        <w:rPr>
          <w:spacing w:val="-2"/>
        </w:rPr>
        <w:t>securities.</w:t>
      </w:r>
      <w:r>
        <w:rPr>
          <w:spacing w:val="-10"/>
        </w:rPr>
        <w:t> </w:t>
      </w:r>
      <w:r>
        <w:rPr>
          <w:spacing w:val="-2"/>
        </w:rPr>
        <w:t>We</w:t>
      </w:r>
      <w:r>
        <w:rPr>
          <w:spacing w:val="-5"/>
        </w:rPr>
        <w:t> </w:t>
      </w:r>
      <w:r>
        <w:rPr>
          <w:spacing w:val="-2"/>
        </w:rPr>
        <w:t>use</w:t>
      </w:r>
      <w:r>
        <w:rPr>
          <w:spacing w:val="-5"/>
        </w:rPr>
        <w:t> </w:t>
      </w:r>
      <w:r>
        <w:rPr>
          <w:spacing w:val="-2"/>
        </w:rPr>
        <w:t>professional</w:t>
      </w:r>
      <w:r>
        <w:rPr>
          <w:spacing w:val="-7"/>
        </w:rPr>
        <w:t> </w:t>
      </w:r>
      <w:r>
        <w:rPr>
          <w:spacing w:val="-2"/>
        </w:rPr>
        <w:t>investment</w:t>
      </w:r>
      <w:r>
        <w:rPr>
          <w:spacing w:val="-5"/>
        </w:rPr>
        <w:t> </w:t>
      </w:r>
      <w:r>
        <w:rPr>
          <w:spacing w:val="-2"/>
        </w:rPr>
        <w:t>management</w:t>
      </w:r>
      <w:r>
        <w:rPr>
          <w:spacing w:val="-7"/>
        </w:rPr>
        <w:t> </w:t>
      </w:r>
      <w:r>
        <w:rPr>
          <w:spacing w:val="-2"/>
        </w:rPr>
        <w:t>firms </w:t>
      </w:r>
      <w:r>
        <w:rPr/>
        <w:t>to manage a large portion of our invested cash.</w:t>
      </w:r>
    </w:p>
    <w:p>
      <w:pPr>
        <w:pStyle w:val="BodyText"/>
        <w:spacing w:before="12"/>
      </w:pPr>
    </w:p>
    <w:p>
      <w:pPr>
        <w:pStyle w:val="Heading2"/>
        <w:jc w:val="both"/>
      </w:pPr>
      <w:r>
        <w:rPr/>
        <w:t>Stock</w:t>
      </w:r>
      <w:r>
        <w:rPr>
          <w:spacing w:val="-5"/>
        </w:rPr>
        <w:t> </w:t>
      </w:r>
      <w:r>
        <w:rPr/>
        <w:t>Repurchase</w:t>
      </w:r>
      <w:r>
        <w:rPr>
          <w:spacing w:val="-4"/>
        </w:rPr>
        <w:t> </w:t>
      </w:r>
      <w:r>
        <w:rPr>
          <w:spacing w:val="-2"/>
        </w:rPr>
        <w:t>Program</w:t>
      </w:r>
    </w:p>
    <w:p>
      <w:pPr>
        <w:pStyle w:val="BodyText"/>
        <w:spacing w:line="249" w:lineRule="auto" w:before="190"/>
        <w:ind w:left="220" w:right="257" w:firstLine="540"/>
        <w:jc w:val="both"/>
      </w:pPr>
      <w:r>
        <w:rPr/>
        <w:t>To</w:t>
      </w:r>
      <w:r>
        <w:rPr>
          <w:spacing w:val="-5"/>
        </w:rPr>
        <w:t> </w:t>
      </w:r>
      <w:r>
        <w:rPr/>
        <w:t>facilitate</w:t>
      </w:r>
      <w:r>
        <w:rPr>
          <w:spacing w:val="-5"/>
        </w:rPr>
        <w:t> </w:t>
      </w:r>
      <w:r>
        <w:rPr/>
        <w:t>our</w:t>
      </w:r>
      <w:r>
        <w:rPr>
          <w:spacing w:val="-5"/>
        </w:rPr>
        <w:t> </w:t>
      </w:r>
      <w:r>
        <w:rPr/>
        <w:t>stock</w:t>
      </w:r>
      <w:r>
        <w:rPr>
          <w:spacing w:val="-5"/>
        </w:rPr>
        <w:t> </w:t>
      </w:r>
      <w:r>
        <w:rPr/>
        <w:t>repurchase</w:t>
      </w:r>
      <w:r>
        <w:rPr>
          <w:spacing w:val="-5"/>
        </w:rPr>
        <w:t> </w:t>
      </w:r>
      <w:r>
        <w:rPr/>
        <w:t>program,</w:t>
      </w:r>
      <w:r>
        <w:rPr>
          <w:spacing w:val="-5"/>
        </w:rPr>
        <w:t> </w:t>
      </w:r>
      <w:r>
        <w:rPr/>
        <w:t>designed</w:t>
      </w:r>
      <w:r>
        <w:rPr>
          <w:spacing w:val="-5"/>
        </w:rPr>
        <w:t> </w:t>
      </w:r>
      <w:r>
        <w:rPr/>
        <w:t>to</w:t>
      </w:r>
      <w:r>
        <w:rPr>
          <w:spacing w:val="-5"/>
        </w:rPr>
        <w:t> </w:t>
      </w:r>
      <w:r>
        <w:rPr/>
        <w:t>return</w:t>
      </w:r>
      <w:r>
        <w:rPr>
          <w:spacing w:val="-5"/>
        </w:rPr>
        <w:t> </w:t>
      </w:r>
      <w:r>
        <w:rPr/>
        <w:t>value</w:t>
      </w:r>
      <w:r>
        <w:rPr>
          <w:spacing w:val="-5"/>
        </w:rPr>
        <w:t> </w:t>
      </w:r>
      <w:r>
        <w:rPr/>
        <w:t>to</w:t>
      </w:r>
      <w:r>
        <w:rPr>
          <w:spacing w:val="-5"/>
        </w:rPr>
        <w:t> </w:t>
      </w:r>
      <w:r>
        <w:rPr/>
        <w:t>our</w:t>
      </w:r>
      <w:r>
        <w:rPr>
          <w:spacing w:val="-5"/>
        </w:rPr>
        <w:t> </w:t>
      </w:r>
      <w:r>
        <w:rPr/>
        <w:t>stockholders</w:t>
      </w:r>
      <w:r>
        <w:rPr>
          <w:spacing w:val="-5"/>
        </w:rPr>
        <w:t> </w:t>
      </w:r>
      <w:r>
        <w:rPr/>
        <w:t>and</w:t>
      </w:r>
      <w:r>
        <w:rPr>
          <w:spacing w:val="-5"/>
        </w:rPr>
        <w:t> </w:t>
      </w:r>
      <w:r>
        <w:rPr/>
        <w:t>minimize</w:t>
      </w:r>
      <w:r>
        <w:rPr>
          <w:spacing w:val="-5"/>
        </w:rPr>
        <w:t> </w:t>
      </w:r>
      <w:r>
        <w:rPr/>
        <w:t>dilution</w:t>
      </w:r>
      <w:r>
        <w:rPr>
          <w:spacing w:val="-5"/>
        </w:rPr>
        <w:t> </w:t>
      </w:r>
      <w:r>
        <w:rPr/>
        <w:t>from</w:t>
      </w:r>
      <w:r>
        <w:rPr>
          <w:spacing w:val="-5"/>
        </w:rPr>
        <w:t> </w:t>
      </w:r>
      <w:r>
        <w:rPr/>
        <w:t>stock issuances, we may repurchase shares in the open market or enter into structured repurchase agreements with third parties. In January 2017, our Board of Directors approved a new stock repurchase program granting us authority to repurchase up to $2.5 billion in common stock through the end of fiscal 2019.</w:t>
      </w:r>
    </w:p>
    <w:p>
      <w:pPr>
        <w:pStyle w:val="BodyText"/>
        <w:spacing w:line="249" w:lineRule="auto" w:before="184"/>
        <w:ind w:left="220" w:right="257" w:firstLine="540"/>
        <w:jc w:val="both"/>
      </w:pPr>
      <w:r>
        <w:rPr/>
        <w:t>During fiscal 2017, 2016 and 2015, we entered into several structured stock repurchase agreements with large financial institutions,</w:t>
      </w:r>
      <w:r>
        <w:rPr>
          <w:spacing w:val="-6"/>
        </w:rPr>
        <w:t> </w:t>
      </w:r>
      <w:r>
        <w:rPr/>
        <w:t>whereupon</w:t>
      </w:r>
      <w:r>
        <w:rPr>
          <w:spacing w:val="-6"/>
        </w:rPr>
        <w:t> </w:t>
      </w:r>
      <w:r>
        <w:rPr/>
        <w:t>we</w:t>
      </w:r>
      <w:r>
        <w:rPr>
          <w:spacing w:val="-6"/>
        </w:rPr>
        <w:t> </w:t>
      </w:r>
      <w:r>
        <w:rPr/>
        <w:t>provided</w:t>
      </w:r>
      <w:r>
        <w:rPr>
          <w:spacing w:val="-6"/>
        </w:rPr>
        <w:t> </w:t>
      </w:r>
      <w:r>
        <w:rPr/>
        <w:t>them</w:t>
      </w:r>
      <w:r>
        <w:rPr>
          <w:spacing w:val="-6"/>
        </w:rPr>
        <w:t> </w:t>
      </w:r>
      <w:r>
        <w:rPr/>
        <w:t>with</w:t>
      </w:r>
      <w:r>
        <w:rPr>
          <w:spacing w:val="-6"/>
        </w:rPr>
        <w:t> </w:t>
      </w:r>
      <w:r>
        <w:rPr/>
        <w:t>prepayments</w:t>
      </w:r>
      <w:r>
        <w:rPr>
          <w:spacing w:val="-5"/>
        </w:rPr>
        <w:t> </w:t>
      </w:r>
      <w:r>
        <w:rPr/>
        <w:t>totaling</w:t>
      </w:r>
      <w:r>
        <w:rPr>
          <w:spacing w:val="-6"/>
        </w:rPr>
        <w:t> </w:t>
      </w:r>
      <w:r>
        <w:rPr/>
        <w:t>$1.10</w:t>
      </w:r>
      <w:r>
        <w:rPr>
          <w:spacing w:val="-6"/>
        </w:rPr>
        <w:t> </w:t>
      </w:r>
      <w:r>
        <w:rPr/>
        <w:t>billion,</w:t>
      </w:r>
      <w:r>
        <w:rPr>
          <w:spacing w:val="-6"/>
        </w:rPr>
        <w:t> </w:t>
      </w:r>
      <w:r>
        <w:rPr/>
        <w:t>$1.08</w:t>
      </w:r>
      <w:r>
        <w:rPr>
          <w:spacing w:val="-6"/>
        </w:rPr>
        <w:t> </w:t>
      </w:r>
      <w:r>
        <w:rPr/>
        <w:t>billion,</w:t>
      </w:r>
      <w:r>
        <w:rPr>
          <w:spacing w:val="-6"/>
        </w:rPr>
        <w:t> </w:t>
      </w:r>
      <w:r>
        <w:rPr/>
        <w:t>and</w:t>
      </w:r>
      <w:r>
        <w:rPr>
          <w:spacing w:val="-6"/>
        </w:rPr>
        <w:t> </w:t>
      </w:r>
      <w:r>
        <w:rPr/>
        <w:t>$625</w:t>
      </w:r>
      <w:r>
        <w:rPr>
          <w:spacing w:val="-6"/>
        </w:rPr>
        <w:t> </w:t>
      </w:r>
      <w:r>
        <w:rPr/>
        <w:t>million,</w:t>
      </w:r>
      <w:r>
        <w:rPr>
          <w:spacing w:val="-6"/>
        </w:rPr>
        <w:t> </w:t>
      </w:r>
      <w:r>
        <w:rPr/>
        <w:t>respectively. </w:t>
      </w:r>
      <w:r>
        <w:rPr>
          <w:spacing w:val="-2"/>
        </w:rPr>
        <w:t>We</w:t>
      </w:r>
      <w:r>
        <w:rPr>
          <w:spacing w:val="-4"/>
        </w:rPr>
        <w:t> </w:t>
      </w:r>
      <w:r>
        <w:rPr>
          <w:spacing w:val="-2"/>
        </w:rPr>
        <w:t>enter</w:t>
      </w:r>
      <w:r>
        <w:rPr>
          <w:spacing w:val="-4"/>
        </w:rPr>
        <w:t> </w:t>
      </w:r>
      <w:r>
        <w:rPr>
          <w:spacing w:val="-2"/>
        </w:rPr>
        <w:t>into</w:t>
      </w:r>
      <w:r>
        <w:rPr>
          <w:spacing w:val="-4"/>
        </w:rPr>
        <w:t> </w:t>
      </w:r>
      <w:r>
        <w:rPr>
          <w:spacing w:val="-2"/>
        </w:rPr>
        <w:t>these</w:t>
      </w:r>
      <w:r>
        <w:rPr>
          <w:spacing w:val="-4"/>
        </w:rPr>
        <w:t> </w:t>
      </w:r>
      <w:r>
        <w:rPr>
          <w:spacing w:val="-2"/>
        </w:rPr>
        <w:t>agreements</w:t>
      </w:r>
      <w:r>
        <w:rPr>
          <w:spacing w:val="-4"/>
        </w:rPr>
        <w:t> </w:t>
      </w:r>
      <w:r>
        <w:rPr>
          <w:spacing w:val="-2"/>
        </w:rPr>
        <w:t>in</w:t>
      </w:r>
      <w:r>
        <w:rPr>
          <w:spacing w:val="-4"/>
        </w:rPr>
        <w:t> </w:t>
      </w:r>
      <w:r>
        <w:rPr>
          <w:spacing w:val="-2"/>
        </w:rPr>
        <w:t>order</w:t>
      </w:r>
      <w:r>
        <w:rPr>
          <w:spacing w:val="-4"/>
        </w:rPr>
        <w:t> </w:t>
      </w:r>
      <w:r>
        <w:rPr>
          <w:spacing w:val="-2"/>
        </w:rPr>
        <w:t>to</w:t>
      </w:r>
      <w:r>
        <w:rPr>
          <w:spacing w:val="-4"/>
        </w:rPr>
        <w:t> </w:t>
      </w:r>
      <w:r>
        <w:rPr>
          <w:spacing w:val="-2"/>
        </w:rPr>
        <w:t>take</w:t>
      </w:r>
      <w:r>
        <w:rPr>
          <w:spacing w:val="-4"/>
        </w:rPr>
        <w:t> </w:t>
      </w:r>
      <w:r>
        <w:rPr>
          <w:spacing w:val="-2"/>
        </w:rPr>
        <w:t>advantage</w:t>
      </w:r>
      <w:r>
        <w:rPr>
          <w:spacing w:val="-4"/>
        </w:rPr>
        <w:t> </w:t>
      </w:r>
      <w:r>
        <w:rPr>
          <w:spacing w:val="-2"/>
        </w:rPr>
        <w:t>of</w:t>
      </w:r>
      <w:r>
        <w:rPr>
          <w:spacing w:val="-4"/>
        </w:rPr>
        <w:t> </w:t>
      </w:r>
      <w:r>
        <w:rPr>
          <w:spacing w:val="-2"/>
        </w:rPr>
        <w:t>repurchasing</w:t>
      </w:r>
      <w:r>
        <w:rPr>
          <w:spacing w:val="-4"/>
        </w:rPr>
        <w:t> </w:t>
      </w:r>
      <w:r>
        <w:rPr>
          <w:spacing w:val="-2"/>
        </w:rPr>
        <w:t>shares</w:t>
      </w:r>
      <w:r>
        <w:rPr>
          <w:spacing w:val="-4"/>
        </w:rPr>
        <w:t> </w:t>
      </w:r>
      <w:r>
        <w:rPr>
          <w:spacing w:val="-2"/>
        </w:rPr>
        <w:t>at</w:t>
      </w:r>
      <w:r>
        <w:rPr>
          <w:spacing w:val="-4"/>
        </w:rPr>
        <w:t> </w:t>
      </w:r>
      <w:r>
        <w:rPr>
          <w:spacing w:val="-2"/>
        </w:rPr>
        <w:t>a</w:t>
      </w:r>
      <w:r>
        <w:rPr>
          <w:spacing w:val="-4"/>
        </w:rPr>
        <w:t> </w:t>
      </w:r>
      <w:r>
        <w:rPr>
          <w:spacing w:val="-2"/>
        </w:rPr>
        <w:t>guaranteed</w:t>
      </w:r>
      <w:r>
        <w:rPr>
          <w:spacing w:val="-4"/>
        </w:rPr>
        <w:t> </w:t>
      </w:r>
      <w:r>
        <w:rPr>
          <w:spacing w:val="-2"/>
        </w:rPr>
        <w:t>discount</w:t>
      </w:r>
      <w:r>
        <w:rPr>
          <w:spacing w:val="-4"/>
        </w:rPr>
        <w:t> </w:t>
      </w:r>
      <w:r>
        <w:rPr>
          <w:spacing w:val="-2"/>
        </w:rPr>
        <w:t>to</w:t>
      </w:r>
      <w:r>
        <w:rPr>
          <w:spacing w:val="-4"/>
        </w:rPr>
        <w:t> </w:t>
      </w:r>
      <w:r>
        <w:rPr>
          <w:spacing w:val="-2"/>
        </w:rPr>
        <w:t>the</w:t>
      </w:r>
      <w:r>
        <w:rPr>
          <w:spacing w:val="-7"/>
        </w:rPr>
        <w:t> </w:t>
      </w:r>
      <w:r>
        <w:rPr>
          <w:spacing w:val="-2"/>
        </w:rPr>
        <w:t>Volume</w:t>
      </w:r>
      <w:r>
        <w:rPr>
          <w:spacing w:val="-7"/>
        </w:rPr>
        <w:t> </w:t>
      </w:r>
      <w:r>
        <w:rPr>
          <w:spacing w:val="-2"/>
        </w:rPr>
        <w:t>Weighted </w:t>
      </w:r>
      <w:r>
        <w:rPr/>
        <w:t>Average Price (“VWAP”) of our common stock over a specified period of time.</w:t>
      </w:r>
      <w:r>
        <w:rPr>
          <w:spacing w:val="-1"/>
        </w:rPr>
        <w:t> </w:t>
      </w:r>
      <w:r>
        <w:rPr/>
        <w:t>We only enter into such transactions when the discount that we receive is higher than our estimate of the expected foregone return on our cash prepayments to the financial institutions.</w:t>
      </w:r>
      <w:r>
        <w:rPr>
          <w:spacing w:val="-13"/>
        </w:rPr>
        <w:t> </w:t>
      </w:r>
      <w:r>
        <w:rPr/>
        <w:t>There</w:t>
      </w:r>
      <w:r>
        <w:rPr>
          <w:spacing w:val="-11"/>
        </w:rPr>
        <w:t> </w:t>
      </w:r>
      <w:r>
        <w:rPr/>
        <w:t>were</w:t>
      </w:r>
      <w:r>
        <w:rPr>
          <w:spacing w:val="-11"/>
        </w:rPr>
        <w:t> </w:t>
      </w:r>
      <w:r>
        <w:rPr/>
        <w:t>no</w:t>
      </w:r>
      <w:r>
        <w:rPr>
          <w:spacing w:val="-11"/>
        </w:rPr>
        <w:t> </w:t>
      </w:r>
      <w:r>
        <w:rPr/>
        <w:t>explicit</w:t>
      </w:r>
      <w:r>
        <w:rPr>
          <w:spacing w:val="-11"/>
        </w:rPr>
        <w:t> </w:t>
      </w:r>
      <w:r>
        <w:rPr/>
        <w:t>commissions</w:t>
      </w:r>
      <w:r>
        <w:rPr>
          <w:spacing w:val="-10"/>
        </w:rPr>
        <w:t> </w:t>
      </w:r>
      <w:r>
        <w:rPr/>
        <w:t>or</w:t>
      </w:r>
      <w:r>
        <w:rPr>
          <w:spacing w:val="-11"/>
        </w:rPr>
        <w:t> </w:t>
      </w:r>
      <w:r>
        <w:rPr/>
        <w:t>fees</w:t>
      </w:r>
      <w:r>
        <w:rPr>
          <w:spacing w:val="-11"/>
        </w:rPr>
        <w:t> </w:t>
      </w:r>
      <w:r>
        <w:rPr/>
        <w:t>on</w:t>
      </w:r>
      <w:r>
        <w:rPr>
          <w:spacing w:val="-11"/>
        </w:rPr>
        <w:t> </w:t>
      </w:r>
      <w:r>
        <w:rPr/>
        <w:t>these</w:t>
      </w:r>
      <w:r>
        <w:rPr>
          <w:spacing w:val="-11"/>
        </w:rPr>
        <w:t> </w:t>
      </w:r>
      <w:r>
        <w:rPr/>
        <w:t>structured</w:t>
      </w:r>
      <w:r>
        <w:rPr>
          <w:spacing w:val="-11"/>
        </w:rPr>
        <w:t> </w:t>
      </w:r>
      <w:r>
        <w:rPr/>
        <w:t>repurchases.</w:t>
      </w:r>
      <w:r>
        <w:rPr>
          <w:spacing w:val="-11"/>
        </w:rPr>
        <w:t> </w:t>
      </w:r>
      <w:r>
        <w:rPr/>
        <w:t>Under</w:t>
      </w:r>
      <w:r>
        <w:rPr>
          <w:spacing w:val="-11"/>
        </w:rPr>
        <w:t> </w:t>
      </w:r>
      <w:r>
        <w:rPr/>
        <w:t>the</w:t>
      </w:r>
      <w:r>
        <w:rPr>
          <w:spacing w:val="-11"/>
        </w:rPr>
        <w:t> </w:t>
      </w:r>
      <w:r>
        <w:rPr/>
        <w:t>terms</w:t>
      </w:r>
      <w:r>
        <w:rPr>
          <w:spacing w:val="-10"/>
        </w:rPr>
        <w:t> </w:t>
      </w:r>
      <w:r>
        <w:rPr/>
        <w:t>of</w:t>
      </w:r>
      <w:r>
        <w:rPr>
          <w:spacing w:val="-11"/>
        </w:rPr>
        <w:t> </w:t>
      </w:r>
      <w:r>
        <w:rPr/>
        <w:t>the</w:t>
      </w:r>
      <w:r>
        <w:rPr>
          <w:spacing w:val="-11"/>
        </w:rPr>
        <w:t> </w:t>
      </w:r>
      <w:r>
        <w:rPr/>
        <w:t>agreements,</w:t>
      </w:r>
      <w:r>
        <w:rPr>
          <w:spacing w:val="-11"/>
        </w:rPr>
        <w:t> </w:t>
      </w:r>
      <w:r>
        <w:rPr/>
        <w:t>there is no requirement for the financial institutions to return any portion of the prepayment to us.</w:t>
      </w:r>
    </w:p>
    <w:p>
      <w:pPr>
        <w:pStyle w:val="BodyText"/>
        <w:spacing w:line="249" w:lineRule="auto" w:before="185"/>
        <w:ind w:left="220" w:right="257" w:firstLine="540"/>
        <w:jc w:val="both"/>
      </w:pPr>
      <w:r>
        <w:rPr/>
        <w:t>The financial institutions agree to deliver shares to us at monthly intervals during the contract term.</w:t>
      </w:r>
      <w:r>
        <w:rPr>
          <w:spacing w:val="-4"/>
        </w:rPr>
        <w:t> </w:t>
      </w:r>
      <w:r>
        <w:rPr/>
        <w:t>The parameters used to calculate the number of shares deliverable are: the total notional amount of the contract, the number of trading days in the contract, the number of trading days in the interval and the average</w:t>
      </w:r>
      <w:r>
        <w:rPr>
          <w:spacing w:val="-4"/>
        </w:rPr>
        <w:t> </w:t>
      </w:r>
      <w:r>
        <w:rPr/>
        <w:t>VWAP</w:t>
      </w:r>
      <w:r>
        <w:rPr>
          <w:spacing w:val="-7"/>
        </w:rPr>
        <w:t> </w:t>
      </w:r>
      <w:r>
        <w:rPr/>
        <w:t>of our stock during the interval less the agreed upon discount.</w:t>
      </w:r>
      <w:r>
        <w:rPr>
          <w:spacing w:val="-2"/>
        </w:rPr>
        <w:t> </w:t>
      </w:r>
      <w:r>
        <w:rPr/>
        <w:t>During</w:t>
      </w:r>
      <w:r>
        <w:rPr>
          <w:spacing w:val="-2"/>
        </w:rPr>
        <w:t> </w:t>
      </w:r>
      <w:r>
        <w:rPr/>
        <w:t>fiscal</w:t>
      </w:r>
      <w:r>
        <w:rPr>
          <w:spacing w:val="-2"/>
        </w:rPr>
        <w:t> </w:t>
      </w:r>
      <w:r>
        <w:rPr/>
        <w:t>2017,</w:t>
      </w:r>
      <w:r>
        <w:rPr>
          <w:spacing w:val="-2"/>
        </w:rPr>
        <w:t> </w:t>
      </w:r>
      <w:r>
        <w:rPr/>
        <w:t>we</w:t>
      </w:r>
      <w:r>
        <w:rPr>
          <w:spacing w:val="-2"/>
        </w:rPr>
        <w:t> </w:t>
      </w:r>
      <w:r>
        <w:rPr/>
        <w:t>repurchased</w:t>
      </w:r>
      <w:r>
        <w:rPr>
          <w:spacing w:val="-2"/>
        </w:rPr>
        <w:t> </w:t>
      </w:r>
      <w:r>
        <w:rPr/>
        <w:t>approximately</w:t>
      </w:r>
      <w:r>
        <w:rPr>
          <w:spacing w:val="-2"/>
        </w:rPr>
        <w:t> </w:t>
      </w:r>
      <w:r>
        <w:rPr/>
        <w:t>8.2</w:t>
      </w:r>
      <w:r>
        <w:rPr>
          <w:spacing w:val="-2"/>
        </w:rPr>
        <w:t> </w:t>
      </w:r>
      <w:r>
        <w:rPr/>
        <w:t>million</w:t>
      </w:r>
      <w:r>
        <w:rPr>
          <w:spacing w:val="-2"/>
        </w:rPr>
        <w:t> </w:t>
      </w:r>
      <w:r>
        <w:rPr/>
        <w:t>shares</w:t>
      </w:r>
      <w:r>
        <w:rPr>
          <w:spacing w:val="-2"/>
        </w:rPr>
        <w:t> </w:t>
      </w:r>
      <w:r>
        <w:rPr/>
        <w:t>at</w:t>
      </w:r>
      <w:r>
        <w:rPr>
          <w:spacing w:val="-2"/>
        </w:rPr>
        <w:t> </w:t>
      </w:r>
      <w:r>
        <w:rPr/>
        <w:t>an</w:t>
      </w:r>
      <w:r>
        <w:rPr>
          <w:spacing w:val="-2"/>
        </w:rPr>
        <w:t> </w:t>
      </w:r>
      <w:r>
        <w:rPr/>
        <w:t>average</w:t>
      </w:r>
      <w:r>
        <w:rPr>
          <w:spacing w:val="-2"/>
        </w:rPr>
        <w:t> </w:t>
      </w:r>
      <w:r>
        <w:rPr/>
        <w:t>price</w:t>
      </w:r>
      <w:r>
        <w:rPr>
          <w:spacing w:val="-2"/>
        </w:rPr>
        <w:t> </w:t>
      </w:r>
      <w:r>
        <w:rPr/>
        <w:t>per</w:t>
      </w:r>
      <w:r>
        <w:rPr>
          <w:spacing w:val="-2"/>
        </w:rPr>
        <w:t> </w:t>
      </w:r>
      <w:r>
        <w:rPr/>
        <w:t>share</w:t>
      </w:r>
      <w:r>
        <w:rPr>
          <w:spacing w:val="-2"/>
        </w:rPr>
        <w:t> </w:t>
      </w:r>
      <w:r>
        <w:rPr/>
        <w:t>of</w:t>
      </w:r>
      <w:r>
        <w:rPr>
          <w:spacing w:val="-2"/>
        </w:rPr>
        <w:t> </w:t>
      </w:r>
      <w:r>
        <w:rPr/>
        <w:t>$134.20</w:t>
      </w:r>
      <w:r>
        <w:rPr>
          <w:spacing w:val="-2"/>
        </w:rPr>
        <w:t> </w:t>
      </w:r>
      <w:r>
        <w:rPr/>
        <w:t>through </w:t>
      </w:r>
      <w:r>
        <w:rPr>
          <w:spacing w:val="-2"/>
        </w:rPr>
        <w:t>structured</w:t>
      </w:r>
      <w:r>
        <w:rPr>
          <w:spacing w:val="-11"/>
        </w:rPr>
        <w:t> </w:t>
      </w:r>
      <w:r>
        <w:rPr>
          <w:spacing w:val="-2"/>
        </w:rPr>
        <w:t>repurchase</w:t>
      </w:r>
      <w:r>
        <w:rPr>
          <w:spacing w:val="-13"/>
        </w:rPr>
        <w:t> </w:t>
      </w:r>
      <w:r>
        <w:rPr>
          <w:spacing w:val="-2"/>
        </w:rPr>
        <w:t>agreements</w:t>
      </w:r>
      <w:r>
        <w:rPr>
          <w:spacing w:val="-10"/>
        </w:rPr>
        <w:t> </w:t>
      </w:r>
      <w:r>
        <w:rPr>
          <w:spacing w:val="-2"/>
        </w:rPr>
        <w:t>entered</w:t>
      </w:r>
      <w:r>
        <w:rPr>
          <w:spacing w:val="-11"/>
        </w:rPr>
        <w:t> </w:t>
      </w:r>
      <w:r>
        <w:rPr>
          <w:spacing w:val="-2"/>
        </w:rPr>
        <w:t>into</w:t>
      </w:r>
      <w:r>
        <w:rPr>
          <w:spacing w:val="-11"/>
        </w:rPr>
        <w:t> </w:t>
      </w:r>
      <w:r>
        <w:rPr>
          <w:spacing w:val="-2"/>
        </w:rPr>
        <w:t>during</w:t>
      </w:r>
      <w:r>
        <w:rPr>
          <w:spacing w:val="-11"/>
        </w:rPr>
        <w:t> </w:t>
      </w:r>
      <w:r>
        <w:rPr>
          <w:spacing w:val="-2"/>
        </w:rPr>
        <w:t>fiscal</w:t>
      </w:r>
      <w:r>
        <w:rPr>
          <w:spacing w:val="-12"/>
        </w:rPr>
        <w:t> </w:t>
      </w:r>
      <w:r>
        <w:rPr>
          <w:spacing w:val="-2"/>
        </w:rPr>
        <w:t>2017</w:t>
      </w:r>
      <w:r>
        <w:rPr>
          <w:spacing w:val="-11"/>
        </w:rPr>
        <w:t> </w:t>
      </w:r>
      <w:r>
        <w:rPr>
          <w:spacing w:val="-2"/>
        </w:rPr>
        <w:t>and</w:t>
      </w:r>
      <w:r>
        <w:rPr>
          <w:spacing w:val="-11"/>
        </w:rPr>
        <w:t> </w:t>
      </w:r>
      <w:r>
        <w:rPr>
          <w:spacing w:val="-2"/>
        </w:rPr>
        <w:t>fiscal</w:t>
      </w:r>
      <w:r>
        <w:rPr>
          <w:spacing w:val="-12"/>
        </w:rPr>
        <w:t> </w:t>
      </w:r>
      <w:r>
        <w:rPr>
          <w:spacing w:val="-2"/>
        </w:rPr>
        <w:t>2016.</w:t>
      </w:r>
      <w:r>
        <w:rPr>
          <w:spacing w:val="-11"/>
        </w:rPr>
        <w:t> </w:t>
      </w:r>
      <w:r>
        <w:rPr>
          <w:spacing w:val="-2"/>
        </w:rPr>
        <w:t>During</w:t>
      </w:r>
      <w:r>
        <w:rPr>
          <w:spacing w:val="-10"/>
        </w:rPr>
        <w:t> </w:t>
      </w:r>
      <w:r>
        <w:rPr>
          <w:spacing w:val="-2"/>
        </w:rPr>
        <w:t>fiscal</w:t>
      </w:r>
      <w:r>
        <w:rPr>
          <w:spacing w:val="-13"/>
        </w:rPr>
        <w:t> </w:t>
      </w:r>
      <w:r>
        <w:rPr>
          <w:spacing w:val="-2"/>
        </w:rPr>
        <w:t>2016,</w:t>
      </w:r>
      <w:r>
        <w:rPr>
          <w:spacing w:val="-10"/>
        </w:rPr>
        <w:t> </w:t>
      </w:r>
      <w:r>
        <w:rPr>
          <w:spacing w:val="-2"/>
        </w:rPr>
        <w:t>we</w:t>
      </w:r>
      <w:r>
        <w:rPr>
          <w:spacing w:val="-13"/>
        </w:rPr>
        <w:t> </w:t>
      </w:r>
      <w:r>
        <w:rPr>
          <w:spacing w:val="-2"/>
        </w:rPr>
        <w:t>repurchased</w:t>
      </w:r>
      <w:r>
        <w:rPr>
          <w:spacing w:val="-10"/>
        </w:rPr>
        <w:t> </w:t>
      </w:r>
      <w:r>
        <w:rPr>
          <w:spacing w:val="-2"/>
        </w:rPr>
        <w:t>approximately</w:t>
      </w:r>
    </w:p>
    <w:p>
      <w:pPr>
        <w:pStyle w:val="BodyText"/>
        <w:spacing w:line="249" w:lineRule="auto" w:before="5"/>
        <w:ind w:left="220" w:right="257"/>
        <w:jc w:val="both"/>
      </w:pPr>
      <w:r>
        <w:rPr/>
        <w:t>10.4 million shares at an average price per share of $97.16 through structured repurchase agreements entered into during fiscal 2016</w:t>
      </w:r>
      <w:r>
        <w:rPr>
          <w:spacing w:val="-13"/>
        </w:rPr>
        <w:t> </w:t>
      </w:r>
      <w:r>
        <w:rPr/>
        <w:t>and</w:t>
      </w:r>
      <w:r>
        <w:rPr>
          <w:spacing w:val="-12"/>
        </w:rPr>
        <w:t> </w:t>
      </w:r>
      <w:r>
        <w:rPr/>
        <w:t>fiscal</w:t>
      </w:r>
      <w:r>
        <w:rPr>
          <w:spacing w:val="-13"/>
        </w:rPr>
        <w:t> </w:t>
      </w:r>
      <w:r>
        <w:rPr/>
        <w:t>2015.</w:t>
      </w:r>
      <w:r>
        <w:rPr>
          <w:spacing w:val="-12"/>
        </w:rPr>
        <w:t> </w:t>
      </w:r>
      <w:r>
        <w:rPr/>
        <w:t>During</w:t>
      </w:r>
      <w:r>
        <w:rPr>
          <w:spacing w:val="-13"/>
        </w:rPr>
        <w:t> </w:t>
      </w:r>
      <w:r>
        <w:rPr/>
        <w:t>fiscal</w:t>
      </w:r>
      <w:r>
        <w:rPr>
          <w:spacing w:val="-12"/>
        </w:rPr>
        <w:t> </w:t>
      </w:r>
      <w:r>
        <w:rPr/>
        <w:t>2015,</w:t>
      </w:r>
      <w:r>
        <w:rPr>
          <w:spacing w:val="-13"/>
        </w:rPr>
        <w:t> </w:t>
      </w:r>
      <w:r>
        <w:rPr/>
        <w:t>we</w:t>
      </w:r>
      <w:r>
        <w:rPr>
          <w:spacing w:val="-12"/>
        </w:rPr>
        <w:t> </w:t>
      </w:r>
      <w:r>
        <w:rPr/>
        <w:t>repurchased</w:t>
      </w:r>
      <w:r>
        <w:rPr>
          <w:spacing w:val="-13"/>
        </w:rPr>
        <w:t> </w:t>
      </w:r>
      <w:r>
        <w:rPr/>
        <w:t>approximately</w:t>
      </w:r>
      <w:r>
        <w:rPr>
          <w:spacing w:val="-12"/>
        </w:rPr>
        <w:t> </w:t>
      </w:r>
      <w:r>
        <w:rPr/>
        <w:t>8.1</w:t>
      </w:r>
      <w:r>
        <w:rPr>
          <w:spacing w:val="-13"/>
        </w:rPr>
        <w:t> </w:t>
      </w:r>
      <w:r>
        <w:rPr/>
        <w:t>million</w:t>
      </w:r>
      <w:r>
        <w:rPr>
          <w:spacing w:val="-12"/>
        </w:rPr>
        <w:t> </w:t>
      </w:r>
      <w:r>
        <w:rPr/>
        <w:t>shares</w:t>
      </w:r>
      <w:r>
        <w:rPr>
          <w:spacing w:val="-13"/>
        </w:rPr>
        <w:t> </w:t>
      </w:r>
      <w:r>
        <w:rPr/>
        <w:t>at</w:t>
      </w:r>
      <w:r>
        <w:rPr>
          <w:spacing w:val="-12"/>
        </w:rPr>
        <w:t> </w:t>
      </w:r>
      <w:r>
        <w:rPr/>
        <w:t>an</w:t>
      </w:r>
      <w:r>
        <w:rPr>
          <w:spacing w:val="-13"/>
        </w:rPr>
        <w:t> </w:t>
      </w:r>
      <w:r>
        <w:rPr/>
        <w:t>average</w:t>
      </w:r>
      <w:r>
        <w:rPr>
          <w:spacing w:val="-12"/>
        </w:rPr>
        <w:t> </w:t>
      </w:r>
      <w:r>
        <w:rPr/>
        <w:t>price</w:t>
      </w:r>
      <w:r>
        <w:rPr>
          <w:spacing w:val="-13"/>
        </w:rPr>
        <w:t> </w:t>
      </w:r>
      <w:r>
        <w:rPr/>
        <w:t>per</w:t>
      </w:r>
      <w:r>
        <w:rPr>
          <w:spacing w:val="-12"/>
        </w:rPr>
        <w:t> </w:t>
      </w:r>
      <w:r>
        <w:rPr/>
        <w:t>share</w:t>
      </w:r>
      <w:r>
        <w:rPr>
          <w:spacing w:val="-13"/>
        </w:rPr>
        <w:t> </w:t>
      </w:r>
      <w:r>
        <w:rPr/>
        <w:t>of</w:t>
      </w:r>
      <w:r>
        <w:rPr>
          <w:spacing w:val="-12"/>
        </w:rPr>
        <w:t> </w:t>
      </w:r>
      <w:r>
        <w:rPr/>
        <w:t>$77.38 through structured repurchase agreements entered into during fiscal 2015 and fiscal 2014.</w:t>
      </w:r>
    </w:p>
    <w:p>
      <w:pPr>
        <w:spacing w:after="0" w:line="249" w:lineRule="auto"/>
        <w:jc w:val="both"/>
        <w:sectPr>
          <w:pgSz w:w="12240" w:h="15840"/>
          <w:pgMar w:header="210" w:footer="579" w:top="420" w:bottom="800" w:left="780" w:right="740"/>
        </w:sectPr>
      </w:pPr>
    </w:p>
    <w:p>
      <w:pPr>
        <w:pStyle w:val="BodyText"/>
        <w:spacing w:before="150"/>
      </w:pPr>
    </w:p>
    <w:p>
      <w:pPr>
        <w:pStyle w:val="BodyText"/>
        <w:spacing w:line="249" w:lineRule="auto"/>
        <w:ind w:left="220" w:right="257" w:firstLine="540"/>
        <w:jc w:val="both"/>
      </w:pPr>
      <w:r>
        <w:rPr/>
        <w:t>For</w:t>
      </w:r>
      <w:r>
        <w:rPr>
          <w:spacing w:val="-1"/>
        </w:rPr>
        <w:t> </w:t>
      </w:r>
      <w:r>
        <w:rPr/>
        <w:t>fiscal</w:t>
      </w:r>
      <w:r>
        <w:rPr>
          <w:spacing w:val="-1"/>
        </w:rPr>
        <w:t> </w:t>
      </w:r>
      <w:r>
        <w:rPr/>
        <w:t>2017,</w:t>
      </w:r>
      <w:r>
        <w:rPr>
          <w:spacing w:val="-1"/>
        </w:rPr>
        <w:t> </w:t>
      </w:r>
      <w:r>
        <w:rPr/>
        <w:t>2016</w:t>
      </w:r>
      <w:r>
        <w:rPr>
          <w:spacing w:val="-1"/>
        </w:rPr>
        <w:t> </w:t>
      </w:r>
      <w:r>
        <w:rPr/>
        <w:t>and</w:t>
      </w:r>
      <w:r>
        <w:rPr>
          <w:spacing w:val="-1"/>
        </w:rPr>
        <w:t> </w:t>
      </w:r>
      <w:r>
        <w:rPr/>
        <w:t>2015,</w:t>
      </w:r>
      <w:r>
        <w:rPr>
          <w:spacing w:val="-1"/>
        </w:rPr>
        <w:t> </w:t>
      </w:r>
      <w:r>
        <w:rPr/>
        <w:t>the</w:t>
      </w:r>
      <w:r>
        <w:rPr>
          <w:spacing w:val="-1"/>
        </w:rPr>
        <w:t> </w:t>
      </w:r>
      <w:r>
        <w:rPr/>
        <w:t>prepayments</w:t>
      </w:r>
      <w:r>
        <w:rPr>
          <w:spacing w:val="-1"/>
        </w:rPr>
        <w:t> </w:t>
      </w:r>
      <w:r>
        <w:rPr/>
        <w:t>were</w:t>
      </w:r>
      <w:r>
        <w:rPr>
          <w:spacing w:val="-1"/>
        </w:rPr>
        <w:t> </w:t>
      </w:r>
      <w:r>
        <w:rPr/>
        <w:t>classified</w:t>
      </w:r>
      <w:r>
        <w:rPr>
          <w:spacing w:val="-1"/>
        </w:rPr>
        <w:t> </w:t>
      </w:r>
      <w:r>
        <w:rPr/>
        <w:t>as</w:t>
      </w:r>
      <w:r>
        <w:rPr>
          <w:spacing w:val="-1"/>
        </w:rPr>
        <w:t> </w:t>
      </w:r>
      <w:r>
        <w:rPr/>
        <w:t>treasury</w:t>
      </w:r>
      <w:r>
        <w:rPr>
          <w:spacing w:val="-1"/>
        </w:rPr>
        <w:t> </w:t>
      </w:r>
      <w:r>
        <w:rPr/>
        <w:t>stock</w:t>
      </w:r>
      <w:r>
        <w:rPr>
          <w:spacing w:val="-1"/>
        </w:rPr>
        <w:t> </w:t>
      </w:r>
      <w:r>
        <w:rPr/>
        <w:t>on</w:t>
      </w:r>
      <w:r>
        <w:rPr>
          <w:spacing w:val="-1"/>
        </w:rPr>
        <w:t> </w:t>
      </w:r>
      <w:r>
        <w:rPr/>
        <w:t>our</w:t>
      </w:r>
      <w:r>
        <w:rPr>
          <w:spacing w:val="-1"/>
        </w:rPr>
        <w:t> </w:t>
      </w:r>
      <w:r>
        <w:rPr/>
        <w:t>Consolidated</w:t>
      </w:r>
      <w:r>
        <w:rPr>
          <w:spacing w:val="-1"/>
        </w:rPr>
        <w:t> </w:t>
      </w:r>
      <w:r>
        <w:rPr/>
        <w:t>Balance</w:t>
      </w:r>
      <w:r>
        <w:rPr>
          <w:spacing w:val="-1"/>
        </w:rPr>
        <w:t> </w:t>
      </w:r>
      <w:r>
        <w:rPr/>
        <w:t>Sheets</w:t>
      </w:r>
      <w:r>
        <w:rPr>
          <w:spacing w:val="-1"/>
        </w:rPr>
        <w:t> </w:t>
      </w:r>
      <w:r>
        <w:rPr/>
        <w:t>at the</w:t>
      </w:r>
      <w:r>
        <w:rPr>
          <w:spacing w:val="-12"/>
        </w:rPr>
        <w:t> </w:t>
      </w:r>
      <w:r>
        <w:rPr/>
        <w:t>payment</w:t>
      </w:r>
      <w:r>
        <w:rPr>
          <w:spacing w:val="-12"/>
        </w:rPr>
        <w:t> </w:t>
      </w:r>
      <w:r>
        <w:rPr/>
        <w:t>date,</w:t>
      </w:r>
      <w:r>
        <w:rPr>
          <w:spacing w:val="-12"/>
        </w:rPr>
        <w:t> </w:t>
      </w:r>
      <w:r>
        <w:rPr/>
        <w:t>though</w:t>
      </w:r>
      <w:r>
        <w:rPr>
          <w:spacing w:val="-12"/>
        </w:rPr>
        <w:t> </w:t>
      </w:r>
      <w:r>
        <w:rPr/>
        <w:t>only</w:t>
      </w:r>
      <w:r>
        <w:rPr>
          <w:spacing w:val="-12"/>
        </w:rPr>
        <w:t> </w:t>
      </w:r>
      <w:r>
        <w:rPr/>
        <w:t>shares</w:t>
      </w:r>
      <w:r>
        <w:rPr>
          <w:spacing w:val="-12"/>
        </w:rPr>
        <w:t> </w:t>
      </w:r>
      <w:r>
        <w:rPr/>
        <w:t>physically</w:t>
      </w:r>
      <w:r>
        <w:rPr>
          <w:spacing w:val="-12"/>
        </w:rPr>
        <w:t> </w:t>
      </w:r>
      <w:r>
        <w:rPr/>
        <w:t>delivered</w:t>
      </w:r>
      <w:r>
        <w:rPr>
          <w:spacing w:val="-12"/>
        </w:rPr>
        <w:t> </w:t>
      </w:r>
      <w:r>
        <w:rPr/>
        <w:t>to</w:t>
      </w:r>
      <w:r>
        <w:rPr>
          <w:spacing w:val="-12"/>
        </w:rPr>
        <w:t> </w:t>
      </w:r>
      <w:r>
        <w:rPr/>
        <w:t>us</w:t>
      </w:r>
      <w:r>
        <w:rPr>
          <w:spacing w:val="-12"/>
        </w:rPr>
        <w:t> </w:t>
      </w:r>
      <w:r>
        <w:rPr/>
        <w:t>by</w:t>
      </w:r>
      <w:r>
        <w:rPr>
          <w:spacing w:val="-12"/>
        </w:rPr>
        <w:t> </w:t>
      </w:r>
      <w:r>
        <w:rPr/>
        <w:t>December</w:t>
      </w:r>
      <w:r>
        <w:rPr>
          <w:spacing w:val="-2"/>
        </w:rPr>
        <w:t> </w:t>
      </w:r>
      <w:r>
        <w:rPr/>
        <w:t>1,</w:t>
      </w:r>
      <w:r>
        <w:rPr>
          <w:spacing w:val="-12"/>
        </w:rPr>
        <w:t> </w:t>
      </w:r>
      <w:r>
        <w:rPr/>
        <w:t>2017,</w:t>
      </w:r>
      <w:r>
        <w:rPr>
          <w:spacing w:val="-12"/>
        </w:rPr>
        <w:t> </w:t>
      </w:r>
      <w:r>
        <w:rPr/>
        <w:t>December</w:t>
      </w:r>
      <w:r>
        <w:rPr>
          <w:spacing w:val="-2"/>
        </w:rPr>
        <w:t> </w:t>
      </w:r>
      <w:r>
        <w:rPr/>
        <w:t>2,</w:t>
      </w:r>
      <w:r>
        <w:rPr>
          <w:spacing w:val="-12"/>
        </w:rPr>
        <w:t> </w:t>
      </w:r>
      <w:r>
        <w:rPr/>
        <w:t>2016</w:t>
      </w:r>
      <w:r>
        <w:rPr>
          <w:spacing w:val="-12"/>
        </w:rPr>
        <w:t> </w:t>
      </w:r>
      <w:r>
        <w:rPr/>
        <w:t>and</w:t>
      </w:r>
      <w:r>
        <w:rPr>
          <w:spacing w:val="-12"/>
        </w:rPr>
        <w:t> </w:t>
      </w:r>
      <w:r>
        <w:rPr/>
        <w:t>November</w:t>
      </w:r>
      <w:r>
        <w:rPr>
          <w:spacing w:val="-2"/>
        </w:rPr>
        <w:t> </w:t>
      </w:r>
      <w:r>
        <w:rPr/>
        <w:t>27,</w:t>
      </w:r>
      <w:r>
        <w:rPr>
          <w:spacing w:val="-12"/>
        </w:rPr>
        <w:t> </w:t>
      </w:r>
      <w:r>
        <w:rPr/>
        <w:t>2015 were excluded from the computation of earnings per share.</w:t>
      </w:r>
      <w:r>
        <w:rPr>
          <w:spacing w:val="-6"/>
        </w:rPr>
        <w:t> </w:t>
      </w:r>
      <w:r>
        <w:rPr/>
        <w:t>As of December</w:t>
      </w:r>
      <w:r>
        <w:rPr>
          <w:spacing w:val="-2"/>
        </w:rPr>
        <w:t> </w:t>
      </w:r>
      <w:r>
        <w:rPr/>
        <w:t>1, 2017, $101.5 million of prepayments remained under the agreement.</w:t>
      </w:r>
    </w:p>
    <w:p>
      <w:pPr>
        <w:pStyle w:val="BodyText"/>
        <w:spacing w:line="249" w:lineRule="auto" w:before="123"/>
        <w:ind w:left="220" w:right="257" w:firstLine="540"/>
        <w:jc w:val="both"/>
      </w:pPr>
      <w:r>
        <w:rPr>
          <w:spacing w:val="-4"/>
        </w:rPr>
        <w:t>Subsequent</w:t>
      </w:r>
      <w:r>
        <w:rPr>
          <w:spacing w:val="-5"/>
        </w:rPr>
        <w:t> </w:t>
      </w:r>
      <w:r>
        <w:rPr>
          <w:spacing w:val="-4"/>
        </w:rPr>
        <w:t>to December</w:t>
      </w:r>
      <w:r>
        <w:rPr>
          <w:spacing w:val="34"/>
        </w:rPr>
        <w:t> </w:t>
      </w:r>
      <w:r>
        <w:rPr>
          <w:spacing w:val="-4"/>
        </w:rPr>
        <w:t>1, 2017, as part</w:t>
      </w:r>
      <w:r>
        <w:rPr>
          <w:spacing w:val="-5"/>
        </w:rPr>
        <w:t> </w:t>
      </w:r>
      <w:r>
        <w:rPr>
          <w:spacing w:val="-4"/>
        </w:rPr>
        <w:t>of the 2017 stock repurchase</w:t>
      </w:r>
      <w:r>
        <w:rPr>
          <w:spacing w:val="-5"/>
        </w:rPr>
        <w:t> </w:t>
      </w:r>
      <w:r>
        <w:rPr>
          <w:spacing w:val="-4"/>
        </w:rPr>
        <w:t>authority, we</w:t>
      </w:r>
      <w:r>
        <w:rPr>
          <w:spacing w:val="-5"/>
        </w:rPr>
        <w:t> </w:t>
      </w:r>
      <w:r>
        <w:rPr>
          <w:spacing w:val="-4"/>
        </w:rPr>
        <w:t>entered into a structured stock repurchase </w:t>
      </w:r>
      <w:r>
        <w:rPr/>
        <w:t>agreement with a large financial institution whereupon we provided them with a prepayment of $300 million.</w:t>
      </w:r>
      <w:r>
        <w:rPr>
          <w:spacing w:val="-2"/>
        </w:rPr>
        <w:t> </w:t>
      </w:r>
      <w:r>
        <w:rPr/>
        <w:t>This amount will be classified as treasury stock on our Consolidated Balance Sheets. Upon completion of the $300 million stock repurchase agreement, $1.6 billion remains under our current authority.</w:t>
      </w:r>
    </w:p>
    <w:p>
      <w:pPr>
        <w:spacing w:line="249" w:lineRule="auto" w:before="183"/>
        <w:ind w:left="220" w:right="258" w:firstLine="540"/>
        <w:jc w:val="both"/>
        <w:rPr>
          <w:i/>
          <w:sz w:val="20"/>
        </w:rPr>
      </w:pPr>
      <w:hyperlink w:history="true" w:anchor="_bookmark9">
        <w:r>
          <w:rPr>
            <w:i/>
            <w:spacing w:val="-2"/>
            <w:sz w:val="20"/>
          </w:rPr>
          <w:t>See</w:t>
        </w:r>
        <w:r>
          <w:rPr>
            <w:i/>
            <w:spacing w:val="-6"/>
            <w:sz w:val="20"/>
          </w:rPr>
          <w:t> </w:t>
        </w:r>
        <w:r>
          <w:rPr>
            <w:i/>
            <w:spacing w:val="-2"/>
            <w:sz w:val="20"/>
          </w:rPr>
          <w:t>Item</w:t>
        </w:r>
        <w:r>
          <w:rPr>
            <w:i/>
            <w:spacing w:val="10"/>
            <w:sz w:val="20"/>
          </w:rPr>
          <w:t> </w:t>
        </w:r>
        <w:r>
          <w:rPr>
            <w:i/>
            <w:spacing w:val="-2"/>
            <w:sz w:val="20"/>
          </w:rPr>
          <w:t>5,</w:t>
        </w:r>
        <w:r>
          <w:rPr>
            <w:i/>
            <w:spacing w:val="-6"/>
            <w:sz w:val="20"/>
          </w:rPr>
          <w:t> </w:t>
        </w:r>
        <w:r>
          <w:rPr>
            <w:i/>
            <w:spacing w:val="-2"/>
            <w:sz w:val="20"/>
          </w:rPr>
          <w:t>Market</w:t>
        </w:r>
        <w:r>
          <w:rPr>
            <w:i/>
            <w:spacing w:val="-6"/>
            <w:sz w:val="20"/>
          </w:rPr>
          <w:t> </w:t>
        </w:r>
        <w:r>
          <w:rPr>
            <w:i/>
            <w:spacing w:val="-2"/>
            <w:sz w:val="20"/>
          </w:rPr>
          <w:t>for</w:t>
        </w:r>
        <w:r>
          <w:rPr>
            <w:i/>
            <w:spacing w:val="-6"/>
            <w:sz w:val="20"/>
          </w:rPr>
          <w:t> </w:t>
        </w:r>
        <w:r>
          <w:rPr>
            <w:i/>
            <w:spacing w:val="-2"/>
            <w:sz w:val="20"/>
          </w:rPr>
          <w:t>Registrant’s</w:t>
        </w:r>
        <w:r>
          <w:rPr>
            <w:i/>
            <w:spacing w:val="-6"/>
            <w:sz w:val="20"/>
          </w:rPr>
          <w:t> </w:t>
        </w:r>
        <w:r>
          <w:rPr>
            <w:i/>
            <w:spacing w:val="-2"/>
            <w:sz w:val="20"/>
          </w:rPr>
          <w:t>Common</w:t>
        </w:r>
        <w:r>
          <w:rPr>
            <w:i/>
            <w:spacing w:val="-6"/>
            <w:sz w:val="20"/>
          </w:rPr>
          <w:t> </w:t>
        </w:r>
        <w:r>
          <w:rPr>
            <w:i/>
            <w:spacing w:val="-2"/>
            <w:sz w:val="20"/>
          </w:rPr>
          <w:t>Equity,</w:t>
        </w:r>
        <w:r>
          <w:rPr>
            <w:i/>
            <w:spacing w:val="-6"/>
            <w:sz w:val="20"/>
          </w:rPr>
          <w:t> </w:t>
        </w:r>
        <w:r>
          <w:rPr>
            <w:i/>
            <w:spacing w:val="-2"/>
            <w:sz w:val="20"/>
          </w:rPr>
          <w:t>Related</w:t>
        </w:r>
        <w:r>
          <w:rPr>
            <w:i/>
            <w:spacing w:val="-6"/>
            <w:sz w:val="20"/>
          </w:rPr>
          <w:t> </w:t>
        </w:r>
        <w:r>
          <w:rPr>
            <w:i/>
            <w:spacing w:val="-2"/>
            <w:sz w:val="20"/>
          </w:rPr>
          <w:t>Stockholder</w:t>
        </w:r>
        <w:r>
          <w:rPr>
            <w:i/>
            <w:spacing w:val="-5"/>
            <w:sz w:val="20"/>
          </w:rPr>
          <w:t> </w:t>
        </w:r>
        <w:r>
          <w:rPr>
            <w:i/>
            <w:spacing w:val="-2"/>
            <w:sz w:val="20"/>
          </w:rPr>
          <w:t>Matters</w:t>
        </w:r>
        <w:r>
          <w:rPr>
            <w:i/>
            <w:spacing w:val="-5"/>
            <w:sz w:val="20"/>
          </w:rPr>
          <w:t> </w:t>
        </w:r>
        <w:r>
          <w:rPr>
            <w:i/>
            <w:spacing w:val="-2"/>
            <w:sz w:val="20"/>
          </w:rPr>
          <w:t>and</w:t>
        </w:r>
        <w:r>
          <w:rPr>
            <w:i/>
            <w:spacing w:val="-6"/>
            <w:sz w:val="20"/>
          </w:rPr>
          <w:t> </w:t>
        </w:r>
        <w:r>
          <w:rPr>
            <w:i/>
            <w:spacing w:val="-2"/>
            <w:sz w:val="20"/>
          </w:rPr>
          <w:t>Issuer</w:t>
        </w:r>
        <w:r>
          <w:rPr>
            <w:i/>
            <w:spacing w:val="-6"/>
            <w:sz w:val="20"/>
          </w:rPr>
          <w:t> </w:t>
        </w:r>
        <w:r>
          <w:rPr>
            <w:i/>
            <w:spacing w:val="-2"/>
            <w:sz w:val="20"/>
          </w:rPr>
          <w:t>Purchases</w:t>
        </w:r>
        <w:r>
          <w:rPr>
            <w:i/>
            <w:spacing w:val="-6"/>
            <w:sz w:val="20"/>
          </w:rPr>
          <w:t> </w:t>
        </w:r>
        <w:r>
          <w:rPr>
            <w:i/>
            <w:spacing w:val="-2"/>
            <w:sz w:val="20"/>
          </w:rPr>
          <w:t>of</w:t>
        </w:r>
        <w:r>
          <w:rPr>
            <w:i/>
            <w:spacing w:val="-6"/>
            <w:sz w:val="20"/>
          </w:rPr>
          <w:t> </w:t>
        </w:r>
        <w:r>
          <w:rPr>
            <w:i/>
            <w:spacing w:val="-2"/>
            <w:sz w:val="20"/>
          </w:rPr>
          <w:t>Equity</w:t>
        </w:r>
        <w:r>
          <w:rPr>
            <w:i/>
            <w:spacing w:val="-6"/>
            <w:sz w:val="20"/>
          </w:rPr>
          <w:t> </w:t>
        </w:r>
        <w:r>
          <w:rPr>
            <w:i/>
            <w:spacing w:val="-2"/>
            <w:sz w:val="20"/>
          </w:rPr>
          <w:t>Securities</w:t>
        </w:r>
      </w:hyperlink>
      <w:r>
        <w:rPr>
          <w:i/>
          <w:spacing w:val="-2"/>
          <w:sz w:val="20"/>
        </w:rPr>
        <w:t> </w:t>
      </w:r>
      <w:hyperlink w:history="true" w:anchor="_bookmark9">
        <w:r>
          <w:rPr>
            <w:i/>
            <w:sz w:val="20"/>
          </w:rPr>
          <w:t>for share repurchases during the quarter ended December 1, 2017.</w:t>
        </w:r>
      </w:hyperlink>
    </w:p>
    <w:p>
      <w:pPr>
        <w:pStyle w:val="Heading2"/>
        <w:spacing w:line="230" w:lineRule="exact" w:before="182"/>
      </w:pPr>
      <w:r>
        <w:rPr/>
        <w:t>Summary</w:t>
      </w:r>
      <w:r>
        <w:rPr>
          <w:spacing w:val="-2"/>
        </w:rPr>
        <w:t> </w:t>
      </w:r>
      <w:r>
        <w:rPr/>
        <w:t>of</w:t>
      </w:r>
      <w:r>
        <w:rPr>
          <w:spacing w:val="-2"/>
        </w:rPr>
        <w:t> </w:t>
      </w:r>
      <w:r>
        <w:rPr/>
        <w:t>Stock</w:t>
      </w:r>
      <w:r>
        <w:rPr>
          <w:spacing w:val="-3"/>
        </w:rPr>
        <w:t> </w:t>
      </w:r>
      <w:r>
        <w:rPr/>
        <w:t>Repurchases</w:t>
      </w:r>
      <w:r>
        <w:rPr>
          <w:spacing w:val="-2"/>
        </w:rPr>
        <w:t> </w:t>
      </w:r>
      <w:r>
        <w:rPr/>
        <w:t>for</w:t>
      </w:r>
      <w:r>
        <w:rPr>
          <w:spacing w:val="-6"/>
        </w:rPr>
        <w:t> </w:t>
      </w:r>
      <w:r>
        <w:rPr/>
        <w:t>Fiscal</w:t>
      </w:r>
      <w:r>
        <w:rPr>
          <w:spacing w:val="-2"/>
        </w:rPr>
        <w:t> </w:t>
      </w:r>
      <w:r>
        <w:rPr/>
        <w:t>2017,</w:t>
      </w:r>
      <w:r>
        <w:rPr>
          <w:spacing w:val="-2"/>
        </w:rPr>
        <w:t> </w:t>
      </w:r>
      <w:r>
        <w:rPr/>
        <w:t>2016</w:t>
      </w:r>
      <w:r>
        <w:rPr>
          <w:spacing w:val="-2"/>
        </w:rPr>
        <w:t> </w:t>
      </w:r>
      <w:r>
        <w:rPr/>
        <w:t>and</w:t>
      </w:r>
      <w:r>
        <w:rPr>
          <w:spacing w:val="-1"/>
        </w:rPr>
        <w:t> </w:t>
      </w:r>
      <w:r>
        <w:rPr>
          <w:spacing w:val="-4"/>
        </w:rPr>
        <w:t>2015</w:t>
      </w:r>
    </w:p>
    <w:p>
      <w:pPr>
        <w:spacing w:line="184" w:lineRule="exact" w:before="0"/>
        <w:ind w:left="220" w:right="0" w:firstLine="0"/>
        <w:jc w:val="left"/>
        <w:rPr>
          <w:b/>
          <w:sz w:val="16"/>
        </w:rPr>
      </w:pPr>
      <w:r>
        <w:rPr>
          <w:b/>
          <w:sz w:val="16"/>
        </w:rPr>
        <w:t>(in</w:t>
      </w:r>
      <w:r>
        <w:rPr>
          <w:b/>
          <w:spacing w:val="-1"/>
          <w:sz w:val="16"/>
        </w:rPr>
        <w:t> </w:t>
      </w:r>
      <w:r>
        <w:rPr>
          <w:b/>
          <w:sz w:val="16"/>
        </w:rPr>
        <w:t>thousands,</w:t>
      </w:r>
      <w:r>
        <w:rPr>
          <w:b/>
          <w:spacing w:val="-1"/>
          <w:sz w:val="16"/>
        </w:rPr>
        <w:t> </w:t>
      </w:r>
      <w:r>
        <w:rPr>
          <w:b/>
          <w:sz w:val="16"/>
        </w:rPr>
        <w:t>except</w:t>
      </w:r>
      <w:r>
        <w:rPr>
          <w:b/>
          <w:spacing w:val="-1"/>
          <w:sz w:val="16"/>
        </w:rPr>
        <w:t> </w:t>
      </w:r>
      <w:r>
        <w:rPr>
          <w:b/>
          <w:sz w:val="16"/>
        </w:rPr>
        <w:t>average</w:t>
      </w:r>
      <w:r>
        <w:rPr>
          <w:b/>
          <w:spacing w:val="-1"/>
          <w:sz w:val="16"/>
        </w:rPr>
        <w:t> </w:t>
      </w:r>
      <w:r>
        <w:rPr>
          <w:b/>
          <w:spacing w:val="-2"/>
          <w:sz w:val="16"/>
        </w:rPr>
        <w:t>amounts)</w:t>
      </w:r>
    </w:p>
    <w:p>
      <w:pPr>
        <w:spacing w:after="0" w:line="184" w:lineRule="exact"/>
        <w:jc w:val="left"/>
        <w:rPr>
          <w:sz w:val="16"/>
        </w:rPr>
        <w:sectPr>
          <w:pgSz w:w="12240" w:h="15840"/>
          <w:pgMar w:header="210" w:footer="579" w:top="420" w:bottom="800" w:left="780" w:right="740"/>
        </w:sectPr>
      </w:pPr>
    </w:p>
    <w:p>
      <w:pPr>
        <w:pStyle w:val="BodyText"/>
        <w:spacing w:before="97"/>
        <w:rPr>
          <w:b/>
          <w:sz w:val="16"/>
        </w:rPr>
      </w:pPr>
    </w:p>
    <w:p>
      <w:pPr>
        <w:spacing w:line="208" w:lineRule="auto" w:before="0"/>
        <w:ind w:left="760" w:right="0" w:hanging="392"/>
        <w:jc w:val="left"/>
        <w:rPr>
          <w:b/>
          <w:sz w:val="16"/>
        </w:rPr>
      </w:pPr>
      <w:r>
        <w:rPr>
          <w:b/>
          <w:spacing w:val="-2"/>
          <w:sz w:val="16"/>
        </w:rPr>
        <w:t>Board</w:t>
      </w:r>
      <w:r>
        <w:rPr>
          <w:b/>
          <w:spacing w:val="-11"/>
          <w:sz w:val="16"/>
        </w:rPr>
        <w:t> </w:t>
      </w:r>
      <w:r>
        <w:rPr>
          <w:b/>
          <w:spacing w:val="-2"/>
          <w:sz w:val="16"/>
        </w:rPr>
        <w:t>Approval</w:t>
      </w:r>
      <w:r>
        <w:rPr>
          <w:b/>
          <w:spacing w:val="40"/>
          <w:sz w:val="16"/>
        </w:rPr>
        <w:t> </w:t>
      </w:r>
      <w:r>
        <w:rPr>
          <w:b/>
          <w:spacing w:val="-4"/>
          <w:sz w:val="16"/>
        </w:rPr>
        <w:t>Date</w:t>
      </w:r>
    </w:p>
    <w:p>
      <w:pPr>
        <w:spacing w:line="240" w:lineRule="auto" w:before="116"/>
        <w:rPr>
          <w:b/>
          <w:sz w:val="16"/>
        </w:rPr>
      </w:pPr>
      <w:r>
        <w:rPr/>
        <w:br w:type="column"/>
      </w:r>
      <w:r>
        <w:rPr>
          <w:b/>
          <w:sz w:val="16"/>
        </w:rPr>
      </w:r>
    </w:p>
    <w:p>
      <w:pPr>
        <w:spacing w:line="132" w:lineRule="auto" w:before="0"/>
        <w:ind w:left="564" w:right="0" w:firstLine="0"/>
        <w:jc w:val="left"/>
        <w:rPr>
          <w:sz w:val="13"/>
        </w:rPr>
      </w:pPr>
      <w:r>
        <w:rPr>
          <w:b/>
          <w:sz w:val="16"/>
        </w:rPr>
        <w:t>Repurchases</w:t>
      </w:r>
      <w:r>
        <w:rPr>
          <w:b/>
          <w:spacing w:val="-4"/>
          <w:sz w:val="16"/>
        </w:rPr>
        <w:t> </w:t>
      </w:r>
      <w:r>
        <w:rPr>
          <w:spacing w:val="-5"/>
          <w:position w:val="-6"/>
          <w:sz w:val="13"/>
        </w:rPr>
        <w:t>(1)</w:t>
      </w:r>
    </w:p>
    <w:p>
      <w:pPr>
        <w:spacing w:line="141" w:lineRule="exact" w:before="0"/>
        <w:ind w:left="368" w:right="0" w:firstLine="0"/>
        <w:jc w:val="left"/>
        <w:rPr>
          <w:b/>
          <w:sz w:val="16"/>
        </w:rPr>
      </w:pPr>
      <w:r>
        <w:rPr>
          <w:b/>
          <w:sz w:val="16"/>
        </w:rPr>
        <w:t>Under</w:t>
      </w:r>
      <w:r>
        <w:rPr>
          <w:b/>
          <w:spacing w:val="-4"/>
          <w:sz w:val="16"/>
        </w:rPr>
        <w:t> </w:t>
      </w:r>
      <w:r>
        <w:rPr>
          <w:b/>
          <w:sz w:val="16"/>
        </w:rPr>
        <w:t>the </w:t>
      </w:r>
      <w:r>
        <w:rPr>
          <w:b/>
          <w:spacing w:val="-4"/>
          <w:sz w:val="16"/>
        </w:rPr>
        <w:t>Plan</w:t>
      </w:r>
    </w:p>
    <w:p>
      <w:pPr>
        <w:spacing w:line="240" w:lineRule="auto" w:before="0"/>
        <w:rPr>
          <w:b/>
          <w:sz w:val="16"/>
        </w:rPr>
      </w:pPr>
      <w:r>
        <w:rPr/>
        <w:br w:type="column"/>
      </w:r>
      <w:r>
        <w:rPr>
          <w:b/>
          <w:sz w:val="16"/>
        </w:rPr>
      </w:r>
    </w:p>
    <w:p>
      <w:pPr>
        <w:tabs>
          <w:tab w:pos="2159" w:val="left" w:leader="none"/>
          <w:tab w:pos="4339" w:val="left" w:leader="none"/>
        </w:tabs>
        <w:spacing w:before="0"/>
        <w:ind w:left="0" w:right="181" w:firstLine="0"/>
        <w:jc w:val="center"/>
        <w:rPr>
          <w:b/>
          <w:sz w:val="16"/>
        </w:rPr>
      </w:pPr>
      <w:r>
        <w:rPr>
          <w:b/>
          <w:spacing w:val="-4"/>
          <w:sz w:val="16"/>
        </w:rPr>
        <w:t>2017</w:t>
      </w:r>
      <w:r>
        <w:rPr>
          <w:b/>
          <w:sz w:val="16"/>
        </w:rPr>
        <w:tab/>
      </w:r>
      <w:r>
        <w:rPr>
          <w:b/>
          <w:spacing w:val="-4"/>
          <w:sz w:val="16"/>
        </w:rPr>
        <w:t>2016</w:t>
      </w:r>
      <w:r>
        <w:rPr>
          <w:b/>
          <w:sz w:val="16"/>
        </w:rPr>
        <w:tab/>
      </w:r>
      <w:r>
        <w:rPr>
          <w:b/>
          <w:spacing w:val="-4"/>
          <w:sz w:val="16"/>
        </w:rPr>
        <w:t>2015</w:t>
      </w:r>
    </w:p>
    <w:p>
      <w:pPr>
        <w:pStyle w:val="BodyText"/>
        <w:spacing w:before="3"/>
        <w:rPr>
          <w:b/>
          <w:sz w:val="3"/>
        </w:rPr>
      </w:pPr>
    </w:p>
    <w:p>
      <w:pPr>
        <w:spacing w:line="20" w:lineRule="exact"/>
        <w:ind w:left="98" w:right="0" w:firstLine="0"/>
        <w:jc w:val="left"/>
        <w:rPr>
          <w:sz w:val="2"/>
        </w:rPr>
      </w:pPr>
      <w:r>
        <w:rPr>
          <w:sz w:val="2"/>
        </w:rPr>
        <mc:AlternateContent>
          <mc:Choice Requires="wps">
            <w:drawing>
              <wp:inline distT="0" distB="0" distL="0" distR="0">
                <wp:extent cx="1320800" cy="12700"/>
                <wp:effectExtent l="9525" t="0" r="3175" b="6350"/>
                <wp:docPr id="189" name="Group 189"/>
                <wp:cNvGraphicFramePr>
                  <a:graphicFrameLocks/>
                </wp:cNvGraphicFramePr>
                <a:graphic>
                  <a:graphicData uri="http://schemas.microsoft.com/office/word/2010/wordprocessingGroup">
                    <wpg:wgp>
                      <wpg:cNvPr id="189" name="Group 189"/>
                      <wpg:cNvGrpSpPr/>
                      <wpg:grpSpPr>
                        <a:xfrm>
                          <a:off x="0" y="0"/>
                          <a:ext cx="1320800" cy="12700"/>
                          <a:chExt cx="1320800" cy="12700"/>
                        </a:xfrm>
                      </wpg:grpSpPr>
                      <wps:wsp>
                        <wps:cNvPr id="190" name="Graphic 190"/>
                        <wps:cNvSpPr/>
                        <wps:spPr>
                          <a:xfrm>
                            <a:off x="0" y="6350"/>
                            <a:ext cx="1320800" cy="1270"/>
                          </a:xfrm>
                          <a:custGeom>
                            <a:avLst/>
                            <a:gdLst/>
                            <a:ahLst/>
                            <a:cxnLst/>
                            <a:rect l="l" t="t" r="r" b="b"/>
                            <a:pathLst>
                              <a:path w="1320800" h="0">
                                <a:moveTo>
                                  <a:pt x="635000" y="0"/>
                                </a:moveTo>
                                <a:lnTo>
                                  <a:pt x="685800" y="0"/>
                                </a:lnTo>
                              </a:path>
                              <a:path w="1320800" h="0">
                                <a:moveTo>
                                  <a:pt x="0" y="0"/>
                                </a:moveTo>
                                <a:lnTo>
                                  <a:pt x="635000" y="0"/>
                                </a:lnTo>
                              </a:path>
                              <a:path w="1320800" h="0">
                                <a:moveTo>
                                  <a:pt x="685800" y="0"/>
                                </a:moveTo>
                                <a:lnTo>
                                  <a:pt x="1320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4pt;height:1pt;mso-position-horizontal-relative:char;mso-position-vertical-relative:line" id="docshapegroup133" coordorigin="0,0" coordsize="2080,20">
                <v:shape style="position:absolute;left:0;top:10;width:2080;height:2" id="docshape134" coordorigin="0,10" coordsize="2080,0" path="m1000,10l1080,10m0,10l1000,10m1080,10l2080,10e" filled="false" stroked="true" strokeweight="1pt" strokecolor="#000000">
                  <v:path arrowok="t"/>
                  <v:stroke dashstyle="solid"/>
                </v:shape>
              </v:group>
            </w:pict>
          </mc:Fallback>
        </mc:AlternateContent>
      </w:r>
      <w:r>
        <w:rPr>
          <w:sz w:val="2"/>
        </w:rPr>
      </w:r>
      <w:r>
        <w:rPr>
          <w:spacing w:val="40"/>
          <w:sz w:val="2"/>
        </w:rPr>
        <w:t> </w:t>
      </w:r>
      <w:r>
        <w:rPr>
          <w:spacing w:val="40"/>
          <w:sz w:val="2"/>
        </w:rPr>
        <mc:AlternateContent>
          <mc:Choice Requires="wps">
            <w:drawing>
              <wp:inline distT="0" distB="0" distL="0" distR="0">
                <wp:extent cx="1320800" cy="12700"/>
                <wp:effectExtent l="9525" t="0" r="3175" b="6350"/>
                <wp:docPr id="191" name="Group 191"/>
                <wp:cNvGraphicFramePr>
                  <a:graphicFrameLocks/>
                </wp:cNvGraphicFramePr>
                <a:graphic>
                  <a:graphicData uri="http://schemas.microsoft.com/office/word/2010/wordprocessingGroup">
                    <wpg:wgp>
                      <wpg:cNvPr id="191" name="Group 191"/>
                      <wpg:cNvGrpSpPr/>
                      <wpg:grpSpPr>
                        <a:xfrm>
                          <a:off x="0" y="0"/>
                          <a:ext cx="1320800" cy="12700"/>
                          <a:chExt cx="1320800" cy="12700"/>
                        </a:xfrm>
                      </wpg:grpSpPr>
                      <wps:wsp>
                        <wps:cNvPr id="192" name="Graphic 192"/>
                        <wps:cNvSpPr/>
                        <wps:spPr>
                          <a:xfrm>
                            <a:off x="0" y="6350"/>
                            <a:ext cx="1320800" cy="1270"/>
                          </a:xfrm>
                          <a:custGeom>
                            <a:avLst/>
                            <a:gdLst/>
                            <a:ahLst/>
                            <a:cxnLst/>
                            <a:rect l="l" t="t" r="r" b="b"/>
                            <a:pathLst>
                              <a:path w="1320800" h="0">
                                <a:moveTo>
                                  <a:pt x="635000" y="0"/>
                                </a:moveTo>
                                <a:lnTo>
                                  <a:pt x="685800" y="0"/>
                                </a:lnTo>
                              </a:path>
                              <a:path w="1320800" h="0">
                                <a:moveTo>
                                  <a:pt x="0" y="0"/>
                                </a:moveTo>
                                <a:lnTo>
                                  <a:pt x="635000" y="0"/>
                                </a:lnTo>
                              </a:path>
                              <a:path w="1320800" h="0">
                                <a:moveTo>
                                  <a:pt x="685800" y="0"/>
                                </a:moveTo>
                                <a:lnTo>
                                  <a:pt x="1320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4pt;height:1pt;mso-position-horizontal-relative:char;mso-position-vertical-relative:line" id="docshapegroup135" coordorigin="0,0" coordsize="2080,20">
                <v:shape style="position:absolute;left:0;top:10;width:2080;height:2" id="docshape136" coordorigin="0,10" coordsize="2080,0" path="m1000,10l1080,10m0,10l1000,10m1080,10l2080,10e" filled="false" stroked="true" strokeweight="1pt" strokecolor="#000000">
                  <v:path arrowok="t"/>
                  <v:stroke dashstyle="solid"/>
                </v:shape>
              </v:group>
            </w:pict>
          </mc:Fallback>
        </mc:AlternateContent>
      </w:r>
      <w:r>
        <w:rPr>
          <w:spacing w:val="40"/>
          <w:sz w:val="2"/>
        </w:rPr>
      </w:r>
      <w:r>
        <w:rPr>
          <w:spacing w:val="40"/>
          <w:sz w:val="2"/>
        </w:rPr>
        <w:t> </w:t>
      </w:r>
      <w:r>
        <w:rPr>
          <w:spacing w:val="40"/>
          <w:sz w:val="2"/>
        </w:rPr>
        <mc:AlternateContent>
          <mc:Choice Requires="wps">
            <w:drawing>
              <wp:inline distT="0" distB="0" distL="0" distR="0">
                <wp:extent cx="1346200" cy="12700"/>
                <wp:effectExtent l="9525" t="0" r="6350" b="6350"/>
                <wp:docPr id="193" name="Group 193"/>
                <wp:cNvGraphicFramePr>
                  <a:graphicFrameLocks/>
                </wp:cNvGraphicFramePr>
                <a:graphic>
                  <a:graphicData uri="http://schemas.microsoft.com/office/word/2010/wordprocessingGroup">
                    <wpg:wgp>
                      <wpg:cNvPr id="193" name="Group 193"/>
                      <wpg:cNvGrpSpPr/>
                      <wpg:grpSpPr>
                        <a:xfrm>
                          <a:off x="0" y="0"/>
                          <a:ext cx="1346200" cy="12700"/>
                          <a:chExt cx="1346200" cy="12700"/>
                        </a:xfrm>
                      </wpg:grpSpPr>
                      <wps:wsp>
                        <wps:cNvPr id="194" name="Graphic 194"/>
                        <wps:cNvSpPr/>
                        <wps:spPr>
                          <a:xfrm>
                            <a:off x="0" y="6350"/>
                            <a:ext cx="1346200" cy="1270"/>
                          </a:xfrm>
                          <a:custGeom>
                            <a:avLst/>
                            <a:gdLst/>
                            <a:ahLst/>
                            <a:cxnLst/>
                            <a:rect l="l" t="t" r="r" b="b"/>
                            <a:pathLst>
                              <a:path w="1346200" h="0">
                                <a:moveTo>
                                  <a:pt x="635000" y="0"/>
                                </a:moveTo>
                                <a:lnTo>
                                  <a:pt x="685800" y="0"/>
                                </a:lnTo>
                              </a:path>
                              <a:path w="1346200" h="0">
                                <a:moveTo>
                                  <a:pt x="0" y="0"/>
                                </a:moveTo>
                                <a:lnTo>
                                  <a:pt x="635000" y="0"/>
                                </a:lnTo>
                              </a:path>
                              <a:path w="1346200" h="0">
                                <a:moveTo>
                                  <a:pt x="685800" y="0"/>
                                </a:moveTo>
                                <a:lnTo>
                                  <a:pt x="1346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pt;height:1pt;mso-position-horizontal-relative:char;mso-position-vertical-relative:line" id="docshapegroup137" coordorigin="0,0" coordsize="2120,20">
                <v:shape style="position:absolute;left:0;top:10;width:2120;height:2" id="docshape138" coordorigin="0,10" coordsize="2120,0" path="m1000,10l1080,10m0,10l1000,10m1080,10l2120,10e" filled="false" stroked="true" strokeweight="1pt" strokecolor="#000000">
                  <v:path arrowok="t"/>
                  <v:stroke dashstyle="solid"/>
                </v:shape>
              </v:group>
            </w:pict>
          </mc:Fallback>
        </mc:AlternateContent>
      </w:r>
      <w:r>
        <w:rPr>
          <w:spacing w:val="40"/>
          <w:sz w:val="2"/>
        </w:rPr>
      </w:r>
    </w:p>
    <w:p>
      <w:pPr>
        <w:tabs>
          <w:tab w:pos="1030" w:val="left" w:leader="none"/>
          <w:tab w:pos="2159" w:val="left" w:leader="none"/>
          <w:tab w:pos="3190" w:val="left" w:leader="none"/>
          <w:tab w:pos="4319" w:val="left" w:leader="none"/>
          <w:tab w:pos="5370" w:val="left" w:leader="none"/>
        </w:tabs>
        <w:spacing w:before="0"/>
        <w:ind w:left="0" w:right="132" w:firstLine="0"/>
        <w:jc w:val="center"/>
        <w:rPr>
          <w:b/>
          <w:sz w:val="16"/>
        </w:rPr>
      </w:pPr>
      <w:r>
        <w:rPr>
          <w:b/>
          <w:spacing w:val="-2"/>
          <w:sz w:val="16"/>
        </w:rPr>
        <w:t>Shares</w:t>
      </w:r>
      <w:r>
        <w:rPr>
          <w:b/>
          <w:sz w:val="16"/>
        </w:rPr>
        <w:tab/>
      </w:r>
      <w:r>
        <w:rPr>
          <w:b/>
          <w:spacing w:val="-2"/>
          <w:sz w:val="16"/>
        </w:rPr>
        <w:t>Average</w:t>
      </w:r>
      <w:r>
        <w:rPr>
          <w:b/>
          <w:sz w:val="16"/>
        </w:rPr>
        <w:tab/>
      </w:r>
      <w:r>
        <w:rPr>
          <w:b/>
          <w:spacing w:val="-2"/>
          <w:sz w:val="16"/>
        </w:rPr>
        <w:t>Shares</w:t>
      </w:r>
      <w:r>
        <w:rPr>
          <w:b/>
          <w:sz w:val="16"/>
        </w:rPr>
        <w:tab/>
      </w:r>
      <w:r>
        <w:rPr>
          <w:b/>
          <w:spacing w:val="-2"/>
          <w:sz w:val="16"/>
        </w:rPr>
        <w:t>Average</w:t>
      </w:r>
      <w:r>
        <w:rPr>
          <w:b/>
          <w:sz w:val="16"/>
        </w:rPr>
        <w:tab/>
      </w:r>
      <w:r>
        <w:rPr>
          <w:b/>
          <w:spacing w:val="-2"/>
          <w:sz w:val="16"/>
        </w:rPr>
        <w:t>Shares</w:t>
      </w:r>
      <w:r>
        <w:rPr>
          <w:b/>
          <w:sz w:val="16"/>
        </w:rPr>
        <w:tab/>
      </w:r>
      <w:r>
        <w:rPr>
          <w:b/>
          <w:spacing w:val="-2"/>
          <w:sz w:val="16"/>
        </w:rPr>
        <w:t>Average</w:t>
      </w:r>
    </w:p>
    <w:p>
      <w:pPr>
        <w:spacing w:after="0"/>
        <w:jc w:val="center"/>
        <w:rPr>
          <w:sz w:val="16"/>
        </w:rPr>
        <w:sectPr>
          <w:type w:val="continuous"/>
          <w:pgSz w:w="12240" w:h="15840"/>
          <w:pgMar w:header="210" w:footer="579" w:top="680" w:bottom="280" w:left="780" w:right="740"/>
          <w:cols w:num="3" w:equalWidth="0">
            <w:col w:w="1513" w:space="308"/>
            <w:col w:w="1670" w:space="431"/>
            <w:col w:w="6798"/>
          </w:cols>
        </w:sectPr>
      </w:pPr>
    </w:p>
    <w:p>
      <w:pPr>
        <w:pStyle w:val="BodyText"/>
        <w:spacing w:before="1"/>
        <w:rPr>
          <w:b/>
          <w:sz w:val="3"/>
        </w:rPr>
      </w:pPr>
    </w:p>
    <w:p>
      <w:pPr>
        <w:pStyle w:val="BodyText"/>
        <w:ind w:left="230"/>
      </w:pPr>
      <w:r>
        <w:rPr/>
        <mc:AlternateContent>
          <mc:Choice Requires="wps">
            <w:drawing>
              <wp:inline distT="0" distB="0" distL="0" distR="0">
                <wp:extent cx="6502400" cy="196850"/>
                <wp:effectExtent l="0" t="0" r="0" b="3175"/>
                <wp:docPr id="195" name="Group 195"/>
                <wp:cNvGraphicFramePr>
                  <a:graphicFrameLocks/>
                </wp:cNvGraphicFramePr>
                <a:graphic>
                  <a:graphicData uri="http://schemas.microsoft.com/office/word/2010/wordprocessingGroup">
                    <wpg:wgp>
                      <wpg:cNvPr id="195" name="Group 195"/>
                      <wpg:cNvGrpSpPr/>
                      <wpg:grpSpPr>
                        <a:xfrm>
                          <a:off x="0" y="0"/>
                          <a:ext cx="6502400" cy="196850"/>
                          <a:chExt cx="6502400" cy="196850"/>
                        </a:xfrm>
                      </wpg:grpSpPr>
                      <wps:wsp>
                        <wps:cNvPr id="196" name="Graphic 196"/>
                        <wps:cNvSpPr/>
                        <wps:spPr>
                          <a:xfrm>
                            <a:off x="2413000" y="0"/>
                            <a:ext cx="4089400" cy="12700"/>
                          </a:xfrm>
                          <a:custGeom>
                            <a:avLst/>
                            <a:gdLst/>
                            <a:ahLst/>
                            <a:cxnLst/>
                            <a:rect l="l" t="t" r="r" b="b"/>
                            <a:pathLst>
                              <a:path w="4089400" h="12700">
                                <a:moveTo>
                                  <a:pt x="635000" y="0"/>
                                </a:moveTo>
                                <a:lnTo>
                                  <a:pt x="0" y="0"/>
                                </a:lnTo>
                                <a:lnTo>
                                  <a:pt x="0" y="12700"/>
                                </a:lnTo>
                                <a:lnTo>
                                  <a:pt x="635000" y="12700"/>
                                </a:lnTo>
                                <a:lnTo>
                                  <a:pt x="635000" y="0"/>
                                </a:lnTo>
                                <a:close/>
                              </a:path>
                              <a:path w="4089400" h="12700">
                                <a:moveTo>
                                  <a:pt x="1320800" y="0"/>
                                </a:moveTo>
                                <a:lnTo>
                                  <a:pt x="685800" y="0"/>
                                </a:lnTo>
                                <a:lnTo>
                                  <a:pt x="685800" y="12700"/>
                                </a:lnTo>
                                <a:lnTo>
                                  <a:pt x="1320800" y="12700"/>
                                </a:lnTo>
                                <a:lnTo>
                                  <a:pt x="1320800" y="0"/>
                                </a:lnTo>
                                <a:close/>
                              </a:path>
                              <a:path w="4089400" h="12700">
                                <a:moveTo>
                                  <a:pt x="2006600" y="0"/>
                                </a:moveTo>
                                <a:lnTo>
                                  <a:pt x="1371600" y="0"/>
                                </a:lnTo>
                                <a:lnTo>
                                  <a:pt x="1371600" y="12700"/>
                                </a:lnTo>
                                <a:lnTo>
                                  <a:pt x="2006600" y="12700"/>
                                </a:lnTo>
                                <a:lnTo>
                                  <a:pt x="2006600" y="0"/>
                                </a:lnTo>
                                <a:close/>
                              </a:path>
                              <a:path w="4089400" h="12700">
                                <a:moveTo>
                                  <a:pt x="2692400" y="0"/>
                                </a:moveTo>
                                <a:lnTo>
                                  <a:pt x="2057400" y="0"/>
                                </a:lnTo>
                                <a:lnTo>
                                  <a:pt x="2057400" y="12700"/>
                                </a:lnTo>
                                <a:lnTo>
                                  <a:pt x="2692400" y="12700"/>
                                </a:lnTo>
                                <a:lnTo>
                                  <a:pt x="2692400" y="0"/>
                                </a:lnTo>
                                <a:close/>
                              </a:path>
                              <a:path w="4089400" h="12700">
                                <a:moveTo>
                                  <a:pt x="3378200" y="0"/>
                                </a:moveTo>
                                <a:lnTo>
                                  <a:pt x="2743200" y="0"/>
                                </a:lnTo>
                                <a:lnTo>
                                  <a:pt x="2743200" y="12700"/>
                                </a:lnTo>
                                <a:lnTo>
                                  <a:pt x="3378200" y="12700"/>
                                </a:lnTo>
                                <a:lnTo>
                                  <a:pt x="3378200" y="0"/>
                                </a:lnTo>
                                <a:close/>
                              </a:path>
                              <a:path w="4089400" h="12700">
                                <a:moveTo>
                                  <a:pt x="4089400" y="0"/>
                                </a:moveTo>
                                <a:lnTo>
                                  <a:pt x="3429000" y="0"/>
                                </a:lnTo>
                                <a:lnTo>
                                  <a:pt x="3429000" y="12700"/>
                                </a:lnTo>
                                <a:lnTo>
                                  <a:pt x="4089400" y="12700"/>
                                </a:lnTo>
                                <a:lnTo>
                                  <a:pt x="4089400" y="0"/>
                                </a:lnTo>
                                <a:close/>
                              </a:path>
                            </a:pathLst>
                          </a:custGeom>
                          <a:solidFill>
                            <a:srgbClr val="000000"/>
                          </a:solidFill>
                        </wps:spPr>
                        <wps:bodyPr wrap="square" lIns="0" tIns="0" rIns="0" bIns="0" rtlCol="0">
                          <a:prstTxWarp prst="textNoShape">
                            <a:avLst/>
                          </a:prstTxWarp>
                          <a:noAutofit/>
                        </wps:bodyPr>
                      </wps:wsp>
                      <wps:wsp>
                        <wps:cNvPr id="197" name="Textbox 197"/>
                        <wps:cNvSpPr txBox="1"/>
                        <wps:spPr>
                          <a:xfrm>
                            <a:off x="0" y="6350"/>
                            <a:ext cx="6502400" cy="190500"/>
                          </a:xfrm>
                          <a:prstGeom prst="rect">
                            <a:avLst/>
                          </a:prstGeom>
                          <a:solidFill>
                            <a:srgbClr val="CCEDFF"/>
                          </a:solidFill>
                        </wps:spPr>
                        <wps:txbx>
                          <w:txbxContent>
                            <w:p>
                              <w:pPr>
                                <w:tabs>
                                  <w:tab w:pos="1529" w:val="left" w:leader="none"/>
                                  <w:tab w:pos="4522" w:val="left" w:leader="none"/>
                                  <w:tab w:pos="4929" w:val="left" w:leader="none"/>
                                  <w:tab w:pos="5602" w:val="left" w:leader="none"/>
                                  <w:tab w:pos="6682" w:val="left" w:leader="none"/>
                                  <w:tab w:pos="7089" w:val="left" w:leader="none"/>
                                  <w:tab w:pos="7762" w:val="left" w:leader="none"/>
                                  <w:tab w:pos="8592" w:val="left" w:leader="none"/>
                                  <w:tab w:pos="9249" w:val="left" w:leader="none"/>
                                  <w:tab w:pos="9712" w:val="left" w:leader="none"/>
                                </w:tabs>
                                <w:spacing w:before="20"/>
                                <w:ind w:left="50" w:right="0" w:firstLine="0"/>
                                <w:jc w:val="left"/>
                                <w:rPr>
                                  <w:color w:val="000000"/>
                                  <w:sz w:val="20"/>
                                </w:rPr>
                              </w:pPr>
                              <w:r>
                                <w:rPr>
                                  <w:color w:val="000000"/>
                                  <w:sz w:val="20"/>
                                </w:rPr>
                                <w:t>April </w:t>
                              </w:r>
                              <w:r>
                                <w:rPr>
                                  <w:color w:val="000000"/>
                                  <w:spacing w:val="-4"/>
                                  <w:sz w:val="20"/>
                                </w:rPr>
                                <w:t>2012</w:t>
                              </w:r>
                              <w:r>
                                <w:rPr>
                                  <w:color w:val="000000"/>
                                  <w:sz w:val="20"/>
                                </w:rPr>
                                <w:tab/>
                                <w:t>Structured </w:t>
                              </w:r>
                              <w:r>
                                <w:rPr>
                                  <w:color w:val="000000"/>
                                  <w:spacing w:val="-2"/>
                                  <w:sz w:val="20"/>
                                </w:rPr>
                                <w:t>repurchases</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2"/>
                                  <w:sz w:val="20"/>
                                </w:rPr>
                                <w:t>3,255</w:t>
                              </w:r>
                              <w:r>
                                <w:rPr>
                                  <w:color w:val="000000"/>
                                  <w:sz w:val="20"/>
                                </w:rPr>
                                <w:tab/>
                              </w:r>
                              <w:r>
                                <w:rPr>
                                  <w:color w:val="000000"/>
                                  <w:spacing w:val="-10"/>
                                  <w:sz w:val="20"/>
                                </w:rPr>
                                <w:t>$</w:t>
                              </w:r>
                              <w:r>
                                <w:rPr>
                                  <w:color w:val="000000"/>
                                  <w:sz w:val="20"/>
                                </w:rPr>
                                <w:tab/>
                              </w:r>
                              <w:r>
                                <w:rPr>
                                  <w:color w:val="000000"/>
                                  <w:spacing w:val="-2"/>
                                  <w:sz w:val="20"/>
                                </w:rPr>
                                <w:t>73.83</w:t>
                              </w:r>
                            </w:p>
                          </w:txbxContent>
                        </wps:txbx>
                        <wps:bodyPr wrap="square" lIns="0" tIns="0" rIns="0" bIns="0" rtlCol="0">
                          <a:noAutofit/>
                        </wps:bodyPr>
                      </wps:wsp>
                    </wpg:wgp>
                  </a:graphicData>
                </a:graphic>
              </wp:inline>
            </w:drawing>
          </mc:Choice>
          <mc:Fallback>
            <w:pict>
              <v:group style="width:512pt;height:15.5pt;mso-position-horizontal-relative:char;mso-position-vertical-relative:line" id="docshapegroup139" coordorigin="0,0" coordsize="10240,310">
                <v:shape style="position:absolute;left:3800;top:0;width:6440;height:20" id="docshape140" coordorigin="3800,0" coordsize="6440,20" path="m4800,0l3800,0,3800,20,4800,20,4800,0xm5880,0l4880,0,4880,20,5880,20,5880,0xm6960,0l5960,0,5960,20,6960,20,6960,0xm8040,0l7040,0,7040,20,8040,20,8040,0xm9120,0l8120,0,8120,20,9120,20,9120,0xm10240,0l9200,0,9200,20,10240,20,10240,0xe" filled="true" fillcolor="#000000" stroked="false">
                  <v:path arrowok="t"/>
                  <v:fill type="solid"/>
                </v:shape>
                <v:shape style="position:absolute;left:0;top:10;width:10240;height:300" type="#_x0000_t202" id="docshape141" filled="true" fillcolor="#ccedff" stroked="false">
                  <v:textbox inset="0,0,0,0">
                    <w:txbxContent>
                      <w:p>
                        <w:pPr>
                          <w:tabs>
                            <w:tab w:pos="1529" w:val="left" w:leader="none"/>
                            <w:tab w:pos="4522" w:val="left" w:leader="none"/>
                            <w:tab w:pos="4929" w:val="left" w:leader="none"/>
                            <w:tab w:pos="5602" w:val="left" w:leader="none"/>
                            <w:tab w:pos="6682" w:val="left" w:leader="none"/>
                            <w:tab w:pos="7089" w:val="left" w:leader="none"/>
                            <w:tab w:pos="7762" w:val="left" w:leader="none"/>
                            <w:tab w:pos="8592" w:val="left" w:leader="none"/>
                            <w:tab w:pos="9249" w:val="left" w:leader="none"/>
                            <w:tab w:pos="9712" w:val="left" w:leader="none"/>
                          </w:tabs>
                          <w:spacing w:before="20"/>
                          <w:ind w:left="50" w:right="0" w:firstLine="0"/>
                          <w:jc w:val="left"/>
                          <w:rPr>
                            <w:color w:val="000000"/>
                            <w:sz w:val="20"/>
                          </w:rPr>
                        </w:pPr>
                        <w:r>
                          <w:rPr>
                            <w:color w:val="000000"/>
                            <w:sz w:val="20"/>
                          </w:rPr>
                          <w:t>April </w:t>
                        </w:r>
                        <w:r>
                          <w:rPr>
                            <w:color w:val="000000"/>
                            <w:spacing w:val="-4"/>
                            <w:sz w:val="20"/>
                          </w:rPr>
                          <w:t>2012</w:t>
                        </w:r>
                        <w:r>
                          <w:rPr>
                            <w:color w:val="000000"/>
                            <w:sz w:val="20"/>
                          </w:rPr>
                          <w:tab/>
                          <w:t>Structured </w:t>
                        </w:r>
                        <w:r>
                          <w:rPr>
                            <w:color w:val="000000"/>
                            <w:spacing w:val="-2"/>
                            <w:sz w:val="20"/>
                          </w:rPr>
                          <w:t>repurchases</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2"/>
                            <w:sz w:val="20"/>
                          </w:rPr>
                          <w:t>3,255</w:t>
                        </w:r>
                        <w:r>
                          <w:rPr>
                            <w:color w:val="000000"/>
                            <w:sz w:val="20"/>
                          </w:rPr>
                          <w:tab/>
                        </w:r>
                        <w:r>
                          <w:rPr>
                            <w:color w:val="000000"/>
                            <w:spacing w:val="-10"/>
                            <w:sz w:val="20"/>
                          </w:rPr>
                          <w:t>$</w:t>
                        </w:r>
                        <w:r>
                          <w:rPr>
                            <w:color w:val="000000"/>
                            <w:sz w:val="20"/>
                          </w:rPr>
                          <w:tab/>
                        </w:r>
                        <w:r>
                          <w:rPr>
                            <w:color w:val="000000"/>
                            <w:spacing w:val="-2"/>
                            <w:sz w:val="20"/>
                          </w:rPr>
                          <w:t>73.83</w:t>
                        </w:r>
                      </w:p>
                    </w:txbxContent>
                  </v:textbox>
                  <v:fill type="solid"/>
                  <w10:wrap type="none"/>
                </v:shape>
              </v:group>
            </w:pict>
          </mc:Fallback>
        </mc:AlternateContent>
      </w:r>
      <w:r>
        <w:rPr/>
      </w:r>
    </w:p>
    <w:p>
      <w:pPr>
        <w:pStyle w:val="BodyText"/>
        <w:tabs>
          <w:tab w:pos="1759" w:val="left" w:leader="none"/>
          <w:tab w:pos="4502" w:val="left" w:leader="none"/>
          <w:tab w:pos="5159" w:val="left" w:leader="none"/>
          <w:tab w:pos="5482" w:val="left" w:leader="none"/>
          <w:tab w:pos="6562" w:val="left" w:leader="none"/>
          <w:tab w:pos="7319" w:val="left" w:leader="none"/>
          <w:tab w:pos="7742" w:val="left" w:leader="none"/>
          <w:tab w:pos="8822" w:val="left" w:leader="none"/>
          <w:tab w:pos="9479" w:val="left" w:leader="none"/>
          <w:tab w:pos="9942" w:val="left" w:leader="none"/>
        </w:tabs>
        <w:ind w:left="280"/>
      </w:pPr>
      <w:r>
        <w:rPr/>
        <mc:AlternateContent>
          <mc:Choice Requires="wps">
            <w:drawing>
              <wp:anchor distT="0" distB="0" distL="0" distR="0" allowOverlap="1" layoutInCell="1" locked="0" behindDoc="1" simplePos="0" relativeHeight="487626240">
                <wp:simplePos x="0" y="0"/>
                <wp:positionH relativeFrom="page">
                  <wp:posOffset>641350</wp:posOffset>
                </wp:positionH>
                <wp:positionV relativeFrom="paragraph">
                  <wp:posOffset>171885</wp:posOffset>
                </wp:positionV>
                <wp:extent cx="6502400" cy="577850"/>
                <wp:effectExtent l="0" t="0" r="0" b="0"/>
                <wp:wrapTopAndBottom/>
                <wp:docPr id="198" name="Group 198"/>
                <wp:cNvGraphicFramePr>
                  <a:graphicFrameLocks/>
                </wp:cNvGraphicFramePr>
                <a:graphic>
                  <a:graphicData uri="http://schemas.microsoft.com/office/word/2010/wordprocessingGroup">
                    <wpg:wgp>
                      <wpg:cNvPr id="198" name="Group 198"/>
                      <wpg:cNvGrpSpPr/>
                      <wpg:grpSpPr>
                        <a:xfrm>
                          <a:off x="0" y="0"/>
                          <a:ext cx="6502400" cy="577850"/>
                          <a:chExt cx="6502400" cy="577850"/>
                        </a:xfrm>
                      </wpg:grpSpPr>
                      <wps:wsp>
                        <wps:cNvPr id="199" name="Graphic 199"/>
                        <wps:cNvSpPr/>
                        <wps:spPr>
                          <a:xfrm>
                            <a:off x="0" y="380999"/>
                            <a:ext cx="6502400" cy="190500"/>
                          </a:xfrm>
                          <a:custGeom>
                            <a:avLst/>
                            <a:gdLst/>
                            <a:ahLst/>
                            <a:cxnLst/>
                            <a:rect l="l" t="t" r="r" b="b"/>
                            <a:pathLst>
                              <a:path w="6502400" h="190500">
                                <a:moveTo>
                                  <a:pt x="6502400" y="0"/>
                                </a:moveTo>
                                <a:lnTo>
                                  <a:pt x="6502400" y="0"/>
                                </a:lnTo>
                                <a:lnTo>
                                  <a:pt x="0" y="0"/>
                                </a:lnTo>
                                <a:lnTo>
                                  <a:pt x="0" y="190500"/>
                                </a:lnTo>
                                <a:lnTo>
                                  <a:pt x="6502400" y="190500"/>
                                </a:lnTo>
                                <a:lnTo>
                                  <a:pt x="6502400" y="0"/>
                                </a:lnTo>
                                <a:close/>
                              </a:path>
                            </a:pathLst>
                          </a:custGeom>
                          <a:solidFill>
                            <a:srgbClr val="CCEDFF"/>
                          </a:solidFill>
                        </wps:spPr>
                        <wps:bodyPr wrap="square" lIns="0" tIns="0" rIns="0" bIns="0" rtlCol="0">
                          <a:prstTxWarp prst="textNoShape">
                            <a:avLst/>
                          </a:prstTxWarp>
                          <a:noAutofit/>
                        </wps:bodyPr>
                      </wps:wsp>
                      <wps:wsp>
                        <wps:cNvPr id="200" name="Graphic 200"/>
                        <wps:cNvSpPr/>
                        <wps:spPr>
                          <a:xfrm>
                            <a:off x="2413000" y="184150"/>
                            <a:ext cx="635000" cy="12700"/>
                          </a:xfrm>
                          <a:custGeom>
                            <a:avLst/>
                            <a:gdLst/>
                            <a:ahLst/>
                            <a:cxnLst/>
                            <a:rect l="l" t="t" r="r" b="b"/>
                            <a:pathLst>
                              <a:path w="635000" h="12700">
                                <a:moveTo>
                                  <a:pt x="0" y="12700"/>
                                </a:moveTo>
                                <a:lnTo>
                                  <a:pt x="635000" y="12700"/>
                                </a:lnTo>
                                <a:lnTo>
                                  <a:pt x="6350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413000" y="381000"/>
                            <a:ext cx="635000" cy="1270"/>
                          </a:xfrm>
                          <a:custGeom>
                            <a:avLst/>
                            <a:gdLst/>
                            <a:ahLst/>
                            <a:cxnLst/>
                            <a:rect l="l" t="t" r="r" b="b"/>
                            <a:pathLst>
                              <a:path w="635000" h="0">
                                <a:moveTo>
                                  <a:pt x="0" y="0"/>
                                </a:moveTo>
                                <a:lnTo>
                                  <a:pt x="635000" y="0"/>
                                </a:lnTo>
                              </a:path>
                            </a:pathLst>
                          </a:custGeom>
                          <a:ln w="12700">
                            <a:solidFill>
                              <a:srgbClr val="000000"/>
                            </a:solidFill>
                            <a:prstDash val="solid"/>
                          </a:ln>
                        </wps:spPr>
                        <wps:bodyPr wrap="square" lIns="0" tIns="0" rIns="0" bIns="0" rtlCol="0">
                          <a:prstTxWarp prst="textNoShape">
                            <a:avLst/>
                          </a:prstTxWarp>
                          <a:noAutofit/>
                        </wps:bodyPr>
                      </wps:wsp>
                      <wps:wsp>
                        <wps:cNvPr id="202" name="Graphic 202"/>
                        <wps:cNvSpPr/>
                        <wps:spPr>
                          <a:xfrm>
                            <a:off x="3098800" y="184150"/>
                            <a:ext cx="635000" cy="12700"/>
                          </a:xfrm>
                          <a:custGeom>
                            <a:avLst/>
                            <a:gdLst/>
                            <a:ahLst/>
                            <a:cxnLst/>
                            <a:rect l="l" t="t" r="r" b="b"/>
                            <a:pathLst>
                              <a:path w="635000" h="12700">
                                <a:moveTo>
                                  <a:pt x="0" y="12700"/>
                                </a:moveTo>
                                <a:lnTo>
                                  <a:pt x="635000" y="12700"/>
                                </a:lnTo>
                                <a:lnTo>
                                  <a:pt x="6350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3098800" y="381000"/>
                            <a:ext cx="635000" cy="1270"/>
                          </a:xfrm>
                          <a:custGeom>
                            <a:avLst/>
                            <a:gdLst/>
                            <a:ahLst/>
                            <a:cxnLst/>
                            <a:rect l="l" t="t" r="r" b="b"/>
                            <a:pathLst>
                              <a:path w="635000" h="0">
                                <a:moveTo>
                                  <a:pt x="0" y="0"/>
                                </a:moveTo>
                                <a:lnTo>
                                  <a:pt x="635000" y="0"/>
                                </a:lnTo>
                              </a:path>
                            </a:pathLst>
                          </a:custGeom>
                          <a:ln w="12700">
                            <a:solidFill>
                              <a:srgbClr val="000000"/>
                            </a:solidFill>
                            <a:prstDash val="solid"/>
                          </a:ln>
                        </wps:spPr>
                        <wps:bodyPr wrap="square" lIns="0" tIns="0" rIns="0" bIns="0" rtlCol="0">
                          <a:prstTxWarp prst="textNoShape">
                            <a:avLst/>
                          </a:prstTxWarp>
                          <a:noAutofit/>
                        </wps:bodyPr>
                      </wps:wsp>
                      <wps:wsp>
                        <wps:cNvPr id="204" name="Graphic 204"/>
                        <wps:cNvSpPr/>
                        <wps:spPr>
                          <a:xfrm>
                            <a:off x="3784600" y="184149"/>
                            <a:ext cx="1320800" cy="203200"/>
                          </a:xfrm>
                          <a:custGeom>
                            <a:avLst/>
                            <a:gdLst/>
                            <a:ahLst/>
                            <a:cxnLst/>
                            <a:rect l="l" t="t" r="r" b="b"/>
                            <a:pathLst>
                              <a:path w="1320800" h="203200">
                                <a:moveTo>
                                  <a:pt x="635000" y="190500"/>
                                </a:moveTo>
                                <a:lnTo>
                                  <a:pt x="0" y="190500"/>
                                </a:lnTo>
                                <a:lnTo>
                                  <a:pt x="0" y="203200"/>
                                </a:lnTo>
                                <a:lnTo>
                                  <a:pt x="635000" y="203200"/>
                                </a:lnTo>
                                <a:lnTo>
                                  <a:pt x="635000" y="190500"/>
                                </a:lnTo>
                                <a:close/>
                              </a:path>
                              <a:path w="1320800" h="203200">
                                <a:moveTo>
                                  <a:pt x="635000" y="0"/>
                                </a:moveTo>
                                <a:lnTo>
                                  <a:pt x="0" y="0"/>
                                </a:lnTo>
                                <a:lnTo>
                                  <a:pt x="0" y="12700"/>
                                </a:lnTo>
                                <a:lnTo>
                                  <a:pt x="635000" y="12700"/>
                                </a:lnTo>
                                <a:lnTo>
                                  <a:pt x="635000" y="0"/>
                                </a:lnTo>
                                <a:close/>
                              </a:path>
                              <a:path w="1320800" h="203200">
                                <a:moveTo>
                                  <a:pt x="1320800" y="0"/>
                                </a:moveTo>
                                <a:lnTo>
                                  <a:pt x="685800" y="0"/>
                                </a:lnTo>
                                <a:lnTo>
                                  <a:pt x="685800" y="12700"/>
                                </a:lnTo>
                                <a:lnTo>
                                  <a:pt x="1320800" y="12700"/>
                                </a:lnTo>
                                <a:lnTo>
                                  <a:pt x="1320800"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4470400" y="381000"/>
                            <a:ext cx="635000" cy="1270"/>
                          </a:xfrm>
                          <a:custGeom>
                            <a:avLst/>
                            <a:gdLst/>
                            <a:ahLst/>
                            <a:cxnLst/>
                            <a:rect l="l" t="t" r="r" b="b"/>
                            <a:pathLst>
                              <a:path w="635000" h="0">
                                <a:moveTo>
                                  <a:pt x="0" y="0"/>
                                </a:moveTo>
                                <a:lnTo>
                                  <a:pt x="635000" y="0"/>
                                </a:lnTo>
                              </a:path>
                            </a:pathLst>
                          </a:custGeom>
                          <a:ln w="12700">
                            <a:solidFill>
                              <a:srgbClr val="000000"/>
                            </a:solidFill>
                            <a:prstDash val="solid"/>
                          </a:ln>
                        </wps:spPr>
                        <wps:bodyPr wrap="square" lIns="0" tIns="0" rIns="0" bIns="0" rtlCol="0">
                          <a:prstTxWarp prst="textNoShape">
                            <a:avLst/>
                          </a:prstTxWarp>
                          <a:noAutofit/>
                        </wps:bodyPr>
                      </wps:wsp>
                      <wps:wsp>
                        <wps:cNvPr id="206" name="Graphic 206"/>
                        <wps:cNvSpPr/>
                        <wps:spPr>
                          <a:xfrm>
                            <a:off x="5156200" y="184149"/>
                            <a:ext cx="1346200" cy="203200"/>
                          </a:xfrm>
                          <a:custGeom>
                            <a:avLst/>
                            <a:gdLst/>
                            <a:ahLst/>
                            <a:cxnLst/>
                            <a:rect l="l" t="t" r="r" b="b"/>
                            <a:pathLst>
                              <a:path w="1346200" h="203200">
                                <a:moveTo>
                                  <a:pt x="635000" y="190500"/>
                                </a:moveTo>
                                <a:lnTo>
                                  <a:pt x="0" y="190500"/>
                                </a:lnTo>
                                <a:lnTo>
                                  <a:pt x="0" y="203200"/>
                                </a:lnTo>
                                <a:lnTo>
                                  <a:pt x="635000" y="203200"/>
                                </a:lnTo>
                                <a:lnTo>
                                  <a:pt x="635000" y="190500"/>
                                </a:lnTo>
                                <a:close/>
                              </a:path>
                              <a:path w="1346200" h="203200">
                                <a:moveTo>
                                  <a:pt x="635000" y="0"/>
                                </a:moveTo>
                                <a:lnTo>
                                  <a:pt x="0" y="0"/>
                                </a:lnTo>
                                <a:lnTo>
                                  <a:pt x="0" y="12700"/>
                                </a:lnTo>
                                <a:lnTo>
                                  <a:pt x="635000" y="12700"/>
                                </a:lnTo>
                                <a:lnTo>
                                  <a:pt x="635000" y="0"/>
                                </a:lnTo>
                                <a:close/>
                              </a:path>
                              <a:path w="1346200" h="203200">
                                <a:moveTo>
                                  <a:pt x="1346200" y="0"/>
                                </a:moveTo>
                                <a:lnTo>
                                  <a:pt x="685800" y="0"/>
                                </a:lnTo>
                                <a:lnTo>
                                  <a:pt x="685800" y="12700"/>
                                </a:lnTo>
                                <a:lnTo>
                                  <a:pt x="1346200" y="12700"/>
                                </a:lnTo>
                                <a:lnTo>
                                  <a:pt x="134620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413000" y="381000"/>
                            <a:ext cx="4089400" cy="190500"/>
                          </a:xfrm>
                          <a:custGeom>
                            <a:avLst/>
                            <a:gdLst/>
                            <a:ahLst/>
                            <a:cxnLst/>
                            <a:rect l="l" t="t" r="r" b="b"/>
                            <a:pathLst>
                              <a:path w="4089400" h="190500">
                                <a:moveTo>
                                  <a:pt x="3429000" y="0"/>
                                </a:moveTo>
                                <a:lnTo>
                                  <a:pt x="4089400" y="0"/>
                                </a:lnTo>
                              </a:path>
                              <a:path w="4089400" h="190500">
                                <a:moveTo>
                                  <a:pt x="0" y="190500"/>
                                </a:moveTo>
                                <a:lnTo>
                                  <a:pt x="635000" y="190500"/>
                                </a:lnTo>
                              </a:path>
                              <a:path w="4089400" h="190500">
                                <a:moveTo>
                                  <a:pt x="635000" y="190500"/>
                                </a:moveTo>
                                <a:lnTo>
                                  <a:pt x="685800" y="190500"/>
                                </a:lnTo>
                              </a:path>
                              <a:path w="4089400" h="190500">
                                <a:moveTo>
                                  <a:pt x="685800" y="190500"/>
                                </a:moveTo>
                                <a:lnTo>
                                  <a:pt x="1320800" y="190500"/>
                                </a:lnTo>
                              </a:path>
                            </a:pathLst>
                          </a:custGeom>
                          <a:ln w="12700">
                            <a:solidFill>
                              <a:srgbClr val="000000"/>
                            </a:solidFill>
                            <a:prstDash val="solid"/>
                          </a:ln>
                        </wps:spPr>
                        <wps:bodyPr wrap="square" lIns="0" tIns="0" rIns="0" bIns="0" rtlCol="0">
                          <a:prstTxWarp prst="textNoShape">
                            <a:avLst/>
                          </a:prstTxWarp>
                          <a:noAutofit/>
                        </wps:bodyPr>
                      </wps:wsp>
                      <wps:wsp>
                        <wps:cNvPr id="208" name="Graphic 208"/>
                        <wps:cNvSpPr/>
                        <wps:spPr>
                          <a:xfrm>
                            <a:off x="3784600" y="374650"/>
                            <a:ext cx="635000" cy="12700"/>
                          </a:xfrm>
                          <a:custGeom>
                            <a:avLst/>
                            <a:gdLst/>
                            <a:ahLst/>
                            <a:cxnLst/>
                            <a:rect l="l" t="t" r="r" b="b"/>
                            <a:pathLst>
                              <a:path w="635000" h="12700">
                                <a:moveTo>
                                  <a:pt x="0" y="12700"/>
                                </a:moveTo>
                                <a:lnTo>
                                  <a:pt x="635000" y="12700"/>
                                </a:lnTo>
                                <a:lnTo>
                                  <a:pt x="6350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3784600" y="571500"/>
                            <a:ext cx="1320800" cy="1270"/>
                          </a:xfrm>
                          <a:custGeom>
                            <a:avLst/>
                            <a:gdLst/>
                            <a:ahLst/>
                            <a:cxnLst/>
                            <a:rect l="l" t="t" r="r" b="b"/>
                            <a:pathLst>
                              <a:path w="1320800" h="0">
                                <a:moveTo>
                                  <a:pt x="0" y="0"/>
                                </a:moveTo>
                                <a:lnTo>
                                  <a:pt x="635000" y="0"/>
                                </a:lnTo>
                              </a:path>
                              <a:path w="1320800" h="0">
                                <a:moveTo>
                                  <a:pt x="635000" y="0"/>
                                </a:moveTo>
                                <a:lnTo>
                                  <a:pt x="685800" y="0"/>
                                </a:lnTo>
                              </a:path>
                              <a:path w="1320800" h="0">
                                <a:moveTo>
                                  <a:pt x="685800" y="0"/>
                                </a:moveTo>
                                <a:lnTo>
                                  <a:pt x="1320800" y="0"/>
                                </a:lnTo>
                              </a:path>
                            </a:pathLst>
                          </a:custGeom>
                          <a:ln w="12700">
                            <a:solidFill>
                              <a:srgbClr val="000000"/>
                            </a:solidFill>
                            <a:prstDash val="solid"/>
                          </a:ln>
                        </wps:spPr>
                        <wps:bodyPr wrap="square" lIns="0" tIns="0" rIns="0" bIns="0" rtlCol="0">
                          <a:prstTxWarp prst="textNoShape">
                            <a:avLst/>
                          </a:prstTxWarp>
                          <a:noAutofit/>
                        </wps:bodyPr>
                      </wps:wsp>
                      <wps:wsp>
                        <wps:cNvPr id="210" name="Graphic 210"/>
                        <wps:cNvSpPr/>
                        <wps:spPr>
                          <a:xfrm>
                            <a:off x="5156200" y="374650"/>
                            <a:ext cx="635000" cy="12700"/>
                          </a:xfrm>
                          <a:custGeom>
                            <a:avLst/>
                            <a:gdLst/>
                            <a:ahLst/>
                            <a:cxnLst/>
                            <a:rect l="l" t="t" r="r" b="b"/>
                            <a:pathLst>
                              <a:path w="635000" h="12700">
                                <a:moveTo>
                                  <a:pt x="0" y="12700"/>
                                </a:moveTo>
                                <a:lnTo>
                                  <a:pt x="635000" y="12700"/>
                                </a:lnTo>
                                <a:lnTo>
                                  <a:pt x="6350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5156200" y="571500"/>
                            <a:ext cx="1346200" cy="1270"/>
                          </a:xfrm>
                          <a:custGeom>
                            <a:avLst/>
                            <a:gdLst/>
                            <a:ahLst/>
                            <a:cxnLst/>
                            <a:rect l="l" t="t" r="r" b="b"/>
                            <a:pathLst>
                              <a:path w="1346200" h="0">
                                <a:moveTo>
                                  <a:pt x="0" y="0"/>
                                </a:moveTo>
                                <a:lnTo>
                                  <a:pt x="635000" y="0"/>
                                </a:lnTo>
                              </a:path>
                              <a:path w="1346200" h="0">
                                <a:moveTo>
                                  <a:pt x="635000" y="0"/>
                                </a:moveTo>
                                <a:lnTo>
                                  <a:pt x="685800" y="0"/>
                                </a:lnTo>
                              </a:path>
                              <a:path w="1346200" h="0">
                                <a:moveTo>
                                  <a:pt x="685800" y="0"/>
                                </a:moveTo>
                                <a:lnTo>
                                  <a:pt x="1346200" y="0"/>
                                </a:lnTo>
                              </a:path>
                            </a:pathLst>
                          </a:custGeom>
                          <a:ln w="12700">
                            <a:solidFill>
                              <a:srgbClr val="000000"/>
                            </a:solidFill>
                            <a:prstDash val="solid"/>
                          </a:ln>
                        </wps:spPr>
                        <wps:bodyPr wrap="square" lIns="0" tIns="0" rIns="0" bIns="0" rtlCol="0">
                          <a:prstTxWarp prst="textNoShape">
                            <a:avLst/>
                          </a:prstTxWarp>
                          <a:noAutofit/>
                        </wps:bodyPr>
                      </wps:wsp>
                      <wps:wsp>
                        <wps:cNvPr id="212" name="Textbox 212"/>
                        <wps:cNvSpPr txBox="1"/>
                        <wps:spPr>
                          <a:xfrm>
                            <a:off x="107950" y="208519"/>
                            <a:ext cx="625475" cy="140970"/>
                          </a:xfrm>
                          <a:prstGeom prst="rect">
                            <a:avLst/>
                          </a:prstGeom>
                        </wps:spPr>
                        <wps:txbx>
                          <w:txbxContent>
                            <w:p>
                              <w:pPr>
                                <w:spacing w:line="221" w:lineRule="exact" w:before="0"/>
                                <w:ind w:left="0" w:right="0" w:firstLine="0"/>
                                <w:jc w:val="left"/>
                                <w:rPr>
                                  <w:sz w:val="20"/>
                                </w:rPr>
                              </w:pPr>
                              <w:r>
                                <w:rPr>
                                  <w:sz w:val="20"/>
                                </w:rPr>
                                <w:t>Total</w:t>
                              </w:r>
                              <w:r>
                                <w:rPr>
                                  <w:spacing w:val="-7"/>
                                  <w:sz w:val="20"/>
                                </w:rPr>
                                <w:t> </w:t>
                              </w:r>
                              <w:r>
                                <w:rPr>
                                  <w:spacing w:val="-2"/>
                                  <w:sz w:val="20"/>
                                </w:rPr>
                                <w:t>shares</w:t>
                              </w:r>
                            </w:p>
                          </w:txbxContent>
                        </wps:txbx>
                        <wps:bodyPr wrap="square" lIns="0" tIns="0" rIns="0" bIns="0" rtlCol="0">
                          <a:noAutofit/>
                        </wps:bodyPr>
                      </wps:wsp>
                      <wps:wsp>
                        <wps:cNvPr id="213" name="Textbox 213"/>
                        <wps:cNvSpPr txBox="1"/>
                        <wps:spPr>
                          <a:xfrm>
                            <a:off x="2713354" y="208519"/>
                            <a:ext cx="984250" cy="140970"/>
                          </a:xfrm>
                          <a:prstGeom prst="rect">
                            <a:avLst/>
                          </a:prstGeom>
                        </wps:spPr>
                        <wps:txbx>
                          <w:txbxContent>
                            <w:p>
                              <w:pPr>
                                <w:tabs>
                                  <w:tab w:pos="656" w:val="left" w:leader="none"/>
                                  <w:tab w:pos="979" w:val="left" w:leader="none"/>
                                </w:tabs>
                                <w:spacing w:line="221" w:lineRule="exact" w:before="0"/>
                                <w:ind w:left="0" w:right="0" w:firstLine="0"/>
                                <w:jc w:val="left"/>
                                <w:rPr>
                                  <w:sz w:val="20"/>
                                </w:rPr>
                              </w:pPr>
                              <w:r>
                                <w:rPr>
                                  <w:spacing w:val="-2"/>
                                  <w:sz w:val="20"/>
                                </w:rPr>
                                <w:t>8,186</w:t>
                              </w:r>
                              <w:r>
                                <w:rPr>
                                  <w:sz w:val="20"/>
                                </w:rPr>
                                <w:tab/>
                              </w:r>
                              <w:r>
                                <w:rPr>
                                  <w:spacing w:val="-10"/>
                                  <w:sz w:val="20"/>
                                </w:rPr>
                                <w:t>$</w:t>
                              </w:r>
                              <w:r>
                                <w:rPr>
                                  <w:sz w:val="20"/>
                                </w:rPr>
                                <w:tab/>
                              </w:r>
                              <w:r>
                                <w:rPr>
                                  <w:spacing w:val="-2"/>
                                  <w:sz w:val="20"/>
                                </w:rPr>
                                <w:t>134.20</w:t>
                              </w:r>
                            </w:p>
                          </w:txbxContent>
                        </wps:txbx>
                        <wps:bodyPr wrap="square" lIns="0" tIns="0" rIns="0" bIns="0" rtlCol="0">
                          <a:noAutofit/>
                        </wps:bodyPr>
                      </wps:wsp>
                      <wps:wsp>
                        <wps:cNvPr id="214" name="Textbox 214"/>
                        <wps:cNvSpPr txBox="1"/>
                        <wps:spPr>
                          <a:xfrm>
                            <a:off x="4021454" y="208519"/>
                            <a:ext cx="1047750" cy="140970"/>
                          </a:xfrm>
                          <a:prstGeom prst="rect">
                            <a:avLst/>
                          </a:prstGeom>
                        </wps:spPr>
                        <wps:txbx>
                          <w:txbxContent>
                            <w:p>
                              <w:pPr>
                                <w:tabs>
                                  <w:tab w:pos="756" w:val="left" w:leader="none"/>
                                  <w:tab w:pos="1179" w:val="left" w:leader="none"/>
                                </w:tabs>
                                <w:spacing w:line="221" w:lineRule="exact" w:before="0"/>
                                <w:ind w:left="0" w:right="0" w:firstLine="0"/>
                                <w:jc w:val="left"/>
                                <w:rPr>
                                  <w:sz w:val="20"/>
                                </w:rPr>
                              </w:pPr>
                              <w:r>
                                <w:rPr>
                                  <w:spacing w:val="-2"/>
                                  <w:sz w:val="20"/>
                                </w:rPr>
                                <w:t>10,428</w:t>
                              </w:r>
                              <w:r>
                                <w:rPr>
                                  <w:sz w:val="20"/>
                                </w:rPr>
                                <w:tab/>
                              </w:r>
                              <w:r>
                                <w:rPr>
                                  <w:spacing w:val="-10"/>
                                  <w:sz w:val="20"/>
                                </w:rPr>
                                <w:t>$</w:t>
                              </w:r>
                              <w:r>
                                <w:rPr>
                                  <w:sz w:val="20"/>
                                </w:rPr>
                                <w:tab/>
                              </w:r>
                              <w:r>
                                <w:rPr>
                                  <w:spacing w:val="-2"/>
                                  <w:sz w:val="20"/>
                                </w:rPr>
                                <w:t>97.16</w:t>
                              </w:r>
                            </w:p>
                          </w:txbxContent>
                        </wps:txbx>
                        <wps:bodyPr wrap="square" lIns="0" tIns="0" rIns="0" bIns="0" rtlCol="0">
                          <a:noAutofit/>
                        </wps:bodyPr>
                      </wps:wsp>
                      <wps:wsp>
                        <wps:cNvPr id="215" name="Textbox 215"/>
                        <wps:cNvSpPr txBox="1"/>
                        <wps:spPr>
                          <a:xfrm>
                            <a:off x="5456554" y="208519"/>
                            <a:ext cx="1009650" cy="140970"/>
                          </a:xfrm>
                          <a:prstGeom prst="rect">
                            <a:avLst/>
                          </a:prstGeom>
                        </wps:spPr>
                        <wps:txbx>
                          <w:txbxContent>
                            <w:p>
                              <w:pPr>
                                <w:tabs>
                                  <w:tab w:pos="656" w:val="left" w:leader="none"/>
                                  <w:tab w:pos="1119" w:val="left" w:leader="none"/>
                                </w:tabs>
                                <w:spacing w:line="221" w:lineRule="exact" w:before="0"/>
                                <w:ind w:left="0" w:right="0" w:firstLine="0"/>
                                <w:jc w:val="left"/>
                                <w:rPr>
                                  <w:sz w:val="20"/>
                                </w:rPr>
                              </w:pPr>
                              <w:r>
                                <w:rPr>
                                  <w:spacing w:val="-2"/>
                                  <w:sz w:val="20"/>
                                </w:rPr>
                                <w:t>8,104</w:t>
                              </w:r>
                              <w:r>
                                <w:rPr>
                                  <w:sz w:val="20"/>
                                </w:rPr>
                                <w:tab/>
                              </w:r>
                              <w:r>
                                <w:rPr>
                                  <w:spacing w:val="-10"/>
                                  <w:sz w:val="20"/>
                                </w:rPr>
                                <w:t>$</w:t>
                              </w:r>
                              <w:r>
                                <w:rPr>
                                  <w:sz w:val="20"/>
                                </w:rPr>
                                <w:tab/>
                              </w:r>
                              <w:r>
                                <w:rPr>
                                  <w:spacing w:val="-2"/>
                                  <w:sz w:val="20"/>
                                </w:rPr>
                                <w:t>77.38</w:t>
                              </w:r>
                            </w:p>
                          </w:txbxContent>
                        </wps:txbx>
                        <wps:bodyPr wrap="square" lIns="0" tIns="0" rIns="0" bIns="0" rtlCol="0">
                          <a:noAutofit/>
                        </wps:bodyPr>
                      </wps:wsp>
                      <wps:wsp>
                        <wps:cNvPr id="216" name="Textbox 216"/>
                        <wps:cNvSpPr txBox="1"/>
                        <wps:spPr>
                          <a:xfrm>
                            <a:off x="0" y="381000"/>
                            <a:ext cx="6502400" cy="184150"/>
                          </a:xfrm>
                          <a:prstGeom prst="rect">
                            <a:avLst/>
                          </a:prstGeom>
                        </wps:spPr>
                        <wps:txbx>
                          <w:txbxContent>
                            <w:p>
                              <w:pPr>
                                <w:tabs>
                                  <w:tab w:pos="4379" w:val="left" w:leader="none"/>
                                  <w:tab w:pos="6539" w:val="left" w:leader="none"/>
                                  <w:tab w:pos="8794" w:val="left" w:leader="none"/>
                                </w:tabs>
                                <w:spacing w:before="20"/>
                                <w:ind w:left="170" w:right="0" w:firstLine="0"/>
                                <w:jc w:val="left"/>
                                <w:rPr>
                                  <w:sz w:val="20"/>
                                </w:rPr>
                              </w:pPr>
                              <w:r>
                                <w:rPr>
                                  <w:spacing w:val="-2"/>
                                  <w:sz w:val="20"/>
                                </w:rPr>
                                <w:t>Total</w:t>
                              </w:r>
                              <w:r>
                                <w:rPr>
                                  <w:spacing w:val="-4"/>
                                  <w:sz w:val="20"/>
                                </w:rPr>
                                <w:t> cost</w:t>
                              </w:r>
                              <w:r>
                                <w:rPr>
                                  <w:sz w:val="20"/>
                                </w:rPr>
                                <w:tab/>
                              </w:r>
                              <w:r>
                                <w:rPr>
                                  <w:spacing w:val="-2"/>
                                  <w:sz w:val="20"/>
                                </w:rPr>
                                <w:t>$1,098,595</w:t>
                              </w:r>
                              <w:r>
                                <w:rPr>
                                  <w:sz w:val="20"/>
                                </w:rPr>
                                <w:tab/>
                              </w:r>
                              <w:r>
                                <w:rPr>
                                  <w:spacing w:val="-2"/>
                                  <w:sz w:val="20"/>
                                </w:rPr>
                                <w:t>$1,013,131</w:t>
                              </w:r>
                              <w:r>
                                <w:rPr>
                                  <w:sz w:val="20"/>
                                </w:rPr>
                                <w:tab/>
                              </w:r>
                              <w:r>
                                <w:rPr>
                                  <w:spacing w:val="-2"/>
                                  <w:sz w:val="20"/>
                                </w:rPr>
                                <w:t>$627,082</w:t>
                              </w:r>
                            </w:p>
                          </w:txbxContent>
                        </wps:txbx>
                        <wps:bodyPr wrap="square" lIns="0" tIns="0" rIns="0" bIns="0" rtlCol="0">
                          <a:noAutofit/>
                        </wps:bodyPr>
                      </wps:wsp>
                      <wps:wsp>
                        <wps:cNvPr id="217" name="Textbox 217"/>
                        <wps:cNvSpPr txBox="1"/>
                        <wps:spPr>
                          <a:xfrm>
                            <a:off x="0" y="0"/>
                            <a:ext cx="6502400" cy="190500"/>
                          </a:xfrm>
                          <a:prstGeom prst="rect">
                            <a:avLst/>
                          </a:prstGeom>
                          <a:solidFill>
                            <a:srgbClr val="CCEDFF"/>
                          </a:solidFill>
                        </wps:spPr>
                        <wps:txbx>
                          <w:txbxContent>
                            <w:p>
                              <w:pPr>
                                <w:tabs>
                                  <w:tab w:pos="1529" w:val="left" w:leader="none"/>
                                  <w:tab w:pos="4272" w:val="left" w:leader="none"/>
                                  <w:tab w:pos="4929" w:val="left" w:leader="none"/>
                                  <w:tab w:pos="5252" w:val="left" w:leader="none"/>
                                  <w:tab w:pos="6682" w:val="left" w:leader="none"/>
                                  <w:tab w:pos="7089" w:val="left" w:leader="none"/>
                                  <w:tab w:pos="7762" w:val="left" w:leader="none"/>
                                  <w:tab w:pos="8842" w:val="left" w:leader="none"/>
                                  <w:tab w:pos="9249" w:val="left" w:leader="none"/>
                                  <w:tab w:pos="9962" w:val="left" w:leader="none"/>
                                </w:tabs>
                                <w:spacing w:before="20"/>
                                <w:ind w:left="50" w:right="0" w:firstLine="0"/>
                                <w:jc w:val="left"/>
                                <w:rPr>
                                  <w:color w:val="000000"/>
                                  <w:sz w:val="20"/>
                                </w:rPr>
                              </w:pPr>
                              <w:r>
                                <w:rPr>
                                  <w:color w:val="000000"/>
                                  <w:sz w:val="20"/>
                                </w:rPr>
                                <w:t>January </w:t>
                              </w:r>
                              <w:r>
                                <w:rPr>
                                  <w:color w:val="000000"/>
                                  <w:spacing w:val="-4"/>
                                  <w:sz w:val="20"/>
                                </w:rPr>
                                <w:t>2017</w:t>
                              </w:r>
                              <w:r>
                                <w:rPr>
                                  <w:color w:val="000000"/>
                                  <w:sz w:val="20"/>
                                </w:rPr>
                                <w:tab/>
                                <w:t>Structured </w:t>
                              </w:r>
                              <w:r>
                                <w:rPr>
                                  <w:color w:val="000000"/>
                                  <w:spacing w:val="-2"/>
                                  <w:sz w:val="20"/>
                                </w:rPr>
                                <w:t>repurchases</w:t>
                              </w:r>
                              <w:r>
                                <w:rPr>
                                  <w:color w:val="000000"/>
                                  <w:sz w:val="20"/>
                                </w:rPr>
                                <w:tab/>
                              </w:r>
                              <w:r>
                                <w:rPr>
                                  <w:color w:val="000000"/>
                                  <w:spacing w:val="-2"/>
                                  <w:sz w:val="20"/>
                                </w:rPr>
                                <w:t>3,923</w:t>
                              </w:r>
                              <w:r>
                                <w:rPr>
                                  <w:color w:val="000000"/>
                                  <w:sz w:val="20"/>
                                </w:rPr>
                                <w:tab/>
                              </w:r>
                              <w:r>
                                <w:rPr>
                                  <w:color w:val="000000"/>
                                  <w:spacing w:val="-10"/>
                                  <w:sz w:val="20"/>
                                </w:rPr>
                                <w:t>$</w:t>
                              </w:r>
                              <w:r>
                                <w:rPr>
                                  <w:color w:val="000000"/>
                                  <w:sz w:val="20"/>
                                </w:rPr>
                                <w:tab/>
                              </w:r>
                              <w:r>
                                <w:rPr>
                                  <w:color w:val="000000"/>
                                  <w:spacing w:val="-2"/>
                                  <w:sz w:val="20"/>
                                </w:rPr>
                                <w:t>151.80</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p>
                          </w:txbxContent>
                        </wps:txbx>
                        <wps:bodyPr wrap="square" lIns="0" tIns="0" rIns="0" bIns="0" rtlCol="0">
                          <a:noAutofit/>
                        </wps:bodyPr>
                      </wps:wsp>
                    </wpg:wgp>
                  </a:graphicData>
                </a:graphic>
              </wp:anchor>
            </w:drawing>
          </mc:Choice>
          <mc:Fallback>
            <w:pict>
              <v:group style="position:absolute;margin-left:50.5pt;margin-top:13.534302pt;width:512pt;height:45.5pt;mso-position-horizontal-relative:page;mso-position-vertical-relative:paragraph;z-index:-15690240;mso-wrap-distance-left:0;mso-wrap-distance-right:0" id="docshapegroup142" coordorigin="1010,271" coordsize="10240,910">
                <v:rect style="position:absolute;left:1010;top:870;width:10240;height:300" id="docshape143" filled="true" fillcolor="#ccedff" stroked="false">
                  <v:fill type="solid"/>
                </v:rect>
                <v:rect style="position:absolute;left:4810;top:560;width:1000;height:20" id="docshape144" filled="true" fillcolor="#000000" stroked="false">
                  <v:fill type="solid"/>
                </v:rect>
                <v:line style="position:absolute" from="4810,871" to="5810,871" stroked="true" strokeweight="1pt" strokecolor="#000000">
                  <v:stroke dashstyle="solid"/>
                </v:line>
                <v:rect style="position:absolute;left:5890;top:560;width:1000;height:20" id="docshape145" filled="true" fillcolor="#000000" stroked="false">
                  <v:fill type="solid"/>
                </v:rect>
                <v:line style="position:absolute" from="5890,871" to="6890,871" stroked="true" strokeweight="1pt" strokecolor="#000000">
                  <v:stroke dashstyle="solid"/>
                </v:line>
                <v:shape style="position:absolute;left:6970;top:560;width:2080;height:320" id="docshape146" coordorigin="6970,561" coordsize="2080,320" path="m7970,861l6970,861,6970,881,7970,881,7970,861xm7970,561l6970,561,6970,581,7970,581,7970,561xm9050,561l8050,561,8050,581,9050,581,9050,561xe" filled="true" fillcolor="#000000" stroked="false">
                  <v:path arrowok="t"/>
                  <v:fill type="solid"/>
                </v:shape>
                <v:line style="position:absolute" from="8050,871" to="9050,871" stroked="true" strokeweight="1pt" strokecolor="#000000">
                  <v:stroke dashstyle="solid"/>
                </v:line>
                <v:shape style="position:absolute;left:9130;top:560;width:2120;height:320" id="docshape147" coordorigin="9130,561" coordsize="2120,320" path="m10130,861l9130,861,9130,881,10130,881,10130,861xm10130,561l9130,561,9130,581,10130,581,10130,561xm11250,561l10210,561,10210,581,11250,581,11250,561xe" filled="true" fillcolor="#000000" stroked="false">
                  <v:path arrowok="t"/>
                  <v:fill type="solid"/>
                </v:shape>
                <v:shape style="position:absolute;left:4810;top:870;width:6440;height:300" id="docshape148" coordorigin="4810,871" coordsize="6440,300" path="m10210,871l11250,871m4810,1171l5810,1171m5810,1171l5890,1171m5890,1171l6890,1171e" filled="false" stroked="true" strokeweight="1pt" strokecolor="#000000">
                  <v:path arrowok="t"/>
                  <v:stroke dashstyle="solid"/>
                </v:shape>
                <v:rect style="position:absolute;left:6970;top:860;width:1000;height:20" id="docshape149" filled="true" fillcolor="#000000" stroked="false">
                  <v:fill type="solid"/>
                </v:rect>
                <v:shape style="position:absolute;left:6970;top:1170;width:2080;height:2" id="docshape150" coordorigin="6970,1171" coordsize="2080,0" path="m6970,1171l7970,1171m7970,1171l8050,1171m8050,1171l9050,1171e" filled="false" stroked="true" strokeweight="1pt" strokecolor="#000000">
                  <v:path arrowok="t"/>
                  <v:stroke dashstyle="solid"/>
                </v:shape>
                <v:rect style="position:absolute;left:9130;top:860;width:1000;height:20" id="docshape151" filled="true" fillcolor="#000000" stroked="false">
                  <v:fill type="solid"/>
                </v:rect>
                <v:shape style="position:absolute;left:9130;top:1170;width:2120;height:2" id="docshape152" coordorigin="9130,1171" coordsize="2120,0" path="m9130,1171l10130,1171m10130,1171l10210,1171m10210,1171l11250,1171e" filled="false" stroked="true" strokeweight="1pt" strokecolor="#000000">
                  <v:path arrowok="t"/>
                  <v:stroke dashstyle="solid"/>
                </v:shape>
                <v:shape style="position:absolute;left:1180;top:599;width:985;height:222" type="#_x0000_t202" id="docshape153" filled="false" stroked="false">
                  <v:textbox inset="0,0,0,0">
                    <w:txbxContent>
                      <w:p>
                        <w:pPr>
                          <w:spacing w:line="221" w:lineRule="exact" w:before="0"/>
                          <w:ind w:left="0" w:right="0" w:firstLine="0"/>
                          <w:jc w:val="left"/>
                          <w:rPr>
                            <w:sz w:val="20"/>
                          </w:rPr>
                        </w:pPr>
                        <w:r>
                          <w:rPr>
                            <w:sz w:val="20"/>
                          </w:rPr>
                          <w:t>Total</w:t>
                        </w:r>
                        <w:r>
                          <w:rPr>
                            <w:spacing w:val="-7"/>
                            <w:sz w:val="20"/>
                          </w:rPr>
                          <w:t> </w:t>
                        </w:r>
                        <w:r>
                          <w:rPr>
                            <w:spacing w:val="-2"/>
                            <w:sz w:val="20"/>
                          </w:rPr>
                          <w:t>shares</w:t>
                        </w:r>
                      </w:p>
                    </w:txbxContent>
                  </v:textbox>
                  <w10:wrap type="none"/>
                </v:shape>
                <v:shape style="position:absolute;left:5283;top:599;width:1550;height:222" type="#_x0000_t202" id="docshape154" filled="false" stroked="false">
                  <v:textbox inset="0,0,0,0">
                    <w:txbxContent>
                      <w:p>
                        <w:pPr>
                          <w:tabs>
                            <w:tab w:pos="656" w:val="left" w:leader="none"/>
                            <w:tab w:pos="979" w:val="left" w:leader="none"/>
                          </w:tabs>
                          <w:spacing w:line="221" w:lineRule="exact" w:before="0"/>
                          <w:ind w:left="0" w:right="0" w:firstLine="0"/>
                          <w:jc w:val="left"/>
                          <w:rPr>
                            <w:sz w:val="20"/>
                          </w:rPr>
                        </w:pPr>
                        <w:r>
                          <w:rPr>
                            <w:spacing w:val="-2"/>
                            <w:sz w:val="20"/>
                          </w:rPr>
                          <w:t>8,186</w:t>
                        </w:r>
                        <w:r>
                          <w:rPr>
                            <w:sz w:val="20"/>
                          </w:rPr>
                          <w:tab/>
                        </w:r>
                        <w:r>
                          <w:rPr>
                            <w:spacing w:val="-10"/>
                            <w:sz w:val="20"/>
                          </w:rPr>
                          <w:t>$</w:t>
                        </w:r>
                        <w:r>
                          <w:rPr>
                            <w:sz w:val="20"/>
                          </w:rPr>
                          <w:tab/>
                        </w:r>
                        <w:r>
                          <w:rPr>
                            <w:spacing w:val="-2"/>
                            <w:sz w:val="20"/>
                          </w:rPr>
                          <w:t>134.20</w:t>
                        </w:r>
                      </w:p>
                    </w:txbxContent>
                  </v:textbox>
                  <w10:wrap type="none"/>
                </v:shape>
                <v:shape style="position:absolute;left:7343;top:599;width:1650;height:222" type="#_x0000_t202" id="docshape155" filled="false" stroked="false">
                  <v:textbox inset="0,0,0,0">
                    <w:txbxContent>
                      <w:p>
                        <w:pPr>
                          <w:tabs>
                            <w:tab w:pos="756" w:val="left" w:leader="none"/>
                            <w:tab w:pos="1179" w:val="left" w:leader="none"/>
                          </w:tabs>
                          <w:spacing w:line="221" w:lineRule="exact" w:before="0"/>
                          <w:ind w:left="0" w:right="0" w:firstLine="0"/>
                          <w:jc w:val="left"/>
                          <w:rPr>
                            <w:sz w:val="20"/>
                          </w:rPr>
                        </w:pPr>
                        <w:r>
                          <w:rPr>
                            <w:spacing w:val="-2"/>
                            <w:sz w:val="20"/>
                          </w:rPr>
                          <w:t>10,428</w:t>
                        </w:r>
                        <w:r>
                          <w:rPr>
                            <w:sz w:val="20"/>
                          </w:rPr>
                          <w:tab/>
                        </w:r>
                        <w:r>
                          <w:rPr>
                            <w:spacing w:val="-10"/>
                            <w:sz w:val="20"/>
                          </w:rPr>
                          <w:t>$</w:t>
                        </w:r>
                        <w:r>
                          <w:rPr>
                            <w:sz w:val="20"/>
                          </w:rPr>
                          <w:tab/>
                        </w:r>
                        <w:r>
                          <w:rPr>
                            <w:spacing w:val="-2"/>
                            <w:sz w:val="20"/>
                          </w:rPr>
                          <w:t>97.16</w:t>
                        </w:r>
                      </w:p>
                    </w:txbxContent>
                  </v:textbox>
                  <w10:wrap type="none"/>
                </v:shape>
                <v:shape style="position:absolute;left:9603;top:599;width:1590;height:222" type="#_x0000_t202" id="docshape156" filled="false" stroked="false">
                  <v:textbox inset="0,0,0,0">
                    <w:txbxContent>
                      <w:p>
                        <w:pPr>
                          <w:tabs>
                            <w:tab w:pos="656" w:val="left" w:leader="none"/>
                            <w:tab w:pos="1119" w:val="left" w:leader="none"/>
                          </w:tabs>
                          <w:spacing w:line="221" w:lineRule="exact" w:before="0"/>
                          <w:ind w:left="0" w:right="0" w:firstLine="0"/>
                          <w:jc w:val="left"/>
                          <w:rPr>
                            <w:sz w:val="20"/>
                          </w:rPr>
                        </w:pPr>
                        <w:r>
                          <w:rPr>
                            <w:spacing w:val="-2"/>
                            <w:sz w:val="20"/>
                          </w:rPr>
                          <w:t>8,104</w:t>
                        </w:r>
                        <w:r>
                          <w:rPr>
                            <w:sz w:val="20"/>
                          </w:rPr>
                          <w:tab/>
                        </w:r>
                        <w:r>
                          <w:rPr>
                            <w:spacing w:val="-10"/>
                            <w:sz w:val="20"/>
                          </w:rPr>
                          <w:t>$</w:t>
                        </w:r>
                        <w:r>
                          <w:rPr>
                            <w:sz w:val="20"/>
                          </w:rPr>
                          <w:tab/>
                        </w:r>
                        <w:r>
                          <w:rPr>
                            <w:spacing w:val="-2"/>
                            <w:sz w:val="20"/>
                          </w:rPr>
                          <w:t>77.38</w:t>
                        </w:r>
                      </w:p>
                    </w:txbxContent>
                  </v:textbox>
                  <w10:wrap type="none"/>
                </v:shape>
                <v:shape style="position:absolute;left:1010;top:870;width:10240;height:290" type="#_x0000_t202" id="docshape157" filled="false" stroked="false">
                  <v:textbox inset="0,0,0,0">
                    <w:txbxContent>
                      <w:p>
                        <w:pPr>
                          <w:tabs>
                            <w:tab w:pos="4379" w:val="left" w:leader="none"/>
                            <w:tab w:pos="6539" w:val="left" w:leader="none"/>
                            <w:tab w:pos="8794" w:val="left" w:leader="none"/>
                          </w:tabs>
                          <w:spacing w:before="20"/>
                          <w:ind w:left="170" w:right="0" w:firstLine="0"/>
                          <w:jc w:val="left"/>
                          <w:rPr>
                            <w:sz w:val="20"/>
                          </w:rPr>
                        </w:pPr>
                        <w:r>
                          <w:rPr>
                            <w:spacing w:val="-2"/>
                            <w:sz w:val="20"/>
                          </w:rPr>
                          <w:t>Total</w:t>
                        </w:r>
                        <w:r>
                          <w:rPr>
                            <w:spacing w:val="-4"/>
                            <w:sz w:val="20"/>
                          </w:rPr>
                          <w:t> cost</w:t>
                        </w:r>
                        <w:r>
                          <w:rPr>
                            <w:sz w:val="20"/>
                          </w:rPr>
                          <w:tab/>
                        </w:r>
                        <w:r>
                          <w:rPr>
                            <w:spacing w:val="-2"/>
                            <w:sz w:val="20"/>
                          </w:rPr>
                          <w:t>$1,098,595</w:t>
                        </w:r>
                        <w:r>
                          <w:rPr>
                            <w:sz w:val="20"/>
                          </w:rPr>
                          <w:tab/>
                        </w:r>
                        <w:r>
                          <w:rPr>
                            <w:spacing w:val="-2"/>
                            <w:sz w:val="20"/>
                          </w:rPr>
                          <w:t>$1,013,131</w:t>
                        </w:r>
                        <w:r>
                          <w:rPr>
                            <w:sz w:val="20"/>
                          </w:rPr>
                          <w:tab/>
                        </w:r>
                        <w:r>
                          <w:rPr>
                            <w:spacing w:val="-2"/>
                            <w:sz w:val="20"/>
                          </w:rPr>
                          <w:t>$627,082</w:t>
                        </w:r>
                      </w:p>
                    </w:txbxContent>
                  </v:textbox>
                  <w10:wrap type="none"/>
                </v:shape>
                <v:shape style="position:absolute;left:1010;top:270;width:10240;height:300" type="#_x0000_t202" id="docshape158" filled="true" fillcolor="#ccedff" stroked="false">
                  <v:textbox inset="0,0,0,0">
                    <w:txbxContent>
                      <w:p>
                        <w:pPr>
                          <w:tabs>
                            <w:tab w:pos="1529" w:val="left" w:leader="none"/>
                            <w:tab w:pos="4272" w:val="left" w:leader="none"/>
                            <w:tab w:pos="4929" w:val="left" w:leader="none"/>
                            <w:tab w:pos="5252" w:val="left" w:leader="none"/>
                            <w:tab w:pos="6682" w:val="left" w:leader="none"/>
                            <w:tab w:pos="7089" w:val="left" w:leader="none"/>
                            <w:tab w:pos="7762" w:val="left" w:leader="none"/>
                            <w:tab w:pos="8842" w:val="left" w:leader="none"/>
                            <w:tab w:pos="9249" w:val="left" w:leader="none"/>
                            <w:tab w:pos="9962" w:val="left" w:leader="none"/>
                          </w:tabs>
                          <w:spacing w:before="20"/>
                          <w:ind w:left="50" w:right="0" w:firstLine="0"/>
                          <w:jc w:val="left"/>
                          <w:rPr>
                            <w:color w:val="000000"/>
                            <w:sz w:val="20"/>
                          </w:rPr>
                        </w:pPr>
                        <w:r>
                          <w:rPr>
                            <w:color w:val="000000"/>
                            <w:sz w:val="20"/>
                          </w:rPr>
                          <w:t>January </w:t>
                        </w:r>
                        <w:r>
                          <w:rPr>
                            <w:color w:val="000000"/>
                            <w:spacing w:val="-4"/>
                            <w:sz w:val="20"/>
                          </w:rPr>
                          <w:t>2017</w:t>
                        </w:r>
                        <w:r>
                          <w:rPr>
                            <w:color w:val="000000"/>
                            <w:sz w:val="20"/>
                          </w:rPr>
                          <w:tab/>
                          <w:t>Structured </w:t>
                        </w:r>
                        <w:r>
                          <w:rPr>
                            <w:color w:val="000000"/>
                            <w:spacing w:val="-2"/>
                            <w:sz w:val="20"/>
                          </w:rPr>
                          <w:t>repurchases</w:t>
                        </w:r>
                        <w:r>
                          <w:rPr>
                            <w:color w:val="000000"/>
                            <w:sz w:val="20"/>
                          </w:rPr>
                          <w:tab/>
                        </w:r>
                        <w:r>
                          <w:rPr>
                            <w:color w:val="000000"/>
                            <w:spacing w:val="-2"/>
                            <w:sz w:val="20"/>
                          </w:rPr>
                          <w:t>3,923</w:t>
                        </w:r>
                        <w:r>
                          <w:rPr>
                            <w:color w:val="000000"/>
                            <w:sz w:val="20"/>
                          </w:rPr>
                          <w:tab/>
                        </w:r>
                        <w:r>
                          <w:rPr>
                            <w:color w:val="000000"/>
                            <w:spacing w:val="-10"/>
                            <w:sz w:val="20"/>
                          </w:rPr>
                          <w:t>$</w:t>
                        </w:r>
                        <w:r>
                          <w:rPr>
                            <w:color w:val="000000"/>
                            <w:sz w:val="20"/>
                          </w:rPr>
                          <w:tab/>
                        </w:r>
                        <w:r>
                          <w:rPr>
                            <w:color w:val="000000"/>
                            <w:spacing w:val="-2"/>
                            <w:sz w:val="20"/>
                          </w:rPr>
                          <w:t>151.80</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p>
                    </w:txbxContent>
                  </v:textbox>
                  <v:fill type="solid"/>
                  <w10:wrap type="none"/>
                </v:shape>
                <w10:wrap type="topAndBottom"/>
              </v:group>
            </w:pict>
          </mc:Fallback>
        </mc:AlternateContent>
      </w:r>
      <w:r>
        <w:rPr/>
        <mc:AlternateContent>
          <mc:Choice Requires="wps">
            <w:drawing>
              <wp:anchor distT="0" distB="0" distL="0" distR="0" allowOverlap="1" layoutInCell="1" locked="0" behindDoc="1" simplePos="0" relativeHeight="487626752">
                <wp:simplePos x="0" y="0"/>
                <wp:positionH relativeFrom="page">
                  <wp:posOffset>635000</wp:posOffset>
                </wp:positionH>
                <wp:positionV relativeFrom="paragraph">
                  <wp:posOffset>848084</wp:posOffset>
                </wp:positionV>
                <wp:extent cx="1692275" cy="1270"/>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66.778305pt;width:133.25pt;height:.1pt;mso-position-horizontal-relative:page;mso-position-vertical-relative:paragraph;z-index:-15689728;mso-wrap-distance-left:0;mso-wrap-distance-right:0" id="docshape159" coordorigin="1000,1336" coordsize="2665,0" path="m1000,1336l3665,1336e" filled="false" stroked="true" strokeweight=".26pt" strokecolor="#000000">
                <v:path arrowok="t"/>
                <v:stroke dashstyle="solid"/>
                <w10:wrap type="topAndBottom"/>
              </v:shape>
            </w:pict>
          </mc:Fallback>
        </mc:AlternateContent>
      </w:r>
      <w:r>
        <w:rPr/>
        <w:t>January </w:t>
      </w:r>
      <w:r>
        <w:rPr>
          <w:spacing w:val="-4"/>
        </w:rPr>
        <w:t>2015</w:t>
      </w:r>
      <w:r>
        <w:rPr/>
        <w:tab/>
        <w:t>Structured </w:t>
      </w:r>
      <w:r>
        <w:rPr>
          <w:spacing w:val="-2"/>
        </w:rPr>
        <w:t>repurchases</w:t>
      </w:r>
      <w:r>
        <w:rPr/>
        <w:tab/>
      </w:r>
      <w:r>
        <w:rPr>
          <w:spacing w:val="-2"/>
        </w:rPr>
        <w:t>4,263</w:t>
      </w:r>
      <w:r>
        <w:rPr/>
        <w:tab/>
      </w:r>
      <w:r>
        <w:rPr>
          <w:spacing w:val="-10"/>
        </w:rPr>
        <w:t>$</w:t>
      </w:r>
      <w:r>
        <w:rPr/>
        <w:tab/>
      </w:r>
      <w:r>
        <w:rPr>
          <w:spacing w:val="-2"/>
        </w:rPr>
        <w:t>118.00</w:t>
      </w:r>
      <w:r>
        <w:rPr/>
        <w:tab/>
      </w:r>
      <w:r>
        <w:rPr>
          <w:spacing w:val="-2"/>
        </w:rPr>
        <w:t>10,428</w:t>
      </w:r>
      <w:r>
        <w:rPr/>
        <w:tab/>
      </w:r>
      <w:r>
        <w:rPr>
          <w:spacing w:val="-10"/>
        </w:rPr>
        <w:t>$</w:t>
      </w:r>
      <w:r>
        <w:rPr/>
        <w:tab/>
      </w:r>
      <w:r>
        <w:rPr>
          <w:spacing w:val="-2"/>
        </w:rPr>
        <w:t>97.16</w:t>
      </w:r>
      <w:r>
        <w:rPr/>
        <w:tab/>
      </w:r>
      <w:r>
        <w:rPr>
          <w:spacing w:val="-2"/>
        </w:rPr>
        <w:t>4,849</w:t>
      </w:r>
      <w:r>
        <w:rPr/>
        <w:tab/>
      </w:r>
      <w:r>
        <w:rPr>
          <w:spacing w:val="-10"/>
        </w:rPr>
        <w:t>$</w:t>
      </w:r>
      <w:r>
        <w:rPr/>
        <w:tab/>
      </w:r>
      <w:r>
        <w:rPr>
          <w:spacing w:val="-2"/>
        </w:rPr>
        <w:t>79.76</w:t>
      </w:r>
    </w:p>
    <w:p>
      <w:pPr>
        <w:pStyle w:val="BodyText"/>
        <w:spacing w:before="4"/>
        <w:rPr>
          <w:sz w:val="11"/>
        </w:rPr>
      </w:pPr>
    </w:p>
    <w:p>
      <w:pPr>
        <w:tabs>
          <w:tab w:pos="579" w:val="left" w:leader="none"/>
        </w:tabs>
        <w:spacing w:before="116"/>
        <w:ind w:left="220" w:right="0" w:firstLine="0"/>
        <w:jc w:val="left"/>
        <w:rPr>
          <w:i/>
          <w:sz w:val="20"/>
        </w:rPr>
      </w:pPr>
      <w:r>
        <w:rPr>
          <w:spacing w:val="-5"/>
          <w:sz w:val="20"/>
          <w:vertAlign w:val="superscript"/>
        </w:rPr>
        <w:t>(1)</w:t>
      </w:r>
      <w:r>
        <w:rPr>
          <w:sz w:val="20"/>
          <w:vertAlign w:val="baseline"/>
        </w:rPr>
        <w:tab/>
        <w:t>Stock</w:t>
      </w:r>
      <w:r>
        <w:rPr>
          <w:spacing w:val="-6"/>
          <w:sz w:val="20"/>
          <w:vertAlign w:val="baseline"/>
        </w:rPr>
        <w:t> </w:t>
      </w:r>
      <w:r>
        <w:rPr>
          <w:sz w:val="20"/>
          <w:vertAlign w:val="baseline"/>
        </w:rPr>
        <w:t>repurchase</w:t>
      </w:r>
      <w:r>
        <w:rPr>
          <w:spacing w:val="-4"/>
          <w:sz w:val="20"/>
          <w:vertAlign w:val="baseline"/>
        </w:rPr>
        <w:t> </w:t>
      </w:r>
      <w:r>
        <w:rPr>
          <w:sz w:val="20"/>
          <w:vertAlign w:val="baseline"/>
        </w:rPr>
        <w:t>agreements</w:t>
      </w:r>
      <w:r>
        <w:rPr>
          <w:spacing w:val="-3"/>
          <w:sz w:val="20"/>
          <w:vertAlign w:val="baseline"/>
        </w:rPr>
        <w:t> </w:t>
      </w:r>
      <w:r>
        <w:rPr>
          <w:sz w:val="20"/>
          <w:vertAlign w:val="baseline"/>
        </w:rPr>
        <w:t>executed</w:t>
      </w:r>
      <w:r>
        <w:rPr>
          <w:spacing w:val="-4"/>
          <w:sz w:val="20"/>
          <w:vertAlign w:val="baseline"/>
        </w:rPr>
        <w:t> </w:t>
      </w:r>
      <w:r>
        <w:rPr>
          <w:sz w:val="20"/>
          <w:vertAlign w:val="baseline"/>
        </w:rPr>
        <w:t>with</w:t>
      </w:r>
      <w:r>
        <w:rPr>
          <w:spacing w:val="-3"/>
          <w:sz w:val="20"/>
          <w:vertAlign w:val="baseline"/>
        </w:rPr>
        <w:t> </w:t>
      </w:r>
      <w:r>
        <w:rPr>
          <w:sz w:val="20"/>
          <w:vertAlign w:val="baseline"/>
        </w:rPr>
        <w:t>large</w:t>
      </w:r>
      <w:r>
        <w:rPr>
          <w:spacing w:val="-4"/>
          <w:sz w:val="20"/>
          <w:vertAlign w:val="baseline"/>
        </w:rPr>
        <w:t> </w:t>
      </w:r>
      <w:r>
        <w:rPr>
          <w:sz w:val="20"/>
          <w:vertAlign w:val="baseline"/>
        </w:rPr>
        <w:t>financial</w:t>
      </w:r>
      <w:r>
        <w:rPr>
          <w:spacing w:val="-4"/>
          <w:sz w:val="20"/>
          <w:vertAlign w:val="baseline"/>
        </w:rPr>
        <w:t> </w:t>
      </w:r>
      <w:r>
        <w:rPr>
          <w:sz w:val="20"/>
          <w:vertAlign w:val="baseline"/>
        </w:rPr>
        <w:t>institutions.</w:t>
      </w:r>
      <w:r>
        <w:rPr>
          <w:spacing w:val="-3"/>
          <w:sz w:val="20"/>
          <w:vertAlign w:val="baseline"/>
        </w:rPr>
        <w:t> </w:t>
      </w:r>
      <w:r>
        <w:rPr>
          <w:i/>
          <w:sz w:val="20"/>
          <w:vertAlign w:val="baseline"/>
        </w:rPr>
        <w:t>See</w:t>
      </w:r>
      <w:r>
        <w:rPr>
          <w:i/>
          <w:spacing w:val="-4"/>
          <w:sz w:val="20"/>
          <w:vertAlign w:val="baseline"/>
        </w:rPr>
        <w:t> </w:t>
      </w:r>
      <w:r>
        <w:rPr>
          <w:i/>
          <w:sz w:val="20"/>
          <w:vertAlign w:val="baseline"/>
        </w:rPr>
        <w:t>Stock</w:t>
      </w:r>
      <w:r>
        <w:rPr>
          <w:i/>
          <w:spacing w:val="-4"/>
          <w:sz w:val="20"/>
          <w:vertAlign w:val="baseline"/>
        </w:rPr>
        <w:t> </w:t>
      </w:r>
      <w:r>
        <w:rPr>
          <w:i/>
          <w:sz w:val="20"/>
          <w:vertAlign w:val="baseline"/>
        </w:rPr>
        <w:t>Repurchase</w:t>
      </w:r>
      <w:r>
        <w:rPr>
          <w:i/>
          <w:spacing w:val="-4"/>
          <w:sz w:val="20"/>
          <w:vertAlign w:val="baseline"/>
        </w:rPr>
        <w:t> </w:t>
      </w:r>
      <w:r>
        <w:rPr>
          <w:i/>
          <w:sz w:val="20"/>
          <w:vertAlign w:val="baseline"/>
        </w:rPr>
        <w:t>Program</w:t>
      </w:r>
      <w:r>
        <w:rPr>
          <w:i/>
          <w:spacing w:val="-3"/>
          <w:sz w:val="20"/>
          <w:vertAlign w:val="baseline"/>
        </w:rPr>
        <w:t> </w:t>
      </w:r>
      <w:r>
        <w:rPr>
          <w:i/>
          <w:spacing w:val="-2"/>
          <w:sz w:val="20"/>
          <w:vertAlign w:val="baseline"/>
        </w:rPr>
        <w:t>above.</w:t>
      </w:r>
    </w:p>
    <w:p>
      <w:pPr>
        <w:pStyle w:val="Heading2"/>
        <w:spacing w:before="190"/>
      </w:pPr>
      <w:r>
        <w:rPr/>
        <w:t>Off-Balance</w:t>
      </w:r>
      <w:r>
        <w:rPr>
          <w:spacing w:val="-9"/>
        </w:rPr>
        <w:t> </w:t>
      </w:r>
      <w:r>
        <w:rPr/>
        <w:t>Sheet</w:t>
      </w:r>
      <w:r>
        <w:rPr>
          <w:spacing w:val="-13"/>
        </w:rPr>
        <w:t> </w:t>
      </w:r>
      <w:r>
        <w:rPr/>
        <w:t>Arrangements</w:t>
      </w:r>
      <w:r>
        <w:rPr>
          <w:spacing w:val="-3"/>
        </w:rPr>
        <w:t> </w:t>
      </w:r>
      <w:r>
        <w:rPr/>
        <w:t>and</w:t>
      </w:r>
      <w:r>
        <w:rPr>
          <w:spacing w:val="-12"/>
        </w:rPr>
        <w:t> </w:t>
      </w:r>
      <w:r>
        <w:rPr/>
        <w:t>Aggregate</w:t>
      </w:r>
      <w:r>
        <w:rPr>
          <w:spacing w:val="-4"/>
        </w:rPr>
        <w:t> </w:t>
      </w:r>
      <w:r>
        <w:rPr/>
        <w:t>Contractual</w:t>
      </w:r>
      <w:r>
        <w:rPr>
          <w:spacing w:val="-4"/>
        </w:rPr>
        <w:t> </w:t>
      </w:r>
      <w:r>
        <w:rPr>
          <w:spacing w:val="-2"/>
        </w:rPr>
        <w:t>Obligations</w:t>
      </w:r>
    </w:p>
    <w:p>
      <w:pPr>
        <w:spacing w:line="249" w:lineRule="auto" w:before="190"/>
        <w:ind w:left="220" w:right="257" w:firstLine="585"/>
        <w:jc w:val="both"/>
        <w:rPr>
          <w:i/>
          <w:sz w:val="20"/>
        </w:rPr>
      </w:pPr>
      <w:r>
        <w:rPr>
          <w:sz w:val="20"/>
        </w:rPr>
        <w:t>Our</w:t>
      </w:r>
      <w:r>
        <w:rPr>
          <w:spacing w:val="-8"/>
          <w:sz w:val="20"/>
        </w:rPr>
        <w:t> </w:t>
      </w:r>
      <w:r>
        <w:rPr>
          <w:sz w:val="20"/>
        </w:rPr>
        <w:t>principal</w:t>
      </w:r>
      <w:r>
        <w:rPr>
          <w:spacing w:val="-8"/>
          <w:sz w:val="20"/>
        </w:rPr>
        <w:t> </w:t>
      </w:r>
      <w:r>
        <w:rPr>
          <w:sz w:val="20"/>
        </w:rPr>
        <w:t>commitments</w:t>
      </w:r>
      <w:r>
        <w:rPr>
          <w:spacing w:val="-7"/>
          <w:sz w:val="20"/>
        </w:rPr>
        <w:t> </w:t>
      </w:r>
      <w:r>
        <w:rPr>
          <w:sz w:val="20"/>
        </w:rPr>
        <w:t>as</w:t>
      </w:r>
      <w:r>
        <w:rPr>
          <w:spacing w:val="-8"/>
          <w:sz w:val="20"/>
        </w:rPr>
        <w:t> </w:t>
      </w:r>
      <w:r>
        <w:rPr>
          <w:sz w:val="20"/>
        </w:rPr>
        <w:t>of</w:t>
      </w:r>
      <w:r>
        <w:rPr>
          <w:spacing w:val="-7"/>
          <w:sz w:val="20"/>
        </w:rPr>
        <w:t> </w:t>
      </w:r>
      <w:r>
        <w:rPr>
          <w:sz w:val="20"/>
        </w:rPr>
        <w:t>December</w:t>
      </w:r>
      <w:r>
        <w:rPr>
          <w:spacing w:val="-3"/>
          <w:sz w:val="20"/>
        </w:rPr>
        <w:t> </w:t>
      </w:r>
      <w:r>
        <w:rPr>
          <w:sz w:val="20"/>
        </w:rPr>
        <w:t>1,</w:t>
      </w:r>
      <w:r>
        <w:rPr>
          <w:spacing w:val="-7"/>
          <w:sz w:val="20"/>
        </w:rPr>
        <w:t> </w:t>
      </w:r>
      <w:r>
        <w:rPr>
          <w:sz w:val="20"/>
        </w:rPr>
        <w:t>2017</w:t>
      </w:r>
      <w:r>
        <w:rPr>
          <w:spacing w:val="-8"/>
          <w:sz w:val="20"/>
        </w:rPr>
        <w:t> </w:t>
      </w:r>
      <w:r>
        <w:rPr>
          <w:sz w:val="20"/>
        </w:rPr>
        <w:t>consist</w:t>
      </w:r>
      <w:r>
        <w:rPr>
          <w:spacing w:val="-8"/>
          <w:sz w:val="20"/>
        </w:rPr>
        <w:t> </w:t>
      </w:r>
      <w:r>
        <w:rPr>
          <w:sz w:val="20"/>
        </w:rPr>
        <w:t>of</w:t>
      </w:r>
      <w:r>
        <w:rPr>
          <w:spacing w:val="-7"/>
          <w:sz w:val="20"/>
        </w:rPr>
        <w:t> </w:t>
      </w:r>
      <w:r>
        <w:rPr>
          <w:sz w:val="20"/>
        </w:rPr>
        <w:t>obligations</w:t>
      </w:r>
      <w:r>
        <w:rPr>
          <w:spacing w:val="-7"/>
          <w:sz w:val="20"/>
        </w:rPr>
        <w:t> </w:t>
      </w:r>
      <w:r>
        <w:rPr>
          <w:sz w:val="20"/>
        </w:rPr>
        <w:t>under</w:t>
      </w:r>
      <w:r>
        <w:rPr>
          <w:spacing w:val="-7"/>
          <w:sz w:val="20"/>
        </w:rPr>
        <w:t> </w:t>
      </w:r>
      <w:r>
        <w:rPr>
          <w:sz w:val="20"/>
        </w:rPr>
        <w:t>operating</w:t>
      </w:r>
      <w:r>
        <w:rPr>
          <w:spacing w:val="-8"/>
          <w:sz w:val="20"/>
        </w:rPr>
        <w:t> </w:t>
      </w:r>
      <w:r>
        <w:rPr>
          <w:sz w:val="20"/>
        </w:rPr>
        <w:t>leases,</w:t>
      </w:r>
      <w:r>
        <w:rPr>
          <w:spacing w:val="-7"/>
          <w:sz w:val="20"/>
        </w:rPr>
        <w:t> </w:t>
      </w:r>
      <w:r>
        <w:rPr>
          <w:sz w:val="20"/>
        </w:rPr>
        <w:t>royalty</w:t>
      </w:r>
      <w:r>
        <w:rPr>
          <w:spacing w:val="-8"/>
          <w:sz w:val="20"/>
        </w:rPr>
        <w:t> </w:t>
      </w:r>
      <w:r>
        <w:rPr>
          <w:sz w:val="20"/>
        </w:rPr>
        <w:t>agreements</w:t>
      </w:r>
      <w:r>
        <w:rPr>
          <w:spacing w:val="-7"/>
          <w:sz w:val="20"/>
        </w:rPr>
        <w:t> </w:t>
      </w:r>
      <w:r>
        <w:rPr>
          <w:sz w:val="20"/>
        </w:rPr>
        <w:t>and various</w:t>
      </w:r>
      <w:r>
        <w:rPr>
          <w:spacing w:val="-8"/>
          <w:sz w:val="20"/>
        </w:rPr>
        <w:t> </w:t>
      </w:r>
      <w:r>
        <w:rPr>
          <w:sz w:val="20"/>
        </w:rPr>
        <w:t>service</w:t>
      </w:r>
      <w:r>
        <w:rPr>
          <w:spacing w:val="-8"/>
          <w:sz w:val="20"/>
        </w:rPr>
        <w:t> </w:t>
      </w:r>
      <w:r>
        <w:rPr>
          <w:sz w:val="20"/>
        </w:rPr>
        <w:t>agreements.</w:t>
      </w:r>
      <w:r>
        <w:rPr>
          <w:spacing w:val="-8"/>
          <w:sz w:val="20"/>
        </w:rPr>
        <w:t> </w:t>
      </w:r>
      <w:hyperlink w:history="true" w:anchor="_bookmark30">
        <w:r>
          <w:rPr>
            <w:i/>
            <w:sz w:val="20"/>
          </w:rPr>
          <w:t>See</w:t>
        </w:r>
        <w:r>
          <w:rPr>
            <w:i/>
            <w:spacing w:val="-8"/>
            <w:sz w:val="20"/>
          </w:rPr>
          <w:t> </w:t>
        </w:r>
        <w:r>
          <w:rPr>
            <w:i/>
            <w:sz w:val="20"/>
          </w:rPr>
          <w:t>Note</w:t>
        </w:r>
        <w:r>
          <w:rPr>
            <w:i/>
            <w:spacing w:val="-8"/>
            <w:sz w:val="20"/>
          </w:rPr>
          <w:t> </w:t>
        </w:r>
        <w:r>
          <w:rPr>
            <w:i/>
            <w:sz w:val="20"/>
          </w:rPr>
          <w:t>14</w:t>
        </w:r>
        <w:r>
          <w:rPr>
            <w:i/>
            <w:spacing w:val="-8"/>
            <w:sz w:val="20"/>
          </w:rPr>
          <w:t> </w:t>
        </w:r>
        <w:r>
          <w:rPr>
            <w:i/>
            <w:sz w:val="20"/>
          </w:rPr>
          <w:t>of</w:t>
        </w:r>
        <w:r>
          <w:rPr>
            <w:i/>
            <w:spacing w:val="-8"/>
            <w:sz w:val="20"/>
          </w:rPr>
          <w:t> </w:t>
        </w:r>
        <w:r>
          <w:rPr>
            <w:i/>
            <w:sz w:val="20"/>
          </w:rPr>
          <w:t>our</w:t>
        </w:r>
        <w:r>
          <w:rPr>
            <w:i/>
            <w:spacing w:val="-8"/>
            <w:sz w:val="20"/>
          </w:rPr>
          <w:t> </w:t>
        </w:r>
        <w:r>
          <w:rPr>
            <w:i/>
            <w:sz w:val="20"/>
          </w:rPr>
          <w:t>Notes</w:t>
        </w:r>
        <w:r>
          <w:rPr>
            <w:i/>
            <w:spacing w:val="-8"/>
            <w:sz w:val="20"/>
          </w:rPr>
          <w:t> </w:t>
        </w:r>
        <w:r>
          <w:rPr>
            <w:i/>
            <w:sz w:val="20"/>
          </w:rPr>
          <w:t>to</w:t>
        </w:r>
        <w:r>
          <w:rPr>
            <w:i/>
            <w:spacing w:val="-8"/>
            <w:sz w:val="20"/>
          </w:rPr>
          <w:t> </w:t>
        </w:r>
        <w:r>
          <w:rPr>
            <w:i/>
            <w:sz w:val="20"/>
          </w:rPr>
          <w:t>Consolidated</w:t>
        </w:r>
        <w:r>
          <w:rPr>
            <w:i/>
            <w:spacing w:val="-8"/>
            <w:sz w:val="20"/>
          </w:rPr>
          <w:t> </w:t>
        </w:r>
        <w:r>
          <w:rPr>
            <w:i/>
            <w:sz w:val="20"/>
          </w:rPr>
          <w:t>Financial</w:t>
        </w:r>
        <w:r>
          <w:rPr>
            <w:i/>
            <w:spacing w:val="-8"/>
            <w:sz w:val="20"/>
          </w:rPr>
          <w:t> </w:t>
        </w:r>
        <w:r>
          <w:rPr>
            <w:i/>
            <w:sz w:val="20"/>
          </w:rPr>
          <w:t>Statements</w:t>
        </w:r>
        <w:r>
          <w:rPr>
            <w:i/>
            <w:spacing w:val="-8"/>
            <w:sz w:val="20"/>
          </w:rPr>
          <w:t> </w:t>
        </w:r>
        <w:r>
          <w:rPr>
            <w:i/>
            <w:sz w:val="20"/>
          </w:rPr>
          <w:t>for</w:t>
        </w:r>
        <w:r>
          <w:rPr>
            <w:i/>
            <w:spacing w:val="-8"/>
            <w:sz w:val="20"/>
          </w:rPr>
          <w:t> </w:t>
        </w:r>
        <w:r>
          <w:rPr>
            <w:i/>
            <w:sz w:val="20"/>
          </w:rPr>
          <w:t>additional</w:t>
        </w:r>
        <w:r>
          <w:rPr>
            <w:i/>
            <w:spacing w:val="-8"/>
            <w:sz w:val="20"/>
          </w:rPr>
          <w:t> </w:t>
        </w:r>
        <w:r>
          <w:rPr>
            <w:i/>
            <w:sz w:val="20"/>
          </w:rPr>
          <w:t>information</w:t>
        </w:r>
        <w:r>
          <w:rPr>
            <w:i/>
            <w:spacing w:val="-8"/>
            <w:sz w:val="20"/>
          </w:rPr>
          <w:t> </w:t>
        </w:r>
        <w:r>
          <w:rPr>
            <w:i/>
            <w:sz w:val="20"/>
          </w:rPr>
          <w:t>regarding</w:t>
        </w:r>
      </w:hyperlink>
      <w:r>
        <w:rPr>
          <w:i/>
          <w:sz w:val="20"/>
        </w:rPr>
        <w:t> </w:t>
      </w:r>
      <w:hyperlink w:history="true" w:anchor="_bookmark30">
        <w:r>
          <w:rPr>
            <w:i/>
            <w:sz w:val="20"/>
          </w:rPr>
          <w:t>our contractual commitments.</w:t>
        </w:r>
      </w:hyperlink>
    </w:p>
    <w:p>
      <w:pPr>
        <w:spacing w:before="182"/>
        <w:ind w:left="220" w:right="0" w:firstLine="0"/>
        <w:jc w:val="left"/>
        <w:rPr>
          <w:i/>
          <w:sz w:val="20"/>
        </w:rPr>
      </w:pPr>
      <w:r>
        <w:rPr>
          <w:i/>
          <w:sz w:val="20"/>
        </w:rPr>
        <w:t>Contractual</w:t>
      </w:r>
      <w:r>
        <w:rPr>
          <w:i/>
          <w:spacing w:val="-1"/>
          <w:sz w:val="20"/>
        </w:rPr>
        <w:t> </w:t>
      </w:r>
      <w:r>
        <w:rPr>
          <w:i/>
          <w:spacing w:val="-2"/>
          <w:sz w:val="20"/>
        </w:rPr>
        <w:t>Obligations</w:t>
      </w:r>
    </w:p>
    <w:p>
      <w:pPr>
        <w:pStyle w:val="BodyText"/>
        <w:spacing w:before="190"/>
        <w:ind w:left="760"/>
      </w:pPr>
      <w:r>
        <w:rPr/>
        <w:t>The</w:t>
      </w:r>
      <w:r>
        <w:rPr>
          <w:spacing w:val="-2"/>
        </w:rPr>
        <w:t> </w:t>
      </w:r>
      <w:r>
        <w:rPr/>
        <w:t>following</w:t>
      </w:r>
      <w:r>
        <w:rPr>
          <w:spacing w:val="-3"/>
        </w:rPr>
        <w:t> </w:t>
      </w:r>
      <w:r>
        <w:rPr/>
        <w:t>table</w:t>
      </w:r>
      <w:r>
        <w:rPr>
          <w:spacing w:val="-1"/>
        </w:rPr>
        <w:t> </w:t>
      </w:r>
      <w:r>
        <w:rPr/>
        <w:t>summarizes</w:t>
      </w:r>
      <w:r>
        <w:rPr>
          <w:spacing w:val="-2"/>
        </w:rPr>
        <w:t> </w:t>
      </w:r>
      <w:r>
        <w:rPr/>
        <w:t>our</w:t>
      </w:r>
      <w:r>
        <w:rPr>
          <w:spacing w:val="-1"/>
        </w:rPr>
        <w:t> </w:t>
      </w:r>
      <w:r>
        <w:rPr/>
        <w:t>contractual</w:t>
      </w:r>
      <w:r>
        <w:rPr>
          <w:spacing w:val="-3"/>
        </w:rPr>
        <w:t> </w:t>
      </w:r>
      <w:r>
        <w:rPr/>
        <w:t>obligations</w:t>
      </w:r>
      <w:r>
        <w:rPr>
          <w:spacing w:val="-1"/>
        </w:rPr>
        <w:t> </w:t>
      </w:r>
      <w:r>
        <w:rPr/>
        <w:t>as</w:t>
      </w:r>
      <w:r>
        <w:rPr>
          <w:spacing w:val="-2"/>
        </w:rPr>
        <w:t> </w:t>
      </w:r>
      <w:r>
        <w:rPr/>
        <w:t>of</w:t>
      </w:r>
      <w:r>
        <w:rPr>
          <w:spacing w:val="-1"/>
        </w:rPr>
        <w:t> </w:t>
      </w:r>
      <w:r>
        <w:rPr/>
        <w:t>December</w:t>
      </w:r>
      <w:r>
        <w:rPr>
          <w:spacing w:val="-2"/>
        </w:rPr>
        <w:t> </w:t>
      </w:r>
      <w:r>
        <w:rPr/>
        <w:t>1,</w:t>
      </w:r>
      <w:r>
        <w:rPr>
          <w:spacing w:val="-1"/>
        </w:rPr>
        <w:t> </w:t>
      </w:r>
      <w:r>
        <w:rPr/>
        <w:t>2017</w:t>
      </w:r>
      <w:r>
        <w:rPr>
          <w:spacing w:val="-2"/>
        </w:rPr>
        <w:t> </w:t>
      </w:r>
      <w:r>
        <w:rPr/>
        <w:t>(in</w:t>
      </w:r>
      <w:r>
        <w:rPr>
          <w:spacing w:val="-1"/>
        </w:rPr>
        <w:t> </w:t>
      </w:r>
      <w:r>
        <w:rPr>
          <w:spacing w:val="-2"/>
        </w:rPr>
        <w:t>millions):</w:t>
      </w:r>
    </w:p>
    <w:p>
      <w:pPr>
        <w:pStyle w:val="BodyText"/>
        <w:spacing w:before="60"/>
      </w:pPr>
    </w:p>
    <w:p>
      <w:pPr>
        <w:spacing w:after="0"/>
        <w:sectPr>
          <w:type w:val="continuous"/>
          <w:pgSz w:w="12240" w:h="15840"/>
          <w:pgMar w:header="210" w:footer="579" w:top="680" w:bottom="280" w:left="780" w:right="740"/>
        </w:sectPr>
      </w:pPr>
    </w:p>
    <w:p>
      <w:pPr>
        <w:pStyle w:val="BodyText"/>
        <w:rPr>
          <w:sz w:val="16"/>
        </w:rPr>
      </w:pPr>
    </w:p>
    <w:p>
      <w:pPr>
        <w:pStyle w:val="BodyText"/>
        <w:spacing w:before="135"/>
        <w:rPr>
          <w:sz w:val="16"/>
        </w:rPr>
      </w:pPr>
    </w:p>
    <w:p>
      <w:pPr>
        <w:spacing w:before="0"/>
        <w:ind w:left="0" w:right="0" w:firstLine="0"/>
        <w:jc w:val="right"/>
        <w:rPr>
          <w:b/>
          <w:sz w:val="16"/>
        </w:rPr>
      </w:pPr>
      <w:r>
        <w:rPr>
          <w:b/>
          <w:spacing w:val="-2"/>
          <w:sz w:val="16"/>
        </w:rPr>
        <w:t>Total</w:t>
      </w:r>
    </w:p>
    <w:p>
      <w:pPr>
        <w:spacing w:before="94"/>
        <w:ind w:left="1410" w:right="0" w:firstLine="0"/>
        <w:jc w:val="left"/>
        <w:rPr>
          <w:b/>
          <w:sz w:val="16"/>
        </w:rPr>
      </w:pPr>
      <w:r>
        <w:rPr/>
        <w:br w:type="column"/>
      </w:r>
      <w:r>
        <w:rPr>
          <w:b/>
          <w:sz w:val="16"/>
        </w:rPr>
        <w:t>Payment Due by </w:t>
      </w:r>
      <w:r>
        <w:rPr>
          <w:b/>
          <w:spacing w:val="-2"/>
          <w:sz w:val="16"/>
        </w:rPr>
        <w:t>Period</w:t>
      </w:r>
    </w:p>
    <w:p>
      <w:pPr>
        <w:spacing w:line="172" w:lineRule="exact" w:before="68"/>
        <w:ind w:left="640" w:right="0" w:firstLine="0"/>
        <w:jc w:val="left"/>
        <w:rPr>
          <w:b/>
          <w:sz w:val="16"/>
        </w:rPr>
      </w:pPr>
      <w:r>
        <w:rPr/>
        <mc:AlternateContent>
          <mc:Choice Requires="wps">
            <w:drawing>
              <wp:anchor distT="0" distB="0" distL="0" distR="0" allowOverlap="1" layoutInCell="1" locked="0" behindDoc="0" simplePos="0" relativeHeight="15768064">
                <wp:simplePos x="0" y="0"/>
                <wp:positionH relativeFrom="page">
                  <wp:posOffset>3397250</wp:posOffset>
                </wp:positionH>
                <wp:positionV relativeFrom="paragraph">
                  <wp:posOffset>31174</wp:posOffset>
                </wp:positionV>
                <wp:extent cx="3746500" cy="1270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3746500" cy="12700"/>
                        </a:xfrm>
                        <a:custGeom>
                          <a:avLst/>
                          <a:gdLst/>
                          <a:ahLst/>
                          <a:cxnLst/>
                          <a:rect l="l" t="t" r="r" b="b"/>
                          <a:pathLst>
                            <a:path w="3746500" h="12700">
                              <a:moveTo>
                                <a:pt x="3746500" y="0"/>
                              </a:moveTo>
                              <a:lnTo>
                                <a:pt x="3746500" y="0"/>
                              </a:lnTo>
                              <a:lnTo>
                                <a:pt x="0" y="0"/>
                              </a:lnTo>
                              <a:lnTo>
                                <a:pt x="0" y="12700"/>
                              </a:lnTo>
                              <a:lnTo>
                                <a:pt x="3746500" y="12700"/>
                              </a:lnTo>
                              <a:lnTo>
                                <a:pt x="3746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5pt;margin-top:2.454695pt;width:295.000014pt;height:1.0pt;mso-position-horizontal-relative:page;mso-position-vertical-relative:paragraph;z-index:15768064" id="docshape160" filled="true" fillcolor="#000000" stroked="false">
                <v:fill type="solid"/>
                <w10:wrap type="none"/>
              </v:rect>
            </w:pict>
          </mc:Fallback>
        </mc:AlternateContent>
      </w:r>
      <w:r>
        <w:rPr>
          <w:b/>
          <w:sz w:val="16"/>
        </w:rPr>
        <w:t>Less</w:t>
      </w:r>
      <w:r>
        <w:rPr>
          <w:b/>
          <w:spacing w:val="-4"/>
          <w:sz w:val="16"/>
        </w:rPr>
        <w:t> than</w:t>
      </w:r>
    </w:p>
    <w:p>
      <w:pPr>
        <w:tabs>
          <w:tab w:pos="1858" w:val="left" w:leader="none"/>
          <w:tab w:pos="3058" w:val="left" w:leader="none"/>
        </w:tabs>
        <w:spacing w:line="172" w:lineRule="exact" w:before="0"/>
        <w:ind w:left="757" w:right="0" w:firstLine="0"/>
        <w:jc w:val="left"/>
        <w:rPr>
          <w:b/>
          <w:sz w:val="16"/>
        </w:rPr>
      </w:pPr>
      <w:r>
        <w:rPr>
          <w:b/>
          <w:sz w:val="16"/>
        </w:rPr>
        <w:t>1 </w:t>
      </w:r>
      <w:r>
        <w:rPr>
          <w:b/>
          <w:spacing w:val="-4"/>
          <w:sz w:val="16"/>
        </w:rPr>
        <w:t>year</w:t>
      </w:r>
      <w:r>
        <w:rPr>
          <w:b/>
          <w:sz w:val="16"/>
        </w:rPr>
        <w:tab/>
        <w:t>1-3 </w:t>
      </w:r>
      <w:r>
        <w:rPr>
          <w:b/>
          <w:spacing w:val="-2"/>
          <w:sz w:val="16"/>
        </w:rPr>
        <w:t>years</w:t>
      </w:r>
      <w:r>
        <w:rPr>
          <w:b/>
          <w:sz w:val="16"/>
        </w:rPr>
        <w:tab/>
        <w:t>3-5 </w:t>
      </w:r>
      <w:r>
        <w:rPr>
          <w:b/>
          <w:spacing w:val="-2"/>
          <w:sz w:val="16"/>
        </w:rPr>
        <w:t>year</w:t>
      </w:r>
      <w:r>
        <w:rPr>
          <w:b/>
          <w:spacing w:val="-2"/>
          <w:sz w:val="16"/>
        </w:rPr>
        <w:t>s</w:t>
      </w:r>
    </w:p>
    <w:p>
      <w:pPr>
        <w:spacing w:line="240" w:lineRule="auto" w:before="181"/>
        <w:rPr>
          <w:b/>
          <w:sz w:val="16"/>
        </w:rPr>
      </w:pPr>
      <w:r>
        <w:rPr/>
        <w:br w:type="column"/>
      </w:r>
      <w:r>
        <w:rPr>
          <w:b/>
          <w:sz w:val="16"/>
        </w:rPr>
      </w:r>
    </w:p>
    <w:p>
      <w:pPr>
        <w:spacing w:line="208" w:lineRule="auto" w:before="0"/>
        <w:ind w:left="608" w:right="457" w:hanging="118"/>
        <w:jc w:val="left"/>
        <w:rPr>
          <w:b/>
          <w:sz w:val="16"/>
        </w:rPr>
      </w:pPr>
      <w:r>
        <w:rPr>
          <w:b/>
          <w:spacing w:val="-2"/>
          <w:sz w:val="16"/>
        </w:rPr>
        <w:t>More</w:t>
      </w:r>
      <w:r>
        <w:rPr>
          <w:b/>
          <w:spacing w:val="-8"/>
          <w:sz w:val="16"/>
        </w:rPr>
        <w:t> </w:t>
      </w:r>
      <w:r>
        <w:rPr>
          <w:b/>
          <w:spacing w:val="-2"/>
          <w:sz w:val="16"/>
        </w:rPr>
        <w:t>than</w:t>
      </w:r>
      <w:r>
        <w:rPr>
          <w:b/>
          <w:spacing w:val="40"/>
          <w:sz w:val="16"/>
        </w:rPr>
        <w:t> </w:t>
      </w:r>
      <w:r>
        <w:rPr>
          <w:b/>
          <w:sz w:val="16"/>
        </w:rPr>
        <w:t>5</w:t>
      </w:r>
      <w:r>
        <w:rPr>
          <w:b/>
          <w:spacing w:val="-1"/>
          <w:sz w:val="16"/>
        </w:rPr>
        <w:t> </w:t>
      </w:r>
      <w:r>
        <w:rPr>
          <w:b/>
          <w:sz w:val="16"/>
        </w:rPr>
        <w:t>years</w:t>
      </w:r>
    </w:p>
    <w:p>
      <w:pPr>
        <w:spacing w:after="0" w:line="208" w:lineRule="auto"/>
        <w:jc w:val="left"/>
        <w:rPr>
          <w:sz w:val="16"/>
        </w:rPr>
        <w:sectPr>
          <w:type w:val="continuous"/>
          <w:pgSz w:w="12240" w:h="15840"/>
          <w:pgMar w:header="210" w:footer="579" w:top="680" w:bottom="280" w:left="780" w:right="740"/>
          <w:cols w:num="3" w:equalWidth="0">
            <w:col w:w="5293" w:space="40"/>
            <w:col w:w="3677" w:space="39"/>
            <w:col w:w="1671"/>
          </w:cols>
        </w:sectPr>
      </w:pPr>
    </w:p>
    <w:p>
      <w:pPr>
        <w:pStyle w:val="BodyText"/>
        <w:spacing w:before="1"/>
        <w:rPr>
          <w:b/>
          <w:sz w:val="4"/>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0"/>
        <w:gridCol w:w="1127"/>
        <w:gridCol w:w="1200"/>
        <w:gridCol w:w="1200"/>
        <w:gridCol w:w="1200"/>
        <w:gridCol w:w="1173"/>
      </w:tblGrid>
      <w:tr>
        <w:trPr>
          <w:trHeight w:val="270" w:hRule="atLeast"/>
        </w:trPr>
        <w:tc>
          <w:tcPr>
            <w:tcW w:w="4340" w:type="dxa"/>
            <w:shd w:val="clear" w:color="auto" w:fill="CCEDFF"/>
          </w:tcPr>
          <w:p>
            <w:pPr>
              <w:pStyle w:val="TableParagraph"/>
              <w:spacing w:line="222" w:lineRule="exact"/>
              <w:ind w:left="50"/>
              <w:rPr>
                <w:sz w:val="20"/>
              </w:rPr>
            </w:pPr>
            <w:r>
              <w:rPr>
                <w:sz w:val="20"/>
              </w:rPr>
              <w:t>Notes, including </w:t>
            </w:r>
            <w:r>
              <w:rPr>
                <w:spacing w:val="-2"/>
                <w:sz w:val="20"/>
              </w:rPr>
              <w:t>interest</w:t>
            </w:r>
          </w:p>
        </w:tc>
        <w:tc>
          <w:tcPr>
            <w:tcW w:w="1127" w:type="dxa"/>
            <w:tcBorders>
              <w:top w:val="single" w:sz="8" w:space="0" w:color="000000"/>
            </w:tcBorders>
            <w:shd w:val="clear" w:color="auto" w:fill="CCEDFF"/>
          </w:tcPr>
          <w:p>
            <w:pPr>
              <w:pStyle w:val="TableParagraph"/>
              <w:tabs>
                <w:tab w:pos="372" w:val="left" w:leader="none"/>
              </w:tabs>
              <w:spacing w:line="222" w:lineRule="exact"/>
              <w:ind w:right="103"/>
              <w:jc w:val="right"/>
              <w:rPr>
                <w:sz w:val="20"/>
              </w:rPr>
            </w:pPr>
            <w:r>
              <w:rPr>
                <w:spacing w:val="-10"/>
                <w:sz w:val="20"/>
              </w:rPr>
              <w:t>$</w:t>
            </w:r>
            <w:r>
              <w:rPr>
                <w:sz w:val="20"/>
              </w:rPr>
              <w:tab/>
            </w:r>
            <w:r>
              <w:rPr>
                <w:spacing w:val="-2"/>
                <w:sz w:val="20"/>
              </w:rPr>
              <w:t>2,250.6</w:t>
            </w:r>
          </w:p>
        </w:tc>
        <w:tc>
          <w:tcPr>
            <w:tcW w:w="1200" w:type="dxa"/>
            <w:tcBorders>
              <w:top w:val="single" w:sz="8" w:space="0" w:color="000000"/>
            </w:tcBorders>
            <w:shd w:val="clear" w:color="auto" w:fill="CCEDFF"/>
          </w:tcPr>
          <w:p>
            <w:pPr>
              <w:pStyle w:val="TableParagraph"/>
              <w:tabs>
                <w:tab w:pos="642" w:val="left" w:leader="none"/>
              </w:tabs>
              <w:spacing w:line="222" w:lineRule="exact"/>
              <w:ind w:right="103"/>
              <w:jc w:val="right"/>
              <w:rPr>
                <w:sz w:val="20"/>
              </w:rPr>
            </w:pPr>
            <w:r>
              <w:rPr>
                <w:spacing w:val="-10"/>
                <w:sz w:val="20"/>
              </w:rPr>
              <w:t>$</w:t>
            </w:r>
            <w:r>
              <w:rPr>
                <w:sz w:val="20"/>
              </w:rPr>
              <w:tab/>
            </w:r>
            <w:r>
              <w:rPr>
                <w:spacing w:val="-4"/>
                <w:sz w:val="20"/>
              </w:rPr>
              <w:t>75.3</w:t>
            </w:r>
          </w:p>
        </w:tc>
        <w:tc>
          <w:tcPr>
            <w:tcW w:w="1200" w:type="dxa"/>
            <w:tcBorders>
              <w:top w:val="single" w:sz="8" w:space="0" w:color="000000"/>
            </w:tcBorders>
            <w:shd w:val="clear" w:color="auto" w:fill="CCEDFF"/>
          </w:tcPr>
          <w:p>
            <w:pPr>
              <w:pStyle w:val="TableParagraph"/>
              <w:tabs>
                <w:tab w:pos="392" w:val="left" w:leader="none"/>
              </w:tabs>
              <w:spacing w:line="222" w:lineRule="exact"/>
              <w:ind w:right="103"/>
              <w:jc w:val="right"/>
              <w:rPr>
                <w:sz w:val="20"/>
              </w:rPr>
            </w:pPr>
            <w:r>
              <w:rPr>
                <w:spacing w:val="-10"/>
                <w:sz w:val="20"/>
              </w:rPr>
              <w:t>$</w:t>
            </w:r>
            <w:r>
              <w:rPr>
                <w:sz w:val="20"/>
              </w:rPr>
              <w:tab/>
            </w:r>
            <w:r>
              <w:rPr>
                <w:spacing w:val="-2"/>
                <w:sz w:val="20"/>
              </w:rPr>
              <w:t>1,061.6</w:t>
            </w:r>
          </w:p>
        </w:tc>
        <w:tc>
          <w:tcPr>
            <w:tcW w:w="1200" w:type="dxa"/>
            <w:tcBorders>
              <w:top w:val="single" w:sz="8" w:space="0" w:color="000000"/>
            </w:tcBorders>
            <w:shd w:val="clear" w:color="auto" w:fill="CCEDFF"/>
          </w:tcPr>
          <w:p>
            <w:pPr>
              <w:pStyle w:val="TableParagraph"/>
              <w:tabs>
                <w:tab w:pos="642" w:val="left" w:leader="none"/>
              </w:tabs>
              <w:spacing w:line="222" w:lineRule="exact"/>
              <w:ind w:right="103"/>
              <w:jc w:val="right"/>
              <w:rPr>
                <w:sz w:val="20"/>
              </w:rPr>
            </w:pPr>
            <w:r>
              <w:rPr>
                <w:spacing w:val="-10"/>
                <w:sz w:val="20"/>
              </w:rPr>
              <w:t>$</w:t>
            </w:r>
            <w:r>
              <w:rPr>
                <w:sz w:val="20"/>
              </w:rPr>
              <w:tab/>
            </w:r>
            <w:r>
              <w:rPr>
                <w:spacing w:val="-4"/>
                <w:sz w:val="20"/>
              </w:rPr>
              <w:t>65.0</w:t>
            </w:r>
          </w:p>
        </w:tc>
        <w:tc>
          <w:tcPr>
            <w:tcW w:w="1173" w:type="dxa"/>
            <w:tcBorders>
              <w:top w:val="single" w:sz="8" w:space="0" w:color="000000"/>
            </w:tcBorders>
            <w:shd w:val="clear" w:color="auto" w:fill="CCEDFF"/>
          </w:tcPr>
          <w:p>
            <w:pPr>
              <w:pStyle w:val="TableParagraph"/>
              <w:tabs>
                <w:tab w:pos="392" w:val="left" w:leader="none"/>
              </w:tabs>
              <w:spacing w:line="222" w:lineRule="exact"/>
              <w:ind w:right="76"/>
              <w:jc w:val="right"/>
              <w:rPr>
                <w:sz w:val="20"/>
              </w:rPr>
            </w:pPr>
            <w:r>
              <w:rPr>
                <w:spacing w:val="-10"/>
                <w:sz w:val="20"/>
              </w:rPr>
              <w:t>$</w:t>
            </w:r>
            <w:r>
              <w:rPr>
                <w:sz w:val="20"/>
              </w:rPr>
              <w:tab/>
            </w:r>
            <w:r>
              <w:rPr>
                <w:spacing w:val="-2"/>
                <w:sz w:val="20"/>
              </w:rPr>
              <w:t>1,048.7</w:t>
            </w:r>
          </w:p>
        </w:tc>
      </w:tr>
      <w:tr>
        <w:trPr>
          <w:trHeight w:val="280" w:hRule="atLeast"/>
        </w:trPr>
        <w:tc>
          <w:tcPr>
            <w:tcW w:w="4340" w:type="dxa"/>
          </w:tcPr>
          <w:p>
            <w:pPr>
              <w:pStyle w:val="TableParagraph"/>
              <w:spacing w:before="2"/>
              <w:ind w:left="50"/>
              <w:rPr>
                <w:sz w:val="20"/>
              </w:rPr>
            </w:pPr>
            <w:r>
              <w:rPr>
                <w:sz w:val="20"/>
              </w:rPr>
              <w:t>Operating lease </w:t>
            </w:r>
            <w:r>
              <w:rPr>
                <w:spacing w:val="-2"/>
                <w:sz w:val="20"/>
              </w:rPr>
              <w:t>obligations</w:t>
            </w:r>
          </w:p>
        </w:tc>
        <w:tc>
          <w:tcPr>
            <w:tcW w:w="1127" w:type="dxa"/>
          </w:tcPr>
          <w:p>
            <w:pPr>
              <w:pStyle w:val="TableParagraph"/>
              <w:spacing w:before="2"/>
              <w:ind w:right="103"/>
              <w:jc w:val="right"/>
              <w:rPr>
                <w:sz w:val="20"/>
              </w:rPr>
            </w:pPr>
            <w:r>
              <w:rPr>
                <w:spacing w:val="-2"/>
                <w:sz w:val="20"/>
              </w:rPr>
              <w:t>525.1</w:t>
            </w:r>
          </w:p>
        </w:tc>
        <w:tc>
          <w:tcPr>
            <w:tcW w:w="1200" w:type="dxa"/>
          </w:tcPr>
          <w:p>
            <w:pPr>
              <w:pStyle w:val="TableParagraph"/>
              <w:spacing w:before="2"/>
              <w:ind w:right="103"/>
              <w:jc w:val="right"/>
              <w:rPr>
                <w:sz w:val="20"/>
              </w:rPr>
            </w:pPr>
            <w:r>
              <w:rPr>
                <w:spacing w:val="-4"/>
                <w:sz w:val="20"/>
              </w:rPr>
              <w:t>57.5</w:t>
            </w:r>
          </w:p>
        </w:tc>
        <w:tc>
          <w:tcPr>
            <w:tcW w:w="1200" w:type="dxa"/>
          </w:tcPr>
          <w:p>
            <w:pPr>
              <w:pStyle w:val="TableParagraph"/>
              <w:spacing w:before="2"/>
              <w:ind w:right="103"/>
              <w:jc w:val="right"/>
              <w:rPr>
                <w:sz w:val="20"/>
              </w:rPr>
            </w:pPr>
            <w:r>
              <w:rPr>
                <w:spacing w:val="-2"/>
                <w:sz w:val="20"/>
              </w:rPr>
              <w:t>120.5</w:t>
            </w:r>
          </w:p>
        </w:tc>
        <w:tc>
          <w:tcPr>
            <w:tcW w:w="1200" w:type="dxa"/>
          </w:tcPr>
          <w:p>
            <w:pPr>
              <w:pStyle w:val="TableParagraph"/>
              <w:spacing w:before="2"/>
              <w:ind w:right="103"/>
              <w:jc w:val="right"/>
              <w:rPr>
                <w:sz w:val="20"/>
              </w:rPr>
            </w:pPr>
            <w:r>
              <w:rPr>
                <w:spacing w:val="-4"/>
                <w:sz w:val="20"/>
              </w:rPr>
              <w:t>95.6</w:t>
            </w:r>
          </w:p>
        </w:tc>
        <w:tc>
          <w:tcPr>
            <w:tcW w:w="1173" w:type="dxa"/>
          </w:tcPr>
          <w:p>
            <w:pPr>
              <w:pStyle w:val="TableParagraph"/>
              <w:spacing w:before="2"/>
              <w:ind w:right="76"/>
              <w:jc w:val="right"/>
              <w:rPr>
                <w:sz w:val="20"/>
              </w:rPr>
            </w:pPr>
            <w:r>
              <w:rPr>
                <w:spacing w:val="-2"/>
                <w:sz w:val="20"/>
              </w:rPr>
              <w:t>251.5</w:t>
            </w:r>
          </w:p>
        </w:tc>
      </w:tr>
      <w:tr>
        <w:trPr>
          <w:trHeight w:val="270" w:hRule="atLeast"/>
        </w:trPr>
        <w:tc>
          <w:tcPr>
            <w:tcW w:w="4340" w:type="dxa"/>
            <w:shd w:val="clear" w:color="auto" w:fill="CCEDFF"/>
          </w:tcPr>
          <w:p>
            <w:pPr>
              <w:pStyle w:val="TableParagraph"/>
              <w:spacing w:before="2"/>
              <w:ind w:left="50"/>
              <w:rPr>
                <w:sz w:val="20"/>
              </w:rPr>
            </w:pPr>
            <w:r>
              <w:rPr>
                <w:sz w:val="20"/>
              </w:rPr>
              <w:t>Purchase </w:t>
            </w:r>
            <w:r>
              <w:rPr>
                <w:spacing w:val="-2"/>
                <w:sz w:val="20"/>
              </w:rPr>
              <w:t>obligations</w:t>
            </w:r>
          </w:p>
        </w:tc>
        <w:tc>
          <w:tcPr>
            <w:tcW w:w="1127" w:type="dxa"/>
            <w:tcBorders>
              <w:bottom w:val="single" w:sz="8" w:space="0" w:color="000000"/>
            </w:tcBorders>
            <w:shd w:val="clear" w:color="auto" w:fill="CCEDFF"/>
          </w:tcPr>
          <w:p>
            <w:pPr>
              <w:pStyle w:val="TableParagraph"/>
              <w:spacing w:before="2"/>
              <w:ind w:right="103"/>
              <w:jc w:val="right"/>
              <w:rPr>
                <w:sz w:val="20"/>
              </w:rPr>
            </w:pPr>
            <w:r>
              <w:rPr>
                <w:spacing w:val="-2"/>
                <w:sz w:val="20"/>
              </w:rPr>
              <w:t>695.3</w:t>
            </w:r>
          </w:p>
        </w:tc>
        <w:tc>
          <w:tcPr>
            <w:tcW w:w="1200" w:type="dxa"/>
            <w:tcBorders>
              <w:bottom w:val="single" w:sz="8" w:space="0" w:color="000000"/>
            </w:tcBorders>
            <w:shd w:val="clear" w:color="auto" w:fill="CCEDFF"/>
          </w:tcPr>
          <w:p>
            <w:pPr>
              <w:pStyle w:val="TableParagraph"/>
              <w:spacing w:before="2"/>
              <w:ind w:right="103"/>
              <w:jc w:val="right"/>
              <w:rPr>
                <w:sz w:val="20"/>
              </w:rPr>
            </w:pPr>
            <w:r>
              <w:rPr>
                <w:spacing w:val="-2"/>
                <w:sz w:val="20"/>
              </w:rPr>
              <w:t>449.8</w:t>
            </w:r>
          </w:p>
        </w:tc>
        <w:tc>
          <w:tcPr>
            <w:tcW w:w="1200" w:type="dxa"/>
            <w:tcBorders>
              <w:bottom w:val="single" w:sz="8" w:space="0" w:color="000000"/>
            </w:tcBorders>
            <w:shd w:val="clear" w:color="auto" w:fill="CCEDFF"/>
          </w:tcPr>
          <w:p>
            <w:pPr>
              <w:pStyle w:val="TableParagraph"/>
              <w:spacing w:before="2"/>
              <w:ind w:right="103"/>
              <w:jc w:val="right"/>
              <w:rPr>
                <w:sz w:val="20"/>
              </w:rPr>
            </w:pPr>
            <w:r>
              <w:rPr>
                <w:spacing w:val="-2"/>
                <w:sz w:val="20"/>
              </w:rPr>
              <w:t>245.5</w:t>
            </w:r>
          </w:p>
        </w:tc>
        <w:tc>
          <w:tcPr>
            <w:tcW w:w="1200" w:type="dxa"/>
            <w:tcBorders>
              <w:bottom w:val="single" w:sz="8" w:space="0" w:color="000000"/>
            </w:tcBorders>
            <w:shd w:val="clear" w:color="auto" w:fill="CCEDFF"/>
          </w:tcPr>
          <w:p>
            <w:pPr>
              <w:pStyle w:val="TableParagraph"/>
              <w:spacing w:before="2"/>
              <w:ind w:right="103"/>
              <w:jc w:val="right"/>
              <w:rPr>
                <w:sz w:val="20"/>
              </w:rPr>
            </w:pPr>
            <w:r>
              <w:rPr>
                <w:spacing w:val="-10"/>
                <w:sz w:val="20"/>
              </w:rPr>
              <w:t>—</w:t>
            </w:r>
          </w:p>
        </w:tc>
        <w:tc>
          <w:tcPr>
            <w:tcW w:w="1173" w:type="dxa"/>
            <w:tcBorders>
              <w:bottom w:val="single" w:sz="8" w:space="0" w:color="000000"/>
            </w:tcBorders>
            <w:shd w:val="clear" w:color="auto" w:fill="CCEDFF"/>
          </w:tcPr>
          <w:p>
            <w:pPr>
              <w:pStyle w:val="TableParagraph"/>
              <w:spacing w:before="2"/>
              <w:ind w:right="76"/>
              <w:jc w:val="right"/>
              <w:rPr>
                <w:sz w:val="20"/>
              </w:rPr>
            </w:pPr>
            <w:r>
              <w:rPr>
                <w:spacing w:val="-10"/>
                <w:sz w:val="20"/>
              </w:rPr>
              <w:t>—</w:t>
            </w:r>
          </w:p>
        </w:tc>
      </w:tr>
      <w:tr>
        <w:trPr>
          <w:trHeight w:val="240" w:hRule="atLeast"/>
        </w:trPr>
        <w:tc>
          <w:tcPr>
            <w:tcW w:w="4340" w:type="dxa"/>
          </w:tcPr>
          <w:p>
            <w:pPr>
              <w:pStyle w:val="TableParagraph"/>
              <w:spacing w:line="220" w:lineRule="exact"/>
              <w:ind w:left="170"/>
              <w:rPr>
                <w:sz w:val="20"/>
              </w:rPr>
            </w:pPr>
            <w:r>
              <w:rPr>
                <w:spacing w:val="-2"/>
                <w:sz w:val="20"/>
              </w:rPr>
              <w:t>Total</w:t>
            </w:r>
          </w:p>
        </w:tc>
        <w:tc>
          <w:tcPr>
            <w:tcW w:w="1127" w:type="dxa"/>
            <w:tcBorders>
              <w:top w:val="single" w:sz="8" w:space="0" w:color="000000"/>
              <w:bottom w:val="double" w:sz="8" w:space="0" w:color="000000"/>
            </w:tcBorders>
          </w:tcPr>
          <w:p>
            <w:pPr>
              <w:pStyle w:val="TableParagraph"/>
              <w:tabs>
                <w:tab w:pos="372" w:val="left" w:leader="none"/>
              </w:tabs>
              <w:spacing w:line="220" w:lineRule="exact"/>
              <w:ind w:right="103"/>
              <w:jc w:val="right"/>
              <w:rPr>
                <w:sz w:val="20"/>
              </w:rPr>
            </w:pPr>
            <w:r>
              <w:rPr>
                <w:spacing w:val="-10"/>
                <w:sz w:val="20"/>
              </w:rPr>
              <w:t>$</w:t>
            </w:r>
            <w:r>
              <w:rPr>
                <w:sz w:val="20"/>
              </w:rPr>
              <w:tab/>
            </w:r>
            <w:r>
              <w:rPr>
                <w:spacing w:val="-2"/>
                <w:sz w:val="20"/>
              </w:rPr>
              <w:t>3,471.0</w:t>
            </w:r>
          </w:p>
        </w:tc>
        <w:tc>
          <w:tcPr>
            <w:tcW w:w="1200" w:type="dxa"/>
            <w:tcBorders>
              <w:top w:val="single" w:sz="8" w:space="0" w:color="000000"/>
              <w:bottom w:val="double" w:sz="8" w:space="0" w:color="000000"/>
            </w:tcBorders>
          </w:tcPr>
          <w:p>
            <w:pPr>
              <w:pStyle w:val="TableParagraph"/>
              <w:tabs>
                <w:tab w:pos="542" w:val="left" w:leader="none"/>
              </w:tabs>
              <w:spacing w:line="220" w:lineRule="exact"/>
              <w:ind w:right="103"/>
              <w:jc w:val="right"/>
              <w:rPr>
                <w:sz w:val="20"/>
              </w:rPr>
            </w:pPr>
            <w:r>
              <w:rPr>
                <w:spacing w:val="-10"/>
                <w:sz w:val="20"/>
              </w:rPr>
              <w:t>$</w:t>
            </w:r>
            <w:r>
              <w:rPr>
                <w:sz w:val="20"/>
              </w:rPr>
              <w:tab/>
            </w:r>
            <w:r>
              <w:rPr>
                <w:spacing w:val="-2"/>
                <w:sz w:val="20"/>
              </w:rPr>
              <w:t>582.6</w:t>
            </w:r>
          </w:p>
        </w:tc>
        <w:tc>
          <w:tcPr>
            <w:tcW w:w="1200" w:type="dxa"/>
            <w:tcBorders>
              <w:top w:val="single" w:sz="8" w:space="0" w:color="000000"/>
              <w:bottom w:val="double" w:sz="8" w:space="0" w:color="000000"/>
            </w:tcBorders>
          </w:tcPr>
          <w:p>
            <w:pPr>
              <w:pStyle w:val="TableParagraph"/>
              <w:tabs>
                <w:tab w:pos="392" w:val="left" w:leader="none"/>
              </w:tabs>
              <w:spacing w:line="220" w:lineRule="exact"/>
              <w:ind w:right="103"/>
              <w:jc w:val="right"/>
              <w:rPr>
                <w:sz w:val="20"/>
              </w:rPr>
            </w:pPr>
            <w:r>
              <w:rPr>
                <w:spacing w:val="-10"/>
                <w:sz w:val="20"/>
              </w:rPr>
              <w:t>$</w:t>
            </w:r>
            <w:r>
              <w:rPr>
                <w:sz w:val="20"/>
              </w:rPr>
              <w:tab/>
            </w:r>
            <w:r>
              <w:rPr>
                <w:spacing w:val="-2"/>
                <w:sz w:val="20"/>
              </w:rPr>
              <w:t>1,427.6</w:t>
            </w:r>
          </w:p>
        </w:tc>
        <w:tc>
          <w:tcPr>
            <w:tcW w:w="1200" w:type="dxa"/>
            <w:tcBorders>
              <w:top w:val="single" w:sz="8" w:space="0" w:color="000000"/>
              <w:bottom w:val="double" w:sz="8" w:space="0" w:color="000000"/>
            </w:tcBorders>
          </w:tcPr>
          <w:p>
            <w:pPr>
              <w:pStyle w:val="TableParagraph"/>
              <w:tabs>
                <w:tab w:pos="542" w:val="left" w:leader="none"/>
              </w:tabs>
              <w:spacing w:line="220" w:lineRule="exact"/>
              <w:ind w:right="103"/>
              <w:jc w:val="right"/>
              <w:rPr>
                <w:sz w:val="20"/>
              </w:rPr>
            </w:pPr>
            <w:r>
              <w:rPr>
                <w:spacing w:val="-10"/>
                <w:sz w:val="20"/>
              </w:rPr>
              <w:t>$</w:t>
            </w:r>
            <w:r>
              <w:rPr>
                <w:sz w:val="20"/>
              </w:rPr>
              <w:tab/>
            </w:r>
            <w:r>
              <w:rPr>
                <w:spacing w:val="-2"/>
                <w:sz w:val="20"/>
              </w:rPr>
              <w:t>160.6</w:t>
            </w:r>
          </w:p>
        </w:tc>
        <w:tc>
          <w:tcPr>
            <w:tcW w:w="1173" w:type="dxa"/>
            <w:tcBorders>
              <w:top w:val="single" w:sz="8" w:space="0" w:color="000000"/>
              <w:bottom w:val="double" w:sz="8" w:space="0" w:color="000000"/>
            </w:tcBorders>
          </w:tcPr>
          <w:p>
            <w:pPr>
              <w:pStyle w:val="TableParagraph"/>
              <w:tabs>
                <w:tab w:pos="392" w:val="left" w:leader="none"/>
              </w:tabs>
              <w:spacing w:line="220" w:lineRule="exact"/>
              <w:ind w:right="76"/>
              <w:jc w:val="right"/>
              <w:rPr>
                <w:sz w:val="20"/>
              </w:rPr>
            </w:pPr>
            <w:r>
              <w:rPr>
                <w:spacing w:val="-10"/>
                <w:sz w:val="20"/>
              </w:rPr>
              <w:t>$</w:t>
            </w:r>
            <w:r>
              <w:rPr>
                <w:sz w:val="20"/>
              </w:rPr>
              <w:tab/>
            </w:r>
            <w:r>
              <w:rPr>
                <w:spacing w:val="-2"/>
                <w:sz w:val="20"/>
              </w:rPr>
              <w:t>1,300.2</w:t>
            </w:r>
          </w:p>
        </w:tc>
      </w:tr>
    </w:tbl>
    <w:p>
      <w:pPr>
        <w:spacing w:before="183"/>
        <w:ind w:left="220" w:right="0" w:firstLine="0"/>
        <w:jc w:val="left"/>
        <w:rPr>
          <w:i/>
          <w:sz w:val="20"/>
        </w:rPr>
      </w:pPr>
      <w:r>
        <w:rPr>
          <w:i/>
          <w:spacing w:val="-2"/>
          <w:sz w:val="20"/>
        </w:rPr>
        <w:t>Other</w:t>
      </w:r>
    </w:p>
    <w:p>
      <w:pPr>
        <w:pStyle w:val="BodyText"/>
        <w:spacing w:before="190"/>
        <w:ind w:left="760"/>
      </w:pPr>
      <w:r>
        <w:rPr/>
        <w:t>Subsequent</w:t>
      </w:r>
      <w:r>
        <w:rPr>
          <w:spacing w:val="-14"/>
        </w:rPr>
        <w:t> </w:t>
      </w:r>
      <w:r>
        <w:rPr/>
        <w:t>to</w:t>
      </w:r>
      <w:r>
        <w:rPr>
          <w:spacing w:val="-11"/>
        </w:rPr>
        <w:t> </w:t>
      </w:r>
      <w:r>
        <w:rPr/>
        <w:t>December 1,</w:t>
      </w:r>
      <w:r>
        <w:rPr>
          <w:spacing w:val="-14"/>
        </w:rPr>
        <w:t> </w:t>
      </w:r>
      <w:r>
        <w:rPr/>
        <w:t>2017,</w:t>
      </w:r>
      <w:r>
        <w:rPr>
          <w:spacing w:val="-13"/>
        </w:rPr>
        <w:t> </w:t>
      </w:r>
      <w:r>
        <w:rPr/>
        <w:t>we</w:t>
      </w:r>
      <w:r>
        <w:rPr>
          <w:spacing w:val="-13"/>
        </w:rPr>
        <w:t> </w:t>
      </w:r>
      <w:r>
        <w:rPr/>
        <w:t>purchased</w:t>
      </w:r>
      <w:r>
        <w:rPr>
          <w:spacing w:val="-13"/>
        </w:rPr>
        <w:t> </w:t>
      </w:r>
      <w:r>
        <w:rPr/>
        <w:t>land</w:t>
      </w:r>
      <w:r>
        <w:rPr>
          <w:spacing w:val="-13"/>
        </w:rPr>
        <w:t> </w:t>
      </w:r>
      <w:r>
        <w:rPr/>
        <w:t>near</w:t>
      </w:r>
      <w:r>
        <w:rPr>
          <w:spacing w:val="-13"/>
        </w:rPr>
        <w:t> </w:t>
      </w:r>
      <w:r>
        <w:rPr/>
        <w:t>our</w:t>
      </w:r>
      <w:r>
        <w:rPr>
          <w:spacing w:val="-13"/>
        </w:rPr>
        <w:t> </w:t>
      </w:r>
      <w:r>
        <w:rPr/>
        <w:t>headquarters</w:t>
      </w:r>
      <w:r>
        <w:rPr>
          <w:spacing w:val="-13"/>
        </w:rPr>
        <w:t> </w:t>
      </w:r>
      <w:r>
        <w:rPr/>
        <w:t>in</w:t>
      </w:r>
      <w:r>
        <w:rPr>
          <w:spacing w:val="-13"/>
        </w:rPr>
        <w:t> </w:t>
      </w:r>
      <w:r>
        <w:rPr/>
        <w:t>San</w:t>
      </w:r>
      <w:r>
        <w:rPr>
          <w:spacing w:val="-13"/>
        </w:rPr>
        <w:t> </w:t>
      </w:r>
      <w:r>
        <w:rPr/>
        <w:t>Jose,</w:t>
      </w:r>
      <w:r>
        <w:rPr>
          <w:spacing w:val="-13"/>
        </w:rPr>
        <w:t> </w:t>
      </w:r>
      <w:r>
        <w:rPr/>
        <w:t>California</w:t>
      </w:r>
      <w:r>
        <w:rPr>
          <w:spacing w:val="-14"/>
        </w:rPr>
        <w:t> </w:t>
      </w:r>
      <w:r>
        <w:rPr/>
        <w:t>for</w:t>
      </w:r>
      <w:r>
        <w:rPr>
          <w:spacing w:val="-13"/>
        </w:rPr>
        <w:t> </w:t>
      </w:r>
      <w:r>
        <w:rPr/>
        <w:t>a</w:t>
      </w:r>
      <w:r>
        <w:rPr>
          <w:spacing w:val="-13"/>
        </w:rPr>
        <w:t> </w:t>
      </w:r>
      <w:r>
        <w:rPr/>
        <w:t>total</w:t>
      </w:r>
      <w:r>
        <w:rPr>
          <w:spacing w:val="-13"/>
        </w:rPr>
        <w:t> </w:t>
      </w:r>
      <w:r>
        <w:rPr/>
        <w:t>purchase</w:t>
      </w:r>
      <w:r>
        <w:rPr>
          <w:spacing w:val="-14"/>
        </w:rPr>
        <w:t> </w:t>
      </w:r>
      <w:r>
        <w:rPr>
          <w:spacing w:val="-2"/>
        </w:rPr>
        <w:t>price</w:t>
      </w:r>
    </w:p>
    <w:p>
      <w:pPr>
        <w:pStyle w:val="BodyText"/>
        <w:spacing w:before="10"/>
        <w:ind w:left="220"/>
      </w:pPr>
      <w:r>
        <w:rPr/>
        <w:t>of $68 </w:t>
      </w:r>
      <w:r>
        <w:rPr>
          <w:spacing w:val="-2"/>
        </w:rPr>
        <w:t>million.</w:t>
      </w:r>
    </w:p>
    <w:p>
      <w:pPr>
        <w:spacing w:after="0"/>
        <w:sectPr>
          <w:type w:val="continuous"/>
          <w:pgSz w:w="12240" w:h="15840"/>
          <w:pgMar w:header="210" w:footer="579" w:top="680" w:bottom="280" w:left="780" w:right="740"/>
        </w:sectPr>
      </w:pPr>
    </w:p>
    <w:p>
      <w:pPr>
        <w:pStyle w:val="BodyText"/>
        <w:spacing w:before="150"/>
      </w:pPr>
    </w:p>
    <w:p>
      <w:pPr>
        <w:spacing w:before="0"/>
        <w:ind w:left="220" w:right="0" w:firstLine="0"/>
        <w:jc w:val="left"/>
        <w:rPr>
          <w:i/>
          <w:sz w:val="20"/>
        </w:rPr>
      </w:pPr>
      <w:r>
        <w:rPr>
          <w:i/>
          <w:sz w:val="20"/>
        </w:rPr>
        <w:t>Senior</w:t>
      </w:r>
      <w:r>
        <w:rPr>
          <w:i/>
          <w:spacing w:val="-5"/>
          <w:sz w:val="20"/>
        </w:rPr>
        <w:t> </w:t>
      </w:r>
      <w:r>
        <w:rPr>
          <w:i/>
          <w:spacing w:val="-2"/>
          <w:sz w:val="20"/>
        </w:rPr>
        <w:t>Notes</w:t>
      </w:r>
    </w:p>
    <w:p>
      <w:pPr>
        <w:pStyle w:val="BodyText"/>
        <w:spacing w:line="249" w:lineRule="auto" w:before="190"/>
        <w:ind w:left="220" w:right="257" w:firstLine="540"/>
        <w:jc w:val="both"/>
      </w:pPr>
      <w:r>
        <w:rPr/>
        <w:t>As of December</w:t>
      </w:r>
      <w:r>
        <w:rPr>
          <w:spacing w:val="-2"/>
        </w:rPr>
        <w:t> </w:t>
      </w:r>
      <w:r>
        <w:rPr/>
        <w:t>1, 2017, our outstanding notes payable consist of the 2020 Notes and 2025 Notes with a total carrying </w:t>
      </w:r>
      <w:r>
        <w:rPr>
          <w:spacing w:val="-2"/>
        </w:rPr>
        <w:t>value</w:t>
      </w:r>
      <w:r>
        <w:rPr>
          <w:spacing w:val="-11"/>
        </w:rPr>
        <w:t> </w:t>
      </w:r>
      <w:r>
        <w:rPr>
          <w:spacing w:val="-2"/>
        </w:rPr>
        <w:t>of</w:t>
      </w:r>
      <w:r>
        <w:rPr>
          <w:spacing w:val="-10"/>
        </w:rPr>
        <w:t> </w:t>
      </w:r>
      <w:r>
        <w:rPr>
          <w:spacing w:val="-2"/>
        </w:rPr>
        <w:t>$1.88</w:t>
      </w:r>
      <w:r>
        <w:rPr>
          <w:spacing w:val="-11"/>
        </w:rPr>
        <w:t> </w:t>
      </w:r>
      <w:r>
        <w:rPr>
          <w:spacing w:val="-2"/>
        </w:rPr>
        <w:t>billion.</w:t>
      </w:r>
      <w:r>
        <w:rPr>
          <w:spacing w:val="31"/>
        </w:rPr>
        <w:t> </w:t>
      </w:r>
      <w:r>
        <w:rPr>
          <w:spacing w:val="-2"/>
        </w:rPr>
        <w:t>Interest</w:t>
      </w:r>
      <w:r>
        <w:rPr>
          <w:spacing w:val="-9"/>
        </w:rPr>
        <w:t> </w:t>
      </w:r>
      <w:r>
        <w:rPr>
          <w:spacing w:val="-2"/>
        </w:rPr>
        <w:t>on</w:t>
      </w:r>
      <w:r>
        <w:rPr>
          <w:spacing w:val="-8"/>
        </w:rPr>
        <w:t> </w:t>
      </w:r>
      <w:r>
        <w:rPr>
          <w:spacing w:val="-2"/>
        </w:rPr>
        <w:t>our</w:t>
      </w:r>
      <w:r>
        <w:rPr>
          <w:spacing w:val="-8"/>
        </w:rPr>
        <w:t> </w:t>
      </w:r>
      <w:r>
        <w:rPr>
          <w:spacing w:val="-2"/>
        </w:rPr>
        <w:t>senior</w:t>
      </w:r>
      <w:r>
        <w:rPr>
          <w:spacing w:val="-8"/>
        </w:rPr>
        <w:t> </w:t>
      </w:r>
      <w:r>
        <w:rPr>
          <w:spacing w:val="-2"/>
        </w:rPr>
        <w:t>notes</w:t>
      </w:r>
      <w:r>
        <w:rPr>
          <w:spacing w:val="-8"/>
        </w:rPr>
        <w:t> </w:t>
      </w:r>
      <w:r>
        <w:rPr>
          <w:spacing w:val="-2"/>
        </w:rPr>
        <w:t>is</w:t>
      </w:r>
      <w:r>
        <w:rPr>
          <w:spacing w:val="-8"/>
        </w:rPr>
        <w:t> </w:t>
      </w:r>
      <w:r>
        <w:rPr>
          <w:spacing w:val="-2"/>
        </w:rPr>
        <w:t>payable</w:t>
      </w:r>
      <w:r>
        <w:rPr>
          <w:spacing w:val="-9"/>
        </w:rPr>
        <w:t> </w:t>
      </w:r>
      <w:r>
        <w:rPr>
          <w:spacing w:val="-2"/>
        </w:rPr>
        <w:t>semi-annually,</w:t>
      </w:r>
      <w:r>
        <w:rPr>
          <w:spacing w:val="-8"/>
        </w:rPr>
        <w:t> </w:t>
      </w:r>
      <w:r>
        <w:rPr>
          <w:spacing w:val="-2"/>
        </w:rPr>
        <w:t>in</w:t>
      </w:r>
      <w:r>
        <w:rPr>
          <w:spacing w:val="-8"/>
        </w:rPr>
        <w:t> </w:t>
      </w:r>
      <w:r>
        <w:rPr>
          <w:spacing w:val="-2"/>
        </w:rPr>
        <w:t>arrears</w:t>
      </w:r>
      <w:r>
        <w:rPr>
          <w:spacing w:val="-8"/>
        </w:rPr>
        <w:t> </w:t>
      </w:r>
      <w:r>
        <w:rPr>
          <w:spacing w:val="-2"/>
        </w:rPr>
        <w:t>on</w:t>
      </w:r>
      <w:r>
        <w:rPr>
          <w:spacing w:val="-8"/>
        </w:rPr>
        <w:t> </w:t>
      </w:r>
      <w:r>
        <w:rPr>
          <w:spacing w:val="-2"/>
        </w:rPr>
        <w:t>February</w:t>
      </w:r>
      <w:r>
        <w:rPr>
          <w:spacing w:val="-8"/>
        </w:rPr>
        <w:t> </w:t>
      </w:r>
      <w:r>
        <w:rPr>
          <w:spacing w:val="-2"/>
        </w:rPr>
        <w:t>1</w:t>
      </w:r>
      <w:r>
        <w:rPr>
          <w:spacing w:val="-8"/>
        </w:rPr>
        <w:t> </w:t>
      </w:r>
      <w:r>
        <w:rPr>
          <w:spacing w:val="-2"/>
        </w:rPr>
        <w:t>and</w:t>
      </w:r>
      <w:r>
        <w:rPr>
          <w:spacing w:val="-11"/>
        </w:rPr>
        <w:t> </w:t>
      </w:r>
      <w:r>
        <w:rPr>
          <w:spacing w:val="-2"/>
        </w:rPr>
        <w:t>August</w:t>
      </w:r>
      <w:r>
        <w:rPr>
          <w:spacing w:val="-8"/>
        </w:rPr>
        <w:t> </w:t>
      </w:r>
      <w:r>
        <w:rPr>
          <w:spacing w:val="-2"/>
        </w:rPr>
        <w:t>1.</w:t>
      </w:r>
      <w:r>
        <w:rPr>
          <w:spacing w:val="-11"/>
        </w:rPr>
        <w:t> </w:t>
      </w:r>
      <w:r>
        <w:rPr>
          <w:spacing w:val="-2"/>
        </w:rPr>
        <w:t>At</w:t>
      </w:r>
      <w:r>
        <w:rPr>
          <w:spacing w:val="-8"/>
        </w:rPr>
        <w:t> </w:t>
      </w:r>
      <w:r>
        <w:rPr>
          <w:spacing w:val="-2"/>
        </w:rPr>
        <w:t>December</w:t>
      </w:r>
      <w:r>
        <w:rPr>
          <w:spacing w:val="11"/>
        </w:rPr>
        <w:t> </w:t>
      </w:r>
      <w:r>
        <w:rPr>
          <w:spacing w:val="-2"/>
        </w:rPr>
        <w:t>1, </w:t>
      </w:r>
      <w:r>
        <w:rPr/>
        <w:t>2017, our maximum commitment for interest payments under the Notes was $350.6 million for the remaining duration of our Notes. In June 2014, we entered into interest rate swaps that effectively converted the fixed interest rate on our 2020 Notes to a </w:t>
      </w:r>
      <w:r>
        <w:rPr>
          <w:spacing w:val="-2"/>
        </w:rPr>
        <w:t>floating</w:t>
      </w:r>
      <w:r>
        <w:rPr>
          <w:spacing w:val="-5"/>
        </w:rPr>
        <w:t> </w:t>
      </w:r>
      <w:r>
        <w:rPr>
          <w:spacing w:val="-2"/>
        </w:rPr>
        <w:t>interest</w:t>
      </w:r>
      <w:r>
        <w:rPr>
          <w:spacing w:val="-5"/>
        </w:rPr>
        <w:t> </w:t>
      </w:r>
      <w:r>
        <w:rPr>
          <w:spacing w:val="-2"/>
        </w:rPr>
        <w:t>rate</w:t>
      </w:r>
      <w:r>
        <w:rPr>
          <w:spacing w:val="-4"/>
        </w:rPr>
        <w:t> </w:t>
      </w:r>
      <w:r>
        <w:rPr>
          <w:spacing w:val="-2"/>
        </w:rPr>
        <w:t>based</w:t>
      </w:r>
      <w:r>
        <w:rPr>
          <w:spacing w:val="-5"/>
        </w:rPr>
        <w:t> </w:t>
      </w:r>
      <w:r>
        <w:rPr>
          <w:spacing w:val="-2"/>
        </w:rPr>
        <w:t>on</w:t>
      </w:r>
      <w:r>
        <w:rPr>
          <w:spacing w:val="-4"/>
        </w:rPr>
        <w:t> </w:t>
      </w:r>
      <w:r>
        <w:rPr>
          <w:spacing w:val="-2"/>
        </w:rPr>
        <w:t>the</w:t>
      </w:r>
      <w:r>
        <w:rPr>
          <w:spacing w:val="-4"/>
        </w:rPr>
        <w:t> </w:t>
      </w:r>
      <w:r>
        <w:rPr>
          <w:spacing w:val="-2"/>
        </w:rPr>
        <w:t>London</w:t>
      </w:r>
      <w:r>
        <w:rPr>
          <w:spacing w:val="-5"/>
        </w:rPr>
        <w:t> </w:t>
      </w:r>
      <w:r>
        <w:rPr>
          <w:spacing w:val="-2"/>
        </w:rPr>
        <w:t>Interbank</w:t>
      </w:r>
      <w:r>
        <w:rPr>
          <w:spacing w:val="-4"/>
        </w:rPr>
        <w:t> </w:t>
      </w:r>
      <w:r>
        <w:rPr>
          <w:spacing w:val="-2"/>
        </w:rPr>
        <w:t>Offered</w:t>
      </w:r>
      <w:r>
        <w:rPr>
          <w:spacing w:val="-5"/>
        </w:rPr>
        <w:t> </w:t>
      </w:r>
      <w:r>
        <w:rPr>
          <w:spacing w:val="-2"/>
        </w:rPr>
        <w:t>Rate</w:t>
      </w:r>
      <w:r>
        <w:rPr>
          <w:spacing w:val="-4"/>
        </w:rPr>
        <w:t> </w:t>
      </w:r>
      <w:r>
        <w:rPr>
          <w:spacing w:val="-2"/>
        </w:rPr>
        <w:t>(“LIBOR”)</w:t>
      </w:r>
      <w:r>
        <w:rPr>
          <w:spacing w:val="-5"/>
        </w:rPr>
        <w:t> </w:t>
      </w:r>
      <w:r>
        <w:rPr>
          <w:spacing w:val="-2"/>
        </w:rPr>
        <w:t>plus</w:t>
      </w:r>
      <w:r>
        <w:rPr>
          <w:spacing w:val="-4"/>
        </w:rPr>
        <w:t> </w:t>
      </w:r>
      <w:r>
        <w:rPr>
          <w:spacing w:val="-2"/>
        </w:rPr>
        <w:t>a</w:t>
      </w:r>
      <w:r>
        <w:rPr>
          <w:spacing w:val="-4"/>
        </w:rPr>
        <w:t> </w:t>
      </w:r>
      <w:r>
        <w:rPr>
          <w:spacing w:val="-2"/>
        </w:rPr>
        <w:t>fixed</w:t>
      </w:r>
      <w:r>
        <w:rPr>
          <w:spacing w:val="-5"/>
        </w:rPr>
        <w:t> </w:t>
      </w:r>
      <w:r>
        <w:rPr>
          <w:spacing w:val="-2"/>
        </w:rPr>
        <w:t>number</w:t>
      </w:r>
      <w:r>
        <w:rPr>
          <w:spacing w:val="-4"/>
        </w:rPr>
        <w:t> </w:t>
      </w:r>
      <w:r>
        <w:rPr>
          <w:spacing w:val="-2"/>
        </w:rPr>
        <w:t>of</w:t>
      </w:r>
      <w:r>
        <w:rPr>
          <w:spacing w:val="-5"/>
        </w:rPr>
        <w:t> </w:t>
      </w:r>
      <w:r>
        <w:rPr>
          <w:spacing w:val="-2"/>
        </w:rPr>
        <w:t>basis</w:t>
      </w:r>
      <w:r>
        <w:rPr>
          <w:spacing w:val="-4"/>
        </w:rPr>
        <w:t> </w:t>
      </w:r>
      <w:r>
        <w:rPr>
          <w:spacing w:val="-2"/>
        </w:rPr>
        <w:t>points</w:t>
      </w:r>
      <w:r>
        <w:rPr>
          <w:spacing w:val="-4"/>
        </w:rPr>
        <w:t> </w:t>
      </w:r>
      <w:r>
        <w:rPr>
          <w:spacing w:val="-2"/>
        </w:rPr>
        <w:t>through</w:t>
      </w:r>
      <w:r>
        <w:rPr>
          <w:spacing w:val="-4"/>
        </w:rPr>
        <w:t> </w:t>
      </w:r>
      <w:r>
        <w:rPr>
          <w:spacing w:val="-2"/>
        </w:rPr>
        <w:t>February </w:t>
      </w:r>
      <w:r>
        <w:rPr/>
        <w:t>1, 2020.</w:t>
      </w:r>
    </w:p>
    <w:p>
      <w:pPr>
        <w:spacing w:before="185"/>
        <w:ind w:left="220" w:right="0" w:firstLine="0"/>
        <w:jc w:val="left"/>
        <w:rPr>
          <w:i/>
          <w:sz w:val="20"/>
        </w:rPr>
      </w:pPr>
      <w:r>
        <w:rPr>
          <w:i/>
          <w:spacing w:val="-2"/>
          <w:sz w:val="20"/>
        </w:rPr>
        <w:t>Covenants</w:t>
      </w:r>
    </w:p>
    <w:p>
      <w:pPr>
        <w:pStyle w:val="BodyText"/>
        <w:spacing w:line="249" w:lineRule="auto" w:before="190"/>
        <w:ind w:left="220" w:right="257" w:firstLine="540"/>
        <w:jc w:val="both"/>
      </w:pPr>
      <w:r>
        <w:rPr/>
        <w:t>Our</w:t>
      </w:r>
      <w:r>
        <w:rPr>
          <w:spacing w:val="-1"/>
        </w:rPr>
        <w:t> </w:t>
      </w:r>
      <w:r>
        <w:rPr/>
        <w:t>credit</w:t>
      </w:r>
      <w:r>
        <w:rPr>
          <w:spacing w:val="-2"/>
        </w:rPr>
        <w:t> </w:t>
      </w:r>
      <w:r>
        <w:rPr/>
        <w:t>facility</w:t>
      </w:r>
      <w:r>
        <w:rPr>
          <w:spacing w:val="-1"/>
        </w:rPr>
        <w:t> </w:t>
      </w:r>
      <w:r>
        <w:rPr/>
        <w:t>contains</w:t>
      </w:r>
      <w:r>
        <w:rPr>
          <w:spacing w:val="-1"/>
        </w:rPr>
        <w:t> </w:t>
      </w:r>
      <w:r>
        <w:rPr/>
        <w:t>a</w:t>
      </w:r>
      <w:r>
        <w:rPr>
          <w:spacing w:val="-1"/>
        </w:rPr>
        <w:t> </w:t>
      </w:r>
      <w:r>
        <w:rPr/>
        <w:t>financial</w:t>
      </w:r>
      <w:r>
        <w:rPr>
          <w:spacing w:val="-2"/>
        </w:rPr>
        <w:t> </w:t>
      </w:r>
      <w:r>
        <w:rPr/>
        <w:t>covenant</w:t>
      </w:r>
      <w:r>
        <w:rPr>
          <w:spacing w:val="-2"/>
        </w:rPr>
        <w:t> </w:t>
      </w:r>
      <w:r>
        <w:rPr/>
        <w:t>requiring</w:t>
      </w:r>
      <w:r>
        <w:rPr>
          <w:spacing w:val="-1"/>
        </w:rPr>
        <w:t> </w:t>
      </w:r>
      <w:r>
        <w:rPr/>
        <w:t>us</w:t>
      </w:r>
      <w:r>
        <w:rPr>
          <w:spacing w:val="-1"/>
        </w:rPr>
        <w:t> </w:t>
      </w:r>
      <w:r>
        <w:rPr/>
        <w:t>not</w:t>
      </w:r>
      <w:r>
        <w:rPr>
          <w:spacing w:val="-1"/>
        </w:rPr>
        <w:t> </w:t>
      </w:r>
      <w:r>
        <w:rPr/>
        <w:t>to</w:t>
      </w:r>
      <w:r>
        <w:rPr>
          <w:spacing w:val="-1"/>
        </w:rPr>
        <w:t> </w:t>
      </w:r>
      <w:r>
        <w:rPr/>
        <w:t>exceed</w:t>
      </w:r>
      <w:r>
        <w:rPr>
          <w:spacing w:val="-1"/>
        </w:rPr>
        <w:t> </w:t>
      </w:r>
      <w:r>
        <w:rPr/>
        <w:t>a</w:t>
      </w:r>
      <w:r>
        <w:rPr>
          <w:spacing w:val="-1"/>
        </w:rPr>
        <w:t> </w:t>
      </w:r>
      <w:r>
        <w:rPr/>
        <w:t>maximum</w:t>
      </w:r>
      <w:r>
        <w:rPr>
          <w:spacing w:val="-2"/>
        </w:rPr>
        <w:t> </w:t>
      </w:r>
      <w:r>
        <w:rPr/>
        <w:t>leverage</w:t>
      </w:r>
      <w:r>
        <w:rPr>
          <w:spacing w:val="-2"/>
        </w:rPr>
        <w:t> </w:t>
      </w:r>
      <w:r>
        <w:rPr/>
        <w:t>ratio.</w:t>
      </w:r>
      <w:r>
        <w:rPr>
          <w:spacing w:val="-13"/>
        </w:rPr>
        <w:t> </w:t>
      </w:r>
      <w:r>
        <w:rPr/>
        <w:t>As</w:t>
      </w:r>
      <w:r>
        <w:rPr>
          <w:spacing w:val="-1"/>
        </w:rPr>
        <w:t> </w:t>
      </w:r>
      <w:r>
        <w:rPr/>
        <w:t>of</w:t>
      </w:r>
      <w:r>
        <w:rPr>
          <w:spacing w:val="-1"/>
        </w:rPr>
        <w:t> </w:t>
      </w:r>
      <w:r>
        <w:rPr/>
        <w:t>December</w:t>
      </w:r>
      <w:r>
        <w:rPr>
          <w:spacing w:val="-2"/>
        </w:rPr>
        <w:t> </w:t>
      </w:r>
      <w:r>
        <w:rPr/>
        <w:t>1, 2017,</w:t>
      </w:r>
      <w:r>
        <w:rPr>
          <w:spacing w:val="-6"/>
        </w:rPr>
        <w:t> </w:t>
      </w:r>
      <w:r>
        <w:rPr/>
        <w:t>we</w:t>
      </w:r>
      <w:r>
        <w:rPr>
          <w:spacing w:val="-6"/>
        </w:rPr>
        <w:t> </w:t>
      </w:r>
      <w:r>
        <w:rPr/>
        <w:t>were</w:t>
      </w:r>
      <w:r>
        <w:rPr>
          <w:spacing w:val="-6"/>
        </w:rPr>
        <w:t> </w:t>
      </w:r>
      <w:r>
        <w:rPr/>
        <w:t>in</w:t>
      </w:r>
      <w:r>
        <w:rPr>
          <w:spacing w:val="-6"/>
        </w:rPr>
        <w:t> </w:t>
      </w:r>
      <w:r>
        <w:rPr/>
        <w:t>compliance</w:t>
      </w:r>
      <w:r>
        <w:rPr>
          <w:spacing w:val="-7"/>
        </w:rPr>
        <w:t> </w:t>
      </w:r>
      <w:r>
        <w:rPr/>
        <w:t>with</w:t>
      </w:r>
      <w:r>
        <w:rPr>
          <w:spacing w:val="-6"/>
        </w:rPr>
        <w:t> </w:t>
      </w:r>
      <w:r>
        <w:rPr/>
        <w:t>this</w:t>
      </w:r>
      <w:r>
        <w:rPr>
          <w:spacing w:val="-6"/>
        </w:rPr>
        <w:t> </w:t>
      </w:r>
      <w:r>
        <w:rPr/>
        <w:t>covenant.</w:t>
      </w:r>
      <w:r>
        <w:rPr>
          <w:spacing w:val="-9"/>
        </w:rPr>
        <w:t> </w:t>
      </w:r>
      <w:r>
        <w:rPr/>
        <w:t>We</w:t>
      </w:r>
      <w:r>
        <w:rPr>
          <w:spacing w:val="-6"/>
        </w:rPr>
        <w:t> </w:t>
      </w:r>
      <w:r>
        <w:rPr/>
        <w:t>believe</w:t>
      </w:r>
      <w:r>
        <w:rPr>
          <w:spacing w:val="-6"/>
        </w:rPr>
        <w:t> </w:t>
      </w:r>
      <w:r>
        <w:rPr/>
        <w:t>this</w:t>
      </w:r>
      <w:r>
        <w:rPr>
          <w:spacing w:val="-6"/>
        </w:rPr>
        <w:t> </w:t>
      </w:r>
      <w:r>
        <w:rPr/>
        <w:t>covenant</w:t>
      </w:r>
      <w:r>
        <w:rPr>
          <w:spacing w:val="-6"/>
        </w:rPr>
        <w:t> </w:t>
      </w:r>
      <w:r>
        <w:rPr/>
        <w:t>will</w:t>
      </w:r>
      <w:r>
        <w:rPr>
          <w:spacing w:val="-6"/>
        </w:rPr>
        <w:t> </w:t>
      </w:r>
      <w:r>
        <w:rPr/>
        <w:t>not</w:t>
      </w:r>
      <w:r>
        <w:rPr>
          <w:spacing w:val="-6"/>
        </w:rPr>
        <w:t> </w:t>
      </w:r>
      <w:r>
        <w:rPr/>
        <w:t>impact</w:t>
      </w:r>
      <w:r>
        <w:rPr>
          <w:spacing w:val="-6"/>
        </w:rPr>
        <w:t> </w:t>
      </w:r>
      <w:r>
        <w:rPr/>
        <w:t>our</w:t>
      </w:r>
      <w:r>
        <w:rPr>
          <w:spacing w:val="-6"/>
        </w:rPr>
        <w:t> </w:t>
      </w:r>
      <w:r>
        <w:rPr/>
        <w:t>credit</w:t>
      </w:r>
      <w:r>
        <w:rPr>
          <w:spacing w:val="-6"/>
        </w:rPr>
        <w:t> </w:t>
      </w:r>
      <w:r>
        <w:rPr/>
        <w:t>or</w:t>
      </w:r>
      <w:r>
        <w:rPr>
          <w:spacing w:val="-6"/>
        </w:rPr>
        <w:t> </w:t>
      </w:r>
      <w:r>
        <w:rPr/>
        <w:t>cash</w:t>
      </w:r>
      <w:r>
        <w:rPr>
          <w:spacing w:val="-6"/>
        </w:rPr>
        <w:t> </w:t>
      </w:r>
      <w:r>
        <w:rPr/>
        <w:t>in</w:t>
      </w:r>
      <w:r>
        <w:rPr>
          <w:spacing w:val="-6"/>
        </w:rPr>
        <w:t> </w:t>
      </w:r>
      <w:r>
        <w:rPr/>
        <w:t>the</w:t>
      </w:r>
      <w:r>
        <w:rPr>
          <w:spacing w:val="-6"/>
        </w:rPr>
        <w:t> </w:t>
      </w:r>
      <w:r>
        <w:rPr/>
        <w:t>coming</w:t>
      </w:r>
      <w:r>
        <w:rPr>
          <w:spacing w:val="-6"/>
        </w:rPr>
        <w:t> </w:t>
      </w:r>
      <w:r>
        <w:rPr/>
        <w:t>fiscal year or restrict our ability to execute our business plan. Our Notes do not contain any financial covenants.</w:t>
      </w:r>
    </w:p>
    <w:p>
      <w:pPr>
        <w:pStyle w:val="BodyText"/>
        <w:spacing w:before="12"/>
      </w:pPr>
    </w:p>
    <w:p>
      <w:pPr>
        <w:pStyle w:val="BodyText"/>
        <w:spacing w:line="249" w:lineRule="auto"/>
        <w:ind w:left="220" w:right="257" w:firstLine="540"/>
        <w:jc w:val="both"/>
      </w:pPr>
      <w:r>
        <w:rPr/>
        <w:t>Under</w:t>
      </w:r>
      <w:r>
        <w:rPr>
          <w:spacing w:val="-3"/>
        </w:rPr>
        <w:t> </w:t>
      </w:r>
      <w:r>
        <w:rPr/>
        <w:t>the</w:t>
      </w:r>
      <w:r>
        <w:rPr>
          <w:spacing w:val="-3"/>
        </w:rPr>
        <w:t> </w:t>
      </w:r>
      <w:r>
        <w:rPr/>
        <w:t>terms</w:t>
      </w:r>
      <w:r>
        <w:rPr>
          <w:spacing w:val="-2"/>
        </w:rPr>
        <w:t> </w:t>
      </w:r>
      <w:r>
        <w:rPr/>
        <w:t>of</w:t>
      </w:r>
      <w:r>
        <w:rPr>
          <w:spacing w:val="-3"/>
        </w:rPr>
        <w:t> </w:t>
      </w:r>
      <w:r>
        <w:rPr/>
        <w:t>our</w:t>
      </w:r>
      <w:r>
        <w:rPr>
          <w:spacing w:val="-2"/>
        </w:rPr>
        <w:t> </w:t>
      </w:r>
      <w:r>
        <w:rPr/>
        <w:t>credit</w:t>
      </w:r>
      <w:r>
        <w:rPr>
          <w:spacing w:val="-3"/>
        </w:rPr>
        <w:t> </w:t>
      </w:r>
      <w:r>
        <w:rPr/>
        <w:t>agreement,</w:t>
      </w:r>
      <w:r>
        <w:rPr>
          <w:spacing w:val="-3"/>
        </w:rPr>
        <w:t> </w:t>
      </w:r>
      <w:r>
        <w:rPr/>
        <w:t>we</w:t>
      </w:r>
      <w:r>
        <w:rPr>
          <w:spacing w:val="-3"/>
        </w:rPr>
        <w:t> </w:t>
      </w:r>
      <w:r>
        <w:rPr/>
        <w:t>are</w:t>
      </w:r>
      <w:r>
        <w:rPr>
          <w:spacing w:val="-3"/>
        </w:rPr>
        <w:t> </w:t>
      </w:r>
      <w:r>
        <w:rPr/>
        <w:t>not</w:t>
      </w:r>
      <w:r>
        <w:rPr>
          <w:spacing w:val="-3"/>
        </w:rPr>
        <w:t> </w:t>
      </w:r>
      <w:r>
        <w:rPr/>
        <w:t>prohibited</w:t>
      </w:r>
      <w:r>
        <w:rPr>
          <w:spacing w:val="-3"/>
        </w:rPr>
        <w:t> </w:t>
      </w:r>
      <w:r>
        <w:rPr/>
        <w:t>from</w:t>
      </w:r>
      <w:r>
        <w:rPr>
          <w:spacing w:val="-3"/>
        </w:rPr>
        <w:t> </w:t>
      </w:r>
      <w:r>
        <w:rPr/>
        <w:t>paying</w:t>
      </w:r>
      <w:r>
        <w:rPr>
          <w:spacing w:val="-3"/>
        </w:rPr>
        <w:t> </w:t>
      </w:r>
      <w:r>
        <w:rPr/>
        <w:t>cash</w:t>
      </w:r>
      <w:r>
        <w:rPr>
          <w:spacing w:val="-3"/>
        </w:rPr>
        <w:t> </w:t>
      </w:r>
      <w:r>
        <w:rPr/>
        <w:t>dividends</w:t>
      </w:r>
      <w:r>
        <w:rPr>
          <w:spacing w:val="-2"/>
        </w:rPr>
        <w:t> </w:t>
      </w:r>
      <w:r>
        <w:rPr/>
        <w:t>unless</w:t>
      </w:r>
      <w:r>
        <w:rPr>
          <w:spacing w:val="-3"/>
        </w:rPr>
        <w:t> </w:t>
      </w:r>
      <w:r>
        <w:rPr/>
        <w:t>payment</w:t>
      </w:r>
      <w:r>
        <w:rPr>
          <w:spacing w:val="-3"/>
        </w:rPr>
        <w:t> </w:t>
      </w:r>
      <w:r>
        <w:rPr/>
        <w:t>would</w:t>
      </w:r>
      <w:r>
        <w:rPr>
          <w:spacing w:val="-3"/>
        </w:rPr>
        <w:t> </w:t>
      </w:r>
      <w:r>
        <w:rPr/>
        <w:t>trigger an event of default or one currently exists. We do not anticipate paying any cash dividends in the foreseeable future.</w:t>
      </w:r>
    </w:p>
    <w:p>
      <w:pPr>
        <w:spacing w:before="182"/>
        <w:ind w:left="220" w:right="0" w:firstLine="0"/>
        <w:jc w:val="left"/>
        <w:rPr>
          <w:i/>
          <w:sz w:val="20"/>
        </w:rPr>
      </w:pPr>
      <w:r>
        <w:rPr>
          <w:i/>
          <w:sz w:val="20"/>
        </w:rPr>
        <w:t>Accounting</w:t>
      </w:r>
      <w:r>
        <w:rPr>
          <w:i/>
          <w:spacing w:val="-2"/>
          <w:sz w:val="20"/>
        </w:rPr>
        <w:t> </w:t>
      </w:r>
      <w:r>
        <w:rPr>
          <w:i/>
          <w:sz w:val="20"/>
        </w:rPr>
        <w:t>for Uncertainty</w:t>
      </w:r>
      <w:r>
        <w:rPr>
          <w:i/>
          <w:spacing w:val="-2"/>
          <w:sz w:val="20"/>
        </w:rPr>
        <w:t> </w:t>
      </w:r>
      <w:r>
        <w:rPr>
          <w:i/>
          <w:sz w:val="20"/>
        </w:rPr>
        <w:t>in</w:t>
      </w:r>
      <w:r>
        <w:rPr>
          <w:i/>
          <w:spacing w:val="-1"/>
          <w:sz w:val="20"/>
        </w:rPr>
        <w:t> </w:t>
      </w:r>
      <w:r>
        <w:rPr>
          <w:i/>
          <w:sz w:val="20"/>
        </w:rPr>
        <w:t>Income</w:t>
      </w:r>
      <w:r>
        <w:rPr>
          <w:i/>
          <w:spacing w:val="-1"/>
          <w:sz w:val="20"/>
        </w:rPr>
        <w:t> </w:t>
      </w:r>
      <w:r>
        <w:rPr>
          <w:i/>
          <w:spacing w:val="-2"/>
          <w:sz w:val="20"/>
        </w:rPr>
        <w:t>Taxes</w:t>
      </w:r>
    </w:p>
    <w:p>
      <w:pPr>
        <w:pStyle w:val="BodyText"/>
        <w:spacing w:before="190"/>
        <w:ind w:left="760"/>
      </w:pPr>
      <w:hyperlink w:history="true" w:anchor="_bookmark13">
        <w:r>
          <w:rPr/>
          <w:t>See</w:t>
        </w:r>
        <w:r>
          <w:rPr>
            <w:spacing w:val="-5"/>
          </w:rPr>
          <w:t> </w:t>
        </w:r>
        <w:r>
          <w:rPr/>
          <w:t>Results</w:t>
        </w:r>
        <w:r>
          <w:rPr>
            <w:spacing w:val="-3"/>
          </w:rPr>
          <w:t> </w:t>
        </w:r>
        <w:r>
          <w:rPr/>
          <w:t>of</w:t>
        </w:r>
        <w:r>
          <w:rPr>
            <w:spacing w:val="-3"/>
          </w:rPr>
          <w:t> </w:t>
        </w:r>
        <w:r>
          <w:rPr/>
          <w:t>Operations</w:t>
        </w:r>
        <w:r>
          <w:rPr>
            <w:spacing w:val="-3"/>
          </w:rPr>
          <w:t> </w:t>
        </w:r>
        <w:r>
          <w:rPr/>
          <w:t>-</w:t>
        </w:r>
        <w:r>
          <w:rPr>
            <w:spacing w:val="-2"/>
          </w:rPr>
          <w:t> </w:t>
        </w:r>
        <w:r>
          <w:rPr/>
          <w:t>Provision</w:t>
        </w:r>
        <w:r>
          <w:rPr>
            <w:spacing w:val="-3"/>
          </w:rPr>
          <w:t> </w:t>
        </w:r>
        <w:r>
          <w:rPr/>
          <w:t>for</w:t>
        </w:r>
        <w:r>
          <w:rPr>
            <w:spacing w:val="-3"/>
          </w:rPr>
          <w:t> </w:t>
        </w:r>
        <w:r>
          <w:rPr/>
          <w:t>Income</w:t>
        </w:r>
        <w:r>
          <w:rPr>
            <w:spacing w:val="-7"/>
          </w:rPr>
          <w:t> </w:t>
        </w:r>
        <w:r>
          <w:rPr/>
          <w:t>Taxes</w:t>
        </w:r>
        <w:r>
          <w:rPr>
            <w:spacing w:val="-2"/>
          </w:rPr>
          <w:t> </w:t>
        </w:r>
        <w:r>
          <w:rPr/>
          <w:t>above</w:t>
        </w:r>
        <w:r>
          <w:rPr>
            <w:spacing w:val="-3"/>
          </w:rPr>
          <w:t> </w:t>
        </w:r>
        <w:r>
          <w:rPr/>
          <w:t>for</w:t>
        </w:r>
        <w:r>
          <w:rPr>
            <w:spacing w:val="-3"/>
          </w:rPr>
          <w:t> </w:t>
        </w:r>
        <w:r>
          <w:rPr/>
          <w:t>our</w:t>
        </w:r>
        <w:r>
          <w:rPr>
            <w:spacing w:val="-3"/>
          </w:rPr>
          <w:t> </w:t>
        </w:r>
        <w:r>
          <w:rPr/>
          <w:t>discussion</w:t>
        </w:r>
        <w:r>
          <w:rPr>
            <w:spacing w:val="-3"/>
          </w:rPr>
          <w:t> </w:t>
        </w:r>
        <w:r>
          <w:rPr/>
          <w:t>on</w:t>
        </w:r>
        <w:r>
          <w:rPr>
            <w:spacing w:val="-2"/>
          </w:rPr>
          <w:t> </w:t>
        </w:r>
        <w:r>
          <w:rPr/>
          <w:t>accounting</w:t>
        </w:r>
        <w:r>
          <w:rPr>
            <w:spacing w:val="-3"/>
          </w:rPr>
          <w:t> </w:t>
        </w:r>
        <w:r>
          <w:rPr/>
          <w:t>for</w:t>
        </w:r>
        <w:r>
          <w:rPr>
            <w:spacing w:val="-3"/>
          </w:rPr>
          <w:t> </w:t>
        </w:r>
        <w:r>
          <w:rPr/>
          <w:t>uncertainty</w:t>
        </w:r>
        <w:r>
          <w:rPr>
            <w:spacing w:val="-3"/>
          </w:rPr>
          <w:t> </w:t>
        </w:r>
        <w:r>
          <w:rPr/>
          <w:t>in</w:t>
        </w:r>
        <w:r>
          <w:rPr>
            <w:spacing w:val="-2"/>
          </w:rPr>
          <w:t> income</w:t>
        </w:r>
      </w:hyperlink>
    </w:p>
    <w:p>
      <w:pPr>
        <w:pStyle w:val="BodyText"/>
        <w:spacing w:before="10"/>
        <w:ind w:left="220"/>
      </w:pPr>
      <w:hyperlink w:history="true" w:anchor="_bookmark13">
        <w:r>
          <w:rPr>
            <w:spacing w:val="-2"/>
          </w:rPr>
          <w:t>taxes.</w:t>
        </w:r>
      </w:hyperlink>
    </w:p>
    <w:p>
      <w:pPr>
        <w:spacing w:before="190"/>
        <w:ind w:left="220" w:right="0" w:firstLine="0"/>
        <w:jc w:val="left"/>
        <w:rPr>
          <w:i/>
          <w:sz w:val="20"/>
        </w:rPr>
      </w:pPr>
      <w:r>
        <w:rPr>
          <w:i/>
          <w:spacing w:val="-2"/>
          <w:sz w:val="20"/>
        </w:rPr>
        <w:t>Royalties</w:t>
      </w:r>
    </w:p>
    <w:p>
      <w:pPr>
        <w:pStyle w:val="BodyText"/>
        <w:spacing w:line="249" w:lineRule="auto" w:before="190"/>
        <w:ind w:left="220" w:right="258" w:firstLine="540"/>
        <w:jc w:val="both"/>
      </w:pPr>
      <w:r>
        <w:rPr/>
        <w:t>We</w:t>
      </w:r>
      <w:r>
        <w:rPr>
          <w:spacing w:val="-1"/>
        </w:rPr>
        <w:t> </w:t>
      </w:r>
      <w:r>
        <w:rPr/>
        <w:t>have</w:t>
      </w:r>
      <w:r>
        <w:rPr>
          <w:spacing w:val="-1"/>
        </w:rPr>
        <w:t> </w:t>
      </w:r>
      <w:r>
        <w:rPr/>
        <w:t>certain</w:t>
      </w:r>
      <w:r>
        <w:rPr>
          <w:spacing w:val="-1"/>
        </w:rPr>
        <w:t> </w:t>
      </w:r>
      <w:r>
        <w:rPr/>
        <w:t>royalty</w:t>
      </w:r>
      <w:r>
        <w:rPr>
          <w:spacing w:val="-1"/>
        </w:rPr>
        <w:t> </w:t>
      </w:r>
      <w:r>
        <w:rPr/>
        <w:t>commitments</w:t>
      </w:r>
      <w:r>
        <w:rPr>
          <w:spacing w:val="-1"/>
        </w:rPr>
        <w:t> </w:t>
      </w:r>
      <w:r>
        <w:rPr/>
        <w:t>associated</w:t>
      </w:r>
      <w:r>
        <w:rPr>
          <w:spacing w:val="-1"/>
        </w:rPr>
        <w:t> </w:t>
      </w:r>
      <w:r>
        <w:rPr/>
        <w:t>with</w:t>
      </w:r>
      <w:r>
        <w:rPr>
          <w:spacing w:val="-1"/>
        </w:rPr>
        <w:t> </w:t>
      </w:r>
      <w:r>
        <w:rPr/>
        <w:t>the</w:t>
      </w:r>
      <w:r>
        <w:rPr>
          <w:spacing w:val="-1"/>
        </w:rPr>
        <w:t> </w:t>
      </w:r>
      <w:r>
        <w:rPr/>
        <w:t>licensing</w:t>
      </w:r>
      <w:r>
        <w:rPr>
          <w:spacing w:val="-1"/>
        </w:rPr>
        <w:t> </w:t>
      </w:r>
      <w:r>
        <w:rPr/>
        <w:t>of</w:t>
      </w:r>
      <w:r>
        <w:rPr>
          <w:spacing w:val="-1"/>
        </w:rPr>
        <w:t> </w:t>
      </w:r>
      <w:r>
        <w:rPr/>
        <w:t>certain</w:t>
      </w:r>
      <w:r>
        <w:rPr>
          <w:spacing w:val="-1"/>
        </w:rPr>
        <w:t> </w:t>
      </w:r>
      <w:r>
        <w:rPr/>
        <w:t>offerings</w:t>
      </w:r>
      <w:r>
        <w:rPr>
          <w:spacing w:val="-1"/>
        </w:rPr>
        <w:t> </w:t>
      </w:r>
      <w:r>
        <w:rPr/>
        <w:t>and</w:t>
      </w:r>
      <w:r>
        <w:rPr>
          <w:spacing w:val="-1"/>
        </w:rPr>
        <w:t> </w:t>
      </w:r>
      <w:r>
        <w:rPr/>
        <w:t>products.</w:t>
      </w:r>
      <w:r>
        <w:rPr>
          <w:spacing w:val="-1"/>
        </w:rPr>
        <w:t> </w:t>
      </w:r>
      <w:r>
        <w:rPr/>
        <w:t>Royalty</w:t>
      </w:r>
      <w:r>
        <w:rPr>
          <w:spacing w:val="-1"/>
        </w:rPr>
        <w:t> </w:t>
      </w:r>
      <w:r>
        <w:rPr/>
        <w:t>expense</w:t>
      </w:r>
      <w:r>
        <w:rPr>
          <w:spacing w:val="-2"/>
        </w:rPr>
        <w:t> </w:t>
      </w:r>
      <w:r>
        <w:rPr/>
        <w:t>is generally based on a dollar amount per unit sold, or a percentage of the underlying revenue.</w:t>
      </w:r>
    </w:p>
    <w:p>
      <w:pPr>
        <w:spacing w:before="182"/>
        <w:ind w:left="220" w:right="0" w:firstLine="0"/>
        <w:jc w:val="left"/>
        <w:rPr>
          <w:i/>
          <w:sz w:val="20"/>
        </w:rPr>
      </w:pPr>
      <w:r>
        <w:rPr>
          <w:i/>
          <w:spacing w:val="-2"/>
          <w:sz w:val="20"/>
        </w:rPr>
        <w:t>Indemnifications</w:t>
      </w:r>
    </w:p>
    <w:p>
      <w:pPr>
        <w:pStyle w:val="BodyText"/>
        <w:spacing w:line="249" w:lineRule="auto" w:before="190"/>
        <w:ind w:left="220" w:right="257" w:firstLine="540"/>
        <w:jc w:val="both"/>
      </w:pPr>
      <w:r>
        <w:rPr/>
        <w:t>In</w:t>
      </w:r>
      <w:r>
        <w:rPr>
          <w:spacing w:val="-7"/>
        </w:rPr>
        <w:t> </w:t>
      </w:r>
      <w:r>
        <w:rPr/>
        <w:t>the</w:t>
      </w:r>
      <w:r>
        <w:rPr>
          <w:spacing w:val="-7"/>
        </w:rPr>
        <w:t> </w:t>
      </w:r>
      <w:r>
        <w:rPr/>
        <w:t>normal</w:t>
      </w:r>
      <w:r>
        <w:rPr>
          <w:spacing w:val="-7"/>
        </w:rPr>
        <w:t> </w:t>
      </w:r>
      <w:r>
        <w:rPr/>
        <w:t>course</w:t>
      </w:r>
      <w:r>
        <w:rPr>
          <w:spacing w:val="-7"/>
        </w:rPr>
        <w:t> </w:t>
      </w:r>
      <w:r>
        <w:rPr/>
        <w:t>of</w:t>
      </w:r>
      <w:r>
        <w:rPr>
          <w:spacing w:val="-7"/>
        </w:rPr>
        <w:t> </w:t>
      </w:r>
      <w:r>
        <w:rPr/>
        <w:t>business,</w:t>
      </w:r>
      <w:r>
        <w:rPr>
          <w:spacing w:val="-7"/>
        </w:rPr>
        <w:t> </w:t>
      </w:r>
      <w:r>
        <w:rPr/>
        <w:t>we</w:t>
      </w:r>
      <w:r>
        <w:rPr>
          <w:spacing w:val="-7"/>
        </w:rPr>
        <w:t> </w:t>
      </w:r>
      <w:r>
        <w:rPr/>
        <w:t>provide</w:t>
      </w:r>
      <w:r>
        <w:rPr>
          <w:spacing w:val="-7"/>
        </w:rPr>
        <w:t> </w:t>
      </w:r>
      <w:r>
        <w:rPr/>
        <w:t>indemnifications</w:t>
      </w:r>
      <w:r>
        <w:rPr>
          <w:spacing w:val="-6"/>
        </w:rPr>
        <w:t> </w:t>
      </w:r>
      <w:r>
        <w:rPr/>
        <w:t>of</w:t>
      </w:r>
      <w:r>
        <w:rPr>
          <w:spacing w:val="-7"/>
        </w:rPr>
        <w:t> </w:t>
      </w:r>
      <w:r>
        <w:rPr/>
        <w:t>varying</w:t>
      </w:r>
      <w:r>
        <w:rPr>
          <w:spacing w:val="-7"/>
        </w:rPr>
        <w:t> </w:t>
      </w:r>
      <w:r>
        <w:rPr/>
        <w:t>scope</w:t>
      </w:r>
      <w:r>
        <w:rPr>
          <w:spacing w:val="-7"/>
        </w:rPr>
        <w:t> </w:t>
      </w:r>
      <w:r>
        <w:rPr/>
        <w:t>to</w:t>
      </w:r>
      <w:r>
        <w:rPr>
          <w:spacing w:val="-7"/>
        </w:rPr>
        <w:t> </w:t>
      </w:r>
      <w:r>
        <w:rPr/>
        <w:t>customers</w:t>
      </w:r>
      <w:r>
        <w:rPr>
          <w:spacing w:val="-7"/>
        </w:rPr>
        <w:t> </w:t>
      </w:r>
      <w:r>
        <w:rPr/>
        <w:t>against</w:t>
      </w:r>
      <w:r>
        <w:rPr>
          <w:spacing w:val="-7"/>
        </w:rPr>
        <w:t> </w:t>
      </w:r>
      <w:r>
        <w:rPr/>
        <w:t>claims</w:t>
      </w:r>
      <w:r>
        <w:rPr>
          <w:spacing w:val="-7"/>
        </w:rPr>
        <w:t> </w:t>
      </w:r>
      <w:r>
        <w:rPr/>
        <w:t>of</w:t>
      </w:r>
      <w:r>
        <w:rPr>
          <w:spacing w:val="-7"/>
        </w:rPr>
        <w:t> </w:t>
      </w:r>
      <w:r>
        <w:rPr/>
        <w:t>intellectual property</w:t>
      </w:r>
      <w:r>
        <w:rPr>
          <w:spacing w:val="-4"/>
        </w:rPr>
        <w:t> </w:t>
      </w:r>
      <w:r>
        <w:rPr/>
        <w:t>infringement</w:t>
      </w:r>
      <w:r>
        <w:rPr>
          <w:spacing w:val="-5"/>
        </w:rPr>
        <w:t> </w:t>
      </w:r>
      <w:r>
        <w:rPr/>
        <w:t>made</w:t>
      </w:r>
      <w:r>
        <w:rPr>
          <w:spacing w:val="-5"/>
        </w:rPr>
        <w:t> </w:t>
      </w:r>
      <w:r>
        <w:rPr/>
        <w:t>by</w:t>
      </w:r>
      <w:r>
        <w:rPr>
          <w:spacing w:val="-4"/>
        </w:rPr>
        <w:t> </w:t>
      </w:r>
      <w:r>
        <w:rPr/>
        <w:t>third</w:t>
      </w:r>
      <w:r>
        <w:rPr>
          <w:spacing w:val="-4"/>
        </w:rPr>
        <w:t> </w:t>
      </w:r>
      <w:r>
        <w:rPr/>
        <w:t>parties</w:t>
      </w:r>
      <w:r>
        <w:rPr>
          <w:spacing w:val="-4"/>
        </w:rPr>
        <w:t> </w:t>
      </w:r>
      <w:r>
        <w:rPr/>
        <w:t>arising</w:t>
      </w:r>
      <w:r>
        <w:rPr>
          <w:spacing w:val="-4"/>
        </w:rPr>
        <w:t> </w:t>
      </w:r>
      <w:r>
        <w:rPr/>
        <w:t>from</w:t>
      </w:r>
      <w:r>
        <w:rPr>
          <w:spacing w:val="-5"/>
        </w:rPr>
        <w:t> </w:t>
      </w:r>
      <w:r>
        <w:rPr/>
        <w:t>the</w:t>
      </w:r>
      <w:r>
        <w:rPr>
          <w:spacing w:val="-4"/>
        </w:rPr>
        <w:t> </w:t>
      </w:r>
      <w:r>
        <w:rPr/>
        <w:t>use</w:t>
      </w:r>
      <w:r>
        <w:rPr>
          <w:spacing w:val="-5"/>
        </w:rPr>
        <w:t> </w:t>
      </w:r>
      <w:r>
        <w:rPr/>
        <w:t>of</w:t>
      </w:r>
      <w:r>
        <w:rPr>
          <w:spacing w:val="40"/>
        </w:rPr>
        <w:t> </w:t>
      </w:r>
      <w:r>
        <w:rPr/>
        <w:t>our</w:t>
      </w:r>
      <w:r>
        <w:rPr>
          <w:spacing w:val="-4"/>
        </w:rPr>
        <w:t> </w:t>
      </w:r>
      <w:r>
        <w:rPr/>
        <w:t>products</w:t>
      </w:r>
      <w:r>
        <w:rPr>
          <w:spacing w:val="-4"/>
        </w:rPr>
        <w:t> </w:t>
      </w:r>
      <w:r>
        <w:rPr/>
        <w:t>and</w:t>
      </w:r>
      <w:r>
        <w:rPr>
          <w:spacing w:val="-4"/>
        </w:rPr>
        <w:t> </w:t>
      </w:r>
      <w:r>
        <w:rPr/>
        <w:t>from</w:t>
      </w:r>
      <w:r>
        <w:rPr>
          <w:spacing w:val="-5"/>
        </w:rPr>
        <w:t> </w:t>
      </w:r>
      <w:r>
        <w:rPr/>
        <w:t>time</w:t>
      </w:r>
      <w:r>
        <w:rPr>
          <w:spacing w:val="-5"/>
        </w:rPr>
        <w:t> </w:t>
      </w:r>
      <w:r>
        <w:rPr/>
        <w:t>to</w:t>
      </w:r>
      <w:r>
        <w:rPr>
          <w:spacing w:val="-4"/>
        </w:rPr>
        <w:t> </w:t>
      </w:r>
      <w:r>
        <w:rPr/>
        <w:t>time,</w:t>
      </w:r>
      <w:r>
        <w:rPr>
          <w:spacing w:val="-4"/>
        </w:rPr>
        <w:t> </w:t>
      </w:r>
      <w:r>
        <w:rPr/>
        <w:t>we</w:t>
      </w:r>
      <w:r>
        <w:rPr>
          <w:spacing w:val="-5"/>
        </w:rPr>
        <w:t> </w:t>
      </w:r>
      <w:r>
        <w:rPr/>
        <w:t>are</w:t>
      </w:r>
      <w:r>
        <w:rPr>
          <w:spacing w:val="-5"/>
        </w:rPr>
        <w:t> </w:t>
      </w:r>
      <w:r>
        <w:rPr/>
        <w:t>subject</w:t>
      </w:r>
      <w:r>
        <w:rPr>
          <w:spacing w:val="-5"/>
        </w:rPr>
        <w:t> </w:t>
      </w:r>
      <w:r>
        <w:rPr/>
        <w:t>to</w:t>
      </w:r>
      <w:r>
        <w:rPr>
          <w:spacing w:val="-4"/>
        </w:rPr>
        <w:t> </w:t>
      </w:r>
      <w:r>
        <w:rPr/>
        <w:t>claims by</w:t>
      </w:r>
      <w:r>
        <w:rPr>
          <w:spacing w:val="-5"/>
        </w:rPr>
        <w:t> </w:t>
      </w:r>
      <w:r>
        <w:rPr/>
        <w:t>our</w:t>
      </w:r>
      <w:r>
        <w:rPr>
          <w:spacing w:val="-5"/>
        </w:rPr>
        <w:t> </w:t>
      </w:r>
      <w:r>
        <w:rPr/>
        <w:t>customers</w:t>
      </w:r>
      <w:r>
        <w:rPr>
          <w:spacing w:val="-5"/>
        </w:rPr>
        <w:t> </w:t>
      </w:r>
      <w:r>
        <w:rPr/>
        <w:t>under</w:t>
      </w:r>
      <w:r>
        <w:rPr>
          <w:spacing w:val="-5"/>
        </w:rPr>
        <w:t> </w:t>
      </w:r>
      <w:r>
        <w:rPr/>
        <w:t>these</w:t>
      </w:r>
      <w:r>
        <w:rPr>
          <w:spacing w:val="-6"/>
        </w:rPr>
        <w:t> </w:t>
      </w:r>
      <w:r>
        <w:rPr/>
        <w:t>indemnification</w:t>
      </w:r>
      <w:r>
        <w:rPr>
          <w:spacing w:val="-5"/>
        </w:rPr>
        <w:t> </w:t>
      </w:r>
      <w:r>
        <w:rPr/>
        <w:t>provisions.</w:t>
      </w:r>
      <w:r>
        <w:rPr>
          <w:spacing w:val="-5"/>
        </w:rPr>
        <w:t> </w:t>
      </w:r>
      <w:r>
        <w:rPr/>
        <w:t>Historically,</w:t>
      </w:r>
      <w:r>
        <w:rPr>
          <w:spacing w:val="-5"/>
        </w:rPr>
        <w:t> </w:t>
      </w:r>
      <w:r>
        <w:rPr/>
        <w:t>costs</w:t>
      </w:r>
      <w:r>
        <w:rPr>
          <w:spacing w:val="-5"/>
        </w:rPr>
        <w:t> </w:t>
      </w:r>
      <w:r>
        <w:rPr/>
        <w:t>related</w:t>
      </w:r>
      <w:r>
        <w:rPr>
          <w:spacing w:val="-6"/>
        </w:rPr>
        <w:t> </w:t>
      </w:r>
      <w:r>
        <w:rPr/>
        <w:t>to</w:t>
      </w:r>
      <w:r>
        <w:rPr>
          <w:spacing w:val="-5"/>
        </w:rPr>
        <w:t> </w:t>
      </w:r>
      <w:r>
        <w:rPr/>
        <w:t>these</w:t>
      </w:r>
      <w:r>
        <w:rPr>
          <w:spacing w:val="-6"/>
        </w:rPr>
        <w:t> </w:t>
      </w:r>
      <w:r>
        <w:rPr/>
        <w:t>indemnification</w:t>
      </w:r>
      <w:r>
        <w:rPr>
          <w:spacing w:val="-5"/>
        </w:rPr>
        <w:t> </w:t>
      </w:r>
      <w:r>
        <w:rPr/>
        <w:t>provisions</w:t>
      </w:r>
      <w:r>
        <w:rPr>
          <w:spacing w:val="-5"/>
        </w:rPr>
        <w:t> </w:t>
      </w:r>
      <w:r>
        <w:rPr/>
        <w:t>have</w:t>
      </w:r>
      <w:r>
        <w:rPr>
          <w:spacing w:val="-6"/>
        </w:rPr>
        <w:t> </w:t>
      </w:r>
      <w:r>
        <w:rPr/>
        <w:t>not been significant and we are unable to estimate the maximum potential impact of these indemnification provisions on our future results of operations.</w:t>
      </w:r>
    </w:p>
    <w:p>
      <w:pPr>
        <w:pStyle w:val="BodyText"/>
        <w:spacing w:line="249" w:lineRule="auto" w:before="184"/>
        <w:ind w:left="220" w:right="257" w:firstLine="540"/>
        <w:jc w:val="both"/>
      </w:pPr>
      <w:r>
        <w:rPr/>
        <w:t>To the extent permitted under Delaware law, we have agreements whereby we indemnify our directors and officers for certain events or occurrences while the director or officer is or was serving at our request in such capacity.</w:t>
      </w:r>
      <w:r>
        <w:rPr>
          <w:spacing w:val="-4"/>
        </w:rPr>
        <w:t> </w:t>
      </w:r>
      <w:r>
        <w:rPr/>
        <w:t>The indemnification period covers all pertinent events and occurrences during the director’s or officer’s lifetime.</w:t>
      </w:r>
      <w:r>
        <w:rPr>
          <w:spacing w:val="-3"/>
        </w:rPr>
        <w:t> </w:t>
      </w:r>
      <w:r>
        <w:rPr/>
        <w:t>The maximum potential amount of future payments we could be required to make under these indemnification agreements is unlimited; however, we have director and officer insurance coverage that limits our exposure and enables us to recover a portion of any future amounts paid.</w:t>
      </w:r>
    </w:p>
    <w:p>
      <w:pPr>
        <w:pStyle w:val="Heading1"/>
        <w:spacing w:before="184"/>
      </w:pPr>
      <w:bookmarkStart w:name="Item 7A. Quantitative and Qualitative Di" w:id="49"/>
      <w:bookmarkEnd w:id="49"/>
      <w:r>
        <w:rPr>
          <w:b w:val="0"/>
        </w:rPr>
      </w:r>
      <w:bookmarkStart w:name="_bookmark14" w:id="50"/>
      <w:bookmarkEnd w:id="50"/>
      <w:r>
        <w:rPr>
          <w:b w:val="0"/>
        </w:rPr>
      </w:r>
      <w:r>
        <w:rPr/>
        <w:t>ITEM</w:t>
      </w:r>
      <w:r>
        <w:rPr>
          <w:spacing w:val="-13"/>
        </w:rPr>
        <w:t> </w:t>
      </w:r>
      <w:r>
        <w:rPr/>
        <w:t>7A.</w:t>
      </w:r>
      <w:r>
        <w:rPr>
          <w:spacing w:val="25"/>
        </w:rPr>
        <w:t> </w:t>
      </w:r>
      <w:r>
        <w:rPr/>
        <w:t>QUANTITATIVE</w:t>
      </w:r>
      <w:r>
        <w:rPr>
          <w:spacing w:val="-12"/>
        </w:rPr>
        <w:t> </w:t>
      </w:r>
      <w:r>
        <w:rPr/>
        <w:t>AND</w:t>
      </w:r>
      <w:r>
        <w:rPr>
          <w:spacing w:val="-10"/>
        </w:rPr>
        <w:t> </w:t>
      </w:r>
      <w:r>
        <w:rPr/>
        <w:t>QUALITATIVE</w:t>
      </w:r>
      <w:r>
        <w:rPr>
          <w:spacing w:val="-9"/>
        </w:rPr>
        <w:t> </w:t>
      </w:r>
      <w:r>
        <w:rPr/>
        <w:t>DISCLOSURES</w:t>
      </w:r>
      <w:r>
        <w:rPr>
          <w:spacing w:val="-13"/>
        </w:rPr>
        <w:t> </w:t>
      </w:r>
      <w:r>
        <w:rPr/>
        <w:t>ABOUT</w:t>
      </w:r>
      <w:r>
        <w:rPr>
          <w:spacing w:val="-12"/>
        </w:rPr>
        <w:t> </w:t>
      </w:r>
      <w:r>
        <w:rPr/>
        <w:t>MARKET</w:t>
      </w:r>
      <w:r>
        <w:rPr>
          <w:spacing w:val="-11"/>
        </w:rPr>
        <w:t> </w:t>
      </w:r>
      <w:r>
        <w:rPr>
          <w:spacing w:val="-4"/>
        </w:rPr>
        <w:t>RISK</w:t>
      </w:r>
    </w:p>
    <w:p>
      <w:pPr>
        <w:pStyle w:val="BodyText"/>
        <w:spacing w:before="190"/>
        <w:ind w:left="760"/>
      </w:pPr>
      <w:r>
        <w:rPr/>
        <w:t>All</w:t>
      </w:r>
      <w:r>
        <w:rPr>
          <w:spacing w:val="-2"/>
        </w:rPr>
        <w:t> </w:t>
      </w:r>
      <w:r>
        <w:rPr/>
        <w:t>market</w:t>
      </w:r>
      <w:r>
        <w:rPr>
          <w:spacing w:val="-2"/>
        </w:rPr>
        <w:t> </w:t>
      </w:r>
      <w:r>
        <w:rPr/>
        <w:t>risk</w:t>
      </w:r>
      <w:r>
        <w:rPr>
          <w:spacing w:val="-1"/>
        </w:rPr>
        <w:t> </w:t>
      </w:r>
      <w:r>
        <w:rPr/>
        <w:t>sensitive</w:t>
      </w:r>
      <w:r>
        <w:rPr>
          <w:spacing w:val="-2"/>
        </w:rPr>
        <w:t> </w:t>
      </w:r>
      <w:r>
        <w:rPr/>
        <w:t>instruments</w:t>
      </w:r>
      <w:r>
        <w:rPr>
          <w:spacing w:val="-1"/>
        </w:rPr>
        <w:t> </w:t>
      </w:r>
      <w:r>
        <w:rPr/>
        <w:t>were</w:t>
      </w:r>
      <w:r>
        <w:rPr>
          <w:spacing w:val="-2"/>
        </w:rPr>
        <w:t> </w:t>
      </w:r>
      <w:r>
        <w:rPr/>
        <w:t>entered</w:t>
      </w:r>
      <w:r>
        <w:rPr>
          <w:spacing w:val="-2"/>
        </w:rPr>
        <w:t> </w:t>
      </w:r>
      <w:r>
        <w:rPr/>
        <w:t>into</w:t>
      </w:r>
      <w:r>
        <w:rPr>
          <w:spacing w:val="-1"/>
        </w:rPr>
        <w:t> </w:t>
      </w:r>
      <w:r>
        <w:rPr/>
        <w:t>for</w:t>
      </w:r>
      <w:r>
        <w:rPr>
          <w:spacing w:val="-1"/>
        </w:rPr>
        <w:t> </w:t>
      </w:r>
      <w:r>
        <w:rPr/>
        <w:t>non-trading</w:t>
      </w:r>
      <w:r>
        <w:rPr>
          <w:spacing w:val="-1"/>
        </w:rPr>
        <w:t> </w:t>
      </w:r>
      <w:r>
        <w:rPr>
          <w:spacing w:val="-2"/>
        </w:rPr>
        <w:t>purposes.</w:t>
      </w:r>
    </w:p>
    <w:p>
      <w:pPr>
        <w:pStyle w:val="Heading2"/>
        <w:spacing w:before="190"/>
      </w:pPr>
      <w:r>
        <w:rPr/>
        <w:t>Foreign</w:t>
      </w:r>
      <w:r>
        <w:rPr>
          <w:spacing w:val="-7"/>
        </w:rPr>
        <w:t> </w:t>
      </w:r>
      <w:r>
        <w:rPr/>
        <w:t>Currency</w:t>
      </w:r>
      <w:r>
        <w:rPr>
          <w:spacing w:val="-5"/>
        </w:rPr>
        <w:t> </w:t>
      </w:r>
      <w:r>
        <w:rPr>
          <w:spacing w:val="-4"/>
        </w:rPr>
        <w:t>Risk</w:t>
      </w:r>
    </w:p>
    <w:p>
      <w:pPr>
        <w:spacing w:before="190"/>
        <w:ind w:left="220" w:right="0" w:firstLine="0"/>
        <w:jc w:val="left"/>
        <w:rPr>
          <w:i/>
          <w:sz w:val="20"/>
        </w:rPr>
      </w:pPr>
      <w:r>
        <w:rPr>
          <w:i/>
          <w:sz w:val="20"/>
        </w:rPr>
        <w:t>Foreign</w:t>
      </w:r>
      <w:r>
        <w:rPr>
          <w:i/>
          <w:spacing w:val="-10"/>
          <w:sz w:val="20"/>
        </w:rPr>
        <w:t> </w:t>
      </w:r>
      <w:r>
        <w:rPr>
          <w:i/>
          <w:sz w:val="20"/>
        </w:rPr>
        <w:t>Currency</w:t>
      </w:r>
      <w:r>
        <w:rPr>
          <w:i/>
          <w:spacing w:val="-8"/>
          <w:sz w:val="20"/>
        </w:rPr>
        <w:t> </w:t>
      </w:r>
      <w:r>
        <w:rPr>
          <w:i/>
          <w:sz w:val="20"/>
        </w:rPr>
        <w:t>Exposures</w:t>
      </w:r>
      <w:r>
        <w:rPr>
          <w:i/>
          <w:spacing w:val="-7"/>
          <w:sz w:val="20"/>
        </w:rPr>
        <w:t> </w:t>
      </w:r>
      <w:r>
        <w:rPr>
          <w:i/>
          <w:sz w:val="20"/>
        </w:rPr>
        <w:t>and</w:t>
      </w:r>
      <w:r>
        <w:rPr>
          <w:i/>
          <w:spacing w:val="-7"/>
          <w:sz w:val="20"/>
        </w:rPr>
        <w:t> </w:t>
      </w:r>
      <w:r>
        <w:rPr>
          <w:i/>
          <w:sz w:val="20"/>
        </w:rPr>
        <w:t>Hedging</w:t>
      </w:r>
      <w:r>
        <w:rPr>
          <w:i/>
          <w:spacing w:val="-7"/>
          <w:sz w:val="20"/>
        </w:rPr>
        <w:t> </w:t>
      </w:r>
      <w:r>
        <w:rPr>
          <w:i/>
          <w:spacing w:val="-2"/>
          <w:sz w:val="20"/>
        </w:rPr>
        <w:t>Instruments</w:t>
      </w:r>
    </w:p>
    <w:p>
      <w:pPr>
        <w:pStyle w:val="BodyText"/>
        <w:spacing w:line="249" w:lineRule="auto" w:before="190"/>
        <w:ind w:left="220" w:right="257" w:firstLine="540"/>
        <w:jc w:val="both"/>
      </w:pPr>
      <w:r>
        <w:rPr/>
        <w:t>In</w:t>
      </w:r>
      <w:r>
        <w:rPr>
          <w:spacing w:val="-3"/>
        </w:rPr>
        <w:t> </w:t>
      </w:r>
      <w:r>
        <w:rPr/>
        <w:t>countries</w:t>
      </w:r>
      <w:r>
        <w:rPr>
          <w:spacing w:val="-3"/>
        </w:rPr>
        <w:t> </w:t>
      </w:r>
      <w:r>
        <w:rPr/>
        <w:t>outside</w:t>
      </w:r>
      <w:r>
        <w:rPr>
          <w:spacing w:val="-4"/>
        </w:rPr>
        <w:t> </w:t>
      </w:r>
      <w:r>
        <w:rPr/>
        <w:t>the</w:t>
      </w:r>
      <w:r>
        <w:rPr>
          <w:spacing w:val="-4"/>
        </w:rPr>
        <w:t> </w:t>
      </w:r>
      <w:r>
        <w:rPr/>
        <w:t>United</w:t>
      </w:r>
      <w:r>
        <w:rPr>
          <w:spacing w:val="-4"/>
        </w:rPr>
        <w:t> </w:t>
      </w:r>
      <w:r>
        <w:rPr/>
        <w:t>States,</w:t>
      </w:r>
      <w:r>
        <w:rPr>
          <w:spacing w:val="-4"/>
        </w:rPr>
        <w:t> </w:t>
      </w:r>
      <w:r>
        <w:rPr/>
        <w:t>we</w:t>
      </w:r>
      <w:r>
        <w:rPr>
          <w:spacing w:val="-4"/>
        </w:rPr>
        <w:t> </w:t>
      </w:r>
      <w:r>
        <w:rPr/>
        <w:t>transact</w:t>
      </w:r>
      <w:r>
        <w:rPr>
          <w:spacing w:val="-4"/>
        </w:rPr>
        <w:t> </w:t>
      </w:r>
      <w:r>
        <w:rPr/>
        <w:t>business</w:t>
      </w:r>
      <w:r>
        <w:rPr>
          <w:spacing w:val="-3"/>
        </w:rPr>
        <w:t> </w:t>
      </w:r>
      <w:r>
        <w:rPr/>
        <w:t>in</w:t>
      </w:r>
      <w:r>
        <w:rPr>
          <w:spacing w:val="-4"/>
        </w:rPr>
        <w:t> </w:t>
      </w:r>
      <w:r>
        <w:rPr/>
        <w:t>U.S.</w:t>
      </w:r>
      <w:r>
        <w:rPr>
          <w:spacing w:val="-4"/>
        </w:rPr>
        <w:t> </w:t>
      </w:r>
      <w:r>
        <w:rPr/>
        <w:t>Dollars</w:t>
      </w:r>
      <w:r>
        <w:rPr>
          <w:spacing w:val="-3"/>
        </w:rPr>
        <w:t> </w:t>
      </w:r>
      <w:r>
        <w:rPr/>
        <w:t>and</w:t>
      </w:r>
      <w:r>
        <w:rPr>
          <w:spacing w:val="-3"/>
        </w:rPr>
        <w:t> </w:t>
      </w:r>
      <w:r>
        <w:rPr/>
        <w:t>various</w:t>
      </w:r>
      <w:r>
        <w:rPr>
          <w:spacing w:val="-3"/>
        </w:rPr>
        <w:t> </w:t>
      </w:r>
      <w:r>
        <w:rPr/>
        <w:t>other</w:t>
      </w:r>
      <w:r>
        <w:rPr>
          <w:spacing w:val="-4"/>
        </w:rPr>
        <w:t> </w:t>
      </w:r>
      <w:r>
        <w:rPr/>
        <w:t>currencies,</w:t>
      </w:r>
      <w:r>
        <w:rPr>
          <w:spacing w:val="-4"/>
        </w:rPr>
        <w:t> </w:t>
      </w:r>
      <w:r>
        <w:rPr/>
        <w:t>which</w:t>
      </w:r>
      <w:r>
        <w:rPr>
          <w:spacing w:val="-4"/>
        </w:rPr>
        <w:t> </w:t>
      </w:r>
      <w:r>
        <w:rPr/>
        <w:t>subject</w:t>
      </w:r>
      <w:r>
        <w:rPr>
          <w:spacing w:val="-4"/>
        </w:rPr>
        <w:t> </w:t>
      </w:r>
      <w:r>
        <w:rPr/>
        <w:t>us to exposure from movements in exchange rates.</w:t>
      </w:r>
      <w:r>
        <w:rPr>
          <w:spacing w:val="-4"/>
        </w:rPr>
        <w:t> </w:t>
      </w:r>
      <w:r>
        <w:rPr/>
        <w:t>We may use foreign exchange</w:t>
      </w:r>
      <w:r>
        <w:rPr>
          <w:spacing w:val="-1"/>
        </w:rPr>
        <w:t> </w:t>
      </w:r>
      <w:r>
        <w:rPr/>
        <w:t>purchased options or forward contracts to hedge our foreign currency revenue. Additionally, we hedge our net recognized foreign currency assets and liabilities with foreign </w:t>
      </w:r>
      <w:r>
        <w:rPr>
          <w:spacing w:val="-2"/>
        </w:rPr>
        <w:t>exchange</w:t>
      </w:r>
      <w:r>
        <w:rPr>
          <w:spacing w:val="-11"/>
        </w:rPr>
        <w:t> </w:t>
      </w:r>
      <w:r>
        <w:rPr>
          <w:spacing w:val="-2"/>
        </w:rPr>
        <w:t>forward</w:t>
      </w:r>
      <w:r>
        <w:rPr>
          <w:spacing w:val="-9"/>
        </w:rPr>
        <w:t> </w:t>
      </w:r>
      <w:r>
        <w:rPr>
          <w:spacing w:val="-2"/>
        </w:rPr>
        <w:t>contracts.</w:t>
      </w:r>
      <w:r>
        <w:rPr>
          <w:spacing w:val="-11"/>
        </w:rPr>
        <w:t> </w:t>
      </w:r>
      <w:r>
        <w:rPr>
          <w:spacing w:val="-2"/>
        </w:rPr>
        <w:t>We</w:t>
      </w:r>
      <w:r>
        <w:rPr>
          <w:spacing w:val="-8"/>
        </w:rPr>
        <w:t> </w:t>
      </w:r>
      <w:r>
        <w:rPr>
          <w:spacing w:val="-2"/>
        </w:rPr>
        <w:t>hedge</w:t>
      </w:r>
      <w:r>
        <w:rPr>
          <w:spacing w:val="-10"/>
        </w:rPr>
        <w:t> </w:t>
      </w:r>
      <w:r>
        <w:rPr>
          <w:spacing w:val="-2"/>
        </w:rPr>
        <w:t>these</w:t>
      </w:r>
      <w:r>
        <w:rPr>
          <w:spacing w:val="-10"/>
        </w:rPr>
        <w:t> </w:t>
      </w:r>
      <w:r>
        <w:rPr>
          <w:spacing w:val="-2"/>
        </w:rPr>
        <w:t>exposures</w:t>
      </w:r>
      <w:r>
        <w:rPr>
          <w:spacing w:val="-9"/>
        </w:rPr>
        <w:t> </w:t>
      </w:r>
      <w:r>
        <w:rPr>
          <w:spacing w:val="-2"/>
        </w:rPr>
        <w:t>to</w:t>
      </w:r>
      <w:r>
        <w:rPr>
          <w:spacing w:val="-9"/>
        </w:rPr>
        <w:t> </w:t>
      </w:r>
      <w:r>
        <w:rPr>
          <w:spacing w:val="-2"/>
        </w:rPr>
        <w:t>reduce</w:t>
      </w:r>
      <w:r>
        <w:rPr>
          <w:spacing w:val="-10"/>
        </w:rPr>
        <w:t> </w:t>
      </w:r>
      <w:r>
        <w:rPr>
          <w:spacing w:val="-2"/>
        </w:rPr>
        <w:t>the</w:t>
      </w:r>
      <w:r>
        <w:rPr>
          <w:spacing w:val="-9"/>
        </w:rPr>
        <w:t> </w:t>
      </w:r>
      <w:r>
        <w:rPr>
          <w:spacing w:val="-2"/>
        </w:rPr>
        <w:t>risk</w:t>
      </w:r>
      <w:r>
        <w:rPr>
          <w:spacing w:val="-9"/>
        </w:rPr>
        <w:t> </w:t>
      </w:r>
      <w:r>
        <w:rPr>
          <w:spacing w:val="-2"/>
        </w:rPr>
        <w:t>that</w:t>
      </w:r>
      <w:r>
        <w:rPr>
          <w:spacing w:val="-9"/>
        </w:rPr>
        <w:t> </w:t>
      </w:r>
      <w:r>
        <w:rPr>
          <w:spacing w:val="-2"/>
        </w:rPr>
        <w:t>our</w:t>
      </w:r>
      <w:r>
        <w:rPr>
          <w:spacing w:val="-9"/>
        </w:rPr>
        <w:t> </w:t>
      </w:r>
      <w:r>
        <w:rPr>
          <w:spacing w:val="-2"/>
        </w:rPr>
        <w:t>earnings</w:t>
      </w:r>
      <w:r>
        <w:rPr>
          <w:spacing w:val="-9"/>
        </w:rPr>
        <w:t> </w:t>
      </w:r>
      <w:r>
        <w:rPr>
          <w:spacing w:val="-2"/>
        </w:rPr>
        <w:t>and</w:t>
      </w:r>
      <w:r>
        <w:rPr>
          <w:spacing w:val="-9"/>
        </w:rPr>
        <w:t> </w:t>
      </w:r>
      <w:r>
        <w:rPr>
          <w:spacing w:val="-2"/>
        </w:rPr>
        <w:t>cash</w:t>
      </w:r>
      <w:r>
        <w:rPr>
          <w:spacing w:val="-9"/>
        </w:rPr>
        <w:t> </w:t>
      </w:r>
      <w:r>
        <w:rPr>
          <w:spacing w:val="-2"/>
        </w:rPr>
        <w:t>flows</w:t>
      </w:r>
      <w:r>
        <w:rPr>
          <w:spacing w:val="-9"/>
        </w:rPr>
        <w:t> </w:t>
      </w:r>
      <w:r>
        <w:rPr>
          <w:spacing w:val="-2"/>
        </w:rPr>
        <w:t>will</w:t>
      </w:r>
      <w:r>
        <w:rPr>
          <w:spacing w:val="-10"/>
        </w:rPr>
        <w:t> </w:t>
      </w:r>
      <w:r>
        <w:rPr>
          <w:spacing w:val="-2"/>
        </w:rPr>
        <w:t>be</w:t>
      </w:r>
      <w:r>
        <w:rPr>
          <w:spacing w:val="-9"/>
        </w:rPr>
        <w:t> </w:t>
      </w:r>
      <w:r>
        <w:rPr>
          <w:spacing w:val="-2"/>
        </w:rPr>
        <w:t>adversely</w:t>
      </w:r>
      <w:r>
        <w:rPr>
          <w:spacing w:val="-9"/>
        </w:rPr>
        <w:t> </w:t>
      </w:r>
      <w:r>
        <w:rPr>
          <w:spacing w:val="-2"/>
        </w:rPr>
        <w:t>affected </w:t>
      </w:r>
      <w:r>
        <w:rPr/>
        <w:t>by changes in exchange rates.</w:t>
      </w:r>
    </w:p>
    <w:p>
      <w:pPr>
        <w:spacing w:after="0" w:line="249" w:lineRule="auto"/>
        <w:jc w:val="both"/>
        <w:sectPr>
          <w:pgSz w:w="12240" w:h="15840"/>
          <w:pgMar w:header="210" w:footer="579" w:top="420" w:bottom="800" w:left="780" w:right="740"/>
        </w:sectPr>
      </w:pPr>
    </w:p>
    <w:p>
      <w:pPr>
        <w:pStyle w:val="BodyText"/>
        <w:spacing w:before="150"/>
      </w:pPr>
    </w:p>
    <w:p>
      <w:pPr>
        <w:pStyle w:val="BodyText"/>
        <w:spacing w:line="249" w:lineRule="auto"/>
        <w:ind w:left="220" w:right="257" w:firstLine="540"/>
        <w:jc w:val="both"/>
      </w:pPr>
      <w:r>
        <w:rPr/>
        <w:t>Our significant foreign currency revenue exposures for fiscal 2017, 2016 and 2015 were as follows (in millions, except Japanese</w:t>
      </w:r>
      <w:r>
        <w:rPr>
          <w:spacing w:val="-7"/>
        </w:rPr>
        <w:t> </w:t>
      </w:r>
      <w:r>
        <w:rPr/>
        <w:t>Yen):</w:t>
      </w:r>
    </w:p>
    <w:p>
      <w:pPr>
        <w:pStyle w:val="BodyText"/>
        <w:spacing w:before="124"/>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23"/>
        <w:gridCol w:w="2178"/>
        <w:gridCol w:w="1107"/>
        <w:gridCol w:w="374"/>
        <w:gridCol w:w="1107"/>
        <w:gridCol w:w="374"/>
        <w:gridCol w:w="1080"/>
      </w:tblGrid>
      <w:tr>
        <w:trPr>
          <w:trHeight w:val="354" w:hRule="atLeast"/>
        </w:trPr>
        <w:tc>
          <w:tcPr>
            <w:tcW w:w="6201" w:type="dxa"/>
            <w:gridSpan w:val="2"/>
          </w:tcPr>
          <w:p>
            <w:pPr>
              <w:pStyle w:val="TableParagraph"/>
              <w:rPr>
                <w:sz w:val="18"/>
              </w:rPr>
            </w:pPr>
          </w:p>
        </w:tc>
        <w:tc>
          <w:tcPr>
            <w:tcW w:w="1107" w:type="dxa"/>
            <w:tcBorders>
              <w:bottom w:val="single" w:sz="8" w:space="0" w:color="000000"/>
            </w:tcBorders>
          </w:tcPr>
          <w:p>
            <w:pPr>
              <w:pStyle w:val="TableParagraph"/>
              <w:spacing w:line="208" w:lineRule="auto" w:before="12"/>
              <w:ind w:left="208" w:right="531" w:hanging="40"/>
              <w:rPr>
                <w:b/>
                <w:sz w:val="16"/>
              </w:rPr>
            </w:pPr>
            <w:r>
              <w:rPr>
                <w:b/>
                <w:spacing w:val="-2"/>
                <w:sz w:val="16"/>
              </w:rPr>
              <w:t>Fiscal</w:t>
            </w:r>
            <w:r>
              <w:rPr>
                <w:b/>
                <w:spacing w:val="40"/>
                <w:sz w:val="16"/>
              </w:rPr>
              <w:t> </w:t>
            </w:r>
            <w:r>
              <w:rPr>
                <w:b/>
                <w:spacing w:val="-4"/>
                <w:sz w:val="16"/>
              </w:rPr>
              <w:t>2017</w:t>
            </w:r>
          </w:p>
        </w:tc>
        <w:tc>
          <w:tcPr>
            <w:tcW w:w="374" w:type="dxa"/>
            <w:tcBorders>
              <w:bottom w:val="single" w:sz="8" w:space="0" w:color="000000"/>
            </w:tcBorders>
          </w:tcPr>
          <w:p>
            <w:pPr>
              <w:pStyle w:val="TableParagraph"/>
              <w:rPr>
                <w:sz w:val="18"/>
              </w:rPr>
            </w:pPr>
          </w:p>
        </w:tc>
        <w:tc>
          <w:tcPr>
            <w:tcW w:w="1107" w:type="dxa"/>
            <w:tcBorders>
              <w:bottom w:val="single" w:sz="8" w:space="0" w:color="000000"/>
            </w:tcBorders>
          </w:tcPr>
          <w:p>
            <w:pPr>
              <w:pStyle w:val="TableParagraph"/>
              <w:spacing w:line="208" w:lineRule="auto" w:before="12"/>
              <w:ind w:left="207" w:right="532" w:hanging="40"/>
              <w:rPr>
                <w:b/>
                <w:sz w:val="16"/>
              </w:rPr>
            </w:pPr>
            <w:r>
              <w:rPr>
                <w:b/>
                <w:spacing w:val="-2"/>
                <w:sz w:val="16"/>
              </w:rPr>
              <w:t>Fiscal</w:t>
            </w:r>
            <w:r>
              <w:rPr>
                <w:b/>
                <w:spacing w:val="40"/>
                <w:sz w:val="16"/>
              </w:rPr>
              <w:t> </w:t>
            </w:r>
            <w:r>
              <w:rPr>
                <w:b/>
                <w:spacing w:val="-4"/>
                <w:sz w:val="16"/>
              </w:rPr>
              <w:t>2016</w:t>
            </w:r>
          </w:p>
        </w:tc>
        <w:tc>
          <w:tcPr>
            <w:tcW w:w="374" w:type="dxa"/>
            <w:tcBorders>
              <w:bottom w:val="single" w:sz="8" w:space="0" w:color="000000"/>
            </w:tcBorders>
          </w:tcPr>
          <w:p>
            <w:pPr>
              <w:pStyle w:val="TableParagraph"/>
              <w:rPr>
                <w:sz w:val="18"/>
              </w:rPr>
            </w:pPr>
          </w:p>
        </w:tc>
        <w:tc>
          <w:tcPr>
            <w:tcW w:w="1080" w:type="dxa"/>
            <w:tcBorders>
              <w:bottom w:val="single" w:sz="8" w:space="0" w:color="000000"/>
            </w:tcBorders>
          </w:tcPr>
          <w:p>
            <w:pPr>
              <w:pStyle w:val="TableParagraph"/>
              <w:spacing w:line="208" w:lineRule="auto" w:before="12"/>
              <w:ind w:left="206" w:right="506" w:hanging="40"/>
              <w:rPr>
                <w:b/>
                <w:sz w:val="16"/>
              </w:rPr>
            </w:pPr>
            <w:r>
              <w:rPr>
                <w:b/>
                <w:spacing w:val="-2"/>
                <w:sz w:val="16"/>
              </w:rPr>
              <w:t>Fiscal</w:t>
            </w:r>
            <w:r>
              <w:rPr>
                <w:b/>
                <w:spacing w:val="40"/>
                <w:sz w:val="16"/>
              </w:rPr>
              <w:t> </w:t>
            </w:r>
            <w:r>
              <w:rPr>
                <w:b/>
                <w:spacing w:val="-4"/>
                <w:sz w:val="16"/>
              </w:rPr>
              <w:t>2015</w:t>
            </w:r>
          </w:p>
        </w:tc>
      </w:tr>
      <w:tr>
        <w:trPr>
          <w:trHeight w:val="290" w:hRule="atLeast"/>
        </w:trPr>
        <w:tc>
          <w:tcPr>
            <w:tcW w:w="4023" w:type="dxa"/>
            <w:shd w:val="clear" w:color="auto" w:fill="CCEDFF"/>
          </w:tcPr>
          <w:p>
            <w:pPr>
              <w:pStyle w:val="TableParagraph"/>
              <w:spacing w:before="10"/>
              <w:ind w:left="50"/>
              <w:rPr>
                <w:sz w:val="20"/>
              </w:rPr>
            </w:pPr>
            <w:r>
              <w:rPr>
                <w:spacing w:val="-4"/>
                <w:sz w:val="20"/>
              </w:rPr>
              <w:t>Euro</w:t>
            </w:r>
          </w:p>
        </w:tc>
        <w:tc>
          <w:tcPr>
            <w:tcW w:w="2178" w:type="dxa"/>
            <w:shd w:val="clear" w:color="auto" w:fill="CCEDFF"/>
          </w:tcPr>
          <w:p>
            <w:pPr>
              <w:pStyle w:val="TableParagraph"/>
              <w:spacing w:before="10"/>
              <w:ind w:right="170"/>
              <w:jc w:val="right"/>
              <w:rPr>
                <w:sz w:val="20"/>
              </w:rPr>
            </w:pPr>
            <w:r>
              <w:rPr>
                <w:spacing w:val="-10"/>
                <w:sz w:val="20"/>
              </w:rPr>
              <w:t>€</w:t>
            </w:r>
          </w:p>
        </w:tc>
        <w:tc>
          <w:tcPr>
            <w:tcW w:w="1107" w:type="dxa"/>
            <w:tcBorders>
              <w:top w:val="single" w:sz="8" w:space="0" w:color="000000"/>
            </w:tcBorders>
            <w:shd w:val="clear" w:color="auto" w:fill="CCEDFF"/>
          </w:tcPr>
          <w:p>
            <w:pPr>
              <w:pStyle w:val="TableParagraph"/>
              <w:spacing w:before="10"/>
              <w:ind w:right="104"/>
              <w:jc w:val="right"/>
              <w:rPr>
                <w:sz w:val="20"/>
              </w:rPr>
            </w:pPr>
            <w:r>
              <w:rPr>
                <w:spacing w:val="-2"/>
                <w:sz w:val="20"/>
              </w:rPr>
              <w:t>1,044.7</w:t>
            </w:r>
          </w:p>
        </w:tc>
        <w:tc>
          <w:tcPr>
            <w:tcW w:w="374" w:type="dxa"/>
            <w:tcBorders>
              <w:top w:val="single" w:sz="8" w:space="0" w:color="000000"/>
            </w:tcBorders>
            <w:shd w:val="clear" w:color="auto" w:fill="CCEDFF"/>
          </w:tcPr>
          <w:p>
            <w:pPr>
              <w:pStyle w:val="TableParagraph"/>
              <w:spacing w:before="10"/>
              <w:ind w:left="2" w:right="71"/>
              <w:jc w:val="center"/>
              <w:rPr>
                <w:sz w:val="20"/>
              </w:rPr>
            </w:pPr>
            <w:r>
              <w:rPr>
                <w:spacing w:val="-10"/>
                <w:sz w:val="20"/>
              </w:rPr>
              <w:t>€</w:t>
            </w:r>
          </w:p>
        </w:tc>
        <w:tc>
          <w:tcPr>
            <w:tcW w:w="1107" w:type="dxa"/>
            <w:tcBorders>
              <w:top w:val="single" w:sz="8" w:space="0" w:color="000000"/>
            </w:tcBorders>
            <w:shd w:val="clear" w:color="auto" w:fill="CCEDFF"/>
          </w:tcPr>
          <w:p>
            <w:pPr>
              <w:pStyle w:val="TableParagraph"/>
              <w:spacing w:before="10"/>
              <w:ind w:right="105"/>
              <w:jc w:val="right"/>
              <w:rPr>
                <w:sz w:val="20"/>
              </w:rPr>
            </w:pPr>
            <w:r>
              <w:rPr>
                <w:spacing w:val="-2"/>
                <w:sz w:val="20"/>
              </w:rPr>
              <w:t>825.6</w:t>
            </w:r>
          </w:p>
        </w:tc>
        <w:tc>
          <w:tcPr>
            <w:tcW w:w="374" w:type="dxa"/>
            <w:tcBorders>
              <w:top w:val="single" w:sz="8" w:space="0" w:color="000000"/>
            </w:tcBorders>
            <w:shd w:val="clear" w:color="auto" w:fill="CCEDFF"/>
          </w:tcPr>
          <w:p>
            <w:pPr>
              <w:pStyle w:val="TableParagraph"/>
              <w:spacing w:before="10"/>
              <w:ind w:right="71"/>
              <w:jc w:val="center"/>
              <w:rPr>
                <w:sz w:val="20"/>
              </w:rPr>
            </w:pPr>
            <w:r>
              <w:rPr>
                <w:spacing w:val="-10"/>
                <w:sz w:val="20"/>
              </w:rPr>
              <w:t>€</w:t>
            </w:r>
          </w:p>
        </w:tc>
        <w:tc>
          <w:tcPr>
            <w:tcW w:w="1080" w:type="dxa"/>
            <w:tcBorders>
              <w:top w:val="single" w:sz="8" w:space="0" w:color="000000"/>
            </w:tcBorders>
            <w:shd w:val="clear" w:color="auto" w:fill="CCEDFF"/>
          </w:tcPr>
          <w:p>
            <w:pPr>
              <w:pStyle w:val="TableParagraph"/>
              <w:spacing w:before="10"/>
              <w:ind w:right="79"/>
              <w:jc w:val="right"/>
              <w:rPr>
                <w:sz w:val="20"/>
              </w:rPr>
            </w:pPr>
            <w:r>
              <w:rPr>
                <w:spacing w:val="-2"/>
                <w:sz w:val="20"/>
              </w:rPr>
              <w:t>589.6</w:t>
            </w:r>
          </w:p>
        </w:tc>
      </w:tr>
      <w:tr>
        <w:trPr>
          <w:trHeight w:val="300" w:hRule="atLeast"/>
        </w:trPr>
        <w:tc>
          <w:tcPr>
            <w:tcW w:w="4023" w:type="dxa"/>
          </w:tcPr>
          <w:p>
            <w:pPr>
              <w:pStyle w:val="TableParagraph"/>
              <w:spacing w:before="20"/>
              <w:ind w:left="50"/>
              <w:rPr>
                <w:sz w:val="20"/>
              </w:rPr>
            </w:pPr>
            <w:r>
              <w:rPr>
                <w:sz w:val="20"/>
              </w:rPr>
              <w:t>Japanese</w:t>
            </w:r>
            <w:r>
              <w:rPr>
                <w:spacing w:val="-9"/>
                <w:sz w:val="20"/>
              </w:rPr>
              <w:t> </w:t>
            </w:r>
            <w:r>
              <w:rPr>
                <w:sz w:val="20"/>
              </w:rPr>
              <w:t>Yen</w:t>
            </w:r>
            <w:r>
              <w:rPr>
                <w:spacing w:val="-5"/>
                <w:sz w:val="20"/>
              </w:rPr>
              <w:t> </w:t>
            </w:r>
            <w:r>
              <w:rPr>
                <w:sz w:val="20"/>
              </w:rPr>
              <w:t>(in</w:t>
            </w:r>
            <w:r>
              <w:rPr>
                <w:spacing w:val="-4"/>
                <w:sz w:val="20"/>
              </w:rPr>
              <w:t> </w:t>
            </w:r>
            <w:r>
              <w:rPr>
                <w:spacing w:val="-2"/>
                <w:sz w:val="20"/>
              </w:rPr>
              <w:t>billions)</w:t>
            </w:r>
          </w:p>
        </w:tc>
        <w:tc>
          <w:tcPr>
            <w:tcW w:w="2178" w:type="dxa"/>
          </w:tcPr>
          <w:p>
            <w:pPr>
              <w:pStyle w:val="TableParagraph"/>
              <w:spacing w:before="20"/>
              <w:ind w:right="170"/>
              <w:jc w:val="right"/>
              <w:rPr>
                <w:sz w:val="20"/>
              </w:rPr>
            </w:pPr>
            <w:r>
              <w:rPr>
                <w:spacing w:val="-10"/>
                <w:sz w:val="20"/>
              </w:rPr>
              <w:t>¥</w:t>
            </w:r>
          </w:p>
        </w:tc>
        <w:tc>
          <w:tcPr>
            <w:tcW w:w="1107" w:type="dxa"/>
          </w:tcPr>
          <w:p>
            <w:pPr>
              <w:pStyle w:val="TableParagraph"/>
              <w:spacing w:before="20"/>
              <w:ind w:right="104"/>
              <w:jc w:val="right"/>
              <w:rPr>
                <w:sz w:val="20"/>
              </w:rPr>
            </w:pPr>
            <w:r>
              <w:rPr>
                <w:spacing w:val="-4"/>
                <w:sz w:val="20"/>
              </w:rPr>
              <w:t>51.0</w:t>
            </w:r>
          </w:p>
        </w:tc>
        <w:tc>
          <w:tcPr>
            <w:tcW w:w="374" w:type="dxa"/>
          </w:tcPr>
          <w:p>
            <w:pPr>
              <w:pStyle w:val="TableParagraph"/>
              <w:spacing w:before="20"/>
              <w:ind w:left="2" w:right="71"/>
              <w:jc w:val="center"/>
              <w:rPr>
                <w:sz w:val="20"/>
              </w:rPr>
            </w:pPr>
            <w:r>
              <w:rPr>
                <w:spacing w:val="-10"/>
                <w:sz w:val="20"/>
              </w:rPr>
              <w:t>¥</w:t>
            </w:r>
          </w:p>
        </w:tc>
        <w:tc>
          <w:tcPr>
            <w:tcW w:w="1107" w:type="dxa"/>
          </w:tcPr>
          <w:p>
            <w:pPr>
              <w:pStyle w:val="TableParagraph"/>
              <w:spacing w:before="20"/>
              <w:ind w:right="105"/>
              <w:jc w:val="right"/>
              <w:rPr>
                <w:sz w:val="20"/>
              </w:rPr>
            </w:pPr>
            <w:r>
              <w:rPr>
                <w:spacing w:val="-4"/>
                <w:sz w:val="20"/>
              </w:rPr>
              <w:t>38.7</w:t>
            </w:r>
          </w:p>
        </w:tc>
        <w:tc>
          <w:tcPr>
            <w:tcW w:w="374" w:type="dxa"/>
          </w:tcPr>
          <w:p>
            <w:pPr>
              <w:pStyle w:val="TableParagraph"/>
              <w:spacing w:before="20"/>
              <w:ind w:right="71"/>
              <w:jc w:val="center"/>
              <w:rPr>
                <w:sz w:val="20"/>
              </w:rPr>
            </w:pPr>
            <w:r>
              <w:rPr>
                <w:spacing w:val="-10"/>
                <w:sz w:val="20"/>
              </w:rPr>
              <w:t>¥</w:t>
            </w:r>
          </w:p>
        </w:tc>
        <w:tc>
          <w:tcPr>
            <w:tcW w:w="1080" w:type="dxa"/>
          </w:tcPr>
          <w:p>
            <w:pPr>
              <w:pStyle w:val="TableParagraph"/>
              <w:spacing w:before="20"/>
              <w:ind w:right="79"/>
              <w:jc w:val="right"/>
              <w:rPr>
                <w:sz w:val="20"/>
              </w:rPr>
            </w:pPr>
            <w:r>
              <w:rPr>
                <w:spacing w:val="-4"/>
                <w:sz w:val="20"/>
              </w:rPr>
              <w:t>29.7</w:t>
            </w:r>
          </w:p>
        </w:tc>
      </w:tr>
      <w:tr>
        <w:trPr>
          <w:trHeight w:val="300" w:hRule="atLeast"/>
        </w:trPr>
        <w:tc>
          <w:tcPr>
            <w:tcW w:w="4023" w:type="dxa"/>
            <w:shd w:val="clear" w:color="auto" w:fill="CCEDFF"/>
          </w:tcPr>
          <w:p>
            <w:pPr>
              <w:pStyle w:val="TableParagraph"/>
              <w:spacing w:before="20"/>
              <w:ind w:left="50"/>
              <w:rPr>
                <w:sz w:val="20"/>
              </w:rPr>
            </w:pPr>
            <w:r>
              <w:rPr>
                <w:sz w:val="20"/>
              </w:rPr>
              <w:t>British </w:t>
            </w:r>
            <w:r>
              <w:rPr>
                <w:spacing w:val="-2"/>
                <w:sz w:val="20"/>
              </w:rPr>
              <w:t>Pounds</w:t>
            </w:r>
          </w:p>
        </w:tc>
        <w:tc>
          <w:tcPr>
            <w:tcW w:w="2178" w:type="dxa"/>
            <w:shd w:val="clear" w:color="auto" w:fill="CCEDFF"/>
          </w:tcPr>
          <w:p>
            <w:pPr>
              <w:pStyle w:val="TableParagraph"/>
              <w:spacing w:before="20"/>
              <w:ind w:right="170"/>
              <w:jc w:val="right"/>
              <w:rPr>
                <w:sz w:val="20"/>
              </w:rPr>
            </w:pPr>
            <w:r>
              <w:rPr>
                <w:spacing w:val="-10"/>
                <w:sz w:val="20"/>
              </w:rPr>
              <w:t>£</w:t>
            </w:r>
          </w:p>
        </w:tc>
        <w:tc>
          <w:tcPr>
            <w:tcW w:w="1107" w:type="dxa"/>
            <w:shd w:val="clear" w:color="auto" w:fill="CCEDFF"/>
          </w:tcPr>
          <w:p>
            <w:pPr>
              <w:pStyle w:val="TableParagraph"/>
              <w:spacing w:before="20"/>
              <w:ind w:right="104"/>
              <w:jc w:val="right"/>
              <w:rPr>
                <w:sz w:val="20"/>
              </w:rPr>
            </w:pPr>
            <w:r>
              <w:rPr>
                <w:spacing w:val="-2"/>
                <w:sz w:val="20"/>
              </w:rPr>
              <w:t>338.4</w:t>
            </w:r>
          </w:p>
        </w:tc>
        <w:tc>
          <w:tcPr>
            <w:tcW w:w="374" w:type="dxa"/>
            <w:shd w:val="clear" w:color="auto" w:fill="CCEDFF"/>
          </w:tcPr>
          <w:p>
            <w:pPr>
              <w:pStyle w:val="TableParagraph"/>
              <w:spacing w:before="20"/>
              <w:ind w:left="2" w:right="71"/>
              <w:jc w:val="center"/>
              <w:rPr>
                <w:sz w:val="20"/>
              </w:rPr>
            </w:pPr>
            <w:r>
              <w:rPr>
                <w:spacing w:val="-10"/>
                <w:sz w:val="20"/>
              </w:rPr>
              <w:t>£</w:t>
            </w:r>
          </w:p>
        </w:tc>
        <w:tc>
          <w:tcPr>
            <w:tcW w:w="1107" w:type="dxa"/>
            <w:shd w:val="clear" w:color="auto" w:fill="CCEDFF"/>
          </w:tcPr>
          <w:p>
            <w:pPr>
              <w:pStyle w:val="TableParagraph"/>
              <w:spacing w:before="20"/>
              <w:ind w:right="105"/>
              <w:jc w:val="right"/>
              <w:rPr>
                <w:sz w:val="20"/>
              </w:rPr>
            </w:pPr>
            <w:r>
              <w:rPr>
                <w:spacing w:val="-2"/>
                <w:sz w:val="20"/>
              </w:rPr>
              <w:t>263.5</w:t>
            </w:r>
          </w:p>
        </w:tc>
        <w:tc>
          <w:tcPr>
            <w:tcW w:w="374" w:type="dxa"/>
            <w:shd w:val="clear" w:color="auto" w:fill="CCEDFF"/>
          </w:tcPr>
          <w:p>
            <w:pPr>
              <w:pStyle w:val="TableParagraph"/>
              <w:spacing w:before="20"/>
              <w:ind w:right="71"/>
              <w:jc w:val="center"/>
              <w:rPr>
                <w:sz w:val="20"/>
              </w:rPr>
            </w:pPr>
            <w:r>
              <w:rPr>
                <w:spacing w:val="-10"/>
                <w:sz w:val="20"/>
              </w:rPr>
              <w:t>£</w:t>
            </w:r>
          </w:p>
        </w:tc>
        <w:tc>
          <w:tcPr>
            <w:tcW w:w="1080" w:type="dxa"/>
            <w:shd w:val="clear" w:color="auto" w:fill="CCEDFF"/>
          </w:tcPr>
          <w:p>
            <w:pPr>
              <w:pStyle w:val="TableParagraph"/>
              <w:spacing w:before="20"/>
              <w:ind w:right="79"/>
              <w:jc w:val="right"/>
              <w:rPr>
                <w:sz w:val="20"/>
              </w:rPr>
            </w:pPr>
            <w:r>
              <w:rPr>
                <w:spacing w:val="-5"/>
                <w:sz w:val="20"/>
              </w:rPr>
              <w:t>192</w:t>
            </w:r>
          </w:p>
        </w:tc>
      </w:tr>
    </w:tbl>
    <w:p>
      <w:pPr>
        <w:pStyle w:val="BodyText"/>
        <w:spacing w:line="249" w:lineRule="auto" w:before="223"/>
        <w:ind w:left="220" w:right="257" w:firstLine="540"/>
        <w:jc w:val="both"/>
      </w:pPr>
      <w:r>
        <w:rPr/>
        <w:t>As of December</w:t>
      </w:r>
      <w:r>
        <w:rPr>
          <w:spacing w:val="-2"/>
        </w:rPr>
        <w:t> </w:t>
      </w:r>
      <w:r>
        <w:rPr/>
        <w:t>1, 2017, the total absolute value of all outstanding foreign exchange contracts, including options and forwards,</w:t>
      </w:r>
      <w:r>
        <w:rPr>
          <w:spacing w:val="-7"/>
        </w:rPr>
        <w:t> </w:t>
      </w:r>
      <w:r>
        <w:rPr/>
        <w:t>was</w:t>
      </w:r>
      <w:r>
        <w:rPr>
          <w:spacing w:val="-6"/>
        </w:rPr>
        <w:t> </w:t>
      </w:r>
      <w:r>
        <w:rPr/>
        <w:t>$1.24</w:t>
      </w:r>
      <w:r>
        <w:rPr>
          <w:spacing w:val="-6"/>
        </w:rPr>
        <w:t> </w:t>
      </w:r>
      <w:r>
        <w:rPr/>
        <w:t>billion,</w:t>
      </w:r>
      <w:r>
        <w:rPr>
          <w:spacing w:val="-6"/>
        </w:rPr>
        <w:t> </w:t>
      </w:r>
      <w:r>
        <w:rPr/>
        <w:t>which</w:t>
      </w:r>
      <w:r>
        <w:rPr>
          <w:spacing w:val="-6"/>
        </w:rPr>
        <w:t> </w:t>
      </w:r>
      <w:r>
        <w:rPr/>
        <w:t>included</w:t>
      </w:r>
      <w:r>
        <w:rPr>
          <w:spacing w:val="-6"/>
        </w:rPr>
        <w:t> </w:t>
      </w:r>
      <w:r>
        <w:rPr/>
        <w:t>the</w:t>
      </w:r>
      <w:r>
        <w:rPr>
          <w:spacing w:val="-7"/>
        </w:rPr>
        <w:t> </w:t>
      </w:r>
      <w:r>
        <w:rPr/>
        <w:t>notional</w:t>
      </w:r>
      <w:r>
        <w:rPr>
          <w:spacing w:val="-6"/>
        </w:rPr>
        <w:t> </w:t>
      </w:r>
      <w:r>
        <w:rPr/>
        <w:t>equivalent</w:t>
      </w:r>
      <w:r>
        <w:rPr>
          <w:spacing w:val="-6"/>
        </w:rPr>
        <w:t> </w:t>
      </w:r>
      <w:r>
        <w:rPr/>
        <w:t>of</w:t>
      </w:r>
      <w:r>
        <w:rPr>
          <w:spacing w:val="-6"/>
        </w:rPr>
        <w:t> </w:t>
      </w:r>
      <w:r>
        <w:rPr/>
        <w:t>$618.4</w:t>
      </w:r>
      <w:r>
        <w:rPr>
          <w:spacing w:val="-6"/>
        </w:rPr>
        <w:t> </w:t>
      </w:r>
      <w:r>
        <w:rPr/>
        <w:t>million</w:t>
      </w:r>
      <w:r>
        <w:rPr>
          <w:spacing w:val="-6"/>
        </w:rPr>
        <w:t> </w:t>
      </w:r>
      <w:r>
        <w:rPr/>
        <w:t>in</w:t>
      </w:r>
      <w:r>
        <w:rPr>
          <w:spacing w:val="-7"/>
        </w:rPr>
        <w:t> </w:t>
      </w:r>
      <w:r>
        <w:rPr/>
        <w:t>Euros,</w:t>
      </w:r>
      <w:r>
        <w:rPr>
          <w:spacing w:val="-6"/>
        </w:rPr>
        <w:t> </w:t>
      </w:r>
      <w:r>
        <w:rPr/>
        <w:t>$225.3</w:t>
      </w:r>
      <w:r>
        <w:rPr>
          <w:spacing w:val="-6"/>
        </w:rPr>
        <w:t> </w:t>
      </w:r>
      <w:r>
        <w:rPr/>
        <w:t>million</w:t>
      </w:r>
      <w:r>
        <w:rPr>
          <w:spacing w:val="-6"/>
        </w:rPr>
        <w:t> </w:t>
      </w:r>
      <w:r>
        <w:rPr/>
        <w:t>in</w:t>
      </w:r>
      <w:r>
        <w:rPr>
          <w:spacing w:val="-6"/>
        </w:rPr>
        <w:t> </w:t>
      </w:r>
      <w:r>
        <w:rPr/>
        <w:t>British</w:t>
      </w:r>
      <w:r>
        <w:rPr>
          <w:spacing w:val="-6"/>
        </w:rPr>
        <w:t> </w:t>
      </w:r>
      <w:r>
        <w:rPr>
          <w:spacing w:val="-2"/>
        </w:rPr>
        <w:t>Pounds,</w:t>
      </w:r>
    </w:p>
    <w:p>
      <w:pPr>
        <w:pStyle w:val="BodyText"/>
        <w:spacing w:line="249" w:lineRule="auto" w:before="2"/>
        <w:ind w:left="220" w:right="257"/>
        <w:jc w:val="both"/>
      </w:pPr>
      <w:r>
        <w:rPr/>
        <w:t>$244.5</w:t>
      </w:r>
      <w:r>
        <w:rPr>
          <w:spacing w:val="-7"/>
        </w:rPr>
        <w:t> </w:t>
      </w:r>
      <w:r>
        <w:rPr/>
        <w:t>million</w:t>
      </w:r>
      <w:r>
        <w:rPr>
          <w:spacing w:val="-5"/>
        </w:rPr>
        <w:t> </w:t>
      </w:r>
      <w:r>
        <w:rPr/>
        <w:t>in</w:t>
      </w:r>
      <w:r>
        <w:rPr>
          <w:spacing w:val="-5"/>
        </w:rPr>
        <w:t> </w:t>
      </w:r>
      <w:r>
        <w:rPr/>
        <w:t>Japanese</w:t>
      </w:r>
      <w:r>
        <w:rPr>
          <w:spacing w:val="-11"/>
        </w:rPr>
        <w:t> </w:t>
      </w:r>
      <w:r>
        <w:rPr/>
        <w:t>Yen</w:t>
      </w:r>
      <w:r>
        <w:rPr>
          <w:spacing w:val="-5"/>
        </w:rPr>
        <w:t> </w:t>
      </w:r>
      <w:r>
        <w:rPr/>
        <w:t>and</w:t>
      </w:r>
      <w:r>
        <w:rPr>
          <w:spacing w:val="-5"/>
        </w:rPr>
        <w:t> </w:t>
      </w:r>
      <w:r>
        <w:rPr/>
        <w:t>$148.9</w:t>
      </w:r>
      <w:r>
        <w:rPr>
          <w:spacing w:val="-5"/>
        </w:rPr>
        <w:t> </w:t>
      </w:r>
      <w:r>
        <w:rPr/>
        <w:t>million</w:t>
      </w:r>
      <w:r>
        <w:rPr>
          <w:spacing w:val="-5"/>
        </w:rPr>
        <w:t> </w:t>
      </w:r>
      <w:r>
        <w:rPr/>
        <w:t>in</w:t>
      </w:r>
      <w:r>
        <w:rPr>
          <w:spacing w:val="-5"/>
        </w:rPr>
        <w:t> </w:t>
      </w:r>
      <w:r>
        <w:rPr/>
        <w:t>other</w:t>
      </w:r>
      <w:r>
        <w:rPr>
          <w:spacing w:val="-5"/>
        </w:rPr>
        <w:t> </w:t>
      </w:r>
      <w:r>
        <w:rPr/>
        <w:t>foreign</w:t>
      </w:r>
      <w:r>
        <w:rPr>
          <w:spacing w:val="-5"/>
        </w:rPr>
        <w:t> </w:t>
      </w:r>
      <w:r>
        <w:rPr/>
        <w:t>currencies.</w:t>
      </w:r>
      <w:r>
        <w:rPr>
          <w:spacing w:val="-13"/>
        </w:rPr>
        <w:t> </w:t>
      </w:r>
      <w:r>
        <w:rPr/>
        <w:t>As</w:t>
      </w:r>
      <w:r>
        <w:rPr>
          <w:spacing w:val="-4"/>
        </w:rPr>
        <w:t> </w:t>
      </w:r>
      <w:r>
        <w:rPr/>
        <w:t>of</w:t>
      </w:r>
      <w:r>
        <w:rPr>
          <w:spacing w:val="-5"/>
        </w:rPr>
        <w:t> </w:t>
      </w:r>
      <w:r>
        <w:rPr/>
        <w:t>December</w:t>
      </w:r>
      <w:r>
        <w:rPr>
          <w:spacing w:val="-3"/>
        </w:rPr>
        <w:t> </w:t>
      </w:r>
      <w:r>
        <w:rPr/>
        <w:t>1,</w:t>
      </w:r>
      <w:r>
        <w:rPr>
          <w:spacing w:val="-5"/>
        </w:rPr>
        <w:t> </w:t>
      </w:r>
      <w:r>
        <w:rPr/>
        <w:t>2017,</w:t>
      </w:r>
      <w:r>
        <w:rPr>
          <w:spacing w:val="-5"/>
        </w:rPr>
        <w:t> </w:t>
      </w:r>
      <w:r>
        <w:rPr/>
        <w:t>all</w:t>
      </w:r>
      <w:r>
        <w:rPr>
          <w:spacing w:val="-5"/>
        </w:rPr>
        <w:t> </w:t>
      </w:r>
      <w:r>
        <w:rPr/>
        <w:t>contracts</w:t>
      </w:r>
      <w:r>
        <w:rPr>
          <w:spacing w:val="-5"/>
        </w:rPr>
        <w:t> </w:t>
      </w:r>
      <w:r>
        <w:rPr/>
        <w:t>were</w:t>
      </w:r>
      <w:r>
        <w:rPr>
          <w:spacing w:val="-5"/>
        </w:rPr>
        <w:t> </w:t>
      </w:r>
      <w:r>
        <w:rPr/>
        <w:t>set</w:t>
      </w:r>
      <w:r>
        <w:rPr>
          <w:spacing w:val="-5"/>
        </w:rPr>
        <w:t> </w:t>
      </w:r>
      <w:r>
        <w:rPr/>
        <w:t>to expire</w:t>
      </w:r>
      <w:r>
        <w:rPr>
          <w:spacing w:val="-7"/>
        </w:rPr>
        <w:t> </w:t>
      </w:r>
      <w:r>
        <w:rPr/>
        <w:t>at</w:t>
      </w:r>
      <w:r>
        <w:rPr>
          <w:spacing w:val="-7"/>
        </w:rPr>
        <w:t> </w:t>
      </w:r>
      <w:r>
        <w:rPr/>
        <w:t>various</w:t>
      </w:r>
      <w:r>
        <w:rPr>
          <w:spacing w:val="-7"/>
        </w:rPr>
        <w:t> </w:t>
      </w:r>
      <w:r>
        <w:rPr/>
        <w:t>dates</w:t>
      </w:r>
      <w:r>
        <w:rPr>
          <w:spacing w:val="-7"/>
        </w:rPr>
        <w:t> </w:t>
      </w:r>
      <w:r>
        <w:rPr/>
        <w:t>through</w:t>
      </w:r>
      <w:r>
        <w:rPr>
          <w:spacing w:val="-7"/>
        </w:rPr>
        <w:t> </w:t>
      </w:r>
      <w:r>
        <w:rPr/>
        <w:t>June</w:t>
      </w:r>
      <w:r>
        <w:rPr>
          <w:spacing w:val="-7"/>
        </w:rPr>
        <w:t> </w:t>
      </w:r>
      <w:r>
        <w:rPr/>
        <w:t>2018.</w:t>
      </w:r>
      <w:r>
        <w:rPr>
          <w:spacing w:val="-10"/>
        </w:rPr>
        <w:t> </w:t>
      </w:r>
      <w:r>
        <w:rPr/>
        <w:t>The</w:t>
      </w:r>
      <w:r>
        <w:rPr>
          <w:spacing w:val="-7"/>
        </w:rPr>
        <w:t> </w:t>
      </w:r>
      <w:r>
        <w:rPr/>
        <w:t>bank</w:t>
      </w:r>
      <w:r>
        <w:rPr>
          <w:spacing w:val="-7"/>
        </w:rPr>
        <w:t> </w:t>
      </w:r>
      <w:r>
        <w:rPr/>
        <w:t>counterparties</w:t>
      </w:r>
      <w:r>
        <w:rPr>
          <w:spacing w:val="-6"/>
        </w:rPr>
        <w:t> </w:t>
      </w:r>
      <w:r>
        <w:rPr/>
        <w:t>in</w:t>
      </w:r>
      <w:r>
        <w:rPr>
          <w:spacing w:val="-7"/>
        </w:rPr>
        <w:t> </w:t>
      </w:r>
      <w:r>
        <w:rPr/>
        <w:t>these</w:t>
      </w:r>
      <w:r>
        <w:rPr>
          <w:spacing w:val="-7"/>
        </w:rPr>
        <w:t> </w:t>
      </w:r>
      <w:r>
        <w:rPr/>
        <w:t>contracts</w:t>
      </w:r>
      <w:r>
        <w:rPr>
          <w:spacing w:val="-7"/>
        </w:rPr>
        <w:t> </w:t>
      </w:r>
      <w:r>
        <w:rPr/>
        <w:t>could</w:t>
      </w:r>
      <w:r>
        <w:rPr>
          <w:spacing w:val="-7"/>
        </w:rPr>
        <w:t> </w:t>
      </w:r>
      <w:r>
        <w:rPr/>
        <w:t>expose</w:t>
      </w:r>
      <w:r>
        <w:rPr>
          <w:spacing w:val="-7"/>
        </w:rPr>
        <w:t> </w:t>
      </w:r>
      <w:r>
        <w:rPr/>
        <w:t>us</w:t>
      </w:r>
      <w:r>
        <w:rPr>
          <w:spacing w:val="-7"/>
        </w:rPr>
        <w:t> </w:t>
      </w:r>
      <w:r>
        <w:rPr/>
        <w:t>to</w:t>
      </w:r>
      <w:r>
        <w:rPr>
          <w:spacing w:val="-7"/>
        </w:rPr>
        <w:t> </w:t>
      </w:r>
      <w:r>
        <w:rPr/>
        <w:t>credit-related</w:t>
      </w:r>
      <w:r>
        <w:rPr>
          <w:spacing w:val="-7"/>
        </w:rPr>
        <w:t> </w:t>
      </w:r>
      <w:r>
        <w:rPr/>
        <w:t>losses</w:t>
      </w:r>
      <w:r>
        <w:rPr>
          <w:spacing w:val="-7"/>
        </w:rPr>
        <w:t> </w:t>
      </w:r>
      <w:r>
        <w:rPr/>
        <w:t>that would be largely mitigated with collateral security agreements that provide for collateral to be received or posted when the net fair value of these contracts fluctuates from contractually established thresholds. In addition, we enter into master netting arrangements that have the ability to further limit credit-related losses with the same counterparty by permitting net settlement </w:t>
      </w:r>
      <w:r>
        <w:rPr>
          <w:spacing w:val="-2"/>
        </w:rPr>
        <w:t>transactions.</w:t>
      </w:r>
    </w:p>
    <w:p>
      <w:pPr>
        <w:pStyle w:val="BodyText"/>
        <w:spacing w:line="249" w:lineRule="auto" w:before="185"/>
        <w:ind w:left="220" w:right="257" w:firstLine="540"/>
        <w:jc w:val="both"/>
      </w:pPr>
      <w:r>
        <w:rPr/>
        <w:t>A</w:t>
      </w:r>
      <w:r>
        <w:rPr>
          <w:spacing w:val="-9"/>
        </w:rPr>
        <w:t> </w:t>
      </w:r>
      <w:r>
        <w:rPr/>
        <w:t>sensitivity analysis was performed on all of our foreign exchange derivatives as of December</w:t>
      </w:r>
      <w:r>
        <w:rPr>
          <w:spacing w:val="-2"/>
        </w:rPr>
        <w:t> </w:t>
      </w:r>
      <w:r>
        <w:rPr/>
        <w:t>1, 2017.</w:t>
      </w:r>
      <w:r>
        <w:rPr>
          <w:spacing w:val="-1"/>
        </w:rPr>
        <w:t> </w:t>
      </w:r>
      <w:r>
        <w:rPr/>
        <w:t>This sensitivity analysis measures the hypothetical market value resulting from a 10% shift in the value of exchange rates relative to the U.S. Dollar.</w:t>
      </w:r>
      <w:r>
        <w:rPr>
          <w:spacing w:val="-13"/>
        </w:rPr>
        <w:t> </w:t>
      </w:r>
      <w:r>
        <w:rPr/>
        <w:t>For</w:t>
      </w:r>
      <w:r>
        <w:rPr>
          <w:spacing w:val="-12"/>
        </w:rPr>
        <w:t> </w:t>
      </w:r>
      <w:r>
        <w:rPr/>
        <w:t>option</w:t>
      </w:r>
      <w:r>
        <w:rPr>
          <w:spacing w:val="-13"/>
        </w:rPr>
        <w:t> </w:t>
      </w:r>
      <w:r>
        <w:rPr/>
        <w:t>contracts,</w:t>
      </w:r>
      <w:r>
        <w:rPr>
          <w:spacing w:val="-12"/>
        </w:rPr>
        <w:t> </w:t>
      </w:r>
      <w:r>
        <w:rPr/>
        <w:t>the</w:t>
      </w:r>
      <w:r>
        <w:rPr>
          <w:spacing w:val="-13"/>
        </w:rPr>
        <w:t> </w:t>
      </w:r>
      <w:r>
        <w:rPr/>
        <w:t>Black-Scholes</w:t>
      </w:r>
      <w:r>
        <w:rPr>
          <w:spacing w:val="-12"/>
        </w:rPr>
        <w:t> </w:t>
      </w:r>
      <w:r>
        <w:rPr/>
        <w:t>option</w:t>
      </w:r>
      <w:r>
        <w:rPr>
          <w:spacing w:val="-13"/>
        </w:rPr>
        <w:t> </w:t>
      </w:r>
      <w:r>
        <w:rPr/>
        <w:t>pricing</w:t>
      </w:r>
      <w:r>
        <w:rPr>
          <w:spacing w:val="-11"/>
        </w:rPr>
        <w:t> </w:t>
      </w:r>
      <w:r>
        <w:rPr/>
        <w:t>model</w:t>
      </w:r>
      <w:r>
        <w:rPr>
          <w:spacing w:val="-11"/>
        </w:rPr>
        <w:t> </w:t>
      </w:r>
      <w:r>
        <w:rPr/>
        <w:t>was</w:t>
      </w:r>
      <w:r>
        <w:rPr>
          <w:spacing w:val="-11"/>
        </w:rPr>
        <w:t> </w:t>
      </w:r>
      <w:r>
        <w:rPr/>
        <w:t>used.</w:t>
      </w:r>
      <w:r>
        <w:rPr>
          <w:spacing w:val="-13"/>
        </w:rPr>
        <w:t> </w:t>
      </w:r>
      <w:r>
        <w:rPr/>
        <w:t>A</w:t>
      </w:r>
      <w:r>
        <w:rPr>
          <w:spacing w:val="-12"/>
        </w:rPr>
        <w:t> </w:t>
      </w:r>
      <w:r>
        <w:rPr/>
        <w:t>10%</w:t>
      </w:r>
      <w:r>
        <w:rPr>
          <w:spacing w:val="-11"/>
        </w:rPr>
        <w:t> </w:t>
      </w:r>
      <w:r>
        <w:rPr/>
        <w:t>increase</w:t>
      </w:r>
      <w:r>
        <w:rPr>
          <w:spacing w:val="-11"/>
        </w:rPr>
        <w:t> </w:t>
      </w:r>
      <w:r>
        <w:rPr/>
        <w:t>in</w:t>
      </w:r>
      <w:r>
        <w:rPr>
          <w:spacing w:val="-11"/>
        </w:rPr>
        <w:t> </w:t>
      </w:r>
      <w:r>
        <w:rPr/>
        <w:t>the</w:t>
      </w:r>
      <w:r>
        <w:rPr>
          <w:spacing w:val="-11"/>
        </w:rPr>
        <w:t> </w:t>
      </w:r>
      <w:r>
        <w:rPr/>
        <w:t>value</w:t>
      </w:r>
      <w:r>
        <w:rPr>
          <w:spacing w:val="-11"/>
        </w:rPr>
        <w:t> </w:t>
      </w:r>
      <w:r>
        <w:rPr/>
        <w:t>of</w:t>
      </w:r>
      <w:r>
        <w:rPr>
          <w:spacing w:val="-10"/>
        </w:rPr>
        <w:t> </w:t>
      </w:r>
      <w:r>
        <w:rPr/>
        <w:t>the</w:t>
      </w:r>
      <w:r>
        <w:rPr>
          <w:spacing w:val="-11"/>
        </w:rPr>
        <w:t> </w:t>
      </w:r>
      <w:r>
        <w:rPr/>
        <w:t>U.S.</w:t>
      </w:r>
      <w:r>
        <w:rPr>
          <w:spacing w:val="-11"/>
        </w:rPr>
        <w:t> </w:t>
      </w:r>
      <w:r>
        <w:rPr/>
        <w:t>Dollar</w:t>
      </w:r>
      <w:r>
        <w:rPr>
          <w:spacing w:val="-11"/>
        </w:rPr>
        <w:t> </w:t>
      </w:r>
      <w:r>
        <w:rPr/>
        <w:t>and a corresponding decrease in the value of the hedged foreign currency asset would lead to an increase in the fair value of our financial hedging instruments by $79.7 million. Conversely, a 10% decrease in the value of the U.S. Dollar would result in a decrease in the fair value of these financial instruments by $23.6 million.</w:t>
      </w:r>
    </w:p>
    <w:p>
      <w:pPr>
        <w:pStyle w:val="BodyText"/>
        <w:spacing w:line="249" w:lineRule="auto" w:before="185"/>
        <w:ind w:left="220" w:right="257" w:firstLine="540"/>
        <w:jc w:val="both"/>
      </w:pPr>
      <w:r>
        <w:rPr/>
        <w:t>As a general rule, we do not use foreign exchange contracts to hedge local currency denominated operating expenses in countries where a natural hedge exists. For example, in many countries, revenue in the local currencies substantially offsets the local currency denominated operating expenses.</w:t>
      </w:r>
    </w:p>
    <w:p>
      <w:pPr>
        <w:pStyle w:val="BodyText"/>
        <w:spacing w:before="12"/>
      </w:pPr>
    </w:p>
    <w:p>
      <w:pPr>
        <w:pStyle w:val="BodyText"/>
        <w:spacing w:line="249" w:lineRule="auto"/>
        <w:ind w:left="220" w:right="257" w:firstLine="540"/>
        <w:jc w:val="both"/>
      </w:pPr>
      <w:r>
        <w:rPr/>
        <w:t>We</w:t>
      </w:r>
      <w:r>
        <w:rPr>
          <w:spacing w:val="-10"/>
        </w:rPr>
        <w:t> </w:t>
      </w:r>
      <w:r>
        <w:rPr/>
        <w:t>also</w:t>
      </w:r>
      <w:r>
        <w:rPr>
          <w:spacing w:val="-10"/>
        </w:rPr>
        <w:t> </w:t>
      </w:r>
      <w:r>
        <w:rPr/>
        <w:t>have</w:t>
      </w:r>
      <w:r>
        <w:rPr>
          <w:spacing w:val="-10"/>
        </w:rPr>
        <w:t> </w:t>
      </w:r>
      <w:r>
        <w:rPr/>
        <w:t>long-term</w:t>
      </w:r>
      <w:r>
        <w:rPr>
          <w:spacing w:val="-10"/>
        </w:rPr>
        <w:t> </w:t>
      </w:r>
      <w:r>
        <w:rPr/>
        <w:t>investment</w:t>
      </w:r>
      <w:r>
        <w:rPr>
          <w:spacing w:val="-10"/>
        </w:rPr>
        <w:t> </w:t>
      </w:r>
      <w:r>
        <w:rPr/>
        <w:t>exposures</w:t>
      </w:r>
      <w:r>
        <w:rPr>
          <w:spacing w:val="-10"/>
        </w:rPr>
        <w:t> </w:t>
      </w:r>
      <w:r>
        <w:rPr/>
        <w:t>consisting</w:t>
      </w:r>
      <w:r>
        <w:rPr>
          <w:spacing w:val="-10"/>
        </w:rPr>
        <w:t> </w:t>
      </w:r>
      <w:r>
        <w:rPr/>
        <w:t>of</w:t>
      </w:r>
      <w:r>
        <w:rPr>
          <w:spacing w:val="-10"/>
        </w:rPr>
        <w:t> </w:t>
      </w:r>
      <w:r>
        <w:rPr/>
        <w:t>the</w:t>
      </w:r>
      <w:r>
        <w:rPr>
          <w:spacing w:val="-10"/>
        </w:rPr>
        <w:t> </w:t>
      </w:r>
      <w:r>
        <w:rPr/>
        <w:t>capitalization</w:t>
      </w:r>
      <w:r>
        <w:rPr>
          <w:spacing w:val="-10"/>
        </w:rPr>
        <w:t> </w:t>
      </w:r>
      <w:r>
        <w:rPr/>
        <w:t>and</w:t>
      </w:r>
      <w:r>
        <w:rPr>
          <w:spacing w:val="-10"/>
        </w:rPr>
        <w:t> </w:t>
      </w:r>
      <w:r>
        <w:rPr/>
        <w:t>retained</w:t>
      </w:r>
      <w:r>
        <w:rPr>
          <w:spacing w:val="-10"/>
        </w:rPr>
        <w:t> </w:t>
      </w:r>
      <w:r>
        <w:rPr/>
        <w:t>earnings</w:t>
      </w:r>
      <w:r>
        <w:rPr>
          <w:spacing w:val="-10"/>
        </w:rPr>
        <w:t> </w:t>
      </w:r>
      <w:r>
        <w:rPr/>
        <w:t>in</w:t>
      </w:r>
      <w:r>
        <w:rPr>
          <w:spacing w:val="-10"/>
        </w:rPr>
        <w:t> </w:t>
      </w:r>
      <w:r>
        <w:rPr/>
        <w:t>our</w:t>
      </w:r>
      <w:r>
        <w:rPr>
          <w:spacing w:val="-10"/>
        </w:rPr>
        <w:t> </w:t>
      </w:r>
      <w:r>
        <w:rPr/>
        <w:t>non-U.S.</w:t>
      </w:r>
      <w:r>
        <w:rPr>
          <w:spacing w:val="-10"/>
        </w:rPr>
        <w:t> </w:t>
      </w:r>
      <w:r>
        <w:rPr/>
        <w:t>Dollar functional currency foreign subsidiaries.</w:t>
      </w:r>
      <w:r>
        <w:rPr>
          <w:spacing w:val="-1"/>
        </w:rPr>
        <w:t> </w:t>
      </w:r>
      <w:r>
        <w:rPr/>
        <w:t>As of December</w:t>
      </w:r>
      <w:r>
        <w:rPr>
          <w:spacing w:val="-2"/>
        </w:rPr>
        <w:t> </w:t>
      </w:r>
      <w:r>
        <w:rPr/>
        <w:t>1, 2017 and December</w:t>
      </w:r>
      <w:r>
        <w:rPr>
          <w:spacing w:val="-2"/>
        </w:rPr>
        <w:t> </w:t>
      </w:r>
      <w:r>
        <w:rPr/>
        <w:t>2, 2016, this long-term investment exposure totaled</w:t>
      </w:r>
      <w:r>
        <w:rPr>
          <w:spacing w:val="-13"/>
        </w:rPr>
        <w:t> </w:t>
      </w:r>
      <w:r>
        <w:rPr/>
        <w:t>an</w:t>
      </w:r>
      <w:r>
        <w:rPr>
          <w:spacing w:val="-12"/>
        </w:rPr>
        <w:t> </w:t>
      </w:r>
      <w:r>
        <w:rPr/>
        <w:t>absolute</w:t>
      </w:r>
      <w:r>
        <w:rPr>
          <w:spacing w:val="-13"/>
        </w:rPr>
        <w:t> </w:t>
      </w:r>
      <w:r>
        <w:rPr/>
        <w:t>notional</w:t>
      </w:r>
      <w:r>
        <w:rPr>
          <w:spacing w:val="-12"/>
        </w:rPr>
        <w:t> </w:t>
      </w:r>
      <w:r>
        <w:rPr/>
        <w:t>equivalent</w:t>
      </w:r>
      <w:r>
        <w:rPr>
          <w:spacing w:val="-13"/>
        </w:rPr>
        <w:t> </w:t>
      </w:r>
      <w:r>
        <w:rPr/>
        <w:t>of</w:t>
      </w:r>
      <w:r>
        <w:rPr>
          <w:spacing w:val="-12"/>
        </w:rPr>
        <w:t> </w:t>
      </w:r>
      <w:r>
        <w:rPr/>
        <w:t>$190.5</w:t>
      </w:r>
      <w:r>
        <w:rPr>
          <w:spacing w:val="-13"/>
        </w:rPr>
        <w:t> </w:t>
      </w:r>
      <w:r>
        <w:rPr/>
        <w:t>million</w:t>
      </w:r>
      <w:r>
        <w:rPr>
          <w:spacing w:val="-12"/>
        </w:rPr>
        <w:t> </w:t>
      </w:r>
      <w:r>
        <w:rPr/>
        <w:t>and</w:t>
      </w:r>
      <w:r>
        <w:rPr>
          <w:spacing w:val="-13"/>
        </w:rPr>
        <w:t> </w:t>
      </w:r>
      <w:r>
        <w:rPr/>
        <w:t>$70.2</w:t>
      </w:r>
      <w:r>
        <w:rPr>
          <w:spacing w:val="-12"/>
        </w:rPr>
        <w:t> </w:t>
      </w:r>
      <w:r>
        <w:rPr/>
        <w:t>million,</w:t>
      </w:r>
      <w:r>
        <w:rPr>
          <w:spacing w:val="-13"/>
        </w:rPr>
        <w:t> </w:t>
      </w:r>
      <w:r>
        <w:rPr/>
        <w:t>respectively.</w:t>
      </w:r>
      <w:r>
        <w:rPr>
          <w:spacing w:val="-12"/>
        </w:rPr>
        <w:t> </w:t>
      </w:r>
      <w:r>
        <w:rPr/>
        <w:t>At</w:t>
      </w:r>
      <w:r>
        <w:rPr>
          <w:spacing w:val="-13"/>
        </w:rPr>
        <w:t> </w:t>
      </w:r>
      <w:r>
        <w:rPr/>
        <w:t>this</w:t>
      </w:r>
      <w:r>
        <w:rPr>
          <w:spacing w:val="-12"/>
        </w:rPr>
        <w:t> </w:t>
      </w:r>
      <w:r>
        <w:rPr/>
        <w:t>time,</w:t>
      </w:r>
      <w:r>
        <w:rPr>
          <w:spacing w:val="-13"/>
        </w:rPr>
        <w:t> </w:t>
      </w:r>
      <w:r>
        <w:rPr/>
        <w:t>we</w:t>
      </w:r>
      <w:r>
        <w:rPr>
          <w:spacing w:val="-12"/>
        </w:rPr>
        <w:t> </w:t>
      </w:r>
      <w:r>
        <w:rPr/>
        <w:t>do</w:t>
      </w:r>
      <w:r>
        <w:rPr>
          <w:spacing w:val="-13"/>
        </w:rPr>
        <w:t> </w:t>
      </w:r>
      <w:r>
        <w:rPr/>
        <w:t>not</w:t>
      </w:r>
      <w:r>
        <w:rPr>
          <w:spacing w:val="-12"/>
        </w:rPr>
        <w:t> </w:t>
      </w:r>
      <w:r>
        <w:rPr/>
        <w:t>hedge</w:t>
      </w:r>
      <w:r>
        <w:rPr>
          <w:spacing w:val="-13"/>
        </w:rPr>
        <w:t> </w:t>
      </w:r>
      <w:r>
        <w:rPr/>
        <w:t>these</w:t>
      </w:r>
      <w:r>
        <w:rPr>
          <w:spacing w:val="-12"/>
        </w:rPr>
        <w:t> </w:t>
      </w:r>
      <w:r>
        <w:rPr/>
        <w:t>long- term investment exposures.</w:t>
      </w:r>
    </w:p>
    <w:p>
      <w:pPr>
        <w:pStyle w:val="BodyText"/>
        <w:spacing w:line="249" w:lineRule="auto" w:before="183"/>
        <w:ind w:left="220" w:right="257" w:firstLine="630"/>
        <w:jc w:val="both"/>
      </w:pPr>
      <w:r>
        <w:rPr>
          <w:spacing w:val="-2"/>
        </w:rPr>
        <w:t>We</w:t>
      </w:r>
      <w:r>
        <w:rPr>
          <w:spacing w:val="-5"/>
        </w:rPr>
        <w:t> </w:t>
      </w:r>
      <w:r>
        <w:rPr>
          <w:spacing w:val="-2"/>
        </w:rPr>
        <w:t>do</w:t>
      </w:r>
      <w:r>
        <w:rPr>
          <w:spacing w:val="-5"/>
        </w:rPr>
        <w:t> </w:t>
      </w:r>
      <w:r>
        <w:rPr>
          <w:spacing w:val="-2"/>
        </w:rPr>
        <w:t>not</w:t>
      </w:r>
      <w:r>
        <w:rPr>
          <w:spacing w:val="-5"/>
        </w:rPr>
        <w:t> </w:t>
      </w:r>
      <w:r>
        <w:rPr>
          <w:spacing w:val="-2"/>
        </w:rPr>
        <w:t>use</w:t>
      </w:r>
      <w:r>
        <w:rPr>
          <w:spacing w:val="-6"/>
        </w:rPr>
        <w:t> </w:t>
      </w:r>
      <w:r>
        <w:rPr>
          <w:spacing w:val="-2"/>
        </w:rPr>
        <w:t>foreign</w:t>
      </w:r>
      <w:r>
        <w:rPr>
          <w:spacing w:val="-5"/>
        </w:rPr>
        <w:t> </w:t>
      </w:r>
      <w:r>
        <w:rPr>
          <w:spacing w:val="-2"/>
        </w:rPr>
        <w:t>exchange</w:t>
      </w:r>
      <w:r>
        <w:rPr>
          <w:spacing w:val="-6"/>
        </w:rPr>
        <w:t> </w:t>
      </w:r>
      <w:r>
        <w:rPr>
          <w:spacing w:val="-2"/>
        </w:rPr>
        <w:t>contracts</w:t>
      </w:r>
      <w:r>
        <w:rPr>
          <w:spacing w:val="-5"/>
        </w:rPr>
        <w:t> </w:t>
      </w:r>
      <w:r>
        <w:rPr>
          <w:spacing w:val="-2"/>
        </w:rPr>
        <w:t>for</w:t>
      </w:r>
      <w:r>
        <w:rPr>
          <w:spacing w:val="-5"/>
        </w:rPr>
        <w:t> </w:t>
      </w:r>
      <w:r>
        <w:rPr>
          <w:spacing w:val="-2"/>
        </w:rPr>
        <w:t>speculative</w:t>
      </w:r>
      <w:r>
        <w:rPr>
          <w:spacing w:val="-6"/>
        </w:rPr>
        <w:t> </w:t>
      </w:r>
      <w:r>
        <w:rPr>
          <w:spacing w:val="-2"/>
        </w:rPr>
        <w:t>trading</w:t>
      </w:r>
      <w:r>
        <w:rPr>
          <w:spacing w:val="-5"/>
        </w:rPr>
        <w:t> </w:t>
      </w:r>
      <w:r>
        <w:rPr>
          <w:spacing w:val="-2"/>
        </w:rPr>
        <w:t>purposes,</w:t>
      </w:r>
      <w:r>
        <w:rPr>
          <w:spacing w:val="-5"/>
        </w:rPr>
        <w:t> </w:t>
      </w:r>
      <w:r>
        <w:rPr>
          <w:spacing w:val="-2"/>
        </w:rPr>
        <w:t>nor</w:t>
      </w:r>
      <w:r>
        <w:rPr>
          <w:spacing w:val="-5"/>
        </w:rPr>
        <w:t> </w:t>
      </w:r>
      <w:r>
        <w:rPr>
          <w:spacing w:val="-2"/>
        </w:rPr>
        <w:t>do</w:t>
      </w:r>
      <w:r>
        <w:rPr>
          <w:spacing w:val="-5"/>
        </w:rPr>
        <w:t> </w:t>
      </w:r>
      <w:r>
        <w:rPr>
          <w:spacing w:val="-2"/>
        </w:rPr>
        <w:t>we</w:t>
      </w:r>
      <w:r>
        <w:rPr>
          <w:spacing w:val="-6"/>
        </w:rPr>
        <w:t> </w:t>
      </w:r>
      <w:r>
        <w:rPr>
          <w:spacing w:val="-2"/>
        </w:rPr>
        <w:t>hedge</w:t>
      </w:r>
      <w:r>
        <w:rPr>
          <w:spacing w:val="-5"/>
        </w:rPr>
        <w:t> </w:t>
      </w:r>
      <w:r>
        <w:rPr>
          <w:spacing w:val="-2"/>
        </w:rPr>
        <w:t>our</w:t>
      </w:r>
      <w:r>
        <w:rPr>
          <w:spacing w:val="-5"/>
        </w:rPr>
        <w:t> </w:t>
      </w:r>
      <w:r>
        <w:rPr>
          <w:spacing w:val="-2"/>
        </w:rPr>
        <w:t>foreign</w:t>
      </w:r>
      <w:r>
        <w:rPr>
          <w:spacing w:val="-5"/>
        </w:rPr>
        <w:t> </w:t>
      </w:r>
      <w:r>
        <w:rPr>
          <w:spacing w:val="-2"/>
        </w:rPr>
        <w:t>currency</w:t>
      </w:r>
      <w:r>
        <w:rPr>
          <w:spacing w:val="-5"/>
        </w:rPr>
        <w:t> </w:t>
      </w:r>
      <w:r>
        <w:rPr>
          <w:spacing w:val="-2"/>
        </w:rPr>
        <w:t>exposure </w:t>
      </w:r>
      <w:r>
        <w:rPr/>
        <w:t>in</w:t>
      </w:r>
      <w:r>
        <w:rPr>
          <w:spacing w:val="-1"/>
        </w:rPr>
        <w:t> </w:t>
      </w:r>
      <w:r>
        <w:rPr/>
        <w:t>a</w:t>
      </w:r>
      <w:r>
        <w:rPr>
          <w:spacing w:val="-1"/>
        </w:rPr>
        <w:t> </w:t>
      </w:r>
      <w:r>
        <w:rPr/>
        <w:t>manner</w:t>
      </w:r>
      <w:r>
        <w:rPr>
          <w:spacing w:val="-1"/>
        </w:rPr>
        <w:t> </w:t>
      </w:r>
      <w:r>
        <w:rPr/>
        <w:t>that</w:t>
      </w:r>
      <w:r>
        <w:rPr>
          <w:spacing w:val="-1"/>
        </w:rPr>
        <w:t> </w:t>
      </w:r>
      <w:r>
        <w:rPr/>
        <w:t>entirely</w:t>
      </w:r>
      <w:r>
        <w:rPr>
          <w:spacing w:val="-1"/>
        </w:rPr>
        <w:t> </w:t>
      </w:r>
      <w:r>
        <w:rPr/>
        <w:t>offsets</w:t>
      </w:r>
      <w:r>
        <w:rPr>
          <w:spacing w:val="-1"/>
        </w:rPr>
        <w:t> </w:t>
      </w:r>
      <w:r>
        <w:rPr/>
        <w:t>the</w:t>
      </w:r>
      <w:r>
        <w:rPr>
          <w:spacing w:val="-1"/>
        </w:rPr>
        <w:t> </w:t>
      </w:r>
      <w:r>
        <w:rPr/>
        <w:t>effects</w:t>
      </w:r>
      <w:r>
        <w:rPr>
          <w:spacing w:val="-1"/>
        </w:rPr>
        <w:t> </w:t>
      </w:r>
      <w:r>
        <w:rPr/>
        <w:t>of</w:t>
      </w:r>
      <w:r>
        <w:rPr>
          <w:spacing w:val="-1"/>
        </w:rPr>
        <w:t> </w:t>
      </w:r>
      <w:r>
        <w:rPr/>
        <w:t>changes</w:t>
      </w:r>
      <w:r>
        <w:rPr>
          <w:spacing w:val="-1"/>
        </w:rPr>
        <w:t> </w:t>
      </w:r>
      <w:r>
        <w:rPr/>
        <w:t>in</w:t>
      </w:r>
      <w:r>
        <w:rPr>
          <w:spacing w:val="-1"/>
        </w:rPr>
        <w:t> </w:t>
      </w:r>
      <w:r>
        <w:rPr/>
        <w:t>foreign</w:t>
      </w:r>
      <w:r>
        <w:rPr>
          <w:spacing w:val="-1"/>
        </w:rPr>
        <w:t> </w:t>
      </w:r>
      <w:r>
        <w:rPr/>
        <w:t>exchange</w:t>
      </w:r>
      <w:r>
        <w:rPr>
          <w:spacing w:val="-1"/>
        </w:rPr>
        <w:t> </w:t>
      </w:r>
      <w:r>
        <w:rPr/>
        <w:t>rates.</w:t>
      </w:r>
      <w:r>
        <w:rPr>
          <w:spacing w:val="-4"/>
        </w:rPr>
        <w:t> </w:t>
      </w:r>
      <w:r>
        <w:rPr/>
        <w:t>We</w:t>
      </w:r>
      <w:r>
        <w:rPr>
          <w:spacing w:val="-1"/>
        </w:rPr>
        <w:t> </w:t>
      </w:r>
      <w:r>
        <w:rPr/>
        <w:t>regularly</w:t>
      </w:r>
      <w:r>
        <w:rPr>
          <w:spacing w:val="-1"/>
        </w:rPr>
        <w:t> </w:t>
      </w:r>
      <w:r>
        <w:rPr/>
        <w:t>review</w:t>
      </w:r>
      <w:r>
        <w:rPr>
          <w:spacing w:val="-1"/>
        </w:rPr>
        <w:t> </w:t>
      </w:r>
      <w:r>
        <w:rPr/>
        <w:t>our</w:t>
      </w:r>
      <w:r>
        <w:rPr>
          <w:spacing w:val="-1"/>
        </w:rPr>
        <w:t> </w:t>
      </w:r>
      <w:r>
        <w:rPr/>
        <w:t>hedging</w:t>
      </w:r>
      <w:r>
        <w:rPr>
          <w:spacing w:val="-1"/>
        </w:rPr>
        <w:t> </w:t>
      </w:r>
      <w:r>
        <w:rPr/>
        <w:t>program</w:t>
      </w:r>
      <w:r>
        <w:rPr>
          <w:spacing w:val="-1"/>
        </w:rPr>
        <w:t> </w:t>
      </w:r>
      <w:r>
        <w:rPr/>
        <w:t>and assess the need to utilize financial instruments to hedge currency exposures on an ongoing basis.</w:t>
      </w:r>
    </w:p>
    <w:p>
      <w:pPr>
        <w:pStyle w:val="BodyText"/>
        <w:spacing w:before="13"/>
      </w:pPr>
    </w:p>
    <w:p>
      <w:pPr>
        <w:spacing w:before="0"/>
        <w:ind w:left="220" w:right="0" w:firstLine="0"/>
        <w:jc w:val="both"/>
        <w:rPr>
          <w:i/>
          <w:sz w:val="20"/>
        </w:rPr>
      </w:pPr>
      <w:r>
        <w:rPr>
          <w:i/>
          <w:sz w:val="20"/>
        </w:rPr>
        <w:t>Cash</w:t>
      </w:r>
      <w:r>
        <w:rPr>
          <w:i/>
          <w:spacing w:val="-8"/>
          <w:sz w:val="20"/>
        </w:rPr>
        <w:t> </w:t>
      </w:r>
      <w:r>
        <w:rPr>
          <w:i/>
          <w:sz w:val="20"/>
        </w:rPr>
        <w:t>Flow</w:t>
      </w:r>
      <w:r>
        <w:rPr>
          <w:i/>
          <w:spacing w:val="-6"/>
          <w:sz w:val="20"/>
        </w:rPr>
        <w:t> </w:t>
      </w:r>
      <w:r>
        <w:rPr>
          <w:i/>
          <w:sz w:val="20"/>
        </w:rPr>
        <w:t>Hedging—Hedges</w:t>
      </w:r>
      <w:r>
        <w:rPr>
          <w:i/>
          <w:spacing w:val="-6"/>
          <w:sz w:val="20"/>
        </w:rPr>
        <w:t> </w:t>
      </w:r>
      <w:r>
        <w:rPr>
          <w:i/>
          <w:sz w:val="20"/>
        </w:rPr>
        <w:t>of</w:t>
      </w:r>
      <w:r>
        <w:rPr>
          <w:i/>
          <w:spacing w:val="-7"/>
          <w:sz w:val="20"/>
        </w:rPr>
        <w:t> </w:t>
      </w:r>
      <w:r>
        <w:rPr>
          <w:i/>
          <w:sz w:val="20"/>
        </w:rPr>
        <w:t>Forecasted</w:t>
      </w:r>
      <w:r>
        <w:rPr>
          <w:i/>
          <w:spacing w:val="-7"/>
          <w:sz w:val="20"/>
        </w:rPr>
        <w:t> </w:t>
      </w:r>
      <w:r>
        <w:rPr>
          <w:i/>
          <w:sz w:val="20"/>
        </w:rPr>
        <w:t>Foreign</w:t>
      </w:r>
      <w:r>
        <w:rPr>
          <w:i/>
          <w:spacing w:val="-6"/>
          <w:sz w:val="20"/>
        </w:rPr>
        <w:t> </w:t>
      </w:r>
      <w:r>
        <w:rPr>
          <w:i/>
          <w:sz w:val="20"/>
        </w:rPr>
        <w:t>Currency</w:t>
      </w:r>
      <w:r>
        <w:rPr>
          <w:i/>
          <w:spacing w:val="-7"/>
          <w:sz w:val="20"/>
        </w:rPr>
        <w:t> </w:t>
      </w:r>
      <w:r>
        <w:rPr>
          <w:i/>
          <w:spacing w:val="-2"/>
          <w:sz w:val="20"/>
        </w:rPr>
        <w:t>Revenue</w:t>
      </w:r>
    </w:p>
    <w:p>
      <w:pPr>
        <w:pStyle w:val="BodyText"/>
        <w:spacing w:line="249" w:lineRule="auto" w:before="190"/>
        <w:ind w:left="220" w:right="257" w:firstLine="540"/>
        <w:jc w:val="both"/>
      </w:pPr>
      <w:r>
        <w:rPr/>
        <w:t>We</w:t>
      </w:r>
      <w:r>
        <w:rPr>
          <w:spacing w:val="-1"/>
        </w:rPr>
        <w:t> </w:t>
      </w:r>
      <w:r>
        <w:rPr/>
        <w:t>may</w:t>
      </w:r>
      <w:r>
        <w:rPr>
          <w:spacing w:val="-1"/>
        </w:rPr>
        <w:t> </w:t>
      </w:r>
      <w:r>
        <w:rPr/>
        <w:t>use</w:t>
      </w:r>
      <w:r>
        <w:rPr>
          <w:spacing w:val="-1"/>
        </w:rPr>
        <w:t> </w:t>
      </w:r>
      <w:r>
        <w:rPr/>
        <w:t>foreign</w:t>
      </w:r>
      <w:r>
        <w:rPr>
          <w:spacing w:val="-1"/>
        </w:rPr>
        <w:t> </w:t>
      </w:r>
      <w:r>
        <w:rPr/>
        <w:t>exchange</w:t>
      </w:r>
      <w:r>
        <w:rPr>
          <w:spacing w:val="-1"/>
        </w:rPr>
        <w:t> </w:t>
      </w:r>
      <w:r>
        <w:rPr/>
        <w:t>purchased</w:t>
      </w:r>
      <w:r>
        <w:rPr>
          <w:spacing w:val="-1"/>
        </w:rPr>
        <w:t> </w:t>
      </w:r>
      <w:r>
        <w:rPr/>
        <w:t>options</w:t>
      </w:r>
      <w:r>
        <w:rPr>
          <w:spacing w:val="-1"/>
        </w:rPr>
        <w:t> </w:t>
      </w:r>
      <w:r>
        <w:rPr/>
        <w:t>or</w:t>
      </w:r>
      <w:r>
        <w:rPr>
          <w:spacing w:val="-1"/>
        </w:rPr>
        <w:t> </w:t>
      </w:r>
      <w:r>
        <w:rPr/>
        <w:t>forward</w:t>
      </w:r>
      <w:r>
        <w:rPr>
          <w:spacing w:val="-1"/>
        </w:rPr>
        <w:t> </w:t>
      </w:r>
      <w:r>
        <w:rPr/>
        <w:t>contracts</w:t>
      </w:r>
      <w:r>
        <w:rPr>
          <w:spacing w:val="-1"/>
        </w:rPr>
        <w:t> </w:t>
      </w:r>
      <w:r>
        <w:rPr/>
        <w:t>to</w:t>
      </w:r>
      <w:r>
        <w:rPr>
          <w:spacing w:val="-1"/>
        </w:rPr>
        <w:t> </w:t>
      </w:r>
      <w:r>
        <w:rPr/>
        <w:t>hedge</w:t>
      </w:r>
      <w:r>
        <w:rPr>
          <w:spacing w:val="-1"/>
        </w:rPr>
        <w:t> </w:t>
      </w:r>
      <w:r>
        <w:rPr/>
        <w:t>foreign</w:t>
      </w:r>
      <w:r>
        <w:rPr>
          <w:spacing w:val="-1"/>
        </w:rPr>
        <w:t> </w:t>
      </w:r>
      <w:r>
        <w:rPr/>
        <w:t>currency</w:t>
      </w:r>
      <w:r>
        <w:rPr>
          <w:spacing w:val="-1"/>
        </w:rPr>
        <w:t> </w:t>
      </w:r>
      <w:r>
        <w:rPr/>
        <w:t>revenue</w:t>
      </w:r>
      <w:r>
        <w:rPr>
          <w:spacing w:val="-1"/>
        </w:rPr>
        <w:t> </w:t>
      </w:r>
      <w:r>
        <w:rPr/>
        <w:t>denominated</w:t>
      </w:r>
      <w:r>
        <w:rPr>
          <w:spacing w:val="-1"/>
        </w:rPr>
        <w:t> </w:t>
      </w:r>
      <w:r>
        <w:rPr/>
        <w:t>in Euros,</w:t>
      </w:r>
      <w:r>
        <w:rPr>
          <w:spacing w:val="-10"/>
        </w:rPr>
        <w:t> </w:t>
      </w:r>
      <w:r>
        <w:rPr/>
        <w:t>British</w:t>
      </w:r>
      <w:r>
        <w:rPr>
          <w:spacing w:val="-8"/>
        </w:rPr>
        <w:t> </w:t>
      </w:r>
      <w:r>
        <w:rPr/>
        <w:t>Pounds</w:t>
      </w:r>
      <w:r>
        <w:rPr>
          <w:spacing w:val="-8"/>
        </w:rPr>
        <w:t> </w:t>
      </w:r>
      <w:r>
        <w:rPr/>
        <w:t>and</w:t>
      </w:r>
      <w:r>
        <w:rPr>
          <w:spacing w:val="-8"/>
        </w:rPr>
        <w:t> </w:t>
      </w:r>
      <w:r>
        <w:rPr/>
        <w:t>Japanese</w:t>
      </w:r>
      <w:r>
        <w:rPr>
          <w:spacing w:val="-13"/>
        </w:rPr>
        <w:t> </w:t>
      </w:r>
      <w:r>
        <w:rPr/>
        <w:t>Yen.</w:t>
      </w:r>
      <w:r>
        <w:rPr>
          <w:spacing w:val="31"/>
        </w:rPr>
        <w:t> </w:t>
      </w:r>
      <w:r>
        <w:rPr/>
        <w:t>We</w:t>
      </w:r>
      <w:r>
        <w:rPr>
          <w:spacing w:val="-8"/>
        </w:rPr>
        <w:t> </w:t>
      </w:r>
      <w:r>
        <w:rPr/>
        <w:t>hedge</w:t>
      </w:r>
      <w:r>
        <w:rPr>
          <w:spacing w:val="-8"/>
        </w:rPr>
        <w:t> </w:t>
      </w:r>
      <w:r>
        <w:rPr/>
        <w:t>these</w:t>
      </w:r>
      <w:r>
        <w:rPr>
          <w:spacing w:val="-8"/>
        </w:rPr>
        <w:t> </w:t>
      </w:r>
      <w:r>
        <w:rPr/>
        <w:t>cash</w:t>
      </w:r>
      <w:r>
        <w:rPr>
          <w:spacing w:val="-8"/>
        </w:rPr>
        <w:t> </w:t>
      </w:r>
      <w:r>
        <w:rPr/>
        <w:t>flow</w:t>
      </w:r>
      <w:r>
        <w:rPr>
          <w:spacing w:val="-8"/>
        </w:rPr>
        <w:t> </w:t>
      </w:r>
      <w:r>
        <w:rPr/>
        <w:t>exposures</w:t>
      </w:r>
      <w:r>
        <w:rPr>
          <w:spacing w:val="-8"/>
        </w:rPr>
        <w:t> </w:t>
      </w:r>
      <w:r>
        <w:rPr/>
        <w:t>to</w:t>
      </w:r>
      <w:r>
        <w:rPr>
          <w:spacing w:val="-8"/>
        </w:rPr>
        <w:t> </w:t>
      </w:r>
      <w:r>
        <w:rPr/>
        <w:t>reduce</w:t>
      </w:r>
      <w:r>
        <w:rPr>
          <w:spacing w:val="-8"/>
        </w:rPr>
        <w:t> </w:t>
      </w:r>
      <w:r>
        <w:rPr/>
        <w:t>the</w:t>
      </w:r>
      <w:r>
        <w:rPr>
          <w:spacing w:val="-8"/>
        </w:rPr>
        <w:t> </w:t>
      </w:r>
      <w:r>
        <w:rPr/>
        <w:t>risk</w:t>
      </w:r>
      <w:r>
        <w:rPr>
          <w:spacing w:val="-8"/>
        </w:rPr>
        <w:t> </w:t>
      </w:r>
      <w:r>
        <w:rPr/>
        <w:t>that</w:t>
      </w:r>
      <w:r>
        <w:rPr>
          <w:spacing w:val="-8"/>
        </w:rPr>
        <w:t> </w:t>
      </w:r>
      <w:r>
        <w:rPr/>
        <w:t>our</w:t>
      </w:r>
      <w:r>
        <w:rPr>
          <w:spacing w:val="-8"/>
        </w:rPr>
        <w:t> </w:t>
      </w:r>
      <w:r>
        <w:rPr/>
        <w:t>earnings</w:t>
      </w:r>
      <w:r>
        <w:rPr>
          <w:spacing w:val="-8"/>
        </w:rPr>
        <w:t> </w:t>
      </w:r>
      <w:r>
        <w:rPr/>
        <w:t>and</w:t>
      </w:r>
      <w:r>
        <w:rPr>
          <w:spacing w:val="-8"/>
        </w:rPr>
        <w:t> </w:t>
      </w:r>
      <w:r>
        <w:rPr/>
        <w:t>cash</w:t>
      </w:r>
      <w:r>
        <w:rPr>
          <w:spacing w:val="-8"/>
        </w:rPr>
        <w:t> </w:t>
      </w:r>
      <w:r>
        <w:rPr/>
        <w:t>flows </w:t>
      </w:r>
      <w:r>
        <w:rPr>
          <w:spacing w:val="-2"/>
        </w:rPr>
        <w:t>will</w:t>
      </w:r>
      <w:r>
        <w:rPr>
          <w:spacing w:val="-11"/>
        </w:rPr>
        <w:t> </w:t>
      </w:r>
      <w:r>
        <w:rPr>
          <w:spacing w:val="-2"/>
        </w:rPr>
        <w:t>be</w:t>
      </w:r>
      <w:r>
        <w:rPr>
          <w:spacing w:val="-10"/>
        </w:rPr>
        <w:t> </w:t>
      </w:r>
      <w:r>
        <w:rPr>
          <w:spacing w:val="-2"/>
        </w:rPr>
        <w:t>adversely</w:t>
      </w:r>
      <w:r>
        <w:rPr>
          <w:spacing w:val="-8"/>
        </w:rPr>
        <w:t> </w:t>
      </w:r>
      <w:r>
        <w:rPr>
          <w:spacing w:val="-2"/>
        </w:rPr>
        <w:t>affected</w:t>
      </w:r>
      <w:r>
        <w:rPr>
          <w:spacing w:val="-10"/>
        </w:rPr>
        <w:t> </w:t>
      </w:r>
      <w:r>
        <w:rPr>
          <w:spacing w:val="-2"/>
        </w:rPr>
        <w:t>by</w:t>
      </w:r>
      <w:r>
        <w:rPr>
          <w:spacing w:val="-9"/>
        </w:rPr>
        <w:t> </w:t>
      </w:r>
      <w:r>
        <w:rPr>
          <w:spacing w:val="-2"/>
        </w:rPr>
        <w:t>changes</w:t>
      </w:r>
      <w:r>
        <w:rPr>
          <w:spacing w:val="-9"/>
        </w:rPr>
        <w:t> </w:t>
      </w:r>
      <w:r>
        <w:rPr>
          <w:spacing w:val="-2"/>
        </w:rPr>
        <w:t>in</w:t>
      </w:r>
      <w:r>
        <w:rPr>
          <w:spacing w:val="-9"/>
        </w:rPr>
        <w:t> </w:t>
      </w:r>
      <w:r>
        <w:rPr>
          <w:spacing w:val="-2"/>
        </w:rPr>
        <w:t>exchange</w:t>
      </w:r>
      <w:r>
        <w:rPr>
          <w:spacing w:val="-10"/>
        </w:rPr>
        <w:t> </w:t>
      </w:r>
      <w:r>
        <w:rPr>
          <w:spacing w:val="-2"/>
        </w:rPr>
        <w:t>rates.</w:t>
      </w:r>
      <w:r>
        <w:rPr>
          <w:spacing w:val="-11"/>
        </w:rPr>
        <w:t> </w:t>
      </w:r>
      <w:r>
        <w:rPr>
          <w:spacing w:val="-2"/>
        </w:rPr>
        <w:t>These</w:t>
      </w:r>
      <w:r>
        <w:rPr>
          <w:spacing w:val="-10"/>
        </w:rPr>
        <w:t> </w:t>
      </w:r>
      <w:r>
        <w:rPr>
          <w:spacing w:val="-2"/>
        </w:rPr>
        <w:t>foreign</w:t>
      </w:r>
      <w:r>
        <w:rPr>
          <w:spacing w:val="-9"/>
        </w:rPr>
        <w:t> </w:t>
      </w:r>
      <w:r>
        <w:rPr>
          <w:spacing w:val="-2"/>
        </w:rPr>
        <w:t>exchange</w:t>
      </w:r>
      <w:r>
        <w:rPr>
          <w:spacing w:val="-10"/>
        </w:rPr>
        <w:t> </w:t>
      </w:r>
      <w:r>
        <w:rPr>
          <w:spacing w:val="-2"/>
        </w:rPr>
        <w:t>contracts,</w:t>
      </w:r>
      <w:r>
        <w:rPr>
          <w:spacing w:val="-10"/>
        </w:rPr>
        <w:t> </w:t>
      </w:r>
      <w:r>
        <w:rPr>
          <w:spacing w:val="-2"/>
        </w:rPr>
        <w:t>carried</w:t>
      </w:r>
      <w:r>
        <w:rPr>
          <w:spacing w:val="-9"/>
        </w:rPr>
        <w:t> </w:t>
      </w:r>
      <w:r>
        <w:rPr>
          <w:spacing w:val="-2"/>
        </w:rPr>
        <w:t>at</w:t>
      </w:r>
      <w:r>
        <w:rPr>
          <w:spacing w:val="-9"/>
        </w:rPr>
        <w:t> </w:t>
      </w:r>
      <w:r>
        <w:rPr>
          <w:spacing w:val="-2"/>
        </w:rPr>
        <w:t>fair</w:t>
      </w:r>
      <w:r>
        <w:rPr>
          <w:spacing w:val="-9"/>
        </w:rPr>
        <w:t> </w:t>
      </w:r>
      <w:r>
        <w:rPr>
          <w:spacing w:val="-2"/>
        </w:rPr>
        <w:t>value,</w:t>
      </w:r>
      <w:r>
        <w:rPr>
          <w:spacing w:val="-9"/>
        </w:rPr>
        <w:t> </w:t>
      </w:r>
      <w:r>
        <w:rPr>
          <w:spacing w:val="-2"/>
        </w:rPr>
        <w:t>may</w:t>
      </w:r>
      <w:r>
        <w:rPr>
          <w:spacing w:val="-9"/>
        </w:rPr>
        <w:t> </w:t>
      </w:r>
      <w:r>
        <w:rPr>
          <w:spacing w:val="-2"/>
        </w:rPr>
        <w:t>have</w:t>
      </w:r>
      <w:r>
        <w:rPr>
          <w:spacing w:val="-10"/>
        </w:rPr>
        <w:t> </w:t>
      </w:r>
      <w:r>
        <w:rPr>
          <w:spacing w:val="-2"/>
        </w:rPr>
        <w:t>maturities </w:t>
      </w:r>
      <w:r>
        <w:rPr/>
        <w:t>between</w:t>
      </w:r>
      <w:r>
        <w:rPr>
          <w:spacing w:val="-11"/>
        </w:rPr>
        <w:t> </w:t>
      </w:r>
      <w:r>
        <w:rPr/>
        <w:t>one</w:t>
      </w:r>
      <w:r>
        <w:rPr>
          <w:spacing w:val="-10"/>
        </w:rPr>
        <w:t> </w:t>
      </w:r>
      <w:r>
        <w:rPr/>
        <w:t>and</w:t>
      </w:r>
      <w:r>
        <w:rPr>
          <w:spacing w:val="-11"/>
        </w:rPr>
        <w:t> </w:t>
      </w:r>
      <w:r>
        <w:rPr/>
        <w:t>twelve</w:t>
      </w:r>
      <w:r>
        <w:rPr>
          <w:spacing w:val="-10"/>
        </w:rPr>
        <w:t> </w:t>
      </w:r>
      <w:r>
        <w:rPr/>
        <w:t>months.</w:t>
      </w:r>
      <w:r>
        <w:rPr>
          <w:spacing w:val="-13"/>
        </w:rPr>
        <w:t> </w:t>
      </w:r>
      <w:r>
        <w:rPr/>
        <w:t>We</w:t>
      </w:r>
      <w:r>
        <w:rPr>
          <w:spacing w:val="-10"/>
        </w:rPr>
        <w:t> </w:t>
      </w:r>
      <w:r>
        <w:rPr/>
        <w:t>enter</w:t>
      </w:r>
      <w:r>
        <w:rPr>
          <w:spacing w:val="-10"/>
        </w:rPr>
        <w:t> </w:t>
      </w:r>
      <w:r>
        <w:rPr/>
        <w:t>into</w:t>
      </w:r>
      <w:r>
        <w:rPr>
          <w:spacing w:val="-11"/>
        </w:rPr>
        <w:t> </w:t>
      </w:r>
      <w:r>
        <w:rPr/>
        <w:t>these</w:t>
      </w:r>
      <w:r>
        <w:rPr>
          <w:spacing w:val="-10"/>
        </w:rPr>
        <w:t> </w:t>
      </w:r>
      <w:r>
        <w:rPr/>
        <w:t>foreign</w:t>
      </w:r>
      <w:r>
        <w:rPr>
          <w:spacing w:val="-11"/>
        </w:rPr>
        <w:t> </w:t>
      </w:r>
      <w:r>
        <w:rPr/>
        <w:t>exchange</w:t>
      </w:r>
      <w:r>
        <w:rPr>
          <w:spacing w:val="-10"/>
        </w:rPr>
        <w:t> </w:t>
      </w:r>
      <w:r>
        <w:rPr/>
        <w:t>contracts</w:t>
      </w:r>
      <w:r>
        <w:rPr>
          <w:spacing w:val="-11"/>
        </w:rPr>
        <w:t> </w:t>
      </w:r>
      <w:r>
        <w:rPr/>
        <w:t>to</w:t>
      </w:r>
      <w:r>
        <w:rPr>
          <w:spacing w:val="-10"/>
        </w:rPr>
        <w:t> </w:t>
      </w:r>
      <w:r>
        <w:rPr/>
        <w:t>hedge</w:t>
      </w:r>
      <w:r>
        <w:rPr>
          <w:spacing w:val="-11"/>
        </w:rPr>
        <w:t> </w:t>
      </w:r>
      <w:r>
        <w:rPr/>
        <w:t>forecasted</w:t>
      </w:r>
      <w:r>
        <w:rPr>
          <w:spacing w:val="-10"/>
        </w:rPr>
        <w:t> </w:t>
      </w:r>
      <w:r>
        <w:rPr/>
        <w:t>revenue</w:t>
      </w:r>
      <w:r>
        <w:rPr>
          <w:spacing w:val="-11"/>
        </w:rPr>
        <w:t> </w:t>
      </w:r>
      <w:r>
        <w:rPr/>
        <w:t>in</w:t>
      </w:r>
      <w:r>
        <w:rPr>
          <w:spacing w:val="-10"/>
        </w:rPr>
        <w:t> </w:t>
      </w:r>
      <w:r>
        <w:rPr/>
        <w:t>the</w:t>
      </w:r>
      <w:r>
        <w:rPr>
          <w:spacing w:val="-11"/>
        </w:rPr>
        <w:t> </w:t>
      </w:r>
      <w:r>
        <w:rPr/>
        <w:t>normal</w:t>
      </w:r>
      <w:r>
        <w:rPr>
          <w:spacing w:val="-10"/>
        </w:rPr>
        <w:t> </w:t>
      </w:r>
      <w:r>
        <w:rPr/>
        <w:t>course of business and accordingly, they are not speculative in nature.</w:t>
      </w:r>
    </w:p>
    <w:p>
      <w:pPr>
        <w:pStyle w:val="BodyText"/>
        <w:spacing w:before="14"/>
      </w:pPr>
    </w:p>
    <w:p>
      <w:pPr>
        <w:pStyle w:val="BodyText"/>
        <w:spacing w:line="249" w:lineRule="auto"/>
        <w:ind w:left="220" w:right="257" w:firstLine="540"/>
        <w:jc w:val="both"/>
      </w:pPr>
      <w:r>
        <w:rPr/>
        <w:t>We</w:t>
      </w:r>
      <w:r>
        <w:rPr>
          <w:spacing w:val="-12"/>
        </w:rPr>
        <w:t> </w:t>
      </w:r>
      <w:r>
        <w:rPr/>
        <w:t>record</w:t>
      </w:r>
      <w:r>
        <w:rPr>
          <w:spacing w:val="-12"/>
        </w:rPr>
        <w:t> </w:t>
      </w:r>
      <w:r>
        <w:rPr/>
        <w:t>changes</w:t>
      </w:r>
      <w:r>
        <w:rPr>
          <w:spacing w:val="-12"/>
        </w:rPr>
        <w:t> </w:t>
      </w:r>
      <w:r>
        <w:rPr/>
        <w:t>in</w:t>
      </w:r>
      <w:r>
        <w:rPr>
          <w:spacing w:val="-12"/>
        </w:rPr>
        <w:t> </w:t>
      </w:r>
      <w:r>
        <w:rPr/>
        <w:t>the</w:t>
      </w:r>
      <w:r>
        <w:rPr>
          <w:spacing w:val="-12"/>
        </w:rPr>
        <w:t> </w:t>
      </w:r>
      <w:r>
        <w:rPr/>
        <w:t>intrinsic</w:t>
      </w:r>
      <w:r>
        <w:rPr>
          <w:spacing w:val="-12"/>
        </w:rPr>
        <w:t> </w:t>
      </w:r>
      <w:r>
        <w:rPr/>
        <w:t>value</w:t>
      </w:r>
      <w:r>
        <w:rPr>
          <w:spacing w:val="-12"/>
        </w:rPr>
        <w:t> </w:t>
      </w:r>
      <w:r>
        <w:rPr/>
        <w:t>of</w:t>
      </w:r>
      <w:r>
        <w:rPr>
          <w:spacing w:val="-12"/>
        </w:rPr>
        <w:t> </w:t>
      </w:r>
      <w:r>
        <w:rPr/>
        <w:t>these</w:t>
      </w:r>
      <w:r>
        <w:rPr>
          <w:spacing w:val="-12"/>
        </w:rPr>
        <w:t> </w:t>
      </w:r>
      <w:r>
        <w:rPr/>
        <w:t>cash</w:t>
      </w:r>
      <w:r>
        <w:rPr>
          <w:spacing w:val="-12"/>
        </w:rPr>
        <w:t> </w:t>
      </w:r>
      <w:r>
        <w:rPr/>
        <w:t>flow</w:t>
      </w:r>
      <w:r>
        <w:rPr>
          <w:spacing w:val="-12"/>
        </w:rPr>
        <w:t> </w:t>
      </w:r>
      <w:r>
        <w:rPr/>
        <w:t>hedges</w:t>
      </w:r>
      <w:r>
        <w:rPr>
          <w:spacing w:val="-12"/>
        </w:rPr>
        <w:t> </w:t>
      </w:r>
      <w:r>
        <w:rPr/>
        <w:t>in</w:t>
      </w:r>
      <w:r>
        <w:rPr>
          <w:spacing w:val="-12"/>
        </w:rPr>
        <w:t> </w:t>
      </w:r>
      <w:r>
        <w:rPr/>
        <w:t>accumulated</w:t>
      </w:r>
      <w:r>
        <w:rPr>
          <w:spacing w:val="-12"/>
        </w:rPr>
        <w:t> </w:t>
      </w:r>
      <w:r>
        <w:rPr/>
        <w:t>other</w:t>
      </w:r>
      <w:r>
        <w:rPr>
          <w:spacing w:val="-12"/>
        </w:rPr>
        <w:t> </w:t>
      </w:r>
      <w:r>
        <w:rPr/>
        <w:t>comprehensive</w:t>
      </w:r>
      <w:r>
        <w:rPr>
          <w:spacing w:val="-12"/>
        </w:rPr>
        <w:t> </w:t>
      </w:r>
      <w:r>
        <w:rPr/>
        <w:t>income</w:t>
      </w:r>
      <w:r>
        <w:rPr>
          <w:spacing w:val="-12"/>
        </w:rPr>
        <w:t> </w:t>
      </w:r>
      <w:r>
        <w:rPr/>
        <w:t>(loss)</w:t>
      </w:r>
      <w:r>
        <w:rPr>
          <w:spacing w:val="-12"/>
        </w:rPr>
        <w:t> </w:t>
      </w:r>
      <w:r>
        <w:rPr/>
        <w:t>until the</w:t>
      </w:r>
      <w:r>
        <w:rPr>
          <w:spacing w:val="-2"/>
        </w:rPr>
        <w:t> </w:t>
      </w:r>
      <w:r>
        <w:rPr/>
        <w:t>forecasted</w:t>
      </w:r>
      <w:r>
        <w:rPr>
          <w:spacing w:val="-2"/>
        </w:rPr>
        <w:t> </w:t>
      </w:r>
      <w:r>
        <w:rPr/>
        <w:t>transaction</w:t>
      </w:r>
      <w:r>
        <w:rPr>
          <w:spacing w:val="-2"/>
        </w:rPr>
        <w:t> </w:t>
      </w:r>
      <w:r>
        <w:rPr/>
        <w:t>occurs.</w:t>
      </w:r>
      <w:r>
        <w:rPr>
          <w:spacing w:val="-6"/>
        </w:rPr>
        <w:t> </w:t>
      </w:r>
      <w:r>
        <w:rPr/>
        <w:t>When</w:t>
      </w:r>
      <w:r>
        <w:rPr>
          <w:spacing w:val="-2"/>
        </w:rPr>
        <w:t> </w:t>
      </w:r>
      <w:r>
        <w:rPr/>
        <w:t>the</w:t>
      </w:r>
      <w:r>
        <w:rPr>
          <w:spacing w:val="-2"/>
        </w:rPr>
        <w:t> </w:t>
      </w:r>
      <w:r>
        <w:rPr/>
        <w:t>forecasted</w:t>
      </w:r>
      <w:r>
        <w:rPr>
          <w:spacing w:val="-2"/>
        </w:rPr>
        <w:t> </w:t>
      </w:r>
      <w:r>
        <w:rPr/>
        <w:t>transaction</w:t>
      </w:r>
      <w:r>
        <w:rPr>
          <w:spacing w:val="-2"/>
        </w:rPr>
        <w:t> </w:t>
      </w:r>
      <w:r>
        <w:rPr/>
        <w:t>occurs,</w:t>
      </w:r>
      <w:r>
        <w:rPr>
          <w:spacing w:val="-2"/>
        </w:rPr>
        <w:t> </w:t>
      </w:r>
      <w:r>
        <w:rPr/>
        <w:t>we</w:t>
      </w:r>
      <w:r>
        <w:rPr>
          <w:spacing w:val="-2"/>
        </w:rPr>
        <w:t> </w:t>
      </w:r>
      <w:r>
        <w:rPr/>
        <w:t>reclassify</w:t>
      </w:r>
      <w:r>
        <w:rPr>
          <w:spacing w:val="-2"/>
        </w:rPr>
        <w:t> </w:t>
      </w:r>
      <w:r>
        <w:rPr/>
        <w:t>the</w:t>
      </w:r>
      <w:r>
        <w:rPr>
          <w:spacing w:val="-2"/>
        </w:rPr>
        <w:t> </w:t>
      </w:r>
      <w:r>
        <w:rPr/>
        <w:t>related</w:t>
      </w:r>
      <w:r>
        <w:rPr>
          <w:spacing w:val="-2"/>
        </w:rPr>
        <w:t> </w:t>
      </w:r>
      <w:r>
        <w:rPr/>
        <w:t>gain</w:t>
      </w:r>
      <w:r>
        <w:rPr>
          <w:spacing w:val="-2"/>
        </w:rPr>
        <w:t> </w:t>
      </w:r>
      <w:r>
        <w:rPr/>
        <w:t>or</w:t>
      </w:r>
      <w:r>
        <w:rPr>
          <w:spacing w:val="-2"/>
        </w:rPr>
        <w:t> </w:t>
      </w:r>
      <w:r>
        <w:rPr/>
        <w:t>loss</w:t>
      </w:r>
      <w:r>
        <w:rPr>
          <w:spacing w:val="-2"/>
        </w:rPr>
        <w:t> </w:t>
      </w:r>
      <w:r>
        <w:rPr/>
        <w:t>on</w:t>
      </w:r>
      <w:r>
        <w:rPr>
          <w:spacing w:val="-2"/>
        </w:rPr>
        <w:t> </w:t>
      </w:r>
      <w:r>
        <w:rPr/>
        <w:t>the</w:t>
      </w:r>
      <w:r>
        <w:rPr>
          <w:spacing w:val="-2"/>
        </w:rPr>
        <w:t> </w:t>
      </w:r>
      <w:r>
        <w:rPr/>
        <w:t>cash</w:t>
      </w:r>
      <w:r>
        <w:rPr>
          <w:spacing w:val="-2"/>
        </w:rPr>
        <w:t> </w:t>
      </w:r>
      <w:r>
        <w:rPr/>
        <w:t>flow hedge</w:t>
      </w:r>
      <w:r>
        <w:rPr>
          <w:spacing w:val="-4"/>
        </w:rPr>
        <w:t> </w:t>
      </w:r>
      <w:r>
        <w:rPr/>
        <w:t>to</w:t>
      </w:r>
      <w:r>
        <w:rPr>
          <w:spacing w:val="-4"/>
        </w:rPr>
        <w:t> </w:t>
      </w:r>
      <w:r>
        <w:rPr/>
        <w:t>revenue.</w:t>
      </w:r>
      <w:r>
        <w:rPr>
          <w:spacing w:val="-4"/>
        </w:rPr>
        <w:t> </w:t>
      </w:r>
      <w:r>
        <w:rPr/>
        <w:t>In</w:t>
      </w:r>
      <w:r>
        <w:rPr>
          <w:spacing w:val="-4"/>
        </w:rPr>
        <w:t> </w:t>
      </w:r>
      <w:r>
        <w:rPr/>
        <w:t>the</w:t>
      </w:r>
      <w:r>
        <w:rPr>
          <w:spacing w:val="-4"/>
        </w:rPr>
        <w:t> </w:t>
      </w:r>
      <w:r>
        <w:rPr/>
        <w:t>event</w:t>
      </w:r>
      <w:r>
        <w:rPr>
          <w:spacing w:val="-4"/>
        </w:rPr>
        <w:t> </w:t>
      </w:r>
      <w:r>
        <w:rPr/>
        <w:t>the</w:t>
      </w:r>
      <w:r>
        <w:rPr>
          <w:spacing w:val="-4"/>
        </w:rPr>
        <w:t> </w:t>
      </w:r>
      <w:r>
        <w:rPr/>
        <w:t>underlying</w:t>
      </w:r>
      <w:r>
        <w:rPr>
          <w:spacing w:val="-4"/>
        </w:rPr>
        <w:t> </w:t>
      </w:r>
      <w:r>
        <w:rPr/>
        <w:t>forecasted</w:t>
      </w:r>
      <w:r>
        <w:rPr>
          <w:spacing w:val="-4"/>
        </w:rPr>
        <w:t> </w:t>
      </w:r>
      <w:r>
        <w:rPr/>
        <w:t>transaction</w:t>
      </w:r>
      <w:r>
        <w:rPr>
          <w:spacing w:val="-4"/>
        </w:rPr>
        <w:t> </w:t>
      </w:r>
      <w:r>
        <w:rPr/>
        <w:t>does</w:t>
      </w:r>
      <w:r>
        <w:rPr>
          <w:spacing w:val="-4"/>
        </w:rPr>
        <w:t> </w:t>
      </w:r>
      <w:r>
        <w:rPr/>
        <w:t>not</w:t>
      </w:r>
      <w:r>
        <w:rPr>
          <w:spacing w:val="-4"/>
        </w:rPr>
        <w:t> </w:t>
      </w:r>
      <w:r>
        <w:rPr/>
        <w:t>occur,</w:t>
      </w:r>
      <w:r>
        <w:rPr>
          <w:spacing w:val="-4"/>
        </w:rPr>
        <w:t> </w:t>
      </w:r>
      <w:r>
        <w:rPr/>
        <w:t>or</w:t>
      </w:r>
      <w:r>
        <w:rPr>
          <w:spacing w:val="-4"/>
        </w:rPr>
        <w:t> </w:t>
      </w:r>
      <w:r>
        <w:rPr/>
        <w:t>it</w:t>
      </w:r>
      <w:r>
        <w:rPr>
          <w:spacing w:val="-4"/>
        </w:rPr>
        <w:t> </w:t>
      </w:r>
      <w:r>
        <w:rPr/>
        <w:t>becomes</w:t>
      </w:r>
      <w:r>
        <w:rPr>
          <w:spacing w:val="-4"/>
        </w:rPr>
        <w:t> </w:t>
      </w:r>
      <w:r>
        <w:rPr/>
        <w:t>probable</w:t>
      </w:r>
      <w:r>
        <w:rPr>
          <w:spacing w:val="-4"/>
        </w:rPr>
        <w:t> </w:t>
      </w:r>
      <w:r>
        <w:rPr/>
        <w:t>that</w:t>
      </w:r>
      <w:r>
        <w:rPr>
          <w:spacing w:val="-4"/>
        </w:rPr>
        <w:t> </w:t>
      </w:r>
      <w:r>
        <w:rPr/>
        <w:t>it</w:t>
      </w:r>
      <w:r>
        <w:rPr>
          <w:spacing w:val="-4"/>
        </w:rPr>
        <w:t> </w:t>
      </w:r>
      <w:r>
        <w:rPr/>
        <w:t>will</w:t>
      </w:r>
      <w:r>
        <w:rPr>
          <w:spacing w:val="-4"/>
        </w:rPr>
        <w:t> </w:t>
      </w:r>
      <w:r>
        <w:rPr/>
        <w:t>not</w:t>
      </w:r>
      <w:r>
        <w:rPr>
          <w:spacing w:val="-4"/>
        </w:rPr>
        <w:t> </w:t>
      </w:r>
      <w:r>
        <w:rPr/>
        <w:t>occur, we</w:t>
      </w:r>
      <w:r>
        <w:rPr>
          <w:spacing w:val="-8"/>
        </w:rPr>
        <w:t> </w:t>
      </w:r>
      <w:r>
        <w:rPr/>
        <w:t>reclassify</w:t>
      </w:r>
      <w:r>
        <w:rPr>
          <w:spacing w:val="-8"/>
        </w:rPr>
        <w:t> </w:t>
      </w:r>
      <w:r>
        <w:rPr/>
        <w:t>the</w:t>
      </w:r>
      <w:r>
        <w:rPr>
          <w:spacing w:val="-7"/>
        </w:rPr>
        <w:t> </w:t>
      </w:r>
      <w:r>
        <w:rPr/>
        <w:t>gain</w:t>
      </w:r>
      <w:r>
        <w:rPr>
          <w:spacing w:val="-8"/>
        </w:rPr>
        <w:t> </w:t>
      </w:r>
      <w:r>
        <w:rPr/>
        <w:t>or</w:t>
      </w:r>
      <w:r>
        <w:rPr>
          <w:spacing w:val="-7"/>
        </w:rPr>
        <w:t> </w:t>
      </w:r>
      <w:r>
        <w:rPr/>
        <w:t>loss</w:t>
      </w:r>
      <w:r>
        <w:rPr>
          <w:spacing w:val="-7"/>
        </w:rPr>
        <w:t> </w:t>
      </w:r>
      <w:r>
        <w:rPr/>
        <w:t>on</w:t>
      </w:r>
      <w:r>
        <w:rPr>
          <w:spacing w:val="-7"/>
        </w:rPr>
        <w:t> </w:t>
      </w:r>
      <w:r>
        <w:rPr/>
        <w:t>the</w:t>
      </w:r>
      <w:r>
        <w:rPr>
          <w:spacing w:val="-7"/>
        </w:rPr>
        <w:t> </w:t>
      </w:r>
      <w:r>
        <w:rPr/>
        <w:t>related</w:t>
      </w:r>
      <w:r>
        <w:rPr>
          <w:spacing w:val="-8"/>
        </w:rPr>
        <w:t> </w:t>
      </w:r>
      <w:r>
        <w:rPr/>
        <w:t>cash</w:t>
      </w:r>
      <w:r>
        <w:rPr>
          <w:spacing w:val="-8"/>
        </w:rPr>
        <w:t> </w:t>
      </w:r>
      <w:r>
        <w:rPr/>
        <w:t>flow</w:t>
      </w:r>
      <w:r>
        <w:rPr>
          <w:spacing w:val="-7"/>
        </w:rPr>
        <w:t> </w:t>
      </w:r>
      <w:r>
        <w:rPr/>
        <w:t>hedge</w:t>
      </w:r>
      <w:r>
        <w:rPr>
          <w:spacing w:val="-8"/>
        </w:rPr>
        <w:t> </w:t>
      </w:r>
      <w:r>
        <w:rPr/>
        <w:t>from</w:t>
      </w:r>
      <w:r>
        <w:rPr>
          <w:spacing w:val="-8"/>
        </w:rPr>
        <w:t> </w:t>
      </w:r>
      <w:r>
        <w:rPr/>
        <w:t>accumulated</w:t>
      </w:r>
      <w:r>
        <w:rPr>
          <w:spacing w:val="-7"/>
        </w:rPr>
        <w:t> </w:t>
      </w:r>
      <w:r>
        <w:rPr/>
        <w:t>other</w:t>
      </w:r>
      <w:r>
        <w:rPr>
          <w:spacing w:val="-7"/>
        </w:rPr>
        <w:t> </w:t>
      </w:r>
      <w:r>
        <w:rPr/>
        <w:t>comprehensive</w:t>
      </w:r>
      <w:r>
        <w:rPr>
          <w:spacing w:val="-8"/>
        </w:rPr>
        <w:t> </w:t>
      </w:r>
      <w:r>
        <w:rPr/>
        <w:t>income</w:t>
      </w:r>
      <w:r>
        <w:rPr>
          <w:spacing w:val="-8"/>
        </w:rPr>
        <w:t> </w:t>
      </w:r>
      <w:r>
        <w:rPr/>
        <w:t>(loss)</w:t>
      </w:r>
      <w:r>
        <w:rPr>
          <w:spacing w:val="-8"/>
        </w:rPr>
        <w:t> </w:t>
      </w:r>
      <w:r>
        <w:rPr/>
        <w:t>to</w:t>
      </w:r>
      <w:r>
        <w:rPr>
          <w:spacing w:val="-7"/>
        </w:rPr>
        <w:t> </w:t>
      </w:r>
      <w:r>
        <w:rPr/>
        <w:t>interest</w:t>
      </w:r>
      <w:r>
        <w:rPr>
          <w:spacing w:val="-8"/>
        </w:rPr>
        <w:t> </w:t>
      </w:r>
      <w:r>
        <w:rPr/>
        <w:t>and other</w:t>
      </w:r>
      <w:r>
        <w:rPr>
          <w:spacing w:val="-8"/>
        </w:rPr>
        <w:t> </w:t>
      </w:r>
      <w:r>
        <w:rPr/>
        <w:t>income,</w:t>
      </w:r>
      <w:r>
        <w:rPr>
          <w:spacing w:val="-8"/>
        </w:rPr>
        <w:t> </w:t>
      </w:r>
      <w:r>
        <w:rPr/>
        <w:t>net</w:t>
      </w:r>
      <w:r>
        <w:rPr>
          <w:spacing w:val="-8"/>
        </w:rPr>
        <w:t> </w:t>
      </w:r>
      <w:r>
        <w:rPr/>
        <w:t>on</w:t>
      </w:r>
      <w:r>
        <w:rPr>
          <w:spacing w:val="-8"/>
        </w:rPr>
        <w:t> </w:t>
      </w:r>
      <w:r>
        <w:rPr/>
        <w:t>our</w:t>
      </w:r>
      <w:r>
        <w:rPr>
          <w:spacing w:val="-8"/>
        </w:rPr>
        <w:t> </w:t>
      </w:r>
      <w:r>
        <w:rPr/>
        <w:t>Consolidated</w:t>
      </w:r>
      <w:r>
        <w:rPr>
          <w:spacing w:val="-8"/>
        </w:rPr>
        <w:t> </w:t>
      </w:r>
      <w:r>
        <w:rPr/>
        <w:t>Statements</w:t>
      </w:r>
      <w:r>
        <w:rPr>
          <w:spacing w:val="-7"/>
        </w:rPr>
        <w:t> </w:t>
      </w:r>
      <w:r>
        <w:rPr/>
        <w:t>of</w:t>
      </w:r>
      <w:r>
        <w:rPr>
          <w:spacing w:val="-8"/>
        </w:rPr>
        <w:t> </w:t>
      </w:r>
      <w:r>
        <w:rPr/>
        <w:t>Income</w:t>
      </w:r>
      <w:r>
        <w:rPr>
          <w:spacing w:val="-8"/>
        </w:rPr>
        <w:t> </w:t>
      </w:r>
      <w:r>
        <w:rPr/>
        <w:t>at</w:t>
      </w:r>
      <w:r>
        <w:rPr>
          <w:spacing w:val="-8"/>
        </w:rPr>
        <w:t> </w:t>
      </w:r>
      <w:r>
        <w:rPr/>
        <w:t>that</w:t>
      </w:r>
      <w:r>
        <w:rPr>
          <w:spacing w:val="-8"/>
        </w:rPr>
        <w:t> </w:t>
      </w:r>
      <w:r>
        <w:rPr/>
        <w:t>time.</w:t>
      </w:r>
      <w:r>
        <w:rPr>
          <w:spacing w:val="-8"/>
        </w:rPr>
        <w:t> </w:t>
      </w:r>
      <w:r>
        <w:rPr/>
        <w:t>For</w:t>
      </w:r>
      <w:r>
        <w:rPr>
          <w:spacing w:val="-8"/>
        </w:rPr>
        <w:t> </w:t>
      </w:r>
      <w:r>
        <w:rPr/>
        <w:t>the</w:t>
      </w:r>
      <w:r>
        <w:rPr>
          <w:spacing w:val="-8"/>
        </w:rPr>
        <w:t> </w:t>
      </w:r>
      <w:r>
        <w:rPr/>
        <w:t>fiscal</w:t>
      </w:r>
      <w:r>
        <w:rPr>
          <w:spacing w:val="-8"/>
        </w:rPr>
        <w:t> </w:t>
      </w:r>
      <w:r>
        <w:rPr/>
        <w:t>year</w:t>
      </w:r>
      <w:r>
        <w:rPr>
          <w:spacing w:val="-8"/>
        </w:rPr>
        <w:t> </w:t>
      </w:r>
      <w:r>
        <w:rPr/>
        <w:t>ended</w:t>
      </w:r>
      <w:r>
        <w:rPr>
          <w:spacing w:val="-8"/>
        </w:rPr>
        <w:t> </w:t>
      </w:r>
      <w:r>
        <w:rPr/>
        <w:t>December</w:t>
      </w:r>
      <w:r>
        <w:rPr>
          <w:spacing w:val="-2"/>
        </w:rPr>
        <w:t> </w:t>
      </w:r>
      <w:r>
        <w:rPr/>
        <w:t>1,</w:t>
      </w:r>
      <w:r>
        <w:rPr>
          <w:spacing w:val="-8"/>
        </w:rPr>
        <w:t> </w:t>
      </w:r>
      <w:r>
        <w:rPr/>
        <w:t>2017,</w:t>
      </w:r>
      <w:r>
        <w:rPr>
          <w:spacing w:val="-8"/>
        </w:rPr>
        <w:t> </w:t>
      </w:r>
      <w:r>
        <w:rPr/>
        <w:t>there</w:t>
      </w:r>
      <w:r>
        <w:rPr>
          <w:spacing w:val="-8"/>
        </w:rPr>
        <w:t> </w:t>
      </w:r>
      <w:r>
        <w:rPr/>
        <w:t>were no net gains or losses recognized in other income relating to hedges of forecasted transactions that did not occur.</w:t>
      </w:r>
    </w:p>
    <w:p>
      <w:pPr>
        <w:spacing w:before="185"/>
        <w:ind w:left="220" w:right="0" w:firstLine="0"/>
        <w:jc w:val="both"/>
        <w:rPr>
          <w:i/>
          <w:sz w:val="20"/>
        </w:rPr>
      </w:pPr>
      <w:r>
        <w:rPr>
          <w:i/>
          <w:sz w:val="20"/>
        </w:rPr>
        <w:t>Balance</w:t>
      </w:r>
      <w:r>
        <w:rPr>
          <w:i/>
          <w:spacing w:val="-7"/>
          <w:sz w:val="20"/>
        </w:rPr>
        <w:t> </w:t>
      </w:r>
      <w:r>
        <w:rPr>
          <w:i/>
          <w:sz w:val="20"/>
        </w:rPr>
        <w:t>Sheet</w:t>
      </w:r>
      <w:r>
        <w:rPr>
          <w:i/>
          <w:spacing w:val="-4"/>
          <w:sz w:val="20"/>
        </w:rPr>
        <w:t> </w:t>
      </w:r>
      <w:r>
        <w:rPr>
          <w:i/>
          <w:sz w:val="20"/>
        </w:rPr>
        <w:t>Hedging—Hedging</w:t>
      </w:r>
      <w:r>
        <w:rPr>
          <w:i/>
          <w:spacing w:val="-3"/>
          <w:sz w:val="20"/>
        </w:rPr>
        <w:t> </w:t>
      </w:r>
      <w:r>
        <w:rPr>
          <w:i/>
          <w:sz w:val="20"/>
        </w:rPr>
        <w:t>of</w:t>
      </w:r>
      <w:r>
        <w:rPr>
          <w:i/>
          <w:spacing w:val="-4"/>
          <w:sz w:val="20"/>
        </w:rPr>
        <w:t> </w:t>
      </w:r>
      <w:r>
        <w:rPr>
          <w:i/>
          <w:sz w:val="20"/>
        </w:rPr>
        <w:t>Foreign</w:t>
      </w:r>
      <w:r>
        <w:rPr>
          <w:i/>
          <w:spacing w:val="-3"/>
          <w:sz w:val="20"/>
        </w:rPr>
        <w:t> </w:t>
      </w:r>
      <w:r>
        <w:rPr>
          <w:i/>
          <w:sz w:val="20"/>
        </w:rPr>
        <w:t>Currency</w:t>
      </w:r>
      <w:r>
        <w:rPr>
          <w:i/>
          <w:spacing w:val="-7"/>
          <w:sz w:val="20"/>
        </w:rPr>
        <w:t> </w:t>
      </w:r>
      <w:r>
        <w:rPr>
          <w:i/>
          <w:sz w:val="20"/>
        </w:rPr>
        <w:t>Assets</w:t>
      </w:r>
      <w:r>
        <w:rPr>
          <w:i/>
          <w:spacing w:val="-3"/>
          <w:sz w:val="20"/>
        </w:rPr>
        <w:t> </w:t>
      </w:r>
      <w:r>
        <w:rPr>
          <w:i/>
          <w:sz w:val="20"/>
        </w:rPr>
        <w:t>and</w:t>
      </w:r>
      <w:r>
        <w:rPr>
          <w:i/>
          <w:spacing w:val="-3"/>
          <w:sz w:val="20"/>
        </w:rPr>
        <w:t> </w:t>
      </w:r>
      <w:r>
        <w:rPr>
          <w:i/>
          <w:spacing w:val="-2"/>
          <w:sz w:val="20"/>
        </w:rPr>
        <w:t>Liabilities</w:t>
      </w:r>
    </w:p>
    <w:p>
      <w:pPr>
        <w:pStyle w:val="BodyText"/>
        <w:spacing w:line="249" w:lineRule="auto" w:before="190"/>
        <w:ind w:left="220" w:right="257" w:firstLine="540"/>
        <w:jc w:val="both"/>
      </w:pPr>
      <w:r>
        <w:rPr/>
        <w:t>We hedge exposures related to our net recognized foreign currency assets and liabilities with foreign exchange forward contracts</w:t>
      </w:r>
      <w:r>
        <w:rPr>
          <w:spacing w:val="-2"/>
        </w:rPr>
        <w:t> </w:t>
      </w:r>
      <w:r>
        <w:rPr/>
        <w:t>to</w:t>
      </w:r>
      <w:r>
        <w:rPr>
          <w:spacing w:val="-2"/>
        </w:rPr>
        <w:t> </w:t>
      </w:r>
      <w:r>
        <w:rPr/>
        <w:t>reduce</w:t>
      </w:r>
      <w:r>
        <w:rPr>
          <w:spacing w:val="-2"/>
        </w:rPr>
        <w:t> </w:t>
      </w:r>
      <w:r>
        <w:rPr/>
        <w:t>the</w:t>
      </w:r>
      <w:r>
        <w:rPr>
          <w:spacing w:val="-2"/>
        </w:rPr>
        <w:t> </w:t>
      </w:r>
      <w:r>
        <w:rPr/>
        <w:t>risk</w:t>
      </w:r>
      <w:r>
        <w:rPr>
          <w:spacing w:val="-2"/>
        </w:rPr>
        <w:t> </w:t>
      </w:r>
      <w:r>
        <w:rPr/>
        <w:t>that</w:t>
      </w:r>
      <w:r>
        <w:rPr>
          <w:spacing w:val="-2"/>
        </w:rPr>
        <w:t> </w:t>
      </w:r>
      <w:r>
        <w:rPr/>
        <w:t>our</w:t>
      </w:r>
      <w:r>
        <w:rPr>
          <w:spacing w:val="-2"/>
        </w:rPr>
        <w:t> </w:t>
      </w:r>
      <w:r>
        <w:rPr/>
        <w:t>earnings</w:t>
      </w:r>
      <w:r>
        <w:rPr>
          <w:spacing w:val="-2"/>
        </w:rPr>
        <w:t> </w:t>
      </w:r>
      <w:r>
        <w:rPr/>
        <w:t>and</w:t>
      </w:r>
      <w:r>
        <w:rPr>
          <w:spacing w:val="-2"/>
        </w:rPr>
        <w:t> </w:t>
      </w:r>
      <w:r>
        <w:rPr/>
        <w:t>cash</w:t>
      </w:r>
      <w:r>
        <w:rPr>
          <w:spacing w:val="-2"/>
        </w:rPr>
        <w:t> </w:t>
      </w:r>
      <w:r>
        <w:rPr/>
        <w:t>flows</w:t>
      </w:r>
      <w:r>
        <w:rPr>
          <w:spacing w:val="-2"/>
        </w:rPr>
        <w:t> </w:t>
      </w:r>
      <w:r>
        <w:rPr/>
        <w:t>will</w:t>
      </w:r>
      <w:r>
        <w:rPr>
          <w:spacing w:val="-2"/>
        </w:rPr>
        <w:t> </w:t>
      </w:r>
      <w:r>
        <w:rPr/>
        <w:t>be</w:t>
      </w:r>
      <w:r>
        <w:rPr>
          <w:spacing w:val="-2"/>
        </w:rPr>
        <w:t> </w:t>
      </w:r>
      <w:r>
        <w:rPr/>
        <w:t>adversely</w:t>
      </w:r>
      <w:r>
        <w:rPr>
          <w:spacing w:val="-2"/>
        </w:rPr>
        <w:t> </w:t>
      </w:r>
      <w:r>
        <w:rPr/>
        <w:t>affected</w:t>
      </w:r>
      <w:r>
        <w:rPr>
          <w:spacing w:val="-2"/>
        </w:rPr>
        <w:t> </w:t>
      </w:r>
      <w:r>
        <w:rPr/>
        <w:t>by</w:t>
      </w:r>
      <w:r>
        <w:rPr>
          <w:spacing w:val="-2"/>
        </w:rPr>
        <w:t> </w:t>
      </w:r>
      <w:r>
        <w:rPr/>
        <w:t>changes</w:t>
      </w:r>
      <w:r>
        <w:rPr>
          <w:spacing w:val="-1"/>
        </w:rPr>
        <w:t> </w:t>
      </w:r>
      <w:r>
        <w:rPr/>
        <w:t>in</w:t>
      </w:r>
      <w:r>
        <w:rPr>
          <w:spacing w:val="-2"/>
        </w:rPr>
        <w:t> </w:t>
      </w:r>
      <w:r>
        <w:rPr/>
        <w:t>foreign</w:t>
      </w:r>
      <w:r>
        <w:rPr>
          <w:spacing w:val="-2"/>
        </w:rPr>
        <w:t> </w:t>
      </w:r>
      <w:r>
        <w:rPr/>
        <w:t>currency</w:t>
      </w:r>
      <w:r>
        <w:rPr>
          <w:spacing w:val="-2"/>
        </w:rPr>
        <w:t> </w:t>
      </w:r>
      <w:r>
        <w:rPr/>
        <w:t>exchange </w:t>
      </w:r>
      <w:r>
        <w:rPr>
          <w:spacing w:val="-2"/>
        </w:rPr>
        <w:t>rates.</w:t>
      </w:r>
      <w:r>
        <w:rPr>
          <w:spacing w:val="-9"/>
        </w:rPr>
        <w:t> </w:t>
      </w:r>
      <w:r>
        <w:rPr>
          <w:spacing w:val="-2"/>
        </w:rPr>
        <w:t>These</w:t>
      </w:r>
      <w:r>
        <w:rPr>
          <w:spacing w:val="-7"/>
        </w:rPr>
        <w:t> </w:t>
      </w:r>
      <w:r>
        <w:rPr>
          <w:spacing w:val="-2"/>
        </w:rPr>
        <w:t>foreign</w:t>
      </w:r>
      <w:r>
        <w:rPr>
          <w:spacing w:val="-7"/>
        </w:rPr>
        <w:t> </w:t>
      </w:r>
      <w:r>
        <w:rPr>
          <w:spacing w:val="-2"/>
        </w:rPr>
        <w:t>exchange</w:t>
      </w:r>
      <w:r>
        <w:rPr>
          <w:spacing w:val="-7"/>
        </w:rPr>
        <w:t> </w:t>
      </w:r>
      <w:r>
        <w:rPr>
          <w:spacing w:val="-2"/>
        </w:rPr>
        <w:t>contracts</w:t>
      </w:r>
      <w:r>
        <w:rPr>
          <w:spacing w:val="-7"/>
        </w:rPr>
        <w:t> </w:t>
      </w:r>
      <w:r>
        <w:rPr>
          <w:spacing w:val="-2"/>
        </w:rPr>
        <w:t>are</w:t>
      </w:r>
      <w:r>
        <w:rPr>
          <w:spacing w:val="-7"/>
        </w:rPr>
        <w:t> </w:t>
      </w:r>
      <w:r>
        <w:rPr>
          <w:spacing w:val="-2"/>
        </w:rPr>
        <w:t>carried</w:t>
      </w:r>
      <w:r>
        <w:rPr>
          <w:spacing w:val="-7"/>
        </w:rPr>
        <w:t> </w:t>
      </w:r>
      <w:r>
        <w:rPr>
          <w:spacing w:val="-2"/>
        </w:rPr>
        <w:t>at</w:t>
      </w:r>
      <w:r>
        <w:rPr>
          <w:spacing w:val="-7"/>
        </w:rPr>
        <w:t> </w:t>
      </w:r>
      <w:r>
        <w:rPr>
          <w:spacing w:val="-2"/>
        </w:rPr>
        <w:t>fair</w:t>
      </w:r>
      <w:r>
        <w:rPr>
          <w:spacing w:val="-7"/>
        </w:rPr>
        <w:t> </w:t>
      </w:r>
      <w:r>
        <w:rPr>
          <w:spacing w:val="-2"/>
        </w:rPr>
        <w:t>value</w:t>
      </w:r>
      <w:r>
        <w:rPr>
          <w:spacing w:val="-7"/>
        </w:rPr>
        <w:t> </w:t>
      </w:r>
      <w:r>
        <w:rPr>
          <w:spacing w:val="-2"/>
        </w:rPr>
        <w:t>with</w:t>
      </w:r>
      <w:r>
        <w:rPr>
          <w:spacing w:val="-7"/>
        </w:rPr>
        <w:t> </w:t>
      </w:r>
      <w:r>
        <w:rPr>
          <w:spacing w:val="-2"/>
        </w:rPr>
        <w:t>changes</w:t>
      </w:r>
      <w:r>
        <w:rPr>
          <w:spacing w:val="-7"/>
        </w:rPr>
        <w:t> </w:t>
      </w:r>
      <w:r>
        <w:rPr>
          <w:spacing w:val="-2"/>
        </w:rPr>
        <w:t>in</w:t>
      </w:r>
      <w:r>
        <w:rPr>
          <w:spacing w:val="-7"/>
        </w:rPr>
        <w:t> </w:t>
      </w:r>
      <w:r>
        <w:rPr>
          <w:spacing w:val="-2"/>
        </w:rPr>
        <w:t>the</w:t>
      </w:r>
      <w:r>
        <w:rPr>
          <w:spacing w:val="-7"/>
        </w:rPr>
        <w:t> </w:t>
      </w:r>
      <w:r>
        <w:rPr>
          <w:spacing w:val="-2"/>
        </w:rPr>
        <w:t>fair</w:t>
      </w:r>
      <w:r>
        <w:rPr>
          <w:spacing w:val="-7"/>
        </w:rPr>
        <w:t> </w:t>
      </w:r>
      <w:r>
        <w:rPr>
          <w:spacing w:val="-2"/>
        </w:rPr>
        <w:t>value</w:t>
      </w:r>
      <w:r>
        <w:rPr>
          <w:spacing w:val="-7"/>
        </w:rPr>
        <w:t> </w:t>
      </w:r>
      <w:r>
        <w:rPr>
          <w:spacing w:val="-2"/>
        </w:rPr>
        <w:t>recorded</w:t>
      </w:r>
      <w:r>
        <w:rPr>
          <w:spacing w:val="-7"/>
        </w:rPr>
        <w:t> </w:t>
      </w:r>
      <w:r>
        <w:rPr>
          <w:spacing w:val="-2"/>
        </w:rPr>
        <w:t>as</w:t>
      </w:r>
      <w:r>
        <w:rPr>
          <w:spacing w:val="-7"/>
        </w:rPr>
        <w:t> </w:t>
      </w:r>
      <w:r>
        <w:rPr>
          <w:spacing w:val="-2"/>
        </w:rPr>
        <w:t>interest</w:t>
      </w:r>
      <w:r>
        <w:rPr>
          <w:spacing w:val="-7"/>
        </w:rPr>
        <w:t> </w:t>
      </w:r>
      <w:r>
        <w:rPr>
          <w:spacing w:val="-2"/>
        </w:rPr>
        <w:t>and</w:t>
      </w:r>
      <w:r>
        <w:rPr>
          <w:spacing w:val="-7"/>
        </w:rPr>
        <w:t> </w:t>
      </w:r>
      <w:r>
        <w:rPr>
          <w:spacing w:val="-2"/>
        </w:rPr>
        <w:t>other</w:t>
      </w:r>
      <w:r>
        <w:rPr>
          <w:spacing w:val="-7"/>
        </w:rPr>
        <w:t> </w:t>
      </w:r>
      <w:r>
        <w:rPr>
          <w:spacing w:val="-2"/>
        </w:rPr>
        <w:t>income, </w:t>
      </w:r>
      <w:r>
        <w:rPr/>
        <w:t>net.</w:t>
      </w:r>
      <w:r>
        <w:rPr>
          <w:spacing w:val="-1"/>
        </w:rPr>
        <w:t> </w:t>
      </w:r>
      <w:r>
        <w:rPr/>
        <w:t>These</w:t>
      </w:r>
      <w:r>
        <w:rPr>
          <w:spacing w:val="3"/>
        </w:rPr>
        <w:t> </w:t>
      </w:r>
      <w:r>
        <w:rPr/>
        <w:t>foreign</w:t>
      </w:r>
      <w:r>
        <w:rPr>
          <w:spacing w:val="3"/>
        </w:rPr>
        <w:t> </w:t>
      </w:r>
      <w:r>
        <w:rPr/>
        <w:t>exchange</w:t>
      </w:r>
      <w:r>
        <w:rPr>
          <w:spacing w:val="2"/>
        </w:rPr>
        <w:t> </w:t>
      </w:r>
      <w:r>
        <w:rPr/>
        <w:t>contracts</w:t>
      </w:r>
      <w:r>
        <w:rPr>
          <w:spacing w:val="3"/>
        </w:rPr>
        <w:t> </w:t>
      </w:r>
      <w:r>
        <w:rPr/>
        <w:t>do</w:t>
      </w:r>
      <w:r>
        <w:rPr>
          <w:spacing w:val="3"/>
        </w:rPr>
        <w:t> </w:t>
      </w:r>
      <w:r>
        <w:rPr/>
        <w:t>not</w:t>
      </w:r>
      <w:r>
        <w:rPr>
          <w:spacing w:val="3"/>
        </w:rPr>
        <w:t> </w:t>
      </w:r>
      <w:r>
        <w:rPr/>
        <w:t>subject</w:t>
      </w:r>
      <w:r>
        <w:rPr>
          <w:spacing w:val="3"/>
        </w:rPr>
        <w:t> </w:t>
      </w:r>
      <w:r>
        <w:rPr/>
        <w:t>us</w:t>
      </w:r>
      <w:r>
        <w:rPr>
          <w:spacing w:val="3"/>
        </w:rPr>
        <w:t> </w:t>
      </w:r>
      <w:r>
        <w:rPr/>
        <w:t>to</w:t>
      </w:r>
      <w:r>
        <w:rPr>
          <w:spacing w:val="4"/>
        </w:rPr>
        <w:t> </w:t>
      </w:r>
      <w:r>
        <w:rPr/>
        <w:t>material</w:t>
      </w:r>
      <w:r>
        <w:rPr>
          <w:spacing w:val="3"/>
        </w:rPr>
        <w:t> </w:t>
      </w:r>
      <w:r>
        <w:rPr/>
        <w:t>balance</w:t>
      </w:r>
      <w:r>
        <w:rPr>
          <w:spacing w:val="2"/>
        </w:rPr>
        <w:t> </w:t>
      </w:r>
      <w:r>
        <w:rPr/>
        <w:t>sheet</w:t>
      </w:r>
      <w:r>
        <w:rPr>
          <w:spacing w:val="3"/>
        </w:rPr>
        <w:t> </w:t>
      </w:r>
      <w:r>
        <w:rPr/>
        <w:t>risk</w:t>
      </w:r>
      <w:r>
        <w:rPr>
          <w:spacing w:val="3"/>
        </w:rPr>
        <w:t> </w:t>
      </w:r>
      <w:r>
        <w:rPr/>
        <w:t>due</w:t>
      </w:r>
      <w:r>
        <w:rPr>
          <w:spacing w:val="3"/>
        </w:rPr>
        <w:t> </w:t>
      </w:r>
      <w:r>
        <w:rPr/>
        <w:t>to</w:t>
      </w:r>
      <w:r>
        <w:rPr>
          <w:spacing w:val="3"/>
        </w:rPr>
        <w:t> </w:t>
      </w:r>
      <w:r>
        <w:rPr/>
        <w:t>exchange</w:t>
      </w:r>
      <w:r>
        <w:rPr>
          <w:spacing w:val="3"/>
        </w:rPr>
        <w:t> </w:t>
      </w:r>
      <w:r>
        <w:rPr/>
        <w:t>rate</w:t>
      </w:r>
      <w:r>
        <w:rPr>
          <w:spacing w:val="3"/>
        </w:rPr>
        <w:t> </w:t>
      </w:r>
      <w:r>
        <w:rPr/>
        <w:t>movements</w:t>
      </w:r>
      <w:r>
        <w:rPr>
          <w:spacing w:val="4"/>
        </w:rPr>
        <w:t> </w:t>
      </w:r>
      <w:r>
        <w:rPr>
          <w:spacing w:val="-2"/>
        </w:rPr>
        <w:t>because</w:t>
      </w:r>
    </w:p>
    <w:p>
      <w:pPr>
        <w:spacing w:after="0" w:line="249" w:lineRule="auto"/>
        <w:jc w:val="both"/>
        <w:sectPr>
          <w:pgSz w:w="12240" w:h="15840"/>
          <w:pgMar w:header="210" w:footer="579" w:top="420" w:bottom="800" w:left="780" w:right="740"/>
        </w:sectPr>
      </w:pPr>
    </w:p>
    <w:p>
      <w:pPr>
        <w:pStyle w:val="BodyText"/>
        <w:spacing w:before="150"/>
      </w:pPr>
    </w:p>
    <w:p>
      <w:pPr>
        <w:pStyle w:val="BodyText"/>
        <w:spacing w:line="249" w:lineRule="auto"/>
        <w:ind w:left="220" w:right="253"/>
      </w:pPr>
      <w:r>
        <w:rPr/>
        <w:t>gains</w:t>
      </w:r>
      <w:r>
        <w:rPr>
          <w:spacing w:val="-14"/>
        </w:rPr>
        <w:t> </w:t>
      </w:r>
      <w:r>
        <w:rPr/>
        <w:t>and</w:t>
      </w:r>
      <w:r>
        <w:rPr>
          <w:spacing w:val="-14"/>
        </w:rPr>
        <w:t> </w:t>
      </w:r>
      <w:r>
        <w:rPr/>
        <w:t>losses</w:t>
      </w:r>
      <w:r>
        <w:rPr>
          <w:spacing w:val="-14"/>
        </w:rPr>
        <w:t> </w:t>
      </w:r>
      <w:r>
        <w:rPr/>
        <w:t>on</w:t>
      </w:r>
      <w:r>
        <w:rPr>
          <w:spacing w:val="-14"/>
        </w:rPr>
        <w:t> </w:t>
      </w:r>
      <w:r>
        <w:rPr/>
        <w:t>these</w:t>
      </w:r>
      <w:r>
        <w:rPr>
          <w:spacing w:val="-14"/>
        </w:rPr>
        <w:t> </w:t>
      </w:r>
      <w:r>
        <w:rPr/>
        <w:t>contracts</w:t>
      </w:r>
      <w:r>
        <w:rPr>
          <w:spacing w:val="-14"/>
        </w:rPr>
        <w:t> </w:t>
      </w:r>
      <w:r>
        <w:rPr/>
        <w:t>are</w:t>
      </w:r>
      <w:r>
        <w:rPr>
          <w:spacing w:val="-14"/>
        </w:rPr>
        <w:t> </w:t>
      </w:r>
      <w:r>
        <w:rPr/>
        <w:t>intended</w:t>
      </w:r>
      <w:r>
        <w:rPr>
          <w:spacing w:val="-14"/>
        </w:rPr>
        <w:t> </w:t>
      </w:r>
      <w:r>
        <w:rPr/>
        <w:t>to</w:t>
      </w:r>
      <w:r>
        <w:rPr>
          <w:spacing w:val="-14"/>
        </w:rPr>
        <w:t> </w:t>
      </w:r>
      <w:r>
        <w:rPr/>
        <w:t>offset</w:t>
      </w:r>
      <w:r>
        <w:rPr>
          <w:spacing w:val="-14"/>
        </w:rPr>
        <w:t> </w:t>
      </w:r>
      <w:r>
        <w:rPr/>
        <w:t>gains</w:t>
      </w:r>
      <w:r>
        <w:rPr>
          <w:spacing w:val="-14"/>
        </w:rPr>
        <w:t> </w:t>
      </w:r>
      <w:r>
        <w:rPr/>
        <w:t>and</w:t>
      </w:r>
      <w:r>
        <w:rPr>
          <w:spacing w:val="-14"/>
        </w:rPr>
        <w:t> </w:t>
      </w:r>
      <w:r>
        <w:rPr/>
        <w:t>losses</w:t>
      </w:r>
      <w:r>
        <w:rPr>
          <w:spacing w:val="-14"/>
        </w:rPr>
        <w:t> </w:t>
      </w:r>
      <w:r>
        <w:rPr/>
        <w:t>on</w:t>
      </w:r>
      <w:r>
        <w:rPr>
          <w:spacing w:val="-14"/>
        </w:rPr>
        <w:t> </w:t>
      </w:r>
      <w:r>
        <w:rPr/>
        <w:t>the</w:t>
      </w:r>
      <w:r>
        <w:rPr>
          <w:spacing w:val="-14"/>
        </w:rPr>
        <w:t> </w:t>
      </w:r>
      <w:r>
        <w:rPr/>
        <w:t>assets</w:t>
      </w:r>
      <w:r>
        <w:rPr>
          <w:spacing w:val="-14"/>
        </w:rPr>
        <w:t> </w:t>
      </w:r>
      <w:r>
        <w:rPr/>
        <w:t>and</w:t>
      </w:r>
      <w:r>
        <w:rPr>
          <w:spacing w:val="-14"/>
        </w:rPr>
        <w:t> </w:t>
      </w:r>
      <w:r>
        <w:rPr/>
        <w:t>liabilities</w:t>
      </w:r>
      <w:r>
        <w:rPr>
          <w:spacing w:val="-14"/>
        </w:rPr>
        <w:t> </w:t>
      </w:r>
      <w:r>
        <w:rPr/>
        <w:t>being</w:t>
      </w:r>
      <w:r>
        <w:rPr>
          <w:spacing w:val="-14"/>
        </w:rPr>
        <w:t> </w:t>
      </w:r>
      <w:r>
        <w:rPr/>
        <w:t>hedged.</w:t>
      </w:r>
      <w:r>
        <w:rPr>
          <w:spacing w:val="-22"/>
        </w:rPr>
        <w:t> </w:t>
      </w:r>
      <w:r>
        <w:rPr/>
        <w:t>At</w:t>
      </w:r>
      <w:r>
        <w:rPr>
          <w:spacing w:val="-14"/>
        </w:rPr>
        <w:t> </w:t>
      </w:r>
      <w:r>
        <w:rPr/>
        <w:t>December</w:t>
      </w:r>
      <w:r>
        <w:rPr>
          <w:spacing w:val="-13"/>
        </w:rPr>
        <w:t> </w:t>
      </w:r>
      <w:r>
        <w:rPr/>
        <w:t>1, 2017, the outstanding balance sheet hedging derivatives had maturities of 180 days or less.</w:t>
      </w:r>
    </w:p>
    <w:p>
      <w:pPr>
        <w:spacing w:before="181"/>
        <w:ind w:left="66" w:right="346" w:firstLine="0"/>
        <w:jc w:val="center"/>
        <w:rPr>
          <w:i/>
          <w:sz w:val="20"/>
        </w:rPr>
      </w:pPr>
      <w:hyperlink w:history="true" w:anchor="_bookmark26">
        <w:r>
          <w:rPr>
            <w:i/>
            <w:sz w:val="20"/>
          </w:rPr>
          <w:t>See</w:t>
        </w:r>
        <w:r>
          <w:rPr>
            <w:i/>
            <w:spacing w:val="-3"/>
            <w:sz w:val="20"/>
          </w:rPr>
          <w:t> </w:t>
        </w:r>
        <w:r>
          <w:rPr>
            <w:i/>
            <w:sz w:val="20"/>
          </w:rPr>
          <w:t>Note</w:t>
        </w:r>
        <w:r>
          <w:rPr>
            <w:i/>
            <w:spacing w:val="-4"/>
            <w:sz w:val="20"/>
          </w:rPr>
          <w:t> </w:t>
        </w:r>
        <w:r>
          <w:rPr>
            <w:i/>
            <w:sz w:val="20"/>
          </w:rPr>
          <w:t>5</w:t>
        </w:r>
        <w:r>
          <w:rPr>
            <w:i/>
            <w:spacing w:val="-2"/>
            <w:sz w:val="20"/>
          </w:rPr>
          <w:t> </w:t>
        </w:r>
        <w:r>
          <w:rPr>
            <w:i/>
            <w:sz w:val="20"/>
          </w:rPr>
          <w:t>of</w:t>
        </w:r>
        <w:r>
          <w:rPr>
            <w:i/>
            <w:spacing w:val="-3"/>
            <w:sz w:val="20"/>
          </w:rPr>
          <w:t> </w:t>
        </w:r>
        <w:r>
          <w:rPr>
            <w:i/>
            <w:sz w:val="20"/>
          </w:rPr>
          <w:t>our</w:t>
        </w:r>
        <w:r>
          <w:rPr>
            <w:i/>
            <w:spacing w:val="-2"/>
            <w:sz w:val="20"/>
          </w:rPr>
          <w:t> </w:t>
        </w:r>
        <w:r>
          <w:rPr>
            <w:i/>
            <w:sz w:val="20"/>
          </w:rPr>
          <w:t>Notes</w:t>
        </w:r>
        <w:r>
          <w:rPr>
            <w:i/>
            <w:spacing w:val="-3"/>
            <w:sz w:val="20"/>
          </w:rPr>
          <w:t> </w:t>
        </w:r>
        <w:r>
          <w:rPr>
            <w:i/>
            <w:sz w:val="20"/>
          </w:rPr>
          <w:t>to</w:t>
        </w:r>
        <w:r>
          <w:rPr>
            <w:i/>
            <w:spacing w:val="-2"/>
            <w:sz w:val="20"/>
          </w:rPr>
          <w:t> </w:t>
        </w:r>
        <w:r>
          <w:rPr>
            <w:i/>
            <w:sz w:val="20"/>
          </w:rPr>
          <w:t>Consolidated</w:t>
        </w:r>
        <w:r>
          <w:rPr>
            <w:i/>
            <w:spacing w:val="-3"/>
            <w:sz w:val="20"/>
          </w:rPr>
          <w:t> </w:t>
        </w:r>
        <w:r>
          <w:rPr>
            <w:i/>
            <w:sz w:val="20"/>
          </w:rPr>
          <w:t>Financial</w:t>
        </w:r>
        <w:r>
          <w:rPr>
            <w:i/>
            <w:spacing w:val="-3"/>
            <w:sz w:val="20"/>
          </w:rPr>
          <w:t> </w:t>
        </w:r>
        <w:r>
          <w:rPr>
            <w:i/>
            <w:sz w:val="20"/>
          </w:rPr>
          <w:t>Statements</w:t>
        </w:r>
        <w:r>
          <w:rPr>
            <w:i/>
            <w:spacing w:val="-3"/>
            <w:sz w:val="20"/>
          </w:rPr>
          <w:t> </w:t>
        </w:r>
        <w:r>
          <w:rPr>
            <w:i/>
            <w:sz w:val="20"/>
          </w:rPr>
          <w:t>for</w:t>
        </w:r>
        <w:r>
          <w:rPr>
            <w:i/>
            <w:spacing w:val="-2"/>
            <w:sz w:val="20"/>
          </w:rPr>
          <w:t> </w:t>
        </w:r>
        <w:r>
          <w:rPr>
            <w:i/>
            <w:sz w:val="20"/>
          </w:rPr>
          <w:t>information</w:t>
        </w:r>
        <w:r>
          <w:rPr>
            <w:i/>
            <w:spacing w:val="-3"/>
            <w:sz w:val="20"/>
          </w:rPr>
          <w:t> </w:t>
        </w:r>
        <w:r>
          <w:rPr>
            <w:i/>
            <w:sz w:val="20"/>
          </w:rPr>
          <w:t>regarding</w:t>
        </w:r>
        <w:r>
          <w:rPr>
            <w:i/>
            <w:spacing w:val="-2"/>
            <w:sz w:val="20"/>
          </w:rPr>
          <w:t> </w:t>
        </w:r>
        <w:r>
          <w:rPr>
            <w:i/>
            <w:sz w:val="20"/>
          </w:rPr>
          <w:t>our</w:t>
        </w:r>
        <w:r>
          <w:rPr>
            <w:i/>
            <w:spacing w:val="-3"/>
            <w:sz w:val="20"/>
          </w:rPr>
          <w:t> </w:t>
        </w:r>
        <w:r>
          <w:rPr>
            <w:i/>
            <w:sz w:val="20"/>
          </w:rPr>
          <w:t>hedging</w:t>
        </w:r>
        <w:r>
          <w:rPr>
            <w:i/>
            <w:spacing w:val="-3"/>
            <w:sz w:val="20"/>
          </w:rPr>
          <w:t> </w:t>
        </w:r>
        <w:r>
          <w:rPr>
            <w:i/>
            <w:spacing w:val="-2"/>
            <w:sz w:val="20"/>
          </w:rPr>
          <w:t>activities.</w:t>
        </w:r>
      </w:hyperlink>
    </w:p>
    <w:p>
      <w:pPr>
        <w:pStyle w:val="Heading2"/>
        <w:spacing w:before="190"/>
      </w:pPr>
      <w:r>
        <w:rPr/>
        <w:t>Interest</w:t>
      </w:r>
      <w:r>
        <w:rPr>
          <w:spacing w:val="-3"/>
        </w:rPr>
        <w:t> </w:t>
      </w:r>
      <w:r>
        <w:rPr/>
        <w:t>Rate</w:t>
      </w:r>
      <w:r>
        <w:rPr>
          <w:spacing w:val="-2"/>
        </w:rPr>
        <w:t> </w:t>
      </w:r>
      <w:r>
        <w:rPr>
          <w:spacing w:val="-4"/>
        </w:rPr>
        <w:t>Risk</w:t>
      </w:r>
    </w:p>
    <w:p>
      <w:pPr>
        <w:spacing w:before="190"/>
        <w:ind w:left="220" w:right="0" w:firstLine="0"/>
        <w:jc w:val="left"/>
        <w:rPr>
          <w:i/>
          <w:sz w:val="20"/>
        </w:rPr>
      </w:pPr>
      <w:r>
        <w:rPr>
          <w:i/>
          <w:sz w:val="20"/>
        </w:rPr>
        <w:t>Short-Term</w:t>
      </w:r>
      <w:r>
        <w:rPr>
          <w:i/>
          <w:spacing w:val="-8"/>
          <w:sz w:val="20"/>
        </w:rPr>
        <w:t> </w:t>
      </w:r>
      <w:r>
        <w:rPr>
          <w:i/>
          <w:sz w:val="20"/>
        </w:rPr>
        <w:t>Investments</w:t>
      </w:r>
      <w:r>
        <w:rPr>
          <w:i/>
          <w:spacing w:val="-7"/>
          <w:sz w:val="20"/>
        </w:rPr>
        <w:t> </w:t>
      </w:r>
      <w:r>
        <w:rPr>
          <w:i/>
          <w:sz w:val="20"/>
        </w:rPr>
        <w:t>and</w:t>
      </w:r>
      <w:r>
        <w:rPr>
          <w:i/>
          <w:spacing w:val="-8"/>
          <w:sz w:val="20"/>
        </w:rPr>
        <w:t> </w:t>
      </w:r>
      <w:r>
        <w:rPr>
          <w:i/>
          <w:sz w:val="20"/>
        </w:rPr>
        <w:t>Fixed</w:t>
      </w:r>
      <w:r>
        <w:rPr>
          <w:i/>
          <w:spacing w:val="-7"/>
          <w:sz w:val="20"/>
        </w:rPr>
        <w:t> </w:t>
      </w:r>
      <w:r>
        <w:rPr>
          <w:i/>
          <w:sz w:val="20"/>
        </w:rPr>
        <w:t>Income</w:t>
      </w:r>
      <w:r>
        <w:rPr>
          <w:i/>
          <w:spacing w:val="-8"/>
          <w:sz w:val="20"/>
        </w:rPr>
        <w:t> </w:t>
      </w:r>
      <w:r>
        <w:rPr>
          <w:i/>
          <w:spacing w:val="-2"/>
          <w:sz w:val="20"/>
        </w:rPr>
        <w:t>Securities</w:t>
      </w:r>
    </w:p>
    <w:p>
      <w:pPr>
        <w:pStyle w:val="BodyText"/>
        <w:spacing w:line="249" w:lineRule="auto" w:before="190"/>
        <w:ind w:left="220" w:right="257" w:firstLine="540"/>
        <w:jc w:val="both"/>
      </w:pPr>
      <w:r>
        <w:rPr/>
        <w:t>At</w:t>
      </w:r>
      <w:r>
        <w:rPr>
          <w:spacing w:val="-12"/>
        </w:rPr>
        <w:t> </w:t>
      </w:r>
      <w:r>
        <w:rPr/>
        <w:t>December</w:t>
      </w:r>
      <w:r>
        <w:rPr>
          <w:spacing w:val="-3"/>
        </w:rPr>
        <w:t> </w:t>
      </w:r>
      <w:r>
        <w:rPr/>
        <w:t>1,</w:t>
      </w:r>
      <w:r>
        <w:rPr>
          <w:spacing w:val="-12"/>
        </w:rPr>
        <w:t> </w:t>
      </w:r>
      <w:r>
        <w:rPr/>
        <w:t>2017,</w:t>
      </w:r>
      <w:r>
        <w:rPr>
          <w:spacing w:val="-11"/>
        </w:rPr>
        <w:t> </w:t>
      </w:r>
      <w:r>
        <w:rPr/>
        <w:t>we</w:t>
      </w:r>
      <w:r>
        <w:rPr>
          <w:spacing w:val="-12"/>
        </w:rPr>
        <w:t> </w:t>
      </w:r>
      <w:r>
        <w:rPr/>
        <w:t>had</w:t>
      </w:r>
      <w:r>
        <w:rPr>
          <w:spacing w:val="-11"/>
        </w:rPr>
        <w:t> </w:t>
      </w:r>
      <w:r>
        <w:rPr/>
        <w:t>debt</w:t>
      </w:r>
      <w:r>
        <w:rPr>
          <w:spacing w:val="-12"/>
        </w:rPr>
        <w:t> </w:t>
      </w:r>
      <w:r>
        <w:rPr/>
        <w:t>securities</w:t>
      </w:r>
      <w:r>
        <w:rPr>
          <w:spacing w:val="-11"/>
        </w:rPr>
        <w:t> </w:t>
      </w:r>
      <w:r>
        <w:rPr/>
        <w:t>classified</w:t>
      </w:r>
      <w:r>
        <w:rPr>
          <w:spacing w:val="-11"/>
        </w:rPr>
        <w:t> </w:t>
      </w:r>
      <w:r>
        <w:rPr/>
        <w:t>as</w:t>
      </w:r>
      <w:r>
        <w:rPr>
          <w:spacing w:val="-11"/>
        </w:rPr>
        <w:t> </w:t>
      </w:r>
      <w:r>
        <w:rPr/>
        <w:t>short-term</w:t>
      </w:r>
      <w:r>
        <w:rPr>
          <w:spacing w:val="-12"/>
        </w:rPr>
        <w:t> </w:t>
      </w:r>
      <w:r>
        <w:rPr/>
        <w:t>investments</w:t>
      </w:r>
      <w:r>
        <w:rPr>
          <w:spacing w:val="-11"/>
        </w:rPr>
        <w:t> </w:t>
      </w:r>
      <w:r>
        <w:rPr/>
        <w:t>of</w:t>
      </w:r>
      <w:r>
        <w:rPr>
          <w:spacing w:val="-11"/>
        </w:rPr>
        <w:t> </w:t>
      </w:r>
      <w:r>
        <w:rPr/>
        <w:t>$3.51</w:t>
      </w:r>
      <w:r>
        <w:rPr>
          <w:spacing w:val="-11"/>
        </w:rPr>
        <w:t> </w:t>
      </w:r>
      <w:r>
        <w:rPr/>
        <w:t>billion.</w:t>
      </w:r>
      <w:r>
        <w:rPr>
          <w:spacing w:val="-11"/>
        </w:rPr>
        <w:t> </w:t>
      </w:r>
      <w:r>
        <w:rPr/>
        <w:t>Changes</w:t>
      </w:r>
      <w:r>
        <w:rPr>
          <w:spacing w:val="-11"/>
        </w:rPr>
        <w:t> </w:t>
      </w:r>
      <w:r>
        <w:rPr/>
        <w:t>in</w:t>
      </w:r>
      <w:r>
        <w:rPr>
          <w:spacing w:val="-11"/>
        </w:rPr>
        <w:t> </w:t>
      </w:r>
      <w:r>
        <w:rPr/>
        <w:t>interest</w:t>
      </w:r>
      <w:r>
        <w:rPr>
          <w:spacing w:val="-12"/>
        </w:rPr>
        <w:t> </w:t>
      </w:r>
      <w:r>
        <w:rPr/>
        <w:t>rates could adversely affect the market value of these investments. The following table separates these investments, based on stated maturities, to show the approximate exposure to interest rates (in millions):</w:t>
      </w:r>
    </w:p>
    <w:p>
      <w:pPr>
        <w:pStyle w:val="BodyText"/>
        <w:spacing w:before="10"/>
        <w:rPr>
          <w:sz w:val="13"/>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0"/>
        <w:gridCol w:w="4440"/>
      </w:tblGrid>
      <w:tr>
        <w:trPr>
          <w:trHeight w:val="280" w:hRule="atLeast"/>
        </w:trPr>
        <w:tc>
          <w:tcPr>
            <w:tcW w:w="5800" w:type="dxa"/>
            <w:shd w:val="clear" w:color="auto" w:fill="CCEDFF"/>
          </w:tcPr>
          <w:p>
            <w:pPr>
              <w:pStyle w:val="TableParagraph"/>
              <w:spacing w:before="2"/>
              <w:ind w:left="50"/>
              <w:rPr>
                <w:sz w:val="20"/>
              </w:rPr>
            </w:pPr>
            <w:r>
              <w:rPr>
                <w:sz w:val="20"/>
              </w:rPr>
              <w:t>Due within one </w:t>
            </w:r>
            <w:r>
              <w:rPr>
                <w:spacing w:val="-4"/>
                <w:sz w:val="20"/>
              </w:rPr>
              <w:t>year</w:t>
            </w:r>
          </w:p>
        </w:tc>
        <w:tc>
          <w:tcPr>
            <w:tcW w:w="4440" w:type="dxa"/>
            <w:shd w:val="clear" w:color="auto" w:fill="CCEDFF"/>
          </w:tcPr>
          <w:p>
            <w:pPr>
              <w:pStyle w:val="TableParagraph"/>
              <w:tabs>
                <w:tab w:pos="672" w:val="left" w:leader="none"/>
              </w:tabs>
              <w:spacing w:before="2"/>
              <w:ind w:right="76"/>
              <w:jc w:val="right"/>
              <w:rPr>
                <w:sz w:val="20"/>
              </w:rPr>
            </w:pPr>
            <w:r>
              <w:rPr>
                <w:spacing w:val="-10"/>
                <w:sz w:val="20"/>
              </w:rPr>
              <w:t>$</w:t>
            </w:r>
            <w:r>
              <w:rPr>
                <w:sz w:val="20"/>
              </w:rPr>
              <w:tab/>
            </w:r>
            <w:r>
              <w:rPr>
                <w:spacing w:val="-2"/>
                <w:sz w:val="20"/>
              </w:rPr>
              <w:t>1,023.7</w:t>
            </w:r>
          </w:p>
        </w:tc>
      </w:tr>
      <w:tr>
        <w:trPr>
          <w:trHeight w:val="280" w:hRule="atLeast"/>
        </w:trPr>
        <w:tc>
          <w:tcPr>
            <w:tcW w:w="5800" w:type="dxa"/>
          </w:tcPr>
          <w:p>
            <w:pPr>
              <w:pStyle w:val="TableParagraph"/>
              <w:spacing w:before="2"/>
              <w:ind w:left="50"/>
              <w:rPr>
                <w:sz w:val="20"/>
              </w:rPr>
            </w:pPr>
            <w:r>
              <w:rPr>
                <w:sz w:val="20"/>
              </w:rPr>
              <w:t>Due between one and two </w:t>
            </w:r>
            <w:r>
              <w:rPr>
                <w:spacing w:val="-2"/>
                <w:sz w:val="20"/>
              </w:rPr>
              <w:t>years</w:t>
            </w:r>
          </w:p>
        </w:tc>
        <w:tc>
          <w:tcPr>
            <w:tcW w:w="4440" w:type="dxa"/>
          </w:tcPr>
          <w:p>
            <w:pPr>
              <w:pStyle w:val="TableParagraph"/>
              <w:spacing w:before="2"/>
              <w:ind w:right="76"/>
              <w:jc w:val="right"/>
              <w:rPr>
                <w:sz w:val="20"/>
              </w:rPr>
            </w:pPr>
            <w:r>
              <w:rPr>
                <w:spacing w:val="-2"/>
                <w:sz w:val="20"/>
              </w:rPr>
              <w:t>1,289.3</w:t>
            </w:r>
          </w:p>
        </w:tc>
      </w:tr>
      <w:tr>
        <w:trPr>
          <w:trHeight w:val="280" w:hRule="atLeast"/>
        </w:trPr>
        <w:tc>
          <w:tcPr>
            <w:tcW w:w="5800" w:type="dxa"/>
            <w:shd w:val="clear" w:color="auto" w:fill="CCEDFF"/>
          </w:tcPr>
          <w:p>
            <w:pPr>
              <w:pStyle w:val="TableParagraph"/>
              <w:spacing w:before="2"/>
              <w:ind w:left="50"/>
              <w:rPr>
                <w:sz w:val="20"/>
              </w:rPr>
            </w:pPr>
            <w:r>
              <w:rPr>
                <w:sz w:val="20"/>
              </w:rPr>
              <w:t>Due between two and three </w:t>
            </w:r>
            <w:r>
              <w:rPr>
                <w:spacing w:val="-2"/>
                <w:sz w:val="20"/>
              </w:rPr>
              <w:t>years</w:t>
            </w:r>
          </w:p>
        </w:tc>
        <w:tc>
          <w:tcPr>
            <w:tcW w:w="4440" w:type="dxa"/>
            <w:shd w:val="clear" w:color="auto" w:fill="CCEDFF"/>
          </w:tcPr>
          <w:p>
            <w:pPr>
              <w:pStyle w:val="TableParagraph"/>
              <w:spacing w:before="2"/>
              <w:ind w:right="76"/>
              <w:jc w:val="right"/>
              <w:rPr>
                <w:sz w:val="20"/>
              </w:rPr>
            </w:pPr>
            <w:r>
              <w:rPr>
                <w:spacing w:val="-2"/>
                <w:sz w:val="20"/>
              </w:rPr>
              <w:t>812.8</w:t>
            </w:r>
          </w:p>
        </w:tc>
      </w:tr>
      <w:tr>
        <w:trPr>
          <w:trHeight w:val="280" w:hRule="atLeast"/>
        </w:trPr>
        <w:tc>
          <w:tcPr>
            <w:tcW w:w="5800" w:type="dxa"/>
          </w:tcPr>
          <w:p>
            <w:pPr>
              <w:pStyle w:val="TableParagraph"/>
              <w:spacing w:before="2"/>
              <w:ind w:left="50"/>
              <w:rPr>
                <w:sz w:val="20"/>
              </w:rPr>
            </w:pPr>
            <w:r>
              <w:rPr>
                <w:sz w:val="20"/>
              </w:rPr>
              <w:t>Due after three </w:t>
            </w:r>
            <w:r>
              <w:rPr>
                <w:spacing w:val="-2"/>
                <w:sz w:val="20"/>
              </w:rPr>
              <w:t>years</w:t>
            </w:r>
          </w:p>
        </w:tc>
        <w:tc>
          <w:tcPr>
            <w:tcW w:w="4440" w:type="dxa"/>
          </w:tcPr>
          <w:p>
            <w:pPr>
              <w:pStyle w:val="TableParagraph"/>
              <w:spacing w:before="2"/>
              <w:ind w:right="76"/>
              <w:jc w:val="right"/>
              <w:rPr>
                <w:sz w:val="20"/>
              </w:rPr>
            </w:pPr>
            <w:r>
              <w:rPr>
                <w:spacing w:val="-2"/>
                <w:sz w:val="20"/>
              </w:rPr>
              <w:t>387.9</w:t>
            </w:r>
          </w:p>
        </w:tc>
      </w:tr>
      <w:tr>
        <w:trPr>
          <w:trHeight w:val="230" w:hRule="atLeast"/>
        </w:trPr>
        <w:tc>
          <w:tcPr>
            <w:tcW w:w="5800" w:type="dxa"/>
            <w:shd w:val="clear" w:color="auto" w:fill="CCEDFF"/>
          </w:tcPr>
          <w:p>
            <w:pPr>
              <w:pStyle w:val="TableParagraph"/>
              <w:spacing w:line="208" w:lineRule="exact" w:before="2"/>
              <w:ind w:left="170"/>
              <w:rPr>
                <w:sz w:val="20"/>
              </w:rPr>
            </w:pPr>
            <w:r>
              <w:rPr>
                <w:spacing w:val="-2"/>
                <w:sz w:val="20"/>
              </w:rPr>
              <w:t>Total</w:t>
            </w:r>
          </w:p>
        </w:tc>
        <w:tc>
          <w:tcPr>
            <w:tcW w:w="4440" w:type="dxa"/>
            <w:tcBorders>
              <w:bottom w:val="double" w:sz="8" w:space="0" w:color="000000"/>
            </w:tcBorders>
            <w:shd w:val="clear" w:color="auto" w:fill="CCEDFF"/>
          </w:tcPr>
          <w:p>
            <w:pPr>
              <w:pStyle w:val="TableParagraph"/>
              <w:tabs>
                <w:tab w:pos="672" w:val="left" w:leader="none"/>
              </w:tabs>
              <w:spacing w:line="208" w:lineRule="exact" w:before="2"/>
              <w:ind w:right="76"/>
              <w:jc w:val="right"/>
              <w:rPr>
                <w:sz w:val="20"/>
              </w:rPr>
            </w:pPr>
            <w:r>
              <w:rPr>
                <w:spacing w:val="-10"/>
                <w:sz w:val="20"/>
              </w:rPr>
              <w:t>$</w:t>
            </w:r>
            <w:r>
              <w:rPr>
                <w:sz w:val="20"/>
              </w:rPr>
              <w:tab/>
            </w:r>
            <w:r>
              <w:rPr>
                <w:spacing w:val="-2"/>
                <w:sz w:val="20"/>
              </w:rPr>
              <w:t>3,513.7</w:t>
            </w:r>
          </w:p>
        </w:tc>
      </w:tr>
    </w:tbl>
    <w:p>
      <w:pPr>
        <w:pStyle w:val="BodyText"/>
        <w:spacing w:line="249" w:lineRule="auto" w:before="213"/>
        <w:ind w:left="220" w:right="257" w:firstLine="540"/>
        <w:jc w:val="both"/>
      </w:pPr>
      <w:r>
        <w:rPr/>
        <w:t>A sensitivity analysis was performed on our investment portfolio as of December</w:t>
      </w:r>
      <w:r>
        <w:rPr>
          <w:spacing w:val="-2"/>
        </w:rPr>
        <w:t> </w:t>
      </w:r>
      <w:r>
        <w:rPr/>
        <w:t>1, 2017. The analysis is based on an estimate</w:t>
      </w:r>
      <w:r>
        <w:rPr>
          <w:spacing w:val="-12"/>
        </w:rPr>
        <w:t> </w:t>
      </w:r>
      <w:r>
        <w:rPr/>
        <w:t>of</w:t>
      </w:r>
      <w:r>
        <w:rPr>
          <w:spacing w:val="-12"/>
        </w:rPr>
        <w:t> </w:t>
      </w:r>
      <w:r>
        <w:rPr/>
        <w:t>the</w:t>
      </w:r>
      <w:r>
        <w:rPr>
          <w:spacing w:val="-12"/>
        </w:rPr>
        <w:t> </w:t>
      </w:r>
      <w:r>
        <w:rPr/>
        <w:t>hypothetical</w:t>
      </w:r>
      <w:r>
        <w:rPr>
          <w:spacing w:val="-12"/>
        </w:rPr>
        <w:t> </w:t>
      </w:r>
      <w:r>
        <w:rPr/>
        <w:t>changes</w:t>
      </w:r>
      <w:r>
        <w:rPr>
          <w:spacing w:val="-12"/>
        </w:rPr>
        <w:t> </w:t>
      </w:r>
      <w:r>
        <w:rPr/>
        <w:t>in</w:t>
      </w:r>
      <w:r>
        <w:rPr>
          <w:spacing w:val="-12"/>
        </w:rPr>
        <w:t> </w:t>
      </w:r>
      <w:r>
        <w:rPr/>
        <w:t>market</w:t>
      </w:r>
      <w:r>
        <w:rPr>
          <w:spacing w:val="-12"/>
        </w:rPr>
        <w:t> </w:t>
      </w:r>
      <w:r>
        <w:rPr/>
        <w:t>value</w:t>
      </w:r>
      <w:r>
        <w:rPr>
          <w:spacing w:val="-12"/>
        </w:rPr>
        <w:t> </w:t>
      </w:r>
      <w:r>
        <w:rPr/>
        <w:t>of</w:t>
      </w:r>
      <w:r>
        <w:rPr>
          <w:spacing w:val="-12"/>
        </w:rPr>
        <w:t> </w:t>
      </w:r>
      <w:r>
        <w:rPr/>
        <w:t>the</w:t>
      </w:r>
      <w:r>
        <w:rPr>
          <w:spacing w:val="-12"/>
        </w:rPr>
        <w:t> </w:t>
      </w:r>
      <w:r>
        <w:rPr/>
        <w:t>portfolio</w:t>
      </w:r>
      <w:r>
        <w:rPr>
          <w:spacing w:val="-12"/>
        </w:rPr>
        <w:t> </w:t>
      </w:r>
      <w:r>
        <w:rPr/>
        <w:t>that</w:t>
      </w:r>
      <w:r>
        <w:rPr>
          <w:spacing w:val="-12"/>
        </w:rPr>
        <w:t> </w:t>
      </w:r>
      <w:r>
        <w:rPr/>
        <w:t>would</w:t>
      </w:r>
      <w:r>
        <w:rPr>
          <w:spacing w:val="-12"/>
        </w:rPr>
        <w:t> </w:t>
      </w:r>
      <w:r>
        <w:rPr/>
        <w:t>result</w:t>
      </w:r>
      <w:r>
        <w:rPr>
          <w:spacing w:val="-12"/>
        </w:rPr>
        <w:t> </w:t>
      </w:r>
      <w:r>
        <w:rPr/>
        <w:t>from</w:t>
      </w:r>
      <w:r>
        <w:rPr>
          <w:spacing w:val="-12"/>
        </w:rPr>
        <w:t> </w:t>
      </w:r>
      <w:r>
        <w:rPr/>
        <w:t>an</w:t>
      </w:r>
      <w:r>
        <w:rPr>
          <w:spacing w:val="-12"/>
        </w:rPr>
        <w:t> </w:t>
      </w:r>
      <w:r>
        <w:rPr/>
        <w:t>immediate</w:t>
      </w:r>
      <w:r>
        <w:rPr>
          <w:spacing w:val="-12"/>
        </w:rPr>
        <w:t> </w:t>
      </w:r>
      <w:r>
        <w:rPr/>
        <w:t>parallel</w:t>
      </w:r>
      <w:r>
        <w:rPr>
          <w:spacing w:val="-12"/>
        </w:rPr>
        <w:t> </w:t>
      </w:r>
      <w:r>
        <w:rPr/>
        <w:t>shift</w:t>
      </w:r>
      <w:r>
        <w:rPr>
          <w:spacing w:val="-12"/>
        </w:rPr>
        <w:t> </w:t>
      </w:r>
      <w:r>
        <w:rPr/>
        <w:t>in</w:t>
      </w:r>
      <w:r>
        <w:rPr>
          <w:spacing w:val="-12"/>
        </w:rPr>
        <w:t> </w:t>
      </w:r>
      <w:r>
        <w:rPr/>
        <w:t>the</w:t>
      </w:r>
      <w:r>
        <w:rPr>
          <w:spacing w:val="-12"/>
        </w:rPr>
        <w:t> </w:t>
      </w:r>
      <w:r>
        <w:rPr/>
        <w:t>yield curve of various magnitudes.</w:t>
      </w:r>
    </w:p>
    <w:p>
      <w:pPr>
        <w:pStyle w:val="BodyText"/>
        <w:spacing w:line="249" w:lineRule="auto" w:before="182"/>
        <w:ind w:left="220" w:right="257" w:firstLine="540"/>
        <w:jc w:val="both"/>
      </w:pPr>
      <w:r>
        <w:rPr>
          <w:spacing w:val="-2"/>
        </w:rPr>
        <w:t>The</w:t>
      </w:r>
      <w:r>
        <w:rPr>
          <w:spacing w:val="-5"/>
        </w:rPr>
        <w:t> </w:t>
      </w:r>
      <w:r>
        <w:rPr>
          <w:spacing w:val="-2"/>
        </w:rPr>
        <w:t>following</w:t>
      </w:r>
      <w:r>
        <w:rPr>
          <w:spacing w:val="-5"/>
        </w:rPr>
        <w:t> </w:t>
      </w:r>
      <w:r>
        <w:rPr>
          <w:spacing w:val="-2"/>
        </w:rPr>
        <w:t>tables</w:t>
      </w:r>
      <w:r>
        <w:rPr>
          <w:spacing w:val="-5"/>
        </w:rPr>
        <w:t> </w:t>
      </w:r>
      <w:r>
        <w:rPr>
          <w:spacing w:val="-2"/>
        </w:rPr>
        <w:t>present</w:t>
      </w:r>
      <w:r>
        <w:rPr>
          <w:spacing w:val="-5"/>
        </w:rPr>
        <w:t> </w:t>
      </w:r>
      <w:r>
        <w:rPr>
          <w:spacing w:val="-2"/>
        </w:rPr>
        <w:t>the</w:t>
      </w:r>
      <w:r>
        <w:rPr>
          <w:spacing w:val="-5"/>
        </w:rPr>
        <w:t> </w:t>
      </w:r>
      <w:r>
        <w:rPr>
          <w:spacing w:val="-2"/>
        </w:rPr>
        <w:t>hypothetical</w:t>
      </w:r>
      <w:r>
        <w:rPr>
          <w:spacing w:val="-6"/>
        </w:rPr>
        <w:t> </w:t>
      </w:r>
      <w:r>
        <w:rPr>
          <w:spacing w:val="-2"/>
        </w:rPr>
        <w:t>fair</w:t>
      </w:r>
      <w:r>
        <w:rPr>
          <w:spacing w:val="-5"/>
        </w:rPr>
        <w:t> </w:t>
      </w:r>
      <w:r>
        <w:rPr>
          <w:spacing w:val="-2"/>
        </w:rPr>
        <w:t>values</w:t>
      </w:r>
      <w:r>
        <w:rPr>
          <w:spacing w:val="-5"/>
        </w:rPr>
        <w:t> </w:t>
      </w:r>
      <w:r>
        <w:rPr>
          <w:spacing w:val="-2"/>
        </w:rPr>
        <w:t>of</w:t>
      </w:r>
      <w:r>
        <w:rPr>
          <w:spacing w:val="-5"/>
        </w:rPr>
        <w:t> </w:t>
      </w:r>
      <w:r>
        <w:rPr>
          <w:spacing w:val="-2"/>
        </w:rPr>
        <w:t>our</w:t>
      </w:r>
      <w:r>
        <w:rPr>
          <w:spacing w:val="-5"/>
        </w:rPr>
        <w:t> </w:t>
      </w:r>
      <w:r>
        <w:rPr>
          <w:spacing w:val="-2"/>
        </w:rPr>
        <w:t>debt</w:t>
      </w:r>
      <w:r>
        <w:rPr>
          <w:spacing w:val="-5"/>
        </w:rPr>
        <w:t> </w:t>
      </w:r>
      <w:r>
        <w:rPr>
          <w:spacing w:val="-2"/>
        </w:rPr>
        <w:t>securities</w:t>
      </w:r>
      <w:r>
        <w:rPr>
          <w:spacing w:val="-5"/>
        </w:rPr>
        <w:t> </w:t>
      </w:r>
      <w:r>
        <w:rPr>
          <w:spacing w:val="-2"/>
        </w:rPr>
        <w:t>classified</w:t>
      </w:r>
      <w:r>
        <w:rPr>
          <w:spacing w:val="-5"/>
        </w:rPr>
        <w:t> </w:t>
      </w:r>
      <w:r>
        <w:rPr>
          <w:spacing w:val="-2"/>
        </w:rPr>
        <w:t>as</w:t>
      </w:r>
      <w:r>
        <w:rPr>
          <w:spacing w:val="-5"/>
        </w:rPr>
        <w:t> </w:t>
      </w:r>
      <w:r>
        <w:rPr>
          <w:spacing w:val="-2"/>
        </w:rPr>
        <w:t>short-term</w:t>
      </w:r>
      <w:r>
        <w:rPr>
          <w:spacing w:val="-6"/>
        </w:rPr>
        <w:t> </w:t>
      </w:r>
      <w:r>
        <w:rPr>
          <w:spacing w:val="-2"/>
        </w:rPr>
        <w:t>investments</w:t>
      </w:r>
      <w:r>
        <w:rPr>
          <w:spacing w:val="-5"/>
        </w:rPr>
        <w:t> </w:t>
      </w:r>
      <w:r>
        <w:rPr>
          <w:spacing w:val="-2"/>
        </w:rPr>
        <w:t>assuming </w:t>
      </w:r>
      <w:r>
        <w:rPr/>
        <w:t>immediate parallel shifts in the yield curve of 50 basis points (“BPS”), 100 BPS and 150 BPS.</w:t>
      </w:r>
      <w:r>
        <w:rPr>
          <w:spacing w:val="-5"/>
        </w:rPr>
        <w:t> </w:t>
      </w:r>
      <w:r>
        <w:rPr/>
        <w:t>The analysis is shown as of December 1, 2017 and December 2, 2016 (dollars in millions):</w:t>
      </w:r>
    </w:p>
    <w:p>
      <w:pPr>
        <w:pStyle w:val="BodyText"/>
        <w:spacing w:before="162"/>
        <w:ind w:right="226"/>
        <w:jc w:val="center"/>
      </w:pPr>
      <w:r>
        <w:rPr/>
        <w:t>Fair</w:t>
      </w:r>
      <w:r>
        <w:rPr>
          <w:spacing w:val="-2"/>
        </w:rPr>
        <w:t> </w:t>
      </w:r>
      <w:r>
        <w:rPr>
          <w:spacing w:val="-4"/>
        </w:rPr>
        <w:t>Value</w:t>
      </w: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1460"/>
        <w:gridCol w:w="1700"/>
        <w:gridCol w:w="1219"/>
        <w:gridCol w:w="1459"/>
        <w:gridCol w:w="1539"/>
        <w:gridCol w:w="1452"/>
      </w:tblGrid>
      <w:tr>
        <w:trPr>
          <w:trHeight w:val="261" w:hRule="atLeast"/>
        </w:trPr>
        <w:tc>
          <w:tcPr>
            <w:tcW w:w="1407" w:type="dxa"/>
            <w:tcBorders>
              <w:bottom w:val="single" w:sz="8" w:space="0" w:color="000000"/>
            </w:tcBorders>
          </w:tcPr>
          <w:p>
            <w:pPr>
              <w:pStyle w:val="TableParagraph"/>
              <w:spacing w:line="198" w:lineRule="exact"/>
              <w:ind w:right="46"/>
              <w:jc w:val="center"/>
              <w:rPr>
                <w:sz w:val="20"/>
              </w:rPr>
            </w:pPr>
            <w:r>
              <w:rPr>
                <w:sz w:val="20"/>
              </w:rPr>
              <w:t>-150 </w:t>
            </w:r>
            <w:r>
              <w:rPr>
                <w:spacing w:val="-5"/>
                <w:sz w:val="20"/>
              </w:rPr>
              <w:t>BPS</w:t>
            </w:r>
          </w:p>
        </w:tc>
        <w:tc>
          <w:tcPr>
            <w:tcW w:w="1460" w:type="dxa"/>
            <w:tcBorders>
              <w:bottom w:val="single" w:sz="8" w:space="0" w:color="000000"/>
            </w:tcBorders>
          </w:tcPr>
          <w:p>
            <w:pPr>
              <w:pStyle w:val="TableParagraph"/>
              <w:spacing w:line="198" w:lineRule="exact"/>
              <w:ind w:left="4"/>
              <w:jc w:val="center"/>
              <w:rPr>
                <w:sz w:val="20"/>
              </w:rPr>
            </w:pPr>
            <w:r>
              <w:rPr>
                <w:sz w:val="20"/>
              </w:rPr>
              <w:t>-100 </w:t>
            </w:r>
            <w:r>
              <w:rPr>
                <w:spacing w:val="-5"/>
                <w:sz w:val="20"/>
              </w:rPr>
              <w:t>BPS</w:t>
            </w:r>
          </w:p>
        </w:tc>
        <w:tc>
          <w:tcPr>
            <w:tcW w:w="1700" w:type="dxa"/>
            <w:tcBorders>
              <w:bottom w:val="single" w:sz="8" w:space="0" w:color="000000"/>
            </w:tcBorders>
          </w:tcPr>
          <w:p>
            <w:pPr>
              <w:pStyle w:val="TableParagraph"/>
              <w:spacing w:line="198" w:lineRule="exact"/>
              <w:ind w:left="346"/>
              <w:rPr>
                <w:sz w:val="20"/>
              </w:rPr>
            </w:pPr>
            <w:r>
              <w:rPr>
                <w:sz w:val="20"/>
              </w:rPr>
              <w:t>-50 </w:t>
            </w:r>
            <w:r>
              <w:rPr>
                <w:spacing w:val="-5"/>
                <w:sz w:val="20"/>
              </w:rPr>
              <w:t>BPS</w:t>
            </w:r>
          </w:p>
        </w:tc>
        <w:tc>
          <w:tcPr>
            <w:tcW w:w="1219" w:type="dxa"/>
            <w:tcBorders>
              <w:bottom w:val="single" w:sz="8" w:space="0" w:color="000000"/>
            </w:tcBorders>
          </w:tcPr>
          <w:p>
            <w:pPr>
              <w:pStyle w:val="TableParagraph"/>
              <w:spacing w:line="200" w:lineRule="exact"/>
              <w:ind w:left="136"/>
              <w:rPr>
                <w:sz w:val="20"/>
              </w:rPr>
            </w:pPr>
            <w:r>
              <w:rPr>
                <w:spacing w:val="-2"/>
                <w:sz w:val="20"/>
              </w:rPr>
              <w:t>12/1/17</w:t>
            </w:r>
          </w:p>
        </w:tc>
        <w:tc>
          <w:tcPr>
            <w:tcW w:w="1459" w:type="dxa"/>
            <w:tcBorders>
              <w:bottom w:val="single" w:sz="8" w:space="0" w:color="000000"/>
            </w:tcBorders>
          </w:tcPr>
          <w:p>
            <w:pPr>
              <w:pStyle w:val="TableParagraph"/>
              <w:spacing w:line="198" w:lineRule="exact"/>
              <w:ind w:left="7"/>
              <w:jc w:val="center"/>
              <w:rPr>
                <w:sz w:val="20"/>
              </w:rPr>
            </w:pPr>
            <w:r>
              <w:rPr>
                <w:sz w:val="20"/>
              </w:rPr>
              <w:t>+50 </w:t>
            </w:r>
            <w:r>
              <w:rPr>
                <w:spacing w:val="-5"/>
                <w:sz w:val="20"/>
              </w:rPr>
              <w:t>BPS</w:t>
            </w:r>
          </w:p>
        </w:tc>
        <w:tc>
          <w:tcPr>
            <w:tcW w:w="1539" w:type="dxa"/>
            <w:tcBorders>
              <w:bottom w:val="single" w:sz="8" w:space="0" w:color="000000"/>
            </w:tcBorders>
          </w:tcPr>
          <w:p>
            <w:pPr>
              <w:pStyle w:val="TableParagraph"/>
              <w:spacing w:line="198" w:lineRule="exact"/>
              <w:ind w:left="9"/>
              <w:jc w:val="center"/>
              <w:rPr>
                <w:sz w:val="20"/>
              </w:rPr>
            </w:pPr>
            <w:r>
              <w:rPr>
                <w:sz w:val="20"/>
              </w:rPr>
              <w:t>+100 </w:t>
            </w:r>
            <w:r>
              <w:rPr>
                <w:spacing w:val="-5"/>
                <w:sz w:val="20"/>
              </w:rPr>
              <w:t>BPS</w:t>
            </w:r>
          </w:p>
        </w:tc>
        <w:tc>
          <w:tcPr>
            <w:tcW w:w="1452" w:type="dxa"/>
            <w:tcBorders>
              <w:bottom w:val="single" w:sz="8" w:space="0" w:color="000000"/>
            </w:tcBorders>
          </w:tcPr>
          <w:p>
            <w:pPr>
              <w:pStyle w:val="TableParagraph"/>
              <w:spacing w:line="198" w:lineRule="exact"/>
              <w:ind w:left="38"/>
              <w:jc w:val="center"/>
              <w:rPr>
                <w:sz w:val="20"/>
              </w:rPr>
            </w:pPr>
            <w:r>
              <w:rPr>
                <w:sz w:val="20"/>
              </w:rPr>
              <w:t>+150 </w:t>
            </w:r>
            <w:r>
              <w:rPr>
                <w:spacing w:val="-5"/>
                <w:sz w:val="20"/>
              </w:rPr>
              <w:t>BPS</w:t>
            </w:r>
          </w:p>
        </w:tc>
      </w:tr>
      <w:tr>
        <w:trPr>
          <w:trHeight w:val="270" w:hRule="atLeast"/>
        </w:trPr>
        <w:tc>
          <w:tcPr>
            <w:tcW w:w="1407" w:type="dxa"/>
            <w:tcBorders>
              <w:top w:val="single" w:sz="8" w:space="0" w:color="000000"/>
            </w:tcBorders>
            <w:shd w:val="clear" w:color="auto" w:fill="CCEDFF"/>
          </w:tcPr>
          <w:p>
            <w:pPr>
              <w:pStyle w:val="TableParagraph"/>
              <w:tabs>
                <w:tab w:pos="652" w:val="left" w:leader="none"/>
              </w:tabs>
              <w:spacing w:line="198" w:lineRule="exact"/>
              <w:ind w:right="53"/>
              <w:jc w:val="center"/>
              <w:rPr>
                <w:sz w:val="20"/>
              </w:rPr>
            </w:pPr>
            <w:r>
              <w:rPr>
                <w:spacing w:val="-10"/>
                <w:sz w:val="20"/>
              </w:rPr>
              <w:t>$</w:t>
            </w:r>
            <w:r>
              <w:rPr>
                <w:sz w:val="20"/>
              </w:rPr>
              <w:tab/>
            </w:r>
            <w:r>
              <w:rPr>
                <w:spacing w:val="-2"/>
                <w:sz w:val="20"/>
              </w:rPr>
              <w:t>3,595.2</w:t>
            </w:r>
          </w:p>
        </w:tc>
        <w:tc>
          <w:tcPr>
            <w:tcW w:w="1460" w:type="dxa"/>
            <w:tcBorders>
              <w:top w:val="single" w:sz="8" w:space="0" w:color="000000"/>
            </w:tcBorders>
            <w:shd w:val="clear" w:color="auto" w:fill="CCEDFF"/>
          </w:tcPr>
          <w:p>
            <w:pPr>
              <w:pStyle w:val="TableParagraph"/>
              <w:tabs>
                <w:tab w:pos="652" w:val="left" w:leader="none"/>
              </w:tabs>
              <w:spacing w:line="198" w:lineRule="exact"/>
              <w:jc w:val="center"/>
              <w:rPr>
                <w:sz w:val="20"/>
              </w:rPr>
            </w:pPr>
            <w:r>
              <w:rPr>
                <w:spacing w:val="-10"/>
                <w:sz w:val="20"/>
              </w:rPr>
              <w:t>$</w:t>
            </w:r>
            <w:r>
              <w:rPr>
                <w:sz w:val="20"/>
              </w:rPr>
              <w:tab/>
            </w:r>
            <w:r>
              <w:rPr>
                <w:spacing w:val="-2"/>
                <w:sz w:val="20"/>
              </w:rPr>
              <w:t>3,568.1</w:t>
            </w:r>
          </w:p>
        </w:tc>
        <w:tc>
          <w:tcPr>
            <w:tcW w:w="1700" w:type="dxa"/>
            <w:tcBorders>
              <w:top w:val="single" w:sz="8" w:space="0" w:color="000000"/>
            </w:tcBorders>
            <w:shd w:val="clear" w:color="auto" w:fill="CCEDFF"/>
          </w:tcPr>
          <w:p>
            <w:pPr>
              <w:pStyle w:val="TableParagraph"/>
              <w:tabs>
                <w:tab w:pos="655" w:val="left" w:leader="none"/>
                <w:tab w:pos="1462" w:val="left" w:leader="none"/>
              </w:tabs>
              <w:spacing w:line="198" w:lineRule="exact"/>
              <w:ind w:left="103"/>
              <w:rPr>
                <w:sz w:val="20"/>
              </w:rPr>
            </w:pPr>
            <w:r>
              <w:rPr>
                <w:spacing w:val="-10"/>
                <w:sz w:val="20"/>
              </w:rPr>
              <w:t>$</w:t>
            </w:r>
            <w:r>
              <w:rPr>
                <w:sz w:val="20"/>
              </w:rPr>
              <w:tab/>
            </w:r>
            <w:r>
              <w:rPr>
                <w:spacing w:val="-2"/>
                <w:sz w:val="20"/>
              </w:rPr>
              <w:t>3,540.9</w:t>
            </w:r>
            <w:r>
              <w:rPr>
                <w:sz w:val="20"/>
              </w:rPr>
              <w:tab/>
            </w:r>
            <w:r>
              <w:rPr>
                <w:spacing w:val="-10"/>
                <w:sz w:val="20"/>
              </w:rPr>
              <w:t>$</w:t>
            </w:r>
          </w:p>
        </w:tc>
        <w:tc>
          <w:tcPr>
            <w:tcW w:w="1219" w:type="dxa"/>
            <w:tcBorders>
              <w:top w:val="single" w:sz="8" w:space="0" w:color="000000"/>
            </w:tcBorders>
            <w:shd w:val="clear" w:color="auto" w:fill="CCEDFF"/>
          </w:tcPr>
          <w:p>
            <w:pPr>
              <w:pStyle w:val="TableParagraph"/>
              <w:spacing w:line="198" w:lineRule="exact"/>
              <w:ind w:right="102"/>
              <w:jc w:val="right"/>
              <w:rPr>
                <w:sz w:val="20"/>
              </w:rPr>
            </w:pPr>
            <w:r>
              <w:rPr>
                <w:spacing w:val="-2"/>
                <w:sz w:val="20"/>
              </w:rPr>
              <w:t>3,513.7</w:t>
            </w:r>
          </w:p>
        </w:tc>
        <w:tc>
          <w:tcPr>
            <w:tcW w:w="1459" w:type="dxa"/>
            <w:tcBorders>
              <w:top w:val="single" w:sz="8" w:space="0" w:color="000000"/>
            </w:tcBorders>
            <w:shd w:val="clear" w:color="auto" w:fill="CCEDFF"/>
          </w:tcPr>
          <w:p>
            <w:pPr>
              <w:pStyle w:val="TableParagraph"/>
              <w:tabs>
                <w:tab w:pos="654" w:val="left" w:leader="none"/>
              </w:tabs>
              <w:spacing w:line="198" w:lineRule="exact"/>
              <w:ind w:left="2"/>
              <w:jc w:val="center"/>
              <w:rPr>
                <w:sz w:val="20"/>
              </w:rPr>
            </w:pPr>
            <w:r>
              <w:rPr>
                <w:spacing w:val="-10"/>
                <w:sz w:val="20"/>
              </w:rPr>
              <w:t>$</w:t>
            </w:r>
            <w:r>
              <w:rPr>
                <w:sz w:val="20"/>
              </w:rPr>
              <w:tab/>
            </w:r>
            <w:r>
              <w:rPr>
                <w:spacing w:val="-2"/>
                <w:sz w:val="20"/>
              </w:rPr>
              <w:t>3,486.5</w:t>
            </w:r>
          </w:p>
        </w:tc>
        <w:tc>
          <w:tcPr>
            <w:tcW w:w="1539" w:type="dxa"/>
            <w:tcBorders>
              <w:top w:val="single" w:sz="8" w:space="0" w:color="000000"/>
            </w:tcBorders>
            <w:shd w:val="clear" w:color="auto" w:fill="CCEDFF"/>
          </w:tcPr>
          <w:p>
            <w:pPr>
              <w:pStyle w:val="TableParagraph"/>
              <w:tabs>
                <w:tab w:pos="736" w:val="left" w:leader="none"/>
              </w:tabs>
              <w:spacing w:line="198" w:lineRule="exact"/>
              <w:ind w:left="4"/>
              <w:jc w:val="center"/>
              <w:rPr>
                <w:sz w:val="20"/>
              </w:rPr>
            </w:pPr>
            <w:r>
              <w:rPr>
                <w:spacing w:val="-10"/>
                <w:sz w:val="20"/>
              </w:rPr>
              <w:t>$</w:t>
            </w:r>
            <w:r>
              <w:rPr>
                <w:sz w:val="20"/>
              </w:rPr>
              <w:tab/>
            </w:r>
            <w:r>
              <w:rPr>
                <w:spacing w:val="-2"/>
                <w:sz w:val="20"/>
              </w:rPr>
              <w:t>3,459.3</w:t>
            </w:r>
          </w:p>
        </w:tc>
        <w:tc>
          <w:tcPr>
            <w:tcW w:w="1452" w:type="dxa"/>
            <w:tcBorders>
              <w:top w:val="single" w:sz="8" w:space="0" w:color="000000"/>
            </w:tcBorders>
            <w:shd w:val="clear" w:color="auto" w:fill="CCEDFF"/>
          </w:tcPr>
          <w:p>
            <w:pPr>
              <w:pStyle w:val="TableParagraph"/>
              <w:tabs>
                <w:tab w:pos="705" w:val="left" w:leader="none"/>
              </w:tabs>
              <w:spacing w:line="198" w:lineRule="exact"/>
              <w:ind w:left="33"/>
              <w:jc w:val="center"/>
              <w:rPr>
                <w:sz w:val="20"/>
              </w:rPr>
            </w:pPr>
            <w:r>
              <w:rPr>
                <w:spacing w:val="-10"/>
                <w:sz w:val="20"/>
              </w:rPr>
              <w:t>$</w:t>
            </w:r>
            <w:r>
              <w:rPr>
                <w:sz w:val="20"/>
              </w:rPr>
              <w:tab/>
            </w:r>
            <w:r>
              <w:rPr>
                <w:spacing w:val="-2"/>
                <w:sz w:val="20"/>
              </w:rPr>
              <w:t>3,432.1</w:t>
            </w:r>
          </w:p>
        </w:tc>
      </w:tr>
      <w:tr>
        <w:trPr>
          <w:trHeight w:val="470" w:hRule="atLeast"/>
        </w:trPr>
        <w:tc>
          <w:tcPr>
            <w:tcW w:w="1407" w:type="dxa"/>
            <w:tcBorders>
              <w:bottom w:val="single" w:sz="8" w:space="0" w:color="000000"/>
            </w:tcBorders>
          </w:tcPr>
          <w:p>
            <w:pPr>
              <w:pStyle w:val="TableParagraph"/>
              <w:spacing w:before="176"/>
              <w:ind w:right="46"/>
              <w:jc w:val="center"/>
              <w:rPr>
                <w:sz w:val="20"/>
              </w:rPr>
            </w:pPr>
            <w:r>
              <w:rPr>
                <w:sz w:val="20"/>
              </w:rPr>
              <w:t>-150 </w:t>
            </w:r>
            <w:r>
              <w:rPr>
                <w:spacing w:val="-5"/>
                <w:sz w:val="20"/>
              </w:rPr>
              <w:t>BPS</w:t>
            </w:r>
          </w:p>
        </w:tc>
        <w:tc>
          <w:tcPr>
            <w:tcW w:w="1460" w:type="dxa"/>
            <w:tcBorders>
              <w:bottom w:val="single" w:sz="8" w:space="0" w:color="000000"/>
            </w:tcBorders>
          </w:tcPr>
          <w:p>
            <w:pPr>
              <w:pStyle w:val="TableParagraph"/>
              <w:spacing w:before="176"/>
              <w:ind w:left="4"/>
              <w:jc w:val="center"/>
              <w:rPr>
                <w:sz w:val="20"/>
              </w:rPr>
            </w:pPr>
            <w:r>
              <w:rPr>
                <w:sz w:val="20"/>
              </w:rPr>
              <w:t>-100 </w:t>
            </w:r>
            <w:r>
              <w:rPr>
                <w:spacing w:val="-5"/>
                <w:sz w:val="20"/>
              </w:rPr>
              <w:t>BPS</w:t>
            </w:r>
          </w:p>
        </w:tc>
        <w:tc>
          <w:tcPr>
            <w:tcW w:w="1700" w:type="dxa"/>
            <w:tcBorders>
              <w:bottom w:val="single" w:sz="8" w:space="0" w:color="000000"/>
            </w:tcBorders>
          </w:tcPr>
          <w:p>
            <w:pPr>
              <w:pStyle w:val="TableParagraph"/>
              <w:spacing w:before="176"/>
              <w:ind w:left="346"/>
              <w:rPr>
                <w:sz w:val="20"/>
              </w:rPr>
            </w:pPr>
            <w:r>
              <w:rPr>
                <w:sz w:val="20"/>
              </w:rPr>
              <w:t>-50 </w:t>
            </w:r>
            <w:r>
              <w:rPr>
                <w:spacing w:val="-5"/>
                <w:sz w:val="20"/>
              </w:rPr>
              <w:t>BPS</w:t>
            </w:r>
          </w:p>
        </w:tc>
        <w:tc>
          <w:tcPr>
            <w:tcW w:w="1219" w:type="dxa"/>
            <w:tcBorders>
              <w:bottom w:val="single" w:sz="8" w:space="0" w:color="000000"/>
            </w:tcBorders>
          </w:tcPr>
          <w:p>
            <w:pPr>
              <w:pStyle w:val="TableParagraph"/>
              <w:spacing w:line="208" w:lineRule="auto" w:before="2"/>
              <w:ind w:left="136" w:hanging="106"/>
              <w:rPr>
                <w:sz w:val="20"/>
              </w:rPr>
            </w:pPr>
            <w:r>
              <w:rPr>
                <w:spacing w:val="-4"/>
                <w:sz w:val="20"/>
              </w:rPr>
              <w:t>Fair</w:t>
            </w:r>
            <w:r>
              <w:rPr>
                <w:spacing w:val="-9"/>
                <w:sz w:val="20"/>
              </w:rPr>
              <w:t> </w:t>
            </w:r>
            <w:r>
              <w:rPr>
                <w:spacing w:val="-4"/>
                <w:sz w:val="20"/>
              </w:rPr>
              <w:t>Value </w:t>
            </w:r>
            <w:r>
              <w:rPr>
                <w:spacing w:val="-2"/>
                <w:sz w:val="20"/>
              </w:rPr>
              <w:t>12/2/16</w:t>
            </w:r>
          </w:p>
        </w:tc>
        <w:tc>
          <w:tcPr>
            <w:tcW w:w="1459" w:type="dxa"/>
            <w:tcBorders>
              <w:bottom w:val="single" w:sz="8" w:space="0" w:color="000000"/>
            </w:tcBorders>
          </w:tcPr>
          <w:p>
            <w:pPr>
              <w:pStyle w:val="TableParagraph"/>
              <w:spacing w:before="176"/>
              <w:ind w:left="7"/>
              <w:jc w:val="center"/>
              <w:rPr>
                <w:sz w:val="20"/>
              </w:rPr>
            </w:pPr>
            <w:r>
              <w:rPr>
                <w:sz w:val="20"/>
              </w:rPr>
              <w:t>+50 </w:t>
            </w:r>
            <w:r>
              <w:rPr>
                <w:spacing w:val="-5"/>
                <w:sz w:val="20"/>
              </w:rPr>
              <w:t>BPS</w:t>
            </w:r>
          </w:p>
        </w:tc>
        <w:tc>
          <w:tcPr>
            <w:tcW w:w="1539" w:type="dxa"/>
            <w:tcBorders>
              <w:bottom w:val="single" w:sz="8" w:space="0" w:color="000000"/>
            </w:tcBorders>
          </w:tcPr>
          <w:p>
            <w:pPr>
              <w:pStyle w:val="TableParagraph"/>
              <w:spacing w:before="176"/>
              <w:ind w:left="9"/>
              <w:jc w:val="center"/>
              <w:rPr>
                <w:sz w:val="20"/>
              </w:rPr>
            </w:pPr>
            <w:r>
              <w:rPr>
                <w:sz w:val="20"/>
              </w:rPr>
              <w:t>+100 </w:t>
            </w:r>
            <w:r>
              <w:rPr>
                <w:spacing w:val="-5"/>
                <w:sz w:val="20"/>
              </w:rPr>
              <w:t>BPS</w:t>
            </w:r>
          </w:p>
        </w:tc>
        <w:tc>
          <w:tcPr>
            <w:tcW w:w="1452" w:type="dxa"/>
            <w:tcBorders>
              <w:bottom w:val="single" w:sz="8" w:space="0" w:color="000000"/>
            </w:tcBorders>
          </w:tcPr>
          <w:p>
            <w:pPr>
              <w:pStyle w:val="TableParagraph"/>
              <w:spacing w:before="176"/>
              <w:ind w:left="38"/>
              <w:jc w:val="center"/>
              <w:rPr>
                <w:sz w:val="20"/>
              </w:rPr>
            </w:pPr>
            <w:r>
              <w:rPr>
                <w:sz w:val="20"/>
              </w:rPr>
              <w:t>+150 </w:t>
            </w:r>
            <w:r>
              <w:rPr>
                <w:spacing w:val="-5"/>
                <w:sz w:val="20"/>
              </w:rPr>
              <w:t>BPS</w:t>
            </w:r>
          </w:p>
        </w:tc>
      </w:tr>
      <w:tr>
        <w:trPr>
          <w:trHeight w:val="270" w:hRule="atLeast"/>
        </w:trPr>
        <w:tc>
          <w:tcPr>
            <w:tcW w:w="1407" w:type="dxa"/>
            <w:tcBorders>
              <w:top w:val="single" w:sz="8" w:space="0" w:color="000000"/>
            </w:tcBorders>
            <w:shd w:val="clear" w:color="auto" w:fill="CCEDFF"/>
          </w:tcPr>
          <w:p>
            <w:pPr>
              <w:pStyle w:val="TableParagraph"/>
              <w:tabs>
                <w:tab w:pos="652" w:val="left" w:leader="none"/>
              </w:tabs>
              <w:spacing w:line="198" w:lineRule="exact"/>
              <w:ind w:right="53"/>
              <w:jc w:val="center"/>
              <w:rPr>
                <w:sz w:val="20"/>
              </w:rPr>
            </w:pPr>
            <w:r>
              <w:rPr>
                <w:spacing w:val="-10"/>
                <w:sz w:val="20"/>
              </w:rPr>
              <w:t>$</w:t>
            </w:r>
            <w:r>
              <w:rPr>
                <w:sz w:val="20"/>
              </w:rPr>
              <w:tab/>
            </w:r>
            <w:r>
              <w:rPr>
                <w:spacing w:val="-2"/>
                <w:sz w:val="20"/>
              </w:rPr>
              <w:t>3,828.5</w:t>
            </w:r>
          </w:p>
        </w:tc>
        <w:tc>
          <w:tcPr>
            <w:tcW w:w="1460" w:type="dxa"/>
            <w:tcBorders>
              <w:top w:val="single" w:sz="8" w:space="0" w:color="000000"/>
            </w:tcBorders>
            <w:shd w:val="clear" w:color="auto" w:fill="CCEDFF"/>
          </w:tcPr>
          <w:p>
            <w:pPr>
              <w:pStyle w:val="TableParagraph"/>
              <w:tabs>
                <w:tab w:pos="652" w:val="left" w:leader="none"/>
              </w:tabs>
              <w:spacing w:line="198" w:lineRule="exact"/>
              <w:jc w:val="center"/>
              <w:rPr>
                <w:sz w:val="20"/>
              </w:rPr>
            </w:pPr>
            <w:r>
              <w:rPr>
                <w:spacing w:val="-10"/>
                <w:sz w:val="20"/>
              </w:rPr>
              <w:t>$</w:t>
            </w:r>
            <w:r>
              <w:rPr>
                <w:sz w:val="20"/>
              </w:rPr>
              <w:tab/>
            </w:r>
            <w:r>
              <w:rPr>
                <w:spacing w:val="-2"/>
                <w:sz w:val="20"/>
              </w:rPr>
              <w:t>3,805.9</w:t>
            </w:r>
          </w:p>
        </w:tc>
        <w:tc>
          <w:tcPr>
            <w:tcW w:w="1700" w:type="dxa"/>
            <w:tcBorders>
              <w:top w:val="single" w:sz="8" w:space="0" w:color="000000"/>
            </w:tcBorders>
            <w:shd w:val="clear" w:color="auto" w:fill="CCEDFF"/>
          </w:tcPr>
          <w:p>
            <w:pPr>
              <w:pStyle w:val="TableParagraph"/>
              <w:tabs>
                <w:tab w:pos="655" w:val="left" w:leader="none"/>
                <w:tab w:pos="1462" w:val="left" w:leader="none"/>
              </w:tabs>
              <w:spacing w:line="198" w:lineRule="exact"/>
              <w:ind w:left="103"/>
              <w:rPr>
                <w:sz w:val="20"/>
              </w:rPr>
            </w:pPr>
            <w:r>
              <w:rPr>
                <w:spacing w:val="-10"/>
                <w:sz w:val="20"/>
              </w:rPr>
              <w:t>$</w:t>
            </w:r>
            <w:r>
              <w:rPr>
                <w:sz w:val="20"/>
              </w:rPr>
              <w:tab/>
            </w:r>
            <w:r>
              <w:rPr>
                <w:spacing w:val="-2"/>
                <w:sz w:val="20"/>
              </w:rPr>
              <w:t>3,778.4</w:t>
            </w:r>
            <w:r>
              <w:rPr>
                <w:sz w:val="20"/>
              </w:rPr>
              <w:tab/>
            </w:r>
            <w:r>
              <w:rPr>
                <w:spacing w:val="-10"/>
                <w:sz w:val="20"/>
              </w:rPr>
              <w:t>$</w:t>
            </w:r>
          </w:p>
        </w:tc>
        <w:tc>
          <w:tcPr>
            <w:tcW w:w="1219" w:type="dxa"/>
            <w:tcBorders>
              <w:top w:val="single" w:sz="8" w:space="0" w:color="000000"/>
            </w:tcBorders>
            <w:shd w:val="clear" w:color="auto" w:fill="CCEDFF"/>
          </w:tcPr>
          <w:p>
            <w:pPr>
              <w:pStyle w:val="TableParagraph"/>
              <w:spacing w:line="198" w:lineRule="exact"/>
              <w:ind w:right="102"/>
              <w:jc w:val="right"/>
              <w:rPr>
                <w:sz w:val="20"/>
              </w:rPr>
            </w:pPr>
            <w:r>
              <w:rPr>
                <w:spacing w:val="-2"/>
                <w:sz w:val="20"/>
              </w:rPr>
              <w:t>3,750.0</w:t>
            </w:r>
          </w:p>
        </w:tc>
        <w:tc>
          <w:tcPr>
            <w:tcW w:w="1459" w:type="dxa"/>
            <w:tcBorders>
              <w:top w:val="single" w:sz="8" w:space="0" w:color="000000"/>
            </w:tcBorders>
            <w:shd w:val="clear" w:color="auto" w:fill="CCEDFF"/>
          </w:tcPr>
          <w:p>
            <w:pPr>
              <w:pStyle w:val="TableParagraph"/>
              <w:tabs>
                <w:tab w:pos="654" w:val="left" w:leader="none"/>
              </w:tabs>
              <w:spacing w:line="198" w:lineRule="exact"/>
              <w:ind w:left="2"/>
              <w:jc w:val="center"/>
              <w:rPr>
                <w:sz w:val="20"/>
              </w:rPr>
            </w:pPr>
            <w:r>
              <w:rPr>
                <w:spacing w:val="-10"/>
                <w:sz w:val="20"/>
              </w:rPr>
              <w:t>$</w:t>
            </w:r>
            <w:r>
              <w:rPr>
                <w:sz w:val="20"/>
              </w:rPr>
              <w:tab/>
            </w:r>
            <w:r>
              <w:rPr>
                <w:spacing w:val="-2"/>
                <w:sz w:val="20"/>
              </w:rPr>
              <w:t>3,721.6</w:t>
            </w:r>
          </w:p>
        </w:tc>
        <w:tc>
          <w:tcPr>
            <w:tcW w:w="1539" w:type="dxa"/>
            <w:tcBorders>
              <w:top w:val="single" w:sz="8" w:space="0" w:color="000000"/>
            </w:tcBorders>
            <w:shd w:val="clear" w:color="auto" w:fill="CCEDFF"/>
          </w:tcPr>
          <w:p>
            <w:pPr>
              <w:pStyle w:val="TableParagraph"/>
              <w:tabs>
                <w:tab w:pos="736" w:val="left" w:leader="none"/>
              </w:tabs>
              <w:spacing w:line="198" w:lineRule="exact"/>
              <w:ind w:left="4"/>
              <w:jc w:val="center"/>
              <w:rPr>
                <w:sz w:val="20"/>
              </w:rPr>
            </w:pPr>
            <w:r>
              <w:rPr>
                <w:spacing w:val="-10"/>
                <w:sz w:val="20"/>
              </w:rPr>
              <w:t>$</w:t>
            </w:r>
            <w:r>
              <w:rPr>
                <w:sz w:val="20"/>
              </w:rPr>
              <w:tab/>
            </w:r>
            <w:r>
              <w:rPr>
                <w:spacing w:val="-2"/>
                <w:sz w:val="20"/>
              </w:rPr>
              <w:t>3,693.2</w:t>
            </w:r>
          </w:p>
        </w:tc>
        <w:tc>
          <w:tcPr>
            <w:tcW w:w="1452" w:type="dxa"/>
            <w:tcBorders>
              <w:top w:val="single" w:sz="8" w:space="0" w:color="000000"/>
            </w:tcBorders>
            <w:shd w:val="clear" w:color="auto" w:fill="CCEDFF"/>
          </w:tcPr>
          <w:p>
            <w:pPr>
              <w:pStyle w:val="TableParagraph"/>
              <w:tabs>
                <w:tab w:pos="705" w:val="left" w:leader="none"/>
              </w:tabs>
              <w:spacing w:line="198" w:lineRule="exact"/>
              <w:ind w:left="33"/>
              <w:jc w:val="center"/>
              <w:rPr>
                <w:sz w:val="20"/>
              </w:rPr>
            </w:pPr>
            <w:r>
              <w:rPr>
                <w:spacing w:val="-10"/>
                <w:sz w:val="20"/>
              </w:rPr>
              <w:t>$</w:t>
            </w:r>
            <w:r>
              <w:rPr>
                <w:sz w:val="20"/>
              </w:rPr>
              <w:tab/>
            </w:r>
            <w:r>
              <w:rPr>
                <w:spacing w:val="-2"/>
                <w:sz w:val="20"/>
              </w:rPr>
              <w:t>3,664.8</w:t>
            </w:r>
          </w:p>
        </w:tc>
      </w:tr>
    </w:tbl>
    <w:p>
      <w:pPr>
        <w:spacing w:before="200"/>
        <w:ind w:left="220" w:right="0" w:firstLine="0"/>
        <w:jc w:val="left"/>
        <w:rPr>
          <w:i/>
          <w:sz w:val="20"/>
        </w:rPr>
      </w:pPr>
      <w:r>
        <w:rPr>
          <w:i/>
          <w:sz w:val="20"/>
        </w:rPr>
        <w:t>Senior</w:t>
      </w:r>
      <w:r>
        <w:rPr>
          <w:i/>
          <w:spacing w:val="-6"/>
          <w:sz w:val="20"/>
        </w:rPr>
        <w:t> </w:t>
      </w:r>
      <w:r>
        <w:rPr>
          <w:i/>
          <w:spacing w:val="-2"/>
          <w:sz w:val="20"/>
        </w:rPr>
        <w:t>Notes</w:t>
      </w:r>
    </w:p>
    <w:p>
      <w:pPr>
        <w:pStyle w:val="BodyText"/>
        <w:spacing w:line="249" w:lineRule="auto" w:before="190"/>
        <w:ind w:left="220" w:right="257" w:firstLine="540"/>
        <w:jc w:val="both"/>
      </w:pPr>
      <w:r>
        <w:rPr/>
        <w:t>As of December</w:t>
      </w:r>
      <w:r>
        <w:rPr>
          <w:spacing w:val="-1"/>
        </w:rPr>
        <w:t> </w:t>
      </w:r>
      <w:r>
        <w:rPr/>
        <w:t>1, 2017, the amount outstanding under our senior notes was $1.9 billion. In June 2014, we entered into </w:t>
      </w:r>
      <w:r>
        <w:rPr>
          <w:spacing w:val="-2"/>
        </w:rPr>
        <w:t>interest</w:t>
      </w:r>
      <w:r>
        <w:rPr>
          <w:spacing w:val="-7"/>
        </w:rPr>
        <w:t> </w:t>
      </w:r>
      <w:r>
        <w:rPr>
          <w:spacing w:val="-2"/>
        </w:rPr>
        <w:t>rate</w:t>
      </w:r>
      <w:r>
        <w:rPr>
          <w:spacing w:val="-6"/>
        </w:rPr>
        <w:t> </w:t>
      </w:r>
      <w:r>
        <w:rPr>
          <w:spacing w:val="-2"/>
        </w:rPr>
        <w:t>swaps</w:t>
      </w:r>
      <w:r>
        <w:rPr>
          <w:spacing w:val="-6"/>
        </w:rPr>
        <w:t> </w:t>
      </w:r>
      <w:r>
        <w:rPr>
          <w:spacing w:val="-2"/>
        </w:rPr>
        <w:t>that</w:t>
      </w:r>
      <w:r>
        <w:rPr>
          <w:spacing w:val="-7"/>
        </w:rPr>
        <w:t> </w:t>
      </w:r>
      <w:r>
        <w:rPr>
          <w:spacing w:val="-2"/>
        </w:rPr>
        <w:t>effectively</w:t>
      </w:r>
      <w:r>
        <w:rPr>
          <w:spacing w:val="-6"/>
        </w:rPr>
        <w:t> </w:t>
      </w:r>
      <w:r>
        <w:rPr>
          <w:spacing w:val="-2"/>
        </w:rPr>
        <w:t>converted</w:t>
      </w:r>
      <w:r>
        <w:rPr>
          <w:spacing w:val="-6"/>
        </w:rPr>
        <w:t> </w:t>
      </w:r>
      <w:r>
        <w:rPr>
          <w:spacing w:val="-2"/>
        </w:rPr>
        <w:t>the</w:t>
      </w:r>
      <w:r>
        <w:rPr>
          <w:spacing w:val="-7"/>
        </w:rPr>
        <w:t> </w:t>
      </w:r>
      <w:r>
        <w:rPr>
          <w:spacing w:val="-2"/>
        </w:rPr>
        <w:t>fixed</w:t>
      </w:r>
      <w:r>
        <w:rPr>
          <w:spacing w:val="-6"/>
        </w:rPr>
        <w:t> </w:t>
      </w:r>
      <w:r>
        <w:rPr>
          <w:spacing w:val="-2"/>
        </w:rPr>
        <w:t>interest</w:t>
      </w:r>
      <w:r>
        <w:rPr>
          <w:spacing w:val="-7"/>
        </w:rPr>
        <w:t> </w:t>
      </w:r>
      <w:r>
        <w:rPr>
          <w:spacing w:val="-2"/>
        </w:rPr>
        <w:t>rate</w:t>
      </w:r>
      <w:r>
        <w:rPr>
          <w:spacing w:val="-6"/>
        </w:rPr>
        <w:t> </w:t>
      </w:r>
      <w:r>
        <w:rPr>
          <w:spacing w:val="-2"/>
        </w:rPr>
        <w:t>on</w:t>
      </w:r>
      <w:r>
        <w:rPr>
          <w:spacing w:val="-7"/>
        </w:rPr>
        <w:t> </w:t>
      </w:r>
      <w:r>
        <w:rPr>
          <w:spacing w:val="-2"/>
        </w:rPr>
        <w:t>our</w:t>
      </w:r>
      <w:r>
        <w:rPr>
          <w:spacing w:val="-6"/>
        </w:rPr>
        <w:t> </w:t>
      </w:r>
      <w:r>
        <w:rPr>
          <w:spacing w:val="-2"/>
        </w:rPr>
        <w:t>2020</w:t>
      </w:r>
      <w:r>
        <w:rPr>
          <w:spacing w:val="-6"/>
        </w:rPr>
        <w:t> </w:t>
      </w:r>
      <w:r>
        <w:rPr>
          <w:spacing w:val="-2"/>
        </w:rPr>
        <w:t>Notes</w:t>
      </w:r>
      <w:r>
        <w:rPr>
          <w:spacing w:val="-6"/>
        </w:rPr>
        <w:t> </w:t>
      </w:r>
      <w:r>
        <w:rPr>
          <w:spacing w:val="-2"/>
        </w:rPr>
        <w:t>to</w:t>
      </w:r>
      <w:r>
        <w:rPr>
          <w:spacing w:val="-6"/>
        </w:rPr>
        <w:t> </w:t>
      </w:r>
      <w:r>
        <w:rPr>
          <w:spacing w:val="-2"/>
        </w:rPr>
        <w:t>a</w:t>
      </w:r>
      <w:r>
        <w:rPr>
          <w:spacing w:val="-6"/>
        </w:rPr>
        <w:t> </w:t>
      </w:r>
      <w:r>
        <w:rPr>
          <w:spacing w:val="-2"/>
        </w:rPr>
        <w:t>floating</w:t>
      </w:r>
      <w:r>
        <w:rPr>
          <w:spacing w:val="-7"/>
        </w:rPr>
        <w:t> </w:t>
      </w:r>
      <w:r>
        <w:rPr>
          <w:spacing w:val="-2"/>
        </w:rPr>
        <w:t>interest</w:t>
      </w:r>
      <w:r>
        <w:rPr>
          <w:spacing w:val="-7"/>
        </w:rPr>
        <w:t> </w:t>
      </w:r>
      <w:r>
        <w:rPr>
          <w:spacing w:val="-2"/>
        </w:rPr>
        <w:t>rate</w:t>
      </w:r>
      <w:r>
        <w:rPr>
          <w:spacing w:val="-6"/>
        </w:rPr>
        <w:t> </w:t>
      </w:r>
      <w:r>
        <w:rPr>
          <w:spacing w:val="-2"/>
        </w:rPr>
        <w:t>based</w:t>
      </w:r>
      <w:r>
        <w:rPr>
          <w:spacing w:val="-6"/>
        </w:rPr>
        <w:t> </w:t>
      </w:r>
      <w:r>
        <w:rPr>
          <w:spacing w:val="-2"/>
        </w:rPr>
        <w:t>on</w:t>
      </w:r>
      <w:r>
        <w:rPr>
          <w:spacing w:val="-6"/>
        </w:rPr>
        <w:t> </w:t>
      </w:r>
      <w:r>
        <w:rPr>
          <w:spacing w:val="-2"/>
        </w:rPr>
        <w:t>the</w:t>
      </w:r>
      <w:r>
        <w:rPr>
          <w:spacing w:val="-7"/>
        </w:rPr>
        <w:t> </w:t>
      </w:r>
      <w:r>
        <w:rPr>
          <w:spacing w:val="-2"/>
        </w:rPr>
        <w:t>LIBOR </w:t>
      </w:r>
      <w:r>
        <w:rPr/>
        <w:t>plus a</w:t>
      </w:r>
      <w:r>
        <w:rPr>
          <w:spacing w:val="-1"/>
        </w:rPr>
        <w:t> </w:t>
      </w:r>
      <w:r>
        <w:rPr/>
        <w:t>fixed number</w:t>
      </w:r>
      <w:r>
        <w:rPr>
          <w:spacing w:val="-1"/>
        </w:rPr>
        <w:t> </w:t>
      </w:r>
      <w:r>
        <w:rPr/>
        <w:t>of basis points through</w:t>
      </w:r>
      <w:r>
        <w:rPr>
          <w:spacing w:val="-1"/>
        </w:rPr>
        <w:t> </w:t>
      </w:r>
      <w:r>
        <w:rPr/>
        <w:t>February 1, 2020.</w:t>
      </w:r>
      <w:r>
        <w:rPr>
          <w:spacing w:val="-11"/>
        </w:rPr>
        <w:t> </w:t>
      </w:r>
      <w:r>
        <w:rPr/>
        <w:t>Accordingly,</w:t>
      </w:r>
      <w:r>
        <w:rPr>
          <w:spacing w:val="-1"/>
        </w:rPr>
        <w:t> </w:t>
      </w:r>
      <w:r>
        <w:rPr/>
        <w:t>our exposure</w:t>
      </w:r>
      <w:r>
        <w:rPr>
          <w:spacing w:val="-1"/>
        </w:rPr>
        <w:t> </w:t>
      </w:r>
      <w:r>
        <w:rPr/>
        <w:t>to fluctuations in</w:t>
      </w:r>
      <w:r>
        <w:rPr>
          <w:spacing w:val="-1"/>
        </w:rPr>
        <w:t> </w:t>
      </w:r>
      <w:r>
        <w:rPr/>
        <w:t>market</w:t>
      </w:r>
      <w:r>
        <w:rPr>
          <w:spacing w:val="-1"/>
        </w:rPr>
        <w:t> </w:t>
      </w:r>
      <w:r>
        <w:rPr/>
        <w:t>interest</w:t>
      </w:r>
      <w:r>
        <w:rPr>
          <w:spacing w:val="-1"/>
        </w:rPr>
        <w:t> </w:t>
      </w:r>
      <w:r>
        <w:rPr/>
        <w:t>rates is</w:t>
      </w:r>
      <w:r>
        <w:rPr>
          <w:spacing w:val="-13"/>
        </w:rPr>
        <w:t> </w:t>
      </w:r>
      <w:r>
        <w:rPr/>
        <w:t>on</w:t>
      </w:r>
      <w:r>
        <w:rPr>
          <w:spacing w:val="-12"/>
        </w:rPr>
        <w:t> </w:t>
      </w:r>
      <w:r>
        <w:rPr/>
        <w:t>the</w:t>
      </w:r>
      <w:r>
        <w:rPr>
          <w:spacing w:val="-13"/>
        </w:rPr>
        <w:t> </w:t>
      </w:r>
      <w:r>
        <w:rPr/>
        <w:t>hedged</w:t>
      </w:r>
      <w:r>
        <w:rPr>
          <w:spacing w:val="-12"/>
        </w:rPr>
        <w:t> </w:t>
      </w:r>
      <w:r>
        <w:rPr/>
        <w:t>fixed-rate</w:t>
      </w:r>
      <w:r>
        <w:rPr>
          <w:spacing w:val="-13"/>
        </w:rPr>
        <w:t> </w:t>
      </w:r>
      <w:r>
        <w:rPr/>
        <w:t>debt</w:t>
      </w:r>
      <w:r>
        <w:rPr>
          <w:spacing w:val="-12"/>
        </w:rPr>
        <w:t> </w:t>
      </w:r>
      <w:r>
        <w:rPr/>
        <w:t>of</w:t>
      </w:r>
      <w:r>
        <w:rPr>
          <w:spacing w:val="-13"/>
        </w:rPr>
        <w:t> </w:t>
      </w:r>
      <w:r>
        <w:rPr/>
        <w:t>$900</w:t>
      </w:r>
      <w:r>
        <w:rPr>
          <w:spacing w:val="-12"/>
        </w:rPr>
        <w:t> </w:t>
      </w:r>
      <w:r>
        <w:rPr/>
        <w:t>million.</w:t>
      </w:r>
      <w:r>
        <w:rPr>
          <w:spacing w:val="-13"/>
        </w:rPr>
        <w:t> </w:t>
      </w:r>
      <w:r>
        <w:rPr/>
        <w:t>An</w:t>
      </w:r>
      <w:r>
        <w:rPr>
          <w:spacing w:val="-12"/>
        </w:rPr>
        <w:t> </w:t>
      </w:r>
      <w:r>
        <w:rPr/>
        <w:t>immediate</w:t>
      </w:r>
      <w:r>
        <w:rPr>
          <w:spacing w:val="-13"/>
        </w:rPr>
        <w:t> </w:t>
      </w:r>
      <w:r>
        <w:rPr/>
        <w:t>hypothetical</w:t>
      </w:r>
      <w:r>
        <w:rPr>
          <w:spacing w:val="-12"/>
        </w:rPr>
        <w:t> </w:t>
      </w:r>
      <w:r>
        <w:rPr/>
        <w:t>50</w:t>
      </w:r>
      <w:r>
        <w:rPr>
          <w:spacing w:val="-12"/>
        </w:rPr>
        <w:t> </w:t>
      </w:r>
      <w:r>
        <w:rPr/>
        <w:t>basis</w:t>
      </w:r>
      <w:r>
        <w:rPr>
          <w:spacing w:val="-12"/>
        </w:rPr>
        <w:t> </w:t>
      </w:r>
      <w:r>
        <w:rPr/>
        <w:t>points</w:t>
      </w:r>
      <w:r>
        <w:rPr>
          <w:spacing w:val="-11"/>
        </w:rPr>
        <w:t> </w:t>
      </w:r>
      <w:r>
        <w:rPr/>
        <w:t>increase</w:t>
      </w:r>
      <w:r>
        <w:rPr>
          <w:spacing w:val="-13"/>
        </w:rPr>
        <w:t> </w:t>
      </w:r>
      <w:r>
        <w:rPr/>
        <w:t>or</w:t>
      </w:r>
      <w:r>
        <w:rPr>
          <w:spacing w:val="-11"/>
        </w:rPr>
        <w:t> </w:t>
      </w:r>
      <w:r>
        <w:rPr/>
        <w:t>decrease</w:t>
      </w:r>
      <w:r>
        <w:rPr>
          <w:spacing w:val="-13"/>
        </w:rPr>
        <w:t> </w:t>
      </w:r>
      <w:r>
        <w:rPr/>
        <w:t>in</w:t>
      </w:r>
      <w:r>
        <w:rPr>
          <w:spacing w:val="-11"/>
        </w:rPr>
        <w:t> </w:t>
      </w:r>
      <w:r>
        <w:rPr/>
        <w:t>market</w:t>
      </w:r>
      <w:r>
        <w:rPr>
          <w:spacing w:val="-13"/>
        </w:rPr>
        <w:t> </w:t>
      </w:r>
      <w:r>
        <w:rPr/>
        <w:t>interest rates would not have a significant impact on our results of operations.</w:t>
      </w:r>
    </w:p>
    <w:p>
      <w:pPr>
        <w:pStyle w:val="BodyText"/>
        <w:spacing w:line="249" w:lineRule="auto" w:before="184"/>
        <w:ind w:left="220" w:right="257" w:firstLine="540"/>
        <w:jc w:val="both"/>
      </w:pPr>
      <w:r>
        <w:rPr/>
        <w:t>As of December</w:t>
      </w:r>
      <w:r>
        <w:rPr>
          <w:spacing w:val="-1"/>
        </w:rPr>
        <w:t> </w:t>
      </w:r>
      <w:r>
        <w:rPr/>
        <w:t>1, 2017, the total carrying amount of the Notes was $1.88 billion and the related fair value based on observable market prices in less active markets was $1.98 billion.</w:t>
      </w:r>
    </w:p>
    <w:p>
      <w:pPr>
        <w:pStyle w:val="BodyText"/>
        <w:spacing w:before="12"/>
      </w:pPr>
    </w:p>
    <w:p>
      <w:pPr>
        <w:pStyle w:val="Heading2"/>
      </w:pPr>
      <w:r>
        <w:rPr/>
        <w:t>Other</w:t>
      </w:r>
      <w:r>
        <w:rPr>
          <w:spacing w:val="-4"/>
        </w:rPr>
        <w:t> </w:t>
      </w:r>
      <w:r>
        <w:rPr/>
        <w:t>Market </w:t>
      </w:r>
      <w:r>
        <w:rPr>
          <w:spacing w:val="-4"/>
        </w:rPr>
        <w:t>Risk</w:t>
      </w:r>
    </w:p>
    <w:p>
      <w:pPr>
        <w:spacing w:before="190"/>
        <w:ind w:left="220" w:right="0" w:firstLine="0"/>
        <w:jc w:val="left"/>
        <w:rPr>
          <w:i/>
          <w:sz w:val="20"/>
        </w:rPr>
      </w:pPr>
      <w:r>
        <w:rPr>
          <w:i/>
          <w:sz w:val="20"/>
        </w:rPr>
        <w:t>Privately</w:t>
      </w:r>
      <w:r>
        <w:rPr>
          <w:i/>
          <w:spacing w:val="-9"/>
          <w:sz w:val="20"/>
        </w:rPr>
        <w:t> </w:t>
      </w:r>
      <w:r>
        <w:rPr>
          <w:i/>
          <w:sz w:val="20"/>
        </w:rPr>
        <w:t>Held</w:t>
      </w:r>
      <w:r>
        <w:rPr>
          <w:i/>
          <w:spacing w:val="-9"/>
          <w:sz w:val="20"/>
        </w:rPr>
        <w:t> </w:t>
      </w:r>
      <w:r>
        <w:rPr>
          <w:i/>
          <w:sz w:val="20"/>
        </w:rPr>
        <w:t>Long-Term</w:t>
      </w:r>
      <w:r>
        <w:rPr>
          <w:i/>
          <w:spacing w:val="-9"/>
          <w:sz w:val="20"/>
        </w:rPr>
        <w:t> </w:t>
      </w:r>
      <w:r>
        <w:rPr>
          <w:i/>
          <w:spacing w:val="-2"/>
          <w:sz w:val="20"/>
        </w:rPr>
        <w:t>Investments</w:t>
      </w:r>
    </w:p>
    <w:p>
      <w:pPr>
        <w:pStyle w:val="BodyText"/>
        <w:spacing w:line="249" w:lineRule="auto" w:before="190"/>
        <w:ind w:left="220" w:right="257" w:firstLine="540"/>
        <w:jc w:val="both"/>
      </w:pPr>
      <w:r>
        <w:rPr/>
        <w:t>The privately held companies in which we invest can still be considered in the start-up or development stages which are inherently</w:t>
      </w:r>
      <w:r>
        <w:rPr>
          <w:spacing w:val="-8"/>
        </w:rPr>
        <w:t> </w:t>
      </w:r>
      <w:r>
        <w:rPr/>
        <w:t>risky.</w:t>
      </w:r>
      <w:r>
        <w:rPr>
          <w:spacing w:val="-11"/>
        </w:rPr>
        <w:t> </w:t>
      </w:r>
      <w:r>
        <w:rPr/>
        <w:t>The</w:t>
      </w:r>
      <w:r>
        <w:rPr>
          <w:spacing w:val="-8"/>
        </w:rPr>
        <w:t> </w:t>
      </w:r>
      <w:r>
        <w:rPr/>
        <w:t>technologies</w:t>
      </w:r>
      <w:r>
        <w:rPr>
          <w:spacing w:val="-8"/>
        </w:rPr>
        <w:t> </w:t>
      </w:r>
      <w:r>
        <w:rPr/>
        <w:t>or</w:t>
      </w:r>
      <w:r>
        <w:rPr>
          <w:spacing w:val="-8"/>
        </w:rPr>
        <w:t> </w:t>
      </w:r>
      <w:r>
        <w:rPr/>
        <w:t>products</w:t>
      </w:r>
      <w:r>
        <w:rPr>
          <w:spacing w:val="-8"/>
        </w:rPr>
        <w:t> </w:t>
      </w:r>
      <w:r>
        <w:rPr/>
        <w:t>these</w:t>
      </w:r>
      <w:r>
        <w:rPr>
          <w:spacing w:val="-8"/>
        </w:rPr>
        <w:t> </w:t>
      </w:r>
      <w:r>
        <w:rPr/>
        <w:t>companies</w:t>
      </w:r>
      <w:r>
        <w:rPr>
          <w:spacing w:val="-8"/>
        </w:rPr>
        <w:t> </w:t>
      </w:r>
      <w:r>
        <w:rPr/>
        <w:t>have</w:t>
      </w:r>
      <w:r>
        <w:rPr>
          <w:spacing w:val="-8"/>
        </w:rPr>
        <w:t> </w:t>
      </w:r>
      <w:r>
        <w:rPr/>
        <w:t>under</w:t>
      </w:r>
      <w:r>
        <w:rPr>
          <w:spacing w:val="-8"/>
        </w:rPr>
        <w:t> </w:t>
      </w:r>
      <w:r>
        <w:rPr/>
        <w:t>development</w:t>
      </w:r>
      <w:r>
        <w:rPr>
          <w:spacing w:val="-8"/>
        </w:rPr>
        <w:t> </w:t>
      </w:r>
      <w:r>
        <w:rPr/>
        <w:t>are</w:t>
      </w:r>
      <w:r>
        <w:rPr>
          <w:spacing w:val="-8"/>
        </w:rPr>
        <w:t> </w:t>
      </w:r>
      <w:r>
        <w:rPr/>
        <w:t>typically</w:t>
      </w:r>
      <w:r>
        <w:rPr>
          <w:spacing w:val="-8"/>
        </w:rPr>
        <w:t> </w:t>
      </w:r>
      <w:r>
        <w:rPr/>
        <w:t>in</w:t>
      </w:r>
      <w:r>
        <w:rPr>
          <w:spacing w:val="-8"/>
        </w:rPr>
        <w:t> </w:t>
      </w:r>
      <w:r>
        <w:rPr/>
        <w:t>the</w:t>
      </w:r>
      <w:r>
        <w:rPr>
          <w:spacing w:val="-8"/>
        </w:rPr>
        <w:t> </w:t>
      </w:r>
      <w:r>
        <w:rPr/>
        <w:t>early</w:t>
      </w:r>
      <w:r>
        <w:rPr>
          <w:spacing w:val="-8"/>
        </w:rPr>
        <w:t> </w:t>
      </w:r>
      <w:r>
        <w:rPr/>
        <w:t>stages</w:t>
      </w:r>
      <w:r>
        <w:rPr>
          <w:spacing w:val="-8"/>
        </w:rPr>
        <w:t> </w:t>
      </w:r>
      <w:r>
        <w:rPr/>
        <w:t>and</w:t>
      </w:r>
      <w:r>
        <w:rPr>
          <w:spacing w:val="-8"/>
        </w:rPr>
        <w:t> </w:t>
      </w:r>
      <w:r>
        <w:rPr/>
        <w:t>may never</w:t>
      </w:r>
      <w:r>
        <w:rPr>
          <w:spacing w:val="-7"/>
        </w:rPr>
        <w:t> </w:t>
      </w:r>
      <w:r>
        <w:rPr/>
        <w:t>materialize,</w:t>
      </w:r>
      <w:r>
        <w:rPr>
          <w:spacing w:val="-7"/>
        </w:rPr>
        <w:t> </w:t>
      </w:r>
      <w:r>
        <w:rPr/>
        <w:t>which</w:t>
      </w:r>
      <w:r>
        <w:rPr>
          <w:spacing w:val="-7"/>
        </w:rPr>
        <w:t> </w:t>
      </w:r>
      <w:r>
        <w:rPr/>
        <w:t>could</w:t>
      </w:r>
      <w:r>
        <w:rPr>
          <w:spacing w:val="-7"/>
        </w:rPr>
        <w:t> </w:t>
      </w:r>
      <w:r>
        <w:rPr/>
        <w:t>result</w:t>
      </w:r>
      <w:r>
        <w:rPr>
          <w:spacing w:val="-8"/>
        </w:rPr>
        <w:t> </w:t>
      </w:r>
      <w:r>
        <w:rPr/>
        <w:t>in</w:t>
      </w:r>
      <w:r>
        <w:rPr>
          <w:spacing w:val="-7"/>
        </w:rPr>
        <w:t> </w:t>
      </w:r>
      <w:r>
        <w:rPr/>
        <w:t>a</w:t>
      </w:r>
      <w:r>
        <w:rPr>
          <w:spacing w:val="-7"/>
        </w:rPr>
        <w:t> </w:t>
      </w:r>
      <w:r>
        <w:rPr/>
        <w:t>loss</w:t>
      </w:r>
      <w:r>
        <w:rPr>
          <w:spacing w:val="-7"/>
        </w:rPr>
        <w:t> </w:t>
      </w:r>
      <w:r>
        <w:rPr/>
        <w:t>of</w:t>
      </w:r>
      <w:r>
        <w:rPr>
          <w:spacing w:val="-7"/>
        </w:rPr>
        <w:t> </w:t>
      </w:r>
      <w:r>
        <w:rPr/>
        <w:t>a</w:t>
      </w:r>
      <w:r>
        <w:rPr>
          <w:spacing w:val="-7"/>
        </w:rPr>
        <w:t> </w:t>
      </w:r>
      <w:r>
        <w:rPr/>
        <w:t>substantial</w:t>
      </w:r>
      <w:r>
        <w:rPr>
          <w:spacing w:val="-8"/>
        </w:rPr>
        <w:t> </w:t>
      </w:r>
      <w:r>
        <w:rPr/>
        <w:t>part</w:t>
      </w:r>
      <w:r>
        <w:rPr>
          <w:spacing w:val="-8"/>
        </w:rPr>
        <w:t> </w:t>
      </w:r>
      <w:r>
        <w:rPr/>
        <w:t>of</w:t>
      </w:r>
      <w:r>
        <w:rPr>
          <w:spacing w:val="-7"/>
        </w:rPr>
        <w:t> </w:t>
      </w:r>
      <w:r>
        <w:rPr/>
        <w:t>our</w:t>
      </w:r>
      <w:r>
        <w:rPr>
          <w:spacing w:val="-7"/>
        </w:rPr>
        <w:t> </w:t>
      </w:r>
      <w:r>
        <w:rPr/>
        <w:t>initial</w:t>
      </w:r>
      <w:r>
        <w:rPr>
          <w:spacing w:val="-8"/>
        </w:rPr>
        <w:t> </w:t>
      </w:r>
      <w:r>
        <w:rPr/>
        <w:t>investment</w:t>
      </w:r>
      <w:r>
        <w:rPr>
          <w:spacing w:val="-8"/>
        </w:rPr>
        <w:t> </w:t>
      </w:r>
      <w:r>
        <w:rPr/>
        <w:t>in</w:t>
      </w:r>
      <w:r>
        <w:rPr>
          <w:spacing w:val="-7"/>
        </w:rPr>
        <w:t> </w:t>
      </w:r>
      <w:r>
        <w:rPr/>
        <w:t>these</w:t>
      </w:r>
      <w:r>
        <w:rPr>
          <w:spacing w:val="-8"/>
        </w:rPr>
        <w:t> </w:t>
      </w:r>
      <w:r>
        <w:rPr/>
        <w:t>companies.</w:t>
      </w:r>
      <w:r>
        <w:rPr>
          <w:spacing w:val="-11"/>
        </w:rPr>
        <w:t> </w:t>
      </w:r>
      <w:r>
        <w:rPr/>
        <w:t>The</w:t>
      </w:r>
      <w:r>
        <w:rPr>
          <w:spacing w:val="-7"/>
        </w:rPr>
        <w:t> </w:t>
      </w:r>
      <w:r>
        <w:rPr/>
        <w:t>evaluation</w:t>
      </w:r>
      <w:r>
        <w:rPr>
          <w:spacing w:val="-7"/>
        </w:rPr>
        <w:t> </w:t>
      </w:r>
      <w:r>
        <w:rPr/>
        <w:t>of </w:t>
      </w:r>
      <w:r>
        <w:rPr>
          <w:spacing w:val="-2"/>
        </w:rPr>
        <w:t>privately</w:t>
      </w:r>
      <w:r>
        <w:rPr>
          <w:spacing w:val="-6"/>
        </w:rPr>
        <w:t> </w:t>
      </w:r>
      <w:r>
        <w:rPr>
          <w:spacing w:val="-2"/>
        </w:rPr>
        <w:t>held</w:t>
      </w:r>
      <w:r>
        <w:rPr>
          <w:spacing w:val="-6"/>
        </w:rPr>
        <w:t> </w:t>
      </w:r>
      <w:r>
        <w:rPr>
          <w:spacing w:val="-2"/>
        </w:rPr>
        <w:t>companies</w:t>
      </w:r>
      <w:r>
        <w:rPr>
          <w:spacing w:val="-6"/>
        </w:rPr>
        <w:t> </w:t>
      </w:r>
      <w:r>
        <w:rPr>
          <w:spacing w:val="-2"/>
        </w:rPr>
        <w:t>is</w:t>
      </w:r>
      <w:r>
        <w:rPr>
          <w:spacing w:val="-6"/>
        </w:rPr>
        <w:t> </w:t>
      </w:r>
      <w:r>
        <w:rPr>
          <w:spacing w:val="-2"/>
        </w:rPr>
        <w:t>based</w:t>
      </w:r>
      <w:r>
        <w:rPr>
          <w:spacing w:val="-6"/>
        </w:rPr>
        <w:t> </w:t>
      </w:r>
      <w:r>
        <w:rPr>
          <w:spacing w:val="-2"/>
        </w:rPr>
        <w:t>on</w:t>
      </w:r>
      <w:r>
        <w:rPr>
          <w:spacing w:val="-6"/>
        </w:rPr>
        <w:t> </w:t>
      </w:r>
      <w:r>
        <w:rPr>
          <w:spacing w:val="-2"/>
        </w:rPr>
        <w:t>information</w:t>
      </w:r>
      <w:r>
        <w:rPr>
          <w:spacing w:val="-6"/>
        </w:rPr>
        <w:t> </w:t>
      </w:r>
      <w:r>
        <w:rPr>
          <w:spacing w:val="-2"/>
        </w:rPr>
        <w:t>that</w:t>
      </w:r>
      <w:r>
        <w:rPr>
          <w:spacing w:val="-6"/>
        </w:rPr>
        <w:t> </w:t>
      </w:r>
      <w:r>
        <w:rPr>
          <w:spacing w:val="-2"/>
        </w:rPr>
        <w:t>we</w:t>
      </w:r>
      <w:r>
        <w:rPr>
          <w:spacing w:val="-6"/>
        </w:rPr>
        <w:t> </w:t>
      </w:r>
      <w:r>
        <w:rPr>
          <w:spacing w:val="-2"/>
        </w:rPr>
        <w:t>request</w:t>
      </w:r>
      <w:r>
        <w:rPr>
          <w:spacing w:val="-6"/>
        </w:rPr>
        <w:t> </w:t>
      </w:r>
      <w:r>
        <w:rPr>
          <w:spacing w:val="-2"/>
        </w:rPr>
        <w:t>from</w:t>
      </w:r>
      <w:r>
        <w:rPr>
          <w:spacing w:val="-6"/>
        </w:rPr>
        <w:t> </w:t>
      </w:r>
      <w:r>
        <w:rPr>
          <w:spacing w:val="-2"/>
        </w:rPr>
        <w:t>these</w:t>
      </w:r>
      <w:r>
        <w:rPr>
          <w:spacing w:val="-6"/>
        </w:rPr>
        <w:t> </w:t>
      </w:r>
      <w:r>
        <w:rPr>
          <w:spacing w:val="-2"/>
        </w:rPr>
        <w:t>companies,</w:t>
      </w:r>
      <w:r>
        <w:rPr>
          <w:spacing w:val="-6"/>
        </w:rPr>
        <w:t> </w:t>
      </w:r>
      <w:r>
        <w:rPr>
          <w:spacing w:val="-2"/>
        </w:rPr>
        <w:t>which</w:t>
      </w:r>
      <w:r>
        <w:rPr>
          <w:spacing w:val="-6"/>
        </w:rPr>
        <w:t> </w:t>
      </w:r>
      <w:r>
        <w:rPr>
          <w:spacing w:val="-2"/>
        </w:rPr>
        <w:t>is</w:t>
      </w:r>
      <w:r>
        <w:rPr>
          <w:spacing w:val="-6"/>
        </w:rPr>
        <w:t> </w:t>
      </w:r>
      <w:r>
        <w:rPr>
          <w:spacing w:val="-2"/>
        </w:rPr>
        <w:t>not</w:t>
      </w:r>
      <w:r>
        <w:rPr>
          <w:spacing w:val="-6"/>
        </w:rPr>
        <w:t> </w:t>
      </w:r>
      <w:r>
        <w:rPr>
          <w:spacing w:val="-2"/>
        </w:rPr>
        <w:t>subject</w:t>
      </w:r>
      <w:r>
        <w:rPr>
          <w:spacing w:val="-6"/>
        </w:rPr>
        <w:t> </w:t>
      </w:r>
      <w:r>
        <w:rPr>
          <w:spacing w:val="-2"/>
        </w:rPr>
        <w:t>to</w:t>
      </w:r>
      <w:r>
        <w:rPr>
          <w:spacing w:val="-6"/>
        </w:rPr>
        <w:t> </w:t>
      </w:r>
      <w:r>
        <w:rPr>
          <w:spacing w:val="-2"/>
        </w:rPr>
        <w:t>the</w:t>
      </w:r>
      <w:r>
        <w:rPr>
          <w:spacing w:val="-6"/>
        </w:rPr>
        <w:t> </w:t>
      </w:r>
      <w:r>
        <w:rPr>
          <w:spacing w:val="-2"/>
        </w:rPr>
        <w:t>same</w:t>
      </w:r>
      <w:r>
        <w:rPr>
          <w:spacing w:val="-6"/>
        </w:rPr>
        <w:t> </w:t>
      </w:r>
      <w:r>
        <w:rPr>
          <w:spacing w:val="-2"/>
        </w:rPr>
        <w:t>disclosure </w:t>
      </w:r>
      <w:r>
        <w:rPr/>
        <w:t>regulations as U.S. publicly traded companies, and as such, the basis for these evaluations is subject to the timing and accuracy </w:t>
      </w:r>
      <w:r>
        <w:rPr>
          <w:spacing w:val="-2"/>
        </w:rPr>
        <w:t>of</w:t>
      </w:r>
      <w:r>
        <w:rPr>
          <w:spacing w:val="-7"/>
        </w:rPr>
        <w:t> </w:t>
      </w:r>
      <w:r>
        <w:rPr>
          <w:spacing w:val="-2"/>
        </w:rPr>
        <w:t>the</w:t>
      </w:r>
      <w:r>
        <w:rPr>
          <w:spacing w:val="-7"/>
        </w:rPr>
        <w:t> </w:t>
      </w:r>
      <w:r>
        <w:rPr>
          <w:spacing w:val="-2"/>
        </w:rPr>
        <w:t>data</w:t>
      </w:r>
      <w:r>
        <w:rPr>
          <w:spacing w:val="-8"/>
        </w:rPr>
        <w:t> </w:t>
      </w:r>
      <w:r>
        <w:rPr>
          <w:spacing w:val="-2"/>
        </w:rPr>
        <w:t>received</w:t>
      </w:r>
      <w:r>
        <w:rPr>
          <w:spacing w:val="-7"/>
        </w:rPr>
        <w:t> </w:t>
      </w:r>
      <w:r>
        <w:rPr>
          <w:spacing w:val="-2"/>
        </w:rPr>
        <w:t>from</w:t>
      </w:r>
      <w:r>
        <w:rPr>
          <w:spacing w:val="-8"/>
        </w:rPr>
        <w:t> </w:t>
      </w:r>
      <w:r>
        <w:rPr>
          <w:spacing w:val="-2"/>
        </w:rPr>
        <w:t>these</w:t>
      </w:r>
      <w:r>
        <w:rPr>
          <w:spacing w:val="-8"/>
        </w:rPr>
        <w:t> </w:t>
      </w:r>
      <w:r>
        <w:rPr>
          <w:spacing w:val="-2"/>
        </w:rPr>
        <w:t>companies.</w:t>
      </w:r>
      <w:r>
        <w:rPr>
          <w:spacing w:val="-11"/>
        </w:rPr>
        <w:t> </w:t>
      </w:r>
      <w:r>
        <w:rPr>
          <w:spacing w:val="-2"/>
        </w:rPr>
        <w:t>We</w:t>
      </w:r>
      <w:r>
        <w:rPr>
          <w:spacing w:val="-6"/>
        </w:rPr>
        <w:t> </w:t>
      </w:r>
      <w:r>
        <w:rPr>
          <w:spacing w:val="-2"/>
        </w:rPr>
        <w:t>have</w:t>
      </w:r>
      <w:r>
        <w:rPr>
          <w:spacing w:val="-8"/>
        </w:rPr>
        <w:t> </w:t>
      </w:r>
      <w:r>
        <w:rPr>
          <w:spacing w:val="-2"/>
        </w:rPr>
        <w:t>immaterial</w:t>
      </w:r>
      <w:r>
        <w:rPr>
          <w:spacing w:val="-8"/>
        </w:rPr>
        <w:t> </w:t>
      </w:r>
      <w:r>
        <w:rPr>
          <w:spacing w:val="-2"/>
        </w:rPr>
        <w:t>exposure</w:t>
      </w:r>
      <w:r>
        <w:rPr>
          <w:spacing w:val="-8"/>
        </w:rPr>
        <w:t> </w:t>
      </w:r>
      <w:r>
        <w:rPr>
          <w:spacing w:val="-2"/>
        </w:rPr>
        <w:t>on</w:t>
      </w:r>
      <w:r>
        <w:rPr>
          <w:spacing w:val="-7"/>
        </w:rPr>
        <w:t> </w:t>
      </w:r>
      <w:r>
        <w:rPr>
          <w:spacing w:val="-2"/>
        </w:rPr>
        <w:t>our</w:t>
      </w:r>
      <w:r>
        <w:rPr>
          <w:spacing w:val="-7"/>
        </w:rPr>
        <w:t> </w:t>
      </w:r>
      <w:r>
        <w:rPr>
          <w:spacing w:val="-2"/>
        </w:rPr>
        <w:t>long-term</w:t>
      </w:r>
      <w:r>
        <w:rPr>
          <w:spacing w:val="-8"/>
        </w:rPr>
        <w:t> </w:t>
      </w:r>
      <w:r>
        <w:rPr>
          <w:spacing w:val="-2"/>
        </w:rPr>
        <w:t>investments</w:t>
      </w:r>
      <w:r>
        <w:rPr>
          <w:spacing w:val="-7"/>
        </w:rPr>
        <w:t> </w:t>
      </w:r>
      <w:r>
        <w:rPr>
          <w:spacing w:val="-2"/>
        </w:rPr>
        <w:t>in</w:t>
      </w:r>
      <w:r>
        <w:rPr>
          <w:spacing w:val="-7"/>
        </w:rPr>
        <w:t> </w:t>
      </w:r>
      <w:r>
        <w:rPr>
          <w:spacing w:val="-2"/>
        </w:rPr>
        <w:t>privately</w:t>
      </w:r>
      <w:r>
        <w:rPr>
          <w:spacing w:val="-7"/>
        </w:rPr>
        <w:t> </w:t>
      </w:r>
      <w:r>
        <w:rPr>
          <w:spacing w:val="-2"/>
        </w:rPr>
        <w:t>held</w:t>
      </w:r>
      <w:r>
        <w:rPr>
          <w:spacing w:val="-8"/>
        </w:rPr>
        <w:t> </w:t>
      </w:r>
      <w:r>
        <w:rPr>
          <w:spacing w:val="-2"/>
        </w:rPr>
        <w:t>companies </w:t>
      </w:r>
      <w:r>
        <w:rPr/>
        <w:t>as these investments were insignificant as of December 1, 2017 and December 2, 2016.</w:t>
      </w:r>
    </w:p>
    <w:p>
      <w:pPr>
        <w:spacing w:after="0" w:line="249" w:lineRule="auto"/>
        <w:jc w:val="both"/>
        <w:sectPr>
          <w:pgSz w:w="12240" w:h="15840"/>
          <w:pgMar w:header="210" w:footer="579" w:top="420" w:bottom="800" w:left="780" w:right="740"/>
        </w:sectPr>
      </w:pPr>
    </w:p>
    <w:p>
      <w:pPr>
        <w:pStyle w:val="BodyText"/>
        <w:spacing w:before="147"/>
      </w:pPr>
    </w:p>
    <w:p>
      <w:pPr>
        <w:pStyle w:val="Heading1"/>
      </w:pPr>
      <w:bookmarkStart w:name="Item 8. Financial Statements and Supplem" w:id="51"/>
      <w:bookmarkEnd w:id="51"/>
      <w:r>
        <w:rPr>
          <w:b w:val="0"/>
        </w:rPr>
      </w:r>
      <w:bookmarkStart w:name="_bookmark15" w:id="52"/>
      <w:bookmarkEnd w:id="52"/>
      <w:r>
        <w:rPr>
          <w:b w:val="0"/>
        </w:rPr>
      </w:r>
      <w:r>
        <w:rPr>
          <w:spacing w:val="-2"/>
        </w:rPr>
        <w:t>ITEM</w:t>
      </w:r>
      <w:r>
        <w:rPr>
          <w:spacing w:val="3"/>
        </w:rPr>
        <w:t> </w:t>
      </w:r>
      <w:r>
        <w:rPr>
          <w:spacing w:val="-2"/>
        </w:rPr>
        <w:t>8.</w:t>
      </w:r>
      <w:r>
        <w:rPr>
          <w:spacing w:val="4"/>
        </w:rPr>
        <w:t> </w:t>
      </w:r>
      <w:r>
        <w:rPr>
          <w:spacing w:val="-2"/>
        </w:rPr>
        <w:t>FINANCIAL</w:t>
      </w:r>
      <w:r>
        <w:rPr>
          <w:spacing w:val="-9"/>
        </w:rPr>
        <w:t> </w:t>
      </w:r>
      <w:r>
        <w:rPr>
          <w:spacing w:val="-2"/>
        </w:rPr>
        <w:t>STATEMENTS</w:t>
      </w:r>
      <w:r>
        <w:rPr>
          <w:spacing w:val="-8"/>
        </w:rPr>
        <w:t> </w:t>
      </w:r>
      <w:r>
        <w:rPr>
          <w:spacing w:val="-2"/>
        </w:rPr>
        <w:t>AND</w:t>
      </w:r>
      <w:r>
        <w:rPr>
          <w:spacing w:val="2"/>
        </w:rPr>
        <w:t> </w:t>
      </w:r>
      <w:r>
        <w:rPr>
          <w:spacing w:val="-2"/>
        </w:rPr>
        <w:t>SUPPLEMENTARY</w:t>
      </w:r>
      <w:r>
        <w:rPr>
          <w:spacing w:val="-4"/>
        </w:rPr>
        <w:t> DATA</w:t>
      </w:r>
    </w:p>
    <w:p>
      <w:pPr>
        <w:spacing w:before="190"/>
        <w:ind w:left="242" w:right="280" w:firstLine="0"/>
        <w:jc w:val="center"/>
        <w:rPr>
          <w:b/>
          <w:sz w:val="20"/>
        </w:rPr>
      </w:pPr>
      <w:r>
        <w:rPr>
          <w:b/>
          <w:sz w:val="20"/>
        </w:rPr>
        <w:t>INDEX</w:t>
      </w:r>
      <w:r>
        <w:rPr>
          <w:b/>
          <w:spacing w:val="-15"/>
          <w:sz w:val="20"/>
        </w:rPr>
        <w:t> </w:t>
      </w:r>
      <w:r>
        <w:rPr>
          <w:b/>
          <w:sz w:val="20"/>
        </w:rPr>
        <w:t>TO</w:t>
      </w:r>
      <w:r>
        <w:rPr>
          <w:b/>
          <w:spacing w:val="-12"/>
          <w:sz w:val="20"/>
        </w:rPr>
        <w:t> </w:t>
      </w:r>
      <w:r>
        <w:rPr>
          <w:b/>
          <w:sz w:val="20"/>
        </w:rPr>
        <w:t>CONSOLIDATED</w:t>
      </w:r>
      <w:r>
        <w:rPr>
          <w:b/>
          <w:spacing w:val="-12"/>
          <w:sz w:val="20"/>
        </w:rPr>
        <w:t> </w:t>
      </w:r>
      <w:r>
        <w:rPr>
          <w:b/>
          <w:sz w:val="20"/>
        </w:rPr>
        <w:t>FINANCIAL</w:t>
      </w:r>
      <w:r>
        <w:rPr>
          <w:b/>
          <w:spacing w:val="-12"/>
          <w:sz w:val="20"/>
        </w:rPr>
        <w:t> </w:t>
      </w:r>
      <w:r>
        <w:rPr>
          <w:b/>
          <w:spacing w:val="-2"/>
          <w:sz w:val="20"/>
        </w:rPr>
        <w:t>STATEMENTS</w:t>
      </w:r>
    </w:p>
    <w:p>
      <w:pPr>
        <w:pStyle w:val="BodyText"/>
        <w:spacing w:before="48"/>
        <w:rPr>
          <w:b/>
          <w:sz w:val="16"/>
        </w:rPr>
      </w:pPr>
    </w:p>
    <w:p>
      <w:pPr>
        <w:spacing w:before="1"/>
        <w:ind w:left="0" w:right="476" w:firstLine="0"/>
        <w:jc w:val="right"/>
        <w:rPr>
          <w:b/>
          <w:sz w:val="16"/>
        </w:rPr>
      </w:pPr>
      <w:r>
        <w:rPr/>
        <mc:AlternateContent>
          <mc:Choice Requires="wps">
            <w:drawing>
              <wp:anchor distT="0" distB="0" distL="0" distR="0" allowOverlap="1" layoutInCell="1" locked="0" behindDoc="0" simplePos="0" relativeHeight="15768576">
                <wp:simplePos x="0" y="0"/>
                <wp:positionH relativeFrom="page">
                  <wp:posOffset>628650</wp:posOffset>
                </wp:positionH>
                <wp:positionV relativeFrom="paragraph">
                  <wp:posOffset>142755</wp:posOffset>
                </wp:positionV>
                <wp:extent cx="6502400" cy="196850"/>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6502400" cy="196850"/>
                          <a:chExt cx="6502400" cy="196850"/>
                        </a:xfrm>
                      </wpg:grpSpPr>
                      <wps:wsp>
                        <wps:cNvPr id="221" name="Graphic 221"/>
                        <wps:cNvSpPr/>
                        <wps:spPr>
                          <a:xfrm>
                            <a:off x="5867400" y="0"/>
                            <a:ext cx="635000" cy="12700"/>
                          </a:xfrm>
                          <a:custGeom>
                            <a:avLst/>
                            <a:gdLst/>
                            <a:ahLst/>
                            <a:cxnLst/>
                            <a:rect l="l" t="t" r="r" b="b"/>
                            <a:pathLst>
                              <a:path w="635000" h="12700">
                                <a:moveTo>
                                  <a:pt x="0" y="12700"/>
                                </a:moveTo>
                                <a:lnTo>
                                  <a:pt x="635000" y="12700"/>
                                </a:lnTo>
                                <a:lnTo>
                                  <a:pt x="6350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222" name="Textbox 222"/>
                        <wps:cNvSpPr txBox="1"/>
                        <wps:spPr>
                          <a:xfrm>
                            <a:off x="0" y="6350"/>
                            <a:ext cx="6502400" cy="190500"/>
                          </a:xfrm>
                          <a:prstGeom prst="rect">
                            <a:avLst/>
                          </a:prstGeom>
                          <a:solidFill>
                            <a:srgbClr val="CCEDFF"/>
                          </a:solidFill>
                        </wps:spPr>
                        <wps:txbx>
                          <w:txbxContent>
                            <w:p>
                              <w:pPr>
                                <w:tabs>
                                  <w:tab w:pos="10169" w:val="right" w:leader="none"/>
                                </w:tabs>
                                <w:spacing w:before="0"/>
                                <w:ind w:left="50" w:right="0" w:firstLine="0"/>
                                <w:jc w:val="left"/>
                                <w:rPr>
                                  <w:color w:val="000000"/>
                                  <w:sz w:val="20"/>
                                </w:rPr>
                              </w:pPr>
                              <w:hyperlink w:history="true" w:anchor="_bookmark16">
                                <w:r>
                                  <w:rPr>
                                    <w:color w:val="0000FF"/>
                                    <w:position w:val="2"/>
                                    <w:sz w:val="20"/>
                                    <w:u w:val="single" w:color="0000FF"/>
                                  </w:rPr>
                                  <w:t>Consolidated Balance </w:t>
                                </w:r>
                                <w:r>
                                  <w:rPr>
                                    <w:color w:val="0000FF"/>
                                    <w:spacing w:val="-2"/>
                                    <w:position w:val="2"/>
                                    <w:sz w:val="20"/>
                                    <w:u w:val="single" w:color="0000FF"/>
                                  </w:rPr>
                                  <w:t>Sheets</w:t>
                                </w:r>
                              </w:hyperlink>
                              <w:r>
                                <w:rPr>
                                  <w:color w:val="0000FF"/>
                                  <w:position w:val="2"/>
                                  <w:sz w:val="20"/>
                                </w:rPr>
                                <w:tab/>
                              </w:r>
                              <w:hyperlink w:history="true" w:anchor="_bookmark16">
                                <w:r>
                                  <w:rPr>
                                    <w:color w:val="0000FF"/>
                                    <w:spacing w:val="-7"/>
                                    <w:sz w:val="20"/>
                                    <w:u w:val="single" w:color="0000FF"/>
                                  </w:rPr>
                                  <w:t>57</w:t>
                                </w:r>
                              </w:hyperlink>
                            </w:p>
                          </w:txbxContent>
                        </wps:txbx>
                        <wps:bodyPr wrap="square" lIns="0" tIns="0" rIns="0" bIns="0" rtlCol="0">
                          <a:noAutofit/>
                        </wps:bodyPr>
                      </wps:wsp>
                    </wpg:wgp>
                  </a:graphicData>
                </a:graphic>
              </wp:anchor>
            </w:drawing>
          </mc:Choice>
          <mc:Fallback>
            <w:pict>
              <v:group style="position:absolute;margin-left:49.5pt;margin-top:11.240625pt;width:512pt;height:15.5pt;mso-position-horizontal-relative:page;mso-position-vertical-relative:paragraph;z-index:15768576" id="docshapegroup161" coordorigin="990,225" coordsize="10240,310">
                <v:rect style="position:absolute;left:10230;top:224;width:1000;height:20" id="docshape162" filled="true" fillcolor="#000000" stroked="false">
                  <v:fill type="solid"/>
                </v:rect>
                <v:shape style="position:absolute;left:990;top:234;width:10240;height:300" type="#_x0000_t202" id="docshape163" filled="true" fillcolor="#ccedff" stroked="false">
                  <v:textbox inset="0,0,0,0">
                    <w:txbxContent>
                      <w:p>
                        <w:pPr>
                          <w:tabs>
                            <w:tab w:pos="10169" w:val="right" w:leader="none"/>
                          </w:tabs>
                          <w:spacing w:before="0"/>
                          <w:ind w:left="50" w:right="0" w:firstLine="0"/>
                          <w:jc w:val="left"/>
                          <w:rPr>
                            <w:color w:val="000000"/>
                            <w:sz w:val="20"/>
                          </w:rPr>
                        </w:pPr>
                        <w:hyperlink w:history="true" w:anchor="_bookmark16">
                          <w:r>
                            <w:rPr>
                              <w:color w:val="0000FF"/>
                              <w:position w:val="2"/>
                              <w:sz w:val="20"/>
                              <w:u w:val="single" w:color="0000FF"/>
                            </w:rPr>
                            <w:t>Consolidated Balance </w:t>
                          </w:r>
                          <w:r>
                            <w:rPr>
                              <w:color w:val="0000FF"/>
                              <w:spacing w:val="-2"/>
                              <w:position w:val="2"/>
                              <w:sz w:val="20"/>
                              <w:u w:val="single" w:color="0000FF"/>
                            </w:rPr>
                            <w:t>Sheets</w:t>
                          </w:r>
                        </w:hyperlink>
                        <w:r>
                          <w:rPr>
                            <w:color w:val="0000FF"/>
                            <w:position w:val="2"/>
                            <w:sz w:val="20"/>
                          </w:rPr>
                          <w:tab/>
                        </w:r>
                        <w:hyperlink w:history="true" w:anchor="_bookmark16">
                          <w:r>
                            <w:rPr>
                              <w:color w:val="0000FF"/>
                              <w:spacing w:val="-7"/>
                              <w:sz w:val="20"/>
                              <w:u w:val="single" w:color="0000FF"/>
                            </w:rPr>
                            <w:t>57</w:t>
                          </w:r>
                        </w:hyperlink>
                      </w:p>
                    </w:txbxContent>
                  </v:textbox>
                  <v:fill type="solid"/>
                  <w10:wrap type="none"/>
                </v:shape>
                <w10:wrap type="none"/>
              </v:group>
            </w:pict>
          </mc:Fallback>
        </mc:AlternateContent>
      </w:r>
      <w:r>
        <w:rPr>
          <w:b/>
          <w:sz w:val="16"/>
        </w:rPr>
        <w:t>Page </w:t>
      </w:r>
      <w:r>
        <w:rPr>
          <w:b/>
          <w:spacing w:val="-5"/>
          <w:sz w:val="16"/>
        </w:rPr>
        <w:t>No.</w:t>
      </w:r>
    </w:p>
    <w:sdt>
      <w:sdtPr>
        <w:docPartObj>
          <w:docPartGallery w:val="Table of Contents"/>
          <w:docPartUnique/>
        </w:docPartObj>
      </w:sdtPr>
      <w:sdtEndPr/>
      <w:sdtContent>
        <w:p>
          <w:pPr>
            <w:pStyle w:val="TOC1"/>
            <w:tabs>
              <w:tab w:pos="10379" w:val="right" w:leader="none"/>
            </w:tabs>
            <w:spacing w:before="369"/>
            <w:rPr>
              <w:u w:val="none"/>
            </w:rPr>
          </w:pPr>
          <w:r>
            <w:rPr/>
            <mc:AlternateContent>
              <mc:Choice Requires="wps">
                <w:drawing>
                  <wp:anchor distT="0" distB="0" distL="0" distR="0" allowOverlap="1" layoutInCell="1" locked="0" behindDoc="0" simplePos="0" relativeHeight="15770112">
                    <wp:simplePos x="0" y="0"/>
                    <wp:positionH relativeFrom="page">
                      <wp:posOffset>628650</wp:posOffset>
                    </wp:positionH>
                    <wp:positionV relativeFrom="paragraph">
                      <wp:posOffset>412640</wp:posOffset>
                    </wp:positionV>
                    <wp:extent cx="6502400" cy="16510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6502400" cy="165100"/>
                            </a:xfrm>
                            <a:prstGeom prst="rect">
                              <a:avLst/>
                            </a:prstGeom>
                            <a:solidFill>
                              <a:srgbClr val="CCEDFF"/>
                            </a:solidFill>
                          </wps:spPr>
                          <wps:txbx>
                            <w:txbxContent>
                              <w:p>
                                <w:pPr>
                                  <w:pStyle w:val="BodyText"/>
                                  <w:tabs>
                                    <w:tab w:pos="10169" w:val="right" w:leader="none"/>
                                  </w:tabs>
                                  <w:spacing w:before="2"/>
                                  <w:ind w:left="50"/>
                                  <w:rPr>
                                    <w:color w:val="000000"/>
                                  </w:rPr>
                                </w:pPr>
                                <w:hyperlink w:history="true" w:anchor="_bookmark18">
                                  <w:r>
                                    <w:rPr>
                                      <w:color w:val="0000FF"/>
                                      <w:u w:val="single" w:color="0000FF"/>
                                    </w:rPr>
                                    <w:t>Consolidated</w:t>
                                  </w:r>
                                  <w:r>
                                    <w:rPr>
                                      <w:color w:val="0000FF"/>
                                      <w:spacing w:val="-3"/>
                                      <w:u w:val="single" w:color="0000FF"/>
                                    </w:rPr>
                                    <w:t> </w:t>
                                  </w:r>
                                  <w:r>
                                    <w:rPr>
                                      <w:color w:val="0000FF"/>
                                      <w:u w:val="single" w:color="0000FF"/>
                                    </w:rPr>
                                    <w:t>Statements</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Comprehensive</w:t>
                                  </w:r>
                                  <w:r>
                                    <w:rPr>
                                      <w:color w:val="0000FF"/>
                                      <w:spacing w:val="-2"/>
                                      <w:u w:val="single" w:color="0000FF"/>
                                    </w:rPr>
                                    <w:t> Income</w:t>
                                  </w:r>
                                </w:hyperlink>
                                <w:r>
                                  <w:rPr>
                                    <w:color w:val="0000FF"/>
                                  </w:rPr>
                                  <w:tab/>
                                </w:r>
                                <w:hyperlink w:history="true" w:anchor="_bookmark18">
                                  <w:r>
                                    <w:rPr>
                                      <w:color w:val="0000FF"/>
                                      <w:spacing w:val="-7"/>
                                      <w:u w:val="single" w:color="0000FF"/>
                                    </w:rPr>
                                    <w:t>59</w:t>
                                  </w:r>
                                </w:hyperlink>
                              </w:p>
                            </w:txbxContent>
                          </wps:txbx>
                          <wps:bodyPr wrap="square" lIns="0" tIns="0" rIns="0" bIns="0" rtlCol="0">
                            <a:noAutofit/>
                          </wps:bodyPr>
                        </wps:wsp>
                      </a:graphicData>
                    </a:graphic>
                  </wp:anchor>
                </w:drawing>
              </mc:Choice>
              <mc:Fallback>
                <w:pict>
                  <v:shape style="position:absolute;margin-left:49.5pt;margin-top:32.491405pt;width:512pt;height:13pt;mso-position-horizontal-relative:page;mso-position-vertical-relative:paragraph;z-index:15770112" type="#_x0000_t202" id="docshape164" filled="true" fillcolor="#ccedff" stroked="false">
                    <v:textbox inset="0,0,0,0">
                      <w:txbxContent>
                        <w:p>
                          <w:pPr>
                            <w:pStyle w:val="BodyText"/>
                            <w:tabs>
                              <w:tab w:pos="10169" w:val="right" w:leader="none"/>
                            </w:tabs>
                            <w:spacing w:before="2"/>
                            <w:ind w:left="50"/>
                            <w:rPr>
                              <w:color w:val="000000"/>
                            </w:rPr>
                          </w:pPr>
                          <w:hyperlink w:history="true" w:anchor="_bookmark18">
                            <w:r>
                              <w:rPr>
                                <w:color w:val="0000FF"/>
                                <w:u w:val="single" w:color="0000FF"/>
                              </w:rPr>
                              <w:t>Consolidated</w:t>
                            </w:r>
                            <w:r>
                              <w:rPr>
                                <w:color w:val="0000FF"/>
                                <w:spacing w:val="-3"/>
                                <w:u w:val="single" w:color="0000FF"/>
                              </w:rPr>
                              <w:t> </w:t>
                            </w:r>
                            <w:r>
                              <w:rPr>
                                <w:color w:val="0000FF"/>
                                <w:u w:val="single" w:color="0000FF"/>
                              </w:rPr>
                              <w:t>Statements</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Comprehensive</w:t>
                            </w:r>
                            <w:r>
                              <w:rPr>
                                <w:color w:val="0000FF"/>
                                <w:spacing w:val="-2"/>
                                <w:u w:val="single" w:color="0000FF"/>
                              </w:rPr>
                              <w:t> Income</w:t>
                            </w:r>
                          </w:hyperlink>
                          <w:r>
                            <w:rPr>
                              <w:color w:val="0000FF"/>
                            </w:rPr>
                            <w:tab/>
                          </w:r>
                          <w:hyperlink w:history="true" w:anchor="_bookmark18">
                            <w:r>
                              <w:rPr>
                                <w:color w:val="0000FF"/>
                                <w:spacing w:val="-7"/>
                                <w:u w:val="single" w:color="0000FF"/>
                              </w:rPr>
                              <w:t>59</w:t>
                            </w:r>
                          </w:hyperlink>
                        </w:p>
                      </w:txbxContent>
                    </v:textbox>
                    <v:fill type="solid"/>
                    <w10:wrap type="none"/>
                  </v:shape>
                </w:pict>
              </mc:Fallback>
            </mc:AlternateContent>
          </w:r>
          <w:hyperlink w:history="true" w:anchor="_bookmark17">
            <w:r>
              <w:rPr>
                <w:color w:val="0000FF"/>
                <w:u w:val="single" w:color="0000FF"/>
              </w:rPr>
              <w:t>Consolidated</w:t>
            </w:r>
            <w:r>
              <w:rPr>
                <w:color w:val="0000FF"/>
                <w:spacing w:val="-4"/>
                <w:u w:val="single" w:color="0000FF"/>
              </w:rPr>
              <w:t> </w:t>
            </w:r>
            <w:r>
              <w:rPr>
                <w:color w:val="0000FF"/>
                <w:u w:val="single" w:color="0000FF"/>
              </w:rPr>
              <w:t>Statements</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Income</w:t>
            </w:r>
          </w:hyperlink>
          <w:r>
            <w:rPr>
              <w:color w:val="0000FF"/>
              <w:u w:val="none"/>
            </w:rPr>
            <w:tab/>
          </w:r>
          <w:hyperlink w:history="true" w:anchor="_bookmark17">
            <w:r>
              <w:rPr>
                <w:color w:val="0000FF"/>
                <w:spacing w:val="-5"/>
                <w:u w:val="single" w:color="0000FF"/>
              </w:rPr>
              <w:t>58</w:t>
            </w:r>
          </w:hyperlink>
        </w:p>
        <w:p>
          <w:pPr>
            <w:pStyle w:val="TOC1"/>
            <w:tabs>
              <w:tab w:pos="10379" w:val="right" w:leader="none"/>
            </w:tabs>
            <w:rPr>
              <w:u w:val="none"/>
            </w:rPr>
          </w:pPr>
          <w:r>
            <w:rPr/>
            <mc:AlternateContent>
              <mc:Choice Requires="wps">
                <w:drawing>
                  <wp:anchor distT="0" distB="0" distL="0" distR="0" allowOverlap="1" layoutInCell="1" locked="0" behindDoc="0" simplePos="0" relativeHeight="15769600">
                    <wp:simplePos x="0" y="0"/>
                    <wp:positionH relativeFrom="page">
                      <wp:posOffset>628650</wp:posOffset>
                    </wp:positionH>
                    <wp:positionV relativeFrom="paragraph">
                      <wp:posOffset>387888</wp:posOffset>
                    </wp:positionV>
                    <wp:extent cx="6502400" cy="19050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6502400" cy="190500"/>
                            </a:xfrm>
                            <a:prstGeom prst="rect">
                              <a:avLst/>
                            </a:prstGeom>
                            <a:solidFill>
                              <a:srgbClr val="CCEDFF"/>
                            </a:solidFill>
                          </wps:spPr>
                          <wps:txbx>
                            <w:txbxContent>
                              <w:p>
                                <w:pPr>
                                  <w:pStyle w:val="BodyText"/>
                                  <w:tabs>
                                    <w:tab w:pos="10169" w:val="right" w:leader="none"/>
                                  </w:tabs>
                                  <w:spacing w:before="20"/>
                                  <w:ind w:left="50"/>
                                  <w:rPr>
                                    <w:color w:val="000000"/>
                                  </w:rPr>
                                </w:pPr>
                                <w:hyperlink w:history="true" w:anchor="_bookmark20">
                                  <w:r>
                                    <w:rPr>
                                      <w:color w:val="0000FF"/>
                                      <w:u w:val="single" w:color="0000FF"/>
                                    </w:rPr>
                                    <w:t>Consolidated</w:t>
                                  </w:r>
                                  <w:r>
                                    <w:rPr>
                                      <w:color w:val="0000FF"/>
                                      <w:spacing w:val="-3"/>
                                      <w:u w:val="single" w:color="0000FF"/>
                                    </w:rPr>
                                    <w:t> </w:t>
                                  </w:r>
                                  <w:r>
                                    <w:rPr>
                                      <w:color w:val="0000FF"/>
                                      <w:u w:val="single" w:color="0000FF"/>
                                    </w:rPr>
                                    <w:t>Statements</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Cash</w:t>
                                  </w:r>
                                  <w:r>
                                    <w:rPr>
                                      <w:color w:val="0000FF"/>
                                      <w:spacing w:val="-2"/>
                                      <w:u w:val="single" w:color="0000FF"/>
                                    </w:rPr>
                                    <w:t> Flows</w:t>
                                  </w:r>
                                </w:hyperlink>
                                <w:r>
                                  <w:rPr>
                                    <w:color w:val="0000FF"/>
                                  </w:rPr>
                                  <w:tab/>
                                </w:r>
                                <w:hyperlink w:history="true" w:anchor="_bookmark20">
                                  <w:r>
                                    <w:rPr>
                                      <w:color w:val="0000FF"/>
                                      <w:spacing w:val="-7"/>
                                      <w:u w:val="single" w:color="0000FF"/>
                                    </w:rPr>
                                    <w:t>61</w:t>
                                  </w:r>
                                </w:hyperlink>
                              </w:p>
                            </w:txbxContent>
                          </wps:txbx>
                          <wps:bodyPr wrap="square" lIns="0" tIns="0" rIns="0" bIns="0" rtlCol="0">
                            <a:noAutofit/>
                          </wps:bodyPr>
                        </wps:wsp>
                      </a:graphicData>
                    </a:graphic>
                  </wp:anchor>
                </w:drawing>
              </mc:Choice>
              <mc:Fallback>
                <w:pict>
                  <v:shape style="position:absolute;margin-left:49.5pt;margin-top:30.542383pt;width:512pt;height:15pt;mso-position-horizontal-relative:page;mso-position-vertical-relative:paragraph;z-index:15769600" type="#_x0000_t202" id="docshape165" filled="true" fillcolor="#ccedff" stroked="false">
                    <v:textbox inset="0,0,0,0">
                      <w:txbxContent>
                        <w:p>
                          <w:pPr>
                            <w:pStyle w:val="BodyText"/>
                            <w:tabs>
                              <w:tab w:pos="10169" w:val="right" w:leader="none"/>
                            </w:tabs>
                            <w:spacing w:before="20"/>
                            <w:ind w:left="50"/>
                            <w:rPr>
                              <w:color w:val="000000"/>
                            </w:rPr>
                          </w:pPr>
                          <w:hyperlink w:history="true" w:anchor="_bookmark20">
                            <w:r>
                              <w:rPr>
                                <w:color w:val="0000FF"/>
                                <w:u w:val="single" w:color="0000FF"/>
                              </w:rPr>
                              <w:t>Consolidated</w:t>
                            </w:r>
                            <w:r>
                              <w:rPr>
                                <w:color w:val="0000FF"/>
                                <w:spacing w:val="-3"/>
                                <w:u w:val="single" w:color="0000FF"/>
                              </w:rPr>
                              <w:t> </w:t>
                            </w:r>
                            <w:r>
                              <w:rPr>
                                <w:color w:val="0000FF"/>
                                <w:u w:val="single" w:color="0000FF"/>
                              </w:rPr>
                              <w:t>Statements</w:t>
                            </w:r>
                            <w:r>
                              <w:rPr>
                                <w:color w:val="0000FF"/>
                                <w:spacing w:val="-3"/>
                                <w:u w:val="single" w:color="0000FF"/>
                              </w:rPr>
                              <w:t> </w:t>
                            </w:r>
                            <w:r>
                              <w:rPr>
                                <w:color w:val="0000FF"/>
                                <w:u w:val="single" w:color="0000FF"/>
                              </w:rPr>
                              <w:t>of</w:t>
                            </w:r>
                            <w:r>
                              <w:rPr>
                                <w:color w:val="0000FF"/>
                                <w:spacing w:val="-2"/>
                                <w:u w:val="single" w:color="0000FF"/>
                              </w:rPr>
                              <w:t> </w:t>
                            </w:r>
                            <w:r>
                              <w:rPr>
                                <w:color w:val="0000FF"/>
                                <w:u w:val="single" w:color="0000FF"/>
                              </w:rPr>
                              <w:t>Cash</w:t>
                            </w:r>
                            <w:r>
                              <w:rPr>
                                <w:color w:val="0000FF"/>
                                <w:spacing w:val="-2"/>
                                <w:u w:val="single" w:color="0000FF"/>
                              </w:rPr>
                              <w:t> Flows</w:t>
                            </w:r>
                          </w:hyperlink>
                          <w:r>
                            <w:rPr>
                              <w:color w:val="0000FF"/>
                            </w:rPr>
                            <w:tab/>
                          </w:r>
                          <w:hyperlink w:history="true" w:anchor="_bookmark20">
                            <w:r>
                              <w:rPr>
                                <w:color w:val="0000FF"/>
                                <w:spacing w:val="-7"/>
                                <w:u w:val="single" w:color="0000FF"/>
                              </w:rPr>
                              <w:t>61</w:t>
                            </w:r>
                          </w:hyperlink>
                        </w:p>
                      </w:txbxContent>
                    </v:textbox>
                    <v:fill type="solid"/>
                    <w10:wrap type="none"/>
                  </v:shape>
                </w:pict>
              </mc:Fallback>
            </mc:AlternateContent>
          </w:r>
          <w:hyperlink w:history="true" w:anchor="_bookmark19">
            <w:r>
              <w:rPr>
                <w:color w:val="0000FF"/>
                <w:u w:val="single" w:color="0000FF"/>
              </w:rPr>
              <w:t>Consolidated</w:t>
            </w:r>
            <w:r>
              <w:rPr>
                <w:color w:val="0000FF"/>
                <w:spacing w:val="-6"/>
                <w:u w:val="single" w:color="0000FF"/>
              </w:rPr>
              <w:t> </w:t>
            </w:r>
            <w:r>
              <w:rPr>
                <w:color w:val="0000FF"/>
                <w:u w:val="single" w:color="0000FF"/>
              </w:rPr>
              <w:t>Statements</w:t>
            </w:r>
            <w:r>
              <w:rPr>
                <w:color w:val="0000FF"/>
                <w:spacing w:val="-6"/>
                <w:u w:val="single" w:color="0000FF"/>
              </w:rPr>
              <w:t> </w:t>
            </w:r>
            <w:r>
              <w:rPr>
                <w:color w:val="0000FF"/>
                <w:u w:val="single" w:color="0000FF"/>
              </w:rPr>
              <w:t>of</w:t>
            </w:r>
            <w:r>
              <w:rPr>
                <w:color w:val="0000FF"/>
                <w:spacing w:val="-5"/>
                <w:u w:val="single" w:color="0000FF"/>
              </w:rPr>
              <w:t> </w:t>
            </w:r>
            <w:r>
              <w:rPr>
                <w:color w:val="0000FF"/>
                <w:u w:val="single" w:color="0000FF"/>
              </w:rPr>
              <w:t>Stockholders'</w:t>
            </w:r>
            <w:r>
              <w:rPr>
                <w:color w:val="0000FF"/>
                <w:spacing w:val="-6"/>
                <w:u w:val="single" w:color="0000FF"/>
              </w:rPr>
              <w:t> </w:t>
            </w:r>
            <w:r>
              <w:rPr>
                <w:color w:val="0000FF"/>
                <w:spacing w:val="-2"/>
                <w:u w:val="single" w:color="0000FF"/>
              </w:rPr>
              <w:t>Equity</w:t>
            </w:r>
          </w:hyperlink>
          <w:r>
            <w:rPr>
              <w:color w:val="0000FF"/>
              <w:u w:val="none"/>
            </w:rPr>
            <w:tab/>
          </w:r>
          <w:hyperlink w:history="true" w:anchor="_bookmark19">
            <w:r>
              <w:rPr>
                <w:color w:val="0000FF"/>
                <w:spacing w:val="-5"/>
                <w:u w:val="single" w:color="0000FF"/>
              </w:rPr>
              <w:t>60</w:t>
            </w:r>
          </w:hyperlink>
        </w:p>
        <w:p>
          <w:pPr>
            <w:pStyle w:val="TOC1"/>
            <w:tabs>
              <w:tab w:pos="10379" w:val="right" w:leader="none"/>
            </w:tabs>
            <w:spacing w:before="370"/>
            <w:rPr>
              <w:u w:val="none"/>
            </w:rPr>
          </w:pPr>
          <w:r>
            <w:rPr/>
            <mc:AlternateContent>
              <mc:Choice Requires="wps">
                <w:drawing>
                  <wp:anchor distT="0" distB="0" distL="0" distR="0" allowOverlap="1" layoutInCell="1" locked="0" behindDoc="0" simplePos="0" relativeHeight="15769088">
                    <wp:simplePos x="0" y="0"/>
                    <wp:positionH relativeFrom="page">
                      <wp:posOffset>628650</wp:posOffset>
                    </wp:positionH>
                    <wp:positionV relativeFrom="paragraph">
                      <wp:posOffset>413300</wp:posOffset>
                    </wp:positionV>
                    <wp:extent cx="6502400" cy="19050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6502400" cy="190500"/>
                            </a:xfrm>
                            <a:prstGeom prst="rect">
                              <a:avLst/>
                            </a:prstGeom>
                            <a:solidFill>
                              <a:srgbClr val="CCEDFF"/>
                            </a:solidFill>
                          </wps:spPr>
                          <wps:txbx>
                            <w:txbxContent>
                              <w:p>
                                <w:pPr>
                                  <w:pStyle w:val="BodyText"/>
                                  <w:tabs>
                                    <w:tab w:pos="10169" w:val="right" w:leader="none"/>
                                  </w:tabs>
                                  <w:spacing w:before="20"/>
                                  <w:ind w:left="50"/>
                                  <w:rPr>
                                    <w:color w:val="000000"/>
                                  </w:rPr>
                                </w:pPr>
                                <w:hyperlink w:history="true" w:anchor="_bookmark33">
                                  <w:r>
                                    <w:rPr>
                                      <w:color w:val="0000FF"/>
                                      <w:u w:val="single" w:color="0000FF"/>
                                    </w:rPr>
                                    <w:t>Report</w:t>
                                  </w:r>
                                  <w:r>
                                    <w:rPr>
                                      <w:color w:val="0000FF"/>
                                      <w:spacing w:val="-6"/>
                                      <w:u w:val="single" w:color="0000FF"/>
                                    </w:rPr>
                                    <w:t> </w:t>
                                  </w:r>
                                  <w:r>
                                    <w:rPr>
                                      <w:color w:val="0000FF"/>
                                      <w:u w:val="single" w:color="0000FF"/>
                                    </w:rPr>
                                    <w:t>of</w:t>
                                  </w:r>
                                  <w:r>
                                    <w:rPr>
                                      <w:color w:val="0000FF"/>
                                      <w:spacing w:val="-4"/>
                                      <w:u w:val="single" w:color="0000FF"/>
                                    </w:rPr>
                                    <w:t> </w:t>
                                  </w:r>
                                  <w:r>
                                    <w:rPr>
                                      <w:color w:val="0000FF"/>
                                      <w:u w:val="single" w:color="0000FF"/>
                                    </w:rPr>
                                    <w:t>KPMG</w:t>
                                  </w:r>
                                  <w:r>
                                    <w:rPr>
                                      <w:color w:val="0000FF"/>
                                      <w:spacing w:val="-5"/>
                                      <w:u w:val="single" w:color="0000FF"/>
                                    </w:rPr>
                                    <w:t> </w:t>
                                  </w:r>
                                  <w:r>
                                    <w:rPr>
                                      <w:color w:val="0000FF"/>
                                      <w:u w:val="single" w:color="0000FF"/>
                                    </w:rPr>
                                    <w:t>LLP,</w:t>
                                  </w:r>
                                  <w:r>
                                    <w:rPr>
                                      <w:color w:val="0000FF"/>
                                      <w:spacing w:val="-3"/>
                                      <w:u w:val="single" w:color="0000FF"/>
                                    </w:rPr>
                                    <w:t> </w:t>
                                  </w:r>
                                  <w:r>
                                    <w:rPr>
                                      <w:color w:val="0000FF"/>
                                      <w:u w:val="single" w:color="0000FF"/>
                                    </w:rPr>
                                    <w:t>Independent</w:t>
                                  </w:r>
                                  <w:r>
                                    <w:rPr>
                                      <w:color w:val="0000FF"/>
                                      <w:spacing w:val="-4"/>
                                      <w:u w:val="single" w:color="0000FF"/>
                                    </w:rPr>
                                    <w:t> </w:t>
                                  </w:r>
                                  <w:r>
                                    <w:rPr>
                                      <w:color w:val="0000FF"/>
                                      <w:u w:val="single" w:color="0000FF"/>
                                    </w:rPr>
                                    <w:t>Registered</w:t>
                                  </w:r>
                                  <w:r>
                                    <w:rPr>
                                      <w:color w:val="0000FF"/>
                                      <w:spacing w:val="-3"/>
                                      <w:u w:val="single" w:color="0000FF"/>
                                    </w:rPr>
                                    <w:t> </w:t>
                                  </w:r>
                                  <w:r>
                                    <w:rPr>
                                      <w:color w:val="0000FF"/>
                                      <w:u w:val="single" w:color="0000FF"/>
                                    </w:rPr>
                                    <w:t>Public</w:t>
                                  </w:r>
                                  <w:r>
                                    <w:rPr>
                                      <w:color w:val="0000FF"/>
                                      <w:spacing w:val="-13"/>
                                      <w:u w:val="single" w:color="0000FF"/>
                                    </w:rPr>
                                    <w:t> </w:t>
                                  </w:r>
                                  <w:r>
                                    <w:rPr>
                                      <w:color w:val="0000FF"/>
                                      <w:u w:val="single" w:color="0000FF"/>
                                    </w:rPr>
                                    <w:t>Accounting</w:t>
                                  </w:r>
                                  <w:r>
                                    <w:rPr>
                                      <w:color w:val="0000FF"/>
                                      <w:spacing w:val="-3"/>
                                      <w:u w:val="single" w:color="0000FF"/>
                                    </w:rPr>
                                    <w:t> </w:t>
                                  </w:r>
                                  <w:r>
                                    <w:rPr>
                                      <w:color w:val="0000FF"/>
                                      <w:spacing w:val="-4"/>
                                      <w:u w:val="single" w:color="0000FF"/>
                                    </w:rPr>
                                    <w:t>Firm</w:t>
                                  </w:r>
                                </w:hyperlink>
                                <w:r>
                                  <w:rPr>
                                    <w:color w:val="0000FF"/>
                                  </w:rPr>
                                  <w:tab/>
                                </w:r>
                                <w:hyperlink w:history="true" w:anchor="_bookmark33">
                                  <w:r>
                                    <w:rPr>
                                      <w:color w:val="0000FF"/>
                                      <w:spacing w:val="-7"/>
                                      <w:u w:val="single" w:color="0000FF"/>
                                    </w:rPr>
                                    <w:t>97</w:t>
                                  </w:r>
                                </w:hyperlink>
                              </w:p>
                            </w:txbxContent>
                          </wps:txbx>
                          <wps:bodyPr wrap="square" lIns="0" tIns="0" rIns="0" bIns="0" rtlCol="0">
                            <a:noAutofit/>
                          </wps:bodyPr>
                        </wps:wsp>
                      </a:graphicData>
                    </a:graphic>
                  </wp:anchor>
                </w:drawing>
              </mc:Choice>
              <mc:Fallback>
                <w:pict>
                  <v:shape style="position:absolute;margin-left:49.5pt;margin-top:32.543358pt;width:512pt;height:15pt;mso-position-horizontal-relative:page;mso-position-vertical-relative:paragraph;z-index:15769088" type="#_x0000_t202" id="docshape166" filled="true" fillcolor="#ccedff" stroked="false">
                    <v:textbox inset="0,0,0,0">
                      <w:txbxContent>
                        <w:p>
                          <w:pPr>
                            <w:pStyle w:val="BodyText"/>
                            <w:tabs>
                              <w:tab w:pos="10169" w:val="right" w:leader="none"/>
                            </w:tabs>
                            <w:spacing w:before="20"/>
                            <w:ind w:left="50"/>
                            <w:rPr>
                              <w:color w:val="000000"/>
                            </w:rPr>
                          </w:pPr>
                          <w:hyperlink w:history="true" w:anchor="_bookmark33">
                            <w:r>
                              <w:rPr>
                                <w:color w:val="0000FF"/>
                                <w:u w:val="single" w:color="0000FF"/>
                              </w:rPr>
                              <w:t>Report</w:t>
                            </w:r>
                            <w:r>
                              <w:rPr>
                                <w:color w:val="0000FF"/>
                                <w:spacing w:val="-6"/>
                                <w:u w:val="single" w:color="0000FF"/>
                              </w:rPr>
                              <w:t> </w:t>
                            </w:r>
                            <w:r>
                              <w:rPr>
                                <w:color w:val="0000FF"/>
                                <w:u w:val="single" w:color="0000FF"/>
                              </w:rPr>
                              <w:t>of</w:t>
                            </w:r>
                            <w:r>
                              <w:rPr>
                                <w:color w:val="0000FF"/>
                                <w:spacing w:val="-4"/>
                                <w:u w:val="single" w:color="0000FF"/>
                              </w:rPr>
                              <w:t> </w:t>
                            </w:r>
                            <w:r>
                              <w:rPr>
                                <w:color w:val="0000FF"/>
                                <w:u w:val="single" w:color="0000FF"/>
                              </w:rPr>
                              <w:t>KPMG</w:t>
                            </w:r>
                            <w:r>
                              <w:rPr>
                                <w:color w:val="0000FF"/>
                                <w:spacing w:val="-5"/>
                                <w:u w:val="single" w:color="0000FF"/>
                              </w:rPr>
                              <w:t> </w:t>
                            </w:r>
                            <w:r>
                              <w:rPr>
                                <w:color w:val="0000FF"/>
                                <w:u w:val="single" w:color="0000FF"/>
                              </w:rPr>
                              <w:t>LLP,</w:t>
                            </w:r>
                            <w:r>
                              <w:rPr>
                                <w:color w:val="0000FF"/>
                                <w:spacing w:val="-3"/>
                                <w:u w:val="single" w:color="0000FF"/>
                              </w:rPr>
                              <w:t> </w:t>
                            </w:r>
                            <w:r>
                              <w:rPr>
                                <w:color w:val="0000FF"/>
                                <w:u w:val="single" w:color="0000FF"/>
                              </w:rPr>
                              <w:t>Independent</w:t>
                            </w:r>
                            <w:r>
                              <w:rPr>
                                <w:color w:val="0000FF"/>
                                <w:spacing w:val="-4"/>
                                <w:u w:val="single" w:color="0000FF"/>
                              </w:rPr>
                              <w:t> </w:t>
                            </w:r>
                            <w:r>
                              <w:rPr>
                                <w:color w:val="0000FF"/>
                                <w:u w:val="single" w:color="0000FF"/>
                              </w:rPr>
                              <w:t>Registered</w:t>
                            </w:r>
                            <w:r>
                              <w:rPr>
                                <w:color w:val="0000FF"/>
                                <w:spacing w:val="-3"/>
                                <w:u w:val="single" w:color="0000FF"/>
                              </w:rPr>
                              <w:t> </w:t>
                            </w:r>
                            <w:r>
                              <w:rPr>
                                <w:color w:val="0000FF"/>
                                <w:u w:val="single" w:color="0000FF"/>
                              </w:rPr>
                              <w:t>Public</w:t>
                            </w:r>
                            <w:r>
                              <w:rPr>
                                <w:color w:val="0000FF"/>
                                <w:spacing w:val="-13"/>
                                <w:u w:val="single" w:color="0000FF"/>
                              </w:rPr>
                              <w:t> </w:t>
                            </w:r>
                            <w:r>
                              <w:rPr>
                                <w:color w:val="0000FF"/>
                                <w:u w:val="single" w:color="0000FF"/>
                              </w:rPr>
                              <w:t>Accounting</w:t>
                            </w:r>
                            <w:r>
                              <w:rPr>
                                <w:color w:val="0000FF"/>
                                <w:spacing w:val="-3"/>
                                <w:u w:val="single" w:color="0000FF"/>
                              </w:rPr>
                              <w:t> </w:t>
                            </w:r>
                            <w:r>
                              <w:rPr>
                                <w:color w:val="0000FF"/>
                                <w:spacing w:val="-4"/>
                                <w:u w:val="single" w:color="0000FF"/>
                              </w:rPr>
                              <w:t>Firm</w:t>
                            </w:r>
                          </w:hyperlink>
                          <w:r>
                            <w:rPr>
                              <w:color w:val="0000FF"/>
                            </w:rPr>
                            <w:tab/>
                          </w:r>
                          <w:hyperlink w:history="true" w:anchor="_bookmark33">
                            <w:r>
                              <w:rPr>
                                <w:color w:val="0000FF"/>
                                <w:spacing w:val="-7"/>
                                <w:u w:val="single" w:color="0000FF"/>
                              </w:rPr>
                              <w:t>97</w:t>
                            </w:r>
                          </w:hyperlink>
                        </w:p>
                      </w:txbxContent>
                    </v:textbox>
                    <v:fill type="solid"/>
                    <w10:wrap type="none"/>
                  </v:shape>
                </w:pict>
              </mc:Fallback>
            </mc:AlternateContent>
          </w:r>
          <w:hyperlink w:history="true" w:anchor="_bookmark22">
            <w:r>
              <w:rPr>
                <w:color w:val="0000FF"/>
                <w:u w:val="single" w:color="0000FF"/>
              </w:rPr>
              <w:t>Notes</w:t>
            </w:r>
            <w:r>
              <w:rPr>
                <w:color w:val="0000FF"/>
                <w:spacing w:val="-2"/>
                <w:u w:val="single" w:color="0000FF"/>
              </w:rPr>
              <w:t> </w:t>
            </w:r>
            <w:r>
              <w:rPr>
                <w:color w:val="0000FF"/>
                <w:u w:val="single" w:color="0000FF"/>
              </w:rPr>
              <w:t>to</w:t>
            </w:r>
            <w:r>
              <w:rPr>
                <w:color w:val="0000FF"/>
                <w:spacing w:val="-1"/>
                <w:u w:val="single" w:color="0000FF"/>
              </w:rPr>
              <w:t> </w:t>
            </w:r>
            <w:r>
              <w:rPr>
                <w:color w:val="0000FF"/>
                <w:u w:val="single" w:color="0000FF"/>
              </w:rPr>
              <w:t>Consolidated</w:t>
            </w:r>
            <w:r>
              <w:rPr>
                <w:color w:val="0000FF"/>
                <w:spacing w:val="-1"/>
                <w:u w:val="single" w:color="0000FF"/>
              </w:rPr>
              <w:t> </w:t>
            </w:r>
            <w:r>
              <w:rPr>
                <w:color w:val="0000FF"/>
                <w:u w:val="single" w:color="0000FF"/>
              </w:rPr>
              <w:t>Financial</w:t>
            </w:r>
            <w:r>
              <w:rPr>
                <w:color w:val="0000FF"/>
                <w:spacing w:val="-1"/>
                <w:u w:val="single" w:color="0000FF"/>
              </w:rPr>
              <w:t> </w:t>
            </w:r>
            <w:r>
              <w:rPr>
                <w:color w:val="0000FF"/>
                <w:spacing w:val="-2"/>
                <w:u w:val="single" w:color="0000FF"/>
              </w:rPr>
              <w:t>Statements</w:t>
            </w:r>
          </w:hyperlink>
          <w:r>
            <w:rPr>
              <w:color w:val="0000FF"/>
              <w:u w:val="none"/>
            </w:rPr>
            <w:tab/>
          </w:r>
          <w:hyperlink w:history="true" w:anchor="_bookmark22">
            <w:r>
              <w:rPr>
                <w:color w:val="0000FF"/>
                <w:spacing w:val="-5"/>
                <w:u w:val="single" w:color="0000FF"/>
              </w:rPr>
              <w:t>62</w:t>
            </w:r>
          </w:hyperlink>
        </w:p>
      </w:sdtContent>
    </w:sdt>
    <w:p>
      <w:pPr>
        <w:pStyle w:val="BodyText"/>
        <w:spacing w:line="249" w:lineRule="auto" w:before="574"/>
        <w:ind w:left="220" w:right="257" w:firstLine="540"/>
        <w:jc w:val="both"/>
      </w:pPr>
      <w:r>
        <w:rPr/>
        <w:t>All financial statement schedules have been omitted, since the required information is not applicable or is not present in amounts sufficient to require submission of the schedule, or because the information required is included in the Consolidated Financial Statements and Notes thereto.</w:t>
      </w:r>
    </w:p>
    <w:p>
      <w:pPr>
        <w:spacing w:after="0" w:line="249" w:lineRule="auto"/>
        <w:jc w:val="both"/>
        <w:sectPr>
          <w:pgSz w:w="12240" w:h="15840"/>
          <w:pgMar w:header="210" w:footer="579" w:top="420" w:bottom="800" w:left="780" w:right="740"/>
        </w:sectPr>
      </w:pPr>
    </w:p>
    <w:p>
      <w:pPr>
        <w:pStyle w:val="Heading1"/>
        <w:spacing w:before="130"/>
        <w:ind w:left="289" w:right="280"/>
        <w:jc w:val="center"/>
      </w:pPr>
      <w:bookmarkStart w:name="Consolidated Balance Sheets" w:id="53"/>
      <w:bookmarkEnd w:id="53"/>
      <w:r>
        <w:rPr>
          <w:b w:val="0"/>
        </w:rPr>
      </w:r>
      <w:bookmarkStart w:name="_bookmark16" w:id="54"/>
      <w:bookmarkEnd w:id="54"/>
      <w:r>
        <w:rPr>
          <w:b w:val="0"/>
        </w:rPr>
      </w:r>
      <w:r>
        <w:rPr>
          <w:spacing w:val="-2"/>
        </w:rPr>
        <w:t>CONSOLIDATED</w:t>
      </w:r>
      <w:r>
        <w:rPr>
          <w:spacing w:val="5"/>
        </w:rPr>
        <w:t> </w:t>
      </w:r>
      <w:r>
        <w:rPr>
          <w:spacing w:val="-2"/>
        </w:rPr>
        <w:t>BALANCE</w:t>
      </w:r>
      <w:r>
        <w:rPr>
          <w:spacing w:val="7"/>
        </w:rPr>
        <w:t> </w:t>
      </w:r>
      <w:r>
        <w:rPr>
          <w:spacing w:val="-2"/>
        </w:rPr>
        <w:t>SHEETS</w:t>
      </w:r>
    </w:p>
    <w:p>
      <w:pPr>
        <w:pStyle w:val="Heading2"/>
        <w:spacing w:before="130"/>
        <w:ind w:left="3846" w:right="3884"/>
        <w:jc w:val="center"/>
      </w:pPr>
      <w:r>
        <w:rPr/>
        <w:t>(In</w:t>
      </w:r>
      <w:r>
        <w:rPr>
          <w:spacing w:val="-2"/>
        </w:rPr>
        <w:t> </w:t>
      </w:r>
      <w:r>
        <w:rPr/>
        <w:t>thousands,</w:t>
      </w:r>
      <w:r>
        <w:rPr>
          <w:spacing w:val="-1"/>
        </w:rPr>
        <w:t> </w:t>
      </w:r>
      <w:r>
        <w:rPr/>
        <w:t>except par</w:t>
      </w:r>
      <w:r>
        <w:rPr>
          <w:spacing w:val="-4"/>
        </w:rPr>
        <w:t> </w:t>
      </w:r>
      <w:r>
        <w:rPr>
          <w:spacing w:val="-2"/>
        </w:rPr>
        <w:t>value)</w:t>
      </w:r>
    </w:p>
    <w:p>
      <w:pPr>
        <w:pStyle w:val="BodyText"/>
        <w:spacing w:before="1"/>
        <w:rPr>
          <w:b/>
          <w:sz w:val="19"/>
        </w:rPr>
      </w:pPr>
    </w:p>
    <w:p>
      <w:pPr>
        <w:spacing w:after="0"/>
        <w:rPr>
          <w:sz w:val="19"/>
        </w:rPr>
        <w:sectPr>
          <w:headerReference w:type="default" r:id="rId26"/>
          <w:footerReference w:type="default" r:id="rId27"/>
          <w:pgSz w:w="12240" w:h="15840"/>
          <w:pgMar w:header="210" w:footer="610" w:top="1020" w:bottom="800" w:left="780" w:right="740"/>
        </w:sectPr>
      </w:pPr>
    </w:p>
    <w:p>
      <w:pPr>
        <w:pStyle w:val="BodyText"/>
        <w:rPr>
          <w:b/>
          <w:sz w:val="18"/>
        </w:rPr>
      </w:pPr>
    </w:p>
    <w:p>
      <w:pPr>
        <w:pStyle w:val="BodyText"/>
        <w:spacing w:before="77"/>
        <w:rPr>
          <w:b/>
          <w:sz w:val="18"/>
        </w:rPr>
      </w:pPr>
    </w:p>
    <w:p>
      <w:pPr>
        <w:spacing w:before="0"/>
        <w:ind w:left="0" w:right="0" w:firstLine="0"/>
        <w:jc w:val="right"/>
        <w:rPr>
          <w:b/>
          <w:sz w:val="18"/>
        </w:rPr>
      </w:pPr>
      <w:r>
        <w:rPr>
          <w:b/>
          <w:spacing w:val="-2"/>
          <w:sz w:val="18"/>
        </w:rPr>
        <w:t>ASSETS</w:t>
      </w:r>
    </w:p>
    <w:p>
      <w:pPr>
        <w:spacing w:line="172" w:lineRule="exact" w:before="93"/>
        <w:ind w:left="3543" w:right="0" w:firstLine="0"/>
        <w:jc w:val="center"/>
        <w:rPr>
          <w:b/>
          <w:sz w:val="16"/>
        </w:rPr>
      </w:pPr>
      <w:r>
        <w:rPr/>
        <w:br w:type="column"/>
      </w:r>
      <w:r>
        <w:rPr>
          <w:b/>
          <w:sz w:val="16"/>
        </w:rPr>
        <w:t>December</w:t>
      </w:r>
      <w:r>
        <w:rPr>
          <w:b/>
          <w:spacing w:val="-2"/>
          <w:sz w:val="16"/>
        </w:rPr>
        <w:t> </w:t>
      </w:r>
      <w:r>
        <w:rPr>
          <w:b/>
          <w:spacing w:val="-5"/>
          <w:sz w:val="16"/>
        </w:rPr>
        <w:t>1,</w:t>
      </w:r>
    </w:p>
    <w:p>
      <w:pPr>
        <w:spacing w:line="172" w:lineRule="exact" w:before="0"/>
        <w:ind w:left="3542" w:right="0" w:firstLine="0"/>
        <w:jc w:val="center"/>
        <w:rPr>
          <w:b/>
          <w:sz w:val="16"/>
        </w:rPr>
      </w:pPr>
      <w:r>
        <w:rPr/>
        <mc:AlternateContent>
          <mc:Choice Requires="wps">
            <w:drawing>
              <wp:anchor distT="0" distB="0" distL="0" distR="0" allowOverlap="1" layoutInCell="1" locked="0" behindDoc="0" simplePos="0" relativeHeight="15772672">
                <wp:simplePos x="0" y="0"/>
                <wp:positionH relativeFrom="page">
                  <wp:posOffset>5302250</wp:posOffset>
                </wp:positionH>
                <wp:positionV relativeFrom="paragraph">
                  <wp:posOffset>141162</wp:posOffset>
                </wp:positionV>
                <wp:extent cx="88900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417.5pt,11.115186pt" to="487.5pt,11.115186pt" stroked="true" strokeweight="1pt" strokecolor="#000000">
                <v:stroke dashstyle="solid"/>
                <w10:wrap type="none"/>
              </v:line>
            </w:pict>
          </mc:Fallback>
        </mc:AlternateContent>
      </w:r>
      <w:r>
        <w:rPr>
          <w:b/>
          <w:spacing w:val="-4"/>
          <w:sz w:val="16"/>
        </w:rPr>
        <w:t>2017</w:t>
      </w:r>
    </w:p>
    <w:p>
      <w:pPr>
        <w:spacing w:line="172" w:lineRule="exact" w:before="93"/>
        <w:ind w:left="33" w:right="0" w:firstLine="0"/>
        <w:jc w:val="center"/>
        <w:rPr>
          <w:b/>
          <w:sz w:val="16"/>
        </w:rPr>
      </w:pPr>
      <w:r>
        <w:rPr/>
        <w:br w:type="column"/>
      </w:r>
      <w:r>
        <w:rPr>
          <w:b/>
          <w:sz w:val="16"/>
        </w:rPr>
        <w:t>December</w:t>
      </w:r>
      <w:r>
        <w:rPr>
          <w:b/>
          <w:spacing w:val="-4"/>
          <w:sz w:val="16"/>
        </w:rPr>
        <w:t> </w:t>
      </w:r>
      <w:r>
        <w:rPr>
          <w:b/>
          <w:spacing w:val="-5"/>
          <w:sz w:val="16"/>
        </w:rPr>
        <w:t>2,</w:t>
      </w:r>
    </w:p>
    <w:p>
      <w:pPr>
        <w:spacing w:line="172" w:lineRule="exact" w:before="0"/>
        <w:ind w:left="33" w:right="0" w:firstLine="0"/>
        <w:jc w:val="center"/>
        <w:rPr>
          <w:b/>
          <w:sz w:val="16"/>
        </w:rPr>
      </w:pPr>
      <w:r>
        <w:rPr>
          <w:b/>
          <w:spacing w:val="-4"/>
          <w:sz w:val="16"/>
        </w:rPr>
        <w:t>2016</w:t>
      </w:r>
    </w:p>
    <w:p>
      <w:pPr>
        <w:pStyle w:val="BodyText"/>
        <w:spacing w:before="4"/>
        <w:rPr>
          <w:b/>
          <w:sz w:val="4"/>
        </w:rPr>
      </w:pPr>
    </w:p>
    <w:p>
      <w:pPr>
        <w:pStyle w:val="BodyText"/>
        <w:spacing w:line="20" w:lineRule="exact"/>
        <w:ind w:left="323"/>
        <w:rPr>
          <w:sz w:val="2"/>
        </w:rPr>
      </w:pPr>
      <w:r>
        <w:rPr>
          <w:sz w:val="2"/>
        </w:rPr>
        <mc:AlternateContent>
          <mc:Choice Requires="wps">
            <w:drawing>
              <wp:inline distT="0" distB="0" distL="0" distR="0">
                <wp:extent cx="889000" cy="12700"/>
                <wp:effectExtent l="9525" t="0" r="6350" b="6350"/>
                <wp:docPr id="230" name="Group 230"/>
                <wp:cNvGraphicFramePr>
                  <a:graphicFrameLocks/>
                </wp:cNvGraphicFramePr>
                <a:graphic>
                  <a:graphicData uri="http://schemas.microsoft.com/office/word/2010/wordprocessingGroup">
                    <wpg:wgp>
                      <wpg:cNvPr id="230" name="Group 230"/>
                      <wpg:cNvGrpSpPr/>
                      <wpg:grpSpPr>
                        <a:xfrm>
                          <a:off x="0" y="0"/>
                          <a:ext cx="889000" cy="12700"/>
                          <a:chExt cx="889000" cy="12700"/>
                        </a:xfrm>
                      </wpg:grpSpPr>
                      <wps:wsp>
                        <wps:cNvPr id="231" name="Graphic 231"/>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170" coordorigin="0,0" coordsize="1400,20">
                <v:line style="position:absolute" from="0,10" to="1400,10" stroked="true" strokeweight="1pt" strokecolor="#000000">
                  <v:stroke dashstyle="solid"/>
                </v:line>
              </v:group>
            </w:pict>
          </mc:Fallback>
        </mc:AlternateContent>
      </w:r>
      <w:r>
        <w:rPr>
          <w:sz w:val="2"/>
        </w:rPr>
      </w:r>
    </w:p>
    <w:p>
      <w:pPr>
        <w:spacing w:after="0" w:line="20" w:lineRule="exact"/>
        <w:rPr>
          <w:sz w:val="2"/>
        </w:rPr>
        <w:sectPr>
          <w:type w:val="continuous"/>
          <w:pgSz w:w="12240" w:h="15840"/>
          <w:pgMar w:header="210" w:footer="610" w:top="680" w:bottom="280" w:left="780" w:right="740"/>
          <w:cols w:num="3" w:equalWidth="0">
            <w:col w:w="4215" w:space="76"/>
            <w:col w:w="4396" w:space="40"/>
            <w:col w:w="1993"/>
          </w:cols>
        </w:sectPr>
      </w:pPr>
    </w:p>
    <w:p>
      <w:pPr>
        <w:pStyle w:val="BodyText"/>
        <w:spacing w:before="9"/>
        <w:rPr>
          <w:b/>
          <w:sz w:val="3"/>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7"/>
        <w:gridCol w:w="1663"/>
        <w:gridCol w:w="1440"/>
      </w:tblGrid>
      <w:tr>
        <w:trPr>
          <w:trHeight w:val="225" w:hRule="atLeast"/>
        </w:trPr>
        <w:tc>
          <w:tcPr>
            <w:tcW w:w="7137" w:type="dxa"/>
          </w:tcPr>
          <w:p>
            <w:pPr>
              <w:pStyle w:val="TableParagraph"/>
              <w:spacing w:line="199" w:lineRule="exact"/>
              <w:ind w:left="50"/>
              <w:rPr>
                <w:sz w:val="18"/>
              </w:rPr>
            </w:pPr>
            <w:r>
              <w:rPr>
                <w:sz w:val="18"/>
              </w:rPr>
              <w:t>Current </w:t>
            </w:r>
            <w:r>
              <w:rPr>
                <w:spacing w:val="-2"/>
                <w:sz w:val="18"/>
              </w:rPr>
              <w:t>assets:</w:t>
            </w:r>
          </w:p>
        </w:tc>
        <w:tc>
          <w:tcPr>
            <w:tcW w:w="3103" w:type="dxa"/>
            <w:gridSpan w:val="2"/>
          </w:tcPr>
          <w:p>
            <w:pPr>
              <w:pStyle w:val="TableParagraph"/>
              <w:rPr>
                <w:sz w:val="16"/>
              </w:rPr>
            </w:pPr>
          </w:p>
        </w:tc>
      </w:tr>
      <w:tr>
        <w:trPr>
          <w:trHeight w:val="240" w:hRule="atLeast"/>
        </w:trPr>
        <w:tc>
          <w:tcPr>
            <w:tcW w:w="7137" w:type="dxa"/>
            <w:shd w:val="clear" w:color="auto" w:fill="CCEDFF"/>
          </w:tcPr>
          <w:p>
            <w:pPr>
              <w:pStyle w:val="TableParagraph"/>
              <w:spacing w:before="6"/>
              <w:ind w:left="170"/>
              <w:rPr>
                <w:sz w:val="18"/>
              </w:rPr>
            </w:pPr>
            <w:r>
              <w:rPr>
                <w:sz w:val="18"/>
              </w:rPr>
              <w:t>Cash and cash </w:t>
            </w:r>
            <w:r>
              <w:rPr>
                <w:spacing w:val="-2"/>
                <w:sz w:val="18"/>
              </w:rPr>
              <w:t>equivalents</w:t>
            </w:r>
          </w:p>
        </w:tc>
        <w:tc>
          <w:tcPr>
            <w:tcW w:w="1663" w:type="dxa"/>
            <w:shd w:val="clear" w:color="auto" w:fill="CCEDFF"/>
          </w:tcPr>
          <w:p>
            <w:pPr>
              <w:pStyle w:val="TableParagraph"/>
              <w:tabs>
                <w:tab w:pos="559" w:val="left" w:leader="none"/>
              </w:tabs>
              <w:spacing w:before="6"/>
              <w:ind w:right="109"/>
              <w:jc w:val="right"/>
              <w:rPr>
                <w:sz w:val="18"/>
              </w:rPr>
            </w:pPr>
            <w:r>
              <w:rPr>
                <w:spacing w:val="-10"/>
                <w:sz w:val="18"/>
              </w:rPr>
              <w:t>$</w:t>
            </w:r>
            <w:r>
              <w:rPr>
                <w:sz w:val="18"/>
              </w:rPr>
              <w:tab/>
            </w:r>
            <w:r>
              <w:rPr>
                <w:spacing w:val="-2"/>
                <w:sz w:val="18"/>
              </w:rPr>
              <w:t>2,306,072</w:t>
            </w:r>
          </w:p>
        </w:tc>
        <w:tc>
          <w:tcPr>
            <w:tcW w:w="1440" w:type="dxa"/>
            <w:shd w:val="clear" w:color="auto" w:fill="CCEDFF"/>
          </w:tcPr>
          <w:p>
            <w:pPr>
              <w:pStyle w:val="TableParagraph"/>
              <w:tabs>
                <w:tab w:pos="559" w:val="left" w:leader="none"/>
              </w:tabs>
              <w:spacing w:before="6"/>
              <w:ind w:right="69"/>
              <w:jc w:val="right"/>
              <w:rPr>
                <w:sz w:val="18"/>
              </w:rPr>
            </w:pPr>
            <w:r>
              <w:rPr>
                <w:spacing w:val="-10"/>
                <w:sz w:val="18"/>
              </w:rPr>
              <w:t>$</w:t>
            </w:r>
            <w:r>
              <w:rPr>
                <w:sz w:val="18"/>
              </w:rPr>
              <w:tab/>
            </w:r>
            <w:r>
              <w:rPr>
                <w:spacing w:val="-2"/>
                <w:sz w:val="18"/>
              </w:rPr>
              <w:t>1,011,315</w:t>
            </w:r>
          </w:p>
        </w:tc>
      </w:tr>
      <w:tr>
        <w:trPr>
          <w:trHeight w:val="240" w:hRule="atLeast"/>
        </w:trPr>
        <w:tc>
          <w:tcPr>
            <w:tcW w:w="7137" w:type="dxa"/>
          </w:tcPr>
          <w:p>
            <w:pPr>
              <w:pStyle w:val="TableParagraph"/>
              <w:spacing w:before="6"/>
              <w:ind w:left="170"/>
              <w:rPr>
                <w:sz w:val="18"/>
              </w:rPr>
            </w:pPr>
            <w:r>
              <w:rPr>
                <w:sz w:val="18"/>
              </w:rPr>
              <w:t>Short-term </w:t>
            </w:r>
            <w:r>
              <w:rPr>
                <w:spacing w:val="-2"/>
                <w:sz w:val="18"/>
              </w:rPr>
              <w:t>investments</w:t>
            </w:r>
          </w:p>
        </w:tc>
        <w:tc>
          <w:tcPr>
            <w:tcW w:w="1663" w:type="dxa"/>
          </w:tcPr>
          <w:p>
            <w:pPr>
              <w:pStyle w:val="TableParagraph"/>
              <w:spacing w:before="6"/>
              <w:ind w:right="109"/>
              <w:jc w:val="right"/>
              <w:rPr>
                <w:sz w:val="18"/>
              </w:rPr>
            </w:pPr>
            <w:r>
              <w:rPr>
                <w:spacing w:val="-2"/>
                <w:sz w:val="18"/>
              </w:rPr>
              <w:t>3,513,702</w:t>
            </w:r>
          </w:p>
        </w:tc>
        <w:tc>
          <w:tcPr>
            <w:tcW w:w="1440" w:type="dxa"/>
          </w:tcPr>
          <w:p>
            <w:pPr>
              <w:pStyle w:val="TableParagraph"/>
              <w:spacing w:before="6"/>
              <w:ind w:right="69"/>
              <w:jc w:val="right"/>
              <w:rPr>
                <w:sz w:val="18"/>
              </w:rPr>
            </w:pPr>
            <w:r>
              <w:rPr>
                <w:spacing w:val="-2"/>
                <w:sz w:val="18"/>
              </w:rPr>
              <w:t>3,749,985</w:t>
            </w:r>
          </w:p>
        </w:tc>
      </w:tr>
      <w:tr>
        <w:trPr>
          <w:trHeight w:val="240" w:hRule="atLeast"/>
        </w:trPr>
        <w:tc>
          <w:tcPr>
            <w:tcW w:w="7137" w:type="dxa"/>
            <w:shd w:val="clear" w:color="auto" w:fill="CCEDFF"/>
          </w:tcPr>
          <w:p>
            <w:pPr>
              <w:pStyle w:val="TableParagraph"/>
              <w:spacing w:before="6"/>
              <w:ind w:left="170"/>
              <w:rPr>
                <w:sz w:val="18"/>
              </w:rPr>
            </w:pPr>
            <w:r>
              <w:rPr>
                <w:sz w:val="18"/>
              </w:rPr>
              <w:t>Trade</w:t>
            </w:r>
            <w:r>
              <w:rPr>
                <w:spacing w:val="-2"/>
                <w:sz w:val="18"/>
              </w:rPr>
              <w:t> </w:t>
            </w:r>
            <w:r>
              <w:rPr>
                <w:sz w:val="18"/>
              </w:rPr>
              <w:t>receivables,</w:t>
            </w:r>
            <w:r>
              <w:rPr>
                <w:spacing w:val="-2"/>
                <w:sz w:val="18"/>
              </w:rPr>
              <w:t> </w:t>
            </w:r>
            <w:r>
              <w:rPr>
                <w:sz w:val="18"/>
              </w:rPr>
              <w:t>net</w:t>
            </w:r>
            <w:r>
              <w:rPr>
                <w:spacing w:val="-2"/>
                <w:sz w:val="18"/>
              </w:rPr>
              <w:t> </w:t>
            </w:r>
            <w:r>
              <w:rPr>
                <w:sz w:val="18"/>
              </w:rPr>
              <w:t>of</w:t>
            </w:r>
            <w:r>
              <w:rPr>
                <w:spacing w:val="-1"/>
                <w:sz w:val="18"/>
              </w:rPr>
              <w:t> </w:t>
            </w:r>
            <w:r>
              <w:rPr>
                <w:sz w:val="18"/>
              </w:rPr>
              <w:t>allowances</w:t>
            </w:r>
            <w:r>
              <w:rPr>
                <w:spacing w:val="-3"/>
                <w:sz w:val="18"/>
              </w:rPr>
              <w:t> </w:t>
            </w:r>
            <w:r>
              <w:rPr>
                <w:sz w:val="18"/>
              </w:rPr>
              <w:t>for</w:t>
            </w:r>
            <w:r>
              <w:rPr>
                <w:spacing w:val="-1"/>
                <w:sz w:val="18"/>
              </w:rPr>
              <w:t> </w:t>
            </w:r>
            <w:r>
              <w:rPr>
                <w:sz w:val="18"/>
              </w:rPr>
              <w:t>doubtful</w:t>
            </w:r>
            <w:r>
              <w:rPr>
                <w:spacing w:val="-2"/>
                <w:sz w:val="18"/>
              </w:rPr>
              <w:t> </w:t>
            </w:r>
            <w:r>
              <w:rPr>
                <w:sz w:val="18"/>
              </w:rPr>
              <w:t>accounts</w:t>
            </w:r>
            <w:r>
              <w:rPr>
                <w:spacing w:val="-3"/>
                <w:sz w:val="18"/>
              </w:rPr>
              <w:t> </w:t>
            </w:r>
            <w:r>
              <w:rPr>
                <w:sz w:val="18"/>
              </w:rPr>
              <w:t>of</w:t>
            </w:r>
            <w:r>
              <w:rPr>
                <w:spacing w:val="-1"/>
                <w:sz w:val="18"/>
              </w:rPr>
              <w:t> </w:t>
            </w:r>
            <w:r>
              <w:rPr>
                <w:sz w:val="18"/>
              </w:rPr>
              <w:t>$9,151</w:t>
            </w:r>
            <w:r>
              <w:rPr>
                <w:spacing w:val="-2"/>
                <w:sz w:val="18"/>
              </w:rPr>
              <w:t> </w:t>
            </w:r>
            <w:r>
              <w:rPr>
                <w:sz w:val="18"/>
              </w:rPr>
              <w:t>and</w:t>
            </w:r>
            <w:r>
              <w:rPr>
                <w:spacing w:val="-2"/>
                <w:sz w:val="18"/>
              </w:rPr>
              <w:t> </w:t>
            </w:r>
            <w:r>
              <w:rPr>
                <w:sz w:val="18"/>
              </w:rPr>
              <w:t>$6,214,</w:t>
            </w:r>
            <w:r>
              <w:rPr>
                <w:spacing w:val="-1"/>
                <w:sz w:val="18"/>
              </w:rPr>
              <w:t> </w:t>
            </w:r>
            <w:r>
              <w:rPr>
                <w:spacing w:val="-2"/>
                <w:sz w:val="18"/>
              </w:rPr>
              <w:t>respectively</w:t>
            </w:r>
          </w:p>
        </w:tc>
        <w:tc>
          <w:tcPr>
            <w:tcW w:w="1663" w:type="dxa"/>
            <w:shd w:val="clear" w:color="auto" w:fill="CCEDFF"/>
          </w:tcPr>
          <w:p>
            <w:pPr>
              <w:pStyle w:val="TableParagraph"/>
              <w:spacing w:before="6"/>
              <w:ind w:right="109"/>
              <w:jc w:val="right"/>
              <w:rPr>
                <w:sz w:val="18"/>
              </w:rPr>
            </w:pPr>
            <w:r>
              <w:rPr>
                <w:spacing w:val="-2"/>
                <w:sz w:val="18"/>
              </w:rPr>
              <w:t>1,217,968</w:t>
            </w:r>
          </w:p>
        </w:tc>
        <w:tc>
          <w:tcPr>
            <w:tcW w:w="1440" w:type="dxa"/>
            <w:shd w:val="clear" w:color="auto" w:fill="CCEDFF"/>
          </w:tcPr>
          <w:p>
            <w:pPr>
              <w:pStyle w:val="TableParagraph"/>
              <w:spacing w:before="6"/>
              <w:ind w:right="69"/>
              <w:jc w:val="right"/>
              <w:rPr>
                <w:sz w:val="18"/>
              </w:rPr>
            </w:pPr>
            <w:r>
              <w:rPr>
                <w:spacing w:val="-2"/>
                <w:sz w:val="18"/>
              </w:rPr>
              <w:t>833,033</w:t>
            </w:r>
          </w:p>
        </w:tc>
      </w:tr>
      <w:tr>
        <w:trPr>
          <w:trHeight w:val="230" w:hRule="atLeast"/>
        </w:trPr>
        <w:tc>
          <w:tcPr>
            <w:tcW w:w="7137" w:type="dxa"/>
          </w:tcPr>
          <w:p>
            <w:pPr>
              <w:pStyle w:val="TableParagraph"/>
              <w:spacing w:line="203" w:lineRule="exact" w:before="6"/>
              <w:ind w:left="170"/>
              <w:rPr>
                <w:sz w:val="18"/>
              </w:rPr>
            </w:pPr>
            <w:r>
              <w:rPr>
                <w:sz w:val="18"/>
              </w:rPr>
              <w:t>Prepaid</w:t>
            </w:r>
            <w:r>
              <w:rPr>
                <w:spacing w:val="-2"/>
                <w:sz w:val="18"/>
              </w:rPr>
              <w:t> </w:t>
            </w:r>
            <w:r>
              <w:rPr>
                <w:sz w:val="18"/>
              </w:rPr>
              <w:t>expenses</w:t>
            </w:r>
            <w:r>
              <w:rPr>
                <w:spacing w:val="-2"/>
                <w:sz w:val="18"/>
              </w:rPr>
              <w:t> </w:t>
            </w:r>
            <w:r>
              <w:rPr>
                <w:sz w:val="18"/>
              </w:rPr>
              <w:t>and</w:t>
            </w:r>
            <w:r>
              <w:rPr>
                <w:spacing w:val="-2"/>
                <w:sz w:val="18"/>
              </w:rPr>
              <w:t> </w:t>
            </w:r>
            <w:r>
              <w:rPr>
                <w:sz w:val="18"/>
              </w:rPr>
              <w:t>other</w:t>
            </w:r>
            <w:r>
              <w:rPr>
                <w:spacing w:val="-1"/>
                <w:sz w:val="18"/>
              </w:rPr>
              <w:t> </w:t>
            </w:r>
            <w:r>
              <w:rPr>
                <w:sz w:val="18"/>
              </w:rPr>
              <w:t>current</w:t>
            </w:r>
            <w:r>
              <w:rPr>
                <w:spacing w:val="-1"/>
                <w:sz w:val="18"/>
              </w:rPr>
              <w:t> </w:t>
            </w:r>
            <w:r>
              <w:rPr>
                <w:spacing w:val="-2"/>
                <w:sz w:val="18"/>
              </w:rPr>
              <w:t>assets</w:t>
            </w:r>
          </w:p>
        </w:tc>
        <w:tc>
          <w:tcPr>
            <w:tcW w:w="1663" w:type="dxa"/>
            <w:tcBorders>
              <w:bottom w:val="single" w:sz="8" w:space="0" w:color="000000"/>
            </w:tcBorders>
          </w:tcPr>
          <w:p>
            <w:pPr>
              <w:pStyle w:val="TableParagraph"/>
              <w:spacing w:line="203" w:lineRule="exact" w:before="6"/>
              <w:ind w:right="109"/>
              <w:jc w:val="right"/>
              <w:rPr>
                <w:sz w:val="18"/>
              </w:rPr>
            </w:pPr>
            <w:r>
              <w:rPr>
                <w:spacing w:val="-2"/>
                <w:sz w:val="18"/>
              </w:rPr>
              <w:t>210,071</w:t>
            </w:r>
          </w:p>
        </w:tc>
        <w:tc>
          <w:tcPr>
            <w:tcW w:w="1440" w:type="dxa"/>
            <w:tcBorders>
              <w:bottom w:val="single" w:sz="8" w:space="0" w:color="000000"/>
            </w:tcBorders>
          </w:tcPr>
          <w:p>
            <w:pPr>
              <w:pStyle w:val="TableParagraph"/>
              <w:spacing w:line="203" w:lineRule="exact" w:before="6"/>
              <w:ind w:right="69"/>
              <w:jc w:val="right"/>
              <w:rPr>
                <w:sz w:val="18"/>
              </w:rPr>
            </w:pPr>
            <w:r>
              <w:rPr>
                <w:spacing w:val="-2"/>
                <w:sz w:val="18"/>
              </w:rPr>
              <w:t>245,441</w:t>
            </w:r>
          </w:p>
        </w:tc>
      </w:tr>
      <w:tr>
        <w:trPr>
          <w:trHeight w:val="230" w:hRule="atLeast"/>
        </w:trPr>
        <w:tc>
          <w:tcPr>
            <w:tcW w:w="7137" w:type="dxa"/>
            <w:shd w:val="clear" w:color="auto" w:fill="CCEDFF"/>
          </w:tcPr>
          <w:p>
            <w:pPr>
              <w:pStyle w:val="TableParagraph"/>
              <w:spacing w:line="204" w:lineRule="exact"/>
              <w:ind w:left="410"/>
              <w:rPr>
                <w:sz w:val="18"/>
              </w:rPr>
            </w:pPr>
            <w:r>
              <w:rPr>
                <w:sz w:val="18"/>
              </w:rPr>
              <w:t>Total</w:t>
            </w:r>
            <w:r>
              <w:rPr>
                <w:spacing w:val="-4"/>
                <w:sz w:val="18"/>
              </w:rPr>
              <w:t> </w:t>
            </w:r>
            <w:r>
              <w:rPr>
                <w:sz w:val="18"/>
              </w:rPr>
              <w:t>current</w:t>
            </w:r>
            <w:r>
              <w:rPr>
                <w:spacing w:val="-3"/>
                <w:sz w:val="18"/>
              </w:rPr>
              <w:t> </w:t>
            </w:r>
            <w:r>
              <w:rPr>
                <w:spacing w:val="-2"/>
                <w:sz w:val="18"/>
              </w:rPr>
              <w:t>assets</w:t>
            </w:r>
          </w:p>
        </w:tc>
        <w:tc>
          <w:tcPr>
            <w:tcW w:w="1663" w:type="dxa"/>
            <w:tcBorders>
              <w:top w:val="single" w:sz="8" w:space="0" w:color="000000"/>
            </w:tcBorders>
            <w:shd w:val="clear" w:color="auto" w:fill="CCEDFF"/>
          </w:tcPr>
          <w:p>
            <w:pPr>
              <w:pStyle w:val="TableParagraph"/>
              <w:spacing w:line="204" w:lineRule="exact"/>
              <w:ind w:right="109"/>
              <w:jc w:val="right"/>
              <w:rPr>
                <w:sz w:val="18"/>
              </w:rPr>
            </w:pPr>
            <w:r>
              <w:rPr>
                <w:spacing w:val="-2"/>
                <w:sz w:val="18"/>
              </w:rPr>
              <w:t>7,247,813</w:t>
            </w:r>
          </w:p>
        </w:tc>
        <w:tc>
          <w:tcPr>
            <w:tcW w:w="1440" w:type="dxa"/>
            <w:tcBorders>
              <w:top w:val="single" w:sz="8" w:space="0" w:color="000000"/>
            </w:tcBorders>
            <w:shd w:val="clear" w:color="auto" w:fill="CCEDFF"/>
          </w:tcPr>
          <w:p>
            <w:pPr>
              <w:pStyle w:val="TableParagraph"/>
              <w:spacing w:line="204" w:lineRule="exact"/>
              <w:ind w:right="69"/>
              <w:jc w:val="right"/>
              <w:rPr>
                <w:sz w:val="18"/>
              </w:rPr>
            </w:pPr>
            <w:r>
              <w:rPr>
                <w:spacing w:val="-2"/>
                <w:sz w:val="18"/>
              </w:rPr>
              <w:t>5,839,774</w:t>
            </w:r>
          </w:p>
        </w:tc>
      </w:tr>
      <w:tr>
        <w:trPr>
          <w:trHeight w:val="240" w:hRule="atLeast"/>
        </w:trPr>
        <w:tc>
          <w:tcPr>
            <w:tcW w:w="7137" w:type="dxa"/>
          </w:tcPr>
          <w:p>
            <w:pPr>
              <w:pStyle w:val="TableParagraph"/>
              <w:spacing w:before="6"/>
              <w:ind w:left="50"/>
              <w:rPr>
                <w:sz w:val="18"/>
              </w:rPr>
            </w:pPr>
            <w:r>
              <w:rPr>
                <w:sz w:val="18"/>
              </w:rPr>
              <w:t>Property and equipment, </w:t>
            </w:r>
            <w:r>
              <w:rPr>
                <w:spacing w:val="-5"/>
                <w:sz w:val="18"/>
              </w:rPr>
              <w:t>net</w:t>
            </w:r>
          </w:p>
        </w:tc>
        <w:tc>
          <w:tcPr>
            <w:tcW w:w="1663" w:type="dxa"/>
          </w:tcPr>
          <w:p>
            <w:pPr>
              <w:pStyle w:val="TableParagraph"/>
              <w:spacing w:before="6"/>
              <w:ind w:right="109"/>
              <w:jc w:val="right"/>
              <w:rPr>
                <w:sz w:val="18"/>
              </w:rPr>
            </w:pPr>
            <w:r>
              <w:rPr>
                <w:spacing w:val="-2"/>
                <w:sz w:val="18"/>
              </w:rPr>
              <w:t>936,976</w:t>
            </w:r>
          </w:p>
        </w:tc>
        <w:tc>
          <w:tcPr>
            <w:tcW w:w="1440" w:type="dxa"/>
          </w:tcPr>
          <w:p>
            <w:pPr>
              <w:pStyle w:val="TableParagraph"/>
              <w:spacing w:before="6"/>
              <w:ind w:right="69"/>
              <w:jc w:val="right"/>
              <w:rPr>
                <w:sz w:val="18"/>
              </w:rPr>
            </w:pPr>
            <w:r>
              <w:rPr>
                <w:spacing w:val="-2"/>
                <w:sz w:val="18"/>
              </w:rPr>
              <w:t>816,264</w:t>
            </w:r>
          </w:p>
        </w:tc>
      </w:tr>
      <w:tr>
        <w:trPr>
          <w:trHeight w:val="240" w:hRule="atLeast"/>
        </w:trPr>
        <w:tc>
          <w:tcPr>
            <w:tcW w:w="7137" w:type="dxa"/>
            <w:shd w:val="clear" w:color="auto" w:fill="CCEDFF"/>
          </w:tcPr>
          <w:p>
            <w:pPr>
              <w:pStyle w:val="TableParagraph"/>
              <w:spacing w:before="6"/>
              <w:ind w:left="50"/>
              <w:rPr>
                <w:sz w:val="18"/>
              </w:rPr>
            </w:pPr>
            <w:r>
              <w:rPr>
                <w:spacing w:val="-2"/>
                <w:sz w:val="18"/>
              </w:rPr>
              <w:t>Goodwill</w:t>
            </w:r>
          </w:p>
        </w:tc>
        <w:tc>
          <w:tcPr>
            <w:tcW w:w="1663" w:type="dxa"/>
            <w:shd w:val="clear" w:color="auto" w:fill="CCEDFF"/>
          </w:tcPr>
          <w:p>
            <w:pPr>
              <w:pStyle w:val="TableParagraph"/>
              <w:spacing w:before="6"/>
              <w:ind w:right="109"/>
              <w:jc w:val="right"/>
              <w:rPr>
                <w:sz w:val="18"/>
              </w:rPr>
            </w:pPr>
            <w:r>
              <w:rPr>
                <w:spacing w:val="-2"/>
                <w:sz w:val="18"/>
              </w:rPr>
              <w:t>5,821,561</w:t>
            </w:r>
          </w:p>
        </w:tc>
        <w:tc>
          <w:tcPr>
            <w:tcW w:w="1440" w:type="dxa"/>
            <w:shd w:val="clear" w:color="auto" w:fill="CCEDFF"/>
          </w:tcPr>
          <w:p>
            <w:pPr>
              <w:pStyle w:val="TableParagraph"/>
              <w:spacing w:before="6"/>
              <w:ind w:right="69"/>
              <w:jc w:val="right"/>
              <w:rPr>
                <w:sz w:val="18"/>
              </w:rPr>
            </w:pPr>
            <w:r>
              <w:rPr>
                <w:spacing w:val="-2"/>
                <w:sz w:val="18"/>
              </w:rPr>
              <w:t>5,406,474</w:t>
            </w:r>
          </w:p>
        </w:tc>
      </w:tr>
      <w:tr>
        <w:trPr>
          <w:trHeight w:val="240" w:hRule="atLeast"/>
        </w:trPr>
        <w:tc>
          <w:tcPr>
            <w:tcW w:w="7137" w:type="dxa"/>
          </w:tcPr>
          <w:p>
            <w:pPr>
              <w:pStyle w:val="TableParagraph"/>
              <w:spacing w:before="6"/>
              <w:ind w:left="50"/>
              <w:rPr>
                <w:sz w:val="18"/>
              </w:rPr>
            </w:pPr>
            <w:r>
              <w:rPr>
                <w:sz w:val="18"/>
              </w:rPr>
              <w:t>Purchased and other intangibles, </w:t>
            </w:r>
            <w:r>
              <w:rPr>
                <w:spacing w:val="-5"/>
                <w:sz w:val="18"/>
              </w:rPr>
              <w:t>net</w:t>
            </w:r>
          </w:p>
        </w:tc>
        <w:tc>
          <w:tcPr>
            <w:tcW w:w="1663" w:type="dxa"/>
          </w:tcPr>
          <w:p>
            <w:pPr>
              <w:pStyle w:val="TableParagraph"/>
              <w:spacing w:before="6"/>
              <w:ind w:right="109"/>
              <w:jc w:val="right"/>
              <w:rPr>
                <w:sz w:val="18"/>
              </w:rPr>
            </w:pPr>
            <w:r>
              <w:rPr>
                <w:spacing w:val="-2"/>
                <w:sz w:val="18"/>
              </w:rPr>
              <w:t>385,658</w:t>
            </w:r>
          </w:p>
        </w:tc>
        <w:tc>
          <w:tcPr>
            <w:tcW w:w="1440" w:type="dxa"/>
          </w:tcPr>
          <w:p>
            <w:pPr>
              <w:pStyle w:val="TableParagraph"/>
              <w:spacing w:before="6"/>
              <w:ind w:right="69"/>
              <w:jc w:val="right"/>
              <w:rPr>
                <w:sz w:val="18"/>
              </w:rPr>
            </w:pPr>
            <w:r>
              <w:rPr>
                <w:spacing w:val="-2"/>
                <w:sz w:val="18"/>
              </w:rPr>
              <w:t>414,405</w:t>
            </w:r>
          </w:p>
        </w:tc>
      </w:tr>
      <w:tr>
        <w:trPr>
          <w:trHeight w:val="240" w:hRule="atLeast"/>
        </w:trPr>
        <w:tc>
          <w:tcPr>
            <w:tcW w:w="7137" w:type="dxa"/>
            <w:shd w:val="clear" w:color="auto" w:fill="CCEDFF"/>
          </w:tcPr>
          <w:p>
            <w:pPr>
              <w:pStyle w:val="TableParagraph"/>
              <w:spacing w:before="6"/>
              <w:ind w:left="50"/>
              <w:rPr>
                <w:sz w:val="18"/>
              </w:rPr>
            </w:pPr>
            <w:r>
              <w:rPr>
                <w:sz w:val="18"/>
              </w:rPr>
              <w:t>Investment in lease </w:t>
            </w:r>
            <w:r>
              <w:rPr>
                <w:spacing w:val="-2"/>
                <w:sz w:val="18"/>
              </w:rPr>
              <w:t>receivable</w:t>
            </w:r>
          </w:p>
        </w:tc>
        <w:tc>
          <w:tcPr>
            <w:tcW w:w="1663" w:type="dxa"/>
            <w:shd w:val="clear" w:color="auto" w:fill="CCEDFF"/>
          </w:tcPr>
          <w:p>
            <w:pPr>
              <w:pStyle w:val="TableParagraph"/>
              <w:spacing w:before="6"/>
              <w:ind w:right="109"/>
              <w:jc w:val="right"/>
              <w:rPr>
                <w:sz w:val="18"/>
              </w:rPr>
            </w:pPr>
            <w:r>
              <w:rPr>
                <w:spacing w:val="-10"/>
                <w:sz w:val="18"/>
              </w:rPr>
              <w:t>—</w:t>
            </w:r>
          </w:p>
        </w:tc>
        <w:tc>
          <w:tcPr>
            <w:tcW w:w="1440" w:type="dxa"/>
            <w:shd w:val="clear" w:color="auto" w:fill="CCEDFF"/>
          </w:tcPr>
          <w:p>
            <w:pPr>
              <w:pStyle w:val="TableParagraph"/>
              <w:spacing w:before="6"/>
              <w:ind w:right="69"/>
              <w:jc w:val="right"/>
              <w:rPr>
                <w:sz w:val="18"/>
              </w:rPr>
            </w:pPr>
            <w:r>
              <w:rPr>
                <w:spacing w:val="-2"/>
                <w:sz w:val="18"/>
              </w:rPr>
              <w:t>80,439</w:t>
            </w:r>
          </w:p>
        </w:tc>
      </w:tr>
      <w:tr>
        <w:trPr>
          <w:trHeight w:val="230" w:hRule="atLeast"/>
        </w:trPr>
        <w:tc>
          <w:tcPr>
            <w:tcW w:w="7137" w:type="dxa"/>
          </w:tcPr>
          <w:p>
            <w:pPr>
              <w:pStyle w:val="TableParagraph"/>
              <w:spacing w:line="203" w:lineRule="exact" w:before="6"/>
              <w:ind w:left="50"/>
              <w:rPr>
                <w:sz w:val="18"/>
              </w:rPr>
            </w:pPr>
            <w:r>
              <w:rPr>
                <w:sz w:val="18"/>
              </w:rPr>
              <w:t>Other </w:t>
            </w:r>
            <w:r>
              <w:rPr>
                <w:spacing w:val="-2"/>
                <w:sz w:val="18"/>
              </w:rPr>
              <w:t>assets</w:t>
            </w:r>
          </w:p>
        </w:tc>
        <w:tc>
          <w:tcPr>
            <w:tcW w:w="1663" w:type="dxa"/>
            <w:tcBorders>
              <w:bottom w:val="single" w:sz="8" w:space="0" w:color="000000"/>
            </w:tcBorders>
          </w:tcPr>
          <w:p>
            <w:pPr>
              <w:pStyle w:val="TableParagraph"/>
              <w:spacing w:line="203" w:lineRule="exact" w:before="6"/>
              <w:ind w:right="109"/>
              <w:jc w:val="right"/>
              <w:rPr>
                <w:sz w:val="18"/>
              </w:rPr>
            </w:pPr>
            <w:r>
              <w:rPr>
                <w:spacing w:val="-2"/>
                <w:sz w:val="18"/>
              </w:rPr>
              <w:t>143,548</w:t>
            </w:r>
          </w:p>
        </w:tc>
        <w:tc>
          <w:tcPr>
            <w:tcW w:w="1440" w:type="dxa"/>
            <w:tcBorders>
              <w:bottom w:val="single" w:sz="8" w:space="0" w:color="000000"/>
            </w:tcBorders>
          </w:tcPr>
          <w:p>
            <w:pPr>
              <w:pStyle w:val="TableParagraph"/>
              <w:spacing w:line="203" w:lineRule="exact" w:before="6"/>
              <w:ind w:right="69"/>
              <w:jc w:val="right"/>
              <w:rPr>
                <w:sz w:val="18"/>
              </w:rPr>
            </w:pPr>
            <w:r>
              <w:rPr>
                <w:spacing w:val="-2"/>
                <w:sz w:val="18"/>
              </w:rPr>
              <w:t>139,890</w:t>
            </w:r>
          </w:p>
        </w:tc>
      </w:tr>
      <w:tr>
        <w:trPr>
          <w:trHeight w:val="240" w:hRule="atLeast"/>
        </w:trPr>
        <w:tc>
          <w:tcPr>
            <w:tcW w:w="7137" w:type="dxa"/>
            <w:shd w:val="clear" w:color="auto" w:fill="CCEDFF"/>
          </w:tcPr>
          <w:p>
            <w:pPr>
              <w:pStyle w:val="TableParagraph"/>
              <w:spacing w:line="204" w:lineRule="exact"/>
              <w:ind w:left="410"/>
              <w:rPr>
                <w:sz w:val="18"/>
              </w:rPr>
            </w:pPr>
            <w:r>
              <w:rPr>
                <w:sz w:val="18"/>
              </w:rPr>
              <w:t>Total</w:t>
            </w:r>
            <w:r>
              <w:rPr>
                <w:spacing w:val="-7"/>
                <w:sz w:val="18"/>
              </w:rPr>
              <w:t> </w:t>
            </w:r>
            <w:r>
              <w:rPr>
                <w:spacing w:val="-2"/>
                <w:sz w:val="18"/>
              </w:rPr>
              <w:t>assets</w:t>
            </w:r>
          </w:p>
        </w:tc>
        <w:tc>
          <w:tcPr>
            <w:tcW w:w="1663" w:type="dxa"/>
            <w:tcBorders>
              <w:top w:val="single" w:sz="8" w:space="0" w:color="000000"/>
              <w:bottom w:val="single" w:sz="8" w:space="0" w:color="000000"/>
            </w:tcBorders>
            <w:shd w:val="clear" w:color="auto" w:fill="CCEDFF"/>
          </w:tcPr>
          <w:p>
            <w:pPr>
              <w:pStyle w:val="TableParagraph"/>
              <w:tabs>
                <w:tab w:pos="519" w:val="left" w:leader="none"/>
              </w:tabs>
              <w:spacing w:line="204" w:lineRule="exact"/>
              <w:ind w:right="38"/>
              <w:jc w:val="right"/>
              <w:rPr>
                <w:sz w:val="18"/>
              </w:rPr>
            </w:pPr>
            <w:r>
              <w:rPr>
                <w:spacing w:val="5"/>
                <w:sz w:val="18"/>
                <w:u w:val="single"/>
              </w:rPr>
              <w:t> </w:t>
            </w:r>
            <w:r>
              <w:rPr>
                <w:spacing w:val="-10"/>
                <w:sz w:val="18"/>
                <w:u w:val="single"/>
              </w:rPr>
              <w:t>$</w:t>
            </w:r>
            <w:r>
              <w:rPr>
                <w:sz w:val="18"/>
                <w:u w:val="single"/>
              </w:rPr>
              <w:tab/>
            </w:r>
            <w:r>
              <w:rPr>
                <w:spacing w:val="-2"/>
                <w:sz w:val="18"/>
                <w:u w:val="single"/>
              </w:rPr>
              <w:t>14,535,556</w:t>
            </w:r>
            <w:r>
              <w:rPr>
                <w:spacing w:val="80"/>
                <w:sz w:val="18"/>
                <w:u w:val="single"/>
              </w:rPr>
              <w:t> </w:t>
            </w:r>
          </w:p>
        </w:tc>
        <w:tc>
          <w:tcPr>
            <w:tcW w:w="1440" w:type="dxa"/>
            <w:tcBorders>
              <w:top w:val="single" w:sz="8" w:space="0" w:color="000000"/>
              <w:bottom w:val="single" w:sz="8" w:space="0" w:color="000000"/>
            </w:tcBorders>
            <w:shd w:val="clear" w:color="auto" w:fill="CCEDFF"/>
          </w:tcPr>
          <w:p>
            <w:pPr>
              <w:pStyle w:val="TableParagraph"/>
              <w:tabs>
                <w:tab w:pos="519" w:val="left" w:leader="none"/>
              </w:tabs>
              <w:spacing w:line="204" w:lineRule="exact"/>
              <w:jc w:val="right"/>
              <w:rPr>
                <w:sz w:val="18"/>
              </w:rPr>
            </w:pPr>
            <w:r>
              <w:rPr>
                <w:spacing w:val="5"/>
                <w:sz w:val="18"/>
                <w:u w:val="single"/>
              </w:rPr>
              <w:t> </w:t>
            </w:r>
            <w:r>
              <w:rPr>
                <w:spacing w:val="-10"/>
                <w:sz w:val="18"/>
                <w:u w:val="single"/>
              </w:rPr>
              <w:t>$</w:t>
            </w:r>
            <w:r>
              <w:rPr>
                <w:sz w:val="18"/>
                <w:u w:val="single"/>
              </w:rPr>
              <w:tab/>
            </w:r>
            <w:r>
              <w:rPr>
                <w:spacing w:val="-2"/>
                <w:sz w:val="18"/>
                <w:u w:val="single"/>
              </w:rPr>
              <w:t>12,697,246</w:t>
            </w:r>
            <w:r>
              <w:rPr>
                <w:spacing w:val="80"/>
                <w:sz w:val="18"/>
                <w:u w:val="single"/>
              </w:rPr>
              <w:t> </w:t>
            </w:r>
          </w:p>
        </w:tc>
      </w:tr>
      <w:tr>
        <w:trPr>
          <w:trHeight w:val="210" w:hRule="atLeast"/>
        </w:trPr>
        <w:tc>
          <w:tcPr>
            <w:tcW w:w="7137" w:type="dxa"/>
          </w:tcPr>
          <w:p>
            <w:pPr>
              <w:pStyle w:val="TableParagraph"/>
              <w:rPr>
                <w:sz w:val="14"/>
              </w:rPr>
            </w:pPr>
          </w:p>
        </w:tc>
        <w:tc>
          <w:tcPr>
            <w:tcW w:w="1663" w:type="dxa"/>
            <w:tcBorders>
              <w:top w:val="single" w:sz="8" w:space="0" w:color="000000"/>
            </w:tcBorders>
          </w:tcPr>
          <w:p>
            <w:pPr>
              <w:pStyle w:val="TableParagraph"/>
              <w:rPr>
                <w:sz w:val="14"/>
              </w:rPr>
            </w:pPr>
          </w:p>
        </w:tc>
        <w:tc>
          <w:tcPr>
            <w:tcW w:w="1440" w:type="dxa"/>
            <w:tcBorders>
              <w:top w:val="single" w:sz="8" w:space="0" w:color="000000"/>
            </w:tcBorders>
          </w:tcPr>
          <w:p>
            <w:pPr>
              <w:pStyle w:val="TableParagraph"/>
              <w:rPr>
                <w:sz w:val="14"/>
              </w:rPr>
            </w:pPr>
          </w:p>
        </w:tc>
      </w:tr>
      <w:tr>
        <w:trPr>
          <w:trHeight w:val="240" w:hRule="atLeast"/>
        </w:trPr>
        <w:tc>
          <w:tcPr>
            <w:tcW w:w="7137" w:type="dxa"/>
            <w:shd w:val="clear" w:color="auto" w:fill="CCEDFF"/>
          </w:tcPr>
          <w:p>
            <w:pPr>
              <w:pStyle w:val="TableParagraph"/>
              <w:spacing w:before="4"/>
              <w:ind w:left="1728"/>
              <w:rPr>
                <w:b/>
                <w:sz w:val="18"/>
              </w:rPr>
            </w:pPr>
            <w:r>
              <w:rPr>
                <w:b/>
                <w:spacing w:val="-2"/>
                <w:sz w:val="18"/>
              </w:rPr>
              <w:t>LIABILITIES</w:t>
            </w:r>
            <w:r>
              <w:rPr>
                <w:b/>
                <w:spacing w:val="2"/>
                <w:sz w:val="18"/>
              </w:rPr>
              <w:t> </w:t>
            </w:r>
            <w:r>
              <w:rPr>
                <w:b/>
                <w:spacing w:val="-2"/>
                <w:sz w:val="18"/>
              </w:rPr>
              <w:t>AND</w:t>
            </w:r>
            <w:r>
              <w:rPr>
                <w:b/>
                <w:spacing w:val="14"/>
                <w:sz w:val="18"/>
              </w:rPr>
              <w:t> </w:t>
            </w:r>
            <w:r>
              <w:rPr>
                <w:b/>
                <w:spacing w:val="-2"/>
                <w:sz w:val="18"/>
              </w:rPr>
              <w:t>STOCKHOLDERS’</w:t>
            </w:r>
            <w:r>
              <w:rPr>
                <w:b/>
                <w:spacing w:val="-3"/>
                <w:sz w:val="18"/>
              </w:rPr>
              <w:t> </w:t>
            </w:r>
            <w:r>
              <w:rPr>
                <w:b/>
                <w:spacing w:val="-2"/>
                <w:sz w:val="18"/>
              </w:rPr>
              <w:t>EQUITY</w:t>
            </w:r>
          </w:p>
        </w:tc>
        <w:tc>
          <w:tcPr>
            <w:tcW w:w="1663" w:type="dxa"/>
            <w:shd w:val="clear" w:color="auto" w:fill="CCEDFF"/>
          </w:tcPr>
          <w:p>
            <w:pPr>
              <w:pStyle w:val="TableParagraph"/>
              <w:rPr>
                <w:sz w:val="16"/>
              </w:rPr>
            </w:pPr>
          </w:p>
        </w:tc>
        <w:tc>
          <w:tcPr>
            <w:tcW w:w="1440" w:type="dxa"/>
            <w:shd w:val="clear" w:color="auto" w:fill="CCEDFF"/>
          </w:tcPr>
          <w:p>
            <w:pPr>
              <w:pStyle w:val="TableParagraph"/>
              <w:rPr>
                <w:sz w:val="16"/>
              </w:rPr>
            </w:pPr>
          </w:p>
        </w:tc>
      </w:tr>
      <w:tr>
        <w:trPr>
          <w:trHeight w:val="240" w:hRule="atLeast"/>
        </w:trPr>
        <w:tc>
          <w:tcPr>
            <w:tcW w:w="7137" w:type="dxa"/>
          </w:tcPr>
          <w:p>
            <w:pPr>
              <w:pStyle w:val="TableParagraph"/>
              <w:spacing w:before="6"/>
              <w:ind w:left="50"/>
              <w:rPr>
                <w:sz w:val="18"/>
              </w:rPr>
            </w:pPr>
            <w:r>
              <w:rPr>
                <w:sz w:val="18"/>
              </w:rPr>
              <w:t>Current </w:t>
            </w:r>
            <w:r>
              <w:rPr>
                <w:spacing w:val="-2"/>
                <w:sz w:val="18"/>
              </w:rPr>
              <w:t>liabilities:</w:t>
            </w:r>
          </w:p>
        </w:tc>
        <w:tc>
          <w:tcPr>
            <w:tcW w:w="1663" w:type="dxa"/>
          </w:tcPr>
          <w:p>
            <w:pPr>
              <w:pStyle w:val="TableParagraph"/>
              <w:rPr>
                <w:sz w:val="16"/>
              </w:rPr>
            </w:pPr>
          </w:p>
        </w:tc>
        <w:tc>
          <w:tcPr>
            <w:tcW w:w="1440" w:type="dxa"/>
          </w:tcPr>
          <w:p>
            <w:pPr>
              <w:pStyle w:val="TableParagraph"/>
              <w:rPr>
                <w:sz w:val="16"/>
              </w:rPr>
            </w:pPr>
          </w:p>
        </w:tc>
      </w:tr>
      <w:tr>
        <w:trPr>
          <w:trHeight w:val="240" w:hRule="atLeast"/>
        </w:trPr>
        <w:tc>
          <w:tcPr>
            <w:tcW w:w="7137" w:type="dxa"/>
            <w:shd w:val="clear" w:color="auto" w:fill="CCEDFF"/>
          </w:tcPr>
          <w:p>
            <w:pPr>
              <w:pStyle w:val="TableParagraph"/>
              <w:spacing w:before="6"/>
              <w:ind w:left="170"/>
              <w:rPr>
                <w:sz w:val="18"/>
              </w:rPr>
            </w:pPr>
            <w:r>
              <w:rPr>
                <w:sz w:val="18"/>
              </w:rPr>
              <w:t>Trade</w:t>
            </w:r>
            <w:r>
              <w:rPr>
                <w:spacing w:val="-4"/>
                <w:sz w:val="18"/>
              </w:rPr>
              <w:t> </w:t>
            </w:r>
            <w:r>
              <w:rPr>
                <w:spacing w:val="-2"/>
                <w:sz w:val="18"/>
              </w:rPr>
              <w:t>payables</w:t>
            </w:r>
          </w:p>
        </w:tc>
        <w:tc>
          <w:tcPr>
            <w:tcW w:w="1663" w:type="dxa"/>
            <w:shd w:val="clear" w:color="auto" w:fill="CCEDFF"/>
          </w:tcPr>
          <w:p>
            <w:pPr>
              <w:pStyle w:val="TableParagraph"/>
              <w:tabs>
                <w:tab w:pos="694" w:val="left" w:leader="none"/>
              </w:tabs>
              <w:spacing w:before="6"/>
              <w:ind w:right="109"/>
              <w:jc w:val="right"/>
              <w:rPr>
                <w:sz w:val="18"/>
              </w:rPr>
            </w:pPr>
            <w:r>
              <w:rPr>
                <w:spacing w:val="-10"/>
                <w:sz w:val="18"/>
              </w:rPr>
              <w:t>$</w:t>
            </w:r>
            <w:r>
              <w:rPr>
                <w:sz w:val="18"/>
              </w:rPr>
              <w:tab/>
            </w:r>
            <w:r>
              <w:rPr>
                <w:spacing w:val="-2"/>
                <w:sz w:val="18"/>
              </w:rPr>
              <w:t>113,538</w:t>
            </w:r>
          </w:p>
        </w:tc>
        <w:tc>
          <w:tcPr>
            <w:tcW w:w="1440" w:type="dxa"/>
            <w:shd w:val="clear" w:color="auto" w:fill="CCEDFF"/>
          </w:tcPr>
          <w:p>
            <w:pPr>
              <w:pStyle w:val="TableParagraph"/>
              <w:tabs>
                <w:tab w:pos="784" w:val="left" w:leader="none"/>
              </w:tabs>
              <w:spacing w:before="6"/>
              <w:ind w:right="69"/>
              <w:jc w:val="right"/>
              <w:rPr>
                <w:sz w:val="18"/>
              </w:rPr>
            </w:pPr>
            <w:r>
              <w:rPr>
                <w:spacing w:val="-10"/>
                <w:sz w:val="18"/>
              </w:rPr>
              <w:t>$</w:t>
            </w:r>
            <w:r>
              <w:rPr>
                <w:sz w:val="18"/>
              </w:rPr>
              <w:tab/>
            </w:r>
            <w:r>
              <w:rPr>
                <w:spacing w:val="-2"/>
                <w:sz w:val="18"/>
              </w:rPr>
              <w:t>88,024</w:t>
            </w:r>
          </w:p>
        </w:tc>
      </w:tr>
      <w:tr>
        <w:trPr>
          <w:trHeight w:val="240" w:hRule="atLeast"/>
        </w:trPr>
        <w:tc>
          <w:tcPr>
            <w:tcW w:w="7137" w:type="dxa"/>
          </w:tcPr>
          <w:p>
            <w:pPr>
              <w:pStyle w:val="TableParagraph"/>
              <w:spacing w:before="6"/>
              <w:ind w:left="170"/>
              <w:rPr>
                <w:sz w:val="18"/>
              </w:rPr>
            </w:pPr>
            <w:r>
              <w:rPr>
                <w:sz w:val="18"/>
              </w:rPr>
              <w:t>Accrued </w:t>
            </w:r>
            <w:r>
              <w:rPr>
                <w:spacing w:val="-2"/>
                <w:sz w:val="18"/>
              </w:rPr>
              <w:t>expenses</w:t>
            </w:r>
          </w:p>
        </w:tc>
        <w:tc>
          <w:tcPr>
            <w:tcW w:w="1663" w:type="dxa"/>
          </w:tcPr>
          <w:p>
            <w:pPr>
              <w:pStyle w:val="TableParagraph"/>
              <w:spacing w:before="6"/>
              <w:ind w:right="109"/>
              <w:jc w:val="right"/>
              <w:rPr>
                <w:sz w:val="18"/>
              </w:rPr>
            </w:pPr>
            <w:r>
              <w:rPr>
                <w:spacing w:val="-2"/>
                <w:sz w:val="18"/>
              </w:rPr>
              <w:t>993,773</w:t>
            </w:r>
          </w:p>
        </w:tc>
        <w:tc>
          <w:tcPr>
            <w:tcW w:w="1440" w:type="dxa"/>
          </w:tcPr>
          <w:p>
            <w:pPr>
              <w:pStyle w:val="TableParagraph"/>
              <w:spacing w:before="6"/>
              <w:ind w:right="69"/>
              <w:jc w:val="right"/>
              <w:rPr>
                <w:sz w:val="18"/>
              </w:rPr>
            </w:pPr>
            <w:r>
              <w:rPr>
                <w:spacing w:val="-2"/>
                <w:sz w:val="18"/>
              </w:rPr>
              <w:t>739,630</w:t>
            </w:r>
          </w:p>
        </w:tc>
      </w:tr>
      <w:tr>
        <w:trPr>
          <w:trHeight w:val="240" w:hRule="atLeast"/>
        </w:trPr>
        <w:tc>
          <w:tcPr>
            <w:tcW w:w="7137" w:type="dxa"/>
            <w:shd w:val="clear" w:color="auto" w:fill="CCEDFF"/>
          </w:tcPr>
          <w:p>
            <w:pPr>
              <w:pStyle w:val="TableParagraph"/>
              <w:spacing w:before="6"/>
              <w:ind w:left="170"/>
              <w:rPr>
                <w:sz w:val="18"/>
              </w:rPr>
            </w:pPr>
            <w:r>
              <w:rPr>
                <w:sz w:val="18"/>
              </w:rPr>
              <w:t>Income</w:t>
            </w:r>
            <w:r>
              <w:rPr>
                <w:spacing w:val="-3"/>
                <w:sz w:val="18"/>
              </w:rPr>
              <w:t> </w:t>
            </w:r>
            <w:r>
              <w:rPr>
                <w:sz w:val="18"/>
              </w:rPr>
              <w:t>taxes</w:t>
            </w:r>
            <w:r>
              <w:rPr>
                <w:spacing w:val="-2"/>
                <w:sz w:val="18"/>
              </w:rPr>
              <w:t> payable</w:t>
            </w:r>
          </w:p>
        </w:tc>
        <w:tc>
          <w:tcPr>
            <w:tcW w:w="1663" w:type="dxa"/>
            <w:shd w:val="clear" w:color="auto" w:fill="CCEDFF"/>
          </w:tcPr>
          <w:p>
            <w:pPr>
              <w:pStyle w:val="TableParagraph"/>
              <w:spacing w:before="6"/>
              <w:ind w:right="109"/>
              <w:jc w:val="right"/>
              <w:rPr>
                <w:sz w:val="18"/>
              </w:rPr>
            </w:pPr>
            <w:r>
              <w:rPr>
                <w:spacing w:val="-2"/>
                <w:sz w:val="18"/>
              </w:rPr>
              <w:t>14,196</w:t>
            </w:r>
          </w:p>
        </w:tc>
        <w:tc>
          <w:tcPr>
            <w:tcW w:w="1440" w:type="dxa"/>
            <w:shd w:val="clear" w:color="auto" w:fill="CCEDFF"/>
          </w:tcPr>
          <w:p>
            <w:pPr>
              <w:pStyle w:val="TableParagraph"/>
              <w:spacing w:before="6"/>
              <w:ind w:right="69"/>
              <w:jc w:val="right"/>
              <w:rPr>
                <w:sz w:val="18"/>
              </w:rPr>
            </w:pPr>
            <w:r>
              <w:rPr>
                <w:spacing w:val="-2"/>
                <w:sz w:val="18"/>
              </w:rPr>
              <w:t>38,362</w:t>
            </w:r>
          </w:p>
        </w:tc>
      </w:tr>
      <w:tr>
        <w:trPr>
          <w:trHeight w:val="230" w:hRule="atLeast"/>
        </w:trPr>
        <w:tc>
          <w:tcPr>
            <w:tcW w:w="7137" w:type="dxa"/>
          </w:tcPr>
          <w:p>
            <w:pPr>
              <w:pStyle w:val="TableParagraph"/>
              <w:spacing w:line="203" w:lineRule="exact" w:before="6"/>
              <w:ind w:left="170"/>
              <w:rPr>
                <w:sz w:val="18"/>
              </w:rPr>
            </w:pPr>
            <w:r>
              <w:rPr>
                <w:sz w:val="18"/>
              </w:rPr>
              <w:t>Deferred </w:t>
            </w:r>
            <w:r>
              <w:rPr>
                <w:spacing w:val="-2"/>
                <w:sz w:val="18"/>
              </w:rPr>
              <w:t>revenue</w:t>
            </w:r>
          </w:p>
        </w:tc>
        <w:tc>
          <w:tcPr>
            <w:tcW w:w="1663" w:type="dxa"/>
            <w:tcBorders>
              <w:bottom w:val="single" w:sz="8" w:space="0" w:color="000000"/>
            </w:tcBorders>
          </w:tcPr>
          <w:p>
            <w:pPr>
              <w:pStyle w:val="TableParagraph"/>
              <w:spacing w:line="203" w:lineRule="exact" w:before="6"/>
              <w:ind w:right="109"/>
              <w:jc w:val="right"/>
              <w:rPr>
                <w:sz w:val="18"/>
              </w:rPr>
            </w:pPr>
            <w:r>
              <w:rPr>
                <w:spacing w:val="-2"/>
                <w:sz w:val="18"/>
              </w:rPr>
              <w:t>2,405,950</w:t>
            </w:r>
          </w:p>
        </w:tc>
        <w:tc>
          <w:tcPr>
            <w:tcW w:w="1440" w:type="dxa"/>
            <w:tcBorders>
              <w:bottom w:val="single" w:sz="8" w:space="0" w:color="000000"/>
            </w:tcBorders>
          </w:tcPr>
          <w:p>
            <w:pPr>
              <w:pStyle w:val="TableParagraph"/>
              <w:spacing w:line="203" w:lineRule="exact" w:before="6"/>
              <w:ind w:right="69"/>
              <w:jc w:val="right"/>
              <w:rPr>
                <w:sz w:val="18"/>
              </w:rPr>
            </w:pPr>
            <w:r>
              <w:rPr>
                <w:spacing w:val="-2"/>
                <w:sz w:val="18"/>
              </w:rPr>
              <w:t>1,945,619</w:t>
            </w:r>
          </w:p>
        </w:tc>
      </w:tr>
      <w:tr>
        <w:trPr>
          <w:trHeight w:val="230" w:hRule="atLeast"/>
        </w:trPr>
        <w:tc>
          <w:tcPr>
            <w:tcW w:w="7137" w:type="dxa"/>
            <w:shd w:val="clear" w:color="auto" w:fill="CCEDFF"/>
          </w:tcPr>
          <w:p>
            <w:pPr>
              <w:pStyle w:val="TableParagraph"/>
              <w:spacing w:line="204" w:lineRule="exact"/>
              <w:ind w:left="410"/>
              <w:rPr>
                <w:sz w:val="18"/>
              </w:rPr>
            </w:pPr>
            <w:r>
              <w:rPr>
                <w:sz w:val="18"/>
              </w:rPr>
              <w:t>Total</w:t>
            </w:r>
            <w:r>
              <w:rPr>
                <w:spacing w:val="-4"/>
                <w:sz w:val="18"/>
              </w:rPr>
              <w:t> </w:t>
            </w:r>
            <w:r>
              <w:rPr>
                <w:sz w:val="18"/>
              </w:rPr>
              <w:t>current</w:t>
            </w:r>
            <w:r>
              <w:rPr>
                <w:spacing w:val="-3"/>
                <w:sz w:val="18"/>
              </w:rPr>
              <w:t> </w:t>
            </w:r>
            <w:r>
              <w:rPr>
                <w:spacing w:val="-2"/>
                <w:sz w:val="18"/>
              </w:rPr>
              <w:t>liabilities</w:t>
            </w:r>
          </w:p>
        </w:tc>
        <w:tc>
          <w:tcPr>
            <w:tcW w:w="1663" w:type="dxa"/>
            <w:tcBorders>
              <w:top w:val="single" w:sz="8" w:space="0" w:color="000000"/>
            </w:tcBorders>
            <w:shd w:val="clear" w:color="auto" w:fill="CCEDFF"/>
          </w:tcPr>
          <w:p>
            <w:pPr>
              <w:pStyle w:val="TableParagraph"/>
              <w:spacing w:line="204" w:lineRule="exact"/>
              <w:ind w:right="109"/>
              <w:jc w:val="right"/>
              <w:rPr>
                <w:sz w:val="18"/>
              </w:rPr>
            </w:pPr>
            <w:r>
              <w:rPr>
                <w:spacing w:val="-2"/>
                <w:sz w:val="18"/>
              </w:rPr>
              <w:t>3,527,457</w:t>
            </w:r>
          </w:p>
        </w:tc>
        <w:tc>
          <w:tcPr>
            <w:tcW w:w="1440" w:type="dxa"/>
            <w:tcBorders>
              <w:top w:val="single" w:sz="8" w:space="0" w:color="000000"/>
            </w:tcBorders>
            <w:shd w:val="clear" w:color="auto" w:fill="CCEDFF"/>
          </w:tcPr>
          <w:p>
            <w:pPr>
              <w:pStyle w:val="TableParagraph"/>
              <w:spacing w:line="204" w:lineRule="exact"/>
              <w:ind w:right="69"/>
              <w:jc w:val="right"/>
              <w:rPr>
                <w:sz w:val="18"/>
              </w:rPr>
            </w:pPr>
            <w:r>
              <w:rPr>
                <w:spacing w:val="-2"/>
                <w:sz w:val="18"/>
              </w:rPr>
              <w:t>2,811,635</w:t>
            </w:r>
          </w:p>
        </w:tc>
      </w:tr>
      <w:tr>
        <w:trPr>
          <w:trHeight w:val="240" w:hRule="atLeast"/>
        </w:trPr>
        <w:tc>
          <w:tcPr>
            <w:tcW w:w="7137" w:type="dxa"/>
          </w:tcPr>
          <w:p>
            <w:pPr>
              <w:pStyle w:val="TableParagraph"/>
              <w:spacing w:before="6"/>
              <w:ind w:left="50"/>
              <w:rPr>
                <w:sz w:val="18"/>
              </w:rPr>
            </w:pPr>
            <w:r>
              <w:rPr>
                <w:sz w:val="18"/>
              </w:rPr>
              <w:t>Long-term </w:t>
            </w:r>
            <w:r>
              <w:rPr>
                <w:spacing w:val="-2"/>
                <w:sz w:val="18"/>
              </w:rPr>
              <w:t>liabilities:</w:t>
            </w:r>
          </w:p>
        </w:tc>
        <w:tc>
          <w:tcPr>
            <w:tcW w:w="1663" w:type="dxa"/>
          </w:tcPr>
          <w:p>
            <w:pPr>
              <w:pStyle w:val="TableParagraph"/>
              <w:rPr>
                <w:sz w:val="16"/>
              </w:rPr>
            </w:pPr>
          </w:p>
        </w:tc>
        <w:tc>
          <w:tcPr>
            <w:tcW w:w="1440" w:type="dxa"/>
          </w:tcPr>
          <w:p>
            <w:pPr>
              <w:pStyle w:val="TableParagraph"/>
              <w:rPr>
                <w:sz w:val="16"/>
              </w:rPr>
            </w:pPr>
          </w:p>
        </w:tc>
      </w:tr>
      <w:tr>
        <w:trPr>
          <w:trHeight w:val="240" w:hRule="atLeast"/>
        </w:trPr>
        <w:tc>
          <w:tcPr>
            <w:tcW w:w="7137" w:type="dxa"/>
            <w:shd w:val="clear" w:color="auto" w:fill="CCEDFF"/>
          </w:tcPr>
          <w:p>
            <w:pPr>
              <w:pStyle w:val="TableParagraph"/>
              <w:spacing w:before="6"/>
              <w:ind w:left="170"/>
              <w:rPr>
                <w:sz w:val="18"/>
              </w:rPr>
            </w:pPr>
            <w:r>
              <w:rPr>
                <w:sz w:val="18"/>
              </w:rPr>
              <w:t>Debt and capital lease </w:t>
            </w:r>
            <w:r>
              <w:rPr>
                <w:spacing w:val="-2"/>
                <w:sz w:val="18"/>
              </w:rPr>
              <w:t>obligations</w:t>
            </w:r>
          </w:p>
        </w:tc>
        <w:tc>
          <w:tcPr>
            <w:tcW w:w="1663" w:type="dxa"/>
            <w:shd w:val="clear" w:color="auto" w:fill="CCEDFF"/>
          </w:tcPr>
          <w:p>
            <w:pPr>
              <w:pStyle w:val="TableParagraph"/>
              <w:spacing w:before="6"/>
              <w:ind w:right="109"/>
              <w:jc w:val="right"/>
              <w:rPr>
                <w:sz w:val="18"/>
              </w:rPr>
            </w:pPr>
            <w:r>
              <w:rPr>
                <w:spacing w:val="-2"/>
                <w:sz w:val="18"/>
              </w:rPr>
              <w:t>1,881,421</w:t>
            </w:r>
          </w:p>
        </w:tc>
        <w:tc>
          <w:tcPr>
            <w:tcW w:w="1440" w:type="dxa"/>
            <w:shd w:val="clear" w:color="auto" w:fill="CCEDFF"/>
          </w:tcPr>
          <w:p>
            <w:pPr>
              <w:pStyle w:val="TableParagraph"/>
              <w:spacing w:before="6"/>
              <w:ind w:right="69"/>
              <w:jc w:val="right"/>
              <w:rPr>
                <w:sz w:val="18"/>
              </w:rPr>
            </w:pPr>
            <w:r>
              <w:rPr>
                <w:spacing w:val="-2"/>
                <w:sz w:val="18"/>
              </w:rPr>
              <w:t>1,892,200</w:t>
            </w:r>
          </w:p>
        </w:tc>
      </w:tr>
      <w:tr>
        <w:trPr>
          <w:trHeight w:val="240" w:hRule="atLeast"/>
        </w:trPr>
        <w:tc>
          <w:tcPr>
            <w:tcW w:w="7137" w:type="dxa"/>
          </w:tcPr>
          <w:p>
            <w:pPr>
              <w:pStyle w:val="TableParagraph"/>
              <w:spacing w:before="6"/>
              <w:ind w:left="170"/>
              <w:rPr>
                <w:sz w:val="18"/>
              </w:rPr>
            </w:pPr>
            <w:r>
              <w:rPr>
                <w:sz w:val="18"/>
              </w:rPr>
              <w:t>Deferred </w:t>
            </w:r>
            <w:r>
              <w:rPr>
                <w:spacing w:val="-2"/>
                <w:sz w:val="18"/>
              </w:rPr>
              <w:t>revenue</w:t>
            </w:r>
          </w:p>
        </w:tc>
        <w:tc>
          <w:tcPr>
            <w:tcW w:w="1663" w:type="dxa"/>
          </w:tcPr>
          <w:p>
            <w:pPr>
              <w:pStyle w:val="TableParagraph"/>
              <w:spacing w:before="6"/>
              <w:ind w:right="109"/>
              <w:jc w:val="right"/>
              <w:rPr>
                <w:sz w:val="18"/>
              </w:rPr>
            </w:pPr>
            <w:r>
              <w:rPr>
                <w:spacing w:val="-2"/>
                <w:sz w:val="18"/>
              </w:rPr>
              <w:t>88,592</w:t>
            </w:r>
          </w:p>
        </w:tc>
        <w:tc>
          <w:tcPr>
            <w:tcW w:w="1440" w:type="dxa"/>
          </w:tcPr>
          <w:p>
            <w:pPr>
              <w:pStyle w:val="TableParagraph"/>
              <w:spacing w:before="6"/>
              <w:ind w:right="69"/>
              <w:jc w:val="right"/>
              <w:rPr>
                <w:sz w:val="18"/>
              </w:rPr>
            </w:pPr>
            <w:r>
              <w:rPr>
                <w:spacing w:val="-2"/>
                <w:sz w:val="18"/>
              </w:rPr>
              <w:t>69,131</w:t>
            </w:r>
          </w:p>
        </w:tc>
      </w:tr>
      <w:tr>
        <w:trPr>
          <w:trHeight w:val="240" w:hRule="atLeast"/>
        </w:trPr>
        <w:tc>
          <w:tcPr>
            <w:tcW w:w="7137" w:type="dxa"/>
            <w:shd w:val="clear" w:color="auto" w:fill="CCEDFF"/>
          </w:tcPr>
          <w:p>
            <w:pPr>
              <w:pStyle w:val="TableParagraph"/>
              <w:spacing w:before="6"/>
              <w:ind w:left="170"/>
              <w:rPr>
                <w:sz w:val="18"/>
              </w:rPr>
            </w:pPr>
            <w:r>
              <w:rPr>
                <w:sz w:val="18"/>
              </w:rPr>
              <w:t>Income</w:t>
            </w:r>
            <w:r>
              <w:rPr>
                <w:spacing w:val="-3"/>
                <w:sz w:val="18"/>
              </w:rPr>
              <w:t> </w:t>
            </w:r>
            <w:r>
              <w:rPr>
                <w:sz w:val="18"/>
              </w:rPr>
              <w:t>taxes</w:t>
            </w:r>
            <w:r>
              <w:rPr>
                <w:spacing w:val="-2"/>
                <w:sz w:val="18"/>
              </w:rPr>
              <w:t> payable</w:t>
            </w:r>
          </w:p>
        </w:tc>
        <w:tc>
          <w:tcPr>
            <w:tcW w:w="1663" w:type="dxa"/>
            <w:shd w:val="clear" w:color="auto" w:fill="CCEDFF"/>
          </w:tcPr>
          <w:p>
            <w:pPr>
              <w:pStyle w:val="TableParagraph"/>
              <w:spacing w:before="6"/>
              <w:ind w:right="109"/>
              <w:jc w:val="right"/>
              <w:rPr>
                <w:sz w:val="18"/>
              </w:rPr>
            </w:pPr>
            <w:r>
              <w:rPr>
                <w:spacing w:val="-2"/>
                <w:sz w:val="18"/>
              </w:rPr>
              <w:t>173,088</w:t>
            </w:r>
          </w:p>
        </w:tc>
        <w:tc>
          <w:tcPr>
            <w:tcW w:w="1440" w:type="dxa"/>
            <w:shd w:val="clear" w:color="auto" w:fill="CCEDFF"/>
          </w:tcPr>
          <w:p>
            <w:pPr>
              <w:pStyle w:val="TableParagraph"/>
              <w:spacing w:before="6"/>
              <w:ind w:right="69"/>
              <w:jc w:val="right"/>
              <w:rPr>
                <w:sz w:val="18"/>
              </w:rPr>
            </w:pPr>
            <w:r>
              <w:rPr>
                <w:spacing w:val="-2"/>
                <w:sz w:val="18"/>
              </w:rPr>
              <w:t>184,381</w:t>
            </w:r>
          </w:p>
        </w:tc>
      </w:tr>
      <w:tr>
        <w:trPr>
          <w:trHeight w:val="240" w:hRule="atLeast"/>
        </w:trPr>
        <w:tc>
          <w:tcPr>
            <w:tcW w:w="7137" w:type="dxa"/>
          </w:tcPr>
          <w:p>
            <w:pPr>
              <w:pStyle w:val="TableParagraph"/>
              <w:spacing w:before="6"/>
              <w:ind w:left="170"/>
              <w:rPr>
                <w:sz w:val="18"/>
              </w:rPr>
            </w:pPr>
            <w:r>
              <w:rPr>
                <w:sz w:val="18"/>
              </w:rPr>
              <w:t>Deferred income </w:t>
            </w:r>
            <w:r>
              <w:rPr>
                <w:spacing w:val="-2"/>
                <w:sz w:val="18"/>
              </w:rPr>
              <w:t>taxes</w:t>
            </w:r>
          </w:p>
        </w:tc>
        <w:tc>
          <w:tcPr>
            <w:tcW w:w="1663" w:type="dxa"/>
          </w:tcPr>
          <w:p>
            <w:pPr>
              <w:pStyle w:val="TableParagraph"/>
              <w:spacing w:before="6"/>
              <w:ind w:right="109"/>
              <w:jc w:val="right"/>
              <w:rPr>
                <w:sz w:val="18"/>
              </w:rPr>
            </w:pPr>
            <w:r>
              <w:rPr>
                <w:spacing w:val="-2"/>
                <w:sz w:val="18"/>
              </w:rPr>
              <w:t>279,941</w:t>
            </w:r>
          </w:p>
        </w:tc>
        <w:tc>
          <w:tcPr>
            <w:tcW w:w="1440" w:type="dxa"/>
          </w:tcPr>
          <w:p>
            <w:pPr>
              <w:pStyle w:val="TableParagraph"/>
              <w:spacing w:before="6"/>
              <w:ind w:right="69"/>
              <w:jc w:val="right"/>
              <w:rPr>
                <w:sz w:val="18"/>
              </w:rPr>
            </w:pPr>
            <w:r>
              <w:rPr>
                <w:spacing w:val="-2"/>
                <w:sz w:val="18"/>
              </w:rPr>
              <w:t>217,660</w:t>
            </w:r>
          </w:p>
        </w:tc>
      </w:tr>
      <w:tr>
        <w:trPr>
          <w:trHeight w:val="230" w:hRule="atLeast"/>
        </w:trPr>
        <w:tc>
          <w:tcPr>
            <w:tcW w:w="7137" w:type="dxa"/>
            <w:shd w:val="clear" w:color="auto" w:fill="CCEDFF"/>
          </w:tcPr>
          <w:p>
            <w:pPr>
              <w:pStyle w:val="TableParagraph"/>
              <w:spacing w:line="203" w:lineRule="exact" w:before="6"/>
              <w:ind w:left="170"/>
              <w:rPr>
                <w:sz w:val="18"/>
              </w:rPr>
            </w:pPr>
            <w:r>
              <w:rPr>
                <w:sz w:val="18"/>
              </w:rPr>
              <w:t>Other </w:t>
            </w:r>
            <w:r>
              <w:rPr>
                <w:spacing w:val="-2"/>
                <w:sz w:val="18"/>
              </w:rPr>
              <w:t>liabilities</w:t>
            </w:r>
          </w:p>
        </w:tc>
        <w:tc>
          <w:tcPr>
            <w:tcW w:w="1663" w:type="dxa"/>
            <w:tcBorders>
              <w:bottom w:val="single" w:sz="8" w:space="0" w:color="000000"/>
            </w:tcBorders>
            <w:shd w:val="clear" w:color="auto" w:fill="CCEDFF"/>
          </w:tcPr>
          <w:p>
            <w:pPr>
              <w:pStyle w:val="TableParagraph"/>
              <w:spacing w:line="203" w:lineRule="exact" w:before="6"/>
              <w:ind w:right="109"/>
              <w:jc w:val="right"/>
              <w:rPr>
                <w:sz w:val="18"/>
              </w:rPr>
            </w:pPr>
            <w:r>
              <w:rPr>
                <w:spacing w:val="-2"/>
                <w:sz w:val="18"/>
              </w:rPr>
              <w:t>125,188</w:t>
            </w:r>
          </w:p>
        </w:tc>
        <w:tc>
          <w:tcPr>
            <w:tcW w:w="1440" w:type="dxa"/>
            <w:tcBorders>
              <w:bottom w:val="single" w:sz="8" w:space="0" w:color="000000"/>
            </w:tcBorders>
            <w:shd w:val="clear" w:color="auto" w:fill="CCEDFF"/>
          </w:tcPr>
          <w:p>
            <w:pPr>
              <w:pStyle w:val="TableParagraph"/>
              <w:spacing w:line="203" w:lineRule="exact" w:before="6"/>
              <w:ind w:right="69"/>
              <w:jc w:val="right"/>
              <w:rPr>
                <w:sz w:val="18"/>
              </w:rPr>
            </w:pPr>
            <w:r>
              <w:rPr>
                <w:spacing w:val="-2"/>
                <w:sz w:val="18"/>
              </w:rPr>
              <w:t>97,404</w:t>
            </w:r>
          </w:p>
        </w:tc>
      </w:tr>
      <w:tr>
        <w:trPr>
          <w:trHeight w:val="230" w:hRule="atLeast"/>
        </w:trPr>
        <w:tc>
          <w:tcPr>
            <w:tcW w:w="7137" w:type="dxa"/>
          </w:tcPr>
          <w:p>
            <w:pPr>
              <w:pStyle w:val="TableParagraph"/>
              <w:spacing w:line="204" w:lineRule="exact"/>
              <w:ind w:left="410"/>
              <w:rPr>
                <w:sz w:val="18"/>
              </w:rPr>
            </w:pPr>
            <w:r>
              <w:rPr>
                <w:sz w:val="18"/>
              </w:rPr>
              <w:t>Total</w:t>
            </w:r>
            <w:r>
              <w:rPr>
                <w:spacing w:val="-7"/>
                <w:sz w:val="18"/>
              </w:rPr>
              <w:t> </w:t>
            </w:r>
            <w:r>
              <w:rPr>
                <w:spacing w:val="-2"/>
                <w:sz w:val="18"/>
              </w:rPr>
              <w:t>liabilities</w:t>
            </w:r>
          </w:p>
        </w:tc>
        <w:tc>
          <w:tcPr>
            <w:tcW w:w="1663" w:type="dxa"/>
            <w:tcBorders>
              <w:top w:val="single" w:sz="8" w:space="0" w:color="000000"/>
            </w:tcBorders>
          </w:tcPr>
          <w:p>
            <w:pPr>
              <w:pStyle w:val="TableParagraph"/>
              <w:spacing w:line="204" w:lineRule="exact"/>
              <w:ind w:right="109"/>
              <w:jc w:val="right"/>
              <w:rPr>
                <w:sz w:val="18"/>
              </w:rPr>
            </w:pPr>
            <w:r>
              <w:rPr>
                <w:spacing w:val="-2"/>
                <w:sz w:val="18"/>
              </w:rPr>
              <w:t>6,075,687</w:t>
            </w:r>
          </w:p>
        </w:tc>
        <w:tc>
          <w:tcPr>
            <w:tcW w:w="1440" w:type="dxa"/>
            <w:tcBorders>
              <w:top w:val="single" w:sz="8" w:space="0" w:color="000000"/>
            </w:tcBorders>
          </w:tcPr>
          <w:p>
            <w:pPr>
              <w:pStyle w:val="TableParagraph"/>
              <w:spacing w:line="204" w:lineRule="exact"/>
              <w:ind w:right="69"/>
              <w:jc w:val="right"/>
              <w:rPr>
                <w:sz w:val="18"/>
              </w:rPr>
            </w:pPr>
            <w:r>
              <w:rPr>
                <w:spacing w:val="-2"/>
                <w:sz w:val="18"/>
              </w:rPr>
              <w:t>5,272,411</w:t>
            </w:r>
          </w:p>
        </w:tc>
      </w:tr>
      <w:tr>
        <w:trPr>
          <w:trHeight w:val="240" w:hRule="atLeast"/>
        </w:trPr>
        <w:tc>
          <w:tcPr>
            <w:tcW w:w="7137" w:type="dxa"/>
            <w:shd w:val="clear" w:color="auto" w:fill="CCEDFF"/>
          </w:tcPr>
          <w:p>
            <w:pPr>
              <w:pStyle w:val="TableParagraph"/>
              <w:rPr>
                <w:sz w:val="16"/>
              </w:rPr>
            </w:pPr>
          </w:p>
        </w:tc>
        <w:tc>
          <w:tcPr>
            <w:tcW w:w="1663" w:type="dxa"/>
            <w:shd w:val="clear" w:color="auto" w:fill="CCEDFF"/>
          </w:tcPr>
          <w:p>
            <w:pPr>
              <w:pStyle w:val="TableParagraph"/>
              <w:rPr>
                <w:sz w:val="16"/>
              </w:rPr>
            </w:pPr>
          </w:p>
        </w:tc>
        <w:tc>
          <w:tcPr>
            <w:tcW w:w="1440" w:type="dxa"/>
            <w:shd w:val="clear" w:color="auto" w:fill="CCEDFF"/>
          </w:tcPr>
          <w:p>
            <w:pPr>
              <w:pStyle w:val="TableParagraph"/>
              <w:rPr>
                <w:sz w:val="16"/>
              </w:rPr>
            </w:pPr>
          </w:p>
        </w:tc>
      </w:tr>
    </w:tbl>
    <w:p>
      <w:pPr>
        <w:spacing w:line="556" w:lineRule="auto" w:before="7"/>
        <w:ind w:left="260" w:right="7143" w:firstLine="0"/>
        <w:jc w:val="left"/>
        <w:rPr>
          <w:sz w:val="18"/>
        </w:rPr>
      </w:pPr>
      <w:r>
        <w:rPr/>
        <mc:AlternateContent>
          <mc:Choice Requires="wps">
            <w:drawing>
              <wp:anchor distT="0" distB="0" distL="0" distR="0" allowOverlap="1" layoutInCell="1" locked="0" behindDoc="0" simplePos="0" relativeHeight="15772160">
                <wp:simplePos x="0" y="0"/>
                <wp:positionH relativeFrom="page">
                  <wp:posOffset>628650</wp:posOffset>
                </wp:positionH>
                <wp:positionV relativeFrom="paragraph">
                  <wp:posOffset>152940</wp:posOffset>
                </wp:positionV>
                <wp:extent cx="6502400" cy="15240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6502400" cy="152400"/>
                        </a:xfrm>
                        <a:custGeom>
                          <a:avLst/>
                          <a:gdLst/>
                          <a:ahLst/>
                          <a:cxnLst/>
                          <a:rect l="l" t="t" r="r" b="b"/>
                          <a:pathLst>
                            <a:path w="6502400" h="152400">
                              <a:moveTo>
                                <a:pt x="6502400" y="0"/>
                              </a:moveTo>
                              <a:lnTo>
                                <a:pt x="5613400" y="0"/>
                              </a:lnTo>
                              <a:lnTo>
                                <a:pt x="5562600" y="0"/>
                              </a:lnTo>
                              <a:lnTo>
                                <a:pt x="4673600" y="0"/>
                              </a:lnTo>
                              <a:lnTo>
                                <a:pt x="0" y="0"/>
                              </a:lnTo>
                              <a:lnTo>
                                <a:pt x="0" y="152400"/>
                              </a:lnTo>
                              <a:lnTo>
                                <a:pt x="4673600" y="152400"/>
                              </a:lnTo>
                              <a:lnTo>
                                <a:pt x="5562600" y="152400"/>
                              </a:lnTo>
                              <a:lnTo>
                                <a:pt x="5613400" y="152400"/>
                              </a:lnTo>
                              <a:lnTo>
                                <a:pt x="6502400" y="152400"/>
                              </a:lnTo>
                              <a:lnTo>
                                <a:pt x="65024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shape style="position:absolute;margin-left:49.500004pt;margin-top:12.042563pt;width:512pt;height:12pt;mso-position-horizontal-relative:page;mso-position-vertical-relative:paragraph;z-index:15772160" id="docshape171" coordorigin="990,241" coordsize="10240,240" path="m11230,241l9830,241,9750,241,8350,241,990,241,990,481,8350,481,9750,481,9830,481,11230,481,11230,241xe" filled="true" fillcolor="#ccedff" stroked="false">
                <v:path arrowok="t"/>
                <v:fill type="solid"/>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628650</wp:posOffset>
                </wp:positionH>
                <wp:positionV relativeFrom="paragraph">
                  <wp:posOffset>457740</wp:posOffset>
                </wp:positionV>
                <wp:extent cx="6502400" cy="15240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6502400" cy="152400"/>
                        </a:xfrm>
                        <a:prstGeom prst="rect">
                          <a:avLst/>
                        </a:prstGeom>
                        <a:solidFill>
                          <a:srgbClr val="CCEDFF"/>
                        </a:solidFill>
                      </wps:spPr>
                      <wps:txbx>
                        <w:txbxContent>
                          <w:p>
                            <w:pPr>
                              <w:tabs>
                                <w:tab w:pos="8509" w:val="left" w:leader="none"/>
                                <w:tab w:pos="9989" w:val="left" w:leader="none"/>
                              </w:tabs>
                              <w:spacing w:before="6"/>
                              <w:ind w:left="170" w:right="0" w:firstLine="0"/>
                              <w:jc w:val="left"/>
                              <w:rPr>
                                <w:color w:val="000000"/>
                                <w:sz w:val="18"/>
                              </w:rPr>
                            </w:pPr>
                            <w:r>
                              <w:rPr>
                                <w:color w:val="000000"/>
                                <w:sz w:val="18"/>
                              </w:rPr>
                              <w:t>Preferred</w:t>
                            </w:r>
                            <w:r>
                              <w:rPr>
                                <w:color w:val="000000"/>
                                <w:spacing w:val="-1"/>
                                <w:sz w:val="18"/>
                              </w:rPr>
                              <w:t> </w:t>
                            </w:r>
                            <w:r>
                              <w:rPr>
                                <w:color w:val="000000"/>
                                <w:sz w:val="18"/>
                              </w:rPr>
                              <w:t>stock,</w:t>
                            </w:r>
                            <w:r>
                              <w:rPr>
                                <w:color w:val="000000"/>
                                <w:spacing w:val="-1"/>
                                <w:sz w:val="18"/>
                              </w:rPr>
                              <w:t> </w:t>
                            </w:r>
                            <w:r>
                              <w:rPr>
                                <w:color w:val="000000"/>
                                <w:sz w:val="18"/>
                              </w:rPr>
                              <w:t>$0.0001 par</w:t>
                            </w:r>
                            <w:r>
                              <w:rPr>
                                <w:color w:val="000000"/>
                                <w:spacing w:val="-1"/>
                                <w:sz w:val="18"/>
                              </w:rPr>
                              <w:t> </w:t>
                            </w:r>
                            <w:r>
                              <w:rPr>
                                <w:color w:val="000000"/>
                                <w:sz w:val="18"/>
                              </w:rPr>
                              <w:t>value; 2,000</w:t>
                            </w:r>
                            <w:r>
                              <w:rPr>
                                <w:color w:val="000000"/>
                                <w:spacing w:val="-1"/>
                                <w:sz w:val="18"/>
                              </w:rPr>
                              <w:t> </w:t>
                            </w:r>
                            <w:r>
                              <w:rPr>
                                <w:color w:val="000000"/>
                                <w:sz w:val="18"/>
                              </w:rPr>
                              <w:t>shares</w:t>
                            </w:r>
                            <w:r>
                              <w:rPr>
                                <w:color w:val="000000"/>
                                <w:spacing w:val="-1"/>
                                <w:sz w:val="18"/>
                              </w:rPr>
                              <w:t> </w:t>
                            </w:r>
                            <w:r>
                              <w:rPr>
                                <w:color w:val="000000"/>
                                <w:sz w:val="18"/>
                              </w:rPr>
                              <w:t>authorized;</w:t>
                            </w:r>
                            <w:r>
                              <w:rPr>
                                <w:color w:val="000000"/>
                                <w:spacing w:val="-1"/>
                                <w:sz w:val="18"/>
                              </w:rPr>
                              <w:t> </w:t>
                            </w:r>
                            <w:r>
                              <w:rPr>
                                <w:color w:val="000000"/>
                                <w:sz w:val="18"/>
                              </w:rPr>
                              <w:t>none </w:t>
                            </w:r>
                            <w:r>
                              <w:rPr>
                                <w:color w:val="000000"/>
                                <w:spacing w:val="-2"/>
                                <w:sz w:val="18"/>
                              </w:rPr>
                              <w:t>issued</w:t>
                            </w:r>
                            <w:r>
                              <w:rPr>
                                <w:color w:val="000000"/>
                                <w:sz w:val="18"/>
                              </w:rPr>
                              <w:tab/>
                            </w:r>
                            <w:r>
                              <w:rPr>
                                <w:color w:val="000000"/>
                                <w:spacing w:val="-10"/>
                                <w:sz w:val="18"/>
                              </w:rPr>
                              <w:t>—</w:t>
                            </w:r>
                            <w:r>
                              <w:rPr>
                                <w:color w:val="000000"/>
                                <w:sz w:val="18"/>
                              </w:rPr>
                              <w:tab/>
                            </w:r>
                            <w:r>
                              <w:rPr>
                                <w:color w:val="000000"/>
                                <w:spacing w:val="-10"/>
                                <w:sz w:val="18"/>
                              </w:rPr>
                              <w:t>—</w:t>
                            </w:r>
                          </w:p>
                        </w:txbxContent>
                      </wps:txbx>
                      <wps:bodyPr wrap="square" lIns="0" tIns="0" rIns="0" bIns="0" rtlCol="0">
                        <a:noAutofit/>
                      </wps:bodyPr>
                    </wps:wsp>
                  </a:graphicData>
                </a:graphic>
              </wp:anchor>
            </w:drawing>
          </mc:Choice>
          <mc:Fallback>
            <w:pict>
              <v:shape style="position:absolute;margin-left:49.5pt;margin-top:36.04258pt;width:512pt;height:12pt;mso-position-horizontal-relative:page;mso-position-vertical-relative:paragraph;z-index:15773184" type="#_x0000_t202" id="docshape172" filled="true" fillcolor="#ccedff" stroked="false">
                <v:textbox inset="0,0,0,0">
                  <w:txbxContent>
                    <w:p>
                      <w:pPr>
                        <w:tabs>
                          <w:tab w:pos="8509" w:val="left" w:leader="none"/>
                          <w:tab w:pos="9989" w:val="left" w:leader="none"/>
                        </w:tabs>
                        <w:spacing w:before="6"/>
                        <w:ind w:left="170" w:right="0" w:firstLine="0"/>
                        <w:jc w:val="left"/>
                        <w:rPr>
                          <w:color w:val="000000"/>
                          <w:sz w:val="18"/>
                        </w:rPr>
                      </w:pPr>
                      <w:r>
                        <w:rPr>
                          <w:color w:val="000000"/>
                          <w:sz w:val="18"/>
                        </w:rPr>
                        <w:t>Preferred</w:t>
                      </w:r>
                      <w:r>
                        <w:rPr>
                          <w:color w:val="000000"/>
                          <w:spacing w:val="-1"/>
                          <w:sz w:val="18"/>
                        </w:rPr>
                        <w:t> </w:t>
                      </w:r>
                      <w:r>
                        <w:rPr>
                          <w:color w:val="000000"/>
                          <w:sz w:val="18"/>
                        </w:rPr>
                        <w:t>stock,</w:t>
                      </w:r>
                      <w:r>
                        <w:rPr>
                          <w:color w:val="000000"/>
                          <w:spacing w:val="-1"/>
                          <w:sz w:val="18"/>
                        </w:rPr>
                        <w:t> </w:t>
                      </w:r>
                      <w:r>
                        <w:rPr>
                          <w:color w:val="000000"/>
                          <w:sz w:val="18"/>
                        </w:rPr>
                        <w:t>$0.0001 par</w:t>
                      </w:r>
                      <w:r>
                        <w:rPr>
                          <w:color w:val="000000"/>
                          <w:spacing w:val="-1"/>
                          <w:sz w:val="18"/>
                        </w:rPr>
                        <w:t> </w:t>
                      </w:r>
                      <w:r>
                        <w:rPr>
                          <w:color w:val="000000"/>
                          <w:sz w:val="18"/>
                        </w:rPr>
                        <w:t>value; 2,000</w:t>
                      </w:r>
                      <w:r>
                        <w:rPr>
                          <w:color w:val="000000"/>
                          <w:spacing w:val="-1"/>
                          <w:sz w:val="18"/>
                        </w:rPr>
                        <w:t> </w:t>
                      </w:r>
                      <w:r>
                        <w:rPr>
                          <w:color w:val="000000"/>
                          <w:sz w:val="18"/>
                        </w:rPr>
                        <w:t>shares</w:t>
                      </w:r>
                      <w:r>
                        <w:rPr>
                          <w:color w:val="000000"/>
                          <w:spacing w:val="-1"/>
                          <w:sz w:val="18"/>
                        </w:rPr>
                        <w:t> </w:t>
                      </w:r>
                      <w:r>
                        <w:rPr>
                          <w:color w:val="000000"/>
                          <w:sz w:val="18"/>
                        </w:rPr>
                        <w:t>authorized;</w:t>
                      </w:r>
                      <w:r>
                        <w:rPr>
                          <w:color w:val="000000"/>
                          <w:spacing w:val="-1"/>
                          <w:sz w:val="18"/>
                        </w:rPr>
                        <w:t> </w:t>
                      </w:r>
                      <w:r>
                        <w:rPr>
                          <w:color w:val="000000"/>
                          <w:sz w:val="18"/>
                        </w:rPr>
                        <w:t>none </w:t>
                      </w:r>
                      <w:r>
                        <w:rPr>
                          <w:color w:val="000000"/>
                          <w:spacing w:val="-2"/>
                          <w:sz w:val="18"/>
                        </w:rPr>
                        <w:t>issued</w:t>
                      </w:r>
                      <w:r>
                        <w:rPr>
                          <w:color w:val="000000"/>
                          <w:sz w:val="18"/>
                        </w:rPr>
                        <w:tab/>
                      </w:r>
                      <w:r>
                        <w:rPr>
                          <w:color w:val="000000"/>
                          <w:spacing w:val="-10"/>
                          <w:sz w:val="18"/>
                        </w:rPr>
                        <w:t>—</w:t>
                      </w:r>
                      <w:r>
                        <w:rPr>
                          <w:color w:val="000000"/>
                          <w:sz w:val="18"/>
                        </w:rPr>
                        <w:tab/>
                      </w:r>
                      <w:r>
                        <w:rPr>
                          <w:color w:val="000000"/>
                          <w:spacing w:val="-10"/>
                          <w:sz w:val="18"/>
                        </w:rPr>
                        <w:t>—</w:t>
                      </w:r>
                    </w:p>
                  </w:txbxContent>
                </v:textbox>
                <v:fill type="solid"/>
                <w10:wrap type="none"/>
              </v:shape>
            </w:pict>
          </mc:Fallback>
        </mc:AlternateContent>
      </w:r>
      <w:r>
        <w:rPr>
          <w:sz w:val="18"/>
        </w:rPr>
        <w:t>Commitments</w:t>
      </w:r>
      <w:r>
        <w:rPr>
          <w:spacing w:val="-12"/>
          <w:sz w:val="18"/>
        </w:rPr>
        <w:t> </w:t>
      </w:r>
      <w:r>
        <w:rPr>
          <w:sz w:val="18"/>
        </w:rPr>
        <w:t>and</w:t>
      </w:r>
      <w:r>
        <w:rPr>
          <w:spacing w:val="-11"/>
          <w:sz w:val="18"/>
        </w:rPr>
        <w:t> </w:t>
      </w:r>
      <w:r>
        <w:rPr>
          <w:sz w:val="18"/>
        </w:rPr>
        <w:t>contingencies Stockholders’</w:t>
      </w:r>
      <w:r>
        <w:rPr>
          <w:spacing w:val="-14"/>
          <w:sz w:val="18"/>
        </w:rPr>
        <w:t> </w:t>
      </w:r>
      <w:r>
        <w:rPr>
          <w:sz w:val="18"/>
        </w:rPr>
        <w:t>equity:</w:t>
      </w:r>
    </w:p>
    <w:p>
      <w:pPr>
        <w:spacing w:before="0"/>
        <w:ind w:left="380" w:right="0" w:firstLine="0"/>
        <w:jc w:val="left"/>
        <w:rPr>
          <w:sz w:val="18"/>
        </w:rPr>
      </w:pPr>
      <w:r>
        <w:rPr/>
        <mc:AlternateContent>
          <mc:Choice Requires="wps">
            <w:drawing>
              <wp:anchor distT="0" distB="0" distL="0" distR="0" allowOverlap="1" layoutInCell="1" locked="0" behindDoc="0" simplePos="0" relativeHeight="15773696">
                <wp:simplePos x="0" y="0"/>
                <wp:positionH relativeFrom="page">
                  <wp:posOffset>590550</wp:posOffset>
                </wp:positionH>
                <wp:positionV relativeFrom="paragraph">
                  <wp:posOffset>104046</wp:posOffset>
                </wp:positionV>
                <wp:extent cx="6578600" cy="109156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6578600" cy="10915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6"/>
                              <w:gridCol w:w="1999"/>
                              <w:gridCol w:w="1415"/>
                            </w:tblGrid>
                            <w:tr>
                              <w:trPr>
                                <w:trHeight w:val="249" w:hRule="atLeast"/>
                              </w:trPr>
                              <w:tc>
                                <w:tcPr>
                                  <w:tcW w:w="6826" w:type="dxa"/>
                                </w:tcPr>
                                <w:p>
                                  <w:pPr>
                                    <w:pStyle w:val="TableParagraph"/>
                                    <w:spacing w:before="16"/>
                                    <w:ind w:left="260"/>
                                    <w:rPr>
                                      <w:sz w:val="18"/>
                                    </w:rPr>
                                  </w:pPr>
                                  <w:r>
                                    <w:rPr>
                                      <w:sz w:val="18"/>
                                    </w:rPr>
                                    <w:t>491,262</w:t>
                                  </w:r>
                                  <w:r>
                                    <w:rPr>
                                      <w:spacing w:val="-1"/>
                                      <w:sz w:val="18"/>
                                    </w:rPr>
                                    <w:t> </w:t>
                                  </w:r>
                                  <w:r>
                                    <w:rPr>
                                      <w:sz w:val="18"/>
                                    </w:rPr>
                                    <w:t>and</w:t>
                                  </w:r>
                                  <w:r>
                                    <w:rPr>
                                      <w:spacing w:val="-1"/>
                                      <w:sz w:val="18"/>
                                    </w:rPr>
                                    <w:t> </w:t>
                                  </w:r>
                                  <w:r>
                                    <w:rPr>
                                      <w:sz w:val="18"/>
                                    </w:rPr>
                                    <w:t>494,254</w:t>
                                  </w:r>
                                  <w:r>
                                    <w:rPr>
                                      <w:spacing w:val="-2"/>
                                      <w:sz w:val="18"/>
                                    </w:rPr>
                                    <w:t> </w:t>
                                  </w:r>
                                  <w:r>
                                    <w:rPr>
                                      <w:sz w:val="18"/>
                                    </w:rPr>
                                    <w:t>shares</w:t>
                                  </w:r>
                                  <w:r>
                                    <w:rPr>
                                      <w:spacing w:val="-1"/>
                                      <w:sz w:val="18"/>
                                    </w:rPr>
                                    <w:t> </w:t>
                                  </w:r>
                                  <w:r>
                                    <w:rPr>
                                      <w:sz w:val="18"/>
                                    </w:rPr>
                                    <w:t>outstanding,</w:t>
                                  </w:r>
                                  <w:r>
                                    <w:rPr>
                                      <w:spacing w:val="-1"/>
                                      <w:sz w:val="18"/>
                                    </w:rPr>
                                    <w:t> </w:t>
                                  </w:r>
                                  <w:r>
                                    <w:rPr>
                                      <w:spacing w:val="-2"/>
                                      <w:sz w:val="18"/>
                                    </w:rPr>
                                    <w:t>respectively</w:t>
                                  </w:r>
                                </w:p>
                              </w:tc>
                              <w:tc>
                                <w:tcPr>
                                  <w:tcW w:w="1999" w:type="dxa"/>
                                </w:tcPr>
                                <w:p>
                                  <w:pPr>
                                    <w:pStyle w:val="TableParagraph"/>
                                    <w:spacing w:line="199" w:lineRule="exact"/>
                                    <w:ind w:right="134"/>
                                    <w:jc w:val="right"/>
                                    <w:rPr>
                                      <w:sz w:val="18"/>
                                    </w:rPr>
                                  </w:pPr>
                                  <w:r>
                                    <w:rPr>
                                      <w:spacing w:val="-5"/>
                                      <w:sz w:val="18"/>
                                    </w:rPr>
                                    <w:t>61</w:t>
                                  </w:r>
                                </w:p>
                              </w:tc>
                              <w:tc>
                                <w:tcPr>
                                  <w:tcW w:w="1415" w:type="dxa"/>
                                </w:tcPr>
                                <w:p>
                                  <w:pPr>
                                    <w:pStyle w:val="TableParagraph"/>
                                    <w:spacing w:line="199" w:lineRule="exact"/>
                                    <w:ind w:right="69"/>
                                    <w:jc w:val="right"/>
                                    <w:rPr>
                                      <w:sz w:val="18"/>
                                    </w:rPr>
                                  </w:pPr>
                                  <w:r>
                                    <w:rPr>
                                      <w:spacing w:val="-5"/>
                                      <w:sz w:val="18"/>
                                    </w:rPr>
                                    <w:t>61</w:t>
                                  </w:r>
                                </w:p>
                              </w:tc>
                            </w:tr>
                            <w:tr>
                              <w:trPr>
                                <w:trHeight w:val="240" w:hRule="atLeast"/>
                              </w:trPr>
                              <w:tc>
                                <w:tcPr>
                                  <w:tcW w:w="6826" w:type="dxa"/>
                                  <w:shd w:val="clear" w:color="auto" w:fill="CCEDFF"/>
                                </w:tcPr>
                                <w:p>
                                  <w:pPr>
                                    <w:pStyle w:val="TableParagraph"/>
                                    <w:spacing w:before="6"/>
                                    <w:ind w:left="170"/>
                                    <w:rPr>
                                      <w:sz w:val="18"/>
                                    </w:rPr>
                                  </w:pPr>
                                  <w:r>
                                    <w:rPr>
                                      <w:sz w:val="18"/>
                                    </w:rPr>
                                    <w:t>Additional paid-in-</w:t>
                                  </w:r>
                                  <w:r>
                                    <w:rPr>
                                      <w:spacing w:val="-2"/>
                                      <w:sz w:val="18"/>
                                    </w:rPr>
                                    <w:t>capital</w:t>
                                  </w:r>
                                </w:p>
                              </w:tc>
                              <w:tc>
                                <w:tcPr>
                                  <w:tcW w:w="1999" w:type="dxa"/>
                                  <w:shd w:val="clear" w:color="auto" w:fill="CCEDFF"/>
                                </w:tcPr>
                                <w:p>
                                  <w:pPr>
                                    <w:pStyle w:val="TableParagraph"/>
                                    <w:spacing w:before="6"/>
                                    <w:ind w:right="134"/>
                                    <w:jc w:val="right"/>
                                    <w:rPr>
                                      <w:sz w:val="18"/>
                                    </w:rPr>
                                  </w:pPr>
                                  <w:r>
                                    <w:rPr>
                                      <w:spacing w:val="-2"/>
                                      <w:sz w:val="18"/>
                                    </w:rPr>
                                    <w:t>5,082,195</w:t>
                                  </w:r>
                                </w:p>
                              </w:tc>
                              <w:tc>
                                <w:tcPr>
                                  <w:tcW w:w="1415" w:type="dxa"/>
                                  <w:shd w:val="clear" w:color="auto" w:fill="CCEDFF"/>
                                </w:tcPr>
                                <w:p>
                                  <w:pPr>
                                    <w:pStyle w:val="TableParagraph"/>
                                    <w:spacing w:before="6"/>
                                    <w:ind w:right="69"/>
                                    <w:jc w:val="right"/>
                                    <w:rPr>
                                      <w:sz w:val="18"/>
                                    </w:rPr>
                                  </w:pPr>
                                  <w:r>
                                    <w:rPr>
                                      <w:spacing w:val="-2"/>
                                      <w:sz w:val="18"/>
                                    </w:rPr>
                                    <w:t>4,616,331</w:t>
                                  </w:r>
                                </w:p>
                              </w:tc>
                            </w:tr>
                            <w:tr>
                              <w:trPr>
                                <w:trHeight w:val="240" w:hRule="atLeast"/>
                              </w:trPr>
                              <w:tc>
                                <w:tcPr>
                                  <w:tcW w:w="6826" w:type="dxa"/>
                                </w:tcPr>
                                <w:p>
                                  <w:pPr>
                                    <w:pStyle w:val="TableParagraph"/>
                                    <w:spacing w:before="6"/>
                                    <w:ind w:left="170"/>
                                    <w:rPr>
                                      <w:sz w:val="18"/>
                                    </w:rPr>
                                  </w:pPr>
                                  <w:r>
                                    <w:rPr>
                                      <w:sz w:val="18"/>
                                    </w:rPr>
                                    <w:t>Retained </w:t>
                                  </w:r>
                                  <w:r>
                                    <w:rPr>
                                      <w:spacing w:val="-2"/>
                                      <w:sz w:val="18"/>
                                    </w:rPr>
                                    <w:t>earnings</w:t>
                                  </w:r>
                                </w:p>
                              </w:tc>
                              <w:tc>
                                <w:tcPr>
                                  <w:tcW w:w="1999" w:type="dxa"/>
                                </w:tcPr>
                                <w:p>
                                  <w:pPr>
                                    <w:pStyle w:val="TableParagraph"/>
                                    <w:spacing w:before="6"/>
                                    <w:ind w:right="134"/>
                                    <w:jc w:val="right"/>
                                    <w:rPr>
                                      <w:sz w:val="18"/>
                                    </w:rPr>
                                  </w:pPr>
                                  <w:r>
                                    <w:rPr>
                                      <w:spacing w:val="-2"/>
                                      <w:sz w:val="18"/>
                                    </w:rPr>
                                    <w:t>9,573,870</w:t>
                                  </w:r>
                                </w:p>
                              </w:tc>
                              <w:tc>
                                <w:tcPr>
                                  <w:tcW w:w="1415" w:type="dxa"/>
                                </w:tcPr>
                                <w:p>
                                  <w:pPr>
                                    <w:pStyle w:val="TableParagraph"/>
                                    <w:spacing w:before="6"/>
                                    <w:ind w:right="69"/>
                                    <w:jc w:val="right"/>
                                    <w:rPr>
                                      <w:sz w:val="18"/>
                                    </w:rPr>
                                  </w:pPr>
                                  <w:r>
                                    <w:rPr>
                                      <w:spacing w:val="-2"/>
                                      <w:sz w:val="18"/>
                                    </w:rPr>
                                    <w:t>8,114,517</w:t>
                                  </w:r>
                                </w:p>
                              </w:tc>
                            </w:tr>
                            <w:tr>
                              <w:trPr>
                                <w:trHeight w:val="240" w:hRule="atLeast"/>
                              </w:trPr>
                              <w:tc>
                                <w:tcPr>
                                  <w:tcW w:w="6826" w:type="dxa"/>
                                  <w:shd w:val="clear" w:color="auto" w:fill="CCEDFF"/>
                                </w:tcPr>
                                <w:p>
                                  <w:pPr>
                                    <w:pStyle w:val="TableParagraph"/>
                                    <w:spacing w:before="6"/>
                                    <w:ind w:left="170"/>
                                    <w:rPr>
                                      <w:sz w:val="18"/>
                                    </w:rPr>
                                  </w:pPr>
                                  <w:r>
                                    <w:rPr>
                                      <w:sz w:val="18"/>
                                    </w:rPr>
                                    <w:t>Accumulated other comprehensive income </w:t>
                                  </w:r>
                                  <w:r>
                                    <w:rPr>
                                      <w:spacing w:val="-2"/>
                                      <w:sz w:val="18"/>
                                    </w:rPr>
                                    <w:t>(loss)</w:t>
                                  </w:r>
                                </w:p>
                              </w:tc>
                              <w:tc>
                                <w:tcPr>
                                  <w:tcW w:w="1999" w:type="dxa"/>
                                  <w:shd w:val="clear" w:color="auto" w:fill="CCEDFF"/>
                                </w:tcPr>
                                <w:p>
                                  <w:pPr>
                                    <w:pStyle w:val="TableParagraph"/>
                                    <w:spacing w:before="6"/>
                                    <w:ind w:right="73"/>
                                    <w:jc w:val="right"/>
                                    <w:rPr>
                                      <w:sz w:val="18"/>
                                    </w:rPr>
                                  </w:pPr>
                                  <w:r>
                                    <w:rPr>
                                      <w:spacing w:val="-2"/>
                                      <w:sz w:val="18"/>
                                    </w:rPr>
                                    <w:t>(111,821)</w:t>
                                  </w:r>
                                </w:p>
                              </w:tc>
                              <w:tc>
                                <w:tcPr>
                                  <w:tcW w:w="1415" w:type="dxa"/>
                                  <w:shd w:val="clear" w:color="auto" w:fill="CCEDFF"/>
                                </w:tcPr>
                                <w:p>
                                  <w:pPr>
                                    <w:pStyle w:val="TableParagraph"/>
                                    <w:spacing w:before="6"/>
                                    <w:ind w:right="8"/>
                                    <w:jc w:val="right"/>
                                    <w:rPr>
                                      <w:sz w:val="18"/>
                                    </w:rPr>
                                  </w:pPr>
                                  <w:r>
                                    <w:rPr>
                                      <w:spacing w:val="-2"/>
                                      <w:sz w:val="18"/>
                                    </w:rPr>
                                    <w:t>(173,602)</w:t>
                                  </w:r>
                                </w:p>
                              </w:tc>
                            </w:tr>
                            <w:tr>
                              <w:trPr>
                                <w:trHeight w:val="230" w:hRule="atLeast"/>
                              </w:trPr>
                              <w:tc>
                                <w:tcPr>
                                  <w:tcW w:w="6826" w:type="dxa"/>
                                </w:tcPr>
                                <w:p>
                                  <w:pPr>
                                    <w:pStyle w:val="TableParagraph"/>
                                    <w:spacing w:line="203" w:lineRule="exact" w:before="6"/>
                                    <w:ind w:left="170"/>
                                    <w:rPr>
                                      <w:sz w:val="18"/>
                                    </w:rPr>
                                  </w:pPr>
                                  <w:r>
                                    <w:rPr>
                                      <w:sz w:val="18"/>
                                    </w:rPr>
                                    <w:t>Treasury</w:t>
                                  </w:r>
                                  <w:r>
                                    <w:rPr>
                                      <w:spacing w:val="-1"/>
                                      <w:sz w:val="18"/>
                                    </w:rPr>
                                    <w:t> </w:t>
                                  </w:r>
                                  <w:r>
                                    <w:rPr>
                                      <w:sz w:val="18"/>
                                    </w:rPr>
                                    <w:t>stock,</w:t>
                                  </w:r>
                                  <w:r>
                                    <w:rPr>
                                      <w:spacing w:val="-1"/>
                                      <w:sz w:val="18"/>
                                    </w:rPr>
                                    <w:t> </w:t>
                                  </w:r>
                                  <w:r>
                                    <w:rPr>
                                      <w:sz w:val="18"/>
                                    </w:rPr>
                                    <w:t>at cost</w:t>
                                  </w:r>
                                  <w:r>
                                    <w:rPr>
                                      <w:spacing w:val="-1"/>
                                      <w:sz w:val="18"/>
                                    </w:rPr>
                                    <w:t> </w:t>
                                  </w:r>
                                  <w:r>
                                    <w:rPr>
                                      <w:sz w:val="18"/>
                                    </w:rPr>
                                    <w:t>(109,572</w:t>
                                  </w:r>
                                  <w:r>
                                    <w:rPr>
                                      <w:spacing w:val="-1"/>
                                      <w:sz w:val="18"/>
                                    </w:rPr>
                                    <w:t> </w:t>
                                  </w:r>
                                  <w:r>
                                    <w:rPr>
                                      <w:sz w:val="18"/>
                                    </w:rPr>
                                    <w:t>and 106,580</w:t>
                                  </w:r>
                                  <w:r>
                                    <w:rPr>
                                      <w:spacing w:val="-1"/>
                                      <w:sz w:val="18"/>
                                    </w:rPr>
                                    <w:t> </w:t>
                                  </w:r>
                                  <w:r>
                                    <w:rPr>
                                      <w:sz w:val="18"/>
                                    </w:rPr>
                                    <w:t>shares,</w:t>
                                  </w:r>
                                  <w:r>
                                    <w:rPr>
                                      <w:spacing w:val="-1"/>
                                      <w:sz w:val="18"/>
                                    </w:rPr>
                                    <w:t> </w:t>
                                  </w:r>
                                  <w:r>
                                    <w:rPr>
                                      <w:sz w:val="18"/>
                                    </w:rPr>
                                    <w:t>respectively), net</w:t>
                                  </w:r>
                                  <w:r>
                                    <w:rPr>
                                      <w:spacing w:val="-1"/>
                                      <w:sz w:val="18"/>
                                    </w:rPr>
                                    <w:t> </w:t>
                                  </w:r>
                                  <w:r>
                                    <w:rPr>
                                      <w:sz w:val="18"/>
                                    </w:rPr>
                                    <w:t>of </w:t>
                                  </w:r>
                                  <w:r>
                                    <w:rPr>
                                      <w:spacing w:val="-2"/>
                                      <w:sz w:val="18"/>
                                    </w:rPr>
                                    <w:t>reissuances</w:t>
                                  </w:r>
                                </w:p>
                              </w:tc>
                              <w:tc>
                                <w:tcPr>
                                  <w:tcW w:w="1999" w:type="dxa"/>
                                  <w:tcBorders>
                                    <w:bottom w:val="single" w:sz="8" w:space="0" w:color="000000"/>
                                  </w:tcBorders>
                                </w:tcPr>
                                <w:p>
                                  <w:pPr>
                                    <w:pStyle w:val="TableParagraph"/>
                                    <w:spacing w:line="203" w:lineRule="exact" w:before="6"/>
                                    <w:ind w:right="73"/>
                                    <w:jc w:val="right"/>
                                    <w:rPr>
                                      <w:sz w:val="18"/>
                                    </w:rPr>
                                  </w:pPr>
                                  <w:r>
                                    <w:rPr>
                                      <w:spacing w:val="-2"/>
                                      <w:sz w:val="18"/>
                                    </w:rPr>
                                    <w:t>(6,084,436)</w:t>
                                  </w:r>
                                </w:p>
                              </w:tc>
                              <w:tc>
                                <w:tcPr>
                                  <w:tcW w:w="1415" w:type="dxa"/>
                                  <w:tcBorders>
                                    <w:bottom w:val="single" w:sz="8" w:space="0" w:color="000000"/>
                                  </w:tcBorders>
                                </w:tcPr>
                                <w:p>
                                  <w:pPr>
                                    <w:pStyle w:val="TableParagraph"/>
                                    <w:spacing w:line="203" w:lineRule="exact" w:before="6"/>
                                    <w:ind w:right="8"/>
                                    <w:jc w:val="right"/>
                                    <w:rPr>
                                      <w:sz w:val="18"/>
                                    </w:rPr>
                                  </w:pPr>
                                  <w:r>
                                    <w:rPr>
                                      <w:spacing w:val="-2"/>
                                      <w:sz w:val="18"/>
                                    </w:rPr>
                                    <w:t>(5,132,472)</w:t>
                                  </w:r>
                                </w:p>
                              </w:tc>
                            </w:tr>
                            <w:tr>
                              <w:trPr>
                                <w:trHeight w:val="220" w:hRule="atLeast"/>
                              </w:trPr>
                              <w:tc>
                                <w:tcPr>
                                  <w:tcW w:w="6826" w:type="dxa"/>
                                  <w:shd w:val="clear" w:color="auto" w:fill="CCEDFF"/>
                                </w:tcPr>
                                <w:p>
                                  <w:pPr>
                                    <w:pStyle w:val="TableParagraph"/>
                                    <w:spacing w:line="200" w:lineRule="exact"/>
                                    <w:ind w:left="410"/>
                                    <w:rPr>
                                      <w:sz w:val="18"/>
                                    </w:rPr>
                                  </w:pPr>
                                  <w:r>
                                    <w:rPr>
                                      <w:sz w:val="18"/>
                                    </w:rPr>
                                    <w:t>Total</w:t>
                                  </w:r>
                                  <w:r>
                                    <w:rPr>
                                      <w:spacing w:val="-7"/>
                                      <w:sz w:val="18"/>
                                    </w:rPr>
                                    <w:t> </w:t>
                                  </w:r>
                                  <w:r>
                                    <w:rPr>
                                      <w:sz w:val="18"/>
                                    </w:rPr>
                                    <w:t>stockholders’</w:t>
                                  </w:r>
                                  <w:r>
                                    <w:rPr>
                                      <w:spacing w:val="-13"/>
                                      <w:sz w:val="18"/>
                                    </w:rPr>
                                    <w:t> </w:t>
                                  </w:r>
                                  <w:r>
                                    <w:rPr>
                                      <w:spacing w:val="-2"/>
                                      <w:sz w:val="18"/>
                                    </w:rPr>
                                    <w:t>equity</w:t>
                                  </w:r>
                                </w:p>
                              </w:tc>
                              <w:tc>
                                <w:tcPr>
                                  <w:tcW w:w="1999" w:type="dxa"/>
                                  <w:tcBorders>
                                    <w:top w:val="single" w:sz="8" w:space="0" w:color="000000"/>
                                    <w:bottom w:val="single" w:sz="8" w:space="0" w:color="000000"/>
                                  </w:tcBorders>
                                  <w:shd w:val="clear" w:color="auto" w:fill="CCEDFF"/>
                                </w:tcPr>
                                <w:p>
                                  <w:pPr>
                                    <w:pStyle w:val="TableParagraph"/>
                                    <w:spacing w:line="200" w:lineRule="exact"/>
                                    <w:ind w:right="134"/>
                                    <w:jc w:val="right"/>
                                    <w:rPr>
                                      <w:sz w:val="18"/>
                                    </w:rPr>
                                  </w:pPr>
                                  <w:r>
                                    <w:rPr>
                                      <w:spacing w:val="-2"/>
                                      <w:sz w:val="18"/>
                                    </w:rPr>
                                    <w:t>8,459,869</w:t>
                                  </w:r>
                                </w:p>
                              </w:tc>
                              <w:tc>
                                <w:tcPr>
                                  <w:tcW w:w="1415" w:type="dxa"/>
                                  <w:tcBorders>
                                    <w:top w:val="single" w:sz="8" w:space="0" w:color="000000"/>
                                    <w:bottom w:val="single" w:sz="8" w:space="0" w:color="000000"/>
                                  </w:tcBorders>
                                  <w:shd w:val="clear" w:color="auto" w:fill="CCEDFF"/>
                                </w:tcPr>
                                <w:p>
                                  <w:pPr>
                                    <w:pStyle w:val="TableParagraph"/>
                                    <w:spacing w:line="200" w:lineRule="exact"/>
                                    <w:ind w:right="69"/>
                                    <w:jc w:val="right"/>
                                    <w:rPr>
                                      <w:sz w:val="18"/>
                                    </w:rPr>
                                  </w:pPr>
                                  <w:r>
                                    <w:rPr>
                                      <w:spacing w:val="-2"/>
                                      <w:sz w:val="18"/>
                                    </w:rPr>
                                    <w:t>7,424,835</w:t>
                                  </w:r>
                                </w:p>
                              </w:tc>
                            </w:tr>
                            <w:tr>
                              <w:trPr>
                                <w:trHeight w:val="260" w:hRule="atLeast"/>
                              </w:trPr>
                              <w:tc>
                                <w:tcPr>
                                  <w:tcW w:w="6826" w:type="dxa"/>
                                </w:tcPr>
                                <w:p>
                                  <w:pPr>
                                    <w:pStyle w:val="TableParagraph"/>
                                    <w:spacing w:line="204" w:lineRule="exact"/>
                                    <w:ind w:left="410"/>
                                    <w:rPr>
                                      <w:sz w:val="18"/>
                                    </w:rPr>
                                  </w:pPr>
                                  <w:r>
                                    <w:rPr>
                                      <w:sz w:val="18"/>
                                    </w:rPr>
                                    <w:t>Total</w:t>
                                  </w:r>
                                  <w:r>
                                    <w:rPr>
                                      <w:spacing w:val="-11"/>
                                      <w:sz w:val="18"/>
                                    </w:rPr>
                                    <w:t> </w:t>
                                  </w:r>
                                  <w:r>
                                    <w:rPr>
                                      <w:sz w:val="18"/>
                                    </w:rPr>
                                    <w:t>liabilities</w:t>
                                  </w:r>
                                  <w:r>
                                    <w:rPr>
                                      <w:spacing w:val="-7"/>
                                      <w:sz w:val="18"/>
                                    </w:rPr>
                                    <w:t> </w:t>
                                  </w:r>
                                  <w:r>
                                    <w:rPr>
                                      <w:sz w:val="18"/>
                                    </w:rPr>
                                    <w:t>and</w:t>
                                  </w:r>
                                  <w:r>
                                    <w:rPr>
                                      <w:spacing w:val="-6"/>
                                      <w:sz w:val="18"/>
                                    </w:rPr>
                                    <w:t> </w:t>
                                  </w:r>
                                  <w:r>
                                    <w:rPr>
                                      <w:sz w:val="18"/>
                                    </w:rPr>
                                    <w:t>stockholders’</w:t>
                                  </w:r>
                                  <w:r>
                                    <w:rPr>
                                      <w:spacing w:val="-14"/>
                                      <w:sz w:val="18"/>
                                    </w:rPr>
                                    <w:t> </w:t>
                                  </w:r>
                                  <w:r>
                                    <w:rPr>
                                      <w:spacing w:val="-2"/>
                                      <w:sz w:val="18"/>
                                    </w:rPr>
                                    <w:t>equity</w:t>
                                  </w:r>
                                </w:p>
                              </w:tc>
                              <w:tc>
                                <w:tcPr>
                                  <w:tcW w:w="1999" w:type="dxa"/>
                                  <w:tcBorders>
                                    <w:top w:val="single" w:sz="8" w:space="0" w:color="000000"/>
                                  </w:tcBorders>
                                </w:tcPr>
                                <w:p>
                                  <w:pPr>
                                    <w:pStyle w:val="TableParagraph"/>
                                    <w:tabs>
                                      <w:tab w:pos="519" w:val="left" w:leader="none"/>
                                    </w:tabs>
                                    <w:spacing w:line="204" w:lineRule="exact"/>
                                    <w:ind w:right="63"/>
                                    <w:jc w:val="right"/>
                                    <w:rPr>
                                      <w:sz w:val="18"/>
                                    </w:rPr>
                                  </w:pPr>
                                  <w:r>
                                    <w:rPr>
                                      <w:spacing w:val="5"/>
                                      <w:sz w:val="18"/>
                                      <w:u w:val="single"/>
                                    </w:rPr>
                                    <w:t> </w:t>
                                  </w:r>
                                  <w:r>
                                    <w:rPr>
                                      <w:spacing w:val="-10"/>
                                      <w:sz w:val="18"/>
                                      <w:u w:val="single"/>
                                    </w:rPr>
                                    <w:t>$</w:t>
                                  </w:r>
                                  <w:r>
                                    <w:rPr>
                                      <w:sz w:val="18"/>
                                      <w:u w:val="single"/>
                                    </w:rPr>
                                    <w:tab/>
                                  </w:r>
                                  <w:r>
                                    <w:rPr>
                                      <w:spacing w:val="-2"/>
                                      <w:sz w:val="18"/>
                                      <w:u w:val="single"/>
                                    </w:rPr>
                                    <w:t>14,535,556</w:t>
                                  </w:r>
                                  <w:r>
                                    <w:rPr>
                                      <w:spacing w:val="80"/>
                                      <w:sz w:val="18"/>
                                      <w:u w:val="single"/>
                                    </w:rPr>
                                    <w:t> </w:t>
                                  </w:r>
                                </w:p>
                              </w:tc>
                              <w:tc>
                                <w:tcPr>
                                  <w:tcW w:w="1415" w:type="dxa"/>
                                  <w:tcBorders>
                                    <w:top w:val="single" w:sz="8" w:space="0" w:color="000000"/>
                                  </w:tcBorders>
                                </w:tcPr>
                                <w:p>
                                  <w:pPr>
                                    <w:pStyle w:val="TableParagraph"/>
                                    <w:tabs>
                                      <w:tab w:pos="469" w:val="left" w:leader="none"/>
                                    </w:tabs>
                                    <w:spacing w:line="204" w:lineRule="exact"/>
                                    <w:ind w:right="69"/>
                                    <w:jc w:val="right"/>
                                    <w:rPr>
                                      <w:sz w:val="18"/>
                                    </w:rPr>
                                  </w:pPr>
                                  <w:r>
                                    <w:rPr>
                                      <w:spacing w:val="-10"/>
                                      <w:sz w:val="18"/>
                                    </w:rPr>
                                    <w:t>$</w:t>
                                  </w:r>
                                  <w:r>
                                    <w:rPr>
                                      <w:sz w:val="18"/>
                                    </w:rPr>
                                    <w:tab/>
                                  </w:r>
                                  <w:r>
                                    <w:rPr>
                                      <w:spacing w:val="-2"/>
                                      <w:sz w:val="18"/>
                                    </w:rPr>
                                    <w:t>12,697,246</w:t>
                                  </w:r>
                                </w:p>
                              </w:tc>
                            </w:tr>
                          </w:tbl>
                          <w:p>
                            <w:pPr>
                              <w:pStyle w:val="BodyText"/>
                            </w:pPr>
                          </w:p>
                        </w:txbxContent>
                      </wps:txbx>
                      <wps:bodyPr wrap="square" lIns="0" tIns="0" rIns="0" bIns="0" rtlCol="0">
                        <a:noAutofit/>
                      </wps:bodyPr>
                    </wps:wsp>
                  </a:graphicData>
                </a:graphic>
              </wp:anchor>
            </w:drawing>
          </mc:Choice>
          <mc:Fallback>
            <w:pict>
              <v:shape style="position:absolute;margin-left:46.5pt;margin-top:8.192636pt;width:518pt;height:85.95pt;mso-position-horizontal-relative:page;mso-position-vertical-relative:paragraph;z-index:15773696" type="#_x0000_t202" id="docshape17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6"/>
                        <w:gridCol w:w="1999"/>
                        <w:gridCol w:w="1415"/>
                      </w:tblGrid>
                      <w:tr>
                        <w:trPr>
                          <w:trHeight w:val="249" w:hRule="atLeast"/>
                        </w:trPr>
                        <w:tc>
                          <w:tcPr>
                            <w:tcW w:w="6826" w:type="dxa"/>
                          </w:tcPr>
                          <w:p>
                            <w:pPr>
                              <w:pStyle w:val="TableParagraph"/>
                              <w:spacing w:before="16"/>
                              <w:ind w:left="260"/>
                              <w:rPr>
                                <w:sz w:val="18"/>
                              </w:rPr>
                            </w:pPr>
                            <w:r>
                              <w:rPr>
                                <w:sz w:val="18"/>
                              </w:rPr>
                              <w:t>491,262</w:t>
                            </w:r>
                            <w:r>
                              <w:rPr>
                                <w:spacing w:val="-1"/>
                                <w:sz w:val="18"/>
                              </w:rPr>
                              <w:t> </w:t>
                            </w:r>
                            <w:r>
                              <w:rPr>
                                <w:sz w:val="18"/>
                              </w:rPr>
                              <w:t>and</w:t>
                            </w:r>
                            <w:r>
                              <w:rPr>
                                <w:spacing w:val="-1"/>
                                <w:sz w:val="18"/>
                              </w:rPr>
                              <w:t> </w:t>
                            </w:r>
                            <w:r>
                              <w:rPr>
                                <w:sz w:val="18"/>
                              </w:rPr>
                              <w:t>494,254</w:t>
                            </w:r>
                            <w:r>
                              <w:rPr>
                                <w:spacing w:val="-2"/>
                                <w:sz w:val="18"/>
                              </w:rPr>
                              <w:t> </w:t>
                            </w:r>
                            <w:r>
                              <w:rPr>
                                <w:sz w:val="18"/>
                              </w:rPr>
                              <w:t>shares</w:t>
                            </w:r>
                            <w:r>
                              <w:rPr>
                                <w:spacing w:val="-1"/>
                                <w:sz w:val="18"/>
                              </w:rPr>
                              <w:t> </w:t>
                            </w:r>
                            <w:r>
                              <w:rPr>
                                <w:sz w:val="18"/>
                              </w:rPr>
                              <w:t>outstanding,</w:t>
                            </w:r>
                            <w:r>
                              <w:rPr>
                                <w:spacing w:val="-1"/>
                                <w:sz w:val="18"/>
                              </w:rPr>
                              <w:t> </w:t>
                            </w:r>
                            <w:r>
                              <w:rPr>
                                <w:spacing w:val="-2"/>
                                <w:sz w:val="18"/>
                              </w:rPr>
                              <w:t>respectively</w:t>
                            </w:r>
                          </w:p>
                        </w:tc>
                        <w:tc>
                          <w:tcPr>
                            <w:tcW w:w="1999" w:type="dxa"/>
                          </w:tcPr>
                          <w:p>
                            <w:pPr>
                              <w:pStyle w:val="TableParagraph"/>
                              <w:spacing w:line="199" w:lineRule="exact"/>
                              <w:ind w:right="134"/>
                              <w:jc w:val="right"/>
                              <w:rPr>
                                <w:sz w:val="18"/>
                              </w:rPr>
                            </w:pPr>
                            <w:r>
                              <w:rPr>
                                <w:spacing w:val="-5"/>
                                <w:sz w:val="18"/>
                              </w:rPr>
                              <w:t>61</w:t>
                            </w:r>
                          </w:p>
                        </w:tc>
                        <w:tc>
                          <w:tcPr>
                            <w:tcW w:w="1415" w:type="dxa"/>
                          </w:tcPr>
                          <w:p>
                            <w:pPr>
                              <w:pStyle w:val="TableParagraph"/>
                              <w:spacing w:line="199" w:lineRule="exact"/>
                              <w:ind w:right="69"/>
                              <w:jc w:val="right"/>
                              <w:rPr>
                                <w:sz w:val="18"/>
                              </w:rPr>
                            </w:pPr>
                            <w:r>
                              <w:rPr>
                                <w:spacing w:val="-5"/>
                                <w:sz w:val="18"/>
                              </w:rPr>
                              <w:t>61</w:t>
                            </w:r>
                          </w:p>
                        </w:tc>
                      </w:tr>
                      <w:tr>
                        <w:trPr>
                          <w:trHeight w:val="240" w:hRule="atLeast"/>
                        </w:trPr>
                        <w:tc>
                          <w:tcPr>
                            <w:tcW w:w="6826" w:type="dxa"/>
                            <w:shd w:val="clear" w:color="auto" w:fill="CCEDFF"/>
                          </w:tcPr>
                          <w:p>
                            <w:pPr>
                              <w:pStyle w:val="TableParagraph"/>
                              <w:spacing w:before="6"/>
                              <w:ind w:left="170"/>
                              <w:rPr>
                                <w:sz w:val="18"/>
                              </w:rPr>
                            </w:pPr>
                            <w:r>
                              <w:rPr>
                                <w:sz w:val="18"/>
                              </w:rPr>
                              <w:t>Additional paid-in-</w:t>
                            </w:r>
                            <w:r>
                              <w:rPr>
                                <w:spacing w:val="-2"/>
                                <w:sz w:val="18"/>
                              </w:rPr>
                              <w:t>capital</w:t>
                            </w:r>
                          </w:p>
                        </w:tc>
                        <w:tc>
                          <w:tcPr>
                            <w:tcW w:w="1999" w:type="dxa"/>
                            <w:shd w:val="clear" w:color="auto" w:fill="CCEDFF"/>
                          </w:tcPr>
                          <w:p>
                            <w:pPr>
                              <w:pStyle w:val="TableParagraph"/>
                              <w:spacing w:before="6"/>
                              <w:ind w:right="134"/>
                              <w:jc w:val="right"/>
                              <w:rPr>
                                <w:sz w:val="18"/>
                              </w:rPr>
                            </w:pPr>
                            <w:r>
                              <w:rPr>
                                <w:spacing w:val="-2"/>
                                <w:sz w:val="18"/>
                              </w:rPr>
                              <w:t>5,082,195</w:t>
                            </w:r>
                          </w:p>
                        </w:tc>
                        <w:tc>
                          <w:tcPr>
                            <w:tcW w:w="1415" w:type="dxa"/>
                            <w:shd w:val="clear" w:color="auto" w:fill="CCEDFF"/>
                          </w:tcPr>
                          <w:p>
                            <w:pPr>
                              <w:pStyle w:val="TableParagraph"/>
                              <w:spacing w:before="6"/>
                              <w:ind w:right="69"/>
                              <w:jc w:val="right"/>
                              <w:rPr>
                                <w:sz w:val="18"/>
                              </w:rPr>
                            </w:pPr>
                            <w:r>
                              <w:rPr>
                                <w:spacing w:val="-2"/>
                                <w:sz w:val="18"/>
                              </w:rPr>
                              <w:t>4,616,331</w:t>
                            </w:r>
                          </w:p>
                        </w:tc>
                      </w:tr>
                      <w:tr>
                        <w:trPr>
                          <w:trHeight w:val="240" w:hRule="atLeast"/>
                        </w:trPr>
                        <w:tc>
                          <w:tcPr>
                            <w:tcW w:w="6826" w:type="dxa"/>
                          </w:tcPr>
                          <w:p>
                            <w:pPr>
                              <w:pStyle w:val="TableParagraph"/>
                              <w:spacing w:before="6"/>
                              <w:ind w:left="170"/>
                              <w:rPr>
                                <w:sz w:val="18"/>
                              </w:rPr>
                            </w:pPr>
                            <w:r>
                              <w:rPr>
                                <w:sz w:val="18"/>
                              </w:rPr>
                              <w:t>Retained </w:t>
                            </w:r>
                            <w:r>
                              <w:rPr>
                                <w:spacing w:val="-2"/>
                                <w:sz w:val="18"/>
                              </w:rPr>
                              <w:t>earnings</w:t>
                            </w:r>
                          </w:p>
                        </w:tc>
                        <w:tc>
                          <w:tcPr>
                            <w:tcW w:w="1999" w:type="dxa"/>
                          </w:tcPr>
                          <w:p>
                            <w:pPr>
                              <w:pStyle w:val="TableParagraph"/>
                              <w:spacing w:before="6"/>
                              <w:ind w:right="134"/>
                              <w:jc w:val="right"/>
                              <w:rPr>
                                <w:sz w:val="18"/>
                              </w:rPr>
                            </w:pPr>
                            <w:r>
                              <w:rPr>
                                <w:spacing w:val="-2"/>
                                <w:sz w:val="18"/>
                              </w:rPr>
                              <w:t>9,573,870</w:t>
                            </w:r>
                          </w:p>
                        </w:tc>
                        <w:tc>
                          <w:tcPr>
                            <w:tcW w:w="1415" w:type="dxa"/>
                          </w:tcPr>
                          <w:p>
                            <w:pPr>
                              <w:pStyle w:val="TableParagraph"/>
                              <w:spacing w:before="6"/>
                              <w:ind w:right="69"/>
                              <w:jc w:val="right"/>
                              <w:rPr>
                                <w:sz w:val="18"/>
                              </w:rPr>
                            </w:pPr>
                            <w:r>
                              <w:rPr>
                                <w:spacing w:val="-2"/>
                                <w:sz w:val="18"/>
                              </w:rPr>
                              <w:t>8,114,517</w:t>
                            </w:r>
                          </w:p>
                        </w:tc>
                      </w:tr>
                      <w:tr>
                        <w:trPr>
                          <w:trHeight w:val="240" w:hRule="atLeast"/>
                        </w:trPr>
                        <w:tc>
                          <w:tcPr>
                            <w:tcW w:w="6826" w:type="dxa"/>
                            <w:shd w:val="clear" w:color="auto" w:fill="CCEDFF"/>
                          </w:tcPr>
                          <w:p>
                            <w:pPr>
                              <w:pStyle w:val="TableParagraph"/>
                              <w:spacing w:before="6"/>
                              <w:ind w:left="170"/>
                              <w:rPr>
                                <w:sz w:val="18"/>
                              </w:rPr>
                            </w:pPr>
                            <w:r>
                              <w:rPr>
                                <w:sz w:val="18"/>
                              </w:rPr>
                              <w:t>Accumulated other comprehensive income </w:t>
                            </w:r>
                            <w:r>
                              <w:rPr>
                                <w:spacing w:val="-2"/>
                                <w:sz w:val="18"/>
                              </w:rPr>
                              <w:t>(loss)</w:t>
                            </w:r>
                          </w:p>
                        </w:tc>
                        <w:tc>
                          <w:tcPr>
                            <w:tcW w:w="1999" w:type="dxa"/>
                            <w:shd w:val="clear" w:color="auto" w:fill="CCEDFF"/>
                          </w:tcPr>
                          <w:p>
                            <w:pPr>
                              <w:pStyle w:val="TableParagraph"/>
                              <w:spacing w:before="6"/>
                              <w:ind w:right="73"/>
                              <w:jc w:val="right"/>
                              <w:rPr>
                                <w:sz w:val="18"/>
                              </w:rPr>
                            </w:pPr>
                            <w:r>
                              <w:rPr>
                                <w:spacing w:val="-2"/>
                                <w:sz w:val="18"/>
                              </w:rPr>
                              <w:t>(111,821)</w:t>
                            </w:r>
                          </w:p>
                        </w:tc>
                        <w:tc>
                          <w:tcPr>
                            <w:tcW w:w="1415" w:type="dxa"/>
                            <w:shd w:val="clear" w:color="auto" w:fill="CCEDFF"/>
                          </w:tcPr>
                          <w:p>
                            <w:pPr>
                              <w:pStyle w:val="TableParagraph"/>
                              <w:spacing w:before="6"/>
                              <w:ind w:right="8"/>
                              <w:jc w:val="right"/>
                              <w:rPr>
                                <w:sz w:val="18"/>
                              </w:rPr>
                            </w:pPr>
                            <w:r>
                              <w:rPr>
                                <w:spacing w:val="-2"/>
                                <w:sz w:val="18"/>
                              </w:rPr>
                              <w:t>(173,602)</w:t>
                            </w:r>
                          </w:p>
                        </w:tc>
                      </w:tr>
                      <w:tr>
                        <w:trPr>
                          <w:trHeight w:val="230" w:hRule="atLeast"/>
                        </w:trPr>
                        <w:tc>
                          <w:tcPr>
                            <w:tcW w:w="6826" w:type="dxa"/>
                          </w:tcPr>
                          <w:p>
                            <w:pPr>
                              <w:pStyle w:val="TableParagraph"/>
                              <w:spacing w:line="203" w:lineRule="exact" w:before="6"/>
                              <w:ind w:left="170"/>
                              <w:rPr>
                                <w:sz w:val="18"/>
                              </w:rPr>
                            </w:pPr>
                            <w:r>
                              <w:rPr>
                                <w:sz w:val="18"/>
                              </w:rPr>
                              <w:t>Treasury</w:t>
                            </w:r>
                            <w:r>
                              <w:rPr>
                                <w:spacing w:val="-1"/>
                                <w:sz w:val="18"/>
                              </w:rPr>
                              <w:t> </w:t>
                            </w:r>
                            <w:r>
                              <w:rPr>
                                <w:sz w:val="18"/>
                              </w:rPr>
                              <w:t>stock,</w:t>
                            </w:r>
                            <w:r>
                              <w:rPr>
                                <w:spacing w:val="-1"/>
                                <w:sz w:val="18"/>
                              </w:rPr>
                              <w:t> </w:t>
                            </w:r>
                            <w:r>
                              <w:rPr>
                                <w:sz w:val="18"/>
                              </w:rPr>
                              <w:t>at cost</w:t>
                            </w:r>
                            <w:r>
                              <w:rPr>
                                <w:spacing w:val="-1"/>
                                <w:sz w:val="18"/>
                              </w:rPr>
                              <w:t> </w:t>
                            </w:r>
                            <w:r>
                              <w:rPr>
                                <w:sz w:val="18"/>
                              </w:rPr>
                              <w:t>(109,572</w:t>
                            </w:r>
                            <w:r>
                              <w:rPr>
                                <w:spacing w:val="-1"/>
                                <w:sz w:val="18"/>
                              </w:rPr>
                              <w:t> </w:t>
                            </w:r>
                            <w:r>
                              <w:rPr>
                                <w:sz w:val="18"/>
                              </w:rPr>
                              <w:t>and 106,580</w:t>
                            </w:r>
                            <w:r>
                              <w:rPr>
                                <w:spacing w:val="-1"/>
                                <w:sz w:val="18"/>
                              </w:rPr>
                              <w:t> </w:t>
                            </w:r>
                            <w:r>
                              <w:rPr>
                                <w:sz w:val="18"/>
                              </w:rPr>
                              <w:t>shares,</w:t>
                            </w:r>
                            <w:r>
                              <w:rPr>
                                <w:spacing w:val="-1"/>
                                <w:sz w:val="18"/>
                              </w:rPr>
                              <w:t> </w:t>
                            </w:r>
                            <w:r>
                              <w:rPr>
                                <w:sz w:val="18"/>
                              </w:rPr>
                              <w:t>respectively), net</w:t>
                            </w:r>
                            <w:r>
                              <w:rPr>
                                <w:spacing w:val="-1"/>
                                <w:sz w:val="18"/>
                              </w:rPr>
                              <w:t> </w:t>
                            </w:r>
                            <w:r>
                              <w:rPr>
                                <w:sz w:val="18"/>
                              </w:rPr>
                              <w:t>of </w:t>
                            </w:r>
                            <w:r>
                              <w:rPr>
                                <w:spacing w:val="-2"/>
                                <w:sz w:val="18"/>
                              </w:rPr>
                              <w:t>reissuances</w:t>
                            </w:r>
                          </w:p>
                        </w:tc>
                        <w:tc>
                          <w:tcPr>
                            <w:tcW w:w="1999" w:type="dxa"/>
                            <w:tcBorders>
                              <w:bottom w:val="single" w:sz="8" w:space="0" w:color="000000"/>
                            </w:tcBorders>
                          </w:tcPr>
                          <w:p>
                            <w:pPr>
                              <w:pStyle w:val="TableParagraph"/>
                              <w:spacing w:line="203" w:lineRule="exact" w:before="6"/>
                              <w:ind w:right="73"/>
                              <w:jc w:val="right"/>
                              <w:rPr>
                                <w:sz w:val="18"/>
                              </w:rPr>
                            </w:pPr>
                            <w:r>
                              <w:rPr>
                                <w:spacing w:val="-2"/>
                                <w:sz w:val="18"/>
                              </w:rPr>
                              <w:t>(6,084,436)</w:t>
                            </w:r>
                          </w:p>
                        </w:tc>
                        <w:tc>
                          <w:tcPr>
                            <w:tcW w:w="1415" w:type="dxa"/>
                            <w:tcBorders>
                              <w:bottom w:val="single" w:sz="8" w:space="0" w:color="000000"/>
                            </w:tcBorders>
                          </w:tcPr>
                          <w:p>
                            <w:pPr>
                              <w:pStyle w:val="TableParagraph"/>
                              <w:spacing w:line="203" w:lineRule="exact" w:before="6"/>
                              <w:ind w:right="8"/>
                              <w:jc w:val="right"/>
                              <w:rPr>
                                <w:sz w:val="18"/>
                              </w:rPr>
                            </w:pPr>
                            <w:r>
                              <w:rPr>
                                <w:spacing w:val="-2"/>
                                <w:sz w:val="18"/>
                              </w:rPr>
                              <w:t>(5,132,472)</w:t>
                            </w:r>
                          </w:p>
                        </w:tc>
                      </w:tr>
                      <w:tr>
                        <w:trPr>
                          <w:trHeight w:val="220" w:hRule="atLeast"/>
                        </w:trPr>
                        <w:tc>
                          <w:tcPr>
                            <w:tcW w:w="6826" w:type="dxa"/>
                            <w:shd w:val="clear" w:color="auto" w:fill="CCEDFF"/>
                          </w:tcPr>
                          <w:p>
                            <w:pPr>
                              <w:pStyle w:val="TableParagraph"/>
                              <w:spacing w:line="200" w:lineRule="exact"/>
                              <w:ind w:left="410"/>
                              <w:rPr>
                                <w:sz w:val="18"/>
                              </w:rPr>
                            </w:pPr>
                            <w:r>
                              <w:rPr>
                                <w:sz w:val="18"/>
                              </w:rPr>
                              <w:t>Total</w:t>
                            </w:r>
                            <w:r>
                              <w:rPr>
                                <w:spacing w:val="-7"/>
                                <w:sz w:val="18"/>
                              </w:rPr>
                              <w:t> </w:t>
                            </w:r>
                            <w:r>
                              <w:rPr>
                                <w:sz w:val="18"/>
                              </w:rPr>
                              <w:t>stockholders’</w:t>
                            </w:r>
                            <w:r>
                              <w:rPr>
                                <w:spacing w:val="-13"/>
                                <w:sz w:val="18"/>
                              </w:rPr>
                              <w:t> </w:t>
                            </w:r>
                            <w:r>
                              <w:rPr>
                                <w:spacing w:val="-2"/>
                                <w:sz w:val="18"/>
                              </w:rPr>
                              <w:t>equity</w:t>
                            </w:r>
                          </w:p>
                        </w:tc>
                        <w:tc>
                          <w:tcPr>
                            <w:tcW w:w="1999" w:type="dxa"/>
                            <w:tcBorders>
                              <w:top w:val="single" w:sz="8" w:space="0" w:color="000000"/>
                              <w:bottom w:val="single" w:sz="8" w:space="0" w:color="000000"/>
                            </w:tcBorders>
                            <w:shd w:val="clear" w:color="auto" w:fill="CCEDFF"/>
                          </w:tcPr>
                          <w:p>
                            <w:pPr>
                              <w:pStyle w:val="TableParagraph"/>
                              <w:spacing w:line="200" w:lineRule="exact"/>
                              <w:ind w:right="134"/>
                              <w:jc w:val="right"/>
                              <w:rPr>
                                <w:sz w:val="18"/>
                              </w:rPr>
                            </w:pPr>
                            <w:r>
                              <w:rPr>
                                <w:spacing w:val="-2"/>
                                <w:sz w:val="18"/>
                              </w:rPr>
                              <w:t>8,459,869</w:t>
                            </w:r>
                          </w:p>
                        </w:tc>
                        <w:tc>
                          <w:tcPr>
                            <w:tcW w:w="1415" w:type="dxa"/>
                            <w:tcBorders>
                              <w:top w:val="single" w:sz="8" w:space="0" w:color="000000"/>
                              <w:bottom w:val="single" w:sz="8" w:space="0" w:color="000000"/>
                            </w:tcBorders>
                            <w:shd w:val="clear" w:color="auto" w:fill="CCEDFF"/>
                          </w:tcPr>
                          <w:p>
                            <w:pPr>
                              <w:pStyle w:val="TableParagraph"/>
                              <w:spacing w:line="200" w:lineRule="exact"/>
                              <w:ind w:right="69"/>
                              <w:jc w:val="right"/>
                              <w:rPr>
                                <w:sz w:val="18"/>
                              </w:rPr>
                            </w:pPr>
                            <w:r>
                              <w:rPr>
                                <w:spacing w:val="-2"/>
                                <w:sz w:val="18"/>
                              </w:rPr>
                              <w:t>7,424,835</w:t>
                            </w:r>
                          </w:p>
                        </w:tc>
                      </w:tr>
                      <w:tr>
                        <w:trPr>
                          <w:trHeight w:val="260" w:hRule="atLeast"/>
                        </w:trPr>
                        <w:tc>
                          <w:tcPr>
                            <w:tcW w:w="6826" w:type="dxa"/>
                          </w:tcPr>
                          <w:p>
                            <w:pPr>
                              <w:pStyle w:val="TableParagraph"/>
                              <w:spacing w:line="204" w:lineRule="exact"/>
                              <w:ind w:left="410"/>
                              <w:rPr>
                                <w:sz w:val="18"/>
                              </w:rPr>
                            </w:pPr>
                            <w:r>
                              <w:rPr>
                                <w:sz w:val="18"/>
                              </w:rPr>
                              <w:t>Total</w:t>
                            </w:r>
                            <w:r>
                              <w:rPr>
                                <w:spacing w:val="-11"/>
                                <w:sz w:val="18"/>
                              </w:rPr>
                              <w:t> </w:t>
                            </w:r>
                            <w:r>
                              <w:rPr>
                                <w:sz w:val="18"/>
                              </w:rPr>
                              <w:t>liabilities</w:t>
                            </w:r>
                            <w:r>
                              <w:rPr>
                                <w:spacing w:val="-7"/>
                                <w:sz w:val="18"/>
                              </w:rPr>
                              <w:t> </w:t>
                            </w:r>
                            <w:r>
                              <w:rPr>
                                <w:sz w:val="18"/>
                              </w:rPr>
                              <w:t>and</w:t>
                            </w:r>
                            <w:r>
                              <w:rPr>
                                <w:spacing w:val="-6"/>
                                <w:sz w:val="18"/>
                              </w:rPr>
                              <w:t> </w:t>
                            </w:r>
                            <w:r>
                              <w:rPr>
                                <w:sz w:val="18"/>
                              </w:rPr>
                              <w:t>stockholders’</w:t>
                            </w:r>
                            <w:r>
                              <w:rPr>
                                <w:spacing w:val="-14"/>
                                <w:sz w:val="18"/>
                              </w:rPr>
                              <w:t> </w:t>
                            </w:r>
                            <w:r>
                              <w:rPr>
                                <w:spacing w:val="-2"/>
                                <w:sz w:val="18"/>
                              </w:rPr>
                              <w:t>equity</w:t>
                            </w:r>
                          </w:p>
                        </w:tc>
                        <w:tc>
                          <w:tcPr>
                            <w:tcW w:w="1999" w:type="dxa"/>
                            <w:tcBorders>
                              <w:top w:val="single" w:sz="8" w:space="0" w:color="000000"/>
                            </w:tcBorders>
                          </w:tcPr>
                          <w:p>
                            <w:pPr>
                              <w:pStyle w:val="TableParagraph"/>
                              <w:tabs>
                                <w:tab w:pos="519" w:val="left" w:leader="none"/>
                              </w:tabs>
                              <w:spacing w:line="204" w:lineRule="exact"/>
                              <w:ind w:right="63"/>
                              <w:jc w:val="right"/>
                              <w:rPr>
                                <w:sz w:val="18"/>
                              </w:rPr>
                            </w:pPr>
                            <w:r>
                              <w:rPr>
                                <w:spacing w:val="5"/>
                                <w:sz w:val="18"/>
                                <w:u w:val="single"/>
                              </w:rPr>
                              <w:t> </w:t>
                            </w:r>
                            <w:r>
                              <w:rPr>
                                <w:spacing w:val="-10"/>
                                <w:sz w:val="18"/>
                                <w:u w:val="single"/>
                              </w:rPr>
                              <w:t>$</w:t>
                            </w:r>
                            <w:r>
                              <w:rPr>
                                <w:sz w:val="18"/>
                                <w:u w:val="single"/>
                              </w:rPr>
                              <w:tab/>
                            </w:r>
                            <w:r>
                              <w:rPr>
                                <w:spacing w:val="-2"/>
                                <w:sz w:val="18"/>
                                <w:u w:val="single"/>
                              </w:rPr>
                              <w:t>14,535,556</w:t>
                            </w:r>
                            <w:r>
                              <w:rPr>
                                <w:spacing w:val="80"/>
                                <w:sz w:val="18"/>
                                <w:u w:val="single"/>
                              </w:rPr>
                              <w:t> </w:t>
                            </w:r>
                          </w:p>
                        </w:tc>
                        <w:tc>
                          <w:tcPr>
                            <w:tcW w:w="1415" w:type="dxa"/>
                            <w:tcBorders>
                              <w:top w:val="single" w:sz="8" w:space="0" w:color="000000"/>
                            </w:tcBorders>
                          </w:tcPr>
                          <w:p>
                            <w:pPr>
                              <w:pStyle w:val="TableParagraph"/>
                              <w:tabs>
                                <w:tab w:pos="469" w:val="left" w:leader="none"/>
                              </w:tabs>
                              <w:spacing w:line="204" w:lineRule="exact"/>
                              <w:ind w:right="69"/>
                              <w:jc w:val="right"/>
                              <w:rPr>
                                <w:sz w:val="18"/>
                              </w:rPr>
                            </w:pPr>
                            <w:r>
                              <w:rPr>
                                <w:spacing w:val="-10"/>
                                <w:sz w:val="18"/>
                              </w:rPr>
                              <w:t>$</w:t>
                            </w:r>
                            <w:r>
                              <w:rPr>
                                <w:sz w:val="18"/>
                              </w:rPr>
                              <w:tab/>
                            </w:r>
                            <w:r>
                              <w:rPr>
                                <w:spacing w:val="-2"/>
                                <w:sz w:val="18"/>
                              </w:rPr>
                              <w:t>12,697,246</w:t>
                            </w:r>
                          </w:p>
                        </w:tc>
                      </w:tr>
                    </w:tbl>
                    <w:p>
                      <w:pPr>
                        <w:pStyle w:val="BodyText"/>
                      </w:pPr>
                    </w:p>
                  </w:txbxContent>
                </v:textbox>
                <w10:wrap type="none"/>
              </v:shape>
            </w:pict>
          </mc:Fallback>
        </mc:AlternateContent>
      </w:r>
      <w:r>
        <w:rPr>
          <w:sz w:val="18"/>
        </w:rPr>
        <w:t>Common</w:t>
      </w:r>
      <w:r>
        <w:rPr>
          <w:spacing w:val="-1"/>
          <w:sz w:val="18"/>
        </w:rPr>
        <w:t> </w:t>
      </w:r>
      <w:r>
        <w:rPr>
          <w:sz w:val="18"/>
        </w:rPr>
        <w:t>stock,</w:t>
      </w:r>
      <w:r>
        <w:rPr>
          <w:spacing w:val="-1"/>
          <w:sz w:val="18"/>
        </w:rPr>
        <w:t> </w:t>
      </w:r>
      <w:r>
        <w:rPr>
          <w:sz w:val="18"/>
        </w:rPr>
        <w:t>$0.0001</w:t>
      </w:r>
      <w:r>
        <w:rPr>
          <w:spacing w:val="-2"/>
          <w:sz w:val="18"/>
        </w:rPr>
        <w:t> </w:t>
      </w:r>
      <w:r>
        <w:rPr>
          <w:sz w:val="18"/>
        </w:rPr>
        <w:t>par</w:t>
      </w:r>
      <w:r>
        <w:rPr>
          <w:spacing w:val="-1"/>
          <w:sz w:val="18"/>
        </w:rPr>
        <w:t> </w:t>
      </w:r>
      <w:r>
        <w:rPr>
          <w:sz w:val="18"/>
        </w:rPr>
        <w:t>value;</w:t>
      </w:r>
      <w:r>
        <w:rPr>
          <w:spacing w:val="-1"/>
          <w:sz w:val="18"/>
        </w:rPr>
        <w:t> </w:t>
      </w:r>
      <w:r>
        <w:rPr>
          <w:sz w:val="18"/>
        </w:rPr>
        <w:t>900,000</w:t>
      </w:r>
      <w:r>
        <w:rPr>
          <w:spacing w:val="-1"/>
          <w:sz w:val="18"/>
        </w:rPr>
        <w:t> </w:t>
      </w:r>
      <w:r>
        <w:rPr>
          <w:sz w:val="18"/>
        </w:rPr>
        <w:t>shares</w:t>
      </w:r>
      <w:r>
        <w:rPr>
          <w:spacing w:val="-1"/>
          <w:sz w:val="18"/>
        </w:rPr>
        <w:t> </w:t>
      </w:r>
      <w:r>
        <w:rPr>
          <w:sz w:val="18"/>
        </w:rPr>
        <w:t>authorized;</w:t>
      </w:r>
      <w:r>
        <w:rPr>
          <w:spacing w:val="-2"/>
          <w:sz w:val="18"/>
        </w:rPr>
        <w:t> </w:t>
      </w:r>
      <w:r>
        <w:rPr>
          <w:sz w:val="18"/>
        </w:rPr>
        <w:t>600,834</w:t>
      </w:r>
      <w:r>
        <w:rPr>
          <w:spacing w:val="-1"/>
          <w:sz w:val="18"/>
        </w:rPr>
        <w:t> </w:t>
      </w:r>
      <w:r>
        <w:rPr>
          <w:sz w:val="18"/>
        </w:rPr>
        <w:t>shares</w:t>
      </w:r>
      <w:r>
        <w:rPr>
          <w:spacing w:val="-1"/>
          <w:sz w:val="18"/>
        </w:rPr>
        <w:t> </w:t>
      </w:r>
      <w:r>
        <w:rPr>
          <w:spacing w:val="-2"/>
          <w:sz w:val="18"/>
        </w:rPr>
        <w:t>issued;</w:t>
      </w:r>
    </w:p>
    <w:p>
      <w:pPr>
        <w:pStyle w:val="BodyText"/>
      </w:pPr>
    </w:p>
    <w:p>
      <w:pPr>
        <w:pStyle w:val="BodyText"/>
      </w:pPr>
    </w:p>
    <w:p>
      <w:pPr>
        <w:pStyle w:val="BodyText"/>
      </w:pPr>
    </w:p>
    <w:p>
      <w:pPr>
        <w:pStyle w:val="BodyText"/>
      </w:pPr>
    </w:p>
    <w:p>
      <w:pPr>
        <w:pStyle w:val="BodyText"/>
      </w:pPr>
    </w:p>
    <w:p>
      <w:pPr>
        <w:pStyle w:val="BodyText"/>
        <w:spacing w:before="212"/>
      </w:pPr>
      <w:r>
        <w:rPr/>
        <mc:AlternateContent>
          <mc:Choice Requires="wps">
            <w:drawing>
              <wp:anchor distT="0" distB="0" distL="0" distR="0" allowOverlap="1" layoutInCell="1" locked="0" behindDoc="1" simplePos="0" relativeHeight="487630336">
                <wp:simplePos x="0" y="0"/>
                <wp:positionH relativeFrom="page">
                  <wp:posOffset>5302250</wp:posOffset>
                </wp:positionH>
                <wp:positionV relativeFrom="paragraph">
                  <wp:posOffset>328020</wp:posOffset>
                </wp:positionV>
                <wp:extent cx="889000" cy="1270"/>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5pt;margin-top:25.828419pt;width:70pt;height:.1pt;mso-position-horizontal-relative:page;mso-position-vertical-relative:paragraph;z-index:-15686144;mso-wrap-distance-left:0;mso-wrap-distance-right:0" id="docshape174" coordorigin="8350,517" coordsize="1400,0" path="m8350,517l9750,517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0848">
                <wp:simplePos x="0" y="0"/>
                <wp:positionH relativeFrom="page">
                  <wp:posOffset>6242050</wp:posOffset>
                </wp:positionH>
                <wp:positionV relativeFrom="paragraph">
                  <wp:posOffset>302620</wp:posOffset>
                </wp:positionV>
                <wp:extent cx="889000" cy="2540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889000" cy="25400"/>
                        </a:xfrm>
                        <a:custGeom>
                          <a:avLst/>
                          <a:gdLst/>
                          <a:ahLst/>
                          <a:cxnLst/>
                          <a:rect l="l" t="t" r="r" b="b"/>
                          <a:pathLst>
                            <a:path w="889000" h="25400">
                              <a:moveTo>
                                <a:pt x="0" y="0"/>
                              </a:moveTo>
                              <a:lnTo>
                                <a:pt x="889000" y="0"/>
                              </a:lnTo>
                            </a:path>
                            <a:path w="889000" h="25400">
                              <a:moveTo>
                                <a:pt x="0" y="25400"/>
                              </a:moveTo>
                              <a:lnTo>
                                <a:pt x="8890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1.5pt;margin-top:23.828419pt;width:70pt;height:2pt;mso-position-horizontal-relative:page;mso-position-vertical-relative:paragraph;z-index:-15685632;mso-wrap-distance-left:0;mso-wrap-distance-right:0" id="docshape175" coordorigin="9830,477" coordsize="1400,40" path="m9830,477l11230,477m9830,517l11230,517e" filled="false" stroked="true" strokeweight="1pt" strokecolor="#000000">
                <v:path arrowok="t"/>
                <v:stroke dashstyle="solid"/>
                <w10:wrap type="topAndBottom"/>
              </v:shape>
            </w:pict>
          </mc:Fallback>
        </mc:AlternateContent>
      </w:r>
    </w:p>
    <w:p>
      <w:pPr>
        <w:spacing w:before="193"/>
        <w:ind w:left="243" w:right="280"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type w:val="continuous"/>
          <w:pgSz w:w="12240" w:h="15840"/>
          <w:pgMar w:header="210" w:footer="610" w:top="680" w:bottom="280" w:left="780" w:right="740"/>
        </w:sectPr>
      </w:pPr>
    </w:p>
    <w:p>
      <w:pPr>
        <w:pStyle w:val="BodyText"/>
        <w:rPr>
          <w:i/>
          <w:sz w:val="12"/>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0"/>
        <w:gridCol w:w="1440"/>
        <w:gridCol w:w="1400"/>
      </w:tblGrid>
      <w:tr>
        <w:trPr>
          <w:trHeight w:val="280" w:hRule="atLeast"/>
        </w:trPr>
        <w:tc>
          <w:tcPr>
            <w:tcW w:w="7400" w:type="dxa"/>
          </w:tcPr>
          <w:p>
            <w:pPr>
              <w:pStyle w:val="TableParagraph"/>
              <w:spacing w:line="221" w:lineRule="exact"/>
              <w:ind w:right="163"/>
              <w:jc w:val="right"/>
              <w:rPr>
                <w:b/>
                <w:sz w:val="20"/>
              </w:rPr>
            </w:pPr>
            <w:bookmarkStart w:name="Consolidated Statements of Income" w:id="55"/>
            <w:bookmarkEnd w:id="55"/>
            <w:r>
              <w:rPr/>
            </w:r>
            <w:bookmarkStart w:name="_bookmark17" w:id="56"/>
            <w:bookmarkEnd w:id="56"/>
            <w:r>
              <w:rPr/>
            </w:r>
            <w:r>
              <w:rPr>
                <w:b/>
                <w:spacing w:val="-2"/>
                <w:sz w:val="20"/>
              </w:rPr>
              <w:t>CONSOLIDATED</w:t>
            </w:r>
            <w:r>
              <w:rPr>
                <w:b/>
                <w:spacing w:val="-8"/>
                <w:sz w:val="20"/>
              </w:rPr>
              <w:t> </w:t>
            </w:r>
            <w:r>
              <w:rPr>
                <w:b/>
                <w:spacing w:val="-2"/>
                <w:sz w:val="20"/>
              </w:rPr>
              <w:t>STATEMENTS</w:t>
            </w:r>
            <w:r>
              <w:rPr>
                <w:b/>
                <w:spacing w:val="-6"/>
                <w:sz w:val="20"/>
              </w:rPr>
              <w:t> </w:t>
            </w:r>
            <w:r>
              <w:rPr>
                <w:b/>
                <w:spacing w:val="-2"/>
                <w:sz w:val="20"/>
              </w:rPr>
              <w:t>OF</w:t>
            </w:r>
            <w:r>
              <w:rPr>
                <w:b/>
                <w:spacing w:val="-10"/>
                <w:sz w:val="20"/>
              </w:rPr>
              <w:t> </w:t>
            </w:r>
            <w:r>
              <w:rPr>
                <w:b/>
                <w:spacing w:val="-2"/>
                <w:sz w:val="20"/>
              </w:rPr>
              <w:t>INCOME</w:t>
            </w:r>
          </w:p>
        </w:tc>
        <w:tc>
          <w:tcPr>
            <w:tcW w:w="1440" w:type="dxa"/>
          </w:tcPr>
          <w:p>
            <w:pPr>
              <w:pStyle w:val="TableParagraph"/>
              <w:rPr>
                <w:sz w:val="18"/>
              </w:rPr>
            </w:pPr>
          </w:p>
        </w:tc>
        <w:tc>
          <w:tcPr>
            <w:tcW w:w="1400" w:type="dxa"/>
            <w:vMerge w:val="restart"/>
            <w:tcBorders>
              <w:bottom w:val="single" w:sz="8" w:space="0" w:color="000000"/>
            </w:tcBorders>
          </w:tcPr>
          <w:p>
            <w:pPr>
              <w:pStyle w:val="TableParagraph"/>
              <w:rPr>
                <w:sz w:val="18"/>
              </w:rPr>
            </w:pPr>
          </w:p>
        </w:tc>
      </w:tr>
      <w:tr>
        <w:trPr>
          <w:trHeight w:val="450" w:hRule="atLeast"/>
        </w:trPr>
        <w:tc>
          <w:tcPr>
            <w:tcW w:w="7400" w:type="dxa"/>
          </w:tcPr>
          <w:p>
            <w:pPr>
              <w:pStyle w:val="TableParagraph"/>
              <w:spacing w:before="50"/>
              <w:ind w:left="3550"/>
              <w:rPr>
                <w:b/>
                <w:sz w:val="20"/>
              </w:rPr>
            </w:pPr>
            <w:r>
              <w:rPr>
                <w:b/>
                <w:sz w:val="20"/>
              </w:rPr>
              <w:t>(In</w:t>
            </w:r>
            <w:r>
              <w:rPr>
                <w:b/>
                <w:spacing w:val="-3"/>
                <w:sz w:val="20"/>
              </w:rPr>
              <w:t> </w:t>
            </w:r>
            <w:r>
              <w:rPr>
                <w:b/>
                <w:sz w:val="20"/>
              </w:rPr>
              <w:t>thousands,</w:t>
            </w:r>
            <w:r>
              <w:rPr>
                <w:b/>
                <w:spacing w:val="-1"/>
                <w:sz w:val="20"/>
              </w:rPr>
              <w:t> </w:t>
            </w:r>
            <w:r>
              <w:rPr>
                <w:b/>
                <w:sz w:val="20"/>
              </w:rPr>
              <w:t>except</w:t>
            </w:r>
            <w:r>
              <w:rPr>
                <w:b/>
                <w:spacing w:val="-1"/>
                <w:sz w:val="20"/>
              </w:rPr>
              <w:t> </w:t>
            </w:r>
            <w:r>
              <w:rPr>
                <w:b/>
                <w:sz w:val="20"/>
              </w:rPr>
              <w:t>per</w:t>
            </w:r>
            <w:r>
              <w:rPr>
                <w:b/>
                <w:spacing w:val="-5"/>
                <w:sz w:val="20"/>
              </w:rPr>
              <w:t> </w:t>
            </w:r>
            <w:r>
              <w:rPr>
                <w:b/>
                <w:sz w:val="20"/>
              </w:rPr>
              <w:t>share</w:t>
            </w:r>
            <w:r>
              <w:rPr>
                <w:b/>
                <w:spacing w:val="-1"/>
                <w:sz w:val="20"/>
              </w:rPr>
              <w:t> </w:t>
            </w:r>
            <w:r>
              <w:rPr>
                <w:b/>
                <w:spacing w:val="-2"/>
                <w:sz w:val="20"/>
              </w:rPr>
              <w:t>data)</w:t>
            </w:r>
          </w:p>
        </w:tc>
        <w:tc>
          <w:tcPr>
            <w:tcW w:w="1440" w:type="dxa"/>
          </w:tcPr>
          <w:p>
            <w:pPr>
              <w:pStyle w:val="TableParagraph"/>
              <w:rPr>
                <w:sz w:val="18"/>
              </w:rPr>
            </w:pPr>
          </w:p>
        </w:tc>
        <w:tc>
          <w:tcPr>
            <w:tcW w:w="1400" w:type="dxa"/>
            <w:vMerge/>
            <w:tcBorders>
              <w:top w:val="nil"/>
              <w:bottom w:val="single" w:sz="8" w:space="0" w:color="000000"/>
            </w:tcBorders>
          </w:tcPr>
          <w:p>
            <w:pPr>
              <w:rPr>
                <w:sz w:val="2"/>
                <w:szCs w:val="2"/>
              </w:rPr>
            </w:pPr>
          </w:p>
        </w:tc>
      </w:tr>
      <w:tr>
        <w:trPr>
          <w:trHeight w:val="386" w:hRule="atLeast"/>
        </w:trPr>
        <w:tc>
          <w:tcPr>
            <w:tcW w:w="7400" w:type="dxa"/>
          </w:tcPr>
          <w:p>
            <w:pPr>
              <w:pStyle w:val="TableParagraph"/>
              <w:rPr>
                <w:sz w:val="18"/>
              </w:rPr>
            </w:pPr>
          </w:p>
        </w:tc>
        <w:tc>
          <w:tcPr>
            <w:tcW w:w="1440" w:type="dxa"/>
            <w:tcBorders>
              <w:bottom w:val="single" w:sz="8" w:space="0" w:color="000000"/>
            </w:tcBorders>
          </w:tcPr>
          <w:p>
            <w:pPr>
              <w:pStyle w:val="TableParagraph"/>
              <w:spacing w:before="163"/>
              <w:ind w:left="266"/>
              <w:rPr>
                <w:b/>
                <w:sz w:val="16"/>
              </w:rPr>
            </w:pPr>
            <w:r>
              <w:rPr>
                <w:b/>
                <w:spacing w:val="-2"/>
                <w:sz w:val="16"/>
              </w:rPr>
              <w:t>Years</w:t>
            </w:r>
            <w:r>
              <w:rPr>
                <w:b/>
                <w:spacing w:val="-3"/>
                <w:sz w:val="16"/>
              </w:rPr>
              <w:t> </w:t>
            </w:r>
            <w:r>
              <w:rPr>
                <w:b/>
                <w:spacing w:val="-2"/>
                <w:sz w:val="16"/>
              </w:rPr>
              <w:t>Ended</w:t>
            </w:r>
          </w:p>
        </w:tc>
        <w:tc>
          <w:tcPr>
            <w:tcW w:w="1400" w:type="dxa"/>
            <w:vMerge/>
            <w:tcBorders>
              <w:top w:val="nil"/>
              <w:bottom w:val="single" w:sz="8" w:space="0" w:color="000000"/>
            </w:tcBorders>
          </w:tcPr>
          <w:p>
            <w:pPr>
              <w:rPr>
                <w:sz w:val="2"/>
                <w:szCs w:val="2"/>
              </w:rPr>
            </w:pPr>
          </w:p>
        </w:tc>
      </w:tr>
      <w:tr>
        <w:trPr>
          <w:trHeight w:val="191" w:hRule="atLeast"/>
        </w:trPr>
        <w:tc>
          <w:tcPr>
            <w:tcW w:w="7400" w:type="dxa"/>
          </w:tcPr>
          <w:p>
            <w:pPr>
              <w:pStyle w:val="TableParagraph"/>
              <w:spacing w:line="155" w:lineRule="exact" w:before="16"/>
              <w:ind w:right="321"/>
              <w:jc w:val="right"/>
              <w:rPr>
                <w:b/>
                <w:sz w:val="16"/>
              </w:rPr>
            </w:pPr>
            <w:r>
              <w:rPr>
                <w:b/>
                <w:sz w:val="16"/>
              </w:rPr>
              <w:t>December</w:t>
            </w:r>
            <w:r>
              <w:rPr>
                <w:b/>
                <w:spacing w:val="-2"/>
                <w:sz w:val="16"/>
              </w:rPr>
              <w:t> </w:t>
            </w:r>
            <w:r>
              <w:rPr>
                <w:b/>
                <w:spacing w:val="-5"/>
                <w:sz w:val="16"/>
              </w:rPr>
              <w:t>1,</w:t>
            </w:r>
          </w:p>
        </w:tc>
        <w:tc>
          <w:tcPr>
            <w:tcW w:w="1440" w:type="dxa"/>
            <w:tcBorders>
              <w:top w:val="single" w:sz="8" w:space="0" w:color="000000"/>
            </w:tcBorders>
          </w:tcPr>
          <w:p>
            <w:pPr>
              <w:pStyle w:val="TableParagraph"/>
              <w:spacing w:line="155" w:lineRule="exact" w:before="16"/>
              <w:ind w:left="265"/>
              <w:rPr>
                <w:b/>
                <w:sz w:val="16"/>
              </w:rPr>
            </w:pPr>
            <w:r>
              <w:rPr>
                <w:b/>
                <w:sz w:val="16"/>
              </w:rPr>
              <w:t>December</w:t>
            </w:r>
            <w:r>
              <w:rPr>
                <w:b/>
                <w:spacing w:val="-2"/>
                <w:sz w:val="16"/>
              </w:rPr>
              <w:t> </w:t>
            </w:r>
            <w:r>
              <w:rPr>
                <w:b/>
                <w:spacing w:val="-5"/>
                <w:sz w:val="16"/>
              </w:rPr>
              <w:t>2,</w:t>
            </w:r>
          </w:p>
        </w:tc>
        <w:tc>
          <w:tcPr>
            <w:tcW w:w="1400" w:type="dxa"/>
            <w:tcBorders>
              <w:top w:val="single" w:sz="8" w:space="0" w:color="000000"/>
            </w:tcBorders>
          </w:tcPr>
          <w:p>
            <w:pPr>
              <w:pStyle w:val="TableParagraph"/>
              <w:spacing w:line="155" w:lineRule="exact" w:before="16"/>
              <w:ind w:left="226"/>
              <w:rPr>
                <w:b/>
                <w:sz w:val="16"/>
              </w:rPr>
            </w:pPr>
            <w:r>
              <w:rPr>
                <w:b/>
                <w:sz w:val="16"/>
              </w:rPr>
              <w:t>November</w:t>
            </w:r>
            <w:r>
              <w:rPr>
                <w:b/>
                <w:spacing w:val="-4"/>
                <w:sz w:val="16"/>
              </w:rPr>
              <w:t> </w:t>
            </w:r>
            <w:r>
              <w:rPr>
                <w:b/>
                <w:spacing w:val="-5"/>
                <w:sz w:val="16"/>
              </w:rPr>
              <w:t>27,</w:t>
            </w:r>
          </w:p>
        </w:tc>
      </w:tr>
      <w:tr>
        <w:trPr>
          <w:trHeight w:val="208" w:hRule="atLeast"/>
        </w:trPr>
        <w:tc>
          <w:tcPr>
            <w:tcW w:w="7400" w:type="dxa"/>
          </w:tcPr>
          <w:p>
            <w:pPr>
              <w:pStyle w:val="TableParagraph"/>
              <w:spacing w:line="169" w:lineRule="exact"/>
              <w:ind w:right="589"/>
              <w:jc w:val="right"/>
              <w:rPr>
                <w:b/>
                <w:sz w:val="16"/>
              </w:rPr>
            </w:pPr>
            <w:r>
              <w:rPr>
                <w:b/>
                <w:spacing w:val="-4"/>
                <w:sz w:val="16"/>
              </w:rPr>
              <w:t>2017</w:t>
            </w:r>
          </w:p>
        </w:tc>
        <w:tc>
          <w:tcPr>
            <w:tcW w:w="1440" w:type="dxa"/>
            <w:tcBorders>
              <w:bottom w:val="single" w:sz="8" w:space="0" w:color="000000"/>
            </w:tcBorders>
          </w:tcPr>
          <w:p>
            <w:pPr>
              <w:pStyle w:val="TableParagraph"/>
              <w:spacing w:line="169" w:lineRule="exact"/>
              <w:ind w:right="59"/>
              <w:jc w:val="center"/>
              <w:rPr>
                <w:b/>
                <w:sz w:val="16"/>
              </w:rPr>
            </w:pPr>
            <w:r>
              <w:rPr>
                <w:b/>
                <w:spacing w:val="-4"/>
                <w:sz w:val="16"/>
              </w:rPr>
              <w:t>2016</w:t>
            </w:r>
          </w:p>
        </w:tc>
        <w:tc>
          <w:tcPr>
            <w:tcW w:w="1400" w:type="dxa"/>
            <w:tcBorders>
              <w:bottom w:val="single" w:sz="8" w:space="0" w:color="000000"/>
            </w:tcBorders>
          </w:tcPr>
          <w:p>
            <w:pPr>
              <w:pStyle w:val="TableParagraph"/>
              <w:spacing w:line="169" w:lineRule="exact"/>
              <w:jc w:val="center"/>
              <w:rPr>
                <w:b/>
                <w:sz w:val="16"/>
              </w:rPr>
            </w:pPr>
            <w:r>
              <w:rPr>
                <w:b/>
                <w:spacing w:val="-4"/>
                <w:sz w:val="16"/>
              </w:rPr>
              <w:t>2015</w:t>
            </w:r>
          </w:p>
        </w:tc>
      </w:tr>
      <w:tr>
        <w:trPr>
          <w:trHeight w:val="290" w:hRule="atLeast"/>
        </w:trPr>
        <w:tc>
          <w:tcPr>
            <w:tcW w:w="7400" w:type="dxa"/>
          </w:tcPr>
          <w:p>
            <w:pPr>
              <w:pStyle w:val="TableParagraph"/>
              <w:spacing w:before="10"/>
              <w:ind w:left="50"/>
              <w:rPr>
                <w:sz w:val="20"/>
              </w:rPr>
            </w:pPr>
            <w:r>
              <w:rPr>
                <w:spacing w:val="-2"/>
                <w:sz w:val="20"/>
              </w:rPr>
              <w:t>Revenue:</w:t>
            </w:r>
          </w:p>
        </w:tc>
        <w:tc>
          <w:tcPr>
            <w:tcW w:w="1440" w:type="dxa"/>
            <w:tcBorders>
              <w:top w:val="single" w:sz="8" w:space="0" w:color="000000"/>
            </w:tcBorders>
          </w:tcPr>
          <w:p>
            <w:pPr>
              <w:pStyle w:val="TableParagraph"/>
              <w:rPr>
                <w:sz w:val="18"/>
              </w:rPr>
            </w:pPr>
          </w:p>
        </w:tc>
        <w:tc>
          <w:tcPr>
            <w:tcW w:w="1400" w:type="dxa"/>
            <w:tcBorders>
              <w:top w:val="single" w:sz="8" w:space="0" w:color="000000"/>
            </w:tcBorders>
          </w:tcPr>
          <w:p>
            <w:pPr>
              <w:pStyle w:val="TableParagraph"/>
              <w:rPr>
                <w:sz w:val="18"/>
              </w:rPr>
            </w:pPr>
          </w:p>
        </w:tc>
      </w:tr>
      <w:tr>
        <w:trPr>
          <w:trHeight w:val="300" w:hRule="atLeast"/>
        </w:trPr>
        <w:tc>
          <w:tcPr>
            <w:tcW w:w="7400" w:type="dxa"/>
            <w:shd w:val="clear" w:color="auto" w:fill="CCEDFF"/>
          </w:tcPr>
          <w:p>
            <w:pPr>
              <w:pStyle w:val="TableParagraph"/>
              <w:tabs>
                <w:tab w:pos="5859" w:val="left" w:leader="none"/>
                <w:tab w:pos="6292" w:val="left" w:leader="none"/>
              </w:tabs>
              <w:spacing w:before="20"/>
              <w:ind w:right="136"/>
              <w:jc w:val="right"/>
              <w:rPr>
                <w:sz w:val="20"/>
              </w:rPr>
            </w:pPr>
            <w:r>
              <w:rPr>
                <w:spacing w:val="-2"/>
                <w:sz w:val="20"/>
              </w:rPr>
              <w:t>Subscription</w:t>
            </w:r>
            <w:r>
              <w:rPr>
                <w:sz w:val="20"/>
              </w:rPr>
              <w:tab/>
            </w:r>
            <w:r>
              <w:rPr>
                <w:spacing w:val="-10"/>
                <w:sz w:val="20"/>
              </w:rPr>
              <w:t>$</w:t>
            </w:r>
            <w:r>
              <w:rPr>
                <w:sz w:val="20"/>
              </w:rPr>
              <w:tab/>
            </w:r>
            <w:r>
              <w:rPr>
                <w:spacing w:val="-2"/>
                <w:sz w:val="20"/>
              </w:rPr>
              <w:t>6,133,869</w:t>
            </w:r>
          </w:p>
        </w:tc>
        <w:tc>
          <w:tcPr>
            <w:tcW w:w="1440" w:type="dxa"/>
            <w:shd w:val="clear" w:color="auto" w:fill="CCEDFF"/>
          </w:tcPr>
          <w:p>
            <w:pPr>
              <w:pStyle w:val="TableParagraph"/>
              <w:tabs>
                <w:tab w:pos="432" w:val="left" w:leader="none"/>
              </w:tabs>
              <w:spacing w:before="20"/>
              <w:ind w:right="136"/>
              <w:jc w:val="right"/>
              <w:rPr>
                <w:sz w:val="20"/>
              </w:rPr>
            </w:pPr>
            <w:r>
              <w:rPr>
                <w:spacing w:val="-10"/>
                <w:sz w:val="20"/>
              </w:rPr>
              <w:t>$</w:t>
            </w:r>
            <w:r>
              <w:rPr>
                <w:sz w:val="20"/>
              </w:rPr>
              <w:tab/>
            </w:r>
            <w:r>
              <w:rPr>
                <w:spacing w:val="-2"/>
                <w:sz w:val="20"/>
              </w:rPr>
              <w:t>4,584,833</w:t>
            </w:r>
          </w:p>
        </w:tc>
        <w:tc>
          <w:tcPr>
            <w:tcW w:w="1400" w:type="dxa"/>
            <w:shd w:val="clear" w:color="auto" w:fill="CCEDFF"/>
          </w:tcPr>
          <w:p>
            <w:pPr>
              <w:pStyle w:val="TableParagraph"/>
              <w:tabs>
                <w:tab w:pos="522" w:val="left" w:leader="none"/>
              </w:tabs>
              <w:spacing w:before="20"/>
              <w:ind w:left="70"/>
              <w:rPr>
                <w:sz w:val="20"/>
              </w:rPr>
            </w:pPr>
            <w:r>
              <w:rPr>
                <w:spacing w:val="-10"/>
                <w:sz w:val="20"/>
              </w:rPr>
              <w:t>$</w:t>
            </w:r>
            <w:r>
              <w:rPr>
                <w:sz w:val="20"/>
              </w:rPr>
              <w:tab/>
            </w:r>
            <w:r>
              <w:rPr>
                <w:spacing w:val="-2"/>
                <w:sz w:val="20"/>
              </w:rPr>
              <w:t>3,223,904</w:t>
            </w:r>
          </w:p>
        </w:tc>
      </w:tr>
      <w:tr>
        <w:trPr>
          <w:trHeight w:val="300" w:hRule="atLeast"/>
        </w:trPr>
        <w:tc>
          <w:tcPr>
            <w:tcW w:w="7400" w:type="dxa"/>
          </w:tcPr>
          <w:p>
            <w:pPr>
              <w:pStyle w:val="TableParagraph"/>
              <w:tabs>
                <w:tab w:pos="6442" w:val="left" w:leader="none"/>
              </w:tabs>
              <w:spacing w:before="20"/>
              <w:ind w:right="136"/>
              <w:jc w:val="right"/>
              <w:rPr>
                <w:sz w:val="20"/>
              </w:rPr>
            </w:pPr>
            <w:r>
              <w:rPr>
                <w:spacing w:val="-2"/>
                <w:sz w:val="20"/>
              </w:rPr>
              <w:t>Product</w:t>
            </w:r>
            <w:r>
              <w:rPr>
                <w:sz w:val="20"/>
              </w:rPr>
              <w:tab/>
            </w:r>
            <w:r>
              <w:rPr>
                <w:spacing w:val="-2"/>
                <w:sz w:val="20"/>
              </w:rPr>
              <w:t>706,767</w:t>
            </w:r>
          </w:p>
        </w:tc>
        <w:tc>
          <w:tcPr>
            <w:tcW w:w="1440" w:type="dxa"/>
          </w:tcPr>
          <w:p>
            <w:pPr>
              <w:pStyle w:val="TableParagraph"/>
              <w:spacing w:before="20"/>
              <w:ind w:right="136"/>
              <w:jc w:val="right"/>
              <w:rPr>
                <w:sz w:val="20"/>
              </w:rPr>
            </w:pPr>
            <w:r>
              <w:rPr>
                <w:spacing w:val="-2"/>
                <w:sz w:val="20"/>
              </w:rPr>
              <w:t>800,498</w:t>
            </w:r>
          </w:p>
        </w:tc>
        <w:tc>
          <w:tcPr>
            <w:tcW w:w="1400" w:type="dxa"/>
          </w:tcPr>
          <w:p>
            <w:pPr>
              <w:pStyle w:val="TableParagraph"/>
              <w:spacing w:before="20"/>
              <w:ind w:right="76"/>
              <w:jc w:val="right"/>
              <w:rPr>
                <w:sz w:val="20"/>
              </w:rPr>
            </w:pPr>
            <w:r>
              <w:rPr>
                <w:spacing w:val="-2"/>
                <w:sz w:val="20"/>
              </w:rPr>
              <w:t>1,125,146</w:t>
            </w:r>
          </w:p>
        </w:tc>
      </w:tr>
      <w:tr>
        <w:trPr>
          <w:trHeight w:val="290" w:hRule="atLeast"/>
        </w:trPr>
        <w:tc>
          <w:tcPr>
            <w:tcW w:w="7400" w:type="dxa"/>
            <w:shd w:val="clear" w:color="auto" w:fill="CCEDFF"/>
          </w:tcPr>
          <w:p>
            <w:pPr>
              <w:pStyle w:val="TableParagraph"/>
              <w:tabs>
                <w:tab w:pos="6442" w:val="left" w:leader="none"/>
              </w:tabs>
              <w:spacing w:before="20"/>
              <w:ind w:right="136"/>
              <w:jc w:val="right"/>
              <w:rPr>
                <w:sz w:val="20"/>
              </w:rPr>
            </w:pPr>
            <w:r>
              <w:rPr>
                <w:sz w:val="20"/>
              </w:rPr>
              <w:t>Services</w:t>
            </w:r>
            <w:r>
              <w:rPr>
                <w:spacing w:val="-5"/>
                <w:sz w:val="20"/>
              </w:rPr>
              <w:t> </w:t>
            </w:r>
            <w:r>
              <w:rPr>
                <w:sz w:val="20"/>
              </w:rPr>
              <w:t>and</w:t>
            </w:r>
            <w:r>
              <w:rPr>
                <w:spacing w:val="-3"/>
                <w:sz w:val="20"/>
              </w:rPr>
              <w:t> </w:t>
            </w:r>
            <w:r>
              <w:rPr>
                <w:spacing w:val="-2"/>
                <w:sz w:val="20"/>
              </w:rPr>
              <w:t>support</w:t>
            </w:r>
            <w:r>
              <w:rPr>
                <w:sz w:val="20"/>
              </w:rPr>
              <w:tab/>
            </w:r>
            <w:r>
              <w:rPr>
                <w:spacing w:val="-2"/>
                <w:sz w:val="20"/>
              </w:rPr>
              <w:t>460,869</w:t>
            </w:r>
          </w:p>
        </w:tc>
        <w:tc>
          <w:tcPr>
            <w:tcW w:w="1440" w:type="dxa"/>
            <w:tcBorders>
              <w:bottom w:val="single" w:sz="8" w:space="0" w:color="000000"/>
            </w:tcBorders>
            <w:shd w:val="clear" w:color="auto" w:fill="CCEDFF"/>
          </w:tcPr>
          <w:p>
            <w:pPr>
              <w:pStyle w:val="TableParagraph"/>
              <w:spacing w:before="20"/>
              <w:ind w:right="136"/>
              <w:jc w:val="right"/>
              <w:rPr>
                <w:sz w:val="20"/>
              </w:rPr>
            </w:pPr>
            <w:r>
              <w:rPr>
                <w:spacing w:val="-2"/>
                <w:sz w:val="20"/>
              </w:rPr>
              <w:t>469,099</w:t>
            </w:r>
          </w:p>
        </w:tc>
        <w:tc>
          <w:tcPr>
            <w:tcW w:w="1400" w:type="dxa"/>
            <w:tcBorders>
              <w:bottom w:val="single" w:sz="8" w:space="0" w:color="000000"/>
            </w:tcBorders>
            <w:shd w:val="clear" w:color="auto" w:fill="CCEDFF"/>
          </w:tcPr>
          <w:p>
            <w:pPr>
              <w:pStyle w:val="TableParagraph"/>
              <w:spacing w:before="20"/>
              <w:ind w:right="76"/>
              <w:jc w:val="right"/>
              <w:rPr>
                <w:sz w:val="20"/>
              </w:rPr>
            </w:pPr>
            <w:r>
              <w:rPr>
                <w:spacing w:val="-2"/>
                <w:sz w:val="20"/>
              </w:rPr>
              <w:t>446,461</w:t>
            </w:r>
          </w:p>
        </w:tc>
      </w:tr>
      <w:tr>
        <w:trPr>
          <w:trHeight w:val="280" w:hRule="atLeast"/>
        </w:trPr>
        <w:tc>
          <w:tcPr>
            <w:tcW w:w="7400" w:type="dxa"/>
          </w:tcPr>
          <w:p>
            <w:pPr>
              <w:pStyle w:val="TableParagraph"/>
              <w:tabs>
                <w:tab w:pos="6052" w:val="left" w:leader="none"/>
              </w:tabs>
              <w:spacing w:before="10"/>
              <w:ind w:right="136"/>
              <w:jc w:val="right"/>
              <w:rPr>
                <w:sz w:val="20"/>
              </w:rPr>
            </w:pPr>
            <w:r>
              <w:rPr>
                <w:sz w:val="20"/>
              </w:rPr>
              <w:t>Total</w:t>
            </w:r>
            <w:r>
              <w:rPr>
                <w:spacing w:val="-7"/>
                <w:sz w:val="20"/>
              </w:rPr>
              <w:t> </w:t>
            </w:r>
            <w:r>
              <w:rPr>
                <w:spacing w:val="-2"/>
                <w:sz w:val="20"/>
              </w:rPr>
              <w:t>revenue</w:t>
            </w:r>
            <w:r>
              <w:rPr>
                <w:sz w:val="20"/>
              </w:rPr>
              <w:tab/>
            </w:r>
            <w:r>
              <w:rPr>
                <w:spacing w:val="-2"/>
                <w:sz w:val="20"/>
              </w:rPr>
              <w:t>7,301,505</w:t>
            </w:r>
          </w:p>
        </w:tc>
        <w:tc>
          <w:tcPr>
            <w:tcW w:w="1440" w:type="dxa"/>
            <w:tcBorders>
              <w:top w:val="single" w:sz="8" w:space="0" w:color="000000"/>
              <w:bottom w:val="single" w:sz="8" w:space="0" w:color="000000"/>
            </w:tcBorders>
          </w:tcPr>
          <w:p>
            <w:pPr>
              <w:pStyle w:val="TableParagraph"/>
              <w:spacing w:before="10"/>
              <w:ind w:right="136"/>
              <w:jc w:val="right"/>
              <w:rPr>
                <w:sz w:val="20"/>
              </w:rPr>
            </w:pPr>
            <w:r>
              <w:rPr>
                <w:spacing w:val="-2"/>
                <w:sz w:val="20"/>
              </w:rPr>
              <w:t>5,854,430</w:t>
            </w:r>
          </w:p>
        </w:tc>
        <w:tc>
          <w:tcPr>
            <w:tcW w:w="1400" w:type="dxa"/>
            <w:tcBorders>
              <w:top w:val="single" w:sz="8" w:space="0" w:color="000000"/>
              <w:bottom w:val="single" w:sz="8" w:space="0" w:color="000000"/>
            </w:tcBorders>
          </w:tcPr>
          <w:p>
            <w:pPr>
              <w:pStyle w:val="TableParagraph"/>
              <w:spacing w:before="10"/>
              <w:ind w:right="76"/>
              <w:jc w:val="right"/>
              <w:rPr>
                <w:sz w:val="20"/>
              </w:rPr>
            </w:pPr>
            <w:r>
              <w:rPr>
                <w:spacing w:val="-2"/>
                <w:sz w:val="20"/>
              </w:rPr>
              <w:t>4,795,511</w:t>
            </w:r>
          </w:p>
        </w:tc>
      </w:tr>
      <w:tr>
        <w:trPr>
          <w:trHeight w:val="490" w:hRule="atLeast"/>
        </w:trPr>
        <w:tc>
          <w:tcPr>
            <w:tcW w:w="7400" w:type="dxa"/>
            <w:shd w:val="clear" w:color="auto" w:fill="CCEDFF"/>
          </w:tcPr>
          <w:p>
            <w:pPr>
              <w:pStyle w:val="TableParagraph"/>
              <w:spacing w:before="210"/>
              <w:ind w:left="50"/>
              <w:rPr>
                <w:sz w:val="20"/>
              </w:rPr>
            </w:pPr>
            <w:r>
              <w:rPr>
                <w:sz w:val="20"/>
              </w:rPr>
              <w:t>Cost of </w:t>
            </w:r>
            <w:r>
              <w:rPr>
                <w:spacing w:val="-2"/>
                <w:sz w:val="20"/>
              </w:rPr>
              <w:t>revenue:</w:t>
            </w:r>
          </w:p>
        </w:tc>
        <w:tc>
          <w:tcPr>
            <w:tcW w:w="1440" w:type="dxa"/>
            <w:tcBorders>
              <w:top w:val="single" w:sz="8" w:space="0" w:color="000000"/>
            </w:tcBorders>
            <w:shd w:val="clear" w:color="auto" w:fill="CCEDFF"/>
          </w:tcPr>
          <w:p>
            <w:pPr>
              <w:pStyle w:val="TableParagraph"/>
              <w:rPr>
                <w:sz w:val="18"/>
              </w:rPr>
            </w:pPr>
          </w:p>
        </w:tc>
        <w:tc>
          <w:tcPr>
            <w:tcW w:w="1400" w:type="dxa"/>
            <w:tcBorders>
              <w:top w:val="single" w:sz="8" w:space="0" w:color="000000"/>
            </w:tcBorders>
            <w:shd w:val="clear" w:color="auto" w:fill="CCEDFF"/>
          </w:tcPr>
          <w:p>
            <w:pPr>
              <w:pStyle w:val="TableParagraph"/>
              <w:rPr>
                <w:sz w:val="18"/>
              </w:rPr>
            </w:pPr>
          </w:p>
        </w:tc>
      </w:tr>
      <w:tr>
        <w:trPr>
          <w:trHeight w:val="300" w:hRule="atLeast"/>
        </w:trPr>
        <w:tc>
          <w:tcPr>
            <w:tcW w:w="7400" w:type="dxa"/>
          </w:tcPr>
          <w:p>
            <w:pPr>
              <w:pStyle w:val="TableParagraph"/>
              <w:tabs>
                <w:tab w:pos="6442" w:val="left" w:leader="none"/>
              </w:tabs>
              <w:spacing w:before="20"/>
              <w:ind w:right="136"/>
              <w:jc w:val="right"/>
              <w:rPr>
                <w:sz w:val="20"/>
              </w:rPr>
            </w:pPr>
            <w:r>
              <w:rPr>
                <w:spacing w:val="-2"/>
                <w:sz w:val="20"/>
              </w:rPr>
              <w:t>Subscription</w:t>
            </w:r>
            <w:r>
              <w:rPr>
                <w:sz w:val="20"/>
              </w:rPr>
              <w:tab/>
            </w:r>
            <w:r>
              <w:rPr>
                <w:spacing w:val="-2"/>
                <w:sz w:val="20"/>
              </w:rPr>
              <w:t>623,048</w:t>
            </w:r>
          </w:p>
        </w:tc>
        <w:tc>
          <w:tcPr>
            <w:tcW w:w="1440" w:type="dxa"/>
          </w:tcPr>
          <w:p>
            <w:pPr>
              <w:pStyle w:val="TableParagraph"/>
              <w:spacing w:before="20"/>
              <w:ind w:right="136"/>
              <w:jc w:val="right"/>
              <w:rPr>
                <w:sz w:val="20"/>
              </w:rPr>
            </w:pPr>
            <w:r>
              <w:rPr>
                <w:spacing w:val="-2"/>
                <w:sz w:val="20"/>
              </w:rPr>
              <w:t>461,860</w:t>
            </w:r>
          </w:p>
        </w:tc>
        <w:tc>
          <w:tcPr>
            <w:tcW w:w="1400" w:type="dxa"/>
          </w:tcPr>
          <w:p>
            <w:pPr>
              <w:pStyle w:val="TableParagraph"/>
              <w:spacing w:before="20"/>
              <w:ind w:right="76"/>
              <w:jc w:val="right"/>
              <w:rPr>
                <w:sz w:val="20"/>
              </w:rPr>
            </w:pPr>
            <w:r>
              <w:rPr>
                <w:spacing w:val="-2"/>
                <w:sz w:val="20"/>
              </w:rPr>
              <w:t>409,194</w:t>
            </w:r>
          </w:p>
        </w:tc>
      </w:tr>
      <w:tr>
        <w:trPr>
          <w:trHeight w:val="300" w:hRule="atLeast"/>
        </w:trPr>
        <w:tc>
          <w:tcPr>
            <w:tcW w:w="7400" w:type="dxa"/>
            <w:shd w:val="clear" w:color="auto" w:fill="CCEDFF"/>
          </w:tcPr>
          <w:p>
            <w:pPr>
              <w:pStyle w:val="TableParagraph"/>
              <w:tabs>
                <w:tab w:pos="6542" w:val="left" w:leader="none"/>
              </w:tabs>
              <w:spacing w:before="20"/>
              <w:ind w:right="136"/>
              <w:jc w:val="right"/>
              <w:rPr>
                <w:sz w:val="20"/>
              </w:rPr>
            </w:pPr>
            <w:r>
              <w:rPr>
                <w:spacing w:val="-2"/>
                <w:sz w:val="20"/>
              </w:rPr>
              <w:t>Product</w:t>
            </w:r>
            <w:r>
              <w:rPr>
                <w:sz w:val="20"/>
              </w:rPr>
              <w:tab/>
            </w:r>
            <w:r>
              <w:rPr>
                <w:spacing w:val="-2"/>
                <w:sz w:val="20"/>
              </w:rPr>
              <w:t>57,082</w:t>
            </w:r>
          </w:p>
        </w:tc>
        <w:tc>
          <w:tcPr>
            <w:tcW w:w="1440" w:type="dxa"/>
            <w:shd w:val="clear" w:color="auto" w:fill="CCEDFF"/>
          </w:tcPr>
          <w:p>
            <w:pPr>
              <w:pStyle w:val="TableParagraph"/>
              <w:spacing w:before="20"/>
              <w:ind w:right="136"/>
              <w:jc w:val="right"/>
              <w:rPr>
                <w:sz w:val="20"/>
              </w:rPr>
            </w:pPr>
            <w:r>
              <w:rPr>
                <w:spacing w:val="-2"/>
                <w:sz w:val="20"/>
              </w:rPr>
              <w:t>68,917</w:t>
            </w:r>
          </w:p>
        </w:tc>
        <w:tc>
          <w:tcPr>
            <w:tcW w:w="1400" w:type="dxa"/>
            <w:shd w:val="clear" w:color="auto" w:fill="CCEDFF"/>
          </w:tcPr>
          <w:p>
            <w:pPr>
              <w:pStyle w:val="TableParagraph"/>
              <w:spacing w:before="20"/>
              <w:ind w:right="76"/>
              <w:jc w:val="right"/>
              <w:rPr>
                <w:sz w:val="20"/>
              </w:rPr>
            </w:pPr>
            <w:r>
              <w:rPr>
                <w:spacing w:val="-2"/>
                <w:sz w:val="20"/>
              </w:rPr>
              <w:t>90,035</w:t>
            </w:r>
          </w:p>
        </w:tc>
      </w:tr>
      <w:tr>
        <w:trPr>
          <w:trHeight w:val="290" w:hRule="atLeast"/>
        </w:trPr>
        <w:tc>
          <w:tcPr>
            <w:tcW w:w="7400" w:type="dxa"/>
          </w:tcPr>
          <w:p>
            <w:pPr>
              <w:pStyle w:val="TableParagraph"/>
              <w:tabs>
                <w:tab w:pos="6442" w:val="left" w:leader="none"/>
              </w:tabs>
              <w:spacing w:before="20"/>
              <w:ind w:right="136"/>
              <w:jc w:val="right"/>
              <w:rPr>
                <w:sz w:val="20"/>
              </w:rPr>
            </w:pPr>
            <w:r>
              <w:rPr>
                <w:sz w:val="20"/>
              </w:rPr>
              <w:t>Services</w:t>
            </w:r>
            <w:r>
              <w:rPr>
                <w:spacing w:val="-5"/>
                <w:sz w:val="20"/>
              </w:rPr>
              <w:t> </w:t>
            </w:r>
            <w:r>
              <w:rPr>
                <w:sz w:val="20"/>
              </w:rPr>
              <w:t>and</w:t>
            </w:r>
            <w:r>
              <w:rPr>
                <w:spacing w:val="-3"/>
                <w:sz w:val="20"/>
              </w:rPr>
              <w:t> </w:t>
            </w:r>
            <w:r>
              <w:rPr>
                <w:spacing w:val="-2"/>
                <w:sz w:val="20"/>
              </w:rPr>
              <w:t>support</w:t>
            </w:r>
            <w:r>
              <w:rPr>
                <w:sz w:val="20"/>
              </w:rPr>
              <w:tab/>
            </w:r>
            <w:r>
              <w:rPr>
                <w:spacing w:val="-2"/>
                <w:sz w:val="20"/>
              </w:rPr>
              <w:t>330,361</w:t>
            </w:r>
          </w:p>
        </w:tc>
        <w:tc>
          <w:tcPr>
            <w:tcW w:w="1440" w:type="dxa"/>
            <w:tcBorders>
              <w:bottom w:val="single" w:sz="8" w:space="0" w:color="000000"/>
            </w:tcBorders>
          </w:tcPr>
          <w:p>
            <w:pPr>
              <w:pStyle w:val="TableParagraph"/>
              <w:spacing w:before="20"/>
              <w:ind w:right="136"/>
              <w:jc w:val="right"/>
              <w:rPr>
                <w:sz w:val="20"/>
              </w:rPr>
            </w:pPr>
            <w:r>
              <w:rPr>
                <w:spacing w:val="-2"/>
                <w:sz w:val="20"/>
              </w:rPr>
              <w:t>289,131</w:t>
            </w:r>
          </w:p>
        </w:tc>
        <w:tc>
          <w:tcPr>
            <w:tcW w:w="1400" w:type="dxa"/>
            <w:tcBorders>
              <w:bottom w:val="single" w:sz="8" w:space="0" w:color="000000"/>
            </w:tcBorders>
          </w:tcPr>
          <w:p>
            <w:pPr>
              <w:pStyle w:val="TableParagraph"/>
              <w:spacing w:before="20"/>
              <w:ind w:right="76"/>
              <w:jc w:val="right"/>
              <w:rPr>
                <w:sz w:val="20"/>
              </w:rPr>
            </w:pPr>
            <w:r>
              <w:rPr>
                <w:spacing w:val="-2"/>
                <w:sz w:val="20"/>
              </w:rPr>
              <w:t>245,088</w:t>
            </w:r>
          </w:p>
        </w:tc>
      </w:tr>
      <w:tr>
        <w:trPr>
          <w:trHeight w:val="280" w:hRule="atLeast"/>
        </w:trPr>
        <w:tc>
          <w:tcPr>
            <w:tcW w:w="7400" w:type="dxa"/>
            <w:shd w:val="clear" w:color="auto" w:fill="CCEDFF"/>
          </w:tcPr>
          <w:p>
            <w:pPr>
              <w:pStyle w:val="TableParagraph"/>
              <w:tabs>
                <w:tab w:pos="6052" w:val="left" w:leader="none"/>
              </w:tabs>
              <w:spacing w:before="10"/>
              <w:ind w:right="136"/>
              <w:jc w:val="right"/>
              <w:rPr>
                <w:sz w:val="20"/>
              </w:rPr>
            </w:pPr>
            <w:r>
              <w:rPr>
                <w:sz w:val="20"/>
              </w:rPr>
              <w:t>Total</w:t>
            </w:r>
            <w:r>
              <w:rPr>
                <w:spacing w:val="-3"/>
                <w:sz w:val="20"/>
              </w:rPr>
              <w:t> </w:t>
            </w:r>
            <w:r>
              <w:rPr>
                <w:sz w:val="20"/>
              </w:rPr>
              <w:t>cost</w:t>
            </w:r>
            <w:r>
              <w:rPr>
                <w:spacing w:val="-2"/>
                <w:sz w:val="20"/>
              </w:rPr>
              <w:t> </w:t>
            </w:r>
            <w:r>
              <w:rPr>
                <w:sz w:val="20"/>
              </w:rPr>
              <w:t>of</w:t>
            </w:r>
            <w:r>
              <w:rPr>
                <w:spacing w:val="-2"/>
                <w:sz w:val="20"/>
              </w:rPr>
              <w:t> revenue</w:t>
            </w:r>
            <w:r>
              <w:rPr>
                <w:sz w:val="20"/>
              </w:rPr>
              <w:tab/>
            </w:r>
            <w:r>
              <w:rPr>
                <w:spacing w:val="-2"/>
                <w:sz w:val="20"/>
              </w:rPr>
              <w:t>1,010,491</w:t>
            </w:r>
          </w:p>
        </w:tc>
        <w:tc>
          <w:tcPr>
            <w:tcW w:w="1440" w:type="dxa"/>
            <w:tcBorders>
              <w:top w:val="single" w:sz="8" w:space="0" w:color="000000"/>
              <w:bottom w:val="single" w:sz="8" w:space="0" w:color="000000"/>
            </w:tcBorders>
            <w:shd w:val="clear" w:color="auto" w:fill="CCEDFF"/>
          </w:tcPr>
          <w:p>
            <w:pPr>
              <w:pStyle w:val="TableParagraph"/>
              <w:spacing w:before="10"/>
              <w:ind w:right="136"/>
              <w:jc w:val="right"/>
              <w:rPr>
                <w:sz w:val="20"/>
              </w:rPr>
            </w:pPr>
            <w:r>
              <w:rPr>
                <w:spacing w:val="-2"/>
                <w:sz w:val="20"/>
              </w:rPr>
              <w:t>819,908</w:t>
            </w:r>
          </w:p>
        </w:tc>
        <w:tc>
          <w:tcPr>
            <w:tcW w:w="1400" w:type="dxa"/>
            <w:tcBorders>
              <w:top w:val="single" w:sz="8" w:space="0" w:color="000000"/>
              <w:bottom w:val="single" w:sz="8" w:space="0" w:color="000000"/>
            </w:tcBorders>
            <w:shd w:val="clear" w:color="auto" w:fill="CCEDFF"/>
          </w:tcPr>
          <w:p>
            <w:pPr>
              <w:pStyle w:val="TableParagraph"/>
              <w:spacing w:before="10"/>
              <w:ind w:right="76"/>
              <w:jc w:val="right"/>
              <w:rPr>
                <w:sz w:val="20"/>
              </w:rPr>
            </w:pPr>
            <w:r>
              <w:rPr>
                <w:spacing w:val="-2"/>
                <w:sz w:val="20"/>
              </w:rPr>
              <w:t>744,317</w:t>
            </w:r>
          </w:p>
        </w:tc>
      </w:tr>
      <w:tr>
        <w:trPr>
          <w:trHeight w:val="490" w:hRule="atLeast"/>
        </w:trPr>
        <w:tc>
          <w:tcPr>
            <w:tcW w:w="7400" w:type="dxa"/>
          </w:tcPr>
          <w:p>
            <w:pPr>
              <w:pStyle w:val="TableParagraph"/>
              <w:tabs>
                <w:tab w:pos="6462" w:val="left" w:leader="none"/>
              </w:tabs>
              <w:spacing w:before="210"/>
              <w:ind w:left="50"/>
              <w:rPr>
                <w:sz w:val="20"/>
              </w:rPr>
            </w:pPr>
            <w:r>
              <w:rPr>
                <w:sz w:val="20"/>
              </w:rPr>
              <w:t>Gross</w:t>
            </w:r>
            <w:r>
              <w:rPr>
                <w:spacing w:val="-5"/>
                <w:sz w:val="20"/>
              </w:rPr>
              <w:t> </w:t>
            </w:r>
            <w:r>
              <w:rPr>
                <w:spacing w:val="-2"/>
                <w:sz w:val="20"/>
              </w:rPr>
              <w:t>profit</w:t>
            </w:r>
            <w:r>
              <w:rPr>
                <w:sz w:val="20"/>
              </w:rPr>
              <w:tab/>
            </w:r>
            <w:r>
              <w:rPr>
                <w:spacing w:val="-2"/>
                <w:sz w:val="20"/>
              </w:rPr>
              <w:t>6,291,014</w:t>
            </w:r>
          </w:p>
        </w:tc>
        <w:tc>
          <w:tcPr>
            <w:tcW w:w="1440" w:type="dxa"/>
            <w:tcBorders>
              <w:top w:val="single" w:sz="8" w:space="0" w:color="000000"/>
            </w:tcBorders>
          </w:tcPr>
          <w:p>
            <w:pPr>
              <w:pStyle w:val="TableParagraph"/>
              <w:spacing w:before="210"/>
              <w:ind w:right="136"/>
              <w:jc w:val="right"/>
              <w:rPr>
                <w:sz w:val="20"/>
              </w:rPr>
            </w:pPr>
            <w:r>
              <w:rPr>
                <w:spacing w:val="-2"/>
                <w:sz w:val="20"/>
              </w:rPr>
              <w:t>5,034,522</w:t>
            </w:r>
          </w:p>
        </w:tc>
        <w:tc>
          <w:tcPr>
            <w:tcW w:w="1400" w:type="dxa"/>
            <w:tcBorders>
              <w:top w:val="single" w:sz="8" w:space="0" w:color="000000"/>
            </w:tcBorders>
          </w:tcPr>
          <w:p>
            <w:pPr>
              <w:pStyle w:val="TableParagraph"/>
              <w:spacing w:before="210"/>
              <w:ind w:right="76"/>
              <w:jc w:val="right"/>
              <w:rPr>
                <w:sz w:val="20"/>
              </w:rPr>
            </w:pPr>
            <w:r>
              <w:rPr>
                <w:spacing w:val="-2"/>
                <w:sz w:val="20"/>
              </w:rPr>
              <w:t>4,051,194</w:t>
            </w:r>
          </w:p>
        </w:tc>
      </w:tr>
      <w:tr>
        <w:trPr>
          <w:trHeight w:val="500" w:hRule="atLeast"/>
        </w:trPr>
        <w:tc>
          <w:tcPr>
            <w:tcW w:w="7400" w:type="dxa"/>
            <w:shd w:val="clear" w:color="auto" w:fill="CCEDFF"/>
          </w:tcPr>
          <w:p>
            <w:pPr>
              <w:pStyle w:val="TableParagraph"/>
              <w:spacing w:before="220"/>
              <w:ind w:left="50"/>
              <w:rPr>
                <w:sz w:val="20"/>
              </w:rPr>
            </w:pPr>
            <w:r>
              <w:rPr>
                <w:sz w:val="20"/>
              </w:rPr>
              <w:t>Operating </w:t>
            </w:r>
            <w:r>
              <w:rPr>
                <w:spacing w:val="-2"/>
                <w:sz w:val="20"/>
              </w:rPr>
              <w:t>expenses:</w:t>
            </w:r>
          </w:p>
        </w:tc>
        <w:tc>
          <w:tcPr>
            <w:tcW w:w="1440" w:type="dxa"/>
            <w:shd w:val="clear" w:color="auto" w:fill="CCEDFF"/>
          </w:tcPr>
          <w:p>
            <w:pPr>
              <w:pStyle w:val="TableParagraph"/>
              <w:rPr>
                <w:sz w:val="18"/>
              </w:rPr>
            </w:pPr>
          </w:p>
        </w:tc>
        <w:tc>
          <w:tcPr>
            <w:tcW w:w="1400" w:type="dxa"/>
            <w:shd w:val="clear" w:color="auto" w:fill="CCEDFF"/>
          </w:tcPr>
          <w:p>
            <w:pPr>
              <w:pStyle w:val="TableParagraph"/>
              <w:rPr>
                <w:sz w:val="18"/>
              </w:rPr>
            </w:pPr>
          </w:p>
        </w:tc>
      </w:tr>
      <w:tr>
        <w:trPr>
          <w:trHeight w:val="300" w:hRule="atLeast"/>
        </w:trPr>
        <w:tc>
          <w:tcPr>
            <w:tcW w:w="7400" w:type="dxa"/>
          </w:tcPr>
          <w:p>
            <w:pPr>
              <w:pStyle w:val="TableParagraph"/>
              <w:tabs>
                <w:tab w:pos="6292" w:val="left" w:leader="none"/>
              </w:tabs>
              <w:spacing w:before="20"/>
              <w:ind w:right="136"/>
              <w:jc w:val="right"/>
              <w:rPr>
                <w:sz w:val="20"/>
              </w:rPr>
            </w:pPr>
            <w:r>
              <w:rPr>
                <w:sz w:val="20"/>
              </w:rPr>
              <w:t>Research and </w:t>
            </w:r>
            <w:r>
              <w:rPr>
                <w:spacing w:val="-2"/>
                <w:sz w:val="20"/>
              </w:rPr>
              <w:t>development</w:t>
            </w:r>
            <w:r>
              <w:rPr>
                <w:sz w:val="20"/>
              </w:rPr>
              <w:tab/>
            </w:r>
            <w:r>
              <w:rPr>
                <w:spacing w:val="-2"/>
                <w:sz w:val="20"/>
              </w:rPr>
              <w:t>1,224,059</w:t>
            </w:r>
          </w:p>
        </w:tc>
        <w:tc>
          <w:tcPr>
            <w:tcW w:w="1440" w:type="dxa"/>
          </w:tcPr>
          <w:p>
            <w:pPr>
              <w:pStyle w:val="TableParagraph"/>
              <w:spacing w:before="20"/>
              <w:ind w:right="136"/>
              <w:jc w:val="right"/>
              <w:rPr>
                <w:sz w:val="20"/>
              </w:rPr>
            </w:pPr>
            <w:r>
              <w:rPr>
                <w:spacing w:val="-2"/>
                <w:sz w:val="20"/>
              </w:rPr>
              <w:t>975,987</w:t>
            </w:r>
          </w:p>
        </w:tc>
        <w:tc>
          <w:tcPr>
            <w:tcW w:w="1400" w:type="dxa"/>
          </w:tcPr>
          <w:p>
            <w:pPr>
              <w:pStyle w:val="TableParagraph"/>
              <w:spacing w:before="20"/>
              <w:ind w:right="76"/>
              <w:jc w:val="right"/>
              <w:rPr>
                <w:sz w:val="20"/>
              </w:rPr>
            </w:pPr>
            <w:r>
              <w:rPr>
                <w:spacing w:val="-2"/>
                <w:sz w:val="20"/>
              </w:rPr>
              <w:t>862,730</w:t>
            </w:r>
          </w:p>
        </w:tc>
      </w:tr>
      <w:tr>
        <w:trPr>
          <w:trHeight w:val="300" w:hRule="atLeast"/>
        </w:trPr>
        <w:tc>
          <w:tcPr>
            <w:tcW w:w="7400" w:type="dxa"/>
            <w:shd w:val="clear" w:color="auto" w:fill="CCEDFF"/>
          </w:tcPr>
          <w:p>
            <w:pPr>
              <w:pStyle w:val="TableParagraph"/>
              <w:tabs>
                <w:tab w:pos="6292" w:val="left" w:leader="none"/>
              </w:tabs>
              <w:spacing w:before="20"/>
              <w:ind w:right="136"/>
              <w:jc w:val="right"/>
              <w:rPr>
                <w:sz w:val="20"/>
              </w:rPr>
            </w:pPr>
            <w:r>
              <w:rPr>
                <w:sz w:val="20"/>
              </w:rPr>
              <w:t>Sales</w:t>
            </w:r>
            <w:r>
              <w:rPr>
                <w:spacing w:val="-3"/>
                <w:sz w:val="20"/>
              </w:rPr>
              <w:t> </w:t>
            </w:r>
            <w:r>
              <w:rPr>
                <w:sz w:val="20"/>
              </w:rPr>
              <w:t>and</w:t>
            </w:r>
            <w:r>
              <w:rPr>
                <w:spacing w:val="-2"/>
                <w:sz w:val="20"/>
              </w:rPr>
              <w:t> marketing</w:t>
            </w:r>
            <w:r>
              <w:rPr>
                <w:sz w:val="20"/>
              </w:rPr>
              <w:tab/>
            </w:r>
            <w:r>
              <w:rPr>
                <w:spacing w:val="-2"/>
                <w:sz w:val="20"/>
              </w:rPr>
              <w:t>2,197,592</w:t>
            </w:r>
          </w:p>
        </w:tc>
        <w:tc>
          <w:tcPr>
            <w:tcW w:w="1440" w:type="dxa"/>
            <w:shd w:val="clear" w:color="auto" w:fill="CCEDFF"/>
          </w:tcPr>
          <w:p>
            <w:pPr>
              <w:pStyle w:val="TableParagraph"/>
              <w:spacing w:before="20"/>
              <w:ind w:right="136"/>
              <w:jc w:val="right"/>
              <w:rPr>
                <w:sz w:val="20"/>
              </w:rPr>
            </w:pPr>
            <w:r>
              <w:rPr>
                <w:spacing w:val="-2"/>
                <w:sz w:val="20"/>
              </w:rPr>
              <w:t>1,910,197</w:t>
            </w:r>
          </w:p>
        </w:tc>
        <w:tc>
          <w:tcPr>
            <w:tcW w:w="1400" w:type="dxa"/>
            <w:shd w:val="clear" w:color="auto" w:fill="CCEDFF"/>
          </w:tcPr>
          <w:p>
            <w:pPr>
              <w:pStyle w:val="TableParagraph"/>
              <w:spacing w:before="20"/>
              <w:ind w:right="76"/>
              <w:jc w:val="right"/>
              <w:rPr>
                <w:sz w:val="20"/>
              </w:rPr>
            </w:pPr>
            <w:r>
              <w:rPr>
                <w:spacing w:val="-2"/>
                <w:sz w:val="20"/>
              </w:rPr>
              <w:t>1,683,242</w:t>
            </w:r>
          </w:p>
        </w:tc>
      </w:tr>
      <w:tr>
        <w:trPr>
          <w:trHeight w:val="300" w:hRule="atLeast"/>
        </w:trPr>
        <w:tc>
          <w:tcPr>
            <w:tcW w:w="7400" w:type="dxa"/>
          </w:tcPr>
          <w:p>
            <w:pPr>
              <w:pStyle w:val="TableParagraph"/>
              <w:tabs>
                <w:tab w:pos="6442" w:val="left" w:leader="none"/>
              </w:tabs>
              <w:spacing w:before="20"/>
              <w:ind w:right="136"/>
              <w:jc w:val="right"/>
              <w:rPr>
                <w:sz w:val="20"/>
              </w:rPr>
            </w:pPr>
            <w:r>
              <w:rPr>
                <w:sz w:val="20"/>
              </w:rPr>
              <w:t>General and </w:t>
            </w:r>
            <w:r>
              <w:rPr>
                <w:spacing w:val="-2"/>
                <w:sz w:val="20"/>
              </w:rPr>
              <w:t>administrative</w:t>
            </w:r>
            <w:r>
              <w:rPr>
                <w:sz w:val="20"/>
              </w:rPr>
              <w:tab/>
            </w:r>
            <w:r>
              <w:rPr>
                <w:spacing w:val="-2"/>
                <w:sz w:val="20"/>
              </w:rPr>
              <w:t>624,706</w:t>
            </w:r>
          </w:p>
        </w:tc>
        <w:tc>
          <w:tcPr>
            <w:tcW w:w="1440" w:type="dxa"/>
          </w:tcPr>
          <w:p>
            <w:pPr>
              <w:pStyle w:val="TableParagraph"/>
              <w:spacing w:before="20"/>
              <w:ind w:right="136"/>
              <w:jc w:val="right"/>
              <w:rPr>
                <w:sz w:val="20"/>
              </w:rPr>
            </w:pPr>
            <w:r>
              <w:rPr>
                <w:spacing w:val="-2"/>
                <w:sz w:val="20"/>
              </w:rPr>
              <w:t>576,202</w:t>
            </w:r>
          </w:p>
        </w:tc>
        <w:tc>
          <w:tcPr>
            <w:tcW w:w="1400" w:type="dxa"/>
          </w:tcPr>
          <w:p>
            <w:pPr>
              <w:pStyle w:val="TableParagraph"/>
              <w:spacing w:before="20"/>
              <w:ind w:right="76"/>
              <w:jc w:val="right"/>
              <w:rPr>
                <w:sz w:val="20"/>
              </w:rPr>
            </w:pPr>
            <w:r>
              <w:rPr>
                <w:spacing w:val="-2"/>
                <w:sz w:val="20"/>
              </w:rPr>
              <w:t>533,478</w:t>
            </w:r>
          </w:p>
        </w:tc>
      </w:tr>
      <w:tr>
        <w:trPr>
          <w:trHeight w:val="290" w:hRule="atLeast"/>
        </w:trPr>
        <w:tc>
          <w:tcPr>
            <w:tcW w:w="7400" w:type="dxa"/>
            <w:shd w:val="clear" w:color="auto" w:fill="CCEDFF"/>
          </w:tcPr>
          <w:p>
            <w:pPr>
              <w:pStyle w:val="TableParagraph"/>
              <w:tabs>
                <w:tab w:pos="6542" w:val="left" w:leader="none"/>
              </w:tabs>
              <w:spacing w:before="20"/>
              <w:ind w:right="136"/>
              <w:jc w:val="right"/>
              <w:rPr>
                <w:sz w:val="20"/>
              </w:rPr>
            </w:pPr>
            <w:r>
              <w:rPr>
                <w:sz w:val="20"/>
              </w:rPr>
              <w:t>Amortization of purchased </w:t>
            </w:r>
            <w:r>
              <w:rPr>
                <w:spacing w:val="-2"/>
                <w:sz w:val="20"/>
              </w:rPr>
              <w:t>intangibles</w:t>
            </w:r>
            <w:r>
              <w:rPr>
                <w:sz w:val="20"/>
              </w:rPr>
              <w:tab/>
            </w:r>
            <w:r>
              <w:rPr>
                <w:spacing w:val="-2"/>
                <w:sz w:val="20"/>
              </w:rPr>
              <w:t>76,562</w:t>
            </w:r>
          </w:p>
        </w:tc>
        <w:tc>
          <w:tcPr>
            <w:tcW w:w="1440" w:type="dxa"/>
            <w:tcBorders>
              <w:bottom w:val="single" w:sz="8" w:space="0" w:color="000000"/>
            </w:tcBorders>
            <w:shd w:val="clear" w:color="auto" w:fill="CCEDFF"/>
          </w:tcPr>
          <w:p>
            <w:pPr>
              <w:pStyle w:val="TableParagraph"/>
              <w:spacing w:before="20"/>
              <w:ind w:right="136"/>
              <w:jc w:val="right"/>
              <w:rPr>
                <w:sz w:val="20"/>
              </w:rPr>
            </w:pPr>
            <w:r>
              <w:rPr>
                <w:spacing w:val="-2"/>
                <w:sz w:val="20"/>
              </w:rPr>
              <w:t>78,534</w:t>
            </w:r>
          </w:p>
        </w:tc>
        <w:tc>
          <w:tcPr>
            <w:tcW w:w="1400" w:type="dxa"/>
            <w:tcBorders>
              <w:bottom w:val="single" w:sz="8" w:space="0" w:color="000000"/>
            </w:tcBorders>
            <w:shd w:val="clear" w:color="auto" w:fill="CCEDFF"/>
          </w:tcPr>
          <w:p>
            <w:pPr>
              <w:pStyle w:val="TableParagraph"/>
              <w:spacing w:before="20"/>
              <w:ind w:right="76"/>
              <w:jc w:val="right"/>
              <w:rPr>
                <w:sz w:val="20"/>
              </w:rPr>
            </w:pPr>
            <w:r>
              <w:rPr>
                <w:spacing w:val="-2"/>
                <w:sz w:val="20"/>
              </w:rPr>
              <w:t>68,649</w:t>
            </w:r>
          </w:p>
        </w:tc>
      </w:tr>
      <w:tr>
        <w:trPr>
          <w:trHeight w:val="280" w:hRule="atLeast"/>
        </w:trPr>
        <w:tc>
          <w:tcPr>
            <w:tcW w:w="7400" w:type="dxa"/>
          </w:tcPr>
          <w:p>
            <w:pPr>
              <w:pStyle w:val="TableParagraph"/>
              <w:tabs>
                <w:tab w:pos="6052" w:val="left" w:leader="none"/>
              </w:tabs>
              <w:spacing w:before="10"/>
              <w:ind w:right="136"/>
              <w:jc w:val="right"/>
              <w:rPr>
                <w:sz w:val="20"/>
              </w:rPr>
            </w:pPr>
            <w:r>
              <w:rPr>
                <w:sz w:val="20"/>
              </w:rPr>
              <w:t>Total</w:t>
            </w:r>
            <w:r>
              <w:rPr>
                <w:spacing w:val="-4"/>
                <w:sz w:val="20"/>
              </w:rPr>
              <w:t> </w:t>
            </w:r>
            <w:r>
              <w:rPr>
                <w:sz w:val="20"/>
              </w:rPr>
              <w:t>operating</w:t>
            </w:r>
            <w:r>
              <w:rPr>
                <w:spacing w:val="-3"/>
                <w:sz w:val="20"/>
              </w:rPr>
              <w:t> </w:t>
            </w:r>
            <w:r>
              <w:rPr>
                <w:spacing w:val="-2"/>
                <w:sz w:val="20"/>
              </w:rPr>
              <w:t>expenses</w:t>
            </w:r>
            <w:r>
              <w:rPr>
                <w:sz w:val="20"/>
              </w:rPr>
              <w:tab/>
            </w:r>
            <w:r>
              <w:rPr>
                <w:spacing w:val="-2"/>
                <w:sz w:val="20"/>
              </w:rPr>
              <w:t>4,122,919</w:t>
            </w:r>
          </w:p>
        </w:tc>
        <w:tc>
          <w:tcPr>
            <w:tcW w:w="1440" w:type="dxa"/>
            <w:tcBorders>
              <w:top w:val="single" w:sz="8" w:space="0" w:color="000000"/>
              <w:bottom w:val="single" w:sz="8" w:space="0" w:color="000000"/>
            </w:tcBorders>
          </w:tcPr>
          <w:p>
            <w:pPr>
              <w:pStyle w:val="TableParagraph"/>
              <w:spacing w:before="10"/>
              <w:ind w:right="136"/>
              <w:jc w:val="right"/>
              <w:rPr>
                <w:sz w:val="20"/>
              </w:rPr>
            </w:pPr>
            <w:r>
              <w:rPr>
                <w:spacing w:val="-2"/>
                <w:sz w:val="20"/>
              </w:rPr>
              <w:t>3,540,920</w:t>
            </w:r>
          </w:p>
        </w:tc>
        <w:tc>
          <w:tcPr>
            <w:tcW w:w="1400" w:type="dxa"/>
            <w:tcBorders>
              <w:top w:val="single" w:sz="8" w:space="0" w:color="000000"/>
              <w:bottom w:val="single" w:sz="8" w:space="0" w:color="000000"/>
            </w:tcBorders>
          </w:tcPr>
          <w:p>
            <w:pPr>
              <w:pStyle w:val="TableParagraph"/>
              <w:spacing w:before="10"/>
              <w:ind w:right="76"/>
              <w:jc w:val="right"/>
              <w:rPr>
                <w:sz w:val="20"/>
              </w:rPr>
            </w:pPr>
            <w:r>
              <w:rPr>
                <w:spacing w:val="-2"/>
                <w:sz w:val="20"/>
              </w:rPr>
              <w:t>3,148,099</w:t>
            </w:r>
          </w:p>
        </w:tc>
      </w:tr>
      <w:tr>
        <w:trPr>
          <w:trHeight w:val="490" w:hRule="atLeast"/>
        </w:trPr>
        <w:tc>
          <w:tcPr>
            <w:tcW w:w="7400" w:type="dxa"/>
            <w:shd w:val="clear" w:color="auto" w:fill="CCEDFF"/>
          </w:tcPr>
          <w:p>
            <w:pPr>
              <w:pStyle w:val="TableParagraph"/>
              <w:tabs>
                <w:tab w:pos="6462" w:val="left" w:leader="none"/>
              </w:tabs>
              <w:spacing w:before="210"/>
              <w:ind w:left="50"/>
              <w:rPr>
                <w:sz w:val="20"/>
              </w:rPr>
            </w:pPr>
            <w:r>
              <w:rPr>
                <w:sz w:val="20"/>
              </w:rPr>
              <w:t>Operating </w:t>
            </w:r>
            <w:r>
              <w:rPr>
                <w:spacing w:val="-2"/>
                <w:sz w:val="20"/>
              </w:rPr>
              <w:t>income</w:t>
            </w:r>
            <w:r>
              <w:rPr>
                <w:sz w:val="20"/>
              </w:rPr>
              <w:tab/>
            </w:r>
            <w:r>
              <w:rPr>
                <w:spacing w:val="-2"/>
                <w:sz w:val="20"/>
              </w:rPr>
              <w:t>2,168,095</w:t>
            </w:r>
          </w:p>
        </w:tc>
        <w:tc>
          <w:tcPr>
            <w:tcW w:w="1440" w:type="dxa"/>
            <w:tcBorders>
              <w:top w:val="single" w:sz="8" w:space="0" w:color="000000"/>
            </w:tcBorders>
            <w:shd w:val="clear" w:color="auto" w:fill="CCEDFF"/>
          </w:tcPr>
          <w:p>
            <w:pPr>
              <w:pStyle w:val="TableParagraph"/>
              <w:spacing w:before="210"/>
              <w:ind w:right="136"/>
              <w:jc w:val="right"/>
              <w:rPr>
                <w:sz w:val="20"/>
              </w:rPr>
            </w:pPr>
            <w:r>
              <w:rPr>
                <w:spacing w:val="-2"/>
                <w:sz w:val="20"/>
              </w:rPr>
              <w:t>1,493,602</w:t>
            </w:r>
          </w:p>
        </w:tc>
        <w:tc>
          <w:tcPr>
            <w:tcW w:w="1400" w:type="dxa"/>
            <w:tcBorders>
              <w:top w:val="single" w:sz="8" w:space="0" w:color="000000"/>
            </w:tcBorders>
            <w:shd w:val="clear" w:color="auto" w:fill="CCEDFF"/>
          </w:tcPr>
          <w:p>
            <w:pPr>
              <w:pStyle w:val="TableParagraph"/>
              <w:spacing w:before="210"/>
              <w:ind w:right="76"/>
              <w:jc w:val="right"/>
              <w:rPr>
                <w:sz w:val="20"/>
              </w:rPr>
            </w:pPr>
            <w:r>
              <w:rPr>
                <w:spacing w:val="-2"/>
                <w:sz w:val="20"/>
              </w:rPr>
              <w:t>903,095</w:t>
            </w:r>
          </w:p>
        </w:tc>
      </w:tr>
      <w:tr>
        <w:trPr>
          <w:trHeight w:val="500" w:hRule="atLeast"/>
        </w:trPr>
        <w:tc>
          <w:tcPr>
            <w:tcW w:w="7400" w:type="dxa"/>
          </w:tcPr>
          <w:p>
            <w:pPr>
              <w:pStyle w:val="TableParagraph"/>
              <w:spacing w:before="220"/>
              <w:ind w:left="50"/>
              <w:rPr>
                <w:sz w:val="20"/>
              </w:rPr>
            </w:pPr>
            <w:r>
              <w:rPr>
                <w:sz w:val="20"/>
              </w:rPr>
              <w:t>Non-operating income </w:t>
            </w:r>
            <w:r>
              <w:rPr>
                <w:spacing w:val="-2"/>
                <w:sz w:val="20"/>
              </w:rPr>
              <w:t>(expense):</w:t>
            </w:r>
          </w:p>
        </w:tc>
        <w:tc>
          <w:tcPr>
            <w:tcW w:w="1440" w:type="dxa"/>
          </w:tcPr>
          <w:p>
            <w:pPr>
              <w:pStyle w:val="TableParagraph"/>
              <w:rPr>
                <w:sz w:val="18"/>
              </w:rPr>
            </w:pPr>
          </w:p>
        </w:tc>
        <w:tc>
          <w:tcPr>
            <w:tcW w:w="1400" w:type="dxa"/>
          </w:tcPr>
          <w:p>
            <w:pPr>
              <w:pStyle w:val="TableParagraph"/>
              <w:rPr>
                <w:sz w:val="18"/>
              </w:rPr>
            </w:pPr>
          </w:p>
        </w:tc>
      </w:tr>
      <w:tr>
        <w:trPr>
          <w:trHeight w:val="300" w:hRule="atLeast"/>
        </w:trPr>
        <w:tc>
          <w:tcPr>
            <w:tcW w:w="7400" w:type="dxa"/>
            <w:shd w:val="clear" w:color="auto" w:fill="CCEDFF"/>
          </w:tcPr>
          <w:p>
            <w:pPr>
              <w:pStyle w:val="TableParagraph"/>
              <w:tabs>
                <w:tab w:pos="6542" w:val="left" w:leader="none"/>
              </w:tabs>
              <w:spacing w:before="20"/>
              <w:ind w:right="136"/>
              <w:jc w:val="right"/>
              <w:rPr>
                <w:sz w:val="20"/>
              </w:rPr>
            </w:pPr>
            <w:r>
              <w:rPr>
                <w:sz w:val="20"/>
              </w:rPr>
              <w:t>Interest and other income (expense), </w:t>
            </w:r>
            <w:r>
              <w:rPr>
                <w:spacing w:val="-5"/>
                <w:sz w:val="20"/>
              </w:rPr>
              <w:t>net</w:t>
            </w:r>
            <w:r>
              <w:rPr>
                <w:sz w:val="20"/>
              </w:rPr>
              <w:tab/>
            </w:r>
            <w:r>
              <w:rPr>
                <w:spacing w:val="-2"/>
                <w:sz w:val="20"/>
              </w:rPr>
              <w:t>36,395</w:t>
            </w:r>
          </w:p>
        </w:tc>
        <w:tc>
          <w:tcPr>
            <w:tcW w:w="1440" w:type="dxa"/>
            <w:shd w:val="clear" w:color="auto" w:fill="CCEDFF"/>
          </w:tcPr>
          <w:p>
            <w:pPr>
              <w:pStyle w:val="TableParagraph"/>
              <w:spacing w:before="20"/>
              <w:ind w:right="136"/>
              <w:jc w:val="right"/>
              <w:rPr>
                <w:sz w:val="20"/>
              </w:rPr>
            </w:pPr>
            <w:r>
              <w:rPr>
                <w:spacing w:val="-2"/>
                <w:sz w:val="20"/>
              </w:rPr>
              <w:t>13,548</w:t>
            </w:r>
          </w:p>
        </w:tc>
        <w:tc>
          <w:tcPr>
            <w:tcW w:w="1400" w:type="dxa"/>
            <w:shd w:val="clear" w:color="auto" w:fill="CCEDFF"/>
          </w:tcPr>
          <w:p>
            <w:pPr>
              <w:pStyle w:val="TableParagraph"/>
              <w:spacing w:before="20"/>
              <w:ind w:right="76"/>
              <w:jc w:val="right"/>
              <w:rPr>
                <w:sz w:val="20"/>
              </w:rPr>
            </w:pPr>
            <w:r>
              <w:rPr>
                <w:spacing w:val="-2"/>
                <w:sz w:val="20"/>
              </w:rPr>
              <w:t>33,909</w:t>
            </w:r>
          </w:p>
        </w:tc>
      </w:tr>
      <w:tr>
        <w:trPr>
          <w:trHeight w:val="300" w:hRule="atLeast"/>
        </w:trPr>
        <w:tc>
          <w:tcPr>
            <w:tcW w:w="7400" w:type="dxa"/>
          </w:tcPr>
          <w:p>
            <w:pPr>
              <w:pStyle w:val="TableParagraph"/>
              <w:tabs>
                <w:tab w:pos="6475" w:val="left" w:leader="none"/>
              </w:tabs>
              <w:spacing w:before="20"/>
              <w:ind w:right="68"/>
              <w:jc w:val="right"/>
              <w:rPr>
                <w:sz w:val="20"/>
              </w:rPr>
            </w:pPr>
            <w:r>
              <w:rPr>
                <w:sz w:val="20"/>
              </w:rPr>
              <w:t>Interest </w:t>
            </w:r>
            <w:r>
              <w:rPr>
                <w:spacing w:val="-2"/>
                <w:sz w:val="20"/>
              </w:rPr>
              <w:t>expense</w:t>
            </w:r>
            <w:r>
              <w:rPr>
                <w:sz w:val="20"/>
              </w:rPr>
              <w:tab/>
            </w:r>
            <w:r>
              <w:rPr>
                <w:spacing w:val="-2"/>
                <w:sz w:val="20"/>
              </w:rPr>
              <w:t>(74,402)</w:t>
            </w:r>
          </w:p>
        </w:tc>
        <w:tc>
          <w:tcPr>
            <w:tcW w:w="1440" w:type="dxa"/>
          </w:tcPr>
          <w:p>
            <w:pPr>
              <w:pStyle w:val="TableParagraph"/>
              <w:spacing w:before="20"/>
              <w:ind w:right="68"/>
              <w:jc w:val="right"/>
              <w:rPr>
                <w:sz w:val="20"/>
              </w:rPr>
            </w:pPr>
            <w:r>
              <w:rPr>
                <w:spacing w:val="-2"/>
                <w:sz w:val="20"/>
              </w:rPr>
              <w:t>(70,442)</w:t>
            </w:r>
          </w:p>
        </w:tc>
        <w:tc>
          <w:tcPr>
            <w:tcW w:w="1400" w:type="dxa"/>
          </w:tcPr>
          <w:p>
            <w:pPr>
              <w:pStyle w:val="TableParagraph"/>
              <w:spacing w:before="20"/>
              <w:ind w:right="8"/>
              <w:jc w:val="right"/>
              <w:rPr>
                <w:sz w:val="20"/>
              </w:rPr>
            </w:pPr>
            <w:r>
              <w:rPr>
                <w:spacing w:val="-2"/>
                <w:sz w:val="20"/>
              </w:rPr>
              <w:t>(64,184)</w:t>
            </w:r>
          </w:p>
        </w:tc>
      </w:tr>
      <w:tr>
        <w:trPr>
          <w:trHeight w:val="290" w:hRule="atLeast"/>
        </w:trPr>
        <w:tc>
          <w:tcPr>
            <w:tcW w:w="7400" w:type="dxa"/>
            <w:shd w:val="clear" w:color="auto" w:fill="CCEDFF"/>
          </w:tcPr>
          <w:p>
            <w:pPr>
              <w:pStyle w:val="TableParagraph"/>
              <w:tabs>
                <w:tab w:pos="6642" w:val="left" w:leader="none"/>
              </w:tabs>
              <w:spacing w:before="20"/>
              <w:ind w:right="136"/>
              <w:jc w:val="right"/>
              <w:rPr>
                <w:sz w:val="20"/>
              </w:rPr>
            </w:pPr>
            <w:r>
              <w:rPr>
                <w:sz w:val="20"/>
              </w:rPr>
              <w:t>Investment</w:t>
            </w:r>
            <w:r>
              <w:rPr>
                <w:spacing w:val="-4"/>
                <w:sz w:val="20"/>
              </w:rPr>
              <w:t> </w:t>
            </w:r>
            <w:r>
              <w:rPr>
                <w:sz w:val="20"/>
              </w:rPr>
              <w:t>gains</w:t>
            </w:r>
            <w:r>
              <w:rPr>
                <w:spacing w:val="-2"/>
                <w:sz w:val="20"/>
              </w:rPr>
              <w:t> </w:t>
            </w:r>
            <w:r>
              <w:rPr>
                <w:sz w:val="20"/>
              </w:rPr>
              <w:t>(losses),</w:t>
            </w:r>
            <w:r>
              <w:rPr>
                <w:spacing w:val="-1"/>
                <w:sz w:val="20"/>
              </w:rPr>
              <w:t> </w:t>
            </w:r>
            <w:r>
              <w:rPr>
                <w:spacing w:val="-5"/>
                <w:sz w:val="20"/>
              </w:rPr>
              <w:t>net</w:t>
            </w:r>
            <w:r>
              <w:rPr>
                <w:sz w:val="20"/>
              </w:rPr>
              <w:tab/>
            </w:r>
            <w:r>
              <w:rPr>
                <w:spacing w:val="-2"/>
                <w:sz w:val="20"/>
              </w:rPr>
              <w:t>7,553</w:t>
            </w:r>
          </w:p>
        </w:tc>
        <w:tc>
          <w:tcPr>
            <w:tcW w:w="1440" w:type="dxa"/>
            <w:tcBorders>
              <w:bottom w:val="single" w:sz="8" w:space="0" w:color="000000"/>
            </w:tcBorders>
            <w:shd w:val="clear" w:color="auto" w:fill="CCEDFF"/>
          </w:tcPr>
          <w:p>
            <w:pPr>
              <w:pStyle w:val="TableParagraph"/>
              <w:spacing w:before="20"/>
              <w:ind w:right="68"/>
              <w:jc w:val="right"/>
              <w:rPr>
                <w:sz w:val="20"/>
              </w:rPr>
            </w:pPr>
            <w:r>
              <w:rPr>
                <w:spacing w:val="-2"/>
                <w:sz w:val="20"/>
              </w:rPr>
              <w:t>(1,570)</w:t>
            </w:r>
          </w:p>
        </w:tc>
        <w:tc>
          <w:tcPr>
            <w:tcW w:w="1400" w:type="dxa"/>
            <w:tcBorders>
              <w:bottom w:val="single" w:sz="8" w:space="0" w:color="000000"/>
            </w:tcBorders>
            <w:shd w:val="clear" w:color="auto" w:fill="CCEDFF"/>
          </w:tcPr>
          <w:p>
            <w:pPr>
              <w:pStyle w:val="TableParagraph"/>
              <w:spacing w:before="20"/>
              <w:ind w:right="76"/>
              <w:jc w:val="right"/>
              <w:rPr>
                <w:sz w:val="20"/>
              </w:rPr>
            </w:pPr>
            <w:r>
              <w:rPr>
                <w:spacing w:val="-5"/>
                <w:sz w:val="20"/>
              </w:rPr>
              <w:t>961</w:t>
            </w:r>
          </w:p>
        </w:tc>
      </w:tr>
      <w:tr>
        <w:trPr>
          <w:trHeight w:val="280" w:hRule="atLeast"/>
        </w:trPr>
        <w:tc>
          <w:tcPr>
            <w:tcW w:w="7400" w:type="dxa"/>
          </w:tcPr>
          <w:p>
            <w:pPr>
              <w:pStyle w:val="TableParagraph"/>
              <w:tabs>
                <w:tab w:pos="6235" w:val="left" w:leader="none"/>
              </w:tabs>
              <w:spacing w:before="10"/>
              <w:ind w:right="68"/>
              <w:jc w:val="right"/>
              <w:rPr>
                <w:sz w:val="20"/>
              </w:rPr>
            </w:pPr>
            <w:r>
              <w:rPr>
                <w:sz w:val="20"/>
              </w:rPr>
              <w:t>Total</w:t>
            </w:r>
            <w:r>
              <w:rPr>
                <w:spacing w:val="-4"/>
                <w:sz w:val="20"/>
              </w:rPr>
              <w:t> </w:t>
            </w:r>
            <w:r>
              <w:rPr>
                <w:sz w:val="20"/>
              </w:rPr>
              <w:t>non-operating</w:t>
            </w:r>
            <w:r>
              <w:rPr>
                <w:spacing w:val="-3"/>
                <w:sz w:val="20"/>
              </w:rPr>
              <w:t> </w:t>
            </w:r>
            <w:r>
              <w:rPr>
                <w:sz w:val="20"/>
              </w:rPr>
              <w:t>income</w:t>
            </w:r>
            <w:r>
              <w:rPr>
                <w:spacing w:val="-4"/>
                <w:sz w:val="20"/>
              </w:rPr>
              <w:t> </w:t>
            </w:r>
            <w:r>
              <w:rPr>
                <w:sz w:val="20"/>
              </w:rPr>
              <w:t>(expense),</w:t>
            </w:r>
            <w:r>
              <w:rPr>
                <w:spacing w:val="-3"/>
                <w:sz w:val="20"/>
              </w:rPr>
              <w:t> </w:t>
            </w:r>
            <w:r>
              <w:rPr>
                <w:spacing w:val="-5"/>
                <w:sz w:val="20"/>
              </w:rPr>
              <w:t>net</w:t>
            </w:r>
            <w:r>
              <w:rPr>
                <w:sz w:val="20"/>
              </w:rPr>
              <w:tab/>
            </w:r>
            <w:r>
              <w:rPr>
                <w:spacing w:val="-2"/>
                <w:sz w:val="20"/>
              </w:rPr>
              <w:t>(30,454)</w:t>
            </w:r>
          </w:p>
        </w:tc>
        <w:tc>
          <w:tcPr>
            <w:tcW w:w="1440" w:type="dxa"/>
            <w:tcBorders>
              <w:top w:val="single" w:sz="8" w:space="0" w:color="000000"/>
              <w:bottom w:val="single" w:sz="8" w:space="0" w:color="000000"/>
            </w:tcBorders>
          </w:tcPr>
          <w:p>
            <w:pPr>
              <w:pStyle w:val="TableParagraph"/>
              <w:spacing w:before="10"/>
              <w:ind w:right="68"/>
              <w:jc w:val="right"/>
              <w:rPr>
                <w:sz w:val="20"/>
              </w:rPr>
            </w:pPr>
            <w:r>
              <w:rPr>
                <w:spacing w:val="-2"/>
                <w:sz w:val="20"/>
              </w:rPr>
              <w:t>(58,464)</w:t>
            </w:r>
          </w:p>
        </w:tc>
        <w:tc>
          <w:tcPr>
            <w:tcW w:w="1400" w:type="dxa"/>
            <w:tcBorders>
              <w:top w:val="single" w:sz="8" w:space="0" w:color="000000"/>
              <w:bottom w:val="single" w:sz="8" w:space="0" w:color="000000"/>
            </w:tcBorders>
          </w:tcPr>
          <w:p>
            <w:pPr>
              <w:pStyle w:val="TableParagraph"/>
              <w:spacing w:before="10"/>
              <w:ind w:right="8"/>
              <w:jc w:val="right"/>
              <w:rPr>
                <w:sz w:val="20"/>
              </w:rPr>
            </w:pPr>
            <w:r>
              <w:rPr>
                <w:spacing w:val="-2"/>
                <w:sz w:val="20"/>
              </w:rPr>
              <w:t>(29,314)</w:t>
            </w:r>
          </w:p>
        </w:tc>
      </w:tr>
      <w:tr>
        <w:trPr>
          <w:trHeight w:val="290" w:hRule="atLeast"/>
        </w:trPr>
        <w:tc>
          <w:tcPr>
            <w:tcW w:w="7400" w:type="dxa"/>
            <w:shd w:val="clear" w:color="auto" w:fill="CCEDFF"/>
          </w:tcPr>
          <w:p>
            <w:pPr>
              <w:pStyle w:val="TableParagraph"/>
              <w:tabs>
                <w:tab w:pos="6462" w:val="left" w:leader="none"/>
              </w:tabs>
              <w:spacing w:before="10"/>
              <w:ind w:left="50"/>
              <w:rPr>
                <w:sz w:val="20"/>
              </w:rPr>
            </w:pPr>
            <w:r>
              <w:rPr>
                <w:sz w:val="20"/>
              </w:rPr>
              <w:t>Income before income </w:t>
            </w:r>
            <w:r>
              <w:rPr>
                <w:spacing w:val="-2"/>
                <w:sz w:val="20"/>
              </w:rPr>
              <w:t>taxes</w:t>
            </w:r>
            <w:r>
              <w:rPr>
                <w:sz w:val="20"/>
              </w:rPr>
              <w:tab/>
            </w:r>
            <w:r>
              <w:rPr>
                <w:spacing w:val="-2"/>
                <w:sz w:val="20"/>
              </w:rPr>
              <w:t>2,137,641</w:t>
            </w:r>
          </w:p>
        </w:tc>
        <w:tc>
          <w:tcPr>
            <w:tcW w:w="1440" w:type="dxa"/>
            <w:tcBorders>
              <w:top w:val="single" w:sz="8" w:space="0" w:color="000000"/>
            </w:tcBorders>
            <w:shd w:val="clear" w:color="auto" w:fill="CCEDFF"/>
          </w:tcPr>
          <w:p>
            <w:pPr>
              <w:pStyle w:val="TableParagraph"/>
              <w:spacing w:before="10"/>
              <w:ind w:right="136"/>
              <w:jc w:val="right"/>
              <w:rPr>
                <w:sz w:val="20"/>
              </w:rPr>
            </w:pPr>
            <w:r>
              <w:rPr>
                <w:spacing w:val="-2"/>
                <w:sz w:val="20"/>
              </w:rPr>
              <w:t>1,435,138</w:t>
            </w:r>
          </w:p>
        </w:tc>
        <w:tc>
          <w:tcPr>
            <w:tcW w:w="1400" w:type="dxa"/>
            <w:tcBorders>
              <w:top w:val="single" w:sz="8" w:space="0" w:color="000000"/>
            </w:tcBorders>
            <w:shd w:val="clear" w:color="auto" w:fill="CCEDFF"/>
          </w:tcPr>
          <w:p>
            <w:pPr>
              <w:pStyle w:val="TableParagraph"/>
              <w:spacing w:before="10"/>
              <w:ind w:right="76"/>
              <w:jc w:val="right"/>
              <w:rPr>
                <w:sz w:val="20"/>
              </w:rPr>
            </w:pPr>
            <w:r>
              <w:rPr>
                <w:spacing w:val="-2"/>
                <w:sz w:val="20"/>
              </w:rPr>
              <w:t>873,781</w:t>
            </w:r>
          </w:p>
        </w:tc>
      </w:tr>
      <w:tr>
        <w:trPr>
          <w:trHeight w:val="290" w:hRule="atLeast"/>
        </w:trPr>
        <w:tc>
          <w:tcPr>
            <w:tcW w:w="7400" w:type="dxa"/>
          </w:tcPr>
          <w:p>
            <w:pPr>
              <w:pStyle w:val="TableParagraph"/>
              <w:tabs>
                <w:tab w:pos="6612" w:val="left" w:leader="none"/>
              </w:tabs>
              <w:spacing w:before="20"/>
              <w:ind w:left="50"/>
              <w:rPr>
                <w:sz w:val="20"/>
              </w:rPr>
            </w:pPr>
            <w:r>
              <w:rPr>
                <w:sz w:val="20"/>
              </w:rPr>
              <w:t>Provision for income </w:t>
            </w:r>
            <w:r>
              <w:rPr>
                <w:spacing w:val="-2"/>
                <w:sz w:val="20"/>
              </w:rPr>
              <w:t>taxes</w:t>
            </w:r>
            <w:r>
              <w:rPr>
                <w:sz w:val="20"/>
              </w:rPr>
              <w:tab/>
            </w:r>
            <w:r>
              <w:rPr>
                <w:spacing w:val="-2"/>
                <w:sz w:val="20"/>
              </w:rPr>
              <w:t>443,687</w:t>
            </w:r>
          </w:p>
        </w:tc>
        <w:tc>
          <w:tcPr>
            <w:tcW w:w="1440" w:type="dxa"/>
            <w:tcBorders>
              <w:bottom w:val="single" w:sz="8" w:space="0" w:color="000000"/>
            </w:tcBorders>
          </w:tcPr>
          <w:p>
            <w:pPr>
              <w:pStyle w:val="TableParagraph"/>
              <w:spacing w:before="20"/>
              <w:ind w:right="136"/>
              <w:jc w:val="right"/>
              <w:rPr>
                <w:sz w:val="20"/>
              </w:rPr>
            </w:pPr>
            <w:r>
              <w:rPr>
                <w:spacing w:val="-2"/>
                <w:sz w:val="20"/>
              </w:rPr>
              <w:t>266,356</w:t>
            </w:r>
          </w:p>
        </w:tc>
        <w:tc>
          <w:tcPr>
            <w:tcW w:w="1400" w:type="dxa"/>
            <w:tcBorders>
              <w:bottom w:val="single" w:sz="8" w:space="0" w:color="000000"/>
            </w:tcBorders>
          </w:tcPr>
          <w:p>
            <w:pPr>
              <w:pStyle w:val="TableParagraph"/>
              <w:spacing w:before="20"/>
              <w:ind w:right="76"/>
              <w:jc w:val="right"/>
              <w:rPr>
                <w:sz w:val="20"/>
              </w:rPr>
            </w:pPr>
            <w:r>
              <w:rPr>
                <w:spacing w:val="-2"/>
                <w:sz w:val="20"/>
              </w:rPr>
              <w:t>244,230</w:t>
            </w:r>
          </w:p>
        </w:tc>
      </w:tr>
      <w:tr>
        <w:trPr>
          <w:trHeight w:val="240" w:hRule="atLeast"/>
        </w:trPr>
        <w:tc>
          <w:tcPr>
            <w:tcW w:w="7400" w:type="dxa"/>
            <w:shd w:val="clear" w:color="auto" w:fill="CCEDFF"/>
          </w:tcPr>
          <w:p>
            <w:pPr>
              <w:pStyle w:val="TableParagraph"/>
              <w:tabs>
                <w:tab w:pos="6029" w:val="left" w:leader="none"/>
                <w:tab w:pos="6462" w:val="left" w:leader="none"/>
              </w:tabs>
              <w:spacing w:line="210" w:lineRule="exact" w:before="10"/>
              <w:ind w:left="50"/>
              <w:rPr>
                <w:sz w:val="20"/>
              </w:rPr>
            </w:pPr>
            <w:r>
              <w:rPr>
                <w:sz w:val="20"/>
              </w:rPr>
              <w:t>Net </w:t>
            </w:r>
            <w:r>
              <w:rPr>
                <w:spacing w:val="-2"/>
                <w:sz w:val="20"/>
              </w:rPr>
              <w:t>income</w:t>
            </w:r>
            <w:r>
              <w:rPr>
                <w:sz w:val="20"/>
              </w:rPr>
              <w:tab/>
            </w:r>
            <w:r>
              <w:rPr>
                <w:spacing w:val="-10"/>
                <w:sz w:val="20"/>
              </w:rPr>
              <w:t>$</w:t>
            </w:r>
            <w:r>
              <w:rPr>
                <w:sz w:val="20"/>
              </w:rPr>
              <w:tab/>
            </w:r>
            <w:r>
              <w:rPr>
                <w:spacing w:val="-2"/>
                <w:sz w:val="20"/>
              </w:rPr>
              <w:t>1,693,954</w:t>
            </w:r>
          </w:p>
        </w:tc>
        <w:tc>
          <w:tcPr>
            <w:tcW w:w="1440" w:type="dxa"/>
            <w:tcBorders>
              <w:top w:val="single" w:sz="8" w:space="0" w:color="000000"/>
              <w:bottom w:val="double" w:sz="8" w:space="0" w:color="000000"/>
            </w:tcBorders>
            <w:shd w:val="clear" w:color="auto" w:fill="CCEDFF"/>
          </w:tcPr>
          <w:p>
            <w:pPr>
              <w:pStyle w:val="TableParagraph"/>
              <w:tabs>
                <w:tab w:pos="432" w:val="left" w:leader="none"/>
              </w:tabs>
              <w:spacing w:line="210" w:lineRule="exact" w:before="10"/>
              <w:ind w:right="136"/>
              <w:jc w:val="right"/>
              <w:rPr>
                <w:sz w:val="20"/>
              </w:rPr>
            </w:pPr>
            <w:r>
              <w:rPr>
                <w:spacing w:val="-10"/>
                <w:sz w:val="20"/>
              </w:rPr>
              <w:t>$</w:t>
            </w:r>
            <w:r>
              <w:rPr>
                <w:sz w:val="20"/>
              </w:rPr>
              <w:tab/>
            </w:r>
            <w:r>
              <w:rPr>
                <w:spacing w:val="-2"/>
                <w:sz w:val="20"/>
              </w:rPr>
              <w:t>1,168,782</w:t>
            </w:r>
          </w:p>
        </w:tc>
        <w:tc>
          <w:tcPr>
            <w:tcW w:w="1400" w:type="dxa"/>
            <w:tcBorders>
              <w:top w:val="single" w:sz="8" w:space="0" w:color="000000"/>
              <w:bottom w:val="double" w:sz="8" w:space="0" w:color="000000"/>
            </w:tcBorders>
            <w:shd w:val="clear" w:color="auto" w:fill="CCEDFF"/>
          </w:tcPr>
          <w:p>
            <w:pPr>
              <w:pStyle w:val="TableParagraph"/>
              <w:tabs>
                <w:tab w:pos="672" w:val="left" w:leader="none"/>
              </w:tabs>
              <w:spacing w:line="210" w:lineRule="exact" w:before="10"/>
              <w:ind w:left="70"/>
              <w:rPr>
                <w:sz w:val="20"/>
              </w:rPr>
            </w:pPr>
            <w:r>
              <w:rPr>
                <w:spacing w:val="-10"/>
                <w:sz w:val="20"/>
              </w:rPr>
              <w:t>$</w:t>
            </w:r>
            <w:r>
              <w:rPr>
                <w:sz w:val="20"/>
              </w:rPr>
              <w:tab/>
            </w:r>
            <w:r>
              <w:rPr>
                <w:spacing w:val="-2"/>
                <w:sz w:val="20"/>
              </w:rPr>
              <w:t>629,551</w:t>
            </w:r>
          </w:p>
        </w:tc>
      </w:tr>
      <w:tr>
        <w:trPr>
          <w:trHeight w:val="280" w:hRule="atLeast"/>
        </w:trPr>
        <w:tc>
          <w:tcPr>
            <w:tcW w:w="7400" w:type="dxa"/>
          </w:tcPr>
          <w:p>
            <w:pPr>
              <w:pStyle w:val="TableParagraph"/>
              <w:tabs>
                <w:tab w:pos="6029" w:val="left" w:leader="none"/>
                <w:tab w:pos="7262" w:val="right" w:leader="none"/>
              </w:tabs>
              <w:spacing w:before="10"/>
              <w:ind w:left="50"/>
              <w:rPr>
                <w:sz w:val="20"/>
              </w:rPr>
            </w:pPr>
            <w:r>
              <w:rPr>
                <w:sz w:val="20"/>
              </w:rPr>
              <w:t>Basic net income per </w:t>
            </w:r>
            <w:r>
              <w:rPr>
                <w:spacing w:val="-2"/>
                <w:sz w:val="20"/>
              </w:rPr>
              <w:t>share</w:t>
            </w:r>
            <w:r>
              <w:rPr>
                <w:sz w:val="20"/>
              </w:rPr>
              <w:tab/>
            </w:r>
            <w:r>
              <w:rPr>
                <w:spacing w:val="-10"/>
                <w:sz w:val="20"/>
              </w:rPr>
              <w:t>$</w:t>
            </w:r>
            <w:r>
              <w:rPr>
                <w:sz w:val="20"/>
              </w:rPr>
              <w:tab/>
            </w:r>
            <w:r>
              <w:rPr>
                <w:spacing w:val="-4"/>
                <w:sz w:val="20"/>
              </w:rPr>
              <w:t>3.43</w:t>
            </w:r>
          </w:p>
        </w:tc>
        <w:tc>
          <w:tcPr>
            <w:tcW w:w="1440" w:type="dxa"/>
            <w:tcBorders>
              <w:top w:val="double" w:sz="8" w:space="0" w:color="000000"/>
              <w:bottom w:val="double" w:sz="8" w:space="0" w:color="000000"/>
            </w:tcBorders>
          </w:tcPr>
          <w:p>
            <w:pPr>
              <w:pStyle w:val="TableParagraph"/>
              <w:tabs>
                <w:tab w:pos="882" w:val="left" w:leader="none"/>
              </w:tabs>
              <w:spacing w:before="10"/>
              <w:ind w:right="136"/>
              <w:jc w:val="right"/>
              <w:rPr>
                <w:sz w:val="20"/>
              </w:rPr>
            </w:pPr>
            <w:r>
              <w:rPr>
                <w:spacing w:val="-10"/>
                <w:sz w:val="20"/>
              </w:rPr>
              <w:t>$</w:t>
            </w:r>
            <w:r>
              <w:rPr>
                <w:sz w:val="20"/>
              </w:rPr>
              <w:tab/>
            </w:r>
            <w:r>
              <w:rPr>
                <w:spacing w:val="-4"/>
                <w:sz w:val="20"/>
              </w:rPr>
              <w:t>2.35</w:t>
            </w:r>
          </w:p>
        </w:tc>
        <w:tc>
          <w:tcPr>
            <w:tcW w:w="1400" w:type="dxa"/>
            <w:tcBorders>
              <w:top w:val="double" w:sz="8" w:space="0" w:color="000000"/>
              <w:bottom w:val="double" w:sz="8" w:space="0" w:color="000000"/>
            </w:tcBorders>
          </w:tcPr>
          <w:p>
            <w:pPr>
              <w:pStyle w:val="TableParagraph"/>
              <w:tabs>
                <w:tab w:pos="972" w:val="left" w:leader="none"/>
              </w:tabs>
              <w:spacing w:before="10"/>
              <w:ind w:left="70"/>
              <w:rPr>
                <w:sz w:val="20"/>
              </w:rPr>
            </w:pPr>
            <w:r>
              <w:rPr>
                <w:spacing w:val="-10"/>
                <w:sz w:val="20"/>
              </w:rPr>
              <w:t>$</w:t>
            </w:r>
            <w:r>
              <w:rPr>
                <w:sz w:val="20"/>
              </w:rPr>
              <w:tab/>
            </w:r>
            <w:r>
              <w:rPr>
                <w:spacing w:val="-4"/>
                <w:sz w:val="20"/>
              </w:rPr>
              <w:t>1.26</w:t>
            </w:r>
          </w:p>
        </w:tc>
      </w:tr>
      <w:tr>
        <w:trPr>
          <w:trHeight w:val="200" w:hRule="atLeast"/>
        </w:trPr>
        <w:tc>
          <w:tcPr>
            <w:tcW w:w="7400" w:type="dxa"/>
            <w:shd w:val="clear" w:color="auto" w:fill="CCEDFF"/>
          </w:tcPr>
          <w:p>
            <w:pPr>
              <w:pStyle w:val="TableParagraph"/>
              <w:tabs>
                <w:tab w:pos="6612" w:val="left" w:leader="none"/>
              </w:tabs>
              <w:spacing w:line="180" w:lineRule="exact"/>
              <w:ind w:left="50"/>
              <w:rPr>
                <w:sz w:val="20"/>
              </w:rPr>
            </w:pPr>
            <w:r>
              <w:rPr>
                <w:sz w:val="20"/>
              </w:rPr>
              <w:t>Shares</w:t>
            </w:r>
            <w:r>
              <w:rPr>
                <w:spacing w:val="-2"/>
                <w:sz w:val="20"/>
              </w:rPr>
              <w:t> </w:t>
            </w:r>
            <w:r>
              <w:rPr>
                <w:sz w:val="20"/>
              </w:rPr>
              <w:t>used</w:t>
            </w:r>
            <w:r>
              <w:rPr>
                <w:spacing w:val="-1"/>
                <w:sz w:val="20"/>
              </w:rPr>
              <w:t> </w:t>
            </w:r>
            <w:r>
              <w:rPr>
                <w:sz w:val="20"/>
              </w:rPr>
              <w:t>to compute</w:t>
            </w:r>
            <w:r>
              <w:rPr>
                <w:spacing w:val="-1"/>
                <w:sz w:val="20"/>
              </w:rPr>
              <w:t> </w:t>
            </w:r>
            <w:r>
              <w:rPr>
                <w:sz w:val="20"/>
              </w:rPr>
              <w:t>basic</w:t>
            </w:r>
            <w:r>
              <w:rPr>
                <w:spacing w:val="-1"/>
                <w:sz w:val="20"/>
              </w:rPr>
              <w:t> </w:t>
            </w:r>
            <w:r>
              <w:rPr>
                <w:sz w:val="20"/>
              </w:rPr>
              <w:t>net income</w:t>
            </w:r>
            <w:r>
              <w:rPr>
                <w:spacing w:val="-1"/>
                <w:sz w:val="20"/>
              </w:rPr>
              <w:t> </w:t>
            </w:r>
            <w:r>
              <w:rPr>
                <w:sz w:val="20"/>
              </w:rPr>
              <w:t>per </w:t>
            </w:r>
            <w:r>
              <w:rPr>
                <w:spacing w:val="-2"/>
                <w:sz w:val="20"/>
              </w:rPr>
              <w:t>share</w:t>
            </w:r>
            <w:r>
              <w:rPr>
                <w:sz w:val="20"/>
              </w:rPr>
              <w:tab/>
            </w:r>
            <w:r>
              <w:rPr>
                <w:spacing w:val="-2"/>
                <w:sz w:val="20"/>
              </w:rPr>
              <w:t>493,632</w:t>
            </w:r>
          </w:p>
        </w:tc>
        <w:tc>
          <w:tcPr>
            <w:tcW w:w="1440" w:type="dxa"/>
            <w:tcBorders>
              <w:top w:val="double" w:sz="8" w:space="0" w:color="000000"/>
              <w:bottom w:val="double" w:sz="8" w:space="0" w:color="000000"/>
            </w:tcBorders>
            <w:shd w:val="clear" w:color="auto" w:fill="CCEDFF"/>
          </w:tcPr>
          <w:p>
            <w:pPr>
              <w:pStyle w:val="TableParagraph"/>
              <w:spacing w:line="180" w:lineRule="exact"/>
              <w:ind w:right="136"/>
              <w:jc w:val="right"/>
              <w:rPr>
                <w:sz w:val="20"/>
              </w:rPr>
            </w:pPr>
            <w:r>
              <w:rPr>
                <w:spacing w:val="-2"/>
                <w:sz w:val="20"/>
              </w:rPr>
              <w:t>498,345</w:t>
            </w:r>
          </w:p>
        </w:tc>
        <w:tc>
          <w:tcPr>
            <w:tcW w:w="1400" w:type="dxa"/>
            <w:tcBorders>
              <w:top w:val="double" w:sz="8" w:space="0" w:color="000000"/>
              <w:bottom w:val="double" w:sz="8" w:space="0" w:color="000000"/>
            </w:tcBorders>
            <w:shd w:val="clear" w:color="auto" w:fill="CCEDFF"/>
          </w:tcPr>
          <w:p>
            <w:pPr>
              <w:pStyle w:val="TableParagraph"/>
              <w:spacing w:line="180" w:lineRule="exact"/>
              <w:ind w:right="76"/>
              <w:jc w:val="right"/>
              <w:rPr>
                <w:sz w:val="20"/>
              </w:rPr>
            </w:pPr>
            <w:r>
              <w:rPr>
                <w:spacing w:val="-2"/>
                <w:sz w:val="20"/>
              </w:rPr>
              <w:t>498,764</w:t>
            </w:r>
          </w:p>
        </w:tc>
      </w:tr>
      <w:tr>
        <w:trPr>
          <w:trHeight w:val="280" w:hRule="atLeast"/>
        </w:trPr>
        <w:tc>
          <w:tcPr>
            <w:tcW w:w="7400" w:type="dxa"/>
          </w:tcPr>
          <w:p>
            <w:pPr>
              <w:pStyle w:val="TableParagraph"/>
              <w:tabs>
                <w:tab w:pos="6029" w:val="left" w:leader="none"/>
                <w:tab w:pos="7262" w:val="right" w:leader="none"/>
              </w:tabs>
              <w:spacing w:before="10"/>
              <w:ind w:left="50"/>
              <w:rPr>
                <w:sz w:val="20"/>
              </w:rPr>
            </w:pPr>
            <w:r>
              <w:rPr>
                <w:sz w:val="20"/>
              </w:rPr>
              <w:t>Diluted net income per </w:t>
            </w:r>
            <w:r>
              <w:rPr>
                <w:spacing w:val="-2"/>
                <w:sz w:val="20"/>
              </w:rPr>
              <w:t>share</w:t>
            </w:r>
            <w:r>
              <w:rPr>
                <w:sz w:val="20"/>
              </w:rPr>
              <w:tab/>
            </w:r>
            <w:r>
              <w:rPr>
                <w:spacing w:val="-10"/>
                <w:sz w:val="20"/>
              </w:rPr>
              <w:t>$</w:t>
            </w:r>
            <w:r>
              <w:rPr>
                <w:sz w:val="20"/>
              </w:rPr>
              <w:tab/>
            </w:r>
            <w:r>
              <w:rPr>
                <w:spacing w:val="-4"/>
                <w:sz w:val="20"/>
              </w:rPr>
              <w:t>3.38</w:t>
            </w:r>
          </w:p>
        </w:tc>
        <w:tc>
          <w:tcPr>
            <w:tcW w:w="1440" w:type="dxa"/>
            <w:tcBorders>
              <w:top w:val="double" w:sz="8" w:space="0" w:color="000000"/>
              <w:bottom w:val="double" w:sz="8" w:space="0" w:color="000000"/>
            </w:tcBorders>
          </w:tcPr>
          <w:p>
            <w:pPr>
              <w:pStyle w:val="TableParagraph"/>
              <w:tabs>
                <w:tab w:pos="882" w:val="left" w:leader="none"/>
              </w:tabs>
              <w:spacing w:before="10"/>
              <w:ind w:right="136"/>
              <w:jc w:val="right"/>
              <w:rPr>
                <w:sz w:val="20"/>
              </w:rPr>
            </w:pPr>
            <w:r>
              <w:rPr>
                <w:spacing w:val="-10"/>
                <w:sz w:val="20"/>
              </w:rPr>
              <w:t>$</w:t>
            </w:r>
            <w:r>
              <w:rPr>
                <w:sz w:val="20"/>
              </w:rPr>
              <w:tab/>
            </w:r>
            <w:r>
              <w:rPr>
                <w:spacing w:val="-4"/>
                <w:sz w:val="20"/>
              </w:rPr>
              <w:t>2.32</w:t>
            </w:r>
          </w:p>
        </w:tc>
        <w:tc>
          <w:tcPr>
            <w:tcW w:w="1400" w:type="dxa"/>
            <w:tcBorders>
              <w:top w:val="double" w:sz="8" w:space="0" w:color="000000"/>
              <w:bottom w:val="double" w:sz="8" w:space="0" w:color="000000"/>
            </w:tcBorders>
          </w:tcPr>
          <w:p>
            <w:pPr>
              <w:pStyle w:val="TableParagraph"/>
              <w:tabs>
                <w:tab w:pos="972" w:val="left" w:leader="none"/>
              </w:tabs>
              <w:spacing w:before="10"/>
              <w:ind w:left="70"/>
              <w:rPr>
                <w:sz w:val="20"/>
              </w:rPr>
            </w:pPr>
            <w:r>
              <w:rPr>
                <w:spacing w:val="-10"/>
                <w:sz w:val="20"/>
              </w:rPr>
              <w:t>$</w:t>
            </w:r>
            <w:r>
              <w:rPr>
                <w:sz w:val="20"/>
              </w:rPr>
              <w:tab/>
            </w:r>
            <w:r>
              <w:rPr>
                <w:spacing w:val="-4"/>
                <w:sz w:val="20"/>
              </w:rPr>
              <w:t>1.24</w:t>
            </w:r>
          </w:p>
        </w:tc>
      </w:tr>
      <w:tr>
        <w:trPr>
          <w:trHeight w:val="200" w:hRule="atLeast"/>
        </w:trPr>
        <w:tc>
          <w:tcPr>
            <w:tcW w:w="7400" w:type="dxa"/>
            <w:shd w:val="clear" w:color="auto" w:fill="CCEDFF"/>
          </w:tcPr>
          <w:p>
            <w:pPr>
              <w:pStyle w:val="TableParagraph"/>
              <w:tabs>
                <w:tab w:pos="6612" w:val="left" w:leader="none"/>
              </w:tabs>
              <w:spacing w:line="180" w:lineRule="exact"/>
              <w:ind w:left="50"/>
              <w:rPr>
                <w:sz w:val="20"/>
              </w:rPr>
            </w:pPr>
            <w:r>
              <w:rPr>
                <w:sz w:val="20"/>
              </w:rPr>
              <w:t>Shares</w:t>
            </w:r>
            <w:r>
              <w:rPr>
                <w:spacing w:val="-2"/>
                <w:sz w:val="20"/>
              </w:rPr>
              <w:t> </w:t>
            </w:r>
            <w:r>
              <w:rPr>
                <w:sz w:val="20"/>
              </w:rPr>
              <w:t>used</w:t>
            </w:r>
            <w:r>
              <w:rPr>
                <w:spacing w:val="-1"/>
                <w:sz w:val="20"/>
              </w:rPr>
              <w:t> </w:t>
            </w:r>
            <w:r>
              <w:rPr>
                <w:sz w:val="20"/>
              </w:rPr>
              <w:t>to compute</w:t>
            </w:r>
            <w:r>
              <w:rPr>
                <w:spacing w:val="-1"/>
                <w:sz w:val="20"/>
              </w:rPr>
              <w:t> </w:t>
            </w:r>
            <w:r>
              <w:rPr>
                <w:sz w:val="20"/>
              </w:rPr>
              <w:t>diluted</w:t>
            </w:r>
            <w:r>
              <w:rPr>
                <w:spacing w:val="-1"/>
                <w:sz w:val="20"/>
              </w:rPr>
              <w:t> </w:t>
            </w:r>
            <w:r>
              <w:rPr>
                <w:sz w:val="20"/>
              </w:rPr>
              <w:t>net income</w:t>
            </w:r>
            <w:r>
              <w:rPr>
                <w:spacing w:val="-1"/>
                <w:sz w:val="20"/>
              </w:rPr>
              <w:t> </w:t>
            </w:r>
            <w:r>
              <w:rPr>
                <w:sz w:val="20"/>
              </w:rPr>
              <w:t>per </w:t>
            </w:r>
            <w:r>
              <w:rPr>
                <w:spacing w:val="-2"/>
                <w:sz w:val="20"/>
              </w:rPr>
              <w:t>share</w:t>
            </w:r>
            <w:r>
              <w:rPr>
                <w:sz w:val="20"/>
              </w:rPr>
              <w:tab/>
            </w:r>
            <w:r>
              <w:rPr>
                <w:spacing w:val="-2"/>
                <w:sz w:val="20"/>
              </w:rPr>
              <w:t>501,123</w:t>
            </w:r>
          </w:p>
        </w:tc>
        <w:tc>
          <w:tcPr>
            <w:tcW w:w="1440" w:type="dxa"/>
            <w:tcBorders>
              <w:top w:val="double" w:sz="8" w:space="0" w:color="000000"/>
              <w:bottom w:val="double" w:sz="8" w:space="0" w:color="000000"/>
            </w:tcBorders>
            <w:shd w:val="clear" w:color="auto" w:fill="CCEDFF"/>
          </w:tcPr>
          <w:p>
            <w:pPr>
              <w:pStyle w:val="TableParagraph"/>
              <w:spacing w:line="180" w:lineRule="exact"/>
              <w:ind w:right="136"/>
              <w:jc w:val="right"/>
              <w:rPr>
                <w:sz w:val="20"/>
              </w:rPr>
            </w:pPr>
            <w:r>
              <w:rPr>
                <w:spacing w:val="-2"/>
                <w:sz w:val="20"/>
              </w:rPr>
              <w:t>504,299</w:t>
            </w:r>
          </w:p>
        </w:tc>
        <w:tc>
          <w:tcPr>
            <w:tcW w:w="1400" w:type="dxa"/>
            <w:tcBorders>
              <w:top w:val="double" w:sz="8" w:space="0" w:color="000000"/>
              <w:bottom w:val="double" w:sz="8" w:space="0" w:color="000000"/>
            </w:tcBorders>
            <w:shd w:val="clear" w:color="auto" w:fill="CCEDFF"/>
          </w:tcPr>
          <w:p>
            <w:pPr>
              <w:pStyle w:val="TableParagraph"/>
              <w:spacing w:line="180" w:lineRule="exact"/>
              <w:ind w:right="76"/>
              <w:jc w:val="right"/>
              <w:rPr>
                <w:sz w:val="20"/>
              </w:rPr>
            </w:pPr>
            <w:r>
              <w:rPr>
                <w:spacing w:val="-2"/>
                <w:sz w:val="20"/>
              </w:rPr>
              <w:t>507,164</w:t>
            </w:r>
          </w:p>
        </w:tc>
      </w:tr>
    </w:tbl>
    <w:p>
      <w:pPr>
        <w:spacing w:before="216"/>
        <w:ind w:left="340" w:right="280"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pgSz w:w="12240" w:h="15840"/>
          <w:pgMar w:header="210" w:footer="610" w:top="1020" w:bottom="800" w:left="780" w:right="740"/>
        </w:sectPr>
      </w:pPr>
    </w:p>
    <w:p>
      <w:pPr>
        <w:pStyle w:val="Heading1"/>
        <w:spacing w:before="130"/>
        <w:ind w:left="241" w:right="280"/>
        <w:jc w:val="center"/>
      </w:pPr>
      <w:bookmarkStart w:name="Consolidated Statements of Comprehensive" w:id="57"/>
      <w:bookmarkEnd w:id="57"/>
      <w:r>
        <w:rPr>
          <w:b w:val="0"/>
        </w:rPr>
      </w:r>
      <w:bookmarkStart w:name="_bookmark18" w:id="58"/>
      <w:bookmarkEnd w:id="58"/>
      <w:r>
        <w:rPr>
          <w:b w:val="0"/>
        </w:rPr>
      </w:r>
      <w:r>
        <w:rPr>
          <w:spacing w:val="-2"/>
        </w:rPr>
        <w:t>CONSOLIDATED</w:t>
      </w:r>
      <w:r>
        <w:rPr>
          <w:spacing w:val="2"/>
        </w:rPr>
        <w:t> </w:t>
      </w:r>
      <w:r>
        <w:rPr>
          <w:spacing w:val="-2"/>
        </w:rPr>
        <w:t>STATEMENTS</w:t>
      </w:r>
      <w:r>
        <w:rPr>
          <w:spacing w:val="2"/>
        </w:rPr>
        <w:t> </w:t>
      </w:r>
      <w:r>
        <w:rPr>
          <w:spacing w:val="-2"/>
        </w:rPr>
        <w:t>OF</w:t>
      </w:r>
      <w:r>
        <w:rPr>
          <w:spacing w:val="-6"/>
        </w:rPr>
        <w:t> </w:t>
      </w:r>
      <w:r>
        <w:rPr>
          <w:spacing w:val="-2"/>
        </w:rPr>
        <w:t>COMPREHENSIVE</w:t>
      </w:r>
      <w:r>
        <w:rPr>
          <w:spacing w:val="4"/>
        </w:rPr>
        <w:t> </w:t>
      </w:r>
      <w:r>
        <w:rPr>
          <w:spacing w:val="-2"/>
        </w:rPr>
        <w:t>INCOME</w:t>
      </w:r>
    </w:p>
    <w:p>
      <w:pPr>
        <w:pStyle w:val="Heading2"/>
        <w:spacing w:before="130"/>
        <w:ind w:left="3846" w:right="3884"/>
        <w:jc w:val="center"/>
      </w:pPr>
      <w:r>
        <w:rPr/>
        <w:t>(In</w:t>
      </w:r>
      <w:r>
        <w:rPr>
          <w:spacing w:val="-3"/>
        </w:rPr>
        <w:t> </w:t>
      </w:r>
      <w:r>
        <w:rPr>
          <w:spacing w:val="-2"/>
        </w:rPr>
        <w:t>thousands)</w:t>
      </w:r>
    </w:p>
    <w:p>
      <w:pPr>
        <w:pStyle w:val="BodyText"/>
        <w:spacing w:before="48"/>
        <w:rPr>
          <w:b/>
          <w:sz w:val="16"/>
        </w:rPr>
      </w:pPr>
    </w:p>
    <w:p>
      <w:pPr>
        <w:spacing w:before="1" w:after="50"/>
        <w:ind w:left="0" w:right="1776" w:firstLine="0"/>
        <w:jc w:val="right"/>
        <w:rPr>
          <w:b/>
          <w:sz w:val="16"/>
        </w:rPr>
      </w:pPr>
      <w:r>
        <w:rPr>
          <w:b/>
          <w:spacing w:val="-2"/>
          <w:sz w:val="16"/>
        </w:rPr>
        <w:t>Years</w:t>
      </w:r>
      <w:r>
        <w:rPr>
          <w:b/>
          <w:spacing w:val="-3"/>
          <w:sz w:val="16"/>
        </w:rPr>
        <w:t> </w:t>
      </w:r>
      <w:r>
        <w:rPr>
          <w:b/>
          <w:spacing w:val="-2"/>
          <w:sz w:val="16"/>
        </w:rPr>
        <w:t>Ended</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0"/>
        <w:gridCol w:w="1213"/>
        <w:gridCol w:w="1728"/>
        <w:gridCol w:w="941"/>
      </w:tblGrid>
      <w:tr>
        <w:trPr>
          <w:trHeight w:val="400" w:hRule="atLeast"/>
        </w:trPr>
        <w:tc>
          <w:tcPr>
            <w:tcW w:w="6360" w:type="dxa"/>
            <w:vMerge w:val="restart"/>
          </w:tcPr>
          <w:p>
            <w:pPr>
              <w:pStyle w:val="TableParagraph"/>
              <w:rPr>
                <w:sz w:val="18"/>
              </w:rPr>
            </w:pPr>
          </w:p>
        </w:tc>
        <w:tc>
          <w:tcPr>
            <w:tcW w:w="1213" w:type="dxa"/>
            <w:tcBorders>
              <w:top w:val="single" w:sz="8" w:space="0" w:color="000000"/>
              <w:bottom w:val="single" w:sz="8" w:space="0" w:color="000000"/>
            </w:tcBorders>
          </w:tcPr>
          <w:p>
            <w:pPr>
              <w:pStyle w:val="TableParagraph"/>
              <w:spacing w:line="172" w:lineRule="exact" w:before="16"/>
              <w:ind w:left="8"/>
              <w:jc w:val="center"/>
              <w:rPr>
                <w:b/>
                <w:sz w:val="16"/>
              </w:rPr>
            </w:pPr>
            <w:r>
              <w:rPr>
                <w:b/>
                <w:sz w:val="16"/>
              </w:rPr>
              <w:t>December</w:t>
            </w:r>
            <w:r>
              <w:rPr>
                <w:b/>
                <w:spacing w:val="-2"/>
                <w:sz w:val="16"/>
              </w:rPr>
              <w:t> </w:t>
            </w:r>
            <w:r>
              <w:rPr>
                <w:b/>
                <w:spacing w:val="-5"/>
                <w:sz w:val="16"/>
              </w:rPr>
              <w:t>1,</w:t>
            </w:r>
          </w:p>
          <w:p>
            <w:pPr>
              <w:pStyle w:val="TableParagraph"/>
              <w:spacing w:line="172" w:lineRule="exact"/>
              <w:ind w:left="8" w:right="1"/>
              <w:jc w:val="center"/>
              <w:rPr>
                <w:b/>
                <w:sz w:val="16"/>
              </w:rPr>
            </w:pPr>
            <w:r>
              <w:rPr>
                <w:b/>
                <w:spacing w:val="-4"/>
                <w:sz w:val="16"/>
              </w:rPr>
              <w:t>2017</w:t>
            </w:r>
          </w:p>
        </w:tc>
        <w:tc>
          <w:tcPr>
            <w:tcW w:w="1728" w:type="dxa"/>
            <w:tcBorders>
              <w:top w:val="single" w:sz="8" w:space="0" w:color="000000"/>
            </w:tcBorders>
          </w:tcPr>
          <w:p>
            <w:pPr>
              <w:pStyle w:val="TableParagraph"/>
              <w:tabs>
                <w:tab w:pos="1562" w:val="left" w:leader="none"/>
              </w:tabs>
              <w:spacing w:line="172" w:lineRule="exact" w:before="16"/>
              <w:ind w:left="292" w:right="-116"/>
              <w:rPr>
                <w:b/>
                <w:sz w:val="16"/>
              </w:rPr>
            </w:pPr>
            <w:r>
              <w:rPr>
                <w:b/>
                <w:sz w:val="16"/>
              </w:rPr>
              <w:t>December</w:t>
            </w:r>
            <w:r>
              <w:rPr>
                <w:b/>
                <w:spacing w:val="-2"/>
                <w:sz w:val="16"/>
              </w:rPr>
              <w:t> </w:t>
            </w:r>
            <w:r>
              <w:rPr>
                <w:b/>
                <w:spacing w:val="-5"/>
                <w:sz w:val="16"/>
              </w:rPr>
              <w:t>2,</w:t>
            </w:r>
            <w:r>
              <w:rPr>
                <w:b/>
                <w:sz w:val="16"/>
              </w:rPr>
              <w:tab/>
            </w:r>
            <w:r>
              <w:rPr>
                <w:b/>
                <w:spacing w:val="-5"/>
                <w:sz w:val="16"/>
              </w:rPr>
              <w:t>Nov</w:t>
            </w:r>
          </w:p>
          <w:p>
            <w:pPr>
              <w:pStyle w:val="TableParagraph"/>
              <w:spacing w:line="172" w:lineRule="exact"/>
              <w:ind w:left="557"/>
              <w:rPr>
                <w:b/>
                <w:sz w:val="16"/>
              </w:rPr>
            </w:pPr>
            <w:r>
              <w:rPr>
                <w:b/>
                <w:spacing w:val="-4"/>
                <w:sz w:val="16"/>
              </w:rPr>
              <w:t>2016</w:t>
            </w:r>
          </w:p>
        </w:tc>
        <w:tc>
          <w:tcPr>
            <w:tcW w:w="941" w:type="dxa"/>
            <w:tcBorders>
              <w:top w:val="single" w:sz="8" w:space="0" w:color="000000"/>
              <w:bottom w:val="single" w:sz="8" w:space="0" w:color="000000"/>
            </w:tcBorders>
          </w:tcPr>
          <w:p>
            <w:pPr>
              <w:pStyle w:val="TableParagraph"/>
              <w:spacing w:line="172" w:lineRule="exact" w:before="16"/>
              <w:ind w:left="110"/>
              <w:rPr>
                <w:b/>
                <w:sz w:val="16"/>
              </w:rPr>
            </w:pPr>
            <w:r>
              <w:rPr>
                <w:b/>
                <w:sz w:val="16"/>
              </w:rPr>
              <w:t>ember</w:t>
            </w:r>
            <w:r>
              <w:rPr>
                <w:b/>
                <w:spacing w:val="-2"/>
                <w:sz w:val="16"/>
              </w:rPr>
              <w:t> </w:t>
            </w:r>
            <w:r>
              <w:rPr>
                <w:b/>
                <w:spacing w:val="-5"/>
                <w:sz w:val="16"/>
              </w:rPr>
              <w:t>27,</w:t>
            </w:r>
          </w:p>
          <w:p>
            <w:pPr>
              <w:pStyle w:val="TableParagraph"/>
              <w:spacing w:line="172" w:lineRule="exact"/>
              <w:ind w:left="149"/>
              <w:rPr>
                <w:b/>
                <w:sz w:val="16"/>
              </w:rPr>
            </w:pPr>
            <w:r>
              <w:rPr>
                <w:b/>
                <w:spacing w:val="-4"/>
                <w:sz w:val="16"/>
              </w:rPr>
              <w:t>2015</w:t>
            </w:r>
          </w:p>
        </w:tc>
      </w:tr>
      <w:tr>
        <w:trPr>
          <w:trHeight w:val="280" w:hRule="atLeast"/>
        </w:trPr>
        <w:tc>
          <w:tcPr>
            <w:tcW w:w="6360" w:type="dxa"/>
            <w:vMerge/>
            <w:tcBorders>
              <w:top w:val="nil"/>
            </w:tcBorders>
          </w:tcPr>
          <w:p>
            <w:pPr>
              <w:rPr>
                <w:sz w:val="2"/>
                <w:szCs w:val="2"/>
              </w:rPr>
            </w:pPr>
          </w:p>
        </w:tc>
        <w:tc>
          <w:tcPr>
            <w:tcW w:w="1213" w:type="dxa"/>
            <w:tcBorders>
              <w:top w:val="single" w:sz="8" w:space="0" w:color="000000"/>
              <w:bottom w:val="single" w:sz="8" w:space="0" w:color="000000"/>
            </w:tcBorders>
          </w:tcPr>
          <w:p>
            <w:pPr>
              <w:pStyle w:val="TableParagraph"/>
              <w:rPr>
                <w:sz w:val="18"/>
              </w:rPr>
            </w:pPr>
          </w:p>
        </w:tc>
        <w:tc>
          <w:tcPr>
            <w:tcW w:w="1728" w:type="dxa"/>
            <w:tcBorders>
              <w:bottom w:val="single" w:sz="8" w:space="0" w:color="000000"/>
            </w:tcBorders>
          </w:tcPr>
          <w:p>
            <w:pPr>
              <w:pStyle w:val="TableParagraph"/>
              <w:spacing w:before="56"/>
              <w:ind w:left="49"/>
              <w:rPr>
                <w:b/>
                <w:sz w:val="16"/>
              </w:rPr>
            </w:pPr>
            <w:r>
              <w:rPr>
                <w:b/>
                <w:spacing w:val="-2"/>
                <w:sz w:val="16"/>
              </w:rPr>
              <w:t>Increase/(Decrease)</w:t>
            </w:r>
          </w:p>
        </w:tc>
        <w:tc>
          <w:tcPr>
            <w:tcW w:w="941" w:type="dxa"/>
            <w:tcBorders>
              <w:top w:val="single" w:sz="8" w:space="0" w:color="000000"/>
              <w:bottom w:val="single" w:sz="8" w:space="0" w:color="000000"/>
            </w:tcBorders>
          </w:tcPr>
          <w:p>
            <w:pPr>
              <w:pStyle w:val="TableParagraph"/>
              <w:rPr>
                <w:sz w:val="18"/>
              </w:rPr>
            </w:pPr>
          </w:p>
        </w:tc>
      </w:tr>
      <w:tr>
        <w:trPr>
          <w:trHeight w:val="290" w:hRule="atLeast"/>
        </w:trPr>
        <w:tc>
          <w:tcPr>
            <w:tcW w:w="6360" w:type="dxa"/>
            <w:shd w:val="clear" w:color="auto" w:fill="CCEDFF"/>
          </w:tcPr>
          <w:p>
            <w:pPr>
              <w:pStyle w:val="TableParagraph"/>
              <w:spacing w:before="10"/>
              <w:ind w:left="50"/>
              <w:rPr>
                <w:sz w:val="20"/>
              </w:rPr>
            </w:pPr>
            <w:r>
              <w:rPr>
                <w:sz w:val="20"/>
              </w:rPr>
              <w:t>Net </w:t>
            </w:r>
            <w:r>
              <w:rPr>
                <w:spacing w:val="-2"/>
                <w:sz w:val="20"/>
              </w:rPr>
              <w:t>income</w:t>
            </w:r>
          </w:p>
        </w:tc>
        <w:tc>
          <w:tcPr>
            <w:tcW w:w="1213" w:type="dxa"/>
            <w:tcBorders>
              <w:top w:val="single" w:sz="8" w:space="0" w:color="000000"/>
            </w:tcBorders>
            <w:shd w:val="clear" w:color="auto" w:fill="CCEDFF"/>
          </w:tcPr>
          <w:p>
            <w:pPr>
              <w:pStyle w:val="TableParagraph"/>
              <w:tabs>
                <w:tab w:pos="362" w:val="left" w:leader="none"/>
              </w:tabs>
              <w:spacing w:before="10"/>
              <w:ind w:left="50"/>
              <w:rPr>
                <w:sz w:val="20"/>
              </w:rPr>
            </w:pPr>
            <w:r>
              <w:rPr>
                <w:spacing w:val="-10"/>
                <w:sz w:val="20"/>
              </w:rPr>
              <w:t>$</w:t>
            </w:r>
            <w:r>
              <w:rPr>
                <w:sz w:val="20"/>
              </w:rPr>
              <w:tab/>
            </w:r>
            <w:r>
              <w:rPr>
                <w:spacing w:val="-2"/>
                <w:sz w:val="20"/>
              </w:rPr>
              <w:t>1,693,954</w:t>
            </w:r>
          </w:p>
        </w:tc>
        <w:tc>
          <w:tcPr>
            <w:tcW w:w="1728" w:type="dxa"/>
            <w:tcBorders>
              <w:top w:val="single" w:sz="8" w:space="0" w:color="000000"/>
            </w:tcBorders>
            <w:shd w:val="clear" w:color="auto" w:fill="CCEDFF"/>
          </w:tcPr>
          <w:p>
            <w:pPr>
              <w:pStyle w:val="TableParagraph"/>
              <w:tabs>
                <w:tab w:pos="469" w:val="left" w:leader="none"/>
                <w:tab w:pos="1476" w:val="left" w:leader="none"/>
              </w:tabs>
              <w:spacing w:before="10"/>
              <w:ind w:left="157"/>
              <w:rPr>
                <w:sz w:val="20"/>
              </w:rPr>
            </w:pPr>
            <w:r>
              <w:rPr>
                <w:spacing w:val="-10"/>
                <w:sz w:val="20"/>
              </w:rPr>
              <w:t>$</w:t>
            </w:r>
            <w:r>
              <w:rPr>
                <w:sz w:val="20"/>
              </w:rPr>
              <w:tab/>
            </w:r>
            <w:r>
              <w:rPr>
                <w:spacing w:val="-2"/>
                <w:sz w:val="20"/>
              </w:rPr>
              <w:t>1,168,782</w:t>
            </w:r>
            <w:r>
              <w:rPr>
                <w:sz w:val="20"/>
              </w:rPr>
              <w:tab/>
            </w:r>
            <w:r>
              <w:rPr>
                <w:spacing w:val="-10"/>
                <w:sz w:val="20"/>
              </w:rPr>
              <w:t>$</w:t>
            </w:r>
          </w:p>
        </w:tc>
        <w:tc>
          <w:tcPr>
            <w:tcW w:w="941" w:type="dxa"/>
            <w:tcBorders>
              <w:top w:val="single" w:sz="8" w:space="0" w:color="000000"/>
            </w:tcBorders>
            <w:shd w:val="clear" w:color="auto" w:fill="CCEDFF"/>
          </w:tcPr>
          <w:p>
            <w:pPr>
              <w:pStyle w:val="TableParagraph"/>
              <w:spacing w:before="10"/>
              <w:ind w:left="212"/>
              <w:rPr>
                <w:sz w:val="20"/>
              </w:rPr>
            </w:pPr>
            <w:r>
              <w:rPr>
                <w:spacing w:val="-2"/>
                <w:sz w:val="20"/>
              </w:rPr>
              <w:t>629,551</w:t>
            </w:r>
          </w:p>
        </w:tc>
      </w:tr>
    </w:tbl>
    <w:p>
      <w:pPr>
        <w:pStyle w:val="BodyText"/>
        <w:spacing w:before="10"/>
        <w:ind w:left="260"/>
      </w:pPr>
      <w:r>
        <w:rPr/>
        <w:t>Other comprehensive income (loss), net of </w:t>
      </w:r>
      <w:r>
        <w:rPr>
          <w:spacing w:val="-2"/>
        </w:rPr>
        <w:t>taxes:</w:t>
      </w:r>
    </w:p>
    <w:p>
      <w:pPr>
        <w:pStyle w:val="BodyText"/>
        <w:tabs>
          <w:tab w:pos="7215" w:val="left" w:leader="none"/>
          <w:tab w:pos="8535" w:val="left" w:leader="none"/>
          <w:tab w:pos="9855" w:val="left" w:leader="none"/>
          <w:tab w:pos="10449" w:val="left" w:leader="none"/>
        </w:tabs>
        <w:spacing w:line="312" w:lineRule="auto" w:before="70"/>
        <w:ind w:left="620" w:right="268" w:hanging="410"/>
      </w:pPr>
      <w:r>
        <w:rPr>
          <w:color w:val="000000"/>
          <w:spacing w:val="80"/>
          <w:w w:val="150"/>
          <w:shd w:fill="CCEDFF" w:color="auto" w:val="clear"/>
        </w:rPr>
        <w:t> </w:t>
      </w:r>
      <w:r>
        <w:rPr>
          <w:color w:val="000000"/>
          <w:shd w:fill="CCEDFF" w:color="auto" w:val="clear"/>
        </w:rPr>
        <w:t>Available-for-sale securities:</w:t>
        <w:tab/>
        <w:tab/>
        <w:tab/>
        <w:tab/>
      </w:r>
      <w:r>
        <w:rPr>
          <w:color w:val="000000"/>
        </w:rPr>
        <w:t> Unrealized</w:t>
      </w:r>
      <w:r>
        <w:rPr>
          <w:color w:val="000000"/>
          <w:spacing w:val="-2"/>
        </w:rPr>
        <w:t> </w:t>
      </w:r>
      <w:r>
        <w:rPr>
          <w:color w:val="000000"/>
        </w:rPr>
        <w:t>gains</w:t>
      </w:r>
      <w:r>
        <w:rPr>
          <w:color w:val="000000"/>
          <w:spacing w:val="-3"/>
        </w:rPr>
        <w:t> </w:t>
      </w:r>
      <w:r>
        <w:rPr>
          <w:color w:val="000000"/>
        </w:rPr>
        <w:t>/</w:t>
      </w:r>
      <w:r>
        <w:rPr>
          <w:color w:val="000000"/>
          <w:spacing w:val="-2"/>
        </w:rPr>
        <w:t> </w:t>
      </w:r>
      <w:r>
        <w:rPr>
          <w:color w:val="000000"/>
        </w:rPr>
        <w:t>losses</w:t>
      </w:r>
      <w:r>
        <w:rPr>
          <w:color w:val="000000"/>
          <w:spacing w:val="-3"/>
        </w:rPr>
        <w:t> </w:t>
      </w:r>
      <w:r>
        <w:rPr>
          <w:color w:val="000000"/>
        </w:rPr>
        <w:t>on</w:t>
      </w:r>
      <w:r>
        <w:rPr>
          <w:color w:val="000000"/>
          <w:spacing w:val="-2"/>
        </w:rPr>
        <w:t> </w:t>
      </w:r>
      <w:r>
        <w:rPr>
          <w:color w:val="000000"/>
        </w:rPr>
        <w:t>available-for-sale</w:t>
      </w:r>
      <w:r>
        <w:rPr>
          <w:color w:val="000000"/>
          <w:spacing w:val="-1"/>
        </w:rPr>
        <w:t> </w:t>
      </w:r>
      <w:r>
        <w:rPr>
          <w:color w:val="000000"/>
          <w:spacing w:val="-2"/>
        </w:rPr>
        <w:t>securities</w:t>
      </w:r>
      <w:r>
        <w:rPr>
          <w:color w:val="000000"/>
        </w:rPr>
        <w:tab/>
      </w:r>
      <w:r>
        <w:rPr>
          <w:color w:val="000000"/>
          <w:spacing w:val="-2"/>
        </w:rPr>
        <w:t>(2,503)</w:t>
      </w:r>
      <w:r>
        <w:rPr>
          <w:color w:val="000000"/>
        </w:rPr>
        <w:tab/>
      </w:r>
      <w:r>
        <w:rPr>
          <w:color w:val="000000"/>
          <w:spacing w:val="-2"/>
        </w:rPr>
        <w:t>(1,618)</w:t>
      </w:r>
      <w:r>
        <w:rPr>
          <w:color w:val="000000"/>
        </w:rPr>
        <w:tab/>
      </w:r>
      <w:r>
        <w:rPr>
          <w:color w:val="000000"/>
          <w:spacing w:val="-2"/>
        </w:rPr>
        <w:t>(9,226)</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5"/>
        <w:gridCol w:w="1883"/>
        <w:gridCol w:w="1270"/>
        <w:gridCol w:w="1012"/>
      </w:tblGrid>
      <w:tr>
        <w:trPr>
          <w:trHeight w:val="490" w:hRule="atLeast"/>
        </w:trPr>
        <w:tc>
          <w:tcPr>
            <w:tcW w:w="6075" w:type="dxa"/>
            <w:shd w:val="clear" w:color="auto" w:fill="CCEDFF"/>
          </w:tcPr>
          <w:p>
            <w:pPr>
              <w:pStyle w:val="TableParagraph"/>
              <w:spacing w:line="208" w:lineRule="auto" w:before="26"/>
              <w:ind w:left="590" w:right="53" w:hanging="180"/>
              <w:rPr>
                <w:sz w:val="20"/>
              </w:rPr>
            </w:pPr>
            <w:r>
              <w:rPr>
                <w:sz w:val="20"/>
              </w:rPr>
              <w:t>Reclassification</w:t>
            </w:r>
            <w:r>
              <w:rPr>
                <w:spacing w:val="-5"/>
                <w:sz w:val="20"/>
              </w:rPr>
              <w:t> </w:t>
            </w:r>
            <w:r>
              <w:rPr>
                <w:sz w:val="20"/>
              </w:rPr>
              <w:t>adjustment</w:t>
            </w:r>
            <w:r>
              <w:rPr>
                <w:spacing w:val="-5"/>
                <w:sz w:val="20"/>
              </w:rPr>
              <w:t> </w:t>
            </w:r>
            <w:r>
              <w:rPr>
                <w:sz w:val="20"/>
              </w:rPr>
              <w:t>for</w:t>
            </w:r>
            <w:r>
              <w:rPr>
                <w:spacing w:val="-5"/>
                <w:sz w:val="20"/>
              </w:rPr>
              <w:t> </w:t>
            </w:r>
            <w:r>
              <w:rPr>
                <w:sz w:val="20"/>
              </w:rPr>
              <w:t>recognized</w:t>
            </w:r>
            <w:r>
              <w:rPr>
                <w:spacing w:val="-5"/>
                <w:sz w:val="20"/>
              </w:rPr>
              <w:t> </w:t>
            </w:r>
            <w:r>
              <w:rPr>
                <w:sz w:val="20"/>
              </w:rPr>
              <w:t>gains</w:t>
            </w:r>
            <w:r>
              <w:rPr>
                <w:spacing w:val="-6"/>
                <w:sz w:val="20"/>
              </w:rPr>
              <w:t> </w:t>
            </w:r>
            <w:r>
              <w:rPr>
                <w:sz w:val="20"/>
              </w:rPr>
              <w:t>/</w:t>
            </w:r>
            <w:r>
              <w:rPr>
                <w:spacing w:val="-5"/>
                <w:sz w:val="20"/>
              </w:rPr>
              <w:t> </w:t>
            </w:r>
            <w:r>
              <w:rPr>
                <w:sz w:val="20"/>
              </w:rPr>
              <w:t>losses</w:t>
            </w:r>
            <w:r>
              <w:rPr>
                <w:spacing w:val="-6"/>
                <w:sz w:val="20"/>
              </w:rPr>
              <w:t> </w:t>
            </w:r>
            <w:r>
              <w:rPr>
                <w:sz w:val="20"/>
              </w:rPr>
              <w:t>on</w:t>
            </w:r>
            <w:r>
              <w:rPr>
                <w:spacing w:val="-5"/>
                <w:sz w:val="20"/>
              </w:rPr>
              <w:t> </w:t>
            </w:r>
            <w:r>
              <w:rPr>
                <w:sz w:val="20"/>
              </w:rPr>
              <w:t>available- for-sale securities</w:t>
            </w:r>
          </w:p>
        </w:tc>
        <w:tc>
          <w:tcPr>
            <w:tcW w:w="1883" w:type="dxa"/>
            <w:tcBorders>
              <w:bottom w:val="single" w:sz="8" w:space="0" w:color="000000"/>
            </w:tcBorders>
            <w:shd w:val="clear" w:color="auto" w:fill="CCEDFF"/>
          </w:tcPr>
          <w:p>
            <w:pPr>
              <w:pStyle w:val="TableParagraph"/>
              <w:spacing w:before="202"/>
              <w:ind w:right="366"/>
              <w:jc w:val="right"/>
              <w:rPr>
                <w:sz w:val="20"/>
              </w:rPr>
            </w:pPr>
            <w:r>
              <w:rPr>
                <w:spacing w:val="-2"/>
                <w:sz w:val="20"/>
              </w:rPr>
              <w:t>(947)</w:t>
            </w:r>
          </w:p>
        </w:tc>
        <w:tc>
          <w:tcPr>
            <w:tcW w:w="1270" w:type="dxa"/>
            <w:tcBorders>
              <w:bottom w:val="single" w:sz="8" w:space="0" w:color="000000"/>
            </w:tcBorders>
            <w:shd w:val="clear" w:color="auto" w:fill="CCEDFF"/>
          </w:tcPr>
          <w:p>
            <w:pPr>
              <w:pStyle w:val="TableParagraph"/>
              <w:spacing w:before="202"/>
              <w:ind w:left="49"/>
              <w:jc w:val="center"/>
              <w:rPr>
                <w:sz w:val="20"/>
              </w:rPr>
            </w:pPr>
            <w:r>
              <w:rPr>
                <w:spacing w:val="-2"/>
                <w:sz w:val="20"/>
              </w:rPr>
              <w:t>(1,895)</w:t>
            </w:r>
          </w:p>
        </w:tc>
        <w:tc>
          <w:tcPr>
            <w:tcW w:w="1012" w:type="dxa"/>
            <w:tcBorders>
              <w:bottom w:val="single" w:sz="8" w:space="0" w:color="000000"/>
            </w:tcBorders>
            <w:shd w:val="clear" w:color="auto" w:fill="CCEDFF"/>
          </w:tcPr>
          <w:p>
            <w:pPr>
              <w:pStyle w:val="TableParagraph"/>
              <w:spacing w:before="202"/>
              <w:ind w:right="8"/>
              <w:jc w:val="right"/>
              <w:rPr>
                <w:sz w:val="20"/>
              </w:rPr>
            </w:pPr>
            <w:r>
              <w:rPr>
                <w:spacing w:val="-2"/>
                <w:sz w:val="20"/>
              </w:rPr>
              <w:t>(2,955)</w:t>
            </w:r>
          </w:p>
        </w:tc>
      </w:tr>
      <w:tr>
        <w:trPr>
          <w:trHeight w:val="239" w:hRule="atLeast"/>
        </w:trPr>
        <w:tc>
          <w:tcPr>
            <w:tcW w:w="6075" w:type="dxa"/>
          </w:tcPr>
          <w:p>
            <w:pPr>
              <w:pStyle w:val="TableParagraph"/>
              <w:spacing w:line="220" w:lineRule="exact"/>
              <w:ind w:left="590"/>
              <w:rPr>
                <w:sz w:val="20"/>
              </w:rPr>
            </w:pPr>
            <w:r>
              <w:rPr>
                <w:sz w:val="20"/>
              </w:rPr>
              <w:t>Net</w:t>
            </w:r>
            <w:r>
              <w:rPr>
                <w:spacing w:val="-1"/>
                <w:sz w:val="20"/>
              </w:rPr>
              <w:t> </w:t>
            </w:r>
            <w:r>
              <w:rPr>
                <w:sz w:val="20"/>
              </w:rPr>
              <w:t>increase</w:t>
            </w:r>
            <w:r>
              <w:rPr>
                <w:spacing w:val="-1"/>
                <w:sz w:val="20"/>
              </w:rPr>
              <w:t> </w:t>
            </w:r>
            <w:r>
              <w:rPr>
                <w:sz w:val="20"/>
              </w:rPr>
              <w:t>(decrease)</w:t>
            </w:r>
            <w:r>
              <w:rPr>
                <w:spacing w:val="-1"/>
                <w:sz w:val="20"/>
              </w:rPr>
              <w:t> </w:t>
            </w:r>
            <w:r>
              <w:rPr>
                <w:sz w:val="20"/>
              </w:rPr>
              <w:t>from</w:t>
            </w:r>
            <w:r>
              <w:rPr>
                <w:spacing w:val="-1"/>
                <w:sz w:val="20"/>
              </w:rPr>
              <w:t> </w:t>
            </w:r>
            <w:r>
              <w:rPr>
                <w:sz w:val="20"/>
              </w:rPr>
              <w:t>available-for-sale</w:t>
            </w:r>
            <w:r>
              <w:rPr>
                <w:spacing w:val="-1"/>
                <w:sz w:val="20"/>
              </w:rPr>
              <w:t> </w:t>
            </w:r>
            <w:r>
              <w:rPr>
                <w:spacing w:val="-2"/>
                <w:sz w:val="20"/>
              </w:rPr>
              <w:t>securities</w:t>
            </w:r>
          </w:p>
        </w:tc>
        <w:tc>
          <w:tcPr>
            <w:tcW w:w="1883" w:type="dxa"/>
            <w:tcBorders>
              <w:top w:val="single" w:sz="8" w:space="0" w:color="000000"/>
            </w:tcBorders>
          </w:tcPr>
          <w:p>
            <w:pPr>
              <w:pStyle w:val="TableParagraph"/>
              <w:spacing w:line="220" w:lineRule="exact"/>
              <w:ind w:right="366"/>
              <w:jc w:val="right"/>
              <w:rPr>
                <w:sz w:val="20"/>
              </w:rPr>
            </w:pPr>
            <w:r>
              <w:rPr>
                <w:spacing w:val="-2"/>
                <w:sz w:val="20"/>
              </w:rPr>
              <w:t>(3,450)</w:t>
            </w:r>
          </w:p>
        </w:tc>
        <w:tc>
          <w:tcPr>
            <w:tcW w:w="1270" w:type="dxa"/>
            <w:tcBorders>
              <w:top w:val="single" w:sz="8" w:space="0" w:color="000000"/>
            </w:tcBorders>
          </w:tcPr>
          <w:p>
            <w:pPr>
              <w:pStyle w:val="TableParagraph"/>
              <w:spacing w:line="220" w:lineRule="exact"/>
              <w:ind w:left="49"/>
              <w:jc w:val="center"/>
              <w:rPr>
                <w:sz w:val="20"/>
              </w:rPr>
            </w:pPr>
            <w:r>
              <w:rPr>
                <w:spacing w:val="-2"/>
                <w:sz w:val="20"/>
              </w:rPr>
              <w:t>(3,513)</w:t>
            </w:r>
          </w:p>
        </w:tc>
        <w:tc>
          <w:tcPr>
            <w:tcW w:w="1012" w:type="dxa"/>
            <w:tcBorders>
              <w:top w:val="single" w:sz="8" w:space="0" w:color="000000"/>
            </w:tcBorders>
          </w:tcPr>
          <w:p>
            <w:pPr>
              <w:pStyle w:val="TableParagraph"/>
              <w:spacing w:line="220" w:lineRule="exact"/>
              <w:ind w:right="8"/>
              <w:jc w:val="right"/>
              <w:rPr>
                <w:sz w:val="20"/>
              </w:rPr>
            </w:pPr>
            <w:r>
              <w:rPr>
                <w:spacing w:val="-2"/>
                <w:sz w:val="20"/>
              </w:rPr>
              <w:t>(12,181)</w:t>
            </w:r>
          </w:p>
        </w:tc>
      </w:tr>
    </w:tbl>
    <w:p>
      <w:pPr>
        <w:pStyle w:val="BodyText"/>
        <w:tabs>
          <w:tab w:pos="7282" w:val="left" w:leader="none"/>
          <w:tab w:pos="8502" w:val="left" w:leader="none"/>
          <w:tab w:pos="9822" w:val="left" w:leader="none"/>
          <w:tab w:pos="10449" w:val="left" w:leader="none"/>
        </w:tabs>
        <w:spacing w:line="312" w:lineRule="auto" w:before="53"/>
        <w:ind w:left="620" w:right="268" w:hanging="410"/>
      </w:pPr>
      <w:r>
        <w:rPr>
          <w:color w:val="000000"/>
          <w:spacing w:val="40"/>
          <w:shd w:fill="CCEDFF" w:color="auto" w:val="clear"/>
        </w:rPr>
        <w:t>  </w:t>
      </w:r>
      <w:r>
        <w:rPr>
          <w:color w:val="000000"/>
          <w:shd w:fill="CCEDFF" w:color="auto" w:val="clear"/>
        </w:rPr>
        <w:t>Derivatives designated as hedging instruments:</w:t>
        <w:tab/>
        <w:tab/>
        <w:tab/>
        <w:tab/>
      </w:r>
      <w:r>
        <w:rPr>
          <w:color w:val="000000"/>
        </w:rPr>
        <w:t> Unrealized gains / losses on derivative instruments</w:t>
        <w:tab/>
      </w:r>
      <w:r>
        <w:rPr>
          <w:color w:val="000000"/>
          <w:spacing w:val="-2"/>
        </w:rPr>
        <w:t>6,917</w:t>
      </w:r>
      <w:r>
        <w:rPr>
          <w:color w:val="000000"/>
        </w:rPr>
        <w:tab/>
      </w:r>
      <w:r>
        <w:rPr>
          <w:color w:val="000000"/>
          <w:spacing w:val="-2"/>
        </w:rPr>
        <w:t>35,199</w:t>
      </w:r>
      <w:r>
        <w:rPr>
          <w:color w:val="000000"/>
        </w:rPr>
        <w:tab/>
      </w:r>
      <w:r>
        <w:rPr>
          <w:color w:val="000000"/>
          <w:spacing w:val="-2"/>
        </w:rPr>
        <w:t>29,795</w:t>
      </w:r>
    </w:p>
    <w:p>
      <w:pPr>
        <w:pStyle w:val="BodyText"/>
        <w:ind w:left="210"/>
      </w:pPr>
      <w:r>
        <w:rPr/>
        <mc:AlternateContent>
          <mc:Choice Requires="wps">
            <w:drawing>
              <wp:inline distT="0" distB="0" distL="0" distR="0">
                <wp:extent cx="6508750" cy="323850"/>
                <wp:effectExtent l="0" t="0" r="0" b="0"/>
                <wp:docPr id="237" name="Group 237"/>
                <wp:cNvGraphicFramePr>
                  <a:graphicFrameLocks/>
                </wp:cNvGraphicFramePr>
                <a:graphic>
                  <a:graphicData uri="http://schemas.microsoft.com/office/word/2010/wordprocessingGroup">
                    <wpg:wgp>
                      <wpg:cNvPr id="237" name="Group 237"/>
                      <wpg:cNvGrpSpPr/>
                      <wpg:grpSpPr>
                        <a:xfrm>
                          <a:off x="0" y="0"/>
                          <a:ext cx="6508750" cy="323850"/>
                          <a:chExt cx="6508750" cy="323850"/>
                        </a:xfrm>
                      </wpg:grpSpPr>
                      <wps:wsp>
                        <wps:cNvPr id="238" name="Graphic 238"/>
                        <wps:cNvSpPr/>
                        <wps:spPr>
                          <a:xfrm>
                            <a:off x="0" y="0"/>
                            <a:ext cx="6502400" cy="317500"/>
                          </a:xfrm>
                          <a:custGeom>
                            <a:avLst/>
                            <a:gdLst/>
                            <a:ahLst/>
                            <a:cxnLst/>
                            <a:rect l="l" t="t" r="r" b="b"/>
                            <a:pathLst>
                              <a:path w="6502400" h="317500">
                                <a:moveTo>
                                  <a:pt x="6502400" y="0"/>
                                </a:moveTo>
                                <a:lnTo>
                                  <a:pt x="6502400" y="0"/>
                                </a:lnTo>
                                <a:lnTo>
                                  <a:pt x="0" y="0"/>
                                </a:lnTo>
                                <a:lnTo>
                                  <a:pt x="0" y="317500"/>
                                </a:lnTo>
                                <a:lnTo>
                                  <a:pt x="6502400" y="317500"/>
                                </a:lnTo>
                                <a:lnTo>
                                  <a:pt x="6502400" y="0"/>
                                </a:lnTo>
                                <a:close/>
                              </a:path>
                            </a:pathLst>
                          </a:custGeom>
                          <a:solidFill>
                            <a:srgbClr val="CCEDFF"/>
                          </a:solidFill>
                        </wps:spPr>
                        <wps:bodyPr wrap="square" lIns="0" tIns="0" rIns="0" bIns="0" rtlCol="0">
                          <a:prstTxWarp prst="textNoShape">
                            <a:avLst/>
                          </a:prstTxWarp>
                          <a:noAutofit/>
                        </wps:bodyPr>
                      </wps:wsp>
                      <wps:wsp>
                        <wps:cNvPr id="239" name="Graphic 239"/>
                        <wps:cNvSpPr/>
                        <wps:spPr>
                          <a:xfrm>
                            <a:off x="4038600" y="311149"/>
                            <a:ext cx="2463800" cy="12700"/>
                          </a:xfrm>
                          <a:custGeom>
                            <a:avLst/>
                            <a:gdLst/>
                            <a:ahLst/>
                            <a:cxnLst/>
                            <a:rect l="l" t="t" r="r" b="b"/>
                            <a:pathLst>
                              <a:path w="2463800" h="12700">
                                <a:moveTo>
                                  <a:pt x="787400" y="0"/>
                                </a:moveTo>
                                <a:lnTo>
                                  <a:pt x="0" y="0"/>
                                </a:lnTo>
                                <a:lnTo>
                                  <a:pt x="0" y="12700"/>
                                </a:lnTo>
                                <a:lnTo>
                                  <a:pt x="787400" y="12700"/>
                                </a:lnTo>
                                <a:lnTo>
                                  <a:pt x="787400" y="0"/>
                                </a:lnTo>
                                <a:close/>
                              </a:path>
                              <a:path w="2463800" h="12700">
                                <a:moveTo>
                                  <a:pt x="1625600" y="0"/>
                                </a:moveTo>
                                <a:lnTo>
                                  <a:pt x="838200" y="0"/>
                                </a:lnTo>
                                <a:lnTo>
                                  <a:pt x="838200" y="12700"/>
                                </a:lnTo>
                                <a:lnTo>
                                  <a:pt x="1625600" y="12700"/>
                                </a:lnTo>
                                <a:lnTo>
                                  <a:pt x="1625600" y="0"/>
                                </a:lnTo>
                                <a:close/>
                              </a:path>
                              <a:path w="2463800" h="12700">
                                <a:moveTo>
                                  <a:pt x="2463800" y="0"/>
                                </a:moveTo>
                                <a:lnTo>
                                  <a:pt x="1676400" y="0"/>
                                </a:lnTo>
                                <a:lnTo>
                                  <a:pt x="1676400" y="12700"/>
                                </a:lnTo>
                                <a:lnTo>
                                  <a:pt x="2463800" y="12700"/>
                                </a:lnTo>
                                <a:lnTo>
                                  <a:pt x="2463800" y="0"/>
                                </a:lnTo>
                                <a:close/>
                              </a:path>
                            </a:pathLst>
                          </a:custGeom>
                          <a:solidFill>
                            <a:srgbClr val="000000"/>
                          </a:solidFill>
                        </wps:spPr>
                        <wps:bodyPr wrap="square" lIns="0" tIns="0" rIns="0" bIns="0" rtlCol="0">
                          <a:prstTxWarp prst="textNoShape">
                            <a:avLst/>
                          </a:prstTxWarp>
                          <a:noAutofit/>
                        </wps:bodyPr>
                      </wps:wsp>
                      <wps:wsp>
                        <wps:cNvPr id="240" name="Textbox 240"/>
                        <wps:cNvSpPr txBox="1"/>
                        <wps:spPr>
                          <a:xfrm>
                            <a:off x="260350" y="18019"/>
                            <a:ext cx="3582035" cy="267970"/>
                          </a:xfrm>
                          <a:prstGeom prst="rect">
                            <a:avLst/>
                          </a:prstGeom>
                        </wps:spPr>
                        <wps:txbx>
                          <w:txbxContent>
                            <w:p>
                              <w:pPr>
                                <w:spacing w:line="208" w:lineRule="auto" w:before="15"/>
                                <w:ind w:left="180" w:right="0" w:hanging="180"/>
                                <w:jc w:val="left"/>
                                <w:rPr>
                                  <w:sz w:val="20"/>
                                </w:rPr>
                              </w:pPr>
                              <w:r>
                                <w:rPr>
                                  <w:sz w:val="20"/>
                                </w:rPr>
                                <w:t>Reclassification</w:t>
                              </w:r>
                              <w:r>
                                <w:rPr>
                                  <w:spacing w:val="-5"/>
                                  <w:sz w:val="20"/>
                                </w:rPr>
                                <w:t> </w:t>
                              </w:r>
                              <w:r>
                                <w:rPr>
                                  <w:sz w:val="20"/>
                                </w:rPr>
                                <w:t>adjustment</w:t>
                              </w:r>
                              <w:r>
                                <w:rPr>
                                  <w:spacing w:val="-5"/>
                                  <w:sz w:val="20"/>
                                </w:rPr>
                                <w:t> </w:t>
                              </w:r>
                              <w:r>
                                <w:rPr>
                                  <w:sz w:val="20"/>
                                </w:rPr>
                                <w:t>for</w:t>
                              </w:r>
                              <w:r>
                                <w:rPr>
                                  <w:spacing w:val="-5"/>
                                  <w:sz w:val="20"/>
                                </w:rPr>
                                <w:t> </w:t>
                              </w:r>
                              <w:r>
                                <w:rPr>
                                  <w:sz w:val="20"/>
                                </w:rPr>
                                <w:t>recognized</w:t>
                              </w:r>
                              <w:r>
                                <w:rPr>
                                  <w:spacing w:val="-5"/>
                                  <w:sz w:val="20"/>
                                </w:rPr>
                                <w:t> </w:t>
                              </w:r>
                              <w:r>
                                <w:rPr>
                                  <w:sz w:val="20"/>
                                </w:rPr>
                                <w:t>gains</w:t>
                              </w:r>
                              <w:r>
                                <w:rPr>
                                  <w:spacing w:val="-6"/>
                                  <w:sz w:val="20"/>
                                </w:rPr>
                                <w:t> </w:t>
                              </w:r>
                              <w:r>
                                <w:rPr>
                                  <w:sz w:val="20"/>
                                </w:rPr>
                                <w:t>/</w:t>
                              </w:r>
                              <w:r>
                                <w:rPr>
                                  <w:spacing w:val="-5"/>
                                  <w:sz w:val="20"/>
                                </w:rPr>
                                <w:t> </w:t>
                              </w:r>
                              <w:r>
                                <w:rPr>
                                  <w:sz w:val="20"/>
                                </w:rPr>
                                <w:t>losses</w:t>
                              </w:r>
                              <w:r>
                                <w:rPr>
                                  <w:spacing w:val="-6"/>
                                  <w:sz w:val="20"/>
                                </w:rPr>
                                <w:t> </w:t>
                              </w:r>
                              <w:r>
                                <w:rPr>
                                  <w:sz w:val="20"/>
                                </w:rPr>
                                <w:t>on</w:t>
                              </w:r>
                              <w:r>
                                <w:rPr>
                                  <w:spacing w:val="-5"/>
                                  <w:sz w:val="20"/>
                                </w:rPr>
                                <w:t> </w:t>
                              </w:r>
                              <w:r>
                                <w:rPr>
                                  <w:sz w:val="20"/>
                                </w:rPr>
                                <w:t>derivative </w:t>
                              </w:r>
                              <w:r>
                                <w:rPr>
                                  <w:spacing w:val="-2"/>
                                  <w:sz w:val="20"/>
                                </w:rPr>
                                <w:t>instruments</w:t>
                              </w:r>
                            </w:p>
                          </w:txbxContent>
                        </wps:txbx>
                        <wps:bodyPr wrap="square" lIns="0" tIns="0" rIns="0" bIns="0" rtlCol="0">
                          <a:noAutofit/>
                        </wps:bodyPr>
                      </wps:wsp>
                      <wps:wsp>
                        <wps:cNvPr id="241" name="Textbox 241"/>
                        <wps:cNvSpPr txBox="1"/>
                        <wps:spPr>
                          <a:xfrm>
                            <a:off x="4385309" y="144384"/>
                            <a:ext cx="447040" cy="141605"/>
                          </a:xfrm>
                          <a:prstGeom prst="rect">
                            <a:avLst/>
                          </a:prstGeom>
                        </wps:spPr>
                        <wps:txbx>
                          <w:txbxContent>
                            <w:p>
                              <w:pPr>
                                <w:spacing w:line="222" w:lineRule="exact" w:before="0"/>
                                <w:ind w:left="0" w:right="0" w:firstLine="0"/>
                                <w:jc w:val="left"/>
                                <w:rPr>
                                  <w:sz w:val="20"/>
                                </w:rPr>
                              </w:pPr>
                              <w:r>
                                <w:rPr>
                                  <w:spacing w:val="-2"/>
                                  <w:sz w:val="20"/>
                                </w:rPr>
                                <w:t>(31,973)</w:t>
                              </w:r>
                            </w:p>
                          </w:txbxContent>
                        </wps:txbx>
                        <wps:bodyPr wrap="square" lIns="0" tIns="0" rIns="0" bIns="0" rtlCol="0">
                          <a:noAutofit/>
                        </wps:bodyPr>
                      </wps:wsp>
                      <wps:wsp>
                        <wps:cNvPr id="242" name="Textbox 242"/>
                        <wps:cNvSpPr txBox="1"/>
                        <wps:spPr>
                          <a:xfrm>
                            <a:off x="5223509" y="144384"/>
                            <a:ext cx="447040" cy="141605"/>
                          </a:xfrm>
                          <a:prstGeom prst="rect">
                            <a:avLst/>
                          </a:prstGeom>
                        </wps:spPr>
                        <wps:txbx>
                          <w:txbxContent>
                            <w:p>
                              <w:pPr>
                                <w:spacing w:line="222" w:lineRule="exact" w:before="0"/>
                                <w:ind w:left="0" w:right="0" w:firstLine="0"/>
                                <w:jc w:val="left"/>
                                <w:rPr>
                                  <w:sz w:val="20"/>
                                </w:rPr>
                              </w:pPr>
                              <w:r>
                                <w:rPr>
                                  <w:spacing w:val="-2"/>
                                  <w:sz w:val="20"/>
                                </w:rPr>
                                <w:t>(16,425)</w:t>
                              </w:r>
                            </w:p>
                          </w:txbxContent>
                        </wps:txbx>
                        <wps:bodyPr wrap="square" lIns="0" tIns="0" rIns="0" bIns="0" rtlCol="0">
                          <a:noAutofit/>
                        </wps:bodyPr>
                      </wps:wsp>
                      <wps:wsp>
                        <wps:cNvPr id="243" name="Textbox 243"/>
                        <wps:cNvSpPr txBox="1"/>
                        <wps:spPr>
                          <a:xfrm>
                            <a:off x="6061709" y="144384"/>
                            <a:ext cx="447040" cy="141605"/>
                          </a:xfrm>
                          <a:prstGeom prst="rect">
                            <a:avLst/>
                          </a:prstGeom>
                        </wps:spPr>
                        <wps:txbx>
                          <w:txbxContent>
                            <w:p>
                              <w:pPr>
                                <w:spacing w:line="222" w:lineRule="exact" w:before="0"/>
                                <w:ind w:left="0" w:right="0" w:firstLine="0"/>
                                <w:jc w:val="left"/>
                                <w:rPr>
                                  <w:sz w:val="20"/>
                                </w:rPr>
                              </w:pPr>
                              <w:r>
                                <w:rPr>
                                  <w:spacing w:val="-2"/>
                                  <w:sz w:val="20"/>
                                </w:rPr>
                                <w:t>(55,535)</w:t>
                              </w:r>
                            </w:p>
                          </w:txbxContent>
                        </wps:txbx>
                        <wps:bodyPr wrap="square" lIns="0" tIns="0" rIns="0" bIns="0" rtlCol="0">
                          <a:noAutofit/>
                        </wps:bodyPr>
                      </wps:wsp>
                    </wpg:wgp>
                  </a:graphicData>
                </a:graphic>
              </wp:inline>
            </w:drawing>
          </mc:Choice>
          <mc:Fallback>
            <w:pict>
              <v:group style="width:512.5pt;height:25.5pt;mso-position-horizontal-relative:char;mso-position-vertical-relative:line" id="docshapegroup176" coordorigin="0,0" coordsize="10250,510">
                <v:rect style="position:absolute;left:0;top:0;width:10240;height:500" id="docshape177" filled="true" fillcolor="#ccedff" stroked="false">
                  <v:fill type="solid"/>
                </v:rect>
                <v:shape style="position:absolute;left:6360;top:490;width:3880;height:20" id="docshape178" coordorigin="6360,490" coordsize="3880,20" path="m7600,490l6360,490,6360,510,7600,510,7600,490xm8920,490l7680,490,7680,510,8920,510,8920,490xm10240,490l9000,490,9000,510,10240,510,10240,490xe" filled="true" fillcolor="#000000" stroked="false">
                  <v:path arrowok="t"/>
                  <v:fill type="solid"/>
                </v:shape>
                <v:shape style="position:absolute;left:410;top:28;width:5641;height:422" type="#_x0000_t202" id="docshape179" filled="false" stroked="false">
                  <v:textbox inset="0,0,0,0">
                    <w:txbxContent>
                      <w:p>
                        <w:pPr>
                          <w:spacing w:line="208" w:lineRule="auto" w:before="15"/>
                          <w:ind w:left="180" w:right="0" w:hanging="180"/>
                          <w:jc w:val="left"/>
                          <w:rPr>
                            <w:sz w:val="20"/>
                          </w:rPr>
                        </w:pPr>
                        <w:r>
                          <w:rPr>
                            <w:sz w:val="20"/>
                          </w:rPr>
                          <w:t>Reclassification</w:t>
                        </w:r>
                        <w:r>
                          <w:rPr>
                            <w:spacing w:val="-5"/>
                            <w:sz w:val="20"/>
                          </w:rPr>
                          <w:t> </w:t>
                        </w:r>
                        <w:r>
                          <w:rPr>
                            <w:sz w:val="20"/>
                          </w:rPr>
                          <w:t>adjustment</w:t>
                        </w:r>
                        <w:r>
                          <w:rPr>
                            <w:spacing w:val="-5"/>
                            <w:sz w:val="20"/>
                          </w:rPr>
                          <w:t> </w:t>
                        </w:r>
                        <w:r>
                          <w:rPr>
                            <w:sz w:val="20"/>
                          </w:rPr>
                          <w:t>for</w:t>
                        </w:r>
                        <w:r>
                          <w:rPr>
                            <w:spacing w:val="-5"/>
                            <w:sz w:val="20"/>
                          </w:rPr>
                          <w:t> </w:t>
                        </w:r>
                        <w:r>
                          <w:rPr>
                            <w:sz w:val="20"/>
                          </w:rPr>
                          <w:t>recognized</w:t>
                        </w:r>
                        <w:r>
                          <w:rPr>
                            <w:spacing w:val="-5"/>
                            <w:sz w:val="20"/>
                          </w:rPr>
                          <w:t> </w:t>
                        </w:r>
                        <w:r>
                          <w:rPr>
                            <w:sz w:val="20"/>
                          </w:rPr>
                          <w:t>gains</w:t>
                        </w:r>
                        <w:r>
                          <w:rPr>
                            <w:spacing w:val="-6"/>
                            <w:sz w:val="20"/>
                          </w:rPr>
                          <w:t> </w:t>
                        </w:r>
                        <w:r>
                          <w:rPr>
                            <w:sz w:val="20"/>
                          </w:rPr>
                          <w:t>/</w:t>
                        </w:r>
                        <w:r>
                          <w:rPr>
                            <w:spacing w:val="-5"/>
                            <w:sz w:val="20"/>
                          </w:rPr>
                          <w:t> </w:t>
                        </w:r>
                        <w:r>
                          <w:rPr>
                            <w:sz w:val="20"/>
                          </w:rPr>
                          <w:t>losses</w:t>
                        </w:r>
                        <w:r>
                          <w:rPr>
                            <w:spacing w:val="-6"/>
                            <w:sz w:val="20"/>
                          </w:rPr>
                          <w:t> </w:t>
                        </w:r>
                        <w:r>
                          <w:rPr>
                            <w:sz w:val="20"/>
                          </w:rPr>
                          <w:t>on</w:t>
                        </w:r>
                        <w:r>
                          <w:rPr>
                            <w:spacing w:val="-5"/>
                            <w:sz w:val="20"/>
                          </w:rPr>
                          <w:t> </w:t>
                        </w:r>
                        <w:r>
                          <w:rPr>
                            <w:sz w:val="20"/>
                          </w:rPr>
                          <w:t>derivative </w:t>
                        </w:r>
                        <w:r>
                          <w:rPr>
                            <w:spacing w:val="-2"/>
                            <w:sz w:val="20"/>
                          </w:rPr>
                          <w:t>instruments</w:t>
                        </w:r>
                      </w:p>
                    </w:txbxContent>
                  </v:textbox>
                  <w10:wrap type="none"/>
                </v:shape>
                <v:shape style="position:absolute;left:6906;top:227;width:704;height:223" type="#_x0000_t202" id="docshape180" filled="false" stroked="false">
                  <v:textbox inset="0,0,0,0">
                    <w:txbxContent>
                      <w:p>
                        <w:pPr>
                          <w:spacing w:line="222" w:lineRule="exact" w:before="0"/>
                          <w:ind w:left="0" w:right="0" w:firstLine="0"/>
                          <w:jc w:val="left"/>
                          <w:rPr>
                            <w:sz w:val="20"/>
                          </w:rPr>
                        </w:pPr>
                        <w:r>
                          <w:rPr>
                            <w:spacing w:val="-2"/>
                            <w:sz w:val="20"/>
                          </w:rPr>
                          <w:t>(31,973)</w:t>
                        </w:r>
                      </w:p>
                    </w:txbxContent>
                  </v:textbox>
                  <w10:wrap type="none"/>
                </v:shape>
                <v:shape style="position:absolute;left:8226;top:227;width:704;height:223" type="#_x0000_t202" id="docshape181" filled="false" stroked="false">
                  <v:textbox inset="0,0,0,0">
                    <w:txbxContent>
                      <w:p>
                        <w:pPr>
                          <w:spacing w:line="222" w:lineRule="exact" w:before="0"/>
                          <w:ind w:left="0" w:right="0" w:firstLine="0"/>
                          <w:jc w:val="left"/>
                          <w:rPr>
                            <w:sz w:val="20"/>
                          </w:rPr>
                        </w:pPr>
                        <w:r>
                          <w:rPr>
                            <w:spacing w:val="-2"/>
                            <w:sz w:val="20"/>
                          </w:rPr>
                          <w:t>(16,425)</w:t>
                        </w:r>
                      </w:p>
                    </w:txbxContent>
                  </v:textbox>
                  <w10:wrap type="none"/>
                </v:shape>
                <v:shape style="position:absolute;left:9546;top:227;width:704;height:223" type="#_x0000_t202" id="docshape182" filled="false" stroked="false">
                  <v:textbox inset="0,0,0,0">
                    <w:txbxContent>
                      <w:p>
                        <w:pPr>
                          <w:spacing w:line="222" w:lineRule="exact" w:before="0"/>
                          <w:ind w:left="0" w:right="0" w:firstLine="0"/>
                          <w:jc w:val="left"/>
                          <w:rPr>
                            <w:sz w:val="20"/>
                          </w:rPr>
                        </w:pPr>
                        <w:r>
                          <w:rPr>
                            <w:spacing w:val="-2"/>
                            <w:sz w:val="20"/>
                          </w:rPr>
                          <w:t>(55,535)</w:t>
                        </w:r>
                      </w:p>
                    </w:txbxContent>
                  </v:textbox>
                  <w10:wrap type="none"/>
                </v:shape>
              </v:group>
            </w:pict>
          </mc:Fallback>
        </mc:AlternateContent>
      </w:r>
      <w:r>
        <w:rPr/>
      </w:r>
    </w:p>
    <w:p>
      <w:pPr>
        <w:pStyle w:val="BodyText"/>
        <w:ind w:left="800"/>
      </w:pPr>
      <w:r>
        <w:rPr/>
        <mc:AlternateContent>
          <mc:Choice Requires="wps">
            <w:drawing>
              <wp:anchor distT="0" distB="0" distL="0" distR="0" allowOverlap="1" layoutInCell="1" locked="0" behindDoc="0" simplePos="0" relativeHeight="15774720">
                <wp:simplePos x="0" y="0"/>
                <wp:positionH relativeFrom="page">
                  <wp:posOffset>590550</wp:posOffset>
                </wp:positionH>
                <wp:positionV relativeFrom="paragraph">
                  <wp:posOffset>110806</wp:posOffset>
                </wp:positionV>
                <wp:extent cx="6578600" cy="75057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6578600" cy="7505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6"/>
                              <w:gridCol w:w="2494"/>
                              <w:gridCol w:w="1320"/>
                              <w:gridCol w:w="1260"/>
                            </w:tblGrid>
                            <w:tr>
                              <w:trPr>
                                <w:trHeight w:val="272" w:hRule="atLeast"/>
                              </w:trPr>
                              <w:tc>
                                <w:tcPr>
                                  <w:tcW w:w="5166" w:type="dxa"/>
                                </w:tcPr>
                                <w:p>
                                  <w:pPr>
                                    <w:pStyle w:val="TableParagraph"/>
                                    <w:spacing w:line="222" w:lineRule="exact"/>
                                    <w:ind w:left="770"/>
                                    <w:rPr>
                                      <w:sz w:val="20"/>
                                    </w:rPr>
                                  </w:pPr>
                                  <w:r>
                                    <w:rPr>
                                      <w:spacing w:val="-2"/>
                                      <w:sz w:val="20"/>
                                    </w:rPr>
                                    <w:t>instruments</w:t>
                                  </w:r>
                                </w:p>
                              </w:tc>
                              <w:tc>
                                <w:tcPr>
                                  <w:tcW w:w="2494" w:type="dxa"/>
                                </w:tcPr>
                                <w:p>
                                  <w:pPr>
                                    <w:pStyle w:val="TableParagraph"/>
                                    <w:spacing w:line="222" w:lineRule="exact"/>
                                    <w:ind w:right="68"/>
                                    <w:jc w:val="right"/>
                                    <w:rPr>
                                      <w:sz w:val="20"/>
                                    </w:rPr>
                                  </w:pPr>
                                  <w:r>
                                    <w:rPr>
                                      <w:spacing w:val="-2"/>
                                      <w:sz w:val="20"/>
                                    </w:rPr>
                                    <w:t>(25,056)</w:t>
                                  </w:r>
                                </w:p>
                              </w:tc>
                              <w:tc>
                                <w:tcPr>
                                  <w:tcW w:w="1320" w:type="dxa"/>
                                </w:tcPr>
                                <w:p>
                                  <w:pPr>
                                    <w:pStyle w:val="TableParagraph"/>
                                    <w:spacing w:line="222" w:lineRule="exact"/>
                                    <w:ind w:right="136"/>
                                    <w:jc w:val="right"/>
                                    <w:rPr>
                                      <w:sz w:val="20"/>
                                    </w:rPr>
                                  </w:pPr>
                                  <w:r>
                                    <w:rPr>
                                      <w:spacing w:val="-2"/>
                                      <w:sz w:val="20"/>
                                    </w:rPr>
                                    <w:t>18,774</w:t>
                                  </w:r>
                                </w:p>
                              </w:tc>
                              <w:tc>
                                <w:tcPr>
                                  <w:tcW w:w="1260" w:type="dxa"/>
                                </w:tcPr>
                                <w:p>
                                  <w:pPr>
                                    <w:pStyle w:val="TableParagraph"/>
                                    <w:spacing w:line="222" w:lineRule="exact"/>
                                    <w:ind w:right="8"/>
                                    <w:jc w:val="right"/>
                                    <w:rPr>
                                      <w:sz w:val="20"/>
                                    </w:rPr>
                                  </w:pPr>
                                  <w:r>
                                    <w:rPr>
                                      <w:spacing w:val="-2"/>
                                      <w:sz w:val="20"/>
                                    </w:rPr>
                                    <w:t>(25,740)</w:t>
                                  </w:r>
                                </w:p>
                              </w:tc>
                            </w:tr>
                            <w:tr>
                              <w:trPr>
                                <w:trHeight w:val="290" w:hRule="atLeast"/>
                              </w:trPr>
                              <w:tc>
                                <w:tcPr>
                                  <w:tcW w:w="5166" w:type="dxa"/>
                                  <w:shd w:val="clear" w:color="auto" w:fill="CCEDFF"/>
                                </w:tcPr>
                                <w:p>
                                  <w:pPr>
                                    <w:pStyle w:val="TableParagraph"/>
                                    <w:spacing w:before="20"/>
                                    <w:ind w:left="230"/>
                                    <w:rPr>
                                      <w:sz w:val="20"/>
                                    </w:rPr>
                                  </w:pPr>
                                  <w:r>
                                    <w:rPr>
                                      <w:sz w:val="20"/>
                                    </w:rPr>
                                    <w:t>Foreign currency translation </w:t>
                                  </w:r>
                                  <w:r>
                                    <w:rPr>
                                      <w:spacing w:val="-2"/>
                                      <w:sz w:val="20"/>
                                    </w:rPr>
                                    <w:t>adjustments</w:t>
                                  </w:r>
                                </w:p>
                              </w:tc>
                              <w:tc>
                                <w:tcPr>
                                  <w:tcW w:w="2494" w:type="dxa"/>
                                  <w:tcBorders>
                                    <w:bottom w:val="single" w:sz="8" w:space="0" w:color="000000"/>
                                  </w:tcBorders>
                                  <w:shd w:val="clear" w:color="auto" w:fill="CCEDFF"/>
                                </w:tcPr>
                                <w:p>
                                  <w:pPr>
                                    <w:pStyle w:val="TableParagraph"/>
                                    <w:spacing w:before="20"/>
                                    <w:ind w:right="136"/>
                                    <w:jc w:val="right"/>
                                    <w:rPr>
                                      <w:sz w:val="20"/>
                                    </w:rPr>
                                  </w:pPr>
                                  <w:r>
                                    <w:rPr>
                                      <w:spacing w:val="-2"/>
                                      <w:sz w:val="20"/>
                                    </w:rPr>
                                    <w:t>90,287</w:t>
                                  </w:r>
                                </w:p>
                              </w:tc>
                              <w:tc>
                                <w:tcPr>
                                  <w:tcW w:w="1320" w:type="dxa"/>
                                  <w:tcBorders>
                                    <w:bottom w:val="single" w:sz="8" w:space="0" w:color="000000"/>
                                  </w:tcBorders>
                                  <w:shd w:val="clear" w:color="auto" w:fill="CCEDFF"/>
                                </w:tcPr>
                                <w:p>
                                  <w:pPr>
                                    <w:pStyle w:val="TableParagraph"/>
                                    <w:spacing w:before="20"/>
                                    <w:ind w:right="68"/>
                                    <w:jc w:val="right"/>
                                    <w:rPr>
                                      <w:sz w:val="20"/>
                                    </w:rPr>
                                  </w:pPr>
                                  <w:r>
                                    <w:rPr>
                                      <w:spacing w:val="-2"/>
                                      <w:sz w:val="20"/>
                                    </w:rPr>
                                    <w:t>(19,783)</w:t>
                                  </w:r>
                                </w:p>
                              </w:tc>
                              <w:tc>
                                <w:tcPr>
                                  <w:tcW w:w="1260" w:type="dxa"/>
                                  <w:tcBorders>
                                    <w:bottom w:val="single" w:sz="8" w:space="0" w:color="000000"/>
                                  </w:tcBorders>
                                  <w:shd w:val="clear" w:color="auto" w:fill="CCEDFF"/>
                                </w:tcPr>
                                <w:p>
                                  <w:pPr>
                                    <w:pStyle w:val="TableParagraph"/>
                                    <w:spacing w:before="20"/>
                                    <w:ind w:right="8"/>
                                    <w:jc w:val="right"/>
                                    <w:rPr>
                                      <w:sz w:val="20"/>
                                    </w:rPr>
                                  </w:pPr>
                                  <w:r>
                                    <w:rPr>
                                      <w:spacing w:val="-2"/>
                                      <w:sz w:val="20"/>
                                    </w:rPr>
                                    <w:t>(123,065)</w:t>
                                  </w:r>
                                </w:p>
                              </w:tc>
                            </w:tr>
                            <w:tr>
                              <w:trPr>
                                <w:trHeight w:val="280" w:hRule="atLeast"/>
                              </w:trPr>
                              <w:tc>
                                <w:tcPr>
                                  <w:tcW w:w="5166" w:type="dxa"/>
                                </w:tcPr>
                                <w:p>
                                  <w:pPr>
                                    <w:pStyle w:val="TableParagraph"/>
                                    <w:spacing w:before="10"/>
                                    <w:ind w:left="50"/>
                                    <w:rPr>
                                      <w:sz w:val="20"/>
                                    </w:rPr>
                                  </w:pPr>
                                  <w:r>
                                    <w:rPr>
                                      <w:sz w:val="20"/>
                                    </w:rPr>
                                    <w:t>Other comprehensive income (loss), net of </w:t>
                                  </w:r>
                                  <w:r>
                                    <w:rPr>
                                      <w:spacing w:val="-2"/>
                                      <w:sz w:val="20"/>
                                    </w:rPr>
                                    <w:t>taxes</w:t>
                                  </w:r>
                                </w:p>
                              </w:tc>
                              <w:tc>
                                <w:tcPr>
                                  <w:tcW w:w="2494" w:type="dxa"/>
                                  <w:tcBorders>
                                    <w:top w:val="single" w:sz="8" w:space="0" w:color="000000"/>
                                    <w:bottom w:val="single" w:sz="8" w:space="0" w:color="000000"/>
                                  </w:tcBorders>
                                </w:tcPr>
                                <w:p>
                                  <w:pPr>
                                    <w:pStyle w:val="TableParagraph"/>
                                    <w:spacing w:before="10"/>
                                    <w:ind w:right="136"/>
                                    <w:jc w:val="right"/>
                                    <w:rPr>
                                      <w:sz w:val="20"/>
                                    </w:rPr>
                                  </w:pPr>
                                  <w:r>
                                    <w:rPr>
                                      <w:spacing w:val="-2"/>
                                      <w:sz w:val="20"/>
                                    </w:rPr>
                                    <w:t>61,781</w:t>
                                  </w:r>
                                </w:p>
                              </w:tc>
                              <w:tc>
                                <w:tcPr>
                                  <w:tcW w:w="1320" w:type="dxa"/>
                                  <w:tcBorders>
                                    <w:top w:val="single" w:sz="8" w:space="0" w:color="000000"/>
                                    <w:bottom w:val="single" w:sz="8" w:space="0" w:color="000000"/>
                                  </w:tcBorders>
                                </w:tcPr>
                                <w:p>
                                  <w:pPr>
                                    <w:pStyle w:val="TableParagraph"/>
                                    <w:spacing w:before="10"/>
                                    <w:ind w:right="68"/>
                                    <w:jc w:val="right"/>
                                    <w:rPr>
                                      <w:sz w:val="20"/>
                                    </w:rPr>
                                  </w:pPr>
                                  <w:r>
                                    <w:rPr>
                                      <w:spacing w:val="-2"/>
                                      <w:sz w:val="20"/>
                                    </w:rPr>
                                    <w:t>(4,522)</w:t>
                                  </w:r>
                                </w:p>
                              </w:tc>
                              <w:tc>
                                <w:tcPr>
                                  <w:tcW w:w="1260" w:type="dxa"/>
                                  <w:tcBorders>
                                    <w:top w:val="single" w:sz="8" w:space="0" w:color="000000"/>
                                    <w:bottom w:val="single" w:sz="8" w:space="0" w:color="000000"/>
                                  </w:tcBorders>
                                </w:tcPr>
                                <w:p>
                                  <w:pPr>
                                    <w:pStyle w:val="TableParagraph"/>
                                    <w:spacing w:before="10"/>
                                    <w:ind w:right="8"/>
                                    <w:jc w:val="right"/>
                                    <w:rPr>
                                      <w:sz w:val="20"/>
                                    </w:rPr>
                                  </w:pPr>
                                  <w:r>
                                    <w:rPr>
                                      <w:spacing w:val="-2"/>
                                      <w:sz w:val="20"/>
                                    </w:rPr>
                                    <w:t>(160,986)</w:t>
                                  </w:r>
                                </w:p>
                              </w:tc>
                            </w:tr>
                            <w:tr>
                              <w:trPr>
                                <w:trHeight w:val="240" w:hRule="atLeast"/>
                              </w:trPr>
                              <w:tc>
                                <w:tcPr>
                                  <w:tcW w:w="5166" w:type="dxa"/>
                                  <w:shd w:val="clear" w:color="auto" w:fill="CCEDFF"/>
                                </w:tcPr>
                                <w:p>
                                  <w:pPr>
                                    <w:pStyle w:val="TableParagraph"/>
                                    <w:spacing w:line="210" w:lineRule="exact" w:before="10"/>
                                    <w:ind w:left="50"/>
                                    <w:rPr>
                                      <w:sz w:val="20"/>
                                    </w:rPr>
                                  </w:pPr>
                                  <w:r>
                                    <w:rPr>
                                      <w:sz w:val="20"/>
                                    </w:rPr>
                                    <w:t>Total</w:t>
                                  </w:r>
                                  <w:r>
                                    <w:rPr>
                                      <w:spacing w:val="-3"/>
                                      <w:sz w:val="20"/>
                                    </w:rPr>
                                    <w:t> </w:t>
                                  </w:r>
                                  <w:r>
                                    <w:rPr>
                                      <w:sz w:val="20"/>
                                    </w:rPr>
                                    <w:t>comprehensive</w:t>
                                  </w:r>
                                  <w:r>
                                    <w:rPr>
                                      <w:spacing w:val="-3"/>
                                      <w:sz w:val="20"/>
                                    </w:rPr>
                                    <w:t> </w:t>
                                  </w:r>
                                  <w:r>
                                    <w:rPr>
                                      <w:sz w:val="20"/>
                                    </w:rPr>
                                    <w:t>income,</w:t>
                                  </w:r>
                                  <w:r>
                                    <w:rPr>
                                      <w:spacing w:val="-3"/>
                                      <w:sz w:val="20"/>
                                    </w:rPr>
                                    <w:t> </w:t>
                                  </w:r>
                                  <w:r>
                                    <w:rPr>
                                      <w:sz w:val="20"/>
                                    </w:rPr>
                                    <w:t>net</w:t>
                                  </w:r>
                                  <w:r>
                                    <w:rPr>
                                      <w:spacing w:val="-3"/>
                                      <w:sz w:val="20"/>
                                    </w:rPr>
                                    <w:t> </w:t>
                                  </w:r>
                                  <w:r>
                                    <w:rPr>
                                      <w:sz w:val="20"/>
                                    </w:rPr>
                                    <w:t>of</w:t>
                                  </w:r>
                                  <w:r>
                                    <w:rPr>
                                      <w:spacing w:val="-2"/>
                                      <w:sz w:val="20"/>
                                    </w:rPr>
                                    <w:t> taxes</w:t>
                                  </w:r>
                                </w:p>
                              </w:tc>
                              <w:tc>
                                <w:tcPr>
                                  <w:tcW w:w="2494" w:type="dxa"/>
                                  <w:tcBorders>
                                    <w:top w:val="single" w:sz="8" w:space="0" w:color="000000"/>
                                    <w:bottom w:val="double" w:sz="8" w:space="0" w:color="000000"/>
                                  </w:tcBorders>
                                  <w:shd w:val="clear" w:color="auto" w:fill="CCEDFF"/>
                                </w:tcPr>
                                <w:p>
                                  <w:pPr>
                                    <w:pStyle w:val="TableParagraph"/>
                                    <w:tabs>
                                      <w:tab w:pos="312" w:val="left" w:leader="none"/>
                                    </w:tabs>
                                    <w:spacing w:line="210" w:lineRule="exact" w:before="10"/>
                                    <w:ind w:right="136"/>
                                    <w:jc w:val="right"/>
                                    <w:rPr>
                                      <w:sz w:val="20"/>
                                    </w:rPr>
                                  </w:pPr>
                                  <w:r>
                                    <w:rPr>
                                      <w:spacing w:val="-10"/>
                                      <w:sz w:val="20"/>
                                    </w:rPr>
                                    <w:t>$</w:t>
                                  </w:r>
                                  <w:r>
                                    <w:rPr>
                                      <w:sz w:val="20"/>
                                    </w:rPr>
                                    <w:tab/>
                                  </w:r>
                                  <w:r>
                                    <w:rPr>
                                      <w:spacing w:val="-2"/>
                                      <w:sz w:val="20"/>
                                    </w:rPr>
                                    <w:t>1,755,735</w:t>
                                  </w:r>
                                </w:p>
                              </w:tc>
                              <w:tc>
                                <w:tcPr>
                                  <w:tcW w:w="1320" w:type="dxa"/>
                                  <w:tcBorders>
                                    <w:top w:val="single" w:sz="8" w:space="0" w:color="000000"/>
                                    <w:bottom w:val="double" w:sz="8" w:space="0" w:color="000000"/>
                                  </w:tcBorders>
                                  <w:shd w:val="clear" w:color="auto" w:fill="CCEDFF"/>
                                </w:tcPr>
                                <w:p>
                                  <w:pPr>
                                    <w:pStyle w:val="TableParagraph"/>
                                    <w:tabs>
                                      <w:tab w:pos="382" w:val="left" w:leader="none"/>
                                    </w:tabs>
                                    <w:spacing w:line="210" w:lineRule="exact" w:before="10"/>
                                    <w:ind w:left="70"/>
                                    <w:rPr>
                                      <w:sz w:val="20"/>
                                    </w:rPr>
                                  </w:pPr>
                                  <w:r>
                                    <w:rPr>
                                      <w:spacing w:val="-10"/>
                                      <w:sz w:val="20"/>
                                    </w:rPr>
                                    <w:t>$</w:t>
                                  </w:r>
                                  <w:r>
                                    <w:rPr>
                                      <w:sz w:val="20"/>
                                    </w:rPr>
                                    <w:tab/>
                                  </w:r>
                                  <w:r>
                                    <w:rPr>
                                      <w:spacing w:val="-2"/>
                                      <w:sz w:val="20"/>
                                    </w:rPr>
                                    <w:t>1,164,260</w:t>
                                  </w:r>
                                </w:p>
                              </w:tc>
                              <w:tc>
                                <w:tcPr>
                                  <w:tcW w:w="1260" w:type="dxa"/>
                                  <w:tcBorders>
                                    <w:top w:val="single" w:sz="8" w:space="0" w:color="000000"/>
                                    <w:bottom w:val="double" w:sz="8" w:space="0" w:color="000000"/>
                                  </w:tcBorders>
                                  <w:shd w:val="clear" w:color="auto" w:fill="CCEDFF"/>
                                </w:tcPr>
                                <w:p>
                                  <w:pPr>
                                    <w:pStyle w:val="TableParagraph"/>
                                    <w:tabs>
                                      <w:tab w:pos="532" w:val="left" w:leader="none"/>
                                    </w:tabs>
                                    <w:spacing w:line="210" w:lineRule="exact" w:before="10"/>
                                    <w:ind w:left="70"/>
                                    <w:rPr>
                                      <w:sz w:val="20"/>
                                    </w:rPr>
                                  </w:pPr>
                                  <w:r>
                                    <w:rPr>
                                      <w:spacing w:val="-10"/>
                                      <w:sz w:val="20"/>
                                    </w:rPr>
                                    <w:t>$</w:t>
                                  </w:r>
                                  <w:r>
                                    <w:rPr>
                                      <w:sz w:val="20"/>
                                    </w:rPr>
                                    <w:tab/>
                                  </w:r>
                                  <w:r>
                                    <w:rPr>
                                      <w:spacing w:val="-2"/>
                                      <w:sz w:val="20"/>
                                    </w:rPr>
                                    <w:t>468,565</w:t>
                                  </w:r>
                                </w:p>
                              </w:tc>
                            </w:tr>
                          </w:tbl>
                          <w:p>
                            <w:pPr>
                              <w:pStyle w:val="BodyText"/>
                            </w:pPr>
                          </w:p>
                        </w:txbxContent>
                      </wps:txbx>
                      <wps:bodyPr wrap="square" lIns="0" tIns="0" rIns="0" bIns="0" rtlCol="0">
                        <a:noAutofit/>
                      </wps:bodyPr>
                    </wps:wsp>
                  </a:graphicData>
                </a:graphic>
              </wp:anchor>
            </w:drawing>
          </mc:Choice>
          <mc:Fallback>
            <w:pict>
              <v:shape style="position:absolute;margin-left:46.5pt;margin-top:8.724922pt;width:518pt;height:59.1pt;mso-position-horizontal-relative:page;mso-position-vertical-relative:paragraph;z-index:15774720" type="#_x0000_t202" id="docshape18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6"/>
                        <w:gridCol w:w="2494"/>
                        <w:gridCol w:w="1320"/>
                        <w:gridCol w:w="1260"/>
                      </w:tblGrid>
                      <w:tr>
                        <w:trPr>
                          <w:trHeight w:val="272" w:hRule="atLeast"/>
                        </w:trPr>
                        <w:tc>
                          <w:tcPr>
                            <w:tcW w:w="5166" w:type="dxa"/>
                          </w:tcPr>
                          <w:p>
                            <w:pPr>
                              <w:pStyle w:val="TableParagraph"/>
                              <w:spacing w:line="222" w:lineRule="exact"/>
                              <w:ind w:left="770"/>
                              <w:rPr>
                                <w:sz w:val="20"/>
                              </w:rPr>
                            </w:pPr>
                            <w:r>
                              <w:rPr>
                                <w:spacing w:val="-2"/>
                                <w:sz w:val="20"/>
                              </w:rPr>
                              <w:t>instruments</w:t>
                            </w:r>
                          </w:p>
                        </w:tc>
                        <w:tc>
                          <w:tcPr>
                            <w:tcW w:w="2494" w:type="dxa"/>
                          </w:tcPr>
                          <w:p>
                            <w:pPr>
                              <w:pStyle w:val="TableParagraph"/>
                              <w:spacing w:line="222" w:lineRule="exact"/>
                              <w:ind w:right="68"/>
                              <w:jc w:val="right"/>
                              <w:rPr>
                                <w:sz w:val="20"/>
                              </w:rPr>
                            </w:pPr>
                            <w:r>
                              <w:rPr>
                                <w:spacing w:val="-2"/>
                                <w:sz w:val="20"/>
                              </w:rPr>
                              <w:t>(25,056)</w:t>
                            </w:r>
                          </w:p>
                        </w:tc>
                        <w:tc>
                          <w:tcPr>
                            <w:tcW w:w="1320" w:type="dxa"/>
                          </w:tcPr>
                          <w:p>
                            <w:pPr>
                              <w:pStyle w:val="TableParagraph"/>
                              <w:spacing w:line="222" w:lineRule="exact"/>
                              <w:ind w:right="136"/>
                              <w:jc w:val="right"/>
                              <w:rPr>
                                <w:sz w:val="20"/>
                              </w:rPr>
                            </w:pPr>
                            <w:r>
                              <w:rPr>
                                <w:spacing w:val="-2"/>
                                <w:sz w:val="20"/>
                              </w:rPr>
                              <w:t>18,774</w:t>
                            </w:r>
                          </w:p>
                        </w:tc>
                        <w:tc>
                          <w:tcPr>
                            <w:tcW w:w="1260" w:type="dxa"/>
                          </w:tcPr>
                          <w:p>
                            <w:pPr>
                              <w:pStyle w:val="TableParagraph"/>
                              <w:spacing w:line="222" w:lineRule="exact"/>
                              <w:ind w:right="8"/>
                              <w:jc w:val="right"/>
                              <w:rPr>
                                <w:sz w:val="20"/>
                              </w:rPr>
                            </w:pPr>
                            <w:r>
                              <w:rPr>
                                <w:spacing w:val="-2"/>
                                <w:sz w:val="20"/>
                              </w:rPr>
                              <w:t>(25,740)</w:t>
                            </w:r>
                          </w:p>
                        </w:tc>
                      </w:tr>
                      <w:tr>
                        <w:trPr>
                          <w:trHeight w:val="290" w:hRule="atLeast"/>
                        </w:trPr>
                        <w:tc>
                          <w:tcPr>
                            <w:tcW w:w="5166" w:type="dxa"/>
                            <w:shd w:val="clear" w:color="auto" w:fill="CCEDFF"/>
                          </w:tcPr>
                          <w:p>
                            <w:pPr>
                              <w:pStyle w:val="TableParagraph"/>
                              <w:spacing w:before="20"/>
                              <w:ind w:left="230"/>
                              <w:rPr>
                                <w:sz w:val="20"/>
                              </w:rPr>
                            </w:pPr>
                            <w:r>
                              <w:rPr>
                                <w:sz w:val="20"/>
                              </w:rPr>
                              <w:t>Foreign currency translation </w:t>
                            </w:r>
                            <w:r>
                              <w:rPr>
                                <w:spacing w:val="-2"/>
                                <w:sz w:val="20"/>
                              </w:rPr>
                              <w:t>adjustments</w:t>
                            </w:r>
                          </w:p>
                        </w:tc>
                        <w:tc>
                          <w:tcPr>
                            <w:tcW w:w="2494" w:type="dxa"/>
                            <w:tcBorders>
                              <w:bottom w:val="single" w:sz="8" w:space="0" w:color="000000"/>
                            </w:tcBorders>
                            <w:shd w:val="clear" w:color="auto" w:fill="CCEDFF"/>
                          </w:tcPr>
                          <w:p>
                            <w:pPr>
                              <w:pStyle w:val="TableParagraph"/>
                              <w:spacing w:before="20"/>
                              <w:ind w:right="136"/>
                              <w:jc w:val="right"/>
                              <w:rPr>
                                <w:sz w:val="20"/>
                              </w:rPr>
                            </w:pPr>
                            <w:r>
                              <w:rPr>
                                <w:spacing w:val="-2"/>
                                <w:sz w:val="20"/>
                              </w:rPr>
                              <w:t>90,287</w:t>
                            </w:r>
                          </w:p>
                        </w:tc>
                        <w:tc>
                          <w:tcPr>
                            <w:tcW w:w="1320" w:type="dxa"/>
                            <w:tcBorders>
                              <w:bottom w:val="single" w:sz="8" w:space="0" w:color="000000"/>
                            </w:tcBorders>
                            <w:shd w:val="clear" w:color="auto" w:fill="CCEDFF"/>
                          </w:tcPr>
                          <w:p>
                            <w:pPr>
                              <w:pStyle w:val="TableParagraph"/>
                              <w:spacing w:before="20"/>
                              <w:ind w:right="68"/>
                              <w:jc w:val="right"/>
                              <w:rPr>
                                <w:sz w:val="20"/>
                              </w:rPr>
                            </w:pPr>
                            <w:r>
                              <w:rPr>
                                <w:spacing w:val="-2"/>
                                <w:sz w:val="20"/>
                              </w:rPr>
                              <w:t>(19,783)</w:t>
                            </w:r>
                          </w:p>
                        </w:tc>
                        <w:tc>
                          <w:tcPr>
                            <w:tcW w:w="1260" w:type="dxa"/>
                            <w:tcBorders>
                              <w:bottom w:val="single" w:sz="8" w:space="0" w:color="000000"/>
                            </w:tcBorders>
                            <w:shd w:val="clear" w:color="auto" w:fill="CCEDFF"/>
                          </w:tcPr>
                          <w:p>
                            <w:pPr>
                              <w:pStyle w:val="TableParagraph"/>
                              <w:spacing w:before="20"/>
                              <w:ind w:right="8"/>
                              <w:jc w:val="right"/>
                              <w:rPr>
                                <w:sz w:val="20"/>
                              </w:rPr>
                            </w:pPr>
                            <w:r>
                              <w:rPr>
                                <w:spacing w:val="-2"/>
                                <w:sz w:val="20"/>
                              </w:rPr>
                              <w:t>(123,065)</w:t>
                            </w:r>
                          </w:p>
                        </w:tc>
                      </w:tr>
                      <w:tr>
                        <w:trPr>
                          <w:trHeight w:val="280" w:hRule="atLeast"/>
                        </w:trPr>
                        <w:tc>
                          <w:tcPr>
                            <w:tcW w:w="5166" w:type="dxa"/>
                          </w:tcPr>
                          <w:p>
                            <w:pPr>
                              <w:pStyle w:val="TableParagraph"/>
                              <w:spacing w:before="10"/>
                              <w:ind w:left="50"/>
                              <w:rPr>
                                <w:sz w:val="20"/>
                              </w:rPr>
                            </w:pPr>
                            <w:r>
                              <w:rPr>
                                <w:sz w:val="20"/>
                              </w:rPr>
                              <w:t>Other comprehensive income (loss), net of </w:t>
                            </w:r>
                            <w:r>
                              <w:rPr>
                                <w:spacing w:val="-2"/>
                                <w:sz w:val="20"/>
                              </w:rPr>
                              <w:t>taxes</w:t>
                            </w:r>
                          </w:p>
                        </w:tc>
                        <w:tc>
                          <w:tcPr>
                            <w:tcW w:w="2494" w:type="dxa"/>
                            <w:tcBorders>
                              <w:top w:val="single" w:sz="8" w:space="0" w:color="000000"/>
                              <w:bottom w:val="single" w:sz="8" w:space="0" w:color="000000"/>
                            </w:tcBorders>
                          </w:tcPr>
                          <w:p>
                            <w:pPr>
                              <w:pStyle w:val="TableParagraph"/>
                              <w:spacing w:before="10"/>
                              <w:ind w:right="136"/>
                              <w:jc w:val="right"/>
                              <w:rPr>
                                <w:sz w:val="20"/>
                              </w:rPr>
                            </w:pPr>
                            <w:r>
                              <w:rPr>
                                <w:spacing w:val="-2"/>
                                <w:sz w:val="20"/>
                              </w:rPr>
                              <w:t>61,781</w:t>
                            </w:r>
                          </w:p>
                        </w:tc>
                        <w:tc>
                          <w:tcPr>
                            <w:tcW w:w="1320" w:type="dxa"/>
                            <w:tcBorders>
                              <w:top w:val="single" w:sz="8" w:space="0" w:color="000000"/>
                              <w:bottom w:val="single" w:sz="8" w:space="0" w:color="000000"/>
                            </w:tcBorders>
                          </w:tcPr>
                          <w:p>
                            <w:pPr>
                              <w:pStyle w:val="TableParagraph"/>
                              <w:spacing w:before="10"/>
                              <w:ind w:right="68"/>
                              <w:jc w:val="right"/>
                              <w:rPr>
                                <w:sz w:val="20"/>
                              </w:rPr>
                            </w:pPr>
                            <w:r>
                              <w:rPr>
                                <w:spacing w:val="-2"/>
                                <w:sz w:val="20"/>
                              </w:rPr>
                              <w:t>(4,522)</w:t>
                            </w:r>
                          </w:p>
                        </w:tc>
                        <w:tc>
                          <w:tcPr>
                            <w:tcW w:w="1260" w:type="dxa"/>
                            <w:tcBorders>
                              <w:top w:val="single" w:sz="8" w:space="0" w:color="000000"/>
                              <w:bottom w:val="single" w:sz="8" w:space="0" w:color="000000"/>
                            </w:tcBorders>
                          </w:tcPr>
                          <w:p>
                            <w:pPr>
                              <w:pStyle w:val="TableParagraph"/>
                              <w:spacing w:before="10"/>
                              <w:ind w:right="8"/>
                              <w:jc w:val="right"/>
                              <w:rPr>
                                <w:sz w:val="20"/>
                              </w:rPr>
                            </w:pPr>
                            <w:r>
                              <w:rPr>
                                <w:spacing w:val="-2"/>
                                <w:sz w:val="20"/>
                              </w:rPr>
                              <w:t>(160,986)</w:t>
                            </w:r>
                          </w:p>
                        </w:tc>
                      </w:tr>
                      <w:tr>
                        <w:trPr>
                          <w:trHeight w:val="240" w:hRule="atLeast"/>
                        </w:trPr>
                        <w:tc>
                          <w:tcPr>
                            <w:tcW w:w="5166" w:type="dxa"/>
                            <w:shd w:val="clear" w:color="auto" w:fill="CCEDFF"/>
                          </w:tcPr>
                          <w:p>
                            <w:pPr>
                              <w:pStyle w:val="TableParagraph"/>
                              <w:spacing w:line="210" w:lineRule="exact" w:before="10"/>
                              <w:ind w:left="50"/>
                              <w:rPr>
                                <w:sz w:val="20"/>
                              </w:rPr>
                            </w:pPr>
                            <w:r>
                              <w:rPr>
                                <w:sz w:val="20"/>
                              </w:rPr>
                              <w:t>Total</w:t>
                            </w:r>
                            <w:r>
                              <w:rPr>
                                <w:spacing w:val="-3"/>
                                <w:sz w:val="20"/>
                              </w:rPr>
                              <w:t> </w:t>
                            </w:r>
                            <w:r>
                              <w:rPr>
                                <w:sz w:val="20"/>
                              </w:rPr>
                              <w:t>comprehensive</w:t>
                            </w:r>
                            <w:r>
                              <w:rPr>
                                <w:spacing w:val="-3"/>
                                <w:sz w:val="20"/>
                              </w:rPr>
                              <w:t> </w:t>
                            </w:r>
                            <w:r>
                              <w:rPr>
                                <w:sz w:val="20"/>
                              </w:rPr>
                              <w:t>income,</w:t>
                            </w:r>
                            <w:r>
                              <w:rPr>
                                <w:spacing w:val="-3"/>
                                <w:sz w:val="20"/>
                              </w:rPr>
                              <w:t> </w:t>
                            </w:r>
                            <w:r>
                              <w:rPr>
                                <w:sz w:val="20"/>
                              </w:rPr>
                              <w:t>net</w:t>
                            </w:r>
                            <w:r>
                              <w:rPr>
                                <w:spacing w:val="-3"/>
                                <w:sz w:val="20"/>
                              </w:rPr>
                              <w:t> </w:t>
                            </w:r>
                            <w:r>
                              <w:rPr>
                                <w:sz w:val="20"/>
                              </w:rPr>
                              <w:t>of</w:t>
                            </w:r>
                            <w:r>
                              <w:rPr>
                                <w:spacing w:val="-2"/>
                                <w:sz w:val="20"/>
                              </w:rPr>
                              <w:t> taxes</w:t>
                            </w:r>
                          </w:p>
                        </w:tc>
                        <w:tc>
                          <w:tcPr>
                            <w:tcW w:w="2494" w:type="dxa"/>
                            <w:tcBorders>
                              <w:top w:val="single" w:sz="8" w:space="0" w:color="000000"/>
                              <w:bottom w:val="double" w:sz="8" w:space="0" w:color="000000"/>
                            </w:tcBorders>
                            <w:shd w:val="clear" w:color="auto" w:fill="CCEDFF"/>
                          </w:tcPr>
                          <w:p>
                            <w:pPr>
                              <w:pStyle w:val="TableParagraph"/>
                              <w:tabs>
                                <w:tab w:pos="312" w:val="left" w:leader="none"/>
                              </w:tabs>
                              <w:spacing w:line="210" w:lineRule="exact" w:before="10"/>
                              <w:ind w:right="136"/>
                              <w:jc w:val="right"/>
                              <w:rPr>
                                <w:sz w:val="20"/>
                              </w:rPr>
                            </w:pPr>
                            <w:r>
                              <w:rPr>
                                <w:spacing w:val="-10"/>
                                <w:sz w:val="20"/>
                              </w:rPr>
                              <w:t>$</w:t>
                            </w:r>
                            <w:r>
                              <w:rPr>
                                <w:sz w:val="20"/>
                              </w:rPr>
                              <w:tab/>
                            </w:r>
                            <w:r>
                              <w:rPr>
                                <w:spacing w:val="-2"/>
                                <w:sz w:val="20"/>
                              </w:rPr>
                              <w:t>1,755,735</w:t>
                            </w:r>
                          </w:p>
                        </w:tc>
                        <w:tc>
                          <w:tcPr>
                            <w:tcW w:w="1320" w:type="dxa"/>
                            <w:tcBorders>
                              <w:top w:val="single" w:sz="8" w:space="0" w:color="000000"/>
                              <w:bottom w:val="double" w:sz="8" w:space="0" w:color="000000"/>
                            </w:tcBorders>
                            <w:shd w:val="clear" w:color="auto" w:fill="CCEDFF"/>
                          </w:tcPr>
                          <w:p>
                            <w:pPr>
                              <w:pStyle w:val="TableParagraph"/>
                              <w:tabs>
                                <w:tab w:pos="382" w:val="left" w:leader="none"/>
                              </w:tabs>
                              <w:spacing w:line="210" w:lineRule="exact" w:before="10"/>
                              <w:ind w:left="70"/>
                              <w:rPr>
                                <w:sz w:val="20"/>
                              </w:rPr>
                            </w:pPr>
                            <w:r>
                              <w:rPr>
                                <w:spacing w:val="-10"/>
                                <w:sz w:val="20"/>
                              </w:rPr>
                              <w:t>$</w:t>
                            </w:r>
                            <w:r>
                              <w:rPr>
                                <w:sz w:val="20"/>
                              </w:rPr>
                              <w:tab/>
                            </w:r>
                            <w:r>
                              <w:rPr>
                                <w:spacing w:val="-2"/>
                                <w:sz w:val="20"/>
                              </w:rPr>
                              <w:t>1,164,260</w:t>
                            </w:r>
                          </w:p>
                        </w:tc>
                        <w:tc>
                          <w:tcPr>
                            <w:tcW w:w="1260" w:type="dxa"/>
                            <w:tcBorders>
                              <w:top w:val="single" w:sz="8" w:space="0" w:color="000000"/>
                              <w:bottom w:val="double" w:sz="8" w:space="0" w:color="000000"/>
                            </w:tcBorders>
                            <w:shd w:val="clear" w:color="auto" w:fill="CCEDFF"/>
                          </w:tcPr>
                          <w:p>
                            <w:pPr>
                              <w:pStyle w:val="TableParagraph"/>
                              <w:tabs>
                                <w:tab w:pos="532" w:val="left" w:leader="none"/>
                              </w:tabs>
                              <w:spacing w:line="210" w:lineRule="exact" w:before="10"/>
                              <w:ind w:left="70"/>
                              <w:rPr>
                                <w:sz w:val="20"/>
                              </w:rPr>
                            </w:pPr>
                            <w:r>
                              <w:rPr>
                                <w:spacing w:val="-10"/>
                                <w:sz w:val="20"/>
                              </w:rPr>
                              <w:t>$</w:t>
                            </w:r>
                            <w:r>
                              <w:rPr>
                                <w:sz w:val="20"/>
                              </w:rPr>
                              <w:tab/>
                            </w:r>
                            <w:r>
                              <w:rPr>
                                <w:spacing w:val="-2"/>
                                <w:sz w:val="20"/>
                              </w:rPr>
                              <w:t>468,565</w:t>
                            </w:r>
                          </w:p>
                        </w:tc>
                      </w:tr>
                    </w:tbl>
                    <w:p>
                      <w:pPr>
                        <w:pStyle w:val="BodyText"/>
                      </w:pPr>
                    </w:p>
                  </w:txbxContent>
                </v:textbox>
                <w10:wrap type="none"/>
              </v:shape>
            </w:pict>
          </mc:Fallback>
        </mc:AlternateContent>
      </w:r>
      <w:r>
        <w:rPr/>
        <w:t>Net</w:t>
      </w:r>
      <w:r>
        <w:rPr>
          <w:spacing w:val="-4"/>
        </w:rPr>
        <w:t> </w:t>
      </w:r>
      <w:r>
        <w:rPr/>
        <w:t>increase</w:t>
      </w:r>
      <w:r>
        <w:rPr>
          <w:spacing w:val="-2"/>
        </w:rPr>
        <w:t> </w:t>
      </w:r>
      <w:r>
        <w:rPr/>
        <w:t>(decrease)</w:t>
      </w:r>
      <w:r>
        <w:rPr>
          <w:spacing w:val="-1"/>
        </w:rPr>
        <w:t> </w:t>
      </w:r>
      <w:r>
        <w:rPr/>
        <w:t>from</w:t>
      </w:r>
      <w:r>
        <w:rPr>
          <w:spacing w:val="-2"/>
        </w:rPr>
        <w:t> </w:t>
      </w:r>
      <w:r>
        <w:rPr/>
        <w:t>derivatives</w:t>
      </w:r>
      <w:r>
        <w:rPr>
          <w:spacing w:val="-2"/>
        </w:rPr>
        <w:t> </w:t>
      </w:r>
      <w:r>
        <w:rPr/>
        <w:t>designated</w:t>
      </w:r>
      <w:r>
        <w:rPr>
          <w:spacing w:val="-2"/>
        </w:rPr>
        <w:t> </w:t>
      </w:r>
      <w:r>
        <w:rPr/>
        <w:t>as</w:t>
      </w:r>
      <w:r>
        <w:rPr>
          <w:spacing w:val="-2"/>
        </w:rPr>
        <w:t> hedging</w:t>
      </w:r>
    </w:p>
    <w:p>
      <w:pPr>
        <w:pStyle w:val="BodyText"/>
      </w:pPr>
    </w:p>
    <w:p>
      <w:pPr>
        <w:pStyle w:val="BodyText"/>
      </w:pPr>
    </w:p>
    <w:p>
      <w:pPr>
        <w:pStyle w:val="BodyText"/>
      </w:pPr>
    </w:p>
    <w:p>
      <w:pPr>
        <w:pStyle w:val="BodyText"/>
      </w:pPr>
    </w:p>
    <w:p>
      <w:pPr>
        <w:pStyle w:val="BodyText"/>
        <w:spacing w:before="190"/>
      </w:pPr>
    </w:p>
    <w:p>
      <w:pPr>
        <w:spacing w:before="0"/>
        <w:ind w:left="243" w:right="280"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pgSz w:w="12240" w:h="15840"/>
          <w:pgMar w:header="210" w:footer="610" w:top="1020" w:bottom="800" w:left="780" w:right="740"/>
        </w:sectPr>
      </w:pPr>
    </w:p>
    <w:p>
      <w:pPr>
        <w:pStyle w:val="Heading1"/>
        <w:spacing w:before="130"/>
        <w:ind w:left="346" w:right="280"/>
        <w:jc w:val="center"/>
      </w:pPr>
      <w:bookmarkStart w:name="Consolidated Statements of Stockholders'" w:id="59"/>
      <w:bookmarkEnd w:id="59"/>
      <w:r>
        <w:rPr>
          <w:b w:val="0"/>
        </w:rPr>
      </w:r>
      <w:bookmarkStart w:name="_bookmark19" w:id="60"/>
      <w:bookmarkEnd w:id="60"/>
      <w:r>
        <w:rPr>
          <w:b w:val="0"/>
        </w:rPr>
      </w:r>
      <w:r>
        <w:rPr>
          <w:spacing w:val="-2"/>
        </w:rPr>
        <w:t>CONSOLIDATED</w:t>
      </w:r>
      <w:r>
        <w:rPr>
          <w:spacing w:val="1"/>
        </w:rPr>
        <w:t> </w:t>
      </w:r>
      <w:r>
        <w:rPr>
          <w:spacing w:val="-2"/>
        </w:rPr>
        <w:t>STATEMENTS</w:t>
      </w:r>
      <w:r>
        <w:rPr>
          <w:spacing w:val="1"/>
        </w:rPr>
        <w:t> </w:t>
      </w:r>
      <w:r>
        <w:rPr>
          <w:spacing w:val="-2"/>
        </w:rPr>
        <w:t>OF</w:t>
      </w:r>
      <w:r>
        <w:rPr>
          <w:spacing w:val="-6"/>
        </w:rPr>
        <w:t> </w:t>
      </w:r>
      <w:r>
        <w:rPr>
          <w:spacing w:val="-2"/>
        </w:rPr>
        <w:t>STOCKHOLDERS’</w:t>
      </w:r>
      <w:r>
        <w:rPr>
          <w:spacing w:val="-13"/>
        </w:rPr>
        <w:t> </w:t>
      </w:r>
      <w:r>
        <w:rPr>
          <w:spacing w:val="-2"/>
        </w:rPr>
        <w:t>EQUITY</w:t>
      </w:r>
    </w:p>
    <w:p>
      <w:pPr>
        <w:pStyle w:val="Heading2"/>
        <w:spacing w:before="130"/>
        <w:ind w:left="119"/>
        <w:jc w:val="center"/>
      </w:pPr>
      <w:r>
        <w:rPr/>
        <w:t>(In</w:t>
      </w:r>
      <w:r>
        <w:rPr>
          <w:spacing w:val="-3"/>
        </w:rPr>
        <w:t> </w:t>
      </w:r>
      <w:r>
        <w:rPr>
          <w:spacing w:val="-2"/>
        </w:rPr>
        <w:t>thousands)</w:t>
      </w:r>
    </w:p>
    <w:p>
      <w:pPr>
        <w:pStyle w:val="BodyText"/>
        <w:spacing w:before="7"/>
        <w:rPr>
          <w:b/>
          <w:sz w:val="17"/>
        </w:rPr>
      </w:pPr>
    </w:p>
    <w:p>
      <w:pPr>
        <w:spacing w:after="0"/>
        <w:rPr>
          <w:sz w:val="17"/>
        </w:rPr>
        <w:sectPr>
          <w:pgSz w:w="12240" w:h="15840"/>
          <w:pgMar w:header="210" w:footer="610" w:top="1020" w:bottom="800" w:left="780" w:right="740"/>
        </w:sectPr>
      </w:pPr>
    </w:p>
    <w:p>
      <w:pPr>
        <w:pStyle w:val="BodyText"/>
        <w:spacing w:before="6"/>
        <w:rPr>
          <w:b/>
          <w:sz w:val="16"/>
        </w:rPr>
      </w:pPr>
    </w:p>
    <w:p>
      <w:pPr>
        <w:tabs>
          <w:tab w:pos="4644" w:val="left" w:leader="none"/>
        </w:tabs>
        <w:spacing w:line="202" w:lineRule="exact" w:before="0"/>
        <w:ind w:left="3153" w:right="0" w:firstLine="0"/>
        <w:jc w:val="left"/>
        <w:rPr>
          <w:b/>
          <w:sz w:val="16"/>
        </w:rPr>
      </w:pPr>
      <w:r>
        <w:rPr>
          <w:b/>
          <w:sz w:val="16"/>
        </w:rPr>
        <w:t>Common</w:t>
      </w:r>
      <w:r>
        <w:rPr>
          <w:b/>
          <w:spacing w:val="-6"/>
          <w:sz w:val="16"/>
        </w:rPr>
        <w:t> </w:t>
      </w:r>
      <w:r>
        <w:rPr>
          <w:b/>
          <w:spacing w:val="-2"/>
          <w:sz w:val="16"/>
        </w:rPr>
        <w:t>Stock</w:t>
      </w:r>
      <w:r>
        <w:rPr>
          <w:b/>
          <w:sz w:val="16"/>
        </w:rPr>
        <w:tab/>
      </w:r>
      <w:r>
        <w:rPr>
          <w:b/>
          <w:spacing w:val="-2"/>
          <w:position w:val="6"/>
          <w:sz w:val="16"/>
        </w:rPr>
        <w:t>Additional</w:t>
      </w:r>
    </w:p>
    <w:p>
      <w:pPr>
        <w:tabs>
          <w:tab w:pos="4544" w:val="left" w:leader="none"/>
          <w:tab w:pos="4751" w:val="left" w:leader="none"/>
        </w:tabs>
        <w:spacing w:line="28" w:lineRule="exact" w:before="0"/>
        <w:ind w:left="2790" w:right="0" w:firstLine="0"/>
        <w:jc w:val="left"/>
        <w:rPr>
          <w:b/>
          <w:sz w:val="16"/>
        </w:rPr>
      </w:pPr>
      <w:r>
        <w:rPr>
          <w:b/>
          <w:sz w:val="16"/>
          <w:u w:val="single"/>
        </w:rPr>
        <w:tab/>
      </w:r>
      <w:r>
        <w:rPr>
          <w:b/>
          <w:sz w:val="16"/>
        </w:rPr>
        <w:tab/>
      </w:r>
      <w:r>
        <w:rPr>
          <w:b/>
          <w:spacing w:val="-2"/>
          <w:sz w:val="16"/>
        </w:rPr>
        <w:t>Paid-</w:t>
      </w:r>
      <w:r>
        <w:rPr>
          <w:b/>
          <w:spacing w:val="-5"/>
          <w:sz w:val="16"/>
        </w:rPr>
        <w:t>In</w:t>
      </w:r>
    </w:p>
    <w:p>
      <w:pPr>
        <w:spacing w:line="240" w:lineRule="auto" w:before="166"/>
        <w:rPr>
          <w:b/>
          <w:sz w:val="16"/>
        </w:rPr>
      </w:pPr>
      <w:r>
        <w:rPr/>
        <w:br w:type="column"/>
      </w:r>
      <w:r>
        <w:rPr>
          <w:b/>
          <w:sz w:val="16"/>
        </w:rPr>
      </w:r>
    </w:p>
    <w:p>
      <w:pPr>
        <w:spacing w:line="70" w:lineRule="exact" w:before="0"/>
        <w:ind w:left="248" w:right="0" w:firstLine="0"/>
        <w:jc w:val="left"/>
        <w:rPr>
          <w:b/>
          <w:sz w:val="16"/>
        </w:rPr>
      </w:pPr>
      <w:r>
        <w:rPr>
          <w:b/>
          <w:spacing w:val="-2"/>
          <w:sz w:val="16"/>
        </w:rPr>
        <w:t>Retained</w:t>
      </w:r>
    </w:p>
    <w:p>
      <w:pPr>
        <w:spacing w:line="208" w:lineRule="auto" w:before="100"/>
        <w:ind w:left="580" w:right="0" w:hanging="251"/>
        <w:jc w:val="left"/>
        <w:rPr>
          <w:b/>
          <w:sz w:val="16"/>
        </w:rPr>
      </w:pPr>
      <w:r>
        <w:rPr/>
        <w:br w:type="column"/>
      </w:r>
      <w:r>
        <w:rPr>
          <w:b/>
          <w:spacing w:val="-2"/>
          <w:sz w:val="16"/>
        </w:rPr>
        <w:t>Accumulated</w:t>
      </w:r>
      <w:r>
        <w:rPr>
          <w:b/>
          <w:spacing w:val="40"/>
          <w:sz w:val="16"/>
        </w:rPr>
        <w:t> </w:t>
      </w:r>
      <w:r>
        <w:rPr>
          <w:b/>
          <w:spacing w:val="-2"/>
          <w:sz w:val="16"/>
        </w:rPr>
        <w:t>Other</w:t>
      </w:r>
    </w:p>
    <w:p>
      <w:pPr>
        <w:spacing w:line="240" w:lineRule="auto" w:before="66"/>
        <w:rPr>
          <w:b/>
          <w:sz w:val="16"/>
        </w:rPr>
      </w:pPr>
      <w:r>
        <w:rPr/>
        <w:br w:type="column"/>
      </w:r>
      <w:r>
        <w:rPr>
          <w:b/>
          <w:sz w:val="16"/>
        </w:rPr>
      </w:r>
    </w:p>
    <w:p>
      <w:pPr>
        <w:spacing w:line="170" w:lineRule="exact" w:before="0"/>
        <w:ind w:left="598" w:right="0" w:firstLine="0"/>
        <w:jc w:val="left"/>
        <w:rPr>
          <w:b/>
          <w:sz w:val="16"/>
        </w:rPr>
      </w:pPr>
      <w:r>
        <w:rPr>
          <w:b/>
          <w:spacing w:val="-2"/>
          <w:sz w:val="16"/>
        </w:rPr>
        <w:t>Treasury</w:t>
      </w:r>
      <w:r>
        <w:rPr>
          <w:b/>
          <w:sz w:val="16"/>
        </w:rPr>
        <w:t> </w:t>
      </w:r>
      <w:r>
        <w:rPr>
          <w:b/>
          <w:spacing w:val="-2"/>
          <w:sz w:val="16"/>
        </w:rPr>
        <w:t>Stock</w:t>
      </w:r>
    </w:p>
    <w:p>
      <w:pPr>
        <w:spacing w:after="0" w:line="170" w:lineRule="exact"/>
        <w:jc w:val="left"/>
        <w:rPr>
          <w:sz w:val="16"/>
        </w:rPr>
        <w:sectPr>
          <w:type w:val="continuous"/>
          <w:pgSz w:w="12240" w:h="15840"/>
          <w:pgMar w:header="210" w:footer="610" w:top="680" w:bottom="280" w:left="780" w:right="740"/>
          <w:cols w:num="4" w:equalWidth="0">
            <w:col w:w="5375" w:space="40"/>
            <w:col w:w="862" w:space="39"/>
            <w:col w:w="1237" w:space="40"/>
            <w:col w:w="3127"/>
          </w:cols>
        </w:sectPr>
      </w:pPr>
    </w:p>
    <w:p>
      <w:pPr>
        <w:tabs>
          <w:tab w:pos="848" w:val="left" w:leader="none"/>
        </w:tabs>
        <w:spacing w:line="69" w:lineRule="exact" w:before="90"/>
        <w:ind w:left="0" w:right="0" w:firstLine="0"/>
        <w:jc w:val="right"/>
        <w:rPr>
          <w:b/>
          <w:sz w:val="16"/>
        </w:rPr>
      </w:pPr>
      <w:r>
        <w:rPr/>
        <mc:AlternateContent>
          <mc:Choice Requires="wps">
            <w:drawing>
              <wp:anchor distT="0" distB="0" distL="0" distR="0" allowOverlap="1" layoutInCell="1" locked="0" behindDoc="1" simplePos="0" relativeHeight="479838720">
                <wp:simplePos x="0" y="0"/>
                <wp:positionH relativeFrom="page">
                  <wp:posOffset>641350</wp:posOffset>
                </wp:positionH>
                <wp:positionV relativeFrom="paragraph">
                  <wp:posOffset>34392</wp:posOffset>
                </wp:positionV>
                <wp:extent cx="6572250" cy="580390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6572250" cy="5803900"/>
                          <a:chExt cx="6572250" cy="5803900"/>
                        </a:xfrm>
                      </wpg:grpSpPr>
                      <wps:wsp>
                        <wps:cNvPr id="246" name="Graphic 246"/>
                        <wps:cNvSpPr/>
                        <wps:spPr>
                          <a:xfrm>
                            <a:off x="0" y="171449"/>
                            <a:ext cx="6565900" cy="2197100"/>
                          </a:xfrm>
                          <a:custGeom>
                            <a:avLst/>
                            <a:gdLst/>
                            <a:ahLst/>
                            <a:cxnLst/>
                            <a:rect l="l" t="t" r="r" b="b"/>
                            <a:pathLst>
                              <a:path w="6565900" h="2197100">
                                <a:moveTo>
                                  <a:pt x="2146300" y="1930400"/>
                                </a:moveTo>
                                <a:lnTo>
                                  <a:pt x="1625600" y="1930400"/>
                                </a:lnTo>
                                <a:lnTo>
                                  <a:pt x="1574800" y="1930400"/>
                                </a:lnTo>
                                <a:lnTo>
                                  <a:pt x="0" y="1930400"/>
                                </a:lnTo>
                                <a:lnTo>
                                  <a:pt x="0" y="2197100"/>
                                </a:lnTo>
                                <a:lnTo>
                                  <a:pt x="1574800" y="2197100"/>
                                </a:lnTo>
                                <a:lnTo>
                                  <a:pt x="1625600" y="2197100"/>
                                </a:lnTo>
                                <a:lnTo>
                                  <a:pt x="2146300" y="2197100"/>
                                </a:lnTo>
                                <a:lnTo>
                                  <a:pt x="2146300" y="1930400"/>
                                </a:lnTo>
                                <a:close/>
                              </a:path>
                              <a:path w="6565900" h="2197100">
                                <a:moveTo>
                                  <a:pt x="6565900" y="1485900"/>
                                </a:moveTo>
                                <a:lnTo>
                                  <a:pt x="6565900" y="1485900"/>
                                </a:lnTo>
                                <a:lnTo>
                                  <a:pt x="0" y="1485900"/>
                                </a:lnTo>
                                <a:lnTo>
                                  <a:pt x="0" y="1752600"/>
                                </a:lnTo>
                                <a:lnTo>
                                  <a:pt x="6565900" y="1752600"/>
                                </a:lnTo>
                                <a:lnTo>
                                  <a:pt x="6565900" y="1485900"/>
                                </a:lnTo>
                                <a:close/>
                              </a:path>
                              <a:path w="6565900" h="2197100">
                                <a:moveTo>
                                  <a:pt x="6565900" y="1054100"/>
                                </a:moveTo>
                                <a:lnTo>
                                  <a:pt x="6565900" y="1054100"/>
                                </a:lnTo>
                                <a:lnTo>
                                  <a:pt x="0" y="1054100"/>
                                </a:lnTo>
                                <a:lnTo>
                                  <a:pt x="0" y="1308100"/>
                                </a:lnTo>
                                <a:lnTo>
                                  <a:pt x="6565900" y="1308100"/>
                                </a:lnTo>
                                <a:lnTo>
                                  <a:pt x="6565900" y="1054100"/>
                                </a:lnTo>
                                <a:close/>
                              </a:path>
                              <a:path w="6565900" h="2197100">
                                <a:moveTo>
                                  <a:pt x="6565900" y="546100"/>
                                </a:moveTo>
                                <a:lnTo>
                                  <a:pt x="6565900" y="546100"/>
                                </a:lnTo>
                                <a:lnTo>
                                  <a:pt x="0" y="546100"/>
                                </a:lnTo>
                                <a:lnTo>
                                  <a:pt x="0" y="800100"/>
                                </a:lnTo>
                                <a:lnTo>
                                  <a:pt x="6565900" y="800100"/>
                                </a:lnTo>
                                <a:lnTo>
                                  <a:pt x="6565900" y="546100"/>
                                </a:lnTo>
                                <a:close/>
                              </a:path>
                              <a:path w="6565900" h="2197100">
                                <a:moveTo>
                                  <a:pt x="6565900" y="0"/>
                                </a:moveTo>
                                <a:lnTo>
                                  <a:pt x="6565900" y="0"/>
                                </a:lnTo>
                                <a:lnTo>
                                  <a:pt x="0" y="0"/>
                                </a:lnTo>
                                <a:lnTo>
                                  <a:pt x="0" y="368300"/>
                                </a:lnTo>
                                <a:lnTo>
                                  <a:pt x="6565900" y="368300"/>
                                </a:lnTo>
                                <a:lnTo>
                                  <a:pt x="6565900" y="0"/>
                                </a:lnTo>
                                <a:close/>
                              </a:path>
                            </a:pathLst>
                          </a:custGeom>
                          <a:solidFill>
                            <a:srgbClr val="CCEDFF"/>
                          </a:solidFill>
                        </wps:spPr>
                        <wps:bodyPr wrap="square" lIns="0" tIns="0" rIns="0" bIns="0" rtlCol="0">
                          <a:prstTxWarp prst="textNoShape">
                            <a:avLst/>
                          </a:prstTxWarp>
                          <a:noAutofit/>
                        </wps:bodyPr>
                      </wps:wsp>
                      <wps:wsp>
                        <wps:cNvPr id="247" name="Graphic 247"/>
                        <wps:cNvSpPr/>
                        <wps:spPr>
                          <a:xfrm>
                            <a:off x="0" y="2101849"/>
                            <a:ext cx="6565900" cy="3289300"/>
                          </a:xfrm>
                          <a:custGeom>
                            <a:avLst/>
                            <a:gdLst/>
                            <a:ahLst/>
                            <a:cxnLst/>
                            <a:rect l="l" t="t" r="r" b="b"/>
                            <a:pathLst>
                              <a:path w="6565900" h="3289300">
                                <a:moveTo>
                                  <a:pt x="2717800" y="3048000"/>
                                </a:moveTo>
                                <a:lnTo>
                                  <a:pt x="2717800" y="3048000"/>
                                </a:lnTo>
                                <a:lnTo>
                                  <a:pt x="0" y="3048000"/>
                                </a:lnTo>
                                <a:lnTo>
                                  <a:pt x="0" y="3289300"/>
                                </a:lnTo>
                                <a:lnTo>
                                  <a:pt x="2717800" y="3289300"/>
                                </a:lnTo>
                                <a:lnTo>
                                  <a:pt x="2717800" y="3048000"/>
                                </a:lnTo>
                                <a:close/>
                              </a:path>
                              <a:path w="6565900" h="3289300">
                                <a:moveTo>
                                  <a:pt x="6565900" y="2616200"/>
                                </a:moveTo>
                                <a:lnTo>
                                  <a:pt x="6565900" y="2616200"/>
                                </a:lnTo>
                                <a:lnTo>
                                  <a:pt x="0" y="2616200"/>
                                </a:lnTo>
                                <a:lnTo>
                                  <a:pt x="0" y="2870200"/>
                                </a:lnTo>
                                <a:lnTo>
                                  <a:pt x="6565900" y="2870200"/>
                                </a:lnTo>
                                <a:lnTo>
                                  <a:pt x="6565900" y="2616200"/>
                                </a:lnTo>
                                <a:close/>
                              </a:path>
                              <a:path w="6565900" h="3289300">
                                <a:moveTo>
                                  <a:pt x="6565900" y="1739900"/>
                                </a:moveTo>
                                <a:lnTo>
                                  <a:pt x="6565900" y="1739900"/>
                                </a:lnTo>
                                <a:lnTo>
                                  <a:pt x="0" y="1739900"/>
                                </a:lnTo>
                                <a:lnTo>
                                  <a:pt x="0" y="2006600"/>
                                </a:lnTo>
                                <a:lnTo>
                                  <a:pt x="6565900" y="2006600"/>
                                </a:lnTo>
                                <a:lnTo>
                                  <a:pt x="6565900" y="1739900"/>
                                </a:lnTo>
                                <a:close/>
                              </a:path>
                              <a:path w="6565900" h="3289300">
                                <a:moveTo>
                                  <a:pt x="6565900" y="876300"/>
                                </a:moveTo>
                                <a:lnTo>
                                  <a:pt x="6565900" y="876300"/>
                                </a:lnTo>
                                <a:lnTo>
                                  <a:pt x="0" y="876300"/>
                                </a:lnTo>
                                <a:lnTo>
                                  <a:pt x="0" y="1130300"/>
                                </a:lnTo>
                                <a:lnTo>
                                  <a:pt x="6565900" y="1130300"/>
                                </a:lnTo>
                                <a:lnTo>
                                  <a:pt x="6565900" y="876300"/>
                                </a:lnTo>
                                <a:close/>
                              </a:path>
                              <a:path w="6565900" h="3289300">
                                <a:moveTo>
                                  <a:pt x="6565900" y="0"/>
                                </a:moveTo>
                                <a:lnTo>
                                  <a:pt x="6565900" y="0"/>
                                </a:lnTo>
                                <a:lnTo>
                                  <a:pt x="1625600" y="0"/>
                                </a:lnTo>
                                <a:lnTo>
                                  <a:pt x="1625600" y="266700"/>
                                </a:lnTo>
                                <a:lnTo>
                                  <a:pt x="6565900" y="266700"/>
                                </a:lnTo>
                                <a:lnTo>
                                  <a:pt x="6565900" y="0"/>
                                </a:lnTo>
                                <a:close/>
                              </a:path>
                            </a:pathLst>
                          </a:custGeom>
                          <a:solidFill>
                            <a:srgbClr val="CCEDFF"/>
                          </a:solidFill>
                        </wps:spPr>
                        <wps:bodyPr wrap="square" lIns="0" tIns="0" rIns="0" bIns="0" rtlCol="0">
                          <a:prstTxWarp prst="textNoShape">
                            <a:avLst/>
                          </a:prstTxWarp>
                          <a:noAutofit/>
                        </wps:bodyPr>
                      </wps:wsp>
                      <wps:wsp>
                        <wps:cNvPr id="248" name="Graphic 248"/>
                        <wps:cNvSpPr/>
                        <wps:spPr>
                          <a:xfrm>
                            <a:off x="0" y="5149850"/>
                            <a:ext cx="6565900" cy="647700"/>
                          </a:xfrm>
                          <a:custGeom>
                            <a:avLst/>
                            <a:gdLst/>
                            <a:ahLst/>
                            <a:cxnLst/>
                            <a:rect l="l" t="t" r="r" b="b"/>
                            <a:pathLst>
                              <a:path w="6565900" h="647700">
                                <a:moveTo>
                                  <a:pt x="6565900" y="419100"/>
                                </a:moveTo>
                                <a:lnTo>
                                  <a:pt x="6565900" y="419100"/>
                                </a:lnTo>
                                <a:lnTo>
                                  <a:pt x="0" y="419100"/>
                                </a:lnTo>
                                <a:lnTo>
                                  <a:pt x="0" y="647700"/>
                                </a:lnTo>
                                <a:lnTo>
                                  <a:pt x="6565900" y="647700"/>
                                </a:lnTo>
                                <a:lnTo>
                                  <a:pt x="6565900" y="419100"/>
                                </a:lnTo>
                                <a:close/>
                              </a:path>
                              <a:path w="6565900" h="647700">
                                <a:moveTo>
                                  <a:pt x="6565900" y="0"/>
                                </a:moveTo>
                                <a:lnTo>
                                  <a:pt x="6565900" y="0"/>
                                </a:lnTo>
                                <a:lnTo>
                                  <a:pt x="2197100" y="0"/>
                                </a:lnTo>
                                <a:lnTo>
                                  <a:pt x="2197100" y="241300"/>
                                </a:lnTo>
                                <a:lnTo>
                                  <a:pt x="6565900" y="241300"/>
                                </a:lnTo>
                                <a:lnTo>
                                  <a:pt x="6565900" y="0"/>
                                </a:lnTo>
                                <a:close/>
                              </a:path>
                            </a:pathLst>
                          </a:custGeom>
                          <a:solidFill>
                            <a:srgbClr val="CCEDFF"/>
                          </a:solidFill>
                        </wps:spPr>
                        <wps:bodyPr wrap="square" lIns="0" tIns="0" rIns="0" bIns="0" rtlCol="0">
                          <a:prstTxWarp prst="textNoShape">
                            <a:avLst/>
                          </a:prstTxWarp>
                          <a:noAutofit/>
                        </wps:bodyPr>
                      </wps:wsp>
                      <wps:wsp>
                        <wps:cNvPr id="249" name="Graphic 249"/>
                        <wps:cNvSpPr/>
                        <wps:spPr>
                          <a:xfrm>
                            <a:off x="4800600" y="6350"/>
                            <a:ext cx="1155700" cy="1270"/>
                          </a:xfrm>
                          <a:custGeom>
                            <a:avLst/>
                            <a:gdLst/>
                            <a:ahLst/>
                            <a:cxnLst/>
                            <a:rect l="l" t="t" r="r" b="b"/>
                            <a:pathLst>
                              <a:path w="1155700" h="0">
                                <a:moveTo>
                                  <a:pt x="0" y="0"/>
                                </a:moveTo>
                                <a:lnTo>
                                  <a:pt x="546100" y="0"/>
                                </a:lnTo>
                              </a:path>
                              <a:path w="1155700" h="0">
                                <a:moveTo>
                                  <a:pt x="546100" y="0"/>
                                </a:moveTo>
                                <a:lnTo>
                                  <a:pt x="596900" y="0"/>
                                </a:lnTo>
                              </a:path>
                              <a:path w="1155700" h="0">
                                <a:moveTo>
                                  <a:pt x="596900" y="0"/>
                                </a:moveTo>
                                <a:lnTo>
                                  <a:pt x="1155700" y="0"/>
                                </a:lnTo>
                              </a:path>
                            </a:pathLst>
                          </a:custGeom>
                          <a:ln w="12700">
                            <a:solidFill>
                              <a:srgbClr val="000000"/>
                            </a:solidFill>
                            <a:prstDash val="solid"/>
                          </a:ln>
                        </wps:spPr>
                        <wps:bodyPr wrap="square" lIns="0" tIns="0" rIns="0" bIns="0" rtlCol="0">
                          <a:prstTxWarp prst="textNoShape">
                            <a:avLst/>
                          </a:prstTxWarp>
                          <a:noAutofit/>
                        </wps:bodyPr>
                      </wps:wsp>
                      <wps:wsp>
                        <wps:cNvPr id="250" name="Graphic 250"/>
                        <wps:cNvSpPr/>
                        <wps:spPr>
                          <a:xfrm>
                            <a:off x="1625600" y="165099"/>
                            <a:ext cx="4940300" cy="5638800"/>
                          </a:xfrm>
                          <a:custGeom>
                            <a:avLst/>
                            <a:gdLst/>
                            <a:ahLst/>
                            <a:cxnLst/>
                            <a:rect l="l" t="t" r="r" b="b"/>
                            <a:pathLst>
                              <a:path w="4940300" h="5638800">
                                <a:moveTo>
                                  <a:pt x="520700" y="5626100"/>
                                </a:moveTo>
                                <a:lnTo>
                                  <a:pt x="0" y="5626100"/>
                                </a:lnTo>
                                <a:lnTo>
                                  <a:pt x="0" y="5638800"/>
                                </a:lnTo>
                                <a:lnTo>
                                  <a:pt x="520700" y="5638800"/>
                                </a:lnTo>
                                <a:lnTo>
                                  <a:pt x="520700" y="5626100"/>
                                </a:lnTo>
                                <a:close/>
                              </a:path>
                              <a:path w="4940300" h="5638800">
                                <a:moveTo>
                                  <a:pt x="520700" y="3937000"/>
                                </a:moveTo>
                                <a:lnTo>
                                  <a:pt x="0" y="3937000"/>
                                </a:lnTo>
                                <a:lnTo>
                                  <a:pt x="0" y="3949700"/>
                                </a:lnTo>
                                <a:lnTo>
                                  <a:pt x="520700" y="3949700"/>
                                </a:lnTo>
                                <a:lnTo>
                                  <a:pt x="520700" y="3937000"/>
                                </a:lnTo>
                                <a:close/>
                              </a:path>
                              <a:path w="4940300" h="5638800">
                                <a:moveTo>
                                  <a:pt x="520700" y="2197100"/>
                                </a:moveTo>
                                <a:lnTo>
                                  <a:pt x="0" y="2197100"/>
                                </a:lnTo>
                                <a:lnTo>
                                  <a:pt x="0" y="2209800"/>
                                </a:lnTo>
                                <a:lnTo>
                                  <a:pt x="520700" y="2209800"/>
                                </a:lnTo>
                                <a:lnTo>
                                  <a:pt x="520700" y="2197100"/>
                                </a:lnTo>
                                <a:close/>
                              </a:path>
                              <a:path w="4940300" h="5638800">
                                <a:moveTo>
                                  <a:pt x="520700" y="0"/>
                                </a:moveTo>
                                <a:lnTo>
                                  <a:pt x="0" y="0"/>
                                </a:lnTo>
                                <a:lnTo>
                                  <a:pt x="0" y="12700"/>
                                </a:lnTo>
                                <a:lnTo>
                                  <a:pt x="520700" y="12700"/>
                                </a:lnTo>
                                <a:lnTo>
                                  <a:pt x="520700" y="0"/>
                                </a:lnTo>
                                <a:close/>
                              </a:path>
                              <a:path w="4940300" h="5638800">
                                <a:moveTo>
                                  <a:pt x="1092200" y="5626100"/>
                                </a:moveTo>
                                <a:lnTo>
                                  <a:pt x="571500" y="5626100"/>
                                </a:lnTo>
                                <a:lnTo>
                                  <a:pt x="571500" y="5638800"/>
                                </a:lnTo>
                                <a:lnTo>
                                  <a:pt x="1092200" y="5638800"/>
                                </a:lnTo>
                                <a:lnTo>
                                  <a:pt x="1092200" y="5626100"/>
                                </a:lnTo>
                                <a:close/>
                              </a:path>
                              <a:path w="4940300" h="5638800">
                                <a:moveTo>
                                  <a:pt x="1092200" y="3937000"/>
                                </a:moveTo>
                                <a:lnTo>
                                  <a:pt x="571500" y="3937000"/>
                                </a:lnTo>
                                <a:lnTo>
                                  <a:pt x="571500" y="3949700"/>
                                </a:lnTo>
                                <a:lnTo>
                                  <a:pt x="1092200" y="3949700"/>
                                </a:lnTo>
                                <a:lnTo>
                                  <a:pt x="1092200" y="3937000"/>
                                </a:lnTo>
                                <a:close/>
                              </a:path>
                              <a:path w="4940300" h="5638800">
                                <a:moveTo>
                                  <a:pt x="1092200" y="2197100"/>
                                </a:moveTo>
                                <a:lnTo>
                                  <a:pt x="571500" y="2197100"/>
                                </a:lnTo>
                                <a:lnTo>
                                  <a:pt x="571500" y="2209800"/>
                                </a:lnTo>
                                <a:lnTo>
                                  <a:pt x="1092200" y="2209800"/>
                                </a:lnTo>
                                <a:lnTo>
                                  <a:pt x="1092200" y="2197100"/>
                                </a:lnTo>
                                <a:close/>
                              </a:path>
                              <a:path w="4940300" h="5638800">
                                <a:moveTo>
                                  <a:pt x="1092200" y="0"/>
                                </a:moveTo>
                                <a:lnTo>
                                  <a:pt x="571500" y="0"/>
                                </a:lnTo>
                                <a:lnTo>
                                  <a:pt x="571500" y="12700"/>
                                </a:lnTo>
                                <a:lnTo>
                                  <a:pt x="1092200" y="12700"/>
                                </a:lnTo>
                                <a:lnTo>
                                  <a:pt x="1092200" y="0"/>
                                </a:lnTo>
                                <a:close/>
                              </a:path>
                              <a:path w="4940300" h="5638800">
                                <a:moveTo>
                                  <a:pt x="1689100" y="5626100"/>
                                </a:moveTo>
                                <a:lnTo>
                                  <a:pt x="1143000" y="5626100"/>
                                </a:lnTo>
                                <a:lnTo>
                                  <a:pt x="1143000" y="5638800"/>
                                </a:lnTo>
                                <a:lnTo>
                                  <a:pt x="1689100" y="5638800"/>
                                </a:lnTo>
                                <a:lnTo>
                                  <a:pt x="1689100" y="5626100"/>
                                </a:lnTo>
                                <a:close/>
                              </a:path>
                              <a:path w="4940300" h="5638800">
                                <a:moveTo>
                                  <a:pt x="1689100" y="3937000"/>
                                </a:moveTo>
                                <a:lnTo>
                                  <a:pt x="1143000" y="3937000"/>
                                </a:lnTo>
                                <a:lnTo>
                                  <a:pt x="1143000" y="3949700"/>
                                </a:lnTo>
                                <a:lnTo>
                                  <a:pt x="1689100" y="3949700"/>
                                </a:lnTo>
                                <a:lnTo>
                                  <a:pt x="1689100" y="3937000"/>
                                </a:lnTo>
                                <a:close/>
                              </a:path>
                              <a:path w="4940300" h="5638800">
                                <a:moveTo>
                                  <a:pt x="1689100" y="2197100"/>
                                </a:moveTo>
                                <a:lnTo>
                                  <a:pt x="1143000" y="2197100"/>
                                </a:lnTo>
                                <a:lnTo>
                                  <a:pt x="1143000" y="2209800"/>
                                </a:lnTo>
                                <a:lnTo>
                                  <a:pt x="1689100" y="2209800"/>
                                </a:lnTo>
                                <a:lnTo>
                                  <a:pt x="1689100" y="2197100"/>
                                </a:lnTo>
                                <a:close/>
                              </a:path>
                              <a:path w="4940300" h="5638800">
                                <a:moveTo>
                                  <a:pt x="1689100" y="0"/>
                                </a:moveTo>
                                <a:lnTo>
                                  <a:pt x="1143000" y="0"/>
                                </a:lnTo>
                                <a:lnTo>
                                  <a:pt x="1143000" y="12700"/>
                                </a:lnTo>
                                <a:lnTo>
                                  <a:pt x="1689100" y="12700"/>
                                </a:lnTo>
                                <a:lnTo>
                                  <a:pt x="1689100" y="0"/>
                                </a:lnTo>
                                <a:close/>
                              </a:path>
                              <a:path w="4940300" h="5638800">
                                <a:moveTo>
                                  <a:pt x="2311400" y="5626100"/>
                                </a:moveTo>
                                <a:lnTo>
                                  <a:pt x="1739900" y="5626100"/>
                                </a:lnTo>
                                <a:lnTo>
                                  <a:pt x="1739900" y="5638800"/>
                                </a:lnTo>
                                <a:lnTo>
                                  <a:pt x="2311400" y="5638800"/>
                                </a:lnTo>
                                <a:lnTo>
                                  <a:pt x="2311400" y="5626100"/>
                                </a:lnTo>
                                <a:close/>
                              </a:path>
                              <a:path w="4940300" h="5638800">
                                <a:moveTo>
                                  <a:pt x="2311400" y="3937000"/>
                                </a:moveTo>
                                <a:lnTo>
                                  <a:pt x="1739900" y="3937000"/>
                                </a:lnTo>
                                <a:lnTo>
                                  <a:pt x="1739900" y="3949700"/>
                                </a:lnTo>
                                <a:lnTo>
                                  <a:pt x="2311400" y="3949700"/>
                                </a:lnTo>
                                <a:lnTo>
                                  <a:pt x="2311400" y="3937000"/>
                                </a:lnTo>
                                <a:close/>
                              </a:path>
                              <a:path w="4940300" h="5638800">
                                <a:moveTo>
                                  <a:pt x="2311400" y="2197100"/>
                                </a:moveTo>
                                <a:lnTo>
                                  <a:pt x="1739900" y="2197100"/>
                                </a:lnTo>
                                <a:lnTo>
                                  <a:pt x="1739900" y="2209800"/>
                                </a:lnTo>
                                <a:lnTo>
                                  <a:pt x="2311400" y="2209800"/>
                                </a:lnTo>
                                <a:lnTo>
                                  <a:pt x="2311400" y="2197100"/>
                                </a:lnTo>
                                <a:close/>
                              </a:path>
                              <a:path w="4940300" h="5638800">
                                <a:moveTo>
                                  <a:pt x="2311400" y="0"/>
                                </a:moveTo>
                                <a:lnTo>
                                  <a:pt x="1739900" y="0"/>
                                </a:lnTo>
                                <a:lnTo>
                                  <a:pt x="1739900" y="12700"/>
                                </a:lnTo>
                                <a:lnTo>
                                  <a:pt x="2311400" y="12700"/>
                                </a:lnTo>
                                <a:lnTo>
                                  <a:pt x="2311400" y="0"/>
                                </a:lnTo>
                                <a:close/>
                              </a:path>
                              <a:path w="4940300" h="5638800">
                                <a:moveTo>
                                  <a:pt x="3124200" y="5626100"/>
                                </a:moveTo>
                                <a:lnTo>
                                  <a:pt x="2362200" y="5626100"/>
                                </a:lnTo>
                                <a:lnTo>
                                  <a:pt x="2362200" y="5638800"/>
                                </a:lnTo>
                                <a:lnTo>
                                  <a:pt x="3124200" y="5638800"/>
                                </a:lnTo>
                                <a:lnTo>
                                  <a:pt x="3124200" y="5626100"/>
                                </a:lnTo>
                                <a:close/>
                              </a:path>
                              <a:path w="4940300" h="5638800">
                                <a:moveTo>
                                  <a:pt x="3124200" y="3937000"/>
                                </a:moveTo>
                                <a:lnTo>
                                  <a:pt x="2362200" y="3937000"/>
                                </a:lnTo>
                                <a:lnTo>
                                  <a:pt x="2362200" y="3949700"/>
                                </a:lnTo>
                                <a:lnTo>
                                  <a:pt x="3124200" y="3949700"/>
                                </a:lnTo>
                                <a:lnTo>
                                  <a:pt x="3124200" y="3937000"/>
                                </a:lnTo>
                                <a:close/>
                              </a:path>
                              <a:path w="4940300" h="5638800">
                                <a:moveTo>
                                  <a:pt x="3124200" y="2197100"/>
                                </a:moveTo>
                                <a:lnTo>
                                  <a:pt x="2362200" y="2197100"/>
                                </a:lnTo>
                                <a:lnTo>
                                  <a:pt x="2362200" y="2209800"/>
                                </a:lnTo>
                                <a:lnTo>
                                  <a:pt x="3124200" y="2209800"/>
                                </a:lnTo>
                                <a:lnTo>
                                  <a:pt x="3124200" y="2197100"/>
                                </a:lnTo>
                                <a:close/>
                              </a:path>
                              <a:path w="4940300" h="5638800">
                                <a:moveTo>
                                  <a:pt x="3124200" y="0"/>
                                </a:moveTo>
                                <a:lnTo>
                                  <a:pt x="2362200" y="0"/>
                                </a:lnTo>
                                <a:lnTo>
                                  <a:pt x="2362200" y="12700"/>
                                </a:lnTo>
                                <a:lnTo>
                                  <a:pt x="3124200" y="12700"/>
                                </a:lnTo>
                                <a:lnTo>
                                  <a:pt x="3124200" y="0"/>
                                </a:lnTo>
                                <a:close/>
                              </a:path>
                              <a:path w="4940300" h="5638800">
                                <a:moveTo>
                                  <a:pt x="3721100" y="5626100"/>
                                </a:moveTo>
                                <a:lnTo>
                                  <a:pt x="3175000" y="5626100"/>
                                </a:lnTo>
                                <a:lnTo>
                                  <a:pt x="3175000" y="5638800"/>
                                </a:lnTo>
                                <a:lnTo>
                                  <a:pt x="3721100" y="5638800"/>
                                </a:lnTo>
                                <a:lnTo>
                                  <a:pt x="3721100" y="5626100"/>
                                </a:lnTo>
                                <a:close/>
                              </a:path>
                              <a:path w="4940300" h="5638800">
                                <a:moveTo>
                                  <a:pt x="3721100" y="3937000"/>
                                </a:moveTo>
                                <a:lnTo>
                                  <a:pt x="3175000" y="3937000"/>
                                </a:lnTo>
                                <a:lnTo>
                                  <a:pt x="3175000" y="3949700"/>
                                </a:lnTo>
                                <a:lnTo>
                                  <a:pt x="3721100" y="3949700"/>
                                </a:lnTo>
                                <a:lnTo>
                                  <a:pt x="3721100" y="3937000"/>
                                </a:lnTo>
                                <a:close/>
                              </a:path>
                              <a:path w="4940300" h="5638800">
                                <a:moveTo>
                                  <a:pt x="3721100" y="2197100"/>
                                </a:moveTo>
                                <a:lnTo>
                                  <a:pt x="3175000" y="2197100"/>
                                </a:lnTo>
                                <a:lnTo>
                                  <a:pt x="3175000" y="2209800"/>
                                </a:lnTo>
                                <a:lnTo>
                                  <a:pt x="3721100" y="2209800"/>
                                </a:lnTo>
                                <a:lnTo>
                                  <a:pt x="3721100" y="2197100"/>
                                </a:lnTo>
                                <a:close/>
                              </a:path>
                              <a:path w="4940300" h="5638800">
                                <a:moveTo>
                                  <a:pt x="3721100" y="0"/>
                                </a:moveTo>
                                <a:lnTo>
                                  <a:pt x="3175000" y="0"/>
                                </a:lnTo>
                                <a:lnTo>
                                  <a:pt x="3175000" y="12700"/>
                                </a:lnTo>
                                <a:lnTo>
                                  <a:pt x="3721100" y="12700"/>
                                </a:lnTo>
                                <a:lnTo>
                                  <a:pt x="3721100" y="0"/>
                                </a:lnTo>
                                <a:close/>
                              </a:path>
                              <a:path w="4940300" h="5638800">
                                <a:moveTo>
                                  <a:pt x="4330700" y="5626100"/>
                                </a:moveTo>
                                <a:lnTo>
                                  <a:pt x="3771900" y="5626100"/>
                                </a:lnTo>
                                <a:lnTo>
                                  <a:pt x="3771900" y="5638800"/>
                                </a:lnTo>
                                <a:lnTo>
                                  <a:pt x="4330700" y="5638800"/>
                                </a:lnTo>
                                <a:lnTo>
                                  <a:pt x="4330700" y="5626100"/>
                                </a:lnTo>
                                <a:close/>
                              </a:path>
                              <a:path w="4940300" h="5638800">
                                <a:moveTo>
                                  <a:pt x="4330700" y="3937000"/>
                                </a:moveTo>
                                <a:lnTo>
                                  <a:pt x="3771900" y="3937000"/>
                                </a:lnTo>
                                <a:lnTo>
                                  <a:pt x="3771900" y="3949700"/>
                                </a:lnTo>
                                <a:lnTo>
                                  <a:pt x="4330700" y="3949700"/>
                                </a:lnTo>
                                <a:lnTo>
                                  <a:pt x="4330700" y="3937000"/>
                                </a:lnTo>
                                <a:close/>
                              </a:path>
                              <a:path w="4940300" h="5638800">
                                <a:moveTo>
                                  <a:pt x="4330700" y="2197100"/>
                                </a:moveTo>
                                <a:lnTo>
                                  <a:pt x="3771900" y="2197100"/>
                                </a:lnTo>
                                <a:lnTo>
                                  <a:pt x="3771900" y="2209800"/>
                                </a:lnTo>
                                <a:lnTo>
                                  <a:pt x="4330700" y="2209800"/>
                                </a:lnTo>
                                <a:lnTo>
                                  <a:pt x="4330700" y="2197100"/>
                                </a:lnTo>
                                <a:close/>
                              </a:path>
                              <a:path w="4940300" h="5638800">
                                <a:moveTo>
                                  <a:pt x="4330700" y="0"/>
                                </a:moveTo>
                                <a:lnTo>
                                  <a:pt x="3771900" y="0"/>
                                </a:lnTo>
                                <a:lnTo>
                                  <a:pt x="3771900" y="12700"/>
                                </a:lnTo>
                                <a:lnTo>
                                  <a:pt x="4330700" y="12700"/>
                                </a:lnTo>
                                <a:lnTo>
                                  <a:pt x="4330700" y="0"/>
                                </a:lnTo>
                                <a:close/>
                              </a:path>
                              <a:path w="4940300" h="5638800">
                                <a:moveTo>
                                  <a:pt x="4940300" y="5626100"/>
                                </a:moveTo>
                                <a:lnTo>
                                  <a:pt x="4381500" y="5626100"/>
                                </a:lnTo>
                                <a:lnTo>
                                  <a:pt x="4381500" y="5638800"/>
                                </a:lnTo>
                                <a:lnTo>
                                  <a:pt x="4940300" y="5638800"/>
                                </a:lnTo>
                                <a:lnTo>
                                  <a:pt x="4940300" y="5626100"/>
                                </a:lnTo>
                                <a:close/>
                              </a:path>
                              <a:path w="4940300" h="5638800">
                                <a:moveTo>
                                  <a:pt x="4940300" y="3937000"/>
                                </a:moveTo>
                                <a:lnTo>
                                  <a:pt x="4381500" y="3937000"/>
                                </a:lnTo>
                                <a:lnTo>
                                  <a:pt x="4381500" y="3949700"/>
                                </a:lnTo>
                                <a:lnTo>
                                  <a:pt x="4940300" y="3949700"/>
                                </a:lnTo>
                                <a:lnTo>
                                  <a:pt x="4940300" y="3937000"/>
                                </a:lnTo>
                                <a:close/>
                              </a:path>
                              <a:path w="4940300" h="5638800">
                                <a:moveTo>
                                  <a:pt x="4940300" y="2197100"/>
                                </a:moveTo>
                                <a:lnTo>
                                  <a:pt x="4381500" y="2197100"/>
                                </a:lnTo>
                                <a:lnTo>
                                  <a:pt x="4381500" y="2209800"/>
                                </a:lnTo>
                                <a:lnTo>
                                  <a:pt x="4940300" y="2209800"/>
                                </a:lnTo>
                                <a:lnTo>
                                  <a:pt x="4940300" y="2197100"/>
                                </a:lnTo>
                                <a:close/>
                              </a:path>
                            </a:pathLst>
                          </a:custGeom>
                          <a:solidFill>
                            <a:srgbClr val="000000"/>
                          </a:solidFill>
                        </wps:spPr>
                        <wps:bodyPr wrap="square" lIns="0" tIns="0" rIns="0" bIns="0" rtlCol="0">
                          <a:prstTxWarp prst="textNoShape">
                            <a:avLst/>
                          </a:prstTxWarp>
                          <a:noAutofit/>
                        </wps:bodyPr>
                      </wps:wsp>
                      <wps:wsp>
                        <wps:cNvPr id="251" name="Textbox 251"/>
                        <wps:cNvSpPr txBox="1"/>
                        <wps:spPr>
                          <a:xfrm>
                            <a:off x="5076825" y="4827537"/>
                            <a:ext cx="241300" cy="113030"/>
                          </a:xfrm>
                          <a:prstGeom prst="rect">
                            <a:avLst/>
                          </a:prstGeom>
                        </wps:spPr>
                        <wps:txbx>
                          <w:txbxContent>
                            <w:p>
                              <w:pPr>
                                <w:spacing w:line="177" w:lineRule="exact" w:before="0"/>
                                <w:ind w:left="0" w:right="0" w:firstLine="0"/>
                                <w:jc w:val="left"/>
                                <w:rPr>
                                  <w:sz w:val="16"/>
                                </w:rPr>
                              </w:pPr>
                              <w:r>
                                <w:rPr>
                                  <w:spacing w:val="-2"/>
                                  <w:sz w:val="16"/>
                                </w:rPr>
                                <w:t>5,194</w:t>
                              </w:r>
                            </w:p>
                          </w:txbxContent>
                        </wps:txbx>
                        <wps:bodyPr wrap="square" lIns="0" tIns="0" rIns="0" bIns="0" rtlCol="0">
                          <a:noAutofit/>
                        </wps:bodyPr>
                      </wps:wsp>
                      <wps:wsp>
                        <wps:cNvPr id="252" name="Textbox 252"/>
                        <wps:cNvSpPr txBox="1"/>
                        <wps:spPr>
                          <a:xfrm>
                            <a:off x="4607559" y="1779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53" name="Textbox 253"/>
                        <wps:cNvSpPr txBox="1"/>
                        <wps:spPr>
                          <a:xfrm>
                            <a:off x="5584825" y="4827537"/>
                            <a:ext cx="342900" cy="113030"/>
                          </a:xfrm>
                          <a:prstGeom prst="rect">
                            <a:avLst/>
                          </a:prstGeom>
                        </wps:spPr>
                        <wps:txbx>
                          <w:txbxContent>
                            <w:p>
                              <w:pPr>
                                <w:spacing w:line="177" w:lineRule="exact" w:before="0"/>
                                <w:ind w:left="0" w:right="0" w:firstLine="0"/>
                                <w:jc w:val="left"/>
                                <w:rPr>
                                  <w:sz w:val="16"/>
                                </w:rPr>
                              </w:pPr>
                              <w:r>
                                <w:rPr>
                                  <w:spacing w:val="-2"/>
                                  <w:sz w:val="16"/>
                                </w:rPr>
                                <w:t>151,058</w:t>
                              </w:r>
                            </w:p>
                          </w:txbxContent>
                        </wps:txbx>
                        <wps:bodyPr wrap="square" lIns="0" tIns="0" rIns="0" bIns="0" rtlCol="0">
                          <a:noAutofit/>
                        </wps:bodyPr>
                      </wps:wsp>
                      <wps:wsp>
                        <wps:cNvPr id="254" name="Textbox 254"/>
                        <wps:cNvSpPr txBox="1"/>
                        <wps:spPr>
                          <a:xfrm>
                            <a:off x="3172460" y="827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55" name="Textbox 255"/>
                        <wps:cNvSpPr txBox="1"/>
                        <wps:spPr>
                          <a:xfrm>
                            <a:off x="4607559" y="1335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56" name="Textbox 256"/>
                        <wps:cNvSpPr txBox="1"/>
                        <wps:spPr>
                          <a:xfrm>
                            <a:off x="6372225" y="3963937"/>
                            <a:ext cx="165100" cy="113030"/>
                          </a:xfrm>
                          <a:prstGeom prst="rect">
                            <a:avLst/>
                          </a:prstGeom>
                        </wps:spPr>
                        <wps:txbx>
                          <w:txbxContent>
                            <w:p>
                              <w:pPr>
                                <w:spacing w:line="177" w:lineRule="exact" w:before="0"/>
                                <w:ind w:left="0" w:right="0" w:firstLine="0"/>
                                <w:jc w:val="left"/>
                                <w:rPr>
                                  <w:sz w:val="16"/>
                                </w:rPr>
                              </w:pPr>
                              <w:r>
                                <w:rPr>
                                  <w:spacing w:val="-5"/>
                                  <w:sz w:val="16"/>
                                </w:rPr>
                                <w:t>615</w:t>
                              </w:r>
                            </w:p>
                          </w:txbxContent>
                        </wps:txbx>
                        <wps:bodyPr wrap="square" lIns="0" tIns="0" rIns="0" bIns="0" rtlCol="0">
                          <a:noAutofit/>
                        </wps:bodyPr>
                      </wps:wsp>
                      <wps:wsp>
                        <wps:cNvPr id="257" name="Textbox 257"/>
                        <wps:cNvSpPr txBox="1"/>
                        <wps:spPr>
                          <a:xfrm>
                            <a:off x="2575560" y="4827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58" name="Textbox 258"/>
                        <wps:cNvSpPr txBox="1"/>
                        <wps:spPr>
                          <a:xfrm>
                            <a:off x="4607559" y="30876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59" name="Textbox 259"/>
                        <wps:cNvSpPr txBox="1"/>
                        <wps:spPr>
                          <a:xfrm>
                            <a:off x="31750" y="1237247"/>
                            <a:ext cx="1002030" cy="214629"/>
                          </a:xfrm>
                          <a:prstGeom prst="rect">
                            <a:avLst/>
                          </a:prstGeom>
                        </wps:spPr>
                        <wps:txbx>
                          <w:txbxContent>
                            <w:p>
                              <w:pPr>
                                <w:spacing w:line="208" w:lineRule="auto" w:before="12"/>
                                <w:ind w:left="180" w:right="18" w:hanging="180"/>
                                <w:jc w:val="left"/>
                                <w:rPr>
                                  <w:sz w:val="16"/>
                                </w:rPr>
                              </w:pPr>
                              <w:r>
                                <w:rPr>
                                  <w:sz w:val="16"/>
                                </w:rPr>
                                <w:t>Tax benefit from</w:t>
                              </w:r>
                              <w:r>
                                <w:rPr>
                                  <w:spacing w:val="40"/>
                                  <w:sz w:val="16"/>
                                </w:rPr>
                                <w:t> </w:t>
                              </w:r>
                              <w:r>
                                <w:rPr>
                                  <w:sz w:val="16"/>
                                </w:rPr>
                                <w:t>employee</w:t>
                              </w:r>
                              <w:r>
                                <w:rPr>
                                  <w:spacing w:val="-10"/>
                                  <w:sz w:val="16"/>
                                </w:rPr>
                                <w:t> </w:t>
                              </w:r>
                              <w:r>
                                <w:rPr>
                                  <w:sz w:val="16"/>
                                </w:rPr>
                                <w:t>stock</w:t>
                              </w:r>
                              <w:r>
                                <w:rPr>
                                  <w:spacing w:val="-10"/>
                                  <w:sz w:val="16"/>
                                </w:rPr>
                                <w:t> </w:t>
                              </w:r>
                              <w:r>
                                <w:rPr>
                                  <w:sz w:val="16"/>
                                </w:rPr>
                                <w:t>plans</w:t>
                              </w:r>
                            </w:p>
                          </w:txbxContent>
                        </wps:txbx>
                        <wps:bodyPr wrap="square" lIns="0" tIns="0" rIns="0" bIns="0" rtlCol="0">
                          <a:noAutofit/>
                        </wps:bodyPr>
                      </wps:wsp>
                      <wps:wsp>
                        <wps:cNvPr id="260" name="Textbox 260"/>
                        <wps:cNvSpPr txBox="1"/>
                        <wps:spPr>
                          <a:xfrm>
                            <a:off x="3531870" y="3087637"/>
                            <a:ext cx="411480" cy="113030"/>
                          </a:xfrm>
                          <a:prstGeom prst="rect">
                            <a:avLst/>
                          </a:prstGeom>
                        </wps:spPr>
                        <wps:txbx>
                          <w:txbxContent>
                            <w:p>
                              <w:pPr>
                                <w:spacing w:line="177" w:lineRule="exact" w:before="0"/>
                                <w:ind w:left="0" w:right="0" w:firstLine="0"/>
                                <w:jc w:val="left"/>
                                <w:rPr>
                                  <w:sz w:val="16"/>
                                </w:rPr>
                              </w:pPr>
                              <w:r>
                                <w:rPr>
                                  <w:spacing w:val="-2"/>
                                  <w:sz w:val="16"/>
                                </w:rPr>
                                <w:t>(307,696)</w:t>
                              </w:r>
                            </w:p>
                          </w:txbxContent>
                        </wps:txbx>
                        <wps:bodyPr wrap="square" lIns="0" tIns="0" rIns="0" bIns="0" rtlCol="0">
                          <a:noAutofit/>
                        </wps:bodyPr>
                      </wps:wsp>
                      <wps:wsp>
                        <wps:cNvPr id="261" name="Textbox 261"/>
                        <wps:cNvSpPr txBox="1"/>
                        <wps:spPr>
                          <a:xfrm>
                            <a:off x="3044825" y="3087637"/>
                            <a:ext cx="241300" cy="113030"/>
                          </a:xfrm>
                          <a:prstGeom prst="rect">
                            <a:avLst/>
                          </a:prstGeom>
                        </wps:spPr>
                        <wps:txbx>
                          <w:txbxContent>
                            <w:p>
                              <w:pPr>
                                <w:spacing w:line="177" w:lineRule="exact" w:before="0"/>
                                <w:ind w:left="0" w:right="0" w:firstLine="0"/>
                                <w:jc w:val="left"/>
                                <w:rPr>
                                  <w:sz w:val="16"/>
                                </w:rPr>
                              </w:pPr>
                              <w:r>
                                <w:rPr>
                                  <w:spacing w:val="-2"/>
                                  <w:sz w:val="16"/>
                                </w:rPr>
                                <w:t>7,365</w:t>
                              </w:r>
                            </w:p>
                          </w:txbxContent>
                        </wps:txbx>
                        <wps:bodyPr wrap="square" lIns="0" tIns="0" rIns="0" bIns="0" rtlCol="0">
                          <a:noAutofit/>
                        </wps:bodyPr>
                      </wps:wsp>
                      <wps:wsp>
                        <wps:cNvPr id="262" name="Textbox 262"/>
                        <wps:cNvSpPr txBox="1"/>
                        <wps:spPr>
                          <a:xfrm>
                            <a:off x="2575560" y="30876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63" name="Textbox 263"/>
                        <wps:cNvSpPr txBox="1"/>
                        <wps:spPr>
                          <a:xfrm>
                            <a:off x="2004060" y="30876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64" name="Textbox 264"/>
                        <wps:cNvSpPr txBox="1"/>
                        <wps:spPr>
                          <a:xfrm>
                            <a:off x="3794759" y="1335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65" name="Textbox 265"/>
                        <wps:cNvSpPr txBox="1"/>
                        <wps:spPr>
                          <a:xfrm>
                            <a:off x="5814059" y="826402"/>
                            <a:ext cx="758190" cy="113664"/>
                          </a:xfrm>
                          <a:prstGeom prst="rect">
                            <a:avLst/>
                          </a:prstGeom>
                        </wps:spPr>
                        <wps:txbx>
                          <w:txbxContent>
                            <w:p>
                              <w:pPr>
                                <w:tabs>
                                  <w:tab w:pos="545" w:val="left" w:leader="none"/>
                                </w:tabs>
                                <w:spacing w:line="178" w:lineRule="exact" w:before="0"/>
                                <w:ind w:left="0" w:right="0" w:firstLine="0"/>
                                <w:jc w:val="left"/>
                                <w:rPr>
                                  <w:sz w:val="16"/>
                                </w:rPr>
                              </w:pPr>
                              <w:r>
                                <w:rPr>
                                  <w:spacing w:val="-10"/>
                                  <w:sz w:val="16"/>
                                </w:rPr>
                                <w:t>—</w:t>
                              </w:r>
                              <w:r>
                                <w:rPr>
                                  <w:sz w:val="16"/>
                                </w:rPr>
                                <w:tab/>
                              </w:r>
                              <w:r>
                                <w:rPr>
                                  <w:spacing w:val="-2"/>
                                  <w:sz w:val="16"/>
                                </w:rPr>
                                <w:t>(160,986)</w:t>
                              </w:r>
                            </w:p>
                          </w:txbxContent>
                        </wps:txbx>
                        <wps:bodyPr wrap="square" lIns="0" tIns="0" rIns="0" bIns="0" rtlCol="0">
                          <a:noAutofit/>
                        </wps:bodyPr>
                      </wps:wsp>
                      <wps:wsp>
                        <wps:cNvPr id="266" name="Textbox 266"/>
                        <wps:cNvSpPr txBox="1"/>
                        <wps:spPr>
                          <a:xfrm>
                            <a:off x="5584825" y="3087637"/>
                            <a:ext cx="342900" cy="113030"/>
                          </a:xfrm>
                          <a:prstGeom prst="rect">
                            <a:avLst/>
                          </a:prstGeom>
                        </wps:spPr>
                        <wps:txbx>
                          <w:txbxContent>
                            <w:p>
                              <w:pPr>
                                <w:spacing w:line="177" w:lineRule="exact" w:before="0"/>
                                <w:ind w:left="0" w:right="0" w:firstLine="0"/>
                                <w:jc w:val="left"/>
                                <w:rPr>
                                  <w:sz w:val="16"/>
                                </w:rPr>
                              </w:pPr>
                              <w:r>
                                <w:rPr>
                                  <w:spacing w:val="-2"/>
                                  <w:sz w:val="16"/>
                                </w:rPr>
                                <w:t>209,628</w:t>
                              </w:r>
                            </w:p>
                          </w:txbxContent>
                        </wps:txbx>
                        <wps:bodyPr wrap="square" lIns="0" tIns="0" rIns="0" bIns="0" rtlCol="0">
                          <a:noAutofit/>
                        </wps:bodyPr>
                      </wps:wsp>
                      <wps:wsp>
                        <wps:cNvPr id="267" name="Textbox 267"/>
                        <wps:cNvSpPr txBox="1"/>
                        <wps:spPr>
                          <a:xfrm>
                            <a:off x="4344670" y="827037"/>
                            <a:ext cx="411480" cy="113030"/>
                          </a:xfrm>
                          <a:prstGeom prst="rect">
                            <a:avLst/>
                          </a:prstGeom>
                        </wps:spPr>
                        <wps:txbx>
                          <w:txbxContent>
                            <w:p>
                              <w:pPr>
                                <w:spacing w:line="177" w:lineRule="exact" w:before="0"/>
                                <w:ind w:left="0" w:right="0" w:firstLine="0"/>
                                <w:jc w:val="left"/>
                                <w:rPr>
                                  <w:sz w:val="16"/>
                                </w:rPr>
                              </w:pPr>
                              <w:r>
                                <w:rPr>
                                  <w:spacing w:val="-2"/>
                                  <w:sz w:val="16"/>
                                </w:rPr>
                                <w:t>(160,986)</w:t>
                              </w:r>
                            </w:p>
                          </w:txbxContent>
                        </wps:txbx>
                        <wps:bodyPr wrap="square" lIns="0" tIns="0" rIns="0" bIns="0" rtlCol="0">
                          <a:noAutofit/>
                        </wps:bodyPr>
                      </wps:wsp>
                      <wps:wsp>
                        <wps:cNvPr id="268" name="Textbox 268"/>
                        <wps:cNvSpPr txBox="1"/>
                        <wps:spPr>
                          <a:xfrm>
                            <a:off x="3794759" y="827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69" name="Textbox 269"/>
                        <wps:cNvSpPr txBox="1"/>
                        <wps:spPr>
                          <a:xfrm>
                            <a:off x="5814059" y="1779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70" name="Textbox 270"/>
                        <wps:cNvSpPr txBox="1"/>
                        <wps:spPr>
                          <a:xfrm>
                            <a:off x="5204459" y="1779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71" name="Textbox 271"/>
                        <wps:cNvSpPr txBox="1"/>
                        <wps:spPr>
                          <a:xfrm>
                            <a:off x="6211570" y="3087002"/>
                            <a:ext cx="360680" cy="113664"/>
                          </a:xfrm>
                          <a:prstGeom prst="rect">
                            <a:avLst/>
                          </a:prstGeom>
                        </wps:spPr>
                        <wps:txbx>
                          <w:txbxContent>
                            <w:p>
                              <w:pPr>
                                <w:spacing w:line="178" w:lineRule="exact" w:before="0"/>
                                <w:ind w:left="0" w:right="0" w:firstLine="0"/>
                                <w:jc w:val="left"/>
                                <w:rPr>
                                  <w:sz w:val="16"/>
                                </w:rPr>
                              </w:pPr>
                              <w:r>
                                <w:rPr>
                                  <w:spacing w:val="-2"/>
                                  <w:sz w:val="16"/>
                                </w:rPr>
                                <w:t>(90,703)</w:t>
                              </w:r>
                            </w:p>
                          </w:txbxContent>
                        </wps:txbx>
                        <wps:bodyPr wrap="square" lIns="0" tIns="0" rIns="0" bIns="0" rtlCol="0">
                          <a:noAutofit/>
                        </wps:bodyPr>
                      </wps:wsp>
                      <wps:wsp>
                        <wps:cNvPr id="272" name="Textbox 272"/>
                        <wps:cNvSpPr txBox="1"/>
                        <wps:spPr>
                          <a:xfrm>
                            <a:off x="6262370" y="5652403"/>
                            <a:ext cx="309880" cy="113664"/>
                          </a:xfrm>
                          <a:prstGeom prst="rect">
                            <a:avLst/>
                          </a:prstGeom>
                        </wps:spPr>
                        <wps:txbx>
                          <w:txbxContent>
                            <w:p>
                              <w:pPr>
                                <w:spacing w:line="178" w:lineRule="exact" w:before="0"/>
                                <w:ind w:left="0" w:right="0" w:firstLine="0"/>
                                <w:jc w:val="left"/>
                                <w:rPr>
                                  <w:sz w:val="16"/>
                                </w:rPr>
                              </w:pPr>
                              <w:r>
                                <w:rPr>
                                  <w:spacing w:val="-2"/>
                                  <w:sz w:val="16"/>
                                </w:rPr>
                                <w:t>(3,022)</w:t>
                              </w:r>
                            </w:p>
                          </w:txbxContent>
                        </wps:txbx>
                        <wps:bodyPr wrap="square" lIns="0" tIns="0" rIns="0" bIns="0" rtlCol="0">
                          <a:noAutofit/>
                        </wps:bodyPr>
                      </wps:wsp>
                      <wps:wsp>
                        <wps:cNvPr id="273" name="Textbox 273"/>
                        <wps:cNvSpPr txBox="1"/>
                        <wps:spPr>
                          <a:xfrm>
                            <a:off x="5652770" y="5653037"/>
                            <a:ext cx="309880" cy="113030"/>
                          </a:xfrm>
                          <a:prstGeom prst="rect">
                            <a:avLst/>
                          </a:prstGeom>
                        </wps:spPr>
                        <wps:txbx>
                          <w:txbxContent>
                            <w:p>
                              <w:pPr>
                                <w:spacing w:line="177" w:lineRule="exact" w:before="0"/>
                                <w:ind w:left="0" w:right="0" w:firstLine="0"/>
                                <w:jc w:val="left"/>
                                <w:rPr>
                                  <w:sz w:val="16"/>
                                </w:rPr>
                              </w:pPr>
                              <w:r>
                                <w:rPr>
                                  <w:spacing w:val="-2"/>
                                  <w:sz w:val="16"/>
                                </w:rPr>
                                <w:t>(3,022)</w:t>
                              </w:r>
                            </w:p>
                          </w:txbxContent>
                        </wps:txbx>
                        <wps:bodyPr wrap="square" lIns="0" tIns="0" rIns="0" bIns="0" rtlCol="0">
                          <a:noAutofit/>
                        </wps:bodyPr>
                      </wps:wsp>
                      <wps:wsp>
                        <wps:cNvPr id="274" name="Textbox 274"/>
                        <wps:cNvSpPr txBox="1"/>
                        <wps:spPr>
                          <a:xfrm>
                            <a:off x="5204459" y="5653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75" name="Textbox 275"/>
                        <wps:cNvSpPr txBox="1"/>
                        <wps:spPr>
                          <a:xfrm>
                            <a:off x="4607559" y="5653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76" name="Textbox 276"/>
                        <wps:cNvSpPr txBox="1"/>
                        <wps:spPr>
                          <a:xfrm>
                            <a:off x="3794759" y="5653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77" name="Textbox 277"/>
                        <wps:cNvSpPr txBox="1"/>
                        <wps:spPr>
                          <a:xfrm>
                            <a:off x="3172460" y="5653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78" name="Textbox 278"/>
                        <wps:cNvSpPr txBox="1"/>
                        <wps:spPr>
                          <a:xfrm>
                            <a:off x="2575560" y="5653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79" name="Textbox 279"/>
                        <wps:cNvSpPr txBox="1"/>
                        <wps:spPr>
                          <a:xfrm>
                            <a:off x="2004060" y="5653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80" name="Textbox 280"/>
                        <wps:cNvSpPr txBox="1"/>
                        <wps:spPr>
                          <a:xfrm>
                            <a:off x="31750" y="5580647"/>
                            <a:ext cx="1101725" cy="213995"/>
                          </a:xfrm>
                          <a:prstGeom prst="rect">
                            <a:avLst/>
                          </a:prstGeom>
                        </wps:spPr>
                        <wps:txbx>
                          <w:txbxContent>
                            <w:p>
                              <w:pPr>
                                <w:spacing w:line="206" w:lineRule="auto" w:before="14"/>
                                <w:ind w:left="180" w:right="0" w:hanging="180"/>
                                <w:jc w:val="left"/>
                                <w:rPr>
                                  <w:sz w:val="16"/>
                                </w:rPr>
                              </w:pPr>
                              <w:r>
                                <w:rPr>
                                  <w:sz w:val="16"/>
                                </w:rPr>
                                <w:t>Value</w:t>
                              </w:r>
                              <w:r>
                                <w:rPr>
                                  <w:spacing w:val="-10"/>
                                  <w:sz w:val="16"/>
                                </w:rPr>
                                <w:t> </w:t>
                              </w:r>
                              <w:r>
                                <w:rPr>
                                  <w:sz w:val="16"/>
                                </w:rPr>
                                <w:t>of</w:t>
                              </w:r>
                              <w:r>
                                <w:rPr>
                                  <w:spacing w:val="-10"/>
                                  <w:sz w:val="16"/>
                                </w:rPr>
                                <w:t> </w:t>
                              </w:r>
                              <w:r>
                                <w:rPr>
                                  <w:sz w:val="16"/>
                                </w:rPr>
                                <w:t>shares</w:t>
                              </w:r>
                              <w:r>
                                <w:rPr>
                                  <w:spacing w:val="-10"/>
                                  <w:sz w:val="16"/>
                                </w:rPr>
                                <w:t> </w:t>
                              </w:r>
                              <w:r>
                                <w:rPr>
                                  <w:sz w:val="16"/>
                                </w:rPr>
                                <w:t>in</w:t>
                              </w:r>
                              <w:r>
                                <w:rPr>
                                  <w:spacing w:val="-10"/>
                                  <w:sz w:val="16"/>
                                </w:rPr>
                                <w:t> </w:t>
                              </w:r>
                              <w:r>
                                <w:rPr>
                                  <w:sz w:val="16"/>
                                </w:rPr>
                                <w:t>deferred</w:t>
                              </w:r>
                              <w:r>
                                <w:rPr>
                                  <w:spacing w:val="40"/>
                                  <w:sz w:val="16"/>
                                </w:rPr>
                                <w:t> </w:t>
                              </w:r>
                              <w:r>
                                <w:rPr>
                                  <w:sz w:val="16"/>
                                </w:rPr>
                                <w:t>compensation</w:t>
                              </w:r>
                              <w:r>
                                <w:rPr>
                                  <w:spacing w:val="-1"/>
                                  <w:sz w:val="16"/>
                                </w:rPr>
                                <w:t> </w:t>
                              </w:r>
                              <w:r>
                                <w:rPr>
                                  <w:sz w:val="16"/>
                                </w:rPr>
                                <w:t>plan</w:t>
                              </w:r>
                            </w:p>
                          </w:txbxContent>
                        </wps:txbx>
                        <wps:bodyPr wrap="square" lIns="0" tIns="0" rIns="0" bIns="0" rtlCol="0">
                          <a:noAutofit/>
                        </wps:bodyPr>
                      </wps:wsp>
                      <wps:wsp>
                        <wps:cNvPr id="281" name="Textbox 281"/>
                        <wps:cNvSpPr txBox="1"/>
                        <wps:spPr>
                          <a:xfrm>
                            <a:off x="4607559" y="4827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82" name="Textbox 282"/>
                        <wps:cNvSpPr txBox="1"/>
                        <wps:spPr>
                          <a:xfrm>
                            <a:off x="2575560" y="2224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83" name="Textbox 283"/>
                        <wps:cNvSpPr txBox="1"/>
                        <wps:spPr>
                          <a:xfrm>
                            <a:off x="2004060" y="1335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84" name="Textbox 284"/>
                        <wps:cNvSpPr txBox="1"/>
                        <wps:spPr>
                          <a:xfrm>
                            <a:off x="2575560" y="1335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85" name="Textbox 285"/>
                        <wps:cNvSpPr txBox="1"/>
                        <wps:spPr>
                          <a:xfrm>
                            <a:off x="2994025" y="1335037"/>
                            <a:ext cx="292100" cy="113030"/>
                          </a:xfrm>
                          <a:prstGeom prst="rect">
                            <a:avLst/>
                          </a:prstGeom>
                        </wps:spPr>
                        <wps:txbx>
                          <w:txbxContent>
                            <w:p>
                              <w:pPr>
                                <w:spacing w:line="177" w:lineRule="exact" w:before="0"/>
                                <w:ind w:left="0" w:right="0" w:firstLine="0"/>
                                <w:jc w:val="left"/>
                                <w:rPr>
                                  <w:sz w:val="16"/>
                                </w:rPr>
                              </w:pPr>
                              <w:r>
                                <w:rPr>
                                  <w:spacing w:val="-2"/>
                                  <w:sz w:val="16"/>
                                </w:rPr>
                                <w:t>68,133</w:t>
                              </w:r>
                            </w:p>
                          </w:txbxContent>
                        </wps:txbx>
                        <wps:bodyPr wrap="square" lIns="0" tIns="0" rIns="0" bIns="0" rtlCol="0">
                          <a:noAutofit/>
                        </wps:bodyPr>
                      </wps:wsp>
                      <wps:wsp>
                        <wps:cNvPr id="286" name="Textbox 286"/>
                        <wps:cNvSpPr txBox="1"/>
                        <wps:spPr>
                          <a:xfrm>
                            <a:off x="31750" y="4729747"/>
                            <a:ext cx="1463040" cy="214629"/>
                          </a:xfrm>
                          <a:prstGeom prst="rect">
                            <a:avLst/>
                          </a:prstGeom>
                        </wps:spPr>
                        <wps:txbx>
                          <w:txbxContent>
                            <w:p>
                              <w:pPr>
                                <w:spacing w:line="208" w:lineRule="auto" w:before="12"/>
                                <w:ind w:left="180" w:right="0" w:hanging="180"/>
                                <w:jc w:val="left"/>
                                <w:rPr>
                                  <w:sz w:val="16"/>
                                </w:rPr>
                              </w:pPr>
                              <w:r>
                                <w:rPr>
                                  <w:sz w:val="16"/>
                                </w:rPr>
                                <w:t>Re-issuance</w:t>
                              </w:r>
                              <w:r>
                                <w:rPr>
                                  <w:spacing w:val="-10"/>
                                  <w:sz w:val="16"/>
                                </w:rPr>
                                <w:t> </w:t>
                              </w:r>
                              <w:r>
                                <w:rPr>
                                  <w:sz w:val="16"/>
                                </w:rPr>
                                <w:t>of</w:t>
                              </w:r>
                              <w:r>
                                <w:rPr>
                                  <w:spacing w:val="-10"/>
                                  <w:sz w:val="16"/>
                                </w:rPr>
                                <w:t> </w:t>
                              </w:r>
                              <w:r>
                                <w:rPr>
                                  <w:sz w:val="16"/>
                                </w:rPr>
                                <w:t>treasury</w:t>
                              </w:r>
                              <w:r>
                                <w:rPr>
                                  <w:spacing w:val="-10"/>
                                  <w:sz w:val="16"/>
                                </w:rPr>
                                <w:t> </w:t>
                              </w:r>
                              <w:r>
                                <w:rPr>
                                  <w:sz w:val="16"/>
                                </w:rPr>
                                <w:t>stock</w:t>
                              </w:r>
                              <w:r>
                                <w:rPr>
                                  <w:spacing w:val="-10"/>
                                  <w:sz w:val="16"/>
                                </w:rPr>
                                <w:t> </w:t>
                              </w:r>
                              <w:r>
                                <w:rPr>
                                  <w:sz w:val="16"/>
                                </w:rPr>
                                <w:t>under</w:t>
                              </w:r>
                              <w:r>
                                <w:rPr>
                                  <w:spacing w:val="40"/>
                                  <w:sz w:val="16"/>
                                </w:rPr>
                                <w:t> </w:t>
                              </w:r>
                              <w:r>
                                <w:rPr>
                                  <w:sz w:val="16"/>
                                </w:rPr>
                                <w:t>stock compensation plans</w:t>
                              </w:r>
                            </w:p>
                          </w:txbxContent>
                        </wps:txbx>
                        <wps:bodyPr wrap="square" lIns="0" tIns="0" rIns="0" bIns="0" rtlCol="0">
                          <a:noAutofit/>
                        </wps:bodyPr>
                      </wps:wsp>
                      <wps:wsp>
                        <wps:cNvPr id="287" name="Textbox 287"/>
                        <wps:cNvSpPr txBox="1"/>
                        <wps:spPr>
                          <a:xfrm>
                            <a:off x="2004060" y="4827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88" name="Textbox 288"/>
                        <wps:cNvSpPr txBox="1"/>
                        <wps:spPr>
                          <a:xfrm>
                            <a:off x="5204459" y="1335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89" name="Textbox 289"/>
                        <wps:cNvSpPr txBox="1"/>
                        <wps:spPr>
                          <a:xfrm>
                            <a:off x="3044825" y="4827537"/>
                            <a:ext cx="241300" cy="113030"/>
                          </a:xfrm>
                          <a:prstGeom prst="rect">
                            <a:avLst/>
                          </a:prstGeom>
                        </wps:spPr>
                        <wps:txbx>
                          <w:txbxContent>
                            <w:p>
                              <w:pPr>
                                <w:spacing w:line="177" w:lineRule="exact" w:before="0"/>
                                <w:ind w:left="0" w:right="0" w:firstLine="0"/>
                                <w:jc w:val="left"/>
                                <w:rPr>
                                  <w:sz w:val="16"/>
                                </w:rPr>
                              </w:pPr>
                              <w:r>
                                <w:rPr>
                                  <w:spacing w:val="-2"/>
                                  <w:sz w:val="16"/>
                                </w:rPr>
                                <w:t>1,768</w:t>
                              </w:r>
                            </w:p>
                          </w:txbxContent>
                        </wps:txbx>
                        <wps:bodyPr wrap="square" lIns="0" tIns="0" rIns="0" bIns="0" rtlCol="0">
                          <a:noAutofit/>
                        </wps:bodyPr>
                      </wps:wsp>
                      <wps:wsp>
                        <wps:cNvPr id="290" name="Textbox 290"/>
                        <wps:cNvSpPr txBox="1"/>
                        <wps:spPr>
                          <a:xfrm>
                            <a:off x="3531870" y="4827537"/>
                            <a:ext cx="411480" cy="113030"/>
                          </a:xfrm>
                          <a:prstGeom prst="rect">
                            <a:avLst/>
                          </a:prstGeom>
                        </wps:spPr>
                        <wps:txbx>
                          <w:txbxContent>
                            <w:p>
                              <w:pPr>
                                <w:spacing w:line="177" w:lineRule="exact" w:before="0"/>
                                <w:ind w:left="0" w:right="0" w:firstLine="0"/>
                                <w:jc w:val="left"/>
                                <w:rPr>
                                  <w:sz w:val="16"/>
                                </w:rPr>
                              </w:pPr>
                              <w:r>
                                <w:rPr>
                                  <w:spacing w:val="-2"/>
                                  <w:sz w:val="16"/>
                                </w:rPr>
                                <w:t>(234,601)</w:t>
                              </w:r>
                            </w:p>
                          </w:txbxContent>
                        </wps:txbx>
                        <wps:bodyPr wrap="square" lIns="0" tIns="0" rIns="0" bIns="0" rtlCol="0">
                          <a:noAutofit/>
                        </wps:bodyPr>
                      </wps:wsp>
                      <wps:wsp>
                        <wps:cNvPr id="291" name="Textbox 291"/>
                        <wps:cNvSpPr txBox="1"/>
                        <wps:spPr>
                          <a:xfrm>
                            <a:off x="5652770" y="2224037"/>
                            <a:ext cx="309880" cy="113030"/>
                          </a:xfrm>
                          <a:prstGeom prst="rect">
                            <a:avLst/>
                          </a:prstGeom>
                        </wps:spPr>
                        <wps:txbx>
                          <w:txbxContent>
                            <w:p>
                              <w:pPr>
                                <w:spacing w:line="177" w:lineRule="exact" w:before="0"/>
                                <w:ind w:left="0" w:right="0" w:firstLine="0"/>
                                <w:jc w:val="left"/>
                                <w:rPr>
                                  <w:sz w:val="16"/>
                                </w:rPr>
                              </w:pPr>
                              <w:r>
                                <w:rPr>
                                  <w:spacing w:val="-2"/>
                                  <w:sz w:val="16"/>
                                </w:rPr>
                                <w:t>(2,175)</w:t>
                              </w:r>
                            </w:p>
                          </w:txbxContent>
                        </wps:txbx>
                        <wps:bodyPr wrap="square" lIns="0" tIns="0" rIns="0" bIns="0" rtlCol="0">
                          <a:noAutofit/>
                        </wps:bodyPr>
                      </wps:wsp>
                      <wps:wsp>
                        <wps:cNvPr id="292" name="Textbox 292"/>
                        <wps:cNvSpPr txBox="1"/>
                        <wps:spPr>
                          <a:xfrm>
                            <a:off x="31750" y="5161547"/>
                            <a:ext cx="1116330" cy="214629"/>
                          </a:xfrm>
                          <a:prstGeom prst="rect">
                            <a:avLst/>
                          </a:prstGeom>
                        </wps:spPr>
                        <wps:txbx>
                          <w:txbxContent>
                            <w:p>
                              <w:pPr>
                                <w:spacing w:line="208" w:lineRule="auto" w:before="12"/>
                                <w:ind w:left="180" w:right="0" w:hanging="180"/>
                                <w:jc w:val="left"/>
                                <w:rPr>
                                  <w:sz w:val="16"/>
                                </w:rPr>
                              </w:pPr>
                              <w:r>
                                <w:rPr>
                                  <w:sz w:val="16"/>
                                </w:rPr>
                                <w:t>Equity</w:t>
                              </w:r>
                              <w:r>
                                <w:rPr>
                                  <w:spacing w:val="-10"/>
                                  <w:sz w:val="16"/>
                                </w:rPr>
                                <w:t> </w:t>
                              </w:r>
                              <w:r>
                                <w:rPr>
                                  <w:sz w:val="16"/>
                                </w:rPr>
                                <w:t>awards</w:t>
                              </w:r>
                              <w:r>
                                <w:rPr>
                                  <w:spacing w:val="-10"/>
                                  <w:sz w:val="16"/>
                                </w:rPr>
                                <w:t> </w:t>
                              </w:r>
                              <w:r>
                                <w:rPr>
                                  <w:sz w:val="16"/>
                                </w:rPr>
                                <w:t>assumed</w:t>
                              </w:r>
                              <w:r>
                                <w:rPr>
                                  <w:spacing w:val="-10"/>
                                  <w:sz w:val="16"/>
                                </w:rPr>
                                <w:t> </w:t>
                              </w:r>
                              <w:r>
                                <w:rPr>
                                  <w:sz w:val="16"/>
                                </w:rPr>
                                <w:t>for</w:t>
                              </w:r>
                              <w:r>
                                <w:rPr>
                                  <w:spacing w:val="40"/>
                                  <w:sz w:val="16"/>
                                </w:rPr>
                                <w:t> </w:t>
                              </w:r>
                              <w:r>
                                <w:rPr>
                                  <w:spacing w:val="-2"/>
                                  <w:sz w:val="16"/>
                                </w:rPr>
                                <w:t>acquisition</w:t>
                              </w:r>
                            </w:p>
                          </w:txbxContent>
                        </wps:txbx>
                        <wps:bodyPr wrap="square" lIns="0" tIns="0" rIns="0" bIns="0" rtlCol="0">
                          <a:noAutofit/>
                        </wps:bodyPr>
                      </wps:wsp>
                      <wps:wsp>
                        <wps:cNvPr id="293" name="Textbox 293"/>
                        <wps:cNvSpPr txBox="1"/>
                        <wps:spPr>
                          <a:xfrm>
                            <a:off x="6245225" y="1335037"/>
                            <a:ext cx="292100" cy="113030"/>
                          </a:xfrm>
                          <a:prstGeom prst="rect">
                            <a:avLst/>
                          </a:prstGeom>
                        </wps:spPr>
                        <wps:txbx>
                          <w:txbxContent>
                            <w:p>
                              <w:pPr>
                                <w:spacing w:line="177" w:lineRule="exact" w:before="0"/>
                                <w:ind w:left="0" w:right="0" w:firstLine="0"/>
                                <w:jc w:val="left"/>
                                <w:rPr>
                                  <w:sz w:val="16"/>
                                </w:rPr>
                              </w:pPr>
                              <w:r>
                                <w:rPr>
                                  <w:spacing w:val="-2"/>
                                  <w:sz w:val="16"/>
                                </w:rPr>
                                <w:t>68,133</w:t>
                              </w:r>
                            </w:p>
                          </w:txbxContent>
                        </wps:txbx>
                        <wps:bodyPr wrap="square" lIns="0" tIns="0" rIns="0" bIns="0" rtlCol="0">
                          <a:noAutofit/>
                        </wps:bodyPr>
                      </wps:wsp>
                      <wps:wsp>
                        <wps:cNvPr id="294" name="Textbox 294"/>
                        <wps:cNvSpPr txBox="1"/>
                        <wps:spPr>
                          <a:xfrm>
                            <a:off x="31750" y="2122437"/>
                            <a:ext cx="1101725" cy="214629"/>
                          </a:xfrm>
                          <a:prstGeom prst="rect">
                            <a:avLst/>
                          </a:prstGeom>
                        </wps:spPr>
                        <wps:txbx>
                          <w:txbxContent>
                            <w:p>
                              <w:pPr>
                                <w:spacing w:line="208" w:lineRule="auto" w:before="12"/>
                                <w:ind w:left="180" w:right="0" w:hanging="180"/>
                                <w:jc w:val="left"/>
                                <w:rPr>
                                  <w:sz w:val="16"/>
                                </w:rPr>
                              </w:pPr>
                              <w:r>
                                <w:rPr>
                                  <w:sz w:val="16"/>
                                </w:rPr>
                                <w:t>Value</w:t>
                              </w:r>
                              <w:r>
                                <w:rPr>
                                  <w:spacing w:val="-10"/>
                                  <w:sz w:val="16"/>
                                </w:rPr>
                                <w:t> </w:t>
                              </w:r>
                              <w:r>
                                <w:rPr>
                                  <w:sz w:val="16"/>
                                </w:rPr>
                                <w:t>of</w:t>
                              </w:r>
                              <w:r>
                                <w:rPr>
                                  <w:spacing w:val="-10"/>
                                  <w:sz w:val="16"/>
                                </w:rPr>
                                <w:t> </w:t>
                              </w:r>
                              <w:r>
                                <w:rPr>
                                  <w:sz w:val="16"/>
                                </w:rPr>
                                <w:t>shares</w:t>
                              </w:r>
                              <w:r>
                                <w:rPr>
                                  <w:spacing w:val="-10"/>
                                  <w:sz w:val="16"/>
                                </w:rPr>
                                <w:t> </w:t>
                              </w:r>
                              <w:r>
                                <w:rPr>
                                  <w:sz w:val="16"/>
                                </w:rPr>
                                <w:t>in</w:t>
                              </w:r>
                              <w:r>
                                <w:rPr>
                                  <w:spacing w:val="-10"/>
                                  <w:sz w:val="16"/>
                                </w:rPr>
                                <w:t> </w:t>
                              </w:r>
                              <w:r>
                                <w:rPr>
                                  <w:sz w:val="16"/>
                                </w:rPr>
                                <w:t>deferred</w:t>
                              </w:r>
                              <w:r>
                                <w:rPr>
                                  <w:spacing w:val="40"/>
                                  <w:sz w:val="16"/>
                                </w:rPr>
                                <w:t> </w:t>
                              </w:r>
                              <w:r>
                                <w:rPr>
                                  <w:sz w:val="16"/>
                                </w:rPr>
                                <w:t>compensation</w:t>
                              </w:r>
                              <w:r>
                                <w:rPr>
                                  <w:spacing w:val="-1"/>
                                  <w:sz w:val="16"/>
                                </w:rPr>
                                <w:t> </w:t>
                              </w:r>
                              <w:r>
                                <w:rPr>
                                  <w:sz w:val="16"/>
                                </w:rPr>
                                <w:t>plan</w:t>
                              </w:r>
                            </w:p>
                          </w:txbxContent>
                        </wps:txbx>
                        <wps:bodyPr wrap="square" lIns="0" tIns="0" rIns="0" bIns="0" rtlCol="0">
                          <a:noAutofit/>
                        </wps:bodyPr>
                      </wps:wsp>
                      <wps:wsp>
                        <wps:cNvPr id="295" name="Textbox 295"/>
                        <wps:cNvSpPr txBox="1"/>
                        <wps:spPr>
                          <a:xfrm>
                            <a:off x="2004060" y="2224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96" name="Textbox 296"/>
                        <wps:cNvSpPr txBox="1"/>
                        <wps:spPr>
                          <a:xfrm>
                            <a:off x="2004060" y="827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97" name="Textbox 297"/>
                        <wps:cNvSpPr txBox="1"/>
                        <wps:spPr>
                          <a:xfrm>
                            <a:off x="3172460" y="2224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98" name="Textbox 298"/>
                        <wps:cNvSpPr txBox="1"/>
                        <wps:spPr>
                          <a:xfrm>
                            <a:off x="3794759" y="2224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299" name="Textbox 299"/>
                        <wps:cNvSpPr txBox="1"/>
                        <wps:spPr>
                          <a:xfrm>
                            <a:off x="4607559" y="2224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00" name="Textbox 300"/>
                        <wps:cNvSpPr txBox="1"/>
                        <wps:spPr>
                          <a:xfrm>
                            <a:off x="5204459" y="2224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01" name="Textbox 301"/>
                        <wps:cNvSpPr txBox="1"/>
                        <wps:spPr>
                          <a:xfrm>
                            <a:off x="6245225" y="5246637"/>
                            <a:ext cx="292100" cy="113030"/>
                          </a:xfrm>
                          <a:prstGeom prst="rect">
                            <a:avLst/>
                          </a:prstGeom>
                        </wps:spPr>
                        <wps:txbx>
                          <w:txbxContent>
                            <w:p>
                              <w:pPr>
                                <w:spacing w:line="177" w:lineRule="exact" w:before="0"/>
                                <w:ind w:left="0" w:right="0" w:firstLine="0"/>
                                <w:jc w:val="left"/>
                                <w:rPr>
                                  <w:sz w:val="16"/>
                                </w:rPr>
                              </w:pPr>
                              <w:r>
                                <w:rPr>
                                  <w:spacing w:val="-2"/>
                                  <w:sz w:val="16"/>
                                </w:rPr>
                                <w:t>10,348</w:t>
                              </w:r>
                            </w:p>
                          </w:txbxContent>
                        </wps:txbx>
                        <wps:bodyPr wrap="square" lIns="0" tIns="0" rIns="0" bIns="0" rtlCol="0">
                          <a:noAutofit/>
                        </wps:bodyPr>
                      </wps:wsp>
                      <wps:wsp>
                        <wps:cNvPr id="302" name="Textbox 302"/>
                        <wps:cNvSpPr txBox="1"/>
                        <wps:spPr>
                          <a:xfrm>
                            <a:off x="6262370" y="2223402"/>
                            <a:ext cx="309880" cy="113664"/>
                          </a:xfrm>
                          <a:prstGeom prst="rect">
                            <a:avLst/>
                          </a:prstGeom>
                        </wps:spPr>
                        <wps:txbx>
                          <w:txbxContent>
                            <w:p>
                              <w:pPr>
                                <w:spacing w:line="178" w:lineRule="exact" w:before="0"/>
                                <w:ind w:left="0" w:right="0" w:firstLine="0"/>
                                <w:jc w:val="left"/>
                                <w:rPr>
                                  <w:sz w:val="16"/>
                                </w:rPr>
                              </w:pPr>
                              <w:r>
                                <w:rPr>
                                  <w:spacing w:val="-2"/>
                                  <w:sz w:val="16"/>
                                </w:rPr>
                                <w:t>(2,175)</w:t>
                              </w:r>
                            </w:p>
                          </w:txbxContent>
                        </wps:txbx>
                        <wps:bodyPr wrap="square" lIns="0" tIns="0" rIns="0" bIns="0" rtlCol="0">
                          <a:noAutofit/>
                        </wps:bodyPr>
                      </wps:wsp>
                      <wps:wsp>
                        <wps:cNvPr id="303" name="Textbox 303"/>
                        <wps:cNvSpPr txBox="1"/>
                        <wps:spPr>
                          <a:xfrm>
                            <a:off x="3121025" y="1779537"/>
                            <a:ext cx="165100" cy="113030"/>
                          </a:xfrm>
                          <a:prstGeom prst="rect">
                            <a:avLst/>
                          </a:prstGeom>
                        </wps:spPr>
                        <wps:txbx>
                          <w:txbxContent>
                            <w:p>
                              <w:pPr>
                                <w:spacing w:line="177" w:lineRule="exact" w:before="0"/>
                                <w:ind w:left="0" w:right="0" w:firstLine="0"/>
                                <w:jc w:val="left"/>
                                <w:rPr>
                                  <w:sz w:val="16"/>
                                </w:rPr>
                              </w:pPr>
                              <w:r>
                                <w:rPr>
                                  <w:spacing w:val="-5"/>
                                  <w:sz w:val="16"/>
                                </w:rPr>
                                <w:t>677</w:t>
                              </w:r>
                            </w:p>
                          </w:txbxContent>
                        </wps:txbx>
                        <wps:bodyPr wrap="square" lIns="0" tIns="0" rIns="0" bIns="0" rtlCol="0">
                          <a:noAutofit/>
                        </wps:bodyPr>
                      </wps:wsp>
                      <wps:wsp>
                        <wps:cNvPr id="304" name="Textbox 304"/>
                        <wps:cNvSpPr txBox="1"/>
                        <wps:spPr>
                          <a:xfrm>
                            <a:off x="2575560" y="1779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05" name="Textbox 305"/>
                        <wps:cNvSpPr txBox="1"/>
                        <wps:spPr>
                          <a:xfrm>
                            <a:off x="6372225" y="1779537"/>
                            <a:ext cx="165100" cy="113030"/>
                          </a:xfrm>
                          <a:prstGeom prst="rect">
                            <a:avLst/>
                          </a:prstGeom>
                        </wps:spPr>
                        <wps:txbx>
                          <w:txbxContent>
                            <w:p>
                              <w:pPr>
                                <w:spacing w:line="177" w:lineRule="exact" w:before="0"/>
                                <w:ind w:left="0" w:right="0" w:firstLine="0"/>
                                <w:jc w:val="left"/>
                                <w:rPr>
                                  <w:sz w:val="16"/>
                                </w:rPr>
                              </w:pPr>
                              <w:r>
                                <w:rPr>
                                  <w:spacing w:val="-5"/>
                                  <w:sz w:val="16"/>
                                </w:rPr>
                                <w:t>677</w:t>
                              </w:r>
                            </w:p>
                          </w:txbxContent>
                        </wps:txbx>
                        <wps:bodyPr wrap="square" lIns="0" tIns="0" rIns="0" bIns="0" rtlCol="0">
                          <a:noAutofit/>
                        </wps:bodyPr>
                      </wps:wsp>
                      <wps:wsp>
                        <wps:cNvPr id="306" name="Textbox 306"/>
                        <wps:cNvSpPr txBox="1"/>
                        <wps:spPr>
                          <a:xfrm>
                            <a:off x="2575560" y="827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07" name="Textbox 307"/>
                        <wps:cNvSpPr txBox="1"/>
                        <wps:spPr>
                          <a:xfrm>
                            <a:off x="31750" y="3862337"/>
                            <a:ext cx="1101725" cy="214629"/>
                          </a:xfrm>
                          <a:prstGeom prst="rect">
                            <a:avLst/>
                          </a:prstGeom>
                        </wps:spPr>
                        <wps:txbx>
                          <w:txbxContent>
                            <w:p>
                              <w:pPr>
                                <w:spacing w:line="208" w:lineRule="auto" w:before="12"/>
                                <w:ind w:left="180" w:right="0" w:hanging="180"/>
                                <w:jc w:val="left"/>
                                <w:rPr>
                                  <w:sz w:val="16"/>
                                </w:rPr>
                              </w:pPr>
                              <w:r>
                                <w:rPr>
                                  <w:sz w:val="16"/>
                                </w:rPr>
                                <w:t>Value</w:t>
                              </w:r>
                              <w:r>
                                <w:rPr>
                                  <w:spacing w:val="-10"/>
                                  <w:sz w:val="16"/>
                                </w:rPr>
                                <w:t> </w:t>
                              </w:r>
                              <w:r>
                                <w:rPr>
                                  <w:sz w:val="16"/>
                                </w:rPr>
                                <w:t>of</w:t>
                              </w:r>
                              <w:r>
                                <w:rPr>
                                  <w:spacing w:val="-10"/>
                                  <w:sz w:val="16"/>
                                </w:rPr>
                                <w:t> </w:t>
                              </w:r>
                              <w:r>
                                <w:rPr>
                                  <w:sz w:val="16"/>
                                </w:rPr>
                                <w:t>shares</w:t>
                              </w:r>
                              <w:r>
                                <w:rPr>
                                  <w:spacing w:val="-10"/>
                                  <w:sz w:val="16"/>
                                </w:rPr>
                                <w:t> </w:t>
                              </w:r>
                              <w:r>
                                <w:rPr>
                                  <w:sz w:val="16"/>
                                </w:rPr>
                                <w:t>in</w:t>
                              </w:r>
                              <w:r>
                                <w:rPr>
                                  <w:spacing w:val="-10"/>
                                  <w:sz w:val="16"/>
                                </w:rPr>
                                <w:t> </w:t>
                              </w:r>
                              <w:r>
                                <w:rPr>
                                  <w:sz w:val="16"/>
                                </w:rPr>
                                <w:t>deferred</w:t>
                              </w:r>
                              <w:r>
                                <w:rPr>
                                  <w:spacing w:val="40"/>
                                  <w:sz w:val="16"/>
                                </w:rPr>
                                <w:t> </w:t>
                              </w:r>
                              <w:r>
                                <w:rPr>
                                  <w:sz w:val="16"/>
                                </w:rPr>
                                <w:t>compensation</w:t>
                              </w:r>
                              <w:r>
                                <w:rPr>
                                  <w:spacing w:val="-1"/>
                                  <w:sz w:val="16"/>
                                </w:rPr>
                                <w:t> </w:t>
                              </w:r>
                              <w:r>
                                <w:rPr>
                                  <w:sz w:val="16"/>
                                </w:rPr>
                                <w:t>plan</w:t>
                              </w:r>
                            </w:p>
                          </w:txbxContent>
                        </wps:txbx>
                        <wps:bodyPr wrap="square" lIns="0" tIns="0" rIns="0" bIns="0" rtlCol="0">
                          <a:noAutofit/>
                        </wps:bodyPr>
                      </wps:wsp>
                      <wps:wsp>
                        <wps:cNvPr id="308" name="Textbox 308"/>
                        <wps:cNvSpPr txBox="1"/>
                        <wps:spPr>
                          <a:xfrm>
                            <a:off x="2004060" y="39639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09" name="Textbox 309"/>
                        <wps:cNvSpPr txBox="1"/>
                        <wps:spPr>
                          <a:xfrm>
                            <a:off x="3172460" y="39639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10" name="Textbox 310"/>
                        <wps:cNvSpPr txBox="1"/>
                        <wps:spPr>
                          <a:xfrm>
                            <a:off x="2575560" y="39639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11" name="Textbox 311"/>
                        <wps:cNvSpPr txBox="1"/>
                        <wps:spPr>
                          <a:xfrm>
                            <a:off x="31750" y="1677937"/>
                            <a:ext cx="1116330" cy="214629"/>
                          </a:xfrm>
                          <a:prstGeom prst="rect">
                            <a:avLst/>
                          </a:prstGeom>
                        </wps:spPr>
                        <wps:txbx>
                          <w:txbxContent>
                            <w:p>
                              <w:pPr>
                                <w:spacing w:line="208" w:lineRule="auto" w:before="12"/>
                                <w:ind w:left="180" w:right="0" w:hanging="180"/>
                                <w:jc w:val="left"/>
                                <w:rPr>
                                  <w:sz w:val="16"/>
                                </w:rPr>
                              </w:pPr>
                              <w:r>
                                <w:rPr>
                                  <w:sz w:val="16"/>
                                </w:rPr>
                                <w:t>Equity</w:t>
                              </w:r>
                              <w:r>
                                <w:rPr>
                                  <w:spacing w:val="-10"/>
                                  <w:sz w:val="16"/>
                                </w:rPr>
                                <w:t> </w:t>
                              </w:r>
                              <w:r>
                                <w:rPr>
                                  <w:sz w:val="16"/>
                                </w:rPr>
                                <w:t>awards</w:t>
                              </w:r>
                              <w:r>
                                <w:rPr>
                                  <w:spacing w:val="-10"/>
                                  <w:sz w:val="16"/>
                                </w:rPr>
                                <w:t> </w:t>
                              </w:r>
                              <w:r>
                                <w:rPr>
                                  <w:sz w:val="16"/>
                                </w:rPr>
                                <w:t>assumed</w:t>
                              </w:r>
                              <w:r>
                                <w:rPr>
                                  <w:spacing w:val="-10"/>
                                  <w:sz w:val="16"/>
                                </w:rPr>
                                <w:t> </w:t>
                              </w:r>
                              <w:r>
                                <w:rPr>
                                  <w:sz w:val="16"/>
                                </w:rPr>
                                <w:t>for</w:t>
                              </w:r>
                              <w:r>
                                <w:rPr>
                                  <w:spacing w:val="40"/>
                                  <w:sz w:val="16"/>
                                </w:rPr>
                                <w:t> </w:t>
                              </w:r>
                              <w:r>
                                <w:rPr>
                                  <w:spacing w:val="-2"/>
                                  <w:sz w:val="16"/>
                                </w:rPr>
                                <w:t>acquisition</w:t>
                              </w:r>
                            </w:p>
                          </w:txbxContent>
                        </wps:txbx>
                        <wps:bodyPr wrap="square" lIns="0" tIns="0" rIns="0" bIns="0" rtlCol="0">
                          <a:noAutofit/>
                        </wps:bodyPr>
                      </wps:wsp>
                      <wps:wsp>
                        <wps:cNvPr id="312" name="Textbox 312"/>
                        <wps:cNvSpPr txBox="1"/>
                        <wps:spPr>
                          <a:xfrm>
                            <a:off x="6211570" y="4826903"/>
                            <a:ext cx="360680" cy="113664"/>
                          </a:xfrm>
                          <a:prstGeom prst="rect">
                            <a:avLst/>
                          </a:prstGeom>
                        </wps:spPr>
                        <wps:txbx>
                          <w:txbxContent>
                            <w:p>
                              <w:pPr>
                                <w:spacing w:line="178" w:lineRule="exact" w:before="0"/>
                                <w:ind w:left="0" w:right="0" w:firstLine="0"/>
                                <w:jc w:val="left"/>
                                <w:rPr>
                                  <w:sz w:val="16"/>
                                </w:rPr>
                              </w:pPr>
                              <w:r>
                                <w:rPr>
                                  <w:spacing w:val="-2"/>
                                  <w:sz w:val="16"/>
                                </w:rPr>
                                <w:t>(81,775)</w:t>
                              </w:r>
                            </w:p>
                          </w:txbxContent>
                        </wps:txbx>
                        <wps:bodyPr wrap="square" lIns="0" tIns="0" rIns="0" bIns="0" rtlCol="0">
                          <a:noAutofit/>
                        </wps:bodyPr>
                      </wps:wsp>
                      <wps:wsp>
                        <wps:cNvPr id="313" name="Textbox 313"/>
                        <wps:cNvSpPr txBox="1"/>
                        <wps:spPr>
                          <a:xfrm>
                            <a:off x="5076825" y="3087637"/>
                            <a:ext cx="241300" cy="113030"/>
                          </a:xfrm>
                          <a:prstGeom prst="rect">
                            <a:avLst/>
                          </a:prstGeom>
                        </wps:spPr>
                        <wps:txbx>
                          <w:txbxContent>
                            <w:p>
                              <w:pPr>
                                <w:spacing w:line="177" w:lineRule="exact" w:before="0"/>
                                <w:ind w:left="0" w:right="0" w:firstLine="0"/>
                                <w:jc w:val="left"/>
                                <w:rPr>
                                  <w:sz w:val="16"/>
                                </w:rPr>
                              </w:pPr>
                              <w:r>
                                <w:rPr>
                                  <w:spacing w:val="-2"/>
                                  <w:sz w:val="16"/>
                                </w:rPr>
                                <w:t>6,872</w:t>
                              </w:r>
                            </w:p>
                          </w:txbxContent>
                        </wps:txbx>
                        <wps:bodyPr wrap="square" lIns="0" tIns="0" rIns="0" bIns="0" rtlCol="0">
                          <a:noAutofit/>
                        </wps:bodyPr>
                      </wps:wsp>
                      <wps:wsp>
                        <wps:cNvPr id="314" name="Textbox 314"/>
                        <wps:cNvSpPr txBox="1"/>
                        <wps:spPr>
                          <a:xfrm>
                            <a:off x="5204459" y="827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15" name="Textbox 315"/>
                        <wps:cNvSpPr txBox="1"/>
                        <wps:spPr>
                          <a:xfrm>
                            <a:off x="3794759" y="39639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16" name="Textbox 316"/>
                        <wps:cNvSpPr txBox="1"/>
                        <wps:spPr>
                          <a:xfrm>
                            <a:off x="4607559" y="39639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17" name="Textbox 317"/>
                        <wps:cNvSpPr txBox="1"/>
                        <wps:spPr>
                          <a:xfrm>
                            <a:off x="5204459" y="39639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18" name="Textbox 318"/>
                        <wps:cNvSpPr txBox="1"/>
                        <wps:spPr>
                          <a:xfrm>
                            <a:off x="5762625" y="3963937"/>
                            <a:ext cx="165100" cy="113030"/>
                          </a:xfrm>
                          <a:prstGeom prst="rect">
                            <a:avLst/>
                          </a:prstGeom>
                        </wps:spPr>
                        <wps:txbx>
                          <w:txbxContent>
                            <w:p>
                              <w:pPr>
                                <w:spacing w:line="177" w:lineRule="exact" w:before="0"/>
                                <w:ind w:left="0" w:right="0" w:firstLine="0"/>
                                <w:jc w:val="left"/>
                                <w:rPr>
                                  <w:sz w:val="16"/>
                                </w:rPr>
                              </w:pPr>
                              <w:r>
                                <w:rPr>
                                  <w:spacing w:val="-5"/>
                                  <w:sz w:val="16"/>
                                </w:rPr>
                                <w:t>615</w:t>
                              </w:r>
                            </w:p>
                          </w:txbxContent>
                        </wps:txbx>
                        <wps:bodyPr wrap="square" lIns="0" tIns="0" rIns="0" bIns="0" rtlCol="0">
                          <a:noAutofit/>
                        </wps:bodyPr>
                      </wps:wsp>
                      <wps:wsp>
                        <wps:cNvPr id="319" name="Textbox 319"/>
                        <wps:cNvSpPr txBox="1"/>
                        <wps:spPr>
                          <a:xfrm>
                            <a:off x="31750" y="2989847"/>
                            <a:ext cx="1463040" cy="214629"/>
                          </a:xfrm>
                          <a:prstGeom prst="rect">
                            <a:avLst/>
                          </a:prstGeom>
                        </wps:spPr>
                        <wps:txbx>
                          <w:txbxContent>
                            <w:p>
                              <w:pPr>
                                <w:spacing w:line="208" w:lineRule="auto" w:before="12"/>
                                <w:ind w:left="180" w:right="0" w:hanging="180"/>
                                <w:jc w:val="left"/>
                                <w:rPr>
                                  <w:sz w:val="16"/>
                                </w:rPr>
                              </w:pPr>
                              <w:r>
                                <w:rPr>
                                  <w:sz w:val="16"/>
                                </w:rPr>
                                <w:t>Re-issuance</w:t>
                              </w:r>
                              <w:r>
                                <w:rPr>
                                  <w:spacing w:val="-10"/>
                                  <w:sz w:val="16"/>
                                </w:rPr>
                                <w:t> </w:t>
                              </w:r>
                              <w:r>
                                <w:rPr>
                                  <w:sz w:val="16"/>
                                </w:rPr>
                                <w:t>of</w:t>
                              </w:r>
                              <w:r>
                                <w:rPr>
                                  <w:spacing w:val="-10"/>
                                  <w:sz w:val="16"/>
                                </w:rPr>
                                <w:t> </w:t>
                              </w:r>
                              <w:r>
                                <w:rPr>
                                  <w:sz w:val="16"/>
                                </w:rPr>
                                <w:t>treasury</w:t>
                              </w:r>
                              <w:r>
                                <w:rPr>
                                  <w:spacing w:val="-10"/>
                                  <w:sz w:val="16"/>
                                </w:rPr>
                                <w:t> </w:t>
                              </w:r>
                              <w:r>
                                <w:rPr>
                                  <w:sz w:val="16"/>
                                </w:rPr>
                                <w:t>stock</w:t>
                              </w:r>
                              <w:r>
                                <w:rPr>
                                  <w:spacing w:val="-10"/>
                                  <w:sz w:val="16"/>
                                </w:rPr>
                                <w:t> </w:t>
                              </w:r>
                              <w:r>
                                <w:rPr>
                                  <w:sz w:val="16"/>
                                </w:rPr>
                                <w:t>under</w:t>
                              </w:r>
                              <w:r>
                                <w:rPr>
                                  <w:spacing w:val="40"/>
                                  <w:sz w:val="16"/>
                                </w:rPr>
                                <w:t> </w:t>
                              </w:r>
                              <w:r>
                                <w:rPr>
                                  <w:sz w:val="16"/>
                                </w:rPr>
                                <w:t>stock compensation plans</w:t>
                              </w:r>
                            </w:p>
                          </w:txbxContent>
                        </wps:txbx>
                        <wps:bodyPr wrap="square" lIns="0" tIns="0" rIns="0" bIns="0" rtlCol="0">
                          <a:noAutofit/>
                        </wps:bodyPr>
                      </wps:wsp>
                      <wps:wsp>
                        <wps:cNvPr id="320" name="Textbox 320"/>
                        <wps:cNvSpPr txBox="1"/>
                        <wps:spPr>
                          <a:xfrm>
                            <a:off x="31750" y="729247"/>
                            <a:ext cx="1209675" cy="214629"/>
                          </a:xfrm>
                          <a:prstGeom prst="rect">
                            <a:avLst/>
                          </a:prstGeom>
                        </wps:spPr>
                        <wps:txbx>
                          <w:txbxContent>
                            <w:p>
                              <w:pPr>
                                <w:spacing w:line="208" w:lineRule="auto" w:before="12"/>
                                <w:ind w:left="0" w:right="18" w:firstLine="0"/>
                                <w:jc w:val="left"/>
                                <w:rPr>
                                  <w:sz w:val="16"/>
                                </w:rPr>
                              </w:pPr>
                              <w:r>
                                <w:rPr>
                                  <w:sz w:val="16"/>
                                </w:rPr>
                                <w:t>Other</w:t>
                              </w:r>
                              <w:r>
                                <w:rPr>
                                  <w:spacing w:val="-10"/>
                                  <w:sz w:val="16"/>
                                </w:rPr>
                                <w:t> </w:t>
                              </w:r>
                              <w:r>
                                <w:rPr>
                                  <w:sz w:val="16"/>
                                </w:rPr>
                                <w:t>comprehensive</w:t>
                              </w:r>
                              <w:r>
                                <w:rPr>
                                  <w:spacing w:val="-10"/>
                                  <w:sz w:val="16"/>
                                </w:rPr>
                                <w:t> </w:t>
                              </w:r>
                              <w:r>
                                <w:rPr>
                                  <w:sz w:val="16"/>
                                </w:rPr>
                                <w:t>income</w:t>
                              </w:r>
                              <w:r>
                                <w:rPr>
                                  <w:spacing w:val="40"/>
                                  <w:sz w:val="16"/>
                                </w:rPr>
                                <w:t> </w:t>
                              </w:r>
                              <w:r>
                                <w:rPr>
                                  <w:sz w:val="16"/>
                                </w:rPr>
                                <w:t>(losses), net of taxes</w:t>
                              </w:r>
                            </w:p>
                          </w:txbxContent>
                        </wps:txbx>
                        <wps:bodyPr wrap="square" lIns="0" tIns="0" rIns="0" bIns="0" rtlCol="0">
                          <a:noAutofit/>
                        </wps:bodyPr>
                      </wps:wsp>
                      <wps:wsp>
                        <wps:cNvPr id="321" name="Textbox 321"/>
                        <wps:cNvSpPr txBox="1"/>
                        <wps:spPr>
                          <a:xfrm>
                            <a:off x="3794759" y="1779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22" name="Textbox 322"/>
                        <wps:cNvSpPr txBox="1"/>
                        <wps:spPr>
                          <a:xfrm>
                            <a:off x="2004060" y="17795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23" name="Textbox 323"/>
                        <wps:cNvSpPr txBox="1"/>
                        <wps:spPr>
                          <a:xfrm>
                            <a:off x="5814059" y="13350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24" name="Textbox 324"/>
                        <wps:cNvSpPr txBox="1"/>
                        <wps:spPr>
                          <a:xfrm>
                            <a:off x="2004060" y="52466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25" name="Textbox 325"/>
                        <wps:cNvSpPr txBox="1"/>
                        <wps:spPr>
                          <a:xfrm>
                            <a:off x="2575560" y="52466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26" name="Textbox 326"/>
                        <wps:cNvSpPr txBox="1"/>
                        <wps:spPr>
                          <a:xfrm>
                            <a:off x="2994025" y="5246637"/>
                            <a:ext cx="292100" cy="113030"/>
                          </a:xfrm>
                          <a:prstGeom prst="rect">
                            <a:avLst/>
                          </a:prstGeom>
                        </wps:spPr>
                        <wps:txbx>
                          <w:txbxContent>
                            <w:p>
                              <w:pPr>
                                <w:spacing w:line="177" w:lineRule="exact" w:before="0"/>
                                <w:ind w:left="0" w:right="0" w:firstLine="0"/>
                                <w:jc w:val="left"/>
                                <w:rPr>
                                  <w:sz w:val="16"/>
                                </w:rPr>
                              </w:pPr>
                              <w:r>
                                <w:rPr>
                                  <w:spacing w:val="-2"/>
                                  <w:sz w:val="16"/>
                                </w:rPr>
                                <w:t>10,348</w:t>
                              </w:r>
                            </w:p>
                          </w:txbxContent>
                        </wps:txbx>
                        <wps:bodyPr wrap="square" lIns="0" tIns="0" rIns="0" bIns="0" rtlCol="0">
                          <a:noAutofit/>
                        </wps:bodyPr>
                      </wps:wsp>
                      <wps:wsp>
                        <wps:cNvPr id="327" name="Textbox 327"/>
                        <wps:cNvSpPr txBox="1"/>
                        <wps:spPr>
                          <a:xfrm>
                            <a:off x="3794759" y="52466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28" name="Textbox 328"/>
                        <wps:cNvSpPr txBox="1"/>
                        <wps:spPr>
                          <a:xfrm>
                            <a:off x="4607559" y="52466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29" name="Textbox 329"/>
                        <wps:cNvSpPr txBox="1"/>
                        <wps:spPr>
                          <a:xfrm>
                            <a:off x="5204459" y="52466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330" name="Textbox 330"/>
                        <wps:cNvSpPr txBox="1"/>
                        <wps:spPr>
                          <a:xfrm>
                            <a:off x="5814059" y="5246637"/>
                            <a:ext cx="11430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g:wgp>
                  </a:graphicData>
                </a:graphic>
              </wp:anchor>
            </w:drawing>
          </mc:Choice>
          <mc:Fallback>
            <w:pict>
              <v:group style="position:absolute;margin-left:50.5pt;margin-top:2.708057pt;width:517.5pt;height:457pt;mso-position-horizontal-relative:page;mso-position-vertical-relative:paragraph;z-index:-23477760" id="docshapegroup184" coordorigin="1010,54" coordsize="10350,9140">
                <v:shape style="position:absolute;left:1010;top:324;width:10340;height:3460" id="docshape185" coordorigin="1010,324" coordsize="10340,3460" path="m4390,3364l3570,3364,3490,3364,1010,3364,1010,3784,3490,3784,3570,3784,4390,3784,4390,3364xm11350,2664l10470,2664,10390,2664,9510,2664,9430,2664,8570,2664,8490,2664,7290,2664,7210,2664,6310,2664,6230,2664,5370,2664,5290,2664,4470,2664,4390,2664,3570,2664,3490,2664,1010,2664,1010,3084,3490,3084,3570,3084,4390,3084,4470,3084,5290,3084,5370,3084,6230,3084,6310,3084,7210,3084,7290,3084,8490,3084,8570,3084,9430,3084,9510,3084,10390,3084,10470,3084,11350,3084,11350,2664xm11350,1984l10470,1984,10390,1984,9510,1984,9430,1984,8570,1984,8490,1984,7290,1984,7210,1984,6310,1984,6230,1984,5370,1984,5290,1984,4470,1984,4390,1984,3570,1984,3490,1984,1010,1984,1010,2384,3490,2384,3570,2384,4390,2384,4470,2384,5290,2384,5370,2384,6230,2384,6310,2384,7210,2384,7290,2384,8490,2384,8570,2384,9430,2384,9510,2384,10390,2384,10470,2384,11350,2384,11350,1984xm11350,1184l10470,1184,10390,1184,9510,1184,9430,1184,8570,1184,8490,1184,7290,1184,7210,1184,6310,1184,6230,1184,5370,1184,5290,1184,4470,1184,4390,1184,3570,1184,3490,1184,1010,1184,1010,1584,3490,1584,3570,1584,4390,1584,4470,1584,5290,1584,5370,1584,6230,1584,6310,1584,7210,1584,7290,1584,8490,1584,8570,1584,9430,1584,9510,1584,10390,1584,10470,1584,11350,1584,11350,1184xm11350,324l10470,324,10390,324,9510,324,9430,324,8570,324,8490,324,7290,324,7210,324,6310,324,6230,324,5370,324,5290,324,4470,324,4390,324,3570,324,3490,324,1010,324,1010,904,3490,904,3570,904,4390,904,4470,904,5290,904,5370,904,6230,904,6310,904,7210,904,7290,904,8490,904,8570,904,9430,904,9510,904,10390,904,10470,904,11350,904,11350,324xe" filled="true" fillcolor="#ccedff" stroked="false">
                  <v:path arrowok="t"/>
                  <v:fill type="solid"/>
                </v:shape>
                <v:shape style="position:absolute;left:1010;top:3364;width:10340;height:5180" id="docshape186" coordorigin="1010,3364" coordsize="10340,5180" path="m5290,8164l4470,8164,4390,8164,3570,8164,3490,8164,1010,8164,1010,8544,3490,8544,3570,8544,4390,8544,4470,8544,5290,8544,5290,8164xm11350,7484l10470,7484,10390,7484,9510,7484,9430,7484,8570,7484,8490,7484,7290,7484,7210,7484,6310,7484,6230,7484,5370,7484,5290,7484,4470,7484,4390,7484,3570,7484,3490,7484,1010,7484,1010,7884,3490,7884,3570,7884,4390,7884,4470,7884,5290,7884,5370,7884,6230,7884,6310,7884,7210,7884,7290,7884,8490,7884,8570,7884,9430,7884,9510,7884,10390,7884,10470,7884,11350,7884,11350,7484xm11350,6104l10470,6104,10390,6104,9510,6104,9430,6104,8570,6104,8490,6104,7290,6104,7210,6104,6310,6104,6230,6104,5370,6104,5290,6104,4470,6104,4390,6104,3570,6104,3490,6104,1010,6104,1010,6524,3490,6524,3570,6524,4390,6524,4470,6524,5290,6524,5370,6524,6230,6524,6310,6524,7210,6524,7290,6524,8490,6524,8570,6524,9430,6524,9510,6524,10390,6524,10470,6524,11350,6524,11350,6104xm11350,4744l10470,4744,10390,4744,9510,4744,9430,4744,8570,4744,8490,4744,7290,4744,7210,4744,6310,4744,6230,4744,5370,4744,5290,4744,4470,4744,4390,4744,3570,4744,3490,4744,1010,4744,1010,5144,3490,5144,3570,5144,4390,5144,4470,5144,5290,5144,5370,5144,6230,5144,6310,5144,7210,5144,7290,5144,8490,5144,8570,5144,9430,5144,9510,5144,10390,5144,10470,5144,11350,5144,11350,4744xm11350,3364l10470,3364,10390,3364,9510,3364,9430,3364,8570,3364,8490,3364,7290,3364,7210,3364,6310,3364,6230,3364,5370,3364,5290,3364,4470,3364,4390,3364,3570,3364,3570,3784,4390,3784,4470,3784,5290,3784,5370,3784,6230,3784,6310,3784,7210,3784,7290,3784,8490,3784,8570,3784,9430,3784,9510,3784,10390,3784,10470,3784,11350,3784,11350,3364xe" filled="true" fillcolor="#ccedff" stroked="false">
                  <v:path arrowok="t"/>
                  <v:fill type="solid"/>
                </v:shape>
                <v:shape style="position:absolute;left:1010;top:8164;width:10340;height:1020" id="docshape187" coordorigin="1010,8164" coordsize="10340,1020" path="m11350,8824l10470,8824,10390,8824,9510,8824,9430,8824,8570,8824,8490,8824,7290,8824,7210,8824,6310,8824,6230,8824,5370,8824,5290,8824,4470,8824,4390,8824,3570,8824,3490,8824,1010,8824,1010,9184,3490,9184,3570,9184,4390,9184,4470,9184,5290,9184,5370,9184,6230,9184,6310,9184,7210,9184,7290,9184,8490,9184,8570,9184,9430,9184,9510,9184,10390,9184,10470,9184,11350,9184,11350,8824xm11350,8164l10470,8164,10390,8164,9510,8164,9430,8164,8570,8164,8490,8164,7290,8164,7210,8164,6310,8164,6230,8164,5370,8164,5290,8164,4470,8164,4470,8544,5290,8544,5370,8544,6230,8544,6310,8544,7210,8544,7290,8544,8490,8544,8570,8544,9430,8544,9510,8544,10390,8544,10470,8544,11350,8544,11350,8164xe" filled="true" fillcolor="#ccedff" stroked="false">
                  <v:path arrowok="t"/>
                  <v:fill type="solid"/>
                </v:shape>
                <v:shape style="position:absolute;left:8570;top:64;width:1820;height:2" id="docshape188" coordorigin="8570,64" coordsize="1820,0" path="m8570,64l9430,64m9430,64l9510,64m9510,64l10390,64e" filled="false" stroked="true" strokeweight="1pt" strokecolor="#000000">
                  <v:path arrowok="t"/>
                  <v:stroke dashstyle="solid"/>
                </v:shape>
                <v:shape style="position:absolute;left:3570;top:314;width:7780;height:8880" id="docshape189" coordorigin="3570,314" coordsize="7780,8880" path="m4390,9174l3570,9174,3570,9194,4390,9194,4390,9174xm4390,6514l3570,6514,3570,6534,4390,6534,4390,6514xm4390,3774l3570,3774,3570,3794,4390,3794,4390,3774xm4390,314l3570,314,3570,334,4390,334,4390,314xm5290,9174l4470,9174,4470,9194,5290,9194,5290,9174xm5290,6514l4470,6514,4470,6534,5290,6534,5290,6514xm5290,3774l4470,3774,4470,3794,5290,3794,5290,3774xm5290,314l4470,314,4470,334,5290,334,5290,314xm6230,9174l5370,9174,5370,9194,6230,9194,6230,9174xm6230,6514l5370,6514,5370,6534,6230,6534,6230,6514xm6230,3774l5370,3774,5370,3794,6230,3794,6230,3774xm6230,314l5370,314,5370,334,6230,334,6230,314xm7210,9174l6310,9174,6310,9194,7210,9194,7210,9174xm7210,6514l6310,6514,6310,6534,7210,6534,7210,6514xm7210,3774l6310,3774,6310,3794,7210,3794,7210,3774xm7210,314l6310,314,6310,334,7210,334,7210,314xm8490,9174l7290,9174,7290,9194,8490,9194,8490,9174xm8490,6514l7290,6514,7290,6534,8490,6534,8490,6514xm8490,3774l7290,3774,7290,3794,8490,3794,8490,3774xm8490,314l7290,314,7290,334,8490,334,8490,314xm9430,9174l8570,9174,8570,9194,9430,9194,9430,9174xm9430,6514l8570,6514,8570,6534,9430,6534,9430,6514xm9430,3774l8570,3774,8570,3794,9430,3794,9430,3774xm9430,314l8570,314,8570,334,9430,334,9430,314xm10390,9174l9510,9174,9510,9194,10390,9194,10390,9174xm10390,6514l9510,6514,9510,6534,10390,6534,10390,6514xm10390,3774l9510,3774,9510,3794,10390,3794,10390,3774xm10390,314l9510,314,9510,334,10390,334,10390,314xm11350,9174l10470,9174,10470,9194,11350,9194,11350,9174xm11350,6514l10470,6514,10470,6534,11350,6534,11350,6514xm11350,3774l10470,3774,10470,3794,11350,3794,11350,3774xe" filled="true" fillcolor="#000000" stroked="false">
                  <v:path arrowok="t"/>
                  <v:fill type="solid"/>
                </v:shape>
                <v:shape style="position:absolute;left:9005;top:7656;width:380;height:178" type="#_x0000_t202" id="docshape190" filled="false" stroked="false">
                  <v:textbox inset="0,0,0,0">
                    <w:txbxContent>
                      <w:p>
                        <w:pPr>
                          <w:spacing w:line="177" w:lineRule="exact" w:before="0"/>
                          <w:ind w:left="0" w:right="0" w:firstLine="0"/>
                          <w:jc w:val="left"/>
                          <w:rPr>
                            <w:sz w:val="16"/>
                          </w:rPr>
                        </w:pPr>
                        <w:r>
                          <w:rPr>
                            <w:spacing w:val="-2"/>
                            <w:sz w:val="16"/>
                          </w:rPr>
                          <w:t>5,194</w:t>
                        </w:r>
                      </w:p>
                    </w:txbxContent>
                  </v:textbox>
                  <w10:wrap type="none"/>
                </v:shape>
                <v:shape style="position:absolute;left:8266;top:2856;width:180;height:178" type="#_x0000_t202" id="docshape191"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805;top:7656;width:540;height:178" type="#_x0000_t202" id="docshape192" filled="false" stroked="false">
                  <v:textbox inset="0,0,0,0">
                    <w:txbxContent>
                      <w:p>
                        <w:pPr>
                          <w:spacing w:line="177" w:lineRule="exact" w:before="0"/>
                          <w:ind w:left="0" w:right="0" w:firstLine="0"/>
                          <w:jc w:val="left"/>
                          <w:rPr>
                            <w:sz w:val="16"/>
                          </w:rPr>
                        </w:pPr>
                        <w:r>
                          <w:rPr>
                            <w:spacing w:val="-2"/>
                            <w:sz w:val="16"/>
                          </w:rPr>
                          <w:t>151,058</w:t>
                        </w:r>
                      </w:p>
                    </w:txbxContent>
                  </v:textbox>
                  <w10:wrap type="none"/>
                </v:shape>
                <v:shape style="position:absolute;left:6006;top:1356;width:180;height:178" type="#_x0000_t202" id="docshape19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8266;top:2156;width:180;height:178" type="#_x0000_t202" id="docshape194"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1045;top:6296;width:260;height:178" type="#_x0000_t202" id="docshape195" filled="false" stroked="false">
                  <v:textbox inset="0,0,0,0">
                    <w:txbxContent>
                      <w:p>
                        <w:pPr>
                          <w:spacing w:line="177" w:lineRule="exact" w:before="0"/>
                          <w:ind w:left="0" w:right="0" w:firstLine="0"/>
                          <w:jc w:val="left"/>
                          <w:rPr>
                            <w:sz w:val="16"/>
                          </w:rPr>
                        </w:pPr>
                        <w:r>
                          <w:rPr>
                            <w:spacing w:val="-5"/>
                            <w:sz w:val="16"/>
                          </w:rPr>
                          <w:t>615</w:t>
                        </w:r>
                      </w:p>
                    </w:txbxContent>
                  </v:textbox>
                  <w10:wrap type="none"/>
                </v:shape>
                <v:shape style="position:absolute;left:5066;top:7656;width:180;height:178" type="#_x0000_t202" id="docshape196"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8266;top:4916;width:180;height:178" type="#_x0000_t202" id="docshape197"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60;top:2002;width:1578;height:338" type="#_x0000_t202" id="docshape198" filled="false" stroked="false">
                  <v:textbox inset="0,0,0,0">
                    <w:txbxContent>
                      <w:p>
                        <w:pPr>
                          <w:spacing w:line="208" w:lineRule="auto" w:before="12"/>
                          <w:ind w:left="180" w:right="18" w:hanging="180"/>
                          <w:jc w:val="left"/>
                          <w:rPr>
                            <w:sz w:val="16"/>
                          </w:rPr>
                        </w:pPr>
                        <w:r>
                          <w:rPr>
                            <w:sz w:val="16"/>
                          </w:rPr>
                          <w:t>Tax benefit from</w:t>
                        </w:r>
                        <w:r>
                          <w:rPr>
                            <w:spacing w:val="40"/>
                            <w:sz w:val="16"/>
                          </w:rPr>
                          <w:t> </w:t>
                        </w:r>
                        <w:r>
                          <w:rPr>
                            <w:sz w:val="16"/>
                          </w:rPr>
                          <w:t>employee</w:t>
                        </w:r>
                        <w:r>
                          <w:rPr>
                            <w:spacing w:val="-10"/>
                            <w:sz w:val="16"/>
                          </w:rPr>
                          <w:t> </w:t>
                        </w:r>
                        <w:r>
                          <w:rPr>
                            <w:sz w:val="16"/>
                          </w:rPr>
                          <w:t>stock</w:t>
                        </w:r>
                        <w:r>
                          <w:rPr>
                            <w:spacing w:val="-10"/>
                            <w:sz w:val="16"/>
                          </w:rPr>
                          <w:t> </w:t>
                        </w:r>
                        <w:r>
                          <w:rPr>
                            <w:sz w:val="16"/>
                          </w:rPr>
                          <w:t>plans</w:t>
                        </w:r>
                      </w:p>
                    </w:txbxContent>
                  </v:textbox>
                  <w10:wrap type="none"/>
                </v:shape>
                <v:shape style="position:absolute;left:6572;top:4916;width:648;height:178" type="#_x0000_t202" id="docshape199" filled="false" stroked="false">
                  <v:textbox inset="0,0,0,0">
                    <w:txbxContent>
                      <w:p>
                        <w:pPr>
                          <w:spacing w:line="177" w:lineRule="exact" w:before="0"/>
                          <w:ind w:left="0" w:right="0" w:firstLine="0"/>
                          <w:jc w:val="left"/>
                          <w:rPr>
                            <w:sz w:val="16"/>
                          </w:rPr>
                        </w:pPr>
                        <w:r>
                          <w:rPr>
                            <w:spacing w:val="-2"/>
                            <w:sz w:val="16"/>
                          </w:rPr>
                          <w:t>(307,696)</w:t>
                        </w:r>
                      </w:p>
                    </w:txbxContent>
                  </v:textbox>
                  <w10:wrap type="none"/>
                </v:shape>
                <v:shape style="position:absolute;left:5805;top:4916;width:380;height:178" type="#_x0000_t202" id="docshape200" filled="false" stroked="false">
                  <v:textbox inset="0,0,0,0">
                    <w:txbxContent>
                      <w:p>
                        <w:pPr>
                          <w:spacing w:line="177" w:lineRule="exact" w:before="0"/>
                          <w:ind w:left="0" w:right="0" w:firstLine="0"/>
                          <w:jc w:val="left"/>
                          <w:rPr>
                            <w:sz w:val="16"/>
                          </w:rPr>
                        </w:pPr>
                        <w:r>
                          <w:rPr>
                            <w:spacing w:val="-2"/>
                            <w:sz w:val="16"/>
                          </w:rPr>
                          <w:t>7,365</w:t>
                        </w:r>
                      </w:p>
                    </w:txbxContent>
                  </v:textbox>
                  <w10:wrap type="none"/>
                </v:shape>
                <v:shape style="position:absolute;left:5066;top:4916;width:180;height:178" type="#_x0000_t202" id="docshape201"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4166;top:4916;width:180;height:178" type="#_x0000_t202" id="docshape202"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6986;top:2156;width:180;height:178" type="#_x0000_t202" id="docshape20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166;top:1355;width:1194;height:179" type="#_x0000_t202" id="docshape204" filled="false" stroked="false">
                  <v:textbox inset="0,0,0,0">
                    <w:txbxContent>
                      <w:p>
                        <w:pPr>
                          <w:tabs>
                            <w:tab w:pos="545" w:val="left" w:leader="none"/>
                          </w:tabs>
                          <w:spacing w:line="178" w:lineRule="exact" w:before="0"/>
                          <w:ind w:left="0" w:right="0" w:firstLine="0"/>
                          <w:jc w:val="left"/>
                          <w:rPr>
                            <w:sz w:val="16"/>
                          </w:rPr>
                        </w:pPr>
                        <w:r>
                          <w:rPr>
                            <w:spacing w:val="-10"/>
                            <w:sz w:val="16"/>
                          </w:rPr>
                          <w:t>—</w:t>
                        </w:r>
                        <w:r>
                          <w:rPr>
                            <w:sz w:val="16"/>
                          </w:rPr>
                          <w:tab/>
                        </w:r>
                        <w:r>
                          <w:rPr>
                            <w:spacing w:val="-2"/>
                            <w:sz w:val="16"/>
                          </w:rPr>
                          <w:t>(160,986)</w:t>
                        </w:r>
                      </w:p>
                    </w:txbxContent>
                  </v:textbox>
                  <w10:wrap type="none"/>
                </v:shape>
                <v:shape style="position:absolute;left:9805;top:4916;width:540;height:178" type="#_x0000_t202" id="docshape205" filled="false" stroked="false">
                  <v:textbox inset="0,0,0,0">
                    <w:txbxContent>
                      <w:p>
                        <w:pPr>
                          <w:spacing w:line="177" w:lineRule="exact" w:before="0"/>
                          <w:ind w:left="0" w:right="0" w:firstLine="0"/>
                          <w:jc w:val="left"/>
                          <w:rPr>
                            <w:sz w:val="16"/>
                          </w:rPr>
                        </w:pPr>
                        <w:r>
                          <w:rPr>
                            <w:spacing w:val="-2"/>
                            <w:sz w:val="16"/>
                          </w:rPr>
                          <w:t>209,628</w:t>
                        </w:r>
                      </w:p>
                    </w:txbxContent>
                  </v:textbox>
                  <w10:wrap type="none"/>
                </v:shape>
                <v:shape style="position:absolute;left:7852;top:1356;width:648;height:178" type="#_x0000_t202" id="docshape206" filled="false" stroked="false">
                  <v:textbox inset="0,0,0,0">
                    <w:txbxContent>
                      <w:p>
                        <w:pPr>
                          <w:spacing w:line="177" w:lineRule="exact" w:before="0"/>
                          <w:ind w:left="0" w:right="0" w:firstLine="0"/>
                          <w:jc w:val="left"/>
                          <w:rPr>
                            <w:sz w:val="16"/>
                          </w:rPr>
                        </w:pPr>
                        <w:r>
                          <w:rPr>
                            <w:spacing w:val="-2"/>
                            <w:sz w:val="16"/>
                          </w:rPr>
                          <w:t>(160,986)</w:t>
                        </w:r>
                      </w:p>
                    </w:txbxContent>
                  </v:textbox>
                  <w10:wrap type="none"/>
                </v:shape>
                <v:shape style="position:absolute;left:6986;top:1356;width:180;height:178" type="#_x0000_t202" id="docshape207"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166;top:2856;width:180;height:178" type="#_x0000_t202" id="docshape208"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206;top:2856;width:180;height:178" type="#_x0000_t202" id="docshape209"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792;top:4915;width:568;height:179" type="#_x0000_t202" id="docshape210" filled="false" stroked="false">
                  <v:textbox inset="0,0,0,0">
                    <w:txbxContent>
                      <w:p>
                        <w:pPr>
                          <w:spacing w:line="178" w:lineRule="exact" w:before="0"/>
                          <w:ind w:left="0" w:right="0" w:firstLine="0"/>
                          <w:jc w:val="left"/>
                          <w:rPr>
                            <w:sz w:val="16"/>
                          </w:rPr>
                        </w:pPr>
                        <w:r>
                          <w:rPr>
                            <w:spacing w:val="-2"/>
                            <w:sz w:val="16"/>
                          </w:rPr>
                          <w:t>(90,703)</w:t>
                        </w:r>
                      </w:p>
                    </w:txbxContent>
                  </v:textbox>
                  <w10:wrap type="none"/>
                </v:shape>
                <v:shape style="position:absolute;left:10872;top:8955;width:488;height:179" type="#_x0000_t202" id="docshape211" filled="false" stroked="false">
                  <v:textbox inset="0,0,0,0">
                    <w:txbxContent>
                      <w:p>
                        <w:pPr>
                          <w:spacing w:line="178" w:lineRule="exact" w:before="0"/>
                          <w:ind w:left="0" w:right="0" w:firstLine="0"/>
                          <w:jc w:val="left"/>
                          <w:rPr>
                            <w:sz w:val="16"/>
                          </w:rPr>
                        </w:pPr>
                        <w:r>
                          <w:rPr>
                            <w:spacing w:val="-2"/>
                            <w:sz w:val="16"/>
                          </w:rPr>
                          <w:t>(3,022)</w:t>
                        </w:r>
                      </w:p>
                    </w:txbxContent>
                  </v:textbox>
                  <w10:wrap type="none"/>
                </v:shape>
                <v:shape style="position:absolute;left:9912;top:8956;width:488;height:178" type="#_x0000_t202" id="docshape212" filled="false" stroked="false">
                  <v:textbox inset="0,0,0,0">
                    <w:txbxContent>
                      <w:p>
                        <w:pPr>
                          <w:spacing w:line="177" w:lineRule="exact" w:before="0"/>
                          <w:ind w:left="0" w:right="0" w:firstLine="0"/>
                          <w:jc w:val="left"/>
                          <w:rPr>
                            <w:sz w:val="16"/>
                          </w:rPr>
                        </w:pPr>
                        <w:r>
                          <w:rPr>
                            <w:spacing w:val="-2"/>
                            <w:sz w:val="16"/>
                          </w:rPr>
                          <w:t>(3,022)</w:t>
                        </w:r>
                      </w:p>
                    </w:txbxContent>
                  </v:textbox>
                  <w10:wrap type="none"/>
                </v:shape>
                <v:shape style="position:absolute;left:9206;top:8956;width:180;height:178" type="#_x0000_t202" id="docshape21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8266;top:8956;width:180;height:178" type="#_x0000_t202" id="docshape214"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6986;top:8956;width:180;height:178" type="#_x0000_t202" id="docshape215"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6006;top:8956;width:180;height:178" type="#_x0000_t202" id="docshape216"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066;top:8956;width:180;height:178" type="#_x0000_t202" id="docshape217"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4166;top:8956;width:180;height:178" type="#_x0000_t202" id="docshape218"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60;top:8842;width:1735;height:337" type="#_x0000_t202" id="docshape219" filled="false" stroked="false">
                  <v:textbox inset="0,0,0,0">
                    <w:txbxContent>
                      <w:p>
                        <w:pPr>
                          <w:spacing w:line="206" w:lineRule="auto" w:before="14"/>
                          <w:ind w:left="180" w:right="0" w:hanging="180"/>
                          <w:jc w:val="left"/>
                          <w:rPr>
                            <w:sz w:val="16"/>
                          </w:rPr>
                        </w:pPr>
                        <w:r>
                          <w:rPr>
                            <w:sz w:val="16"/>
                          </w:rPr>
                          <w:t>Value</w:t>
                        </w:r>
                        <w:r>
                          <w:rPr>
                            <w:spacing w:val="-10"/>
                            <w:sz w:val="16"/>
                          </w:rPr>
                          <w:t> </w:t>
                        </w:r>
                        <w:r>
                          <w:rPr>
                            <w:sz w:val="16"/>
                          </w:rPr>
                          <w:t>of</w:t>
                        </w:r>
                        <w:r>
                          <w:rPr>
                            <w:spacing w:val="-10"/>
                            <w:sz w:val="16"/>
                          </w:rPr>
                          <w:t> </w:t>
                        </w:r>
                        <w:r>
                          <w:rPr>
                            <w:sz w:val="16"/>
                          </w:rPr>
                          <w:t>shares</w:t>
                        </w:r>
                        <w:r>
                          <w:rPr>
                            <w:spacing w:val="-10"/>
                            <w:sz w:val="16"/>
                          </w:rPr>
                          <w:t> </w:t>
                        </w:r>
                        <w:r>
                          <w:rPr>
                            <w:sz w:val="16"/>
                          </w:rPr>
                          <w:t>in</w:t>
                        </w:r>
                        <w:r>
                          <w:rPr>
                            <w:spacing w:val="-10"/>
                            <w:sz w:val="16"/>
                          </w:rPr>
                          <w:t> </w:t>
                        </w:r>
                        <w:r>
                          <w:rPr>
                            <w:sz w:val="16"/>
                          </w:rPr>
                          <w:t>deferred</w:t>
                        </w:r>
                        <w:r>
                          <w:rPr>
                            <w:spacing w:val="40"/>
                            <w:sz w:val="16"/>
                          </w:rPr>
                          <w:t> </w:t>
                        </w:r>
                        <w:r>
                          <w:rPr>
                            <w:sz w:val="16"/>
                          </w:rPr>
                          <w:t>compensation</w:t>
                        </w:r>
                        <w:r>
                          <w:rPr>
                            <w:spacing w:val="-1"/>
                            <w:sz w:val="16"/>
                          </w:rPr>
                          <w:t> </w:t>
                        </w:r>
                        <w:r>
                          <w:rPr>
                            <w:sz w:val="16"/>
                          </w:rPr>
                          <w:t>plan</w:t>
                        </w:r>
                      </w:p>
                    </w:txbxContent>
                  </v:textbox>
                  <w10:wrap type="none"/>
                </v:shape>
                <v:shape style="position:absolute;left:8266;top:7656;width:180;height:178" type="#_x0000_t202" id="docshape220"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066;top:3556;width:180;height:178" type="#_x0000_t202" id="docshape221"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4166;top:2156;width:180;height:178" type="#_x0000_t202" id="docshape222"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066;top:2156;width:180;height:178" type="#_x0000_t202" id="docshape22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725;top:2156;width:460;height:178" type="#_x0000_t202" id="docshape224" filled="false" stroked="false">
                  <v:textbox inset="0,0,0,0">
                    <w:txbxContent>
                      <w:p>
                        <w:pPr>
                          <w:spacing w:line="177" w:lineRule="exact" w:before="0"/>
                          <w:ind w:left="0" w:right="0" w:firstLine="0"/>
                          <w:jc w:val="left"/>
                          <w:rPr>
                            <w:sz w:val="16"/>
                          </w:rPr>
                        </w:pPr>
                        <w:r>
                          <w:rPr>
                            <w:spacing w:val="-2"/>
                            <w:sz w:val="16"/>
                          </w:rPr>
                          <w:t>68,133</w:t>
                        </w:r>
                      </w:p>
                    </w:txbxContent>
                  </v:textbox>
                  <w10:wrap type="none"/>
                </v:shape>
                <v:shape style="position:absolute;left:1060;top:7502;width:2304;height:338" type="#_x0000_t202" id="docshape225" filled="false" stroked="false">
                  <v:textbox inset="0,0,0,0">
                    <w:txbxContent>
                      <w:p>
                        <w:pPr>
                          <w:spacing w:line="208" w:lineRule="auto" w:before="12"/>
                          <w:ind w:left="180" w:right="0" w:hanging="180"/>
                          <w:jc w:val="left"/>
                          <w:rPr>
                            <w:sz w:val="16"/>
                          </w:rPr>
                        </w:pPr>
                        <w:r>
                          <w:rPr>
                            <w:sz w:val="16"/>
                          </w:rPr>
                          <w:t>Re-issuance</w:t>
                        </w:r>
                        <w:r>
                          <w:rPr>
                            <w:spacing w:val="-10"/>
                            <w:sz w:val="16"/>
                          </w:rPr>
                          <w:t> </w:t>
                        </w:r>
                        <w:r>
                          <w:rPr>
                            <w:sz w:val="16"/>
                          </w:rPr>
                          <w:t>of</w:t>
                        </w:r>
                        <w:r>
                          <w:rPr>
                            <w:spacing w:val="-10"/>
                            <w:sz w:val="16"/>
                          </w:rPr>
                          <w:t> </w:t>
                        </w:r>
                        <w:r>
                          <w:rPr>
                            <w:sz w:val="16"/>
                          </w:rPr>
                          <w:t>treasury</w:t>
                        </w:r>
                        <w:r>
                          <w:rPr>
                            <w:spacing w:val="-10"/>
                            <w:sz w:val="16"/>
                          </w:rPr>
                          <w:t> </w:t>
                        </w:r>
                        <w:r>
                          <w:rPr>
                            <w:sz w:val="16"/>
                          </w:rPr>
                          <w:t>stock</w:t>
                        </w:r>
                        <w:r>
                          <w:rPr>
                            <w:spacing w:val="-10"/>
                            <w:sz w:val="16"/>
                          </w:rPr>
                          <w:t> </w:t>
                        </w:r>
                        <w:r>
                          <w:rPr>
                            <w:sz w:val="16"/>
                          </w:rPr>
                          <w:t>under</w:t>
                        </w:r>
                        <w:r>
                          <w:rPr>
                            <w:spacing w:val="40"/>
                            <w:sz w:val="16"/>
                          </w:rPr>
                          <w:t> </w:t>
                        </w:r>
                        <w:r>
                          <w:rPr>
                            <w:sz w:val="16"/>
                          </w:rPr>
                          <w:t>stock compensation plans</w:t>
                        </w:r>
                      </w:p>
                    </w:txbxContent>
                  </v:textbox>
                  <w10:wrap type="none"/>
                </v:shape>
                <v:shape style="position:absolute;left:4166;top:7656;width:180;height:178" type="#_x0000_t202" id="docshape226"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206;top:2156;width:180;height:178" type="#_x0000_t202" id="docshape227"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805;top:7656;width:380;height:178" type="#_x0000_t202" id="docshape228" filled="false" stroked="false">
                  <v:textbox inset="0,0,0,0">
                    <w:txbxContent>
                      <w:p>
                        <w:pPr>
                          <w:spacing w:line="177" w:lineRule="exact" w:before="0"/>
                          <w:ind w:left="0" w:right="0" w:firstLine="0"/>
                          <w:jc w:val="left"/>
                          <w:rPr>
                            <w:sz w:val="16"/>
                          </w:rPr>
                        </w:pPr>
                        <w:r>
                          <w:rPr>
                            <w:spacing w:val="-2"/>
                            <w:sz w:val="16"/>
                          </w:rPr>
                          <w:t>1,768</w:t>
                        </w:r>
                      </w:p>
                    </w:txbxContent>
                  </v:textbox>
                  <w10:wrap type="none"/>
                </v:shape>
                <v:shape style="position:absolute;left:6572;top:7656;width:648;height:178" type="#_x0000_t202" id="docshape229" filled="false" stroked="false">
                  <v:textbox inset="0,0,0,0">
                    <w:txbxContent>
                      <w:p>
                        <w:pPr>
                          <w:spacing w:line="177" w:lineRule="exact" w:before="0"/>
                          <w:ind w:left="0" w:right="0" w:firstLine="0"/>
                          <w:jc w:val="left"/>
                          <w:rPr>
                            <w:sz w:val="16"/>
                          </w:rPr>
                        </w:pPr>
                        <w:r>
                          <w:rPr>
                            <w:spacing w:val="-2"/>
                            <w:sz w:val="16"/>
                          </w:rPr>
                          <w:t>(234,601)</w:t>
                        </w:r>
                      </w:p>
                    </w:txbxContent>
                  </v:textbox>
                  <w10:wrap type="none"/>
                </v:shape>
                <v:shape style="position:absolute;left:9912;top:3556;width:488;height:178" type="#_x0000_t202" id="docshape230" filled="false" stroked="false">
                  <v:textbox inset="0,0,0,0">
                    <w:txbxContent>
                      <w:p>
                        <w:pPr>
                          <w:spacing w:line="177" w:lineRule="exact" w:before="0"/>
                          <w:ind w:left="0" w:right="0" w:firstLine="0"/>
                          <w:jc w:val="left"/>
                          <w:rPr>
                            <w:sz w:val="16"/>
                          </w:rPr>
                        </w:pPr>
                        <w:r>
                          <w:rPr>
                            <w:spacing w:val="-2"/>
                            <w:sz w:val="16"/>
                          </w:rPr>
                          <w:t>(2,175)</w:t>
                        </w:r>
                      </w:p>
                    </w:txbxContent>
                  </v:textbox>
                  <w10:wrap type="none"/>
                </v:shape>
                <v:shape style="position:absolute;left:1060;top:8182;width:1758;height:338" type="#_x0000_t202" id="docshape231" filled="false" stroked="false">
                  <v:textbox inset="0,0,0,0">
                    <w:txbxContent>
                      <w:p>
                        <w:pPr>
                          <w:spacing w:line="208" w:lineRule="auto" w:before="12"/>
                          <w:ind w:left="180" w:right="0" w:hanging="180"/>
                          <w:jc w:val="left"/>
                          <w:rPr>
                            <w:sz w:val="16"/>
                          </w:rPr>
                        </w:pPr>
                        <w:r>
                          <w:rPr>
                            <w:sz w:val="16"/>
                          </w:rPr>
                          <w:t>Equity</w:t>
                        </w:r>
                        <w:r>
                          <w:rPr>
                            <w:spacing w:val="-10"/>
                            <w:sz w:val="16"/>
                          </w:rPr>
                          <w:t> </w:t>
                        </w:r>
                        <w:r>
                          <w:rPr>
                            <w:sz w:val="16"/>
                          </w:rPr>
                          <w:t>awards</w:t>
                        </w:r>
                        <w:r>
                          <w:rPr>
                            <w:spacing w:val="-10"/>
                            <w:sz w:val="16"/>
                          </w:rPr>
                          <w:t> </w:t>
                        </w:r>
                        <w:r>
                          <w:rPr>
                            <w:sz w:val="16"/>
                          </w:rPr>
                          <w:t>assumed</w:t>
                        </w:r>
                        <w:r>
                          <w:rPr>
                            <w:spacing w:val="-10"/>
                            <w:sz w:val="16"/>
                          </w:rPr>
                          <w:t> </w:t>
                        </w:r>
                        <w:r>
                          <w:rPr>
                            <w:sz w:val="16"/>
                          </w:rPr>
                          <w:t>for</w:t>
                        </w:r>
                        <w:r>
                          <w:rPr>
                            <w:spacing w:val="40"/>
                            <w:sz w:val="16"/>
                          </w:rPr>
                          <w:t> </w:t>
                        </w:r>
                        <w:r>
                          <w:rPr>
                            <w:spacing w:val="-2"/>
                            <w:sz w:val="16"/>
                          </w:rPr>
                          <w:t>acquisition</w:t>
                        </w:r>
                      </w:p>
                    </w:txbxContent>
                  </v:textbox>
                  <w10:wrap type="none"/>
                </v:shape>
                <v:shape style="position:absolute;left:10845;top:2156;width:460;height:178" type="#_x0000_t202" id="docshape232" filled="false" stroked="false">
                  <v:textbox inset="0,0,0,0">
                    <w:txbxContent>
                      <w:p>
                        <w:pPr>
                          <w:spacing w:line="177" w:lineRule="exact" w:before="0"/>
                          <w:ind w:left="0" w:right="0" w:firstLine="0"/>
                          <w:jc w:val="left"/>
                          <w:rPr>
                            <w:sz w:val="16"/>
                          </w:rPr>
                        </w:pPr>
                        <w:r>
                          <w:rPr>
                            <w:spacing w:val="-2"/>
                            <w:sz w:val="16"/>
                          </w:rPr>
                          <w:t>68,133</w:t>
                        </w:r>
                      </w:p>
                    </w:txbxContent>
                  </v:textbox>
                  <w10:wrap type="none"/>
                </v:shape>
                <v:shape style="position:absolute;left:1060;top:3396;width:1735;height:338" type="#_x0000_t202" id="docshape233" filled="false" stroked="false">
                  <v:textbox inset="0,0,0,0">
                    <w:txbxContent>
                      <w:p>
                        <w:pPr>
                          <w:spacing w:line="208" w:lineRule="auto" w:before="12"/>
                          <w:ind w:left="180" w:right="0" w:hanging="180"/>
                          <w:jc w:val="left"/>
                          <w:rPr>
                            <w:sz w:val="16"/>
                          </w:rPr>
                        </w:pPr>
                        <w:r>
                          <w:rPr>
                            <w:sz w:val="16"/>
                          </w:rPr>
                          <w:t>Value</w:t>
                        </w:r>
                        <w:r>
                          <w:rPr>
                            <w:spacing w:val="-10"/>
                            <w:sz w:val="16"/>
                          </w:rPr>
                          <w:t> </w:t>
                        </w:r>
                        <w:r>
                          <w:rPr>
                            <w:sz w:val="16"/>
                          </w:rPr>
                          <w:t>of</w:t>
                        </w:r>
                        <w:r>
                          <w:rPr>
                            <w:spacing w:val="-10"/>
                            <w:sz w:val="16"/>
                          </w:rPr>
                          <w:t> </w:t>
                        </w:r>
                        <w:r>
                          <w:rPr>
                            <w:sz w:val="16"/>
                          </w:rPr>
                          <w:t>shares</w:t>
                        </w:r>
                        <w:r>
                          <w:rPr>
                            <w:spacing w:val="-10"/>
                            <w:sz w:val="16"/>
                          </w:rPr>
                          <w:t> </w:t>
                        </w:r>
                        <w:r>
                          <w:rPr>
                            <w:sz w:val="16"/>
                          </w:rPr>
                          <w:t>in</w:t>
                        </w:r>
                        <w:r>
                          <w:rPr>
                            <w:spacing w:val="-10"/>
                            <w:sz w:val="16"/>
                          </w:rPr>
                          <w:t> </w:t>
                        </w:r>
                        <w:r>
                          <w:rPr>
                            <w:sz w:val="16"/>
                          </w:rPr>
                          <w:t>deferred</w:t>
                        </w:r>
                        <w:r>
                          <w:rPr>
                            <w:spacing w:val="40"/>
                            <w:sz w:val="16"/>
                          </w:rPr>
                          <w:t> </w:t>
                        </w:r>
                        <w:r>
                          <w:rPr>
                            <w:sz w:val="16"/>
                          </w:rPr>
                          <w:t>compensation</w:t>
                        </w:r>
                        <w:r>
                          <w:rPr>
                            <w:spacing w:val="-1"/>
                            <w:sz w:val="16"/>
                          </w:rPr>
                          <w:t> </w:t>
                        </w:r>
                        <w:r>
                          <w:rPr>
                            <w:sz w:val="16"/>
                          </w:rPr>
                          <w:t>plan</w:t>
                        </w:r>
                      </w:p>
                    </w:txbxContent>
                  </v:textbox>
                  <w10:wrap type="none"/>
                </v:shape>
                <v:shape style="position:absolute;left:4166;top:3556;width:180;height:178" type="#_x0000_t202" id="docshape234"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4166;top:1356;width:180;height:178" type="#_x0000_t202" id="docshape235"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6006;top:3556;width:180;height:178" type="#_x0000_t202" id="docshape236"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6986;top:3556;width:180;height:178" type="#_x0000_t202" id="docshape237"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8266;top:3556;width:180;height:178" type="#_x0000_t202" id="docshape238"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206;top:3556;width:180;height:178" type="#_x0000_t202" id="docshape239"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845;top:8316;width:460;height:178" type="#_x0000_t202" id="docshape240" filled="false" stroked="false">
                  <v:textbox inset="0,0,0,0">
                    <w:txbxContent>
                      <w:p>
                        <w:pPr>
                          <w:spacing w:line="177" w:lineRule="exact" w:before="0"/>
                          <w:ind w:left="0" w:right="0" w:firstLine="0"/>
                          <w:jc w:val="left"/>
                          <w:rPr>
                            <w:sz w:val="16"/>
                          </w:rPr>
                        </w:pPr>
                        <w:r>
                          <w:rPr>
                            <w:spacing w:val="-2"/>
                            <w:sz w:val="16"/>
                          </w:rPr>
                          <w:t>10,348</w:t>
                        </w:r>
                      </w:p>
                    </w:txbxContent>
                  </v:textbox>
                  <w10:wrap type="none"/>
                </v:shape>
                <v:shape style="position:absolute;left:10872;top:3555;width:488;height:179" type="#_x0000_t202" id="docshape241" filled="false" stroked="false">
                  <v:textbox inset="0,0,0,0">
                    <w:txbxContent>
                      <w:p>
                        <w:pPr>
                          <w:spacing w:line="178" w:lineRule="exact" w:before="0"/>
                          <w:ind w:left="0" w:right="0" w:firstLine="0"/>
                          <w:jc w:val="left"/>
                          <w:rPr>
                            <w:sz w:val="16"/>
                          </w:rPr>
                        </w:pPr>
                        <w:r>
                          <w:rPr>
                            <w:spacing w:val="-2"/>
                            <w:sz w:val="16"/>
                          </w:rPr>
                          <w:t>(2,175)</w:t>
                        </w:r>
                      </w:p>
                    </w:txbxContent>
                  </v:textbox>
                  <w10:wrap type="none"/>
                </v:shape>
                <v:shape style="position:absolute;left:5925;top:2856;width:260;height:178" type="#_x0000_t202" id="docshape242" filled="false" stroked="false">
                  <v:textbox inset="0,0,0,0">
                    <w:txbxContent>
                      <w:p>
                        <w:pPr>
                          <w:spacing w:line="177" w:lineRule="exact" w:before="0"/>
                          <w:ind w:left="0" w:right="0" w:firstLine="0"/>
                          <w:jc w:val="left"/>
                          <w:rPr>
                            <w:sz w:val="16"/>
                          </w:rPr>
                        </w:pPr>
                        <w:r>
                          <w:rPr>
                            <w:spacing w:val="-5"/>
                            <w:sz w:val="16"/>
                          </w:rPr>
                          <w:t>677</w:t>
                        </w:r>
                      </w:p>
                    </w:txbxContent>
                  </v:textbox>
                  <w10:wrap type="none"/>
                </v:shape>
                <v:shape style="position:absolute;left:5066;top:2856;width:180;height:178" type="#_x0000_t202" id="docshape24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1045;top:2856;width:260;height:178" type="#_x0000_t202" id="docshape244" filled="false" stroked="false">
                  <v:textbox inset="0,0,0,0">
                    <w:txbxContent>
                      <w:p>
                        <w:pPr>
                          <w:spacing w:line="177" w:lineRule="exact" w:before="0"/>
                          <w:ind w:left="0" w:right="0" w:firstLine="0"/>
                          <w:jc w:val="left"/>
                          <w:rPr>
                            <w:sz w:val="16"/>
                          </w:rPr>
                        </w:pPr>
                        <w:r>
                          <w:rPr>
                            <w:spacing w:val="-5"/>
                            <w:sz w:val="16"/>
                          </w:rPr>
                          <w:t>677</w:t>
                        </w:r>
                      </w:p>
                    </w:txbxContent>
                  </v:textbox>
                  <w10:wrap type="none"/>
                </v:shape>
                <v:shape style="position:absolute;left:5066;top:1356;width:180;height:178" type="#_x0000_t202" id="docshape245"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60;top:6136;width:1735;height:338" type="#_x0000_t202" id="docshape246" filled="false" stroked="false">
                  <v:textbox inset="0,0,0,0">
                    <w:txbxContent>
                      <w:p>
                        <w:pPr>
                          <w:spacing w:line="208" w:lineRule="auto" w:before="12"/>
                          <w:ind w:left="180" w:right="0" w:hanging="180"/>
                          <w:jc w:val="left"/>
                          <w:rPr>
                            <w:sz w:val="16"/>
                          </w:rPr>
                        </w:pPr>
                        <w:r>
                          <w:rPr>
                            <w:sz w:val="16"/>
                          </w:rPr>
                          <w:t>Value</w:t>
                        </w:r>
                        <w:r>
                          <w:rPr>
                            <w:spacing w:val="-10"/>
                            <w:sz w:val="16"/>
                          </w:rPr>
                          <w:t> </w:t>
                        </w:r>
                        <w:r>
                          <w:rPr>
                            <w:sz w:val="16"/>
                          </w:rPr>
                          <w:t>of</w:t>
                        </w:r>
                        <w:r>
                          <w:rPr>
                            <w:spacing w:val="-10"/>
                            <w:sz w:val="16"/>
                          </w:rPr>
                          <w:t> </w:t>
                        </w:r>
                        <w:r>
                          <w:rPr>
                            <w:sz w:val="16"/>
                          </w:rPr>
                          <w:t>shares</w:t>
                        </w:r>
                        <w:r>
                          <w:rPr>
                            <w:spacing w:val="-10"/>
                            <w:sz w:val="16"/>
                          </w:rPr>
                          <w:t> </w:t>
                        </w:r>
                        <w:r>
                          <w:rPr>
                            <w:sz w:val="16"/>
                          </w:rPr>
                          <w:t>in</w:t>
                        </w:r>
                        <w:r>
                          <w:rPr>
                            <w:spacing w:val="-10"/>
                            <w:sz w:val="16"/>
                          </w:rPr>
                          <w:t> </w:t>
                        </w:r>
                        <w:r>
                          <w:rPr>
                            <w:sz w:val="16"/>
                          </w:rPr>
                          <w:t>deferred</w:t>
                        </w:r>
                        <w:r>
                          <w:rPr>
                            <w:spacing w:val="40"/>
                            <w:sz w:val="16"/>
                          </w:rPr>
                          <w:t> </w:t>
                        </w:r>
                        <w:r>
                          <w:rPr>
                            <w:sz w:val="16"/>
                          </w:rPr>
                          <w:t>compensation</w:t>
                        </w:r>
                        <w:r>
                          <w:rPr>
                            <w:spacing w:val="-1"/>
                            <w:sz w:val="16"/>
                          </w:rPr>
                          <w:t> </w:t>
                        </w:r>
                        <w:r>
                          <w:rPr>
                            <w:sz w:val="16"/>
                          </w:rPr>
                          <w:t>plan</w:t>
                        </w:r>
                      </w:p>
                    </w:txbxContent>
                  </v:textbox>
                  <w10:wrap type="none"/>
                </v:shape>
                <v:shape style="position:absolute;left:4166;top:6296;width:180;height:178" type="#_x0000_t202" id="docshape247"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6006;top:6296;width:180;height:178" type="#_x0000_t202" id="docshape248"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066;top:6296;width:180;height:178" type="#_x0000_t202" id="docshape249"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60;top:2696;width:1758;height:338" type="#_x0000_t202" id="docshape250" filled="false" stroked="false">
                  <v:textbox inset="0,0,0,0">
                    <w:txbxContent>
                      <w:p>
                        <w:pPr>
                          <w:spacing w:line="208" w:lineRule="auto" w:before="12"/>
                          <w:ind w:left="180" w:right="0" w:hanging="180"/>
                          <w:jc w:val="left"/>
                          <w:rPr>
                            <w:sz w:val="16"/>
                          </w:rPr>
                        </w:pPr>
                        <w:r>
                          <w:rPr>
                            <w:sz w:val="16"/>
                          </w:rPr>
                          <w:t>Equity</w:t>
                        </w:r>
                        <w:r>
                          <w:rPr>
                            <w:spacing w:val="-10"/>
                            <w:sz w:val="16"/>
                          </w:rPr>
                          <w:t> </w:t>
                        </w:r>
                        <w:r>
                          <w:rPr>
                            <w:sz w:val="16"/>
                          </w:rPr>
                          <w:t>awards</w:t>
                        </w:r>
                        <w:r>
                          <w:rPr>
                            <w:spacing w:val="-10"/>
                            <w:sz w:val="16"/>
                          </w:rPr>
                          <w:t> </w:t>
                        </w:r>
                        <w:r>
                          <w:rPr>
                            <w:sz w:val="16"/>
                          </w:rPr>
                          <w:t>assumed</w:t>
                        </w:r>
                        <w:r>
                          <w:rPr>
                            <w:spacing w:val="-10"/>
                            <w:sz w:val="16"/>
                          </w:rPr>
                          <w:t> </w:t>
                        </w:r>
                        <w:r>
                          <w:rPr>
                            <w:sz w:val="16"/>
                          </w:rPr>
                          <w:t>for</w:t>
                        </w:r>
                        <w:r>
                          <w:rPr>
                            <w:spacing w:val="40"/>
                            <w:sz w:val="16"/>
                          </w:rPr>
                          <w:t> </w:t>
                        </w:r>
                        <w:r>
                          <w:rPr>
                            <w:spacing w:val="-2"/>
                            <w:sz w:val="16"/>
                          </w:rPr>
                          <w:t>acquisition</w:t>
                        </w:r>
                      </w:p>
                    </w:txbxContent>
                  </v:textbox>
                  <w10:wrap type="none"/>
                </v:shape>
                <v:shape style="position:absolute;left:10792;top:7655;width:568;height:179" type="#_x0000_t202" id="docshape251" filled="false" stroked="false">
                  <v:textbox inset="0,0,0,0">
                    <w:txbxContent>
                      <w:p>
                        <w:pPr>
                          <w:spacing w:line="178" w:lineRule="exact" w:before="0"/>
                          <w:ind w:left="0" w:right="0" w:firstLine="0"/>
                          <w:jc w:val="left"/>
                          <w:rPr>
                            <w:sz w:val="16"/>
                          </w:rPr>
                        </w:pPr>
                        <w:r>
                          <w:rPr>
                            <w:spacing w:val="-2"/>
                            <w:sz w:val="16"/>
                          </w:rPr>
                          <w:t>(81,775)</w:t>
                        </w:r>
                      </w:p>
                    </w:txbxContent>
                  </v:textbox>
                  <w10:wrap type="none"/>
                </v:shape>
                <v:shape style="position:absolute;left:9005;top:4916;width:380;height:178" type="#_x0000_t202" id="docshape252" filled="false" stroked="false">
                  <v:textbox inset="0,0,0,0">
                    <w:txbxContent>
                      <w:p>
                        <w:pPr>
                          <w:spacing w:line="177" w:lineRule="exact" w:before="0"/>
                          <w:ind w:left="0" w:right="0" w:firstLine="0"/>
                          <w:jc w:val="left"/>
                          <w:rPr>
                            <w:sz w:val="16"/>
                          </w:rPr>
                        </w:pPr>
                        <w:r>
                          <w:rPr>
                            <w:spacing w:val="-2"/>
                            <w:sz w:val="16"/>
                          </w:rPr>
                          <w:t>6,872</w:t>
                        </w:r>
                      </w:p>
                    </w:txbxContent>
                  </v:textbox>
                  <w10:wrap type="none"/>
                </v:shape>
                <v:shape style="position:absolute;left:9206;top:1356;width:180;height:178" type="#_x0000_t202" id="docshape25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6986;top:6296;width:180;height:178" type="#_x0000_t202" id="docshape254"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8266;top:6296;width:180;height:178" type="#_x0000_t202" id="docshape255"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206;top:6296;width:180;height:178" type="#_x0000_t202" id="docshape256"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085;top:6296;width:260;height:178" type="#_x0000_t202" id="docshape257" filled="false" stroked="false">
                  <v:textbox inset="0,0,0,0">
                    <w:txbxContent>
                      <w:p>
                        <w:pPr>
                          <w:spacing w:line="177" w:lineRule="exact" w:before="0"/>
                          <w:ind w:left="0" w:right="0" w:firstLine="0"/>
                          <w:jc w:val="left"/>
                          <w:rPr>
                            <w:sz w:val="16"/>
                          </w:rPr>
                        </w:pPr>
                        <w:r>
                          <w:rPr>
                            <w:spacing w:val="-5"/>
                            <w:sz w:val="16"/>
                          </w:rPr>
                          <w:t>615</w:t>
                        </w:r>
                      </w:p>
                    </w:txbxContent>
                  </v:textbox>
                  <w10:wrap type="none"/>
                </v:shape>
                <v:shape style="position:absolute;left:1060;top:4762;width:2304;height:338" type="#_x0000_t202" id="docshape258" filled="false" stroked="false">
                  <v:textbox inset="0,0,0,0">
                    <w:txbxContent>
                      <w:p>
                        <w:pPr>
                          <w:spacing w:line="208" w:lineRule="auto" w:before="12"/>
                          <w:ind w:left="180" w:right="0" w:hanging="180"/>
                          <w:jc w:val="left"/>
                          <w:rPr>
                            <w:sz w:val="16"/>
                          </w:rPr>
                        </w:pPr>
                        <w:r>
                          <w:rPr>
                            <w:sz w:val="16"/>
                          </w:rPr>
                          <w:t>Re-issuance</w:t>
                        </w:r>
                        <w:r>
                          <w:rPr>
                            <w:spacing w:val="-10"/>
                            <w:sz w:val="16"/>
                          </w:rPr>
                          <w:t> </w:t>
                        </w:r>
                        <w:r>
                          <w:rPr>
                            <w:sz w:val="16"/>
                          </w:rPr>
                          <w:t>of</w:t>
                        </w:r>
                        <w:r>
                          <w:rPr>
                            <w:spacing w:val="-10"/>
                            <w:sz w:val="16"/>
                          </w:rPr>
                          <w:t> </w:t>
                        </w:r>
                        <w:r>
                          <w:rPr>
                            <w:sz w:val="16"/>
                          </w:rPr>
                          <w:t>treasury</w:t>
                        </w:r>
                        <w:r>
                          <w:rPr>
                            <w:spacing w:val="-10"/>
                            <w:sz w:val="16"/>
                          </w:rPr>
                          <w:t> </w:t>
                        </w:r>
                        <w:r>
                          <w:rPr>
                            <w:sz w:val="16"/>
                          </w:rPr>
                          <w:t>stock</w:t>
                        </w:r>
                        <w:r>
                          <w:rPr>
                            <w:spacing w:val="-10"/>
                            <w:sz w:val="16"/>
                          </w:rPr>
                          <w:t> </w:t>
                        </w:r>
                        <w:r>
                          <w:rPr>
                            <w:sz w:val="16"/>
                          </w:rPr>
                          <w:t>under</w:t>
                        </w:r>
                        <w:r>
                          <w:rPr>
                            <w:spacing w:val="40"/>
                            <w:sz w:val="16"/>
                          </w:rPr>
                          <w:t> </w:t>
                        </w:r>
                        <w:r>
                          <w:rPr>
                            <w:sz w:val="16"/>
                          </w:rPr>
                          <w:t>stock compensation plans</w:t>
                        </w:r>
                      </w:p>
                    </w:txbxContent>
                  </v:textbox>
                  <w10:wrap type="none"/>
                </v:shape>
                <v:shape style="position:absolute;left:1060;top:1202;width:1905;height:338" type="#_x0000_t202" id="docshape259" filled="false" stroked="false">
                  <v:textbox inset="0,0,0,0">
                    <w:txbxContent>
                      <w:p>
                        <w:pPr>
                          <w:spacing w:line="208" w:lineRule="auto" w:before="12"/>
                          <w:ind w:left="0" w:right="18" w:firstLine="0"/>
                          <w:jc w:val="left"/>
                          <w:rPr>
                            <w:sz w:val="16"/>
                          </w:rPr>
                        </w:pPr>
                        <w:r>
                          <w:rPr>
                            <w:sz w:val="16"/>
                          </w:rPr>
                          <w:t>Other</w:t>
                        </w:r>
                        <w:r>
                          <w:rPr>
                            <w:spacing w:val="-10"/>
                            <w:sz w:val="16"/>
                          </w:rPr>
                          <w:t> </w:t>
                        </w:r>
                        <w:r>
                          <w:rPr>
                            <w:sz w:val="16"/>
                          </w:rPr>
                          <w:t>comprehensive</w:t>
                        </w:r>
                        <w:r>
                          <w:rPr>
                            <w:spacing w:val="-10"/>
                            <w:sz w:val="16"/>
                          </w:rPr>
                          <w:t> </w:t>
                        </w:r>
                        <w:r>
                          <w:rPr>
                            <w:sz w:val="16"/>
                          </w:rPr>
                          <w:t>income</w:t>
                        </w:r>
                        <w:r>
                          <w:rPr>
                            <w:spacing w:val="40"/>
                            <w:sz w:val="16"/>
                          </w:rPr>
                          <w:t> </w:t>
                        </w:r>
                        <w:r>
                          <w:rPr>
                            <w:sz w:val="16"/>
                          </w:rPr>
                          <w:t>(losses), net of taxes</w:t>
                        </w:r>
                      </w:p>
                    </w:txbxContent>
                  </v:textbox>
                  <w10:wrap type="none"/>
                </v:shape>
                <v:shape style="position:absolute;left:6986;top:2856;width:180;height:178" type="#_x0000_t202" id="docshape260"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4166;top:2856;width:180;height:178" type="#_x0000_t202" id="docshape261"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166;top:2156;width:180;height:178" type="#_x0000_t202" id="docshape262"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4166;top:8316;width:180;height:178" type="#_x0000_t202" id="docshape263"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066;top:8316;width:180;height:178" type="#_x0000_t202" id="docshape264"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5725;top:8316;width:460;height:178" type="#_x0000_t202" id="docshape265" filled="false" stroked="false">
                  <v:textbox inset="0,0,0,0">
                    <w:txbxContent>
                      <w:p>
                        <w:pPr>
                          <w:spacing w:line="177" w:lineRule="exact" w:before="0"/>
                          <w:ind w:left="0" w:right="0" w:firstLine="0"/>
                          <w:jc w:val="left"/>
                          <w:rPr>
                            <w:sz w:val="16"/>
                          </w:rPr>
                        </w:pPr>
                        <w:r>
                          <w:rPr>
                            <w:spacing w:val="-2"/>
                            <w:sz w:val="16"/>
                          </w:rPr>
                          <w:t>10,348</w:t>
                        </w:r>
                      </w:p>
                    </w:txbxContent>
                  </v:textbox>
                  <w10:wrap type="none"/>
                </v:shape>
                <v:shape style="position:absolute;left:6986;top:8316;width:180;height:178" type="#_x0000_t202" id="docshape266"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8266;top:8316;width:180;height:178" type="#_x0000_t202" id="docshape267"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206;top:8316;width:180;height:178" type="#_x0000_t202" id="docshape268"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10166;top:8316;width:180;height:178" type="#_x0000_t202" id="docshape269" filled="false" stroked="false">
                  <v:textbox inset="0,0,0,0">
                    <w:txbxContent>
                      <w:p>
                        <w:pPr>
                          <w:spacing w:line="177" w:lineRule="exact" w:before="0"/>
                          <w:ind w:left="0" w:right="0" w:firstLine="0"/>
                          <w:jc w:val="left"/>
                          <w:rPr>
                            <w:sz w:val="16"/>
                          </w:rPr>
                        </w:pPr>
                        <w:r>
                          <w:rPr>
                            <w:spacing w:val="-10"/>
                            <w:sz w:val="16"/>
                          </w:rPr>
                          <w:t>—</w:t>
                        </w:r>
                      </w:p>
                    </w:txbxContent>
                  </v:textbox>
                  <w10:wrap type="none"/>
                </v:shape>
                <w10:wrap type="none"/>
              </v:group>
            </w:pict>
          </mc:Fallback>
        </mc:AlternateContent>
      </w:r>
      <w:r>
        <w:rPr>
          <w:b/>
          <w:spacing w:val="-2"/>
          <w:sz w:val="16"/>
        </w:rPr>
        <w:t>Shares</w:t>
      </w:r>
      <w:r>
        <w:rPr>
          <w:b/>
          <w:sz w:val="16"/>
        </w:rPr>
        <w:tab/>
      </w:r>
      <w:r>
        <w:rPr>
          <w:b/>
          <w:spacing w:val="-2"/>
          <w:sz w:val="16"/>
        </w:rPr>
        <w:t>Amount</w:t>
      </w:r>
    </w:p>
    <w:p>
      <w:pPr>
        <w:spacing w:line="69" w:lineRule="exact" w:before="90"/>
        <w:ind w:left="346" w:right="0" w:firstLine="0"/>
        <w:jc w:val="left"/>
        <w:rPr>
          <w:b/>
          <w:sz w:val="16"/>
        </w:rPr>
      </w:pPr>
      <w:r>
        <w:rPr/>
        <w:br w:type="column"/>
      </w:r>
      <w:r>
        <w:rPr>
          <w:b/>
          <w:spacing w:val="-2"/>
          <w:sz w:val="16"/>
        </w:rPr>
        <w:t>Capital</w:t>
      </w:r>
    </w:p>
    <w:p>
      <w:pPr>
        <w:spacing w:line="69" w:lineRule="exact" w:before="90"/>
        <w:ind w:left="355" w:right="0" w:firstLine="0"/>
        <w:jc w:val="left"/>
        <w:rPr>
          <w:b/>
          <w:sz w:val="16"/>
        </w:rPr>
      </w:pPr>
      <w:r>
        <w:rPr/>
        <w:br w:type="column"/>
      </w:r>
      <w:r>
        <w:rPr>
          <w:b/>
          <w:spacing w:val="-2"/>
          <w:sz w:val="16"/>
        </w:rPr>
        <w:t>Earnings</w:t>
      </w:r>
    </w:p>
    <w:p>
      <w:pPr>
        <w:spacing w:line="159" w:lineRule="exact" w:before="0"/>
        <w:ind w:left="247" w:right="0" w:firstLine="0"/>
        <w:jc w:val="left"/>
        <w:rPr>
          <w:b/>
          <w:sz w:val="16"/>
        </w:rPr>
      </w:pPr>
      <w:r>
        <w:rPr/>
        <w:br w:type="column"/>
      </w:r>
      <w:r>
        <w:rPr>
          <w:b/>
          <w:spacing w:val="-2"/>
          <w:sz w:val="16"/>
        </w:rPr>
        <w:t>Comprehensive</w:t>
      </w:r>
    </w:p>
    <w:p>
      <w:pPr>
        <w:tabs>
          <w:tab w:pos="1206" w:val="left" w:leader="none"/>
          <w:tab w:pos="2272" w:val="left" w:leader="none"/>
        </w:tabs>
        <w:spacing w:line="69" w:lineRule="exact" w:before="90"/>
        <w:ind w:left="308" w:right="0" w:firstLine="0"/>
        <w:jc w:val="left"/>
        <w:rPr>
          <w:b/>
          <w:sz w:val="16"/>
        </w:rPr>
      </w:pPr>
      <w:r>
        <w:rPr/>
        <w:br w:type="column"/>
      </w:r>
      <w:r>
        <w:rPr>
          <w:b/>
          <w:spacing w:val="-2"/>
          <w:sz w:val="16"/>
        </w:rPr>
        <w:t>Shares</w:t>
      </w:r>
      <w:r>
        <w:rPr>
          <w:b/>
          <w:sz w:val="16"/>
        </w:rPr>
        <w:tab/>
      </w:r>
      <w:r>
        <w:rPr>
          <w:b/>
          <w:spacing w:val="-2"/>
          <w:sz w:val="16"/>
        </w:rPr>
        <w:t>Amount</w:t>
      </w:r>
      <w:r>
        <w:rPr>
          <w:b/>
          <w:sz w:val="16"/>
        </w:rPr>
        <w:tab/>
      </w:r>
      <w:r>
        <w:rPr>
          <w:b/>
          <w:spacing w:val="-2"/>
          <w:sz w:val="16"/>
        </w:rPr>
        <w:t>Total</w:t>
      </w:r>
    </w:p>
    <w:p>
      <w:pPr>
        <w:spacing w:after="0" w:line="69" w:lineRule="exact"/>
        <w:jc w:val="left"/>
        <w:rPr>
          <w:sz w:val="16"/>
        </w:rPr>
        <w:sectPr>
          <w:type w:val="continuous"/>
          <w:pgSz w:w="12240" w:h="15840"/>
          <w:pgMar w:header="210" w:footer="610" w:top="680" w:bottom="280" w:left="780" w:right="740"/>
          <w:cols w:num="5" w:equalWidth="0">
            <w:col w:w="4370" w:space="40"/>
            <w:col w:w="854" w:space="39"/>
            <w:col w:w="978" w:space="39"/>
            <w:col w:w="1312" w:space="40"/>
            <w:col w:w="3048"/>
          </w:cols>
        </w:sectPr>
      </w:pPr>
    </w:p>
    <w:p>
      <w:pPr>
        <w:tabs>
          <w:tab w:pos="9689" w:val="left" w:leader="none"/>
          <w:tab w:pos="10604" w:val="left" w:leader="none"/>
        </w:tabs>
        <w:spacing w:line="177" w:lineRule="exact" w:before="0"/>
        <w:ind w:left="6617" w:right="0" w:firstLine="0"/>
        <w:jc w:val="left"/>
        <w:rPr>
          <w:b/>
          <w:sz w:val="16"/>
        </w:rPr>
      </w:pPr>
      <w:r>
        <w:rPr>
          <w:b/>
          <w:sz w:val="16"/>
        </w:rPr>
        <w:t>Income </w:t>
      </w:r>
      <w:r>
        <w:rPr>
          <w:b/>
          <w:spacing w:val="-2"/>
          <w:sz w:val="16"/>
        </w:rPr>
        <w:t>(Loss)</w:t>
      </w:r>
      <w:r>
        <w:rPr>
          <w:b/>
          <w:sz w:val="16"/>
        </w:rPr>
        <w:tab/>
      </w:r>
      <w:r>
        <w:rPr>
          <w:b/>
          <w:sz w:val="16"/>
          <w:u w:val="single"/>
        </w:rPr>
        <w:tab/>
      </w:r>
    </w:p>
    <w:p>
      <w:pPr>
        <w:pStyle w:val="BodyText"/>
        <w:ind w:left="230"/>
      </w:pPr>
      <w:r>
        <w:rPr/>
        <mc:AlternateContent>
          <mc:Choice Requires="wps">
            <w:drawing>
              <wp:inline distT="0" distB="0" distL="0" distR="0">
                <wp:extent cx="6565900" cy="361950"/>
                <wp:effectExtent l="0" t="0" r="0" b="0"/>
                <wp:docPr id="331" name="Textbox 331"/>
                <wp:cNvGraphicFramePr>
                  <a:graphicFrameLocks/>
                </wp:cNvGraphicFramePr>
                <a:graphic>
                  <a:graphicData uri="http://schemas.microsoft.com/office/word/2010/wordprocessingShape">
                    <wps:wsp>
                      <wps:cNvPr id="331" name="Textbox 331"/>
                      <wps:cNvSpPr txBox="1"/>
                      <wps:spPr>
                        <a:xfrm>
                          <a:off x="0" y="0"/>
                          <a:ext cx="6565900" cy="361950"/>
                        </a:xfrm>
                        <a:prstGeom prst="rect">
                          <a:avLst/>
                        </a:prstGeom>
                      </wps:spPr>
                      <wps:txbx>
                        <w:txbxContent>
                          <w:p>
                            <w:pPr>
                              <w:pStyle w:val="BodyText"/>
                              <w:spacing w:before="151"/>
                              <w:rPr>
                                <w:b/>
                                <w:sz w:val="16"/>
                              </w:rPr>
                            </w:pPr>
                          </w:p>
                          <w:p>
                            <w:pPr>
                              <w:tabs>
                                <w:tab w:pos="2794" w:val="left" w:leader="none"/>
                                <w:tab w:pos="4055" w:val="left" w:leader="none"/>
                                <w:tab w:pos="7001" w:val="left" w:leader="none"/>
                                <w:tab w:pos="7781" w:val="left" w:leader="none"/>
                              </w:tabs>
                              <w:spacing w:before="0"/>
                              <w:ind w:left="50" w:right="0" w:firstLine="0"/>
                              <w:jc w:val="left"/>
                              <w:rPr>
                                <w:sz w:val="16"/>
                              </w:rPr>
                            </w:pPr>
                            <w:r>
                              <w:rPr>
                                <w:sz w:val="16"/>
                              </w:rPr>
                              <w:t>Balances</w:t>
                            </w:r>
                            <w:r>
                              <w:rPr>
                                <w:spacing w:val="-5"/>
                                <w:sz w:val="16"/>
                              </w:rPr>
                              <w:t> </w:t>
                            </w:r>
                            <w:r>
                              <w:rPr>
                                <w:sz w:val="16"/>
                              </w:rPr>
                              <w:t>at</w:t>
                            </w:r>
                            <w:r>
                              <w:rPr>
                                <w:spacing w:val="-2"/>
                                <w:sz w:val="16"/>
                              </w:rPr>
                              <w:t> </w:t>
                            </w:r>
                            <w:r>
                              <w:rPr>
                                <w:sz w:val="16"/>
                              </w:rPr>
                              <w:t>November</w:t>
                            </w:r>
                            <w:r>
                              <w:rPr>
                                <w:spacing w:val="-2"/>
                                <w:sz w:val="16"/>
                              </w:rPr>
                              <w:t> </w:t>
                            </w:r>
                            <w:r>
                              <w:rPr>
                                <w:sz w:val="16"/>
                              </w:rPr>
                              <w:t>28,</w:t>
                            </w:r>
                            <w:r>
                              <w:rPr>
                                <w:spacing w:val="-1"/>
                                <w:sz w:val="16"/>
                              </w:rPr>
                              <w:t> </w:t>
                            </w:r>
                            <w:r>
                              <w:rPr>
                                <w:spacing w:val="-4"/>
                                <w:sz w:val="16"/>
                              </w:rPr>
                              <w:t>2014</w:t>
                            </w:r>
                            <w:r>
                              <w:rPr>
                                <w:sz w:val="16"/>
                              </w:rPr>
                              <w:tab/>
                              <w:t>600,834</w:t>
                            </w:r>
                            <w:r>
                              <w:rPr>
                                <w:spacing w:val="55"/>
                                <w:sz w:val="16"/>
                              </w:rPr>
                              <w:t>  </w:t>
                            </w:r>
                            <w:r>
                              <w:rPr>
                                <w:spacing w:val="-10"/>
                                <w:sz w:val="16"/>
                              </w:rPr>
                              <w:t>$</w:t>
                            </w:r>
                            <w:r>
                              <w:rPr>
                                <w:sz w:val="16"/>
                              </w:rPr>
                              <w:tab/>
                              <w:t>61</w:t>
                            </w:r>
                            <w:r>
                              <w:rPr>
                                <w:spacing w:val="55"/>
                                <w:sz w:val="16"/>
                              </w:rPr>
                              <w:t>  </w:t>
                            </w:r>
                            <w:r>
                              <w:rPr>
                                <w:sz w:val="16"/>
                              </w:rPr>
                              <w:t>$</w:t>
                            </w:r>
                            <w:r>
                              <w:rPr>
                                <w:spacing w:val="-15"/>
                                <w:sz w:val="16"/>
                              </w:rPr>
                              <w:t> </w:t>
                            </w:r>
                            <w:r>
                              <w:rPr>
                                <w:sz w:val="16"/>
                              </w:rPr>
                              <w:t>3,778,495</w:t>
                            </w:r>
                            <w:r>
                              <w:rPr>
                                <w:spacing w:val="57"/>
                                <w:sz w:val="16"/>
                              </w:rPr>
                              <w:t>  </w:t>
                            </w:r>
                            <w:r>
                              <w:rPr>
                                <w:sz w:val="16"/>
                              </w:rPr>
                              <w:t>$</w:t>
                            </w:r>
                            <w:r>
                              <w:rPr>
                                <w:spacing w:val="26"/>
                                <w:sz w:val="16"/>
                              </w:rPr>
                              <w:t> </w:t>
                            </w:r>
                            <w:r>
                              <w:rPr>
                                <w:sz w:val="16"/>
                              </w:rPr>
                              <w:t>6,924,294</w:t>
                            </w:r>
                            <w:r>
                              <w:rPr>
                                <w:spacing w:val="57"/>
                                <w:sz w:val="16"/>
                              </w:rPr>
                              <w:t>  </w:t>
                            </w:r>
                            <w:r>
                              <w:rPr>
                                <w:spacing w:val="-10"/>
                                <w:sz w:val="16"/>
                              </w:rPr>
                              <w:t>$</w:t>
                            </w:r>
                            <w:r>
                              <w:rPr>
                                <w:sz w:val="16"/>
                              </w:rPr>
                              <w:tab/>
                            </w:r>
                            <w:r>
                              <w:rPr>
                                <w:spacing w:val="-2"/>
                                <w:sz w:val="16"/>
                              </w:rPr>
                              <w:t>(8,094)</w:t>
                            </w:r>
                            <w:r>
                              <w:rPr>
                                <w:sz w:val="16"/>
                              </w:rPr>
                              <w:tab/>
                              <w:t>(103,350)</w:t>
                            </w:r>
                            <w:r>
                              <w:rPr>
                                <w:spacing w:val="76"/>
                                <w:w w:val="150"/>
                                <w:sz w:val="16"/>
                              </w:rPr>
                              <w:t> </w:t>
                            </w:r>
                            <w:r>
                              <w:rPr>
                                <w:sz w:val="16"/>
                              </w:rPr>
                              <w:t>$(3,918,851)</w:t>
                            </w:r>
                            <w:r>
                              <w:rPr>
                                <w:spacing w:val="77"/>
                                <w:w w:val="150"/>
                                <w:sz w:val="16"/>
                              </w:rPr>
                              <w:t> </w:t>
                            </w:r>
                            <w:r>
                              <w:rPr>
                                <w:sz w:val="16"/>
                              </w:rPr>
                              <w:t>$</w:t>
                            </w:r>
                            <w:r>
                              <w:rPr>
                                <w:spacing w:val="4"/>
                                <w:sz w:val="16"/>
                              </w:rPr>
                              <w:t> </w:t>
                            </w:r>
                            <w:r>
                              <w:rPr>
                                <w:spacing w:val="-2"/>
                                <w:sz w:val="16"/>
                              </w:rPr>
                              <w:t>6,775,905</w:t>
                            </w:r>
                          </w:p>
                        </w:txbxContent>
                      </wps:txbx>
                      <wps:bodyPr wrap="square" lIns="0" tIns="0" rIns="0" bIns="0" rtlCol="0">
                        <a:noAutofit/>
                      </wps:bodyPr>
                    </wps:wsp>
                  </a:graphicData>
                </a:graphic>
              </wp:inline>
            </w:drawing>
          </mc:Choice>
          <mc:Fallback>
            <w:pict>
              <v:shape style="width:517pt;height:28.5pt;mso-position-horizontal-relative:char;mso-position-vertical-relative:line" type="#_x0000_t202" id="docshape270" filled="false" stroked="false">
                <w10:anchorlock/>
                <v:textbox inset="0,0,0,0">
                  <w:txbxContent>
                    <w:p>
                      <w:pPr>
                        <w:pStyle w:val="BodyText"/>
                        <w:spacing w:before="151"/>
                        <w:rPr>
                          <w:b/>
                          <w:sz w:val="16"/>
                        </w:rPr>
                      </w:pPr>
                    </w:p>
                    <w:p>
                      <w:pPr>
                        <w:tabs>
                          <w:tab w:pos="2794" w:val="left" w:leader="none"/>
                          <w:tab w:pos="4055" w:val="left" w:leader="none"/>
                          <w:tab w:pos="7001" w:val="left" w:leader="none"/>
                          <w:tab w:pos="7781" w:val="left" w:leader="none"/>
                        </w:tabs>
                        <w:spacing w:before="0"/>
                        <w:ind w:left="50" w:right="0" w:firstLine="0"/>
                        <w:jc w:val="left"/>
                        <w:rPr>
                          <w:sz w:val="16"/>
                        </w:rPr>
                      </w:pPr>
                      <w:r>
                        <w:rPr>
                          <w:sz w:val="16"/>
                        </w:rPr>
                        <w:t>Balances</w:t>
                      </w:r>
                      <w:r>
                        <w:rPr>
                          <w:spacing w:val="-5"/>
                          <w:sz w:val="16"/>
                        </w:rPr>
                        <w:t> </w:t>
                      </w:r>
                      <w:r>
                        <w:rPr>
                          <w:sz w:val="16"/>
                        </w:rPr>
                        <w:t>at</w:t>
                      </w:r>
                      <w:r>
                        <w:rPr>
                          <w:spacing w:val="-2"/>
                          <w:sz w:val="16"/>
                        </w:rPr>
                        <w:t> </w:t>
                      </w:r>
                      <w:r>
                        <w:rPr>
                          <w:sz w:val="16"/>
                        </w:rPr>
                        <w:t>November</w:t>
                      </w:r>
                      <w:r>
                        <w:rPr>
                          <w:spacing w:val="-2"/>
                          <w:sz w:val="16"/>
                        </w:rPr>
                        <w:t> </w:t>
                      </w:r>
                      <w:r>
                        <w:rPr>
                          <w:sz w:val="16"/>
                        </w:rPr>
                        <w:t>28,</w:t>
                      </w:r>
                      <w:r>
                        <w:rPr>
                          <w:spacing w:val="-1"/>
                          <w:sz w:val="16"/>
                        </w:rPr>
                        <w:t> </w:t>
                      </w:r>
                      <w:r>
                        <w:rPr>
                          <w:spacing w:val="-4"/>
                          <w:sz w:val="16"/>
                        </w:rPr>
                        <w:t>2014</w:t>
                      </w:r>
                      <w:r>
                        <w:rPr>
                          <w:sz w:val="16"/>
                        </w:rPr>
                        <w:tab/>
                        <w:t>600,834</w:t>
                      </w:r>
                      <w:r>
                        <w:rPr>
                          <w:spacing w:val="55"/>
                          <w:sz w:val="16"/>
                        </w:rPr>
                        <w:t>  </w:t>
                      </w:r>
                      <w:r>
                        <w:rPr>
                          <w:spacing w:val="-10"/>
                          <w:sz w:val="16"/>
                        </w:rPr>
                        <w:t>$</w:t>
                      </w:r>
                      <w:r>
                        <w:rPr>
                          <w:sz w:val="16"/>
                        </w:rPr>
                        <w:tab/>
                        <w:t>61</w:t>
                      </w:r>
                      <w:r>
                        <w:rPr>
                          <w:spacing w:val="55"/>
                          <w:sz w:val="16"/>
                        </w:rPr>
                        <w:t>  </w:t>
                      </w:r>
                      <w:r>
                        <w:rPr>
                          <w:sz w:val="16"/>
                        </w:rPr>
                        <w:t>$</w:t>
                      </w:r>
                      <w:r>
                        <w:rPr>
                          <w:spacing w:val="-15"/>
                          <w:sz w:val="16"/>
                        </w:rPr>
                        <w:t> </w:t>
                      </w:r>
                      <w:r>
                        <w:rPr>
                          <w:sz w:val="16"/>
                        </w:rPr>
                        <w:t>3,778,495</w:t>
                      </w:r>
                      <w:r>
                        <w:rPr>
                          <w:spacing w:val="57"/>
                          <w:sz w:val="16"/>
                        </w:rPr>
                        <w:t>  </w:t>
                      </w:r>
                      <w:r>
                        <w:rPr>
                          <w:sz w:val="16"/>
                        </w:rPr>
                        <w:t>$</w:t>
                      </w:r>
                      <w:r>
                        <w:rPr>
                          <w:spacing w:val="26"/>
                          <w:sz w:val="16"/>
                        </w:rPr>
                        <w:t> </w:t>
                      </w:r>
                      <w:r>
                        <w:rPr>
                          <w:sz w:val="16"/>
                        </w:rPr>
                        <w:t>6,924,294</w:t>
                      </w:r>
                      <w:r>
                        <w:rPr>
                          <w:spacing w:val="57"/>
                          <w:sz w:val="16"/>
                        </w:rPr>
                        <w:t>  </w:t>
                      </w:r>
                      <w:r>
                        <w:rPr>
                          <w:spacing w:val="-10"/>
                          <w:sz w:val="16"/>
                        </w:rPr>
                        <w:t>$</w:t>
                      </w:r>
                      <w:r>
                        <w:rPr>
                          <w:sz w:val="16"/>
                        </w:rPr>
                        <w:tab/>
                      </w:r>
                      <w:r>
                        <w:rPr>
                          <w:spacing w:val="-2"/>
                          <w:sz w:val="16"/>
                        </w:rPr>
                        <w:t>(8,094)</w:t>
                      </w:r>
                      <w:r>
                        <w:rPr>
                          <w:sz w:val="16"/>
                        </w:rPr>
                        <w:tab/>
                        <w:t>(103,350)</w:t>
                      </w:r>
                      <w:r>
                        <w:rPr>
                          <w:spacing w:val="76"/>
                          <w:w w:val="150"/>
                          <w:sz w:val="16"/>
                        </w:rPr>
                        <w:t> </w:t>
                      </w:r>
                      <w:r>
                        <w:rPr>
                          <w:sz w:val="16"/>
                        </w:rPr>
                        <w:t>$(3,918,851)</w:t>
                      </w:r>
                      <w:r>
                        <w:rPr>
                          <w:spacing w:val="77"/>
                          <w:w w:val="150"/>
                          <w:sz w:val="16"/>
                        </w:rPr>
                        <w:t> </w:t>
                      </w:r>
                      <w:r>
                        <w:rPr>
                          <w:sz w:val="16"/>
                        </w:rPr>
                        <w:t>$</w:t>
                      </w:r>
                      <w:r>
                        <w:rPr>
                          <w:spacing w:val="4"/>
                          <w:sz w:val="16"/>
                        </w:rPr>
                        <w:t> </w:t>
                      </w:r>
                      <w:r>
                        <w:rPr>
                          <w:spacing w:val="-2"/>
                          <w:sz w:val="16"/>
                        </w:rPr>
                        <w:t>6,775,905</w:t>
                      </w:r>
                    </w:p>
                  </w:txbxContent>
                </v:textbox>
              </v:shape>
            </w:pict>
          </mc:Fallback>
        </mc:AlternateContent>
      </w:r>
      <w:r>
        <w:rPr/>
      </w:r>
    </w:p>
    <w:p>
      <w:pPr>
        <w:tabs>
          <w:tab w:pos="3385" w:val="left" w:leader="none"/>
          <w:tab w:pos="4285" w:val="left" w:leader="none"/>
          <w:tab w:pos="5225" w:val="left" w:leader="none"/>
          <w:tab w:pos="5844" w:val="left" w:leader="none"/>
          <w:tab w:pos="7485" w:val="left" w:leader="none"/>
          <w:tab w:pos="8425" w:val="left" w:leader="none"/>
          <w:tab w:pos="9385" w:val="left" w:leader="none"/>
          <w:tab w:pos="9984" w:val="left" w:leader="none"/>
        </w:tabs>
        <w:spacing w:before="43"/>
        <w:ind w:left="280" w:right="0" w:firstLine="0"/>
        <w:jc w:val="left"/>
        <w:rPr>
          <w:sz w:val="16"/>
        </w:rPr>
      </w:pPr>
      <w:r>
        <w:rPr>
          <w:sz w:val="16"/>
        </w:rPr>
        <w:t>Net </w:t>
      </w:r>
      <w:r>
        <w:rPr>
          <w:spacing w:val="-2"/>
          <w:sz w:val="16"/>
        </w:rPr>
        <w:t>income</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629,551</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629,551</w:t>
      </w:r>
    </w:p>
    <w:p>
      <w:pPr>
        <w:pStyle w:val="BodyText"/>
        <w:rPr>
          <w:sz w:val="16"/>
        </w:rPr>
      </w:pPr>
    </w:p>
    <w:p>
      <w:pPr>
        <w:pStyle w:val="BodyText"/>
        <w:spacing w:before="94"/>
        <w:rPr>
          <w:sz w:val="16"/>
        </w:rPr>
      </w:pPr>
    </w:p>
    <w:p>
      <w:pPr>
        <w:spacing w:line="167" w:lineRule="exact" w:before="0"/>
        <w:ind w:left="280" w:right="0" w:firstLine="0"/>
        <w:jc w:val="left"/>
        <w:rPr>
          <w:sz w:val="16"/>
        </w:rPr>
      </w:pPr>
      <w:r>
        <w:rPr>
          <w:sz w:val="16"/>
        </w:rPr>
        <w:t>Re-issuance of treasury stock </w:t>
      </w:r>
      <w:r>
        <w:rPr>
          <w:spacing w:val="-2"/>
          <w:sz w:val="16"/>
        </w:rPr>
        <w:t>under</w:t>
      </w:r>
    </w:p>
    <w:p>
      <w:pPr>
        <w:tabs>
          <w:tab w:pos="3385" w:val="left" w:leader="none"/>
          <w:tab w:pos="4285" w:val="left" w:leader="none"/>
          <w:tab w:pos="5225" w:val="left" w:leader="none"/>
          <w:tab w:pos="5791" w:val="left" w:leader="none"/>
          <w:tab w:pos="7485" w:val="left" w:leader="none"/>
          <w:tab w:pos="8224" w:val="left" w:leader="none"/>
          <w:tab w:pos="9024" w:val="left" w:leader="none"/>
          <w:tab w:pos="10011" w:val="left" w:leader="none"/>
        </w:tabs>
        <w:spacing w:line="177" w:lineRule="exact" w:before="0"/>
        <w:ind w:left="460" w:right="0" w:firstLine="0"/>
        <w:jc w:val="left"/>
        <w:rPr>
          <w:sz w:val="16"/>
        </w:rPr>
      </w:pPr>
      <w:r>
        <w:rPr>
          <w:sz w:val="16"/>
        </w:rPr>
        <w:t>stock compensation </w:t>
      </w:r>
      <w:r>
        <w:rPr>
          <w:spacing w:val="-2"/>
          <w:sz w:val="16"/>
        </w:rPr>
        <w:t>plans</w:t>
      </w:r>
      <w:r>
        <w:rPr>
          <w:sz w:val="16"/>
        </w:rPr>
        <w:tab/>
      </w:r>
      <w:r>
        <w:rPr>
          <w:spacing w:val="-10"/>
          <w:position w:val="1"/>
          <w:sz w:val="16"/>
        </w:rPr>
        <w:t>—</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2"/>
          <w:position w:val="1"/>
          <w:sz w:val="16"/>
        </w:rPr>
        <w:t>(300,414)</w:t>
      </w:r>
      <w:r>
        <w:rPr>
          <w:position w:val="1"/>
          <w:sz w:val="16"/>
        </w:rPr>
        <w:tab/>
      </w:r>
      <w:r>
        <w:rPr>
          <w:spacing w:val="-10"/>
          <w:position w:val="1"/>
          <w:sz w:val="16"/>
        </w:rPr>
        <w:t>—</w:t>
      </w:r>
      <w:r>
        <w:rPr>
          <w:position w:val="1"/>
          <w:sz w:val="16"/>
        </w:rPr>
        <w:tab/>
      </w:r>
      <w:r>
        <w:rPr>
          <w:spacing w:val="-2"/>
          <w:position w:val="1"/>
          <w:sz w:val="16"/>
        </w:rPr>
        <w:t>8,429</w:t>
      </w:r>
      <w:r>
        <w:rPr>
          <w:position w:val="1"/>
          <w:sz w:val="16"/>
        </w:rPr>
        <w:tab/>
      </w:r>
      <w:r>
        <w:rPr>
          <w:spacing w:val="-2"/>
          <w:position w:val="1"/>
          <w:sz w:val="16"/>
        </w:rPr>
        <w:t>278,311</w:t>
      </w:r>
      <w:r>
        <w:rPr>
          <w:position w:val="1"/>
          <w:sz w:val="16"/>
        </w:rPr>
        <w:tab/>
      </w:r>
      <w:r>
        <w:rPr>
          <w:spacing w:val="-2"/>
          <w:position w:val="1"/>
          <w:sz w:val="16"/>
        </w:rPr>
        <w:t>(22,103)</w:t>
      </w:r>
    </w:p>
    <w:p>
      <w:pPr>
        <w:pStyle w:val="BodyText"/>
        <w:rPr>
          <w:sz w:val="16"/>
        </w:rPr>
      </w:pPr>
    </w:p>
    <w:p>
      <w:pPr>
        <w:pStyle w:val="BodyText"/>
        <w:spacing w:before="122"/>
        <w:rPr>
          <w:sz w:val="16"/>
        </w:rPr>
      </w:pPr>
    </w:p>
    <w:p>
      <w:pPr>
        <w:tabs>
          <w:tab w:pos="3385" w:val="left" w:leader="none"/>
          <w:tab w:pos="4285" w:val="left" w:leader="none"/>
          <w:tab w:pos="5225" w:val="left" w:leader="none"/>
          <w:tab w:pos="6205" w:val="left" w:leader="none"/>
          <w:tab w:pos="7485" w:val="left" w:leader="none"/>
          <w:tab w:pos="8171" w:val="left" w:leader="none"/>
          <w:tab w:pos="8971" w:val="left" w:leader="none"/>
          <w:tab w:pos="9931" w:val="left" w:leader="none"/>
        </w:tabs>
        <w:spacing w:before="0"/>
        <w:ind w:left="280" w:right="0" w:firstLine="0"/>
        <w:jc w:val="left"/>
        <w:rPr>
          <w:sz w:val="16"/>
        </w:rPr>
      </w:pPr>
      <w:r>
        <w:rPr>
          <w:sz w:val="16"/>
        </w:rPr>
        <w:t>Purchase of treasury </w:t>
      </w:r>
      <w:r>
        <w:rPr>
          <w:spacing w:val="-2"/>
          <w:sz w:val="16"/>
        </w:rPr>
        <w:t>stock</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(8,104)</w:t>
      </w:r>
      <w:r>
        <w:rPr>
          <w:sz w:val="16"/>
        </w:rPr>
        <w:tab/>
      </w:r>
      <w:r>
        <w:rPr>
          <w:spacing w:val="-2"/>
          <w:sz w:val="16"/>
        </w:rPr>
        <w:t>(625,000)</w:t>
      </w:r>
      <w:r>
        <w:rPr>
          <w:sz w:val="16"/>
        </w:rPr>
        <w:tab/>
      </w:r>
      <w:r>
        <w:rPr>
          <w:spacing w:val="-2"/>
          <w:sz w:val="16"/>
        </w:rPr>
        <w:t>(625,000)</w:t>
      </w:r>
    </w:p>
    <w:p>
      <w:pPr>
        <w:pStyle w:val="BodyText"/>
        <w:rPr>
          <w:sz w:val="16"/>
        </w:rPr>
      </w:pPr>
    </w:p>
    <w:p>
      <w:pPr>
        <w:pStyle w:val="BodyText"/>
        <w:spacing w:before="148"/>
        <w:rPr>
          <w:sz w:val="16"/>
        </w:rPr>
      </w:pPr>
    </w:p>
    <w:p>
      <w:pPr>
        <w:tabs>
          <w:tab w:pos="3385" w:val="left" w:leader="none"/>
          <w:tab w:pos="4285" w:val="left" w:leader="none"/>
          <w:tab w:pos="4864" w:val="left" w:leader="none"/>
          <w:tab w:pos="6205" w:val="left" w:leader="none"/>
          <w:tab w:pos="7485" w:val="left" w:leader="none"/>
          <w:tab w:pos="8425" w:val="left" w:leader="none"/>
          <w:tab w:pos="9385" w:val="left" w:leader="none"/>
          <w:tab w:pos="9984" w:val="left" w:leader="none"/>
        </w:tabs>
        <w:spacing w:before="0"/>
        <w:ind w:left="280" w:right="0" w:firstLine="0"/>
        <w:jc w:val="left"/>
        <w:rPr>
          <w:sz w:val="16"/>
        </w:rPr>
      </w:pPr>
      <w:r>
        <w:rPr>
          <w:sz w:val="16"/>
        </w:rPr>
        <w:t>Stock-based </w:t>
      </w:r>
      <w:r>
        <w:rPr>
          <w:spacing w:val="-2"/>
          <w:sz w:val="16"/>
        </w:rPr>
        <w:t>compensation</w:t>
      </w:r>
      <w:r>
        <w:rPr>
          <w:sz w:val="16"/>
        </w:rPr>
        <w:tab/>
      </w:r>
      <w:r>
        <w:rPr>
          <w:spacing w:val="-10"/>
          <w:sz w:val="16"/>
        </w:rPr>
        <w:t>—</w:t>
      </w:r>
      <w:r>
        <w:rPr>
          <w:sz w:val="16"/>
        </w:rPr>
        <w:tab/>
      </w:r>
      <w:r>
        <w:rPr>
          <w:spacing w:val="-10"/>
          <w:sz w:val="16"/>
        </w:rPr>
        <w:t>—</w:t>
      </w:r>
      <w:r>
        <w:rPr>
          <w:sz w:val="16"/>
        </w:rPr>
        <w:tab/>
      </w:r>
      <w:r>
        <w:rPr>
          <w:spacing w:val="-2"/>
          <w:sz w:val="16"/>
        </w:rPr>
        <w:t>337,578</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337,578</w:t>
      </w:r>
    </w:p>
    <w:p>
      <w:pPr>
        <w:pStyle w:val="BodyText"/>
        <w:rPr>
          <w:sz w:val="16"/>
        </w:rPr>
      </w:pPr>
    </w:p>
    <w:p>
      <w:pPr>
        <w:pStyle w:val="BodyText"/>
        <w:spacing w:before="148"/>
        <w:rPr>
          <w:sz w:val="16"/>
        </w:rPr>
      </w:pPr>
    </w:p>
    <w:p>
      <w:pPr>
        <w:tabs>
          <w:tab w:pos="3024" w:val="left" w:leader="none"/>
          <w:tab w:pos="4285" w:val="left" w:leader="none"/>
          <w:tab w:pos="7071" w:val="left" w:leader="none"/>
          <w:tab w:pos="8011" w:val="left" w:leader="none"/>
        </w:tabs>
        <w:spacing w:before="1"/>
        <w:ind w:left="280" w:right="0" w:firstLine="0"/>
        <w:jc w:val="left"/>
        <w:rPr>
          <w:sz w:val="16"/>
        </w:rPr>
      </w:pPr>
      <w:r>
        <w:rPr/>
        <mc:AlternateContent>
          <mc:Choice Requires="wps">
            <w:drawing>
              <wp:anchor distT="0" distB="0" distL="0" distR="0" allowOverlap="1" layoutInCell="1" locked="0" behindDoc="1" simplePos="0" relativeHeight="487634944">
                <wp:simplePos x="0" y="0"/>
                <wp:positionH relativeFrom="page">
                  <wp:posOffset>641350</wp:posOffset>
                </wp:positionH>
                <wp:positionV relativeFrom="paragraph">
                  <wp:posOffset>149338</wp:posOffset>
                </wp:positionV>
                <wp:extent cx="6565900" cy="177800"/>
                <wp:effectExtent l="0" t="0" r="0" b="0"/>
                <wp:wrapTopAndBottom/>
                <wp:docPr id="332" name="Textbox 332"/>
                <wp:cNvGraphicFramePr>
                  <a:graphicFrameLocks/>
                </wp:cNvGraphicFramePr>
                <a:graphic>
                  <a:graphicData uri="http://schemas.microsoft.com/office/word/2010/wordprocessingShape">
                    <wps:wsp>
                      <wps:cNvPr id="332" name="Textbox 332"/>
                      <wps:cNvSpPr txBox="1"/>
                      <wps:spPr>
                        <a:xfrm>
                          <a:off x="0" y="0"/>
                          <a:ext cx="6565900" cy="177800"/>
                        </a:xfrm>
                        <a:prstGeom prst="rect">
                          <a:avLst/>
                        </a:prstGeom>
                        <a:solidFill>
                          <a:srgbClr val="CCEDFF"/>
                        </a:solidFill>
                      </wps:spPr>
                      <wps:txbx>
                        <w:txbxContent>
                          <w:p>
                            <w:pPr>
                              <w:tabs>
                                <w:tab w:pos="3155" w:val="left" w:leader="none"/>
                                <w:tab w:pos="4055" w:val="left" w:leader="none"/>
                                <w:tab w:pos="4995" w:val="left" w:leader="none"/>
                                <w:tab w:pos="5494" w:val="left" w:leader="none"/>
                                <w:tab w:pos="7255" w:val="left" w:leader="none"/>
                                <w:tab w:pos="8195" w:val="left" w:leader="none"/>
                                <w:tab w:pos="9155" w:val="left" w:leader="none"/>
                                <w:tab w:pos="9634" w:val="left" w:leader="none"/>
                              </w:tabs>
                              <w:spacing w:before="45"/>
                              <w:ind w:left="50" w:right="0" w:firstLine="0"/>
                              <w:jc w:val="left"/>
                              <w:rPr>
                                <w:color w:val="000000"/>
                                <w:sz w:val="16"/>
                              </w:rPr>
                            </w:pPr>
                            <w:r>
                              <w:rPr>
                                <w:color w:val="000000"/>
                                <w:sz w:val="16"/>
                              </w:rPr>
                              <w:t>Net </w:t>
                            </w:r>
                            <w:r>
                              <w:rPr>
                                <w:color w:val="000000"/>
                                <w:spacing w:val="-2"/>
                                <w:sz w:val="16"/>
                              </w:rPr>
                              <w:t>income</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1,168,782</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1,168,782</w:t>
                            </w:r>
                          </w:p>
                        </w:txbxContent>
                      </wps:txbx>
                      <wps:bodyPr wrap="square" lIns="0" tIns="0" rIns="0" bIns="0" rtlCol="0">
                        <a:noAutofit/>
                      </wps:bodyPr>
                    </wps:wsp>
                  </a:graphicData>
                </a:graphic>
              </wp:anchor>
            </w:drawing>
          </mc:Choice>
          <mc:Fallback>
            <w:pict>
              <v:shape style="position:absolute;margin-left:50.5pt;margin-top:11.758911pt;width:517pt;height:14pt;mso-position-horizontal-relative:page;mso-position-vertical-relative:paragraph;z-index:-15681536;mso-wrap-distance-left:0;mso-wrap-distance-right:0" type="#_x0000_t202" id="docshape271" filled="true" fillcolor="#ccedff" stroked="false">
                <v:textbox inset="0,0,0,0">
                  <w:txbxContent>
                    <w:p>
                      <w:pPr>
                        <w:tabs>
                          <w:tab w:pos="3155" w:val="left" w:leader="none"/>
                          <w:tab w:pos="4055" w:val="left" w:leader="none"/>
                          <w:tab w:pos="4995" w:val="left" w:leader="none"/>
                          <w:tab w:pos="5494" w:val="left" w:leader="none"/>
                          <w:tab w:pos="7255" w:val="left" w:leader="none"/>
                          <w:tab w:pos="8195" w:val="left" w:leader="none"/>
                          <w:tab w:pos="9155" w:val="left" w:leader="none"/>
                          <w:tab w:pos="9634" w:val="left" w:leader="none"/>
                        </w:tabs>
                        <w:spacing w:before="45"/>
                        <w:ind w:left="50" w:right="0" w:firstLine="0"/>
                        <w:jc w:val="left"/>
                        <w:rPr>
                          <w:color w:val="000000"/>
                          <w:sz w:val="16"/>
                        </w:rPr>
                      </w:pPr>
                      <w:r>
                        <w:rPr>
                          <w:color w:val="000000"/>
                          <w:sz w:val="16"/>
                        </w:rPr>
                        <w:t>Net </w:t>
                      </w:r>
                      <w:r>
                        <w:rPr>
                          <w:color w:val="000000"/>
                          <w:spacing w:val="-2"/>
                          <w:sz w:val="16"/>
                        </w:rPr>
                        <w:t>income</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1,168,782</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1,168,782</w:t>
                      </w:r>
                    </w:p>
                  </w:txbxContent>
                </v:textbox>
                <v:fill type="solid"/>
                <w10:wrap type="topAndBottom"/>
              </v:shape>
            </w:pict>
          </mc:Fallback>
        </mc:AlternateContent>
      </w:r>
      <w:r>
        <w:rPr>
          <w:sz w:val="16"/>
        </w:rPr>
        <w:t>Balances</w:t>
      </w:r>
      <w:r>
        <w:rPr>
          <w:spacing w:val="-5"/>
          <w:sz w:val="16"/>
        </w:rPr>
        <w:t> </w:t>
      </w:r>
      <w:r>
        <w:rPr>
          <w:sz w:val="16"/>
        </w:rPr>
        <w:t>at</w:t>
      </w:r>
      <w:r>
        <w:rPr>
          <w:spacing w:val="-2"/>
          <w:sz w:val="16"/>
        </w:rPr>
        <w:t> </w:t>
      </w:r>
      <w:r>
        <w:rPr>
          <w:sz w:val="16"/>
        </w:rPr>
        <w:t>November</w:t>
      </w:r>
      <w:r>
        <w:rPr>
          <w:spacing w:val="-2"/>
          <w:sz w:val="16"/>
        </w:rPr>
        <w:t> </w:t>
      </w:r>
      <w:r>
        <w:rPr>
          <w:sz w:val="16"/>
        </w:rPr>
        <w:t>27,</w:t>
      </w:r>
      <w:r>
        <w:rPr>
          <w:spacing w:val="-1"/>
          <w:sz w:val="16"/>
        </w:rPr>
        <w:t> </w:t>
      </w:r>
      <w:r>
        <w:rPr>
          <w:spacing w:val="-4"/>
          <w:sz w:val="16"/>
        </w:rPr>
        <w:t>2015</w:t>
      </w:r>
      <w:r>
        <w:rPr>
          <w:sz w:val="16"/>
        </w:rPr>
        <w:tab/>
        <w:t>600,834</w:t>
      </w:r>
      <w:r>
        <w:rPr>
          <w:spacing w:val="57"/>
          <w:sz w:val="16"/>
        </w:rPr>
        <w:t>  </w:t>
      </w:r>
      <w:r>
        <w:rPr>
          <w:spacing w:val="-10"/>
          <w:sz w:val="16"/>
        </w:rPr>
        <w:t>$</w:t>
      </w:r>
      <w:r>
        <w:rPr>
          <w:sz w:val="16"/>
        </w:rPr>
        <w:tab/>
        <w:t>61</w:t>
      </w:r>
      <w:r>
        <w:rPr>
          <w:spacing w:val="57"/>
          <w:sz w:val="16"/>
        </w:rPr>
        <w:t>  </w:t>
      </w:r>
      <w:r>
        <w:rPr>
          <w:sz w:val="16"/>
        </w:rPr>
        <w:t>$</w:t>
      </w:r>
      <w:r>
        <w:rPr>
          <w:spacing w:val="-15"/>
          <w:sz w:val="16"/>
        </w:rPr>
        <w:t> </w:t>
      </w:r>
      <w:r>
        <w:rPr>
          <w:sz w:val="16"/>
        </w:rPr>
        <w:t>4,184,883</w:t>
      </w:r>
      <w:r>
        <w:rPr>
          <w:spacing w:val="57"/>
          <w:sz w:val="16"/>
        </w:rPr>
        <w:t>  </w:t>
      </w:r>
      <w:r>
        <w:rPr>
          <w:sz w:val="16"/>
        </w:rPr>
        <w:t>$</w:t>
      </w:r>
      <w:r>
        <w:rPr>
          <w:spacing w:val="26"/>
          <w:sz w:val="16"/>
        </w:rPr>
        <w:t> </w:t>
      </w:r>
      <w:r>
        <w:rPr>
          <w:sz w:val="16"/>
        </w:rPr>
        <w:t>7,253,431</w:t>
      </w:r>
      <w:r>
        <w:rPr>
          <w:spacing w:val="57"/>
          <w:sz w:val="16"/>
        </w:rPr>
        <w:t>  </w:t>
      </w:r>
      <w:r>
        <w:rPr>
          <w:spacing w:val="-10"/>
          <w:sz w:val="16"/>
        </w:rPr>
        <w:t>$</w:t>
      </w:r>
      <w:r>
        <w:rPr>
          <w:sz w:val="16"/>
        </w:rPr>
        <w:tab/>
      </w:r>
      <w:r>
        <w:rPr>
          <w:spacing w:val="-2"/>
          <w:sz w:val="16"/>
        </w:rPr>
        <w:t>(169,080)</w:t>
      </w:r>
      <w:r>
        <w:rPr>
          <w:sz w:val="16"/>
        </w:rPr>
        <w:tab/>
        <w:t>(103,025)</w:t>
      </w:r>
      <w:r>
        <w:rPr>
          <w:spacing w:val="76"/>
          <w:w w:val="150"/>
          <w:sz w:val="16"/>
        </w:rPr>
        <w:t> </w:t>
      </w:r>
      <w:r>
        <w:rPr>
          <w:sz w:val="16"/>
        </w:rPr>
        <w:t>$(4,267,715)</w:t>
      </w:r>
      <w:r>
        <w:rPr>
          <w:spacing w:val="77"/>
          <w:w w:val="150"/>
          <w:sz w:val="16"/>
        </w:rPr>
        <w:t> </w:t>
      </w:r>
      <w:r>
        <w:rPr>
          <w:sz w:val="16"/>
        </w:rPr>
        <w:t>$</w:t>
      </w:r>
      <w:r>
        <w:rPr>
          <w:spacing w:val="4"/>
          <w:sz w:val="16"/>
        </w:rPr>
        <w:t> </w:t>
      </w:r>
      <w:r>
        <w:rPr>
          <w:spacing w:val="-2"/>
          <w:sz w:val="16"/>
        </w:rPr>
        <w:t>7,001,580</w:t>
      </w:r>
    </w:p>
    <w:p>
      <w:pPr>
        <w:spacing w:line="167" w:lineRule="exact" w:before="11"/>
        <w:ind w:left="280" w:right="0" w:firstLine="0"/>
        <w:jc w:val="left"/>
        <w:rPr>
          <w:sz w:val="16"/>
        </w:rPr>
      </w:pPr>
      <w:r>
        <w:rPr>
          <w:sz w:val="16"/>
        </w:rPr>
        <w:t>Other comprehensive </w:t>
      </w:r>
      <w:r>
        <w:rPr>
          <w:spacing w:val="-2"/>
          <w:sz w:val="16"/>
        </w:rPr>
        <w:t>income</w:t>
      </w:r>
    </w:p>
    <w:p>
      <w:pPr>
        <w:tabs>
          <w:tab w:pos="3385" w:val="left" w:leader="none"/>
          <w:tab w:pos="4285" w:val="left" w:leader="none"/>
          <w:tab w:pos="5225" w:val="left" w:leader="none"/>
          <w:tab w:pos="6205" w:val="left" w:leader="none"/>
          <w:tab w:pos="7231" w:val="left" w:leader="none"/>
          <w:tab w:pos="8425" w:val="left" w:leader="none"/>
          <w:tab w:pos="9385" w:val="left" w:leader="none"/>
          <w:tab w:pos="10091" w:val="left" w:leader="none"/>
        </w:tabs>
        <w:spacing w:line="177" w:lineRule="exact" w:before="0"/>
        <w:ind w:left="280" w:right="0" w:firstLine="0"/>
        <w:jc w:val="left"/>
        <w:rPr>
          <w:sz w:val="16"/>
        </w:rPr>
      </w:pPr>
      <w:r>
        <w:rPr>
          <w:sz w:val="16"/>
        </w:rPr>
        <w:t>(losses), net of </w:t>
      </w:r>
      <w:r>
        <w:rPr>
          <w:spacing w:val="-2"/>
          <w:sz w:val="16"/>
        </w:rPr>
        <w:t>taxes</w:t>
      </w:r>
      <w:r>
        <w:rPr>
          <w:sz w:val="16"/>
        </w:rPr>
        <w:tab/>
      </w:r>
      <w:r>
        <w:rPr>
          <w:spacing w:val="-10"/>
          <w:position w:val="1"/>
          <w:sz w:val="16"/>
        </w:rPr>
        <w:t>—</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2"/>
          <w:position w:val="1"/>
          <w:sz w:val="16"/>
        </w:rPr>
        <w:t>(4,522)</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2"/>
          <w:position w:val="1"/>
          <w:sz w:val="16"/>
        </w:rPr>
        <w:t>(4,522)</w:t>
      </w:r>
    </w:p>
    <w:p>
      <w:pPr>
        <w:pStyle w:val="BodyText"/>
        <w:rPr>
          <w:sz w:val="16"/>
        </w:rPr>
      </w:pPr>
    </w:p>
    <w:p>
      <w:pPr>
        <w:pStyle w:val="BodyText"/>
        <w:spacing w:before="88"/>
        <w:rPr>
          <w:sz w:val="16"/>
        </w:rPr>
      </w:pPr>
    </w:p>
    <w:p>
      <w:pPr>
        <w:spacing w:line="167" w:lineRule="exact" w:before="0"/>
        <w:ind w:left="280" w:right="0" w:firstLine="0"/>
        <w:jc w:val="left"/>
        <w:rPr>
          <w:sz w:val="16"/>
        </w:rPr>
      </w:pPr>
      <w:r>
        <w:rPr>
          <w:sz w:val="16"/>
        </w:rPr>
        <w:t>Tax</w:t>
      </w:r>
      <w:r>
        <w:rPr>
          <w:spacing w:val="-3"/>
          <w:sz w:val="16"/>
        </w:rPr>
        <w:t> </w:t>
      </w:r>
      <w:r>
        <w:rPr>
          <w:sz w:val="16"/>
        </w:rPr>
        <w:t>benefit</w:t>
      </w:r>
      <w:r>
        <w:rPr>
          <w:spacing w:val="-3"/>
          <w:sz w:val="16"/>
        </w:rPr>
        <w:t> </w:t>
      </w:r>
      <w:r>
        <w:rPr>
          <w:sz w:val="16"/>
        </w:rPr>
        <w:t>from</w:t>
      </w:r>
      <w:r>
        <w:rPr>
          <w:spacing w:val="-3"/>
          <w:sz w:val="16"/>
        </w:rPr>
        <w:t> </w:t>
      </w:r>
      <w:r>
        <w:rPr>
          <w:sz w:val="16"/>
        </w:rPr>
        <w:t>employee</w:t>
      </w:r>
      <w:r>
        <w:rPr>
          <w:spacing w:val="-3"/>
          <w:sz w:val="16"/>
        </w:rPr>
        <w:t> </w:t>
      </w:r>
      <w:r>
        <w:rPr>
          <w:spacing w:val="-2"/>
          <w:sz w:val="16"/>
        </w:rPr>
        <w:t>stock</w:t>
      </w:r>
    </w:p>
    <w:p>
      <w:pPr>
        <w:tabs>
          <w:tab w:pos="3385" w:val="left" w:leader="none"/>
          <w:tab w:pos="4285" w:val="left" w:leader="none"/>
          <w:tab w:pos="4944" w:val="left" w:leader="none"/>
          <w:tab w:pos="6205" w:val="left" w:leader="none"/>
          <w:tab w:pos="7485" w:val="left" w:leader="none"/>
          <w:tab w:pos="8425" w:val="left" w:leader="none"/>
          <w:tab w:pos="9385" w:val="left" w:leader="none"/>
          <w:tab w:pos="10064" w:val="left" w:leader="none"/>
        </w:tabs>
        <w:spacing w:line="177" w:lineRule="exact" w:before="0"/>
        <w:ind w:left="460" w:right="0" w:firstLine="0"/>
        <w:jc w:val="left"/>
        <w:rPr>
          <w:sz w:val="16"/>
        </w:rPr>
      </w:pPr>
      <w:r>
        <w:rPr/>
        <mc:AlternateContent>
          <mc:Choice Requires="wps">
            <w:drawing>
              <wp:anchor distT="0" distB="0" distL="0" distR="0" allowOverlap="1" layoutInCell="1" locked="0" behindDoc="1" simplePos="0" relativeHeight="487635456">
                <wp:simplePos x="0" y="0"/>
                <wp:positionH relativeFrom="page">
                  <wp:posOffset>641350</wp:posOffset>
                </wp:positionH>
                <wp:positionV relativeFrom="paragraph">
                  <wp:posOffset>141004</wp:posOffset>
                </wp:positionV>
                <wp:extent cx="6565900" cy="177800"/>
                <wp:effectExtent l="0" t="0" r="0" b="0"/>
                <wp:wrapTopAndBottom/>
                <wp:docPr id="333" name="Textbox 333"/>
                <wp:cNvGraphicFramePr>
                  <a:graphicFrameLocks/>
                </wp:cNvGraphicFramePr>
                <a:graphic>
                  <a:graphicData uri="http://schemas.microsoft.com/office/word/2010/wordprocessingShape">
                    <wps:wsp>
                      <wps:cNvPr id="333" name="Textbox 333"/>
                      <wps:cNvSpPr txBox="1"/>
                      <wps:spPr>
                        <a:xfrm>
                          <a:off x="0" y="0"/>
                          <a:ext cx="6565900" cy="177800"/>
                        </a:xfrm>
                        <a:prstGeom prst="rect">
                          <a:avLst/>
                        </a:prstGeom>
                        <a:solidFill>
                          <a:srgbClr val="CCEDFF"/>
                        </a:solidFill>
                      </wps:spPr>
                      <wps:txbx>
                        <w:txbxContent>
                          <w:p>
                            <w:pPr>
                              <w:tabs>
                                <w:tab w:pos="3155" w:val="left" w:leader="none"/>
                                <w:tab w:pos="4055" w:val="left" w:leader="none"/>
                                <w:tab w:pos="4995" w:val="left" w:leader="none"/>
                                <w:tab w:pos="5975" w:val="left" w:leader="none"/>
                                <w:tab w:pos="7255" w:val="left" w:leader="none"/>
                                <w:tab w:pos="7861" w:val="left" w:leader="none"/>
                                <w:tab w:pos="8621" w:val="left" w:leader="none"/>
                                <w:tab w:pos="9581" w:val="left" w:leader="none"/>
                              </w:tabs>
                              <w:spacing w:before="45"/>
                              <w:ind w:left="50" w:right="0" w:firstLine="0"/>
                              <w:jc w:val="left"/>
                              <w:rPr>
                                <w:color w:val="000000"/>
                                <w:sz w:val="16"/>
                              </w:rPr>
                            </w:pPr>
                            <w:r>
                              <w:rPr>
                                <w:color w:val="000000"/>
                                <w:sz w:val="16"/>
                              </w:rPr>
                              <w:t>Purchase of treasury </w:t>
                            </w:r>
                            <w:r>
                              <w:rPr>
                                <w:color w:val="000000"/>
                                <w:spacing w:val="-2"/>
                                <w:sz w:val="16"/>
                              </w:rPr>
                              <w:t>stock</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(10,427)</w:t>
                            </w:r>
                            <w:r>
                              <w:rPr>
                                <w:color w:val="000000"/>
                                <w:sz w:val="16"/>
                              </w:rPr>
                              <w:tab/>
                            </w:r>
                            <w:r>
                              <w:rPr>
                                <w:color w:val="000000"/>
                                <w:spacing w:val="-2"/>
                                <w:sz w:val="16"/>
                              </w:rPr>
                              <w:t>(1,075,000)</w:t>
                            </w:r>
                            <w:r>
                              <w:rPr>
                                <w:color w:val="000000"/>
                                <w:sz w:val="16"/>
                              </w:rPr>
                              <w:tab/>
                            </w:r>
                            <w:r>
                              <w:rPr>
                                <w:color w:val="000000"/>
                                <w:spacing w:val="-2"/>
                                <w:sz w:val="16"/>
                              </w:rPr>
                              <w:t>(1,075,000)</w:t>
                            </w:r>
                          </w:p>
                        </w:txbxContent>
                      </wps:txbx>
                      <wps:bodyPr wrap="square" lIns="0" tIns="0" rIns="0" bIns="0" rtlCol="0">
                        <a:noAutofit/>
                      </wps:bodyPr>
                    </wps:wsp>
                  </a:graphicData>
                </a:graphic>
              </wp:anchor>
            </w:drawing>
          </mc:Choice>
          <mc:Fallback>
            <w:pict>
              <v:shape style="position:absolute;margin-left:50.5pt;margin-top:11.102735pt;width:517pt;height:14pt;mso-position-horizontal-relative:page;mso-position-vertical-relative:paragraph;z-index:-15681024;mso-wrap-distance-left:0;mso-wrap-distance-right:0" type="#_x0000_t202" id="docshape272" filled="true" fillcolor="#ccedff" stroked="false">
                <v:textbox inset="0,0,0,0">
                  <w:txbxContent>
                    <w:p>
                      <w:pPr>
                        <w:tabs>
                          <w:tab w:pos="3155" w:val="left" w:leader="none"/>
                          <w:tab w:pos="4055" w:val="left" w:leader="none"/>
                          <w:tab w:pos="4995" w:val="left" w:leader="none"/>
                          <w:tab w:pos="5975" w:val="left" w:leader="none"/>
                          <w:tab w:pos="7255" w:val="left" w:leader="none"/>
                          <w:tab w:pos="7861" w:val="left" w:leader="none"/>
                          <w:tab w:pos="8621" w:val="left" w:leader="none"/>
                          <w:tab w:pos="9581" w:val="left" w:leader="none"/>
                        </w:tabs>
                        <w:spacing w:before="45"/>
                        <w:ind w:left="50" w:right="0" w:firstLine="0"/>
                        <w:jc w:val="left"/>
                        <w:rPr>
                          <w:color w:val="000000"/>
                          <w:sz w:val="16"/>
                        </w:rPr>
                      </w:pPr>
                      <w:r>
                        <w:rPr>
                          <w:color w:val="000000"/>
                          <w:sz w:val="16"/>
                        </w:rPr>
                        <w:t>Purchase of treasury </w:t>
                      </w:r>
                      <w:r>
                        <w:rPr>
                          <w:color w:val="000000"/>
                          <w:spacing w:val="-2"/>
                          <w:sz w:val="16"/>
                        </w:rPr>
                        <w:t>stock</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(10,427)</w:t>
                      </w:r>
                      <w:r>
                        <w:rPr>
                          <w:color w:val="000000"/>
                          <w:sz w:val="16"/>
                        </w:rPr>
                        <w:tab/>
                      </w:r>
                      <w:r>
                        <w:rPr>
                          <w:color w:val="000000"/>
                          <w:spacing w:val="-2"/>
                          <w:sz w:val="16"/>
                        </w:rPr>
                        <w:t>(1,075,000)</w:t>
                      </w:r>
                      <w:r>
                        <w:rPr>
                          <w:color w:val="000000"/>
                          <w:sz w:val="16"/>
                        </w:rPr>
                        <w:tab/>
                      </w:r>
                      <w:r>
                        <w:rPr>
                          <w:color w:val="000000"/>
                          <w:spacing w:val="-2"/>
                          <w:sz w:val="16"/>
                        </w:rPr>
                        <w:t>(1,075,000)</w:t>
                      </w:r>
                    </w:p>
                  </w:txbxContent>
                </v:textbox>
                <v:fill type="solid"/>
                <w10:wrap type="topAndBottom"/>
              </v:shape>
            </w:pict>
          </mc:Fallback>
        </mc:AlternateContent>
      </w:r>
      <w:r>
        <w:rPr>
          <w:spacing w:val="-2"/>
          <w:sz w:val="16"/>
        </w:rPr>
        <w:t>plans</w:t>
      </w:r>
      <w:r>
        <w:rPr>
          <w:sz w:val="16"/>
        </w:rPr>
        <w:tab/>
      </w:r>
      <w:r>
        <w:rPr>
          <w:spacing w:val="-10"/>
          <w:position w:val="1"/>
          <w:sz w:val="16"/>
        </w:rPr>
        <w:t>—</w:t>
      </w:r>
      <w:r>
        <w:rPr>
          <w:position w:val="1"/>
          <w:sz w:val="16"/>
        </w:rPr>
        <w:tab/>
      </w:r>
      <w:r>
        <w:rPr>
          <w:spacing w:val="-10"/>
          <w:position w:val="1"/>
          <w:sz w:val="16"/>
        </w:rPr>
        <w:t>—</w:t>
      </w:r>
      <w:r>
        <w:rPr>
          <w:position w:val="1"/>
          <w:sz w:val="16"/>
        </w:rPr>
        <w:tab/>
      </w:r>
      <w:r>
        <w:rPr>
          <w:spacing w:val="-2"/>
          <w:position w:val="1"/>
          <w:sz w:val="16"/>
        </w:rPr>
        <w:t>75,102</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2"/>
          <w:position w:val="1"/>
          <w:sz w:val="16"/>
        </w:rPr>
        <w:t>75,102</w:t>
      </w:r>
    </w:p>
    <w:p>
      <w:pPr>
        <w:tabs>
          <w:tab w:pos="3385" w:val="left" w:leader="none"/>
          <w:tab w:pos="4285" w:val="left" w:leader="none"/>
          <w:tab w:pos="4864" w:val="left" w:leader="none"/>
          <w:tab w:pos="6205" w:val="left" w:leader="none"/>
          <w:tab w:pos="7485" w:val="left" w:leader="none"/>
          <w:tab w:pos="8425" w:val="left" w:leader="none"/>
          <w:tab w:pos="9385" w:val="left" w:leader="none"/>
          <w:tab w:pos="9984" w:val="left" w:leader="none"/>
        </w:tabs>
        <w:spacing w:before="45"/>
        <w:ind w:left="280" w:right="0" w:firstLine="0"/>
        <w:jc w:val="left"/>
        <w:rPr>
          <w:sz w:val="16"/>
        </w:rPr>
      </w:pPr>
      <w:r>
        <w:rPr>
          <w:sz w:val="16"/>
        </w:rPr>
        <w:t>Stock-based </w:t>
      </w:r>
      <w:r>
        <w:rPr>
          <w:spacing w:val="-2"/>
          <w:sz w:val="16"/>
        </w:rPr>
        <w:t>compensation</w:t>
      </w:r>
      <w:r>
        <w:rPr>
          <w:sz w:val="16"/>
        </w:rPr>
        <w:tab/>
      </w:r>
      <w:r>
        <w:rPr>
          <w:spacing w:val="-10"/>
          <w:sz w:val="16"/>
        </w:rPr>
        <w:t>—</w:t>
      </w:r>
      <w:r>
        <w:rPr>
          <w:sz w:val="16"/>
        </w:rPr>
        <w:tab/>
      </w:r>
      <w:r>
        <w:rPr>
          <w:spacing w:val="-10"/>
          <w:sz w:val="16"/>
        </w:rPr>
        <w:t>—</w:t>
      </w:r>
      <w:r>
        <w:rPr>
          <w:sz w:val="16"/>
        </w:rPr>
        <w:tab/>
      </w:r>
      <w:r>
        <w:rPr>
          <w:spacing w:val="-2"/>
          <w:sz w:val="16"/>
        </w:rPr>
        <w:t>348,981</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348,981</w:t>
      </w:r>
    </w:p>
    <w:p>
      <w:pPr>
        <w:pStyle w:val="BodyText"/>
        <w:rPr>
          <w:sz w:val="16"/>
        </w:rPr>
      </w:pPr>
    </w:p>
    <w:p>
      <w:pPr>
        <w:pStyle w:val="BodyText"/>
        <w:spacing w:before="148"/>
        <w:rPr>
          <w:sz w:val="16"/>
        </w:rPr>
      </w:pPr>
    </w:p>
    <w:p>
      <w:pPr>
        <w:tabs>
          <w:tab w:pos="3024" w:val="left" w:leader="none"/>
          <w:tab w:pos="4285" w:val="left" w:leader="none"/>
          <w:tab w:pos="7071" w:val="left" w:leader="none"/>
          <w:tab w:pos="8011" w:val="left" w:leader="none"/>
        </w:tabs>
        <w:spacing w:before="0"/>
        <w:ind w:left="280" w:right="0" w:firstLine="0"/>
        <w:jc w:val="left"/>
        <w:rPr>
          <w:sz w:val="16"/>
        </w:rPr>
      </w:pPr>
      <w:r>
        <w:rPr/>
        <mc:AlternateContent>
          <mc:Choice Requires="wps">
            <w:drawing>
              <wp:anchor distT="0" distB="0" distL="0" distR="0" allowOverlap="1" layoutInCell="1" locked="0" behindDoc="1" simplePos="0" relativeHeight="487635968">
                <wp:simplePos x="0" y="0"/>
                <wp:positionH relativeFrom="page">
                  <wp:posOffset>641350</wp:posOffset>
                </wp:positionH>
                <wp:positionV relativeFrom="paragraph">
                  <wp:posOffset>149254</wp:posOffset>
                </wp:positionV>
                <wp:extent cx="6565900" cy="177800"/>
                <wp:effectExtent l="0" t="0" r="0" b="0"/>
                <wp:wrapTopAndBottom/>
                <wp:docPr id="334" name="Textbox 334"/>
                <wp:cNvGraphicFramePr>
                  <a:graphicFrameLocks/>
                </wp:cNvGraphicFramePr>
                <a:graphic>
                  <a:graphicData uri="http://schemas.microsoft.com/office/word/2010/wordprocessingShape">
                    <wps:wsp>
                      <wps:cNvPr id="334" name="Textbox 334"/>
                      <wps:cNvSpPr txBox="1"/>
                      <wps:spPr>
                        <a:xfrm>
                          <a:off x="0" y="0"/>
                          <a:ext cx="6565900" cy="177800"/>
                        </a:xfrm>
                        <a:prstGeom prst="rect">
                          <a:avLst/>
                        </a:prstGeom>
                        <a:solidFill>
                          <a:srgbClr val="CCEDFF"/>
                        </a:solidFill>
                      </wps:spPr>
                      <wps:txbx>
                        <w:txbxContent>
                          <w:p>
                            <w:pPr>
                              <w:tabs>
                                <w:tab w:pos="3155" w:val="left" w:leader="none"/>
                                <w:tab w:pos="4055" w:val="left" w:leader="none"/>
                                <w:tab w:pos="4995" w:val="left" w:leader="none"/>
                                <w:tab w:pos="5494" w:val="left" w:leader="none"/>
                                <w:tab w:pos="7255" w:val="left" w:leader="none"/>
                                <w:tab w:pos="8195" w:val="left" w:leader="none"/>
                                <w:tab w:pos="9155" w:val="left" w:leader="none"/>
                                <w:tab w:pos="9634" w:val="left" w:leader="none"/>
                              </w:tabs>
                              <w:spacing w:before="45"/>
                              <w:ind w:left="50" w:right="0" w:firstLine="0"/>
                              <w:jc w:val="left"/>
                              <w:rPr>
                                <w:color w:val="000000"/>
                                <w:sz w:val="16"/>
                              </w:rPr>
                            </w:pPr>
                            <w:r>
                              <w:rPr>
                                <w:color w:val="000000"/>
                                <w:sz w:val="16"/>
                              </w:rPr>
                              <w:t>Net </w:t>
                            </w:r>
                            <w:r>
                              <w:rPr>
                                <w:color w:val="000000"/>
                                <w:spacing w:val="-2"/>
                                <w:sz w:val="16"/>
                              </w:rPr>
                              <w:t>income</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1,693,954</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1,693,954</w:t>
                            </w:r>
                          </w:p>
                        </w:txbxContent>
                      </wps:txbx>
                      <wps:bodyPr wrap="square" lIns="0" tIns="0" rIns="0" bIns="0" rtlCol="0">
                        <a:noAutofit/>
                      </wps:bodyPr>
                    </wps:wsp>
                  </a:graphicData>
                </a:graphic>
              </wp:anchor>
            </w:drawing>
          </mc:Choice>
          <mc:Fallback>
            <w:pict>
              <v:shape style="position:absolute;margin-left:50.5pt;margin-top:11.752344pt;width:517pt;height:14pt;mso-position-horizontal-relative:page;mso-position-vertical-relative:paragraph;z-index:-15680512;mso-wrap-distance-left:0;mso-wrap-distance-right:0" type="#_x0000_t202" id="docshape273" filled="true" fillcolor="#ccedff" stroked="false">
                <v:textbox inset="0,0,0,0">
                  <w:txbxContent>
                    <w:p>
                      <w:pPr>
                        <w:tabs>
                          <w:tab w:pos="3155" w:val="left" w:leader="none"/>
                          <w:tab w:pos="4055" w:val="left" w:leader="none"/>
                          <w:tab w:pos="4995" w:val="left" w:leader="none"/>
                          <w:tab w:pos="5494" w:val="left" w:leader="none"/>
                          <w:tab w:pos="7255" w:val="left" w:leader="none"/>
                          <w:tab w:pos="8195" w:val="left" w:leader="none"/>
                          <w:tab w:pos="9155" w:val="left" w:leader="none"/>
                          <w:tab w:pos="9634" w:val="left" w:leader="none"/>
                        </w:tabs>
                        <w:spacing w:before="45"/>
                        <w:ind w:left="50" w:right="0" w:firstLine="0"/>
                        <w:jc w:val="left"/>
                        <w:rPr>
                          <w:color w:val="000000"/>
                          <w:sz w:val="16"/>
                        </w:rPr>
                      </w:pPr>
                      <w:r>
                        <w:rPr>
                          <w:color w:val="000000"/>
                          <w:sz w:val="16"/>
                        </w:rPr>
                        <w:t>Net </w:t>
                      </w:r>
                      <w:r>
                        <w:rPr>
                          <w:color w:val="000000"/>
                          <w:spacing w:val="-2"/>
                          <w:sz w:val="16"/>
                        </w:rPr>
                        <w:t>income</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1,693,954</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2"/>
                          <w:sz w:val="16"/>
                        </w:rPr>
                        <w:t>1,693,954</w:t>
                      </w:r>
                    </w:p>
                  </w:txbxContent>
                </v:textbox>
                <v:fill type="solid"/>
                <w10:wrap type="topAndBottom"/>
              </v:shape>
            </w:pict>
          </mc:Fallback>
        </mc:AlternateContent>
      </w:r>
      <w:r>
        <w:rPr>
          <w:sz w:val="16"/>
        </w:rPr>
        <w:t>Balances</w:t>
      </w:r>
      <w:r>
        <w:rPr>
          <w:spacing w:val="-5"/>
          <w:sz w:val="16"/>
        </w:rPr>
        <w:t> </w:t>
      </w:r>
      <w:r>
        <w:rPr>
          <w:sz w:val="16"/>
        </w:rPr>
        <w:t>at</w:t>
      </w:r>
      <w:r>
        <w:rPr>
          <w:spacing w:val="-2"/>
          <w:sz w:val="16"/>
        </w:rPr>
        <w:t> </w:t>
      </w:r>
      <w:r>
        <w:rPr>
          <w:sz w:val="16"/>
        </w:rPr>
        <w:t>December</w:t>
      </w:r>
      <w:r>
        <w:rPr>
          <w:spacing w:val="-2"/>
          <w:sz w:val="16"/>
        </w:rPr>
        <w:t> </w:t>
      </w:r>
      <w:r>
        <w:rPr>
          <w:sz w:val="16"/>
        </w:rPr>
        <w:t>2,</w:t>
      </w:r>
      <w:r>
        <w:rPr>
          <w:spacing w:val="-1"/>
          <w:sz w:val="16"/>
        </w:rPr>
        <w:t> </w:t>
      </w:r>
      <w:r>
        <w:rPr>
          <w:spacing w:val="-4"/>
          <w:sz w:val="16"/>
        </w:rPr>
        <w:t>2016</w:t>
      </w:r>
      <w:r>
        <w:rPr>
          <w:sz w:val="16"/>
        </w:rPr>
        <w:tab/>
        <w:t>600,834</w:t>
      </w:r>
      <w:r>
        <w:rPr>
          <w:spacing w:val="57"/>
          <w:sz w:val="16"/>
        </w:rPr>
        <w:t>  </w:t>
      </w:r>
      <w:r>
        <w:rPr>
          <w:spacing w:val="-10"/>
          <w:sz w:val="16"/>
        </w:rPr>
        <w:t>$</w:t>
      </w:r>
      <w:r>
        <w:rPr>
          <w:sz w:val="16"/>
        </w:rPr>
        <w:tab/>
        <w:t>61</w:t>
      </w:r>
      <w:r>
        <w:rPr>
          <w:spacing w:val="57"/>
          <w:sz w:val="16"/>
        </w:rPr>
        <w:t>  </w:t>
      </w:r>
      <w:r>
        <w:rPr>
          <w:sz w:val="16"/>
        </w:rPr>
        <w:t>$</w:t>
      </w:r>
      <w:r>
        <w:rPr>
          <w:spacing w:val="-15"/>
          <w:sz w:val="16"/>
        </w:rPr>
        <w:t> </w:t>
      </w:r>
      <w:r>
        <w:rPr>
          <w:sz w:val="16"/>
        </w:rPr>
        <w:t>4,616,331</w:t>
      </w:r>
      <w:r>
        <w:rPr>
          <w:spacing w:val="57"/>
          <w:sz w:val="16"/>
        </w:rPr>
        <w:t>  </w:t>
      </w:r>
      <w:r>
        <w:rPr>
          <w:sz w:val="16"/>
        </w:rPr>
        <w:t>$</w:t>
      </w:r>
      <w:r>
        <w:rPr>
          <w:spacing w:val="26"/>
          <w:sz w:val="16"/>
        </w:rPr>
        <w:t> </w:t>
      </w:r>
      <w:r>
        <w:rPr>
          <w:sz w:val="16"/>
        </w:rPr>
        <w:t>8,114,517</w:t>
      </w:r>
      <w:r>
        <w:rPr>
          <w:spacing w:val="57"/>
          <w:sz w:val="16"/>
        </w:rPr>
        <w:t>  </w:t>
      </w:r>
      <w:r>
        <w:rPr>
          <w:spacing w:val="-10"/>
          <w:sz w:val="16"/>
        </w:rPr>
        <w:t>$</w:t>
      </w:r>
      <w:r>
        <w:rPr>
          <w:sz w:val="16"/>
        </w:rPr>
        <w:tab/>
      </w:r>
      <w:r>
        <w:rPr>
          <w:spacing w:val="-2"/>
          <w:sz w:val="16"/>
        </w:rPr>
        <w:t>(173,602)</w:t>
      </w:r>
      <w:r>
        <w:rPr>
          <w:sz w:val="16"/>
        </w:rPr>
        <w:tab/>
        <w:t>(106,580)</w:t>
      </w:r>
      <w:r>
        <w:rPr>
          <w:spacing w:val="76"/>
          <w:w w:val="150"/>
          <w:sz w:val="16"/>
        </w:rPr>
        <w:t> </w:t>
      </w:r>
      <w:r>
        <w:rPr>
          <w:sz w:val="16"/>
        </w:rPr>
        <w:t>$(5,132,472)</w:t>
      </w:r>
      <w:r>
        <w:rPr>
          <w:spacing w:val="77"/>
          <w:w w:val="150"/>
          <w:sz w:val="16"/>
        </w:rPr>
        <w:t> </w:t>
      </w:r>
      <w:r>
        <w:rPr>
          <w:sz w:val="16"/>
        </w:rPr>
        <w:t>$</w:t>
      </w:r>
      <w:r>
        <w:rPr>
          <w:spacing w:val="4"/>
          <w:sz w:val="16"/>
        </w:rPr>
        <w:t> </w:t>
      </w:r>
      <w:r>
        <w:rPr>
          <w:spacing w:val="-2"/>
          <w:sz w:val="16"/>
        </w:rPr>
        <w:t>7,424,835</w:t>
      </w:r>
    </w:p>
    <w:p>
      <w:pPr>
        <w:spacing w:line="167" w:lineRule="exact" w:before="11"/>
        <w:ind w:left="280" w:right="0" w:firstLine="0"/>
        <w:jc w:val="left"/>
        <w:rPr>
          <w:sz w:val="16"/>
        </w:rPr>
      </w:pPr>
      <w:r>
        <w:rPr>
          <w:sz w:val="16"/>
        </w:rPr>
        <w:t>Other comprehensive </w:t>
      </w:r>
      <w:r>
        <w:rPr>
          <w:spacing w:val="-2"/>
          <w:sz w:val="16"/>
        </w:rPr>
        <w:t>income</w:t>
      </w:r>
    </w:p>
    <w:p>
      <w:pPr>
        <w:tabs>
          <w:tab w:pos="3385" w:val="left" w:leader="none"/>
          <w:tab w:pos="4285" w:val="left" w:leader="none"/>
          <w:tab w:pos="5225" w:val="left" w:leader="none"/>
          <w:tab w:pos="6205" w:val="left" w:leader="none"/>
          <w:tab w:pos="7205" w:val="left" w:leader="none"/>
          <w:tab w:pos="8425" w:val="left" w:leader="none"/>
          <w:tab w:pos="9385" w:val="left" w:leader="none"/>
          <w:tab w:pos="10064" w:val="left" w:leader="none"/>
        </w:tabs>
        <w:spacing w:line="177" w:lineRule="exact" w:before="0"/>
        <w:ind w:left="280" w:right="0" w:firstLine="0"/>
        <w:jc w:val="left"/>
        <w:rPr>
          <w:sz w:val="16"/>
        </w:rPr>
      </w:pPr>
      <w:r>
        <w:rPr>
          <w:sz w:val="16"/>
        </w:rPr>
        <w:t>(losses), net of </w:t>
      </w:r>
      <w:r>
        <w:rPr>
          <w:spacing w:val="-2"/>
          <w:sz w:val="16"/>
        </w:rPr>
        <w:t>taxes</w:t>
      </w:r>
      <w:r>
        <w:rPr>
          <w:sz w:val="16"/>
        </w:rPr>
        <w:tab/>
      </w:r>
      <w:r>
        <w:rPr>
          <w:spacing w:val="-10"/>
          <w:position w:val="1"/>
          <w:sz w:val="16"/>
        </w:rPr>
        <w:t>—</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2"/>
          <w:position w:val="1"/>
          <w:sz w:val="16"/>
        </w:rPr>
        <w:t>61,781</w:t>
      </w:r>
      <w:r>
        <w:rPr>
          <w:position w:val="1"/>
          <w:sz w:val="16"/>
        </w:rPr>
        <w:tab/>
      </w:r>
      <w:r>
        <w:rPr>
          <w:spacing w:val="-10"/>
          <w:position w:val="1"/>
          <w:sz w:val="16"/>
        </w:rPr>
        <w:t>—</w:t>
      </w:r>
      <w:r>
        <w:rPr>
          <w:position w:val="1"/>
          <w:sz w:val="16"/>
        </w:rPr>
        <w:tab/>
      </w:r>
      <w:r>
        <w:rPr>
          <w:spacing w:val="-10"/>
          <w:position w:val="1"/>
          <w:sz w:val="16"/>
        </w:rPr>
        <w:t>—</w:t>
      </w:r>
      <w:r>
        <w:rPr>
          <w:position w:val="1"/>
          <w:sz w:val="16"/>
        </w:rPr>
        <w:tab/>
      </w:r>
      <w:r>
        <w:rPr>
          <w:spacing w:val="-2"/>
          <w:position w:val="1"/>
          <w:sz w:val="16"/>
        </w:rPr>
        <w:t>61,781</w:t>
      </w:r>
    </w:p>
    <w:p>
      <w:pPr>
        <w:pStyle w:val="BodyText"/>
        <w:rPr>
          <w:sz w:val="16"/>
        </w:rPr>
      </w:pPr>
    </w:p>
    <w:p>
      <w:pPr>
        <w:pStyle w:val="BodyText"/>
        <w:spacing w:before="122"/>
        <w:rPr>
          <w:sz w:val="16"/>
        </w:rPr>
      </w:pPr>
    </w:p>
    <w:p>
      <w:pPr>
        <w:tabs>
          <w:tab w:pos="3385" w:val="left" w:leader="none"/>
          <w:tab w:pos="4285" w:val="left" w:leader="none"/>
          <w:tab w:pos="5225" w:val="left" w:leader="none"/>
          <w:tab w:pos="6205" w:val="left" w:leader="none"/>
          <w:tab w:pos="7485" w:val="left" w:leader="none"/>
          <w:tab w:pos="8171" w:val="left" w:leader="none"/>
          <w:tab w:pos="8851" w:val="left" w:leader="none"/>
          <w:tab w:pos="9811" w:val="left" w:leader="none"/>
        </w:tabs>
        <w:spacing w:before="0"/>
        <w:ind w:left="280" w:right="0" w:firstLine="0"/>
        <w:jc w:val="left"/>
        <w:rPr>
          <w:sz w:val="16"/>
        </w:rPr>
      </w:pPr>
      <w:r>
        <w:rPr>
          <w:sz w:val="16"/>
        </w:rPr>
        <w:t>Purchase of treasury </w:t>
      </w:r>
      <w:r>
        <w:rPr>
          <w:spacing w:val="-2"/>
          <w:sz w:val="16"/>
        </w:rPr>
        <w:t>stock</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(8,186)</w:t>
      </w:r>
      <w:r>
        <w:rPr>
          <w:sz w:val="16"/>
        </w:rPr>
        <w:tab/>
      </w:r>
      <w:r>
        <w:rPr>
          <w:spacing w:val="-2"/>
          <w:sz w:val="16"/>
        </w:rPr>
        <w:t>(1,100,000)</w:t>
      </w:r>
      <w:r>
        <w:rPr>
          <w:sz w:val="16"/>
        </w:rPr>
        <w:tab/>
      </w:r>
      <w:r>
        <w:rPr>
          <w:spacing w:val="-2"/>
          <w:sz w:val="16"/>
        </w:rPr>
        <w:t>(1,100,000)</w:t>
      </w:r>
    </w:p>
    <w:p>
      <w:pPr>
        <w:pStyle w:val="BodyText"/>
        <w:rPr>
          <w:sz w:val="16"/>
        </w:rPr>
      </w:pPr>
    </w:p>
    <w:p>
      <w:pPr>
        <w:pStyle w:val="BodyText"/>
        <w:spacing w:before="108"/>
        <w:rPr>
          <w:sz w:val="16"/>
        </w:rPr>
      </w:pPr>
    </w:p>
    <w:p>
      <w:pPr>
        <w:tabs>
          <w:tab w:pos="3385" w:val="left" w:leader="none"/>
          <w:tab w:pos="4285" w:val="left" w:leader="none"/>
          <w:tab w:pos="4864" w:val="left" w:leader="none"/>
          <w:tab w:pos="6205" w:val="left" w:leader="none"/>
          <w:tab w:pos="7485" w:val="left" w:leader="none"/>
          <w:tab w:pos="8425" w:val="left" w:leader="none"/>
          <w:tab w:pos="9385" w:val="left" w:leader="none"/>
          <w:tab w:pos="9984" w:val="left" w:leader="none"/>
        </w:tabs>
        <w:spacing w:before="0"/>
        <w:ind w:left="280" w:right="0" w:firstLine="0"/>
        <w:jc w:val="left"/>
        <w:rPr>
          <w:sz w:val="16"/>
        </w:rPr>
      </w:pPr>
      <w:r>
        <w:rPr>
          <w:sz w:val="16"/>
        </w:rPr>
        <w:t>Stock-based </w:t>
      </w:r>
      <w:r>
        <w:rPr>
          <w:spacing w:val="-2"/>
          <w:sz w:val="16"/>
        </w:rPr>
        <w:t>compensation</w:t>
      </w:r>
      <w:r>
        <w:rPr>
          <w:sz w:val="16"/>
        </w:rPr>
        <w:tab/>
      </w:r>
      <w:r>
        <w:rPr>
          <w:spacing w:val="-10"/>
          <w:sz w:val="16"/>
        </w:rPr>
        <w:t>—</w:t>
      </w:r>
      <w:r>
        <w:rPr>
          <w:sz w:val="16"/>
        </w:rPr>
        <w:tab/>
      </w:r>
      <w:r>
        <w:rPr>
          <w:spacing w:val="-10"/>
          <w:sz w:val="16"/>
        </w:rPr>
        <w:t>—</w:t>
      </w:r>
      <w:r>
        <w:rPr>
          <w:sz w:val="16"/>
        </w:rPr>
        <w:tab/>
      </w:r>
      <w:r>
        <w:rPr>
          <w:spacing w:val="-2"/>
          <w:sz w:val="16"/>
        </w:rPr>
        <w:t>453,748</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2"/>
          <w:sz w:val="16"/>
        </w:rPr>
        <w:t>453,748</w:t>
      </w:r>
    </w:p>
    <w:p>
      <w:pPr>
        <w:pStyle w:val="BodyText"/>
        <w:rPr>
          <w:sz w:val="16"/>
        </w:rPr>
      </w:pPr>
    </w:p>
    <w:p>
      <w:pPr>
        <w:pStyle w:val="BodyText"/>
        <w:spacing w:before="88"/>
        <w:rPr>
          <w:sz w:val="16"/>
        </w:rPr>
      </w:pPr>
    </w:p>
    <w:p>
      <w:pPr>
        <w:tabs>
          <w:tab w:pos="2809" w:val="left" w:leader="none"/>
          <w:tab w:pos="4070" w:val="left" w:leader="none"/>
          <w:tab w:pos="6856" w:val="left" w:leader="none"/>
          <w:tab w:pos="7796" w:val="left" w:leader="none"/>
        </w:tabs>
        <w:spacing w:before="0"/>
        <w:ind w:left="65" w:right="0" w:firstLine="0"/>
        <w:jc w:val="center"/>
        <w:rPr>
          <w:sz w:val="16"/>
        </w:rPr>
      </w:pPr>
      <w:r>
        <w:rPr/>
        <mc:AlternateContent>
          <mc:Choice Requires="wps">
            <w:drawing>
              <wp:anchor distT="0" distB="0" distL="0" distR="0" allowOverlap="1" layoutInCell="1" locked="0" behindDoc="1" simplePos="0" relativeHeight="487636480">
                <wp:simplePos x="0" y="0"/>
                <wp:positionH relativeFrom="page">
                  <wp:posOffset>2266950</wp:posOffset>
                </wp:positionH>
                <wp:positionV relativeFrom="paragraph">
                  <wp:posOffset>136614</wp:posOffset>
                </wp:positionV>
                <wp:extent cx="520700" cy="25400"/>
                <wp:effectExtent l="0" t="0" r="0" b="0"/>
                <wp:wrapTopAndBottom/>
                <wp:docPr id="335" name="Graphic 335"/>
                <wp:cNvGraphicFramePr>
                  <a:graphicFrameLocks/>
                </wp:cNvGraphicFramePr>
                <a:graphic>
                  <a:graphicData uri="http://schemas.microsoft.com/office/word/2010/wordprocessingShape">
                    <wps:wsp>
                      <wps:cNvPr id="335" name="Graphic 335"/>
                      <wps:cNvSpPr/>
                      <wps:spPr>
                        <a:xfrm>
                          <a:off x="0" y="0"/>
                          <a:ext cx="520700" cy="25400"/>
                        </a:xfrm>
                        <a:custGeom>
                          <a:avLst/>
                          <a:gdLst/>
                          <a:ahLst/>
                          <a:cxnLst/>
                          <a:rect l="l" t="t" r="r" b="b"/>
                          <a:pathLst>
                            <a:path w="520700" h="25400">
                              <a:moveTo>
                                <a:pt x="0" y="0"/>
                              </a:moveTo>
                              <a:lnTo>
                                <a:pt x="520700" y="0"/>
                              </a:lnTo>
                            </a:path>
                            <a:path w="520700" h="25400">
                              <a:moveTo>
                                <a:pt x="0" y="25400"/>
                              </a:moveTo>
                              <a:lnTo>
                                <a:pt x="5207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8.5pt;margin-top:10.757031pt;width:41pt;height:2pt;mso-position-horizontal-relative:page;mso-position-vertical-relative:paragraph;z-index:-15680000;mso-wrap-distance-left:0;mso-wrap-distance-right:0" id="docshape274" coordorigin="3570,215" coordsize="820,40" path="m3570,215l4390,215m3570,255l4390,25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6992">
                <wp:simplePos x="0" y="0"/>
                <wp:positionH relativeFrom="page">
                  <wp:posOffset>2838450</wp:posOffset>
                </wp:positionH>
                <wp:positionV relativeFrom="paragraph">
                  <wp:posOffset>136614</wp:posOffset>
                </wp:positionV>
                <wp:extent cx="520700" cy="25400"/>
                <wp:effectExtent l="0" t="0" r="0" b="0"/>
                <wp:wrapTopAndBottom/>
                <wp:docPr id="336" name="Graphic 336"/>
                <wp:cNvGraphicFramePr>
                  <a:graphicFrameLocks/>
                </wp:cNvGraphicFramePr>
                <a:graphic>
                  <a:graphicData uri="http://schemas.microsoft.com/office/word/2010/wordprocessingShape">
                    <wps:wsp>
                      <wps:cNvPr id="336" name="Graphic 336"/>
                      <wps:cNvSpPr/>
                      <wps:spPr>
                        <a:xfrm>
                          <a:off x="0" y="0"/>
                          <a:ext cx="520700" cy="25400"/>
                        </a:xfrm>
                        <a:custGeom>
                          <a:avLst/>
                          <a:gdLst/>
                          <a:ahLst/>
                          <a:cxnLst/>
                          <a:rect l="l" t="t" r="r" b="b"/>
                          <a:pathLst>
                            <a:path w="520700" h="25400">
                              <a:moveTo>
                                <a:pt x="0" y="0"/>
                              </a:moveTo>
                              <a:lnTo>
                                <a:pt x="520700" y="0"/>
                              </a:lnTo>
                            </a:path>
                            <a:path w="520700" h="25400">
                              <a:moveTo>
                                <a:pt x="0" y="25400"/>
                              </a:moveTo>
                              <a:lnTo>
                                <a:pt x="5207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5pt;margin-top:10.757031pt;width:41pt;height:2pt;mso-position-horizontal-relative:page;mso-position-vertical-relative:paragraph;z-index:-15679488;mso-wrap-distance-left:0;mso-wrap-distance-right:0" id="docshape275" coordorigin="4470,215" coordsize="820,40" path="m4470,215l5290,215m4470,255l5290,25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7504">
                <wp:simplePos x="0" y="0"/>
                <wp:positionH relativeFrom="page">
                  <wp:posOffset>3409950</wp:posOffset>
                </wp:positionH>
                <wp:positionV relativeFrom="paragraph">
                  <wp:posOffset>136614</wp:posOffset>
                </wp:positionV>
                <wp:extent cx="546100" cy="25400"/>
                <wp:effectExtent l="0" t="0" r="0" b="0"/>
                <wp:wrapTopAndBottom/>
                <wp:docPr id="337" name="Graphic 337"/>
                <wp:cNvGraphicFramePr>
                  <a:graphicFrameLocks/>
                </wp:cNvGraphicFramePr>
                <a:graphic>
                  <a:graphicData uri="http://schemas.microsoft.com/office/word/2010/wordprocessingShape">
                    <wps:wsp>
                      <wps:cNvPr id="337" name="Graphic 337"/>
                      <wps:cNvSpPr/>
                      <wps:spPr>
                        <a:xfrm>
                          <a:off x="0" y="0"/>
                          <a:ext cx="546100" cy="25400"/>
                        </a:xfrm>
                        <a:custGeom>
                          <a:avLst/>
                          <a:gdLst/>
                          <a:ahLst/>
                          <a:cxnLst/>
                          <a:rect l="l" t="t" r="r" b="b"/>
                          <a:pathLst>
                            <a:path w="546100" h="25400">
                              <a:moveTo>
                                <a:pt x="0" y="0"/>
                              </a:moveTo>
                              <a:lnTo>
                                <a:pt x="546100" y="0"/>
                              </a:lnTo>
                            </a:path>
                            <a:path w="546100" h="25400">
                              <a:moveTo>
                                <a:pt x="0" y="25400"/>
                              </a:moveTo>
                              <a:lnTo>
                                <a:pt x="5461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5pt;margin-top:10.757031pt;width:43pt;height:2pt;mso-position-horizontal-relative:page;mso-position-vertical-relative:paragraph;z-index:-15678976;mso-wrap-distance-left:0;mso-wrap-distance-right:0" id="docshape276" coordorigin="5370,215" coordsize="860,40" path="m5370,215l6230,215m5370,255l6230,25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8016">
                <wp:simplePos x="0" y="0"/>
                <wp:positionH relativeFrom="page">
                  <wp:posOffset>4006850</wp:posOffset>
                </wp:positionH>
                <wp:positionV relativeFrom="paragraph">
                  <wp:posOffset>136614</wp:posOffset>
                </wp:positionV>
                <wp:extent cx="571500" cy="25400"/>
                <wp:effectExtent l="0" t="0" r="0" b="0"/>
                <wp:wrapTopAndBottom/>
                <wp:docPr id="338" name="Graphic 338"/>
                <wp:cNvGraphicFramePr>
                  <a:graphicFrameLocks/>
                </wp:cNvGraphicFramePr>
                <a:graphic>
                  <a:graphicData uri="http://schemas.microsoft.com/office/word/2010/wordprocessingShape">
                    <wps:wsp>
                      <wps:cNvPr id="338" name="Graphic 338"/>
                      <wps:cNvSpPr/>
                      <wps:spPr>
                        <a:xfrm>
                          <a:off x="0" y="0"/>
                          <a:ext cx="571500" cy="25400"/>
                        </a:xfrm>
                        <a:custGeom>
                          <a:avLst/>
                          <a:gdLst/>
                          <a:ahLst/>
                          <a:cxnLst/>
                          <a:rect l="l" t="t" r="r" b="b"/>
                          <a:pathLst>
                            <a:path w="571500" h="25400">
                              <a:moveTo>
                                <a:pt x="0" y="0"/>
                              </a:moveTo>
                              <a:lnTo>
                                <a:pt x="571500" y="0"/>
                              </a:lnTo>
                            </a:path>
                            <a:path w="571500" h="25400">
                              <a:moveTo>
                                <a:pt x="0" y="25400"/>
                              </a:moveTo>
                              <a:lnTo>
                                <a:pt x="5715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5.5pt;margin-top:10.757031pt;width:45pt;height:2pt;mso-position-horizontal-relative:page;mso-position-vertical-relative:paragraph;z-index:-15678464;mso-wrap-distance-left:0;mso-wrap-distance-right:0" id="docshape277" coordorigin="6310,215" coordsize="900,40" path="m6310,215l7210,215m6310,255l7210,25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8528">
                <wp:simplePos x="0" y="0"/>
                <wp:positionH relativeFrom="page">
                  <wp:posOffset>4629150</wp:posOffset>
                </wp:positionH>
                <wp:positionV relativeFrom="paragraph">
                  <wp:posOffset>136614</wp:posOffset>
                </wp:positionV>
                <wp:extent cx="762000" cy="25400"/>
                <wp:effectExtent l="0" t="0" r="0" b="0"/>
                <wp:wrapTopAndBottom/>
                <wp:docPr id="339" name="Graphic 339"/>
                <wp:cNvGraphicFramePr>
                  <a:graphicFrameLocks/>
                </wp:cNvGraphicFramePr>
                <a:graphic>
                  <a:graphicData uri="http://schemas.microsoft.com/office/word/2010/wordprocessingShape">
                    <wps:wsp>
                      <wps:cNvPr id="339" name="Graphic 339"/>
                      <wps:cNvSpPr/>
                      <wps:spPr>
                        <a:xfrm>
                          <a:off x="0" y="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4.5pt;margin-top:10.757031pt;width:60pt;height:2pt;mso-position-horizontal-relative:page;mso-position-vertical-relative:paragraph;z-index:-15677952;mso-wrap-distance-left:0;mso-wrap-distance-right:0" id="docshape278" coordorigin="7290,215" coordsize="1200,40" path="m7290,215l8490,215m7290,255l8490,25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9040">
                <wp:simplePos x="0" y="0"/>
                <wp:positionH relativeFrom="page">
                  <wp:posOffset>5441950</wp:posOffset>
                </wp:positionH>
                <wp:positionV relativeFrom="paragraph">
                  <wp:posOffset>136614</wp:posOffset>
                </wp:positionV>
                <wp:extent cx="546100" cy="25400"/>
                <wp:effectExtent l="0" t="0" r="0" b="0"/>
                <wp:wrapTopAndBottom/>
                <wp:docPr id="340" name="Graphic 340"/>
                <wp:cNvGraphicFramePr>
                  <a:graphicFrameLocks/>
                </wp:cNvGraphicFramePr>
                <a:graphic>
                  <a:graphicData uri="http://schemas.microsoft.com/office/word/2010/wordprocessingShape">
                    <wps:wsp>
                      <wps:cNvPr id="340" name="Graphic 340"/>
                      <wps:cNvSpPr/>
                      <wps:spPr>
                        <a:xfrm>
                          <a:off x="0" y="0"/>
                          <a:ext cx="546100" cy="25400"/>
                        </a:xfrm>
                        <a:custGeom>
                          <a:avLst/>
                          <a:gdLst/>
                          <a:ahLst/>
                          <a:cxnLst/>
                          <a:rect l="l" t="t" r="r" b="b"/>
                          <a:pathLst>
                            <a:path w="546100" h="25400">
                              <a:moveTo>
                                <a:pt x="0" y="0"/>
                              </a:moveTo>
                              <a:lnTo>
                                <a:pt x="546100" y="0"/>
                              </a:lnTo>
                            </a:path>
                            <a:path w="546100" h="25400">
                              <a:moveTo>
                                <a:pt x="0" y="25400"/>
                              </a:moveTo>
                              <a:lnTo>
                                <a:pt x="5461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8.5pt;margin-top:10.757031pt;width:43pt;height:2pt;mso-position-horizontal-relative:page;mso-position-vertical-relative:paragraph;z-index:-15677440;mso-wrap-distance-left:0;mso-wrap-distance-right:0" id="docshape279" coordorigin="8570,215" coordsize="860,40" path="m8570,215l9430,215m8570,255l9430,25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9552">
                <wp:simplePos x="0" y="0"/>
                <wp:positionH relativeFrom="page">
                  <wp:posOffset>6038850</wp:posOffset>
                </wp:positionH>
                <wp:positionV relativeFrom="paragraph">
                  <wp:posOffset>136614</wp:posOffset>
                </wp:positionV>
                <wp:extent cx="558800" cy="25400"/>
                <wp:effectExtent l="0" t="0" r="0" b="0"/>
                <wp:wrapTopAndBottom/>
                <wp:docPr id="341" name="Graphic 341"/>
                <wp:cNvGraphicFramePr>
                  <a:graphicFrameLocks/>
                </wp:cNvGraphicFramePr>
                <a:graphic>
                  <a:graphicData uri="http://schemas.microsoft.com/office/word/2010/wordprocessingShape">
                    <wps:wsp>
                      <wps:cNvPr id="341" name="Graphic 341"/>
                      <wps:cNvSpPr/>
                      <wps:spPr>
                        <a:xfrm>
                          <a:off x="0" y="0"/>
                          <a:ext cx="558800" cy="25400"/>
                        </a:xfrm>
                        <a:custGeom>
                          <a:avLst/>
                          <a:gdLst/>
                          <a:ahLst/>
                          <a:cxnLst/>
                          <a:rect l="l" t="t" r="r" b="b"/>
                          <a:pathLst>
                            <a:path w="558800" h="25400">
                              <a:moveTo>
                                <a:pt x="0" y="0"/>
                              </a:moveTo>
                              <a:lnTo>
                                <a:pt x="558800" y="0"/>
                              </a:lnTo>
                            </a:path>
                            <a:path w="558800" h="25400">
                              <a:moveTo>
                                <a:pt x="0" y="25400"/>
                              </a:moveTo>
                              <a:lnTo>
                                <a:pt x="5588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5.5pt;margin-top:10.757031pt;width:44pt;height:2pt;mso-position-horizontal-relative:page;mso-position-vertical-relative:paragraph;z-index:-15676928;mso-wrap-distance-left:0;mso-wrap-distance-right:0" id="docshape280" coordorigin="9510,215" coordsize="880,40" path="m9510,215l10390,215m9510,255l10390,255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0064">
                <wp:simplePos x="0" y="0"/>
                <wp:positionH relativeFrom="page">
                  <wp:posOffset>6648450</wp:posOffset>
                </wp:positionH>
                <wp:positionV relativeFrom="paragraph">
                  <wp:posOffset>136614</wp:posOffset>
                </wp:positionV>
                <wp:extent cx="558800" cy="25400"/>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558800" cy="25400"/>
                        </a:xfrm>
                        <a:custGeom>
                          <a:avLst/>
                          <a:gdLst/>
                          <a:ahLst/>
                          <a:cxnLst/>
                          <a:rect l="l" t="t" r="r" b="b"/>
                          <a:pathLst>
                            <a:path w="558800" h="25400">
                              <a:moveTo>
                                <a:pt x="0" y="0"/>
                              </a:moveTo>
                              <a:lnTo>
                                <a:pt x="558800" y="0"/>
                              </a:lnTo>
                            </a:path>
                            <a:path w="558800" h="25400">
                              <a:moveTo>
                                <a:pt x="0" y="25400"/>
                              </a:moveTo>
                              <a:lnTo>
                                <a:pt x="5588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3.5pt;margin-top:10.757031pt;width:44pt;height:2pt;mso-position-horizontal-relative:page;mso-position-vertical-relative:paragraph;z-index:-15676416;mso-wrap-distance-left:0;mso-wrap-distance-right:0" id="docshape281" coordorigin="10470,215" coordsize="880,40" path="m10470,215l11350,215m10470,255l11350,255e" filled="false" stroked="true" strokeweight="1pt" strokecolor="#000000">
                <v:path arrowok="t"/>
                <v:stroke dashstyle="solid"/>
                <w10:wrap type="topAndBottom"/>
              </v:shape>
            </w:pict>
          </mc:Fallback>
        </mc:AlternateContent>
      </w:r>
      <w:r>
        <w:rPr>
          <w:sz w:val="16"/>
        </w:rPr>
        <w:t>Balances</w:t>
      </w:r>
      <w:r>
        <w:rPr>
          <w:spacing w:val="-5"/>
          <w:sz w:val="16"/>
        </w:rPr>
        <w:t> </w:t>
      </w:r>
      <w:r>
        <w:rPr>
          <w:sz w:val="16"/>
        </w:rPr>
        <w:t>at</w:t>
      </w:r>
      <w:r>
        <w:rPr>
          <w:spacing w:val="-2"/>
          <w:sz w:val="16"/>
        </w:rPr>
        <w:t> </w:t>
      </w:r>
      <w:r>
        <w:rPr>
          <w:sz w:val="16"/>
        </w:rPr>
        <w:t>December</w:t>
      </w:r>
      <w:r>
        <w:rPr>
          <w:spacing w:val="-2"/>
          <w:sz w:val="16"/>
        </w:rPr>
        <w:t> </w:t>
      </w:r>
      <w:r>
        <w:rPr>
          <w:sz w:val="16"/>
        </w:rPr>
        <w:t>1,</w:t>
      </w:r>
      <w:r>
        <w:rPr>
          <w:spacing w:val="-1"/>
          <w:sz w:val="16"/>
        </w:rPr>
        <w:t> </w:t>
      </w:r>
      <w:r>
        <w:rPr>
          <w:spacing w:val="-4"/>
          <w:sz w:val="16"/>
        </w:rPr>
        <w:t>2017</w:t>
      </w:r>
      <w:r>
        <w:rPr>
          <w:sz w:val="16"/>
        </w:rPr>
        <w:tab/>
        <w:t>600,834</w:t>
      </w:r>
      <w:r>
        <w:rPr>
          <w:spacing w:val="57"/>
          <w:sz w:val="16"/>
        </w:rPr>
        <w:t>  </w:t>
      </w:r>
      <w:r>
        <w:rPr>
          <w:spacing w:val="-10"/>
          <w:sz w:val="16"/>
        </w:rPr>
        <w:t>$</w:t>
      </w:r>
      <w:r>
        <w:rPr>
          <w:sz w:val="16"/>
        </w:rPr>
        <w:tab/>
        <w:t>61</w:t>
      </w:r>
      <w:r>
        <w:rPr>
          <w:spacing w:val="57"/>
          <w:sz w:val="16"/>
        </w:rPr>
        <w:t>  </w:t>
      </w:r>
      <w:r>
        <w:rPr>
          <w:sz w:val="16"/>
        </w:rPr>
        <w:t>$</w:t>
      </w:r>
      <w:r>
        <w:rPr>
          <w:spacing w:val="-15"/>
          <w:sz w:val="16"/>
        </w:rPr>
        <w:t> </w:t>
      </w:r>
      <w:r>
        <w:rPr>
          <w:sz w:val="16"/>
        </w:rPr>
        <w:t>5,082,195</w:t>
      </w:r>
      <w:r>
        <w:rPr>
          <w:spacing w:val="57"/>
          <w:sz w:val="16"/>
        </w:rPr>
        <w:t>  </w:t>
      </w:r>
      <w:r>
        <w:rPr>
          <w:sz w:val="16"/>
        </w:rPr>
        <w:t>$</w:t>
      </w:r>
      <w:r>
        <w:rPr>
          <w:spacing w:val="26"/>
          <w:sz w:val="16"/>
        </w:rPr>
        <w:t> </w:t>
      </w:r>
      <w:r>
        <w:rPr>
          <w:sz w:val="16"/>
        </w:rPr>
        <w:t>9,573,870</w:t>
      </w:r>
      <w:r>
        <w:rPr>
          <w:spacing w:val="57"/>
          <w:sz w:val="16"/>
        </w:rPr>
        <w:t>  </w:t>
      </w:r>
      <w:r>
        <w:rPr>
          <w:spacing w:val="-10"/>
          <w:sz w:val="16"/>
        </w:rPr>
        <w:t>$</w:t>
      </w:r>
      <w:r>
        <w:rPr>
          <w:sz w:val="16"/>
        </w:rPr>
        <w:tab/>
      </w:r>
      <w:r>
        <w:rPr>
          <w:spacing w:val="-2"/>
          <w:sz w:val="16"/>
        </w:rPr>
        <w:t>(111,821)</w:t>
      </w:r>
      <w:r>
        <w:rPr>
          <w:sz w:val="16"/>
        </w:rPr>
        <w:tab/>
        <w:t>(109,572)</w:t>
      </w:r>
      <w:r>
        <w:rPr>
          <w:spacing w:val="76"/>
          <w:w w:val="150"/>
          <w:sz w:val="16"/>
        </w:rPr>
        <w:t> </w:t>
      </w:r>
      <w:r>
        <w:rPr>
          <w:sz w:val="16"/>
        </w:rPr>
        <w:t>$(6,084,436)</w:t>
      </w:r>
      <w:r>
        <w:rPr>
          <w:spacing w:val="77"/>
          <w:w w:val="150"/>
          <w:sz w:val="16"/>
        </w:rPr>
        <w:t> </w:t>
      </w:r>
      <w:r>
        <w:rPr>
          <w:sz w:val="16"/>
        </w:rPr>
        <w:t>$</w:t>
      </w:r>
      <w:r>
        <w:rPr>
          <w:spacing w:val="4"/>
          <w:sz w:val="16"/>
        </w:rPr>
        <w:t> </w:t>
      </w:r>
      <w:r>
        <w:rPr>
          <w:spacing w:val="-2"/>
          <w:sz w:val="16"/>
        </w:rPr>
        <w:t>8,459,869</w:t>
      </w:r>
    </w:p>
    <w:p>
      <w:pPr>
        <w:pStyle w:val="BodyText"/>
        <w:spacing w:before="9"/>
        <w:rPr>
          <w:sz w:val="16"/>
        </w:rPr>
      </w:pPr>
    </w:p>
    <w:p>
      <w:pPr>
        <w:spacing w:before="0"/>
        <w:ind w:left="340" w:right="280"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type w:val="continuous"/>
          <w:pgSz w:w="12240" w:h="15840"/>
          <w:pgMar w:header="210" w:footer="610" w:top="680" w:bottom="280" w:left="780" w:right="740"/>
        </w:sectPr>
      </w:pPr>
    </w:p>
    <w:p>
      <w:pPr>
        <w:pStyle w:val="Heading1"/>
        <w:spacing w:before="130"/>
        <w:ind w:left="289" w:right="280"/>
        <w:jc w:val="center"/>
      </w:pPr>
      <w:bookmarkStart w:name="Consolidated Statements of Cash Flows" w:id="61"/>
      <w:bookmarkEnd w:id="61"/>
      <w:r>
        <w:rPr>
          <w:b w:val="0"/>
        </w:rPr>
      </w:r>
      <w:bookmarkStart w:name="_bookmark20" w:id="62"/>
      <w:bookmarkEnd w:id="62"/>
      <w:r>
        <w:rPr>
          <w:b w:val="0"/>
        </w:rPr>
      </w:r>
      <w:r>
        <w:rPr>
          <w:spacing w:val="-2"/>
        </w:rPr>
        <w:t>CONSOLIDATED</w:t>
      </w:r>
      <w:r>
        <w:rPr>
          <w:spacing w:val="-3"/>
        </w:rPr>
        <w:t> </w:t>
      </w:r>
      <w:r>
        <w:rPr>
          <w:spacing w:val="-2"/>
        </w:rPr>
        <w:t>STATEMENTS OF</w:t>
      </w:r>
      <w:r>
        <w:rPr>
          <w:spacing w:val="-9"/>
        </w:rPr>
        <w:t> </w:t>
      </w:r>
      <w:r>
        <w:rPr>
          <w:spacing w:val="-2"/>
        </w:rPr>
        <w:t>CASH</w:t>
      </w:r>
      <w:r>
        <w:rPr>
          <w:spacing w:val="-1"/>
        </w:rPr>
        <w:t> </w:t>
      </w:r>
      <w:r>
        <w:rPr>
          <w:spacing w:val="-2"/>
        </w:rPr>
        <w:t>FLOWS</w:t>
      </w:r>
    </w:p>
    <w:p>
      <w:pPr>
        <w:pStyle w:val="Heading2"/>
        <w:spacing w:before="130"/>
        <w:ind w:left="3846" w:right="3884"/>
        <w:jc w:val="center"/>
      </w:pPr>
      <w:r>
        <w:rPr/>
        <w:t>(In</w:t>
      </w:r>
      <w:r>
        <w:rPr>
          <w:spacing w:val="-3"/>
        </w:rPr>
        <w:t> </w:t>
      </w:r>
      <w:r>
        <w:rPr>
          <w:spacing w:val="-2"/>
        </w:rPr>
        <w:t>thousands)</w:t>
      </w:r>
    </w:p>
    <w:p>
      <w:pPr>
        <w:spacing w:after="0"/>
        <w:jc w:val="center"/>
        <w:sectPr>
          <w:headerReference w:type="default" r:id="rId28"/>
          <w:footerReference w:type="default" r:id="rId29"/>
          <w:pgSz w:w="12240" w:h="15840"/>
          <w:pgMar w:header="210" w:footer="470" w:top="880" w:bottom="660" w:left="780" w:right="740"/>
        </w:sectPr>
      </w:pPr>
    </w:p>
    <w:p>
      <w:pPr>
        <w:pStyle w:val="BodyText"/>
        <w:rPr>
          <w:b/>
          <w:sz w:val="16"/>
        </w:rPr>
      </w:pPr>
    </w:p>
    <w:p>
      <w:pPr>
        <w:pStyle w:val="BodyText"/>
        <w:spacing w:before="47"/>
        <w:rPr>
          <w:b/>
          <w:sz w:val="16"/>
        </w:rPr>
      </w:pPr>
    </w:p>
    <w:p>
      <w:pPr>
        <w:spacing w:line="172" w:lineRule="exact" w:before="1"/>
        <w:ind w:left="6754" w:right="0" w:firstLine="0"/>
        <w:jc w:val="center"/>
        <w:rPr>
          <w:b/>
          <w:sz w:val="16"/>
        </w:rPr>
      </w:pPr>
      <w:r>
        <w:rPr>
          <w:b/>
          <w:sz w:val="16"/>
        </w:rPr>
        <w:t>December</w:t>
      </w:r>
      <w:r>
        <w:rPr>
          <w:b/>
          <w:spacing w:val="-2"/>
          <w:sz w:val="16"/>
        </w:rPr>
        <w:t> </w:t>
      </w:r>
      <w:r>
        <w:rPr>
          <w:b/>
          <w:spacing w:val="-5"/>
          <w:sz w:val="16"/>
        </w:rPr>
        <w:t>1,</w:t>
      </w:r>
    </w:p>
    <w:p>
      <w:pPr>
        <w:spacing w:line="172" w:lineRule="exact" w:before="0"/>
        <w:ind w:left="6753" w:right="0" w:firstLine="0"/>
        <w:jc w:val="center"/>
        <w:rPr>
          <w:b/>
          <w:sz w:val="16"/>
        </w:rPr>
      </w:pPr>
      <w:r>
        <w:rPr>
          <w:b/>
          <w:spacing w:val="-4"/>
          <w:sz w:val="16"/>
        </w:rPr>
        <w:t>2017</w:t>
      </w:r>
    </w:p>
    <w:p>
      <w:pPr>
        <w:spacing w:line="240" w:lineRule="atLeast" w:before="119"/>
        <w:ind w:left="419" w:right="0" w:firstLine="0"/>
        <w:jc w:val="center"/>
        <w:rPr>
          <w:b/>
          <w:sz w:val="16"/>
        </w:rPr>
      </w:pPr>
      <w:r>
        <w:rPr/>
        <w:br w:type="column"/>
      </w:r>
      <w:r>
        <w:rPr>
          <w:b/>
          <w:spacing w:val="-2"/>
          <w:sz w:val="16"/>
        </w:rPr>
        <w:t>Years</w:t>
      </w:r>
      <w:r>
        <w:rPr>
          <w:b/>
          <w:spacing w:val="-8"/>
          <w:sz w:val="16"/>
        </w:rPr>
        <w:t> </w:t>
      </w:r>
      <w:r>
        <w:rPr>
          <w:b/>
          <w:spacing w:val="-2"/>
          <w:sz w:val="16"/>
        </w:rPr>
        <w:t>Ended</w:t>
      </w:r>
      <w:r>
        <w:rPr>
          <w:b/>
          <w:spacing w:val="40"/>
          <w:sz w:val="16"/>
        </w:rPr>
        <w:t> </w:t>
      </w:r>
      <w:r>
        <w:rPr>
          <w:b/>
          <w:sz w:val="16"/>
        </w:rPr>
        <w:t>December</w:t>
      </w:r>
      <w:r>
        <w:rPr>
          <w:b/>
          <w:spacing w:val="-2"/>
          <w:sz w:val="16"/>
        </w:rPr>
        <w:t> </w:t>
      </w:r>
      <w:r>
        <w:rPr>
          <w:b/>
          <w:spacing w:val="-5"/>
          <w:sz w:val="16"/>
        </w:rPr>
        <w:t>2,</w:t>
      </w:r>
    </w:p>
    <w:p>
      <w:pPr>
        <w:spacing w:line="160" w:lineRule="exact" w:before="0"/>
        <w:ind w:left="412" w:right="0" w:firstLine="0"/>
        <w:jc w:val="center"/>
        <w:rPr>
          <w:b/>
          <w:sz w:val="16"/>
        </w:rPr>
      </w:pPr>
      <w:r>
        <w:rPr/>
        <mc:AlternateContent>
          <mc:Choice Requires="wps">
            <w:drawing>
              <wp:anchor distT="0" distB="0" distL="0" distR="0" allowOverlap="1" layoutInCell="1" locked="0" behindDoc="1" simplePos="0" relativeHeight="479841280">
                <wp:simplePos x="0" y="0"/>
                <wp:positionH relativeFrom="page">
                  <wp:posOffset>4667250</wp:posOffset>
                </wp:positionH>
                <wp:positionV relativeFrom="paragraph">
                  <wp:posOffset>-122061</wp:posOffset>
                </wp:positionV>
                <wp:extent cx="2463800"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2463800" cy="1270"/>
                        </a:xfrm>
                        <a:custGeom>
                          <a:avLst/>
                          <a:gdLst/>
                          <a:ahLst/>
                          <a:cxnLst/>
                          <a:rect l="l" t="t" r="r" b="b"/>
                          <a:pathLst>
                            <a:path w="2463800" h="0">
                              <a:moveTo>
                                <a:pt x="0" y="0"/>
                              </a:moveTo>
                              <a:lnTo>
                                <a:pt x="787400" y="0"/>
                              </a:lnTo>
                            </a:path>
                            <a:path w="2463800" h="0">
                              <a:moveTo>
                                <a:pt x="787400" y="0"/>
                              </a:moveTo>
                              <a:lnTo>
                                <a:pt x="838200" y="0"/>
                              </a:lnTo>
                            </a:path>
                            <a:path w="2463800" h="0">
                              <a:moveTo>
                                <a:pt x="838200" y="0"/>
                              </a:moveTo>
                              <a:lnTo>
                                <a:pt x="1625600" y="0"/>
                              </a:lnTo>
                            </a:path>
                            <a:path w="2463800" h="0">
                              <a:moveTo>
                                <a:pt x="1625600" y="0"/>
                              </a:moveTo>
                              <a:lnTo>
                                <a:pt x="1676400" y="0"/>
                              </a:lnTo>
                            </a:path>
                            <a:path w="2463800" h="0">
                              <a:moveTo>
                                <a:pt x="1676400" y="0"/>
                              </a:moveTo>
                              <a:lnTo>
                                <a:pt x="2463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7.5pt;margin-top:-9.611133pt;width:194pt;height:.1pt;mso-position-horizontal-relative:page;mso-position-vertical-relative:paragraph;z-index:-23475200" id="docshape285" coordorigin="7350,-192" coordsize="3880,0" path="m7350,-192l8590,-192m8590,-192l8670,-192m8670,-192l9910,-192m9910,-192l9990,-192m9990,-192l11230,-192e" filled="false" stroked="true" strokeweight="1pt" strokecolor="#000000">
                <v:path arrowok="t"/>
                <v:stroke dashstyle="solid"/>
                <w10:wrap type="none"/>
              </v:shape>
            </w:pict>
          </mc:Fallback>
        </mc:AlternateContent>
      </w:r>
      <w:r>
        <w:rPr>
          <w:b/>
          <w:spacing w:val="-4"/>
          <w:sz w:val="16"/>
        </w:rPr>
        <w:t>2016</w:t>
      </w:r>
    </w:p>
    <w:p>
      <w:pPr>
        <w:spacing w:line="240" w:lineRule="auto" w:before="0"/>
        <w:rPr>
          <w:b/>
          <w:sz w:val="16"/>
        </w:rPr>
      </w:pPr>
      <w:r>
        <w:rPr/>
        <w:br w:type="column"/>
      </w:r>
      <w:r>
        <w:rPr>
          <w:b/>
          <w:sz w:val="16"/>
        </w:rPr>
      </w:r>
    </w:p>
    <w:p>
      <w:pPr>
        <w:pStyle w:val="BodyText"/>
        <w:spacing w:before="47"/>
        <w:rPr>
          <w:b/>
          <w:sz w:val="16"/>
        </w:rPr>
      </w:pPr>
    </w:p>
    <w:p>
      <w:pPr>
        <w:spacing w:line="172" w:lineRule="exact" w:before="1"/>
        <w:ind w:left="0" w:right="59" w:firstLine="0"/>
        <w:jc w:val="center"/>
        <w:rPr>
          <w:b/>
          <w:sz w:val="16"/>
        </w:rPr>
      </w:pPr>
      <w:r>
        <w:rPr>
          <w:b/>
          <w:sz w:val="16"/>
        </w:rPr>
        <w:t>November</w:t>
      </w:r>
      <w:r>
        <w:rPr>
          <w:b/>
          <w:spacing w:val="-4"/>
          <w:sz w:val="16"/>
        </w:rPr>
        <w:t> </w:t>
      </w:r>
      <w:r>
        <w:rPr>
          <w:b/>
          <w:spacing w:val="-5"/>
          <w:sz w:val="16"/>
        </w:rPr>
        <w:t>27,</w:t>
      </w:r>
    </w:p>
    <w:p>
      <w:pPr>
        <w:spacing w:line="172" w:lineRule="exact" w:before="0"/>
        <w:ind w:left="0" w:right="59" w:firstLine="0"/>
        <w:jc w:val="center"/>
        <w:rPr>
          <w:b/>
          <w:sz w:val="16"/>
        </w:rPr>
      </w:pPr>
      <w:r>
        <w:rPr>
          <w:b/>
          <w:spacing w:val="-4"/>
          <w:sz w:val="16"/>
        </w:rPr>
        <w:t>2015</w:t>
      </w:r>
    </w:p>
    <w:p>
      <w:pPr>
        <w:spacing w:after="0" w:line="172" w:lineRule="exact"/>
        <w:jc w:val="center"/>
        <w:rPr>
          <w:sz w:val="16"/>
        </w:rPr>
        <w:sectPr>
          <w:type w:val="continuous"/>
          <w:pgSz w:w="12240" w:h="15840"/>
          <w:pgMar w:header="210" w:footer="470" w:top="680" w:bottom="280" w:left="780" w:right="740"/>
          <w:cols w:num="3" w:equalWidth="0">
            <w:col w:w="7607" w:space="40"/>
            <w:col w:w="1295" w:space="39"/>
            <w:col w:w="1739"/>
          </w:cols>
        </w:sectPr>
      </w:pPr>
    </w:p>
    <w:p>
      <w:pPr>
        <w:pStyle w:val="BodyText"/>
        <w:spacing w:before="3"/>
        <w:rPr>
          <w:b/>
          <w:sz w:val="2"/>
        </w:rPr>
      </w:pPr>
    </w:p>
    <w:p>
      <w:pPr>
        <w:spacing w:line="20" w:lineRule="exact"/>
        <w:ind w:left="6570" w:right="0" w:firstLine="0"/>
        <w:jc w:val="left"/>
        <w:rPr>
          <w:sz w:val="2"/>
        </w:rPr>
      </w:pPr>
      <w:r>
        <w:rPr>
          <w:sz w:val="2"/>
        </w:rPr>
        <mc:AlternateContent>
          <mc:Choice Requires="wps">
            <w:drawing>
              <wp:inline distT="0" distB="0" distL="0" distR="0">
                <wp:extent cx="787400" cy="12700"/>
                <wp:effectExtent l="9525" t="0" r="3175" b="6350"/>
                <wp:docPr id="347" name="Group 347"/>
                <wp:cNvGraphicFramePr>
                  <a:graphicFrameLocks/>
                </wp:cNvGraphicFramePr>
                <a:graphic>
                  <a:graphicData uri="http://schemas.microsoft.com/office/word/2010/wordprocessingGroup">
                    <wpg:wgp>
                      <wpg:cNvPr id="347" name="Group 347"/>
                      <wpg:cNvGrpSpPr/>
                      <wpg:grpSpPr>
                        <a:xfrm>
                          <a:off x="0" y="0"/>
                          <a:ext cx="787400" cy="12700"/>
                          <a:chExt cx="787400" cy="12700"/>
                        </a:xfrm>
                      </wpg:grpSpPr>
                      <wps:wsp>
                        <wps:cNvPr id="348" name="Graphic 348"/>
                        <wps:cNvSpPr/>
                        <wps:spPr>
                          <a:xfrm>
                            <a:off x="0" y="635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1pt;mso-position-horizontal-relative:char;mso-position-vertical-relative:line" id="docshapegroup286" coordorigin="0,0" coordsize="1240,20">
                <v:line style="position:absolute" from="0,10" to="1240,10" stroked="true" strokeweight="1pt" strokecolor="#000000">
                  <v:stroke dashstyle="solid"/>
                </v:line>
              </v:group>
            </w:pict>
          </mc:Fallback>
        </mc:AlternateContent>
      </w:r>
      <w:r>
        <w:rPr>
          <w:sz w:val="2"/>
        </w:rPr>
      </w:r>
      <w:r>
        <w:rPr>
          <w:spacing w:val="75"/>
          <w:sz w:val="2"/>
        </w:rPr>
        <w:t> </w:t>
      </w:r>
      <w:r>
        <w:rPr>
          <w:spacing w:val="75"/>
          <w:sz w:val="2"/>
        </w:rPr>
        <mc:AlternateContent>
          <mc:Choice Requires="wps">
            <w:drawing>
              <wp:inline distT="0" distB="0" distL="0" distR="0">
                <wp:extent cx="787400" cy="12700"/>
                <wp:effectExtent l="9525" t="0" r="3175" b="6350"/>
                <wp:docPr id="349" name="Group 349"/>
                <wp:cNvGraphicFramePr>
                  <a:graphicFrameLocks/>
                </wp:cNvGraphicFramePr>
                <a:graphic>
                  <a:graphicData uri="http://schemas.microsoft.com/office/word/2010/wordprocessingGroup">
                    <wpg:wgp>
                      <wpg:cNvPr id="349" name="Group 349"/>
                      <wpg:cNvGrpSpPr/>
                      <wpg:grpSpPr>
                        <a:xfrm>
                          <a:off x="0" y="0"/>
                          <a:ext cx="787400" cy="12700"/>
                          <a:chExt cx="787400" cy="12700"/>
                        </a:xfrm>
                      </wpg:grpSpPr>
                      <wps:wsp>
                        <wps:cNvPr id="350" name="Graphic 350"/>
                        <wps:cNvSpPr/>
                        <wps:spPr>
                          <a:xfrm>
                            <a:off x="0" y="635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1pt;mso-position-horizontal-relative:char;mso-position-vertical-relative:line" id="docshapegroup287" coordorigin="0,0" coordsize="1240,20">
                <v:line style="position:absolute" from="0,10" to="1240,10" stroked="true" strokeweight="1pt" strokecolor="#000000">
                  <v:stroke dashstyle="solid"/>
                </v:line>
              </v:group>
            </w:pict>
          </mc:Fallback>
        </mc:AlternateContent>
      </w:r>
      <w:r>
        <w:rPr>
          <w:spacing w:val="75"/>
          <w:sz w:val="2"/>
        </w:rPr>
      </w:r>
      <w:r>
        <w:rPr>
          <w:spacing w:val="75"/>
          <w:sz w:val="2"/>
        </w:rPr>
        <w:t> </w:t>
      </w:r>
      <w:r>
        <w:rPr>
          <w:spacing w:val="75"/>
          <w:sz w:val="2"/>
        </w:rPr>
        <mc:AlternateContent>
          <mc:Choice Requires="wps">
            <w:drawing>
              <wp:inline distT="0" distB="0" distL="0" distR="0">
                <wp:extent cx="787400" cy="12700"/>
                <wp:effectExtent l="9525" t="0" r="3175" b="6350"/>
                <wp:docPr id="351" name="Group 351"/>
                <wp:cNvGraphicFramePr>
                  <a:graphicFrameLocks/>
                </wp:cNvGraphicFramePr>
                <a:graphic>
                  <a:graphicData uri="http://schemas.microsoft.com/office/word/2010/wordprocessingGroup">
                    <wpg:wgp>
                      <wpg:cNvPr id="351" name="Group 351"/>
                      <wpg:cNvGrpSpPr/>
                      <wpg:grpSpPr>
                        <a:xfrm>
                          <a:off x="0" y="0"/>
                          <a:ext cx="787400" cy="12700"/>
                          <a:chExt cx="787400" cy="12700"/>
                        </a:xfrm>
                      </wpg:grpSpPr>
                      <wps:wsp>
                        <wps:cNvPr id="352" name="Graphic 352"/>
                        <wps:cNvSpPr/>
                        <wps:spPr>
                          <a:xfrm>
                            <a:off x="0" y="635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1pt;mso-position-horizontal-relative:char;mso-position-vertical-relative:line" id="docshapegroup288" coordorigin="0,0" coordsize="1240,20">
                <v:line style="position:absolute" from="0,10" to="1240,10" stroked="true" strokeweight="1pt" strokecolor="#000000">
                  <v:stroke dashstyle="solid"/>
                </v:line>
              </v:group>
            </w:pict>
          </mc:Fallback>
        </mc:AlternateContent>
      </w:r>
      <w:r>
        <w:rPr>
          <w:spacing w:val="75"/>
          <w:sz w:val="2"/>
        </w:rPr>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2"/>
        <w:gridCol w:w="1458"/>
        <w:gridCol w:w="1345"/>
        <w:gridCol w:w="1255"/>
      </w:tblGrid>
      <w:tr>
        <w:trPr>
          <w:trHeight w:val="225" w:hRule="atLeast"/>
        </w:trPr>
        <w:tc>
          <w:tcPr>
            <w:tcW w:w="6182" w:type="dxa"/>
          </w:tcPr>
          <w:p>
            <w:pPr>
              <w:pStyle w:val="TableParagraph"/>
              <w:spacing w:line="199" w:lineRule="exact"/>
              <w:ind w:left="50"/>
              <w:rPr>
                <w:sz w:val="18"/>
              </w:rPr>
            </w:pPr>
            <w:r>
              <w:rPr>
                <w:sz w:val="18"/>
              </w:rPr>
              <w:t>Cash</w:t>
            </w:r>
            <w:r>
              <w:rPr>
                <w:spacing w:val="-3"/>
                <w:sz w:val="18"/>
              </w:rPr>
              <w:t> </w:t>
            </w:r>
            <w:r>
              <w:rPr>
                <w:sz w:val="18"/>
              </w:rPr>
              <w:t>flows</w:t>
            </w:r>
            <w:r>
              <w:rPr>
                <w:spacing w:val="-2"/>
                <w:sz w:val="18"/>
              </w:rPr>
              <w:t> </w:t>
            </w:r>
            <w:r>
              <w:rPr>
                <w:sz w:val="18"/>
              </w:rPr>
              <w:t>from</w:t>
            </w:r>
            <w:r>
              <w:rPr>
                <w:spacing w:val="-1"/>
                <w:sz w:val="18"/>
              </w:rPr>
              <w:t> </w:t>
            </w:r>
            <w:r>
              <w:rPr>
                <w:sz w:val="18"/>
              </w:rPr>
              <w:t>operating</w:t>
            </w:r>
            <w:r>
              <w:rPr>
                <w:spacing w:val="-1"/>
                <w:sz w:val="18"/>
              </w:rPr>
              <w:t> </w:t>
            </w:r>
            <w:r>
              <w:rPr>
                <w:spacing w:val="-2"/>
                <w:sz w:val="18"/>
              </w:rPr>
              <w:t>activities:</w:t>
            </w:r>
          </w:p>
        </w:tc>
        <w:tc>
          <w:tcPr>
            <w:tcW w:w="4058" w:type="dxa"/>
            <w:gridSpan w:val="3"/>
          </w:tcPr>
          <w:p>
            <w:pPr>
              <w:pStyle w:val="TableParagraph"/>
              <w:rPr>
                <w:sz w:val="16"/>
              </w:rPr>
            </w:pPr>
          </w:p>
        </w:tc>
      </w:tr>
      <w:tr>
        <w:trPr>
          <w:trHeight w:val="240" w:hRule="atLeast"/>
        </w:trPr>
        <w:tc>
          <w:tcPr>
            <w:tcW w:w="6182" w:type="dxa"/>
            <w:shd w:val="clear" w:color="auto" w:fill="CCEDFF"/>
          </w:tcPr>
          <w:p>
            <w:pPr>
              <w:pStyle w:val="TableParagraph"/>
              <w:spacing w:before="6"/>
              <w:ind w:left="170"/>
              <w:rPr>
                <w:sz w:val="18"/>
              </w:rPr>
            </w:pPr>
            <w:r>
              <w:rPr>
                <w:sz w:val="18"/>
              </w:rPr>
              <w:t>Net </w:t>
            </w:r>
            <w:r>
              <w:rPr>
                <w:spacing w:val="-2"/>
                <w:sz w:val="18"/>
              </w:rPr>
              <w:t>income</w:t>
            </w:r>
          </w:p>
        </w:tc>
        <w:tc>
          <w:tcPr>
            <w:tcW w:w="1458" w:type="dxa"/>
            <w:shd w:val="clear" w:color="auto" w:fill="CCEDFF"/>
          </w:tcPr>
          <w:p>
            <w:pPr>
              <w:pStyle w:val="TableParagraph"/>
              <w:tabs>
                <w:tab w:pos="399" w:val="left" w:leader="none"/>
              </w:tabs>
              <w:spacing w:before="6"/>
              <w:ind w:right="109"/>
              <w:jc w:val="right"/>
              <w:rPr>
                <w:sz w:val="18"/>
              </w:rPr>
            </w:pPr>
            <w:r>
              <w:rPr>
                <w:spacing w:val="-10"/>
                <w:sz w:val="18"/>
              </w:rPr>
              <w:t>$</w:t>
            </w:r>
            <w:r>
              <w:rPr>
                <w:sz w:val="18"/>
              </w:rPr>
              <w:tab/>
            </w:r>
            <w:r>
              <w:rPr>
                <w:spacing w:val="-2"/>
                <w:sz w:val="18"/>
              </w:rPr>
              <w:t>1,693,954</w:t>
            </w:r>
          </w:p>
        </w:tc>
        <w:tc>
          <w:tcPr>
            <w:tcW w:w="1345" w:type="dxa"/>
            <w:shd w:val="clear" w:color="auto" w:fill="CCEDFF"/>
          </w:tcPr>
          <w:p>
            <w:pPr>
              <w:pStyle w:val="TableParagraph"/>
              <w:tabs>
                <w:tab w:pos="399" w:val="left" w:leader="none"/>
              </w:tabs>
              <w:spacing w:before="6"/>
              <w:ind w:right="134"/>
              <w:jc w:val="right"/>
              <w:rPr>
                <w:sz w:val="18"/>
              </w:rPr>
            </w:pPr>
            <w:r>
              <w:rPr>
                <w:spacing w:val="-10"/>
                <w:sz w:val="18"/>
              </w:rPr>
              <w:t>$</w:t>
            </w:r>
            <w:r>
              <w:rPr>
                <w:sz w:val="18"/>
              </w:rPr>
              <w:tab/>
            </w:r>
            <w:r>
              <w:rPr>
                <w:spacing w:val="-2"/>
                <w:sz w:val="18"/>
              </w:rPr>
              <w:t>1,168,782</w:t>
            </w:r>
          </w:p>
        </w:tc>
        <w:tc>
          <w:tcPr>
            <w:tcW w:w="1255" w:type="dxa"/>
            <w:shd w:val="clear" w:color="auto" w:fill="CCEDFF"/>
          </w:tcPr>
          <w:p>
            <w:pPr>
              <w:pStyle w:val="TableParagraph"/>
              <w:tabs>
                <w:tab w:pos="534" w:val="left" w:leader="none"/>
              </w:tabs>
              <w:spacing w:before="6"/>
              <w:ind w:right="69"/>
              <w:jc w:val="right"/>
              <w:rPr>
                <w:sz w:val="18"/>
              </w:rPr>
            </w:pPr>
            <w:r>
              <w:rPr>
                <w:spacing w:val="-10"/>
                <w:sz w:val="18"/>
              </w:rPr>
              <w:t>$</w:t>
            </w:r>
            <w:r>
              <w:rPr>
                <w:sz w:val="18"/>
              </w:rPr>
              <w:tab/>
            </w:r>
            <w:r>
              <w:rPr>
                <w:spacing w:val="-2"/>
                <w:sz w:val="18"/>
              </w:rPr>
              <w:t>629,551</w:t>
            </w:r>
          </w:p>
        </w:tc>
      </w:tr>
      <w:tr>
        <w:trPr>
          <w:trHeight w:val="240" w:hRule="atLeast"/>
        </w:trPr>
        <w:tc>
          <w:tcPr>
            <w:tcW w:w="6182" w:type="dxa"/>
          </w:tcPr>
          <w:p>
            <w:pPr>
              <w:pStyle w:val="TableParagraph"/>
              <w:spacing w:before="6"/>
              <w:ind w:left="170"/>
              <w:rPr>
                <w:sz w:val="18"/>
              </w:rPr>
            </w:pPr>
            <w:r>
              <w:rPr>
                <w:sz w:val="18"/>
              </w:rPr>
              <w:t>Adjustments</w:t>
            </w:r>
            <w:r>
              <w:rPr>
                <w:spacing w:val="-2"/>
                <w:sz w:val="18"/>
              </w:rPr>
              <w:t> </w:t>
            </w:r>
            <w:r>
              <w:rPr>
                <w:sz w:val="18"/>
              </w:rPr>
              <w:t>to</w:t>
            </w:r>
            <w:r>
              <w:rPr>
                <w:spacing w:val="-1"/>
                <w:sz w:val="18"/>
              </w:rPr>
              <w:t> </w:t>
            </w:r>
            <w:r>
              <w:rPr>
                <w:sz w:val="18"/>
              </w:rPr>
              <w:t>reconcile</w:t>
            </w:r>
            <w:r>
              <w:rPr>
                <w:spacing w:val="-1"/>
                <w:sz w:val="18"/>
              </w:rPr>
              <w:t> </w:t>
            </w:r>
            <w:r>
              <w:rPr>
                <w:sz w:val="18"/>
              </w:rPr>
              <w:t>net</w:t>
            </w:r>
            <w:r>
              <w:rPr>
                <w:spacing w:val="-1"/>
                <w:sz w:val="18"/>
              </w:rPr>
              <w:t> </w:t>
            </w:r>
            <w:r>
              <w:rPr>
                <w:sz w:val="18"/>
              </w:rPr>
              <w:t>income</w:t>
            </w:r>
            <w:r>
              <w:rPr>
                <w:spacing w:val="-1"/>
                <w:sz w:val="18"/>
              </w:rPr>
              <w:t> </w:t>
            </w:r>
            <w:r>
              <w:rPr>
                <w:sz w:val="18"/>
              </w:rPr>
              <w:t>to</w:t>
            </w:r>
            <w:r>
              <w:rPr>
                <w:spacing w:val="-1"/>
                <w:sz w:val="18"/>
              </w:rPr>
              <w:t> </w:t>
            </w:r>
            <w:r>
              <w:rPr>
                <w:sz w:val="18"/>
              </w:rPr>
              <w:t>net</w:t>
            </w:r>
            <w:r>
              <w:rPr>
                <w:spacing w:val="-1"/>
                <w:sz w:val="18"/>
              </w:rPr>
              <w:t> </w:t>
            </w:r>
            <w:r>
              <w:rPr>
                <w:sz w:val="18"/>
              </w:rPr>
              <w:t>cash</w:t>
            </w:r>
            <w:r>
              <w:rPr>
                <w:spacing w:val="-1"/>
                <w:sz w:val="18"/>
              </w:rPr>
              <w:t> </w:t>
            </w:r>
            <w:r>
              <w:rPr>
                <w:sz w:val="18"/>
              </w:rPr>
              <w:t>provided</w:t>
            </w:r>
            <w:r>
              <w:rPr>
                <w:spacing w:val="-1"/>
                <w:sz w:val="18"/>
              </w:rPr>
              <w:t> </w:t>
            </w:r>
            <w:r>
              <w:rPr>
                <w:sz w:val="18"/>
              </w:rPr>
              <w:t>by</w:t>
            </w:r>
            <w:r>
              <w:rPr>
                <w:spacing w:val="-1"/>
                <w:sz w:val="18"/>
              </w:rPr>
              <w:t> </w:t>
            </w:r>
            <w:r>
              <w:rPr>
                <w:sz w:val="18"/>
              </w:rPr>
              <w:t>operating </w:t>
            </w:r>
            <w:r>
              <w:rPr>
                <w:spacing w:val="-2"/>
                <w:sz w:val="18"/>
              </w:rPr>
              <w:t>activities:</w:t>
            </w:r>
          </w:p>
        </w:tc>
        <w:tc>
          <w:tcPr>
            <w:tcW w:w="1458" w:type="dxa"/>
          </w:tcPr>
          <w:p>
            <w:pPr>
              <w:pStyle w:val="TableParagraph"/>
              <w:rPr>
                <w:sz w:val="16"/>
              </w:rPr>
            </w:pPr>
          </w:p>
        </w:tc>
        <w:tc>
          <w:tcPr>
            <w:tcW w:w="1345" w:type="dxa"/>
          </w:tcPr>
          <w:p>
            <w:pPr>
              <w:pStyle w:val="TableParagraph"/>
              <w:rPr>
                <w:sz w:val="16"/>
              </w:rPr>
            </w:pPr>
          </w:p>
        </w:tc>
        <w:tc>
          <w:tcPr>
            <w:tcW w:w="1255" w:type="dxa"/>
          </w:tcPr>
          <w:p>
            <w:pPr>
              <w:pStyle w:val="TableParagraph"/>
              <w:rPr>
                <w:sz w:val="16"/>
              </w:rPr>
            </w:pPr>
          </w:p>
        </w:tc>
      </w:tr>
      <w:tr>
        <w:trPr>
          <w:trHeight w:val="240" w:hRule="atLeast"/>
        </w:trPr>
        <w:tc>
          <w:tcPr>
            <w:tcW w:w="6182" w:type="dxa"/>
            <w:shd w:val="clear" w:color="auto" w:fill="CCEDFF"/>
          </w:tcPr>
          <w:p>
            <w:pPr>
              <w:pStyle w:val="TableParagraph"/>
              <w:spacing w:before="6"/>
              <w:ind w:left="410"/>
              <w:rPr>
                <w:sz w:val="18"/>
              </w:rPr>
            </w:pPr>
            <w:r>
              <w:rPr>
                <w:sz w:val="18"/>
              </w:rPr>
              <w:t>Depreciation, amortization and </w:t>
            </w:r>
            <w:r>
              <w:rPr>
                <w:spacing w:val="-2"/>
                <w:sz w:val="18"/>
              </w:rPr>
              <w:t>accretion</w:t>
            </w:r>
          </w:p>
        </w:tc>
        <w:tc>
          <w:tcPr>
            <w:tcW w:w="1458" w:type="dxa"/>
            <w:shd w:val="clear" w:color="auto" w:fill="CCEDFF"/>
          </w:tcPr>
          <w:p>
            <w:pPr>
              <w:pStyle w:val="TableParagraph"/>
              <w:spacing w:before="6"/>
              <w:ind w:right="109"/>
              <w:jc w:val="right"/>
              <w:rPr>
                <w:sz w:val="18"/>
              </w:rPr>
            </w:pPr>
            <w:r>
              <w:rPr>
                <w:spacing w:val="-2"/>
                <w:sz w:val="18"/>
              </w:rPr>
              <w:t>325,997</w:t>
            </w:r>
          </w:p>
        </w:tc>
        <w:tc>
          <w:tcPr>
            <w:tcW w:w="1345" w:type="dxa"/>
            <w:shd w:val="clear" w:color="auto" w:fill="CCEDFF"/>
          </w:tcPr>
          <w:p>
            <w:pPr>
              <w:pStyle w:val="TableParagraph"/>
              <w:spacing w:before="6"/>
              <w:ind w:right="134"/>
              <w:jc w:val="right"/>
              <w:rPr>
                <w:sz w:val="18"/>
              </w:rPr>
            </w:pPr>
            <w:r>
              <w:rPr>
                <w:spacing w:val="-2"/>
                <w:sz w:val="18"/>
              </w:rPr>
              <w:t>331,535</w:t>
            </w:r>
          </w:p>
        </w:tc>
        <w:tc>
          <w:tcPr>
            <w:tcW w:w="1255" w:type="dxa"/>
            <w:shd w:val="clear" w:color="auto" w:fill="CCEDFF"/>
          </w:tcPr>
          <w:p>
            <w:pPr>
              <w:pStyle w:val="TableParagraph"/>
              <w:spacing w:before="6"/>
              <w:ind w:right="69"/>
              <w:jc w:val="right"/>
              <w:rPr>
                <w:sz w:val="18"/>
              </w:rPr>
            </w:pPr>
            <w:r>
              <w:rPr>
                <w:spacing w:val="-2"/>
                <w:sz w:val="18"/>
              </w:rPr>
              <w:t>339,473</w:t>
            </w:r>
          </w:p>
        </w:tc>
      </w:tr>
      <w:tr>
        <w:trPr>
          <w:trHeight w:val="240" w:hRule="atLeast"/>
        </w:trPr>
        <w:tc>
          <w:tcPr>
            <w:tcW w:w="6182" w:type="dxa"/>
          </w:tcPr>
          <w:p>
            <w:pPr>
              <w:pStyle w:val="TableParagraph"/>
              <w:spacing w:before="6"/>
              <w:ind w:left="410"/>
              <w:rPr>
                <w:sz w:val="18"/>
              </w:rPr>
            </w:pPr>
            <w:r>
              <w:rPr>
                <w:sz w:val="18"/>
              </w:rPr>
              <w:t>Stock-based </w:t>
            </w:r>
            <w:r>
              <w:rPr>
                <w:spacing w:val="-2"/>
                <w:sz w:val="18"/>
              </w:rPr>
              <w:t>compensation</w:t>
            </w:r>
          </w:p>
        </w:tc>
        <w:tc>
          <w:tcPr>
            <w:tcW w:w="1458" w:type="dxa"/>
          </w:tcPr>
          <w:p>
            <w:pPr>
              <w:pStyle w:val="TableParagraph"/>
              <w:spacing w:before="6"/>
              <w:ind w:right="109"/>
              <w:jc w:val="right"/>
              <w:rPr>
                <w:sz w:val="18"/>
              </w:rPr>
            </w:pPr>
            <w:r>
              <w:rPr>
                <w:spacing w:val="-2"/>
                <w:sz w:val="18"/>
              </w:rPr>
              <w:t>451,451</w:t>
            </w:r>
          </w:p>
        </w:tc>
        <w:tc>
          <w:tcPr>
            <w:tcW w:w="1345" w:type="dxa"/>
          </w:tcPr>
          <w:p>
            <w:pPr>
              <w:pStyle w:val="TableParagraph"/>
              <w:spacing w:before="6"/>
              <w:ind w:right="134"/>
              <w:jc w:val="right"/>
              <w:rPr>
                <w:sz w:val="18"/>
              </w:rPr>
            </w:pPr>
            <w:r>
              <w:rPr>
                <w:spacing w:val="-2"/>
                <w:sz w:val="18"/>
              </w:rPr>
              <w:t>349,912</w:t>
            </w:r>
          </w:p>
        </w:tc>
        <w:tc>
          <w:tcPr>
            <w:tcW w:w="1255" w:type="dxa"/>
          </w:tcPr>
          <w:p>
            <w:pPr>
              <w:pStyle w:val="TableParagraph"/>
              <w:spacing w:before="6"/>
              <w:ind w:right="69"/>
              <w:jc w:val="right"/>
              <w:rPr>
                <w:sz w:val="18"/>
              </w:rPr>
            </w:pPr>
            <w:r>
              <w:rPr>
                <w:spacing w:val="-2"/>
                <w:sz w:val="18"/>
              </w:rPr>
              <w:t>335,859</w:t>
            </w:r>
          </w:p>
        </w:tc>
      </w:tr>
      <w:tr>
        <w:trPr>
          <w:trHeight w:val="240" w:hRule="atLeast"/>
        </w:trPr>
        <w:tc>
          <w:tcPr>
            <w:tcW w:w="6182" w:type="dxa"/>
            <w:shd w:val="clear" w:color="auto" w:fill="CCEDFF"/>
          </w:tcPr>
          <w:p>
            <w:pPr>
              <w:pStyle w:val="TableParagraph"/>
              <w:spacing w:before="6"/>
              <w:ind w:left="410"/>
              <w:rPr>
                <w:sz w:val="18"/>
              </w:rPr>
            </w:pPr>
            <w:r>
              <w:rPr>
                <w:sz w:val="18"/>
              </w:rPr>
              <w:t>Deferred income </w:t>
            </w:r>
            <w:r>
              <w:rPr>
                <w:spacing w:val="-2"/>
                <w:sz w:val="18"/>
              </w:rPr>
              <w:t>taxes</w:t>
            </w:r>
          </w:p>
        </w:tc>
        <w:tc>
          <w:tcPr>
            <w:tcW w:w="1458" w:type="dxa"/>
            <w:shd w:val="clear" w:color="auto" w:fill="CCEDFF"/>
          </w:tcPr>
          <w:p>
            <w:pPr>
              <w:pStyle w:val="TableParagraph"/>
              <w:spacing w:before="6"/>
              <w:ind w:right="109"/>
              <w:jc w:val="right"/>
              <w:rPr>
                <w:sz w:val="18"/>
              </w:rPr>
            </w:pPr>
            <w:r>
              <w:rPr>
                <w:spacing w:val="-2"/>
                <w:sz w:val="18"/>
              </w:rPr>
              <w:t>51,605</w:t>
            </w:r>
          </w:p>
        </w:tc>
        <w:tc>
          <w:tcPr>
            <w:tcW w:w="1345" w:type="dxa"/>
            <w:shd w:val="clear" w:color="auto" w:fill="CCEDFF"/>
          </w:tcPr>
          <w:p>
            <w:pPr>
              <w:pStyle w:val="TableParagraph"/>
              <w:spacing w:before="6"/>
              <w:ind w:right="134"/>
              <w:jc w:val="right"/>
              <w:rPr>
                <w:sz w:val="18"/>
              </w:rPr>
            </w:pPr>
            <w:r>
              <w:rPr>
                <w:spacing w:val="-2"/>
                <w:sz w:val="18"/>
              </w:rPr>
              <w:t>24,222</w:t>
            </w:r>
          </w:p>
        </w:tc>
        <w:tc>
          <w:tcPr>
            <w:tcW w:w="1255" w:type="dxa"/>
            <w:shd w:val="clear" w:color="auto" w:fill="CCEDFF"/>
          </w:tcPr>
          <w:p>
            <w:pPr>
              <w:pStyle w:val="TableParagraph"/>
              <w:spacing w:before="6"/>
              <w:ind w:right="8"/>
              <w:jc w:val="right"/>
              <w:rPr>
                <w:sz w:val="18"/>
              </w:rPr>
            </w:pPr>
            <w:r>
              <w:rPr>
                <w:spacing w:val="-2"/>
                <w:sz w:val="18"/>
              </w:rPr>
              <w:t>(69,657)</w:t>
            </w:r>
          </w:p>
        </w:tc>
      </w:tr>
      <w:tr>
        <w:trPr>
          <w:trHeight w:val="240" w:hRule="atLeast"/>
        </w:trPr>
        <w:tc>
          <w:tcPr>
            <w:tcW w:w="6182" w:type="dxa"/>
          </w:tcPr>
          <w:p>
            <w:pPr>
              <w:pStyle w:val="TableParagraph"/>
              <w:spacing w:before="6"/>
              <w:ind w:left="410"/>
              <w:rPr>
                <w:sz w:val="18"/>
              </w:rPr>
            </w:pPr>
            <w:r>
              <w:rPr>
                <w:sz w:val="18"/>
              </w:rPr>
              <w:t>Gain on the sale of </w:t>
            </w:r>
            <w:r>
              <w:rPr>
                <w:spacing w:val="-2"/>
                <w:sz w:val="18"/>
              </w:rPr>
              <w:t>property</w:t>
            </w:r>
          </w:p>
        </w:tc>
        <w:tc>
          <w:tcPr>
            <w:tcW w:w="1458" w:type="dxa"/>
          </w:tcPr>
          <w:p>
            <w:pPr>
              <w:pStyle w:val="TableParagraph"/>
              <w:spacing w:before="6"/>
              <w:ind w:right="109"/>
              <w:jc w:val="right"/>
              <w:rPr>
                <w:sz w:val="18"/>
              </w:rPr>
            </w:pPr>
            <w:r>
              <w:rPr>
                <w:spacing w:val="-10"/>
                <w:sz w:val="18"/>
              </w:rPr>
              <w:t>—</w:t>
            </w:r>
          </w:p>
        </w:tc>
        <w:tc>
          <w:tcPr>
            <w:tcW w:w="1345" w:type="dxa"/>
          </w:tcPr>
          <w:p>
            <w:pPr>
              <w:pStyle w:val="TableParagraph"/>
              <w:spacing w:before="6"/>
              <w:ind w:right="134"/>
              <w:jc w:val="right"/>
              <w:rPr>
                <w:sz w:val="18"/>
              </w:rPr>
            </w:pPr>
            <w:r>
              <w:rPr>
                <w:spacing w:val="-10"/>
                <w:sz w:val="18"/>
              </w:rPr>
              <w:t>—</w:t>
            </w:r>
          </w:p>
        </w:tc>
        <w:tc>
          <w:tcPr>
            <w:tcW w:w="1255" w:type="dxa"/>
          </w:tcPr>
          <w:p>
            <w:pPr>
              <w:pStyle w:val="TableParagraph"/>
              <w:spacing w:before="6"/>
              <w:ind w:right="8"/>
              <w:jc w:val="right"/>
              <w:rPr>
                <w:sz w:val="18"/>
              </w:rPr>
            </w:pPr>
            <w:r>
              <w:rPr>
                <w:spacing w:val="-2"/>
                <w:sz w:val="18"/>
              </w:rPr>
              <w:t>(21,415)</w:t>
            </w:r>
          </w:p>
        </w:tc>
      </w:tr>
      <w:tr>
        <w:trPr>
          <w:trHeight w:val="240" w:hRule="atLeast"/>
        </w:trPr>
        <w:tc>
          <w:tcPr>
            <w:tcW w:w="6182" w:type="dxa"/>
            <w:shd w:val="clear" w:color="auto" w:fill="CCEDFF"/>
          </w:tcPr>
          <w:p>
            <w:pPr>
              <w:pStyle w:val="TableParagraph"/>
              <w:spacing w:before="6"/>
              <w:ind w:left="410"/>
              <w:rPr>
                <w:sz w:val="18"/>
              </w:rPr>
            </w:pPr>
            <w:r>
              <w:rPr>
                <w:sz w:val="18"/>
              </w:rPr>
              <w:t>Unrealized</w:t>
            </w:r>
            <w:r>
              <w:rPr>
                <w:spacing w:val="-4"/>
                <w:sz w:val="18"/>
              </w:rPr>
              <w:t> </w:t>
            </w:r>
            <w:r>
              <w:rPr>
                <w:sz w:val="18"/>
              </w:rPr>
              <w:t>(gains)</w:t>
            </w:r>
            <w:r>
              <w:rPr>
                <w:spacing w:val="-1"/>
                <w:sz w:val="18"/>
              </w:rPr>
              <w:t> </w:t>
            </w:r>
            <w:r>
              <w:rPr>
                <w:sz w:val="18"/>
              </w:rPr>
              <w:t>losses</w:t>
            </w:r>
            <w:r>
              <w:rPr>
                <w:spacing w:val="-2"/>
                <w:sz w:val="18"/>
              </w:rPr>
              <w:t> </w:t>
            </w:r>
            <w:r>
              <w:rPr>
                <w:sz w:val="18"/>
              </w:rPr>
              <w:t>on</w:t>
            </w:r>
            <w:r>
              <w:rPr>
                <w:spacing w:val="-1"/>
                <w:sz w:val="18"/>
              </w:rPr>
              <w:t> </w:t>
            </w:r>
            <w:r>
              <w:rPr>
                <w:spacing w:val="-2"/>
                <w:sz w:val="18"/>
              </w:rPr>
              <w:t>investments</w:t>
            </w:r>
          </w:p>
        </w:tc>
        <w:tc>
          <w:tcPr>
            <w:tcW w:w="1458" w:type="dxa"/>
            <w:shd w:val="clear" w:color="auto" w:fill="CCEDFF"/>
          </w:tcPr>
          <w:p>
            <w:pPr>
              <w:pStyle w:val="TableParagraph"/>
              <w:spacing w:before="6"/>
              <w:ind w:right="48"/>
              <w:jc w:val="right"/>
              <w:rPr>
                <w:sz w:val="18"/>
              </w:rPr>
            </w:pPr>
            <w:r>
              <w:rPr>
                <w:spacing w:val="-2"/>
                <w:sz w:val="18"/>
              </w:rPr>
              <w:t>(5,494)</w:t>
            </w:r>
          </w:p>
        </w:tc>
        <w:tc>
          <w:tcPr>
            <w:tcW w:w="1345" w:type="dxa"/>
            <w:shd w:val="clear" w:color="auto" w:fill="CCEDFF"/>
          </w:tcPr>
          <w:p>
            <w:pPr>
              <w:pStyle w:val="TableParagraph"/>
              <w:spacing w:before="6"/>
              <w:ind w:right="134"/>
              <w:jc w:val="right"/>
              <w:rPr>
                <w:sz w:val="18"/>
              </w:rPr>
            </w:pPr>
            <w:r>
              <w:rPr>
                <w:spacing w:val="-2"/>
                <w:sz w:val="18"/>
              </w:rPr>
              <w:t>3,145</w:t>
            </w:r>
          </w:p>
        </w:tc>
        <w:tc>
          <w:tcPr>
            <w:tcW w:w="1255" w:type="dxa"/>
            <w:shd w:val="clear" w:color="auto" w:fill="CCEDFF"/>
          </w:tcPr>
          <w:p>
            <w:pPr>
              <w:pStyle w:val="TableParagraph"/>
              <w:spacing w:before="6"/>
              <w:ind w:right="8"/>
              <w:jc w:val="right"/>
              <w:rPr>
                <w:sz w:val="18"/>
              </w:rPr>
            </w:pPr>
            <w:r>
              <w:rPr>
                <w:spacing w:val="-2"/>
                <w:sz w:val="18"/>
              </w:rPr>
              <w:t>(9,210)</w:t>
            </w:r>
          </w:p>
        </w:tc>
      </w:tr>
      <w:tr>
        <w:trPr>
          <w:trHeight w:val="240" w:hRule="atLeast"/>
        </w:trPr>
        <w:tc>
          <w:tcPr>
            <w:tcW w:w="6182" w:type="dxa"/>
          </w:tcPr>
          <w:p>
            <w:pPr>
              <w:pStyle w:val="TableParagraph"/>
              <w:spacing w:before="6"/>
              <w:ind w:left="410"/>
              <w:rPr>
                <w:sz w:val="18"/>
              </w:rPr>
            </w:pPr>
            <w:r>
              <w:rPr>
                <w:sz w:val="18"/>
              </w:rPr>
              <w:t>Excess</w:t>
            </w:r>
            <w:r>
              <w:rPr>
                <w:spacing w:val="-4"/>
                <w:sz w:val="18"/>
              </w:rPr>
              <w:t> </w:t>
            </w:r>
            <w:r>
              <w:rPr>
                <w:sz w:val="18"/>
              </w:rPr>
              <w:t>tax</w:t>
            </w:r>
            <w:r>
              <w:rPr>
                <w:spacing w:val="-2"/>
                <w:sz w:val="18"/>
              </w:rPr>
              <w:t> </w:t>
            </w:r>
            <w:r>
              <w:rPr>
                <w:sz w:val="18"/>
              </w:rPr>
              <w:t>benefits</w:t>
            </w:r>
            <w:r>
              <w:rPr>
                <w:spacing w:val="-4"/>
                <w:sz w:val="18"/>
              </w:rPr>
              <w:t> </w:t>
            </w:r>
            <w:r>
              <w:rPr>
                <w:sz w:val="18"/>
              </w:rPr>
              <w:t>from</w:t>
            </w:r>
            <w:r>
              <w:rPr>
                <w:spacing w:val="-2"/>
                <w:sz w:val="18"/>
              </w:rPr>
              <w:t> </w:t>
            </w:r>
            <w:r>
              <w:rPr>
                <w:sz w:val="18"/>
              </w:rPr>
              <w:t>stock-based</w:t>
            </w:r>
            <w:r>
              <w:rPr>
                <w:spacing w:val="-2"/>
                <w:sz w:val="18"/>
              </w:rPr>
              <w:t> compensation</w:t>
            </w:r>
          </w:p>
        </w:tc>
        <w:tc>
          <w:tcPr>
            <w:tcW w:w="1458" w:type="dxa"/>
          </w:tcPr>
          <w:p>
            <w:pPr>
              <w:pStyle w:val="TableParagraph"/>
              <w:spacing w:before="6"/>
              <w:ind w:right="109"/>
              <w:jc w:val="right"/>
              <w:rPr>
                <w:sz w:val="18"/>
              </w:rPr>
            </w:pPr>
            <w:r>
              <w:rPr>
                <w:spacing w:val="-10"/>
                <w:sz w:val="18"/>
              </w:rPr>
              <w:t>—</w:t>
            </w:r>
          </w:p>
        </w:tc>
        <w:tc>
          <w:tcPr>
            <w:tcW w:w="1345" w:type="dxa"/>
          </w:tcPr>
          <w:p>
            <w:pPr>
              <w:pStyle w:val="TableParagraph"/>
              <w:spacing w:before="6"/>
              <w:ind w:right="73"/>
              <w:jc w:val="right"/>
              <w:rPr>
                <w:sz w:val="18"/>
              </w:rPr>
            </w:pPr>
            <w:r>
              <w:rPr>
                <w:spacing w:val="-2"/>
                <w:sz w:val="18"/>
              </w:rPr>
              <w:t>(75,105)</w:t>
            </w:r>
          </w:p>
        </w:tc>
        <w:tc>
          <w:tcPr>
            <w:tcW w:w="1255" w:type="dxa"/>
          </w:tcPr>
          <w:p>
            <w:pPr>
              <w:pStyle w:val="TableParagraph"/>
              <w:spacing w:before="6"/>
              <w:ind w:right="8"/>
              <w:jc w:val="right"/>
              <w:rPr>
                <w:sz w:val="18"/>
              </w:rPr>
            </w:pPr>
            <w:r>
              <w:rPr>
                <w:spacing w:val="-2"/>
                <w:sz w:val="18"/>
              </w:rPr>
              <w:t>(68,153)</w:t>
            </w:r>
          </w:p>
        </w:tc>
      </w:tr>
      <w:tr>
        <w:trPr>
          <w:trHeight w:val="240" w:hRule="atLeast"/>
        </w:trPr>
        <w:tc>
          <w:tcPr>
            <w:tcW w:w="6182" w:type="dxa"/>
            <w:shd w:val="clear" w:color="auto" w:fill="CCEDFF"/>
          </w:tcPr>
          <w:p>
            <w:pPr>
              <w:pStyle w:val="TableParagraph"/>
              <w:spacing w:before="6"/>
              <w:ind w:left="410"/>
              <w:rPr>
                <w:sz w:val="18"/>
              </w:rPr>
            </w:pPr>
            <w:r>
              <w:rPr>
                <w:sz w:val="18"/>
              </w:rPr>
              <w:t>Other non-cash </w:t>
            </w:r>
            <w:r>
              <w:rPr>
                <w:spacing w:val="-2"/>
                <w:sz w:val="18"/>
              </w:rPr>
              <w:t>items</w:t>
            </w:r>
          </w:p>
        </w:tc>
        <w:tc>
          <w:tcPr>
            <w:tcW w:w="1458" w:type="dxa"/>
            <w:shd w:val="clear" w:color="auto" w:fill="CCEDFF"/>
          </w:tcPr>
          <w:p>
            <w:pPr>
              <w:pStyle w:val="TableParagraph"/>
              <w:spacing w:before="6"/>
              <w:ind w:right="109"/>
              <w:jc w:val="right"/>
              <w:rPr>
                <w:sz w:val="18"/>
              </w:rPr>
            </w:pPr>
            <w:r>
              <w:rPr>
                <w:spacing w:val="-2"/>
                <w:sz w:val="18"/>
              </w:rPr>
              <w:t>4,625</w:t>
            </w:r>
          </w:p>
        </w:tc>
        <w:tc>
          <w:tcPr>
            <w:tcW w:w="1345" w:type="dxa"/>
            <w:shd w:val="clear" w:color="auto" w:fill="CCEDFF"/>
          </w:tcPr>
          <w:p>
            <w:pPr>
              <w:pStyle w:val="TableParagraph"/>
              <w:spacing w:before="6"/>
              <w:ind w:right="134"/>
              <w:jc w:val="right"/>
              <w:rPr>
                <w:sz w:val="18"/>
              </w:rPr>
            </w:pPr>
            <w:r>
              <w:rPr>
                <w:spacing w:val="-2"/>
                <w:sz w:val="18"/>
              </w:rPr>
              <w:t>2,022</w:t>
            </w:r>
          </w:p>
        </w:tc>
        <w:tc>
          <w:tcPr>
            <w:tcW w:w="1255" w:type="dxa"/>
            <w:shd w:val="clear" w:color="auto" w:fill="CCEDFF"/>
          </w:tcPr>
          <w:p>
            <w:pPr>
              <w:pStyle w:val="TableParagraph"/>
              <w:spacing w:before="6"/>
              <w:ind w:right="69"/>
              <w:jc w:val="right"/>
              <w:rPr>
                <w:sz w:val="18"/>
              </w:rPr>
            </w:pPr>
            <w:r>
              <w:rPr>
                <w:spacing w:val="-2"/>
                <w:sz w:val="18"/>
              </w:rPr>
              <w:t>1,216</w:t>
            </w:r>
          </w:p>
        </w:tc>
      </w:tr>
      <w:tr>
        <w:trPr>
          <w:trHeight w:val="420" w:hRule="atLeast"/>
        </w:trPr>
        <w:tc>
          <w:tcPr>
            <w:tcW w:w="6182" w:type="dxa"/>
          </w:tcPr>
          <w:p>
            <w:pPr>
              <w:pStyle w:val="TableParagraph"/>
              <w:spacing w:line="208" w:lineRule="auto" w:before="28"/>
              <w:ind w:left="590" w:right="261" w:hanging="180"/>
              <w:rPr>
                <w:sz w:val="18"/>
              </w:rPr>
            </w:pPr>
            <w:r>
              <w:rPr>
                <w:sz w:val="18"/>
              </w:rPr>
              <w:t>Changes</w:t>
            </w:r>
            <w:r>
              <w:rPr>
                <w:spacing w:val="-5"/>
                <w:sz w:val="18"/>
              </w:rPr>
              <w:t> </w:t>
            </w:r>
            <w:r>
              <w:rPr>
                <w:sz w:val="18"/>
              </w:rPr>
              <w:t>in</w:t>
            </w:r>
            <w:r>
              <w:rPr>
                <w:spacing w:val="-4"/>
                <w:sz w:val="18"/>
              </w:rPr>
              <w:t> </w:t>
            </w:r>
            <w:r>
              <w:rPr>
                <w:sz w:val="18"/>
              </w:rPr>
              <w:t>operating</w:t>
            </w:r>
            <w:r>
              <w:rPr>
                <w:spacing w:val="-4"/>
                <w:sz w:val="18"/>
              </w:rPr>
              <w:t> </w:t>
            </w:r>
            <w:r>
              <w:rPr>
                <w:sz w:val="18"/>
              </w:rPr>
              <w:t>assets</w:t>
            </w:r>
            <w:r>
              <w:rPr>
                <w:spacing w:val="-5"/>
                <w:sz w:val="18"/>
              </w:rPr>
              <w:t> </w:t>
            </w:r>
            <w:r>
              <w:rPr>
                <w:sz w:val="18"/>
              </w:rPr>
              <w:t>and</w:t>
            </w:r>
            <w:r>
              <w:rPr>
                <w:spacing w:val="-4"/>
                <w:sz w:val="18"/>
              </w:rPr>
              <w:t> </w:t>
            </w:r>
            <w:r>
              <w:rPr>
                <w:sz w:val="18"/>
              </w:rPr>
              <w:t>liabilities,</w:t>
            </w:r>
            <w:r>
              <w:rPr>
                <w:spacing w:val="-4"/>
                <w:sz w:val="18"/>
              </w:rPr>
              <w:t> </w:t>
            </w:r>
            <w:r>
              <w:rPr>
                <w:sz w:val="18"/>
              </w:rPr>
              <w:t>net</w:t>
            </w:r>
            <w:r>
              <w:rPr>
                <w:spacing w:val="-4"/>
                <w:sz w:val="18"/>
              </w:rPr>
              <w:t> </w:t>
            </w:r>
            <w:r>
              <w:rPr>
                <w:sz w:val="18"/>
              </w:rPr>
              <w:t>of</w:t>
            </w:r>
            <w:r>
              <w:rPr>
                <w:spacing w:val="-4"/>
                <w:sz w:val="18"/>
              </w:rPr>
              <w:t> </w:t>
            </w:r>
            <w:r>
              <w:rPr>
                <w:sz w:val="18"/>
              </w:rPr>
              <w:t>acquired</w:t>
            </w:r>
            <w:r>
              <w:rPr>
                <w:spacing w:val="-4"/>
                <w:sz w:val="18"/>
              </w:rPr>
              <w:t> </w:t>
            </w:r>
            <w:r>
              <w:rPr>
                <w:sz w:val="18"/>
              </w:rPr>
              <w:t>assets</w:t>
            </w:r>
            <w:r>
              <w:rPr>
                <w:spacing w:val="-5"/>
                <w:sz w:val="18"/>
              </w:rPr>
              <w:t> </w:t>
            </w:r>
            <w:r>
              <w:rPr>
                <w:sz w:val="18"/>
              </w:rPr>
              <w:t>and assumed liabilities:</w:t>
            </w:r>
          </w:p>
        </w:tc>
        <w:tc>
          <w:tcPr>
            <w:tcW w:w="1458" w:type="dxa"/>
          </w:tcPr>
          <w:p>
            <w:pPr>
              <w:pStyle w:val="TableParagraph"/>
              <w:rPr>
                <w:sz w:val="18"/>
              </w:rPr>
            </w:pPr>
          </w:p>
        </w:tc>
        <w:tc>
          <w:tcPr>
            <w:tcW w:w="1345" w:type="dxa"/>
          </w:tcPr>
          <w:p>
            <w:pPr>
              <w:pStyle w:val="TableParagraph"/>
              <w:rPr>
                <w:sz w:val="18"/>
              </w:rPr>
            </w:pPr>
          </w:p>
        </w:tc>
        <w:tc>
          <w:tcPr>
            <w:tcW w:w="1255" w:type="dxa"/>
          </w:tcPr>
          <w:p>
            <w:pPr>
              <w:pStyle w:val="TableParagraph"/>
              <w:rPr>
                <w:sz w:val="18"/>
              </w:rPr>
            </w:pPr>
          </w:p>
        </w:tc>
      </w:tr>
      <w:tr>
        <w:trPr>
          <w:trHeight w:val="240" w:hRule="atLeast"/>
        </w:trPr>
        <w:tc>
          <w:tcPr>
            <w:tcW w:w="6182" w:type="dxa"/>
            <w:shd w:val="clear" w:color="auto" w:fill="CCEDFF"/>
          </w:tcPr>
          <w:p>
            <w:pPr>
              <w:pStyle w:val="TableParagraph"/>
              <w:spacing w:before="6"/>
              <w:ind w:left="530"/>
              <w:rPr>
                <w:sz w:val="18"/>
              </w:rPr>
            </w:pPr>
            <w:r>
              <w:rPr>
                <w:sz w:val="18"/>
              </w:rPr>
              <w:t>Trade</w:t>
            </w:r>
            <w:r>
              <w:rPr>
                <w:spacing w:val="-4"/>
                <w:sz w:val="18"/>
              </w:rPr>
              <w:t> </w:t>
            </w:r>
            <w:r>
              <w:rPr>
                <w:sz w:val="18"/>
              </w:rPr>
              <w:t>receivables,</w:t>
            </w:r>
            <w:r>
              <w:rPr>
                <w:spacing w:val="-2"/>
                <w:sz w:val="18"/>
              </w:rPr>
              <w:t> </w:t>
            </w:r>
            <w:r>
              <w:rPr>
                <w:spacing w:val="-5"/>
                <w:sz w:val="18"/>
              </w:rPr>
              <w:t>net</w:t>
            </w:r>
          </w:p>
        </w:tc>
        <w:tc>
          <w:tcPr>
            <w:tcW w:w="1458" w:type="dxa"/>
            <w:shd w:val="clear" w:color="auto" w:fill="CCEDFF"/>
          </w:tcPr>
          <w:p>
            <w:pPr>
              <w:pStyle w:val="TableParagraph"/>
              <w:spacing w:before="6"/>
              <w:ind w:right="48"/>
              <w:jc w:val="right"/>
              <w:rPr>
                <w:sz w:val="18"/>
              </w:rPr>
            </w:pPr>
            <w:r>
              <w:rPr>
                <w:spacing w:val="-2"/>
                <w:sz w:val="18"/>
              </w:rPr>
              <w:t>(187,173)</w:t>
            </w:r>
          </w:p>
        </w:tc>
        <w:tc>
          <w:tcPr>
            <w:tcW w:w="1345" w:type="dxa"/>
            <w:shd w:val="clear" w:color="auto" w:fill="CCEDFF"/>
          </w:tcPr>
          <w:p>
            <w:pPr>
              <w:pStyle w:val="TableParagraph"/>
              <w:spacing w:before="6"/>
              <w:ind w:right="73"/>
              <w:jc w:val="right"/>
              <w:rPr>
                <w:sz w:val="18"/>
              </w:rPr>
            </w:pPr>
            <w:r>
              <w:rPr>
                <w:spacing w:val="-2"/>
                <w:sz w:val="18"/>
              </w:rPr>
              <w:t>(160,416)</w:t>
            </w:r>
          </w:p>
        </w:tc>
        <w:tc>
          <w:tcPr>
            <w:tcW w:w="1255" w:type="dxa"/>
            <w:shd w:val="clear" w:color="auto" w:fill="CCEDFF"/>
          </w:tcPr>
          <w:p>
            <w:pPr>
              <w:pStyle w:val="TableParagraph"/>
              <w:spacing w:before="6"/>
              <w:ind w:right="8"/>
              <w:jc w:val="right"/>
              <w:rPr>
                <w:sz w:val="18"/>
              </w:rPr>
            </w:pPr>
            <w:r>
              <w:rPr>
                <w:spacing w:val="-2"/>
                <w:sz w:val="18"/>
              </w:rPr>
              <w:t>(79,502)</w:t>
            </w:r>
          </w:p>
        </w:tc>
      </w:tr>
      <w:tr>
        <w:trPr>
          <w:trHeight w:val="240" w:hRule="atLeast"/>
        </w:trPr>
        <w:tc>
          <w:tcPr>
            <w:tcW w:w="6182" w:type="dxa"/>
          </w:tcPr>
          <w:p>
            <w:pPr>
              <w:pStyle w:val="TableParagraph"/>
              <w:spacing w:before="6"/>
              <w:ind w:left="530"/>
              <w:rPr>
                <w:sz w:val="18"/>
              </w:rPr>
            </w:pPr>
            <w:r>
              <w:rPr>
                <w:sz w:val="18"/>
              </w:rPr>
              <w:t>Prepaid</w:t>
            </w:r>
            <w:r>
              <w:rPr>
                <w:spacing w:val="-2"/>
                <w:sz w:val="18"/>
              </w:rPr>
              <w:t> </w:t>
            </w:r>
            <w:r>
              <w:rPr>
                <w:sz w:val="18"/>
              </w:rPr>
              <w:t>expenses</w:t>
            </w:r>
            <w:r>
              <w:rPr>
                <w:spacing w:val="-2"/>
                <w:sz w:val="18"/>
              </w:rPr>
              <w:t> </w:t>
            </w:r>
            <w:r>
              <w:rPr>
                <w:sz w:val="18"/>
              </w:rPr>
              <w:t>and</w:t>
            </w:r>
            <w:r>
              <w:rPr>
                <w:spacing w:val="-2"/>
                <w:sz w:val="18"/>
              </w:rPr>
              <w:t> </w:t>
            </w:r>
            <w:r>
              <w:rPr>
                <w:sz w:val="18"/>
              </w:rPr>
              <w:t>other</w:t>
            </w:r>
            <w:r>
              <w:rPr>
                <w:spacing w:val="-1"/>
                <w:sz w:val="18"/>
              </w:rPr>
              <w:t> </w:t>
            </w:r>
            <w:r>
              <w:rPr>
                <w:sz w:val="18"/>
              </w:rPr>
              <w:t>current</w:t>
            </w:r>
            <w:r>
              <w:rPr>
                <w:spacing w:val="-1"/>
                <w:sz w:val="18"/>
              </w:rPr>
              <w:t> </w:t>
            </w:r>
            <w:r>
              <w:rPr>
                <w:spacing w:val="-2"/>
                <w:sz w:val="18"/>
              </w:rPr>
              <w:t>assets</w:t>
            </w:r>
          </w:p>
        </w:tc>
        <w:tc>
          <w:tcPr>
            <w:tcW w:w="1458" w:type="dxa"/>
          </w:tcPr>
          <w:p>
            <w:pPr>
              <w:pStyle w:val="TableParagraph"/>
              <w:spacing w:before="6"/>
              <w:ind w:right="109"/>
              <w:jc w:val="right"/>
              <w:rPr>
                <w:sz w:val="18"/>
              </w:rPr>
            </w:pPr>
            <w:r>
              <w:rPr>
                <w:spacing w:val="-2"/>
                <w:sz w:val="18"/>
              </w:rPr>
              <w:t>28,040</w:t>
            </w:r>
          </w:p>
        </w:tc>
        <w:tc>
          <w:tcPr>
            <w:tcW w:w="1345" w:type="dxa"/>
          </w:tcPr>
          <w:p>
            <w:pPr>
              <w:pStyle w:val="TableParagraph"/>
              <w:spacing w:before="6"/>
              <w:ind w:right="73"/>
              <w:jc w:val="right"/>
              <w:rPr>
                <w:sz w:val="18"/>
              </w:rPr>
            </w:pPr>
            <w:r>
              <w:rPr>
                <w:spacing w:val="-2"/>
                <w:sz w:val="18"/>
              </w:rPr>
              <w:t>(71,021)</w:t>
            </w:r>
          </w:p>
        </w:tc>
        <w:tc>
          <w:tcPr>
            <w:tcW w:w="1255" w:type="dxa"/>
          </w:tcPr>
          <w:p>
            <w:pPr>
              <w:pStyle w:val="TableParagraph"/>
              <w:spacing w:before="6"/>
              <w:ind w:right="8"/>
              <w:jc w:val="right"/>
              <w:rPr>
                <w:sz w:val="18"/>
              </w:rPr>
            </w:pPr>
            <w:r>
              <w:rPr>
                <w:spacing w:val="-2"/>
                <w:sz w:val="18"/>
              </w:rPr>
              <w:t>(7,701)</w:t>
            </w:r>
          </w:p>
        </w:tc>
      </w:tr>
      <w:tr>
        <w:trPr>
          <w:trHeight w:val="240" w:hRule="atLeast"/>
        </w:trPr>
        <w:tc>
          <w:tcPr>
            <w:tcW w:w="6182" w:type="dxa"/>
            <w:shd w:val="clear" w:color="auto" w:fill="CCEDFF"/>
          </w:tcPr>
          <w:p>
            <w:pPr>
              <w:pStyle w:val="TableParagraph"/>
              <w:spacing w:before="6"/>
              <w:ind w:left="530"/>
              <w:rPr>
                <w:sz w:val="18"/>
              </w:rPr>
            </w:pPr>
            <w:r>
              <w:rPr>
                <w:sz w:val="18"/>
              </w:rPr>
              <w:t>Trade</w:t>
            </w:r>
            <w:r>
              <w:rPr>
                <w:spacing w:val="-4"/>
                <w:sz w:val="18"/>
              </w:rPr>
              <w:t> </w:t>
            </w:r>
            <w:r>
              <w:rPr>
                <w:spacing w:val="-2"/>
                <w:sz w:val="18"/>
              </w:rPr>
              <w:t>payables</w:t>
            </w:r>
          </w:p>
        </w:tc>
        <w:tc>
          <w:tcPr>
            <w:tcW w:w="1458" w:type="dxa"/>
            <w:shd w:val="clear" w:color="auto" w:fill="CCEDFF"/>
          </w:tcPr>
          <w:p>
            <w:pPr>
              <w:pStyle w:val="TableParagraph"/>
              <w:spacing w:before="6"/>
              <w:ind w:right="48"/>
              <w:jc w:val="right"/>
              <w:rPr>
                <w:sz w:val="18"/>
              </w:rPr>
            </w:pPr>
            <w:r>
              <w:rPr>
                <w:spacing w:val="-2"/>
                <w:sz w:val="18"/>
              </w:rPr>
              <w:t>(45,186)</w:t>
            </w:r>
          </w:p>
        </w:tc>
        <w:tc>
          <w:tcPr>
            <w:tcW w:w="1345" w:type="dxa"/>
            <w:shd w:val="clear" w:color="auto" w:fill="CCEDFF"/>
          </w:tcPr>
          <w:p>
            <w:pPr>
              <w:pStyle w:val="TableParagraph"/>
              <w:spacing w:before="6"/>
              <w:ind w:right="73"/>
              <w:jc w:val="right"/>
              <w:rPr>
                <w:sz w:val="18"/>
              </w:rPr>
            </w:pPr>
            <w:r>
              <w:rPr>
                <w:spacing w:val="-2"/>
                <w:sz w:val="18"/>
              </w:rPr>
              <w:t>(6,281)</w:t>
            </w:r>
          </w:p>
        </w:tc>
        <w:tc>
          <w:tcPr>
            <w:tcW w:w="1255" w:type="dxa"/>
            <w:shd w:val="clear" w:color="auto" w:fill="CCEDFF"/>
          </w:tcPr>
          <w:p>
            <w:pPr>
              <w:pStyle w:val="TableParagraph"/>
              <w:spacing w:before="6"/>
              <w:ind w:right="69"/>
              <w:jc w:val="right"/>
              <w:rPr>
                <w:sz w:val="18"/>
              </w:rPr>
            </w:pPr>
            <w:r>
              <w:rPr>
                <w:spacing w:val="-2"/>
                <w:sz w:val="18"/>
              </w:rPr>
              <w:t>22,870</w:t>
            </w:r>
          </w:p>
        </w:tc>
      </w:tr>
      <w:tr>
        <w:trPr>
          <w:trHeight w:val="240" w:hRule="atLeast"/>
        </w:trPr>
        <w:tc>
          <w:tcPr>
            <w:tcW w:w="6182" w:type="dxa"/>
          </w:tcPr>
          <w:p>
            <w:pPr>
              <w:pStyle w:val="TableParagraph"/>
              <w:spacing w:before="6"/>
              <w:ind w:left="530"/>
              <w:rPr>
                <w:sz w:val="18"/>
              </w:rPr>
            </w:pPr>
            <w:r>
              <w:rPr>
                <w:sz w:val="18"/>
              </w:rPr>
              <w:t>Accrued </w:t>
            </w:r>
            <w:r>
              <w:rPr>
                <w:spacing w:val="-2"/>
                <w:sz w:val="18"/>
              </w:rPr>
              <w:t>expenses</w:t>
            </w:r>
          </w:p>
        </w:tc>
        <w:tc>
          <w:tcPr>
            <w:tcW w:w="1458" w:type="dxa"/>
          </w:tcPr>
          <w:p>
            <w:pPr>
              <w:pStyle w:val="TableParagraph"/>
              <w:spacing w:before="6"/>
              <w:ind w:right="109"/>
              <w:jc w:val="right"/>
              <w:rPr>
                <w:sz w:val="18"/>
              </w:rPr>
            </w:pPr>
            <w:r>
              <w:rPr>
                <w:spacing w:val="-2"/>
                <w:sz w:val="18"/>
              </w:rPr>
              <w:t>154,125</w:t>
            </w:r>
          </w:p>
        </w:tc>
        <w:tc>
          <w:tcPr>
            <w:tcW w:w="1345" w:type="dxa"/>
          </w:tcPr>
          <w:p>
            <w:pPr>
              <w:pStyle w:val="TableParagraph"/>
              <w:spacing w:before="6"/>
              <w:ind w:right="134"/>
              <w:jc w:val="right"/>
              <w:rPr>
                <w:sz w:val="18"/>
              </w:rPr>
            </w:pPr>
            <w:r>
              <w:rPr>
                <w:spacing w:val="-2"/>
                <w:sz w:val="18"/>
              </w:rPr>
              <w:t>64,978</w:t>
            </w:r>
          </w:p>
        </w:tc>
        <w:tc>
          <w:tcPr>
            <w:tcW w:w="1255" w:type="dxa"/>
          </w:tcPr>
          <w:p>
            <w:pPr>
              <w:pStyle w:val="TableParagraph"/>
              <w:spacing w:before="6"/>
              <w:ind w:right="8"/>
              <w:jc w:val="right"/>
              <w:rPr>
                <w:sz w:val="18"/>
              </w:rPr>
            </w:pPr>
            <w:r>
              <w:rPr>
                <w:spacing w:val="-2"/>
                <w:sz w:val="18"/>
              </w:rPr>
              <w:t>(22,564)</w:t>
            </w:r>
          </w:p>
        </w:tc>
      </w:tr>
      <w:tr>
        <w:trPr>
          <w:trHeight w:val="240" w:hRule="atLeast"/>
        </w:trPr>
        <w:tc>
          <w:tcPr>
            <w:tcW w:w="6182" w:type="dxa"/>
            <w:shd w:val="clear" w:color="auto" w:fill="CCEDFF"/>
          </w:tcPr>
          <w:p>
            <w:pPr>
              <w:pStyle w:val="TableParagraph"/>
              <w:spacing w:before="6"/>
              <w:ind w:left="530"/>
              <w:rPr>
                <w:sz w:val="18"/>
              </w:rPr>
            </w:pPr>
            <w:r>
              <w:rPr>
                <w:sz w:val="18"/>
              </w:rPr>
              <w:t>Income</w:t>
            </w:r>
            <w:r>
              <w:rPr>
                <w:spacing w:val="-3"/>
                <w:sz w:val="18"/>
              </w:rPr>
              <w:t> </w:t>
            </w:r>
            <w:r>
              <w:rPr>
                <w:sz w:val="18"/>
              </w:rPr>
              <w:t>taxes</w:t>
            </w:r>
            <w:r>
              <w:rPr>
                <w:spacing w:val="-2"/>
                <w:sz w:val="18"/>
              </w:rPr>
              <w:t> payable</w:t>
            </w:r>
          </w:p>
        </w:tc>
        <w:tc>
          <w:tcPr>
            <w:tcW w:w="1458" w:type="dxa"/>
            <w:shd w:val="clear" w:color="auto" w:fill="CCEDFF"/>
          </w:tcPr>
          <w:p>
            <w:pPr>
              <w:pStyle w:val="TableParagraph"/>
              <w:spacing w:before="6"/>
              <w:ind w:right="48"/>
              <w:jc w:val="right"/>
              <w:rPr>
                <w:sz w:val="18"/>
              </w:rPr>
            </w:pPr>
            <w:r>
              <w:rPr>
                <w:spacing w:val="-2"/>
                <w:sz w:val="18"/>
              </w:rPr>
              <w:t>(34,493)</w:t>
            </w:r>
          </w:p>
        </w:tc>
        <w:tc>
          <w:tcPr>
            <w:tcW w:w="1345" w:type="dxa"/>
            <w:shd w:val="clear" w:color="auto" w:fill="CCEDFF"/>
          </w:tcPr>
          <w:p>
            <w:pPr>
              <w:pStyle w:val="TableParagraph"/>
              <w:spacing w:before="6"/>
              <w:ind w:right="134"/>
              <w:jc w:val="right"/>
              <w:rPr>
                <w:sz w:val="18"/>
              </w:rPr>
            </w:pPr>
            <w:r>
              <w:rPr>
                <w:spacing w:val="-2"/>
                <w:sz w:val="18"/>
              </w:rPr>
              <w:t>43,115</w:t>
            </w:r>
          </w:p>
        </w:tc>
        <w:tc>
          <w:tcPr>
            <w:tcW w:w="1255" w:type="dxa"/>
            <w:shd w:val="clear" w:color="auto" w:fill="CCEDFF"/>
          </w:tcPr>
          <w:p>
            <w:pPr>
              <w:pStyle w:val="TableParagraph"/>
              <w:spacing w:before="6"/>
              <w:ind w:right="69"/>
              <w:jc w:val="right"/>
              <w:rPr>
                <w:sz w:val="18"/>
              </w:rPr>
            </w:pPr>
            <w:r>
              <w:rPr>
                <w:spacing w:val="-2"/>
                <w:sz w:val="18"/>
              </w:rPr>
              <w:t>97,934</w:t>
            </w:r>
          </w:p>
        </w:tc>
      </w:tr>
      <w:tr>
        <w:trPr>
          <w:trHeight w:val="230" w:hRule="atLeast"/>
        </w:trPr>
        <w:tc>
          <w:tcPr>
            <w:tcW w:w="6182" w:type="dxa"/>
          </w:tcPr>
          <w:p>
            <w:pPr>
              <w:pStyle w:val="TableParagraph"/>
              <w:spacing w:line="203" w:lineRule="exact" w:before="6"/>
              <w:ind w:left="530"/>
              <w:rPr>
                <w:sz w:val="18"/>
              </w:rPr>
            </w:pPr>
            <w:r>
              <w:rPr>
                <w:sz w:val="18"/>
              </w:rPr>
              <w:t>Deferred </w:t>
            </w:r>
            <w:r>
              <w:rPr>
                <w:spacing w:val="-2"/>
                <w:sz w:val="18"/>
              </w:rPr>
              <w:t>revenue</w:t>
            </w:r>
          </w:p>
        </w:tc>
        <w:tc>
          <w:tcPr>
            <w:tcW w:w="1458" w:type="dxa"/>
            <w:tcBorders>
              <w:bottom w:val="single" w:sz="8" w:space="0" w:color="000000"/>
            </w:tcBorders>
          </w:tcPr>
          <w:p>
            <w:pPr>
              <w:pStyle w:val="TableParagraph"/>
              <w:spacing w:line="203" w:lineRule="exact" w:before="6"/>
              <w:ind w:right="109"/>
              <w:jc w:val="right"/>
              <w:rPr>
                <w:sz w:val="18"/>
              </w:rPr>
            </w:pPr>
            <w:r>
              <w:rPr>
                <w:spacing w:val="-2"/>
                <w:sz w:val="18"/>
              </w:rPr>
              <w:t>475,402</w:t>
            </w:r>
          </w:p>
        </w:tc>
        <w:tc>
          <w:tcPr>
            <w:tcW w:w="1345" w:type="dxa"/>
            <w:tcBorders>
              <w:bottom w:val="single" w:sz="8" w:space="0" w:color="000000"/>
            </w:tcBorders>
          </w:tcPr>
          <w:p>
            <w:pPr>
              <w:pStyle w:val="TableParagraph"/>
              <w:spacing w:line="203" w:lineRule="exact" w:before="6"/>
              <w:ind w:right="134"/>
              <w:jc w:val="right"/>
              <w:rPr>
                <w:sz w:val="18"/>
              </w:rPr>
            </w:pPr>
            <w:r>
              <w:rPr>
                <w:spacing w:val="-2"/>
                <w:sz w:val="18"/>
              </w:rPr>
              <w:t>524,840</w:t>
            </w:r>
          </w:p>
        </w:tc>
        <w:tc>
          <w:tcPr>
            <w:tcW w:w="1255" w:type="dxa"/>
            <w:tcBorders>
              <w:bottom w:val="single" w:sz="8" w:space="0" w:color="000000"/>
            </w:tcBorders>
          </w:tcPr>
          <w:p>
            <w:pPr>
              <w:pStyle w:val="TableParagraph"/>
              <w:spacing w:line="203" w:lineRule="exact" w:before="6"/>
              <w:ind w:right="69"/>
              <w:jc w:val="right"/>
              <w:rPr>
                <w:sz w:val="18"/>
              </w:rPr>
            </w:pPr>
            <w:r>
              <w:rPr>
                <w:spacing w:val="-2"/>
                <w:sz w:val="18"/>
              </w:rPr>
              <w:t>320,801</w:t>
            </w:r>
          </w:p>
        </w:tc>
      </w:tr>
      <w:tr>
        <w:trPr>
          <w:trHeight w:val="220" w:hRule="atLeast"/>
        </w:trPr>
        <w:tc>
          <w:tcPr>
            <w:tcW w:w="6182" w:type="dxa"/>
            <w:shd w:val="clear" w:color="auto" w:fill="CCEDFF"/>
          </w:tcPr>
          <w:p>
            <w:pPr>
              <w:pStyle w:val="TableParagraph"/>
              <w:spacing w:line="200" w:lineRule="exact"/>
              <w:ind w:left="770"/>
              <w:rPr>
                <w:sz w:val="18"/>
              </w:rPr>
            </w:pPr>
            <w:r>
              <w:rPr>
                <w:sz w:val="18"/>
              </w:rPr>
              <w:t>Net cash provided by operating </w:t>
            </w:r>
            <w:r>
              <w:rPr>
                <w:spacing w:val="-2"/>
                <w:sz w:val="18"/>
              </w:rPr>
              <w:t>activities</w:t>
            </w:r>
          </w:p>
        </w:tc>
        <w:tc>
          <w:tcPr>
            <w:tcW w:w="1458" w:type="dxa"/>
            <w:tcBorders>
              <w:top w:val="single" w:sz="8" w:space="0" w:color="000000"/>
              <w:bottom w:val="single" w:sz="8" w:space="0" w:color="000000"/>
            </w:tcBorders>
            <w:shd w:val="clear" w:color="auto" w:fill="CCEDFF"/>
          </w:tcPr>
          <w:p>
            <w:pPr>
              <w:pStyle w:val="TableParagraph"/>
              <w:spacing w:line="200" w:lineRule="exact"/>
              <w:ind w:right="109"/>
              <w:jc w:val="right"/>
              <w:rPr>
                <w:sz w:val="18"/>
              </w:rPr>
            </w:pPr>
            <w:r>
              <w:rPr>
                <w:spacing w:val="-2"/>
                <w:sz w:val="18"/>
              </w:rPr>
              <w:t>2,912,853</w:t>
            </w:r>
          </w:p>
        </w:tc>
        <w:tc>
          <w:tcPr>
            <w:tcW w:w="1345" w:type="dxa"/>
            <w:tcBorders>
              <w:top w:val="single" w:sz="8" w:space="0" w:color="000000"/>
              <w:bottom w:val="single" w:sz="8" w:space="0" w:color="000000"/>
            </w:tcBorders>
            <w:shd w:val="clear" w:color="auto" w:fill="CCEDFF"/>
          </w:tcPr>
          <w:p>
            <w:pPr>
              <w:pStyle w:val="TableParagraph"/>
              <w:spacing w:line="200" w:lineRule="exact"/>
              <w:ind w:right="134"/>
              <w:jc w:val="right"/>
              <w:rPr>
                <w:sz w:val="18"/>
              </w:rPr>
            </w:pPr>
            <w:r>
              <w:rPr>
                <w:spacing w:val="-2"/>
                <w:sz w:val="18"/>
              </w:rPr>
              <w:t>2,199,728</w:t>
            </w:r>
          </w:p>
        </w:tc>
        <w:tc>
          <w:tcPr>
            <w:tcW w:w="1255" w:type="dxa"/>
            <w:tcBorders>
              <w:top w:val="single" w:sz="8" w:space="0" w:color="000000"/>
              <w:bottom w:val="single" w:sz="8" w:space="0" w:color="000000"/>
            </w:tcBorders>
            <w:shd w:val="clear" w:color="auto" w:fill="CCEDFF"/>
          </w:tcPr>
          <w:p>
            <w:pPr>
              <w:pStyle w:val="TableParagraph"/>
              <w:spacing w:line="200" w:lineRule="exact"/>
              <w:ind w:right="69"/>
              <w:jc w:val="right"/>
              <w:rPr>
                <w:sz w:val="18"/>
              </w:rPr>
            </w:pPr>
            <w:r>
              <w:rPr>
                <w:spacing w:val="-2"/>
                <w:sz w:val="18"/>
              </w:rPr>
              <w:t>1,469,502</w:t>
            </w:r>
          </w:p>
        </w:tc>
      </w:tr>
      <w:tr>
        <w:trPr>
          <w:trHeight w:val="230" w:hRule="atLeast"/>
        </w:trPr>
        <w:tc>
          <w:tcPr>
            <w:tcW w:w="6182" w:type="dxa"/>
          </w:tcPr>
          <w:p>
            <w:pPr>
              <w:pStyle w:val="TableParagraph"/>
              <w:spacing w:line="204" w:lineRule="exact"/>
              <w:ind w:left="50"/>
              <w:rPr>
                <w:sz w:val="18"/>
              </w:rPr>
            </w:pPr>
            <w:r>
              <w:rPr>
                <w:sz w:val="18"/>
              </w:rPr>
              <w:t>Cash</w:t>
            </w:r>
            <w:r>
              <w:rPr>
                <w:spacing w:val="-3"/>
                <w:sz w:val="18"/>
              </w:rPr>
              <w:t> </w:t>
            </w:r>
            <w:r>
              <w:rPr>
                <w:sz w:val="18"/>
              </w:rPr>
              <w:t>flows</w:t>
            </w:r>
            <w:r>
              <w:rPr>
                <w:spacing w:val="-2"/>
                <w:sz w:val="18"/>
              </w:rPr>
              <w:t> </w:t>
            </w:r>
            <w:r>
              <w:rPr>
                <w:sz w:val="18"/>
              </w:rPr>
              <w:t>from</w:t>
            </w:r>
            <w:r>
              <w:rPr>
                <w:spacing w:val="-1"/>
                <w:sz w:val="18"/>
              </w:rPr>
              <w:t> </w:t>
            </w:r>
            <w:r>
              <w:rPr>
                <w:sz w:val="18"/>
              </w:rPr>
              <w:t>investing</w:t>
            </w:r>
            <w:r>
              <w:rPr>
                <w:spacing w:val="-1"/>
                <w:sz w:val="18"/>
              </w:rPr>
              <w:t> </w:t>
            </w:r>
            <w:r>
              <w:rPr>
                <w:spacing w:val="-2"/>
                <w:sz w:val="18"/>
              </w:rPr>
              <w:t>activities:</w:t>
            </w:r>
          </w:p>
        </w:tc>
        <w:tc>
          <w:tcPr>
            <w:tcW w:w="1458" w:type="dxa"/>
          </w:tcPr>
          <w:p>
            <w:pPr>
              <w:pStyle w:val="TableParagraph"/>
              <w:rPr>
                <w:sz w:val="16"/>
              </w:rPr>
            </w:pPr>
          </w:p>
        </w:tc>
        <w:tc>
          <w:tcPr>
            <w:tcW w:w="1345" w:type="dxa"/>
          </w:tcPr>
          <w:p>
            <w:pPr>
              <w:pStyle w:val="TableParagraph"/>
              <w:rPr>
                <w:sz w:val="16"/>
              </w:rPr>
            </w:pPr>
          </w:p>
        </w:tc>
        <w:tc>
          <w:tcPr>
            <w:tcW w:w="1255" w:type="dxa"/>
          </w:tcPr>
          <w:p>
            <w:pPr>
              <w:pStyle w:val="TableParagraph"/>
              <w:rPr>
                <w:sz w:val="16"/>
              </w:rPr>
            </w:pPr>
          </w:p>
        </w:tc>
      </w:tr>
      <w:tr>
        <w:trPr>
          <w:trHeight w:val="240" w:hRule="atLeast"/>
        </w:trPr>
        <w:tc>
          <w:tcPr>
            <w:tcW w:w="6182" w:type="dxa"/>
            <w:shd w:val="clear" w:color="auto" w:fill="CCEDFF"/>
          </w:tcPr>
          <w:p>
            <w:pPr>
              <w:pStyle w:val="TableParagraph"/>
              <w:spacing w:before="6"/>
              <w:ind w:left="170"/>
              <w:rPr>
                <w:sz w:val="18"/>
              </w:rPr>
            </w:pPr>
            <w:r>
              <w:rPr>
                <w:sz w:val="18"/>
              </w:rPr>
              <w:t>Purchases</w:t>
            </w:r>
            <w:r>
              <w:rPr>
                <w:spacing w:val="-4"/>
                <w:sz w:val="18"/>
              </w:rPr>
              <w:t> </w:t>
            </w:r>
            <w:r>
              <w:rPr>
                <w:sz w:val="18"/>
              </w:rPr>
              <w:t>of</w:t>
            </w:r>
            <w:r>
              <w:rPr>
                <w:spacing w:val="-3"/>
                <w:sz w:val="18"/>
              </w:rPr>
              <w:t> </w:t>
            </w:r>
            <w:r>
              <w:rPr>
                <w:sz w:val="18"/>
              </w:rPr>
              <w:t>short-term</w:t>
            </w:r>
            <w:r>
              <w:rPr>
                <w:spacing w:val="-2"/>
                <w:sz w:val="18"/>
              </w:rPr>
              <w:t> investments</w:t>
            </w:r>
          </w:p>
        </w:tc>
        <w:tc>
          <w:tcPr>
            <w:tcW w:w="1458" w:type="dxa"/>
            <w:shd w:val="clear" w:color="auto" w:fill="CCEDFF"/>
          </w:tcPr>
          <w:p>
            <w:pPr>
              <w:pStyle w:val="TableParagraph"/>
              <w:spacing w:before="6"/>
              <w:ind w:right="48"/>
              <w:jc w:val="right"/>
              <w:rPr>
                <w:sz w:val="18"/>
              </w:rPr>
            </w:pPr>
            <w:r>
              <w:rPr>
                <w:spacing w:val="-2"/>
                <w:sz w:val="18"/>
              </w:rPr>
              <w:t>(1,931,011)</w:t>
            </w:r>
          </w:p>
        </w:tc>
        <w:tc>
          <w:tcPr>
            <w:tcW w:w="1345" w:type="dxa"/>
            <w:shd w:val="clear" w:color="auto" w:fill="CCEDFF"/>
          </w:tcPr>
          <w:p>
            <w:pPr>
              <w:pStyle w:val="TableParagraph"/>
              <w:spacing w:before="6"/>
              <w:ind w:right="73"/>
              <w:jc w:val="right"/>
              <w:rPr>
                <w:sz w:val="18"/>
              </w:rPr>
            </w:pPr>
            <w:r>
              <w:rPr>
                <w:spacing w:val="-2"/>
                <w:sz w:val="18"/>
              </w:rPr>
              <w:t>(2,285,222)</w:t>
            </w:r>
          </w:p>
        </w:tc>
        <w:tc>
          <w:tcPr>
            <w:tcW w:w="1255" w:type="dxa"/>
            <w:shd w:val="clear" w:color="auto" w:fill="CCEDFF"/>
          </w:tcPr>
          <w:p>
            <w:pPr>
              <w:pStyle w:val="TableParagraph"/>
              <w:spacing w:before="6"/>
              <w:ind w:right="8"/>
              <w:jc w:val="right"/>
              <w:rPr>
                <w:sz w:val="18"/>
              </w:rPr>
            </w:pPr>
            <w:r>
              <w:rPr>
                <w:spacing w:val="-2"/>
                <w:sz w:val="18"/>
              </w:rPr>
              <w:t>(2,064,833)</w:t>
            </w:r>
          </w:p>
        </w:tc>
      </w:tr>
      <w:tr>
        <w:trPr>
          <w:trHeight w:val="240" w:hRule="atLeast"/>
        </w:trPr>
        <w:tc>
          <w:tcPr>
            <w:tcW w:w="6182" w:type="dxa"/>
          </w:tcPr>
          <w:p>
            <w:pPr>
              <w:pStyle w:val="TableParagraph"/>
              <w:spacing w:before="6"/>
              <w:ind w:left="170"/>
              <w:rPr>
                <w:sz w:val="18"/>
              </w:rPr>
            </w:pPr>
            <w:r>
              <w:rPr>
                <w:sz w:val="18"/>
              </w:rPr>
              <w:t>Maturities</w:t>
            </w:r>
            <w:r>
              <w:rPr>
                <w:spacing w:val="-4"/>
                <w:sz w:val="18"/>
              </w:rPr>
              <w:t> </w:t>
            </w:r>
            <w:r>
              <w:rPr>
                <w:sz w:val="18"/>
              </w:rPr>
              <w:t>of</w:t>
            </w:r>
            <w:r>
              <w:rPr>
                <w:spacing w:val="-3"/>
                <w:sz w:val="18"/>
              </w:rPr>
              <w:t> </w:t>
            </w:r>
            <w:r>
              <w:rPr>
                <w:sz w:val="18"/>
              </w:rPr>
              <w:t>short-term</w:t>
            </w:r>
            <w:r>
              <w:rPr>
                <w:spacing w:val="-3"/>
                <w:sz w:val="18"/>
              </w:rPr>
              <w:t> </w:t>
            </w:r>
            <w:r>
              <w:rPr>
                <w:spacing w:val="-2"/>
                <w:sz w:val="18"/>
              </w:rPr>
              <w:t>investments</w:t>
            </w:r>
          </w:p>
        </w:tc>
        <w:tc>
          <w:tcPr>
            <w:tcW w:w="1458" w:type="dxa"/>
          </w:tcPr>
          <w:p>
            <w:pPr>
              <w:pStyle w:val="TableParagraph"/>
              <w:spacing w:before="6"/>
              <w:ind w:right="109"/>
              <w:jc w:val="right"/>
              <w:rPr>
                <w:sz w:val="18"/>
              </w:rPr>
            </w:pPr>
            <w:r>
              <w:rPr>
                <w:spacing w:val="-2"/>
                <w:sz w:val="18"/>
              </w:rPr>
              <w:t>759,737</w:t>
            </w:r>
          </w:p>
        </w:tc>
        <w:tc>
          <w:tcPr>
            <w:tcW w:w="1345" w:type="dxa"/>
          </w:tcPr>
          <w:p>
            <w:pPr>
              <w:pStyle w:val="TableParagraph"/>
              <w:spacing w:before="6"/>
              <w:ind w:right="134"/>
              <w:jc w:val="right"/>
              <w:rPr>
                <w:sz w:val="18"/>
              </w:rPr>
            </w:pPr>
            <w:r>
              <w:rPr>
                <w:spacing w:val="-2"/>
                <w:sz w:val="18"/>
              </w:rPr>
              <w:t>769,228</w:t>
            </w:r>
          </w:p>
        </w:tc>
        <w:tc>
          <w:tcPr>
            <w:tcW w:w="1255" w:type="dxa"/>
          </w:tcPr>
          <w:p>
            <w:pPr>
              <w:pStyle w:val="TableParagraph"/>
              <w:spacing w:before="6"/>
              <w:ind w:right="69"/>
              <w:jc w:val="right"/>
              <w:rPr>
                <w:sz w:val="18"/>
              </w:rPr>
            </w:pPr>
            <w:r>
              <w:rPr>
                <w:spacing w:val="-2"/>
                <w:sz w:val="18"/>
              </w:rPr>
              <w:t>371,790</w:t>
            </w:r>
          </w:p>
        </w:tc>
      </w:tr>
      <w:tr>
        <w:trPr>
          <w:trHeight w:val="240" w:hRule="atLeast"/>
        </w:trPr>
        <w:tc>
          <w:tcPr>
            <w:tcW w:w="6182" w:type="dxa"/>
            <w:shd w:val="clear" w:color="auto" w:fill="CCEDFF"/>
          </w:tcPr>
          <w:p>
            <w:pPr>
              <w:pStyle w:val="TableParagraph"/>
              <w:spacing w:before="6"/>
              <w:ind w:left="170"/>
              <w:rPr>
                <w:sz w:val="18"/>
              </w:rPr>
            </w:pPr>
            <w:r>
              <w:rPr>
                <w:sz w:val="18"/>
              </w:rPr>
              <w:t>Proceeds</w:t>
            </w:r>
            <w:r>
              <w:rPr>
                <w:spacing w:val="-4"/>
                <w:sz w:val="18"/>
              </w:rPr>
              <w:t> </w:t>
            </w:r>
            <w:r>
              <w:rPr>
                <w:sz w:val="18"/>
              </w:rPr>
              <w:t>from</w:t>
            </w:r>
            <w:r>
              <w:rPr>
                <w:spacing w:val="-2"/>
                <w:sz w:val="18"/>
              </w:rPr>
              <w:t> </w:t>
            </w:r>
            <w:r>
              <w:rPr>
                <w:sz w:val="18"/>
              </w:rPr>
              <w:t>sales</w:t>
            </w:r>
            <w:r>
              <w:rPr>
                <w:spacing w:val="-3"/>
                <w:sz w:val="18"/>
              </w:rPr>
              <w:t> </w:t>
            </w:r>
            <w:r>
              <w:rPr>
                <w:sz w:val="18"/>
              </w:rPr>
              <w:t>of</w:t>
            </w:r>
            <w:r>
              <w:rPr>
                <w:spacing w:val="-2"/>
                <w:sz w:val="18"/>
              </w:rPr>
              <w:t> </w:t>
            </w:r>
            <w:r>
              <w:rPr>
                <w:sz w:val="18"/>
              </w:rPr>
              <w:t>short-term</w:t>
            </w:r>
            <w:r>
              <w:rPr>
                <w:spacing w:val="-2"/>
                <w:sz w:val="18"/>
              </w:rPr>
              <w:t> investments</w:t>
            </w:r>
          </w:p>
        </w:tc>
        <w:tc>
          <w:tcPr>
            <w:tcW w:w="1458" w:type="dxa"/>
            <w:shd w:val="clear" w:color="auto" w:fill="CCEDFF"/>
          </w:tcPr>
          <w:p>
            <w:pPr>
              <w:pStyle w:val="TableParagraph"/>
              <w:spacing w:before="6"/>
              <w:ind w:right="109"/>
              <w:jc w:val="right"/>
              <w:rPr>
                <w:sz w:val="18"/>
              </w:rPr>
            </w:pPr>
            <w:r>
              <w:rPr>
                <w:spacing w:val="-2"/>
                <w:sz w:val="18"/>
              </w:rPr>
              <w:t>1,393,929</w:t>
            </w:r>
          </w:p>
        </w:tc>
        <w:tc>
          <w:tcPr>
            <w:tcW w:w="1345" w:type="dxa"/>
            <w:shd w:val="clear" w:color="auto" w:fill="CCEDFF"/>
          </w:tcPr>
          <w:p>
            <w:pPr>
              <w:pStyle w:val="TableParagraph"/>
              <w:spacing w:before="6"/>
              <w:ind w:right="134"/>
              <w:jc w:val="right"/>
              <w:rPr>
                <w:sz w:val="18"/>
              </w:rPr>
            </w:pPr>
            <w:r>
              <w:rPr>
                <w:spacing w:val="-2"/>
                <w:sz w:val="18"/>
              </w:rPr>
              <w:t>860,849</w:t>
            </w:r>
          </w:p>
        </w:tc>
        <w:tc>
          <w:tcPr>
            <w:tcW w:w="1255" w:type="dxa"/>
            <w:shd w:val="clear" w:color="auto" w:fill="CCEDFF"/>
          </w:tcPr>
          <w:p>
            <w:pPr>
              <w:pStyle w:val="TableParagraph"/>
              <w:spacing w:before="6"/>
              <w:ind w:right="69"/>
              <w:jc w:val="right"/>
              <w:rPr>
                <w:sz w:val="18"/>
              </w:rPr>
            </w:pPr>
            <w:r>
              <w:rPr>
                <w:spacing w:val="-2"/>
                <w:sz w:val="18"/>
              </w:rPr>
              <w:t>1,176,476</w:t>
            </w:r>
          </w:p>
        </w:tc>
      </w:tr>
      <w:tr>
        <w:trPr>
          <w:trHeight w:val="240" w:hRule="atLeast"/>
        </w:trPr>
        <w:tc>
          <w:tcPr>
            <w:tcW w:w="6182" w:type="dxa"/>
          </w:tcPr>
          <w:p>
            <w:pPr>
              <w:pStyle w:val="TableParagraph"/>
              <w:spacing w:before="6"/>
              <w:ind w:left="170"/>
              <w:rPr>
                <w:sz w:val="18"/>
              </w:rPr>
            </w:pPr>
            <w:r>
              <w:rPr>
                <w:sz w:val="18"/>
              </w:rPr>
              <w:t>Acquisitions, net of cash </w:t>
            </w:r>
            <w:r>
              <w:rPr>
                <w:spacing w:val="-2"/>
                <w:sz w:val="18"/>
              </w:rPr>
              <w:t>acquired</w:t>
            </w:r>
          </w:p>
        </w:tc>
        <w:tc>
          <w:tcPr>
            <w:tcW w:w="1458" w:type="dxa"/>
          </w:tcPr>
          <w:p>
            <w:pPr>
              <w:pStyle w:val="TableParagraph"/>
              <w:spacing w:before="6"/>
              <w:ind w:right="48"/>
              <w:jc w:val="right"/>
              <w:rPr>
                <w:sz w:val="18"/>
              </w:rPr>
            </w:pPr>
            <w:r>
              <w:rPr>
                <w:spacing w:val="-2"/>
                <w:sz w:val="18"/>
              </w:rPr>
              <w:t>(459,626)</w:t>
            </w:r>
          </w:p>
        </w:tc>
        <w:tc>
          <w:tcPr>
            <w:tcW w:w="1345" w:type="dxa"/>
          </w:tcPr>
          <w:p>
            <w:pPr>
              <w:pStyle w:val="TableParagraph"/>
              <w:spacing w:before="6"/>
              <w:ind w:right="73"/>
              <w:jc w:val="right"/>
              <w:rPr>
                <w:sz w:val="18"/>
              </w:rPr>
            </w:pPr>
            <w:r>
              <w:rPr>
                <w:spacing w:val="-2"/>
                <w:sz w:val="18"/>
              </w:rPr>
              <w:t>(48,427)</w:t>
            </w:r>
          </w:p>
        </w:tc>
        <w:tc>
          <w:tcPr>
            <w:tcW w:w="1255" w:type="dxa"/>
          </w:tcPr>
          <w:p>
            <w:pPr>
              <w:pStyle w:val="TableParagraph"/>
              <w:spacing w:before="6"/>
              <w:ind w:right="8"/>
              <w:jc w:val="right"/>
              <w:rPr>
                <w:sz w:val="18"/>
              </w:rPr>
            </w:pPr>
            <w:r>
              <w:rPr>
                <w:spacing w:val="-2"/>
                <w:sz w:val="18"/>
              </w:rPr>
              <w:t>(826,004)</w:t>
            </w:r>
          </w:p>
        </w:tc>
      </w:tr>
      <w:tr>
        <w:trPr>
          <w:trHeight w:val="240" w:hRule="atLeast"/>
        </w:trPr>
        <w:tc>
          <w:tcPr>
            <w:tcW w:w="6182" w:type="dxa"/>
            <w:shd w:val="clear" w:color="auto" w:fill="CCEDFF"/>
          </w:tcPr>
          <w:p>
            <w:pPr>
              <w:pStyle w:val="TableParagraph"/>
              <w:spacing w:before="6"/>
              <w:ind w:left="170"/>
              <w:rPr>
                <w:sz w:val="18"/>
              </w:rPr>
            </w:pPr>
            <w:r>
              <w:rPr>
                <w:sz w:val="18"/>
              </w:rPr>
              <w:t>Purchases</w:t>
            </w:r>
            <w:r>
              <w:rPr>
                <w:spacing w:val="-3"/>
                <w:sz w:val="18"/>
              </w:rPr>
              <w:t> </w:t>
            </w:r>
            <w:r>
              <w:rPr>
                <w:sz w:val="18"/>
              </w:rPr>
              <w:t>of</w:t>
            </w:r>
            <w:r>
              <w:rPr>
                <w:spacing w:val="-2"/>
                <w:sz w:val="18"/>
              </w:rPr>
              <w:t> </w:t>
            </w:r>
            <w:r>
              <w:rPr>
                <w:sz w:val="18"/>
              </w:rPr>
              <w:t>property</w:t>
            </w:r>
            <w:r>
              <w:rPr>
                <w:spacing w:val="-2"/>
                <w:sz w:val="18"/>
              </w:rPr>
              <w:t> </w:t>
            </w:r>
            <w:r>
              <w:rPr>
                <w:sz w:val="18"/>
              </w:rPr>
              <w:t>and</w:t>
            </w:r>
            <w:r>
              <w:rPr>
                <w:spacing w:val="-2"/>
                <w:sz w:val="18"/>
              </w:rPr>
              <w:t> equipment</w:t>
            </w:r>
          </w:p>
        </w:tc>
        <w:tc>
          <w:tcPr>
            <w:tcW w:w="1458" w:type="dxa"/>
            <w:shd w:val="clear" w:color="auto" w:fill="CCEDFF"/>
          </w:tcPr>
          <w:p>
            <w:pPr>
              <w:pStyle w:val="TableParagraph"/>
              <w:spacing w:before="6"/>
              <w:ind w:right="48"/>
              <w:jc w:val="right"/>
              <w:rPr>
                <w:sz w:val="18"/>
              </w:rPr>
            </w:pPr>
            <w:r>
              <w:rPr>
                <w:spacing w:val="-2"/>
                <w:sz w:val="18"/>
              </w:rPr>
              <w:t>(178,122)</w:t>
            </w:r>
          </w:p>
        </w:tc>
        <w:tc>
          <w:tcPr>
            <w:tcW w:w="1345" w:type="dxa"/>
            <w:shd w:val="clear" w:color="auto" w:fill="CCEDFF"/>
          </w:tcPr>
          <w:p>
            <w:pPr>
              <w:pStyle w:val="TableParagraph"/>
              <w:spacing w:before="6"/>
              <w:ind w:right="73"/>
              <w:jc w:val="right"/>
              <w:rPr>
                <w:sz w:val="18"/>
              </w:rPr>
            </w:pPr>
            <w:r>
              <w:rPr>
                <w:spacing w:val="-2"/>
                <w:sz w:val="18"/>
              </w:rPr>
              <w:t>(203,805)</w:t>
            </w:r>
          </w:p>
        </w:tc>
        <w:tc>
          <w:tcPr>
            <w:tcW w:w="1255" w:type="dxa"/>
            <w:shd w:val="clear" w:color="auto" w:fill="CCEDFF"/>
          </w:tcPr>
          <w:p>
            <w:pPr>
              <w:pStyle w:val="TableParagraph"/>
              <w:spacing w:before="6"/>
              <w:ind w:right="8"/>
              <w:jc w:val="right"/>
              <w:rPr>
                <w:sz w:val="18"/>
              </w:rPr>
            </w:pPr>
            <w:r>
              <w:rPr>
                <w:spacing w:val="-2"/>
                <w:sz w:val="18"/>
              </w:rPr>
              <w:t>(184,936)</w:t>
            </w:r>
          </w:p>
        </w:tc>
      </w:tr>
      <w:tr>
        <w:trPr>
          <w:trHeight w:val="240" w:hRule="atLeast"/>
        </w:trPr>
        <w:tc>
          <w:tcPr>
            <w:tcW w:w="6182" w:type="dxa"/>
          </w:tcPr>
          <w:p>
            <w:pPr>
              <w:pStyle w:val="TableParagraph"/>
              <w:spacing w:before="6"/>
              <w:ind w:left="170"/>
              <w:rPr>
                <w:sz w:val="18"/>
              </w:rPr>
            </w:pPr>
            <w:r>
              <w:rPr>
                <w:sz w:val="18"/>
              </w:rPr>
              <w:t>Proceeds</w:t>
            </w:r>
            <w:r>
              <w:rPr>
                <w:spacing w:val="-5"/>
                <w:sz w:val="18"/>
              </w:rPr>
              <w:t> </w:t>
            </w:r>
            <w:r>
              <w:rPr>
                <w:sz w:val="18"/>
              </w:rPr>
              <w:t>from</w:t>
            </w:r>
            <w:r>
              <w:rPr>
                <w:spacing w:val="-2"/>
                <w:sz w:val="18"/>
              </w:rPr>
              <w:t> </w:t>
            </w:r>
            <w:r>
              <w:rPr>
                <w:sz w:val="18"/>
              </w:rPr>
              <w:t>sale</w:t>
            </w:r>
            <w:r>
              <w:rPr>
                <w:spacing w:val="-2"/>
                <w:sz w:val="18"/>
              </w:rPr>
              <w:t> </w:t>
            </w:r>
            <w:r>
              <w:rPr>
                <w:sz w:val="18"/>
              </w:rPr>
              <w:t>of</w:t>
            </w:r>
            <w:r>
              <w:rPr>
                <w:spacing w:val="-1"/>
                <w:sz w:val="18"/>
              </w:rPr>
              <w:t> </w:t>
            </w:r>
            <w:r>
              <w:rPr>
                <w:spacing w:val="-2"/>
                <w:sz w:val="18"/>
              </w:rPr>
              <w:t>property</w:t>
            </w:r>
          </w:p>
        </w:tc>
        <w:tc>
          <w:tcPr>
            <w:tcW w:w="1458" w:type="dxa"/>
          </w:tcPr>
          <w:p>
            <w:pPr>
              <w:pStyle w:val="TableParagraph"/>
              <w:spacing w:before="6"/>
              <w:ind w:right="109"/>
              <w:jc w:val="right"/>
              <w:rPr>
                <w:sz w:val="18"/>
              </w:rPr>
            </w:pPr>
            <w:r>
              <w:rPr>
                <w:spacing w:val="-10"/>
                <w:sz w:val="18"/>
              </w:rPr>
              <w:t>—</w:t>
            </w:r>
          </w:p>
        </w:tc>
        <w:tc>
          <w:tcPr>
            <w:tcW w:w="1345" w:type="dxa"/>
          </w:tcPr>
          <w:p>
            <w:pPr>
              <w:pStyle w:val="TableParagraph"/>
              <w:spacing w:before="6"/>
              <w:ind w:right="134"/>
              <w:jc w:val="right"/>
              <w:rPr>
                <w:sz w:val="18"/>
              </w:rPr>
            </w:pPr>
            <w:r>
              <w:rPr>
                <w:spacing w:val="-10"/>
                <w:sz w:val="18"/>
              </w:rPr>
              <w:t>—</w:t>
            </w:r>
          </w:p>
        </w:tc>
        <w:tc>
          <w:tcPr>
            <w:tcW w:w="1255" w:type="dxa"/>
          </w:tcPr>
          <w:p>
            <w:pPr>
              <w:pStyle w:val="TableParagraph"/>
              <w:spacing w:before="6"/>
              <w:ind w:right="69"/>
              <w:jc w:val="right"/>
              <w:rPr>
                <w:sz w:val="18"/>
              </w:rPr>
            </w:pPr>
            <w:r>
              <w:rPr>
                <w:spacing w:val="-2"/>
                <w:sz w:val="18"/>
              </w:rPr>
              <w:t>57,779</w:t>
            </w:r>
          </w:p>
        </w:tc>
      </w:tr>
      <w:tr>
        <w:trPr>
          <w:trHeight w:val="240" w:hRule="atLeast"/>
        </w:trPr>
        <w:tc>
          <w:tcPr>
            <w:tcW w:w="6182" w:type="dxa"/>
            <w:shd w:val="clear" w:color="auto" w:fill="CCEDFF"/>
          </w:tcPr>
          <w:p>
            <w:pPr>
              <w:pStyle w:val="TableParagraph"/>
              <w:spacing w:before="6"/>
              <w:ind w:left="170"/>
              <w:rPr>
                <w:sz w:val="18"/>
              </w:rPr>
            </w:pPr>
            <w:r>
              <w:rPr>
                <w:sz w:val="18"/>
              </w:rPr>
              <w:t>Purchases</w:t>
            </w:r>
            <w:r>
              <w:rPr>
                <w:spacing w:val="-4"/>
                <w:sz w:val="18"/>
              </w:rPr>
              <w:t> </w:t>
            </w:r>
            <w:r>
              <w:rPr>
                <w:sz w:val="18"/>
              </w:rPr>
              <w:t>of</w:t>
            </w:r>
            <w:r>
              <w:rPr>
                <w:spacing w:val="-3"/>
                <w:sz w:val="18"/>
              </w:rPr>
              <w:t> </w:t>
            </w:r>
            <w:r>
              <w:rPr>
                <w:sz w:val="18"/>
              </w:rPr>
              <w:t>long-term</w:t>
            </w:r>
            <w:r>
              <w:rPr>
                <w:spacing w:val="-2"/>
                <w:sz w:val="18"/>
              </w:rPr>
              <w:t> </w:t>
            </w:r>
            <w:r>
              <w:rPr>
                <w:sz w:val="18"/>
              </w:rPr>
              <w:t>investments,</w:t>
            </w:r>
            <w:r>
              <w:rPr>
                <w:spacing w:val="-3"/>
                <w:sz w:val="18"/>
              </w:rPr>
              <w:t> </w:t>
            </w:r>
            <w:r>
              <w:rPr>
                <w:sz w:val="18"/>
              </w:rPr>
              <w:t>intangibles</w:t>
            </w:r>
            <w:r>
              <w:rPr>
                <w:spacing w:val="-3"/>
                <w:sz w:val="18"/>
              </w:rPr>
              <w:t> </w:t>
            </w:r>
            <w:r>
              <w:rPr>
                <w:sz w:val="18"/>
              </w:rPr>
              <w:t>and</w:t>
            </w:r>
            <w:r>
              <w:rPr>
                <w:spacing w:val="-3"/>
                <w:sz w:val="18"/>
              </w:rPr>
              <w:t> </w:t>
            </w:r>
            <w:r>
              <w:rPr>
                <w:sz w:val="18"/>
              </w:rPr>
              <w:t>other</w:t>
            </w:r>
            <w:r>
              <w:rPr>
                <w:spacing w:val="-2"/>
                <w:sz w:val="18"/>
              </w:rPr>
              <w:t> assets</w:t>
            </w:r>
          </w:p>
        </w:tc>
        <w:tc>
          <w:tcPr>
            <w:tcW w:w="1458" w:type="dxa"/>
            <w:shd w:val="clear" w:color="auto" w:fill="CCEDFF"/>
          </w:tcPr>
          <w:p>
            <w:pPr>
              <w:pStyle w:val="TableParagraph"/>
              <w:spacing w:before="6"/>
              <w:ind w:right="48"/>
              <w:jc w:val="right"/>
              <w:rPr>
                <w:sz w:val="18"/>
              </w:rPr>
            </w:pPr>
            <w:r>
              <w:rPr>
                <w:spacing w:val="-2"/>
                <w:sz w:val="18"/>
              </w:rPr>
              <w:t>(29,918)</w:t>
            </w:r>
          </w:p>
        </w:tc>
        <w:tc>
          <w:tcPr>
            <w:tcW w:w="1345" w:type="dxa"/>
            <w:shd w:val="clear" w:color="auto" w:fill="CCEDFF"/>
          </w:tcPr>
          <w:p>
            <w:pPr>
              <w:pStyle w:val="TableParagraph"/>
              <w:spacing w:before="6"/>
              <w:ind w:right="73"/>
              <w:jc w:val="right"/>
              <w:rPr>
                <w:sz w:val="18"/>
              </w:rPr>
            </w:pPr>
            <w:r>
              <w:rPr>
                <w:spacing w:val="-2"/>
                <w:sz w:val="18"/>
              </w:rPr>
              <w:t>(58,433)</w:t>
            </w:r>
          </w:p>
        </w:tc>
        <w:tc>
          <w:tcPr>
            <w:tcW w:w="1255" w:type="dxa"/>
            <w:shd w:val="clear" w:color="auto" w:fill="CCEDFF"/>
          </w:tcPr>
          <w:p>
            <w:pPr>
              <w:pStyle w:val="TableParagraph"/>
              <w:spacing w:before="6"/>
              <w:ind w:right="8"/>
              <w:jc w:val="right"/>
              <w:rPr>
                <w:sz w:val="18"/>
              </w:rPr>
            </w:pPr>
            <w:r>
              <w:rPr>
                <w:spacing w:val="-2"/>
                <w:sz w:val="18"/>
              </w:rPr>
              <w:t>(22,779)</w:t>
            </w:r>
          </w:p>
        </w:tc>
      </w:tr>
      <w:tr>
        <w:trPr>
          <w:trHeight w:val="230" w:hRule="atLeast"/>
        </w:trPr>
        <w:tc>
          <w:tcPr>
            <w:tcW w:w="6182" w:type="dxa"/>
          </w:tcPr>
          <w:p>
            <w:pPr>
              <w:pStyle w:val="TableParagraph"/>
              <w:spacing w:line="203" w:lineRule="exact" w:before="6"/>
              <w:ind w:left="170"/>
              <w:rPr>
                <w:sz w:val="18"/>
              </w:rPr>
            </w:pPr>
            <w:r>
              <w:rPr>
                <w:sz w:val="18"/>
              </w:rPr>
              <w:t>Proceeds</w:t>
            </w:r>
            <w:r>
              <w:rPr>
                <w:spacing w:val="-5"/>
                <w:sz w:val="18"/>
              </w:rPr>
              <w:t> </w:t>
            </w:r>
            <w:r>
              <w:rPr>
                <w:sz w:val="18"/>
              </w:rPr>
              <w:t>from</w:t>
            </w:r>
            <w:r>
              <w:rPr>
                <w:spacing w:val="-1"/>
                <w:sz w:val="18"/>
              </w:rPr>
              <w:t> </w:t>
            </w:r>
            <w:r>
              <w:rPr>
                <w:sz w:val="18"/>
              </w:rPr>
              <w:t>sale</w:t>
            </w:r>
            <w:r>
              <w:rPr>
                <w:spacing w:val="-2"/>
                <w:sz w:val="18"/>
              </w:rPr>
              <w:t> </w:t>
            </w:r>
            <w:r>
              <w:rPr>
                <w:sz w:val="18"/>
              </w:rPr>
              <w:t>of</w:t>
            </w:r>
            <w:r>
              <w:rPr>
                <w:spacing w:val="-1"/>
                <w:sz w:val="18"/>
              </w:rPr>
              <w:t> </w:t>
            </w:r>
            <w:r>
              <w:rPr>
                <w:sz w:val="18"/>
              </w:rPr>
              <w:t>long-term</w:t>
            </w:r>
            <w:r>
              <w:rPr>
                <w:spacing w:val="-1"/>
                <w:sz w:val="18"/>
              </w:rPr>
              <w:t> </w:t>
            </w:r>
            <w:r>
              <w:rPr>
                <w:spacing w:val="-2"/>
                <w:sz w:val="18"/>
              </w:rPr>
              <w:t>investments</w:t>
            </w:r>
          </w:p>
        </w:tc>
        <w:tc>
          <w:tcPr>
            <w:tcW w:w="1458" w:type="dxa"/>
            <w:tcBorders>
              <w:bottom w:val="single" w:sz="8" w:space="0" w:color="000000"/>
            </w:tcBorders>
          </w:tcPr>
          <w:p>
            <w:pPr>
              <w:pStyle w:val="TableParagraph"/>
              <w:spacing w:line="203" w:lineRule="exact" w:before="6"/>
              <w:ind w:right="109"/>
              <w:jc w:val="right"/>
              <w:rPr>
                <w:sz w:val="18"/>
              </w:rPr>
            </w:pPr>
            <w:r>
              <w:rPr>
                <w:spacing w:val="-2"/>
                <w:sz w:val="18"/>
              </w:rPr>
              <w:t>2,134</w:t>
            </w:r>
          </w:p>
        </w:tc>
        <w:tc>
          <w:tcPr>
            <w:tcW w:w="1345" w:type="dxa"/>
            <w:tcBorders>
              <w:bottom w:val="single" w:sz="8" w:space="0" w:color="000000"/>
            </w:tcBorders>
          </w:tcPr>
          <w:p>
            <w:pPr>
              <w:pStyle w:val="TableParagraph"/>
              <w:spacing w:line="203" w:lineRule="exact" w:before="6"/>
              <w:ind w:right="134"/>
              <w:jc w:val="right"/>
              <w:rPr>
                <w:sz w:val="18"/>
              </w:rPr>
            </w:pPr>
            <w:r>
              <w:rPr>
                <w:spacing w:val="-2"/>
                <w:sz w:val="18"/>
              </w:rPr>
              <w:t>5,777</w:t>
            </w:r>
          </w:p>
        </w:tc>
        <w:tc>
          <w:tcPr>
            <w:tcW w:w="1255" w:type="dxa"/>
            <w:tcBorders>
              <w:bottom w:val="single" w:sz="8" w:space="0" w:color="000000"/>
            </w:tcBorders>
          </w:tcPr>
          <w:p>
            <w:pPr>
              <w:pStyle w:val="TableParagraph"/>
              <w:spacing w:line="203" w:lineRule="exact" w:before="6"/>
              <w:ind w:right="69"/>
              <w:jc w:val="right"/>
              <w:rPr>
                <w:sz w:val="18"/>
              </w:rPr>
            </w:pPr>
            <w:r>
              <w:rPr>
                <w:spacing w:val="-2"/>
                <w:sz w:val="18"/>
              </w:rPr>
              <w:t>4,149</w:t>
            </w:r>
          </w:p>
        </w:tc>
      </w:tr>
      <w:tr>
        <w:trPr>
          <w:trHeight w:val="220" w:hRule="atLeast"/>
        </w:trPr>
        <w:tc>
          <w:tcPr>
            <w:tcW w:w="6182" w:type="dxa"/>
            <w:shd w:val="clear" w:color="auto" w:fill="CCEDFF"/>
          </w:tcPr>
          <w:p>
            <w:pPr>
              <w:pStyle w:val="TableParagraph"/>
              <w:spacing w:line="200" w:lineRule="exact"/>
              <w:ind w:left="770"/>
              <w:rPr>
                <w:sz w:val="18"/>
              </w:rPr>
            </w:pPr>
            <w:r>
              <w:rPr>
                <w:sz w:val="18"/>
              </w:rPr>
              <w:t>Net cash used for investing </w:t>
            </w:r>
            <w:r>
              <w:rPr>
                <w:spacing w:val="-2"/>
                <w:sz w:val="18"/>
              </w:rPr>
              <w:t>activities</w:t>
            </w:r>
          </w:p>
        </w:tc>
        <w:tc>
          <w:tcPr>
            <w:tcW w:w="1458" w:type="dxa"/>
            <w:tcBorders>
              <w:top w:val="single" w:sz="8" w:space="0" w:color="000000"/>
              <w:bottom w:val="single" w:sz="8" w:space="0" w:color="000000"/>
            </w:tcBorders>
            <w:shd w:val="clear" w:color="auto" w:fill="CCEDFF"/>
          </w:tcPr>
          <w:p>
            <w:pPr>
              <w:pStyle w:val="TableParagraph"/>
              <w:spacing w:line="200" w:lineRule="exact"/>
              <w:ind w:right="48"/>
              <w:jc w:val="right"/>
              <w:rPr>
                <w:sz w:val="18"/>
              </w:rPr>
            </w:pPr>
            <w:r>
              <w:rPr>
                <w:spacing w:val="-2"/>
                <w:sz w:val="18"/>
              </w:rPr>
              <w:t>(442,877)</w:t>
            </w:r>
          </w:p>
        </w:tc>
        <w:tc>
          <w:tcPr>
            <w:tcW w:w="1345" w:type="dxa"/>
            <w:tcBorders>
              <w:top w:val="single" w:sz="8" w:space="0" w:color="000000"/>
              <w:bottom w:val="single" w:sz="8" w:space="0" w:color="000000"/>
            </w:tcBorders>
            <w:shd w:val="clear" w:color="auto" w:fill="CCEDFF"/>
          </w:tcPr>
          <w:p>
            <w:pPr>
              <w:pStyle w:val="TableParagraph"/>
              <w:spacing w:line="200" w:lineRule="exact"/>
              <w:ind w:right="73"/>
              <w:jc w:val="right"/>
              <w:rPr>
                <w:sz w:val="18"/>
              </w:rPr>
            </w:pPr>
            <w:r>
              <w:rPr>
                <w:spacing w:val="-2"/>
                <w:sz w:val="18"/>
              </w:rPr>
              <w:t>(960,033)</w:t>
            </w:r>
          </w:p>
        </w:tc>
        <w:tc>
          <w:tcPr>
            <w:tcW w:w="1255" w:type="dxa"/>
            <w:tcBorders>
              <w:top w:val="single" w:sz="8" w:space="0" w:color="000000"/>
              <w:bottom w:val="single" w:sz="8" w:space="0" w:color="000000"/>
            </w:tcBorders>
            <w:shd w:val="clear" w:color="auto" w:fill="CCEDFF"/>
          </w:tcPr>
          <w:p>
            <w:pPr>
              <w:pStyle w:val="TableParagraph"/>
              <w:spacing w:line="200" w:lineRule="exact"/>
              <w:ind w:right="8"/>
              <w:jc w:val="right"/>
              <w:rPr>
                <w:sz w:val="18"/>
              </w:rPr>
            </w:pPr>
            <w:r>
              <w:rPr>
                <w:spacing w:val="-2"/>
                <w:sz w:val="18"/>
              </w:rPr>
              <w:t>(1,488,358)</w:t>
            </w:r>
          </w:p>
        </w:tc>
      </w:tr>
      <w:tr>
        <w:trPr>
          <w:trHeight w:val="230" w:hRule="atLeast"/>
        </w:trPr>
        <w:tc>
          <w:tcPr>
            <w:tcW w:w="6182" w:type="dxa"/>
          </w:tcPr>
          <w:p>
            <w:pPr>
              <w:pStyle w:val="TableParagraph"/>
              <w:spacing w:line="204" w:lineRule="exact"/>
              <w:ind w:left="50"/>
              <w:rPr>
                <w:sz w:val="18"/>
              </w:rPr>
            </w:pPr>
            <w:r>
              <w:rPr>
                <w:sz w:val="18"/>
              </w:rPr>
              <w:t>Cash</w:t>
            </w:r>
            <w:r>
              <w:rPr>
                <w:spacing w:val="-3"/>
                <w:sz w:val="18"/>
              </w:rPr>
              <w:t> </w:t>
            </w:r>
            <w:r>
              <w:rPr>
                <w:sz w:val="18"/>
              </w:rPr>
              <w:t>flows</w:t>
            </w:r>
            <w:r>
              <w:rPr>
                <w:spacing w:val="-2"/>
                <w:sz w:val="18"/>
              </w:rPr>
              <w:t> </w:t>
            </w:r>
            <w:r>
              <w:rPr>
                <w:sz w:val="18"/>
              </w:rPr>
              <w:t>from</w:t>
            </w:r>
            <w:r>
              <w:rPr>
                <w:spacing w:val="-1"/>
                <w:sz w:val="18"/>
              </w:rPr>
              <w:t> </w:t>
            </w:r>
            <w:r>
              <w:rPr>
                <w:sz w:val="18"/>
              </w:rPr>
              <w:t>financing</w:t>
            </w:r>
            <w:r>
              <w:rPr>
                <w:spacing w:val="-1"/>
                <w:sz w:val="18"/>
              </w:rPr>
              <w:t> </w:t>
            </w:r>
            <w:r>
              <w:rPr>
                <w:spacing w:val="-2"/>
                <w:sz w:val="18"/>
              </w:rPr>
              <w:t>activities:</w:t>
            </w:r>
          </w:p>
        </w:tc>
        <w:tc>
          <w:tcPr>
            <w:tcW w:w="1458" w:type="dxa"/>
          </w:tcPr>
          <w:p>
            <w:pPr>
              <w:pStyle w:val="TableParagraph"/>
              <w:rPr>
                <w:sz w:val="16"/>
              </w:rPr>
            </w:pPr>
          </w:p>
        </w:tc>
        <w:tc>
          <w:tcPr>
            <w:tcW w:w="1345" w:type="dxa"/>
          </w:tcPr>
          <w:p>
            <w:pPr>
              <w:pStyle w:val="TableParagraph"/>
              <w:rPr>
                <w:sz w:val="16"/>
              </w:rPr>
            </w:pPr>
          </w:p>
        </w:tc>
        <w:tc>
          <w:tcPr>
            <w:tcW w:w="1255" w:type="dxa"/>
          </w:tcPr>
          <w:p>
            <w:pPr>
              <w:pStyle w:val="TableParagraph"/>
              <w:rPr>
                <w:sz w:val="16"/>
              </w:rPr>
            </w:pPr>
          </w:p>
        </w:tc>
      </w:tr>
      <w:tr>
        <w:trPr>
          <w:trHeight w:val="240" w:hRule="atLeast"/>
        </w:trPr>
        <w:tc>
          <w:tcPr>
            <w:tcW w:w="6182" w:type="dxa"/>
            <w:shd w:val="clear" w:color="auto" w:fill="CCEDFF"/>
          </w:tcPr>
          <w:p>
            <w:pPr>
              <w:pStyle w:val="TableParagraph"/>
              <w:spacing w:before="6"/>
              <w:ind w:left="170"/>
              <w:rPr>
                <w:sz w:val="18"/>
              </w:rPr>
            </w:pPr>
            <w:r>
              <w:rPr>
                <w:sz w:val="18"/>
              </w:rPr>
              <w:t>Purchases</w:t>
            </w:r>
            <w:r>
              <w:rPr>
                <w:spacing w:val="-4"/>
                <w:sz w:val="18"/>
              </w:rPr>
              <w:t> </w:t>
            </w:r>
            <w:r>
              <w:rPr>
                <w:sz w:val="18"/>
              </w:rPr>
              <w:t>of</w:t>
            </w:r>
            <w:r>
              <w:rPr>
                <w:spacing w:val="-3"/>
                <w:sz w:val="18"/>
              </w:rPr>
              <w:t> </w:t>
            </w:r>
            <w:r>
              <w:rPr>
                <w:sz w:val="18"/>
              </w:rPr>
              <w:t>treasury</w:t>
            </w:r>
            <w:r>
              <w:rPr>
                <w:spacing w:val="-2"/>
                <w:sz w:val="18"/>
              </w:rPr>
              <w:t> stock</w:t>
            </w:r>
          </w:p>
        </w:tc>
        <w:tc>
          <w:tcPr>
            <w:tcW w:w="1458" w:type="dxa"/>
            <w:shd w:val="clear" w:color="auto" w:fill="CCEDFF"/>
          </w:tcPr>
          <w:p>
            <w:pPr>
              <w:pStyle w:val="TableParagraph"/>
              <w:spacing w:before="6"/>
              <w:ind w:right="48"/>
              <w:jc w:val="right"/>
              <w:rPr>
                <w:sz w:val="18"/>
              </w:rPr>
            </w:pPr>
            <w:r>
              <w:rPr>
                <w:spacing w:val="-2"/>
                <w:sz w:val="18"/>
              </w:rPr>
              <w:t>(1,100,000)</w:t>
            </w:r>
          </w:p>
        </w:tc>
        <w:tc>
          <w:tcPr>
            <w:tcW w:w="1345" w:type="dxa"/>
            <w:shd w:val="clear" w:color="auto" w:fill="CCEDFF"/>
          </w:tcPr>
          <w:p>
            <w:pPr>
              <w:pStyle w:val="TableParagraph"/>
              <w:spacing w:before="6"/>
              <w:ind w:right="73"/>
              <w:jc w:val="right"/>
              <w:rPr>
                <w:sz w:val="18"/>
              </w:rPr>
            </w:pPr>
            <w:r>
              <w:rPr>
                <w:spacing w:val="-2"/>
                <w:sz w:val="18"/>
              </w:rPr>
              <w:t>(1,075,000)</w:t>
            </w:r>
          </w:p>
        </w:tc>
        <w:tc>
          <w:tcPr>
            <w:tcW w:w="1255" w:type="dxa"/>
            <w:shd w:val="clear" w:color="auto" w:fill="CCEDFF"/>
          </w:tcPr>
          <w:p>
            <w:pPr>
              <w:pStyle w:val="TableParagraph"/>
              <w:spacing w:before="6"/>
              <w:ind w:right="8"/>
              <w:jc w:val="right"/>
              <w:rPr>
                <w:sz w:val="18"/>
              </w:rPr>
            </w:pPr>
            <w:r>
              <w:rPr>
                <w:spacing w:val="-2"/>
                <w:sz w:val="18"/>
              </w:rPr>
              <w:t>(625,000)</w:t>
            </w:r>
          </w:p>
        </w:tc>
      </w:tr>
      <w:tr>
        <w:trPr>
          <w:trHeight w:val="240" w:hRule="atLeast"/>
        </w:trPr>
        <w:tc>
          <w:tcPr>
            <w:tcW w:w="6182" w:type="dxa"/>
          </w:tcPr>
          <w:p>
            <w:pPr>
              <w:pStyle w:val="TableParagraph"/>
              <w:spacing w:before="6"/>
              <w:ind w:left="170"/>
              <w:rPr>
                <w:sz w:val="18"/>
              </w:rPr>
            </w:pPr>
            <w:r>
              <w:rPr>
                <w:sz w:val="18"/>
              </w:rPr>
              <w:t>Proceeds</w:t>
            </w:r>
            <w:r>
              <w:rPr>
                <w:spacing w:val="-5"/>
                <w:sz w:val="18"/>
              </w:rPr>
              <w:t> </w:t>
            </w:r>
            <w:r>
              <w:rPr>
                <w:sz w:val="18"/>
              </w:rPr>
              <w:t>from</w:t>
            </w:r>
            <w:r>
              <w:rPr>
                <w:spacing w:val="-1"/>
                <w:sz w:val="18"/>
              </w:rPr>
              <w:t> </w:t>
            </w:r>
            <w:r>
              <w:rPr>
                <w:sz w:val="18"/>
              </w:rPr>
              <w:t>issuance</w:t>
            </w:r>
            <w:r>
              <w:rPr>
                <w:spacing w:val="-2"/>
                <w:sz w:val="18"/>
              </w:rPr>
              <w:t> </w:t>
            </w:r>
            <w:r>
              <w:rPr>
                <w:sz w:val="18"/>
              </w:rPr>
              <w:t>of</w:t>
            </w:r>
            <w:r>
              <w:rPr>
                <w:spacing w:val="-1"/>
                <w:sz w:val="18"/>
              </w:rPr>
              <w:t> </w:t>
            </w:r>
            <w:r>
              <w:rPr>
                <w:sz w:val="18"/>
              </w:rPr>
              <w:t>treasury</w:t>
            </w:r>
            <w:r>
              <w:rPr>
                <w:spacing w:val="-1"/>
                <w:sz w:val="18"/>
              </w:rPr>
              <w:t> </w:t>
            </w:r>
            <w:r>
              <w:rPr>
                <w:spacing w:val="-2"/>
                <w:sz w:val="18"/>
              </w:rPr>
              <w:t>stock</w:t>
            </w:r>
          </w:p>
        </w:tc>
        <w:tc>
          <w:tcPr>
            <w:tcW w:w="1458" w:type="dxa"/>
          </w:tcPr>
          <w:p>
            <w:pPr>
              <w:pStyle w:val="TableParagraph"/>
              <w:spacing w:before="6"/>
              <w:ind w:right="109"/>
              <w:jc w:val="right"/>
              <w:rPr>
                <w:sz w:val="18"/>
              </w:rPr>
            </w:pPr>
            <w:r>
              <w:rPr>
                <w:spacing w:val="-2"/>
                <w:sz w:val="18"/>
              </w:rPr>
              <w:t>158,351</w:t>
            </w:r>
          </w:p>
        </w:tc>
        <w:tc>
          <w:tcPr>
            <w:tcW w:w="1345" w:type="dxa"/>
          </w:tcPr>
          <w:p>
            <w:pPr>
              <w:pStyle w:val="TableParagraph"/>
              <w:spacing w:before="6"/>
              <w:ind w:right="134"/>
              <w:jc w:val="right"/>
              <w:rPr>
                <w:sz w:val="18"/>
              </w:rPr>
            </w:pPr>
            <w:r>
              <w:rPr>
                <w:spacing w:val="-2"/>
                <w:sz w:val="18"/>
              </w:rPr>
              <w:t>145,697</w:t>
            </w:r>
          </w:p>
        </w:tc>
        <w:tc>
          <w:tcPr>
            <w:tcW w:w="1255" w:type="dxa"/>
          </w:tcPr>
          <w:p>
            <w:pPr>
              <w:pStyle w:val="TableParagraph"/>
              <w:spacing w:before="6"/>
              <w:ind w:right="69"/>
              <w:jc w:val="right"/>
              <w:rPr>
                <w:sz w:val="18"/>
              </w:rPr>
            </w:pPr>
            <w:r>
              <w:rPr>
                <w:spacing w:val="-2"/>
                <w:sz w:val="18"/>
              </w:rPr>
              <w:t>164,270</w:t>
            </w:r>
          </w:p>
        </w:tc>
      </w:tr>
      <w:tr>
        <w:trPr>
          <w:trHeight w:val="240" w:hRule="atLeast"/>
        </w:trPr>
        <w:tc>
          <w:tcPr>
            <w:tcW w:w="6182" w:type="dxa"/>
            <w:shd w:val="clear" w:color="auto" w:fill="CCEDFF"/>
          </w:tcPr>
          <w:p>
            <w:pPr>
              <w:pStyle w:val="TableParagraph"/>
              <w:spacing w:before="6"/>
              <w:ind w:left="170"/>
              <w:rPr>
                <w:sz w:val="18"/>
              </w:rPr>
            </w:pPr>
            <w:r>
              <w:rPr>
                <w:sz w:val="18"/>
              </w:rPr>
              <w:t>Taxes</w:t>
            </w:r>
            <w:r>
              <w:rPr>
                <w:spacing w:val="-3"/>
                <w:sz w:val="18"/>
              </w:rPr>
              <w:t> </w:t>
            </w:r>
            <w:r>
              <w:rPr>
                <w:sz w:val="18"/>
              </w:rPr>
              <w:t>paid</w:t>
            </w:r>
            <w:r>
              <w:rPr>
                <w:spacing w:val="-1"/>
                <w:sz w:val="18"/>
              </w:rPr>
              <w:t> </w:t>
            </w:r>
            <w:r>
              <w:rPr>
                <w:sz w:val="18"/>
              </w:rPr>
              <w:t>related</w:t>
            </w:r>
            <w:r>
              <w:rPr>
                <w:spacing w:val="-1"/>
                <w:sz w:val="18"/>
              </w:rPr>
              <w:t> </w:t>
            </w:r>
            <w:r>
              <w:rPr>
                <w:sz w:val="18"/>
              </w:rPr>
              <w:t>to</w:t>
            </w:r>
            <w:r>
              <w:rPr>
                <w:spacing w:val="-1"/>
                <w:sz w:val="18"/>
              </w:rPr>
              <w:t> </w:t>
            </w:r>
            <w:r>
              <w:rPr>
                <w:sz w:val="18"/>
              </w:rPr>
              <w:t>net</w:t>
            </w:r>
            <w:r>
              <w:rPr>
                <w:spacing w:val="-1"/>
                <w:sz w:val="18"/>
              </w:rPr>
              <w:t> </w:t>
            </w:r>
            <w:r>
              <w:rPr>
                <w:sz w:val="18"/>
              </w:rPr>
              <w:t>share</w:t>
            </w:r>
            <w:r>
              <w:rPr>
                <w:spacing w:val="-1"/>
                <w:sz w:val="18"/>
              </w:rPr>
              <w:t> </w:t>
            </w:r>
            <w:r>
              <w:rPr>
                <w:sz w:val="18"/>
              </w:rPr>
              <w:t>settlement</w:t>
            </w:r>
            <w:r>
              <w:rPr>
                <w:spacing w:val="-1"/>
                <w:sz w:val="18"/>
              </w:rPr>
              <w:t> </w:t>
            </w:r>
            <w:r>
              <w:rPr>
                <w:sz w:val="18"/>
              </w:rPr>
              <w:t>of</w:t>
            </w:r>
            <w:r>
              <w:rPr>
                <w:spacing w:val="-1"/>
                <w:sz w:val="18"/>
              </w:rPr>
              <w:t> </w:t>
            </w:r>
            <w:r>
              <w:rPr>
                <w:sz w:val="18"/>
              </w:rPr>
              <w:t>equity</w:t>
            </w:r>
            <w:r>
              <w:rPr>
                <w:spacing w:val="-1"/>
                <w:sz w:val="18"/>
              </w:rPr>
              <w:t> </w:t>
            </w:r>
            <w:r>
              <w:rPr>
                <w:spacing w:val="-2"/>
                <w:sz w:val="18"/>
              </w:rPr>
              <w:t>awards</w:t>
            </w:r>
          </w:p>
        </w:tc>
        <w:tc>
          <w:tcPr>
            <w:tcW w:w="1458" w:type="dxa"/>
            <w:shd w:val="clear" w:color="auto" w:fill="CCEDFF"/>
          </w:tcPr>
          <w:p>
            <w:pPr>
              <w:pStyle w:val="TableParagraph"/>
              <w:spacing w:before="6"/>
              <w:ind w:right="48"/>
              <w:jc w:val="right"/>
              <w:rPr>
                <w:sz w:val="18"/>
              </w:rPr>
            </w:pPr>
            <w:r>
              <w:rPr>
                <w:spacing w:val="-2"/>
                <w:sz w:val="18"/>
              </w:rPr>
              <w:t>(240,126)</w:t>
            </w:r>
          </w:p>
        </w:tc>
        <w:tc>
          <w:tcPr>
            <w:tcW w:w="1345" w:type="dxa"/>
            <w:shd w:val="clear" w:color="auto" w:fill="CCEDFF"/>
          </w:tcPr>
          <w:p>
            <w:pPr>
              <w:pStyle w:val="TableParagraph"/>
              <w:spacing w:before="6"/>
              <w:ind w:right="73"/>
              <w:jc w:val="right"/>
              <w:rPr>
                <w:sz w:val="18"/>
              </w:rPr>
            </w:pPr>
            <w:r>
              <w:rPr>
                <w:spacing w:val="-2"/>
                <w:sz w:val="18"/>
              </w:rPr>
              <w:t>(236,400)</w:t>
            </w:r>
          </w:p>
        </w:tc>
        <w:tc>
          <w:tcPr>
            <w:tcW w:w="1255" w:type="dxa"/>
            <w:shd w:val="clear" w:color="auto" w:fill="CCEDFF"/>
          </w:tcPr>
          <w:p>
            <w:pPr>
              <w:pStyle w:val="TableParagraph"/>
              <w:spacing w:before="6"/>
              <w:ind w:right="8"/>
              <w:jc w:val="right"/>
              <w:rPr>
                <w:sz w:val="18"/>
              </w:rPr>
            </w:pPr>
            <w:r>
              <w:rPr>
                <w:spacing w:val="-2"/>
                <w:sz w:val="18"/>
              </w:rPr>
              <w:t>(186,373)</w:t>
            </w:r>
          </w:p>
        </w:tc>
      </w:tr>
      <w:tr>
        <w:trPr>
          <w:trHeight w:val="240" w:hRule="atLeast"/>
        </w:trPr>
        <w:tc>
          <w:tcPr>
            <w:tcW w:w="6182" w:type="dxa"/>
          </w:tcPr>
          <w:p>
            <w:pPr>
              <w:pStyle w:val="TableParagraph"/>
              <w:spacing w:before="6"/>
              <w:ind w:left="170"/>
              <w:rPr>
                <w:sz w:val="18"/>
              </w:rPr>
            </w:pPr>
            <w:r>
              <w:rPr>
                <w:sz w:val="18"/>
              </w:rPr>
              <w:t>Excess</w:t>
            </w:r>
            <w:r>
              <w:rPr>
                <w:spacing w:val="-4"/>
                <w:sz w:val="18"/>
              </w:rPr>
              <w:t> </w:t>
            </w:r>
            <w:r>
              <w:rPr>
                <w:sz w:val="18"/>
              </w:rPr>
              <w:t>tax</w:t>
            </w:r>
            <w:r>
              <w:rPr>
                <w:spacing w:val="-2"/>
                <w:sz w:val="18"/>
              </w:rPr>
              <w:t> </w:t>
            </w:r>
            <w:r>
              <w:rPr>
                <w:sz w:val="18"/>
              </w:rPr>
              <w:t>benefits</w:t>
            </w:r>
            <w:r>
              <w:rPr>
                <w:spacing w:val="-4"/>
                <w:sz w:val="18"/>
              </w:rPr>
              <w:t> </w:t>
            </w:r>
            <w:r>
              <w:rPr>
                <w:sz w:val="18"/>
              </w:rPr>
              <w:t>from</w:t>
            </w:r>
            <w:r>
              <w:rPr>
                <w:spacing w:val="-2"/>
                <w:sz w:val="18"/>
              </w:rPr>
              <w:t> </w:t>
            </w:r>
            <w:r>
              <w:rPr>
                <w:sz w:val="18"/>
              </w:rPr>
              <w:t>stock-based</w:t>
            </w:r>
            <w:r>
              <w:rPr>
                <w:spacing w:val="-2"/>
                <w:sz w:val="18"/>
              </w:rPr>
              <w:t> compensation</w:t>
            </w:r>
          </w:p>
        </w:tc>
        <w:tc>
          <w:tcPr>
            <w:tcW w:w="1458" w:type="dxa"/>
          </w:tcPr>
          <w:p>
            <w:pPr>
              <w:pStyle w:val="TableParagraph"/>
              <w:spacing w:before="6"/>
              <w:ind w:right="109"/>
              <w:jc w:val="right"/>
              <w:rPr>
                <w:sz w:val="18"/>
              </w:rPr>
            </w:pPr>
            <w:r>
              <w:rPr>
                <w:spacing w:val="-10"/>
                <w:sz w:val="18"/>
              </w:rPr>
              <w:t>—</w:t>
            </w:r>
          </w:p>
        </w:tc>
        <w:tc>
          <w:tcPr>
            <w:tcW w:w="1345" w:type="dxa"/>
          </w:tcPr>
          <w:p>
            <w:pPr>
              <w:pStyle w:val="TableParagraph"/>
              <w:spacing w:before="6"/>
              <w:ind w:right="134"/>
              <w:jc w:val="right"/>
              <w:rPr>
                <w:sz w:val="18"/>
              </w:rPr>
            </w:pPr>
            <w:r>
              <w:rPr>
                <w:spacing w:val="-2"/>
                <w:sz w:val="18"/>
              </w:rPr>
              <w:t>75,105</w:t>
            </w:r>
          </w:p>
        </w:tc>
        <w:tc>
          <w:tcPr>
            <w:tcW w:w="1255" w:type="dxa"/>
          </w:tcPr>
          <w:p>
            <w:pPr>
              <w:pStyle w:val="TableParagraph"/>
              <w:spacing w:before="6"/>
              <w:ind w:right="69"/>
              <w:jc w:val="right"/>
              <w:rPr>
                <w:sz w:val="18"/>
              </w:rPr>
            </w:pPr>
            <w:r>
              <w:rPr>
                <w:spacing w:val="-2"/>
                <w:sz w:val="18"/>
              </w:rPr>
              <w:t>68,153</w:t>
            </w:r>
          </w:p>
        </w:tc>
      </w:tr>
      <w:tr>
        <w:trPr>
          <w:trHeight w:val="240" w:hRule="atLeast"/>
        </w:trPr>
        <w:tc>
          <w:tcPr>
            <w:tcW w:w="6182" w:type="dxa"/>
            <w:shd w:val="clear" w:color="auto" w:fill="CCEDFF"/>
          </w:tcPr>
          <w:p>
            <w:pPr>
              <w:pStyle w:val="TableParagraph"/>
              <w:spacing w:before="6"/>
              <w:ind w:left="170"/>
              <w:rPr>
                <w:sz w:val="18"/>
              </w:rPr>
            </w:pPr>
            <w:r>
              <w:rPr>
                <w:sz w:val="18"/>
              </w:rPr>
              <w:t>Proceeds</w:t>
            </w:r>
            <w:r>
              <w:rPr>
                <w:spacing w:val="-4"/>
                <w:sz w:val="18"/>
              </w:rPr>
              <w:t> </w:t>
            </w:r>
            <w:r>
              <w:rPr>
                <w:sz w:val="18"/>
              </w:rPr>
              <w:t>from</w:t>
            </w:r>
            <w:r>
              <w:rPr>
                <w:spacing w:val="-2"/>
                <w:sz w:val="18"/>
              </w:rPr>
              <w:t> </w:t>
            </w:r>
            <w:r>
              <w:rPr>
                <w:sz w:val="18"/>
              </w:rPr>
              <w:t>debt</w:t>
            </w:r>
            <w:r>
              <w:rPr>
                <w:spacing w:val="-2"/>
                <w:sz w:val="18"/>
              </w:rPr>
              <w:t> issuance</w:t>
            </w:r>
          </w:p>
        </w:tc>
        <w:tc>
          <w:tcPr>
            <w:tcW w:w="1458" w:type="dxa"/>
            <w:shd w:val="clear" w:color="auto" w:fill="CCEDFF"/>
          </w:tcPr>
          <w:p>
            <w:pPr>
              <w:pStyle w:val="TableParagraph"/>
              <w:spacing w:before="6"/>
              <w:ind w:right="109"/>
              <w:jc w:val="right"/>
              <w:rPr>
                <w:sz w:val="18"/>
              </w:rPr>
            </w:pPr>
            <w:r>
              <w:rPr>
                <w:spacing w:val="-10"/>
                <w:sz w:val="18"/>
              </w:rPr>
              <w:t>—</w:t>
            </w:r>
          </w:p>
        </w:tc>
        <w:tc>
          <w:tcPr>
            <w:tcW w:w="1345" w:type="dxa"/>
            <w:shd w:val="clear" w:color="auto" w:fill="CCEDFF"/>
          </w:tcPr>
          <w:p>
            <w:pPr>
              <w:pStyle w:val="TableParagraph"/>
              <w:spacing w:before="6"/>
              <w:ind w:right="134"/>
              <w:jc w:val="right"/>
              <w:rPr>
                <w:sz w:val="18"/>
              </w:rPr>
            </w:pPr>
            <w:r>
              <w:rPr>
                <w:spacing w:val="-10"/>
                <w:sz w:val="18"/>
              </w:rPr>
              <w:t>—</w:t>
            </w:r>
          </w:p>
        </w:tc>
        <w:tc>
          <w:tcPr>
            <w:tcW w:w="1255" w:type="dxa"/>
            <w:shd w:val="clear" w:color="auto" w:fill="CCEDFF"/>
          </w:tcPr>
          <w:p>
            <w:pPr>
              <w:pStyle w:val="TableParagraph"/>
              <w:spacing w:before="6"/>
              <w:ind w:right="69"/>
              <w:jc w:val="right"/>
              <w:rPr>
                <w:sz w:val="18"/>
              </w:rPr>
            </w:pPr>
            <w:r>
              <w:rPr>
                <w:spacing w:val="-2"/>
                <w:sz w:val="18"/>
              </w:rPr>
              <w:t>989,280</w:t>
            </w:r>
          </w:p>
        </w:tc>
      </w:tr>
      <w:tr>
        <w:trPr>
          <w:trHeight w:val="240" w:hRule="atLeast"/>
        </w:trPr>
        <w:tc>
          <w:tcPr>
            <w:tcW w:w="6182" w:type="dxa"/>
          </w:tcPr>
          <w:p>
            <w:pPr>
              <w:pStyle w:val="TableParagraph"/>
              <w:spacing w:before="6"/>
              <w:ind w:left="170"/>
              <w:rPr>
                <w:sz w:val="18"/>
              </w:rPr>
            </w:pPr>
            <w:r>
              <w:rPr>
                <w:sz w:val="18"/>
              </w:rPr>
              <w:t>Repayment of debt and capital lease </w:t>
            </w:r>
            <w:r>
              <w:rPr>
                <w:spacing w:val="-2"/>
                <w:sz w:val="18"/>
              </w:rPr>
              <w:t>obligations</w:t>
            </w:r>
          </w:p>
        </w:tc>
        <w:tc>
          <w:tcPr>
            <w:tcW w:w="1458" w:type="dxa"/>
          </w:tcPr>
          <w:p>
            <w:pPr>
              <w:pStyle w:val="TableParagraph"/>
              <w:spacing w:before="6"/>
              <w:ind w:right="48"/>
              <w:jc w:val="right"/>
              <w:rPr>
                <w:sz w:val="18"/>
              </w:rPr>
            </w:pPr>
            <w:r>
              <w:rPr>
                <w:spacing w:val="-2"/>
                <w:sz w:val="18"/>
              </w:rPr>
              <w:t>(1,960)</w:t>
            </w:r>
          </w:p>
        </w:tc>
        <w:tc>
          <w:tcPr>
            <w:tcW w:w="1345" w:type="dxa"/>
          </w:tcPr>
          <w:p>
            <w:pPr>
              <w:pStyle w:val="TableParagraph"/>
              <w:spacing w:before="6"/>
              <w:ind w:right="73"/>
              <w:jc w:val="right"/>
              <w:rPr>
                <w:sz w:val="18"/>
              </w:rPr>
            </w:pPr>
            <w:r>
              <w:rPr>
                <w:spacing w:val="-2"/>
                <w:sz w:val="18"/>
              </w:rPr>
              <w:t>(108)</w:t>
            </w:r>
          </w:p>
        </w:tc>
        <w:tc>
          <w:tcPr>
            <w:tcW w:w="1255" w:type="dxa"/>
          </w:tcPr>
          <w:p>
            <w:pPr>
              <w:pStyle w:val="TableParagraph"/>
              <w:spacing w:before="6"/>
              <w:ind w:right="8"/>
              <w:jc w:val="right"/>
              <w:rPr>
                <w:sz w:val="18"/>
              </w:rPr>
            </w:pPr>
            <w:r>
              <w:rPr>
                <w:spacing w:val="-2"/>
                <w:sz w:val="18"/>
              </w:rPr>
              <w:t>(602,189)</w:t>
            </w:r>
          </w:p>
        </w:tc>
      </w:tr>
      <w:tr>
        <w:trPr>
          <w:trHeight w:val="230" w:hRule="atLeast"/>
        </w:trPr>
        <w:tc>
          <w:tcPr>
            <w:tcW w:w="6182" w:type="dxa"/>
            <w:shd w:val="clear" w:color="auto" w:fill="CCEDFF"/>
          </w:tcPr>
          <w:p>
            <w:pPr>
              <w:pStyle w:val="TableParagraph"/>
              <w:spacing w:line="203" w:lineRule="exact" w:before="6"/>
              <w:ind w:left="170"/>
              <w:rPr>
                <w:sz w:val="18"/>
              </w:rPr>
            </w:pPr>
            <w:r>
              <w:rPr>
                <w:sz w:val="18"/>
              </w:rPr>
              <w:t>Debt issuance </w:t>
            </w:r>
            <w:r>
              <w:rPr>
                <w:spacing w:val="-2"/>
                <w:sz w:val="18"/>
              </w:rPr>
              <w:t>costs</w:t>
            </w:r>
          </w:p>
        </w:tc>
        <w:tc>
          <w:tcPr>
            <w:tcW w:w="1458" w:type="dxa"/>
            <w:tcBorders>
              <w:bottom w:val="single" w:sz="8" w:space="0" w:color="000000"/>
            </w:tcBorders>
            <w:shd w:val="clear" w:color="auto" w:fill="CCEDFF"/>
          </w:tcPr>
          <w:p>
            <w:pPr>
              <w:pStyle w:val="TableParagraph"/>
              <w:spacing w:line="203" w:lineRule="exact" w:before="6"/>
              <w:ind w:right="109"/>
              <w:jc w:val="right"/>
              <w:rPr>
                <w:sz w:val="18"/>
              </w:rPr>
            </w:pPr>
            <w:r>
              <w:rPr>
                <w:spacing w:val="-10"/>
                <w:sz w:val="18"/>
              </w:rPr>
              <w:t>—</w:t>
            </w:r>
          </w:p>
        </w:tc>
        <w:tc>
          <w:tcPr>
            <w:tcW w:w="1345" w:type="dxa"/>
            <w:tcBorders>
              <w:bottom w:val="single" w:sz="8" w:space="0" w:color="000000"/>
            </w:tcBorders>
            <w:shd w:val="clear" w:color="auto" w:fill="CCEDFF"/>
          </w:tcPr>
          <w:p>
            <w:pPr>
              <w:pStyle w:val="TableParagraph"/>
              <w:spacing w:line="203" w:lineRule="exact" w:before="6"/>
              <w:ind w:right="134"/>
              <w:jc w:val="right"/>
              <w:rPr>
                <w:sz w:val="18"/>
              </w:rPr>
            </w:pPr>
            <w:r>
              <w:rPr>
                <w:spacing w:val="-10"/>
                <w:sz w:val="18"/>
              </w:rPr>
              <w:t>—</w:t>
            </w:r>
          </w:p>
        </w:tc>
        <w:tc>
          <w:tcPr>
            <w:tcW w:w="1255" w:type="dxa"/>
            <w:tcBorders>
              <w:bottom w:val="single" w:sz="8" w:space="0" w:color="000000"/>
            </w:tcBorders>
            <w:shd w:val="clear" w:color="auto" w:fill="CCEDFF"/>
          </w:tcPr>
          <w:p>
            <w:pPr>
              <w:pStyle w:val="TableParagraph"/>
              <w:spacing w:line="203" w:lineRule="exact" w:before="6"/>
              <w:ind w:right="8"/>
              <w:jc w:val="right"/>
              <w:rPr>
                <w:sz w:val="18"/>
              </w:rPr>
            </w:pPr>
            <w:r>
              <w:rPr>
                <w:spacing w:val="-2"/>
                <w:sz w:val="18"/>
              </w:rPr>
              <w:t>(8,828)</w:t>
            </w:r>
          </w:p>
        </w:tc>
      </w:tr>
      <w:tr>
        <w:trPr>
          <w:trHeight w:val="220" w:hRule="atLeast"/>
        </w:trPr>
        <w:tc>
          <w:tcPr>
            <w:tcW w:w="6182" w:type="dxa"/>
          </w:tcPr>
          <w:p>
            <w:pPr>
              <w:pStyle w:val="TableParagraph"/>
              <w:spacing w:line="200" w:lineRule="exact"/>
              <w:ind w:left="770"/>
              <w:rPr>
                <w:sz w:val="18"/>
              </w:rPr>
            </w:pPr>
            <w:r>
              <w:rPr>
                <w:sz w:val="18"/>
              </w:rPr>
              <w:t>Net cash used for financing </w:t>
            </w:r>
            <w:r>
              <w:rPr>
                <w:spacing w:val="-2"/>
                <w:sz w:val="18"/>
              </w:rPr>
              <w:t>activities</w:t>
            </w:r>
          </w:p>
        </w:tc>
        <w:tc>
          <w:tcPr>
            <w:tcW w:w="1458" w:type="dxa"/>
            <w:tcBorders>
              <w:top w:val="single" w:sz="8" w:space="0" w:color="000000"/>
              <w:bottom w:val="single" w:sz="8" w:space="0" w:color="000000"/>
            </w:tcBorders>
          </w:tcPr>
          <w:p>
            <w:pPr>
              <w:pStyle w:val="TableParagraph"/>
              <w:spacing w:line="200" w:lineRule="exact"/>
              <w:ind w:right="48"/>
              <w:jc w:val="right"/>
              <w:rPr>
                <w:sz w:val="18"/>
              </w:rPr>
            </w:pPr>
            <w:r>
              <w:rPr>
                <w:spacing w:val="-2"/>
                <w:sz w:val="18"/>
              </w:rPr>
              <w:t>(1,183,735)</w:t>
            </w:r>
          </w:p>
        </w:tc>
        <w:tc>
          <w:tcPr>
            <w:tcW w:w="1345" w:type="dxa"/>
            <w:tcBorders>
              <w:top w:val="single" w:sz="8" w:space="0" w:color="000000"/>
              <w:bottom w:val="single" w:sz="8" w:space="0" w:color="000000"/>
            </w:tcBorders>
          </w:tcPr>
          <w:p>
            <w:pPr>
              <w:pStyle w:val="TableParagraph"/>
              <w:spacing w:line="200" w:lineRule="exact"/>
              <w:ind w:right="73"/>
              <w:jc w:val="right"/>
              <w:rPr>
                <w:sz w:val="18"/>
              </w:rPr>
            </w:pPr>
            <w:r>
              <w:rPr>
                <w:spacing w:val="-2"/>
                <w:sz w:val="18"/>
              </w:rPr>
              <w:t>(1,090,706)</w:t>
            </w:r>
          </w:p>
        </w:tc>
        <w:tc>
          <w:tcPr>
            <w:tcW w:w="1255" w:type="dxa"/>
            <w:tcBorders>
              <w:top w:val="single" w:sz="8" w:space="0" w:color="000000"/>
              <w:bottom w:val="single" w:sz="8" w:space="0" w:color="000000"/>
            </w:tcBorders>
          </w:tcPr>
          <w:p>
            <w:pPr>
              <w:pStyle w:val="TableParagraph"/>
              <w:spacing w:line="200" w:lineRule="exact"/>
              <w:ind w:right="8"/>
              <w:jc w:val="right"/>
              <w:rPr>
                <w:sz w:val="18"/>
              </w:rPr>
            </w:pPr>
            <w:r>
              <w:rPr>
                <w:spacing w:val="-2"/>
                <w:sz w:val="18"/>
              </w:rPr>
              <w:t>(200,687)</w:t>
            </w:r>
          </w:p>
        </w:tc>
      </w:tr>
      <w:tr>
        <w:trPr>
          <w:trHeight w:val="220" w:hRule="atLeast"/>
        </w:trPr>
        <w:tc>
          <w:tcPr>
            <w:tcW w:w="6182" w:type="dxa"/>
            <w:shd w:val="clear" w:color="auto" w:fill="CCEDFF"/>
          </w:tcPr>
          <w:p>
            <w:pPr>
              <w:pStyle w:val="TableParagraph"/>
              <w:spacing w:line="200" w:lineRule="exact"/>
              <w:ind w:left="50"/>
              <w:rPr>
                <w:sz w:val="18"/>
              </w:rPr>
            </w:pPr>
            <w:r>
              <w:rPr>
                <w:sz w:val="18"/>
              </w:rPr>
              <w:t>Effect</w:t>
            </w:r>
            <w:r>
              <w:rPr>
                <w:spacing w:val="-3"/>
                <w:sz w:val="18"/>
              </w:rPr>
              <w:t> </w:t>
            </w:r>
            <w:r>
              <w:rPr>
                <w:sz w:val="18"/>
              </w:rPr>
              <w:t>of</w:t>
            </w:r>
            <w:r>
              <w:rPr>
                <w:spacing w:val="-1"/>
                <w:sz w:val="18"/>
              </w:rPr>
              <w:t> </w:t>
            </w:r>
            <w:r>
              <w:rPr>
                <w:sz w:val="18"/>
              </w:rPr>
              <w:t>foreign currency</w:t>
            </w:r>
            <w:r>
              <w:rPr>
                <w:spacing w:val="-1"/>
                <w:sz w:val="18"/>
              </w:rPr>
              <w:t> </w:t>
            </w:r>
            <w:r>
              <w:rPr>
                <w:sz w:val="18"/>
              </w:rPr>
              <w:t>exchange rates</w:t>
            </w:r>
            <w:r>
              <w:rPr>
                <w:spacing w:val="-2"/>
                <w:sz w:val="18"/>
              </w:rPr>
              <w:t> </w:t>
            </w:r>
            <w:r>
              <w:rPr>
                <w:sz w:val="18"/>
              </w:rPr>
              <w:t>on</w:t>
            </w:r>
            <w:r>
              <w:rPr>
                <w:spacing w:val="-1"/>
                <w:sz w:val="18"/>
              </w:rPr>
              <w:t> </w:t>
            </w:r>
            <w:r>
              <w:rPr>
                <w:sz w:val="18"/>
              </w:rPr>
              <w:t>cash and</w:t>
            </w:r>
            <w:r>
              <w:rPr>
                <w:spacing w:val="-1"/>
                <w:sz w:val="18"/>
              </w:rPr>
              <w:t> </w:t>
            </w:r>
            <w:r>
              <w:rPr>
                <w:sz w:val="18"/>
              </w:rPr>
              <w:t>cash </w:t>
            </w:r>
            <w:r>
              <w:rPr>
                <w:spacing w:val="-2"/>
                <w:sz w:val="18"/>
              </w:rPr>
              <w:t>equivalents</w:t>
            </w:r>
          </w:p>
        </w:tc>
        <w:tc>
          <w:tcPr>
            <w:tcW w:w="1458" w:type="dxa"/>
            <w:tcBorders>
              <w:top w:val="single" w:sz="8" w:space="0" w:color="000000"/>
              <w:bottom w:val="single" w:sz="8" w:space="0" w:color="000000"/>
            </w:tcBorders>
            <w:shd w:val="clear" w:color="auto" w:fill="CCEDFF"/>
          </w:tcPr>
          <w:p>
            <w:pPr>
              <w:pStyle w:val="TableParagraph"/>
              <w:spacing w:line="200" w:lineRule="exact"/>
              <w:ind w:right="109"/>
              <w:jc w:val="right"/>
              <w:rPr>
                <w:sz w:val="18"/>
              </w:rPr>
            </w:pPr>
            <w:r>
              <w:rPr>
                <w:spacing w:val="-2"/>
                <w:sz w:val="18"/>
              </w:rPr>
              <w:t>8,516</w:t>
            </w:r>
          </w:p>
        </w:tc>
        <w:tc>
          <w:tcPr>
            <w:tcW w:w="1345" w:type="dxa"/>
            <w:tcBorders>
              <w:top w:val="single" w:sz="8" w:space="0" w:color="000000"/>
              <w:bottom w:val="single" w:sz="8" w:space="0" w:color="000000"/>
            </w:tcBorders>
            <w:shd w:val="clear" w:color="auto" w:fill="CCEDFF"/>
          </w:tcPr>
          <w:p>
            <w:pPr>
              <w:pStyle w:val="TableParagraph"/>
              <w:spacing w:line="200" w:lineRule="exact"/>
              <w:ind w:right="73"/>
              <w:jc w:val="right"/>
              <w:rPr>
                <w:sz w:val="18"/>
              </w:rPr>
            </w:pPr>
            <w:r>
              <w:rPr>
                <w:spacing w:val="-2"/>
                <w:sz w:val="18"/>
              </w:rPr>
              <w:t>(14,234)</w:t>
            </w:r>
          </w:p>
        </w:tc>
        <w:tc>
          <w:tcPr>
            <w:tcW w:w="1255" w:type="dxa"/>
            <w:tcBorders>
              <w:top w:val="single" w:sz="8" w:space="0" w:color="000000"/>
              <w:bottom w:val="single" w:sz="8" w:space="0" w:color="000000"/>
            </w:tcBorders>
            <w:shd w:val="clear" w:color="auto" w:fill="CCEDFF"/>
          </w:tcPr>
          <w:p>
            <w:pPr>
              <w:pStyle w:val="TableParagraph"/>
              <w:spacing w:line="200" w:lineRule="exact"/>
              <w:ind w:right="8"/>
              <w:jc w:val="right"/>
              <w:rPr>
                <w:sz w:val="18"/>
              </w:rPr>
            </w:pPr>
            <w:r>
              <w:rPr>
                <w:spacing w:val="-2"/>
                <w:sz w:val="18"/>
              </w:rPr>
              <w:t>(21,297)</w:t>
            </w:r>
          </w:p>
        </w:tc>
      </w:tr>
      <w:tr>
        <w:trPr>
          <w:trHeight w:val="230" w:hRule="atLeast"/>
        </w:trPr>
        <w:tc>
          <w:tcPr>
            <w:tcW w:w="6182" w:type="dxa"/>
          </w:tcPr>
          <w:p>
            <w:pPr>
              <w:pStyle w:val="TableParagraph"/>
              <w:spacing w:line="204" w:lineRule="exact"/>
              <w:ind w:left="50"/>
              <w:rPr>
                <w:sz w:val="18"/>
              </w:rPr>
            </w:pPr>
            <w:r>
              <w:rPr>
                <w:sz w:val="18"/>
              </w:rPr>
              <w:t>Net increase (decrease) in cash and cash </w:t>
            </w:r>
            <w:r>
              <w:rPr>
                <w:spacing w:val="-2"/>
                <w:sz w:val="18"/>
              </w:rPr>
              <w:t>equivalents</w:t>
            </w:r>
          </w:p>
        </w:tc>
        <w:tc>
          <w:tcPr>
            <w:tcW w:w="1458" w:type="dxa"/>
            <w:tcBorders>
              <w:top w:val="single" w:sz="8" w:space="0" w:color="000000"/>
            </w:tcBorders>
          </w:tcPr>
          <w:p>
            <w:pPr>
              <w:pStyle w:val="TableParagraph"/>
              <w:spacing w:line="204" w:lineRule="exact"/>
              <w:ind w:right="109"/>
              <w:jc w:val="right"/>
              <w:rPr>
                <w:sz w:val="18"/>
              </w:rPr>
            </w:pPr>
            <w:r>
              <w:rPr>
                <w:spacing w:val="-2"/>
                <w:sz w:val="18"/>
              </w:rPr>
              <w:t>1,294,757</w:t>
            </w:r>
          </w:p>
        </w:tc>
        <w:tc>
          <w:tcPr>
            <w:tcW w:w="1345" w:type="dxa"/>
            <w:tcBorders>
              <w:top w:val="single" w:sz="8" w:space="0" w:color="000000"/>
            </w:tcBorders>
          </w:tcPr>
          <w:p>
            <w:pPr>
              <w:pStyle w:val="TableParagraph"/>
              <w:spacing w:line="204" w:lineRule="exact"/>
              <w:ind w:right="134"/>
              <w:jc w:val="right"/>
              <w:rPr>
                <w:sz w:val="18"/>
              </w:rPr>
            </w:pPr>
            <w:r>
              <w:rPr>
                <w:spacing w:val="-2"/>
                <w:sz w:val="18"/>
              </w:rPr>
              <w:t>134,755</w:t>
            </w:r>
          </w:p>
        </w:tc>
        <w:tc>
          <w:tcPr>
            <w:tcW w:w="1255" w:type="dxa"/>
            <w:tcBorders>
              <w:top w:val="single" w:sz="8" w:space="0" w:color="000000"/>
            </w:tcBorders>
          </w:tcPr>
          <w:p>
            <w:pPr>
              <w:pStyle w:val="TableParagraph"/>
              <w:spacing w:line="204" w:lineRule="exact"/>
              <w:ind w:right="8"/>
              <w:jc w:val="right"/>
              <w:rPr>
                <w:sz w:val="18"/>
              </w:rPr>
            </w:pPr>
            <w:r>
              <w:rPr>
                <w:spacing w:val="-2"/>
                <w:sz w:val="18"/>
              </w:rPr>
              <w:t>(240,840)</w:t>
            </w:r>
          </w:p>
        </w:tc>
      </w:tr>
      <w:tr>
        <w:trPr>
          <w:trHeight w:val="230" w:hRule="atLeast"/>
        </w:trPr>
        <w:tc>
          <w:tcPr>
            <w:tcW w:w="6182" w:type="dxa"/>
            <w:shd w:val="clear" w:color="auto" w:fill="CCEDFF"/>
          </w:tcPr>
          <w:p>
            <w:pPr>
              <w:pStyle w:val="TableParagraph"/>
              <w:spacing w:line="203" w:lineRule="exact" w:before="6"/>
              <w:ind w:left="50"/>
              <w:rPr>
                <w:sz w:val="18"/>
              </w:rPr>
            </w:pPr>
            <w:r>
              <w:rPr>
                <w:sz w:val="18"/>
              </w:rPr>
              <w:t>Cash</w:t>
            </w:r>
            <w:r>
              <w:rPr>
                <w:spacing w:val="-2"/>
                <w:sz w:val="18"/>
              </w:rPr>
              <w:t> </w:t>
            </w:r>
            <w:r>
              <w:rPr>
                <w:sz w:val="18"/>
              </w:rPr>
              <w:t>and</w:t>
            </w:r>
            <w:r>
              <w:rPr>
                <w:spacing w:val="-1"/>
                <w:sz w:val="18"/>
              </w:rPr>
              <w:t> </w:t>
            </w:r>
            <w:r>
              <w:rPr>
                <w:sz w:val="18"/>
              </w:rPr>
              <w:t>cash</w:t>
            </w:r>
            <w:r>
              <w:rPr>
                <w:spacing w:val="-2"/>
                <w:sz w:val="18"/>
              </w:rPr>
              <w:t> </w:t>
            </w:r>
            <w:r>
              <w:rPr>
                <w:sz w:val="18"/>
              </w:rPr>
              <w:t>equivalents</w:t>
            </w:r>
            <w:r>
              <w:rPr>
                <w:spacing w:val="-2"/>
                <w:sz w:val="18"/>
              </w:rPr>
              <w:t> </w:t>
            </w:r>
            <w:r>
              <w:rPr>
                <w:sz w:val="18"/>
              </w:rPr>
              <w:t>at</w:t>
            </w:r>
            <w:r>
              <w:rPr>
                <w:spacing w:val="-2"/>
                <w:sz w:val="18"/>
              </w:rPr>
              <w:t> </w:t>
            </w:r>
            <w:r>
              <w:rPr>
                <w:sz w:val="18"/>
              </w:rPr>
              <w:t>beginning</w:t>
            </w:r>
            <w:r>
              <w:rPr>
                <w:spacing w:val="-1"/>
                <w:sz w:val="18"/>
              </w:rPr>
              <w:t> </w:t>
            </w:r>
            <w:r>
              <w:rPr>
                <w:sz w:val="18"/>
              </w:rPr>
              <w:t>of</w:t>
            </w:r>
            <w:r>
              <w:rPr>
                <w:spacing w:val="-1"/>
                <w:sz w:val="18"/>
              </w:rPr>
              <w:t> </w:t>
            </w:r>
            <w:r>
              <w:rPr>
                <w:spacing w:val="-4"/>
                <w:sz w:val="18"/>
              </w:rPr>
              <w:t>year</w:t>
            </w:r>
          </w:p>
        </w:tc>
        <w:tc>
          <w:tcPr>
            <w:tcW w:w="1458" w:type="dxa"/>
            <w:tcBorders>
              <w:bottom w:val="single" w:sz="8" w:space="0" w:color="000000"/>
            </w:tcBorders>
            <w:shd w:val="clear" w:color="auto" w:fill="CCEDFF"/>
          </w:tcPr>
          <w:p>
            <w:pPr>
              <w:pStyle w:val="TableParagraph"/>
              <w:spacing w:line="203" w:lineRule="exact" w:before="6"/>
              <w:ind w:right="109"/>
              <w:jc w:val="right"/>
              <w:rPr>
                <w:sz w:val="18"/>
              </w:rPr>
            </w:pPr>
            <w:r>
              <w:rPr>
                <w:spacing w:val="-2"/>
                <w:sz w:val="18"/>
              </w:rPr>
              <w:t>1,011,315</w:t>
            </w:r>
          </w:p>
        </w:tc>
        <w:tc>
          <w:tcPr>
            <w:tcW w:w="1345" w:type="dxa"/>
            <w:tcBorders>
              <w:bottom w:val="single" w:sz="8" w:space="0" w:color="000000"/>
            </w:tcBorders>
            <w:shd w:val="clear" w:color="auto" w:fill="CCEDFF"/>
          </w:tcPr>
          <w:p>
            <w:pPr>
              <w:pStyle w:val="TableParagraph"/>
              <w:spacing w:line="203" w:lineRule="exact" w:before="6"/>
              <w:ind w:right="134"/>
              <w:jc w:val="right"/>
              <w:rPr>
                <w:sz w:val="18"/>
              </w:rPr>
            </w:pPr>
            <w:r>
              <w:rPr>
                <w:spacing w:val="-2"/>
                <w:sz w:val="18"/>
              </w:rPr>
              <w:t>876,560</w:t>
            </w:r>
          </w:p>
        </w:tc>
        <w:tc>
          <w:tcPr>
            <w:tcW w:w="1255" w:type="dxa"/>
            <w:tcBorders>
              <w:bottom w:val="single" w:sz="8" w:space="0" w:color="000000"/>
            </w:tcBorders>
            <w:shd w:val="clear" w:color="auto" w:fill="CCEDFF"/>
          </w:tcPr>
          <w:p>
            <w:pPr>
              <w:pStyle w:val="TableParagraph"/>
              <w:spacing w:line="203" w:lineRule="exact" w:before="6"/>
              <w:ind w:right="69"/>
              <w:jc w:val="right"/>
              <w:rPr>
                <w:sz w:val="18"/>
              </w:rPr>
            </w:pPr>
            <w:r>
              <w:rPr>
                <w:spacing w:val="-2"/>
                <w:sz w:val="18"/>
              </w:rPr>
              <w:t>1,117,400</w:t>
            </w:r>
          </w:p>
        </w:tc>
      </w:tr>
      <w:tr>
        <w:trPr>
          <w:trHeight w:val="214" w:hRule="atLeast"/>
        </w:trPr>
        <w:tc>
          <w:tcPr>
            <w:tcW w:w="6182" w:type="dxa"/>
          </w:tcPr>
          <w:p>
            <w:pPr>
              <w:pStyle w:val="TableParagraph"/>
              <w:spacing w:line="200" w:lineRule="exact"/>
              <w:ind w:left="50"/>
              <w:rPr>
                <w:sz w:val="18"/>
              </w:rPr>
            </w:pPr>
            <w:r>
              <w:rPr>
                <w:sz w:val="18"/>
              </w:rPr>
              <w:t>Cash</w:t>
            </w:r>
            <w:r>
              <w:rPr>
                <w:spacing w:val="-4"/>
                <w:sz w:val="18"/>
              </w:rPr>
              <w:t> </w:t>
            </w:r>
            <w:r>
              <w:rPr>
                <w:sz w:val="18"/>
              </w:rPr>
              <w:t>and</w:t>
            </w:r>
            <w:r>
              <w:rPr>
                <w:spacing w:val="-1"/>
                <w:sz w:val="18"/>
              </w:rPr>
              <w:t> </w:t>
            </w:r>
            <w:r>
              <w:rPr>
                <w:sz w:val="18"/>
              </w:rPr>
              <w:t>cash</w:t>
            </w:r>
            <w:r>
              <w:rPr>
                <w:spacing w:val="-2"/>
                <w:sz w:val="18"/>
              </w:rPr>
              <w:t> </w:t>
            </w:r>
            <w:r>
              <w:rPr>
                <w:sz w:val="18"/>
              </w:rPr>
              <w:t>equivalents</w:t>
            </w:r>
            <w:r>
              <w:rPr>
                <w:spacing w:val="-2"/>
                <w:sz w:val="18"/>
              </w:rPr>
              <w:t> </w:t>
            </w:r>
            <w:r>
              <w:rPr>
                <w:sz w:val="18"/>
              </w:rPr>
              <w:t>at</w:t>
            </w:r>
            <w:r>
              <w:rPr>
                <w:spacing w:val="-2"/>
                <w:sz w:val="18"/>
              </w:rPr>
              <w:t> </w:t>
            </w:r>
            <w:r>
              <w:rPr>
                <w:sz w:val="18"/>
              </w:rPr>
              <w:t>end</w:t>
            </w:r>
            <w:r>
              <w:rPr>
                <w:spacing w:val="-1"/>
                <w:sz w:val="18"/>
              </w:rPr>
              <w:t> </w:t>
            </w:r>
            <w:r>
              <w:rPr>
                <w:sz w:val="18"/>
              </w:rPr>
              <w:t>of</w:t>
            </w:r>
            <w:r>
              <w:rPr>
                <w:spacing w:val="-1"/>
                <w:sz w:val="18"/>
              </w:rPr>
              <w:t> </w:t>
            </w:r>
            <w:r>
              <w:rPr>
                <w:spacing w:val="-4"/>
                <w:sz w:val="18"/>
              </w:rPr>
              <w:t>year</w:t>
            </w:r>
          </w:p>
        </w:tc>
        <w:tc>
          <w:tcPr>
            <w:tcW w:w="1458" w:type="dxa"/>
            <w:tcBorders>
              <w:top w:val="single" w:sz="8" w:space="0" w:color="000000"/>
              <w:bottom w:val="single" w:sz="8" w:space="0" w:color="000000"/>
            </w:tcBorders>
          </w:tcPr>
          <w:p>
            <w:pPr>
              <w:pStyle w:val="TableParagraph"/>
              <w:tabs>
                <w:tab w:pos="449" w:val="left" w:leader="none"/>
              </w:tabs>
              <w:spacing w:line="200" w:lineRule="exact"/>
              <w:ind w:right="38"/>
              <w:jc w:val="right"/>
              <w:rPr>
                <w:sz w:val="18"/>
              </w:rPr>
            </w:pPr>
            <w:r>
              <w:rPr>
                <w:spacing w:val="5"/>
                <w:sz w:val="18"/>
                <w:u w:val="single"/>
              </w:rPr>
              <w:t> </w:t>
            </w:r>
            <w:r>
              <w:rPr>
                <w:spacing w:val="-10"/>
                <w:sz w:val="18"/>
                <w:u w:val="single"/>
              </w:rPr>
              <w:t>$</w:t>
            </w:r>
            <w:r>
              <w:rPr>
                <w:sz w:val="18"/>
                <w:u w:val="single"/>
              </w:rPr>
              <w:tab/>
            </w:r>
            <w:r>
              <w:rPr>
                <w:spacing w:val="-2"/>
                <w:sz w:val="18"/>
                <w:u w:val="single"/>
              </w:rPr>
              <w:t>2,306,072</w:t>
            </w:r>
            <w:r>
              <w:rPr>
                <w:spacing w:val="80"/>
                <w:sz w:val="18"/>
                <w:u w:val="single"/>
              </w:rPr>
              <w:t> </w:t>
            </w:r>
          </w:p>
        </w:tc>
        <w:tc>
          <w:tcPr>
            <w:tcW w:w="1345" w:type="dxa"/>
            <w:tcBorders>
              <w:top w:val="single" w:sz="8" w:space="0" w:color="000000"/>
              <w:bottom w:val="single" w:sz="8" w:space="0" w:color="000000"/>
            </w:tcBorders>
          </w:tcPr>
          <w:p>
            <w:pPr>
              <w:pStyle w:val="TableParagraph"/>
              <w:tabs>
                <w:tab w:pos="449" w:val="left" w:leader="none"/>
              </w:tabs>
              <w:spacing w:line="200" w:lineRule="exact"/>
              <w:ind w:right="63"/>
              <w:jc w:val="right"/>
              <w:rPr>
                <w:sz w:val="18"/>
              </w:rPr>
            </w:pPr>
            <w:r>
              <w:rPr>
                <w:spacing w:val="5"/>
                <w:sz w:val="18"/>
                <w:u w:val="single"/>
              </w:rPr>
              <w:t> </w:t>
            </w:r>
            <w:r>
              <w:rPr>
                <w:spacing w:val="-10"/>
                <w:sz w:val="18"/>
                <w:u w:val="single"/>
              </w:rPr>
              <w:t>$</w:t>
            </w:r>
            <w:r>
              <w:rPr>
                <w:sz w:val="18"/>
                <w:u w:val="single"/>
              </w:rPr>
              <w:tab/>
            </w:r>
            <w:r>
              <w:rPr>
                <w:spacing w:val="-2"/>
                <w:sz w:val="18"/>
                <w:u w:val="single"/>
              </w:rPr>
              <w:t>1,011,315</w:t>
            </w:r>
            <w:r>
              <w:rPr>
                <w:spacing w:val="80"/>
                <w:sz w:val="18"/>
                <w:u w:val="single"/>
              </w:rPr>
              <w:t> </w:t>
            </w:r>
          </w:p>
        </w:tc>
        <w:tc>
          <w:tcPr>
            <w:tcW w:w="1255" w:type="dxa"/>
            <w:tcBorders>
              <w:top w:val="single" w:sz="8" w:space="0" w:color="000000"/>
              <w:bottom w:val="double" w:sz="8" w:space="0" w:color="000000"/>
            </w:tcBorders>
          </w:tcPr>
          <w:p>
            <w:pPr>
              <w:pStyle w:val="TableParagraph"/>
              <w:tabs>
                <w:tab w:pos="534" w:val="left" w:leader="none"/>
              </w:tabs>
              <w:spacing w:line="200" w:lineRule="exact"/>
              <w:ind w:right="69"/>
              <w:jc w:val="right"/>
              <w:rPr>
                <w:sz w:val="18"/>
              </w:rPr>
            </w:pPr>
            <w:r>
              <w:rPr>
                <w:spacing w:val="-10"/>
                <w:sz w:val="18"/>
              </w:rPr>
              <w:t>$</w:t>
            </w:r>
            <w:r>
              <w:rPr>
                <w:sz w:val="18"/>
              </w:rPr>
              <w:tab/>
            </w:r>
            <w:r>
              <w:rPr>
                <w:spacing w:val="-2"/>
                <w:sz w:val="18"/>
              </w:rPr>
              <w:t>876,560</w:t>
            </w:r>
          </w:p>
        </w:tc>
      </w:tr>
      <w:tr>
        <w:trPr>
          <w:trHeight w:val="195" w:hRule="atLeast"/>
        </w:trPr>
        <w:tc>
          <w:tcPr>
            <w:tcW w:w="6182" w:type="dxa"/>
            <w:shd w:val="clear" w:color="auto" w:fill="CCEDFF"/>
          </w:tcPr>
          <w:p>
            <w:pPr>
              <w:pStyle w:val="TableParagraph"/>
              <w:spacing w:line="164" w:lineRule="exact"/>
              <w:ind w:left="50"/>
              <w:rPr>
                <w:sz w:val="18"/>
              </w:rPr>
            </w:pPr>
            <w:r>
              <w:rPr>
                <w:sz w:val="18"/>
              </w:rPr>
              <w:t>Supplemental </w:t>
            </w:r>
            <w:r>
              <w:rPr>
                <w:spacing w:val="-2"/>
                <w:sz w:val="18"/>
              </w:rPr>
              <w:t>disclosures:</w:t>
            </w:r>
          </w:p>
        </w:tc>
        <w:tc>
          <w:tcPr>
            <w:tcW w:w="1458" w:type="dxa"/>
            <w:tcBorders>
              <w:top w:val="single" w:sz="8" w:space="0" w:color="000000"/>
            </w:tcBorders>
            <w:shd w:val="clear" w:color="auto" w:fill="CCEDFF"/>
          </w:tcPr>
          <w:p>
            <w:pPr>
              <w:pStyle w:val="TableParagraph"/>
              <w:rPr>
                <w:sz w:val="12"/>
              </w:rPr>
            </w:pPr>
          </w:p>
        </w:tc>
        <w:tc>
          <w:tcPr>
            <w:tcW w:w="1345" w:type="dxa"/>
            <w:tcBorders>
              <w:top w:val="single" w:sz="8" w:space="0" w:color="000000"/>
            </w:tcBorders>
            <w:shd w:val="clear" w:color="auto" w:fill="CCEDFF"/>
          </w:tcPr>
          <w:p>
            <w:pPr>
              <w:pStyle w:val="TableParagraph"/>
              <w:rPr>
                <w:sz w:val="12"/>
              </w:rPr>
            </w:pPr>
          </w:p>
        </w:tc>
        <w:tc>
          <w:tcPr>
            <w:tcW w:w="1255" w:type="dxa"/>
            <w:tcBorders>
              <w:top w:val="double" w:sz="8" w:space="0" w:color="000000"/>
            </w:tcBorders>
            <w:shd w:val="clear" w:color="auto" w:fill="CCEDFF"/>
          </w:tcPr>
          <w:p>
            <w:pPr>
              <w:pStyle w:val="TableParagraph"/>
              <w:rPr>
                <w:sz w:val="12"/>
              </w:rPr>
            </w:pPr>
          </w:p>
        </w:tc>
      </w:tr>
      <w:tr>
        <w:trPr>
          <w:trHeight w:val="224" w:hRule="atLeast"/>
        </w:trPr>
        <w:tc>
          <w:tcPr>
            <w:tcW w:w="6182" w:type="dxa"/>
          </w:tcPr>
          <w:p>
            <w:pPr>
              <w:pStyle w:val="TableParagraph"/>
              <w:spacing w:line="203" w:lineRule="exact" w:before="6"/>
              <w:ind w:left="170"/>
              <w:rPr>
                <w:sz w:val="18"/>
              </w:rPr>
            </w:pPr>
            <w:r>
              <w:rPr>
                <w:sz w:val="18"/>
              </w:rPr>
              <w:t>Cash paid for income taxes, net of </w:t>
            </w:r>
            <w:r>
              <w:rPr>
                <w:spacing w:val="-2"/>
                <w:sz w:val="18"/>
              </w:rPr>
              <w:t>refunds</w:t>
            </w:r>
          </w:p>
        </w:tc>
        <w:tc>
          <w:tcPr>
            <w:tcW w:w="1458" w:type="dxa"/>
            <w:tcBorders>
              <w:bottom w:val="single" w:sz="8" w:space="0" w:color="000000"/>
            </w:tcBorders>
          </w:tcPr>
          <w:p>
            <w:pPr>
              <w:pStyle w:val="TableParagraph"/>
              <w:tabs>
                <w:tab w:pos="584" w:val="left" w:leader="none"/>
              </w:tabs>
              <w:spacing w:line="203" w:lineRule="exact" w:before="6"/>
              <w:ind w:right="38"/>
              <w:jc w:val="right"/>
              <w:rPr>
                <w:sz w:val="18"/>
              </w:rPr>
            </w:pPr>
            <w:r>
              <w:rPr>
                <w:spacing w:val="5"/>
                <w:sz w:val="18"/>
                <w:u w:val="single"/>
              </w:rPr>
              <w:t> </w:t>
            </w:r>
            <w:r>
              <w:rPr>
                <w:spacing w:val="-10"/>
                <w:sz w:val="18"/>
                <w:u w:val="single"/>
              </w:rPr>
              <w:t>$</w:t>
            </w:r>
            <w:r>
              <w:rPr>
                <w:sz w:val="18"/>
                <w:u w:val="single"/>
              </w:rPr>
              <w:tab/>
            </w:r>
            <w:r>
              <w:rPr>
                <w:spacing w:val="-2"/>
                <w:sz w:val="18"/>
                <w:u w:val="single"/>
              </w:rPr>
              <w:t>396,668</w:t>
            </w:r>
            <w:r>
              <w:rPr>
                <w:spacing w:val="80"/>
                <w:sz w:val="18"/>
                <w:u w:val="single"/>
              </w:rPr>
              <w:t> </w:t>
            </w:r>
          </w:p>
        </w:tc>
        <w:tc>
          <w:tcPr>
            <w:tcW w:w="1345" w:type="dxa"/>
            <w:tcBorders>
              <w:bottom w:val="single" w:sz="8" w:space="0" w:color="000000"/>
            </w:tcBorders>
          </w:tcPr>
          <w:p>
            <w:pPr>
              <w:pStyle w:val="TableParagraph"/>
              <w:tabs>
                <w:tab w:pos="584" w:val="left" w:leader="none"/>
              </w:tabs>
              <w:spacing w:line="203" w:lineRule="exact" w:before="6"/>
              <w:ind w:right="63"/>
              <w:jc w:val="right"/>
              <w:rPr>
                <w:sz w:val="18"/>
              </w:rPr>
            </w:pPr>
            <w:r>
              <w:rPr>
                <w:spacing w:val="5"/>
                <w:sz w:val="18"/>
                <w:u w:val="single"/>
              </w:rPr>
              <w:t> </w:t>
            </w:r>
            <w:r>
              <w:rPr>
                <w:spacing w:val="-10"/>
                <w:sz w:val="18"/>
                <w:u w:val="single"/>
              </w:rPr>
              <w:t>$</w:t>
            </w:r>
            <w:r>
              <w:rPr>
                <w:sz w:val="18"/>
                <w:u w:val="single"/>
              </w:rPr>
              <w:tab/>
            </w:r>
            <w:r>
              <w:rPr>
                <w:spacing w:val="-2"/>
                <w:sz w:val="18"/>
                <w:u w:val="single"/>
              </w:rPr>
              <w:t>249,884</w:t>
            </w:r>
            <w:r>
              <w:rPr>
                <w:spacing w:val="80"/>
                <w:sz w:val="18"/>
                <w:u w:val="single"/>
              </w:rPr>
              <w:t> </w:t>
            </w:r>
          </w:p>
        </w:tc>
        <w:tc>
          <w:tcPr>
            <w:tcW w:w="1255" w:type="dxa"/>
            <w:tcBorders>
              <w:bottom w:val="double" w:sz="8" w:space="0" w:color="000000"/>
            </w:tcBorders>
          </w:tcPr>
          <w:p>
            <w:pPr>
              <w:pStyle w:val="TableParagraph"/>
              <w:tabs>
                <w:tab w:pos="534" w:val="left" w:leader="none"/>
              </w:tabs>
              <w:spacing w:line="203" w:lineRule="exact" w:before="6"/>
              <w:ind w:right="69"/>
              <w:jc w:val="right"/>
              <w:rPr>
                <w:sz w:val="18"/>
              </w:rPr>
            </w:pPr>
            <w:r>
              <w:rPr>
                <w:spacing w:val="-10"/>
                <w:sz w:val="18"/>
              </w:rPr>
              <w:t>$</w:t>
            </w:r>
            <w:r>
              <w:rPr>
                <w:sz w:val="18"/>
              </w:rPr>
              <w:tab/>
            </w:r>
            <w:r>
              <w:rPr>
                <w:spacing w:val="-2"/>
                <w:sz w:val="18"/>
              </w:rPr>
              <w:t>203,010</w:t>
            </w:r>
          </w:p>
        </w:tc>
      </w:tr>
      <w:tr>
        <w:trPr>
          <w:trHeight w:val="145" w:hRule="atLeast"/>
        </w:trPr>
        <w:tc>
          <w:tcPr>
            <w:tcW w:w="6182" w:type="dxa"/>
            <w:shd w:val="clear" w:color="auto" w:fill="CCEDFF"/>
          </w:tcPr>
          <w:p>
            <w:pPr>
              <w:pStyle w:val="TableParagraph"/>
              <w:spacing w:line="120" w:lineRule="exact"/>
              <w:ind w:left="170"/>
              <w:rPr>
                <w:sz w:val="18"/>
              </w:rPr>
            </w:pPr>
            <w:r>
              <w:rPr>
                <w:sz w:val="18"/>
              </w:rPr>
              <w:t>Cash paid for </w:t>
            </w:r>
            <w:r>
              <w:rPr>
                <w:spacing w:val="-2"/>
                <w:sz w:val="18"/>
              </w:rPr>
              <w:t>interest</w:t>
            </w:r>
          </w:p>
        </w:tc>
        <w:tc>
          <w:tcPr>
            <w:tcW w:w="1458" w:type="dxa"/>
            <w:tcBorders>
              <w:top w:val="single" w:sz="8" w:space="0" w:color="000000"/>
              <w:bottom w:val="single" w:sz="8" w:space="0" w:color="000000"/>
            </w:tcBorders>
            <w:shd w:val="clear" w:color="auto" w:fill="CCEDFF"/>
          </w:tcPr>
          <w:p>
            <w:pPr>
              <w:pStyle w:val="TableParagraph"/>
              <w:tabs>
                <w:tab w:pos="674" w:val="left" w:leader="none"/>
              </w:tabs>
              <w:spacing w:line="120" w:lineRule="exact"/>
              <w:ind w:right="38"/>
              <w:jc w:val="right"/>
              <w:rPr>
                <w:sz w:val="18"/>
              </w:rPr>
            </w:pPr>
            <w:r>
              <w:rPr>
                <w:spacing w:val="5"/>
                <w:sz w:val="18"/>
                <w:u w:val="single"/>
              </w:rPr>
              <w:t> </w:t>
            </w:r>
            <w:r>
              <w:rPr>
                <w:spacing w:val="-10"/>
                <w:sz w:val="18"/>
                <w:u w:val="single"/>
              </w:rPr>
              <w:t>$</w:t>
            </w:r>
            <w:r>
              <w:rPr>
                <w:sz w:val="18"/>
                <w:u w:val="single"/>
              </w:rPr>
              <w:tab/>
            </w:r>
            <w:r>
              <w:rPr>
                <w:spacing w:val="-2"/>
                <w:sz w:val="18"/>
                <w:u w:val="single"/>
              </w:rPr>
              <w:t>69,430</w:t>
            </w:r>
            <w:r>
              <w:rPr>
                <w:spacing w:val="80"/>
                <w:sz w:val="18"/>
                <w:u w:val="single"/>
              </w:rPr>
              <w:t> </w:t>
            </w:r>
          </w:p>
        </w:tc>
        <w:tc>
          <w:tcPr>
            <w:tcW w:w="1345" w:type="dxa"/>
            <w:tcBorders>
              <w:top w:val="single" w:sz="8" w:space="0" w:color="000000"/>
              <w:bottom w:val="single" w:sz="8" w:space="0" w:color="000000"/>
            </w:tcBorders>
            <w:shd w:val="clear" w:color="auto" w:fill="CCEDFF"/>
          </w:tcPr>
          <w:p>
            <w:pPr>
              <w:pStyle w:val="TableParagraph"/>
              <w:tabs>
                <w:tab w:pos="674" w:val="left" w:leader="none"/>
              </w:tabs>
              <w:spacing w:line="120" w:lineRule="exact"/>
              <w:ind w:right="63"/>
              <w:jc w:val="right"/>
              <w:rPr>
                <w:sz w:val="18"/>
              </w:rPr>
            </w:pPr>
            <w:r>
              <w:rPr>
                <w:spacing w:val="5"/>
                <w:sz w:val="18"/>
                <w:u w:val="single"/>
              </w:rPr>
              <w:t> </w:t>
            </w:r>
            <w:r>
              <w:rPr>
                <w:spacing w:val="-10"/>
                <w:sz w:val="18"/>
                <w:u w:val="single"/>
              </w:rPr>
              <w:t>$</w:t>
            </w:r>
            <w:r>
              <w:rPr>
                <w:sz w:val="18"/>
                <w:u w:val="single"/>
              </w:rPr>
              <w:tab/>
            </w:r>
            <w:r>
              <w:rPr>
                <w:spacing w:val="-2"/>
                <w:sz w:val="18"/>
                <w:u w:val="single"/>
              </w:rPr>
              <w:t>66,193</w:t>
            </w:r>
            <w:r>
              <w:rPr>
                <w:spacing w:val="80"/>
                <w:sz w:val="18"/>
                <w:u w:val="single"/>
              </w:rPr>
              <w:t> </w:t>
            </w:r>
          </w:p>
        </w:tc>
        <w:tc>
          <w:tcPr>
            <w:tcW w:w="1255" w:type="dxa"/>
            <w:tcBorders>
              <w:top w:val="double" w:sz="8" w:space="0" w:color="000000"/>
              <w:bottom w:val="double" w:sz="8" w:space="0" w:color="000000"/>
            </w:tcBorders>
            <w:shd w:val="clear" w:color="auto" w:fill="CCEDFF"/>
          </w:tcPr>
          <w:p>
            <w:pPr>
              <w:pStyle w:val="TableParagraph"/>
              <w:tabs>
                <w:tab w:pos="624" w:val="left" w:leader="none"/>
              </w:tabs>
              <w:spacing w:line="120" w:lineRule="exact"/>
              <w:ind w:right="69"/>
              <w:jc w:val="right"/>
              <w:rPr>
                <w:sz w:val="18"/>
              </w:rPr>
            </w:pPr>
            <w:r>
              <w:rPr>
                <w:spacing w:val="-10"/>
                <w:sz w:val="18"/>
              </w:rPr>
              <w:t>$</w:t>
            </w:r>
            <w:r>
              <w:rPr>
                <w:sz w:val="18"/>
              </w:rPr>
              <w:tab/>
            </w:r>
            <w:r>
              <w:rPr>
                <w:spacing w:val="-2"/>
                <w:sz w:val="18"/>
              </w:rPr>
              <w:t>56,014</w:t>
            </w:r>
          </w:p>
        </w:tc>
      </w:tr>
    </w:tbl>
    <w:p>
      <w:pPr>
        <w:spacing w:before="0"/>
        <w:ind w:left="260" w:right="0" w:firstLine="0"/>
        <w:jc w:val="left"/>
        <w:rPr>
          <w:sz w:val="18"/>
        </w:rPr>
      </w:pPr>
      <w:r>
        <w:rPr>
          <w:sz w:val="18"/>
        </w:rPr>
        <w:t>Non-cash investing </w:t>
      </w:r>
      <w:r>
        <w:rPr>
          <w:spacing w:val="-2"/>
          <w:sz w:val="18"/>
        </w:rPr>
        <w:t>activities:</w:t>
      </w:r>
    </w:p>
    <w:p>
      <w:pPr>
        <w:tabs>
          <w:tab w:pos="6229" w:val="left" w:leader="none"/>
          <w:tab w:pos="6904" w:val="left" w:leader="none"/>
          <w:tab w:pos="8539" w:val="left" w:leader="none"/>
          <w:tab w:pos="10039" w:val="right" w:leader="none"/>
        </w:tabs>
        <w:spacing w:before="267"/>
        <w:ind w:left="40" w:right="0" w:firstLine="0"/>
        <w:jc w:val="center"/>
        <w:rPr>
          <w:sz w:val="18"/>
        </w:rPr>
      </w:pPr>
      <w:r>
        <w:rPr/>
        <mc:AlternateContent>
          <mc:Choice Requires="wps">
            <w:drawing>
              <wp:anchor distT="0" distB="0" distL="0" distR="0" allowOverlap="1" layoutInCell="1" locked="0" behindDoc="0" simplePos="0" relativeHeight="15783424">
                <wp:simplePos x="0" y="0"/>
                <wp:positionH relativeFrom="page">
                  <wp:posOffset>628650</wp:posOffset>
                </wp:positionH>
                <wp:positionV relativeFrom="paragraph">
                  <wp:posOffset>13235</wp:posOffset>
                </wp:positionV>
                <wp:extent cx="6502400" cy="171450"/>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6502400" cy="171450"/>
                          <a:chExt cx="6502400" cy="171450"/>
                        </a:xfrm>
                      </wpg:grpSpPr>
                      <wps:wsp>
                        <wps:cNvPr id="354" name="Graphic 354"/>
                        <wps:cNvSpPr/>
                        <wps:spPr>
                          <a:xfrm>
                            <a:off x="0" y="0"/>
                            <a:ext cx="6502400" cy="152400"/>
                          </a:xfrm>
                          <a:custGeom>
                            <a:avLst/>
                            <a:gdLst/>
                            <a:ahLst/>
                            <a:cxnLst/>
                            <a:rect l="l" t="t" r="r" b="b"/>
                            <a:pathLst>
                              <a:path w="6502400" h="152400">
                                <a:moveTo>
                                  <a:pt x="6502400" y="0"/>
                                </a:moveTo>
                                <a:lnTo>
                                  <a:pt x="6502400" y="0"/>
                                </a:lnTo>
                                <a:lnTo>
                                  <a:pt x="0" y="0"/>
                                </a:lnTo>
                                <a:lnTo>
                                  <a:pt x="0" y="152400"/>
                                </a:lnTo>
                                <a:lnTo>
                                  <a:pt x="6502400" y="152400"/>
                                </a:lnTo>
                                <a:lnTo>
                                  <a:pt x="6502400" y="0"/>
                                </a:lnTo>
                                <a:close/>
                              </a:path>
                            </a:pathLst>
                          </a:custGeom>
                          <a:solidFill>
                            <a:srgbClr val="CCEDFF"/>
                          </a:solidFill>
                        </wps:spPr>
                        <wps:bodyPr wrap="square" lIns="0" tIns="0" rIns="0" bIns="0" rtlCol="0">
                          <a:prstTxWarp prst="textNoShape">
                            <a:avLst/>
                          </a:prstTxWarp>
                          <a:noAutofit/>
                        </wps:bodyPr>
                      </wps:wsp>
                      <wps:wsp>
                        <wps:cNvPr id="355" name="Graphic 355"/>
                        <wps:cNvSpPr/>
                        <wps:spPr>
                          <a:xfrm>
                            <a:off x="4038600" y="165100"/>
                            <a:ext cx="1625600" cy="1270"/>
                          </a:xfrm>
                          <a:custGeom>
                            <a:avLst/>
                            <a:gdLst/>
                            <a:ahLst/>
                            <a:cxnLst/>
                            <a:rect l="l" t="t" r="r" b="b"/>
                            <a:pathLst>
                              <a:path w="1625600" h="0">
                                <a:moveTo>
                                  <a:pt x="0" y="0"/>
                                </a:moveTo>
                                <a:lnTo>
                                  <a:pt x="787400" y="0"/>
                                </a:lnTo>
                              </a:path>
                              <a:path w="1625600" h="0">
                                <a:moveTo>
                                  <a:pt x="838200" y="0"/>
                                </a:moveTo>
                                <a:lnTo>
                                  <a:pt x="1625600" y="0"/>
                                </a:lnTo>
                              </a:path>
                            </a:pathLst>
                          </a:custGeom>
                          <a:ln w="12700">
                            <a:solidFill>
                              <a:srgbClr val="000000"/>
                            </a:solidFill>
                            <a:prstDash val="solid"/>
                          </a:ln>
                        </wps:spPr>
                        <wps:bodyPr wrap="square" lIns="0" tIns="0" rIns="0" bIns="0" rtlCol="0">
                          <a:prstTxWarp prst="textNoShape">
                            <a:avLst/>
                          </a:prstTxWarp>
                          <a:noAutofit/>
                        </wps:bodyPr>
                      </wps:wsp>
                      <wps:wsp>
                        <wps:cNvPr id="356" name="Graphic 356"/>
                        <wps:cNvSpPr/>
                        <wps:spPr>
                          <a:xfrm>
                            <a:off x="5715000" y="133350"/>
                            <a:ext cx="787400" cy="12700"/>
                          </a:xfrm>
                          <a:custGeom>
                            <a:avLst/>
                            <a:gdLst/>
                            <a:ahLst/>
                            <a:cxnLst/>
                            <a:rect l="l" t="t" r="r" b="b"/>
                            <a:pathLst>
                              <a:path w="787400" h="12700">
                                <a:moveTo>
                                  <a:pt x="0" y="12700"/>
                                </a:moveTo>
                                <a:lnTo>
                                  <a:pt x="787400" y="12700"/>
                                </a:lnTo>
                                <a:lnTo>
                                  <a:pt x="787400"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5715000" y="16510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wps:wsp>
                        <wps:cNvPr id="358" name="Textbox 358"/>
                        <wps:cNvSpPr txBox="1"/>
                        <wps:spPr>
                          <a:xfrm>
                            <a:off x="0" y="0"/>
                            <a:ext cx="6502400" cy="139700"/>
                          </a:xfrm>
                          <a:prstGeom prst="rect">
                            <a:avLst/>
                          </a:prstGeom>
                        </wps:spPr>
                        <wps:txbx>
                          <w:txbxContent>
                            <w:p>
                              <w:pPr>
                                <w:tabs>
                                  <w:tab w:pos="6359" w:val="left" w:leader="none"/>
                                  <w:tab w:pos="7034" w:val="left" w:leader="none"/>
                                  <w:tab w:pos="8669" w:val="left" w:leader="none"/>
                                  <w:tab w:pos="9989" w:val="left" w:leader="none"/>
                                </w:tabs>
                                <w:spacing w:before="6"/>
                                <w:ind w:left="170" w:right="0" w:firstLine="0"/>
                                <w:jc w:val="left"/>
                                <w:rPr>
                                  <w:sz w:val="18"/>
                                </w:rPr>
                              </w:pPr>
                              <w:r>
                                <w:rPr>
                                  <w:sz w:val="18"/>
                                </w:rPr>
                                <w:t>Investment in lease receivable applied to building </w:t>
                              </w:r>
                              <w:r>
                                <w:rPr>
                                  <w:spacing w:val="-2"/>
                                  <w:sz w:val="18"/>
                                </w:rPr>
                                <w:t>purchase</w:t>
                              </w:r>
                              <w:r>
                                <w:rPr>
                                  <w:sz w:val="18"/>
                                </w:rPr>
                                <w:tab/>
                              </w:r>
                              <w:r>
                                <w:rPr>
                                  <w:sz w:val="18"/>
                                  <w:u w:val="single"/>
                                </w:rPr>
                                <w:t> $</w:t>
                                <w:tab/>
                                <w:t>80,439</w:t>
                              </w:r>
                              <w:r>
                                <w:rPr>
                                  <w:spacing w:val="25"/>
                                  <w:sz w:val="18"/>
                                  <w:u w:val="single"/>
                                </w:rPr>
                                <w:t> </w:t>
                              </w:r>
                              <w:r>
                                <w:rPr>
                                  <w:spacing w:val="35"/>
                                  <w:sz w:val="18"/>
                                </w:rPr>
                                <w:t> </w:t>
                              </w:r>
                              <w:r>
                                <w:rPr>
                                  <w:spacing w:val="5"/>
                                  <w:sz w:val="18"/>
                                  <w:u w:val="single"/>
                                </w:rPr>
                                <w:t> </w:t>
                              </w:r>
                              <w:r>
                                <w:rPr>
                                  <w:spacing w:val="-10"/>
                                  <w:sz w:val="18"/>
                                  <w:u w:val="single"/>
                                </w:rPr>
                                <w:t>$</w:t>
                              </w:r>
                              <w:r>
                                <w:rPr>
                                  <w:sz w:val="18"/>
                                  <w:u w:val="single"/>
                                </w:rPr>
                                <w:tab/>
                                <w:t>—</w:t>
                              </w:r>
                              <w:r>
                                <w:rPr>
                                  <w:spacing w:val="25"/>
                                  <w:sz w:val="18"/>
                                  <w:u w:val="single"/>
                                </w:rPr>
                                <w:t> </w:t>
                              </w:r>
                              <w:r>
                                <w:rPr>
                                  <w:spacing w:val="62"/>
                                  <w:w w:val="150"/>
                                  <w:sz w:val="18"/>
                                </w:rPr>
                                <w:t> </w:t>
                              </w:r>
                              <w:r>
                                <w:rPr>
                                  <w:spacing w:val="-10"/>
                                  <w:sz w:val="18"/>
                                </w:rPr>
                                <w:t>$</w:t>
                              </w:r>
                              <w:r>
                                <w:rPr>
                                  <w:sz w:val="18"/>
                                </w:rPr>
                                <w:tab/>
                              </w:r>
                              <w:r>
                                <w:rPr>
                                  <w:spacing w:val="-10"/>
                                  <w:sz w:val="18"/>
                                </w:rPr>
                                <w:t>—</w:t>
                              </w:r>
                            </w:p>
                          </w:txbxContent>
                        </wps:txbx>
                        <wps:bodyPr wrap="square" lIns="0" tIns="0" rIns="0" bIns="0" rtlCol="0">
                          <a:noAutofit/>
                        </wps:bodyPr>
                      </wps:wsp>
                    </wpg:wgp>
                  </a:graphicData>
                </a:graphic>
              </wp:anchor>
            </w:drawing>
          </mc:Choice>
          <mc:Fallback>
            <w:pict>
              <v:group style="position:absolute;margin-left:49.5pt;margin-top:1.042187pt;width:512pt;height:13.5pt;mso-position-horizontal-relative:page;mso-position-vertical-relative:paragraph;z-index:15783424" id="docshapegroup289" coordorigin="990,21" coordsize="10240,270">
                <v:rect style="position:absolute;left:990;top:20;width:10240;height:240" id="docshape290" filled="true" fillcolor="#ccedff" stroked="false">
                  <v:fill type="solid"/>
                </v:rect>
                <v:shape style="position:absolute;left:7350;top:280;width:2560;height:2" id="docshape291" coordorigin="7350,281" coordsize="2560,0" path="m7350,281l8590,281m8670,281l9910,281e" filled="false" stroked="true" strokeweight="1pt" strokecolor="#000000">
                  <v:path arrowok="t"/>
                  <v:stroke dashstyle="solid"/>
                </v:shape>
                <v:rect style="position:absolute;left:9990;top:230;width:1240;height:20" id="docshape292" filled="true" fillcolor="#000000" stroked="false">
                  <v:fill type="solid"/>
                </v:rect>
                <v:line style="position:absolute" from="9990,281" to="11230,281" stroked="true" strokeweight="1pt" strokecolor="#000000">
                  <v:stroke dashstyle="solid"/>
                </v:line>
                <v:shape style="position:absolute;left:990;top:20;width:10240;height:220" type="#_x0000_t202" id="docshape293" filled="false" stroked="false">
                  <v:textbox inset="0,0,0,0">
                    <w:txbxContent>
                      <w:p>
                        <w:pPr>
                          <w:tabs>
                            <w:tab w:pos="6359" w:val="left" w:leader="none"/>
                            <w:tab w:pos="7034" w:val="left" w:leader="none"/>
                            <w:tab w:pos="8669" w:val="left" w:leader="none"/>
                            <w:tab w:pos="9989" w:val="left" w:leader="none"/>
                          </w:tabs>
                          <w:spacing w:before="6"/>
                          <w:ind w:left="170" w:right="0" w:firstLine="0"/>
                          <w:jc w:val="left"/>
                          <w:rPr>
                            <w:sz w:val="18"/>
                          </w:rPr>
                        </w:pPr>
                        <w:r>
                          <w:rPr>
                            <w:sz w:val="18"/>
                          </w:rPr>
                          <w:t>Investment in lease receivable applied to building </w:t>
                        </w:r>
                        <w:r>
                          <w:rPr>
                            <w:spacing w:val="-2"/>
                            <w:sz w:val="18"/>
                          </w:rPr>
                          <w:t>purchase</w:t>
                        </w:r>
                        <w:r>
                          <w:rPr>
                            <w:sz w:val="18"/>
                          </w:rPr>
                          <w:tab/>
                        </w:r>
                        <w:r>
                          <w:rPr>
                            <w:sz w:val="18"/>
                            <w:u w:val="single"/>
                          </w:rPr>
                          <w:t> $</w:t>
                          <w:tab/>
                          <w:t>80,439</w:t>
                        </w:r>
                        <w:r>
                          <w:rPr>
                            <w:spacing w:val="25"/>
                            <w:sz w:val="18"/>
                            <w:u w:val="single"/>
                          </w:rPr>
                          <w:t> </w:t>
                        </w:r>
                        <w:r>
                          <w:rPr>
                            <w:spacing w:val="35"/>
                            <w:sz w:val="18"/>
                          </w:rPr>
                          <w:t> </w:t>
                        </w:r>
                        <w:r>
                          <w:rPr>
                            <w:spacing w:val="5"/>
                            <w:sz w:val="18"/>
                            <w:u w:val="single"/>
                          </w:rPr>
                          <w:t> </w:t>
                        </w:r>
                        <w:r>
                          <w:rPr>
                            <w:spacing w:val="-10"/>
                            <w:sz w:val="18"/>
                            <w:u w:val="single"/>
                          </w:rPr>
                          <w:t>$</w:t>
                        </w:r>
                        <w:r>
                          <w:rPr>
                            <w:sz w:val="18"/>
                            <w:u w:val="single"/>
                          </w:rPr>
                          <w:tab/>
                          <w:t>—</w:t>
                        </w:r>
                        <w:r>
                          <w:rPr>
                            <w:spacing w:val="25"/>
                            <w:sz w:val="18"/>
                            <w:u w:val="single"/>
                          </w:rPr>
                          <w:t> </w:t>
                        </w:r>
                        <w:r>
                          <w:rPr>
                            <w:spacing w:val="62"/>
                            <w:w w:val="150"/>
                            <w:sz w:val="18"/>
                          </w:rPr>
                          <w:t> </w:t>
                        </w:r>
                        <w:r>
                          <w:rPr>
                            <w:spacing w:val="-10"/>
                            <w:sz w:val="18"/>
                          </w:rPr>
                          <w:t>$</w:t>
                        </w:r>
                        <w:r>
                          <w:rPr>
                            <w:sz w:val="18"/>
                          </w:rPr>
                          <w:tab/>
                        </w:r>
                        <w:r>
                          <w:rPr>
                            <w:spacing w:val="-10"/>
                            <w:sz w:val="18"/>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4448">
                <wp:simplePos x="0" y="0"/>
                <wp:positionH relativeFrom="page">
                  <wp:posOffset>4667250</wp:posOffset>
                </wp:positionH>
                <wp:positionV relativeFrom="paragraph">
                  <wp:posOffset>330735</wp:posOffset>
                </wp:positionV>
                <wp:extent cx="787400"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367.5pt,26.042187pt" to="429.5pt,26.042187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5505450</wp:posOffset>
                </wp:positionH>
                <wp:positionV relativeFrom="paragraph">
                  <wp:posOffset>330735</wp:posOffset>
                </wp:positionV>
                <wp:extent cx="787400"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787400" cy="1270"/>
                        </a:xfrm>
                        <a:custGeom>
                          <a:avLst/>
                          <a:gdLst/>
                          <a:ahLst/>
                          <a:cxnLst/>
                          <a:rect l="l" t="t" r="r" b="b"/>
                          <a:pathLst>
                            <a:path w="787400" h="0">
                              <a:moveTo>
                                <a:pt x="0" y="0"/>
                              </a:moveTo>
                              <a:lnTo>
                                <a:pt x="787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433.5pt,26.042187pt" to="495.5pt,26.042187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6343650</wp:posOffset>
                </wp:positionH>
                <wp:positionV relativeFrom="paragraph">
                  <wp:posOffset>305335</wp:posOffset>
                </wp:positionV>
                <wp:extent cx="787400" cy="2540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787400" cy="25400"/>
                        </a:xfrm>
                        <a:custGeom>
                          <a:avLst/>
                          <a:gdLst/>
                          <a:ahLst/>
                          <a:cxnLst/>
                          <a:rect l="l" t="t" r="r" b="b"/>
                          <a:pathLst>
                            <a:path w="787400" h="25400">
                              <a:moveTo>
                                <a:pt x="0" y="0"/>
                              </a:moveTo>
                              <a:lnTo>
                                <a:pt x="787400" y="0"/>
                              </a:lnTo>
                            </a:path>
                            <a:path w="787400" h="25400">
                              <a:moveTo>
                                <a:pt x="0" y="25400"/>
                              </a:moveTo>
                              <a:lnTo>
                                <a:pt x="7874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9.5pt;margin-top:24.042187pt;width:62pt;height:2pt;mso-position-horizontal-relative:page;mso-position-vertical-relative:paragraph;z-index:15785472" id="docshape294" coordorigin="9990,481" coordsize="1240,40" path="m9990,481l11230,481m9990,521l11230,521e" filled="false" stroked="true" strokeweight="1pt" strokecolor="#000000">
                <v:path arrowok="t"/>
                <v:stroke dashstyle="solid"/>
                <w10:wrap type="none"/>
              </v:shape>
            </w:pict>
          </mc:Fallback>
        </mc:AlternateContent>
      </w:r>
      <w:r>
        <w:rPr>
          <w:sz w:val="18"/>
        </w:rPr>
        <w:t>Issuance</w:t>
      </w:r>
      <w:r>
        <w:rPr>
          <w:spacing w:val="-4"/>
          <w:sz w:val="18"/>
        </w:rPr>
        <w:t> </w:t>
      </w:r>
      <w:r>
        <w:rPr>
          <w:sz w:val="18"/>
        </w:rPr>
        <w:t>of</w:t>
      </w:r>
      <w:r>
        <w:rPr>
          <w:spacing w:val="-1"/>
          <w:sz w:val="18"/>
        </w:rPr>
        <w:t> </w:t>
      </w:r>
      <w:r>
        <w:rPr>
          <w:sz w:val="18"/>
        </w:rPr>
        <w:t>common</w:t>
      </w:r>
      <w:r>
        <w:rPr>
          <w:spacing w:val="-1"/>
          <w:sz w:val="18"/>
        </w:rPr>
        <w:t> </w:t>
      </w:r>
      <w:r>
        <w:rPr>
          <w:sz w:val="18"/>
        </w:rPr>
        <w:t>stock</w:t>
      </w:r>
      <w:r>
        <w:rPr>
          <w:spacing w:val="-1"/>
          <w:sz w:val="18"/>
        </w:rPr>
        <w:t> </w:t>
      </w:r>
      <w:r>
        <w:rPr>
          <w:sz w:val="18"/>
        </w:rPr>
        <w:t>and</w:t>
      </w:r>
      <w:r>
        <w:rPr>
          <w:spacing w:val="-2"/>
          <w:sz w:val="18"/>
        </w:rPr>
        <w:t> </w:t>
      </w:r>
      <w:r>
        <w:rPr>
          <w:sz w:val="18"/>
        </w:rPr>
        <w:t>stock</w:t>
      </w:r>
      <w:r>
        <w:rPr>
          <w:spacing w:val="-1"/>
          <w:sz w:val="18"/>
        </w:rPr>
        <w:t> </w:t>
      </w:r>
      <w:r>
        <w:rPr>
          <w:sz w:val="18"/>
        </w:rPr>
        <w:t>awards</w:t>
      </w:r>
      <w:r>
        <w:rPr>
          <w:spacing w:val="-2"/>
          <w:sz w:val="18"/>
        </w:rPr>
        <w:t> </w:t>
      </w:r>
      <w:r>
        <w:rPr>
          <w:sz w:val="18"/>
        </w:rPr>
        <w:t>assumed</w:t>
      </w:r>
      <w:r>
        <w:rPr>
          <w:spacing w:val="-1"/>
          <w:sz w:val="18"/>
        </w:rPr>
        <w:t> </w:t>
      </w:r>
      <w:r>
        <w:rPr>
          <w:sz w:val="18"/>
        </w:rPr>
        <w:t>in</w:t>
      </w:r>
      <w:r>
        <w:rPr>
          <w:spacing w:val="-1"/>
          <w:sz w:val="18"/>
        </w:rPr>
        <w:t> </w:t>
      </w:r>
      <w:r>
        <w:rPr>
          <w:sz w:val="18"/>
        </w:rPr>
        <w:t>business</w:t>
      </w:r>
      <w:r>
        <w:rPr>
          <w:spacing w:val="-2"/>
          <w:sz w:val="18"/>
        </w:rPr>
        <w:t> acquisitions</w:t>
      </w:r>
      <w:r>
        <w:rPr>
          <w:sz w:val="18"/>
        </w:rPr>
        <w:tab/>
      </w:r>
      <w:r>
        <w:rPr>
          <w:sz w:val="18"/>
          <w:u w:val="single"/>
        </w:rPr>
        <w:t> $</w:t>
        <w:tab/>
        <w:t>10,348</w:t>
      </w:r>
      <w:r>
        <w:rPr>
          <w:spacing w:val="25"/>
          <w:sz w:val="18"/>
          <w:u w:val="single"/>
        </w:rPr>
        <w:t> </w:t>
      </w:r>
      <w:r>
        <w:rPr>
          <w:spacing w:val="35"/>
          <w:sz w:val="18"/>
        </w:rPr>
        <w:t> </w:t>
      </w:r>
      <w:r>
        <w:rPr>
          <w:spacing w:val="5"/>
          <w:sz w:val="18"/>
          <w:u w:val="single"/>
        </w:rPr>
        <w:t> </w:t>
      </w:r>
      <w:r>
        <w:rPr>
          <w:spacing w:val="-10"/>
          <w:sz w:val="18"/>
          <w:u w:val="single"/>
        </w:rPr>
        <w:t>$</w:t>
      </w:r>
      <w:r>
        <w:rPr>
          <w:sz w:val="18"/>
          <w:u w:val="single"/>
        </w:rPr>
        <w:tab/>
        <w:t>—</w:t>
      </w:r>
      <w:r>
        <w:rPr>
          <w:spacing w:val="25"/>
          <w:sz w:val="18"/>
          <w:u w:val="single"/>
        </w:rPr>
        <w:t> </w:t>
      </w:r>
      <w:r>
        <w:rPr>
          <w:spacing w:val="62"/>
          <w:w w:val="150"/>
          <w:sz w:val="18"/>
        </w:rPr>
        <w:t> </w:t>
      </w:r>
      <w:r>
        <w:rPr>
          <w:spacing w:val="-10"/>
          <w:sz w:val="18"/>
        </w:rPr>
        <w:t>$</w:t>
      </w:r>
      <w:r>
        <w:rPr>
          <w:sz w:val="18"/>
        </w:rPr>
        <w:tab/>
      </w:r>
      <w:r>
        <w:rPr>
          <w:spacing w:val="-5"/>
          <w:sz w:val="18"/>
        </w:rPr>
        <w:t>677</w:t>
      </w:r>
    </w:p>
    <w:p>
      <w:pPr>
        <w:spacing w:before="250"/>
        <w:ind w:left="243" w:right="280" w:firstLine="0"/>
        <w:jc w:val="center"/>
        <w:rPr>
          <w:i/>
          <w:sz w:val="20"/>
        </w:rPr>
      </w:pPr>
      <w:r>
        <w:rPr>
          <w:i/>
          <w:sz w:val="20"/>
        </w:rPr>
        <w:t>See</w:t>
      </w:r>
      <w:r>
        <w:rPr>
          <w:i/>
          <w:spacing w:val="-1"/>
          <w:sz w:val="20"/>
        </w:rPr>
        <w:t> </w:t>
      </w:r>
      <w:r>
        <w:rPr>
          <w:i/>
          <w:sz w:val="20"/>
        </w:rPr>
        <w:t>accompanying</w:t>
      </w:r>
      <w:r>
        <w:rPr>
          <w:i/>
          <w:spacing w:val="-1"/>
          <w:sz w:val="20"/>
        </w:rPr>
        <w:t> </w:t>
      </w:r>
      <w:r>
        <w:rPr>
          <w:i/>
          <w:sz w:val="20"/>
        </w:rPr>
        <w:t>Notes</w:t>
      </w:r>
      <w:r>
        <w:rPr>
          <w:i/>
          <w:spacing w:val="-1"/>
          <w:sz w:val="20"/>
        </w:rPr>
        <w:t> </w:t>
      </w:r>
      <w:r>
        <w:rPr>
          <w:i/>
          <w:sz w:val="20"/>
        </w:rPr>
        <w:t>to</w:t>
      </w:r>
      <w:r>
        <w:rPr>
          <w:i/>
          <w:spacing w:val="-1"/>
          <w:sz w:val="20"/>
        </w:rPr>
        <w:t> </w:t>
      </w:r>
      <w:r>
        <w:rPr>
          <w:i/>
          <w:sz w:val="20"/>
        </w:rPr>
        <w:t>Consolidated</w:t>
      </w:r>
      <w:r>
        <w:rPr>
          <w:i/>
          <w:spacing w:val="-1"/>
          <w:sz w:val="20"/>
        </w:rPr>
        <w:t> </w:t>
      </w:r>
      <w:r>
        <w:rPr>
          <w:i/>
          <w:sz w:val="20"/>
        </w:rPr>
        <w:t>Financial </w:t>
      </w:r>
      <w:r>
        <w:rPr>
          <w:i/>
          <w:spacing w:val="-2"/>
          <w:sz w:val="20"/>
        </w:rPr>
        <w:t>Statements.</w:t>
      </w:r>
    </w:p>
    <w:p>
      <w:pPr>
        <w:spacing w:after="0"/>
        <w:jc w:val="center"/>
        <w:rPr>
          <w:sz w:val="20"/>
        </w:rPr>
        <w:sectPr>
          <w:type w:val="continuous"/>
          <w:pgSz w:w="12240" w:h="15840"/>
          <w:pgMar w:header="210" w:footer="470" w:top="680" w:bottom="280" w:left="780" w:right="740"/>
        </w:sectPr>
      </w:pPr>
    </w:p>
    <w:p>
      <w:pPr>
        <w:pStyle w:val="BodyText"/>
        <w:rPr>
          <w:i/>
        </w:rPr>
      </w:pPr>
    </w:p>
    <w:p>
      <w:pPr>
        <w:pStyle w:val="BodyText"/>
        <w:rPr>
          <w:i/>
        </w:rPr>
      </w:pPr>
    </w:p>
    <w:p>
      <w:pPr>
        <w:pStyle w:val="BodyText"/>
        <w:rPr>
          <w:i/>
        </w:rPr>
      </w:pPr>
    </w:p>
    <w:p>
      <w:pPr>
        <w:pStyle w:val="BodyText"/>
        <w:spacing w:before="35"/>
        <w:rPr>
          <w:i/>
        </w:rPr>
      </w:pPr>
    </w:p>
    <w:p>
      <w:pPr>
        <w:pStyle w:val="Heading1"/>
      </w:pPr>
      <w:bookmarkStart w:name="Notes to Consolidated Financial Statemen" w:id="63"/>
      <w:bookmarkEnd w:id="63"/>
      <w:r>
        <w:rPr>
          <w:b w:val="0"/>
        </w:rPr>
      </w:r>
      <w:bookmarkStart w:name="NOTE 1. BASIS OF PRESENTATION AND SIGNIF" w:id="64"/>
      <w:bookmarkEnd w:id="64"/>
      <w:r>
        <w:rPr>
          <w:b w:val="0"/>
        </w:rPr>
      </w:r>
      <w:bookmarkStart w:name="_bookmark21" w:id="65"/>
      <w:bookmarkEnd w:id="65"/>
      <w:r>
        <w:rPr>
          <w:b w:val="0"/>
        </w:rPr>
      </w:r>
      <w:bookmarkStart w:name="_bookmark22" w:id="66"/>
      <w:bookmarkEnd w:id="66"/>
      <w:r>
        <w:rPr>
          <w:b w:val="0"/>
        </w:rPr>
      </w:r>
      <w:r>
        <w:rPr/>
        <w:t>NOTE</w:t>
      </w:r>
      <w:r>
        <w:rPr>
          <w:spacing w:val="-13"/>
        </w:rPr>
        <w:t> </w:t>
      </w:r>
      <w:r>
        <w:rPr/>
        <w:t>1.</w:t>
      </w:r>
      <w:r>
        <w:rPr>
          <w:spacing w:val="41"/>
        </w:rPr>
        <w:t> </w:t>
      </w:r>
      <w:r>
        <w:rPr/>
        <w:t>BASIS</w:t>
      </w:r>
      <w:r>
        <w:rPr>
          <w:spacing w:val="-6"/>
        </w:rPr>
        <w:t> </w:t>
      </w:r>
      <w:r>
        <w:rPr/>
        <w:t>OF</w:t>
      </w:r>
      <w:r>
        <w:rPr>
          <w:spacing w:val="-12"/>
        </w:rPr>
        <w:t> </w:t>
      </w:r>
      <w:r>
        <w:rPr/>
        <w:t>PRESENTATION</w:t>
      </w:r>
      <w:r>
        <w:rPr>
          <w:spacing w:val="-12"/>
        </w:rPr>
        <w:t> </w:t>
      </w:r>
      <w:r>
        <w:rPr/>
        <w:t>AND</w:t>
      </w:r>
      <w:r>
        <w:rPr>
          <w:spacing w:val="-6"/>
        </w:rPr>
        <w:t> </w:t>
      </w:r>
      <w:r>
        <w:rPr/>
        <w:t>SIGNIFICANT</w:t>
      </w:r>
      <w:r>
        <w:rPr>
          <w:spacing w:val="-15"/>
        </w:rPr>
        <w:t> </w:t>
      </w:r>
      <w:r>
        <w:rPr/>
        <w:t>ACCOUNTING</w:t>
      </w:r>
      <w:r>
        <w:rPr>
          <w:spacing w:val="-4"/>
        </w:rPr>
        <w:t> </w:t>
      </w:r>
      <w:r>
        <w:rPr>
          <w:spacing w:val="-2"/>
        </w:rPr>
        <w:t>POLICIES</w:t>
      </w:r>
    </w:p>
    <w:p>
      <w:pPr>
        <w:spacing w:before="190"/>
        <w:ind w:left="220" w:right="0" w:firstLine="0"/>
        <w:jc w:val="left"/>
        <w:rPr>
          <w:i/>
          <w:sz w:val="20"/>
        </w:rPr>
      </w:pPr>
      <w:r>
        <w:rPr>
          <w:i/>
          <w:spacing w:val="-2"/>
          <w:sz w:val="20"/>
        </w:rPr>
        <w:t>Operations</w:t>
      </w:r>
    </w:p>
    <w:p>
      <w:pPr>
        <w:pStyle w:val="BodyText"/>
        <w:spacing w:line="249" w:lineRule="auto" w:before="170"/>
        <w:ind w:left="220" w:right="257" w:firstLine="540"/>
        <w:jc w:val="both"/>
      </w:pPr>
      <w:r>
        <w:rPr/>
        <w:t>Founded</w:t>
      </w:r>
      <w:r>
        <w:rPr>
          <w:spacing w:val="-10"/>
        </w:rPr>
        <w:t> </w:t>
      </w:r>
      <w:r>
        <w:rPr/>
        <w:t>in</w:t>
      </w:r>
      <w:r>
        <w:rPr>
          <w:spacing w:val="-7"/>
        </w:rPr>
        <w:t> </w:t>
      </w:r>
      <w:r>
        <w:rPr/>
        <w:t>1982,</w:t>
      </w:r>
      <w:r>
        <w:rPr>
          <w:spacing w:val="-13"/>
        </w:rPr>
        <w:t> </w:t>
      </w:r>
      <w:r>
        <w:rPr/>
        <w:t>Adobe</w:t>
      </w:r>
      <w:r>
        <w:rPr>
          <w:spacing w:val="-7"/>
        </w:rPr>
        <w:t> </w:t>
      </w:r>
      <w:r>
        <w:rPr/>
        <w:t>Systems</w:t>
      </w:r>
      <w:r>
        <w:rPr>
          <w:spacing w:val="-6"/>
        </w:rPr>
        <w:t> </w:t>
      </w:r>
      <w:r>
        <w:rPr/>
        <w:t>Incorporated</w:t>
      </w:r>
      <w:r>
        <w:rPr>
          <w:spacing w:val="-7"/>
        </w:rPr>
        <w:t> </w:t>
      </w:r>
      <w:r>
        <w:rPr/>
        <w:t>is</w:t>
      </w:r>
      <w:r>
        <w:rPr>
          <w:spacing w:val="-6"/>
        </w:rPr>
        <w:t> </w:t>
      </w:r>
      <w:r>
        <w:rPr/>
        <w:t>one</w:t>
      </w:r>
      <w:r>
        <w:rPr>
          <w:spacing w:val="-7"/>
        </w:rPr>
        <w:t> </w:t>
      </w:r>
      <w:r>
        <w:rPr/>
        <w:t>of</w:t>
      </w:r>
      <w:r>
        <w:rPr>
          <w:spacing w:val="-6"/>
        </w:rPr>
        <w:t> </w:t>
      </w:r>
      <w:r>
        <w:rPr/>
        <w:t>the</w:t>
      </w:r>
      <w:r>
        <w:rPr>
          <w:spacing w:val="-7"/>
        </w:rPr>
        <w:t> </w:t>
      </w:r>
      <w:r>
        <w:rPr/>
        <w:t>largest</w:t>
      </w:r>
      <w:r>
        <w:rPr>
          <w:spacing w:val="-7"/>
        </w:rPr>
        <w:t> </w:t>
      </w:r>
      <w:r>
        <w:rPr/>
        <w:t>and</w:t>
      </w:r>
      <w:r>
        <w:rPr>
          <w:spacing w:val="-7"/>
        </w:rPr>
        <w:t> </w:t>
      </w:r>
      <w:r>
        <w:rPr/>
        <w:t>most</w:t>
      </w:r>
      <w:r>
        <w:rPr>
          <w:spacing w:val="-7"/>
        </w:rPr>
        <w:t> </w:t>
      </w:r>
      <w:r>
        <w:rPr/>
        <w:t>diversified</w:t>
      </w:r>
      <w:r>
        <w:rPr>
          <w:spacing w:val="-7"/>
        </w:rPr>
        <w:t> </w:t>
      </w:r>
      <w:r>
        <w:rPr/>
        <w:t>software</w:t>
      </w:r>
      <w:r>
        <w:rPr>
          <w:spacing w:val="-7"/>
        </w:rPr>
        <w:t> </w:t>
      </w:r>
      <w:r>
        <w:rPr/>
        <w:t>companies</w:t>
      </w:r>
      <w:r>
        <w:rPr>
          <w:spacing w:val="-6"/>
        </w:rPr>
        <w:t> </w:t>
      </w:r>
      <w:r>
        <w:rPr/>
        <w:t>in</w:t>
      </w:r>
      <w:r>
        <w:rPr>
          <w:spacing w:val="-7"/>
        </w:rPr>
        <w:t> </w:t>
      </w:r>
      <w:r>
        <w:rPr/>
        <w:t>the</w:t>
      </w:r>
      <w:r>
        <w:rPr>
          <w:spacing w:val="-6"/>
        </w:rPr>
        <w:t> </w:t>
      </w:r>
      <w:r>
        <w:rPr/>
        <w:t>world. We offer a line of products and services used by creative professionals, marketers, knowledge workers, application developers, enterprises</w:t>
      </w:r>
      <w:r>
        <w:rPr>
          <w:spacing w:val="-3"/>
        </w:rPr>
        <w:t> </w:t>
      </w:r>
      <w:r>
        <w:rPr/>
        <w:t>and</w:t>
      </w:r>
      <w:r>
        <w:rPr>
          <w:spacing w:val="-3"/>
        </w:rPr>
        <w:t> </w:t>
      </w:r>
      <w:r>
        <w:rPr/>
        <w:t>consumers</w:t>
      </w:r>
      <w:r>
        <w:rPr>
          <w:spacing w:val="-3"/>
        </w:rPr>
        <w:t> </w:t>
      </w:r>
      <w:r>
        <w:rPr/>
        <w:t>for</w:t>
      </w:r>
      <w:r>
        <w:rPr>
          <w:spacing w:val="-3"/>
        </w:rPr>
        <w:t> </w:t>
      </w:r>
      <w:r>
        <w:rPr/>
        <w:t>creating,</w:t>
      </w:r>
      <w:r>
        <w:rPr>
          <w:spacing w:val="-3"/>
        </w:rPr>
        <w:t> </w:t>
      </w:r>
      <w:r>
        <w:rPr/>
        <w:t>managing,</w:t>
      </w:r>
      <w:r>
        <w:rPr>
          <w:spacing w:val="-3"/>
        </w:rPr>
        <w:t> </w:t>
      </w:r>
      <w:r>
        <w:rPr/>
        <w:t>delivering,</w:t>
      </w:r>
      <w:r>
        <w:rPr>
          <w:spacing w:val="-3"/>
        </w:rPr>
        <w:t> </w:t>
      </w:r>
      <w:r>
        <w:rPr/>
        <w:t>measuring,</w:t>
      </w:r>
      <w:r>
        <w:rPr>
          <w:spacing w:val="-3"/>
        </w:rPr>
        <w:t> </w:t>
      </w:r>
      <w:r>
        <w:rPr/>
        <w:t>optimizing</w:t>
      </w:r>
      <w:r>
        <w:rPr>
          <w:spacing w:val="-3"/>
        </w:rPr>
        <w:t> </w:t>
      </w:r>
      <w:r>
        <w:rPr/>
        <w:t>and</w:t>
      </w:r>
      <w:r>
        <w:rPr>
          <w:spacing w:val="-3"/>
        </w:rPr>
        <w:t> </w:t>
      </w:r>
      <w:r>
        <w:rPr/>
        <w:t>engaging</w:t>
      </w:r>
      <w:r>
        <w:rPr>
          <w:spacing w:val="-3"/>
        </w:rPr>
        <w:t> </w:t>
      </w:r>
      <w:r>
        <w:rPr/>
        <w:t>with</w:t>
      </w:r>
      <w:r>
        <w:rPr>
          <w:spacing w:val="-3"/>
        </w:rPr>
        <w:t> </w:t>
      </w:r>
      <w:r>
        <w:rPr/>
        <w:t>compelling</w:t>
      </w:r>
      <w:r>
        <w:rPr>
          <w:spacing w:val="-3"/>
        </w:rPr>
        <w:t> </w:t>
      </w:r>
      <w:r>
        <w:rPr/>
        <w:t>content</w:t>
      </w:r>
      <w:r>
        <w:rPr>
          <w:spacing w:val="-3"/>
        </w:rPr>
        <w:t> </w:t>
      </w:r>
      <w:r>
        <w:rPr/>
        <w:t>and experiences</w:t>
      </w:r>
      <w:r>
        <w:rPr>
          <w:spacing w:val="-13"/>
        </w:rPr>
        <w:t> </w:t>
      </w:r>
      <w:r>
        <w:rPr/>
        <w:t>across</w:t>
      </w:r>
      <w:r>
        <w:rPr>
          <w:spacing w:val="-12"/>
        </w:rPr>
        <w:t> </w:t>
      </w:r>
      <w:r>
        <w:rPr/>
        <w:t>personal</w:t>
      </w:r>
      <w:r>
        <w:rPr>
          <w:spacing w:val="-12"/>
        </w:rPr>
        <w:t> </w:t>
      </w:r>
      <w:r>
        <w:rPr/>
        <w:t>computers,</w:t>
      </w:r>
      <w:r>
        <w:rPr>
          <w:spacing w:val="-12"/>
        </w:rPr>
        <w:t> </w:t>
      </w:r>
      <w:r>
        <w:rPr/>
        <w:t>devices</w:t>
      </w:r>
      <w:r>
        <w:rPr>
          <w:spacing w:val="-12"/>
        </w:rPr>
        <w:t> </w:t>
      </w:r>
      <w:r>
        <w:rPr/>
        <w:t>and</w:t>
      </w:r>
      <w:r>
        <w:rPr>
          <w:spacing w:val="-12"/>
        </w:rPr>
        <w:t> </w:t>
      </w:r>
      <w:r>
        <w:rPr/>
        <w:t>media.</w:t>
      </w:r>
      <w:r>
        <w:rPr>
          <w:spacing w:val="-13"/>
        </w:rPr>
        <w:t> </w:t>
      </w:r>
      <w:r>
        <w:rPr/>
        <w:t>We</w:t>
      </w:r>
      <w:r>
        <w:rPr>
          <w:spacing w:val="-12"/>
        </w:rPr>
        <w:t> </w:t>
      </w:r>
      <w:r>
        <w:rPr/>
        <w:t>market</w:t>
      </w:r>
      <w:r>
        <w:rPr>
          <w:spacing w:val="-12"/>
        </w:rPr>
        <w:t> </w:t>
      </w:r>
      <w:r>
        <w:rPr/>
        <w:t>and</w:t>
      </w:r>
      <w:r>
        <w:rPr>
          <w:spacing w:val="-12"/>
        </w:rPr>
        <w:t> </w:t>
      </w:r>
      <w:r>
        <w:rPr/>
        <w:t>license</w:t>
      </w:r>
      <w:r>
        <w:rPr>
          <w:spacing w:val="-12"/>
        </w:rPr>
        <w:t> </w:t>
      </w:r>
      <w:r>
        <w:rPr/>
        <w:t>our</w:t>
      </w:r>
      <w:r>
        <w:rPr>
          <w:spacing w:val="-12"/>
        </w:rPr>
        <w:t> </w:t>
      </w:r>
      <w:r>
        <w:rPr/>
        <w:t>products</w:t>
      </w:r>
      <w:r>
        <w:rPr>
          <w:spacing w:val="-12"/>
        </w:rPr>
        <w:t> </w:t>
      </w:r>
      <w:r>
        <w:rPr/>
        <w:t>and</w:t>
      </w:r>
      <w:r>
        <w:rPr>
          <w:spacing w:val="-12"/>
        </w:rPr>
        <w:t> </w:t>
      </w:r>
      <w:r>
        <w:rPr/>
        <w:t>services</w:t>
      </w:r>
      <w:r>
        <w:rPr>
          <w:spacing w:val="-12"/>
        </w:rPr>
        <w:t> </w:t>
      </w:r>
      <w:r>
        <w:rPr/>
        <w:t>directly</w:t>
      </w:r>
      <w:r>
        <w:rPr>
          <w:spacing w:val="-12"/>
        </w:rPr>
        <w:t> </w:t>
      </w:r>
      <w:r>
        <w:rPr/>
        <w:t>to</w:t>
      </w:r>
      <w:r>
        <w:rPr>
          <w:spacing w:val="-12"/>
        </w:rPr>
        <w:t> </w:t>
      </w:r>
      <w:r>
        <w:rPr/>
        <w:t>enterprise customers through our sales force and to end users through app stores and our own website at </w:t>
      </w:r>
      <w:hyperlink r:id="rId17">
        <w:r>
          <w:rPr/>
          <w:t>www.adobe.com.</w:t>
        </w:r>
      </w:hyperlink>
      <w:r>
        <w:rPr>
          <w:spacing w:val="-4"/>
        </w:rPr>
        <w:t> </w:t>
      </w:r>
      <w:r>
        <w:rPr/>
        <w:t>We offer many </w:t>
      </w:r>
      <w:r>
        <w:rPr>
          <w:spacing w:val="-2"/>
        </w:rPr>
        <w:t>of</w:t>
      </w:r>
      <w:r>
        <w:rPr>
          <w:spacing w:val="-4"/>
        </w:rPr>
        <w:t> </w:t>
      </w:r>
      <w:r>
        <w:rPr>
          <w:spacing w:val="-2"/>
        </w:rPr>
        <w:t>our</w:t>
      </w:r>
      <w:r>
        <w:rPr>
          <w:spacing w:val="-4"/>
        </w:rPr>
        <w:t> </w:t>
      </w:r>
      <w:r>
        <w:rPr>
          <w:spacing w:val="-2"/>
        </w:rPr>
        <w:t>products</w:t>
      </w:r>
      <w:r>
        <w:rPr>
          <w:spacing w:val="-4"/>
        </w:rPr>
        <w:t> </w:t>
      </w:r>
      <w:r>
        <w:rPr>
          <w:spacing w:val="-2"/>
        </w:rPr>
        <w:t>via</w:t>
      </w:r>
      <w:r>
        <w:rPr>
          <w:spacing w:val="-4"/>
        </w:rPr>
        <w:t> </w:t>
      </w:r>
      <w:r>
        <w:rPr>
          <w:spacing w:val="-2"/>
        </w:rPr>
        <w:t>a</w:t>
      </w:r>
      <w:r>
        <w:rPr>
          <w:spacing w:val="-4"/>
        </w:rPr>
        <w:t> </w:t>
      </w:r>
      <w:r>
        <w:rPr>
          <w:spacing w:val="-2"/>
        </w:rPr>
        <w:t>Software-as-a-Service</w:t>
      </w:r>
      <w:r>
        <w:rPr>
          <w:spacing w:val="-6"/>
        </w:rPr>
        <w:t> </w:t>
      </w:r>
      <w:r>
        <w:rPr>
          <w:spacing w:val="-2"/>
        </w:rPr>
        <w:t>(“SaaS”)</w:t>
      </w:r>
      <w:r>
        <w:rPr>
          <w:spacing w:val="-4"/>
        </w:rPr>
        <w:t> </w:t>
      </w:r>
      <w:r>
        <w:rPr>
          <w:spacing w:val="-2"/>
        </w:rPr>
        <w:t>model</w:t>
      </w:r>
      <w:r>
        <w:rPr>
          <w:spacing w:val="-4"/>
        </w:rPr>
        <w:t> </w:t>
      </w:r>
      <w:r>
        <w:rPr>
          <w:spacing w:val="-2"/>
        </w:rPr>
        <w:t>or</w:t>
      </w:r>
      <w:r>
        <w:rPr>
          <w:spacing w:val="-4"/>
        </w:rPr>
        <w:t> </w:t>
      </w:r>
      <w:r>
        <w:rPr>
          <w:spacing w:val="-2"/>
        </w:rPr>
        <w:t>a</w:t>
      </w:r>
      <w:r>
        <w:rPr>
          <w:spacing w:val="-4"/>
        </w:rPr>
        <w:t> </w:t>
      </w:r>
      <w:r>
        <w:rPr>
          <w:spacing w:val="-2"/>
        </w:rPr>
        <w:t>managed</w:t>
      </w:r>
      <w:r>
        <w:rPr>
          <w:spacing w:val="-4"/>
        </w:rPr>
        <w:t> </w:t>
      </w:r>
      <w:r>
        <w:rPr>
          <w:spacing w:val="-2"/>
        </w:rPr>
        <w:t>services</w:t>
      </w:r>
      <w:r>
        <w:rPr>
          <w:spacing w:val="-4"/>
        </w:rPr>
        <w:t> </w:t>
      </w:r>
      <w:r>
        <w:rPr>
          <w:spacing w:val="-2"/>
        </w:rPr>
        <w:t>model</w:t>
      </w:r>
      <w:r>
        <w:rPr>
          <w:spacing w:val="-4"/>
        </w:rPr>
        <w:t> </w:t>
      </w:r>
      <w:r>
        <w:rPr>
          <w:spacing w:val="-2"/>
        </w:rPr>
        <w:t>(both</w:t>
      </w:r>
      <w:r>
        <w:rPr>
          <w:spacing w:val="-4"/>
        </w:rPr>
        <w:t> </w:t>
      </w:r>
      <w:r>
        <w:rPr>
          <w:spacing w:val="-2"/>
        </w:rPr>
        <w:t>of</w:t>
      </w:r>
      <w:r>
        <w:rPr>
          <w:spacing w:val="-4"/>
        </w:rPr>
        <w:t> </w:t>
      </w:r>
      <w:r>
        <w:rPr>
          <w:spacing w:val="-2"/>
        </w:rPr>
        <w:t>which</w:t>
      </w:r>
      <w:r>
        <w:rPr>
          <w:spacing w:val="-4"/>
        </w:rPr>
        <w:t> </w:t>
      </w:r>
      <w:r>
        <w:rPr>
          <w:spacing w:val="-2"/>
        </w:rPr>
        <w:t>are</w:t>
      </w:r>
      <w:r>
        <w:rPr>
          <w:spacing w:val="-4"/>
        </w:rPr>
        <w:t> </w:t>
      </w:r>
      <w:r>
        <w:rPr>
          <w:spacing w:val="-2"/>
        </w:rPr>
        <w:t>referred</w:t>
      </w:r>
      <w:r>
        <w:rPr>
          <w:spacing w:val="-4"/>
        </w:rPr>
        <w:t> </w:t>
      </w:r>
      <w:r>
        <w:rPr>
          <w:spacing w:val="-2"/>
        </w:rPr>
        <w:t>to</w:t>
      </w:r>
      <w:r>
        <w:rPr>
          <w:spacing w:val="-4"/>
        </w:rPr>
        <w:t> </w:t>
      </w:r>
      <w:r>
        <w:rPr>
          <w:spacing w:val="-2"/>
        </w:rPr>
        <w:t>as</w:t>
      </w:r>
      <w:r>
        <w:rPr>
          <w:spacing w:val="-4"/>
        </w:rPr>
        <w:t> </w:t>
      </w:r>
      <w:r>
        <w:rPr>
          <w:spacing w:val="-2"/>
        </w:rPr>
        <w:t>a</w:t>
      </w:r>
      <w:r>
        <w:rPr>
          <w:spacing w:val="-4"/>
        </w:rPr>
        <w:t> </w:t>
      </w:r>
      <w:r>
        <w:rPr>
          <w:spacing w:val="-2"/>
        </w:rPr>
        <w:t>hosted </w:t>
      </w:r>
      <w:r>
        <w:rPr/>
        <w:t>or cloud-based) as well as through term subscription and pay-per-use models. We also distribute certain products and services through a network of distributors, value-added resellers (“VARs”), systems integrators (“SIs”), independent software vendors (“ISVs”),</w:t>
      </w:r>
      <w:r>
        <w:rPr>
          <w:spacing w:val="-8"/>
        </w:rPr>
        <w:t> </w:t>
      </w:r>
      <w:r>
        <w:rPr/>
        <w:t>retailers,</w:t>
      </w:r>
      <w:r>
        <w:rPr>
          <w:spacing w:val="-8"/>
        </w:rPr>
        <w:t> </w:t>
      </w:r>
      <w:r>
        <w:rPr/>
        <w:t>software</w:t>
      </w:r>
      <w:r>
        <w:rPr>
          <w:spacing w:val="-8"/>
        </w:rPr>
        <w:t> </w:t>
      </w:r>
      <w:r>
        <w:rPr/>
        <w:t>developers</w:t>
      </w:r>
      <w:r>
        <w:rPr>
          <w:spacing w:val="-8"/>
        </w:rPr>
        <w:t> </w:t>
      </w:r>
      <w:r>
        <w:rPr/>
        <w:t>and</w:t>
      </w:r>
      <w:r>
        <w:rPr>
          <w:spacing w:val="-8"/>
        </w:rPr>
        <w:t> </w:t>
      </w:r>
      <w:r>
        <w:rPr/>
        <w:t>original</w:t>
      </w:r>
      <w:r>
        <w:rPr>
          <w:spacing w:val="-9"/>
        </w:rPr>
        <w:t> </w:t>
      </w:r>
      <w:r>
        <w:rPr/>
        <w:t>equipment</w:t>
      </w:r>
      <w:r>
        <w:rPr>
          <w:spacing w:val="-9"/>
        </w:rPr>
        <w:t> </w:t>
      </w:r>
      <w:r>
        <w:rPr/>
        <w:t>manufacturers</w:t>
      </w:r>
      <w:r>
        <w:rPr>
          <w:spacing w:val="-8"/>
        </w:rPr>
        <w:t> </w:t>
      </w:r>
      <w:r>
        <w:rPr/>
        <w:t>(“OEMs”).</w:t>
      </w:r>
      <w:r>
        <w:rPr>
          <w:spacing w:val="-8"/>
        </w:rPr>
        <w:t> </w:t>
      </w:r>
      <w:r>
        <w:rPr/>
        <w:t>In</w:t>
      </w:r>
      <w:r>
        <w:rPr>
          <w:spacing w:val="-8"/>
        </w:rPr>
        <w:t> </w:t>
      </w:r>
      <w:r>
        <w:rPr/>
        <w:t>addition,</w:t>
      </w:r>
      <w:r>
        <w:rPr>
          <w:spacing w:val="-8"/>
        </w:rPr>
        <w:t> </w:t>
      </w:r>
      <w:r>
        <w:rPr/>
        <w:t>we</w:t>
      </w:r>
      <w:r>
        <w:rPr>
          <w:spacing w:val="-8"/>
        </w:rPr>
        <w:t> </w:t>
      </w:r>
      <w:r>
        <w:rPr/>
        <w:t>license</w:t>
      </w:r>
      <w:r>
        <w:rPr>
          <w:spacing w:val="-9"/>
        </w:rPr>
        <w:t> </w:t>
      </w:r>
      <w:r>
        <w:rPr/>
        <w:t>our</w:t>
      </w:r>
      <w:r>
        <w:rPr>
          <w:spacing w:val="-8"/>
        </w:rPr>
        <w:t> </w:t>
      </w:r>
      <w:r>
        <w:rPr/>
        <w:t>technology to hardware manufacturers, software developers and service providers for use in their products and solutions. Our products run on</w:t>
      </w:r>
      <w:r>
        <w:rPr>
          <w:spacing w:val="-13"/>
        </w:rPr>
        <w:t> </w:t>
      </w:r>
      <w:r>
        <w:rPr/>
        <w:t>personal</w:t>
      </w:r>
      <w:r>
        <w:rPr>
          <w:spacing w:val="-11"/>
        </w:rPr>
        <w:t> </w:t>
      </w:r>
      <w:r>
        <w:rPr/>
        <w:t>and</w:t>
      </w:r>
      <w:r>
        <w:rPr>
          <w:spacing w:val="-11"/>
        </w:rPr>
        <w:t> </w:t>
      </w:r>
      <w:r>
        <w:rPr/>
        <w:t>server-based</w:t>
      </w:r>
      <w:r>
        <w:rPr>
          <w:spacing w:val="-11"/>
        </w:rPr>
        <w:t> </w:t>
      </w:r>
      <w:r>
        <w:rPr/>
        <w:t>computers,</w:t>
      </w:r>
      <w:r>
        <w:rPr>
          <w:spacing w:val="-11"/>
        </w:rPr>
        <w:t> </w:t>
      </w:r>
      <w:r>
        <w:rPr/>
        <w:t>as</w:t>
      </w:r>
      <w:r>
        <w:rPr>
          <w:spacing w:val="-11"/>
        </w:rPr>
        <w:t> </w:t>
      </w:r>
      <w:r>
        <w:rPr/>
        <w:t>well</w:t>
      </w:r>
      <w:r>
        <w:rPr>
          <w:spacing w:val="-11"/>
        </w:rPr>
        <w:t> </w:t>
      </w:r>
      <w:r>
        <w:rPr/>
        <w:t>as</w:t>
      </w:r>
      <w:r>
        <w:rPr>
          <w:spacing w:val="-11"/>
        </w:rPr>
        <w:t> </w:t>
      </w:r>
      <w:r>
        <w:rPr/>
        <w:t>on</w:t>
      </w:r>
      <w:r>
        <w:rPr>
          <w:spacing w:val="-11"/>
        </w:rPr>
        <w:t> </w:t>
      </w:r>
      <w:r>
        <w:rPr/>
        <w:t>smartphones,</w:t>
      </w:r>
      <w:r>
        <w:rPr>
          <w:spacing w:val="-11"/>
        </w:rPr>
        <w:t> </w:t>
      </w:r>
      <w:r>
        <w:rPr/>
        <w:t>tablets</w:t>
      </w:r>
      <w:r>
        <w:rPr>
          <w:spacing w:val="-11"/>
        </w:rPr>
        <w:t> </w:t>
      </w:r>
      <w:r>
        <w:rPr/>
        <w:t>and</w:t>
      </w:r>
      <w:r>
        <w:rPr>
          <w:spacing w:val="-11"/>
        </w:rPr>
        <w:t> </w:t>
      </w:r>
      <w:r>
        <w:rPr/>
        <w:t>other</w:t>
      </w:r>
      <w:r>
        <w:rPr>
          <w:spacing w:val="-11"/>
        </w:rPr>
        <w:t> </w:t>
      </w:r>
      <w:r>
        <w:rPr/>
        <w:t>devices,</w:t>
      </w:r>
      <w:r>
        <w:rPr>
          <w:spacing w:val="-11"/>
        </w:rPr>
        <w:t> </w:t>
      </w:r>
      <w:r>
        <w:rPr/>
        <w:t>depending</w:t>
      </w:r>
      <w:r>
        <w:rPr>
          <w:spacing w:val="-11"/>
        </w:rPr>
        <w:t> </w:t>
      </w:r>
      <w:r>
        <w:rPr/>
        <w:t>on</w:t>
      </w:r>
      <w:r>
        <w:rPr>
          <w:spacing w:val="-11"/>
        </w:rPr>
        <w:t> </w:t>
      </w:r>
      <w:r>
        <w:rPr/>
        <w:t>the</w:t>
      </w:r>
      <w:r>
        <w:rPr>
          <w:spacing w:val="-11"/>
        </w:rPr>
        <w:t> </w:t>
      </w:r>
      <w:r>
        <w:rPr/>
        <w:t>product.</w:t>
      </w:r>
      <w:r>
        <w:rPr>
          <w:spacing w:val="-13"/>
        </w:rPr>
        <w:t> </w:t>
      </w:r>
      <w:r>
        <w:rPr/>
        <w:t>We</w:t>
      </w:r>
      <w:r>
        <w:rPr>
          <w:spacing w:val="-11"/>
        </w:rPr>
        <w:t> </w:t>
      </w:r>
      <w:r>
        <w:rPr/>
        <w:t>have operations in the</w:t>
      </w:r>
      <w:r>
        <w:rPr>
          <w:spacing w:val="-3"/>
        </w:rPr>
        <w:t> </w:t>
      </w:r>
      <w:r>
        <w:rPr/>
        <w:t>Americas, Europe, Middle East and</w:t>
      </w:r>
      <w:r>
        <w:rPr>
          <w:spacing w:val="-3"/>
        </w:rPr>
        <w:t> </w:t>
      </w:r>
      <w:r>
        <w:rPr/>
        <w:t>Africa (“EMEA”) and</w:t>
      </w:r>
      <w:r>
        <w:rPr>
          <w:spacing w:val="-4"/>
        </w:rPr>
        <w:t> </w:t>
      </w:r>
      <w:r>
        <w:rPr/>
        <w:t>Asia-Pacific (“APAC”).</w:t>
      </w:r>
    </w:p>
    <w:p>
      <w:pPr>
        <w:spacing w:before="190"/>
        <w:ind w:left="220" w:right="0" w:firstLine="0"/>
        <w:jc w:val="left"/>
        <w:rPr>
          <w:i/>
          <w:sz w:val="20"/>
        </w:rPr>
      </w:pPr>
      <w:r>
        <w:rPr>
          <w:i/>
          <w:sz w:val="20"/>
        </w:rPr>
        <w:t>Basis</w:t>
      </w:r>
      <w:r>
        <w:rPr>
          <w:i/>
          <w:spacing w:val="-5"/>
          <w:sz w:val="20"/>
        </w:rPr>
        <w:t> </w:t>
      </w:r>
      <w:r>
        <w:rPr>
          <w:i/>
          <w:sz w:val="20"/>
        </w:rPr>
        <w:t>of</w:t>
      </w:r>
      <w:r>
        <w:rPr>
          <w:i/>
          <w:spacing w:val="-2"/>
          <w:sz w:val="20"/>
        </w:rPr>
        <w:t> Presentation</w:t>
      </w:r>
    </w:p>
    <w:p>
      <w:pPr>
        <w:pStyle w:val="BodyText"/>
        <w:spacing w:line="249" w:lineRule="auto" w:before="170"/>
        <w:ind w:left="220" w:right="257" w:firstLine="540"/>
        <w:jc w:val="both"/>
      </w:pPr>
      <w:r>
        <w:rPr/>
        <w:t>The</w:t>
      </w:r>
      <w:r>
        <w:rPr>
          <w:spacing w:val="-6"/>
        </w:rPr>
        <w:t> </w:t>
      </w:r>
      <w:r>
        <w:rPr/>
        <w:t>accompanying</w:t>
      </w:r>
      <w:r>
        <w:rPr>
          <w:spacing w:val="-4"/>
        </w:rPr>
        <w:t> </w:t>
      </w:r>
      <w:r>
        <w:rPr/>
        <w:t>Consolidated</w:t>
      </w:r>
      <w:r>
        <w:rPr>
          <w:spacing w:val="-4"/>
        </w:rPr>
        <w:t> </w:t>
      </w:r>
      <w:r>
        <w:rPr/>
        <w:t>Financial</w:t>
      </w:r>
      <w:r>
        <w:rPr>
          <w:spacing w:val="-4"/>
        </w:rPr>
        <w:t> </w:t>
      </w:r>
      <w:r>
        <w:rPr/>
        <w:t>Statements</w:t>
      </w:r>
      <w:r>
        <w:rPr>
          <w:spacing w:val="-4"/>
        </w:rPr>
        <w:t> </w:t>
      </w:r>
      <w:r>
        <w:rPr/>
        <w:t>include</w:t>
      </w:r>
      <w:r>
        <w:rPr>
          <w:spacing w:val="-4"/>
        </w:rPr>
        <w:t> </w:t>
      </w:r>
      <w:r>
        <w:rPr/>
        <w:t>those</w:t>
      </w:r>
      <w:r>
        <w:rPr>
          <w:spacing w:val="-4"/>
        </w:rPr>
        <w:t> </w:t>
      </w:r>
      <w:r>
        <w:rPr/>
        <w:t>of</w:t>
      </w:r>
      <w:r>
        <w:rPr>
          <w:spacing w:val="-13"/>
        </w:rPr>
        <w:t> </w:t>
      </w:r>
      <w:r>
        <w:rPr/>
        <w:t>Adobe</w:t>
      </w:r>
      <w:r>
        <w:rPr>
          <w:spacing w:val="-4"/>
        </w:rPr>
        <w:t> </w:t>
      </w:r>
      <w:r>
        <w:rPr/>
        <w:t>and</w:t>
      </w:r>
      <w:r>
        <w:rPr>
          <w:spacing w:val="-4"/>
        </w:rPr>
        <w:t> </w:t>
      </w:r>
      <w:r>
        <w:rPr/>
        <w:t>its</w:t>
      </w:r>
      <w:r>
        <w:rPr>
          <w:spacing w:val="-4"/>
        </w:rPr>
        <w:t> </w:t>
      </w:r>
      <w:r>
        <w:rPr/>
        <w:t>subsidiaries,</w:t>
      </w:r>
      <w:r>
        <w:rPr>
          <w:spacing w:val="-4"/>
        </w:rPr>
        <w:t> </w:t>
      </w:r>
      <w:r>
        <w:rPr/>
        <w:t>after</w:t>
      </w:r>
      <w:r>
        <w:rPr>
          <w:spacing w:val="-4"/>
        </w:rPr>
        <w:t> </w:t>
      </w:r>
      <w:r>
        <w:rPr/>
        <w:t>elimination</w:t>
      </w:r>
      <w:r>
        <w:rPr>
          <w:spacing w:val="-4"/>
        </w:rPr>
        <w:t> </w:t>
      </w:r>
      <w:r>
        <w:rPr/>
        <w:t>of</w:t>
      </w:r>
      <w:r>
        <w:rPr>
          <w:spacing w:val="-4"/>
        </w:rPr>
        <w:t> </w:t>
      </w:r>
      <w:r>
        <w:rPr/>
        <w:t>all intercompany</w:t>
      </w:r>
      <w:r>
        <w:rPr>
          <w:spacing w:val="-3"/>
        </w:rPr>
        <w:t> </w:t>
      </w:r>
      <w:r>
        <w:rPr/>
        <w:t>accounts</w:t>
      </w:r>
      <w:r>
        <w:rPr>
          <w:spacing w:val="-3"/>
        </w:rPr>
        <w:t> </w:t>
      </w:r>
      <w:r>
        <w:rPr/>
        <w:t>and</w:t>
      </w:r>
      <w:r>
        <w:rPr>
          <w:spacing w:val="-3"/>
        </w:rPr>
        <w:t> </w:t>
      </w:r>
      <w:r>
        <w:rPr/>
        <w:t>transactions.</w:t>
      </w:r>
      <w:r>
        <w:rPr>
          <w:spacing w:val="-7"/>
        </w:rPr>
        <w:t> </w:t>
      </w:r>
      <w:r>
        <w:rPr/>
        <w:t>We</w:t>
      </w:r>
      <w:r>
        <w:rPr>
          <w:spacing w:val="-3"/>
        </w:rPr>
        <w:t> </w:t>
      </w:r>
      <w:r>
        <w:rPr/>
        <w:t>have</w:t>
      </w:r>
      <w:r>
        <w:rPr>
          <w:spacing w:val="-3"/>
        </w:rPr>
        <w:t> </w:t>
      </w:r>
      <w:r>
        <w:rPr/>
        <w:t>prepared</w:t>
      </w:r>
      <w:r>
        <w:rPr>
          <w:spacing w:val="-3"/>
        </w:rPr>
        <w:t> </w:t>
      </w:r>
      <w:r>
        <w:rPr/>
        <w:t>the</w:t>
      </w:r>
      <w:r>
        <w:rPr>
          <w:spacing w:val="-3"/>
        </w:rPr>
        <w:t> </w:t>
      </w:r>
      <w:r>
        <w:rPr/>
        <w:t>accompanying</w:t>
      </w:r>
      <w:r>
        <w:rPr>
          <w:spacing w:val="-3"/>
        </w:rPr>
        <w:t> </w:t>
      </w:r>
      <w:r>
        <w:rPr/>
        <w:t>Consolidated</w:t>
      </w:r>
      <w:r>
        <w:rPr>
          <w:spacing w:val="-3"/>
        </w:rPr>
        <w:t> </w:t>
      </w:r>
      <w:r>
        <w:rPr/>
        <w:t>Financial</w:t>
      </w:r>
      <w:r>
        <w:rPr>
          <w:spacing w:val="-3"/>
        </w:rPr>
        <w:t> </w:t>
      </w:r>
      <w:r>
        <w:rPr/>
        <w:t>Statements</w:t>
      </w:r>
      <w:r>
        <w:rPr>
          <w:spacing w:val="-3"/>
        </w:rPr>
        <w:t> </w:t>
      </w:r>
      <w:r>
        <w:rPr/>
        <w:t>in</w:t>
      </w:r>
      <w:r>
        <w:rPr>
          <w:spacing w:val="-3"/>
        </w:rPr>
        <w:t> </w:t>
      </w:r>
      <w:r>
        <w:rPr/>
        <w:t>accordance with</w:t>
      </w:r>
      <w:r>
        <w:rPr>
          <w:spacing w:val="-13"/>
        </w:rPr>
        <w:t> </w:t>
      </w:r>
      <w:r>
        <w:rPr/>
        <w:t>accounting</w:t>
      </w:r>
      <w:r>
        <w:rPr>
          <w:spacing w:val="-12"/>
        </w:rPr>
        <w:t> </w:t>
      </w:r>
      <w:r>
        <w:rPr/>
        <w:t>principles</w:t>
      </w:r>
      <w:r>
        <w:rPr>
          <w:spacing w:val="-13"/>
        </w:rPr>
        <w:t> </w:t>
      </w:r>
      <w:r>
        <w:rPr/>
        <w:t>generally</w:t>
      </w:r>
      <w:r>
        <w:rPr>
          <w:spacing w:val="-12"/>
        </w:rPr>
        <w:t> </w:t>
      </w:r>
      <w:r>
        <w:rPr/>
        <w:t>accepted</w:t>
      </w:r>
      <w:r>
        <w:rPr>
          <w:spacing w:val="-13"/>
        </w:rPr>
        <w:t> </w:t>
      </w:r>
      <w:r>
        <w:rPr/>
        <w:t>in</w:t>
      </w:r>
      <w:r>
        <w:rPr>
          <w:spacing w:val="-12"/>
        </w:rPr>
        <w:t> </w:t>
      </w:r>
      <w:r>
        <w:rPr/>
        <w:t>the</w:t>
      </w:r>
      <w:r>
        <w:rPr>
          <w:spacing w:val="-13"/>
        </w:rPr>
        <w:t> </w:t>
      </w:r>
      <w:r>
        <w:rPr/>
        <w:t>United</w:t>
      </w:r>
      <w:r>
        <w:rPr>
          <w:spacing w:val="-12"/>
        </w:rPr>
        <w:t> </w:t>
      </w:r>
      <w:r>
        <w:rPr/>
        <w:t>States</w:t>
      </w:r>
      <w:r>
        <w:rPr>
          <w:spacing w:val="-13"/>
        </w:rPr>
        <w:t> </w:t>
      </w:r>
      <w:r>
        <w:rPr/>
        <w:t>of</w:t>
      </w:r>
      <w:r>
        <w:rPr>
          <w:spacing w:val="-12"/>
        </w:rPr>
        <w:t> </w:t>
      </w:r>
      <w:r>
        <w:rPr/>
        <w:t>America</w:t>
      </w:r>
      <w:r>
        <w:rPr>
          <w:spacing w:val="-13"/>
        </w:rPr>
        <w:t> </w:t>
      </w:r>
      <w:r>
        <w:rPr/>
        <w:t>(“GAAP”)</w:t>
      </w:r>
      <w:r>
        <w:rPr>
          <w:spacing w:val="-12"/>
        </w:rPr>
        <w:t> </w:t>
      </w:r>
      <w:r>
        <w:rPr/>
        <w:t>and</w:t>
      </w:r>
      <w:r>
        <w:rPr>
          <w:spacing w:val="-13"/>
        </w:rPr>
        <w:t> </w:t>
      </w:r>
      <w:r>
        <w:rPr/>
        <w:t>pursuant</w:t>
      </w:r>
      <w:r>
        <w:rPr>
          <w:spacing w:val="-12"/>
        </w:rPr>
        <w:t> </w:t>
      </w:r>
      <w:r>
        <w:rPr/>
        <w:t>to</w:t>
      </w:r>
      <w:r>
        <w:rPr>
          <w:spacing w:val="-13"/>
        </w:rPr>
        <w:t> </w:t>
      </w:r>
      <w:r>
        <w:rPr/>
        <w:t>the</w:t>
      </w:r>
      <w:r>
        <w:rPr>
          <w:spacing w:val="-12"/>
        </w:rPr>
        <w:t> </w:t>
      </w:r>
      <w:r>
        <w:rPr/>
        <w:t>rules</w:t>
      </w:r>
      <w:r>
        <w:rPr>
          <w:spacing w:val="-13"/>
        </w:rPr>
        <w:t> </w:t>
      </w:r>
      <w:r>
        <w:rPr/>
        <w:t>and</w:t>
      </w:r>
      <w:r>
        <w:rPr>
          <w:spacing w:val="-12"/>
        </w:rPr>
        <w:t> </w:t>
      </w:r>
      <w:r>
        <w:rPr/>
        <w:t>regulations of the United States Securities and Exchange Commission (the “SEC”).</w:t>
      </w:r>
    </w:p>
    <w:p>
      <w:pPr>
        <w:spacing w:before="163"/>
        <w:ind w:left="220" w:right="0" w:firstLine="0"/>
        <w:jc w:val="left"/>
        <w:rPr>
          <w:i/>
          <w:sz w:val="20"/>
        </w:rPr>
      </w:pPr>
      <w:r>
        <w:rPr>
          <w:i/>
          <w:sz w:val="20"/>
        </w:rPr>
        <w:t>Use of </w:t>
      </w:r>
      <w:r>
        <w:rPr>
          <w:i/>
          <w:spacing w:val="-2"/>
          <w:sz w:val="20"/>
        </w:rPr>
        <w:t>Estimates</w:t>
      </w:r>
    </w:p>
    <w:p>
      <w:pPr>
        <w:pStyle w:val="BodyText"/>
        <w:spacing w:line="249" w:lineRule="auto" w:before="170"/>
        <w:ind w:left="220" w:right="257" w:firstLine="540"/>
        <w:jc w:val="both"/>
      </w:pPr>
      <w:r>
        <w:rPr/>
        <w:t>In</w:t>
      </w:r>
      <w:r>
        <w:rPr>
          <w:spacing w:val="-13"/>
        </w:rPr>
        <w:t> </w:t>
      </w:r>
      <w:r>
        <w:rPr/>
        <w:t>preparing</w:t>
      </w:r>
      <w:r>
        <w:rPr>
          <w:spacing w:val="-12"/>
        </w:rPr>
        <w:t> </w:t>
      </w:r>
      <w:r>
        <w:rPr/>
        <w:t>Consolidated</w:t>
      </w:r>
      <w:r>
        <w:rPr>
          <w:spacing w:val="-13"/>
        </w:rPr>
        <w:t> </w:t>
      </w:r>
      <w:r>
        <w:rPr/>
        <w:t>Financial</w:t>
      </w:r>
      <w:r>
        <w:rPr>
          <w:spacing w:val="-11"/>
        </w:rPr>
        <w:t> </w:t>
      </w:r>
      <w:r>
        <w:rPr/>
        <w:t>Statements</w:t>
      </w:r>
      <w:r>
        <w:rPr>
          <w:spacing w:val="-11"/>
        </w:rPr>
        <w:t> </w:t>
      </w:r>
      <w:r>
        <w:rPr/>
        <w:t>and</w:t>
      </w:r>
      <w:r>
        <w:rPr>
          <w:spacing w:val="-11"/>
        </w:rPr>
        <w:t> </w:t>
      </w:r>
      <w:r>
        <w:rPr/>
        <w:t>related</w:t>
      </w:r>
      <w:r>
        <w:rPr>
          <w:spacing w:val="-11"/>
        </w:rPr>
        <w:t> </w:t>
      </w:r>
      <w:r>
        <w:rPr/>
        <w:t>disclosures</w:t>
      </w:r>
      <w:r>
        <w:rPr>
          <w:spacing w:val="-11"/>
        </w:rPr>
        <w:t> </w:t>
      </w:r>
      <w:r>
        <w:rPr/>
        <w:t>in</w:t>
      </w:r>
      <w:r>
        <w:rPr>
          <w:spacing w:val="-11"/>
        </w:rPr>
        <w:t> </w:t>
      </w:r>
      <w:r>
        <w:rPr/>
        <w:t>conformity</w:t>
      </w:r>
      <w:r>
        <w:rPr>
          <w:spacing w:val="-11"/>
        </w:rPr>
        <w:t> </w:t>
      </w:r>
      <w:r>
        <w:rPr/>
        <w:t>with</w:t>
      </w:r>
      <w:r>
        <w:rPr>
          <w:spacing w:val="-11"/>
        </w:rPr>
        <w:t> </w:t>
      </w:r>
      <w:r>
        <w:rPr/>
        <w:t>GAAP</w:t>
      </w:r>
      <w:r>
        <w:rPr>
          <w:spacing w:val="-13"/>
        </w:rPr>
        <w:t> </w:t>
      </w:r>
      <w:r>
        <w:rPr/>
        <w:t>and</w:t>
      </w:r>
      <w:r>
        <w:rPr>
          <w:spacing w:val="-11"/>
        </w:rPr>
        <w:t> </w:t>
      </w:r>
      <w:r>
        <w:rPr/>
        <w:t>pursuant</w:t>
      </w:r>
      <w:r>
        <w:rPr>
          <w:spacing w:val="-11"/>
        </w:rPr>
        <w:t> </w:t>
      </w:r>
      <w:r>
        <w:rPr/>
        <w:t>to</w:t>
      </w:r>
      <w:r>
        <w:rPr>
          <w:spacing w:val="-11"/>
        </w:rPr>
        <w:t> </w:t>
      </w:r>
      <w:r>
        <w:rPr/>
        <w:t>the</w:t>
      </w:r>
      <w:r>
        <w:rPr>
          <w:spacing w:val="-11"/>
        </w:rPr>
        <w:t> </w:t>
      </w:r>
      <w:r>
        <w:rPr/>
        <w:t>rules and</w:t>
      </w:r>
      <w:r>
        <w:rPr>
          <w:spacing w:val="-12"/>
        </w:rPr>
        <w:t> </w:t>
      </w:r>
      <w:r>
        <w:rPr/>
        <w:t>regulations</w:t>
      </w:r>
      <w:r>
        <w:rPr>
          <w:spacing w:val="-11"/>
        </w:rPr>
        <w:t> </w:t>
      </w:r>
      <w:r>
        <w:rPr/>
        <w:t>of</w:t>
      </w:r>
      <w:r>
        <w:rPr>
          <w:spacing w:val="-12"/>
        </w:rPr>
        <w:t> </w:t>
      </w:r>
      <w:r>
        <w:rPr/>
        <w:t>the</w:t>
      </w:r>
      <w:r>
        <w:rPr>
          <w:spacing w:val="-12"/>
        </w:rPr>
        <w:t> </w:t>
      </w:r>
      <w:r>
        <w:rPr/>
        <w:t>SEC,</w:t>
      </w:r>
      <w:r>
        <w:rPr>
          <w:spacing w:val="-12"/>
        </w:rPr>
        <w:t> </w:t>
      </w:r>
      <w:r>
        <w:rPr/>
        <w:t>we</w:t>
      </w:r>
      <w:r>
        <w:rPr>
          <w:spacing w:val="-12"/>
        </w:rPr>
        <w:t> </w:t>
      </w:r>
      <w:r>
        <w:rPr/>
        <w:t>must</w:t>
      </w:r>
      <w:r>
        <w:rPr>
          <w:spacing w:val="-12"/>
        </w:rPr>
        <w:t> </w:t>
      </w:r>
      <w:r>
        <w:rPr/>
        <w:t>make</w:t>
      </w:r>
      <w:r>
        <w:rPr>
          <w:spacing w:val="-12"/>
        </w:rPr>
        <w:t> </w:t>
      </w:r>
      <w:r>
        <w:rPr/>
        <w:t>estimates</w:t>
      </w:r>
      <w:r>
        <w:rPr>
          <w:spacing w:val="-11"/>
        </w:rPr>
        <w:t> </w:t>
      </w:r>
      <w:r>
        <w:rPr/>
        <w:t>and</w:t>
      </w:r>
      <w:r>
        <w:rPr>
          <w:spacing w:val="-12"/>
        </w:rPr>
        <w:t> </w:t>
      </w:r>
      <w:r>
        <w:rPr/>
        <w:t>judgments</w:t>
      </w:r>
      <w:r>
        <w:rPr>
          <w:spacing w:val="-12"/>
        </w:rPr>
        <w:t> </w:t>
      </w:r>
      <w:r>
        <w:rPr/>
        <w:t>that</w:t>
      </w:r>
      <w:r>
        <w:rPr>
          <w:spacing w:val="-12"/>
        </w:rPr>
        <w:t> </w:t>
      </w:r>
      <w:r>
        <w:rPr/>
        <w:t>affect</w:t>
      </w:r>
      <w:r>
        <w:rPr>
          <w:spacing w:val="-12"/>
        </w:rPr>
        <w:t> </w:t>
      </w:r>
      <w:r>
        <w:rPr/>
        <w:t>the</w:t>
      </w:r>
      <w:r>
        <w:rPr>
          <w:spacing w:val="-12"/>
        </w:rPr>
        <w:t> </w:t>
      </w:r>
      <w:r>
        <w:rPr/>
        <w:t>amounts</w:t>
      </w:r>
      <w:r>
        <w:rPr>
          <w:spacing w:val="-12"/>
        </w:rPr>
        <w:t> </w:t>
      </w:r>
      <w:r>
        <w:rPr/>
        <w:t>reported</w:t>
      </w:r>
      <w:r>
        <w:rPr>
          <w:spacing w:val="-12"/>
        </w:rPr>
        <w:t> </w:t>
      </w:r>
      <w:r>
        <w:rPr/>
        <w:t>in</w:t>
      </w:r>
      <w:r>
        <w:rPr>
          <w:spacing w:val="-12"/>
        </w:rPr>
        <w:t> </w:t>
      </w:r>
      <w:r>
        <w:rPr/>
        <w:t>the</w:t>
      </w:r>
      <w:r>
        <w:rPr>
          <w:spacing w:val="-12"/>
        </w:rPr>
        <w:t> </w:t>
      </w:r>
      <w:r>
        <w:rPr/>
        <w:t>Consolidated</w:t>
      </w:r>
      <w:r>
        <w:rPr>
          <w:spacing w:val="-12"/>
        </w:rPr>
        <w:t> </w:t>
      </w:r>
      <w:r>
        <w:rPr/>
        <w:t>Financial Statements</w:t>
      </w:r>
      <w:r>
        <w:rPr>
          <w:spacing w:val="-5"/>
        </w:rPr>
        <w:t> </w:t>
      </w:r>
      <w:r>
        <w:rPr/>
        <w:t>and</w:t>
      </w:r>
      <w:r>
        <w:rPr>
          <w:spacing w:val="-5"/>
        </w:rPr>
        <w:t> </w:t>
      </w:r>
      <w:r>
        <w:rPr/>
        <w:t>accompanying</w:t>
      </w:r>
      <w:r>
        <w:rPr>
          <w:spacing w:val="-5"/>
        </w:rPr>
        <w:t> </w:t>
      </w:r>
      <w:r>
        <w:rPr/>
        <w:t>notes.</w:t>
      </w:r>
      <w:r>
        <w:rPr>
          <w:spacing w:val="-5"/>
        </w:rPr>
        <w:t> </w:t>
      </w:r>
      <w:r>
        <w:rPr/>
        <w:t>Estimates</w:t>
      </w:r>
      <w:r>
        <w:rPr>
          <w:spacing w:val="-5"/>
        </w:rPr>
        <w:t> </w:t>
      </w:r>
      <w:r>
        <w:rPr/>
        <w:t>are</w:t>
      </w:r>
      <w:r>
        <w:rPr>
          <w:spacing w:val="-5"/>
        </w:rPr>
        <w:t> </w:t>
      </w:r>
      <w:r>
        <w:rPr/>
        <w:t>used</w:t>
      </w:r>
      <w:r>
        <w:rPr>
          <w:spacing w:val="-5"/>
        </w:rPr>
        <w:t> </w:t>
      </w:r>
      <w:r>
        <w:rPr/>
        <w:t>for,</w:t>
      </w:r>
      <w:r>
        <w:rPr>
          <w:spacing w:val="-5"/>
        </w:rPr>
        <w:t> </w:t>
      </w:r>
      <w:r>
        <w:rPr/>
        <w:t>but</w:t>
      </w:r>
      <w:r>
        <w:rPr>
          <w:spacing w:val="-6"/>
        </w:rPr>
        <w:t> </w:t>
      </w:r>
      <w:r>
        <w:rPr/>
        <w:t>not</w:t>
      </w:r>
      <w:r>
        <w:rPr>
          <w:spacing w:val="-5"/>
        </w:rPr>
        <w:t> </w:t>
      </w:r>
      <w:r>
        <w:rPr/>
        <w:t>limited</w:t>
      </w:r>
      <w:r>
        <w:rPr>
          <w:spacing w:val="-5"/>
        </w:rPr>
        <w:t> </w:t>
      </w:r>
      <w:r>
        <w:rPr/>
        <w:t>to,</w:t>
      </w:r>
      <w:r>
        <w:rPr>
          <w:spacing w:val="-5"/>
        </w:rPr>
        <w:t> </w:t>
      </w:r>
      <w:r>
        <w:rPr/>
        <w:t>sales</w:t>
      </w:r>
      <w:r>
        <w:rPr>
          <w:spacing w:val="-5"/>
        </w:rPr>
        <w:t> </w:t>
      </w:r>
      <w:r>
        <w:rPr/>
        <w:t>allowances</w:t>
      </w:r>
      <w:r>
        <w:rPr>
          <w:spacing w:val="-5"/>
        </w:rPr>
        <w:t> </w:t>
      </w:r>
      <w:r>
        <w:rPr/>
        <w:t>and</w:t>
      </w:r>
      <w:r>
        <w:rPr>
          <w:spacing w:val="-5"/>
        </w:rPr>
        <w:t> </w:t>
      </w:r>
      <w:r>
        <w:rPr/>
        <w:t>programs,</w:t>
      </w:r>
      <w:r>
        <w:rPr>
          <w:spacing w:val="-5"/>
        </w:rPr>
        <w:t> </w:t>
      </w:r>
      <w:r>
        <w:rPr/>
        <w:t>bad</w:t>
      </w:r>
      <w:r>
        <w:rPr>
          <w:spacing w:val="-5"/>
        </w:rPr>
        <w:t> </w:t>
      </w:r>
      <w:r>
        <w:rPr/>
        <w:t>debts,</w:t>
      </w:r>
      <w:r>
        <w:rPr>
          <w:spacing w:val="-5"/>
        </w:rPr>
        <w:t> </w:t>
      </w:r>
      <w:r>
        <w:rPr/>
        <w:t>stock- based compensation, determining the fair value of acquired assets and assumed liabilities, excess inventory and purchase </w:t>
      </w:r>
      <w:r>
        <w:rPr>
          <w:spacing w:val="-2"/>
        </w:rPr>
        <w:t>commitments,</w:t>
      </w:r>
      <w:r>
        <w:rPr>
          <w:spacing w:val="-8"/>
        </w:rPr>
        <w:t> </w:t>
      </w:r>
      <w:r>
        <w:rPr>
          <w:spacing w:val="-2"/>
        </w:rPr>
        <w:t>facilities</w:t>
      </w:r>
      <w:r>
        <w:rPr>
          <w:spacing w:val="-5"/>
        </w:rPr>
        <w:t> </w:t>
      </w:r>
      <w:r>
        <w:rPr>
          <w:spacing w:val="-2"/>
        </w:rPr>
        <w:t>lease</w:t>
      </w:r>
      <w:r>
        <w:rPr>
          <w:spacing w:val="-5"/>
        </w:rPr>
        <w:t> </w:t>
      </w:r>
      <w:r>
        <w:rPr>
          <w:spacing w:val="-2"/>
        </w:rPr>
        <w:t>losses,</w:t>
      </w:r>
      <w:r>
        <w:rPr>
          <w:spacing w:val="-5"/>
        </w:rPr>
        <w:t> </w:t>
      </w:r>
      <w:r>
        <w:rPr>
          <w:spacing w:val="-2"/>
        </w:rPr>
        <w:t>impairment</w:t>
      </w:r>
      <w:r>
        <w:rPr>
          <w:spacing w:val="-5"/>
        </w:rPr>
        <w:t> </w:t>
      </w:r>
      <w:r>
        <w:rPr>
          <w:spacing w:val="-2"/>
        </w:rPr>
        <w:t>of</w:t>
      </w:r>
      <w:r>
        <w:rPr>
          <w:spacing w:val="-5"/>
        </w:rPr>
        <w:t> </w:t>
      </w:r>
      <w:r>
        <w:rPr>
          <w:spacing w:val="-2"/>
        </w:rPr>
        <w:t>goodwill</w:t>
      </w:r>
      <w:r>
        <w:rPr>
          <w:spacing w:val="-5"/>
        </w:rPr>
        <w:t> </w:t>
      </w:r>
      <w:r>
        <w:rPr>
          <w:spacing w:val="-2"/>
        </w:rPr>
        <w:t>and</w:t>
      </w:r>
      <w:r>
        <w:rPr>
          <w:spacing w:val="-5"/>
        </w:rPr>
        <w:t> </w:t>
      </w:r>
      <w:r>
        <w:rPr>
          <w:spacing w:val="-2"/>
        </w:rPr>
        <w:t>intangible</w:t>
      </w:r>
      <w:r>
        <w:rPr>
          <w:spacing w:val="-5"/>
        </w:rPr>
        <w:t> </w:t>
      </w:r>
      <w:r>
        <w:rPr>
          <w:spacing w:val="-2"/>
        </w:rPr>
        <w:t>assets,</w:t>
      </w:r>
      <w:r>
        <w:rPr>
          <w:spacing w:val="-5"/>
        </w:rPr>
        <w:t> </w:t>
      </w:r>
      <w:r>
        <w:rPr>
          <w:spacing w:val="-2"/>
        </w:rPr>
        <w:t>litigation,</w:t>
      </w:r>
      <w:r>
        <w:rPr>
          <w:spacing w:val="-5"/>
        </w:rPr>
        <w:t> </w:t>
      </w:r>
      <w:r>
        <w:rPr>
          <w:spacing w:val="-2"/>
        </w:rPr>
        <w:t>income</w:t>
      </w:r>
      <w:r>
        <w:rPr>
          <w:spacing w:val="-5"/>
        </w:rPr>
        <w:t> </w:t>
      </w:r>
      <w:r>
        <w:rPr>
          <w:spacing w:val="-2"/>
        </w:rPr>
        <w:t>taxes</w:t>
      </w:r>
      <w:r>
        <w:rPr>
          <w:spacing w:val="-5"/>
        </w:rPr>
        <w:t> </w:t>
      </w:r>
      <w:r>
        <w:rPr>
          <w:spacing w:val="-2"/>
        </w:rPr>
        <w:t>and</w:t>
      </w:r>
      <w:r>
        <w:rPr>
          <w:spacing w:val="-5"/>
        </w:rPr>
        <w:t> </w:t>
      </w:r>
      <w:r>
        <w:rPr>
          <w:spacing w:val="-2"/>
        </w:rPr>
        <w:t>investments.</w:t>
      </w:r>
      <w:r>
        <w:rPr>
          <w:spacing w:val="-11"/>
        </w:rPr>
        <w:t> </w:t>
      </w:r>
      <w:r>
        <w:rPr>
          <w:spacing w:val="-2"/>
        </w:rPr>
        <w:t>Actual </w:t>
      </w:r>
      <w:r>
        <w:rPr/>
        <w:t>results may differ materially from these estimates.</w:t>
      </w:r>
    </w:p>
    <w:p>
      <w:pPr>
        <w:spacing w:before="165"/>
        <w:ind w:left="220" w:right="0" w:firstLine="0"/>
        <w:jc w:val="left"/>
        <w:rPr>
          <w:i/>
          <w:sz w:val="20"/>
        </w:rPr>
      </w:pPr>
      <w:r>
        <w:rPr>
          <w:i/>
          <w:sz w:val="20"/>
        </w:rPr>
        <w:t>Fiscal</w:t>
      </w:r>
      <w:r>
        <w:rPr>
          <w:i/>
          <w:spacing w:val="-2"/>
          <w:sz w:val="20"/>
        </w:rPr>
        <w:t> </w:t>
      </w:r>
      <w:r>
        <w:rPr>
          <w:i/>
          <w:spacing w:val="-4"/>
          <w:sz w:val="20"/>
        </w:rPr>
        <w:t>Year</w:t>
      </w:r>
    </w:p>
    <w:p>
      <w:pPr>
        <w:pStyle w:val="BodyText"/>
        <w:spacing w:line="249" w:lineRule="auto" w:before="170"/>
        <w:ind w:left="220" w:right="257" w:firstLine="540"/>
        <w:jc w:val="both"/>
      </w:pPr>
      <w:r>
        <w:rPr/>
        <w:t>Our fiscal year is a 52- or 53-week year that ends on the Friday closest to November</w:t>
      </w:r>
      <w:r>
        <w:rPr>
          <w:spacing w:val="-2"/>
        </w:rPr>
        <w:t> </w:t>
      </w:r>
      <w:r>
        <w:rPr/>
        <w:t>30. Our financial results for fiscal 2016</w:t>
      </w:r>
      <w:r>
        <w:rPr>
          <w:spacing w:val="-11"/>
        </w:rPr>
        <w:t> </w:t>
      </w:r>
      <w:r>
        <w:rPr/>
        <w:t>benefited</w:t>
      </w:r>
      <w:r>
        <w:rPr>
          <w:spacing w:val="-11"/>
        </w:rPr>
        <w:t> </w:t>
      </w:r>
      <w:r>
        <w:rPr/>
        <w:t>from</w:t>
      </w:r>
      <w:r>
        <w:rPr>
          <w:spacing w:val="-11"/>
        </w:rPr>
        <w:t> </w:t>
      </w:r>
      <w:r>
        <w:rPr/>
        <w:t>an</w:t>
      </w:r>
      <w:r>
        <w:rPr>
          <w:spacing w:val="-10"/>
        </w:rPr>
        <w:t> </w:t>
      </w:r>
      <w:r>
        <w:rPr/>
        <w:t>extra</w:t>
      </w:r>
      <w:r>
        <w:rPr>
          <w:spacing w:val="-11"/>
        </w:rPr>
        <w:t> </w:t>
      </w:r>
      <w:r>
        <w:rPr/>
        <w:t>week</w:t>
      </w:r>
      <w:r>
        <w:rPr>
          <w:spacing w:val="-11"/>
        </w:rPr>
        <w:t> </w:t>
      </w:r>
      <w:r>
        <w:rPr/>
        <w:t>in</w:t>
      </w:r>
      <w:r>
        <w:rPr>
          <w:spacing w:val="-11"/>
        </w:rPr>
        <w:t> </w:t>
      </w:r>
      <w:r>
        <w:rPr/>
        <w:t>the</w:t>
      </w:r>
      <w:r>
        <w:rPr>
          <w:spacing w:val="-10"/>
        </w:rPr>
        <w:t> </w:t>
      </w:r>
      <w:r>
        <w:rPr/>
        <w:t>first</w:t>
      </w:r>
      <w:r>
        <w:rPr>
          <w:spacing w:val="-11"/>
        </w:rPr>
        <w:t> </w:t>
      </w:r>
      <w:r>
        <w:rPr/>
        <w:t>quarter</w:t>
      </w:r>
      <w:r>
        <w:rPr>
          <w:spacing w:val="-11"/>
        </w:rPr>
        <w:t> </w:t>
      </w:r>
      <w:r>
        <w:rPr/>
        <w:t>of</w:t>
      </w:r>
      <w:r>
        <w:rPr>
          <w:spacing w:val="-11"/>
        </w:rPr>
        <w:t> </w:t>
      </w:r>
      <w:r>
        <w:rPr/>
        <w:t>fiscal</w:t>
      </w:r>
      <w:r>
        <w:rPr>
          <w:spacing w:val="-11"/>
        </w:rPr>
        <w:t> </w:t>
      </w:r>
      <w:r>
        <w:rPr/>
        <w:t>2016</w:t>
      </w:r>
      <w:r>
        <w:rPr>
          <w:spacing w:val="-10"/>
        </w:rPr>
        <w:t> </w:t>
      </w:r>
      <w:r>
        <w:rPr/>
        <w:t>due</w:t>
      </w:r>
      <w:r>
        <w:rPr>
          <w:spacing w:val="-11"/>
        </w:rPr>
        <w:t> </w:t>
      </w:r>
      <w:r>
        <w:rPr/>
        <w:t>to</w:t>
      </w:r>
      <w:r>
        <w:rPr>
          <w:spacing w:val="-10"/>
        </w:rPr>
        <w:t> </w:t>
      </w:r>
      <w:r>
        <w:rPr/>
        <w:t>our</w:t>
      </w:r>
      <w:r>
        <w:rPr>
          <w:spacing w:val="-11"/>
        </w:rPr>
        <w:t> </w:t>
      </w:r>
      <w:r>
        <w:rPr/>
        <w:t>52/53</w:t>
      </w:r>
      <w:r>
        <w:rPr>
          <w:spacing w:val="-11"/>
        </w:rPr>
        <w:t> </w:t>
      </w:r>
      <w:r>
        <w:rPr/>
        <w:t>week</w:t>
      </w:r>
      <w:r>
        <w:rPr>
          <w:spacing w:val="-10"/>
        </w:rPr>
        <w:t> </w:t>
      </w:r>
      <w:r>
        <w:rPr/>
        <w:t>financial</w:t>
      </w:r>
      <w:r>
        <w:rPr>
          <w:spacing w:val="-11"/>
        </w:rPr>
        <w:t> </w:t>
      </w:r>
      <w:r>
        <w:rPr/>
        <w:t>calendar</w:t>
      </w:r>
      <w:r>
        <w:rPr>
          <w:spacing w:val="-11"/>
        </w:rPr>
        <w:t> </w:t>
      </w:r>
      <w:r>
        <w:rPr/>
        <w:t>whereby</w:t>
      </w:r>
      <w:r>
        <w:rPr>
          <w:spacing w:val="-11"/>
        </w:rPr>
        <w:t> </w:t>
      </w:r>
      <w:r>
        <w:rPr/>
        <w:t>fiscal</w:t>
      </w:r>
      <w:r>
        <w:rPr>
          <w:spacing w:val="-11"/>
        </w:rPr>
        <w:t> </w:t>
      </w:r>
      <w:r>
        <w:rPr/>
        <w:t>2016 was a 53-week fiscal year compared with fiscal 2017 and 2015 which were 52-week fiscal years.</w:t>
      </w:r>
    </w:p>
    <w:p>
      <w:pPr>
        <w:spacing w:before="162"/>
        <w:ind w:left="220" w:right="0" w:firstLine="0"/>
        <w:jc w:val="left"/>
        <w:rPr>
          <w:i/>
          <w:sz w:val="20"/>
        </w:rPr>
      </w:pPr>
      <w:r>
        <w:rPr>
          <w:i/>
          <w:spacing w:val="-2"/>
          <w:sz w:val="20"/>
        </w:rPr>
        <w:t>Reclassifications</w:t>
      </w:r>
    </w:p>
    <w:p>
      <w:pPr>
        <w:pStyle w:val="BodyText"/>
        <w:spacing w:line="249" w:lineRule="auto" w:before="170"/>
        <w:ind w:left="220" w:right="257" w:firstLine="540"/>
        <w:jc w:val="both"/>
      </w:pPr>
      <w:r>
        <w:rPr/>
        <w:t>Certain immaterial</w:t>
      </w:r>
      <w:r>
        <w:rPr>
          <w:spacing w:val="-1"/>
        </w:rPr>
        <w:t> </w:t>
      </w:r>
      <w:r>
        <w:rPr/>
        <w:t>prior year amounts have been reclassified to conform to current year presentation in the Consolidated Balance Sheets, Consolidated Statements of Income and Consolidated Statements of Cash Flows.</w:t>
      </w:r>
    </w:p>
    <w:p>
      <w:pPr>
        <w:pStyle w:val="Heading2"/>
        <w:spacing w:before="162"/>
      </w:pPr>
      <w:r>
        <w:rPr/>
        <w:t>Significant</w:t>
      </w:r>
      <w:r>
        <w:rPr>
          <w:spacing w:val="-13"/>
        </w:rPr>
        <w:t> </w:t>
      </w:r>
      <w:r>
        <w:rPr/>
        <w:t>Accounting </w:t>
      </w:r>
      <w:r>
        <w:rPr>
          <w:spacing w:val="-2"/>
        </w:rPr>
        <w:t>Policies</w:t>
      </w:r>
    </w:p>
    <w:p>
      <w:pPr>
        <w:spacing w:before="170"/>
        <w:ind w:left="220" w:right="0" w:firstLine="0"/>
        <w:jc w:val="left"/>
        <w:rPr>
          <w:i/>
          <w:sz w:val="20"/>
        </w:rPr>
      </w:pPr>
      <w:r>
        <w:rPr>
          <w:i/>
          <w:sz w:val="20"/>
        </w:rPr>
        <w:t>Revenue</w:t>
      </w:r>
      <w:r>
        <w:rPr>
          <w:i/>
          <w:spacing w:val="-1"/>
          <w:sz w:val="20"/>
        </w:rPr>
        <w:t> </w:t>
      </w:r>
      <w:r>
        <w:rPr>
          <w:i/>
          <w:spacing w:val="-2"/>
          <w:sz w:val="20"/>
        </w:rPr>
        <w:t>Recognition</w:t>
      </w:r>
    </w:p>
    <w:p>
      <w:pPr>
        <w:pStyle w:val="BodyText"/>
        <w:spacing w:line="249" w:lineRule="auto" w:before="170"/>
        <w:ind w:left="220" w:right="257" w:firstLine="540"/>
        <w:jc w:val="both"/>
      </w:pPr>
      <w:r>
        <w:rPr/>
        <w:t>Our</w:t>
      </w:r>
      <w:r>
        <w:rPr>
          <w:spacing w:val="-4"/>
        </w:rPr>
        <w:t> </w:t>
      </w:r>
      <w:r>
        <w:rPr/>
        <w:t>revenue</w:t>
      </w:r>
      <w:r>
        <w:rPr>
          <w:spacing w:val="-5"/>
        </w:rPr>
        <w:t> </w:t>
      </w:r>
      <w:r>
        <w:rPr/>
        <w:t>is</w:t>
      </w:r>
      <w:r>
        <w:rPr>
          <w:spacing w:val="-4"/>
        </w:rPr>
        <w:t> </w:t>
      </w:r>
      <w:r>
        <w:rPr/>
        <w:t>derived</w:t>
      </w:r>
      <w:r>
        <w:rPr>
          <w:spacing w:val="-4"/>
        </w:rPr>
        <w:t> </w:t>
      </w:r>
      <w:r>
        <w:rPr/>
        <w:t>from</w:t>
      </w:r>
      <w:r>
        <w:rPr>
          <w:spacing w:val="-5"/>
        </w:rPr>
        <w:t> </w:t>
      </w:r>
      <w:r>
        <w:rPr/>
        <w:t>the</w:t>
      </w:r>
      <w:r>
        <w:rPr>
          <w:spacing w:val="-4"/>
        </w:rPr>
        <w:t> </w:t>
      </w:r>
      <w:r>
        <w:rPr/>
        <w:t>subscription,</w:t>
      </w:r>
      <w:r>
        <w:rPr>
          <w:spacing w:val="-4"/>
        </w:rPr>
        <w:t> </w:t>
      </w:r>
      <w:r>
        <w:rPr/>
        <w:t>non-software</w:t>
      </w:r>
      <w:r>
        <w:rPr>
          <w:spacing w:val="-5"/>
        </w:rPr>
        <w:t> </w:t>
      </w:r>
      <w:r>
        <w:rPr/>
        <w:t>related</w:t>
      </w:r>
      <w:r>
        <w:rPr>
          <w:spacing w:val="-4"/>
        </w:rPr>
        <w:t> </w:t>
      </w:r>
      <w:r>
        <w:rPr/>
        <w:t>hosted</w:t>
      </w:r>
      <w:r>
        <w:rPr>
          <w:spacing w:val="-4"/>
        </w:rPr>
        <w:t> </w:t>
      </w:r>
      <w:r>
        <w:rPr/>
        <w:t>services,</w:t>
      </w:r>
      <w:r>
        <w:rPr>
          <w:spacing w:val="-4"/>
        </w:rPr>
        <w:t> </w:t>
      </w:r>
      <w:r>
        <w:rPr/>
        <w:t>term-based</w:t>
      </w:r>
      <w:r>
        <w:rPr>
          <w:spacing w:val="-4"/>
        </w:rPr>
        <w:t> </w:t>
      </w:r>
      <w:r>
        <w:rPr/>
        <w:t>and</w:t>
      </w:r>
      <w:r>
        <w:rPr>
          <w:spacing w:val="-4"/>
        </w:rPr>
        <w:t> </w:t>
      </w:r>
      <w:r>
        <w:rPr/>
        <w:t>perpetual</w:t>
      </w:r>
      <w:r>
        <w:rPr>
          <w:spacing w:val="-5"/>
        </w:rPr>
        <w:t> </w:t>
      </w:r>
      <w:r>
        <w:rPr/>
        <w:t>licensing</w:t>
      </w:r>
      <w:r>
        <w:rPr>
          <w:spacing w:val="-4"/>
        </w:rPr>
        <w:t> </w:t>
      </w:r>
      <w:r>
        <w:rPr/>
        <w:t>of software</w:t>
      </w:r>
      <w:r>
        <w:rPr>
          <w:spacing w:val="-7"/>
        </w:rPr>
        <w:t> </w:t>
      </w:r>
      <w:r>
        <w:rPr/>
        <w:t>products,</w:t>
      </w:r>
      <w:r>
        <w:rPr>
          <w:spacing w:val="-6"/>
        </w:rPr>
        <w:t> </w:t>
      </w:r>
      <w:r>
        <w:rPr/>
        <w:t>associated</w:t>
      </w:r>
      <w:r>
        <w:rPr>
          <w:spacing w:val="-6"/>
        </w:rPr>
        <w:t> </w:t>
      </w:r>
      <w:r>
        <w:rPr/>
        <w:t>software</w:t>
      </w:r>
      <w:r>
        <w:rPr>
          <w:spacing w:val="-7"/>
        </w:rPr>
        <w:t> </w:t>
      </w:r>
      <w:r>
        <w:rPr/>
        <w:t>maintenance</w:t>
      </w:r>
      <w:r>
        <w:rPr>
          <w:spacing w:val="-7"/>
        </w:rPr>
        <w:t> </w:t>
      </w:r>
      <w:r>
        <w:rPr/>
        <w:t>and</w:t>
      </w:r>
      <w:r>
        <w:rPr>
          <w:spacing w:val="-6"/>
        </w:rPr>
        <w:t> </w:t>
      </w:r>
      <w:r>
        <w:rPr/>
        <w:t>support</w:t>
      </w:r>
      <w:r>
        <w:rPr>
          <w:spacing w:val="-6"/>
        </w:rPr>
        <w:t> </w:t>
      </w:r>
      <w:r>
        <w:rPr/>
        <w:t>plans,</w:t>
      </w:r>
      <w:r>
        <w:rPr>
          <w:spacing w:val="-6"/>
        </w:rPr>
        <w:t> </w:t>
      </w:r>
      <w:r>
        <w:rPr/>
        <w:t>consulting</w:t>
      </w:r>
      <w:r>
        <w:rPr>
          <w:spacing w:val="-6"/>
        </w:rPr>
        <w:t> </w:t>
      </w:r>
      <w:r>
        <w:rPr/>
        <w:t>services,</w:t>
      </w:r>
      <w:r>
        <w:rPr>
          <w:spacing w:val="-6"/>
        </w:rPr>
        <w:t> </w:t>
      </w:r>
      <w:r>
        <w:rPr/>
        <w:t>training,</w:t>
      </w:r>
      <w:r>
        <w:rPr>
          <w:spacing w:val="-7"/>
        </w:rPr>
        <w:t> </w:t>
      </w:r>
      <w:r>
        <w:rPr/>
        <w:t>and</w:t>
      </w:r>
      <w:r>
        <w:rPr>
          <w:spacing w:val="-6"/>
        </w:rPr>
        <w:t> </w:t>
      </w:r>
      <w:r>
        <w:rPr/>
        <w:t>technical</w:t>
      </w:r>
      <w:r>
        <w:rPr>
          <w:spacing w:val="-7"/>
        </w:rPr>
        <w:t> </w:t>
      </w:r>
      <w:r>
        <w:rPr/>
        <w:t>support.</w:t>
      </w:r>
      <w:r>
        <w:rPr>
          <w:spacing w:val="-6"/>
        </w:rPr>
        <w:t> </w:t>
      </w:r>
      <w:r>
        <w:rPr/>
        <w:t>Most of</w:t>
      </w:r>
      <w:r>
        <w:rPr>
          <w:spacing w:val="-7"/>
        </w:rPr>
        <w:t> </w:t>
      </w:r>
      <w:r>
        <w:rPr/>
        <w:t>our</w:t>
      </w:r>
      <w:r>
        <w:rPr>
          <w:spacing w:val="-7"/>
        </w:rPr>
        <w:t> </w:t>
      </w:r>
      <w:r>
        <w:rPr/>
        <w:t>enterprise</w:t>
      </w:r>
      <w:r>
        <w:rPr>
          <w:spacing w:val="-7"/>
        </w:rPr>
        <w:t> </w:t>
      </w:r>
      <w:r>
        <w:rPr/>
        <w:t>customer</w:t>
      </w:r>
      <w:r>
        <w:rPr>
          <w:spacing w:val="-7"/>
        </w:rPr>
        <w:t> </w:t>
      </w:r>
      <w:r>
        <w:rPr/>
        <w:t>arrangements</w:t>
      </w:r>
      <w:r>
        <w:rPr>
          <w:spacing w:val="-6"/>
        </w:rPr>
        <w:t> </w:t>
      </w:r>
      <w:r>
        <w:rPr/>
        <w:t>are</w:t>
      </w:r>
      <w:r>
        <w:rPr>
          <w:spacing w:val="-7"/>
        </w:rPr>
        <w:t> </w:t>
      </w:r>
      <w:r>
        <w:rPr/>
        <w:t>complex,</w:t>
      </w:r>
      <w:r>
        <w:rPr>
          <w:spacing w:val="-7"/>
        </w:rPr>
        <w:t> </w:t>
      </w:r>
      <w:r>
        <w:rPr/>
        <w:t>involving</w:t>
      </w:r>
      <w:r>
        <w:rPr>
          <w:spacing w:val="-7"/>
        </w:rPr>
        <w:t> </w:t>
      </w:r>
      <w:r>
        <w:rPr/>
        <w:t>multiple</w:t>
      </w:r>
      <w:r>
        <w:rPr>
          <w:spacing w:val="-7"/>
        </w:rPr>
        <w:t> </w:t>
      </w:r>
      <w:r>
        <w:rPr/>
        <w:t>solutions</w:t>
      </w:r>
      <w:r>
        <w:rPr>
          <w:spacing w:val="-6"/>
        </w:rPr>
        <w:t> </w:t>
      </w:r>
      <w:r>
        <w:rPr/>
        <w:t>and</w:t>
      </w:r>
      <w:r>
        <w:rPr>
          <w:spacing w:val="-7"/>
        </w:rPr>
        <w:t> </w:t>
      </w:r>
      <w:r>
        <w:rPr/>
        <w:t>various</w:t>
      </w:r>
      <w:r>
        <w:rPr>
          <w:spacing w:val="-7"/>
        </w:rPr>
        <w:t> </w:t>
      </w:r>
      <w:r>
        <w:rPr/>
        <w:t>license</w:t>
      </w:r>
      <w:r>
        <w:rPr>
          <w:spacing w:val="-7"/>
        </w:rPr>
        <w:t> </w:t>
      </w:r>
      <w:r>
        <w:rPr/>
        <w:t>rights,</w:t>
      </w:r>
      <w:r>
        <w:rPr>
          <w:spacing w:val="-7"/>
        </w:rPr>
        <w:t> </w:t>
      </w:r>
      <w:r>
        <w:rPr/>
        <w:t>bundled</w:t>
      </w:r>
      <w:r>
        <w:rPr>
          <w:spacing w:val="-7"/>
        </w:rPr>
        <w:t> </w:t>
      </w:r>
      <w:r>
        <w:rPr/>
        <w:t>with</w:t>
      </w:r>
      <w:r>
        <w:rPr>
          <w:spacing w:val="-7"/>
        </w:rPr>
        <w:t> </w:t>
      </w:r>
      <w:r>
        <w:rPr/>
        <w:t>post- contract customer support and other meaningful rights that together provide a complete end-to-end solution to the customer.</w:t>
      </w:r>
    </w:p>
    <w:p>
      <w:pPr>
        <w:pStyle w:val="BodyText"/>
        <w:spacing w:before="13"/>
      </w:pPr>
    </w:p>
    <w:p>
      <w:pPr>
        <w:pStyle w:val="BodyText"/>
        <w:spacing w:line="249" w:lineRule="auto"/>
        <w:ind w:left="220" w:right="257" w:firstLine="540"/>
        <w:jc w:val="both"/>
      </w:pPr>
      <w:r>
        <w:rPr/>
        <w:t>We recognize revenue when all four revenue recognition criteria have been met: persuasive evidence of an arrangement exists,</w:t>
      </w:r>
      <w:r>
        <w:rPr>
          <w:spacing w:val="23"/>
        </w:rPr>
        <w:t> </w:t>
      </w:r>
      <w:r>
        <w:rPr/>
        <w:t>we</w:t>
      </w:r>
      <w:r>
        <w:rPr>
          <w:spacing w:val="26"/>
        </w:rPr>
        <w:t> </w:t>
      </w:r>
      <w:r>
        <w:rPr/>
        <w:t>have</w:t>
      </w:r>
      <w:r>
        <w:rPr>
          <w:spacing w:val="26"/>
        </w:rPr>
        <w:t> </w:t>
      </w:r>
      <w:r>
        <w:rPr/>
        <w:t>delivered</w:t>
      </w:r>
      <w:r>
        <w:rPr>
          <w:spacing w:val="26"/>
        </w:rPr>
        <w:t> </w:t>
      </w:r>
      <w:r>
        <w:rPr/>
        <w:t>the</w:t>
      </w:r>
      <w:r>
        <w:rPr>
          <w:spacing w:val="26"/>
        </w:rPr>
        <w:t> </w:t>
      </w:r>
      <w:r>
        <w:rPr/>
        <w:t>product</w:t>
      </w:r>
      <w:r>
        <w:rPr>
          <w:spacing w:val="26"/>
        </w:rPr>
        <w:t> </w:t>
      </w:r>
      <w:r>
        <w:rPr/>
        <w:t>or</w:t>
      </w:r>
      <w:r>
        <w:rPr>
          <w:spacing w:val="26"/>
        </w:rPr>
        <w:t> </w:t>
      </w:r>
      <w:r>
        <w:rPr/>
        <w:t>performed</w:t>
      </w:r>
      <w:r>
        <w:rPr>
          <w:spacing w:val="26"/>
        </w:rPr>
        <w:t> </w:t>
      </w:r>
      <w:r>
        <w:rPr/>
        <w:t>the</w:t>
      </w:r>
      <w:r>
        <w:rPr>
          <w:spacing w:val="26"/>
        </w:rPr>
        <w:t> </w:t>
      </w:r>
      <w:r>
        <w:rPr/>
        <w:t>service,</w:t>
      </w:r>
      <w:r>
        <w:rPr>
          <w:spacing w:val="25"/>
        </w:rPr>
        <w:t> </w:t>
      </w:r>
      <w:r>
        <w:rPr/>
        <w:t>the</w:t>
      </w:r>
      <w:r>
        <w:rPr>
          <w:spacing w:val="26"/>
        </w:rPr>
        <w:t> </w:t>
      </w:r>
      <w:r>
        <w:rPr/>
        <w:t>fee</w:t>
      </w:r>
      <w:r>
        <w:rPr>
          <w:spacing w:val="26"/>
        </w:rPr>
        <w:t> </w:t>
      </w:r>
      <w:r>
        <w:rPr/>
        <w:t>is</w:t>
      </w:r>
      <w:r>
        <w:rPr>
          <w:spacing w:val="27"/>
        </w:rPr>
        <w:t> </w:t>
      </w:r>
      <w:r>
        <w:rPr/>
        <w:t>fixed</w:t>
      </w:r>
      <w:r>
        <w:rPr>
          <w:spacing w:val="26"/>
        </w:rPr>
        <w:t> </w:t>
      </w:r>
      <w:r>
        <w:rPr/>
        <w:t>or</w:t>
      </w:r>
      <w:r>
        <w:rPr>
          <w:spacing w:val="26"/>
        </w:rPr>
        <w:t> </w:t>
      </w:r>
      <w:r>
        <w:rPr/>
        <w:t>determinable</w:t>
      </w:r>
      <w:r>
        <w:rPr>
          <w:spacing w:val="26"/>
        </w:rPr>
        <w:t> </w:t>
      </w:r>
      <w:r>
        <w:rPr/>
        <w:t>and</w:t>
      </w:r>
      <w:r>
        <w:rPr>
          <w:spacing w:val="26"/>
        </w:rPr>
        <w:t> </w:t>
      </w:r>
      <w:r>
        <w:rPr/>
        <w:t>collection</w:t>
      </w:r>
      <w:r>
        <w:rPr>
          <w:spacing w:val="26"/>
        </w:rPr>
        <w:t> </w:t>
      </w:r>
      <w:r>
        <w:rPr/>
        <w:t>is</w:t>
      </w:r>
      <w:r>
        <w:rPr>
          <w:spacing w:val="27"/>
        </w:rPr>
        <w:t> </w:t>
      </w:r>
      <w:r>
        <w:rPr>
          <w:spacing w:val="-2"/>
        </w:rPr>
        <w:t>probable.</w:t>
      </w:r>
    </w:p>
    <w:p>
      <w:pPr>
        <w:spacing w:after="0" w:line="249" w:lineRule="auto"/>
        <w:jc w:val="both"/>
        <w:sectPr>
          <w:headerReference w:type="default" r:id="rId30"/>
          <w:footerReference w:type="default" r:id="rId31"/>
          <w:pgSz w:w="12240" w:h="15840"/>
          <w:pgMar w:header="210" w:footer="650" w:top="1380" w:bottom="840" w:left="780" w:right="740"/>
          <w:pgNumType w:start="62"/>
        </w:sectPr>
      </w:pPr>
    </w:p>
    <w:p>
      <w:pPr>
        <w:pStyle w:val="BodyText"/>
      </w:pPr>
    </w:p>
    <w:p>
      <w:pPr>
        <w:pStyle w:val="BodyText"/>
      </w:pPr>
    </w:p>
    <w:p>
      <w:pPr>
        <w:pStyle w:val="BodyText"/>
        <w:spacing w:before="30"/>
      </w:pPr>
    </w:p>
    <w:p>
      <w:pPr>
        <w:pStyle w:val="BodyText"/>
        <w:spacing w:line="249" w:lineRule="auto"/>
        <w:ind w:left="220" w:right="240"/>
      </w:pPr>
      <w:r>
        <w:rPr/>
        <w:t>Determining</w:t>
      </w:r>
      <w:r>
        <w:rPr>
          <w:spacing w:val="-13"/>
        </w:rPr>
        <w:t> </w:t>
      </w:r>
      <w:r>
        <w:rPr/>
        <w:t>whether</w:t>
      </w:r>
      <w:r>
        <w:rPr>
          <w:spacing w:val="-12"/>
        </w:rPr>
        <w:t> </w:t>
      </w:r>
      <w:r>
        <w:rPr/>
        <w:t>and</w:t>
      </w:r>
      <w:r>
        <w:rPr>
          <w:spacing w:val="-12"/>
        </w:rPr>
        <w:t> </w:t>
      </w:r>
      <w:r>
        <w:rPr/>
        <w:t>when</w:t>
      </w:r>
      <w:r>
        <w:rPr>
          <w:spacing w:val="-12"/>
        </w:rPr>
        <w:t> </w:t>
      </w:r>
      <w:r>
        <w:rPr/>
        <w:t>some</w:t>
      </w:r>
      <w:r>
        <w:rPr>
          <w:spacing w:val="-13"/>
        </w:rPr>
        <w:t> </w:t>
      </w:r>
      <w:r>
        <w:rPr/>
        <w:t>of</w:t>
      </w:r>
      <w:r>
        <w:rPr>
          <w:spacing w:val="-12"/>
        </w:rPr>
        <w:t> </w:t>
      </w:r>
      <w:r>
        <w:rPr/>
        <w:t>these</w:t>
      </w:r>
      <w:r>
        <w:rPr>
          <w:spacing w:val="-13"/>
        </w:rPr>
        <w:t> </w:t>
      </w:r>
      <w:r>
        <w:rPr/>
        <w:t>criteria</w:t>
      </w:r>
      <w:r>
        <w:rPr>
          <w:spacing w:val="-12"/>
        </w:rPr>
        <w:t> </w:t>
      </w:r>
      <w:r>
        <w:rPr/>
        <w:t>have</w:t>
      </w:r>
      <w:r>
        <w:rPr>
          <w:spacing w:val="-13"/>
        </w:rPr>
        <w:t> </w:t>
      </w:r>
      <w:r>
        <w:rPr/>
        <w:t>been</w:t>
      </w:r>
      <w:r>
        <w:rPr>
          <w:spacing w:val="-12"/>
        </w:rPr>
        <w:t> </w:t>
      </w:r>
      <w:r>
        <w:rPr/>
        <w:t>satisfied</w:t>
      </w:r>
      <w:r>
        <w:rPr>
          <w:spacing w:val="-12"/>
        </w:rPr>
        <w:t> </w:t>
      </w:r>
      <w:r>
        <w:rPr/>
        <w:t>often</w:t>
      </w:r>
      <w:r>
        <w:rPr>
          <w:spacing w:val="-12"/>
        </w:rPr>
        <w:t> </w:t>
      </w:r>
      <w:r>
        <w:rPr/>
        <w:t>involves</w:t>
      </w:r>
      <w:r>
        <w:rPr>
          <w:spacing w:val="-12"/>
        </w:rPr>
        <w:t> </w:t>
      </w:r>
      <w:r>
        <w:rPr/>
        <w:t>assumptions</w:t>
      </w:r>
      <w:r>
        <w:rPr>
          <w:spacing w:val="-12"/>
        </w:rPr>
        <w:t> </w:t>
      </w:r>
      <w:r>
        <w:rPr/>
        <w:t>and</w:t>
      </w:r>
      <w:r>
        <w:rPr>
          <w:spacing w:val="-12"/>
        </w:rPr>
        <w:t> </w:t>
      </w:r>
      <w:r>
        <w:rPr/>
        <w:t>judgments</w:t>
      </w:r>
      <w:r>
        <w:rPr>
          <w:spacing w:val="-12"/>
        </w:rPr>
        <w:t> </w:t>
      </w:r>
      <w:r>
        <w:rPr/>
        <w:t>that</w:t>
      </w:r>
      <w:r>
        <w:rPr>
          <w:spacing w:val="-12"/>
        </w:rPr>
        <w:t> </w:t>
      </w:r>
      <w:r>
        <w:rPr/>
        <w:t>can</w:t>
      </w:r>
      <w:r>
        <w:rPr>
          <w:spacing w:val="-12"/>
        </w:rPr>
        <w:t> </w:t>
      </w:r>
      <w:r>
        <w:rPr/>
        <w:t>have a significant impact on the timing and amount of revenue we report.</w:t>
      </w:r>
    </w:p>
    <w:p>
      <w:pPr>
        <w:spacing w:before="161"/>
        <w:ind w:left="760" w:right="0" w:firstLine="0"/>
        <w:jc w:val="left"/>
        <w:rPr>
          <w:i/>
          <w:sz w:val="20"/>
        </w:rPr>
      </w:pPr>
      <w:r>
        <w:rPr>
          <w:i/>
          <w:sz w:val="20"/>
        </w:rPr>
        <w:t>Multiple Element</w:t>
      </w:r>
      <w:r>
        <w:rPr>
          <w:i/>
          <w:spacing w:val="-5"/>
          <w:sz w:val="20"/>
        </w:rPr>
        <w:t> </w:t>
      </w:r>
      <w:r>
        <w:rPr>
          <w:i/>
          <w:spacing w:val="-2"/>
          <w:sz w:val="20"/>
        </w:rPr>
        <w:t>Arrangements</w:t>
      </w:r>
    </w:p>
    <w:p>
      <w:pPr>
        <w:pStyle w:val="BodyText"/>
        <w:spacing w:line="249" w:lineRule="auto" w:before="170"/>
        <w:ind w:left="220" w:right="258" w:firstLine="540"/>
        <w:jc w:val="both"/>
      </w:pPr>
      <w:r>
        <w:rPr>
          <w:spacing w:val="-4"/>
        </w:rPr>
        <w:t>We enter into multiple element revenue arrangements in which a customer may purchase a combination of software, upgrades, </w:t>
      </w:r>
      <w:r>
        <w:rPr/>
        <w:t>maintenance and support, hosted services, and consulting.</w:t>
      </w:r>
    </w:p>
    <w:p>
      <w:pPr>
        <w:pStyle w:val="BodyText"/>
        <w:spacing w:line="249" w:lineRule="auto" w:before="162"/>
        <w:ind w:left="220" w:right="257" w:firstLine="540"/>
        <w:jc w:val="both"/>
      </w:pPr>
      <w:r>
        <w:rPr/>
        <w:t>For our software and software-related multiple element arrangements, we must: (1) determine whether and when </w:t>
      </w:r>
      <w:r>
        <w:rPr/>
        <w:t>each </w:t>
      </w:r>
      <w:r>
        <w:rPr>
          <w:spacing w:val="-2"/>
        </w:rPr>
        <w:t>element</w:t>
      </w:r>
      <w:r>
        <w:rPr>
          <w:spacing w:val="-10"/>
        </w:rPr>
        <w:t> </w:t>
      </w:r>
      <w:r>
        <w:rPr>
          <w:spacing w:val="-2"/>
        </w:rPr>
        <w:t>has</w:t>
      </w:r>
      <w:r>
        <w:rPr>
          <w:spacing w:val="-10"/>
        </w:rPr>
        <w:t> </w:t>
      </w:r>
      <w:r>
        <w:rPr>
          <w:spacing w:val="-2"/>
        </w:rPr>
        <w:t>been</w:t>
      </w:r>
      <w:r>
        <w:rPr>
          <w:spacing w:val="-10"/>
        </w:rPr>
        <w:t> </w:t>
      </w:r>
      <w:r>
        <w:rPr>
          <w:spacing w:val="-2"/>
        </w:rPr>
        <w:t>delivered;</w:t>
      </w:r>
      <w:r>
        <w:rPr>
          <w:spacing w:val="-10"/>
        </w:rPr>
        <w:t> </w:t>
      </w:r>
      <w:r>
        <w:rPr>
          <w:spacing w:val="-2"/>
        </w:rPr>
        <w:t>(2)</w:t>
      </w:r>
      <w:r>
        <w:rPr>
          <w:spacing w:val="-10"/>
        </w:rPr>
        <w:t> </w:t>
      </w:r>
      <w:r>
        <w:rPr>
          <w:spacing w:val="-2"/>
        </w:rPr>
        <w:t>determine</w:t>
      </w:r>
      <w:r>
        <w:rPr>
          <w:spacing w:val="-10"/>
        </w:rPr>
        <w:t> </w:t>
      </w:r>
      <w:r>
        <w:rPr>
          <w:spacing w:val="-2"/>
        </w:rPr>
        <w:t>whether</w:t>
      </w:r>
      <w:r>
        <w:rPr>
          <w:spacing w:val="-10"/>
        </w:rPr>
        <w:t> </w:t>
      </w:r>
      <w:r>
        <w:rPr>
          <w:spacing w:val="-2"/>
        </w:rPr>
        <w:t>undelivered</w:t>
      </w:r>
      <w:r>
        <w:rPr>
          <w:spacing w:val="-10"/>
        </w:rPr>
        <w:t> </w:t>
      </w:r>
      <w:r>
        <w:rPr>
          <w:spacing w:val="-2"/>
        </w:rPr>
        <w:t>products</w:t>
      </w:r>
      <w:r>
        <w:rPr>
          <w:spacing w:val="-10"/>
        </w:rPr>
        <w:t> </w:t>
      </w:r>
      <w:r>
        <w:rPr>
          <w:spacing w:val="-2"/>
        </w:rPr>
        <w:t>or</w:t>
      </w:r>
      <w:r>
        <w:rPr>
          <w:spacing w:val="-10"/>
        </w:rPr>
        <w:t> </w:t>
      </w:r>
      <w:r>
        <w:rPr>
          <w:spacing w:val="-2"/>
        </w:rPr>
        <w:t>services</w:t>
      </w:r>
      <w:r>
        <w:rPr>
          <w:spacing w:val="-10"/>
        </w:rPr>
        <w:t> </w:t>
      </w:r>
      <w:r>
        <w:rPr>
          <w:spacing w:val="-2"/>
        </w:rPr>
        <w:t>are</w:t>
      </w:r>
      <w:r>
        <w:rPr>
          <w:spacing w:val="-10"/>
        </w:rPr>
        <w:t> </w:t>
      </w:r>
      <w:r>
        <w:rPr>
          <w:spacing w:val="-2"/>
        </w:rPr>
        <w:t>essential</w:t>
      </w:r>
      <w:r>
        <w:rPr>
          <w:spacing w:val="-10"/>
        </w:rPr>
        <w:t> </w:t>
      </w:r>
      <w:r>
        <w:rPr>
          <w:spacing w:val="-2"/>
        </w:rPr>
        <w:t>to</w:t>
      </w:r>
      <w:r>
        <w:rPr>
          <w:spacing w:val="-10"/>
        </w:rPr>
        <w:t> </w:t>
      </w:r>
      <w:r>
        <w:rPr>
          <w:spacing w:val="-2"/>
        </w:rPr>
        <w:t>the</w:t>
      </w:r>
      <w:r>
        <w:rPr>
          <w:spacing w:val="-10"/>
        </w:rPr>
        <w:t> </w:t>
      </w:r>
      <w:r>
        <w:rPr>
          <w:spacing w:val="-2"/>
        </w:rPr>
        <w:t>functionality</w:t>
      </w:r>
      <w:r>
        <w:rPr>
          <w:spacing w:val="-10"/>
        </w:rPr>
        <w:t> </w:t>
      </w:r>
      <w:r>
        <w:rPr>
          <w:spacing w:val="-2"/>
        </w:rPr>
        <w:t>of</w:t>
      </w:r>
      <w:r>
        <w:rPr>
          <w:spacing w:val="-10"/>
        </w:rPr>
        <w:t> </w:t>
      </w:r>
      <w:r>
        <w:rPr>
          <w:spacing w:val="-2"/>
        </w:rPr>
        <w:t>the</w:t>
      </w:r>
      <w:r>
        <w:rPr>
          <w:spacing w:val="-10"/>
        </w:rPr>
        <w:t> </w:t>
      </w:r>
      <w:r>
        <w:rPr>
          <w:spacing w:val="-2"/>
        </w:rPr>
        <w:t>delivered products</w:t>
      </w:r>
      <w:r>
        <w:rPr>
          <w:spacing w:val="-9"/>
        </w:rPr>
        <w:t> </w:t>
      </w:r>
      <w:r>
        <w:rPr>
          <w:spacing w:val="-2"/>
        </w:rPr>
        <w:t>and</w:t>
      </w:r>
      <w:r>
        <w:rPr>
          <w:spacing w:val="-10"/>
        </w:rPr>
        <w:t> </w:t>
      </w:r>
      <w:r>
        <w:rPr>
          <w:spacing w:val="-2"/>
        </w:rPr>
        <w:t>services;</w:t>
      </w:r>
      <w:r>
        <w:rPr>
          <w:spacing w:val="-10"/>
        </w:rPr>
        <w:t> </w:t>
      </w:r>
      <w:r>
        <w:rPr>
          <w:spacing w:val="-2"/>
        </w:rPr>
        <w:t>(3)</w:t>
      </w:r>
      <w:r>
        <w:rPr>
          <w:spacing w:val="-10"/>
        </w:rPr>
        <w:t> </w:t>
      </w:r>
      <w:r>
        <w:rPr>
          <w:spacing w:val="-2"/>
        </w:rPr>
        <w:t>determine</w:t>
      </w:r>
      <w:r>
        <w:rPr>
          <w:spacing w:val="-10"/>
        </w:rPr>
        <w:t> </w:t>
      </w:r>
      <w:r>
        <w:rPr>
          <w:spacing w:val="-2"/>
        </w:rPr>
        <w:t>the</w:t>
      </w:r>
      <w:r>
        <w:rPr>
          <w:spacing w:val="-10"/>
        </w:rPr>
        <w:t> </w:t>
      </w:r>
      <w:r>
        <w:rPr>
          <w:spacing w:val="-2"/>
        </w:rPr>
        <w:t>fair</w:t>
      </w:r>
      <w:r>
        <w:rPr>
          <w:spacing w:val="-10"/>
        </w:rPr>
        <w:t> </w:t>
      </w:r>
      <w:r>
        <w:rPr>
          <w:spacing w:val="-2"/>
        </w:rPr>
        <w:t>value</w:t>
      </w:r>
      <w:r>
        <w:rPr>
          <w:spacing w:val="-10"/>
        </w:rPr>
        <w:t> </w:t>
      </w:r>
      <w:r>
        <w:rPr>
          <w:spacing w:val="-2"/>
        </w:rPr>
        <w:t>of</w:t>
      </w:r>
      <w:r>
        <w:rPr>
          <w:spacing w:val="-10"/>
        </w:rPr>
        <w:t> </w:t>
      </w:r>
      <w:r>
        <w:rPr>
          <w:spacing w:val="-2"/>
        </w:rPr>
        <w:t>each</w:t>
      </w:r>
      <w:r>
        <w:rPr>
          <w:spacing w:val="-10"/>
        </w:rPr>
        <w:t> </w:t>
      </w:r>
      <w:r>
        <w:rPr>
          <w:spacing w:val="-2"/>
        </w:rPr>
        <w:t>undelivered</w:t>
      </w:r>
      <w:r>
        <w:rPr>
          <w:spacing w:val="-10"/>
        </w:rPr>
        <w:t> </w:t>
      </w:r>
      <w:r>
        <w:rPr>
          <w:spacing w:val="-2"/>
        </w:rPr>
        <w:t>element</w:t>
      </w:r>
      <w:r>
        <w:rPr>
          <w:spacing w:val="-10"/>
        </w:rPr>
        <w:t> </w:t>
      </w:r>
      <w:r>
        <w:rPr>
          <w:spacing w:val="-2"/>
        </w:rPr>
        <w:t>using</w:t>
      </w:r>
      <w:r>
        <w:rPr>
          <w:spacing w:val="-10"/>
        </w:rPr>
        <w:t> </w:t>
      </w:r>
      <w:r>
        <w:rPr>
          <w:spacing w:val="-2"/>
        </w:rPr>
        <w:t>vendor-specific</w:t>
      </w:r>
      <w:r>
        <w:rPr>
          <w:spacing w:val="-10"/>
        </w:rPr>
        <w:t> </w:t>
      </w:r>
      <w:r>
        <w:rPr>
          <w:spacing w:val="-2"/>
        </w:rPr>
        <w:t>objective</w:t>
      </w:r>
      <w:r>
        <w:rPr>
          <w:spacing w:val="-10"/>
        </w:rPr>
        <w:t> </w:t>
      </w:r>
      <w:r>
        <w:rPr>
          <w:spacing w:val="-2"/>
        </w:rPr>
        <w:t>evidence</w:t>
      </w:r>
      <w:r>
        <w:rPr>
          <w:spacing w:val="-10"/>
        </w:rPr>
        <w:t> </w:t>
      </w:r>
      <w:r>
        <w:rPr>
          <w:spacing w:val="-2"/>
        </w:rPr>
        <w:t>(“VSOE”); </w:t>
      </w:r>
      <w:r>
        <w:rPr/>
        <w:t>and (4) allocate the total price among the various elements. VSOE of fair value is used to allocate a portion of the price to the undelivered</w:t>
      </w:r>
      <w:r>
        <w:rPr>
          <w:spacing w:val="-5"/>
        </w:rPr>
        <w:t> </w:t>
      </w:r>
      <w:r>
        <w:rPr/>
        <w:t>elements</w:t>
      </w:r>
      <w:r>
        <w:rPr>
          <w:spacing w:val="-4"/>
        </w:rPr>
        <w:t> </w:t>
      </w:r>
      <w:r>
        <w:rPr/>
        <w:t>and</w:t>
      </w:r>
      <w:r>
        <w:rPr>
          <w:spacing w:val="-4"/>
        </w:rPr>
        <w:t> </w:t>
      </w:r>
      <w:r>
        <w:rPr/>
        <w:t>the</w:t>
      </w:r>
      <w:r>
        <w:rPr>
          <w:spacing w:val="-4"/>
        </w:rPr>
        <w:t> </w:t>
      </w:r>
      <w:r>
        <w:rPr/>
        <w:t>residual</w:t>
      </w:r>
      <w:r>
        <w:rPr>
          <w:spacing w:val="-4"/>
        </w:rPr>
        <w:t> </w:t>
      </w:r>
      <w:r>
        <w:rPr/>
        <w:t>method</w:t>
      </w:r>
      <w:r>
        <w:rPr>
          <w:spacing w:val="-4"/>
        </w:rPr>
        <w:t> </w:t>
      </w:r>
      <w:r>
        <w:rPr/>
        <w:t>is</w:t>
      </w:r>
      <w:r>
        <w:rPr>
          <w:spacing w:val="-4"/>
        </w:rPr>
        <w:t> </w:t>
      </w:r>
      <w:r>
        <w:rPr/>
        <w:t>used</w:t>
      </w:r>
      <w:r>
        <w:rPr>
          <w:spacing w:val="-4"/>
        </w:rPr>
        <w:t> </w:t>
      </w:r>
      <w:r>
        <w:rPr/>
        <w:t>to</w:t>
      </w:r>
      <w:r>
        <w:rPr>
          <w:spacing w:val="-4"/>
        </w:rPr>
        <w:t> </w:t>
      </w:r>
      <w:r>
        <w:rPr/>
        <w:t>allocate</w:t>
      </w:r>
      <w:r>
        <w:rPr>
          <w:spacing w:val="-4"/>
        </w:rPr>
        <w:t> </w:t>
      </w:r>
      <w:r>
        <w:rPr/>
        <w:t>the</w:t>
      </w:r>
      <w:r>
        <w:rPr>
          <w:spacing w:val="-4"/>
        </w:rPr>
        <w:t> </w:t>
      </w:r>
      <w:r>
        <w:rPr/>
        <w:t>remaining</w:t>
      </w:r>
      <w:r>
        <w:rPr>
          <w:spacing w:val="-4"/>
        </w:rPr>
        <w:t> </w:t>
      </w:r>
      <w:r>
        <w:rPr/>
        <w:t>portion</w:t>
      </w:r>
      <w:r>
        <w:rPr>
          <w:spacing w:val="-4"/>
        </w:rPr>
        <w:t> </w:t>
      </w:r>
      <w:r>
        <w:rPr/>
        <w:t>to</w:t>
      </w:r>
      <w:r>
        <w:rPr>
          <w:spacing w:val="-4"/>
        </w:rPr>
        <w:t> </w:t>
      </w:r>
      <w:r>
        <w:rPr/>
        <w:t>the</w:t>
      </w:r>
      <w:r>
        <w:rPr>
          <w:spacing w:val="-4"/>
        </w:rPr>
        <w:t> </w:t>
      </w:r>
      <w:r>
        <w:rPr/>
        <w:t>delivered</w:t>
      </w:r>
      <w:r>
        <w:rPr>
          <w:spacing w:val="-4"/>
        </w:rPr>
        <w:t> </w:t>
      </w:r>
      <w:r>
        <w:rPr/>
        <w:t>elements.</w:t>
      </w:r>
      <w:r>
        <w:rPr>
          <w:spacing w:val="-13"/>
        </w:rPr>
        <w:t> </w:t>
      </w:r>
      <w:r>
        <w:rPr/>
        <w:t>Absent</w:t>
      </w:r>
      <w:r>
        <w:rPr>
          <w:spacing w:val="-6"/>
        </w:rPr>
        <w:t> </w:t>
      </w:r>
      <w:r>
        <w:rPr/>
        <w:t>VSOE, </w:t>
      </w:r>
      <w:r>
        <w:rPr>
          <w:spacing w:val="-2"/>
        </w:rPr>
        <w:t>revenue</w:t>
      </w:r>
      <w:r>
        <w:rPr>
          <w:spacing w:val="-6"/>
        </w:rPr>
        <w:t> </w:t>
      </w:r>
      <w:r>
        <w:rPr>
          <w:spacing w:val="-2"/>
        </w:rPr>
        <w:t>is</w:t>
      </w:r>
      <w:r>
        <w:rPr>
          <w:spacing w:val="-6"/>
        </w:rPr>
        <w:t> </w:t>
      </w:r>
      <w:r>
        <w:rPr>
          <w:spacing w:val="-2"/>
        </w:rPr>
        <w:t>deferred</w:t>
      </w:r>
      <w:r>
        <w:rPr>
          <w:spacing w:val="-6"/>
        </w:rPr>
        <w:t> </w:t>
      </w:r>
      <w:r>
        <w:rPr>
          <w:spacing w:val="-2"/>
        </w:rPr>
        <w:t>until</w:t>
      </w:r>
      <w:r>
        <w:rPr>
          <w:spacing w:val="-6"/>
        </w:rPr>
        <w:t> </w:t>
      </w:r>
      <w:r>
        <w:rPr>
          <w:spacing w:val="-2"/>
        </w:rPr>
        <w:t>the</w:t>
      </w:r>
      <w:r>
        <w:rPr>
          <w:spacing w:val="-6"/>
        </w:rPr>
        <w:t> </w:t>
      </w:r>
      <w:r>
        <w:rPr>
          <w:spacing w:val="-2"/>
        </w:rPr>
        <w:t>earlier</w:t>
      </w:r>
      <w:r>
        <w:rPr>
          <w:spacing w:val="-6"/>
        </w:rPr>
        <w:t> </w:t>
      </w:r>
      <w:r>
        <w:rPr>
          <w:spacing w:val="-2"/>
        </w:rPr>
        <w:t>of</w:t>
      </w:r>
      <w:r>
        <w:rPr>
          <w:spacing w:val="-6"/>
        </w:rPr>
        <w:t> </w:t>
      </w:r>
      <w:r>
        <w:rPr>
          <w:spacing w:val="-2"/>
        </w:rPr>
        <w:t>the</w:t>
      </w:r>
      <w:r>
        <w:rPr>
          <w:spacing w:val="-6"/>
        </w:rPr>
        <w:t> </w:t>
      </w:r>
      <w:r>
        <w:rPr>
          <w:spacing w:val="-2"/>
        </w:rPr>
        <w:t>point</w:t>
      </w:r>
      <w:r>
        <w:rPr>
          <w:spacing w:val="-6"/>
        </w:rPr>
        <w:t> </w:t>
      </w:r>
      <w:r>
        <w:rPr>
          <w:spacing w:val="-2"/>
        </w:rPr>
        <w:t>at</w:t>
      </w:r>
      <w:r>
        <w:rPr>
          <w:spacing w:val="-6"/>
        </w:rPr>
        <w:t> </w:t>
      </w:r>
      <w:r>
        <w:rPr>
          <w:spacing w:val="-2"/>
        </w:rPr>
        <w:t>which</w:t>
      </w:r>
      <w:r>
        <w:rPr>
          <w:spacing w:val="-10"/>
        </w:rPr>
        <w:t> </w:t>
      </w:r>
      <w:r>
        <w:rPr>
          <w:spacing w:val="-2"/>
        </w:rPr>
        <w:t>VSOE</w:t>
      </w:r>
      <w:r>
        <w:rPr>
          <w:spacing w:val="-6"/>
        </w:rPr>
        <w:t> </w:t>
      </w:r>
      <w:r>
        <w:rPr>
          <w:spacing w:val="-2"/>
        </w:rPr>
        <w:t>of</w:t>
      </w:r>
      <w:r>
        <w:rPr>
          <w:spacing w:val="-6"/>
        </w:rPr>
        <w:t> </w:t>
      </w:r>
      <w:r>
        <w:rPr>
          <w:spacing w:val="-2"/>
        </w:rPr>
        <w:t>fair</w:t>
      </w:r>
      <w:r>
        <w:rPr>
          <w:spacing w:val="-6"/>
        </w:rPr>
        <w:t> </w:t>
      </w:r>
      <w:r>
        <w:rPr>
          <w:spacing w:val="-2"/>
        </w:rPr>
        <w:t>value</w:t>
      </w:r>
      <w:r>
        <w:rPr>
          <w:spacing w:val="-6"/>
        </w:rPr>
        <w:t> </w:t>
      </w:r>
      <w:r>
        <w:rPr>
          <w:spacing w:val="-2"/>
        </w:rPr>
        <w:t>exists</w:t>
      </w:r>
      <w:r>
        <w:rPr>
          <w:spacing w:val="-6"/>
        </w:rPr>
        <w:t> </w:t>
      </w:r>
      <w:r>
        <w:rPr>
          <w:spacing w:val="-2"/>
        </w:rPr>
        <w:t>for</w:t>
      </w:r>
      <w:r>
        <w:rPr>
          <w:spacing w:val="-6"/>
        </w:rPr>
        <w:t> </w:t>
      </w:r>
      <w:r>
        <w:rPr>
          <w:spacing w:val="-2"/>
        </w:rPr>
        <w:t>any</w:t>
      </w:r>
      <w:r>
        <w:rPr>
          <w:spacing w:val="-6"/>
        </w:rPr>
        <w:t> </w:t>
      </w:r>
      <w:r>
        <w:rPr>
          <w:spacing w:val="-2"/>
        </w:rPr>
        <w:t>undelivered</w:t>
      </w:r>
      <w:r>
        <w:rPr>
          <w:spacing w:val="-6"/>
        </w:rPr>
        <w:t> </w:t>
      </w:r>
      <w:r>
        <w:rPr>
          <w:spacing w:val="-2"/>
        </w:rPr>
        <w:t>element</w:t>
      </w:r>
      <w:r>
        <w:rPr>
          <w:spacing w:val="-6"/>
        </w:rPr>
        <w:t> </w:t>
      </w:r>
      <w:r>
        <w:rPr>
          <w:spacing w:val="-2"/>
        </w:rPr>
        <w:t>or</w:t>
      </w:r>
      <w:r>
        <w:rPr>
          <w:spacing w:val="-6"/>
        </w:rPr>
        <w:t> </w:t>
      </w:r>
      <w:r>
        <w:rPr>
          <w:spacing w:val="-2"/>
        </w:rPr>
        <w:t>until</w:t>
      </w:r>
      <w:r>
        <w:rPr>
          <w:spacing w:val="-6"/>
        </w:rPr>
        <w:t> </w:t>
      </w:r>
      <w:r>
        <w:rPr>
          <w:spacing w:val="-2"/>
        </w:rPr>
        <w:t>all</w:t>
      </w:r>
      <w:r>
        <w:rPr>
          <w:spacing w:val="-6"/>
        </w:rPr>
        <w:t> </w:t>
      </w:r>
      <w:r>
        <w:rPr>
          <w:spacing w:val="-2"/>
        </w:rPr>
        <w:t>elements </w:t>
      </w:r>
      <w:r>
        <w:rPr/>
        <w:t>of the arrangement have been delivered. However, if the only undelivered element is maintenance and support, the entire arrangement fee is recognized ratably over the performance period. Changes in assumptions or judgments or changes to the elements in a software arrangement could cause a material increase or decrease in the amount of revenue that we report in a particular period.</w:t>
      </w:r>
    </w:p>
    <w:p>
      <w:pPr>
        <w:pStyle w:val="BodyText"/>
        <w:spacing w:line="249" w:lineRule="auto" w:before="168"/>
        <w:ind w:left="220" w:right="257" w:firstLine="540"/>
        <w:jc w:val="both"/>
      </w:pPr>
      <w:r>
        <w:rPr/>
        <w:t>We</w:t>
      </w:r>
      <w:r>
        <w:rPr>
          <w:spacing w:val="-5"/>
        </w:rPr>
        <w:t> </w:t>
      </w:r>
      <w:r>
        <w:rPr/>
        <w:t>determine</w:t>
      </w:r>
      <w:r>
        <w:rPr>
          <w:spacing w:val="-9"/>
        </w:rPr>
        <w:t> </w:t>
      </w:r>
      <w:r>
        <w:rPr/>
        <w:t>VSOE</w:t>
      </w:r>
      <w:r>
        <w:rPr>
          <w:spacing w:val="-5"/>
        </w:rPr>
        <w:t> </w:t>
      </w:r>
      <w:r>
        <w:rPr/>
        <w:t>for</w:t>
      </w:r>
      <w:r>
        <w:rPr>
          <w:spacing w:val="-5"/>
        </w:rPr>
        <w:t> </w:t>
      </w:r>
      <w:r>
        <w:rPr/>
        <w:t>each</w:t>
      </w:r>
      <w:r>
        <w:rPr>
          <w:spacing w:val="-6"/>
        </w:rPr>
        <w:t> </w:t>
      </w:r>
      <w:r>
        <w:rPr/>
        <w:t>element</w:t>
      </w:r>
      <w:r>
        <w:rPr>
          <w:spacing w:val="-6"/>
        </w:rPr>
        <w:t> </w:t>
      </w:r>
      <w:r>
        <w:rPr/>
        <w:t>based</w:t>
      </w:r>
      <w:r>
        <w:rPr>
          <w:spacing w:val="-5"/>
        </w:rPr>
        <w:t> </w:t>
      </w:r>
      <w:r>
        <w:rPr/>
        <w:t>on</w:t>
      </w:r>
      <w:r>
        <w:rPr>
          <w:spacing w:val="-5"/>
        </w:rPr>
        <w:t> </w:t>
      </w:r>
      <w:r>
        <w:rPr/>
        <w:t>historical</w:t>
      </w:r>
      <w:r>
        <w:rPr>
          <w:spacing w:val="-6"/>
        </w:rPr>
        <w:t> </w:t>
      </w:r>
      <w:r>
        <w:rPr/>
        <w:t>stand-alone</w:t>
      </w:r>
      <w:r>
        <w:rPr>
          <w:spacing w:val="-6"/>
        </w:rPr>
        <w:t> </w:t>
      </w:r>
      <w:r>
        <w:rPr/>
        <w:t>sales</w:t>
      </w:r>
      <w:r>
        <w:rPr>
          <w:spacing w:val="-6"/>
        </w:rPr>
        <w:t> </w:t>
      </w:r>
      <w:r>
        <w:rPr/>
        <w:t>to</w:t>
      </w:r>
      <w:r>
        <w:rPr>
          <w:spacing w:val="-5"/>
        </w:rPr>
        <w:t> </w:t>
      </w:r>
      <w:r>
        <w:rPr/>
        <w:t>third</w:t>
      </w:r>
      <w:r>
        <w:rPr>
          <w:spacing w:val="-5"/>
        </w:rPr>
        <w:t> </w:t>
      </w:r>
      <w:r>
        <w:rPr/>
        <w:t>parties</w:t>
      </w:r>
      <w:r>
        <w:rPr>
          <w:spacing w:val="-5"/>
        </w:rPr>
        <w:t> </w:t>
      </w:r>
      <w:r>
        <w:rPr/>
        <w:t>or</w:t>
      </w:r>
      <w:r>
        <w:rPr>
          <w:spacing w:val="-5"/>
        </w:rPr>
        <w:t> </w:t>
      </w:r>
      <w:r>
        <w:rPr/>
        <w:t>from</w:t>
      </w:r>
      <w:r>
        <w:rPr>
          <w:spacing w:val="-6"/>
        </w:rPr>
        <w:t> </w:t>
      </w:r>
      <w:r>
        <w:rPr/>
        <w:t>the</w:t>
      </w:r>
      <w:r>
        <w:rPr>
          <w:spacing w:val="-5"/>
        </w:rPr>
        <w:t> </w:t>
      </w:r>
      <w:r>
        <w:rPr/>
        <w:t>stated</w:t>
      </w:r>
      <w:r>
        <w:rPr>
          <w:spacing w:val="-6"/>
        </w:rPr>
        <w:t> </w:t>
      </w:r>
      <w:r>
        <w:rPr/>
        <w:t>renewal</w:t>
      </w:r>
      <w:r>
        <w:rPr>
          <w:spacing w:val="-6"/>
        </w:rPr>
        <w:t> </w:t>
      </w:r>
      <w:r>
        <w:rPr/>
        <w:t>rate for the elements contained in the initial arrangement. In determining</w:t>
      </w:r>
      <w:r>
        <w:rPr>
          <w:spacing w:val="-4"/>
        </w:rPr>
        <w:t> </w:t>
      </w:r>
      <w:r>
        <w:rPr/>
        <w:t>VSOE, we require</w:t>
      </w:r>
      <w:r>
        <w:rPr>
          <w:spacing w:val="-1"/>
        </w:rPr>
        <w:t> </w:t>
      </w:r>
      <w:r>
        <w:rPr/>
        <w:t>that a substantial majority of the selling prices for a product or service fall within a reasonably narrow pricing range.</w:t>
      </w:r>
    </w:p>
    <w:p>
      <w:pPr>
        <w:pStyle w:val="BodyText"/>
        <w:spacing w:line="249" w:lineRule="auto" w:before="163"/>
        <w:ind w:left="220" w:right="257" w:firstLine="540"/>
        <w:jc w:val="both"/>
      </w:pPr>
      <w:r>
        <w:rPr/>
        <w:t>We have established VSOE for our software maintenance and support services, custom software development services, consulting services and training, when such services are sold optionally with software licenses.</w:t>
      </w:r>
    </w:p>
    <w:p>
      <w:pPr>
        <w:pStyle w:val="BodyText"/>
        <w:spacing w:line="249" w:lineRule="auto" w:before="141"/>
        <w:ind w:left="220" w:right="257" w:firstLine="540"/>
        <w:jc w:val="both"/>
      </w:pPr>
      <w:r>
        <w:rPr/>
        <w:t>For</w:t>
      </w:r>
      <w:r>
        <w:rPr>
          <w:spacing w:val="-5"/>
        </w:rPr>
        <w:t> </w:t>
      </w:r>
      <w:r>
        <w:rPr/>
        <w:t>multiple-element</w:t>
      </w:r>
      <w:r>
        <w:rPr>
          <w:spacing w:val="-6"/>
        </w:rPr>
        <w:t> </w:t>
      </w:r>
      <w:r>
        <w:rPr/>
        <w:t>arrangements</w:t>
      </w:r>
      <w:r>
        <w:rPr>
          <w:spacing w:val="-5"/>
        </w:rPr>
        <w:t> </w:t>
      </w:r>
      <w:r>
        <w:rPr/>
        <w:t>containing</w:t>
      </w:r>
      <w:r>
        <w:rPr>
          <w:spacing w:val="-5"/>
        </w:rPr>
        <w:t> </w:t>
      </w:r>
      <w:r>
        <w:rPr/>
        <w:t>our</w:t>
      </w:r>
      <w:r>
        <w:rPr>
          <w:spacing w:val="-5"/>
        </w:rPr>
        <w:t> </w:t>
      </w:r>
      <w:r>
        <w:rPr/>
        <w:t>non-software</w:t>
      </w:r>
      <w:r>
        <w:rPr>
          <w:spacing w:val="-5"/>
        </w:rPr>
        <w:t> </w:t>
      </w:r>
      <w:r>
        <w:rPr/>
        <w:t>services,</w:t>
      </w:r>
      <w:r>
        <w:rPr>
          <w:spacing w:val="-5"/>
        </w:rPr>
        <w:t> </w:t>
      </w:r>
      <w:r>
        <w:rPr/>
        <w:t>we</w:t>
      </w:r>
      <w:r>
        <w:rPr>
          <w:spacing w:val="-5"/>
        </w:rPr>
        <w:t> </w:t>
      </w:r>
      <w:r>
        <w:rPr/>
        <w:t>must:</w:t>
      </w:r>
      <w:r>
        <w:rPr>
          <w:spacing w:val="-5"/>
        </w:rPr>
        <w:t> </w:t>
      </w:r>
      <w:r>
        <w:rPr/>
        <w:t>(1)</w:t>
      </w:r>
      <w:r>
        <w:rPr>
          <w:spacing w:val="-5"/>
        </w:rPr>
        <w:t> </w:t>
      </w:r>
      <w:r>
        <w:rPr/>
        <w:t>determine</w:t>
      </w:r>
      <w:r>
        <w:rPr>
          <w:spacing w:val="-5"/>
        </w:rPr>
        <w:t> </w:t>
      </w:r>
      <w:r>
        <w:rPr/>
        <w:t>whether</w:t>
      </w:r>
      <w:r>
        <w:rPr>
          <w:spacing w:val="-5"/>
        </w:rPr>
        <w:t> </w:t>
      </w:r>
      <w:r>
        <w:rPr/>
        <w:t>and</w:t>
      </w:r>
      <w:r>
        <w:rPr>
          <w:spacing w:val="-5"/>
        </w:rPr>
        <w:t> </w:t>
      </w:r>
      <w:r>
        <w:rPr/>
        <w:t>when</w:t>
      </w:r>
      <w:r>
        <w:rPr>
          <w:spacing w:val="-5"/>
        </w:rPr>
        <w:t> </w:t>
      </w:r>
      <w:r>
        <w:rPr/>
        <w:t>each element</w:t>
      </w:r>
      <w:r>
        <w:rPr>
          <w:spacing w:val="-13"/>
        </w:rPr>
        <w:t> </w:t>
      </w:r>
      <w:r>
        <w:rPr/>
        <w:t>has</w:t>
      </w:r>
      <w:r>
        <w:rPr>
          <w:spacing w:val="-12"/>
        </w:rPr>
        <w:t> </w:t>
      </w:r>
      <w:r>
        <w:rPr/>
        <w:t>been</w:t>
      </w:r>
      <w:r>
        <w:rPr>
          <w:spacing w:val="-13"/>
        </w:rPr>
        <w:t> </w:t>
      </w:r>
      <w:r>
        <w:rPr/>
        <w:t>delivered;</w:t>
      </w:r>
      <w:r>
        <w:rPr>
          <w:spacing w:val="-12"/>
        </w:rPr>
        <w:t> </w:t>
      </w:r>
      <w:r>
        <w:rPr/>
        <w:t>(2)</w:t>
      </w:r>
      <w:r>
        <w:rPr>
          <w:spacing w:val="-13"/>
        </w:rPr>
        <w:t> </w:t>
      </w:r>
      <w:r>
        <w:rPr/>
        <w:t>determine</w:t>
      </w:r>
      <w:r>
        <w:rPr>
          <w:spacing w:val="-12"/>
        </w:rPr>
        <w:t> </w:t>
      </w:r>
      <w:r>
        <w:rPr/>
        <w:t>the</w:t>
      </w:r>
      <w:r>
        <w:rPr>
          <w:spacing w:val="-13"/>
        </w:rPr>
        <w:t> </w:t>
      </w:r>
      <w:r>
        <w:rPr/>
        <w:t>fair</w:t>
      </w:r>
      <w:r>
        <w:rPr>
          <w:spacing w:val="-12"/>
        </w:rPr>
        <w:t> </w:t>
      </w:r>
      <w:r>
        <w:rPr/>
        <w:t>value</w:t>
      </w:r>
      <w:r>
        <w:rPr>
          <w:spacing w:val="-13"/>
        </w:rPr>
        <w:t> </w:t>
      </w:r>
      <w:r>
        <w:rPr/>
        <w:t>of</w:t>
      </w:r>
      <w:r>
        <w:rPr>
          <w:spacing w:val="-12"/>
        </w:rPr>
        <w:t> </w:t>
      </w:r>
      <w:r>
        <w:rPr/>
        <w:t>each</w:t>
      </w:r>
      <w:r>
        <w:rPr>
          <w:spacing w:val="-13"/>
        </w:rPr>
        <w:t> </w:t>
      </w:r>
      <w:r>
        <w:rPr/>
        <w:t>element</w:t>
      </w:r>
      <w:r>
        <w:rPr>
          <w:spacing w:val="-12"/>
        </w:rPr>
        <w:t> </w:t>
      </w:r>
      <w:r>
        <w:rPr/>
        <w:t>using</w:t>
      </w:r>
      <w:r>
        <w:rPr>
          <w:spacing w:val="-13"/>
        </w:rPr>
        <w:t> </w:t>
      </w:r>
      <w:r>
        <w:rPr/>
        <w:t>the</w:t>
      </w:r>
      <w:r>
        <w:rPr>
          <w:spacing w:val="-12"/>
        </w:rPr>
        <w:t> </w:t>
      </w:r>
      <w:r>
        <w:rPr/>
        <w:t>selling</w:t>
      </w:r>
      <w:r>
        <w:rPr>
          <w:spacing w:val="-13"/>
        </w:rPr>
        <w:t> </w:t>
      </w:r>
      <w:r>
        <w:rPr/>
        <w:t>price</w:t>
      </w:r>
      <w:r>
        <w:rPr>
          <w:spacing w:val="-12"/>
        </w:rPr>
        <w:t> </w:t>
      </w:r>
      <w:r>
        <w:rPr/>
        <w:t>hierarchy</w:t>
      </w:r>
      <w:r>
        <w:rPr>
          <w:spacing w:val="-13"/>
        </w:rPr>
        <w:t> </w:t>
      </w:r>
      <w:r>
        <w:rPr/>
        <w:t>of</w:t>
      </w:r>
      <w:r>
        <w:rPr>
          <w:spacing w:val="-12"/>
        </w:rPr>
        <w:t> </w:t>
      </w:r>
      <w:r>
        <w:rPr/>
        <w:t>VSOE</w:t>
      </w:r>
      <w:r>
        <w:rPr>
          <w:spacing w:val="-13"/>
        </w:rPr>
        <w:t> </w:t>
      </w:r>
      <w:r>
        <w:rPr/>
        <w:t>of</w:t>
      </w:r>
      <w:r>
        <w:rPr>
          <w:spacing w:val="-12"/>
        </w:rPr>
        <w:t> </w:t>
      </w:r>
      <w:r>
        <w:rPr/>
        <w:t>selling</w:t>
      </w:r>
      <w:r>
        <w:rPr>
          <w:spacing w:val="-13"/>
        </w:rPr>
        <w:t> </w:t>
      </w:r>
      <w:r>
        <w:rPr/>
        <w:t>price, third-party evidence (“TPE”) of selling price or best-estimated selling price (“BESP”), as applicable; and (3) allocate the total price among the various elements based on the relative selling price method.</w:t>
      </w:r>
    </w:p>
    <w:p>
      <w:pPr>
        <w:pStyle w:val="BodyText"/>
        <w:spacing w:before="13"/>
      </w:pPr>
    </w:p>
    <w:p>
      <w:pPr>
        <w:pStyle w:val="BodyText"/>
        <w:spacing w:line="249" w:lineRule="auto" w:before="1"/>
        <w:ind w:left="220" w:right="257" w:firstLine="540"/>
        <w:jc w:val="both"/>
      </w:pPr>
      <w:r>
        <w:rPr/>
        <w:t>For</w:t>
      </w:r>
      <w:r>
        <w:rPr>
          <w:spacing w:val="-10"/>
        </w:rPr>
        <w:t> </w:t>
      </w:r>
      <w:r>
        <w:rPr/>
        <w:t>multiple-element</w:t>
      </w:r>
      <w:r>
        <w:rPr>
          <w:spacing w:val="-10"/>
        </w:rPr>
        <w:t> </w:t>
      </w:r>
      <w:r>
        <w:rPr/>
        <w:t>arrangements</w:t>
      </w:r>
      <w:r>
        <w:rPr>
          <w:spacing w:val="-10"/>
        </w:rPr>
        <w:t> </w:t>
      </w:r>
      <w:r>
        <w:rPr/>
        <w:t>that</w:t>
      </w:r>
      <w:r>
        <w:rPr>
          <w:spacing w:val="-10"/>
        </w:rPr>
        <w:t> </w:t>
      </w:r>
      <w:r>
        <w:rPr/>
        <w:t>contain</w:t>
      </w:r>
      <w:r>
        <w:rPr>
          <w:spacing w:val="-10"/>
        </w:rPr>
        <w:t> </w:t>
      </w:r>
      <w:r>
        <w:rPr/>
        <w:t>both</w:t>
      </w:r>
      <w:r>
        <w:rPr>
          <w:spacing w:val="-10"/>
        </w:rPr>
        <w:t> </w:t>
      </w:r>
      <w:r>
        <w:rPr/>
        <w:t>software</w:t>
      </w:r>
      <w:r>
        <w:rPr>
          <w:spacing w:val="-10"/>
        </w:rPr>
        <w:t> </w:t>
      </w:r>
      <w:r>
        <w:rPr/>
        <w:t>and</w:t>
      </w:r>
      <w:r>
        <w:rPr>
          <w:spacing w:val="-10"/>
        </w:rPr>
        <w:t> </w:t>
      </w:r>
      <w:r>
        <w:rPr/>
        <w:t>non-software</w:t>
      </w:r>
      <w:r>
        <w:rPr>
          <w:spacing w:val="-10"/>
        </w:rPr>
        <w:t> </w:t>
      </w:r>
      <w:r>
        <w:rPr/>
        <w:t>elements,</w:t>
      </w:r>
      <w:r>
        <w:rPr>
          <w:spacing w:val="-10"/>
        </w:rPr>
        <w:t> </w:t>
      </w:r>
      <w:r>
        <w:rPr/>
        <w:t>we</w:t>
      </w:r>
      <w:r>
        <w:rPr>
          <w:spacing w:val="-10"/>
        </w:rPr>
        <w:t> </w:t>
      </w:r>
      <w:r>
        <w:rPr/>
        <w:t>allocate</w:t>
      </w:r>
      <w:r>
        <w:rPr>
          <w:spacing w:val="-10"/>
        </w:rPr>
        <w:t> </w:t>
      </w:r>
      <w:r>
        <w:rPr/>
        <w:t>revenue</w:t>
      </w:r>
      <w:r>
        <w:rPr>
          <w:spacing w:val="-10"/>
        </w:rPr>
        <w:t> </w:t>
      </w:r>
      <w:r>
        <w:rPr/>
        <w:t>to</w:t>
      </w:r>
      <w:r>
        <w:rPr>
          <w:spacing w:val="-10"/>
        </w:rPr>
        <w:t> </w:t>
      </w:r>
      <w:r>
        <w:rPr/>
        <w:t>software </w:t>
      </w:r>
      <w:r>
        <w:rPr>
          <w:spacing w:val="-4"/>
        </w:rPr>
        <w:t>or software-related elements as a group and any non-software elements separately based on the selling price hierarchy. We determine </w:t>
      </w:r>
      <w:r>
        <w:rPr/>
        <w:t>the selling price for each deliverable using</w:t>
      </w:r>
      <w:r>
        <w:rPr>
          <w:spacing w:val="-2"/>
        </w:rPr>
        <w:t> </w:t>
      </w:r>
      <w:r>
        <w:rPr/>
        <w:t>VSOE of selling price, if it exists, or</w:t>
      </w:r>
      <w:r>
        <w:rPr>
          <w:spacing w:val="-2"/>
        </w:rPr>
        <w:t> </w:t>
      </w:r>
      <w:r>
        <w:rPr/>
        <w:t>TPE of selling price. If neither</w:t>
      </w:r>
      <w:r>
        <w:rPr>
          <w:spacing w:val="-2"/>
        </w:rPr>
        <w:t> </w:t>
      </w:r>
      <w:r>
        <w:rPr/>
        <w:t>VSOE nor</w:t>
      </w:r>
      <w:r>
        <w:rPr>
          <w:spacing w:val="-2"/>
        </w:rPr>
        <w:t> </w:t>
      </w:r>
      <w:r>
        <w:rPr/>
        <w:t>TPE </w:t>
      </w:r>
      <w:r>
        <w:rPr>
          <w:spacing w:val="-2"/>
        </w:rPr>
        <w:t>of</w:t>
      </w:r>
      <w:r>
        <w:rPr>
          <w:spacing w:val="-5"/>
        </w:rPr>
        <w:t> </w:t>
      </w:r>
      <w:r>
        <w:rPr>
          <w:spacing w:val="-2"/>
        </w:rPr>
        <w:t>selling</w:t>
      </w:r>
      <w:r>
        <w:rPr>
          <w:spacing w:val="-5"/>
        </w:rPr>
        <w:t> </w:t>
      </w:r>
      <w:r>
        <w:rPr>
          <w:spacing w:val="-2"/>
        </w:rPr>
        <w:t>price</w:t>
      </w:r>
      <w:r>
        <w:rPr>
          <w:spacing w:val="-5"/>
        </w:rPr>
        <w:t> </w:t>
      </w:r>
      <w:r>
        <w:rPr>
          <w:spacing w:val="-2"/>
        </w:rPr>
        <w:t>exist</w:t>
      </w:r>
      <w:r>
        <w:rPr>
          <w:spacing w:val="-5"/>
        </w:rPr>
        <w:t> </w:t>
      </w:r>
      <w:r>
        <w:rPr>
          <w:spacing w:val="-2"/>
        </w:rPr>
        <w:t>for</w:t>
      </w:r>
      <w:r>
        <w:rPr>
          <w:spacing w:val="-5"/>
        </w:rPr>
        <w:t> </w:t>
      </w:r>
      <w:r>
        <w:rPr>
          <w:spacing w:val="-2"/>
        </w:rPr>
        <w:t>a</w:t>
      </w:r>
      <w:r>
        <w:rPr>
          <w:spacing w:val="-5"/>
        </w:rPr>
        <w:t> </w:t>
      </w:r>
      <w:r>
        <w:rPr>
          <w:spacing w:val="-2"/>
        </w:rPr>
        <w:t>deliverable,</w:t>
      </w:r>
      <w:r>
        <w:rPr>
          <w:spacing w:val="-5"/>
        </w:rPr>
        <w:t> </w:t>
      </w:r>
      <w:r>
        <w:rPr>
          <w:spacing w:val="-2"/>
        </w:rPr>
        <w:t>we</w:t>
      </w:r>
      <w:r>
        <w:rPr>
          <w:spacing w:val="-5"/>
        </w:rPr>
        <w:t> </w:t>
      </w:r>
      <w:r>
        <w:rPr>
          <w:spacing w:val="-2"/>
        </w:rPr>
        <w:t>use</w:t>
      </w:r>
      <w:r>
        <w:rPr>
          <w:spacing w:val="-5"/>
        </w:rPr>
        <w:t> </w:t>
      </w:r>
      <w:r>
        <w:rPr>
          <w:spacing w:val="-2"/>
        </w:rPr>
        <w:t>BESP.</w:t>
      </w:r>
      <w:r>
        <w:rPr>
          <w:spacing w:val="-5"/>
        </w:rPr>
        <w:t> </w:t>
      </w:r>
      <w:r>
        <w:rPr>
          <w:spacing w:val="-2"/>
        </w:rPr>
        <w:t>Once</w:t>
      </w:r>
      <w:r>
        <w:rPr>
          <w:spacing w:val="-5"/>
        </w:rPr>
        <w:t> </w:t>
      </w:r>
      <w:r>
        <w:rPr>
          <w:spacing w:val="-2"/>
        </w:rPr>
        <w:t>revenue</w:t>
      </w:r>
      <w:r>
        <w:rPr>
          <w:spacing w:val="-5"/>
        </w:rPr>
        <w:t> </w:t>
      </w:r>
      <w:r>
        <w:rPr>
          <w:spacing w:val="-2"/>
        </w:rPr>
        <w:t>is</w:t>
      </w:r>
      <w:r>
        <w:rPr>
          <w:spacing w:val="-5"/>
        </w:rPr>
        <w:t> </w:t>
      </w:r>
      <w:r>
        <w:rPr>
          <w:spacing w:val="-2"/>
        </w:rPr>
        <w:t>allocated</w:t>
      </w:r>
      <w:r>
        <w:rPr>
          <w:spacing w:val="-5"/>
        </w:rPr>
        <w:t> </w:t>
      </w:r>
      <w:r>
        <w:rPr>
          <w:spacing w:val="-2"/>
        </w:rPr>
        <w:t>to</w:t>
      </w:r>
      <w:r>
        <w:rPr>
          <w:spacing w:val="-5"/>
        </w:rPr>
        <w:t> </w:t>
      </w:r>
      <w:r>
        <w:rPr>
          <w:spacing w:val="-2"/>
        </w:rPr>
        <w:t>software</w:t>
      </w:r>
      <w:r>
        <w:rPr>
          <w:spacing w:val="-5"/>
        </w:rPr>
        <w:t> </w:t>
      </w:r>
      <w:r>
        <w:rPr>
          <w:spacing w:val="-2"/>
        </w:rPr>
        <w:t>or</w:t>
      </w:r>
      <w:r>
        <w:rPr>
          <w:spacing w:val="-5"/>
        </w:rPr>
        <w:t> </w:t>
      </w:r>
      <w:r>
        <w:rPr>
          <w:spacing w:val="-2"/>
        </w:rPr>
        <w:t>software-related</w:t>
      </w:r>
      <w:r>
        <w:rPr>
          <w:spacing w:val="-5"/>
        </w:rPr>
        <w:t> </w:t>
      </w:r>
      <w:r>
        <w:rPr>
          <w:spacing w:val="-2"/>
        </w:rPr>
        <w:t>elements</w:t>
      </w:r>
      <w:r>
        <w:rPr>
          <w:spacing w:val="-5"/>
        </w:rPr>
        <w:t> </w:t>
      </w:r>
      <w:r>
        <w:rPr>
          <w:spacing w:val="-2"/>
        </w:rPr>
        <w:t>as</w:t>
      </w:r>
      <w:r>
        <w:rPr>
          <w:spacing w:val="-5"/>
        </w:rPr>
        <w:t> </w:t>
      </w:r>
      <w:r>
        <w:rPr>
          <w:spacing w:val="-2"/>
        </w:rPr>
        <w:t>a</w:t>
      </w:r>
      <w:r>
        <w:rPr>
          <w:spacing w:val="-5"/>
        </w:rPr>
        <w:t> </w:t>
      </w:r>
      <w:r>
        <w:rPr>
          <w:spacing w:val="-2"/>
        </w:rPr>
        <w:t>group, we</w:t>
      </w:r>
      <w:r>
        <w:rPr>
          <w:spacing w:val="-11"/>
        </w:rPr>
        <w:t> </w:t>
      </w:r>
      <w:r>
        <w:rPr>
          <w:spacing w:val="-2"/>
        </w:rPr>
        <w:t>recognize</w:t>
      </w:r>
      <w:r>
        <w:rPr>
          <w:spacing w:val="-10"/>
        </w:rPr>
        <w:t> </w:t>
      </w:r>
      <w:r>
        <w:rPr>
          <w:spacing w:val="-2"/>
        </w:rPr>
        <w:t>revenue</w:t>
      </w:r>
      <w:r>
        <w:rPr>
          <w:spacing w:val="-11"/>
        </w:rPr>
        <w:t> </w:t>
      </w:r>
      <w:r>
        <w:rPr>
          <w:spacing w:val="-2"/>
        </w:rPr>
        <w:t>in</w:t>
      </w:r>
      <w:r>
        <w:rPr>
          <w:spacing w:val="-10"/>
        </w:rPr>
        <w:t> </w:t>
      </w:r>
      <w:r>
        <w:rPr>
          <w:spacing w:val="-2"/>
        </w:rPr>
        <w:t>conformance</w:t>
      </w:r>
      <w:r>
        <w:rPr>
          <w:spacing w:val="-11"/>
        </w:rPr>
        <w:t> </w:t>
      </w:r>
      <w:r>
        <w:rPr>
          <w:spacing w:val="-2"/>
        </w:rPr>
        <w:t>with</w:t>
      </w:r>
      <w:r>
        <w:rPr>
          <w:spacing w:val="-10"/>
        </w:rPr>
        <w:t> </w:t>
      </w:r>
      <w:r>
        <w:rPr>
          <w:spacing w:val="-2"/>
        </w:rPr>
        <w:t>software</w:t>
      </w:r>
      <w:r>
        <w:rPr>
          <w:spacing w:val="-11"/>
        </w:rPr>
        <w:t> </w:t>
      </w:r>
      <w:r>
        <w:rPr>
          <w:spacing w:val="-2"/>
        </w:rPr>
        <w:t>revenue</w:t>
      </w:r>
      <w:r>
        <w:rPr>
          <w:spacing w:val="-10"/>
        </w:rPr>
        <w:t> </w:t>
      </w:r>
      <w:r>
        <w:rPr>
          <w:spacing w:val="-2"/>
        </w:rPr>
        <w:t>accounting</w:t>
      </w:r>
      <w:r>
        <w:rPr>
          <w:spacing w:val="-11"/>
        </w:rPr>
        <w:t> </w:t>
      </w:r>
      <w:r>
        <w:rPr>
          <w:spacing w:val="-2"/>
        </w:rPr>
        <w:t>guidance.</w:t>
      </w:r>
      <w:r>
        <w:rPr>
          <w:spacing w:val="-10"/>
        </w:rPr>
        <w:t> </w:t>
      </w:r>
      <w:r>
        <w:rPr>
          <w:spacing w:val="-2"/>
        </w:rPr>
        <w:t>Revenue</w:t>
      </w:r>
      <w:r>
        <w:rPr>
          <w:spacing w:val="-11"/>
        </w:rPr>
        <w:t> </w:t>
      </w:r>
      <w:r>
        <w:rPr>
          <w:spacing w:val="-2"/>
        </w:rPr>
        <w:t>is</w:t>
      </w:r>
      <w:r>
        <w:rPr>
          <w:spacing w:val="-10"/>
        </w:rPr>
        <w:t> </w:t>
      </w:r>
      <w:r>
        <w:rPr>
          <w:spacing w:val="-2"/>
        </w:rPr>
        <w:t>recognized</w:t>
      </w:r>
      <w:r>
        <w:rPr>
          <w:spacing w:val="-11"/>
        </w:rPr>
        <w:t> </w:t>
      </w:r>
      <w:r>
        <w:rPr>
          <w:spacing w:val="-2"/>
        </w:rPr>
        <w:t>when</w:t>
      </w:r>
      <w:r>
        <w:rPr>
          <w:spacing w:val="-10"/>
        </w:rPr>
        <w:t> </w:t>
      </w:r>
      <w:r>
        <w:rPr>
          <w:spacing w:val="-2"/>
        </w:rPr>
        <w:t>revenue</w:t>
      </w:r>
      <w:r>
        <w:rPr>
          <w:spacing w:val="-11"/>
        </w:rPr>
        <w:t> </w:t>
      </w:r>
      <w:r>
        <w:rPr>
          <w:spacing w:val="-2"/>
        </w:rPr>
        <w:t>recognition </w:t>
      </w:r>
      <w:r>
        <w:rPr/>
        <w:t>criteria are met for each element.</w:t>
      </w:r>
    </w:p>
    <w:p>
      <w:pPr>
        <w:pStyle w:val="BodyText"/>
        <w:spacing w:before="14"/>
      </w:pPr>
    </w:p>
    <w:p>
      <w:pPr>
        <w:pStyle w:val="BodyText"/>
        <w:spacing w:line="249" w:lineRule="auto" w:before="1"/>
        <w:ind w:left="220" w:right="250" w:firstLine="540"/>
        <w:jc w:val="both"/>
      </w:pPr>
      <w:r>
        <w:rPr>
          <w:spacing w:val="-2"/>
        </w:rPr>
        <w:t>We</w:t>
      </w:r>
      <w:r>
        <w:rPr>
          <w:spacing w:val="-6"/>
        </w:rPr>
        <w:t> </w:t>
      </w:r>
      <w:r>
        <w:rPr>
          <w:spacing w:val="-2"/>
        </w:rPr>
        <w:t>are</w:t>
      </w:r>
      <w:r>
        <w:rPr>
          <w:spacing w:val="-3"/>
        </w:rPr>
        <w:t> </w:t>
      </w:r>
      <w:r>
        <w:rPr>
          <w:spacing w:val="-2"/>
        </w:rPr>
        <w:t>generally</w:t>
      </w:r>
      <w:r>
        <w:rPr>
          <w:spacing w:val="-5"/>
        </w:rPr>
        <w:t> </w:t>
      </w:r>
      <w:r>
        <w:rPr>
          <w:spacing w:val="-2"/>
        </w:rPr>
        <w:t>unable</w:t>
      </w:r>
      <w:r>
        <w:rPr>
          <w:spacing w:val="-5"/>
        </w:rPr>
        <w:t> </w:t>
      </w:r>
      <w:r>
        <w:rPr>
          <w:spacing w:val="-2"/>
        </w:rPr>
        <w:t>to</w:t>
      </w:r>
      <w:r>
        <w:rPr>
          <w:spacing w:val="-5"/>
        </w:rPr>
        <w:t> </w:t>
      </w:r>
      <w:r>
        <w:rPr>
          <w:spacing w:val="-2"/>
        </w:rPr>
        <w:t>establish</w:t>
      </w:r>
      <w:r>
        <w:rPr>
          <w:spacing w:val="-7"/>
        </w:rPr>
        <w:t> </w:t>
      </w:r>
      <w:r>
        <w:rPr>
          <w:spacing w:val="-2"/>
        </w:rPr>
        <w:t>VSOE</w:t>
      </w:r>
      <w:r>
        <w:rPr>
          <w:spacing w:val="-5"/>
        </w:rPr>
        <w:t> </w:t>
      </w:r>
      <w:r>
        <w:rPr>
          <w:spacing w:val="-2"/>
        </w:rPr>
        <w:t>or</w:t>
      </w:r>
      <w:r>
        <w:rPr>
          <w:spacing w:val="-7"/>
        </w:rPr>
        <w:t> </w:t>
      </w:r>
      <w:r>
        <w:rPr>
          <w:spacing w:val="-2"/>
        </w:rPr>
        <w:t>TPE</w:t>
      </w:r>
      <w:r>
        <w:rPr>
          <w:spacing w:val="-5"/>
        </w:rPr>
        <w:t> </w:t>
      </w:r>
      <w:r>
        <w:rPr>
          <w:spacing w:val="-2"/>
        </w:rPr>
        <w:t>for</w:t>
      </w:r>
      <w:r>
        <w:rPr>
          <w:spacing w:val="-3"/>
        </w:rPr>
        <w:t> </w:t>
      </w:r>
      <w:r>
        <w:rPr>
          <w:spacing w:val="-2"/>
        </w:rPr>
        <w:t>non-software</w:t>
      </w:r>
      <w:r>
        <w:rPr>
          <w:spacing w:val="-5"/>
        </w:rPr>
        <w:t> </w:t>
      </w:r>
      <w:r>
        <w:rPr>
          <w:spacing w:val="-2"/>
        </w:rPr>
        <w:t>elements</w:t>
      </w:r>
      <w:r>
        <w:rPr>
          <w:spacing w:val="-3"/>
        </w:rPr>
        <w:t> </w:t>
      </w:r>
      <w:r>
        <w:rPr>
          <w:spacing w:val="-2"/>
        </w:rPr>
        <w:t>and</w:t>
      </w:r>
      <w:r>
        <w:rPr>
          <w:spacing w:val="-3"/>
        </w:rPr>
        <w:t> </w:t>
      </w:r>
      <w:r>
        <w:rPr>
          <w:spacing w:val="-2"/>
        </w:rPr>
        <w:t>as</w:t>
      </w:r>
      <w:r>
        <w:rPr>
          <w:spacing w:val="-5"/>
        </w:rPr>
        <w:t> </w:t>
      </w:r>
      <w:r>
        <w:rPr>
          <w:spacing w:val="-2"/>
        </w:rPr>
        <w:t>such,</w:t>
      </w:r>
      <w:r>
        <w:rPr>
          <w:spacing w:val="-3"/>
        </w:rPr>
        <w:t> </w:t>
      </w:r>
      <w:r>
        <w:rPr>
          <w:spacing w:val="-2"/>
        </w:rPr>
        <w:t>we</w:t>
      </w:r>
      <w:r>
        <w:rPr>
          <w:spacing w:val="-5"/>
        </w:rPr>
        <w:t> </w:t>
      </w:r>
      <w:r>
        <w:rPr>
          <w:spacing w:val="-2"/>
        </w:rPr>
        <w:t>use</w:t>
      </w:r>
      <w:r>
        <w:rPr>
          <w:spacing w:val="-5"/>
        </w:rPr>
        <w:t> </w:t>
      </w:r>
      <w:r>
        <w:rPr>
          <w:spacing w:val="-2"/>
        </w:rPr>
        <w:t>BESP.</w:t>
      </w:r>
      <w:r>
        <w:rPr>
          <w:spacing w:val="-3"/>
        </w:rPr>
        <w:t> </w:t>
      </w:r>
      <w:r>
        <w:rPr>
          <w:spacing w:val="-2"/>
        </w:rPr>
        <w:t>BESP</w:t>
      </w:r>
      <w:r>
        <w:rPr>
          <w:spacing w:val="-11"/>
        </w:rPr>
        <w:t> </w:t>
      </w:r>
      <w:r>
        <w:rPr>
          <w:spacing w:val="-2"/>
        </w:rPr>
        <w:t>is</w:t>
      </w:r>
      <w:r>
        <w:rPr>
          <w:spacing w:val="-4"/>
        </w:rPr>
        <w:t> </w:t>
      </w:r>
      <w:r>
        <w:rPr>
          <w:spacing w:val="-2"/>
        </w:rPr>
        <w:t>generally </w:t>
      </w:r>
      <w:r>
        <w:rPr/>
        <w:t>used</w:t>
      </w:r>
      <w:r>
        <w:rPr>
          <w:spacing w:val="-13"/>
        </w:rPr>
        <w:t> </w:t>
      </w:r>
      <w:r>
        <w:rPr/>
        <w:t>for</w:t>
      </w:r>
      <w:r>
        <w:rPr>
          <w:spacing w:val="-12"/>
        </w:rPr>
        <w:t> </w:t>
      </w:r>
      <w:r>
        <w:rPr/>
        <w:t>offerings</w:t>
      </w:r>
      <w:r>
        <w:rPr>
          <w:spacing w:val="-13"/>
        </w:rPr>
        <w:t> </w:t>
      </w:r>
      <w:r>
        <w:rPr/>
        <w:t>that</w:t>
      </w:r>
      <w:r>
        <w:rPr>
          <w:spacing w:val="-12"/>
        </w:rPr>
        <w:t> </w:t>
      </w:r>
      <w:r>
        <w:rPr/>
        <w:t>are</w:t>
      </w:r>
      <w:r>
        <w:rPr>
          <w:spacing w:val="-12"/>
        </w:rPr>
        <w:t> </w:t>
      </w:r>
      <w:r>
        <w:rPr/>
        <w:t>not</w:t>
      </w:r>
      <w:r>
        <w:rPr>
          <w:spacing w:val="-13"/>
        </w:rPr>
        <w:t> </w:t>
      </w:r>
      <w:r>
        <w:rPr/>
        <w:t>typically</w:t>
      </w:r>
      <w:r>
        <w:rPr>
          <w:spacing w:val="-11"/>
        </w:rPr>
        <w:t> </w:t>
      </w:r>
      <w:r>
        <w:rPr/>
        <w:t>sold</w:t>
      </w:r>
      <w:r>
        <w:rPr>
          <w:spacing w:val="-12"/>
        </w:rPr>
        <w:t> </w:t>
      </w:r>
      <w:r>
        <w:rPr/>
        <w:t>on</w:t>
      </w:r>
      <w:r>
        <w:rPr>
          <w:spacing w:val="-12"/>
        </w:rPr>
        <w:t> </w:t>
      </w:r>
      <w:r>
        <w:rPr/>
        <w:t>a</w:t>
      </w:r>
      <w:r>
        <w:rPr>
          <w:spacing w:val="-13"/>
        </w:rPr>
        <w:t> </w:t>
      </w:r>
      <w:r>
        <w:rPr/>
        <w:t>stand-alone</w:t>
      </w:r>
      <w:r>
        <w:rPr>
          <w:spacing w:val="-12"/>
        </w:rPr>
        <w:t> </w:t>
      </w:r>
      <w:r>
        <w:rPr/>
        <w:t>basis</w:t>
      </w:r>
      <w:r>
        <w:rPr>
          <w:spacing w:val="-12"/>
        </w:rPr>
        <w:t> </w:t>
      </w:r>
      <w:r>
        <w:rPr/>
        <w:t>or</w:t>
      </w:r>
      <w:r>
        <w:rPr>
          <w:spacing w:val="-12"/>
        </w:rPr>
        <w:t> </w:t>
      </w:r>
      <w:r>
        <w:rPr/>
        <w:t>for</w:t>
      </w:r>
      <w:r>
        <w:rPr>
          <w:spacing w:val="-13"/>
        </w:rPr>
        <w:t> </w:t>
      </w:r>
      <w:r>
        <w:rPr/>
        <w:t>new</w:t>
      </w:r>
      <w:r>
        <w:rPr>
          <w:spacing w:val="-11"/>
        </w:rPr>
        <w:t> </w:t>
      </w:r>
      <w:r>
        <w:rPr/>
        <w:t>or</w:t>
      </w:r>
      <w:r>
        <w:rPr>
          <w:spacing w:val="-12"/>
        </w:rPr>
        <w:t> </w:t>
      </w:r>
      <w:r>
        <w:rPr/>
        <w:t>highly</w:t>
      </w:r>
      <w:r>
        <w:rPr>
          <w:spacing w:val="-13"/>
        </w:rPr>
        <w:t> </w:t>
      </w:r>
      <w:r>
        <w:rPr/>
        <w:t>customized</w:t>
      </w:r>
      <w:r>
        <w:rPr>
          <w:spacing w:val="-12"/>
        </w:rPr>
        <w:t> </w:t>
      </w:r>
      <w:r>
        <w:rPr/>
        <w:t>offerings.</w:t>
      </w:r>
      <w:r>
        <w:rPr>
          <w:spacing w:val="-13"/>
        </w:rPr>
        <w:t> </w:t>
      </w:r>
      <w:r>
        <w:rPr/>
        <w:t>We</w:t>
      </w:r>
      <w:r>
        <w:rPr>
          <w:spacing w:val="-12"/>
        </w:rPr>
        <w:t> </w:t>
      </w:r>
      <w:r>
        <w:rPr/>
        <w:t>determine</w:t>
      </w:r>
      <w:r>
        <w:rPr>
          <w:spacing w:val="-13"/>
        </w:rPr>
        <w:t> </w:t>
      </w:r>
      <w:r>
        <w:rPr/>
        <w:t>BESP for</w:t>
      </w:r>
      <w:r>
        <w:rPr>
          <w:spacing w:val="-13"/>
        </w:rPr>
        <w:t> </w:t>
      </w:r>
      <w:r>
        <w:rPr/>
        <w:t>a</w:t>
      </w:r>
      <w:r>
        <w:rPr>
          <w:spacing w:val="-12"/>
        </w:rPr>
        <w:t> </w:t>
      </w:r>
      <w:r>
        <w:rPr/>
        <w:t>product</w:t>
      </w:r>
      <w:r>
        <w:rPr>
          <w:spacing w:val="-13"/>
        </w:rPr>
        <w:t> </w:t>
      </w:r>
      <w:r>
        <w:rPr/>
        <w:t>or</w:t>
      </w:r>
      <w:r>
        <w:rPr>
          <w:spacing w:val="-12"/>
        </w:rPr>
        <w:t> </w:t>
      </w:r>
      <w:r>
        <w:rPr/>
        <w:t>service</w:t>
      </w:r>
      <w:r>
        <w:rPr>
          <w:spacing w:val="-13"/>
        </w:rPr>
        <w:t> </w:t>
      </w:r>
      <w:r>
        <w:rPr/>
        <w:t>by</w:t>
      </w:r>
      <w:r>
        <w:rPr>
          <w:spacing w:val="-12"/>
        </w:rPr>
        <w:t> </w:t>
      </w:r>
      <w:r>
        <w:rPr/>
        <w:t>considering</w:t>
      </w:r>
      <w:r>
        <w:rPr>
          <w:spacing w:val="-13"/>
        </w:rPr>
        <w:t> </w:t>
      </w:r>
      <w:r>
        <w:rPr/>
        <w:t>multiple</w:t>
      </w:r>
      <w:r>
        <w:rPr>
          <w:spacing w:val="-12"/>
        </w:rPr>
        <w:t> </w:t>
      </w:r>
      <w:r>
        <w:rPr/>
        <w:t>factors</w:t>
      </w:r>
      <w:r>
        <w:rPr>
          <w:spacing w:val="-13"/>
        </w:rPr>
        <w:t> </w:t>
      </w:r>
      <w:r>
        <w:rPr/>
        <w:t>including,</w:t>
      </w:r>
      <w:r>
        <w:rPr>
          <w:spacing w:val="-12"/>
        </w:rPr>
        <w:t> </w:t>
      </w:r>
      <w:r>
        <w:rPr/>
        <w:t>but</w:t>
      </w:r>
      <w:r>
        <w:rPr>
          <w:spacing w:val="-13"/>
        </w:rPr>
        <w:t> </w:t>
      </w:r>
      <w:r>
        <w:rPr/>
        <w:t>not</w:t>
      </w:r>
      <w:r>
        <w:rPr>
          <w:spacing w:val="-12"/>
        </w:rPr>
        <w:t> </w:t>
      </w:r>
      <w:r>
        <w:rPr/>
        <w:t>limited</w:t>
      </w:r>
      <w:r>
        <w:rPr>
          <w:spacing w:val="-13"/>
        </w:rPr>
        <w:t> </w:t>
      </w:r>
      <w:r>
        <w:rPr/>
        <w:t>to</w:t>
      </w:r>
      <w:r>
        <w:rPr>
          <w:spacing w:val="-12"/>
        </w:rPr>
        <w:t> </w:t>
      </w:r>
      <w:r>
        <w:rPr/>
        <w:t>major</w:t>
      </w:r>
      <w:r>
        <w:rPr>
          <w:spacing w:val="-13"/>
        </w:rPr>
        <w:t> </w:t>
      </w:r>
      <w:r>
        <w:rPr/>
        <w:t>product</w:t>
      </w:r>
      <w:r>
        <w:rPr>
          <w:spacing w:val="-12"/>
        </w:rPr>
        <w:t> </w:t>
      </w:r>
      <w:r>
        <w:rPr/>
        <w:t>groupings,</w:t>
      </w:r>
      <w:r>
        <w:rPr>
          <w:spacing w:val="-13"/>
        </w:rPr>
        <w:t> </w:t>
      </w:r>
      <w:r>
        <w:rPr/>
        <w:t>geographies,</w:t>
      </w:r>
      <w:r>
        <w:rPr>
          <w:spacing w:val="-12"/>
        </w:rPr>
        <w:t> </w:t>
      </w:r>
      <w:r>
        <w:rPr/>
        <w:t>market conditions, competitive landscape, internal costs, gross margin objectives and pricing practices. Pricing practices taken into consideration</w:t>
      </w:r>
      <w:r>
        <w:rPr>
          <w:spacing w:val="-13"/>
        </w:rPr>
        <w:t> </w:t>
      </w:r>
      <w:r>
        <w:rPr/>
        <w:t>include</w:t>
      </w:r>
      <w:r>
        <w:rPr>
          <w:spacing w:val="-12"/>
        </w:rPr>
        <w:t> </w:t>
      </w:r>
      <w:r>
        <w:rPr/>
        <w:t>historic</w:t>
      </w:r>
      <w:r>
        <w:rPr>
          <w:spacing w:val="-13"/>
        </w:rPr>
        <w:t> </w:t>
      </w:r>
      <w:r>
        <w:rPr/>
        <w:t>contractually</w:t>
      </w:r>
      <w:r>
        <w:rPr>
          <w:spacing w:val="-12"/>
        </w:rPr>
        <w:t> </w:t>
      </w:r>
      <w:r>
        <w:rPr/>
        <w:t>stated</w:t>
      </w:r>
      <w:r>
        <w:rPr>
          <w:spacing w:val="-13"/>
        </w:rPr>
        <w:t> </w:t>
      </w:r>
      <w:r>
        <w:rPr/>
        <w:t>prices,</w:t>
      </w:r>
      <w:r>
        <w:rPr>
          <w:spacing w:val="-12"/>
        </w:rPr>
        <w:t> </w:t>
      </w:r>
      <w:r>
        <w:rPr/>
        <w:t>volume</w:t>
      </w:r>
      <w:r>
        <w:rPr>
          <w:spacing w:val="-13"/>
        </w:rPr>
        <w:t> </w:t>
      </w:r>
      <w:r>
        <w:rPr/>
        <w:t>discounts</w:t>
      </w:r>
      <w:r>
        <w:rPr>
          <w:spacing w:val="-12"/>
        </w:rPr>
        <w:t> </w:t>
      </w:r>
      <w:r>
        <w:rPr/>
        <w:t>where</w:t>
      </w:r>
      <w:r>
        <w:rPr>
          <w:spacing w:val="-13"/>
        </w:rPr>
        <w:t> </w:t>
      </w:r>
      <w:r>
        <w:rPr/>
        <w:t>applicable</w:t>
      </w:r>
      <w:r>
        <w:rPr>
          <w:spacing w:val="-12"/>
        </w:rPr>
        <w:t> </w:t>
      </w:r>
      <w:r>
        <w:rPr/>
        <w:t>and</w:t>
      </w:r>
      <w:r>
        <w:rPr>
          <w:spacing w:val="-13"/>
        </w:rPr>
        <w:t> </w:t>
      </w:r>
      <w:r>
        <w:rPr/>
        <w:t>our</w:t>
      </w:r>
      <w:r>
        <w:rPr>
          <w:spacing w:val="-12"/>
        </w:rPr>
        <w:t> </w:t>
      </w:r>
      <w:r>
        <w:rPr/>
        <w:t>price</w:t>
      </w:r>
      <w:r>
        <w:rPr>
          <w:spacing w:val="-13"/>
        </w:rPr>
        <w:t> </w:t>
      </w:r>
      <w:r>
        <w:rPr/>
        <w:t>lists.</w:t>
      </w:r>
      <w:r>
        <w:rPr>
          <w:spacing w:val="-12"/>
        </w:rPr>
        <w:t> </w:t>
      </w:r>
      <w:r>
        <w:rPr/>
        <w:t>We</w:t>
      </w:r>
      <w:r>
        <w:rPr>
          <w:spacing w:val="-13"/>
        </w:rPr>
        <w:t> </w:t>
      </w:r>
      <w:r>
        <w:rPr/>
        <w:t>must</w:t>
      </w:r>
      <w:r>
        <w:rPr>
          <w:spacing w:val="-12"/>
        </w:rPr>
        <w:t> </w:t>
      </w:r>
      <w:r>
        <w:rPr/>
        <w:t>estimate certain royalty revenue amounts due to the timing of securing information from our customers. While we believe we can make reliable</w:t>
      </w:r>
      <w:r>
        <w:rPr>
          <w:spacing w:val="-13"/>
        </w:rPr>
        <w:t> </w:t>
      </w:r>
      <w:r>
        <w:rPr/>
        <w:t>estimates</w:t>
      </w:r>
      <w:r>
        <w:rPr>
          <w:spacing w:val="-12"/>
        </w:rPr>
        <w:t> </w:t>
      </w:r>
      <w:r>
        <w:rPr/>
        <w:t>regarding</w:t>
      </w:r>
      <w:r>
        <w:rPr>
          <w:spacing w:val="-12"/>
        </w:rPr>
        <w:t> </w:t>
      </w:r>
      <w:r>
        <w:rPr/>
        <w:t>these</w:t>
      </w:r>
      <w:r>
        <w:rPr>
          <w:spacing w:val="-11"/>
        </w:rPr>
        <w:t> </w:t>
      </w:r>
      <w:r>
        <w:rPr/>
        <w:t>matters,</w:t>
      </w:r>
      <w:r>
        <w:rPr>
          <w:spacing w:val="-10"/>
        </w:rPr>
        <w:t> </w:t>
      </w:r>
      <w:r>
        <w:rPr/>
        <w:t>these</w:t>
      </w:r>
      <w:r>
        <w:rPr>
          <w:spacing w:val="-11"/>
        </w:rPr>
        <w:t> </w:t>
      </w:r>
      <w:r>
        <w:rPr/>
        <w:t>estimates</w:t>
      </w:r>
      <w:r>
        <w:rPr>
          <w:spacing w:val="-10"/>
        </w:rPr>
        <w:t> </w:t>
      </w:r>
      <w:r>
        <w:rPr/>
        <w:t>are</w:t>
      </w:r>
      <w:r>
        <w:rPr>
          <w:spacing w:val="-10"/>
        </w:rPr>
        <w:t> </w:t>
      </w:r>
      <w:r>
        <w:rPr/>
        <w:t>inherently</w:t>
      </w:r>
      <w:r>
        <w:rPr>
          <w:spacing w:val="-10"/>
        </w:rPr>
        <w:t> </w:t>
      </w:r>
      <w:r>
        <w:rPr/>
        <w:t>subjective.</w:t>
      </w:r>
      <w:r>
        <w:rPr>
          <w:spacing w:val="-13"/>
        </w:rPr>
        <w:t> </w:t>
      </w:r>
      <w:r>
        <w:rPr/>
        <w:t>Accordingly,</w:t>
      </w:r>
      <w:r>
        <w:rPr>
          <w:spacing w:val="-10"/>
        </w:rPr>
        <w:t> </w:t>
      </w:r>
      <w:r>
        <w:rPr/>
        <w:t>our</w:t>
      </w:r>
      <w:r>
        <w:rPr>
          <w:spacing w:val="-10"/>
        </w:rPr>
        <w:t> </w:t>
      </w:r>
      <w:r>
        <w:rPr/>
        <w:t>assumptions</w:t>
      </w:r>
      <w:r>
        <w:rPr>
          <w:spacing w:val="-10"/>
        </w:rPr>
        <w:t> </w:t>
      </w:r>
      <w:r>
        <w:rPr/>
        <w:t>and</w:t>
      </w:r>
      <w:r>
        <w:rPr>
          <w:spacing w:val="-10"/>
        </w:rPr>
        <w:t> </w:t>
      </w:r>
      <w:r>
        <w:rPr/>
        <w:t>judgments regarding</w:t>
      </w:r>
      <w:r>
        <w:rPr>
          <w:spacing w:val="-7"/>
        </w:rPr>
        <w:t> </w:t>
      </w:r>
      <w:r>
        <w:rPr/>
        <w:t>future</w:t>
      </w:r>
      <w:r>
        <w:rPr>
          <w:spacing w:val="-7"/>
        </w:rPr>
        <w:t> </w:t>
      </w:r>
      <w:r>
        <w:rPr/>
        <w:t>products</w:t>
      </w:r>
      <w:r>
        <w:rPr>
          <w:spacing w:val="-7"/>
        </w:rPr>
        <w:t> </w:t>
      </w:r>
      <w:r>
        <w:rPr/>
        <w:t>and</w:t>
      </w:r>
      <w:r>
        <w:rPr>
          <w:spacing w:val="-7"/>
        </w:rPr>
        <w:t> </w:t>
      </w:r>
      <w:r>
        <w:rPr/>
        <w:t>services</w:t>
      </w:r>
      <w:r>
        <w:rPr>
          <w:spacing w:val="-7"/>
        </w:rPr>
        <w:t> </w:t>
      </w:r>
      <w:r>
        <w:rPr/>
        <w:t>as</w:t>
      </w:r>
      <w:r>
        <w:rPr>
          <w:spacing w:val="-7"/>
        </w:rPr>
        <w:t> </w:t>
      </w:r>
      <w:r>
        <w:rPr/>
        <w:t>well</w:t>
      </w:r>
      <w:r>
        <w:rPr>
          <w:spacing w:val="-7"/>
        </w:rPr>
        <w:t> </w:t>
      </w:r>
      <w:r>
        <w:rPr/>
        <w:t>as</w:t>
      </w:r>
      <w:r>
        <w:rPr>
          <w:spacing w:val="-7"/>
        </w:rPr>
        <w:t> </w:t>
      </w:r>
      <w:r>
        <w:rPr/>
        <w:t>our</w:t>
      </w:r>
      <w:r>
        <w:rPr>
          <w:spacing w:val="-7"/>
        </w:rPr>
        <w:t> </w:t>
      </w:r>
      <w:r>
        <w:rPr/>
        <w:t>estimates</w:t>
      </w:r>
      <w:r>
        <w:rPr>
          <w:spacing w:val="-7"/>
        </w:rPr>
        <w:t> </w:t>
      </w:r>
      <w:r>
        <w:rPr/>
        <w:t>of</w:t>
      </w:r>
      <w:r>
        <w:rPr>
          <w:spacing w:val="-7"/>
        </w:rPr>
        <w:t> </w:t>
      </w:r>
      <w:r>
        <w:rPr/>
        <w:t>royalty</w:t>
      </w:r>
      <w:r>
        <w:rPr>
          <w:spacing w:val="-7"/>
        </w:rPr>
        <w:t> </w:t>
      </w:r>
      <w:r>
        <w:rPr/>
        <w:t>revenue</w:t>
      </w:r>
      <w:r>
        <w:rPr>
          <w:spacing w:val="-7"/>
        </w:rPr>
        <w:t> </w:t>
      </w:r>
      <w:r>
        <w:rPr/>
        <w:t>could</w:t>
      </w:r>
      <w:r>
        <w:rPr>
          <w:spacing w:val="-7"/>
        </w:rPr>
        <w:t> </w:t>
      </w:r>
      <w:r>
        <w:rPr/>
        <w:t>differ</w:t>
      </w:r>
      <w:r>
        <w:rPr>
          <w:spacing w:val="-7"/>
        </w:rPr>
        <w:t> </w:t>
      </w:r>
      <w:r>
        <w:rPr/>
        <w:t>from</w:t>
      </w:r>
      <w:r>
        <w:rPr>
          <w:spacing w:val="-7"/>
        </w:rPr>
        <w:t> </w:t>
      </w:r>
      <w:r>
        <w:rPr/>
        <w:t>actual</w:t>
      </w:r>
      <w:r>
        <w:rPr>
          <w:spacing w:val="-7"/>
        </w:rPr>
        <w:t> </w:t>
      </w:r>
      <w:r>
        <w:rPr/>
        <w:t>events,</w:t>
      </w:r>
      <w:r>
        <w:rPr>
          <w:spacing w:val="-7"/>
        </w:rPr>
        <w:t> </w:t>
      </w:r>
      <w:r>
        <w:rPr/>
        <w:t>thus</w:t>
      </w:r>
      <w:r>
        <w:rPr>
          <w:spacing w:val="-7"/>
        </w:rPr>
        <w:t> </w:t>
      </w:r>
      <w:r>
        <w:rPr/>
        <w:t>materially impacting our financial position and results of operations.</w:t>
      </w:r>
    </w:p>
    <w:p>
      <w:pPr>
        <w:pStyle w:val="BodyText"/>
        <w:spacing w:before="17"/>
      </w:pPr>
    </w:p>
    <w:p>
      <w:pPr>
        <w:spacing w:before="0"/>
        <w:ind w:left="760" w:right="0" w:firstLine="0"/>
        <w:jc w:val="left"/>
        <w:rPr>
          <w:i/>
          <w:sz w:val="20"/>
        </w:rPr>
      </w:pPr>
      <w:r>
        <w:rPr>
          <w:i/>
          <w:sz w:val="20"/>
        </w:rPr>
        <w:t>Subscription</w:t>
      </w:r>
      <w:r>
        <w:rPr>
          <w:i/>
          <w:spacing w:val="-2"/>
          <w:sz w:val="20"/>
        </w:rPr>
        <w:t> </w:t>
      </w:r>
      <w:r>
        <w:rPr>
          <w:i/>
          <w:sz w:val="20"/>
        </w:rPr>
        <w:t>and</w:t>
      </w:r>
      <w:r>
        <w:rPr>
          <w:i/>
          <w:spacing w:val="-1"/>
          <w:sz w:val="20"/>
        </w:rPr>
        <w:t> </w:t>
      </w:r>
      <w:r>
        <w:rPr>
          <w:i/>
          <w:sz w:val="20"/>
        </w:rPr>
        <w:t>Services</w:t>
      </w:r>
      <w:r>
        <w:rPr>
          <w:i/>
          <w:spacing w:val="-3"/>
          <w:sz w:val="20"/>
        </w:rPr>
        <w:t> </w:t>
      </w:r>
      <w:r>
        <w:rPr>
          <w:i/>
          <w:sz w:val="20"/>
        </w:rPr>
        <w:t>and</w:t>
      </w:r>
      <w:r>
        <w:rPr>
          <w:i/>
          <w:spacing w:val="-1"/>
          <w:sz w:val="20"/>
        </w:rPr>
        <w:t> </w:t>
      </w:r>
      <w:r>
        <w:rPr>
          <w:i/>
          <w:sz w:val="20"/>
        </w:rPr>
        <w:t>Support</w:t>
      </w:r>
      <w:r>
        <w:rPr>
          <w:i/>
          <w:spacing w:val="-1"/>
          <w:sz w:val="20"/>
        </w:rPr>
        <w:t> </w:t>
      </w:r>
      <w:r>
        <w:rPr>
          <w:i/>
          <w:spacing w:val="-2"/>
          <w:sz w:val="20"/>
        </w:rPr>
        <w:t>Revenue</w:t>
      </w:r>
    </w:p>
    <w:p>
      <w:pPr>
        <w:pStyle w:val="BodyText"/>
        <w:spacing w:line="249" w:lineRule="auto" w:before="190"/>
        <w:ind w:left="220" w:right="257" w:firstLine="540"/>
        <w:jc w:val="both"/>
      </w:pPr>
      <w:r>
        <w:rPr/>
        <w:t>We</w:t>
      </w:r>
      <w:r>
        <w:rPr>
          <w:spacing w:val="-4"/>
        </w:rPr>
        <w:t> </w:t>
      </w:r>
      <w:r>
        <w:rPr/>
        <w:t>recognize</w:t>
      </w:r>
      <w:r>
        <w:rPr>
          <w:spacing w:val="-4"/>
        </w:rPr>
        <w:t> </w:t>
      </w:r>
      <w:r>
        <w:rPr/>
        <w:t>revenue</w:t>
      </w:r>
      <w:r>
        <w:rPr>
          <w:spacing w:val="-4"/>
        </w:rPr>
        <w:t> </w:t>
      </w:r>
      <w:r>
        <w:rPr/>
        <w:t>for</w:t>
      </w:r>
      <w:r>
        <w:rPr>
          <w:spacing w:val="-4"/>
        </w:rPr>
        <w:t> </w:t>
      </w:r>
      <w:r>
        <w:rPr/>
        <w:t>hosted</w:t>
      </w:r>
      <w:r>
        <w:rPr>
          <w:spacing w:val="-3"/>
        </w:rPr>
        <w:t> </w:t>
      </w:r>
      <w:r>
        <w:rPr/>
        <w:t>services</w:t>
      </w:r>
      <w:r>
        <w:rPr>
          <w:spacing w:val="-3"/>
        </w:rPr>
        <w:t> </w:t>
      </w:r>
      <w:r>
        <w:rPr/>
        <w:t>that</w:t>
      </w:r>
      <w:r>
        <w:rPr>
          <w:spacing w:val="-4"/>
        </w:rPr>
        <w:t> </w:t>
      </w:r>
      <w:r>
        <w:rPr/>
        <w:t>are</w:t>
      </w:r>
      <w:r>
        <w:rPr>
          <w:spacing w:val="-4"/>
        </w:rPr>
        <w:t> </w:t>
      </w:r>
      <w:r>
        <w:rPr/>
        <w:t>priced</w:t>
      </w:r>
      <w:r>
        <w:rPr>
          <w:spacing w:val="-4"/>
        </w:rPr>
        <w:t> </w:t>
      </w:r>
      <w:r>
        <w:rPr/>
        <w:t>based</w:t>
      </w:r>
      <w:r>
        <w:rPr>
          <w:spacing w:val="-4"/>
        </w:rPr>
        <w:t> </w:t>
      </w:r>
      <w:r>
        <w:rPr/>
        <w:t>on</w:t>
      </w:r>
      <w:r>
        <w:rPr>
          <w:spacing w:val="-3"/>
        </w:rPr>
        <w:t> </w:t>
      </w:r>
      <w:r>
        <w:rPr/>
        <w:t>a</w:t>
      </w:r>
      <w:r>
        <w:rPr>
          <w:spacing w:val="-4"/>
        </w:rPr>
        <w:t> </w:t>
      </w:r>
      <w:r>
        <w:rPr/>
        <w:t>committed</w:t>
      </w:r>
      <w:r>
        <w:rPr>
          <w:spacing w:val="-4"/>
        </w:rPr>
        <w:t> </w:t>
      </w:r>
      <w:r>
        <w:rPr/>
        <w:t>number</w:t>
      </w:r>
      <w:r>
        <w:rPr>
          <w:spacing w:val="-4"/>
        </w:rPr>
        <w:t> </w:t>
      </w:r>
      <w:r>
        <w:rPr/>
        <w:t>of</w:t>
      </w:r>
      <w:r>
        <w:rPr>
          <w:spacing w:val="-4"/>
        </w:rPr>
        <w:t> </w:t>
      </w:r>
      <w:r>
        <w:rPr/>
        <w:t>transactions,</w:t>
      </w:r>
      <w:r>
        <w:rPr>
          <w:spacing w:val="-4"/>
        </w:rPr>
        <w:t> </w:t>
      </w:r>
      <w:r>
        <w:rPr/>
        <w:t>ratably</w:t>
      </w:r>
      <w:r>
        <w:rPr>
          <w:spacing w:val="-4"/>
        </w:rPr>
        <w:t> </w:t>
      </w:r>
      <w:r>
        <w:rPr/>
        <w:t>beginning on</w:t>
      </w:r>
      <w:r>
        <w:rPr>
          <w:spacing w:val="-13"/>
        </w:rPr>
        <w:t> </w:t>
      </w:r>
      <w:r>
        <w:rPr/>
        <w:t>the</w:t>
      </w:r>
      <w:r>
        <w:rPr>
          <w:spacing w:val="-12"/>
        </w:rPr>
        <w:t> </w:t>
      </w:r>
      <w:r>
        <w:rPr/>
        <w:t>date</w:t>
      </w:r>
      <w:r>
        <w:rPr>
          <w:spacing w:val="-13"/>
        </w:rPr>
        <w:t> </w:t>
      </w:r>
      <w:r>
        <w:rPr/>
        <w:t>the</w:t>
      </w:r>
      <w:r>
        <w:rPr>
          <w:spacing w:val="-12"/>
        </w:rPr>
        <w:t> </w:t>
      </w:r>
      <w:r>
        <w:rPr/>
        <w:t>services</w:t>
      </w:r>
      <w:r>
        <w:rPr>
          <w:spacing w:val="-13"/>
        </w:rPr>
        <w:t> </w:t>
      </w:r>
      <w:r>
        <w:rPr/>
        <w:t>associated</w:t>
      </w:r>
      <w:r>
        <w:rPr>
          <w:spacing w:val="-12"/>
        </w:rPr>
        <w:t> </w:t>
      </w:r>
      <w:r>
        <w:rPr/>
        <w:t>with</w:t>
      </w:r>
      <w:r>
        <w:rPr>
          <w:spacing w:val="-13"/>
        </w:rPr>
        <w:t> </w:t>
      </w:r>
      <w:r>
        <w:rPr/>
        <w:t>the</w:t>
      </w:r>
      <w:r>
        <w:rPr>
          <w:spacing w:val="-12"/>
        </w:rPr>
        <w:t> </w:t>
      </w:r>
      <w:r>
        <w:rPr/>
        <w:t>committed</w:t>
      </w:r>
      <w:r>
        <w:rPr>
          <w:spacing w:val="-13"/>
        </w:rPr>
        <w:t> </w:t>
      </w:r>
      <w:r>
        <w:rPr/>
        <w:t>transactions</w:t>
      </w:r>
      <w:r>
        <w:rPr>
          <w:spacing w:val="-12"/>
        </w:rPr>
        <w:t> </w:t>
      </w:r>
      <w:r>
        <w:rPr/>
        <w:t>are</w:t>
      </w:r>
      <w:r>
        <w:rPr>
          <w:spacing w:val="-13"/>
        </w:rPr>
        <w:t> </w:t>
      </w:r>
      <w:r>
        <w:rPr/>
        <w:t>first</w:t>
      </w:r>
      <w:r>
        <w:rPr>
          <w:spacing w:val="-12"/>
        </w:rPr>
        <w:t> </w:t>
      </w:r>
      <w:r>
        <w:rPr/>
        <w:t>made</w:t>
      </w:r>
      <w:r>
        <w:rPr>
          <w:spacing w:val="-13"/>
        </w:rPr>
        <w:t> </w:t>
      </w:r>
      <w:r>
        <w:rPr/>
        <w:t>available</w:t>
      </w:r>
      <w:r>
        <w:rPr>
          <w:spacing w:val="-12"/>
        </w:rPr>
        <w:t> </w:t>
      </w:r>
      <w:r>
        <w:rPr/>
        <w:t>to</w:t>
      </w:r>
      <w:r>
        <w:rPr>
          <w:spacing w:val="-13"/>
        </w:rPr>
        <w:t> </w:t>
      </w:r>
      <w:r>
        <w:rPr/>
        <w:t>the</w:t>
      </w:r>
      <w:r>
        <w:rPr>
          <w:spacing w:val="-12"/>
        </w:rPr>
        <w:t> </w:t>
      </w:r>
      <w:r>
        <w:rPr/>
        <w:t>customer</w:t>
      </w:r>
      <w:r>
        <w:rPr>
          <w:spacing w:val="-13"/>
        </w:rPr>
        <w:t> </w:t>
      </w:r>
      <w:r>
        <w:rPr/>
        <w:t>and</w:t>
      </w:r>
      <w:r>
        <w:rPr>
          <w:spacing w:val="-12"/>
        </w:rPr>
        <w:t> </w:t>
      </w:r>
      <w:r>
        <w:rPr/>
        <w:t>continuing</w:t>
      </w:r>
      <w:r>
        <w:rPr>
          <w:spacing w:val="-13"/>
        </w:rPr>
        <w:t> </w:t>
      </w:r>
      <w:r>
        <w:rPr/>
        <w:t>through the end of the contractual service term. Over-usage fees, and fees billed based on the actual number of transactions from which </w:t>
      </w:r>
      <w:r>
        <w:rPr>
          <w:spacing w:val="-2"/>
        </w:rPr>
        <w:t>we</w:t>
      </w:r>
      <w:r>
        <w:rPr>
          <w:spacing w:val="-5"/>
        </w:rPr>
        <w:t> </w:t>
      </w:r>
      <w:r>
        <w:rPr>
          <w:spacing w:val="-2"/>
        </w:rPr>
        <w:t>capture</w:t>
      </w:r>
      <w:r>
        <w:rPr>
          <w:spacing w:val="-5"/>
        </w:rPr>
        <w:t> </w:t>
      </w:r>
      <w:r>
        <w:rPr>
          <w:spacing w:val="-2"/>
        </w:rPr>
        <w:t>data,</w:t>
      </w:r>
      <w:r>
        <w:rPr>
          <w:spacing w:val="-5"/>
        </w:rPr>
        <w:t> </w:t>
      </w:r>
      <w:r>
        <w:rPr>
          <w:spacing w:val="-2"/>
        </w:rPr>
        <w:t>are</w:t>
      </w:r>
      <w:r>
        <w:rPr>
          <w:spacing w:val="-5"/>
        </w:rPr>
        <w:t> </w:t>
      </w:r>
      <w:r>
        <w:rPr>
          <w:spacing w:val="-2"/>
        </w:rPr>
        <w:t>billed</w:t>
      </w:r>
      <w:r>
        <w:rPr>
          <w:spacing w:val="-5"/>
        </w:rPr>
        <w:t> </w:t>
      </w:r>
      <w:r>
        <w:rPr>
          <w:spacing w:val="-2"/>
        </w:rPr>
        <w:t>in</w:t>
      </w:r>
      <w:r>
        <w:rPr>
          <w:spacing w:val="-5"/>
        </w:rPr>
        <w:t> </w:t>
      </w:r>
      <w:r>
        <w:rPr>
          <w:spacing w:val="-2"/>
        </w:rPr>
        <w:t>accordance</w:t>
      </w:r>
      <w:r>
        <w:rPr>
          <w:spacing w:val="-5"/>
        </w:rPr>
        <w:t> </w:t>
      </w:r>
      <w:r>
        <w:rPr>
          <w:spacing w:val="-2"/>
        </w:rPr>
        <w:t>with</w:t>
      </w:r>
      <w:r>
        <w:rPr>
          <w:spacing w:val="-5"/>
        </w:rPr>
        <w:t> </w:t>
      </w:r>
      <w:r>
        <w:rPr>
          <w:spacing w:val="-2"/>
        </w:rPr>
        <w:t>contract</w:t>
      </w:r>
      <w:r>
        <w:rPr>
          <w:spacing w:val="-5"/>
        </w:rPr>
        <w:t> </w:t>
      </w:r>
      <w:r>
        <w:rPr>
          <w:spacing w:val="-2"/>
        </w:rPr>
        <w:t>terms</w:t>
      </w:r>
      <w:r>
        <w:rPr>
          <w:spacing w:val="-5"/>
        </w:rPr>
        <w:t> </w:t>
      </w:r>
      <w:r>
        <w:rPr>
          <w:spacing w:val="-2"/>
        </w:rPr>
        <w:t>as</w:t>
      </w:r>
      <w:r>
        <w:rPr>
          <w:spacing w:val="-5"/>
        </w:rPr>
        <w:t> </w:t>
      </w:r>
      <w:r>
        <w:rPr>
          <w:spacing w:val="-2"/>
        </w:rPr>
        <w:t>these</w:t>
      </w:r>
      <w:r>
        <w:rPr>
          <w:spacing w:val="-5"/>
        </w:rPr>
        <w:t> </w:t>
      </w:r>
      <w:r>
        <w:rPr>
          <w:spacing w:val="-2"/>
        </w:rPr>
        <w:t>fees</w:t>
      </w:r>
      <w:r>
        <w:rPr>
          <w:spacing w:val="-5"/>
        </w:rPr>
        <w:t> </w:t>
      </w:r>
      <w:r>
        <w:rPr>
          <w:spacing w:val="-2"/>
        </w:rPr>
        <w:t>are</w:t>
      </w:r>
      <w:r>
        <w:rPr>
          <w:spacing w:val="-5"/>
        </w:rPr>
        <w:t> </w:t>
      </w:r>
      <w:r>
        <w:rPr>
          <w:spacing w:val="-2"/>
        </w:rPr>
        <w:t>incurred.</w:t>
      </w:r>
      <w:r>
        <w:rPr>
          <w:spacing w:val="-9"/>
        </w:rPr>
        <w:t> </w:t>
      </w:r>
      <w:r>
        <w:rPr>
          <w:spacing w:val="-2"/>
        </w:rPr>
        <w:t>We</w:t>
      </w:r>
      <w:r>
        <w:rPr>
          <w:spacing w:val="-5"/>
        </w:rPr>
        <w:t> </w:t>
      </w:r>
      <w:r>
        <w:rPr>
          <w:spacing w:val="-2"/>
        </w:rPr>
        <w:t>record</w:t>
      </w:r>
      <w:r>
        <w:rPr>
          <w:spacing w:val="-5"/>
        </w:rPr>
        <w:t> </w:t>
      </w:r>
      <w:r>
        <w:rPr>
          <w:spacing w:val="-2"/>
        </w:rPr>
        <w:t>amounts</w:t>
      </w:r>
      <w:r>
        <w:rPr>
          <w:spacing w:val="-5"/>
        </w:rPr>
        <w:t> </w:t>
      </w:r>
      <w:r>
        <w:rPr>
          <w:spacing w:val="-2"/>
        </w:rPr>
        <w:t>that</w:t>
      </w:r>
      <w:r>
        <w:rPr>
          <w:spacing w:val="-5"/>
        </w:rPr>
        <w:t> </w:t>
      </w:r>
      <w:r>
        <w:rPr>
          <w:spacing w:val="-2"/>
        </w:rPr>
        <w:t>have</w:t>
      </w:r>
      <w:r>
        <w:rPr>
          <w:spacing w:val="-5"/>
        </w:rPr>
        <w:t> </w:t>
      </w:r>
      <w:r>
        <w:rPr>
          <w:spacing w:val="-2"/>
        </w:rPr>
        <w:t>been</w:t>
      </w:r>
      <w:r>
        <w:rPr>
          <w:spacing w:val="-5"/>
        </w:rPr>
        <w:t> </w:t>
      </w:r>
      <w:r>
        <w:rPr>
          <w:spacing w:val="-2"/>
        </w:rPr>
        <w:t>invoiced </w:t>
      </w:r>
      <w:r>
        <w:rPr/>
        <w:t>in</w:t>
      </w:r>
      <w:r>
        <w:rPr>
          <w:spacing w:val="-5"/>
        </w:rPr>
        <w:t> </w:t>
      </w:r>
      <w:r>
        <w:rPr/>
        <w:t>accounts</w:t>
      </w:r>
      <w:r>
        <w:rPr>
          <w:spacing w:val="-2"/>
        </w:rPr>
        <w:t> </w:t>
      </w:r>
      <w:r>
        <w:rPr/>
        <w:t>receivable</w:t>
      </w:r>
      <w:r>
        <w:rPr>
          <w:spacing w:val="-3"/>
        </w:rPr>
        <w:t> </w:t>
      </w:r>
      <w:r>
        <w:rPr/>
        <w:t>and</w:t>
      </w:r>
      <w:r>
        <w:rPr>
          <w:spacing w:val="-2"/>
        </w:rPr>
        <w:t> </w:t>
      </w:r>
      <w:r>
        <w:rPr/>
        <w:t>in</w:t>
      </w:r>
      <w:r>
        <w:rPr>
          <w:spacing w:val="-2"/>
        </w:rPr>
        <w:t> </w:t>
      </w:r>
      <w:r>
        <w:rPr/>
        <w:t>deferred</w:t>
      </w:r>
      <w:r>
        <w:rPr>
          <w:spacing w:val="-3"/>
        </w:rPr>
        <w:t> </w:t>
      </w:r>
      <w:r>
        <w:rPr/>
        <w:t>revenue</w:t>
      </w:r>
      <w:r>
        <w:rPr>
          <w:spacing w:val="-2"/>
        </w:rPr>
        <w:t> </w:t>
      </w:r>
      <w:r>
        <w:rPr/>
        <w:t>or</w:t>
      </w:r>
      <w:r>
        <w:rPr>
          <w:spacing w:val="-3"/>
        </w:rPr>
        <w:t> </w:t>
      </w:r>
      <w:r>
        <w:rPr/>
        <w:t>revenue,</w:t>
      </w:r>
      <w:r>
        <w:rPr>
          <w:spacing w:val="-2"/>
        </w:rPr>
        <w:t> </w:t>
      </w:r>
      <w:r>
        <w:rPr/>
        <w:t>depending</w:t>
      </w:r>
      <w:r>
        <w:rPr>
          <w:spacing w:val="-2"/>
        </w:rPr>
        <w:t> </w:t>
      </w:r>
      <w:r>
        <w:rPr/>
        <w:t>on</w:t>
      </w:r>
      <w:r>
        <w:rPr>
          <w:spacing w:val="-3"/>
        </w:rPr>
        <w:t> </w:t>
      </w:r>
      <w:r>
        <w:rPr/>
        <w:t>whether</w:t>
      </w:r>
      <w:r>
        <w:rPr>
          <w:spacing w:val="-2"/>
        </w:rPr>
        <w:t> </w:t>
      </w:r>
      <w:r>
        <w:rPr/>
        <w:t>all</w:t>
      </w:r>
      <w:r>
        <w:rPr>
          <w:spacing w:val="-3"/>
        </w:rPr>
        <w:t> </w:t>
      </w:r>
      <w:r>
        <w:rPr/>
        <w:t>revenue</w:t>
      </w:r>
      <w:r>
        <w:rPr>
          <w:spacing w:val="-2"/>
        </w:rPr>
        <w:t> </w:t>
      </w:r>
      <w:r>
        <w:rPr/>
        <w:t>recognition</w:t>
      </w:r>
      <w:r>
        <w:rPr>
          <w:spacing w:val="-2"/>
        </w:rPr>
        <w:t> </w:t>
      </w:r>
      <w:r>
        <w:rPr/>
        <w:t>criteria</w:t>
      </w:r>
      <w:r>
        <w:rPr>
          <w:spacing w:val="-3"/>
        </w:rPr>
        <w:t> </w:t>
      </w:r>
      <w:r>
        <w:rPr/>
        <w:t>have</w:t>
      </w:r>
      <w:r>
        <w:rPr>
          <w:spacing w:val="-2"/>
        </w:rPr>
        <w:t> </w:t>
      </w:r>
      <w:r>
        <w:rPr/>
        <w:t>been</w:t>
      </w:r>
      <w:r>
        <w:rPr>
          <w:spacing w:val="-2"/>
        </w:rPr>
        <w:t> </w:t>
      </w:r>
      <w:r>
        <w:rPr>
          <w:spacing w:val="-4"/>
        </w:rPr>
        <w:t>met.</w:t>
      </w:r>
    </w:p>
    <w:p>
      <w:pPr>
        <w:spacing w:after="0" w:line="249" w:lineRule="auto"/>
        <w:jc w:val="both"/>
        <w:sectPr>
          <w:headerReference w:type="default" r:id="rId32"/>
          <w:footerReference w:type="default" r:id="rId33"/>
          <w:pgSz w:w="12240" w:h="15840"/>
          <w:pgMar w:header="210" w:footer="610" w:top="1380" w:bottom="800" w:left="780" w:right="740"/>
        </w:sectPr>
      </w:pPr>
    </w:p>
    <w:p>
      <w:pPr>
        <w:pStyle w:val="BodyText"/>
      </w:pPr>
    </w:p>
    <w:p>
      <w:pPr>
        <w:pStyle w:val="BodyText"/>
      </w:pPr>
    </w:p>
    <w:p>
      <w:pPr>
        <w:pStyle w:val="BodyText"/>
        <w:spacing w:before="30"/>
      </w:pPr>
    </w:p>
    <w:p>
      <w:pPr>
        <w:pStyle w:val="BodyText"/>
        <w:spacing w:line="249" w:lineRule="auto"/>
        <w:ind w:left="220" w:right="257" w:firstLine="540"/>
        <w:jc w:val="both"/>
      </w:pPr>
      <w:r>
        <w:rPr/>
        <w:t>Our services and support revenue is composed of consulting, training, and maintenance and support, primarily related to the</w:t>
      </w:r>
      <w:r>
        <w:rPr>
          <w:spacing w:val="-11"/>
        </w:rPr>
        <w:t> </w:t>
      </w:r>
      <w:r>
        <w:rPr/>
        <w:t>licensing</w:t>
      </w:r>
      <w:r>
        <w:rPr>
          <w:spacing w:val="-11"/>
        </w:rPr>
        <w:t> </w:t>
      </w:r>
      <w:r>
        <w:rPr/>
        <w:t>of</w:t>
      </w:r>
      <w:r>
        <w:rPr>
          <w:spacing w:val="-11"/>
        </w:rPr>
        <w:t> </w:t>
      </w:r>
      <w:r>
        <w:rPr/>
        <w:t>our</w:t>
      </w:r>
      <w:r>
        <w:rPr>
          <w:spacing w:val="-11"/>
        </w:rPr>
        <w:t> </w:t>
      </w:r>
      <w:r>
        <w:rPr/>
        <w:t>enterprise,</w:t>
      </w:r>
      <w:r>
        <w:rPr>
          <w:spacing w:val="-11"/>
        </w:rPr>
        <w:t> </w:t>
      </w:r>
      <w:r>
        <w:rPr/>
        <w:t>mobile</w:t>
      </w:r>
      <w:r>
        <w:rPr>
          <w:spacing w:val="-11"/>
        </w:rPr>
        <w:t> </w:t>
      </w:r>
      <w:r>
        <w:rPr/>
        <w:t>and</w:t>
      </w:r>
      <w:r>
        <w:rPr>
          <w:spacing w:val="-11"/>
        </w:rPr>
        <w:t> </w:t>
      </w:r>
      <w:r>
        <w:rPr/>
        <w:t>device</w:t>
      </w:r>
      <w:r>
        <w:rPr>
          <w:spacing w:val="-12"/>
        </w:rPr>
        <w:t> </w:t>
      </w:r>
      <w:r>
        <w:rPr/>
        <w:t>products</w:t>
      </w:r>
      <w:r>
        <w:rPr>
          <w:spacing w:val="-11"/>
        </w:rPr>
        <w:t> </w:t>
      </w:r>
      <w:r>
        <w:rPr/>
        <w:t>and</w:t>
      </w:r>
      <w:r>
        <w:rPr>
          <w:spacing w:val="-11"/>
        </w:rPr>
        <w:t> </w:t>
      </w:r>
      <w:r>
        <w:rPr/>
        <w:t>solutions.</w:t>
      </w:r>
      <w:r>
        <w:rPr>
          <w:spacing w:val="-11"/>
        </w:rPr>
        <w:t> </w:t>
      </w:r>
      <w:r>
        <w:rPr/>
        <w:t>Our</w:t>
      </w:r>
      <w:r>
        <w:rPr>
          <w:spacing w:val="-11"/>
        </w:rPr>
        <w:t> </w:t>
      </w:r>
      <w:r>
        <w:rPr/>
        <w:t>support</w:t>
      </w:r>
      <w:r>
        <w:rPr>
          <w:spacing w:val="-11"/>
        </w:rPr>
        <w:t> </w:t>
      </w:r>
      <w:r>
        <w:rPr/>
        <w:t>revenue</w:t>
      </w:r>
      <w:r>
        <w:rPr>
          <w:spacing w:val="-12"/>
        </w:rPr>
        <w:t> </w:t>
      </w:r>
      <w:r>
        <w:rPr/>
        <w:t>also</w:t>
      </w:r>
      <w:r>
        <w:rPr>
          <w:spacing w:val="-11"/>
        </w:rPr>
        <w:t> </w:t>
      </w:r>
      <w:r>
        <w:rPr/>
        <w:t>includes</w:t>
      </w:r>
      <w:r>
        <w:rPr>
          <w:spacing w:val="-11"/>
        </w:rPr>
        <w:t> </w:t>
      </w:r>
      <w:r>
        <w:rPr/>
        <w:t>technical</w:t>
      </w:r>
      <w:r>
        <w:rPr>
          <w:spacing w:val="-11"/>
        </w:rPr>
        <w:t> </w:t>
      </w:r>
      <w:r>
        <w:rPr/>
        <w:t>support</w:t>
      </w:r>
      <w:r>
        <w:rPr>
          <w:spacing w:val="-11"/>
        </w:rPr>
        <w:t> </w:t>
      </w:r>
      <w:r>
        <w:rPr/>
        <w:t>and developer support to partners and developer organizations related to our desktop products.</w:t>
      </w:r>
    </w:p>
    <w:p>
      <w:pPr>
        <w:pStyle w:val="BodyText"/>
        <w:spacing w:line="249" w:lineRule="auto" w:before="182"/>
        <w:ind w:left="220" w:right="257" w:firstLine="540"/>
        <w:jc w:val="both"/>
      </w:pPr>
      <w:r>
        <w:rPr/>
        <w:t>Our</w:t>
      </w:r>
      <w:r>
        <w:rPr>
          <w:spacing w:val="-3"/>
        </w:rPr>
        <w:t> </w:t>
      </w:r>
      <w:r>
        <w:rPr/>
        <w:t>consulting</w:t>
      </w:r>
      <w:r>
        <w:rPr>
          <w:spacing w:val="-3"/>
        </w:rPr>
        <w:t> </w:t>
      </w:r>
      <w:r>
        <w:rPr/>
        <w:t>revenue</w:t>
      </w:r>
      <w:r>
        <w:rPr>
          <w:spacing w:val="-3"/>
        </w:rPr>
        <w:t> </w:t>
      </w:r>
      <w:r>
        <w:rPr/>
        <w:t>is</w:t>
      </w:r>
      <w:r>
        <w:rPr>
          <w:spacing w:val="-3"/>
        </w:rPr>
        <w:t> </w:t>
      </w:r>
      <w:r>
        <w:rPr/>
        <w:t>recognized</w:t>
      </w:r>
      <w:r>
        <w:rPr>
          <w:spacing w:val="-3"/>
        </w:rPr>
        <w:t> </w:t>
      </w:r>
      <w:r>
        <w:rPr/>
        <w:t>using</w:t>
      </w:r>
      <w:r>
        <w:rPr>
          <w:spacing w:val="-3"/>
        </w:rPr>
        <w:t> </w:t>
      </w:r>
      <w:r>
        <w:rPr/>
        <w:t>a</w:t>
      </w:r>
      <w:r>
        <w:rPr>
          <w:spacing w:val="-3"/>
        </w:rPr>
        <w:t> </w:t>
      </w:r>
      <w:r>
        <w:rPr/>
        <w:t>time</w:t>
      </w:r>
      <w:r>
        <w:rPr>
          <w:spacing w:val="-3"/>
        </w:rPr>
        <w:t> </w:t>
      </w:r>
      <w:r>
        <w:rPr/>
        <w:t>and</w:t>
      </w:r>
      <w:r>
        <w:rPr>
          <w:spacing w:val="-3"/>
        </w:rPr>
        <w:t> </w:t>
      </w:r>
      <w:r>
        <w:rPr/>
        <w:t>materials</w:t>
      </w:r>
      <w:r>
        <w:rPr>
          <w:spacing w:val="-2"/>
        </w:rPr>
        <w:t> </w:t>
      </w:r>
      <w:r>
        <w:rPr/>
        <w:t>basis</w:t>
      </w:r>
      <w:r>
        <w:rPr>
          <w:spacing w:val="-3"/>
        </w:rPr>
        <w:t> </w:t>
      </w:r>
      <w:r>
        <w:rPr/>
        <w:t>and</w:t>
      </w:r>
      <w:r>
        <w:rPr>
          <w:spacing w:val="-3"/>
        </w:rPr>
        <w:t> </w:t>
      </w:r>
      <w:r>
        <w:rPr/>
        <w:t>is</w:t>
      </w:r>
      <w:r>
        <w:rPr>
          <w:spacing w:val="-2"/>
        </w:rPr>
        <w:t> </w:t>
      </w:r>
      <w:r>
        <w:rPr/>
        <w:t>measured</w:t>
      </w:r>
      <w:r>
        <w:rPr>
          <w:spacing w:val="-3"/>
        </w:rPr>
        <w:t> </w:t>
      </w:r>
      <w:r>
        <w:rPr/>
        <w:t>monthly</w:t>
      </w:r>
      <w:r>
        <w:rPr>
          <w:spacing w:val="-3"/>
        </w:rPr>
        <w:t> </w:t>
      </w:r>
      <w:r>
        <w:rPr/>
        <w:t>based</w:t>
      </w:r>
      <w:r>
        <w:rPr>
          <w:spacing w:val="-3"/>
        </w:rPr>
        <w:t> </w:t>
      </w:r>
      <w:r>
        <w:rPr/>
        <w:t>on</w:t>
      </w:r>
      <w:r>
        <w:rPr>
          <w:spacing w:val="-3"/>
        </w:rPr>
        <w:t> </w:t>
      </w:r>
      <w:r>
        <w:rPr/>
        <w:t>input</w:t>
      </w:r>
      <w:r>
        <w:rPr>
          <w:spacing w:val="-3"/>
        </w:rPr>
        <w:t> </w:t>
      </w:r>
      <w:r>
        <w:rPr/>
        <w:t>measures, such as hours incurred to date, with consideration given to output measures, such as contract milestones when applicable.</w:t>
      </w:r>
    </w:p>
    <w:p>
      <w:pPr>
        <w:pStyle w:val="BodyText"/>
        <w:spacing w:line="249" w:lineRule="auto" w:before="182"/>
        <w:ind w:left="220" w:right="257" w:firstLine="540"/>
        <w:jc w:val="both"/>
      </w:pPr>
      <w:r>
        <w:rPr/>
        <w:t>Our</w:t>
      </w:r>
      <w:r>
        <w:rPr>
          <w:spacing w:val="-9"/>
        </w:rPr>
        <w:t> </w:t>
      </w:r>
      <w:r>
        <w:rPr/>
        <w:t>maintenance</w:t>
      </w:r>
      <w:r>
        <w:rPr>
          <w:spacing w:val="-9"/>
        </w:rPr>
        <w:t> </w:t>
      </w:r>
      <w:r>
        <w:rPr/>
        <w:t>and</w:t>
      </w:r>
      <w:r>
        <w:rPr>
          <w:spacing w:val="-9"/>
        </w:rPr>
        <w:t> </w:t>
      </w:r>
      <w:r>
        <w:rPr/>
        <w:t>support</w:t>
      </w:r>
      <w:r>
        <w:rPr>
          <w:spacing w:val="-9"/>
        </w:rPr>
        <w:t> </w:t>
      </w:r>
      <w:r>
        <w:rPr/>
        <w:t>offerings,</w:t>
      </w:r>
      <w:r>
        <w:rPr>
          <w:spacing w:val="-9"/>
        </w:rPr>
        <w:t> </w:t>
      </w:r>
      <w:r>
        <w:rPr/>
        <w:t>which</w:t>
      </w:r>
      <w:r>
        <w:rPr>
          <w:spacing w:val="-9"/>
        </w:rPr>
        <w:t> </w:t>
      </w:r>
      <w:r>
        <w:rPr/>
        <w:t>entitle</w:t>
      </w:r>
      <w:r>
        <w:rPr>
          <w:spacing w:val="-9"/>
        </w:rPr>
        <w:t> </w:t>
      </w:r>
      <w:r>
        <w:rPr/>
        <w:t>customers</w:t>
      </w:r>
      <w:r>
        <w:rPr>
          <w:spacing w:val="-9"/>
        </w:rPr>
        <w:t> </w:t>
      </w:r>
      <w:r>
        <w:rPr/>
        <w:t>to</w:t>
      </w:r>
      <w:r>
        <w:rPr>
          <w:spacing w:val="-9"/>
        </w:rPr>
        <w:t> </w:t>
      </w:r>
      <w:r>
        <w:rPr/>
        <w:t>receive</w:t>
      </w:r>
      <w:r>
        <w:rPr>
          <w:spacing w:val="-9"/>
        </w:rPr>
        <w:t> </w:t>
      </w:r>
      <w:r>
        <w:rPr/>
        <w:t>product</w:t>
      </w:r>
      <w:r>
        <w:rPr>
          <w:spacing w:val="-9"/>
        </w:rPr>
        <w:t> </w:t>
      </w:r>
      <w:r>
        <w:rPr/>
        <w:t>upgrades</w:t>
      </w:r>
      <w:r>
        <w:rPr>
          <w:spacing w:val="-9"/>
        </w:rPr>
        <w:t> </w:t>
      </w:r>
      <w:r>
        <w:rPr/>
        <w:t>and</w:t>
      </w:r>
      <w:r>
        <w:rPr>
          <w:spacing w:val="-9"/>
        </w:rPr>
        <w:t> </w:t>
      </w:r>
      <w:r>
        <w:rPr/>
        <w:t>enhancements</w:t>
      </w:r>
      <w:r>
        <w:rPr>
          <w:spacing w:val="-9"/>
        </w:rPr>
        <w:t> </w:t>
      </w:r>
      <w:r>
        <w:rPr/>
        <w:t>on</w:t>
      </w:r>
      <w:r>
        <w:rPr>
          <w:spacing w:val="-9"/>
        </w:rPr>
        <w:t> </w:t>
      </w:r>
      <w:r>
        <w:rPr/>
        <w:t>a</w:t>
      </w:r>
      <w:r>
        <w:rPr>
          <w:spacing w:val="-9"/>
        </w:rPr>
        <w:t> </w:t>
      </w:r>
      <w:r>
        <w:rPr/>
        <w:t>when and if available</w:t>
      </w:r>
      <w:r>
        <w:rPr>
          <w:spacing w:val="-1"/>
        </w:rPr>
        <w:t> </w:t>
      </w:r>
      <w:r>
        <w:rPr/>
        <w:t>basis or technical</w:t>
      </w:r>
      <w:r>
        <w:rPr>
          <w:spacing w:val="-1"/>
        </w:rPr>
        <w:t> </w:t>
      </w:r>
      <w:r>
        <w:rPr/>
        <w:t>support, depending on the offering, are recognized ratably over the performance period of the </w:t>
      </w:r>
      <w:r>
        <w:rPr>
          <w:spacing w:val="-2"/>
        </w:rPr>
        <w:t>arrangement.</w:t>
      </w:r>
    </w:p>
    <w:p>
      <w:pPr>
        <w:pStyle w:val="BodyText"/>
        <w:spacing w:line="249" w:lineRule="auto" w:before="182"/>
        <w:ind w:left="220" w:right="257" w:firstLine="540"/>
        <w:jc w:val="both"/>
      </w:pPr>
      <w:r>
        <w:rPr/>
        <w:t>Our software subscription offerings, which may include product upgrades and enhancements on a when and if available basis,</w:t>
      </w:r>
      <w:r>
        <w:rPr>
          <w:spacing w:val="-9"/>
        </w:rPr>
        <w:t> </w:t>
      </w:r>
      <w:r>
        <w:rPr/>
        <w:t>hosted</w:t>
      </w:r>
      <w:r>
        <w:rPr>
          <w:spacing w:val="-9"/>
        </w:rPr>
        <w:t> </w:t>
      </w:r>
      <w:r>
        <w:rPr/>
        <w:t>services,</w:t>
      </w:r>
      <w:r>
        <w:rPr>
          <w:spacing w:val="-9"/>
        </w:rPr>
        <w:t> </w:t>
      </w:r>
      <w:r>
        <w:rPr/>
        <w:t>and</w:t>
      </w:r>
      <w:r>
        <w:rPr>
          <w:spacing w:val="-9"/>
        </w:rPr>
        <w:t> </w:t>
      </w:r>
      <w:r>
        <w:rPr/>
        <w:t>online</w:t>
      </w:r>
      <w:r>
        <w:rPr>
          <w:spacing w:val="-10"/>
        </w:rPr>
        <w:t> </w:t>
      </w:r>
      <w:r>
        <w:rPr/>
        <w:t>storage,</w:t>
      </w:r>
      <w:r>
        <w:rPr>
          <w:spacing w:val="-9"/>
        </w:rPr>
        <w:t> </w:t>
      </w:r>
      <w:r>
        <w:rPr/>
        <w:t>are</w:t>
      </w:r>
      <w:r>
        <w:rPr>
          <w:spacing w:val="-9"/>
        </w:rPr>
        <w:t> </w:t>
      </w:r>
      <w:r>
        <w:rPr/>
        <w:t>generally</w:t>
      </w:r>
      <w:r>
        <w:rPr>
          <w:spacing w:val="-9"/>
        </w:rPr>
        <w:t> </w:t>
      </w:r>
      <w:r>
        <w:rPr/>
        <w:t>offered</w:t>
      </w:r>
      <w:r>
        <w:rPr>
          <w:spacing w:val="-9"/>
        </w:rPr>
        <w:t> </w:t>
      </w:r>
      <w:r>
        <w:rPr/>
        <w:t>to</w:t>
      </w:r>
      <w:r>
        <w:rPr>
          <w:spacing w:val="-9"/>
        </w:rPr>
        <w:t> </w:t>
      </w:r>
      <w:r>
        <w:rPr/>
        <w:t>our</w:t>
      </w:r>
      <w:r>
        <w:rPr>
          <w:spacing w:val="-9"/>
        </w:rPr>
        <w:t> </w:t>
      </w:r>
      <w:r>
        <w:rPr/>
        <w:t>customers</w:t>
      </w:r>
      <w:r>
        <w:rPr>
          <w:spacing w:val="-9"/>
        </w:rPr>
        <w:t> </w:t>
      </w:r>
      <w:r>
        <w:rPr/>
        <w:t>over</w:t>
      </w:r>
      <w:r>
        <w:rPr>
          <w:spacing w:val="-9"/>
        </w:rPr>
        <w:t> </w:t>
      </w:r>
      <w:r>
        <w:rPr/>
        <w:t>a</w:t>
      </w:r>
      <w:r>
        <w:rPr>
          <w:spacing w:val="-9"/>
        </w:rPr>
        <w:t> </w:t>
      </w:r>
      <w:r>
        <w:rPr/>
        <w:t>specified</w:t>
      </w:r>
      <w:r>
        <w:rPr>
          <w:spacing w:val="-9"/>
        </w:rPr>
        <w:t> </w:t>
      </w:r>
      <w:r>
        <w:rPr/>
        <w:t>period</w:t>
      </w:r>
      <w:r>
        <w:rPr>
          <w:spacing w:val="-9"/>
        </w:rPr>
        <w:t> </w:t>
      </w:r>
      <w:r>
        <w:rPr/>
        <w:t>of</w:t>
      </w:r>
      <w:r>
        <w:rPr>
          <w:spacing w:val="-9"/>
        </w:rPr>
        <w:t> </w:t>
      </w:r>
      <w:r>
        <w:rPr/>
        <w:t>time</w:t>
      </w:r>
      <w:r>
        <w:rPr>
          <w:spacing w:val="-9"/>
        </w:rPr>
        <w:t> </w:t>
      </w:r>
      <w:r>
        <w:rPr/>
        <w:t>and</w:t>
      </w:r>
      <w:r>
        <w:rPr>
          <w:spacing w:val="-9"/>
        </w:rPr>
        <w:t> </w:t>
      </w:r>
      <w:r>
        <w:rPr/>
        <w:t>we</w:t>
      </w:r>
      <w:r>
        <w:rPr>
          <w:spacing w:val="-9"/>
        </w:rPr>
        <w:t> </w:t>
      </w:r>
      <w:r>
        <w:rPr/>
        <w:t>recognize revenue associated with these arrangements ratably over the subscription period.</w:t>
      </w:r>
    </w:p>
    <w:p>
      <w:pPr>
        <w:pStyle w:val="BodyText"/>
        <w:spacing w:before="13"/>
      </w:pPr>
    </w:p>
    <w:p>
      <w:pPr>
        <w:spacing w:before="0"/>
        <w:ind w:left="760" w:right="0" w:firstLine="0"/>
        <w:jc w:val="left"/>
        <w:rPr>
          <w:i/>
          <w:sz w:val="20"/>
        </w:rPr>
      </w:pPr>
      <w:r>
        <w:rPr>
          <w:i/>
          <w:sz w:val="20"/>
        </w:rPr>
        <w:t>Product</w:t>
      </w:r>
      <w:r>
        <w:rPr>
          <w:i/>
          <w:spacing w:val="-9"/>
          <w:sz w:val="20"/>
        </w:rPr>
        <w:t> </w:t>
      </w:r>
      <w:r>
        <w:rPr>
          <w:i/>
          <w:spacing w:val="-2"/>
          <w:sz w:val="20"/>
        </w:rPr>
        <w:t>Revenue</w:t>
      </w:r>
    </w:p>
    <w:p>
      <w:pPr>
        <w:pStyle w:val="BodyText"/>
        <w:spacing w:line="249" w:lineRule="auto" w:before="190"/>
        <w:ind w:left="220" w:right="257" w:firstLine="540"/>
        <w:jc w:val="both"/>
      </w:pPr>
      <w:r>
        <w:rPr/>
        <w:t>We recognize our product revenue upon shipment, provided all other revenue recognition criteria have been met. Our desktop</w:t>
      </w:r>
      <w:r>
        <w:rPr>
          <w:spacing w:val="-8"/>
        </w:rPr>
        <w:t> </w:t>
      </w:r>
      <w:r>
        <w:rPr/>
        <w:t>application</w:t>
      </w:r>
      <w:r>
        <w:rPr>
          <w:spacing w:val="-8"/>
        </w:rPr>
        <w:t> </w:t>
      </w:r>
      <w:r>
        <w:rPr/>
        <w:t>product</w:t>
      </w:r>
      <w:r>
        <w:rPr>
          <w:spacing w:val="-9"/>
        </w:rPr>
        <w:t> </w:t>
      </w:r>
      <w:r>
        <w:rPr/>
        <w:t>revenue</w:t>
      </w:r>
      <w:r>
        <w:rPr>
          <w:spacing w:val="-9"/>
        </w:rPr>
        <w:t> </w:t>
      </w:r>
      <w:r>
        <w:rPr/>
        <w:t>from</w:t>
      </w:r>
      <w:r>
        <w:rPr>
          <w:spacing w:val="-9"/>
        </w:rPr>
        <w:t> </w:t>
      </w:r>
      <w:r>
        <w:rPr/>
        <w:t>distributors</w:t>
      </w:r>
      <w:r>
        <w:rPr>
          <w:spacing w:val="-8"/>
        </w:rPr>
        <w:t> </w:t>
      </w:r>
      <w:r>
        <w:rPr/>
        <w:t>is</w:t>
      </w:r>
      <w:r>
        <w:rPr>
          <w:spacing w:val="-8"/>
        </w:rPr>
        <w:t> </w:t>
      </w:r>
      <w:r>
        <w:rPr/>
        <w:t>subject</w:t>
      </w:r>
      <w:r>
        <w:rPr>
          <w:spacing w:val="-9"/>
        </w:rPr>
        <w:t> </w:t>
      </w:r>
      <w:r>
        <w:rPr/>
        <w:t>to</w:t>
      </w:r>
      <w:r>
        <w:rPr>
          <w:spacing w:val="-8"/>
        </w:rPr>
        <w:t> </w:t>
      </w:r>
      <w:r>
        <w:rPr/>
        <w:t>agreements</w:t>
      </w:r>
      <w:r>
        <w:rPr>
          <w:spacing w:val="-8"/>
        </w:rPr>
        <w:t> </w:t>
      </w:r>
      <w:r>
        <w:rPr/>
        <w:t>allowing</w:t>
      </w:r>
      <w:r>
        <w:rPr>
          <w:spacing w:val="-8"/>
        </w:rPr>
        <w:t> </w:t>
      </w:r>
      <w:r>
        <w:rPr/>
        <w:t>limited</w:t>
      </w:r>
      <w:r>
        <w:rPr>
          <w:spacing w:val="-8"/>
        </w:rPr>
        <w:t> </w:t>
      </w:r>
      <w:r>
        <w:rPr/>
        <w:t>rights</w:t>
      </w:r>
      <w:r>
        <w:rPr>
          <w:spacing w:val="-8"/>
        </w:rPr>
        <w:t> </w:t>
      </w:r>
      <w:r>
        <w:rPr/>
        <w:t>of</w:t>
      </w:r>
      <w:r>
        <w:rPr>
          <w:spacing w:val="-8"/>
        </w:rPr>
        <w:t> </w:t>
      </w:r>
      <w:r>
        <w:rPr/>
        <w:t>return,</w:t>
      </w:r>
      <w:r>
        <w:rPr>
          <w:spacing w:val="-8"/>
        </w:rPr>
        <w:t> </w:t>
      </w:r>
      <w:r>
        <w:rPr/>
        <w:t>rebates</w:t>
      </w:r>
      <w:r>
        <w:rPr>
          <w:spacing w:val="-8"/>
        </w:rPr>
        <w:t> </w:t>
      </w:r>
      <w:r>
        <w:rPr/>
        <w:t>and</w:t>
      </w:r>
      <w:r>
        <w:rPr>
          <w:spacing w:val="-9"/>
        </w:rPr>
        <w:t> </w:t>
      </w:r>
      <w:r>
        <w:rPr/>
        <w:t>price protection.</w:t>
      </w:r>
      <w:r>
        <w:rPr>
          <w:spacing w:val="-13"/>
        </w:rPr>
        <w:t> </w:t>
      </w:r>
      <w:r>
        <w:rPr/>
        <w:t>Our</w:t>
      </w:r>
      <w:r>
        <w:rPr>
          <w:spacing w:val="-12"/>
        </w:rPr>
        <w:t> </w:t>
      </w:r>
      <w:r>
        <w:rPr/>
        <w:t>direct</w:t>
      </w:r>
      <w:r>
        <w:rPr>
          <w:spacing w:val="-13"/>
        </w:rPr>
        <w:t> </w:t>
      </w:r>
      <w:r>
        <w:rPr/>
        <w:t>sales</w:t>
      </w:r>
      <w:r>
        <w:rPr>
          <w:spacing w:val="-12"/>
        </w:rPr>
        <w:t> </w:t>
      </w:r>
      <w:r>
        <w:rPr/>
        <w:t>and</w:t>
      </w:r>
      <w:r>
        <w:rPr>
          <w:spacing w:val="-12"/>
        </w:rPr>
        <w:t> </w:t>
      </w:r>
      <w:r>
        <w:rPr/>
        <w:t>OEM</w:t>
      </w:r>
      <w:r>
        <w:rPr>
          <w:spacing w:val="-11"/>
        </w:rPr>
        <w:t> </w:t>
      </w:r>
      <w:r>
        <w:rPr/>
        <w:t>sales</w:t>
      </w:r>
      <w:r>
        <w:rPr>
          <w:spacing w:val="-11"/>
        </w:rPr>
        <w:t> </w:t>
      </w:r>
      <w:r>
        <w:rPr/>
        <w:t>are</w:t>
      </w:r>
      <w:r>
        <w:rPr>
          <w:spacing w:val="-11"/>
        </w:rPr>
        <w:t> </w:t>
      </w:r>
      <w:r>
        <w:rPr/>
        <w:t>also</w:t>
      </w:r>
      <w:r>
        <w:rPr>
          <w:spacing w:val="-11"/>
        </w:rPr>
        <w:t> </w:t>
      </w:r>
      <w:r>
        <w:rPr/>
        <w:t>subject</w:t>
      </w:r>
      <w:r>
        <w:rPr>
          <w:spacing w:val="-11"/>
        </w:rPr>
        <w:t> </w:t>
      </w:r>
      <w:r>
        <w:rPr/>
        <w:t>to</w:t>
      </w:r>
      <w:r>
        <w:rPr>
          <w:spacing w:val="-11"/>
        </w:rPr>
        <w:t> </w:t>
      </w:r>
      <w:r>
        <w:rPr/>
        <w:t>limited</w:t>
      </w:r>
      <w:r>
        <w:rPr>
          <w:spacing w:val="-11"/>
        </w:rPr>
        <w:t> </w:t>
      </w:r>
      <w:r>
        <w:rPr/>
        <w:t>rights</w:t>
      </w:r>
      <w:r>
        <w:rPr>
          <w:spacing w:val="-10"/>
        </w:rPr>
        <w:t> </w:t>
      </w:r>
      <w:r>
        <w:rPr/>
        <w:t>of</w:t>
      </w:r>
      <w:r>
        <w:rPr>
          <w:spacing w:val="-11"/>
        </w:rPr>
        <w:t> </w:t>
      </w:r>
      <w:r>
        <w:rPr/>
        <w:t>return.</w:t>
      </w:r>
      <w:r>
        <w:rPr>
          <w:spacing w:val="-13"/>
        </w:rPr>
        <w:t> </w:t>
      </w:r>
      <w:r>
        <w:rPr/>
        <w:t>Accordingly,</w:t>
      </w:r>
      <w:r>
        <w:rPr>
          <w:spacing w:val="-11"/>
        </w:rPr>
        <w:t> </w:t>
      </w:r>
      <w:r>
        <w:rPr/>
        <w:t>we</w:t>
      </w:r>
      <w:r>
        <w:rPr>
          <w:spacing w:val="-11"/>
        </w:rPr>
        <w:t> </w:t>
      </w:r>
      <w:r>
        <w:rPr/>
        <w:t>reduce</w:t>
      </w:r>
      <w:r>
        <w:rPr>
          <w:spacing w:val="-11"/>
        </w:rPr>
        <w:t> </w:t>
      </w:r>
      <w:r>
        <w:rPr/>
        <w:t>revenue</w:t>
      </w:r>
      <w:r>
        <w:rPr>
          <w:spacing w:val="-11"/>
        </w:rPr>
        <w:t> </w:t>
      </w:r>
      <w:r>
        <w:rPr/>
        <w:t>recognized for</w:t>
      </w:r>
      <w:r>
        <w:rPr>
          <w:spacing w:val="-4"/>
        </w:rPr>
        <w:t> </w:t>
      </w:r>
      <w:r>
        <w:rPr/>
        <w:t>estimated</w:t>
      </w:r>
      <w:r>
        <w:rPr>
          <w:spacing w:val="-4"/>
        </w:rPr>
        <w:t> </w:t>
      </w:r>
      <w:r>
        <w:rPr/>
        <w:t>future</w:t>
      </w:r>
      <w:r>
        <w:rPr>
          <w:spacing w:val="-5"/>
        </w:rPr>
        <w:t> </w:t>
      </w:r>
      <w:r>
        <w:rPr/>
        <w:t>returns,</w:t>
      </w:r>
      <w:r>
        <w:rPr>
          <w:spacing w:val="-4"/>
        </w:rPr>
        <w:t> </w:t>
      </w:r>
      <w:r>
        <w:rPr/>
        <w:t>price</w:t>
      </w:r>
      <w:r>
        <w:rPr>
          <w:spacing w:val="-5"/>
        </w:rPr>
        <w:t> </w:t>
      </w:r>
      <w:r>
        <w:rPr/>
        <w:t>protection</w:t>
      </w:r>
      <w:r>
        <w:rPr>
          <w:spacing w:val="-5"/>
        </w:rPr>
        <w:t> </w:t>
      </w:r>
      <w:r>
        <w:rPr/>
        <w:t>and</w:t>
      </w:r>
      <w:r>
        <w:rPr>
          <w:spacing w:val="-5"/>
        </w:rPr>
        <w:t> </w:t>
      </w:r>
      <w:r>
        <w:rPr/>
        <w:t>rebates</w:t>
      </w:r>
      <w:r>
        <w:rPr>
          <w:spacing w:val="-4"/>
        </w:rPr>
        <w:t> </w:t>
      </w:r>
      <w:r>
        <w:rPr/>
        <w:t>at</w:t>
      </w:r>
      <w:r>
        <w:rPr>
          <w:spacing w:val="-5"/>
        </w:rPr>
        <w:t> </w:t>
      </w:r>
      <w:r>
        <w:rPr/>
        <w:t>the</w:t>
      </w:r>
      <w:r>
        <w:rPr>
          <w:spacing w:val="-4"/>
        </w:rPr>
        <w:t> </w:t>
      </w:r>
      <w:r>
        <w:rPr/>
        <w:t>time</w:t>
      </w:r>
      <w:r>
        <w:rPr>
          <w:spacing w:val="-5"/>
        </w:rPr>
        <w:t> </w:t>
      </w:r>
      <w:r>
        <w:rPr/>
        <w:t>the</w:t>
      </w:r>
      <w:r>
        <w:rPr>
          <w:spacing w:val="-5"/>
        </w:rPr>
        <w:t> </w:t>
      </w:r>
      <w:r>
        <w:rPr/>
        <w:t>related</w:t>
      </w:r>
      <w:r>
        <w:rPr>
          <w:spacing w:val="-5"/>
        </w:rPr>
        <w:t> </w:t>
      </w:r>
      <w:r>
        <w:rPr/>
        <w:t>revenue</w:t>
      </w:r>
      <w:r>
        <w:rPr>
          <w:spacing w:val="-5"/>
        </w:rPr>
        <w:t> </w:t>
      </w:r>
      <w:r>
        <w:rPr/>
        <w:t>is</w:t>
      </w:r>
      <w:r>
        <w:rPr>
          <w:spacing w:val="-4"/>
        </w:rPr>
        <w:t> </w:t>
      </w:r>
      <w:r>
        <w:rPr/>
        <w:t>recorded.</w:t>
      </w:r>
      <w:r>
        <w:rPr>
          <w:spacing w:val="-8"/>
        </w:rPr>
        <w:t> </w:t>
      </w:r>
      <w:r>
        <w:rPr/>
        <w:t>The</w:t>
      </w:r>
      <w:r>
        <w:rPr>
          <w:spacing w:val="-5"/>
        </w:rPr>
        <w:t> </w:t>
      </w:r>
      <w:r>
        <w:rPr/>
        <w:t>estimates</w:t>
      </w:r>
      <w:r>
        <w:rPr>
          <w:spacing w:val="-4"/>
        </w:rPr>
        <w:t> </w:t>
      </w:r>
      <w:r>
        <w:rPr/>
        <w:t>for</w:t>
      </w:r>
      <w:r>
        <w:rPr>
          <w:spacing w:val="-4"/>
        </w:rPr>
        <w:t> </w:t>
      </w:r>
      <w:r>
        <w:rPr/>
        <w:t>returns</w:t>
      </w:r>
      <w:r>
        <w:rPr>
          <w:spacing w:val="-4"/>
        </w:rPr>
        <w:t> </w:t>
      </w:r>
      <w:r>
        <w:rPr/>
        <w:t>are adjusted</w:t>
      </w:r>
      <w:r>
        <w:rPr>
          <w:spacing w:val="-1"/>
        </w:rPr>
        <w:t> </w:t>
      </w:r>
      <w:r>
        <w:rPr/>
        <w:t>periodically</w:t>
      </w:r>
      <w:r>
        <w:rPr>
          <w:spacing w:val="-2"/>
        </w:rPr>
        <w:t> </w:t>
      </w:r>
      <w:r>
        <w:rPr/>
        <w:t>based upon</w:t>
      </w:r>
      <w:r>
        <w:rPr>
          <w:spacing w:val="-1"/>
        </w:rPr>
        <w:t> </w:t>
      </w:r>
      <w:r>
        <w:rPr/>
        <w:t>historical</w:t>
      </w:r>
      <w:r>
        <w:rPr>
          <w:spacing w:val="-1"/>
        </w:rPr>
        <w:t> </w:t>
      </w:r>
      <w:r>
        <w:rPr/>
        <w:t>rates</w:t>
      </w:r>
      <w:r>
        <w:rPr>
          <w:spacing w:val="-1"/>
        </w:rPr>
        <w:t> </w:t>
      </w:r>
      <w:r>
        <w:rPr/>
        <w:t>of returns,</w:t>
      </w:r>
      <w:r>
        <w:rPr>
          <w:spacing w:val="-1"/>
        </w:rPr>
        <w:t> </w:t>
      </w:r>
      <w:r>
        <w:rPr/>
        <w:t>inventory levels</w:t>
      </w:r>
      <w:r>
        <w:rPr>
          <w:spacing w:val="-1"/>
        </w:rPr>
        <w:t> </w:t>
      </w:r>
      <w:r>
        <w:rPr/>
        <w:t>in the</w:t>
      </w:r>
      <w:r>
        <w:rPr>
          <w:spacing w:val="-1"/>
        </w:rPr>
        <w:t> </w:t>
      </w:r>
      <w:r>
        <w:rPr/>
        <w:t>distribution</w:t>
      </w:r>
      <w:r>
        <w:rPr>
          <w:spacing w:val="-1"/>
        </w:rPr>
        <w:t> </w:t>
      </w:r>
      <w:r>
        <w:rPr/>
        <w:t>channel</w:t>
      </w:r>
      <w:r>
        <w:rPr>
          <w:spacing w:val="-2"/>
        </w:rPr>
        <w:t> </w:t>
      </w:r>
      <w:r>
        <w:rPr/>
        <w:t>and other</w:t>
      </w:r>
      <w:r>
        <w:rPr>
          <w:spacing w:val="-1"/>
        </w:rPr>
        <w:t> </w:t>
      </w:r>
      <w:r>
        <w:rPr/>
        <w:t>related</w:t>
      </w:r>
      <w:r>
        <w:rPr>
          <w:spacing w:val="-1"/>
        </w:rPr>
        <w:t> </w:t>
      </w:r>
      <w:r>
        <w:rPr>
          <w:spacing w:val="-2"/>
        </w:rPr>
        <w:t>factors.</w:t>
      </w:r>
    </w:p>
    <w:p>
      <w:pPr>
        <w:pStyle w:val="BodyText"/>
        <w:spacing w:line="249" w:lineRule="auto" w:before="184"/>
        <w:ind w:left="220" w:right="257" w:firstLine="540"/>
        <w:jc w:val="both"/>
      </w:pPr>
      <w:r>
        <w:rPr/>
        <w:t>We</w:t>
      </w:r>
      <w:r>
        <w:rPr>
          <w:spacing w:val="-13"/>
        </w:rPr>
        <w:t> </w:t>
      </w:r>
      <w:r>
        <w:rPr/>
        <w:t>recognize</w:t>
      </w:r>
      <w:r>
        <w:rPr>
          <w:spacing w:val="-12"/>
        </w:rPr>
        <w:t> </w:t>
      </w:r>
      <w:r>
        <w:rPr/>
        <w:t>OEM</w:t>
      </w:r>
      <w:r>
        <w:rPr>
          <w:spacing w:val="-13"/>
        </w:rPr>
        <w:t> </w:t>
      </w:r>
      <w:r>
        <w:rPr/>
        <w:t>licensing</w:t>
      </w:r>
      <w:r>
        <w:rPr>
          <w:spacing w:val="-12"/>
        </w:rPr>
        <w:t> </w:t>
      </w:r>
      <w:r>
        <w:rPr/>
        <w:t>revenue,</w:t>
      </w:r>
      <w:r>
        <w:rPr>
          <w:spacing w:val="-13"/>
        </w:rPr>
        <w:t> </w:t>
      </w:r>
      <w:r>
        <w:rPr/>
        <w:t>primarily</w:t>
      </w:r>
      <w:r>
        <w:rPr>
          <w:spacing w:val="-12"/>
        </w:rPr>
        <w:t> </w:t>
      </w:r>
      <w:r>
        <w:rPr/>
        <w:t>royalties,</w:t>
      </w:r>
      <w:r>
        <w:rPr>
          <w:spacing w:val="-13"/>
        </w:rPr>
        <w:t> </w:t>
      </w:r>
      <w:r>
        <w:rPr/>
        <w:t>when</w:t>
      </w:r>
      <w:r>
        <w:rPr>
          <w:spacing w:val="-12"/>
        </w:rPr>
        <w:t> </w:t>
      </w:r>
      <w:r>
        <w:rPr/>
        <w:t>OEMs</w:t>
      </w:r>
      <w:r>
        <w:rPr>
          <w:spacing w:val="-13"/>
        </w:rPr>
        <w:t> </w:t>
      </w:r>
      <w:r>
        <w:rPr/>
        <w:t>ship</w:t>
      </w:r>
      <w:r>
        <w:rPr>
          <w:spacing w:val="-12"/>
        </w:rPr>
        <w:t> </w:t>
      </w:r>
      <w:r>
        <w:rPr/>
        <w:t>products</w:t>
      </w:r>
      <w:r>
        <w:rPr>
          <w:spacing w:val="-13"/>
        </w:rPr>
        <w:t> </w:t>
      </w:r>
      <w:r>
        <w:rPr/>
        <w:t>incorporating</w:t>
      </w:r>
      <w:r>
        <w:rPr>
          <w:spacing w:val="-12"/>
        </w:rPr>
        <w:t> </w:t>
      </w:r>
      <w:r>
        <w:rPr/>
        <w:t>our</w:t>
      </w:r>
      <w:r>
        <w:rPr>
          <w:spacing w:val="-13"/>
        </w:rPr>
        <w:t> </w:t>
      </w:r>
      <w:r>
        <w:rPr/>
        <w:t>software,</w:t>
      </w:r>
      <w:r>
        <w:rPr>
          <w:spacing w:val="-12"/>
        </w:rPr>
        <w:t> </w:t>
      </w:r>
      <w:r>
        <w:rPr/>
        <w:t>provided collection</w:t>
      </w:r>
      <w:r>
        <w:rPr>
          <w:spacing w:val="-2"/>
        </w:rPr>
        <w:t> </w:t>
      </w:r>
      <w:r>
        <w:rPr/>
        <w:t>of</w:t>
      </w:r>
      <w:r>
        <w:rPr>
          <w:spacing w:val="-2"/>
        </w:rPr>
        <w:t> </w:t>
      </w:r>
      <w:r>
        <w:rPr/>
        <w:t>such</w:t>
      </w:r>
      <w:r>
        <w:rPr>
          <w:spacing w:val="-2"/>
        </w:rPr>
        <w:t> </w:t>
      </w:r>
      <w:r>
        <w:rPr/>
        <w:t>revenue</w:t>
      </w:r>
      <w:r>
        <w:rPr>
          <w:spacing w:val="-2"/>
        </w:rPr>
        <w:t> </w:t>
      </w:r>
      <w:r>
        <w:rPr/>
        <w:t>is</w:t>
      </w:r>
      <w:r>
        <w:rPr>
          <w:spacing w:val="-2"/>
        </w:rPr>
        <w:t> </w:t>
      </w:r>
      <w:r>
        <w:rPr/>
        <w:t>deemed</w:t>
      </w:r>
      <w:r>
        <w:rPr>
          <w:spacing w:val="-2"/>
        </w:rPr>
        <w:t> </w:t>
      </w:r>
      <w:r>
        <w:rPr/>
        <w:t>probable.</w:t>
      </w:r>
      <w:r>
        <w:rPr>
          <w:spacing w:val="-2"/>
        </w:rPr>
        <w:t> </w:t>
      </w:r>
      <w:r>
        <w:rPr/>
        <w:t>For</w:t>
      </w:r>
      <w:r>
        <w:rPr>
          <w:spacing w:val="-2"/>
        </w:rPr>
        <w:t> </w:t>
      </w:r>
      <w:r>
        <w:rPr/>
        <w:t>certain</w:t>
      </w:r>
      <w:r>
        <w:rPr>
          <w:spacing w:val="-2"/>
        </w:rPr>
        <w:t> </w:t>
      </w:r>
      <w:r>
        <w:rPr/>
        <w:t>OEM</w:t>
      </w:r>
      <w:r>
        <w:rPr>
          <w:spacing w:val="-2"/>
        </w:rPr>
        <w:t> </w:t>
      </w:r>
      <w:r>
        <w:rPr/>
        <w:t>customers,</w:t>
      </w:r>
      <w:r>
        <w:rPr>
          <w:spacing w:val="-2"/>
        </w:rPr>
        <w:t> </w:t>
      </w:r>
      <w:r>
        <w:rPr/>
        <w:t>we</w:t>
      </w:r>
      <w:r>
        <w:rPr>
          <w:spacing w:val="-2"/>
        </w:rPr>
        <w:t> </w:t>
      </w:r>
      <w:r>
        <w:rPr/>
        <w:t>must</w:t>
      </w:r>
      <w:r>
        <w:rPr>
          <w:spacing w:val="-2"/>
        </w:rPr>
        <w:t> </w:t>
      </w:r>
      <w:r>
        <w:rPr/>
        <w:t>estimate</w:t>
      </w:r>
      <w:r>
        <w:rPr>
          <w:spacing w:val="-3"/>
        </w:rPr>
        <w:t> </w:t>
      </w:r>
      <w:r>
        <w:rPr/>
        <w:t>royalty</w:t>
      </w:r>
      <w:r>
        <w:rPr>
          <w:spacing w:val="-2"/>
        </w:rPr>
        <w:t> </w:t>
      </w:r>
      <w:r>
        <w:rPr/>
        <w:t>revenue</w:t>
      </w:r>
      <w:r>
        <w:rPr>
          <w:spacing w:val="-3"/>
        </w:rPr>
        <w:t> </w:t>
      </w:r>
      <w:r>
        <w:rPr/>
        <w:t>due</w:t>
      </w:r>
      <w:r>
        <w:rPr>
          <w:spacing w:val="-2"/>
        </w:rPr>
        <w:t> </w:t>
      </w:r>
      <w:r>
        <w:rPr/>
        <w:t>to</w:t>
      </w:r>
      <w:r>
        <w:rPr>
          <w:spacing w:val="-2"/>
        </w:rPr>
        <w:t> </w:t>
      </w:r>
      <w:r>
        <w:rPr/>
        <w:t>the</w:t>
      </w:r>
      <w:r>
        <w:rPr>
          <w:spacing w:val="-2"/>
        </w:rPr>
        <w:t> </w:t>
      </w:r>
      <w:r>
        <w:rPr/>
        <w:t>timing </w:t>
      </w:r>
      <w:r>
        <w:rPr>
          <w:spacing w:val="-2"/>
        </w:rPr>
        <w:t>of</w:t>
      </w:r>
      <w:r>
        <w:rPr>
          <w:spacing w:val="-6"/>
        </w:rPr>
        <w:t> </w:t>
      </w:r>
      <w:r>
        <w:rPr>
          <w:spacing w:val="-2"/>
        </w:rPr>
        <w:t>securing</w:t>
      </w:r>
      <w:r>
        <w:rPr>
          <w:spacing w:val="-6"/>
        </w:rPr>
        <w:t> </w:t>
      </w:r>
      <w:r>
        <w:rPr>
          <w:spacing w:val="-2"/>
        </w:rPr>
        <w:t>customer</w:t>
      </w:r>
      <w:r>
        <w:rPr>
          <w:spacing w:val="-6"/>
        </w:rPr>
        <w:t> </w:t>
      </w:r>
      <w:r>
        <w:rPr>
          <w:spacing w:val="-2"/>
        </w:rPr>
        <w:t>information.</w:t>
      </w:r>
      <w:r>
        <w:rPr>
          <w:spacing w:val="-9"/>
        </w:rPr>
        <w:t> </w:t>
      </w:r>
      <w:r>
        <w:rPr>
          <w:spacing w:val="-2"/>
        </w:rPr>
        <w:t>This</w:t>
      </w:r>
      <w:r>
        <w:rPr>
          <w:spacing w:val="-6"/>
        </w:rPr>
        <w:t> </w:t>
      </w:r>
      <w:r>
        <w:rPr>
          <w:spacing w:val="-2"/>
        </w:rPr>
        <w:t>estimate</w:t>
      </w:r>
      <w:r>
        <w:rPr>
          <w:spacing w:val="-6"/>
        </w:rPr>
        <w:t> </w:t>
      </w:r>
      <w:r>
        <w:rPr>
          <w:spacing w:val="-2"/>
        </w:rPr>
        <w:t>is</w:t>
      </w:r>
      <w:r>
        <w:rPr>
          <w:spacing w:val="-6"/>
        </w:rPr>
        <w:t> </w:t>
      </w:r>
      <w:r>
        <w:rPr>
          <w:spacing w:val="-2"/>
        </w:rPr>
        <w:t>based</w:t>
      </w:r>
      <w:r>
        <w:rPr>
          <w:spacing w:val="-6"/>
        </w:rPr>
        <w:t> </w:t>
      </w:r>
      <w:r>
        <w:rPr>
          <w:spacing w:val="-2"/>
        </w:rPr>
        <w:t>on</w:t>
      </w:r>
      <w:r>
        <w:rPr>
          <w:spacing w:val="-6"/>
        </w:rPr>
        <w:t> </w:t>
      </w:r>
      <w:r>
        <w:rPr>
          <w:spacing w:val="-2"/>
        </w:rPr>
        <w:t>a</w:t>
      </w:r>
      <w:r>
        <w:rPr>
          <w:spacing w:val="-6"/>
        </w:rPr>
        <w:t> </w:t>
      </w:r>
      <w:r>
        <w:rPr>
          <w:spacing w:val="-2"/>
        </w:rPr>
        <w:t>combination</w:t>
      </w:r>
      <w:r>
        <w:rPr>
          <w:spacing w:val="-6"/>
        </w:rPr>
        <w:t> </w:t>
      </w:r>
      <w:r>
        <w:rPr>
          <w:spacing w:val="-2"/>
        </w:rPr>
        <w:t>of</w:t>
      </w:r>
      <w:r>
        <w:rPr>
          <w:spacing w:val="-6"/>
        </w:rPr>
        <w:t> </w:t>
      </w:r>
      <w:r>
        <w:rPr>
          <w:spacing w:val="-2"/>
        </w:rPr>
        <w:t>our</w:t>
      </w:r>
      <w:r>
        <w:rPr>
          <w:spacing w:val="-6"/>
        </w:rPr>
        <w:t> </w:t>
      </w:r>
      <w:r>
        <w:rPr>
          <w:spacing w:val="-2"/>
        </w:rPr>
        <w:t>generated</w:t>
      </w:r>
      <w:r>
        <w:rPr>
          <w:spacing w:val="-6"/>
        </w:rPr>
        <w:t> </w:t>
      </w:r>
      <w:r>
        <w:rPr>
          <w:spacing w:val="-2"/>
        </w:rPr>
        <w:t>forecasts</w:t>
      </w:r>
      <w:r>
        <w:rPr>
          <w:spacing w:val="-5"/>
        </w:rPr>
        <w:t> </w:t>
      </w:r>
      <w:r>
        <w:rPr>
          <w:spacing w:val="-2"/>
        </w:rPr>
        <w:t>and</w:t>
      </w:r>
      <w:r>
        <w:rPr>
          <w:spacing w:val="-6"/>
        </w:rPr>
        <w:t> </w:t>
      </w:r>
      <w:r>
        <w:rPr>
          <w:spacing w:val="-2"/>
        </w:rPr>
        <w:t>actual</w:t>
      </w:r>
      <w:r>
        <w:rPr>
          <w:spacing w:val="-6"/>
        </w:rPr>
        <w:t> </w:t>
      </w:r>
      <w:r>
        <w:rPr>
          <w:spacing w:val="-2"/>
        </w:rPr>
        <w:t>historical</w:t>
      </w:r>
      <w:r>
        <w:rPr>
          <w:spacing w:val="-6"/>
        </w:rPr>
        <w:t> </w:t>
      </w:r>
      <w:r>
        <w:rPr>
          <w:spacing w:val="-2"/>
        </w:rPr>
        <w:t>reporting </w:t>
      </w:r>
      <w:r>
        <w:rPr/>
        <w:t>by our OEM customers. To substantiate our ability to estimate revenue, we review license royalty revenue reports ultimately received from our significant OEM customers in comparison to the amounts estimated in the prior period.</w:t>
      </w:r>
    </w:p>
    <w:p>
      <w:pPr>
        <w:pStyle w:val="BodyText"/>
        <w:spacing w:line="249" w:lineRule="auto" w:before="184"/>
        <w:ind w:left="220" w:right="257" w:firstLine="540"/>
        <w:jc w:val="both"/>
      </w:pPr>
      <w:r>
        <w:rPr/>
        <w:t>Our product-related deferred revenue includes maintenance upgrade revenue and customer advances under OEM license agreements.</w:t>
      </w:r>
      <w:r>
        <w:rPr>
          <w:spacing w:val="-3"/>
        </w:rPr>
        <w:t> </w:t>
      </w:r>
      <w:r>
        <w:rPr/>
        <w:t>Our</w:t>
      </w:r>
      <w:r>
        <w:rPr>
          <w:spacing w:val="-3"/>
        </w:rPr>
        <w:t> </w:t>
      </w:r>
      <w:r>
        <w:rPr/>
        <w:t>maintenance</w:t>
      </w:r>
      <w:r>
        <w:rPr>
          <w:spacing w:val="-3"/>
        </w:rPr>
        <w:t> </w:t>
      </w:r>
      <w:r>
        <w:rPr/>
        <w:t>upgrade</w:t>
      </w:r>
      <w:r>
        <w:rPr>
          <w:spacing w:val="-3"/>
        </w:rPr>
        <w:t> </w:t>
      </w:r>
      <w:r>
        <w:rPr/>
        <w:t>revenue</w:t>
      </w:r>
      <w:r>
        <w:rPr>
          <w:spacing w:val="-3"/>
        </w:rPr>
        <w:t> </w:t>
      </w:r>
      <w:r>
        <w:rPr/>
        <w:t>for</w:t>
      </w:r>
      <w:r>
        <w:rPr>
          <w:spacing w:val="-3"/>
        </w:rPr>
        <w:t> </w:t>
      </w:r>
      <w:r>
        <w:rPr/>
        <w:t>our</w:t>
      </w:r>
      <w:r>
        <w:rPr>
          <w:spacing w:val="-3"/>
        </w:rPr>
        <w:t> </w:t>
      </w:r>
      <w:r>
        <w:rPr/>
        <w:t>desktop</w:t>
      </w:r>
      <w:r>
        <w:rPr>
          <w:spacing w:val="-3"/>
        </w:rPr>
        <w:t> </w:t>
      </w:r>
      <w:r>
        <w:rPr/>
        <w:t>application</w:t>
      </w:r>
      <w:r>
        <w:rPr>
          <w:spacing w:val="-3"/>
        </w:rPr>
        <w:t> </w:t>
      </w:r>
      <w:r>
        <w:rPr/>
        <w:t>products</w:t>
      </w:r>
      <w:r>
        <w:rPr>
          <w:spacing w:val="-3"/>
        </w:rPr>
        <w:t> </w:t>
      </w:r>
      <w:r>
        <w:rPr/>
        <w:t>is</w:t>
      </w:r>
      <w:r>
        <w:rPr>
          <w:spacing w:val="-3"/>
        </w:rPr>
        <w:t> </w:t>
      </w:r>
      <w:r>
        <w:rPr/>
        <w:t>included</w:t>
      </w:r>
      <w:r>
        <w:rPr>
          <w:spacing w:val="-3"/>
        </w:rPr>
        <w:t> </w:t>
      </w:r>
      <w:r>
        <w:rPr/>
        <w:t>in</w:t>
      </w:r>
      <w:r>
        <w:rPr>
          <w:spacing w:val="-3"/>
        </w:rPr>
        <w:t> </w:t>
      </w:r>
      <w:r>
        <w:rPr/>
        <w:t>our</w:t>
      </w:r>
      <w:r>
        <w:rPr>
          <w:spacing w:val="-3"/>
        </w:rPr>
        <w:t> </w:t>
      </w:r>
      <w:r>
        <w:rPr/>
        <w:t>product</w:t>
      </w:r>
      <w:r>
        <w:rPr>
          <w:spacing w:val="-3"/>
        </w:rPr>
        <w:t> </w:t>
      </w:r>
      <w:r>
        <w:rPr/>
        <w:t>revenue</w:t>
      </w:r>
      <w:r>
        <w:rPr>
          <w:spacing w:val="-3"/>
        </w:rPr>
        <w:t> </w:t>
      </w:r>
      <w:r>
        <w:rPr/>
        <w:t>line</w:t>
      </w:r>
      <w:r>
        <w:rPr>
          <w:spacing w:val="-3"/>
        </w:rPr>
        <w:t> </w:t>
      </w:r>
      <w:r>
        <w:rPr/>
        <w:t>item as</w:t>
      </w:r>
      <w:r>
        <w:rPr>
          <w:spacing w:val="-3"/>
        </w:rPr>
        <w:t> </w:t>
      </w:r>
      <w:r>
        <w:rPr/>
        <w:t>the</w:t>
      </w:r>
      <w:r>
        <w:rPr>
          <w:spacing w:val="-3"/>
        </w:rPr>
        <w:t> </w:t>
      </w:r>
      <w:r>
        <w:rPr/>
        <w:t>maintenance</w:t>
      </w:r>
      <w:r>
        <w:rPr>
          <w:spacing w:val="-4"/>
        </w:rPr>
        <w:t> </w:t>
      </w:r>
      <w:r>
        <w:rPr/>
        <w:t>primarily</w:t>
      </w:r>
      <w:r>
        <w:rPr>
          <w:spacing w:val="-4"/>
        </w:rPr>
        <w:t> </w:t>
      </w:r>
      <w:r>
        <w:rPr/>
        <w:t>entitles</w:t>
      </w:r>
      <w:r>
        <w:rPr>
          <w:spacing w:val="-3"/>
        </w:rPr>
        <w:t> </w:t>
      </w:r>
      <w:r>
        <w:rPr/>
        <w:t>customers</w:t>
      </w:r>
      <w:r>
        <w:rPr>
          <w:spacing w:val="-3"/>
        </w:rPr>
        <w:t> </w:t>
      </w:r>
      <w:r>
        <w:rPr/>
        <w:t>to</w:t>
      </w:r>
      <w:r>
        <w:rPr>
          <w:spacing w:val="-3"/>
        </w:rPr>
        <w:t> </w:t>
      </w:r>
      <w:r>
        <w:rPr/>
        <w:t>receive</w:t>
      </w:r>
      <w:r>
        <w:rPr>
          <w:spacing w:val="-4"/>
        </w:rPr>
        <w:t> </w:t>
      </w:r>
      <w:r>
        <w:rPr/>
        <w:t>product</w:t>
      </w:r>
      <w:r>
        <w:rPr>
          <w:spacing w:val="-4"/>
        </w:rPr>
        <w:t> </w:t>
      </w:r>
      <w:r>
        <w:rPr/>
        <w:t>upgrades.</w:t>
      </w:r>
      <w:r>
        <w:rPr>
          <w:spacing w:val="-3"/>
        </w:rPr>
        <w:t> </w:t>
      </w:r>
      <w:r>
        <w:rPr/>
        <w:t>In</w:t>
      </w:r>
      <w:r>
        <w:rPr>
          <w:spacing w:val="-3"/>
        </w:rPr>
        <w:t> </w:t>
      </w:r>
      <w:r>
        <w:rPr/>
        <w:t>cases</w:t>
      </w:r>
      <w:r>
        <w:rPr>
          <w:spacing w:val="-3"/>
        </w:rPr>
        <w:t> </w:t>
      </w:r>
      <w:r>
        <w:rPr/>
        <w:t>where</w:t>
      </w:r>
      <w:r>
        <w:rPr>
          <w:spacing w:val="-3"/>
        </w:rPr>
        <w:t> </w:t>
      </w:r>
      <w:r>
        <w:rPr/>
        <w:t>we</w:t>
      </w:r>
      <w:r>
        <w:rPr>
          <w:spacing w:val="-4"/>
        </w:rPr>
        <w:t> </w:t>
      </w:r>
      <w:r>
        <w:rPr/>
        <w:t>provide</w:t>
      </w:r>
      <w:r>
        <w:rPr>
          <w:spacing w:val="-4"/>
        </w:rPr>
        <w:t> </w:t>
      </w:r>
      <w:r>
        <w:rPr/>
        <w:t>a</w:t>
      </w:r>
      <w:r>
        <w:rPr>
          <w:spacing w:val="-3"/>
        </w:rPr>
        <w:t> </w:t>
      </w:r>
      <w:r>
        <w:rPr/>
        <w:t>specified</w:t>
      </w:r>
      <w:r>
        <w:rPr>
          <w:spacing w:val="-3"/>
        </w:rPr>
        <w:t> </w:t>
      </w:r>
      <w:r>
        <w:rPr/>
        <w:t>free</w:t>
      </w:r>
      <w:r>
        <w:rPr>
          <w:spacing w:val="-4"/>
        </w:rPr>
        <w:t> </w:t>
      </w:r>
      <w:r>
        <w:rPr/>
        <w:t>upgrade to an existing product, we defer the fair value for the specified upgrade right until the future obligation is fulfilled or when </w:t>
      </w:r>
      <w:r>
        <w:rPr/>
        <w:t>the right to the specified free upgrade expires.</w:t>
      </w:r>
    </w:p>
    <w:p>
      <w:pPr>
        <w:spacing w:before="184"/>
        <w:ind w:left="760" w:right="0" w:firstLine="0"/>
        <w:jc w:val="left"/>
        <w:rPr>
          <w:i/>
          <w:sz w:val="20"/>
        </w:rPr>
      </w:pPr>
      <w:r>
        <w:rPr>
          <w:i/>
          <w:sz w:val="20"/>
        </w:rPr>
        <w:t>Rights</w:t>
      </w:r>
      <w:r>
        <w:rPr>
          <w:i/>
          <w:spacing w:val="-3"/>
          <w:sz w:val="20"/>
        </w:rPr>
        <w:t> </w:t>
      </w:r>
      <w:r>
        <w:rPr>
          <w:i/>
          <w:sz w:val="20"/>
        </w:rPr>
        <w:t>of</w:t>
      </w:r>
      <w:r>
        <w:rPr>
          <w:i/>
          <w:spacing w:val="-2"/>
          <w:sz w:val="20"/>
        </w:rPr>
        <w:t> </w:t>
      </w:r>
      <w:r>
        <w:rPr>
          <w:i/>
          <w:sz w:val="20"/>
        </w:rPr>
        <w:t>Return,</w:t>
      </w:r>
      <w:r>
        <w:rPr>
          <w:i/>
          <w:spacing w:val="-2"/>
          <w:sz w:val="20"/>
        </w:rPr>
        <w:t> </w:t>
      </w:r>
      <w:r>
        <w:rPr>
          <w:i/>
          <w:sz w:val="20"/>
        </w:rPr>
        <w:t>Rebates</w:t>
      </w:r>
      <w:r>
        <w:rPr>
          <w:i/>
          <w:spacing w:val="-3"/>
          <w:sz w:val="20"/>
        </w:rPr>
        <w:t> </w:t>
      </w:r>
      <w:r>
        <w:rPr>
          <w:i/>
          <w:sz w:val="20"/>
        </w:rPr>
        <w:t>and</w:t>
      </w:r>
      <w:r>
        <w:rPr>
          <w:i/>
          <w:spacing w:val="-2"/>
          <w:sz w:val="20"/>
        </w:rPr>
        <w:t> </w:t>
      </w:r>
      <w:r>
        <w:rPr>
          <w:i/>
          <w:sz w:val="20"/>
        </w:rPr>
        <w:t>Price</w:t>
      </w:r>
      <w:r>
        <w:rPr>
          <w:i/>
          <w:spacing w:val="-1"/>
          <w:sz w:val="20"/>
        </w:rPr>
        <w:t> </w:t>
      </w:r>
      <w:r>
        <w:rPr>
          <w:i/>
          <w:spacing w:val="-2"/>
          <w:sz w:val="20"/>
        </w:rPr>
        <w:t>Protection</w:t>
      </w:r>
    </w:p>
    <w:p>
      <w:pPr>
        <w:pStyle w:val="BodyText"/>
        <w:spacing w:line="249" w:lineRule="auto" w:before="190"/>
        <w:ind w:left="220" w:right="257" w:firstLine="540"/>
        <w:jc w:val="both"/>
      </w:pPr>
      <w:r>
        <w:rPr/>
        <w:t>As discussed above, we offer limited rights of return, rebates and price protection of our products under various policies and programs with our distributors, resellers and/or end-user customers.</w:t>
      </w:r>
      <w:r>
        <w:rPr>
          <w:spacing w:val="-2"/>
        </w:rPr>
        <w:t> </w:t>
      </w:r>
      <w:r>
        <w:rPr/>
        <w:t>We estimate and record reserves for these programs as an offset to revenue and accounts receivable. Below is a summary of each of the general provisions in our contracts:</w:t>
      </w:r>
    </w:p>
    <w:p>
      <w:pPr>
        <w:pStyle w:val="ListParagraph"/>
        <w:numPr>
          <w:ilvl w:val="0"/>
          <w:numId w:val="7"/>
        </w:numPr>
        <w:tabs>
          <w:tab w:pos="940" w:val="left" w:leader="none"/>
        </w:tabs>
        <w:spacing w:line="249" w:lineRule="auto" w:before="183" w:after="0"/>
        <w:ind w:left="940" w:right="257" w:hanging="360"/>
        <w:jc w:val="both"/>
        <w:rPr>
          <w:sz w:val="20"/>
        </w:rPr>
      </w:pPr>
      <w:r>
        <w:rPr>
          <w:spacing w:val="-2"/>
          <w:sz w:val="20"/>
        </w:rPr>
        <w:t>Distributors</w:t>
      </w:r>
      <w:r>
        <w:rPr>
          <w:spacing w:val="-7"/>
          <w:sz w:val="20"/>
        </w:rPr>
        <w:t> </w:t>
      </w:r>
      <w:r>
        <w:rPr>
          <w:spacing w:val="-2"/>
          <w:sz w:val="20"/>
        </w:rPr>
        <w:t>are</w:t>
      </w:r>
      <w:r>
        <w:rPr>
          <w:spacing w:val="-9"/>
          <w:sz w:val="20"/>
        </w:rPr>
        <w:t> </w:t>
      </w:r>
      <w:r>
        <w:rPr>
          <w:spacing w:val="-2"/>
          <w:sz w:val="20"/>
        </w:rPr>
        <w:t>allowed</w:t>
      </w:r>
      <w:r>
        <w:rPr>
          <w:spacing w:val="-9"/>
          <w:sz w:val="20"/>
        </w:rPr>
        <w:t> </w:t>
      </w:r>
      <w:r>
        <w:rPr>
          <w:spacing w:val="-2"/>
          <w:sz w:val="20"/>
        </w:rPr>
        <w:t>limited</w:t>
      </w:r>
      <w:r>
        <w:rPr>
          <w:spacing w:val="-7"/>
          <w:sz w:val="20"/>
        </w:rPr>
        <w:t> </w:t>
      </w:r>
      <w:r>
        <w:rPr>
          <w:spacing w:val="-2"/>
          <w:sz w:val="20"/>
        </w:rPr>
        <w:t>rights</w:t>
      </w:r>
      <w:r>
        <w:rPr>
          <w:spacing w:val="-7"/>
          <w:sz w:val="20"/>
        </w:rPr>
        <w:t> </w:t>
      </w:r>
      <w:r>
        <w:rPr>
          <w:spacing w:val="-2"/>
          <w:sz w:val="20"/>
        </w:rPr>
        <w:t>of</w:t>
      </w:r>
      <w:r>
        <w:rPr>
          <w:spacing w:val="-7"/>
          <w:sz w:val="20"/>
        </w:rPr>
        <w:t> </w:t>
      </w:r>
      <w:r>
        <w:rPr>
          <w:spacing w:val="-2"/>
          <w:sz w:val="20"/>
        </w:rPr>
        <w:t>return</w:t>
      </w:r>
      <w:r>
        <w:rPr>
          <w:spacing w:val="-9"/>
          <w:sz w:val="20"/>
        </w:rPr>
        <w:t> </w:t>
      </w:r>
      <w:r>
        <w:rPr>
          <w:spacing w:val="-2"/>
          <w:sz w:val="20"/>
        </w:rPr>
        <w:t>of</w:t>
      </w:r>
      <w:r>
        <w:rPr>
          <w:spacing w:val="-7"/>
          <w:sz w:val="20"/>
        </w:rPr>
        <w:t> </w:t>
      </w:r>
      <w:r>
        <w:rPr>
          <w:spacing w:val="-2"/>
          <w:sz w:val="20"/>
        </w:rPr>
        <w:t>products</w:t>
      </w:r>
      <w:r>
        <w:rPr>
          <w:spacing w:val="-7"/>
          <w:sz w:val="20"/>
        </w:rPr>
        <w:t> </w:t>
      </w:r>
      <w:r>
        <w:rPr>
          <w:spacing w:val="-2"/>
          <w:sz w:val="20"/>
        </w:rPr>
        <w:t>purchased</w:t>
      </w:r>
      <w:r>
        <w:rPr>
          <w:spacing w:val="-7"/>
          <w:sz w:val="20"/>
        </w:rPr>
        <w:t> </w:t>
      </w:r>
      <w:r>
        <w:rPr>
          <w:spacing w:val="-2"/>
          <w:sz w:val="20"/>
        </w:rPr>
        <w:t>during</w:t>
      </w:r>
      <w:r>
        <w:rPr>
          <w:spacing w:val="-9"/>
          <w:sz w:val="20"/>
        </w:rPr>
        <w:t> </w:t>
      </w:r>
      <w:r>
        <w:rPr>
          <w:spacing w:val="-2"/>
          <w:sz w:val="20"/>
        </w:rPr>
        <w:t>the</w:t>
      </w:r>
      <w:r>
        <w:rPr>
          <w:spacing w:val="-7"/>
          <w:sz w:val="20"/>
        </w:rPr>
        <w:t> </w:t>
      </w:r>
      <w:r>
        <w:rPr>
          <w:spacing w:val="-2"/>
          <w:sz w:val="20"/>
        </w:rPr>
        <w:t>previous</w:t>
      </w:r>
      <w:r>
        <w:rPr>
          <w:spacing w:val="-7"/>
          <w:sz w:val="20"/>
        </w:rPr>
        <w:t> </w:t>
      </w:r>
      <w:r>
        <w:rPr>
          <w:spacing w:val="-2"/>
          <w:sz w:val="20"/>
        </w:rPr>
        <w:t>quarter.</w:t>
      </w:r>
      <w:r>
        <w:rPr>
          <w:spacing w:val="-9"/>
          <w:sz w:val="20"/>
        </w:rPr>
        <w:t> </w:t>
      </w:r>
      <w:r>
        <w:rPr>
          <w:spacing w:val="-2"/>
          <w:sz w:val="20"/>
        </w:rPr>
        <w:t>In</w:t>
      </w:r>
      <w:r>
        <w:rPr>
          <w:spacing w:val="-7"/>
          <w:sz w:val="20"/>
        </w:rPr>
        <w:t> </w:t>
      </w:r>
      <w:r>
        <w:rPr>
          <w:spacing w:val="-2"/>
          <w:sz w:val="20"/>
        </w:rPr>
        <w:t>addition,</w:t>
      </w:r>
      <w:r>
        <w:rPr>
          <w:spacing w:val="-9"/>
          <w:sz w:val="20"/>
        </w:rPr>
        <w:t> </w:t>
      </w:r>
      <w:r>
        <w:rPr>
          <w:spacing w:val="-2"/>
          <w:sz w:val="20"/>
        </w:rPr>
        <w:t>distributors </w:t>
      </w:r>
      <w:r>
        <w:rPr>
          <w:sz w:val="20"/>
        </w:rPr>
        <w:t>are allowed to return products that have reached the end of their lives, as defined by us, and products that are being replaced by new versions.</w:t>
      </w:r>
    </w:p>
    <w:p>
      <w:pPr>
        <w:pStyle w:val="ListParagraph"/>
        <w:numPr>
          <w:ilvl w:val="0"/>
          <w:numId w:val="7"/>
        </w:numPr>
        <w:tabs>
          <w:tab w:pos="940" w:val="left" w:leader="none"/>
        </w:tabs>
        <w:spacing w:line="249" w:lineRule="auto" w:before="182" w:after="0"/>
        <w:ind w:left="940" w:right="257" w:hanging="360"/>
        <w:jc w:val="both"/>
        <w:rPr>
          <w:sz w:val="20"/>
        </w:rPr>
      </w:pPr>
      <w:r>
        <w:rPr>
          <w:sz w:val="20"/>
        </w:rPr>
        <w:t>We offer rebates to our distributors, resellers and/or end user customers. The amount of revenue that is reduced for distributor</w:t>
      </w:r>
      <w:r>
        <w:rPr>
          <w:spacing w:val="-9"/>
          <w:sz w:val="20"/>
        </w:rPr>
        <w:t> </w:t>
      </w:r>
      <w:r>
        <w:rPr>
          <w:sz w:val="20"/>
        </w:rPr>
        <w:t>and</w:t>
      </w:r>
      <w:r>
        <w:rPr>
          <w:spacing w:val="-9"/>
          <w:sz w:val="20"/>
        </w:rPr>
        <w:t> </w:t>
      </w:r>
      <w:r>
        <w:rPr>
          <w:sz w:val="20"/>
        </w:rPr>
        <w:t>reseller</w:t>
      </w:r>
      <w:r>
        <w:rPr>
          <w:spacing w:val="-9"/>
          <w:sz w:val="20"/>
        </w:rPr>
        <w:t> </w:t>
      </w:r>
      <w:r>
        <w:rPr>
          <w:sz w:val="20"/>
        </w:rPr>
        <w:t>rebates</w:t>
      </w:r>
      <w:r>
        <w:rPr>
          <w:spacing w:val="-9"/>
          <w:sz w:val="20"/>
        </w:rPr>
        <w:t> </w:t>
      </w:r>
      <w:r>
        <w:rPr>
          <w:sz w:val="20"/>
        </w:rPr>
        <w:t>is</w:t>
      </w:r>
      <w:r>
        <w:rPr>
          <w:spacing w:val="-9"/>
          <w:sz w:val="20"/>
        </w:rPr>
        <w:t> </w:t>
      </w:r>
      <w:r>
        <w:rPr>
          <w:sz w:val="20"/>
        </w:rPr>
        <w:t>based</w:t>
      </w:r>
      <w:r>
        <w:rPr>
          <w:spacing w:val="-9"/>
          <w:sz w:val="20"/>
        </w:rPr>
        <w:t> </w:t>
      </w:r>
      <w:r>
        <w:rPr>
          <w:sz w:val="20"/>
        </w:rPr>
        <w:t>on</w:t>
      </w:r>
      <w:r>
        <w:rPr>
          <w:spacing w:val="-9"/>
          <w:sz w:val="20"/>
        </w:rPr>
        <w:t> </w:t>
      </w:r>
      <w:r>
        <w:rPr>
          <w:sz w:val="20"/>
        </w:rPr>
        <w:t>actual</w:t>
      </w:r>
      <w:r>
        <w:rPr>
          <w:spacing w:val="-9"/>
          <w:sz w:val="20"/>
        </w:rPr>
        <w:t> </w:t>
      </w:r>
      <w:r>
        <w:rPr>
          <w:sz w:val="20"/>
        </w:rPr>
        <w:t>performance</w:t>
      </w:r>
      <w:r>
        <w:rPr>
          <w:spacing w:val="-9"/>
          <w:sz w:val="20"/>
        </w:rPr>
        <w:t> </w:t>
      </w:r>
      <w:r>
        <w:rPr>
          <w:sz w:val="20"/>
        </w:rPr>
        <w:t>against</w:t>
      </w:r>
      <w:r>
        <w:rPr>
          <w:spacing w:val="-9"/>
          <w:sz w:val="20"/>
        </w:rPr>
        <w:t> </w:t>
      </w:r>
      <w:r>
        <w:rPr>
          <w:sz w:val="20"/>
        </w:rPr>
        <w:t>objectives</w:t>
      </w:r>
      <w:r>
        <w:rPr>
          <w:spacing w:val="-9"/>
          <w:sz w:val="20"/>
        </w:rPr>
        <w:t> </w:t>
      </w:r>
      <w:r>
        <w:rPr>
          <w:sz w:val="20"/>
        </w:rPr>
        <w:t>set</w:t>
      </w:r>
      <w:r>
        <w:rPr>
          <w:spacing w:val="-9"/>
          <w:sz w:val="20"/>
        </w:rPr>
        <w:t> </w:t>
      </w:r>
      <w:r>
        <w:rPr>
          <w:sz w:val="20"/>
        </w:rPr>
        <w:t>forth</w:t>
      </w:r>
      <w:r>
        <w:rPr>
          <w:spacing w:val="-9"/>
          <w:sz w:val="20"/>
        </w:rPr>
        <w:t> </w:t>
      </w:r>
      <w:r>
        <w:rPr>
          <w:sz w:val="20"/>
        </w:rPr>
        <w:t>by</w:t>
      </w:r>
      <w:r>
        <w:rPr>
          <w:spacing w:val="-9"/>
          <w:sz w:val="20"/>
        </w:rPr>
        <w:t> </w:t>
      </w:r>
      <w:r>
        <w:rPr>
          <w:sz w:val="20"/>
        </w:rPr>
        <w:t>us</w:t>
      </w:r>
      <w:r>
        <w:rPr>
          <w:spacing w:val="-9"/>
          <w:sz w:val="20"/>
        </w:rPr>
        <w:t> </w:t>
      </w:r>
      <w:r>
        <w:rPr>
          <w:sz w:val="20"/>
        </w:rPr>
        <w:t>for</w:t>
      </w:r>
      <w:r>
        <w:rPr>
          <w:spacing w:val="-9"/>
          <w:sz w:val="20"/>
        </w:rPr>
        <w:t> </w:t>
      </w:r>
      <w:r>
        <w:rPr>
          <w:sz w:val="20"/>
        </w:rPr>
        <w:t>a</w:t>
      </w:r>
      <w:r>
        <w:rPr>
          <w:spacing w:val="-9"/>
          <w:sz w:val="20"/>
        </w:rPr>
        <w:t> </w:t>
      </w:r>
      <w:r>
        <w:rPr>
          <w:sz w:val="20"/>
        </w:rPr>
        <w:t>particular</w:t>
      </w:r>
      <w:r>
        <w:rPr>
          <w:spacing w:val="-9"/>
          <w:sz w:val="20"/>
        </w:rPr>
        <w:t> </w:t>
      </w:r>
      <w:r>
        <w:rPr>
          <w:sz w:val="20"/>
        </w:rPr>
        <w:t>reporting </w:t>
      </w:r>
      <w:r>
        <w:rPr>
          <w:spacing w:val="-2"/>
          <w:sz w:val="20"/>
        </w:rPr>
        <w:t>period</w:t>
      </w:r>
      <w:r>
        <w:rPr>
          <w:spacing w:val="-4"/>
          <w:sz w:val="20"/>
        </w:rPr>
        <w:t> </w:t>
      </w:r>
      <w:r>
        <w:rPr>
          <w:spacing w:val="-2"/>
          <w:sz w:val="20"/>
        </w:rPr>
        <w:t>(volume,</w:t>
      </w:r>
      <w:r>
        <w:rPr>
          <w:spacing w:val="-4"/>
          <w:sz w:val="20"/>
        </w:rPr>
        <w:t> </w:t>
      </w:r>
      <w:r>
        <w:rPr>
          <w:spacing w:val="-2"/>
          <w:sz w:val="20"/>
        </w:rPr>
        <w:t>timely</w:t>
      </w:r>
      <w:r>
        <w:rPr>
          <w:spacing w:val="-4"/>
          <w:sz w:val="20"/>
        </w:rPr>
        <w:t> </w:t>
      </w:r>
      <w:r>
        <w:rPr>
          <w:spacing w:val="-2"/>
          <w:sz w:val="20"/>
        </w:rPr>
        <w:t>reporting,</w:t>
      </w:r>
      <w:r>
        <w:rPr>
          <w:spacing w:val="-4"/>
          <w:sz w:val="20"/>
        </w:rPr>
        <w:t> </w:t>
      </w:r>
      <w:r>
        <w:rPr>
          <w:spacing w:val="-2"/>
          <w:sz w:val="20"/>
        </w:rPr>
        <w:t>etc.).</w:t>
      </w:r>
      <w:r>
        <w:rPr>
          <w:spacing w:val="-4"/>
          <w:sz w:val="20"/>
        </w:rPr>
        <w:t> </w:t>
      </w:r>
      <w:r>
        <w:rPr>
          <w:spacing w:val="-2"/>
          <w:sz w:val="20"/>
        </w:rPr>
        <w:t>If</w:t>
      </w:r>
      <w:r>
        <w:rPr>
          <w:spacing w:val="-4"/>
          <w:sz w:val="20"/>
        </w:rPr>
        <w:t> </w:t>
      </w:r>
      <w:r>
        <w:rPr>
          <w:spacing w:val="-2"/>
          <w:sz w:val="20"/>
        </w:rPr>
        <w:t>mail-in</w:t>
      </w:r>
      <w:r>
        <w:rPr>
          <w:spacing w:val="-4"/>
          <w:sz w:val="20"/>
        </w:rPr>
        <w:t> </w:t>
      </w:r>
      <w:r>
        <w:rPr>
          <w:spacing w:val="-2"/>
          <w:sz w:val="20"/>
        </w:rPr>
        <w:t>or</w:t>
      </w:r>
      <w:r>
        <w:rPr>
          <w:spacing w:val="-4"/>
          <w:sz w:val="20"/>
        </w:rPr>
        <w:t> </w:t>
      </w:r>
      <w:r>
        <w:rPr>
          <w:spacing w:val="-2"/>
          <w:sz w:val="20"/>
        </w:rPr>
        <w:t>other</w:t>
      </w:r>
      <w:r>
        <w:rPr>
          <w:spacing w:val="-4"/>
          <w:sz w:val="20"/>
        </w:rPr>
        <w:t> </w:t>
      </w:r>
      <w:r>
        <w:rPr>
          <w:spacing w:val="-2"/>
          <w:sz w:val="20"/>
        </w:rPr>
        <w:t>promotional</w:t>
      </w:r>
      <w:r>
        <w:rPr>
          <w:spacing w:val="-4"/>
          <w:sz w:val="20"/>
        </w:rPr>
        <w:t> </w:t>
      </w:r>
      <w:r>
        <w:rPr>
          <w:spacing w:val="-2"/>
          <w:sz w:val="20"/>
        </w:rPr>
        <w:t>rebates</w:t>
      </w:r>
      <w:r>
        <w:rPr>
          <w:spacing w:val="-4"/>
          <w:sz w:val="20"/>
        </w:rPr>
        <w:t> </w:t>
      </w:r>
      <w:r>
        <w:rPr>
          <w:spacing w:val="-2"/>
          <w:sz w:val="20"/>
        </w:rPr>
        <w:t>are</w:t>
      </w:r>
      <w:r>
        <w:rPr>
          <w:spacing w:val="-4"/>
          <w:sz w:val="20"/>
        </w:rPr>
        <w:t> </w:t>
      </w:r>
      <w:r>
        <w:rPr>
          <w:spacing w:val="-2"/>
          <w:sz w:val="20"/>
        </w:rPr>
        <w:t>offered,</w:t>
      </w:r>
      <w:r>
        <w:rPr>
          <w:spacing w:val="-4"/>
          <w:sz w:val="20"/>
        </w:rPr>
        <w:t> </w:t>
      </w:r>
      <w:r>
        <w:rPr>
          <w:spacing w:val="-2"/>
          <w:sz w:val="20"/>
        </w:rPr>
        <w:t>the</w:t>
      </w:r>
      <w:r>
        <w:rPr>
          <w:spacing w:val="-4"/>
          <w:sz w:val="20"/>
        </w:rPr>
        <w:t> </w:t>
      </w:r>
      <w:r>
        <w:rPr>
          <w:spacing w:val="-2"/>
          <w:sz w:val="20"/>
        </w:rPr>
        <w:t>amount</w:t>
      </w:r>
      <w:r>
        <w:rPr>
          <w:spacing w:val="-4"/>
          <w:sz w:val="20"/>
        </w:rPr>
        <w:t> </w:t>
      </w:r>
      <w:r>
        <w:rPr>
          <w:spacing w:val="-2"/>
          <w:sz w:val="20"/>
        </w:rPr>
        <w:t>of</w:t>
      </w:r>
      <w:r>
        <w:rPr>
          <w:spacing w:val="-4"/>
          <w:sz w:val="20"/>
        </w:rPr>
        <w:t> </w:t>
      </w:r>
      <w:r>
        <w:rPr>
          <w:spacing w:val="-2"/>
          <w:sz w:val="20"/>
        </w:rPr>
        <w:t>revenue</w:t>
      </w:r>
      <w:r>
        <w:rPr>
          <w:spacing w:val="-4"/>
          <w:sz w:val="20"/>
        </w:rPr>
        <w:t> </w:t>
      </w:r>
      <w:r>
        <w:rPr>
          <w:spacing w:val="-2"/>
          <w:sz w:val="20"/>
        </w:rPr>
        <w:t>reduced </w:t>
      </w:r>
      <w:r>
        <w:rPr>
          <w:sz w:val="20"/>
        </w:rPr>
        <w:t>is based on the dollar amount of the rebate, taking into consideration an estimated redemption rate calculated </w:t>
      </w:r>
      <w:r>
        <w:rPr>
          <w:sz w:val="20"/>
        </w:rPr>
        <w:t>using historical trends.</w:t>
      </w:r>
    </w:p>
    <w:p>
      <w:pPr>
        <w:pStyle w:val="ListParagraph"/>
        <w:numPr>
          <w:ilvl w:val="0"/>
          <w:numId w:val="7"/>
        </w:numPr>
        <w:tabs>
          <w:tab w:pos="940" w:val="left" w:leader="none"/>
        </w:tabs>
        <w:spacing w:line="249" w:lineRule="auto" w:before="124" w:after="0"/>
        <w:ind w:left="940" w:right="257" w:hanging="360"/>
        <w:jc w:val="both"/>
        <w:rPr>
          <w:sz w:val="20"/>
        </w:rPr>
      </w:pPr>
      <w:r>
        <w:rPr>
          <w:sz w:val="20"/>
        </w:rPr>
        <w:t>From</w:t>
      </w:r>
      <w:r>
        <w:rPr>
          <w:spacing w:val="-7"/>
          <w:sz w:val="20"/>
        </w:rPr>
        <w:t> </w:t>
      </w:r>
      <w:r>
        <w:rPr>
          <w:sz w:val="20"/>
        </w:rPr>
        <w:t>time</w:t>
      </w:r>
      <w:r>
        <w:rPr>
          <w:spacing w:val="-7"/>
          <w:sz w:val="20"/>
        </w:rPr>
        <w:t> </w:t>
      </w:r>
      <w:r>
        <w:rPr>
          <w:sz w:val="20"/>
        </w:rPr>
        <w:t>to</w:t>
      </w:r>
      <w:r>
        <w:rPr>
          <w:spacing w:val="-6"/>
          <w:sz w:val="20"/>
        </w:rPr>
        <w:t> </w:t>
      </w:r>
      <w:r>
        <w:rPr>
          <w:sz w:val="20"/>
        </w:rPr>
        <w:t>time,</w:t>
      </w:r>
      <w:r>
        <w:rPr>
          <w:spacing w:val="-7"/>
          <w:sz w:val="20"/>
        </w:rPr>
        <w:t> </w:t>
      </w:r>
      <w:r>
        <w:rPr>
          <w:sz w:val="20"/>
        </w:rPr>
        <w:t>we</w:t>
      </w:r>
      <w:r>
        <w:rPr>
          <w:spacing w:val="-7"/>
          <w:sz w:val="20"/>
        </w:rPr>
        <w:t> </w:t>
      </w:r>
      <w:r>
        <w:rPr>
          <w:sz w:val="20"/>
        </w:rPr>
        <w:t>may</w:t>
      </w:r>
      <w:r>
        <w:rPr>
          <w:spacing w:val="-7"/>
          <w:sz w:val="20"/>
        </w:rPr>
        <w:t> </w:t>
      </w:r>
      <w:r>
        <w:rPr>
          <w:sz w:val="20"/>
        </w:rPr>
        <w:t>offer</w:t>
      </w:r>
      <w:r>
        <w:rPr>
          <w:spacing w:val="-7"/>
          <w:sz w:val="20"/>
        </w:rPr>
        <w:t> </w:t>
      </w:r>
      <w:r>
        <w:rPr>
          <w:sz w:val="20"/>
        </w:rPr>
        <w:t>price</w:t>
      </w:r>
      <w:r>
        <w:rPr>
          <w:spacing w:val="-7"/>
          <w:sz w:val="20"/>
        </w:rPr>
        <w:t> </w:t>
      </w:r>
      <w:r>
        <w:rPr>
          <w:sz w:val="20"/>
        </w:rPr>
        <w:t>protection</w:t>
      </w:r>
      <w:r>
        <w:rPr>
          <w:spacing w:val="-7"/>
          <w:sz w:val="20"/>
        </w:rPr>
        <w:t> </w:t>
      </w:r>
      <w:r>
        <w:rPr>
          <w:sz w:val="20"/>
        </w:rPr>
        <w:t>to</w:t>
      </w:r>
      <w:r>
        <w:rPr>
          <w:spacing w:val="-6"/>
          <w:sz w:val="20"/>
        </w:rPr>
        <w:t> </w:t>
      </w:r>
      <w:r>
        <w:rPr>
          <w:sz w:val="20"/>
        </w:rPr>
        <w:t>our</w:t>
      </w:r>
      <w:r>
        <w:rPr>
          <w:spacing w:val="-7"/>
          <w:sz w:val="20"/>
        </w:rPr>
        <w:t> </w:t>
      </w:r>
      <w:r>
        <w:rPr>
          <w:sz w:val="20"/>
        </w:rPr>
        <w:t>distributors</w:t>
      </w:r>
      <w:r>
        <w:rPr>
          <w:spacing w:val="-6"/>
          <w:sz w:val="20"/>
        </w:rPr>
        <w:t> </w:t>
      </w:r>
      <w:r>
        <w:rPr>
          <w:sz w:val="20"/>
        </w:rPr>
        <w:t>that</w:t>
      </w:r>
      <w:r>
        <w:rPr>
          <w:spacing w:val="-7"/>
          <w:sz w:val="20"/>
        </w:rPr>
        <w:t> </w:t>
      </w:r>
      <w:r>
        <w:rPr>
          <w:sz w:val="20"/>
        </w:rPr>
        <w:t>allow</w:t>
      </w:r>
      <w:r>
        <w:rPr>
          <w:spacing w:val="-6"/>
          <w:sz w:val="20"/>
        </w:rPr>
        <w:t> </w:t>
      </w:r>
      <w:r>
        <w:rPr>
          <w:sz w:val="20"/>
        </w:rPr>
        <w:t>for</w:t>
      </w:r>
      <w:r>
        <w:rPr>
          <w:spacing w:val="-6"/>
          <w:sz w:val="20"/>
        </w:rPr>
        <w:t> </w:t>
      </w:r>
      <w:r>
        <w:rPr>
          <w:sz w:val="20"/>
        </w:rPr>
        <w:t>the</w:t>
      </w:r>
      <w:r>
        <w:rPr>
          <w:spacing w:val="-7"/>
          <w:sz w:val="20"/>
        </w:rPr>
        <w:t> </w:t>
      </w:r>
      <w:r>
        <w:rPr>
          <w:sz w:val="20"/>
        </w:rPr>
        <w:t>right</w:t>
      </w:r>
      <w:r>
        <w:rPr>
          <w:spacing w:val="-7"/>
          <w:sz w:val="20"/>
        </w:rPr>
        <w:t> </w:t>
      </w:r>
      <w:r>
        <w:rPr>
          <w:sz w:val="20"/>
        </w:rPr>
        <w:t>to</w:t>
      </w:r>
      <w:r>
        <w:rPr>
          <w:spacing w:val="-6"/>
          <w:sz w:val="20"/>
        </w:rPr>
        <w:t> </w:t>
      </w:r>
      <w:r>
        <w:rPr>
          <w:sz w:val="20"/>
        </w:rPr>
        <w:t>a</w:t>
      </w:r>
      <w:r>
        <w:rPr>
          <w:spacing w:val="-7"/>
          <w:sz w:val="20"/>
        </w:rPr>
        <w:t> </w:t>
      </w:r>
      <w:r>
        <w:rPr>
          <w:sz w:val="20"/>
        </w:rPr>
        <w:t>credit</w:t>
      </w:r>
      <w:r>
        <w:rPr>
          <w:spacing w:val="-7"/>
          <w:sz w:val="20"/>
        </w:rPr>
        <w:t> </w:t>
      </w:r>
      <w:r>
        <w:rPr>
          <w:sz w:val="20"/>
        </w:rPr>
        <w:t>if</w:t>
      </w:r>
      <w:r>
        <w:rPr>
          <w:spacing w:val="-7"/>
          <w:sz w:val="20"/>
        </w:rPr>
        <w:t> </w:t>
      </w:r>
      <w:r>
        <w:rPr>
          <w:sz w:val="20"/>
        </w:rPr>
        <w:t>we</w:t>
      </w:r>
      <w:r>
        <w:rPr>
          <w:spacing w:val="-7"/>
          <w:sz w:val="20"/>
        </w:rPr>
        <w:t> </w:t>
      </w:r>
      <w:r>
        <w:rPr>
          <w:sz w:val="20"/>
        </w:rPr>
        <w:t>permanently reduce the price of a software product. The amount of revenue that is reduced for price protection is calculated as the difference between the old and new price of a software product on inventory held by the distributor immediately prior to the effective date of the decrease.</w:t>
      </w:r>
    </w:p>
    <w:p>
      <w:pPr>
        <w:spacing w:after="0" w:line="249" w:lineRule="auto"/>
        <w:jc w:val="both"/>
        <w:rPr>
          <w:sz w:val="20"/>
        </w:rPr>
        <w:sectPr>
          <w:pgSz w:w="12240" w:h="15840"/>
          <w:pgMar w:header="210" w:footer="610" w:top="1380" w:bottom="840" w:left="780" w:right="740"/>
        </w:sectPr>
      </w:pPr>
    </w:p>
    <w:p>
      <w:pPr>
        <w:pStyle w:val="BodyText"/>
      </w:pPr>
    </w:p>
    <w:p>
      <w:pPr>
        <w:pStyle w:val="BodyText"/>
      </w:pPr>
    </w:p>
    <w:p>
      <w:pPr>
        <w:pStyle w:val="BodyText"/>
        <w:spacing w:before="30"/>
      </w:pPr>
    </w:p>
    <w:p>
      <w:pPr>
        <w:pStyle w:val="BodyText"/>
        <w:spacing w:line="249" w:lineRule="auto"/>
        <w:ind w:left="220" w:right="257" w:firstLine="540"/>
        <w:jc w:val="both"/>
      </w:pPr>
      <w:r>
        <w:rPr/>
        <w:t>Although</w:t>
      </w:r>
      <w:r>
        <w:rPr>
          <w:spacing w:val="-5"/>
        </w:rPr>
        <w:t> </w:t>
      </w:r>
      <w:r>
        <w:rPr/>
        <w:t>our</w:t>
      </w:r>
      <w:r>
        <w:rPr>
          <w:spacing w:val="-5"/>
        </w:rPr>
        <w:t> </w:t>
      </w:r>
      <w:r>
        <w:rPr/>
        <w:t>subscription</w:t>
      </w:r>
      <w:r>
        <w:rPr>
          <w:spacing w:val="-5"/>
        </w:rPr>
        <w:t> </w:t>
      </w:r>
      <w:r>
        <w:rPr/>
        <w:t>contracts</w:t>
      </w:r>
      <w:r>
        <w:rPr>
          <w:spacing w:val="-4"/>
        </w:rPr>
        <w:t> </w:t>
      </w:r>
      <w:r>
        <w:rPr/>
        <w:t>are</w:t>
      </w:r>
      <w:r>
        <w:rPr>
          <w:spacing w:val="-5"/>
        </w:rPr>
        <w:t> </w:t>
      </w:r>
      <w:r>
        <w:rPr/>
        <w:t>generally</w:t>
      </w:r>
      <w:r>
        <w:rPr>
          <w:spacing w:val="-5"/>
        </w:rPr>
        <w:t> </w:t>
      </w:r>
      <w:r>
        <w:rPr/>
        <w:t>non-cancellable,</w:t>
      </w:r>
      <w:r>
        <w:rPr>
          <w:spacing w:val="-5"/>
        </w:rPr>
        <w:t> </w:t>
      </w:r>
      <w:r>
        <w:rPr/>
        <w:t>a</w:t>
      </w:r>
      <w:r>
        <w:rPr>
          <w:spacing w:val="-5"/>
        </w:rPr>
        <w:t> </w:t>
      </w:r>
      <w:r>
        <w:rPr/>
        <w:t>limited</w:t>
      </w:r>
      <w:r>
        <w:rPr>
          <w:spacing w:val="-5"/>
        </w:rPr>
        <w:t> </w:t>
      </w:r>
      <w:r>
        <w:rPr/>
        <w:t>number</w:t>
      </w:r>
      <w:r>
        <w:rPr>
          <w:spacing w:val="-5"/>
        </w:rPr>
        <w:t> </w:t>
      </w:r>
      <w:r>
        <w:rPr/>
        <w:t>of</w:t>
      </w:r>
      <w:r>
        <w:rPr>
          <w:spacing w:val="-5"/>
        </w:rPr>
        <w:t> </w:t>
      </w:r>
      <w:r>
        <w:rPr/>
        <w:t>customers</w:t>
      </w:r>
      <w:r>
        <w:rPr>
          <w:spacing w:val="-4"/>
        </w:rPr>
        <w:t> </w:t>
      </w:r>
      <w:r>
        <w:rPr/>
        <w:t>have</w:t>
      </w:r>
      <w:r>
        <w:rPr>
          <w:spacing w:val="-5"/>
        </w:rPr>
        <w:t> </w:t>
      </w:r>
      <w:r>
        <w:rPr/>
        <w:t>the</w:t>
      </w:r>
      <w:r>
        <w:rPr>
          <w:spacing w:val="-5"/>
        </w:rPr>
        <w:t> </w:t>
      </w:r>
      <w:r>
        <w:rPr/>
        <w:t>right</w:t>
      </w:r>
      <w:r>
        <w:rPr>
          <w:spacing w:val="-5"/>
        </w:rPr>
        <w:t> </w:t>
      </w:r>
      <w:r>
        <w:rPr/>
        <w:t>to</w:t>
      </w:r>
      <w:r>
        <w:rPr>
          <w:spacing w:val="-5"/>
        </w:rPr>
        <w:t> </w:t>
      </w:r>
      <w:r>
        <w:rPr/>
        <w:t>cancel their contracts by providing prior written notice to us of their intent to cancel the remainder of the contract term. In the event a customer cancels its contract, they are not entitled to a refund for prior services we have provided to them.</w:t>
      </w:r>
    </w:p>
    <w:p>
      <w:pPr>
        <w:pStyle w:val="BodyText"/>
        <w:spacing w:line="249" w:lineRule="auto" w:before="122"/>
        <w:ind w:left="220" w:right="257" w:firstLine="540"/>
        <w:jc w:val="both"/>
      </w:pPr>
      <w:r>
        <w:rPr/>
        <w:t>On a quarterly basis, the amount of revenue that is reserved for future returns is calculated based on our historical trends and data specific to each reporting period. We review the actual returns evidenced in prior quarters as a percent of revenue to determine</w:t>
      </w:r>
      <w:r>
        <w:rPr>
          <w:spacing w:val="-3"/>
        </w:rPr>
        <w:t> </w:t>
      </w:r>
      <w:r>
        <w:rPr/>
        <w:t>a</w:t>
      </w:r>
      <w:r>
        <w:rPr>
          <w:spacing w:val="-3"/>
        </w:rPr>
        <w:t> </w:t>
      </w:r>
      <w:r>
        <w:rPr/>
        <w:t>historical</w:t>
      </w:r>
      <w:r>
        <w:rPr>
          <w:spacing w:val="-3"/>
        </w:rPr>
        <w:t> </w:t>
      </w:r>
      <w:r>
        <w:rPr/>
        <w:t>returns</w:t>
      </w:r>
      <w:r>
        <w:rPr>
          <w:spacing w:val="-3"/>
        </w:rPr>
        <w:t> </w:t>
      </w:r>
      <w:r>
        <w:rPr/>
        <w:t>rate.</w:t>
      </w:r>
      <w:r>
        <w:rPr>
          <w:spacing w:val="-6"/>
        </w:rPr>
        <w:t> </w:t>
      </w:r>
      <w:r>
        <w:rPr/>
        <w:t>We</w:t>
      </w:r>
      <w:r>
        <w:rPr>
          <w:spacing w:val="-3"/>
        </w:rPr>
        <w:t> </w:t>
      </w:r>
      <w:r>
        <w:rPr/>
        <w:t>then</w:t>
      </w:r>
      <w:r>
        <w:rPr>
          <w:spacing w:val="-3"/>
        </w:rPr>
        <w:t> </w:t>
      </w:r>
      <w:r>
        <w:rPr/>
        <w:t>apply</w:t>
      </w:r>
      <w:r>
        <w:rPr>
          <w:spacing w:val="-3"/>
        </w:rPr>
        <w:t> </w:t>
      </w:r>
      <w:r>
        <w:rPr/>
        <w:t>the</w:t>
      </w:r>
      <w:r>
        <w:rPr>
          <w:spacing w:val="-3"/>
        </w:rPr>
        <w:t> </w:t>
      </w:r>
      <w:r>
        <w:rPr/>
        <w:t>historical</w:t>
      </w:r>
      <w:r>
        <w:rPr>
          <w:spacing w:val="-3"/>
        </w:rPr>
        <w:t> </w:t>
      </w:r>
      <w:r>
        <w:rPr/>
        <w:t>rate</w:t>
      </w:r>
      <w:r>
        <w:rPr>
          <w:spacing w:val="-3"/>
        </w:rPr>
        <w:t> </w:t>
      </w:r>
      <w:r>
        <w:rPr/>
        <w:t>to</w:t>
      </w:r>
      <w:r>
        <w:rPr>
          <w:spacing w:val="-3"/>
        </w:rPr>
        <w:t> </w:t>
      </w:r>
      <w:r>
        <w:rPr/>
        <w:t>the</w:t>
      </w:r>
      <w:r>
        <w:rPr>
          <w:spacing w:val="-3"/>
        </w:rPr>
        <w:t> </w:t>
      </w:r>
      <w:r>
        <w:rPr/>
        <w:t>current</w:t>
      </w:r>
      <w:r>
        <w:rPr>
          <w:spacing w:val="-3"/>
        </w:rPr>
        <w:t> </w:t>
      </w:r>
      <w:r>
        <w:rPr/>
        <w:t>period</w:t>
      </w:r>
      <w:r>
        <w:rPr>
          <w:spacing w:val="-3"/>
        </w:rPr>
        <w:t> </w:t>
      </w:r>
      <w:r>
        <w:rPr/>
        <w:t>revenue</w:t>
      </w:r>
      <w:r>
        <w:rPr>
          <w:spacing w:val="-3"/>
        </w:rPr>
        <w:t> </w:t>
      </w:r>
      <w:r>
        <w:rPr/>
        <w:t>as</w:t>
      </w:r>
      <w:r>
        <w:rPr>
          <w:spacing w:val="-3"/>
        </w:rPr>
        <w:t> </w:t>
      </w:r>
      <w:r>
        <w:rPr/>
        <w:t>a</w:t>
      </w:r>
      <w:r>
        <w:rPr>
          <w:spacing w:val="-3"/>
        </w:rPr>
        <w:t> </w:t>
      </w:r>
      <w:r>
        <w:rPr/>
        <w:t>basis</w:t>
      </w:r>
      <w:r>
        <w:rPr>
          <w:spacing w:val="-3"/>
        </w:rPr>
        <w:t> </w:t>
      </w:r>
      <w:r>
        <w:rPr/>
        <w:t>for</w:t>
      </w:r>
      <w:r>
        <w:rPr>
          <w:spacing w:val="-3"/>
        </w:rPr>
        <w:t> </w:t>
      </w:r>
      <w:r>
        <w:rPr/>
        <w:t>estimating</w:t>
      </w:r>
      <w:r>
        <w:rPr>
          <w:spacing w:val="-3"/>
        </w:rPr>
        <w:t> </w:t>
      </w:r>
      <w:r>
        <w:rPr/>
        <w:t>future returns.</w:t>
      </w:r>
      <w:r>
        <w:rPr>
          <w:spacing w:val="-8"/>
        </w:rPr>
        <w:t> </w:t>
      </w:r>
      <w:r>
        <w:rPr/>
        <w:t>When</w:t>
      </w:r>
      <w:r>
        <w:rPr>
          <w:spacing w:val="-4"/>
        </w:rPr>
        <w:t> </w:t>
      </w:r>
      <w:r>
        <w:rPr/>
        <w:t>necessary,</w:t>
      </w:r>
      <w:r>
        <w:rPr>
          <w:spacing w:val="-4"/>
        </w:rPr>
        <w:t> </w:t>
      </w:r>
      <w:r>
        <w:rPr/>
        <w:t>we</w:t>
      </w:r>
      <w:r>
        <w:rPr>
          <w:spacing w:val="-4"/>
        </w:rPr>
        <w:t> </w:t>
      </w:r>
      <w:r>
        <w:rPr/>
        <w:t>also</w:t>
      </w:r>
      <w:r>
        <w:rPr>
          <w:spacing w:val="-4"/>
        </w:rPr>
        <w:t> </w:t>
      </w:r>
      <w:r>
        <w:rPr/>
        <w:t>provide</w:t>
      </w:r>
      <w:r>
        <w:rPr>
          <w:spacing w:val="-4"/>
        </w:rPr>
        <w:t> </w:t>
      </w:r>
      <w:r>
        <w:rPr/>
        <w:t>a</w:t>
      </w:r>
      <w:r>
        <w:rPr>
          <w:spacing w:val="-4"/>
        </w:rPr>
        <w:t> </w:t>
      </w:r>
      <w:r>
        <w:rPr/>
        <w:t>specific</w:t>
      </w:r>
      <w:r>
        <w:rPr>
          <w:spacing w:val="-4"/>
        </w:rPr>
        <w:t> </w:t>
      </w:r>
      <w:r>
        <w:rPr/>
        <w:t>returns</w:t>
      </w:r>
      <w:r>
        <w:rPr>
          <w:spacing w:val="-4"/>
        </w:rPr>
        <w:t> </w:t>
      </w:r>
      <w:r>
        <w:rPr/>
        <w:t>reserve</w:t>
      </w:r>
      <w:r>
        <w:rPr>
          <w:spacing w:val="-4"/>
        </w:rPr>
        <w:t> </w:t>
      </w:r>
      <w:r>
        <w:rPr/>
        <w:t>for</w:t>
      </w:r>
      <w:r>
        <w:rPr>
          <w:spacing w:val="-4"/>
        </w:rPr>
        <w:t> </w:t>
      </w:r>
      <w:r>
        <w:rPr/>
        <w:t>product</w:t>
      </w:r>
      <w:r>
        <w:rPr>
          <w:spacing w:val="-4"/>
        </w:rPr>
        <w:t> </w:t>
      </w:r>
      <w:r>
        <w:rPr/>
        <w:t>in</w:t>
      </w:r>
      <w:r>
        <w:rPr>
          <w:spacing w:val="-4"/>
        </w:rPr>
        <w:t> </w:t>
      </w:r>
      <w:r>
        <w:rPr/>
        <w:t>the</w:t>
      </w:r>
      <w:r>
        <w:rPr>
          <w:spacing w:val="-4"/>
        </w:rPr>
        <w:t> </w:t>
      </w:r>
      <w:r>
        <w:rPr/>
        <w:t>distribution</w:t>
      </w:r>
      <w:r>
        <w:rPr>
          <w:spacing w:val="-4"/>
        </w:rPr>
        <w:t> </w:t>
      </w:r>
      <w:r>
        <w:rPr/>
        <w:t>channel</w:t>
      </w:r>
      <w:r>
        <w:rPr>
          <w:spacing w:val="-4"/>
        </w:rPr>
        <w:t> </w:t>
      </w:r>
      <w:r>
        <w:rPr/>
        <w:t>in</w:t>
      </w:r>
      <w:r>
        <w:rPr>
          <w:spacing w:val="-4"/>
        </w:rPr>
        <w:t> </w:t>
      </w:r>
      <w:r>
        <w:rPr/>
        <w:t>excess</w:t>
      </w:r>
      <w:r>
        <w:rPr>
          <w:spacing w:val="-4"/>
        </w:rPr>
        <w:t> </w:t>
      </w:r>
      <w:r>
        <w:rPr/>
        <w:t>of</w:t>
      </w:r>
      <w:r>
        <w:rPr>
          <w:spacing w:val="-4"/>
        </w:rPr>
        <w:t> </w:t>
      </w:r>
      <w:r>
        <w:rPr/>
        <w:t>estimated requirements.</w:t>
      </w:r>
      <w:r>
        <w:rPr>
          <w:spacing w:val="-9"/>
        </w:rPr>
        <w:t> </w:t>
      </w:r>
      <w:r>
        <w:rPr/>
        <w:t>This</w:t>
      </w:r>
      <w:r>
        <w:rPr>
          <w:spacing w:val="-6"/>
        </w:rPr>
        <w:t> </w:t>
      </w:r>
      <w:r>
        <w:rPr/>
        <w:t>estimate</w:t>
      </w:r>
      <w:r>
        <w:rPr>
          <w:spacing w:val="-6"/>
        </w:rPr>
        <w:t> </w:t>
      </w:r>
      <w:r>
        <w:rPr/>
        <w:t>can</w:t>
      </w:r>
      <w:r>
        <w:rPr>
          <w:spacing w:val="-6"/>
        </w:rPr>
        <w:t> </w:t>
      </w:r>
      <w:r>
        <w:rPr/>
        <w:t>be</w:t>
      </w:r>
      <w:r>
        <w:rPr>
          <w:spacing w:val="-6"/>
        </w:rPr>
        <w:t> </w:t>
      </w:r>
      <w:r>
        <w:rPr/>
        <w:t>affected</w:t>
      </w:r>
      <w:r>
        <w:rPr>
          <w:spacing w:val="-6"/>
        </w:rPr>
        <w:t> </w:t>
      </w:r>
      <w:r>
        <w:rPr/>
        <w:t>by</w:t>
      </w:r>
      <w:r>
        <w:rPr>
          <w:spacing w:val="-6"/>
        </w:rPr>
        <w:t> </w:t>
      </w:r>
      <w:r>
        <w:rPr/>
        <w:t>the</w:t>
      </w:r>
      <w:r>
        <w:rPr>
          <w:spacing w:val="-6"/>
        </w:rPr>
        <w:t> </w:t>
      </w:r>
      <w:r>
        <w:rPr/>
        <w:t>amount</w:t>
      </w:r>
      <w:r>
        <w:rPr>
          <w:spacing w:val="-6"/>
        </w:rPr>
        <w:t> </w:t>
      </w:r>
      <w:r>
        <w:rPr/>
        <w:t>of</w:t>
      </w:r>
      <w:r>
        <w:rPr>
          <w:spacing w:val="-6"/>
        </w:rPr>
        <w:t> </w:t>
      </w:r>
      <w:r>
        <w:rPr/>
        <w:t>a</w:t>
      </w:r>
      <w:r>
        <w:rPr>
          <w:spacing w:val="-6"/>
        </w:rPr>
        <w:t> </w:t>
      </w:r>
      <w:r>
        <w:rPr/>
        <w:t>particular</w:t>
      </w:r>
      <w:r>
        <w:rPr>
          <w:spacing w:val="-6"/>
        </w:rPr>
        <w:t> </w:t>
      </w:r>
      <w:r>
        <w:rPr/>
        <w:t>product</w:t>
      </w:r>
      <w:r>
        <w:rPr>
          <w:spacing w:val="-6"/>
        </w:rPr>
        <w:t> </w:t>
      </w:r>
      <w:r>
        <w:rPr/>
        <w:t>in</w:t>
      </w:r>
      <w:r>
        <w:rPr>
          <w:spacing w:val="-6"/>
        </w:rPr>
        <w:t> </w:t>
      </w:r>
      <w:r>
        <w:rPr/>
        <w:t>the</w:t>
      </w:r>
      <w:r>
        <w:rPr>
          <w:spacing w:val="-6"/>
        </w:rPr>
        <w:t> </w:t>
      </w:r>
      <w:r>
        <w:rPr/>
        <w:t>channel,</w:t>
      </w:r>
      <w:r>
        <w:rPr>
          <w:spacing w:val="-6"/>
        </w:rPr>
        <w:t> </w:t>
      </w:r>
      <w:r>
        <w:rPr/>
        <w:t>the</w:t>
      </w:r>
      <w:r>
        <w:rPr>
          <w:spacing w:val="-6"/>
        </w:rPr>
        <w:t> </w:t>
      </w:r>
      <w:r>
        <w:rPr/>
        <w:t>rate</w:t>
      </w:r>
      <w:r>
        <w:rPr>
          <w:spacing w:val="-6"/>
        </w:rPr>
        <w:t> </w:t>
      </w:r>
      <w:r>
        <w:rPr/>
        <w:t>of</w:t>
      </w:r>
      <w:r>
        <w:rPr>
          <w:spacing w:val="-6"/>
        </w:rPr>
        <w:t> </w:t>
      </w:r>
      <w:r>
        <w:rPr/>
        <w:t>sell-through,</w:t>
      </w:r>
      <w:r>
        <w:rPr>
          <w:spacing w:val="-6"/>
        </w:rPr>
        <w:t> </w:t>
      </w:r>
      <w:r>
        <w:rPr/>
        <w:t>product plans and other factors.</w:t>
      </w:r>
    </w:p>
    <w:p>
      <w:pPr>
        <w:spacing w:before="125"/>
        <w:ind w:left="220" w:right="0" w:firstLine="0"/>
        <w:jc w:val="left"/>
        <w:rPr>
          <w:i/>
          <w:sz w:val="20"/>
        </w:rPr>
      </w:pPr>
      <w:r>
        <w:rPr>
          <w:i/>
          <w:sz w:val="20"/>
        </w:rPr>
        <w:t>Revenue</w:t>
      </w:r>
      <w:r>
        <w:rPr>
          <w:i/>
          <w:spacing w:val="-1"/>
          <w:sz w:val="20"/>
        </w:rPr>
        <w:t> </w:t>
      </w:r>
      <w:r>
        <w:rPr>
          <w:i/>
          <w:spacing w:val="-2"/>
          <w:sz w:val="20"/>
        </w:rPr>
        <w:t>Reserve</w:t>
      </w:r>
    </w:p>
    <w:p>
      <w:pPr>
        <w:pStyle w:val="BodyText"/>
        <w:spacing w:before="130"/>
        <w:ind w:left="760"/>
      </w:pPr>
      <w:r>
        <w:rPr/>
        <w:t>Revenue reserve rollforward (in </w:t>
      </w:r>
      <w:r>
        <w:rPr>
          <w:spacing w:val="-2"/>
        </w:rPr>
        <w:t>thousands):</w:t>
      </w:r>
    </w:p>
    <w:p>
      <w:pPr>
        <w:pStyle w:val="BodyText"/>
        <w:spacing w:before="1"/>
        <w:rPr>
          <w:sz w:val="19"/>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3"/>
        <w:gridCol w:w="3387"/>
        <w:gridCol w:w="1180"/>
        <w:gridCol w:w="1140"/>
      </w:tblGrid>
      <w:tr>
        <w:trPr>
          <w:trHeight w:val="217" w:hRule="atLeast"/>
        </w:trPr>
        <w:tc>
          <w:tcPr>
            <w:tcW w:w="4533" w:type="dxa"/>
          </w:tcPr>
          <w:p>
            <w:pPr>
              <w:pStyle w:val="TableParagraph"/>
              <w:rPr>
                <w:sz w:val="14"/>
              </w:rPr>
            </w:pPr>
          </w:p>
        </w:tc>
        <w:tc>
          <w:tcPr>
            <w:tcW w:w="3387" w:type="dxa"/>
          </w:tcPr>
          <w:p>
            <w:pPr>
              <w:pStyle w:val="TableParagraph"/>
              <w:spacing w:line="177" w:lineRule="exact"/>
              <w:ind w:right="469"/>
              <w:jc w:val="right"/>
              <w:rPr>
                <w:b/>
                <w:sz w:val="16"/>
              </w:rPr>
            </w:pPr>
            <w:r>
              <w:rPr>
                <w:b/>
                <w:spacing w:val="-4"/>
                <w:sz w:val="16"/>
              </w:rPr>
              <w:t>2017</w:t>
            </w:r>
          </w:p>
        </w:tc>
        <w:tc>
          <w:tcPr>
            <w:tcW w:w="1180" w:type="dxa"/>
            <w:tcBorders>
              <w:bottom w:val="single" w:sz="8" w:space="0" w:color="000000"/>
            </w:tcBorders>
          </w:tcPr>
          <w:p>
            <w:pPr>
              <w:pStyle w:val="TableParagraph"/>
              <w:spacing w:line="177" w:lineRule="exact"/>
              <w:ind w:left="8" w:right="67"/>
              <w:jc w:val="center"/>
              <w:rPr>
                <w:b/>
                <w:sz w:val="16"/>
              </w:rPr>
            </w:pPr>
            <w:r>
              <w:rPr>
                <w:b/>
                <w:spacing w:val="-4"/>
                <w:sz w:val="16"/>
              </w:rPr>
              <w:t>2016</w:t>
            </w:r>
          </w:p>
        </w:tc>
        <w:tc>
          <w:tcPr>
            <w:tcW w:w="1140" w:type="dxa"/>
            <w:tcBorders>
              <w:bottom w:val="single" w:sz="8" w:space="0" w:color="000000"/>
            </w:tcBorders>
          </w:tcPr>
          <w:p>
            <w:pPr>
              <w:pStyle w:val="TableParagraph"/>
              <w:spacing w:line="177" w:lineRule="exact"/>
              <w:ind w:left="2" w:right="2"/>
              <w:jc w:val="center"/>
              <w:rPr>
                <w:b/>
                <w:sz w:val="16"/>
              </w:rPr>
            </w:pPr>
            <w:r>
              <w:rPr>
                <w:b/>
                <w:spacing w:val="-4"/>
                <w:sz w:val="16"/>
              </w:rPr>
              <w:t>2015</w:t>
            </w:r>
          </w:p>
        </w:tc>
      </w:tr>
      <w:tr>
        <w:trPr>
          <w:trHeight w:val="270" w:hRule="atLeast"/>
        </w:trPr>
        <w:tc>
          <w:tcPr>
            <w:tcW w:w="4533" w:type="dxa"/>
            <w:shd w:val="clear" w:color="auto" w:fill="CCEDFF"/>
          </w:tcPr>
          <w:p>
            <w:pPr>
              <w:pStyle w:val="TableParagraph"/>
              <w:spacing w:line="222" w:lineRule="exact"/>
              <w:ind w:left="50"/>
              <w:rPr>
                <w:sz w:val="20"/>
              </w:rPr>
            </w:pPr>
            <w:r>
              <w:rPr>
                <w:sz w:val="20"/>
              </w:rPr>
              <w:t>Beginning </w:t>
            </w:r>
            <w:r>
              <w:rPr>
                <w:spacing w:val="-2"/>
                <w:sz w:val="20"/>
              </w:rPr>
              <w:t>balance</w:t>
            </w:r>
          </w:p>
        </w:tc>
        <w:tc>
          <w:tcPr>
            <w:tcW w:w="3387" w:type="dxa"/>
            <w:shd w:val="clear" w:color="auto" w:fill="CCEDFF"/>
          </w:tcPr>
          <w:p>
            <w:pPr>
              <w:pStyle w:val="TableParagraph"/>
              <w:tabs>
                <w:tab w:pos="442" w:val="left" w:leader="none"/>
              </w:tabs>
              <w:spacing w:line="222" w:lineRule="exact"/>
              <w:ind w:right="136"/>
              <w:jc w:val="right"/>
              <w:rPr>
                <w:sz w:val="20"/>
              </w:rPr>
            </w:pPr>
            <w:r>
              <w:rPr>
                <w:spacing w:val="-10"/>
                <w:sz w:val="20"/>
              </w:rPr>
              <w:t>$</w:t>
            </w:r>
            <w:r>
              <w:rPr>
                <w:sz w:val="20"/>
              </w:rPr>
              <w:tab/>
            </w:r>
            <w:r>
              <w:rPr>
                <w:spacing w:val="-2"/>
                <w:sz w:val="20"/>
              </w:rPr>
              <w:t>23,096</w:t>
            </w:r>
          </w:p>
        </w:tc>
        <w:tc>
          <w:tcPr>
            <w:tcW w:w="1180" w:type="dxa"/>
            <w:tcBorders>
              <w:top w:val="single" w:sz="8" w:space="0" w:color="000000"/>
            </w:tcBorders>
            <w:shd w:val="clear" w:color="auto" w:fill="CCEDFF"/>
          </w:tcPr>
          <w:p>
            <w:pPr>
              <w:pStyle w:val="TableParagraph"/>
              <w:tabs>
                <w:tab w:pos="422" w:val="left" w:leader="none"/>
              </w:tabs>
              <w:spacing w:line="222" w:lineRule="exact"/>
              <w:ind w:right="136"/>
              <w:jc w:val="right"/>
              <w:rPr>
                <w:sz w:val="20"/>
              </w:rPr>
            </w:pPr>
            <w:r>
              <w:rPr>
                <w:spacing w:val="-10"/>
                <w:sz w:val="20"/>
              </w:rPr>
              <w:t>$</w:t>
            </w:r>
            <w:r>
              <w:rPr>
                <w:sz w:val="20"/>
              </w:rPr>
              <w:tab/>
            </w:r>
            <w:r>
              <w:rPr>
                <w:spacing w:val="-2"/>
                <w:sz w:val="20"/>
              </w:rPr>
              <w:t>19,446</w:t>
            </w:r>
          </w:p>
        </w:tc>
        <w:tc>
          <w:tcPr>
            <w:tcW w:w="1140" w:type="dxa"/>
            <w:tcBorders>
              <w:top w:val="single" w:sz="8" w:space="0" w:color="000000"/>
            </w:tcBorders>
            <w:shd w:val="clear" w:color="auto" w:fill="CCEDFF"/>
          </w:tcPr>
          <w:p>
            <w:pPr>
              <w:pStyle w:val="TableParagraph"/>
              <w:tabs>
                <w:tab w:pos="442" w:val="left" w:leader="none"/>
              </w:tabs>
              <w:spacing w:line="222" w:lineRule="exact"/>
              <w:ind w:right="76"/>
              <w:jc w:val="right"/>
              <w:rPr>
                <w:sz w:val="20"/>
              </w:rPr>
            </w:pPr>
            <w:r>
              <w:rPr>
                <w:spacing w:val="-10"/>
                <w:sz w:val="20"/>
              </w:rPr>
              <w:t>$</w:t>
            </w:r>
            <w:r>
              <w:rPr>
                <w:sz w:val="20"/>
              </w:rPr>
              <w:tab/>
            </w:r>
            <w:r>
              <w:rPr>
                <w:spacing w:val="-2"/>
                <w:sz w:val="20"/>
              </w:rPr>
              <w:t>17,402</w:t>
            </w:r>
          </w:p>
        </w:tc>
      </w:tr>
      <w:tr>
        <w:trPr>
          <w:trHeight w:val="280" w:hRule="atLeast"/>
        </w:trPr>
        <w:tc>
          <w:tcPr>
            <w:tcW w:w="4533" w:type="dxa"/>
          </w:tcPr>
          <w:p>
            <w:pPr>
              <w:pStyle w:val="TableParagraph"/>
              <w:spacing w:before="2"/>
              <w:ind w:left="50"/>
              <w:rPr>
                <w:sz w:val="20"/>
              </w:rPr>
            </w:pPr>
            <w:r>
              <w:rPr>
                <w:sz w:val="20"/>
              </w:rPr>
              <w:t>Amount</w:t>
            </w:r>
            <w:r>
              <w:rPr>
                <w:spacing w:val="-1"/>
                <w:sz w:val="20"/>
              </w:rPr>
              <w:t> </w:t>
            </w:r>
            <w:r>
              <w:rPr>
                <w:sz w:val="20"/>
              </w:rPr>
              <w:t>charged</w:t>
            </w:r>
            <w:r>
              <w:rPr>
                <w:spacing w:val="-1"/>
                <w:sz w:val="20"/>
              </w:rPr>
              <w:t> </w:t>
            </w:r>
            <w:r>
              <w:rPr>
                <w:sz w:val="20"/>
              </w:rPr>
              <w:t>to </w:t>
            </w:r>
            <w:r>
              <w:rPr>
                <w:spacing w:val="-2"/>
                <w:sz w:val="20"/>
              </w:rPr>
              <w:t>revenue</w:t>
            </w:r>
          </w:p>
        </w:tc>
        <w:tc>
          <w:tcPr>
            <w:tcW w:w="3387" w:type="dxa"/>
          </w:tcPr>
          <w:p>
            <w:pPr>
              <w:pStyle w:val="TableParagraph"/>
              <w:spacing w:before="2"/>
              <w:ind w:right="136"/>
              <w:jc w:val="right"/>
              <w:rPr>
                <w:sz w:val="20"/>
              </w:rPr>
            </w:pPr>
            <w:r>
              <w:rPr>
                <w:spacing w:val="-2"/>
                <w:sz w:val="20"/>
              </w:rPr>
              <w:t>61,031</w:t>
            </w:r>
          </w:p>
        </w:tc>
        <w:tc>
          <w:tcPr>
            <w:tcW w:w="1180" w:type="dxa"/>
          </w:tcPr>
          <w:p>
            <w:pPr>
              <w:pStyle w:val="TableParagraph"/>
              <w:spacing w:before="2"/>
              <w:ind w:right="136"/>
              <w:jc w:val="right"/>
              <w:rPr>
                <w:sz w:val="20"/>
              </w:rPr>
            </w:pPr>
            <w:r>
              <w:rPr>
                <w:spacing w:val="-2"/>
                <w:sz w:val="20"/>
              </w:rPr>
              <w:t>55,739</w:t>
            </w:r>
          </w:p>
        </w:tc>
        <w:tc>
          <w:tcPr>
            <w:tcW w:w="1140" w:type="dxa"/>
          </w:tcPr>
          <w:p>
            <w:pPr>
              <w:pStyle w:val="TableParagraph"/>
              <w:spacing w:before="2"/>
              <w:ind w:right="76"/>
              <w:jc w:val="right"/>
              <w:rPr>
                <w:sz w:val="20"/>
              </w:rPr>
            </w:pPr>
            <w:r>
              <w:rPr>
                <w:spacing w:val="-2"/>
                <w:sz w:val="20"/>
              </w:rPr>
              <w:t>45,676</w:t>
            </w:r>
          </w:p>
        </w:tc>
      </w:tr>
      <w:tr>
        <w:trPr>
          <w:trHeight w:val="270" w:hRule="atLeast"/>
        </w:trPr>
        <w:tc>
          <w:tcPr>
            <w:tcW w:w="4533" w:type="dxa"/>
            <w:shd w:val="clear" w:color="auto" w:fill="CCEDFF"/>
          </w:tcPr>
          <w:p>
            <w:pPr>
              <w:pStyle w:val="TableParagraph"/>
              <w:spacing w:before="2"/>
              <w:ind w:left="50"/>
              <w:rPr>
                <w:sz w:val="20"/>
              </w:rPr>
            </w:pPr>
            <w:r>
              <w:rPr>
                <w:sz w:val="20"/>
              </w:rPr>
              <w:t>Actual </w:t>
            </w:r>
            <w:r>
              <w:rPr>
                <w:spacing w:val="-2"/>
                <w:sz w:val="20"/>
              </w:rPr>
              <w:t>returns</w:t>
            </w:r>
          </w:p>
        </w:tc>
        <w:tc>
          <w:tcPr>
            <w:tcW w:w="3387" w:type="dxa"/>
            <w:shd w:val="clear" w:color="auto" w:fill="CCEDFF"/>
          </w:tcPr>
          <w:p>
            <w:pPr>
              <w:pStyle w:val="TableParagraph"/>
              <w:spacing w:before="2"/>
              <w:ind w:right="68"/>
              <w:jc w:val="right"/>
              <w:rPr>
                <w:sz w:val="20"/>
              </w:rPr>
            </w:pPr>
            <w:r>
              <w:rPr>
                <w:spacing w:val="-2"/>
                <w:sz w:val="20"/>
              </w:rPr>
              <w:t>(62,121)</w:t>
            </w:r>
          </w:p>
        </w:tc>
        <w:tc>
          <w:tcPr>
            <w:tcW w:w="1180" w:type="dxa"/>
            <w:tcBorders>
              <w:bottom w:val="single" w:sz="8" w:space="0" w:color="000000"/>
            </w:tcBorders>
            <w:shd w:val="clear" w:color="auto" w:fill="CCEDFF"/>
          </w:tcPr>
          <w:p>
            <w:pPr>
              <w:pStyle w:val="TableParagraph"/>
              <w:spacing w:before="2"/>
              <w:ind w:right="68"/>
              <w:jc w:val="right"/>
              <w:rPr>
                <w:sz w:val="20"/>
              </w:rPr>
            </w:pPr>
            <w:r>
              <w:rPr>
                <w:spacing w:val="-2"/>
                <w:sz w:val="20"/>
              </w:rPr>
              <w:t>(52,089)</w:t>
            </w:r>
          </w:p>
        </w:tc>
        <w:tc>
          <w:tcPr>
            <w:tcW w:w="1140" w:type="dxa"/>
            <w:tcBorders>
              <w:bottom w:val="single" w:sz="8" w:space="0" w:color="000000"/>
            </w:tcBorders>
            <w:shd w:val="clear" w:color="auto" w:fill="CCEDFF"/>
          </w:tcPr>
          <w:p>
            <w:pPr>
              <w:pStyle w:val="TableParagraph"/>
              <w:spacing w:before="2"/>
              <w:ind w:right="8"/>
              <w:jc w:val="right"/>
              <w:rPr>
                <w:sz w:val="20"/>
              </w:rPr>
            </w:pPr>
            <w:r>
              <w:rPr>
                <w:spacing w:val="-2"/>
                <w:sz w:val="20"/>
              </w:rPr>
              <w:t>(43,632)</w:t>
            </w:r>
          </w:p>
        </w:tc>
      </w:tr>
      <w:tr>
        <w:trPr>
          <w:trHeight w:val="221" w:hRule="atLeast"/>
        </w:trPr>
        <w:tc>
          <w:tcPr>
            <w:tcW w:w="4533" w:type="dxa"/>
          </w:tcPr>
          <w:p>
            <w:pPr>
              <w:pStyle w:val="TableParagraph"/>
              <w:spacing w:line="202" w:lineRule="exact"/>
              <w:ind w:left="50"/>
              <w:rPr>
                <w:sz w:val="20"/>
              </w:rPr>
            </w:pPr>
            <w:r>
              <w:rPr>
                <w:sz w:val="20"/>
              </w:rPr>
              <w:t>Ending </w:t>
            </w:r>
            <w:r>
              <w:rPr>
                <w:spacing w:val="-2"/>
                <w:sz w:val="20"/>
              </w:rPr>
              <w:t>balance</w:t>
            </w:r>
          </w:p>
        </w:tc>
        <w:tc>
          <w:tcPr>
            <w:tcW w:w="3387" w:type="dxa"/>
          </w:tcPr>
          <w:p>
            <w:pPr>
              <w:pStyle w:val="TableParagraph"/>
              <w:tabs>
                <w:tab w:pos="442" w:val="left" w:leader="none"/>
              </w:tabs>
              <w:spacing w:line="202" w:lineRule="exact"/>
              <w:ind w:right="136"/>
              <w:jc w:val="right"/>
              <w:rPr>
                <w:sz w:val="20"/>
              </w:rPr>
            </w:pPr>
            <w:r>
              <w:rPr>
                <w:spacing w:val="-10"/>
                <w:sz w:val="20"/>
              </w:rPr>
              <w:t>$</w:t>
            </w:r>
            <w:r>
              <w:rPr>
                <w:sz w:val="20"/>
              </w:rPr>
              <w:tab/>
            </w:r>
            <w:r>
              <w:rPr>
                <w:spacing w:val="-2"/>
                <w:sz w:val="20"/>
              </w:rPr>
              <w:t>22,006</w:t>
            </w:r>
          </w:p>
        </w:tc>
        <w:tc>
          <w:tcPr>
            <w:tcW w:w="1180" w:type="dxa"/>
            <w:tcBorders>
              <w:top w:val="single" w:sz="8" w:space="0" w:color="000000"/>
            </w:tcBorders>
          </w:tcPr>
          <w:p>
            <w:pPr>
              <w:pStyle w:val="TableParagraph"/>
              <w:tabs>
                <w:tab w:pos="422" w:val="left" w:leader="none"/>
              </w:tabs>
              <w:spacing w:line="202" w:lineRule="exact"/>
              <w:ind w:right="136"/>
              <w:jc w:val="right"/>
              <w:rPr>
                <w:sz w:val="20"/>
              </w:rPr>
            </w:pPr>
            <w:r>
              <w:rPr>
                <w:spacing w:val="-10"/>
                <w:sz w:val="20"/>
              </w:rPr>
              <w:t>$</w:t>
            </w:r>
            <w:r>
              <w:rPr>
                <w:sz w:val="20"/>
              </w:rPr>
              <w:tab/>
            </w:r>
            <w:r>
              <w:rPr>
                <w:spacing w:val="-2"/>
                <w:sz w:val="20"/>
              </w:rPr>
              <w:t>23,096</w:t>
            </w:r>
          </w:p>
        </w:tc>
        <w:tc>
          <w:tcPr>
            <w:tcW w:w="1140" w:type="dxa"/>
            <w:tcBorders>
              <w:top w:val="single" w:sz="8" w:space="0" w:color="000000"/>
            </w:tcBorders>
          </w:tcPr>
          <w:p>
            <w:pPr>
              <w:pStyle w:val="TableParagraph"/>
              <w:tabs>
                <w:tab w:pos="442" w:val="left" w:leader="none"/>
              </w:tabs>
              <w:spacing w:line="202" w:lineRule="exact"/>
              <w:ind w:right="76"/>
              <w:jc w:val="right"/>
              <w:rPr>
                <w:sz w:val="20"/>
              </w:rPr>
            </w:pPr>
            <w:r>
              <w:rPr>
                <w:spacing w:val="-10"/>
                <w:sz w:val="20"/>
              </w:rPr>
              <w:t>$</w:t>
            </w:r>
            <w:r>
              <w:rPr>
                <w:sz w:val="20"/>
              </w:rPr>
              <w:tab/>
            </w:r>
            <w:r>
              <w:rPr>
                <w:spacing w:val="-2"/>
                <w:sz w:val="20"/>
              </w:rPr>
              <w:t>19,446</w:t>
            </w:r>
          </w:p>
        </w:tc>
      </w:tr>
    </w:tbl>
    <w:p>
      <w:pPr>
        <w:spacing w:line="60" w:lineRule="exact"/>
        <w:ind w:left="6960" w:right="0" w:firstLine="0"/>
        <w:jc w:val="left"/>
        <w:rPr>
          <w:sz w:val="6"/>
        </w:rPr>
      </w:pPr>
      <w:r>
        <w:rPr>
          <w:position w:val="0"/>
          <w:sz w:val="6"/>
        </w:rPr>
        <mc:AlternateContent>
          <mc:Choice Requires="wps">
            <w:drawing>
              <wp:inline distT="0" distB="0" distL="0" distR="0">
                <wp:extent cx="711200" cy="38100"/>
                <wp:effectExtent l="9525" t="0" r="3175" b="0"/>
                <wp:docPr id="370" name="Group 370"/>
                <wp:cNvGraphicFramePr>
                  <a:graphicFrameLocks/>
                </wp:cNvGraphicFramePr>
                <a:graphic>
                  <a:graphicData uri="http://schemas.microsoft.com/office/word/2010/wordprocessingGroup">
                    <wpg:wgp>
                      <wpg:cNvPr id="370" name="Group 370"/>
                      <wpg:cNvGrpSpPr/>
                      <wpg:grpSpPr>
                        <a:xfrm>
                          <a:off x="0" y="0"/>
                          <a:ext cx="711200" cy="38100"/>
                          <a:chExt cx="711200" cy="38100"/>
                        </a:xfrm>
                      </wpg:grpSpPr>
                      <wps:wsp>
                        <wps:cNvPr id="371" name="Graphic 371"/>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303" coordorigin="0,0" coordsize="1120,60">
                <v:shape style="position:absolute;left:0;top:10;width:1120;height:40" id="docshape304" coordorigin="0,10" coordsize="1120,40" path="m0,10l1120,10m0,50l1120,50e" filled="false" stroked="true" strokeweight="1pt" strokecolor="#000000">
                  <v:path arrowok="t"/>
                  <v:stroke dashstyle="solid"/>
                </v:shape>
              </v:group>
            </w:pict>
          </mc:Fallback>
        </mc:AlternateContent>
      </w:r>
      <w:r>
        <w:rPr>
          <w:position w:val="0"/>
          <w:sz w:val="6"/>
        </w:rPr>
      </w:r>
      <w:r>
        <w:rPr>
          <w:spacing w:val="30"/>
          <w:position w:val="0"/>
          <w:sz w:val="6"/>
        </w:rPr>
        <w:t> </w:t>
      </w:r>
      <w:r>
        <w:rPr>
          <w:spacing w:val="30"/>
          <w:position w:val="0"/>
          <w:sz w:val="6"/>
        </w:rPr>
        <mc:AlternateContent>
          <mc:Choice Requires="wps">
            <w:drawing>
              <wp:inline distT="0" distB="0" distL="0" distR="0">
                <wp:extent cx="698500" cy="38100"/>
                <wp:effectExtent l="9525" t="0" r="6350" b="0"/>
                <wp:docPr id="372" name="Group 372"/>
                <wp:cNvGraphicFramePr>
                  <a:graphicFrameLocks/>
                </wp:cNvGraphicFramePr>
                <a:graphic>
                  <a:graphicData uri="http://schemas.microsoft.com/office/word/2010/wordprocessingGroup">
                    <wpg:wgp>
                      <wpg:cNvPr id="372" name="Group 372"/>
                      <wpg:cNvGrpSpPr/>
                      <wpg:grpSpPr>
                        <a:xfrm>
                          <a:off x="0" y="0"/>
                          <a:ext cx="698500" cy="38100"/>
                          <a:chExt cx="698500" cy="38100"/>
                        </a:xfrm>
                      </wpg:grpSpPr>
                      <wps:wsp>
                        <wps:cNvPr id="373" name="Graphic 373"/>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3pt;mso-position-horizontal-relative:char;mso-position-vertical-relative:line" id="docshapegroup305" coordorigin="0,0" coordsize="1100,60">
                <v:shape style="position:absolute;left:0;top:10;width:1100;height:40" id="docshape306" coordorigin="0,10" coordsize="1100,40" path="m0,10l1100,10m0,50l1100,50e" filled="false" stroked="true" strokeweight="1pt" strokecolor="#000000">
                  <v:path arrowok="t"/>
                  <v:stroke dashstyle="solid"/>
                </v:shape>
              </v:group>
            </w:pict>
          </mc:Fallback>
        </mc:AlternateContent>
      </w:r>
      <w:r>
        <w:rPr>
          <w:spacing w:val="30"/>
          <w:position w:val="0"/>
          <w:sz w:val="6"/>
        </w:rPr>
      </w:r>
      <w:r>
        <w:rPr>
          <w:spacing w:val="40"/>
          <w:position w:val="0"/>
          <w:sz w:val="6"/>
        </w:rPr>
        <w:t> </w:t>
      </w:r>
      <w:r>
        <w:rPr>
          <w:spacing w:val="40"/>
          <w:position w:val="0"/>
          <w:sz w:val="6"/>
        </w:rPr>
        <mc:AlternateContent>
          <mc:Choice Requires="wps">
            <w:drawing>
              <wp:inline distT="0" distB="0" distL="0" distR="0">
                <wp:extent cx="711200" cy="38100"/>
                <wp:effectExtent l="9525" t="0" r="3175" b="0"/>
                <wp:docPr id="374" name="Group 374"/>
                <wp:cNvGraphicFramePr>
                  <a:graphicFrameLocks/>
                </wp:cNvGraphicFramePr>
                <a:graphic>
                  <a:graphicData uri="http://schemas.microsoft.com/office/word/2010/wordprocessingGroup">
                    <wpg:wgp>
                      <wpg:cNvPr id="374" name="Group 374"/>
                      <wpg:cNvGrpSpPr/>
                      <wpg:grpSpPr>
                        <a:xfrm>
                          <a:off x="0" y="0"/>
                          <a:ext cx="711200" cy="38100"/>
                          <a:chExt cx="711200" cy="38100"/>
                        </a:xfrm>
                      </wpg:grpSpPr>
                      <wps:wsp>
                        <wps:cNvPr id="375" name="Graphic 375"/>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307" coordorigin="0,0" coordsize="1120,60">
                <v:shape style="position:absolute;left:0;top:10;width:1120;height:40" id="docshape308" coordorigin="0,10" coordsize="1120,40" path="m0,10l1120,10m0,50l1120,50e" filled="false" stroked="true" strokeweight="1pt" strokecolor="#000000">
                  <v:path arrowok="t"/>
                  <v:stroke dashstyle="solid"/>
                </v:shape>
              </v:group>
            </w:pict>
          </mc:Fallback>
        </mc:AlternateContent>
      </w:r>
      <w:r>
        <w:rPr>
          <w:spacing w:val="40"/>
          <w:position w:val="0"/>
          <w:sz w:val="6"/>
        </w:rPr>
      </w:r>
    </w:p>
    <w:p>
      <w:pPr>
        <w:spacing w:before="152"/>
        <w:ind w:left="220" w:right="0" w:firstLine="0"/>
        <w:jc w:val="left"/>
        <w:rPr>
          <w:i/>
          <w:sz w:val="20"/>
        </w:rPr>
      </w:pPr>
      <w:r>
        <w:rPr>
          <w:i/>
          <w:spacing w:val="-2"/>
          <w:sz w:val="20"/>
        </w:rPr>
        <w:t>Deferred</w:t>
      </w:r>
      <w:r>
        <w:rPr>
          <w:i/>
          <w:spacing w:val="1"/>
          <w:sz w:val="20"/>
        </w:rPr>
        <w:t> </w:t>
      </w:r>
      <w:r>
        <w:rPr>
          <w:i/>
          <w:spacing w:val="-2"/>
          <w:sz w:val="20"/>
        </w:rPr>
        <w:t>Revenue</w:t>
      </w:r>
    </w:p>
    <w:p>
      <w:pPr>
        <w:pStyle w:val="BodyText"/>
        <w:spacing w:line="249" w:lineRule="auto" w:before="130"/>
        <w:ind w:left="220" w:right="258" w:firstLine="590"/>
        <w:jc w:val="both"/>
      </w:pPr>
      <w:r>
        <w:rPr>
          <w:spacing w:val="-4"/>
        </w:rPr>
        <w:t>Deferred revenue consists of billings and payments received in advance of revenue recognition for our products and solutions </w:t>
      </w:r>
      <w:r>
        <w:rPr/>
        <w:t>described above. We recognize deferred revenue as revenue only when the revenue recognition criteria are met.</w:t>
      </w:r>
    </w:p>
    <w:p>
      <w:pPr>
        <w:spacing w:before="182"/>
        <w:ind w:left="220" w:right="0" w:firstLine="0"/>
        <w:jc w:val="left"/>
        <w:rPr>
          <w:i/>
          <w:sz w:val="20"/>
        </w:rPr>
      </w:pPr>
      <w:r>
        <w:rPr>
          <w:i/>
          <w:sz w:val="20"/>
        </w:rPr>
        <w:t>Allowance</w:t>
      </w:r>
      <w:r>
        <w:rPr>
          <w:i/>
          <w:spacing w:val="-3"/>
          <w:sz w:val="20"/>
        </w:rPr>
        <w:t> </w:t>
      </w:r>
      <w:r>
        <w:rPr>
          <w:i/>
          <w:sz w:val="20"/>
        </w:rPr>
        <w:t>for</w:t>
      </w:r>
      <w:r>
        <w:rPr>
          <w:i/>
          <w:spacing w:val="-2"/>
          <w:sz w:val="20"/>
        </w:rPr>
        <w:t> </w:t>
      </w:r>
      <w:r>
        <w:rPr>
          <w:i/>
          <w:sz w:val="20"/>
        </w:rPr>
        <w:t>Doubtful</w:t>
      </w:r>
      <w:r>
        <w:rPr>
          <w:i/>
          <w:spacing w:val="-4"/>
          <w:sz w:val="20"/>
        </w:rPr>
        <w:t> </w:t>
      </w:r>
      <w:r>
        <w:rPr>
          <w:i/>
          <w:spacing w:val="-2"/>
          <w:sz w:val="20"/>
        </w:rPr>
        <w:t>Accounts</w:t>
      </w:r>
    </w:p>
    <w:p>
      <w:pPr>
        <w:pStyle w:val="BodyText"/>
        <w:spacing w:line="249" w:lineRule="auto" w:before="190"/>
        <w:ind w:left="220" w:right="257" w:firstLine="540"/>
        <w:jc w:val="both"/>
      </w:pPr>
      <w:r>
        <w:rPr/>
        <w:t>We maintain an allowance for doubtful accounts which reflects our best estimate of potentially uncollectible trade receivables.</w:t>
      </w:r>
      <w:r>
        <w:rPr>
          <w:spacing w:val="-7"/>
        </w:rPr>
        <w:t> </w:t>
      </w:r>
      <w:r>
        <w:rPr/>
        <w:t>The</w:t>
      </w:r>
      <w:r>
        <w:rPr>
          <w:spacing w:val="-4"/>
        </w:rPr>
        <w:t> </w:t>
      </w:r>
      <w:r>
        <w:rPr/>
        <w:t>allowance</w:t>
      </w:r>
      <w:r>
        <w:rPr>
          <w:spacing w:val="-4"/>
        </w:rPr>
        <w:t> </w:t>
      </w:r>
      <w:r>
        <w:rPr/>
        <w:t>is</w:t>
      </w:r>
      <w:r>
        <w:rPr>
          <w:spacing w:val="-4"/>
        </w:rPr>
        <w:t> </w:t>
      </w:r>
      <w:r>
        <w:rPr/>
        <w:t>based</w:t>
      </w:r>
      <w:r>
        <w:rPr>
          <w:spacing w:val="-4"/>
        </w:rPr>
        <w:t> </w:t>
      </w:r>
      <w:r>
        <w:rPr/>
        <w:t>on</w:t>
      </w:r>
      <w:r>
        <w:rPr>
          <w:spacing w:val="-4"/>
        </w:rPr>
        <w:t> </w:t>
      </w:r>
      <w:r>
        <w:rPr/>
        <w:t>both</w:t>
      </w:r>
      <w:r>
        <w:rPr>
          <w:spacing w:val="-4"/>
        </w:rPr>
        <w:t> </w:t>
      </w:r>
      <w:r>
        <w:rPr/>
        <w:t>specific</w:t>
      </w:r>
      <w:r>
        <w:rPr>
          <w:spacing w:val="-4"/>
        </w:rPr>
        <w:t> </w:t>
      </w:r>
      <w:r>
        <w:rPr/>
        <w:t>and</w:t>
      </w:r>
      <w:r>
        <w:rPr>
          <w:spacing w:val="-4"/>
        </w:rPr>
        <w:t> </w:t>
      </w:r>
      <w:r>
        <w:rPr/>
        <w:t>general</w:t>
      </w:r>
      <w:r>
        <w:rPr>
          <w:spacing w:val="-4"/>
        </w:rPr>
        <w:t> </w:t>
      </w:r>
      <w:r>
        <w:rPr/>
        <w:t>reserves.</w:t>
      </w:r>
      <w:r>
        <w:rPr>
          <w:spacing w:val="-7"/>
        </w:rPr>
        <w:t> </w:t>
      </w:r>
      <w:r>
        <w:rPr/>
        <w:t>We</w:t>
      </w:r>
      <w:r>
        <w:rPr>
          <w:spacing w:val="-4"/>
        </w:rPr>
        <w:t> </w:t>
      </w:r>
      <w:r>
        <w:rPr/>
        <w:t>regularly</w:t>
      </w:r>
      <w:r>
        <w:rPr>
          <w:spacing w:val="-4"/>
        </w:rPr>
        <w:t> </w:t>
      </w:r>
      <w:r>
        <w:rPr/>
        <w:t>review</w:t>
      </w:r>
      <w:r>
        <w:rPr>
          <w:spacing w:val="-3"/>
        </w:rPr>
        <w:t> </w:t>
      </w:r>
      <w:r>
        <w:rPr/>
        <w:t>our</w:t>
      </w:r>
      <w:r>
        <w:rPr>
          <w:spacing w:val="-4"/>
        </w:rPr>
        <w:t> </w:t>
      </w:r>
      <w:r>
        <w:rPr/>
        <w:t>trade</w:t>
      </w:r>
      <w:r>
        <w:rPr>
          <w:spacing w:val="-4"/>
        </w:rPr>
        <w:t> </w:t>
      </w:r>
      <w:r>
        <w:rPr/>
        <w:t>receivables</w:t>
      </w:r>
      <w:r>
        <w:rPr>
          <w:spacing w:val="-3"/>
        </w:rPr>
        <w:t> </w:t>
      </w:r>
      <w:r>
        <w:rPr/>
        <w:t>allowances </w:t>
      </w:r>
      <w:r>
        <w:rPr>
          <w:spacing w:val="-2"/>
        </w:rPr>
        <w:t>by</w:t>
      </w:r>
      <w:r>
        <w:rPr>
          <w:spacing w:val="-11"/>
        </w:rPr>
        <w:t> </w:t>
      </w:r>
      <w:r>
        <w:rPr>
          <w:spacing w:val="-2"/>
        </w:rPr>
        <w:t>considering</w:t>
      </w:r>
      <w:r>
        <w:rPr>
          <w:spacing w:val="-10"/>
        </w:rPr>
        <w:t> </w:t>
      </w:r>
      <w:r>
        <w:rPr>
          <w:spacing w:val="-2"/>
        </w:rPr>
        <w:t>such</w:t>
      </w:r>
      <w:r>
        <w:rPr>
          <w:spacing w:val="-11"/>
        </w:rPr>
        <w:t> </w:t>
      </w:r>
      <w:r>
        <w:rPr>
          <w:spacing w:val="-2"/>
        </w:rPr>
        <w:t>factors</w:t>
      </w:r>
      <w:r>
        <w:rPr>
          <w:spacing w:val="-10"/>
        </w:rPr>
        <w:t> </w:t>
      </w:r>
      <w:r>
        <w:rPr>
          <w:spacing w:val="-2"/>
        </w:rPr>
        <w:t>as</w:t>
      </w:r>
      <w:r>
        <w:rPr>
          <w:spacing w:val="-11"/>
        </w:rPr>
        <w:t> </w:t>
      </w:r>
      <w:r>
        <w:rPr>
          <w:spacing w:val="-2"/>
        </w:rPr>
        <w:t>historical</w:t>
      </w:r>
      <w:r>
        <w:rPr>
          <w:spacing w:val="-10"/>
        </w:rPr>
        <w:t> </w:t>
      </w:r>
      <w:r>
        <w:rPr>
          <w:spacing w:val="-2"/>
        </w:rPr>
        <w:t>experience,</w:t>
      </w:r>
      <w:r>
        <w:rPr>
          <w:spacing w:val="-11"/>
        </w:rPr>
        <w:t> </w:t>
      </w:r>
      <w:r>
        <w:rPr>
          <w:spacing w:val="-2"/>
        </w:rPr>
        <w:t>credit-worthiness,</w:t>
      </w:r>
      <w:r>
        <w:rPr>
          <w:spacing w:val="-10"/>
        </w:rPr>
        <w:t> </w:t>
      </w:r>
      <w:r>
        <w:rPr>
          <w:spacing w:val="-2"/>
        </w:rPr>
        <w:t>the</w:t>
      </w:r>
      <w:r>
        <w:rPr>
          <w:spacing w:val="-11"/>
        </w:rPr>
        <w:t> </w:t>
      </w:r>
      <w:r>
        <w:rPr>
          <w:spacing w:val="-2"/>
        </w:rPr>
        <w:t>age</w:t>
      </w:r>
      <w:r>
        <w:rPr>
          <w:spacing w:val="-10"/>
        </w:rPr>
        <w:t> </w:t>
      </w:r>
      <w:r>
        <w:rPr>
          <w:spacing w:val="-2"/>
        </w:rPr>
        <w:t>of</w:t>
      </w:r>
      <w:r>
        <w:rPr>
          <w:spacing w:val="-11"/>
        </w:rPr>
        <w:t> </w:t>
      </w:r>
      <w:r>
        <w:rPr>
          <w:spacing w:val="-2"/>
        </w:rPr>
        <w:t>the</w:t>
      </w:r>
      <w:r>
        <w:rPr>
          <w:spacing w:val="-10"/>
        </w:rPr>
        <w:t> </w:t>
      </w:r>
      <w:r>
        <w:rPr>
          <w:spacing w:val="-2"/>
        </w:rPr>
        <w:t>trade</w:t>
      </w:r>
      <w:r>
        <w:rPr>
          <w:spacing w:val="-11"/>
        </w:rPr>
        <w:t> </w:t>
      </w:r>
      <w:r>
        <w:rPr>
          <w:spacing w:val="-2"/>
        </w:rPr>
        <w:t>receivable</w:t>
      </w:r>
      <w:r>
        <w:rPr>
          <w:spacing w:val="-10"/>
        </w:rPr>
        <w:t> </w:t>
      </w:r>
      <w:r>
        <w:rPr>
          <w:spacing w:val="-2"/>
        </w:rPr>
        <w:t>balances</w:t>
      </w:r>
      <w:r>
        <w:rPr>
          <w:spacing w:val="-11"/>
        </w:rPr>
        <w:t> </w:t>
      </w:r>
      <w:r>
        <w:rPr>
          <w:spacing w:val="-2"/>
        </w:rPr>
        <w:t>and</w:t>
      </w:r>
      <w:r>
        <w:rPr>
          <w:spacing w:val="-10"/>
        </w:rPr>
        <w:t> </w:t>
      </w:r>
      <w:r>
        <w:rPr>
          <w:spacing w:val="-2"/>
        </w:rPr>
        <w:t>current</w:t>
      </w:r>
      <w:r>
        <w:rPr>
          <w:spacing w:val="-11"/>
        </w:rPr>
        <w:t> </w:t>
      </w:r>
      <w:r>
        <w:rPr>
          <w:spacing w:val="-2"/>
        </w:rPr>
        <w:t>economic </w:t>
      </w:r>
      <w:r>
        <w:rPr/>
        <w:t>conditions that may affect a customer’s ability to pay and we specifically reserve for those deemed uncollectible.</w:t>
      </w:r>
    </w:p>
    <w:p>
      <w:pPr>
        <w:pStyle w:val="BodyText"/>
        <w:spacing w:before="3"/>
        <w:rPr>
          <w:sz w:val="15"/>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9"/>
        <w:gridCol w:w="3270"/>
        <w:gridCol w:w="1179"/>
        <w:gridCol w:w="1139"/>
      </w:tblGrid>
      <w:tr>
        <w:trPr>
          <w:trHeight w:val="214" w:hRule="atLeast"/>
        </w:trPr>
        <w:tc>
          <w:tcPr>
            <w:tcW w:w="4649" w:type="dxa"/>
          </w:tcPr>
          <w:p>
            <w:pPr>
              <w:pStyle w:val="TableParagraph"/>
              <w:spacing w:line="180" w:lineRule="exact"/>
              <w:ind w:left="50"/>
              <w:rPr>
                <w:sz w:val="16"/>
              </w:rPr>
            </w:pPr>
            <w:r>
              <w:rPr>
                <w:sz w:val="16"/>
              </w:rPr>
              <w:t>(in </w:t>
            </w:r>
            <w:r>
              <w:rPr>
                <w:spacing w:val="-2"/>
                <w:sz w:val="16"/>
              </w:rPr>
              <w:t>thousands)</w:t>
            </w:r>
          </w:p>
        </w:tc>
        <w:tc>
          <w:tcPr>
            <w:tcW w:w="3270" w:type="dxa"/>
          </w:tcPr>
          <w:p>
            <w:pPr>
              <w:pStyle w:val="TableParagraph"/>
              <w:spacing w:line="177" w:lineRule="exact"/>
              <w:ind w:right="468"/>
              <w:jc w:val="right"/>
              <w:rPr>
                <w:b/>
                <w:sz w:val="16"/>
              </w:rPr>
            </w:pPr>
            <w:r>
              <w:rPr>
                <w:b/>
                <w:spacing w:val="-4"/>
                <w:sz w:val="16"/>
              </w:rPr>
              <w:t>2017</w:t>
            </w:r>
          </w:p>
        </w:tc>
        <w:tc>
          <w:tcPr>
            <w:tcW w:w="1179" w:type="dxa"/>
            <w:tcBorders>
              <w:bottom w:val="single" w:sz="8" w:space="0" w:color="000000"/>
            </w:tcBorders>
          </w:tcPr>
          <w:p>
            <w:pPr>
              <w:pStyle w:val="TableParagraph"/>
              <w:spacing w:line="177" w:lineRule="exact"/>
              <w:ind w:right="56"/>
              <w:jc w:val="center"/>
              <w:rPr>
                <w:b/>
                <w:sz w:val="16"/>
              </w:rPr>
            </w:pPr>
            <w:r>
              <w:rPr>
                <w:b/>
                <w:spacing w:val="-4"/>
                <w:sz w:val="16"/>
              </w:rPr>
              <w:t>2016</w:t>
            </w:r>
          </w:p>
        </w:tc>
        <w:tc>
          <w:tcPr>
            <w:tcW w:w="1139" w:type="dxa"/>
            <w:tcBorders>
              <w:bottom w:val="single" w:sz="8" w:space="0" w:color="000000"/>
            </w:tcBorders>
          </w:tcPr>
          <w:p>
            <w:pPr>
              <w:pStyle w:val="TableParagraph"/>
              <w:spacing w:line="177" w:lineRule="exact"/>
              <w:ind w:left="5"/>
              <w:jc w:val="center"/>
              <w:rPr>
                <w:b/>
                <w:sz w:val="16"/>
              </w:rPr>
            </w:pPr>
            <w:r>
              <w:rPr>
                <w:b/>
                <w:spacing w:val="-4"/>
                <w:sz w:val="16"/>
              </w:rPr>
              <w:t>2015</w:t>
            </w:r>
          </w:p>
        </w:tc>
      </w:tr>
      <w:tr>
        <w:trPr>
          <w:trHeight w:val="270" w:hRule="atLeast"/>
        </w:trPr>
        <w:tc>
          <w:tcPr>
            <w:tcW w:w="4649" w:type="dxa"/>
            <w:shd w:val="clear" w:color="auto" w:fill="CCEDFF"/>
          </w:tcPr>
          <w:p>
            <w:pPr>
              <w:pStyle w:val="TableParagraph"/>
              <w:spacing w:line="222" w:lineRule="exact"/>
              <w:ind w:left="50"/>
              <w:rPr>
                <w:sz w:val="20"/>
              </w:rPr>
            </w:pPr>
            <w:r>
              <w:rPr>
                <w:sz w:val="20"/>
              </w:rPr>
              <w:t>Beginning </w:t>
            </w:r>
            <w:r>
              <w:rPr>
                <w:spacing w:val="-2"/>
                <w:sz w:val="20"/>
              </w:rPr>
              <w:t>balance</w:t>
            </w:r>
          </w:p>
        </w:tc>
        <w:tc>
          <w:tcPr>
            <w:tcW w:w="3270" w:type="dxa"/>
            <w:shd w:val="clear" w:color="auto" w:fill="CCEDFF"/>
          </w:tcPr>
          <w:p>
            <w:pPr>
              <w:pStyle w:val="TableParagraph"/>
              <w:tabs>
                <w:tab w:pos="542" w:val="left" w:leader="none"/>
              </w:tabs>
              <w:spacing w:line="222" w:lineRule="exact"/>
              <w:ind w:right="135"/>
              <w:jc w:val="right"/>
              <w:rPr>
                <w:sz w:val="20"/>
              </w:rPr>
            </w:pPr>
            <w:r>
              <w:rPr>
                <w:spacing w:val="-10"/>
                <w:sz w:val="20"/>
              </w:rPr>
              <w:t>$</w:t>
            </w:r>
            <w:r>
              <w:rPr>
                <w:sz w:val="20"/>
              </w:rPr>
              <w:tab/>
            </w:r>
            <w:r>
              <w:rPr>
                <w:spacing w:val="-2"/>
                <w:sz w:val="20"/>
              </w:rPr>
              <w:t>6,214</w:t>
            </w:r>
          </w:p>
        </w:tc>
        <w:tc>
          <w:tcPr>
            <w:tcW w:w="1179" w:type="dxa"/>
            <w:tcBorders>
              <w:top w:val="single" w:sz="8" w:space="0" w:color="000000"/>
            </w:tcBorders>
            <w:shd w:val="clear" w:color="auto" w:fill="CCEDFF"/>
          </w:tcPr>
          <w:p>
            <w:pPr>
              <w:pStyle w:val="TableParagraph"/>
              <w:tabs>
                <w:tab w:pos="522" w:val="left" w:leader="none"/>
              </w:tabs>
              <w:spacing w:line="222" w:lineRule="exact"/>
              <w:ind w:right="134"/>
              <w:jc w:val="right"/>
              <w:rPr>
                <w:sz w:val="20"/>
              </w:rPr>
            </w:pPr>
            <w:r>
              <w:rPr>
                <w:spacing w:val="-10"/>
                <w:sz w:val="20"/>
              </w:rPr>
              <w:t>$</w:t>
            </w:r>
            <w:r>
              <w:rPr>
                <w:sz w:val="20"/>
              </w:rPr>
              <w:tab/>
            </w:r>
            <w:r>
              <w:rPr>
                <w:spacing w:val="-2"/>
                <w:sz w:val="20"/>
              </w:rPr>
              <w:t>7,293</w:t>
            </w:r>
          </w:p>
        </w:tc>
        <w:tc>
          <w:tcPr>
            <w:tcW w:w="1139" w:type="dxa"/>
            <w:tcBorders>
              <w:top w:val="single" w:sz="8" w:space="0" w:color="000000"/>
            </w:tcBorders>
            <w:shd w:val="clear" w:color="auto" w:fill="CCEDFF"/>
          </w:tcPr>
          <w:p>
            <w:pPr>
              <w:pStyle w:val="TableParagraph"/>
              <w:tabs>
                <w:tab w:pos="542" w:val="left" w:leader="none"/>
              </w:tabs>
              <w:spacing w:line="222" w:lineRule="exact"/>
              <w:ind w:right="73"/>
              <w:jc w:val="right"/>
              <w:rPr>
                <w:sz w:val="20"/>
              </w:rPr>
            </w:pPr>
            <w:r>
              <w:rPr>
                <w:spacing w:val="-10"/>
                <w:sz w:val="20"/>
              </w:rPr>
              <w:t>$</w:t>
            </w:r>
            <w:r>
              <w:rPr>
                <w:sz w:val="20"/>
              </w:rPr>
              <w:tab/>
            </w:r>
            <w:r>
              <w:rPr>
                <w:spacing w:val="-2"/>
                <w:sz w:val="20"/>
              </w:rPr>
              <w:t>7,867</w:t>
            </w:r>
          </w:p>
        </w:tc>
      </w:tr>
      <w:tr>
        <w:trPr>
          <w:trHeight w:val="280" w:hRule="atLeast"/>
        </w:trPr>
        <w:tc>
          <w:tcPr>
            <w:tcW w:w="4649" w:type="dxa"/>
          </w:tcPr>
          <w:p>
            <w:pPr>
              <w:pStyle w:val="TableParagraph"/>
              <w:spacing w:before="2"/>
              <w:ind w:left="50"/>
              <w:rPr>
                <w:sz w:val="20"/>
              </w:rPr>
            </w:pPr>
            <w:r>
              <w:rPr>
                <w:sz w:val="20"/>
              </w:rPr>
              <w:t>Increase due to </w:t>
            </w:r>
            <w:r>
              <w:rPr>
                <w:spacing w:val="-2"/>
                <w:sz w:val="20"/>
              </w:rPr>
              <w:t>acquisition</w:t>
            </w:r>
          </w:p>
        </w:tc>
        <w:tc>
          <w:tcPr>
            <w:tcW w:w="3270" w:type="dxa"/>
          </w:tcPr>
          <w:p>
            <w:pPr>
              <w:pStyle w:val="TableParagraph"/>
              <w:spacing w:before="2"/>
              <w:ind w:right="135"/>
              <w:jc w:val="right"/>
              <w:rPr>
                <w:sz w:val="20"/>
              </w:rPr>
            </w:pPr>
            <w:r>
              <w:rPr>
                <w:spacing w:val="-2"/>
                <w:sz w:val="20"/>
              </w:rPr>
              <w:t>2,391</w:t>
            </w:r>
          </w:p>
        </w:tc>
        <w:tc>
          <w:tcPr>
            <w:tcW w:w="1179" w:type="dxa"/>
          </w:tcPr>
          <w:p>
            <w:pPr>
              <w:pStyle w:val="TableParagraph"/>
              <w:spacing w:before="2"/>
              <w:ind w:right="134"/>
              <w:jc w:val="right"/>
              <w:rPr>
                <w:sz w:val="20"/>
              </w:rPr>
            </w:pPr>
            <w:r>
              <w:rPr>
                <w:spacing w:val="-5"/>
                <w:sz w:val="20"/>
              </w:rPr>
              <w:t>77</w:t>
            </w:r>
          </w:p>
        </w:tc>
        <w:tc>
          <w:tcPr>
            <w:tcW w:w="1139" w:type="dxa"/>
          </w:tcPr>
          <w:p>
            <w:pPr>
              <w:pStyle w:val="TableParagraph"/>
              <w:spacing w:before="2"/>
              <w:ind w:right="73"/>
              <w:jc w:val="right"/>
              <w:rPr>
                <w:sz w:val="20"/>
              </w:rPr>
            </w:pPr>
            <w:r>
              <w:rPr>
                <w:spacing w:val="-5"/>
                <w:sz w:val="20"/>
              </w:rPr>
              <w:t>326</w:t>
            </w:r>
          </w:p>
        </w:tc>
      </w:tr>
      <w:tr>
        <w:trPr>
          <w:trHeight w:val="262" w:hRule="atLeast"/>
        </w:trPr>
        <w:tc>
          <w:tcPr>
            <w:tcW w:w="4649" w:type="dxa"/>
            <w:shd w:val="clear" w:color="auto" w:fill="CCEDFF"/>
          </w:tcPr>
          <w:p>
            <w:pPr>
              <w:pStyle w:val="TableParagraph"/>
              <w:spacing w:before="2"/>
              <w:ind w:left="50"/>
              <w:rPr>
                <w:sz w:val="20"/>
              </w:rPr>
            </w:pPr>
            <w:r>
              <w:rPr>
                <w:sz w:val="20"/>
              </w:rPr>
              <w:t>Charged</w:t>
            </w:r>
            <w:r>
              <w:rPr>
                <w:spacing w:val="-1"/>
                <w:sz w:val="20"/>
              </w:rPr>
              <w:t> </w:t>
            </w:r>
            <w:r>
              <w:rPr>
                <w:sz w:val="20"/>
              </w:rPr>
              <w:t>to</w:t>
            </w:r>
            <w:r>
              <w:rPr>
                <w:spacing w:val="-1"/>
                <w:sz w:val="20"/>
              </w:rPr>
              <w:t> </w:t>
            </w:r>
            <w:r>
              <w:rPr>
                <w:sz w:val="20"/>
              </w:rPr>
              <w:t>operating </w:t>
            </w:r>
            <w:r>
              <w:rPr>
                <w:spacing w:val="-2"/>
                <w:sz w:val="20"/>
              </w:rPr>
              <w:t>expenses</w:t>
            </w:r>
          </w:p>
        </w:tc>
        <w:tc>
          <w:tcPr>
            <w:tcW w:w="3270" w:type="dxa"/>
            <w:shd w:val="clear" w:color="auto" w:fill="CCEDFF"/>
          </w:tcPr>
          <w:p>
            <w:pPr>
              <w:pStyle w:val="TableParagraph"/>
              <w:spacing w:before="2"/>
              <w:ind w:right="135"/>
              <w:jc w:val="right"/>
              <w:rPr>
                <w:sz w:val="20"/>
              </w:rPr>
            </w:pPr>
            <w:r>
              <w:rPr>
                <w:spacing w:val="-2"/>
                <w:sz w:val="20"/>
              </w:rPr>
              <w:t>4,411</w:t>
            </w:r>
          </w:p>
        </w:tc>
        <w:tc>
          <w:tcPr>
            <w:tcW w:w="1179" w:type="dxa"/>
            <w:shd w:val="clear" w:color="auto" w:fill="CCEDFF"/>
          </w:tcPr>
          <w:p>
            <w:pPr>
              <w:pStyle w:val="TableParagraph"/>
              <w:spacing w:before="2"/>
              <w:ind w:right="134"/>
              <w:jc w:val="right"/>
              <w:rPr>
                <w:sz w:val="20"/>
              </w:rPr>
            </w:pPr>
            <w:r>
              <w:rPr>
                <w:spacing w:val="-2"/>
                <w:sz w:val="20"/>
              </w:rPr>
              <w:t>1,337</w:t>
            </w:r>
          </w:p>
        </w:tc>
        <w:tc>
          <w:tcPr>
            <w:tcW w:w="1139" w:type="dxa"/>
            <w:shd w:val="clear" w:color="auto" w:fill="CCEDFF"/>
          </w:tcPr>
          <w:p>
            <w:pPr>
              <w:pStyle w:val="TableParagraph"/>
              <w:spacing w:before="2"/>
              <w:ind w:right="73"/>
              <w:jc w:val="right"/>
              <w:rPr>
                <w:sz w:val="20"/>
              </w:rPr>
            </w:pPr>
            <w:r>
              <w:rPr>
                <w:spacing w:val="-2"/>
                <w:sz w:val="20"/>
              </w:rPr>
              <w:t>1,472</w:t>
            </w:r>
          </w:p>
        </w:tc>
      </w:tr>
      <w:tr>
        <w:trPr>
          <w:trHeight w:val="287" w:hRule="atLeast"/>
        </w:trPr>
        <w:tc>
          <w:tcPr>
            <w:tcW w:w="4649" w:type="dxa"/>
          </w:tcPr>
          <w:p>
            <w:pPr>
              <w:pStyle w:val="TableParagraph"/>
              <w:spacing w:before="2"/>
              <w:ind w:left="50"/>
              <w:rPr>
                <w:sz w:val="20"/>
              </w:rPr>
            </w:pPr>
            <w:r>
              <w:rPr>
                <w:spacing w:val="-2"/>
                <w:sz w:val="20"/>
              </w:rPr>
              <w:t>Deductions</w:t>
            </w:r>
            <w:r>
              <w:rPr>
                <w:spacing w:val="-2"/>
                <w:sz w:val="20"/>
                <w:vertAlign w:val="superscript"/>
              </w:rPr>
              <w:t>(1)</w:t>
            </w:r>
          </w:p>
        </w:tc>
        <w:tc>
          <w:tcPr>
            <w:tcW w:w="3270" w:type="dxa"/>
          </w:tcPr>
          <w:p>
            <w:pPr>
              <w:pStyle w:val="TableParagraph"/>
              <w:spacing w:before="2"/>
              <w:ind w:right="67"/>
              <w:jc w:val="right"/>
              <w:rPr>
                <w:sz w:val="20"/>
              </w:rPr>
            </w:pPr>
            <w:r>
              <w:rPr>
                <w:spacing w:val="-2"/>
                <w:sz w:val="20"/>
              </w:rPr>
              <w:t>(3,865)</w:t>
            </w:r>
          </w:p>
        </w:tc>
        <w:tc>
          <w:tcPr>
            <w:tcW w:w="1179" w:type="dxa"/>
            <w:tcBorders>
              <w:bottom w:val="single" w:sz="8" w:space="0" w:color="000000"/>
            </w:tcBorders>
          </w:tcPr>
          <w:p>
            <w:pPr>
              <w:pStyle w:val="TableParagraph"/>
              <w:spacing w:before="2"/>
              <w:ind w:right="66"/>
              <w:jc w:val="right"/>
              <w:rPr>
                <w:sz w:val="20"/>
              </w:rPr>
            </w:pPr>
            <w:r>
              <w:rPr>
                <w:spacing w:val="-2"/>
                <w:sz w:val="20"/>
              </w:rPr>
              <w:t>(2,493)</w:t>
            </w:r>
          </w:p>
        </w:tc>
        <w:tc>
          <w:tcPr>
            <w:tcW w:w="1139" w:type="dxa"/>
            <w:tcBorders>
              <w:bottom w:val="single" w:sz="8" w:space="0" w:color="000000"/>
            </w:tcBorders>
          </w:tcPr>
          <w:p>
            <w:pPr>
              <w:pStyle w:val="TableParagraph"/>
              <w:spacing w:before="2"/>
              <w:ind w:right="5"/>
              <w:jc w:val="right"/>
              <w:rPr>
                <w:sz w:val="20"/>
              </w:rPr>
            </w:pPr>
            <w:r>
              <w:rPr>
                <w:spacing w:val="-2"/>
                <w:sz w:val="20"/>
              </w:rPr>
              <w:t>(2,372)</w:t>
            </w:r>
          </w:p>
        </w:tc>
      </w:tr>
      <w:tr>
        <w:trPr>
          <w:trHeight w:val="240" w:hRule="atLeast"/>
        </w:trPr>
        <w:tc>
          <w:tcPr>
            <w:tcW w:w="4649" w:type="dxa"/>
            <w:shd w:val="clear" w:color="auto" w:fill="CCEDFF"/>
          </w:tcPr>
          <w:p>
            <w:pPr>
              <w:pStyle w:val="TableParagraph"/>
              <w:spacing w:line="220" w:lineRule="exact"/>
              <w:ind w:left="50"/>
              <w:rPr>
                <w:sz w:val="20"/>
              </w:rPr>
            </w:pPr>
            <w:r>
              <w:rPr>
                <w:sz w:val="20"/>
              </w:rPr>
              <w:t>Ending </w:t>
            </w:r>
            <w:r>
              <w:rPr>
                <w:spacing w:val="-2"/>
                <w:sz w:val="20"/>
              </w:rPr>
              <w:t>balance</w:t>
            </w:r>
          </w:p>
        </w:tc>
        <w:tc>
          <w:tcPr>
            <w:tcW w:w="3270" w:type="dxa"/>
            <w:tcBorders>
              <w:bottom w:val="double" w:sz="8" w:space="0" w:color="000000"/>
            </w:tcBorders>
            <w:shd w:val="clear" w:color="auto" w:fill="CCEDFF"/>
          </w:tcPr>
          <w:p>
            <w:pPr>
              <w:pStyle w:val="TableParagraph"/>
              <w:tabs>
                <w:tab w:pos="542" w:val="left" w:leader="none"/>
              </w:tabs>
              <w:spacing w:line="220" w:lineRule="exact"/>
              <w:ind w:right="135"/>
              <w:jc w:val="right"/>
              <w:rPr>
                <w:sz w:val="20"/>
              </w:rPr>
            </w:pPr>
            <w:r>
              <w:rPr>
                <w:spacing w:val="-10"/>
                <w:sz w:val="20"/>
              </w:rPr>
              <w:t>$</w:t>
            </w:r>
            <w:r>
              <w:rPr>
                <w:sz w:val="20"/>
              </w:rPr>
              <w:tab/>
            </w:r>
            <w:r>
              <w:rPr>
                <w:spacing w:val="-2"/>
                <w:sz w:val="20"/>
              </w:rPr>
              <w:t>9,151</w:t>
            </w:r>
          </w:p>
        </w:tc>
        <w:tc>
          <w:tcPr>
            <w:tcW w:w="1179" w:type="dxa"/>
            <w:tcBorders>
              <w:top w:val="single" w:sz="8" w:space="0" w:color="000000"/>
              <w:bottom w:val="double" w:sz="8" w:space="0" w:color="000000"/>
            </w:tcBorders>
            <w:shd w:val="clear" w:color="auto" w:fill="CCEDFF"/>
          </w:tcPr>
          <w:p>
            <w:pPr>
              <w:pStyle w:val="TableParagraph"/>
              <w:tabs>
                <w:tab w:pos="522" w:val="left" w:leader="none"/>
              </w:tabs>
              <w:spacing w:line="220" w:lineRule="exact"/>
              <w:ind w:right="134"/>
              <w:jc w:val="right"/>
              <w:rPr>
                <w:sz w:val="20"/>
              </w:rPr>
            </w:pPr>
            <w:r>
              <w:rPr>
                <w:spacing w:val="-10"/>
                <w:sz w:val="20"/>
              </w:rPr>
              <w:t>$</w:t>
            </w:r>
            <w:r>
              <w:rPr>
                <w:sz w:val="20"/>
              </w:rPr>
              <w:tab/>
            </w:r>
            <w:r>
              <w:rPr>
                <w:spacing w:val="-2"/>
                <w:sz w:val="20"/>
              </w:rPr>
              <w:t>6,214</w:t>
            </w:r>
          </w:p>
        </w:tc>
        <w:tc>
          <w:tcPr>
            <w:tcW w:w="1139" w:type="dxa"/>
            <w:tcBorders>
              <w:top w:val="single" w:sz="8" w:space="0" w:color="000000"/>
              <w:bottom w:val="double" w:sz="8" w:space="0" w:color="000000"/>
            </w:tcBorders>
            <w:shd w:val="clear" w:color="auto" w:fill="CCEDFF"/>
          </w:tcPr>
          <w:p>
            <w:pPr>
              <w:pStyle w:val="TableParagraph"/>
              <w:tabs>
                <w:tab w:pos="542" w:val="left" w:leader="none"/>
              </w:tabs>
              <w:spacing w:line="220" w:lineRule="exact"/>
              <w:ind w:right="73"/>
              <w:jc w:val="right"/>
              <w:rPr>
                <w:sz w:val="20"/>
              </w:rPr>
            </w:pPr>
            <w:r>
              <w:rPr>
                <w:spacing w:val="-10"/>
                <w:sz w:val="20"/>
              </w:rPr>
              <w:t>$</w:t>
            </w:r>
            <w:r>
              <w:rPr>
                <w:sz w:val="20"/>
              </w:rPr>
              <w:tab/>
            </w:r>
            <w:r>
              <w:rPr>
                <w:spacing w:val="-2"/>
                <w:sz w:val="20"/>
              </w:rPr>
              <w:t>7,293</w:t>
            </w:r>
          </w:p>
        </w:tc>
      </w:tr>
    </w:tbl>
    <w:p>
      <w:pPr>
        <w:pStyle w:val="BodyText"/>
        <w:spacing w:before="8"/>
        <w:rPr>
          <w:sz w:val="9"/>
        </w:rPr>
      </w:pPr>
      <w:r>
        <w:rPr/>
        <mc:AlternateContent>
          <mc:Choice Requires="wps">
            <w:drawing>
              <wp:anchor distT="0" distB="0" distL="0" distR="0" allowOverlap="1" layoutInCell="1" locked="0" behindDoc="1" simplePos="0" relativeHeight="487646720">
                <wp:simplePos x="0" y="0"/>
                <wp:positionH relativeFrom="page">
                  <wp:posOffset>635000</wp:posOffset>
                </wp:positionH>
                <wp:positionV relativeFrom="paragraph">
                  <wp:posOffset>86396</wp:posOffset>
                </wp:positionV>
                <wp:extent cx="1651000" cy="1270"/>
                <wp:effectExtent l="0" t="0" r="0" b="0"/>
                <wp:wrapTopAndBottom/>
                <wp:docPr id="376" name="Graphic 376"/>
                <wp:cNvGraphicFramePr>
                  <a:graphicFrameLocks/>
                </wp:cNvGraphicFramePr>
                <a:graphic>
                  <a:graphicData uri="http://schemas.microsoft.com/office/word/2010/wordprocessingShape">
                    <wps:wsp>
                      <wps:cNvPr id="376" name="Graphic 376"/>
                      <wps:cNvSpPr/>
                      <wps:spPr>
                        <a:xfrm>
                          <a:off x="0" y="0"/>
                          <a:ext cx="1651000" cy="1270"/>
                        </a:xfrm>
                        <a:custGeom>
                          <a:avLst/>
                          <a:gdLst/>
                          <a:ahLst/>
                          <a:cxnLst/>
                          <a:rect l="l" t="t" r="r" b="b"/>
                          <a:pathLst>
                            <a:path w="1651000" h="0">
                              <a:moveTo>
                                <a:pt x="0" y="0"/>
                              </a:moveTo>
                              <a:lnTo>
                                <a:pt x="1651000"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6.802901pt;width:130pt;height:.1pt;mso-position-horizontal-relative:page;mso-position-vertical-relative:paragraph;z-index:-15669760;mso-wrap-distance-left:0;mso-wrap-distance-right:0" id="docshape309" coordorigin="1000,136" coordsize="2600,0" path="m1000,136l3600,136e" filled="false" stroked="true" strokeweight=".26pt" strokecolor="#000000">
                <v:path arrowok="t"/>
                <v:stroke dashstyle="solid"/>
                <w10:wrap type="topAndBottom"/>
              </v:shape>
            </w:pict>
          </mc:Fallback>
        </mc:AlternateContent>
      </w:r>
    </w:p>
    <w:p>
      <w:pPr>
        <w:pStyle w:val="BodyText"/>
        <w:tabs>
          <w:tab w:pos="579" w:val="left" w:leader="none"/>
        </w:tabs>
        <w:spacing w:before="116"/>
        <w:ind w:left="220"/>
      </w:pPr>
      <w:r>
        <w:rPr>
          <w:spacing w:val="-5"/>
          <w:vertAlign w:val="superscript"/>
        </w:rPr>
        <w:t>(1)</w:t>
      </w:r>
      <w:r>
        <w:rPr>
          <w:vertAlign w:val="baseline"/>
        </w:rPr>
        <w:tab/>
      </w:r>
      <w:r>
        <w:rPr>
          <w:spacing w:val="-2"/>
          <w:vertAlign w:val="baseline"/>
        </w:rPr>
        <w:t>Deductions</w:t>
      </w:r>
      <w:r>
        <w:rPr>
          <w:spacing w:val="-6"/>
          <w:vertAlign w:val="baseline"/>
        </w:rPr>
        <w:t> </w:t>
      </w:r>
      <w:r>
        <w:rPr>
          <w:spacing w:val="-2"/>
          <w:vertAlign w:val="baseline"/>
        </w:rPr>
        <w:t>related</w:t>
      </w:r>
      <w:r>
        <w:rPr>
          <w:spacing w:val="-5"/>
          <w:vertAlign w:val="baseline"/>
        </w:rPr>
        <w:t> </w:t>
      </w:r>
      <w:r>
        <w:rPr>
          <w:spacing w:val="-2"/>
          <w:vertAlign w:val="baseline"/>
        </w:rPr>
        <w:t>to</w:t>
      </w:r>
      <w:r>
        <w:rPr>
          <w:spacing w:val="-5"/>
          <w:vertAlign w:val="baseline"/>
        </w:rPr>
        <w:t> </w:t>
      </w:r>
      <w:r>
        <w:rPr>
          <w:spacing w:val="-2"/>
          <w:vertAlign w:val="baseline"/>
        </w:rPr>
        <w:t>the</w:t>
      </w:r>
      <w:r>
        <w:rPr>
          <w:spacing w:val="-6"/>
          <w:vertAlign w:val="baseline"/>
        </w:rPr>
        <w:t> </w:t>
      </w:r>
      <w:r>
        <w:rPr>
          <w:spacing w:val="-2"/>
          <w:vertAlign w:val="baseline"/>
        </w:rPr>
        <w:t>allowance</w:t>
      </w:r>
      <w:r>
        <w:rPr>
          <w:spacing w:val="-5"/>
          <w:vertAlign w:val="baseline"/>
        </w:rPr>
        <w:t> </w:t>
      </w:r>
      <w:r>
        <w:rPr>
          <w:spacing w:val="-2"/>
          <w:vertAlign w:val="baseline"/>
        </w:rPr>
        <w:t>for</w:t>
      </w:r>
      <w:r>
        <w:rPr>
          <w:spacing w:val="-5"/>
          <w:vertAlign w:val="baseline"/>
        </w:rPr>
        <w:t> </w:t>
      </w:r>
      <w:r>
        <w:rPr>
          <w:spacing w:val="-2"/>
          <w:vertAlign w:val="baseline"/>
        </w:rPr>
        <w:t>doubtful</w:t>
      </w:r>
      <w:r>
        <w:rPr>
          <w:spacing w:val="-6"/>
          <w:vertAlign w:val="baseline"/>
        </w:rPr>
        <w:t> </w:t>
      </w:r>
      <w:r>
        <w:rPr>
          <w:spacing w:val="-2"/>
          <w:vertAlign w:val="baseline"/>
        </w:rPr>
        <w:t>accounts</w:t>
      </w:r>
      <w:r>
        <w:rPr>
          <w:spacing w:val="-5"/>
          <w:vertAlign w:val="baseline"/>
        </w:rPr>
        <w:t> </w:t>
      </w:r>
      <w:r>
        <w:rPr>
          <w:spacing w:val="-2"/>
          <w:vertAlign w:val="baseline"/>
        </w:rPr>
        <w:t>represent</w:t>
      </w:r>
      <w:r>
        <w:rPr>
          <w:spacing w:val="-5"/>
          <w:vertAlign w:val="baseline"/>
        </w:rPr>
        <w:t> </w:t>
      </w:r>
      <w:r>
        <w:rPr>
          <w:spacing w:val="-2"/>
          <w:vertAlign w:val="baseline"/>
        </w:rPr>
        <w:t>amounts</w:t>
      </w:r>
      <w:r>
        <w:rPr>
          <w:spacing w:val="-6"/>
          <w:vertAlign w:val="baseline"/>
        </w:rPr>
        <w:t> </w:t>
      </w:r>
      <w:r>
        <w:rPr>
          <w:spacing w:val="-2"/>
          <w:vertAlign w:val="baseline"/>
        </w:rPr>
        <w:t>written</w:t>
      </w:r>
      <w:r>
        <w:rPr>
          <w:spacing w:val="-5"/>
          <w:vertAlign w:val="baseline"/>
        </w:rPr>
        <w:t> </w:t>
      </w:r>
      <w:r>
        <w:rPr>
          <w:spacing w:val="-2"/>
          <w:vertAlign w:val="baseline"/>
        </w:rPr>
        <w:t>off</w:t>
      </w:r>
      <w:r>
        <w:rPr>
          <w:spacing w:val="-5"/>
          <w:vertAlign w:val="baseline"/>
        </w:rPr>
        <w:t> </w:t>
      </w:r>
      <w:r>
        <w:rPr>
          <w:spacing w:val="-2"/>
          <w:vertAlign w:val="baseline"/>
        </w:rPr>
        <w:t>against</w:t>
      </w:r>
      <w:r>
        <w:rPr>
          <w:spacing w:val="-6"/>
          <w:vertAlign w:val="baseline"/>
        </w:rPr>
        <w:t> </w:t>
      </w:r>
      <w:r>
        <w:rPr>
          <w:spacing w:val="-2"/>
          <w:vertAlign w:val="baseline"/>
        </w:rPr>
        <w:t>the</w:t>
      </w:r>
      <w:r>
        <w:rPr>
          <w:spacing w:val="-5"/>
          <w:vertAlign w:val="baseline"/>
        </w:rPr>
        <w:t> </w:t>
      </w:r>
      <w:r>
        <w:rPr>
          <w:spacing w:val="-2"/>
          <w:vertAlign w:val="baseline"/>
        </w:rPr>
        <w:t>allowance,</w:t>
      </w:r>
      <w:r>
        <w:rPr>
          <w:spacing w:val="-5"/>
          <w:vertAlign w:val="baseline"/>
        </w:rPr>
        <w:t> </w:t>
      </w:r>
      <w:r>
        <w:rPr>
          <w:spacing w:val="-2"/>
          <w:vertAlign w:val="baseline"/>
        </w:rPr>
        <w:t>less</w:t>
      </w:r>
      <w:r>
        <w:rPr>
          <w:spacing w:val="-5"/>
          <w:vertAlign w:val="baseline"/>
        </w:rPr>
        <w:t> </w:t>
      </w:r>
      <w:r>
        <w:rPr>
          <w:spacing w:val="-2"/>
          <w:vertAlign w:val="baseline"/>
        </w:rPr>
        <w:t>recoveries.</w:t>
      </w:r>
    </w:p>
    <w:p>
      <w:pPr>
        <w:spacing w:before="190"/>
        <w:ind w:left="220" w:right="0" w:firstLine="0"/>
        <w:jc w:val="left"/>
        <w:rPr>
          <w:i/>
          <w:sz w:val="20"/>
        </w:rPr>
      </w:pPr>
      <w:r>
        <w:rPr>
          <w:i/>
          <w:sz w:val="20"/>
        </w:rPr>
        <w:t>Property</w:t>
      </w:r>
      <w:r>
        <w:rPr>
          <w:i/>
          <w:spacing w:val="-5"/>
          <w:sz w:val="20"/>
        </w:rPr>
        <w:t> </w:t>
      </w:r>
      <w:r>
        <w:rPr>
          <w:i/>
          <w:sz w:val="20"/>
        </w:rPr>
        <w:t>and</w:t>
      </w:r>
      <w:r>
        <w:rPr>
          <w:i/>
          <w:spacing w:val="-4"/>
          <w:sz w:val="20"/>
        </w:rPr>
        <w:t> </w:t>
      </w:r>
      <w:r>
        <w:rPr>
          <w:i/>
          <w:spacing w:val="-2"/>
          <w:sz w:val="20"/>
        </w:rPr>
        <w:t>Equipment</w:t>
      </w:r>
    </w:p>
    <w:p>
      <w:pPr>
        <w:pStyle w:val="BodyText"/>
        <w:spacing w:line="249" w:lineRule="auto" w:before="190"/>
        <w:ind w:left="220" w:right="257" w:firstLine="540"/>
        <w:jc w:val="both"/>
      </w:pPr>
      <w:r>
        <w:rPr/>
        <w:t>We record property and equipment at cost less accumulated depreciation and amortization. Property and equipment are depreciated</w:t>
      </w:r>
      <w:r>
        <w:rPr>
          <w:spacing w:val="-13"/>
        </w:rPr>
        <w:t> </w:t>
      </w:r>
      <w:r>
        <w:rPr/>
        <w:t>using</w:t>
      </w:r>
      <w:r>
        <w:rPr>
          <w:spacing w:val="-12"/>
        </w:rPr>
        <w:t> </w:t>
      </w:r>
      <w:r>
        <w:rPr/>
        <w:t>the</w:t>
      </w:r>
      <w:r>
        <w:rPr>
          <w:spacing w:val="-13"/>
        </w:rPr>
        <w:t> </w:t>
      </w:r>
      <w:r>
        <w:rPr/>
        <w:t>straight-line</w:t>
      </w:r>
      <w:r>
        <w:rPr>
          <w:spacing w:val="-12"/>
        </w:rPr>
        <w:t> </w:t>
      </w:r>
      <w:r>
        <w:rPr/>
        <w:t>method</w:t>
      </w:r>
      <w:r>
        <w:rPr>
          <w:spacing w:val="-13"/>
        </w:rPr>
        <w:t> </w:t>
      </w:r>
      <w:r>
        <w:rPr/>
        <w:t>over</w:t>
      </w:r>
      <w:r>
        <w:rPr>
          <w:spacing w:val="-12"/>
        </w:rPr>
        <w:t> </w:t>
      </w:r>
      <w:r>
        <w:rPr/>
        <w:t>their</w:t>
      </w:r>
      <w:r>
        <w:rPr>
          <w:spacing w:val="-13"/>
        </w:rPr>
        <w:t> </w:t>
      </w:r>
      <w:r>
        <w:rPr/>
        <w:t>estimated</w:t>
      </w:r>
      <w:r>
        <w:rPr>
          <w:spacing w:val="-12"/>
        </w:rPr>
        <w:t> </w:t>
      </w:r>
      <w:r>
        <w:rPr/>
        <w:t>useful</w:t>
      </w:r>
      <w:r>
        <w:rPr>
          <w:spacing w:val="-13"/>
        </w:rPr>
        <w:t> </w:t>
      </w:r>
      <w:r>
        <w:rPr/>
        <w:t>lives</w:t>
      </w:r>
      <w:r>
        <w:rPr>
          <w:spacing w:val="-12"/>
        </w:rPr>
        <w:t> </w:t>
      </w:r>
      <w:r>
        <w:rPr/>
        <w:t>ranging</w:t>
      </w:r>
      <w:r>
        <w:rPr>
          <w:spacing w:val="-13"/>
        </w:rPr>
        <w:t> </w:t>
      </w:r>
      <w:r>
        <w:rPr/>
        <w:t>from</w:t>
      </w:r>
      <w:r>
        <w:rPr>
          <w:spacing w:val="-12"/>
        </w:rPr>
        <w:t> </w:t>
      </w:r>
      <w:r>
        <w:rPr/>
        <w:t>1</w:t>
      </w:r>
      <w:r>
        <w:rPr>
          <w:spacing w:val="-13"/>
        </w:rPr>
        <w:t> </w:t>
      </w:r>
      <w:r>
        <w:rPr/>
        <w:t>to</w:t>
      </w:r>
      <w:r>
        <w:rPr>
          <w:spacing w:val="-12"/>
        </w:rPr>
        <w:t> </w:t>
      </w:r>
      <w:r>
        <w:rPr/>
        <w:t>5</w:t>
      </w:r>
      <w:r>
        <w:rPr>
          <w:spacing w:val="-13"/>
        </w:rPr>
        <w:t> </w:t>
      </w:r>
      <w:r>
        <w:rPr/>
        <w:t>years</w:t>
      </w:r>
      <w:r>
        <w:rPr>
          <w:spacing w:val="-12"/>
        </w:rPr>
        <w:t> </w:t>
      </w:r>
      <w:r>
        <w:rPr/>
        <w:t>for</w:t>
      </w:r>
      <w:r>
        <w:rPr>
          <w:spacing w:val="-13"/>
        </w:rPr>
        <w:t> </w:t>
      </w:r>
      <w:r>
        <w:rPr/>
        <w:t>computers</w:t>
      </w:r>
      <w:r>
        <w:rPr>
          <w:spacing w:val="-12"/>
        </w:rPr>
        <w:t> </w:t>
      </w:r>
      <w:r>
        <w:rPr/>
        <w:t>and</w:t>
      </w:r>
      <w:r>
        <w:rPr>
          <w:spacing w:val="-13"/>
        </w:rPr>
        <w:t> </w:t>
      </w:r>
      <w:r>
        <w:rPr/>
        <w:t>equipment as well as server hardware under capital leases, 1 to 6 years for furniture and fixtures, 5 to 20 years for building improvements and up to 40 years for buildings. Leasehold improvements are amortized using the straight-line method over the lesser of the remaining respective lease term or estimated useful lives ranging from 1 to 15 years.</w:t>
      </w:r>
    </w:p>
    <w:p>
      <w:pPr>
        <w:spacing w:after="0" w:line="249" w:lineRule="auto"/>
        <w:jc w:val="both"/>
        <w:sectPr>
          <w:pgSz w:w="12240" w:h="15840"/>
          <w:pgMar w:header="210" w:footer="610" w:top="1380" w:bottom="840" w:left="780" w:right="740"/>
        </w:sectPr>
      </w:pPr>
    </w:p>
    <w:p>
      <w:pPr>
        <w:pStyle w:val="BodyText"/>
      </w:pPr>
    </w:p>
    <w:p>
      <w:pPr>
        <w:pStyle w:val="BodyText"/>
      </w:pPr>
    </w:p>
    <w:p>
      <w:pPr>
        <w:pStyle w:val="BodyText"/>
        <w:spacing w:before="30"/>
      </w:pPr>
    </w:p>
    <w:p>
      <w:pPr>
        <w:spacing w:before="0"/>
        <w:ind w:left="220" w:right="0" w:firstLine="0"/>
        <w:jc w:val="left"/>
        <w:rPr>
          <w:i/>
          <w:sz w:val="20"/>
        </w:rPr>
      </w:pPr>
      <w:r>
        <w:rPr>
          <w:i/>
          <w:sz w:val="20"/>
        </w:rPr>
        <w:t>Goodwill,</w:t>
      </w:r>
      <w:r>
        <w:rPr>
          <w:i/>
          <w:spacing w:val="-7"/>
          <w:sz w:val="20"/>
        </w:rPr>
        <w:t> </w:t>
      </w:r>
      <w:r>
        <w:rPr>
          <w:i/>
          <w:sz w:val="20"/>
        </w:rPr>
        <w:t>Purchased</w:t>
      </w:r>
      <w:r>
        <w:rPr>
          <w:i/>
          <w:spacing w:val="-4"/>
          <w:sz w:val="20"/>
        </w:rPr>
        <w:t> </w:t>
      </w:r>
      <w:r>
        <w:rPr>
          <w:i/>
          <w:sz w:val="20"/>
        </w:rPr>
        <w:t>Intangibles</w:t>
      </w:r>
      <w:r>
        <w:rPr>
          <w:i/>
          <w:spacing w:val="-5"/>
          <w:sz w:val="20"/>
        </w:rPr>
        <w:t> </w:t>
      </w:r>
      <w:r>
        <w:rPr>
          <w:i/>
          <w:sz w:val="20"/>
        </w:rPr>
        <w:t>and</w:t>
      </w:r>
      <w:r>
        <w:rPr>
          <w:i/>
          <w:spacing w:val="-4"/>
          <w:sz w:val="20"/>
        </w:rPr>
        <w:t> </w:t>
      </w:r>
      <w:r>
        <w:rPr>
          <w:i/>
          <w:sz w:val="20"/>
        </w:rPr>
        <w:t>Other</w:t>
      </w:r>
      <w:r>
        <w:rPr>
          <w:i/>
          <w:spacing w:val="-5"/>
          <w:sz w:val="20"/>
        </w:rPr>
        <w:t> </w:t>
      </w:r>
      <w:r>
        <w:rPr>
          <w:i/>
          <w:sz w:val="20"/>
        </w:rPr>
        <w:t>Long-Lived</w:t>
      </w:r>
      <w:r>
        <w:rPr>
          <w:i/>
          <w:spacing w:val="-7"/>
          <w:sz w:val="20"/>
        </w:rPr>
        <w:t> </w:t>
      </w:r>
      <w:r>
        <w:rPr>
          <w:i/>
          <w:spacing w:val="-2"/>
          <w:sz w:val="20"/>
        </w:rPr>
        <w:t>Assets</w:t>
      </w:r>
    </w:p>
    <w:p>
      <w:pPr>
        <w:pStyle w:val="BodyText"/>
        <w:spacing w:line="249" w:lineRule="auto" w:before="190"/>
        <w:ind w:left="220" w:right="257" w:firstLine="540"/>
        <w:jc w:val="both"/>
      </w:pPr>
      <w:r>
        <w:rPr/>
        <w:t>Goodwill</w:t>
      </w:r>
      <w:r>
        <w:rPr>
          <w:spacing w:val="-11"/>
        </w:rPr>
        <w:t> </w:t>
      </w:r>
      <w:r>
        <w:rPr/>
        <w:t>is</w:t>
      </w:r>
      <w:r>
        <w:rPr>
          <w:spacing w:val="-11"/>
        </w:rPr>
        <w:t> </w:t>
      </w:r>
      <w:r>
        <w:rPr/>
        <w:t>assigned</w:t>
      </w:r>
      <w:r>
        <w:rPr>
          <w:spacing w:val="-10"/>
        </w:rPr>
        <w:t> </w:t>
      </w:r>
      <w:r>
        <w:rPr/>
        <w:t>to</w:t>
      </w:r>
      <w:r>
        <w:rPr>
          <w:spacing w:val="-11"/>
        </w:rPr>
        <w:t> </w:t>
      </w:r>
      <w:r>
        <w:rPr/>
        <w:t>one</w:t>
      </w:r>
      <w:r>
        <w:rPr>
          <w:spacing w:val="-11"/>
        </w:rPr>
        <w:t> </w:t>
      </w:r>
      <w:r>
        <w:rPr/>
        <w:t>or</w:t>
      </w:r>
      <w:r>
        <w:rPr>
          <w:spacing w:val="-10"/>
        </w:rPr>
        <w:t> </w:t>
      </w:r>
      <w:r>
        <w:rPr/>
        <w:t>more</w:t>
      </w:r>
      <w:r>
        <w:rPr>
          <w:spacing w:val="-11"/>
        </w:rPr>
        <w:t> </w:t>
      </w:r>
      <w:r>
        <w:rPr/>
        <w:t>reporting</w:t>
      </w:r>
      <w:r>
        <w:rPr>
          <w:spacing w:val="-10"/>
        </w:rPr>
        <w:t> </w:t>
      </w:r>
      <w:r>
        <w:rPr/>
        <w:t>segments</w:t>
      </w:r>
      <w:r>
        <w:rPr>
          <w:spacing w:val="-10"/>
        </w:rPr>
        <w:t> </w:t>
      </w:r>
      <w:r>
        <w:rPr/>
        <w:t>on</w:t>
      </w:r>
      <w:r>
        <w:rPr>
          <w:spacing w:val="-10"/>
        </w:rPr>
        <w:t> </w:t>
      </w:r>
      <w:r>
        <w:rPr/>
        <w:t>the</w:t>
      </w:r>
      <w:r>
        <w:rPr>
          <w:spacing w:val="-11"/>
        </w:rPr>
        <w:t> </w:t>
      </w:r>
      <w:r>
        <w:rPr/>
        <w:t>date</w:t>
      </w:r>
      <w:r>
        <w:rPr>
          <w:spacing w:val="-11"/>
        </w:rPr>
        <w:t> </w:t>
      </w:r>
      <w:r>
        <w:rPr/>
        <w:t>of</w:t>
      </w:r>
      <w:r>
        <w:rPr>
          <w:spacing w:val="-10"/>
        </w:rPr>
        <w:t> </w:t>
      </w:r>
      <w:r>
        <w:rPr/>
        <w:t>acquisition.</w:t>
      </w:r>
      <w:r>
        <w:rPr>
          <w:spacing w:val="-13"/>
        </w:rPr>
        <w:t> </w:t>
      </w:r>
      <w:r>
        <w:rPr/>
        <w:t>We</w:t>
      </w:r>
      <w:r>
        <w:rPr>
          <w:spacing w:val="-9"/>
        </w:rPr>
        <w:t> </w:t>
      </w:r>
      <w:r>
        <w:rPr/>
        <w:t>review</w:t>
      </w:r>
      <w:r>
        <w:rPr>
          <w:spacing w:val="-10"/>
        </w:rPr>
        <w:t> </w:t>
      </w:r>
      <w:r>
        <w:rPr/>
        <w:t>our</w:t>
      </w:r>
      <w:r>
        <w:rPr>
          <w:spacing w:val="-10"/>
        </w:rPr>
        <w:t> </w:t>
      </w:r>
      <w:r>
        <w:rPr/>
        <w:t>goodwill</w:t>
      </w:r>
      <w:r>
        <w:rPr>
          <w:spacing w:val="-11"/>
        </w:rPr>
        <w:t> </w:t>
      </w:r>
      <w:r>
        <w:rPr/>
        <w:t>for</w:t>
      </w:r>
      <w:r>
        <w:rPr>
          <w:spacing w:val="-11"/>
        </w:rPr>
        <w:t> </w:t>
      </w:r>
      <w:r>
        <w:rPr/>
        <w:t>impairment annually</w:t>
      </w:r>
      <w:r>
        <w:rPr>
          <w:spacing w:val="-5"/>
        </w:rPr>
        <w:t> </w:t>
      </w:r>
      <w:r>
        <w:rPr/>
        <w:t>during</w:t>
      </w:r>
      <w:r>
        <w:rPr>
          <w:spacing w:val="-5"/>
        </w:rPr>
        <w:t> </w:t>
      </w:r>
      <w:r>
        <w:rPr/>
        <w:t>our</w:t>
      </w:r>
      <w:r>
        <w:rPr>
          <w:spacing w:val="-5"/>
        </w:rPr>
        <w:t> </w:t>
      </w:r>
      <w:r>
        <w:rPr/>
        <w:t>second</w:t>
      </w:r>
      <w:r>
        <w:rPr>
          <w:spacing w:val="-4"/>
        </w:rPr>
        <w:t> </w:t>
      </w:r>
      <w:r>
        <w:rPr/>
        <w:t>quarter</w:t>
      </w:r>
      <w:r>
        <w:rPr>
          <w:spacing w:val="-5"/>
        </w:rPr>
        <w:t> </w:t>
      </w:r>
      <w:r>
        <w:rPr/>
        <w:t>of</w:t>
      </w:r>
      <w:r>
        <w:rPr>
          <w:spacing w:val="-5"/>
        </w:rPr>
        <w:t> </w:t>
      </w:r>
      <w:r>
        <w:rPr/>
        <w:t>each</w:t>
      </w:r>
      <w:r>
        <w:rPr>
          <w:spacing w:val="-5"/>
        </w:rPr>
        <w:t> </w:t>
      </w:r>
      <w:r>
        <w:rPr/>
        <w:t>fiscal</w:t>
      </w:r>
      <w:r>
        <w:rPr>
          <w:spacing w:val="-5"/>
        </w:rPr>
        <w:t> </w:t>
      </w:r>
      <w:r>
        <w:rPr/>
        <w:t>year.</w:t>
      </w:r>
      <w:r>
        <w:rPr>
          <w:spacing w:val="-4"/>
        </w:rPr>
        <w:t> </w:t>
      </w:r>
      <w:r>
        <w:rPr/>
        <w:t>In</w:t>
      </w:r>
      <w:r>
        <w:rPr>
          <w:spacing w:val="-5"/>
        </w:rPr>
        <w:t> </w:t>
      </w:r>
      <w:r>
        <w:rPr/>
        <w:t>performing</w:t>
      </w:r>
      <w:r>
        <w:rPr>
          <w:spacing w:val="-5"/>
        </w:rPr>
        <w:t> </w:t>
      </w:r>
      <w:r>
        <w:rPr/>
        <w:t>our</w:t>
      </w:r>
      <w:r>
        <w:rPr>
          <w:spacing w:val="-4"/>
        </w:rPr>
        <w:t> </w:t>
      </w:r>
      <w:r>
        <w:rPr/>
        <w:t>goodwill</w:t>
      </w:r>
      <w:r>
        <w:rPr>
          <w:spacing w:val="-5"/>
        </w:rPr>
        <w:t> </w:t>
      </w:r>
      <w:r>
        <w:rPr/>
        <w:t>impairment</w:t>
      </w:r>
      <w:r>
        <w:rPr>
          <w:spacing w:val="-5"/>
        </w:rPr>
        <w:t> </w:t>
      </w:r>
      <w:r>
        <w:rPr/>
        <w:t>test,</w:t>
      </w:r>
      <w:r>
        <w:rPr>
          <w:spacing w:val="-5"/>
        </w:rPr>
        <w:t> </w:t>
      </w:r>
      <w:r>
        <w:rPr/>
        <w:t>we</w:t>
      </w:r>
      <w:r>
        <w:rPr>
          <w:spacing w:val="-5"/>
        </w:rPr>
        <w:t> </w:t>
      </w:r>
      <w:r>
        <w:rPr/>
        <w:t>first</w:t>
      </w:r>
      <w:r>
        <w:rPr>
          <w:spacing w:val="-5"/>
        </w:rPr>
        <w:t> </w:t>
      </w:r>
      <w:r>
        <w:rPr/>
        <w:t>evaluate</w:t>
      </w:r>
      <w:r>
        <w:rPr>
          <w:spacing w:val="-5"/>
        </w:rPr>
        <w:t> </w:t>
      </w:r>
      <w:r>
        <w:rPr/>
        <w:t>goodwill</w:t>
      </w:r>
      <w:r>
        <w:rPr>
          <w:spacing w:val="-5"/>
        </w:rPr>
        <w:t> </w:t>
      </w:r>
      <w:r>
        <w:rPr/>
        <w:t>to determine if it is more likely than not that the occurrence of an event or change in circumstances has reduced the fair value of a reporting</w:t>
      </w:r>
      <w:r>
        <w:rPr>
          <w:spacing w:val="-13"/>
        </w:rPr>
        <w:t> </w:t>
      </w:r>
      <w:r>
        <w:rPr/>
        <w:t>segment</w:t>
      </w:r>
      <w:r>
        <w:rPr>
          <w:spacing w:val="-12"/>
        </w:rPr>
        <w:t> </w:t>
      </w:r>
      <w:r>
        <w:rPr/>
        <w:t>below</w:t>
      </w:r>
      <w:r>
        <w:rPr>
          <w:spacing w:val="-13"/>
        </w:rPr>
        <w:t> </w:t>
      </w:r>
      <w:r>
        <w:rPr/>
        <w:t>its</w:t>
      </w:r>
      <w:r>
        <w:rPr>
          <w:spacing w:val="-12"/>
        </w:rPr>
        <w:t> </w:t>
      </w:r>
      <w:r>
        <w:rPr/>
        <w:t>carrying</w:t>
      </w:r>
      <w:r>
        <w:rPr>
          <w:spacing w:val="-13"/>
        </w:rPr>
        <w:t> </w:t>
      </w:r>
      <w:r>
        <w:rPr/>
        <w:t>value.</w:t>
      </w:r>
      <w:r>
        <w:rPr>
          <w:spacing w:val="-12"/>
        </w:rPr>
        <w:t> </w:t>
      </w:r>
      <w:r>
        <w:rPr/>
        <w:t>The</w:t>
      </w:r>
      <w:r>
        <w:rPr>
          <w:spacing w:val="-13"/>
        </w:rPr>
        <w:t> </w:t>
      </w:r>
      <w:r>
        <w:rPr/>
        <w:t>qualitative</w:t>
      </w:r>
      <w:r>
        <w:rPr>
          <w:spacing w:val="-12"/>
        </w:rPr>
        <w:t> </w:t>
      </w:r>
      <w:r>
        <w:rPr/>
        <w:t>assessment</w:t>
      </w:r>
      <w:r>
        <w:rPr>
          <w:spacing w:val="-13"/>
        </w:rPr>
        <w:t> </w:t>
      </w:r>
      <w:r>
        <w:rPr/>
        <w:t>requires</w:t>
      </w:r>
      <w:r>
        <w:rPr>
          <w:spacing w:val="-12"/>
        </w:rPr>
        <w:t> </w:t>
      </w:r>
      <w:r>
        <w:rPr/>
        <w:t>that</w:t>
      </w:r>
      <w:r>
        <w:rPr>
          <w:spacing w:val="-13"/>
        </w:rPr>
        <w:t> </w:t>
      </w:r>
      <w:r>
        <w:rPr/>
        <w:t>we</w:t>
      </w:r>
      <w:r>
        <w:rPr>
          <w:spacing w:val="-12"/>
        </w:rPr>
        <w:t> </w:t>
      </w:r>
      <w:r>
        <w:rPr/>
        <w:t>consider</w:t>
      </w:r>
      <w:r>
        <w:rPr>
          <w:spacing w:val="-13"/>
        </w:rPr>
        <w:t> </w:t>
      </w:r>
      <w:r>
        <w:rPr/>
        <w:t>events</w:t>
      </w:r>
      <w:r>
        <w:rPr>
          <w:spacing w:val="-12"/>
        </w:rPr>
        <w:t> </w:t>
      </w:r>
      <w:r>
        <w:rPr/>
        <w:t>or</w:t>
      </w:r>
      <w:r>
        <w:rPr>
          <w:spacing w:val="-13"/>
        </w:rPr>
        <w:t> </w:t>
      </w:r>
      <w:r>
        <w:rPr/>
        <w:t>circumstances</w:t>
      </w:r>
      <w:r>
        <w:rPr>
          <w:spacing w:val="-12"/>
        </w:rPr>
        <w:t> </w:t>
      </w:r>
      <w:r>
        <w:rPr/>
        <w:t>that</w:t>
      </w:r>
      <w:r>
        <w:rPr>
          <w:spacing w:val="-13"/>
        </w:rPr>
        <w:t> </w:t>
      </w:r>
      <w:r>
        <w:rPr/>
        <w:t>may include macroeconomic conditions, industry and market considerations, cost factors, overall financial performance, changes in management or key personnel, changes in strategy, changes in customers, changes in the composition or carrying amount of a reporting segments’ net assets, and changes in our stock price. If, after assessing the totality of events or circumstances, we determine that it is more likely than not that the fair value of our reporting segments are greater than the carrying amounts, then the two-step goodwill impairment test is not performed.</w:t>
      </w:r>
    </w:p>
    <w:p>
      <w:pPr>
        <w:pStyle w:val="BodyText"/>
        <w:spacing w:before="17"/>
      </w:pPr>
    </w:p>
    <w:p>
      <w:pPr>
        <w:pStyle w:val="BodyText"/>
        <w:spacing w:line="249" w:lineRule="auto"/>
        <w:ind w:left="220" w:right="257" w:firstLine="540"/>
        <w:jc w:val="both"/>
      </w:pPr>
      <w:r>
        <w:rPr/>
        <w:t>If the qualitative assessment indicates that the two-step quantitative analysis should be performed, we evaluate goodwill for impairment by comparing the fair value of each of our reporting segments to its carrying value, including the associated goodwill.</w:t>
      </w:r>
      <w:r>
        <w:rPr>
          <w:spacing w:val="-6"/>
        </w:rPr>
        <w:t> </w:t>
      </w:r>
      <w:r>
        <w:rPr/>
        <w:t>To</w:t>
      </w:r>
      <w:r>
        <w:rPr>
          <w:spacing w:val="-2"/>
        </w:rPr>
        <w:t> </w:t>
      </w:r>
      <w:r>
        <w:rPr/>
        <w:t>determine</w:t>
      </w:r>
      <w:r>
        <w:rPr>
          <w:spacing w:val="-3"/>
        </w:rPr>
        <w:t> </w:t>
      </w:r>
      <w:r>
        <w:rPr/>
        <w:t>the</w:t>
      </w:r>
      <w:r>
        <w:rPr>
          <w:spacing w:val="-2"/>
        </w:rPr>
        <w:t> </w:t>
      </w:r>
      <w:r>
        <w:rPr/>
        <w:t>fair</w:t>
      </w:r>
      <w:r>
        <w:rPr>
          <w:spacing w:val="-2"/>
        </w:rPr>
        <w:t> </w:t>
      </w:r>
      <w:r>
        <w:rPr/>
        <w:t>values,</w:t>
      </w:r>
      <w:r>
        <w:rPr>
          <w:spacing w:val="-2"/>
        </w:rPr>
        <w:t> </w:t>
      </w:r>
      <w:r>
        <w:rPr/>
        <w:t>we</w:t>
      </w:r>
      <w:r>
        <w:rPr>
          <w:spacing w:val="-2"/>
        </w:rPr>
        <w:t> </w:t>
      </w:r>
      <w:r>
        <w:rPr/>
        <w:t>use</w:t>
      </w:r>
      <w:r>
        <w:rPr>
          <w:spacing w:val="-2"/>
        </w:rPr>
        <w:t> </w:t>
      </w:r>
      <w:r>
        <w:rPr/>
        <w:t>the</w:t>
      </w:r>
      <w:r>
        <w:rPr>
          <w:spacing w:val="-2"/>
        </w:rPr>
        <w:t> </w:t>
      </w:r>
      <w:r>
        <w:rPr/>
        <w:t>equal</w:t>
      </w:r>
      <w:r>
        <w:rPr>
          <w:spacing w:val="-3"/>
        </w:rPr>
        <w:t> </w:t>
      </w:r>
      <w:r>
        <w:rPr/>
        <w:t>weighting</w:t>
      </w:r>
      <w:r>
        <w:rPr>
          <w:spacing w:val="-2"/>
        </w:rPr>
        <w:t> </w:t>
      </w:r>
      <w:r>
        <w:rPr/>
        <w:t>of</w:t>
      </w:r>
      <w:r>
        <w:rPr>
          <w:spacing w:val="-2"/>
        </w:rPr>
        <w:t> </w:t>
      </w:r>
      <w:r>
        <w:rPr/>
        <w:t>the</w:t>
      </w:r>
      <w:r>
        <w:rPr>
          <w:spacing w:val="-2"/>
        </w:rPr>
        <w:t> </w:t>
      </w:r>
      <w:r>
        <w:rPr/>
        <w:t>market</w:t>
      </w:r>
      <w:r>
        <w:rPr>
          <w:spacing w:val="-3"/>
        </w:rPr>
        <w:t> </w:t>
      </w:r>
      <w:r>
        <w:rPr/>
        <w:t>approach</w:t>
      </w:r>
      <w:r>
        <w:rPr>
          <w:spacing w:val="-2"/>
        </w:rPr>
        <w:t> </w:t>
      </w:r>
      <w:r>
        <w:rPr/>
        <w:t>based</w:t>
      </w:r>
      <w:r>
        <w:rPr>
          <w:spacing w:val="-2"/>
        </w:rPr>
        <w:t> </w:t>
      </w:r>
      <w:r>
        <w:rPr/>
        <w:t>on</w:t>
      </w:r>
      <w:r>
        <w:rPr>
          <w:spacing w:val="-2"/>
        </w:rPr>
        <w:t> </w:t>
      </w:r>
      <w:r>
        <w:rPr/>
        <w:t>comparable</w:t>
      </w:r>
      <w:r>
        <w:rPr>
          <w:spacing w:val="-3"/>
        </w:rPr>
        <w:t> </w:t>
      </w:r>
      <w:r>
        <w:rPr/>
        <w:t>publicly</w:t>
      </w:r>
      <w:r>
        <w:rPr>
          <w:spacing w:val="-2"/>
        </w:rPr>
        <w:t> </w:t>
      </w:r>
      <w:r>
        <w:rPr/>
        <w:t>traded companies</w:t>
      </w:r>
      <w:r>
        <w:rPr>
          <w:spacing w:val="-11"/>
        </w:rPr>
        <w:t> </w:t>
      </w:r>
      <w:r>
        <w:rPr/>
        <w:t>in</w:t>
      </w:r>
      <w:r>
        <w:rPr>
          <w:spacing w:val="-11"/>
        </w:rPr>
        <w:t> </w:t>
      </w:r>
      <w:r>
        <w:rPr/>
        <w:t>similar</w:t>
      </w:r>
      <w:r>
        <w:rPr>
          <w:spacing w:val="-11"/>
        </w:rPr>
        <w:t> </w:t>
      </w:r>
      <w:r>
        <w:rPr/>
        <w:t>lines</w:t>
      </w:r>
      <w:r>
        <w:rPr>
          <w:spacing w:val="-11"/>
        </w:rPr>
        <w:t> </w:t>
      </w:r>
      <w:r>
        <w:rPr/>
        <w:t>of</w:t>
      </w:r>
      <w:r>
        <w:rPr>
          <w:spacing w:val="-11"/>
        </w:rPr>
        <w:t> </w:t>
      </w:r>
      <w:r>
        <w:rPr/>
        <w:t>businesses</w:t>
      </w:r>
      <w:r>
        <w:rPr>
          <w:spacing w:val="-11"/>
        </w:rPr>
        <w:t> </w:t>
      </w:r>
      <w:r>
        <w:rPr/>
        <w:t>and</w:t>
      </w:r>
      <w:r>
        <w:rPr>
          <w:spacing w:val="-11"/>
        </w:rPr>
        <w:t> </w:t>
      </w:r>
      <w:r>
        <w:rPr/>
        <w:t>the</w:t>
      </w:r>
      <w:r>
        <w:rPr>
          <w:spacing w:val="-11"/>
        </w:rPr>
        <w:t> </w:t>
      </w:r>
      <w:r>
        <w:rPr/>
        <w:t>income</w:t>
      </w:r>
      <w:r>
        <w:rPr>
          <w:spacing w:val="-12"/>
        </w:rPr>
        <w:t> </w:t>
      </w:r>
      <w:r>
        <w:rPr/>
        <w:t>approach</w:t>
      </w:r>
      <w:r>
        <w:rPr>
          <w:spacing w:val="-11"/>
        </w:rPr>
        <w:t> </w:t>
      </w:r>
      <w:r>
        <w:rPr/>
        <w:t>based</w:t>
      </w:r>
      <w:r>
        <w:rPr>
          <w:spacing w:val="-11"/>
        </w:rPr>
        <w:t> </w:t>
      </w:r>
      <w:r>
        <w:rPr/>
        <w:t>on</w:t>
      </w:r>
      <w:r>
        <w:rPr>
          <w:spacing w:val="-11"/>
        </w:rPr>
        <w:t> </w:t>
      </w:r>
      <w:r>
        <w:rPr/>
        <w:t>estimated</w:t>
      </w:r>
      <w:r>
        <w:rPr>
          <w:spacing w:val="-11"/>
        </w:rPr>
        <w:t> </w:t>
      </w:r>
      <w:r>
        <w:rPr/>
        <w:t>discounted</w:t>
      </w:r>
      <w:r>
        <w:rPr>
          <w:spacing w:val="-11"/>
        </w:rPr>
        <w:t> </w:t>
      </w:r>
      <w:r>
        <w:rPr/>
        <w:t>future</w:t>
      </w:r>
      <w:r>
        <w:rPr>
          <w:spacing w:val="-11"/>
        </w:rPr>
        <w:t> </w:t>
      </w:r>
      <w:r>
        <w:rPr/>
        <w:t>cash</w:t>
      </w:r>
      <w:r>
        <w:rPr>
          <w:spacing w:val="-11"/>
        </w:rPr>
        <w:t> </w:t>
      </w:r>
      <w:r>
        <w:rPr/>
        <w:t>flows.</w:t>
      </w:r>
      <w:r>
        <w:rPr>
          <w:spacing w:val="-11"/>
        </w:rPr>
        <w:t> </w:t>
      </w:r>
      <w:r>
        <w:rPr/>
        <w:t>Our</w:t>
      </w:r>
      <w:r>
        <w:rPr>
          <w:spacing w:val="-11"/>
        </w:rPr>
        <w:t> </w:t>
      </w:r>
      <w:r>
        <w:rPr/>
        <w:t>cash</w:t>
      </w:r>
      <w:r>
        <w:rPr>
          <w:spacing w:val="-11"/>
        </w:rPr>
        <w:t> </w:t>
      </w:r>
      <w:r>
        <w:rPr/>
        <w:t>flow assumptions consider historical and forecasted revenue, operating costs and other relevant factors.</w:t>
      </w:r>
    </w:p>
    <w:p>
      <w:pPr>
        <w:pStyle w:val="BodyText"/>
        <w:spacing w:before="14"/>
      </w:pPr>
    </w:p>
    <w:p>
      <w:pPr>
        <w:pStyle w:val="BodyText"/>
        <w:spacing w:line="249" w:lineRule="auto"/>
        <w:ind w:left="220" w:right="257" w:firstLine="540"/>
        <w:jc w:val="both"/>
      </w:pPr>
      <w:r>
        <w:rPr/>
        <w:t>We</w:t>
      </w:r>
      <w:r>
        <w:rPr>
          <w:spacing w:val="-4"/>
        </w:rPr>
        <w:t> </w:t>
      </w:r>
      <w:r>
        <w:rPr/>
        <w:t>completed</w:t>
      </w:r>
      <w:r>
        <w:rPr>
          <w:spacing w:val="-4"/>
        </w:rPr>
        <w:t> </w:t>
      </w:r>
      <w:r>
        <w:rPr/>
        <w:t>our</w:t>
      </w:r>
      <w:r>
        <w:rPr>
          <w:spacing w:val="-4"/>
        </w:rPr>
        <w:t> </w:t>
      </w:r>
      <w:r>
        <w:rPr/>
        <w:t>annual</w:t>
      </w:r>
      <w:r>
        <w:rPr>
          <w:spacing w:val="-5"/>
        </w:rPr>
        <w:t> </w:t>
      </w:r>
      <w:r>
        <w:rPr/>
        <w:t>goodwill</w:t>
      </w:r>
      <w:r>
        <w:rPr>
          <w:spacing w:val="-5"/>
        </w:rPr>
        <w:t> </w:t>
      </w:r>
      <w:r>
        <w:rPr/>
        <w:t>impairment</w:t>
      </w:r>
      <w:r>
        <w:rPr>
          <w:spacing w:val="-5"/>
        </w:rPr>
        <w:t> </w:t>
      </w:r>
      <w:r>
        <w:rPr/>
        <w:t>test</w:t>
      </w:r>
      <w:r>
        <w:rPr>
          <w:spacing w:val="-4"/>
        </w:rPr>
        <w:t> </w:t>
      </w:r>
      <w:r>
        <w:rPr/>
        <w:t>in</w:t>
      </w:r>
      <w:r>
        <w:rPr>
          <w:spacing w:val="-5"/>
        </w:rPr>
        <w:t> </w:t>
      </w:r>
      <w:r>
        <w:rPr/>
        <w:t>the</w:t>
      </w:r>
      <w:r>
        <w:rPr>
          <w:spacing w:val="-4"/>
        </w:rPr>
        <w:t> </w:t>
      </w:r>
      <w:r>
        <w:rPr/>
        <w:t>second</w:t>
      </w:r>
      <w:r>
        <w:rPr>
          <w:spacing w:val="-4"/>
        </w:rPr>
        <w:t> </w:t>
      </w:r>
      <w:r>
        <w:rPr/>
        <w:t>quarter</w:t>
      </w:r>
      <w:r>
        <w:rPr>
          <w:spacing w:val="-4"/>
        </w:rPr>
        <w:t> </w:t>
      </w:r>
      <w:r>
        <w:rPr/>
        <w:t>of</w:t>
      </w:r>
      <w:r>
        <w:rPr>
          <w:spacing w:val="-4"/>
        </w:rPr>
        <w:t> </w:t>
      </w:r>
      <w:r>
        <w:rPr/>
        <w:t>fiscal</w:t>
      </w:r>
      <w:r>
        <w:rPr>
          <w:spacing w:val="-5"/>
        </w:rPr>
        <w:t> </w:t>
      </w:r>
      <w:r>
        <w:rPr/>
        <w:t>2017.</w:t>
      </w:r>
      <w:r>
        <w:rPr>
          <w:spacing w:val="-8"/>
        </w:rPr>
        <w:t> </w:t>
      </w:r>
      <w:r>
        <w:rPr/>
        <w:t>We</w:t>
      </w:r>
      <w:r>
        <w:rPr>
          <w:spacing w:val="-4"/>
        </w:rPr>
        <w:t> </w:t>
      </w:r>
      <w:r>
        <w:rPr/>
        <w:t>determined,</w:t>
      </w:r>
      <w:r>
        <w:rPr>
          <w:spacing w:val="-4"/>
        </w:rPr>
        <w:t> </w:t>
      </w:r>
      <w:r>
        <w:rPr/>
        <w:t>after</w:t>
      </w:r>
      <w:r>
        <w:rPr>
          <w:spacing w:val="-5"/>
        </w:rPr>
        <w:t> </w:t>
      </w:r>
      <w:r>
        <w:rPr/>
        <w:t>performing a</w:t>
      </w:r>
      <w:r>
        <w:rPr>
          <w:spacing w:val="-6"/>
        </w:rPr>
        <w:t> </w:t>
      </w:r>
      <w:r>
        <w:rPr/>
        <w:t>qualitative</w:t>
      </w:r>
      <w:r>
        <w:rPr>
          <w:spacing w:val="-6"/>
        </w:rPr>
        <w:t> </w:t>
      </w:r>
      <w:r>
        <w:rPr/>
        <w:t>review</w:t>
      </w:r>
      <w:r>
        <w:rPr>
          <w:spacing w:val="-6"/>
        </w:rPr>
        <w:t> </w:t>
      </w:r>
      <w:r>
        <w:rPr/>
        <w:t>of</w:t>
      </w:r>
      <w:r>
        <w:rPr>
          <w:spacing w:val="-6"/>
        </w:rPr>
        <w:t> </w:t>
      </w:r>
      <w:r>
        <w:rPr/>
        <w:t>each</w:t>
      </w:r>
      <w:r>
        <w:rPr>
          <w:spacing w:val="-6"/>
        </w:rPr>
        <w:t> </w:t>
      </w:r>
      <w:r>
        <w:rPr/>
        <w:t>reporting</w:t>
      </w:r>
      <w:r>
        <w:rPr>
          <w:spacing w:val="-6"/>
        </w:rPr>
        <w:t> </w:t>
      </w:r>
      <w:r>
        <w:rPr/>
        <w:t>segment,</w:t>
      </w:r>
      <w:r>
        <w:rPr>
          <w:spacing w:val="-6"/>
        </w:rPr>
        <w:t> </w:t>
      </w:r>
      <w:r>
        <w:rPr/>
        <w:t>that</w:t>
      </w:r>
      <w:r>
        <w:rPr>
          <w:spacing w:val="-6"/>
        </w:rPr>
        <w:t> </w:t>
      </w:r>
      <w:r>
        <w:rPr/>
        <w:t>it</w:t>
      </w:r>
      <w:r>
        <w:rPr>
          <w:spacing w:val="-6"/>
        </w:rPr>
        <w:t> </w:t>
      </w:r>
      <w:r>
        <w:rPr/>
        <w:t>is</w:t>
      </w:r>
      <w:r>
        <w:rPr>
          <w:spacing w:val="-6"/>
        </w:rPr>
        <w:t> </w:t>
      </w:r>
      <w:r>
        <w:rPr/>
        <w:t>more</w:t>
      </w:r>
      <w:r>
        <w:rPr>
          <w:spacing w:val="-6"/>
        </w:rPr>
        <w:t> </w:t>
      </w:r>
      <w:r>
        <w:rPr/>
        <w:t>likely</w:t>
      </w:r>
      <w:r>
        <w:rPr>
          <w:spacing w:val="-6"/>
        </w:rPr>
        <w:t> </w:t>
      </w:r>
      <w:r>
        <w:rPr/>
        <w:t>than</w:t>
      </w:r>
      <w:r>
        <w:rPr>
          <w:spacing w:val="-6"/>
        </w:rPr>
        <w:t> </w:t>
      </w:r>
      <w:r>
        <w:rPr/>
        <w:t>not</w:t>
      </w:r>
      <w:r>
        <w:rPr>
          <w:spacing w:val="-6"/>
        </w:rPr>
        <w:t> </w:t>
      </w:r>
      <w:r>
        <w:rPr/>
        <w:t>that</w:t>
      </w:r>
      <w:r>
        <w:rPr>
          <w:spacing w:val="-6"/>
        </w:rPr>
        <w:t> </w:t>
      </w:r>
      <w:r>
        <w:rPr/>
        <w:t>the</w:t>
      </w:r>
      <w:r>
        <w:rPr>
          <w:spacing w:val="-6"/>
        </w:rPr>
        <w:t> </w:t>
      </w:r>
      <w:r>
        <w:rPr/>
        <w:t>fair</w:t>
      </w:r>
      <w:r>
        <w:rPr>
          <w:spacing w:val="-6"/>
        </w:rPr>
        <w:t> </w:t>
      </w:r>
      <w:r>
        <w:rPr/>
        <w:t>value</w:t>
      </w:r>
      <w:r>
        <w:rPr>
          <w:spacing w:val="-6"/>
        </w:rPr>
        <w:t> </w:t>
      </w:r>
      <w:r>
        <w:rPr/>
        <w:t>of</w:t>
      </w:r>
      <w:r>
        <w:rPr>
          <w:spacing w:val="-6"/>
        </w:rPr>
        <w:t> </w:t>
      </w:r>
      <w:r>
        <w:rPr/>
        <w:t>each</w:t>
      </w:r>
      <w:r>
        <w:rPr>
          <w:spacing w:val="-6"/>
        </w:rPr>
        <w:t> </w:t>
      </w:r>
      <w:r>
        <w:rPr/>
        <w:t>of</w:t>
      </w:r>
      <w:r>
        <w:rPr>
          <w:spacing w:val="-6"/>
        </w:rPr>
        <w:t> </w:t>
      </w:r>
      <w:r>
        <w:rPr/>
        <w:t>our</w:t>
      </w:r>
      <w:r>
        <w:rPr>
          <w:spacing w:val="-6"/>
        </w:rPr>
        <w:t> </w:t>
      </w:r>
      <w:r>
        <w:rPr/>
        <w:t>reporting</w:t>
      </w:r>
      <w:r>
        <w:rPr>
          <w:spacing w:val="-6"/>
        </w:rPr>
        <w:t> </w:t>
      </w:r>
      <w:r>
        <w:rPr/>
        <w:t>segments substantially exceeds the respective carrying amounts. Accordingly, there was no indication of impairment, and the two-step quantitative goodwill impairment test was not performed.</w:t>
      </w:r>
    </w:p>
    <w:p>
      <w:pPr>
        <w:pStyle w:val="BodyText"/>
        <w:spacing w:before="13"/>
      </w:pPr>
    </w:p>
    <w:p>
      <w:pPr>
        <w:pStyle w:val="BodyText"/>
        <w:spacing w:line="249" w:lineRule="auto" w:before="1"/>
        <w:ind w:left="220" w:right="257" w:firstLine="540"/>
        <w:jc w:val="both"/>
      </w:pPr>
      <w:r>
        <w:rPr/>
        <w:t>We</w:t>
      </w:r>
      <w:r>
        <w:rPr>
          <w:spacing w:val="-7"/>
        </w:rPr>
        <w:t> </w:t>
      </w:r>
      <w:r>
        <w:rPr/>
        <w:t>amortize</w:t>
      </w:r>
      <w:r>
        <w:rPr>
          <w:spacing w:val="-7"/>
        </w:rPr>
        <w:t> </w:t>
      </w:r>
      <w:r>
        <w:rPr/>
        <w:t>intangible</w:t>
      </w:r>
      <w:r>
        <w:rPr>
          <w:spacing w:val="-7"/>
        </w:rPr>
        <w:t> </w:t>
      </w:r>
      <w:r>
        <w:rPr/>
        <w:t>assets</w:t>
      </w:r>
      <w:r>
        <w:rPr>
          <w:spacing w:val="-7"/>
        </w:rPr>
        <w:t> </w:t>
      </w:r>
      <w:r>
        <w:rPr/>
        <w:t>with</w:t>
      </w:r>
      <w:r>
        <w:rPr>
          <w:spacing w:val="-7"/>
        </w:rPr>
        <w:t> </w:t>
      </w:r>
      <w:r>
        <w:rPr/>
        <w:t>finite</w:t>
      </w:r>
      <w:r>
        <w:rPr>
          <w:spacing w:val="-7"/>
        </w:rPr>
        <w:t> </w:t>
      </w:r>
      <w:r>
        <w:rPr/>
        <w:t>lives</w:t>
      </w:r>
      <w:r>
        <w:rPr>
          <w:spacing w:val="-6"/>
        </w:rPr>
        <w:t> </w:t>
      </w:r>
      <w:r>
        <w:rPr/>
        <w:t>over</w:t>
      </w:r>
      <w:r>
        <w:rPr>
          <w:spacing w:val="-7"/>
        </w:rPr>
        <w:t> </w:t>
      </w:r>
      <w:r>
        <w:rPr/>
        <w:t>their</w:t>
      </w:r>
      <w:r>
        <w:rPr>
          <w:spacing w:val="-7"/>
        </w:rPr>
        <w:t> </w:t>
      </w:r>
      <w:r>
        <w:rPr/>
        <w:t>estimated</w:t>
      </w:r>
      <w:r>
        <w:rPr>
          <w:spacing w:val="-6"/>
        </w:rPr>
        <w:t> </w:t>
      </w:r>
      <w:r>
        <w:rPr/>
        <w:t>useful</w:t>
      </w:r>
      <w:r>
        <w:rPr>
          <w:spacing w:val="-7"/>
        </w:rPr>
        <w:t> </w:t>
      </w:r>
      <w:r>
        <w:rPr/>
        <w:t>lives</w:t>
      </w:r>
      <w:r>
        <w:rPr>
          <w:spacing w:val="-6"/>
        </w:rPr>
        <w:t> </w:t>
      </w:r>
      <w:r>
        <w:rPr/>
        <w:t>and</w:t>
      </w:r>
      <w:r>
        <w:rPr>
          <w:spacing w:val="-7"/>
        </w:rPr>
        <w:t> </w:t>
      </w:r>
      <w:r>
        <w:rPr/>
        <w:t>review</w:t>
      </w:r>
      <w:r>
        <w:rPr>
          <w:spacing w:val="-6"/>
        </w:rPr>
        <w:t> </w:t>
      </w:r>
      <w:r>
        <w:rPr/>
        <w:t>them</w:t>
      </w:r>
      <w:r>
        <w:rPr>
          <w:spacing w:val="-7"/>
        </w:rPr>
        <w:t> </w:t>
      </w:r>
      <w:r>
        <w:rPr/>
        <w:t>for</w:t>
      </w:r>
      <w:r>
        <w:rPr>
          <w:spacing w:val="-6"/>
        </w:rPr>
        <w:t> </w:t>
      </w:r>
      <w:r>
        <w:rPr/>
        <w:t>impairment</w:t>
      </w:r>
      <w:r>
        <w:rPr>
          <w:spacing w:val="-7"/>
        </w:rPr>
        <w:t> </w:t>
      </w:r>
      <w:r>
        <w:rPr/>
        <w:t>whenever an</w:t>
      </w:r>
      <w:r>
        <w:rPr>
          <w:spacing w:val="-13"/>
        </w:rPr>
        <w:t> </w:t>
      </w:r>
      <w:r>
        <w:rPr/>
        <w:t>impairment</w:t>
      </w:r>
      <w:r>
        <w:rPr>
          <w:spacing w:val="-12"/>
        </w:rPr>
        <w:t> </w:t>
      </w:r>
      <w:r>
        <w:rPr/>
        <w:t>indicator</w:t>
      </w:r>
      <w:r>
        <w:rPr>
          <w:spacing w:val="-12"/>
        </w:rPr>
        <w:t> </w:t>
      </w:r>
      <w:r>
        <w:rPr/>
        <w:t>exists.</w:t>
      </w:r>
      <w:r>
        <w:rPr>
          <w:spacing w:val="-13"/>
        </w:rPr>
        <w:t> </w:t>
      </w:r>
      <w:r>
        <w:rPr/>
        <w:t>We</w:t>
      </w:r>
      <w:r>
        <w:rPr>
          <w:spacing w:val="-12"/>
        </w:rPr>
        <w:t> </w:t>
      </w:r>
      <w:r>
        <w:rPr/>
        <w:t>continually</w:t>
      </w:r>
      <w:r>
        <w:rPr>
          <w:spacing w:val="-12"/>
        </w:rPr>
        <w:t> </w:t>
      </w:r>
      <w:r>
        <w:rPr/>
        <w:t>monitor</w:t>
      </w:r>
      <w:r>
        <w:rPr>
          <w:spacing w:val="-12"/>
        </w:rPr>
        <w:t> </w:t>
      </w:r>
      <w:r>
        <w:rPr/>
        <w:t>events</w:t>
      </w:r>
      <w:r>
        <w:rPr>
          <w:spacing w:val="-12"/>
        </w:rPr>
        <w:t> </w:t>
      </w:r>
      <w:r>
        <w:rPr/>
        <w:t>and</w:t>
      </w:r>
      <w:r>
        <w:rPr>
          <w:spacing w:val="-12"/>
        </w:rPr>
        <w:t> </w:t>
      </w:r>
      <w:r>
        <w:rPr/>
        <w:t>changes</w:t>
      </w:r>
      <w:r>
        <w:rPr>
          <w:spacing w:val="-12"/>
        </w:rPr>
        <w:t> </w:t>
      </w:r>
      <w:r>
        <w:rPr/>
        <w:t>in</w:t>
      </w:r>
      <w:r>
        <w:rPr>
          <w:spacing w:val="-12"/>
        </w:rPr>
        <w:t> </w:t>
      </w:r>
      <w:r>
        <w:rPr/>
        <w:t>circumstances</w:t>
      </w:r>
      <w:r>
        <w:rPr>
          <w:spacing w:val="-11"/>
        </w:rPr>
        <w:t> </w:t>
      </w:r>
      <w:r>
        <w:rPr/>
        <w:t>that</w:t>
      </w:r>
      <w:r>
        <w:rPr>
          <w:spacing w:val="-12"/>
        </w:rPr>
        <w:t> </w:t>
      </w:r>
      <w:r>
        <w:rPr/>
        <w:t>could</w:t>
      </w:r>
      <w:r>
        <w:rPr>
          <w:spacing w:val="-12"/>
        </w:rPr>
        <w:t> </w:t>
      </w:r>
      <w:r>
        <w:rPr/>
        <w:t>indicate</w:t>
      </w:r>
      <w:r>
        <w:rPr>
          <w:spacing w:val="-12"/>
        </w:rPr>
        <w:t> </w:t>
      </w:r>
      <w:r>
        <w:rPr/>
        <w:t>carrying</w:t>
      </w:r>
      <w:r>
        <w:rPr>
          <w:spacing w:val="-12"/>
        </w:rPr>
        <w:t> </w:t>
      </w:r>
      <w:r>
        <w:rPr/>
        <w:t>amounts of our long-lived assets, including our intangible assets may not be recoverable.</w:t>
      </w:r>
      <w:r>
        <w:rPr>
          <w:spacing w:val="-3"/>
        </w:rPr>
        <w:t> </w:t>
      </w:r>
      <w:r>
        <w:rPr/>
        <w:t>When such events or changes in circumstances </w:t>
      </w:r>
      <w:r>
        <w:rPr>
          <w:spacing w:val="-2"/>
        </w:rPr>
        <w:t>occur,</w:t>
      </w:r>
      <w:r>
        <w:rPr>
          <w:spacing w:val="-10"/>
        </w:rPr>
        <w:t> </w:t>
      </w:r>
      <w:r>
        <w:rPr>
          <w:spacing w:val="-2"/>
        </w:rPr>
        <w:t>we</w:t>
      </w:r>
      <w:r>
        <w:rPr>
          <w:spacing w:val="-10"/>
        </w:rPr>
        <w:t> </w:t>
      </w:r>
      <w:r>
        <w:rPr>
          <w:spacing w:val="-2"/>
        </w:rPr>
        <w:t>assess</w:t>
      </w:r>
      <w:r>
        <w:rPr>
          <w:spacing w:val="-10"/>
        </w:rPr>
        <w:t> </w:t>
      </w:r>
      <w:r>
        <w:rPr>
          <w:spacing w:val="-2"/>
        </w:rPr>
        <w:t>recoverability</w:t>
      </w:r>
      <w:r>
        <w:rPr>
          <w:spacing w:val="-10"/>
        </w:rPr>
        <w:t> </w:t>
      </w:r>
      <w:r>
        <w:rPr>
          <w:spacing w:val="-2"/>
        </w:rPr>
        <w:t>by</w:t>
      </w:r>
      <w:r>
        <w:rPr>
          <w:spacing w:val="-10"/>
        </w:rPr>
        <w:t> </w:t>
      </w:r>
      <w:r>
        <w:rPr>
          <w:spacing w:val="-2"/>
        </w:rPr>
        <w:t>determining</w:t>
      </w:r>
      <w:r>
        <w:rPr>
          <w:spacing w:val="-10"/>
        </w:rPr>
        <w:t> </w:t>
      </w:r>
      <w:r>
        <w:rPr>
          <w:spacing w:val="-2"/>
        </w:rPr>
        <w:t>whether</w:t>
      </w:r>
      <w:r>
        <w:rPr>
          <w:spacing w:val="-10"/>
        </w:rPr>
        <w:t> </w:t>
      </w:r>
      <w:r>
        <w:rPr>
          <w:spacing w:val="-2"/>
        </w:rPr>
        <w:t>the</w:t>
      </w:r>
      <w:r>
        <w:rPr>
          <w:spacing w:val="-10"/>
        </w:rPr>
        <w:t> </w:t>
      </w:r>
      <w:r>
        <w:rPr>
          <w:spacing w:val="-2"/>
        </w:rPr>
        <w:t>carrying</w:t>
      </w:r>
      <w:r>
        <w:rPr>
          <w:spacing w:val="-10"/>
        </w:rPr>
        <w:t> </w:t>
      </w:r>
      <w:r>
        <w:rPr>
          <w:spacing w:val="-2"/>
        </w:rPr>
        <w:t>value</w:t>
      </w:r>
      <w:r>
        <w:rPr>
          <w:spacing w:val="-10"/>
        </w:rPr>
        <w:t> </w:t>
      </w:r>
      <w:r>
        <w:rPr>
          <w:spacing w:val="-2"/>
        </w:rPr>
        <w:t>of</w:t>
      </w:r>
      <w:r>
        <w:rPr>
          <w:spacing w:val="-10"/>
        </w:rPr>
        <w:t> </w:t>
      </w:r>
      <w:r>
        <w:rPr>
          <w:spacing w:val="-2"/>
        </w:rPr>
        <w:t>such</w:t>
      </w:r>
      <w:r>
        <w:rPr>
          <w:spacing w:val="-10"/>
        </w:rPr>
        <w:t> </w:t>
      </w:r>
      <w:r>
        <w:rPr>
          <w:spacing w:val="-2"/>
        </w:rPr>
        <w:t>assets</w:t>
      </w:r>
      <w:r>
        <w:rPr>
          <w:spacing w:val="-10"/>
        </w:rPr>
        <w:t> </w:t>
      </w:r>
      <w:r>
        <w:rPr>
          <w:spacing w:val="-2"/>
        </w:rPr>
        <w:t>will</w:t>
      </w:r>
      <w:r>
        <w:rPr>
          <w:spacing w:val="-10"/>
        </w:rPr>
        <w:t> </w:t>
      </w:r>
      <w:r>
        <w:rPr>
          <w:spacing w:val="-2"/>
        </w:rPr>
        <w:t>be</w:t>
      </w:r>
      <w:r>
        <w:rPr>
          <w:spacing w:val="-10"/>
        </w:rPr>
        <w:t> </w:t>
      </w:r>
      <w:r>
        <w:rPr>
          <w:spacing w:val="-2"/>
        </w:rPr>
        <w:t>recovered</w:t>
      </w:r>
      <w:r>
        <w:rPr>
          <w:spacing w:val="-10"/>
        </w:rPr>
        <w:t> </w:t>
      </w:r>
      <w:r>
        <w:rPr>
          <w:spacing w:val="-2"/>
        </w:rPr>
        <w:t>through</w:t>
      </w:r>
      <w:r>
        <w:rPr>
          <w:spacing w:val="-10"/>
        </w:rPr>
        <w:t> </w:t>
      </w:r>
      <w:r>
        <w:rPr>
          <w:spacing w:val="-2"/>
        </w:rPr>
        <w:t>the</w:t>
      </w:r>
      <w:r>
        <w:rPr>
          <w:spacing w:val="-10"/>
        </w:rPr>
        <w:t> </w:t>
      </w:r>
      <w:r>
        <w:rPr>
          <w:spacing w:val="-2"/>
        </w:rPr>
        <w:t>undiscounted </w:t>
      </w:r>
      <w:r>
        <w:rPr/>
        <w:t>expected</w:t>
      </w:r>
      <w:r>
        <w:rPr>
          <w:spacing w:val="-4"/>
        </w:rPr>
        <w:t> </w:t>
      </w:r>
      <w:r>
        <w:rPr/>
        <w:t>future</w:t>
      </w:r>
      <w:r>
        <w:rPr>
          <w:spacing w:val="-4"/>
        </w:rPr>
        <w:t> </w:t>
      </w:r>
      <w:r>
        <w:rPr/>
        <w:t>cash</w:t>
      </w:r>
      <w:r>
        <w:rPr>
          <w:spacing w:val="-3"/>
        </w:rPr>
        <w:t> </w:t>
      </w:r>
      <w:r>
        <w:rPr/>
        <w:t>flows.</w:t>
      </w:r>
      <w:r>
        <w:rPr>
          <w:spacing w:val="-4"/>
        </w:rPr>
        <w:t> </w:t>
      </w:r>
      <w:r>
        <w:rPr/>
        <w:t>If</w:t>
      </w:r>
      <w:r>
        <w:rPr>
          <w:spacing w:val="-4"/>
        </w:rPr>
        <w:t> </w:t>
      </w:r>
      <w:r>
        <w:rPr/>
        <w:t>the</w:t>
      </w:r>
      <w:r>
        <w:rPr>
          <w:spacing w:val="-4"/>
        </w:rPr>
        <w:t> </w:t>
      </w:r>
      <w:r>
        <w:rPr/>
        <w:t>future</w:t>
      </w:r>
      <w:r>
        <w:rPr>
          <w:spacing w:val="-4"/>
        </w:rPr>
        <w:t> </w:t>
      </w:r>
      <w:r>
        <w:rPr/>
        <w:t>undiscounted</w:t>
      </w:r>
      <w:r>
        <w:rPr>
          <w:spacing w:val="-4"/>
        </w:rPr>
        <w:t> </w:t>
      </w:r>
      <w:r>
        <w:rPr/>
        <w:t>cash</w:t>
      </w:r>
      <w:r>
        <w:rPr>
          <w:spacing w:val="-4"/>
        </w:rPr>
        <w:t> </w:t>
      </w:r>
      <w:r>
        <w:rPr/>
        <w:t>flows</w:t>
      </w:r>
      <w:r>
        <w:rPr>
          <w:spacing w:val="-3"/>
        </w:rPr>
        <w:t> </w:t>
      </w:r>
      <w:r>
        <w:rPr/>
        <w:t>are</w:t>
      </w:r>
      <w:r>
        <w:rPr>
          <w:spacing w:val="-4"/>
        </w:rPr>
        <w:t> </w:t>
      </w:r>
      <w:r>
        <w:rPr/>
        <w:t>less</w:t>
      </w:r>
      <w:r>
        <w:rPr>
          <w:spacing w:val="-4"/>
        </w:rPr>
        <w:t> </w:t>
      </w:r>
      <w:r>
        <w:rPr/>
        <w:t>than</w:t>
      </w:r>
      <w:r>
        <w:rPr>
          <w:spacing w:val="-4"/>
        </w:rPr>
        <w:t> </w:t>
      </w:r>
      <w:r>
        <w:rPr/>
        <w:t>the</w:t>
      </w:r>
      <w:r>
        <w:rPr>
          <w:spacing w:val="-4"/>
        </w:rPr>
        <w:t> </w:t>
      </w:r>
      <w:r>
        <w:rPr/>
        <w:t>carrying</w:t>
      </w:r>
      <w:r>
        <w:rPr>
          <w:spacing w:val="-4"/>
        </w:rPr>
        <w:t> </w:t>
      </w:r>
      <w:r>
        <w:rPr/>
        <w:t>amount</w:t>
      </w:r>
      <w:r>
        <w:rPr>
          <w:spacing w:val="-4"/>
        </w:rPr>
        <w:t> </w:t>
      </w:r>
      <w:r>
        <w:rPr/>
        <w:t>of</w:t>
      </w:r>
      <w:r>
        <w:rPr>
          <w:spacing w:val="-4"/>
        </w:rPr>
        <w:t> </w:t>
      </w:r>
      <w:r>
        <w:rPr/>
        <w:t>these</w:t>
      </w:r>
      <w:r>
        <w:rPr>
          <w:spacing w:val="-4"/>
        </w:rPr>
        <w:t> </w:t>
      </w:r>
      <w:r>
        <w:rPr/>
        <w:t>assets,</w:t>
      </w:r>
      <w:r>
        <w:rPr>
          <w:spacing w:val="-4"/>
        </w:rPr>
        <w:t> </w:t>
      </w:r>
      <w:r>
        <w:rPr/>
        <w:t>we</w:t>
      </w:r>
      <w:r>
        <w:rPr>
          <w:spacing w:val="-4"/>
        </w:rPr>
        <w:t> </w:t>
      </w:r>
      <w:r>
        <w:rPr/>
        <w:t>recognize </w:t>
      </w:r>
      <w:r>
        <w:rPr>
          <w:spacing w:val="-2"/>
        </w:rPr>
        <w:t>an</w:t>
      </w:r>
      <w:r>
        <w:rPr>
          <w:spacing w:val="-9"/>
        </w:rPr>
        <w:t> </w:t>
      </w:r>
      <w:r>
        <w:rPr>
          <w:spacing w:val="-2"/>
        </w:rPr>
        <w:t>impairment</w:t>
      </w:r>
      <w:r>
        <w:rPr>
          <w:spacing w:val="-9"/>
        </w:rPr>
        <w:t> </w:t>
      </w:r>
      <w:r>
        <w:rPr>
          <w:spacing w:val="-2"/>
        </w:rPr>
        <w:t>loss</w:t>
      </w:r>
      <w:r>
        <w:rPr>
          <w:spacing w:val="-7"/>
        </w:rPr>
        <w:t> </w:t>
      </w:r>
      <w:r>
        <w:rPr>
          <w:spacing w:val="-2"/>
        </w:rPr>
        <w:t>based</w:t>
      </w:r>
      <w:r>
        <w:rPr>
          <w:spacing w:val="-9"/>
        </w:rPr>
        <w:t> </w:t>
      </w:r>
      <w:r>
        <w:rPr>
          <w:spacing w:val="-2"/>
        </w:rPr>
        <w:t>on</w:t>
      </w:r>
      <w:r>
        <w:rPr>
          <w:spacing w:val="-9"/>
        </w:rPr>
        <w:t> </w:t>
      </w:r>
      <w:r>
        <w:rPr>
          <w:spacing w:val="-2"/>
        </w:rPr>
        <w:t>any</w:t>
      </w:r>
      <w:r>
        <w:rPr>
          <w:spacing w:val="-9"/>
        </w:rPr>
        <w:t> </w:t>
      </w:r>
      <w:r>
        <w:rPr>
          <w:spacing w:val="-2"/>
        </w:rPr>
        <w:t>excess</w:t>
      </w:r>
      <w:r>
        <w:rPr>
          <w:spacing w:val="-9"/>
        </w:rPr>
        <w:t> </w:t>
      </w:r>
      <w:r>
        <w:rPr>
          <w:spacing w:val="-2"/>
        </w:rPr>
        <w:t>of</w:t>
      </w:r>
      <w:r>
        <w:rPr>
          <w:spacing w:val="-9"/>
        </w:rPr>
        <w:t> </w:t>
      </w:r>
      <w:r>
        <w:rPr>
          <w:spacing w:val="-2"/>
        </w:rPr>
        <w:t>the</w:t>
      </w:r>
      <w:r>
        <w:rPr>
          <w:spacing w:val="-9"/>
        </w:rPr>
        <w:t> </w:t>
      </w:r>
      <w:r>
        <w:rPr>
          <w:spacing w:val="-2"/>
        </w:rPr>
        <w:t>carrying</w:t>
      </w:r>
      <w:r>
        <w:rPr>
          <w:spacing w:val="-9"/>
        </w:rPr>
        <w:t> </w:t>
      </w:r>
      <w:r>
        <w:rPr>
          <w:spacing w:val="-2"/>
        </w:rPr>
        <w:t>amount</w:t>
      </w:r>
      <w:r>
        <w:rPr>
          <w:spacing w:val="-9"/>
        </w:rPr>
        <w:t> </w:t>
      </w:r>
      <w:r>
        <w:rPr>
          <w:spacing w:val="-2"/>
        </w:rPr>
        <w:t>over</w:t>
      </w:r>
      <w:r>
        <w:rPr>
          <w:spacing w:val="-9"/>
        </w:rPr>
        <w:t> </w:t>
      </w:r>
      <w:r>
        <w:rPr>
          <w:spacing w:val="-2"/>
        </w:rPr>
        <w:t>the</w:t>
      </w:r>
      <w:r>
        <w:rPr>
          <w:spacing w:val="-9"/>
        </w:rPr>
        <w:t> </w:t>
      </w:r>
      <w:r>
        <w:rPr>
          <w:spacing w:val="-2"/>
        </w:rPr>
        <w:t>fair</w:t>
      </w:r>
      <w:r>
        <w:rPr>
          <w:spacing w:val="-9"/>
        </w:rPr>
        <w:t> </w:t>
      </w:r>
      <w:r>
        <w:rPr>
          <w:spacing w:val="-2"/>
        </w:rPr>
        <w:t>value</w:t>
      </w:r>
      <w:r>
        <w:rPr>
          <w:spacing w:val="-9"/>
        </w:rPr>
        <w:t> </w:t>
      </w:r>
      <w:r>
        <w:rPr>
          <w:spacing w:val="-2"/>
        </w:rPr>
        <w:t>of</w:t>
      </w:r>
      <w:r>
        <w:rPr>
          <w:spacing w:val="-9"/>
        </w:rPr>
        <w:t> </w:t>
      </w:r>
      <w:r>
        <w:rPr>
          <w:spacing w:val="-2"/>
        </w:rPr>
        <w:t>the</w:t>
      </w:r>
      <w:r>
        <w:rPr>
          <w:spacing w:val="-9"/>
        </w:rPr>
        <w:t> </w:t>
      </w:r>
      <w:r>
        <w:rPr>
          <w:spacing w:val="-2"/>
        </w:rPr>
        <w:t>assets.</w:t>
      </w:r>
      <w:r>
        <w:rPr>
          <w:spacing w:val="-11"/>
        </w:rPr>
        <w:t> </w:t>
      </w:r>
      <w:r>
        <w:rPr>
          <w:spacing w:val="-2"/>
        </w:rPr>
        <w:t>We</w:t>
      </w:r>
      <w:r>
        <w:rPr>
          <w:spacing w:val="-8"/>
        </w:rPr>
        <w:t> </w:t>
      </w:r>
      <w:r>
        <w:rPr>
          <w:spacing w:val="-2"/>
        </w:rPr>
        <w:t>did</w:t>
      </w:r>
      <w:r>
        <w:rPr>
          <w:spacing w:val="-9"/>
        </w:rPr>
        <w:t> </w:t>
      </w:r>
      <w:r>
        <w:rPr>
          <w:spacing w:val="-2"/>
        </w:rPr>
        <w:t>not</w:t>
      </w:r>
      <w:r>
        <w:rPr>
          <w:spacing w:val="-9"/>
        </w:rPr>
        <w:t> </w:t>
      </w:r>
      <w:r>
        <w:rPr>
          <w:spacing w:val="-2"/>
        </w:rPr>
        <w:t>recognize</w:t>
      </w:r>
      <w:r>
        <w:rPr>
          <w:spacing w:val="-9"/>
        </w:rPr>
        <w:t> </w:t>
      </w:r>
      <w:r>
        <w:rPr>
          <w:spacing w:val="-2"/>
        </w:rPr>
        <w:t>any</w:t>
      </w:r>
      <w:r>
        <w:rPr>
          <w:spacing w:val="-9"/>
        </w:rPr>
        <w:t> </w:t>
      </w:r>
      <w:r>
        <w:rPr>
          <w:spacing w:val="-2"/>
        </w:rPr>
        <w:t>intangible </w:t>
      </w:r>
      <w:r>
        <w:rPr/>
        <w:t>asset impairment charges in fiscal 2017, 2016 or 2015.</w:t>
      </w:r>
    </w:p>
    <w:p>
      <w:pPr>
        <w:pStyle w:val="BodyText"/>
        <w:spacing w:before="15"/>
      </w:pPr>
    </w:p>
    <w:p>
      <w:pPr>
        <w:pStyle w:val="BodyText"/>
        <w:spacing w:line="249" w:lineRule="auto"/>
        <w:ind w:left="220" w:right="257" w:firstLine="540"/>
        <w:jc w:val="both"/>
      </w:pPr>
      <w:r>
        <w:rPr/>
        <w:t>During fiscal 2017, our intangible assets were amortized over their estimated useful lives ranging from 1 to 14 years. Amortization</w:t>
      </w:r>
      <w:r>
        <w:rPr>
          <w:spacing w:val="-7"/>
        </w:rPr>
        <w:t> </w:t>
      </w:r>
      <w:r>
        <w:rPr/>
        <w:t>is</w:t>
      </w:r>
      <w:r>
        <w:rPr>
          <w:spacing w:val="-7"/>
        </w:rPr>
        <w:t> </w:t>
      </w:r>
      <w:r>
        <w:rPr/>
        <w:t>based</w:t>
      </w:r>
      <w:r>
        <w:rPr>
          <w:spacing w:val="-7"/>
        </w:rPr>
        <w:t> </w:t>
      </w:r>
      <w:r>
        <w:rPr/>
        <w:t>on</w:t>
      </w:r>
      <w:r>
        <w:rPr>
          <w:spacing w:val="-7"/>
        </w:rPr>
        <w:t> </w:t>
      </w:r>
      <w:r>
        <w:rPr/>
        <w:t>the</w:t>
      </w:r>
      <w:r>
        <w:rPr>
          <w:spacing w:val="-7"/>
        </w:rPr>
        <w:t> </w:t>
      </w:r>
      <w:r>
        <w:rPr/>
        <w:t>pattern</w:t>
      </w:r>
      <w:r>
        <w:rPr>
          <w:spacing w:val="-7"/>
        </w:rPr>
        <w:t> </w:t>
      </w:r>
      <w:r>
        <w:rPr/>
        <w:t>in</w:t>
      </w:r>
      <w:r>
        <w:rPr>
          <w:spacing w:val="-7"/>
        </w:rPr>
        <w:t> </w:t>
      </w:r>
      <w:r>
        <w:rPr/>
        <w:t>which</w:t>
      </w:r>
      <w:r>
        <w:rPr>
          <w:spacing w:val="-7"/>
        </w:rPr>
        <w:t> </w:t>
      </w:r>
      <w:r>
        <w:rPr/>
        <w:t>the</w:t>
      </w:r>
      <w:r>
        <w:rPr>
          <w:spacing w:val="-7"/>
        </w:rPr>
        <w:t> </w:t>
      </w:r>
      <w:r>
        <w:rPr/>
        <w:t>economic</w:t>
      </w:r>
      <w:r>
        <w:rPr>
          <w:spacing w:val="-7"/>
        </w:rPr>
        <w:t> </w:t>
      </w:r>
      <w:r>
        <w:rPr/>
        <w:t>benefits</w:t>
      </w:r>
      <w:r>
        <w:rPr>
          <w:spacing w:val="-7"/>
        </w:rPr>
        <w:t> </w:t>
      </w:r>
      <w:r>
        <w:rPr/>
        <w:t>of</w:t>
      </w:r>
      <w:r>
        <w:rPr>
          <w:spacing w:val="-7"/>
        </w:rPr>
        <w:t> </w:t>
      </w:r>
      <w:r>
        <w:rPr/>
        <w:t>the</w:t>
      </w:r>
      <w:r>
        <w:rPr>
          <w:spacing w:val="-7"/>
        </w:rPr>
        <w:t> </w:t>
      </w:r>
      <w:r>
        <w:rPr/>
        <w:t>intangible</w:t>
      </w:r>
      <w:r>
        <w:rPr>
          <w:spacing w:val="-7"/>
        </w:rPr>
        <w:t> </w:t>
      </w:r>
      <w:r>
        <w:rPr/>
        <w:t>asset</w:t>
      </w:r>
      <w:r>
        <w:rPr>
          <w:spacing w:val="-7"/>
        </w:rPr>
        <w:t> </w:t>
      </w:r>
      <w:r>
        <w:rPr/>
        <w:t>will</w:t>
      </w:r>
      <w:r>
        <w:rPr>
          <w:spacing w:val="-7"/>
        </w:rPr>
        <w:t> </w:t>
      </w:r>
      <w:r>
        <w:rPr/>
        <w:t>be</w:t>
      </w:r>
      <w:r>
        <w:rPr>
          <w:spacing w:val="-7"/>
        </w:rPr>
        <w:t> </w:t>
      </w:r>
      <w:r>
        <w:rPr/>
        <w:t>consumed</w:t>
      </w:r>
      <w:r>
        <w:rPr>
          <w:spacing w:val="-7"/>
        </w:rPr>
        <w:t> </w:t>
      </w:r>
      <w:r>
        <w:rPr/>
        <w:t>or</w:t>
      </w:r>
      <w:r>
        <w:rPr>
          <w:spacing w:val="-7"/>
        </w:rPr>
        <w:t> </w:t>
      </w:r>
      <w:r>
        <w:rPr/>
        <w:t>on</w:t>
      </w:r>
      <w:r>
        <w:rPr>
          <w:spacing w:val="-7"/>
        </w:rPr>
        <w:t> </w:t>
      </w:r>
      <w:r>
        <w:rPr/>
        <w:t>a</w:t>
      </w:r>
      <w:r>
        <w:rPr>
          <w:spacing w:val="-7"/>
        </w:rPr>
        <w:t> </w:t>
      </w:r>
      <w:r>
        <w:rPr/>
        <w:t>straight-line basis when the consumption pattern is not apparent.</w:t>
      </w:r>
      <w:r>
        <w:rPr>
          <w:spacing w:val="-3"/>
        </w:rPr>
        <w:t> </w:t>
      </w:r>
      <w:r>
        <w:rPr/>
        <w:t>The weighted average useful lives of our intangible assets were as follows:</w:t>
      </w:r>
    </w:p>
    <w:p>
      <w:pPr>
        <w:pStyle w:val="BodyText"/>
        <w:spacing w:before="4"/>
        <w:rPr>
          <w:sz w:val="16"/>
        </w:rPr>
      </w:pPr>
    </w:p>
    <w:p>
      <w:pPr>
        <w:spacing w:line="208" w:lineRule="auto" w:before="0" w:after="52"/>
        <w:ind w:left="9424" w:right="542" w:hanging="1"/>
        <w:jc w:val="center"/>
        <w:rPr>
          <w:sz w:val="16"/>
        </w:rPr>
      </w:pPr>
      <w:r>
        <w:rPr>
          <w:b/>
          <w:spacing w:val="-2"/>
          <w:sz w:val="16"/>
        </w:rPr>
        <w:t>Weighted</w:t>
      </w:r>
      <w:r>
        <w:rPr>
          <w:b/>
          <w:spacing w:val="40"/>
          <w:sz w:val="16"/>
        </w:rPr>
        <w:t> </w:t>
      </w:r>
      <w:r>
        <w:rPr>
          <w:b/>
          <w:spacing w:val="-2"/>
          <w:sz w:val="16"/>
        </w:rPr>
        <w:t>Average</w:t>
      </w:r>
      <w:r>
        <w:rPr>
          <w:b/>
          <w:spacing w:val="40"/>
          <w:sz w:val="16"/>
        </w:rPr>
        <w:t> </w:t>
      </w:r>
      <w:r>
        <w:rPr>
          <w:b/>
          <w:sz w:val="16"/>
        </w:rPr>
        <w:t>Useful</w:t>
      </w:r>
      <w:r>
        <w:rPr>
          <w:b/>
          <w:spacing w:val="-10"/>
          <w:sz w:val="16"/>
        </w:rPr>
        <w:t> </w:t>
      </w:r>
      <w:r>
        <w:rPr>
          <w:b/>
          <w:sz w:val="16"/>
        </w:rPr>
        <w:t>Life</w:t>
      </w:r>
      <w:r>
        <w:rPr>
          <w:b/>
          <w:spacing w:val="40"/>
          <w:sz w:val="16"/>
        </w:rPr>
        <w:t> </w:t>
      </w:r>
      <w:r>
        <w:rPr>
          <w:b/>
          <w:spacing w:val="-2"/>
          <w:sz w:val="16"/>
        </w:rPr>
        <w:t>(years</w:t>
      </w:r>
      <w:r>
        <w:rPr>
          <w:spacing w:val="-2"/>
          <w:sz w:val="16"/>
        </w:rPr>
        <w:t>)</w:t>
      </w: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5"/>
        <w:gridCol w:w="3975"/>
      </w:tblGrid>
      <w:tr>
        <w:trPr>
          <w:trHeight w:val="280" w:hRule="atLeast"/>
        </w:trPr>
        <w:tc>
          <w:tcPr>
            <w:tcW w:w="6265" w:type="dxa"/>
            <w:shd w:val="clear" w:color="auto" w:fill="CCEDFF"/>
          </w:tcPr>
          <w:p>
            <w:pPr>
              <w:pStyle w:val="TableParagraph"/>
              <w:spacing w:before="2"/>
              <w:ind w:left="50"/>
              <w:rPr>
                <w:sz w:val="20"/>
              </w:rPr>
            </w:pPr>
            <w:r>
              <w:rPr>
                <w:sz w:val="20"/>
              </w:rPr>
              <w:t>Purchased </w:t>
            </w:r>
            <w:r>
              <w:rPr>
                <w:spacing w:val="-2"/>
                <w:sz w:val="20"/>
              </w:rPr>
              <w:t>technology</w:t>
            </w:r>
          </w:p>
        </w:tc>
        <w:tc>
          <w:tcPr>
            <w:tcW w:w="3975" w:type="dxa"/>
            <w:shd w:val="clear" w:color="auto" w:fill="CCEDFF"/>
          </w:tcPr>
          <w:p>
            <w:pPr>
              <w:pStyle w:val="TableParagraph"/>
              <w:spacing w:before="2"/>
              <w:ind w:right="617"/>
              <w:jc w:val="right"/>
              <w:rPr>
                <w:sz w:val="20"/>
              </w:rPr>
            </w:pPr>
            <w:r>
              <w:rPr>
                <w:spacing w:val="-10"/>
                <w:sz w:val="20"/>
              </w:rPr>
              <w:t>5</w:t>
            </w:r>
          </w:p>
        </w:tc>
      </w:tr>
      <w:tr>
        <w:trPr>
          <w:trHeight w:val="280" w:hRule="atLeast"/>
        </w:trPr>
        <w:tc>
          <w:tcPr>
            <w:tcW w:w="6265" w:type="dxa"/>
          </w:tcPr>
          <w:p>
            <w:pPr>
              <w:pStyle w:val="TableParagraph"/>
              <w:spacing w:before="2"/>
              <w:ind w:left="50"/>
              <w:rPr>
                <w:sz w:val="20"/>
              </w:rPr>
            </w:pPr>
            <w:r>
              <w:rPr>
                <w:sz w:val="20"/>
              </w:rPr>
              <w:t>Customer</w:t>
            </w:r>
            <w:r>
              <w:rPr>
                <w:spacing w:val="-3"/>
                <w:sz w:val="20"/>
              </w:rPr>
              <w:t> </w:t>
            </w:r>
            <w:r>
              <w:rPr>
                <w:sz w:val="20"/>
              </w:rPr>
              <w:t>contracts</w:t>
            </w:r>
            <w:r>
              <w:rPr>
                <w:spacing w:val="-4"/>
                <w:sz w:val="20"/>
              </w:rPr>
              <w:t> </w:t>
            </w:r>
            <w:r>
              <w:rPr>
                <w:sz w:val="20"/>
              </w:rPr>
              <w:t>and</w:t>
            </w:r>
            <w:r>
              <w:rPr>
                <w:spacing w:val="-2"/>
                <w:sz w:val="20"/>
              </w:rPr>
              <w:t> relationships</w:t>
            </w:r>
          </w:p>
        </w:tc>
        <w:tc>
          <w:tcPr>
            <w:tcW w:w="3975" w:type="dxa"/>
          </w:tcPr>
          <w:p>
            <w:pPr>
              <w:pStyle w:val="TableParagraph"/>
              <w:spacing w:before="2"/>
              <w:ind w:right="617"/>
              <w:jc w:val="right"/>
              <w:rPr>
                <w:sz w:val="20"/>
              </w:rPr>
            </w:pPr>
            <w:r>
              <w:rPr>
                <w:spacing w:val="-10"/>
                <w:sz w:val="20"/>
              </w:rPr>
              <w:t>9</w:t>
            </w:r>
          </w:p>
        </w:tc>
      </w:tr>
      <w:tr>
        <w:trPr>
          <w:trHeight w:val="280" w:hRule="atLeast"/>
        </w:trPr>
        <w:tc>
          <w:tcPr>
            <w:tcW w:w="6265" w:type="dxa"/>
            <w:shd w:val="clear" w:color="auto" w:fill="CCEDFF"/>
          </w:tcPr>
          <w:p>
            <w:pPr>
              <w:pStyle w:val="TableParagraph"/>
              <w:spacing w:before="2"/>
              <w:ind w:left="50"/>
              <w:rPr>
                <w:sz w:val="20"/>
              </w:rPr>
            </w:pPr>
            <w:r>
              <w:rPr>
                <w:spacing w:val="-2"/>
                <w:sz w:val="20"/>
              </w:rPr>
              <w:t>Trademarks</w:t>
            </w:r>
          </w:p>
        </w:tc>
        <w:tc>
          <w:tcPr>
            <w:tcW w:w="3975" w:type="dxa"/>
            <w:shd w:val="clear" w:color="auto" w:fill="CCEDFF"/>
          </w:tcPr>
          <w:p>
            <w:pPr>
              <w:pStyle w:val="TableParagraph"/>
              <w:spacing w:before="2"/>
              <w:ind w:right="617"/>
              <w:jc w:val="right"/>
              <w:rPr>
                <w:sz w:val="20"/>
              </w:rPr>
            </w:pPr>
            <w:r>
              <w:rPr>
                <w:spacing w:val="-10"/>
                <w:sz w:val="20"/>
              </w:rPr>
              <w:t>8</w:t>
            </w:r>
          </w:p>
        </w:tc>
      </w:tr>
      <w:tr>
        <w:trPr>
          <w:trHeight w:val="280" w:hRule="atLeast"/>
        </w:trPr>
        <w:tc>
          <w:tcPr>
            <w:tcW w:w="6265" w:type="dxa"/>
          </w:tcPr>
          <w:p>
            <w:pPr>
              <w:pStyle w:val="TableParagraph"/>
              <w:spacing w:before="2"/>
              <w:ind w:left="50"/>
              <w:rPr>
                <w:sz w:val="20"/>
              </w:rPr>
            </w:pPr>
            <w:r>
              <w:rPr>
                <w:sz w:val="20"/>
              </w:rPr>
              <w:t>Acquired</w:t>
            </w:r>
            <w:r>
              <w:rPr>
                <w:spacing w:val="-2"/>
                <w:sz w:val="20"/>
              </w:rPr>
              <w:t> </w:t>
            </w:r>
            <w:r>
              <w:rPr>
                <w:sz w:val="20"/>
              </w:rPr>
              <w:t>rights</w:t>
            </w:r>
            <w:r>
              <w:rPr>
                <w:spacing w:val="-2"/>
                <w:sz w:val="20"/>
              </w:rPr>
              <w:t> </w:t>
            </w:r>
            <w:r>
              <w:rPr>
                <w:sz w:val="20"/>
              </w:rPr>
              <w:t>to</w:t>
            </w:r>
            <w:r>
              <w:rPr>
                <w:spacing w:val="-1"/>
                <w:sz w:val="20"/>
              </w:rPr>
              <w:t> </w:t>
            </w:r>
            <w:r>
              <w:rPr>
                <w:sz w:val="20"/>
              </w:rPr>
              <w:t>use</w:t>
            </w:r>
            <w:r>
              <w:rPr>
                <w:spacing w:val="-1"/>
                <w:sz w:val="20"/>
              </w:rPr>
              <w:t> </w:t>
            </w:r>
            <w:r>
              <w:rPr>
                <w:spacing w:val="-2"/>
                <w:sz w:val="20"/>
              </w:rPr>
              <w:t>technology</w:t>
            </w:r>
          </w:p>
        </w:tc>
        <w:tc>
          <w:tcPr>
            <w:tcW w:w="3975" w:type="dxa"/>
          </w:tcPr>
          <w:p>
            <w:pPr>
              <w:pStyle w:val="TableParagraph"/>
              <w:spacing w:before="2"/>
              <w:ind w:right="617"/>
              <w:jc w:val="right"/>
              <w:rPr>
                <w:sz w:val="20"/>
              </w:rPr>
            </w:pPr>
            <w:r>
              <w:rPr>
                <w:spacing w:val="-10"/>
                <w:sz w:val="20"/>
              </w:rPr>
              <w:t>9</w:t>
            </w:r>
          </w:p>
        </w:tc>
      </w:tr>
      <w:tr>
        <w:trPr>
          <w:trHeight w:val="280" w:hRule="atLeast"/>
        </w:trPr>
        <w:tc>
          <w:tcPr>
            <w:tcW w:w="6265" w:type="dxa"/>
            <w:shd w:val="clear" w:color="auto" w:fill="CCEDFF"/>
          </w:tcPr>
          <w:p>
            <w:pPr>
              <w:pStyle w:val="TableParagraph"/>
              <w:spacing w:before="2"/>
              <w:ind w:left="50"/>
              <w:rPr>
                <w:sz w:val="20"/>
              </w:rPr>
            </w:pPr>
            <w:r>
              <w:rPr>
                <w:spacing w:val="-2"/>
                <w:sz w:val="20"/>
              </w:rPr>
              <w:t>Localization</w:t>
            </w:r>
          </w:p>
        </w:tc>
        <w:tc>
          <w:tcPr>
            <w:tcW w:w="3975" w:type="dxa"/>
            <w:shd w:val="clear" w:color="auto" w:fill="CCEDFF"/>
          </w:tcPr>
          <w:p>
            <w:pPr>
              <w:pStyle w:val="TableParagraph"/>
              <w:spacing w:before="2"/>
              <w:ind w:right="617"/>
              <w:jc w:val="right"/>
              <w:rPr>
                <w:sz w:val="20"/>
              </w:rPr>
            </w:pPr>
            <w:r>
              <w:rPr>
                <w:spacing w:val="-10"/>
                <w:sz w:val="20"/>
              </w:rPr>
              <w:t>1</w:t>
            </w:r>
          </w:p>
        </w:tc>
      </w:tr>
      <w:tr>
        <w:trPr>
          <w:trHeight w:val="733" w:hRule="atLeast"/>
        </w:trPr>
        <w:tc>
          <w:tcPr>
            <w:tcW w:w="6265" w:type="dxa"/>
          </w:tcPr>
          <w:p>
            <w:pPr>
              <w:pStyle w:val="TableParagraph"/>
              <w:spacing w:before="2"/>
              <w:ind w:left="50"/>
              <w:rPr>
                <w:sz w:val="20"/>
              </w:rPr>
            </w:pPr>
            <w:r>
              <w:rPr>
                <w:sz w:val="20"/>
              </w:rPr>
              <w:t>Other </w:t>
            </w:r>
            <w:r>
              <w:rPr>
                <w:spacing w:val="-2"/>
                <w:sz w:val="20"/>
              </w:rPr>
              <w:t>intangibles</w:t>
            </w:r>
          </w:p>
          <w:p>
            <w:pPr>
              <w:pStyle w:val="TableParagraph"/>
              <w:spacing w:before="41"/>
              <w:rPr>
                <w:sz w:val="20"/>
              </w:rPr>
            </w:pPr>
          </w:p>
          <w:p>
            <w:pPr>
              <w:pStyle w:val="TableParagraph"/>
              <w:spacing w:line="210" w:lineRule="exact"/>
              <w:ind w:left="-10"/>
              <w:rPr>
                <w:i/>
                <w:sz w:val="20"/>
              </w:rPr>
            </w:pPr>
            <w:r>
              <w:rPr>
                <w:i/>
                <w:sz w:val="20"/>
              </w:rPr>
              <w:t>Internal</w:t>
            </w:r>
            <w:r>
              <w:rPr>
                <w:i/>
                <w:spacing w:val="-1"/>
                <w:sz w:val="20"/>
              </w:rPr>
              <w:t> </w:t>
            </w:r>
            <w:r>
              <w:rPr>
                <w:i/>
                <w:sz w:val="20"/>
              </w:rPr>
              <w:t>Use</w:t>
            </w:r>
            <w:r>
              <w:rPr>
                <w:i/>
                <w:spacing w:val="-1"/>
                <w:sz w:val="20"/>
              </w:rPr>
              <w:t> </w:t>
            </w:r>
            <w:r>
              <w:rPr>
                <w:i/>
                <w:spacing w:val="-2"/>
                <w:sz w:val="20"/>
              </w:rPr>
              <w:t>Software</w:t>
            </w:r>
          </w:p>
        </w:tc>
        <w:tc>
          <w:tcPr>
            <w:tcW w:w="3975" w:type="dxa"/>
          </w:tcPr>
          <w:p>
            <w:pPr>
              <w:pStyle w:val="TableParagraph"/>
              <w:spacing w:before="2"/>
              <w:ind w:right="617"/>
              <w:jc w:val="right"/>
              <w:rPr>
                <w:sz w:val="20"/>
              </w:rPr>
            </w:pPr>
            <w:r>
              <w:rPr>
                <w:spacing w:val="-10"/>
                <w:sz w:val="20"/>
              </w:rPr>
              <w:t>5</w:t>
            </w:r>
          </w:p>
        </w:tc>
      </w:tr>
    </w:tbl>
    <w:p>
      <w:pPr>
        <w:pStyle w:val="BodyText"/>
        <w:spacing w:before="6"/>
        <w:rPr>
          <w:sz w:val="16"/>
        </w:rPr>
      </w:pPr>
    </w:p>
    <w:p>
      <w:pPr>
        <w:pStyle w:val="BodyText"/>
        <w:spacing w:line="249" w:lineRule="auto"/>
        <w:ind w:left="220" w:right="257" w:firstLine="540"/>
        <w:jc w:val="both"/>
      </w:pPr>
      <w:r>
        <w:rPr>
          <w:spacing w:val="-2"/>
        </w:rPr>
        <w:t>We</w:t>
      </w:r>
      <w:r>
        <w:rPr>
          <w:spacing w:val="-7"/>
        </w:rPr>
        <w:t> </w:t>
      </w:r>
      <w:r>
        <w:rPr>
          <w:spacing w:val="-2"/>
        </w:rPr>
        <w:t>capitalize</w:t>
      </w:r>
      <w:r>
        <w:rPr>
          <w:spacing w:val="-7"/>
        </w:rPr>
        <w:t> </w:t>
      </w:r>
      <w:r>
        <w:rPr>
          <w:spacing w:val="-2"/>
        </w:rPr>
        <w:t>costs</w:t>
      </w:r>
      <w:r>
        <w:rPr>
          <w:spacing w:val="-7"/>
        </w:rPr>
        <w:t> </w:t>
      </w:r>
      <w:r>
        <w:rPr>
          <w:spacing w:val="-2"/>
        </w:rPr>
        <w:t>associated</w:t>
      </w:r>
      <w:r>
        <w:rPr>
          <w:spacing w:val="-7"/>
        </w:rPr>
        <w:t> </w:t>
      </w:r>
      <w:r>
        <w:rPr>
          <w:spacing w:val="-2"/>
        </w:rPr>
        <w:t>with</w:t>
      </w:r>
      <w:r>
        <w:rPr>
          <w:spacing w:val="-7"/>
        </w:rPr>
        <w:t> </w:t>
      </w:r>
      <w:r>
        <w:rPr>
          <w:spacing w:val="-2"/>
        </w:rPr>
        <w:t>customized</w:t>
      </w:r>
      <w:r>
        <w:rPr>
          <w:spacing w:val="-7"/>
        </w:rPr>
        <w:t> </w:t>
      </w:r>
      <w:r>
        <w:rPr>
          <w:spacing w:val="-2"/>
        </w:rPr>
        <w:t>internal-use</w:t>
      </w:r>
      <w:r>
        <w:rPr>
          <w:spacing w:val="-7"/>
        </w:rPr>
        <w:t> </w:t>
      </w:r>
      <w:r>
        <w:rPr>
          <w:spacing w:val="-2"/>
        </w:rPr>
        <w:t>software</w:t>
      </w:r>
      <w:r>
        <w:rPr>
          <w:spacing w:val="-7"/>
        </w:rPr>
        <w:t> </w:t>
      </w:r>
      <w:r>
        <w:rPr>
          <w:spacing w:val="-2"/>
        </w:rPr>
        <w:t>systems</w:t>
      </w:r>
      <w:r>
        <w:rPr>
          <w:spacing w:val="-7"/>
        </w:rPr>
        <w:t> </w:t>
      </w:r>
      <w:r>
        <w:rPr>
          <w:spacing w:val="-2"/>
        </w:rPr>
        <w:t>that</w:t>
      </w:r>
      <w:r>
        <w:rPr>
          <w:spacing w:val="-7"/>
        </w:rPr>
        <w:t> </w:t>
      </w:r>
      <w:r>
        <w:rPr>
          <w:spacing w:val="-2"/>
        </w:rPr>
        <w:t>have</w:t>
      </w:r>
      <w:r>
        <w:rPr>
          <w:spacing w:val="-7"/>
        </w:rPr>
        <w:t> </w:t>
      </w:r>
      <w:r>
        <w:rPr>
          <w:spacing w:val="-2"/>
        </w:rPr>
        <w:t>reached</w:t>
      </w:r>
      <w:r>
        <w:rPr>
          <w:spacing w:val="-7"/>
        </w:rPr>
        <w:t> </w:t>
      </w:r>
      <w:r>
        <w:rPr>
          <w:spacing w:val="-2"/>
        </w:rPr>
        <w:t>the</w:t>
      </w:r>
      <w:r>
        <w:rPr>
          <w:spacing w:val="-7"/>
        </w:rPr>
        <w:t> </w:t>
      </w:r>
      <w:r>
        <w:rPr>
          <w:spacing w:val="-2"/>
        </w:rPr>
        <w:t>application</w:t>
      </w:r>
      <w:r>
        <w:rPr>
          <w:spacing w:val="-7"/>
        </w:rPr>
        <w:t> </w:t>
      </w:r>
      <w:r>
        <w:rPr>
          <w:spacing w:val="-2"/>
        </w:rPr>
        <w:t>development </w:t>
      </w:r>
      <w:r>
        <w:rPr/>
        <w:t>stage. Such capitalized costs include external direct costs utilized in developing or obtaining the applications and payroll and payroll-related expenses for employees who are directly associated with the development of the applications. Capitalization of such costs begins when the preliminary project stage is complete and ceases at the point in which the project is substantially complete and is ready for its intended purpose.</w:t>
      </w:r>
    </w:p>
    <w:p>
      <w:pPr>
        <w:spacing w:after="0" w:line="249" w:lineRule="auto"/>
        <w:jc w:val="both"/>
        <w:sectPr>
          <w:pgSz w:w="12240" w:h="15840"/>
          <w:pgMar w:header="210" w:footer="610" w:top="1380" w:bottom="840" w:left="780" w:right="740"/>
        </w:sectPr>
      </w:pPr>
    </w:p>
    <w:p>
      <w:pPr>
        <w:pStyle w:val="BodyText"/>
      </w:pPr>
    </w:p>
    <w:p>
      <w:pPr>
        <w:pStyle w:val="BodyText"/>
      </w:pPr>
    </w:p>
    <w:p>
      <w:pPr>
        <w:pStyle w:val="BodyText"/>
        <w:spacing w:before="30"/>
      </w:pPr>
    </w:p>
    <w:p>
      <w:pPr>
        <w:spacing w:before="0"/>
        <w:ind w:left="220" w:right="0" w:firstLine="0"/>
        <w:jc w:val="left"/>
        <w:rPr>
          <w:i/>
          <w:sz w:val="20"/>
        </w:rPr>
      </w:pPr>
      <w:r>
        <w:rPr>
          <w:i/>
          <w:sz w:val="20"/>
        </w:rPr>
        <w:t>Income </w:t>
      </w:r>
      <w:r>
        <w:rPr>
          <w:i/>
          <w:spacing w:val="-2"/>
          <w:sz w:val="20"/>
        </w:rPr>
        <w:t>Taxes</w:t>
      </w:r>
    </w:p>
    <w:p>
      <w:pPr>
        <w:pStyle w:val="BodyText"/>
        <w:spacing w:line="249" w:lineRule="auto" w:before="190"/>
        <w:ind w:left="220" w:right="257" w:firstLine="540"/>
        <w:jc w:val="both"/>
      </w:pPr>
      <w:r>
        <w:rPr/>
        <w:t>We</w:t>
      </w:r>
      <w:r>
        <w:rPr>
          <w:spacing w:val="-13"/>
        </w:rPr>
        <w:t> </w:t>
      </w:r>
      <w:r>
        <w:rPr/>
        <w:t>use</w:t>
      </w:r>
      <w:r>
        <w:rPr>
          <w:spacing w:val="-12"/>
        </w:rPr>
        <w:t> </w:t>
      </w:r>
      <w:r>
        <w:rPr/>
        <w:t>the</w:t>
      </w:r>
      <w:r>
        <w:rPr>
          <w:spacing w:val="-13"/>
        </w:rPr>
        <w:t> </w:t>
      </w:r>
      <w:r>
        <w:rPr/>
        <w:t>asset</w:t>
      </w:r>
      <w:r>
        <w:rPr>
          <w:spacing w:val="-12"/>
        </w:rPr>
        <w:t> </w:t>
      </w:r>
      <w:r>
        <w:rPr/>
        <w:t>and</w:t>
      </w:r>
      <w:r>
        <w:rPr>
          <w:spacing w:val="-13"/>
        </w:rPr>
        <w:t> </w:t>
      </w:r>
      <w:r>
        <w:rPr/>
        <w:t>liability</w:t>
      </w:r>
      <w:r>
        <w:rPr>
          <w:spacing w:val="-12"/>
        </w:rPr>
        <w:t> </w:t>
      </w:r>
      <w:r>
        <w:rPr/>
        <w:t>method</w:t>
      </w:r>
      <w:r>
        <w:rPr>
          <w:spacing w:val="-13"/>
        </w:rPr>
        <w:t> </w:t>
      </w:r>
      <w:r>
        <w:rPr/>
        <w:t>of</w:t>
      </w:r>
      <w:r>
        <w:rPr>
          <w:spacing w:val="-12"/>
        </w:rPr>
        <w:t> </w:t>
      </w:r>
      <w:r>
        <w:rPr/>
        <w:t>accounting</w:t>
      </w:r>
      <w:r>
        <w:rPr>
          <w:spacing w:val="-13"/>
        </w:rPr>
        <w:t> </w:t>
      </w:r>
      <w:r>
        <w:rPr/>
        <w:t>for</w:t>
      </w:r>
      <w:r>
        <w:rPr>
          <w:spacing w:val="-12"/>
        </w:rPr>
        <w:t> </w:t>
      </w:r>
      <w:r>
        <w:rPr/>
        <w:t>income</w:t>
      </w:r>
      <w:r>
        <w:rPr>
          <w:spacing w:val="-13"/>
        </w:rPr>
        <w:t> </w:t>
      </w:r>
      <w:r>
        <w:rPr/>
        <w:t>taxes.</w:t>
      </w:r>
      <w:r>
        <w:rPr>
          <w:spacing w:val="-12"/>
        </w:rPr>
        <w:t> </w:t>
      </w:r>
      <w:r>
        <w:rPr/>
        <w:t>Under</w:t>
      </w:r>
      <w:r>
        <w:rPr>
          <w:spacing w:val="-13"/>
        </w:rPr>
        <w:t> </w:t>
      </w:r>
      <w:r>
        <w:rPr/>
        <w:t>this</w:t>
      </w:r>
      <w:r>
        <w:rPr>
          <w:spacing w:val="-12"/>
        </w:rPr>
        <w:t> </w:t>
      </w:r>
      <w:r>
        <w:rPr/>
        <w:t>method,</w:t>
      </w:r>
      <w:r>
        <w:rPr>
          <w:spacing w:val="-13"/>
        </w:rPr>
        <w:t> </w:t>
      </w:r>
      <w:r>
        <w:rPr/>
        <w:t>income</w:t>
      </w:r>
      <w:r>
        <w:rPr>
          <w:spacing w:val="-12"/>
        </w:rPr>
        <w:t> </w:t>
      </w:r>
      <w:r>
        <w:rPr/>
        <w:t>tax</w:t>
      </w:r>
      <w:r>
        <w:rPr>
          <w:spacing w:val="-13"/>
        </w:rPr>
        <w:t> </w:t>
      </w:r>
      <w:r>
        <w:rPr/>
        <w:t>expense</w:t>
      </w:r>
      <w:r>
        <w:rPr>
          <w:spacing w:val="-12"/>
        </w:rPr>
        <w:t> </w:t>
      </w:r>
      <w:r>
        <w:rPr/>
        <w:t>is</w:t>
      </w:r>
      <w:r>
        <w:rPr>
          <w:spacing w:val="-13"/>
        </w:rPr>
        <w:t> </w:t>
      </w:r>
      <w:r>
        <w:rPr/>
        <w:t>recognized for the amount of taxes payable or refundable for the current year. In addition, deferred tax assets and liabilities are recognized </w:t>
      </w:r>
      <w:r>
        <w:rPr>
          <w:spacing w:val="-2"/>
        </w:rPr>
        <w:t>for</w:t>
      </w:r>
      <w:r>
        <w:rPr>
          <w:spacing w:val="-7"/>
        </w:rPr>
        <w:t> </w:t>
      </w:r>
      <w:r>
        <w:rPr>
          <w:spacing w:val="-2"/>
        </w:rPr>
        <w:t>expected</w:t>
      </w:r>
      <w:r>
        <w:rPr>
          <w:spacing w:val="-9"/>
        </w:rPr>
        <w:t> </w:t>
      </w:r>
      <w:r>
        <w:rPr>
          <w:spacing w:val="-2"/>
        </w:rPr>
        <w:t>future</w:t>
      </w:r>
      <w:r>
        <w:rPr>
          <w:spacing w:val="-9"/>
        </w:rPr>
        <w:t> </w:t>
      </w:r>
      <w:r>
        <w:rPr>
          <w:spacing w:val="-2"/>
        </w:rPr>
        <w:t>tax</w:t>
      </w:r>
      <w:r>
        <w:rPr>
          <w:spacing w:val="-9"/>
        </w:rPr>
        <w:t> </w:t>
      </w:r>
      <w:r>
        <w:rPr>
          <w:spacing w:val="-2"/>
        </w:rPr>
        <w:t>consequences</w:t>
      </w:r>
      <w:r>
        <w:rPr>
          <w:spacing w:val="-7"/>
        </w:rPr>
        <w:t> </w:t>
      </w:r>
      <w:r>
        <w:rPr>
          <w:spacing w:val="-2"/>
        </w:rPr>
        <w:t>of</w:t>
      </w:r>
      <w:r>
        <w:rPr>
          <w:spacing w:val="-7"/>
        </w:rPr>
        <w:t> </w:t>
      </w:r>
      <w:r>
        <w:rPr>
          <w:spacing w:val="-2"/>
        </w:rPr>
        <w:t>temporary</w:t>
      </w:r>
      <w:r>
        <w:rPr>
          <w:spacing w:val="-9"/>
        </w:rPr>
        <w:t> </w:t>
      </w:r>
      <w:r>
        <w:rPr>
          <w:spacing w:val="-2"/>
        </w:rPr>
        <w:t>differences</w:t>
      </w:r>
      <w:r>
        <w:rPr>
          <w:spacing w:val="-7"/>
        </w:rPr>
        <w:t> </w:t>
      </w:r>
      <w:r>
        <w:rPr>
          <w:spacing w:val="-2"/>
        </w:rPr>
        <w:t>between</w:t>
      </w:r>
      <w:r>
        <w:rPr>
          <w:spacing w:val="-7"/>
        </w:rPr>
        <w:t> </w:t>
      </w:r>
      <w:r>
        <w:rPr>
          <w:spacing w:val="-2"/>
        </w:rPr>
        <w:t>the</w:t>
      </w:r>
      <w:r>
        <w:rPr>
          <w:spacing w:val="-9"/>
        </w:rPr>
        <w:t> </w:t>
      </w:r>
      <w:r>
        <w:rPr>
          <w:spacing w:val="-2"/>
        </w:rPr>
        <w:t>financial</w:t>
      </w:r>
      <w:r>
        <w:rPr>
          <w:spacing w:val="-9"/>
        </w:rPr>
        <w:t> </w:t>
      </w:r>
      <w:r>
        <w:rPr>
          <w:spacing w:val="-2"/>
        </w:rPr>
        <w:t>reporting</w:t>
      </w:r>
      <w:r>
        <w:rPr>
          <w:spacing w:val="-7"/>
        </w:rPr>
        <w:t> </w:t>
      </w:r>
      <w:r>
        <w:rPr>
          <w:spacing w:val="-2"/>
        </w:rPr>
        <w:t>and</w:t>
      </w:r>
      <w:r>
        <w:rPr>
          <w:spacing w:val="-9"/>
        </w:rPr>
        <w:t> </w:t>
      </w:r>
      <w:r>
        <w:rPr>
          <w:spacing w:val="-2"/>
        </w:rPr>
        <w:t>tax</w:t>
      </w:r>
      <w:r>
        <w:rPr>
          <w:spacing w:val="-7"/>
        </w:rPr>
        <w:t> </w:t>
      </w:r>
      <w:r>
        <w:rPr>
          <w:spacing w:val="-2"/>
        </w:rPr>
        <w:t>bases</w:t>
      </w:r>
      <w:r>
        <w:rPr>
          <w:spacing w:val="-7"/>
        </w:rPr>
        <w:t> </w:t>
      </w:r>
      <w:r>
        <w:rPr>
          <w:spacing w:val="-2"/>
        </w:rPr>
        <w:t>of</w:t>
      </w:r>
      <w:r>
        <w:rPr>
          <w:spacing w:val="-7"/>
        </w:rPr>
        <w:t> </w:t>
      </w:r>
      <w:r>
        <w:rPr>
          <w:spacing w:val="-2"/>
        </w:rPr>
        <w:t>assets</w:t>
      </w:r>
      <w:r>
        <w:rPr>
          <w:spacing w:val="-7"/>
        </w:rPr>
        <w:t> </w:t>
      </w:r>
      <w:r>
        <w:rPr>
          <w:spacing w:val="-2"/>
        </w:rPr>
        <w:t>and</w:t>
      </w:r>
      <w:r>
        <w:rPr>
          <w:spacing w:val="-7"/>
        </w:rPr>
        <w:t> </w:t>
      </w:r>
      <w:r>
        <w:rPr>
          <w:spacing w:val="-2"/>
        </w:rPr>
        <w:t>liabilities, </w:t>
      </w:r>
      <w:r>
        <w:rPr/>
        <w:t>and</w:t>
      </w:r>
      <w:r>
        <w:rPr>
          <w:spacing w:val="-8"/>
        </w:rPr>
        <w:t> </w:t>
      </w:r>
      <w:r>
        <w:rPr/>
        <w:t>for</w:t>
      </w:r>
      <w:r>
        <w:rPr>
          <w:spacing w:val="-8"/>
        </w:rPr>
        <w:t> </w:t>
      </w:r>
      <w:r>
        <w:rPr/>
        <w:t>operating</w:t>
      </w:r>
      <w:r>
        <w:rPr>
          <w:spacing w:val="-8"/>
        </w:rPr>
        <w:t> </w:t>
      </w:r>
      <w:r>
        <w:rPr/>
        <w:t>losses</w:t>
      </w:r>
      <w:r>
        <w:rPr>
          <w:spacing w:val="-8"/>
        </w:rPr>
        <w:t> </w:t>
      </w:r>
      <w:r>
        <w:rPr/>
        <w:t>and</w:t>
      </w:r>
      <w:r>
        <w:rPr>
          <w:spacing w:val="-8"/>
        </w:rPr>
        <w:t> </w:t>
      </w:r>
      <w:r>
        <w:rPr/>
        <w:t>tax</w:t>
      </w:r>
      <w:r>
        <w:rPr>
          <w:spacing w:val="-8"/>
        </w:rPr>
        <w:t> </w:t>
      </w:r>
      <w:r>
        <w:rPr/>
        <w:t>credit</w:t>
      </w:r>
      <w:r>
        <w:rPr>
          <w:spacing w:val="-9"/>
        </w:rPr>
        <w:t> </w:t>
      </w:r>
      <w:r>
        <w:rPr/>
        <w:t>carryforwards.</w:t>
      </w:r>
      <w:r>
        <w:rPr>
          <w:spacing w:val="-11"/>
        </w:rPr>
        <w:t> </w:t>
      </w:r>
      <w:r>
        <w:rPr/>
        <w:t>We</w:t>
      </w:r>
      <w:r>
        <w:rPr>
          <w:spacing w:val="-8"/>
        </w:rPr>
        <w:t> </w:t>
      </w:r>
      <w:r>
        <w:rPr/>
        <w:t>record</w:t>
      </w:r>
      <w:r>
        <w:rPr>
          <w:spacing w:val="-8"/>
        </w:rPr>
        <w:t> </w:t>
      </w:r>
      <w:r>
        <w:rPr/>
        <w:t>a</w:t>
      </w:r>
      <w:r>
        <w:rPr>
          <w:spacing w:val="-8"/>
        </w:rPr>
        <w:t> </w:t>
      </w:r>
      <w:r>
        <w:rPr/>
        <w:t>valuation</w:t>
      </w:r>
      <w:r>
        <w:rPr>
          <w:spacing w:val="-8"/>
        </w:rPr>
        <w:t> </w:t>
      </w:r>
      <w:r>
        <w:rPr/>
        <w:t>allowance</w:t>
      </w:r>
      <w:r>
        <w:rPr>
          <w:spacing w:val="-9"/>
        </w:rPr>
        <w:t> </w:t>
      </w:r>
      <w:r>
        <w:rPr/>
        <w:t>to</w:t>
      </w:r>
      <w:r>
        <w:rPr>
          <w:spacing w:val="-8"/>
        </w:rPr>
        <w:t> </w:t>
      </w:r>
      <w:r>
        <w:rPr/>
        <w:t>reduce</w:t>
      </w:r>
      <w:r>
        <w:rPr>
          <w:spacing w:val="-9"/>
        </w:rPr>
        <w:t> </w:t>
      </w:r>
      <w:r>
        <w:rPr/>
        <w:t>deferred</w:t>
      </w:r>
      <w:r>
        <w:rPr>
          <w:spacing w:val="-8"/>
        </w:rPr>
        <w:t> </w:t>
      </w:r>
      <w:r>
        <w:rPr/>
        <w:t>tax</w:t>
      </w:r>
      <w:r>
        <w:rPr>
          <w:spacing w:val="-8"/>
        </w:rPr>
        <w:t> </w:t>
      </w:r>
      <w:r>
        <w:rPr/>
        <w:t>assets</w:t>
      </w:r>
      <w:r>
        <w:rPr>
          <w:spacing w:val="-8"/>
        </w:rPr>
        <w:t> </w:t>
      </w:r>
      <w:r>
        <w:rPr/>
        <w:t>to</w:t>
      </w:r>
      <w:r>
        <w:rPr>
          <w:spacing w:val="-8"/>
        </w:rPr>
        <w:t> </w:t>
      </w:r>
      <w:r>
        <w:rPr/>
        <w:t>an</w:t>
      </w:r>
      <w:r>
        <w:rPr>
          <w:spacing w:val="-8"/>
        </w:rPr>
        <w:t> </w:t>
      </w:r>
      <w:r>
        <w:rPr/>
        <w:t>amount for which realization is more likely than not.</w:t>
      </w:r>
    </w:p>
    <w:p>
      <w:pPr>
        <w:spacing w:before="184"/>
        <w:ind w:left="220" w:right="0" w:firstLine="0"/>
        <w:jc w:val="left"/>
        <w:rPr>
          <w:i/>
          <w:sz w:val="20"/>
        </w:rPr>
      </w:pPr>
      <w:r>
        <w:rPr>
          <w:i/>
          <w:sz w:val="20"/>
        </w:rPr>
        <w:t>Taxes</w:t>
      </w:r>
      <w:r>
        <w:rPr>
          <w:i/>
          <w:spacing w:val="-11"/>
          <w:sz w:val="20"/>
        </w:rPr>
        <w:t> </w:t>
      </w:r>
      <w:r>
        <w:rPr>
          <w:i/>
          <w:sz w:val="20"/>
        </w:rPr>
        <w:t>Collected</w:t>
      </w:r>
      <w:r>
        <w:rPr>
          <w:i/>
          <w:spacing w:val="-11"/>
          <w:sz w:val="20"/>
        </w:rPr>
        <w:t> </w:t>
      </w:r>
      <w:r>
        <w:rPr>
          <w:i/>
          <w:sz w:val="20"/>
        </w:rPr>
        <w:t>from</w:t>
      </w:r>
      <w:r>
        <w:rPr>
          <w:i/>
          <w:spacing w:val="-10"/>
          <w:sz w:val="20"/>
        </w:rPr>
        <w:t> </w:t>
      </w:r>
      <w:r>
        <w:rPr>
          <w:i/>
          <w:spacing w:val="-2"/>
          <w:sz w:val="20"/>
        </w:rPr>
        <w:t>Customers</w:t>
      </w:r>
    </w:p>
    <w:p>
      <w:pPr>
        <w:pStyle w:val="BodyText"/>
        <w:spacing w:before="190"/>
        <w:ind w:left="760"/>
      </w:pPr>
      <w:r>
        <w:rPr/>
        <w:t>We</w:t>
      </w:r>
      <w:r>
        <w:rPr>
          <w:spacing w:val="29"/>
        </w:rPr>
        <w:t> </w:t>
      </w:r>
      <w:r>
        <w:rPr/>
        <w:t>net</w:t>
      </w:r>
      <w:r>
        <w:rPr>
          <w:spacing w:val="29"/>
        </w:rPr>
        <w:t> </w:t>
      </w:r>
      <w:r>
        <w:rPr/>
        <w:t>taxes</w:t>
      </w:r>
      <w:r>
        <w:rPr>
          <w:spacing w:val="30"/>
        </w:rPr>
        <w:t> </w:t>
      </w:r>
      <w:r>
        <w:rPr/>
        <w:t>collected</w:t>
      </w:r>
      <w:r>
        <w:rPr>
          <w:spacing w:val="29"/>
        </w:rPr>
        <w:t> </w:t>
      </w:r>
      <w:r>
        <w:rPr/>
        <w:t>from</w:t>
      </w:r>
      <w:r>
        <w:rPr>
          <w:spacing w:val="30"/>
        </w:rPr>
        <w:t> </w:t>
      </w:r>
      <w:r>
        <w:rPr/>
        <w:t>customers</w:t>
      </w:r>
      <w:r>
        <w:rPr>
          <w:spacing w:val="29"/>
        </w:rPr>
        <w:t> </w:t>
      </w:r>
      <w:r>
        <w:rPr/>
        <w:t>against</w:t>
      </w:r>
      <w:r>
        <w:rPr>
          <w:spacing w:val="30"/>
        </w:rPr>
        <w:t> </w:t>
      </w:r>
      <w:r>
        <w:rPr/>
        <w:t>those</w:t>
      </w:r>
      <w:r>
        <w:rPr>
          <w:spacing w:val="29"/>
        </w:rPr>
        <w:t> </w:t>
      </w:r>
      <w:r>
        <w:rPr/>
        <w:t>remitted</w:t>
      </w:r>
      <w:r>
        <w:rPr>
          <w:spacing w:val="30"/>
        </w:rPr>
        <w:t> </w:t>
      </w:r>
      <w:r>
        <w:rPr/>
        <w:t>to</w:t>
      </w:r>
      <w:r>
        <w:rPr>
          <w:spacing w:val="29"/>
        </w:rPr>
        <w:t> </w:t>
      </w:r>
      <w:r>
        <w:rPr/>
        <w:t>government</w:t>
      </w:r>
      <w:r>
        <w:rPr>
          <w:spacing w:val="30"/>
        </w:rPr>
        <w:t> </w:t>
      </w:r>
      <w:r>
        <w:rPr/>
        <w:t>authorities</w:t>
      </w:r>
      <w:r>
        <w:rPr>
          <w:spacing w:val="29"/>
        </w:rPr>
        <w:t> </w:t>
      </w:r>
      <w:r>
        <w:rPr/>
        <w:t>in</w:t>
      </w:r>
      <w:r>
        <w:rPr>
          <w:spacing w:val="30"/>
        </w:rPr>
        <w:t> </w:t>
      </w:r>
      <w:r>
        <w:rPr/>
        <w:t>our</w:t>
      </w:r>
      <w:r>
        <w:rPr>
          <w:spacing w:val="29"/>
        </w:rPr>
        <w:t> </w:t>
      </w:r>
      <w:r>
        <w:rPr/>
        <w:t>financial</w:t>
      </w:r>
      <w:r>
        <w:rPr>
          <w:spacing w:val="30"/>
        </w:rPr>
        <w:t> </w:t>
      </w:r>
      <w:r>
        <w:rPr>
          <w:spacing w:val="-2"/>
        </w:rPr>
        <w:t>statements.</w:t>
      </w:r>
    </w:p>
    <w:p>
      <w:pPr>
        <w:pStyle w:val="BodyText"/>
        <w:spacing w:before="10"/>
        <w:ind w:left="220"/>
      </w:pPr>
      <w:r>
        <w:rPr/>
        <w:t>Accordingly,</w:t>
      </w:r>
      <w:r>
        <w:rPr>
          <w:spacing w:val="-5"/>
        </w:rPr>
        <w:t> </w:t>
      </w:r>
      <w:r>
        <w:rPr/>
        <w:t>taxes</w:t>
      </w:r>
      <w:r>
        <w:rPr>
          <w:spacing w:val="-3"/>
        </w:rPr>
        <w:t> </w:t>
      </w:r>
      <w:r>
        <w:rPr/>
        <w:t>collected</w:t>
      </w:r>
      <w:r>
        <w:rPr>
          <w:spacing w:val="-3"/>
        </w:rPr>
        <w:t> </w:t>
      </w:r>
      <w:r>
        <w:rPr/>
        <w:t>from</w:t>
      </w:r>
      <w:r>
        <w:rPr>
          <w:spacing w:val="-4"/>
        </w:rPr>
        <w:t> </w:t>
      </w:r>
      <w:r>
        <w:rPr/>
        <w:t>customers</w:t>
      </w:r>
      <w:r>
        <w:rPr>
          <w:spacing w:val="-3"/>
        </w:rPr>
        <w:t> </w:t>
      </w:r>
      <w:r>
        <w:rPr/>
        <w:t>are</w:t>
      </w:r>
      <w:r>
        <w:rPr>
          <w:spacing w:val="-4"/>
        </w:rPr>
        <w:t> </w:t>
      </w:r>
      <w:r>
        <w:rPr/>
        <w:t>not</w:t>
      </w:r>
      <w:r>
        <w:rPr>
          <w:spacing w:val="-4"/>
        </w:rPr>
        <w:t> </w:t>
      </w:r>
      <w:r>
        <w:rPr/>
        <w:t>reported</w:t>
      </w:r>
      <w:r>
        <w:rPr>
          <w:spacing w:val="-3"/>
        </w:rPr>
        <w:t> </w:t>
      </w:r>
      <w:r>
        <w:rPr/>
        <w:t>as</w:t>
      </w:r>
      <w:r>
        <w:rPr>
          <w:spacing w:val="-2"/>
        </w:rPr>
        <w:t> revenue.</w:t>
      </w:r>
    </w:p>
    <w:p>
      <w:pPr>
        <w:spacing w:before="190"/>
        <w:ind w:left="220" w:right="0" w:firstLine="0"/>
        <w:jc w:val="left"/>
        <w:rPr>
          <w:i/>
          <w:sz w:val="20"/>
        </w:rPr>
      </w:pPr>
      <w:r>
        <w:rPr>
          <w:i/>
          <w:spacing w:val="-2"/>
          <w:sz w:val="20"/>
        </w:rPr>
        <w:t>Treasury</w:t>
      </w:r>
      <w:r>
        <w:rPr>
          <w:i/>
          <w:spacing w:val="-4"/>
          <w:sz w:val="20"/>
        </w:rPr>
        <w:t> </w:t>
      </w:r>
      <w:r>
        <w:rPr>
          <w:i/>
          <w:spacing w:val="-2"/>
          <w:sz w:val="20"/>
        </w:rPr>
        <w:t>Stock</w:t>
      </w:r>
    </w:p>
    <w:p>
      <w:pPr>
        <w:pStyle w:val="BodyText"/>
        <w:spacing w:line="249" w:lineRule="auto" w:before="190"/>
        <w:ind w:left="220" w:right="257" w:firstLine="540"/>
        <w:jc w:val="both"/>
      </w:pPr>
      <w:r>
        <w:rPr/>
        <w:t>We account for treasury stock under the cost method.</w:t>
      </w:r>
      <w:r>
        <w:rPr>
          <w:spacing w:val="-2"/>
        </w:rPr>
        <w:t> </w:t>
      </w:r>
      <w:r>
        <w:rPr/>
        <w:t>When treasury stock is re-issued at a price higher than its cost, the difference is recorded as a component of additional paid-in-capital in our Consolidated Balance Sheets. When treasury stock is re-issued at a price lower than its cost, the difference is recorded as a component of additional paid-in-capital to the extent that there</w:t>
      </w:r>
      <w:r>
        <w:rPr>
          <w:spacing w:val="-8"/>
        </w:rPr>
        <w:t> </w:t>
      </w:r>
      <w:r>
        <w:rPr/>
        <w:t>are</w:t>
      </w:r>
      <w:r>
        <w:rPr>
          <w:spacing w:val="-8"/>
        </w:rPr>
        <w:t> </w:t>
      </w:r>
      <w:r>
        <w:rPr/>
        <w:t>previously</w:t>
      </w:r>
      <w:r>
        <w:rPr>
          <w:spacing w:val="-8"/>
        </w:rPr>
        <w:t> </w:t>
      </w:r>
      <w:r>
        <w:rPr/>
        <w:t>recorded</w:t>
      </w:r>
      <w:r>
        <w:rPr>
          <w:spacing w:val="-8"/>
        </w:rPr>
        <w:t> </w:t>
      </w:r>
      <w:r>
        <w:rPr/>
        <w:t>gains</w:t>
      </w:r>
      <w:r>
        <w:rPr>
          <w:spacing w:val="-8"/>
        </w:rPr>
        <w:t> </w:t>
      </w:r>
      <w:r>
        <w:rPr/>
        <w:t>to</w:t>
      </w:r>
      <w:r>
        <w:rPr>
          <w:spacing w:val="-8"/>
        </w:rPr>
        <w:t> </w:t>
      </w:r>
      <w:r>
        <w:rPr/>
        <w:t>offset</w:t>
      </w:r>
      <w:r>
        <w:rPr>
          <w:spacing w:val="-8"/>
        </w:rPr>
        <w:t> </w:t>
      </w:r>
      <w:r>
        <w:rPr/>
        <w:t>the</w:t>
      </w:r>
      <w:r>
        <w:rPr>
          <w:spacing w:val="-8"/>
        </w:rPr>
        <w:t> </w:t>
      </w:r>
      <w:r>
        <w:rPr/>
        <w:t>losses.</w:t>
      </w:r>
      <w:r>
        <w:rPr>
          <w:spacing w:val="-8"/>
        </w:rPr>
        <w:t> </w:t>
      </w:r>
      <w:r>
        <w:rPr/>
        <w:t>If</w:t>
      </w:r>
      <w:r>
        <w:rPr>
          <w:spacing w:val="-8"/>
        </w:rPr>
        <w:t> </w:t>
      </w:r>
      <w:r>
        <w:rPr/>
        <w:t>there</w:t>
      </w:r>
      <w:r>
        <w:rPr>
          <w:spacing w:val="-8"/>
        </w:rPr>
        <w:t> </w:t>
      </w:r>
      <w:r>
        <w:rPr/>
        <w:t>are</w:t>
      </w:r>
      <w:r>
        <w:rPr>
          <w:spacing w:val="-8"/>
        </w:rPr>
        <w:t> </w:t>
      </w:r>
      <w:r>
        <w:rPr/>
        <w:t>no</w:t>
      </w:r>
      <w:r>
        <w:rPr>
          <w:spacing w:val="-8"/>
        </w:rPr>
        <w:t> </w:t>
      </w:r>
      <w:r>
        <w:rPr/>
        <w:t>treasury</w:t>
      </w:r>
      <w:r>
        <w:rPr>
          <w:spacing w:val="-8"/>
        </w:rPr>
        <w:t> </w:t>
      </w:r>
      <w:r>
        <w:rPr/>
        <w:t>stock</w:t>
      </w:r>
      <w:r>
        <w:rPr>
          <w:spacing w:val="-8"/>
        </w:rPr>
        <w:t> </w:t>
      </w:r>
      <w:r>
        <w:rPr/>
        <w:t>gains</w:t>
      </w:r>
      <w:r>
        <w:rPr>
          <w:spacing w:val="-8"/>
        </w:rPr>
        <w:t> </w:t>
      </w:r>
      <w:r>
        <w:rPr/>
        <w:t>in</w:t>
      </w:r>
      <w:r>
        <w:rPr>
          <w:spacing w:val="-8"/>
        </w:rPr>
        <w:t> </w:t>
      </w:r>
      <w:r>
        <w:rPr/>
        <w:t>additional</w:t>
      </w:r>
      <w:r>
        <w:rPr>
          <w:spacing w:val="-8"/>
        </w:rPr>
        <w:t> </w:t>
      </w:r>
      <w:r>
        <w:rPr/>
        <w:t>paid-in-capital,</w:t>
      </w:r>
      <w:r>
        <w:rPr>
          <w:spacing w:val="-8"/>
        </w:rPr>
        <w:t> </w:t>
      </w:r>
      <w:r>
        <w:rPr/>
        <w:t>the</w:t>
      </w:r>
      <w:r>
        <w:rPr>
          <w:spacing w:val="-8"/>
        </w:rPr>
        <w:t> </w:t>
      </w:r>
      <w:r>
        <w:rPr/>
        <w:t>losses upon re-issuance of treasury stock are recorded as a reduction of retained earnings in our Consolidated Balance Sheets.</w:t>
      </w:r>
    </w:p>
    <w:p>
      <w:pPr>
        <w:spacing w:before="184"/>
        <w:ind w:left="220" w:right="0" w:firstLine="0"/>
        <w:jc w:val="left"/>
        <w:rPr>
          <w:i/>
          <w:sz w:val="20"/>
        </w:rPr>
      </w:pPr>
      <w:r>
        <w:rPr>
          <w:i/>
          <w:sz w:val="20"/>
        </w:rPr>
        <w:t>Advertising </w:t>
      </w:r>
      <w:r>
        <w:rPr>
          <w:i/>
          <w:spacing w:val="-2"/>
          <w:sz w:val="20"/>
        </w:rPr>
        <w:t>Expenses</w:t>
      </w:r>
    </w:p>
    <w:p>
      <w:pPr>
        <w:pStyle w:val="BodyText"/>
        <w:spacing w:before="190"/>
        <w:ind w:left="760"/>
      </w:pPr>
      <w:r>
        <w:rPr/>
        <w:t>Advertising</w:t>
      </w:r>
      <w:r>
        <w:rPr>
          <w:spacing w:val="15"/>
        </w:rPr>
        <w:t> </w:t>
      </w:r>
      <w:r>
        <w:rPr/>
        <w:t>costs</w:t>
      </w:r>
      <w:r>
        <w:rPr>
          <w:spacing w:val="15"/>
        </w:rPr>
        <w:t> </w:t>
      </w:r>
      <w:r>
        <w:rPr/>
        <w:t>are</w:t>
      </w:r>
      <w:r>
        <w:rPr>
          <w:spacing w:val="15"/>
        </w:rPr>
        <w:t> </w:t>
      </w:r>
      <w:r>
        <w:rPr/>
        <w:t>expensed</w:t>
      </w:r>
      <w:r>
        <w:rPr>
          <w:spacing w:val="15"/>
        </w:rPr>
        <w:t> </w:t>
      </w:r>
      <w:r>
        <w:rPr/>
        <w:t>as</w:t>
      </w:r>
      <w:r>
        <w:rPr>
          <w:spacing w:val="16"/>
        </w:rPr>
        <w:t> </w:t>
      </w:r>
      <w:r>
        <w:rPr/>
        <w:t>incurred. Advertising</w:t>
      </w:r>
      <w:r>
        <w:rPr>
          <w:spacing w:val="15"/>
        </w:rPr>
        <w:t> </w:t>
      </w:r>
      <w:r>
        <w:rPr/>
        <w:t>expenses</w:t>
      </w:r>
      <w:r>
        <w:rPr>
          <w:spacing w:val="16"/>
        </w:rPr>
        <w:t> </w:t>
      </w:r>
      <w:r>
        <w:rPr/>
        <w:t>for</w:t>
      </w:r>
      <w:r>
        <w:rPr>
          <w:spacing w:val="15"/>
        </w:rPr>
        <w:t> </w:t>
      </w:r>
      <w:r>
        <w:rPr/>
        <w:t>fiscal</w:t>
      </w:r>
      <w:r>
        <w:rPr>
          <w:spacing w:val="15"/>
        </w:rPr>
        <w:t> </w:t>
      </w:r>
      <w:r>
        <w:rPr/>
        <w:t>2017,</w:t>
      </w:r>
      <w:r>
        <w:rPr>
          <w:spacing w:val="15"/>
        </w:rPr>
        <w:t> </w:t>
      </w:r>
      <w:r>
        <w:rPr/>
        <w:t>2016</w:t>
      </w:r>
      <w:r>
        <w:rPr>
          <w:spacing w:val="16"/>
        </w:rPr>
        <w:t> </w:t>
      </w:r>
      <w:r>
        <w:rPr/>
        <w:t>and</w:t>
      </w:r>
      <w:r>
        <w:rPr>
          <w:spacing w:val="15"/>
        </w:rPr>
        <w:t> </w:t>
      </w:r>
      <w:r>
        <w:rPr/>
        <w:t>2015</w:t>
      </w:r>
      <w:r>
        <w:rPr>
          <w:spacing w:val="15"/>
        </w:rPr>
        <w:t> </w:t>
      </w:r>
      <w:r>
        <w:rPr/>
        <w:t>were</w:t>
      </w:r>
      <w:r>
        <w:rPr>
          <w:spacing w:val="15"/>
        </w:rPr>
        <w:t> </w:t>
      </w:r>
      <w:r>
        <w:rPr/>
        <w:t>$141.7</w:t>
      </w:r>
      <w:r>
        <w:rPr>
          <w:spacing w:val="16"/>
        </w:rPr>
        <w:t> </w:t>
      </w:r>
      <w:r>
        <w:rPr>
          <w:spacing w:val="-2"/>
        </w:rPr>
        <w:t>million,</w:t>
      </w:r>
    </w:p>
    <w:p>
      <w:pPr>
        <w:pStyle w:val="BodyText"/>
        <w:spacing w:before="10"/>
        <w:ind w:left="220"/>
      </w:pPr>
      <w:r>
        <w:rPr/>
        <w:t>$135.8</w:t>
      </w:r>
      <w:r>
        <w:rPr>
          <w:spacing w:val="-2"/>
        </w:rPr>
        <w:t> </w:t>
      </w:r>
      <w:r>
        <w:rPr/>
        <w:t>million</w:t>
      </w:r>
      <w:r>
        <w:rPr>
          <w:spacing w:val="-3"/>
        </w:rPr>
        <w:t> </w:t>
      </w:r>
      <w:r>
        <w:rPr/>
        <w:t>and</w:t>
      </w:r>
      <w:r>
        <w:rPr>
          <w:spacing w:val="-2"/>
        </w:rPr>
        <w:t> </w:t>
      </w:r>
      <w:r>
        <w:rPr/>
        <w:t>$113.6</w:t>
      </w:r>
      <w:r>
        <w:rPr>
          <w:spacing w:val="-2"/>
        </w:rPr>
        <w:t> </w:t>
      </w:r>
      <w:r>
        <w:rPr/>
        <w:t>million,</w:t>
      </w:r>
      <w:r>
        <w:rPr>
          <w:spacing w:val="-1"/>
        </w:rPr>
        <w:t> </w:t>
      </w:r>
      <w:r>
        <w:rPr>
          <w:spacing w:val="-2"/>
        </w:rPr>
        <w:t>respectively.</w:t>
      </w:r>
    </w:p>
    <w:p>
      <w:pPr>
        <w:spacing w:before="190"/>
        <w:ind w:left="220" w:right="0" w:firstLine="0"/>
        <w:jc w:val="left"/>
        <w:rPr>
          <w:i/>
          <w:sz w:val="20"/>
        </w:rPr>
      </w:pPr>
      <w:r>
        <w:rPr>
          <w:i/>
          <w:sz w:val="20"/>
        </w:rPr>
        <w:t>Foreign</w:t>
      </w:r>
      <w:r>
        <w:rPr>
          <w:i/>
          <w:spacing w:val="-11"/>
          <w:sz w:val="20"/>
        </w:rPr>
        <w:t> </w:t>
      </w:r>
      <w:r>
        <w:rPr>
          <w:i/>
          <w:sz w:val="20"/>
        </w:rPr>
        <w:t>Currency</w:t>
      </w:r>
      <w:r>
        <w:rPr>
          <w:i/>
          <w:spacing w:val="-10"/>
          <w:sz w:val="20"/>
        </w:rPr>
        <w:t> </w:t>
      </w:r>
      <w:r>
        <w:rPr>
          <w:i/>
          <w:spacing w:val="-2"/>
          <w:sz w:val="20"/>
        </w:rPr>
        <w:t>Translation</w:t>
      </w:r>
    </w:p>
    <w:p>
      <w:pPr>
        <w:pStyle w:val="BodyText"/>
        <w:spacing w:line="249" w:lineRule="auto" w:before="190"/>
        <w:ind w:left="220" w:right="257" w:firstLine="540"/>
        <w:jc w:val="both"/>
      </w:pPr>
      <w:r>
        <w:rPr/>
        <w:t>We translate assets and liabilities of foreign subsidiaries, whose functional currency is their local currency, at exchange rates in effect at the balance sheet date. We translate revenue and expenses at the monthly average exchange rates. We include accumulated net translation adjustments in stockholders’ equity as a component of accumulated other comprehensive income </w:t>
      </w:r>
      <w:r>
        <w:rPr>
          <w:spacing w:val="-2"/>
        </w:rPr>
        <w:t>(loss).</w:t>
      </w:r>
    </w:p>
    <w:p>
      <w:pPr>
        <w:spacing w:before="183"/>
        <w:ind w:left="220" w:right="0" w:firstLine="0"/>
        <w:jc w:val="left"/>
        <w:rPr>
          <w:i/>
          <w:sz w:val="20"/>
        </w:rPr>
      </w:pPr>
      <w:r>
        <w:rPr>
          <w:i/>
          <w:sz w:val="20"/>
        </w:rPr>
        <w:t>Foreign</w:t>
      </w:r>
      <w:r>
        <w:rPr>
          <w:i/>
          <w:spacing w:val="-6"/>
          <w:sz w:val="20"/>
        </w:rPr>
        <w:t> </w:t>
      </w:r>
      <w:r>
        <w:rPr>
          <w:i/>
          <w:sz w:val="20"/>
        </w:rPr>
        <w:t>Currency</w:t>
      </w:r>
      <w:r>
        <w:rPr>
          <w:i/>
          <w:spacing w:val="-5"/>
          <w:sz w:val="20"/>
        </w:rPr>
        <w:t> </w:t>
      </w:r>
      <w:r>
        <w:rPr>
          <w:i/>
          <w:sz w:val="20"/>
        </w:rPr>
        <w:t>and</w:t>
      </w:r>
      <w:r>
        <w:rPr>
          <w:i/>
          <w:spacing w:val="-5"/>
          <w:sz w:val="20"/>
        </w:rPr>
        <w:t> </w:t>
      </w:r>
      <w:r>
        <w:rPr>
          <w:i/>
          <w:sz w:val="20"/>
        </w:rPr>
        <w:t>Other</w:t>
      </w:r>
      <w:r>
        <w:rPr>
          <w:i/>
          <w:spacing w:val="-5"/>
          <w:sz w:val="20"/>
        </w:rPr>
        <w:t> </w:t>
      </w:r>
      <w:r>
        <w:rPr>
          <w:i/>
          <w:sz w:val="20"/>
        </w:rPr>
        <w:t>Hedging</w:t>
      </w:r>
      <w:r>
        <w:rPr>
          <w:i/>
          <w:spacing w:val="-5"/>
          <w:sz w:val="20"/>
        </w:rPr>
        <w:t> </w:t>
      </w:r>
      <w:r>
        <w:rPr>
          <w:i/>
          <w:spacing w:val="-2"/>
          <w:sz w:val="20"/>
        </w:rPr>
        <w:t>Instruments</w:t>
      </w:r>
    </w:p>
    <w:p>
      <w:pPr>
        <w:pStyle w:val="BodyText"/>
        <w:spacing w:line="249" w:lineRule="auto" w:before="190"/>
        <w:ind w:left="220" w:right="257" w:firstLine="540"/>
        <w:jc w:val="both"/>
      </w:pPr>
      <w:r>
        <w:rPr/>
        <w:t>In</w:t>
      </w:r>
      <w:r>
        <w:rPr>
          <w:spacing w:val="-8"/>
        </w:rPr>
        <w:t> </w:t>
      </w:r>
      <w:r>
        <w:rPr/>
        <w:t>countries</w:t>
      </w:r>
      <w:r>
        <w:rPr>
          <w:spacing w:val="-8"/>
        </w:rPr>
        <w:t> </w:t>
      </w:r>
      <w:r>
        <w:rPr/>
        <w:t>outside</w:t>
      </w:r>
      <w:r>
        <w:rPr>
          <w:spacing w:val="-9"/>
        </w:rPr>
        <w:t> </w:t>
      </w:r>
      <w:r>
        <w:rPr/>
        <w:t>the</w:t>
      </w:r>
      <w:r>
        <w:rPr>
          <w:spacing w:val="-9"/>
        </w:rPr>
        <w:t> </w:t>
      </w:r>
      <w:r>
        <w:rPr/>
        <w:t>United</w:t>
      </w:r>
      <w:r>
        <w:rPr>
          <w:spacing w:val="-8"/>
        </w:rPr>
        <w:t> </w:t>
      </w:r>
      <w:r>
        <w:rPr/>
        <w:t>States,</w:t>
      </w:r>
      <w:r>
        <w:rPr>
          <w:spacing w:val="-8"/>
        </w:rPr>
        <w:t> </w:t>
      </w:r>
      <w:r>
        <w:rPr/>
        <w:t>we</w:t>
      </w:r>
      <w:r>
        <w:rPr>
          <w:spacing w:val="-9"/>
        </w:rPr>
        <w:t> </w:t>
      </w:r>
      <w:r>
        <w:rPr/>
        <w:t>transact</w:t>
      </w:r>
      <w:r>
        <w:rPr>
          <w:spacing w:val="-9"/>
        </w:rPr>
        <w:t> </w:t>
      </w:r>
      <w:r>
        <w:rPr/>
        <w:t>business</w:t>
      </w:r>
      <w:r>
        <w:rPr>
          <w:spacing w:val="-8"/>
        </w:rPr>
        <w:t> </w:t>
      </w:r>
      <w:r>
        <w:rPr/>
        <w:t>in</w:t>
      </w:r>
      <w:r>
        <w:rPr>
          <w:spacing w:val="-8"/>
        </w:rPr>
        <w:t> </w:t>
      </w:r>
      <w:r>
        <w:rPr/>
        <w:t>U.S.</w:t>
      </w:r>
      <w:r>
        <w:rPr>
          <w:spacing w:val="-9"/>
        </w:rPr>
        <w:t> </w:t>
      </w:r>
      <w:r>
        <w:rPr/>
        <w:t>Dollars</w:t>
      </w:r>
      <w:r>
        <w:rPr>
          <w:spacing w:val="-8"/>
        </w:rPr>
        <w:t> </w:t>
      </w:r>
      <w:r>
        <w:rPr/>
        <w:t>and</w:t>
      </w:r>
      <w:r>
        <w:rPr>
          <w:spacing w:val="-8"/>
        </w:rPr>
        <w:t> </w:t>
      </w:r>
      <w:r>
        <w:rPr/>
        <w:t>in</w:t>
      </w:r>
      <w:r>
        <w:rPr>
          <w:spacing w:val="-8"/>
        </w:rPr>
        <w:t> </w:t>
      </w:r>
      <w:r>
        <w:rPr/>
        <w:t>various</w:t>
      </w:r>
      <w:r>
        <w:rPr>
          <w:spacing w:val="-8"/>
        </w:rPr>
        <w:t> </w:t>
      </w:r>
      <w:r>
        <w:rPr/>
        <w:t>other</w:t>
      </w:r>
      <w:r>
        <w:rPr>
          <w:spacing w:val="-8"/>
        </w:rPr>
        <w:t> </w:t>
      </w:r>
      <w:r>
        <w:rPr/>
        <w:t>currencies.</w:t>
      </w:r>
      <w:r>
        <w:rPr>
          <w:spacing w:val="-12"/>
        </w:rPr>
        <w:t> </w:t>
      </w:r>
      <w:r>
        <w:rPr/>
        <w:t>We</w:t>
      </w:r>
      <w:r>
        <w:rPr>
          <w:spacing w:val="-8"/>
        </w:rPr>
        <w:t> </w:t>
      </w:r>
      <w:r>
        <w:rPr/>
        <w:t>use</w:t>
      </w:r>
      <w:r>
        <w:rPr>
          <w:spacing w:val="-9"/>
        </w:rPr>
        <w:t> </w:t>
      </w:r>
      <w:r>
        <w:rPr/>
        <w:t>foreign exchange option and forward contracts for revenue denominated in Euros, British Pounds and Japanese</w:t>
      </w:r>
      <w:r>
        <w:rPr>
          <w:spacing w:val="-6"/>
        </w:rPr>
        <w:t> </w:t>
      </w:r>
      <w:r>
        <w:rPr/>
        <w:t>Yen.</w:t>
      </w:r>
      <w:r>
        <w:rPr>
          <w:spacing w:val="-1"/>
        </w:rPr>
        <w:t> </w:t>
      </w:r>
      <w:r>
        <w:rPr/>
        <w:t>We hedge our net recognized</w:t>
      </w:r>
      <w:r>
        <w:rPr>
          <w:spacing w:val="-9"/>
        </w:rPr>
        <w:t> </w:t>
      </w:r>
      <w:r>
        <w:rPr/>
        <w:t>foreign</w:t>
      </w:r>
      <w:r>
        <w:rPr>
          <w:spacing w:val="-9"/>
        </w:rPr>
        <w:t> </w:t>
      </w:r>
      <w:r>
        <w:rPr/>
        <w:t>currency</w:t>
      </w:r>
      <w:r>
        <w:rPr>
          <w:spacing w:val="-9"/>
        </w:rPr>
        <w:t> </w:t>
      </w:r>
      <w:r>
        <w:rPr/>
        <w:t>assets</w:t>
      </w:r>
      <w:r>
        <w:rPr>
          <w:spacing w:val="-9"/>
        </w:rPr>
        <w:t> </w:t>
      </w:r>
      <w:r>
        <w:rPr/>
        <w:t>and</w:t>
      </w:r>
      <w:r>
        <w:rPr>
          <w:spacing w:val="-9"/>
        </w:rPr>
        <w:t> </w:t>
      </w:r>
      <w:r>
        <w:rPr/>
        <w:t>liabilities</w:t>
      </w:r>
      <w:r>
        <w:rPr>
          <w:spacing w:val="-9"/>
        </w:rPr>
        <w:t> </w:t>
      </w:r>
      <w:r>
        <w:rPr/>
        <w:t>with</w:t>
      </w:r>
      <w:r>
        <w:rPr>
          <w:spacing w:val="-9"/>
        </w:rPr>
        <w:t> </w:t>
      </w:r>
      <w:r>
        <w:rPr/>
        <w:t>foreign</w:t>
      </w:r>
      <w:r>
        <w:rPr>
          <w:spacing w:val="-9"/>
        </w:rPr>
        <w:t> </w:t>
      </w:r>
      <w:r>
        <w:rPr/>
        <w:t>exchange</w:t>
      </w:r>
      <w:r>
        <w:rPr>
          <w:spacing w:val="-9"/>
        </w:rPr>
        <w:t> </w:t>
      </w:r>
      <w:r>
        <w:rPr/>
        <w:t>forward</w:t>
      </w:r>
      <w:r>
        <w:rPr>
          <w:spacing w:val="-9"/>
        </w:rPr>
        <w:t> </w:t>
      </w:r>
      <w:r>
        <w:rPr/>
        <w:t>contracts</w:t>
      </w:r>
      <w:r>
        <w:rPr>
          <w:spacing w:val="-9"/>
        </w:rPr>
        <w:t> </w:t>
      </w:r>
      <w:r>
        <w:rPr/>
        <w:t>to</w:t>
      </w:r>
      <w:r>
        <w:rPr>
          <w:spacing w:val="-9"/>
        </w:rPr>
        <w:t> </w:t>
      </w:r>
      <w:r>
        <w:rPr/>
        <w:t>reduce</w:t>
      </w:r>
      <w:r>
        <w:rPr>
          <w:spacing w:val="-10"/>
        </w:rPr>
        <w:t> </w:t>
      </w:r>
      <w:r>
        <w:rPr/>
        <w:t>the</w:t>
      </w:r>
      <w:r>
        <w:rPr>
          <w:spacing w:val="-9"/>
        </w:rPr>
        <w:t> </w:t>
      </w:r>
      <w:r>
        <w:rPr/>
        <w:t>risk</w:t>
      </w:r>
      <w:r>
        <w:rPr>
          <w:spacing w:val="-9"/>
        </w:rPr>
        <w:t> </w:t>
      </w:r>
      <w:r>
        <w:rPr/>
        <w:t>that</w:t>
      </w:r>
      <w:r>
        <w:rPr>
          <w:spacing w:val="-9"/>
        </w:rPr>
        <w:t> </w:t>
      </w:r>
      <w:r>
        <w:rPr/>
        <w:t>our</w:t>
      </w:r>
      <w:r>
        <w:rPr>
          <w:spacing w:val="-9"/>
        </w:rPr>
        <w:t> </w:t>
      </w:r>
      <w:r>
        <w:rPr/>
        <w:t>earnings</w:t>
      </w:r>
      <w:r>
        <w:rPr>
          <w:spacing w:val="-9"/>
        </w:rPr>
        <w:t> </w:t>
      </w:r>
      <w:r>
        <w:rPr/>
        <w:t>and cash flows will be adversely affected by changes in exchange rates.</w:t>
      </w:r>
    </w:p>
    <w:p>
      <w:pPr>
        <w:pStyle w:val="BodyText"/>
        <w:spacing w:line="249" w:lineRule="auto" w:before="184"/>
        <w:ind w:left="220" w:right="257" w:firstLine="540"/>
        <w:jc w:val="both"/>
        <w:rPr>
          <w:i/>
        </w:rPr>
      </w:pPr>
      <w:r>
        <w:rPr/>
        <w:t>We</w:t>
      </w:r>
      <w:r>
        <w:rPr>
          <w:spacing w:val="-11"/>
        </w:rPr>
        <w:t> </w:t>
      </w:r>
      <w:r>
        <w:rPr/>
        <w:t>recognize</w:t>
      </w:r>
      <w:r>
        <w:rPr>
          <w:spacing w:val="-11"/>
        </w:rPr>
        <w:t> </w:t>
      </w:r>
      <w:r>
        <w:rPr/>
        <w:t>all</w:t>
      </w:r>
      <w:r>
        <w:rPr>
          <w:spacing w:val="-11"/>
        </w:rPr>
        <w:t> </w:t>
      </w:r>
      <w:r>
        <w:rPr/>
        <w:t>derivative</w:t>
      </w:r>
      <w:r>
        <w:rPr>
          <w:spacing w:val="-11"/>
        </w:rPr>
        <w:t> </w:t>
      </w:r>
      <w:r>
        <w:rPr/>
        <w:t>instruments</w:t>
      </w:r>
      <w:r>
        <w:rPr>
          <w:spacing w:val="-10"/>
        </w:rPr>
        <w:t> </w:t>
      </w:r>
      <w:r>
        <w:rPr/>
        <w:t>as</w:t>
      </w:r>
      <w:r>
        <w:rPr>
          <w:spacing w:val="-10"/>
        </w:rPr>
        <w:t> </w:t>
      </w:r>
      <w:r>
        <w:rPr/>
        <w:t>either</w:t>
      </w:r>
      <w:r>
        <w:rPr>
          <w:spacing w:val="-11"/>
        </w:rPr>
        <w:t> </w:t>
      </w:r>
      <w:r>
        <w:rPr/>
        <w:t>assets</w:t>
      </w:r>
      <w:r>
        <w:rPr>
          <w:spacing w:val="-10"/>
        </w:rPr>
        <w:t> </w:t>
      </w:r>
      <w:r>
        <w:rPr/>
        <w:t>or</w:t>
      </w:r>
      <w:r>
        <w:rPr>
          <w:spacing w:val="-10"/>
        </w:rPr>
        <w:t> </w:t>
      </w:r>
      <w:r>
        <w:rPr/>
        <w:t>liabilities</w:t>
      </w:r>
      <w:r>
        <w:rPr>
          <w:spacing w:val="-10"/>
        </w:rPr>
        <w:t> </w:t>
      </w:r>
      <w:r>
        <w:rPr/>
        <w:t>in</w:t>
      </w:r>
      <w:r>
        <w:rPr>
          <w:spacing w:val="-10"/>
        </w:rPr>
        <w:t> </w:t>
      </w:r>
      <w:r>
        <w:rPr/>
        <w:t>our</w:t>
      </w:r>
      <w:r>
        <w:rPr>
          <w:spacing w:val="-10"/>
        </w:rPr>
        <w:t> </w:t>
      </w:r>
      <w:r>
        <w:rPr/>
        <w:t>Consolidated</w:t>
      </w:r>
      <w:r>
        <w:rPr>
          <w:spacing w:val="-11"/>
        </w:rPr>
        <w:t> </w:t>
      </w:r>
      <w:r>
        <w:rPr/>
        <w:t>Balance</w:t>
      </w:r>
      <w:r>
        <w:rPr>
          <w:spacing w:val="-11"/>
        </w:rPr>
        <w:t> </w:t>
      </w:r>
      <w:r>
        <w:rPr/>
        <w:t>Sheets</w:t>
      </w:r>
      <w:r>
        <w:rPr>
          <w:spacing w:val="-10"/>
        </w:rPr>
        <w:t> </w:t>
      </w:r>
      <w:r>
        <w:rPr/>
        <w:t>and</w:t>
      </w:r>
      <w:r>
        <w:rPr>
          <w:spacing w:val="-10"/>
        </w:rPr>
        <w:t> </w:t>
      </w:r>
      <w:r>
        <w:rPr/>
        <w:t>measure</w:t>
      </w:r>
      <w:r>
        <w:rPr>
          <w:spacing w:val="-11"/>
        </w:rPr>
        <w:t> </w:t>
      </w:r>
      <w:r>
        <w:rPr/>
        <w:t>them at fair value. Gains and losses resulting from changes in fair value are accounted for depending on the use of the derivative and whether</w:t>
      </w:r>
      <w:r>
        <w:rPr>
          <w:spacing w:val="-9"/>
        </w:rPr>
        <w:t> </w:t>
      </w:r>
      <w:r>
        <w:rPr/>
        <w:t>it</w:t>
      </w:r>
      <w:r>
        <w:rPr>
          <w:spacing w:val="-9"/>
        </w:rPr>
        <w:t> </w:t>
      </w:r>
      <w:r>
        <w:rPr/>
        <w:t>is</w:t>
      </w:r>
      <w:r>
        <w:rPr>
          <w:spacing w:val="-9"/>
        </w:rPr>
        <w:t> </w:t>
      </w:r>
      <w:r>
        <w:rPr/>
        <w:t>designated</w:t>
      </w:r>
      <w:r>
        <w:rPr>
          <w:spacing w:val="-10"/>
        </w:rPr>
        <w:t> </w:t>
      </w:r>
      <w:r>
        <w:rPr/>
        <w:t>and</w:t>
      </w:r>
      <w:r>
        <w:rPr>
          <w:spacing w:val="-9"/>
        </w:rPr>
        <w:t> </w:t>
      </w:r>
      <w:r>
        <w:rPr/>
        <w:t>qualifies</w:t>
      </w:r>
      <w:r>
        <w:rPr>
          <w:spacing w:val="-9"/>
        </w:rPr>
        <w:t> </w:t>
      </w:r>
      <w:r>
        <w:rPr/>
        <w:t>for</w:t>
      </w:r>
      <w:r>
        <w:rPr>
          <w:spacing w:val="-9"/>
        </w:rPr>
        <w:t> </w:t>
      </w:r>
      <w:r>
        <w:rPr/>
        <w:t>hedge</w:t>
      </w:r>
      <w:r>
        <w:rPr>
          <w:spacing w:val="-10"/>
        </w:rPr>
        <w:t> </w:t>
      </w:r>
      <w:r>
        <w:rPr/>
        <w:t>accounting.</w:t>
      </w:r>
      <w:r>
        <w:rPr>
          <w:spacing w:val="-9"/>
        </w:rPr>
        <w:t> </w:t>
      </w:r>
      <w:r>
        <w:rPr/>
        <w:t>Contracts</w:t>
      </w:r>
      <w:r>
        <w:rPr>
          <w:spacing w:val="-9"/>
        </w:rPr>
        <w:t> </w:t>
      </w:r>
      <w:r>
        <w:rPr/>
        <w:t>that</w:t>
      </w:r>
      <w:r>
        <w:rPr>
          <w:spacing w:val="-9"/>
        </w:rPr>
        <w:t> </w:t>
      </w:r>
      <w:r>
        <w:rPr/>
        <w:t>do</w:t>
      </w:r>
      <w:r>
        <w:rPr>
          <w:spacing w:val="-9"/>
        </w:rPr>
        <w:t> </w:t>
      </w:r>
      <w:r>
        <w:rPr/>
        <w:t>not</w:t>
      </w:r>
      <w:r>
        <w:rPr>
          <w:spacing w:val="-10"/>
        </w:rPr>
        <w:t> </w:t>
      </w:r>
      <w:r>
        <w:rPr/>
        <w:t>qualify</w:t>
      </w:r>
      <w:r>
        <w:rPr>
          <w:spacing w:val="-10"/>
        </w:rPr>
        <w:t> </w:t>
      </w:r>
      <w:r>
        <w:rPr/>
        <w:t>for</w:t>
      </w:r>
      <w:r>
        <w:rPr>
          <w:spacing w:val="-9"/>
        </w:rPr>
        <w:t> </w:t>
      </w:r>
      <w:r>
        <w:rPr/>
        <w:t>hedge</w:t>
      </w:r>
      <w:r>
        <w:rPr>
          <w:spacing w:val="-10"/>
        </w:rPr>
        <w:t> </w:t>
      </w:r>
      <w:r>
        <w:rPr/>
        <w:t>accounting</w:t>
      </w:r>
      <w:r>
        <w:rPr>
          <w:spacing w:val="-9"/>
        </w:rPr>
        <w:t> </w:t>
      </w:r>
      <w:r>
        <w:rPr/>
        <w:t>are</w:t>
      </w:r>
      <w:r>
        <w:rPr>
          <w:spacing w:val="-10"/>
        </w:rPr>
        <w:t> </w:t>
      </w:r>
      <w:r>
        <w:rPr/>
        <w:t>adjusted</w:t>
      </w:r>
      <w:r>
        <w:rPr>
          <w:spacing w:val="-9"/>
        </w:rPr>
        <w:t> </w:t>
      </w:r>
      <w:r>
        <w:rPr/>
        <w:t>to</w:t>
      </w:r>
      <w:r>
        <w:rPr>
          <w:spacing w:val="-9"/>
        </w:rPr>
        <w:t> </w:t>
      </w:r>
      <w:r>
        <w:rPr/>
        <w:t>fair value through earnings. </w:t>
      </w:r>
      <w:hyperlink w:history="true" w:anchor="_bookmark26">
        <w:r>
          <w:rPr>
            <w:i/>
          </w:rPr>
          <w:t>See Note 5 for information regarding our hedging activities.</w:t>
        </w:r>
      </w:hyperlink>
    </w:p>
    <w:p>
      <w:pPr>
        <w:pStyle w:val="BodyText"/>
        <w:spacing w:line="249" w:lineRule="auto" w:before="183"/>
        <w:ind w:left="220" w:right="257" w:firstLine="540"/>
        <w:jc w:val="both"/>
      </w:pPr>
      <w:r>
        <w:rPr/>
        <w:t>Gains</w:t>
      </w:r>
      <w:r>
        <w:rPr>
          <w:spacing w:val="-1"/>
        </w:rPr>
        <w:t> </w:t>
      </w:r>
      <w:r>
        <w:rPr/>
        <w:t>and</w:t>
      </w:r>
      <w:r>
        <w:rPr>
          <w:spacing w:val="-1"/>
        </w:rPr>
        <w:t> </w:t>
      </w:r>
      <w:r>
        <w:rPr/>
        <w:t>losses</w:t>
      </w:r>
      <w:r>
        <w:rPr>
          <w:spacing w:val="-1"/>
        </w:rPr>
        <w:t> </w:t>
      </w:r>
      <w:r>
        <w:rPr/>
        <w:t>from</w:t>
      </w:r>
      <w:r>
        <w:rPr>
          <w:spacing w:val="-1"/>
        </w:rPr>
        <w:t> </w:t>
      </w:r>
      <w:r>
        <w:rPr/>
        <w:t>foreign</w:t>
      </w:r>
      <w:r>
        <w:rPr>
          <w:spacing w:val="-1"/>
        </w:rPr>
        <w:t> </w:t>
      </w:r>
      <w:r>
        <w:rPr/>
        <w:t>exchange</w:t>
      </w:r>
      <w:r>
        <w:rPr>
          <w:spacing w:val="-1"/>
        </w:rPr>
        <w:t> </w:t>
      </w:r>
      <w:r>
        <w:rPr/>
        <w:t>forward</w:t>
      </w:r>
      <w:r>
        <w:rPr>
          <w:spacing w:val="-1"/>
        </w:rPr>
        <w:t> </w:t>
      </w:r>
      <w:r>
        <w:rPr/>
        <w:t>contracts</w:t>
      </w:r>
      <w:r>
        <w:rPr>
          <w:spacing w:val="-1"/>
        </w:rPr>
        <w:t> </w:t>
      </w:r>
      <w:r>
        <w:rPr/>
        <w:t>which</w:t>
      </w:r>
      <w:r>
        <w:rPr>
          <w:spacing w:val="-1"/>
        </w:rPr>
        <w:t> </w:t>
      </w:r>
      <w:r>
        <w:rPr/>
        <w:t>hedge</w:t>
      </w:r>
      <w:r>
        <w:rPr>
          <w:spacing w:val="-1"/>
        </w:rPr>
        <w:t> </w:t>
      </w:r>
      <w:r>
        <w:rPr/>
        <w:t>certain</w:t>
      </w:r>
      <w:r>
        <w:rPr>
          <w:spacing w:val="-1"/>
        </w:rPr>
        <w:t> </w:t>
      </w:r>
      <w:r>
        <w:rPr/>
        <w:t>balance</w:t>
      </w:r>
      <w:r>
        <w:rPr>
          <w:spacing w:val="-1"/>
        </w:rPr>
        <w:t> </w:t>
      </w:r>
      <w:r>
        <w:rPr/>
        <w:t>sheet</w:t>
      </w:r>
      <w:r>
        <w:rPr>
          <w:spacing w:val="-1"/>
        </w:rPr>
        <w:t> </w:t>
      </w:r>
      <w:r>
        <w:rPr/>
        <w:t>positions</w:t>
      </w:r>
      <w:r>
        <w:rPr>
          <w:spacing w:val="-1"/>
        </w:rPr>
        <w:t> </w:t>
      </w:r>
      <w:r>
        <w:rPr/>
        <w:t>are</w:t>
      </w:r>
      <w:r>
        <w:rPr>
          <w:spacing w:val="-1"/>
        </w:rPr>
        <w:t> </w:t>
      </w:r>
      <w:r>
        <w:rPr/>
        <w:t>recorded</w:t>
      </w:r>
      <w:r>
        <w:rPr>
          <w:spacing w:val="-1"/>
        </w:rPr>
        <w:t> </w:t>
      </w:r>
      <w:r>
        <w:rPr/>
        <w:t>each period as a component of interest and other income, net in our Consolidated Statements of Income. Foreign exchange option contracts hedging forecasted foreign currency revenue are designated as cash flow hedges with gains and losses recorded net of tax,</w:t>
      </w:r>
      <w:r>
        <w:rPr>
          <w:spacing w:val="-13"/>
        </w:rPr>
        <w:t> </w:t>
      </w:r>
      <w:r>
        <w:rPr/>
        <w:t>as</w:t>
      </w:r>
      <w:r>
        <w:rPr>
          <w:spacing w:val="-12"/>
        </w:rPr>
        <w:t> </w:t>
      </w:r>
      <w:r>
        <w:rPr/>
        <w:t>a</w:t>
      </w:r>
      <w:r>
        <w:rPr>
          <w:spacing w:val="-13"/>
        </w:rPr>
        <w:t> </w:t>
      </w:r>
      <w:r>
        <w:rPr/>
        <w:t>component</w:t>
      </w:r>
      <w:r>
        <w:rPr>
          <w:spacing w:val="-12"/>
        </w:rPr>
        <w:t> </w:t>
      </w:r>
      <w:r>
        <w:rPr/>
        <w:t>of</w:t>
      </w:r>
      <w:r>
        <w:rPr>
          <w:spacing w:val="-13"/>
        </w:rPr>
        <w:t> </w:t>
      </w:r>
      <w:r>
        <w:rPr/>
        <w:t>other</w:t>
      </w:r>
      <w:r>
        <w:rPr>
          <w:spacing w:val="-12"/>
        </w:rPr>
        <w:t> </w:t>
      </w:r>
      <w:r>
        <w:rPr/>
        <w:t>comprehensive</w:t>
      </w:r>
      <w:r>
        <w:rPr>
          <w:spacing w:val="-13"/>
        </w:rPr>
        <w:t> </w:t>
      </w:r>
      <w:r>
        <w:rPr/>
        <w:t>income</w:t>
      </w:r>
      <w:r>
        <w:rPr>
          <w:spacing w:val="-12"/>
        </w:rPr>
        <w:t> </w:t>
      </w:r>
      <w:r>
        <w:rPr/>
        <w:t>in</w:t>
      </w:r>
      <w:r>
        <w:rPr>
          <w:spacing w:val="-13"/>
        </w:rPr>
        <w:t> </w:t>
      </w:r>
      <w:r>
        <w:rPr/>
        <w:t>stockholders’</w:t>
      </w:r>
      <w:r>
        <w:rPr>
          <w:spacing w:val="-12"/>
        </w:rPr>
        <w:t> </w:t>
      </w:r>
      <w:r>
        <w:rPr/>
        <w:t>equity</w:t>
      </w:r>
      <w:r>
        <w:rPr>
          <w:spacing w:val="-13"/>
        </w:rPr>
        <w:t> </w:t>
      </w:r>
      <w:r>
        <w:rPr/>
        <w:t>and</w:t>
      </w:r>
      <w:r>
        <w:rPr>
          <w:spacing w:val="-12"/>
        </w:rPr>
        <w:t> </w:t>
      </w:r>
      <w:r>
        <w:rPr/>
        <w:t>reclassified</w:t>
      </w:r>
      <w:r>
        <w:rPr>
          <w:spacing w:val="-13"/>
        </w:rPr>
        <w:t> </w:t>
      </w:r>
      <w:r>
        <w:rPr/>
        <w:t>into</w:t>
      </w:r>
      <w:r>
        <w:rPr>
          <w:spacing w:val="-12"/>
        </w:rPr>
        <w:t> </w:t>
      </w:r>
      <w:r>
        <w:rPr/>
        <w:t>revenue</w:t>
      </w:r>
      <w:r>
        <w:rPr>
          <w:spacing w:val="-13"/>
        </w:rPr>
        <w:t> </w:t>
      </w:r>
      <w:r>
        <w:rPr/>
        <w:t>at</w:t>
      </w:r>
      <w:r>
        <w:rPr>
          <w:spacing w:val="-12"/>
        </w:rPr>
        <w:t> </w:t>
      </w:r>
      <w:r>
        <w:rPr/>
        <w:t>the</w:t>
      </w:r>
      <w:r>
        <w:rPr>
          <w:spacing w:val="-13"/>
        </w:rPr>
        <w:t> </w:t>
      </w:r>
      <w:r>
        <w:rPr/>
        <w:t>time</w:t>
      </w:r>
      <w:r>
        <w:rPr>
          <w:spacing w:val="-12"/>
        </w:rPr>
        <w:t> </w:t>
      </w:r>
      <w:r>
        <w:rPr/>
        <w:t>the</w:t>
      </w:r>
      <w:r>
        <w:rPr>
          <w:spacing w:val="-13"/>
        </w:rPr>
        <w:t> </w:t>
      </w:r>
      <w:r>
        <w:rPr/>
        <w:t>forecasted transactions occur.</w:t>
      </w:r>
    </w:p>
    <w:p>
      <w:pPr>
        <w:spacing w:before="184"/>
        <w:ind w:left="220" w:right="0" w:firstLine="0"/>
        <w:jc w:val="left"/>
        <w:rPr>
          <w:i/>
          <w:sz w:val="20"/>
        </w:rPr>
      </w:pPr>
      <w:r>
        <w:rPr>
          <w:i/>
          <w:sz w:val="20"/>
        </w:rPr>
        <w:t>Concentration of </w:t>
      </w:r>
      <w:r>
        <w:rPr>
          <w:i/>
          <w:spacing w:val="-4"/>
          <w:sz w:val="20"/>
        </w:rPr>
        <w:t>Risk</w:t>
      </w:r>
    </w:p>
    <w:p>
      <w:pPr>
        <w:pStyle w:val="BodyText"/>
        <w:spacing w:line="249" w:lineRule="auto" w:before="190"/>
        <w:ind w:left="220" w:right="257" w:firstLine="540"/>
        <w:jc w:val="both"/>
      </w:pPr>
      <w:r>
        <w:rPr/>
        <w:t>Financial</w:t>
      </w:r>
      <w:r>
        <w:rPr>
          <w:spacing w:val="-2"/>
        </w:rPr>
        <w:t> </w:t>
      </w:r>
      <w:r>
        <w:rPr/>
        <w:t>instruments</w:t>
      </w:r>
      <w:r>
        <w:rPr>
          <w:spacing w:val="-1"/>
        </w:rPr>
        <w:t> </w:t>
      </w:r>
      <w:r>
        <w:rPr/>
        <w:t>that</w:t>
      </w:r>
      <w:r>
        <w:rPr>
          <w:spacing w:val="-1"/>
        </w:rPr>
        <w:t> </w:t>
      </w:r>
      <w:r>
        <w:rPr/>
        <w:t>potentially</w:t>
      </w:r>
      <w:r>
        <w:rPr>
          <w:spacing w:val="-1"/>
        </w:rPr>
        <w:t> </w:t>
      </w:r>
      <w:r>
        <w:rPr/>
        <w:t>subject</w:t>
      </w:r>
      <w:r>
        <w:rPr>
          <w:spacing w:val="-2"/>
        </w:rPr>
        <w:t> </w:t>
      </w:r>
      <w:r>
        <w:rPr/>
        <w:t>us</w:t>
      </w:r>
      <w:r>
        <w:rPr>
          <w:spacing w:val="-1"/>
        </w:rPr>
        <w:t> </w:t>
      </w:r>
      <w:r>
        <w:rPr/>
        <w:t>to</w:t>
      </w:r>
      <w:r>
        <w:rPr>
          <w:spacing w:val="-1"/>
        </w:rPr>
        <w:t> </w:t>
      </w:r>
      <w:r>
        <w:rPr/>
        <w:t>concentrations</w:t>
      </w:r>
      <w:r>
        <w:rPr>
          <w:spacing w:val="-1"/>
        </w:rPr>
        <w:t> </w:t>
      </w:r>
      <w:r>
        <w:rPr/>
        <w:t>of</w:t>
      </w:r>
      <w:r>
        <w:rPr>
          <w:spacing w:val="-1"/>
        </w:rPr>
        <w:t> </w:t>
      </w:r>
      <w:r>
        <w:rPr/>
        <w:t>credit</w:t>
      </w:r>
      <w:r>
        <w:rPr>
          <w:spacing w:val="-2"/>
        </w:rPr>
        <w:t> </w:t>
      </w:r>
      <w:r>
        <w:rPr/>
        <w:t>risk</w:t>
      </w:r>
      <w:r>
        <w:rPr>
          <w:spacing w:val="-1"/>
        </w:rPr>
        <w:t> </w:t>
      </w:r>
      <w:r>
        <w:rPr/>
        <w:t>are</w:t>
      </w:r>
      <w:r>
        <w:rPr>
          <w:spacing w:val="-1"/>
        </w:rPr>
        <w:t> </w:t>
      </w:r>
      <w:r>
        <w:rPr/>
        <w:t>short-term</w:t>
      </w:r>
      <w:r>
        <w:rPr>
          <w:spacing w:val="-1"/>
        </w:rPr>
        <w:t> </w:t>
      </w:r>
      <w:r>
        <w:rPr/>
        <w:t>fixed-income</w:t>
      </w:r>
      <w:r>
        <w:rPr>
          <w:spacing w:val="-2"/>
        </w:rPr>
        <w:t> </w:t>
      </w:r>
      <w:r>
        <w:rPr/>
        <w:t>investments, structured repurchase transactions, foreign currency and interest rate hedge contracts and trade receivables.</w:t>
      </w:r>
    </w:p>
    <w:p>
      <w:pPr>
        <w:spacing w:after="0" w:line="249" w:lineRule="auto"/>
        <w:jc w:val="both"/>
        <w:sectPr>
          <w:pgSz w:w="12240" w:h="15840"/>
          <w:pgMar w:header="210" w:footer="610" w:top="1380" w:bottom="840" w:left="780" w:right="740"/>
        </w:sectPr>
      </w:pPr>
    </w:p>
    <w:p>
      <w:pPr>
        <w:pStyle w:val="BodyText"/>
      </w:pPr>
    </w:p>
    <w:p>
      <w:pPr>
        <w:pStyle w:val="BodyText"/>
      </w:pPr>
    </w:p>
    <w:p>
      <w:pPr>
        <w:pStyle w:val="BodyText"/>
        <w:spacing w:before="30"/>
      </w:pPr>
    </w:p>
    <w:p>
      <w:pPr>
        <w:pStyle w:val="BodyText"/>
        <w:spacing w:line="249" w:lineRule="auto"/>
        <w:ind w:left="220" w:right="257" w:firstLine="540"/>
        <w:jc w:val="both"/>
      </w:pPr>
      <w:r>
        <w:rPr/>
        <w:t>Our investment portfolio consists of investment-grade securities diversified among security types, industries and issuers. Our</w:t>
      </w:r>
      <w:r>
        <w:rPr>
          <w:spacing w:val="-6"/>
        </w:rPr>
        <w:t> </w:t>
      </w:r>
      <w:r>
        <w:rPr/>
        <w:t>cash</w:t>
      </w:r>
      <w:r>
        <w:rPr>
          <w:spacing w:val="-5"/>
        </w:rPr>
        <w:t> </w:t>
      </w:r>
      <w:r>
        <w:rPr/>
        <w:t>and</w:t>
      </w:r>
      <w:r>
        <w:rPr>
          <w:spacing w:val="-5"/>
        </w:rPr>
        <w:t> </w:t>
      </w:r>
      <w:r>
        <w:rPr/>
        <w:t>investments</w:t>
      </w:r>
      <w:r>
        <w:rPr>
          <w:spacing w:val="-5"/>
        </w:rPr>
        <w:t> </w:t>
      </w:r>
      <w:r>
        <w:rPr/>
        <w:t>are</w:t>
      </w:r>
      <w:r>
        <w:rPr>
          <w:spacing w:val="-5"/>
        </w:rPr>
        <w:t> </w:t>
      </w:r>
      <w:r>
        <w:rPr/>
        <w:t>held</w:t>
      </w:r>
      <w:r>
        <w:rPr>
          <w:spacing w:val="-5"/>
        </w:rPr>
        <w:t> </w:t>
      </w:r>
      <w:r>
        <w:rPr/>
        <w:t>and</w:t>
      </w:r>
      <w:r>
        <w:rPr>
          <w:spacing w:val="-5"/>
        </w:rPr>
        <w:t> </w:t>
      </w:r>
      <w:r>
        <w:rPr/>
        <w:t>primarily</w:t>
      </w:r>
      <w:r>
        <w:rPr>
          <w:spacing w:val="-5"/>
        </w:rPr>
        <w:t> </w:t>
      </w:r>
      <w:r>
        <w:rPr/>
        <w:t>managed</w:t>
      </w:r>
      <w:r>
        <w:rPr>
          <w:spacing w:val="-6"/>
        </w:rPr>
        <w:t> </w:t>
      </w:r>
      <w:r>
        <w:rPr/>
        <w:t>by</w:t>
      </w:r>
      <w:r>
        <w:rPr>
          <w:spacing w:val="-5"/>
        </w:rPr>
        <w:t> </w:t>
      </w:r>
      <w:r>
        <w:rPr/>
        <w:t>recognized</w:t>
      </w:r>
      <w:r>
        <w:rPr>
          <w:spacing w:val="-5"/>
        </w:rPr>
        <w:t> </w:t>
      </w:r>
      <w:r>
        <w:rPr/>
        <w:t>financial</w:t>
      </w:r>
      <w:r>
        <w:rPr>
          <w:spacing w:val="-6"/>
        </w:rPr>
        <w:t> </w:t>
      </w:r>
      <w:r>
        <w:rPr/>
        <w:t>institutions</w:t>
      </w:r>
      <w:r>
        <w:rPr>
          <w:spacing w:val="-5"/>
        </w:rPr>
        <w:t> </w:t>
      </w:r>
      <w:r>
        <w:rPr/>
        <w:t>that</w:t>
      </w:r>
      <w:r>
        <w:rPr>
          <w:spacing w:val="-6"/>
        </w:rPr>
        <w:t> </w:t>
      </w:r>
      <w:r>
        <w:rPr/>
        <w:t>follow</w:t>
      </w:r>
      <w:r>
        <w:rPr>
          <w:spacing w:val="-5"/>
        </w:rPr>
        <w:t> </w:t>
      </w:r>
      <w:r>
        <w:rPr/>
        <w:t>our</w:t>
      </w:r>
      <w:r>
        <w:rPr>
          <w:spacing w:val="-5"/>
        </w:rPr>
        <w:t> </w:t>
      </w:r>
      <w:r>
        <w:rPr/>
        <w:t>investment</w:t>
      </w:r>
      <w:r>
        <w:rPr>
          <w:spacing w:val="-6"/>
        </w:rPr>
        <w:t> </w:t>
      </w:r>
      <w:r>
        <w:rPr/>
        <w:t>policy. Our</w:t>
      </w:r>
      <w:r>
        <w:rPr>
          <w:spacing w:val="-6"/>
        </w:rPr>
        <w:t> </w:t>
      </w:r>
      <w:r>
        <w:rPr/>
        <w:t>policy</w:t>
      </w:r>
      <w:r>
        <w:rPr>
          <w:spacing w:val="-5"/>
        </w:rPr>
        <w:t> </w:t>
      </w:r>
      <w:r>
        <w:rPr/>
        <w:t>limits</w:t>
      </w:r>
      <w:r>
        <w:rPr>
          <w:spacing w:val="-5"/>
        </w:rPr>
        <w:t> </w:t>
      </w:r>
      <w:r>
        <w:rPr/>
        <w:t>the</w:t>
      </w:r>
      <w:r>
        <w:rPr>
          <w:spacing w:val="-5"/>
        </w:rPr>
        <w:t> </w:t>
      </w:r>
      <w:r>
        <w:rPr/>
        <w:t>amount</w:t>
      </w:r>
      <w:r>
        <w:rPr>
          <w:spacing w:val="-6"/>
        </w:rPr>
        <w:t> </w:t>
      </w:r>
      <w:r>
        <w:rPr/>
        <w:t>of</w:t>
      </w:r>
      <w:r>
        <w:rPr>
          <w:spacing w:val="-5"/>
        </w:rPr>
        <w:t> </w:t>
      </w:r>
      <w:r>
        <w:rPr/>
        <w:t>credit</w:t>
      </w:r>
      <w:r>
        <w:rPr>
          <w:spacing w:val="-6"/>
        </w:rPr>
        <w:t> </w:t>
      </w:r>
      <w:r>
        <w:rPr/>
        <w:t>exposure</w:t>
      </w:r>
      <w:r>
        <w:rPr>
          <w:spacing w:val="-6"/>
        </w:rPr>
        <w:t> </w:t>
      </w:r>
      <w:r>
        <w:rPr/>
        <w:t>to</w:t>
      </w:r>
      <w:r>
        <w:rPr>
          <w:spacing w:val="-5"/>
        </w:rPr>
        <w:t> </w:t>
      </w:r>
      <w:r>
        <w:rPr/>
        <w:t>any</w:t>
      </w:r>
      <w:r>
        <w:rPr>
          <w:spacing w:val="-5"/>
        </w:rPr>
        <w:t> </w:t>
      </w:r>
      <w:r>
        <w:rPr/>
        <w:t>one</w:t>
      </w:r>
      <w:r>
        <w:rPr>
          <w:spacing w:val="-6"/>
        </w:rPr>
        <w:t> </w:t>
      </w:r>
      <w:r>
        <w:rPr/>
        <w:t>security</w:t>
      </w:r>
      <w:r>
        <w:rPr>
          <w:spacing w:val="-5"/>
        </w:rPr>
        <w:t> </w:t>
      </w:r>
      <w:r>
        <w:rPr/>
        <w:t>issue</w:t>
      </w:r>
      <w:r>
        <w:rPr>
          <w:spacing w:val="-6"/>
        </w:rPr>
        <w:t> </w:t>
      </w:r>
      <w:r>
        <w:rPr/>
        <w:t>or</w:t>
      </w:r>
      <w:r>
        <w:rPr>
          <w:spacing w:val="-5"/>
        </w:rPr>
        <w:t> </w:t>
      </w:r>
      <w:r>
        <w:rPr/>
        <w:t>issuer</w:t>
      </w:r>
      <w:r>
        <w:rPr>
          <w:spacing w:val="-5"/>
        </w:rPr>
        <w:t> </w:t>
      </w:r>
      <w:r>
        <w:rPr/>
        <w:t>and</w:t>
      </w:r>
      <w:r>
        <w:rPr>
          <w:spacing w:val="-5"/>
        </w:rPr>
        <w:t> </w:t>
      </w:r>
      <w:r>
        <w:rPr/>
        <w:t>we</w:t>
      </w:r>
      <w:r>
        <w:rPr>
          <w:spacing w:val="-6"/>
        </w:rPr>
        <w:t> </w:t>
      </w:r>
      <w:r>
        <w:rPr/>
        <w:t>believe</w:t>
      </w:r>
      <w:r>
        <w:rPr>
          <w:spacing w:val="-6"/>
        </w:rPr>
        <w:t> </w:t>
      </w:r>
      <w:r>
        <w:rPr/>
        <w:t>no</w:t>
      </w:r>
      <w:r>
        <w:rPr>
          <w:spacing w:val="-5"/>
        </w:rPr>
        <w:t> </w:t>
      </w:r>
      <w:r>
        <w:rPr/>
        <w:t>significant</w:t>
      </w:r>
      <w:r>
        <w:rPr>
          <w:spacing w:val="-6"/>
        </w:rPr>
        <w:t> </w:t>
      </w:r>
      <w:r>
        <w:rPr/>
        <w:t>concentration</w:t>
      </w:r>
      <w:r>
        <w:rPr>
          <w:spacing w:val="-5"/>
        </w:rPr>
        <w:t> </w:t>
      </w:r>
      <w:r>
        <w:rPr/>
        <w:t>of credit risk exists with respect to these investments.</w:t>
      </w:r>
    </w:p>
    <w:p>
      <w:pPr>
        <w:pStyle w:val="BodyText"/>
        <w:spacing w:line="249" w:lineRule="auto" w:before="183"/>
        <w:ind w:left="220" w:right="257" w:firstLine="540"/>
        <w:jc w:val="both"/>
      </w:pPr>
      <w:r>
        <w:rPr/>
        <w:t>We</w:t>
      </w:r>
      <w:r>
        <w:rPr>
          <w:spacing w:val="-8"/>
        </w:rPr>
        <w:t> </w:t>
      </w:r>
      <w:r>
        <w:rPr/>
        <w:t>enter</w:t>
      </w:r>
      <w:r>
        <w:rPr>
          <w:spacing w:val="-8"/>
        </w:rPr>
        <w:t> </w:t>
      </w:r>
      <w:r>
        <w:rPr/>
        <w:t>into</w:t>
      </w:r>
      <w:r>
        <w:rPr>
          <w:spacing w:val="-8"/>
        </w:rPr>
        <w:t> </w:t>
      </w:r>
      <w:r>
        <w:rPr/>
        <w:t>foreign</w:t>
      </w:r>
      <w:r>
        <w:rPr>
          <w:spacing w:val="-8"/>
        </w:rPr>
        <w:t> </w:t>
      </w:r>
      <w:r>
        <w:rPr/>
        <w:t>currency</w:t>
      </w:r>
      <w:r>
        <w:rPr>
          <w:spacing w:val="-8"/>
        </w:rPr>
        <w:t> </w:t>
      </w:r>
      <w:r>
        <w:rPr/>
        <w:t>hedge</w:t>
      </w:r>
      <w:r>
        <w:rPr>
          <w:spacing w:val="-8"/>
        </w:rPr>
        <w:t> </w:t>
      </w:r>
      <w:r>
        <w:rPr/>
        <w:t>contracts</w:t>
      </w:r>
      <w:r>
        <w:rPr>
          <w:spacing w:val="-8"/>
        </w:rPr>
        <w:t> </w:t>
      </w:r>
      <w:r>
        <w:rPr/>
        <w:t>with</w:t>
      </w:r>
      <w:r>
        <w:rPr>
          <w:spacing w:val="-8"/>
        </w:rPr>
        <w:t> </w:t>
      </w:r>
      <w:r>
        <w:rPr/>
        <w:t>bank</w:t>
      </w:r>
      <w:r>
        <w:rPr>
          <w:spacing w:val="-8"/>
        </w:rPr>
        <w:t> </w:t>
      </w:r>
      <w:r>
        <w:rPr/>
        <w:t>counterparties</w:t>
      </w:r>
      <w:r>
        <w:rPr>
          <w:spacing w:val="-8"/>
        </w:rPr>
        <w:t> </w:t>
      </w:r>
      <w:r>
        <w:rPr/>
        <w:t>that</w:t>
      </w:r>
      <w:r>
        <w:rPr>
          <w:spacing w:val="-8"/>
        </w:rPr>
        <w:t> </w:t>
      </w:r>
      <w:r>
        <w:rPr/>
        <w:t>could</w:t>
      </w:r>
      <w:r>
        <w:rPr>
          <w:spacing w:val="-8"/>
        </w:rPr>
        <w:t> </w:t>
      </w:r>
      <w:r>
        <w:rPr/>
        <w:t>expose</w:t>
      </w:r>
      <w:r>
        <w:rPr>
          <w:spacing w:val="-8"/>
        </w:rPr>
        <w:t> </w:t>
      </w:r>
      <w:r>
        <w:rPr/>
        <w:t>us</w:t>
      </w:r>
      <w:r>
        <w:rPr>
          <w:spacing w:val="-8"/>
        </w:rPr>
        <w:t> </w:t>
      </w:r>
      <w:r>
        <w:rPr/>
        <w:t>to</w:t>
      </w:r>
      <w:r>
        <w:rPr>
          <w:spacing w:val="-8"/>
        </w:rPr>
        <w:t> </w:t>
      </w:r>
      <w:r>
        <w:rPr/>
        <w:t>credit</w:t>
      </w:r>
      <w:r>
        <w:rPr>
          <w:spacing w:val="-8"/>
        </w:rPr>
        <w:t> </w:t>
      </w:r>
      <w:r>
        <w:rPr/>
        <w:t>related</w:t>
      </w:r>
      <w:r>
        <w:rPr>
          <w:spacing w:val="-8"/>
        </w:rPr>
        <w:t> </w:t>
      </w:r>
      <w:r>
        <w:rPr/>
        <w:t>losses</w:t>
      </w:r>
      <w:r>
        <w:rPr>
          <w:spacing w:val="-8"/>
        </w:rPr>
        <w:t> </w:t>
      </w:r>
      <w:r>
        <w:rPr/>
        <w:t>in</w:t>
      </w:r>
      <w:r>
        <w:rPr>
          <w:spacing w:val="-8"/>
        </w:rPr>
        <w:t> </w:t>
      </w:r>
      <w:r>
        <w:rPr/>
        <w:t>the </w:t>
      </w:r>
      <w:r>
        <w:rPr>
          <w:spacing w:val="-2"/>
        </w:rPr>
        <w:t>event</w:t>
      </w:r>
      <w:r>
        <w:rPr>
          <w:spacing w:val="-8"/>
        </w:rPr>
        <w:t> </w:t>
      </w:r>
      <w:r>
        <w:rPr>
          <w:spacing w:val="-2"/>
        </w:rPr>
        <w:t>of</w:t>
      </w:r>
      <w:r>
        <w:rPr>
          <w:spacing w:val="-8"/>
        </w:rPr>
        <w:t> </w:t>
      </w:r>
      <w:r>
        <w:rPr>
          <w:spacing w:val="-2"/>
        </w:rPr>
        <w:t>their</w:t>
      </w:r>
      <w:r>
        <w:rPr>
          <w:spacing w:val="-8"/>
        </w:rPr>
        <w:t> </w:t>
      </w:r>
      <w:r>
        <w:rPr>
          <w:spacing w:val="-2"/>
        </w:rPr>
        <w:t>nonperformance.</w:t>
      </w:r>
      <w:r>
        <w:rPr>
          <w:spacing w:val="-11"/>
        </w:rPr>
        <w:t> </w:t>
      </w:r>
      <w:r>
        <w:rPr>
          <w:spacing w:val="-2"/>
        </w:rPr>
        <w:t>This</w:t>
      </w:r>
      <w:r>
        <w:rPr>
          <w:spacing w:val="-8"/>
        </w:rPr>
        <w:t> </w:t>
      </w:r>
      <w:r>
        <w:rPr>
          <w:spacing w:val="-2"/>
        </w:rPr>
        <w:t>is</w:t>
      </w:r>
      <w:r>
        <w:rPr>
          <w:spacing w:val="-8"/>
        </w:rPr>
        <w:t> </w:t>
      </w:r>
      <w:r>
        <w:rPr>
          <w:spacing w:val="-2"/>
        </w:rPr>
        <w:t>largely</w:t>
      </w:r>
      <w:r>
        <w:rPr>
          <w:spacing w:val="-8"/>
        </w:rPr>
        <w:t> </w:t>
      </w:r>
      <w:r>
        <w:rPr>
          <w:spacing w:val="-2"/>
        </w:rPr>
        <w:t>mitigated</w:t>
      </w:r>
      <w:r>
        <w:rPr>
          <w:spacing w:val="-8"/>
        </w:rPr>
        <w:t> </w:t>
      </w:r>
      <w:r>
        <w:rPr>
          <w:spacing w:val="-2"/>
        </w:rPr>
        <w:t>with</w:t>
      </w:r>
      <w:r>
        <w:rPr>
          <w:spacing w:val="-8"/>
        </w:rPr>
        <w:t> </w:t>
      </w:r>
      <w:r>
        <w:rPr>
          <w:spacing w:val="-2"/>
        </w:rPr>
        <w:t>collateral</w:t>
      </w:r>
      <w:r>
        <w:rPr>
          <w:spacing w:val="-8"/>
        </w:rPr>
        <w:t> </w:t>
      </w:r>
      <w:r>
        <w:rPr>
          <w:spacing w:val="-2"/>
        </w:rPr>
        <w:t>security</w:t>
      </w:r>
      <w:r>
        <w:rPr>
          <w:spacing w:val="-8"/>
        </w:rPr>
        <w:t> </w:t>
      </w:r>
      <w:r>
        <w:rPr>
          <w:spacing w:val="-2"/>
        </w:rPr>
        <w:t>agreements</w:t>
      </w:r>
      <w:r>
        <w:rPr>
          <w:spacing w:val="-8"/>
        </w:rPr>
        <w:t> </w:t>
      </w:r>
      <w:r>
        <w:rPr>
          <w:spacing w:val="-2"/>
        </w:rPr>
        <w:t>that</w:t>
      </w:r>
      <w:r>
        <w:rPr>
          <w:spacing w:val="-8"/>
        </w:rPr>
        <w:t> </w:t>
      </w:r>
      <w:r>
        <w:rPr>
          <w:spacing w:val="-2"/>
        </w:rPr>
        <w:t>provide</w:t>
      </w:r>
      <w:r>
        <w:rPr>
          <w:spacing w:val="-8"/>
        </w:rPr>
        <w:t> </w:t>
      </w:r>
      <w:r>
        <w:rPr>
          <w:spacing w:val="-2"/>
        </w:rPr>
        <w:t>for</w:t>
      </w:r>
      <w:r>
        <w:rPr>
          <w:spacing w:val="-8"/>
        </w:rPr>
        <w:t> </w:t>
      </w:r>
      <w:r>
        <w:rPr>
          <w:spacing w:val="-2"/>
        </w:rPr>
        <w:t>collateral</w:t>
      </w:r>
      <w:r>
        <w:rPr>
          <w:spacing w:val="-8"/>
        </w:rPr>
        <w:t> </w:t>
      </w:r>
      <w:r>
        <w:rPr>
          <w:spacing w:val="-2"/>
        </w:rPr>
        <w:t>to</w:t>
      </w:r>
      <w:r>
        <w:rPr>
          <w:spacing w:val="-8"/>
        </w:rPr>
        <w:t> </w:t>
      </w:r>
      <w:r>
        <w:rPr>
          <w:spacing w:val="-2"/>
        </w:rPr>
        <w:t>be</w:t>
      </w:r>
      <w:r>
        <w:rPr>
          <w:spacing w:val="-8"/>
        </w:rPr>
        <w:t> </w:t>
      </w:r>
      <w:r>
        <w:rPr>
          <w:spacing w:val="-2"/>
        </w:rPr>
        <w:t>received </w:t>
      </w:r>
      <w:r>
        <w:rPr/>
        <w:t>or</w:t>
      </w:r>
      <w:r>
        <w:rPr>
          <w:spacing w:val="-9"/>
        </w:rPr>
        <w:t> </w:t>
      </w:r>
      <w:r>
        <w:rPr/>
        <w:t>posted</w:t>
      </w:r>
      <w:r>
        <w:rPr>
          <w:spacing w:val="-9"/>
        </w:rPr>
        <w:t> </w:t>
      </w:r>
      <w:r>
        <w:rPr/>
        <w:t>when</w:t>
      </w:r>
      <w:r>
        <w:rPr>
          <w:spacing w:val="-9"/>
        </w:rPr>
        <w:t> </w:t>
      </w:r>
      <w:r>
        <w:rPr/>
        <w:t>the</w:t>
      </w:r>
      <w:r>
        <w:rPr>
          <w:spacing w:val="-9"/>
        </w:rPr>
        <w:t> </w:t>
      </w:r>
      <w:r>
        <w:rPr/>
        <w:t>net</w:t>
      </w:r>
      <w:r>
        <w:rPr>
          <w:spacing w:val="-9"/>
        </w:rPr>
        <w:t> </w:t>
      </w:r>
      <w:r>
        <w:rPr/>
        <w:t>fair</w:t>
      </w:r>
      <w:r>
        <w:rPr>
          <w:spacing w:val="-9"/>
        </w:rPr>
        <w:t> </w:t>
      </w:r>
      <w:r>
        <w:rPr/>
        <w:t>value</w:t>
      </w:r>
      <w:r>
        <w:rPr>
          <w:spacing w:val="-10"/>
        </w:rPr>
        <w:t> </w:t>
      </w:r>
      <w:r>
        <w:rPr/>
        <w:t>of</w:t>
      </w:r>
      <w:r>
        <w:rPr>
          <w:spacing w:val="-9"/>
        </w:rPr>
        <w:t> </w:t>
      </w:r>
      <w:r>
        <w:rPr/>
        <w:t>certain</w:t>
      </w:r>
      <w:r>
        <w:rPr>
          <w:spacing w:val="-9"/>
        </w:rPr>
        <w:t> </w:t>
      </w:r>
      <w:r>
        <w:rPr/>
        <w:t>financial</w:t>
      </w:r>
      <w:r>
        <w:rPr>
          <w:spacing w:val="-10"/>
        </w:rPr>
        <w:t> </w:t>
      </w:r>
      <w:r>
        <w:rPr/>
        <w:t>instruments</w:t>
      </w:r>
      <w:r>
        <w:rPr>
          <w:spacing w:val="-9"/>
        </w:rPr>
        <w:t> </w:t>
      </w:r>
      <w:r>
        <w:rPr/>
        <w:t>fluctuates</w:t>
      </w:r>
      <w:r>
        <w:rPr>
          <w:spacing w:val="-9"/>
        </w:rPr>
        <w:t> </w:t>
      </w:r>
      <w:r>
        <w:rPr/>
        <w:t>from</w:t>
      </w:r>
      <w:r>
        <w:rPr>
          <w:spacing w:val="-9"/>
        </w:rPr>
        <w:t> </w:t>
      </w:r>
      <w:r>
        <w:rPr/>
        <w:t>contractually</w:t>
      </w:r>
      <w:r>
        <w:rPr>
          <w:spacing w:val="-9"/>
        </w:rPr>
        <w:t> </w:t>
      </w:r>
      <w:r>
        <w:rPr/>
        <w:t>established</w:t>
      </w:r>
      <w:r>
        <w:rPr>
          <w:spacing w:val="-10"/>
        </w:rPr>
        <w:t> </w:t>
      </w:r>
      <w:r>
        <w:rPr/>
        <w:t>thresholds.</w:t>
      </w:r>
      <w:r>
        <w:rPr>
          <w:spacing w:val="-9"/>
        </w:rPr>
        <w:t> </w:t>
      </w:r>
      <w:r>
        <w:rPr/>
        <w:t>In</w:t>
      </w:r>
      <w:r>
        <w:rPr>
          <w:spacing w:val="-9"/>
        </w:rPr>
        <w:t> </w:t>
      </w:r>
      <w:r>
        <w:rPr/>
        <w:t>addition, we</w:t>
      </w:r>
      <w:r>
        <w:rPr>
          <w:spacing w:val="-4"/>
        </w:rPr>
        <w:t> </w:t>
      </w:r>
      <w:r>
        <w:rPr/>
        <w:t>enter</w:t>
      </w:r>
      <w:r>
        <w:rPr>
          <w:spacing w:val="-3"/>
        </w:rPr>
        <w:t> </w:t>
      </w:r>
      <w:r>
        <w:rPr/>
        <w:t>into</w:t>
      </w:r>
      <w:r>
        <w:rPr>
          <w:spacing w:val="-3"/>
        </w:rPr>
        <w:t> </w:t>
      </w:r>
      <w:r>
        <w:rPr/>
        <w:t>master</w:t>
      </w:r>
      <w:r>
        <w:rPr>
          <w:spacing w:val="-3"/>
        </w:rPr>
        <w:t> </w:t>
      </w:r>
      <w:r>
        <w:rPr/>
        <w:t>netting</w:t>
      </w:r>
      <w:r>
        <w:rPr>
          <w:spacing w:val="-3"/>
        </w:rPr>
        <w:t> </w:t>
      </w:r>
      <w:r>
        <w:rPr/>
        <w:t>arrangements</w:t>
      </w:r>
      <w:r>
        <w:rPr>
          <w:spacing w:val="-3"/>
        </w:rPr>
        <w:t> </w:t>
      </w:r>
      <w:r>
        <w:rPr/>
        <w:t>which</w:t>
      </w:r>
      <w:r>
        <w:rPr>
          <w:spacing w:val="-3"/>
        </w:rPr>
        <w:t> </w:t>
      </w:r>
      <w:r>
        <w:rPr/>
        <w:t>have</w:t>
      </w:r>
      <w:r>
        <w:rPr>
          <w:spacing w:val="-4"/>
        </w:rPr>
        <w:t> </w:t>
      </w:r>
      <w:r>
        <w:rPr/>
        <w:t>the</w:t>
      </w:r>
      <w:r>
        <w:rPr>
          <w:spacing w:val="-3"/>
        </w:rPr>
        <w:t> </w:t>
      </w:r>
      <w:r>
        <w:rPr/>
        <w:t>ability</w:t>
      </w:r>
      <w:r>
        <w:rPr>
          <w:spacing w:val="-4"/>
        </w:rPr>
        <w:t> </w:t>
      </w:r>
      <w:r>
        <w:rPr/>
        <w:t>to</w:t>
      </w:r>
      <w:r>
        <w:rPr>
          <w:spacing w:val="-3"/>
        </w:rPr>
        <w:t> </w:t>
      </w:r>
      <w:r>
        <w:rPr/>
        <w:t>further</w:t>
      </w:r>
      <w:r>
        <w:rPr>
          <w:spacing w:val="-3"/>
        </w:rPr>
        <w:t> </w:t>
      </w:r>
      <w:r>
        <w:rPr/>
        <w:t>limit</w:t>
      </w:r>
      <w:r>
        <w:rPr>
          <w:spacing w:val="-4"/>
        </w:rPr>
        <w:t> </w:t>
      </w:r>
      <w:r>
        <w:rPr/>
        <w:t>credit</w:t>
      </w:r>
      <w:r>
        <w:rPr>
          <w:spacing w:val="-4"/>
        </w:rPr>
        <w:t> </w:t>
      </w:r>
      <w:r>
        <w:rPr/>
        <w:t>related</w:t>
      </w:r>
      <w:r>
        <w:rPr>
          <w:spacing w:val="-4"/>
        </w:rPr>
        <w:t> </w:t>
      </w:r>
      <w:r>
        <w:rPr/>
        <w:t>losses</w:t>
      </w:r>
      <w:r>
        <w:rPr>
          <w:spacing w:val="-3"/>
        </w:rPr>
        <w:t> </w:t>
      </w:r>
      <w:r>
        <w:rPr/>
        <w:t>with</w:t>
      </w:r>
      <w:r>
        <w:rPr>
          <w:spacing w:val="-3"/>
        </w:rPr>
        <w:t> </w:t>
      </w:r>
      <w:r>
        <w:rPr/>
        <w:t>the</w:t>
      </w:r>
      <w:r>
        <w:rPr>
          <w:spacing w:val="-3"/>
        </w:rPr>
        <w:t> </w:t>
      </w:r>
      <w:r>
        <w:rPr/>
        <w:t>same</w:t>
      </w:r>
      <w:r>
        <w:rPr>
          <w:spacing w:val="-4"/>
        </w:rPr>
        <w:t> </w:t>
      </w:r>
      <w:r>
        <w:rPr/>
        <w:t>counterparty by permitting net settlement transactions.</w:t>
      </w:r>
    </w:p>
    <w:p>
      <w:pPr>
        <w:pStyle w:val="BodyText"/>
        <w:spacing w:before="14"/>
      </w:pPr>
    </w:p>
    <w:p>
      <w:pPr>
        <w:pStyle w:val="BodyText"/>
        <w:spacing w:line="249" w:lineRule="auto"/>
        <w:ind w:left="220" w:right="257" w:firstLine="540"/>
        <w:jc w:val="both"/>
      </w:pPr>
      <w:r>
        <w:rPr/>
        <w:t>The</w:t>
      </w:r>
      <w:r>
        <w:rPr>
          <w:spacing w:val="-10"/>
        </w:rPr>
        <w:t> </w:t>
      </w:r>
      <w:r>
        <w:rPr/>
        <w:t>aggregate</w:t>
      </w:r>
      <w:r>
        <w:rPr>
          <w:spacing w:val="-11"/>
        </w:rPr>
        <w:t> </w:t>
      </w:r>
      <w:r>
        <w:rPr/>
        <w:t>fair</w:t>
      </w:r>
      <w:r>
        <w:rPr>
          <w:spacing w:val="-10"/>
        </w:rPr>
        <w:t> </w:t>
      </w:r>
      <w:r>
        <w:rPr/>
        <w:t>value</w:t>
      </w:r>
      <w:r>
        <w:rPr>
          <w:spacing w:val="-10"/>
        </w:rPr>
        <w:t> </w:t>
      </w:r>
      <w:r>
        <w:rPr/>
        <w:t>of</w:t>
      </w:r>
      <w:r>
        <w:rPr>
          <w:spacing w:val="-10"/>
        </w:rPr>
        <w:t> </w:t>
      </w:r>
      <w:r>
        <w:rPr/>
        <w:t>foreign</w:t>
      </w:r>
      <w:r>
        <w:rPr>
          <w:spacing w:val="-10"/>
        </w:rPr>
        <w:t> </w:t>
      </w:r>
      <w:r>
        <w:rPr/>
        <w:t>currency</w:t>
      </w:r>
      <w:r>
        <w:rPr>
          <w:spacing w:val="-10"/>
        </w:rPr>
        <w:t> </w:t>
      </w:r>
      <w:r>
        <w:rPr/>
        <w:t>contracts</w:t>
      </w:r>
      <w:r>
        <w:rPr>
          <w:spacing w:val="-10"/>
        </w:rPr>
        <w:t> </w:t>
      </w:r>
      <w:r>
        <w:rPr/>
        <w:t>in</w:t>
      </w:r>
      <w:r>
        <w:rPr>
          <w:spacing w:val="-10"/>
        </w:rPr>
        <w:t> </w:t>
      </w:r>
      <w:r>
        <w:rPr/>
        <w:t>net</w:t>
      </w:r>
      <w:r>
        <w:rPr>
          <w:spacing w:val="-10"/>
        </w:rPr>
        <w:t> </w:t>
      </w:r>
      <w:r>
        <w:rPr/>
        <w:t>asset</w:t>
      </w:r>
      <w:r>
        <w:rPr>
          <w:spacing w:val="-11"/>
        </w:rPr>
        <w:t> </w:t>
      </w:r>
      <w:r>
        <w:rPr/>
        <w:t>positions</w:t>
      </w:r>
      <w:r>
        <w:rPr>
          <w:spacing w:val="-10"/>
        </w:rPr>
        <w:t> </w:t>
      </w:r>
      <w:r>
        <w:rPr/>
        <w:t>as</w:t>
      </w:r>
      <w:r>
        <w:rPr>
          <w:spacing w:val="-10"/>
        </w:rPr>
        <w:t> </w:t>
      </w:r>
      <w:r>
        <w:rPr/>
        <w:t>of</w:t>
      </w:r>
      <w:r>
        <w:rPr>
          <w:spacing w:val="-10"/>
        </w:rPr>
        <w:t> </w:t>
      </w:r>
      <w:r>
        <w:rPr/>
        <w:t>December</w:t>
      </w:r>
      <w:r>
        <w:rPr>
          <w:spacing w:val="-2"/>
        </w:rPr>
        <w:t> </w:t>
      </w:r>
      <w:r>
        <w:rPr/>
        <w:t>1,</w:t>
      </w:r>
      <w:r>
        <w:rPr>
          <w:spacing w:val="-10"/>
        </w:rPr>
        <w:t> </w:t>
      </w:r>
      <w:r>
        <w:rPr/>
        <w:t>2017</w:t>
      </w:r>
      <w:r>
        <w:rPr>
          <w:spacing w:val="-10"/>
        </w:rPr>
        <w:t> </w:t>
      </w:r>
      <w:r>
        <w:rPr/>
        <w:t>and</w:t>
      </w:r>
      <w:r>
        <w:rPr>
          <w:spacing w:val="-10"/>
        </w:rPr>
        <w:t> </w:t>
      </w:r>
      <w:r>
        <w:rPr/>
        <w:t>December</w:t>
      </w:r>
      <w:r>
        <w:rPr>
          <w:spacing w:val="-2"/>
        </w:rPr>
        <w:t> </w:t>
      </w:r>
      <w:r>
        <w:rPr/>
        <w:t>2,</w:t>
      </w:r>
      <w:r>
        <w:rPr>
          <w:spacing w:val="-10"/>
        </w:rPr>
        <w:t> </w:t>
      </w:r>
      <w:r>
        <w:rPr/>
        <w:t>2016 was $14.2 million and $38.1 million respectively.</w:t>
      </w:r>
      <w:r>
        <w:rPr>
          <w:spacing w:val="-2"/>
        </w:rPr>
        <w:t> </w:t>
      </w:r>
      <w:r>
        <w:rPr/>
        <w:t>These amounts represent the maximum exposure to loss at the reporting date as a result of all of the counterparties failing to perform as contracted.</w:t>
      </w:r>
      <w:r>
        <w:rPr>
          <w:spacing w:val="-1"/>
        </w:rPr>
        <w:t> </w:t>
      </w:r>
      <w:r>
        <w:rPr/>
        <w:t>These exposures could be reduced by certain immaterial liabilities included in master netting arrangements with those same counterparties.</w:t>
      </w:r>
    </w:p>
    <w:p>
      <w:pPr>
        <w:pStyle w:val="BodyText"/>
        <w:spacing w:line="249" w:lineRule="auto" w:before="183"/>
        <w:ind w:left="220" w:right="257" w:firstLine="540"/>
        <w:jc w:val="both"/>
      </w:pPr>
      <w:r>
        <w:rPr>
          <w:spacing w:val="-2"/>
        </w:rPr>
        <w:t>Credit</w:t>
      </w:r>
      <w:r>
        <w:rPr>
          <w:spacing w:val="-7"/>
        </w:rPr>
        <w:t> </w:t>
      </w:r>
      <w:r>
        <w:rPr>
          <w:spacing w:val="-2"/>
        </w:rPr>
        <w:t>risk</w:t>
      </w:r>
      <w:r>
        <w:rPr>
          <w:spacing w:val="-7"/>
        </w:rPr>
        <w:t> </w:t>
      </w:r>
      <w:r>
        <w:rPr>
          <w:spacing w:val="-2"/>
        </w:rPr>
        <w:t>in</w:t>
      </w:r>
      <w:r>
        <w:rPr>
          <w:spacing w:val="-7"/>
        </w:rPr>
        <w:t> </w:t>
      </w:r>
      <w:r>
        <w:rPr>
          <w:spacing w:val="-2"/>
        </w:rPr>
        <w:t>receivables</w:t>
      </w:r>
      <w:r>
        <w:rPr>
          <w:spacing w:val="-5"/>
        </w:rPr>
        <w:t> </w:t>
      </w:r>
      <w:r>
        <w:rPr>
          <w:spacing w:val="-2"/>
        </w:rPr>
        <w:t>is</w:t>
      </w:r>
      <w:r>
        <w:rPr>
          <w:spacing w:val="-7"/>
        </w:rPr>
        <w:t> </w:t>
      </w:r>
      <w:r>
        <w:rPr>
          <w:spacing w:val="-2"/>
        </w:rPr>
        <w:t>limited</w:t>
      </w:r>
      <w:r>
        <w:rPr>
          <w:spacing w:val="-7"/>
        </w:rPr>
        <w:t> </w:t>
      </w:r>
      <w:r>
        <w:rPr>
          <w:spacing w:val="-2"/>
        </w:rPr>
        <w:t>to</w:t>
      </w:r>
      <w:r>
        <w:rPr>
          <w:spacing w:val="-7"/>
        </w:rPr>
        <w:t> </w:t>
      </w:r>
      <w:r>
        <w:rPr>
          <w:spacing w:val="-2"/>
        </w:rPr>
        <w:t>OEMs,</w:t>
      </w:r>
      <w:r>
        <w:rPr>
          <w:spacing w:val="-7"/>
        </w:rPr>
        <w:t> </w:t>
      </w:r>
      <w:r>
        <w:rPr>
          <w:spacing w:val="-2"/>
        </w:rPr>
        <w:t>dealers</w:t>
      </w:r>
      <w:r>
        <w:rPr>
          <w:spacing w:val="-7"/>
        </w:rPr>
        <w:t> </w:t>
      </w:r>
      <w:r>
        <w:rPr>
          <w:spacing w:val="-2"/>
        </w:rPr>
        <w:t>and</w:t>
      </w:r>
      <w:r>
        <w:rPr>
          <w:spacing w:val="-7"/>
        </w:rPr>
        <w:t> </w:t>
      </w:r>
      <w:r>
        <w:rPr>
          <w:spacing w:val="-2"/>
        </w:rPr>
        <w:t>distributors</w:t>
      </w:r>
      <w:r>
        <w:rPr>
          <w:spacing w:val="-5"/>
        </w:rPr>
        <w:t> </w:t>
      </w:r>
      <w:r>
        <w:rPr>
          <w:spacing w:val="-2"/>
        </w:rPr>
        <w:t>of</w:t>
      </w:r>
      <w:r>
        <w:rPr>
          <w:spacing w:val="-7"/>
        </w:rPr>
        <w:t> </w:t>
      </w:r>
      <w:r>
        <w:rPr>
          <w:spacing w:val="-2"/>
        </w:rPr>
        <w:t>hardware</w:t>
      </w:r>
      <w:r>
        <w:rPr>
          <w:spacing w:val="-7"/>
        </w:rPr>
        <w:t> </w:t>
      </w:r>
      <w:r>
        <w:rPr>
          <w:spacing w:val="-2"/>
        </w:rPr>
        <w:t>and</w:t>
      </w:r>
      <w:r>
        <w:rPr>
          <w:spacing w:val="-7"/>
        </w:rPr>
        <w:t> </w:t>
      </w:r>
      <w:r>
        <w:rPr>
          <w:spacing w:val="-2"/>
        </w:rPr>
        <w:t>software</w:t>
      </w:r>
      <w:r>
        <w:rPr>
          <w:spacing w:val="-7"/>
        </w:rPr>
        <w:t> </w:t>
      </w:r>
      <w:r>
        <w:rPr>
          <w:spacing w:val="-2"/>
        </w:rPr>
        <w:t>products</w:t>
      </w:r>
      <w:r>
        <w:rPr>
          <w:spacing w:val="-7"/>
        </w:rPr>
        <w:t> </w:t>
      </w:r>
      <w:r>
        <w:rPr>
          <w:spacing w:val="-2"/>
        </w:rPr>
        <w:t>to</w:t>
      </w:r>
      <w:r>
        <w:rPr>
          <w:spacing w:val="-7"/>
        </w:rPr>
        <w:t> </w:t>
      </w:r>
      <w:r>
        <w:rPr>
          <w:spacing w:val="-2"/>
        </w:rPr>
        <w:t>the</w:t>
      </w:r>
      <w:r>
        <w:rPr>
          <w:spacing w:val="-7"/>
        </w:rPr>
        <w:t> </w:t>
      </w:r>
      <w:r>
        <w:rPr>
          <w:spacing w:val="-2"/>
        </w:rPr>
        <w:t>retail</w:t>
      </w:r>
      <w:r>
        <w:rPr>
          <w:spacing w:val="-7"/>
        </w:rPr>
        <w:t> </w:t>
      </w:r>
      <w:r>
        <w:rPr>
          <w:spacing w:val="-2"/>
        </w:rPr>
        <w:t>market, </w:t>
      </w:r>
      <w:r>
        <w:rPr/>
        <w:t>customers to whom we license software directly and our SaaS offerings.</w:t>
      </w:r>
      <w:r>
        <w:rPr>
          <w:spacing w:val="-8"/>
        </w:rPr>
        <w:t> </w:t>
      </w:r>
      <w:r>
        <w:rPr/>
        <w:t>A</w:t>
      </w:r>
      <w:r>
        <w:rPr>
          <w:spacing w:val="-7"/>
        </w:rPr>
        <w:t> </w:t>
      </w:r>
      <w:r>
        <w:rPr/>
        <w:t>credit review is completed for our new distributors, dealers</w:t>
      </w:r>
      <w:r>
        <w:rPr>
          <w:spacing w:val="-13"/>
        </w:rPr>
        <w:t> </w:t>
      </w:r>
      <w:r>
        <w:rPr/>
        <w:t>and</w:t>
      </w:r>
      <w:r>
        <w:rPr>
          <w:spacing w:val="-6"/>
        </w:rPr>
        <w:t> </w:t>
      </w:r>
      <w:r>
        <w:rPr/>
        <w:t>OEMs.</w:t>
      </w:r>
      <w:r>
        <w:rPr>
          <w:spacing w:val="-10"/>
        </w:rPr>
        <w:t> </w:t>
      </w:r>
      <w:r>
        <w:rPr/>
        <w:t>We</w:t>
      </w:r>
      <w:r>
        <w:rPr>
          <w:spacing w:val="-6"/>
        </w:rPr>
        <w:t> </w:t>
      </w:r>
      <w:r>
        <w:rPr/>
        <w:t>also</w:t>
      </w:r>
      <w:r>
        <w:rPr>
          <w:spacing w:val="-6"/>
        </w:rPr>
        <w:t> </w:t>
      </w:r>
      <w:r>
        <w:rPr/>
        <w:t>perform</w:t>
      </w:r>
      <w:r>
        <w:rPr>
          <w:spacing w:val="-7"/>
        </w:rPr>
        <w:t> </w:t>
      </w:r>
      <w:r>
        <w:rPr/>
        <w:t>ongoing</w:t>
      </w:r>
      <w:r>
        <w:rPr>
          <w:spacing w:val="-6"/>
        </w:rPr>
        <w:t> </w:t>
      </w:r>
      <w:r>
        <w:rPr/>
        <w:t>credit</w:t>
      </w:r>
      <w:r>
        <w:rPr>
          <w:spacing w:val="-6"/>
        </w:rPr>
        <w:t> </w:t>
      </w:r>
      <w:r>
        <w:rPr/>
        <w:t>evaluations</w:t>
      </w:r>
      <w:r>
        <w:rPr>
          <w:spacing w:val="-6"/>
        </w:rPr>
        <w:t> </w:t>
      </w:r>
      <w:r>
        <w:rPr/>
        <w:t>of</w:t>
      </w:r>
      <w:r>
        <w:rPr>
          <w:spacing w:val="-6"/>
        </w:rPr>
        <w:t> </w:t>
      </w:r>
      <w:r>
        <w:rPr/>
        <w:t>our</w:t>
      </w:r>
      <w:r>
        <w:rPr>
          <w:spacing w:val="-6"/>
        </w:rPr>
        <w:t> </w:t>
      </w:r>
      <w:r>
        <w:rPr/>
        <w:t>customers’</w:t>
      </w:r>
      <w:r>
        <w:rPr>
          <w:spacing w:val="-13"/>
        </w:rPr>
        <w:t> </w:t>
      </w:r>
      <w:r>
        <w:rPr/>
        <w:t>financial</w:t>
      </w:r>
      <w:r>
        <w:rPr>
          <w:spacing w:val="-7"/>
        </w:rPr>
        <w:t> </w:t>
      </w:r>
      <w:r>
        <w:rPr/>
        <w:t>condition</w:t>
      </w:r>
      <w:r>
        <w:rPr>
          <w:spacing w:val="-6"/>
        </w:rPr>
        <w:t> </w:t>
      </w:r>
      <w:r>
        <w:rPr/>
        <w:t>and</w:t>
      </w:r>
      <w:r>
        <w:rPr>
          <w:spacing w:val="-6"/>
        </w:rPr>
        <w:t> </w:t>
      </w:r>
      <w:r>
        <w:rPr/>
        <w:t>require</w:t>
      </w:r>
      <w:r>
        <w:rPr>
          <w:spacing w:val="-6"/>
        </w:rPr>
        <w:t> </w:t>
      </w:r>
      <w:r>
        <w:rPr/>
        <w:t>letters</w:t>
      </w:r>
      <w:r>
        <w:rPr>
          <w:spacing w:val="-6"/>
        </w:rPr>
        <w:t> </w:t>
      </w:r>
      <w:r>
        <w:rPr/>
        <w:t>of</w:t>
      </w:r>
      <w:r>
        <w:rPr>
          <w:spacing w:val="-6"/>
        </w:rPr>
        <w:t> </w:t>
      </w:r>
      <w:r>
        <w:rPr/>
        <w:t>credit or</w:t>
      </w:r>
      <w:r>
        <w:rPr>
          <w:spacing w:val="-1"/>
        </w:rPr>
        <w:t> </w:t>
      </w:r>
      <w:r>
        <w:rPr/>
        <w:t>other</w:t>
      </w:r>
      <w:r>
        <w:rPr>
          <w:spacing w:val="-1"/>
        </w:rPr>
        <w:t> </w:t>
      </w:r>
      <w:r>
        <w:rPr/>
        <w:t>guarantees,</w:t>
      </w:r>
      <w:r>
        <w:rPr>
          <w:spacing w:val="-1"/>
        </w:rPr>
        <w:t> </w:t>
      </w:r>
      <w:r>
        <w:rPr/>
        <w:t>whenever</w:t>
      </w:r>
      <w:r>
        <w:rPr>
          <w:spacing w:val="-1"/>
        </w:rPr>
        <w:t> </w:t>
      </w:r>
      <w:r>
        <w:rPr/>
        <w:t>deemed</w:t>
      </w:r>
      <w:r>
        <w:rPr>
          <w:spacing w:val="-1"/>
        </w:rPr>
        <w:t> </w:t>
      </w:r>
      <w:r>
        <w:rPr/>
        <w:t>necessary.</w:t>
      </w:r>
      <w:r>
        <w:rPr>
          <w:spacing w:val="-4"/>
        </w:rPr>
        <w:t> </w:t>
      </w:r>
      <w:r>
        <w:rPr/>
        <w:t>The</w:t>
      </w:r>
      <w:r>
        <w:rPr>
          <w:spacing w:val="-1"/>
        </w:rPr>
        <w:t> </w:t>
      </w:r>
      <w:r>
        <w:rPr/>
        <w:t>credit</w:t>
      </w:r>
      <w:r>
        <w:rPr>
          <w:spacing w:val="-1"/>
        </w:rPr>
        <w:t> </w:t>
      </w:r>
      <w:r>
        <w:rPr/>
        <w:t>limit</w:t>
      </w:r>
      <w:r>
        <w:rPr>
          <w:spacing w:val="-1"/>
        </w:rPr>
        <w:t> </w:t>
      </w:r>
      <w:r>
        <w:rPr/>
        <w:t>given</w:t>
      </w:r>
      <w:r>
        <w:rPr>
          <w:spacing w:val="-1"/>
        </w:rPr>
        <w:t> </w:t>
      </w:r>
      <w:r>
        <w:rPr/>
        <w:t>to</w:t>
      </w:r>
      <w:r>
        <w:rPr>
          <w:spacing w:val="-1"/>
        </w:rPr>
        <w:t> </w:t>
      </w:r>
      <w:r>
        <w:rPr/>
        <w:t>the</w:t>
      </w:r>
      <w:r>
        <w:rPr>
          <w:spacing w:val="-1"/>
        </w:rPr>
        <w:t> </w:t>
      </w:r>
      <w:r>
        <w:rPr/>
        <w:t>customer</w:t>
      </w:r>
      <w:r>
        <w:rPr>
          <w:spacing w:val="-1"/>
        </w:rPr>
        <w:t> </w:t>
      </w:r>
      <w:r>
        <w:rPr/>
        <w:t>is</w:t>
      </w:r>
      <w:r>
        <w:rPr>
          <w:spacing w:val="-1"/>
        </w:rPr>
        <w:t> </w:t>
      </w:r>
      <w:r>
        <w:rPr/>
        <w:t>based</w:t>
      </w:r>
      <w:r>
        <w:rPr>
          <w:spacing w:val="-1"/>
        </w:rPr>
        <w:t> </w:t>
      </w:r>
      <w:r>
        <w:rPr/>
        <w:t>on</w:t>
      </w:r>
      <w:r>
        <w:rPr>
          <w:spacing w:val="-1"/>
        </w:rPr>
        <w:t> </w:t>
      </w:r>
      <w:r>
        <w:rPr/>
        <w:t>our</w:t>
      </w:r>
      <w:r>
        <w:rPr>
          <w:spacing w:val="-1"/>
        </w:rPr>
        <w:t> </w:t>
      </w:r>
      <w:r>
        <w:rPr/>
        <w:t>risk</w:t>
      </w:r>
      <w:r>
        <w:rPr>
          <w:spacing w:val="-1"/>
        </w:rPr>
        <w:t> </w:t>
      </w:r>
      <w:r>
        <w:rPr/>
        <w:t>assessment</w:t>
      </w:r>
      <w:r>
        <w:rPr>
          <w:spacing w:val="-1"/>
        </w:rPr>
        <w:t> </w:t>
      </w:r>
      <w:r>
        <w:rPr/>
        <w:t>of</w:t>
      </w:r>
      <w:r>
        <w:rPr>
          <w:spacing w:val="-1"/>
        </w:rPr>
        <w:t> </w:t>
      </w:r>
      <w:r>
        <w:rPr/>
        <w:t>their ability to pay, country risk and other factors and is not contingent on the resale of the product or on the collection of payments from their customers. If we license our software or provide SaaS services to a customer where we have a reason to believe the customer’s ability to pay is not probable, due to country risk or credit risk, we will not recognize the revenue.</w:t>
      </w:r>
      <w:r>
        <w:rPr>
          <w:spacing w:val="-2"/>
        </w:rPr>
        <w:t> </w:t>
      </w:r>
      <w:r>
        <w:rPr/>
        <w:t>We will revert to recognizing the revenue on a cash basis, assuming all other criteria for revenue recognition has been met.</w:t>
      </w:r>
    </w:p>
    <w:p>
      <w:pPr>
        <w:pStyle w:val="Heading2"/>
        <w:spacing w:before="187"/>
      </w:pPr>
      <w:r>
        <w:rPr/>
        <w:t>Recently</w:t>
      </w:r>
      <w:r>
        <w:rPr>
          <w:spacing w:val="-13"/>
        </w:rPr>
        <w:t> </w:t>
      </w:r>
      <w:r>
        <w:rPr/>
        <w:t>Adopted</w:t>
      </w:r>
      <w:r>
        <w:rPr>
          <w:spacing w:val="-12"/>
        </w:rPr>
        <w:t> </w:t>
      </w:r>
      <w:r>
        <w:rPr/>
        <w:t>Accounting</w:t>
      </w:r>
      <w:r>
        <w:rPr>
          <w:spacing w:val="-4"/>
        </w:rPr>
        <w:t> </w:t>
      </w:r>
      <w:r>
        <w:rPr>
          <w:spacing w:val="-2"/>
        </w:rPr>
        <w:t>Guidance</w:t>
      </w:r>
    </w:p>
    <w:p>
      <w:pPr>
        <w:pStyle w:val="BodyText"/>
        <w:spacing w:line="249" w:lineRule="auto" w:before="170"/>
        <w:ind w:left="220" w:right="257" w:firstLine="540"/>
        <w:jc w:val="both"/>
      </w:pPr>
      <w:r>
        <w:rPr/>
        <w:t>On March 30, 2016, the Financial</w:t>
      </w:r>
      <w:r>
        <w:rPr>
          <w:spacing w:val="-7"/>
        </w:rPr>
        <w:t> </w:t>
      </w:r>
      <w:r>
        <w:rPr/>
        <w:t>Accounting Standards Board (“FASB”) issued</w:t>
      </w:r>
      <w:r>
        <w:rPr>
          <w:spacing w:val="-7"/>
        </w:rPr>
        <w:t> </w:t>
      </w:r>
      <w:r>
        <w:rPr/>
        <w:t>Accounting Standard Update (“ASU”) No. 2016-09, Improvements to Employee Share-Based Payment Accounting, which simplifies various aspects related to the accounting</w:t>
      </w:r>
      <w:r>
        <w:rPr>
          <w:spacing w:val="-1"/>
        </w:rPr>
        <w:t> </w:t>
      </w:r>
      <w:r>
        <w:rPr/>
        <w:t>and</w:t>
      </w:r>
      <w:r>
        <w:rPr>
          <w:spacing w:val="-1"/>
        </w:rPr>
        <w:t> </w:t>
      </w:r>
      <w:r>
        <w:rPr/>
        <w:t>presentation</w:t>
      </w:r>
      <w:r>
        <w:rPr>
          <w:spacing w:val="-1"/>
        </w:rPr>
        <w:t> </w:t>
      </w:r>
      <w:r>
        <w:rPr/>
        <w:t>of</w:t>
      </w:r>
      <w:r>
        <w:rPr>
          <w:spacing w:val="-1"/>
        </w:rPr>
        <w:t> </w:t>
      </w:r>
      <w:r>
        <w:rPr/>
        <w:t>share-based</w:t>
      </w:r>
      <w:r>
        <w:rPr>
          <w:spacing w:val="-1"/>
        </w:rPr>
        <w:t> </w:t>
      </w:r>
      <w:r>
        <w:rPr/>
        <w:t>payments.</w:t>
      </w:r>
      <w:r>
        <w:rPr>
          <w:spacing w:val="-4"/>
        </w:rPr>
        <w:t> </w:t>
      </w:r>
      <w:r>
        <w:rPr/>
        <w:t>The</w:t>
      </w:r>
      <w:r>
        <w:rPr>
          <w:spacing w:val="-1"/>
        </w:rPr>
        <w:t> </w:t>
      </w:r>
      <w:r>
        <w:rPr/>
        <w:t>amendments require</w:t>
      </w:r>
      <w:r>
        <w:rPr>
          <w:spacing w:val="-1"/>
        </w:rPr>
        <w:t> </w:t>
      </w:r>
      <w:r>
        <w:rPr/>
        <w:t>entities</w:t>
      </w:r>
      <w:r>
        <w:rPr>
          <w:spacing w:val="-1"/>
        </w:rPr>
        <w:t> </w:t>
      </w:r>
      <w:r>
        <w:rPr/>
        <w:t>to</w:t>
      </w:r>
      <w:r>
        <w:rPr>
          <w:spacing w:val="-1"/>
        </w:rPr>
        <w:t> </w:t>
      </w:r>
      <w:r>
        <w:rPr/>
        <w:t>record</w:t>
      </w:r>
      <w:r>
        <w:rPr>
          <w:spacing w:val="-1"/>
        </w:rPr>
        <w:t> </w:t>
      </w:r>
      <w:r>
        <w:rPr/>
        <w:t>all</w:t>
      </w:r>
      <w:r>
        <w:rPr>
          <w:spacing w:val="-1"/>
        </w:rPr>
        <w:t> </w:t>
      </w:r>
      <w:r>
        <w:rPr/>
        <w:t>tax</w:t>
      </w:r>
      <w:r>
        <w:rPr>
          <w:spacing w:val="-1"/>
        </w:rPr>
        <w:t> </w:t>
      </w:r>
      <w:r>
        <w:rPr/>
        <w:t>effects</w:t>
      </w:r>
      <w:r>
        <w:rPr>
          <w:spacing w:val="-1"/>
        </w:rPr>
        <w:t> </w:t>
      </w:r>
      <w:r>
        <w:rPr/>
        <w:t>related</w:t>
      </w:r>
      <w:r>
        <w:rPr>
          <w:spacing w:val="-1"/>
        </w:rPr>
        <w:t> </w:t>
      </w:r>
      <w:r>
        <w:rPr/>
        <w:t>to</w:t>
      </w:r>
      <w:r>
        <w:rPr>
          <w:spacing w:val="-1"/>
        </w:rPr>
        <w:t> </w:t>
      </w:r>
      <w:r>
        <w:rPr/>
        <w:t>share- based</w:t>
      </w:r>
      <w:r>
        <w:rPr>
          <w:spacing w:val="-13"/>
        </w:rPr>
        <w:t> </w:t>
      </w:r>
      <w:r>
        <w:rPr/>
        <w:t>payments</w:t>
      </w:r>
      <w:r>
        <w:rPr>
          <w:spacing w:val="-12"/>
        </w:rPr>
        <w:t> </w:t>
      </w:r>
      <w:r>
        <w:rPr/>
        <w:t>at</w:t>
      </w:r>
      <w:r>
        <w:rPr>
          <w:spacing w:val="-13"/>
        </w:rPr>
        <w:t> </w:t>
      </w:r>
      <w:r>
        <w:rPr/>
        <w:t>settlement</w:t>
      </w:r>
      <w:r>
        <w:rPr>
          <w:spacing w:val="-12"/>
        </w:rPr>
        <w:t> </w:t>
      </w:r>
      <w:r>
        <w:rPr/>
        <w:t>or</w:t>
      </w:r>
      <w:r>
        <w:rPr>
          <w:spacing w:val="-13"/>
        </w:rPr>
        <w:t> </w:t>
      </w:r>
      <w:r>
        <w:rPr/>
        <w:t>expiration</w:t>
      </w:r>
      <w:r>
        <w:rPr>
          <w:spacing w:val="-12"/>
        </w:rPr>
        <w:t> </w:t>
      </w:r>
      <w:r>
        <w:rPr/>
        <w:t>through</w:t>
      </w:r>
      <w:r>
        <w:rPr>
          <w:spacing w:val="-13"/>
        </w:rPr>
        <w:t> </w:t>
      </w:r>
      <w:r>
        <w:rPr/>
        <w:t>the</w:t>
      </w:r>
      <w:r>
        <w:rPr>
          <w:spacing w:val="-12"/>
        </w:rPr>
        <w:t> </w:t>
      </w:r>
      <w:r>
        <w:rPr/>
        <w:t>income</w:t>
      </w:r>
      <w:r>
        <w:rPr>
          <w:spacing w:val="-13"/>
        </w:rPr>
        <w:t> </w:t>
      </w:r>
      <w:r>
        <w:rPr/>
        <w:t>statement</w:t>
      </w:r>
      <w:r>
        <w:rPr>
          <w:spacing w:val="-12"/>
        </w:rPr>
        <w:t> </w:t>
      </w:r>
      <w:r>
        <w:rPr/>
        <w:t>and</w:t>
      </w:r>
      <w:r>
        <w:rPr>
          <w:spacing w:val="-13"/>
        </w:rPr>
        <w:t> </w:t>
      </w:r>
      <w:r>
        <w:rPr/>
        <w:t>the</w:t>
      </w:r>
      <w:r>
        <w:rPr>
          <w:spacing w:val="-12"/>
        </w:rPr>
        <w:t> </w:t>
      </w:r>
      <w:r>
        <w:rPr/>
        <w:t>windfall</w:t>
      </w:r>
      <w:r>
        <w:rPr>
          <w:spacing w:val="-13"/>
        </w:rPr>
        <w:t> </w:t>
      </w:r>
      <w:r>
        <w:rPr/>
        <w:t>tax</w:t>
      </w:r>
      <w:r>
        <w:rPr>
          <w:spacing w:val="-12"/>
        </w:rPr>
        <w:t> </w:t>
      </w:r>
      <w:r>
        <w:rPr/>
        <w:t>benefit</w:t>
      </w:r>
      <w:r>
        <w:rPr>
          <w:spacing w:val="-13"/>
        </w:rPr>
        <w:t> </w:t>
      </w:r>
      <w:r>
        <w:rPr/>
        <w:t>to</w:t>
      </w:r>
      <w:r>
        <w:rPr>
          <w:spacing w:val="-12"/>
        </w:rPr>
        <w:t> </w:t>
      </w:r>
      <w:r>
        <w:rPr/>
        <w:t>be</w:t>
      </w:r>
      <w:r>
        <w:rPr>
          <w:spacing w:val="-13"/>
        </w:rPr>
        <w:t> </w:t>
      </w:r>
      <w:r>
        <w:rPr/>
        <w:t>recorded</w:t>
      </w:r>
      <w:r>
        <w:rPr>
          <w:spacing w:val="-12"/>
        </w:rPr>
        <w:t> </w:t>
      </w:r>
      <w:r>
        <w:rPr/>
        <w:t>when</w:t>
      </w:r>
      <w:r>
        <w:rPr>
          <w:spacing w:val="-13"/>
        </w:rPr>
        <w:t> </w:t>
      </w:r>
      <w:r>
        <w:rPr/>
        <w:t>it</w:t>
      </w:r>
      <w:r>
        <w:rPr>
          <w:spacing w:val="-12"/>
        </w:rPr>
        <w:t> </w:t>
      </w:r>
      <w:r>
        <w:rPr/>
        <w:t>arises, subject to normal valuation allowance considerations.</w:t>
      </w:r>
      <w:r>
        <w:rPr>
          <w:spacing w:val="-2"/>
        </w:rPr>
        <w:t> </w:t>
      </w:r>
      <w:r>
        <w:rPr/>
        <w:t>Tax-related cash flows resulting from share-based payments are required to be reported as operating activities in the statement of cash flows.</w:t>
      </w:r>
      <w:r>
        <w:rPr>
          <w:spacing w:val="-1"/>
        </w:rPr>
        <w:t> </w:t>
      </w:r>
      <w:r>
        <w:rPr/>
        <w:t>The updates relating to the income tax effects of the share- based payments including the cash flow presentation must be adopted either prospectively or retrospectively. Further, the amendments</w:t>
      </w:r>
      <w:r>
        <w:rPr>
          <w:spacing w:val="-9"/>
        </w:rPr>
        <w:t> </w:t>
      </w:r>
      <w:r>
        <w:rPr/>
        <w:t>allow</w:t>
      </w:r>
      <w:r>
        <w:rPr>
          <w:spacing w:val="-9"/>
        </w:rPr>
        <w:t> </w:t>
      </w:r>
      <w:r>
        <w:rPr/>
        <w:t>the</w:t>
      </w:r>
      <w:r>
        <w:rPr>
          <w:spacing w:val="-9"/>
        </w:rPr>
        <w:t> </w:t>
      </w:r>
      <w:r>
        <w:rPr/>
        <w:t>entities</w:t>
      </w:r>
      <w:r>
        <w:rPr>
          <w:spacing w:val="-9"/>
        </w:rPr>
        <w:t> </w:t>
      </w:r>
      <w:r>
        <w:rPr/>
        <w:t>to</w:t>
      </w:r>
      <w:r>
        <w:rPr>
          <w:spacing w:val="-9"/>
        </w:rPr>
        <w:t> </w:t>
      </w:r>
      <w:r>
        <w:rPr/>
        <w:t>make</w:t>
      </w:r>
      <w:r>
        <w:rPr>
          <w:spacing w:val="-9"/>
        </w:rPr>
        <w:t> </w:t>
      </w:r>
      <w:r>
        <w:rPr/>
        <w:t>an</w:t>
      </w:r>
      <w:r>
        <w:rPr>
          <w:spacing w:val="-9"/>
        </w:rPr>
        <w:t> </w:t>
      </w:r>
      <w:r>
        <w:rPr/>
        <w:t>accounting</w:t>
      </w:r>
      <w:r>
        <w:rPr>
          <w:spacing w:val="-9"/>
        </w:rPr>
        <w:t> </w:t>
      </w:r>
      <w:r>
        <w:rPr/>
        <w:t>policy</w:t>
      </w:r>
      <w:r>
        <w:rPr>
          <w:spacing w:val="-9"/>
        </w:rPr>
        <w:t> </w:t>
      </w:r>
      <w:r>
        <w:rPr/>
        <w:t>election</w:t>
      </w:r>
      <w:r>
        <w:rPr>
          <w:spacing w:val="-9"/>
        </w:rPr>
        <w:t> </w:t>
      </w:r>
      <w:r>
        <w:rPr/>
        <w:t>to</w:t>
      </w:r>
      <w:r>
        <w:rPr>
          <w:spacing w:val="-9"/>
        </w:rPr>
        <w:t> </w:t>
      </w:r>
      <w:r>
        <w:rPr/>
        <w:t>either</w:t>
      </w:r>
      <w:r>
        <w:rPr>
          <w:spacing w:val="-9"/>
        </w:rPr>
        <w:t> </w:t>
      </w:r>
      <w:r>
        <w:rPr/>
        <w:t>estimate</w:t>
      </w:r>
      <w:r>
        <w:rPr>
          <w:spacing w:val="-10"/>
        </w:rPr>
        <w:t> </w:t>
      </w:r>
      <w:r>
        <w:rPr/>
        <w:t>forfeitures</w:t>
      </w:r>
      <w:r>
        <w:rPr>
          <w:spacing w:val="-9"/>
        </w:rPr>
        <w:t> </w:t>
      </w:r>
      <w:r>
        <w:rPr/>
        <w:t>or</w:t>
      </w:r>
      <w:r>
        <w:rPr>
          <w:spacing w:val="-9"/>
        </w:rPr>
        <w:t> </w:t>
      </w:r>
      <w:r>
        <w:rPr/>
        <w:t>recognize</w:t>
      </w:r>
      <w:r>
        <w:rPr>
          <w:spacing w:val="-10"/>
        </w:rPr>
        <w:t> </w:t>
      </w:r>
      <w:r>
        <w:rPr/>
        <w:t>forfeitures</w:t>
      </w:r>
      <w:r>
        <w:rPr>
          <w:spacing w:val="-9"/>
        </w:rPr>
        <w:t> </w:t>
      </w:r>
      <w:r>
        <w:rPr/>
        <w:t>as</w:t>
      </w:r>
      <w:r>
        <w:rPr>
          <w:spacing w:val="-9"/>
        </w:rPr>
        <w:t> </w:t>
      </w:r>
      <w:r>
        <w:rPr/>
        <w:t>they occur. If an election is made, the change to recognize forfeitures as they occur must be adopted using a modified retrospective approach with a cumulative effect adjustment recorded to opening retained earnings.</w:t>
      </w:r>
      <w:r>
        <w:rPr>
          <w:spacing w:val="-2"/>
        </w:rPr>
        <w:t> </w:t>
      </w:r>
      <w:r>
        <w:rPr/>
        <w:t>The effective date of the new standard for </w:t>
      </w:r>
      <w:r>
        <w:rPr>
          <w:spacing w:val="-2"/>
        </w:rPr>
        <w:t>public</w:t>
      </w:r>
      <w:r>
        <w:rPr>
          <w:spacing w:val="-9"/>
        </w:rPr>
        <w:t> </w:t>
      </w:r>
      <w:r>
        <w:rPr>
          <w:spacing w:val="-2"/>
        </w:rPr>
        <w:t>companies</w:t>
      </w:r>
      <w:r>
        <w:rPr>
          <w:spacing w:val="-9"/>
        </w:rPr>
        <w:t> </w:t>
      </w:r>
      <w:r>
        <w:rPr>
          <w:spacing w:val="-2"/>
        </w:rPr>
        <w:t>is</w:t>
      </w:r>
      <w:r>
        <w:rPr>
          <w:spacing w:val="-9"/>
        </w:rPr>
        <w:t> </w:t>
      </w:r>
      <w:r>
        <w:rPr>
          <w:spacing w:val="-2"/>
        </w:rPr>
        <w:t>for</w:t>
      </w:r>
      <w:r>
        <w:rPr>
          <w:spacing w:val="-9"/>
        </w:rPr>
        <w:t> </w:t>
      </w:r>
      <w:r>
        <w:rPr>
          <w:spacing w:val="-2"/>
        </w:rPr>
        <w:t>fiscal</w:t>
      </w:r>
      <w:r>
        <w:rPr>
          <w:spacing w:val="-9"/>
        </w:rPr>
        <w:t> </w:t>
      </w:r>
      <w:r>
        <w:rPr>
          <w:spacing w:val="-2"/>
        </w:rPr>
        <w:t>years</w:t>
      </w:r>
      <w:r>
        <w:rPr>
          <w:spacing w:val="-9"/>
        </w:rPr>
        <w:t> </w:t>
      </w:r>
      <w:r>
        <w:rPr>
          <w:spacing w:val="-2"/>
        </w:rPr>
        <w:t>beginning</w:t>
      </w:r>
      <w:r>
        <w:rPr>
          <w:spacing w:val="-9"/>
        </w:rPr>
        <w:t> </w:t>
      </w:r>
      <w:r>
        <w:rPr>
          <w:spacing w:val="-2"/>
        </w:rPr>
        <w:t>after</w:t>
      </w:r>
      <w:r>
        <w:rPr>
          <w:spacing w:val="-9"/>
        </w:rPr>
        <w:t> </w:t>
      </w:r>
      <w:r>
        <w:rPr>
          <w:spacing w:val="-2"/>
        </w:rPr>
        <w:t>December</w:t>
      </w:r>
      <w:r>
        <w:rPr>
          <w:spacing w:val="-9"/>
        </w:rPr>
        <w:t> </w:t>
      </w:r>
      <w:r>
        <w:rPr>
          <w:spacing w:val="-2"/>
        </w:rPr>
        <w:t>15,</w:t>
      </w:r>
      <w:r>
        <w:rPr>
          <w:spacing w:val="-9"/>
        </w:rPr>
        <w:t> </w:t>
      </w:r>
      <w:r>
        <w:rPr>
          <w:spacing w:val="-2"/>
        </w:rPr>
        <w:t>2016</w:t>
      </w:r>
      <w:r>
        <w:rPr>
          <w:spacing w:val="-9"/>
        </w:rPr>
        <w:t> </w:t>
      </w:r>
      <w:r>
        <w:rPr>
          <w:spacing w:val="-2"/>
        </w:rPr>
        <w:t>and</w:t>
      </w:r>
      <w:r>
        <w:rPr>
          <w:spacing w:val="-9"/>
        </w:rPr>
        <w:t> </w:t>
      </w:r>
      <w:r>
        <w:rPr>
          <w:spacing w:val="-2"/>
        </w:rPr>
        <w:t>interim</w:t>
      </w:r>
      <w:r>
        <w:rPr>
          <w:spacing w:val="-9"/>
        </w:rPr>
        <w:t> </w:t>
      </w:r>
      <w:r>
        <w:rPr>
          <w:spacing w:val="-2"/>
        </w:rPr>
        <w:t>periods</w:t>
      </w:r>
      <w:r>
        <w:rPr>
          <w:spacing w:val="-9"/>
        </w:rPr>
        <w:t> </w:t>
      </w:r>
      <w:r>
        <w:rPr>
          <w:spacing w:val="-2"/>
        </w:rPr>
        <w:t>within</w:t>
      </w:r>
      <w:r>
        <w:rPr>
          <w:spacing w:val="-9"/>
        </w:rPr>
        <w:t> </w:t>
      </w:r>
      <w:r>
        <w:rPr>
          <w:spacing w:val="-2"/>
        </w:rPr>
        <w:t>those</w:t>
      </w:r>
      <w:r>
        <w:rPr>
          <w:spacing w:val="-9"/>
        </w:rPr>
        <w:t> </w:t>
      </w:r>
      <w:r>
        <w:rPr>
          <w:spacing w:val="-2"/>
        </w:rPr>
        <w:t>fiscal</w:t>
      </w:r>
      <w:r>
        <w:rPr>
          <w:spacing w:val="-9"/>
        </w:rPr>
        <w:t> </w:t>
      </w:r>
      <w:r>
        <w:rPr>
          <w:spacing w:val="-2"/>
        </w:rPr>
        <w:t>years.</w:t>
      </w:r>
      <w:r>
        <w:rPr>
          <w:spacing w:val="-9"/>
        </w:rPr>
        <w:t> </w:t>
      </w:r>
      <w:r>
        <w:rPr>
          <w:spacing w:val="-2"/>
        </w:rPr>
        <w:t>Early</w:t>
      </w:r>
      <w:r>
        <w:rPr>
          <w:spacing w:val="-9"/>
        </w:rPr>
        <w:t> </w:t>
      </w:r>
      <w:r>
        <w:rPr>
          <w:spacing w:val="-2"/>
        </w:rPr>
        <w:t>adoption </w:t>
      </w:r>
      <w:r>
        <w:rPr/>
        <w:t>is permitted.</w:t>
      </w:r>
    </w:p>
    <w:p>
      <w:pPr>
        <w:pStyle w:val="BodyText"/>
        <w:spacing w:line="249" w:lineRule="auto" w:before="190"/>
        <w:ind w:left="220" w:right="257" w:firstLine="540"/>
        <w:jc w:val="both"/>
      </w:pPr>
      <w:r>
        <w:rPr/>
        <w:t>We early adopted this standard during the first quarter of fiscal 2017. As required by the standard, excess tax benefits recognized</w:t>
      </w:r>
      <w:r>
        <w:rPr>
          <w:spacing w:val="-11"/>
        </w:rPr>
        <w:t> </w:t>
      </w:r>
      <w:r>
        <w:rPr/>
        <w:t>on</w:t>
      </w:r>
      <w:r>
        <w:rPr>
          <w:spacing w:val="-11"/>
        </w:rPr>
        <w:t> </w:t>
      </w:r>
      <w:r>
        <w:rPr/>
        <w:t>stock-based</w:t>
      </w:r>
      <w:r>
        <w:rPr>
          <w:spacing w:val="-11"/>
        </w:rPr>
        <w:t> </w:t>
      </w:r>
      <w:r>
        <w:rPr/>
        <w:t>compensation</w:t>
      </w:r>
      <w:r>
        <w:rPr>
          <w:spacing w:val="-11"/>
        </w:rPr>
        <w:t> </w:t>
      </w:r>
      <w:r>
        <w:rPr/>
        <w:t>expense</w:t>
      </w:r>
      <w:r>
        <w:rPr>
          <w:spacing w:val="-12"/>
        </w:rPr>
        <w:t> </w:t>
      </w:r>
      <w:r>
        <w:rPr/>
        <w:t>were</w:t>
      </w:r>
      <w:r>
        <w:rPr>
          <w:spacing w:val="-11"/>
        </w:rPr>
        <w:t> </w:t>
      </w:r>
      <w:r>
        <w:rPr/>
        <w:t>reflected</w:t>
      </w:r>
      <w:r>
        <w:rPr>
          <w:spacing w:val="-11"/>
        </w:rPr>
        <w:t> </w:t>
      </w:r>
      <w:r>
        <w:rPr/>
        <w:t>in</w:t>
      </w:r>
      <w:r>
        <w:rPr>
          <w:spacing w:val="-11"/>
        </w:rPr>
        <w:t> </w:t>
      </w:r>
      <w:r>
        <w:rPr/>
        <w:t>our</w:t>
      </w:r>
      <w:r>
        <w:rPr>
          <w:spacing w:val="-11"/>
        </w:rPr>
        <w:t> </w:t>
      </w:r>
      <w:r>
        <w:rPr/>
        <w:t>Consolidated</w:t>
      </w:r>
      <w:r>
        <w:rPr>
          <w:spacing w:val="-11"/>
        </w:rPr>
        <w:t> </w:t>
      </w:r>
      <w:r>
        <w:rPr/>
        <w:t>Statements</w:t>
      </w:r>
      <w:r>
        <w:rPr>
          <w:spacing w:val="-11"/>
        </w:rPr>
        <w:t> </w:t>
      </w:r>
      <w:r>
        <w:rPr/>
        <w:t>of</w:t>
      </w:r>
      <w:r>
        <w:rPr>
          <w:spacing w:val="-11"/>
        </w:rPr>
        <w:t> </w:t>
      </w:r>
      <w:r>
        <w:rPr/>
        <w:t>Income</w:t>
      </w:r>
      <w:r>
        <w:rPr>
          <w:spacing w:val="-12"/>
        </w:rPr>
        <w:t> </w:t>
      </w:r>
      <w:r>
        <w:rPr/>
        <w:t>as</w:t>
      </w:r>
      <w:r>
        <w:rPr>
          <w:spacing w:val="-11"/>
        </w:rPr>
        <w:t> </w:t>
      </w:r>
      <w:r>
        <w:rPr/>
        <w:t>a</w:t>
      </w:r>
      <w:r>
        <w:rPr>
          <w:spacing w:val="-11"/>
        </w:rPr>
        <w:t> </w:t>
      </w:r>
      <w:r>
        <w:rPr/>
        <w:t>component</w:t>
      </w:r>
      <w:r>
        <w:rPr>
          <w:spacing w:val="-12"/>
        </w:rPr>
        <w:t> </w:t>
      </w:r>
      <w:r>
        <w:rPr/>
        <w:t>of</w:t>
      </w:r>
      <w:r>
        <w:rPr>
          <w:spacing w:val="-11"/>
        </w:rPr>
        <w:t> </w:t>
      </w:r>
      <w:r>
        <w:rPr/>
        <w:t>the provision</w:t>
      </w:r>
      <w:r>
        <w:rPr>
          <w:spacing w:val="-13"/>
        </w:rPr>
        <w:t> </w:t>
      </w:r>
      <w:r>
        <w:rPr/>
        <w:t>for</w:t>
      </w:r>
      <w:r>
        <w:rPr>
          <w:spacing w:val="-7"/>
        </w:rPr>
        <w:t> </w:t>
      </w:r>
      <w:r>
        <w:rPr/>
        <w:t>income</w:t>
      </w:r>
      <w:r>
        <w:rPr>
          <w:spacing w:val="-9"/>
        </w:rPr>
        <w:t> </w:t>
      </w:r>
      <w:r>
        <w:rPr/>
        <w:t>taxes</w:t>
      </w:r>
      <w:r>
        <w:rPr>
          <w:spacing w:val="-8"/>
        </w:rPr>
        <w:t> </w:t>
      </w:r>
      <w:r>
        <w:rPr/>
        <w:t>rather</w:t>
      </w:r>
      <w:r>
        <w:rPr>
          <w:spacing w:val="-8"/>
        </w:rPr>
        <w:t> </w:t>
      </w:r>
      <w:r>
        <w:rPr/>
        <w:t>than</w:t>
      </w:r>
      <w:r>
        <w:rPr>
          <w:spacing w:val="-8"/>
        </w:rPr>
        <w:t> </w:t>
      </w:r>
      <w:r>
        <w:rPr/>
        <w:t>paid-in</w:t>
      </w:r>
      <w:r>
        <w:rPr>
          <w:spacing w:val="-9"/>
        </w:rPr>
        <w:t> </w:t>
      </w:r>
      <w:r>
        <w:rPr/>
        <w:t>capital</w:t>
      </w:r>
      <w:r>
        <w:rPr>
          <w:spacing w:val="-8"/>
        </w:rPr>
        <w:t> </w:t>
      </w:r>
      <w:r>
        <w:rPr/>
        <w:t>on</w:t>
      </w:r>
      <w:r>
        <w:rPr>
          <w:spacing w:val="-8"/>
        </w:rPr>
        <w:t> </w:t>
      </w:r>
      <w:r>
        <w:rPr/>
        <w:t>a</w:t>
      </w:r>
      <w:r>
        <w:rPr>
          <w:spacing w:val="-8"/>
        </w:rPr>
        <w:t> </w:t>
      </w:r>
      <w:r>
        <w:rPr/>
        <w:t>prospective</w:t>
      </w:r>
      <w:r>
        <w:rPr>
          <w:spacing w:val="-9"/>
        </w:rPr>
        <w:t> </w:t>
      </w:r>
      <w:r>
        <w:rPr/>
        <w:t>basis.</w:t>
      </w:r>
      <w:r>
        <w:rPr>
          <w:spacing w:val="-13"/>
        </w:rPr>
        <w:t> </w:t>
      </w:r>
      <w:r>
        <w:rPr/>
        <w:t>Accordingly,</w:t>
      </w:r>
      <w:r>
        <w:rPr>
          <w:spacing w:val="-8"/>
        </w:rPr>
        <w:t> </w:t>
      </w:r>
      <w:r>
        <w:rPr/>
        <w:t>we</w:t>
      </w:r>
      <w:r>
        <w:rPr>
          <w:spacing w:val="-9"/>
        </w:rPr>
        <w:t> </w:t>
      </w:r>
      <w:r>
        <w:rPr/>
        <w:t>recorded</w:t>
      </w:r>
      <w:r>
        <w:rPr>
          <w:spacing w:val="-8"/>
        </w:rPr>
        <w:t> </w:t>
      </w:r>
      <w:r>
        <w:rPr/>
        <w:t>excess</w:t>
      </w:r>
      <w:r>
        <w:rPr>
          <w:spacing w:val="-8"/>
        </w:rPr>
        <w:t> </w:t>
      </w:r>
      <w:r>
        <w:rPr/>
        <w:t>tax</w:t>
      </w:r>
      <w:r>
        <w:rPr>
          <w:spacing w:val="-8"/>
        </w:rPr>
        <w:t> </w:t>
      </w:r>
      <w:r>
        <w:rPr/>
        <w:t>benefits</w:t>
      </w:r>
      <w:r>
        <w:rPr>
          <w:spacing w:val="-8"/>
        </w:rPr>
        <w:t> </w:t>
      </w:r>
      <w:r>
        <w:rPr/>
        <w:t>within our provision for income taxes, rather than additional paid-in capital upon adoption.</w:t>
      </w:r>
      <w:r>
        <w:rPr>
          <w:spacing w:val="-1"/>
        </w:rPr>
        <w:t> </w:t>
      </w:r>
      <w:r>
        <w:rPr/>
        <w:t>The cumulative effect to retained earnings from previously unrecognized excess tax benefits, after offset by the related valuation allowance, was not significant to our Consolidated Balance Sheets.</w:t>
      </w:r>
    </w:p>
    <w:p>
      <w:pPr>
        <w:pStyle w:val="BodyText"/>
        <w:spacing w:line="249" w:lineRule="auto" w:before="185"/>
        <w:ind w:left="220" w:right="257" w:firstLine="540"/>
        <w:jc w:val="both"/>
      </w:pPr>
      <w:r>
        <w:rPr/>
        <w:t>We also elected to prospectively apply the change in presentation of excess tax benefits wherein excess tax benefits recognized</w:t>
      </w:r>
      <w:r>
        <w:rPr>
          <w:spacing w:val="-3"/>
        </w:rPr>
        <w:t> </w:t>
      </w:r>
      <w:r>
        <w:rPr/>
        <w:t>on</w:t>
      </w:r>
      <w:r>
        <w:rPr>
          <w:spacing w:val="-3"/>
        </w:rPr>
        <w:t> </w:t>
      </w:r>
      <w:r>
        <w:rPr/>
        <w:t>stock-based</w:t>
      </w:r>
      <w:r>
        <w:rPr>
          <w:spacing w:val="-3"/>
        </w:rPr>
        <w:t> </w:t>
      </w:r>
      <w:r>
        <w:rPr/>
        <w:t>compensation</w:t>
      </w:r>
      <w:r>
        <w:rPr>
          <w:spacing w:val="-3"/>
        </w:rPr>
        <w:t> </w:t>
      </w:r>
      <w:r>
        <w:rPr/>
        <w:t>expense</w:t>
      </w:r>
      <w:r>
        <w:rPr>
          <w:spacing w:val="-3"/>
        </w:rPr>
        <w:t> </w:t>
      </w:r>
      <w:r>
        <w:rPr/>
        <w:t>were</w:t>
      </w:r>
      <w:r>
        <w:rPr>
          <w:spacing w:val="-3"/>
        </w:rPr>
        <w:t> </w:t>
      </w:r>
      <w:r>
        <w:rPr/>
        <w:t>classified</w:t>
      </w:r>
      <w:r>
        <w:rPr>
          <w:spacing w:val="-3"/>
        </w:rPr>
        <w:t> </w:t>
      </w:r>
      <w:r>
        <w:rPr/>
        <w:t>as</w:t>
      </w:r>
      <w:r>
        <w:rPr>
          <w:spacing w:val="-3"/>
        </w:rPr>
        <w:t> </w:t>
      </w:r>
      <w:r>
        <w:rPr/>
        <w:t>operating</w:t>
      </w:r>
      <w:r>
        <w:rPr>
          <w:spacing w:val="-3"/>
        </w:rPr>
        <w:t> </w:t>
      </w:r>
      <w:r>
        <w:rPr/>
        <w:t>activities</w:t>
      </w:r>
      <w:r>
        <w:rPr>
          <w:spacing w:val="-3"/>
        </w:rPr>
        <w:t> </w:t>
      </w:r>
      <w:r>
        <w:rPr/>
        <w:t>in</w:t>
      </w:r>
      <w:r>
        <w:rPr>
          <w:spacing w:val="-3"/>
        </w:rPr>
        <w:t> </w:t>
      </w:r>
      <w:r>
        <w:rPr/>
        <w:t>our</w:t>
      </w:r>
      <w:r>
        <w:rPr>
          <w:spacing w:val="-3"/>
        </w:rPr>
        <w:t> </w:t>
      </w:r>
      <w:r>
        <w:rPr/>
        <w:t>Consolidated</w:t>
      </w:r>
      <w:r>
        <w:rPr>
          <w:spacing w:val="-3"/>
        </w:rPr>
        <w:t> </w:t>
      </w:r>
      <w:r>
        <w:rPr/>
        <w:t>Statements</w:t>
      </w:r>
      <w:r>
        <w:rPr>
          <w:spacing w:val="-3"/>
        </w:rPr>
        <w:t> </w:t>
      </w:r>
      <w:r>
        <w:rPr/>
        <w:t>of</w:t>
      </w:r>
      <w:r>
        <w:rPr>
          <w:spacing w:val="-3"/>
        </w:rPr>
        <w:t> </w:t>
      </w:r>
      <w:r>
        <w:rPr/>
        <w:t>Cash Flows</w:t>
      </w:r>
      <w:r>
        <w:rPr>
          <w:spacing w:val="-12"/>
        </w:rPr>
        <w:t> </w:t>
      </w:r>
      <w:r>
        <w:rPr/>
        <w:t>for</w:t>
      </w:r>
      <w:r>
        <w:rPr>
          <w:spacing w:val="-12"/>
        </w:rPr>
        <w:t> </w:t>
      </w:r>
      <w:r>
        <w:rPr/>
        <w:t>fiscal</w:t>
      </w:r>
      <w:r>
        <w:rPr>
          <w:spacing w:val="-12"/>
        </w:rPr>
        <w:t> </w:t>
      </w:r>
      <w:r>
        <w:rPr/>
        <w:t>2017.</w:t>
      </w:r>
      <w:r>
        <w:rPr>
          <w:spacing w:val="-12"/>
        </w:rPr>
        <w:t> </w:t>
      </w:r>
      <w:r>
        <w:rPr/>
        <w:t>Prior</w:t>
      </w:r>
      <w:r>
        <w:rPr>
          <w:spacing w:val="-12"/>
        </w:rPr>
        <w:t> </w:t>
      </w:r>
      <w:r>
        <w:rPr/>
        <w:t>period</w:t>
      </w:r>
      <w:r>
        <w:rPr>
          <w:spacing w:val="-12"/>
        </w:rPr>
        <w:t> </w:t>
      </w:r>
      <w:r>
        <w:rPr/>
        <w:t>classification</w:t>
      </w:r>
      <w:r>
        <w:rPr>
          <w:spacing w:val="-12"/>
        </w:rPr>
        <w:t> </w:t>
      </w:r>
      <w:r>
        <w:rPr/>
        <w:t>of</w:t>
      </w:r>
      <w:r>
        <w:rPr>
          <w:spacing w:val="-12"/>
        </w:rPr>
        <w:t> </w:t>
      </w:r>
      <w:r>
        <w:rPr/>
        <w:t>cash</w:t>
      </w:r>
      <w:r>
        <w:rPr>
          <w:spacing w:val="-12"/>
        </w:rPr>
        <w:t> </w:t>
      </w:r>
      <w:r>
        <w:rPr/>
        <w:t>flows</w:t>
      </w:r>
      <w:r>
        <w:rPr>
          <w:spacing w:val="-12"/>
        </w:rPr>
        <w:t> </w:t>
      </w:r>
      <w:r>
        <w:rPr/>
        <w:t>related</w:t>
      </w:r>
      <w:r>
        <w:rPr>
          <w:spacing w:val="-12"/>
        </w:rPr>
        <w:t> </w:t>
      </w:r>
      <w:r>
        <w:rPr/>
        <w:t>to</w:t>
      </w:r>
      <w:r>
        <w:rPr>
          <w:spacing w:val="-12"/>
        </w:rPr>
        <w:t> </w:t>
      </w:r>
      <w:r>
        <w:rPr/>
        <w:t>excess</w:t>
      </w:r>
      <w:r>
        <w:rPr>
          <w:spacing w:val="-12"/>
        </w:rPr>
        <w:t> </w:t>
      </w:r>
      <w:r>
        <w:rPr/>
        <w:t>tax</w:t>
      </w:r>
      <w:r>
        <w:rPr>
          <w:spacing w:val="-12"/>
        </w:rPr>
        <w:t> </w:t>
      </w:r>
      <w:r>
        <w:rPr/>
        <w:t>benefits</w:t>
      </w:r>
      <w:r>
        <w:rPr>
          <w:spacing w:val="-12"/>
        </w:rPr>
        <w:t> </w:t>
      </w:r>
      <w:r>
        <w:rPr/>
        <w:t>were</w:t>
      </w:r>
      <w:r>
        <w:rPr>
          <w:spacing w:val="-12"/>
        </w:rPr>
        <w:t> </w:t>
      </w:r>
      <w:r>
        <w:rPr/>
        <w:t>not</w:t>
      </w:r>
      <w:r>
        <w:rPr>
          <w:spacing w:val="-12"/>
        </w:rPr>
        <w:t> </w:t>
      </w:r>
      <w:r>
        <w:rPr/>
        <w:t>adjusted</w:t>
      </w:r>
      <w:r>
        <w:rPr>
          <w:spacing w:val="-12"/>
        </w:rPr>
        <w:t> </w:t>
      </w:r>
      <w:r>
        <w:rPr/>
        <w:t>in</w:t>
      </w:r>
      <w:r>
        <w:rPr>
          <w:spacing w:val="-12"/>
        </w:rPr>
        <w:t> </w:t>
      </w:r>
      <w:r>
        <w:rPr/>
        <w:t>our</w:t>
      </w:r>
      <w:r>
        <w:rPr>
          <w:spacing w:val="-12"/>
        </w:rPr>
        <w:t> </w:t>
      </w:r>
      <w:r>
        <w:rPr/>
        <w:t>Consolidated Statements of Cash Flows. Presentation requirements for cash flows related to employee taxes paid for withheld shares had no impact</w:t>
      </w:r>
      <w:r>
        <w:rPr>
          <w:spacing w:val="-13"/>
        </w:rPr>
        <w:t> </w:t>
      </w:r>
      <w:r>
        <w:rPr/>
        <w:t>to</w:t>
      </w:r>
      <w:r>
        <w:rPr>
          <w:spacing w:val="-12"/>
        </w:rPr>
        <w:t> </w:t>
      </w:r>
      <w:r>
        <w:rPr/>
        <w:t>all</w:t>
      </w:r>
      <w:r>
        <w:rPr>
          <w:spacing w:val="-13"/>
        </w:rPr>
        <w:t> </w:t>
      </w:r>
      <w:r>
        <w:rPr/>
        <w:t>periods</w:t>
      </w:r>
      <w:r>
        <w:rPr>
          <w:spacing w:val="-12"/>
        </w:rPr>
        <w:t> </w:t>
      </w:r>
      <w:r>
        <w:rPr/>
        <w:t>presented</w:t>
      </w:r>
      <w:r>
        <w:rPr>
          <w:spacing w:val="-13"/>
        </w:rPr>
        <w:t> </w:t>
      </w:r>
      <w:r>
        <w:rPr/>
        <w:t>as</w:t>
      </w:r>
      <w:r>
        <w:rPr>
          <w:spacing w:val="-12"/>
        </w:rPr>
        <w:t> </w:t>
      </w:r>
      <w:r>
        <w:rPr/>
        <w:t>such</w:t>
      </w:r>
      <w:r>
        <w:rPr>
          <w:spacing w:val="-13"/>
        </w:rPr>
        <w:t> </w:t>
      </w:r>
      <w:r>
        <w:rPr/>
        <w:t>cash</w:t>
      </w:r>
      <w:r>
        <w:rPr>
          <w:spacing w:val="-12"/>
        </w:rPr>
        <w:t> </w:t>
      </w:r>
      <w:r>
        <w:rPr/>
        <w:t>flows</w:t>
      </w:r>
      <w:r>
        <w:rPr>
          <w:spacing w:val="-13"/>
        </w:rPr>
        <w:t> </w:t>
      </w:r>
      <w:r>
        <w:rPr/>
        <w:t>have</w:t>
      </w:r>
      <w:r>
        <w:rPr>
          <w:spacing w:val="-12"/>
        </w:rPr>
        <w:t> </w:t>
      </w:r>
      <w:r>
        <w:rPr/>
        <w:t>historically</w:t>
      </w:r>
      <w:r>
        <w:rPr>
          <w:spacing w:val="-13"/>
        </w:rPr>
        <w:t> </w:t>
      </w:r>
      <w:r>
        <w:rPr/>
        <w:t>been</w:t>
      </w:r>
      <w:r>
        <w:rPr>
          <w:spacing w:val="-12"/>
        </w:rPr>
        <w:t> </w:t>
      </w:r>
      <w:r>
        <w:rPr/>
        <w:t>presented</w:t>
      </w:r>
      <w:r>
        <w:rPr>
          <w:spacing w:val="-13"/>
        </w:rPr>
        <w:t> </w:t>
      </w:r>
      <w:r>
        <w:rPr/>
        <w:t>as</w:t>
      </w:r>
      <w:r>
        <w:rPr>
          <w:spacing w:val="-12"/>
        </w:rPr>
        <w:t> </w:t>
      </w:r>
      <w:r>
        <w:rPr/>
        <w:t>financing</w:t>
      </w:r>
      <w:r>
        <w:rPr>
          <w:spacing w:val="-13"/>
        </w:rPr>
        <w:t> </w:t>
      </w:r>
      <w:r>
        <w:rPr/>
        <w:t>activities.</w:t>
      </w:r>
      <w:r>
        <w:rPr>
          <w:spacing w:val="-12"/>
        </w:rPr>
        <w:t> </w:t>
      </w:r>
      <w:r>
        <w:rPr/>
        <w:t>Further,</w:t>
      </w:r>
      <w:r>
        <w:rPr>
          <w:spacing w:val="-13"/>
        </w:rPr>
        <w:t> </w:t>
      </w:r>
      <w:r>
        <w:rPr/>
        <w:t>we</w:t>
      </w:r>
      <w:r>
        <w:rPr>
          <w:spacing w:val="-12"/>
        </w:rPr>
        <w:t> </w:t>
      </w:r>
      <w:r>
        <w:rPr/>
        <w:t>did</w:t>
      </w:r>
      <w:r>
        <w:rPr>
          <w:spacing w:val="-13"/>
        </w:rPr>
        <w:t> </w:t>
      </w:r>
      <w:r>
        <w:rPr/>
        <w:t>not</w:t>
      </w:r>
      <w:r>
        <w:rPr>
          <w:spacing w:val="-12"/>
        </w:rPr>
        <w:t> </w:t>
      </w:r>
      <w:r>
        <w:rPr/>
        <w:t>elect an accounting policy change to record forfeitures as they occur and thus we continue to estimate forfeitures at each period.</w:t>
      </w:r>
    </w:p>
    <w:p>
      <w:pPr>
        <w:spacing w:after="0" w:line="249" w:lineRule="auto"/>
        <w:jc w:val="both"/>
        <w:sectPr>
          <w:pgSz w:w="12240" w:h="15840"/>
          <w:pgMar w:header="210" w:footer="610" w:top="1380" w:bottom="840" w:left="780" w:right="740"/>
        </w:sectPr>
      </w:pPr>
    </w:p>
    <w:p>
      <w:pPr>
        <w:pStyle w:val="BodyText"/>
      </w:pPr>
    </w:p>
    <w:p>
      <w:pPr>
        <w:pStyle w:val="BodyText"/>
      </w:pPr>
    </w:p>
    <w:p>
      <w:pPr>
        <w:pStyle w:val="BodyText"/>
        <w:spacing w:before="30"/>
      </w:pPr>
    </w:p>
    <w:p>
      <w:pPr>
        <w:pStyle w:val="BodyText"/>
        <w:spacing w:line="249" w:lineRule="auto"/>
        <w:ind w:left="220" w:right="257" w:firstLine="540"/>
        <w:jc w:val="both"/>
      </w:pPr>
      <w:r>
        <w:rPr/>
        <w:t>There have been no other new accounting pronouncements made effective during fiscal 2017 that have significance, or potential significance, to our Consolidated Financial Statements.</w:t>
      </w:r>
    </w:p>
    <w:p>
      <w:pPr>
        <w:pStyle w:val="Heading2"/>
        <w:spacing w:before="161"/>
      </w:pPr>
      <w:r>
        <w:rPr/>
        <w:t>Recent</w:t>
      </w:r>
      <w:r>
        <w:rPr>
          <w:spacing w:val="-13"/>
        </w:rPr>
        <w:t> </w:t>
      </w:r>
      <w:r>
        <w:rPr/>
        <w:t>Accounting</w:t>
      </w:r>
      <w:r>
        <w:rPr>
          <w:spacing w:val="-12"/>
        </w:rPr>
        <w:t> </w:t>
      </w:r>
      <w:r>
        <w:rPr/>
        <w:t>Pronouncements</w:t>
      </w:r>
      <w:r>
        <w:rPr>
          <w:spacing w:val="-13"/>
        </w:rPr>
        <w:t> </w:t>
      </w:r>
      <w:r>
        <w:rPr/>
        <w:t>Not</w:t>
      </w:r>
      <w:r>
        <w:rPr>
          <w:spacing w:val="-12"/>
        </w:rPr>
        <w:t> </w:t>
      </w:r>
      <w:r>
        <w:rPr/>
        <w:t>Yet</w:t>
      </w:r>
      <w:r>
        <w:rPr>
          <w:spacing w:val="-8"/>
        </w:rPr>
        <w:t> </w:t>
      </w:r>
      <w:r>
        <w:rPr>
          <w:spacing w:val="-2"/>
        </w:rPr>
        <w:t>Effective</w:t>
      </w:r>
    </w:p>
    <w:p>
      <w:pPr>
        <w:pStyle w:val="BodyText"/>
        <w:spacing w:line="249" w:lineRule="auto" w:before="170"/>
        <w:ind w:left="220" w:right="257" w:firstLine="540"/>
        <w:jc w:val="both"/>
      </w:pPr>
      <w:r>
        <w:rPr/>
        <w:t>On May 28, 2014, the FASB issued</w:t>
      </w:r>
      <w:r>
        <w:rPr>
          <w:spacing w:val="-4"/>
        </w:rPr>
        <w:t> </w:t>
      </w:r>
      <w:r>
        <w:rPr/>
        <w:t>ASU No. 2014-09, Revenue from Contracts with Customers, requiring an entity to recognize the amount of revenue to which it expects to be entitled for the transfer of promised goods or services to customers. The updated standard will replace most existing revenue recognition guidance in U.S. GAAP when it becomes effective and permits</w:t>
      </w:r>
      <w:r>
        <w:rPr>
          <w:spacing w:val="-13"/>
        </w:rPr>
        <w:t> </w:t>
      </w:r>
      <w:r>
        <w:rPr/>
        <w:t>the</w:t>
      </w:r>
      <w:r>
        <w:rPr>
          <w:spacing w:val="-12"/>
        </w:rPr>
        <w:t> </w:t>
      </w:r>
      <w:r>
        <w:rPr/>
        <w:t>use</w:t>
      </w:r>
      <w:r>
        <w:rPr>
          <w:spacing w:val="-13"/>
        </w:rPr>
        <w:t> </w:t>
      </w:r>
      <w:r>
        <w:rPr/>
        <w:t>of</w:t>
      </w:r>
      <w:r>
        <w:rPr>
          <w:spacing w:val="-12"/>
        </w:rPr>
        <w:t> </w:t>
      </w:r>
      <w:r>
        <w:rPr/>
        <w:t>either</w:t>
      </w:r>
      <w:r>
        <w:rPr>
          <w:spacing w:val="-11"/>
        </w:rPr>
        <w:t> </w:t>
      </w:r>
      <w:r>
        <w:rPr/>
        <w:t>the</w:t>
      </w:r>
      <w:r>
        <w:rPr>
          <w:spacing w:val="-10"/>
        </w:rPr>
        <w:t> </w:t>
      </w:r>
      <w:r>
        <w:rPr/>
        <w:t>full</w:t>
      </w:r>
      <w:r>
        <w:rPr>
          <w:spacing w:val="-10"/>
        </w:rPr>
        <w:t> </w:t>
      </w:r>
      <w:r>
        <w:rPr/>
        <w:t>retrospective</w:t>
      </w:r>
      <w:r>
        <w:rPr>
          <w:spacing w:val="-11"/>
        </w:rPr>
        <w:t> </w:t>
      </w:r>
      <w:r>
        <w:rPr/>
        <w:t>or</w:t>
      </w:r>
      <w:r>
        <w:rPr>
          <w:spacing w:val="-10"/>
        </w:rPr>
        <w:t> </w:t>
      </w:r>
      <w:r>
        <w:rPr/>
        <w:t>modified</w:t>
      </w:r>
      <w:r>
        <w:rPr>
          <w:spacing w:val="-10"/>
        </w:rPr>
        <w:t> </w:t>
      </w:r>
      <w:r>
        <w:rPr/>
        <w:t>retrospective</w:t>
      </w:r>
      <w:r>
        <w:rPr>
          <w:spacing w:val="-11"/>
        </w:rPr>
        <w:t> </w:t>
      </w:r>
      <w:r>
        <w:rPr/>
        <w:t>transition</w:t>
      </w:r>
      <w:r>
        <w:rPr>
          <w:spacing w:val="-10"/>
        </w:rPr>
        <w:t> </w:t>
      </w:r>
      <w:r>
        <w:rPr/>
        <w:t>method.</w:t>
      </w:r>
      <w:r>
        <w:rPr>
          <w:spacing w:val="-10"/>
        </w:rPr>
        <w:t> </w:t>
      </w:r>
      <w:r>
        <w:rPr/>
        <w:t>In</w:t>
      </w:r>
      <w:r>
        <w:rPr>
          <w:spacing w:val="-13"/>
        </w:rPr>
        <w:t> </w:t>
      </w:r>
      <w:r>
        <w:rPr/>
        <w:t>August</w:t>
      </w:r>
      <w:r>
        <w:rPr>
          <w:spacing w:val="-9"/>
        </w:rPr>
        <w:t> </w:t>
      </w:r>
      <w:r>
        <w:rPr/>
        <w:t>2015,</w:t>
      </w:r>
      <w:r>
        <w:rPr>
          <w:spacing w:val="-10"/>
        </w:rPr>
        <w:t> </w:t>
      </w:r>
      <w:r>
        <w:rPr/>
        <w:t>the</w:t>
      </w:r>
      <w:r>
        <w:rPr>
          <w:spacing w:val="-10"/>
        </w:rPr>
        <w:t> </w:t>
      </w:r>
      <w:r>
        <w:rPr/>
        <w:t>FASB</w:t>
      </w:r>
      <w:r>
        <w:rPr>
          <w:spacing w:val="-10"/>
        </w:rPr>
        <w:t> </w:t>
      </w:r>
      <w:r>
        <w:rPr/>
        <w:t>issued</w:t>
      </w:r>
      <w:r>
        <w:rPr>
          <w:spacing w:val="-13"/>
        </w:rPr>
        <w:t> </w:t>
      </w:r>
      <w:r>
        <w:rPr/>
        <w:t>ASU No. 2015-14, Revenue from Contracts with Customers: Deferral of the Effective Date, which deferred the effective date of the new revenue standard for periods beginning after December 15, 2016 to December 15, 2017, with early adoption permitted but not</w:t>
      </w:r>
      <w:r>
        <w:rPr>
          <w:spacing w:val="-6"/>
        </w:rPr>
        <w:t> </w:t>
      </w:r>
      <w:r>
        <w:rPr/>
        <w:t>earlier</w:t>
      </w:r>
      <w:r>
        <w:rPr>
          <w:spacing w:val="-5"/>
        </w:rPr>
        <w:t> </w:t>
      </w:r>
      <w:r>
        <w:rPr/>
        <w:t>than</w:t>
      </w:r>
      <w:r>
        <w:rPr>
          <w:spacing w:val="-5"/>
        </w:rPr>
        <w:t> </w:t>
      </w:r>
      <w:r>
        <w:rPr/>
        <w:t>the</w:t>
      </w:r>
      <w:r>
        <w:rPr>
          <w:spacing w:val="-5"/>
        </w:rPr>
        <w:t> </w:t>
      </w:r>
      <w:r>
        <w:rPr/>
        <w:t>original</w:t>
      </w:r>
      <w:r>
        <w:rPr>
          <w:spacing w:val="-5"/>
        </w:rPr>
        <w:t> </w:t>
      </w:r>
      <w:r>
        <w:rPr/>
        <w:t>effective</w:t>
      </w:r>
      <w:r>
        <w:rPr>
          <w:spacing w:val="-5"/>
        </w:rPr>
        <w:t> </w:t>
      </w:r>
      <w:r>
        <w:rPr/>
        <w:t>date.</w:t>
      </w:r>
      <w:r>
        <w:rPr>
          <w:spacing w:val="-13"/>
        </w:rPr>
        <w:t> </w:t>
      </w:r>
      <w:r>
        <w:rPr/>
        <w:t>Accordingly,</w:t>
      </w:r>
      <w:r>
        <w:rPr>
          <w:spacing w:val="-4"/>
        </w:rPr>
        <w:t> </w:t>
      </w:r>
      <w:r>
        <w:rPr/>
        <w:t>the</w:t>
      </w:r>
      <w:r>
        <w:rPr>
          <w:spacing w:val="-5"/>
        </w:rPr>
        <w:t> </w:t>
      </w:r>
      <w:r>
        <w:rPr/>
        <w:t>updated</w:t>
      </w:r>
      <w:r>
        <w:rPr>
          <w:spacing w:val="-5"/>
        </w:rPr>
        <w:t> </w:t>
      </w:r>
      <w:r>
        <w:rPr/>
        <w:t>standard</w:t>
      </w:r>
      <w:r>
        <w:rPr>
          <w:spacing w:val="-5"/>
        </w:rPr>
        <w:t> </w:t>
      </w:r>
      <w:r>
        <w:rPr/>
        <w:t>is</w:t>
      </w:r>
      <w:r>
        <w:rPr>
          <w:spacing w:val="-5"/>
        </w:rPr>
        <w:t> </w:t>
      </w:r>
      <w:r>
        <w:rPr/>
        <w:t>effective</w:t>
      </w:r>
      <w:r>
        <w:rPr>
          <w:spacing w:val="-5"/>
        </w:rPr>
        <w:t> </w:t>
      </w:r>
      <w:r>
        <w:rPr/>
        <w:t>for</w:t>
      </w:r>
      <w:r>
        <w:rPr>
          <w:spacing w:val="-4"/>
        </w:rPr>
        <w:t> </w:t>
      </w:r>
      <w:r>
        <w:rPr/>
        <w:t>us</w:t>
      </w:r>
      <w:r>
        <w:rPr>
          <w:spacing w:val="-5"/>
        </w:rPr>
        <w:t> </w:t>
      </w:r>
      <w:r>
        <w:rPr/>
        <w:t>in</w:t>
      </w:r>
      <w:r>
        <w:rPr>
          <w:spacing w:val="-5"/>
        </w:rPr>
        <w:t> </w:t>
      </w:r>
      <w:r>
        <w:rPr/>
        <w:t>the</w:t>
      </w:r>
      <w:r>
        <w:rPr>
          <w:spacing w:val="-5"/>
        </w:rPr>
        <w:t> </w:t>
      </w:r>
      <w:r>
        <w:rPr/>
        <w:t>first</w:t>
      </w:r>
      <w:r>
        <w:rPr>
          <w:spacing w:val="-5"/>
        </w:rPr>
        <w:t> </w:t>
      </w:r>
      <w:r>
        <w:rPr/>
        <w:t>quarter</w:t>
      </w:r>
      <w:r>
        <w:rPr>
          <w:spacing w:val="-5"/>
        </w:rPr>
        <w:t> </w:t>
      </w:r>
      <w:r>
        <w:rPr/>
        <w:t>of</w:t>
      </w:r>
      <w:r>
        <w:rPr>
          <w:spacing w:val="-5"/>
        </w:rPr>
        <w:t> </w:t>
      </w:r>
      <w:r>
        <w:rPr/>
        <w:t>fiscal</w:t>
      </w:r>
      <w:r>
        <w:rPr>
          <w:spacing w:val="-5"/>
        </w:rPr>
        <w:t> </w:t>
      </w:r>
      <w:r>
        <w:rPr/>
        <w:t>2019. We expect to adopt this updated standard in the first quarter of fiscal 2019 on a modified retrospective basis. We are currently evaluating the effect that the updated standard will have on our Consolidated Financial Statements and related disclosures.</w:t>
      </w:r>
    </w:p>
    <w:p>
      <w:pPr>
        <w:pStyle w:val="BodyText"/>
        <w:spacing w:line="249" w:lineRule="auto" w:before="168"/>
        <w:ind w:left="220" w:right="257" w:firstLine="540"/>
        <w:jc w:val="both"/>
      </w:pPr>
      <w:r>
        <w:rPr/>
        <w:t>While</w:t>
      </w:r>
      <w:r>
        <w:rPr>
          <w:spacing w:val="-4"/>
        </w:rPr>
        <w:t> </w:t>
      </w:r>
      <w:r>
        <w:rPr/>
        <w:t>we</w:t>
      </w:r>
      <w:r>
        <w:rPr>
          <w:spacing w:val="-4"/>
        </w:rPr>
        <w:t> </w:t>
      </w:r>
      <w:r>
        <w:rPr/>
        <w:t>are</w:t>
      </w:r>
      <w:r>
        <w:rPr>
          <w:spacing w:val="-3"/>
        </w:rPr>
        <w:t> </w:t>
      </w:r>
      <w:r>
        <w:rPr/>
        <w:t>continuing</w:t>
      </w:r>
      <w:r>
        <w:rPr>
          <w:spacing w:val="-3"/>
        </w:rPr>
        <w:t> </w:t>
      </w:r>
      <w:r>
        <w:rPr/>
        <w:t>to</w:t>
      </w:r>
      <w:r>
        <w:rPr>
          <w:spacing w:val="-4"/>
        </w:rPr>
        <w:t> </w:t>
      </w:r>
      <w:r>
        <w:rPr/>
        <w:t>assess</w:t>
      </w:r>
      <w:r>
        <w:rPr>
          <w:spacing w:val="-3"/>
        </w:rPr>
        <w:t> </w:t>
      </w:r>
      <w:r>
        <w:rPr/>
        <w:t>all</w:t>
      </w:r>
      <w:r>
        <w:rPr>
          <w:spacing w:val="-4"/>
        </w:rPr>
        <w:t> </w:t>
      </w:r>
      <w:r>
        <w:rPr/>
        <w:t>potential</w:t>
      </w:r>
      <w:r>
        <w:rPr>
          <w:spacing w:val="-4"/>
        </w:rPr>
        <w:t> </w:t>
      </w:r>
      <w:r>
        <w:rPr/>
        <w:t>impacts</w:t>
      </w:r>
      <w:r>
        <w:rPr>
          <w:spacing w:val="-3"/>
        </w:rPr>
        <w:t> </w:t>
      </w:r>
      <w:r>
        <w:rPr/>
        <w:t>of</w:t>
      </w:r>
      <w:r>
        <w:rPr>
          <w:spacing w:val="-3"/>
        </w:rPr>
        <w:t> </w:t>
      </w:r>
      <w:r>
        <w:rPr/>
        <w:t>the</w:t>
      </w:r>
      <w:r>
        <w:rPr>
          <w:spacing w:val="-4"/>
        </w:rPr>
        <w:t> </w:t>
      </w:r>
      <w:r>
        <w:rPr/>
        <w:t>new</w:t>
      </w:r>
      <w:r>
        <w:rPr>
          <w:spacing w:val="-3"/>
        </w:rPr>
        <w:t> </w:t>
      </w:r>
      <w:r>
        <w:rPr/>
        <w:t>standard,</w:t>
      </w:r>
      <w:r>
        <w:rPr>
          <w:spacing w:val="-3"/>
        </w:rPr>
        <w:t> </w:t>
      </w:r>
      <w:r>
        <w:rPr/>
        <w:t>we</w:t>
      </w:r>
      <w:r>
        <w:rPr>
          <w:spacing w:val="-4"/>
        </w:rPr>
        <w:t> </w:t>
      </w:r>
      <w:r>
        <w:rPr/>
        <w:t>currently</w:t>
      </w:r>
      <w:r>
        <w:rPr>
          <w:spacing w:val="-3"/>
        </w:rPr>
        <w:t> </w:t>
      </w:r>
      <w:r>
        <w:rPr/>
        <w:t>believe</w:t>
      </w:r>
      <w:r>
        <w:rPr>
          <w:spacing w:val="-4"/>
        </w:rPr>
        <w:t> </w:t>
      </w:r>
      <w:r>
        <w:rPr/>
        <w:t>that</w:t>
      </w:r>
      <w:r>
        <w:rPr>
          <w:spacing w:val="-4"/>
        </w:rPr>
        <w:t> </w:t>
      </w:r>
      <w:r>
        <w:rPr/>
        <w:t>the</w:t>
      </w:r>
      <w:r>
        <w:rPr>
          <w:spacing w:val="-3"/>
        </w:rPr>
        <w:t> </w:t>
      </w:r>
      <w:r>
        <w:rPr/>
        <w:t>most</w:t>
      </w:r>
      <w:r>
        <w:rPr>
          <w:spacing w:val="-4"/>
        </w:rPr>
        <w:t> </w:t>
      </w:r>
      <w:r>
        <w:rPr/>
        <w:t>significant </w:t>
      </w:r>
      <w:r>
        <w:rPr>
          <w:spacing w:val="-2"/>
        </w:rPr>
        <w:t>impact relates to our accounting for arrangements that include on-premise term-based software licenses bundled with maintenance </w:t>
      </w:r>
      <w:r>
        <w:rPr/>
        <w:t>and support. Under current GAAP, the revenue attributable to these software licenses is recognized ratably over the term of the arrangement</w:t>
      </w:r>
      <w:r>
        <w:rPr>
          <w:spacing w:val="-2"/>
        </w:rPr>
        <w:t> </w:t>
      </w:r>
      <w:r>
        <w:rPr/>
        <w:t>because</w:t>
      </w:r>
      <w:r>
        <w:rPr>
          <w:spacing w:val="-5"/>
        </w:rPr>
        <w:t> </w:t>
      </w:r>
      <w:r>
        <w:rPr/>
        <w:t>VSOE</w:t>
      </w:r>
      <w:r>
        <w:rPr>
          <w:spacing w:val="-2"/>
        </w:rPr>
        <w:t> </w:t>
      </w:r>
      <w:r>
        <w:rPr/>
        <w:t>does</w:t>
      </w:r>
      <w:r>
        <w:rPr>
          <w:spacing w:val="-2"/>
        </w:rPr>
        <w:t> </w:t>
      </w:r>
      <w:r>
        <w:rPr/>
        <w:t>not</w:t>
      </w:r>
      <w:r>
        <w:rPr>
          <w:spacing w:val="-2"/>
        </w:rPr>
        <w:t> </w:t>
      </w:r>
      <w:r>
        <w:rPr/>
        <w:t>exist</w:t>
      </w:r>
      <w:r>
        <w:rPr>
          <w:spacing w:val="-2"/>
        </w:rPr>
        <w:t> </w:t>
      </w:r>
      <w:r>
        <w:rPr/>
        <w:t>for</w:t>
      </w:r>
      <w:r>
        <w:rPr>
          <w:spacing w:val="-2"/>
        </w:rPr>
        <w:t> </w:t>
      </w:r>
      <w:r>
        <w:rPr/>
        <w:t>the</w:t>
      </w:r>
      <w:r>
        <w:rPr>
          <w:spacing w:val="-2"/>
        </w:rPr>
        <w:t> </w:t>
      </w:r>
      <w:r>
        <w:rPr/>
        <w:t>undelivered</w:t>
      </w:r>
      <w:r>
        <w:rPr>
          <w:spacing w:val="-2"/>
        </w:rPr>
        <w:t> </w:t>
      </w:r>
      <w:r>
        <w:rPr/>
        <w:t>maintenance</w:t>
      </w:r>
      <w:r>
        <w:rPr>
          <w:spacing w:val="-2"/>
        </w:rPr>
        <w:t> </w:t>
      </w:r>
      <w:r>
        <w:rPr/>
        <w:t>and</w:t>
      </w:r>
      <w:r>
        <w:rPr>
          <w:spacing w:val="-2"/>
        </w:rPr>
        <w:t> </w:t>
      </w:r>
      <w:r>
        <w:rPr/>
        <w:t>support</w:t>
      </w:r>
      <w:r>
        <w:rPr>
          <w:spacing w:val="-2"/>
        </w:rPr>
        <w:t> </w:t>
      </w:r>
      <w:r>
        <w:rPr/>
        <w:t>element</w:t>
      </w:r>
      <w:r>
        <w:rPr>
          <w:spacing w:val="-2"/>
        </w:rPr>
        <w:t> </w:t>
      </w:r>
      <w:r>
        <w:rPr/>
        <w:t>as</w:t>
      </w:r>
      <w:r>
        <w:rPr>
          <w:spacing w:val="-2"/>
        </w:rPr>
        <w:t> </w:t>
      </w:r>
      <w:r>
        <w:rPr/>
        <w:t>it</w:t>
      </w:r>
      <w:r>
        <w:rPr>
          <w:spacing w:val="-2"/>
        </w:rPr>
        <w:t> </w:t>
      </w:r>
      <w:r>
        <w:rPr/>
        <w:t>is</w:t>
      </w:r>
      <w:r>
        <w:rPr>
          <w:spacing w:val="-2"/>
        </w:rPr>
        <w:t> </w:t>
      </w:r>
      <w:r>
        <w:rPr/>
        <w:t>not</w:t>
      </w:r>
      <w:r>
        <w:rPr>
          <w:spacing w:val="-2"/>
        </w:rPr>
        <w:t> </w:t>
      </w:r>
      <w:r>
        <w:rPr/>
        <w:t>sold</w:t>
      </w:r>
      <w:r>
        <w:rPr>
          <w:spacing w:val="-2"/>
        </w:rPr>
        <w:t> </w:t>
      </w:r>
      <w:r>
        <w:rPr/>
        <w:t>separately.</w:t>
      </w:r>
      <w:r>
        <w:rPr>
          <w:spacing w:val="-4"/>
        </w:rPr>
        <w:t> </w:t>
      </w:r>
      <w:r>
        <w:rPr/>
        <w:t>The requirement to have VSOE for undelivered elements to enable the separation of revenue for the delivered software licenses is eliminated</w:t>
      </w:r>
      <w:r>
        <w:rPr>
          <w:spacing w:val="-9"/>
        </w:rPr>
        <w:t> </w:t>
      </w:r>
      <w:r>
        <w:rPr/>
        <w:t>under</w:t>
      </w:r>
      <w:r>
        <w:rPr>
          <w:spacing w:val="-6"/>
        </w:rPr>
        <w:t> </w:t>
      </w:r>
      <w:r>
        <w:rPr/>
        <w:t>the</w:t>
      </w:r>
      <w:r>
        <w:rPr>
          <w:spacing w:val="-6"/>
        </w:rPr>
        <w:t> </w:t>
      </w:r>
      <w:r>
        <w:rPr/>
        <w:t>new</w:t>
      </w:r>
      <w:r>
        <w:rPr>
          <w:spacing w:val="-6"/>
        </w:rPr>
        <w:t> </w:t>
      </w:r>
      <w:r>
        <w:rPr/>
        <w:t>standard.</w:t>
      </w:r>
      <w:r>
        <w:rPr>
          <w:spacing w:val="-13"/>
        </w:rPr>
        <w:t> </w:t>
      </w:r>
      <w:r>
        <w:rPr/>
        <w:t>Accordingly,</w:t>
      </w:r>
      <w:r>
        <w:rPr>
          <w:spacing w:val="-6"/>
        </w:rPr>
        <w:t> </w:t>
      </w:r>
      <w:r>
        <w:rPr/>
        <w:t>under</w:t>
      </w:r>
      <w:r>
        <w:rPr>
          <w:spacing w:val="-6"/>
        </w:rPr>
        <w:t> </w:t>
      </w:r>
      <w:r>
        <w:rPr/>
        <w:t>the</w:t>
      </w:r>
      <w:r>
        <w:rPr>
          <w:spacing w:val="-6"/>
        </w:rPr>
        <w:t> </w:t>
      </w:r>
      <w:r>
        <w:rPr/>
        <w:t>new</w:t>
      </w:r>
      <w:r>
        <w:rPr>
          <w:spacing w:val="-6"/>
        </w:rPr>
        <w:t> </w:t>
      </w:r>
      <w:r>
        <w:rPr/>
        <w:t>standard</w:t>
      </w:r>
      <w:r>
        <w:rPr>
          <w:spacing w:val="-6"/>
        </w:rPr>
        <w:t> </w:t>
      </w:r>
      <w:r>
        <w:rPr/>
        <w:t>we</w:t>
      </w:r>
      <w:r>
        <w:rPr>
          <w:spacing w:val="-6"/>
        </w:rPr>
        <w:t> </w:t>
      </w:r>
      <w:r>
        <w:rPr/>
        <w:t>will</w:t>
      </w:r>
      <w:r>
        <w:rPr>
          <w:spacing w:val="-6"/>
        </w:rPr>
        <w:t> </w:t>
      </w:r>
      <w:r>
        <w:rPr/>
        <w:t>be</w:t>
      </w:r>
      <w:r>
        <w:rPr>
          <w:spacing w:val="-6"/>
        </w:rPr>
        <w:t> </w:t>
      </w:r>
      <w:r>
        <w:rPr/>
        <w:t>required</w:t>
      </w:r>
      <w:r>
        <w:rPr>
          <w:spacing w:val="-6"/>
        </w:rPr>
        <w:t> </w:t>
      </w:r>
      <w:r>
        <w:rPr/>
        <w:t>to</w:t>
      </w:r>
      <w:r>
        <w:rPr>
          <w:spacing w:val="-6"/>
        </w:rPr>
        <w:t> </w:t>
      </w:r>
      <w:r>
        <w:rPr/>
        <w:t>recognize</w:t>
      </w:r>
      <w:r>
        <w:rPr>
          <w:spacing w:val="-6"/>
        </w:rPr>
        <w:t> </w:t>
      </w:r>
      <w:r>
        <w:rPr/>
        <w:t>as</w:t>
      </w:r>
      <w:r>
        <w:rPr>
          <w:spacing w:val="-6"/>
        </w:rPr>
        <w:t> </w:t>
      </w:r>
      <w:r>
        <w:rPr/>
        <w:t>revenue</w:t>
      </w:r>
      <w:r>
        <w:rPr>
          <w:spacing w:val="-6"/>
        </w:rPr>
        <w:t> </w:t>
      </w:r>
      <w:r>
        <w:rPr/>
        <w:t>a</w:t>
      </w:r>
      <w:r>
        <w:rPr>
          <w:spacing w:val="-6"/>
        </w:rPr>
        <w:t> </w:t>
      </w:r>
      <w:r>
        <w:rPr/>
        <w:t>portion</w:t>
      </w:r>
      <w:r>
        <w:rPr>
          <w:spacing w:val="-6"/>
        </w:rPr>
        <w:t> </w:t>
      </w:r>
      <w:r>
        <w:rPr/>
        <w:t>of the arrangement fee upon delivery of the software licenses. We expect revenue related to our professional services and cloud offerings,</w:t>
      </w:r>
      <w:r>
        <w:rPr>
          <w:spacing w:val="-7"/>
        </w:rPr>
        <w:t> </w:t>
      </w:r>
      <w:r>
        <w:rPr/>
        <w:t>including</w:t>
      </w:r>
      <w:r>
        <w:rPr>
          <w:spacing w:val="-7"/>
        </w:rPr>
        <w:t> </w:t>
      </w:r>
      <w:r>
        <w:rPr/>
        <w:t>Creative</w:t>
      </w:r>
      <w:r>
        <w:rPr>
          <w:spacing w:val="-7"/>
        </w:rPr>
        <w:t> </w:t>
      </w:r>
      <w:r>
        <w:rPr/>
        <w:t>Cloud</w:t>
      </w:r>
      <w:r>
        <w:rPr>
          <w:spacing w:val="-7"/>
        </w:rPr>
        <w:t> </w:t>
      </w:r>
      <w:r>
        <w:rPr/>
        <w:t>and</w:t>
      </w:r>
      <w:r>
        <w:rPr>
          <w:spacing w:val="-7"/>
        </w:rPr>
        <w:t> </w:t>
      </w:r>
      <w:r>
        <w:rPr/>
        <w:t>Document</w:t>
      </w:r>
      <w:r>
        <w:rPr>
          <w:spacing w:val="-7"/>
        </w:rPr>
        <w:t> </w:t>
      </w:r>
      <w:r>
        <w:rPr/>
        <w:t>Cloud</w:t>
      </w:r>
      <w:r>
        <w:rPr>
          <w:spacing w:val="-7"/>
        </w:rPr>
        <w:t> </w:t>
      </w:r>
      <w:r>
        <w:rPr/>
        <w:t>for</w:t>
      </w:r>
      <w:r>
        <w:rPr>
          <w:spacing w:val="-7"/>
        </w:rPr>
        <w:t> </w:t>
      </w:r>
      <w:r>
        <w:rPr/>
        <w:t>business</w:t>
      </w:r>
      <w:r>
        <w:rPr>
          <w:spacing w:val="-7"/>
        </w:rPr>
        <w:t> </w:t>
      </w:r>
      <w:r>
        <w:rPr/>
        <w:t>enterprises,</w:t>
      </w:r>
      <w:r>
        <w:rPr>
          <w:spacing w:val="-7"/>
        </w:rPr>
        <w:t> </w:t>
      </w:r>
      <w:r>
        <w:rPr/>
        <w:t>individuals</w:t>
      </w:r>
      <w:r>
        <w:rPr>
          <w:spacing w:val="-7"/>
        </w:rPr>
        <w:t> </w:t>
      </w:r>
      <w:r>
        <w:rPr/>
        <w:t>and</w:t>
      </w:r>
      <w:r>
        <w:rPr>
          <w:spacing w:val="-7"/>
        </w:rPr>
        <w:t> </w:t>
      </w:r>
      <w:r>
        <w:rPr/>
        <w:t>teams,</w:t>
      </w:r>
      <w:r>
        <w:rPr>
          <w:spacing w:val="-7"/>
        </w:rPr>
        <w:t> </w:t>
      </w:r>
      <w:r>
        <w:rPr/>
        <w:t>to</w:t>
      </w:r>
      <w:r>
        <w:rPr>
          <w:spacing w:val="-7"/>
        </w:rPr>
        <w:t> </w:t>
      </w:r>
      <w:r>
        <w:rPr/>
        <w:t>remain</w:t>
      </w:r>
      <w:r>
        <w:rPr>
          <w:spacing w:val="-7"/>
        </w:rPr>
        <w:t> </w:t>
      </w:r>
      <w:r>
        <w:rPr/>
        <w:t>substantially unchanged.</w:t>
      </w:r>
      <w:r>
        <w:rPr>
          <w:spacing w:val="-13"/>
        </w:rPr>
        <w:t> </w:t>
      </w:r>
      <w:r>
        <w:rPr/>
        <w:t>When</w:t>
      </w:r>
      <w:r>
        <w:rPr>
          <w:spacing w:val="-12"/>
        </w:rPr>
        <w:t> </w:t>
      </w:r>
      <w:r>
        <w:rPr/>
        <w:t>sold</w:t>
      </w:r>
      <w:r>
        <w:rPr>
          <w:spacing w:val="-13"/>
        </w:rPr>
        <w:t> </w:t>
      </w:r>
      <w:r>
        <w:rPr/>
        <w:t>with</w:t>
      </w:r>
      <w:r>
        <w:rPr>
          <w:spacing w:val="-12"/>
        </w:rPr>
        <w:t> </w:t>
      </w:r>
      <w:r>
        <w:rPr/>
        <w:t>cloud-enabled</w:t>
      </w:r>
      <w:r>
        <w:rPr>
          <w:spacing w:val="-13"/>
        </w:rPr>
        <w:t> </w:t>
      </w:r>
      <w:r>
        <w:rPr/>
        <w:t>services,</w:t>
      </w:r>
      <w:r>
        <w:rPr>
          <w:spacing w:val="-12"/>
        </w:rPr>
        <w:t> </w:t>
      </w:r>
      <w:r>
        <w:rPr/>
        <w:t>Creative</w:t>
      </w:r>
      <w:r>
        <w:rPr>
          <w:spacing w:val="-13"/>
        </w:rPr>
        <w:t> </w:t>
      </w:r>
      <w:r>
        <w:rPr/>
        <w:t>Cloud</w:t>
      </w:r>
      <w:r>
        <w:rPr>
          <w:spacing w:val="-12"/>
        </w:rPr>
        <w:t> </w:t>
      </w:r>
      <w:r>
        <w:rPr/>
        <w:t>and</w:t>
      </w:r>
      <w:r>
        <w:rPr>
          <w:spacing w:val="-13"/>
        </w:rPr>
        <w:t> </w:t>
      </w:r>
      <w:r>
        <w:rPr/>
        <w:t>Document</w:t>
      </w:r>
      <w:r>
        <w:rPr>
          <w:spacing w:val="-12"/>
        </w:rPr>
        <w:t> </w:t>
      </w:r>
      <w:r>
        <w:rPr/>
        <w:t>Cloud</w:t>
      </w:r>
      <w:r>
        <w:rPr>
          <w:spacing w:val="-13"/>
        </w:rPr>
        <w:t> </w:t>
      </w:r>
      <w:r>
        <w:rPr/>
        <w:t>require</w:t>
      </w:r>
      <w:r>
        <w:rPr>
          <w:spacing w:val="-12"/>
        </w:rPr>
        <w:t> </w:t>
      </w:r>
      <w:r>
        <w:rPr/>
        <w:t>a</w:t>
      </w:r>
      <w:r>
        <w:rPr>
          <w:spacing w:val="-13"/>
        </w:rPr>
        <w:t> </w:t>
      </w:r>
      <w:r>
        <w:rPr/>
        <w:t>significant</w:t>
      </w:r>
      <w:r>
        <w:rPr>
          <w:spacing w:val="-12"/>
        </w:rPr>
        <w:t> </w:t>
      </w:r>
      <w:r>
        <w:rPr/>
        <w:t>level</w:t>
      </w:r>
      <w:r>
        <w:rPr>
          <w:spacing w:val="-13"/>
        </w:rPr>
        <w:t> </w:t>
      </w:r>
      <w:r>
        <w:rPr/>
        <w:t>of</w:t>
      </w:r>
      <w:r>
        <w:rPr>
          <w:spacing w:val="-12"/>
        </w:rPr>
        <w:t> </w:t>
      </w:r>
      <w:r>
        <w:rPr/>
        <w:t>integration and interdependency with software and the individual components are not considered distinct. Revenue for these offerings will </w:t>
      </w:r>
      <w:r>
        <w:rPr>
          <w:spacing w:val="-2"/>
        </w:rPr>
        <w:t>continue</w:t>
      </w:r>
      <w:r>
        <w:rPr>
          <w:spacing w:val="-7"/>
        </w:rPr>
        <w:t> </w:t>
      </w:r>
      <w:r>
        <w:rPr>
          <w:spacing w:val="-2"/>
        </w:rPr>
        <w:t>to</w:t>
      </w:r>
      <w:r>
        <w:rPr>
          <w:spacing w:val="-7"/>
        </w:rPr>
        <w:t> </w:t>
      </w:r>
      <w:r>
        <w:rPr>
          <w:spacing w:val="-2"/>
        </w:rPr>
        <w:t>be</w:t>
      </w:r>
      <w:r>
        <w:rPr>
          <w:spacing w:val="-7"/>
        </w:rPr>
        <w:t> </w:t>
      </w:r>
      <w:r>
        <w:rPr>
          <w:spacing w:val="-2"/>
        </w:rPr>
        <w:t>recognized</w:t>
      </w:r>
      <w:r>
        <w:rPr>
          <w:spacing w:val="-7"/>
        </w:rPr>
        <w:t> </w:t>
      </w:r>
      <w:r>
        <w:rPr>
          <w:spacing w:val="-2"/>
        </w:rPr>
        <w:t>over</w:t>
      </w:r>
      <w:r>
        <w:rPr>
          <w:spacing w:val="-7"/>
        </w:rPr>
        <w:t> </w:t>
      </w:r>
      <w:r>
        <w:rPr>
          <w:spacing w:val="-2"/>
        </w:rPr>
        <w:t>the</w:t>
      </w:r>
      <w:r>
        <w:rPr>
          <w:spacing w:val="-7"/>
        </w:rPr>
        <w:t> </w:t>
      </w:r>
      <w:r>
        <w:rPr>
          <w:spacing w:val="-2"/>
        </w:rPr>
        <w:t>period</w:t>
      </w:r>
      <w:r>
        <w:rPr>
          <w:spacing w:val="-7"/>
        </w:rPr>
        <w:t> </w:t>
      </w:r>
      <w:r>
        <w:rPr>
          <w:spacing w:val="-2"/>
        </w:rPr>
        <w:t>in</w:t>
      </w:r>
      <w:r>
        <w:rPr>
          <w:spacing w:val="-7"/>
        </w:rPr>
        <w:t> </w:t>
      </w:r>
      <w:r>
        <w:rPr>
          <w:spacing w:val="-2"/>
        </w:rPr>
        <w:t>which</w:t>
      </w:r>
      <w:r>
        <w:rPr>
          <w:spacing w:val="-7"/>
        </w:rPr>
        <w:t> </w:t>
      </w:r>
      <w:r>
        <w:rPr>
          <w:spacing w:val="-2"/>
        </w:rPr>
        <w:t>the</w:t>
      </w:r>
      <w:r>
        <w:rPr>
          <w:spacing w:val="-7"/>
        </w:rPr>
        <w:t> </w:t>
      </w:r>
      <w:r>
        <w:rPr>
          <w:spacing w:val="-2"/>
        </w:rPr>
        <w:t>cloud</w:t>
      </w:r>
      <w:r>
        <w:rPr>
          <w:spacing w:val="-7"/>
        </w:rPr>
        <w:t> </w:t>
      </w:r>
      <w:r>
        <w:rPr>
          <w:spacing w:val="-2"/>
        </w:rPr>
        <w:t>services</w:t>
      </w:r>
      <w:r>
        <w:rPr>
          <w:spacing w:val="-7"/>
        </w:rPr>
        <w:t> </w:t>
      </w:r>
      <w:r>
        <w:rPr>
          <w:spacing w:val="-2"/>
        </w:rPr>
        <w:t>are</w:t>
      </w:r>
      <w:r>
        <w:rPr>
          <w:spacing w:val="-7"/>
        </w:rPr>
        <w:t> </w:t>
      </w:r>
      <w:r>
        <w:rPr>
          <w:spacing w:val="-2"/>
        </w:rPr>
        <w:t>provided.</w:t>
      </w:r>
      <w:r>
        <w:rPr>
          <w:spacing w:val="40"/>
        </w:rPr>
        <w:t> </w:t>
      </w:r>
      <w:r>
        <w:rPr>
          <w:spacing w:val="-2"/>
        </w:rPr>
        <w:t>Under</w:t>
      </w:r>
      <w:r>
        <w:rPr>
          <w:spacing w:val="-7"/>
        </w:rPr>
        <w:t> </w:t>
      </w:r>
      <w:r>
        <w:rPr>
          <w:spacing w:val="-2"/>
        </w:rPr>
        <w:t>current</w:t>
      </w:r>
      <w:r>
        <w:rPr>
          <w:spacing w:val="-7"/>
        </w:rPr>
        <w:t> </w:t>
      </w:r>
      <w:r>
        <w:rPr>
          <w:spacing w:val="-2"/>
        </w:rPr>
        <w:t>GAAP,</w:t>
      </w:r>
      <w:r>
        <w:rPr>
          <w:spacing w:val="-7"/>
        </w:rPr>
        <w:t> </w:t>
      </w:r>
      <w:r>
        <w:rPr>
          <w:spacing w:val="-2"/>
        </w:rPr>
        <w:t>we</w:t>
      </w:r>
      <w:r>
        <w:rPr>
          <w:spacing w:val="-7"/>
        </w:rPr>
        <w:t> </w:t>
      </w:r>
      <w:r>
        <w:rPr>
          <w:spacing w:val="-2"/>
        </w:rPr>
        <w:t>expense</w:t>
      </w:r>
      <w:r>
        <w:rPr>
          <w:spacing w:val="-7"/>
        </w:rPr>
        <w:t> </w:t>
      </w:r>
      <w:r>
        <w:rPr>
          <w:spacing w:val="-2"/>
        </w:rPr>
        <w:t>costs</w:t>
      </w:r>
      <w:r>
        <w:rPr>
          <w:spacing w:val="-7"/>
        </w:rPr>
        <w:t> </w:t>
      </w:r>
      <w:r>
        <w:rPr>
          <w:spacing w:val="-2"/>
        </w:rPr>
        <w:t>related </w:t>
      </w:r>
      <w:r>
        <w:rPr/>
        <w:t>to the acquisition of revenue-generating contracts as incurred. Under the new standard, we will be required to capitalize certain costs</w:t>
      </w:r>
      <w:r>
        <w:rPr>
          <w:spacing w:val="-5"/>
        </w:rPr>
        <w:t> </w:t>
      </w:r>
      <w:r>
        <w:rPr/>
        <w:t>incremental</w:t>
      </w:r>
      <w:r>
        <w:rPr>
          <w:spacing w:val="-6"/>
        </w:rPr>
        <w:t> </w:t>
      </w:r>
      <w:r>
        <w:rPr/>
        <w:t>to</w:t>
      </w:r>
      <w:r>
        <w:rPr>
          <w:spacing w:val="-5"/>
        </w:rPr>
        <w:t> </w:t>
      </w:r>
      <w:r>
        <w:rPr/>
        <w:t>contract</w:t>
      </w:r>
      <w:r>
        <w:rPr>
          <w:spacing w:val="-6"/>
        </w:rPr>
        <w:t> </w:t>
      </w:r>
      <w:r>
        <w:rPr/>
        <w:t>acquisition</w:t>
      </w:r>
      <w:r>
        <w:rPr>
          <w:spacing w:val="-6"/>
        </w:rPr>
        <w:t> </w:t>
      </w:r>
      <w:r>
        <w:rPr/>
        <w:t>and</w:t>
      </w:r>
      <w:r>
        <w:rPr>
          <w:spacing w:val="-5"/>
        </w:rPr>
        <w:t> </w:t>
      </w:r>
      <w:r>
        <w:rPr/>
        <w:t>amortize</w:t>
      </w:r>
      <w:r>
        <w:rPr>
          <w:spacing w:val="-6"/>
        </w:rPr>
        <w:t> </w:t>
      </w:r>
      <w:r>
        <w:rPr/>
        <w:t>them</w:t>
      </w:r>
      <w:r>
        <w:rPr>
          <w:spacing w:val="-6"/>
        </w:rPr>
        <w:t> </w:t>
      </w:r>
      <w:r>
        <w:rPr/>
        <w:t>over</w:t>
      </w:r>
      <w:r>
        <w:rPr>
          <w:spacing w:val="-5"/>
        </w:rPr>
        <w:t> </w:t>
      </w:r>
      <w:r>
        <w:rPr/>
        <w:t>the</w:t>
      </w:r>
      <w:r>
        <w:rPr>
          <w:spacing w:val="-6"/>
        </w:rPr>
        <w:t> </w:t>
      </w:r>
      <w:r>
        <w:rPr/>
        <w:t>expected</w:t>
      </w:r>
      <w:r>
        <w:rPr>
          <w:spacing w:val="-5"/>
        </w:rPr>
        <w:t> </w:t>
      </w:r>
      <w:r>
        <w:rPr/>
        <w:t>period</w:t>
      </w:r>
      <w:r>
        <w:rPr>
          <w:spacing w:val="-5"/>
        </w:rPr>
        <w:t> </w:t>
      </w:r>
      <w:r>
        <w:rPr/>
        <w:t>of</w:t>
      </w:r>
      <w:r>
        <w:rPr>
          <w:spacing w:val="-5"/>
        </w:rPr>
        <w:t> </w:t>
      </w:r>
      <w:r>
        <w:rPr/>
        <w:t>benefit.</w:t>
      </w:r>
      <w:r>
        <w:rPr>
          <w:spacing w:val="-5"/>
        </w:rPr>
        <w:t> </w:t>
      </w:r>
      <w:r>
        <w:rPr/>
        <w:t>Due</w:t>
      </w:r>
      <w:r>
        <w:rPr>
          <w:spacing w:val="-6"/>
        </w:rPr>
        <w:t> </w:t>
      </w:r>
      <w:r>
        <w:rPr/>
        <w:t>to</w:t>
      </w:r>
      <w:r>
        <w:rPr>
          <w:spacing w:val="-5"/>
        </w:rPr>
        <w:t> </w:t>
      </w:r>
      <w:r>
        <w:rPr/>
        <w:t>the</w:t>
      </w:r>
      <w:r>
        <w:rPr>
          <w:spacing w:val="-5"/>
        </w:rPr>
        <w:t> </w:t>
      </w:r>
      <w:r>
        <w:rPr/>
        <w:t>complexity</w:t>
      </w:r>
      <w:r>
        <w:rPr>
          <w:spacing w:val="-5"/>
        </w:rPr>
        <w:t> </w:t>
      </w:r>
      <w:r>
        <w:rPr/>
        <w:t>of</w:t>
      </w:r>
      <w:r>
        <w:rPr>
          <w:spacing w:val="-5"/>
        </w:rPr>
        <w:t> </w:t>
      </w:r>
      <w:r>
        <w:rPr/>
        <w:t>certain of our contracts, the actual accounting treatment required under the new standard for these arrangements may be dependent on contract-specific terms and therefore may vary in some instances.</w:t>
      </w:r>
    </w:p>
    <w:p>
      <w:pPr>
        <w:pStyle w:val="BodyText"/>
        <w:spacing w:before="22"/>
      </w:pPr>
    </w:p>
    <w:p>
      <w:pPr>
        <w:pStyle w:val="BodyText"/>
        <w:spacing w:line="249" w:lineRule="auto"/>
        <w:ind w:left="220" w:right="257" w:firstLine="540"/>
        <w:jc w:val="both"/>
      </w:pPr>
      <w:r>
        <w:rPr/>
        <w:t>On</w:t>
      </w:r>
      <w:r>
        <w:rPr>
          <w:spacing w:val="-6"/>
        </w:rPr>
        <w:t> </w:t>
      </w:r>
      <w:r>
        <w:rPr/>
        <w:t>February</w:t>
      </w:r>
      <w:r>
        <w:rPr>
          <w:spacing w:val="-5"/>
        </w:rPr>
        <w:t> </w:t>
      </w:r>
      <w:r>
        <w:rPr/>
        <w:t>24,</w:t>
      </w:r>
      <w:r>
        <w:rPr>
          <w:spacing w:val="-5"/>
        </w:rPr>
        <w:t> </w:t>
      </w:r>
      <w:r>
        <w:rPr/>
        <w:t>2016,</w:t>
      </w:r>
      <w:r>
        <w:rPr>
          <w:spacing w:val="-5"/>
        </w:rPr>
        <w:t> </w:t>
      </w:r>
      <w:r>
        <w:rPr/>
        <w:t>the</w:t>
      </w:r>
      <w:r>
        <w:rPr>
          <w:spacing w:val="-5"/>
        </w:rPr>
        <w:t> </w:t>
      </w:r>
      <w:r>
        <w:rPr/>
        <w:t>FASB</w:t>
      </w:r>
      <w:r>
        <w:rPr>
          <w:spacing w:val="-5"/>
        </w:rPr>
        <w:t> </w:t>
      </w:r>
      <w:r>
        <w:rPr/>
        <w:t>issued</w:t>
      </w:r>
      <w:r>
        <w:rPr>
          <w:spacing w:val="-13"/>
        </w:rPr>
        <w:t> </w:t>
      </w:r>
      <w:r>
        <w:rPr/>
        <w:t>ASU</w:t>
      </w:r>
      <w:r>
        <w:rPr>
          <w:spacing w:val="-4"/>
        </w:rPr>
        <w:t> </w:t>
      </w:r>
      <w:r>
        <w:rPr/>
        <w:t>No.</w:t>
      </w:r>
      <w:r>
        <w:rPr>
          <w:spacing w:val="-5"/>
        </w:rPr>
        <w:t> </w:t>
      </w:r>
      <w:r>
        <w:rPr/>
        <w:t>2016-02,</w:t>
      </w:r>
      <w:r>
        <w:rPr>
          <w:spacing w:val="-5"/>
        </w:rPr>
        <w:t> </w:t>
      </w:r>
      <w:r>
        <w:rPr/>
        <w:t>Leases,</w:t>
      </w:r>
      <w:r>
        <w:rPr>
          <w:spacing w:val="-5"/>
        </w:rPr>
        <w:t> </w:t>
      </w:r>
      <w:r>
        <w:rPr/>
        <w:t>requiring</w:t>
      </w:r>
      <w:r>
        <w:rPr>
          <w:spacing w:val="-5"/>
        </w:rPr>
        <w:t> </w:t>
      </w:r>
      <w:r>
        <w:rPr/>
        <w:t>lessees</w:t>
      </w:r>
      <w:r>
        <w:rPr>
          <w:spacing w:val="-5"/>
        </w:rPr>
        <w:t> </w:t>
      </w:r>
      <w:r>
        <w:rPr/>
        <w:t>to</w:t>
      </w:r>
      <w:r>
        <w:rPr>
          <w:spacing w:val="-5"/>
        </w:rPr>
        <w:t> </w:t>
      </w:r>
      <w:r>
        <w:rPr/>
        <w:t>recognize</w:t>
      </w:r>
      <w:r>
        <w:rPr>
          <w:spacing w:val="-5"/>
        </w:rPr>
        <w:t> </w:t>
      </w:r>
      <w:r>
        <w:rPr/>
        <w:t>a</w:t>
      </w:r>
      <w:r>
        <w:rPr>
          <w:spacing w:val="-5"/>
        </w:rPr>
        <w:t> </w:t>
      </w:r>
      <w:r>
        <w:rPr/>
        <w:t>right-of-use</w:t>
      </w:r>
      <w:r>
        <w:rPr>
          <w:spacing w:val="-5"/>
        </w:rPr>
        <w:t> </w:t>
      </w:r>
      <w:r>
        <w:rPr/>
        <w:t>asset</w:t>
      </w:r>
      <w:r>
        <w:rPr>
          <w:spacing w:val="-5"/>
        </w:rPr>
        <w:t> </w:t>
      </w:r>
      <w:r>
        <w:rPr/>
        <w:t>and a lease liability on the balance sheet for all leases with the exception of short-term leases with a lease term of twelve months or </w:t>
      </w:r>
      <w:r>
        <w:rPr>
          <w:spacing w:val="-2"/>
        </w:rPr>
        <w:t>less.</w:t>
      </w:r>
      <w:r>
        <w:rPr>
          <w:spacing w:val="-11"/>
        </w:rPr>
        <w:t> </w:t>
      </w:r>
      <w:r>
        <w:rPr>
          <w:spacing w:val="-2"/>
        </w:rPr>
        <w:t>For</w:t>
      </w:r>
      <w:r>
        <w:rPr>
          <w:spacing w:val="-10"/>
        </w:rPr>
        <w:t> </w:t>
      </w:r>
      <w:r>
        <w:rPr>
          <w:spacing w:val="-2"/>
        </w:rPr>
        <w:t>lessees,</w:t>
      </w:r>
      <w:r>
        <w:rPr>
          <w:spacing w:val="-10"/>
        </w:rPr>
        <w:t> </w:t>
      </w:r>
      <w:r>
        <w:rPr>
          <w:spacing w:val="-2"/>
        </w:rPr>
        <w:t>leases</w:t>
      </w:r>
      <w:r>
        <w:rPr>
          <w:spacing w:val="-10"/>
        </w:rPr>
        <w:t> </w:t>
      </w:r>
      <w:r>
        <w:rPr>
          <w:spacing w:val="-2"/>
        </w:rPr>
        <w:t>will</w:t>
      </w:r>
      <w:r>
        <w:rPr>
          <w:spacing w:val="-10"/>
        </w:rPr>
        <w:t> </w:t>
      </w:r>
      <w:r>
        <w:rPr>
          <w:spacing w:val="-2"/>
        </w:rPr>
        <w:t>continue</w:t>
      </w:r>
      <w:r>
        <w:rPr>
          <w:spacing w:val="-11"/>
        </w:rPr>
        <w:t> </w:t>
      </w:r>
      <w:r>
        <w:rPr>
          <w:spacing w:val="-2"/>
        </w:rPr>
        <w:t>to</w:t>
      </w:r>
      <w:r>
        <w:rPr>
          <w:spacing w:val="-10"/>
        </w:rPr>
        <w:t> </w:t>
      </w:r>
      <w:r>
        <w:rPr>
          <w:spacing w:val="-2"/>
        </w:rPr>
        <w:t>be</w:t>
      </w:r>
      <w:r>
        <w:rPr>
          <w:spacing w:val="-10"/>
        </w:rPr>
        <w:t> </w:t>
      </w:r>
      <w:r>
        <w:rPr>
          <w:spacing w:val="-2"/>
        </w:rPr>
        <w:t>classified</w:t>
      </w:r>
      <w:r>
        <w:rPr>
          <w:spacing w:val="-10"/>
        </w:rPr>
        <w:t> </w:t>
      </w:r>
      <w:r>
        <w:rPr>
          <w:spacing w:val="-2"/>
        </w:rPr>
        <w:t>as</w:t>
      </w:r>
      <w:r>
        <w:rPr>
          <w:spacing w:val="-10"/>
        </w:rPr>
        <w:t> </w:t>
      </w:r>
      <w:r>
        <w:rPr>
          <w:spacing w:val="-2"/>
        </w:rPr>
        <w:t>either</w:t>
      </w:r>
      <w:r>
        <w:rPr>
          <w:spacing w:val="-10"/>
        </w:rPr>
        <w:t> </w:t>
      </w:r>
      <w:r>
        <w:rPr>
          <w:spacing w:val="-2"/>
        </w:rPr>
        <w:t>operating</w:t>
      </w:r>
      <w:r>
        <w:rPr>
          <w:spacing w:val="-10"/>
        </w:rPr>
        <w:t> </w:t>
      </w:r>
      <w:r>
        <w:rPr>
          <w:spacing w:val="-2"/>
        </w:rPr>
        <w:t>or</w:t>
      </w:r>
      <w:r>
        <w:rPr>
          <w:spacing w:val="-10"/>
        </w:rPr>
        <w:t> </w:t>
      </w:r>
      <w:r>
        <w:rPr>
          <w:spacing w:val="-2"/>
        </w:rPr>
        <w:t>finance</w:t>
      </w:r>
      <w:r>
        <w:rPr>
          <w:spacing w:val="-10"/>
        </w:rPr>
        <w:t> </w:t>
      </w:r>
      <w:r>
        <w:rPr>
          <w:spacing w:val="-2"/>
        </w:rPr>
        <w:t>leases</w:t>
      </w:r>
      <w:r>
        <w:rPr>
          <w:spacing w:val="-10"/>
        </w:rPr>
        <w:t> </w:t>
      </w:r>
      <w:r>
        <w:rPr>
          <w:spacing w:val="-2"/>
        </w:rPr>
        <w:t>in</w:t>
      </w:r>
      <w:r>
        <w:rPr>
          <w:spacing w:val="-10"/>
        </w:rPr>
        <w:t> </w:t>
      </w:r>
      <w:r>
        <w:rPr>
          <w:spacing w:val="-2"/>
        </w:rPr>
        <w:t>the</w:t>
      </w:r>
      <w:r>
        <w:rPr>
          <w:spacing w:val="-10"/>
        </w:rPr>
        <w:t> </w:t>
      </w:r>
      <w:r>
        <w:rPr>
          <w:spacing w:val="-2"/>
        </w:rPr>
        <w:t>income</w:t>
      </w:r>
      <w:r>
        <w:rPr>
          <w:spacing w:val="-10"/>
        </w:rPr>
        <w:t> </w:t>
      </w:r>
      <w:r>
        <w:rPr>
          <w:spacing w:val="-2"/>
        </w:rPr>
        <w:t>statement.</w:t>
      </w:r>
      <w:r>
        <w:rPr>
          <w:spacing w:val="-10"/>
        </w:rPr>
        <w:t> </w:t>
      </w:r>
      <w:r>
        <w:rPr>
          <w:spacing w:val="-2"/>
        </w:rPr>
        <w:t>Lessor</w:t>
      </w:r>
      <w:r>
        <w:rPr>
          <w:spacing w:val="-10"/>
        </w:rPr>
        <w:t> </w:t>
      </w:r>
      <w:r>
        <w:rPr>
          <w:spacing w:val="-2"/>
        </w:rPr>
        <w:t>accounting </w:t>
      </w:r>
      <w:r>
        <w:rPr/>
        <w:t>is similar to the current model but updated to align with certain changes to the lessee model. Lessors will continue to classify leases</w:t>
      </w:r>
      <w:r>
        <w:rPr>
          <w:spacing w:val="-5"/>
        </w:rPr>
        <w:t> </w:t>
      </w:r>
      <w:r>
        <w:rPr/>
        <w:t>as</w:t>
      </w:r>
      <w:r>
        <w:rPr>
          <w:spacing w:val="-5"/>
        </w:rPr>
        <w:t> </w:t>
      </w:r>
      <w:r>
        <w:rPr/>
        <w:t>operating,</w:t>
      </w:r>
      <w:r>
        <w:rPr>
          <w:spacing w:val="-6"/>
        </w:rPr>
        <w:t> </w:t>
      </w:r>
      <w:r>
        <w:rPr/>
        <w:t>direct</w:t>
      </w:r>
      <w:r>
        <w:rPr>
          <w:spacing w:val="-6"/>
        </w:rPr>
        <w:t> </w:t>
      </w:r>
      <w:r>
        <w:rPr/>
        <w:t>financing</w:t>
      </w:r>
      <w:r>
        <w:rPr>
          <w:spacing w:val="-5"/>
        </w:rPr>
        <w:t> </w:t>
      </w:r>
      <w:r>
        <w:rPr/>
        <w:t>or</w:t>
      </w:r>
      <w:r>
        <w:rPr>
          <w:spacing w:val="-5"/>
        </w:rPr>
        <w:t> </w:t>
      </w:r>
      <w:r>
        <w:rPr/>
        <w:t>sales-type</w:t>
      </w:r>
      <w:r>
        <w:rPr>
          <w:spacing w:val="-6"/>
        </w:rPr>
        <w:t> </w:t>
      </w:r>
      <w:r>
        <w:rPr/>
        <w:t>leases.</w:t>
      </w:r>
      <w:r>
        <w:rPr>
          <w:spacing w:val="-9"/>
        </w:rPr>
        <w:t> </w:t>
      </w:r>
      <w:r>
        <w:rPr/>
        <w:t>The</w:t>
      </w:r>
      <w:r>
        <w:rPr>
          <w:spacing w:val="-5"/>
        </w:rPr>
        <w:t> </w:t>
      </w:r>
      <w:r>
        <w:rPr/>
        <w:t>effective</w:t>
      </w:r>
      <w:r>
        <w:rPr>
          <w:spacing w:val="-6"/>
        </w:rPr>
        <w:t> </w:t>
      </w:r>
      <w:r>
        <w:rPr/>
        <w:t>date</w:t>
      </w:r>
      <w:r>
        <w:rPr>
          <w:spacing w:val="-6"/>
        </w:rPr>
        <w:t> </w:t>
      </w:r>
      <w:r>
        <w:rPr/>
        <w:t>of</w:t>
      </w:r>
      <w:r>
        <w:rPr>
          <w:spacing w:val="-5"/>
        </w:rPr>
        <w:t> </w:t>
      </w:r>
      <w:r>
        <w:rPr/>
        <w:t>the</w:t>
      </w:r>
      <w:r>
        <w:rPr>
          <w:spacing w:val="-5"/>
        </w:rPr>
        <w:t> </w:t>
      </w:r>
      <w:r>
        <w:rPr/>
        <w:t>new</w:t>
      </w:r>
      <w:r>
        <w:rPr>
          <w:spacing w:val="-5"/>
        </w:rPr>
        <w:t> </w:t>
      </w:r>
      <w:r>
        <w:rPr/>
        <w:t>standard</w:t>
      </w:r>
      <w:r>
        <w:rPr>
          <w:spacing w:val="-5"/>
        </w:rPr>
        <w:t> </w:t>
      </w:r>
      <w:r>
        <w:rPr/>
        <w:t>for</w:t>
      </w:r>
      <w:r>
        <w:rPr>
          <w:spacing w:val="-5"/>
        </w:rPr>
        <w:t> </w:t>
      </w:r>
      <w:r>
        <w:rPr/>
        <w:t>public</w:t>
      </w:r>
      <w:r>
        <w:rPr>
          <w:spacing w:val="-6"/>
        </w:rPr>
        <w:t> </w:t>
      </w:r>
      <w:r>
        <w:rPr/>
        <w:t>companies</w:t>
      </w:r>
      <w:r>
        <w:rPr>
          <w:spacing w:val="-5"/>
        </w:rPr>
        <w:t> </w:t>
      </w:r>
      <w:r>
        <w:rPr/>
        <w:t>is</w:t>
      </w:r>
      <w:r>
        <w:rPr>
          <w:spacing w:val="-5"/>
        </w:rPr>
        <w:t> </w:t>
      </w:r>
      <w:r>
        <w:rPr/>
        <w:t>for</w:t>
      </w:r>
      <w:r>
        <w:rPr>
          <w:spacing w:val="-5"/>
        </w:rPr>
        <w:t> </w:t>
      </w:r>
      <w:r>
        <w:rPr/>
        <w:t>fiscal years beginning after December 15, 2018 and interim periods within those fiscal years. Early adoption is permitted. The new standard</w:t>
      </w:r>
      <w:r>
        <w:rPr>
          <w:spacing w:val="-6"/>
        </w:rPr>
        <w:t> </w:t>
      </w:r>
      <w:r>
        <w:rPr/>
        <w:t>must</w:t>
      </w:r>
      <w:r>
        <w:rPr>
          <w:spacing w:val="-6"/>
        </w:rPr>
        <w:t> </w:t>
      </w:r>
      <w:r>
        <w:rPr/>
        <w:t>be</w:t>
      </w:r>
      <w:r>
        <w:rPr>
          <w:spacing w:val="-6"/>
        </w:rPr>
        <w:t> </w:t>
      </w:r>
      <w:r>
        <w:rPr/>
        <w:t>adopted</w:t>
      </w:r>
      <w:r>
        <w:rPr>
          <w:spacing w:val="-6"/>
        </w:rPr>
        <w:t> </w:t>
      </w:r>
      <w:r>
        <w:rPr/>
        <w:t>using</w:t>
      </w:r>
      <w:r>
        <w:rPr>
          <w:spacing w:val="-6"/>
        </w:rPr>
        <w:t> </w:t>
      </w:r>
      <w:r>
        <w:rPr/>
        <w:t>a</w:t>
      </w:r>
      <w:r>
        <w:rPr>
          <w:spacing w:val="-6"/>
        </w:rPr>
        <w:t> </w:t>
      </w:r>
      <w:r>
        <w:rPr/>
        <w:t>modified</w:t>
      </w:r>
      <w:r>
        <w:rPr>
          <w:spacing w:val="-6"/>
        </w:rPr>
        <w:t> </w:t>
      </w:r>
      <w:r>
        <w:rPr/>
        <w:t>retrospective</w:t>
      </w:r>
      <w:r>
        <w:rPr>
          <w:spacing w:val="-6"/>
        </w:rPr>
        <w:t> </w:t>
      </w:r>
      <w:r>
        <w:rPr/>
        <w:t>transition</w:t>
      </w:r>
      <w:r>
        <w:rPr>
          <w:spacing w:val="-6"/>
        </w:rPr>
        <w:t> </w:t>
      </w:r>
      <w:r>
        <w:rPr/>
        <w:t>and</w:t>
      </w:r>
      <w:r>
        <w:rPr>
          <w:spacing w:val="-6"/>
        </w:rPr>
        <w:t> </w:t>
      </w:r>
      <w:r>
        <w:rPr/>
        <w:t>requires</w:t>
      </w:r>
      <w:r>
        <w:rPr>
          <w:spacing w:val="-5"/>
        </w:rPr>
        <w:t> </w:t>
      </w:r>
      <w:r>
        <w:rPr/>
        <w:t>application</w:t>
      </w:r>
      <w:r>
        <w:rPr>
          <w:spacing w:val="-6"/>
        </w:rPr>
        <w:t> </w:t>
      </w:r>
      <w:r>
        <w:rPr/>
        <w:t>of</w:t>
      </w:r>
      <w:r>
        <w:rPr>
          <w:spacing w:val="-5"/>
        </w:rPr>
        <w:t> </w:t>
      </w:r>
      <w:r>
        <w:rPr/>
        <w:t>the</w:t>
      </w:r>
      <w:r>
        <w:rPr>
          <w:spacing w:val="-6"/>
        </w:rPr>
        <w:t> </w:t>
      </w:r>
      <w:r>
        <w:rPr/>
        <w:t>new</w:t>
      </w:r>
      <w:r>
        <w:rPr>
          <w:spacing w:val="-5"/>
        </w:rPr>
        <w:t> </w:t>
      </w:r>
      <w:r>
        <w:rPr/>
        <w:t>guidance</w:t>
      </w:r>
      <w:r>
        <w:rPr>
          <w:spacing w:val="-6"/>
        </w:rPr>
        <w:t> </w:t>
      </w:r>
      <w:r>
        <w:rPr/>
        <w:t>at</w:t>
      </w:r>
      <w:r>
        <w:rPr>
          <w:spacing w:val="-6"/>
        </w:rPr>
        <w:t> </w:t>
      </w:r>
      <w:r>
        <w:rPr/>
        <w:t>the</w:t>
      </w:r>
      <w:r>
        <w:rPr>
          <w:spacing w:val="-6"/>
        </w:rPr>
        <w:t> </w:t>
      </w:r>
      <w:r>
        <w:rPr/>
        <w:t>beginning of</w:t>
      </w:r>
      <w:r>
        <w:rPr>
          <w:spacing w:val="-3"/>
        </w:rPr>
        <w:t> </w:t>
      </w:r>
      <w:r>
        <w:rPr/>
        <w:t>the</w:t>
      </w:r>
      <w:r>
        <w:rPr>
          <w:spacing w:val="-3"/>
        </w:rPr>
        <w:t> </w:t>
      </w:r>
      <w:r>
        <w:rPr/>
        <w:t>earliest</w:t>
      </w:r>
      <w:r>
        <w:rPr>
          <w:spacing w:val="-3"/>
        </w:rPr>
        <w:t> </w:t>
      </w:r>
      <w:r>
        <w:rPr/>
        <w:t>comparative</w:t>
      </w:r>
      <w:r>
        <w:rPr>
          <w:spacing w:val="-3"/>
        </w:rPr>
        <w:t> </w:t>
      </w:r>
      <w:r>
        <w:rPr/>
        <w:t>period</w:t>
      </w:r>
      <w:r>
        <w:rPr>
          <w:spacing w:val="-3"/>
        </w:rPr>
        <w:t> </w:t>
      </w:r>
      <w:r>
        <w:rPr/>
        <w:t>presented.</w:t>
      </w:r>
      <w:r>
        <w:rPr>
          <w:spacing w:val="-7"/>
        </w:rPr>
        <w:t> </w:t>
      </w:r>
      <w:r>
        <w:rPr/>
        <w:t>The</w:t>
      </w:r>
      <w:r>
        <w:rPr>
          <w:spacing w:val="-3"/>
        </w:rPr>
        <w:t> </w:t>
      </w:r>
      <w:r>
        <w:rPr/>
        <w:t>updated</w:t>
      </w:r>
      <w:r>
        <w:rPr>
          <w:spacing w:val="-3"/>
        </w:rPr>
        <w:t> </w:t>
      </w:r>
      <w:r>
        <w:rPr/>
        <w:t>standard</w:t>
      </w:r>
      <w:r>
        <w:rPr>
          <w:spacing w:val="-3"/>
        </w:rPr>
        <w:t> </w:t>
      </w:r>
      <w:r>
        <w:rPr/>
        <w:t>is</w:t>
      </w:r>
      <w:r>
        <w:rPr>
          <w:spacing w:val="-3"/>
        </w:rPr>
        <w:t> </w:t>
      </w:r>
      <w:r>
        <w:rPr/>
        <w:t>effective</w:t>
      </w:r>
      <w:r>
        <w:rPr>
          <w:spacing w:val="-3"/>
        </w:rPr>
        <w:t> </w:t>
      </w:r>
      <w:r>
        <w:rPr/>
        <w:t>for</w:t>
      </w:r>
      <w:r>
        <w:rPr>
          <w:spacing w:val="-3"/>
        </w:rPr>
        <w:t> </w:t>
      </w:r>
      <w:r>
        <w:rPr/>
        <w:t>us</w:t>
      </w:r>
      <w:r>
        <w:rPr>
          <w:spacing w:val="-3"/>
        </w:rPr>
        <w:t> </w:t>
      </w:r>
      <w:r>
        <w:rPr/>
        <w:t>beginning</w:t>
      </w:r>
      <w:r>
        <w:rPr>
          <w:spacing w:val="-3"/>
        </w:rPr>
        <w:t> </w:t>
      </w:r>
      <w:r>
        <w:rPr/>
        <w:t>in</w:t>
      </w:r>
      <w:r>
        <w:rPr>
          <w:spacing w:val="-3"/>
        </w:rPr>
        <w:t> </w:t>
      </w:r>
      <w:r>
        <w:rPr/>
        <w:t>the</w:t>
      </w:r>
      <w:r>
        <w:rPr>
          <w:spacing w:val="-3"/>
        </w:rPr>
        <w:t> </w:t>
      </w:r>
      <w:r>
        <w:rPr/>
        <w:t>first</w:t>
      </w:r>
      <w:r>
        <w:rPr>
          <w:spacing w:val="-3"/>
        </w:rPr>
        <w:t> </w:t>
      </w:r>
      <w:r>
        <w:rPr/>
        <w:t>quarter</w:t>
      </w:r>
      <w:r>
        <w:rPr>
          <w:spacing w:val="-3"/>
        </w:rPr>
        <w:t> </w:t>
      </w:r>
      <w:r>
        <w:rPr/>
        <w:t>of</w:t>
      </w:r>
      <w:r>
        <w:rPr>
          <w:spacing w:val="-3"/>
        </w:rPr>
        <w:t> </w:t>
      </w:r>
      <w:r>
        <w:rPr/>
        <w:t>fiscal</w:t>
      </w:r>
      <w:r>
        <w:rPr>
          <w:spacing w:val="-3"/>
        </w:rPr>
        <w:t> </w:t>
      </w:r>
      <w:r>
        <w:rPr/>
        <w:t>2020 and</w:t>
      </w:r>
      <w:r>
        <w:rPr>
          <w:spacing w:val="-5"/>
        </w:rPr>
        <w:t> </w:t>
      </w:r>
      <w:r>
        <w:rPr/>
        <w:t>we</w:t>
      </w:r>
      <w:r>
        <w:rPr>
          <w:spacing w:val="-5"/>
        </w:rPr>
        <w:t> </w:t>
      </w:r>
      <w:r>
        <w:rPr/>
        <w:t>do</w:t>
      </w:r>
      <w:r>
        <w:rPr>
          <w:spacing w:val="-5"/>
        </w:rPr>
        <w:t> </w:t>
      </w:r>
      <w:r>
        <w:rPr/>
        <w:t>not</w:t>
      </w:r>
      <w:r>
        <w:rPr>
          <w:spacing w:val="-5"/>
        </w:rPr>
        <w:t> </w:t>
      </w:r>
      <w:r>
        <w:rPr/>
        <w:t>plan</w:t>
      </w:r>
      <w:r>
        <w:rPr>
          <w:spacing w:val="-5"/>
        </w:rPr>
        <w:t> </w:t>
      </w:r>
      <w:r>
        <w:rPr/>
        <w:t>to</w:t>
      </w:r>
      <w:r>
        <w:rPr>
          <w:spacing w:val="-5"/>
        </w:rPr>
        <w:t> </w:t>
      </w:r>
      <w:r>
        <w:rPr/>
        <w:t>early</w:t>
      </w:r>
      <w:r>
        <w:rPr>
          <w:spacing w:val="-5"/>
        </w:rPr>
        <w:t> </w:t>
      </w:r>
      <w:r>
        <w:rPr/>
        <w:t>adopt.</w:t>
      </w:r>
      <w:r>
        <w:rPr>
          <w:spacing w:val="-8"/>
        </w:rPr>
        <w:t> </w:t>
      </w:r>
      <w:r>
        <w:rPr/>
        <w:t>We</w:t>
      </w:r>
      <w:r>
        <w:rPr>
          <w:spacing w:val="-5"/>
        </w:rPr>
        <w:t> </w:t>
      </w:r>
      <w:r>
        <w:rPr/>
        <w:t>are</w:t>
      </w:r>
      <w:r>
        <w:rPr>
          <w:spacing w:val="-5"/>
        </w:rPr>
        <w:t> </w:t>
      </w:r>
      <w:r>
        <w:rPr/>
        <w:t>currently</w:t>
      </w:r>
      <w:r>
        <w:rPr>
          <w:spacing w:val="-5"/>
        </w:rPr>
        <w:t> </w:t>
      </w:r>
      <w:r>
        <w:rPr/>
        <w:t>evaluating</w:t>
      </w:r>
      <w:r>
        <w:rPr>
          <w:spacing w:val="-5"/>
        </w:rPr>
        <w:t> </w:t>
      </w:r>
      <w:r>
        <w:rPr/>
        <w:t>the</w:t>
      </w:r>
      <w:r>
        <w:rPr>
          <w:spacing w:val="-5"/>
        </w:rPr>
        <w:t> </w:t>
      </w:r>
      <w:r>
        <w:rPr/>
        <w:t>effect</w:t>
      </w:r>
      <w:r>
        <w:rPr>
          <w:spacing w:val="-5"/>
        </w:rPr>
        <w:t> </w:t>
      </w:r>
      <w:r>
        <w:rPr/>
        <w:t>that</w:t>
      </w:r>
      <w:r>
        <w:rPr>
          <w:spacing w:val="-5"/>
        </w:rPr>
        <w:t> </w:t>
      </w:r>
      <w:r>
        <w:rPr/>
        <w:t>the</w:t>
      </w:r>
      <w:r>
        <w:rPr>
          <w:spacing w:val="-5"/>
        </w:rPr>
        <w:t> </w:t>
      </w:r>
      <w:r>
        <w:rPr/>
        <w:t>updated</w:t>
      </w:r>
      <w:r>
        <w:rPr>
          <w:spacing w:val="-5"/>
        </w:rPr>
        <w:t> </w:t>
      </w:r>
      <w:r>
        <w:rPr/>
        <w:t>standard</w:t>
      </w:r>
      <w:r>
        <w:rPr>
          <w:spacing w:val="-5"/>
        </w:rPr>
        <w:t> </w:t>
      </w:r>
      <w:r>
        <w:rPr/>
        <w:t>will</w:t>
      </w:r>
      <w:r>
        <w:rPr>
          <w:spacing w:val="-5"/>
        </w:rPr>
        <w:t> </w:t>
      </w:r>
      <w:r>
        <w:rPr/>
        <w:t>have</w:t>
      </w:r>
      <w:r>
        <w:rPr>
          <w:spacing w:val="-5"/>
        </w:rPr>
        <w:t> </w:t>
      </w:r>
      <w:r>
        <w:rPr/>
        <w:t>on</w:t>
      </w:r>
      <w:r>
        <w:rPr>
          <w:spacing w:val="-5"/>
        </w:rPr>
        <w:t> </w:t>
      </w:r>
      <w:r>
        <w:rPr/>
        <w:t>our</w:t>
      </w:r>
      <w:r>
        <w:rPr>
          <w:spacing w:val="-5"/>
        </w:rPr>
        <w:t> </w:t>
      </w:r>
      <w:r>
        <w:rPr/>
        <w:t>Consolidated Financial Statements and related disclosures.</w:t>
      </w:r>
    </w:p>
    <w:p>
      <w:pPr>
        <w:pStyle w:val="BodyText"/>
        <w:spacing w:line="249" w:lineRule="auto" w:before="168"/>
        <w:ind w:left="220" w:right="257" w:firstLine="540"/>
        <w:jc w:val="both"/>
      </w:pPr>
      <w:r>
        <w:rPr/>
        <w:t>On</w:t>
      </w:r>
      <w:r>
        <w:rPr>
          <w:spacing w:val="-13"/>
        </w:rPr>
        <w:t> </w:t>
      </w:r>
      <w:r>
        <w:rPr/>
        <w:t>August</w:t>
      </w:r>
      <w:r>
        <w:rPr>
          <w:spacing w:val="-12"/>
        </w:rPr>
        <w:t> </w:t>
      </w:r>
      <w:r>
        <w:rPr/>
        <w:t>28,</w:t>
      </w:r>
      <w:r>
        <w:rPr>
          <w:spacing w:val="-8"/>
        </w:rPr>
        <w:t> </w:t>
      </w:r>
      <w:r>
        <w:rPr/>
        <w:t>2017,</w:t>
      </w:r>
      <w:r>
        <w:rPr>
          <w:spacing w:val="-7"/>
        </w:rPr>
        <w:t> </w:t>
      </w:r>
      <w:r>
        <w:rPr/>
        <w:t>the</w:t>
      </w:r>
      <w:r>
        <w:rPr>
          <w:spacing w:val="-7"/>
        </w:rPr>
        <w:t> </w:t>
      </w:r>
      <w:r>
        <w:rPr/>
        <w:t>FASB</w:t>
      </w:r>
      <w:r>
        <w:rPr>
          <w:spacing w:val="-7"/>
        </w:rPr>
        <w:t> </w:t>
      </w:r>
      <w:r>
        <w:rPr/>
        <w:t>issued</w:t>
      </w:r>
      <w:r>
        <w:rPr>
          <w:spacing w:val="-13"/>
        </w:rPr>
        <w:t> </w:t>
      </w:r>
      <w:r>
        <w:rPr/>
        <w:t>ASU</w:t>
      </w:r>
      <w:r>
        <w:rPr>
          <w:spacing w:val="-6"/>
        </w:rPr>
        <w:t> </w:t>
      </w:r>
      <w:r>
        <w:rPr/>
        <w:t>No.</w:t>
      </w:r>
      <w:r>
        <w:rPr>
          <w:spacing w:val="-7"/>
        </w:rPr>
        <w:t> </w:t>
      </w:r>
      <w:r>
        <w:rPr/>
        <w:t>2017-12,</w:t>
      </w:r>
      <w:r>
        <w:rPr>
          <w:spacing w:val="-7"/>
        </w:rPr>
        <w:t> </w:t>
      </w:r>
      <w:r>
        <w:rPr/>
        <w:t>Derivatives</w:t>
      </w:r>
      <w:r>
        <w:rPr>
          <w:spacing w:val="-7"/>
        </w:rPr>
        <w:t> </w:t>
      </w:r>
      <w:r>
        <w:rPr/>
        <w:t>and</w:t>
      </w:r>
      <w:r>
        <w:rPr>
          <w:spacing w:val="-7"/>
        </w:rPr>
        <w:t> </w:t>
      </w:r>
      <w:r>
        <w:rPr/>
        <w:t>Hedging,</w:t>
      </w:r>
      <w:r>
        <w:rPr>
          <w:spacing w:val="-7"/>
        </w:rPr>
        <w:t> </w:t>
      </w:r>
      <w:r>
        <w:rPr/>
        <w:t>requiring</w:t>
      </w:r>
      <w:r>
        <w:rPr>
          <w:spacing w:val="-7"/>
        </w:rPr>
        <w:t> </w:t>
      </w:r>
      <w:r>
        <w:rPr/>
        <w:t>expanded</w:t>
      </w:r>
      <w:r>
        <w:rPr>
          <w:spacing w:val="-7"/>
        </w:rPr>
        <w:t> </w:t>
      </w:r>
      <w:r>
        <w:rPr/>
        <w:t>hedge</w:t>
      </w:r>
      <w:r>
        <w:rPr>
          <w:spacing w:val="-7"/>
        </w:rPr>
        <w:t> </w:t>
      </w:r>
      <w:r>
        <w:rPr/>
        <w:t>accounting for both non-financial and financial risk components and refining the measurement of hedge results to better reflect an entity's </w:t>
      </w:r>
      <w:r>
        <w:rPr>
          <w:spacing w:val="-2"/>
        </w:rPr>
        <w:t>hedging</w:t>
      </w:r>
      <w:r>
        <w:rPr>
          <w:spacing w:val="-5"/>
        </w:rPr>
        <w:t> </w:t>
      </w:r>
      <w:r>
        <w:rPr>
          <w:spacing w:val="-2"/>
        </w:rPr>
        <w:t>strategies.</w:t>
      </w:r>
      <w:r>
        <w:rPr>
          <w:spacing w:val="-9"/>
        </w:rPr>
        <w:t> </w:t>
      </w:r>
      <w:r>
        <w:rPr>
          <w:spacing w:val="-2"/>
        </w:rPr>
        <w:t>The</w:t>
      </w:r>
      <w:r>
        <w:rPr>
          <w:spacing w:val="-5"/>
        </w:rPr>
        <w:t> </w:t>
      </w:r>
      <w:r>
        <w:rPr>
          <w:spacing w:val="-2"/>
        </w:rPr>
        <w:t>updated</w:t>
      </w:r>
      <w:r>
        <w:rPr>
          <w:spacing w:val="-7"/>
        </w:rPr>
        <w:t> </w:t>
      </w:r>
      <w:r>
        <w:rPr>
          <w:spacing w:val="-2"/>
        </w:rPr>
        <w:t>standard</w:t>
      </w:r>
      <w:r>
        <w:rPr>
          <w:spacing w:val="-5"/>
        </w:rPr>
        <w:t> </w:t>
      </w:r>
      <w:r>
        <w:rPr>
          <w:spacing w:val="-2"/>
        </w:rPr>
        <w:t>also</w:t>
      </w:r>
      <w:r>
        <w:rPr>
          <w:spacing w:val="-5"/>
        </w:rPr>
        <w:t> </w:t>
      </w:r>
      <w:r>
        <w:rPr>
          <w:spacing w:val="-2"/>
        </w:rPr>
        <w:t>amends</w:t>
      </w:r>
      <w:r>
        <w:rPr>
          <w:spacing w:val="-5"/>
        </w:rPr>
        <w:t> </w:t>
      </w:r>
      <w:r>
        <w:rPr>
          <w:spacing w:val="-2"/>
        </w:rPr>
        <w:t>the</w:t>
      </w:r>
      <w:r>
        <w:rPr>
          <w:spacing w:val="-7"/>
        </w:rPr>
        <w:t> </w:t>
      </w:r>
      <w:r>
        <w:rPr>
          <w:spacing w:val="-2"/>
        </w:rPr>
        <w:t>presentation</w:t>
      </w:r>
      <w:r>
        <w:rPr>
          <w:spacing w:val="-5"/>
        </w:rPr>
        <w:t> </w:t>
      </w:r>
      <w:r>
        <w:rPr>
          <w:spacing w:val="-2"/>
        </w:rPr>
        <w:t>and</w:t>
      </w:r>
      <w:r>
        <w:rPr>
          <w:spacing w:val="-5"/>
        </w:rPr>
        <w:t> </w:t>
      </w:r>
      <w:r>
        <w:rPr>
          <w:spacing w:val="-2"/>
        </w:rPr>
        <w:t>disclosure</w:t>
      </w:r>
      <w:r>
        <w:rPr>
          <w:spacing w:val="-7"/>
        </w:rPr>
        <w:t> </w:t>
      </w:r>
      <w:r>
        <w:rPr>
          <w:spacing w:val="-2"/>
        </w:rPr>
        <w:t>requirements</w:t>
      </w:r>
      <w:r>
        <w:rPr>
          <w:spacing w:val="-5"/>
        </w:rPr>
        <w:t> </w:t>
      </w:r>
      <w:r>
        <w:rPr>
          <w:spacing w:val="-2"/>
        </w:rPr>
        <w:t>and</w:t>
      </w:r>
      <w:r>
        <w:rPr>
          <w:spacing w:val="-5"/>
        </w:rPr>
        <w:t> </w:t>
      </w:r>
      <w:r>
        <w:rPr>
          <w:spacing w:val="-2"/>
        </w:rPr>
        <w:t>changes</w:t>
      </w:r>
      <w:r>
        <w:rPr>
          <w:spacing w:val="-5"/>
        </w:rPr>
        <w:t> </w:t>
      </w:r>
      <w:r>
        <w:rPr>
          <w:spacing w:val="-2"/>
        </w:rPr>
        <w:t>how</w:t>
      </w:r>
      <w:r>
        <w:rPr>
          <w:spacing w:val="-5"/>
        </w:rPr>
        <w:t> </w:t>
      </w:r>
      <w:r>
        <w:rPr>
          <w:spacing w:val="-2"/>
        </w:rPr>
        <w:t>entities</w:t>
      </w:r>
      <w:r>
        <w:rPr>
          <w:spacing w:val="-5"/>
        </w:rPr>
        <w:t> </w:t>
      </w:r>
      <w:r>
        <w:rPr>
          <w:spacing w:val="-2"/>
        </w:rPr>
        <w:t>assess </w:t>
      </w:r>
      <w:r>
        <w:rPr/>
        <w:t>hedge</w:t>
      </w:r>
      <w:r>
        <w:rPr>
          <w:spacing w:val="-7"/>
        </w:rPr>
        <w:t> </w:t>
      </w:r>
      <w:r>
        <w:rPr/>
        <w:t>effectiveness.</w:t>
      </w:r>
      <w:r>
        <w:rPr>
          <w:spacing w:val="-10"/>
        </w:rPr>
        <w:t> </w:t>
      </w:r>
      <w:r>
        <w:rPr/>
        <w:t>The</w:t>
      </w:r>
      <w:r>
        <w:rPr>
          <w:spacing w:val="-7"/>
        </w:rPr>
        <w:t> </w:t>
      </w:r>
      <w:r>
        <w:rPr/>
        <w:t>effective</w:t>
      </w:r>
      <w:r>
        <w:rPr>
          <w:spacing w:val="-7"/>
        </w:rPr>
        <w:t> </w:t>
      </w:r>
      <w:r>
        <w:rPr/>
        <w:t>date</w:t>
      </w:r>
      <w:r>
        <w:rPr>
          <w:spacing w:val="-7"/>
        </w:rPr>
        <w:t> </w:t>
      </w:r>
      <w:r>
        <w:rPr/>
        <w:t>of</w:t>
      </w:r>
      <w:r>
        <w:rPr>
          <w:spacing w:val="-7"/>
        </w:rPr>
        <w:t> </w:t>
      </w:r>
      <w:r>
        <w:rPr/>
        <w:t>the</w:t>
      </w:r>
      <w:r>
        <w:rPr>
          <w:spacing w:val="-7"/>
        </w:rPr>
        <w:t> </w:t>
      </w:r>
      <w:r>
        <w:rPr/>
        <w:t>new</w:t>
      </w:r>
      <w:r>
        <w:rPr>
          <w:spacing w:val="-7"/>
        </w:rPr>
        <w:t> </w:t>
      </w:r>
      <w:r>
        <w:rPr/>
        <w:t>standard</w:t>
      </w:r>
      <w:r>
        <w:rPr>
          <w:spacing w:val="-7"/>
        </w:rPr>
        <w:t> </w:t>
      </w:r>
      <w:r>
        <w:rPr/>
        <w:t>for</w:t>
      </w:r>
      <w:r>
        <w:rPr>
          <w:spacing w:val="-7"/>
        </w:rPr>
        <w:t> </w:t>
      </w:r>
      <w:r>
        <w:rPr/>
        <w:t>public</w:t>
      </w:r>
      <w:r>
        <w:rPr>
          <w:spacing w:val="-7"/>
        </w:rPr>
        <w:t> </w:t>
      </w:r>
      <w:r>
        <w:rPr/>
        <w:t>companies</w:t>
      </w:r>
      <w:r>
        <w:rPr>
          <w:spacing w:val="-7"/>
        </w:rPr>
        <w:t> </w:t>
      </w:r>
      <w:r>
        <w:rPr/>
        <w:t>is</w:t>
      </w:r>
      <w:r>
        <w:rPr>
          <w:spacing w:val="-7"/>
        </w:rPr>
        <w:t> </w:t>
      </w:r>
      <w:r>
        <w:rPr/>
        <w:t>for</w:t>
      </w:r>
      <w:r>
        <w:rPr>
          <w:spacing w:val="-7"/>
        </w:rPr>
        <w:t> </w:t>
      </w:r>
      <w:r>
        <w:rPr/>
        <w:t>fiscal</w:t>
      </w:r>
      <w:r>
        <w:rPr>
          <w:spacing w:val="-7"/>
        </w:rPr>
        <w:t> </w:t>
      </w:r>
      <w:r>
        <w:rPr/>
        <w:t>years</w:t>
      </w:r>
      <w:r>
        <w:rPr>
          <w:spacing w:val="-7"/>
        </w:rPr>
        <w:t> </w:t>
      </w:r>
      <w:r>
        <w:rPr/>
        <w:t>beginning</w:t>
      </w:r>
      <w:r>
        <w:rPr>
          <w:spacing w:val="-7"/>
        </w:rPr>
        <w:t> </w:t>
      </w:r>
      <w:r>
        <w:rPr/>
        <w:t>after</w:t>
      </w:r>
      <w:r>
        <w:rPr>
          <w:spacing w:val="-7"/>
        </w:rPr>
        <w:t> </w:t>
      </w:r>
      <w:r>
        <w:rPr/>
        <w:t>December</w:t>
      </w:r>
      <w:r>
        <w:rPr>
          <w:spacing w:val="-7"/>
        </w:rPr>
        <w:t> </w:t>
      </w:r>
      <w:r>
        <w:rPr/>
        <w:t>15, </w:t>
      </w:r>
      <w:r>
        <w:rPr>
          <w:spacing w:val="-2"/>
        </w:rPr>
        <w:t>2018</w:t>
      </w:r>
      <w:r>
        <w:rPr>
          <w:spacing w:val="-7"/>
        </w:rPr>
        <w:t> </w:t>
      </w:r>
      <w:r>
        <w:rPr>
          <w:spacing w:val="-2"/>
        </w:rPr>
        <w:t>and</w:t>
      </w:r>
      <w:r>
        <w:rPr>
          <w:spacing w:val="-7"/>
        </w:rPr>
        <w:t> </w:t>
      </w:r>
      <w:r>
        <w:rPr>
          <w:spacing w:val="-2"/>
        </w:rPr>
        <w:t>interim</w:t>
      </w:r>
      <w:r>
        <w:rPr>
          <w:spacing w:val="-7"/>
        </w:rPr>
        <w:t> </w:t>
      </w:r>
      <w:r>
        <w:rPr>
          <w:spacing w:val="-2"/>
        </w:rPr>
        <w:t>periods</w:t>
      </w:r>
      <w:r>
        <w:rPr>
          <w:spacing w:val="-7"/>
        </w:rPr>
        <w:t> </w:t>
      </w:r>
      <w:r>
        <w:rPr>
          <w:spacing w:val="-2"/>
        </w:rPr>
        <w:t>within</w:t>
      </w:r>
      <w:r>
        <w:rPr>
          <w:spacing w:val="-7"/>
        </w:rPr>
        <w:t> </w:t>
      </w:r>
      <w:r>
        <w:rPr>
          <w:spacing w:val="-2"/>
        </w:rPr>
        <w:t>those</w:t>
      </w:r>
      <w:r>
        <w:rPr>
          <w:spacing w:val="-7"/>
        </w:rPr>
        <w:t> </w:t>
      </w:r>
      <w:r>
        <w:rPr>
          <w:spacing w:val="-2"/>
        </w:rPr>
        <w:t>fiscal</w:t>
      </w:r>
      <w:r>
        <w:rPr>
          <w:spacing w:val="-7"/>
        </w:rPr>
        <w:t> </w:t>
      </w:r>
      <w:r>
        <w:rPr>
          <w:spacing w:val="-2"/>
        </w:rPr>
        <w:t>years.</w:t>
      </w:r>
      <w:r>
        <w:rPr>
          <w:spacing w:val="-7"/>
        </w:rPr>
        <w:t> </w:t>
      </w:r>
      <w:r>
        <w:rPr>
          <w:spacing w:val="-2"/>
        </w:rPr>
        <w:t>Early</w:t>
      </w:r>
      <w:r>
        <w:rPr>
          <w:spacing w:val="-7"/>
        </w:rPr>
        <w:t> </w:t>
      </w:r>
      <w:r>
        <w:rPr>
          <w:spacing w:val="-2"/>
        </w:rPr>
        <w:t>adoption</w:t>
      </w:r>
      <w:r>
        <w:rPr>
          <w:spacing w:val="-7"/>
        </w:rPr>
        <w:t> </w:t>
      </w:r>
      <w:r>
        <w:rPr>
          <w:spacing w:val="-2"/>
        </w:rPr>
        <w:t>is</w:t>
      </w:r>
      <w:r>
        <w:rPr>
          <w:spacing w:val="-7"/>
        </w:rPr>
        <w:t> </w:t>
      </w:r>
      <w:r>
        <w:rPr>
          <w:spacing w:val="-2"/>
        </w:rPr>
        <w:t>permitted.</w:t>
      </w:r>
      <w:r>
        <w:rPr>
          <w:spacing w:val="-9"/>
        </w:rPr>
        <w:t> </w:t>
      </w:r>
      <w:r>
        <w:rPr>
          <w:spacing w:val="-2"/>
        </w:rPr>
        <w:t>The</w:t>
      </w:r>
      <w:r>
        <w:rPr>
          <w:spacing w:val="-7"/>
        </w:rPr>
        <w:t> </w:t>
      </w:r>
      <w:r>
        <w:rPr>
          <w:spacing w:val="-2"/>
        </w:rPr>
        <w:t>new</w:t>
      </w:r>
      <w:r>
        <w:rPr>
          <w:spacing w:val="-7"/>
        </w:rPr>
        <w:t> </w:t>
      </w:r>
      <w:r>
        <w:rPr>
          <w:spacing w:val="-2"/>
        </w:rPr>
        <w:t>standard</w:t>
      </w:r>
      <w:r>
        <w:rPr>
          <w:spacing w:val="-7"/>
        </w:rPr>
        <w:t> </w:t>
      </w:r>
      <w:r>
        <w:rPr>
          <w:spacing w:val="-2"/>
        </w:rPr>
        <w:t>must</w:t>
      </w:r>
      <w:r>
        <w:rPr>
          <w:spacing w:val="-7"/>
        </w:rPr>
        <w:t> </w:t>
      </w:r>
      <w:r>
        <w:rPr>
          <w:spacing w:val="-2"/>
        </w:rPr>
        <w:t>be</w:t>
      </w:r>
      <w:r>
        <w:rPr>
          <w:spacing w:val="-7"/>
        </w:rPr>
        <w:t> </w:t>
      </w:r>
      <w:r>
        <w:rPr>
          <w:spacing w:val="-2"/>
        </w:rPr>
        <w:t>adopted</w:t>
      </w:r>
      <w:r>
        <w:rPr>
          <w:spacing w:val="-7"/>
        </w:rPr>
        <w:t> </w:t>
      </w:r>
      <w:r>
        <w:rPr>
          <w:spacing w:val="-2"/>
        </w:rPr>
        <w:t>using</w:t>
      </w:r>
      <w:r>
        <w:rPr>
          <w:spacing w:val="-7"/>
        </w:rPr>
        <w:t> </w:t>
      </w:r>
      <w:r>
        <w:rPr>
          <w:spacing w:val="-2"/>
        </w:rPr>
        <w:t>a</w:t>
      </w:r>
      <w:r>
        <w:rPr>
          <w:spacing w:val="-7"/>
        </w:rPr>
        <w:t> </w:t>
      </w:r>
      <w:r>
        <w:rPr>
          <w:spacing w:val="-2"/>
        </w:rPr>
        <w:t>modified </w:t>
      </w:r>
      <w:r>
        <w:rPr/>
        <w:t>retrospective</w:t>
      </w:r>
      <w:r>
        <w:rPr>
          <w:spacing w:val="-3"/>
        </w:rPr>
        <w:t> </w:t>
      </w:r>
      <w:r>
        <w:rPr/>
        <w:t>transition</w:t>
      </w:r>
      <w:r>
        <w:rPr>
          <w:spacing w:val="-3"/>
        </w:rPr>
        <w:t> </w:t>
      </w:r>
      <w:r>
        <w:rPr/>
        <w:t>with</w:t>
      </w:r>
      <w:r>
        <w:rPr>
          <w:spacing w:val="-3"/>
        </w:rPr>
        <w:t> </w:t>
      </w:r>
      <w:r>
        <w:rPr/>
        <w:t>a</w:t>
      </w:r>
      <w:r>
        <w:rPr>
          <w:spacing w:val="-3"/>
        </w:rPr>
        <w:t> </w:t>
      </w:r>
      <w:r>
        <w:rPr/>
        <w:t>cumulative</w:t>
      </w:r>
      <w:r>
        <w:rPr>
          <w:spacing w:val="-3"/>
        </w:rPr>
        <w:t> </w:t>
      </w:r>
      <w:r>
        <w:rPr/>
        <w:t>effect</w:t>
      </w:r>
      <w:r>
        <w:rPr>
          <w:spacing w:val="-3"/>
        </w:rPr>
        <w:t> </w:t>
      </w:r>
      <w:r>
        <w:rPr/>
        <w:t>adjustment</w:t>
      </w:r>
      <w:r>
        <w:rPr>
          <w:spacing w:val="-3"/>
        </w:rPr>
        <w:t> </w:t>
      </w:r>
      <w:r>
        <w:rPr/>
        <w:t>recorded</w:t>
      </w:r>
      <w:r>
        <w:rPr>
          <w:spacing w:val="-3"/>
        </w:rPr>
        <w:t> </w:t>
      </w:r>
      <w:r>
        <w:rPr/>
        <w:t>to</w:t>
      </w:r>
      <w:r>
        <w:rPr>
          <w:spacing w:val="-3"/>
        </w:rPr>
        <w:t> </w:t>
      </w:r>
      <w:r>
        <w:rPr/>
        <w:t>opening</w:t>
      </w:r>
      <w:r>
        <w:rPr>
          <w:spacing w:val="-3"/>
        </w:rPr>
        <w:t> </w:t>
      </w:r>
      <w:r>
        <w:rPr/>
        <w:t>retained</w:t>
      </w:r>
      <w:r>
        <w:rPr>
          <w:spacing w:val="-3"/>
        </w:rPr>
        <w:t> </w:t>
      </w:r>
      <w:r>
        <w:rPr/>
        <w:t>earnings</w:t>
      </w:r>
      <w:r>
        <w:rPr>
          <w:spacing w:val="-3"/>
        </w:rPr>
        <w:t> </w:t>
      </w:r>
      <w:r>
        <w:rPr/>
        <w:t>as</w:t>
      </w:r>
      <w:r>
        <w:rPr>
          <w:spacing w:val="-3"/>
        </w:rPr>
        <w:t> </w:t>
      </w:r>
      <w:r>
        <w:rPr/>
        <w:t>of</w:t>
      </w:r>
      <w:r>
        <w:rPr>
          <w:spacing w:val="-3"/>
        </w:rPr>
        <w:t> </w:t>
      </w:r>
      <w:r>
        <w:rPr/>
        <w:t>the</w:t>
      </w:r>
      <w:r>
        <w:rPr>
          <w:spacing w:val="-3"/>
        </w:rPr>
        <w:t> </w:t>
      </w:r>
      <w:r>
        <w:rPr/>
        <w:t>initial</w:t>
      </w:r>
      <w:r>
        <w:rPr>
          <w:spacing w:val="-3"/>
        </w:rPr>
        <w:t> </w:t>
      </w:r>
      <w:r>
        <w:rPr/>
        <w:t>adoption</w:t>
      </w:r>
      <w:r>
        <w:rPr>
          <w:spacing w:val="-3"/>
        </w:rPr>
        <w:t> </w:t>
      </w:r>
      <w:r>
        <w:rPr/>
        <w:t>date. The updated standard is effective for us beginning in the first quarter of fiscal 2020 and we do not plan to early adopt. We are </w:t>
      </w:r>
      <w:r>
        <w:rPr>
          <w:spacing w:val="-2"/>
        </w:rPr>
        <w:t>currently</w:t>
      </w:r>
      <w:r>
        <w:rPr>
          <w:spacing w:val="-8"/>
        </w:rPr>
        <w:t> </w:t>
      </w:r>
      <w:r>
        <w:rPr>
          <w:spacing w:val="-2"/>
        </w:rPr>
        <w:t>evaluating</w:t>
      </w:r>
      <w:r>
        <w:rPr>
          <w:spacing w:val="-7"/>
        </w:rPr>
        <w:t> </w:t>
      </w:r>
      <w:r>
        <w:rPr>
          <w:spacing w:val="-2"/>
        </w:rPr>
        <w:t>the</w:t>
      </w:r>
      <w:r>
        <w:rPr>
          <w:spacing w:val="-8"/>
        </w:rPr>
        <w:t> </w:t>
      </w:r>
      <w:r>
        <w:rPr>
          <w:spacing w:val="-2"/>
        </w:rPr>
        <w:t>effect</w:t>
      </w:r>
      <w:r>
        <w:rPr>
          <w:spacing w:val="-7"/>
        </w:rPr>
        <w:t> </w:t>
      </w:r>
      <w:r>
        <w:rPr>
          <w:spacing w:val="-2"/>
        </w:rPr>
        <w:t>that</w:t>
      </w:r>
      <w:r>
        <w:rPr>
          <w:spacing w:val="-8"/>
        </w:rPr>
        <w:t> </w:t>
      </w:r>
      <w:r>
        <w:rPr>
          <w:spacing w:val="-2"/>
        </w:rPr>
        <w:t>the</w:t>
      </w:r>
      <w:r>
        <w:rPr>
          <w:spacing w:val="-7"/>
        </w:rPr>
        <w:t> </w:t>
      </w:r>
      <w:r>
        <w:rPr>
          <w:spacing w:val="-2"/>
        </w:rPr>
        <w:t>updated</w:t>
      </w:r>
      <w:r>
        <w:rPr>
          <w:spacing w:val="-8"/>
        </w:rPr>
        <w:t> </w:t>
      </w:r>
      <w:r>
        <w:rPr>
          <w:spacing w:val="-2"/>
        </w:rPr>
        <w:t>standard</w:t>
      </w:r>
      <w:r>
        <w:rPr>
          <w:spacing w:val="-7"/>
        </w:rPr>
        <w:t> </w:t>
      </w:r>
      <w:r>
        <w:rPr>
          <w:spacing w:val="-2"/>
        </w:rPr>
        <w:t>will</w:t>
      </w:r>
      <w:r>
        <w:rPr>
          <w:spacing w:val="-8"/>
        </w:rPr>
        <w:t> </w:t>
      </w:r>
      <w:r>
        <w:rPr>
          <w:spacing w:val="-2"/>
        </w:rPr>
        <w:t>have</w:t>
      </w:r>
      <w:r>
        <w:rPr>
          <w:spacing w:val="-9"/>
        </w:rPr>
        <w:t> </w:t>
      </w:r>
      <w:r>
        <w:rPr>
          <w:spacing w:val="-2"/>
        </w:rPr>
        <w:t>on</w:t>
      </w:r>
      <w:r>
        <w:rPr>
          <w:spacing w:val="-7"/>
        </w:rPr>
        <w:t> </w:t>
      </w:r>
      <w:r>
        <w:rPr>
          <w:spacing w:val="-2"/>
        </w:rPr>
        <w:t>our</w:t>
      </w:r>
      <w:r>
        <w:rPr>
          <w:spacing w:val="-8"/>
        </w:rPr>
        <w:t> </w:t>
      </w:r>
      <w:r>
        <w:rPr>
          <w:spacing w:val="-2"/>
        </w:rPr>
        <w:t>Consolidated</w:t>
      </w:r>
      <w:r>
        <w:rPr>
          <w:spacing w:val="-7"/>
        </w:rPr>
        <w:t> </w:t>
      </w:r>
      <w:r>
        <w:rPr>
          <w:spacing w:val="-2"/>
        </w:rPr>
        <w:t>Financial</w:t>
      </w:r>
      <w:r>
        <w:rPr>
          <w:spacing w:val="-9"/>
        </w:rPr>
        <w:t> </w:t>
      </w:r>
      <w:r>
        <w:rPr>
          <w:spacing w:val="-2"/>
        </w:rPr>
        <w:t>Statements</w:t>
      </w:r>
      <w:r>
        <w:rPr>
          <w:spacing w:val="-8"/>
        </w:rPr>
        <w:t> </w:t>
      </w:r>
      <w:r>
        <w:rPr>
          <w:spacing w:val="-2"/>
        </w:rPr>
        <w:t>and</w:t>
      </w:r>
      <w:r>
        <w:rPr>
          <w:spacing w:val="-7"/>
        </w:rPr>
        <w:t> </w:t>
      </w:r>
      <w:r>
        <w:rPr>
          <w:spacing w:val="-2"/>
        </w:rPr>
        <w:t>related</w:t>
      </w:r>
      <w:r>
        <w:rPr>
          <w:spacing w:val="-7"/>
        </w:rPr>
        <w:t> </w:t>
      </w:r>
      <w:r>
        <w:rPr>
          <w:spacing w:val="-2"/>
        </w:rPr>
        <w:t>disclosures.</w:t>
      </w:r>
    </w:p>
    <w:p>
      <w:pPr>
        <w:pStyle w:val="BodyText"/>
        <w:spacing w:line="249" w:lineRule="auto" w:before="187"/>
        <w:ind w:left="220" w:right="257" w:firstLine="540"/>
        <w:jc w:val="both"/>
      </w:pPr>
      <w:r>
        <w:rPr/>
        <w:t>With</w:t>
      </w:r>
      <w:r>
        <w:rPr>
          <w:spacing w:val="-3"/>
        </w:rPr>
        <w:t> </w:t>
      </w:r>
      <w:r>
        <w:rPr/>
        <w:t>the</w:t>
      </w:r>
      <w:r>
        <w:rPr>
          <w:spacing w:val="-3"/>
        </w:rPr>
        <w:t> </w:t>
      </w:r>
      <w:r>
        <w:rPr/>
        <w:t>exception</w:t>
      </w:r>
      <w:r>
        <w:rPr>
          <w:spacing w:val="-3"/>
        </w:rPr>
        <w:t> </w:t>
      </w:r>
      <w:r>
        <w:rPr/>
        <w:t>of</w:t>
      </w:r>
      <w:r>
        <w:rPr>
          <w:spacing w:val="-3"/>
        </w:rPr>
        <w:t> </w:t>
      </w:r>
      <w:r>
        <w:rPr/>
        <w:t>the</w:t>
      </w:r>
      <w:r>
        <w:rPr>
          <w:spacing w:val="-3"/>
        </w:rPr>
        <w:t> </w:t>
      </w:r>
      <w:r>
        <w:rPr/>
        <w:t>new</w:t>
      </w:r>
      <w:r>
        <w:rPr>
          <w:spacing w:val="-3"/>
        </w:rPr>
        <w:t> </w:t>
      </w:r>
      <w:r>
        <w:rPr/>
        <w:t>standards</w:t>
      </w:r>
      <w:r>
        <w:rPr>
          <w:spacing w:val="-2"/>
        </w:rPr>
        <w:t> </w:t>
      </w:r>
      <w:r>
        <w:rPr/>
        <w:t>discussed</w:t>
      </w:r>
      <w:r>
        <w:rPr>
          <w:spacing w:val="-3"/>
        </w:rPr>
        <w:t> </w:t>
      </w:r>
      <w:r>
        <w:rPr/>
        <w:t>above,</w:t>
      </w:r>
      <w:r>
        <w:rPr>
          <w:spacing w:val="-3"/>
        </w:rPr>
        <w:t> </w:t>
      </w:r>
      <w:r>
        <w:rPr/>
        <w:t>there</w:t>
      </w:r>
      <w:r>
        <w:rPr>
          <w:spacing w:val="-3"/>
        </w:rPr>
        <w:t> </w:t>
      </w:r>
      <w:r>
        <w:rPr/>
        <w:t>have</w:t>
      </w:r>
      <w:r>
        <w:rPr>
          <w:spacing w:val="-3"/>
        </w:rPr>
        <w:t> </w:t>
      </w:r>
      <w:r>
        <w:rPr/>
        <w:t>been</w:t>
      </w:r>
      <w:r>
        <w:rPr>
          <w:spacing w:val="-3"/>
        </w:rPr>
        <w:t> </w:t>
      </w:r>
      <w:r>
        <w:rPr/>
        <w:t>no</w:t>
      </w:r>
      <w:r>
        <w:rPr>
          <w:spacing w:val="-3"/>
        </w:rPr>
        <w:t> </w:t>
      </w:r>
      <w:r>
        <w:rPr/>
        <w:t>other</w:t>
      </w:r>
      <w:r>
        <w:rPr>
          <w:spacing w:val="-3"/>
        </w:rPr>
        <w:t> </w:t>
      </w:r>
      <w:r>
        <w:rPr/>
        <w:t>new</w:t>
      </w:r>
      <w:r>
        <w:rPr>
          <w:spacing w:val="-3"/>
        </w:rPr>
        <w:t> </w:t>
      </w:r>
      <w:r>
        <w:rPr/>
        <w:t>accounting</w:t>
      </w:r>
      <w:r>
        <w:rPr>
          <w:spacing w:val="-3"/>
        </w:rPr>
        <w:t> </w:t>
      </w:r>
      <w:r>
        <w:rPr/>
        <w:t>pronouncements</w:t>
      </w:r>
      <w:r>
        <w:rPr>
          <w:spacing w:val="40"/>
        </w:rPr>
        <w:t> </w:t>
      </w:r>
      <w:r>
        <w:rPr/>
        <w:t>that have</w:t>
      </w:r>
      <w:r>
        <w:rPr>
          <w:spacing w:val="40"/>
        </w:rPr>
        <w:t> </w:t>
      </w:r>
      <w:r>
        <w:rPr/>
        <w:t>significance, or potential significance, to our Consolidated Financial Statements.</w:t>
      </w:r>
    </w:p>
    <w:p>
      <w:pPr>
        <w:spacing w:after="0" w:line="249" w:lineRule="auto"/>
        <w:jc w:val="both"/>
        <w:sectPr>
          <w:pgSz w:w="12240" w:h="15840"/>
          <w:pgMar w:header="210" w:footer="610" w:top="1380" w:bottom="840" w:left="780" w:right="740"/>
        </w:sectPr>
      </w:pPr>
    </w:p>
    <w:p>
      <w:pPr>
        <w:pStyle w:val="BodyText"/>
      </w:pPr>
    </w:p>
    <w:p>
      <w:pPr>
        <w:pStyle w:val="BodyText"/>
      </w:pPr>
    </w:p>
    <w:p>
      <w:pPr>
        <w:pStyle w:val="BodyText"/>
        <w:spacing w:before="27"/>
      </w:pPr>
    </w:p>
    <w:p>
      <w:pPr>
        <w:pStyle w:val="Heading1"/>
      </w:pPr>
      <w:bookmarkStart w:name="NOTE 2. ACQUISITIONS" w:id="67"/>
      <w:bookmarkEnd w:id="67"/>
      <w:r>
        <w:rPr>
          <w:b w:val="0"/>
        </w:rPr>
      </w:r>
      <w:bookmarkStart w:name="_bookmark23" w:id="68"/>
      <w:bookmarkEnd w:id="68"/>
      <w:r>
        <w:rPr>
          <w:b w:val="0"/>
        </w:rPr>
      </w:r>
      <w:r>
        <w:rPr/>
        <w:t>NOTE 2.</w:t>
      </w:r>
      <w:r>
        <w:rPr>
          <w:spacing w:val="39"/>
        </w:rPr>
        <w:t> </w:t>
      </w:r>
      <w:r>
        <w:rPr>
          <w:spacing w:val="-2"/>
        </w:rPr>
        <w:t>ACQUISITIONS</w:t>
      </w:r>
    </w:p>
    <w:p>
      <w:pPr>
        <w:spacing w:before="190"/>
        <w:ind w:left="220" w:right="0" w:firstLine="0"/>
        <w:jc w:val="left"/>
        <w:rPr>
          <w:i/>
          <w:sz w:val="20"/>
        </w:rPr>
      </w:pPr>
      <w:r>
        <w:rPr>
          <w:i/>
          <w:spacing w:val="-2"/>
          <w:sz w:val="20"/>
        </w:rPr>
        <w:t>TubeMogul</w:t>
      </w:r>
    </w:p>
    <w:p>
      <w:pPr>
        <w:pStyle w:val="BodyText"/>
        <w:spacing w:before="190"/>
        <w:ind w:left="760"/>
      </w:pPr>
      <w:r>
        <w:rPr/>
        <w:t>On</w:t>
      </w:r>
      <w:r>
        <w:rPr>
          <w:spacing w:val="-10"/>
        </w:rPr>
        <w:t> </w:t>
      </w:r>
      <w:r>
        <w:rPr/>
        <w:t>December</w:t>
      </w:r>
      <w:r>
        <w:rPr>
          <w:spacing w:val="-7"/>
        </w:rPr>
        <w:t> </w:t>
      </w:r>
      <w:r>
        <w:rPr/>
        <w:t>19,</w:t>
      </w:r>
      <w:r>
        <w:rPr>
          <w:spacing w:val="-8"/>
        </w:rPr>
        <w:t> </w:t>
      </w:r>
      <w:r>
        <w:rPr/>
        <w:t>2016,</w:t>
      </w:r>
      <w:r>
        <w:rPr>
          <w:spacing w:val="-7"/>
        </w:rPr>
        <w:t> </w:t>
      </w:r>
      <w:r>
        <w:rPr/>
        <w:t>we</w:t>
      </w:r>
      <w:r>
        <w:rPr>
          <w:spacing w:val="-8"/>
        </w:rPr>
        <w:t> </w:t>
      </w:r>
      <w:r>
        <w:rPr/>
        <w:t>completed</w:t>
      </w:r>
      <w:r>
        <w:rPr>
          <w:spacing w:val="-7"/>
        </w:rPr>
        <w:t> </w:t>
      </w:r>
      <w:r>
        <w:rPr/>
        <w:t>our</w:t>
      </w:r>
      <w:r>
        <w:rPr>
          <w:spacing w:val="-8"/>
        </w:rPr>
        <w:t> </w:t>
      </w:r>
      <w:r>
        <w:rPr/>
        <w:t>acquisition</w:t>
      </w:r>
      <w:r>
        <w:rPr>
          <w:spacing w:val="-7"/>
        </w:rPr>
        <w:t> </w:t>
      </w:r>
      <w:r>
        <w:rPr/>
        <w:t>of</w:t>
      </w:r>
      <w:r>
        <w:rPr>
          <w:spacing w:val="-10"/>
        </w:rPr>
        <w:t> </w:t>
      </w:r>
      <w:r>
        <w:rPr/>
        <w:t>TubeMogul,</w:t>
      </w:r>
      <w:r>
        <w:rPr>
          <w:spacing w:val="-8"/>
        </w:rPr>
        <w:t> </w:t>
      </w:r>
      <w:r>
        <w:rPr/>
        <w:t>a</w:t>
      </w:r>
      <w:r>
        <w:rPr>
          <w:spacing w:val="-7"/>
        </w:rPr>
        <w:t> </w:t>
      </w:r>
      <w:r>
        <w:rPr/>
        <w:t>publicly</w:t>
      </w:r>
      <w:r>
        <w:rPr>
          <w:spacing w:val="-8"/>
        </w:rPr>
        <w:t> </w:t>
      </w:r>
      <w:r>
        <w:rPr/>
        <w:t>held</w:t>
      </w:r>
      <w:r>
        <w:rPr>
          <w:spacing w:val="-7"/>
        </w:rPr>
        <w:t> </w:t>
      </w:r>
      <w:r>
        <w:rPr/>
        <w:t>video</w:t>
      </w:r>
      <w:r>
        <w:rPr>
          <w:spacing w:val="-8"/>
        </w:rPr>
        <w:t> </w:t>
      </w:r>
      <w:r>
        <w:rPr/>
        <w:t>advertising</w:t>
      </w:r>
      <w:r>
        <w:rPr>
          <w:spacing w:val="-7"/>
        </w:rPr>
        <w:t> </w:t>
      </w:r>
      <w:r>
        <w:rPr/>
        <w:t>platform</w:t>
      </w:r>
      <w:r>
        <w:rPr>
          <w:spacing w:val="-7"/>
        </w:rPr>
        <w:t> </w:t>
      </w:r>
      <w:r>
        <w:rPr>
          <w:spacing w:val="-2"/>
        </w:rPr>
        <w:t>company.</w:t>
      </w:r>
    </w:p>
    <w:p>
      <w:pPr>
        <w:pStyle w:val="BodyText"/>
        <w:spacing w:before="10"/>
        <w:ind w:left="220"/>
      </w:pPr>
      <w:r>
        <w:rPr/>
        <w:t>As</w:t>
      </w:r>
      <w:r>
        <w:rPr>
          <w:spacing w:val="-2"/>
        </w:rPr>
        <w:t> </w:t>
      </w:r>
      <w:r>
        <w:rPr/>
        <w:t>of the</w:t>
      </w:r>
      <w:r>
        <w:rPr>
          <w:spacing w:val="-1"/>
        </w:rPr>
        <w:t> </w:t>
      </w:r>
      <w:r>
        <w:rPr/>
        <w:t>end of</w:t>
      </w:r>
      <w:r>
        <w:rPr>
          <w:spacing w:val="-1"/>
        </w:rPr>
        <w:t> </w:t>
      </w:r>
      <w:r>
        <w:rPr/>
        <w:t>fiscal</w:t>
      </w:r>
      <w:r>
        <w:rPr>
          <w:spacing w:val="-1"/>
        </w:rPr>
        <w:t> </w:t>
      </w:r>
      <w:r>
        <w:rPr/>
        <w:t>2017,</w:t>
      </w:r>
      <w:r>
        <w:rPr>
          <w:spacing w:val="-1"/>
        </w:rPr>
        <w:t> </w:t>
      </w:r>
      <w:r>
        <w:rPr/>
        <w:t>we</w:t>
      </w:r>
      <w:r>
        <w:rPr>
          <w:spacing w:val="-1"/>
        </w:rPr>
        <w:t> </w:t>
      </w:r>
      <w:r>
        <w:rPr/>
        <w:t>are</w:t>
      </w:r>
      <w:r>
        <w:rPr>
          <w:spacing w:val="-1"/>
        </w:rPr>
        <w:t> </w:t>
      </w:r>
      <w:r>
        <w:rPr/>
        <w:t>continuing</w:t>
      </w:r>
      <w:r>
        <w:rPr>
          <w:spacing w:val="-1"/>
        </w:rPr>
        <w:t> </w:t>
      </w:r>
      <w:r>
        <w:rPr/>
        <w:t>to integrate</w:t>
      </w:r>
      <w:r>
        <w:rPr>
          <w:spacing w:val="-5"/>
        </w:rPr>
        <w:t> </w:t>
      </w:r>
      <w:r>
        <w:rPr/>
        <w:t>TubeMogul</w:t>
      </w:r>
      <w:r>
        <w:rPr>
          <w:spacing w:val="-1"/>
        </w:rPr>
        <w:t> </w:t>
      </w:r>
      <w:r>
        <w:rPr/>
        <w:t>into</w:t>
      </w:r>
      <w:r>
        <w:rPr>
          <w:spacing w:val="-2"/>
        </w:rPr>
        <w:t> </w:t>
      </w:r>
      <w:r>
        <w:rPr/>
        <w:t>our Digital</w:t>
      </w:r>
      <w:r>
        <w:rPr>
          <w:spacing w:val="-2"/>
        </w:rPr>
        <w:t> </w:t>
      </w:r>
      <w:r>
        <w:rPr/>
        <w:t>Marketing</w:t>
      </w:r>
      <w:r>
        <w:rPr>
          <w:spacing w:val="-1"/>
        </w:rPr>
        <w:t> </w:t>
      </w:r>
      <w:r>
        <w:rPr/>
        <w:t>reportable</w:t>
      </w:r>
      <w:r>
        <w:rPr>
          <w:spacing w:val="-1"/>
        </w:rPr>
        <w:t> </w:t>
      </w:r>
      <w:r>
        <w:rPr>
          <w:spacing w:val="-2"/>
        </w:rPr>
        <w:t>segment.</w:t>
      </w:r>
    </w:p>
    <w:p>
      <w:pPr>
        <w:pStyle w:val="BodyText"/>
        <w:spacing w:line="249" w:lineRule="auto" w:before="190"/>
        <w:ind w:left="220" w:right="257" w:firstLine="540"/>
        <w:jc w:val="both"/>
      </w:pPr>
      <w:r>
        <w:rPr/>
        <w:t>Under</w:t>
      </w:r>
      <w:r>
        <w:rPr>
          <w:spacing w:val="-2"/>
        </w:rPr>
        <w:t> </w:t>
      </w:r>
      <w:r>
        <w:rPr/>
        <w:t>the</w:t>
      </w:r>
      <w:r>
        <w:rPr>
          <w:spacing w:val="-2"/>
        </w:rPr>
        <w:t> </w:t>
      </w:r>
      <w:r>
        <w:rPr/>
        <w:t>acquisition</w:t>
      </w:r>
      <w:r>
        <w:rPr>
          <w:spacing w:val="-2"/>
        </w:rPr>
        <w:t> </w:t>
      </w:r>
      <w:r>
        <w:rPr/>
        <w:t>method</w:t>
      </w:r>
      <w:r>
        <w:rPr>
          <w:spacing w:val="-2"/>
        </w:rPr>
        <w:t> </w:t>
      </w:r>
      <w:r>
        <w:rPr/>
        <w:t>of</w:t>
      </w:r>
      <w:r>
        <w:rPr>
          <w:spacing w:val="-2"/>
        </w:rPr>
        <w:t> </w:t>
      </w:r>
      <w:r>
        <w:rPr/>
        <w:t>accounting,</w:t>
      </w:r>
      <w:r>
        <w:rPr>
          <w:spacing w:val="-2"/>
        </w:rPr>
        <w:t> </w:t>
      </w:r>
      <w:r>
        <w:rPr/>
        <w:t>the</w:t>
      </w:r>
      <w:r>
        <w:rPr>
          <w:spacing w:val="-2"/>
        </w:rPr>
        <w:t> </w:t>
      </w:r>
      <w:r>
        <w:rPr/>
        <w:t>total</w:t>
      </w:r>
      <w:r>
        <w:rPr>
          <w:spacing w:val="-2"/>
        </w:rPr>
        <w:t> </w:t>
      </w:r>
      <w:r>
        <w:rPr/>
        <w:t>final</w:t>
      </w:r>
      <w:r>
        <w:rPr>
          <w:spacing w:val="-2"/>
        </w:rPr>
        <w:t> </w:t>
      </w:r>
      <w:r>
        <w:rPr/>
        <w:t>purchase</w:t>
      </w:r>
      <w:r>
        <w:rPr>
          <w:spacing w:val="-2"/>
        </w:rPr>
        <w:t> </w:t>
      </w:r>
      <w:r>
        <w:rPr/>
        <w:t>price</w:t>
      </w:r>
      <w:r>
        <w:rPr>
          <w:spacing w:val="-2"/>
        </w:rPr>
        <w:t> </w:t>
      </w:r>
      <w:r>
        <w:rPr/>
        <w:t>was</w:t>
      </w:r>
      <w:r>
        <w:rPr>
          <w:spacing w:val="-2"/>
        </w:rPr>
        <w:t> </w:t>
      </w:r>
      <w:r>
        <w:rPr/>
        <w:t>allocated</w:t>
      </w:r>
      <w:r>
        <w:rPr>
          <w:spacing w:val="-2"/>
        </w:rPr>
        <w:t> </w:t>
      </w:r>
      <w:r>
        <w:rPr/>
        <w:t>to</w:t>
      </w:r>
      <w:r>
        <w:rPr>
          <w:spacing w:val="-6"/>
        </w:rPr>
        <w:t> </w:t>
      </w:r>
      <w:r>
        <w:rPr/>
        <w:t>TubeMogul’s</w:t>
      </w:r>
      <w:r>
        <w:rPr>
          <w:spacing w:val="-2"/>
        </w:rPr>
        <w:t> </w:t>
      </w:r>
      <w:r>
        <w:rPr/>
        <w:t>net</w:t>
      </w:r>
      <w:r>
        <w:rPr>
          <w:spacing w:val="-2"/>
        </w:rPr>
        <w:t> </w:t>
      </w:r>
      <w:r>
        <w:rPr/>
        <w:t>tangible</w:t>
      </w:r>
      <w:r>
        <w:rPr>
          <w:spacing w:val="-2"/>
        </w:rPr>
        <w:t> </w:t>
      </w:r>
      <w:r>
        <w:rPr/>
        <w:t>and intangible assets based upon their estimated fair values as of December 19, 2016.</w:t>
      </w:r>
      <w:r>
        <w:rPr>
          <w:spacing w:val="40"/>
        </w:rPr>
        <w:t> </w:t>
      </w:r>
      <w:r>
        <w:rPr/>
        <w:t>During fiscal 2017, we recorded immaterial purchase accounting adjustments based on changes to management’s estimates and assumptions in regards to tangible assets, </w:t>
      </w:r>
      <w:r>
        <w:rPr>
          <w:spacing w:val="-2"/>
        </w:rPr>
        <w:t>liabilities</w:t>
      </w:r>
      <w:r>
        <w:rPr>
          <w:spacing w:val="-4"/>
        </w:rPr>
        <w:t> </w:t>
      </w:r>
      <w:r>
        <w:rPr>
          <w:spacing w:val="-2"/>
        </w:rPr>
        <w:t>assumed,</w:t>
      </w:r>
      <w:r>
        <w:rPr>
          <w:spacing w:val="-4"/>
        </w:rPr>
        <w:t> </w:t>
      </w:r>
      <w:r>
        <w:rPr>
          <w:spacing w:val="-2"/>
        </w:rPr>
        <w:t>and</w:t>
      </w:r>
      <w:r>
        <w:rPr>
          <w:spacing w:val="-4"/>
        </w:rPr>
        <w:t> </w:t>
      </w:r>
      <w:r>
        <w:rPr>
          <w:spacing w:val="-2"/>
        </w:rPr>
        <w:t>their</w:t>
      </w:r>
      <w:r>
        <w:rPr>
          <w:spacing w:val="-3"/>
        </w:rPr>
        <w:t> </w:t>
      </w:r>
      <w:r>
        <w:rPr>
          <w:spacing w:val="-2"/>
        </w:rPr>
        <w:t>related</w:t>
      </w:r>
      <w:r>
        <w:rPr>
          <w:spacing w:val="-4"/>
        </w:rPr>
        <w:t> </w:t>
      </w:r>
      <w:r>
        <w:rPr>
          <w:spacing w:val="-2"/>
        </w:rPr>
        <w:t>impact</w:t>
      </w:r>
      <w:r>
        <w:rPr>
          <w:spacing w:val="-4"/>
        </w:rPr>
        <w:t> </w:t>
      </w:r>
      <w:r>
        <w:rPr>
          <w:spacing w:val="-2"/>
        </w:rPr>
        <w:t>to</w:t>
      </w:r>
      <w:r>
        <w:rPr>
          <w:spacing w:val="-3"/>
        </w:rPr>
        <w:t> </w:t>
      </w:r>
      <w:r>
        <w:rPr>
          <w:spacing w:val="-2"/>
        </w:rPr>
        <w:t>goodwill.</w:t>
      </w:r>
      <w:r>
        <w:rPr>
          <w:spacing w:val="-6"/>
        </w:rPr>
        <w:t> </w:t>
      </w:r>
      <w:r>
        <w:rPr>
          <w:spacing w:val="-2"/>
        </w:rPr>
        <w:t>The</w:t>
      </w:r>
      <w:r>
        <w:rPr>
          <w:spacing w:val="-4"/>
        </w:rPr>
        <w:t> </w:t>
      </w:r>
      <w:r>
        <w:rPr>
          <w:spacing w:val="-2"/>
        </w:rPr>
        <w:t>total</w:t>
      </w:r>
      <w:r>
        <w:rPr>
          <w:spacing w:val="-4"/>
        </w:rPr>
        <w:t> </w:t>
      </w:r>
      <w:r>
        <w:rPr>
          <w:spacing w:val="-2"/>
        </w:rPr>
        <w:t>final</w:t>
      </w:r>
      <w:r>
        <w:rPr>
          <w:spacing w:val="-4"/>
        </w:rPr>
        <w:t> </w:t>
      </w:r>
      <w:r>
        <w:rPr>
          <w:spacing w:val="-2"/>
        </w:rPr>
        <w:t>purchase</w:t>
      </w:r>
      <w:r>
        <w:rPr>
          <w:spacing w:val="-3"/>
        </w:rPr>
        <w:t> </w:t>
      </w:r>
      <w:r>
        <w:rPr>
          <w:spacing w:val="-2"/>
        </w:rPr>
        <w:t>price</w:t>
      </w:r>
      <w:r>
        <w:rPr>
          <w:spacing w:val="-4"/>
        </w:rPr>
        <w:t> </w:t>
      </w:r>
      <w:r>
        <w:rPr>
          <w:spacing w:val="-2"/>
        </w:rPr>
        <w:t>for</w:t>
      </w:r>
      <w:r>
        <w:rPr>
          <w:spacing w:val="-6"/>
        </w:rPr>
        <w:t> </w:t>
      </w:r>
      <w:r>
        <w:rPr>
          <w:spacing w:val="-2"/>
        </w:rPr>
        <w:t>TubeMogul</w:t>
      </w:r>
      <w:r>
        <w:rPr>
          <w:spacing w:val="-4"/>
        </w:rPr>
        <w:t> </w:t>
      </w:r>
      <w:r>
        <w:rPr>
          <w:spacing w:val="-2"/>
        </w:rPr>
        <w:t>was</w:t>
      </w:r>
      <w:r>
        <w:rPr>
          <w:spacing w:val="-3"/>
        </w:rPr>
        <w:t> </w:t>
      </w:r>
      <w:r>
        <w:rPr>
          <w:spacing w:val="-2"/>
        </w:rPr>
        <w:t>$560.8</w:t>
      </w:r>
      <w:r>
        <w:rPr>
          <w:spacing w:val="-4"/>
        </w:rPr>
        <w:t> </w:t>
      </w:r>
      <w:r>
        <w:rPr>
          <w:spacing w:val="-2"/>
        </w:rPr>
        <w:t>million</w:t>
      </w:r>
      <w:r>
        <w:rPr>
          <w:spacing w:val="-4"/>
        </w:rPr>
        <w:t> </w:t>
      </w:r>
      <w:r>
        <w:rPr>
          <w:spacing w:val="-2"/>
        </w:rPr>
        <w:t>of</w:t>
      </w:r>
      <w:r>
        <w:rPr>
          <w:spacing w:val="-3"/>
        </w:rPr>
        <w:t> </w:t>
      </w:r>
      <w:r>
        <w:rPr>
          <w:spacing w:val="-2"/>
        </w:rPr>
        <w:t>which</w:t>
      </w:r>
    </w:p>
    <w:p>
      <w:pPr>
        <w:pStyle w:val="BodyText"/>
        <w:spacing w:line="249" w:lineRule="auto" w:before="3"/>
        <w:ind w:left="220" w:right="259"/>
        <w:jc w:val="both"/>
      </w:pPr>
      <w:r>
        <w:rPr/>
        <w:t>$348.4</w:t>
      </w:r>
      <w:r>
        <w:rPr>
          <w:spacing w:val="-11"/>
        </w:rPr>
        <w:t> </w:t>
      </w:r>
      <w:r>
        <w:rPr/>
        <w:t>million</w:t>
      </w:r>
      <w:r>
        <w:rPr>
          <w:spacing w:val="-11"/>
        </w:rPr>
        <w:t> </w:t>
      </w:r>
      <w:r>
        <w:rPr/>
        <w:t>was</w:t>
      </w:r>
      <w:r>
        <w:rPr>
          <w:spacing w:val="-11"/>
        </w:rPr>
        <w:t> </w:t>
      </w:r>
      <w:r>
        <w:rPr/>
        <w:t>allocated</w:t>
      </w:r>
      <w:r>
        <w:rPr>
          <w:spacing w:val="-11"/>
        </w:rPr>
        <w:t> </w:t>
      </w:r>
      <w:r>
        <w:rPr/>
        <w:t>to</w:t>
      </w:r>
      <w:r>
        <w:rPr>
          <w:spacing w:val="-11"/>
        </w:rPr>
        <w:t> </w:t>
      </w:r>
      <w:r>
        <w:rPr/>
        <w:t>goodwill</w:t>
      </w:r>
      <w:r>
        <w:rPr>
          <w:spacing w:val="-11"/>
        </w:rPr>
        <w:t> </w:t>
      </w:r>
      <w:r>
        <w:rPr/>
        <w:t>that</w:t>
      </w:r>
      <w:r>
        <w:rPr>
          <w:spacing w:val="-11"/>
        </w:rPr>
        <w:t> </w:t>
      </w:r>
      <w:r>
        <w:rPr/>
        <w:t>was</w:t>
      </w:r>
      <w:r>
        <w:rPr>
          <w:spacing w:val="-11"/>
        </w:rPr>
        <w:t> </w:t>
      </w:r>
      <w:r>
        <w:rPr/>
        <w:t>non-deductible</w:t>
      </w:r>
      <w:r>
        <w:rPr>
          <w:spacing w:val="-11"/>
        </w:rPr>
        <w:t> </w:t>
      </w:r>
      <w:r>
        <w:rPr/>
        <w:t>for</w:t>
      </w:r>
      <w:r>
        <w:rPr>
          <w:spacing w:val="-11"/>
        </w:rPr>
        <w:t> </w:t>
      </w:r>
      <w:r>
        <w:rPr/>
        <w:t>tax</w:t>
      </w:r>
      <w:r>
        <w:rPr>
          <w:spacing w:val="-11"/>
        </w:rPr>
        <w:t> </w:t>
      </w:r>
      <w:r>
        <w:rPr/>
        <w:t>purposes,</w:t>
      </w:r>
      <w:r>
        <w:rPr>
          <w:spacing w:val="-11"/>
        </w:rPr>
        <w:t> </w:t>
      </w:r>
      <w:r>
        <w:rPr/>
        <w:t>$113.1</w:t>
      </w:r>
      <w:r>
        <w:rPr>
          <w:spacing w:val="-11"/>
        </w:rPr>
        <w:t> </w:t>
      </w:r>
      <w:r>
        <w:rPr/>
        <w:t>million</w:t>
      </w:r>
      <w:r>
        <w:rPr>
          <w:spacing w:val="-11"/>
        </w:rPr>
        <w:t> </w:t>
      </w:r>
      <w:r>
        <w:rPr/>
        <w:t>to</w:t>
      </w:r>
      <w:r>
        <w:rPr>
          <w:spacing w:val="-11"/>
        </w:rPr>
        <w:t> </w:t>
      </w:r>
      <w:r>
        <w:rPr/>
        <w:t>identifiable</w:t>
      </w:r>
      <w:r>
        <w:rPr>
          <w:spacing w:val="-11"/>
        </w:rPr>
        <w:t> </w:t>
      </w:r>
      <w:r>
        <w:rPr/>
        <w:t>intangible</w:t>
      </w:r>
      <w:r>
        <w:rPr>
          <w:spacing w:val="-11"/>
        </w:rPr>
        <w:t> </w:t>
      </w:r>
      <w:r>
        <w:rPr/>
        <w:t>assets and $99.3 million to net assets acquired.</w:t>
      </w:r>
    </w:p>
    <w:p>
      <w:pPr>
        <w:spacing w:before="182"/>
        <w:ind w:left="220" w:right="0" w:firstLine="0"/>
        <w:jc w:val="left"/>
        <w:rPr>
          <w:i/>
          <w:sz w:val="20"/>
        </w:rPr>
      </w:pPr>
      <w:r>
        <w:rPr>
          <w:i/>
          <w:spacing w:val="-2"/>
          <w:sz w:val="20"/>
        </w:rPr>
        <w:t>Fotolia</w:t>
      </w:r>
    </w:p>
    <w:p>
      <w:pPr>
        <w:pStyle w:val="BodyText"/>
        <w:spacing w:line="249" w:lineRule="auto" w:before="190"/>
        <w:ind w:left="220" w:right="257" w:firstLine="540"/>
        <w:jc w:val="both"/>
      </w:pPr>
      <w:r>
        <w:rPr/>
        <w:t>On</w:t>
      </w:r>
      <w:r>
        <w:rPr>
          <w:spacing w:val="-13"/>
        </w:rPr>
        <w:t> </w:t>
      </w:r>
      <w:r>
        <w:rPr/>
        <w:t>January</w:t>
      </w:r>
      <w:r>
        <w:rPr>
          <w:spacing w:val="-12"/>
        </w:rPr>
        <w:t> </w:t>
      </w:r>
      <w:r>
        <w:rPr/>
        <w:t>27,</w:t>
      </w:r>
      <w:r>
        <w:rPr>
          <w:spacing w:val="-13"/>
        </w:rPr>
        <w:t> </w:t>
      </w:r>
      <w:r>
        <w:rPr/>
        <w:t>2015,</w:t>
      </w:r>
      <w:r>
        <w:rPr>
          <w:spacing w:val="-12"/>
        </w:rPr>
        <w:t> </w:t>
      </w:r>
      <w:r>
        <w:rPr/>
        <w:t>we</w:t>
      </w:r>
      <w:r>
        <w:rPr>
          <w:spacing w:val="-13"/>
        </w:rPr>
        <w:t> </w:t>
      </w:r>
      <w:r>
        <w:rPr/>
        <w:t>completed</w:t>
      </w:r>
      <w:r>
        <w:rPr>
          <w:spacing w:val="-12"/>
        </w:rPr>
        <w:t> </w:t>
      </w:r>
      <w:r>
        <w:rPr/>
        <w:t>our</w:t>
      </w:r>
      <w:r>
        <w:rPr>
          <w:spacing w:val="-13"/>
        </w:rPr>
        <w:t> </w:t>
      </w:r>
      <w:r>
        <w:rPr/>
        <w:t>acquisition</w:t>
      </w:r>
      <w:r>
        <w:rPr>
          <w:spacing w:val="-12"/>
        </w:rPr>
        <w:t> </w:t>
      </w:r>
      <w:r>
        <w:rPr/>
        <w:t>of</w:t>
      </w:r>
      <w:r>
        <w:rPr>
          <w:spacing w:val="-13"/>
        </w:rPr>
        <w:t> </w:t>
      </w:r>
      <w:r>
        <w:rPr/>
        <w:t>privately</w:t>
      </w:r>
      <w:r>
        <w:rPr>
          <w:spacing w:val="-12"/>
        </w:rPr>
        <w:t> </w:t>
      </w:r>
      <w:r>
        <w:rPr/>
        <w:t>held</w:t>
      </w:r>
      <w:r>
        <w:rPr>
          <w:spacing w:val="-13"/>
        </w:rPr>
        <w:t> </w:t>
      </w:r>
      <w:r>
        <w:rPr/>
        <w:t>Fotolia,</w:t>
      </w:r>
      <w:r>
        <w:rPr>
          <w:spacing w:val="-12"/>
        </w:rPr>
        <w:t> </w:t>
      </w:r>
      <w:r>
        <w:rPr/>
        <w:t>a</w:t>
      </w:r>
      <w:r>
        <w:rPr>
          <w:spacing w:val="-13"/>
        </w:rPr>
        <w:t> </w:t>
      </w:r>
      <w:r>
        <w:rPr/>
        <w:t>leading</w:t>
      </w:r>
      <w:r>
        <w:rPr>
          <w:spacing w:val="-12"/>
        </w:rPr>
        <w:t> </w:t>
      </w:r>
      <w:r>
        <w:rPr/>
        <w:t>marketplace</w:t>
      </w:r>
      <w:r>
        <w:rPr>
          <w:spacing w:val="-13"/>
        </w:rPr>
        <w:t> </w:t>
      </w:r>
      <w:r>
        <w:rPr/>
        <w:t>for</w:t>
      </w:r>
      <w:r>
        <w:rPr>
          <w:spacing w:val="-12"/>
        </w:rPr>
        <w:t> </w:t>
      </w:r>
      <w:r>
        <w:rPr/>
        <w:t>royalty-free</w:t>
      </w:r>
      <w:r>
        <w:rPr>
          <w:spacing w:val="-13"/>
        </w:rPr>
        <w:t> </w:t>
      </w:r>
      <w:r>
        <w:rPr/>
        <w:t>photos, images, graphics and HD videos. During fiscal 2015, we integrated Fotolia into our Digital Media reportable segment.</w:t>
      </w:r>
    </w:p>
    <w:p>
      <w:pPr>
        <w:pStyle w:val="BodyText"/>
        <w:spacing w:line="249" w:lineRule="auto" w:before="181"/>
        <w:ind w:left="220" w:right="257" w:firstLine="540"/>
        <w:jc w:val="both"/>
      </w:pPr>
      <w:r>
        <w:rPr/>
        <w:t>Under the acquisition method of accounting, the total final purchase price was allocated to Fotolia's net tangible and </w:t>
      </w:r>
      <w:r>
        <w:rPr>
          <w:spacing w:val="-2"/>
        </w:rPr>
        <w:t>intangible</w:t>
      </w:r>
      <w:r>
        <w:rPr>
          <w:spacing w:val="-10"/>
        </w:rPr>
        <w:t> </w:t>
      </w:r>
      <w:r>
        <w:rPr>
          <w:spacing w:val="-2"/>
        </w:rPr>
        <w:t>assets</w:t>
      </w:r>
      <w:r>
        <w:rPr>
          <w:spacing w:val="-10"/>
        </w:rPr>
        <w:t> </w:t>
      </w:r>
      <w:r>
        <w:rPr>
          <w:spacing w:val="-2"/>
        </w:rPr>
        <w:t>based</w:t>
      </w:r>
      <w:r>
        <w:rPr>
          <w:spacing w:val="-10"/>
        </w:rPr>
        <w:t> </w:t>
      </w:r>
      <w:r>
        <w:rPr>
          <w:spacing w:val="-2"/>
        </w:rPr>
        <w:t>upon</w:t>
      </w:r>
      <w:r>
        <w:rPr>
          <w:spacing w:val="-10"/>
        </w:rPr>
        <w:t> </w:t>
      </w:r>
      <w:r>
        <w:rPr>
          <w:spacing w:val="-2"/>
        </w:rPr>
        <w:t>their</w:t>
      </w:r>
      <w:r>
        <w:rPr>
          <w:spacing w:val="-10"/>
        </w:rPr>
        <w:t> </w:t>
      </w:r>
      <w:r>
        <w:rPr>
          <w:spacing w:val="-2"/>
        </w:rPr>
        <w:t>estimated</w:t>
      </w:r>
      <w:r>
        <w:rPr>
          <w:spacing w:val="-10"/>
        </w:rPr>
        <w:t> </w:t>
      </w:r>
      <w:r>
        <w:rPr>
          <w:spacing w:val="-2"/>
        </w:rPr>
        <w:t>fair</w:t>
      </w:r>
      <w:r>
        <w:rPr>
          <w:spacing w:val="-10"/>
        </w:rPr>
        <w:t> </w:t>
      </w:r>
      <w:r>
        <w:rPr>
          <w:spacing w:val="-2"/>
        </w:rPr>
        <w:t>values</w:t>
      </w:r>
      <w:r>
        <w:rPr>
          <w:spacing w:val="-10"/>
        </w:rPr>
        <w:t> </w:t>
      </w:r>
      <w:r>
        <w:rPr>
          <w:spacing w:val="-2"/>
        </w:rPr>
        <w:t>as</w:t>
      </w:r>
      <w:r>
        <w:rPr>
          <w:spacing w:val="-10"/>
        </w:rPr>
        <w:t> </w:t>
      </w:r>
      <w:r>
        <w:rPr>
          <w:spacing w:val="-2"/>
        </w:rPr>
        <w:t>of</w:t>
      </w:r>
      <w:r>
        <w:rPr>
          <w:spacing w:val="-10"/>
        </w:rPr>
        <w:t> </w:t>
      </w:r>
      <w:r>
        <w:rPr>
          <w:spacing w:val="-2"/>
        </w:rPr>
        <w:t>January</w:t>
      </w:r>
      <w:r>
        <w:rPr>
          <w:spacing w:val="-10"/>
        </w:rPr>
        <w:t> </w:t>
      </w:r>
      <w:r>
        <w:rPr>
          <w:spacing w:val="-2"/>
        </w:rPr>
        <w:t>27,</w:t>
      </w:r>
      <w:r>
        <w:rPr>
          <w:spacing w:val="-10"/>
        </w:rPr>
        <w:t> </w:t>
      </w:r>
      <w:r>
        <w:rPr>
          <w:spacing w:val="-2"/>
        </w:rPr>
        <w:t>2015.</w:t>
      </w:r>
      <w:r>
        <w:rPr>
          <w:spacing w:val="-10"/>
        </w:rPr>
        <w:t> </w:t>
      </w:r>
      <w:r>
        <w:rPr>
          <w:spacing w:val="-2"/>
        </w:rPr>
        <w:t>During</w:t>
      </w:r>
      <w:r>
        <w:rPr>
          <w:spacing w:val="-10"/>
        </w:rPr>
        <w:t> </w:t>
      </w:r>
      <w:r>
        <w:rPr>
          <w:spacing w:val="-2"/>
        </w:rPr>
        <w:t>fiscal</w:t>
      </w:r>
      <w:r>
        <w:rPr>
          <w:spacing w:val="-10"/>
        </w:rPr>
        <w:t> </w:t>
      </w:r>
      <w:r>
        <w:rPr>
          <w:spacing w:val="-2"/>
        </w:rPr>
        <w:t>2015,</w:t>
      </w:r>
      <w:r>
        <w:rPr>
          <w:spacing w:val="-10"/>
        </w:rPr>
        <w:t> </w:t>
      </w:r>
      <w:r>
        <w:rPr>
          <w:spacing w:val="-2"/>
        </w:rPr>
        <w:t>we</w:t>
      </w:r>
      <w:r>
        <w:rPr>
          <w:spacing w:val="-10"/>
        </w:rPr>
        <w:t> </w:t>
      </w:r>
      <w:r>
        <w:rPr>
          <w:spacing w:val="-2"/>
        </w:rPr>
        <w:t>recorded</w:t>
      </w:r>
      <w:r>
        <w:rPr>
          <w:spacing w:val="-10"/>
        </w:rPr>
        <w:t> </w:t>
      </w:r>
      <w:r>
        <w:rPr>
          <w:spacing w:val="-2"/>
        </w:rPr>
        <w:t>immaterial</w:t>
      </w:r>
      <w:r>
        <w:rPr>
          <w:spacing w:val="-10"/>
        </w:rPr>
        <w:t> </w:t>
      </w:r>
      <w:r>
        <w:rPr>
          <w:spacing w:val="-2"/>
        </w:rPr>
        <w:t>purchase </w:t>
      </w:r>
      <w:r>
        <w:rPr/>
        <w:t>accounting adjustments based on changes to management’s estimates and assumptions in regards to assumed intangible assets, calculation of deferred tax assets, liabilities and equity awards. The total final purchase price for Fotolia was $807.5 million of which</w:t>
      </w:r>
      <w:r>
        <w:rPr>
          <w:spacing w:val="-13"/>
        </w:rPr>
        <w:t> </w:t>
      </w:r>
      <w:r>
        <w:rPr/>
        <w:t>$745.1</w:t>
      </w:r>
      <w:r>
        <w:rPr>
          <w:spacing w:val="-12"/>
        </w:rPr>
        <w:t> </w:t>
      </w:r>
      <w:r>
        <w:rPr/>
        <w:t>million</w:t>
      </w:r>
      <w:r>
        <w:rPr>
          <w:spacing w:val="-13"/>
        </w:rPr>
        <w:t> </w:t>
      </w:r>
      <w:r>
        <w:rPr/>
        <w:t>was</w:t>
      </w:r>
      <w:r>
        <w:rPr>
          <w:spacing w:val="-12"/>
        </w:rPr>
        <w:t> </w:t>
      </w:r>
      <w:r>
        <w:rPr/>
        <w:t>allocated</w:t>
      </w:r>
      <w:r>
        <w:rPr>
          <w:spacing w:val="-12"/>
        </w:rPr>
        <w:t> </w:t>
      </w:r>
      <w:r>
        <w:rPr/>
        <w:t>to</w:t>
      </w:r>
      <w:r>
        <w:rPr>
          <w:spacing w:val="-12"/>
        </w:rPr>
        <w:t> </w:t>
      </w:r>
      <w:r>
        <w:rPr/>
        <w:t>goodwill</w:t>
      </w:r>
      <w:r>
        <w:rPr>
          <w:spacing w:val="-13"/>
        </w:rPr>
        <w:t> </w:t>
      </w:r>
      <w:r>
        <w:rPr/>
        <w:t>that</w:t>
      </w:r>
      <w:r>
        <w:rPr>
          <w:spacing w:val="-12"/>
        </w:rPr>
        <w:t> </w:t>
      </w:r>
      <w:r>
        <w:rPr/>
        <w:t>was</w:t>
      </w:r>
      <w:r>
        <w:rPr>
          <w:spacing w:val="-12"/>
        </w:rPr>
        <w:t> </w:t>
      </w:r>
      <w:r>
        <w:rPr/>
        <w:t>non-deductible</w:t>
      </w:r>
      <w:r>
        <w:rPr>
          <w:spacing w:val="-13"/>
        </w:rPr>
        <w:t> </w:t>
      </w:r>
      <w:r>
        <w:rPr/>
        <w:t>for</w:t>
      </w:r>
      <w:r>
        <w:rPr>
          <w:spacing w:val="-12"/>
        </w:rPr>
        <w:t> </w:t>
      </w:r>
      <w:r>
        <w:rPr/>
        <w:t>tax</w:t>
      </w:r>
      <w:r>
        <w:rPr>
          <w:spacing w:val="-12"/>
        </w:rPr>
        <w:t> </w:t>
      </w:r>
      <w:r>
        <w:rPr/>
        <w:t>purposes,</w:t>
      </w:r>
      <w:r>
        <w:rPr>
          <w:spacing w:val="-12"/>
        </w:rPr>
        <w:t> </w:t>
      </w:r>
      <w:r>
        <w:rPr/>
        <w:t>$204.4</w:t>
      </w:r>
      <w:r>
        <w:rPr>
          <w:spacing w:val="-12"/>
        </w:rPr>
        <w:t> </w:t>
      </w:r>
      <w:r>
        <w:rPr/>
        <w:t>million</w:t>
      </w:r>
      <w:r>
        <w:rPr>
          <w:spacing w:val="-13"/>
        </w:rPr>
        <w:t> </w:t>
      </w:r>
      <w:r>
        <w:rPr/>
        <w:t>to</w:t>
      </w:r>
      <w:r>
        <w:rPr>
          <w:spacing w:val="-12"/>
        </w:rPr>
        <w:t> </w:t>
      </w:r>
      <w:r>
        <w:rPr/>
        <w:t>identifiable</w:t>
      </w:r>
      <w:r>
        <w:rPr>
          <w:spacing w:val="-13"/>
        </w:rPr>
        <w:t> </w:t>
      </w:r>
      <w:r>
        <w:rPr/>
        <w:t>intangible assets and $142.0 million to net liabilities assumed.</w:t>
      </w:r>
    </w:p>
    <w:p>
      <w:pPr>
        <w:pStyle w:val="BodyText"/>
        <w:spacing w:line="249" w:lineRule="auto" w:before="185"/>
        <w:ind w:left="220" w:right="257" w:firstLine="540"/>
        <w:jc w:val="both"/>
      </w:pPr>
      <w:r>
        <w:rPr/>
        <w:t>We</w:t>
      </w:r>
      <w:r>
        <w:rPr>
          <w:spacing w:val="-9"/>
        </w:rPr>
        <w:t> </w:t>
      </w:r>
      <w:r>
        <w:rPr/>
        <w:t>also</w:t>
      </w:r>
      <w:r>
        <w:rPr>
          <w:spacing w:val="-9"/>
        </w:rPr>
        <w:t> </w:t>
      </w:r>
      <w:r>
        <w:rPr/>
        <w:t>completed</w:t>
      </w:r>
      <w:r>
        <w:rPr>
          <w:spacing w:val="-9"/>
        </w:rPr>
        <w:t> </w:t>
      </w:r>
      <w:r>
        <w:rPr/>
        <w:t>other</w:t>
      </w:r>
      <w:r>
        <w:rPr>
          <w:spacing w:val="-9"/>
        </w:rPr>
        <w:t> </w:t>
      </w:r>
      <w:r>
        <w:rPr/>
        <w:t>immaterial</w:t>
      </w:r>
      <w:r>
        <w:rPr>
          <w:spacing w:val="-9"/>
        </w:rPr>
        <w:t> </w:t>
      </w:r>
      <w:r>
        <w:rPr/>
        <w:t>business</w:t>
      </w:r>
      <w:r>
        <w:rPr>
          <w:spacing w:val="-9"/>
        </w:rPr>
        <w:t> </w:t>
      </w:r>
      <w:r>
        <w:rPr/>
        <w:t>acquisitions</w:t>
      </w:r>
      <w:r>
        <w:rPr>
          <w:spacing w:val="-8"/>
        </w:rPr>
        <w:t> </w:t>
      </w:r>
      <w:r>
        <w:rPr/>
        <w:t>during</w:t>
      </w:r>
      <w:r>
        <w:rPr>
          <w:spacing w:val="-9"/>
        </w:rPr>
        <w:t> </w:t>
      </w:r>
      <w:r>
        <w:rPr/>
        <w:t>the</w:t>
      </w:r>
      <w:r>
        <w:rPr>
          <w:spacing w:val="-9"/>
        </w:rPr>
        <w:t> </w:t>
      </w:r>
      <w:r>
        <w:rPr/>
        <w:t>fiscal</w:t>
      </w:r>
      <w:r>
        <w:rPr>
          <w:spacing w:val="-9"/>
        </w:rPr>
        <w:t> </w:t>
      </w:r>
      <w:r>
        <w:rPr/>
        <w:t>years</w:t>
      </w:r>
      <w:r>
        <w:rPr>
          <w:spacing w:val="-9"/>
        </w:rPr>
        <w:t> </w:t>
      </w:r>
      <w:r>
        <w:rPr/>
        <w:t>presented.</w:t>
      </w:r>
      <w:r>
        <w:rPr>
          <w:spacing w:val="-9"/>
        </w:rPr>
        <w:t> </w:t>
      </w:r>
      <w:r>
        <w:rPr/>
        <w:t>Pro</w:t>
      </w:r>
      <w:r>
        <w:rPr>
          <w:spacing w:val="-9"/>
        </w:rPr>
        <w:t> </w:t>
      </w:r>
      <w:r>
        <w:rPr/>
        <w:t>forma</w:t>
      </w:r>
      <w:r>
        <w:rPr>
          <w:spacing w:val="-9"/>
        </w:rPr>
        <w:t> </w:t>
      </w:r>
      <w:r>
        <w:rPr/>
        <w:t>information</w:t>
      </w:r>
      <w:r>
        <w:rPr>
          <w:spacing w:val="-9"/>
        </w:rPr>
        <w:t> </w:t>
      </w:r>
      <w:r>
        <w:rPr/>
        <w:t>has</w:t>
      </w:r>
      <w:r>
        <w:rPr>
          <w:spacing w:val="-9"/>
        </w:rPr>
        <w:t> </w:t>
      </w:r>
      <w:r>
        <w:rPr/>
        <w:t>not been</w:t>
      </w:r>
      <w:r>
        <w:rPr>
          <w:spacing w:val="-10"/>
        </w:rPr>
        <w:t> </w:t>
      </w:r>
      <w:r>
        <w:rPr/>
        <w:t>presented</w:t>
      </w:r>
      <w:r>
        <w:rPr>
          <w:spacing w:val="-10"/>
        </w:rPr>
        <w:t> </w:t>
      </w:r>
      <w:r>
        <w:rPr/>
        <w:t>for</w:t>
      </w:r>
      <w:r>
        <w:rPr>
          <w:spacing w:val="-10"/>
        </w:rPr>
        <w:t> </w:t>
      </w:r>
      <w:r>
        <w:rPr/>
        <w:t>any</w:t>
      </w:r>
      <w:r>
        <w:rPr>
          <w:spacing w:val="-10"/>
        </w:rPr>
        <w:t> </w:t>
      </w:r>
      <w:r>
        <w:rPr/>
        <w:t>of</w:t>
      </w:r>
      <w:r>
        <w:rPr>
          <w:spacing w:val="-10"/>
        </w:rPr>
        <w:t> </w:t>
      </w:r>
      <w:r>
        <w:rPr/>
        <w:t>our</w:t>
      </w:r>
      <w:r>
        <w:rPr>
          <w:spacing w:val="-10"/>
        </w:rPr>
        <w:t> </w:t>
      </w:r>
      <w:r>
        <w:rPr/>
        <w:t>fiscal</w:t>
      </w:r>
      <w:r>
        <w:rPr>
          <w:spacing w:val="-10"/>
        </w:rPr>
        <w:t> </w:t>
      </w:r>
      <w:r>
        <w:rPr/>
        <w:t>2017,</w:t>
      </w:r>
      <w:r>
        <w:rPr>
          <w:spacing w:val="-10"/>
        </w:rPr>
        <w:t> </w:t>
      </w:r>
      <w:r>
        <w:rPr/>
        <w:t>2016</w:t>
      </w:r>
      <w:r>
        <w:rPr>
          <w:spacing w:val="-10"/>
        </w:rPr>
        <w:t> </w:t>
      </w:r>
      <w:r>
        <w:rPr/>
        <w:t>and</w:t>
      </w:r>
      <w:r>
        <w:rPr>
          <w:spacing w:val="-10"/>
        </w:rPr>
        <w:t> </w:t>
      </w:r>
      <w:r>
        <w:rPr/>
        <w:t>2015</w:t>
      </w:r>
      <w:r>
        <w:rPr>
          <w:spacing w:val="-10"/>
        </w:rPr>
        <w:t> </w:t>
      </w:r>
      <w:r>
        <w:rPr/>
        <w:t>acquisitions</w:t>
      </w:r>
      <w:r>
        <w:rPr>
          <w:spacing w:val="-10"/>
        </w:rPr>
        <w:t> </w:t>
      </w:r>
      <w:r>
        <w:rPr/>
        <w:t>as</w:t>
      </w:r>
      <w:r>
        <w:rPr>
          <w:spacing w:val="-10"/>
        </w:rPr>
        <w:t> </w:t>
      </w:r>
      <w:r>
        <w:rPr/>
        <w:t>the</w:t>
      </w:r>
      <w:r>
        <w:rPr>
          <w:spacing w:val="-10"/>
        </w:rPr>
        <w:t> </w:t>
      </w:r>
      <w:r>
        <w:rPr/>
        <w:t>impact</w:t>
      </w:r>
      <w:r>
        <w:rPr>
          <w:spacing w:val="-10"/>
        </w:rPr>
        <w:t> </w:t>
      </w:r>
      <w:r>
        <w:rPr/>
        <w:t>to</w:t>
      </w:r>
      <w:r>
        <w:rPr>
          <w:spacing w:val="-10"/>
        </w:rPr>
        <w:t> </w:t>
      </w:r>
      <w:r>
        <w:rPr/>
        <w:t>our</w:t>
      </w:r>
      <w:r>
        <w:rPr>
          <w:spacing w:val="-10"/>
        </w:rPr>
        <w:t> </w:t>
      </w:r>
      <w:r>
        <w:rPr/>
        <w:t>Consolidated</w:t>
      </w:r>
      <w:r>
        <w:rPr>
          <w:spacing w:val="-10"/>
        </w:rPr>
        <w:t> </w:t>
      </w:r>
      <w:r>
        <w:rPr/>
        <w:t>Financial</w:t>
      </w:r>
      <w:r>
        <w:rPr>
          <w:spacing w:val="-10"/>
        </w:rPr>
        <w:t> </w:t>
      </w:r>
      <w:r>
        <w:rPr/>
        <w:t>Statements</w:t>
      </w:r>
      <w:r>
        <w:rPr>
          <w:spacing w:val="-10"/>
        </w:rPr>
        <w:t> </w:t>
      </w:r>
      <w:r>
        <w:rPr/>
        <w:t>was not material.</w:t>
      </w:r>
    </w:p>
    <w:p>
      <w:pPr>
        <w:pStyle w:val="Heading1"/>
        <w:spacing w:before="183"/>
        <w:jc w:val="both"/>
      </w:pPr>
      <w:bookmarkStart w:name="NOTE 3. CASH, CASH EQUIVALENTS AND SHORT" w:id="69"/>
      <w:bookmarkEnd w:id="69"/>
      <w:r>
        <w:rPr>
          <w:b w:val="0"/>
        </w:rPr>
      </w:r>
      <w:bookmarkStart w:name="_bookmark24" w:id="70"/>
      <w:bookmarkEnd w:id="70"/>
      <w:r>
        <w:rPr>
          <w:b w:val="0"/>
        </w:rPr>
      </w:r>
      <w:r>
        <w:rPr/>
        <w:t>NOTE</w:t>
      </w:r>
      <w:r>
        <w:rPr>
          <w:spacing w:val="-15"/>
        </w:rPr>
        <w:t> </w:t>
      </w:r>
      <w:r>
        <w:rPr/>
        <w:t>3.</w:t>
      </w:r>
      <w:r>
        <w:rPr>
          <w:spacing w:val="32"/>
        </w:rPr>
        <w:t> </w:t>
      </w:r>
      <w:r>
        <w:rPr/>
        <w:t>CASH,</w:t>
      </w:r>
      <w:r>
        <w:rPr>
          <w:spacing w:val="-10"/>
        </w:rPr>
        <w:t> </w:t>
      </w:r>
      <w:r>
        <w:rPr/>
        <w:t>CASH</w:t>
      </w:r>
      <w:r>
        <w:rPr>
          <w:spacing w:val="-8"/>
        </w:rPr>
        <w:t> </w:t>
      </w:r>
      <w:r>
        <w:rPr/>
        <w:t>EQUIVALENTS</w:t>
      </w:r>
      <w:r>
        <w:rPr>
          <w:spacing w:val="-13"/>
        </w:rPr>
        <w:t> </w:t>
      </w:r>
      <w:r>
        <w:rPr/>
        <w:t>AND</w:t>
      </w:r>
      <w:r>
        <w:rPr>
          <w:spacing w:val="-8"/>
        </w:rPr>
        <w:t> </w:t>
      </w:r>
      <w:r>
        <w:rPr/>
        <w:t>SHORT-TERM</w:t>
      </w:r>
      <w:r>
        <w:rPr>
          <w:spacing w:val="-9"/>
        </w:rPr>
        <w:t> </w:t>
      </w:r>
      <w:r>
        <w:rPr>
          <w:spacing w:val="-2"/>
        </w:rPr>
        <w:t>INVESTMENTS</w:t>
      </w:r>
    </w:p>
    <w:p>
      <w:pPr>
        <w:pStyle w:val="BodyText"/>
        <w:spacing w:line="249" w:lineRule="auto" w:before="190"/>
        <w:ind w:left="220" w:right="257" w:firstLine="540"/>
        <w:jc w:val="both"/>
      </w:pPr>
      <w:r>
        <w:rPr>
          <w:spacing w:val="-2"/>
        </w:rPr>
        <w:t>Cash</w:t>
      </w:r>
      <w:r>
        <w:rPr>
          <w:spacing w:val="-10"/>
        </w:rPr>
        <w:t> </w:t>
      </w:r>
      <w:r>
        <w:rPr>
          <w:spacing w:val="-2"/>
        </w:rPr>
        <w:t>equivalents</w:t>
      </w:r>
      <w:r>
        <w:rPr>
          <w:spacing w:val="-9"/>
        </w:rPr>
        <w:t> </w:t>
      </w:r>
      <w:r>
        <w:rPr>
          <w:spacing w:val="-2"/>
        </w:rPr>
        <w:t>consist</w:t>
      </w:r>
      <w:r>
        <w:rPr>
          <w:spacing w:val="-10"/>
        </w:rPr>
        <w:t> </w:t>
      </w:r>
      <w:r>
        <w:rPr>
          <w:spacing w:val="-2"/>
        </w:rPr>
        <w:t>of</w:t>
      </w:r>
      <w:r>
        <w:rPr>
          <w:spacing w:val="-9"/>
        </w:rPr>
        <w:t> </w:t>
      </w:r>
      <w:r>
        <w:rPr>
          <w:spacing w:val="-2"/>
        </w:rPr>
        <w:t>instruments</w:t>
      </w:r>
      <w:r>
        <w:rPr>
          <w:spacing w:val="-9"/>
        </w:rPr>
        <w:t> </w:t>
      </w:r>
      <w:r>
        <w:rPr>
          <w:spacing w:val="-2"/>
        </w:rPr>
        <w:t>with</w:t>
      </w:r>
      <w:r>
        <w:rPr>
          <w:spacing w:val="-9"/>
        </w:rPr>
        <w:t> </w:t>
      </w:r>
      <w:r>
        <w:rPr>
          <w:spacing w:val="-2"/>
        </w:rPr>
        <w:t>remaining</w:t>
      </w:r>
      <w:r>
        <w:rPr>
          <w:spacing w:val="-10"/>
        </w:rPr>
        <w:t> </w:t>
      </w:r>
      <w:r>
        <w:rPr>
          <w:spacing w:val="-2"/>
        </w:rPr>
        <w:t>maturities</w:t>
      </w:r>
      <w:r>
        <w:rPr>
          <w:spacing w:val="-9"/>
        </w:rPr>
        <w:t> </w:t>
      </w:r>
      <w:r>
        <w:rPr>
          <w:spacing w:val="-2"/>
        </w:rPr>
        <w:t>of</w:t>
      </w:r>
      <w:r>
        <w:rPr>
          <w:spacing w:val="-9"/>
        </w:rPr>
        <w:t> </w:t>
      </w:r>
      <w:r>
        <w:rPr>
          <w:spacing w:val="-2"/>
        </w:rPr>
        <w:t>three</w:t>
      </w:r>
      <w:r>
        <w:rPr>
          <w:spacing w:val="-10"/>
        </w:rPr>
        <w:t> </w:t>
      </w:r>
      <w:r>
        <w:rPr>
          <w:spacing w:val="-2"/>
        </w:rPr>
        <w:t>months</w:t>
      </w:r>
      <w:r>
        <w:rPr>
          <w:spacing w:val="-9"/>
        </w:rPr>
        <w:t> </w:t>
      </w:r>
      <w:r>
        <w:rPr>
          <w:spacing w:val="-2"/>
        </w:rPr>
        <w:t>or</w:t>
      </w:r>
      <w:r>
        <w:rPr>
          <w:spacing w:val="-9"/>
        </w:rPr>
        <w:t> </w:t>
      </w:r>
      <w:r>
        <w:rPr>
          <w:spacing w:val="-2"/>
        </w:rPr>
        <w:t>less</w:t>
      </w:r>
      <w:r>
        <w:rPr>
          <w:spacing w:val="-9"/>
        </w:rPr>
        <w:t> </w:t>
      </w:r>
      <w:r>
        <w:rPr>
          <w:spacing w:val="-2"/>
        </w:rPr>
        <w:t>at</w:t>
      </w:r>
      <w:r>
        <w:rPr>
          <w:spacing w:val="-9"/>
        </w:rPr>
        <w:t> </w:t>
      </w:r>
      <w:r>
        <w:rPr>
          <w:spacing w:val="-2"/>
        </w:rPr>
        <w:t>the</w:t>
      </w:r>
      <w:r>
        <w:rPr>
          <w:spacing w:val="-10"/>
        </w:rPr>
        <w:t> </w:t>
      </w:r>
      <w:r>
        <w:rPr>
          <w:spacing w:val="-2"/>
        </w:rPr>
        <w:t>date</w:t>
      </w:r>
      <w:r>
        <w:rPr>
          <w:spacing w:val="-9"/>
        </w:rPr>
        <w:t> </w:t>
      </w:r>
      <w:r>
        <w:rPr>
          <w:spacing w:val="-2"/>
        </w:rPr>
        <w:t>of</w:t>
      </w:r>
      <w:r>
        <w:rPr>
          <w:spacing w:val="-9"/>
        </w:rPr>
        <w:t> </w:t>
      </w:r>
      <w:r>
        <w:rPr>
          <w:spacing w:val="-2"/>
        </w:rPr>
        <w:t>purchase.</w:t>
      </w:r>
      <w:r>
        <w:rPr>
          <w:spacing w:val="-11"/>
        </w:rPr>
        <w:t> </w:t>
      </w:r>
      <w:r>
        <w:rPr>
          <w:spacing w:val="-2"/>
        </w:rPr>
        <w:t>We</w:t>
      </w:r>
      <w:r>
        <w:rPr>
          <w:spacing w:val="-8"/>
        </w:rPr>
        <w:t> </w:t>
      </w:r>
      <w:r>
        <w:rPr>
          <w:spacing w:val="-2"/>
        </w:rPr>
        <w:t>classify </w:t>
      </w:r>
      <w:r>
        <w:rPr/>
        <w:t>all of our cash equivalents and short-term investments as “available-for-sale.” In general, these investments are free of trading restrictions.</w:t>
      </w:r>
      <w:r>
        <w:rPr>
          <w:spacing w:val="-13"/>
        </w:rPr>
        <w:t> </w:t>
      </w:r>
      <w:r>
        <w:rPr/>
        <w:t>We</w:t>
      </w:r>
      <w:r>
        <w:rPr>
          <w:spacing w:val="-12"/>
        </w:rPr>
        <w:t> </w:t>
      </w:r>
      <w:r>
        <w:rPr/>
        <w:t>carry</w:t>
      </w:r>
      <w:r>
        <w:rPr>
          <w:spacing w:val="-13"/>
        </w:rPr>
        <w:t> </w:t>
      </w:r>
      <w:r>
        <w:rPr/>
        <w:t>these</w:t>
      </w:r>
      <w:r>
        <w:rPr>
          <w:spacing w:val="-12"/>
        </w:rPr>
        <w:t> </w:t>
      </w:r>
      <w:r>
        <w:rPr/>
        <w:t>investments</w:t>
      </w:r>
      <w:r>
        <w:rPr>
          <w:spacing w:val="-13"/>
        </w:rPr>
        <w:t> </w:t>
      </w:r>
      <w:r>
        <w:rPr/>
        <w:t>at</w:t>
      </w:r>
      <w:r>
        <w:rPr>
          <w:spacing w:val="-12"/>
        </w:rPr>
        <w:t> </w:t>
      </w:r>
      <w:r>
        <w:rPr/>
        <w:t>fair</w:t>
      </w:r>
      <w:r>
        <w:rPr>
          <w:spacing w:val="-13"/>
        </w:rPr>
        <w:t> </w:t>
      </w:r>
      <w:r>
        <w:rPr/>
        <w:t>value,</w:t>
      </w:r>
      <w:r>
        <w:rPr>
          <w:spacing w:val="-12"/>
        </w:rPr>
        <w:t> </w:t>
      </w:r>
      <w:r>
        <w:rPr/>
        <w:t>based</w:t>
      </w:r>
      <w:r>
        <w:rPr>
          <w:spacing w:val="-13"/>
        </w:rPr>
        <w:t> </w:t>
      </w:r>
      <w:r>
        <w:rPr/>
        <w:t>on</w:t>
      </w:r>
      <w:r>
        <w:rPr>
          <w:spacing w:val="-12"/>
        </w:rPr>
        <w:t> </w:t>
      </w:r>
      <w:r>
        <w:rPr/>
        <w:t>quoted</w:t>
      </w:r>
      <w:r>
        <w:rPr>
          <w:spacing w:val="-13"/>
        </w:rPr>
        <w:t> </w:t>
      </w:r>
      <w:r>
        <w:rPr/>
        <w:t>market</w:t>
      </w:r>
      <w:r>
        <w:rPr>
          <w:spacing w:val="-12"/>
        </w:rPr>
        <w:t> </w:t>
      </w:r>
      <w:r>
        <w:rPr/>
        <w:t>prices</w:t>
      </w:r>
      <w:r>
        <w:rPr>
          <w:spacing w:val="-13"/>
        </w:rPr>
        <w:t> </w:t>
      </w:r>
      <w:r>
        <w:rPr/>
        <w:t>or</w:t>
      </w:r>
      <w:r>
        <w:rPr>
          <w:spacing w:val="-12"/>
        </w:rPr>
        <w:t> </w:t>
      </w:r>
      <w:r>
        <w:rPr/>
        <w:t>other</w:t>
      </w:r>
      <w:r>
        <w:rPr>
          <w:spacing w:val="-13"/>
        </w:rPr>
        <w:t> </w:t>
      </w:r>
      <w:r>
        <w:rPr/>
        <w:t>readily</w:t>
      </w:r>
      <w:r>
        <w:rPr>
          <w:spacing w:val="-12"/>
        </w:rPr>
        <w:t> </w:t>
      </w:r>
      <w:r>
        <w:rPr/>
        <w:t>available</w:t>
      </w:r>
      <w:r>
        <w:rPr>
          <w:spacing w:val="-13"/>
        </w:rPr>
        <w:t> </w:t>
      </w:r>
      <w:r>
        <w:rPr/>
        <w:t>market</w:t>
      </w:r>
      <w:r>
        <w:rPr>
          <w:spacing w:val="-12"/>
        </w:rPr>
        <w:t> </w:t>
      </w:r>
      <w:r>
        <w:rPr/>
        <w:t>information. Unrealized gains and losses, net of taxes, are included in accumulated other comprehensive income (loss), which is reflected as a</w:t>
      </w:r>
      <w:r>
        <w:rPr>
          <w:spacing w:val="-13"/>
        </w:rPr>
        <w:t> </w:t>
      </w:r>
      <w:r>
        <w:rPr/>
        <w:t>separate</w:t>
      </w:r>
      <w:r>
        <w:rPr>
          <w:spacing w:val="-11"/>
        </w:rPr>
        <w:t> </w:t>
      </w:r>
      <w:r>
        <w:rPr/>
        <w:t>component</w:t>
      </w:r>
      <w:r>
        <w:rPr>
          <w:spacing w:val="-8"/>
        </w:rPr>
        <w:t> </w:t>
      </w:r>
      <w:r>
        <w:rPr/>
        <w:t>of</w:t>
      </w:r>
      <w:r>
        <w:rPr>
          <w:spacing w:val="-7"/>
        </w:rPr>
        <w:t> </w:t>
      </w:r>
      <w:r>
        <w:rPr/>
        <w:t>stockholders’</w:t>
      </w:r>
      <w:r>
        <w:rPr>
          <w:spacing w:val="-13"/>
        </w:rPr>
        <w:t> </w:t>
      </w:r>
      <w:r>
        <w:rPr/>
        <w:t>equity</w:t>
      </w:r>
      <w:r>
        <w:rPr>
          <w:spacing w:val="-8"/>
        </w:rPr>
        <w:t> </w:t>
      </w:r>
      <w:r>
        <w:rPr/>
        <w:t>in</w:t>
      </w:r>
      <w:r>
        <w:rPr>
          <w:spacing w:val="-7"/>
        </w:rPr>
        <w:t> </w:t>
      </w:r>
      <w:r>
        <w:rPr/>
        <w:t>our</w:t>
      </w:r>
      <w:r>
        <w:rPr>
          <w:spacing w:val="-8"/>
        </w:rPr>
        <w:t> </w:t>
      </w:r>
      <w:r>
        <w:rPr/>
        <w:t>Consolidated</w:t>
      </w:r>
      <w:r>
        <w:rPr>
          <w:spacing w:val="-7"/>
        </w:rPr>
        <w:t> </w:t>
      </w:r>
      <w:r>
        <w:rPr/>
        <w:t>Balance</w:t>
      </w:r>
      <w:r>
        <w:rPr>
          <w:spacing w:val="-8"/>
        </w:rPr>
        <w:t> </w:t>
      </w:r>
      <w:r>
        <w:rPr/>
        <w:t>Sheets.</w:t>
      </w:r>
      <w:r>
        <w:rPr>
          <w:spacing w:val="-8"/>
        </w:rPr>
        <w:t> </w:t>
      </w:r>
      <w:r>
        <w:rPr/>
        <w:t>Gains</w:t>
      </w:r>
      <w:r>
        <w:rPr>
          <w:spacing w:val="-7"/>
        </w:rPr>
        <w:t> </w:t>
      </w:r>
      <w:r>
        <w:rPr/>
        <w:t>and</w:t>
      </w:r>
      <w:r>
        <w:rPr>
          <w:spacing w:val="-7"/>
        </w:rPr>
        <w:t> </w:t>
      </w:r>
      <w:r>
        <w:rPr/>
        <w:t>losses</w:t>
      </w:r>
      <w:r>
        <w:rPr>
          <w:spacing w:val="-8"/>
        </w:rPr>
        <w:t> </w:t>
      </w:r>
      <w:r>
        <w:rPr/>
        <w:t>are</w:t>
      </w:r>
      <w:r>
        <w:rPr>
          <w:spacing w:val="-7"/>
        </w:rPr>
        <w:t> </w:t>
      </w:r>
      <w:r>
        <w:rPr/>
        <w:t>recognized</w:t>
      </w:r>
      <w:r>
        <w:rPr>
          <w:spacing w:val="-8"/>
        </w:rPr>
        <w:t> </w:t>
      </w:r>
      <w:r>
        <w:rPr/>
        <w:t>when</w:t>
      </w:r>
      <w:r>
        <w:rPr>
          <w:spacing w:val="-7"/>
        </w:rPr>
        <w:t> </w:t>
      </w:r>
      <w:r>
        <w:rPr/>
        <w:t>realized in our Consolidated Statements of Income. When we have determined that an other-than-temporary decline in fair value has occurred,</w:t>
      </w:r>
      <w:r>
        <w:rPr>
          <w:spacing w:val="-5"/>
        </w:rPr>
        <w:t> </w:t>
      </w:r>
      <w:r>
        <w:rPr/>
        <w:t>the</w:t>
      </w:r>
      <w:r>
        <w:rPr>
          <w:spacing w:val="-4"/>
        </w:rPr>
        <w:t> </w:t>
      </w:r>
      <w:r>
        <w:rPr/>
        <w:t>amount</w:t>
      </w:r>
      <w:r>
        <w:rPr>
          <w:spacing w:val="-5"/>
        </w:rPr>
        <w:t> </w:t>
      </w:r>
      <w:r>
        <w:rPr/>
        <w:t>of</w:t>
      </w:r>
      <w:r>
        <w:rPr>
          <w:spacing w:val="-5"/>
        </w:rPr>
        <w:t> </w:t>
      </w:r>
      <w:r>
        <w:rPr/>
        <w:t>the</w:t>
      </w:r>
      <w:r>
        <w:rPr>
          <w:spacing w:val="-4"/>
        </w:rPr>
        <w:t> </w:t>
      </w:r>
      <w:r>
        <w:rPr/>
        <w:t>decline</w:t>
      </w:r>
      <w:r>
        <w:rPr>
          <w:spacing w:val="-5"/>
        </w:rPr>
        <w:t> </w:t>
      </w:r>
      <w:r>
        <w:rPr/>
        <w:t>that</w:t>
      </w:r>
      <w:r>
        <w:rPr>
          <w:spacing w:val="-5"/>
        </w:rPr>
        <w:t> </w:t>
      </w:r>
      <w:r>
        <w:rPr/>
        <w:t>is</w:t>
      </w:r>
      <w:r>
        <w:rPr>
          <w:spacing w:val="-5"/>
        </w:rPr>
        <w:t> </w:t>
      </w:r>
      <w:r>
        <w:rPr/>
        <w:t>related</w:t>
      </w:r>
      <w:r>
        <w:rPr>
          <w:spacing w:val="-5"/>
        </w:rPr>
        <w:t> </w:t>
      </w:r>
      <w:r>
        <w:rPr/>
        <w:t>to</w:t>
      </w:r>
      <w:r>
        <w:rPr>
          <w:spacing w:val="-4"/>
        </w:rPr>
        <w:t> </w:t>
      </w:r>
      <w:r>
        <w:rPr/>
        <w:t>a</w:t>
      </w:r>
      <w:r>
        <w:rPr>
          <w:spacing w:val="-5"/>
        </w:rPr>
        <w:t> </w:t>
      </w:r>
      <w:r>
        <w:rPr/>
        <w:t>credit</w:t>
      </w:r>
      <w:r>
        <w:rPr>
          <w:spacing w:val="-5"/>
        </w:rPr>
        <w:t> </w:t>
      </w:r>
      <w:r>
        <w:rPr/>
        <w:t>loss</w:t>
      </w:r>
      <w:r>
        <w:rPr>
          <w:spacing w:val="-4"/>
        </w:rPr>
        <w:t> </w:t>
      </w:r>
      <w:r>
        <w:rPr/>
        <w:t>is</w:t>
      </w:r>
      <w:r>
        <w:rPr>
          <w:spacing w:val="-4"/>
        </w:rPr>
        <w:t> </w:t>
      </w:r>
      <w:r>
        <w:rPr/>
        <w:t>recognized</w:t>
      </w:r>
      <w:r>
        <w:rPr>
          <w:spacing w:val="-5"/>
        </w:rPr>
        <w:t> </w:t>
      </w:r>
      <w:r>
        <w:rPr/>
        <w:t>in</w:t>
      </w:r>
      <w:r>
        <w:rPr>
          <w:spacing w:val="-5"/>
        </w:rPr>
        <w:t> </w:t>
      </w:r>
      <w:r>
        <w:rPr/>
        <w:t>income.</w:t>
      </w:r>
      <w:r>
        <w:rPr>
          <w:spacing w:val="-5"/>
        </w:rPr>
        <w:t> </w:t>
      </w:r>
      <w:r>
        <w:rPr/>
        <w:t>Gains</w:t>
      </w:r>
      <w:r>
        <w:rPr>
          <w:spacing w:val="-4"/>
        </w:rPr>
        <w:t> </w:t>
      </w:r>
      <w:r>
        <w:rPr/>
        <w:t>and</w:t>
      </w:r>
      <w:r>
        <w:rPr>
          <w:spacing w:val="-5"/>
        </w:rPr>
        <w:t> </w:t>
      </w:r>
      <w:r>
        <w:rPr/>
        <w:t>losses</w:t>
      </w:r>
      <w:r>
        <w:rPr>
          <w:spacing w:val="-4"/>
        </w:rPr>
        <w:t> </w:t>
      </w:r>
      <w:r>
        <w:rPr/>
        <w:t>are</w:t>
      </w:r>
      <w:r>
        <w:rPr>
          <w:spacing w:val="-5"/>
        </w:rPr>
        <w:t> </w:t>
      </w:r>
      <w:r>
        <w:rPr/>
        <w:t>determined</w:t>
      </w:r>
      <w:r>
        <w:rPr>
          <w:spacing w:val="-4"/>
        </w:rPr>
        <w:t> </w:t>
      </w:r>
      <w:r>
        <w:rPr/>
        <w:t>using the specific identification method.</w:t>
      </w:r>
    </w:p>
    <w:p>
      <w:pPr>
        <w:spacing w:after="0" w:line="249" w:lineRule="auto"/>
        <w:jc w:val="both"/>
        <w:sectPr>
          <w:pgSz w:w="12240" w:h="15840"/>
          <w:pgMar w:header="210" w:footer="610" w:top="1380" w:bottom="800" w:left="780" w:right="740"/>
        </w:sectPr>
      </w:pPr>
    </w:p>
    <w:p>
      <w:pPr>
        <w:pStyle w:val="BodyText"/>
      </w:pPr>
    </w:p>
    <w:p>
      <w:pPr>
        <w:pStyle w:val="BodyText"/>
      </w:pPr>
    </w:p>
    <w:p>
      <w:pPr>
        <w:pStyle w:val="BodyText"/>
        <w:spacing w:before="30"/>
      </w:pPr>
    </w:p>
    <w:p>
      <w:pPr>
        <w:pStyle w:val="BodyText"/>
        <w:ind w:left="760"/>
      </w:pPr>
      <w:r>
        <w:rPr/>
        <w:t>Cash,</w:t>
      </w:r>
      <w:r>
        <w:rPr>
          <w:spacing w:val="19"/>
        </w:rPr>
        <w:t> </w:t>
      </w:r>
      <w:r>
        <w:rPr/>
        <w:t>cash</w:t>
      </w:r>
      <w:r>
        <w:rPr>
          <w:spacing w:val="20"/>
        </w:rPr>
        <w:t> </w:t>
      </w:r>
      <w:r>
        <w:rPr/>
        <w:t>equivalents</w:t>
      </w:r>
      <w:r>
        <w:rPr>
          <w:spacing w:val="20"/>
        </w:rPr>
        <w:t> </w:t>
      </w:r>
      <w:r>
        <w:rPr/>
        <w:t>and</w:t>
      </w:r>
      <w:r>
        <w:rPr>
          <w:spacing w:val="20"/>
        </w:rPr>
        <w:t> </w:t>
      </w:r>
      <w:r>
        <w:rPr/>
        <w:t>short-term</w:t>
      </w:r>
      <w:r>
        <w:rPr>
          <w:spacing w:val="20"/>
        </w:rPr>
        <w:t> </w:t>
      </w:r>
      <w:r>
        <w:rPr/>
        <w:t>investments</w:t>
      </w:r>
      <w:r>
        <w:rPr>
          <w:spacing w:val="20"/>
        </w:rPr>
        <w:t> </w:t>
      </w:r>
      <w:r>
        <w:rPr/>
        <w:t>consisted</w:t>
      </w:r>
      <w:r>
        <w:rPr>
          <w:spacing w:val="20"/>
        </w:rPr>
        <w:t> </w:t>
      </w:r>
      <w:r>
        <w:rPr/>
        <w:t>of</w:t>
      </w:r>
      <w:r>
        <w:rPr>
          <w:spacing w:val="20"/>
        </w:rPr>
        <w:t> </w:t>
      </w:r>
      <w:r>
        <w:rPr/>
        <w:t>the</w:t>
      </w:r>
      <w:r>
        <w:rPr>
          <w:spacing w:val="19"/>
        </w:rPr>
        <w:t> </w:t>
      </w:r>
      <w:r>
        <w:rPr/>
        <w:t>following</w:t>
      </w:r>
      <w:r>
        <w:rPr>
          <w:spacing w:val="20"/>
        </w:rPr>
        <w:t> </w:t>
      </w:r>
      <w:r>
        <w:rPr/>
        <w:t>as</w:t>
      </w:r>
      <w:r>
        <w:rPr>
          <w:spacing w:val="20"/>
        </w:rPr>
        <w:t> </w:t>
      </w:r>
      <w:r>
        <w:rPr/>
        <w:t>of</w:t>
      </w:r>
      <w:r>
        <w:rPr>
          <w:spacing w:val="19"/>
        </w:rPr>
        <w:t> </w:t>
      </w:r>
      <w:r>
        <w:rPr/>
        <w:t>December 1,</w:t>
      </w:r>
      <w:r>
        <w:rPr>
          <w:spacing w:val="19"/>
        </w:rPr>
        <w:t> </w:t>
      </w:r>
      <w:r>
        <w:rPr/>
        <w:t>2017</w:t>
      </w:r>
      <w:r>
        <w:rPr>
          <w:spacing w:val="20"/>
        </w:rPr>
        <w:t> </w:t>
      </w:r>
      <w:r>
        <w:rPr/>
        <w:t>(in</w:t>
      </w:r>
      <w:r>
        <w:rPr>
          <w:spacing w:val="20"/>
        </w:rPr>
        <w:t> </w:t>
      </w:r>
      <w:r>
        <w:rPr>
          <w:spacing w:val="-2"/>
        </w:rPr>
        <w:t>thousands):</w:t>
      </w:r>
    </w:p>
    <w:p>
      <w:pPr>
        <w:spacing w:after="0"/>
        <w:sectPr>
          <w:pgSz w:w="12240" w:h="15840"/>
          <w:pgMar w:header="210" w:footer="610" w:top="1380" w:bottom="800" w:left="780" w:right="740"/>
        </w:sectPr>
      </w:pPr>
    </w:p>
    <w:p>
      <w:pPr>
        <w:pStyle w:val="BodyText"/>
      </w:pPr>
    </w:p>
    <w:p>
      <w:pPr>
        <w:pStyle w:val="BodyText"/>
        <w:spacing w:before="146"/>
      </w:pPr>
    </w:p>
    <w:p>
      <w:pPr>
        <w:pStyle w:val="BodyText"/>
        <w:ind w:left="280"/>
      </w:pPr>
      <w:r>
        <w:rPr/>
        <w:t>Current </w:t>
      </w:r>
      <w:r>
        <w:rPr>
          <w:spacing w:val="-2"/>
        </w:rPr>
        <w:t>assets:</w:t>
      </w:r>
    </w:p>
    <w:p>
      <w:pPr>
        <w:spacing w:line="240" w:lineRule="auto" w:before="28"/>
        <w:rPr>
          <w:sz w:val="16"/>
        </w:rPr>
      </w:pPr>
      <w:r>
        <w:rPr/>
        <w:br w:type="column"/>
      </w:r>
      <w:r>
        <w:rPr>
          <w:sz w:val="16"/>
        </w:rPr>
      </w:r>
    </w:p>
    <w:p>
      <w:pPr>
        <w:spacing w:line="208" w:lineRule="auto" w:before="0"/>
        <w:ind w:left="488" w:right="38" w:hanging="209"/>
        <w:jc w:val="left"/>
        <w:rPr>
          <w:b/>
          <w:sz w:val="16"/>
        </w:rPr>
      </w:pPr>
      <w:r>
        <w:rPr/>
        <mc:AlternateContent>
          <mc:Choice Requires="wps">
            <w:drawing>
              <wp:anchor distT="0" distB="0" distL="0" distR="0" allowOverlap="1" layoutInCell="1" locked="0" behindDoc="0" simplePos="0" relativeHeight="15794176">
                <wp:simplePos x="0" y="0"/>
                <wp:positionH relativeFrom="page">
                  <wp:posOffset>3943350</wp:posOffset>
                </wp:positionH>
                <wp:positionV relativeFrom="paragraph">
                  <wp:posOffset>238018</wp:posOffset>
                </wp:positionV>
                <wp:extent cx="762000" cy="127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310.5pt,18.741602pt" to="370.5pt,18.741602pt" stroked="true" strokeweight="1pt" strokecolor="#000000">
                <v:stroke dashstyle="solid"/>
                <w10:wrap type="none"/>
              </v:line>
            </w:pict>
          </mc:Fallback>
        </mc:AlternateContent>
      </w:r>
      <w:r>
        <w:rPr>
          <w:b/>
          <w:spacing w:val="-2"/>
          <w:sz w:val="16"/>
        </w:rPr>
        <w:t>Amortized</w:t>
      </w:r>
      <w:r>
        <w:rPr>
          <w:b/>
          <w:spacing w:val="40"/>
          <w:sz w:val="16"/>
        </w:rPr>
        <w:t> </w:t>
      </w:r>
      <w:r>
        <w:rPr>
          <w:b/>
          <w:spacing w:val="-4"/>
          <w:sz w:val="16"/>
        </w:rPr>
        <w:t>Cost</w:t>
      </w:r>
    </w:p>
    <w:p>
      <w:pPr>
        <w:spacing w:line="240" w:lineRule="auto" w:before="28"/>
        <w:rPr>
          <w:b/>
          <w:sz w:val="16"/>
        </w:rPr>
      </w:pPr>
      <w:r>
        <w:rPr/>
        <w:br w:type="column"/>
      </w:r>
      <w:r>
        <w:rPr>
          <w:b/>
          <w:sz w:val="16"/>
        </w:rPr>
      </w:r>
    </w:p>
    <w:p>
      <w:pPr>
        <w:spacing w:line="208" w:lineRule="auto" w:before="0"/>
        <w:ind w:left="451" w:right="37" w:hanging="171"/>
        <w:jc w:val="left"/>
        <w:rPr>
          <w:b/>
          <w:sz w:val="16"/>
        </w:rPr>
      </w:pPr>
      <w:r>
        <w:rPr/>
        <mc:AlternateContent>
          <mc:Choice Requires="wps">
            <w:drawing>
              <wp:anchor distT="0" distB="0" distL="0" distR="0" allowOverlap="1" layoutInCell="1" locked="0" behindDoc="0" simplePos="0" relativeHeight="15794688">
                <wp:simplePos x="0" y="0"/>
                <wp:positionH relativeFrom="page">
                  <wp:posOffset>4756150</wp:posOffset>
                </wp:positionH>
                <wp:positionV relativeFrom="paragraph">
                  <wp:posOffset>238018</wp:posOffset>
                </wp:positionV>
                <wp:extent cx="762000"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374.5pt,18.741602pt" to="434.5pt,18.741602pt" stroked="true" strokeweight="1pt" strokecolor="#000000">
                <v:stroke dashstyle="solid"/>
                <w10:wrap type="none"/>
              </v:line>
            </w:pict>
          </mc:Fallback>
        </mc:AlternateContent>
      </w:r>
      <w:r>
        <w:rPr>
          <w:b/>
          <w:spacing w:val="-2"/>
          <w:sz w:val="16"/>
        </w:rPr>
        <w:t>Unrealized</w:t>
      </w:r>
      <w:r>
        <w:rPr>
          <w:b/>
          <w:spacing w:val="40"/>
          <w:sz w:val="16"/>
        </w:rPr>
        <w:t> </w:t>
      </w:r>
      <w:r>
        <w:rPr>
          <w:b/>
          <w:spacing w:val="-2"/>
          <w:sz w:val="16"/>
        </w:rPr>
        <w:t>Gains</w:t>
      </w:r>
    </w:p>
    <w:p>
      <w:pPr>
        <w:spacing w:line="240" w:lineRule="auto" w:before="28"/>
        <w:rPr>
          <w:b/>
          <w:sz w:val="16"/>
        </w:rPr>
      </w:pPr>
      <w:r>
        <w:rPr/>
        <w:br w:type="column"/>
      </w:r>
      <w:r>
        <w:rPr>
          <w:b/>
          <w:sz w:val="16"/>
        </w:rPr>
      </w:r>
    </w:p>
    <w:p>
      <w:pPr>
        <w:spacing w:line="208" w:lineRule="auto" w:before="0"/>
        <w:ind w:left="429" w:right="37" w:hanging="149"/>
        <w:jc w:val="left"/>
        <w:rPr>
          <w:b/>
          <w:sz w:val="16"/>
        </w:rPr>
      </w:pPr>
      <w:r>
        <w:rPr/>
        <mc:AlternateContent>
          <mc:Choice Requires="wps">
            <w:drawing>
              <wp:anchor distT="0" distB="0" distL="0" distR="0" allowOverlap="1" layoutInCell="1" locked="0" behindDoc="0" simplePos="0" relativeHeight="15795200">
                <wp:simplePos x="0" y="0"/>
                <wp:positionH relativeFrom="page">
                  <wp:posOffset>5568950</wp:posOffset>
                </wp:positionH>
                <wp:positionV relativeFrom="paragraph">
                  <wp:posOffset>238018</wp:posOffset>
                </wp:positionV>
                <wp:extent cx="762000" cy="127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438.5pt,18.741602pt" to="498.5pt,18.741602pt" stroked="true" strokeweight="1pt" strokecolor="#000000">
                <v:stroke dashstyle="solid"/>
                <w10:wrap type="none"/>
              </v:line>
            </w:pict>
          </mc:Fallback>
        </mc:AlternateContent>
      </w:r>
      <w:r>
        <w:rPr>
          <w:b/>
          <w:spacing w:val="-2"/>
          <w:sz w:val="16"/>
        </w:rPr>
        <w:t>Unrealized</w:t>
      </w:r>
      <w:r>
        <w:rPr>
          <w:b/>
          <w:spacing w:val="40"/>
          <w:sz w:val="16"/>
        </w:rPr>
        <w:t> </w:t>
      </w:r>
      <w:r>
        <w:rPr>
          <w:b/>
          <w:spacing w:val="-2"/>
          <w:sz w:val="16"/>
        </w:rPr>
        <w:t>Losses</w:t>
      </w:r>
    </w:p>
    <w:p>
      <w:pPr>
        <w:spacing w:line="240" w:lineRule="auto" w:before="28"/>
        <w:rPr>
          <w:b/>
          <w:sz w:val="16"/>
        </w:rPr>
      </w:pPr>
      <w:r>
        <w:rPr/>
        <w:br w:type="column"/>
      </w:r>
      <w:r>
        <w:rPr>
          <w:b/>
          <w:sz w:val="16"/>
        </w:rPr>
      </w:r>
    </w:p>
    <w:p>
      <w:pPr>
        <w:spacing w:line="208" w:lineRule="auto" w:before="0"/>
        <w:ind w:left="280" w:right="499" w:firstLine="10"/>
        <w:jc w:val="left"/>
        <w:rPr>
          <w:b/>
          <w:sz w:val="16"/>
        </w:rPr>
      </w:pPr>
      <w:r>
        <w:rPr>
          <w:b/>
          <w:spacing w:val="-2"/>
          <w:sz w:val="16"/>
        </w:rPr>
        <w:t>Estimated</w:t>
      </w:r>
      <w:r>
        <w:rPr>
          <w:b/>
          <w:spacing w:val="40"/>
          <w:sz w:val="16"/>
        </w:rPr>
        <w:t> </w:t>
      </w:r>
      <w:r>
        <w:rPr>
          <w:b/>
          <w:sz w:val="16"/>
        </w:rPr>
        <w:t>Fair</w:t>
      </w:r>
      <w:r>
        <w:rPr>
          <w:b/>
          <w:spacing w:val="-6"/>
          <w:sz w:val="16"/>
        </w:rPr>
        <w:t> </w:t>
      </w:r>
      <w:r>
        <w:rPr>
          <w:b/>
          <w:spacing w:val="-6"/>
          <w:sz w:val="16"/>
        </w:rPr>
        <w:t>Value</w:t>
      </w:r>
    </w:p>
    <w:p>
      <w:pPr>
        <w:pStyle w:val="BodyText"/>
        <w:spacing w:before="8"/>
        <w:rPr>
          <w:b/>
          <w:sz w:val="4"/>
        </w:rPr>
      </w:pPr>
    </w:p>
    <w:p>
      <w:pPr>
        <w:pStyle w:val="BodyText"/>
        <w:spacing w:line="20" w:lineRule="exact"/>
        <w:ind w:left="47"/>
        <w:rPr>
          <w:sz w:val="2"/>
        </w:rPr>
      </w:pPr>
      <w:r>
        <w:rPr>
          <w:sz w:val="2"/>
        </w:rPr>
        <mc:AlternateContent>
          <mc:Choice Requires="wps">
            <w:drawing>
              <wp:inline distT="0" distB="0" distL="0" distR="0">
                <wp:extent cx="762000" cy="12700"/>
                <wp:effectExtent l="9525" t="0" r="0" b="6350"/>
                <wp:docPr id="380" name="Group 380"/>
                <wp:cNvGraphicFramePr>
                  <a:graphicFrameLocks/>
                </wp:cNvGraphicFramePr>
                <a:graphic>
                  <a:graphicData uri="http://schemas.microsoft.com/office/word/2010/wordprocessingGroup">
                    <wpg:wgp>
                      <wpg:cNvPr id="380" name="Group 380"/>
                      <wpg:cNvGrpSpPr/>
                      <wpg:grpSpPr>
                        <a:xfrm>
                          <a:off x="0" y="0"/>
                          <a:ext cx="762000" cy="12700"/>
                          <a:chExt cx="762000" cy="12700"/>
                        </a:xfrm>
                      </wpg:grpSpPr>
                      <wps:wsp>
                        <wps:cNvPr id="381" name="Graphic 381"/>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310" coordorigin="0,0" coordsize="1200,20">
                <v:line style="position:absolute" from="0,10" to="1200,10" stroked="true" strokeweight="1pt" strokecolor="#000000">
                  <v:stroke dashstyle="solid"/>
                </v:line>
              </v:group>
            </w:pict>
          </mc:Fallback>
        </mc:AlternateContent>
      </w:r>
      <w:r>
        <w:rPr>
          <w:sz w:val="2"/>
        </w:rPr>
      </w:r>
    </w:p>
    <w:p>
      <w:pPr>
        <w:spacing w:after="0" w:line="20" w:lineRule="exact"/>
        <w:rPr>
          <w:sz w:val="2"/>
        </w:rPr>
        <w:sectPr>
          <w:type w:val="continuous"/>
          <w:pgSz w:w="12240" w:h="15840"/>
          <w:pgMar w:header="210" w:footer="610" w:top="680" w:bottom="280" w:left="780" w:right="740"/>
          <w:cols w:num="5" w:equalWidth="0">
            <w:col w:w="1504" w:space="3871"/>
            <w:col w:w="1049" w:space="224"/>
            <w:col w:w="1064" w:space="216"/>
            <w:col w:w="1064" w:space="231"/>
            <w:col w:w="1497"/>
          </w:cols>
        </w:sectPr>
      </w:pPr>
    </w:p>
    <w:p>
      <w:pPr>
        <w:pStyle w:val="BodyText"/>
        <w:spacing w:before="4"/>
        <w:rPr>
          <w:b/>
          <w:sz w:val="4"/>
        </w:rPr>
      </w:pPr>
    </w:p>
    <w:p>
      <w:pPr>
        <w:pStyle w:val="BodyText"/>
        <w:ind w:left="210"/>
      </w:pPr>
      <w:r>
        <w:rPr/>
        <mc:AlternateContent>
          <mc:Choice Requires="wps">
            <w:drawing>
              <wp:inline distT="0" distB="0" distL="0" distR="0">
                <wp:extent cx="6515100" cy="196850"/>
                <wp:effectExtent l="0" t="0" r="0" b="3175"/>
                <wp:docPr id="382" name="Group 382"/>
                <wp:cNvGraphicFramePr>
                  <a:graphicFrameLocks/>
                </wp:cNvGraphicFramePr>
                <a:graphic>
                  <a:graphicData uri="http://schemas.microsoft.com/office/word/2010/wordprocessingGroup">
                    <wpg:wgp>
                      <wpg:cNvPr id="382" name="Group 382"/>
                      <wpg:cNvGrpSpPr/>
                      <wpg:grpSpPr>
                        <a:xfrm>
                          <a:off x="0" y="0"/>
                          <a:ext cx="6515100" cy="196850"/>
                          <a:chExt cx="6515100" cy="196850"/>
                        </a:xfrm>
                      </wpg:grpSpPr>
                      <wps:wsp>
                        <wps:cNvPr id="383" name="Graphic 383"/>
                        <wps:cNvSpPr/>
                        <wps:spPr>
                          <a:xfrm>
                            <a:off x="3314700" y="184149"/>
                            <a:ext cx="3200400" cy="12700"/>
                          </a:xfrm>
                          <a:custGeom>
                            <a:avLst/>
                            <a:gdLst/>
                            <a:ahLst/>
                            <a:cxnLst/>
                            <a:rect l="l" t="t" r="r" b="b"/>
                            <a:pathLst>
                              <a:path w="3200400" h="12700">
                                <a:moveTo>
                                  <a:pt x="762000" y="0"/>
                                </a:moveTo>
                                <a:lnTo>
                                  <a:pt x="0" y="0"/>
                                </a:lnTo>
                                <a:lnTo>
                                  <a:pt x="0" y="12700"/>
                                </a:lnTo>
                                <a:lnTo>
                                  <a:pt x="762000" y="12700"/>
                                </a:lnTo>
                                <a:lnTo>
                                  <a:pt x="762000" y="0"/>
                                </a:lnTo>
                                <a:close/>
                              </a:path>
                              <a:path w="3200400" h="12700">
                                <a:moveTo>
                                  <a:pt x="1574800" y="0"/>
                                </a:moveTo>
                                <a:lnTo>
                                  <a:pt x="812800" y="0"/>
                                </a:lnTo>
                                <a:lnTo>
                                  <a:pt x="812800" y="12700"/>
                                </a:lnTo>
                                <a:lnTo>
                                  <a:pt x="1574800" y="12700"/>
                                </a:lnTo>
                                <a:lnTo>
                                  <a:pt x="1574800" y="0"/>
                                </a:lnTo>
                                <a:close/>
                              </a:path>
                              <a:path w="3200400" h="12700">
                                <a:moveTo>
                                  <a:pt x="2387600" y="0"/>
                                </a:moveTo>
                                <a:lnTo>
                                  <a:pt x="1625600" y="0"/>
                                </a:lnTo>
                                <a:lnTo>
                                  <a:pt x="1625600" y="12700"/>
                                </a:lnTo>
                                <a:lnTo>
                                  <a:pt x="2387600" y="12700"/>
                                </a:lnTo>
                                <a:lnTo>
                                  <a:pt x="2387600" y="0"/>
                                </a:lnTo>
                                <a:close/>
                              </a:path>
                              <a:path w="3200400" h="12700">
                                <a:moveTo>
                                  <a:pt x="3200400" y="0"/>
                                </a:moveTo>
                                <a:lnTo>
                                  <a:pt x="2438400" y="0"/>
                                </a:lnTo>
                                <a:lnTo>
                                  <a:pt x="2438400" y="12700"/>
                                </a:lnTo>
                                <a:lnTo>
                                  <a:pt x="3200400" y="12700"/>
                                </a:lnTo>
                                <a:lnTo>
                                  <a:pt x="3200400" y="0"/>
                                </a:lnTo>
                                <a:close/>
                              </a:path>
                            </a:pathLst>
                          </a:custGeom>
                          <a:solidFill>
                            <a:srgbClr val="000000"/>
                          </a:solidFill>
                        </wps:spPr>
                        <wps:bodyPr wrap="square" lIns="0" tIns="0" rIns="0" bIns="0" rtlCol="0">
                          <a:prstTxWarp prst="textNoShape">
                            <a:avLst/>
                          </a:prstTxWarp>
                          <a:noAutofit/>
                        </wps:bodyPr>
                      </wps:wsp>
                      <wps:wsp>
                        <wps:cNvPr id="384" name="Textbox 384"/>
                        <wps:cNvSpPr txBox="1"/>
                        <wps:spPr>
                          <a:xfrm>
                            <a:off x="0" y="0"/>
                            <a:ext cx="6515100" cy="190500"/>
                          </a:xfrm>
                          <a:prstGeom prst="rect">
                            <a:avLst/>
                          </a:prstGeom>
                          <a:solidFill>
                            <a:srgbClr val="CCEDFF"/>
                          </a:solidFill>
                        </wps:spPr>
                        <wps:txbx>
                          <w:txbxContent>
                            <w:p>
                              <w:pPr>
                                <w:tabs>
                                  <w:tab w:pos="5269" w:val="left" w:leader="none"/>
                                  <w:tab w:pos="5692" w:val="left" w:leader="none"/>
                                  <w:tab w:pos="6549" w:val="left" w:leader="none"/>
                                  <w:tab w:pos="7422" w:val="left" w:leader="none"/>
                                  <w:tab w:pos="7829" w:val="left" w:leader="none"/>
                                  <w:tab w:pos="8702" w:val="left" w:leader="none"/>
                                  <w:tab w:pos="9109" w:val="left" w:leader="none"/>
                                  <w:tab w:pos="9532" w:val="left" w:leader="none"/>
                                </w:tabs>
                                <w:spacing w:before="20"/>
                                <w:ind w:left="190" w:right="0" w:firstLine="0"/>
                                <w:jc w:val="left"/>
                                <w:rPr>
                                  <w:color w:val="000000"/>
                                  <w:sz w:val="20"/>
                                </w:rPr>
                              </w:pPr>
                              <w:r>
                                <w:rPr>
                                  <w:color w:val="000000"/>
                                  <w:spacing w:val="-4"/>
                                  <w:sz w:val="20"/>
                                </w:rPr>
                                <w:t>Cash</w:t>
                              </w:r>
                              <w:r>
                                <w:rPr>
                                  <w:color w:val="000000"/>
                                  <w:sz w:val="20"/>
                                </w:rPr>
                                <w:tab/>
                              </w:r>
                              <w:r>
                                <w:rPr>
                                  <w:color w:val="000000"/>
                                  <w:spacing w:val="-10"/>
                                  <w:sz w:val="20"/>
                                </w:rPr>
                                <w:t>$</w:t>
                              </w:r>
                              <w:r>
                                <w:rPr>
                                  <w:color w:val="000000"/>
                                  <w:sz w:val="20"/>
                                </w:rPr>
                                <w:tab/>
                              </w:r>
                              <w:r>
                                <w:rPr>
                                  <w:color w:val="000000"/>
                                  <w:spacing w:val="-2"/>
                                  <w:sz w:val="20"/>
                                </w:rPr>
                                <w:t>280,488</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2"/>
                                  <w:sz w:val="20"/>
                                </w:rPr>
                                <w:t>280,488</w:t>
                              </w:r>
                            </w:p>
                          </w:txbxContent>
                        </wps:txbx>
                        <wps:bodyPr wrap="square" lIns="0" tIns="0" rIns="0" bIns="0" rtlCol="0">
                          <a:noAutofit/>
                        </wps:bodyPr>
                      </wps:wsp>
                    </wpg:wgp>
                  </a:graphicData>
                </a:graphic>
              </wp:inline>
            </w:drawing>
          </mc:Choice>
          <mc:Fallback>
            <w:pict>
              <v:group style="width:513pt;height:15.5pt;mso-position-horizontal-relative:char;mso-position-vertical-relative:line" id="docshapegroup311" coordorigin="0,0" coordsize="10260,310">
                <v:shape style="position:absolute;left:5220;top:290;width:5040;height:20" id="docshape312" coordorigin="5220,290" coordsize="5040,20" path="m6420,290l5220,290,5220,310,6420,310,6420,290xm7700,290l6500,290,6500,310,7700,310,7700,290xm8980,290l7780,290,7780,310,8980,310,8980,290xm10260,290l9060,290,9060,310,10260,310,10260,290xe" filled="true" fillcolor="#000000" stroked="false">
                  <v:path arrowok="t"/>
                  <v:fill type="solid"/>
                </v:shape>
                <v:shape style="position:absolute;left:0;top:0;width:10260;height:300" type="#_x0000_t202" id="docshape313" filled="true" fillcolor="#ccedff" stroked="false">
                  <v:textbox inset="0,0,0,0">
                    <w:txbxContent>
                      <w:p>
                        <w:pPr>
                          <w:tabs>
                            <w:tab w:pos="5269" w:val="left" w:leader="none"/>
                            <w:tab w:pos="5692" w:val="left" w:leader="none"/>
                            <w:tab w:pos="6549" w:val="left" w:leader="none"/>
                            <w:tab w:pos="7422" w:val="left" w:leader="none"/>
                            <w:tab w:pos="7829" w:val="left" w:leader="none"/>
                            <w:tab w:pos="8702" w:val="left" w:leader="none"/>
                            <w:tab w:pos="9109" w:val="left" w:leader="none"/>
                            <w:tab w:pos="9532" w:val="left" w:leader="none"/>
                          </w:tabs>
                          <w:spacing w:before="20"/>
                          <w:ind w:left="190" w:right="0" w:firstLine="0"/>
                          <w:jc w:val="left"/>
                          <w:rPr>
                            <w:color w:val="000000"/>
                            <w:sz w:val="20"/>
                          </w:rPr>
                        </w:pPr>
                        <w:r>
                          <w:rPr>
                            <w:color w:val="000000"/>
                            <w:spacing w:val="-4"/>
                            <w:sz w:val="20"/>
                          </w:rPr>
                          <w:t>Cash</w:t>
                        </w:r>
                        <w:r>
                          <w:rPr>
                            <w:color w:val="000000"/>
                            <w:sz w:val="20"/>
                          </w:rPr>
                          <w:tab/>
                        </w:r>
                        <w:r>
                          <w:rPr>
                            <w:color w:val="000000"/>
                            <w:spacing w:val="-10"/>
                            <w:sz w:val="20"/>
                          </w:rPr>
                          <w:t>$</w:t>
                        </w:r>
                        <w:r>
                          <w:rPr>
                            <w:color w:val="000000"/>
                            <w:sz w:val="20"/>
                          </w:rPr>
                          <w:tab/>
                        </w:r>
                        <w:r>
                          <w:rPr>
                            <w:color w:val="000000"/>
                            <w:spacing w:val="-2"/>
                            <w:sz w:val="20"/>
                          </w:rPr>
                          <w:t>280,488</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2"/>
                            <w:sz w:val="20"/>
                          </w:rPr>
                          <w:t>280,488</w:t>
                        </w:r>
                      </w:p>
                    </w:txbxContent>
                  </v:textbox>
                  <v:fill type="solid"/>
                  <w10:wrap type="none"/>
                </v:shape>
              </v:group>
            </w:pict>
          </mc:Fallback>
        </mc:AlternateContent>
      </w:r>
      <w:r>
        <w:rPr/>
      </w:r>
    </w:p>
    <w:p>
      <w:pPr>
        <w:pStyle w:val="BodyText"/>
        <w:spacing w:after="31"/>
        <w:ind w:left="400"/>
      </w:pPr>
      <w:r>
        <w:rPr/>
        <w:t>Cash </w:t>
      </w:r>
      <w:r>
        <w:rPr>
          <w:spacing w:val="-2"/>
        </w:rPr>
        <w:t>equivalents:</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8"/>
        <w:gridCol w:w="1548"/>
        <w:gridCol w:w="1280"/>
        <w:gridCol w:w="1313"/>
        <w:gridCol w:w="1220"/>
      </w:tblGrid>
      <w:tr>
        <w:trPr>
          <w:trHeight w:val="300" w:hRule="atLeast"/>
        </w:trPr>
        <w:tc>
          <w:tcPr>
            <w:tcW w:w="4898" w:type="dxa"/>
            <w:shd w:val="clear" w:color="auto" w:fill="CCEDFF"/>
          </w:tcPr>
          <w:p>
            <w:pPr>
              <w:pStyle w:val="TableParagraph"/>
              <w:spacing w:before="20"/>
              <w:ind w:left="430"/>
              <w:rPr>
                <w:sz w:val="20"/>
              </w:rPr>
            </w:pPr>
            <w:r>
              <w:rPr>
                <w:sz w:val="20"/>
              </w:rPr>
              <w:t>Money market mutual </w:t>
            </w:r>
            <w:r>
              <w:rPr>
                <w:spacing w:val="-2"/>
                <w:sz w:val="20"/>
              </w:rPr>
              <w:t>funds</w:t>
            </w:r>
          </w:p>
        </w:tc>
        <w:tc>
          <w:tcPr>
            <w:tcW w:w="1548" w:type="dxa"/>
            <w:shd w:val="clear" w:color="auto" w:fill="CCEDFF"/>
          </w:tcPr>
          <w:p>
            <w:pPr>
              <w:pStyle w:val="TableParagraph"/>
              <w:spacing w:before="20"/>
              <w:ind w:right="103"/>
              <w:jc w:val="right"/>
              <w:rPr>
                <w:sz w:val="20"/>
              </w:rPr>
            </w:pPr>
            <w:r>
              <w:rPr>
                <w:spacing w:val="-2"/>
                <w:sz w:val="20"/>
              </w:rPr>
              <w:t>2,006,741</w:t>
            </w:r>
          </w:p>
        </w:tc>
        <w:tc>
          <w:tcPr>
            <w:tcW w:w="1280" w:type="dxa"/>
            <w:shd w:val="clear" w:color="auto" w:fill="CCEDFF"/>
          </w:tcPr>
          <w:p>
            <w:pPr>
              <w:pStyle w:val="TableParagraph"/>
              <w:spacing w:before="20"/>
              <w:ind w:right="102"/>
              <w:jc w:val="right"/>
              <w:rPr>
                <w:sz w:val="20"/>
              </w:rPr>
            </w:pPr>
            <w:r>
              <w:rPr>
                <w:spacing w:val="-10"/>
                <w:sz w:val="20"/>
              </w:rPr>
              <w:t>—</w:t>
            </w:r>
          </w:p>
        </w:tc>
        <w:tc>
          <w:tcPr>
            <w:tcW w:w="1313" w:type="dxa"/>
            <w:shd w:val="clear" w:color="auto" w:fill="CCEDFF"/>
          </w:tcPr>
          <w:p>
            <w:pPr>
              <w:pStyle w:val="TableParagraph"/>
              <w:spacing w:before="20"/>
              <w:ind w:right="135"/>
              <w:jc w:val="right"/>
              <w:rPr>
                <w:sz w:val="20"/>
              </w:rPr>
            </w:pPr>
            <w:r>
              <w:rPr>
                <w:spacing w:val="-10"/>
                <w:sz w:val="20"/>
              </w:rPr>
              <w:t>—</w:t>
            </w:r>
          </w:p>
        </w:tc>
        <w:tc>
          <w:tcPr>
            <w:tcW w:w="1220" w:type="dxa"/>
            <w:shd w:val="clear" w:color="auto" w:fill="CCEDFF"/>
          </w:tcPr>
          <w:p>
            <w:pPr>
              <w:pStyle w:val="TableParagraph"/>
              <w:spacing w:before="20"/>
              <w:ind w:right="76"/>
              <w:jc w:val="right"/>
              <w:rPr>
                <w:sz w:val="20"/>
              </w:rPr>
            </w:pPr>
            <w:r>
              <w:rPr>
                <w:spacing w:val="-2"/>
                <w:sz w:val="20"/>
              </w:rPr>
              <w:t>2,006,741</w:t>
            </w:r>
          </w:p>
        </w:tc>
      </w:tr>
      <w:tr>
        <w:trPr>
          <w:trHeight w:val="290" w:hRule="atLeast"/>
        </w:trPr>
        <w:tc>
          <w:tcPr>
            <w:tcW w:w="4898" w:type="dxa"/>
          </w:tcPr>
          <w:p>
            <w:pPr>
              <w:pStyle w:val="TableParagraph"/>
              <w:spacing w:before="20"/>
              <w:ind w:left="430"/>
              <w:rPr>
                <w:sz w:val="20"/>
              </w:rPr>
            </w:pPr>
            <w:r>
              <w:rPr>
                <w:sz w:val="20"/>
              </w:rPr>
              <w:t>Time</w:t>
            </w:r>
            <w:r>
              <w:rPr>
                <w:spacing w:val="-4"/>
                <w:sz w:val="20"/>
              </w:rPr>
              <w:t> </w:t>
            </w:r>
            <w:r>
              <w:rPr>
                <w:spacing w:val="-2"/>
                <w:sz w:val="20"/>
              </w:rPr>
              <w:t>deposits</w:t>
            </w:r>
          </w:p>
        </w:tc>
        <w:tc>
          <w:tcPr>
            <w:tcW w:w="1548" w:type="dxa"/>
            <w:tcBorders>
              <w:bottom w:val="single" w:sz="8" w:space="0" w:color="000000"/>
            </w:tcBorders>
          </w:tcPr>
          <w:p>
            <w:pPr>
              <w:pStyle w:val="TableParagraph"/>
              <w:spacing w:before="20"/>
              <w:ind w:right="102"/>
              <w:jc w:val="right"/>
              <w:rPr>
                <w:sz w:val="20"/>
              </w:rPr>
            </w:pPr>
            <w:r>
              <w:rPr>
                <w:spacing w:val="-2"/>
                <w:sz w:val="20"/>
              </w:rPr>
              <w:t>18,843</w:t>
            </w:r>
          </w:p>
        </w:tc>
        <w:tc>
          <w:tcPr>
            <w:tcW w:w="1280" w:type="dxa"/>
            <w:tcBorders>
              <w:bottom w:val="single" w:sz="8" w:space="0" w:color="000000"/>
            </w:tcBorders>
          </w:tcPr>
          <w:p>
            <w:pPr>
              <w:pStyle w:val="TableParagraph"/>
              <w:spacing w:before="20"/>
              <w:ind w:right="102"/>
              <w:jc w:val="right"/>
              <w:rPr>
                <w:sz w:val="20"/>
              </w:rPr>
            </w:pPr>
            <w:r>
              <w:rPr>
                <w:spacing w:val="-10"/>
                <w:sz w:val="20"/>
              </w:rPr>
              <w:t>—</w:t>
            </w:r>
          </w:p>
        </w:tc>
        <w:tc>
          <w:tcPr>
            <w:tcW w:w="1313" w:type="dxa"/>
            <w:tcBorders>
              <w:bottom w:val="single" w:sz="8" w:space="0" w:color="000000"/>
            </w:tcBorders>
          </w:tcPr>
          <w:p>
            <w:pPr>
              <w:pStyle w:val="TableParagraph"/>
              <w:spacing w:before="20"/>
              <w:ind w:right="135"/>
              <w:jc w:val="right"/>
              <w:rPr>
                <w:sz w:val="20"/>
              </w:rPr>
            </w:pPr>
            <w:r>
              <w:rPr>
                <w:spacing w:val="-10"/>
                <w:sz w:val="20"/>
              </w:rPr>
              <w:t>—</w:t>
            </w:r>
          </w:p>
        </w:tc>
        <w:tc>
          <w:tcPr>
            <w:tcW w:w="1220" w:type="dxa"/>
            <w:tcBorders>
              <w:bottom w:val="single" w:sz="8" w:space="0" w:color="000000"/>
            </w:tcBorders>
          </w:tcPr>
          <w:p>
            <w:pPr>
              <w:pStyle w:val="TableParagraph"/>
              <w:spacing w:before="20"/>
              <w:ind w:right="75"/>
              <w:jc w:val="right"/>
              <w:rPr>
                <w:sz w:val="20"/>
              </w:rPr>
            </w:pPr>
            <w:r>
              <w:rPr>
                <w:spacing w:val="-2"/>
                <w:sz w:val="20"/>
              </w:rPr>
              <w:t>18,843</w:t>
            </w:r>
          </w:p>
        </w:tc>
      </w:tr>
      <w:tr>
        <w:trPr>
          <w:trHeight w:val="280" w:hRule="atLeast"/>
        </w:trPr>
        <w:tc>
          <w:tcPr>
            <w:tcW w:w="4898" w:type="dxa"/>
            <w:shd w:val="clear" w:color="auto" w:fill="CCEDFF"/>
          </w:tcPr>
          <w:p>
            <w:pPr>
              <w:pStyle w:val="TableParagraph"/>
              <w:spacing w:before="10"/>
              <w:ind w:left="550"/>
              <w:rPr>
                <w:sz w:val="20"/>
              </w:rPr>
            </w:pPr>
            <w:r>
              <w:rPr>
                <w:sz w:val="20"/>
              </w:rPr>
              <w:t>Total</w:t>
            </w:r>
            <w:r>
              <w:rPr>
                <w:spacing w:val="-7"/>
                <w:sz w:val="20"/>
              </w:rPr>
              <w:t> </w:t>
            </w:r>
            <w:r>
              <w:rPr>
                <w:sz w:val="20"/>
              </w:rPr>
              <w:t>cash</w:t>
            </w:r>
            <w:r>
              <w:rPr>
                <w:spacing w:val="-7"/>
                <w:sz w:val="20"/>
              </w:rPr>
              <w:t> </w:t>
            </w:r>
            <w:r>
              <w:rPr>
                <w:spacing w:val="-2"/>
                <w:sz w:val="20"/>
              </w:rPr>
              <w:t>equivalents</w:t>
            </w:r>
          </w:p>
        </w:tc>
        <w:tc>
          <w:tcPr>
            <w:tcW w:w="1548" w:type="dxa"/>
            <w:tcBorders>
              <w:top w:val="single" w:sz="8" w:space="0" w:color="000000"/>
              <w:bottom w:val="single" w:sz="8" w:space="0" w:color="000000"/>
            </w:tcBorders>
            <w:shd w:val="clear" w:color="auto" w:fill="CCEDFF"/>
          </w:tcPr>
          <w:p>
            <w:pPr>
              <w:pStyle w:val="TableParagraph"/>
              <w:spacing w:before="10"/>
              <w:ind w:right="103"/>
              <w:jc w:val="right"/>
              <w:rPr>
                <w:sz w:val="20"/>
              </w:rPr>
            </w:pPr>
            <w:r>
              <w:rPr>
                <w:spacing w:val="-2"/>
                <w:sz w:val="20"/>
              </w:rPr>
              <w:t>2,025,584</w:t>
            </w:r>
          </w:p>
        </w:tc>
        <w:tc>
          <w:tcPr>
            <w:tcW w:w="1280" w:type="dxa"/>
            <w:tcBorders>
              <w:top w:val="single" w:sz="8" w:space="0" w:color="000000"/>
              <w:bottom w:val="single" w:sz="8" w:space="0" w:color="000000"/>
            </w:tcBorders>
            <w:shd w:val="clear" w:color="auto" w:fill="CCEDFF"/>
          </w:tcPr>
          <w:p>
            <w:pPr>
              <w:pStyle w:val="TableParagraph"/>
              <w:spacing w:before="10"/>
              <w:ind w:right="102"/>
              <w:jc w:val="right"/>
              <w:rPr>
                <w:sz w:val="20"/>
              </w:rPr>
            </w:pPr>
            <w:r>
              <w:rPr>
                <w:spacing w:val="-10"/>
                <w:sz w:val="20"/>
              </w:rPr>
              <w:t>—</w:t>
            </w:r>
          </w:p>
        </w:tc>
        <w:tc>
          <w:tcPr>
            <w:tcW w:w="1313" w:type="dxa"/>
            <w:tcBorders>
              <w:top w:val="single" w:sz="8" w:space="0" w:color="000000"/>
              <w:bottom w:val="single" w:sz="8" w:space="0" w:color="000000"/>
            </w:tcBorders>
            <w:shd w:val="clear" w:color="auto" w:fill="CCEDFF"/>
          </w:tcPr>
          <w:p>
            <w:pPr>
              <w:pStyle w:val="TableParagraph"/>
              <w:spacing w:before="10"/>
              <w:ind w:right="135"/>
              <w:jc w:val="right"/>
              <w:rPr>
                <w:sz w:val="20"/>
              </w:rPr>
            </w:pPr>
            <w:r>
              <w:rPr>
                <w:spacing w:val="-10"/>
                <w:sz w:val="20"/>
              </w:rPr>
              <w:t>—</w:t>
            </w:r>
          </w:p>
        </w:tc>
        <w:tc>
          <w:tcPr>
            <w:tcW w:w="1220" w:type="dxa"/>
            <w:tcBorders>
              <w:top w:val="single" w:sz="8" w:space="0" w:color="000000"/>
              <w:bottom w:val="single" w:sz="8" w:space="0" w:color="000000"/>
            </w:tcBorders>
            <w:shd w:val="clear" w:color="auto" w:fill="CCEDFF"/>
          </w:tcPr>
          <w:p>
            <w:pPr>
              <w:pStyle w:val="TableParagraph"/>
              <w:spacing w:before="10"/>
              <w:ind w:right="76"/>
              <w:jc w:val="right"/>
              <w:rPr>
                <w:sz w:val="20"/>
              </w:rPr>
            </w:pPr>
            <w:r>
              <w:rPr>
                <w:spacing w:val="-2"/>
                <w:sz w:val="20"/>
              </w:rPr>
              <w:t>2,025,584</w:t>
            </w:r>
          </w:p>
        </w:tc>
      </w:tr>
      <w:tr>
        <w:trPr>
          <w:trHeight w:val="280" w:hRule="atLeast"/>
        </w:trPr>
        <w:tc>
          <w:tcPr>
            <w:tcW w:w="4898" w:type="dxa"/>
          </w:tcPr>
          <w:p>
            <w:pPr>
              <w:pStyle w:val="TableParagraph"/>
              <w:spacing w:before="10"/>
              <w:ind w:left="430"/>
              <w:rPr>
                <w:sz w:val="20"/>
              </w:rPr>
            </w:pPr>
            <w:r>
              <w:rPr>
                <w:sz w:val="20"/>
              </w:rPr>
              <w:t>Total</w:t>
            </w:r>
            <w:r>
              <w:rPr>
                <w:spacing w:val="-2"/>
                <w:sz w:val="20"/>
              </w:rPr>
              <w:t> </w:t>
            </w:r>
            <w:r>
              <w:rPr>
                <w:sz w:val="20"/>
              </w:rPr>
              <w:t>cash</w:t>
            </w:r>
            <w:r>
              <w:rPr>
                <w:spacing w:val="-2"/>
                <w:sz w:val="20"/>
              </w:rPr>
              <w:t> </w:t>
            </w:r>
            <w:r>
              <w:rPr>
                <w:sz w:val="20"/>
              </w:rPr>
              <w:t>and</w:t>
            </w:r>
            <w:r>
              <w:rPr>
                <w:spacing w:val="-2"/>
                <w:sz w:val="20"/>
              </w:rPr>
              <w:t> </w:t>
            </w:r>
            <w:r>
              <w:rPr>
                <w:sz w:val="20"/>
              </w:rPr>
              <w:t>cash</w:t>
            </w:r>
            <w:r>
              <w:rPr>
                <w:spacing w:val="-1"/>
                <w:sz w:val="20"/>
              </w:rPr>
              <w:t> </w:t>
            </w:r>
            <w:r>
              <w:rPr>
                <w:spacing w:val="-2"/>
                <w:sz w:val="20"/>
              </w:rPr>
              <w:t>equivalents</w:t>
            </w:r>
          </w:p>
        </w:tc>
        <w:tc>
          <w:tcPr>
            <w:tcW w:w="1548" w:type="dxa"/>
            <w:tcBorders>
              <w:top w:val="single" w:sz="8" w:space="0" w:color="000000"/>
              <w:bottom w:val="single" w:sz="8" w:space="0" w:color="000000"/>
            </w:tcBorders>
          </w:tcPr>
          <w:p>
            <w:pPr>
              <w:pStyle w:val="TableParagraph"/>
              <w:spacing w:before="10"/>
              <w:ind w:right="103"/>
              <w:jc w:val="right"/>
              <w:rPr>
                <w:sz w:val="20"/>
              </w:rPr>
            </w:pPr>
            <w:r>
              <w:rPr>
                <w:spacing w:val="-2"/>
                <w:sz w:val="20"/>
              </w:rPr>
              <w:t>2,306,072</w:t>
            </w:r>
          </w:p>
        </w:tc>
        <w:tc>
          <w:tcPr>
            <w:tcW w:w="1280" w:type="dxa"/>
            <w:tcBorders>
              <w:top w:val="single" w:sz="8" w:space="0" w:color="000000"/>
              <w:bottom w:val="single" w:sz="8" w:space="0" w:color="000000"/>
            </w:tcBorders>
          </w:tcPr>
          <w:p>
            <w:pPr>
              <w:pStyle w:val="TableParagraph"/>
              <w:spacing w:before="10"/>
              <w:ind w:right="102"/>
              <w:jc w:val="right"/>
              <w:rPr>
                <w:sz w:val="20"/>
              </w:rPr>
            </w:pPr>
            <w:r>
              <w:rPr>
                <w:spacing w:val="-10"/>
                <w:sz w:val="20"/>
              </w:rPr>
              <w:t>—</w:t>
            </w:r>
          </w:p>
        </w:tc>
        <w:tc>
          <w:tcPr>
            <w:tcW w:w="1313" w:type="dxa"/>
            <w:tcBorders>
              <w:top w:val="single" w:sz="8" w:space="0" w:color="000000"/>
              <w:bottom w:val="single" w:sz="8" w:space="0" w:color="000000"/>
            </w:tcBorders>
          </w:tcPr>
          <w:p>
            <w:pPr>
              <w:pStyle w:val="TableParagraph"/>
              <w:spacing w:before="10"/>
              <w:ind w:right="135"/>
              <w:jc w:val="right"/>
              <w:rPr>
                <w:sz w:val="20"/>
              </w:rPr>
            </w:pPr>
            <w:r>
              <w:rPr>
                <w:spacing w:val="-10"/>
                <w:sz w:val="20"/>
              </w:rPr>
              <w:t>—</w:t>
            </w:r>
          </w:p>
        </w:tc>
        <w:tc>
          <w:tcPr>
            <w:tcW w:w="1220" w:type="dxa"/>
            <w:tcBorders>
              <w:top w:val="single" w:sz="8" w:space="0" w:color="000000"/>
              <w:bottom w:val="single" w:sz="8" w:space="0" w:color="000000"/>
            </w:tcBorders>
          </w:tcPr>
          <w:p>
            <w:pPr>
              <w:pStyle w:val="TableParagraph"/>
              <w:spacing w:before="10"/>
              <w:ind w:right="76"/>
              <w:jc w:val="right"/>
              <w:rPr>
                <w:sz w:val="20"/>
              </w:rPr>
            </w:pPr>
            <w:r>
              <w:rPr>
                <w:spacing w:val="-2"/>
                <w:sz w:val="20"/>
              </w:rPr>
              <w:t>2,306,072</w:t>
            </w:r>
          </w:p>
        </w:tc>
      </w:tr>
      <w:tr>
        <w:trPr>
          <w:trHeight w:val="290" w:hRule="atLeast"/>
        </w:trPr>
        <w:tc>
          <w:tcPr>
            <w:tcW w:w="4898" w:type="dxa"/>
            <w:shd w:val="clear" w:color="auto" w:fill="CCEDFF"/>
          </w:tcPr>
          <w:p>
            <w:pPr>
              <w:pStyle w:val="TableParagraph"/>
              <w:spacing w:before="10"/>
              <w:ind w:left="190"/>
              <w:rPr>
                <w:sz w:val="20"/>
              </w:rPr>
            </w:pPr>
            <w:r>
              <w:rPr>
                <w:sz w:val="20"/>
              </w:rPr>
              <w:t>Short-term fixed income </w:t>
            </w:r>
            <w:r>
              <w:rPr>
                <w:spacing w:val="-2"/>
                <w:sz w:val="20"/>
              </w:rPr>
              <w:t>securities:</w:t>
            </w:r>
          </w:p>
        </w:tc>
        <w:tc>
          <w:tcPr>
            <w:tcW w:w="1548" w:type="dxa"/>
            <w:tcBorders>
              <w:top w:val="single" w:sz="8" w:space="0" w:color="000000"/>
            </w:tcBorders>
            <w:shd w:val="clear" w:color="auto" w:fill="CCEDFF"/>
          </w:tcPr>
          <w:p>
            <w:pPr>
              <w:pStyle w:val="TableParagraph"/>
              <w:rPr>
                <w:sz w:val="18"/>
              </w:rPr>
            </w:pPr>
          </w:p>
        </w:tc>
        <w:tc>
          <w:tcPr>
            <w:tcW w:w="1280" w:type="dxa"/>
            <w:tcBorders>
              <w:top w:val="single" w:sz="8" w:space="0" w:color="000000"/>
            </w:tcBorders>
            <w:shd w:val="clear" w:color="auto" w:fill="CCEDFF"/>
          </w:tcPr>
          <w:p>
            <w:pPr>
              <w:pStyle w:val="TableParagraph"/>
              <w:rPr>
                <w:sz w:val="18"/>
              </w:rPr>
            </w:pPr>
          </w:p>
        </w:tc>
        <w:tc>
          <w:tcPr>
            <w:tcW w:w="1313" w:type="dxa"/>
            <w:tcBorders>
              <w:top w:val="single" w:sz="8" w:space="0" w:color="000000"/>
            </w:tcBorders>
            <w:shd w:val="clear" w:color="auto" w:fill="CCEDFF"/>
          </w:tcPr>
          <w:p>
            <w:pPr>
              <w:pStyle w:val="TableParagraph"/>
              <w:rPr>
                <w:sz w:val="18"/>
              </w:rPr>
            </w:pPr>
          </w:p>
        </w:tc>
        <w:tc>
          <w:tcPr>
            <w:tcW w:w="1220" w:type="dxa"/>
            <w:tcBorders>
              <w:top w:val="single" w:sz="8" w:space="0" w:color="000000"/>
            </w:tcBorders>
            <w:shd w:val="clear" w:color="auto" w:fill="CCEDFF"/>
          </w:tcPr>
          <w:p>
            <w:pPr>
              <w:pStyle w:val="TableParagraph"/>
              <w:rPr>
                <w:sz w:val="18"/>
              </w:rPr>
            </w:pPr>
          </w:p>
        </w:tc>
      </w:tr>
      <w:tr>
        <w:trPr>
          <w:trHeight w:val="300" w:hRule="atLeast"/>
        </w:trPr>
        <w:tc>
          <w:tcPr>
            <w:tcW w:w="4898" w:type="dxa"/>
          </w:tcPr>
          <w:p>
            <w:pPr>
              <w:pStyle w:val="TableParagraph"/>
              <w:spacing w:before="20"/>
              <w:ind w:left="430"/>
              <w:rPr>
                <w:sz w:val="20"/>
              </w:rPr>
            </w:pPr>
            <w:r>
              <w:rPr>
                <w:sz w:val="20"/>
              </w:rPr>
              <w:t>Asset-backed </w:t>
            </w:r>
            <w:r>
              <w:rPr>
                <w:spacing w:val="-2"/>
                <w:sz w:val="20"/>
              </w:rPr>
              <w:t>securities</w:t>
            </w:r>
          </w:p>
        </w:tc>
        <w:tc>
          <w:tcPr>
            <w:tcW w:w="1548" w:type="dxa"/>
          </w:tcPr>
          <w:p>
            <w:pPr>
              <w:pStyle w:val="TableParagraph"/>
              <w:spacing w:before="20"/>
              <w:ind w:right="102"/>
              <w:jc w:val="right"/>
              <w:rPr>
                <w:sz w:val="20"/>
              </w:rPr>
            </w:pPr>
            <w:r>
              <w:rPr>
                <w:spacing w:val="-2"/>
                <w:sz w:val="20"/>
              </w:rPr>
              <w:t>98,403</w:t>
            </w:r>
          </w:p>
        </w:tc>
        <w:tc>
          <w:tcPr>
            <w:tcW w:w="1280" w:type="dxa"/>
          </w:tcPr>
          <w:p>
            <w:pPr>
              <w:pStyle w:val="TableParagraph"/>
              <w:spacing w:before="20"/>
              <w:ind w:right="102"/>
              <w:jc w:val="right"/>
              <w:rPr>
                <w:sz w:val="20"/>
              </w:rPr>
            </w:pPr>
            <w:r>
              <w:rPr>
                <w:spacing w:val="-10"/>
                <w:sz w:val="20"/>
              </w:rPr>
              <w:t>1</w:t>
            </w:r>
          </w:p>
        </w:tc>
        <w:tc>
          <w:tcPr>
            <w:tcW w:w="1313" w:type="dxa"/>
          </w:tcPr>
          <w:p>
            <w:pPr>
              <w:pStyle w:val="TableParagraph"/>
              <w:spacing w:before="20"/>
              <w:ind w:right="67"/>
              <w:jc w:val="right"/>
              <w:rPr>
                <w:sz w:val="20"/>
              </w:rPr>
            </w:pPr>
            <w:r>
              <w:rPr>
                <w:spacing w:val="-2"/>
                <w:sz w:val="20"/>
              </w:rPr>
              <w:t>(403)</w:t>
            </w:r>
          </w:p>
        </w:tc>
        <w:tc>
          <w:tcPr>
            <w:tcW w:w="1220" w:type="dxa"/>
          </w:tcPr>
          <w:p>
            <w:pPr>
              <w:pStyle w:val="TableParagraph"/>
              <w:spacing w:before="20"/>
              <w:ind w:right="75"/>
              <w:jc w:val="right"/>
              <w:rPr>
                <w:sz w:val="20"/>
              </w:rPr>
            </w:pPr>
            <w:r>
              <w:rPr>
                <w:spacing w:val="-2"/>
                <w:sz w:val="20"/>
              </w:rPr>
              <w:t>98,001</w:t>
            </w:r>
          </w:p>
        </w:tc>
      </w:tr>
      <w:tr>
        <w:trPr>
          <w:trHeight w:val="300" w:hRule="atLeast"/>
        </w:trPr>
        <w:tc>
          <w:tcPr>
            <w:tcW w:w="4898" w:type="dxa"/>
            <w:shd w:val="clear" w:color="auto" w:fill="CCEDFF"/>
          </w:tcPr>
          <w:p>
            <w:pPr>
              <w:pStyle w:val="TableParagraph"/>
              <w:spacing w:before="20"/>
              <w:ind w:left="430"/>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548" w:type="dxa"/>
            <w:shd w:val="clear" w:color="auto" w:fill="CCEDFF"/>
          </w:tcPr>
          <w:p>
            <w:pPr>
              <w:pStyle w:val="TableParagraph"/>
              <w:spacing w:before="20"/>
              <w:ind w:right="103"/>
              <w:jc w:val="right"/>
              <w:rPr>
                <w:sz w:val="20"/>
              </w:rPr>
            </w:pPr>
            <w:r>
              <w:rPr>
                <w:spacing w:val="-2"/>
                <w:sz w:val="20"/>
              </w:rPr>
              <w:t>2,461,691</w:t>
            </w:r>
          </w:p>
        </w:tc>
        <w:tc>
          <w:tcPr>
            <w:tcW w:w="1280" w:type="dxa"/>
            <w:shd w:val="clear" w:color="auto" w:fill="CCEDFF"/>
          </w:tcPr>
          <w:p>
            <w:pPr>
              <w:pStyle w:val="TableParagraph"/>
              <w:spacing w:before="20"/>
              <w:ind w:right="102"/>
              <w:jc w:val="right"/>
              <w:rPr>
                <w:sz w:val="20"/>
              </w:rPr>
            </w:pPr>
            <w:r>
              <w:rPr>
                <w:spacing w:val="-2"/>
                <w:sz w:val="20"/>
              </w:rPr>
              <w:t>2,694</w:t>
            </w:r>
          </w:p>
        </w:tc>
        <w:tc>
          <w:tcPr>
            <w:tcW w:w="1313" w:type="dxa"/>
            <w:shd w:val="clear" w:color="auto" w:fill="CCEDFF"/>
          </w:tcPr>
          <w:p>
            <w:pPr>
              <w:pStyle w:val="TableParagraph"/>
              <w:spacing w:before="20"/>
              <w:ind w:right="67"/>
              <w:jc w:val="right"/>
              <w:rPr>
                <w:sz w:val="20"/>
              </w:rPr>
            </w:pPr>
            <w:r>
              <w:rPr>
                <w:spacing w:val="-2"/>
                <w:sz w:val="20"/>
              </w:rPr>
              <w:t>(10,125)</w:t>
            </w:r>
          </w:p>
        </w:tc>
        <w:tc>
          <w:tcPr>
            <w:tcW w:w="1220" w:type="dxa"/>
            <w:shd w:val="clear" w:color="auto" w:fill="CCEDFF"/>
          </w:tcPr>
          <w:p>
            <w:pPr>
              <w:pStyle w:val="TableParagraph"/>
              <w:spacing w:before="20"/>
              <w:ind w:right="76"/>
              <w:jc w:val="right"/>
              <w:rPr>
                <w:sz w:val="20"/>
              </w:rPr>
            </w:pPr>
            <w:r>
              <w:rPr>
                <w:spacing w:val="-2"/>
                <w:sz w:val="20"/>
              </w:rPr>
              <w:t>2,454,260</w:t>
            </w:r>
          </w:p>
        </w:tc>
      </w:tr>
      <w:tr>
        <w:trPr>
          <w:trHeight w:val="300" w:hRule="atLeast"/>
        </w:trPr>
        <w:tc>
          <w:tcPr>
            <w:tcW w:w="4898" w:type="dxa"/>
          </w:tcPr>
          <w:p>
            <w:pPr>
              <w:pStyle w:val="TableParagraph"/>
              <w:spacing w:before="20"/>
              <w:ind w:left="430"/>
              <w:rPr>
                <w:sz w:val="20"/>
              </w:rPr>
            </w:pPr>
            <w:r>
              <w:rPr>
                <w:sz w:val="20"/>
              </w:rPr>
              <w:t>Foreign government </w:t>
            </w:r>
            <w:r>
              <w:rPr>
                <w:spacing w:val="-2"/>
                <w:sz w:val="20"/>
              </w:rPr>
              <w:t>securities</w:t>
            </w:r>
          </w:p>
        </w:tc>
        <w:tc>
          <w:tcPr>
            <w:tcW w:w="1548" w:type="dxa"/>
          </w:tcPr>
          <w:p>
            <w:pPr>
              <w:pStyle w:val="TableParagraph"/>
              <w:spacing w:before="20"/>
              <w:ind w:right="102"/>
              <w:jc w:val="right"/>
              <w:rPr>
                <w:sz w:val="20"/>
              </w:rPr>
            </w:pPr>
            <w:r>
              <w:rPr>
                <w:spacing w:val="-2"/>
                <w:sz w:val="20"/>
              </w:rPr>
              <w:t>2,396</w:t>
            </w:r>
          </w:p>
        </w:tc>
        <w:tc>
          <w:tcPr>
            <w:tcW w:w="1280" w:type="dxa"/>
          </w:tcPr>
          <w:p>
            <w:pPr>
              <w:pStyle w:val="TableParagraph"/>
              <w:spacing w:before="20"/>
              <w:ind w:right="102"/>
              <w:jc w:val="right"/>
              <w:rPr>
                <w:sz w:val="20"/>
              </w:rPr>
            </w:pPr>
            <w:r>
              <w:rPr>
                <w:spacing w:val="-10"/>
                <w:sz w:val="20"/>
              </w:rPr>
              <w:t>—</w:t>
            </w:r>
          </w:p>
        </w:tc>
        <w:tc>
          <w:tcPr>
            <w:tcW w:w="1313" w:type="dxa"/>
          </w:tcPr>
          <w:p>
            <w:pPr>
              <w:pStyle w:val="TableParagraph"/>
              <w:spacing w:before="20"/>
              <w:ind w:right="67"/>
              <w:jc w:val="right"/>
              <w:rPr>
                <w:sz w:val="20"/>
              </w:rPr>
            </w:pPr>
            <w:r>
              <w:rPr>
                <w:spacing w:val="-5"/>
                <w:sz w:val="20"/>
              </w:rPr>
              <w:t>(8)</w:t>
            </w:r>
          </w:p>
        </w:tc>
        <w:tc>
          <w:tcPr>
            <w:tcW w:w="1220" w:type="dxa"/>
          </w:tcPr>
          <w:p>
            <w:pPr>
              <w:pStyle w:val="TableParagraph"/>
              <w:spacing w:before="20"/>
              <w:ind w:right="75"/>
              <w:jc w:val="right"/>
              <w:rPr>
                <w:sz w:val="20"/>
              </w:rPr>
            </w:pPr>
            <w:r>
              <w:rPr>
                <w:spacing w:val="-2"/>
                <w:sz w:val="20"/>
              </w:rPr>
              <w:t>2,388</w:t>
            </w:r>
          </w:p>
        </w:tc>
      </w:tr>
      <w:tr>
        <w:trPr>
          <w:trHeight w:val="300" w:hRule="atLeast"/>
        </w:trPr>
        <w:tc>
          <w:tcPr>
            <w:tcW w:w="4898" w:type="dxa"/>
            <w:shd w:val="clear" w:color="auto" w:fill="CCEDFF"/>
          </w:tcPr>
          <w:p>
            <w:pPr>
              <w:pStyle w:val="TableParagraph"/>
              <w:spacing w:before="20"/>
              <w:ind w:left="430"/>
              <w:rPr>
                <w:sz w:val="20"/>
              </w:rPr>
            </w:pPr>
            <w:r>
              <w:rPr>
                <w:sz w:val="20"/>
              </w:rPr>
              <w:t>Municipal </w:t>
            </w:r>
            <w:r>
              <w:rPr>
                <w:spacing w:val="-2"/>
                <w:sz w:val="20"/>
              </w:rPr>
              <w:t>securities</w:t>
            </w:r>
          </w:p>
        </w:tc>
        <w:tc>
          <w:tcPr>
            <w:tcW w:w="1548" w:type="dxa"/>
            <w:shd w:val="clear" w:color="auto" w:fill="CCEDFF"/>
          </w:tcPr>
          <w:p>
            <w:pPr>
              <w:pStyle w:val="TableParagraph"/>
              <w:spacing w:before="20"/>
              <w:ind w:right="102"/>
              <w:jc w:val="right"/>
              <w:rPr>
                <w:sz w:val="20"/>
              </w:rPr>
            </w:pPr>
            <w:r>
              <w:rPr>
                <w:spacing w:val="-2"/>
                <w:sz w:val="20"/>
              </w:rPr>
              <w:t>21,189</w:t>
            </w:r>
          </w:p>
        </w:tc>
        <w:tc>
          <w:tcPr>
            <w:tcW w:w="1280" w:type="dxa"/>
            <w:shd w:val="clear" w:color="auto" w:fill="CCEDFF"/>
          </w:tcPr>
          <w:p>
            <w:pPr>
              <w:pStyle w:val="TableParagraph"/>
              <w:spacing w:before="20"/>
              <w:ind w:right="102"/>
              <w:jc w:val="right"/>
              <w:rPr>
                <w:sz w:val="20"/>
              </w:rPr>
            </w:pPr>
            <w:r>
              <w:rPr>
                <w:spacing w:val="-10"/>
                <w:sz w:val="20"/>
              </w:rPr>
              <w:t>8</w:t>
            </w:r>
          </w:p>
        </w:tc>
        <w:tc>
          <w:tcPr>
            <w:tcW w:w="1313" w:type="dxa"/>
            <w:shd w:val="clear" w:color="auto" w:fill="CCEDFF"/>
          </w:tcPr>
          <w:p>
            <w:pPr>
              <w:pStyle w:val="TableParagraph"/>
              <w:spacing w:before="20"/>
              <w:ind w:right="67"/>
              <w:jc w:val="right"/>
              <w:rPr>
                <w:sz w:val="20"/>
              </w:rPr>
            </w:pPr>
            <w:r>
              <w:rPr>
                <w:spacing w:val="-2"/>
                <w:sz w:val="20"/>
              </w:rPr>
              <w:t>(132)</w:t>
            </w:r>
          </w:p>
        </w:tc>
        <w:tc>
          <w:tcPr>
            <w:tcW w:w="1220" w:type="dxa"/>
            <w:shd w:val="clear" w:color="auto" w:fill="CCEDFF"/>
          </w:tcPr>
          <w:p>
            <w:pPr>
              <w:pStyle w:val="TableParagraph"/>
              <w:spacing w:before="20"/>
              <w:ind w:right="75"/>
              <w:jc w:val="right"/>
              <w:rPr>
                <w:sz w:val="20"/>
              </w:rPr>
            </w:pPr>
            <w:r>
              <w:rPr>
                <w:spacing w:val="-2"/>
                <w:sz w:val="20"/>
              </w:rPr>
              <w:t>21,065</w:t>
            </w:r>
          </w:p>
        </w:tc>
      </w:tr>
      <w:tr>
        <w:trPr>
          <w:trHeight w:val="290" w:hRule="atLeast"/>
        </w:trPr>
        <w:tc>
          <w:tcPr>
            <w:tcW w:w="4898" w:type="dxa"/>
          </w:tcPr>
          <w:p>
            <w:pPr>
              <w:pStyle w:val="TableParagraph"/>
              <w:spacing w:before="20"/>
              <w:ind w:left="430"/>
              <w:rPr>
                <w:sz w:val="20"/>
              </w:rPr>
            </w:pPr>
            <w:r>
              <w:rPr>
                <w:sz w:val="20"/>
              </w:rPr>
              <w:t>U.S.</w:t>
            </w:r>
            <w:r>
              <w:rPr>
                <w:spacing w:val="-5"/>
                <w:sz w:val="20"/>
              </w:rPr>
              <w:t> </w:t>
            </w:r>
            <w:r>
              <w:rPr>
                <w:sz w:val="20"/>
              </w:rPr>
              <w:t>Treasury</w:t>
            </w:r>
            <w:r>
              <w:rPr>
                <w:spacing w:val="-3"/>
                <w:sz w:val="20"/>
              </w:rPr>
              <w:t> </w:t>
            </w:r>
            <w:r>
              <w:rPr>
                <w:spacing w:val="-2"/>
                <w:sz w:val="20"/>
              </w:rPr>
              <w:t>securities</w:t>
            </w:r>
          </w:p>
        </w:tc>
        <w:tc>
          <w:tcPr>
            <w:tcW w:w="1548" w:type="dxa"/>
            <w:tcBorders>
              <w:bottom w:val="single" w:sz="8" w:space="0" w:color="000000"/>
            </w:tcBorders>
          </w:tcPr>
          <w:p>
            <w:pPr>
              <w:pStyle w:val="TableParagraph"/>
              <w:spacing w:before="20"/>
              <w:ind w:right="102"/>
              <w:jc w:val="right"/>
              <w:rPr>
                <w:sz w:val="20"/>
              </w:rPr>
            </w:pPr>
            <w:r>
              <w:rPr>
                <w:spacing w:val="-2"/>
                <w:sz w:val="20"/>
              </w:rPr>
              <w:t>941,538</w:t>
            </w:r>
          </w:p>
        </w:tc>
        <w:tc>
          <w:tcPr>
            <w:tcW w:w="1280" w:type="dxa"/>
            <w:tcBorders>
              <w:bottom w:val="single" w:sz="8" w:space="0" w:color="000000"/>
            </w:tcBorders>
          </w:tcPr>
          <w:p>
            <w:pPr>
              <w:pStyle w:val="TableParagraph"/>
              <w:spacing w:before="20"/>
              <w:ind w:right="102"/>
              <w:jc w:val="right"/>
              <w:rPr>
                <w:sz w:val="20"/>
              </w:rPr>
            </w:pPr>
            <w:r>
              <w:rPr>
                <w:spacing w:val="-10"/>
                <w:sz w:val="20"/>
              </w:rPr>
              <w:t>2</w:t>
            </w:r>
          </w:p>
        </w:tc>
        <w:tc>
          <w:tcPr>
            <w:tcW w:w="1313" w:type="dxa"/>
            <w:tcBorders>
              <w:bottom w:val="single" w:sz="8" w:space="0" w:color="000000"/>
            </w:tcBorders>
          </w:tcPr>
          <w:p>
            <w:pPr>
              <w:pStyle w:val="TableParagraph"/>
              <w:spacing w:before="20"/>
              <w:ind w:right="67"/>
              <w:jc w:val="right"/>
              <w:rPr>
                <w:sz w:val="20"/>
              </w:rPr>
            </w:pPr>
            <w:r>
              <w:rPr>
                <w:spacing w:val="-2"/>
                <w:sz w:val="20"/>
              </w:rPr>
              <w:t>(3,552)</w:t>
            </w:r>
          </w:p>
        </w:tc>
        <w:tc>
          <w:tcPr>
            <w:tcW w:w="1220" w:type="dxa"/>
            <w:tcBorders>
              <w:bottom w:val="single" w:sz="8" w:space="0" w:color="000000"/>
            </w:tcBorders>
          </w:tcPr>
          <w:p>
            <w:pPr>
              <w:pStyle w:val="TableParagraph"/>
              <w:spacing w:before="20"/>
              <w:ind w:right="75"/>
              <w:jc w:val="right"/>
              <w:rPr>
                <w:sz w:val="20"/>
              </w:rPr>
            </w:pPr>
            <w:r>
              <w:rPr>
                <w:spacing w:val="-2"/>
                <w:sz w:val="20"/>
              </w:rPr>
              <w:t>937,988</w:t>
            </w:r>
          </w:p>
        </w:tc>
      </w:tr>
      <w:tr>
        <w:trPr>
          <w:trHeight w:val="280" w:hRule="atLeast"/>
        </w:trPr>
        <w:tc>
          <w:tcPr>
            <w:tcW w:w="4898" w:type="dxa"/>
            <w:shd w:val="clear" w:color="auto" w:fill="CCEDFF"/>
          </w:tcPr>
          <w:p>
            <w:pPr>
              <w:pStyle w:val="TableParagraph"/>
              <w:spacing w:before="10"/>
              <w:ind w:left="430"/>
              <w:rPr>
                <w:sz w:val="20"/>
              </w:rPr>
            </w:pPr>
            <w:r>
              <w:rPr>
                <w:sz w:val="20"/>
              </w:rPr>
              <w:t>Total</w:t>
            </w:r>
            <w:r>
              <w:rPr>
                <w:spacing w:val="-9"/>
                <w:sz w:val="20"/>
              </w:rPr>
              <w:t> </w:t>
            </w:r>
            <w:r>
              <w:rPr>
                <w:sz w:val="20"/>
              </w:rPr>
              <w:t>short-term</w:t>
            </w:r>
            <w:r>
              <w:rPr>
                <w:spacing w:val="-7"/>
                <w:sz w:val="20"/>
              </w:rPr>
              <w:t> </w:t>
            </w:r>
            <w:r>
              <w:rPr>
                <w:spacing w:val="-2"/>
                <w:sz w:val="20"/>
              </w:rPr>
              <w:t>investments</w:t>
            </w:r>
          </w:p>
        </w:tc>
        <w:tc>
          <w:tcPr>
            <w:tcW w:w="1548" w:type="dxa"/>
            <w:tcBorders>
              <w:top w:val="single" w:sz="8" w:space="0" w:color="000000"/>
              <w:bottom w:val="single" w:sz="8" w:space="0" w:color="000000"/>
            </w:tcBorders>
            <w:shd w:val="clear" w:color="auto" w:fill="CCEDFF"/>
          </w:tcPr>
          <w:p>
            <w:pPr>
              <w:pStyle w:val="TableParagraph"/>
              <w:spacing w:before="10"/>
              <w:ind w:right="103"/>
              <w:jc w:val="right"/>
              <w:rPr>
                <w:sz w:val="20"/>
              </w:rPr>
            </w:pPr>
            <w:r>
              <w:rPr>
                <w:spacing w:val="-2"/>
                <w:sz w:val="20"/>
              </w:rPr>
              <w:t>3,525,217</w:t>
            </w:r>
          </w:p>
        </w:tc>
        <w:tc>
          <w:tcPr>
            <w:tcW w:w="1280" w:type="dxa"/>
            <w:tcBorders>
              <w:top w:val="single" w:sz="8" w:space="0" w:color="000000"/>
              <w:bottom w:val="single" w:sz="8" w:space="0" w:color="000000"/>
            </w:tcBorders>
            <w:shd w:val="clear" w:color="auto" w:fill="CCEDFF"/>
          </w:tcPr>
          <w:p>
            <w:pPr>
              <w:pStyle w:val="TableParagraph"/>
              <w:spacing w:before="10"/>
              <w:ind w:right="102"/>
              <w:jc w:val="right"/>
              <w:rPr>
                <w:sz w:val="20"/>
              </w:rPr>
            </w:pPr>
            <w:r>
              <w:rPr>
                <w:spacing w:val="-2"/>
                <w:sz w:val="20"/>
              </w:rPr>
              <w:t>2,705</w:t>
            </w:r>
          </w:p>
        </w:tc>
        <w:tc>
          <w:tcPr>
            <w:tcW w:w="1313" w:type="dxa"/>
            <w:tcBorders>
              <w:top w:val="single" w:sz="8" w:space="0" w:color="000000"/>
              <w:bottom w:val="single" w:sz="8" w:space="0" w:color="000000"/>
            </w:tcBorders>
            <w:shd w:val="clear" w:color="auto" w:fill="CCEDFF"/>
          </w:tcPr>
          <w:p>
            <w:pPr>
              <w:pStyle w:val="TableParagraph"/>
              <w:spacing w:before="10"/>
              <w:ind w:right="67"/>
              <w:jc w:val="right"/>
              <w:rPr>
                <w:sz w:val="20"/>
              </w:rPr>
            </w:pPr>
            <w:r>
              <w:rPr>
                <w:spacing w:val="-2"/>
                <w:sz w:val="20"/>
              </w:rPr>
              <w:t>(14,220)</w:t>
            </w:r>
          </w:p>
        </w:tc>
        <w:tc>
          <w:tcPr>
            <w:tcW w:w="1220" w:type="dxa"/>
            <w:tcBorders>
              <w:top w:val="single" w:sz="8" w:space="0" w:color="000000"/>
              <w:bottom w:val="single" w:sz="8" w:space="0" w:color="000000"/>
            </w:tcBorders>
            <w:shd w:val="clear" w:color="auto" w:fill="CCEDFF"/>
          </w:tcPr>
          <w:p>
            <w:pPr>
              <w:pStyle w:val="TableParagraph"/>
              <w:spacing w:before="10"/>
              <w:ind w:right="76"/>
              <w:jc w:val="right"/>
              <w:rPr>
                <w:sz w:val="20"/>
              </w:rPr>
            </w:pPr>
            <w:r>
              <w:rPr>
                <w:spacing w:val="-2"/>
                <w:sz w:val="20"/>
              </w:rPr>
              <w:t>3,513,702</w:t>
            </w:r>
          </w:p>
        </w:tc>
      </w:tr>
      <w:tr>
        <w:trPr>
          <w:trHeight w:val="239" w:hRule="atLeast"/>
        </w:trPr>
        <w:tc>
          <w:tcPr>
            <w:tcW w:w="4898" w:type="dxa"/>
          </w:tcPr>
          <w:p>
            <w:pPr>
              <w:pStyle w:val="TableParagraph"/>
              <w:spacing w:line="210" w:lineRule="exact" w:before="10"/>
              <w:ind w:left="70"/>
              <w:rPr>
                <w:sz w:val="20"/>
              </w:rPr>
            </w:pPr>
            <w:r>
              <w:rPr>
                <w:sz w:val="20"/>
              </w:rPr>
              <w:t>Total</w:t>
            </w:r>
            <w:r>
              <w:rPr>
                <w:spacing w:val="-5"/>
                <w:sz w:val="20"/>
              </w:rPr>
              <w:t> </w:t>
            </w:r>
            <w:r>
              <w:rPr>
                <w:sz w:val="20"/>
              </w:rPr>
              <w:t>cash,</w:t>
            </w:r>
            <w:r>
              <w:rPr>
                <w:spacing w:val="-4"/>
                <w:sz w:val="20"/>
              </w:rPr>
              <w:t> </w:t>
            </w:r>
            <w:r>
              <w:rPr>
                <w:sz w:val="20"/>
              </w:rPr>
              <w:t>cash</w:t>
            </w:r>
            <w:r>
              <w:rPr>
                <w:spacing w:val="-4"/>
                <w:sz w:val="20"/>
              </w:rPr>
              <w:t> </w:t>
            </w:r>
            <w:r>
              <w:rPr>
                <w:sz w:val="20"/>
              </w:rPr>
              <w:t>equivalents</w:t>
            </w:r>
            <w:r>
              <w:rPr>
                <w:spacing w:val="-4"/>
                <w:sz w:val="20"/>
              </w:rPr>
              <w:t> </w:t>
            </w:r>
            <w:r>
              <w:rPr>
                <w:sz w:val="20"/>
              </w:rPr>
              <w:t>and</w:t>
            </w:r>
            <w:r>
              <w:rPr>
                <w:spacing w:val="-4"/>
                <w:sz w:val="20"/>
              </w:rPr>
              <w:t> </w:t>
            </w:r>
            <w:r>
              <w:rPr>
                <w:sz w:val="20"/>
              </w:rPr>
              <w:t>short-term</w:t>
            </w:r>
            <w:r>
              <w:rPr>
                <w:spacing w:val="-4"/>
                <w:sz w:val="20"/>
              </w:rPr>
              <w:t> </w:t>
            </w:r>
            <w:r>
              <w:rPr>
                <w:spacing w:val="-2"/>
                <w:sz w:val="20"/>
              </w:rPr>
              <w:t>investments</w:t>
            </w:r>
          </w:p>
        </w:tc>
        <w:tc>
          <w:tcPr>
            <w:tcW w:w="1548" w:type="dxa"/>
            <w:tcBorders>
              <w:top w:val="single" w:sz="8" w:space="0" w:color="000000"/>
            </w:tcBorders>
          </w:tcPr>
          <w:p>
            <w:pPr>
              <w:pStyle w:val="TableParagraph"/>
              <w:spacing w:line="210" w:lineRule="exact" w:before="10"/>
              <w:ind w:right="103"/>
              <w:jc w:val="right"/>
              <w:rPr>
                <w:sz w:val="20"/>
              </w:rPr>
            </w:pPr>
            <w:r>
              <w:rPr>
                <w:sz w:val="20"/>
              </w:rPr>
              <w:t>$</w:t>
            </w:r>
            <w:r>
              <w:rPr>
                <w:spacing w:val="36"/>
                <w:sz w:val="20"/>
              </w:rPr>
              <w:t>  </w:t>
            </w:r>
            <w:r>
              <w:rPr>
                <w:spacing w:val="-2"/>
                <w:sz w:val="20"/>
              </w:rPr>
              <w:t>5,831,289</w:t>
            </w:r>
          </w:p>
        </w:tc>
        <w:tc>
          <w:tcPr>
            <w:tcW w:w="1280" w:type="dxa"/>
            <w:tcBorders>
              <w:top w:val="single" w:sz="8" w:space="0" w:color="000000"/>
            </w:tcBorders>
          </w:tcPr>
          <w:p>
            <w:pPr>
              <w:pStyle w:val="TableParagraph"/>
              <w:tabs>
                <w:tab w:pos="622" w:val="left" w:leader="none"/>
              </w:tabs>
              <w:spacing w:line="210" w:lineRule="exact" w:before="10"/>
              <w:ind w:right="102"/>
              <w:jc w:val="right"/>
              <w:rPr>
                <w:sz w:val="20"/>
              </w:rPr>
            </w:pPr>
            <w:r>
              <w:rPr>
                <w:spacing w:val="-10"/>
                <w:sz w:val="20"/>
              </w:rPr>
              <w:t>$</w:t>
            </w:r>
            <w:r>
              <w:rPr>
                <w:sz w:val="20"/>
              </w:rPr>
              <w:tab/>
            </w:r>
            <w:r>
              <w:rPr>
                <w:spacing w:val="-2"/>
                <w:sz w:val="20"/>
              </w:rPr>
              <w:t>2,705</w:t>
            </w:r>
          </w:p>
        </w:tc>
        <w:tc>
          <w:tcPr>
            <w:tcW w:w="1313" w:type="dxa"/>
            <w:tcBorders>
              <w:top w:val="single" w:sz="8" w:space="0" w:color="000000"/>
            </w:tcBorders>
          </w:tcPr>
          <w:p>
            <w:pPr>
              <w:pStyle w:val="TableParagraph"/>
              <w:tabs>
                <w:tab w:pos="455" w:val="left" w:leader="none"/>
              </w:tabs>
              <w:spacing w:line="210" w:lineRule="exact" w:before="10"/>
              <w:ind w:right="67"/>
              <w:jc w:val="right"/>
              <w:rPr>
                <w:sz w:val="20"/>
              </w:rPr>
            </w:pPr>
            <w:r>
              <w:rPr>
                <w:spacing w:val="-10"/>
                <w:sz w:val="20"/>
              </w:rPr>
              <w:t>$</w:t>
            </w:r>
            <w:r>
              <w:rPr>
                <w:sz w:val="20"/>
              </w:rPr>
              <w:tab/>
            </w:r>
            <w:r>
              <w:rPr>
                <w:spacing w:val="-2"/>
                <w:sz w:val="20"/>
              </w:rPr>
              <w:t>(14,220)</w:t>
            </w:r>
          </w:p>
        </w:tc>
        <w:tc>
          <w:tcPr>
            <w:tcW w:w="1220" w:type="dxa"/>
            <w:tcBorders>
              <w:top w:val="single" w:sz="8" w:space="0" w:color="000000"/>
            </w:tcBorders>
          </w:tcPr>
          <w:p>
            <w:pPr>
              <w:pStyle w:val="TableParagraph"/>
              <w:spacing w:line="210" w:lineRule="exact" w:before="10"/>
              <w:ind w:right="76"/>
              <w:jc w:val="right"/>
              <w:rPr>
                <w:sz w:val="20"/>
              </w:rPr>
            </w:pPr>
            <w:r>
              <w:rPr>
                <w:sz w:val="20"/>
              </w:rPr>
              <w:t>$</w:t>
            </w:r>
            <w:r>
              <w:rPr>
                <w:spacing w:val="36"/>
                <w:sz w:val="20"/>
              </w:rPr>
              <w:t>  </w:t>
            </w:r>
            <w:r>
              <w:rPr>
                <w:spacing w:val="-2"/>
                <w:sz w:val="20"/>
              </w:rPr>
              <w:t>5,819,774</w:t>
            </w:r>
          </w:p>
        </w:tc>
      </w:tr>
    </w:tbl>
    <w:p>
      <w:pPr>
        <w:spacing w:line="60" w:lineRule="exact"/>
        <w:ind w:left="5420" w:right="0" w:firstLine="0"/>
        <w:jc w:val="left"/>
        <w:rPr>
          <w:sz w:val="6"/>
        </w:rPr>
      </w:pPr>
      <w:r>
        <w:rPr>
          <w:position w:val="0"/>
          <w:sz w:val="6"/>
        </w:rPr>
        <mc:AlternateContent>
          <mc:Choice Requires="wps">
            <w:drawing>
              <wp:inline distT="0" distB="0" distL="0" distR="0">
                <wp:extent cx="762000" cy="38100"/>
                <wp:effectExtent l="9525" t="0" r="0" b="0"/>
                <wp:docPr id="385" name="Group 385"/>
                <wp:cNvGraphicFramePr>
                  <a:graphicFrameLocks/>
                </wp:cNvGraphicFramePr>
                <a:graphic>
                  <a:graphicData uri="http://schemas.microsoft.com/office/word/2010/wordprocessingGroup">
                    <wpg:wgp>
                      <wpg:cNvPr id="385" name="Group 385"/>
                      <wpg:cNvGrpSpPr/>
                      <wpg:grpSpPr>
                        <a:xfrm>
                          <a:off x="0" y="0"/>
                          <a:ext cx="762000" cy="38100"/>
                          <a:chExt cx="762000" cy="38100"/>
                        </a:xfrm>
                      </wpg:grpSpPr>
                      <wps:wsp>
                        <wps:cNvPr id="386" name="Graphic 386"/>
                        <wps:cNvSpPr/>
                        <wps:spPr>
                          <a:xfrm>
                            <a:off x="0" y="635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3pt;mso-position-horizontal-relative:char;mso-position-vertical-relative:line" id="docshapegroup314" coordorigin="0,0" coordsize="1200,60">
                <v:shape style="position:absolute;left:0;top:10;width:1200;height:40" id="docshape315" coordorigin="0,10" coordsize="1200,40" path="m0,10l1200,10m0,50l1200,50e" filled="false" stroked="true" strokeweight="1pt" strokecolor="#000000">
                  <v:path arrowok="t"/>
                  <v:stroke dashstyle="solid"/>
                </v:shape>
              </v:group>
            </w:pict>
          </mc:Fallback>
        </mc:AlternateContent>
      </w:r>
      <w:r>
        <w:rPr>
          <w:position w:val="0"/>
          <w:sz w:val="6"/>
        </w:rPr>
      </w:r>
      <w:r>
        <w:rPr>
          <w:spacing w:val="35"/>
          <w:position w:val="0"/>
          <w:sz w:val="6"/>
        </w:rPr>
        <w:t> </w:t>
      </w:r>
      <w:r>
        <w:rPr>
          <w:spacing w:val="35"/>
          <w:position w:val="0"/>
          <w:sz w:val="6"/>
        </w:rPr>
        <mc:AlternateContent>
          <mc:Choice Requires="wps">
            <w:drawing>
              <wp:inline distT="0" distB="0" distL="0" distR="0">
                <wp:extent cx="762000" cy="38100"/>
                <wp:effectExtent l="9525" t="0" r="0" b="0"/>
                <wp:docPr id="387" name="Group 387"/>
                <wp:cNvGraphicFramePr>
                  <a:graphicFrameLocks/>
                </wp:cNvGraphicFramePr>
                <a:graphic>
                  <a:graphicData uri="http://schemas.microsoft.com/office/word/2010/wordprocessingGroup">
                    <wpg:wgp>
                      <wpg:cNvPr id="387" name="Group 387"/>
                      <wpg:cNvGrpSpPr/>
                      <wpg:grpSpPr>
                        <a:xfrm>
                          <a:off x="0" y="0"/>
                          <a:ext cx="762000" cy="38100"/>
                          <a:chExt cx="762000" cy="38100"/>
                        </a:xfrm>
                      </wpg:grpSpPr>
                      <wps:wsp>
                        <wps:cNvPr id="388" name="Graphic 388"/>
                        <wps:cNvSpPr/>
                        <wps:spPr>
                          <a:xfrm>
                            <a:off x="0" y="635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3pt;mso-position-horizontal-relative:char;mso-position-vertical-relative:line" id="docshapegroup316" coordorigin="0,0" coordsize="1200,60">
                <v:shape style="position:absolute;left:0;top:10;width:1200;height:40" id="docshape317" coordorigin="0,10" coordsize="1200,40" path="m0,10l1200,10m0,50l1200,50e" filled="false" stroked="true" strokeweight="1pt" strokecolor="#000000">
                  <v:path arrowok="t"/>
                  <v:stroke dashstyle="solid"/>
                </v:shape>
              </v:group>
            </w:pict>
          </mc:Fallback>
        </mc:AlternateContent>
      </w:r>
      <w:r>
        <w:rPr>
          <w:spacing w:val="35"/>
          <w:position w:val="0"/>
          <w:sz w:val="6"/>
        </w:rPr>
      </w:r>
      <w:r>
        <w:rPr>
          <w:spacing w:val="35"/>
          <w:position w:val="0"/>
          <w:sz w:val="6"/>
        </w:rPr>
        <w:t> </w:t>
      </w:r>
      <w:r>
        <w:rPr>
          <w:spacing w:val="35"/>
          <w:position w:val="0"/>
          <w:sz w:val="6"/>
        </w:rPr>
        <mc:AlternateContent>
          <mc:Choice Requires="wps">
            <w:drawing>
              <wp:inline distT="0" distB="0" distL="0" distR="0">
                <wp:extent cx="762000" cy="38100"/>
                <wp:effectExtent l="9525" t="0" r="0" b="0"/>
                <wp:docPr id="389" name="Group 389"/>
                <wp:cNvGraphicFramePr>
                  <a:graphicFrameLocks/>
                </wp:cNvGraphicFramePr>
                <a:graphic>
                  <a:graphicData uri="http://schemas.microsoft.com/office/word/2010/wordprocessingGroup">
                    <wpg:wgp>
                      <wpg:cNvPr id="389" name="Group 389"/>
                      <wpg:cNvGrpSpPr/>
                      <wpg:grpSpPr>
                        <a:xfrm>
                          <a:off x="0" y="0"/>
                          <a:ext cx="762000" cy="38100"/>
                          <a:chExt cx="762000" cy="38100"/>
                        </a:xfrm>
                      </wpg:grpSpPr>
                      <wps:wsp>
                        <wps:cNvPr id="390" name="Graphic 390"/>
                        <wps:cNvSpPr/>
                        <wps:spPr>
                          <a:xfrm>
                            <a:off x="0" y="635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3pt;mso-position-horizontal-relative:char;mso-position-vertical-relative:line" id="docshapegroup318" coordorigin="0,0" coordsize="1200,60">
                <v:shape style="position:absolute;left:0;top:10;width:1200;height:40" id="docshape319" coordorigin="0,10" coordsize="1200,40" path="m0,10l1200,10m0,50l1200,50e" filled="false" stroked="true" strokeweight="1pt" strokecolor="#000000">
                  <v:path arrowok="t"/>
                  <v:stroke dashstyle="solid"/>
                </v:shape>
              </v:group>
            </w:pict>
          </mc:Fallback>
        </mc:AlternateContent>
      </w:r>
      <w:r>
        <w:rPr>
          <w:spacing w:val="35"/>
          <w:position w:val="0"/>
          <w:sz w:val="6"/>
        </w:rPr>
      </w:r>
      <w:r>
        <w:rPr>
          <w:spacing w:val="35"/>
          <w:position w:val="0"/>
          <w:sz w:val="6"/>
        </w:rPr>
        <w:t> </w:t>
      </w:r>
      <w:r>
        <w:rPr>
          <w:spacing w:val="35"/>
          <w:position w:val="0"/>
          <w:sz w:val="6"/>
        </w:rPr>
        <mc:AlternateContent>
          <mc:Choice Requires="wps">
            <w:drawing>
              <wp:inline distT="0" distB="0" distL="0" distR="0">
                <wp:extent cx="762000" cy="38100"/>
                <wp:effectExtent l="9525" t="0" r="0" b="0"/>
                <wp:docPr id="391" name="Group 391"/>
                <wp:cNvGraphicFramePr>
                  <a:graphicFrameLocks/>
                </wp:cNvGraphicFramePr>
                <a:graphic>
                  <a:graphicData uri="http://schemas.microsoft.com/office/word/2010/wordprocessingGroup">
                    <wpg:wgp>
                      <wpg:cNvPr id="391" name="Group 391"/>
                      <wpg:cNvGrpSpPr/>
                      <wpg:grpSpPr>
                        <a:xfrm>
                          <a:off x="0" y="0"/>
                          <a:ext cx="762000" cy="38100"/>
                          <a:chExt cx="762000" cy="38100"/>
                        </a:xfrm>
                      </wpg:grpSpPr>
                      <wps:wsp>
                        <wps:cNvPr id="392" name="Graphic 392"/>
                        <wps:cNvSpPr/>
                        <wps:spPr>
                          <a:xfrm>
                            <a:off x="0" y="635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3pt;mso-position-horizontal-relative:char;mso-position-vertical-relative:line" id="docshapegroup320" coordorigin="0,0" coordsize="1200,60">
                <v:shape style="position:absolute;left:0;top:10;width:1200;height:40" id="docshape321" coordorigin="0,10" coordsize="1200,40" path="m0,10l1200,10m0,50l1200,50e" filled="false" stroked="true" strokeweight="1pt" strokecolor="#000000">
                  <v:path arrowok="t"/>
                  <v:stroke dashstyle="solid"/>
                </v:shape>
              </v:group>
            </w:pict>
          </mc:Fallback>
        </mc:AlternateContent>
      </w:r>
      <w:r>
        <w:rPr>
          <w:spacing w:val="35"/>
          <w:position w:val="0"/>
          <w:sz w:val="6"/>
        </w:rPr>
      </w:r>
    </w:p>
    <w:p>
      <w:pPr>
        <w:pStyle w:val="BodyText"/>
        <w:spacing w:before="224"/>
      </w:pPr>
    </w:p>
    <w:p>
      <w:pPr>
        <w:pStyle w:val="BodyText"/>
        <w:ind w:left="760"/>
      </w:pPr>
      <w:r>
        <w:rPr/>
        <w:t>Cash,</w:t>
      </w:r>
      <w:r>
        <w:rPr>
          <w:spacing w:val="-2"/>
        </w:rPr>
        <w:t> </w:t>
      </w:r>
      <w:r>
        <w:rPr/>
        <w:t>cash</w:t>
      </w:r>
      <w:r>
        <w:rPr>
          <w:spacing w:val="-1"/>
        </w:rPr>
        <w:t> </w:t>
      </w:r>
      <w:r>
        <w:rPr/>
        <w:t>equivalents</w:t>
      </w:r>
      <w:r>
        <w:rPr>
          <w:spacing w:val="-1"/>
        </w:rPr>
        <w:t> </w:t>
      </w:r>
      <w:r>
        <w:rPr/>
        <w:t>and</w:t>
      </w:r>
      <w:r>
        <w:rPr>
          <w:spacing w:val="-2"/>
        </w:rPr>
        <w:t> </w:t>
      </w:r>
      <w:r>
        <w:rPr/>
        <w:t>short-term</w:t>
      </w:r>
      <w:r>
        <w:rPr>
          <w:spacing w:val="-2"/>
        </w:rPr>
        <w:t> </w:t>
      </w:r>
      <w:r>
        <w:rPr/>
        <w:t>investments</w:t>
      </w:r>
      <w:r>
        <w:rPr>
          <w:spacing w:val="-1"/>
        </w:rPr>
        <w:t> </w:t>
      </w:r>
      <w:r>
        <w:rPr/>
        <w:t>consisted</w:t>
      </w:r>
      <w:r>
        <w:rPr>
          <w:spacing w:val="-3"/>
        </w:rPr>
        <w:t> </w:t>
      </w:r>
      <w:r>
        <w:rPr/>
        <w:t>of</w:t>
      </w:r>
      <w:r>
        <w:rPr>
          <w:spacing w:val="-1"/>
        </w:rPr>
        <w:t> </w:t>
      </w:r>
      <w:r>
        <w:rPr/>
        <w:t>the</w:t>
      </w:r>
      <w:r>
        <w:rPr>
          <w:spacing w:val="-1"/>
        </w:rPr>
        <w:t> </w:t>
      </w:r>
      <w:r>
        <w:rPr/>
        <w:t>following</w:t>
      </w:r>
      <w:r>
        <w:rPr>
          <w:spacing w:val="-2"/>
        </w:rPr>
        <w:t> </w:t>
      </w:r>
      <w:r>
        <w:rPr/>
        <w:t>as</w:t>
      </w:r>
      <w:r>
        <w:rPr>
          <w:spacing w:val="-1"/>
        </w:rPr>
        <w:t> </w:t>
      </w:r>
      <w:r>
        <w:rPr/>
        <w:t>of</w:t>
      </w:r>
      <w:r>
        <w:rPr>
          <w:spacing w:val="-1"/>
        </w:rPr>
        <w:t> </w:t>
      </w:r>
      <w:r>
        <w:rPr/>
        <w:t>December</w:t>
      </w:r>
      <w:r>
        <w:rPr>
          <w:spacing w:val="-2"/>
        </w:rPr>
        <w:t> </w:t>
      </w:r>
      <w:r>
        <w:rPr/>
        <w:t>2,</w:t>
      </w:r>
      <w:r>
        <w:rPr>
          <w:spacing w:val="-2"/>
        </w:rPr>
        <w:t> </w:t>
      </w:r>
      <w:r>
        <w:rPr/>
        <w:t>2016</w:t>
      </w:r>
      <w:r>
        <w:rPr>
          <w:spacing w:val="-1"/>
        </w:rPr>
        <w:t> </w:t>
      </w:r>
      <w:r>
        <w:rPr/>
        <w:t>(in</w:t>
      </w:r>
      <w:r>
        <w:rPr>
          <w:spacing w:val="-1"/>
        </w:rPr>
        <w:t> </w:t>
      </w:r>
      <w:r>
        <w:rPr>
          <w:spacing w:val="-2"/>
        </w:rPr>
        <w:t>thousands):</w:t>
      </w:r>
    </w:p>
    <w:p>
      <w:pPr>
        <w:spacing w:after="0"/>
        <w:sectPr>
          <w:type w:val="continuous"/>
          <w:pgSz w:w="12240" w:h="15840"/>
          <w:pgMar w:header="210" w:footer="610" w:top="680" w:bottom="280" w:left="780" w:right="740"/>
        </w:sectPr>
      </w:pPr>
    </w:p>
    <w:p>
      <w:pPr>
        <w:pStyle w:val="BodyText"/>
      </w:pPr>
    </w:p>
    <w:p>
      <w:pPr>
        <w:pStyle w:val="BodyText"/>
        <w:spacing w:before="146"/>
      </w:pPr>
    </w:p>
    <w:p>
      <w:pPr>
        <w:pStyle w:val="BodyText"/>
        <w:spacing w:before="1"/>
        <w:ind w:left="260"/>
      </w:pPr>
      <w:r>
        <w:rPr/>
        <w:t>Current </w:t>
      </w:r>
      <w:r>
        <w:rPr>
          <w:spacing w:val="-2"/>
        </w:rPr>
        <w:t>assets:</w:t>
      </w:r>
    </w:p>
    <w:p>
      <w:pPr>
        <w:spacing w:line="240" w:lineRule="auto" w:before="28"/>
        <w:rPr>
          <w:sz w:val="16"/>
        </w:rPr>
      </w:pPr>
      <w:r>
        <w:rPr/>
        <w:br w:type="column"/>
      </w:r>
      <w:r>
        <w:rPr>
          <w:sz w:val="16"/>
        </w:rPr>
      </w:r>
    </w:p>
    <w:p>
      <w:pPr>
        <w:spacing w:line="208" w:lineRule="auto" w:before="0"/>
        <w:ind w:left="468" w:right="38" w:hanging="209"/>
        <w:jc w:val="left"/>
        <w:rPr>
          <w:b/>
          <w:sz w:val="16"/>
        </w:rPr>
      </w:pPr>
      <w:r>
        <w:rPr/>
        <mc:AlternateContent>
          <mc:Choice Requires="wps">
            <w:drawing>
              <wp:anchor distT="0" distB="0" distL="0" distR="0" allowOverlap="1" layoutInCell="1" locked="0" behindDoc="0" simplePos="0" relativeHeight="15795712">
                <wp:simplePos x="0" y="0"/>
                <wp:positionH relativeFrom="page">
                  <wp:posOffset>3930650</wp:posOffset>
                </wp:positionH>
                <wp:positionV relativeFrom="paragraph">
                  <wp:posOffset>238159</wp:posOffset>
                </wp:positionV>
                <wp:extent cx="762000" cy="127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309.5pt,18.752735pt" to="369.5pt,18.752735pt" stroked="true" strokeweight="1pt" strokecolor="#000000">
                <v:stroke dashstyle="solid"/>
                <w10:wrap type="none"/>
              </v:line>
            </w:pict>
          </mc:Fallback>
        </mc:AlternateContent>
      </w:r>
      <w:r>
        <w:rPr>
          <w:b/>
          <w:spacing w:val="-2"/>
          <w:sz w:val="16"/>
        </w:rPr>
        <w:t>Amortized</w:t>
      </w:r>
      <w:r>
        <w:rPr>
          <w:b/>
          <w:spacing w:val="40"/>
          <w:sz w:val="16"/>
        </w:rPr>
        <w:t> </w:t>
      </w:r>
      <w:r>
        <w:rPr>
          <w:b/>
          <w:spacing w:val="-4"/>
          <w:sz w:val="16"/>
        </w:rPr>
        <w:t>Cost</w:t>
      </w:r>
    </w:p>
    <w:p>
      <w:pPr>
        <w:spacing w:line="240" w:lineRule="auto" w:before="28"/>
        <w:rPr>
          <w:b/>
          <w:sz w:val="16"/>
        </w:rPr>
      </w:pPr>
      <w:r>
        <w:rPr/>
        <w:br w:type="column"/>
      </w:r>
      <w:r>
        <w:rPr>
          <w:b/>
          <w:sz w:val="16"/>
        </w:rPr>
      </w:r>
    </w:p>
    <w:p>
      <w:pPr>
        <w:spacing w:line="208" w:lineRule="auto" w:before="0"/>
        <w:ind w:left="431" w:right="37" w:hanging="171"/>
        <w:jc w:val="left"/>
        <w:rPr>
          <w:b/>
          <w:sz w:val="16"/>
        </w:rPr>
      </w:pPr>
      <w:r>
        <w:rPr/>
        <mc:AlternateContent>
          <mc:Choice Requires="wps">
            <w:drawing>
              <wp:anchor distT="0" distB="0" distL="0" distR="0" allowOverlap="1" layoutInCell="1" locked="0" behindDoc="0" simplePos="0" relativeHeight="15796224">
                <wp:simplePos x="0" y="0"/>
                <wp:positionH relativeFrom="page">
                  <wp:posOffset>4743450</wp:posOffset>
                </wp:positionH>
                <wp:positionV relativeFrom="paragraph">
                  <wp:posOffset>238159</wp:posOffset>
                </wp:positionV>
                <wp:extent cx="762000"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373.5pt,18.752735pt" to="433.5pt,18.752735pt" stroked="true" strokeweight="1pt" strokecolor="#000000">
                <v:stroke dashstyle="solid"/>
                <w10:wrap type="none"/>
              </v:line>
            </w:pict>
          </mc:Fallback>
        </mc:AlternateContent>
      </w:r>
      <w:r>
        <w:rPr>
          <w:b/>
          <w:spacing w:val="-2"/>
          <w:sz w:val="16"/>
        </w:rPr>
        <w:t>Unrealized</w:t>
      </w:r>
      <w:r>
        <w:rPr>
          <w:b/>
          <w:spacing w:val="40"/>
          <w:sz w:val="16"/>
        </w:rPr>
        <w:t> </w:t>
      </w:r>
      <w:r>
        <w:rPr>
          <w:b/>
          <w:spacing w:val="-2"/>
          <w:sz w:val="16"/>
        </w:rPr>
        <w:t>Gains</w:t>
      </w:r>
    </w:p>
    <w:p>
      <w:pPr>
        <w:spacing w:line="240" w:lineRule="auto" w:before="28"/>
        <w:rPr>
          <w:b/>
          <w:sz w:val="16"/>
        </w:rPr>
      </w:pPr>
      <w:r>
        <w:rPr/>
        <w:br w:type="column"/>
      </w:r>
      <w:r>
        <w:rPr>
          <w:b/>
          <w:sz w:val="16"/>
        </w:rPr>
      </w:r>
    </w:p>
    <w:p>
      <w:pPr>
        <w:spacing w:line="208" w:lineRule="auto" w:before="0"/>
        <w:ind w:left="409" w:right="37" w:hanging="149"/>
        <w:jc w:val="left"/>
        <w:rPr>
          <w:b/>
          <w:sz w:val="16"/>
        </w:rPr>
      </w:pPr>
      <w:r>
        <w:rPr/>
        <mc:AlternateContent>
          <mc:Choice Requires="wps">
            <w:drawing>
              <wp:anchor distT="0" distB="0" distL="0" distR="0" allowOverlap="1" layoutInCell="1" locked="0" behindDoc="0" simplePos="0" relativeHeight="15796736">
                <wp:simplePos x="0" y="0"/>
                <wp:positionH relativeFrom="page">
                  <wp:posOffset>5556250</wp:posOffset>
                </wp:positionH>
                <wp:positionV relativeFrom="paragraph">
                  <wp:posOffset>238159</wp:posOffset>
                </wp:positionV>
                <wp:extent cx="762000"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437.5pt,18.752735pt" to="497.5pt,18.752735pt" stroked="true" strokeweight="1pt" strokecolor="#000000">
                <v:stroke dashstyle="solid"/>
                <w10:wrap type="none"/>
              </v:line>
            </w:pict>
          </mc:Fallback>
        </mc:AlternateContent>
      </w:r>
      <w:r>
        <w:rPr>
          <w:b/>
          <w:spacing w:val="-2"/>
          <w:sz w:val="16"/>
        </w:rPr>
        <w:t>Unrealized</w:t>
      </w:r>
      <w:r>
        <w:rPr>
          <w:b/>
          <w:spacing w:val="40"/>
          <w:sz w:val="16"/>
        </w:rPr>
        <w:t> </w:t>
      </w:r>
      <w:r>
        <w:rPr>
          <w:b/>
          <w:spacing w:val="-2"/>
          <w:sz w:val="16"/>
        </w:rPr>
        <w:t>Losses</w:t>
      </w:r>
    </w:p>
    <w:p>
      <w:pPr>
        <w:spacing w:line="240" w:lineRule="auto" w:before="28"/>
        <w:rPr>
          <w:b/>
          <w:sz w:val="16"/>
        </w:rPr>
      </w:pPr>
      <w:r>
        <w:rPr/>
        <w:br w:type="column"/>
      </w:r>
      <w:r>
        <w:rPr>
          <w:b/>
          <w:sz w:val="16"/>
        </w:rPr>
      </w:r>
    </w:p>
    <w:p>
      <w:pPr>
        <w:spacing w:line="208" w:lineRule="auto" w:before="0"/>
        <w:ind w:left="260" w:right="519" w:firstLine="10"/>
        <w:jc w:val="left"/>
        <w:rPr>
          <w:b/>
          <w:sz w:val="16"/>
        </w:rPr>
      </w:pPr>
      <w:r>
        <w:rPr>
          <w:b/>
          <w:spacing w:val="-2"/>
          <w:sz w:val="16"/>
        </w:rPr>
        <w:t>Estimated</w:t>
      </w:r>
      <w:r>
        <w:rPr>
          <w:b/>
          <w:spacing w:val="40"/>
          <w:sz w:val="16"/>
        </w:rPr>
        <w:t> </w:t>
      </w:r>
      <w:r>
        <w:rPr>
          <w:b/>
          <w:sz w:val="16"/>
        </w:rPr>
        <w:t>Fair</w:t>
      </w:r>
      <w:r>
        <w:rPr>
          <w:b/>
          <w:spacing w:val="-6"/>
          <w:sz w:val="16"/>
        </w:rPr>
        <w:t> </w:t>
      </w:r>
      <w:r>
        <w:rPr>
          <w:b/>
          <w:spacing w:val="-6"/>
          <w:sz w:val="16"/>
        </w:rPr>
        <w:t>Value</w:t>
      </w:r>
    </w:p>
    <w:p>
      <w:pPr>
        <w:pStyle w:val="BodyText"/>
        <w:spacing w:before="8"/>
        <w:rPr>
          <w:b/>
          <w:sz w:val="4"/>
        </w:rPr>
      </w:pPr>
    </w:p>
    <w:p>
      <w:pPr>
        <w:pStyle w:val="BodyText"/>
        <w:spacing w:line="20" w:lineRule="exact"/>
        <w:ind w:left="27"/>
        <w:rPr>
          <w:sz w:val="2"/>
        </w:rPr>
      </w:pPr>
      <w:r>
        <w:rPr>
          <w:sz w:val="2"/>
        </w:rPr>
        <mc:AlternateContent>
          <mc:Choice Requires="wps">
            <w:drawing>
              <wp:inline distT="0" distB="0" distL="0" distR="0">
                <wp:extent cx="762000" cy="12700"/>
                <wp:effectExtent l="9525" t="0" r="0" b="6350"/>
                <wp:docPr id="396" name="Group 396"/>
                <wp:cNvGraphicFramePr>
                  <a:graphicFrameLocks/>
                </wp:cNvGraphicFramePr>
                <a:graphic>
                  <a:graphicData uri="http://schemas.microsoft.com/office/word/2010/wordprocessingGroup">
                    <wpg:wgp>
                      <wpg:cNvPr id="396" name="Group 396"/>
                      <wpg:cNvGrpSpPr/>
                      <wpg:grpSpPr>
                        <a:xfrm>
                          <a:off x="0" y="0"/>
                          <a:ext cx="762000" cy="12700"/>
                          <a:chExt cx="762000" cy="12700"/>
                        </a:xfrm>
                      </wpg:grpSpPr>
                      <wps:wsp>
                        <wps:cNvPr id="397" name="Graphic 397"/>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322" coordorigin="0,0" coordsize="1200,20">
                <v:line style="position:absolute" from="0,10" to="1200,10" stroked="true" strokeweight="1pt" strokecolor="#000000">
                  <v:stroke dashstyle="solid"/>
                </v:line>
              </v:group>
            </w:pict>
          </mc:Fallback>
        </mc:AlternateContent>
      </w:r>
      <w:r>
        <w:rPr>
          <w:sz w:val="2"/>
        </w:rPr>
      </w:r>
    </w:p>
    <w:p>
      <w:pPr>
        <w:spacing w:after="0" w:line="20" w:lineRule="exact"/>
        <w:rPr>
          <w:sz w:val="2"/>
        </w:rPr>
        <w:sectPr>
          <w:type w:val="continuous"/>
          <w:pgSz w:w="12240" w:h="15840"/>
          <w:pgMar w:header="210" w:footer="610" w:top="680" w:bottom="280" w:left="780" w:right="740"/>
          <w:cols w:num="5" w:equalWidth="0">
            <w:col w:w="1484" w:space="3891"/>
            <w:col w:w="1029" w:space="244"/>
            <w:col w:w="1044" w:space="236"/>
            <w:col w:w="1044" w:space="251"/>
            <w:col w:w="1497"/>
          </w:cols>
        </w:sectPr>
      </w:pPr>
    </w:p>
    <w:p>
      <w:pPr>
        <w:pStyle w:val="BodyText"/>
        <w:spacing w:before="4"/>
        <w:rPr>
          <w:b/>
          <w:sz w:val="4"/>
        </w:rPr>
      </w:pPr>
    </w:p>
    <w:p>
      <w:pPr>
        <w:pStyle w:val="BodyText"/>
        <w:ind w:left="210"/>
      </w:pPr>
      <w:r>
        <w:rPr/>
        <mc:AlternateContent>
          <mc:Choice Requires="wps">
            <w:drawing>
              <wp:inline distT="0" distB="0" distL="0" distR="0">
                <wp:extent cx="6515100" cy="196850"/>
                <wp:effectExtent l="0" t="0" r="0" b="3175"/>
                <wp:docPr id="398" name="Group 398"/>
                <wp:cNvGraphicFramePr>
                  <a:graphicFrameLocks/>
                </wp:cNvGraphicFramePr>
                <a:graphic>
                  <a:graphicData uri="http://schemas.microsoft.com/office/word/2010/wordprocessingGroup">
                    <wpg:wgp>
                      <wpg:cNvPr id="398" name="Group 398"/>
                      <wpg:cNvGrpSpPr/>
                      <wpg:grpSpPr>
                        <a:xfrm>
                          <a:off x="0" y="0"/>
                          <a:ext cx="6515100" cy="196850"/>
                          <a:chExt cx="6515100" cy="196850"/>
                        </a:xfrm>
                      </wpg:grpSpPr>
                      <wps:wsp>
                        <wps:cNvPr id="399" name="Graphic 399"/>
                        <wps:cNvSpPr/>
                        <wps:spPr>
                          <a:xfrm>
                            <a:off x="3302000" y="184149"/>
                            <a:ext cx="3200400" cy="12700"/>
                          </a:xfrm>
                          <a:custGeom>
                            <a:avLst/>
                            <a:gdLst/>
                            <a:ahLst/>
                            <a:cxnLst/>
                            <a:rect l="l" t="t" r="r" b="b"/>
                            <a:pathLst>
                              <a:path w="3200400" h="12700">
                                <a:moveTo>
                                  <a:pt x="762000" y="0"/>
                                </a:moveTo>
                                <a:lnTo>
                                  <a:pt x="0" y="0"/>
                                </a:lnTo>
                                <a:lnTo>
                                  <a:pt x="0" y="12700"/>
                                </a:lnTo>
                                <a:lnTo>
                                  <a:pt x="762000" y="12700"/>
                                </a:lnTo>
                                <a:lnTo>
                                  <a:pt x="762000" y="0"/>
                                </a:lnTo>
                                <a:close/>
                              </a:path>
                              <a:path w="3200400" h="12700">
                                <a:moveTo>
                                  <a:pt x="1574800" y="0"/>
                                </a:moveTo>
                                <a:lnTo>
                                  <a:pt x="812800" y="0"/>
                                </a:lnTo>
                                <a:lnTo>
                                  <a:pt x="812800" y="12700"/>
                                </a:lnTo>
                                <a:lnTo>
                                  <a:pt x="1574800" y="12700"/>
                                </a:lnTo>
                                <a:lnTo>
                                  <a:pt x="1574800" y="0"/>
                                </a:lnTo>
                                <a:close/>
                              </a:path>
                              <a:path w="3200400" h="12700">
                                <a:moveTo>
                                  <a:pt x="2387600" y="0"/>
                                </a:moveTo>
                                <a:lnTo>
                                  <a:pt x="1625600" y="0"/>
                                </a:lnTo>
                                <a:lnTo>
                                  <a:pt x="1625600" y="12700"/>
                                </a:lnTo>
                                <a:lnTo>
                                  <a:pt x="2387600" y="12700"/>
                                </a:lnTo>
                                <a:lnTo>
                                  <a:pt x="2387600" y="0"/>
                                </a:lnTo>
                                <a:close/>
                              </a:path>
                              <a:path w="3200400" h="12700">
                                <a:moveTo>
                                  <a:pt x="3200400" y="0"/>
                                </a:moveTo>
                                <a:lnTo>
                                  <a:pt x="2438400" y="0"/>
                                </a:lnTo>
                                <a:lnTo>
                                  <a:pt x="2438400" y="12700"/>
                                </a:lnTo>
                                <a:lnTo>
                                  <a:pt x="3200400" y="12700"/>
                                </a:lnTo>
                                <a:lnTo>
                                  <a:pt x="3200400" y="0"/>
                                </a:lnTo>
                                <a:close/>
                              </a:path>
                            </a:pathLst>
                          </a:custGeom>
                          <a:solidFill>
                            <a:srgbClr val="000000"/>
                          </a:solidFill>
                        </wps:spPr>
                        <wps:bodyPr wrap="square" lIns="0" tIns="0" rIns="0" bIns="0" rtlCol="0">
                          <a:prstTxWarp prst="textNoShape">
                            <a:avLst/>
                          </a:prstTxWarp>
                          <a:noAutofit/>
                        </wps:bodyPr>
                      </wps:wsp>
                      <wps:wsp>
                        <wps:cNvPr id="400" name="Textbox 400"/>
                        <wps:cNvSpPr txBox="1"/>
                        <wps:spPr>
                          <a:xfrm>
                            <a:off x="0" y="0"/>
                            <a:ext cx="6515100" cy="190500"/>
                          </a:xfrm>
                          <a:prstGeom prst="rect">
                            <a:avLst/>
                          </a:prstGeom>
                          <a:solidFill>
                            <a:srgbClr val="CCEDFF"/>
                          </a:solidFill>
                        </wps:spPr>
                        <wps:txbx>
                          <w:txbxContent>
                            <w:p>
                              <w:pPr>
                                <w:tabs>
                                  <w:tab w:pos="5249" w:val="left" w:leader="none"/>
                                  <w:tab w:pos="5672" w:val="left" w:leader="none"/>
                                  <w:tab w:pos="6529" w:val="left" w:leader="none"/>
                                  <w:tab w:pos="7402" w:val="left" w:leader="none"/>
                                  <w:tab w:pos="7809" w:val="left" w:leader="none"/>
                                  <w:tab w:pos="8682" w:val="left" w:leader="none"/>
                                  <w:tab w:pos="9089" w:val="left" w:leader="none"/>
                                  <w:tab w:pos="9512" w:val="left" w:leader="none"/>
                                </w:tabs>
                                <w:spacing w:before="20"/>
                                <w:ind w:left="170" w:right="0" w:firstLine="0"/>
                                <w:jc w:val="left"/>
                                <w:rPr>
                                  <w:color w:val="000000"/>
                                  <w:sz w:val="20"/>
                                </w:rPr>
                              </w:pPr>
                              <w:r>
                                <w:rPr>
                                  <w:color w:val="000000"/>
                                  <w:spacing w:val="-4"/>
                                  <w:sz w:val="20"/>
                                </w:rPr>
                                <w:t>Cash</w:t>
                              </w:r>
                              <w:r>
                                <w:rPr>
                                  <w:color w:val="000000"/>
                                  <w:sz w:val="20"/>
                                </w:rPr>
                                <w:tab/>
                              </w:r>
                              <w:r>
                                <w:rPr>
                                  <w:color w:val="000000"/>
                                  <w:spacing w:val="-10"/>
                                  <w:sz w:val="20"/>
                                </w:rPr>
                                <w:t>$</w:t>
                              </w:r>
                              <w:r>
                                <w:rPr>
                                  <w:color w:val="000000"/>
                                  <w:sz w:val="20"/>
                                </w:rPr>
                                <w:tab/>
                              </w:r>
                              <w:r>
                                <w:rPr>
                                  <w:color w:val="000000"/>
                                  <w:spacing w:val="-2"/>
                                  <w:sz w:val="20"/>
                                </w:rPr>
                                <w:t>208,635</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2"/>
                                  <w:sz w:val="20"/>
                                </w:rPr>
                                <w:t>208,635</w:t>
                              </w:r>
                            </w:p>
                          </w:txbxContent>
                        </wps:txbx>
                        <wps:bodyPr wrap="square" lIns="0" tIns="0" rIns="0" bIns="0" rtlCol="0">
                          <a:noAutofit/>
                        </wps:bodyPr>
                      </wps:wsp>
                    </wpg:wgp>
                  </a:graphicData>
                </a:graphic>
              </wp:inline>
            </w:drawing>
          </mc:Choice>
          <mc:Fallback>
            <w:pict>
              <v:group style="width:513pt;height:15.5pt;mso-position-horizontal-relative:char;mso-position-vertical-relative:line" id="docshapegroup323" coordorigin="0,0" coordsize="10260,310">
                <v:shape style="position:absolute;left:5200;top:290;width:5040;height:20" id="docshape324" coordorigin="5200,290" coordsize="5040,20" path="m6400,290l5200,290,5200,310,6400,310,6400,290xm7680,290l6480,290,6480,310,7680,310,7680,290xm8960,290l7760,290,7760,310,8960,310,8960,290xm10240,290l9040,290,9040,310,10240,310,10240,290xe" filled="true" fillcolor="#000000" stroked="false">
                  <v:path arrowok="t"/>
                  <v:fill type="solid"/>
                </v:shape>
                <v:shape style="position:absolute;left:0;top:0;width:10260;height:300" type="#_x0000_t202" id="docshape325" filled="true" fillcolor="#ccedff" stroked="false">
                  <v:textbox inset="0,0,0,0">
                    <w:txbxContent>
                      <w:p>
                        <w:pPr>
                          <w:tabs>
                            <w:tab w:pos="5249" w:val="left" w:leader="none"/>
                            <w:tab w:pos="5672" w:val="left" w:leader="none"/>
                            <w:tab w:pos="6529" w:val="left" w:leader="none"/>
                            <w:tab w:pos="7402" w:val="left" w:leader="none"/>
                            <w:tab w:pos="7809" w:val="left" w:leader="none"/>
                            <w:tab w:pos="8682" w:val="left" w:leader="none"/>
                            <w:tab w:pos="9089" w:val="left" w:leader="none"/>
                            <w:tab w:pos="9512" w:val="left" w:leader="none"/>
                          </w:tabs>
                          <w:spacing w:before="20"/>
                          <w:ind w:left="170" w:right="0" w:firstLine="0"/>
                          <w:jc w:val="left"/>
                          <w:rPr>
                            <w:color w:val="000000"/>
                            <w:sz w:val="20"/>
                          </w:rPr>
                        </w:pPr>
                        <w:r>
                          <w:rPr>
                            <w:color w:val="000000"/>
                            <w:spacing w:val="-4"/>
                            <w:sz w:val="20"/>
                          </w:rPr>
                          <w:t>Cash</w:t>
                        </w:r>
                        <w:r>
                          <w:rPr>
                            <w:color w:val="000000"/>
                            <w:sz w:val="20"/>
                          </w:rPr>
                          <w:tab/>
                        </w:r>
                        <w:r>
                          <w:rPr>
                            <w:color w:val="000000"/>
                            <w:spacing w:val="-10"/>
                            <w:sz w:val="20"/>
                          </w:rPr>
                          <w:t>$</w:t>
                        </w:r>
                        <w:r>
                          <w:rPr>
                            <w:color w:val="000000"/>
                            <w:sz w:val="20"/>
                          </w:rPr>
                          <w:tab/>
                        </w:r>
                        <w:r>
                          <w:rPr>
                            <w:color w:val="000000"/>
                            <w:spacing w:val="-2"/>
                            <w:sz w:val="20"/>
                          </w:rPr>
                          <w:t>208,635</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2"/>
                            <w:sz w:val="20"/>
                          </w:rPr>
                          <w:t>208,635</w:t>
                        </w:r>
                      </w:p>
                    </w:txbxContent>
                  </v:textbox>
                  <v:fill type="solid"/>
                  <w10:wrap type="none"/>
                </v:shape>
              </v:group>
            </w:pict>
          </mc:Fallback>
        </mc:AlternateContent>
      </w:r>
      <w:r>
        <w:rPr/>
      </w:r>
    </w:p>
    <w:p>
      <w:pPr>
        <w:pStyle w:val="BodyText"/>
        <w:spacing w:after="30"/>
        <w:ind w:left="380"/>
      </w:pPr>
      <w:r>
        <w:rPr/>
        <w:t>Cash </w:t>
      </w:r>
      <w:r>
        <w:rPr>
          <w:spacing w:val="-2"/>
        </w:rPr>
        <w:t>equivalents:</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8"/>
        <w:gridCol w:w="1548"/>
        <w:gridCol w:w="1280"/>
        <w:gridCol w:w="1313"/>
        <w:gridCol w:w="1240"/>
      </w:tblGrid>
      <w:tr>
        <w:trPr>
          <w:trHeight w:val="300" w:hRule="atLeast"/>
        </w:trPr>
        <w:tc>
          <w:tcPr>
            <w:tcW w:w="4878" w:type="dxa"/>
            <w:shd w:val="clear" w:color="auto" w:fill="CCEDFF"/>
          </w:tcPr>
          <w:p>
            <w:pPr>
              <w:pStyle w:val="TableParagraph"/>
              <w:spacing w:before="20"/>
              <w:ind w:left="410"/>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548" w:type="dxa"/>
            <w:shd w:val="clear" w:color="auto" w:fill="CCEDFF"/>
          </w:tcPr>
          <w:p>
            <w:pPr>
              <w:pStyle w:val="TableParagraph"/>
              <w:spacing w:before="20"/>
              <w:ind w:right="102"/>
              <w:jc w:val="right"/>
              <w:rPr>
                <w:sz w:val="20"/>
              </w:rPr>
            </w:pPr>
            <w:r>
              <w:rPr>
                <w:spacing w:val="-2"/>
                <w:sz w:val="20"/>
              </w:rPr>
              <w:t>1,249</w:t>
            </w:r>
          </w:p>
        </w:tc>
        <w:tc>
          <w:tcPr>
            <w:tcW w:w="1280" w:type="dxa"/>
            <w:shd w:val="clear" w:color="auto" w:fill="CCEDFF"/>
          </w:tcPr>
          <w:p>
            <w:pPr>
              <w:pStyle w:val="TableParagraph"/>
              <w:spacing w:before="20"/>
              <w:ind w:right="102"/>
              <w:jc w:val="right"/>
              <w:rPr>
                <w:sz w:val="20"/>
              </w:rPr>
            </w:pPr>
            <w:r>
              <w:rPr>
                <w:spacing w:val="-10"/>
                <w:sz w:val="20"/>
              </w:rPr>
              <w:t>—</w:t>
            </w:r>
          </w:p>
        </w:tc>
        <w:tc>
          <w:tcPr>
            <w:tcW w:w="1313" w:type="dxa"/>
            <w:shd w:val="clear" w:color="auto" w:fill="CCEDFF"/>
          </w:tcPr>
          <w:p>
            <w:pPr>
              <w:pStyle w:val="TableParagraph"/>
              <w:spacing w:before="20"/>
              <w:ind w:right="135"/>
              <w:jc w:val="right"/>
              <w:rPr>
                <w:sz w:val="20"/>
              </w:rPr>
            </w:pPr>
            <w:r>
              <w:rPr>
                <w:spacing w:val="-10"/>
                <w:sz w:val="20"/>
              </w:rPr>
              <w:t>—</w:t>
            </w:r>
          </w:p>
        </w:tc>
        <w:tc>
          <w:tcPr>
            <w:tcW w:w="1240" w:type="dxa"/>
            <w:shd w:val="clear" w:color="auto" w:fill="CCEDFF"/>
          </w:tcPr>
          <w:p>
            <w:pPr>
              <w:pStyle w:val="TableParagraph"/>
              <w:spacing w:before="20"/>
              <w:ind w:right="95"/>
              <w:jc w:val="right"/>
              <w:rPr>
                <w:sz w:val="20"/>
              </w:rPr>
            </w:pPr>
            <w:r>
              <w:rPr>
                <w:spacing w:val="-2"/>
                <w:sz w:val="20"/>
              </w:rPr>
              <w:t>1,249</w:t>
            </w:r>
          </w:p>
        </w:tc>
      </w:tr>
      <w:tr>
        <w:trPr>
          <w:trHeight w:val="300" w:hRule="atLeast"/>
        </w:trPr>
        <w:tc>
          <w:tcPr>
            <w:tcW w:w="4878" w:type="dxa"/>
          </w:tcPr>
          <w:p>
            <w:pPr>
              <w:pStyle w:val="TableParagraph"/>
              <w:spacing w:before="20"/>
              <w:ind w:left="410"/>
              <w:rPr>
                <w:sz w:val="20"/>
              </w:rPr>
            </w:pPr>
            <w:r>
              <w:rPr>
                <w:sz w:val="20"/>
              </w:rPr>
              <w:t>Money market mutual </w:t>
            </w:r>
            <w:r>
              <w:rPr>
                <w:spacing w:val="-2"/>
                <w:sz w:val="20"/>
              </w:rPr>
              <w:t>funds</w:t>
            </w:r>
          </w:p>
        </w:tc>
        <w:tc>
          <w:tcPr>
            <w:tcW w:w="1548" w:type="dxa"/>
          </w:tcPr>
          <w:p>
            <w:pPr>
              <w:pStyle w:val="TableParagraph"/>
              <w:spacing w:before="20"/>
              <w:ind w:right="102"/>
              <w:jc w:val="right"/>
              <w:rPr>
                <w:sz w:val="20"/>
              </w:rPr>
            </w:pPr>
            <w:r>
              <w:rPr>
                <w:spacing w:val="-2"/>
                <w:sz w:val="20"/>
              </w:rPr>
              <w:t>782,210</w:t>
            </w:r>
          </w:p>
        </w:tc>
        <w:tc>
          <w:tcPr>
            <w:tcW w:w="1280" w:type="dxa"/>
          </w:tcPr>
          <w:p>
            <w:pPr>
              <w:pStyle w:val="TableParagraph"/>
              <w:spacing w:before="20"/>
              <w:ind w:right="102"/>
              <w:jc w:val="right"/>
              <w:rPr>
                <w:sz w:val="20"/>
              </w:rPr>
            </w:pPr>
            <w:r>
              <w:rPr>
                <w:spacing w:val="-10"/>
                <w:sz w:val="20"/>
              </w:rPr>
              <w:t>—</w:t>
            </w:r>
          </w:p>
        </w:tc>
        <w:tc>
          <w:tcPr>
            <w:tcW w:w="1313" w:type="dxa"/>
          </w:tcPr>
          <w:p>
            <w:pPr>
              <w:pStyle w:val="TableParagraph"/>
              <w:spacing w:before="20"/>
              <w:ind w:right="135"/>
              <w:jc w:val="right"/>
              <w:rPr>
                <w:sz w:val="20"/>
              </w:rPr>
            </w:pPr>
            <w:r>
              <w:rPr>
                <w:spacing w:val="-10"/>
                <w:sz w:val="20"/>
              </w:rPr>
              <w:t>—</w:t>
            </w:r>
          </w:p>
        </w:tc>
        <w:tc>
          <w:tcPr>
            <w:tcW w:w="1240" w:type="dxa"/>
          </w:tcPr>
          <w:p>
            <w:pPr>
              <w:pStyle w:val="TableParagraph"/>
              <w:spacing w:before="20"/>
              <w:ind w:right="95"/>
              <w:jc w:val="right"/>
              <w:rPr>
                <w:sz w:val="20"/>
              </w:rPr>
            </w:pPr>
            <w:r>
              <w:rPr>
                <w:spacing w:val="-2"/>
                <w:sz w:val="20"/>
              </w:rPr>
              <w:t>782,210</w:t>
            </w:r>
          </w:p>
        </w:tc>
      </w:tr>
      <w:tr>
        <w:trPr>
          <w:trHeight w:val="300" w:hRule="atLeast"/>
        </w:trPr>
        <w:tc>
          <w:tcPr>
            <w:tcW w:w="4878" w:type="dxa"/>
            <w:shd w:val="clear" w:color="auto" w:fill="CCEDFF"/>
          </w:tcPr>
          <w:p>
            <w:pPr>
              <w:pStyle w:val="TableParagraph"/>
              <w:spacing w:before="20"/>
              <w:ind w:left="410"/>
              <w:rPr>
                <w:sz w:val="20"/>
              </w:rPr>
            </w:pPr>
            <w:r>
              <w:rPr>
                <w:sz w:val="20"/>
              </w:rPr>
              <w:t>Municipal </w:t>
            </w:r>
            <w:r>
              <w:rPr>
                <w:spacing w:val="-2"/>
                <w:sz w:val="20"/>
              </w:rPr>
              <w:t>securities</w:t>
            </w:r>
          </w:p>
        </w:tc>
        <w:tc>
          <w:tcPr>
            <w:tcW w:w="1548" w:type="dxa"/>
            <w:shd w:val="clear" w:color="auto" w:fill="CCEDFF"/>
          </w:tcPr>
          <w:p>
            <w:pPr>
              <w:pStyle w:val="TableParagraph"/>
              <w:spacing w:before="20"/>
              <w:ind w:right="102"/>
              <w:jc w:val="right"/>
              <w:rPr>
                <w:sz w:val="20"/>
              </w:rPr>
            </w:pPr>
            <w:r>
              <w:rPr>
                <w:spacing w:val="-2"/>
                <w:sz w:val="20"/>
              </w:rPr>
              <w:t>1,301</w:t>
            </w:r>
          </w:p>
        </w:tc>
        <w:tc>
          <w:tcPr>
            <w:tcW w:w="1280" w:type="dxa"/>
            <w:shd w:val="clear" w:color="auto" w:fill="CCEDFF"/>
          </w:tcPr>
          <w:p>
            <w:pPr>
              <w:pStyle w:val="TableParagraph"/>
              <w:spacing w:before="20"/>
              <w:ind w:right="102"/>
              <w:jc w:val="right"/>
              <w:rPr>
                <w:sz w:val="20"/>
              </w:rPr>
            </w:pPr>
            <w:r>
              <w:rPr>
                <w:spacing w:val="-10"/>
                <w:sz w:val="20"/>
              </w:rPr>
              <w:t>—</w:t>
            </w:r>
          </w:p>
        </w:tc>
        <w:tc>
          <w:tcPr>
            <w:tcW w:w="1313" w:type="dxa"/>
            <w:shd w:val="clear" w:color="auto" w:fill="CCEDFF"/>
          </w:tcPr>
          <w:p>
            <w:pPr>
              <w:pStyle w:val="TableParagraph"/>
              <w:spacing w:before="20"/>
              <w:ind w:right="135"/>
              <w:jc w:val="right"/>
              <w:rPr>
                <w:sz w:val="20"/>
              </w:rPr>
            </w:pPr>
            <w:r>
              <w:rPr>
                <w:spacing w:val="-10"/>
                <w:sz w:val="20"/>
              </w:rPr>
              <w:t>—</w:t>
            </w:r>
          </w:p>
        </w:tc>
        <w:tc>
          <w:tcPr>
            <w:tcW w:w="1240" w:type="dxa"/>
            <w:shd w:val="clear" w:color="auto" w:fill="CCEDFF"/>
          </w:tcPr>
          <w:p>
            <w:pPr>
              <w:pStyle w:val="TableParagraph"/>
              <w:spacing w:before="20"/>
              <w:ind w:right="95"/>
              <w:jc w:val="right"/>
              <w:rPr>
                <w:sz w:val="20"/>
              </w:rPr>
            </w:pPr>
            <w:r>
              <w:rPr>
                <w:spacing w:val="-2"/>
                <w:sz w:val="20"/>
              </w:rPr>
              <w:t>1,301</w:t>
            </w:r>
          </w:p>
        </w:tc>
      </w:tr>
      <w:tr>
        <w:trPr>
          <w:trHeight w:val="290" w:hRule="atLeast"/>
        </w:trPr>
        <w:tc>
          <w:tcPr>
            <w:tcW w:w="4878" w:type="dxa"/>
          </w:tcPr>
          <w:p>
            <w:pPr>
              <w:pStyle w:val="TableParagraph"/>
              <w:spacing w:before="20"/>
              <w:ind w:left="410"/>
              <w:rPr>
                <w:sz w:val="20"/>
              </w:rPr>
            </w:pPr>
            <w:r>
              <w:rPr>
                <w:sz w:val="20"/>
              </w:rPr>
              <w:t>Time</w:t>
            </w:r>
            <w:r>
              <w:rPr>
                <w:spacing w:val="-4"/>
                <w:sz w:val="20"/>
              </w:rPr>
              <w:t> </w:t>
            </w:r>
            <w:r>
              <w:rPr>
                <w:spacing w:val="-2"/>
                <w:sz w:val="20"/>
              </w:rPr>
              <w:t>deposits</w:t>
            </w:r>
          </w:p>
        </w:tc>
        <w:tc>
          <w:tcPr>
            <w:tcW w:w="1548" w:type="dxa"/>
            <w:tcBorders>
              <w:bottom w:val="single" w:sz="8" w:space="0" w:color="000000"/>
            </w:tcBorders>
          </w:tcPr>
          <w:p>
            <w:pPr>
              <w:pStyle w:val="TableParagraph"/>
              <w:spacing w:before="20"/>
              <w:ind w:right="102"/>
              <w:jc w:val="right"/>
              <w:rPr>
                <w:sz w:val="20"/>
              </w:rPr>
            </w:pPr>
            <w:r>
              <w:rPr>
                <w:spacing w:val="-2"/>
                <w:sz w:val="20"/>
              </w:rPr>
              <w:t>17,920</w:t>
            </w:r>
          </w:p>
        </w:tc>
        <w:tc>
          <w:tcPr>
            <w:tcW w:w="1280" w:type="dxa"/>
            <w:tcBorders>
              <w:bottom w:val="single" w:sz="8" w:space="0" w:color="000000"/>
            </w:tcBorders>
          </w:tcPr>
          <w:p>
            <w:pPr>
              <w:pStyle w:val="TableParagraph"/>
              <w:spacing w:before="20"/>
              <w:ind w:right="102"/>
              <w:jc w:val="right"/>
              <w:rPr>
                <w:sz w:val="20"/>
              </w:rPr>
            </w:pPr>
            <w:r>
              <w:rPr>
                <w:spacing w:val="-10"/>
                <w:sz w:val="20"/>
              </w:rPr>
              <w:t>—</w:t>
            </w:r>
          </w:p>
        </w:tc>
        <w:tc>
          <w:tcPr>
            <w:tcW w:w="1313" w:type="dxa"/>
            <w:tcBorders>
              <w:bottom w:val="single" w:sz="8" w:space="0" w:color="000000"/>
            </w:tcBorders>
          </w:tcPr>
          <w:p>
            <w:pPr>
              <w:pStyle w:val="TableParagraph"/>
              <w:spacing w:before="20"/>
              <w:ind w:right="135"/>
              <w:jc w:val="right"/>
              <w:rPr>
                <w:sz w:val="20"/>
              </w:rPr>
            </w:pPr>
            <w:r>
              <w:rPr>
                <w:spacing w:val="-10"/>
                <w:sz w:val="20"/>
              </w:rPr>
              <w:t>—</w:t>
            </w:r>
          </w:p>
        </w:tc>
        <w:tc>
          <w:tcPr>
            <w:tcW w:w="1240" w:type="dxa"/>
            <w:tcBorders>
              <w:bottom w:val="single" w:sz="8" w:space="0" w:color="000000"/>
            </w:tcBorders>
          </w:tcPr>
          <w:p>
            <w:pPr>
              <w:pStyle w:val="TableParagraph"/>
              <w:spacing w:before="20"/>
              <w:ind w:right="95"/>
              <w:jc w:val="right"/>
              <w:rPr>
                <w:sz w:val="20"/>
              </w:rPr>
            </w:pPr>
            <w:r>
              <w:rPr>
                <w:spacing w:val="-2"/>
                <w:sz w:val="20"/>
              </w:rPr>
              <w:t>17,920</w:t>
            </w:r>
          </w:p>
        </w:tc>
      </w:tr>
      <w:tr>
        <w:trPr>
          <w:trHeight w:val="280" w:hRule="atLeast"/>
        </w:trPr>
        <w:tc>
          <w:tcPr>
            <w:tcW w:w="4878" w:type="dxa"/>
            <w:shd w:val="clear" w:color="auto" w:fill="CCEDFF"/>
          </w:tcPr>
          <w:p>
            <w:pPr>
              <w:pStyle w:val="TableParagraph"/>
              <w:spacing w:before="10"/>
              <w:ind w:left="530"/>
              <w:rPr>
                <w:sz w:val="20"/>
              </w:rPr>
            </w:pPr>
            <w:r>
              <w:rPr>
                <w:sz w:val="20"/>
              </w:rPr>
              <w:t>Total</w:t>
            </w:r>
            <w:r>
              <w:rPr>
                <w:spacing w:val="-7"/>
                <w:sz w:val="20"/>
              </w:rPr>
              <w:t> </w:t>
            </w:r>
            <w:r>
              <w:rPr>
                <w:sz w:val="20"/>
              </w:rPr>
              <w:t>cash</w:t>
            </w:r>
            <w:r>
              <w:rPr>
                <w:spacing w:val="-7"/>
                <w:sz w:val="20"/>
              </w:rPr>
              <w:t> </w:t>
            </w:r>
            <w:r>
              <w:rPr>
                <w:spacing w:val="-2"/>
                <w:sz w:val="20"/>
              </w:rPr>
              <w:t>equivalents</w:t>
            </w:r>
          </w:p>
        </w:tc>
        <w:tc>
          <w:tcPr>
            <w:tcW w:w="1548" w:type="dxa"/>
            <w:tcBorders>
              <w:top w:val="single" w:sz="8" w:space="0" w:color="000000"/>
              <w:bottom w:val="single" w:sz="8" w:space="0" w:color="000000"/>
            </w:tcBorders>
            <w:shd w:val="clear" w:color="auto" w:fill="CCEDFF"/>
          </w:tcPr>
          <w:p>
            <w:pPr>
              <w:pStyle w:val="TableParagraph"/>
              <w:spacing w:before="10"/>
              <w:ind w:right="102"/>
              <w:jc w:val="right"/>
              <w:rPr>
                <w:sz w:val="20"/>
              </w:rPr>
            </w:pPr>
            <w:r>
              <w:rPr>
                <w:spacing w:val="-2"/>
                <w:sz w:val="20"/>
              </w:rPr>
              <w:t>802,680</w:t>
            </w:r>
          </w:p>
        </w:tc>
        <w:tc>
          <w:tcPr>
            <w:tcW w:w="1280" w:type="dxa"/>
            <w:tcBorders>
              <w:top w:val="single" w:sz="8" w:space="0" w:color="000000"/>
              <w:bottom w:val="single" w:sz="8" w:space="0" w:color="000000"/>
            </w:tcBorders>
            <w:shd w:val="clear" w:color="auto" w:fill="CCEDFF"/>
          </w:tcPr>
          <w:p>
            <w:pPr>
              <w:pStyle w:val="TableParagraph"/>
              <w:spacing w:before="10"/>
              <w:ind w:right="102"/>
              <w:jc w:val="right"/>
              <w:rPr>
                <w:sz w:val="20"/>
              </w:rPr>
            </w:pPr>
            <w:r>
              <w:rPr>
                <w:spacing w:val="-10"/>
                <w:sz w:val="20"/>
              </w:rPr>
              <w:t>—</w:t>
            </w:r>
          </w:p>
        </w:tc>
        <w:tc>
          <w:tcPr>
            <w:tcW w:w="1313" w:type="dxa"/>
            <w:tcBorders>
              <w:top w:val="single" w:sz="8" w:space="0" w:color="000000"/>
              <w:bottom w:val="single" w:sz="8" w:space="0" w:color="000000"/>
            </w:tcBorders>
            <w:shd w:val="clear" w:color="auto" w:fill="CCEDFF"/>
          </w:tcPr>
          <w:p>
            <w:pPr>
              <w:pStyle w:val="TableParagraph"/>
              <w:spacing w:before="10"/>
              <w:ind w:right="135"/>
              <w:jc w:val="right"/>
              <w:rPr>
                <w:sz w:val="20"/>
              </w:rPr>
            </w:pPr>
            <w:r>
              <w:rPr>
                <w:spacing w:val="-10"/>
                <w:sz w:val="20"/>
              </w:rPr>
              <w:t>—</w:t>
            </w:r>
          </w:p>
        </w:tc>
        <w:tc>
          <w:tcPr>
            <w:tcW w:w="1240" w:type="dxa"/>
            <w:tcBorders>
              <w:top w:val="single" w:sz="8" w:space="0" w:color="000000"/>
              <w:bottom w:val="single" w:sz="8" w:space="0" w:color="000000"/>
            </w:tcBorders>
            <w:shd w:val="clear" w:color="auto" w:fill="CCEDFF"/>
          </w:tcPr>
          <w:p>
            <w:pPr>
              <w:pStyle w:val="TableParagraph"/>
              <w:spacing w:before="10"/>
              <w:ind w:right="95"/>
              <w:jc w:val="right"/>
              <w:rPr>
                <w:sz w:val="20"/>
              </w:rPr>
            </w:pPr>
            <w:r>
              <w:rPr>
                <w:spacing w:val="-2"/>
                <w:sz w:val="20"/>
              </w:rPr>
              <w:t>802,680</w:t>
            </w:r>
          </w:p>
        </w:tc>
      </w:tr>
      <w:tr>
        <w:trPr>
          <w:trHeight w:val="280" w:hRule="atLeast"/>
        </w:trPr>
        <w:tc>
          <w:tcPr>
            <w:tcW w:w="4878" w:type="dxa"/>
          </w:tcPr>
          <w:p>
            <w:pPr>
              <w:pStyle w:val="TableParagraph"/>
              <w:spacing w:before="10"/>
              <w:ind w:left="410"/>
              <w:rPr>
                <w:sz w:val="20"/>
              </w:rPr>
            </w:pPr>
            <w:r>
              <w:rPr>
                <w:sz w:val="20"/>
              </w:rPr>
              <w:t>Total</w:t>
            </w:r>
            <w:r>
              <w:rPr>
                <w:spacing w:val="-2"/>
                <w:sz w:val="20"/>
              </w:rPr>
              <w:t> </w:t>
            </w:r>
            <w:r>
              <w:rPr>
                <w:sz w:val="20"/>
              </w:rPr>
              <w:t>cash</w:t>
            </w:r>
            <w:r>
              <w:rPr>
                <w:spacing w:val="-2"/>
                <w:sz w:val="20"/>
              </w:rPr>
              <w:t> </w:t>
            </w:r>
            <w:r>
              <w:rPr>
                <w:sz w:val="20"/>
              </w:rPr>
              <w:t>and</w:t>
            </w:r>
            <w:r>
              <w:rPr>
                <w:spacing w:val="-2"/>
                <w:sz w:val="20"/>
              </w:rPr>
              <w:t> </w:t>
            </w:r>
            <w:r>
              <w:rPr>
                <w:sz w:val="20"/>
              </w:rPr>
              <w:t>cash</w:t>
            </w:r>
            <w:r>
              <w:rPr>
                <w:spacing w:val="-1"/>
                <w:sz w:val="20"/>
              </w:rPr>
              <w:t> </w:t>
            </w:r>
            <w:r>
              <w:rPr>
                <w:spacing w:val="-2"/>
                <w:sz w:val="20"/>
              </w:rPr>
              <w:t>equivalents</w:t>
            </w:r>
          </w:p>
        </w:tc>
        <w:tc>
          <w:tcPr>
            <w:tcW w:w="1548" w:type="dxa"/>
            <w:tcBorders>
              <w:top w:val="single" w:sz="8" w:space="0" w:color="000000"/>
              <w:bottom w:val="single" w:sz="8" w:space="0" w:color="000000"/>
            </w:tcBorders>
          </w:tcPr>
          <w:p>
            <w:pPr>
              <w:pStyle w:val="TableParagraph"/>
              <w:spacing w:before="10"/>
              <w:ind w:right="103"/>
              <w:jc w:val="right"/>
              <w:rPr>
                <w:sz w:val="20"/>
              </w:rPr>
            </w:pPr>
            <w:r>
              <w:rPr>
                <w:spacing w:val="-2"/>
                <w:sz w:val="20"/>
              </w:rPr>
              <w:t>1,011,315</w:t>
            </w:r>
          </w:p>
        </w:tc>
        <w:tc>
          <w:tcPr>
            <w:tcW w:w="1280" w:type="dxa"/>
            <w:tcBorders>
              <w:top w:val="single" w:sz="8" w:space="0" w:color="000000"/>
              <w:bottom w:val="single" w:sz="8" w:space="0" w:color="000000"/>
            </w:tcBorders>
          </w:tcPr>
          <w:p>
            <w:pPr>
              <w:pStyle w:val="TableParagraph"/>
              <w:spacing w:before="10"/>
              <w:ind w:right="102"/>
              <w:jc w:val="right"/>
              <w:rPr>
                <w:sz w:val="20"/>
              </w:rPr>
            </w:pPr>
            <w:r>
              <w:rPr>
                <w:spacing w:val="-10"/>
                <w:sz w:val="20"/>
              </w:rPr>
              <w:t>—</w:t>
            </w:r>
          </w:p>
        </w:tc>
        <w:tc>
          <w:tcPr>
            <w:tcW w:w="1313" w:type="dxa"/>
            <w:tcBorders>
              <w:top w:val="single" w:sz="8" w:space="0" w:color="000000"/>
              <w:bottom w:val="single" w:sz="8" w:space="0" w:color="000000"/>
            </w:tcBorders>
          </w:tcPr>
          <w:p>
            <w:pPr>
              <w:pStyle w:val="TableParagraph"/>
              <w:spacing w:before="10"/>
              <w:ind w:right="135"/>
              <w:jc w:val="right"/>
              <w:rPr>
                <w:sz w:val="20"/>
              </w:rPr>
            </w:pPr>
            <w:r>
              <w:rPr>
                <w:spacing w:val="-10"/>
                <w:sz w:val="20"/>
              </w:rPr>
              <w:t>—</w:t>
            </w:r>
          </w:p>
        </w:tc>
        <w:tc>
          <w:tcPr>
            <w:tcW w:w="1240" w:type="dxa"/>
            <w:tcBorders>
              <w:top w:val="single" w:sz="8" w:space="0" w:color="000000"/>
              <w:bottom w:val="single" w:sz="8" w:space="0" w:color="000000"/>
            </w:tcBorders>
          </w:tcPr>
          <w:p>
            <w:pPr>
              <w:pStyle w:val="TableParagraph"/>
              <w:spacing w:before="10"/>
              <w:ind w:right="96"/>
              <w:jc w:val="right"/>
              <w:rPr>
                <w:sz w:val="20"/>
              </w:rPr>
            </w:pPr>
            <w:r>
              <w:rPr>
                <w:spacing w:val="-2"/>
                <w:sz w:val="20"/>
              </w:rPr>
              <w:t>1,011,315</w:t>
            </w:r>
          </w:p>
        </w:tc>
      </w:tr>
      <w:tr>
        <w:trPr>
          <w:trHeight w:val="290" w:hRule="atLeast"/>
        </w:trPr>
        <w:tc>
          <w:tcPr>
            <w:tcW w:w="4878" w:type="dxa"/>
            <w:shd w:val="clear" w:color="auto" w:fill="CCEDFF"/>
          </w:tcPr>
          <w:p>
            <w:pPr>
              <w:pStyle w:val="TableParagraph"/>
              <w:spacing w:before="10"/>
              <w:ind w:left="170"/>
              <w:rPr>
                <w:sz w:val="20"/>
              </w:rPr>
            </w:pPr>
            <w:r>
              <w:rPr>
                <w:sz w:val="20"/>
              </w:rPr>
              <w:t>Short-term fixed income </w:t>
            </w:r>
            <w:r>
              <w:rPr>
                <w:spacing w:val="-2"/>
                <w:sz w:val="20"/>
              </w:rPr>
              <w:t>securities:</w:t>
            </w:r>
          </w:p>
        </w:tc>
        <w:tc>
          <w:tcPr>
            <w:tcW w:w="1548" w:type="dxa"/>
            <w:tcBorders>
              <w:top w:val="single" w:sz="8" w:space="0" w:color="000000"/>
            </w:tcBorders>
            <w:shd w:val="clear" w:color="auto" w:fill="CCEDFF"/>
          </w:tcPr>
          <w:p>
            <w:pPr>
              <w:pStyle w:val="TableParagraph"/>
              <w:rPr>
                <w:sz w:val="18"/>
              </w:rPr>
            </w:pPr>
          </w:p>
        </w:tc>
        <w:tc>
          <w:tcPr>
            <w:tcW w:w="1280" w:type="dxa"/>
            <w:tcBorders>
              <w:top w:val="single" w:sz="8" w:space="0" w:color="000000"/>
            </w:tcBorders>
            <w:shd w:val="clear" w:color="auto" w:fill="CCEDFF"/>
          </w:tcPr>
          <w:p>
            <w:pPr>
              <w:pStyle w:val="TableParagraph"/>
              <w:rPr>
                <w:sz w:val="18"/>
              </w:rPr>
            </w:pPr>
          </w:p>
        </w:tc>
        <w:tc>
          <w:tcPr>
            <w:tcW w:w="1313" w:type="dxa"/>
            <w:tcBorders>
              <w:top w:val="single" w:sz="8" w:space="0" w:color="000000"/>
            </w:tcBorders>
            <w:shd w:val="clear" w:color="auto" w:fill="CCEDFF"/>
          </w:tcPr>
          <w:p>
            <w:pPr>
              <w:pStyle w:val="TableParagraph"/>
              <w:rPr>
                <w:sz w:val="18"/>
              </w:rPr>
            </w:pPr>
          </w:p>
        </w:tc>
        <w:tc>
          <w:tcPr>
            <w:tcW w:w="1240" w:type="dxa"/>
            <w:tcBorders>
              <w:top w:val="single" w:sz="8" w:space="0" w:color="000000"/>
            </w:tcBorders>
            <w:shd w:val="clear" w:color="auto" w:fill="CCEDFF"/>
          </w:tcPr>
          <w:p>
            <w:pPr>
              <w:pStyle w:val="TableParagraph"/>
              <w:rPr>
                <w:sz w:val="18"/>
              </w:rPr>
            </w:pPr>
          </w:p>
        </w:tc>
      </w:tr>
      <w:tr>
        <w:trPr>
          <w:trHeight w:val="300" w:hRule="atLeast"/>
        </w:trPr>
        <w:tc>
          <w:tcPr>
            <w:tcW w:w="4878" w:type="dxa"/>
          </w:tcPr>
          <w:p>
            <w:pPr>
              <w:pStyle w:val="TableParagraph"/>
              <w:spacing w:before="20"/>
              <w:ind w:left="410"/>
              <w:rPr>
                <w:sz w:val="20"/>
              </w:rPr>
            </w:pPr>
            <w:r>
              <w:rPr>
                <w:sz w:val="20"/>
              </w:rPr>
              <w:t>Asset backed </w:t>
            </w:r>
            <w:r>
              <w:rPr>
                <w:spacing w:val="-2"/>
                <w:sz w:val="20"/>
              </w:rPr>
              <w:t>securities</w:t>
            </w:r>
          </w:p>
        </w:tc>
        <w:tc>
          <w:tcPr>
            <w:tcW w:w="1548" w:type="dxa"/>
          </w:tcPr>
          <w:p>
            <w:pPr>
              <w:pStyle w:val="TableParagraph"/>
              <w:spacing w:before="20"/>
              <w:ind w:right="102"/>
              <w:jc w:val="right"/>
              <w:rPr>
                <w:sz w:val="20"/>
              </w:rPr>
            </w:pPr>
            <w:r>
              <w:rPr>
                <w:spacing w:val="-2"/>
                <w:sz w:val="20"/>
              </w:rPr>
              <w:t>111,009</w:t>
            </w:r>
          </w:p>
        </w:tc>
        <w:tc>
          <w:tcPr>
            <w:tcW w:w="1280" w:type="dxa"/>
          </w:tcPr>
          <w:p>
            <w:pPr>
              <w:pStyle w:val="TableParagraph"/>
              <w:spacing w:before="20"/>
              <w:ind w:right="102"/>
              <w:jc w:val="right"/>
              <w:rPr>
                <w:sz w:val="20"/>
              </w:rPr>
            </w:pPr>
            <w:r>
              <w:rPr>
                <w:spacing w:val="-5"/>
                <w:sz w:val="20"/>
              </w:rPr>
              <w:t>95</w:t>
            </w:r>
          </w:p>
        </w:tc>
        <w:tc>
          <w:tcPr>
            <w:tcW w:w="1313" w:type="dxa"/>
          </w:tcPr>
          <w:p>
            <w:pPr>
              <w:pStyle w:val="TableParagraph"/>
              <w:spacing w:before="20"/>
              <w:ind w:right="67"/>
              <w:jc w:val="right"/>
              <w:rPr>
                <w:sz w:val="20"/>
              </w:rPr>
            </w:pPr>
            <w:r>
              <w:rPr>
                <w:spacing w:val="-2"/>
                <w:sz w:val="20"/>
              </w:rPr>
              <w:t>(190)</w:t>
            </w:r>
          </w:p>
        </w:tc>
        <w:tc>
          <w:tcPr>
            <w:tcW w:w="1240" w:type="dxa"/>
          </w:tcPr>
          <w:p>
            <w:pPr>
              <w:pStyle w:val="TableParagraph"/>
              <w:spacing w:before="20"/>
              <w:ind w:right="95"/>
              <w:jc w:val="right"/>
              <w:rPr>
                <w:sz w:val="20"/>
              </w:rPr>
            </w:pPr>
            <w:r>
              <w:rPr>
                <w:spacing w:val="-2"/>
                <w:sz w:val="20"/>
              </w:rPr>
              <w:t>110,914</w:t>
            </w:r>
          </w:p>
        </w:tc>
      </w:tr>
      <w:tr>
        <w:trPr>
          <w:trHeight w:val="300" w:hRule="atLeast"/>
        </w:trPr>
        <w:tc>
          <w:tcPr>
            <w:tcW w:w="4878" w:type="dxa"/>
            <w:shd w:val="clear" w:color="auto" w:fill="CCEDFF"/>
          </w:tcPr>
          <w:p>
            <w:pPr>
              <w:pStyle w:val="TableParagraph"/>
              <w:spacing w:before="20"/>
              <w:ind w:left="410"/>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548" w:type="dxa"/>
            <w:shd w:val="clear" w:color="auto" w:fill="CCEDFF"/>
          </w:tcPr>
          <w:p>
            <w:pPr>
              <w:pStyle w:val="TableParagraph"/>
              <w:spacing w:before="20"/>
              <w:ind w:right="103"/>
              <w:jc w:val="right"/>
              <w:rPr>
                <w:sz w:val="20"/>
              </w:rPr>
            </w:pPr>
            <w:r>
              <w:rPr>
                <w:spacing w:val="-2"/>
                <w:sz w:val="20"/>
              </w:rPr>
              <w:t>2,464,769</w:t>
            </w:r>
          </w:p>
        </w:tc>
        <w:tc>
          <w:tcPr>
            <w:tcW w:w="1280" w:type="dxa"/>
            <w:shd w:val="clear" w:color="auto" w:fill="CCEDFF"/>
          </w:tcPr>
          <w:p>
            <w:pPr>
              <w:pStyle w:val="TableParagraph"/>
              <w:spacing w:before="20"/>
              <w:ind w:right="102"/>
              <w:jc w:val="right"/>
              <w:rPr>
                <w:sz w:val="20"/>
              </w:rPr>
            </w:pPr>
            <w:r>
              <w:rPr>
                <w:spacing w:val="-2"/>
                <w:sz w:val="20"/>
              </w:rPr>
              <w:t>3,135</w:t>
            </w:r>
          </w:p>
        </w:tc>
        <w:tc>
          <w:tcPr>
            <w:tcW w:w="1313" w:type="dxa"/>
            <w:shd w:val="clear" w:color="auto" w:fill="CCEDFF"/>
          </w:tcPr>
          <w:p>
            <w:pPr>
              <w:pStyle w:val="TableParagraph"/>
              <w:spacing w:before="20"/>
              <w:ind w:right="67"/>
              <w:jc w:val="right"/>
              <w:rPr>
                <w:sz w:val="20"/>
              </w:rPr>
            </w:pPr>
            <w:r>
              <w:rPr>
                <w:spacing w:val="-2"/>
                <w:sz w:val="20"/>
              </w:rPr>
              <w:t>(9,554)</w:t>
            </w:r>
          </w:p>
        </w:tc>
        <w:tc>
          <w:tcPr>
            <w:tcW w:w="1240" w:type="dxa"/>
            <w:shd w:val="clear" w:color="auto" w:fill="CCEDFF"/>
          </w:tcPr>
          <w:p>
            <w:pPr>
              <w:pStyle w:val="TableParagraph"/>
              <w:spacing w:before="20"/>
              <w:ind w:right="96"/>
              <w:jc w:val="right"/>
              <w:rPr>
                <w:sz w:val="20"/>
              </w:rPr>
            </w:pPr>
            <w:r>
              <w:rPr>
                <w:spacing w:val="-2"/>
                <w:sz w:val="20"/>
              </w:rPr>
              <w:t>2,458,350</w:t>
            </w:r>
          </w:p>
        </w:tc>
      </w:tr>
      <w:tr>
        <w:trPr>
          <w:trHeight w:val="300" w:hRule="atLeast"/>
        </w:trPr>
        <w:tc>
          <w:tcPr>
            <w:tcW w:w="4878" w:type="dxa"/>
          </w:tcPr>
          <w:p>
            <w:pPr>
              <w:pStyle w:val="TableParagraph"/>
              <w:spacing w:before="20"/>
              <w:ind w:left="410"/>
              <w:rPr>
                <w:sz w:val="20"/>
              </w:rPr>
            </w:pPr>
            <w:r>
              <w:rPr>
                <w:sz w:val="20"/>
              </w:rPr>
              <w:t>Municipal </w:t>
            </w:r>
            <w:r>
              <w:rPr>
                <w:spacing w:val="-2"/>
                <w:sz w:val="20"/>
              </w:rPr>
              <w:t>securities</w:t>
            </w:r>
          </w:p>
        </w:tc>
        <w:tc>
          <w:tcPr>
            <w:tcW w:w="1548" w:type="dxa"/>
          </w:tcPr>
          <w:p>
            <w:pPr>
              <w:pStyle w:val="TableParagraph"/>
              <w:spacing w:before="20"/>
              <w:ind w:right="102"/>
              <w:jc w:val="right"/>
              <w:rPr>
                <w:sz w:val="20"/>
              </w:rPr>
            </w:pPr>
            <w:r>
              <w:rPr>
                <w:spacing w:val="-2"/>
                <w:sz w:val="20"/>
              </w:rPr>
              <w:t>134,710</w:t>
            </w:r>
          </w:p>
        </w:tc>
        <w:tc>
          <w:tcPr>
            <w:tcW w:w="1280" w:type="dxa"/>
          </w:tcPr>
          <w:p>
            <w:pPr>
              <w:pStyle w:val="TableParagraph"/>
              <w:spacing w:before="20"/>
              <w:ind w:right="102"/>
              <w:jc w:val="right"/>
              <w:rPr>
                <w:sz w:val="20"/>
              </w:rPr>
            </w:pPr>
            <w:r>
              <w:rPr>
                <w:spacing w:val="-5"/>
                <w:sz w:val="20"/>
              </w:rPr>
              <w:t>37</w:t>
            </w:r>
          </w:p>
        </w:tc>
        <w:tc>
          <w:tcPr>
            <w:tcW w:w="1313" w:type="dxa"/>
          </w:tcPr>
          <w:p>
            <w:pPr>
              <w:pStyle w:val="TableParagraph"/>
              <w:spacing w:before="20"/>
              <w:ind w:right="67"/>
              <w:jc w:val="right"/>
              <w:rPr>
                <w:sz w:val="20"/>
              </w:rPr>
            </w:pPr>
            <w:r>
              <w:rPr>
                <w:spacing w:val="-2"/>
                <w:sz w:val="20"/>
              </w:rPr>
              <w:t>(525)</w:t>
            </w:r>
          </w:p>
        </w:tc>
        <w:tc>
          <w:tcPr>
            <w:tcW w:w="1240" w:type="dxa"/>
          </w:tcPr>
          <w:p>
            <w:pPr>
              <w:pStyle w:val="TableParagraph"/>
              <w:spacing w:before="20"/>
              <w:ind w:right="95"/>
              <w:jc w:val="right"/>
              <w:rPr>
                <w:sz w:val="20"/>
              </w:rPr>
            </w:pPr>
            <w:r>
              <w:rPr>
                <w:spacing w:val="-2"/>
                <w:sz w:val="20"/>
              </w:rPr>
              <w:t>134,222</w:t>
            </w:r>
          </w:p>
        </w:tc>
      </w:tr>
      <w:tr>
        <w:trPr>
          <w:trHeight w:val="300" w:hRule="atLeast"/>
        </w:trPr>
        <w:tc>
          <w:tcPr>
            <w:tcW w:w="4878" w:type="dxa"/>
            <w:shd w:val="clear" w:color="auto" w:fill="CCEDFF"/>
          </w:tcPr>
          <w:p>
            <w:pPr>
              <w:pStyle w:val="TableParagraph"/>
              <w:spacing w:before="20"/>
              <w:ind w:left="410"/>
              <w:rPr>
                <w:sz w:val="20"/>
              </w:rPr>
            </w:pPr>
            <w:r>
              <w:rPr>
                <w:sz w:val="20"/>
              </w:rPr>
              <w:t>U.S. agency </w:t>
            </w:r>
            <w:r>
              <w:rPr>
                <w:spacing w:val="-2"/>
                <w:sz w:val="20"/>
              </w:rPr>
              <w:t>securities</w:t>
            </w:r>
          </w:p>
        </w:tc>
        <w:tc>
          <w:tcPr>
            <w:tcW w:w="1548" w:type="dxa"/>
            <w:shd w:val="clear" w:color="auto" w:fill="CCEDFF"/>
          </w:tcPr>
          <w:p>
            <w:pPr>
              <w:pStyle w:val="TableParagraph"/>
              <w:spacing w:before="20"/>
              <w:ind w:right="102"/>
              <w:jc w:val="right"/>
              <w:rPr>
                <w:sz w:val="20"/>
              </w:rPr>
            </w:pPr>
            <w:r>
              <w:rPr>
                <w:spacing w:val="-2"/>
                <w:sz w:val="20"/>
              </w:rPr>
              <w:t>39,538</w:t>
            </w:r>
          </w:p>
        </w:tc>
        <w:tc>
          <w:tcPr>
            <w:tcW w:w="1280" w:type="dxa"/>
            <w:shd w:val="clear" w:color="auto" w:fill="CCEDFF"/>
          </w:tcPr>
          <w:p>
            <w:pPr>
              <w:pStyle w:val="TableParagraph"/>
              <w:spacing w:before="20"/>
              <w:ind w:right="102"/>
              <w:jc w:val="right"/>
              <w:rPr>
                <w:sz w:val="20"/>
              </w:rPr>
            </w:pPr>
            <w:r>
              <w:rPr>
                <w:spacing w:val="-5"/>
                <w:sz w:val="20"/>
              </w:rPr>
              <w:t>42</w:t>
            </w:r>
          </w:p>
        </w:tc>
        <w:tc>
          <w:tcPr>
            <w:tcW w:w="1313" w:type="dxa"/>
            <w:shd w:val="clear" w:color="auto" w:fill="CCEDFF"/>
          </w:tcPr>
          <w:p>
            <w:pPr>
              <w:pStyle w:val="TableParagraph"/>
              <w:spacing w:before="20"/>
              <w:ind w:right="135"/>
              <w:jc w:val="right"/>
              <w:rPr>
                <w:sz w:val="20"/>
              </w:rPr>
            </w:pPr>
            <w:r>
              <w:rPr>
                <w:spacing w:val="-10"/>
                <w:sz w:val="20"/>
              </w:rPr>
              <w:t>—</w:t>
            </w:r>
          </w:p>
        </w:tc>
        <w:tc>
          <w:tcPr>
            <w:tcW w:w="1240" w:type="dxa"/>
            <w:shd w:val="clear" w:color="auto" w:fill="CCEDFF"/>
          </w:tcPr>
          <w:p>
            <w:pPr>
              <w:pStyle w:val="TableParagraph"/>
              <w:spacing w:before="20"/>
              <w:ind w:right="95"/>
              <w:jc w:val="right"/>
              <w:rPr>
                <w:sz w:val="20"/>
              </w:rPr>
            </w:pPr>
            <w:r>
              <w:rPr>
                <w:spacing w:val="-2"/>
                <w:sz w:val="20"/>
              </w:rPr>
              <w:t>39,580</w:t>
            </w:r>
          </w:p>
        </w:tc>
      </w:tr>
      <w:tr>
        <w:trPr>
          <w:trHeight w:val="289" w:hRule="atLeast"/>
        </w:trPr>
        <w:tc>
          <w:tcPr>
            <w:tcW w:w="4878" w:type="dxa"/>
          </w:tcPr>
          <w:p>
            <w:pPr>
              <w:pStyle w:val="TableParagraph"/>
              <w:spacing w:before="20"/>
              <w:ind w:left="410"/>
              <w:rPr>
                <w:sz w:val="20"/>
              </w:rPr>
            </w:pPr>
            <w:r>
              <w:rPr>
                <w:sz w:val="20"/>
              </w:rPr>
              <w:t>U.S.</w:t>
            </w:r>
            <w:r>
              <w:rPr>
                <w:spacing w:val="-5"/>
                <w:sz w:val="20"/>
              </w:rPr>
              <w:t> </w:t>
            </w:r>
            <w:r>
              <w:rPr>
                <w:sz w:val="20"/>
              </w:rPr>
              <w:t>Treasury</w:t>
            </w:r>
            <w:r>
              <w:rPr>
                <w:spacing w:val="-3"/>
                <w:sz w:val="20"/>
              </w:rPr>
              <w:t> </w:t>
            </w:r>
            <w:r>
              <w:rPr>
                <w:spacing w:val="-2"/>
                <w:sz w:val="20"/>
              </w:rPr>
              <w:t>securities</w:t>
            </w:r>
          </w:p>
        </w:tc>
        <w:tc>
          <w:tcPr>
            <w:tcW w:w="1548" w:type="dxa"/>
            <w:tcBorders>
              <w:bottom w:val="single" w:sz="8" w:space="0" w:color="000000"/>
            </w:tcBorders>
          </w:tcPr>
          <w:p>
            <w:pPr>
              <w:pStyle w:val="TableParagraph"/>
              <w:spacing w:before="20"/>
              <w:ind w:right="103"/>
              <w:jc w:val="right"/>
              <w:rPr>
                <w:sz w:val="20"/>
              </w:rPr>
            </w:pPr>
            <w:r>
              <w:rPr>
                <w:spacing w:val="-2"/>
                <w:sz w:val="20"/>
              </w:rPr>
              <w:t>1,008,195</w:t>
            </w:r>
          </w:p>
        </w:tc>
        <w:tc>
          <w:tcPr>
            <w:tcW w:w="1280" w:type="dxa"/>
            <w:tcBorders>
              <w:bottom w:val="single" w:sz="8" w:space="0" w:color="000000"/>
            </w:tcBorders>
          </w:tcPr>
          <w:p>
            <w:pPr>
              <w:pStyle w:val="TableParagraph"/>
              <w:spacing w:before="20"/>
              <w:ind w:right="102"/>
              <w:jc w:val="right"/>
              <w:rPr>
                <w:sz w:val="20"/>
              </w:rPr>
            </w:pPr>
            <w:r>
              <w:rPr>
                <w:spacing w:val="-5"/>
                <w:sz w:val="20"/>
              </w:rPr>
              <w:t>194</w:t>
            </w:r>
          </w:p>
        </w:tc>
        <w:tc>
          <w:tcPr>
            <w:tcW w:w="1313" w:type="dxa"/>
            <w:tcBorders>
              <w:bottom w:val="single" w:sz="8" w:space="0" w:color="000000"/>
            </w:tcBorders>
          </w:tcPr>
          <w:p>
            <w:pPr>
              <w:pStyle w:val="TableParagraph"/>
              <w:spacing w:before="20"/>
              <w:ind w:right="67"/>
              <w:jc w:val="right"/>
              <w:rPr>
                <w:sz w:val="20"/>
              </w:rPr>
            </w:pPr>
            <w:r>
              <w:rPr>
                <w:spacing w:val="-2"/>
                <w:sz w:val="20"/>
              </w:rPr>
              <w:t>(1,470)</w:t>
            </w:r>
          </w:p>
        </w:tc>
        <w:tc>
          <w:tcPr>
            <w:tcW w:w="1240" w:type="dxa"/>
            <w:tcBorders>
              <w:bottom w:val="single" w:sz="8" w:space="0" w:color="000000"/>
            </w:tcBorders>
          </w:tcPr>
          <w:p>
            <w:pPr>
              <w:pStyle w:val="TableParagraph"/>
              <w:spacing w:before="20"/>
              <w:ind w:right="96"/>
              <w:jc w:val="right"/>
              <w:rPr>
                <w:sz w:val="20"/>
              </w:rPr>
            </w:pPr>
            <w:r>
              <w:rPr>
                <w:spacing w:val="-2"/>
                <w:sz w:val="20"/>
              </w:rPr>
              <w:t>1,006,919</w:t>
            </w:r>
          </w:p>
        </w:tc>
      </w:tr>
      <w:tr>
        <w:trPr>
          <w:trHeight w:val="280" w:hRule="atLeast"/>
        </w:trPr>
        <w:tc>
          <w:tcPr>
            <w:tcW w:w="4878" w:type="dxa"/>
            <w:shd w:val="clear" w:color="auto" w:fill="CCEDFF"/>
          </w:tcPr>
          <w:p>
            <w:pPr>
              <w:pStyle w:val="TableParagraph"/>
              <w:spacing w:before="10"/>
              <w:ind w:left="410"/>
              <w:rPr>
                <w:sz w:val="20"/>
              </w:rPr>
            </w:pPr>
            <w:r>
              <w:rPr>
                <w:sz w:val="20"/>
              </w:rPr>
              <w:t>Total</w:t>
            </w:r>
            <w:r>
              <w:rPr>
                <w:spacing w:val="-9"/>
                <w:sz w:val="20"/>
              </w:rPr>
              <w:t> </w:t>
            </w:r>
            <w:r>
              <w:rPr>
                <w:sz w:val="20"/>
              </w:rPr>
              <w:t>short-term</w:t>
            </w:r>
            <w:r>
              <w:rPr>
                <w:spacing w:val="-7"/>
                <w:sz w:val="20"/>
              </w:rPr>
              <w:t> </w:t>
            </w:r>
            <w:r>
              <w:rPr>
                <w:spacing w:val="-2"/>
                <w:sz w:val="20"/>
              </w:rPr>
              <w:t>investments</w:t>
            </w:r>
          </w:p>
        </w:tc>
        <w:tc>
          <w:tcPr>
            <w:tcW w:w="1548" w:type="dxa"/>
            <w:tcBorders>
              <w:top w:val="single" w:sz="8" w:space="0" w:color="000000"/>
              <w:bottom w:val="single" w:sz="8" w:space="0" w:color="000000"/>
            </w:tcBorders>
            <w:shd w:val="clear" w:color="auto" w:fill="CCEDFF"/>
          </w:tcPr>
          <w:p>
            <w:pPr>
              <w:pStyle w:val="TableParagraph"/>
              <w:spacing w:before="10"/>
              <w:ind w:right="103"/>
              <w:jc w:val="right"/>
              <w:rPr>
                <w:sz w:val="20"/>
              </w:rPr>
            </w:pPr>
            <w:r>
              <w:rPr>
                <w:spacing w:val="-2"/>
                <w:sz w:val="20"/>
              </w:rPr>
              <w:t>3,758,221</w:t>
            </w:r>
          </w:p>
        </w:tc>
        <w:tc>
          <w:tcPr>
            <w:tcW w:w="1280" w:type="dxa"/>
            <w:tcBorders>
              <w:top w:val="single" w:sz="8" w:space="0" w:color="000000"/>
              <w:bottom w:val="single" w:sz="8" w:space="0" w:color="000000"/>
            </w:tcBorders>
            <w:shd w:val="clear" w:color="auto" w:fill="CCEDFF"/>
          </w:tcPr>
          <w:p>
            <w:pPr>
              <w:pStyle w:val="TableParagraph"/>
              <w:spacing w:before="10"/>
              <w:ind w:right="102"/>
              <w:jc w:val="right"/>
              <w:rPr>
                <w:sz w:val="20"/>
              </w:rPr>
            </w:pPr>
            <w:r>
              <w:rPr>
                <w:spacing w:val="-2"/>
                <w:sz w:val="20"/>
              </w:rPr>
              <w:t>3,503</w:t>
            </w:r>
          </w:p>
        </w:tc>
        <w:tc>
          <w:tcPr>
            <w:tcW w:w="1313" w:type="dxa"/>
            <w:tcBorders>
              <w:top w:val="single" w:sz="8" w:space="0" w:color="000000"/>
              <w:bottom w:val="single" w:sz="8" w:space="0" w:color="000000"/>
            </w:tcBorders>
            <w:shd w:val="clear" w:color="auto" w:fill="CCEDFF"/>
          </w:tcPr>
          <w:p>
            <w:pPr>
              <w:pStyle w:val="TableParagraph"/>
              <w:spacing w:before="10"/>
              <w:ind w:right="67"/>
              <w:jc w:val="right"/>
              <w:rPr>
                <w:sz w:val="20"/>
              </w:rPr>
            </w:pPr>
            <w:r>
              <w:rPr>
                <w:spacing w:val="-2"/>
                <w:sz w:val="20"/>
              </w:rPr>
              <w:t>(11,739)</w:t>
            </w:r>
          </w:p>
        </w:tc>
        <w:tc>
          <w:tcPr>
            <w:tcW w:w="1240" w:type="dxa"/>
            <w:tcBorders>
              <w:top w:val="single" w:sz="8" w:space="0" w:color="000000"/>
              <w:bottom w:val="single" w:sz="8" w:space="0" w:color="000000"/>
            </w:tcBorders>
            <w:shd w:val="clear" w:color="auto" w:fill="CCEDFF"/>
          </w:tcPr>
          <w:p>
            <w:pPr>
              <w:pStyle w:val="TableParagraph"/>
              <w:spacing w:before="10"/>
              <w:ind w:right="96"/>
              <w:jc w:val="right"/>
              <w:rPr>
                <w:sz w:val="20"/>
              </w:rPr>
            </w:pPr>
            <w:r>
              <w:rPr>
                <w:spacing w:val="-2"/>
                <w:sz w:val="20"/>
              </w:rPr>
              <w:t>3,749,985</w:t>
            </w:r>
          </w:p>
        </w:tc>
      </w:tr>
      <w:tr>
        <w:trPr>
          <w:trHeight w:val="239" w:hRule="atLeast"/>
        </w:trPr>
        <w:tc>
          <w:tcPr>
            <w:tcW w:w="4878" w:type="dxa"/>
          </w:tcPr>
          <w:p>
            <w:pPr>
              <w:pStyle w:val="TableParagraph"/>
              <w:spacing w:line="210" w:lineRule="exact" w:before="10"/>
              <w:ind w:left="50"/>
              <w:rPr>
                <w:sz w:val="20"/>
              </w:rPr>
            </w:pPr>
            <w:r>
              <w:rPr>
                <w:sz w:val="20"/>
              </w:rPr>
              <w:t>Total</w:t>
            </w:r>
            <w:r>
              <w:rPr>
                <w:spacing w:val="-5"/>
                <w:sz w:val="20"/>
              </w:rPr>
              <w:t> </w:t>
            </w:r>
            <w:r>
              <w:rPr>
                <w:sz w:val="20"/>
              </w:rPr>
              <w:t>cash,</w:t>
            </w:r>
            <w:r>
              <w:rPr>
                <w:spacing w:val="-4"/>
                <w:sz w:val="20"/>
              </w:rPr>
              <w:t> </w:t>
            </w:r>
            <w:r>
              <w:rPr>
                <w:sz w:val="20"/>
              </w:rPr>
              <w:t>cash</w:t>
            </w:r>
            <w:r>
              <w:rPr>
                <w:spacing w:val="-4"/>
                <w:sz w:val="20"/>
              </w:rPr>
              <w:t> </w:t>
            </w:r>
            <w:r>
              <w:rPr>
                <w:sz w:val="20"/>
              </w:rPr>
              <w:t>equivalents</w:t>
            </w:r>
            <w:r>
              <w:rPr>
                <w:spacing w:val="-4"/>
                <w:sz w:val="20"/>
              </w:rPr>
              <w:t> </w:t>
            </w:r>
            <w:r>
              <w:rPr>
                <w:sz w:val="20"/>
              </w:rPr>
              <w:t>and</w:t>
            </w:r>
            <w:r>
              <w:rPr>
                <w:spacing w:val="-4"/>
                <w:sz w:val="20"/>
              </w:rPr>
              <w:t> </w:t>
            </w:r>
            <w:r>
              <w:rPr>
                <w:sz w:val="20"/>
              </w:rPr>
              <w:t>short-term</w:t>
            </w:r>
            <w:r>
              <w:rPr>
                <w:spacing w:val="-4"/>
                <w:sz w:val="20"/>
              </w:rPr>
              <w:t> </w:t>
            </w:r>
            <w:r>
              <w:rPr>
                <w:spacing w:val="-2"/>
                <w:sz w:val="20"/>
              </w:rPr>
              <w:t>investments</w:t>
            </w:r>
          </w:p>
        </w:tc>
        <w:tc>
          <w:tcPr>
            <w:tcW w:w="1548" w:type="dxa"/>
            <w:tcBorders>
              <w:top w:val="single" w:sz="8" w:space="0" w:color="000000"/>
            </w:tcBorders>
          </w:tcPr>
          <w:p>
            <w:pPr>
              <w:pStyle w:val="TableParagraph"/>
              <w:spacing w:line="210" w:lineRule="exact" w:before="10"/>
              <w:ind w:right="103"/>
              <w:jc w:val="right"/>
              <w:rPr>
                <w:sz w:val="20"/>
              </w:rPr>
            </w:pPr>
            <w:r>
              <w:rPr>
                <w:sz w:val="20"/>
              </w:rPr>
              <w:t>$</w:t>
            </w:r>
            <w:r>
              <w:rPr>
                <w:spacing w:val="36"/>
                <w:sz w:val="20"/>
              </w:rPr>
              <w:t>  </w:t>
            </w:r>
            <w:r>
              <w:rPr>
                <w:spacing w:val="-2"/>
                <w:sz w:val="20"/>
              </w:rPr>
              <w:t>4,769,536</w:t>
            </w:r>
          </w:p>
        </w:tc>
        <w:tc>
          <w:tcPr>
            <w:tcW w:w="1280" w:type="dxa"/>
            <w:tcBorders>
              <w:top w:val="single" w:sz="8" w:space="0" w:color="000000"/>
            </w:tcBorders>
          </w:tcPr>
          <w:p>
            <w:pPr>
              <w:pStyle w:val="TableParagraph"/>
              <w:tabs>
                <w:tab w:pos="622" w:val="left" w:leader="none"/>
              </w:tabs>
              <w:spacing w:line="210" w:lineRule="exact" w:before="10"/>
              <w:ind w:right="102"/>
              <w:jc w:val="right"/>
              <w:rPr>
                <w:sz w:val="20"/>
              </w:rPr>
            </w:pPr>
            <w:r>
              <w:rPr>
                <w:spacing w:val="-10"/>
                <w:sz w:val="20"/>
              </w:rPr>
              <w:t>$</w:t>
            </w:r>
            <w:r>
              <w:rPr>
                <w:sz w:val="20"/>
              </w:rPr>
              <w:tab/>
            </w:r>
            <w:r>
              <w:rPr>
                <w:spacing w:val="-2"/>
                <w:sz w:val="20"/>
              </w:rPr>
              <w:t>3,503</w:t>
            </w:r>
          </w:p>
        </w:tc>
        <w:tc>
          <w:tcPr>
            <w:tcW w:w="1313" w:type="dxa"/>
            <w:tcBorders>
              <w:top w:val="single" w:sz="8" w:space="0" w:color="000000"/>
            </w:tcBorders>
          </w:tcPr>
          <w:p>
            <w:pPr>
              <w:pStyle w:val="TableParagraph"/>
              <w:tabs>
                <w:tab w:pos="455" w:val="left" w:leader="none"/>
              </w:tabs>
              <w:spacing w:line="210" w:lineRule="exact" w:before="10"/>
              <w:ind w:right="67"/>
              <w:jc w:val="right"/>
              <w:rPr>
                <w:sz w:val="20"/>
              </w:rPr>
            </w:pPr>
            <w:r>
              <w:rPr>
                <w:spacing w:val="-10"/>
                <w:sz w:val="20"/>
              </w:rPr>
              <w:t>$</w:t>
            </w:r>
            <w:r>
              <w:rPr>
                <w:sz w:val="20"/>
              </w:rPr>
              <w:tab/>
            </w:r>
            <w:r>
              <w:rPr>
                <w:spacing w:val="-2"/>
                <w:sz w:val="20"/>
              </w:rPr>
              <w:t>(11,739)</w:t>
            </w:r>
          </w:p>
        </w:tc>
        <w:tc>
          <w:tcPr>
            <w:tcW w:w="1240" w:type="dxa"/>
            <w:tcBorders>
              <w:top w:val="single" w:sz="8" w:space="0" w:color="000000"/>
            </w:tcBorders>
          </w:tcPr>
          <w:p>
            <w:pPr>
              <w:pStyle w:val="TableParagraph"/>
              <w:spacing w:line="210" w:lineRule="exact" w:before="10"/>
              <w:ind w:right="96"/>
              <w:jc w:val="right"/>
              <w:rPr>
                <w:sz w:val="20"/>
              </w:rPr>
            </w:pPr>
            <w:r>
              <w:rPr>
                <w:sz w:val="20"/>
              </w:rPr>
              <w:t>$</w:t>
            </w:r>
            <w:r>
              <w:rPr>
                <w:spacing w:val="36"/>
                <w:sz w:val="20"/>
              </w:rPr>
              <w:t>  </w:t>
            </w:r>
            <w:r>
              <w:rPr>
                <w:spacing w:val="-2"/>
                <w:sz w:val="20"/>
              </w:rPr>
              <w:t>4,761,300</w:t>
            </w:r>
          </w:p>
        </w:tc>
      </w:tr>
    </w:tbl>
    <w:p>
      <w:pPr>
        <w:spacing w:line="60" w:lineRule="exact"/>
        <w:ind w:left="5400" w:right="0" w:firstLine="0"/>
        <w:jc w:val="left"/>
        <w:rPr>
          <w:sz w:val="6"/>
        </w:rPr>
      </w:pPr>
      <w:r>
        <w:rPr>
          <w:position w:val="0"/>
          <w:sz w:val="6"/>
        </w:rPr>
        <mc:AlternateContent>
          <mc:Choice Requires="wps">
            <w:drawing>
              <wp:inline distT="0" distB="0" distL="0" distR="0">
                <wp:extent cx="762000" cy="38100"/>
                <wp:effectExtent l="9525" t="0" r="0" b="9525"/>
                <wp:docPr id="401" name="Group 401"/>
                <wp:cNvGraphicFramePr>
                  <a:graphicFrameLocks/>
                </wp:cNvGraphicFramePr>
                <a:graphic>
                  <a:graphicData uri="http://schemas.microsoft.com/office/word/2010/wordprocessingGroup">
                    <wpg:wgp>
                      <wpg:cNvPr id="401" name="Group 401"/>
                      <wpg:cNvGrpSpPr/>
                      <wpg:grpSpPr>
                        <a:xfrm>
                          <a:off x="0" y="0"/>
                          <a:ext cx="762000" cy="38100"/>
                          <a:chExt cx="762000" cy="38100"/>
                        </a:xfrm>
                      </wpg:grpSpPr>
                      <wps:wsp>
                        <wps:cNvPr id="402" name="Graphic 402"/>
                        <wps:cNvSpPr/>
                        <wps:spPr>
                          <a:xfrm>
                            <a:off x="0" y="635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3pt;mso-position-horizontal-relative:char;mso-position-vertical-relative:line" id="docshapegroup326" coordorigin="0,0" coordsize="1200,60">
                <v:shape style="position:absolute;left:0;top:10;width:1200;height:40" id="docshape327" coordorigin="0,10" coordsize="1200,40" path="m0,10l1200,10m0,50l1200,50e" filled="false" stroked="true" strokeweight="1pt" strokecolor="#000000">
                  <v:path arrowok="t"/>
                  <v:stroke dashstyle="solid"/>
                </v:shape>
              </v:group>
            </w:pict>
          </mc:Fallback>
        </mc:AlternateContent>
      </w:r>
      <w:r>
        <w:rPr>
          <w:position w:val="0"/>
          <w:sz w:val="6"/>
        </w:rPr>
      </w:r>
      <w:r>
        <w:rPr>
          <w:spacing w:val="35"/>
          <w:position w:val="0"/>
          <w:sz w:val="6"/>
        </w:rPr>
        <w:t> </w:t>
      </w:r>
      <w:r>
        <w:rPr>
          <w:spacing w:val="35"/>
          <w:position w:val="0"/>
          <w:sz w:val="6"/>
        </w:rPr>
        <mc:AlternateContent>
          <mc:Choice Requires="wps">
            <w:drawing>
              <wp:inline distT="0" distB="0" distL="0" distR="0">
                <wp:extent cx="762000" cy="38100"/>
                <wp:effectExtent l="9525" t="0" r="0" b="9525"/>
                <wp:docPr id="403" name="Group 403"/>
                <wp:cNvGraphicFramePr>
                  <a:graphicFrameLocks/>
                </wp:cNvGraphicFramePr>
                <a:graphic>
                  <a:graphicData uri="http://schemas.microsoft.com/office/word/2010/wordprocessingGroup">
                    <wpg:wgp>
                      <wpg:cNvPr id="403" name="Group 403"/>
                      <wpg:cNvGrpSpPr/>
                      <wpg:grpSpPr>
                        <a:xfrm>
                          <a:off x="0" y="0"/>
                          <a:ext cx="762000" cy="38100"/>
                          <a:chExt cx="762000" cy="38100"/>
                        </a:xfrm>
                      </wpg:grpSpPr>
                      <wps:wsp>
                        <wps:cNvPr id="404" name="Graphic 404"/>
                        <wps:cNvSpPr/>
                        <wps:spPr>
                          <a:xfrm>
                            <a:off x="0" y="635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3pt;mso-position-horizontal-relative:char;mso-position-vertical-relative:line" id="docshapegroup328" coordorigin="0,0" coordsize="1200,60">
                <v:shape style="position:absolute;left:0;top:10;width:1200;height:40" id="docshape329" coordorigin="0,10" coordsize="1200,40" path="m0,10l1200,10m0,50l1200,50e" filled="false" stroked="true" strokeweight="1pt" strokecolor="#000000">
                  <v:path arrowok="t"/>
                  <v:stroke dashstyle="solid"/>
                </v:shape>
              </v:group>
            </w:pict>
          </mc:Fallback>
        </mc:AlternateContent>
      </w:r>
      <w:r>
        <w:rPr>
          <w:spacing w:val="35"/>
          <w:position w:val="0"/>
          <w:sz w:val="6"/>
        </w:rPr>
      </w:r>
      <w:r>
        <w:rPr>
          <w:spacing w:val="35"/>
          <w:position w:val="0"/>
          <w:sz w:val="6"/>
        </w:rPr>
        <w:t> </w:t>
      </w:r>
      <w:r>
        <w:rPr>
          <w:spacing w:val="35"/>
          <w:position w:val="0"/>
          <w:sz w:val="6"/>
        </w:rPr>
        <mc:AlternateContent>
          <mc:Choice Requires="wps">
            <w:drawing>
              <wp:inline distT="0" distB="0" distL="0" distR="0">
                <wp:extent cx="762000" cy="38100"/>
                <wp:effectExtent l="9525" t="0" r="0" b="9525"/>
                <wp:docPr id="405" name="Group 405"/>
                <wp:cNvGraphicFramePr>
                  <a:graphicFrameLocks/>
                </wp:cNvGraphicFramePr>
                <a:graphic>
                  <a:graphicData uri="http://schemas.microsoft.com/office/word/2010/wordprocessingGroup">
                    <wpg:wgp>
                      <wpg:cNvPr id="405" name="Group 405"/>
                      <wpg:cNvGrpSpPr/>
                      <wpg:grpSpPr>
                        <a:xfrm>
                          <a:off x="0" y="0"/>
                          <a:ext cx="762000" cy="38100"/>
                          <a:chExt cx="762000" cy="38100"/>
                        </a:xfrm>
                      </wpg:grpSpPr>
                      <wps:wsp>
                        <wps:cNvPr id="406" name="Graphic 406"/>
                        <wps:cNvSpPr/>
                        <wps:spPr>
                          <a:xfrm>
                            <a:off x="0" y="635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3pt;mso-position-horizontal-relative:char;mso-position-vertical-relative:line" id="docshapegroup330" coordorigin="0,0" coordsize="1200,60">
                <v:shape style="position:absolute;left:0;top:10;width:1200;height:40" id="docshape331" coordorigin="0,10" coordsize="1200,40" path="m0,10l1200,10m0,50l1200,50e" filled="false" stroked="true" strokeweight="1pt" strokecolor="#000000">
                  <v:path arrowok="t"/>
                  <v:stroke dashstyle="solid"/>
                </v:shape>
              </v:group>
            </w:pict>
          </mc:Fallback>
        </mc:AlternateContent>
      </w:r>
      <w:r>
        <w:rPr>
          <w:spacing w:val="35"/>
          <w:position w:val="0"/>
          <w:sz w:val="6"/>
        </w:rPr>
      </w:r>
      <w:r>
        <w:rPr>
          <w:spacing w:val="35"/>
          <w:position w:val="0"/>
          <w:sz w:val="6"/>
        </w:rPr>
        <w:t> </w:t>
      </w:r>
      <w:r>
        <w:rPr>
          <w:spacing w:val="35"/>
          <w:position w:val="0"/>
          <w:sz w:val="6"/>
        </w:rPr>
        <mc:AlternateContent>
          <mc:Choice Requires="wps">
            <w:drawing>
              <wp:inline distT="0" distB="0" distL="0" distR="0">
                <wp:extent cx="762000" cy="38100"/>
                <wp:effectExtent l="9525" t="0" r="0" b="9525"/>
                <wp:docPr id="407" name="Group 407"/>
                <wp:cNvGraphicFramePr>
                  <a:graphicFrameLocks/>
                </wp:cNvGraphicFramePr>
                <a:graphic>
                  <a:graphicData uri="http://schemas.microsoft.com/office/word/2010/wordprocessingGroup">
                    <wpg:wgp>
                      <wpg:cNvPr id="407" name="Group 407"/>
                      <wpg:cNvGrpSpPr/>
                      <wpg:grpSpPr>
                        <a:xfrm>
                          <a:off x="0" y="0"/>
                          <a:ext cx="762000" cy="38100"/>
                          <a:chExt cx="762000" cy="38100"/>
                        </a:xfrm>
                      </wpg:grpSpPr>
                      <wps:wsp>
                        <wps:cNvPr id="408" name="Graphic 408"/>
                        <wps:cNvSpPr/>
                        <wps:spPr>
                          <a:xfrm>
                            <a:off x="0" y="635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3pt;mso-position-horizontal-relative:char;mso-position-vertical-relative:line" id="docshapegroup332" coordorigin="0,0" coordsize="1200,60">
                <v:shape style="position:absolute;left:0;top:10;width:1200;height:40" id="docshape333" coordorigin="0,10" coordsize="1200,40" path="m0,10l1200,10m0,50l1200,50e" filled="false" stroked="true" strokeweight="1pt" strokecolor="#000000">
                  <v:path arrowok="t"/>
                  <v:stroke dashstyle="solid"/>
                </v:shape>
              </v:group>
            </w:pict>
          </mc:Fallback>
        </mc:AlternateContent>
      </w:r>
      <w:r>
        <w:rPr>
          <w:spacing w:val="35"/>
          <w:position w:val="0"/>
          <w:sz w:val="6"/>
        </w:rPr>
      </w:r>
    </w:p>
    <w:p>
      <w:pPr>
        <w:spacing w:before="215"/>
        <w:ind w:left="760" w:right="0" w:firstLine="0"/>
        <w:jc w:val="left"/>
        <w:rPr>
          <w:i/>
          <w:sz w:val="20"/>
        </w:rPr>
      </w:pPr>
      <w:hyperlink w:history="true" w:anchor="_bookmark25">
        <w:r>
          <w:rPr>
            <w:i/>
            <w:sz w:val="20"/>
          </w:rPr>
          <w:t>See</w:t>
        </w:r>
        <w:r>
          <w:rPr>
            <w:i/>
            <w:spacing w:val="-5"/>
            <w:sz w:val="20"/>
          </w:rPr>
          <w:t> </w:t>
        </w:r>
        <w:r>
          <w:rPr>
            <w:i/>
            <w:sz w:val="20"/>
          </w:rPr>
          <w:t>Note</w:t>
        </w:r>
        <w:r>
          <w:rPr>
            <w:i/>
            <w:spacing w:val="-3"/>
            <w:sz w:val="20"/>
          </w:rPr>
          <w:t> </w:t>
        </w:r>
        <w:r>
          <w:rPr>
            <w:i/>
            <w:sz w:val="20"/>
          </w:rPr>
          <w:t>4</w:t>
        </w:r>
        <w:r>
          <w:rPr>
            <w:i/>
            <w:spacing w:val="-3"/>
            <w:sz w:val="20"/>
          </w:rPr>
          <w:t> </w:t>
        </w:r>
        <w:r>
          <w:rPr>
            <w:i/>
            <w:sz w:val="20"/>
          </w:rPr>
          <w:t>for</w:t>
        </w:r>
        <w:r>
          <w:rPr>
            <w:i/>
            <w:spacing w:val="-2"/>
            <w:sz w:val="20"/>
          </w:rPr>
          <w:t> </w:t>
        </w:r>
        <w:r>
          <w:rPr>
            <w:i/>
            <w:sz w:val="20"/>
          </w:rPr>
          <w:t>further</w:t>
        </w:r>
        <w:r>
          <w:rPr>
            <w:i/>
            <w:spacing w:val="-3"/>
            <w:sz w:val="20"/>
          </w:rPr>
          <w:t> </w:t>
        </w:r>
        <w:r>
          <w:rPr>
            <w:i/>
            <w:sz w:val="20"/>
          </w:rPr>
          <w:t>information</w:t>
        </w:r>
        <w:r>
          <w:rPr>
            <w:i/>
            <w:spacing w:val="-2"/>
            <w:sz w:val="20"/>
          </w:rPr>
          <w:t> </w:t>
        </w:r>
        <w:r>
          <w:rPr>
            <w:i/>
            <w:sz w:val="20"/>
          </w:rPr>
          <w:t>regarding</w:t>
        </w:r>
        <w:r>
          <w:rPr>
            <w:i/>
            <w:spacing w:val="-3"/>
            <w:sz w:val="20"/>
          </w:rPr>
          <w:t> </w:t>
        </w:r>
        <w:r>
          <w:rPr>
            <w:i/>
            <w:sz w:val="20"/>
          </w:rPr>
          <w:t>the</w:t>
        </w:r>
        <w:r>
          <w:rPr>
            <w:i/>
            <w:spacing w:val="-3"/>
            <w:sz w:val="20"/>
          </w:rPr>
          <w:t> </w:t>
        </w:r>
        <w:r>
          <w:rPr>
            <w:i/>
            <w:sz w:val="20"/>
          </w:rPr>
          <w:t>fair</w:t>
        </w:r>
        <w:r>
          <w:rPr>
            <w:i/>
            <w:spacing w:val="-3"/>
            <w:sz w:val="20"/>
          </w:rPr>
          <w:t> </w:t>
        </w:r>
        <w:r>
          <w:rPr>
            <w:i/>
            <w:sz w:val="20"/>
          </w:rPr>
          <w:t>value</w:t>
        </w:r>
        <w:r>
          <w:rPr>
            <w:i/>
            <w:spacing w:val="-3"/>
            <w:sz w:val="20"/>
          </w:rPr>
          <w:t> </w:t>
        </w:r>
        <w:r>
          <w:rPr>
            <w:i/>
            <w:sz w:val="20"/>
          </w:rPr>
          <w:t>of</w:t>
        </w:r>
        <w:r>
          <w:rPr>
            <w:i/>
            <w:spacing w:val="-4"/>
            <w:sz w:val="20"/>
          </w:rPr>
          <w:t> </w:t>
        </w:r>
        <w:r>
          <w:rPr>
            <w:i/>
            <w:sz w:val="20"/>
          </w:rPr>
          <w:t>our</w:t>
        </w:r>
        <w:r>
          <w:rPr>
            <w:i/>
            <w:spacing w:val="-2"/>
            <w:sz w:val="20"/>
          </w:rPr>
          <w:t> </w:t>
        </w:r>
        <w:r>
          <w:rPr>
            <w:i/>
            <w:sz w:val="20"/>
          </w:rPr>
          <w:t>financial</w:t>
        </w:r>
        <w:r>
          <w:rPr>
            <w:i/>
            <w:spacing w:val="-3"/>
            <w:sz w:val="20"/>
          </w:rPr>
          <w:t> </w:t>
        </w:r>
        <w:r>
          <w:rPr>
            <w:i/>
            <w:spacing w:val="-2"/>
            <w:sz w:val="20"/>
          </w:rPr>
          <w:t>instruments.</w:t>
        </w:r>
      </w:hyperlink>
    </w:p>
    <w:p>
      <w:pPr>
        <w:spacing w:after="0"/>
        <w:jc w:val="left"/>
        <w:rPr>
          <w:sz w:val="20"/>
        </w:rPr>
        <w:sectPr>
          <w:type w:val="continuous"/>
          <w:pgSz w:w="12240" w:h="15840"/>
          <w:pgMar w:header="210" w:footer="610" w:top="680" w:bottom="280" w:left="780" w:right="740"/>
        </w:sectPr>
      </w:pPr>
    </w:p>
    <w:p>
      <w:pPr>
        <w:pStyle w:val="BodyText"/>
        <w:rPr>
          <w:i/>
        </w:rPr>
      </w:pPr>
    </w:p>
    <w:p>
      <w:pPr>
        <w:pStyle w:val="BodyText"/>
        <w:rPr>
          <w:i/>
        </w:rPr>
      </w:pPr>
    </w:p>
    <w:p>
      <w:pPr>
        <w:pStyle w:val="BodyText"/>
        <w:spacing w:before="30"/>
        <w:rPr>
          <w:i/>
        </w:rPr>
      </w:pPr>
    </w:p>
    <w:p>
      <w:pPr>
        <w:pStyle w:val="BodyText"/>
        <w:spacing w:line="249" w:lineRule="auto"/>
        <w:ind w:left="220" w:right="257" w:firstLine="540"/>
        <w:jc w:val="both"/>
      </w:pPr>
      <w:r>
        <w:rPr>
          <w:spacing w:val="-2"/>
        </w:rPr>
        <w:t>The</w:t>
      </w:r>
      <w:r>
        <w:rPr>
          <w:spacing w:val="-4"/>
        </w:rPr>
        <w:t> </w:t>
      </w:r>
      <w:r>
        <w:rPr>
          <w:spacing w:val="-2"/>
        </w:rPr>
        <w:t>following</w:t>
      </w:r>
      <w:r>
        <w:rPr>
          <w:spacing w:val="-4"/>
        </w:rPr>
        <w:t> </w:t>
      </w:r>
      <w:r>
        <w:rPr>
          <w:spacing w:val="-2"/>
        </w:rPr>
        <w:t>table</w:t>
      </w:r>
      <w:r>
        <w:rPr>
          <w:spacing w:val="-4"/>
        </w:rPr>
        <w:t> </w:t>
      </w:r>
      <w:r>
        <w:rPr>
          <w:spacing w:val="-2"/>
        </w:rPr>
        <w:t>summarizes</w:t>
      </w:r>
      <w:r>
        <w:rPr>
          <w:spacing w:val="-4"/>
        </w:rPr>
        <w:t> </w:t>
      </w:r>
      <w:r>
        <w:rPr>
          <w:spacing w:val="-2"/>
        </w:rPr>
        <w:t>the</w:t>
      </w:r>
      <w:r>
        <w:rPr>
          <w:spacing w:val="-4"/>
        </w:rPr>
        <w:t> </w:t>
      </w:r>
      <w:r>
        <w:rPr>
          <w:spacing w:val="-2"/>
        </w:rPr>
        <w:t>fair</w:t>
      </w:r>
      <w:r>
        <w:rPr>
          <w:spacing w:val="-4"/>
        </w:rPr>
        <w:t> </w:t>
      </w:r>
      <w:r>
        <w:rPr>
          <w:spacing w:val="-2"/>
        </w:rPr>
        <w:t>value</w:t>
      </w:r>
      <w:r>
        <w:rPr>
          <w:spacing w:val="-4"/>
        </w:rPr>
        <w:t> </w:t>
      </w:r>
      <w:r>
        <w:rPr>
          <w:spacing w:val="-2"/>
        </w:rPr>
        <w:t>and</w:t>
      </w:r>
      <w:r>
        <w:rPr>
          <w:spacing w:val="-4"/>
        </w:rPr>
        <w:t> </w:t>
      </w:r>
      <w:r>
        <w:rPr>
          <w:spacing w:val="-2"/>
        </w:rPr>
        <w:t>gross</w:t>
      </w:r>
      <w:r>
        <w:rPr>
          <w:spacing w:val="-4"/>
        </w:rPr>
        <w:t> </w:t>
      </w:r>
      <w:r>
        <w:rPr>
          <w:spacing w:val="-2"/>
        </w:rPr>
        <w:t>unrealized</w:t>
      </w:r>
      <w:r>
        <w:rPr>
          <w:spacing w:val="-4"/>
        </w:rPr>
        <w:t> </w:t>
      </w:r>
      <w:r>
        <w:rPr>
          <w:spacing w:val="-2"/>
        </w:rPr>
        <w:t>losses</w:t>
      </w:r>
      <w:r>
        <w:rPr>
          <w:spacing w:val="-4"/>
        </w:rPr>
        <w:t> </w:t>
      </w:r>
      <w:r>
        <w:rPr>
          <w:spacing w:val="-2"/>
        </w:rPr>
        <w:t>related</w:t>
      </w:r>
      <w:r>
        <w:rPr>
          <w:spacing w:val="-4"/>
        </w:rPr>
        <w:t> </w:t>
      </w:r>
      <w:r>
        <w:rPr>
          <w:spacing w:val="-2"/>
        </w:rPr>
        <w:t>to</w:t>
      </w:r>
      <w:r>
        <w:rPr>
          <w:spacing w:val="-4"/>
        </w:rPr>
        <w:t> </w:t>
      </w:r>
      <w:r>
        <w:rPr>
          <w:spacing w:val="-2"/>
        </w:rPr>
        <w:t>available-for-sale</w:t>
      </w:r>
      <w:r>
        <w:rPr>
          <w:spacing w:val="-4"/>
        </w:rPr>
        <w:t> </w:t>
      </w:r>
      <w:r>
        <w:rPr>
          <w:spacing w:val="-2"/>
        </w:rPr>
        <w:t>securities,</w:t>
      </w:r>
      <w:r>
        <w:rPr>
          <w:spacing w:val="-4"/>
        </w:rPr>
        <w:t> </w:t>
      </w:r>
      <w:r>
        <w:rPr>
          <w:spacing w:val="-2"/>
        </w:rPr>
        <w:t>aggregated </w:t>
      </w:r>
      <w:r>
        <w:rPr/>
        <w:t>by investment category, that have been in an unrealized loss position for less than twelve months, as of December</w:t>
      </w:r>
      <w:r>
        <w:rPr>
          <w:spacing w:val="-2"/>
        </w:rPr>
        <w:t> </w:t>
      </w:r>
      <w:r>
        <w:rPr/>
        <w:t>1, 2017 and December 2, 2016 (in thousands):</w:t>
      </w:r>
    </w:p>
    <w:p>
      <w:pPr>
        <w:pStyle w:val="BodyText"/>
        <w:spacing w:before="21"/>
        <w:rPr>
          <w:sz w:val="16"/>
        </w:rPr>
      </w:pPr>
    </w:p>
    <w:p>
      <w:pPr>
        <w:tabs>
          <w:tab w:pos="8859" w:val="left" w:leader="none"/>
        </w:tabs>
        <w:spacing w:before="0" w:after="50"/>
        <w:ind w:left="5900" w:right="0" w:firstLine="0"/>
        <w:jc w:val="left"/>
        <w:rPr>
          <w:b/>
          <w:sz w:val="16"/>
        </w:rPr>
      </w:pPr>
      <w:r>
        <w:rPr>
          <w:b/>
          <w:spacing w:val="-4"/>
          <w:sz w:val="16"/>
        </w:rPr>
        <w:t>2017</w:t>
      </w:r>
      <w:r>
        <w:rPr>
          <w:b/>
          <w:sz w:val="16"/>
        </w:rPr>
        <w:tab/>
      </w:r>
      <w:r>
        <w:rPr>
          <w:b/>
          <w:spacing w:val="-4"/>
          <w:sz w:val="16"/>
        </w:rPr>
        <w:t>2016</w:t>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0"/>
        <w:gridCol w:w="1427"/>
        <w:gridCol w:w="1514"/>
        <w:gridCol w:w="1447"/>
        <w:gridCol w:w="1454"/>
      </w:tblGrid>
      <w:tr>
        <w:trPr>
          <w:trHeight w:val="540" w:hRule="atLeast"/>
        </w:trPr>
        <w:tc>
          <w:tcPr>
            <w:tcW w:w="4420" w:type="dxa"/>
          </w:tcPr>
          <w:p>
            <w:pPr>
              <w:pStyle w:val="TableParagraph"/>
              <w:rPr>
                <w:sz w:val="18"/>
              </w:rPr>
            </w:pPr>
          </w:p>
        </w:tc>
        <w:tc>
          <w:tcPr>
            <w:tcW w:w="1427" w:type="dxa"/>
            <w:tcBorders>
              <w:top w:val="single" w:sz="8" w:space="0" w:color="000000"/>
              <w:bottom w:val="single" w:sz="8" w:space="0" w:color="000000"/>
            </w:tcBorders>
          </w:tcPr>
          <w:p>
            <w:pPr>
              <w:pStyle w:val="TableParagraph"/>
              <w:spacing w:line="208" w:lineRule="auto" w:before="175"/>
              <w:ind w:left="497" w:right="542" w:firstLine="1"/>
              <w:jc w:val="center"/>
              <w:rPr>
                <w:b/>
                <w:sz w:val="16"/>
              </w:rPr>
            </w:pPr>
            <w:r>
              <w:rPr>
                <w:b/>
                <w:spacing w:val="-4"/>
                <w:sz w:val="16"/>
              </w:rPr>
              <w:t>Fair</w:t>
            </w:r>
            <w:r>
              <w:rPr>
                <w:b/>
                <w:spacing w:val="40"/>
                <w:sz w:val="16"/>
              </w:rPr>
              <w:t> </w:t>
            </w:r>
            <w:r>
              <w:rPr>
                <w:b/>
                <w:spacing w:val="-6"/>
                <w:sz w:val="16"/>
              </w:rPr>
              <w:t>Value</w:t>
            </w:r>
          </w:p>
        </w:tc>
        <w:tc>
          <w:tcPr>
            <w:tcW w:w="1514" w:type="dxa"/>
            <w:tcBorders>
              <w:top w:val="single" w:sz="8" w:space="0" w:color="000000"/>
              <w:bottom w:val="single" w:sz="8" w:space="0" w:color="000000"/>
            </w:tcBorders>
          </w:tcPr>
          <w:p>
            <w:pPr>
              <w:pStyle w:val="TableParagraph"/>
              <w:spacing w:line="208" w:lineRule="auto" w:before="18"/>
              <w:ind w:left="370" w:right="397" w:hanging="1"/>
              <w:jc w:val="center"/>
              <w:rPr>
                <w:b/>
                <w:sz w:val="16"/>
              </w:rPr>
            </w:pPr>
            <w:r>
              <w:rPr>
                <w:b/>
                <w:spacing w:val="-2"/>
                <w:sz w:val="16"/>
              </w:rPr>
              <w:t>Gross</w:t>
            </w:r>
            <w:r>
              <w:rPr>
                <w:b/>
                <w:spacing w:val="40"/>
                <w:sz w:val="16"/>
              </w:rPr>
              <w:t> </w:t>
            </w:r>
            <w:r>
              <w:rPr>
                <w:b/>
                <w:spacing w:val="-2"/>
                <w:sz w:val="16"/>
              </w:rPr>
              <w:t>Unrealized</w:t>
            </w:r>
            <w:r>
              <w:rPr>
                <w:b/>
                <w:spacing w:val="40"/>
                <w:sz w:val="16"/>
              </w:rPr>
              <w:t> </w:t>
            </w:r>
            <w:r>
              <w:rPr>
                <w:b/>
                <w:spacing w:val="-2"/>
                <w:sz w:val="16"/>
              </w:rPr>
              <w:t>Losses</w:t>
            </w:r>
          </w:p>
        </w:tc>
        <w:tc>
          <w:tcPr>
            <w:tcW w:w="1447" w:type="dxa"/>
            <w:tcBorders>
              <w:top w:val="single" w:sz="8" w:space="0" w:color="000000"/>
              <w:bottom w:val="single" w:sz="8" w:space="0" w:color="000000"/>
            </w:tcBorders>
          </w:tcPr>
          <w:p>
            <w:pPr>
              <w:pStyle w:val="TableParagraph"/>
              <w:spacing w:line="208" w:lineRule="auto" w:before="175"/>
              <w:ind w:left="516" w:right="543" w:firstLine="1"/>
              <w:jc w:val="center"/>
              <w:rPr>
                <w:b/>
                <w:sz w:val="16"/>
              </w:rPr>
            </w:pPr>
            <w:r>
              <w:rPr>
                <w:b/>
                <w:spacing w:val="-4"/>
                <w:sz w:val="16"/>
              </w:rPr>
              <w:t>Fair</w:t>
            </w:r>
            <w:r>
              <w:rPr>
                <w:b/>
                <w:spacing w:val="40"/>
                <w:sz w:val="16"/>
              </w:rPr>
              <w:t> </w:t>
            </w:r>
            <w:r>
              <w:rPr>
                <w:b/>
                <w:spacing w:val="-6"/>
                <w:sz w:val="16"/>
              </w:rPr>
              <w:t>Value</w:t>
            </w:r>
          </w:p>
        </w:tc>
        <w:tc>
          <w:tcPr>
            <w:tcW w:w="1454" w:type="dxa"/>
            <w:tcBorders>
              <w:top w:val="single" w:sz="8" w:space="0" w:color="000000"/>
              <w:bottom w:val="single" w:sz="8" w:space="0" w:color="000000"/>
            </w:tcBorders>
          </w:tcPr>
          <w:p>
            <w:pPr>
              <w:pStyle w:val="TableParagraph"/>
              <w:spacing w:line="208" w:lineRule="auto" w:before="18"/>
              <w:ind w:left="369" w:right="338" w:hanging="1"/>
              <w:jc w:val="center"/>
              <w:rPr>
                <w:b/>
                <w:sz w:val="16"/>
              </w:rPr>
            </w:pPr>
            <w:r>
              <w:rPr>
                <w:b/>
                <w:spacing w:val="-2"/>
                <w:sz w:val="16"/>
              </w:rPr>
              <w:t>Gross</w:t>
            </w:r>
            <w:r>
              <w:rPr>
                <w:b/>
                <w:spacing w:val="40"/>
                <w:sz w:val="16"/>
              </w:rPr>
              <w:t> </w:t>
            </w:r>
            <w:r>
              <w:rPr>
                <w:b/>
                <w:spacing w:val="-2"/>
                <w:sz w:val="16"/>
              </w:rPr>
              <w:t>Unrealized</w:t>
            </w:r>
            <w:r>
              <w:rPr>
                <w:b/>
                <w:spacing w:val="40"/>
                <w:sz w:val="16"/>
              </w:rPr>
              <w:t> </w:t>
            </w:r>
            <w:r>
              <w:rPr>
                <w:b/>
                <w:spacing w:val="-2"/>
                <w:sz w:val="16"/>
              </w:rPr>
              <w:t>Losses</w:t>
            </w:r>
          </w:p>
        </w:tc>
      </w:tr>
      <w:tr>
        <w:trPr>
          <w:trHeight w:val="290" w:hRule="atLeast"/>
        </w:trPr>
        <w:tc>
          <w:tcPr>
            <w:tcW w:w="4420" w:type="dxa"/>
            <w:shd w:val="clear" w:color="auto" w:fill="CCEDFF"/>
          </w:tcPr>
          <w:p>
            <w:pPr>
              <w:pStyle w:val="TableParagraph"/>
              <w:spacing w:before="10"/>
              <w:ind w:left="70"/>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427" w:type="dxa"/>
            <w:tcBorders>
              <w:top w:val="single" w:sz="8" w:space="0" w:color="000000"/>
            </w:tcBorders>
            <w:shd w:val="clear" w:color="auto" w:fill="CCEDFF"/>
          </w:tcPr>
          <w:p>
            <w:pPr>
              <w:pStyle w:val="TableParagraph"/>
              <w:tabs>
                <w:tab w:pos="472" w:val="left" w:leader="none"/>
              </w:tabs>
              <w:spacing w:before="10"/>
              <w:ind w:right="103"/>
              <w:jc w:val="right"/>
              <w:rPr>
                <w:sz w:val="20"/>
              </w:rPr>
            </w:pPr>
            <w:r>
              <w:rPr>
                <w:spacing w:val="-10"/>
                <w:sz w:val="20"/>
              </w:rPr>
              <w:t>$</w:t>
            </w:r>
            <w:r>
              <w:rPr>
                <w:sz w:val="20"/>
              </w:rPr>
              <w:tab/>
            </w:r>
            <w:r>
              <w:rPr>
                <w:spacing w:val="-2"/>
                <w:sz w:val="20"/>
              </w:rPr>
              <w:t>1,338,232</w:t>
            </w:r>
          </w:p>
        </w:tc>
        <w:tc>
          <w:tcPr>
            <w:tcW w:w="1514" w:type="dxa"/>
            <w:tcBorders>
              <w:top w:val="single" w:sz="8" w:space="0" w:color="000000"/>
            </w:tcBorders>
            <w:shd w:val="clear" w:color="auto" w:fill="CCEDFF"/>
          </w:tcPr>
          <w:p>
            <w:pPr>
              <w:pStyle w:val="TableParagraph"/>
              <w:tabs>
                <w:tab w:pos="755" w:val="left" w:leader="none"/>
              </w:tabs>
              <w:spacing w:before="10"/>
              <w:ind w:right="69"/>
              <w:jc w:val="right"/>
              <w:rPr>
                <w:sz w:val="20"/>
              </w:rPr>
            </w:pPr>
            <w:r>
              <w:rPr>
                <w:spacing w:val="-10"/>
                <w:sz w:val="20"/>
              </w:rPr>
              <w:t>$</w:t>
            </w:r>
            <w:r>
              <w:rPr>
                <w:sz w:val="20"/>
              </w:rPr>
              <w:tab/>
            </w:r>
            <w:r>
              <w:rPr>
                <w:spacing w:val="-2"/>
                <w:sz w:val="20"/>
              </w:rPr>
              <w:t>(5,459)</w:t>
            </w:r>
          </w:p>
        </w:tc>
        <w:tc>
          <w:tcPr>
            <w:tcW w:w="1447" w:type="dxa"/>
            <w:tcBorders>
              <w:top w:val="single" w:sz="8" w:space="0" w:color="000000"/>
            </w:tcBorders>
            <w:shd w:val="clear" w:color="auto" w:fill="CCEDFF"/>
          </w:tcPr>
          <w:p>
            <w:pPr>
              <w:pStyle w:val="TableParagraph"/>
              <w:tabs>
                <w:tab w:pos="472" w:val="left" w:leader="none"/>
              </w:tabs>
              <w:spacing w:before="10"/>
              <w:ind w:right="104"/>
              <w:jc w:val="right"/>
              <w:rPr>
                <w:sz w:val="20"/>
              </w:rPr>
            </w:pPr>
            <w:r>
              <w:rPr>
                <w:spacing w:val="-10"/>
                <w:sz w:val="20"/>
              </w:rPr>
              <w:t>$</w:t>
            </w:r>
            <w:r>
              <w:rPr>
                <w:sz w:val="20"/>
              </w:rPr>
              <w:tab/>
            </w:r>
            <w:r>
              <w:rPr>
                <w:spacing w:val="-2"/>
                <w:sz w:val="20"/>
              </w:rPr>
              <w:t>1,282,076</w:t>
            </w:r>
          </w:p>
        </w:tc>
        <w:tc>
          <w:tcPr>
            <w:tcW w:w="1454" w:type="dxa"/>
            <w:tcBorders>
              <w:top w:val="single" w:sz="8" w:space="0" w:color="000000"/>
            </w:tcBorders>
            <w:shd w:val="clear" w:color="auto" w:fill="CCEDFF"/>
          </w:tcPr>
          <w:p>
            <w:pPr>
              <w:pStyle w:val="TableParagraph"/>
              <w:tabs>
                <w:tab w:pos="755" w:val="left" w:leader="none"/>
              </w:tabs>
              <w:spacing w:before="10"/>
              <w:ind w:right="10"/>
              <w:jc w:val="right"/>
              <w:rPr>
                <w:sz w:val="20"/>
              </w:rPr>
            </w:pPr>
            <w:r>
              <w:rPr>
                <w:spacing w:val="-10"/>
                <w:sz w:val="20"/>
              </w:rPr>
              <w:t>$</w:t>
            </w:r>
            <w:r>
              <w:rPr>
                <w:sz w:val="20"/>
              </w:rPr>
              <w:tab/>
            </w:r>
            <w:r>
              <w:rPr>
                <w:spacing w:val="-2"/>
                <w:sz w:val="20"/>
              </w:rPr>
              <w:t>(9,474)</w:t>
            </w:r>
          </w:p>
        </w:tc>
      </w:tr>
      <w:tr>
        <w:trPr>
          <w:trHeight w:val="280" w:hRule="atLeast"/>
        </w:trPr>
        <w:tc>
          <w:tcPr>
            <w:tcW w:w="4420" w:type="dxa"/>
          </w:tcPr>
          <w:p>
            <w:pPr>
              <w:pStyle w:val="TableParagraph"/>
              <w:spacing w:before="2"/>
              <w:ind w:left="70"/>
              <w:rPr>
                <w:sz w:val="20"/>
              </w:rPr>
            </w:pPr>
            <w:r>
              <w:rPr>
                <w:sz w:val="20"/>
              </w:rPr>
              <w:t>Asset-backed </w:t>
            </w:r>
            <w:r>
              <w:rPr>
                <w:spacing w:val="-2"/>
                <w:sz w:val="20"/>
              </w:rPr>
              <w:t>securities</w:t>
            </w:r>
          </w:p>
        </w:tc>
        <w:tc>
          <w:tcPr>
            <w:tcW w:w="1427" w:type="dxa"/>
          </w:tcPr>
          <w:p>
            <w:pPr>
              <w:pStyle w:val="TableParagraph"/>
              <w:spacing w:before="2"/>
              <w:ind w:right="103"/>
              <w:jc w:val="right"/>
              <w:rPr>
                <w:sz w:val="20"/>
              </w:rPr>
            </w:pPr>
            <w:r>
              <w:rPr>
                <w:spacing w:val="-2"/>
                <w:sz w:val="20"/>
              </w:rPr>
              <w:t>64,618</w:t>
            </w:r>
          </w:p>
        </w:tc>
        <w:tc>
          <w:tcPr>
            <w:tcW w:w="1514" w:type="dxa"/>
          </w:tcPr>
          <w:p>
            <w:pPr>
              <w:pStyle w:val="TableParagraph"/>
              <w:spacing w:before="2"/>
              <w:ind w:right="69"/>
              <w:jc w:val="right"/>
              <w:rPr>
                <w:sz w:val="20"/>
              </w:rPr>
            </w:pPr>
            <w:r>
              <w:rPr>
                <w:spacing w:val="-2"/>
                <w:sz w:val="20"/>
              </w:rPr>
              <w:t>(193)</w:t>
            </w:r>
          </w:p>
        </w:tc>
        <w:tc>
          <w:tcPr>
            <w:tcW w:w="1447" w:type="dxa"/>
          </w:tcPr>
          <w:p>
            <w:pPr>
              <w:pStyle w:val="TableParagraph"/>
              <w:spacing w:before="2"/>
              <w:ind w:right="104"/>
              <w:jc w:val="right"/>
              <w:rPr>
                <w:sz w:val="20"/>
              </w:rPr>
            </w:pPr>
            <w:r>
              <w:rPr>
                <w:spacing w:val="-2"/>
                <w:sz w:val="20"/>
              </w:rPr>
              <w:t>54,063</w:t>
            </w:r>
          </w:p>
        </w:tc>
        <w:tc>
          <w:tcPr>
            <w:tcW w:w="1454" w:type="dxa"/>
          </w:tcPr>
          <w:p>
            <w:pPr>
              <w:pStyle w:val="TableParagraph"/>
              <w:spacing w:before="2"/>
              <w:ind w:right="10"/>
              <w:jc w:val="right"/>
              <w:rPr>
                <w:sz w:val="20"/>
              </w:rPr>
            </w:pPr>
            <w:r>
              <w:rPr>
                <w:spacing w:val="-2"/>
                <w:sz w:val="20"/>
              </w:rPr>
              <w:t>(189)</w:t>
            </w:r>
          </w:p>
        </w:tc>
      </w:tr>
      <w:tr>
        <w:trPr>
          <w:trHeight w:val="280" w:hRule="atLeast"/>
        </w:trPr>
        <w:tc>
          <w:tcPr>
            <w:tcW w:w="4420" w:type="dxa"/>
            <w:shd w:val="clear" w:color="auto" w:fill="CCEDFF"/>
          </w:tcPr>
          <w:p>
            <w:pPr>
              <w:pStyle w:val="TableParagraph"/>
              <w:spacing w:before="2"/>
              <w:ind w:left="70"/>
              <w:rPr>
                <w:sz w:val="20"/>
              </w:rPr>
            </w:pPr>
            <w:r>
              <w:rPr>
                <w:sz w:val="20"/>
              </w:rPr>
              <w:t>Municipal </w:t>
            </w:r>
            <w:r>
              <w:rPr>
                <w:spacing w:val="-2"/>
                <w:sz w:val="20"/>
              </w:rPr>
              <w:t>securities</w:t>
            </w:r>
          </w:p>
        </w:tc>
        <w:tc>
          <w:tcPr>
            <w:tcW w:w="1427" w:type="dxa"/>
            <w:shd w:val="clear" w:color="auto" w:fill="CCEDFF"/>
          </w:tcPr>
          <w:p>
            <w:pPr>
              <w:pStyle w:val="TableParagraph"/>
              <w:spacing w:before="2"/>
              <w:ind w:right="103"/>
              <w:jc w:val="right"/>
              <w:rPr>
                <w:sz w:val="20"/>
              </w:rPr>
            </w:pPr>
            <w:r>
              <w:rPr>
                <w:spacing w:val="-2"/>
                <w:sz w:val="20"/>
              </w:rPr>
              <w:t>11,805</w:t>
            </w:r>
          </w:p>
        </w:tc>
        <w:tc>
          <w:tcPr>
            <w:tcW w:w="1514" w:type="dxa"/>
            <w:shd w:val="clear" w:color="auto" w:fill="CCEDFF"/>
          </w:tcPr>
          <w:p>
            <w:pPr>
              <w:pStyle w:val="TableParagraph"/>
              <w:spacing w:before="2"/>
              <w:ind w:right="69"/>
              <w:jc w:val="right"/>
              <w:rPr>
                <w:sz w:val="20"/>
              </w:rPr>
            </w:pPr>
            <w:r>
              <w:rPr>
                <w:spacing w:val="-2"/>
                <w:sz w:val="20"/>
              </w:rPr>
              <w:t>(115)</w:t>
            </w:r>
          </w:p>
        </w:tc>
        <w:tc>
          <w:tcPr>
            <w:tcW w:w="1447" w:type="dxa"/>
            <w:shd w:val="clear" w:color="auto" w:fill="CCEDFF"/>
          </w:tcPr>
          <w:p>
            <w:pPr>
              <w:pStyle w:val="TableParagraph"/>
              <w:spacing w:before="2"/>
              <w:ind w:right="104"/>
              <w:jc w:val="right"/>
              <w:rPr>
                <w:sz w:val="20"/>
              </w:rPr>
            </w:pPr>
            <w:r>
              <w:rPr>
                <w:spacing w:val="-2"/>
                <w:sz w:val="20"/>
              </w:rPr>
              <w:t>114,810</w:t>
            </w:r>
          </w:p>
        </w:tc>
        <w:tc>
          <w:tcPr>
            <w:tcW w:w="1454" w:type="dxa"/>
            <w:shd w:val="clear" w:color="auto" w:fill="CCEDFF"/>
          </w:tcPr>
          <w:p>
            <w:pPr>
              <w:pStyle w:val="TableParagraph"/>
              <w:spacing w:before="2"/>
              <w:ind w:right="10"/>
              <w:jc w:val="right"/>
              <w:rPr>
                <w:sz w:val="20"/>
              </w:rPr>
            </w:pPr>
            <w:r>
              <w:rPr>
                <w:spacing w:val="-2"/>
                <w:sz w:val="20"/>
              </w:rPr>
              <w:t>(525)</w:t>
            </w:r>
          </w:p>
        </w:tc>
      </w:tr>
      <w:tr>
        <w:trPr>
          <w:trHeight w:val="280" w:hRule="atLeast"/>
        </w:trPr>
        <w:tc>
          <w:tcPr>
            <w:tcW w:w="4420" w:type="dxa"/>
          </w:tcPr>
          <w:p>
            <w:pPr>
              <w:pStyle w:val="TableParagraph"/>
              <w:spacing w:before="2"/>
              <w:ind w:left="70"/>
              <w:rPr>
                <w:sz w:val="20"/>
              </w:rPr>
            </w:pPr>
            <w:r>
              <w:rPr>
                <w:sz w:val="20"/>
              </w:rPr>
              <w:t>Foreign government </w:t>
            </w:r>
            <w:r>
              <w:rPr>
                <w:spacing w:val="-2"/>
                <w:sz w:val="20"/>
              </w:rPr>
              <w:t>securities</w:t>
            </w:r>
          </w:p>
        </w:tc>
        <w:tc>
          <w:tcPr>
            <w:tcW w:w="1427" w:type="dxa"/>
          </w:tcPr>
          <w:p>
            <w:pPr>
              <w:pStyle w:val="TableParagraph"/>
              <w:spacing w:before="2"/>
              <w:ind w:right="103"/>
              <w:jc w:val="right"/>
              <w:rPr>
                <w:sz w:val="20"/>
              </w:rPr>
            </w:pPr>
            <w:r>
              <w:rPr>
                <w:spacing w:val="-2"/>
                <w:sz w:val="20"/>
              </w:rPr>
              <w:t>2,388</w:t>
            </w:r>
          </w:p>
        </w:tc>
        <w:tc>
          <w:tcPr>
            <w:tcW w:w="1514" w:type="dxa"/>
          </w:tcPr>
          <w:p>
            <w:pPr>
              <w:pStyle w:val="TableParagraph"/>
              <w:spacing w:before="2"/>
              <w:ind w:right="69"/>
              <w:jc w:val="right"/>
              <w:rPr>
                <w:sz w:val="20"/>
              </w:rPr>
            </w:pPr>
            <w:r>
              <w:rPr>
                <w:spacing w:val="-5"/>
                <w:sz w:val="20"/>
              </w:rPr>
              <w:t>(8)</w:t>
            </w:r>
          </w:p>
        </w:tc>
        <w:tc>
          <w:tcPr>
            <w:tcW w:w="1447" w:type="dxa"/>
          </w:tcPr>
          <w:p>
            <w:pPr>
              <w:pStyle w:val="TableParagraph"/>
              <w:spacing w:before="2"/>
              <w:ind w:right="104"/>
              <w:jc w:val="right"/>
              <w:rPr>
                <w:sz w:val="20"/>
              </w:rPr>
            </w:pPr>
            <w:r>
              <w:rPr>
                <w:spacing w:val="-10"/>
                <w:sz w:val="20"/>
              </w:rPr>
              <w:t>—</w:t>
            </w:r>
          </w:p>
        </w:tc>
        <w:tc>
          <w:tcPr>
            <w:tcW w:w="1454" w:type="dxa"/>
          </w:tcPr>
          <w:p>
            <w:pPr>
              <w:pStyle w:val="TableParagraph"/>
              <w:spacing w:before="2"/>
              <w:ind w:right="78"/>
              <w:jc w:val="right"/>
              <w:rPr>
                <w:sz w:val="20"/>
              </w:rPr>
            </w:pPr>
            <w:r>
              <w:rPr>
                <w:spacing w:val="-10"/>
                <w:sz w:val="20"/>
              </w:rPr>
              <w:t>—</w:t>
            </w:r>
          </w:p>
        </w:tc>
      </w:tr>
      <w:tr>
        <w:trPr>
          <w:trHeight w:val="270" w:hRule="atLeast"/>
        </w:trPr>
        <w:tc>
          <w:tcPr>
            <w:tcW w:w="4420" w:type="dxa"/>
            <w:shd w:val="clear" w:color="auto" w:fill="CCEDFF"/>
          </w:tcPr>
          <w:p>
            <w:pPr>
              <w:pStyle w:val="TableParagraph"/>
              <w:spacing w:before="2"/>
              <w:ind w:left="70"/>
              <w:rPr>
                <w:sz w:val="20"/>
              </w:rPr>
            </w:pPr>
            <w:r>
              <w:rPr>
                <w:sz w:val="20"/>
              </w:rPr>
              <w:t>U.S.</w:t>
            </w:r>
            <w:r>
              <w:rPr>
                <w:spacing w:val="-6"/>
                <w:sz w:val="20"/>
              </w:rPr>
              <w:t> </w:t>
            </w:r>
            <w:r>
              <w:rPr>
                <w:sz w:val="20"/>
              </w:rPr>
              <w:t>Treasury</w:t>
            </w:r>
            <w:r>
              <w:rPr>
                <w:spacing w:val="-2"/>
                <w:sz w:val="20"/>
              </w:rPr>
              <w:t> </w:t>
            </w:r>
            <w:r>
              <w:rPr>
                <w:sz w:val="20"/>
              </w:rPr>
              <w:t>and</w:t>
            </w:r>
            <w:r>
              <w:rPr>
                <w:spacing w:val="-2"/>
                <w:sz w:val="20"/>
              </w:rPr>
              <w:t> </w:t>
            </w:r>
            <w:r>
              <w:rPr>
                <w:sz w:val="20"/>
              </w:rPr>
              <w:t>agency</w:t>
            </w:r>
            <w:r>
              <w:rPr>
                <w:spacing w:val="-1"/>
                <w:sz w:val="20"/>
              </w:rPr>
              <w:t> </w:t>
            </w:r>
            <w:r>
              <w:rPr>
                <w:spacing w:val="-2"/>
                <w:sz w:val="20"/>
              </w:rPr>
              <w:t>securities</w:t>
            </w:r>
          </w:p>
        </w:tc>
        <w:tc>
          <w:tcPr>
            <w:tcW w:w="1427" w:type="dxa"/>
            <w:tcBorders>
              <w:bottom w:val="single" w:sz="8" w:space="0" w:color="000000"/>
            </w:tcBorders>
            <w:shd w:val="clear" w:color="auto" w:fill="CCEDFF"/>
          </w:tcPr>
          <w:p>
            <w:pPr>
              <w:pStyle w:val="TableParagraph"/>
              <w:spacing w:before="2"/>
              <w:ind w:right="103"/>
              <w:jc w:val="right"/>
              <w:rPr>
                <w:sz w:val="20"/>
              </w:rPr>
            </w:pPr>
            <w:r>
              <w:rPr>
                <w:spacing w:val="-2"/>
                <w:sz w:val="20"/>
              </w:rPr>
              <w:t>593,296</w:t>
            </w:r>
          </w:p>
        </w:tc>
        <w:tc>
          <w:tcPr>
            <w:tcW w:w="1514" w:type="dxa"/>
            <w:tcBorders>
              <w:bottom w:val="single" w:sz="8" w:space="0" w:color="000000"/>
            </w:tcBorders>
            <w:shd w:val="clear" w:color="auto" w:fill="CCEDFF"/>
          </w:tcPr>
          <w:p>
            <w:pPr>
              <w:pStyle w:val="TableParagraph"/>
              <w:spacing w:before="2"/>
              <w:ind w:right="69"/>
              <w:jc w:val="right"/>
              <w:rPr>
                <w:sz w:val="20"/>
              </w:rPr>
            </w:pPr>
            <w:r>
              <w:rPr>
                <w:spacing w:val="-2"/>
                <w:sz w:val="20"/>
              </w:rPr>
              <w:t>(2,087)</w:t>
            </w:r>
          </w:p>
        </w:tc>
        <w:tc>
          <w:tcPr>
            <w:tcW w:w="1447" w:type="dxa"/>
            <w:tcBorders>
              <w:bottom w:val="single" w:sz="8" w:space="0" w:color="000000"/>
            </w:tcBorders>
            <w:shd w:val="clear" w:color="auto" w:fill="CCEDFF"/>
          </w:tcPr>
          <w:p>
            <w:pPr>
              <w:pStyle w:val="TableParagraph"/>
              <w:spacing w:before="2"/>
              <w:ind w:right="104"/>
              <w:jc w:val="right"/>
              <w:rPr>
                <w:sz w:val="20"/>
              </w:rPr>
            </w:pPr>
            <w:r>
              <w:rPr>
                <w:spacing w:val="-2"/>
                <w:sz w:val="20"/>
              </w:rPr>
              <w:t>580,529</w:t>
            </w:r>
          </w:p>
        </w:tc>
        <w:tc>
          <w:tcPr>
            <w:tcW w:w="1454" w:type="dxa"/>
            <w:tcBorders>
              <w:bottom w:val="single" w:sz="8" w:space="0" w:color="000000"/>
            </w:tcBorders>
            <w:shd w:val="clear" w:color="auto" w:fill="CCEDFF"/>
          </w:tcPr>
          <w:p>
            <w:pPr>
              <w:pStyle w:val="TableParagraph"/>
              <w:spacing w:before="2"/>
              <w:ind w:right="10"/>
              <w:jc w:val="right"/>
              <w:rPr>
                <w:sz w:val="20"/>
              </w:rPr>
            </w:pPr>
            <w:r>
              <w:rPr>
                <w:spacing w:val="-2"/>
                <w:sz w:val="20"/>
              </w:rPr>
              <w:t>(1,470)</w:t>
            </w:r>
          </w:p>
        </w:tc>
      </w:tr>
      <w:tr>
        <w:trPr>
          <w:trHeight w:val="240" w:hRule="atLeast"/>
        </w:trPr>
        <w:tc>
          <w:tcPr>
            <w:tcW w:w="4420" w:type="dxa"/>
          </w:tcPr>
          <w:p>
            <w:pPr>
              <w:pStyle w:val="TableParagraph"/>
              <w:spacing w:line="220" w:lineRule="exact"/>
              <w:ind w:left="550"/>
              <w:rPr>
                <w:sz w:val="20"/>
              </w:rPr>
            </w:pPr>
            <w:r>
              <w:rPr>
                <w:spacing w:val="-2"/>
                <w:sz w:val="20"/>
              </w:rPr>
              <w:t>Total</w:t>
            </w:r>
          </w:p>
        </w:tc>
        <w:tc>
          <w:tcPr>
            <w:tcW w:w="1427" w:type="dxa"/>
            <w:tcBorders>
              <w:top w:val="single" w:sz="8" w:space="0" w:color="000000"/>
              <w:bottom w:val="double" w:sz="8" w:space="0" w:color="000000"/>
            </w:tcBorders>
          </w:tcPr>
          <w:p>
            <w:pPr>
              <w:pStyle w:val="TableParagraph"/>
              <w:tabs>
                <w:tab w:pos="472" w:val="left" w:leader="none"/>
              </w:tabs>
              <w:spacing w:line="220" w:lineRule="exact"/>
              <w:ind w:right="103"/>
              <w:jc w:val="right"/>
              <w:rPr>
                <w:sz w:val="20"/>
              </w:rPr>
            </w:pPr>
            <w:r>
              <w:rPr>
                <w:spacing w:val="-10"/>
                <w:sz w:val="20"/>
              </w:rPr>
              <w:t>$</w:t>
            </w:r>
            <w:r>
              <w:rPr>
                <w:sz w:val="20"/>
              </w:rPr>
              <w:tab/>
            </w:r>
            <w:r>
              <w:rPr>
                <w:spacing w:val="-2"/>
                <w:sz w:val="20"/>
              </w:rPr>
              <w:t>2,010,339</w:t>
            </w:r>
          </w:p>
        </w:tc>
        <w:tc>
          <w:tcPr>
            <w:tcW w:w="1514" w:type="dxa"/>
            <w:tcBorders>
              <w:top w:val="single" w:sz="8" w:space="0" w:color="000000"/>
              <w:bottom w:val="double" w:sz="8" w:space="0" w:color="000000"/>
            </w:tcBorders>
          </w:tcPr>
          <w:p>
            <w:pPr>
              <w:pStyle w:val="TableParagraph"/>
              <w:tabs>
                <w:tab w:pos="755" w:val="left" w:leader="none"/>
              </w:tabs>
              <w:spacing w:line="220" w:lineRule="exact"/>
              <w:ind w:right="69"/>
              <w:jc w:val="right"/>
              <w:rPr>
                <w:sz w:val="20"/>
              </w:rPr>
            </w:pPr>
            <w:r>
              <w:rPr>
                <w:spacing w:val="-10"/>
                <w:sz w:val="20"/>
              </w:rPr>
              <w:t>$</w:t>
            </w:r>
            <w:r>
              <w:rPr>
                <w:sz w:val="20"/>
              </w:rPr>
              <w:tab/>
            </w:r>
            <w:r>
              <w:rPr>
                <w:spacing w:val="-2"/>
                <w:sz w:val="20"/>
              </w:rPr>
              <w:t>(7,862)</w:t>
            </w:r>
          </w:p>
        </w:tc>
        <w:tc>
          <w:tcPr>
            <w:tcW w:w="1447" w:type="dxa"/>
            <w:tcBorders>
              <w:top w:val="single" w:sz="8" w:space="0" w:color="000000"/>
              <w:bottom w:val="double" w:sz="8" w:space="0" w:color="000000"/>
            </w:tcBorders>
          </w:tcPr>
          <w:p>
            <w:pPr>
              <w:pStyle w:val="TableParagraph"/>
              <w:tabs>
                <w:tab w:pos="472" w:val="left" w:leader="none"/>
              </w:tabs>
              <w:spacing w:line="220" w:lineRule="exact"/>
              <w:ind w:right="104"/>
              <w:jc w:val="right"/>
              <w:rPr>
                <w:sz w:val="20"/>
              </w:rPr>
            </w:pPr>
            <w:r>
              <w:rPr>
                <w:spacing w:val="-10"/>
                <w:sz w:val="20"/>
              </w:rPr>
              <w:t>$</w:t>
            </w:r>
            <w:r>
              <w:rPr>
                <w:sz w:val="20"/>
              </w:rPr>
              <w:tab/>
            </w:r>
            <w:r>
              <w:rPr>
                <w:spacing w:val="-2"/>
                <w:sz w:val="20"/>
              </w:rPr>
              <w:t>2,031,478</w:t>
            </w:r>
          </w:p>
        </w:tc>
        <w:tc>
          <w:tcPr>
            <w:tcW w:w="1454" w:type="dxa"/>
            <w:tcBorders>
              <w:top w:val="single" w:sz="8" w:space="0" w:color="000000"/>
              <w:bottom w:val="double" w:sz="8" w:space="0" w:color="000000"/>
            </w:tcBorders>
          </w:tcPr>
          <w:p>
            <w:pPr>
              <w:pStyle w:val="TableParagraph"/>
              <w:tabs>
                <w:tab w:pos="655" w:val="left" w:leader="none"/>
              </w:tabs>
              <w:spacing w:line="220" w:lineRule="exact"/>
              <w:ind w:right="10"/>
              <w:jc w:val="right"/>
              <w:rPr>
                <w:sz w:val="20"/>
              </w:rPr>
            </w:pPr>
            <w:r>
              <w:rPr>
                <w:spacing w:val="-10"/>
                <w:sz w:val="20"/>
              </w:rPr>
              <w:t>$</w:t>
            </w:r>
            <w:r>
              <w:rPr>
                <w:sz w:val="20"/>
              </w:rPr>
              <w:tab/>
            </w:r>
            <w:r>
              <w:rPr>
                <w:spacing w:val="-2"/>
                <w:sz w:val="20"/>
              </w:rPr>
              <w:t>(11,658)</w:t>
            </w:r>
          </w:p>
        </w:tc>
      </w:tr>
    </w:tbl>
    <w:p>
      <w:pPr>
        <w:pStyle w:val="BodyText"/>
        <w:spacing w:line="249" w:lineRule="auto" w:before="183"/>
        <w:ind w:left="220" w:right="257" w:firstLine="540"/>
        <w:jc w:val="both"/>
      </w:pPr>
      <w:r>
        <w:rPr/>
        <w:t>There were 894 securities and 1,052 securities in an unrealized loss position for less than twelve months at December</w:t>
      </w:r>
      <w:r>
        <w:rPr>
          <w:spacing w:val="-2"/>
        </w:rPr>
        <w:t> </w:t>
      </w:r>
      <w:r>
        <w:rPr/>
        <w:t>1, 2017 and at December 2, 2016, respectively.</w:t>
      </w:r>
    </w:p>
    <w:p>
      <w:pPr>
        <w:pStyle w:val="BodyText"/>
        <w:spacing w:line="249" w:lineRule="auto" w:before="182"/>
        <w:ind w:left="220" w:right="257" w:firstLine="540"/>
        <w:jc w:val="both"/>
      </w:pPr>
      <w:r>
        <w:rPr>
          <w:spacing w:val="-2"/>
        </w:rPr>
        <w:t>The</w:t>
      </w:r>
      <w:r>
        <w:rPr>
          <w:spacing w:val="-4"/>
        </w:rPr>
        <w:t> </w:t>
      </w:r>
      <w:r>
        <w:rPr>
          <w:spacing w:val="-2"/>
        </w:rPr>
        <w:t>following</w:t>
      </w:r>
      <w:r>
        <w:rPr>
          <w:spacing w:val="-4"/>
        </w:rPr>
        <w:t> </w:t>
      </w:r>
      <w:r>
        <w:rPr>
          <w:spacing w:val="-2"/>
        </w:rPr>
        <w:t>table</w:t>
      </w:r>
      <w:r>
        <w:rPr>
          <w:spacing w:val="-4"/>
        </w:rPr>
        <w:t> </w:t>
      </w:r>
      <w:r>
        <w:rPr>
          <w:spacing w:val="-2"/>
        </w:rPr>
        <w:t>summarizes</w:t>
      </w:r>
      <w:r>
        <w:rPr>
          <w:spacing w:val="-4"/>
        </w:rPr>
        <w:t> </w:t>
      </w:r>
      <w:r>
        <w:rPr>
          <w:spacing w:val="-2"/>
        </w:rPr>
        <w:t>the</w:t>
      </w:r>
      <w:r>
        <w:rPr>
          <w:spacing w:val="-4"/>
        </w:rPr>
        <w:t> </w:t>
      </w:r>
      <w:r>
        <w:rPr>
          <w:spacing w:val="-2"/>
        </w:rPr>
        <w:t>fair</w:t>
      </w:r>
      <w:r>
        <w:rPr>
          <w:spacing w:val="-4"/>
        </w:rPr>
        <w:t> </w:t>
      </w:r>
      <w:r>
        <w:rPr>
          <w:spacing w:val="-2"/>
        </w:rPr>
        <w:t>value</w:t>
      </w:r>
      <w:r>
        <w:rPr>
          <w:spacing w:val="-4"/>
        </w:rPr>
        <w:t> </w:t>
      </w:r>
      <w:r>
        <w:rPr>
          <w:spacing w:val="-2"/>
        </w:rPr>
        <w:t>and</w:t>
      </w:r>
      <w:r>
        <w:rPr>
          <w:spacing w:val="-4"/>
        </w:rPr>
        <w:t> </w:t>
      </w:r>
      <w:r>
        <w:rPr>
          <w:spacing w:val="-2"/>
        </w:rPr>
        <w:t>gross</w:t>
      </w:r>
      <w:r>
        <w:rPr>
          <w:spacing w:val="-4"/>
        </w:rPr>
        <w:t> </w:t>
      </w:r>
      <w:r>
        <w:rPr>
          <w:spacing w:val="-2"/>
        </w:rPr>
        <w:t>unrealized</w:t>
      </w:r>
      <w:r>
        <w:rPr>
          <w:spacing w:val="-4"/>
        </w:rPr>
        <w:t> </w:t>
      </w:r>
      <w:r>
        <w:rPr>
          <w:spacing w:val="-2"/>
        </w:rPr>
        <w:t>losses</w:t>
      </w:r>
      <w:r>
        <w:rPr>
          <w:spacing w:val="-4"/>
        </w:rPr>
        <w:t> </w:t>
      </w:r>
      <w:r>
        <w:rPr>
          <w:spacing w:val="-2"/>
        </w:rPr>
        <w:t>related</w:t>
      </w:r>
      <w:r>
        <w:rPr>
          <w:spacing w:val="-4"/>
        </w:rPr>
        <w:t> </w:t>
      </w:r>
      <w:r>
        <w:rPr>
          <w:spacing w:val="-2"/>
        </w:rPr>
        <w:t>to</w:t>
      </w:r>
      <w:r>
        <w:rPr>
          <w:spacing w:val="-4"/>
        </w:rPr>
        <w:t> </w:t>
      </w:r>
      <w:r>
        <w:rPr>
          <w:spacing w:val="-2"/>
        </w:rPr>
        <w:t>available-for-sale</w:t>
      </w:r>
      <w:r>
        <w:rPr>
          <w:spacing w:val="-4"/>
        </w:rPr>
        <w:t> </w:t>
      </w:r>
      <w:r>
        <w:rPr>
          <w:spacing w:val="-2"/>
        </w:rPr>
        <w:t>securities,</w:t>
      </w:r>
      <w:r>
        <w:rPr>
          <w:spacing w:val="-4"/>
        </w:rPr>
        <w:t> </w:t>
      </w:r>
      <w:r>
        <w:rPr>
          <w:spacing w:val="-2"/>
        </w:rPr>
        <w:t>aggregated </w:t>
      </w:r>
      <w:r>
        <w:rPr/>
        <w:t>by</w:t>
      </w:r>
      <w:r>
        <w:rPr>
          <w:spacing w:val="-4"/>
        </w:rPr>
        <w:t> </w:t>
      </w:r>
      <w:r>
        <w:rPr/>
        <w:t>investment</w:t>
      </w:r>
      <w:r>
        <w:rPr>
          <w:spacing w:val="-4"/>
        </w:rPr>
        <w:t> </w:t>
      </w:r>
      <w:r>
        <w:rPr/>
        <w:t>category,</w:t>
      </w:r>
      <w:r>
        <w:rPr>
          <w:spacing w:val="-4"/>
        </w:rPr>
        <w:t> </w:t>
      </w:r>
      <w:r>
        <w:rPr/>
        <w:t>that</w:t>
      </w:r>
      <w:r>
        <w:rPr>
          <w:spacing w:val="-4"/>
        </w:rPr>
        <w:t> </w:t>
      </w:r>
      <w:r>
        <w:rPr/>
        <w:t>were</w:t>
      </w:r>
      <w:r>
        <w:rPr>
          <w:spacing w:val="-4"/>
        </w:rPr>
        <w:t> </w:t>
      </w:r>
      <w:r>
        <w:rPr/>
        <w:t>in</w:t>
      </w:r>
      <w:r>
        <w:rPr>
          <w:spacing w:val="-4"/>
        </w:rPr>
        <w:t> </w:t>
      </w:r>
      <w:r>
        <w:rPr/>
        <w:t>a</w:t>
      </w:r>
      <w:r>
        <w:rPr>
          <w:spacing w:val="-4"/>
        </w:rPr>
        <w:t> </w:t>
      </w:r>
      <w:r>
        <w:rPr/>
        <w:t>continuous</w:t>
      </w:r>
      <w:r>
        <w:rPr>
          <w:spacing w:val="-4"/>
        </w:rPr>
        <w:t> </w:t>
      </w:r>
      <w:r>
        <w:rPr/>
        <w:t>unrealized</w:t>
      </w:r>
      <w:r>
        <w:rPr>
          <w:spacing w:val="-4"/>
        </w:rPr>
        <w:t> </w:t>
      </w:r>
      <w:r>
        <w:rPr/>
        <w:t>loss</w:t>
      </w:r>
      <w:r>
        <w:rPr>
          <w:spacing w:val="-4"/>
        </w:rPr>
        <w:t> </w:t>
      </w:r>
      <w:r>
        <w:rPr/>
        <w:t>position</w:t>
      </w:r>
      <w:r>
        <w:rPr>
          <w:spacing w:val="-4"/>
        </w:rPr>
        <w:t> </w:t>
      </w:r>
      <w:r>
        <w:rPr/>
        <w:t>for</w:t>
      </w:r>
      <w:r>
        <w:rPr>
          <w:spacing w:val="-4"/>
        </w:rPr>
        <w:t> </w:t>
      </w:r>
      <w:r>
        <w:rPr/>
        <w:t>more</w:t>
      </w:r>
      <w:r>
        <w:rPr>
          <w:spacing w:val="-4"/>
        </w:rPr>
        <w:t> </w:t>
      </w:r>
      <w:r>
        <w:rPr/>
        <w:t>than</w:t>
      </w:r>
      <w:r>
        <w:rPr>
          <w:spacing w:val="-4"/>
        </w:rPr>
        <w:t> </w:t>
      </w:r>
      <w:r>
        <w:rPr/>
        <w:t>twelve</w:t>
      </w:r>
      <w:r>
        <w:rPr>
          <w:spacing w:val="-4"/>
        </w:rPr>
        <w:t> </w:t>
      </w:r>
      <w:r>
        <w:rPr/>
        <w:t>months,</w:t>
      </w:r>
      <w:r>
        <w:rPr>
          <w:spacing w:val="-4"/>
        </w:rPr>
        <w:t> </w:t>
      </w:r>
      <w:r>
        <w:rPr/>
        <w:t>as</w:t>
      </w:r>
      <w:r>
        <w:rPr>
          <w:spacing w:val="-4"/>
        </w:rPr>
        <w:t> </w:t>
      </w:r>
      <w:r>
        <w:rPr/>
        <w:t>of</w:t>
      </w:r>
      <w:r>
        <w:rPr>
          <w:spacing w:val="-4"/>
        </w:rPr>
        <w:t> </w:t>
      </w:r>
      <w:r>
        <w:rPr/>
        <w:t>December</w:t>
      </w:r>
      <w:r>
        <w:rPr>
          <w:spacing w:val="-3"/>
        </w:rPr>
        <w:t> </w:t>
      </w:r>
      <w:r>
        <w:rPr/>
        <w:t>1,</w:t>
      </w:r>
      <w:r>
        <w:rPr>
          <w:spacing w:val="-4"/>
        </w:rPr>
        <w:t> </w:t>
      </w:r>
      <w:r>
        <w:rPr/>
        <w:t>2017 and December 2, 2016 (in thousands):</w:t>
      </w:r>
    </w:p>
    <w:p>
      <w:pPr>
        <w:pStyle w:val="BodyText"/>
        <w:spacing w:before="5"/>
        <w:rPr>
          <w:sz w:val="11"/>
        </w:rPr>
      </w:pPr>
    </w:p>
    <w:p>
      <w:pPr>
        <w:spacing w:after="0"/>
        <w:rPr>
          <w:sz w:val="11"/>
        </w:rPr>
        <w:sectPr>
          <w:pgSz w:w="12240" w:h="15840"/>
          <w:pgMar w:header="210" w:footer="610" w:top="1380" w:bottom="800" w:left="780" w:right="740"/>
        </w:sectPr>
      </w:pPr>
    </w:p>
    <w:p>
      <w:pPr>
        <w:tabs>
          <w:tab w:pos="8859" w:val="left" w:leader="none"/>
        </w:tabs>
        <w:spacing w:before="93"/>
        <w:ind w:left="5900" w:right="0" w:firstLine="0"/>
        <w:jc w:val="left"/>
        <w:rPr>
          <w:b/>
          <w:sz w:val="16"/>
        </w:rPr>
      </w:pPr>
      <w:r>
        <w:rPr>
          <w:b/>
          <w:spacing w:val="-4"/>
          <w:sz w:val="16"/>
        </w:rPr>
        <w:t>2017</w:t>
      </w:r>
      <w:r>
        <w:rPr>
          <w:b/>
          <w:sz w:val="16"/>
        </w:rPr>
        <w:tab/>
      </w:r>
      <w:r>
        <w:rPr>
          <w:b/>
          <w:spacing w:val="-4"/>
          <w:sz w:val="16"/>
        </w:rPr>
        <w:t>2016</w:t>
      </w:r>
    </w:p>
    <w:p>
      <w:pPr>
        <w:pStyle w:val="BodyText"/>
        <w:spacing w:before="6"/>
        <w:rPr>
          <w:b/>
          <w:sz w:val="3"/>
        </w:rPr>
      </w:pPr>
    </w:p>
    <w:p>
      <w:pPr>
        <w:pStyle w:val="BodyText"/>
        <w:spacing w:line="20" w:lineRule="exact"/>
        <w:ind w:left="4630"/>
        <w:rPr>
          <w:sz w:val="2"/>
        </w:rPr>
      </w:pPr>
      <w:r>
        <w:rPr>
          <w:sz w:val="2"/>
        </w:rPr>
        <mc:AlternateContent>
          <mc:Choice Requires="wps">
            <w:drawing>
              <wp:inline distT="0" distB="0" distL="0" distR="0">
                <wp:extent cx="1828800" cy="12700"/>
                <wp:effectExtent l="0" t="0" r="0" b="0"/>
                <wp:docPr id="409" name="Group 409"/>
                <wp:cNvGraphicFramePr>
                  <a:graphicFrameLocks/>
                </wp:cNvGraphicFramePr>
                <a:graphic>
                  <a:graphicData uri="http://schemas.microsoft.com/office/word/2010/wordprocessingGroup">
                    <wpg:wgp>
                      <wpg:cNvPr id="409" name="Group 409"/>
                      <wpg:cNvGrpSpPr/>
                      <wpg:grpSpPr>
                        <a:xfrm>
                          <a:off x="0" y="0"/>
                          <a:ext cx="1828800" cy="12700"/>
                          <a:chExt cx="1828800" cy="12700"/>
                        </a:xfrm>
                      </wpg:grpSpPr>
                      <wps:wsp>
                        <wps:cNvPr id="410" name="Graphic 410"/>
                        <wps:cNvSpPr/>
                        <wps:spPr>
                          <a:xfrm>
                            <a:off x="0" y="0"/>
                            <a:ext cx="1828800" cy="12700"/>
                          </a:xfrm>
                          <a:custGeom>
                            <a:avLst/>
                            <a:gdLst/>
                            <a:ahLst/>
                            <a:cxnLst/>
                            <a:rect l="l" t="t" r="r" b="b"/>
                            <a:pathLst>
                              <a:path w="1828800" h="12700">
                                <a:moveTo>
                                  <a:pt x="1828800" y="0"/>
                                </a:moveTo>
                                <a:lnTo>
                                  <a:pt x="939800" y="0"/>
                                </a:lnTo>
                                <a:lnTo>
                                  <a:pt x="889000" y="0"/>
                                </a:lnTo>
                                <a:lnTo>
                                  <a:pt x="0" y="0"/>
                                </a:lnTo>
                                <a:lnTo>
                                  <a:pt x="0" y="12700"/>
                                </a:lnTo>
                                <a:lnTo>
                                  <a:pt x="889000" y="12700"/>
                                </a:lnTo>
                                <a:lnTo>
                                  <a:pt x="939800" y="12700"/>
                                </a:lnTo>
                                <a:lnTo>
                                  <a:pt x="1828800" y="12700"/>
                                </a:lnTo>
                                <a:lnTo>
                                  <a:pt x="1828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pt;height:1pt;mso-position-horizontal-relative:char;mso-position-vertical-relative:line" id="docshapegroup334" coordorigin="0,0" coordsize="2880,20">
                <v:shape style="position:absolute;left:0;top:0;width:2880;height:20" id="docshape335" coordorigin="0,0" coordsize="2880,20" path="m2880,0l1480,0,1400,0,0,0,0,20,1400,20,1480,20,2880,20,2880,0xe" filled="true" fillcolor="#000000" stroked="false">
                  <v:path arrowok="t"/>
                  <v:fill type="solid"/>
                </v:shape>
              </v:group>
            </w:pict>
          </mc:Fallback>
        </mc:AlternateContent>
      </w:r>
      <w:r>
        <w:rPr>
          <w:sz w:val="2"/>
        </w:rPr>
      </w:r>
    </w:p>
    <w:p>
      <w:pPr>
        <w:spacing w:line="167" w:lineRule="exact" w:before="16"/>
        <w:ind w:left="6661" w:right="0" w:firstLine="0"/>
        <w:jc w:val="left"/>
        <w:rPr>
          <w:b/>
          <w:sz w:val="16"/>
        </w:rPr>
      </w:pPr>
      <w:r>
        <w:rPr/>
        <mc:AlternateContent>
          <mc:Choice Requires="wps">
            <w:drawing>
              <wp:anchor distT="0" distB="0" distL="0" distR="0" allowOverlap="1" layoutInCell="1" locked="0" behindDoc="0" simplePos="0" relativeHeight="15797760">
                <wp:simplePos x="0" y="0"/>
                <wp:positionH relativeFrom="page">
                  <wp:posOffset>5314950</wp:posOffset>
                </wp:positionH>
                <wp:positionV relativeFrom="paragraph">
                  <wp:posOffset>-12617</wp:posOffset>
                </wp:positionV>
                <wp:extent cx="1828800" cy="1270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1828800" cy="12700"/>
                        </a:xfrm>
                        <a:custGeom>
                          <a:avLst/>
                          <a:gdLst/>
                          <a:ahLst/>
                          <a:cxnLst/>
                          <a:rect l="l" t="t" r="r" b="b"/>
                          <a:pathLst>
                            <a:path w="1828800" h="12700">
                              <a:moveTo>
                                <a:pt x="1828800" y="0"/>
                              </a:moveTo>
                              <a:lnTo>
                                <a:pt x="939800" y="0"/>
                              </a:lnTo>
                              <a:lnTo>
                                <a:pt x="889000" y="0"/>
                              </a:lnTo>
                              <a:lnTo>
                                <a:pt x="0" y="0"/>
                              </a:lnTo>
                              <a:lnTo>
                                <a:pt x="0" y="12700"/>
                              </a:lnTo>
                              <a:lnTo>
                                <a:pt x="889000" y="12700"/>
                              </a:lnTo>
                              <a:lnTo>
                                <a:pt x="939800" y="12700"/>
                              </a:lnTo>
                              <a:lnTo>
                                <a:pt x="1828800" y="1270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8.500031pt;margin-top:-.993477pt;width:144pt;height:1pt;mso-position-horizontal-relative:page;mso-position-vertical-relative:paragraph;z-index:15797760" id="docshape336" coordorigin="8370,-20" coordsize="2880,20" path="m11250,-20l9850,-20,9770,-20,8370,-20,8370,0,9770,0,9850,0,11250,0,11250,-20xe" filled="true" fillcolor="#000000" stroked="false">
                <v:path arrowok="t"/>
                <v:fill type="solid"/>
                <w10:wrap type="none"/>
              </v:shape>
            </w:pict>
          </mc:Fallback>
        </mc:AlternateContent>
      </w:r>
      <w:r>
        <w:rPr>
          <w:b/>
          <w:spacing w:val="-2"/>
          <w:sz w:val="16"/>
        </w:rPr>
        <w:t>Gross</w:t>
      </w:r>
    </w:p>
    <w:p>
      <w:pPr>
        <w:spacing w:line="240" w:lineRule="auto" w:before="169"/>
        <w:rPr>
          <w:b/>
          <w:sz w:val="16"/>
        </w:rPr>
      </w:pPr>
      <w:r>
        <w:rPr/>
        <w:br w:type="column"/>
      </w:r>
      <w:r>
        <w:rPr>
          <w:b/>
          <w:sz w:val="16"/>
        </w:rPr>
      </w:r>
    </w:p>
    <w:p>
      <w:pPr>
        <w:spacing w:line="167" w:lineRule="exact" w:before="0"/>
        <w:ind w:left="400" w:right="0" w:firstLine="0"/>
        <w:jc w:val="left"/>
        <w:rPr>
          <w:b/>
          <w:sz w:val="16"/>
        </w:rPr>
      </w:pPr>
      <w:r>
        <w:rPr>
          <w:b/>
          <w:spacing w:val="-2"/>
          <w:sz w:val="16"/>
        </w:rPr>
        <w:t>Gross</w:t>
      </w:r>
    </w:p>
    <w:p>
      <w:pPr>
        <w:spacing w:after="0" w:line="167" w:lineRule="exact"/>
        <w:jc w:val="left"/>
        <w:rPr>
          <w:sz w:val="16"/>
        </w:rPr>
        <w:sectPr>
          <w:type w:val="continuous"/>
          <w:pgSz w:w="12240" w:h="15840"/>
          <w:pgMar w:header="210" w:footer="610" w:top="680" w:bottom="280" w:left="780" w:right="740"/>
          <w:cols w:num="2" w:equalWidth="0">
            <w:col w:w="9181" w:space="40"/>
            <w:col w:w="1499"/>
          </w:cols>
        </w:sectPr>
      </w:pPr>
    </w:p>
    <w:p>
      <w:pPr>
        <w:spacing w:line="208" w:lineRule="auto" w:before="12"/>
        <w:ind w:left="5127" w:right="0" w:firstLine="47"/>
        <w:jc w:val="right"/>
        <w:rPr>
          <w:b/>
          <w:sz w:val="16"/>
        </w:rPr>
      </w:pPr>
      <w:r>
        <w:rPr>
          <w:b/>
          <w:spacing w:val="-4"/>
          <w:sz w:val="16"/>
        </w:rPr>
        <w:t>Fair</w:t>
      </w:r>
      <w:r>
        <w:rPr>
          <w:b/>
          <w:spacing w:val="40"/>
          <w:sz w:val="16"/>
        </w:rPr>
        <w:t> </w:t>
      </w:r>
      <w:r>
        <w:rPr>
          <w:b/>
          <w:spacing w:val="-6"/>
          <w:sz w:val="16"/>
        </w:rPr>
        <w:t>Value</w:t>
      </w:r>
    </w:p>
    <w:p>
      <w:pPr>
        <w:spacing w:line="208" w:lineRule="auto" w:before="12"/>
        <w:ind w:left="1084" w:right="-2" w:hanging="149"/>
        <w:jc w:val="left"/>
        <w:rPr>
          <w:b/>
          <w:sz w:val="16"/>
        </w:rPr>
      </w:pPr>
      <w:r>
        <w:rPr/>
        <w:br w:type="column"/>
      </w:r>
      <w:r>
        <w:rPr>
          <w:b/>
          <w:spacing w:val="-2"/>
          <w:sz w:val="16"/>
        </w:rPr>
        <w:t>Unrealized</w:t>
      </w:r>
      <w:r>
        <w:rPr>
          <w:b/>
          <w:spacing w:val="40"/>
          <w:sz w:val="16"/>
        </w:rPr>
        <w:t> </w:t>
      </w:r>
      <w:r>
        <w:rPr>
          <w:b/>
          <w:spacing w:val="-2"/>
          <w:sz w:val="16"/>
        </w:rPr>
        <w:t>Losses</w:t>
      </w:r>
    </w:p>
    <w:p>
      <w:pPr>
        <w:spacing w:line="208" w:lineRule="auto" w:before="12"/>
        <w:ind w:left="815" w:right="0" w:firstLine="47"/>
        <w:jc w:val="right"/>
        <w:rPr>
          <w:b/>
          <w:sz w:val="16"/>
        </w:rPr>
      </w:pPr>
      <w:r>
        <w:rPr/>
        <w:br w:type="column"/>
      </w:r>
      <w:r>
        <w:rPr>
          <w:b/>
          <w:spacing w:val="-4"/>
          <w:sz w:val="16"/>
        </w:rPr>
        <w:t>Fair</w:t>
      </w:r>
      <w:r>
        <w:rPr>
          <w:b/>
          <w:spacing w:val="40"/>
          <w:sz w:val="16"/>
        </w:rPr>
        <w:t> </w:t>
      </w:r>
      <w:r>
        <w:rPr>
          <w:b/>
          <w:spacing w:val="-6"/>
          <w:sz w:val="16"/>
        </w:rPr>
        <w:t>Value</w:t>
      </w:r>
    </w:p>
    <w:p>
      <w:pPr>
        <w:spacing w:line="208" w:lineRule="auto" w:before="12"/>
        <w:ind w:left="1084" w:right="526" w:hanging="149"/>
        <w:jc w:val="left"/>
        <w:rPr>
          <w:b/>
          <w:sz w:val="16"/>
        </w:rPr>
      </w:pPr>
      <w:r>
        <w:rPr/>
        <w:br w:type="column"/>
      </w:r>
      <w:r>
        <w:rPr>
          <w:b/>
          <w:spacing w:val="-2"/>
          <w:sz w:val="16"/>
        </w:rPr>
        <w:t>Unrealized</w:t>
      </w:r>
      <w:r>
        <w:rPr>
          <w:b/>
          <w:spacing w:val="40"/>
          <w:sz w:val="16"/>
        </w:rPr>
        <w:t> </w:t>
      </w:r>
      <w:r>
        <w:rPr>
          <w:b/>
          <w:spacing w:val="-2"/>
          <w:sz w:val="16"/>
        </w:rPr>
        <w:t>Losses</w:t>
      </w:r>
    </w:p>
    <w:p>
      <w:pPr>
        <w:spacing w:after="0" w:line="208" w:lineRule="auto"/>
        <w:jc w:val="left"/>
        <w:rPr>
          <w:sz w:val="16"/>
        </w:rPr>
        <w:sectPr>
          <w:type w:val="continuous"/>
          <w:pgSz w:w="12240" w:h="15840"/>
          <w:pgMar w:header="210" w:footer="610" w:top="680" w:bottom="280" w:left="780" w:right="740"/>
          <w:cols w:num="4" w:equalWidth="0">
            <w:col w:w="5513" w:space="40"/>
            <w:col w:w="1680" w:space="39"/>
            <w:col w:w="1201" w:space="39"/>
            <w:col w:w="2208"/>
          </w:cols>
        </w:sectPr>
      </w:pPr>
    </w:p>
    <w:p>
      <w:pPr>
        <w:pStyle w:val="BodyText"/>
        <w:spacing w:before="9"/>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7"/>
        <w:gridCol w:w="1999"/>
        <w:gridCol w:w="1513"/>
        <w:gridCol w:w="1446"/>
        <w:gridCol w:w="1453"/>
      </w:tblGrid>
      <w:tr>
        <w:trPr>
          <w:trHeight w:val="290" w:hRule="atLeast"/>
        </w:trPr>
        <w:tc>
          <w:tcPr>
            <w:tcW w:w="3847" w:type="dxa"/>
            <w:shd w:val="clear" w:color="auto" w:fill="CCEDFF"/>
          </w:tcPr>
          <w:p>
            <w:pPr>
              <w:pStyle w:val="TableParagraph"/>
              <w:spacing w:before="10"/>
              <w:ind w:left="70"/>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999" w:type="dxa"/>
            <w:tcBorders>
              <w:top w:val="single" w:sz="8" w:space="0" w:color="000000"/>
            </w:tcBorders>
            <w:shd w:val="clear" w:color="auto" w:fill="CCEDFF"/>
          </w:tcPr>
          <w:p>
            <w:pPr>
              <w:pStyle w:val="TableParagraph"/>
              <w:tabs>
                <w:tab w:pos="622" w:val="left" w:leader="none"/>
              </w:tabs>
              <w:spacing w:before="10"/>
              <w:ind w:right="102"/>
              <w:jc w:val="right"/>
              <w:rPr>
                <w:sz w:val="20"/>
              </w:rPr>
            </w:pPr>
            <w:r>
              <w:rPr>
                <w:spacing w:val="-10"/>
                <w:sz w:val="20"/>
              </w:rPr>
              <w:t>$</w:t>
            </w:r>
            <w:r>
              <w:rPr>
                <w:sz w:val="20"/>
              </w:rPr>
              <w:tab/>
            </w:r>
            <w:r>
              <w:rPr>
                <w:spacing w:val="-2"/>
                <w:sz w:val="20"/>
              </w:rPr>
              <w:t>500,689</w:t>
            </w:r>
          </w:p>
        </w:tc>
        <w:tc>
          <w:tcPr>
            <w:tcW w:w="1513" w:type="dxa"/>
            <w:tcBorders>
              <w:top w:val="single" w:sz="8" w:space="0" w:color="000000"/>
            </w:tcBorders>
            <w:shd w:val="clear" w:color="auto" w:fill="CCEDFF"/>
          </w:tcPr>
          <w:p>
            <w:pPr>
              <w:pStyle w:val="TableParagraph"/>
              <w:tabs>
                <w:tab w:pos="755" w:val="left" w:leader="none"/>
              </w:tabs>
              <w:spacing w:before="10"/>
              <w:ind w:right="67"/>
              <w:jc w:val="right"/>
              <w:rPr>
                <w:sz w:val="20"/>
              </w:rPr>
            </w:pPr>
            <w:r>
              <w:rPr>
                <w:spacing w:val="-10"/>
                <w:sz w:val="20"/>
              </w:rPr>
              <w:t>$</w:t>
            </w:r>
            <w:r>
              <w:rPr>
                <w:sz w:val="20"/>
              </w:rPr>
              <w:tab/>
            </w:r>
            <w:r>
              <w:rPr>
                <w:spacing w:val="-2"/>
                <w:sz w:val="20"/>
              </w:rPr>
              <w:t>(4,666)</w:t>
            </w:r>
          </w:p>
        </w:tc>
        <w:tc>
          <w:tcPr>
            <w:tcW w:w="1446" w:type="dxa"/>
            <w:tcBorders>
              <w:top w:val="single" w:sz="8" w:space="0" w:color="000000"/>
            </w:tcBorders>
            <w:shd w:val="clear" w:color="auto" w:fill="CCEDFF"/>
          </w:tcPr>
          <w:p>
            <w:pPr>
              <w:pStyle w:val="TableParagraph"/>
              <w:tabs>
                <w:tab w:pos="722" w:val="left" w:leader="none"/>
              </w:tabs>
              <w:spacing w:before="10"/>
              <w:ind w:right="101"/>
              <w:jc w:val="right"/>
              <w:rPr>
                <w:sz w:val="20"/>
              </w:rPr>
            </w:pPr>
            <w:r>
              <w:rPr>
                <w:spacing w:val="-10"/>
                <w:sz w:val="20"/>
              </w:rPr>
              <w:t>$</w:t>
            </w:r>
            <w:r>
              <w:rPr>
                <w:sz w:val="20"/>
              </w:rPr>
              <w:tab/>
            </w:r>
            <w:r>
              <w:rPr>
                <w:spacing w:val="-2"/>
                <w:sz w:val="20"/>
              </w:rPr>
              <w:t>39,162</w:t>
            </w:r>
          </w:p>
        </w:tc>
        <w:tc>
          <w:tcPr>
            <w:tcW w:w="1453" w:type="dxa"/>
            <w:tcBorders>
              <w:top w:val="single" w:sz="8" w:space="0" w:color="000000"/>
            </w:tcBorders>
            <w:shd w:val="clear" w:color="auto" w:fill="CCEDFF"/>
          </w:tcPr>
          <w:p>
            <w:pPr>
              <w:pStyle w:val="TableParagraph"/>
              <w:tabs>
                <w:tab w:pos="1005" w:val="left" w:leader="none"/>
              </w:tabs>
              <w:spacing w:before="10"/>
              <w:ind w:right="6"/>
              <w:jc w:val="right"/>
              <w:rPr>
                <w:sz w:val="20"/>
              </w:rPr>
            </w:pPr>
            <w:r>
              <w:rPr>
                <w:spacing w:val="-10"/>
                <w:sz w:val="20"/>
              </w:rPr>
              <w:t>$</w:t>
            </w:r>
            <w:r>
              <w:rPr>
                <w:sz w:val="20"/>
              </w:rPr>
              <w:tab/>
            </w:r>
            <w:r>
              <w:rPr>
                <w:spacing w:val="-4"/>
                <w:sz w:val="20"/>
              </w:rPr>
              <w:t>(80)</w:t>
            </w:r>
          </w:p>
        </w:tc>
      </w:tr>
      <w:tr>
        <w:trPr>
          <w:trHeight w:val="300" w:hRule="atLeast"/>
        </w:trPr>
        <w:tc>
          <w:tcPr>
            <w:tcW w:w="3847" w:type="dxa"/>
          </w:tcPr>
          <w:p>
            <w:pPr>
              <w:pStyle w:val="TableParagraph"/>
              <w:spacing w:before="20"/>
              <w:ind w:left="70"/>
              <w:rPr>
                <w:sz w:val="20"/>
              </w:rPr>
            </w:pPr>
            <w:r>
              <w:rPr>
                <w:sz w:val="20"/>
              </w:rPr>
              <w:t>Asset-backed </w:t>
            </w:r>
            <w:r>
              <w:rPr>
                <w:spacing w:val="-2"/>
                <w:sz w:val="20"/>
              </w:rPr>
              <w:t>security</w:t>
            </w:r>
          </w:p>
        </w:tc>
        <w:tc>
          <w:tcPr>
            <w:tcW w:w="1999" w:type="dxa"/>
          </w:tcPr>
          <w:p>
            <w:pPr>
              <w:pStyle w:val="TableParagraph"/>
              <w:spacing w:before="20"/>
              <w:ind w:right="102"/>
              <w:jc w:val="right"/>
              <w:rPr>
                <w:sz w:val="20"/>
              </w:rPr>
            </w:pPr>
            <w:r>
              <w:rPr>
                <w:spacing w:val="-2"/>
                <w:sz w:val="20"/>
              </w:rPr>
              <w:t>32,383</w:t>
            </w:r>
          </w:p>
        </w:tc>
        <w:tc>
          <w:tcPr>
            <w:tcW w:w="1513" w:type="dxa"/>
          </w:tcPr>
          <w:p>
            <w:pPr>
              <w:pStyle w:val="TableParagraph"/>
              <w:spacing w:before="20"/>
              <w:ind w:right="67"/>
              <w:jc w:val="right"/>
              <w:rPr>
                <w:sz w:val="20"/>
              </w:rPr>
            </w:pPr>
            <w:r>
              <w:rPr>
                <w:spacing w:val="-2"/>
                <w:sz w:val="20"/>
              </w:rPr>
              <w:t>(210)</w:t>
            </w:r>
          </w:p>
        </w:tc>
        <w:tc>
          <w:tcPr>
            <w:tcW w:w="1446" w:type="dxa"/>
          </w:tcPr>
          <w:p>
            <w:pPr>
              <w:pStyle w:val="TableParagraph"/>
              <w:spacing w:before="20"/>
              <w:ind w:right="101"/>
              <w:jc w:val="right"/>
              <w:rPr>
                <w:sz w:val="20"/>
              </w:rPr>
            </w:pPr>
            <w:r>
              <w:rPr>
                <w:spacing w:val="-2"/>
                <w:sz w:val="20"/>
              </w:rPr>
              <w:t>1,331</w:t>
            </w:r>
          </w:p>
        </w:tc>
        <w:tc>
          <w:tcPr>
            <w:tcW w:w="1453" w:type="dxa"/>
          </w:tcPr>
          <w:p>
            <w:pPr>
              <w:pStyle w:val="TableParagraph"/>
              <w:spacing w:before="20"/>
              <w:ind w:right="6"/>
              <w:jc w:val="right"/>
              <w:rPr>
                <w:sz w:val="20"/>
              </w:rPr>
            </w:pPr>
            <w:r>
              <w:rPr>
                <w:spacing w:val="-5"/>
                <w:sz w:val="20"/>
              </w:rPr>
              <w:t>(1)</w:t>
            </w:r>
          </w:p>
        </w:tc>
      </w:tr>
      <w:tr>
        <w:trPr>
          <w:trHeight w:val="300" w:hRule="atLeast"/>
        </w:trPr>
        <w:tc>
          <w:tcPr>
            <w:tcW w:w="3847" w:type="dxa"/>
            <w:shd w:val="clear" w:color="auto" w:fill="CCEDFF"/>
          </w:tcPr>
          <w:p>
            <w:pPr>
              <w:pStyle w:val="TableParagraph"/>
              <w:spacing w:before="20"/>
              <w:ind w:left="70"/>
              <w:rPr>
                <w:sz w:val="20"/>
              </w:rPr>
            </w:pPr>
            <w:r>
              <w:rPr>
                <w:sz w:val="20"/>
              </w:rPr>
              <w:t>Municipal </w:t>
            </w:r>
            <w:r>
              <w:rPr>
                <w:spacing w:val="-2"/>
                <w:sz w:val="20"/>
              </w:rPr>
              <w:t>securities</w:t>
            </w:r>
          </w:p>
        </w:tc>
        <w:tc>
          <w:tcPr>
            <w:tcW w:w="1999" w:type="dxa"/>
            <w:shd w:val="clear" w:color="auto" w:fill="CCEDFF"/>
          </w:tcPr>
          <w:p>
            <w:pPr>
              <w:pStyle w:val="TableParagraph"/>
              <w:spacing w:before="20"/>
              <w:ind w:right="102"/>
              <w:jc w:val="right"/>
              <w:rPr>
                <w:sz w:val="20"/>
              </w:rPr>
            </w:pPr>
            <w:r>
              <w:rPr>
                <w:spacing w:val="-5"/>
                <w:sz w:val="20"/>
              </w:rPr>
              <w:t>598</w:t>
            </w:r>
          </w:p>
        </w:tc>
        <w:tc>
          <w:tcPr>
            <w:tcW w:w="1513" w:type="dxa"/>
            <w:shd w:val="clear" w:color="auto" w:fill="CCEDFF"/>
          </w:tcPr>
          <w:p>
            <w:pPr>
              <w:pStyle w:val="TableParagraph"/>
              <w:spacing w:before="20"/>
              <w:ind w:right="67"/>
              <w:jc w:val="right"/>
              <w:rPr>
                <w:sz w:val="20"/>
              </w:rPr>
            </w:pPr>
            <w:r>
              <w:rPr>
                <w:spacing w:val="-4"/>
                <w:sz w:val="20"/>
              </w:rPr>
              <w:t>(17)</w:t>
            </w:r>
          </w:p>
        </w:tc>
        <w:tc>
          <w:tcPr>
            <w:tcW w:w="1446" w:type="dxa"/>
            <w:shd w:val="clear" w:color="auto" w:fill="CCEDFF"/>
          </w:tcPr>
          <w:p>
            <w:pPr>
              <w:pStyle w:val="TableParagraph"/>
              <w:spacing w:before="20"/>
              <w:ind w:right="101"/>
              <w:jc w:val="right"/>
              <w:rPr>
                <w:sz w:val="20"/>
              </w:rPr>
            </w:pPr>
            <w:r>
              <w:rPr>
                <w:spacing w:val="-10"/>
                <w:sz w:val="20"/>
              </w:rPr>
              <w:t>—</w:t>
            </w:r>
          </w:p>
        </w:tc>
        <w:tc>
          <w:tcPr>
            <w:tcW w:w="1453" w:type="dxa"/>
            <w:shd w:val="clear" w:color="auto" w:fill="CCEDFF"/>
          </w:tcPr>
          <w:p>
            <w:pPr>
              <w:pStyle w:val="TableParagraph"/>
              <w:spacing w:before="20"/>
              <w:ind w:right="74"/>
              <w:jc w:val="right"/>
              <w:rPr>
                <w:sz w:val="20"/>
              </w:rPr>
            </w:pPr>
            <w:r>
              <w:rPr>
                <w:spacing w:val="-10"/>
                <w:sz w:val="20"/>
              </w:rPr>
              <w:t>—</w:t>
            </w:r>
          </w:p>
        </w:tc>
      </w:tr>
      <w:tr>
        <w:trPr>
          <w:trHeight w:val="290" w:hRule="atLeast"/>
        </w:trPr>
        <w:tc>
          <w:tcPr>
            <w:tcW w:w="3847" w:type="dxa"/>
          </w:tcPr>
          <w:p>
            <w:pPr>
              <w:pStyle w:val="TableParagraph"/>
              <w:spacing w:before="20"/>
              <w:ind w:left="70"/>
              <w:rPr>
                <w:sz w:val="20"/>
              </w:rPr>
            </w:pPr>
            <w:r>
              <w:rPr>
                <w:sz w:val="20"/>
              </w:rPr>
              <w:t>U.S.</w:t>
            </w:r>
            <w:r>
              <w:rPr>
                <w:spacing w:val="-8"/>
                <w:sz w:val="20"/>
              </w:rPr>
              <w:t> </w:t>
            </w:r>
            <w:r>
              <w:rPr>
                <w:sz w:val="20"/>
              </w:rPr>
              <w:t>Treasury</w:t>
            </w:r>
            <w:r>
              <w:rPr>
                <w:spacing w:val="-3"/>
                <w:sz w:val="20"/>
              </w:rPr>
              <w:t> </w:t>
            </w:r>
            <w:r>
              <w:rPr>
                <w:spacing w:val="-2"/>
                <w:sz w:val="20"/>
              </w:rPr>
              <w:t>securities</w:t>
            </w:r>
          </w:p>
        </w:tc>
        <w:tc>
          <w:tcPr>
            <w:tcW w:w="1999" w:type="dxa"/>
            <w:tcBorders>
              <w:bottom w:val="single" w:sz="8" w:space="0" w:color="000000"/>
            </w:tcBorders>
          </w:tcPr>
          <w:p>
            <w:pPr>
              <w:pStyle w:val="TableParagraph"/>
              <w:spacing w:before="20"/>
              <w:ind w:right="102"/>
              <w:jc w:val="right"/>
              <w:rPr>
                <w:sz w:val="20"/>
              </w:rPr>
            </w:pPr>
            <w:r>
              <w:rPr>
                <w:spacing w:val="-2"/>
                <w:sz w:val="20"/>
              </w:rPr>
              <w:t>338,950</w:t>
            </w:r>
          </w:p>
        </w:tc>
        <w:tc>
          <w:tcPr>
            <w:tcW w:w="1513" w:type="dxa"/>
            <w:tcBorders>
              <w:bottom w:val="single" w:sz="8" w:space="0" w:color="000000"/>
            </w:tcBorders>
          </w:tcPr>
          <w:p>
            <w:pPr>
              <w:pStyle w:val="TableParagraph"/>
              <w:spacing w:before="20"/>
              <w:ind w:right="67"/>
              <w:jc w:val="right"/>
              <w:rPr>
                <w:sz w:val="20"/>
              </w:rPr>
            </w:pPr>
            <w:r>
              <w:rPr>
                <w:spacing w:val="-2"/>
                <w:sz w:val="20"/>
              </w:rPr>
              <w:t>(1,465)</w:t>
            </w:r>
          </w:p>
        </w:tc>
        <w:tc>
          <w:tcPr>
            <w:tcW w:w="1446" w:type="dxa"/>
            <w:tcBorders>
              <w:bottom w:val="single" w:sz="8" w:space="0" w:color="000000"/>
            </w:tcBorders>
          </w:tcPr>
          <w:p>
            <w:pPr>
              <w:pStyle w:val="TableParagraph"/>
              <w:spacing w:before="20"/>
              <w:ind w:right="101"/>
              <w:jc w:val="right"/>
              <w:rPr>
                <w:sz w:val="20"/>
              </w:rPr>
            </w:pPr>
            <w:r>
              <w:rPr>
                <w:spacing w:val="-10"/>
                <w:sz w:val="20"/>
              </w:rPr>
              <w:t>—</w:t>
            </w:r>
          </w:p>
        </w:tc>
        <w:tc>
          <w:tcPr>
            <w:tcW w:w="1453" w:type="dxa"/>
            <w:tcBorders>
              <w:bottom w:val="single" w:sz="8" w:space="0" w:color="000000"/>
            </w:tcBorders>
          </w:tcPr>
          <w:p>
            <w:pPr>
              <w:pStyle w:val="TableParagraph"/>
              <w:spacing w:before="20"/>
              <w:ind w:right="74"/>
              <w:jc w:val="right"/>
              <w:rPr>
                <w:sz w:val="20"/>
              </w:rPr>
            </w:pPr>
            <w:r>
              <w:rPr>
                <w:spacing w:val="-10"/>
                <w:sz w:val="20"/>
              </w:rPr>
              <w:t>—</w:t>
            </w:r>
          </w:p>
        </w:tc>
      </w:tr>
      <w:tr>
        <w:trPr>
          <w:trHeight w:val="240" w:hRule="atLeast"/>
        </w:trPr>
        <w:tc>
          <w:tcPr>
            <w:tcW w:w="3847" w:type="dxa"/>
            <w:shd w:val="clear" w:color="auto" w:fill="CCEDFF"/>
          </w:tcPr>
          <w:p>
            <w:pPr>
              <w:pStyle w:val="TableParagraph"/>
              <w:spacing w:line="210" w:lineRule="exact" w:before="10"/>
              <w:ind w:left="550"/>
              <w:rPr>
                <w:sz w:val="20"/>
              </w:rPr>
            </w:pPr>
            <w:r>
              <w:rPr>
                <w:spacing w:val="-2"/>
                <w:sz w:val="20"/>
              </w:rPr>
              <w:t>Total</w:t>
            </w:r>
          </w:p>
        </w:tc>
        <w:tc>
          <w:tcPr>
            <w:tcW w:w="1999" w:type="dxa"/>
            <w:tcBorders>
              <w:top w:val="single" w:sz="8" w:space="0" w:color="000000"/>
              <w:bottom w:val="double" w:sz="8" w:space="0" w:color="000000"/>
            </w:tcBorders>
            <w:shd w:val="clear" w:color="auto" w:fill="CCEDFF"/>
          </w:tcPr>
          <w:p>
            <w:pPr>
              <w:pStyle w:val="TableParagraph"/>
              <w:tabs>
                <w:tab w:pos="622" w:val="left" w:leader="none"/>
              </w:tabs>
              <w:spacing w:line="210" w:lineRule="exact" w:before="10"/>
              <w:ind w:right="102"/>
              <w:jc w:val="right"/>
              <w:rPr>
                <w:sz w:val="20"/>
              </w:rPr>
            </w:pPr>
            <w:r>
              <w:rPr>
                <w:spacing w:val="-10"/>
                <w:sz w:val="20"/>
              </w:rPr>
              <w:t>$</w:t>
            </w:r>
            <w:r>
              <w:rPr>
                <w:sz w:val="20"/>
              </w:rPr>
              <w:tab/>
            </w:r>
            <w:r>
              <w:rPr>
                <w:spacing w:val="-2"/>
                <w:sz w:val="20"/>
              </w:rPr>
              <w:t>872,620</w:t>
            </w:r>
          </w:p>
        </w:tc>
        <w:tc>
          <w:tcPr>
            <w:tcW w:w="1513" w:type="dxa"/>
            <w:tcBorders>
              <w:top w:val="single" w:sz="8" w:space="0" w:color="000000"/>
              <w:bottom w:val="double" w:sz="8" w:space="0" w:color="000000"/>
            </w:tcBorders>
            <w:shd w:val="clear" w:color="auto" w:fill="CCEDFF"/>
          </w:tcPr>
          <w:p>
            <w:pPr>
              <w:pStyle w:val="TableParagraph"/>
              <w:tabs>
                <w:tab w:pos="755" w:val="left" w:leader="none"/>
              </w:tabs>
              <w:spacing w:line="210" w:lineRule="exact" w:before="10"/>
              <w:ind w:right="67"/>
              <w:jc w:val="right"/>
              <w:rPr>
                <w:sz w:val="20"/>
              </w:rPr>
            </w:pPr>
            <w:r>
              <w:rPr>
                <w:spacing w:val="-10"/>
                <w:sz w:val="20"/>
              </w:rPr>
              <w:t>$</w:t>
            </w:r>
            <w:r>
              <w:rPr>
                <w:sz w:val="20"/>
              </w:rPr>
              <w:tab/>
            </w:r>
            <w:r>
              <w:rPr>
                <w:spacing w:val="-2"/>
                <w:sz w:val="20"/>
              </w:rPr>
              <w:t>(6,358)</w:t>
            </w:r>
          </w:p>
        </w:tc>
        <w:tc>
          <w:tcPr>
            <w:tcW w:w="1446" w:type="dxa"/>
            <w:tcBorders>
              <w:top w:val="single" w:sz="8" w:space="0" w:color="000000"/>
              <w:bottom w:val="double" w:sz="8" w:space="0" w:color="000000"/>
            </w:tcBorders>
            <w:shd w:val="clear" w:color="auto" w:fill="CCEDFF"/>
          </w:tcPr>
          <w:p>
            <w:pPr>
              <w:pStyle w:val="TableParagraph"/>
              <w:tabs>
                <w:tab w:pos="722" w:val="left" w:leader="none"/>
              </w:tabs>
              <w:spacing w:line="210" w:lineRule="exact" w:before="10"/>
              <w:ind w:right="101"/>
              <w:jc w:val="right"/>
              <w:rPr>
                <w:sz w:val="20"/>
              </w:rPr>
            </w:pPr>
            <w:r>
              <w:rPr>
                <w:spacing w:val="-10"/>
                <w:sz w:val="20"/>
              </w:rPr>
              <w:t>$</w:t>
            </w:r>
            <w:r>
              <w:rPr>
                <w:sz w:val="20"/>
              </w:rPr>
              <w:tab/>
            </w:r>
            <w:r>
              <w:rPr>
                <w:spacing w:val="-2"/>
                <w:sz w:val="20"/>
              </w:rPr>
              <w:t>40,493</w:t>
            </w:r>
          </w:p>
        </w:tc>
        <w:tc>
          <w:tcPr>
            <w:tcW w:w="1453" w:type="dxa"/>
            <w:tcBorders>
              <w:top w:val="single" w:sz="8" w:space="0" w:color="000000"/>
              <w:bottom w:val="double" w:sz="8" w:space="0" w:color="000000"/>
            </w:tcBorders>
            <w:shd w:val="clear" w:color="auto" w:fill="CCEDFF"/>
          </w:tcPr>
          <w:p>
            <w:pPr>
              <w:pStyle w:val="TableParagraph"/>
              <w:tabs>
                <w:tab w:pos="1005" w:val="left" w:leader="none"/>
              </w:tabs>
              <w:spacing w:line="210" w:lineRule="exact" w:before="10"/>
              <w:ind w:right="6"/>
              <w:jc w:val="right"/>
              <w:rPr>
                <w:sz w:val="20"/>
              </w:rPr>
            </w:pPr>
            <w:r>
              <w:rPr>
                <w:spacing w:val="-10"/>
                <w:sz w:val="20"/>
              </w:rPr>
              <w:t>$</w:t>
            </w:r>
            <w:r>
              <w:rPr>
                <w:sz w:val="20"/>
              </w:rPr>
              <w:tab/>
            </w:r>
            <w:r>
              <w:rPr>
                <w:spacing w:val="-4"/>
                <w:sz w:val="20"/>
              </w:rPr>
              <w:t>(81)</w:t>
            </w:r>
          </w:p>
        </w:tc>
      </w:tr>
    </w:tbl>
    <w:p>
      <w:pPr>
        <w:pStyle w:val="BodyText"/>
        <w:spacing w:line="249" w:lineRule="auto" w:before="203"/>
        <w:ind w:left="220" w:right="257" w:firstLine="540"/>
        <w:jc w:val="both"/>
      </w:pPr>
      <w:r>
        <w:rPr/>
        <w:t>There</w:t>
      </w:r>
      <w:r>
        <w:rPr>
          <w:spacing w:val="-13"/>
        </w:rPr>
        <w:t> </w:t>
      </w:r>
      <w:r>
        <w:rPr/>
        <w:t>were</w:t>
      </w:r>
      <w:r>
        <w:rPr>
          <w:spacing w:val="-12"/>
        </w:rPr>
        <w:t> </w:t>
      </w:r>
      <w:r>
        <w:rPr/>
        <w:t>360</w:t>
      </w:r>
      <w:r>
        <w:rPr>
          <w:spacing w:val="-13"/>
        </w:rPr>
        <w:t> </w:t>
      </w:r>
      <w:r>
        <w:rPr/>
        <w:t>securities</w:t>
      </w:r>
      <w:r>
        <w:rPr>
          <w:spacing w:val="-12"/>
        </w:rPr>
        <w:t> </w:t>
      </w:r>
      <w:r>
        <w:rPr/>
        <w:t>and</w:t>
      </w:r>
      <w:r>
        <w:rPr>
          <w:spacing w:val="-13"/>
        </w:rPr>
        <w:t> </w:t>
      </w:r>
      <w:r>
        <w:rPr/>
        <w:t>23</w:t>
      </w:r>
      <w:r>
        <w:rPr>
          <w:spacing w:val="-12"/>
        </w:rPr>
        <w:t> </w:t>
      </w:r>
      <w:r>
        <w:rPr/>
        <w:t>securities</w:t>
      </w:r>
      <w:r>
        <w:rPr>
          <w:spacing w:val="-13"/>
        </w:rPr>
        <w:t> </w:t>
      </w:r>
      <w:r>
        <w:rPr/>
        <w:t>in</w:t>
      </w:r>
      <w:r>
        <w:rPr>
          <w:spacing w:val="-12"/>
        </w:rPr>
        <w:t> </w:t>
      </w:r>
      <w:r>
        <w:rPr/>
        <w:t>an</w:t>
      </w:r>
      <w:r>
        <w:rPr>
          <w:spacing w:val="-13"/>
        </w:rPr>
        <w:t> </w:t>
      </w:r>
      <w:r>
        <w:rPr/>
        <w:t>unrealized</w:t>
      </w:r>
      <w:r>
        <w:rPr>
          <w:spacing w:val="-12"/>
        </w:rPr>
        <w:t> </w:t>
      </w:r>
      <w:r>
        <w:rPr/>
        <w:t>loss</w:t>
      </w:r>
      <w:r>
        <w:rPr>
          <w:spacing w:val="-13"/>
        </w:rPr>
        <w:t> </w:t>
      </w:r>
      <w:r>
        <w:rPr/>
        <w:t>position</w:t>
      </w:r>
      <w:r>
        <w:rPr>
          <w:spacing w:val="-12"/>
        </w:rPr>
        <w:t> </w:t>
      </w:r>
      <w:r>
        <w:rPr/>
        <w:t>for</w:t>
      </w:r>
      <w:r>
        <w:rPr>
          <w:spacing w:val="-13"/>
        </w:rPr>
        <w:t> </w:t>
      </w:r>
      <w:r>
        <w:rPr/>
        <w:t>more</w:t>
      </w:r>
      <w:r>
        <w:rPr>
          <w:spacing w:val="-12"/>
        </w:rPr>
        <w:t> </w:t>
      </w:r>
      <w:r>
        <w:rPr/>
        <w:t>than</w:t>
      </w:r>
      <w:r>
        <w:rPr>
          <w:spacing w:val="-13"/>
        </w:rPr>
        <w:t> </w:t>
      </w:r>
      <w:r>
        <w:rPr/>
        <w:t>twelve</w:t>
      </w:r>
      <w:r>
        <w:rPr>
          <w:spacing w:val="-12"/>
        </w:rPr>
        <w:t> </w:t>
      </w:r>
      <w:r>
        <w:rPr/>
        <w:t>months</w:t>
      </w:r>
      <w:r>
        <w:rPr>
          <w:spacing w:val="-13"/>
        </w:rPr>
        <w:t> </w:t>
      </w:r>
      <w:r>
        <w:rPr/>
        <w:t>at</w:t>
      </w:r>
      <w:r>
        <w:rPr>
          <w:spacing w:val="-12"/>
        </w:rPr>
        <w:t> </w:t>
      </w:r>
      <w:r>
        <w:rPr/>
        <w:t>December</w:t>
      </w:r>
      <w:r>
        <w:rPr>
          <w:spacing w:val="-13"/>
        </w:rPr>
        <w:t> </w:t>
      </w:r>
      <w:r>
        <w:rPr/>
        <w:t>1,</w:t>
      </w:r>
      <w:r>
        <w:rPr>
          <w:spacing w:val="-12"/>
        </w:rPr>
        <w:t> </w:t>
      </w:r>
      <w:r>
        <w:rPr/>
        <w:t>2017 and at December 2, 2016, respectively.</w:t>
      </w:r>
    </w:p>
    <w:p>
      <w:pPr>
        <w:pStyle w:val="BodyText"/>
        <w:spacing w:line="249" w:lineRule="auto" w:before="182"/>
        <w:ind w:left="220" w:right="258" w:firstLine="540"/>
        <w:jc w:val="both"/>
      </w:pPr>
      <w:r>
        <w:rPr/>
        <w:t>The</w:t>
      </w:r>
      <w:r>
        <w:rPr>
          <w:spacing w:val="-6"/>
        </w:rPr>
        <w:t> </w:t>
      </w:r>
      <w:r>
        <w:rPr/>
        <w:t>following</w:t>
      </w:r>
      <w:r>
        <w:rPr>
          <w:spacing w:val="-6"/>
        </w:rPr>
        <w:t> </w:t>
      </w:r>
      <w:r>
        <w:rPr/>
        <w:t>table</w:t>
      </w:r>
      <w:r>
        <w:rPr>
          <w:spacing w:val="-6"/>
        </w:rPr>
        <w:t> </w:t>
      </w:r>
      <w:r>
        <w:rPr/>
        <w:t>summarizes</w:t>
      </w:r>
      <w:r>
        <w:rPr>
          <w:spacing w:val="-5"/>
        </w:rPr>
        <w:t> </w:t>
      </w:r>
      <w:r>
        <w:rPr/>
        <w:t>the</w:t>
      </w:r>
      <w:r>
        <w:rPr>
          <w:spacing w:val="-6"/>
        </w:rPr>
        <w:t> </w:t>
      </w:r>
      <w:r>
        <w:rPr/>
        <w:t>cost</w:t>
      </w:r>
      <w:r>
        <w:rPr>
          <w:spacing w:val="-6"/>
        </w:rPr>
        <w:t> </w:t>
      </w:r>
      <w:r>
        <w:rPr/>
        <w:t>and</w:t>
      </w:r>
      <w:r>
        <w:rPr>
          <w:spacing w:val="-6"/>
        </w:rPr>
        <w:t> </w:t>
      </w:r>
      <w:r>
        <w:rPr/>
        <w:t>estimated</w:t>
      </w:r>
      <w:r>
        <w:rPr>
          <w:spacing w:val="-6"/>
        </w:rPr>
        <w:t> </w:t>
      </w:r>
      <w:r>
        <w:rPr/>
        <w:t>fair</w:t>
      </w:r>
      <w:r>
        <w:rPr>
          <w:spacing w:val="-6"/>
        </w:rPr>
        <w:t> </w:t>
      </w:r>
      <w:r>
        <w:rPr/>
        <w:t>value</w:t>
      </w:r>
      <w:r>
        <w:rPr>
          <w:spacing w:val="-6"/>
        </w:rPr>
        <w:t> </w:t>
      </w:r>
      <w:r>
        <w:rPr/>
        <w:t>of</w:t>
      </w:r>
      <w:r>
        <w:rPr>
          <w:spacing w:val="-6"/>
        </w:rPr>
        <w:t> </w:t>
      </w:r>
      <w:r>
        <w:rPr/>
        <w:t>short-term</w:t>
      </w:r>
      <w:r>
        <w:rPr>
          <w:spacing w:val="-6"/>
        </w:rPr>
        <w:t> </w:t>
      </w:r>
      <w:r>
        <w:rPr/>
        <w:t>fixed</w:t>
      </w:r>
      <w:r>
        <w:rPr>
          <w:spacing w:val="-6"/>
        </w:rPr>
        <w:t> </w:t>
      </w:r>
      <w:r>
        <w:rPr/>
        <w:t>income</w:t>
      </w:r>
      <w:r>
        <w:rPr>
          <w:spacing w:val="-6"/>
        </w:rPr>
        <w:t> </w:t>
      </w:r>
      <w:r>
        <w:rPr/>
        <w:t>securities</w:t>
      </w:r>
      <w:r>
        <w:rPr>
          <w:spacing w:val="-6"/>
        </w:rPr>
        <w:t> </w:t>
      </w:r>
      <w:r>
        <w:rPr/>
        <w:t>classified</w:t>
      </w:r>
      <w:r>
        <w:rPr>
          <w:spacing w:val="-6"/>
        </w:rPr>
        <w:t> </w:t>
      </w:r>
      <w:r>
        <w:rPr/>
        <w:t>as</w:t>
      </w:r>
      <w:r>
        <w:rPr>
          <w:spacing w:val="-6"/>
        </w:rPr>
        <w:t> </w:t>
      </w:r>
      <w:r>
        <w:rPr/>
        <w:t>short- term investments based on stated effective maturities as of December 1, 2017 (in thousands):</w:t>
      </w:r>
    </w:p>
    <w:p>
      <w:pPr>
        <w:pStyle w:val="BodyText"/>
        <w:spacing w:before="124"/>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0"/>
        <w:gridCol w:w="3726"/>
        <w:gridCol w:w="1473"/>
      </w:tblGrid>
      <w:tr>
        <w:trPr>
          <w:trHeight w:val="374" w:hRule="atLeast"/>
        </w:trPr>
        <w:tc>
          <w:tcPr>
            <w:tcW w:w="5060" w:type="dxa"/>
          </w:tcPr>
          <w:p>
            <w:pPr>
              <w:pStyle w:val="TableParagraph"/>
              <w:rPr>
                <w:sz w:val="18"/>
              </w:rPr>
            </w:pPr>
          </w:p>
        </w:tc>
        <w:tc>
          <w:tcPr>
            <w:tcW w:w="3726" w:type="dxa"/>
            <w:tcBorders>
              <w:bottom w:val="single" w:sz="8" w:space="0" w:color="000000"/>
            </w:tcBorders>
          </w:tcPr>
          <w:p>
            <w:pPr>
              <w:pStyle w:val="TableParagraph"/>
              <w:spacing w:line="208" w:lineRule="auto" w:before="12"/>
              <w:ind w:left="2834" w:right="115" w:hanging="209"/>
              <w:rPr>
                <w:b/>
                <w:sz w:val="16"/>
              </w:rPr>
            </w:pPr>
            <w:r>
              <w:rPr>
                <w:b/>
                <w:spacing w:val="-2"/>
                <w:sz w:val="16"/>
              </w:rPr>
              <w:t>Amortized</w:t>
            </w:r>
            <w:r>
              <w:rPr>
                <w:b/>
                <w:spacing w:val="40"/>
                <w:sz w:val="16"/>
              </w:rPr>
              <w:t> </w:t>
            </w:r>
            <w:r>
              <w:rPr>
                <w:b/>
                <w:spacing w:val="-4"/>
                <w:sz w:val="16"/>
              </w:rPr>
              <w:t>Cost</w:t>
            </w:r>
          </w:p>
        </w:tc>
        <w:tc>
          <w:tcPr>
            <w:tcW w:w="1473" w:type="dxa"/>
            <w:tcBorders>
              <w:bottom w:val="single" w:sz="8" w:space="0" w:color="000000"/>
            </w:tcBorders>
          </w:tcPr>
          <w:p>
            <w:pPr>
              <w:pStyle w:val="TableParagraph"/>
              <w:spacing w:line="208" w:lineRule="auto" w:before="12"/>
              <w:ind w:left="386" w:right="369" w:firstLine="10"/>
              <w:rPr>
                <w:b/>
                <w:sz w:val="16"/>
              </w:rPr>
            </w:pPr>
            <w:r>
              <w:rPr>
                <w:b/>
                <w:spacing w:val="-2"/>
                <w:sz w:val="16"/>
              </w:rPr>
              <w:t>Estimated</w:t>
            </w:r>
            <w:r>
              <w:rPr>
                <w:b/>
                <w:spacing w:val="40"/>
                <w:sz w:val="16"/>
              </w:rPr>
              <w:t> </w:t>
            </w:r>
            <w:r>
              <w:rPr>
                <w:b/>
                <w:sz w:val="16"/>
              </w:rPr>
              <w:t>Fair</w:t>
            </w:r>
            <w:r>
              <w:rPr>
                <w:b/>
                <w:spacing w:val="-6"/>
                <w:sz w:val="16"/>
              </w:rPr>
              <w:t> </w:t>
            </w:r>
            <w:r>
              <w:rPr>
                <w:b/>
                <w:spacing w:val="-6"/>
                <w:sz w:val="16"/>
              </w:rPr>
              <w:t>Value</w:t>
            </w:r>
          </w:p>
        </w:tc>
      </w:tr>
      <w:tr>
        <w:trPr>
          <w:trHeight w:val="270" w:hRule="atLeast"/>
        </w:trPr>
        <w:tc>
          <w:tcPr>
            <w:tcW w:w="5060" w:type="dxa"/>
            <w:shd w:val="clear" w:color="auto" w:fill="CCEDFF"/>
          </w:tcPr>
          <w:p>
            <w:pPr>
              <w:pStyle w:val="TableParagraph"/>
              <w:spacing w:line="222" w:lineRule="exact"/>
              <w:ind w:left="50"/>
              <w:rPr>
                <w:sz w:val="20"/>
              </w:rPr>
            </w:pPr>
            <w:r>
              <w:rPr>
                <w:sz w:val="20"/>
              </w:rPr>
              <w:t>Due within one </w:t>
            </w:r>
            <w:r>
              <w:rPr>
                <w:spacing w:val="-4"/>
                <w:sz w:val="20"/>
              </w:rPr>
              <w:t>year</w:t>
            </w:r>
          </w:p>
        </w:tc>
        <w:tc>
          <w:tcPr>
            <w:tcW w:w="3726" w:type="dxa"/>
            <w:tcBorders>
              <w:top w:val="single" w:sz="8" w:space="0" w:color="000000"/>
            </w:tcBorders>
            <w:shd w:val="clear" w:color="auto" w:fill="CCEDFF"/>
          </w:tcPr>
          <w:p>
            <w:pPr>
              <w:pStyle w:val="TableParagraph"/>
              <w:tabs>
                <w:tab w:pos="472" w:val="left" w:leader="none"/>
              </w:tabs>
              <w:spacing w:line="222" w:lineRule="exact"/>
              <w:ind w:right="102"/>
              <w:jc w:val="right"/>
              <w:rPr>
                <w:sz w:val="20"/>
              </w:rPr>
            </w:pPr>
            <w:r>
              <w:rPr>
                <w:spacing w:val="-10"/>
                <w:sz w:val="20"/>
              </w:rPr>
              <w:t>$</w:t>
            </w:r>
            <w:r>
              <w:rPr>
                <w:sz w:val="20"/>
              </w:rPr>
              <w:tab/>
            </w:r>
            <w:r>
              <w:rPr>
                <w:spacing w:val="-2"/>
                <w:sz w:val="20"/>
              </w:rPr>
              <w:t>1,025,894</w:t>
            </w:r>
          </w:p>
        </w:tc>
        <w:tc>
          <w:tcPr>
            <w:tcW w:w="1473" w:type="dxa"/>
            <w:tcBorders>
              <w:top w:val="single" w:sz="8" w:space="0" w:color="000000"/>
            </w:tcBorders>
            <w:shd w:val="clear" w:color="auto" w:fill="CCEDFF"/>
          </w:tcPr>
          <w:p>
            <w:pPr>
              <w:pStyle w:val="TableParagraph"/>
              <w:tabs>
                <w:tab w:pos="472" w:val="left" w:leader="none"/>
              </w:tabs>
              <w:spacing w:line="222" w:lineRule="exact"/>
              <w:ind w:right="95"/>
              <w:jc w:val="right"/>
              <w:rPr>
                <w:sz w:val="20"/>
              </w:rPr>
            </w:pPr>
            <w:r>
              <w:rPr>
                <w:spacing w:val="-10"/>
                <w:sz w:val="20"/>
              </w:rPr>
              <w:t>$</w:t>
            </w:r>
            <w:r>
              <w:rPr>
                <w:sz w:val="20"/>
              </w:rPr>
              <w:tab/>
            </w:r>
            <w:r>
              <w:rPr>
                <w:spacing w:val="-2"/>
                <w:sz w:val="20"/>
              </w:rPr>
              <w:t>1,023,639</w:t>
            </w:r>
          </w:p>
        </w:tc>
      </w:tr>
      <w:tr>
        <w:trPr>
          <w:trHeight w:val="280" w:hRule="atLeast"/>
        </w:trPr>
        <w:tc>
          <w:tcPr>
            <w:tcW w:w="5060" w:type="dxa"/>
          </w:tcPr>
          <w:p>
            <w:pPr>
              <w:pStyle w:val="TableParagraph"/>
              <w:spacing w:before="2"/>
              <w:ind w:left="50"/>
              <w:rPr>
                <w:sz w:val="20"/>
              </w:rPr>
            </w:pPr>
            <w:r>
              <w:rPr>
                <w:sz w:val="20"/>
              </w:rPr>
              <w:t>Due between one and two </w:t>
            </w:r>
            <w:r>
              <w:rPr>
                <w:spacing w:val="-2"/>
                <w:sz w:val="20"/>
              </w:rPr>
              <w:t>years</w:t>
            </w:r>
          </w:p>
        </w:tc>
        <w:tc>
          <w:tcPr>
            <w:tcW w:w="3726" w:type="dxa"/>
          </w:tcPr>
          <w:p>
            <w:pPr>
              <w:pStyle w:val="TableParagraph"/>
              <w:spacing w:before="2"/>
              <w:ind w:right="102"/>
              <w:jc w:val="right"/>
              <w:rPr>
                <w:sz w:val="20"/>
              </w:rPr>
            </w:pPr>
            <w:r>
              <w:rPr>
                <w:spacing w:val="-2"/>
                <w:sz w:val="20"/>
              </w:rPr>
              <w:t>1,294,919</w:t>
            </w:r>
          </w:p>
        </w:tc>
        <w:tc>
          <w:tcPr>
            <w:tcW w:w="1473" w:type="dxa"/>
          </w:tcPr>
          <w:p>
            <w:pPr>
              <w:pStyle w:val="TableParagraph"/>
              <w:spacing w:before="2"/>
              <w:ind w:right="95"/>
              <w:jc w:val="right"/>
              <w:rPr>
                <w:sz w:val="20"/>
              </w:rPr>
            </w:pPr>
            <w:r>
              <w:rPr>
                <w:spacing w:val="-2"/>
                <w:sz w:val="20"/>
              </w:rPr>
              <w:t>1,289,307</w:t>
            </w:r>
          </w:p>
        </w:tc>
      </w:tr>
      <w:tr>
        <w:trPr>
          <w:trHeight w:val="280" w:hRule="atLeast"/>
        </w:trPr>
        <w:tc>
          <w:tcPr>
            <w:tcW w:w="5060" w:type="dxa"/>
            <w:shd w:val="clear" w:color="auto" w:fill="CCEDFF"/>
          </w:tcPr>
          <w:p>
            <w:pPr>
              <w:pStyle w:val="TableParagraph"/>
              <w:spacing w:before="2"/>
              <w:ind w:left="50"/>
              <w:rPr>
                <w:sz w:val="20"/>
              </w:rPr>
            </w:pPr>
            <w:r>
              <w:rPr>
                <w:sz w:val="20"/>
              </w:rPr>
              <w:t>Due between two and three </w:t>
            </w:r>
            <w:r>
              <w:rPr>
                <w:spacing w:val="-2"/>
                <w:sz w:val="20"/>
              </w:rPr>
              <w:t>years</w:t>
            </w:r>
          </w:p>
        </w:tc>
        <w:tc>
          <w:tcPr>
            <w:tcW w:w="3726" w:type="dxa"/>
            <w:shd w:val="clear" w:color="auto" w:fill="CCEDFF"/>
          </w:tcPr>
          <w:p>
            <w:pPr>
              <w:pStyle w:val="TableParagraph"/>
              <w:spacing w:before="2"/>
              <w:ind w:right="102"/>
              <w:jc w:val="right"/>
              <w:rPr>
                <w:sz w:val="20"/>
              </w:rPr>
            </w:pPr>
            <w:r>
              <w:rPr>
                <w:spacing w:val="-2"/>
                <w:sz w:val="20"/>
              </w:rPr>
              <w:t>815,254</w:t>
            </w:r>
          </w:p>
        </w:tc>
        <w:tc>
          <w:tcPr>
            <w:tcW w:w="1473" w:type="dxa"/>
            <w:shd w:val="clear" w:color="auto" w:fill="CCEDFF"/>
          </w:tcPr>
          <w:p>
            <w:pPr>
              <w:pStyle w:val="TableParagraph"/>
              <w:spacing w:before="2"/>
              <w:ind w:right="95"/>
              <w:jc w:val="right"/>
              <w:rPr>
                <w:sz w:val="20"/>
              </w:rPr>
            </w:pPr>
            <w:r>
              <w:rPr>
                <w:spacing w:val="-2"/>
                <w:sz w:val="20"/>
              </w:rPr>
              <w:t>812,828</w:t>
            </w:r>
          </w:p>
        </w:tc>
      </w:tr>
      <w:tr>
        <w:trPr>
          <w:trHeight w:val="269" w:hRule="atLeast"/>
        </w:trPr>
        <w:tc>
          <w:tcPr>
            <w:tcW w:w="5060" w:type="dxa"/>
          </w:tcPr>
          <w:p>
            <w:pPr>
              <w:pStyle w:val="TableParagraph"/>
              <w:spacing w:before="2"/>
              <w:ind w:left="50"/>
              <w:rPr>
                <w:sz w:val="20"/>
              </w:rPr>
            </w:pPr>
            <w:r>
              <w:rPr>
                <w:sz w:val="20"/>
              </w:rPr>
              <w:t>Due after three </w:t>
            </w:r>
            <w:r>
              <w:rPr>
                <w:spacing w:val="-2"/>
                <w:sz w:val="20"/>
              </w:rPr>
              <w:t>years</w:t>
            </w:r>
          </w:p>
        </w:tc>
        <w:tc>
          <w:tcPr>
            <w:tcW w:w="3726" w:type="dxa"/>
            <w:tcBorders>
              <w:bottom w:val="single" w:sz="8" w:space="0" w:color="000000"/>
            </w:tcBorders>
          </w:tcPr>
          <w:p>
            <w:pPr>
              <w:pStyle w:val="TableParagraph"/>
              <w:spacing w:before="2"/>
              <w:ind w:right="102"/>
              <w:jc w:val="right"/>
              <w:rPr>
                <w:sz w:val="20"/>
              </w:rPr>
            </w:pPr>
            <w:r>
              <w:rPr>
                <w:spacing w:val="-2"/>
                <w:sz w:val="20"/>
              </w:rPr>
              <w:t>389,150</w:t>
            </w:r>
          </w:p>
        </w:tc>
        <w:tc>
          <w:tcPr>
            <w:tcW w:w="1473" w:type="dxa"/>
            <w:tcBorders>
              <w:bottom w:val="single" w:sz="8" w:space="0" w:color="000000"/>
            </w:tcBorders>
          </w:tcPr>
          <w:p>
            <w:pPr>
              <w:pStyle w:val="TableParagraph"/>
              <w:spacing w:before="2"/>
              <w:ind w:right="95"/>
              <w:jc w:val="right"/>
              <w:rPr>
                <w:sz w:val="20"/>
              </w:rPr>
            </w:pPr>
            <w:r>
              <w:rPr>
                <w:spacing w:val="-2"/>
                <w:sz w:val="20"/>
              </w:rPr>
              <w:t>387,928</w:t>
            </w:r>
          </w:p>
        </w:tc>
      </w:tr>
      <w:tr>
        <w:trPr>
          <w:trHeight w:val="240" w:hRule="atLeast"/>
        </w:trPr>
        <w:tc>
          <w:tcPr>
            <w:tcW w:w="5060" w:type="dxa"/>
            <w:shd w:val="clear" w:color="auto" w:fill="CCEDFF"/>
          </w:tcPr>
          <w:p>
            <w:pPr>
              <w:pStyle w:val="TableParagraph"/>
              <w:spacing w:line="220" w:lineRule="exact"/>
              <w:ind w:left="530"/>
              <w:rPr>
                <w:sz w:val="20"/>
              </w:rPr>
            </w:pPr>
            <w:r>
              <w:rPr>
                <w:spacing w:val="-2"/>
                <w:sz w:val="20"/>
              </w:rPr>
              <w:t>Total</w:t>
            </w:r>
          </w:p>
        </w:tc>
        <w:tc>
          <w:tcPr>
            <w:tcW w:w="3726" w:type="dxa"/>
            <w:tcBorders>
              <w:top w:val="single" w:sz="8" w:space="0" w:color="000000"/>
              <w:bottom w:val="double" w:sz="8" w:space="0" w:color="000000"/>
            </w:tcBorders>
            <w:shd w:val="clear" w:color="auto" w:fill="CCEDFF"/>
          </w:tcPr>
          <w:p>
            <w:pPr>
              <w:pStyle w:val="TableParagraph"/>
              <w:tabs>
                <w:tab w:pos="472" w:val="left" w:leader="none"/>
              </w:tabs>
              <w:spacing w:line="220" w:lineRule="exact"/>
              <w:ind w:right="102"/>
              <w:jc w:val="right"/>
              <w:rPr>
                <w:sz w:val="20"/>
              </w:rPr>
            </w:pPr>
            <w:r>
              <w:rPr>
                <w:spacing w:val="-10"/>
                <w:sz w:val="20"/>
              </w:rPr>
              <w:t>$</w:t>
            </w:r>
            <w:r>
              <w:rPr>
                <w:sz w:val="20"/>
              </w:rPr>
              <w:tab/>
            </w:r>
            <w:r>
              <w:rPr>
                <w:spacing w:val="-2"/>
                <w:sz w:val="20"/>
              </w:rPr>
              <w:t>3,525,217</w:t>
            </w:r>
          </w:p>
        </w:tc>
        <w:tc>
          <w:tcPr>
            <w:tcW w:w="1473" w:type="dxa"/>
            <w:tcBorders>
              <w:top w:val="single" w:sz="8" w:space="0" w:color="000000"/>
              <w:bottom w:val="double" w:sz="8" w:space="0" w:color="000000"/>
            </w:tcBorders>
            <w:shd w:val="clear" w:color="auto" w:fill="CCEDFF"/>
          </w:tcPr>
          <w:p>
            <w:pPr>
              <w:pStyle w:val="TableParagraph"/>
              <w:tabs>
                <w:tab w:pos="472" w:val="left" w:leader="none"/>
              </w:tabs>
              <w:spacing w:line="220" w:lineRule="exact"/>
              <w:ind w:right="95"/>
              <w:jc w:val="right"/>
              <w:rPr>
                <w:sz w:val="20"/>
              </w:rPr>
            </w:pPr>
            <w:r>
              <w:rPr>
                <w:spacing w:val="-10"/>
                <w:sz w:val="20"/>
              </w:rPr>
              <w:t>$</w:t>
            </w:r>
            <w:r>
              <w:rPr>
                <w:sz w:val="20"/>
              </w:rPr>
              <w:tab/>
            </w:r>
            <w:r>
              <w:rPr>
                <w:spacing w:val="-2"/>
                <w:sz w:val="20"/>
              </w:rPr>
              <w:t>3,513,702</w:t>
            </w:r>
          </w:p>
        </w:tc>
      </w:tr>
    </w:tbl>
    <w:p>
      <w:pPr>
        <w:pStyle w:val="BodyText"/>
        <w:spacing w:line="249" w:lineRule="auto" w:before="194"/>
        <w:ind w:left="220" w:right="257" w:firstLine="540"/>
        <w:jc w:val="both"/>
      </w:pPr>
      <w:r>
        <w:rPr/>
        <w:t>We review our debt and marketable equity securities classified as short-term investments on a regular basis to evaluate whether</w:t>
      </w:r>
      <w:r>
        <w:rPr>
          <w:spacing w:val="-8"/>
        </w:rPr>
        <w:t> </w:t>
      </w:r>
      <w:r>
        <w:rPr/>
        <w:t>or</w:t>
      </w:r>
      <w:r>
        <w:rPr>
          <w:spacing w:val="-7"/>
        </w:rPr>
        <w:t> </w:t>
      </w:r>
      <w:r>
        <w:rPr/>
        <w:t>not</w:t>
      </w:r>
      <w:r>
        <w:rPr>
          <w:spacing w:val="-8"/>
        </w:rPr>
        <w:t> </w:t>
      </w:r>
      <w:r>
        <w:rPr/>
        <w:t>any</w:t>
      </w:r>
      <w:r>
        <w:rPr>
          <w:spacing w:val="-8"/>
        </w:rPr>
        <w:t> </w:t>
      </w:r>
      <w:r>
        <w:rPr/>
        <w:t>security</w:t>
      </w:r>
      <w:r>
        <w:rPr>
          <w:spacing w:val="-7"/>
        </w:rPr>
        <w:t> </w:t>
      </w:r>
      <w:r>
        <w:rPr/>
        <w:t>has</w:t>
      </w:r>
      <w:r>
        <w:rPr>
          <w:spacing w:val="-8"/>
        </w:rPr>
        <w:t> </w:t>
      </w:r>
      <w:r>
        <w:rPr/>
        <w:t>experienced</w:t>
      </w:r>
      <w:r>
        <w:rPr>
          <w:spacing w:val="-8"/>
        </w:rPr>
        <w:t> </w:t>
      </w:r>
      <w:r>
        <w:rPr/>
        <w:t>an</w:t>
      </w:r>
      <w:r>
        <w:rPr>
          <w:spacing w:val="-7"/>
        </w:rPr>
        <w:t> </w:t>
      </w:r>
      <w:r>
        <w:rPr/>
        <w:t>other-than-temporary</w:t>
      </w:r>
      <w:r>
        <w:rPr>
          <w:spacing w:val="-8"/>
        </w:rPr>
        <w:t> </w:t>
      </w:r>
      <w:r>
        <w:rPr/>
        <w:t>decline</w:t>
      </w:r>
      <w:r>
        <w:rPr>
          <w:spacing w:val="-8"/>
        </w:rPr>
        <w:t> </w:t>
      </w:r>
      <w:r>
        <w:rPr/>
        <w:t>in</w:t>
      </w:r>
      <w:r>
        <w:rPr>
          <w:spacing w:val="-7"/>
        </w:rPr>
        <w:t> </w:t>
      </w:r>
      <w:r>
        <w:rPr/>
        <w:t>fair</w:t>
      </w:r>
      <w:r>
        <w:rPr>
          <w:spacing w:val="-8"/>
        </w:rPr>
        <w:t> </w:t>
      </w:r>
      <w:r>
        <w:rPr/>
        <w:t>value.</w:t>
      </w:r>
      <w:r>
        <w:rPr>
          <w:spacing w:val="-11"/>
        </w:rPr>
        <w:t> </w:t>
      </w:r>
      <w:r>
        <w:rPr/>
        <w:t>We</w:t>
      </w:r>
      <w:r>
        <w:rPr>
          <w:spacing w:val="-8"/>
        </w:rPr>
        <w:t> </w:t>
      </w:r>
      <w:r>
        <w:rPr/>
        <w:t>consider</w:t>
      </w:r>
      <w:r>
        <w:rPr>
          <w:spacing w:val="-7"/>
        </w:rPr>
        <w:t> </w:t>
      </w:r>
      <w:r>
        <w:rPr/>
        <w:t>factors</w:t>
      </w:r>
      <w:r>
        <w:rPr>
          <w:spacing w:val="-7"/>
        </w:rPr>
        <w:t> </w:t>
      </w:r>
      <w:r>
        <w:rPr/>
        <w:t>such</w:t>
      </w:r>
      <w:r>
        <w:rPr>
          <w:spacing w:val="-7"/>
        </w:rPr>
        <w:t> </w:t>
      </w:r>
      <w:r>
        <w:rPr/>
        <w:t>as</w:t>
      </w:r>
      <w:r>
        <w:rPr>
          <w:spacing w:val="-7"/>
        </w:rPr>
        <w:t> </w:t>
      </w:r>
      <w:r>
        <w:rPr/>
        <w:t>the</w:t>
      </w:r>
      <w:r>
        <w:rPr>
          <w:spacing w:val="-8"/>
        </w:rPr>
        <w:t> </w:t>
      </w:r>
      <w:r>
        <w:rPr/>
        <w:t>length of time and extent to which the market value has been less than the cost, the financial condition and near-term prospects of the issuer</w:t>
      </w:r>
      <w:r>
        <w:rPr>
          <w:spacing w:val="-5"/>
        </w:rPr>
        <w:t> </w:t>
      </w:r>
      <w:r>
        <w:rPr/>
        <w:t>and</w:t>
      </w:r>
      <w:r>
        <w:rPr>
          <w:spacing w:val="-5"/>
        </w:rPr>
        <w:t> </w:t>
      </w:r>
      <w:r>
        <w:rPr/>
        <w:t>our</w:t>
      </w:r>
      <w:r>
        <w:rPr>
          <w:spacing w:val="-5"/>
        </w:rPr>
        <w:t> </w:t>
      </w:r>
      <w:r>
        <w:rPr/>
        <w:t>intent</w:t>
      </w:r>
      <w:r>
        <w:rPr>
          <w:spacing w:val="-5"/>
        </w:rPr>
        <w:t> </w:t>
      </w:r>
      <w:r>
        <w:rPr/>
        <w:t>to</w:t>
      </w:r>
      <w:r>
        <w:rPr>
          <w:spacing w:val="-5"/>
        </w:rPr>
        <w:t> </w:t>
      </w:r>
      <w:r>
        <w:rPr/>
        <w:t>sell,</w:t>
      </w:r>
      <w:r>
        <w:rPr>
          <w:spacing w:val="-5"/>
        </w:rPr>
        <w:t> </w:t>
      </w:r>
      <w:r>
        <w:rPr/>
        <w:t>or</w:t>
      </w:r>
      <w:r>
        <w:rPr>
          <w:spacing w:val="-5"/>
        </w:rPr>
        <w:t> </w:t>
      </w:r>
      <w:r>
        <w:rPr/>
        <w:t>whether</w:t>
      </w:r>
      <w:r>
        <w:rPr>
          <w:spacing w:val="-5"/>
        </w:rPr>
        <w:t> </w:t>
      </w:r>
      <w:r>
        <w:rPr/>
        <w:t>it</w:t>
      </w:r>
      <w:r>
        <w:rPr>
          <w:spacing w:val="-5"/>
        </w:rPr>
        <w:t> </w:t>
      </w:r>
      <w:r>
        <w:rPr/>
        <w:t>is</w:t>
      </w:r>
      <w:r>
        <w:rPr>
          <w:spacing w:val="-5"/>
        </w:rPr>
        <w:t> </w:t>
      </w:r>
      <w:r>
        <w:rPr/>
        <w:t>more</w:t>
      </w:r>
      <w:r>
        <w:rPr>
          <w:spacing w:val="-5"/>
        </w:rPr>
        <w:t> </w:t>
      </w:r>
      <w:r>
        <w:rPr/>
        <w:t>likely</w:t>
      </w:r>
      <w:r>
        <w:rPr>
          <w:spacing w:val="-5"/>
        </w:rPr>
        <w:t> </w:t>
      </w:r>
      <w:r>
        <w:rPr/>
        <w:t>than</w:t>
      </w:r>
      <w:r>
        <w:rPr>
          <w:spacing w:val="-5"/>
        </w:rPr>
        <w:t> </w:t>
      </w:r>
      <w:r>
        <w:rPr/>
        <w:t>not</w:t>
      </w:r>
      <w:r>
        <w:rPr>
          <w:spacing w:val="-5"/>
        </w:rPr>
        <w:t> </w:t>
      </w:r>
      <w:r>
        <w:rPr/>
        <w:t>we</w:t>
      </w:r>
      <w:r>
        <w:rPr>
          <w:spacing w:val="-5"/>
        </w:rPr>
        <w:t> </w:t>
      </w:r>
      <w:r>
        <w:rPr/>
        <w:t>will</w:t>
      </w:r>
      <w:r>
        <w:rPr>
          <w:spacing w:val="-5"/>
        </w:rPr>
        <w:t> </w:t>
      </w:r>
      <w:r>
        <w:rPr/>
        <w:t>be</w:t>
      </w:r>
      <w:r>
        <w:rPr>
          <w:spacing w:val="-5"/>
        </w:rPr>
        <w:t> </w:t>
      </w:r>
      <w:r>
        <w:rPr/>
        <w:t>required</w:t>
      </w:r>
      <w:r>
        <w:rPr>
          <w:spacing w:val="-5"/>
        </w:rPr>
        <w:t> </w:t>
      </w:r>
      <w:r>
        <w:rPr/>
        <w:t>to</w:t>
      </w:r>
      <w:r>
        <w:rPr>
          <w:spacing w:val="-5"/>
        </w:rPr>
        <w:t> </w:t>
      </w:r>
      <w:r>
        <w:rPr/>
        <w:t>sell</w:t>
      </w:r>
      <w:r>
        <w:rPr>
          <w:spacing w:val="-5"/>
        </w:rPr>
        <w:t> </w:t>
      </w:r>
      <w:r>
        <w:rPr/>
        <w:t>the</w:t>
      </w:r>
      <w:r>
        <w:rPr>
          <w:spacing w:val="-5"/>
        </w:rPr>
        <w:t> </w:t>
      </w:r>
      <w:r>
        <w:rPr/>
        <w:t>investment</w:t>
      </w:r>
      <w:r>
        <w:rPr>
          <w:spacing w:val="-5"/>
        </w:rPr>
        <w:t> </w:t>
      </w:r>
      <w:r>
        <w:rPr/>
        <w:t>before</w:t>
      </w:r>
      <w:r>
        <w:rPr>
          <w:spacing w:val="-5"/>
        </w:rPr>
        <w:t> </w:t>
      </w:r>
      <w:r>
        <w:rPr/>
        <w:t>recovery</w:t>
      </w:r>
      <w:r>
        <w:rPr>
          <w:spacing w:val="-5"/>
        </w:rPr>
        <w:t> </w:t>
      </w:r>
      <w:r>
        <w:rPr/>
        <w:t>of</w:t>
      </w:r>
      <w:r>
        <w:rPr>
          <w:spacing w:val="-5"/>
        </w:rPr>
        <w:t> </w:t>
      </w:r>
      <w:r>
        <w:rPr/>
        <w:t>the investment’s amortized cost basis. If we believe that an other-than-temporary decline exists in one of these securities, we write down these</w:t>
      </w:r>
      <w:r>
        <w:rPr>
          <w:spacing w:val="2"/>
        </w:rPr>
        <w:t> </w:t>
      </w:r>
      <w:r>
        <w:rPr/>
        <w:t>investments</w:t>
      </w:r>
      <w:r>
        <w:rPr>
          <w:spacing w:val="4"/>
        </w:rPr>
        <w:t> </w:t>
      </w:r>
      <w:r>
        <w:rPr/>
        <w:t>to</w:t>
      </w:r>
      <w:r>
        <w:rPr>
          <w:spacing w:val="2"/>
        </w:rPr>
        <w:t> </w:t>
      </w:r>
      <w:r>
        <w:rPr/>
        <w:t>fair</w:t>
      </w:r>
      <w:r>
        <w:rPr>
          <w:spacing w:val="2"/>
        </w:rPr>
        <w:t> </w:t>
      </w:r>
      <w:r>
        <w:rPr/>
        <w:t>value.</w:t>
      </w:r>
      <w:r>
        <w:rPr>
          <w:spacing w:val="3"/>
        </w:rPr>
        <w:t> </w:t>
      </w:r>
      <w:r>
        <w:rPr/>
        <w:t>For</w:t>
      </w:r>
      <w:r>
        <w:rPr>
          <w:spacing w:val="2"/>
        </w:rPr>
        <w:t> </w:t>
      </w:r>
      <w:r>
        <w:rPr/>
        <w:t>debt</w:t>
      </w:r>
      <w:r>
        <w:rPr>
          <w:spacing w:val="2"/>
        </w:rPr>
        <w:t> </w:t>
      </w:r>
      <w:r>
        <w:rPr/>
        <w:t>securities,</w:t>
      </w:r>
      <w:r>
        <w:rPr>
          <w:spacing w:val="3"/>
        </w:rPr>
        <w:t> </w:t>
      </w:r>
      <w:r>
        <w:rPr/>
        <w:t>the</w:t>
      </w:r>
      <w:r>
        <w:rPr>
          <w:spacing w:val="2"/>
        </w:rPr>
        <w:t> </w:t>
      </w:r>
      <w:r>
        <w:rPr/>
        <w:t>portion</w:t>
      </w:r>
      <w:r>
        <w:rPr>
          <w:spacing w:val="2"/>
        </w:rPr>
        <w:t> </w:t>
      </w:r>
      <w:r>
        <w:rPr/>
        <w:t>of</w:t>
      </w:r>
      <w:r>
        <w:rPr>
          <w:spacing w:val="3"/>
        </w:rPr>
        <w:t> </w:t>
      </w:r>
      <w:r>
        <w:rPr/>
        <w:t>the</w:t>
      </w:r>
      <w:r>
        <w:rPr>
          <w:spacing w:val="2"/>
        </w:rPr>
        <w:t> </w:t>
      </w:r>
      <w:r>
        <w:rPr/>
        <w:t>write-down</w:t>
      </w:r>
      <w:r>
        <w:rPr>
          <w:spacing w:val="2"/>
        </w:rPr>
        <w:t> </w:t>
      </w:r>
      <w:r>
        <w:rPr/>
        <w:t>related</w:t>
      </w:r>
      <w:r>
        <w:rPr>
          <w:spacing w:val="3"/>
        </w:rPr>
        <w:t> </w:t>
      </w:r>
      <w:r>
        <w:rPr/>
        <w:t>to</w:t>
      </w:r>
      <w:r>
        <w:rPr>
          <w:spacing w:val="2"/>
        </w:rPr>
        <w:t> </w:t>
      </w:r>
      <w:r>
        <w:rPr/>
        <w:t>credit</w:t>
      </w:r>
      <w:r>
        <w:rPr>
          <w:spacing w:val="2"/>
        </w:rPr>
        <w:t> </w:t>
      </w:r>
      <w:r>
        <w:rPr/>
        <w:t>loss</w:t>
      </w:r>
      <w:r>
        <w:rPr>
          <w:spacing w:val="3"/>
        </w:rPr>
        <w:t> </w:t>
      </w:r>
      <w:r>
        <w:rPr/>
        <w:t>would</w:t>
      </w:r>
      <w:r>
        <w:rPr>
          <w:spacing w:val="2"/>
        </w:rPr>
        <w:t> </w:t>
      </w:r>
      <w:r>
        <w:rPr/>
        <w:t>be</w:t>
      </w:r>
      <w:r>
        <w:rPr>
          <w:spacing w:val="3"/>
        </w:rPr>
        <w:t> </w:t>
      </w:r>
      <w:r>
        <w:rPr>
          <w:spacing w:val="-2"/>
        </w:rPr>
        <w:t>recorded</w:t>
      </w:r>
    </w:p>
    <w:p>
      <w:pPr>
        <w:spacing w:after="0" w:line="249" w:lineRule="auto"/>
        <w:jc w:val="both"/>
        <w:sectPr>
          <w:type w:val="continuous"/>
          <w:pgSz w:w="12240" w:h="15840"/>
          <w:pgMar w:header="210" w:footer="610" w:top="680" w:bottom="280" w:left="780" w:right="740"/>
        </w:sectPr>
      </w:pPr>
    </w:p>
    <w:p>
      <w:pPr>
        <w:pStyle w:val="BodyText"/>
      </w:pPr>
    </w:p>
    <w:p>
      <w:pPr>
        <w:pStyle w:val="BodyText"/>
      </w:pPr>
    </w:p>
    <w:p>
      <w:pPr>
        <w:pStyle w:val="BodyText"/>
        <w:spacing w:before="30"/>
      </w:pPr>
    </w:p>
    <w:p>
      <w:pPr>
        <w:pStyle w:val="BodyText"/>
        <w:spacing w:line="249" w:lineRule="auto"/>
        <w:ind w:left="220" w:right="257"/>
        <w:jc w:val="both"/>
      </w:pPr>
      <w:r>
        <w:rPr>
          <w:spacing w:val="-2"/>
        </w:rPr>
        <w:t>to</w:t>
      </w:r>
      <w:r>
        <w:rPr>
          <w:spacing w:val="-11"/>
        </w:rPr>
        <w:t> </w:t>
      </w:r>
      <w:r>
        <w:rPr>
          <w:spacing w:val="-2"/>
        </w:rPr>
        <w:t>interest</w:t>
      </w:r>
      <w:r>
        <w:rPr>
          <w:spacing w:val="-10"/>
        </w:rPr>
        <w:t> </w:t>
      </w:r>
      <w:r>
        <w:rPr>
          <w:spacing w:val="-2"/>
        </w:rPr>
        <w:t>and</w:t>
      </w:r>
      <w:r>
        <w:rPr>
          <w:spacing w:val="-7"/>
        </w:rPr>
        <w:t> </w:t>
      </w:r>
      <w:r>
        <w:rPr>
          <w:spacing w:val="-2"/>
        </w:rPr>
        <w:t>other</w:t>
      </w:r>
      <w:r>
        <w:rPr>
          <w:spacing w:val="-7"/>
        </w:rPr>
        <w:t> </w:t>
      </w:r>
      <w:r>
        <w:rPr>
          <w:spacing w:val="-2"/>
        </w:rPr>
        <w:t>income,</w:t>
      </w:r>
      <w:r>
        <w:rPr>
          <w:spacing w:val="-7"/>
        </w:rPr>
        <w:t> </w:t>
      </w:r>
      <w:r>
        <w:rPr>
          <w:spacing w:val="-2"/>
        </w:rPr>
        <w:t>net</w:t>
      </w:r>
      <w:r>
        <w:rPr>
          <w:spacing w:val="-7"/>
        </w:rPr>
        <w:t> </w:t>
      </w:r>
      <w:r>
        <w:rPr>
          <w:spacing w:val="-2"/>
        </w:rPr>
        <w:t>in</w:t>
      </w:r>
      <w:r>
        <w:rPr>
          <w:spacing w:val="-7"/>
        </w:rPr>
        <w:t> </w:t>
      </w:r>
      <w:r>
        <w:rPr>
          <w:spacing w:val="-2"/>
        </w:rPr>
        <w:t>our</w:t>
      </w:r>
      <w:r>
        <w:rPr>
          <w:spacing w:val="-7"/>
        </w:rPr>
        <w:t> </w:t>
      </w:r>
      <w:r>
        <w:rPr>
          <w:spacing w:val="-2"/>
        </w:rPr>
        <w:t>Consolidated</w:t>
      </w:r>
      <w:r>
        <w:rPr>
          <w:spacing w:val="-7"/>
        </w:rPr>
        <w:t> </w:t>
      </w:r>
      <w:r>
        <w:rPr>
          <w:spacing w:val="-2"/>
        </w:rPr>
        <w:t>Statements</w:t>
      </w:r>
      <w:r>
        <w:rPr>
          <w:spacing w:val="-7"/>
        </w:rPr>
        <w:t> </w:t>
      </w:r>
      <w:r>
        <w:rPr>
          <w:spacing w:val="-2"/>
        </w:rPr>
        <w:t>of</w:t>
      </w:r>
      <w:r>
        <w:rPr>
          <w:spacing w:val="-7"/>
        </w:rPr>
        <w:t> </w:t>
      </w:r>
      <w:r>
        <w:rPr>
          <w:spacing w:val="-2"/>
        </w:rPr>
        <w:t>Income.</w:t>
      </w:r>
      <w:r>
        <w:rPr>
          <w:spacing w:val="-11"/>
        </w:rPr>
        <w:t> </w:t>
      </w:r>
      <w:r>
        <w:rPr>
          <w:spacing w:val="-2"/>
        </w:rPr>
        <w:t>Any</w:t>
      </w:r>
      <w:r>
        <w:rPr>
          <w:spacing w:val="-7"/>
        </w:rPr>
        <w:t> </w:t>
      </w:r>
      <w:r>
        <w:rPr>
          <w:spacing w:val="-2"/>
        </w:rPr>
        <w:t>portion</w:t>
      </w:r>
      <w:r>
        <w:rPr>
          <w:spacing w:val="-7"/>
        </w:rPr>
        <w:t> </w:t>
      </w:r>
      <w:r>
        <w:rPr>
          <w:spacing w:val="-2"/>
        </w:rPr>
        <w:t>not</w:t>
      </w:r>
      <w:r>
        <w:rPr>
          <w:spacing w:val="-7"/>
        </w:rPr>
        <w:t> </w:t>
      </w:r>
      <w:r>
        <w:rPr>
          <w:spacing w:val="-2"/>
        </w:rPr>
        <w:t>related</w:t>
      </w:r>
      <w:r>
        <w:rPr>
          <w:spacing w:val="-9"/>
        </w:rPr>
        <w:t> </w:t>
      </w:r>
      <w:r>
        <w:rPr>
          <w:spacing w:val="-2"/>
        </w:rPr>
        <w:t>to</w:t>
      </w:r>
      <w:r>
        <w:rPr>
          <w:spacing w:val="-7"/>
        </w:rPr>
        <w:t> </w:t>
      </w:r>
      <w:r>
        <w:rPr>
          <w:spacing w:val="-2"/>
        </w:rPr>
        <w:t>credit</w:t>
      </w:r>
      <w:r>
        <w:rPr>
          <w:spacing w:val="-9"/>
        </w:rPr>
        <w:t> </w:t>
      </w:r>
      <w:r>
        <w:rPr>
          <w:spacing w:val="-2"/>
        </w:rPr>
        <w:t>loss</w:t>
      </w:r>
      <w:r>
        <w:rPr>
          <w:spacing w:val="-7"/>
        </w:rPr>
        <w:t> </w:t>
      </w:r>
      <w:r>
        <w:rPr>
          <w:spacing w:val="-2"/>
        </w:rPr>
        <w:t>would</w:t>
      </w:r>
      <w:r>
        <w:rPr>
          <w:spacing w:val="-7"/>
        </w:rPr>
        <w:t> </w:t>
      </w:r>
      <w:r>
        <w:rPr>
          <w:spacing w:val="-2"/>
        </w:rPr>
        <w:t>be</w:t>
      </w:r>
      <w:r>
        <w:rPr>
          <w:spacing w:val="-7"/>
        </w:rPr>
        <w:t> </w:t>
      </w:r>
      <w:r>
        <w:rPr>
          <w:spacing w:val="-2"/>
        </w:rPr>
        <w:t>recorded </w:t>
      </w:r>
      <w:r>
        <w:rPr/>
        <w:t>to accumulated other comprehensive income (loss), which is reflected as a separate component of stockholders’</w:t>
      </w:r>
      <w:r>
        <w:rPr>
          <w:spacing w:val="-3"/>
        </w:rPr>
        <w:t> </w:t>
      </w:r>
      <w:r>
        <w:rPr/>
        <w:t>equity in our Consolidated Balance Sheets. For equity securities, the write-down would be recorded to investment gains (losses), net in our Consolidated Statements of Income. During fiscal 2017 and 2015, we did not consider any of our investments to be other-than- </w:t>
      </w:r>
      <w:r>
        <w:rPr>
          <w:spacing w:val="-2"/>
        </w:rPr>
        <w:t>temporarily impaired. During fiscal 2016, we recorded immaterial other-than-temporary impairment losses associated with certain </w:t>
      </w:r>
      <w:r>
        <w:rPr/>
        <w:t>of our fixed income securities and wrote down the securities to fair value.</w:t>
      </w:r>
    </w:p>
    <w:p>
      <w:pPr>
        <w:pStyle w:val="BodyText"/>
        <w:spacing w:before="15"/>
      </w:pPr>
    </w:p>
    <w:p>
      <w:pPr>
        <w:pStyle w:val="Heading1"/>
        <w:ind w:left="210"/>
        <w:jc w:val="both"/>
      </w:pPr>
      <w:bookmarkStart w:name="NOTE 4. FAIR VALUE MEASUREMENTS" w:id="71"/>
      <w:bookmarkEnd w:id="71"/>
      <w:r>
        <w:rPr>
          <w:b w:val="0"/>
        </w:rPr>
      </w:r>
      <w:bookmarkStart w:name="_bookmark25" w:id="72"/>
      <w:bookmarkEnd w:id="72"/>
      <w:r>
        <w:rPr>
          <w:b w:val="0"/>
        </w:rPr>
      </w:r>
      <w:r>
        <w:rPr/>
        <w:t>NOTE</w:t>
      </w:r>
      <w:r>
        <w:rPr>
          <w:spacing w:val="-9"/>
        </w:rPr>
        <w:t> </w:t>
      </w:r>
      <w:r>
        <w:rPr/>
        <w:t>4.</w:t>
      </w:r>
      <w:r>
        <w:rPr>
          <w:spacing w:val="32"/>
        </w:rPr>
        <w:t> </w:t>
      </w:r>
      <w:r>
        <w:rPr/>
        <w:t>FAIR</w:t>
      </w:r>
      <w:r>
        <w:rPr>
          <w:spacing w:val="-12"/>
        </w:rPr>
        <w:t> </w:t>
      </w:r>
      <w:r>
        <w:rPr/>
        <w:t>VALUE</w:t>
      </w:r>
      <w:r>
        <w:rPr>
          <w:spacing w:val="-8"/>
        </w:rPr>
        <w:t> </w:t>
      </w:r>
      <w:r>
        <w:rPr>
          <w:spacing w:val="-2"/>
        </w:rPr>
        <w:t>MEASUREMENTS</w:t>
      </w:r>
    </w:p>
    <w:p>
      <w:pPr>
        <w:spacing w:before="190"/>
        <w:ind w:left="210" w:right="0" w:firstLine="0"/>
        <w:jc w:val="both"/>
        <w:rPr>
          <w:i/>
          <w:sz w:val="20"/>
        </w:rPr>
      </w:pPr>
      <w:r>
        <w:rPr>
          <w:i/>
          <w:sz w:val="20"/>
        </w:rPr>
        <w:t>Assets</w:t>
      </w:r>
      <w:r>
        <w:rPr>
          <w:i/>
          <w:spacing w:val="-6"/>
          <w:sz w:val="20"/>
        </w:rPr>
        <w:t> </w:t>
      </w:r>
      <w:r>
        <w:rPr>
          <w:i/>
          <w:sz w:val="20"/>
        </w:rPr>
        <w:t>and</w:t>
      </w:r>
      <w:r>
        <w:rPr>
          <w:i/>
          <w:spacing w:val="-6"/>
          <w:sz w:val="20"/>
        </w:rPr>
        <w:t> </w:t>
      </w:r>
      <w:r>
        <w:rPr>
          <w:i/>
          <w:sz w:val="20"/>
        </w:rPr>
        <w:t>Liabilities</w:t>
      </w:r>
      <w:r>
        <w:rPr>
          <w:i/>
          <w:spacing w:val="-5"/>
          <w:sz w:val="20"/>
        </w:rPr>
        <w:t> </w:t>
      </w:r>
      <w:r>
        <w:rPr>
          <w:i/>
          <w:sz w:val="20"/>
        </w:rPr>
        <w:t>Measured</w:t>
      </w:r>
      <w:r>
        <w:rPr>
          <w:i/>
          <w:spacing w:val="-6"/>
          <w:sz w:val="20"/>
        </w:rPr>
        <w:t> </w:t>
      </w:r>
      <w:r>
        <w:rPr>
          <w:i/>
          <w:sz w:val="20"/>
        </w:rPr>
        <w:t>and</w:t>
      </w:r>
      <w:r>
        <w:rPr>
          <w:i/>
          <w:spacing w:val="-5"/>
          <w:sz w:val="20"/>
        </w:rPr>
        <w:t> </w:t>
      </w:r>
      <w:r>
        <w:rPr>
          <w:i/>
          <w:sz w:val="20"/>
        </w:rPr>
        <w:t>Recorded</w:t>
      </w:r>
      <w:r>
        <w:rPr>
          <w:i/>
          <w:spacing w:val="-6"/>
          <w:sz w:val="20"/>
        </w:rPr>
        <w:t> </w:t>
      </w:r>
      <w:r>
        <w:rPr>
          <w:i/>
          <w:sz w:val="20"/>
        </w:rPr>
        <w:t>at</w:t>
      </w:r>
      <w:r>
        <w:rPr>
          <w:i/>
          <w:spacing w:val="-6"/>
          <w:sz w:val="20"/>
        </w:rPr>
        <w:t> </w:t>
      </w:r>
      <w:r>
        <w:rPr>
          <w:i/>
          <w:sz w:val="20"/>
        </w:rPr>
        <w:t>Fair</w:t>
      </w:r>
      <w:r>
        <w:rPr>
          <w:i/>
          <w:spacing w:val="-6"/>
          <w:sz w:val="20"/>
        </w:rPr>
        <w:t> </w:t>
      </w:r>
      <w:r>
        <w:rPr>
          <w:i/>
          <w:sz w:val="20"/>
        </w:rPr>
        <w:t>Value</w:t>
      </w:r>
      <w:r>
        <w:rPr>
          <w:i/>
          <w:spacing w:val="-6"/>
          <w:sz w:val="20"/>
        </w:rPr>
        <w:t> </w:t>
      </w:r>
      <w:r>
        <w:rPr>
          <w:i/>
          <w:sz w:val="20"/>
        </w:rPr>
        <w:t>on</w:t>
      </w:r>
      <w:r>
        <w:rPr>
          <w:i/>
          <w:spacing w:val="-5"/>
          <w:sz w:val="20"/>
        </w:rPr>
        <w:t> </w:t>
      </w:r>
      <w:r>
        <w:rPr>
          <w:i/>
          <w:sz w:val="20"/>
        </w:rPr>
        <w:t>a</w:t>
      </w:r>
      <w:r>
        <w:rPr>
          <w:i/>
          <w:spacing w:val="-6"/>
          <w:sz w:val="20"/>
        </w:rPr>
        <w:t> </w:t>
      </w:r>
      <w:r>
        <w:rPr>
          <w:i/>
          <w:sz w:val="20"/>
        </w:rPr>
        <w:t>Recurring</w:t>
      </w:r>
      <w:r>
        <w:rPr>
          <w:i/>
          <w:spacing w:val="-5"/>
          <w:sz w:val="20"/>
        </w:rPr>
        <w:t> </w:t>
      </w:r>
      <w:r>
        <w:rPr>
          <w:i/>
          <w:spacing w:val="-2"/>
          <w:sz w:val="20"/>
        </w:rPr>
        <w:t>Basis</w:t>
      </w:r>
    </w:p>
    <w:p>
      <w:pPr>
        <w:pStyle w:val="BodyText"/>
        <w:spacing w:line="249" w:lineRule="auto" w:before="190"/>
        <w:ind w:left="210" w:right="240" w:firstLine="540"/>
      </w:pPr>
      <w:r>
        <w:rPr/>
        <w:t>We</w:t>
      </w:r>
      <w:r>
        <w:rPr>
          <w:spacing w:val="-3"/>
        </w:rPr>
        <w:t> </w:t>
      </w:r>
      <w:r>
        <w:rPr/>
        <w:t>measure</w:t>
      </w:r>
      <w:r>
        <w:rPr>
          <w:spacing w:val="-4"/>
        </w:rPr>
        <w:t> </w:t>
      </w:r>
      <w:r>
        <w:rPr/>
        <w:t>certain</w:t>
      </w:r>
      <w:r>
        <w:rPr>
          <w:spacing w:val="-4"/>
        </w:rPr>
        <w:t> </w:t>
      </w:r>
      <w:r>
        <w:rPr/>
        <w:t>financial</w:t>
      </w:r>
      <w:r>
        <w:rPr>
          <w:spacing w:val="-4"/>
        </w:rPr>
        <w:t> </w:t>
      </w:r>
      <w:r>
        <w:rPr/>
        <w:t>assets</w:t>
      </w:r>
      <w:r>
        <w:rPr>
          <w:spacing w:val="-3"/>
        </w:rPr>
        <w:t> </w:t>
      </w:r>
      <w:r>
        <w:rPr/>
        <w:t>and</w:t>
      </w:r>
      <w:r>
        <w:rPr>
          <w:spacing w:val="-3"/>
        </w:rPr>
        <w:t> </w:t>
      </w:r>
      <w:r>
        <w:rPr/>
        <w:t>liabilities</w:t>
      </w:r>
      <w:r>
        <w:rPr>
          <w:spacing w:val="-3"/>
        </w:rPr>
        <w:t> </w:t>
      </w:r>
      <w:r>
        <w:rPr/>
        <w:t>at</w:t>
      </w:r>
      <w:r>
        <w:rPr>
          <w:spacing w:val="-3"/>
        </w:rPr>
        <w:t> </w:t>
      </w:r>
      <w:r>
        <w:rPr/>
        <w:t>fair</w:t>
      </w:r>
      <w:r>
        <w:rPr>
          <w:spacing w:val="-4"/>
        </w:rPr>
        <w:t> </w:t>
      </w:r>
      <w:r>
        <w:rPr/>
        <w:t>value</w:t>
      </w:r>
      <w:r>
        <w:rPr>
          <w:spacing w:val="-4"/>
        </w:rPr>
        <w:t> </w:t>
      </w:r>
      <w:r>
        <w:rPr/>
        <w:t>on</w:t>
      </w:r>
      <w:r>
        <w:rPr>
          <w:spacing w:val="-3"/>
        </w:rPr>
        <w:t> </w:t>
      </w:r>
      <w:r>
        <w:rPr/>
        <w:t>a</w:t>
      </w:r>
      <w:r>
        <w:rPr>
          <w:spacing w:val="-3"/>
        </w:rPr>
        <w:t> </w:t>
      </w:r>
      <w:r>
        <w:rPr/>
        <w:t>recurring</w:t>
      </w:r>
      <w:r>
        <w:rPr>
          <w:spacing w:val="-4"/>
        </w:rPr>
        <w:t> </w:t>
      </w:r>
      <w:r>
        <w:rPr/>
        <w:t>basis.</w:t>
      </w:r>
      <w:r>
        <w:rPr>
          <w:spacing w:val="-7"/>
        </w:rPr>
        <w:t> </w:t>
      </w:r>
      <w:r>
        <w:rPr/>
        <w:t>There</w:t>
      </w:r>
      <w:r>
        <w:rPr>
          <w:spacing w:val="-4"/>
        </w:rPr>
        <w:t> </w:t>
      </w:r>
      <w:r>
        <w:rPr/>
        <w:t>have</w:t>
      </w:r>
      <w:r>
        <w:rPr>
          <w:spacing w:val="-4"/>
        </w:rPr>
        <w:t> </w:t>
      </w:r>
      <w:r>
        <w:rPr/>
        <w:t>been</w:t>
      </w:r>
      <w:r>
        <w:rPr>
          <w:spacing w:val="-4"/>
        </w:rPr>
        <w:t> </w:t>
      </w:r>
      <w:r>
        <w:rPr/>
        <w:t>no</w:t>
      </w:r>
      <w:r>
        <w:rPr>
          <w:spacing w:val="-3"/>
        </w:rPr>
        <w:t> </w:t>
      </w:r>
      <w:r>
        <w:rPr/>
        <w:t>transfers</w:t>
      </w:r>
      <w:r>
        <w:rPr>
          <w:spacing w:val="-3"/>
        </w:rPr>
        <w:t> </w:t>
      </w:r>
      <w:r>
        <w:rPr/>
        <w:t>between fair value measurement levels during the year ended December 1, 2017.</w:t>
      </w:r>
    </w:p>
    <w:p>
      <w:pPr>
        <w:pStyle w:val="BodyText"/>
        <w:spacing w:line="249" w:lineRule="auto" w:before="181"/>
        <w:ind w:left="210" w:firstLine="540"/>
      </w:pPr>
      <w:r>
        <w:rPr/>
        <w:t>The fair value of our financial assets and liabilities at December</w:t>
      </w:r>
      <w:r>
        <w:rPr>
          <w:spacing w:val="-2"/>
        </w:rPr>
        <w:t> </w:t>
      </w:r>
      <w:r>
        <w:rPr/>
        <w:t>1, 2017 was determined using the following inputs (in </w:t>
      </w:r>
      <w:r>
        <w:rPr>
          <w:spacing w:val="-2"/>
        </w:rPr>
        <w:t>thousands):</w:t>
      </w:r>
    </w:p>
    <w:p>
      <w:pPr>
        <w:pStyle w:val="BodyText"/>
        <w:spacing w:before="81"/>
        <w:rPr>
          <w:sz w:val="16"/>
        </w:rPr>
      </w:pPr>
    </w:p>
    <w:p>
      <w:pPr>
        <w:spacing w:before="0"/>
        <w:ind w:left="5824" w:right="0" w:firstLine="0"/>
        <w:jc w:val="left"/>
        <w:rPr>
          <w:b/>
          <w:sz w:val="16"/>
        </w:rPr>
      </w:pPr>
      <w:r>
        <w:rPr/>
        <mc:AlternateContent>
          <mc:Choice Requires="wps">
            <w:drawing>
              <wp:anchor distT="0" distB="0" distL="0" distR="0" allowOverlap="1" layoutInCell="1" locked="0" behindDoc="0" simplePos="0" relativeHeight="15802880">
                <wp:simplePos x="0" y="0"/>
                <wp:positionH relativeFrom="page">
                  <wp:posOffset>3429000</wp:posOffset>
                </wp:positionH>
                <wp:positionV relativeFrom="paragraph">
                  <wp:posOffset>148637</wp:posOffset>
                </wp:positionV>
                <wp:extent cx="3708400"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3708400" cy="1270"/>
                        </a:xfrm>
                        <a:custGeom>
                          <a:avLst/>
                          <a:gdLst/>
                          <a:ahLst/>
                          <a:cxnLst/>
                          <a:rect l="l" t="t" r="r" b="b"/>
                          <a:pathLst>
                            <a:path w="3708400" h="0">
                              <a:moveTo>
                                <a:pt x="0" y="0"/>
                              </a:moveTo>
                              <a:lnTo>
                                <a:pt x="889000" y="0"/>
                              </a:lnTo>
                            </a:path>
                            <a:path w="3708400" h="0">
                              <a:moveTo>
                                <a:pt x="889000" y="0"/>
                              </a:moveTo>
                              <a:lnTo>
                                <a:pt x="939800" y="0"/>
                              </a:lnTo>
                            </a:path>
                            <a:path w="3708400" h="0">
                              <a:moveTo>
                                <a:pt x="939800" y="0"/>
                              </a:moveTo>
                              <a:lnTo>
                                <a:pt x="1828800" y="0"/>
                              </a:lnTo>
                            </a:path>
                            <a:path w="3708400" h="0">
                              <a:moveTo>
                                <a:pt x="1828800" y="0"/>
                              </a:moveTo>
                              <a:lnTo>
                                <a:pt x="1879600" y="0"/>
                              </a:lnTo>
                            </a:path>
                            <a:path w="3708400" h="0">
                              <a:moveTo>
                                <a:pt x="1879600" y="0"/>
                              </a:moveTo>
                              <a:lnTo>
                                <a:pt x="2768600" y="0"/>
                              </a:lnTo>
                            </a:path>
                            <a:path w="3708400" h="0">
                              <a:moveTo>
                                <a:pt x="2768600" y="0"/>
                              </a:moveTo>
                              <a:lnTo>
                                <a:pt x="2819400" y="0"/>
                              </a:lnTo>
                            </a:path>
                            <a:path w="3708400" h="0">
                              <a:moveTo>
                                <a:pt x="2819400" y="0"/>
                              </a:moveTo>
                              <a:lnTo>
                                <a:pt x="3708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pt;margin-top:11.703711pt;width:292pt;height:.1pt;mso-position-horizontal-relative:page;mso-position-vertical-relative:paragraph;z-index:15802880" id="docshape337" coordorigin="5400,234" coordsize="5840,0" path="m5400,234l6800,234m6800,234l6880,234m6880,234l8280,234m8280,234l8360,234m8360,234l9760,234m9760,234l9840,234m9840,234l11240,234e" filled="false" stroked="true" strokeweight="1pt" strokecolor="#000000">
                <v:path arrowok="t"/>
                <v:stroke dashstyle="solid"/>
                <w10:wrap type="none"/>
              </v:shape>
            </w:pict>
          </mc:Fallback>
        </mc:AlternateContent>
      </w:r>
      <w:r>
        <w:rPr>
          <w:b/>
          <w:sz w:val="16"/>
        </w:rPr>
        <w:t>Fair</w:t>
      </w:r>
      <w:r>
        <w:rPr>
          <w:b/>
          <w:spacing w:val="-9"/>
          <w:sz w:val="16"/>
        </w:rPr>
        <w:t> </w:t>
      </w:r>
      <w:r>
        <w:rPr>
          <w:b/>
          <w:sz w:val="16"/>
        </w:rPr>
        <w:t>Value</w:t>
      </w:r>
      <w:r>
        <w:rPr>
          <w:b/>
          <w:spacing w:val="-4"/>
          <w:sz w:val="16"/>
        </w:rPr>
        <w:t> </w:t>
      </w:r>
      <w:r>
        <w:rPr>
          <w:b/>
          <w:sz w:val="16"/>
        </w:rPr>
        <w:t>Measurements</w:t>
      </w:r>
      <w:r>
        <w:rPr>
          <w:b/>
          <w:spacing w:val="-5"/>
          <w:sz w:val="16"/>
        </w:rPr>
        <w:t> </w:t>
      </w:r>
      <w:r>
        <w:rPr>
          <w:b/>
          <w:sz w:val="16"/>
        </w:rPr>
        <w:t>at</w:t>
      </w:r>
      <w:r>
        <w:rPr>
          <w:b/>
          <w:spacing w:val="-4"/>
          <w:sz w:val="16"/>
        </w:rPr>
        <w:t> </w:t>
      </w:r>
      <w:r>
        <w:rPr>
          <w:b/>
          <w:sz w:val="16"/>
        </w:rPr>
        <w:t>Reporting</w:t>
      </w:r>
      <w:r>
        <w:rPr>
          <w:b/>
          <w:spacing w:val="-4"/>
          <w:sz w:val="16"/>
        </w:rPr>
        <w:t> </w:t>
      </w:r>
      <w:r>
        <w:rPr>
          <w:b/>
          <w:sz w:val="16"/>
        </w:rPr>
        <w:t>Date</w:t>
      </w:r>
      <w:r>
        <w:rPr>
          <w:b/>
          <w:spacing w:val="-3"/>
          <w:sz w:val="16"/>
        </w:rPr>
        <w:t> </w:t>
      </w:r>
      <w:r>
        <w:rPr>
          <w:b/>
          <w:spacing w:val="-2"/>
          <w:sz w:val="16"/>
        </w:rPr>
        <w:t>Using</w:t>
      </w:r>
    </w:p>
    <w:p>
      <w:pPr>
        <w:spacing w:after="0"/>
        <w:jc w:val="left"/>
        <w:rPr>
          <w:sz w:val="16"/>
        </w:rPr>
        <w:sectPr>
          <w:pgSz w:w="12240" w:h="15840"/>
          <w:pgMar w:header="210" w:footer="610" w:top="1380" w:bottom="800" w:left="780" w:right="740"/>
        </w:sectPr>
      </w:pPr>
    </w:p>
    <w:p>
      <w:pPr>
        <w:spacing w:line="208" w:lineRule="auto" w:before="78"/>
        <w:ind w:left="6257" w:right="0" w:hanging="1"/>
        <w:jc w:val="center"/>
        <w:rPr>
          <w:b/>
          <w:sz w:val="16"/>
        </w:rPr>
      </w:pPr>
      <w:r>
        <w:rPr>
          <w:b/>
          <w:sz w:val="16"/>
        </w:rPr>
        <w:t>Quoted</w:t>
      </w:r>
      <w:r>
        <w:rPr>
          <w:b/>
          <w:spacing w:val="-3"/>
          <w:sz w:val="16"/>
        </w:rPr>
        <w:t> </w:t>
      </w:r>
      <w:r>
        <w:rPr>
          <w:b/>
          <w:sz w:val="16"/>
        </w:rPr>
        <w:t>Prices</w:t>
      </w:r>
      <w:r>
        <w:rPr>
          <w:b/>
          <w:spacing w:val="40"/>
          <w:sz w:val="16"/>
        </w:rPr>
        <w:t> </w:t>
      </w:r>
      <w:r>
        <w:rPr>
          <w:b/>
          <w:sz w:val="16"/>
        </w:rPr>
        <w:t>in</w:t>
      </w:r>
      <w:r>
        <w:rPr>
          <w:b/>
          <w:spacing w:val="-10"/>
          <w:sz w:val="16"/>
        </w:rPr>
        <w:t> </w:t>
      </w:r>
      <w:r>
        <w:rPr>
          <w:b/>
          <w:sz w:val="16"/>
        </w:rPr>
        <w:t>Active</w:t>
      </w:r>
      <w:r>
        <w:rPr>
          <w:b/>
          <w:spacing w:val="40"/>
          <w:sz w:val="16"/>
        </w:rPr>
        <w:t> </w:t>
      </w:r>
      <w:r>
        <w:rPr>
          <w:b/>
          <w:sz w:val="16"/>
        </w:rPr>
        <w:t>Markets</w:t>
      </w:r>
      <w:r>
        <w:rPr>
          <w:b/>
          <w:spacing w:val="-3"/>
          <w:sz w:val="16"/>
        </w:rPr>
        <w:t> </w:t>
      </w:r>
      <w:r>
        <w:rPr>
          <w:b/>
          <w:sz w:val="16"/>
        </w:rPr>
        <w:t>for</w:t>
      </w:r>
      <w:r>
        <w:rPr>
          <w:b/>
          <w:spacing w:val="40"/>
          <w:sz w:val="16"/>
        </w:rPr>
        <w:t> </w:t>
      </w:r>
      <w:r>
        <w:rPr>
          <w:b/>
          <w:spacing w:val="-2"/>
          <w:sz w:val="16"/>
        </w:rPr>
        <w:t>Identical</w:t>
      </w:r>
      <w:r>
        <w:rPr>
          <w:b/>
          <w:spacing w:val="-10"/>
          <w:sz w:val="16"/>
        </w:rPr>
        <w:t> </w:t>
      </w:r>
      <w:r>
        <w:rPr>
          <w:b/>
          <w:spacing w:val="-2"/>
          <w:sz w:val="16"/>
        </w:rPr>
        <w:t>Assets</w:t>
      </w:r>
    </w:p>
    <w:p>
      <w:pPr>
        <w:spacing w:line="208" w:lineRule="auto" w:before="78"/>
        <w:ind w:left="517" w:right="0" w:firstLine="1"/>
        <w:jc w:val="center"/>
        <w:rPr>
          <w:b/>
          <w:sz w:val="16"/>
        </w:rPr>
      </w:pPr>
      <w:r>
        <w:rPr/>
        <w:br w:type="column"/>
      </w:r>
      <w:r>
        <w:rPr>
          <w:b/>
          <w:spacing w:val="-2"/>
          <w:sz w:val="16"/>
        </w:rPr>
        <w:t>Significant</w:t>
      </w:r>
      <w:r>
        <w:rPr>
          <w:b/>
          <w:spacing w:val="40"/>
          <w:sz w:val="16"/>
        </w:rPr>
        <w:t> </w:t>
      </w:r>
      <w:r>
        <w:rPr>
          <w:b/>
          <w:spacing w:val="-2"/>
          <w:sz w:val="16"/>
        </w:rPr>
        <w:t>Other</w:t>
      </w:r>
      <w:r>
        <w:rPr>
          <w:b/>
          <w:spacing w:val="40"/>
          <w:sz w:val="16"/>
        </w:rPr>
        <w:t> </w:t>
      </w:r>
      <w:r>
        <w:rPr>
          <w:b/>
          <w:spacing w:val="-2"/>
          <w:sz w:val="16"/>
        </w:rPr>
        <w:t>Observable</w:t>
      </w:r>
      <w:r>
        <w:rPr>
          <w:b/>
          <w:spacing w:val="40"/>
          <w:sz w:val="16"/>
        </w:rPr>
        <w:t> </w:t>
      </w:r>
      <w:r>
        <w:rPr>
          <w:b/>
          <w:spacing w:val="-2"/>
          <w:sz w:val="16"/>
        </w:rPr>
        <w:t>Inputs</w:t>
      </w:r>
    </w:p>
    <w:p>
      <w:pPr>
        <w:spacing w:line="240" w:lineRule="auto" w:before="51"/>
        <w:rPr>
          <w:b/>
          <w:sz w:val="16"/>
        </w:rPr>
      </w:pPr>
      <w:r>
        <w:rPr/>
        <w:br w:type="column"/>
      </w:r>
      <w:r>
        <w:rPr>
          <w:b/>
          <w:sz w:val="16"/>
        </w:rPr>
      </w:r>
    </w:p>
    <w:p>
      <w:pPr>
        <w:spacing w:line="208" w:lineRule="auto" w:before="0"/>
        <w:ind w:left="577" w:right="497" w:firstLine="1"/>
        <w:jc w:val="center"/>
        <w:rPr>
          <w:b/>
          <w:sz w:val="16"/>
        </w:rPr>
      </w:pPr>
      <w:r>
        <w:rPr>
          <w:b/>
          <w:spacing w:val="-2"/>
          <w:sz w:val="16"/>
        </w:rPr>
        <w:t>Significant</w:t>
      </w:r>
      <w:r>
        <w:rPr>
          <w:b/>
          <w:spacing w:val="40"/>
          <w:sz w:val="16"/>
        </w:rPr>
        <w:t> </w:t>
      </w:r>
      <w:r>
        <w:rPr>
          <w:b/>
          <w:spacing w:val="-2"/>
          <w:sz w:val="16"/>
        </w:rPr>
        <w:t>Unobservable</w:t>
      </w:r>
      <w:r>
        <w:rPr>
          <w:b/>
          <w:spacing w:val="40"/>
          <w:sz w:val="16"/>
        </w:rPr>
        <w:t> </w:t>
      </w:r>
      <w:r>
        <w:rPr>
          <w:b/>
          <w:spacing w:val="-2"/>
          <w:sz w:val="16"/>
        </w:rPr>
        <w:t>Inputs</w:t>
      </w:r>
    </w:p>
    <w:p>
      <w:pPr>
        <w:spacing w:after="0" w:line="208" w:lineRule="auto"/>
        <w:jc w:val="center"/>
        <w:rPr>
          <w:sz w:val="16"/>
        </w:rPr>
        <w:sectPr>
          <w:type w:val="continuous"/>
          <w:pgSz w:w="12240" w:h="15840"/>
          <w:pgMar w:header="210" w:footer="610" w:top="680" w:bottom="280" w:left="780" w:right="740"/>
          <w:cols w:num="3" w:equalWidth="0">
            <w:col w:w="7321" w:space="40"/>
            <w:col w:w="1301" w:space="39"/>
            <w:col w:w="2019"/>
          </w:cols>
        </w:sectPr>
      </w:pPr>
    </w:p>
    <w:p>
      <w:pPr>
        <w:pStyle w:val="BodyText"/>
        <w:spacing w:before="63"/>
        <w:rPr>
          <w:b/>
        </w:rPr>
      </w:pPr>
    </w:p>
    <w:p>
      <w:pPr>
        <w:pStyle w:val="BodyText"/>
        <w:ind w:left="270"/>
      </w:pPr>
      <w:r>
        <w:rPr>
          <w:spacing w:val="-2"/>
        </w:rPr>
        <w:t>Assets:</w:t>
      </w:r>
    </w:p>
    <w:p>
      <w:pPr>
        <w:pStyle w:val="BodyText"/>
        <w:spacing w:before="50"/>
        <w:ind w:left="390"/>
      </w:pPr>
      <w:r>
        <w:rPr/>
        <w:t>Cash </w:t>
      </w:r>
      <w:r>
        <w:rPr>
          <w:spacing w:val="-2"/>
        </w:rPr>
        <w:t>equivalents:</w:t>
      </w:r>
    </w:p>
    <w:p>
      <w:pPr>
        <w:spacing w:line="240" w:lineRule="auto" w:before="5"/>
        <w:rPr>
          <w:sz w:val="4"/>
        </w:rPr>
      </w:pPr>
      <w:r>
        <w:rPr/>
        <w:br w:type="column"/>
      </w:r>
      <w:r>
        <w:rPr>
          <w:sz w:val="4"/>
        </w:rPr>
      </w:r>
    </w:p>
    <w:p>
      <w:pPr>
        <w:spacing w:line="20" w:lineRule="exact"/>
        <w:ind w:left="1235" w:right="0" w:firstLine="0"/>
        <w:jc w:val="left"/>
        <w:rPr>
          <w:sz w:val="2"/>
        </w:rPr>
      </w:pPr>
      <w:r>
        <w:rPr>
          <w:sz w:val="2"/>
        </w:rPr>
        <mc:AlternateContent>
          <mc:Choice Requires="wps">
            <w:drawing>
              <wp:inline distT="0" distB="0" distL="0" distR="0">
                <wp:extent cx="889000" cy="12700"/>
                <wp:effectExtent l="9525" t="0" r="6350" b="6350"/>
                <wp:docPr id="413" name="Group 413"/>
                <wp:cNvGraphicFramePr>
                  <a:graphicFrameLocks/>
                </wp:cNvGraphicFramePr>
                <a:graphic>
                  <a:graphicData uri="http://schemas.microsoft.com/office/word/2010/wordprocessingGroup">
                    <wpg:wgp>
                      <wpg:cNvPr id="413" name="Group 413"/>
                      <wpg:cNvGrpSpPr/>
                      <wpg:grpSpPr>
                        <a:xfrm>
                          <a:off x="0" y="0"/>
                          <a:ext cx="889000" cy="12700"/>
                          <a:chExt cx="889000" cy="12700"/>
                        </a:xfrm>
                      </wpg:grpSpPr>
                      <wps:wsp>
                        <wps:cNvPr id="414" name="Graphic 414"/>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38"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415" name="Group 415"/>
                <wp:cNvGraphicFramePr>
                  <a:graphicFrameLocks/>
                </wp:cNvGraphicFramePr>
                <a:graphic>
                  <a:graphicData uri="http://schemas.microsoft.com/office/word/2010/wordprocessingGroup">
                    <wpg:wgp>
                      <wpg:cNvPr id="415" name="Group 415"/>
                      <wpg:cNvGrpSpPr/>
                      <wpg:grpSpPr>
                        <a:xfrm>
                          <a:off x="0" y="0"/>
                          <a:ext cx="889000" cy="12700"/>
                          <a:chExt cx="889000" cy="12700"/>
                        </a:xfrm>
                      </wpg:grpSpPr>
                      <wps:wsp>
                        <wps:cNvPr id="416" name="Graphic 416"/>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39"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417" name="Group 417"/>
                <wp:cNvGraphicFramePr>
                  <a:graphicFrameLocks/>
                </wp:cNvGraphicFramePr>
                <a:graphic>
                  <a:graphicData uri="http://schemas.microsoft.com/office/word/2010/wordprocessingGroup">
                    <wpg:wgp>
                      <wpg:cNvPr id="417" name="Group 417"/>
                      <wpg:cNvGrpSpPr/>
                      <wpg:grpSpPr>
                        <a:xfrm>
                          <a:off x="0" y="0"/>
                          <a:ext cx="889000" cy="12700"/>
                          <a:chExt cx="889000" cy="12700"/>
                        </a:xfrm>
                      </wpg:grpSpPr>
                      <wps:wsp>
                        <wps:cNvPr id="418" name="Graphic 418"/>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40" coordorigin="0,0" coordsize="1400,20">
                <v:line style="position:absolute" from="0,10" to="1400,10" stroked="true" strokeweight="1pt" strokecolor="#000000">
                  <v:stroke dashstyle="solid"/>
                </v:line>
              </v:group>
            </w:pict>
          </mc:Fallback>
        </mc:AlternateContent>
      </w:r>
      <w:r>
        <w:rPr>
          <w:spacing w:val="70"/>
          <w:sz w:val="2"/>
        </w:rPr>
      </w:r>
    </w:p>
    <w:p>
      <w:pPr>
        <w:tabs>
          <w:tab w:pos="1624" w:val="left" w:leader="none"/>
          <w:tab w:pos="3104" w:val="left" w:leader="none"/>
          <w:tab w:pos="4584" w:val="left" w:leader="none"/>
        </w:tabs>
        <w:spacing w:before="0"/>
        <w:ind w:left="270" w:right="0" w:firstLine="0"/>
        <w:jc w:val="left"/>
        <w:rPr>
          <w:b/>
          <w:sz w:val="16"/>
        </w:rPr>
      </w:pPr>
      <w:r>
        <w:rPr>
          <w:b/>
          <w:spacing w:val="-2"/>
          <w:sz w:val="16"/>
        </w:rPr>
        <w:t>Total</w:t>
      </w:r>
      <w:r>
        <w:rPr>
          <w:b/>
          <w:sz w:val="16"/>
        </w:rPr>
        <w:tab/>
        <w:t>(Level </w:t>
      </w:r>
      <w:r>
        <w:rPr>
          <w:b/>
          <w:spacing w:val="-5"/>
          <w:sz w:val="16"/>
        </w:rPr>
        <w:t>1)</w:t>
      </w:r>
      <w:r>
        <w:rPr>
          <w:b/>
          <w:sz w:val="16"/>
        </w:rPr>
        <w:tab/>
        <w:t>(Level </w:t>
      </w:r>
      <w:r>
        <w:rPr>
          <w:b/>
          <w:spacing w:val="-5"/>
          <w:sz w:val="16"/>
        </w:rPr>
        <w:t>2)</w:t>
      </w:r>
      <w:r>
        <w:rPr>
          <w:b/>
          <w:sz w:val="16"/>
        </w:rPr>
        <w:tab/>
        <w:t>(Level </w:t>
      </w:r>
      <w:r>
        <w:rPr>
          <w:b/>
          <w:spacing w:val="-5"/>
          <w:sz w:val="16"/>
        </w:rPr>
        <w:t>3)</w:t>
      </w:r>
    </w:p>
    <w:p>
      <w:pPr>
        <w:pStyle w:val="BodyText"/>
        <w:spacing w:before="2"/>
        <w:rPr>
          <w:b/>
          <w:sz w:val="3"/>
        </w:rPr>
      </w:pPr>
    </w:p>
    <w:p>
      <w:pPr>
        <w:spacing w:line="20" w:lineRule="exact"/>
        <w:ind w:left="-245" w:right="0" w:firstLine="0"/>
        <w:jc w:val="left"/>
        <w:rPr>
          <w:sz w:val="2"/>
        </w:rPr>
      </w:pPr>
      <w:r>
        <w:rPr>
          <w:sz w:val="2"/>
        </w:rPr>
        <mc:AlternateContent>
          <mc:Choice Requires="wps">
            <w:drawing>
              <wp:inline distT="0" distB="0" distL="0" distR="0">
                <wp:extent cx="889000" cy="12700"/>
                <wp:effectExtent l="9525" t="0" r="6350" b="6350"/>
                <wp:docPr id="419" name="Group 419"/>
                <wp:cNvGraphicFramePr>
                  <a:graphicFrameLocks/>
                </wp:cNvGraphicFramePr>
                <a:graphic>
                  <a:graphicData uri="http://schemas.microsoft.com/office/word/2010/wordprocessingGroup">
                    <wpg:wgp>
                      <wpg:cNvPr id="419" name="Group 419"/>
                      <wpg:cNvGrpSpPr/>
                      <wpg:grpSpPr>
                        <a:xfrm>
                          <a:off x="0" y="0"/>
                          <a:ext cx="889000" cy="12700"/>
                          <a:chExt cx="889000" cy="12700"/>
                        </a:xfrm>
                      </wpg:grpSpPr>
                      <wps:wsp>
                        <wps:cNvPr id="420" name="Graphic 420"/>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41"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421" name="Group 421"/>
                <wp:cNvGraphicFramePr>
                  <a:graphicFrameLocks/>
                </wp:cNvGraphicFramePr>
                <a:graphic>
                  <a:graphicData uri="http://schemas.microsoft.com/office/word/2010/wordprocessingGroup">
                    <wpg:wgp>
                      <wpg:cNvPr id="421" name="Group 421"/>
                      <wpg:cNvGrpSpPr/>
                      <wpg:grpSpPr>
                        <a:xfrm>
                          <a:off x="0" y="0"/>
                          <a:ext cx="889000" cy="12700"/>
                          <a:chExt cx="889000" cy="12700"/>
                        </a:xfrm>
                      </wpg:grpSpPr>
                      <wps:wsp>
                        <wps:cNvPr id="422" name="Graphic 422"/>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42"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423" name="Group 423"/>
                <wp:cNvGraphicFramePr>
                  <a:graphicFrameLocks/>
                </wp:cNvGraphicFramePr>
                <a:graphic>
                  <a:graphicData uri="http://schemas.microsoft.com/office/word/2010/wordprocessingGroup">
                    <wpg:wgp>
                      <wpg:cNvPr id="423" name="Group 423"/>
                      <wpg:cNvGrpSpPr/>
                      <wpg:grpSpPr>
                        <a:xfrm>
                          <a:off x="0" y="0"/>
                          <a:ext cx="889000" cy="12700"/>
                          <a:chExt cx="889000" cy="12700"/>
                        </a:xfrm>
                      </wpg:grpSpPr>
                      <wps:wsp>
                        <wps:cNvPr id="424" name="Graphic 424"/>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43"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425" name="Group 425"/>
                <wp:cNvGraphicFramePr>
                  <a:graphicFrameLocks/>
                </wp:cNvGraphicFramePr>
                <a:graphic>
                  <a:graphicData uri="http://schemas.microsoft.com/office/word/2010/wordprocessingGroup">
                    <wpg:wgp>
                      <wpg:cNvPr id="425" name="Group 425"/>
                      <wpg:cNvGrpSpPr/>
                      <wpg:grpSpPr>
                        <a:xfrm>
                          <a:off x="0" y="0"/>
                          <a:ext cx="889000" cy="12700"/>
                          <a:chExt cx="889000" cy="12700"/>
                        </a:xfrm>
                      </wpg:grpSpPr>
                      <wps:wsp>
                        <wps:cNvPr id="426" name="Graphic 426"/>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44" coordorigin="0,0" coordsize="1400,20">
                <v:line style="position:absolute" from="0,10" to="1400,10" stroked="true" strokeweight="1pt" strokecolor="#000000">
                  <v:stroke dashstyle="solid"/>
                </v:line>
              </v:group>
            </w:pict>
          </mc:Fallback>
        </mc:AlternateContent>
      </w:r>
      <w:r>
        <w:rPr>
          <w:spacing w:val="70"/>
          <w:sz w:val="2"/>
        </w:rPr>
      </w:r>
    </w:p>
    <w:p>
      <w:pPr>
        <w:spacing w:after="0" w:line="20" w:lineRule="exact"/>
        <w:jc w:val="left"/>
        <w:rPr>
          <w:sz w:val="2"/>
        </w:rPr>
        <w:sectPr>
          <w:type w:val="continuous"/>
          <w:pgSz w:w="12240" w:h="15840"/>
          <w:pgMar w:header="210" w:footer="610" w:top="680" w:bottom="280" w:left="780" w:right="740"/>
          <w:cols w:num="2" w:equalWidth="0">
            <w:col w:w="1847" w:space="3018"/>
            <w:col w:w="5855"/>
          </w:cols>
        </w:sectPr>
      </w:pPr>
    </w:p>
    <w:p>
      <w:pPr>
        <w:pStyle w:val="BodyText"/>
        <w:spacing w:before="2"/>
        <w:rPr>
          <w:b/>
          <w:sz w:val="4"/>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7"/>
        <w:gridCol w:w="1819"/>
        <w:gridCol w:w="1480"/>
        <w:gridCol w:w="1480"/>
        <w:gridCol w:w="1453"/>
      </w:tblGrid>
      <w:tr>
        <w:trPr>
          <w:trHeight w:val="280" w:hRule="atLeast"/>
        </w:trPr>
        <w:tc>
          <w:tcPr>
            <w:tcW w:w="4007" w:type="dxa"/>
            <w:shd w:val="clear" w:color="auto" w:fill="CCEDFF"/>
          </w:tcPr>
          <w:p>
            <w:pPr>
              <w:pStyle w:val="TableParagraph"/>
              <w:spacing w:before="2"/>
              <w:ind w:left="410"/>
              <w:rPr>
                <w:sz w:val="20"/>
              </w:rPr>
            </w:pPr>
            <w:r>
              <w:rPr>
                <w:sz w:val="20"/>
              </w:rPr>
              <w:t>Money market mutual </w:t>
            </w:r>
            <w:r>
              <w:rPr>
                <w:spacing w:val="-2"/>
                <w:sz w:val="20"/>
              </w:rPr>
              <w:t>funds</w:t>
            </w:r>
          </w:p>
        </w:tc>
        <w:tc>
          <w:tcPr>
            <w:tcW w:w="1819" w:type="dxa"/>
            <w:shd w:val="clear" w:color="auto" w:fill="CCEDFF"/>
          </w:tcPr>
          <w:p>
            <w:pPr>
              <w:pStyle w:val="TableParagraph"/>
              <w:tabs>
                <w:tab w:pos="472" w:val="left" w:leader="none"/>
              </w:tabs>
              <w:spacing w:before="2"/>
              <w:ind w:right="102"/>
              <w:jc w:val="right"/>
              <w:rPr>
                <w:sz w:val="20"/>
              </w:rPr>
            </w:pPr>
            <w:r>
              <w:rPr>
                <w:spacing w:val="-10"/>
                <w:sz w:val="20"/>
              </w:rPr>
              <w:t>$</w:t>
            </w:r>
            <w:r>
              <w:rPr>
                <w:sz w:val="20"/>
              </w:rPr>
              <w:tab/>
            </w:r>
            <w:r>
              <w:rPr>
                <w:spacing w:val="-2"/>
                <w:sz w:val="20"/>
              </w:rPr>
              <w:t>2,006,741</w:t>
            </w:r>
          </w:p>
        </w:tc>
        <w:tc>
          <w:tcPr>
            <w:tcW w:w="1480" w:type="dxa"/>
            <w:shd w:val="clear" w:color="auto" w:fill="CCEDFF"/>
          </w:tcPr>
          <w:p>
            <w:pPr>
              <w:pStyle w:val="TableParagraph"/>
              <w:tabs>
                <w:tab w:pos="472" w:val="left" w:leader="none"/>
              </w:tabs>
              <w:spacing w:before="2"/>
              <w:ind w:right="102"/>
              <w:jc w:val="right"/>
              <w:rPr>
                <w:sz w:val="20"/>
              </w:rPr>
            </w:pPr>
            <w:r>
              <w:rPr>
                <w:spacing w:val="-10"/>
                <w:sz w:val="20"/>
              </w:rPr>
              <w:t>$</w:t>
            </w:r>
            <w:r>
              <w:rPr>
                <w:sz w:val="20"/>
              </w:rPr>
              <w:tab/>
            </w:r>
            <w:r>
              <w:rPr>
                <w:spacing w:val="-2"/>
                <w:sz w:val="20"/>
              </w:rPr>
              <w:t>2,006,741</w:t>
            </w:r>
          </w:p>
        </w:tc>
        <w:tc>
          <w:tcPr>
            <w:tcW w:w="1480" w:type="dxa"/>
            <w:shd w:val="clear" w:color="auto" w:fill="CCEDFF"/>
          </w:tcPr>
          <w:p>
            <w:pPr>
              <w:pStyle w:val="TableParagraph"/>
              <w:tabs>
                <w:tab w:pos="1072" w:val="left" w:leader="none"/>
              </w:tabs>
              <w:spacing w:before="2"/>
              <w:ind w:right="102"/>
              <w:jc w:val="right"/>
              <w:rPr>
                <w:sz w:val="20"/>
              </w:rPr>
            </w:pPr>
            <w:r>
              <w:rPr>
                <w:spacing w:val="-10"/>
                <w:sz w:val="20"/>
              </w:rPr>
              <w:t>$</w:t>
            </w:r>
            <w:r>
              <w:rPr>
                <w:sz w:val="20"/>
              </w:rPr>
              <w:tab/>
            </w:r>
            <w:r>
              <w:rPr>
                <w:spacing w:val="-10"/>
                <w:sz w:val="20"/>
              </w:rPr>
              <w:t>—</w:t>
            </w:r>
          </w:p>
        </w:tc>
        <w:tc>
          <w:tcPr>
            <w:tcW w:w="1453" w:type="dxa"/>
            <w:shd w:val="clear" w:color="auto" w:fill="CCEDFF"/>
          </w:tcPr>
          <w:p>
            <w:pPr>
              <w:pStyle w:val="TableParagraph"/>
              <w:tabs>
                <w:tab w:pos="1072" w:val="left" w:leader="none"/>
              </w:tabs>
              <w:spacing w:before="2"/>
              <w:ind w:right="75"/>
              <w:jc w:val="right"/>
              <w:rPr>
                <w:sz w:val="20"/>
              </w:rPr>
            </w:pPr>
            <w:r>
              <w:rPr>
                <w:spacing w:val="-10"/>
                <w:sz w:val="20"/>
              </w:rPr>
              <w:t>$</w:t>
            </w:r>
            <w:r>
              <w:rPr>
                <w:sz w:val="20"/>
              </w:rPr>
              <w:tab/>
            </w:r>
            <w:r>
              <w:rPr>
                <w:spacing w:val="-10"/>
                <w:sz w:val="20"/>
              </w:rPr>
              <w:t>—</w:t>
            </w:r>
          </w:p>
        </w:tc>
      </w:tr>
      <w:tr>
        <w:trPr>
          <w:trHeight w:val="280" w:hRule="atLeast"/>
        </w:trPr>
        <w:tc>
          <w:tcPr>
            <w:tcW w:w="4007" w:type="dxa"/>
          </w:tcPr>
          <w:p>
            <w:pPr>
              <w:pStyle w:val="TableParagraph"/>
              <w:spacing w:before="2"/>
              <w:ind w:left="410"/>
              <w:rPr>
                <w:sz w:val="20"/>
              </w:rPr>
            </w:pPr>
            <w:r>
              <w:rPr>
                <w:sz w:val="20"/>
              </w:rPr>
              <w:t>Time</w:t>
            </w:r>
            <w:r>
              <w:rPr>
                <w:spacing w:val="-4"/>
                <w:sz w:val="20"/>
              </w:rPr>
              <w:t> </w:t>
            </w:r>
            <w:r>
              <w:rPr>
                <w:spacing w:val="-2"/>
                <w:sz w:val="20"/>
              </w:rPr>
              <w:t>deposits</w:t>
            </w:r>
          </w:p>
        </w:tc>
        <w:tc>
          <w:tcPr>
            <w:tcW w:w="1819" w:type="dxa"/>
          </w:tcPr>
          <w:p>
            <w:pPr>
              <w:pStyle w:val="TableParagraph"/>
              <w:spacing w:before="2"/>
              <w:ind w:right="102"/>
              <w:jc w:val="right"/>
              <w:rPr>
                <w:sz w:val="20"/>
              </w:rPr>
            </w:pPr>
            <w:r>
              <w:rPr>
                <w:spacing w:val="-2"/>
                <w:sz w:val="20"/>
              </w:rPr>
              <w:t>18,843</w:t>
            </w:r>
          </w:p>
        </w:tc>
        <w:tc>
          <w:tcPr>
            <w:tcW w:w="1480" w:type="dxa"/>
          </w:tcPr>
          <w:p>
            <w:pPr>
              <w:pStyle w:val="TableParagraph"/>
              <w:spacing w:before="2"/>
              <w:ind w:right="102"/>
              <w:jc w:val="right"/>
              <w:rPr>
                <w:sz w:val="20"/>
              </w:rPr>
            </w:pPr>
            <w:r>
              <w:rPr>
                <w:spacing w:val="-2"/>
                <w:sz w:val="20"/>
              </w:rPr>
              <w:t>18,843</w:t>
            </w:r>
          </w:p>
        </w:tc>
        <w:tc>
          <w:tcPr>
            <w:tcW w:w="1480" w:type="dxa"/>
          </w:tcPr>
          <w:p>
            <w:pPr>
              <w:pStyle w:val="TableParagraph"/>
              <w:spacing w:before="2"/>
              <w:ind w:right="102"/>
              <w:jc w:val="right"/>
              <w:rPr>
                <w:sz w:val="20"/>
              </w:rPr>
            </w:pPr>
            <w:r>
              <w:rPr>
                <w:spacing w:val="-10"/>
                <w:sz w:val="20"/>
              </w:rPr>
              <w:t>—</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left="170"/>
              <w:rPr>
                <w:sz w:val="20"/>
              </w:rPr>
            </w:pPr>
            <w:r>
              <w:rPr>
                <w:sz w:val="20"/>
              </w:rPr>
              <w:t>Short-term </w:t>
            </w:r>
            <w:r>
              <w:rPr>
                <w:spacing w:val="-2"/>
                <w:sz w:val="20"/>
              </w:rPr>
              <w:t>investments:</w:t>
            </w:r>
          </w:p>
        </w:tc>
        <w:tc>
          <w:tcPr>
            <w:tcW w:w="1819"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53" w:type="dxa"/>
            <w:shd w:val="clear" w:color="auto" w:fill="CCEDFF"/>
          </w:tcPr>
          <w:p>
            <w:pPr>
              <w:pStyle w:val="TableParagraph"/>
              <w:rPr>
                <w:sz w:val="18"/>
              </w:rPr>
            </w:pPr>
          </w:p>
        </w:tc>
      </w:tr>
      <w:tr>
        <w:trPr>
          <w:trHeight w:val="280" w:hRule="atLeast"/>
        </w:trPr>
        <w:tc>
          <w:tcPr>
            <w:tcW w:w="4007" w:type="dxa"/>
          </w:tcPr>
          <w:p>
            <w:pPr>
              <w:pStyle w:val="TableParagraph"/>
              <w:spacing w:before="2"/>
              <w:ind w:left="410"/>
              <w:rPr>
                <w:sz w:val="20"/>
              </w:rPr>
            </w:pPr>
            <w:r>
              <w:rPr>
                <w:sz w:val="20"/>
              </w:rPr>
              <w:t>Asset-backed </w:t>
            </w:r>
            <w:r>
              <w:rPr>
                <w:spacing w:val="-2"/>
                <w:sz w:val="20"/>
              </w:rPr>
              <w:t>securities</w:t>
            </w:r>
          </w:p>
        </w:tc>
        <w:tc>
          <w:tcPr>
            <w:tcW w:w="1819" w:type="dxa"/>
          </w:tcPr>
          <w:p>
            <w:pPr>
              <w:pStyle w:val="TableParagraph"/>
              <w:spacing w:before="2"/>
              <w:ind w:right="102"/>
              <w:jc w:val="right"/>
              <w:rPr>
                <w:sz w:val="20"/>
              </w:rPr>
            </w:pPr>
            <w:r>
              <w:rPr>
                <w:spacing w:val="-2"/>
                <w:sz w:val="20"/>
              </w:rPr>
              <w:t>98,001</w:t>
            </w:r>
          </w:p>
        </w:tc>
        <w:tc>
          <w:tcPr>
            <w:tcW w:w="1480" w:type="dxa"/>
          </w:tcPr>
          <w:p>
            <w:pPr>
              <w:pStyle w:val="TableParagraph"/>
              <w:spacing w:before="2"/>
              <w:ind w:right="102"/>
              <w:jc w:val="right"/>
              <w:rPr>
                <w:sz w:val="20"/>
              </w:rPr>
            </w:pPr>
            <w:r>
              <w:rPr>
                <w:spacing w:val="-10"/>
                <w:sz w:val="20"/>
              </w:rPr>
              <w:t>—</w:t>
            </w:r>
          </w:p>
        </w:tc>
        <w:tc>
          <w:tcPr>
            <w:tcW w:w="1480" w:type="dxa"/>
          </w:tcPr>
          <w:p>
            <w:pPr>
              <w:pStyle w:val="TableParagraph"/>
              <w:spacing w:before="2"/>
              <w:ind w:right="102"/>
              <w:jc w:val="right"/>
              <w:rPr>
                <w:sz w:val="20"/>
              </w:rPr>
            </w:pPr>
            <w:r>
              <w:rPr>
                <w:spacing w:val="-2"/>
                <w:sz w:val="20"/>
              </w:rPr>
              <w:t>98,001</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right="440"/>
              <w:jc w:val="right"/>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819" w:type="dxa"/>
            <w:shd w:val="clear" w:color="auto" w:fill="CCEDFF"/>
          </w:tcPr>
          <w:p>
            <w:pPr>
              <w:pStyle w:val="TableParagraph"/>
              <w:spacing w:before="2"/>
              <w:ind w:right="102"/>
              <w:jc w:val="right"/>
              <w:rPr>
                <w:sz w:val="20"/>
              </w:rPr>
            </w:pPr>
            <w:r>
              <w:rPr>
                <w:spacing w:val="-2"/>
                <w:sz w:val="20"/>
              </w:rPr>
              <w:t>2,454,260</w:t>
            </w:r>
          </w:p>
        </w:tc>
        <w:tc>
          <w:tcPr>
            <w:tcW w:w="1480" w:type="dxa"/>
            <w:shd w:val="clear" w:color="auto" w:fill="CCEDFF"/>
          </w:tcPr>
          <w:p>
            <w:pPr>
              <w:pStyle w:val="TableParagraph"/>
              <w:spacing w:before="2"/>
              <w:ind w:right="102"/>
              <w:jc w:val="right"/>
              <w:rPr>
                <w:sz w:val="20"/>
              </w:rPr>
            </w:pPr>
            <w:r>
              <w:rPr>
                <w:spacing w:val="-10"/>
                <w:sz w:val="20"/>
              </w:rPr>
              <w:t>—</w:t>
            </w:r>
          </w:p>
        </w:tc>
        <w:tc>
          <w:tcPr>
            <w:tcW w:w="1480" w:type="dxa"/>
            <w:shd w:val="clear" w:color="auto" w:fill="CCEDFF"/>
          </w:tcPr>
          <w:p>
            <w:pPr>
              <w:pStyle w:val="TableParagraph"/>
              <w:spacing w:before="2"/>
              <w:ind w:right="102"/>
              <w:jc w:val="right"/>
              <w:rPr>
                <w:sz w:val="20"/>
              </w:rPr>
            </w:pPr>
            <w:r>
              <w:rPr>
                <w:spacing w:val="-2"/>
                <w:sz w:val="20"/>
              </w:rPr>
              <w:t>2,454,260</w:t>
            </w:r>
          </w:p>
        </w:tc>
        <w:tc>
          <w:tcPr>
            <w:tcW w:w="1453" w:type="dxa"/>
            <w:shd w:val="clear" w:color="auto" w:fill="CCEDFF"/>
          </w:tcPr>
          <w:p>
            <w:pPr>
              <w:pStyle w:val="TableParagraph"/>
              <w:spacing w:before="2"/>
              <w:ind w:right="75"/>
              <w:jc w:val="right"/>
              <w:rPr>
                <w:sz w:val="20"/>
              </w:rPr>
            </w:pPr>
            <w:r>
              <w:rPr>
                <w:spacing w:val="-10"/>
                <w:sz w:val="20"/>
              </w:rPr>
              <w:t>—</w:t>
            </w:r>
          </w:p>
        </w:tc>
      </w:tr>
      <w:tr>
        <w:trPr>
          <w:trHeight w:val="280" w:hRule="atLeast"/>
        </w:trPr>
        <w:tc>
          <w:tcPr>
            <w:tcW w:w="4007" w:type="dxa"/>
          </w:tcPr>
          <w:p>
            <w:pPr>
              <w:pStyle w:val="TableParagraph"/>
              <w:spacing w:before="2"/>
              <w:ind w:left="410"/>
              <w:rPr>
                <w:sz w:val="20"/>
              </w:rPr>
            </w:pPr>
            <w:r>
              <w:rPr>
                <w:sz w:val="20"/>
              </w:rPr>
              <w:t>Foreign government </w:t>
            </w:r>
            <w:r>
              <w:rPr>
                <w:spacing w:val="-2"/>
                <w:sz w:val="20"/>
              </w:rPr>
              <w:t>securities</w:t>
            </w:r>
          </w:p>
        </w:tc>
        <w:tc>
          <w:tcPr>
            <w:tcW w:w="1819" w:type="dxa"/>
          </w:tcPr>
          <w:p>
            <w:pPr>
              <w:pStyle w:val="TableParagraph"/>
              <w:spacing w:before="2"/>
              <w:ind w:right="102"/>
              <w:jc w:val="right"/>
              <w:rPr>
                <w:sz w:val="20"/>
              </w:rPr>
            </w:pPr>
            <w:r>
              <w:rPr>
                <w:spacing w:val="-2"/>
                <w:sz w:val="20"/>
              </w:rPr>
              <w:t>2,388</w:t>
            </w:r>
          </w:p>
        </w:tc>
        <w:tc>
          <w:tcPr>
            <w:tcW w:w="1480" w:type="dxa"/>
          </w:tcPr>
          <w:p>
            <w:pPr>
              <w:pStyle w:val="TableParagraph"/>
              <w:spacing w:before="2"/>
              <w:ind w:right="102"/>
              <w:jc w:val="right"/>
              <w:rPr>
                <w:sz w:val="20"/>
              </w:rPr>
            </w:pPr>
            <w:r>
              <w:rPr>
                <w:spacing w:val="-10"/>
                <w:sz w:val="20"/>
              </w:rPr>
              <w:t>—</w:t>
            </w:r>
          </w:p>
        </w:tc>
        <w:tc>
          <w:tcPr>
            <w:tcW w:w="1480" w:type="dxa"/>
          </w:tcPr>
          <w:p>
            <w:pPr>
              <w:pStyle w:val="TableParagraph"/>
              <w:spacing w:before="2"/>
              <w:ind w:right="102"/>
              <w:jc w:val="right"/>
              <w:rPr>
                <w:sz w:val="20"/>
              </w:rPr>
            </w:pPr>
            <w:r>
              <w:rPr>
                <w:spacing w:val="-2"/>
                <w:sz w:val="20"/>
              </w:rPr>
              <w:t>2,388</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left="410"/>
              <w:rPr>
                <w:sz w:val="20"/>
              </w:rPr>
            </w:pPr>
            <w:r>
              <w:rPr>
                <w:sz w:val="20"/>
              </w:rPr>
              <w:t>Municipal </w:t>
            </w:r>
            <w:r>
              <w:rPr>
                <w:spacing w:val="-2"/>
                <w:sz w:val="20"/>
              </w:rPr>
              <w:t>securities</w:t>
            </w:r>
          </w:p>
        </w:tc>
        <w:tc>
          <w:tcPr>
            <w:tcW w:w="1819" w:type="dxa"/>
            <w:shd w:val="clear" w:color="auto" w:fill="CCEDFF"/>
          </w:tcPr>
          <w:p>
            <w:pPr>
              <w:pStyle w:val="TableParagraph"/>
              <w:spacing w:before="2"/>
              <w:ind w:right="102"/>
              <w:jc w:val="right"/>
              <w:rPr>
                <w:sz w:val="20"/>
              </w:rPr>
            </w:pPr>
            <w:r>
              <w:rPr>
                <w:spacing w:val="-2"/>
                <w:sz w:val="20"/>
              </w:rPr>
              <w:t>21,065</w:t>
            </w:r>
          </w:p>
        </w:tc>
        <w:tc>
          <w:tcPr>
            <w:tcW w:w="1480" w:type="dxa"/>
            <w:shd w:val="clear" w:color="auto" w:fill="CCEDFF"/>
          </w:tcPr>
          <w:p>
            <w:pPr>
              <w:pStyle w:val="TableParagraph"/>
              <w:spacing w:before="2"/>
              <w:ind w:right="102"/>
              <w:jc w:val="right"/>
              <w:rPr>
                <w:sz w:val="20"/>
              </w:rPr>
            </w:pPr>
            <w:r>
              <w:rPr>
                <w:spacing w:val="-10"/>
                <w:sz w:val="20"/>
              </w:rPr>
              <w:t>—</w:t>
            </w:r>
          </w:p>
        </w:tc>
        <w:tc>
          <w:tcPr>
            <w:tcW w:w="1480" w:type="dxa"/>
            <w:shd w:val="clear" w:color="auto" w:fill="CCEDFF"/>
          </w:tcPr>
          <w:p>
            <w:pPr>
              <w:pStyle w:val="TableParagraph"/>
              <w:spacing w:before="2"/>
              <w:ind w:right="102"/>
              <w:jc w:val="right"/>
              <w:rPr>
                <w:sz w:val="20"/>
              </w:rPr>
            </w:pPr>
            <w:r>
              <w:rPr>
                <w:spacing w:val="-2"/>
                <w:sz w:val="20"/>
              </w:rPr>
              <w:t>21,065</w:t>
            </w:r>
          </w:p>
        </w:tc>
        <w:tc>
          <w:tcPr>
            <w:tcW w:w="1453" w:type="dxa"/>
            <w:shd w:val="clear" w:color="auto" w:fill="CCEDFF"/>
          </w:tcPr>
          <w:p>
            <w:pPr>
              <w:pStyle w:val="TableParagraph"/>
              <w:spacing w:before="2"/>
              <w:ind w:right="75"/>
              <w:jc w:val="right"/>
              <w:rPr>
                <w:sz w:val="20"/>
              </w:rPr>
            </w:pPr>
            <w:r>
              <w:rPr>
                <w:spacing w:val="-10"/>
                <w:sz w:val="20"/>
              </w:rPr>
              <w:t>—</w:t>
            </w:r>
          </w:p>
        </w:tc>
      </w:tr>
      <w:tr>
        <w:trPr>
          <w:trHeight w:val="280" w:hRule="atLeast"/>
        </w:trPr>
        <w:tc>
          <w:tcPr>
            <w:tcW w:w="4007" w:type="dxa"/>
          </w:tcPr>
          <w:p>
            <w:pPr>
              <w:pStyle w:val="TableParagraph"/>
              <w:spacing w:before="2"/>
              <w:ind w:left="410"/>
              <w:rPr>
                <w:sz w:val="20"/>
              </w:rPr>
            </w:pPr>
            <w:r>
              <w:rPr>
                <w:sz w:val="20"/>
              </w:rPr>
              <w:t>U.S.</w:t>
            </w:r>
            <w:r>
              <w:rPr>
                <w:spacing w:val="-5"/>
                <w:sz w:val="20"/>
              </w:rPr>
              <w:t> </w:t>
            </w:r>
            <w:r>
              <w:rPr>
                <w:sz w:val="20"/>
              </w:rPr>
              <w:t>Treasury</w:t>
            </w:r>
            <w:r>
              <w:rPr>
                <w:spacing w:val="-3"/>
                <w:sz w:val="20"/>
              </w:rPr>
              <w:t> </w:t>
            </w:r>
            <w:r>
              <w:rPr>
                <w:spacing w:val="-2"/>
                <w:sz w:val="20"/>
              </w:rPr>
              <w:t>securities</w:t>
            </w:r>
          </w:p>
        </w:tc>
        <w:tc>
          <w:tcPr>
            <w:tcW w:w="1819" w:type="dxa"/>
          </w:tcPr>
          <w:p>
            <w:pPr>
              <w:pStyle w:val="TableParagraph"/>
              <w:spacing w:before="2"/>
              <w:ind w:right="102"/>
              <w:jc w:val="right"/>
              <w:rPr>
                <w:sz w:val="20"/>
              </w:rPr>
            </w:pPr>
            <w:r>
              <w:rPr>
                <w:spacing w:val="-2"/>
                <w:sz w:val="20"/>
              </w:rPr>
              <w:t>937,988</w:t>
            </w:r>
          </w:p>
        </w:tc>
        <w:tc>
          <w:tcPr>
            <w:tcW w:w="1480" w:type="dxa"/>
          </w:tcPr>
          <w:p>
            <w:pPr>
              <w:pStyle w:val="TableParagraph"/>
              <w:spacing w:before="2"/>
              <w:ind w:right="102"/>
              <w:jc w:val="right"/>
              <w:rPr>
                <w:sz w:val="20"/>
              </w:rPr>
            </w:pPr>
            <w:r>
              <w:rPr>
                <w:spacing w:val="-10"/>
                <w:sz w:val="20"/>
              </w:rPr>
              <w:t>—</w:t>
            </w:r>
          </w:p>
        </w:tc>
        <w:tc>
          <w:tcPr>
            <w:tcW w:w="1480" w:type="dxa"/>
          </w:tcPr>
          <w:p>
            <w:pPr>
              <w:pStyle w:val="TableParagraph"/>
              <w:spacing w:before="2"/>
              <w:ind w:right="102"/>
              <w:jc w:val="right"/>
              <w:rPr>
                <w:sz w:val="20"/>
              </w:rPr>
            </w:pPr>
            <w:r>
              <w:rPr>
                <w:spacing w:val="-2"/>
                <w:sz w:val="20"/>
              </w:rPr>
              <w:t>937,988</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right="463"/>
              <w:jc w:val="right"/>
              <w:rPr>
                <w:sz w:val="20"/>
              </w:rPr>
            </w:pPr>
            <w:r>
              <w:rPr>
                <w:sz w:val="20"/>
              </w:rPr>
              <w:t>Prepaid</w:t>
            </w:r>
            <w:r>
              <w:rPr>
                <w:spacing w:val="-2"/>
                <w:sz w:val="20"/>
              </w:rPr>
              <w:t> </w:t>
            </w:r>
            <w:r>
              <w:rPr>
                <w:sz w:val="20"/>
              </w:rPr>
              <w:t>expenses</w:t>
            </w:r>
            <w:r>
              <w:rPr>
                <w:spacing w:val="-2"/>
                <w:sz w:val="20"/>
              </w:rPr>
              <w:t> </w:t>
            </w:r>
            <w:r>
              <w:rPr>
                <w:sz w:val="20"/>
              </w:rPr>
              <w:t>and</w:t>
            </w:r>
            <w:r>
              <w:rPr>
                <w:spacing w:val="-2"/>
                <w:sz w:val="20"/>
              </w:rPr>
              <w:t> </w:t>
            </w:r>
            <w:r>
              <w:rPr>
                <w:sz w:val="20"/>
              </w:rPr>
              <w:t>other</w:t>
            </w:r>
            <w:r>
              <w:rPr>
                <w:spacing w:val="-1"/>
                <w:sz w:val="20"/>
              </w:rPr>
              <w:t> </w:t>
            </w:r>
            <w:r>
              <w:rPr>
                <w:sz w:val="20"/>
              </w:rPr>
              <w:t>current</w:t>
            </w:r>
            <w:r>
              <w:rPr>
                <w:spacing w:val="-1"/>
                <w:sz w:val="20"/>
              </w:rPr>
              <w:t> </w:t>
            </w:r>
            <w:r>
              <w:rPr>
                <w:spacing w:val="-2"/>
                <w:sz w:val="20"/>
              </w:rPr>
              <w:t>assets:</w:t>
            </w:r>
          </w:p>
        </w:tc>
        <w:tc>
          <w:tcPr>
            <w:tcW w:w="1819"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53" w:type="dxa"/>
            <w:shd w:val="clear" w:color="auto" w:fill="CCEDFF"/>
          </w:tcPr>
          <w:p>
            <w:pPr>
              <w:pStyle w:val="TableParagraph"/>
              <w:rPr>
                <w:sz w:val="18"/>
              </w:rPr>
            </w:pPr>
          </w:p>
        </w:tc>
      </w:tr>
      <w:tr>
        <w:trPr>
          <w:trHeight w:val="280" w:hRule="atLeast"/>
        </w:trPr>
        <w:tc>
          <w:tcPr>
            <w:tcW w:w="4007" w:type="dxa"/>
          </w:tcPr>
          <w:p>
            <w:pPr>
              <w:pStyle w:val="TableParagraph"/>
              <w:spacing w:before="2"/>
              <w:ind w:left="410"/>
              <w:rPr>
                <w:sz w:val="20"/>
              </w:rPr>
            </w:pPr>
            <w:r>
              <w:rPr>
                <w:sz w:val="20"/>
              </w:rPr>
              <w:t>Foreign currency </w:t>
            </w:r>
            <w:r>
              <w:rPr>
                <w:spacing w:val="-2"/>
                <w:sz w:val="20"/>
              </w:rPr>
              <w:t>derivatives</w:t>
            </w:r>
          </w:p>
        </w:tc>
        <w:tc>
          <w:tcPr>
            <w:tcW w:w="1819" w:type="dxa"/>
          </w:tcPr>
          <w:p>
            <w:pPr>
              <w:pStyle w:val="TableParagraph"/>
              <w:spacing w:before="2"/>
              <w:ind w:right="102"/>
              <w:jc w:val="right"/>
              <w:rPr>
                <w:sz w:val="20"/>
              </w:rPr>
            </w:pPr>
            <w:r>
              <w:rPr>
                <w:spacing w:val="-2"/>
                <w:sz w:val="20"/>
              </w:rPr>
              <w:t>14,198</w:t>
            </w:r>
          </w:p>
        </w:tc>
        <w:tc>
          <w:tcPr>
            <w:tcW w:w="1480" w:type="dxa"/>
          </w:tcPr>
          <w:p>
            <w:pPr>
              <w:pStyle w:val="TableParagraph"/>
              <w:spacing w:before="2"/>
              <w:ind w:right="102"/>
              <w:jc w:val="right"/>
              <w:rPr>
                <w:sz w:val="20"/>
              </w:rPr>
            </w:pPr>
            <w:r>
              <w:rPr>
                <w:spacing w:val="-10"/>
                <w:sz w:val="20"/>
              </w:rPr>
              <w:t>—</w:t>
            </w:r>
          </w:p>
        </w:tc>
        <w:tc>
          <w:tcPr>
            <w:tcW w:w="1480" w:type="dxa"/>
          </w:tcPr>
          <w:p>
            <w:pPr>
              <w:pStyle w:val="TableParagraph"/>
              <w:spacing w:before="2"/>
              <w:ind w:right="102"/>
              <w:jc w:val="right"/>
              <w:rPr>
                <w:sz w:val="20"/>
              </w:rPr>
            </w:pPr>
            <w:r>
              <w:rPr>
                <w:spacing w:val="-2"/>
                <w:sz w:val="20"/>
              </w:rPr>
              <w:t>14,198</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left="170"/>
              <w:rPr>
                <w:sz w:val="20"/>
              </w:rPr>
            </w:pPr>
            <w:r>
              <w:rPr>
                <w:sz w:val="20"/>
              </w:rPr>
              <w:t>Other </w:t>
            </w:r>
            <w:r>
              <w:rPr>
                <w:spacing w:val="-2"/>
                <w:sz w:val="20"/>
              </w:rPr>
              <w:t>assets:</w:t>
            </w:r>
          </w:p>
        </w:tc>
        <w:tc>
          <w:tcPr>
            <w:tcW w:w="1819"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53" w:type="dxa"/>
            <w:shd w:val="clear" w:color="auto" w:fill="CCEDFF"/>
          </w:tcPr>
          <w:p>
            <w:pPr>
              <w:pStyle w:val="TableParagraph"/>
              <w:rPr>
                <w:sz w:val="18"/>
              </w:rPr>
            </w:pPr>
          </w:p>
        </w:tc>
      </w:tr>
      <w:tr>
        <w:trPr>
          <w:trHeight w:val="270" w:hRule="atLeast"/>
        </w:trPr>
        <w:tc>
          <w:tcPr>
            <w:tcW w:w="4007" w:type="dxa"/>
          </w:tcPr>
          <w:p>
            <w:pPr>
              <w:pStyle w:val="TableParagraph"/>
              <w:spacing w:before="2"/>
              <w:ind w:left="410"/>
              <w:rPr>
                <w:sz w:val="20"/>
              </w:rPr>
            </w:pPr>
            <w:r>
              <w:rPr>
                <w:sz w:val="20"/>
              </w:rPr>
              <w:t>Deferred compensation plan </w:t>
            </w:r>
            <w:r>
              <w:rPr>
                <w:spacing w:val="-2"/>
                <w:sz w:val="20"/>
              </w:rPr>
              <w:t>assets</w:t>
            </w:r>
          </w:p>
        </w:tc>
        <w:tc>
          <w:tcPr>
            <w:tcW w:w="1819" w:type="dxa"/>
            <w:tcBorders>
              <w:bottom w:val="single" w:sz="8" w:space="0" w:color="000000"/>
            </w:tcBorders>
          </w:tcPr>
          <w:p>
            <w:pPr>
              <w:pStyle w:val="TableParagraph"/>
              <w:spacing w:before="2"/>
              <w:ind w:right="102"/>
              <w:jc w:val="right"/>
              <w:rPr>
                <w:sz w:val="20"/>
              </w:rPr>
            </w:pPr>
            <w:r>
              <w:rPr>
                <w:spacing w:val="-2"/>
                <w:sz w:val="20"/>
              </w:rPr>
              <w:t>56,690</w:t>
            </w:r>
          </w:p>
        </w:tc>
        <w:tc>
          <w:tcPr>
            <w:tcW w:w="1480" w:type="dxa"/>
            <w:tcBorders>
              <w:bottom w:val="single" w:sz="8" w:space="0" w:color="000000"/>
            </w:tcBorders>
          </w:tcPr>
          <w:p>
            <w:pPr>
              <w:pStyle w:val="TableParagraph"/>
              <w:spacing w:before="2"/>
              <w:ind w:right="102"/>
              <w:jc w:val="right"/>
              <w:rPr>
                <w:sz w:val="20"/>
              </w:rPr>
            </w:pPr>
            <w:r>
              <w:rPr>
                <w:spacing w:val="-2"/>
                <w:sz w:val="20"/>
              </w:rPr>
              <w:t>2,573</w:t>
            </w:r>
          </w:p>
        </w:tc>
        <w:tc>
          <w:tcPr>
            <w:tcW w:w="1480" w:type="dxa"/>
            <w:tcBorders>
              <w:bottom w:val="single" w:sz="8" w:space="0" w:color="000000"/>
            </w:tcBorders>
          </w:tcPr>
          <w:p>
            <w:pPr>
              <w:pStyle w:val="TableParagraph"/>
              <w:spacing w:before="2"/>
              <w:ind w:right="102"/>
              <w:jc w:val="right"/>
              <w:rPr>
                <w:sz w:val="20"/>
              </w:rPr>
            </w:pPr>
            <w:r>
              <w:rPr>
                <w:spacing w:val="-2"/>
                <w:sz w:val="20"/>
              </w:rPr>
              <w:t>54,117</w:t>
            </w:r>
          </w:p>
        </w:tc>
        <w:tc>
          <w:tcPr>
            <w:tcW w:w="1453" w:type="dxa"/>
            <w:tcBorders>
              <w:bottom w:val="single" w:sz="8" w:space="0" w:color="000000"/>
            </w:tcBorders>
          </w:tcPr>
          <w:p>
            <w:pPr>
              <w:pStyle w:val="TableParagraph"/>
              <w:spacing w:before="2"/>
              <w:ind w:right="75"/>
              <w:jc w:val="right"/>
              <w:rPr>
                <w:sz w:val="20"/>
              </w:rPr>
            </w:pPr>
            <w:r>
              <w:rPr>
                <w:spacing w:val="-10"/>
                <w:sz w:val="20"/>
              </w:rPr>
              <w:t>—</w:t>
            </w:r>
          </w:p>
        </w:tc>
      </w:tr>
      <w:tr>
        <w:trPr>
          <w:trHeight w:val="240" w:hRule="atLeast"/>
        </w:trPr>
        <w:tc>
          <w:tcPr>
            <w:tcW w:w="4007" w:type="dxa"/>
            <w:shd w:val="clear" w:color="auto" w:fill="CCEDFF"/>
          </w:tcPr>
          <w:p>
            <w:pPr>
              <w:pStyle w:val="TableParagraph"/>
              <w:spacing w:line="220" w:lineRule="exact"/>
              <w:ind w:left="50"/>
              <w:rPr>
                <w:sz w:val="20"/>
              </w:rPr>
            </w:pPr>
            <w:r>
              <w:rPr>
                <w:spacing w:val="-2"/>
                <w:sz w:val="20"/>
              </w:rPr>
              <w:t>Total</w:t>
            </w:r>
            <w:r>
              <w:rPr>
                <w:spacing w:val="-4"/>
                <w:sz w:val="20"/>
              </w:rPr>
              <w:t> </w:t>
            </w:r>
            <w:r>
              <w:rPr>
                <w:spacing w:val="-2"/>
                <w:sz w:val="20"/>
              </w:rPr>
              <w:t>assets</w:t>
            </w:r>
          </w:p>
        </w:tc>
        <w:tc>
          <w:tcPr>
            <w:tcW w:w="1819" w:type="dxa"/>
            <w:tcBorders>
              <w:top w:val="single" w:sz="8" w:space="0" w:color="000000"/>
              <w:bottom w:val="double" w:sz="8" w:space="0" w:color="000000"/>
            </w:tcBorders>
            <w:shd w:val="clear" w:color="auto" w:fill="CCEDFF"/>
          </w:tcPr>
          <w:p>
            <w:pPr>
              <w:pStyle w:val="TableParagraph"/>
              <w:tabs>
                <w:tab w:pos="472" w:val="left" w:leader="none"/>
              </w:tabs>
              <w:spacing w:line="220" w:lineRule="exact"/>
              <w:ind w:right="102"/>
              <w:jc w:val="right"/>
              <w:rPr>
                <w:sz w:val="20"/>
              </w:rPr>
            </w:pPr>
            <w:r>
              <w:rPr>
                <w:spacing w:val="-10"/>
                <w:sz w:val="20"/>
              </w:rPr>
              <w:t>$</w:t>
            </w:r>
            <w:r>
              <w:rPr>
                <w:sz w:val="20"/>
              </w:rPr>
              <w:tab/>
            </w:r>
            <w:r>
              <w:rPr>
                <w:spacing w:val="-2"/>
                <w:sz w:val="20"/>
              </w:rPr>
              <w:t>5,610,174</w:t>
            </w:r>
          </w:p>
        </w:tc>
        <w:tc>
          <w:tcPr>
            <w:tcW w:w="1480" w:type="dxa"/>
            <w:tcBorders>
              <w:top w:val="single" w:sz="8" w:space="0" w:color="000000"/>
              <w:bottom w:val="double" w:sz="8" w:space="0" w:color="000000"/>
            </w:tcBorders>
            <w:shd w:val="clear" w:color="auto" w:fill="CCEDFF"/>
          </w:tcPr>
          <w:p>
            <w:pPr>
              <w:pStyle w:val="TableParagraph"/>
              <w:tabs>
                <w:tab w:pos="472" w:val="left" w:leader="none"/>
              </w:tabs>
              <w:spacing w:line="220" w:lineRule="exact"/>
              <w:ind w:right="102"/>
              <w:jc w:val="right"/>
              <w:rPr>
                <w:sz w:val="20"/>
              </w:rPr>
            </w:pPr>
            <w:r>
              <w:rPr>
                <w:spacing w:val="-10"/>
                <w:sz w:val="20"/>
              </w:rPr>
              <w:t>$</w:t>
            </w:r>
            <w:r>
              <w:rPr>
                <w:sz w:val="20"/>
              </w:rPr>
              <w:tab/>
            </w:r>
            <w:r>
              <w:rPr>
                <w:spacing w:val="-2"/>
                <w:sz w:val="20"/>
              </w:rPr>
              <w:t>2,028,157</w:t>
            </w:r>
          </w:p>
        </w:tc>
        <w:tc>
          <w:tcPr>
            <w:tcW w:w="1480" w:type="dxa"/>
            <w:tcBorders>
              <w:top w:val="single" w:sz="8" w:space="0" w:color="000000"/>
              <w:bottom w:val="double" w:sz="8" w:space="0" w:color="000000"/>
            </w:tcBorders>
            <w:shd w:val="clear" w:color="auto" w:fill="CCEDFF"/>
          </w:tcPr>
          <w:p>
            <w:pPr>
              <w:pStyle w:val="TableParagraph"/>
              <w:tabs>
                <w:tab w:pos="472" w:val="left" w:leader="none"/>
              </w:tabs>
              <w:spacing w:line="220" w:lineRule="exact"/>
              <w:ind w:right="102"/>
              <w:jc w:val="right"/>
              <w:rPr>
                <w:sz w:val="20"/>
              </w:rPr>
            </w:pPr>
            <w:r>
              <w:rPr>
                <w:spacing w:val="-10"/>
                <w:sz w:val="20"/>
              </w:rPr>
              <w:t>$</w:t>
            </w:r>
            <w:r>
              <w:rPr>
                <w:sz w:val="20"/>
              </w:rPr>
              <w:tab/>
            </w:r>
            <w:r>
              <w:rPr>
                <w:spacing w:val="-2"/>
                <w:sz w:val="20"/>
              </w:rPr>
              <w:t>3,582,017</w:t>
            </w:r>
          </w:p>
        </w:tc>
        <w:tc>
          <w:tcPr>
            <w:tcW w:w="1453" w:type="dxa"/>
            <w:tcBorders>
              <w:top w:val="single" w:sz="8" w:space="0" w:color="000000"/>
              <w:bottom w:val="double" w:sz="8" w:space="0" w:color="000000"/>
            </w:tcBorders>
            <w:shd w:val="clear" w:color="auto" w:fill="CCEDFF"/>
          </w:tcPr>
          <w:p>
            <w:pPr>
              <w:pStyle w:val="TableParagraph"/>
              <w:tabs>
                <w:tab w:pos="1072" w:val="left" w:leader="none"/>
              </w:tabs>
              <w:spacing w:line="220" w:lineRule="exact"/>
              <w:ind w:right="75"/>
              <w:jc w:val="right"/>
              <w:rPr>
                <w:sz w:val="20"/>
              </w:rPr>
            </w:pPr>
            <w:r>
              <w:rPr>
                <w:spacing w:val="-10"/>
                <w:sz w:val="20"/>
              </w:rPr>
              <w:t>$</w:t>
            </w:r>
            <w:r>
              <w:rPr>
                <w:sz w:val="20"/>
              </w:rPr>
              <w:tab/>
            </w:r>
            <w:r>
              <w:rPr>
                <w:spacing w:val="-10"/>
                <w:sz w:val="20"/>
              </w:rPr>
              <w:t>—</w:t>
            </w:r>
          </w:p>
        </w:tc>
      </w:tr>
      <w:tr>
        <w:trPr>
          <w:trHeight w:val="750" w:hRule="atLeast"/>
        </w:trPr>
        <w:tc>
          <w:tcPr>
            <w:tcW w:w="4007" w:type="dxa"/>
          </w:tcPr>
          <w:p>
            <w:pPr>
              <w:pStyle w:val="TableParagraph"/>
              <w:rPr>
                <w:b/>
                <w:sz w:val="20"/>
              </w:rPr>
            </w:pPr>
          </w:p>
          <w:p>
            <w:pPr>
              <w:pStyle w:val="TableParagraph"/>
              <w:spacing w:before="11"/>
              <w:rPr>
                <w:b/>
                <w:sz w:val="20"/>
              </w:rPr>
            </w:pPr>
          </w:p>
          <w:p>
            <w:pPr>
              <w:pStyle w:val="TableParagraph"/>
              <w:spacing w:before="1"/>
              <w:ind w:left="50"/>
              <w:rPr>
                <w:sz w:val="20"/>
              </w:rPr>
            </w:pPr>
            <w:r>
              <w:rPr>
                <w:spacing w:val="-2"/>
                <w:sz w:val="20"/>
              </w:rPr>
              <w:t>Liabilities:</w:t>
            </w:r>
          </w:p>
        </w:tc>
        <w:tc>
          <w:tcPr>
            <w:tcW w:w="1819" w:type="dxa"/>
            <w:tcBorders>
              <w:top w:val="double" w:sz="8" w:space="0" w:color="000000"/>
            </w:tcBorders>
          </w:tcPr>
          <w:p>
            <w:pPr>
              <w:pStyle w:val="TableParagraph"/>
              <w:rPr>
                <w:sz w:val="18"/>
              </w:rPr>
            </w:pPr>
          </w:p>
        </w:tc>
        <w:tc>
          <w:tcPr>
            <w:tcW w:w="1480" w:type="dxa"/>
            <w:tcBorders>
              <w:top w:val="double" w:sz="8" w:space="0" w:color="000000"/>
            </w:tcBorders>
          </w:tcPr>
          <w:p>
            <w:pPr>
              <w:pStyle w:val="TableParagraph"/>
              <w:rPr>
                <w:sz w:val="18"/>
              </w:rPr>
            </w:pPr>
          </w:p>
        </w:tc>
        <w:tc>
          <w:tcPr>
            <w:tcW w:w="1480" w:type="dxa"/>
            <w:tcBorders>
              <w:top w:val="double" w:sz="8" w:space="0" w:color="000000"/>
            </w:tcBorders>
          </w:tcPr>
          <w:p>
            <w:pPr>
              <w:pStyle w:val="TableParagraph"/>
              <w:rPr>
                <w:sz w:val="18"/>
              </w:rPr>
            </w:pPr>
          </w:p>
        </w:tc>
        <w:tc>
          <w:tcPr>
            <w:tcW w:w="1453" w:type="dxa"/>
            <w:tcBorders>
              <w:top w:val="double" w:sz="8" w:space="0" w:color="000000"/>
            </w:tcBorders>
          </w:tcPr>
          <w:p>
            <w:pPr>
              <w:pStyle w:val="TableParagraph"/>
              <w:rPr>
                <w:sz w:val="18"/>
              </w:rPr>
            </w:pPr>
          </w:p>
        </w:tc>
      </w:tr>
      <w:tr>
        <w:trPr>
          <w:trHeight w:val="280" w:hRule="atLeast"/>
        </w:trPr>
        <w:tc>
          <w:tcPr>
            <w:tcW w:w="10239" w:type="dxa"/>
            <w:gridSpan w:val="5"/>
            <w:shd w:val="clear" w:color="auto" w:fill="CCEDFF"/>
          </w:tcPr>
          <w:p>
            <w:pPr>
              <w:pStyle w:val="TableParagraph"/>
              <w:spacing w:before="2"/>
              <w:ind w:left="170"/>
              <w:rPr>
                <w:sz w:val="20"/>
              </w:rPr>
            </w:pPr>
            <w:r>
              <w:rPr>
                <w:sz w:val="20"/>
              </w:rPr>
              <w:t>Accrued </w:t>
            </w:r>
            <w:r>
              <w:rPr>
                <w:spacing w:val="-2"/>
                <w:sz w:val="20"/>
              </w:rPr>
              <w:t>expenses:</w:t>
            </w:r>
          </w:p>
        </w:tc>
      </w:tr>
    </w:tbl>
    <w:p>
      <w:pPr>
        <w:pStyle w:val="BodyText"/>
        <w:tabs>
          <w:tab w:pos="4669" w:val="left" w:leader="none"/>
          <w:tab w:pos="5492" w:val="left" w:leader="none"/>
          <w:tab w:pos="6149" w:val="left" w:leader="none"/>
          <w:tab w:pos="7222" w:val="left" w:leader="none"/>
          <w:tab w:pos="7629" w:val="left" w:leader="none"/>
          <w:tab w:pos="8452" w:val="left" w:leader="none"/>
          <w:tab w:pos="9109" w:val="left" w:leader="none"/>
          <w:tab w:pos="10182" w:val="left" w:leader="none"/>
        </w:tabs>
        <w:spacing w:before="2"/>
        <w:ind w:left="630"/>
      </w:pPr>
      <w:r>
        <w:rPr/>
        <mc:AlternateContent>
          <mc:Choice Requires="wps">
            <w:drawing>
              <wp:anchor distT="0" distB="0" distL="0" distR="0" allowOverlap="1" layoutInCell="1" locked="0" behindDoc="1" simplePos="0" relativeHeight="487661056">
                <wp:simplePos x="0" y="0"/>
                <wp:positionH relativeFrom="page">
                  <wp:posOffset>635000</wp:posOffset>
                </wp:positionH>
                <wp:positionV relativeFrom="paragraph">
                  <wp:posOffset>178363</wp:posOffset>
                </wp:positionV>
                <wp:extent cx="6502400" cy="177800"/>
                <wp:effectExtent l="0" t="0" r="0" b="0"/>
                <wp:wrapTopAndBottom/>
                <wp:docPr id="427" name="Textbox 427"/>
                <wp:cNvGraphicFramePr>
                  <a:graphicFrameLocks/>
                </wp:cNvGraphicFramePr>
                <a:graphic>
                  <a:graphicData uri="http://schemas.microsoft.com/office/word/2010/wordprocessingShape">
                    <wps:wsp>
                      <wps:cNvPr id="427" name="Textbox 427"/>
                      <wps:cNvSpPr txBox="1"/>
                      <wps:spPr>
                        <a:xfrm>
                          <a:off x="0" y="0"/>
                          <a:ext cx="6502400" cy="177800"/>
                        </a:xfrm>
                        <a:prstGeom prst="rect">
                          <a:avLst/>
                        </a:prstGeom>
                        <a:solidFill>
                          <a:srgbClr val="CCEDFF"/>
                        </a:solidFill>
                      </wps:spPr>
                      <wps:txbx>
                        <w:txbxContent>
                          <w:p>
                            <w:pPr>
                              <w:pStyle w:val="BodyText"/>
                              <w:spacing w:before="2"/>
                              <w:ind w:left="170"/>
                              <w:rPr>
                                <w:color w:val="000000"/>
                              </w:rPr>
                            </w:pPr>
                            <w:r>
                              <w:rPr>
                                <w:color w:val="000000"/>
                              </w:rPr>
                              <w:t>Other </w:t>
                            </w:r>
                            <w:r>
                              <w:rPr>
                                <w:color w:val="000000"/>
                                <w:spacing w:val="-2"/>
                              </w:rPr>
                              <w:t>liabilities:</w:t>
                            </w:r>
                          </w:p>
                        </w:txbxContent>
                      </wps:txbx>
                      <wps:bodyPr wrap="square" lIns="0" tIns="0" rIns="0" bIns="0" rtlCol="0">
                        <a:noAutofit/>
                      </wps:bodyPr>
                    </wps:wsp>
                  </a:graphicData>
                </a:graphic>
              </wp:anchor>
            </w:drawing>
          </mc:Choice>
          <mc:Fallback>
            <w:pict>
              <v:shape style="position:absolute;margin-left:50pt;margin-top:14.044336pt;width:512pt;height:14pt;mso-position-horizontal-relative:page;mso-position-vertical-relative:paragraph;z-index:-15655424;mso-wrap-distance-left:0;mso-wrap-distance-right:0" type="#_x0000_t202" id="docshape345" filled="true" fillcolor="#ccedff" stroked="false">
                <v:textbox inset="0,0,0,0">
                  <w:txbxContent>
                    <w:p>
                      <w:pPr>
                        <w:pStyle w:val="BodyText"/>
                        <w:spacing w:before="2"/>
                        <w:ind w:left="170"/>
                        <w:rPr>
                          <w:color w:val="000000"/>
                        </w:rPr>
                      </w:pPr>
                      <w:r>
                        <w:rPr>
                          <w:color w:val="000000"/>
                        </w:rPr>
                        <w:t>Other </w:t>
                      </w:r>
                      <w:r>
                        <w:rPr>
                          <w:color w:val="000000"/>
                          <w:spacing w:val="-2"/>
                        </w:rPr>
                        <w:t>liabilities:</w:t>
                      </w:r>
                    </w:p>
                  </w:txbxContent>
                </v:textbox>
                <v:fill type="solid"/>
                <w10:wrap type="topAndBottom"/>
              </v:shape>
            </w:pict>
          </mc:Fallback>
        </mc:AlternateContent>
      </w:r>
      <w:r>
        <w:rPr/>
        <w:t>Foreign currency </w:t>
      </w:r>
      <w:r>
        <w:rPr>
          <w:spacing w:val="-2"/>
        </w:rPr>
        <w:t>derivatives</w:t>
      </w:r>
      <w:r>
        <w:rPr/>
        <w:tab/>
      </w:r>
      <w:r>
        <w:rPr>
          <w:spacing w:val="-10"/>
        </w:rPr>
        <w:t>$</w:t>
      </w:r>
      <w:r>
        <w:rPr/>
        <w:tab/>
      </w:r>
      <w:r>
        <w:rPr>
          <w:spacing w:val="-2"/>
        </w:rPr>
        <w:t>1,598</w:t>
      </w:r>
      <w:r>
        <w:rPr/>
        <w:tab/>
      </w:r>
      <w:r>
        <w:rPr>
          <w:spacing w:val="-10"/>
        </w:rPr>
        <w:t>$</w:t>
      </w:r>
      <w:r>
        <w:rPr/>
        <w:tab/>
      </w:r>
      <w:r>
        <w:rPr>
          <w:spacing w:val="-10"/>
        </w:rPr>
        <w:t>—</w:t>
      </w:r>
      <w:r>
        <w:rPr/>
        <w:tab/>
      </w:r>
      <w:r>
        <w:rPr>
          <w:spacing w:val="-10"/>
        </w:rPr>
        <w:t>$</w:t>
      </w:r>
      <w:r>
        <w:rPr/>
        <w:tab/>
      </w:r>
      <w:r>
        <w:rPr>
          <w:spacing w:val="-2"/>
        </w:rPr>
        <w:t>1,598</w:t>
      </w:r>
      <w:r>
        <w:rPr/>
        <w:tab/>
      </w:r>
      <w:r>
        <w:rPr>
          <w:spacing w:val="-10"/>
        </w:rPr>
        <w:t>$</w:t>
      </w:r>
      <w:r>
        <w:rPr/>
        <w:tab/>
      </w:r>
      <w:r>
        <w:rPr>
          <w:spacing w:val="-10"/>
        </w:rPr>
        <w:t>—</w:t>
      </w:r>
    </w:p>
    <w:p>
      <w:pPr>
        <w:pStyle w:val="BodyText"/>
        <w:tabs>
          <w:tab w:pos="5492" w:val="left" w:leader="none"/>
          <w:tab w:pos="7222" w:val="left" w:leader="none"/>
          <w:tab w:pos="8452" w:val="left" w:leader="none"/>
          <w:tab w:pos="10182" w:val="left" w:leader="none"/>
        </w:tabs>
        <w:spacing w:before="2" w:after="38"/>
        <w:ind w:left="630"/>
      </w:pPr>
      <w:r>
        <w:rPr/>
        <w:t>Interest rate swap </w:t>
      </w:r>
      <w:r>
        <w:rPr>
          <w:spacing w:val="-2"/>
        </w:rPr>
        <w:t>derivatives</w:t>
      </w:r>
      <w:r>
        <w:rPr/>
        <w:tab/>
      </w:r>
      <w:r>
        <w:rPr>
          <w:spacing w:val="-2"/>
        </w:rPr>
        <w:t>1,058</w:t>
      </w:r>
      <w:r>
        <w:rPr/>
        <w:tab/>
      </w:r>
      <w:r>
        <w:rPr>
          <w:spacing w:val="-10"/>
        </w:rPr>
        <w:t>—</w:t>
      </w:r>
      <w:r>
        <w:rPr/>
        <w:tab/>
      </w:r>
      <w:r>
        <w:rPr>
          <w:spacing w:val="-2"/>
        </w:rPr>
        <w:t>1,058</w:t>
      </w:r>
      <w:r>
        <w:rPr/>
        <w:tab/>
      </w:r>
      <w:r>
        <w:rPr>
          <w:spacing w:val="-10"/>
        </w:rPr>
        <w:t>—</w:t>
      </w:r>
    </w:p>
    <w:p>
      <w:pPr>
        <w:pStyle w:val="BodyText"/>
        <w:ind w:left="220"/>
      </w:pPr>
      <w:r>
        <w:rPr/>
        <mc:AlternateContent>
          <mc:Choice Requires="wps">
            <w:drawing>
              <wp:inline distT="0" distB="0" distL="0" distR="0">
                <wp:extent cx="6502400" cy="203200"/>
                <wp:effectExtent l="0" t="0" r="3175" b="6350"/>
                <wp:docPr id="428" name="Group 428"/>
                <wp:cNvGraphicFramePr>
                  <a:graphicFrameLocks/>
                </wp:cNvGraphicFramePr>
                <a:graphic>
                  <a:graphicData uri="http://schemas.microsoft.com/office/word/2010/wordprocessingGroup">
                    <wpg:wgp>
                      <wpg:cNvPr id="428" name="Group 428"/>
                      <wpg:cNvGrpSpPr/>
                      <wpg:grpSpPr>
                        <a:xfrm>
                          <a:off x="0" y="0"/>
                          <a:ext cx="6502400" cy="203200"/>
                          <a:chExt cx="6502400" cy="203200"/>
                        </a:xfrm>
                      </wpg:grpSpPr>
                      <wps:wsp>
                        <wps:cNvPr id="429" name="Graphic 429"/>
                        <wps:cNvSpPr/>
                        <wps:spPr>
                          <a:xfrm>
                            <a:off x="0" y="6349"/>
                            <a:ext cx="6502400" cy="177800"/>
                          </a:xfrm>
                          <a:custGeom>
                            <a:avLst/>
                            <a:gdLst/>
                            <a:ahLst/>
                            <a:cxnLst/>
                            <a:rect l="l" t="t" r="r" b="b"/>
                            <a:pathLst>
                              <a:path w="6502400" h="177800">
                                <a:moveTo>
                                  <a:pt x="6502400" y="0"/>
                                </a:moveTo>
                                <a:lnTo>
                                  <a:pt x="6502400" y="0"/>
                                </a:lnTo>
                                <a:lnTo>
                                  <a:pt x="0" y="0"/>
                                </a:lnTo>
                                <a:lnTo>
                                  <a:pt x="0" y="177800"/>
                                </a:lnTo>
                                <a:lnTo>
                                  <a:pt x="6502400" y="177800"/>
                                </a:lnTo>
                                <a:lnTo>
                                  <a:pt x="6502400" y="0"/>
                                </a:lnTo>
                                <a:close/>
                              </a:path>
                            </a:pathLst>
                          </a:custGeom>
                          <a:solidFill>
                            <a:srgbClr val="CCEDFF"/>
                          </a:solidFill>
                        </wps:spPr>
                        <wps:bodyPr wrap="square" lIns="0" tIns="0" rIns="0" bIns="0" rtlCol="0">
                          <a:prstTxWarp prst="textNoShape">
                            <a:avLst/>
                          </a:prstTxWarp>
                          <a:noAutofit/>
                        </wps:bodyPr>
                      </wps:wsp>
                      <wps:wsp>
                        <wps:cNvPr id="430" name="Graphic 430"/>
                        <wps:cNvSpPr/>
                        <wps:spPr>
                          <a:xfrm>
                            <a:off x="2794000" y="0"/>
                            <a:ext cx="3708400" cy="177800"/>
                          </a:xfrm>
                          <a:custGeom>
                            <a:avLst/>
                            <a:gdLst/>
                            <a:ahLst/>
                            <a:cxnLst/>
                            <a:rect l="l" t="t" r="r" b="b"/>
                            <a:pathLst>
                              <a:path w="3708400" h="177800">
                                <a:moveTo>
                                  <a:pt x="889000" y="165100"/>
                                </a:moveTo>
                                <a:lnTo>
                                  <a:pt x="0" y="165100"/>
                                </a:lnTo>
                                <a:lnTo>
                                  <a:pt x="0" y="177800"/>
                                </a:lnTo>
                                <a:lnTo>
                                  <a:pt x="889000" y="177800"/>
                                </a:lnTo>
                                <a:lnTo>
                                  <a:pt x="889000" y="165100"/>
                                </a:lnTo>
                                <a:close/>
                              </a:path>
                              <a:path w="3708400" h="177800">
                                <a:moveTo>
                                  <a:pt x="889000" y="0"/>
                                </a:moveTo>
                                <a:lnTo>
                                  <a:pt x="0" y="0"/>
                                </a:lnTo>
                                <a:lnTo>
                                  <a:pt x="0" y="12700"/>
                                </a:lnTo>
                                <a:lnTo>
                                  <a:pt x="889000" y="12700"/>
                                </a:lnTo>
                                <a:lnTo>
                                  <a:pt x="889000" y="0"/>
                                </a:lnTo>
                                <a:close/>
                              </a:path>
                              <a:path w="3708400" h="177800">
                                <a:moveTo>
                                  <a:pt x="1828800" y="0"/>
                                </a:moveTo>
                                <a:lnTo>
                                  <a:pt x="939800" y="0"/>
                                </a:lnTo>
                                <a:lnTo>
                                  <a:pt x="939800" y="12700"/>
                                </a:lnTo>
                                <a:lnTo>
                                  <a:pt x="1828800" y="12700"/>
                                </a:lnTo>
                                <a:lnTo>
                                  <a:pt x="1828800" y="0"/>
                                </a:lnTo>
                                <a:close/>
                              </a:path>
                              <a:path w="3708400" h="177800">
                                <a:moveTo>
                                  <a:pt x="2768600" y="0"/>
                                </a:moveTo>
                                <a:lnTo>
                                  <a:pt x="1879600" y="0"/>
                                </a:lnTo>
                                <a:lnTo>
                                  <a:pt x="1879600" y="12700"/>
                                </a:lnTo>
                                <a:lnTo>
                                  <a:pt x="2768600" y="12700"/>
                                </a:lnTo>
                                <a:lnTo>
                                  <a:pt x="2768600" y="0"/>
                                </a:lnTo>
                                <a:close/>
                              </a:path>
                              <a:path w="3708400" h="177800">
                                <a:moveTo>
                                  <a:pt x="3708400" y="0"/>
                                </a:moveTo>
                                <a:lnTo>
                                  <a:pt x="2819400" y="0"/>
                                </a:lnTo>
                                <a:lnTo>
                                  <a:pt x="2819400" y="12700"/>
                                </a:lnTo>
                                <a:lnTo>
                                  <a:pt x="3708400" y="12700"/>
                                </a:lnTo>
                                <a:lnTo>
                                  <a:pt x="3708400"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2794000" y="1968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s:wsp>
                        <wps:cNvPr id="432" name="Graphic 432"/>
                        <wps:cNvSpPr/>
                        <wps:spPr>
                          <a:xfrm>
                            <a:off x="3733800" y="0"/>
                            <a:ext cx="889000" cy="177800"/>
                          </a:xfrm>
                          <a:custGeom>
                            <a:avLst/>
                            <a:gdLst/>
                            <a:ahLst/>
                            <a:cxnLst/>
                            <a:rect l="l" t="t" r="r" b="b"/>
                            <a:pathLst>
                              <a:path w="889000" h="177800">
                                <a:moveTo>
                                  <a:pt x="889000" y="165100"/>
                                </a:moveTo>
                                <a:lnTo>
                                  <a:pt x="0" y="165100"/>
                                </a:lnTo>
                                <a:lnTo>
                                  <a:pt x="0" y="177800"/>
                                </a:lnTo>
                                <a:lnTo>
                                  <a:pt x="889000" y="177800"/>
                                </a:lnTo>
                                <a:lnTo>
                                  <a:pt x="889000" y="165100"/>
                                </a:lnTo>
                                <a:close/>
                              </a:path>
                              <a:path w="889000" h="177800">
                                <a:moveTo>
                                  <a:pt x="889000" y="0"/>
                                </a:moveTo>
                                <a:lnTo>
                                  <a:pt x="0" y="0"/>
                                </a:lnTo>
                                <a:lnTo>
                                  <a:pt x="0" y="12700"/>
                                </a:lnTo>
                                <a:lnTo>
                                  <a:pt x="889000" y="12700"/>
                                </a:lnTo>
                                <a:lnTo>
                                  <a:pt x="889000"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3733800" y="1968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s:wsp>
                        <wps:cNvPr id="434" name="Graphic 434"/>
                        <wps:cNvSpPr/>
                        <wps:spPr>
                          <a:xfrm>
                            <a:off x="4673600" y="0"/>
                            <a:ext cx="889000" cy="177800"/>
                          </a:xfrm>
                          <a:custGeom>
                            <a:avLst/>
                            <a:gdLst/>
                            <a:ahLst/>
                            <a:cxnLst/>
                            <a:rect l="l" t="t" r="r" b="b"/>
                            <a:pathLst>
                              <a:path w="889000" h="177800">
                                <a:moveTo>
                                  <a:pt x="889000" y="165100"/>
                                </a:moveTo>
                                <a:lnTo>
                                  <a:pt x="0" y="165100"/>
                                </a:lnTo>
                                <a:lnTo>
                                  <a:pt x="0" y="177800"/>
                                </a:lnTo>
                                <a:lnTo>
                                  <a:pt x="889000" y="177800"/>
                                </a:lnTo>
                                <a:lnTo>
                                  <a:pt x="889000" y="165100"/>
                                </a:lnTo>
                                <a:close/>
                              </a:path>
                              <a:path w="889000" h="177800">
                                <a:moveTo>
                                  <a:pt x="889000" y="0"/>
                                </a:moveTo>
                                <a:lnTo>
                                  <a:pt x="0" y="0"/>
                                </a:lnTo>
                                <a:lnTo>
                                  <a:pt x="0" y="12700"/>
                                </a:lnTo>
                                <a:lnTo>
                                  <a:pt x="889000" y="12700"/>
                                </a:lnTo>
                                <a:lnTo>
                                  <a:pt x="889000"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4673600" y="1968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s:wsp>
                        <wps:cNvPr id="436" name="Graphic 436"/>
                        <wps:cNvSpPr/>
                        <wps:spPr>
                          <a:xfrm>
                            <a:off x="5613400" y="0"/>
                            <a:ext cx="889000" cy="177800"/>
                          </a:xfrm>
                          <a:custGeom>
                            <a:avLst/>
                            <a:gdLst/>
                            <a:ahLst/>
                            <a:cxnLst/>
                            <a:rect l="l" t="t" r="r" b="b"/>
                            <a:pathLst>
                              <a:path w="889000" h="177800">
                                <a:moveTo>
                                  <a:pt x="889000" y="165100"/>
                                </a:moveTo>
                                <a:lnTo>
                                  <a:pt x="0" y="165100"/>
                                </a:lnTo>
                                <a:lnTo>
                                  <a:pt x="0" y="177800"/>
                                </a:lnTo>
                                <a:lnTo>
                                  <a:pt x="889000" y="177800"/>
                                </a:lnTo>
                                <a:lnTo>
                                  <a:pt x="889000" y="165100"/>
                                </a:lnTo>
                                <a:close/>
                              </a:path>
                              <a:path w="889000" h="177800">
                                <a:moveTo>
                                  <a:pt x="889000" y="0"/>
                                </a:moveTo>
                                <a:lnTo>
                                  <a:pt x="0" y="0"/>
                                </a:lnTo>
                                <a:lnTo>
                                  <a:pt x="0" y="12700"/>
                                </a:lnTo>
                                <a:lnTo>
                                  <a:pt x="889000" y="12700"/>
                                </a:lnTo>
                                <a:lnTo>
                                  <a:pt x="889000"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5613400" y="1968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s:wsp>
                        <wps:cNvPr id="438" name="Textbox 438"/>
                        <wps:cNvSpPr txBox="1"/>
                        <wps:spPr>
                          <a:xfrm>
                            <a:off x="0" y="12700"/>
                            <a:ext cx="6502400" cy="158750"/>
                          </a:xfrm>
                          <a:prstGeom prst="rect">
                            <a:avLst/>
                          </a:prstGeom>
                        </wps:spPr>
                        <wps:txbx>
                          <w:txbxContent>
                            <w:p>
                              <w:pPr>
                                <w:tabs>
                                  <w:tab w:pos="4449" w:val="left" w:leader="none"/>
                                  <w:tab w:pos="5272" w:val="left" w:leader="none"/>
                                  <w:tab w:pos="5929" w:val="left" w:leader="none"/>
                                  <w:tab w:pos="7002" w:val="left" w:leader="none"/>
                                  <w:tab w:pos="7409" w:val="left" w:leader="none"/>
                                  <w:tab w:pos="8232" w:val="left" w:leader="none"/>
                                  <w:tab w:pos="8889" w:val="left" w:leader="none"/>
                                  <w:tab w:pos="9962" w:val="left" w:leader="none"/>
                                </w:tabs>
                                <w:spacing w:line="222" w:lineRule="exact" w:before="0"/>
                                <w:ind w:left="50" w:right="0" w:firstLine="0"/>
                                <w:jc w:val="left"/>
                                <w:rPr>
                                  <w:sz w:val="20"/>
                                </w:rPr>
                              </w:pPr>
                              <w:r>
                                <w:rPr>
                                  <w:spacing w:val="-2"/>
                                  <w:sz w:val="20"/>
                                </w:rPr>
                                <w:t>Total</w:t>
                              </w:r>
                              <w:r>
                                <w:rPr>
                                  <w:spacing w:val="-4"/>
                                  <w:sz w:val="20"/>
                                </w:rPr>
                                <w:t> </w:t>
                              </w:r>
                              <w:r>
                                <w:rPr>
                                  <w:spacing w:val="-2"/>
                                  <w:sz w:val="20"/>
                                </w:rPr>
                                <w:t>liabilities</w:t>
                              </w:r>
                              <w:r>
                                <w:rPr>
                                  <w:sz w:val="20"/>
                                </w:rPr>
                                <w:tab/>
                              </w:r>
                              <w:r>
                                <w:rPr>
                                  <w:spacing w:val="-10"/>
                                  <w:sz w:val="20"/>
                                </w:rPr>
                                <w:t>$</w:t>
                              </w:r>
                              <w:r>
                                <w:rPr>
                                  <w:sz w:val="20"/>
                                </w:rPr>
                                <w:tab/>
                              </w:r>
                              <w:r>
                                <w:rPr>
                                  <w:spacing w:val="-2"/>
                                  <w:sz w:val="20"/>
                                </w:rPr>
                                <w:t>2,656</w:t>
                              </w:r>
                              <w:r>
                                <w:rPr>
                                  <w:sz w:val="20"/>
                                </w:rPr>
                                <w:tab/>
                              </w:r>
                              <w:r>
                                <w:rPr>
                                  <w:spacing w:val="-10"/>
                                  <w:sz w:val="20"/>
                                </w:rPr>
                                <w:t>$</w:t>
                              </w:r>
                              <w:r>
                                <w:rPr>
                                  <w:sz w:val="20"/>
                                </w:rPr>
                                <w:tab/>
                              </w:r>
                              <w:r>
                                <w:rPr>
                                  <w:spacing w:val="-10"/>
                                  <w:sz w:val="20"/>
                                </w:rPr>
                                <w:t>—</w:t>
                              </w:r>
                              <w:r>
                                <w:rPr>
                                  <w:sz w:val="20"/>
                                </w:rPr>
                                <w:tab/>
                              </w:r>
                              <w:r>
                                <w:rPr>
                                  <w:spacing w:val="-10"/>
                                  <w:sz w:val="20"/>
                                </w:rPr>
                                <w:t>$</w:t>
                              </w:r>
                              <w:r>
                                <w:rPr>
                                  <w:sz w:val="20"/>
                                </w:rPr>
                                <w:tab/>
                              </w:r>
                              <w:r>
                                <w:rPr>
                                  <w:spacing w:val="-2"/>
                                  <w:sz w:val="20"/>
                                </w:rPr>
                                <w:t>2,656</w:t>
                              </w:r>
                              <w:r>
                                <w:rPr>
                                  <w:sz w:val="20"/>
                                </w:rPr>
                                <w:tab/>
                              </w:r>
                              <w:r>
                                <w:rPr>
                                  <w:spacing w:val="-10"/>
                                  <w:sz w:val="20"/>
                                </w:rPr>
                                <w:t>$</w:t>
                              </w:r>
                              <w:r>
                                <w:rPr>
                                  <w:sz w:val="20"/>
                                </w:rPr>
                                <w:tab/>
                              </w:r>
                              <w:r>
                                <w:rPr>
                                  <w:spacing w:val="-10"/>
                                  <w:sz w:val="20"/>
                                </w:rPr>
                                <w:t>—</w:t>
                              </w:r>
                            </w:p>
                          </w:txbxContent>
                        </wps:txbx>
                        <wps:bodyPr wrap="square" lIns="0" tIns="0" rIns="0" bIns="0" rtlCol="0">
                          <a:noAutofit/>
                        </wps:bodyPr>
                      </wps:wsp>
                    </wpg:wgp>
                  </a:graphicData>
                </a:graphic>
              </wp:inline>
            </w:drawing>
          </mc:Choice>
          <mc:Fallback>
            <w:pict>
              <v:group style="width:512pt;height:16pt;mso-position-horizontal-relative:char;mso-position-vertical-relative:line" id="docshapegroup346" coordorigin="0,0" coordsize="10240,320">
                <v:rect style="position:absolute;left:0;top:10;width:10240;height:280" id="docshape347" filled="true" fillcolor="#ccedff" stroked="false">
                  <v:fill type="solid"/>
                </v:rect>
                <v:shape style="position:absolute;left:4400;top:0;width:5840;height:280" id="docshape348" coordorigin="4400,0" coordsize="5840,280" path="m5800,260l4400,260,4400,280,5800,280,5800,260xm5800,0l4400,0,4400,20,5800,20,5800,0xm7280,0l5880,0,5880,20,7280,20,7280,0xm8760,0l7360,0,7360,20,8760,20,8760,0xm10240,0l8840,0,8840,20,10240,20,10240,0xe" filled="true" fillcolor="#000000" stroked="false">
                  <v:path arrowok="t"/>
                  <v:fill type="solid"/>
                </v:shape>
                <v:line style="position:absolute" from="4400,310" to="5800,310" stroked="true" strokeweight="1pt" strokecolor="#000000">
                  <v:stroke dashstyle="solid"/>
                </v:line>
                <v:shape style="position:absolute;left:5880;top:0;width:1400;height:280" id="docshape349" coordorigin="5880,0" coordsize="1400,280" path="m7280,260l5880,260,5880,280,7280,280,7280,260xm7280,0l5880,0,5880,20,7280,20,7280,0xe" filled="true" fillcolor="#000000" stroked="false">
                  <v:path arrowok="t"/>
                  <v:fill type="solid"/>
                </v:shape>
                <v:line style="position:absolute" from="5880,310" to="7280,310" stroked="true" strokeweight="1pt" strokecolor="#000000">
                  <v:stroke dashstyle="solid"/>
                </v:line>
                <v:shape style="position:absolute;left:7360;top:0;width:1400;height:280" id="docshape350" coordorigin="7360,0" coordsize="1400,280" path="m8760,260l7360,260,7360,280,8760,280,8760,260xm8760,0l7360,0,7360,20,8760,20,8760,0xe" filled="true" fillcolor="#000000" stroked="false">
                  <v:path arrowok="t"/>
                  <v:fill type="solid"/>
                </v:shape>
                <v:line style="position:absolute" from="7360,310" to="8760,310" stroked="true" strokeweight="1pt" strokecolor="#000000">
                  <v:stroke dashstyle="solid"/>
                </v:line>
                <v:shape style="position:absolute;left:8840;top:0;width:1400;height:280" id="docshape351" coordorigin="8840,0" coordsize="1400,280" path="m10240,260l8840,260,8840,280,10240,280,10240,260xm10240,0l8840,0,8840,20,10240,20,10240,0xe" filled="true" fillcolor="#000000" stroked="false">
                  <v:path arrowok="t"/>
                  <v:fill type="solid"/>
                </v:shape>
                <v:line style="position:absolute" from="8840,310" to="10240,310" stroked="true" strokeweight="1pt" strokecolor="#000000">
                  <v:stroke dashstyle="solid"/>
                </v:line>
                <v:shape style="position:absolute;left:0;top:20;width:10240;height:250" type="#_x0000_t202" id="docshape352" filled="false" stroked="false">
                  <v:textbox inset="0,0,0,0">
                    <w:txbxContent>
                      <w:p>
                        <w:pPr>
                          <w:tabs>
                            <w:tab w:pos="4449" w:val="left" w:leader="none"/>
                            <w:tab w:pos="5272" w:val="left" w:leader="none"/>
                            <w:tab w:pos="5929" w:val="left" w:leader="none"/>
                            <w:tab w:pos="7002" w:val="left" w:leader="none"/>
                            <w:tab w:pos="7409" w:val="left" w:leader="none"/>
                            <w:tab w:pos="8232" w:val="left" w:leader="none"/>
                            <w:tab w:pos="8889" w:val="left" w:leader="none"/>
                            <w:tab w:pos="9962" w:val="left" w:leader="none"/>
                          </w:tabs>
                          <w:spacing w:line="222" w:lineRule="exact" w:before="0"/>
                          <w:ind w:left="50" w:right="0" w:firstLine="0"/>
                          <w:jc w:val="left"/>
                          <w:rPr>
                            <w:sz w:val="20"/>
                          </w:rPr>
                        </w:pPr>
                        <w:r>
                          <w:rPr>
                            <w:spacing w:val="-2"/>
                            <w:sz w:val="20"/>
                          </w:rPr>
                          <w:t>Total</w:t>
                        </w:r>
                        <w:r>
                          <w:rPr>
                            <w:spacing w:val="-4"/>
                            <w:sz w:val="20"/>
                          </w:rPr>
                          <w:t> </w:t>
                        </w:r>
                        <w:r>
                          <w:rPr>
                            <w:spacing w:val="-2"/>
                            <w:sz w:val="20"/>
                          </w:rPr>
                          <w:t>liabilities</w:t>
                        </w:r>
                        <w:r>
                          <w:rPr>
                            <w:sz w:val="20"/>
                          </w:rPr>
                          <w:tab/>
                        </w:r>
                        <w:r>
                          <w:rPr>
                            <w:spacing w:val="-10"/>
                            <w:sz w:val="20"/>
                          </w:rPr>
                          <w:t>$</w:t>
                        </w:r>
                        <w:r>
                          <w:rPr>
                            <w:sz w:val="20"/>
                          </w:rPr>
                          <w:tab/>
                        </w:r>
                        <w:r>
                          <w:rPr>
                            <w:spacing w:val="-2"/>
                            <w:sz w:val="20"/>
                          </w:rPr>
                          <w:t>2,656</w:t>
                        </w:r>
                        <w:r>
                          <w:rPr>
                            <w:sz w:val="20"/>
                          </w:rPr>
                          <w:tab/>
                        </w:r>
                        <w:r>
                          <w:rPr>
                            <w:spacing w:val="-10"/>
                            <w:sz w:val="20"/>
                          </w:rPr>
                          <w:t>$</w:t>
                        </w:r>
                        <w:r>
                          <w:rPr>
                            <w:sz w:val="20"/>
                          </w:rPr>
                          <w:tab/>
                        </w:r>
                        <w:r>
                          <w:rPr>
                            <w:spacing w:val="-10"/>
                            <w:sz w:val="20"/>
                          </w:rPr>
                          <w:t>—</w:t>
                        </w:r>
                        <w:r>
                          <w:rPr>
                            <w:sz w:val="20"/>
                          </w:rPr>
                          <w:tab/>
                        </w:r>
                        <w:r>
                          <w:rPr>
                            <w:spacing w:val="-10"/>
                            <w:sz w:val="20"/>
                          </w:rPr>
                          <w:t>$</w:t>
                        </w:r>
                        <w:r>
                          <w:rPr>
                            <w:sz w:val="20"/>
                          </w:rPr>
                          <w:tab/>
                        </w:r>
                        <w:r>
                          <w:rPr>
                            <w:spacing w:val="-2"/>
                            <w:sz w:val="20"/>
                          </w:rPr>
                          <w:t>2,656</w:t>
                        </w:r>
                        <w:r>
                          <w:rPr>
                            <w:sz w:val="20"/>
                          </w:rPr>
                          <w:tab/>
                        </w:r>
                        <w:r>
                          <w:rPr>
                            <w:spacing w:val="-10"/>
                            <w:sz w:val="20"/>
                          </w:rPr>
                          <w:t>$</w:t>
                        </w:r>
                        <w:r>
                          <w:rPr>
                            <w:sz w:val="20"/>
                          </w:rPr>
                          <w:tab/>
                        </w:r>
                        <w:r>
                          <w:rPr>
                            <w:spacing w:val="-10"/>
                            <w:sz w:val="20"/>
                          </w:rPr>
                          <w:t>—</w:t>
                        </w:r>
                      </w:p>
                    </w:txbxContent>
                  </v:textbox>
                  <w10:wrap type="none"/>
                </v:shape>
              </v:group>
            </w:pict>
          </mc:Fallback>
        </mc:AlternateContent>
      </w:r>
      <w:r>
        <w:rPr/>
      </w:r>
    </w:p>
    <w:p>
      <w:pPr>
        <w:spacing w:after="0"/>
        <w:sectPr>
          <w:type w:val="continuous"/>
          <w:pgSz w:w="12240" w:h="15840"/>
          <w:pgMar w:header="210" w:footer="610" w:top="680" w:bottom="280" w:left="780" w:right="740"/>
        </w:sectPr>
      </w:pPr>
    </w:p>
    <w:p>
      <w:pPr>
        <w:pStyle w:val="BodyText"/>
      </w:pPr>
    </w:p>
    <w:p>
      <w:pPr>
        <w:pStyle w:val="BodyText"/>
      </w:pPr>
    </w:p>
    <w:p>
      <w:pPr>
        <w:pStyle w:val="BodyText"/>
        <w:spacing w:before="54"/>
      </w:pPr>
    </w:p>
    <w:p>
      <w:pPr>
        <w:pStyle w:val="BodyText"/>
        <w:spacing w:line="208" w:lineRule="auto"/>
        <w:ind w:left="210" w:firstLine="540"/>
      </w:pPr>
      <w:r>
        <w:rPr/>
        <w:t>The fair value of our financial assets and liabilities at December</w:t>
      </w:r>
      <w:r>
        <w:rPr>
          <w:spacing w:val="-2"/>
        </w:rPr>
        <w:t> </w:t>
      </w:r>
      <w:r>
        <w:rPr/>
        <w:t>2, 2016 was determined using the following inputs (in </w:t>
      </w:r>
      <w:r>
        <w:rPr>
          <w:spacing w:val="-2"/>
        </w:rPr>
        <w:t>thousands):</w:t>
      </w:r>
    </w:p>
    <w:p>
      <w:pPr>
        <w:pStyle w:val="BodyText"/>
        <w:rPr>
          <w:sz w:val="16"/>
        </w:rPr>
      </w:pPr>
    </w:p>
    <w:p>
      <w:pPr>
        <w:pStyle w:val="BodyText"/>
        <w:spacing w:before="50"/>
        <w:rPr>
          <w:sz w:val="16"/>
        </w:rPr>
      </w:pPr>
    </w:p>
    <w:p>
      <w:pPr>
        <w:spacing w:before="0"/>
        <w:ind w:left="5824" w:right="0" w:firstLine="0"/>
        <w:jc w:val="left"/>
        <w:rPr>
          <w:b/>
          <w:sz w:val="16"/>
        </w:rPr>
      </w:pPr>
      <w:r>
        <w:rPr/>
        <mc:AlternateContent>
          <mc:Choice Requires="wps">
            <w:drawing>
              <wp:anchor distT="0" distB="0" distL="0" distR="0" allowOverlap="1" layoutInCell="1" locked="0" behindDoc="0" simplePos="0" relativeHeight="15806976">
                <wp:simplePos x="0" y="0"/>
                <wp:positionH relativeFrom="page">
                  <wp:posOffset>3429000</wp:posOffset>
                </wp:positionH>
                <wp:positionV relativeFrom="paragraph">
                  <wp:posOffset>149010</wp:posOffset>
                </wp:positionV>
                <wp:extent cx="3708400" cy="1270"/>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3708400" cy="1270"/>
                        </a:xfrm>
                        <a:custGeom>
                          <a:avLst/>
                          <a:gdLst/>
                          <a:ahLst/>
                          <a:cxnLst/>
                          <a:rect l="l" t="t" r="r" b="b"/>
                          <a:pathLst>
                            <a:path w="3708400" h="0">
                              <a:moveTo>
                                <a:pt x="0" y="0"/>
                              </a:moveTo>
                              <a:lnTo>
                                <a:pt x="889000" y="0"/>
                              </a:lnTo>
                            </a:path>
                            <a:path w="3708400" h="0">
                              <a:moveTo>
                                <a:pt x="889000" y="0"/>
                              </a:moveTo>
                              <a:lnTo>
                                <a:pt x="939800" y="0"/>
                              </a:lnTo>
                            </a:path>
                            <a:path w="3708400" h="0">
                              <a:moveTo>
                                <a:pt x="939800" y="0"/>
                              </a:moveTo>
                              <a:lnTo>
                                <a:pt x="1828800" y="0"/>
                              </a:lnTo>
                            </a:path>
                            <a:path w="3708400" h="0">
                              <a:moveTo>
                                <a:pt x="1828800" y="0"/>
                              </a:moveTo>
                              <a:lnTo>
                                <a:pt x="1879600" y="0"/>
                              </a:lnTo>
                            </a:path>
                            <a:path w="3708400" h="0">
                              <a:moveTo>
                                <a:pt x="1879600" y="0"/>
                              </a:moveTo>
                              <a:lnTo>
                                <a:pt x="2768600" y="0"/>
                              </a:lnTo>
                            </a:path>
                            <a:path w="3708400" h="0">
                              <a:moveTo>
                                <a:pt x="2768600" y="0"/>
                              </a:moveTo>
                              <a:lnTo>
                                <a:pt x="2819400" y="0"/>
                              </a:lnTo>
                            </a:path>
                            <a:path w="3708400" h="0">
                              <a:moveTo>
                                <a:pt x="2819400" y="0"/>
                              </a:moveTo>
                              <a:lnTo>
                                <a:pt x="3708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pt;margin-top:11.733106pt;width:292pt;height:.1pt;mso-position-horizontal-relative:page;mso-position-vertical-relative:paragraph;z-index:15806976" id="docshape353" coordorigin="5400,235" coordsize="5840,0" path="m5400,235l6800,235m6800,235l6880,235m6880,235l8280,235m8280,235l8360,235m8360,235l9760,235m9760,235l9840,235m9840,235l11240,235e" filled="false" stroked="true" strokeweight="1pt" strokecolor="#000000">
                <v:path arrowok="t"/>
                <v:stroke dashstyle="solid"/>
                <w10:wrap type="none"/>
              </v:shape>
            </w:pict>
          </mc:Fallback>
        </mc:AlternateContent>
      </w:r>
      <w:r>
        <w:rPr>
          <w:b/>
          <w:sz w:val="16"/>
        </w:rPr>
        <w:t>Fair</w:t>
      </w:r>
      <w:r>
        <w:rPr>
          <w:b/>
          <w:spacing w:val="-9"/>
          <w:sz w:val="16"/>
        </w:rPr>
        <w:t> </w:t>
      </w:r>
      <w:r>
        <w:rPr>
          <w:b/>
          <w:sz w:val="16"/>
        </w:rPr>
        <w:t>Value</w:t>
      </w:r>
      <w:r>
        <w:rPr>
          <w:b/>
          <w:spacing w:val="-4"/>
          <w:sz w:val="16"/>
        </w:rPr>
        <w:t> </w:t>
      </w:r>
      <w:r>
        <w:rPr>
          <w:b/>
          <w:sz w:val="16"/>
        </w:rPr>
        <w:t>Measurements</w:t>
      </w:r>
      <w:r>
        <w:rPr>
          <w:b/>
          <w:spacing w:val="-5"/>
          <w:sz w:val="16"/>
        </w:rPr>
        <w:t> </w:t>
      </w:r>
      <w:r>
        <w:rPr>
          <w:b/>
          <w:sz w:val="16"/>
        </w:rPr>
        <w:t>at</w:t>
      </w:r>
      <w:r>
        <w:rPr>
          <w:b/>
          <w:spacing w:val="-4"/>
          <w:sz w:val="16"/>
        </w:rPr>
        <w:t> </w:t>
      </w:r>
      <w:r>
        <w:rPr>
          <w:b/>
          <w:sz w:val="16"/>
        </w:rPr>
        <w:t>Reporting</w:t>
      </w:r>
      <w:r>
        <w:rPr>
          <w:b/>
          <w:spacing w:val="-4"/>
          <w:sz w:val="16"/>
        </w:rPr>
        <w:t> </w:t>
      </w:r>
      <w:r>
        <w:rPr>
          <w:b/>
          <w:sz w:val="16"/>
        </w:rPr>
        <w:t>Date</w:t>
      </w:r>
      <w:r>
        <w:rPr>
          <w:b/>
          <w:spacing w:val="-3"/>
          <w:sz w:val="16"/>
        </w:rPr>
        <w:t> </w:t>
      </w:r>
      <w:r>
        <w:rPr>
          <w:b/>
          <w:spacing w:val="-2"/>
          <w:sz w:val="16"/>
        </w:rPr>
        <w:t>Using</w:t>
      </w:r>
    </w:p>
    <w:p>
      <w:pPr>
        <w:spacing w:after="0"/>
        <w:jc w:val="left"/>
        <w:rPr>
          <w:sz w:val="16"/>
        </w:rPr>
        <w:sectPr>
          <w:pgSz w:w="12240" w:h="15840"/>
          <w:pgMar w:header="210" w:footer="610" w:top="1380" w:bottom="840" w:left="780" w:right="740"/>
        </w:sectPr>
      </w:pPr>
    </w:p>
    <w:p>
      <w:pPr>
        <w:spacing w:line="208" w:lineRule="auto" w:before="79"/>
        <w:ind w:left="6257" w:right="0" w:hanging="1"/>
        <w:jc w:val="center"/>
        <w:rPr>
          <w:b/>
          <w:sz w:val="16"/>
        </w:rPr>
      </w:pPr>
      <w:r>
        <w:rPr>
          <w:b/>
          <w:sz w:val="16"/>
        </w:rPr>
        <w:t>Quoted</w:t>
      </w:r>
      <w:r>
        <w:rPr>
          <w:b/>
          <w:spacing w:val="-3"/>
          <w:sz w:val="16"/>
        </w:rPr>
        <w:t> </w:t>
      </w:r>
      <w:r>
        <w:rPr>
          <w:b/>
          <w:sz w:val="16"/>
        </w:rPr>
        <w:t>Prices</w:t>
      </w:r>
      <w:r>
        <w:rPr>
          <w:b/>
          <w:spacing w:val="40"/>
          <w:sz w:val="16"/>
        </w:rPr>
        <w:t> </w:t>
      </w:r>
      <w:r>
        <w:rPr>
          <w:b/>
          <w:sz w:val="16"/>
        </w:rPr>
        <w:t>in</w:t>
      </w:r>
      <w:r>
        <w:rPr>
          <w:b/>
          <w:spacing w:val="-10"/>
          <w:sz w:val="16"/>
        </w:rPr>
        <w:t> </w:t>
      </w:r>
      <w:r>
        <w:rPr>
          <w:b/>
          <w:sz w:val="16"/>
        </w:rPr>
        <w:t>Active</w:t>
      </w:r>
      <w:r>
        <w:rPr>
          <w:b/>
          <w:spacing w:val="40"/>
          <w:sz w:val="16"/>
        </w:rPr>
        <w:t> </w:t>
      </w:r>
      <w:r>
        <w:rPr>
          <w:b/>
          <w:sz w:val="16"/>
        </w:rPr>
        <w:t>Markets</w:t>
      </w:r>
      <w:r>
        <w:rPr>
          <w:b/>
          <w:spacing w:val="-3"/>
          <w:sz w:val="16"/>
        </w:rPr>
        <w:t> </w:t>
      </w:r>
      <w:r>
        <w:rPr>
          <w:b/>
          <w:sz w:val="16"/>
        </w:rPr>
        <w:t>for</w:t>
      </w:r>
      <w:r>
        <w:rPr>
          <w:b/>
          <w:spacing w:val="40"/>
          <w:sz w:val="16"/>
        </w:rPr>
        <w:t> </w:t>
      </w:r>
      <w:r>
        <w:rPr>
          <w:b/>
          <w:spacing w:val="-2"/>
          <w:sz w:val="16"/>
        </w:rPr>
        <w:t>Identical</w:t>
      </w:r>
      <w:r>
        <w:rPr>
          <w:b/>
          <w:spacing w:val="-10"/>
          <w:sz w:val="16"/>
        </w:rPr>
        <w:t> </w:t>
      </w:r>
      <w:r>
        <w:rPr>
          <w:b/>
          <w:spacing w:val="-2"/>
          <w:sz w:val="16"/>
        </w:rPr>
        <w:t>Assets</w:t>
      </w:r>
    </w:p>
    <w:p>
      <w:pPr>
        <w:spacing w:line="208" w:lineRule="auto" w:before="79"/>
        <w:ind w:left="517" w:right="0" w:firstLine="1"/>
        <w:jc w:val="center"/>
        <w:rPr>
          <w:b/>
          <w:sz w:val="16"/>
        </w:rPr>
      </w:pPr>
      <w:r>
        <w:rPr/>
        <w:br w:type="column"/>
      </w:r>
      <w:r>
        <w:rPr>
          <w:b/>
          <w:spacing w:val="-2"/>
          <w:sz w:val="16"/>
        </w:rPr>
        <w:t>Significant</w:t>
      </w:r>
      <w:r>
        <w:rPr>
          <w:b/>
          <w:spacing w:val="40"/>
          <w:sz w:val="16"/>
        </w:rPr>
        <w:t> </w:t>
      </w:r>
      <w:r>
        <w:rPr>
          <w:b/>
          <w:spacing w:val="-2"/>
          <w:sz w:val="16"/>
        </w:rPr>
        <w:t>Other</w:t>
      </w:r>
      <w:r>
        <w:rPr>
          <w:b/>
          <w:spacing w:val="40"/>
          <w:sz w:val="16"/>
        </w:rPr>
        <w:t> </w:t>
      </w:r>
      <w:r>
        <w:rPr>
          <w:b/>
          <w:spacing w:val="-2"/>
          <w:sz w:val="16"/>
        </w:rPr>
        <w:t>Observable</w:t>
      </w:r>
      <w:r>
        <w:rPr>
          <w:b/>
          <w:spacing w:val="40"/>
          <w:sz w:val="16"/>
        </w:rPr>
        <w:t> </w:t>
      </w:r>
      <w:r>
        <w:rPr>
          <w:b/>
          <w:spacing w:val="-2"/>
          <w:sz w:val="16"/>
        </w:rPr>
        <w:t>Inputs</w:t>
      </w:r>
    </w:p>
    <w:p>
      <w:pPr>
        <w:spacing w:line="240" w:lineRule="auto" w:before="52"/>
        <w:rPr>
          <w:b/>
          <w:sz w:val="16"/>
        </w:rPr>
      </w:pPr>
      <w:r>
        <w:rPr/>
        <w:br w:type="column"/>
      </w:r>
      <w:r>
        <w:rPr>
          <w:b/>
          <w:sz w:val="16"/>
        </w:rPr>
      </w:r>
    </w:p>
    <w:p>
      <w:pPr>
        <w:spacing w:line="208" w:lineRule="auto" w:before="0"/>
        <w:ind w:left="577" w:right="497" w:firstLine="1"/>
        <w:jc w:val="center"/>
        <w:rPr>
          <w:b/>
          <w:sz w:val="16"/>
        </w:rPr>
      </w:pPr>
      <w:r>
        <w:rPr>
          <w:b/>
          <w:spacing w:val="-2"/>
          <w:sz w:val="16"/>
        </w:rPr>
        <w:t>Significant</w:t>
      </w:r>
      <w:r>
        <w:rPr>
          <w:b/>
          <w:spacing w:val="40"/>
          <w:sz w:val="16"/>
        </w:rPr>
        <w:t> </w:t>
      </w:r>
      <w:r>
        <w:rPr>
          <w:b/>
          <w:spacing w:val="-2"/>
          <w:sz w:val="16"/>
        </w:rPr>
        <w:t>Unobservable</w:t>
      </w:r>
      <w:r>
        <w:rPr>
          <w:b/>
          <w:spacing w:val="40"/>
          <w:sz w:val="16"/>
        </w:rPr>
        <w:t> </w:t>
      </w:r>
      <w:r>
        <w:rPr>
          <w:b/>
          <w:spacing w:val="-2"/>
          <w:sz w:val="16"/>
        </w:rPr>
        <w:t>Inputs</w:t>
      </w:r>
    </w:p>
    <w:p>
      <w:pPr>
        <w:spacing w:after="0" w:line="208" w:lineRule="auto"/>
        <w:jc w:val="center"/>
        <w:rPr>
          <w:sz w:val="16"/>
        </w:rPr>
        <w:sectPr>
          <w:type w:val="continuous"/>
          <w:pgSz w:w="12240" w:h="15840"/>
          <w:pgMar w:header="210" w:footer="610" w:top="680" w:bottom="280" w:left="780" w:right="740"/>
          <w:cols w:num="3" w:equalWidth="0">
            <w:col w:w="7321" w:space="40"/>
            <w:col w:w="1301" w:space="39"/>
            <w:col w:w="2019"/>
          </w:cols>
        </w:sectPr>
      </w:pPr>
    </w:p>
    <w:p>
      <w:pPr>
        <w:pStyle w:val="BodyText"/>
        <w:spacing w:before="63"/>
        <w:rPr>
          <w:b/>
        </w:rPr>
      </w:pPr>
    </w:p>
    <w:p>
      <w:pPr>
        <w:pStyle w:val="BodyText"/>
        <w:ind w:left="270"/>
      </w:pPr>
      <w:r>
        <w:rPr>
          <w:spacing w:val="-2"/>
        </w:rPr>
        <w:t>Assets:</w:t>
      </w:r>
    </w:p>
    <w:p>
      <w:pPr>
        <w:pStyle w:val="BodyText"/>
        <w:spacing w:before="50"/>
        <w:ind w:left="390"/>
      </w:pPr>
      <w:r>
        <w:rPr/>
        <w:t>Cash </w:t>
      </w:r>
      <w:r>
        <w:rPr>
          <w:spacing w:val="-2"/>
        </w:rPr>
        <w:t>equivalents:</w:t>
      </w:r>
    </w:p>
    <w:p>
      <w:pPr>
        <w:spacing w:line="240" w:lineRule="auto" w:before="5"/>
        <w:rPr>
          <w:sz w:val="4"/>
        </w:rPr>
      </w:pPr>
      <w:r>
        <w:rPr/>
        <w:br w:type="column"/>
      </w:r>
      <w:r>
        <w:rPr>
          <w:sz w:val="4"/>
        </w:rPr>
      </w:r>
    </w:p>
    <w:p>
      <w:pPr>
        <w:spacing w:line="20" w:lineRule="exact"/>
        <w:ind w:left="1235" w:right="0" w:firstLine="0"/>
        <w:jc w:val="left"/>
        <w:rPr>
          <w:sz w:val="2"/>
        </w:rPr>
      </w:pPr>
      <w:r>
        <w:rPr>
          <w:sz w:val="2"/>
        </w:rPr>
        <mc:AlternateContent>
          <mc:Choice Requires="wps">
            <w:drawing>
              <wp:inline distT="0" distB="0" distL="0" distR="0">
                <wp:extent cx="889000" cy="12700"/>
                <wp:effectExtent l="9525" t="0" r="6350" b="6350"/>
                <wp:docPr id="440" name="Group 440"/>
                <wp:cNvGraphicFramePr>
                  <a:graphicFrameLocks/>
                </wp:cNvGraphicFramePr>
                <a:graphic>
                  <a:graphicData uri="http://schemas.microsoft.com/office/word/2010/wordprocessingGroup">
                    <wpg:wgp>
                      <wpg:cNvPr id="440" name="Group 440"/>
                      <wpg:cNvGrpSpPr/>
                      <wpg:grpSpPr>
                        <a:xfrm>
                          <a:off x="0" y="0"/>
                          <a:ext cx="889000" cy="12700"/>
                          <a:chExt cx="889000" cy="12700"/>
                        </a:xfrm>
                      </wpg:grpSpPr>
                      <wps:wsp>
                        <wps:cNvPr id="441" name="Graphic 441"/>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54"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442" name="Group 442"/>
                <wp:cNvGraphicFramePr>
                  <a:graphicFrameLocks/>
                </wp:cNvGraphicFramePr>
                <a:graphic>
                  <a:graphicData uri="http://schemas.microsoft.com/office/word/2010/wordprocessingGroup">
                    <wpg:wgp>
                      <wpg:cNvPr id="442" name="Group 442"/>
                      <wpg:cNvGrpSpPr/>
                      <wpg:grpSpPr>
                        <a:xfrm>
                          <a:off x="0" y="0"/>
                          <a:ext cx="889000" cy="12700"/>
                          <a:chExt cx="889000" cy="12700"/>
                        </a:xfrm>
                      </wpg:grpSpPr>
                      <wps:wsp>
                        <wps:cNvPr id="443" name="Graphic 443"/>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55"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444" name="Group 444"/>
                <wp:cNvGraphicFramePr>
                  <a:graphicFrameLocks/>
                </wp:cNvGraphicFramePr>
                <a:graphic>
                  <a:graphicData uri="http://schemas.microsoft.com/office/word/2010/wordprocessingGroup">
                    <wpg:wgp>
                      <wpg:cNvPr id="444" name="Group 444"/>
                      <wpg:cNvGrpSpPr/>
                      <wpg:grpSpPr>
                        <a:xfrm>
                          <a:off x="0" y="0"/>
                          <a:ext cx="889000" cy="12700"/>
                          <a:chExt cx="889000" cy="12700"/>
                        </a:xfrm>
                      </wpg:grpSpPr>
                      <wps:wsp>
                        <wps:cNvPr id="445" name="Graphic 445"/>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56" coordorigin="0,0" coordsize="1400,20">
                <v:line style="position:absolute" from="0,10" to="1400,10" stroked="true" strokeweight="1pt" strokecolor="#000000">
                  <v:stroke dashstyle="solid"/>
                </v:line>
              </v:group>
            </w:pict>
          </mc:Fallback>
        </mc:AlternateContent>
      </w:r>
      <w:r>
        <w:rPr>
          <w:spacing w:val="70"/>
          <w:sz w:val="2"/>
        </w:rPr>
      </w:r>
    </w:p>
    <w:p>
      <w:pPr>
        <w:tabs>
          <w:tab w:pos="1624" w:val="left" w:leader="none"/>
          <w:tab w:pos="3104" w:val="left" w:leader="none"/>
          <w:tab w:pos="4584" w:val="left" w:leader="none"/>
        </w:tabs>
        <w:spacing w:before="0"/>
        <w:ind w:left="270" w:right="0" w:firstLine="0"/>
        <w:jc w:val="left"/>
        <w:rPr>
          <w:b/>
          <w:sz w:val="16"/>
        </w:rPr>
      </w:pPr>
      <w:r>
        <w:rPr>
          <w:b/>
          <w:spacing w:val="-2"/>
          <w:sz w:val="16"/>
        </w:rPr>
        <w:t>Total</w:t>
      </w:r>
      <w:r>
        <w:rPr>
          <w:b/>
          <w:sz w:val="16"/>
        </w:rPr>
        <w:tab/>
        <w:t>(Level </w:t>
      </w:r>
      <w:r>
        <w:rPr>
          <w:b/>
          <w:spacing w:val="-5"/>
          <w:sz w:val="16"/>
        </w:rPr>
        <w:t>1)</w:t>
      </w:r>
      <w:r>
        <w:rPr>
          <w:b/>
          <w:sz w:val="16"/>
        </w:rPr>
        <w:tab/>
        <w:t>(Level </w:t>
      </w:r>
      <w:r>
        <w:rPr>
          <w:b/>
          <w:spacing w:val="-5"/>
          <w:sz w:val="16"/>
        </w:rPr>
        <w:t>2)</w:t>
      </w:r>
      <w:r>
        <w:rPr>
          <w:b/>
          <w:sz w:val="16"/>
        </w:rPr>
        <w:tab/>
        <w:t>(Level </w:t>
      </w:r>
      <w:r>
        <w:rPr>
          <w:b/>
          <w:spacing w:val="-5"/>
          <w:sz w:val="16"/>
        </w:rPr>
        <w:t>3)</w:t>
      </w:r>
    </w:p>
    <w:p>
      <w:pPr>
        <w:pStyle w:val="BodyText"/>
        <w:spacing w:before="1"/>
        <w:rPr>
          <w:b/>
          <w:sz w:val="3"/>
        </w:rPr>
      </w:pPr>
    </w:p>
    <w:p>
      <w:pPr>
        <w:spacing w:line="20" w:lineRule="exact"/>
        <w:ind w:left="-245" w:right="0" w:firstLine="0"/>
        <w:jc w:val="left"/>
        <w:rPr>
          <w:sz w:val="2"/>
        </w:rPr>
      </w:pPr>
      <w:r>
        <w:rPr>
          <w:sz w:val="2"/>
        </w:rPr>
        <mc:AlternateContent>
          <mc:Choice Requires="wps">
            <w:drawing>
              <wp:inline distT="0" distB="0" distL="0" distR="0">
                <wp:extent cx="889000" cy="12700"/>
                <wp:effectExtent l="9525" t="0" r="6350" b="6350"/>
                <wp:docPr id="446" name="Group 446"/>
                <wp:cNvGraphicFramePr>
                  <a:graphicFrameLocks/>
                </wp:cNvGraphicFramePr>
                <a:graphic>
                  <a:graphicData uri="http://schemas.microsoft.com/office/word/2010/wordprocessingGroup">
                    <wpg:wgp>
                      <wpg:cNvPr id="446" name="Group 446"/>
                      <wpg:cNvGrpSpPr/>
                      <wpg:grpSpPr>
                        <a:xfrm>
                          <a:off x="0" y="0"/>
                          <a:ext cx="889000" cy="12700"/>
                          <a:chExt cx="889000" cy="12700"/>
                        </a:xfrm>
                      </wpg:grpSpPr>
                      <wps:wsp>
                        <wps:cNvPr id="447" name="Graphic 447"/>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57"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448" name="Group 448"/>
                <wp:cNvGraphicFramePr>
                  <a:graphicFrameLocks/>
                </wp:cNvGraphicFramePr>
                <a:graphic>
                  <a:graphicData uri="http://schemas.microsoft.com/office/word/2010/wordprocessingGroup">
                    <wpg:wgp>
                      <wpg:cNvPr id="448" name="Group 448"/>
                      <wpg:cNvGrpSpPr/>
                      <wpg:grpSpPr>
                        <a:xfrm>
                          <a:off x="0" y="0"/>
                          <a:ext cx="889000" cy="12700"/>
                          <a:chExt cx="889000" cy="12700"/>
                        </a:xfrm>
                      </wpg:grpSpPr>
                      <wps:wsp>
                        <wps:cNvPr id="449" name="Graphic 449"/>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58"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450" name="Group 450"/>
                <wp:cNvGraphicFramePr>
                  <a:graphicFrameLocks/>
                </wp:cNvGraphicFramePr>
                <a:graphic>
                  <a:graphicData uri="http://schemas.microsoft.com/office/word/2010/wordprocessingGroup">
                    <wpg:wgp>
                      <wpg:cNvPr id="450" name="Group 450"/>
                      <wpg:cNvGrpSpPr/>
                      <wpg:grpSpPr>
                        <a:xfrm>
                          <a:off x="0" y="0"/>
                          <a:ext cx="889000" cy="12700"/>
                          <a:chExt cx="889000" cy="12700"/>
                        </a:xfrm>
                      </wpg:grpSpPr>
                      <wps:wsp>
                        <wps:cNvPr id="451" name="Graphic 451"/>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59"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452" name="Group 452"/>
                <wp:cNvGraphicFramePr>
                  <a:graphicFrameLocks/>
                </wp:cNvGraphicFramePr>
                <a:graphic>
                  <a:graphicData uri="http://schemas.microsoft.com/office/word/2010/wordprocessingGroup">
                    <wpg:wgp>
                      <wpg:cNvPr id="452" name="Group 452"/>
                      <wpg:cNvGrpSpPr/>
                      <wpg:grpSpPr>
                        <a:xfrm>
                          <a:off x="0" y="0"/>
                          <a:ext cx="889000" cy="12700"/>
                          <a:chExt cx="889000" cy="12700"/>
                        </a:xfrm>
                      </wpg:grpSpPr>
                      <wps:wsp>
                        <wps:cNvPr id="453" name="Graphic 453"/>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60" coordorigin="0,0" coordsize="1400,20">
                <v:line style="position:absolute" from="0,10" to="1400,10" stroked="true" strokeweight="1pt" strokecolor="#000000">
                  <v:stroke dashstyle="solid"/>
                </v:line>
              </v:group>
            </w:pict>
          </mc:Fallback>
        </mc:AlternateContent>
      </w:r>
      <w:r>
        <w:rPr>
          <w:spacing w:val="70"/>
          <w:sz w:val="2"/>
        </w:rPr>
      </w:r>
    </w:p>
    <w:p>
      <w:pPr>
        <w:spacing w:after="0" w:line="20" w:lineRule="exact"/>
        <w:jc w:val="left"/>
        <w:rPr>
          <w:sz w:val="2"/>
        </w:rPr>
        <w:sectPr>
          <w:type w:val="continuous"/>
          <w:pgSz w:w="12240" w:h="15840"/>
          <w:pgMar w:header="210" w:footer="610" w:top="680" w:bottom="280" w:left="780" w:right="740"/>
          <w:cols w:num="2" w:equalWidth="0">
            <w:col w:w="1847" w:space="3018"/>
            <w:col w:w="5855"/>
          </w:cols>
        </w:sectPr>
      </w:pPr>
    </w:p>
    <w:p>
      <w:pPr>
        <w:pStyle w:val="BodyText"/>
        <w:spacing w:before="2"/>
        <w:rPr>
          <w:b/>
          <w:sz w:val="4"/>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7"/>
        <w:gridCol w:w="1819"/>
        <w:gridCol w:w="1480"/>
        <w:gridCol w:w="1480"/>
        <w:gridCol w:w="1453"/>
      </w:tblGrid>
      <w:tr>
        <w:trPr>
          <w:trHeight w:val="280" w:hRule="atLeast"/>
        </w:trPr>
        <w:tc>
          <w:tcPr>
            <w:tcW w:w="4007" w:type="dxa"/>
            <w:shd w:val="clear" w:color="auto" w:fill="CCEDFF"/>
          </w:tcPr>
          <w:p>
            <w:pPr>
              <w:pStyle w:val="TableParagraph"/>
              <w:spacing w:before="2"/>
              <w:ind w:right="440"/>
              <w:jc w:val="right"/>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819" w:type="dxa"/>
            <w:shd w:val="clear" w:color="auto" w:fill="CCEDFF"/>
          </w:tcPr>
          <w:p>
            <w:pPr>
              <w:pStyle w:val="TableParagraph"/>
              <w:tabs>
                <w:tab w:pos="822" w:val="left" w:leader="none"/>
              </w:tabs>
              <w:spacing w:before="2"/>
              <w:ind w:right="102"/>
              <w:jc w:val="right"/>
              <w:rPr>
                <w:sz w:val="20"/>
              </w:rPr>
            </w:pPr>
            <w:r>
              <w:rPr>
                <w:spacing w:val="-10"/>
                <w:sz w:val="20"/>
              </w:rPr>
              <w:t>$</w:t>
            </w:r>
            <w:r>
              <w:rPr>
                <w:sz w:val="20"/>
              </w:rPr>
              <w:tab/>
            </w:r>
            <w:r>
              <w:rPr>
                <w:spacing w:val="-2"/>
                <w:sz w:val="20"/>
              </w:rPr>
              <w:t>1,249</w:t>
            </w:r>
          </w:p>
        </w:tc>
        <w:tc>
          <w:tcPr>
            <w:tcW w:w="1480" w:type="dxa"/>
            <w:shd w:val="clear" w:color="auto" w:fill="CCEDFF"/>
          </w:tcPr>
          <w:p>
            <w:pPr>
              <w:pStyle w:val="TableParagraph"/>
              <w:tabs>
                <w:tab w:pos="1072" w:val="left" w:leader="none"/>
              </w:tabs>
              <w:spacing w:before="2"/>
              <w:ind w:right="102"/>
              <w:jc w:val="right"/>
              <w:rPr>
                <w:sz w:val="20"/>
              </w:rPr>
            </w:pPr>
            <w:r>
              <w:rPr>
                <w:spacing w:val="-10"/>
                <w:sz w:val="20"/>
              </w:rPr>
              <w:t>$</w:t>
            </w:r>
            <w:r>
              <w:rPr>
                <w:sz w:val="20"/>
              </w:rPr>
              <w:tab/>
            </w:r>
            <w:r>
              <w:rPr>
                <w:spacing w:val="-10"/>
                <w:sz w:val="20"/>
              </w:rPr>
              <w:t>—</w:t>
            </w:r>
          </w:p>
        </w:tc>
        <w:tc>
          <w:tcPr>
            <w:tcW w:w="1480" w:type="dxa"/>
            <w:shd w:val="clear" w:color="auto" w:fill="CCEDFF"/>
          </w:tcPr>
          <w:p>
            <w:pPr>
              <w:pStyle w:val="TableParagraph"/>
              <w:tabs>
                <w:tab w:pos="822" w:val="left" w:leader="none"/>
              </w:tabs>
              <w:spacing w:before="2"/>
              <w:ind w:right="102"/>
              <w:jc w:val="right"/>
              <w:rPr>
                <w:sz w:val="20"/>
              </w:rPr>
            </w:pPr>
            <w:r>
              <w:rPr>
                <w:spacing w:val="-10"/>
                <w:sz w:val="20"/>
              </w:rPr>
              <w:t>$</w:t>
            </w:r>
            <w:r>
              <w:rPr>
                <w:sz w:val="20"/>
              </w:rPr>
              <w:tab/>
            </w:r>
            <w:r>
              <w:rPr>
                <w:spacing w:val="-2"/>
                <w:sz w:val="20"/>
              </w:rPr>
              <w:t>1,249</w:t>
            </w:r>
          </w:p>
        </w:tc>
        <w:tc>
          <w:tcPr>
            <w:tcW w:w="1453" w:type="dxa"/>
            <w:shd w:val="clear" w:color="auto" w:fill="CCEDFF"/>
          </w:tcPr>
          <w:p>
            <w:pPr>
              <w:pStyle w:val="TableParagraph"/>
              <w:tabs>
                <w:tab w:pos="1072" w:val="left" w:leader="none"/>
              </w:tabs>
              <w:spacing w:before="2"/>
              <w:ind w:right="75"/>
              <w:jc w:val="right"/>
              <w:rPr>
                <w:sz w:val="20"/>
              </w:rPr>
            </w:pPr>
            <w:r>
              <w:rPr>
                <w:spacing w:val="-10"/>
                <w:sz w:val="20"/>
              </w:rPr>
              <w:t>$</w:t>
            </w:r>
            <w:r>
              <w:rPr>
                <w:sz w:val="20"/>
              </w:rPr>
              <w:tab/>
            </w:r>
            <w:r>
              <w:rPr>
                <w:spacing w:val="-10"/>
                <w:sz w:val="20"/>
              </w:rPr>
              <w:t>—</w:t>
            </w:r>
          </w:p>
        </w:tc>
      </w:tr>
      <w:tr>
        <w:trPr>
          <w:trHeight w:val="280" w:hRule="atLeast"/>
        </w:trPr>
        <w:tc>
          <w:tcPr>
            <w:tcW w:w="4007" w:type="dxa"/>
          </w:tcPr>
          <w:p>
            <w:pPr>
              <w:pStyle w:val="TableParagraph"/>
              <w:spacing w:before="2"/>
              <w:ind w:left="410"/>
              <w:rPr>
                <w:sz w:val="20"/>
              </w:rPr>
            </w:pPr>
            <w:r>
              <w:rPr>
                <w:sz w:val="20"/>
              </w:rPr>
              <w:t>Money market mutual </w:t>
            </w:r>
            <w:r>
              <w:rPr>
                <w:spacing w:val="-2"/>
                <w:sz w:val="20"/>
              </w:rPr>
              <w:t>funds</w:t>
            </w:r>
          </w:p>
        </w:tc>
        <w:tc>
          <w:tcPr>
            <w:tcW w:w="1819" w:type="dxa"/>
          </w:tcPr>
          <w:p>
            <w:pPr>
              <w:pStyle w:val="TableParagraph"/>
              <w:spacing w:before="2"/>
              <w:ind w:right="102"/>
              <w:jc w:val="right"/>
              <w:rPr>
                <w:sz w:val="20"/>
              </w:rPr>
            </w:pPr>
            <w:r>
              <w:rPr>
                <w:spacing w:val="-2"/>
                <w:sz w:val="20"/>
              </w:rPr>
              <w:t>782,210</w:t>
            </w:r>
          </w:p>
        </w:tc>
        <w:tc>
          <w:tcPr>
            <w:tcW w:w="1480" w:type="dxa"/>
          </w:tcPr>
          <w:p>
            <w:pPr>
              <w:pStyle w:val="TableParagraph"/>
              <w:spacing w:before="2"/>
              <w:ind w:right="102"/>
              <w:jc w:val="right"/>
              <w:rPr>
                <w:sz w:val="20"/>
              </w:rPr>
            </w:pPr>
            <w:r>
              <w:rPr>
                <w:spacing w:val="-2"/>
                <w:sz w:val="20"/>
              </w:rPr>
              <w:t>782,210</w:t>
            </w:r>
          </w:p>
        </w:tc>
        <w:tc>
          <w:tcPr>
            <w:tcW w:w="1480" w:type="dxa"/>
          </w:tcPr>
          <w:p>
            <w:pPr>
              <w:pStyle w:val="TableParagraph"/>
              <w:spacing w:before="2"/>
              <w:ind w:right="102"/>
              <w:jc w:val="right"/>
              <w:rPr>
                <w:sz w:val="20"/>
              </w:rPr>
            </w:pPr>
            <w:r>
              <w:rPr>
                <w:spacing w:val="-10"/>
                <w:sz w:val="20"/>
              </w:rPr>
              <w:t>—</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left="410"/>
              <w:rPr>
                <w:sz w:val="20"/>
              </w:rPr>
            </w:pPr>
            <w:r>
              <w:rPr>
                <w:sz w:val="20"/>
              </w:rPr>
              <w:t>Municipal </w:t>
            </w:r>
            <w:r>
              <w:rPr>
                <w:spacing w:val="-2"/>
                <w:sz w:val="20"/>
              </w:rPr>
              <w:t>securities</w:t>
            </w:r>
          </w:p>
        </w:tc>
        <w:tc>
          <w:tcPr>
            <w:tcW w:w="1819" w:type="dxa"/>
            <w:shd w:val="clear" w:color="auto" w:fill="CCEDFF"/>
          </w:tcPr>
          <w:p>
            <w:pPr>
              <w:pStyle w:val="TableParagraph"/>
              <w:spacing w:before="2"/>
              <w:ind w:right="102"/>
              <w:jc w:val="right"/>
              <w:rPr>
                <w:sz w:val="20"/>
              </w:rPr>
            </w:pPr>
            <w:r>
              <w:rPr>
                <w:spacing w:val="-2"/>
                <w:sz w:val="20"/>
              </w:rPr>
              <w:t>1,301</w:t>
            </w:r>
          </w:p>
        </w:tc>
        <w:tc>
          <w:tcPr>
            <w:tcW w:w="1480" w:type="dxa"/>
            <w:shd w:val="clear" w:color="auto" w:fill="CCEDFF"/>
          </w:tcPr>
          <w:p>
            <w:pPr>
              <w:pStyle w:val="TableParagraph"/>
              <w:spacing w:before="2"/>
              <w:ind w:right="102"/>
              <w:jc w:val="right"/>
              <w:rPr>
                <w:sz w:val="20"/>
              </w:rPr>
            </w:pPr>
            <w:r>
              <w:rPr>
                <w:spacing w:val="-10"/>
                <w:sz w:val="20"/>
              </w:rPr>
              <w:t>—</w:t>
            </w:r>
          </w:p>
        </w:tc>
        <w:tc>
          <w:tcPr>
            <w:tcW w:w="1480" w:type="dxa"/>
            <w:shd w:val="clear" w:color="auto" w:fill="CCEDFF"/>
          </w:tcPr>
          <w:p>
            <w:pPr>
              <w:pStyle w:val="TableParagraph"/>
              <w:spacing w:before="2"/>
              <w:ind w:right="102"/>
              <w:jc w:val="right"/>
              <w:rPr>
                <w:sz w:val="20"/>
              </w:rPr>
            </w:pPr>
            <w:r>
              <w:rPr>
                <w:spacing w:val="-2"/>
                <w:sz w:val="20"/>
              </w:rPr>
              <w:t>1,301</w:t>
            </w:r>
          </w:p>
        </w:tc>
        <w:tc>
          <w:tcPr>
            <w:tcW w:w="1453" w:type="dxa"/>
            <w:shd w:val="clear" w:color="auto" w:fill="CCEDFF"/>
          </w:tcPr>
          <w:p>
            <w:pPr>
              <w:pStyle w:val="TableParagraph"/>
              <w:spacing w:before="2"/>
              <w:ind w:right="75"/>
              <w:jc w:val="right"/>
              <w:rPr>
                <w:sz w:val="20"/>
              </w:rPr>
            </w:pPr>
            <w:r>
              <w:rPr>
                <w:spacing w:val="-10"/>
                <w:sz w:val="20"/>
              </w:rPr>
              <w:t>—</w:t>
            </w:r>
          </w:p>
        </w:tc>
      </w:tr>
      <w:tr>
        <w:trPr>
          <w:trHeight w:val="280" w:hRule="atLeast"/>
        </w:trPr>
        <w:tc>
          <w:tcPr>
            <w:tcW w:w="4007" w:type="dxa"/>
          </w:tcPr>
          <w:p>
            <w:pPr>
              <w:pStyle w:val="TableParagraph"/>
              <w:spacing w:before="2"/>
              <w:ind w:left="410"/>
              <w:rPr>
                <w:sz w:val="20"/>
              </w:rPr>
            </w:pPr>
            <w:r>
              <w:rPr>
                <w:sz w:val="20"/>
              </w:rPr>
              <w:t>Time</w:t>
            </w:r>
            <w:r>
              <w:rPr>
                <w:spacing w:val="-4"/>
                <w:sz w:val="20"/>
              </w:rPr>
              <w:t> </w:t>
            </w:r>
            <w:r>
              <w:rPr>
                <w:spacing w:val="-2"/>
                <w:sz w:val="20"/>
              </w:rPr>
              <w:t>deposits</w:t>
            </w:r>
          </w:p>
        </w:tc>
        <w:tc>
          <w:tcPr>
            <w:tcW w:w="1819" w:type="dxa"/>
          </w:tcPr>
          <w:p>
            <w:pPr>
              <w:pStyle w:val="TableParagraph"/>
              <w:spacing w:before="2"/>
              <w:ind w:right="102"/>
              <w:jc w:val="right"/>
              <w:rPr>
                <w:sz w:val="20"/>
              </w:rPr>
            </w:pPr>
            <w:r>
              <w:rPr>
                <w:spacing w:val="-2"/>
                <w:sz w:val="20"/>
              </w:rPr>
              <w:t>17,920</w:t>
            </w:r>
          </w:p>
        </w:tc>
        <w:tc>
          <w:tcPr>
            <w:tcW w:w="1480" w:type="dxa"/>
          </w:tcPr>
          <w:p>
            <w:pPr>
              <w:pStyle w:val="TableParagraph"/>
              <w:spacing w:before="2"/>
              <w:ind w:right="102"/>
              <w:jc w:val="right"/>
              <w:rPr>
                <w:sz w:val="20"/>
              </w:rPr>
            </w:pPr>
            <w:r>
              <w:rPr>
                <w:spacing w:val="-2"/>
                <w:sz w:val="20"/>
              </w:rPr>
              <w:t>17,920</w:t>
            </w:r>
          </w:p>
        </w:tc>
        <w:tc>
          <w:tcPr>
            <w:tcW w:w="1480" w:type="dxa"/>
          </w:tcPr>
          <w:p>
            <w:pPr>
              <w:pStyle w:val="TableParagraph"/>
              <w:spacing w:before="2"/>
              <w:ind w:right="102"/>
              <w:jc w:val="right"/>
              <w:rPr>
                <w:sz w:val="20"/>
              </w:rPr>
            </w:pPr>
            <w:r>
              <w:rPr>
                <w:spacing w:val="-10"/>
                <w:sz w:val="20"/>
              </w:rPr>
              <w:t>—</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left="170"/>
              <w:rPr>
                <w:sz w:val="20"/>
              </w:rPr>
            </w:pPr>
            <w:r>
              <w:rPr>
                <w:sz w:val="20"/>
              </w:rPr>
              <w:t>Short-term </w:t>
            </w:r>
            <w:r>
              <w:rPr>
                <w:spacing w:val="-2"/>
                <w:sz w:val="20"/>
              </w:rPr>
              <w:t>investments:</w:t>
            </w:r>
          </w:p>
        </w:tc>
        <w:tc>
          <w:tcPr>
            <w:tcW w:w="1819"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53" w:type="dxa"/>
            <w:shd w:val="clear" w:color="auto" w:fill="CCEDFF"/>
          </w:tcPr>
          <w:p>
            <w:pPr>
              <w:pStyle w:val="TableParagraph"/>
              <w:rPr>
                <w:sz w:val="18"/>
              </w:rPr>
            </w:pPr>
          </w:p>
        </w:tc>
      </w:tr>
      <w:tr>
        <w:trPr>
          <w:trHeight w:val="280" w:hRule="atLeast"/>
        </w:trPr>
        <w:tc>
          <w:tcPr>
            <w:tcW w:w="4007" w:type="dxa"/>
          </w:tcPr>
          <w:p>
            <w:pPr>
              <w:pStyle w:val="TableParagraph"/>
              <w:spacing w:before="2"/>
              <w:ind w:left="410"/>
              <w:rPr>
                <w:sz w:val="20"/>
              </w:rPr>
            </w:pPr>
            <w:r>
              <w:rPr>
                <w:sz w:val="20"/>
              </w:rPr>
              <w:t>Asset-backed </w:t>
            </w:r>
            <w:r>
              <w:rPr>
                <w:spacing w:val="-2"/>
                <w:sz w:val="20"/>
              </w:rPr>
              <w:t>securities</w:t>
            </w:r>
          </w:p>
        </w:tc>
        <w:tc>
          <w:tcPr>
            <w:tcW w:w="1819" w:type="dxa"/>
          </w:tcPr>
          <w:p>
            <w:pPr>
              <w:pStyle w:val="TableParagraph"/>
              <w:spacing w:before="2"/>
              <w:ind w:right="102"/>
              <w:jc w:val="right"/>
              <w:rPr>
                <w:sz w:val="20"/>
              </w:rPr>
            </w:pPr>
            <w:r>
              <w:rPr>
                <w:spacing w:val="-2"/>
                <w:sz w:val="20"/>
              </w:rPr>
              <w:t>110,914</w:t>
            </w:r>
          </w:p>
        </w:tc>
        <w:tc>
          <w:tcPr>
            <w:tcW w:w="1480" w:type="dxa"/>
          </w:tcPr>
          <w:p>
            <w:pPr>
              <w:pStyle w:val="TableParagraph"/>
              <w:spacing w:before="2"/>
              <w:ind w:right="102"/>
              <w:jc w:val="right"/>
              <w:rPr>
                <w:sz w:val="20"/>
              </w:rPr>
            </w:pPr>
            <w:r>
              <w:rPr>
                <w:spacing w:val="-10"/>
                <w:sz w:val="20"/>
              </w:rPr>
              <w:t>—</w:t>
            </w:r>
          </w:p>
        </w:tc>
        <w:tc>
          <w:tcPr>
            <w:tcW w:w="1480" w:type="dxa"/>
          </w:tcPr>
          <w:p>
            <w:pPr>
              <w:pStyle w:val="TableParagraph"/>
              <w:spacing w:before="2"/>
              <w:ind w:right="102"/>
              <w:jc w:val="right"/>
              <w:rPr>
                <w:sz w:val="20"/>
              </w:rPr>
            </w:pPr>
            <w:r>
              <w:rPr>
                <w:spacing w:val="-2"/>
                <w:sz w:val="20"/>
              </w:rPr>
              <w:t>110,914</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right="440"/>
              <w:jc w:val="right"/>
              <w:rPr>
                <w:sz w:val="20"/>
              </w:rPr>
            </w:pPr>
            <w:r>
              <w:rPr>
                <w:sz w:val="20"/>
              </w:rPr>
              <w:t>Corporate</w:t>
            </w:r>
            <w:r>
              <w:rPr>
                <w:spacing w:val="-1"/>
                <w:sz w:val="20"/>
              </w:rPr>
              <w:t> </w:t>
            </w:r>
            <w:r>
              <w:rPr>
                <w:sz w:val="20"/>
              </w:rPr>
              <w:t>bonds</w:t>
            </w:r>
            <w:r>
              <w:rPr>
                <w:spacing w:val="-2"/>
                <w:sz w:val="20"/>
              </w:rPr>
              <w:t> </w:t>
            </w:r>
            <w:r>
              <w:rPr>
                <w:sz w:val="20"/>
              </w:rPr>
              <w:t>and</w:t>
            </w:r>
            <w:r>
              <w:rPr>
                <w:spacing w:val="-1"/>
                <w:sz w:val="20"/>
              </w:rPr>
              <w:t> </w:t>
            </w:r>
            <w:r>
              <w:rPr>
                <w:sz w:val="20"/>
              </w:rPr>
              <w:t>commercial</w:t>
            </w:r>
            <w:r>
              <w:rPr>
                <w:spacing w:val="-1"/>
                <w:sz w:val="20"/>
              </w:rPr>
              <w:t> </w:t>
            </w:r>
            <w:r>
              <w:rPr>
                <w:spacing w:val="-2"/>
                <w:sz w:val="20"/>
              </w:rPr>
              <w:t>paper</w:t>
            </w:r>
          </w:p>
        </w:tc>
        <w:tc>
          <w:tcPr>
            <w:tcW w:w="1819" w:type="dxa"/>
            <w:shd w:val="clear" w:color="auto" w:fill="CCEDFF"/>
          </w:tcPr>
          <w:p>
            <w:pPr>
              <w:pStyle w:val="TableParagraph"/>
              <w:spacing w:before="2"/>
              <w:ind w:right="102"/>
              <w:jc w:val="right"/>
              <w:rPr>
                <w:sz w:val="20"/>
              </w:rPr>
            </w:pPr>
            <w:r>
              <w:rPr>
                <w:spacing w:val="-2"/>
                <w:sz w:val="20"/>
              </w:rPr>
              <w:t>2,458,350</w:t>
            </w:r>
          </w:p>
        </w:tc>
        <w:tc>
          <w:tcPr>
            <w:tcW w:w="1480" w:type="dxa"/>
            <w:shd w:val="clear" w:color="auto" w:fill="CCEDFF"/>
          </w:tcPr>
          <w:p>
            <w:pPr>
              <w:pStyle w:val="TableParagraph"/>
              <w:spacing w:before="2"/>
              <w:ind w:right="102"/>
              <w:jc w:val="right"/>
              <w:rPr>
                <w:sz w:val="20"/>
              </w:rPr>
            </w:pPr>
            <w:r>
              <w:rPr>
                <w:spacing w:val="-10"/>
                <w:sz w:val="20"/>
              </w:rPr>
              <w:t>—</w:t>
            </w:r>
          </w:p>
        </w:tc>
        <w:tc>
          <w:tcPr>
            <w:tcW w:w="1480" w:type="dxa"/>
            <w:shd w:val="clear" w:color="auto" w:fill="CCEDFF"/>
          </w:tcPr>
          <w:p>
            <w:pPr>
              <w:pStyle w:val="TableParagraph"/>
              <w:spacing w:before="2"/>
              <w:ind w:right="102"/>
              <w:jc w:val="right"/>
              <w:rPr>
                <w:sz w:val="20"/>
              </w:rPr>
            </w:pPr>
            <w:r>
              <w:rPr>
                <w:spacing w:val="-2"/>
                <w:sz w:val="20"/>
              </w:rPr>
              <w:t>2,458,350</w:t>
            </w:r>
          </w:p>
        </w:tc>
        <w:tc>
          <w:tcPr>
            <w:tcW w:w="1453" w:type="dxa"/>
            <w:shd w:val="clear" w:color="auto" w:fill="CCEDFF"/>
          </w:tcPr>
          <w:p>
            <w:pPr>
              <w:pStyle w:val="TableParagraph"/>
              <w:spacing w:before="2"/>
              <w:ind w:right="75"/>
              <w:jc w:val="right"/>
              <w:rPr>
                <w:sz w:val="20"/>
              </w:rPr>
            </w:pPr>
            <w:r>
              <w:rPr>
                <w:spacing w:val="-10"/>
                <w:sz w:val="20"/>
              </w:rPr>
              <w:t>—</w:t>
            </w:r>
          </w:p>
        </w:tc>
      </w:tr>
      <w:tr>
        <w:trPr>
          <w:trHeight w:val="280" w:hRule="atLeast"/>
        </w:trPr>
        <w:tc>
          <w:tcPr>
            <w:tcW w:w="4007" w:type="dxa"/>
          </w:tcPr>
          <w:p>
            <w:pPr>
              <w:pStyle w:val="TableParagraph"/>
              <w:spacing w:before="2"/>
              <w:ind w:left="410"/>
              <w:rPr>
                <w:sz w:val="20"/>
              </w:rPr>
            </w:pPr>
            <w:r>
              <w:rPr>
                <w:sz w:val="20"/>
              </w:rPr>
              <w:t>Municipal </w:t>
            </w:r>
            <w:r>
              <w:rPr>
                <w:spacing w:val="-2"/>
                <w:sz w:val="20"/>
              </w:rPr>
              <w:t>securities</w:t>
            </w:r>
          </w:p>
        </w:tc>
        <w:tc>
          <w:tcPr>
            <w:tcW w:w="1819" w:type="dxa"/>
          </w:tcPr>
          <w:p>
            <w:pPr>
              <w:pStyle w:val="TableParagraph"/>
              <w:spacing w:before="2"/>
              <w:ind w:right="102"/>
              <w:jc w:val="right"/>
              <w:rPr>
                <w:sz w:val="20"/>
              </w:rPr>
            </w:pPr>
            <w:r>
              <w:rPr>
                <w:spacing w:val="-2"/>
                <w:sz w:val="20"/>
              </w:rPr>
              <w:t>134,222</w:t>
            </w:r>
          </w:p>
        </w:tc>
        <w:tc>
          <w:tcPr>
            <w:tcW w:w="1480" w:type="dxa"/>
          </w:tcPr>
          <w:p>
            <w:pPr>
              <w:pStyle w:val="TableParagraph"/>
              <w:spacing w:before="2"/>
              <w:ind w:right="102"/>
              <w:jc w:val="right"/>
              <w:rPr>
                <w:sz w:val="20"/>
              </w:rPr>
            </w:pPr>
            <w:r>
              <w:rPr>
                <w:spacing w:val="-10"/>
                <w:sz w:val="20"/>
              </w:rPr>
              <w:t>—</w:t>
            </w:r>
          </w:p>
        </w:tc>
        <w:tc>
          <w:tcPr>
            <w:tcW w:w="1480" w:type="dxa"/>
          </w:tcPr>
          <w:p>
            <w:pPr>
              <w:pStyle w:val="TableParagraph"/>
              <w:spacing w:before="2"/>
              <w:ind w:right="102"/>
              <w:jc w:val="right"/>
              <w:rPr>
                <w:sz w:val="20"/>
              </w:rPr>
            </w:pPr>
            <w:r>
              <w:rPr>
                <w:spacing w:val="-2"/>
                <w:sz w:val="20"/>
              </w:rPr>
              <w:t>134,222</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left="410"/>
              <w:rPr>
                <w:sz w:val="20"/>
              </w:rPr>
            </w:pPr>
            <w:r>
              <w:rPr>
                <w:sz w:val="20"/>
              </w:rPr>
              <w:t>U.S. agency </w:t>
            </w:r>
            <w:r>
              <w:rPr>
                <w:spacing w:val="-2"/>
                <w:sz w:val="20"/>
              </w:rPr>
              <w:t>securities</w:t>
            </w:r>
          </w:p>
        </w:tc>
        <w:tc>
          <w:tcPr>
            <w:tcW w:w="1819" w:type="dxa"/>
            <w:shd w:val="clear" w:color="auto" w:fill="CCEDFF"/>
          </w:tcPr>
          <w:p>
            <w:pPr>
              <w:pStyle w:val="TableParagraph"/>
              <w:spacing w:before="2"/>
              <w:ind w:right="102"/>
              <w:jc w:val="right"/>
              <w:rPr>
                <w:sz w:val="20"/>
              </w:rPr>
            </w:pPr>
            <w:r>
              <w:rPr>
                <w:spacing w:val="-2"/>
                <w:sz w:val="20"/>
              </w:rPr>
              <w:t>39,580</w:t>
            </w:r>
          </w:p>
        </w:tc>
        <w:tc>
          <w:tcPr>
            <w:tcW w:w="1480" w:type="dxa"/>
            <w:shd w:val="clear" w:color="auto" w:fill="CCEDFF"/>
          </w:tcPr>
          <w:p>
            <w:pPr>
              <w:pStyle w:val="TableParagraph"/>
              <w:spacing w:before="2"/>
              <w:ind w:right="102"/>
              <w:jc w:val="right"/>
              <w:rPr>
                <w:sz w:val="20"/>
              </w:rPr>
            </w:pPr>
            <w:r>
              <w:rPr>
                <w:spacing w:val="-10"/>
                <w:sz w:val="20"/>
              </w:rPr>
              <w:t>—</w:t>
            </w:r>
          </w:p>
        </w:tc>
        <w:tc>
          <w:tcPr>
            <w:tcW w:w="1480" w:type="dxa"/>
            <w:shd w:val="clear" w:color="auto" w:fill="CCEDFF"/>
          </w:tcPr>
          <w:p>
            <w:pPr>
              <w:pStyle w:val="TableParagraph"/>
              <w:spacing w:before="2"/>
              <w:ind w:right="102"/>
              <w:jc w:val="right"/>
              <w:rPr>
                <w:sz w:val="20"/>
              </w:rPr>
            </w:pPr>
            <w:r>
              <w:rPr>
                <w:spacing w:val="-2"/>
                <w:sz w:val="20"/>
              </w:rPr>
              <w:t>39,580</w:t>
            </w:r>
          </w:p>
        </w:tc>
        <w:tc>
          <w:tcPr>
            <w:tcW w:w="1453" w:type="dxa"/>
            <w:shd w:val="clear" w:color="auto" w:fill="CCEDFF"/>
          </w:tcPr>
          <w:p>
            <w:pPr>
              <w:pStyle w:val="TableParagraph"/>
              <w:spacing w:before="2"/>
              <w:ind w:right="75"/>
              <w:jc w:val="right"/>
              <w:rPr>
                <w:sz w:val="20"/>
              </w:rPr>
            </w:pPr>
            <w:r>
              <w:rPr>
                <w:spacing w:val="-10"/>
                <w:sz w:val="20"/>
              </w:rPr>
              <w:t>—</w:t>
            </w:r>
          </w:p>
        </w:tc>
      </w:tr>
      <w:tr>
        <w:trPr>
          <w:trHeight w:val="280" w:hRule="atLeast"/>
        </w:trPr>
        <w:tc>
          <w:tcPr>
            <w:tcW w:w="4007" w:type="dxa"/>
          </w:tcPr>
          <w:p>
            <w:pPr>
              <w:pStyle w:val="TableParagraph"/>
              <w:spacing w:before="2"/>
              <w:ind w:left="410"/>
              <w:rPr>
                <w:sz w:val="20"/>
              </w:rPr>
            </w:pPr>
            <w:r>
              <w:rPr>
                <w:sz w:val="20"/>
              </w:rPr>
              <w:t>U.S.</w:t>
            </w:r>
            <w:r>
              <w:rPr>
                <w:spacing w:val="-5"/>
                <w:sz w:val="20"/>
              </w:rPr>
              <w:t> </w:t>
            </w:r>
            <w:r>
              <w:rPr>
                <w:sz w:val="20"/>
              </w:rPr>
              <w:t>Treasury</w:t>
            </w:r>
            <w:r>
              <w:rPr>
                <w:spacing w:val="-3"/>
                <w:sz w:val="20"/>
              </w:rPr>
              <w:t> </w:t>
            </w:r>
            <w:r>
              <w:rPr>
                <w:spacing w:val="-2"/>
                <w:sz w:val="20"/>
              </w:rPr>
              <w:t>securities</w:t>
            </w:r>
          </w:p>
        </w:tc>
        <w:tc>
          <w:tcPr>
            <w:tcW w:w="1819" w:type="dxa"/>
          </w:tcPr>
          <w:p>
            <w:pPr>
              <w:pStyle w:val="TableParagraph"/>
              <w:spacing w:before="2"/>
              <w:ind w:right="102"/>
              <w:jc w:val="right"/>
              <w:rPr>
                <w:sz w:val="20"/>
              </w:rPr>
            </w:pPr>
            <w:r>
              <w:rPr>
                <w:spacing w:val="-2"/>
                <w:sz w:val="20"/>
              </w:rPr>
              <w:t>1,006,919</w:t>
            </w:r>
          </w:p>
        </w:tc>
        <w:tc>
          <w:tcPr>
            <w:tcW w:w="1480" w:type="dxa"/>
          </w:tcPr>
          <w:p>
            <w:pPr>
              <w:pStyle w:val="TableParagraph"/>
              <w:spacing w:before="2"/>
              <w:ind w:right="102"/>
              <w:jc w:val="right"/>
              <w:rPr>
                <w:sz w:val="20"/>
              </w:rPr>
            </w:pPr>
            <w:r>
              <w:rPr>
                <w:spacing w:val="-10"/>
                <w:sz w:val="20"/>
              </w:rPr>
              <w:t>—</w:t>
            </w:r>
          </w:p>
        </w:tc>
        <w:tc>
          <w:tcPr>
            <w:tcW w:w="1480" w:type="dxa"/>
          </w:tcPr>
          <w:p>
            <w:pPr>
              <w:pStyle w:val="TableParagraph"/>
              <w:spacing w:before="2"/>
              <w:ind w:right="102"/>
              <w:jc w:val="right"/>
              <w:rPr>
                <w:sz w:val="20"/>
              </w:rPr>
            </w:pPr>
            <w:r>
              <w:rPr>
                <w:spacing w:val="-2"/>
                <w:sz w:val="20"/>
              </w:rPr>
              <w:t>1,006,919</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left="170"/>
              <w:rPr>
                <w:sz w:val="20"/>
              </w:rPr>
            </w:pPr>
            <w:r>
              <w:rPr>
                <w:sz w:val="20"/>
              </w:rPr>
              <w:t>Prepaid</w:t>
            </w:r>
            <w:r>
              <w:rPr>
                <w:spacing w:val="-2"/>
                <w:sz w:val="20"/>
              </w:rPr>
              <w:t> </w:t>
            </w:r>
            <w:r>
              <w:rPr>
                <w:sz w:val="20"/>
              </w:rPr>
              <w:t>expenses</w:t>
            </w:r>
            <w:r>
              <w:rPr>
                <w:spacing w:val="-2"/>
                <w:sz w:val="20"/>
              </w:rPr>
              <w:t> </w:t>
            </w:r>
            <w:r>
              <w:rPr>
                <w:sz w:val="20"/>
              </w:rPr>
              <w:t>and</w:t>
            </w:r>
            <w:r>
              <w:rPr>
                <w:spacing w:val="-2"/>
                <w:sz w:val="20"/>
              </w:rPr>
              <w:t> </w:t>
            </w:r>
            <w:r>
              <w:rPr>
                <w:sz w:val="20"/>
              </w:rPr>
              <w:t>other</w:t>
            </w:r>
            <w:r>
              <w:rPr>
                <w:spacing w:val="-1"/>
                <w:sz w:val="20"/>
              </w:rPr>
              <w:t> </w:t>
            </w:r>
            <w:r>
              <w:rPr>
                <w:sz w:val="20"/>
              </w:rPr>
              <w:t>current</w:t>
            </w:r>
            <w:r>
              <w:rPr>
                <w:spacing w:val="-1"/>
                <w:sz w:val="20"/>
              </w:rPr>
              <w:t> </w:t>
            </w:r>
            <w:r>
              <w:rPr>
                <w:spacing w:val="-2"/>
                <w:sz w:val="20"/>
              </w:rPr>
              <w:t>assets:</w:t>
            </w:r>
          </w:p>
        </w:tc>
        <w:tc>
          <w:tcPr>
            <w:tcW w:w="1819"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53" w:type="dxa"/>
            <w:shd w:val="clear" w:color="auto" w:fill="CCEDFF"/>
          </w:tcPr>
          <w:p>
            <w:pPr>
              <w:pStyle w:val="TableParagraph"/>
              <w:rPr>
                <w:sz w:val="18"/>
              </w:rPr>
            </w:pPr>
          </w:p>
        </w:tc>
      </w:tr>
      <w:tr>
        <w:trPr>
          <w:trHeight w:val="280" w:hRule="atLeast"/>
        </w:trPr>
        <w:tc>
          <w:tcPr>
            <w:tcW w:w="4007" w:type="dxa"/>
          </w:tcPr>
          <w:p>
            <w:pPr>
              <w:pStyle w:val="TableParagraph"/>
              <w:spacing w:before="2"/>
              <w:ind w:left="410"/>
              <w:rPr>
                <w:sz w:val="20"/>
              </w:rPr>
            </w:pPr>
            <w:r>
              <w:rPr>
                <w:sz w:val="20"/>
              </w:rPr>
              <w:t>Foreign currency </w:t>
            </w:r>
            <w:r>
              <w:rPr>
                <w:spacing w:val="-2"/>
                <w:sz w:val="20"/>
              </w:rPr>
              <w:t>derivatives</w:t>
            </w:r>
          </w:p>
        </w:tc>
        <w:tc>
          <w:tcPr>
            <w:tcW w:w="1819" w:type="dxa"/>
          </w:tcPr>
          <w:p>
            <w:pPr>
              <w:pStyle w:val="TableParagraph"/>
              <w:spacing w:before="2"/>
              <w:ind w:right="102"/>
              <w:jc w:val="right"/>
              <w:rPr>
                <w:sz w:val="20"/>
              </w:rPr>
            </w:pPr>
            <w:r>
              <w:rPr>
                <w:spacing w:val="-2"/>
                <w:sz w:val="20"/>
              </w:rPr>
              <w:t>38,112</w:t>
            </w:r>
          </w:p>
        </w:tc>
        <w:tc>
          <w:tcPr>
            <w:tcW w:w="1480" w:type="dxa"/>
          </w:tcPr>
          <w:p>
            <w:pPr>
              <w:pStyle w:val="TableParagraph"/>
              <w:spacing w:before="2"/>
              <w:ind w:right="102"/>
              <w:jc w:val="right"/>
              <w:rPr>
                <w:sz w:val="20"/>
              </w:rPr>
            </w:pPr>
            <w:r>
              <w:rPr>
                <w:spacing w:val="-10"/>
                <w:sz w:val="20"/>
              </w:rPr>
              <w:t>—</w:t>
            </w:r>
          </w:p>
        </w:tc>
        <w:tc>
          <w:tcPr>
            <w:tcW w:w="1480" w:type="dxa"/>
          </w:tcPr>
          <w:p>
            <w:pPr>
              <w:pStyle w:val="TableParagraph"/>
              <w:spacing w:before="2"/>
              <w:ind w:right="102"/>
              <w:jc w:val="right"/>
              <w:rPr>
                <w:sz w:val="20"/>
              </w:rPr>
            </w:pPr>
            <w:r>
              <w:rPr>
                <w:spacing w:val="-2"/>
                <w:sz w:val="20"/>
              </w:rPr>
              <w:t>38,112</w:t>
            </w:r>
          </w:p>
        </w:tc>
        <w:tc>
          <w:tcPr>
            <w:tcW w:w="1453" w:type="dxa"/>
          </w:tcPr>
          <w:p>
            <w:pPr>
              <w:pStyle w:val="TableParagraph"/>
              <w:spacing w:before="2"/>
              <w:ind w:right="75"/>
              <w:jc w:val="right"/>
              <w:rPr>
                <w:sz w:val="20"/>
              </w:rPr>
            </w:pPr>
            <w:r>
              <w:rPr>
                <w:spacing w:val="-10"/>
                <w:sz w:val="20"/>
              </w:rPr>
              <w:t>—</w:t>
            </w:r>
          </w:p>
        </w:tc>
      </w:tr>
      <w:tr>
        <w:trPr>
          <w:trHeight w:val="280" w:hRule="atLeast"/>
        </w:trPr>
        <w:tc>
          <w:tcPr>
            <w:tcW w:w="4007" w:type="dxa"/>
            <w:shd w:val="clear" w:color="auto" w:fill="CCEDFF"/>
          </w:tcPr>
          <w:p>
            <w:pPr>
              <w:pStyle w:val="TableParagraph"/>
              <w:spacing w:before="2"/>
              <w:ind w:left="170"/>
              <w:rPr>
                <w:sz w:val="20"/>
              </w:rPr>
            </w:pPr>
            <w:r>
              <w:rPr>
                <w:sz w:val="20"/>
              </w:rPr>
              <w:t>Other </w:t>
            </w:r>
            <w:r>
              <w:rPr>
                <w:spacing w:val="-2"/>
                <w:sz w:val="20"/>
              </w:rPr>
              <w:t>assets:</w:t>
            </w:r>
          </w:p>
        </w:tc>
        <w:tc>
          <w:tcPr>
            <w:tcW w:w="1819"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53" w:type="dxa"/>
            <w:shd w:val="clear" w:color="auto" w:fill="CCEDFF"/>
          </w:tcPr>
          <w:p>
            <w:pPr>
              <w:pStyle w:val="TableParagraph"/>
              <w:rPr>
                <w:sz w:val="18"/>
              </w:rPr>
            </w:pPr>
          </w:p>
        </w:tc>
      </w:tr>
      <w:tr>
        <w:trPr>
          <w:trHeight w:val="280" w:hRule="atLeast"/>
        </w:trPr>
        <w:tc>
          <w:tcPr>
            <w:tcW w:w="4007" w:type="dxa"/>
          </w:tcPr>
          <w:p>
            <w:pPr>
              <w:pStyle w:val="TableParagraph"/>
              <w:spacing w:before="2"/>
              <w:ind w:left="410"/>
              <w:rPr>
                <w:sz w:val="20"/>
              </w:rPr>
            </w:pPr>
            <w:r>
              <w:rPr>
                <w:sz w:val="20"/>
              </w:rPr>
              <w:t>Deferred compensation plan </w:t>
            </w:r>
            <w:r>
              <w:rPr>
                <w:spacing w:val="-2"/>
                <w:sz w:val="20"/>
              </w:rPr>
              <w:t>assets</w:t>
            </w:r>
          </w:p>
        </w:tc>
        <w:tc>
          <w:tcPr>
            <w:tcW w:w="1819" w:type="dxa"/>
          </w:tcPr>
          <w:p>
            <w:pPr>
              <w:pStyle w:val="TableParagraph"/>
              <w:spacing w:before="2"/>
              <w:ind w:right="102"/>
              <w:jc w:val="right"/>
              <w:rPr>
                <w:sz w:val="20"/>
              </w:rPr>
            </w:pPr>
            <w:r>
              <w:rPr>
                <w:spacing w:val="-2"/>
                <w:sz w:val="20"/>
              </w:rPr>
              <w:t>42,180</w:t>
            </w:r>
          </w:p>
        </w:tc>
        <w:tc>
          <w:tcPr>
            <w:tcW w:w="1480" w:type="dxa"/>
          </w:tcPr>
          <w:p>
            <w:pPr>
              <w:pStyle w:val="TableParagraph"/>
              <w:spacing w:before="2"/>
              <w:ind w:right="102"/>
              <w:jc w:val="right"/>
              <w:rPr>
                <w:sz w:val="20"/>
              </w:rPr>
            </w:pPr>
            <w:r>
              <w:rPr>
                <w:spacing w:val="-2"/>
                <w:sz w:val="20"/>
              </w:rPr>
              <w:t>1,831</w:t>
            </w:r>
          </w:p>
        </w:tc>
        <w:tc>
          <w:tcPr>
            <w:tcW w:w="1480" w:type="dxa"/>
          </w:tcPr>
          <w:p>
            <w:pPr>
              <w:pStyle w:val="TableParagraph"/>
              <w:spacing w:before="2"/>
              <w:ind w:right="102"/>
              <w:jc w:val="right"/>
              <w:rPr>
                <w:sz w:val="20"/>
              </w:rPr>
            </w:pPr>
            <w:r>
              <w:rPr>
                <w:spacing w:val="-2"/>
                <w:sz w:val="20"/>
              </w:rPr>
              <w:t>40,349</w:t>
            </w:r>
          </w:p>
        </w:tc>
        <w:tc>
          <w:tcPr>
            <w:tcW w:w="1453" w:type="dxa"/>
          </w:tcPr>
          <w:p>
            <w:pPr>
              <w:pStyle w:val="TableParagraph"/>
              <w:spacing w:before="2"/>
              <w:ind w:right="75"/>
              <w:jc w:val="right"/>
              <w:rPr>
                <w:sz w:val="20"/>
              </w:rPr>
            </w:pPr>
            <w:r>
              <w:rPr>
                <w:spacing w:val="-10"/>
                <w:sz w:val="20"/>
              </w:rPr>
              <w:t>—</w:t>
            </w:r>
          </w:p>
        </w:tc>
      </w:tr>
      <w:tr>
        <w:trPr>
          <w:trHeight w:val="270" w:hRule="atLeast"/>
        </w:trPr>
        <w:tc>
          <w:tcPr>
            <w:tcW w:w="4007" w:type="dxa"/>
            <w:shd w:val="clear" w:color="auto" w:fill="CCEDFF"/>
          </w:tcPr>
          <w:p>
            <w:pPr>
              <w:pStyle w:val="TableParagraph"/>
              <w:spacing w:before="2"/>
              <w:ind w:left="410"/>
              <w:rPr>
                <w:sz w:val="20"/>
              </w:rPr>
            </w:pPr>
            <w:r>
              <w:rPr>
                <w:sz w:val="20"/>
              </w:rPr>
              <w:t>Interest rate swap </w:t>
            </w:r>
            <w:r>
              <w:rPr>
                <w:spacing w:val="-2"/>
                <w:sz w:val="20"/>
              </w:rPr>
              <w:t>derivatives</w:t>
            </w:r>
          </w:p>
        </w:tc>
        <w:tc>
          <w:tcPr>
            <w:tcW w:w="1819" w:type="dxa"/>
            <w:tcBorders>
              <w:bottom w:val="single" w:sz="8" w:space="0" w:color="000000"/>
            </w:tcBorders>
            <w:shd w:val="clear" w:color="auto" w:fill="CCEDFF"/>
          </w:tcPr>
          <w:p>
            <w:pPr>
              <w:pStyle w:val="TableParagraph"/>
              <w:spacing w:before="2"/>
              <w:ind w:right="102"/>
              <w:jc w:val="right"/>
              <w:rPr>
                <w:sz w:val="20"/>
              </w:rPr>
            </w:pPr>
            <w:r>
              <w:rPr>
                <w:spacing w:val="-2"/>
                <w:sz w:val="20"/>
              </w:rPr>
              <w:t>13,117</w:t>
            </w:r>
          </w:p>
        </w:tc>
        <w:tc>
          <w:tcPr>
            <w:tcW w:w="1480" w:type="dxa"/>
            <w:tcBorders>
              <w:bottom w:val="single" w:sz="8" w:space="0" w:color="000000"/>
            </w:tcBorders>
            <w:shd w:val="clear" w:color="auto" w:fill="CCEDFF"/>
          </w:tcPr>
          <w:p>
            <w:pPr>
              <w:pStyle w:val="TableParagraph"/>
              <w:spacing w:before="2"/>
              <w:ind w:right="102"/>
              <w:jc w:val="right"/>
              <w:rPr>
                <w:sz w:val="20"/>
              </w:rPr>
            </w:pPr>
            <w:r>
              <w:rPr>
                <w:spacing w:val="-10"/>
                <w:sz w:val="20"/>
              </w:rPr>
              <w:t>—</w:t>
            </w:r>
          </w:p>
        </w:tc>
        <w:tc>
          <w:tcPr>
            <w:tcW w:w="1480" w:type="dxa"/>
            <w:tcBorders>
              <w:bottom w:val="single" w:sz="8" w:space="0" w:color="000000"/>
            </w:tcBorders>
            <w:shd w:val="clear" w:color="auto" w:fill="CCEDFF"/>
          </w:tcPr>
          <w:p>
            <w:pPr>
              <w:pStyle w:val="TableParagraph"/>
              <w:spacing w:before="2"/>
              <w:ind w:right="102"/>
              <w:jc w:val="right"/>
              <w:rPr>
                <w:sz w:val="20"/>
              </w:rPr>
            </w:pPr>
            <w:r>
              <w:rPr>
                <w:spacing w:val="-2"/>
                <w:sz w:val="20"/>
              </w:rPr>
              <w:t>13,117</w:t>
            </w:r>
          </w:p>
        </w:tc>
        <w:tc>
          <w:tcPr>
            <w:tcW w:w="1453" w:type="dxa"/>
            <w:tcBorders>
              <w:bottom w:val="single" w:sz="8" w:space="0" w:color="000000"/>
            </w:tcBorders>
            <w:shd w:val="clear" w:color="auto" w:fill="CCEDFF"/>
          </w:tcPr>
          <w:p>
            <w:pPr>
              <w:pStyle w:val="TableParagraph"/>
              <w:spacing w:before="2"/>
              <w:ind w:right="75"/>
              <w:jc w:val="right"/>
              <w:rPr>
                <w:sz w:val="20"/>
              </w:rPr>
            </w:pPr>
            <w:r>
              <w:rPr>
                <w:spacing w:val="-10"/>
                <w:sz w:val="20"/>
              </w:rPr>
              <w:t>—</w:t>
            </w:r>
          </w:p>
        </w:tc>
      </w:tr>
      <w:tr>
        <w:trPr>
          <w:trHeight w:val="240" w:hRule="atLeast"/>
        </w:trPr>
        <w:tc>
          <w:tcPr>
            <w:tcW w:w="5826" w:type="dxa"/>
            <w:gridSpan w:val="2"/>
          </w:tcPr>
          <w:p>
            <w:pPr>
              <w:pStyle w:val="TableParagraph"/>
              <w:tabs>
                <w:tab w:pos="4449" w:val="left" w:leader="none"/>
                <w:tab w:pos="4922" w:val="left" w:leader="none"/>
              </w:tabs>
              <w:spacing w:line="210" w:lineRule="exact"/>
              <w:ind w:left="50"/>
              <w:rPr>
                <w:sz w:val="20"/>
              </w:rPr>
            </w:pPr>
            <w:r>
              <w:rPr>
                <w:spacing w:val="-2"/>
                <w:sz w:val="20"/>
              </w:rPr>
              <w:t>Total</w:t>
            </w:r>
            <w:r>
              <w:rPr>
                <w:spacing w:val="-4"/>
                <w:sz w:val="20"/>
              </w:rPr>
              <w:t> </w:t>
            </w:r>
            <w:r>
              <w:rPr>
                <w:spacing w:val="-2"/>
                <w:sz w:val="20"/>
              </w:rPr>
              <w:t>assets</w:t>
            </w:r>
            <w:r>
              <w:rPr>
                <w:sz w:val="20"/>
              </w:rPr>
              <w:tab/>
            </w:r>
            <w:r>
              <w:rPr>
                <w:spacing w:val="-10"/>
                <w:sz w:val="20"/>
              </w:rPr>
              <w:t>$</w:t>
            </w:r>
            <w:r>
              <w:rPr>
                <w:sz w:val="20"/>
              </w:rPr>
              <w:tab/>
            </w:r>
            <w:r>
              <w:rPr>
                <w:spacing w:val="-2"/>
                <w:sz w:val="20"/>
              </w:rPr>
              <w:t>4,646,074</w:t>
            </w:r>
          </w:p>
        </w:tc>
        <w:tc>
          <w:tcPr>
            <w:tcW w:w="1480" w:type="dxa"/>
            <w:tcBorders>
              <w:bottom w:val="double" w:sz="8" w:space="0" w:color="000000"/>
            </w:tcBorders>
          </w:tcPr>
          <w:p>
            <w:pPr>
              <w:pStyle w:val="TableParagraph"/>
              <w:tabs>
                <w:tab w:pos="622" w:val="left" w:leader="none"/>
              </w:tabs>
              <w:spacing w:line="210" w:lineRule="exact"/>
              <w:ind w:right="102"/>
              <w:jc w:val="right"/>
              <w:rPr>
                <w:sz w:val="20"/>
              </w:rPr>
            </w:pPr>
            <w:r>
              <w:rPr>
                <w:spacing w:val="-10"/>
                <w:sz w:val="20"/>
              </w:rPr>
              <w:t>$</w:t>
            </w:r>
            <w:r>
              <w:rPr>
                <w:sz w:val="20"/>
              </w:rPr>
              <w:tab/>
            </w:r>
            <w:r>
              <w:rPr>
                <w:spacing w:val="-2"/>
                <w:sz w:val="20"/>
              </w:rPr>
              <w:t>801,961</w:t>
            </w:r>
          </w:p>
        </w:tc>
        <w:tc>
          <w:tcPr>
            <w:tcW w:w="1480" w:type="dxa"/>
            <w:tcBorders>
              <w:bottom w:val="double" w:sz="8" w:space="0" w:color="000000"/>
            </w:tcBorders>
          </w:tcPr>
          <w:p>
            <w:pPr>
              <w:pStyle w:val="TableParagraph"/>
              <w:tabs>
                <w:tab w:pos="472" w:val="left" w:leader="none"/>
              </w:tabs>
              <w:spacing w:line="210" w:lineRule="exact"/>
              <w:ind w:right="102"/>
              <w:jc w:val="right"/>
              <w:rPr>
                <w:sz w:val="20"/>
              </w:rPr>
            </w:pPr>
            <w:r>
              <w:rPr>
                <w:spacing w:val="-10"/>
                <w:sz w:val="20"/>
              </w:rPr>
              <w:t>$</w:t>
            </w:r>
            <w:r>
              <w:rPr>
                <w:sz w:val="20"/>
              </w:rPr>
              <w:tab/>
            </w:r>
            <w:r>
              <w:rPr>
                <w:spacing w:val="-2"/>
                <w:sz w:val="20"/>
              </w:rPr>
              <w:t>3,844,113</w:t>
            </w:r>
          </w:p>
        </w:tc>
        <w:tc>
          <w:tcPr>
            <w:tcW w:w="1453" w:type="dxa"/>
            <w:tcBorders>
              <w:bottom w:val="double" w:sz="8" w:space="0" w:color="000000"/>
            </w:tcBorders>
          </w:tcPr>
          <w:p>
            <w:pPr>
              <w:pStyle w:val="TableParagraph"/>
              <w:tabs>
                <w:tab w:pos="1072" w:val="left" w:leader="none"/>
              </w:tabs>
              <w:spacing w:line="210" w:lineRule="exact"/>
              <w:ind w:right="75"/>
              <w:jc w:val="right"/>
              <w:rPr>
                <w:sz w:val="20"/>
              </w:rPr>
            </w:pPr>
            <w:r>
              <w:rPr>
                <w:spacing w:val="-10"/>
                <w:sz w:val="20"/>
              </w:rPr>
              <w:t>$</w:t>
            </w:r>
            <w:r>
              <w:rPr>
                <w:sz w:val="20"/>
              </w:rPr>
              <w:tab/>
            </w:r>
            <w:r>
              <w:rPr>
                <w:spacing w:val="-10"/>
                <w:sz w:val="20"/>
              </w:rPr>
              <w:t>—</w:t>
            </w:r>
          </w:p>
        </w:tc>
      </w:tr>
      <w:tr>
        <w:trPr>
          <w:trHeight w:val="690" w:hRule="atLeast"/>
        </w:trPr>
        <w:tc>
          <w:tcPr>
            <w:tcW w:w="5826" w:type="dxa"/>
            <w:gridSpan w:val="2"/>
            <w:tcBorders>
              <w:top w:val="single" w:sz="8" w:space="0" w:color="000000"/>
            </w:tcBorders>
          </w:tcPr>
          <w:p>
            <w:pPr>
              <w:pStyle w:val="TableParagraph"/>
              <w:spacing w:before="181"/>
              <w:rPr>
                <w:b/>
                <w:sz w:val="20"/>
              </w:rPr>
            </w:pPr>
          </w:p>
          <w:p>
            <w:pPr>
              <w:pStyle w:val="TableParagraph"/>
              <w:spacing w:before="1"/>
              <w:ind w:left="50"/>
              <w:rPr>
                <w:sz w:val="20"/>
              </w:rPr>
            </w:pPr>
            <w:r>
              <w:rPr>
                <w:spacing w:val="-2"/>
                <w:sz w:val="20"/>
              </w:rPr>
              <w:t>Liabilities:</w:t>
            </w:r>
          </w:p>
        </w:tc>
        <w:tc>
          <w:tcPr>
            <w:tcW w:w="1480" w:type="dxa"/>
            <w:tcBorders>
              <w:top w:val="double" w:sz="8" w:space="0" w:color="000000"/>
            </w:tcBorders>
          </w:tcPr>
          <w:p>
            <w:pPr>
              <w:pStyle w:val="TableParagraph"/>
              <w:rPr>
                <w:sz w:val="18"/>
              </w:rPr>
            </w:pPr>
          </w:p>
        </w:tc>
        <w:tc>
          <w:tcPr>
            <w:tcW w:w="1480" w:type="dxa"/>
            <w:tcBorders>
              <w:top w:val="double" w:sz="8" w:space="0" w:color="000000"/>
            </w:tcBorders>
          </w:tcPr>
          <w:p>
            <w:pPr>
              <w:pStyle w:val="TableParagraph"/>
              <w:rPr>
                <w:sz w:val="18"/>
              </w:rPr>
            </w:pPr>
          </w:p>
        </w:tc>
        <w:tc>
          <w:tcPr>
            <w:tcW w:w="1453" w:type="dxa"/>
            <w:tcBorders>
              <w:top w:val="double" w:sz="8" w:space="0" w:color="000000"/>
            </w:tcBorders>
          </w:tcPr>
          <w:p>
            <w:pPr>
              <w:pStyle w:val="TableParagraph"/>
              <w:rPr>
                <w:sz w:val="18"/>
              </w:rPr>
            </w:pPr>
          </w:p>
        </w:tc>
      </w:tr>
      <w:tr>
        <w:trPr>
          <w:trHeight w:val="280" w:hRule="atLeast"/>
        </w:trPr>
        <w:tc>
          <w:tcPr>
            <w:tcW w:w="5826" w:type="dxa"/>
            <w:gridSpan w:val="2"/>
            <w:shd w:val="clear" w:color="auto" w:fill="CCEDFF"/>
          </w:tcPr>
          <w:p>
            <w:pPr>
              <w:pStyle w:val="TableParagraph"/>
              <w:spacing w:before="2"/>
              <w:ind w:left="170"/>
              <w:rPr>
                <w:sz w:val="20"/>
              </w:rPr>
            </w:pPr>
            <w:r>
              <w:rPr>
                <w:sz w:val="20"/>
              </w:rPr>
              <w:t>Accrued </w:t>
            </w:r>
            <w:r>
              <w:rPr>
                <w:spacing w:val="-2"/>
                <w:sz w:val="20"/>
              </w:rPr>
              <w:t>expenses:</w:t>
            </w:r>
          </w:p>
        </w:tc>
        <w:tc>
          <w:tcPr>
            <w:tcW w:w="1480" w:type="dxa"/>
            <w:shd w:val="clear" w:color="auto" w:fill="CCEDFF"/>
          </w:tcPr>
          <w:p>
            <w:pPr>
              <w:pStyle w:val="TableParagraph"/>
              <w:rPr>
                <w:sz w:val="18"/>
              </w:rPr>
            </w:pPr>
          </w:p>
        </w:tc>
        <w:tc>
          <w:tcPr>
            <w:tcW w:w="1480" w:type="dxa"/>
            <w:shd w:val="clear" w:color="auto" w:fill="CCEDFF"/>
          </w:tcPr>
          <w:p>
            <w:pPr>
              <w:pStyle w:val="TableParagraph"/>
              <w:rPr>
                <w:sz w:val="18"/>
              </w:rPr>
            </w:pPr>
          </w:p>
        </w:tc>
        <w:tc>
          <w:tcPr>
            <w:tcW w:w="1453" w:type="dxa"/>
            <w:shd w:val="clear" w:color="auto" w:fill="CCEDFF"/>
          </w:tcPr>
          <w:p>
            <w:pPr>
              <w:pStyle w:val="TableParagraph"/>
              <w:rPr>
                <w:sz w:val="18"/>
              </w:rPr>
            </w:pPr>
          </w:p>
        </w:tc>
      </w:tr>
      <w:tr>
        <w:trPr>
          <w:trHeight w:val="270" w:hRule="atLeast"/>
        </w:trPr>
        <w:tc>
          <w:tcPr>
            <w:tcW w:w="5826" w:type="dxa"/>
            <w:gridSpan w:val="2"/>
          </w:tcPr>
          <w:p>
            <w:pPr>
              <w:pStyle w:val="TableParagraph"/>
              <w:tabs>
                <w:tab w:pos="4449" w:val="left" w:leader="none"/>
                <w:tab w:pos="5272" w:val="left" w:leader="none"/>
              </w:tabs>
              <w:spacing w:before="2"/>
              <w:ind w:left="410"/>
              <w:rPr>
                <w:sz w:val="20"/>
              </w:rPr>
            </w:pPr>
            <w:r>
              <w:rPr>
                <w:sz w:val="20"/>
              </w:rPr>
              <w:t>Foreign currency </w:t>
            </w:r>
            <w:r>
              <w:rPr>
                <w:spacing w:val="-2"/>
                <w:sz w:val="20"/>
              </w:rPr>
              <w:t>derivatives</w:t>
            </w:r>
            <w:r>
              <w:rPr>
                <w:sz w:val="20"/>
              </w:rPr>
              <w:tab/>
            </w:r>
            <w:r>
              <w:rPr>
                <w:spacing w:val="-10"/>
                <w:sz w:val="20"/>
              </w:rPr>
              <w:t>$</w:t>
            </w:r>
            <w:r>
              <w:rPr>
                <w:sz w:val="20"/>
              </w:rPr>
              <w:tab/>
            </w:r>
            <w:r>
              <w:rPr>
                <w:spacing w:val="-2"/>
                <w:sz w:val="20"/>
              </w:rPr>
              <w:t>5,246</w:t>
            </w:r>
          </w:p>
        </w:tc>
        <w:tc>
          <w:tcPr>
            <w:tcW w:w="1480" w:type="dxa"/>
            <w:tcBorders>
              <w:bottom w:val="single" w:sz="8" w:space="0" w:color="000000"/>
            </w:tcBorders>
          </w:tcPr>
          <w:p>
            <w:pPr>
              <w:pStyle w:val="TableParagraph"/>
              <w:tabs>
                <w:tab w:pos="1072" w:val="left" w:leader="none"/>
              </w:tabs>
              <w:spacing w:before="2"/>
              <w:ind w:right="102"/>
              <w:jc w:val="right"/>
              <w:rPr>
                <w:sz w:val="20"/>
              </w:rPr>
            </w:pPr>
            <w:r>
              <w:rPr>
                <w:spacing w:val="-10"/>
                <w:sz w:val="20"/>
              </w:rPr>
              <w:t>$</w:t>
            </w:r>
            <w:r>
              <w:rPr>
                <w:sz w:val="20"/>
              </w:rPr>
              <w:tab/>
            </w:r>
            <w:r>
              <w:rPr>
                <w:spacing w:val="-10"/>
                <w:sz w:val="20"/>
              </w:rPr>
              <w:t>—</w:t>
            </w:r>
          </w:p>
        </w:tc>
        <w:tc>
          <w:tcPr>
            <w:tcW w:w="1480" w:type="dxa"/>
            <w:tcBorders>
              <w:bottom w:val="single" w:sz="8" w:space="0" w:color="000000"/>
            </w:tcBorders>
          </w:tcPr>
          <w:p>
            <w:pPr>
              <w:pStyle w:val="TableParagraph"/>
              <w:tabs>
                <w:tab w:pos="822" w:val="left" w:leader="none"/>
              </w:tabs>
              <w:spacing w:before="2"/>
              <w:ind w:right="102"/>
              <w:jc w:val="right"/>
              <w:rPr>
                <w:sz w:val="20"/>
              </w:rPr>
            </w:pPr>
            <w:r>
              <w:rPr>
                <w:spacing w:val="-10"/>
                <w:sz w:val="20"/>
              </w:rPr>
              <w:t>$</w:t>
            </w:r>
            <w:r>
              <w:rPr>
                <w:sz w:val="20"/>
              </w:rPr>
              <w:tab/>
            </w:r>
            <w:r>
              <w:rPr>
                <w:spacing w:val="-2"/>
                <w:sz w:val="20"/>
              </w:rPr>
              <w:t>5,246</w:t>
            </w:r>
          </w:p>
        </w:tc>
        <w:tc>
          <w:tcPr>
            <w:tcW w:w="1453" w:type="dxa"/>
            <w:tcBorders>
              <w:bottom w:val="single" w:sz="8" w:space="0" w:color="000000"/>
            </w:tcBorders>
          </w:tcPr>
          <w:p>
            <w:pPr>
              <w:pStyle w:val="TableParagraph"/>
              <w:tabs>
                <w:tab w:pos="1072" w:val="left" w:leader="none"/>
              </w:tabs>
              <w:spacing w:before="2"/>
              <w:ind w:right="75"/>
              <w:jc w:val="right"/>
              <w:rPr>
                <w:sz w:val="20"/>
              </w:rPr>
            </w:pPr>
            <w:r>
              <w:rPr>
                <w:spacing w:val="-10"/>
                <w:sz w:val="20"/>
              </w:rPr>
              <w:t>$</w:t>
            </w:r>
            <w:r>
              <w:rPr>
                <w:sz w:val="20"/>
              </w:rPr>
              <w:tab/>
            </w:r>
            <w:r>
              <w:rPr>
                <w:spacing w:val="-10"/>
                <w:sz w:val="20"/>
              </w:rPr>
              <w:t>—</w:t>
            </w:r>
          </w:p>
        </w:tc>
      </w:tr>
      <w:tr>
        <w:trPr>
          <w:trHeight w:val="220" w:hRule="atLeast"/>
        </w:trPr>
        <w:tc>
          <w:tcPr>
            <w:tcW w:w="5826" w:type="dxa"/>
            <w:gridSpan w:val="2"/>
            <w:tcBorders>
              <w:top w:val="single" w:sz="8" w:space="0" w:color="000000"/>
              <w:bottom w:val="single" w:sz="8" w:space="0" w:color="000000"/>
            </w:tcBorders>
            <w:shd w:val="clear" w:color="auto" w:fill="CCEDFF"/>
          </w:tcPr>
          <w:p>
            <w:pPr>
              <w:pStyle w:val="TableParagraph"/>
              <w:tabs>
                <w:tab w:pos="4449" w:val="left" w:leader="none"/>
                <w:tab w:pos="5272" w:val="left" w:leader="none"/>
              </w:tabs>
              <w:spacing w:line="200" w:lineRule="exact"/>
              <w:ind w:left="50"/>
              <w:rPr>
                <w:sz w:val="20"/>
              </w:rPr>
            </w:pPr>
            <w:r>
              <w:rPr>
                <w:spacing w:val="-2"/>
                <w:sz w:val="20"/>
              </w:rPr>
              <w:t>Total</w:t>
            </w:r>
            <w:r>
              <w:rPr>
                <w:spacing w:val="-4"/>
                <w:sz w:val="20"/>
              </w:rPr>
              <w:t> </w:t>
            </w:r>
            <w:r>
              <w:rPr>
                <w:spacing w:val="-2"/>
                <w:sz w:val="20"/>
              </w:rPr>
              <w:t>liabilities</w:t>
            </w:r>
            <w:r>
              <w:rPr>
                <w:sz w:val="20"/>
              </w:rPr>
              <w:tab/>
            </w:r>
            <w:r>
              <w:rPr>
                <w:spacing w:val="-10"/>
                <w:sz w:val="20"/>
              </w:rPr>
              <w:t>$</w:t>
            </w:r>
            <w:r>
              <w:rPr>
                <w:sz w:val="20"/>
              </w:rPr>
              <w:tab/>
            </w:r>
            <w:r>
              <w:rPr>
                <w:spacing w:val="-2"/>
                <w:sz w:val="20"/>
              </w:rPr>
              <w:t>5,246</w:t>
            </w:r>
          </w:p>
        </w:tc>
        <w:tc>
          <w:tcPr>
            <w:tcW w:w="1480" w:type="dxa"/>
            <w:tcBorders>
              <w:top w:val="single" w:sz="8" w:space="0" w:color="000000"/>
              <w:bottom w:val="double" w:sz="8" w:space="0" w:color="000000"/>
            </w:tcBorders>
            <w:shd w:val="clear" w:color="auto" w:fill="CCEDFF"/>
          </w:tcPr>
          <w:p>
            <w:pPr>
              <w:pStyle w:val="TableParagraph"/>
              <w:tabs>
                <w:tab w:pos="1072" w:val="left" w:leader="none"/>
              </w:tabs>
              <w:spacing w:line="200" w:lineRule="exact"/>
              <w:ind w:right="102"/>
              <w:jc w:val="right"/>
              <w:rPr>
                <w:sz w:val="20"/>
              </w:rPr>
            </w:pPr>
            <w:r>
              <w:rPr>
                <w:spacing w:val="-10"/>
                <w:sz w:val="20"/>
              </w:rPr>
              <w:t>$</w:t>
            </w:r>
            <w:r>
              <w:rPr>
                <w:sz w:val="20"/>
              </w:rPr>
              <w:tab/>
            </w:r>
            <w:r>
              <w:rPr>
                <w:spacing w:val="-10"/>
                <w:sz w:val="20"/>
              </w:rPr>
              <w:t>—</w:t>
            </w:r>
          </w:p>
        </w:tc>
        <w:tc>
          <w:tcPr>
            <w:tcW w:w="1480" w:type="dxa"/>
            <w:tcBorders>
              <w:top w:val="single" w:sz="8" w:space="0" w:color="000000"/>
              <w:bottom w:val="double" w:sz="8" w:space="0" w:color="000000"/>
            </w:tcBorders>
            <w:shd w:val="clear" w:color="auto" w:fill="CCEDFF"/>
          </w:tcPr>
          <w:p>
            <w:pPr>
              <w:pStyle w:val="TableParagraph"/>
              <w:tabs>
                <w:tab w:pos="822" w:val="left" w:leader="none"/>
              </w:tabs>
              <w:spacing w:line="200" w:lineRule="exact"/>
              <w:ind w:right="102"/>
              <w:jc w:val="right"/>
              <w:rPr>
                <w:sz w:val="20"/>
              </w:rPr>
            </w:pPr>
            <w:r>
              <w:rPr>
                <w:spacing w:val="-10"/>
                <w:sz w:val="20"/>
              </w:rPr>
              <w:t>$</w:t>
            </w:r>
            <w:r>
              <w:rPr>
                <w:sz w:val="20"/>
              </w:rPr>
              <w:tab/>
            </w:r>
            <w:r>
              <w:rPr>
                <w:spacing w:val="-2"/>
                <w:sz w:val="20"/>
              </w:rPr>
              <w:t>5,246</w:t>
            </w:r>
          </w:p>
        </w:tc>
        <w:tc>
          <w:tcPr>
            <w:tcW w:w="1453" w:type="dxa"/>
            <w:tcBorders>
              <w:top w:val="single" w:sz="8" w:space="0" w:color="000000"/>
              <w:bottom w:val="double" w:sz="8" w:space="0" w:color="000000"/>
            </w:tcBorders>
            <w:shd w:val="clear" w:color="auto" w:fill="CCEDFF"/>
          </w:tcPr>
          <w:p>
            <w:pPr>
              <w:pStyle w:val="TableParagraph"/>
              <w:tabs>
                <w:tab w:pos="1072" w:val="left" w:leader="none"/>
              </w:tabs>
              <w:spacing w:line="200" w:lineRule="exact"/>
              <w:ind w:right="75"/>
              <w:jc w:val="right"/>
              <w:rPr>
                <w:sz w:val="20"/>
              </w:rPr>
            </w:pPr>
            <w:r>
              <w:rPr>
                <w:spacing w:val="-10"/>
                <w:sz w:val="20"/>
              </w:rPr>
              <w:t>$</w:t>
            </w:r>
            <w:r>
              <w:rPr>
                <w:sz w:val="20"/>
              </w:rPr>
              <w:tab/>
            </w:r>
            <w:r>
              <w:rPr>
                <w:spacing w:val="-10"/>
                <w:sz w:val="20"/>
              </w:rPr>
              <w:t>—</w:t>
            </w:r>
          </w:p>
        </w:tc>
      </w:tr>
    </w:tbl>
    <w:p>
      <w:pPr>
        <w:pStyle w:val="BodyText"/>
        <w:spacing w:before="43"/>
        <w:rPr>
          <w:b/>
        </w:rPr>
      </w:pPr>
    </w:p>
    <w:p>
      <w:pPr>
        <w:spacing w:before="0"/>
        <w:ind w:left="750" w:right="0" w:firstLine="0"/>
        <w:jc w:val="left"/>
        <w:rPr>
          <w:i/>
          <w:sz w:val="20"/>
        </w:rPr>
      </w:pPr>
      <w:hyperlink w:history="true" w:anchor="_bookmark24">
        <w:r>
          <w:rPr>
            <w:i/>
            <w:sz w:val="20"/>
          </w:rPr>
          <w:t>See</w:t>
        </w:r>
        <w:r>
          <w:rPr>
            <w:i/>
            <w:spacing w:val="-5"/>
            <w:sz w:val="20"/>
          </w:rPr>
          <w:t> </w:t>
        </w:r>
        <w:r>
          <w:rPr>
            <w:i/>
            <w:sz w:val="20"/>
          </w:rPr>
          <w:t>Note</w:t>
        </w:r>
        <w:r>
          <w:rPr>
            <w:i/>
            <w:spacing w:val="-3"/>
            <w:sz w:val="20"/>
          </w:rPr>
          <w:t> </w:t>
        </w:r>
        <w:r>
          <w:rPr>
            <w:i/>
            <w:sz w:val="20"/>
          </w:rPr>
          <w:t>3</w:t>
        </w:r>
        <w:r>
          <w:rPr>
            <w:i/>
            <w:spacing w:val="-3"/>
            <w:sz w:val="20"/>
          </w:rPr>
          <w:t> </w:t>
        </w:r>
        <w:r>
          <w:rPr>
            <w:i/>
            <w:sz w:val="20"/>
          </w:rPr>
          <w:t>for</w:t>
        </w:r>
        <w:r>
          <w:rPr>
            <w:i/>
            <w:spacing w:val="-2"/>
            <w:sz w:val="20"/>
          </w:rPr>
          <w:t> </w:t>
        </w:r>
        <w:r>
          <w:rPr>
            <w:i/>
            <w:sz w:val="20"/>
          </w:rPr>
          <w:t>further</w:t>
        </w:r>
        <w:r>
          <w:rPr>
            <w:i/>
            <w:spacing w:val="-3"/>
            <w:sz w:val="20"/>
          </w:rPr>
          <w:t> </w:t>
        </w:r>
        <w:r>
          <w:rPr>
            <w:i/>
            <w:sz w:val="20"/>
          </w:rPr>
          <w:t>information</w:t>
        </w:r>
        <w:r>
          <w:rPr>
            <w:i/>
            <w:spacing w:val="-2"/>
            <w:sz w:val="20"/>
          </w:rPr>
          <w:t> </w:t>
        </w:r>
        <w:r>
          <w:rPr>
            <w:i/>
            <w:sz w:val="20"/>
          </w:rPr>
          <w:t>regarding</w:t>
        </w:r>
        <w:r>
          <w:rPr>
            <w:i/>
            <w:spacing w:val="-3"/>
            <w:sz w:val="20"/>
          </w:rPr>
          <w:t> </w:t>
        </w:r>
        <w:r>
          <w:rPr>
            <w:i/>
            <w:sz w:val="20"/>
          </w:rPr>
          <w:t>the</w:t>
        </w:r>
        <w:r>
          <w:rPr>
            <w:i/>
            <w:spacing w:val="-3"/>
            <w:sz w:val="20"/>
          </w:rPr>
          <w:t> </w:t>
        </w:r>
        <w:r>
          <w:rPr>
            <w:i/>
            <w:sz w:val="20"/>
          </w:rPr>
          <w:t>fair</w:t>
        </w:r>
        <w:r>
          <w:rPr>
            <w:i/>
            <w:spacing w:val="-3"/>
            <w:sz w:val="20"/>
          </w:rPr>
          <w:t> </w:t>
        </w:r>
        <w:r>
          <w:rPr>
            <w:i/>
            <w:sz w:val="20"/>
          </w:rPr>
          <w:t>value</w:t>
        </w:r>
        <w:r>
          <w:rPr>
            <w:i/>
            <w:spacing w:val="-3"/>
            <w:sz w:val="20"/>
          </w:rPr>
          <w:t> </w:t>
        </w:r>
        <w:r>
          <w:rPr>
            <w:i/>
            <w:sz w:val="20"/>
          </w:rPr>
          <w:t>of</w:t>
        </w:r>
        <w:r>
          <w:rPr>
            <w:i/>
            <w:spacing w:val="-4"/>
            <w:sz w:val="20"/>
          </w:rPr>
          <w:t> </w:t>
        </w:r>
        <w:r>
          <w:rPr>
            <w:i/>
            <w:sz w:val="20"/>
          </w:rPr>
          <w:t>our</w:t>
        </w:r>
        <w:r>
          <w:rPr>
            <w:i/>
            <w:spacing w:val="-2"/>
            <w:sz w:val="20"/>
          </w:rPr>
          <w:t> </w:t>
        </w:r>
        <w:r>
          <w:rPr>
            <w:i/>
            <w:sz w:val="20"/>
          </w:rPr>
          <w:t>financial</w:t>
        </w:r>
        <w:r>
          <w:rPr>
            <w:i/>
            <w:spacing w:val="-3"/>
            <w:sz w:val="20"/>
          </w:rPr>
          <w:t> </w:t>
        </w:r>
        <w:r>
          <w:rPr>
            <w:i/>
            <w:spacing w:val="-2"/>
            <w:sz w:val="20"/>
          </w:rPr>
          <w:t>instruments.</w:t>
        </w:r>
      </w:hyperlink>
    </w:p>
    <w:p>
      <w:pPr>
        <w:pStyle w:val="BodyText"/>
        <w:spacing w:line="249" w:lineRule="auto" w:before="190"/>
        <w:ind w:left="210" w:right="247" w:firstLine="540"/>
        <w:jc w:val="both"/>
      </w:pPr>
      <w:r>
        <w:rPr/>
        <w:t>Our</w:t>
      </w:r>
      <w:r>
        <w:rPr>
          <w:spacing w:val="-10"/>
        </w:rPr>
        <w:t> </w:t>
      </w:r>
      <w:r>
        <w:rPr/>
        <w:t>fixed</w:t>
      </w:r>
      <w:r>
        <w:rPr>
          <w:spacing w:val="-10"/>
        </w:rPr>
        <w:t> </w:t>
      </w:r>
      <w:r>
        <w:rPr/>
        <w:t>income</w:t>
      </w:r>
      <w:r>
        <w:rPr>
          <w:spacing w:val="-10"/>
        </w:rPr>
        <w:t> </w:t>
      </w:r>
      <w:r>
        <w:rPr/>
        <w:t>available-for-sale</w:t>
      </w:r>
      <w:r>
        <w:rPr>
          <w:spacing w:val="-10"/>
        </w:rPr>
        <w:t> </w:t>
      </w:r>
      <w:r>
        <w:rPr/>
        <w:t>debt</w:t>
      </w:r>
      <w:r>
        <w:rPr>
          <w:spacing w:val="-10"/>
        </w:rPr>
        <w:t> </w:t>
      </w:r>
      <w:r>
        <w:rPr/>
        <w:t>securities</w:t>
      </w:r>
      <w:r>
        <w:rPr>
          <w:spacing w:val="-10"/>
        </w:rPr>
        <w:t> </w:t>
      </w:r>
      <w:r>
        <w:rPr/>
        <w:t>consist</w:t>
      </w:r>
      <w:r>
        <w:rPr>
          <w:spacing w:val="-10"/>
        </w:rPr>
        <w:t> </w:t>
      </w:r>
      <w:r>
        <w:rPr/>
        <w:t>of</w:t>
      </w:r>
      <w:r>
        <w:rPr>
          <w:spacing w:val="-10"/>
        </w:rPr>
        <w:t> </w:t>
      </w:r>
      <w:r>
        <w:rPr/>
        <w:t>high</w:t>
      </w:r>
      <w:r>
        <w:rPr>
          <w:spacing w:val="-10"/>
        </w:rPr>
        <w:t> </w:t>
      </w:r>
      <w:r>
        <w:rPr/>
        <w:t>quality,</w:t>
      </w:r>
      <w:r>
        <w:rPr>
          <w:spacing w:val="-10"/>
        </w:rPr>
        <w:t> </w:t>
      </w:r>
      <w:r>
        <w:rPr/>
        <w:t>investment</w:t>
      </w:r>
      <w:r>
        <w:rPr>
          <w:spacing w:val="-10"/>
        </w:rPr>
        <w:t> </w:t>
      </w:r>
      <w:r>
        <w:rPr/>
        <w:t>grade</w:t>
      </w:r>
      <w:r>
        <w:rPr>
          <w:spacing w:val="-10"/>
        </w:rPr>
        <w:t> </w:t>
      </w:r>
      <w:r>
        <w:rPr/>
        <w:t>securities</w:t>
      </w:r>
      <w:r>
        <w:rPr>
          <w:spacing w:val="-10"/>
        </w:rPr>
        <w:t> </w:t>
      </w:r>
      <w:r>
        <w:rPr/>
        <w:t>from</w:t>
      </w:r>
      <w:r>
        <w:rPr>
          <w:spacing w:val="-10"/>
        </w:rPr>
        <w:t> </w:t>
      </w:r>
      <w:r>
        <w:rPr/>
        <w:t>diverse</w:t>
      </w:r>
      <w:r>
        <w:rPr>
          <w:spacing w:val="-10"/>
        </w:rPr>
        <w:t> </w:t>
      </w:r>
      <w:r>
        <w:rPr/>
        <w:t>issuers with</w:t>
      </w:r>
      <w:r>
        <w:rPr>
          <w:spacing w:val="-1"/>
        </w:rPr>
        <w:t> </w:t>
      </w:r>
      <w:r>
        <w:rPr/>
        <w:t>a</w:t>
      </w:r>
      <w:r>
        <w:rPr>
          <w:spacing w:val="-1"/>
        </w:rPr>
        <w:t> </w:t>
      </w:r>
      <w:r>
        <w:rPr/>
        <w:t>weighted</w:t>
      </w:r>
      <w:r>
        <w:rPr>
          <w:spacing w:val="-1"/>
        </w:rPr>
        <w:t> </w:t>
      </w:r>
      <w:r>
        <w:rPr/>
        <w:t>average</w:t>
      </w:r>
      <w:r>
        <w:rPr>
          <w:spacing w:val="-2"/>
        </w:rPr>
        <w:t> </w:t>
      </w:r>
      <w:r>
        <w:rPr/>
        <w:t>credit</w:t>
      </w:r>
      <w:r>
        <w:rPr>
          <w:spacing w:val="-2"/>
        </w:rPr>
        <w:t> </w:t>
      </w:r>
      <w:r>
        <w:rPr/>
        <w:t>rating</w:t>
      </w:r>
      <w:r>
        <w:rPr>
          <w:spacing w:val="-1"/>
        </w:rPr>
        <w:t> </w:t>
      </w:r>
      <w:r>
        <w:rPr/>
        <w:t>of</w:t>
      </w:r>
      <w:r>
        <w:rPr>
          <w:spacing w:val="-12"/>
        </w:rPr>
        <w:t> </w:t>
      </w:r>
      <w:r>
        <w:rPr/>
        <w:t>AA-.</w:t>
      </w:r>
      <w:r>
        <w:rPr>
          <w:spacing w:val="-5"/>
        </w:rPr>
        <w:t> </w:t>
      </w:r>
      <w:r>
        <w:rPr/>
        <w:t>We</w:t>
      </w:r>
      <w:r>
        <w:rPr>
          <w:spacing w:val="-1"/>
        </w:rPr>
        <w:t> </w:t>
      </w:r>
      <w:r>
        <w:rPr/>
        <w:t>value</w:t>
      </w:r>
      <w:r>
        <w:rPr>
          <w:spacing w:val="-2"/>
        </w:rPr>
        <w:t> </w:t>
      </w:r>
      <w:r>
        <w:rPr/>
        <w:t>these</w:t>
      </w:r>
      <w:r>
        <w:rPr>
          <w:spacing w:val="-2"/>
        </w:rPr>
        <w:t> </w:t>
      </w:r>
      <w:r>
        <w:rPr/>
        <w:t>securities</w:t>
      </w:r>
      <w:r>
        <w:rPr>
          <w:spacing w:val="-1"/>
        </w:rPr>
        <w:t> </w:t>
      </w:r>
      <w:r>
        <w:rPr/>
        <w:t>based</w:t>
      </w:r>
      <w:r>
        <w:rPr>
          <w:spacing w:val="-1"/>
        </w:rPr>
        <w:t> </w:t>
      </w:r>
      <w:r>
        <w:rPr/>
        <w:t>on</w:t>
      </w:r>
      <w:r>
        <w:rPr>
          <w:spacing w:val="-1"/>
        </w:rPr>
        <w:t> </w:t>
      </w:r>
      <w:r>
        <w:rPr/>
        <w:t>pricing</w:t>
      </w:r>
      <w:r>
        <w:rPr>
          <w:spacing w:val="-1"/>
        </w:rPr>
        <w:t> </w:t>
      </w:r>
      <w:r>
        <w:rPr/>
        <w:t>from</w:t>
      </w:r>
      <w:r>
        <w:rPr>
          <w:spacing w:val="-2"/>
        </w:rPr>
        <w:t> </w:t>
      </w:r>
      <w:r>
        <w:rPr/>
        <w:t>independent</w:t>
      </w:r>
      <w:r>
        <w:rPr>
          <w:spacing w:val="-2"/>
        </w:rPr>
        <w:t> </w:t>
      </w:r>
      <w:r>
        <w:rPr/>
        <w:t>pricing</w:t>
      </w:r>
      <w:r>
        <w:rPr>
          <w:spacing w:val="-1"/>
        </w:rPr>
        <w:t> </w:t>
      </w:r>
      <w:r>
        <w:rPr/>
        <w:t>vendors</w:t>
      </w:r>
      <w:r>
        <w:rPr>
          <w:spacing w:val="-1"/>
        </w:rPr>
        <w:t> </w:t>
      </w:r>
      <w:r>
        <w:rPr/>
        <w:t>who use matrix pricing valuation techniques including market approach methodologies that model information generated by market transactions</w:t>
      </w:r>
      <w:r>
        <w:rPr>
          <w:spacing w:val="-13"/>
        </w:rPr>
        <w:t> </w:t>
      </w:r>
      <w:r>
        <w:rPr/>
        <w:t>involving</w:t>
      </w:r>
      <w:r>
        <w:rPr>
          <w:spacing w:val="-12"/>
        </w:rPr>
        <w:t> </w:t>
      </w:r>
      <w:r>
        <w:rPr/>
        <w:t>identical</w:t>
      </w:r>
      <w:r>
        <w:rPr>
          <w:spacing w:val="-13"/>
        </w:rPr>
        <w:t> </w:t>
      </w:r>
      <w:r>
        <w:rPr/>
        <w:t>or</w:t>
      </w:r>
      <w:r>
        <w:rPr>
          <w:spacing w:val="-12"/>
        </w:rPr>
        <w:t> </w:t>
      </w:r>
      <w:r>
        <w:rPr/>
        <w:t>comparable</w:t>
      </w:r>
      <w:r>
        <w:rPr>
          <w:spacing w:val="-13"/>
        </w:rPr>
        <w:t> </w:t>
      </w:r>
      <w:r>
        <w:rPr/>
        <w:t>assets,</w:t>
      </w:r>
      <w:r>
        <w:rPr>
          <w:spacing w:val="-12"/>
        </w:rPr>
        <w:t> </w:t>
      </w:r>
      <w:r>
        <w:rPr/>
        <w:t>as</w:t>
      </w:r>
      <w:r>
        <w:rPr>
          <w:spacing w:val="-13"/>
        </w:rPr>
        <w:t> </w:t>
      </w:r>
      <w:r>
        <w:rPr/>
        <w:t>well</w:t>
      </w:r>
      <w:r>
        <w:rPr>
          <w:spacing w:val="-12"/>
        </w:rPr>
        <w:t> </w:t>
      </w:r>
      <w:r>
        <w:rPr/>
        <w:t>as</w:t>
      </w:r>
      <w:r>
        <w:rPr>
          <w:spacing w:val="-13"/>
        </w:rPr>
        <w:t> </w:t>
      </w:r>
      <w:r>
        <w:rPr/>
        <w:t>discounted</w:t>
      </w:r>
      <w:r>
        <w:rPr>
          <w:spacing w:val="-12"/>
        </w:rPr>
        <w:t> </w:t>
      </w:r>
      <w:r>
        <w:rPr/>
        <w:t>cash</w:t>
      </w:r>
      <w:r>
        <w:rPr>
          <w:spacing w:val="-13"/>
        </w:rPr>
        <w:t> </w:t>
      </w:r>
      <w:r>
        <w:rPr/>
        <w:t>flow</w:t>
      </w:r>
      <w:r>
        <w:rPr>
          <w:spacing w:val="-12"/>
        </w:rPr>
        <w:t> </w:t>
      </w:r>
      <w:r>
        <w:rPr/>
        <w:t>methodologies.</w:t>
      </w:r>
      <w:r>
        <w:rPr>
          <w:spacing w:val="-13"/>
        </w:rPr>
        <w:t> </w:t>
      </w:r>
      <w:r>
        <w:rPr/>
        <w:t>Inputs</w:t>
      </w:r>
      <w:r>
        <w:rPr>
          <w:spacing w:val="-12"/>
        </w:rPr>
        <w:t> </w:t>
      </w:r>
      <w:r>
        <w:rPr/>
        <w:t>include</w:t>
      </w:r>
      <w:r>
        <w:rPr>
          <w:spacing w:val="-13"/>
        </w:rPr>
        <w:t> </w:t>
      </w:r>
      <w:r>
        <w:rPr/>
        <w:t>quoted</w:t>
      </w:r>
      <w:r>
        <w:rPr>
          <w:spacing w:val="-12"/>
        </w:rPr>
        <w:t> </w:t>
      </w:r>
      <w:r>
        <w:rPr/>
        <w:t>prices </w:t>
      </w:r>
      <w:r>
        <w:rPr>
          <w:spacing w:val="-2"/>
        </w:rPr>
        <w:t>in</w:t>
      </w:r>
      <w:r>
        <w:rPr>
          <w:spacing w:val="-8"/>
        </w:rPr>
        <w:t> </w:t>
      </w:r>
      <w:r>
        <w:rPr>
          <w:spacing w:val="-2"/>
        </w:rPr>
        <w:t>active</w:t>
      </w:r>
      <w:r>
        <w:rPr>
          <w:spacing w:val="-8"/>
        </w:rPr>
        <w:t> </w:t>
      </w:r>
      <w:r>
        <w:rPr>
          <w:spacing w:val="-2"/>
        </w:rPr>
        <w:t>markets</w:t>
      </w:r>
      <w:r>
        <w:rPr>
          <w:spacing w:val="-8"/>
        </w:rPr>
        <w:t> </w:t>
      </w:r>
      <w:r>
        <w:rPr>
          <w:spacing w:val="-2"/>
        </w:rPr>
        <w:t>for</w:t>
      </w:r>
      <w:r>
        <w:rPr>
          <w:spacing w:val="-8"/>
        </w:rPr>
        <w:t> </w:t>
      </w:r>
      <w:r>
        <w:rPr>
          <w:spacing w:val="-2"/>
        </w:rPr>
        <w:t>identical</w:t>
      </w:r>
      <w:r>
        <w:rPr>
          <w:spacing w:val="-10"/>
        </w:rPr>
        <w:t> </w:t>
      </w:r>
      <w:r>
        <w:rPr>
          <w:spacing w:val="-2"/>
        </w:rPr>
        <w:t>assets</w:t>
      </w:r>
      <w:r>
        <w:rPr>
          <w:spacing w:val="-8"/>
        </w:rPr>
        <w:t> </w:t>
      </w:r>
      <w:r>
        <w:rPr>
          <w:spacing w:val="-2"/>
        </w:rPr>
        <w:t>or</w:t>
      </w:r>
      <w:r>
        <w:rPr>
          <w:spacing w:val="-8"/>
        </w:rPr>
        <w:t> </w:t>
      </w:r>
      <w:r>
        <w:rPr>
          <w:spacing w:val="-2"/>
        </w:rPr>
        <w:t>inputs</w:t>
      </w:r>
      <w:r>
        <w:rPr>
          <w:spacing w:val="-8"/>
        </w:rPr>
        <w:t> </w:t>
      </w:r>
      <w:r>
        <w:rPr>
          <w:spacing w:val="-2"/>
        </w:rPr>
        <w:t>other</w:t>
      </w:r>
      <w:r>
        <w:rPr>
          <w:spacing w:val="-8"/>
        </w:rPr>
        <w:t> </w:t>
      </w:r>
      <w:r>
        <w:rPr>
          <w:spacing w:val="-2"/>
        </w:rPr>
        <w:t>than</w:t>
      </w:r>
      <w:r>
        <w:rPr>
          <w:spacing w:val="-8"/>
        </w:rPr>
        <w:t> </w:t>
      </w:r>
      <w:r>
        <w:rPr>
          <w:spacing w:val="-2"/>
        </w:rPr>
        <w:t>quoted</w:t>
      </w:r>
      <w:r>
        <w:rPr>
          <w:spacing w:val="-8"/>
        </w:rPr>
        <w:t> </w:t>
      </w:r>
      <w:r>
        <w:rPr>
          <w:spacing w:val="-2"/>
        </w:rPr>
        <w:t>prices</w:t>
      </w:r>
      <w:r>
        <w:rPr>
          <w:spacing w:val="-8"/>
        </w:rPr>
        <w:t> </w:t>
      </w:r>
      <w:r>
        <w:rPr>
          <w:spacing w:val="-2"/>
        </w:rPr>
        <w:t>that</w:t>
      </w:r>
      <w:r>
        <w:rPr>
          <w:spacing w:val="-8"/>
        </w:rPr>
        <w:t> </w:t>
      </w:r>
      <w:r>
        <w:rPr>
          <w:spacing w:val="-2"/>
        </w:rPr>
        <w:t>are</w:t>
      </w:r>
      <w:r>
        <w:rPr>
          <w:spacing w:val="-8"/>
        </w:rPr>
        <w:t> </w:t>
      </w:r>
      <w:r>
        <w:rPr>
          <w:spacing w:val="-2"/>
        </w:rPr>
        <w:t>observable</w:t>
      </w:r>
      <w:r>
        <w:rPr>
          <w:spacing w:val="-10"/>
        </w:rPr>
        <w:t> </w:t>
      </w:r>
      <w:r>
        <w:rPr>
          <w:spacing w:val="-2"/>
        </w:rPr>
        <w:t>either</w:t>
      </w:r>
      <w:r>
        <w:rPr>
          <w:spacing w:val="-8"/>
        </w:rPr>
        <w:t> </w:t>
      </w:r>
      <w:r>
        <w:rPr>
          <w:spacing w:val="-2"/>
        </w:rPr>
        <w:t>directly</w:t>
      </w:r>
      <w:r>
        <w:rPr>
          <w:spacing w:val="-10"/>
        </w:rPr>
        <w:t> </w:t>
      </w:r>
      <w:r>
        <w:rPr>
          <w:spacing w:val="-2"/>
        </w:rPr>
        <w:t>or</w:t>
      </w:r>
      <w:r>
        <w:rPr>
          <w:spacing w:val="-8"/>
        </w:rPr>
        <w:t> </w:t>
      </w:r>
      <w:r>
        <w:rPr>
          <w:spacing w:val="-2"/>
        </w:rPr>
        <w:t>indirectly</w:t>
      </w:r>
      <w:r>
        <w:rPr>
          <w:spacing w:val="-8"/>
        </w:rPr>
        <w:t> </w:t>
      </w:r>
      <w:r>
        <w:rPr>
          <w:spacing w:val="-2"/>
        </w:rPr>
        <w:t>in</w:t>
      </w:r>
      <w:r>
        <w:rPr>
          <w:spacing w:val="-8"/>
        </w:rPr>
        <w:t> </w:t>
      </w:r>
      <w:r>
        <w:rPr>
          <w:spacing w:val="-2"/>
        </w:rPr>
        <w:t>determining </w:t>
      </w:r>
      <w:r>
        <w:rPr/>
        <w:t>fair</w:t>
      </w:r>
      <w:r>
        <w:rPr>
          <w:spacing w:val="-7"/>
        </w:rPr>
        <w:t> </w:t>
      </w:r>
      <w:r>
        <w:rPr/>
        <w:t>value,</w:t>
      </w:r>
      <w:r>
        <w:rPr>
          <w:spacing w:val="37"/>
        </w:rPr>
        <w:t> </w:t>
      </w:r>
      <w:r>
        <w:rPr/>
        <w:t>including</w:t>
      </w:r>
      <w:r>
        <w:rPr>
          <w:spacing w:val="-7"/>
        </w:rPr>
        <w:t> </w:t>
      </w:r>
      <w:r>
        <w:rPr/>
        <w:t>benchmark</w:t>
      </w:r>
      <w:r>
        <w:rPr>
          <w:spacing w:val="-7"/>
        </w:rPr>
        <w:t> </w:t>
      </w:r>
      <w:r>
        <w:rPr/>
        <w:t>yields,</w:t>
      </w:r>
      <w:r>
        <w:rPr>
          <w:spacing w:val="-7"/>
        </w:rPr>
        <w:t> </w:t>
      </w:r>
      <w:r>
        <w:rPr/>
        <w:t>issuer</w:t>
      </w:r>
      <w:r>
        <w:rPr>
          <w:spacing w:val="-7"/>
        </w:rPr>
        <w:t> </w:t>
      </w:r>
      <w:r>
        <w:rPr/>
        <w:t>spreads</w:t>
      </w:r>
      <w:r>
        <w:rPr>
          <w:spacing w:val="-7"/>
        </w:rPr>
        <w:t> </w:t>
      </w:r>
      <w:r>
        <w:rPr/>
        <w:t>off</w:t>
      </w:r>
      <w:r>
        <w:rPr>
          <w:spacing w:val="-7"/>
        </w:rPr>
        <w:t> </w:t>
      </w:r>
      <w:r>
        <w:rPr/>
        <w:t>benchmark</w:t>
      </w:r>
      <w:r>
        <w:rPr>
          <w:spacing w:val="-7"/>
        </w:rPr>
        <w:t> </w:t>
      </w:r>
      <w:r>
        <w:rPr/>
        <w:t>yields,</w:t>
      </w:r>
      <w:r>
        <w:rPr>
          <w:spacing w:val="-7"/>
        </w:rPr>
        <w:t> </w:t>
      </w:r>
      <w:r>
        <w:rPr/>
        <w:t>interest</w:t>
      </w:r>
      <w:r>
        <w:rPr>
          <w:spacing w:val="-8"/>
        </w:rPr>
        <w:t> </w:t>
      </w:r>
      <w:r>
        <w:rPr/>
        <w:t>rates</w:t>
      </w:r>
      <w:r>
        <w:rPr>
          <w:spacing w:val="-7"/>
        </w:rPr>
        <w:t> </w:t>
      </w:r>
      <w:r>
        <w:rPr/>
        <w:t>and</w:t>
      </w:r>
      <w:r>
        <w:rPr>
          <w:spacing w:val="-7"/>
        </w:rPr>
        <w:t> </w:t>
      </w:r>
      <w:r>
        <w:rPr/>
        <w:t>U.S.</w:t>
      </w:r>
      <w:r>
        <w:rPr>
          <w:spacing w:val="-10"/>
        </w:rPr>
        <w:t> </w:t>
      </w:r>
      <w:r>
        <w:rPr/>
        <w:t>Treasury</w:t>
      </w:r>
      <w:r>
        <w:rPr>
          <w:spacing w:val="-7"/>
        </w:rPr>
        <w:t> </w:t>
      </w:r>
      <w:r>
        <w:rPr/>
        <w:t>or</w:t>
      </w:r>
      <w:r>
        <w:rPr>
          <w:spacing w:val="-7"/>
        </w:rPr>
        <w:t> </w:t>
      </w:r>
      <w:r>
        <w:rPr/>
        <w:t>swap</w:t>
      </w:r>
      <w:r>
        <w:rPr>
          <w:spacing w:val="-7"/>
        </w:rPr>
        <w:t> </w:t>
      </w:r>
      <w:r>
        <w:rPr/>
        <w:t>curves.</w:t>
      </w:r>
      <w:r>
        <w:rPr>
          <w:spacing w:val="-10"/>
        </w:rPr>
        <w:t> </w:t>
      </w:r>
      <w:r>
        <w:rPr/>
        <w:t>We </w:t>
      </w:r>
      <w:r>
        <w:rPr>
          <w:spacing w:val="-2"/>
        </w:rPr>
        <w:t>therefore</w:t>
      </w:r>
      <w:r>
        <w:rPr>
          <w:spacing w:val="-6"/>
        </w:rPr>
        <w:t> </w:t>
      </w:r>
      <w:r>
        <w:rPr>
          <w:spacing w:val="-2"/>
        </w:rPr>
        <w:t>classify</w:t>
      </w:r>
      <w:r>
        <w:rPr>
          <w:spacing w:val="-6"/>
        </w:rPr>
        <w:t> </w:t>
      </w:r>
      <w:r>
        <w:rPr>
          <w:spacing w:val="-2"/>
        </w:rPr>
        <w:t>all</w:t>
      </w:r>
      <w:r>
        <w:rPr>
          <w:spacing w:val="-6"/>
        </w:rPr>
        <w:t> </w:t>
      </w:r>
      <w:r>
        <w:rPr>
          <w:spacing w:val="-2"/>
        </w:rPr>
        <w:t>of</w:t>
      </w:r>
      <w:r>
        <w:rPr>
          <w:spacing w:val="-6"/>
        </w:rPr>
        <w:t> </w:t>
      </w:r>
      <w:r>
        <w:rPr>
          <w:spacing w:val="-2"/>
        </w:rPr>
        <w:t>our</w:t>
      </w:r>
      <w:r>
        <w:rPr>
          <w:spacing w:val="-6"/>
        </w:rPr>
        <w:t> </w:t>
      </w:r>
      <w:r>
        <w:rPr>
          <w:spacing w:val="-2"/>
        </w:rPr>
        <w:t>fixed</w:t>
      </w:r>
      <w:r>
        <w:rPr>
          <w:spacing w:val="-6"/>
        </w:rPr>
        <w:t> </w:t>
      </w:r>
      <w:r>
        <w:rPr>
          <w:spacing w:val="-2"/>
        </w:rPr>
        <w:t>income</w:t>
      </w:r>
      <w:r>
        <w:rPr>
          <w:spacing w:val="-6"/>
        </w:rPr>
        <w:t> </w:t>
      </w:r>
      <w:r>
        <w:rPr>
          <w:spacing w:val="-2"/>
        </w:rPr>
        <w:t>available-for-sale</w:t>
      </w:r>
      <w:r>
        <w:rPr>
          <w:spacing w:val="-6"/>
        </w:rPr>
        <w:t> </w:t>
      </w:r>
      <w:r>
        <w:rPr>
          <w:spacing w:val="-2"/>
        </w:rPr>
        <w:t>securities</w:t>
      </w:r>
      <w:r>
        <w:rPr>
          <w:spacing w:val="-6"/>
        </w:rPr>
        <w:t> </w:t>
      </w:r>
      <w:r>
        <w:rPr>
          <w:spacing w:val="-2"/>
        </w:rPr>
        <w:t>as</w:t>
      </w:r>
      <w:r>
        <w:rPr>
          <w:spacing w:val="-6"/>
        </w:rPr>
        <w:t> </w:t>
      </w:r>
      <w:r>
        <w:rPr>
          <w:spacing w:val="-2"/>
        </w:rPr>
        <w:t>Level</w:t>
      </w:r>
      <w:r>
        <w:rPr>
          <w:spacing w:val="-6"/>
        </w:rPr>
        <w:t> </w:t>
      </w:r>
      <w:r>
        <w:rPr>
          <w:spacing w:val="-2"/>
        </w:rPr>
        <w:t>2.</w:t>
      </w:r>
      <w:r>
        <w:rPr>
          <w:spacing w:val="-9"/>
        </w:rPr>
        <w:t> </w:t>
      </w:r>
      <w:r>
        <w:rPr>
          <w:spacing w:val="-2"/>
        </w:rPr>
        <w:t>We</w:t>
      </w:r>
      <w:r>
        <w:rPr>
          <w:spacing w:val="-6"/>
        </w:rPr>
        <w:t> </w:t>
      </w:r>
      <w:r>
        <w:rPr>
          <w:spacing w:val="-2"/>
        </w:rPr>
        <w:t>perform</w:t>
      </w:r>
      <w:r>
        <w:rPr>
          <w:spacing w:val="-6"/>
        </w:rPr>
        <w:t> </w:t>
      </w:r>
      <w:r>
        <w:rPr>
          <w:spacing w:val="-2"/>
        </w:rPr>
        <w:t>routine</w:t>
      </w:r>
      <w:r>
        <w:rPr>
          <w:spacing w:val="-6"/>
        </w:rPr>
        <w:t> </w:t>
      </w:r>
      <w:r>
        <w:rPr>
          <w:spacing w:val="-2"/>
        </w:rPr>
        <w:t>procedures</w:t>
      </w:r>
      <w:r>
        <w:rPr>
          <w:spacing w:val="-6"/>
        </w:rPr>
        <w:t> </w:t>
      </w:r>
      <w:r>
        <w:rPr>
          <w:spacing w:val="-2"/>
        </w:rPr>
        <w:t>such</w:t>
      </w:r>
      <w:r>
        <w:rPr>
          <w:spacing w:val="-6"/>
        </w:rPr>
        <w:t> </w:t>
      </w:r>
      <w:r>
        <w:rPr>
          <w:spacing w:val="-2"/>
        </w:rPr>
        <w:t>as</w:t>
      </w:r>
      <w:r>
        <w:rPr>
          <w:spacing w:val="-6"/>
        </w:rPr>
        <w:t> </w:t>
      </w:r>
      <w:r>
        <w:rPr>
          <w:spacing w:val="-2"/>
        </w:rPr>
        <w:t>comparing </w:t>
      </w:r>
      <w:r>
        <w:rPr/>
        <w:t>prices obtained from multiple independent sources to ensure that appropriate fair values are recorded.</w:t>
      </w:r>
    </w:p>
    <w:p>
      <w:pPr>
        <w:spacing w:after="0" w:line="249" w:lineRule="auto"/>
        <w:jc w:val="both"/>
        <w:sectPr>
          <w:type w:val="continuous"/>
          <w:pgSz w:w="12240" w:h="15840"/>
          <w:pgMar w:header="210" w:footer="610" w:top="680" w:bottom="280" w:left="780" w:right="740"/>
        </w:sectPr>
      </w:pPr>
    </w:p>
    <w:p>
      <w:pPr>
        <w:pStyle w:val="BodyText"/>
      </w:pPr>
    </w:p>
    <w:p>
      <w:pPr>
        <w:pStyle w:val="BodyText"/>
      </w:pPr>
    </w:p>
    <w:p>
      <w:pPr>
        <w:pStyle w:val="BodyText"/>
        <w:spacing w:before="30"/>
      </w:pPr>
    </w:p>
    <w:p>
      <w:pPr>
        <w:pStyle w:val="BodyText"/>
        <w:spacing w:line="249" w:lineRule="auto"/>
        <w:ind w:left="210" w:right="247" w:firstLine="540"/>
        <w:jc w:val="both"/>
      </w:pPr>
      <w:r>
        <w:rPr/>
        <w:t>The</w:t>
      </w:r>
      <w:r>
        <w:rPr>
          <w:spacing w:val="-7"/>
        </w:rPr>
        <w:t> </w:t>
      </w:r>
      <w:r>
        <w:rPr/>
        <w:t>fair</w:t>
      </w:r>
      <w:r>
        <w:rPr>
          <w:spacing w:val="-7"/>
        </w:rPr>
        <w:t> </w:t>
      </w:r>
      <w:r>
        <w:rPr/>
        <w:t>values</w:t>
      </w:r>
      <w:r>
        <w:rPr>
          <w:spacing w:val="-7"/>
        </w:rPr>
        <w:t> </w:t>
      </w:r>
      <w:r>
        <w:rPr/>
        <w:t>of</w:t>
      </w:r>
      <w:r>
        <w:rPr>
          <w:spacing w:val="-7"/>
        </w:rPr>
        <w:t> </w:t>
      </w:r>
      <w:r>
        <w:rPr/>
        <w:t>our</w:t>
      </w:r>
      <w:r>
        <w:rPr>
          <w:spacing w:val="-7"/>
        </w:rPr>
        <w:t> </w:t>
      </w:r>
      <w:r>
        <w:rPr/>
        <w:t>money</w:t>
      </w:r>
      <w:r>
        <w:rPr>
          <w:spacing w:val="-7"/>
        </w:rPr>
        <w:t> </w:t>
      </w:r>
      <w:r>
        <w:rPr/>
        <w:t>market</w:t>
      </w:r>
      <w:r>
        <w:rPr>
          <w:spacing w:val="-7"/>
        </w:rPr>
        <w:t> </w:t>
      </w:r>
      <w:r>
        <w:rPr/>
        <w:t>mutual</w:t>
      </w:r>
      <w:r>
        <w:rPr>
          <w:spacing w:val="-7"/>
        </w:rPr>
        <w:t> </w:t>
      </w:r>
      <w:r>
        <w:rPr/>
        <w:t>funds</w:t>
      </w:r>
      <w:r>
        <w:rPr>
          <w:spacing w:val="-7"/>
        </w:rPr>
        <w:t> </w:t>
      </w:r>
      <w:r>
        <w:rPr/>
        <w:t>and</w:t>
      </w:r>
      <w:r>
        <w:rPr>
          <w:spacing w:val="-7"/>
        </w:rPr>
        <w:t> </w:t>
      </w:r>
      <w:r>
        <w:rPr/>
        <w:t>time</w:t>
      </w:r>
      <w:r>
        <w:rPr>
          <w:spacing w:val="-7"/>
        </w:rPr>
        <w:t> </w:t>
      </w:r>
      <w:r>
        <w:rPr/>
        <w:t>deposits</w:t>
      </w:r>
      <w:r>
        <w:rPr>
          <w:spacing w:val="-7"/>
        </w:rPr>
        <w:t> </w:t>
      </w:r>
      <w:r>
        <w:rPr/>
        <w:t>are</w:t>
      </w:r>
      <w:r>
        <w:rPr>
          <w:spacing w:val="-7"/>
        </w:rPr>
        <w:t> </w:t>
      </w:r>
      <w:r>
        <w:rPr/>
        <w:t>based</w:t>
      </w:r>
      <w:r>
        <w:rPr>
          <w:spacing w:val="-7"/>
        </w:rPr>
        <w:t> </w:t>
      </w:r>
      <w:r>
        <w:rPr/>
        <w:t>on</w:t>
      </w:r>
      <w:r>
        <w:rPr>
          <w:spacing w:val="-7"/>
        </w:rPr>
        <w:t> </w:t>
      </w:r>
      <w:r>
        <w:rPr/>
        <w:t>the</w:t>
      </w:r>
      <w:r>
        <w:rPr>
          <w:spacing w:val="-7"/>
        </w:rPr>
        <w:t> </w:t>
      </w:r>
      <w:r>
        <w:rPr/>
        <w:t>closing</w:t>
      </w:r>
      <w:r>
        <w:rPr>
          <w:spacing w:val="-7"/>
        </w:rPr>
        <w:t> </w:t>
      </w:r>
      <w:r>
        <w:rPr/>
        <w:t>price</w:t>
      </w:r>
      <w:r>
        <w:rPr>
          <w:spacing w:val="-7"/>
        </w:rPr>
        <w:t> </w:t>
      </w:r>
      <w:r>
        <w:rPr/>
        <w:t>of</w:t>
      </w:r>
      <w:r>
        <w:rPr>
          <w:spacing w:val="-7"/>
        </w:rPr>
        <w:t> </w:t>
      </w:r>
      <w:r>
        <w:rPr/>
        <w:t>these</w:t>
      </w:r>
      <w:r>
        <w:rPr>
          <w:spacing w:val="-7"/>
        </w:rPr>
        <w:t> </w:t>
      </w:r>
      <w:r>
        <w:rPr/>
        <w:t>assets</w:t>
      </w:r>
      <w:r>
        <w:rPr>
          <w:spacing w:val="-7"/>
        </w:rPr>
        <w:t> </w:t>
      </w:r>
      <w:r>
        <w:rPr/>
        <w:t>as</w:t>
      </w:r>
      <w:r>
        <w:rPr>
          <w:spacing w:val="-7"/>
        </w:rPr>
        <w:t> </w:t>
      </w:r>
      <w:r>
        <w:rPr/>
        <w:t>of</w:t>
      </w:r>
      <w:r>
        <w:rPr>
          <w:spacing w:val="-7"/>
        </w:rPr>
        <w:t> </w:t>
      </w:r>
      <w:r>
        <w:rPr/>
        <w:t>the reporting date. We classify our money market mutual funds and time deposits as Level 1.</w:t>
      </w:r>
    </w:p>
    <w:p>
      <w:pPr>
        <w:pStyle w:val="BodyText"/>
        <w:spacing w:line="249" w:lineRule="auto" w:before="181"/>
        <w:ind w:left="210" w:right="248" w:firstLine="540"/>
        <w:jc w:val="both"/>
      </w:pPr>
      <w:r>
        <w:rPr/>
        <w:t>Our Level 2 over-the-counter foreign currency and interest rate swap derivatives are valued using pricing models and discounted cash flow methodologies based on observable foreign exchange and interest rate data at the measurement date.</w:t>
      </w:r>
    </w:p>
    <w:p>
      <w:pPr>
        <w:pStyle w:val="BodyText"/>
        <w:spacing w:before="182"/>
        <w:ind w:left="750"/>
      </w:pPr>
      <w:r>
        <w:rPr/>
        <w:t>Our</w:t>
      </w:r>
      <w:r>
        <w:rPr>
          <w:spacing w:val="-2"/>
        </w:rPr>
        <w:t> </w:t>
      </w:r>
      <w:r>
        <w:rPr/>
        <w:t>deferred</w:t>
      </w:r>
      <w:r>
        <w:rPr>
          <w:spacing w:val="-1"/>
        </w:rPr>
        <w:t> </w:t>
      </w:r>
      <w:r>
        <w:rPr/>
        <w:t>compensation</w:t>
      </w:r>
      <w:r>
        <w:rPr>
          <w:spacing w:val="-1"/>
        </w:rPr>
        <w:t> </w:t>
      </w:r>
      <w:r>
        <w:rPr/>
        <w:t>plan</w:t>
      </w:r>
      <w:r>
        <w:rPr>
          <w:spacing w:val="-1"/>
        </w:rPr>
        <w:t> </w:t>
      </w:r>
      <w:r>
        <w:rPr/>
        <w:t>assets</w:t>
      </w:r>
      <w:r>
        <w:rPr>
          <w:spacing w:val="-1"/>
        </w:rPr>
        <w:t> </w:t>
      </w:r>
      <w:r>
        <w:rPr/>
        <w:t>consist</w:t>
      </w:r>
      <w:r>
        <w:rPr>
          <w:spacing w:val="-1"/>
        </w:rPr>
        <w:t> </w:t>
      </w:r>
      <w:r>
        <w:rPr/>
        <w:t>of</w:t>
      </w:r>
      <w:r>
        <w:rPr>
          <w:spacing w:val="-1"/>
        </w:rPr>
        <w:t> </w:t>
      </w:r>
      <w:r>
        <w:rPr/>
        <w:t>money</w:t>
      </w:r>
      <w:r>
        <w:rPr>
          <w:spacing w:val="-1"/>
        </w:rPr>
        <w:t> </w:t>
      </w:r>
      <w:r>
        <w:rPr/>
        <w:t>market</w:t>
      </w:r>
      <w:r>
        <w:rPr>
          <w:spacing w:val="-1"/>
        </w:rPr>
        <w:t> </w:t>
      </w:r>
      <w:r>
        <w:rPr/>
        <w:t>mutual</w:t>
      </w:r>
      <w:r>
        <w:rPr>
          <w:spacing w:val="-2"/>
        </w:rPr>
        <w:t> </w:t>
      </w:r>
      <w:r>
        <w:rPr/>
        <w:t>funds</w:t>
      </w:r>
      <w:r>
        <w:rPr>
          <w:spacing w:val="-1"/>
        </w:rPr>
        <w:t> </w:t>
      </w:r>
      <w:r>
        <w:rPr/>
        <w:t>and other</w:t>
      </w:r>
      <w:r>
        <w:rPr>
          <w:spacing w:val="-1"/>
        </w:rPr>
        <w:t> </w:t>
      </w:r>
      <w:r>
        <w:rPr/>
        <w:t>mutual</w:t>
      </w:r>
      <w:r>
        <w:rPr>
          <w:spacing w:val="-1"/>
        </w:rPr>
        <w:t> </w:t>
      </w:r>
      <w:r>
        <w:rPr>
          <w:spacing w:val="-2"/>
        </w:rPr>
        <w:t>funds.</w:t>
      </w:r>
    </w:p>
    <w:p>
      <w:pPr>
        <w:spacing w:before="190"/>
        <w:ind w:left="210" w:right="0" w:firstLine="0"/>
        <w:jc w:val="left"/>
        <w:rPr>
          <w:i/>
          <w:sz w:val="20"/>
        </w:rPr>
      </w:pPr>
      <w:r>
        <w:rPr>
          <w:i/>
          <w:sz w:val="20"/>
        </w:rPr>
        <w:t>Assets</w:t>
      </w:r>
      <w:r>
        <w:rPr>
          <w:i/>
          <w:spacing w:val="-9"/>
          <w:sz w:val="20"/>
        </w:rPr>
        <w:t> </w:t>
      </w:r>
      <w:r>
        <w:rPr>
          <w:i/>
          <w:sz w:val="20"/>
        </w:rPr>
        <w:t>and</w:t>
      </w:r>
      <w:r>
        <w:rPr>
          <w:i/>
          <w:spacing w:val="-7"/>
          <w:sz w:val="20"/>
        </w:rPr>
        <w:t> </w:t>
      </w:r>
      <w:r>
        <w:rPr>
          <w:i/>
          <w:sz w:val="20"/>
        </w:rPr>
        <w:t>Liabilities</w:t>
      </w:r>
      <w:r>
        <w:rPr>
          <w:i/>
          <w:spacing w:val="-6"/>
          <w:sz w:val="20"/>
        </w:rPr>
        <w:t> </w:t>
      </w:r>
      <w:r>
        <w:rPr>
          <w:i/>
          <w:sz w:val="20"/>
        </w:rPr>
        <w:t>Measured</w:t>
      </w:r>
      <w:r>
        <w:rPr>
          <w:i/>
          <w:spacing w:val="-7"/>
          <w:sz w:val="20"/>
        </w:rPr>
        <w:t> </w:t>
      </w:r>
      <w:r>
        <w:rPr>
          <w:i/>
          <w:sz w:val="20"/>
        </w:rPr>
        <w:t>at</w:t>
      </w:r>
      <w:r>
        <w:rPr>
          <w:i/>
          <w:spacing w:val="-6"/>
          <w:sz w:val="20"/>
        </w:rPr>
        <w:t> </w:t>
      </w:r>
      <w:r>
        <w:rPr>
          <w:i/>
          <w:sz w:val="20"/>
        </w:rPr>
        <w:t>Fair</w:t>
      </w:r>
      <w:r>
        <w:rPr>
          <w:i/>
          <w:spacing w:val="-7"/>
          <w:sz w:val="20"/>
        </w:rPr>
        <w:t> </w:t>
      </w:r>
      <w:r>
        <w:rPr>
          <w:i/>
          <w:sz w:val="20"/>
        </w:rPr>
        <w:t>Value</w:t>
      </w:r>
      <w:r>
        <w:rPr>
          <w:i/>
          <w:spacing w:val="-7"/>
          <w:sz w:val="20"/>
        </w:rPr>
        <w:t> </w:t>
      </w:r>
      <w:r>
        <w:rPr>
          <w:i/>
          <w:sz w:val="20"/>
        </w:rPr>
        <w:t>on</w:t>
      </w:r>
      <w:r>
        <w:rPr>
          <w:i/>
          <w:spacing w:val="-6"/>
          <w:sz w:val="20"/>
        </w:rPr>
        <w:t> </w:t>
      </w:r>
      <w:r>
        <w:rPr>
          <w:i/>
          <w:sz w:val="20"/>
        </w:rPr>
        <w:t>a</w:t>
      </w:r>
      <w:r>
        <w:rPr>
          <w:i/>
          <w:spacing w:val="-7"/>
          <w:sz w:val="20"/>
        </w:rPr>
        <w:t> </w:t>
      </w:r>
      <w:r>
        <w:rPr>
          <w:i/>
          <w:sz w:val="20"/>
        </w:rPr>
        <w:t>Nonrecurring</w:t>
      </w:r>
      <w:r>
        <w:rPr>
          <w:i/>
          <w:spacing w:val="-6"/>
          <w:sz w:val="20"/>
        </w:rPr>
        <w:t> </w:t>
      </w:r>
      <w:r>
        <w:rPr>
          <w:i/>
          <w:spacing w:val="-2"/>
          <w:sz w:val="20"/>
        </w:rPr>
        <w:t>Basis</w:t>
      </w:r>
    </w:p>
    <w:p>
      <w:pPr>
        <w:pStyle w:val="BodyText"/>
        <w:spacing w:line="249" w:lineRule="auto" w:before="190"/>
        <w:ind w:left="210" w:right="247" w:firstLine="540"/>
        <w:jc w:val="both"/>
      </w:pPr>
      <w:r>
        <w:rPr/>
        <w:t>We also have direct investments in privately held companies accounted for under the cost and equity method, which are </w:t>
      </w:r>
      <w:r>
        <w:rPr>
          <w:spacing w:val="-2"/>
        </w:rPr>
        <w:t>periodically</w:t>
      </w:r>
      <w:r>
        <w:rPr>
          <w:spacing w:val="-4"/>
        </w:rPr>
        <w:t> </w:t>
      </w:r>
      <w:r>
        <w:rPr>
          <w:spacing w:val="-2"/>
        </w:rPr>
        <w:t>assessed</w:t>
      </w:r>
      <w:r>
        <w:rPr>
          <w:spacing w:val="-4"/>
        </w:rPr>
        <w:t> </w:t>
      </w:r>
      <w:r>
        <w:rPr>
          <w:spacing w:val="-2"/>
        </w:rPr>
        <w:t>for</w:t>
      </w:r>
      <w:r>
        <w:rPr>
          <w:spacing w:val="-4"/>
        </w:rPr>
        <w:t> </w:t>
      </w:r>
      <w:r>
        <w:rPr>
          <w:spacing w:val="-2"/>
        </w:rPr>
        <w:t>other-than-temporary</w:t>
      </w:r>
      <w:r>
        <w:rPr>
          <w:spacing w:val="-5"/>
        </w:rPr>
        <w:t> </w:t>
      </w:r>
      <w:r>
        <w:rPr>
          <w:spacing w:val="-2"/>
        </w:rPr>
        <w:t>impairment.</w:t>
      </w:r>
      <w:r>
        <w:rPr>
          <w:spacing w:val="-4"/>
        </w:rPr>
        <w:t> </w:t>
      </w:r>
      <w:r>
        <w:rPr>
          <w:spacing w:val="-2"/>
        </w:rPr>
        <w:t>If</w:t>
      </w:r>
      <w:r>
        <w:rPr>
          <w:spacing w:val="-4"/>
        </w:rPr>
        <w:t> </w:t>
      </w:r>
      <w:r>
        <w:rPr>
          <w:spacing w:val="-2"/>
        </w:rPr>
        <w:t>we</w:t>
      </w:r>
      <w:r>
        <w:rPr>
          <w:spacing w:val="-5"/>
        </w:rPr>
        <w:t> </w:t>
      </w:r>
      <w:r>
        <w:rPr>
          <w:spacing w:val="-2"/>
        </w:rPr>
        <w:t>determine</w:t>
      </w:r>
      <w:r>
        <w:rPr>
          <w:spacing w:val="-5"/>
        </w:rPr>
        <w:t> </w:t>
      </w:r>
      <w:r>
        <w:rPr>
          <w:spacing w:val="-2"/>
        </w:rPr>
        <w:t>that</w:t>
      </w:r>
      <w:r>
        <w:rPr>
          <w:spacing w:val="-4"/>
        </w:rPr>
        <w:t> </w:t>
      </w:r>
      <w:r>
        <w:rPr>
          <w:spacing w:val="-2"/>
        </w:rPr>
        <w:t>an</w:t>
      </w:r>
      <w:r>
        <w:rPr>
          <w:spacing w:val="-4"/>
        </w:rPr>
        <w:t> </w:t>
      </w:r>
      <w:r>
        <w:rPr>
          <w:spacing w:val="-2"/>
        </w:rPr>
        <w:t>other-than-temporary</w:t>
      </w:r>
      <w:r>
        <w:rPr>
          <w:spacing w:val="-5"/>
        </w:rPr>
        <w:t> </w:t>
      </w:r>
      <w:r>
        <w:rPr>
          <w:spacing w:val="-2"/>
        </w:rPr>
        <w:t>impairment</w:t>
      </w:r>
      <w:r>
        <w:rPr>
          <w:spacing w:val="-5"/>
        </w:rPr>
        <w:t> </w:t>
      </w:r>
      <w:r>
        <w:rPr>
          <w:spacing w:val="-2"/>
        </w:rPr>
        <w:t>has</w:t>
      </w:r>
      <w:r>
        <w:rPr>
          <w:spacing w:val="-4"/>
        </w:rPr>
        <w:t> </w:t>
      </w:r>
      <w:r>
        <w:rPr>
          <w:spacing w:val="-2"/>
        </w:rPr>
        <w:t>occurred, </w:t>
      </w:r>
      <w:r>
        <w:rPr/>
        <w:t>we write down the investment to its fair value. We estimate fair value of our cost and equity method investments considering available</w:t>
      </w:r>
      <w:r>
        <w:rPr>
          <w:spacing w:val="-13"/>
        </w:rPr>
        <w:t> </w:t>
      </w:r>
      <w:r>
        <w:rPr/>
        <w:t>information</w:t>
      </w:r>
      <w:r>
        <w:rPr>
          <w:spacing w:val="-12"/>
        </w:rPr>
        <w:t> </w:t>
      </w:r>
      <w:r>
        <w:rPr/>
        <w:t>such</w:t>
      </w:r>
      <w:r>
        <w:rPr>
          <w:spacing w:val="-13"/>
        </w:rPr>
        <w:t> </w:t>
      </w:r>
      <w:r>
        <w:rPr/>
        <w:t>as</w:t>
      </w:r>
      <w:r>
        <w:rPr>
          <w:spacing w:val="-12"/>
        </w:rPr>
        <w:t> </w:t>
      </w:r>
      <w:r>
        <w:rPr/>
        <w:t>pricing</w:t>
      </w:r>
      <w:r>
        <w:rPr>
          <w:spacing w:val="-13"/>
        </w:rPr>
        <w:t> </w:t>
      </w:r>
      <w:r>
        <w:rPr/>
        <w:t>in</w:t>
      </w:r>
      <w:r>
        <w:rPr>
          <w:spacing w:val="-12"/>
        </w:rPr>
        <w:t> </w:t>
      </w:r>
      <w:r>
        <w:rPr/>
        <w:t>recent</w:t>
      </w:r>
      <w:r>
        <w:rPr>
          <w:spacing w:val="-13"/>
        </w:rPr>
        <w:t> </w:t>
      </w:r>
      <w:r>
        <w:rPr/>
        <w:t>rounds</w:t>
      </w:r>
      <w:r>
        <w:rPr>
          <w:spacing w:val="-12"/>
        </w:rPr>
        <w:t> </w:t>
      </w:r>
      <w:r>
        <w:rPr/>
        <w:t>of</w:t>
      </w:r>
      <w:r>
        <w:rPr>
          <w:spacing w:val="-13"/>
        </w:rPr>
        <w:t> </w:t>
      </w:r>
      <w:r>
        <w:rPr/>
        <w:t>financing,</w:t>
      </w:r>
      <w:r>
        <w:rPr>
          <w:spacing w:val="-12"/>
        </w:rPr>
        <w:t> </w:t>
      </w:r>
      <w:r>
        <w:rPr/>
        <w:t>current</w:t>
      </w:r>
      <w:r>
        <w:rPr>
          <w:spacing w:val="-13"/>
        </w:rPr>
        <w:t> </w:t>
      </w:r>
      <w:r>
        <w:rPr/>
        <w:t>cash</w:t>
      </w:r>
      <w:r>
        <w:rPr>
          <w:spacing w:val="-12"/>
        </w:rPr>
        <w:t> </w:t>
      </w:r>
      <w:r>
        <w:rPr/>
        <w:t>positions,</w:t>
      </w:r>
      <w:r>
        <w:rPr>
          <w:spacing w:val="-13"/>
        </w:rPr>
        <w:t> </w:t>
      </w:r>
      <w:r>
        <w:rPr/>
        <w:t>earnings</w:t>
      </w:r>
      <w:r>
        <w:rPr>
          <w:spacing w:val="-12"/>
        </w:rPr>
        <w:t> </w:t>
      </w:r>
      <w:r>
        <w:rPr/>
        <w:t>and</w:t>
      </w:r>
      <w:r>
        <w:rPr>
          <w:spacing w:val="-13"/>
        </w:rPr>
        <w:t> </w:t>
      </w:r>
      <w:r>
        <w:rPr/>
        <w:t>cash</w:t>
      </w:r>
      <w:r>
        <w:rPr>
          <w:spacing w:val="-12"/>
        </w:rPr>
        <w:t> </w:t>
      </w:r>
      <w:r>
        <w:rPr/>
        <w:t>flow</w:t>
      </w:r>
      <w:r>
        <w:rPr>
          <w:spacing w:val="-13"/>
        </w:rPr>
        <w:t> </w:t>
      </w:r>
      <w:r>
        <w:rPr/>
        <w:t>forecasts,</w:t>
      </w:r>
      <w:r>
        <w:rPr>
          <w:spacing w:val="-12"/>
        </w:rPr>
        <w:t> </w:t>
      </w:r>
      <w:r>
        <w:rPr/>
        <w:t>recent operational</w:t>
      </w:r>
      <w:r>
        <w:rPr>
          <w:spacing w:val="-4"/>
        </w:rPr>
        <w:t> </w:t>
      </w:r>
      <w:r>
        <w:rPr/>
        <w:t>performance</w:t>
      </w:r>
      <w:r>
        <w:rPr>
          <w:spacing w:val="-3"/>
        </w:rPr>
        <w:t> </w:t>
      </w:r>
      <w:r>
        <w:rPr/>
        <w:t>and</w:t>
      </w:r>
      <w:r>
        <w:rPr>
          <w:spacing w:val="-3"/>
        </w:rPr>
        <w:t> </w:t>
      </w:r>
      <w:r>
        <w:rPr/>
        <w:t>any</w:t>
      </w:r>
      <w:r>
        <w:rPr>
          <w:spacing w:val="-3"/>
        </w:rPr>
        <w:t> </w:t>
      </w:r>
      <w:r>
        <w:rPr/>
        <w:t>other</w:t>
      </w:r>
      <w:r>
        <w:rPr>
          <w:spacing w:val="-3"/>
        </w:rPr>
        <w:t> </w:t>
      </w:r>
      <w:r>
        <w:rPr/>
        <w:t>readily</w:t>
      </w:r>
      <w:r>
        <w:rPr>
          <w:spacing w:val="-3"/>
        </w:rPr>
        <w:t> </w:t>
      </w:r>
      <w:r>
        <w:rPr/>
        <w:t>available</w:t>
      </w:r>
      <w:r>
        <w:rPr>
          <w:spacing w:val="-3"/>
        </w:rPr>
        <w:t> </w:t>
      </w:r>
      <w:r>
        <w:rPr/>
        <w:t>market</w:t>
      </w:r>
      <w:r>
        <w:rPr>
          <w:spacing w:val="-4"/>
        </w:rPr>
        <w:t> </w:t>
      </w:r>
      <w:r>
        <w:rPr/>
        <w:t>data.</w:t>
      </w:r>
      <w:r>
        <w:rPr>
          <w:spacing w:val="-3"/>
        </w:rPr>
        <w:t> </w:t>
      </w:r>
      <w:r>
        <w:rPr/>
        <w:t>During</w:t>
      </w:r>
      <w:r>
        <w:rPr>
          <w:spacing w:val="-3"/>
        </w:rPr>
        <w:t> </w:t>
      </w:r>
      <w:r>
        <w:rPr/>
        <w:t>fiscal</w:t>
      </w:r>
      <w:r>
        <w:rPr>
          <w:spacing w:val="-3"/>
        </w:rPr>
        <w:t> </w:t>
      </w:r>
      <w:r>
        <w:rPr/>
        <w:t>2017</w:t>
      </w:r>
      <w:r>
        <w:rPr>
          <w:spacing w:val="-3"/>
        </w:rPr>
        <w:t> </w:t>
      </w:r>
      <w:r>
        <w:rPr/>
        <w:t>and</w:t>
      </w:r>
      <w:r>
        <w:rPr>
          <w:spacing w:val="-3"/>
        </w:rPr>
        <w:t> </w:t>
      </w:r>
      <w:r>
        <w:rPr/>
        <w:t>2015,</w:t>
      </w:r>
      <w:r>
        <w:rPr>
          <w:spacing w:val="-3"/>
        </w:rPr>
        <w:t> </w:t>
      </w:r>
      <w:r>
        <w:rPr/>
        <w:t>we</w:t>
      </w:r>
      <w:r>
        <w:rPr>
          <w:spacing w:val="-3"/>
        </w:rPr>
        <w:t> </w:t>
      </w:r>
      <w:r>
        <w:rPr/>
        <w:t>determined</w:t>
      </w:r>
      <w:r>
        <w:rPr>
          <w:spacing w:val="-3"/>
        </w:rPr>
        <w:t> </w:t>
      </w:r>
      <w:r>
        <w:rPr/>
        <w:t>there</w:t>
      </w:r>
      <w:r>
        <w:rPr>
          <w:spacing w:val="-3"/>
        </w:rPr>
        <w:t> </w:t>
      </w:r>
      <w:r>
        <w:rPr/>
        <w:t>were</w:t>
      </w:r>
      <w:r>
        <w:rPr>
          <w:spacing w:val="-3"/>
        </w:rPr>
        <w:t> </w:t>
      </w:r>
      <w:r>
        <w:rPr/>
        <w:t>no other-than-temporary impairments on our cost and equity method investments. During fiscal 2016, we determined there were immaterial</w:t>
      </w:r>
      <w:r>
        <w:rPr>
          <w:spacing w:val="-3"/>
        </w:rPr>
        <w:t> </w:t>
      </w:r>
      <w:r>
        <w:rPr/>
        <w:t>other-than-temporary</w:t>
      </w:r>
      <w:r>
        <w:rPr>
          <w:spacing w:val="-3"/>
        </w:rPr>
        <w:t> </w:t>
      </w:r>
      <w:r>
        <w:rPr/>
        <w:t>impairments</w:t>
      </w:r>
      <w:r>
        <w:rPr>
          <w:spacing w:val="-2"/>
        </w:rPr>
        <w:t> </w:t>
      </w:r>
      <w:r>
        <w:rPr/>
        <w:t>on</w:t>
      </w:r>
      <w:r>
        <w:rPr>
          <w:spacing w:val="-3"/>
        </w:rPr>
        <w:t> </w:t>
      </w:r>
      <w:r>
        <w:rPr/>
        <w:t>certain</w:t>
      </w:r>
      <w:r>
        <w:rPr>
          <w:spacing w:val="-3"/>
        </w:rPr>
        <w:t> </w:t>
      </w:r>
      <w:r>
        <w:rPr/>
        <w:t>of</w:t>
      </w:r>
      <w:r>
        <w:rPr>
          <w:spacing w:val="-3"/>
        </w:rPr>
        <w:t> </w:t>
      </w:r>
      <w:r>
        <w:rPr/>
        <w:t>our</w:t>
      </w:r>
      <w:r>
        <w:rPr>
          <w:spacing w:val="-3"/>
        </w:rPr>
        <w:t> </w:t>
      </w:r>
      <w:r>
        <w:rPr/>
        <w:t>cost</w:t>
      </w:r>
      <w:r>
        <w:rPr>
          <w:spacing w:val="-3"/>
        </w:rPr>
        <w:t> </w:t>
      </w:r>
      <w:r>
        <w:rPr/>
        <w:t>method</w:t>
      </w:r>
      <w:r>
        <w:rPr>
          <w:spacing w:val="-3"/>
        </w:rPr>
        <w:t> </w:t>
      </w:r>
      <w:r>
        <w:rPr/>
        <w:t>investments</w:t>
      </w:r>
      <w:r>
        <w:rPr>
          <w:spacing w:val="-2"/>
        </w:rPr>
        <w:t> </w:t>
      </w:r>
      <w:r>
        <w:rPr/>
        <w:t>and</w:t>
      </w:r>
      <w:r>
        <w:rPr>
          <w:spacing w:val="-3"/>
        </w:rPr>
        <w:t> </w:t>
      </w:r>
      <w:r>
        <w:rPr/>
        <w:t>wrote</w:t>
      </w:r>
      <w:r>
        <w:rPr>
          <w:spacing w:val="-3"/>
        </w:rPr>
        <w:t> </w:t>
      </w:r>
      <w:r>
        <w:rPr/>
        <w:t>down</w:t>
      </w:r>
      <w:r>
        <w:rPr>
          <w:spacing w:val="-3"/>
        </w:rPr>
        <w:t> </w:t>
      </w:r>
      <w:r>
        <w:rPr/>
        <w:t>the</w:t>
      </w:r>
      <w:r>
        <w:rPr>
          <w:spacing w:val="-3"/>
        </w:rPr>
        <w:t> </w:t>
      </w:r>
      <w:r>
        <w:rPr/>
        <w:t>investments</w:t>
      </w:r>
      <w:r>
        <w:rPr>
          <w:spacing w:val="-2"/>
        </w:rPr>
        <w:t> </w:t>
      </w:r>
      <w:r>
        <w:rPr/>
        <w:t>to</w:t>
      </w:r>
      <w:r>
        <w:rPr>
          <w:spacing w:val="-3"/>
        </w:rPr>
        <w:t> </w:t>
      </w:r>
      <w:r>
        <w:rPr/>
        <w:t>fair </w:t>
      </w:r>
      <w:r>
        <w:rPr>
          <w:spacing w:val="-2"/>
        </w:rPr>
        <w:t>value.</w:t>
      </w:r>
    </w:p>
    <w:p>
      <w:pPr>
        <w:spacing w:line="249" w:lineRule="auto" w:before="187"/>
        <w:ind w:left="210" w:right="247" w:firstLine="540"/>
        <w:jc w:val="both"/>
        <w:rPr>
          <w:i/>
          <w:sz w:val="20"/>
        </w:rPr>
      </w:pPr>
      <w:r>
        <w:rPr>
          <w:sz w:val="20"/>
        </w:rPr>
        <w:t>The fair value of our senior notes was $1.98 billion as of December</w:t>
      </w:r>
      <w:r>
        <w:rPr>
          <w:spacing w:val="-1"/>
          <w:sz w:val="20"/>
        </w:rPr>
        <w:t> </w:t>
      </w:r>
      <w:r>
        <w:rPr>
          <w:sz w:val="20"/>
        </w:rPr>
        <w:t>1, 2017, based on observable market prices in less active markets and categorized as Level 2. </w:t>
      </w:r>
      <w:hyperlink w:history="true" w:anchor="_bookmark31">
        <w:r>
          <w:rPr>
            <w:i/>
            <w:sz w:val="20"/>
          </w:rPr>
          <w:t>See Note 15 for further details regarding our debt.</w:t>
        </w:r>
      </w:hyperlink>
    </w:p>
    <w:p>
      <w:pPr>
        <w:pStyle w:val="Heading1"/>
        <w:spacing w:before="181"/>
      </w:pPr>
      <w:bookmarkStart w:name="NOTE 5. DERIVATIVES AND HEDGING ACTIVITI" w:id="73"/>
      <w:bookmarkEnd w:id="73"/>
      <w:r>
        <w:rPr>
          <w:b w:val="0"/>
        </w:rPr>
      </w:r>
      <w:bookmarkStart w:name="_bookmark26" w:id="74"/>
      <w:bookmarkEnd w:id="74"/>
      <w:r>
        <w:rPr>
          <w:b w:val="0"/>
        </w:rPr>
      </w:r>
      <w:r>
        <w:rPr/>
        <w:t>NOTE</w:t>
      </w:r>
      <w:r>
        <w:rPr>
          <w:spacing w:val="-13"/>
        </w:rPr>
        <w:t> </w:t>
      </w:r>
      <w:r>
        <w:rPr/>
        <w:t>5.</w:t>
      </w:r>
      <w:r>
        <w:rPr>
          <w:spacing w:val="23"/>
        </w:rPr>
        <w:t> </w:t>
      </w:r>
      <w:r>
        <w:rPr/>
        <w:t>DERIVATIVES</w:t>
      </w:r>
      <w:r>
        <w:rPr>
          <w:spacing w:val="-13"/>
        </w:rPr>
        <w:t> </w:t>
      </w:r>
      <w:r>
        <w:rPr/>
        <w:t>AND</w:t>
      </w:r>
      <w:r>
        <w:rPr>
          <w:spacing w:val="-10"/>
        </w:rPr>
        <w:t> </w:t>
      </w:r>
      <w:r>
        <w:rPr/>
        <w:t>HEDGING</w:t>
      </w:r>
      <w:r>
        <w:rPr>
          <w:spacing w:val="-12"/>
        </w:rPr>
        <w:t> </w:t>
      </w:r>
      <w:r>
        <w:rPr>
          <w:spacing w:val="-2"/>
        </w:rPr>
        <w:t>ACTIVITIES</w:t>
      </w:r>
    </w:p>
    <w:p>
      <w:pPr>
        <w:spacing w:before="190"/>
        <w:ind w:left="220" w:right="0" w:firstLine="0"/>
        <w:jc w:val="left"/>
        <w:rPr>
          <w:i/>
          <w:sz w:val="20"/>
        </w:rPr>
      </w:pPr>
      <w:r>
        <w:rPr>
          <w:i/>
          <w:sz w:val="20"/>
        </w:rPr>
        <w:t>Hedge</w:t>
      </w:r>
      <w:r>
        <w:rPr>
          <w:i/>
          <w:spacing w:val="-4"/>
          <w:sz w:val="20"/>
        </w:rPr>
        <w:t> </w:t>
      </w:r>
      <w:r>
        <w:rPr>
          <w:i/>
          <w:sz w:val="20"/>
        </w:rPr>
        <w:t>Accounting and Hedging </w:t>
      </w:r>
      <w:r>
        <w:rPr>
          <w:i/>
          <w:spacing w:val="-2"/>
          <w:sz w:val="20"/>
        </w:rPr>
        <w:t>Programs</w:t>
      </w:r>
    </w:p>
    <w:p>
      <w:pPr>
        <w:pStyle w:val="BodyText"/>
        <w:spacing w:line="249" w:lineRule="auto" w:before="190"/>
        <w:ind w:left="220" w:right="257" w:firstLine="540"/>
        <w:jc w:val="both"/>
      </w:pPr>
      <w:r>
        <w:rPr/>
        <w:t>We</w:t>
      </w:r>
      <w:r>
        <w:rPr>
          <w:spacing w:val="-13"/>
        </w:rPr>
        <w:t> </w:t>
      </w:r>
      <w:r>
        <w:rPr/>
        <w:t>recognize</w:t>
      </w:r>
      <w:r>
        <w:rPr>
          <w:spacing w:val="-12"/>
        </w:rPr>
        <w:t> </w:t>
      </w:r>
      <w:r>
        <w:rPr/>
        <w:t>derivative</w:t>
      </w:r>
      <w:r>
        <w:rPr>
          <w:spacing w:val="-13"/>
        </w:rPr>
        <w:t> </w:t>
      </w:r>
      <w:r>
        <w:rPr/>
        <w:t>instruments</w:t>
      </w:r>
      <w:r>
        <w:rPr>
          <w:spacing w:val="-12"/>
        </w:rPr>
        <w:t> </w:t>
      </w:r>
      <w:r>
        <w:rPr/>
        <w:t>and</w:t>
      </w:r>
      <w:r>
        <w:rPr>
          <w:spacing w:val="-13"/>
        </w:rPr>
        <w:t> </w:t>
      </w:r>
      <w:r>
        <w:rPr/>
        <w:t>hedging</w:t>
      </w:r>
      <w:r>
        <w:rPr>
          <w:spacing w:val="-12"/>
        </w:rPr>
        <w:t> </w:t>
      </w:r>
      <w:r>
        <w:rPr/>
        <w:t>activities</w:t>
      </w:r>
      <w:r>
        <w:rPr>
          <w:spacing w:val="-13"/>
        </w:rPr>
        <w:t> </w:t>
      </w:r>
      <w:r>
        <w:rPr/>
        <w:t>as</w:t>
      </w:r>
      <w:r>
        <w:rPr>
          <w:spacing w:val="-12"/>
        </w:rPr>
        <w:t> </w:t>
      </w:r>
      <w:r>
        <w:rPr/>
        <w:t>either</w:t>
      </w:r>
      <w:r>
        <w:rPr>
          <w:spacing w:val="-13"/>
        </w:rPr>
        <w:t> </w:t>
      </w:r>
      <w:r>
        <w:rPr/>
        <w:t>assets</w:t>
      </w:r>
      <w:r>
        <w:rPr>
          <w:spacing w:val="-12"/>
        </w:rPr>
        <w:t> </w:t>
      </w:r>
      <w:r>
        <w:rPr/>
        <w:t>or</w:t>
      </w:r>
      <w:r>
        <w:rPr>
          <w:spacing w:val="-13"/>
        </w:rPr>
        <w:t> </w:t>
      </w:r>
      <w:r>
        <w:rPr/>
        <w:t>liabilities</w:t>
      </w:r>
      <w:r>
        <w:rPr>
          <w:spacing w:val="-12"/>
        </w:rPr>
        <w:t> </w:t>
      </w:r>
      <w:r>
        <w:rPr/>
        <w:t>in</w:t>
      </w:r>
      <w:r>
        <w:rPr>
          <w:spacing w:val="-13"/>
        </w:rPr>
        <w:t> </w:t>
      </w:r>
      <w:r>
        <w:rPr/>
        <w:t>our</w:t>
      </w:r>
      <w:r>
        <w:rPr>
          <w:spacing w:val="-12"/>
        </w:rPr>
        <w:t> </w:t>
      </w:r>
      <w:r>
        <w:rPr/>
        <w:t>Consolidated</w:t>
      </w:r>
      <w:r>
        <w:rPr>
          <w:spacing w:val="-13"/>
        </w:rPr>
        <w:t> </w:t>
      </w:r>
      <w:r>
        <w:rPr/>
        <w:t>Balance</w:t>
      </w:r>
      <w:r>
        <w:rPr>
          <w:spacing w:val="-12"/>
        </w:rPr>
        <w:t> </w:t>
      </w:r>
      <w:r>
        <w:rPr/>
        <w:t>Sheets and measure them at fair value. Gains and losses resulting from changes in fair value</w:t>
      </w:r>
      <w:r>
        <w:rPr>
          <w:spacing w:val="-1"/>
        </w:rPr>
        <w:t> </w:t>
      </w:r>
      <w:r>
        <w:rPr/>
        <w:t>are accounted for depending on the use of the derivative and whether it is designated and qualifies for hedge accounting.</w:t>
      </w:r>
    </w:p>
    <w:p>
      <w:pPr>
        <w:pStyle w:val="BodyText"/>
        <w:spacing w:line="249" w:lineRule="auto" w:before="183"/>
        <w:ind w:left="220" w:right="257" w:firstLine="540"/>
        <w:jc w:val="both"/>
      </w:pPr>
      <w:r>
        <w:rPr/>
        <w:t>We evaluate hedge effectiveness at the inception of the hedge prospectively as well as retrospectively, and record any ineffective portion of the hedging instruments in interest and other income (expense), net on our Consolidated Statements of </w:t>
      </w:r>
      <w:r>
        <w:rPr>
          <w:spacing w:val="-2"/>
        </w:rPr>
        <w:t>Income.</w:t>
      </w:r>
      <w:r>
        <w:rPr>
          <w:spacing w:val="-11"/>
        </w:rPr>
        <w:t> </w:t>
      </w:r>
      <w:r>
        <w:rPr>
          <w:spacing w:val="-2"/>
        </w:rPr>
        <w:t>The</w:t>
      </w:r>
      <w:r>
        <w:rPr>
          <w:spacing w:val="-10"/>
        </w:rPr>
        <w:t> </w:t>
      </w:r>
      <w:r>
        <w:rPr>
          <w:spacing w:val="-2"/>
        </w:rPr>
        <w:t>net</w:t>
      </w:r>
      <w:r>
        <w:rPr>
          <w:spacing w:val="-10"/>
        </w:rPr>
        <w:t> </w:t>
      </w:r>
      <w:r>
        <w:rPr>
          <w:spacing w:val="-2"/>
        </w:rPr>
        <w:t>gain</w:t>
      </w:r>
      <w:r>
        <w:rPr>
          <w:spacing w:val="-8"/>
        </w:rPr>
        <w:t> </w:t>
      </w:r>
      <w:r>
        <w:rPr>
          <w:spacing w:val="-2"/>
        </w:rPr>
        <w:t>(loss)</w:t>
      </w:r>
      <w:r>
        <w:rPr>
          <w:spacing w:val="-10"/>
        </w:rPr>
        <w:t> </w:t>
      </w:r>
      <w:r>
        <w:rPr>
          <w:spacing w:val="-2"/>
        </w:rPr>
        <w:t>recognized</w:t>
      </w:r>
      <w:r>
        <w:rPr>
          <w:spacing w:val="-10"/>
        </w:rPr>
        <w:t> </w:t>
      </w:r>
      <w:r>
        <w:rPr>
          <w:spacing w:val="-2"/>
        </w:rPr>
        <w:t>in</w:t>
      </w:r>
      <w:r>
        <w:rPr>
          <w:spacing w:val="-8"/>
        </w:rPr>
        <w:t> </w:t>
      </w:r>
      <w:r>
        <w:rPr>
          <w:spacing w:val="-2"/>
        </w:rPr>
        <w:t>interest</w:t>
      </w:r>
      <w:r>
        <w:rPr>
          <w:spacing w:val="-10"/>
        </w:rPr>
        <w:t> </w:t>
      </w:r>
      <w:r>
        <w:rPr>
          <w:spacing w:val="-2"/>
        </w:rPr>
        <w:t>and</w:t>
      </w:r>
      <w:r>
        <w:rPr>
          <w:spacing w:val="-8"/>
        </w:rPr>
        <w:t> </w:t>
      </w:r>
      <w:r>
        <w:rPr>
          <w:spacing w:val="-2"/>
        </w:rPr>
        <w:t>other</w:t>
      </w:r>
      <w:r>
        <w:rPr>
          <w:spacing w:val="-10"/>
        </w:rPr>
        <w:t> </w:t>
      </w:r>
      <w:r>
        <w:rPr>
          <w:spacing w:val="-2"/>
        </w:rPr>
        <w:t>income</w:t>
      </w:r>
      <w:r>
        <w:rPr>
          <w:spacing w:val="-10"/>
        </w:rPr>
        <w:t> </w:t>
      </w:r>
      <w:r>
        <w:rPr>
          <w:spacing w:val="-2"/>
        </w:rPr>
        <w:t>(expense),</w:t>
      </w:r>
      <w:r>
        <w:rPr>
          <w:spacing w:val="-10"/>
        </w:rPr>
        <w:t> </w:t>
      </w:r>
      <w:r>
        <w:rPr>
          <w:spacing w:val="-2"/>
        </w:rPr>
        <w:t>net</w:t>
      </w:r>
      <w:r>
        <w:rPr>
          <w:spacing w:val="-8"/>
        </w:rPr>
        <w:t> </w:t>
      </w:r>
      <w:r>
        <w:rPr>
          <w:spacing w:val="-2"/>
        </w:rPr>
        <w:t>for</w:t>
      </w:r>
      <w:r>
        <w:rPr>
          <w:spacing w:val="-10"/>
        </w:rPr>
        <w:t> </w:t>
      </w:r>
      <w:r>
        <w:rPr>
          <w:spacing w:val="-2"/>
        </w:rPr>
        <w:t>cash</w:t>
      </w:r>
      <w:r>
        <w:rPr>
          <w:spacing w:val="-8"/>
        </w:rPr>
        <w:t> </w:t>
      </w:r>
      <w:r>
        <w:rPr>
          <w:spacing w:val="-2"/>
        </w:rPr>
        <w:t>flow</w:t>
      </w:r>
      <w:r>
        <w:rPr>
          <w:spacing w:val="-8"/>
        </w:rPr>
        <w:t> </w:t>
      </w:r>
      <w:r>
        <w:rPr>
          <w:spacing w:val="-2"/>
        </w:rPr>
        <w:t>hedges</w:t>
      </w:r>
      <w:r>
        <w:rPr>
          <w:spacing w:val="-10"/>
        </w:rPr>
        <w:t> </w:t>
      </w:r>
      <w:r>
        <w:rPr>
          <w:spacing w:val="-2"/>
        </w:rPr>
        <w:t>due</w:t>
      </w:r>
      <w:r>
        <w:rPr>
          <w:spacing w:val="-10"/>
        </w:rPr>
        <w:t> </w:t>
      </w:r>
      <w:r>
        <w:rPr>
          <w:spacing w:val="-2"/>
        </w:rPr>
        <w:t>to</w:t>
      </w:r>
      <w:r>
        <w:rPr>
          <w:spacing w:val="-10"/>
        </w:rPr>
        <w:t> </w:t>
      </w:r>
      <w:r>
        <w:rPr>
          <w:spacing w:val="-2"/>
        </w:rPr>
        <w:t>hedge</w:t>
      </w:r>
      <w:r>
        <w:rPr>
          <w:spacing w:val="-10"/>
        </w:rPr>
        <w:t> </w:t>
      </w:r>
      <w:r>
        <w:rPr>
          <w:spacing w:val="-2"/>
        </w:rPr>
        <w:t>ineffectiveness </w:t>
      </w:r>
      <w:r>
        <w:rPr/>
        <w:t>was insignificant for all fiscal years presented. The time value of purchased contracts is recorded in interest and other income (expense), net in our Consolidated Statements of Income.</w:t>
      </w:r>
    </w:p>
    <w:p>
      <w:pPr>
        <w:pStyle w:val="BodyText"/>
        <w:spacing w:line="249" w:lineRule="auto" w:before="184"/>
        <w:ind w:left="220" w:right="257" w:firstLine="540"/>
        <w:jc w:val="both"/>
      </w:pPr>
      <w:r>
        <w:rPr/>
        <w:t>The bank counterparties to these contracts expose us to credit-related losses in the event of their nonperformance which are</w:t>
      </w:r>
      <w:r>
        <w:rPr>
          <w:spacing w:val="-12"/>
        </w:rPr>
        <w:t> </w:t>
      </w:r>
      <w:r>
        <w:rPr/>
        <w:t>largely</w:t>
      </w:r>
      <w:r>
        <w:rPr>
          <w:spacing w:val="-12"/>
        </w:rPr>
        <w:t> </w:t>
      </w:r>
      <w:r>
        <w:rPr/>
        <w:t>mitigated</w:t>
      </w:r>
      <w:r>
        <w:rPr>
          <w:spacing w:val="-12"/>
        </w:rPr>
        <w:t> </w:t>
      </w:r>
      <w:r>
        <w:rPr/>
        <w:t>with</w:t>
      </w:r>
      <w:r>
        <w:rPr>
          <w:spacing w:val="-12"/>
        </w:rPr>
        <w:t> </w:t>
      </w:r>
      <w:r>
        <w:rPr/>
        <w:t>collateral</w:t>
      </w:r>
      <w:r>
        <w:rPr>
          <w:spacing w:val="-12"/>
        </w:rPr>
        <w:t> </w:t>
      </w:r>
      <w:r>
        <w:rPr/>
        <w:t>security</w:t>
      </w:r>
      <w:r>
        <w:rPr>
          <w:spacing w:val="-12"/>
        </w:rPr>
        <w:t> </w:t>
      </w:r>
      <w:r>
        <w:rPr/>
        <w:t>agreements</w:t>
      </w:r>
      <w:r>
        <w:rPr>
          <w:spacing w:val="-12"/>
        </w:rPr>
        <w:t> </w:t>
      </w:r>
      <w:r>
        <w:rPr/>
        <w:t>that</w:t>
      </w:r>
      <w:r>
        <w:rPr>
          <w:spacing w:val="-12"/>
        </w:rPr>
        <w:t> </w:t>
      </w:r>
      <w:r>
        <w:rPr/>
        <w:t>provide</w:t>
      </w:r>
      <w:r>
        <w:rPr>
          <w:spacing w:val="-12"/>
        </w:rPr>
        <w:t> </w:t>
      </w:r>
      <w:r>
        <w:rPr/>
        <w:t>for</w:t>
      </w:r>
      <w:r>
        <w:rPr>
          <w:spacing w:val="-12"/>
        </w:rPr>
        <w:t> </w:t>
      </w:r>
      <w:r>
        <w:rPr/>
        <w:t>collateral</w:t>
      </w:r>
      <w:r>
        <w:rPr>
          <w:spacing w:val="-12"/>
        </w:rPr>
        <w:t> </w:t>
      </w:r>
      <w:r>
        <w:rPr/>
        <w:t>to</w:t>
      </w:r>
      <w:r>
        <w:rPr>
          <w:spacing w:val="-12"/>
        </w:rPr>
        <w:t> </w:t>
      </w:r>
      <w:r>
        <w:rPr/>
        <w:t>be</w:t>
      </w:r>
      <w:r>
        <w:rPr>
          <w:spacing w:val="-12"/>
        </w:rPr>
        <w:t> </w:t>
      </w:r>
      <w:r>
        <w:rPr/>
        <w:t>received</w:t>
      </w:r>
      <w:r>
        <w:rPr>
          <w:spacing w:val="-12"/>
        </w:rPr>
        <w:t> </w:t>
      </w:r>
      <w:r>
        <w:rPr/>
        <w:t>or</w:t>
      </w:r>
      <w:r>
        <w:rPr>
          <w:spacing w:val="-12"/>
        </w:rPr>
        <w:t> </w:t>
      </w:r>
      <w:r>
        <w:rPr/>
        <w:t>posted</w:t>
      </w:r>
      <w:r>
        <w:rPr>
          <w:spacing w:val="-12"/>
        </w:rPr>
        <w:t> </w:t>
      </w:r>
      <w:r>
        <w:rPr/>
        <w:t>when</w:t>
      </w:r>
      <w:r>
        <w:rPr>
          <w:spacing w:val="-12"/>
        </w:rPr>
        <w:t> </w:t>
      </w:r>
      <w:r>
        <w:rPr/>
        <w:t>the</w:t>
      </w:r>
      <w:r>
        <w:rPr>
          <w:spacing w:val="-12"/>
        </w:rPr>
        <w:t> </w:t>
      </w:r>
      <w:r>
        <w:rPr/>
        <w:t>net</w:t>
      </w:r>
      <w:r>
        <w:rPr>
          <w:spacing w:val="-12"/>
        </w:rPr>
        <w:t> </w:t>
      </w:r>
      <w:r>
        <w:rPr/>
        <w:t>fair</w:t>
      </w:r>
      <w:r>
        <w:rPr>
          <w:spacing w:val="-12"/>
        </w:rPr>
        <w:t> </w:t>
      </w:r>
      <w:r>
        <w:rPr/>
        <w:t>value of certain financial instruments fluctuates from contractually established thresholds. In addition, we enter into master netting arrangements</w:t>
      </w:r>
      <w:r>
        <w:rPr>
          <w:spacing w:val="-5"/>
        </w:rPr>
        <w:t> </w:t>
      </w:r>
      <w:r>
        <w:rPr/>
        <w:t>which</w:t>
      </w:r>
      <w:r>
        <w:rPr>
          <w:spacing w:val="-5"/>
        </w:rPr>
        <w:t> </w:t>
      </w:r>
      <w:r>
        <w:rPr/>
        <w:t>have</w:t>
      </w:r>
      <w:r>
        <w:rPr>
          <w:spacing w:val="-6"/>
        </w:rPr>
        <w:t> </w:t>
      </w:r>
      <w:r>
        <w:rPr/>
        <w:t>the</w:t>
      </w:r>
      <w:r>
        <w:rPr>
          <w:spacing w:val="-6"/>
        </w:rPr>
        <w:t> </w:t>
      </w:r>
      <w:r>
        <w:rPr/>
        <w:t>ability</w:t>
      </w:r>
      <w:r>
        <w:rPr>
          <w:spacing w:val="-5"/>
        </w:rPr>
        <w:t> </w:t>
      </w:r>
      <w:r>
        <w:rPr/>
        <w:t>to</w:t>
      </w:r>
      <w:r>
        <w:rPr>
          <w:spacing w:val="-5"/>
        </w:rPr>
        <w:t> </w:t>
      </w:r>
      <w:r>
        <w:rPr/>
        <w:t>further</w:t>
      </w:r>
      <w:r>
        <w:rPr>
          <w:spacing w:val="-6"/>
        </w:rPr>
        <w:t> </w:t>
      </w:r>
      <w:r>
        <w:rPr/>
        <w:t>limit</w:t>
      </w:r>
      <w:r>
        <w:rPr>
          <w:spacing w:val="-6"/>
        </w:rPr>
        <w:t> </w:t>
      </w:r>
      <w:r>
        <w:rPr/>
        <w:t>credit-related</w:t>
      </w:r>
      <w:r>
        <w:rPr>
          <w:spacing w:val="-5"/>
        </w:rPr>
        <w:t> </w:t>
      </w:r>
      <w:r>
        <w:rPr/>
        <w:t>losses</w:t>
      </w:r>
      <w:r>
        <w:rPr>
          <w:spacing w:val="-5"/>
        </w:rPr>
        <w:t> </w:t>
      </w:r>
      <w:r>
        <w:rPr/>
        <w:t>with</w:t>
      </w:r>
      <w:r>
        <w:rPr>
          <w:spacing w:val="-5"/>
        </w:rPr>
        <w:t> </w:t>
      </w:r>
      <w:r>
        <w:rPr/>
        <w:t>the</w:t>
      </w:r>
      <w:r>
        <w:rPr>
          <w:spacing w:val="-5"/>
        </w:rPr>
        <w:t> </w:t>
      </w:r>
      <w:r>
        <w:rPr/>
        <w:t>same</w:t>
      </w:r>
      <w:r>
        <w:rPr>
          <w:spacing w:val="-6"/>
        </w:rPr>
        <w:t> </w:t>
      </w:r>
      <w:r>
        <w:rPr/>
        <w:t>counterparty</w:t>
      </w:r>
      <w:r>
        <w:rPr>
          <w:spacing w:val="-5"/>
        </w:rPr>
        <w:t> </w:t>
      </w:r>
      <w:r>
        <w:rPr/>
        <w:t>by</w:t>
      </w:r>
      <w:r>
        <w:rPr>
          <w:spacing w:val="-5"/>
        </w:rPr>
        <w:t> </w:t>
      </w:r>
      <w:r>
        <w:rPr/>
        <w:t>permitting</w:t>
      </w:r>
      <w:r>
        <w:rPr>
          <w:spacing w:val="-5"/>
        </w:rPr>
        <w:t> </w:t>
      </w:r>
      <w:r>
        <w:rPr/>
        <w:t>net</w:t>
      </w:r>
      <w:r>
        <w:rPr>
          <w:spacing w:val="-6"/>
        </w:rPr>
        <w:t> </w:t>
      </w:r>
      <w:r>
        <w:rPr/>
        <w:t>settlement of transactions.</w:t>
      </w:r>
    </w:p>
    <w:p>
      <w:pPr>
        <w:spacing w:before="184"/>
        <w:ind w:left="220" w:right="0" w:firstLine="0"/>
        <w:jc w:val="left"/>
        <w:rPr>
          <w:i/>
          <w:sz w:val="20"/>
        </w:rPr>
      </w:pPr>
      <w:r>
        <w:rPr>
          <w:i/>
          <w:sz w:val="20"/>
        </w:rPr>
        <w:t>Balance</w:t>
      </w:r>
      <w:r>
        <w:rPr>
          <w:i/>
          <w:spacing w:val="-7"/>
          <w:sz w:val="20"/>
        </w:rPr>
        <w:t> </w:t>
      </w:r>
      <w:r>
        <w:rPr>
          <w:i/>
          <w:sz w:val="20"/>
        </w:rPr>
        <w:t>Sheet</w:t>
      </w:r>
      <w:r>
        <w:rPr>
          <w:i/>
          <w:spacing w:val="-4"/>
          <w:sz w:val="20"/>
        </w:rPr>
        <w:t> </w:t>
      </w:r>
      <w:r>
        <w:rPr>
          <w:i/>
          <w:sz w:val="20"/>
        </w:rPr>
        <w:t>Hedging</w:t>
      </w:r>
      <w:r>
        <w:rPr>
          <w:b/>
          <w:i/>
          <w:sz w:val="20"/>
        </w:rPr>
        <w:t>—</w:t>
      </w:r>
      <w:r>
        <w:rPr>
          <w:i/>
          <w:sz w:val="20"/>
        </w:rPr>
        <w:t>Hedges</w:t>
      </w:r>
      <w:r>
        <w:rPr>
          <w:i/>
          <w:spacing w:val="-5"/>
          <w:sz w:val="20"/>
        </w:rPr>
        <w:t> </w:t>
      </w:r>
      <w:r>
        <w:rPr>
          <w:i/>
          <w:sz w:val="20"/>
        </w:rPr>
        <w:t>of</w:t>
      </w:r>
      <w:r>
        <w:rPr>
          <w:i/>
          <w:spacing w:val="-4"/>
          <w:sz w:val="20"/>
        </w:rPr>
        <w:t> </w:t>
      </w:r>
      <w:r>
        <w:rPr>
          <w:i/>
          <w:sz w:val="20"/>
        </w:rPr>
        <w:t>Foreign</w:t>
      </w:r>
      <w:r>
        <w:rPr>
          <w:i/>
          <w:spacing w:val="-4"/>
          <w:sz w:val="20"/>
        </w:rPr>
        <w:t> </w:t>
      </w:r>
      <w:r>
        <w:rPr>
          <w:i/>
          <w:sz w:val="20"/>
        </w:rPr>
        <w:t>Currency</w:t>
      </w:r>
      <w:r>
        <w:rPr>
          <w:i/>
          <w:spacing w:val="-7"/>
          <w:sz w:val="20"/>
        </w:rPr>
        <w:t> </w:t>
      </w:r>
      <w:r>
        <w:rPr>
          <w:i/>
          <w:sz w:val="20"/>
        </w:rPr>
        <w:t>Assets</w:t>
      </w:r>
      <w:r>
        <w:rPr>
          <w:i/>
          <w:spacing w:val="-5"/>
          <w:sz w:val="20"/>
        </w:rPr>
        <w:t> </w:t>
      </w:r>
      <w:r>
        <w:rPr>
          <w:i/>
          <w:sz w:val="20"/>
        </w:rPr>
        <w:t>and</w:t>
      </w:r>
      <w:r>
        <w:rPr>
          <w:i/>
          <w:spacing w:val="-4"/>
          <w:sz w:val="20"/>
        </w:rPr>
        <w:t> </w:t>
      </w:r>
      <w:r>
        <w:rPr>
          <w:i/>
          <w:spacing w:val="-2"/>
          <w:sz w:val="20"/>
        </w:rPr>
        <w:t>Liabilities</w:t>
      </w:r>
    </w:p>
    <w:p>
      <w:pPr>
        <w:pStyle w:val="BodyText"/>
        <w:spacing w:line="249" w:lineRule="auto" w:before="190"/>
        <w:ind w:left="220" w:right="257" w:firstLine="540"/>
        <w:jc w:val="both"/>
      </w:pPr>
      <w:r>
        <w:rPr/>
        <w:t>We also hedge our net recognized foreign currency denominated assets and liabilities with foreign exchange forward contracts to reduce the risk that the value of these assets and liabilities will be adversely affected by changes in exchange rates. These</w:t>
      </w:r>
      <w:r>
        <w:rPr>
          <w:spacing w:val="-1"/>
        </w:rPr>
        <w:t> </w:t>
      </w:r>
      <w:r>
        <w:rPr/>
        <w:t>contracts hedge</w:t>
      </w:r>
      <w:r>
        <w:rPr>
          <w:spacing w:val="-1"/>
        </w:rPr>
        <w:t> </w:t>
      </w:r>
      <w:r>
        <w:rPr/>
        <w:t>assets and liabilities that are denominated in foreign currencies and are carried</w:t>
      </w:r>
      <w:r>
        <w:rPr>
          <w:spacing w:val="-1"/>
        </w:rPr>
        <w:t> </w:t>
      </w:r>
      <w:r>
        <w:rPr/>
        <w:t>at fair value</w:t>
      </w:r>
      <w:r>
        <w:rPr>
          <w:spacing w:val="-1"/>
        </w:rPr>
        <w:t> </w:t>
      </w:r>
      <w:r>
        <w:rPr/>
        <w:t>with changes in</w:t>
      </w:r>
      <w:r>
        <w:rPr>
          <w:spacing w:val="-2"/>
        </w:rPr>
        <w:t> </w:t>
      </w:r>
      <w:r>
        <w:rPr/>
        <w:t>the</w:t>
      </w:r>
      <w:r>
        <w:rPr>
          <w:spacing w:val="-2"/>
        </w:rPr>
        <w:t> </w:t>
      </w:r>
      <w:r>
        <w:rPr/>
        <w:t>fair</w:t>
      </w:r>
      <w:r>
        <w:rPr>
          <w:spacing w:val="-2"/>
        </w:rPr>
        <w:t> </w:t>
      </w:r>
      <w:r>
        <w:rPr/>
        <w:t>value</w:t>
      </w:r>
      <w:r>
        <w:rPr>
          <w:spacing w:val="-2"/>
        </w:rPr>
        <w:t> </w:t>
      </w:r>
      <w:r>
        <w:rPr/>
        <w:t>recorded</w:t>
      </w:r>
      <w:r>
        <w:rPr>
          <w:spacing w:val="-2"/>
        </w:rPr>
        <w:t> </w:t>
      </w:r>
      <w:r>
        <w:rPr/>
        <w:t>to</w:t>
      </w:r>
      <w:r>
        <w:rPr>
          <w:spacing w:val="-2"/>
        </w:rPr>
        <w:t> </w:t>
      </w:r>
      <w:r>
        <w:rPr/>
        <w:t>interest</w:t>
      </w:r>
      <w:r>
        <w:rPr>
          <w:spacing w:val="-2"/>
        </w:rPr>
        <w:t> </w:t>
      </w:r>
      <w:r>
        <w:rPr/>
        <w:t>and</w:t>
      </w:r>
      <w:r>
        <w:rPr>
          <w:spacing w:val="-2"/>
        </w:rPr>
        <w:t> </w:t>
      </w:r>
      <w:r>
        <w:rPr/>
        <w:t>other</w:t>
      </w:r>
      <w:r>
        <w:rPr>
          <w:spacing w:val="-2"/>
        </w:rPr>
        <w:t> </w:t>
      </w:r>
      <w:r>
        <w:rPr/>
        <w:t>income</w:t>
      </w:r>
      <w:r>
        <w:rPr>
          <w:spacing w:val="-2"/>
        </w:rPr>
        <w:t> </w:t>
      </w:r>
      <w:r>
        <w:rPr/>
        <w:t>(expense),</w:t>
      </w:r>
      <w:r>
        <w:rPr>
          <w:spacing w:val="-2"/>
        </w:rPr>
        <w:t> </w:t>
      </w:r>
      <w:r>
        <w:rPr/>
        <w:t>net</w:t>
      </w:r>
      <w:r>
        <w:rPr>
          <w:spacing w:val="-2"/>
        </w:rPr>
        <w:t> </w:t>
      </w:r>
      <w:r>
        <w:rPr/>
        <w:t>in</w:t>
      </w:r>
      <w:r>
        <w:rPr>
          <w:spacing w:val="-2"/>
        </w:rPr>
        <w:t> </w:t>
      </w:r>
      <w:r>
        <w:rPr/>
        <w:t>our</w:t>
      </w:r>
      <w:r>
        <w:rPr>
          <w:spacing w:val="-2"/>
        </w:rPr>
        <w:t> </w:t>
      </w:r>
      <w:r>
        <w:rPr/>
        <w:t>Consolidated</w:t>
      </w:r>
      <w:r>
        <w:rPr>
          <w:spacing w:val="-2"/>
        </w:rPr>
        <w:t> </w:t>
      </w:r>
      <w:r>
        <w:rPr/>
        <w:t>Statements</w:t>
      </w:r>
      <w:r>
        <w:rPr>
          <w:spacing w:val="-2"/>
        </w:rPr>
        <w:t> </w:t>
      </w:r>
      <w:r>
        <w:rPr/>
        <w:t>of</w:t>
      </w:r>
      <w:r>
        <w:rPr>
          <w:spacing w:val="-2"/>
        </w:rPr>
        <w:t> </w:t>
      </w:r>
      <w:r>
        <w:rPr/>
        <w:t>Income.</w:t>
      </w:r>
      <w:r>
        <w:rPr>
          <w:spacing w:val="-6"/>
        </w:rPr>
        <w:t> </w:t>
      </w:r>
      <w:r>
        <w:rPr/>
        <w:t>These</w:t>
      </w:r>
      <w:r>
        <w:rPr>
          <w:spacing w:val="-2"/>
        </w:rPr>
        <w:t> </w:t>
      </w:r>
      <w:r>
        <w:rPr/>
        <w:t>contracts do</w:t>
      </w:r>
      <w:r>
        <w:rPr>
          <w:spacing w:val="-8"/>
        </w:rPr>
        <w:t> </w:t>
      </w:r>
      <w:r>
        <w:rPr/>
        <w:t>not</w:t>
      </w:r>
      <w:r>
        <w:rPr>
          <w:spacing w:val="-8"/>
        </w:rPr>
        <w:t> </w:t>
      </w:r>
      <w:r>
        <w:rPr/>
        <w:t>subject</w:t>
      </w:r>
      <w:r>
        <w:rPr>
          <w:spacing w:val="-8"/>
        </w:rPr>
        <w:t> </w:t>
      </w:r>
      <w:r>
        <w:rPr/>
        <w:t>us</w:t>
      </w:r>
      <w:r>
        <w:rPr>
          <w:spacing w:val="-8"/>
        </w:rPr>
        <w:t> </w:t>
      </w:r>
      <w:r>
        <w:rPr/>
        <w:t>to</w:t>
      </w:r>
      <w:r>
        <w:rPr>
          <w:spacing w:val="-8"/>
        </w:rPr>
        <w:t> </w:t>
      </w:r>
      <w:r>
        <w:rPr/>
        <w:t>material</w:t>
      </w:r>
      <w:r>
        <w:rPr>
          <w:spacing w:val="-8"/>
        </w:rPr>
        <w:t> </w:t>
      </w:r>
      <w:r>
        <w:rPr/>
        <w:t>balance</w:t>
      </w:r>
      <w:r>
        <w:rPr>
          <w:spacing w:val="-8"/>
        </w:rPr>
        <w:t> </w:t>
      </w:r>
      <w:r>
        <w:rPr/>
        <w:t>sheet</w:t>
      </w:r>
      <w:r>
        <w:rPr>
          <w:spacing w:val="-8"/>
        </w:rPr>
        <w:t> </w:t>
      </w:r>
      <w:r>
        <w:rPr/>
        <w:t>risk</w:t>
      </w:r>
      <w:r>
        <w:rPr>
          <w:spacing w:val="-8"/>
        </w:rPr>
        <w:t> </w:t>
      </w:r>
      <w:r>
        <w:rPr/>
        <w:t>due</w:t>
      </w:r>
      <w:r>
        <w:rPr>
          <w:spacing w:val="-8"/>
        </w:rPr>
        <w:t> </w:t>
      </w:r>
      <w:r>
        <w:rPr/>
        <w:t>to</w:t>
      </w:r>
      <w:r>
        <w:rPr>
          <w:spacing w:val="-8"/>
        </w:rPr>
        <w:t> </w:t>
      </w:r>
      <w:r>
        <w:rPr/>
        <w:t>exchange</w:t>
      </w:r>
      <w:r>
        <w:rPr>
          <w:spacing w:val="-8"/>
        </w:rPr>
        <w:t> </w:t>
      </w:r>
      <w:r>
        <w:rPr/>
        <w:t>rate</w:t>
      </w:r>
      <w:r>
        <w:rPr>
          <w:spacing w:val="-8"/>
        </w:rPr>
        <w:t> </w:t>
      </w:r>
      <w:r>
        <w:rPr/>
        <w:t>movements</w:t>
      </w:r>
      <w:r>
        <w:rPr>
          <w:spacing w:val="-8"/>
        </w:rPr>
        <w:t> </w:t>
      </w:r>
      <w:r>
        <w:rPr/>
        <w:t>because</w:t>
      </w:r>
      <w:r>
        <w:rPr>
          <w:spacing w:val="-8"/>
        </w:rPr>
        <w:t> </w:t>
      </w:r>
      <w:r>
        <w:rPr/>
        <w:t>gains</w:t>
      </w:r>
      <w:r>
        <w:rPr>
          <w:spacing w:val="-8"/>
        </w:rPr>
        <w:t> </w:t>
      </w:r>
      <w:r>
        <w:rPr/>
        <w:t>and</w:t>
      </w:r>
      <w:r>
        <w:rPr>
          <w:spacing w:val="-8"/>
        </w:rPr>
        <w:t> </w:t>
      </w:r>
      <w:r>
        <w:rPr/>
        <w:t>losses</w:t>
      </w:r>
      <w:r>
        <w:rPr>
          <w:spacing w:val="-8"/>
        </w:rPr>
        <w:t> </w:t>
      </w:r>
      <w:r>
        <w:rPr/>
        <w:t>on</w:t>
      </w:r>
      <w:r>
        <w:rPr>
          <w:spacing w:val="-8"/>
        </w:rPr>
        <w:t> </w:t>
      </w:r>
      <w:r>
        <w:rPr/>
        <w:t>these</w:t>
      </w:r>
      <w:r>
        <w:rPr>
          <w:spacing w:val="-8"/>
        </w:rPr>
        <w:t> </w:t>
      </w:r>
      <w:r>
        <w:rPr/>
        <w:t>derivatives</w:t>
      </w:r>
      <w:r>
        <w:rPr>
          <w:spacing w:val="-8"/>
        </w:rPr>
        <w:t> </w:t>
      </w:r>
      <w:r>
        <w:rPr/>
        <w:t>are intended to offset gains and losses on the assets and liabilities being hedged.</w:t>
      </w:r>
    </w:p>
    <w:p>
      <w:pPr>
        <w:pStyle w:val="BodyText"/>
        <w:spacing w:line="249" w:lineRule="auto" w:before="185"/>
        <w:ind w:left="220" w:right="257" w:firstLine="540"/>
        <w:jc w:val="both"/>
      </w:pPr>
      <w:r>
        <w:rPr/>
        <w:t>As</w:t>
      </w:r>
      <w:r>
        <w:rPr>
          <w:spacing w:val="-7"/>
        </w:rPr>
        <w:t> </w:t>
      </w:r>
      <w:r>
        <w:rPr/>
        <w:t>of</w:t>
      </w:r>
      <w:r>
        <w:rPr>
          <w:spacing w:val="-6"/>
        </w:rPr>
        <w:t> </w:t>
      </w:r>
      <w:r>
        <w:rPr/>
        <w:t>December</w:t>
      </w:r>
      <w:r>
        <w:rPr>
          <w:spacing w:val="-2"/>
        </w:rPr>
        <w:t> </w:t>
      </w:r>
      <w:r>
        <w:rPr/>
        <w:t>1,</w:t>
      </w:r>
      <w:r>
        <w:rPr>
          <w:spacing w:val="-7"/>
        </w:rPr>
        <w:t> </w:t>
      </w:r>
      <w:r>
        <w:rPr/>
        <w:t>2017,</w:t>
      </w:r>
      <w:r>
        <w:rPr>
          <w:spacing w:val="-6"/>
        </w:rPr>
        <w:t> </w:t>
      </w:r>
      <w:r>
        <w:rPr/>
        <w:t>total</w:t>
      </w:r>
      <w:r>
        <w:rPr>
          <w:spacing w:val="-7"/>
        </w:rPr>
        <w:t> </w:t>
      </w:r>
      <w:r>
        <w:rPr/>
        <w:t>notional</w:t>
      </w:r>
      <w:r>
        <w:rPr>
          <w:spacing w:val="-7"/>
        </w:rPr>
        <w:t> </w:t>
      </w:r>
      <w:r>
        <w:rPr/>
        <w:t>amounts</w:t>
      </w:r>
      <w:r>
        <w:rPr>
          <w:spacing w:val="-6"/>
        </w:rPr>
        <w:t> </w:t>
      </w:r>
      <w:r>
        <w:rPr/>
        <w:t>of</w:t>
      </w:r>
      <w:r>
        <w:rPr>
          <w:spacing w:val="-6"/>
        </w:rPr>
        <w:t> </w:t>
      </w:r>
      <w:r>
        <w:rPr/>
        <w:t>outstanding</w:t>
      </w:r>
      <w:r>
        <w:rPr>
          <w:spacing w:val="-6"/>
        </w:rPr>
        <w:t> </w:t>
      </w:r>
      <w:r>
        <w:rPr/>
        <w:t>contracts</w:t>
      </w:r>
      <w:r>
        <w:rPr>
          <w:spacing w:val="-6"/>
        </w:rPr>
        <w:t> </w:t>
      </w:r>
      <w:r>
        <w:rPr/>
        <w:t>were</w:t>
      </w:r>
      <w:r>
        <w:rPr>
          <w:spacing w:val="-7"/>
        </w:rPr>
        <w:t> </w:t>
      </w:r>
      <w:r>
        <w:rPr/>
        <w:t>$333.9</w:t>
      </w:r>
      <w:r>
        <w:rPr>
          <w:spacing w:val="-7"/>
        </w:rPr>
        <w:t> </w:t>
      </w:r>
      <w:r>
        <w:rPr/>
        <w:t>million</w:t>
      </w:r>
      <w:r>
        <w:rPr>
          <w:spacing w:val="-7"/>
        </w:rPr>
        <w:t> </w:t>
      </w:r>
      <w:r>
        <w:rPr/>
        <w:t>which</w:t>
      </w:r>
      <w:r>
        <w:rPr>
          <w:spacing w:val="-6"/>
        </w:rPr>
        <w:t> </w:t>
      </w:r>
      <w:r>
        <w:rPr/>
        <w:t>included</w:t>
      </w:r>
      <w:r>
        <w:rPr>
          <w:spacing w:val="-7"/>
        </w:rPr>
        <w:t> </w:t>
      </w:r>
      <w:r>
        <w:rPr/>
        <w:t>the</w:t>
      </w:r>
      <w:r>
        <w:rPr>
          <w:spacing w:val="-6"/>
        </w:rPr>
        <w:t> </w:t>
      </w:r>
      <w:r>
        <w:rPr/>
        <w:t>notional equivalent of $105.0 million in Euros, $34.6 million in British Pounds, $45.4 million in Japanese</w:t>
      </w:r>
      <w:r>
        <w:rPr>
          <w:spacing w:val="-3"/>
        </w:rPr>
        <w:t> </w:t>
      </w:r>
      <w:r>
        <w:rPr/>
        <w:t>Yen, $78.0 million in Indian Rupees, and $70.9 million in other foreign currencies.</w:t>
      </w:r>
      <w:r>
        <w:rPr>
          <w:spacing w:val="-11"/>
        </w:rPr>
        <w:t> </w:t>
      </w:r>
      <w:r>
        <w:rPr/>
        <w:t>As of December</w:t>
      </w:r>
      <w:r>
        <w:rPr>
          <w:spacing w:val="-2"/>
        </w:rPr>
        <w:t> </w:t>
      </w:r>
      <w:r>
        <w:rPr/>
        <w:t>2, 2016, total notional amounts of outstanding contracts were</w:t>
      </w:r>
      <w:r>
        <w:rPr>
          <w:spacing w:val="7"/>
        </w:rPr>
        <w:t> </w:t>
      </w:r>
      <w:r>
        <w:rPr/>
        <w:t>$313.8</w:t>
      </w:r>
      <w:r>
        <w:rPr>
          <w:spacing w:val="7"/>
        </w:rPr>
        <w:t> </w:t>
      </w:r>
      <w:r>
        <w:rPr/>
        <w:t>million</w:t>
      </w:r>
      <w:r>
        <w:rPr>
          <w:spacing w:val="7"/>
        </w:rPr>
        <w:t> </w:t>
      </w:r>
      <w:r>
        <w:rPr/>
        <w:t>which</w:t>
      </w:r>
      <w:r>
        <w:rPr>
          <w:spacing w:val="7"/>
        </w:rPr>
        <w:t> </w:t>
      </w:r>
      <w:r>
        <w:rPr/>
        <w:t>included</w:t>
      </w:r>
      <w:r>
        <w:rPr>
          <w:spacing w:val="7"/>
        </w:rPr>
        <w:t> </w:t>
      </w:r>
      <w:r>
        <w:rPr/>
        <w:t>the</w:t>
      </w:r>
      <w:r>
        <w:rPr>
          <w:spacing w:val="7"/>
        </w:rPr>
        <w:t> </w:t>
      </w:r>
      <w:r>
        <w:rPr/>
        <w:t>notional</w:t>
      </w:r>
      <w:r>
        <w:rPr>
          <w:spacing w:val="7"/>
        </w:rPr>
        <w:t> </w:t>
      </w:r>
      <w:r>
        <w:rPr/>
        <w:t>equivalent</w:t>
      </w:r>
      <w:r>
        <w:rPr>
          <w:spacing w:val="6"/>
        </w:rPr>
        <w:t> </w:t>
      </w:r>
      <w:r>
        <w:rPr/>
        <w:t>of</w:t>
      </w:r>
      <w:r>
        <w:rPr>
          <w:spacing w:val="7"/>
        </w:rPr>
        <w:t> </w:t>
      </w:r>
      <w:r>
        <w:rPr/>
        <w:t>$152.8</w:t>
      </w:r>
      <w:r>
        <w:rPr>
          <w:spacing w:val="7"/>
        </w:rPr>
        <w:t> </w:t>
      </w:r>
      <w:r>
        <w:rPr/>
        <w:t>million</w:t>
      </w:r>
      <w:r>
        <w:rPr>
          <w:spacing w:val="7"/>
        </w:rPr>
        <w:t> </w:t>
      </w:r>
      <w:r>
        <w:rPr/>
        <w:t>in</w:t>
      </w:r>
      <w:r>
        <w:rPr>
          <w:spacing w:val="7"/>
        </w:rPr>
        <w:t> </w:t>
      </w:r>
      <w:r>
        <w:rPr/>
        <w:t>Euros,</w:t>
      </w:r>
      <w:r>
        <w:rPr>
          <w:spacing w:val="7"/>
        </w:rPr>
        <w:t> </w:t>
      </w:r>
      <w:r>
        <w:rPr/>
        <w:t>$33.6</w:t>
      </w:r>
      <w:r>
        <w:rPr>
          <w:spacing w:val="7"/>
        </w:rPr>
        <w:t> </w:t>
      </w:r>
      <w:r>
        <w:rPr/>
        <w:t>million</w:t>
      </w:r>
      <w:r>
        <w:rPr>
          <w:spacing w:val="7"/>
        </w:rPr>
        <w:t> </w:t>
      </w:r>
      <w:r>
        <w:rPr/>
        <w:t>in</w:t>
      </w:r>
      <w:r>
        <w:rPr>
          <w:spacing w:val="7"/>
        </w:rPr>
        <w:t> </w:t>
      </w:r>
      <w:r>
        <w:rPr/>
        <w:t>British</w:t>
      </w:r>
      <w:r>
        <w:rPr>
          <w:spacing w:val="7"/>
        </w:rPr>
        <w:t> </w:t>
      </w:r>
      <w:r>
        <w:rPr/>
        <w:t>Pounds,</w:t>
      </w:r>
      <w:r>
        <w:rPr>
          <w:spacing w:val="7"/>
        </w:rPr>
        <w:t> </w:t>
      </w:r>
      <w:r>
        <w:rPr>
          <w:spacing w:val="-2"/>
        </w:rPr>
        <w:t>$46.5</w:t>
      </w:r>
    </w:p>
    <w:p>
      <w:pPr>
        <w:spacing w:after="0" w:line="249" w:lineRule="auto"/>
        <w:jc w:val="both"/>
        <w:sectPr>
          <w:pgSz w:w="12240" w:h="15840"/>
          <w:pgMar w:header="210" w:footer="610" w:top="1380" w:bottom="840" w:left="780" w:right="740"/>
        </w:sectPr>
      </w:pPr>
    </w:p>
    <w:p>
      <w:pPr>
        <w:pStyle w:val="BodyText"/>
      </w:pPr>
    </w:p>
    <w:p>
      <w:pPr>
        <w:pStyle w:val="BodyText"/>
      </w:pPr>
    </w:p>
    <w:p>
      <w:pPr>
        <w:pStyle w:val="BodyText"/>
        <w:spacing w:before="30"/>
      </w:pPr>
    </w:p>
    <w:p>
      <w:pPr>
        <w:pStyle w:val="BodyText"/>
        <w:spacing w:line="249" w:lineRule="auto"/>
        <w:ind w:left="220" w:right="257"/>
        <w:jc w:val="both"/>
      </w:pPr>
      <w:r>
        <w:rPr/>
        <w:t>million</w:t>
      </w:r>
      <w:r>
        <w:rPr>
          <w:spacing w:val="-13"/>
        </w:rPr>
        <w:t> </w:t>
      </w:r>
      <w:r>
        <w:rPr/>
        <w:t>in</w:t>
      </w:r>
      <w:r>
        <w:rPr>
          <w:spacing w:val="-7"/>
        </w:rPr>
        <w:t> </w:t>
      </w:r>
      <w:r>
        <w:rPr/>
        <w:t>Japanese</w:t>
      </w:r>
      <w:r>
        <w:rPr>
          <w:spacing w:val="-13"/>
        </w:rPr>
        <w:t> </w:t>
      </w:r>
      <w:r>
        <w:rPr/>
        <w:t>Yen,</w:t>
      </w:r>
      <w:r>
        <w:rPr>
          <w:spacing w:val="-7"/>
        </w:rPr>
        <w:t> </w:t>
      </w:r>
      <w:r>
        <w:rPr/>
        <w:t>$26.4</w:t>
      </w:r>
      <w:r>
        <w:rPr>
          <w:spacing w:val="-7"/>
        </w:rPr>
        <w:t> </w:t>
      </w:r>
      <w:r>
        <w:rPr/>
        <w:t>million</w:t>
      </w:r>
      <w:r>
        <w:rPr>
          <w:spacing w:val="-7"/>
        </w:rPr>
        <w:t> </w:t>
      </w:r>
      <w:r>
        <w:rPr/>
        <w:t>in</w:t>
      </w:r>
      <w:r>
        <w:rPr>
          <w:spacing w:val="-8"/>
        </w:rPr>
        <w:t> </w:t>
      </w:r>
      <w:r>
        <w:rPr/>
        <w:t>Indian</w:t>
      </w:r>
      <w:r>
        <w:rPr>
          <w:spacing w:val="-7"/>
        </w:rPr>
        <w:t> </w:t>
      </w:r>
      <w:r>
        <w:rPr/>
        <w:t>Rupees,</w:t>
      </w:r>
      <w:r>
        <w:rPr>
          <w:spacing w:val="-7"/>
        </w:rPr>
        <w:t> </w:t>
      </w:r>
      <w:r>
        <w:rPr/>
        <w:t>and</w:t>
      </w:r>
      <w:r>
        <w:rPr>
          <w:spacing w:val="-7"/>
        </w:rPr>
        <w:t> </w:t>
      </w:r>
      <w:r>
        <w:rPr/>
        <w:t>$54.5</w:t>
      </w:r>
      <w:r>
        <w:rPr>
          <w:spacing w:val="-7"/>
        </w:rPr>
        <w:t> </w:t>
      </w:r>
      <w:r>
        <w:rPr/>
        <w:t>million</w:t>
      </w:r>
      <w:r>
        <w:rPr>
          <w:spacing w:val="-8"/>
        </w:rPr>
        <w:t> </w:t>
      </w:r>
      <w:r>
        <w:rPr/>
        <w:t>in</w:t>
      </w:r>
      <w:r>
        <w:rPr>
          <w:spacing w:val="-7"/>
        </w:rPr>
        <w:t> </w:t>
      </w:r>
      <w:r>
        <w:rPr/>
        <w:t>other</w:t>
      </w:r>
      <w:r>
        <w:rPr>
          <w:spacing w:val="-8"/>
        </w:rPr>
        <w:t> </w:t>
      </w:r>
      <w:r>
        <w:rPr/>
        <w:t>foreign</w:t>
      </w:r>
      <w:r>
        <w:rPr>
          <w:spacing w:val="-7"/>
        </w:rPr>
        <w:t> </w:t>
      </w:r>
      <w:r>
        <w:rPr/>
        <w:t>currencies.</w:t>
      </w:r>
      <w:r>
        <w:rPr>
          <w:spacing w:val="-13"/>
        </w:rPr>
        <w:t> </w:t>
      </w:r>
      <w:r>
        <w:rPr/>
        <w:t>At</w:t>
      </w:r>
      <w:r>
        <w:rPr>
          <w:spacing w:val="-7"/>
        </w:rPr>
        <w:t> </w:t>
      </w:r>
      <w:r>
        <w:rPr/>
        <w:t>December</w:t>
      </w:r>
      <w:r>
        <w:rPr>
          <w:spacing w:val="-3"/>
        </w:rPr>
        <w:t> </w:t>
      </w:r>
      <w:r>
        <w:rPr/>
        <w:t>1,</w:t>
      </w:r>
      <w:r>
        <w:rPr>
          <w:spacing w:val="-8"/>
        </w:rPr>
        <w:t> </w:t>
      </w:r>
      <w:r>
        <w:rPr/>
        <w:t>2017</w:t>
      </w:r>
      <w:r>
        <w:rPr>
          <w:spacing w:val="-7"/>
        </w:rPr>
        <w:t> </w:t>
      </w:r>
      <w:r>
        <w:rPr/>
        <w:t>and December 2, 2016, the outstanding balance sheet hedging derivatives had maturities of 180 days or less.</w:t>
      </w:r>
    </w:p>
    <w:p>
      <w:pPr>
        <w:spacing w:before="181"/>
        <w:ind w:left="220" w:right="0" w:firstLine="0"/>
        <w:jc w:val="both"/>
        <w:rPr>
          <w:i/>
          <w:sz w:val="20"/>
        </w:rPr>
      </w:pPr>
      <w:r>
        <w:rPr>
          <w:i/>
          <w:sz w:val="20"/>
        </w:rPr>
        <w:t>Cash</w:t>
      </w:r>
      <w:r>
        <w:rPr>
          <w:i/>
          <w:spacing w:val="-7"/>
          <w:sz w:val="20"/>
        </w:rPr>
        <w:t> </w:t>
      </w:r>
      <w:r>
        <w:rPr>
          <w:i/>
          <w:sz w:val="20"/>
        </w:rPr>
        <w:t>Flow</w:t>
      </w:r>
      <w:r>
        <w:rPr>
          <w:i/>
          <w:spacing w:val="-6"/>
          <w:sz w:val="20"/>
        </w:rPr>
        <w:t> </w:t>
      </w:r>
      <w:r>
        <w:rPr>
          <w:i/>
          <w:sz w:val="20"/>
        </w:rPr>
        <w:t>Hedging—Hedges</w:t>
      </w:r>
      <w:r>
        <w:rPr>
          <w:i/>
          <w:spacing w:val="-7"/>
          <w:sz w:val="20"/>
        </w:rPr>
        <w:t> </w:t>
      </w:r>
      <w:r>
        <w:rPr>
          <w:i/>
          <w:sz w:val="20"/>
        </w:rPr>
        <w:t>of</w:t>
      </w:r>
      <w:r>
        <w:rPr>
          <w:i/>
          <w:spacing w:val="-6"/>
          <w:sz w:val="20"/>
        </w:rPr>
        <w:t> </w:t>
      </w:r>
      <w:r>
        <w:rPr>
          <w:i/>
          <w:sz w:val="20"/>
        </w:rPr>
        <w:t>Forecasted</w:t>
      </w:r>
      <w:r>
        <w:rPr>
          <w:i/>
          <w:spacing w:val="-6"/>
          <w:sz w:val="20"/>
        </w:rPr>
        <w:t> </w:t>
      </w:r>
      <w:r>
        <w:rPr>
          <w:i/>
          <w:sz w:val="20"/>
        </w:rPr>
        <w:t>Foreign</w:t>
      </w:r>
      <w:r>
        <w:rPr>
          <w:i/>
          <w:spacing w:val="-6"/>
          <w:sz w:val="20"/>
        </w:rPr>
        <w:t> </w:t>
      </w:r>
      <w:r>
        <w:rPr>
          <w:i/>
          <w:sz w:val="20"/>
        </w:rPr>
        <w:t>Currency</w:t>
      </w:r>
      <w:r>
        <w:rPr>
          <w:i/>
          <w:spacing w:val="-6"/>
          <w:sz w:val="20"/>
        </w:rPr>
        <w:t> </w:t>
      </w:r>
      <w:r>
        <w:rPr>
          <w:i/>
          <w:spacing w:val="-2"/>
          <w:sz w:val="20"/>
        </w:rPr>
        <w:t>Revenue</w:t>
      </w:r>
    </w:p>
    <w:p>
      <w:pPr>
        <w:pStyle w:val="BodyText"/>
        <w:spacing w:line="249" w:lineRule="auto" w:before="190"/>
        <w:ind w:left="220" w:right="257" w:firstLine="540"/>
        <w:jc w:val="both"/>
      </w:pPr>
      <w:r>
        <w:rPr/>
        <w:t>In countries outside the United States, we transact business in U.S. Dollars and in various other currencies. We may use foreign exchange option contracts or forward contracts to hedge certain cash flow exposures resulting from changes in these foreign</w:t>
      </w:r>
      <w:r>
        <w:rPr>
          <w:spacing w:val="-4"/>
        </w:rPr>
        <w:t> </w:t>
      </w:r>
      <w:r>
        <w:rPr/>
        <w:t>currency</w:t>
      </w:r>
      <w:r>
        <w:rPr>
          <w:spacing w:val="-4"/>
        </w:rPr>
        <w:t> </w:t>
      </w:r>
      <w:r>
        <w:rPr/>
        <w:t>exchange</w:t>
      </w:r>
      <w:r>
        <w:rPr>
          <w:spacing w:val="-4"/>
        </w:rPr>
        <w:t> </w:t>
      </w:r>
      <w:r>
        <w:rPr/>
        <w:t>rates.</w:t>
      </w:r>
      <w:r>
        <w:rPr>
          <w:spacing w:val="-8"/>
        </w:rPr>
        <w:t> </w:t>
      </w:r>
      <w:r>
        <w:rPr/>
        <w:t>These</w:t>
      </w:r>
      <w:r>
        <w:rPr>
          <w:spacing w:val="-4"/>
        </w:rPr>
        <w:t> </w:t>
      </w:r>
      <w:r>
        <w:rPr/>
        <w:t>foreign</w:t>
      </w:r>
      <w:r>
        <w:rPr>
          <w:spacing w:val="-4"/>
        </w:rPr>
        <w:t> </w:t>
      </w:r>
      <w:r>
        <w:rPr/>
        <w:t>exchange</w:t>
      </w:r>
      <w:r>
        <w:rPr>
          <w:spacing w:val="-4"/>
        </w:rPr>
        <w:t> </w:t>
      </w:r>
      <w:r>
        <w:rPr/>
        <w:t>contracts,</w:t>
      </w:r>
      <w:r>
        <w:rPr>
          <w:spacing w:val="-4"/>
        </w:rPr>
        <w:t> </w:t>
      </w:r>
      <w:r>
        <w:rPr/>
        <w:t>carried</w:t>
      </w:r>
      <w:r>
        <w:rPr>
          <w:spacing w:val="-4"/>
        </w:rPr>
        <w:t> </w:t>
      </w:r>
      <w:r>
        <w:rPr/>
        <w:t>at</w:t>
      </w:r>
      <w:r>
        <w:rPr>
          <w:spacing w:val="-4"/>
        </w:rPr>
        <w:t> </w:t>
      </w:r>
      <w:r>
        <w:rPr/>
        <w:t>fair</w:t>
      </w:r>
      <w:r>
        <w:rPr>
          <w:spacing w:val="-4"/>
        </w:rPr>
        <w:t> </w:t>
      </w:r>
      <w:r>
        <w:rPr/>
        <w:t>value,</w:t>
      </w:r>
      <w:r>
        <w:rPr>
          <w:spacing w:val="-4"/>
        </w:rPr>
        <w:t> </w:t>
      </w:r>
      <w:r>
        <w:rPr/>
        <w:t>have</w:t>
      </w:r>
      <w:r>
        <w:rPr>
          <w:spacing w:val="-4"/>
        </w:rPr>
        <w:t> </w:t>
      </w:r>
      <w:r>
        <w:rPr/>
        <w:t>maturities</w:t>
      </w:r>
      <w:r>
        <w:rPr>
          <w:spacing w:val="-4"/>
        </w:rPr>
        <w:t> </w:t>
      </w:r>
      <w:r>
        <w:rPr/>
        <w:t>of</w:t>
      </w:r>
      <w:r>
        <w:rPr>
          <w:spacing w:val="-4"/>
        </w:rPr>
        <w:t> </w:t>
      </w:r>
      <w:r>
        <w:rPr/>
        <w:t>up</w:t>
      </w:r>
      <w:r>
        <w:rPr>
          <w:spacing w:val="-4"/>
        </w:rPr>
        <w:t> </w:t>
      </w:r>
      <w:r>
        <w:rPr/>
        <w:t>to</w:t>
      </w:r>
      <w:r>
        <w:rPr>
          <w:spacing w:val="-4"/>
        </w:rPr>
        <w:t> </w:t>
      </w:r>
      <w:r>
        <w:rPr/>
        <w:t>twelve</w:t>
      </w:r>
      <w:r>
        <w:rPr>
          <w:spacing w:val="-4"/>
        </w:rPr>
        <w:t> </w:t>
      </w:r>
      <w:r>
        <w:rPr/>
        <w:t>months. We</w:t>
      </w:r>
      <w:r>
        <w:rPr>
          <w:spacing w:val="-6"/>
        </w:rPr>
        <w:t> </w:t>
      </w:r>
      <w:r>
        <w:rPr/>
        <w:t>enter</w:t>
      </w:r>
      <w:r>
        <w:rPr>
          <w:spacing w:val="-6"/>
        </w:rPr>
        <w:t> </w:t>
      </w:r>
      <w:r>
        <w:rPr/>
        <w:t>into</w:t>
      </w:r>
      <w:r>
        <w:rPr>
          <w:spacing w:val="-6"/>
        </w:rPr>
        <w:t> </w:t>
      </w:r>
      <w:r>
        <w:rPr/>
        <w:t>these</w:t>
      </w:r>
      <w:r>
        <w:rPr>
          <w:spacing w:val="-6"/>
        </w:rPr>
        <w:t> </w:t>
      </w:r>
      <w:r>
        <w:rPr/>
        <w:t>foreign</w:t>
      </w:r>
      <w:r>
        <w:rPr>
          <w:spacing w:val="-6"/>
        </w:rPr>
        <w:t> </w:t>
      </w:r>
      <w:r>
        <w:rPr/>
        <w:t>exchange</w:t>
      </w:r>
      <w:r>
        <w:rPr>
          <w:spacing w:val="-6"/>
        </w:rPr>
        <w:t> </w:t>
      </w:r>
      <w:r>
        <w:rPr/>
        <w:t>contracts</w:t>
      </w:r>
      <w:r>
        <w:rPr>
          <w:spacing w:val="-6"/>
        </w:rPr>
        <w:t> </w:t>
      </w:r>
      <w:r>
        <w:rPr/>
        <w:t>to</w:t>
      </w:r>
      <w:r>
        <w:rPr>
          <w:spacing w:val="-6"/>
        </w:rPr>
        <w:t> </w:t>
      </w:r>
      <w:r>
        <w:rPr/>
        <w:t>hedge</w:t>
      </w:r>
      <w:r>
        <w:rPr>
          <w:spacing w:val="-6"/>
        </w:rPr>
        <w:t> </w:t>
      </w:r>
      <w:r>
        <w:rPr/>
        <w:t>a</w:t>
      </w:r>
      <w:r>
        <w:rPr>
          <w:spacing w:val="-6"/>
        </w:rPr>
        <w:t> </w:t>
      </w:r>
      <w:r>
        <w:rPr/>
        <w:t>portion</w:t>
      </w:r>
      <w:r>
        <w:rPr>
          <w:spacing w:val="-6"/>
        </w:rPr>
        <w:t> </w:t>
      </w:r>
      <w:r>
        <w:rPr/>
        <w:t>of</w:t>
      </w:r>
      <w:r>
        <w:rPr>
          <w:spacing w:val="-6"/>
        </w:rPr>
        <w:t> </w:t>
      </w:r>
      <w:r>
        <w:rPr/>
        <w:t>our</w:t>
      </w:r>
      <w:r>
        <w:rPr>
          <w:spacing w:val="-6"/>
        </w:rPr>
        <w:t> </w:t>
      </w:r>
      <w:r>
        <w:rPr/>
        <w:t>forecasted</w:t>
      </w:r>
      <w:r>
        <w:rPr>
          <w:spacing w:val="-6"/>
        </w:rPr>
        <w:t> </w:t>
      </w:r>
      <w:r>
        <w:rPr/>
        <w:t>foreign</w:t>
      </w:r>
      <w:r>
        <w:rPr>
          <w:spacing w:val="-6"/>
        </w:rPr>
        <w:t> </w:t>
      </w:r>
      <w:r>
        <w:rPr/>
        <w:t>currency</w:t>
      </w:r>
      <w:r>
        <w:rPr>
          <w:spacing w:val="-6"/>
        </w:rPr>
        <w:t> </w:t>
      </w:r>
      <w:r>
        <w:rPr/>
        <w:t>denominated</w:t>
      </w:r>
      <w:r>
        <w:rPr>
          <w:spacing w:val="-6"/>
        </w:rPr>
        <w:t> </w:t>
      </w:r>
      <w:r>
        <w:rPr/>
        <w:t>revenue</w:t>
      </w:r>
      <w:r>
        <w:rPr>
          <w:spacing w:val="-6"/>
        </w:rPr>
        <w:t> </w:t>
      </w:r>
      <w:r>
        <w:rPr/>
        <w:t>in</w:t>
      </w:r>
      <w:r>
        <w:rPr>
          <w:spacing w:val="-6"/>
        </w:rPr>
        <w:t> </w:t>
      </w:r>
      <w:r>
        <w:rPr/>
        <w:t>the normal course of business and accordingly, they are not speculative in nature.</w:t>
      </w:r>
    </w:p>
    <w:p>
      <w:pPr>
        <w:pStyle w:val="BodyText"/>
        <w:spacing w:line="249" w:lineRule="auto" w:before="185"/>
        <w:ind w:left="220" w:right="257" w:firstLine="540"/>
        <w:jc w:val="both"/>
      </w:pPr>
      <w:r>
        <w:rPr/>
        <w:t>To receive hedge accounting treatment, all hedging relationships are formally documented at the inception of the hedge, and</w:t>
      </w:r>
      <w:r>
        <w:rPr>
          <w:spacing w:val="-2"/>
        </w:rPr>
        <w:t> </w:t>
      </w:r>
      <w:r>
        <w:rPr/>
        <w:t>the</w:t>
      </w:r>
      <w:r>
        <w:rPr>
          <w:spacing w:val="-2"/>
        </w:rPr>
        <w:t> </w:t>
      </w:r>
      <w:r>
        <w:rPr/>
        <w:t>hedges</w:t>
      </w:r>
      <w:r>
        <w:rPr>
          <w:spacing w:val="-2"/>
        </w:rPr>
        <w:t> </w:t>
      </w:r>
      <w:r>
        <w:rPr/>
        <w:t>must</w:t>
      </w:r>
      <w:r>
        <w:rPr>
          <w:spacing w:val="-3"/>
        </w:rPr>
        <w:t> </w:t>
      </w:r>
      <w:r>
        <w:rPr/>
        <w:t>be</w:t>
      </w:r>
      <w:r>
        <w:rPr>
          <w:spacing w:val="-2"/>
        </w:rPr>
        <w:t> </w:t>
      </w:r>
      <w:r>
        <w:rPr/>
        <w:t>highly</w:t>
      </w:r>
      <w:r>
        <w:rPr>
          <w:spacing w:val="-3"/>
        </w:rPr>
        <w:t> </w:t>
      </w:r>
      <w:r>
        <w:rPr/>
        <w:t>effective</w:t>
      </w:r>
      <w:r>
        <w:rPr>
          <w:spacing w:val="-3"/>
        </w:rPr>
        <w:t> </w:t>
      </w:r>
      <w:r>
        <w:rPr/>
        <w:t>in</w:t>
      </w:r>
      <w:r>
        <w:rPr>
          <w:spacing w:val="-2"/>
        </w:rPr>
        <w:t> </w:t>
      </w:r>
      <w:r>
        <w:rPr/>
        <w:t>offsetting</w:t>
      </w:r>
      <w:r>
        <w:rPr>
          <w:spacing w:val="-3"/>
        </w:rPr>
        <w:t> </w:t>
      </w:r>
      <w:r>
        <w:rPr/>
        <w:t>changes</w:t>
      </w:r>
      <w:r>
        <w:rPr>
          <w:spacing w:val="-2"/>
        </w:rPr>
        <w:t> </w:t>
      </w:r>
      <w:r>
        <w:rPr/>
        <w:t>to</w:t>
      </w:r>
      <w:r>
        <w:rPr>
          <w:spacing w:val="-2"/>
        </w:rPr>
        <w:t> </w:t>
      </w:r>
      <w:r>
        <w:rPr/>
        <w:t>future</w:t>
      </w:r>
      <w:r>
        <w:rPr>
          <w:spacing w:val="-3"/>
        </w:rPr>
        <w:t> </w:t>
      </w:r>
      <w:r>
        <w:rPr/>
        <w:t>cash</w:t>
      </w:r>
      <w:r>
        <w:rPr>
          <w:spacing w:val="-2"/>
        </w:rPr>
        <w:t> </w:t>
      </w:r>
      <w:r>
        <w:rPr/>
        <w:t>flows</w:t>
      </w:r>
      <w:r>
        <w:rPr>
          <w:spacing w:val="-2"/>
        </w:rPr>
        <w:t> </w:t>
      </w:r>
      <w:r>
        <w:rPr/>
        <w:t>on</w:t>
      </w:r>
      <w:r>
        <w:rPr>
          <w:spacing w:val="-2"/>
        </w:rPr>
        <w:t> </w:t>
      </w:r>
      <w:r>
        <w:rPr/>
        <w:t>hedged</w:t>
      </w:r>
      <w:r>
        <w:rPr>
          <w:spacing w:val="-2"/>
        </w:rPr>
        <w:t> </w:t>
      </w:r>
      <w:r>
        <w:rPr/>
        <w:t>transactions.</w:t>
      </w:r>
      <w:r>
        <w:rPr>
          <w:spacing w:val="-6"/>
        </w:rPr>
        <w:t> </w:t>
      </w:r>
      <w:r>
        <w:rPr/>
        <w:t>We</w:t>
      </w:r>
      <w:r>
        <w:rPr>
          <w:spacing w:val="-2"/>
        </w:rPr>
        <w:t> </w:t>
      </w:r>
      <w:r>
        <w:rPr/>
        <w:t>record</w:t>
      </w:r>
      <w:r>
        <w:rPr>
          <w:spacing w:val="-2"/>
        </w:rPr>
        <w:t> </w:t>
      </w:r>
      <w:r>
        <w:rPr/>
        <w:t>changes</w:t>
      </w:r>
      <w:r>
        <w:rPr>
          <w:spacing w:val="-2"/>
        </w:rPr>
        <w:t> </w:t>
      </w:r>
      <w:r>
        <w:rPr/>
        <w:t>in the intrinsic value of these cash flow hedges in accumulated other comprehensive income (loss) in our Consolidated Balance Sheets, until the forecasted transaction occurs.</w:t>
      </w:r>
      <w:r>
        <w:rPr>
          <w:spacing w:val="-2"/>
        </w:rPr>
        <w:t> </w:t>
      </w:r>
      <w:r>
        <w:rPr/>
        <w:t>When the forecasted transaction occurs, we reclassify the related gain or loss on the cash flow hedge to revenue.</w:t>
      </w:r>
      <w:r>
        <w:rPr>
          <w:spacing w:val="-2"/>
        </w:rPr>
        <w:t> </w:t>
      </w:r>
      <w:r>
        <w:rPr/>
        <w:t>In the event the underlying forecasted transaction does not occur, or it becomes probable that it will</w:t>
      </w:r>
      <w:r>
        <w:rPr>
          <w:spacing w:val="-9"/>
        </w:rPr>
        <w:t> </w:t>
      </w:r>
      <w:r>
        <w:rPr/>
        <w:t>not</w:t>
      </w:r>
      <w:r>
        <w:rPr>
          <w:spacing w:val="-9"/>
        </w:rPr>
        <w:t> </w:t>
      </w:r>
      <w:r>
        <w:rPr/>
        <w:t>occur,</w:t>
      </w:r>
      <w:r>
        <w:rPr>
          <w:spacing w:val="-8"/>
        </w:rPr>
        <w:t> </w:t>
      </w:r>
      <w:r>
        <w:rPr/>
        <w:t>we</w:t>
      </w:r>
      <w:r>
        <w:rPr>
          <w:spacing w:val="-9"/>
        </w:rPr>
        <w:t> </w:t>
      </w:r>
      <w:r>
        <w:rPr/>
        <w:t>reclassify</w:t>
      </w:r>
      <w:r>
        <w:rPr>
          <w:spacing w:val="-9"/>
        </w:rPr>
        <w:t> </w:t>
      </w:r>
      <w:r>
        <w:rPr/>
        <w:t>the</w:t>
      </w:r>
      <w:r>
        <w:rPr>
          <w:spacing w:val="-8"/>
        </w:rPr>
        <w:t> </w:t>
      </w:r>
      <w:r>
        <w:rPr/>
        <w:t>gain</w:t>
      </w:r>
      <w:r>
        <w:rPr>
          <w:spacing w:val="-9"/>
        </w:rPr>
        <w:t> </w:t>
      </w:r>
      <w:r>
        <w:rPr/>
        <w:t>or</w:t>
      </w:r>
      <w:r>
        <w:rPr>
          <w:spacing w:val="-8"/>
        </w:rPr>
        <w:t> </w:t>
      </w:r>
      <w:r>
        <w:rPr/>
        <w:t>loss</w:t>
      </w:r>
      <w:r>
        <w:rPr>
          <w:spacing w:val="-8"/>
        </w:rPr>
        <w:t> </w:t>
      </w:r>
      <w:r>
        <w:rPr/>
        <w:t>on</w:t>
      </w:r>
      <w:r>
        <w:rPr>
          <w:spacing w:val="-8"/>
        </w:rPr>
        <w:t> </w:t>
      </w:r>
      <w:r>
        <w:rPr/>
        <w:t>the</w:t>
      </w:r>
      <w:r>
        <w:rPr>
          <w:spacing w:val="-8"/>
        </w:rPr>
        <w:t> </w:t>
      </w:r>
      <w:r>
        <w:rPr/>
        <w:t>related</w:t>
      </w:r>
      <w:r>
        <w:rPr>
          <w:spacing w:val="-9"/>
        </w:rPr>
        <w:t> </w:t>
      </w:r>
      <w:r>
        <w:rPr/>
        <w:t>cash</w:t>
      </w:r>
      <w:r>
        <w:rPr>
          <w:spacing w:val="-9"/>
        </w:rPr>
        <w:t> </w:t>
      </w:r>
      <w:r>
        <w:rPr/>
        <w:t>flow</w:t>
      </w:r>
      <w:r>
        <w:rPr>
          <w:spacing w:val="-8"/>
        </w:rPr>
        <w:t> </w:t>
      </w:r>
      <w:r>
        <w:rPr/>
        <w:t>hedge</w:t>
      </w:r>
      <w:r>
        <w:rPr>
          <w:spacing w:val="-9"/>
        </w:rPr>
        <w:t> </w:t>
      </w:r>
      <w:r>
        <w:rPr/>
        <w:t>from</w:t>
      </w:r>
      <w:r>
        <w:rPr>
          <w:spacing w:val="-9"/>
        </w:rPr>
        <w:t> </w:t>
      </w:r>
      <w:r>
        <w:rPr/>
        <w:t>accumulated</w:t>
      </w:r>
      <w:r>
        <w:rPr>
          <w:spacing w:val="-9"/>
        </w:rPr>
        <w:t> </w:t>
      </w:r>
      <w:r>
        <w:rPr/>
        <w:t>other</w:t>
      </w:r>
      <w:r>
        <w:rPr>
          <w:spacing w:val="-8"/>
        </w:rPr>
        <w:t> </w:t>
      </w:r>
      <w:r>
        <w:rPr/>
        <w:t>comprehensive</w:t>
      </w:r>
      <w:r>
        <w:rPr>
          <w:spacing w:val="-9"/>
        </w:rPr>
        <w:t> </w:t>
      </w:r>
      <w:r>
        <w:rPr/>
        <w:t>income</w:t>
      </w:r>
      <w:r>
        <w:rPr>
          <w:spacing w:val="-9"/>
        </w:rPr>
        <w:t> </w:t>
      </w:r>
      <w:r>
        <w:rPr/>
        <w:t>(loss) to interest and other income (expense), net in our Consolidated Statements of Income at that time. If we do not elect hedge accounting, or the contract does not qualify for hedge accounting treatment, the changes in fair value from period to period are recorded in interest and other income (expense), net in our Consolidated Statements of Income.</w:t>
      </w:r>
    </w:p>
    <w:p>
      <w:pPr>
        <w:pStyle w:val="BodyText"/>
        <w:spacing w:line="249" w:lineRule="auto" w:before="187"/>
        <w:ind w:left="220" w:right="257" w:firstLine="540"/>
        <w:jc w:val="both"/>
      </w:pPr>
      <w:r>
        <w:rPr/>
        <w:t>For fiscal 2017 and 2016, there were no net gains or losses recognized in other income relating to hedges of forecasted transactions that did not occur. In fiscal 2015, these net gains or losses were immaterial.</w:t>
      </w:r>
    </w:p>
    <w:p>
      <w:pPr>
        <w:spacing w:before="182"/>
        <w:ind w:left="220" w:right="0" w:firstLine="0"/>
        <w:jc w:val="both"/>
        <w:rPr>
          <w:i/>
          <w:sz w:val="20"/>
        </w:rPr>
      </w:pPr>
      <w:r>
        <w:rPr>
          <w:i/>
          <w:sz w:val="20"/>
        </w:rPr>
        <w:t>Fair</w:t>
      </w:r>
      <w:r>
        <w:rPr>
          <w:i/>
          <w:spacing w:val="-10"/>
          <w:sz w:val="20"/>
        </w:rPr>
        <w:t> </w:t>
      </w:r>
      <w:r>
        <w:rPr>
          <w:i/>
          <w:sz w:val="20"/>
        </w:rPr>
        <w:t>Value</w:t>
      </w:r>
      <w:r>
        <w:rPr>
          <w:i/>
          <w:spacing w:val="-8"/>
          <w:sz w:val="20"/>
        </w:rPr>
        <w:t> </w:t>
      </w:r>
      <w:r>
        <w:rPr>
          <w:i/>
          <w:sz w:val="20"/>
        </w:rPr>
        <w:t>Hedging—Hedges</w:t>
      </w:r>
      <w:r>
        <w:rPr>
          <w:i/>
          <w:spacing w:val="-9"/>
          <w:sz w:val="20"/>
        </w:rPr>
        <w:t> </w:t>
      </w:r>
      <w:r>
        <w:rPr>
          <w:i/>
          <w:sz w:val="20"/>
        </w:rPr>
        <w:t>of</w:t>
      </w:r>
      <w:r>
        <w:rPr>
          <w:i/>
          <w:spacing w:val="-9"/>
          <w:sz w:val="20"/>
        </w:rPr>
        <w:t> </w:t>
      </w:r>
      <w:r>
        <w:rPr>
          <w:i/>
          <w:sz w:val="20"/>
        </w:rPr>
        <w:t>Interest</w:t>
      </w:r>
      <w:r>
        <w:rPr>
          <w:i/>
          <w:spacing w:val="-8"/>
          <w:sz w:val="20"/>
        </w:rPr>
        <w:t> </w:t>
      </w:r>
      <w:r>
        <w:rPr>
          <w:i/>
          <w:sz w:val="20"/>
        </w:rPr>
        <w:t>Rate</w:t>
      </w:r>
      <w:r>
        <w:rPr>
          <w:i/>
          <w:spacing w:val="-8"/>
          <w:sz w:val="20"/>
        </w:rPr>
        <w:t> </w:t>
      </w:r>
      <w:r>
        <w:rPr>
          <w:i/>
          <w:spacing w:val="-2"/>
          <w:sz w:val="20"/>
        </w:rPr>
        <w:t>Risks</w:t>
      </w:r>
    </w:p>
    <w:p>
      <w:pPr>
        <w:pStyle w:val="BodyText"/>
        <w:spacing w:before="190"/>
        <w:ind w:left="760"/>
        <w:jc w:val="both"/>
      </w:pPr>
      <w:r>
        <w:rPr/>
        <w:t>During the</w:t>
      </w:r>
      <w:r>
        <w:rPr>
          <w:spacing w:val="3"/>
        </w:rPr>
        <w:t> </w:t>
      </w:r>
      <w:r>
        <w:rPr/>
        <w:t>third</w:t>
      </w:r>
      <w:r>
        <w:rPr>
          <w:spacing w:val="3"/>
        </w:rPr>
        <w:t> </w:t>
      </w:r>
      <w:r>
        <w:rPr/>
        <w:t>quarter</w:t>
      </w:r>
      <w:r>
        <w:rPr>
          <w:spacing w:val="3"/>
        </w:rPr>
        <w:t> </w:t>
      </w:r>
      <w:r>
        <w:rPr/>
        <w:t>of</w:t>
      </w:r>
      <w:r>
        <w:rPr>
          <w:spacing w:val="2"/>
        </w:rPr>
        <w:t> </w:t>
      </w:r>
      <w:r>
        <w:rPr/>
        <w:t>fiscal</w:t>
      </w:r>
      <w:r>
        <w:rPr>
          <w:spacing w:val="3"/>
        </w:rPr>
        <w:t> </w:t>
      </w:r>
      <w:r>
        <w:rPr/>
        <w:t>2014,</w:t>
      </w:r>
      <w:r>
        <w:rPr>
          <w:spacing w:val="3"/>
        </w:rPr>
        <w:t> </w:t>
      </w:r>
      <w:r>
        <w:rPr/>
        <w:t>we</w:t>
      </w:r>
      <w:r>
        <w:rPr>
          <w:spacing w:val="3"/>
        </w:rPr>
        <w:t> </w:t>
      </w:r>
      <w:r>
        <w:rPr/>
        <w:t>entered</w:t>
      </w:r>
      <w:r>
        <w:rPr>
          <w:spacing w:val="2"/>
        </w:rPr>
        <w:t> </w:t>
      </w:r>
      <w:r>
        <w:rPr/>
        <w:t>into</w:t>
      </w:r>
      <w:r>
        <w:rPr>
          <w:spacing w:val="3"/>
        </w:rPr>
        <w:t> </w:t>
      </w:r>
      <w:r>
        <w:rPr/>
        <w:t>interest</w:t>
      </w:r>
      <w:r>
        <w:rPr>
          <w:spacing w:val="3"/>
        </w:rPr>
        <w:t> </w:t>
      </w:r>
      <w:r>
        <w:rPr/>
        <w:t>rate</w:t>
      </w:r>
      <w:r>
        <w:rPr>
          <w:spacing w:val="3"/>
        </w:rPr>
        <w:t> </w:t>
      </w:r>
      <w:r>
        <w:rPr/>
        <w:t>swaps</w:t>
      </w:r>
      <w:r>
        <w:rPr>
          <w:spacing w:val="2"/>
        </w:rPr>
        <w:t> </w:t>
      </w:r>
      <w:r>
        <w:rPr/>
        <w:t>designated</w:t>
      </w:r>
      <w:r>
        <w:rPr>
          <w:spacing w:val="3"/>
        </w:rPr>
        <w:t> </w:t>
      </w:r>
      <w:r>
        <w:rPr/>
        <w:t>as</w:t>
      </w:r>
      <w:r>
        <w:rPr>
          <w:spacing w:val="3"/>
        </w:rPr>
        <w:t> </w:t>
      </w:r>
      <w:r>
        <w:rPr/>
        <w:t>a</w:t>
      </w:r>
      <w:r>
        <w:rPr>
          <w:spacing w:val="3"/>
        </w:rPr>
        <w:t> </w:t>
      </w:r>
      <w:r>
        <w:rPr/>
        <w:t>fair</w:t>
      </w:r>
      <w:r>
        <w:rPr>
          <w:spacing w:val="2"/>
        </w:rPr>
        <w:t> </w:t>
      </w:r>
      <w:r>
        <w:rPr/>
        <w:t>value</w:t>
      </w:r>
      <w:r>
        <w:rPr>
          <w:spacing w:val="3"/>
        </w:rPr>
        <w:t> </w:t>
      </w:r>
      <w:r>
        <w:rPr/>
        <w:t>hedge</w:t>
      </w:r>
      <w:r>
        <w:rPr>
          <w:spacing w:val="3"/>
        </w:rPr>
        <w:t> </w:t>
      </w:r>
      <w:r>
        <w:rPr/>
        <w:t>related</w:t>
      </w:r>
      <w:r>
        <w:rPr>
          <w:spacing w:val="3"/>
        </w:rPr>
        <w:t> </w:t>
      </w:r>
      <w:r>
        <w:rPr/>
        <w:t>to</w:t>
      </w:r>
      <w:r>
        <w:rPr>
          <w:spacing w:val="3"/>
        </w:rPr>
        <w:t> </w:t>
      </w:r>
      <w:r>
        <w:rPr>
          <w:spacing w:val="-5"/>
        </w:rPr>
        <w:t>our</w:t>
      </w:r>
    </w:p>
    <w:p>
      <w:pPr>
        <w:pStyle w:val="BodyText"/>
        <w:spacing w:line="249" w:lineRule="auto" w:before="10"/>
        <w:ind w:left="220" w:right="257"/>
        <w:jc w:val="both"/>
        <w:rPr>
          <w:i/>
        </w:rPr>
      </w:pPr>
      <w:r>
        <w:rPr/>
        <w:t>$900</w:t>
      </w:r>
      <w:r>
        <w:rPr>
          <w:spacing w:val="-3"/>
        </w:rPr>
        <w:t> </w:t>
      </w:r>
      <w:r>
        <w:rPr/>
        <w:t>million</w:t>
      </w:r>
      <w:r>
        <w:rPr>
          <w:spacing w:val="-3"/>
        </w:rPr>
        <w:t> </w:t>
      </w:r>
      <w:r>
        <w:rPr/>
        <w:t>of</w:t>
      </w:r>
      <w:r>
        <w:rPr>
          <w:spacing w:val="-3"/>
        </w:rPr>
        <w:t> </w:t>
      </w:r>
      <w:r>
        <w:rPr/>
        <w:t>4.75%</w:t>
      </w:r>
      <w:r>
        <w:rPr>
          <w:spacing w:val="-3"/>
        </w:rPr>
        <w:t> </w:t>
      </w:r>
      <w:r>
        <w:rPr/>
        <w:t>fixed</w:t>
      </w:r>
      <w:r>
        <w:rPr>
          <w:spacing w:val="-3"/>
        </w:rPr>
        <w:t> </w:t>
      </w:r>
      <w:r>
        <w:rPr/>
        <w:t>interest</w:t>
      </w:r>
      <w:r>
        <w:rPr>
          <w:spacing w:val="-3"/>
        </w:rPr>
        <w:t> </w:t>
      </w:r>
      <w:r>
        <w:rPr/>
        <w:t>rate</w:t>
      </w:r>
      <w:r>
        <w:rPr>
          <w:spacing w:val="-3"/>
        </w:rPr>
        <w:t> </w:t>
      </w:r>
      <w:r>
        <w:rPr/>
        <w:t>senior</w:t>
      </w:r>
      <w:r>
        <w:rPr>
          <w:spacing w:val="-3"/>
        </w:rPr>
        <w:t> </w:t>
      </w:r>
      <w:r>
        <w:rPr/>
        <w:t>notes</w:t>
      </w:r>
      <w:r>
        <w:rPr>
          <w:spacing w:val="-3"/>
        </w:rPr>
        <w:t> </w:t>
      </w:r>
      <w:r>
        <w:rPr/>
        <w:t>due</w:t>
      </w:r>
      <w:r>
        <w:rPr>
          <w:spacing w:val="-3"/>
        </w:rPr>
        <w:t> </w:t>
      </w:r>
      <w:r>
        <w:rPr/>
        <w:t>February</w:t>
      </w:r>
      <w:r>
        <w:rPr>
          <w:spacing w:val="-2"/>
        </w:rPr>
        <w:t> </w:t>
      </w:r>
      <w:r>
        <w:rPr/>
        <w:t>1,</w:t>
      </w:r>
      <w:r>
        <w:rPr>
          <w:spacing w:val="-3"/>
        </w:rPr>
        <w:t> </w:t>
      </w:r>
      <w:r>
        <w:rPr/>
        <w:t>2020</w:t>
      </w:r>
      <w:r>
        <w:rPr>
          <w:spacing w:val="-3"/>
        </w:rPr>
        <w:t> </w:t>
      </w:r>
      <w:r>
        <w:rPr/>
        <w:t>(the</w:t>
      </w:r>
      <w:r>
        <w:rPr>
          <w:spacing w:val="-3"/>
        </w:rPr>
        <w:t> </w:t>
      </w:r>
      <w:r>
        <w:rPr/>
        <w:t>“2020</w:t>
      </w:r>
      <w:r>
        <w:rPr>
          <w:spacing w:val="-3"/>
        </w:rPr>
        <w:t> </w:t>
      </w:r>
      <w:r>
        <w:rPr/>
        <w:t>Notes”).</w:t>
      </w:r>
      <w:r>
        <w:rPr>
          <w:spacing w:val="-3"/>
        </w:rPr>
        <w:t> </w:t>
      </w:r>
      <w:r>
        <w:rPr/>
        <w:t>In</w:t>
      </w:r>
      <w:r>
        <w:rPr>
          <w:spacing w:val="-3"/>
        </w:rPr>
        <w:t> </w:t>
      </w:r>
      <w:r>
        <w:rPr/>
        <w:t>effect,</w:t>
      </w:r>
      <w:r>
        <w:rPr>
          <w:spacing w:val="-3"/>
        </w:rPr>
        <w:t> </w:t>
      </w:r>
      <w:r>
        <w:rPr/>
        <w:t>the</w:t>
      </w:r>
      <w:r>
        <w:rPr>
          <w:spacing w:val="-3"/>
        </w:rPr>
        <w:t> </w:t>
      </w:r>
      <w:r>
        <w:rPr/>
        <w:t>interest</w:t>
      </w:r>
      <w:r>
        <w:rPr>
          <w:spacing w:val="-3"/>
        </w:rPr>
        <w:t> </w:t>
      </w:r>
      <w:r>
        <w:rPr/>
        <w:t>rate</w:t>
      </w:r>
      <w:r>
        <w:rPr>
          <w:spacing w:val="-3"/>
        </w:rPr>
        <w:t> </w:t>
      </w:r>
      <w:r>
        <w:rPr/>
        <w:t>swaps convert</w:t>
      </w:r>
      <w:r>
        <w:rPr>
          <w:spacing w:val="-7"/>
        </w:rPr>
        <w:t> </w:t>
      </w:r>
      <w:r>
        <w:rPr/>
        <w:t>the</w:t>
      </w:r>
      <w:r>
        <w:rPr>
          <w:spacing w:val="-7"/>
        </w:rPr>
        <w:t> </w:t>
      </w:r>
      <w:r>
        <w:rPr/>
        <w:t>fixed</w:t>
      </w:r>
      <w:r>
        <w:rPr>
          <w:spacing w:val="-7"/>
        </w:rPr>
        <w:t> </w:t>
      </w:r>
      <w:r>
        <w:rPr/>
        <w:t>interest</w:t>
      </w:r>
      <w:r>
        <w:rPr>
          <w:spacing w:val="-7"/>
        </w:rPr>
        <w:t> </w:t>
      </w:r>
      <w:r>
        <w:rPr/>
        <w:t>rate</w:t>
      </w:r>
      <w:r>
        <w:rPr>
          <w:spacing w:val="-7"/>
        </w:rPr>
        <w:t> </w:t>
      </w:r>
      <w:r>
        <w:rPr/>
        <w:t>on</w:t>
      </w:r>
      <w:r>
        <w:rPr>
          <w:spacing w:val="-7"/>
        </w:rPr>
        <w:t> </w:t>
      </w:r>
      <w:r>
        <w:rPr/>
        <w:t>our</w:t>
      </w:r>
      <w:r>
        <w:rPr>
          <w:spacing w:val="-7"/>
        </w:rPr>
        <w:t> </w:t>
      </w:r>
      <w:r>
        <w:rPr/>
        <w:t>2020</w:t>
      </w:r>
      <w:r>
        <w:rPr>
          <w:spacing w:val="-7"/>
        </w:rPr>
        <w:t> </w:t>
      </w:r>
      <w:r>
        <w:rPr/>
        <w:t>Notes</w:t>
      </w:r>
      <w:r>
        <w:rPr>
          <w:spacing w:val="-7"/>
        </w:rPr>
        <w:t> </w:t>
      </w:r>
      <w:r>
        <w:rPr/>
        <w:t>to</w:t>
      </w:r>
      <w:r>
        <w:rPr>
          <w:spacing w:val="-7"/>
        </w:rPr>
        <w:t> </w:t>
      </w:r>
      <w:r>
        <w:rPr/>
        <w:t>a</w:t>
      </w:r>
      <w:r>
        <w:rPr>
          <w:spacing w:val="-7"/>
        </w:rPr>
        <w:t> </w:t>
      </w:r>
      <w:r>
        <w:rPr/>
        <w:t>floating</w:t>
      </w:r>
      <w:r>
        <w:rPr>
          <w:spacing w:val="-7"/>
        </w:rPr>
        <w:t> </w:t>
      </w:r>
      <w:r>
        <w:rPr/>
        <w:t>interest</w:t>
      </w:r>
      <w:r>
        <w:rPr>
          <w:spacing w:val="-7"/>
        </w:rPr>
        <w:t> </w:t>
      </w:r>
      <w:r>
        <w:rPr/>
        <w:t>rate</w:t>
      </w:r>
      <w:r>
        <w:rPr>
          <w:spacing w:val="-7"/>
        </w:rPr>
        <w:t> </w:t>
      </w:r>
      <w:r>
        <w:rPr/>
        <w:t>based</w:t>
      </w:r>
      <w:r>
        <w:rPr>
          <w:spacing w:val="-7"/>
        </w:rPr>
        <w:t> </w:t>
      </w:r>
      <w:r>
        <w:rPr/>
        <w:t>on</w:t>
      </w:r>
      <w:r>
        <w:rPr>
          <w:spacing w:val="-7"/>
        </w:rPr>
        <w:t> </w:t>
      </w:r>
      <w:r>
        <w:rPr/>
        <w:t>the</w:t>
      </w:r>
      <w:r>
        <w:rPr>
          <w:spacing w:val="-7"/>
        </w:rPr>
        <w:t> </w:t>
      </w:r>
      <w:r>
        <w:rPr/>
        <w:t>LIBOR.</w:t>
      </w:r>
      <w:r>
        <w:rPr>
          <w:spacing w:val="-7"/>
        </w:rPr>
        <w:t> </w:t>
      </w:r>
      <w:r>
        <w:rPr/>
        <w:t>Under</w:t>
      </w:r>
      <w:r>
        <w:rPr>
          <w:spacing w:val="-7"/>
        </w:rPr>
        <w:t> </w:t>
      </w:r>
      <w:r>
        <w:rPr/>
        <w:t>the</w:t>
      </w:r>
      <w:r>
        <w:rPr>
          <w:spacing w:val="-7"/>
        </w:rPr>
        <w:t> </w:t>
      </w:r>
      <w:r>
        <w:rPr/>
        <w:t>terms</w:t>
      </w:r>
      <w:r>
        <w:rPr>
          <w:spacing w:val="-7"/>
        </w:rPr>
        <w:t> </w:t>
      </w:r>
      <w:r>
        <w:rPr/>
        <w:t>of</w:t>
      </w:r>
      <w:r>
        <w:rPr>
          <w:spacing w:val="-7"/>
        </w:rPr>
        <w:t> </w:t>
      </w:r>
      <w:r>
        <w:rPr/>
        <w:t>the</w:t>
      </w:r>
      <w:r>
        <w:rPr>
          <w:spacing w:val="-7"/>
        </w:rPr>
        <w:t> </w:t>
      </w:r>
      <w:r>
        <w:rPr/>
        <w:t>swaps,</w:t>
      </w:r>
      <w:r>
        <w:rPr>
          <w:spacing w:val="-7"/>
        </w:rPr>
        <w:t> </w:t>
      </w:r>
      <w:r>
        <w:rPr/>
        <w:t>we will</w:t>
      </w:r>
      <w:r>
        <w:rPr>
          <w:spacing w:val="-3"/>
        </w:rPr>
        <w:t> </w:t>
      </w:r>
      <w:r>
        <w:rPr/>
        <w:t>pay</w:t>
      </w:r>
      <w:r>
        <w:rPr>
          <w:spacing w:val="-2"/>
        </w:rPr>
        <w:t> </w:t>
      </w:r>
      <w:r>
        <w:rPr/>
        <w:t>monthly</w:t>
      </w:r>
      <w:r>
        <w:rPr>
          <w:spacing w:val="-2"/>
        </w:rPr>
        <w:t> </w:t>
      </w:r>
      <w:r>
        <w:rPr/>
        <w:t>interest</w:t>
      </w:r>
      <w:r>
        <w:rPr>
          <w:spacing w:val="-3"/>
        </w:rPr>
        <w:t> </w:t>
      </w:r>
      <w:r>
        <w:rPr/>
        <w:t>at</w:t>
      </w:r>
      <w:r>
        <w:rPr>
          <w:spacing w:val="-2"/>
        </w:rPr>
        <w:t> </w:t>
      </w:r>
      <w:r>
        <w:rPr/>
        <w:t>the</w:t>
      </w:r>
      <w:r>
        <w:rPr>
          <w:spacing w:val="-2"/>
        </w:rPr>
        <w:t> </w:t>
      </w:r>
      <w:r>
        <w:rPr/>
        <w:t>one-month</w:t>
      </w:r>
      <w:r>
        <w:rPr>
          <w:spacing w:val="-2"/>
        </w:rPr>
        <w:t> </w:t>
      </w:r>
      <w:r>
        <w:rPr/>
        <w:t>LIBOR</w:t>
      </w:r>
      <w:r>
        <w:rPr>
          <w:spacing w:val="-2"/>
        </w:rPr>
        <w:t> </w:t>
      </w:r>
      <w:r>
        <w:rPr/>
        <w:t>rate</w:t>
      </w:r>
      <w:r>
        <w:rPr>
          <w:spacing w:val="-2"/>
        </w:rPr>
        <w:t> </w:t>
      </w:r>
      <w:r>
        <w:rPr/>
        <w:t>plus</w:t>
      </w:r>
      <w:r>
        <w:rPr>
          <w:spacing w:val="-2"/>
        </w:rPr>
        <w:t> </w:t>
      </w:r>
      <w:r>
        <w:rPr/>
        <w:t>a</w:t>
      </w:r>
      <w:r>
        <w:rPr>
          <w:spacing w:val="-2"/>
        </w:rPr>
        <w:t> </w:t>
      </w:r>
      <w:r>
        <w:rPr/>
        <w:t>fixed</w:t>
      </w:r>
      <w:r>
        <w:rPr>
          <w:spacing w:val="-2"/>
        </w:rPr>
        <w:t> </w:t>
      </w:r>
      <w:r>
        <w:rPr/>
        <w:t>number</w:t>
      </w:r>
      <w:r>
        <w:rPr>
          <w:spacing w:val="-2"/>
        </w:rPr>
        <w:t> </w:t>
      </w:r>
      <w:r>
        <w:rPr/>
        <w:t>of</w:t>
      </w:r>
      <w:r>
        <w:rPr>
          <w:spacing w:val="-2"/>
        </w:rPr>
        <w:t> </w:t>
      </w:r>
      <w:r>
        <w:rPr/>
        <w:t>basis</w:t>
      </w:r>
      <w:r>
        <w:rPr>
          <w:spacing w:val="-2"/>
        </w:rPr>
        <w:t> </w:t>
      </w:r>
      <w:r>
        <w:rPr/>
        <w:t>points</w:t>
      </w:r>
      <w:r>
        <w:rPr>
          <w:spacing w:val="-2"/>
        </w:rPr>
        <w:t> </w:t>
      </w:r>
      <w:r>
        <w:rPr/>
        <w:t>on</w:t>
      </w:r>
      <w:r>
        <w:rPr>
          <w:spacing w:val="-2"/>
        </w:rPr>
        <w:t> </w:t>
      </w:r>
      <w:r>
        <w:rPr/>
        <w:t>the</w:t>
      </w:r>
      <w:r>
        <w:rPr>
          <w:spacing w:val="-2"/>
        </w:rPr>
        <w:t> </w:t>
      </w:r>
      <w:r>
        <w:rPr/>
        <w:t>$900</w:t>
      </w:r>
      <w:r>
        <w:rPr>
          <w:spacing w:val="-2"/>
        </w:rPr>
        <w:t> </w:t>
      </w:r>
      <w:r>
        <w:rPr/>
        <w:t>million</w:t>
      </w:r>
      <w:r>
        <w:rPr>
          <w:spacing w:val="-2"/>
        </w:rPr>
        <w:t> </w:t>
      </w:r>
      <w:r>
        <w:rPr/>
        <w:t>notional</w:t>
      </w:r>
      <w:r>
        <w:rPr>
          <w:spacing w:val="-3"/>
        </w:rPr>
        <w:t> </w:t>
      </w:r>
      <w:r>
        <w:rPr/>
        <w:t>amount through February 1, 2020. In exchange, we will receive 4.75% fixed rate interest from the swap counterparties. </w:t>
      </w:r>
      <w:hyperlink w:history="true" w:anchor="_bookmark31">
        <w:r>
          <w:rPr>
            <w:i/>
          </w:rPr>
          <w:t>See Note 15 for</w:t>
        </w:r>
      </w:hyperlink>
      <w:r>
        <w:rPr>
          <w:i/>
        </w:rPr>
        <w:t> </w:t>
      </w:r>
      <w:hyperlink w:history="true" w:anchor="_bookmark31">
        <w:r>
          <w:rPr>
            <w:i/>
          </w:rPr>
          <w:t>further details regarding our debt.</w:t>
        </w:r>
      </w:hyperlink>
    </w:p>
    <w:p>
      <w:pPr>
        <w:pStyle w:val="BodyText"/>
        <w:spacing w:line="249" w:lineRule="auto" w:before="184"/>
        <w:ind w:left="220" w:right="257" w:firstLine="540"/>
        <w:jc w:val="both"/>
      </w:pPr>
      <w:r>
        <w:rPr>
          <w:spacing w:val="-2"/>
        </w:rPr>
        <w:t>The</w:t>
      </w:r>
      <w:r>
        <w:rPr>
          <w:spacing w:val="-5"/>
        </w:rPr>
        <w:t> </w:t>
      </w:r>
      <w:r>
        <w:rPr>
          <w:spacing w:val="-2"/>
        </w:rPr>
        <w:t>interest</w:t>
      </w:r>
      <w:r>
        <w:rPr>
          <w:spacing w:val="-5"/>
        </w:rPr>
        <w:t> </w:t>
      </w:r>
      <w:r>
        <w:rPr>
          <w:spacing w:val="-2"/>
        </w:rPr>
        <w:t>rate</w:t>
      </w:r>
      <w:r>
        <w:rPr>
          <w:spacing w:val="-4"/>
        </w:rPr>
        <w:t> </w:t>
      </w:r>
      <w:r>
        <w:rPr>
          <w:spacing w:val="-2"/>
        </w:rPr>
        <w:t>swaps</w:t>
      </w:r>
      <w:r>
        <w:rPr>
          <w:spacing w:val="-4"/>
        </w:rPr>
        <w:t> </w:t>
      </w:r>
      <w:r>
        <w:rPr>
          <w:spacing w:val="-2"/>
        </w:rPr>
        <w:t>are</w:t>
      </w:r>
      <w:r>
        <w:rPr>
          <w:spacing w:val="-5"/>
        </w:rPr>
        <w:t> </w:t>
      </w:r>
      <w:r>
        <w:rPr>
          <w:spacing w:val="-2"/>
        </w:rPr>
        <w:t>accounted</w:t>
      </w:r>
      <w:r>
        <w:rPr>
          <w:spacing w:val="-5"/>
        </w:rPr>
        <w:t> </w:t>
      </w:r>
      <w:r>
        <w:rPr>
          <w:spacing w:val="-2"/>
        </w:rPr>
        <w:t>for</w:t>
      </w:r>
      <w:r>
        <w:rPr>
          <w:spacing w:val="-4"/>
        </w:rPr>
        <w:t> </w:t>
      </w:r>
      <w:r>
        <w:rPr>
          <w:spacing w:val="-2"/>
        </w:rPr>
        <w:t>as</w:t>
      </w:r>
      <w:r>
        <w:rPr>
          <w:spacing w:val="-5"/>
        </w:rPr>
        <w:t> </w:t>
      </w:r>
      <w:r>
        <w:rPr>
          <w:spacing w:val="-2"/>
        </w:rPr>
        <w:t>fair</w:t>
      </w:r>
      <w:r>
        <w:rPr>
          <w:spacing w:val="-4"/>
        </w:rPr>
        <w:t> </w:t>
      </w:r>
      <w:r>
        <w:rPr>
          <w:spacing w:val="-2"/>
        </w:rPr>
        <w:t>value</w:t>
      </w:r>
      <w:r>
        <w:rPr>
          <w:spacing w:val="-5"/>
        </w:rPr>
        <w:t> </w:t>
      </w:r>
      <w:r>
        <w:rPr>
          <w:spacing w:val="-2"/>
        </w:rPr>
        <w:t>hedges</w:t>
      </w:r>
      <w:r>
        <w:rPr>
          <w:spacing w:val="-4"/>
        </w:rPr>
        <w:t> </w:t>
      </w:r>
      <w:r>
        <w:rPr>
          <w:spacing w:val="-2"/>
        </w:rPr>
        <w:t>and</w:t>
      </w:r>
      <w:r>
        <w:rPr>
          <w:spacing w:val="-5"/>
        </w:rPr>
        <w:t> </w:t>
      </w:r>
      <w:r>
        <w:rPr>
          <w:spacing w:val="-2"/>
        </w:rPr>
        <w:t>substantially</w:t>
      </w:r>
      <w:r>
        <w:rPr>
          <w:spacing w:val="-5"/>
        </w:rPr>
        <w:t> </w:t>
      </w:r>
      <w:r>
        <w:rPr>
          <w:spacing w:val="-2"/>
        </w:rPr>
        <w:t>offset</w:t>
      </w:r>
      <w:r>
        <w:rPr>
          <w:spacing w:val="-5"/>
        </w:rPr>
        <w:t> </w:t>
      </w:r>
      <w:r>
        <w:rPr>
          <w:spacing w:val="-2"/>
        </w:rPr>
        <w:t>the</w:t>
      </w:r>
      <w:r>
        <w:rPr>
          <w:spacing w:val="-5"/>
        </w:rPr>
        <w:t> </w:t>
      </w:r>
      <w:r>
        <w:rPr>
          <w:spacing w:val="-2"/>
        </w:rPr>
        <w:t>changes</w:t>
      </w:r>
      <w:r>
        <w:rPr>
          <w:spacing w:val="-4"/>
        </w:rPr>
        <w:t> </w:t>
      </w:r>
      <w:r>
        <w:rPr>
          <w:spacing w:val="-2"/>
        </w:rPr>
        <w:t>in</w:t>
      </w:r>
      <w:r>
        <w:rPr>
          <w:spacing w:val="-4"/>
        </w:rPr>
        <w:t> </w:t>
      </w:r>
      <w:r>
        <w:rPr>
          <w:spacing w:val="-2"/>
        </w:rPr>
        <w:t>fair</w:t>
      </w:r>
      <w:r>
        <w:rPr>
          <w:spacing w:val="-5"/>
        </w:rPr>
        <w:t> </w:t>
      </w:r>
      <w:r>
        <w:rPr>
          <w:spacing w:val="-2"/>
        </w:rPr>
        <w:t>value</w:t>
      </w:r>
      <w:r>
        <w:rPr>
          <w:spacing w:val="-5"/>
        </w:rPr>
        <w:t> </w:t>
      </w:r>
      <w:r>
        <w:rPr>
          <w:spacing w:val="-2"/>
        </w:rPr>
        <w:t>of</w:t>
      </w:r>
      <w:r>
        <w:rPr>
          <w:spacing w:val="-4"/>
        </w:rPr>
        <w:t> </w:t>
      </w:r>
      <w:r>
        <w:rPr>
          <w:spacing w:val="-2"/>
        </w:rPr>
        <w:t>the</w:t>
      </w:r>
      <w:r>
        <w:rPr>
          <w:spacing w:val="-4"/>
        </w:rPr>
        <w:t> </w:t>
      </w:r>
      <w:r>
        <w:rPr>
          <w:spacing w:val="-2"/>
        </w:rPr>
        <w:t>hedged </w:t>
      </w:r>
      <w:r>
        <w:rPr/>
        <w:t>portion</w:t>
      </w:r>
      <w:r>
        <w:rPr>
          <w:spacing w:val="-12"/>
        </w:rPr>
        <w:t> </w:t>
      </w:r>
      <w:r>
        <w:rPr/>
        <w:t>of</w:t>
      </w:r>
      <w:r>
        <w:rPr>
          <w:spacing w:val="-11"/>
        </w:rPr>
        <w:t> </w:t>
      </w:r>
      <w:r>
        <w:rPr/>
        <w:t>the</w:t>
      </w:r>
      <w:r>
        <w:rPr>
          <w:spacing w:val="-11"/>
        </w:rPr>
        <w:t> </w:t>
      </w:r>
      <w:r>
        <w:rPr/>
        <w:t>underlying</w:t>
      </w:r>
      <w:r>
        <w:rPr>
          <w:spacing w:val="-11"/>
        </w:rPr>
        <w:t> </w:t>
      </w:r>
      <w:r>
        <w:rPr/>
        <w:t>debt</w:t>
      </w:r>
      <w:r>
        <w:rPr>
          <w:spacing w:val="-11"/>
        </w:rPr>
        <w:t> </w:t>
      </w:r>
      <w:r>
        <w:rPr/>
        <w:t>that</w:t>
      </w:r>
      <w:r>
        <w:rPr>
          <w:spacing w:val="-11"/>
        </w:rPr>
        <w:t> </w:t>
      </w:r>
      <w:r>
        <w:rPr/>
        <w:t>are</w:t>
      </w:r>
      <w:r>
        <w:rPr>
          <w:spacing w:val="-11"/>
        </w:rPr>
        <w:t> </w:t>
      </w:r>
      <w:r>
        <w:rPr/>
        <w:t>attributable</w:t>
      </w:r>
      <w:r>
        <w:rPr>
          <w:spacing w:val="-11"/>
        </w:rPr>
        <w:t> </w:t>
      </w:r>
      <w:r>
        <w:rPr/>
        <w:t>to</w:t>
      </w:r>
      <w:r>
        <w:rPr>
          <w:spacing w:val="-11"/>
        </w:rPr>
        <w:t> </w:t>
      </w:r>
      <w:r>
        <w:rPr/>
        <w:t>the</w:t>
      </w:r>
      <w:r>
        <w:rPr>
          <w:spacing w:val="-11"/>
        </w:rPr>
        <w:t> </w:t>
      </w:r>
      <w:r>
        <w:rPr/>
        <w:t>changes</w:t>
      </w:r>
      <w:r>
        <w:rPr>
          <w:spacing w:val="-11"/>
        </w:rPr>
        <w:t> </w:t>
      </w:r>
      <w:r>
        <w:rPr/>
        <w:t>in</w:t>
      </w:r>
      <w:r>
        <w:rPr>
          <w:spacing w:val="-11"/>
        </w:rPr>
        <w:t> </w:t>
      </w:r>
      <w:r>
        <w:rPr/>
        <w:t>market</w:t>
      </w:r>
      <w:r>
        <w:rPr>
          <w:spacing w:val="-11"/>
        </w:rPr>
        <w:t> </w:t>
      </w:r>
      <w:r>
        <w:rPr/>
        <w:t>risk.</w:t>
      </w:r>
      <w:r>
        <w:rPr>
          <w:spacing w:val="-13"/>
        </w:rPr>
        <w:t> </w:t>
      </w:r>
      <w:r>
        <w:rPr/>
        <w:t>Therefore,</w:t>
      </w:r>
      <w:r>
        <w:rPr>
          <w:spacing w:val="-10"/>
        </w:rPr>
        <w:t> </w:t>
      </w:r>
      <w:r>
        <w:rPr/>
        <w:t>the</w:t>
      </w:r>
      <w:r>
        <w:rPr>
          <w:spacing w:val="-11"/>
        </w:rPr>
        <w:t> </w:t>
      </w:r>
      <w:r>
        <w:rPr/>
        <w:t>gains</w:t>
      </w:r>
      <w:r>
        <w:rPr>
          <w:spacing w:val="-11"/>
        </w:rPr>
        <w:t> </w:t>
      </w:r>
      <w:r>
        <w:rPr/>
        <w:t>and</w:t>
      </w:r>
      <w:r>
        <w:rPr>
          <w:spacing w:val="-11"/>
        </w:rPr>
        <w:t> </w:t>
      </w:r>
      <w:r>
        <w:rPr/>
        <w:t>losses</w:t>
      </w:r>
      <w:r>
        <w:rPr>
          <w:spacing w:val="-11"/>
        </w:rPr>
        <w:t> </w:t>
      </w:r>
      <w:r>
        <w:rPr/>
        <w:t>related</w:t>
      </w:r>
      <w:r>
        <w:rPr>
          <w:spacing w:val="-11"/>
        </w:rPr>
        <w:t> </w:t>
      </w:r>
      <w:r>
        <w:rPr/>
        <w:t>to</w:t>
      </w:r>
      <w:r>
        <w:rPr>
          <w:spacing w:val="-11"/>
        </w:rPr>
        <w:t> </w:t>
      </w:r>
      <w:r>
        <w:rPr/>
        <w:t>changes in</w:t>
      </w:r>
      <w:r>
        <w:rPr>
          <w:spacing w:val="-7"/>
        </w:rPr>
        <w:t> </w:t>
      </w:r>
      <w:r>
        <w:rPr/>
        <w:t>the</w:t>
      </w:r>
      <w:r>
        <w:rPr>
          <w:spacing w:val="-7"/>
        </w:rPr>
        <w:t> </w:t>
      </w:r>
      <w:r>
        <w:rPr/>
        <w:t>fair</w:t>
      </w:r>
      <w:r>
        <w:rPr>
          <w:spacing w:val="-7"/>
        </w:rPr>
        <w:t> </w:t>
      </w:r>
      <w:r>
        <w:rPr/>
        <w:t>value</w:t>
      </w:r>
      <w:r>
        <w:rPr>
          <w:spacing w:val="-7"/>
        </w:rPr>
        <w:t> </w:t>
      </w:r>
      <w:r>
        <w:rPr/>
        <w:t>of</w:t>
      </w:r>
      <w:r>
        <w:rPr>
          <w:spacing w:val="-7"/>
        </w:rPr>
        <w:t> </w:t>
      </w:r>
      <w:r>
        <w:rPr/>
        <w:t>the</w:t>
      </w:r>
      <w:r>
        <w:rPr>
          <w:spacing w:val="-7"/>
        </w:rPr>
        <w:t> </w:t>
      </w:r>
      <w:r>
        <w:rPr/>
        <w:t>interest</w:t>
      </w:r>
      <w:r>
        <w:rPr>
          <w:spacing w:val="-7"/>
        </w:rPr>
        <w:t> </w:t>
      </w:r>
      <w:r>
        <w:rPr/>
        <w:t>rate</w:t>
      </w:r>
      <w:r>
        <w:rPr>
          <w:spacing w:val="-7"/>
        </w:rPr>
        <w:t> </w:t>
      </w:r>
      <w:r>
        <w:rPr/>
        <w:t>swaps</w:t>
      </w:r>
      <w:r>
        <w:rPr>
          <w:spacing w:val="-7"/>
        </w:rPr>
        <w:t> </w:t>
      </w:r>
      <w:r>
        <w:rPr/>
        <w:t>are</w:t>
      </w:r>
      <w:r>
        <w:rPr>
          <w:spacing w:val="-7"/>
        </w:rPr>
        <w:t> </w:t>
      </w:r>
      <w:r>
        <w:rPr/>
        <w:t>included</w:t>
      </w:r>
      <w:r>
        <w:rPr>
          <w:spacing w:val="-7"/>
        </w:rPr>
        <w:t> </w:t>
      </w:r>
      <w:r>
        <w:rPr/>
        <w:t>in</w:t>
      </w:r>
      <w:r>
        <w:rPr>
          <w:spacing w:val="-7"/>
        </w:rPr>
        <w:t> </w:t>
      </w:r>
      <w:r>
        <w:rPr/>
        <w:t>interest</w:t>
      </w:r>
      <w:r>
        <w:rPr>
          <w:spacing w:val="-7"/>
        </w:rPr>
        <w:t> </w:t>
      </w:r>
      <w:r>
        <w:rPr/>
        <w:t>and</w:t>
      </w:r>
      <w:r>
        <w:rPr>
          <w:spacing w:val="-7"/>
        </w:rPr>
        <w:t> </w:t>
      </w:r>
      <w:r>
        <w:rPr/>
        <w:t>other</w:t>
      </w:r>
      <w:r>
        <w:rPr>
          <w:spacing w:val="-7"/>
        </w:rPr>
        <w:t> </w:t>
      </w:r>
      <w:r>
        <w:rPr/>
        <w:t>income</w:t>
      </w:r>
      <w:r>
        <w:rPr>
          <w:spacing w:val="-8"/>
        </w:rPr>
        <w:t> </w:t>
      </w:r>
      <w:r>
        <w:rPr/>
        <w:t>(expense),</w:t>
      </w:r>
      <w:r>
        <w:rPr>
          <w:spacing w:val="-7"/>
        </w:rPr>
        <w:t> </w:t>
      </w:r>
      <w:r>
        <w:rPr/>
        <w:t>net</w:t>
      </w:r>
      <w:r>
        <w:rPr>
          <w:spacing w:val="-7"/>
        </w:rPr>
        <w:t> </w:t>
      </w:r>
      <w:r>
        <w:rPr/>
        <w:t>in</w:t>
      </w:r>
      <w:r>
        <w:rPr>
          <w:spacing w:val="-7"/>
        </w:rPr>
        <w:t> </w:t>
      </w:r>
      <w:r>
        <w:rPr/>
        <w:t>our</w:t>
      </w:r>
      <w:r>
        <w:rPr>
          <w:spacing w:val="-7"/>
        </w:rPr>
        <w:t> </w:t>
      </w:r>
      <w:r>
        <w:rPr/>
        <w:t>Consolidated</w:t>
      </w:r>
      <w:r>
        <w:rPr>
          <w:spacing w:val="-7"/>
        </w:rPr>
        <w:t> </w:t>
      </w:r>
      <w:r>
        <w:rPr/>
        <w:t>Statements of Income. The fair value of the interest rate swaps is reflected in other liabilities or other assets in our Consolidated Balance </w:t>
      </w:r>
      <w:r>
        <w:rPr>
          <w:spacing w:val="-2"/>
        </w:rPr>
        <w:t>Sheets.</w:t>
      </w:r>
    </w:p>
    <w:p>
      <w:pPr>
        <w:pStyle w:val="BodyText"/>
        <w:spacing w:line="249" w:lineRule="auto" w:before="184"/>
        <w:ind w:left="220" w:right="257" w:firstLine="540"/>
        <w:jc w:val="both"/>
      </w:pPr>
      <w:r>
        <w:rPr/>
        <w:t>The</w:t>
      </w:r>
      <w:r>
        <w:rPr>
          <w:spacing w:val="-13"/>
        </w:rPr>
        <w:t> </w:t>
      </w:r>
      <w:r>
        <w:rPr/>
        <w:t>fair</w:t>
      </w:r>
      <w:r>
        <w:rPr>
          <w:spacing w:val="-12"/>
        </w:rPr>
        <w:t> </w:t>
      </w:r>
      <w:r>
        <w:rPr/>
        <w:t>value</w:t>
      </w:r>
      <w:r>
        <w:rPr>
          <w:spacing w:val="-13"/>
        </w:rPr>
        <w:t> </w:t>
      </w:r>
      <w:r>
        <w:rPr/>
        <w:t>of</w:t>
      </w:r>
      <w:r>
        <w:rPr>
          <w:spacing w:val="-12"/>
        </w:rPr>
        <w:t> </w:t>
      </w:r>
      <w:r>
        <w:rPr/>
        <w:t>derivative</w:t>
      </w:r>
      <w:r>
        <w:rPr>
          <w:spacing w:val="-13"/>
        </w:rPr>
        <w:t> </w:t>
      </w:r>
      <w:r>
        <w:rPr/>
        <w:t>instruments</w:t>
      </w:r>
      <w:r>
        <w:rPr>
          <w:spacing w:val="-12"/>
        </w:rPr>
        <w:t> </w:t>
      </w:r>
      <w:r>
        <w:rPr/>
        <w:t>on</w:t>
      </w:r>
      <w:r>
        <w:rPr>
          <w:spacing w:val="-13"/>
        </w:rPr>
        <w:t> </w:t>
      </w:r>
      <w:r>
        <w:rPr/>
        <w:t>our</w:t>
      </w:r>
      <w:r>
        <w:rPr>
          <w:spacing w:val="-12"/>
        </w:rPr>
        <w:t> </w:t>
      </w:r>
      <w:r>
        <w:rPr/>
        <w:t>Consolidated</w:t>
      </w:r>
      <w:r>
        <w:rPr>
          <w:spacing w:val="-13"/>
        </w:rPr>
        <w:t> </w:t>
      </w:r>
      <w:r>
        <w:rPr/>
        <w:t>Balance</w:t>
      </w:r>
      <w:r>
        <w:rPr>
          <w:spacing w:val="-12"/>
        </w:rPr>
        <w:t> </w:t>
      </w:r>
      <w:r>
        <w:rPr/>
        <w:t>Sheets</w:t>
      </w:r>
      <w:r>
        <w:rPr>
          <w:spacing w:val="-13"/>
        </w:rPr>
        <w:t> </w:t>
      </w:r>
      <w:r>
        <w:rPr/>
        <w:t>as</w:t>
      </w:r>
      <w:r>
        <w:rPr>
          <w:spacing w:val="-12"/>
        </w:rPr>
        <w:t> </w:t>
      </w:r>
      <w:r>
        <w:rPr/>
        <w:t>of</w:t>
      </w:r>
      <w:r>
        <w:rPr>
          <w:spacing w:val="-13"/>
        </w:rPr>
        <w:t> </w:t>
      </w:r>
      <w:r>
        <w:rPr/>
        <w:t>December</w:t>
      </w:r>
      <w:r>
        <w:rPr>
          <w:spacing w:val="-12"/>
        </w:rPr>
        <w:t> </w:t>
      </w:r>
      <w:r>
        <w:rPr/>
        <w:t>1,</w:t>
      </w:r>
      <w:r>
        <w:rPr>
          <w:spacing w:val="-13"/>
        </w:rPr>
        <w:t> </w:t>
      </w:r>
      <w:r>
        <w:rPr/>
        <w:t>2017</w:t>
      </w:r>
      <w:r>
        <w:rPr>
          <w:spacing w:val="-12"/>
        </w:rPr>
        <w:t> </w:t>
      </w:r>
      <w:r>
        <w:rPr/>
        <w:t>and</w:t>
      </w:r>
      <w:r>
        <w:rPr>
          <w:spacing w:val="-13"/>
        </w:rPr>
        <w:t> </w:t>
      </w:r>
      <w:r>
        <w:rPr/>
        <w:t>December</w:t>
      </w:r>
      <w:r>
        <w:rPr>
          <w:spacing w:val="-12"/>
        </w:rPr>
        <w:t> </w:t>
      </w:r>
      <w:r>
        <w:rPr/>
        <w:t>2,</w:t>
      </w:r>
      <w:r>
        <w:rPr>
          <w:spacing w:val="-13"/>
        </w:rPr>
        <w:t> </w:t>
      </w:r>
      <w:r>
        <w:rPr/>
        <w:t>2016 were as follows (in thousands):</w:t>
      </w:r>
    </w:p>
    <w:p>
      <w:pPr>
        <w:pStyle w:val="BodyText"/>
        <w:spacing w:before="100"/>
        <w:rPr>
          <w:sz w:val="16"/>
        </w:rPr>
      </w:pPr>
    </w:p>
    <w:p>
      <w:pPr>
        <w:tabs>
          <w:tab w:pos="8839" w:val="left" w:leader="none"/>
        </w:tabs>
        <w:spacing w:before="0"/>
        <w:ind w:left="5880" w:right="0" w:firstLine="0"/>
        <w:jc w:val="left"/>
        <w:rPr>
          <w:b/>
          <w:sz w:val="16"/>
        </w:rPr>
      </w:pPr>
      <w:r>
        <w:rPr/>
        <mc:AlternateContent>
          <mc:Choice Requires="wps">
            <w:drawing>
              <wp:anchor distT="0" distB="0" distL="0" distR="0" allowOverlap="1" layoutInCell="1" locked="0" behindDoc="0" simplePos="0" relativeHeight="15811584">
                <wp:simplePos x="0" y="0"/>
                <wp:positionH relativeFrom="page">
                  <wp:posOffset>3422650</wp:posOffset>
                </wp:positionH>
                <wp:positionV relativeFrom="paragraph">
                  <wp:posOffset>148895</wp:posOffset>
                </wp:positionV>
                <wp:extent cx="1828800" cy="127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1828800" cy="1270"/>
                        </a:xfrm>
                        <a:custGeom>
                          <a:avLst/>
                          <a:gdLst/>
                          <a:ahLst/>
                          <a:cxnLst/>
                          <a:rect l="l" t="t" r="r" b="b"/>
                          <a:pathLst>
                            <a:path w="1828800" h="0">
                              <a:moveTo>
                                <a:pt x="0" y="0"/>
                              </a:moveTo>
                              <a:lnTo>
                                <a:pt x="889000" y="0"/>
                              </a:lnTo>
                            </a:path>
                            <a:path w="1828800" h="0">
                              <a:moveTo>
                                <a:pt x="889000" y="0"/>
                              </a:moveTo>
                              <a:lnTo>
                                <a:pt x="939800" y="0"/>
                              </a:lnTo>
                            </a:path>
                            <a:path w="1828800" h="0">
                              <a:moveTo>
                                <a:pt x="939800" y="0"/>
                              </a:moveTo>
                              <a:lnTo>
                                <a:pt x="1828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5pt;margin-top:11.724024pt;width:144pt;height:.1pt;mso-position-horizontal-relative:page;mso-position-vertical-relative:paragraph;z-index:15811584" id="docshape361" coordorigin="5390,234" coordsize="2880,0" path="m5390,234l6790,234m6790,234l6870,234m6870,234l8270,234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12096">
                <wp:simplePos x="0" y="0"/>
                <wp:positionH relativeFrom="page">
                  <wp:posOffset>5302250</wp:posOffset>
                </wp:positionH>
                <wp:positionV relativeFrom="paragraph">
                  <wp:posOffset>148895</wp:posOffset>
                </wp:positionV>
                <wp:extent cx="1828800" cy="127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1828800" cy="1270"/>
                        </a:xfrm>
                        <a:custGeom>
                          <a:avLst/>
                          <a:gdLst/>
                          <a:ahLst/>
                          <a:cxnLst/>
                          <a:rect l="l" t="t" r="r" b="b"/>
                          <a:pathLst>
                            <a:path w="1828800" h="0">
                              <a:moveTo>
                                <a:pt x="0" y="0"/>
                              </a:moveTo>
                              <a:lnTo>
                                <a:pt x="889000" y="0"/>
                              </a:lnTo>
                            </a:path>
                            <a:path w="1828800" h="0">
                              <a:moveTo>
                                <a:pt x="889000" y="0"/>
                              </a:moveTo>
                              <a:lnTo>
                                <a:pt x="939800" y="0"/>
                              </a:lnTo>
                            </a:path>
                            <a:path w="1828800" h="0">
                              <a:moveTo>
                                <a:pt x="939800" y="0"/>
                              </a:moveTo>
                              <a:lnTo>
                                <a:pt x="1828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5pt;margin-top:11.724024pt;width:144pt;height:.1pt;mso-position-horizontal-relative:page;mso-position-vertical-relative:paragraph;z-index:15812096" id="docshape362" coordorigin="8350,234" coordsize="2880,0" path="m8350,234l9750,234m9750,234l9830,234m9830,234l11230,234e" filled="false" stroked="true" strokeweight="1pt" strokecolor="#000000">
                <v:path arrowok="t"/>
                <v:stroke dashstyle="solid"/>
                <w10:wrap type="none"/>
              </v:shape>
            </w:pict>
          </mc:Fallback>
        </mc:AlternateContent>
      </w:r>
      <w:r>
        <w:rPr>
          <w:b/>
          <w:spacing w:val="-4"/>
          <w:sz w:val="16"/>
        </w:rPr>
        <w:t>2017</w:t>
      </w:r>
      <w:r>
        <w:rPr>
          <w:b/>
          <w:sz w:val="16"/>
        </w:rPr>
        <w:tab/>
      </w:r>
      <w:r>
        <w:rPr>
          <w:b/>
          <w:spacing w:val="-4"/>
          <w:sz w:val="16"/>
        </w:rPr>
        <w:t>2016</w:t>
      </w:r>
    </w:p>
    <w:p>
      <w:pPr>
        <w:spacing w:after="0"/>
        <w:jc w:val="left"/>
        <w:rPr>
          <w:sz w:val="16"/>
        </w:rPr>
        <w:sectPr>
          <w:pgSz w:w="12240" w:h="15840"/>
          <w:pgMar w:header="210" w:footer="610" w:top="1380" w:bottom="800" w:left="780" w:right="740"/>
        </w:sectPr>
      </w:pPr>
    </w:p>
    <w:p>
      <w:pPr>
        <w:spacing w:line="208" w:lineRule="auto" w:before="96"/>
        <w:ind w:left="4912" w:right="0" w:hanging="1"/>
        <w:jc w:val="center"/>
        <w:rPr>
          <w:b/>
          <w:sz w:val="16"/>
        </w:rPr>
      </w:pPr>
      <w:r>
        <w:rPr>
          <w:b/>
          <w:sz w:val="16"/>
        </w:rPr>
        <w:t>Fair</w:t>
      </w:r>
      <w:r>
        <w:rPr>
          <w:b/>
          <w:spacing w:val="-10"/>
          <w:sz w:val="16"/>
        </w:rPr>
        <w:t> </w:t>
      </w:r>
      <w:r>
        <w:rPr>
          <w:b/>
          <w:sz w:val="16"/>
        </w:rPr>
        <w:t>Value</w:t>
      </w:r>
      <w:r>
        <w:rPr>
          <w:b/>
          <w:spacing w:val="40"/>
          <w:sz w:val="16"/>
        </w:rPr>
        <w:t> </w:t>
      </w:r>
      <w:r>
        <w:rPr>
          <w:b/>
          <w:spacing w:val="-2"/>
          <w:sz w:val="16"/>
        </w:rPr>
        <w:t>Asset</w:t>
      </w:r>
      <w:r>
        <w:rPr>
          <w:b/>
          <w:spacing w:val="40"/>
          <w:sz w:val="16"/>
        </w:rPr>
        <w:t> </w:t>
      </w:r>
      <w:r>
        <w:rPr>
          <w:b/>
          <w:spacing w:val="-2"/>
          <w:sz w:val="16"/>
        </w:rPr>
        <w:t>Derivatives</w:t>
      </w:r>
    </w:p>
    <w:p>
      <w:pPr>
        <w:spacing w:line="208" w:lineRule="auto" w:before="96"/>
        <w:ind w:left="667" w:right="0" w:hanging="1"/>
        <w:jc w:val="center"/>
        <w:rPr>
          <w:b/>
          <w:sz w:val="16"/>
        </w:rPr>
      </w:pPr>
      <w:r>
        <w:rPr/>
        <w:br w:type="column"/>
      </w:r>
      <w:r>
        <w:rPr>
          <w:b/>
          <w:sz w:val="16"/>
        </w:rPr>
        <w:t>Fair</w:t>
      </w:r>
      <w:r>
        <w:rPr>
          <w:b/>
          <w:spacing w:val="-10"/>
          <w:sz w:val="16"/>
        </w:rPr>
        <w:t> </w:t>
      </w:r>
      <w:r>
        <w:rPr>
          <w:b/>
          <w:sz w:val="16"/>
        </w:rPr>
        <w:t>Value</w:t>
      </w:r>
      <w:r>
        <w:rPr>
          <w:b/>
          <w:spacing w:val="40"/>
          <w:sz w:val="16"/>
        </w:rPr>
        <w:t> </w:t>
      </w:r>
      <w:r>
        <w:rPr>
          <w:b/>
          <w:spacing w:val="-2"/>
          <w:sz w:val="16"/>
        </w:rPr>
        <w:t>Liability</w:t>
      </w:r>
      <w:r>
        <w:rPr>
          <w:b/>
          <w:spacing w:val="40"/>
          <w:sz w:val="16"/>
        </w:rPr>
        <w:t> </w:t>
      </w:r>
      <w:r>
        <w:rPr>
          <w:b/>
          <w:spacing w:val="-2"/>
          <w:sz w:val="16"/>
        </w:rPr>
        <w:t>Derivatives</w:t>
      </w:r>
    </w:p>
    <w:p>
      <w:pPr>
        <w:spacing w:line="208" w:lineRule="auto" w:before="96"/>
        <w:ind w:left="667" w:right="0" w:hanging="1"/>
        <w:jc w:val="center"/>
        <w:rPr>
          <w:b/>
          <w:sz w:val="16"/>
        </w:rPr>
      </w:pPr>
      <w:r>
        <w:rPr/>
        <w:br w:type="column"/>
      </w:r>
      <w:r>
        <w:rPr>
          <w:b/>
          <w:sz w:val="16"/>
        </w:rPr>
        <w:t>Fair</w:t>
      </w:r>
      <w:r>
        <w:rPr>
          <w:b/>
          <w:spacing w:val="-10"/>
          <w:sz w:val="16"/>
        </w:rPr>
        <w:t> </w:t>
      </w:r>
      <w:r>
        <w:rPr>
          <w:b/>
          <w:sz w:val="16"/>
        </w:rPr>
        <w:t>Value</w:t>
      </w:r>
      <w:r>
        <w:rPr>
          <w:b/>
          <w:spacing w:val="40"/>
          <w:sz w:val="16"/>
        </w:rPr>
        <w:t> </w:t>
      </w:r>
      <w:r>
        <w:rPr>
          <w:b/>
          <w:spacing w:val="-2"/>
          <w:sz w:val="16"/>
        </w:rPr>
        <w:t>Asset</w:t>
      </w:r>
      <w:r>
        <w:rPr>
          <w:b/>
          <w:spacing w:val="40"/>
          <w:sz w:val="16"/>
        </w:rPr>
        <w:t> </w:t>
      </w:r>
      <w:r>
        <w:rPr>
          <w:b/>
          <w:spacing w:val="-2"/>
          <w:sz w:val="16"/>
        </w:rPr>
        <w:t>Derivatives</w:t>
      </w:r>
    </w:p>
    <w:p>
      <w:pPr>
        <w:spacing w:line="208" w:lineRule="auto" w:before="96"/>
        <w:ind w:left="667" w:right="592" w:hanging="1"/>
        <w:jc w:val="center"/>
        <w:rPr>
          <w:b/>
          <w:sz w:val="16"/>
        </w:rPr>
      </w:pPr>
      <w:r>
        <w:rPr/>
        <w:br w:type="column"/>
      </w:r>
      <w:r>
        <w:rPr>
          <w:b/>
          <w:sz w:val="16"/>
        </w:rPr>
        <w:t>Fair</w:t>
      </w:r>
      <w:r>
        <w:rPr>
          <w:b/>
          <w:spacing w:val="-10"/>
          <w:sz w:val="16"/>
        </w:rPr>
        <w:t> </w:t>
      </w:r>
      <w:r>
        <w:rPr>
          <w:b/>
          <w:sz w:val="16"/>
        </w:rPr>
        <w:t>Value</w:t>
      </w:r>
      <w:r>
        <w:rPr>
          <w:b/>
          <w:spacing w:val="40"/>
          <w:sz w:val="16"/>
        </w:rPr>
        <w:t> </w:t>
      </w:r>
      <w:r>
        <w:rPr>
          <w:b/>
          <w:spacing w:val="-2"/>
          <w:sz w:val="16"/>
        </w:rPr>
        <w:t>Liability</w:t>
      </w:r>
      <w:r>
        <w:rPr>
          <w:b/>
          <w:spacing w:val="40"/>
          <w:sz w:val="16"/>
        </w:rPr>
        <w:t> </w:t>
      </w:r>
      <w:r>
        <w:rPr>
          <w:b/>
          <w:spacing w:val="-2"/>
          <w:sz w:val="16"/>
        </w:rPr>
        <w:t>Derivatives</w:t>
      </w:r>
    </w:p>
    <w:p>
      <w:pPr>
        <w:spacing w:after="0" w:line="208" w:lineRule="auto"/>
        <w:jc w:val="center"/>
        <w:rPr>
          <w:sz w:val="16"/>
        </w:rPr>
        <w:sectPr>
          <w:type w:val="continuous"/>
          <w:pgSz w:w="12240" w:h="15840"/>
          <w:pgMar w:header="210" w:footer="610" w:top="680" w:bottom="280" w:left="780" w:right="740"/>
          <w:cols w:num="4" w:equalWidth="0">
            <w:col w:w="5686" w:space="40"/>
            <w:col w:w="1440" w:space="39"/>
            <w:col w:w="1440" w:space="40"/>
            <w:col w:w="2035"/>
          </w:cols>
        </w:sectPr>
      </w:pPr>
    </w:p>
    <w:p>
      <w:pPr>
        <w:pStyle w:val="BodyText"/>
        <w:spacing w:before="8"/>
        <w:rPr>
          <w:b/>
          <w:sz w:val="4"/>
        </w:rPr>
      </w:pPr>
    </w:p>
    <w:p>
      <w:pPr>
        <w:spacing w:line="20" w:lineRule="exact" w:after="9"/>
        <w:ind w:left="4610" w:right="0" w:firstLine="0"/>
        <w:jc w:val="left"/>
        <w:rPr>
          <w:sz w:val="2"/>
        </w:rPr>
      </w:pPr>
      <w:r>
        <w:rPr>
          <w:sz w:val="2"/>
        </w:rPr>
        <mc:AlternateContent>
          <mc:Choice Requires="wps">
            <w:drawing>
              <wp:inline distT="0" distB="0" distL="0" distR="0">
                <wp:extent cx="889000" cy="12700"/>
                <wp:effectExtent l="9525" t="0" r="6350" b="6350"/>
                <wp:docPr id="456" name="Group 456"/>
                <wp:cNvGraphicFramePr>
                  <a:graphicFrameLocks/>
                </wp:cNvGraphicFramePr>
                <a:graphic>
                  <a:graphicData uri="http://schemas.microsoft.com/office/word/2010/wordprocessingGroup">
                    <wpg:wgp>
                      <wpg:cNvPr id="456" name="Group 456"/>
                      <wpg:cNvGrpSpPr/>
                      <wpg:grpSpPr>
                        <a:xfrm>
                          <a:off x="0" y="0"/>
                          <a:ext cx="889000" cy="12700"/>
                          <a:chExt cx="889000" cy="12700"/>
                        </a:xfrm>
                      </wpg:grpSpPr>
                      <wps:wsp>
                        <wps:cNvPr id="457" name="Graphic 457"/>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63"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458" name="Group 458"/>
                <wp:cNvGraphicFramePr>
                  <a:graphicFrameLocks/>
                </wp:cNvGraphicFramePr>
                <a:graphic>
                  <a:graphicData uri="http://schemas.microsoft.com/office/word/2010/wordprocessingGroup">
                    <wpg:wgp>
                      <wpg:cNvPr id="458" name="Group 458"/>
                      <wpg:cNvGrpSpPr/>
                      <wpg:grpSpPr>
                        <a:xfrm>
                          <a:off x="0" y="0"/>
                          <a:ext cx="889000" cy="12700"/>
                          <a:chExt cx="889000" cy="12700"/>
                        </a:xfrm>
                      </wpg:grpSpPr>
                      <wps:wsp>
                        <wps:cNvPr id="459" name="Graphic 459"/>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64"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460" name="Group 460"/>
                <wp:cNvGraphicFramePr>
                  <a:graphicFrameLocks/>
                </wp:cNvGraphicFramePr>
                <a:graphic>
                  <a:graphicData uri="http://schemas.microsoft.com/office/word/2010/wordprocessingGroup">
                    <wpg:wgp>
                      <wpg:cNvPr id="460" name="Group 460"/>
                      <wpg:cNvGrpSpPr/>
                      <wpg:grpSpPr>
                        <a:xfrm>
                          <a:off x="0" y="0"/>
                          <a:ext cx="889000" cy="12700"/>
                          <a:chExt cx="889000" cy="12700"/>
                        </a:xfrm>
                      </wpg:grpSpPr>
                      <wps:wsp>
                        <wps:cNvPr id="461" name="Graphic 461"/>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65"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462" name="Group 462"/>
                <wp:cNvGraphicFramePr>
                  <a:graphicFrameLocks/>
                </wp:cNvGraphicFramePr>
                <a:graphic>
                  <a:graphicData uri="http://schemas.microsoft.com/office/word/2010/wordprocessingGroup">
                    <wpg:wgp>
                      <wpg:cNvPr id="462" name="Group 462"/>
                      <wpg:cNvGrpSpPr/>
                      <wpg:grpSpPr>
                        <a:xfrm>
                          <a:off x="0" y="0"/>
                          <a:ext cx="889000" cy="12700"/>
                          <a:chExt cx="889000" cy="12700"/>
                        </a:xfrm>
                      </wpg:grpSpPr>
                      <wps:wsp>
                        <wps:cNvPr id="463" name="Graphic 463"/>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66" coordorigin="0,0" coordsize="1400,20">
                <v:line style="position:absolute" from="0,10" to="1400,10" stroked="true" strokeweight="1pt" strokecolor="#000000">
                  <v:stroke dashstyle="solid"/>
                </v:line>
              </v:group>
            </w:pict>
          </mc:Fallback>
        </mc:AlternateContent>
      </w:r>
      <w:r>
        <w:rPr>
          <w:spacing w:val="70"/>
          <w:sz w:val="2"/>
        </w:rPr>
      </w: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7"/>
        <w:gridCol w:w="1930"/>
        <w:gridCol w:w="565"/>
        <w:gridCol w:w="915"/>
        <w:gridCol w:w="515"/>
        <w:gridCol w:w="965"/>
        <w:gridCol w:w="565"/>
        <w:gridCol w:w="889"/>
      </w:tblGrid>
      <w:tr>
        <w:trPr>
          <w:trHeight w:val="271" w:hRule="atLeast"/>
        </w:trPr>
        <w:tc>
          <w:tcPr>
            <w:tcW w:w="3897" w:type="dxa"/>
          </w:tcPr>
          <w:p>
            <w:pPr>
              <w:pStyle w:val="TableParagraph"/>
              <w:spacing w:line="221" w:lineRule="exact"/>
              <w:ind w:left="50"/>
              <w:rPr>
                <w:sz w:val="20"/>
              </w:rPr>
            </w:pPr>
            <w:r>
              <w:rPr>
                <w:sz w:val="20"/>
              </w:rPr>
              <w:t>Derivatives</w:t>
            </w:r>
            <w:r>
              <w:rPr>
                <w:spacing w:val="-4"/>
                <w:sz w:val="20"/>
              </w:rPr>
              <w:t> </w:t>
            </w:r>
            <w:r>
              <w:rPr>
                <w:sz w:val="20"/>
              </w:rPr>
              <w:t>designated</w:t>
            </w:r>
            <w:r>
              <w:rPr>
                <w:spacing w:val="-3"/>
                <w:sz w:val="20"/>
              </w:rPr>
              <w:t> </w:t>
            </w:r>
            <w:r>
              <w:rPr>
                <w:sz w:val="20"/>
              </w:rPr>
              <w:t>as</w:t>
            </w:r>
            <w:r>
              <w:rPr>
                <w:spacing w:val="-4"/>
                <w:sz w:val="20"/>
              </w:rPr>
              <w:t> </w:t>
            </w:r>
            <w:r>
              <w:rPr>
                <w:sz w:val="20"/>
              </w:rPr>
              <w:t>hedging</w:t>
            </w:r>
            <w:r>
              <w:rPr>
                <w:spacing w:val="-2"/>
                <w:sz w:val="20"/>
              </w:rPr>
              <w:t> instruments:</w:t>
            </w:r>
          </w:p>
        </w:tc>
        <w:tc>
          <w:tcPr>
            <w:tcW w:w="6344" w:type="dxa"/>
            <w:gridSpan w:val="7"/>
          </w:tcPr>
          <w:p>
            <w:pPr>
              <w:pStyle w:val="TableParagraph"/>
              <w:rPr>
                <w:sz w:val="18"/>
              </w:rPr>
            </w:pPr>
          </w:p>
        </w:tc>
      </w:tr>
      <w:tr>
        <w:trPr>
          <w:trHeight w:val="300" w:hRule="atLeast"/>
        </w:trPr>
        <w:tc>
          <w:tcPr>
            <w:tcW w:w="3897" w:type="dxa"/>
            <w:shd w:val="clear" w:color="auto" w:fill="CCEDFF"/>
          </w:tcPr>
          <w:p>
            <w:pPr>
              <w:pStyle w:val="TableParagraph"/>
              <w:spacing w:before="20"/>
              <w:ind w:left="230"/>
              <w:rPr>
                <w:sz w:val="20"/>
              </w:rPr>
            </w:pPr>
            <w:r>
              <w:rPr>
                <w:sz w:val="20"/>
              </w:rPr>
              <w:t>Foreign</w:t>
            </w:r>
            <w:r>
              <w:rPr>
                <w:spacing w:val="-5"/>
                <w:sz w:val="20"/>
              </w:rPr>
              <w:t> </w:t>
            </w:r>
            <w:r>
              <w:rPr>
                <w:sz w:val="20"/>
              </w:rPr>
              <w:t>exchange</w:t>
            </w:r>
            <w:r>
              <w:rPr>
                <w:spacing w:val="-2"/>
                <w:sz w:val="20"/>
              </w:rPr>
              <w:t> </w:t>
            </w:r>
            <w:r>
              <w:rPr>
                <w:sz w:val="20"/>
              </w:rPr>
              <w:t>option</w:t>
            </w:r>
            <w:r>
              <w:rPr>
                <w:spacing w:val="-2"/>
                <w:sz w:val="20"/>
              </w:rPr>
              <w:t> </w:t>
            </w:r>
            <w:r>
              <w:rPr>
                <w:sz w:val="20"/>
              </w:rPr>
              <w:t>contracts</w:t>
            </w:r>
            <w:r>
              <w:rPr>
                <w:spacing w:val="-2"/>
                <w:sz w:val="20"/>
              </w:rPr>
              <w:t> </w:t>
            </w:r>
            <w:r>
              <w:rPr>
                <w:spacing w:val="-2"/>
                <w:sz w:val="20"/>
                <w:vertAlign w:val="superscript"/>
              </w:rPr>
              <w:t>(1)(2)</w:t>
            </w:r>
          </w:p>
        </w:tc>
        <w:tc>
          <w:tcPr>
            <w:tcW w:w="1930" w:type="dxa"/>
            <w:shd w:val="clear" w:color="auto" w:fill="CCEDFF"/>
          </w:tcPr>
          <w:p>
            <w:pPr>
              <w:pStyle w:val="TableParagraph"/>
              <w:tabs>
                <w:tab w:pos="722" w:val="left" w:leader="none"/>
              </w:tabs>
              <w:spacing w:before="20"/>
              <w:ind w:right="103"/>
              <w:jc w:val="right"/>
              <w:rPr>
                <w:sz w:val="20"/>
              </w:rPr>
            </w:pPr>
            <w:r>
              <w:rPr>
                <w:spacing w:val="-10"/>
                <w:sz w:val="20"/>
              </w:rPr>
              <w:t>$</w:t>
            </w:r>
            <w:r>
              <w:rPr>
                <w:sz w:val="20"/>
              </w:rPr>
              <w:tab/>
            </w:r>
            <w:r>
              <w:rPr>
                <w:spacing w:val="-2"/>
                <w:sz w:val="20"/>
              </w:rPr>
              <w:t>12,918</w:t>
            </w:r>
          </w:p>
        </w:tc>
        <w:tc>
          <w:tcPr>
            <w:tcW w:w="1480" w:type="dxa"/>
            <w:gridSpan w:val="2"/>
            <w:shd w:val="clear" w:color="auto" w:fill="CCEDFF"/>
          </w:tcPr>
          <w:p>
            <w:pPr>
              <w:pStyle w:val="TableParagraph"/>
              <w:tabs>
                <w:tab w:pos="1175" w:val="left" w:leader="none"/>
              </w:tabs>
              <w:spacing w:before="20"/>
              <w:ind w:left="102"/>
              <w:rPr>
                <w:sz w:val="20"/>
              </w:rPr>
            </w:pPr>
            <w:r>
              <w:rPr>
                <w:spacing w:val="-10"/>
                <w:sz w:val="20"/>
              </w:rPr>
              <w:t>$</w:t>
            </w:r>
            <w:r>
              <w:rPr>
                <w:sz w:val="20"/>
              </w:rPr>
              <w:tab/>
            </w:r>
            <w:r>
              <w:rPr>
                <w:spacing w:val="-10"/>
                <w:sz w:val="20"/>
              </w:rPr>
              <w:t>—</w:t>
            </w:r>
          </w:p>
        </w:tc>
        <w:tc>
          <w:tcPr>
            <w:tcW w:w="1480" w:type="dxa"/>
            <w:gridSpan w:val="2"/>
            <w:shd w:val="clear" w:color="auto" w:fill="CCEDFF"/>
          </w:tcPr>
          <w:p>
            <w:pPr>
              <w:pStyle w:val="TableParagraph"/>
              <w:tabs>
                <w:tab w:pos="825" w:val="left" w:leader="none"/>
              </w:tabs>
              <w:spacing w:before="20"/>
              <w:ind w:left="102"/>
              <w:rPr>
                <w:sz w:val="20"/>
              </w:rPr>
            </w:pPr>
            <w:r>
              <w:rPr>
                <w:spacing w:val="-10"/>
                <w:sz w:val="20"/>
              </w:rPr>
              <w:t>$</w:t>
            </w:r>
            <w:r>
              <w:rPr>
                <w:sz w:val="20"/>
              </w:rPr>
              <w:tab/>
            </w:r>
            <w:r>
              <w:rPr>
                <w:spacing w:val="-2"/>
                <w:sz w:val="20"/>
              </w:rPr>
              <w:t>34,355</w:t>
            </w:r>
          </w:p>
        </w:tc>
        <w:tc>
          <w:tcPr>
            <w:tcW w:w="1454" w:type="dxa"/>
            <w:gridSpan w:val="2"/>
            <w:shd w:val="clear" w:color="auto" w:fill="CCEDFF"/>
          </w:tcPr>
          <w:p>
            <w:pPr>
              <w:pStyle w:val="TableParagraph"/>
              <w:tabs>
                <w:tab w:pos="1175" w:val="left" w:leader="none"/>
              </w:tabs>
              <w:spacing w:before="20"/>
              <w:ind w:left="102"/>
              <w:rPr>
                <w:sz w:val="20"/>
              </w:rPr>
            </w:pPr>
            <w:r>
              <w:rPr>
                <w:spacing w:val="-10"/>
                <w:sz w:val="20"/>
              </w:rPr>
              <w:t>$</w:t>
            </w:r>
            <w:r>
              <w:rPr>
                <w:sz w:val="20"/>
              </w:rPr>
              <w:tab/>
            </w:r>
            <w:r>
              <w:rPr>
                <w:spacing w:val="-10"/>
                <w:sz w:val="20"/>
              </w:rPr>
              <w:t>—</w:t>
            </w:r>
          </w:p>
        </w:tc>
      </w:tr>
      <w:tr>
        <w:trPr>
          <w:trHeight w:val="249" w:hRule="atLeast"/>
        </w:trPr>
        <w:tc>
          <w:tcPr>
            <w:tcW w:w="3897" w:type="dxa"/>
          </w:tcPr>
          <w:p>
            <w:pPr>
              <w:pStyle w:val="TableParagraph"/>
              <w:spacing w:line="210" w:lineRule="exact" w:before="20"/>
              <w:ind w:left="230"/>
              <w:rPr>
                <w:sz w:val="20"/>
              </w:rPr>
            </w:pPr>
            <w:r>
              <w:rPr>
                <w:sz w:val="20"/>
              </w:rPr>
              <w:t>Interest rate swap</w:t>
            </w:r>
            <w:r>
              <w:rPr>
                <w:spacing w:val="-1"/>
                <w:sz w:val="20"/>
              </w:rPr>
              <w:t> </w:t>
            </w:r>
            <w:r>
              <w:rPr>
                <w:spacing w:val="-5"/>
                <w:sz w:val="20"/>
                <w:vertAlign w:val="superscript"/>
              </w:rPr>
              <w:t>(3)</w:t>
            </w:r>
          </w:p>
        </w:tc>
        <w:tc>
          <w:tcPr>
            <w:tcW w:w="1930" w:type="dxa"/>
          </w:tcPr>
          <w:p>
            <w:pPr>
              <w:pStyle w:val="TableParagraph"/>
              <w:spacing w:line="210" w:lineRule="exact" w:before="20"/>
              <w:ind w:right="103"/>
              <w:jc w:val="right"/>
              <w:rPr>
                <w:sz w:val="20"/>
              </w:rPr>
            </w:pPr>
            <w:r>
              <w:rPr>
                <w:spacing w:val="-10"/>
                <w:sz w:val="20"/>
              </w:rPr>
              <w:t>—</w:t>
            </w:r>
          </w:p>
        </w:tc>
        <w:tc>
          <w:tcPr>
            <w:tcW w:w="1480" w:type="dxa"/>
            <w:gridSpan w:val="2"/>
          </w:tcPr>
          <w:p>
            <w:pPr>
              <w:pStyle w:val="TableParagraph"/>
              <w:spacing w:line="210" w:lineRule="exact" w:before="20"/>
              <w:ind w:left="925"/>
              <w:rPr>
                <w:sz w:val="20"/>
              </w:rPr>
            </w:pPr>
            <w:r>
              <w:rPr>
                <w:spacing w:val="-2"/>
                <w:sz w:val="20"/>
              </w:rPr>
              <w:t>1,058</w:t>
            </w:r>
          </w:p>
        </w:tc>
        <w:tc>
          <w:tcPr>
            <w:tcW w:w="1480" w:type="dxa"/>
            <w:gridSpan w:val="2"/>
          </w:tcPr>
          <w:p>
            <w:pPr>
              <w:pStyle w:val="TableParagraph"/>
              <w:spacing w:line="210" w:lineRule="exact" w:before="20"/>
              <w:ind w:left="825"/>
              <w:rPr>
                <w:sz w:val="20"/>
              </w:rPr>
            </w:pPr>
            <w:r>
              <w:rPr>
                <w:spacing w:val="-2"/>
                <w:sz w:val="20"/>
              </w:rPr>
              <w:t>13,117</w:t>
            </w:r>
          </w:p>
        </w:tc>
        <w:tc>
          <w:tcPr>
            <w:tcW w:w="1454" w:type="dxa"/>
            <w:gridSpan w:val="2"/>
          </w:tcPr>
          <w:p>
            <w:pPr>
              <w:pStyle w:val="TableParagraph"/>
              <w:spacing w:line="210" w:lineRule="exact" w:before="20"/>
              <w:ind w:right="77"/>
              <w:jc w:val="right"/>
              <w:rPr>
                <w:sz w:val="20"/>
              </w:rPr>
            </w:pPr>
            <w:r>
              <w:rPr>
                <w:spacing w:val="-10"/>
                <w:sz w:val="20"/>
              </w:rPr>
              <w:t>—</w:t>
            </w:r>
          </w:p>
        </w:tc>
      </w:tr>
      <w:tr>
        <w:trPr>
          <w:trHeight w:val="300" w:hRule="atLeast"/>
        </w:trPr>
        <w:tc>
          <w:tcPr>
            <w:tcW w:w="10241" w:type="dxa"/>
            <w:gridSpan w:val="8"/>
            <w:shd w:val="clear" w:color="auto" w:fill="CCEDFF"/>
          </w:tcPr>
          <w:p>
            <w:pPr>
              <w:pStyle w:val="TableParagraph"/>
              <w:tabs>
                <w:tab w:pos="10239" w:val="left" w:leader="none"/>
              </w:tabs>
              <w:spacing w:line="210" w:lineRule="exact" w:before="70"/>
              <w:rPr>
                <w:sz w:val="20"/>
              </w:rPr>
            </w:pPr>
            <w:r>
              <w:rPr>
                <w:color w:val="000000"/>
                <w:spacing w:val="-2"/>
                <w:sz w:val="20"/>
                <w:shd w:fill="CCEDFF" w:color="auto" w:val="clear"/>
              </w:rPr>
              <w:t> </w:t>
            </w:r>
            <w:r>
              <w:rPr>
                <w:color w:val="000000"/>
                <w:sz w:val="20"/>
                <w:shd w:fill="CCEDFF" w:color="auto" w:val="clear"/>
              </w:rPr>
              <w:t>Derivatives</w:t>
            </w:r>
            <w:r>
              <w:rPr>
                <w:color w:val="000000"/>
                <w:spacing w:val="-3"/>
                <w:sz w:val="20"/>
                <w:shd w:fill="CCEDFF" w:color="auto" w:val="clear"/>
              </w:rPr>
              <w:t> </w:t>
            </w:r>
            <w:r>
              <w:rPr>
                <w:color w:val="000000"/>
                <w:sz w:val="20"/>
                <w:shd w:fill="CCEDFF" w:color="auto" w:val="clear"/>
              </w:rPr>
              <w:t>not</w:t>
            </w:r>
            <w:r>
              <w:rPr>
                <w:color w:val="000000"/>
                <w:spacing w:val="-2"/>
                <w:sz w:val="20"/>
                <w:shd w:fill="CCEDFF" w:color="auto" w:val="clear"/>
              </w:rPr>
              <w:t> </w:t>
            </w:r>
            <w:r>
              <w:rPr>
                <w:color w:val="000000"/>
                <w:sz w:val="20"/>
                <w:shd w:fill="CCEDFF" w:color="auto" w:val="clear"/>
              </w:rPr>
              <w:t>designated</w:t>
            </w:r>
            <w:r>
              <w:rPr>
                <w:color w:val="000000"/>
                <w:spacing w:val="-2"/>
                <w:sz w:val="20"/>
                <w:shd w:fill="CCEDFF" w:color="auto" w:val="clear"/>
              </w:rPr>
              <w:t> </w:t>
            </w:r>
            <w:r>
              <w:rPr>
                <w:color w:val="000000"/>
                <w:sz w:val="20"/>
                <w:shd w:fill="CCEDFF" w:color="auto" w:val="clear"/>
              </w:rPr>
              <w:t>as</w:t>
            </w:r>
            <w:r>
              <w:rPr>
                <w:color w:val="000000"/>
                <w:spacing w:val="-3"/>
                <w:sz w:val="20"/>
                <w:shd w:fill="CCEDFF" w:color="auto" w:val="clear"/>
              </w:rPr>
              <w:t> </w:t>
            </w:r>
            <w:r>
              <w:rPr>
                <w:color w:val="000000"/>
                <w:sz w:val="20"/>
                <w:shd w:fill="CCEDFF" w:color="auto" w:val="clear"/>
              </w:rPr>
              <w:t>hedging</w:t>
            </w:r>
            <w:r>
              <w:rPr>
                <w:color w:val="000000"/>
                <w:spacing w:val="-1"/>
                <w:sz w:val="20"/>
                <w:shd w:fill="CCEDFF" w:color="auto" w:val="clear"/>
              </w:rPr>
              <w:t> </w:t>
            </w:r>
            <w:r>
              <w:rPr>
                <w:color w:val="000000"/>
                <w:spacing w:val="-2"/>
                <w:sz w:val="20"/>
                <w:shd w:fill="CCEDFF" w:color="auto" w:val="clear"/>
              </w:rPr>
              <w:t>instruments:</w:t>
            </w:r>
            <w:r>
              <w:rPr>
                <w:color w:val="000000"/>
                <w:sz w:val="20"/>
                <w:shd w:fill="CCEDFF" w:color="auto" w:val="clear"/>
              </w:rPr>
              <w:tab/>
            </w:r>
          </w:p>
        </w:tc>
      </w:tr>
      <w:tr>
        <w:trPr>
          <w:trHeight w:val="340" w:hRule="atLeast"/>
        </w:trPr>
        <w:tc>
          <w:tcPr>
            <w:tcW w:w="3897" w:type="dxa"/>
          </w:tcPr>
          <w:p>
            <w:pPr>
              <w:pStyle w:val="TableParagraph"/>
              <w:spacing w:before="70"/>
              <w:ind w:left="220"/>
              <w:rPr>
                <w:sz w:val="20"/>
              </w:rPr>
            </w:pPr>
            <w:r>
              <w:rPr>
                <w:sz w:val="20"/>
              </w:rPr>
              <w:t>Foreign</w:t>
            </w:r>
            <w:r>
              <w:rPr>
                <w:spacing w:val="-4"/>
                <w:sz w:val="20"/>
              </w:rPr>
              <w:t> </w:t>
            </w:r>
            <w:r>
              <w:rPr>
                <w:sz w:val="20"/>
              </w:rPr>
              <w:t>exchange</w:t>
            </w:r>
            <w:r>
              <w:rPr>
                <w:spacing w:val="-2"/>
                <w:sz w:val="20"/>
              </w:rPr>
              <w:t> </w:t>
            </w:r>
            <w:r>
              <w:rPr>
                <w:sz w:val="20"/>
              </w:rPr>
              <w:t>forward</w:t>
            </w:r>
            <w:r>
              <w:rPr>
                <w:spacing w:val="-2"/>
                <w:sz w:val="20"/>
              </w:rPr>
              <w:t> </w:t>
            </w:r>
            <w:r>
              <w:rPr>
                <w:sz w:val="20"/>
              </w:rPr>
              <w:t>contracts</w:t>
            </w:r>
            <w:r>
              <w:rPr>
                <w:spacing w:val="-2"/>
                <w:sz w:val="20"/>
              </w:rPr>
              <w:t> </w:t>
            </w:r>
            <w:r>
              <w:rPr>
                <w:spacing w:val="-5"/>
                <w:sz w:val="20"/>
                <w:vertAlign w:val="superscript"/>
              </w:rPr>
              <w:t>(1)</w:t>
            </w:r>
          </w:p>
        </w:tc>
        <w:tc>
          <w:tcPr>
            <w:tcW w:w="2495" w:type="dxa"/>
            <w:gridSpan w:val="2"/>
          </w:tcPr>
          <w:p>
            <w:pPr>
              <w:pStyle w:val="TableParagraph"/>
              <w:spacing w:before="70"/>
              <w:ind w:left="1375"/>
              <w:rPr>
                <w:sz w:val="20"/>
              </w:rPr>
            </w:pPr>
            <w:r>
              <w:rPr>
                <w:spacing w:val="-2"/>
                <w:sz w:val="20"/>
              </w:rPr>
              <w:t>1,280</w:t>
            </w:r>
          </w:p>
        </w:tc>
        <w:tc>
          <w:tcPr>
            <w:tcW w:w="1430" w:type="dxa"/>
            <w:gridSpan w:val="2"/>
            <w:tcBorders>
              <w:bottom w:val="single" w:sz="8" w:space="0" w:color="000000"/>
            </w:tcBorders>
          </w:tcPr>
          <w:p>
            <w:pPr>
              <w:pStyle w:val="TableParagraph"/>
              <w:spacing w:before="70"/>
              <w:ind w:left="360"/>
              <w:rPr>
                <w:sz w:val="20"/>
              </w:rPr>
            </w:pPr>
            <w:r>
              <w:rPr>
                <w:spacing w:val="-2"/>
                <w:sz w:val="20"/>
              </w:rPr>
              <w:t>1,598</w:t>
            </w:r>
          </w:p>
        </w:tc>
        <w:tc>
          <w:tcPr>
            <w:tcW w:w="1530" w:type="dxa"/>
            <w:gridSpan w:val="2"/>
            <w:tcBorders>
              <w:bottom w:val="single" w:sz="8" w:space="0" w:color="000000"/>
            </w:tcBorders>
          </w:tcPr>
          <w:p>
            <w:pPr>
              <w:pStyle w:val="TableParagraph"/>
              <w:spacing w:before="70"/>
              <w:ind w:left="410"/>
              <w:rPr>
                <w:sz w:val="20"/>
              </w:rPr>
            </w:pPr>
            <w:r>
              <w:rPr>
                <w:spacing w:val="-2"/>
                <w:sz w:val="20"/>
              </w:rPr>
              <w:t>3,757</w:t>
            </w:r>
          </w:p>
        </w:tc>
        <w:tc>
          <w:tcPr>
            <w:tcW w:w="889" w:type="dxa"/>
            <w:tcBorders>
              <w:bottom w:val="single" w:sz="8" w:space="0" w:color="000000"/>
            </w:tcBorders>
          </w:tcPr>
          <w:p>
            <w:pPr>
              <w:pStyle w:val="TableParagraph"/>
              <w:spacing w:before="70"/>
              <w:ind w:right="77"/>
              <w:jc w:val="right"/>
              <w:rPr>
                <w:sz w:val="20"/>
              </w:rPr>
            </w:pPr>
            <w:r>
              <w:rPr>
                <w:spacing w:val="-2"/>
                <w:sz w:val="20"/>
              </w:rPr>
              <w:t>5,246</w:t>
            </w:r>
          </w:p>
        </w:tc>
      </w:tr>
      <w:tr>
        <w:trPr>
          <w:trHeight w:val="260" w:hRule="atLeast"/>
        </w:trPr>
        <w:tc>
          <w:tcPr>
            <w:tcW w:w="3897" w:type="dxa"/>
            <w:shd w:val="clear" w:color="auto" w:fill="CCEDFF"/>
          </w:tcPr>
          <w:p>
            <w:pPr>
              <w:pStyle w:val="TableParagraph"/>
              <w:spacing w:before="10"/>
              <w:ind w:left="50"/>
              <w:rPr>
                <w:sz w:val="20"/>
              </w:rPr>
            </w:pPr>
            <w:r>
              <w:rPr>
                <w:spacing w:val="-2"/>
                <w:sz w:val="20"/>
              </w:rPr>
              <w:t>Total</w:t>
            </w:r>
            <w:r>
              <w:rPr>
                <w:spacing w:val="-4"/>
                <w:sz w:val="20"/>
              </w:rPr>
              <w:t> </w:t>
            </w:r>
            <w:r>
              <w:rPr>
                <w:spacing w:val="-2"/>
                <w:sz w:val="20"/>
              </w:rPr>
              <w:t>derivatives</w:t>
            </w:r>
          </w:p>
        </w:tc>
        <w:tc>
          <w:tcPr>
            <w:tcW w:w="2495" w:type="dxa"/>
            <w:gridSpan w:val="2"/>
            <w:shd w:val="clear" w:color="auto" w:fill="CCEDFF"/>
          </w:tcPr>
          <w:p>
            <w:pPr>
              <w:pStyle w:val="TableParagraph"/>
              <w:tabs>
                <w:tab w:pos="1275" w:val="left" w:leader="none"/>
                <w:tab w:pos="2032" w:val="left" w:leader="none"/>
              </w:tabs>
              <w:spacing w:before="10"/>
              <w:ind w:left="553"/>
              <w:rPr>
                <w:sz w:val="20"/>
              </w:rPr>
            </w:pPr>
            <w:r>
              <w:rPr>
                <w:spacing w:val="-10"/>
                <w:sz w:val="20"/>
              </w:rPr>
              <w:t>$</w:t>
            </w:r>
            <w:r>
              <w:rPr>
                <w:sz w:val="20"/>
              </w:rPr>
              <w:tab/>
            </w:r>
            <w:r>
              <w:rPr>
                <w:spacing w:val="-2"/>
                <w:sz w:val="20"/>
              </w:rPr>
              <w:t>14,198</w:t>
            </w:r>
            <w:r>
              <w:rPr>
                <w:sz w:val="20"/>
              </w:rPr>
              <w:tab/>
            </w:r>
            <w:r>
              <w:rPr>
                <w:spacing w:val="-10"/>
                <w:sz w:val="20"/>
              </w:rPr>
              <w:t>$</w:t>
            </w:r>
          </w:p>
        </w:tc>
        <w:tc>
          <w:tcPr>
            <w:tcW w:w="1430" w:type="dxa"/>
            <w:gridSpan w:val="2"/>
            <w:tcBorders>
              <w:top w:val="single" w:sz="8" w:space="0" w:color="000000"/>
              <w:bottom w:val="single" w:sz="8" w:space="0" w:color="000000"/>
            </w:tcBorders>
            <w:shd w:val="clear" w:color="auto" w:fill="CCEDFF"/>
          </w:tcPr>
          <w:p>
            <w:pPr>
              <w:pStyle w:val="TableParagraph"/>
              <w:tabs>
                <w:tab w:pos="1017" w:val="left" w:leader="none"/>
              </w:tabs>
              <w:spacing w:before="10"/>
              <w:ind w:left="360"/>
              <w:rPr>
                <w:sz w:val="20"/>
              </w:rPr>
            </w:pPr>
            <w:r>
              <w:rPr>
                <w:spacing w:val="-2"/>
                <w:sz w:val="20"/>
              </w:rPr>
              <w:t>2,656</w:t>
            </w:r>
            <w:r>
              <w:rPr>
                <w:sz w:val="20"/>
              </w:rPr>
              <w:tab/>
            </w:r>
            <w:r>
              <w:rPr>
                <w:spacing w:val="-10"/>
                <w:sz w:val="20"/>
              </w:rPr>
              <w:t>$</w:t>
            </w:r>
          </w:p>
        </w:tc>
        <w:tc>
          <w:tcPr>
            <w:tcW w:w="1530" w:type="dxa"/>
            <w:gridSpan w:val="2"/>
            <w:tcBorders>
              <w:top w:val="single" w:sz="8" w:space="0" w:color="000000"/>
              <w:bottom w:val="single" w:sz="8" w:space="0" w:color="000000"/>
            </w:tcBorders>
            <w:shd w:val="clear" w:color="auto" w:fill="CCEDFF"/>
          </w:tcPr>
          <w:p>
            <w:pPr>
              <w:pStyle w:val="TableParagraph"/>
              <w:tabs>
                <w:tab w:pos="1067" w:val="left" w:leader="none"/>
              </w:tabs>
              <w:spacing w:before="10"/>
              <w:ind w:left="310"/>
              <w:rPr>
                <w:sz w:val="20"/>
              </w:rPr>
            </w:pPr>
            <w:r>
              <w:rPr>
                <w:spacing w:val="-2"/>
                <w:sz w:val="20"/>
              </w:rPr>
              <w:t>51,229</w:t>
            </w:r>
            <w:r>
              <w:rPr>
                <w:sz w:val="20"/>
              </w:rPr>
              <w:tab/>
            </w:r>
            <w:r>
              <w:rPr>
                <w:spacing w:val="-10"/>
                <w:sz w:val="20"/>
              </w:rPr>
              <w:t>$</w:t>
            </w:r>
          </w:p>
        </w:tc>
        <w:tc>
          <w:tcPr>
            <w:tcW w:w="889" w:type="dxa"/>
            <w:tcBorders>
              <w:top w:val="single" w:sz="8" w:space="0" w:color="000000"/>
              <w:bottom w:val="single" w:sz="8" w:space="0" w:color="000000"/>
            </w:tcBorders>
            <w:shd w:val="clear" w:color="auto" w:fill="CCEDFF"/>
          </w:tcPr>
          <w:p>
            <w:pPr>
              <w:pStyle w:val="TableParagraph"/>
              <w:spacing w:before="10"/>
              <w:ind w:right="77"/>
              <w:jc w:val="right"/>
              <w:rPr>
                <w:sz w:val="20"/>
              </w:rPr>
            </w:pPr>
            <w:r>
              <w:rPr>
                <w:spacing w:val="-2"/>
                <w:sz w:val="20"/>
              </w:rPr>
              <w:t>5,246</w:t>
            </w:r>
          </w:p>
        </w:tc>
      </w:tr>
    </w:tbl>
    <w:p>
      <w:pPr>
        <w:pStyle w:val="BodyText"/>
        <w:spacing w:before="8"/>
        <w:rPr>
          <w:b/>
          <w:sz w:val="2"/>
        </w:rPr>
      </w:pPr>
    </w:p>
    <w:p>
      <w:pPr>
        <w:spacing w:line="20" w:lineRule="exact"/>
        <w:ind w:left="4610" w:right="0" w:firstLine="0"/>
        <w:jc w:val="left"/>
        <w:rPr>
          <w:sz w:val="2"/>
        </w:rPr>
      </w:pPr>
      <w:r>
        <w:rPr>
          <w:sz w:val="2"/>
        </w:rPr>
        <mc:AlternateContent>
          <mc:Choice Requires="wps">
            <w:drawing>
              <wp:inline distT="0" distB="0" distL="0" distR="0">
                <wp:extent cx="889000" cy="12700"/>
                <wp:effectExtent l="9525" t="0" r="6350" b="6350"/>
                <wp:docPr id="464" name="Group 464"/>
                <wp:cNvGraphicFramePr>
                  <a:graphicFrameLocks/>
                </wp:cNvGraphicFramePr>
                <a:graphic>
                  <a:graphicData uri="http://schemas.microsoft.com/office/word/2010/wordprocessingGroup">
                    <wpg:wgp>
                      <wpg:cNvPr id="464" name="Group 464"/>
                      <wpg:cNvGrpSpPr/>
                      <wpg:grpSpPr>
                        <a:xfrm>
                          <a:off x="0" y="0"/>
                          <a:ext cx="889000" cy="12700"/>
                          <a:chExt cx="889000" cy="12700"/>
                        </a:xfrm>
                      </wpg:grpSpPr>
                      <wps:wsp>
                        <wps:cNvPr id="465" name="Graphic 465"/>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67"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466" name="Group 466"/>
                <wp:cNvGraphicFramePr>
                  <a:graphicFrameLocks/>
                </wp:cNvGraphicFramePr>
                <a:graphic>
                  <a:graphicData uri="http://schemas.microsoft.com/office/word/2010/wordprocessingGroup">
                    <wpg:wgp>
                      <wpg:cNvPr id="466" name="Group 466"/>
                      <wpg:cNvGrpSpPr/>
                      <wpg:grpSpPr>
                        <a:xfrm>
                          <a:off x="0" y="0"/>
                          <a:ext cx="889000" cy="12700"/>
                          <a:chExt cx="889000" cy="12700"/>
                        </a:xfrm>
                      </wpg:grpSpPr>
                      <wps:wsp>
                        <wps:cNvPr id="467" name="Graphic 467"/>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68"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468" name="Group 468"/>
                <wp:cNvGraphicFramePr>
                  <a:graphicFrameLocks/>
                </wp:cNvGraphicFramePr>
                <a:graphic>
                  <a:graphicData uri="http://schemas.microsoft.com/office/word/2010/wordprocessingGroup">
                    <wpg:wgp>
                      <wpg:cNvPr id="468" name="Group 468"/>
                      <wpg:cNvGrpSpPr/>
                      <wpg:grpSpPr>
                        <a:xfrm>
                          <a:off x="0" y="0"/>
                          <a:ext cx="889000" cy="12700"/>
                          <a:chExt cx="889000" cy="12700"/>
                        </a:xfrm>
                      </wpg:grpSpPr>
                      <wps:wsp>
                        <wps:cNvPr id="469" name="Graphic 469"/>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69" coordorigin="0,0" coordsize="1400,20">
                <v:line style="position:absolute" from="0,10" to="1400,10" stroked="true" strokeweight="1pt" strokecolor="#000000">
                  <v:stroke dashstyle="solid"/>
                </v:line>
              </v:group>
            </w:pict>
          </mc:Fallback>
        </mc:AlternateContent>
      </w:r>
      <w:r>
        <w:rPr>
          <w:spacing w:val="70"/>
          <w:sz w:val="2"/>
        </w:rPr>
      </w:r>
      <w:r>
        <w:rPr>
          <w:spacing w:val="70"/>
          <w:sz w:val="2"/>
        </w:rPr>
        <w:t> </w:t>
      </w:r>
      <w:r>
        <w:rPr>
          <w:spacing w:val="70"/>
          <w:sz w:val="2"/>
        </w:rPr>
        <mc:AlternateContent>
          <mc:Choice Requires="wps">
            <w:drawing>
              <wp:inline distT="0" distB="0" distL="0" distR="0">
                <wp:extent cx="889000" cy="12700"/>
                <wp:effectExtent l="9525" t="0" r="6350" b="6350"/>
                <wp:docPr id="470" name="Group 470"/>
                <wp:cNvGraphicFramePr>
                  <a:graphicFrameLocks/>
                </wp:cNvGraphicFramePr>
                <a:graphic>
                  <a:graphicData uri="http://schemas.microsoft.com/office/word/2010/wordprocessingGroup">
                    <wpg:wgp>
                      <wpg:cNvPr id="470" name="Group 470"/>
                      <wpg:cNvGrpSpPr/>
                      <wpg:grpSpPr>
                        <a:xfrm>
                          <a:off x="0" y="0"/>
                          <a:ext cx="889000" cy="12700"/>
                          <a:chExt cx="889000" cy="12700"/>
                        </a:xfrm>
                      </wpg:grpSpPr>
                      <wps:wsp>
                        <wps:cNvPr id="471" name="Graphic 471"/>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70" coordorigin="0,0" coordsize="1400,20">
                <v:line style="position:absolute" from="0,10" to="1400,10" stroked="true" strokeweight="1pt" strokecolor="#000000">
                  <v:stroke dashstyle="solid"/>
                </v:line>
              </v:group>
            </w:pict>
          </mc:Fallback>
        </mc:AlternateContent>
      </w:r>
      <w:r>
        <w:rPr>
          <w:spacing w:val="70"/>
          <w:sz w:val="2"/>
        </w:rPr>
      </w:r>
    </w:p>
    <w:p>
      <w:pPr>
        <w:spacing w:after="0" w:line="20" w:lineRule="exact"/>
        <w:jc w:val="left"/>
        <w:rPr>
          <w:sz w:val="2"/>
        </w:rPr>
        <w:sectPr>
          <w:type w:val="continuous"/>
          <w:pgSz w:w="12240" w:h="15840"/>
          <w:pgMar w:header="210" w:footer="610" w:top="680" w:bottom="280" w:left="780" w:right="740"/>
        </w:sectPr>
      </w:pPr>
    </w:p>
    <w:p>
      <w:pPr>
        <w:pStyle w:val="BodyText"/>
        <w:rPr>
          <w:b/>
        </w:rPr>
      </w:pPr>
    </w:p>
    <w:p>
      <w:pPr>
        <w:pStyle w:val="BodyText"/>
        <w:rPr>
          <w:b/>
        </w:rPr>
      </w:pPr>
    </w:p>
    <w:p>
      <w:pPr>
        <w:pStyle w:val="BodyText"/>
        <w:rPr>
          <w:b/>
        </w:rPr>
      </w:pPr>
    </w:p>
    <w:p>
      <w:pPr>
        <w:pStyle w:val="BodyText"/>
        <w:spacing w:before="161"/>
        <w:rPr>
          <w:b/>
        </w:rPr>
      </w:pPr>
    </w:p>
    <w:p>
      <w:pPr>
        <w:pStyle w:val="BodyText"/>
        <w:spacing w:line="20" w:lineRule="exact"/>
        <w:ind w:left="220"/>
        <w:rPr>
          <w:sz w:val="2"/>
        </w:rPr>
      </w:pPr>
      <w:r>
        <w:rPr>
          <w:sz w:val="2"/>
        </w:rPr>
        <mc:AlternateContent>
          <mc:Choice Requires="wps">
            <w:drawing>
              <wp:inline distT="0" distB="0" distL="0" distR="0">
                <wp:extent cx="1692275" cy="3810"/>
                <wp:effectExtent l="9525" t="0" r="0" b="5715"/>
                <wp:docPr id="472" name="Group 472"/>
                <wp:cNvGraphicFramePr>
                  <a:graphicFrameLocks/>
                </wp:cNvGraphicFramePr>
                <a:graphic>
                  <a:graphicData uri="http://schemas.microsoft.com/office/word/2010/wordprocessingGroup">
                    <wpg:wgp>
                      <wpg:cNvPr id="472" name="Group 472"/>
                      <wpg:cNvGrpSpPr/>
                      <wpg:grpSpPr>
                        <a:xfrm>
                          <a:off x="0" y="0"/>
                          <a:ext cx="1692275" cy="3810"/>
                          <a:chExt cx="1692275" cy="3810"/>
                        </a:xfrm>
                      </wpg:grpSpPr>
                      <wps:wsp>
                        <wps:cNvPr id="473" name="Graphic 473"/>
                        <wps:cNvSpPr/>
                        <wps:spPr>
                          <a:xfrm>
                            <a:off x="0" y="1651"/>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371" coordorigin="0,0" coordsize="2665,6">
                <v:line style="position:absolute" from="0,3" to="2665,3" stroked="true" strokeweight=".26pt" strokecolor="#000000">
                  <v:stroke dashstyle="solid"/>
                </v:line>
              </v:group>
            </w:pict>
          </mc:Fallback>
        </mc:AlternateContent>
      </w:r>
      <w:r>
        <w:rPr>
          <w:sz w:val="2"/>
        </w:rPr>
      </w:r>
    </w:p>
    <w:p>
      <w:pPr>
        <w:pStyle w:val="BodyText"/>
        <w:tabs>
          <w:tab w:pos="579" w:val="left" w:leader="none"/>
        </w:tabs>
        <w:spacing w:line="249" w:lineRule="auto" w:before="98"/>
        <w:ind w:left="580" w:right="458" w:hanging="360"/>
      </w:pPr>
      <w:r>
        <w:rPr>
          <w:spacing w:val="-4"/>
          <w:vertAlign w:val="superscript"/>
        </w:rPr>
        <w:t>(1)</w:t>
      </w:r>
      <w:r>
        <w:rPr>
          <w:vertAlign w:val="baseline"/>
        </w:rPr>
        <w:tab/>
        <w:t>Included</w:t>
      </w:r>
      <w:r>
        <w:rPr>
          <w:spacing w:val="-3"/>
          <w:vertAlign w:val="baseline"/>
        </w:rPr>
        <w:t> </w:t>
      </w:r>
      <w:r>
        <w:rPr>
          <w:vertAlign w:val="baseline"/>
        </w:rPr>
        <w:t>in</w:t>
      </w:r>
      <w:r>
        <w:rPr>
          <w:spacing w:val="-3"/>
          <w:vertAlign w:val="baseline"/>
        </w:rPr>
        <w:t> </w:t>
      </w:r>
      <w:r>
        <w:rPr>
          <w:vertAlign w:val="baseline"/>
        </w:rPr>
        <w:t>prepaid</w:t>
      </w:r>
      <w:r>
        <w:rPr>
          <w:spacing w:val="-3"/>
          <w:vertAlign w:val="baseline"/>
        </w:rPr>
        <w:t> </w:t>
      </w:r>
      <w:r>
        <w:rPr>
          <w:vertAlign w:val="baseline"/>
        </w:rPr>
        <w:t>expenses</w:t>
      </w:r>
      <w:r>
        <w:rPr>
          <w:spacing w:val="-4"/>
          <w:vertAlign w:val="baseline"/>
        </w:rPr>
        <w:t> </w:t>
      </w:r>
      <w:r>
        <w:rPr>
          <w:vertAlign w:val="baseline"/>
        </w:rPr>
        <w:t>and</w:t>
      </w:r>
      <w:r>
        <w:rPr>
          <w:spacing w:val="-3"/>
          <w:vertAlign w:val="baseline"/>
        </w:rPr>
        <w:t> </w:t>
      </w:r>
      <w:r>
        <w:rPr>
          <w:vertAlign w:val="baseline"/>
        </w:rPr>
        <w:t>other</w:t>
      </w:r>
      <w:r>
        <w:rPr>
          <w:spacing w:val="-3"/>
          <w:vertAlign w:val="baseline"/>
        </w:rPr>
        <w:t> </w:t>
      </w:r>
      <w:r>
        <w:rPr>
          <w:vertAlign w:val="baseline"/>
        </w:rPr>
        <w:t>current</w:t>
      </w:r>
      <w:r>
        <w:rPr>
          <w:spacing w:val="-3"/>
          <w:vertAlign w:val="baseline"/>
        </w:rPr>
        <w:t> </w:t>
      </w:r>
      <w:r>
        <w:rPr>
          <w:vertAlign w:val="baseline"/>
        </w:rPr>
        <w:t>assets</w:t>
      </w:r>
      <w:r>
        <w:rPr>
          <w:spacing w:val="-4"/>
          <w:vertAlign w:val="baseline"/>
        </w:rPr>
        <w:t> </w:t>
      </w:r>
      <w:r>
        <w:rPr>
          <w:vertAlign w:val="baseline"/>
        </w:rPr>
        <w:t>and</w:t>
      </w:r>
      <w:r>
        <w:rPr>
          <w:spacing w:val="-3"/>
          <w:vertAlign w:val="baseline"/>
        </w:rPr>
        <w:t> </w:t>
      </w:r>
      <w:r>
        <w:rPr>
          <w:vertAlign w:val="baseline"/>
        </w:rPr>
        <w:t>accrued</w:t>
      </w:r>
      <w:r>
        <w:rPr>
          <w:spacing w:val="-3"/>
          <w:vertAlign w:val="baseline"/>
        </w:rPr>
        <w:t> </w:t>
      </w:r>
      <w:r>
        <w:rPr>
          <w:vertAlign w:val="baseline"/>
        </w:rPr>
        <w:t>expenses</w:t>
      </w:r>
      <w:r>
        <w:rPr>
          <w:spacing w:val="-4"/>
          <w:vertAlign w:val="baseline"/>
        </w:rPr>
        <w:t> </w:t>
      </w:r>
      <w:r>
        <w:rPr>
          <w:vertAlign w:val="baseline"/>
        </w:rPr>
        <w:t>for</w:t>
      </w:r>
      <w:r>
        <w:rPr>
          <w:spacing w:val="-3"/>
          <w:vertAlign w:val="baseline"/>
        </w:rPr>
        <w:t> </w:t>
      </w:r>
      <w:r>
        <w:rPr>
          <w:vertAlign w:val="baseline"/>
        </w:rPr>
        <w:t>asset</w:t>
      </w:r>
      <w:r>
        <w:rPr>
          <w:spacing w:val="-3"/>
          <w:vertAlign w:val="baseline"/>
        </w:rPr>
        <w:t> </w:t>
      </w:r>
      <w:r>
        <w:rPr>
          <w:vertAlign w:val="baseline"/>
        </w:rPr>
        <w:t>derivatives</w:t>
      </w:r>
      <w:r>
        <w:rPr>
          <w:spacing w:val="-4"/>
          <w:vertAlign w:val="baseline"/>
        </w:rPr>
        <w:t> </w:t>
      </w:r>
      <w:r>
        <w:rPr>
          <w:vertAlign w:val="baseline"/>
        </w:rPr>
        <w:t>and</w:t>
      </w:r>
      <w:r>
        <w:rPr>
          <w:spacing w:val="-3"/>
          <w:vertAlign w:val="baseline"/>
        </w:rPr>
        <w:t> </w:t>
      </w:r>
      <w:r>
        <w:rPr>
          <w:vertAlign w:val="baseline"/>
        </w:rPr>
        <w:t>liability</w:t>
      </w:r>
      <w:r>
        <w:rPr>
          <w:spacing w:val="-3"/>
          <w:vertAlign w:val="baseline"/>
        </w:rPr>
        <w:t> </w:t>
      </w:r>
      <w:r>
        <w:rPr>
          <w:vertAlign w:val="baseline"/>
        </w:rPr>
        <w:t>derivatives, respectively, on our Consolidated Balance Sheets.</w:t>
      </w:r>
    </w:p>
    <w:p>
      <w:pPr>
        <w:pStyle w:val="BodyText"/>
        <w:tabs>
          <w:tab w:pos="579" w:val="left" w:leader="none"/>
        </w:tabs>
        <w:spacing w:before="2"/>
        <w:ind w:left="220"/>
      </w:pPr>
      <w:r>
        <w:rPr>
          <w:spacing w:val="-5"/>
          <w:vertAlign w:val="superscript"/>
        </w:rPr>
        <w:t>(2)</w:t>
      </w:r>
      <w:r>
        <w:rPr>
          <w:vertAlign w:val="baseline"/>
        </w:rPr>
        <w:tab/>
        <w:t>Hedging</w:t>
      </w:r>
      <w:r>
        <w:rPr>
          <w:spacing w:val="-2"/>
          <w:vertAlign w:val="baseline"/>
        </w:rPr>
        <w:t> </w:t>
      </w:r>
      <w:r>
        <w:rPr>
          <w:vertAlign w:val="baseline"/>
        </w:rPr>
        <w:t>effectiveness</w:t>
      </w:r>
      <w:r>
        <w:rPr>
          <w:spacing w:val="-2"/>
          <w:vertAlign w:val="baseline"/>
        </w:rPr>
        <w:t> </w:t>
      </w:r>
      <w:r>
        <w:rPr>
          <w:vertAlign w:val="baseline"/>
        </w:rPr>
        <w:t>expected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recognized</w:t>
      </w:r>
      <w:r>
        <w:rPr>
          <w:spacing w:val="-1"/>
          <w:vertAlign w:val="baseline"/>
        </w:rPr>
        <w:t> </w:t>
      </w:r>
      <w:r>
        <w:rPr>
          <w:vertAlign w:val="baseline"/>
        </w:rPr>
        <w:t>to</w:t>
      </w:r>
      <w:r>
        <w:rPr>
          <w:spacing w:val="-2"/>
          <w:vertAlign w:val="baseline"/>
        </w:rPr>
        <w:t> </w:t>
      </w:r>
      <w:r>
        <w:rPr>
          <w:vertAlign w:val="baseline"/>
        </w:rPr>
        <w:t>income</w:t>
      </w:r>
      <w:r>
        <w:rPr>
          <w:spacing w:val="-1"/>
          <w:vertAlign w:val="baseline"/>
        </w:rPr>
        <w:t> </w:t>
      </w:r>
      <w:r>
        <w:rPr>
          <w:vertAlign w:val="baseline"/>
        </w:rPr>
        <w:t>within</w:t>
      </w:r>
      <w:r>
        <w:rPr>
          <w:spacing w:val="-1"/>
          <w:vertAlign w:val="baseline"/>
        </w:rPr>
        <w:t> </w:t>
      </w:r>
      <w:r>
        <w:rPr>
          <w:vertAlign w:val="baseline"/>
        </w:rPr>
        <w:t>the</w:t>
      </w:r>
      <w:r>
        <w:rPr>
          <w:spacing w:val="-1"/>
          <w:vertAlign w:val="baseline"/>
        </w:rPr>
        <w:t> </w:t>
      </w:r>
      <w:r>
        <w:rPr>
          <w:vertAlign w:val="baseline"/>
        </w:rPr>
        <w:t>next</w:t>
      </w:r>
      <w:r>
        <w:rPr>
          <w:spacing w:val="-1"/>
          <w:vertAlign w:val="baseline"/>
        </w:rPr>
        <w:t> </w:t>
      </w:r>
      <w:r>
        <w:rPr>
          <w:vertAlign w:val="baseline"/>
        </w:rPr>
        <w:t>twelve</w:t>
      </w:r>
      <w:r>
        <w:rPr>
          <w:spacing w:val="-1"/>
          <w:vertAlign w:val="baseline"/>
        </w:rPr>
        <w:t> </w:t>
      </w:r>
      <w:r>
        <w:rPr>
          <w:spacing w:val="-2"/>
          <w:vertAlign w:val="baseline"/>
        </w:rPr>
        <w:t>months.</w:t>
      </w:r>
    </w:p>
    <w:p>
      <w:pPr>
        <w:pStyle w:val="BodyText"/>
        <w:tabs>
          <w:tab w:pos="579" w:val="left" w:leader="none"/>
        </w:tabs>
        <w:spacing w:before="10"/>
        <w:ind w:left="220"/>
      </w:pPr>
      <w:r>
        <w:rPr>
          <w:spacing w:val="-5"/>
          <w:vertAlign w:val="superscript"/>
        </w:rPr>
        <w:t>(3)</w:t>
      </w:r>
      <w:r>
        <w:rPr>
          <w:vertAlign w:val="baseline"/>
        </w:rPr>
        <w:tab/>
        <w:t>Included</w:t>
      </w:r>
      <w:r>
        <w:rPr>
          <w:spacing w:val="-2"/>
          <w:vertAlign w:val="baseline"/>
        </w:rPr>
        <w:t> </w:t>
      </w:r>
      <w:r>
        <w:rPr>
          <w:vertAlign w:val="baseline"/>
        </w:rPr>
        <w:t>in</w:t>
      </w:r>
      <w:r>
        <w:rPr>
          <w:spacing w:val="-2"/>
          <w:vertAlign w:val="baseline"/>
        </w:rPr>
        <w:t> </w:t>
      </w:r>
      <w:r>
        <w:rPr>
          <w:vertAlign w:val="baseline"/>
        </w:rPr>
        <w:t>other</w:t>
      </w:r>
      <w:r>
        <w:rPr>
          <w:spacing w:val="-1"/>
          <w:vertAlign w:val="baseline"/>
        </w:rPr>
        <w:t> </w:t>
      </w:r>
      <w:r>
        <w:rPr>
          <w:vertAlign w:val="baseline"/>
        </w:rPr>
        <w:t>liabilities</w:t>
      </w:r>
      <w:r>
        <w:rPr>
          <w:spacing w:val="-3"/>
          <w:vertAlign w:val="baseline"/>
        </w:rPr>
        <w:t> </w:t>
      </w:r>
      <w:r>
        <w:rPr>
          <w:vertAlign w:val="baseline"/>
        </w:rPr>
        <w:t>and</w:t>
      </w:r>
      <w:r>
        <w:rPr>
          <w:spacing w:val="-2"/>
          <w:vertAlign w:val="baseline"/>
        </w:rPr>
        <w:t> </w:t>
      </w:r>
      <w:r>
        <w:rPr>
          <w:vertAlign w:val="baseline"/>
        </w:rPr>
        <w:t>other</w:t>
      </w:r>
      <w:r>
        <w:rPr>
          <w:spacing w:val="-1"/>
          <w:vertAlign w:val="baseline"/>
        </w:rPr>
        <w:t> </w:t>
      </w:r>
      <w:r>
        <w:rPr>
          <w:vertAlign w:val="baseline"/>
        </w:rPr>
        <w:t>assets</w:t>
      </w:r>
      <w:r>
        <w:rPr>
          <w:spacing w:val="-3"/>
          <w:vertAlign w:val="baseline"/>
        </w:rPr>
        <w:t> </w:t>
      </w:r>
      <w:r>
        <w:rPr>
          <w:vertAlign w:val="baseline"/>
        </w:rPr>
        <w:t>in</w:t>
      </w:r>
      <w:r>
        <w:rPr>
          <w:spacing w:val="-2"/>
          <w:vertAlign w:val="baseline"/>
        </w:rPr>
        <w:t> </w:t>
      </w:r>
      <w:r>
        <w:rPr>
          <w:vertAlign w:val="baseline"/>
        </w:rPr>
        <w:t>fiscal</w:t>
      </w:r>
      <w:r>
        <w:rPr>
          <w:spacing w:val="-1"/>
          <w:vertAlign w:val="baseline"/>
        </w:rPr>
        <w:t> </w:t>
      </w:r>
      <w:r>
        <w:rPr>
          <w:vertAlign w:val="baseline"/>
        </w:rPr>
        <w:t>2017</w:t>
      </w:r>
      <w:r>
        <w:rPr>
          <w:spacing w:val="-2"/>
          <w:vertAlign w:val="baseline"/>
        </w:rPr>
        <w:t> </w:t>
      </w:r>
      <w:r>
        <w:rPr>
          <w:vertAlign w:val="baseline"/>
        </w:rPr>
        <w:t>and</w:t>
      </w:r>
      <w:r>
        <w:rPr>
          <w:spacing w:val="-2"/>
          <w:vertAlign w:val="baseline"/>
        </w:rPr>
        <w:t> </w:t>
      </w:r>
      <w:r>
        <w:rPr>
          <w:vertAlign w:val="baseline"/>
        </w:rPr>
        <w:t>2016,</w:t>
      </w:r>
      <w:r>
        <w:rPr>
          <w:spacing w:val="-1"/>
          <w:vertAlign w:val="baseline"/>
        </w:rPr>
        <w:t> </w:t>
      </w:r>
      <w:r>
        <w:rPr>
          <w:vertAlign w:val="baseline"/>
        </w:rPr>
        <w:t>respectively,</w:t>
      </w:r>
      <w:r>
        <w:rPr>
          <w:spacing w:val="-2"/>
          <w:vertAlign w:val="baseline"/>
        </w:rPr>
        <w:t> </w:t>
      </w:r>
      <w:r>
        <w:rPr>
          <w:vertAlign w:val="baseline"/>
        </w:rPr>
        <w:t>on</w:t>
      </w:r>
      <w:r>
        <w:rPr>
          <w:spacing w:val="-2"/>
          <w:vertAlign w:val="baseline"/>
        </w:rPr>
        <w:t> </w:t>
      </w:r>
      <w:r>
        <w:rPr>
          <w:vertAlign w:val="baseline"/>
        </w:rPr>
        <w:t>our</w:t>
      </w:r>
      <w:r>
        <w:rPr>
          <w:spacing w:val="-1"/>
          <w:vertAlign w:val="baseline"/>
        </w:rPr>
        <w:t> </w:t>
      </w:r>
      <w:r>
        <w:rPr>
          <w:vertAlign w:val="baseline"/>
        </w:rPr>
        <w:t>Consolidated</w:t>
      </w:r>
      <w:r>
        <w:rPr>
          <w:spacing w:val="-2"/>
          <w:vertAlign w:val="baseline"/>
        </w:rPr>
        <w:t> </w:t>
      </w:r>
      <w:r>
        <w:rPr>
          <w:vertAlign w:val="baseline"/>
        </w:rPr>
        <w:t>Balance</w:t>
      </w:r>
      <w:r>
        <w:rPr>
          <w:spacing w:val="-1"/>
          <w:vertAlign w:val="baseline"/>
        </w:rPr>
        <w:t> </w:t>
      </w:r>
      <w:r>
        <w:rPr>
          <w:spacing w:val="-2"/>
          <w:vertAlign w:val="baseline"/>
        </w:rPr>
        <w:t>Sheets.</w:t>
      </w:r>
    </w:p>
    <w:p>
      <w:pPr>
        <w:pStyle w:val="BodyText"/>
        <w:spacing w:line="249" w:lineRule="auto" w:before="190"/>
        <w:ind w:left="220" w:right="257" w:firstLine="540"/>
        <w:jc w:val="both"/>
      </w:pPr>
      <w:r>
        <w:rPr/>
        <w:t>The effect of foreign currency derivative instruments designated as cash flow hedges and of foreign currency derivative instruments not designated as hedges in our Consolidated Statements of Income for fiscal 2017, 2016 and 2015 were as follows (in thousands):</w:t>
      </w:r>
    </w:p>
    <w:p>
      <w:pPr>
        <w:pStyle w:val="BodyText"/>
        <w:rPr>
          <w:sz w:val="16"/>
        </w:rPr>
      </w:pPr>
    </w:p>
    <w:p>
      <w:pPr>
        <w:pStyle w:val="BodyText"/>
        <w:spacing w:before="37"/>
        <w:rPr>
          <w:sz w:val="16"/>
        </w:rPr>
      </w:pPr>
    </w:p>
    <w:p>
      <w:pPr>
        <w:tabs>
          <w:tab w:pos="7399" w:val="left" w:leader="none"/>
          <w:tab w:pos="9359" w:val="left" w:leader="none"/>
        </w:tabs>
        <w:spacing w:before="0"/>
        <w:ind w:left="5440" w:right="0" w:firstLine="0"/>
        <w:jc w:val="left"/>
        <w:rPr>
          <w:b/>
          <w:sz w:val="16"/>
        </w:rPr>
      </w:pPr>
      <w:r>
        <w:rPr/>
        <mc:AlternateContent>
          <mc:Choice Requires="wps">
            <w:drawing>
              <wp:anchor distT="0" distB="0" distL="0" distR="0" allowOverlap="1" layoutInCell="1" locked="0" behindDoc="0" simplePos="0" relativeHeight="15813632">
                <wp:simplePos x="0" y="0"/>
                <wp:positionH relativeFrom="page">
                  <wp:posOffset>3460750</wp:posOffset>
                </wp:positionH>
                <wp:positionV relativeFrom="paragraph">
                  <wp:posOffset>148775</wp:posOffset>
                </wp:positionV>
                <wp:extent cx="1193800" cy="127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1193800" cy="1270"/>
                        </a:xfrm>
                        <a:custGeom>
                          <a:avLst/>
                          <a:gdLst/>
                          <a:ahLst/>
                          <a:cxnLst/>
                          <a:rect l="l" t="t" r="r" b="b"/>
                          <a:pathLst>
                            <a:path w="1193800" h="0">
                              <a:moveTo>
                                <a:pt x="0" y="0"/>
                              </a:moveTo>
                              <a:lnTo>
                                <a:pt x="571500" y="0"/>
                              </a:lnTo>
                            </a:path>
                            <a:path w="1193800" h="0">
                              <a:moveTo>
                                <a:pt x="571500" y="0"/>
                              </a:moveTo>
                              <a:lnTo>
                                <a:pt x="622300" y="0"/>
                              </a:lnTo>
                            </a:path>
                            <a:path w="1193800" h="0">
                              <a:moveTo>
                                <a:pt x="622300" y="0"/>
                              </a:moveTo>
                              <a:lnTo>
                                <a:pt x="1193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5pt;margin-top:11.714599pt;width:94pt;height:.1pt;mso-position-horizontal-relative:page;mso-position-vertical-relative:paragraph;z-index:15813632" id="docshape372" coordorigin="5450,234" coordsize="1880,0" path="m5450,234l6350,234m6350,234l6430,234m6430,234l7330,234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14144">
                <wp:simplePos x="0" y="0"/>
                <wp:positionH relativeFrom="page">
                  <wp:posOffset>4705350</wp:posOffset>
                </wp:positionH>
                <wp:positionV relativeFrom="paragraph">
                  <wp:posOffset>148775</wp:posOffset>
                </wp:positionV>
                <wp:extent cx="1193800" cy="127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1193800" cy="1270"/>
                        </a:xfrm>
                        <a:custGeom>
                          <a:avLst/>
                          <a:gdLst/>
                          <a:ahLst/>
                          <a:cxnLst/>
                          <a:rect l="l" t="t" r="r" b="b"/>
                          <a:pathLst>
                            <a:path w="1193800" h="0">
                              <a:moveTo>
                                <a:pt x="0" y="0"/>
                              </a:moveTo>
                              <a:lnTo>
                                <a:pt x="571500" y="0"/>
                              </a:lnTo>
                            </a:path>
                            <a:path w="1193800" h="0">
                              <a:moveTo>
                                <a:pt x="571500" y="0"/>
                              </a:moveTo>
                              <a:lnTo>
                                <a:pt x="622300" y="0"/>
                              </a:lnTo>
                            </a:path>
                            <a:path w="1193800" h="0">
                              <a:moveTo>
                                <a:pt x="622300" y="0"/>
                              </a:moveTo>
                              <a:lnTo>
                                <a:pt x="1193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0.5pt;margin-top:11.714599pt;width:94pt;height:.1pt;mso-position-horizontal-relative:page;mso-position-vertical-relative:paragraph;z-index:15814144" id="docshape373" coordorigin="7410,234" coordsize="1880,0" path="m7410,234l8310,234m8310,234l8390,234m8390,234l9290,234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14656">
                <wp:simplePos x="0" y="0"/>
                <wp:positionH relativeFrom="page">
                  <wp:posOffset>5949950</wp:posOffset>
                </wp:positionH>
                <wp:positionV relativeFrom="paragraph">
                  <wp:posOffset>142425</wp:posOffset>
                </wp:positionV>
                <wp:extent cx="1193800" cy="1270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1193800" cy="12700"/>
                        </a:xfrm>
                        <a:custGeom>
                          <a:avLst/>
                          <a:gdLst/>
                          <a:ahLst/>
                          <a:cxnLst/>
                          <a:rect l="l" t="t" r="r" b="b"/>
                          <a:pathLst>
                            <a:path w="1193800" h="12700">
                              <a:moveTo>
                                <a:pt x="1193800" y="0"/>
                              </a:moveTo>
                              <a:lnTo>
                                <a:pt x="622300" y="0"/>
                              </a:lnTo>
                              <a:lnTo>
                                <a:pt x="571500" y="0"/>
                              </a:lnTo>
                              <a:lnTo>
                                <a:pt x="0" y="0"/>
                              </a:lnTo>
                              <a:lnTo>
                                <a:pt x="0" y="12700"/>
                              </a:lnTo>
                              <a:lnTo>
                                <a:pt x="571500" y="12700"/>
                              </a:lnTo>
                              <a:lnTo>
                                <a:pt x="622300" y="12700"/>
                              </a:lnTo>
                              <a:lnTo>
                                <a:pt x="1193800" y="12700"/>
                              </a:lnTo>
                              <a:lnTo>
                                <a:pt x="1193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8.500031pt;margin-top:11.214573pt;width:94pt;height:1pt;mso-position-horizontal-relative:page;mso-position-vertical-relative:paragraph;z-index:15814656" id="docshape374" coordorigin="9370,224" coordsize="1880,20" path="m11250,224l10350,224,10270,224,9370,224,9370,244,10270,244,10350,244,11250,244,11250,224xe" filled="true" fillcolor="#000000" stroked="false">
                <v:path arrowok="t"/>
                <v:fill type="solid"/>
                <w10:wrap type="none"/>
              </v:shape>
            </w:pict>
          </mc:Fallback>
        </mc:AlternateContent>
      </w:r>
      <w:r>
        <w:rPr>
          <w:b/>
          <w:spacing w:val="-4"/>
          <w:sz w:val="16"/>
        </w:rPr>
        <w:t>2017</w:t>
      </w:r>
      <w:r>
        <w:rPr>
          <w:b/>
          <w:sz w:val="16"/>
        </w:rPr>
        <w:tab/>
      </w:r>
      <w:r>
        <w:rPr>
          <w:b/>
          <w:spacing w:val="-4"/>
          <w:sz w:val="16"/>
        </w:rPr>
        <w:t>2016</w:t>
      </w:r>
      <w:r>
        <w:rPr>
          <w:b/>
          <w:sz w:val="16"/>
        </w:rPr>
        <w:tab/>
      </w:r>
      <w:r>
        <w:rPr>
          <w:b/>
          <w:spacing w:val="-4"/>
          <w:sz w:val="16"/>
        </w:rPr>
        <w:t>2015</w:t>
      </w:r>
    </w:p>
    <w:p>
      <w:pPr>
        <w:spacing w:after="0"/>
        <w:jc w:val="left"/>
        <w:rPr>
          <w:sz w:val="16"/>
        </w:rPr>
        <w:sectPr>
          <w:pgSz w:w="12240" w:h="15840"/>
          <w:pgMar w:header="210" w:footer="610" w:top="1380" w:bottom="800" w:left="780" w:right="740"/>
        </w:sectPr>
      </w:pPr>
    </w:p>
    <w:p>
      <w:pPr>
        <w:spacing w:before="59"/>
        <w:ind w:left="0" w:right="0" w:firstLine="0"/>
        <w:jc w:val="right"/>
        <w:rPr>
          <w:b/>
          <w:sz w:val="16"/>
        </w:rPr>
      </w:pPr>
      <w:r>
        <w:rPr>
          <w:b/>
          <w:spacing w:val="-2"/>
          <w:sz w:val="16"/>
        </w:rPr>
        <w:t>Foreign</w:t>
      </w:r>
    </w:p>
    <w:p>
      <w:pPr>
        <w:spacing w:before="59"/>
        <w:ind w:left="409" w:right="0" w:firstLine="0"/>
        <w:jc w:val="left"/>
        <w:rPr>
          <w:b/>
          <w:sz w:val="16"/>
        </w:rPr>
      </w:pPr>
      <w:r>
        <w:rPr/>
        <w:br w:type="column"/>
      </w:r>
      <w:r>
        <w:rPr>
          <w:b/>
          <w:spacing w:val="-2"/>
          <w:sz w:val="16"/>
        </w:rPr>
        <w:t>Foreign</w:t>
      </w:r>
    </w:p>
    <w:p>
      <w:pPr>
        <w:spacing w:before="59"/>
        <w:ind w:left="409" w:right="0" w:firstLine="0"/>
        <w:jc w:val="left"/>
        <w:rPr>
          <w:b/>
          <w:sz w:val="16"/>
        </w:rPr>
      </w:pPr>
      <w:r>
        <w:rPr/>
        <w:br w:type="column"/>
      </w:r>
      <w:r>
        <w:rPr>
          <w:b/>
          <w:spacing w:val="-2"/>
          <w:sz w:val="16"/>
        </w:rPr>
        <w:t>Foreign</w:t>
      </w:r>
    </w:p>
    <w:p>
      <w:pPr>
        <w:spacing w:before="59"/>
        <w:ind w:left="409" w:right="0" w:firstLine="0"/>
        <w:jc w:val="left"/>
        <w:rPr>
          <w:b/>
          <w:sz w:val="16"/>
        </w:rPr>
      </w:pPr>
      <w:r>
        <w:rPr/>
        <w:br w:type="column"/>
      </w:r>
      <w:r>
        <w:rPr>
          <w:b/>
          <w:spacing w:val="-2"/>
          <w:sz w:val="16"/>
        </w:rPr>
        <w:t>Foreign</w:t>
      </w:r>
    </w:p>
    <w:p>
      <w:pPr>
        <w:spacing w:before="59"/>
        <w:ind w:left="409" w:right="0" w:firstLine="0"/>
        <w:jc w:val="left"/>
        <w:rPr>
          <w:b/>
          <w:sz w:val="16"/>
        </w:rPr>
      </w:pPr>
      <w:r>
        <w:rPr/>
        <w:br w:type="column"/>
      </w:r>
      <w:r>
        <w:rPr>
          <w:b/>
          <w:spacing w:val="-2"/>
          <w:sz w:val="16"/>
        </w:rPr>
        <w:t>Foreign</w:t>
      </w:r>
    </w:p>
    <w:p>
      <w:pPr>
        <w:spacing w:before="59"/>
        <w:ind w:left="409" w:right="0" w:firstLine="0"/>
        <w:jc w:val="left"/>
        <w:rPr>
          <w:b/>
          <w:sz w:val="16"/>
        </w:rPr>
      </w:pPr>
      <w:r>
        <w:rPr/>
        <w:br w:type="column"/>
      </w:r>
      <w:r>
        <w:rPr>
          <w:b/>
          <w:spacing w:val="-2"/>
          <w:sz w:val="16"/>
        </w:rPr>
        <w:t>Foreign</w:t>
      </w:r>
    </w:p>
    <w:p>
      <w:pPr>
        <w:spacing w:after="0"/>
        <w:jc w:val="left"/>
        <w:rPr>
          <w:sz w:val="16"/>
        </w:rPr>
        <w:sectPr>
          <w:type w:val="continuous"/>
          <w:pgSz w:w="12240" w:h="15840"/>
          <w:pgMar w:header="210" w:footer="610" w:top="680" w:bottom="280" w:left="780" w:right="740"/>
          <w:cols w:num="6" w:equalWidth="0">
            <w:col w:w="5375" w:space="40"/>
            <w:col w:w="940" w:space="39"/>
            <w:col w:w="940" w:space="40"/>
            <w:col w:w="940" w:space="40"/>
            <w:col w:w="940" w:space="40"/>
            <w:col w:w="1386"/>
          </w:cols>
        </w:sect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5"/>
        <w:gridCol w:w="960"/>
        <w:gridCol w:w="407"/>
        <w:gridCol w:w="540"/>
        <w:gridCol w:w="1013"/>
        <w:gridCol w:w="406"/>
        <w:gridCol w:w="573"/>
        <w:gridCol w:w="980"/>
        <w:gridCol w:w="407"/>
        <w:gridCol w:w="514"/>
      </w:tblGrid>
      <w:tr>
        <w:trPr>
          <w:trHeight w:val="534" w:hRule="atLeast"/>
        </w:trPr>
        <w:tc>
          <w:tcPr>
            <w:tcW w:w="4465" w:type="dxa"/>
          </w:tcPr>
          <w:p>
            <w:pPr>
              <w:pStyle w:val="TableParagraph"/>
              <w:rPr>
                <w:sz w:val="18"/>
              </w:rPr>
            </w:pPr>
          </w:p>
        </w:tc>
        <w:tc>
          <w:tcPr>
            <w:tcW w:w="960" w:type="dxa"/>
            <w:tcBorders>
              <w:bottom w:val="single" w:sz="8" w:space="0" w:color="000000"/>
            </w:tcBorders>
          </w:tcPr>
          <w:p>
            <w:pPr>
              <w:pStyle w:val="TableParagraph"/>
              <w:spacing w:line="208" w:lineRule="auto"/>
              <w:ind w:left="102" w:right="180" w:hanging="1"/>
              <w:jc w:val="center"/>
              <w:rPr>
                <w:b/>
                <w:sz w:val="16"/>
              </w:rPr>
            </w:pPr>
            <w:r>
              <w:rPr>
                <w:b/>
                <w:spacing w:val="-2"/>
                <w:sz w:val="16"/>
              </w:rPr>
              <w:t>Exchange</w:t>
            </w:r>
            <w:r>
              <w:rPr>
                <w:b/>
                <w:spacing w:val="40"/>
                <w:sz w:val="16"/>
              </w:rPr>
              <w:t> </w:t>
            </w:r>
            <w:r>
              <w:rPr>
                <w:b/>
                <w:spacing w:val="-2"/>
                <w:sz w:val="16"/>
              </w:rPr>
              <w:t>Option</w:t>
            </w:r>
            <w:r>
              <w:rPr>
                <w:b/>
                <w:spacing w:val="40"/>
                <w:sz w:val="16"/>
              </w:rPr>
              <w:t> </w:t>
            </w:r>
            <w:r>
              <w:rPr>
                <w:b/>
                <w:spacing w:val="-2"/>
                <w:sz w:val="16"/>
              </w:rPr>
              <w:t>Contracts</w:t>
            </w:r>
          </w:p>
        </w:tc>
        <w:tc>
          <w:tcPr>
            <w:tcW w:w="947" w:type="dxa"/>
            <w:gridSpan w:val="2"/>
            <w:tcBorders>
              <w:bottom w:val="single" w:sz="8" w:space="0" w:color="000000"/>
            </w:tcBorders>
          </w:tcPr>
          <w:p>
            <w:pPr>
              <w:pStyle w:val="TableParagraph"/>
              <w:spacing w:line="208" w:lineRule="auto"/>
              <w:ind w:left="122" w:right="147" w:firstLine="4"/>
              <w:jc w:val="both"/>
              <w:rPr>
                <w:b/>
                <w:sz w:val="16"/>
              </w:rPr>
            </w:pPr>
            <w:r>
              <w:rPr>
                <w:b/>
                <w:spacing w:val="-2"/>
                <w:sz w:val="16"/>
              </w:rPr>
              <w:t>Exchange</w:t>
            </w:r>
            <w:r>
              <w:rPr>
                <w:b/>
                <w:spacing w:val="40"/>
                <w:sz w:val="16"/>
              </w:rPr>
              <w:t> </w:t>
            </w:r>
            <w:r>
              <w:rPr>
                <w:b/>
                <w:spacing w:val="-2"/>
                <w:sz w:val="16"/>
              </w:rPr>
              <w:t>Forward</w:t>
            </w:r>
            <w:r>
              <w:rPr>
                <w:b/>
                <w:spacing w:val="40"/>
                <w:sz w:val="16"/>
              </w:rPr>
              <w:t> </w:t>
            </w:r>
            <w:r>
              <w:rPr>
                <w:b/>
                <w:spacing w:val="-2"/>
                <w:sz w:val="16"/>
              </w:rPr>
              <w:t>Contracts</w:t>
            </w:r>
          </w:p>
        </w:tc>
        <w:tc>
          <w:tcPr>
            <w:tcW w:w="1013" w:type="dxa"/>
            <w:tcBorders>
              <w:bottom w:val="single" w:sz="8" w:space="0" w:color="000000"/>
            </w:tcBorders>
          </w:tcPr>
          <w:p>
            <w:pPr>
              <w:pStyle w:val="TableParagraph"/>
              <w:spacing w:line="208" w:lineRule="auto"/>
              <w:ind w:left="155" w:right="180" w:hanging="1"/>
              <w:jc w:val="center"/>
              <w:rPr>
                <w:b/>
                <w:sz w:val="16"/>
              </w:rPr>
            </w:pPr>
            <w:r>
              <w:rPr>
                <w:b/>
                <w:spacing w:val="-2"/>
                <w:sz w:val="16"/>
              </w:rPr>
              <w:t>Exchange</w:t>
            </w:r>
            <w:r>
              <w:rPr>
                <w:b/>
                <w:spacing w:val="40"/>
                <w:sz w:val="16"/>
              </w:rPr>
              <w:t> </w:t>
            </w:r>
            <w:r>
              <w:rPr>
                <w:b/>
                <w:spacing w:val="-2"/>
                <w:sz w:val="16"/>
              </w:rPr>
              <w:t>Option</w:t>
            </w:r>
            <w:r>
              <w:rPr>
                <w:b/>
                <w:spacing w:val="40"/>
                <w:sz w:val="16"/>
              </w:rPr>
              <w:t> </w:t>
            </w:r>
            <w:r>
              <w:rPr>
                <w:b/>
                <w:spacing w:val="-2"/>
                <w:sz w:val="16"/>
              </w:rPr>
              <w:t>Contracts</w:t>
            </w:r>
          </w:p>
        </w:tc>
        <w:tc>
          <w:tcPr>
            <w:tcW w:w="979" w:type="dxa"/>
            <w:gridSpan w:val="2"/>
            <w:tcBorders>
              <w:bottom w:val="single" w:sz="8" w:space="0" w:color="000000"/>
            </w:tcBorders>
          </w:tcPr>
          <w:p>
            <w:pPr>
              <w:pStyle w:val="TableParagraph"/>
              <w:spacing w:line="208" w:lineRule="auto"/>
              <w:ind w:left="122" w:right="179" w:firstLine="4"/>
              <w:jc w:val="both"/>
              <w:rPr>
                <w:b/>
                <w:sz w:val="16"/>
              </w:rPr>
            </w:pPr>
            <w:r>
              <w:rPr>
                <w:b/>
                <w:spacing w:val="-2"/>
                <w:sz w:val="16"/>
              </w:rPr>
              <w:t>Exchange</w:t>
            </w:r>
            <w:r>
              <w:rPr>
                <w:b/>
                <w:spacing w:val="40"/>
                <w:sz w:val="16"/>
              </w:rPr>
              <w:t> </w:t>
            </w:r>
            <w:r>
              <w:rPr>
                <w:b/>
                <w:spacing w:val="-2"/>
                <w:sz w:val="16"/>
              </w:rPr>
              <w:t>Forward</w:t>
            </w:r>
            <w:r>
              <w:rPr>
                <w:b/>
                <w:spacing w:val="40"/>
                <w:sz w:val="16"/>
              </w:rPr>
              <w:t> </w:t>
            </w:r>
            <w:r>
              <w:rPr>
                <w:b/>
                <w:spacing w:val="-2"/>
                <w:sz w:val="16"/>
              </w:rPr>
              <w:t>Contracts</w:t>
            </w:r>
          </w:p>
        </w:tc>
        <w:tc>
          <w:tcPr>
            <w:tcW w:w="980" w:type="dxa"/>
            <w:tcBorders>
              <w:bottom w:val="single" w:sz="8" w:space="0" w:color="000000"/>
            </w:tcBorders>
          </w:tcPr>
          <w:p>
            <w:pPr>
              <w:pStyle w:val="TableParagraph"/>
              <w:spacing w:line="208" w:lineRule="auto"/>
              <w:ind w:left="123" w:right="179" w:hanging="1"/>
              <w:jc w:val="center"/>
              <w:rPr>
                <w:b/>
                <w:sz w:val="16"/>
              </w:rPr>
            </w:pPr>
            <w:r>
              <w:rPr>
                <w:b/>
                <w:spacing w:val="-2"/>
                <w:sz w:val="16"/>
              </w:rPr>
              <w:t>Exchange</w:t>
            </w:r>
            <w:r>
              <w:rPr>
                <w:b/>
                <w:spacing w:val="40"/>
                <w:sz w:val="16"/>
              </w:rPr>
              <w:t> </w:t>
            </w:r>
            <w:r>
              <w:rPr>
                <w:b/>
                <w:spacing w:val="-2"/>
                <w:sz w:val="16"/>
              </w:rPr>
              <w:t>Option</w:t>
            </w:r>
            <w:r>
              <w:rPr>
                <w:b/>
                <w:spacing w:val="40"/>
                <w:sz w:val="16"/>
              </w:rPr>
              <w:t> </w:t>
            </w:r>
            <w:r>
              <w:rPr>
                <w:b/>
                <w:spacing w:val="-2"/>
                <w:sz w:val="16"/>
              </w:rPr>
              <w:t>Contracts</w:t>
            </w:r>
          </w:p>
        </w:tc>
        <w:tc>
          <w:tcPr>
            <w:tcW w:w="921" w:type="dxa"/>
            <w:gridSpan w:val="2"/>
            <w:tcBorders>
              <w:bottom w:val="single" w:sz="8" w:space="0" w:color="000000"/>
            </w:tcBorders>
          </w:tcPr>
          <w:p>
            <w:pPr>
              <w:pStyle w:val="TableParagraph"/>
              <w:spacing w:line="208" w:lineRule="auto"/>
              <w:ind w:left="122" w:right="120" w:firstLine="4"/>
              <w:jc w:val="both"/>
              <w:rPr>
                <w:b/>
                <w:sz w:val="16"/>
              </w:rPr>
            </w:pPr>
            <w:r>
              <w:rPr>
                <w:b/>
                <w:spacing w:val="-2"/>
                <w:sz w:val="16"/>
              </w:rPr>
              <w:t>Exchange</w:t>
            </w:r>
            <w:r>
              <w:rPr>
                <w:b/>
                <w:spacing w:val="40"/>
                <w:sz w:val="16"/>
              </w:rPr>
              <w:t> </w:t>
            </w:r>
            <w:r>
              <w:rPr>
                <w:b/>
                <w:spacing w:val="-2"/>
                <w:sz w:val="16"/>
              </w:rPr>
              <w:t>Forward</w:t>
            </w:r>
            <w:r>
              <w:rPr>
                <w:b/>
                <w:spacing w:val="40"/>
                <w:sz w:val="16"/>
              </w:rPr>
              <w:t> </w:t>
            </w:r>
            <w:r>
              <w:rPr>
                <w:b/>
                <w:spacing w:val="-2"/>
                <w:sz w:val="16"/>
              </w:rPr>
              <w:t>Contracts</w:t>
            </w:r>
          </w:p>
        </w:tc>
      </w:tr>
      <w:tr>
        <w:trPr>
          <w:trHeight w:val="290" w:hRule="atLeast"/>
        </w:trPr>
        <w:tc>
          <w:tcPr>
            <w:tcW w:w="4465" w:type="dxa"/>
          </w:tcPr>
          <w:p>
            <w:pPr>
              <w:pStyle w:val="TableParagraph"/>
              <w:spacing w:line="223" w:lineRule="exact"/>
              <w:ind w:left="75"/>
              <w:rPr>
                <w:sz w:val="20"/>
              </w:rPr>
            </w:pPr>
            <w:r>
              <w:rPr>
                <w:sz w:val="20"/>
              </w:rPr>
              <w:t>Derivatives</w:t>
            </w:r>
            <w:r>
              <w:rPr>
                <w:spacing w:val="-6"/>
                <w:sz w:val="20"/>
              </w:rPr>
              <w:t> </w:t>
            </w:r>
            <w:r>
              <w:rPr>
                <w:sz w:val="20"/>
              </w:rPr>
              <w:t>in</w:t>
            </w:r>
            <w:r>
              <w:rPr>
                <w:spacing w:val="-3"/>
                <w:sz w:val="20"/>
              </w:rPr>
              <w:t> </w:t>
            </w:r>
            <w:r>
              <w:rPr>
                <w:sz w:val="20"/>
              </w:rPr>
              <w:t>cash</w:t>
            </w:r>
            <w:r>
              <w:rPr>
                <w:spacing w:val="-2"/>
                <w:sz w:val="20"/>
              </w:rPr>
              <w:t> </w:t>
            </w:r>
            <w:r>
              <w:rPr>
                <w:sz w:val="20"/>
              </w:rPr>
              <w:t>flow</w:t>
            </w:r>
            <w:r>
              <w:rPr>
                <w:spacing w:val="-4"/>
                <w:sz w:val="20"/>
              </w:rPr>
              <w:t> </w:t>
            </w:r>
            <w:r>
              <w:rPr>
                <w:sz w:val="20"/>
              </w:rPr>
              <w:t>hedging</w:t>
            </w:r>
            <w:r>
              <w:rPr>
                <w:spacing w:val="-2"/>
                <w:sz w:val="20"/>
              </w:rPr>
              <w:t> relationships:</w:t>
            </w:r>
          </w:p>
        </w:tc>
        <w:tc>
          <w:tcPr>
            <w:tcW w:w="960" w:type="dxa"/>
            <w:tcBorders>
              <w:top w:val="single" w:sz="8" w:space="0" w:color="000000"/>
            </w:tcBorders>
          </w:tcPr>
          <w:p>
            <w:pPr>
              <w:pStyle w:val="TableParagraph"/>
              <w:rPr>
                <w:sz w:val="18"/>
              </w:rPr>
            </w:pPr>
          </w:p>
        </w:tc>
        <w:tc>
          <w:tcPr>
            <w:tcW w:w="947" w:type="dxa"/>
            <w:gridSpan w:val="2"/>
            <w:tcBorders>
              <w:top w:val="single" w:sz="8" w:space="0" w:color="000000"/>
            </w:tcBorders>
          </w:tcPr>
          <w:p>
            <w:pPr>
              <w:pStyle w:val="TableParagraph"/>
              <w:rPr>
                <w:sz w:val="18"/>
              </w:rPr>
            </w:pPr>
          </w:p>
        </w:tc>
        <w:tc>
          <w:tcPr>
            <w:tcW w:w="1013" w:type="dxa"/>
            <w:tcBorders>
              <w:top w:val="single" w:sz="8" w:space="0" w:color="000000"/>
            </w:tcBorders>
          </w:tcPr>
          <w:p>
            <w:pPr>
              <w:pStyle w:val="TableParagraph"/>
              <w:rPr>
                <w:sz w:val="18"/>
              </w:rPr>
            </w:pPr>
          </w:p>
        </w:tc>
        <w:tc>
          <w:tcPr>
            <w:tcW w:w="979" w:type="dxa"/>
            <w:gridSpan w:val="2"/>
            <w:tcBorders>
              <w:top w:val="single" w:sz="8" w:space="0" w:color="000000"/>
            </w:tcBorders>
          </w:tcPr>
          <w:p>
            <w:pPr>
              <w:pStyle w:val="TableParagraph"/>
              <w:rPr>
                <w:sz w:val="18"/>
              </w:rPr>
            </w:pPr>
          </w:p>
        </w:tc>
        <w:tc>
          <w:tcPr>
            <w:tcW w:w="980" w:type="dxa"/>
            <w:tcBorders>
              <w:top w:val="single" w:sz="8" w:space="0" w:color="000000"/>
            </w:tcBorders>
          </w:tcPr>
          <w:p>
            <w:pPr>
              <w:pStyle w:val="TableParagraph"/>
              <w:rPr>
                <w:sz w:val="18"/>
              </w:rPr>
            </w:pPr>
          </w:p>
        </w:tc>
        <w:tc>
          <w:tcPr>
            <w:tcW w:w="921" w:type="dxa"/>
            <w:gridSpan w:val="2"/>
            <w:tcBorders>
              <w:top w:val="single" w:sz="8" w:space="0" w:color="000000"/>
            </w:tcBorders>
          </w:tcPr>
          <w:p>
            <w:pPr>
              <w:pStyle w:val="TableParagraph"/>
              <w:rPr>
                <w:sz w:val="18"/>
              </w:rPr>
            </w:pPr>
          </w:p>
        </w:tc>
      </w:tr>
      <w:tr>
        <w:trPr>
          <w:trHeight w:val="285" w:hRule="atLeast"/>
        </w:trPr>
        <w:tc>
          <w:tcPr>
            <w:tcW w:w="4465" w:type="dxa"/>
            <w:shd w:val="clear" w:color="auto" w:fill="CCEDFF"/>
          </w:tcPr>
          <w:p>
            <w:pPr>
              <w:pStyle w:val="TableParagraph"/>
              <w:spacing w:line="202" w:lineRule="exact" w:before="63"/>
              <w:ind w:left="255"/>
              <w:rPr>
                <w:sz w:val="20"/>
              </w:rPr>
            </w:pPr>
            <w:r>
              <w:rPr>
                <w:sz w:val="20"/>
              </w:rPr>
              <w:t>Net gain (loss) recognized in other </w:t>
            </w:r>
            <w:r>
              <w:rPr>
                <w:spacing w:val="-2"/>
                <w:sz w:val="20"/>
              </w:rPr>
              <w:t>comprehensive</w:t>
            </w:r>
          </w:p>
        </w:tc>
        <w:tc>
          <w:tcPr>
            <w:tcW w:w="960" w:type="dxa"/>
            <w:shd w:val="clear" w:color="auto" w:fill="CCEDFF"/>
          </w:tcPr>
          <w:p>
            <w:pPr>
              <w:pStyle w:val="TableParagraph"/>
              <w:rPr>
                <w:sz w:val="18"/>
              </w:rPr>
            </w:pPr>
          </w:p>
        </w:tc>
        <w:tc>
          <w:tcPr>
            <w:tcW w:w="407" w:type="dxa"/>
            <w:shd w:val="clear" w:color="auto" w:fill="CCEDFF"/>
          </w:tcPr>
          <w:p>
            <w:pPr>
              <w:pStyle w:val="TableParagraph"/>
              <w:rPr>
                <w:sz w:val="18"/>
              </w:rPr>
            </w:pPr>
          </w:p>
        </w:tc>
        <w:tc>
          <w:tcPr>
            <w:tcW w:w="540" w:type="dxa"/>
            <w:shd w:val="clear" w:color="auto" w:fill="CCEDFF"/>
          </w:tcPr>
          <w:p>
            <w:pPr>
              <w:pStyle w:val="TableParagraph"/>
              <w:rPr>
                <w:sz w:val="18"/>
              </w:rPr>
            </w:pPr>
          </w:p>
        </w:tc>
        <w:tc>
          <w:tcPr>
            <w:tcW w:w="1013" w:type="dxa"/>
            <w:shd w:val="clear" w:color="auto" w:fill="CCEDFF"/>
          </w:tcPr>
          <w:p>
            <w:pPr>
              <w:pStyle w:val="TableParagraph"/>
              <w:rPr>
                <w:sz w:val="18"/>
              </w:rPr>
            </w:pPr>
          </w:p>
        </w:tc>
        <w:tc>
          <w:tcPr>
            <w:tcW w:w="406" w:type="dxa"/>
            <w:shd w:val="clear" w:color="auto" w:fill="CCEDFF"/>
          </w:tcPr>
          <w:p>
            <w:pPr>
              <w:pStyle w:val="TableParagraph"/>
              <w:rPr>
                <w:sz w:val="18"/>
              </w:rPr>
            </w:pPr>
          </w:p>
        </w:tc>
        <w:tc>
          <w:tcPr>
            <w:tcW w:w="573" w:type="dxa"/>
            <w:shd w:val="clear" w:color="auto" w:fill="CCEDFF"/>
          </w:tcPr>
          <w:p>
            <w:pPr>
              <w:pStyle w:val="TableParagraph"/>
              <w:rPr>
                <w:sz w:val="18"/>
              </w:rPr>
            </w:pPr>
          </w:p>
        </w:tc>
        <w:tc>
          <w:tcPr>
            <w:tcW w:w="980" w:type="dxa"/>
            <w:shd w:val="clear" w:color="auto" w:fill="CCEDFF"/>
          </w:tcPr>
          <w:p>
            <w:pPr>
              <w:pStyle w:val="TableParagraph"/>
              <w:rPr>
                <w:sz w:val="18"/>
              </w:rPr>
            </w:pPr>
          </w:p>
        </w:tc>
        <w:tc>
          <w:tcPr>
            <w:tcW w:w="407" w:type="dxa"/>
            <w:shd w:val="clear" w:color="auto" w:fill="CCEDFF"/>
          </w:tcPr>
          <w:p>
            <w:pPr>
              <w:pStyle w:val="TableParagraph"/>
              <w:rPr>
                <w:sz w:val="18"/>
              </w:rPr>
            </w:pPr>
          </w:p>
        </w:tc>
        <w:tc>
          <w:tcPr>
            <w:tcW w:w="514" w:type="dxa"/>
            <w:shd w:val="clear" w:color="auto" w:fill="CCEDFF"/>
          </w:tcPr>
          <w:p>
            <w:pPr>
              <w:pStyle w:val="TableParagraph"/>
              <w:rPr>
                <w:sz w:val="18"/>
              </w:rPr>
            </w:pPr>
          </w:p>
        </w:tc>
      </w:tr>
      <w:tr>
        <w:trPr>
          <w:trHeight w:val="274" w:hRule="atLeast"/>
        </w:trPr>
        <w:tc>
          <w:tcPr>
            <w:tcW w:w="4465" w:type="dxa"/>
            <w:shd w:val="clear" w:color="auto" w:fill="CCEDFF"/>
          </w:tcPr>
          <w:p>
            <w:pPr>
              <w:pStyle w:val="TableParagraph"/>
              <w:spacing w:line="208" w:lineRule="exact"/>
              <w:ind w:left="75"/>
              <w:rPr>
                <w:sz w:val="20"/>
              </w:rPr>
            </w:pPr>
            <w:r>
              <w:rPr>
                <w:sz w:val="20"/>
              </w:rPr>
              <w:t>income, net of </w:t>
            </w:r>
            <w:r>
              <w:rPr>
                <w:spacing w:val="-2"/>
                <w:sz w:val="20"/>
              </w:rPr>
              <w:t>tax</w:t>
            </w:r>
            <w:r>
              <w:rPr>
                <w:spacing w:val="-2"/>
                <w:sz w:val="20"/>
                <w:vertAlign w:val="superscript"/>
              </w:rPr>
              <w:t>(1)</w:t>
            </w:r>
          </w:p>
        </w:tc>
        <w:tc>
          <w:tcPr>
            <w:tcW w:w="960" w:type="dxa"/>
            <w:shd w:val="clear" w:color="auto" w:fill="CCEDFF"/>
          </w:tcPr>
          <w:p>
            <w:pPr>
              <w:pStyle w:val="TableParagraph"/>
              <w:tabs>
                <w:tab w:pos="322" w:val="left" w:leader="none"/>
              </w:tabs>
              <w:spacing w:line="208" w:lineRule="exact"/>
              <w:ind w:right="86"/>
              <w:jc w:val="center"/>
              <w:rPr>
                <w:sz w:val="20"/>
              </w:rPr>
            </w:pPr>
            <w:r>
              <w:rPr>
                <w:spacing w:val="-10"/>
                <w:sz w:val="20"/>
              </w:rPr>
              <w:t>$</w:t>
            </w:r>
            <w:r>
              <w:rPr>
                <w:sz w:val="20"/>
              </w:rPr>
              <w:tab/>
            </w:r>
            <w:r>
              <w:rPr>
                <w:spacing w:val="-2"/>
                <w:sz w:val="20"/>
              </w:rPr>
              <w:t>6,917</w:t>
            </w:r>
          </w:p>
        </w:tc>
        <w:tc>
          <w:tcPr>
            <w:tcW w:w="407" w:type="dxa"/>
            <w:shd w:val="clear" w:color="auto" w:fill="CCEDFF"/>
          </w:tcPr>
          <w:p>
            <w:pPr>
              <w:pStyle w:val="TableParagraph"/>
              <w:spacing w:line="208" w:lineRule="exact"/>
              <w:ind w:left="70"/>
              <w:rPr>
                <w:sz w:val="20"/>
              </w:rPr>
            </w:pPr>
            <w:r>
              <w:rPr>
                <w:spacing w:val="-10"/>
                <w:sz w:val="20"/>
              </w:rPr>
              <w:t>$</w:t>
            </w:r>
          </w:p>
        </w:tc>
        <w:tc>
          <w:tcPr>
            <w:tcW w:w="540" w:type="dxa"/>
            <w:shd w:val="clear" w:color="auto" w:fill="CCEDFF"/>
          </w:tcPr>
          <w:p>
            <w:pPr>
              <w:pStyle w:val="TableParagraph"/>
              <w:spacing w:line="208" w:lineRule="exact"/>
              <w:ind w:left="235"/>
              <w:rPr>
                <w:sz w:val="20"/>
              </w:rPr>
            </w:pPr>
            <w:r>
              <w:rPr>
                <w:spacing w:val="-10"/>
                <w:sz w:val="20"/>
              </w:rPr>
              <w:t>—</w:t>
            </w:r>
          </w:p>
        </w:tc>
        <w:tc>
          <w:tcPr>
            <w:tcW w:w="1013" w:type="dxa"/>
            <w:shd w:val="clear" w:color="auto" w:fill="CCEDFF"/>
          </w:tcPr>
          <w:p>
            <w:pPr>
              <w:pStyle w:val="TableParagraph"/>
              <w:spacing w:line="208" w:lineRule="exact"/>
              <w:ind w:right="34"/>
              <w:jc w:val="center"/>
              <w:rPr>
                <w:sz w:val="20"/>
              </w:rPr>
            </w:pPr>
            <w:r>
              <w:rPr>
                <w:sz w:val="20"/>
              </w:rPr>
              <w:t>$</w:t>
            </w:r>
            <w:r>
              <w:rPr>
                <w:spacing w:val="70"/>
                <w:sz w:val="20"/>
              </w:rPr>
              <w:t> </w:t>
            </w:r>
            <w:r>
              <w:rPr>
                <w:spacing w:val="-2"/>
                <w:sz w:val="20"/>
              </w:rPr>
              <w:t>36,511</w:t>
            </w:r>
          </w:p>
        </w:tc>
        <w:tc>
          <w:tcPr>
            <w:tcW w:w="406" w:type="dxa"/>
            <w:shd w:val="clear" w:color="auto" w:fill="CCEDFF"/>
          </w:tcPr>
          <w:p>
            <w:pPr>
              <w:pStyle w:val="TableParagraph"/>
              <w:spacing w:line="208" w:lineRule="exact"/>
              <w:ind w:left="70"/>
              <w:rPr>
                <w:sz w:val="20"/>
              </w:rPr>
            </w:pPr>
            <w:r>
              <w:rPr>
                <w:spacing w:val="-10"/>
                <w:sz w:val="20"/>
              </w:rPr>
              <w:t>$</w:t>
            </w:r>
          </w:p>
        </w:tc>
        <w:tc>
          <w:tcPr>
            <w:tcW w:w="573" w:type="dxa"/>
            <w:shd w:val="clear" w:color="auto" w:fill="CCEDFF"/>
          </w:tcPr>
          <w:p>
            <w:pPr>
              <w:pStyle w:val="TableParagraph"/>
              <w:spacing w:line="208" w:lineRule="exact"/>
              <w:ind w:left="236"/>
              <w:rPr>
                <w:sz w:val="20"/>
              </w:rPr>
            </w:pPr>
            <w:r>
              <w:rPr>
                <w:spacing w:val="-10"/>
                <w:sz w:val="20"/>
              </w:rPr>
              <w:t>—</w:t>
            </w:r>
          </w:p>
        </w:tc>
        <w:tc>
          <w:tcPr>
            <w:tcW w:w="980" w:type="dxa"/>
            <w:shd w:val="clear" w:color="auto" w:fill="CCEDFF"/>
          </w:tcPr>
          <w:p>
            <w:pPr>
              <w:pStyle w:val="TableParagraph"/>
              <w:spacing w:line="208" w:lineRule="exact"/>
              <w:ind w:left="1" w:right="66"/>
              <w:jc w:val="center"/>
              <w:rPr>
                <w:sz w:val="20"/>
              </w:rPr>
            </w:pPr>
            <w:r>
              <w:rPr>
                <w:sz w:val="20"/>
              </w:rPr>
              <w:t>$</w:t>
            </w:r>
            <w:r>
              <w:rPr>
                <w:spacing w:val="70"/>
                <w:sz w:val="20"/>
              </w:rPr>
              <w:t> </w:t>
            </w:r>
            <w:r>
              <w:rPr>
                <w:spacing w:val="-2"/>
                <w:sz w:val="20"/>
              </w:rPr>
              <w:t>39,825</w:t>
            </w:r>
          </w:p>
        </w:tc>
        <w:tc>
          <w:tcPr>
            <w:tcW w:w="407" w:type="dxa"/>
            <w:shd w:val="clear" w:color="auto" w:fill="CCEDFF"/>
          </w:tcPr>
          <w:p>
            <w:pPr>
              <w:pStyle w:val="TableParagraph"/>
              <w:spacing w:line="208" w:lineRule="exact"/>
              <w:ind w:left="70"/>
              <w:rPr>
                <w:sz w:val="20"/>
              </w:rPr>
            </w:pPr>
            <w:r>
              <w:rPr>
                <w:spacing w:val="-10"/>
                <w:sz w:val="20"/>
              </w:rPr>
              <w:t>$</w:t>
            </w:r>
          </w:p>
        </w:tc>
        <w:tc>
          <w:tcPr>
            <w:tcW w:w="514" w:type="dxa"/>
            <w:shd w:val="clear" w:color="auto" w:fill="CCEDFF"/>
          </w:tcPr>
          <w:p>
            <w:pPr>
              <w:pStyle w:val="TableParagraph"/>
              <w:spacing w:line="208" w:lineRule="exact"/>
              <w:ind w:left="236"/>
              <w:rPr>
                <w:sz w:val="20"/>
              </w:rPr>
            </w:pPr>
            <w:r>
              <w:rPr>
                <w:spacing w:val="-10"/>
                <w:sz w:val="20"/>
              </w:rPr>
              <w:t>—</w:t>
            </w:r>
          </w:p>
        </w:tc>
      </w:tr>
      <w:tr>
        <w:trPr>
          <w:trHeight w:val="200" w:hRule="atLeast"/>
        </w:trPr>
        <w:tc>
          <w:tcPr>
            <w:tcW w:w="4465" w:type="dxa"/>
          </w:tcPr>
          <w:p>
            <w:pPr>
              <w:pStyle w:val="TableParagraph"/>
              <w:spacing w:line="177" w:lineRule="exact" w:before="3"/>
              <w:ind w:left="255"/>
              <w:rPr>
                <w:sz w:val="20"/>
              </w:rPr>
            </w:pPr>
            <w:r>
              <w:rPr>
                <w:sz w:val="20"/>
              </w:rPr>
              <w:t>Net gain (loss) reclassified from </w:t>
            </w:r>
            <w:r>
              <w:rPr>
                <w:spacing w:val="-2"/>
                <w:sz w:val="20"/>
              </w:rPr>
              <w:t>accumulated</w:t>
            </w:r>
          </w:p>
        </w:tc>
        <w:tc>
          <w:tcPr>
            <w:tcW w:w="960" w:type="dxa"/>
          </w:tcPr>
          <w:p>
            <w:pPr>
              <w:pStyle w:val="TableParagraph"/>
              <w:rPr>
                <w:sz w:val="12"/>
              </w:rPr>
            </w:pPr>
          </w:p>
        </w:tc>
        <w:tc>
          <w:tcPr>
            <w:tcW w:w="407" w:type="dxa"/>
          </w:tcPr>
          <w:p>
            <w:pPr>
              <w:pStyle w:val="TableParagraph"/>
              <w:rPr>
                <w:sz w:val="12"/>
              </w:rPr>
            </w:pPr>
          </w:p>
        </w:tc>
        <w:tc>
          <w:tcPr>
            <w:tcW w:w="540" w:type="dxa"/>
          </w:tcPr>
          <w:p>
            <w:pPr>
              <w:pStyle w:val="TableParagraph"/>
              <w:rPr>
                <w:sz w:val="12"/>
              </w:rPr>
            </w:pPr>
          </w:p>
        </w:tc>
        <w:tc>
          <w:tcPr>
            <w:tcW w:w="1013" w:type="dxa"/>
          </w:tcPr>
          <w:p>
            <w:pPr>
              <w:pStyle w:val="TableParagraph"/>
              <w:rPr>
                <w:sz w:val="12"/>
              </w:rPr>
            </w:pPr>
          </w:p>
        </w:tc>
        <w:tc>
          <w:tcPr>
            <w:tcW w:w="406" w:type="dxa"/>
          </w:tcPr>
          <w:p>
            <w:pPr>
              <w:pStyle w:val="TableParagraph"/>
              <w:rPr>
                <w:sz w:val="12"/>
              </w:rPr>
            </w:pPr>
          </w:p>
        </w:tc>
        <w:tc>
          <w:tcPr>
            <w:tcW w:w="573" w:type="dxa"/>
          </w:tcPr>
          <w:p>
            <w:pPr>
              <w:pStyle w:val="TableParagraph"/>
              <w:rPr>
                <w:sz w:val="12"/>
              </w:rPr>
            </w:pPr>
          </w:p>
        </w:tc>
        <w:tc>
          <w:tcPr>
            <w:tcW w:w="980" w:type="dxa"/>
          </w:tcPr>
          <w:p>
            <w:pPr>
              <w:pStyle w:val="TableParagraph"/>
              <w:rPr>
                <w:sz w:val="12"/>
              </w:rPr>
            </w:pPr>
          </w:p>
        </w:tc>
        <w:tc>
          <w:tcPr>
            <w:tcW w:w="407" w:type="dxa"/>
          </w:tcPr>
          <w:p>
            <w:pPr>
              <w:pStyle w:val="TableParagraph"/>
              <w:rPr>
                <w:sz w:val="12"/>
              </w:rPr>
            </w:pPr>
          </w:p>
        </w:tc>
        <w:tc>
          <w:tcPr>
            <w:tcW w:w="514" w:type="dxa"/>
          </w:tcPr>
          <w:p>
            <w:pPr>
              <w:pStyle w:val="TableParagraph"/>
              <w:rPr>
                <w:sz w:val="12"/>
              </w:rPr>
            </w:pPr>
          </w:p>
        </w:tc>
      </w:tr>
      <w:tr>
        <w:trPr>
          <w:trHeight w:val="299" w:hRule="atLeast"/>
        </w:trPr>
        <w:tc>
          <w:tcPr>
            <w:tcW w:w="4465" w:type="dxa"/>
          </w:tcPr>
          <w:p>
            <w:pPr>
              <w:pStyle w:val="TableParagraph"/>
              <w:spacing w:before="3"/>
              <w:ind w:left="75"/>
              <w:rPr>
                <w:sz w:val="20"/>
              </w:rPr>
            </w:pPr>
            <w:r>
              <w:rPr>
                <w:sz w:val="20"/>
              </w:rPr>
              <w:t>other comprehensive income into income, net of </w:t>
            </w:r>
            <w:r>
              <w:rPr>
                <w:spacing w:val="-2"/>
                <w:sz w:val="20"/>
              </w:rPr>
              <w:t>tax</w:t>
            </w:r>
            <w:r>
              <w:rPr>
                <w:spacing w:val="-2"/>
                <w:sz w:val="20"/>
                <w:vertAlign w:val="superscript"/>
              </w:rPr>
              <w:t>(2)</w:t>
            </w:r>
          </w:p>
        </w:tc>
        <w:tc>
          <w:tcPr>
            <w:tcW w:w="960" w:type="dxa"/>
          </w:tcPr>
          <w:p>
            <w:pPr>
              <w:pStyle w:val="TableParagraph"/>
              <w:spacing w:before="3"/>
              <w:ind w:right="87"/>
              <w:jc w:val="center"/>
              <w:rPr>
                <w:sz w:val="20"/>
              </w:rPr>
            </w:pPr>
            <w:r>
              <w:rPr>
                <w:sz w:val="20"/>
              </w:rPr>
              <w:t>$</w:t>
            </w:r>
            <w:r>
              <w:rPr>
                <w:spacing w:val="70"/>
                <w:sz w:val="20"/>
              </w:rPr>
              <w:t> </w:t>
            </w:r>
            <w:r>
              <w:rPr>
                <w:spacing w:val="-2"/>
                <w:sz w:val="20"/>
              </w:rPr>
              <w:t>32,852</w:t>
            </w:r>
          </w:p>
        </w:tc>
        <w:tc>
          <w:tcPr>
            <w:tcW w:w="947" w:type="dxa"/>
            <w:gridSpan w:val="2"/>
          </w:tcPr>
          <w:p>
            <w:pPr>
              <w:pStyle w:val="TableParagraph"/>
              <w:tabs>
                <w:tab w:pos="642" w:val="left" w:leader="none"/>
              </w:tabs>
              <w:spacing w:before="3"/>
              <w:ind w:left="70"/>
              <w:rPr>
                <w:sz w:val="20"/>
              </w:rPr>
            </w:pPr>
            <w:r>
              <w:rPr>
                <w:spacing w:val="-10"/>
                <w:sz w:val="20"/>
              </w:rPr>
              <w:t>$</w:t>
            </w:r>
            <w:r>
              <w:rPr>
                <w:sz w:val="20"/>
              </w:rPr>
              <w:tab/>
            </w:r>
            <w:r>
              <w:rPr>
                <w:spacing w:val="-10"/>
                <w:sz w:val="20"/>
              </w:rPr>
              <w:t>—</w:t>
            </w:r>
          </w:p>
        </w:tc>
        <w:tc>
          <w:tcPr>
            <w:tcW w:w="1013" w:type="dxa"/>
          </w:tcPr>
          <w:p>
            <w:pPr>
              <w:pStyle w:val="TableParagraph"/>
              <w:spacing w:before="3"/>
              <w:ind w:right="34"/>
              <w:jc w:val="center"/>
              <w:rPr>
                <w:sz w:val="20"/>
              </w:rPr>
            </w:pPr>
            <w:r>
              <w:rPr>
                <w:sz w:val="20"/>
              </w:rPr>
              <w:t>$</w:t>
            </w:r>
            <w:r>
              <w:rPr>
                <w:spacing w:val="70"/>
                <w:sz w:val="20"/>
              </w:rPr>
              <w:t> </w:t>
            </w:r>
            <w:r>
              <w:rPr>
                <w:spacing w:val="-2"/>
                <w:sz w:val="20"/>
              </w:rPr>
              <w:t>18,823</w:t>
            </w:r>
          </w:p>
        </w:tc>
        <w:tc>
          <w:tcPr>
            <w:tcW w:w="979" w:type="dxa"/>
            <w:gridSpan w:val="2"/>
          </w:tcPr>
          <w:p>
            <w:pPr>
              <w:pStyle w:val="TableParagraph"/>
              <w:tabs>
                <w:tab w:pos="642" w:val="left" w:leader="none"/>
              </w:tabs>
              <w:spacing w:before="3"/>
              <w:ind w:left="70"/>
              <w:rPr>
                <w:sz w:val="20"/>
              </w:rPr>
            </w:pPr>
            <w:r>
              <w:rPr>
                <w:spacing w:val="-10"/>
                <w:sz w:val="20"/>
              </w:rPr>
              <w:t>$</w:t>
            </w:r>
            <w:r>
              <w:rPr>
                <w:sz w:val="20"/>
              </w:rPr>
              <w:tab/>
            </w:r>
            <w:r>
              <w:rPr>
                <w:spacing w:val="-10"/>
                <w:sz w:val="20"/>
              </w:rPr>
              <w:t>—</w:t>
            </w:r>
          </w:p>
        </w:tc>
        <w:tc>
          <w:tcPr>
            <w:tcW w:w="980" w:type="dxa"/>
          </w:tcPr>
          <w:p>
            <w:pPr>
              <w:pStyle w:val="TableParagraph"/>
              <w:spacing w:before="3"/>
              <w:ind w:left="1" w:right="66"/>
              <w:jc w:val="center"/>
              <w:rPr>
                <w:sz w:val="20"/>
              </w:rPr>
            </w:pPr>
            <w:r>
              <w:rPr>
                <w:sz w:val="20"/>
              </w:rPr>
              <w:t>$</w:t>
            </w:r>
            <w:r>
              <w:rPr>
                <w:spacing w:val="70"/>
                <w:sz w:val="20"/>
              </w:rPr>
              <w:t> </w:t>
            </w:r>
            <w:r>
              <w:rPr>
                <w:spacing w:val="-2"/>
                <w:sz w:val="20"/>
              </w:rPr>
              <w:t>56,336</w:t>
            </w:r>
          </w:p>
        </w:tc>
        <w:tc>
          <w:tcPr>
            <w:tcW w:w="921" w:type="dxa"/>
            <w:gridSpan w:val="2"/>
          </w:tcPr>
          <w:p>
            <w:pPr>
              <w:pStyle w:val="TableParagraph"/>
              <w:tabs>
                <w:tab w:pos="643" w:val="left" w:leader="none"/>
              </w:tabs>
              <w:spacing w:before="3"/>
              <w:ind w:left="70"/>
              <w:rPr>
                <w:sz w:val="20"/>
              </w:rPr>
            </w:pPr>
            <w:r>
              <w:rPr>
                <w:spacing w:val="-10"/>
                <w:sz w:val="20"/>
              </w:rPr>
              <w:t>$</w:t>
            </w:r>
            <w:r>
              <w:rPr>
                <w:sz w:val="20"/>
              </w:rPr>
              <w:tab/>
            </w:r>
            <w:r>
              <w:rPr>
                <w:spacing w:val="-10"/>
                <w:sz w:val="20"/>
              </w:rPr>
              <w:t>—</w:t>
            </w:r>
          </w:p>
        </w:tc>
      </w:tr>
      <w:tr>
        <w:trPr>
          <w:trHeight w:val="300" w:hRule="atLeast"/>
        </w:trPr>
        <w:tc>
          <w:tcPr>
            <w:tcW w:w="4465" w:type="dxa"/>
            <w:shd w:val="clear" w:color="auto" w:fill="CCEDFF"/>
          </w:tcPr>
          <w:p>
            <w:pPr>
              <w:pStyle w:val="TableParagraph"/>
              <w:spacing w:before="3"/>
              <w:ind w:left="255"/>
              <w:rPr>
                <w:sz w:val="20"/>
              </w:rPr>
            </w:pPr>
            <w:r>
              <w:rPr>
                <w:sz w:val="20"/>
              </w:rPr>
              <w:t>Net gain (loss) recognized in </w:t>
            </w:r>
            <w:r>
              <w:rPr>
                <w:spacing w:val="-2"/>
                <w:sz w:val="20"/>
              </w:rPr>
              <w:t>income</w:t>
            </w:r>
            <w:r>
              <w:rPr>
                <w:spacing w:val="-2"/>
                <w:sz w:val="20"/>
                <w:vertAlign w:val="superscript"/>
              </w:rPr>
              <w:t>(3)</w:t>
            </w:r>
          </w:p>
        </w:tc>
        <w:tc>
          <w:tcPr>
            <w:tcW w:w="960" w:type="dxa"/>
            <w:shd w:val="clear" w:color="auto" w:fill="CCEDFF"/>
          </w:tcPr>
          <w:p>
            <w:pPr>
              <w:pStyle w:val="TableParagraph"/>
              <w:spacing w:before="3"/>
              <w:ind w:right="18"/>
              <w:jc w:val="center"/>
              <w:rPr>
                <w:sz w:val="20"/>
              </w:rPr>
            </w:pPr>
            <w:r>
              <w:rPr>
                <w:sz w:val="20"/>
              </w:rPr>
              <w:t>$</w:t>
            </w:r>
            <w:r>
              <w:rPr>
                <w:spacing w:val="6"/>
                <w:sz w:val="20"/>
              </w:rPr>
              <w:t> </w:t>
            </w:r>
            <w:r>
              <w:rPr>
                <w:spacing w:val="-2"/>
                <w:sz w:val="20"/>
              </w:rPr>
              <w:t>(30,243)</w:t>
            </w:r>
          </w:p>
        </w:tc>
        <w:tc>
          <w:tcPr>
            <w:tcW w:w="947" w:type="dxa"/>
            <w:gridSpan w:val="2"/>
            <w:shd w:val="clear" w:color="auto" w:fill="CCEDFF"/>
          </w:tcPr>
          <w:p>
            <w:pPr>
              <w:pStyle w:val="TableParagraph"/>
              <w:tabs>
                <w:tab w:pos="642" w:val="left" w:leader="none"/>
              </w:tabs>
              <w:spacing w:before="3"/>
              <w:ind w:left="70"/>
              <w:rPr>
                <w:sz w:val="20"/>
              </w:rPr>
            </w:pPr>
            <w:r>
              <w:rPr>
                <w:spacing w:val="-10"/>
                <w:sz w:val="20"/>
              </w:rPr>
              <w:t>$</w:t>
            </w:r>
            <w:r>
              <w:rPr>
                <w:sz w:val="20"/>
              </w:rPr>
              <w:tab/>
            </w:r>
            <w:r>
              <w:rPr>
                <w:spacing w:val="-10"/>
                <w:sz w:val="20"/>
              </w:rPr>
              <w:t>—</w:t>
            </w:r>
          </w:p>
        </w:tc>
        <w:tc>
          <w:tcPr>
            <w:tcW w:w="1013" w:type="dxa"/>
            <w:shd w:val="clear" w:color="auto" w:fill="CCEDFF"/>
          </w:tcPr>
          <w:p>
            <w:pPr>
              <w:pStyle w:val="TableParagraph"/>
              <w:spacing w:before="3"/>
              <w:ind w:left="66" w:right="34"/>
              <w:jc w:val="center"/>
              <w:rPr>
                <w:sz w:val="20"/>
              </w:rPr>
            </w:pPr>
            <w:r>
              <w:rPr>
                <w:sz w:val="20"/>
              </w:rPr>
              <w:t>$</w:t>
            </w:r>
            <w:r>
              <w:rPr>
                <w:spacing w:val="6"/>
                <w:sz w:val="20"/>
              </w:rPr>
              <w:t> </w:t>
            </w:r>
            <w:r>
              <w:rPr>
                <w:spacing w:val="-2"/>
                <w:sz w:val="20"/>
              </w:rPr>
              <w:t>(29,169)</w:t>
            </w:r>
          </w:p>
        </w:tc>
        <w:tc>
          <w:tcPr>
            <w:tcW w:w="979" w:type="dxa"/>
            <w:gridSpan w:val="2"/>
            <w:shd w:val="clear" w:color="auto" w:fill="CCEDFF"/>
          </w:tcPr>
          <w:p>
            <w:pPr>
              <w:pStyle w:val="TableParagraph"/>
              <w:tabs>
                <w:tab w:pos="642" w:val="left" w:leader="none"/>
              </w:tabs>
              <w:spacing w:before="3"/>
              <w:ind w:left="70"/>
              <w:rPr>
                <w:sz w:val="20"/>
              </w:rPr>
            </w:pPr>
            <w:r>
              <w:rPr>
                <w:spacing w:val="-10"/>
                <w:sz w:val="20"/>
              </w:rPr>
              <w:t>$</w:t>
            </w:r>
            <w:r>
              <w:rPr>
                <w:sz w:val="20"/>
              </w:rPr>
              <w:tab/>
            </w:r>
            <w:r>
              <w:rPr>
                <w:spacing w:val="-10"/>
                <w:sz w:val="20"/>
              </w:rPr>
              <w:t>—</w:t>
            </w:r>
          </w:p>
        </w:tc>
        <w:tc>
          <w:tcPr>
            <w:tcW w:w="980" w:type="dxa"/>
            <w:shd w:val="clear" w:color="auto" w:fill="CCEDFF"/>
          </w:tcPr>
          <w:p>
            <w:pPr>
              <w:pStyle w:val="TableParagraph"/>
              <w:spacing w:before="3"/>
              <w:ind w:left="1"/>
              <w:jc w:val="center"/>
              <w:rPr>
                <w:sz w:val="20"/>
              </w:rPr>
            </w:pPr>
            <w:r>
              <w:rPr>
                <w:sz w:val="20"/>
              </w:rPr>
              <w:t>$</w:t>
            </w:r>
            <w:r>
              <w:rPr>
                <w:spacing w:val="6"/>
                <w:sz w:val="20"/>
              </w:rPr>
              <w:t> </w:t>
            </w:r>
            <w:r>
              <w:rPr>
                <w:spacing w:val="-2"/>
                <w:sz w:val="20"/>
              </w:rPr>
              <w:t>(17,423)</w:t>
            </w:r>
          </w:p>
        </w:tc>
        <w:tc>
          <w:tcPr>
            <w:tcW w:w="921" w:type="dxa"/>
            <w:gridSpan w:val="2"/>
            <w:shd w:val="clear" w:color="auto" w:fill="CCEDFF"/>
          </w:tcPr>
          <w:p>
            <w:pPr>
              <w:pStyle w:val="TableParagraph"/>
              <w:tabs>
                <w:tab w:pos="643" w:val="left" w:leader="none"/>
              </w:tabs>
              <w:spacing w:before="3"/>
              <w:ind w:left="70"/>
              <w:rPr>
                <w:sz w:val="20"/>
              </w:rPr>
            </w:pPr>
            <w:r>
              <w:rPr>
                <w:spacing w:val="-10"/>
                <w:sz w:val="20"/>
              </w:rPr>
              <w:t>$</w:t>
            </w:r>
            <w:r>
              <w:rPr>
                <w:sz w:val="20"/>
              </w:rPr>
              <w:tab/>
            </w:r>
            <w:r>
              <w:rPr>
                <w:spacing w:val="-10"/>
                <w:sz w:val="20"/>
              </w:rPr>
              <w:t>—</w:t>
            </w:r>
          </w:p>
        </w:tc>
      </w:tr>
      <w:tr>
        <w:trPr>
          <w:trHeight w:val="300" w:hRule="atLeast"/>
        </w:trPr>
        <w:tc>
          <w:tcPr>
            <w:tcW w:w="4465" w:type="dxa"/>
          </w:tcPr>
          <w:p>
            <w:pPr>
              <w:pStyle w:val="TableParagraph"/>
              <w:spacing w:before="3"/>
              <w:ind w:left="75"/>
              <w:rPr>
                <w:sz w:val="20"/>
              </w:rPr>
            </w:pPr>
            <w:r>
              <w:rPr>
                <w:sz w:val="20"/>
              </w:rPr>
              <w:t>Derivatives</w:t>
            </w:r>
            <w:r>
              <w:rPr>
                <w:spacing w:val="-4"/>
                <w:sz w:val="20"/>
              </w:rPr>
              <w:t> </w:t>
            </w:r>
            <w:r>
              <w:rPr>
                <w:sz w:val="20"/>
              </w:rPr>
              <w:t>not</w:t>
            </w:r>
            <w:r>
              <w:rPr>
                <w:spacing w:val="-2"/>
                <w:sz w:val="20"/>
              </w:rPr>
              <w:t> </w:t>
            </w:r>
            <w:r>
              <w:rPr>
                <w:sz w:val="20"/>
              </w:rPr>
              <w:t>designated</w:t>
            </w:r>
            <w:r>
              <w:rPr>
                <w:spacing w:val="-2"/>
                <w:sz w:val="20"/>
              </w:rPr>
              <w:t> </w:t>
            </w:r>
            <w:r>
              <w:rPr>
                <w:sz w:val="20"/>
              </w:rPr>
              <w:t>as</w:t>
            </w:r>
            <w:r>
              <w:rPr>
                <w:spacing w:val="-3"/>
                <w:sz w:val="20"/>
              </w:rPr>
              <w:t> </w:t>
            </w:r>
            <w:r>
              <w:rPr>
                <w:sz w:val="20"/>
              </w:rPr>
              <w:t>hedging</w:t>
            </w:r>
            <w:r>
              <w:rPr>
                <w:spacing w:val="-2"/>
                <w:sz w:val="20"/>
              </w:rPr>
              <w:t> relationships:</w:t>
            </w:r>
          </w:p>
        </w:tc>
        <w:tc>
          <w:tcPr>
            <w:tcW w:w="960" w:type="dxa"/>
          </w:tcPr>
          <w:p>
            <w:pPr>
              <w:pStyle w:val="TableParagraph"/>
              <w:rPr>
                <w:sz w:val="18"/>
              </w:rPr>
            </w:pPr>
          </w:p>
        </w:tc>
        <w:tc>
          <w:tcPr>
            <w:tcW w:w="947" w:type="dxa"/>
            <w:gridSpan w:val="2"/>
          </w:tcPr>
          <w:p>
            <w:pPr>
              <w:pStyle w:val="TableParagraph"/>
              <w:rPr>
                <w:sz w:val="18"/>
              </w:rPr>
            </w:pPr>
          </w:p>
        </w:tc>
        <w:tc>
          <w:tcPr>
            <w:tcW w:w="1013" w:type="dxa"/>
          </w:tcPr>
          <w:p>
            <w:pPr>
              <w:pStyle w:val="TableParagraph"/>
              <w:rPr>
                <w:sz w:val="18"/>
              </w:rPr>
            </w:pPr>
          </w:p>
        </w:tc>
        <w:tc>
          <w:tcPr>
            <w:tcW w:w="979" w:type="dxa"/>
            <w:gridSpan w:val="2"/>
          </w:tcPr>
          <w:p>
            <w:pPr>
              <w:pStyle w:val="TableParagraph"/>
              <w:rPr>
                <w:sz w:val="18"/>
              </w:rPr>
            </w:pPr>
          </w:p>
        </w:tc>
        <w:tc>
          <w:tcPr>
            <w:tcW w:w="980" w:type="dxa"/>
          </w:tcPr>
          <w:p>
            <w:pPr>
              <w:pStyle w:val="TableParagraph"/>
              <w:rPr>
                <w:sz w:val="18"/>
              </w:rPr>
            </w:pPr>
          </w:p>
        </w:tc>
        <w:tc>
          <w:tcPr>
            <w:tcW w:w="921" w:type="dxa"/>
            <w:gridSpan w:val="2"/>
          </w:tcPr>
          <w:p>
            <w:pPr>
              <w:pStyle w:val="TableParagraph"/>
              <w:rPr>
                <w:sz w:val="18"/>
              </w:rPr>
            </w:pPr>
          </w:p>
        </w:tc>
      </w:tr>
      <w:tr>
        <w:trPr>
          <w:trHeight w:val="300" w:hRule="atLeast"/>
        </w:trPr>
        <w:tc>
          <w:tcPr>
            <w:tcW w:w="4465" w:type="dxa"/>
            <w:shd w:val="clear" w:color="auto" w:fill="CCEDFF"/>
          </w:tcPr>
          <w:p>
            <w:pPr>
              <w:pStyle w:val="TableParagraph"/>
              <w:spacing w:before="3"/>
              <w:ind w:left="255"/>
              <w:rPr>
                <w:sz w:val="20"/>
              </w:rPr>
            </w:pPr>
            <w:r>
              <w:rPr>
                <w:sz w:val="20"/>
              </w:rPr>
              <w:t>Net gain (loss) recognized in </w:t>
            </w:r>
            <w:r>
              <w:rPr>
                <w:spacing w:val="-2"/>
                <w:sz w:val="20"/>
              </w:rPr>
              <w:t>income</w:t>
            </w:r>
            <w:r>
              <w:rPr>
                <w:spacing w:val="-2"/>
                <w:sz w:val="20"/>
                <w:vertAlign w:val="superscript"/>
              </w:rPr>
              <w:t>(4)</w:t>
            </w:r>
          </w:p>
        </w:tc>
        <w:tc>
          <w:tcPr>
            <w:tcW w:w="960" w:type="dxa"/>
            <w:shd w:val="clear" w:color="auto" w:fill="CCEDFF"/>
          </w:tcPr>
          <w:p>
            <w:pPr>
              <w:pStyle w:val="TableParagraph"/>
              <w:tabs>
                <w:tab w:pos="572" w:val="left" w:leader="none"/>
              </w:tabs>
              <w:spacing w:before="3"/>
              <w:ind w:right="86"/>
              <w:jc w:val="center"/>
              <w:rPr>
                <w:sz w:val="20"/>
              </w:rPr>
            </w:pPr>
            <w:r>
              <w:rPr>
                <w:spacing w:val="-10"/>
                <w:sz w:val="20"/>
              </w:rPr>
              <w:t>$</w:t>
            </w:r>
            <w:r>
              <w:rPr>
                <w:sz w:val="20"/>
              </w:rPr>
              <w:tab/>
            </w:r>
            <w:r>
              <w:rPr>
                <w:spacing w:val="-10"/>
                <w:sz w:val="20"/>
              </w:rPr>
              <w:t>—</w:t>
            </w:r>
          </w:p>
        </w:tc>
        <w:tc>
          <w:tcPr>
            <w:tcW w:w="947" w:type="dxa"/>
            <w:gridSpan w:val="2"/>
            <w:shd w:val="clear" w:color="auto" w:fill="CCEDFF"/>
          </w:tcPr>
          <w:p>
            <w:pPr>
              <w:pStyle w:val="TableParagraph"/>
              <w:tabs>
                <w:tab w:pos="392" w:val="left" w:leader="none"/>
              </w:tabs>
              <w:spacing w:before="3"/>
              <w:ind w:left="70"/>
              <w:rPr>
                <w:sz w:val="20"/>
              </w:rPr>
            </w:pPr>
            <w:r>
              <w:rPr>
                <w:spacing w:val="-10"/>
                <w:sz w:val="20"/>
              </w:rPr>
              <w:t>$</w:t>
            </w:r>
            <w:r>
              <w:rPr>
                <w:sz w:val="20"/>
              </w:rPr>
              <w:tab/>
            </w:r>
            <w:r>
              <w:rPr>
                <w:spacing w:val="-2"/>
                <w:sz w:val="20"/>
              </w:rPr>
              <w:t>6,586</w:t>
            </w:r>
          </w:p>
        </w:tc>
        <w:tc>
          <w:tcPr>
            <w:tcW w:w="1013" w:type="dxa"/>
            <w:shd w:val="clear" w:color="auto" w:fill="CCEDFF"/>
          </w:tcPr>
          <w:p>
            <w:pPr>
              <w:pStyle w:val="TableParagraph"/>
              <w:tabs>
                <w:tab w:pos="572" w:val="left" w:leader="none"/>
              </w:tabs>
              <w:spacing w:before="3"/>
              <w:ind w:right="33"/>
              <w:jc w:val="center"/>
              <w:rPr>
                <w:sz w:val="20"/>
              </w:rPr>
            </w:pPr>
            <w:r>
              <w:rPr>
                <w:spacing w:val="-10"/>
                <w:sz w:val="20"/>
              </w:rPr>
              <w:t>$</w:t>
            </w:r>
            <w:r>
              <w:rPr>
                <w:sz w:val="20"/>
              </w:rPr>
              <w:tab/>
            </w:r>
            <w:r>
              <w:rPr>
                <w:spacing w:val="-10"/>
                <w:sz w:val="20"/>
              </w:rPr>
              <w:t>—</w:t>
            </w:r>
          </w:p>
        </w:tc>
        <w:tc>
          <w:tcPr>
            <w:tcW w:w="979" w:type="dxa"/>
            <w:gridSpan w:val="2"/>
            <w:shd w:val="clear" w:color="auto" w:fill="CCEDFF"/>
          </w:tcPr>
          <w:p>
            <w:pPr>
              <w:pStyle w:val="TableParagraph"/>
              <w:spacing w:before="3"/>
              <w:ind w:left="70"/>
              <w:rPr>
                <w:sz w:val="20"/>
              </w:rPr>
            </w:pPr>
            <w:r>
              <w:rPr>
                <w:sz w:val="20"/>
              </w:rPr>
              <w:t>$</w:t>
            </w:r>
            <w:r>
              <w:rPr>
                <w:spacing w:val="28"/>
                <w:sz w:val="20"/>
              </w:rPr>
              <w:t>  </w:t>
            </w:r>
            <w:r>
              <w:rPr>
                <w:spacing w:val="-2"/>
                <w:sz w:val="20"/>
              </w:rPr>
              <w:t>(1,308)</w:t>
            </w:r>
          </w:p>
        </w:tc>
        <w:tc>
          <w:tcPr>
            <w:tcW w:w="980" w:type="dxa"/>
            <w:shd w:val="clear" w:color="auto" w:fill="CCEDFF"/>
          </w:tcPr>
          <w:p>
            <w:pPr>
              <w:pStyle w:val="TableParagraph"/>
              <w:tabs>
                <w:tab w:pos="572" w:val="left" w:leader="none"/>
              </w:tabs>
              <w:spacing w:before="3"/>
              <w:ind w:right="64"/>
              <w:jc w:val="center"/>
              <w:rPr>
                <w:sz w:val="20"/>
              </w:rPr>
            </w:pPr>
            <w:r>
              <w:rPr>
                <w:spacing w:val="-10"/>
                <w:sz w:val="20"/>
              </w:rPr>
              <w:t>$</w:t>
            </w:r>
            <w:r>
              <w:rPr>
                <w:sz w:val="20"/>
              </w:rPr>
              <w:tab/>
            </w:r>
            <w:r>
              <w:rPr>
                <w:spacing w:val="-10"/>
                <w:sz w:val="20"/>
              </w:rPr>
              <w:t>—</w:t>
            </w:r>
          </w:p>
        </w:tc>
        <w:tc>
          <w:tcPr>
            <w:tcW w:w="921" w:type="dxa"/>
            <w:gridSpan w:val="2"/>
            <w:shd w:val="clear" w:color="auto" w:fill="CCEDFF"/>
          </w:tcPr>
          <w:p>
            <w:pPr>
              <w:pStyle w:val="TableParagraph"/>
              <w:tabs>
                <w:tab w:pos="393" w:val="left" w:leader="none"/>
              </w:tabs>
              <w:spacing w:before="3"/>
              <w:ind w:left="70"/>
              <w:rPr>
                <w:sz w:val="20"/>
              </w:rPr>
            </w:pPr>
            <w:r>
              <w:rPr>
                <w:spacing w:val="-10"/>
                <w:sz w:val="20"/>
              </w:rPr>
              <w:t>$</w:t>
            </w:r>
            <w:r>
              <w:rPr>
                <w:sz w:val="20"/>
              </w:rPr>
              <w:tab/>
            </w:r>
            <w:r>
              <w:rPr>
                <w:spacing w:val="-2"/>
                <w:sz w:val="20"/>
              </w:rPr>
              <w:t>4,430</w:t>
            </w:r>
          </w:p>
        </w:tc>
      </w:tr>
    </w:tbl>
    <w:p>
      <w:pPr>
        <w:pStyle w:val="BodyText"/>
        <w:spacing w:before="11"/>
        <w:rPr>
          <w:b/>
          <w:sz w:val="10"/>
        </w:rPr>
      </w:pPr>
      <w:r>
        <w:rPr/>
        <mc:AlternateContent>
          <mc:Choice Requires="wps">
            <w:drawing>
              <wp:anchor distT="0" distB="0" distL="0" distR="0" allowOverlap="1" layoutInCell="1" locked="0" behindDoc="1" simplePos="0" relativeHeight="487672320">
                <wp:simplePos x="0" y="0"/>
                <wp:positionH relativeFrom="page">
                  <wp:posOffset>635000</wp:posOffset>
                </wp:positionH>
                <wp:positionV relativeFrom="paragraph">
                  <wp:posOffset>95378</wp:posOffset>
                </wp:positionV>
                <wp:extent cx="1692275" cy="1270"/>
                <wp:effectExtent l="0" t="0" r="0" b="0"/>
                <wp:wrapTopAndBottom/>
                <wp:docPr id="477" name="Graphic 477"/>
                <wp:cNvGraphicFramePr>
                  <a:graphicFrameLocks/>
                </wp:cNvGraphicFramePr>
                <a:graphic>
                  <a:graphicData uri="http://schemas.microsoft.com/office/word/2010/wordprocessingShape">
                    <wps:wsp>
                      <wps:cNvPr id="477" name="Graphic 477"/>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7.510156pt;width:133.25pt;height:.1pt;mso-position-horizontal-relative:page;mso-position-vertical-relative:paragraph;z-index:-15644160;mso-wrap-distance-left:0;mso-wrap-distance-right:0" id="docshape375" coordorigin="1000,150" coordsize="2665,0" path="m1000,150l3665,150e" filled="false" stroked="true" strokeweight=".26pt" strokecolor="#000000">
                <v:path arrowok="t"/>
                <v:stroke dashstyle="solid"/>
                <w10:wrap type="topAndBottom"/>
              </v:shape>
            </w:pict>
          </mc:Fallback>
        </mc:AlternateContent>
      </w:r>
    </w:p>
    <w:p>
      <w:pPr>
        <w:pStyle w:val="BodyText"/>
        <w:tabs>
          <w:tab w:pos="579" w:val="left" w:leader="none"/>
        </w:tabs>
        <w:spacing w:before="116"/>
        <w:ind w:left="220"/>
      </w:pPr>
      <w:r>
        <w:rPr>
          <w:spacing w:val="-5"/>
          <w:vertAlign w:val="superscript"/>
        </w:rPr>
        <w:t>(1)</w:t>
      </w:r>
      <w:r>
        <w:rPr>
          <w:vertAlign w:val="baseline"/>
        </w:rPr>
        <w:tab/>
        <w:t>Net</w:t>
      </w:r>
      <w:r>
        <w:rPr>
          <w:spacing w:val="-1"/>
          <w:vertAlign w:val="baseline"/>
        </w:rPr>
        <w:t> </w:t>
      </w:r>
      <w:r>
        <w:rPr>
          <w:vertAlign w:val="baseline"/>
        </w:rPr>
        <w:t>change in the</w:t>
      </w:r>
      <w:r>
        <w:rPr>
          <w:spacing w:val="-1"/>
          <w:vertAlign w:val="baseline"/>
        </w:rPr>
        <w:t> </w:t>
      </w:r>
      <w:r>
        <w:rPr>
          <w:vertAlign w:val="baseline"/>
        </w:rPr>
        <w:t>fair value of</w:t>
      </w:r>
      <w:r>
        <w:rPr>
          <w:spacing w:val="-1"/>
          <w:vertAlign w:val="baseline"/>
        </w:rPr>
        <w:t> </w:t>
      </w:r>
      <w:r>
        <w:rPr>
          <w:vertAlign w:val="baseline"/>
        </w:rPr>
        <w:t>the effective portion</w:t>
      </w:r>
      <w:r>
        <w:rPr>
          <w:spacing w:val="-1"/>
          <w:vertAlign w:val="baseline"/>
        </w:rPr>
        <w:t> </w:t>
      </w:r>
      <w:r>
        <w:rPr>
          <w:vertAlign w:val="baseline"/>
        </w:rPr>
        <w:t>classified in other</w:t>
      </w:r>
      <w:r>
        <w:rPr>
          <w:spacing w:val="-1"/>
          <w:vertAlign w:val="baseline"/>
        </w:rPr>
        <w:t> </w:t>
      </w:r>
      <w:r>
        <w:rPr>
          <w:vertAlign w:val="baseline"/>
        </w:rPr>
        <w:t>comprehensive income </w:t>
      </w:r>
      <w:r>
        <w:rPr>
          <w:spacing w:val="-2"/>
          <w:vertAlign w:val="baseline"/>
        </w:rPr>
        <w:t>(“OCI”).</w:t>
      </w:r>
    </w:p>
    <w:p>
      <w:pPr>
        <w:pStyle w:val="BodyText"/>
        <w:tabs>
          <w:tab w:pos="579" w:val="left" w:leader="none"/>
        </w:tabs>
        <w:spacing w:before="10"/>
        <w:ind w:left="220"/>
      </w:pPr>
      <w:r>
        <w:rPr>
          <w:spacing w:val="-5"/>
          <w:vertAlign w:val="superscript"/>
        </w:rPr>
        <w:t>(2)</w:t>
      </w:r>
      <w:r>
        <w:rPr>
          <w:vertAlign w:val="baseline"/>
        </w:rPr>
        <w:tab/>
        <w:t>Effective</w:t>
      </w:r>
      <w:r>
        <w:rPr>
          <w:spacing w:val="-4"/>
          <w:vertAlign w:val="baseline"/>
        </w:rPr>
        <w:t> </w:t>
      </w:r>
      <w:r>
        <w:rPr>
          <w:vertAlign w:val="baseline"/>
        </w:rPr>
        <w:t>portion</w:t>
      </w:r>
      <w:r>
        <w:rPr>
          <w:spacing w:val="-1"/>
          <w:vertAlign w:val="baseline"/>
        </w:rPr>
        <w:t> </w:t>
      </w:r>
      <w:r>
        <w:rPr>
          <w:vertAlign w:val="baseline"/>
        </w:rPr>
        <w:t>classified</w:t>
      </w:r>
      <w:r>
        <w:rPr>
          <w:spacing w:val="-1"/>
          <w:vertAlign w:val="baseline"/>
        </w:rPr>
        <w:t> </w:t>
      </w:r>
      <w:r>
        <w:rPr>
          <w:vertAlign w:val="baseline"/>
        </w:rPr>
        <w:t>as</w:t>
      </w:r>
      <w:r>
        <w:rPr>
          <w:spacing w:val="-2"/>
          <w:vertAlign w:val="baseline"/>
        </w:rPr>
        <w:t> revenue.</w:t>
      </w:r>
    </w:p>
    <w:p>
      <w:pPr>
        <w:pStyle w:val="BodyText"/>
        <w:tabs>
          <w:tab w:pos="579" w:val="left" w:leader="none"/>
        </w:tabs>
        <w:spacing w:before="10"/>
        <w:ind w:left="220"/>
      </w:pPr>
      <w:r>
        <w:rPr>
          <w:spacing w:val="-5"/>
          <w:vertAlign w:val="superscript"/>
        </w:rPr>
        <w:t>(3)</w:t>
      </w:r>
      <w:r>
        <w:rPr>
          <w:vertAlign w:val="baseline"/>
        </w:rPr>
        <w:tab/>
        <w:t>Ineffective</w:t>
      </w:r>
      <w:r>
        <w:rPr>
          <w:spacing w:val="-2"/>
          <w:vertAlign w:val="baseline"/>
        </w:rPr>
        <w:t> </w:t>
      </w:r>
      <w:r>
        <w:rPr>
          <w:vertAlign w:val="baseline"/>
        </w:rPr>
        <w:t>portion</w:t>
      </w:r>
      <w:r>
        <w:rPr>
          <w:spacing w:val="-1"/>
          <w:vertAlign w:val="baseline"/>
        </w:rPr>
        <w:t> </w:t>
      </w:r>
      <w:r>
        <w:rPr>
          <w:vertAlign w:val="baseline"/>
        </w:rPr>
        <w:t>and</w:t>
      </w:r>
      <w:r>
        <w:rPr>
          <w:spacing w:val="-1"/>
          <w:vertAlign w:val="baseline"/>
        </w:rPr>
        <w:t> </w:t>
      </w:r>
      <w:r>
        <w:rPr>
          <w:vertAlign w:val="baseline"/>
        </w:rPr>
        <w:t>amount</w:t>
      </w:r>
      <w:r>
        <w:rPr>
          <w:spacing w:val="-2"/>
          <w:vertAlign w:val="baseline"/>
        </w:rPr>
        <w:t> </w:t>
      </w:r>
      <w:r>
        <w:rPr>
          <w:vertAlign w:val="baseline"/>
        </w:rPr>
        <w:t>excluded</w:t>
      </w:r>
      <w:r>
        <w:rPr>
          <w:spacing w:val="-1"/>
          <w:vertAlign w:val="baseline"/>
        </w:rPr>
        <w:t> </w:t>
      </w:r>
      <w:r>
        <w:rPr>
          <w:vertAlign w:val="baseline"/>
        </w:rPr>
        <w:t>from</w:t>
      </w:r>
      <w:r>
        <w:rPr>
          <w:spacing w:val="-1"/>
          <w:vertAlign w:val="baseline"/>
        </w:rPr>
        <w:t> </w:t>
      </w:r>
      <w:r>
        <w:rPr>
          <w:vertAlign w:val="baseline"/>
        </w:rPr>
        <w:t>effectiveness</w:t>
      </w:r>
      <w:r>
        <w:rPr>
          <w:spacing w:val="-2"/>
          <w:vertAlign w:val="baseline"/>
        </w:rPr>
        <w:t> </w:t>
      </w:r>
      <w:r>
        <w:rPr>
          <w:vertAlign w:val="baseline"/>
        </w:rPr>
        <w:t>testing</w:t>
      </w:r>
      <w:r>
        <w:rPr>
          <w:spacing w:val="-2"/>
          <w:vertAlign w:val="baseline"/>
        </w:rPr>
        <w:t> </w:t>
      </w:r>
      <w:r>
        <w:rPr>
          <w:vertAlign w:val="baseline"/>
        </w:rPr>
        <w:t>classified</w:t>
      </w:r>
      <w:r>
        <w:rPr>
          <w:spacing w:val="-1"/>
          <w:vertAlign w:val="baseline"/>
        </w:rPr>
        <w:t> </w:t>
      </w:r>
      <w:r>
        <w:rPr>
          <w:vertAlign w:val="baseline"/>
        </w:rPr>
        <w:t>in</w:t>
      </w:r>
      <w:r>
        <w:rPr>
          <w:spacing w:val="-1"/>
          <w:vertAlign w:val="baseline"/>
        </w:rPr>
        <w:t> </w:t>
      </w:r>
      <w:r>
        <w:rPr>
          <w:vertAlign w:val="baseline"/>
        </w:rPr>
        <w:t>interest</w:t>
      </w:r>
      <w:r>
        <w:rPr>
          <w:spacing w:val="-1"/>
          <w:vertAlign w:val="baseline"/>
        </w:rPr>
        <w:t> </w:t>
      </w:r>
      <w:r>
        <w:rPr>
          <w:vertAlign w:val="baseline"/>
        </w:rPr>
        <w:t>and</w:t>
      </w:r>
      <w:r>
        <w:rPr>
          <w:spacing w:val="-2"/>
          <w:vertAlign w:val="baseline"/>
        </w:rPr>
        <w:t> </w:t>
      </w:r>
      <w:r>
        <w:rPr>
          <w:vertAlign w:val="baseline"/>
        </w:rPr>
        <w:t>other</w:t>
      </w:r>
      <w:r>
        <w:rPr>
          <w:spacing w:val="-1"/>
          <w:vertAlign w:val="baseline"/>
        </w:rPr>
        <w:t> </w:t>
      </w:r>
      <w:r>
        <w:rPr>
          <w:vertAlign w:val="baseline"/>
        </w:rPr>
        <w:t>income</w:t>
      </w:r>
      <w:r>
        <w:rPr>
          <w:spacing w:val="-1"/>
          <w:vertAlign w:val="baseline"/>
        </w:rPr>
        <w:t> </w:t>
      </w:r>
      <w:r>
        <w:rPr>
          <w:vertAlign w:val="baseline"/>
        </w:rPr>
        <w:t>(expense),</w:t>
      </w:r>
      <w:r>
        <w:rPr>
          <w:spacing w:val="-1"/>
          <w:vertAlign w:val="baseline"/>
        </w:rPr>
        <w:t> </w:t>
      </w:r>
      <w:r>
        <w:rPr>
          <w:spacing w:val="-4"/>
          <w:vertAlign w:val="baseline"/>
        </w:rPr>
        <w:t>net.</w:t>
      </w:r>
    </w:p>
    <w:p>
      <w:pPr>
        <w:pStyle w:val="BodyText"/>
        <w:tabs>
          <w:tab w:pos="579" w:val="left" w:leader="none"/>
        </w:tabs>
        <w:spacing w:before="10"/>
        <w:ind w:left="220"/>
      </w:pPr>
      <w:r>
        <w:rPr>
          <w:spacing w:val="-5"/>
          <w:vertAlign w:val="superscript"/>
        </w:rPr>
        <w:t>(4)</w:t>
      </w:r>
      <w:r>
        <w:rPr>
          <w:vertAlign w:val="baseline"/>
        </w:rPr>
        <w:tab/>
        <w:t>Classified in interest and other income (expense), </w:t>
      </w:r>
      <w:r>
        <w:rPr>
          <w:spacing w:val="-4"/>
          <w:vertAlign w:val="baseline"/>
        </w:rPr>
        <w:t>net.</w:t>
      </w:r>
    </w:p>
    <w:p>
      <w:pPr>
        <w:pStyle w:val="BodyText"/>
        <w:spacing w:before="19"/>
      </w:pPr>
    </w:p>
    <w:p>
      <w:pPr>
        <w:pStyle w:val="BodyText"/>
        <w:spacing w:line="249" w:lineRule="auto" w:before="1"/>
        <w:ind w:left="220" w:firstLine="540"/>
      </w:pPr>
      <w:r>
        <w:rPr/>
        <w:t>Net</w:t>
      </w:r>
      <w:r>
        <w:rPr>
          <w:spacing w:val="-6"/>
        </w:rPr>
        <w:t> </w:t>
      </w:r>
      <w:r>
        <w:rPr/>
        <w:t>gains</w:t>
      </w:r>
      <w:r>
        <w:rPr>
          <w:spacing w:val="-5"/>
        </w:rPr>
        <w:t> </w:t>
      </w:r>
      <w:r>
        <w:rPr/>
        <w:t>(losses)</w:t>
      </w:r>
      <w:r>
        <w:rPr>
          <w:spacing w:val="-5"/>
        </w:rPr>
        <w:t> </w:t>
      </w:r>
      <w:r>
        <w:rPr/>
        <w:t>recognized</w:t>
      </w:r>
      <w:r>
        <w:rPr>
          <w:spacing w:val="-6"/>
        </w:rPr>
        <w:t> </w:t>
      </w:r>
      <w:r>
        <w:rPr/>
        <w:t>in</w:t>
      </w:r>
      <w:r>
        <w:rPr>
          <w:spacing w:val="-5"/>
        </w:rPr>
        <w:t> </w:t>
      </w:r>
      <w:r>
        <w:rPr/>
        <w:t>interest</w:t>
      </w:r>
      <w:r>
        <w:rPr>
          <w:spacing w:val="-6"/>
        </w:rPr>
        <w:t> </w:t>
      </w:r>
      <w:r>
        <w:rPr/>
        <w:t>and</w:t>
      </w:r>
      <w:r>
        <w:rPr>
          <w:spacing w:val="-5"/>
        </w:rPr>
        <w:t> </w:t>
      </w:r>
      <w:r>
        <w:rPr/>
        <w:t>other</w:t>
      </w:r>
      <w:r>
        <w:rPr>
          <w:spacing w:val="-5"/>
        </w:rPr>
        <w:t> </w:t>
      </w:r>
      <w:r>
        <w:rPr/>
        <w:t>income</w:t>
      </w:r>
      <w:r>
        <w:rPr>
          <w:spacing w:val="-6"/>
        </w:rPr>
        <w:t> </w:t>
      </w:r>
      <w:r>
        <w:rPr/>
        <w:t>(expense),</w:t>
      </w:r>
      <w:r>
        <w:rPr>
          <w:spacing w:val="-5"/>
        </w:rPr>
        <w:t> </w:t>
      </w:r>
      <w:r>
        <w:rPr/>
        <w:t>net</w:t>
      </w:r>
      <w:r>
        <w:rPr>
          <w:spacing w:val="-5"/>
        </w:rPr>
        <w:t> </w:t>
      </w:r>
      <w:r>
        <w:rPr/>
        <w:t>relating</w:t>
      </w:r>
      <w:r>
        <w:rPr>
          <w:spacing w:val="-5"/>
        </w:rPr>
        <w:t> </w:t>
      </w:r>
      <w:r>
        <w:rPr/>
        <w:t>to</w:t>
      </w:r>
      <w:r>
        <w:rPr>
          <w:spacing w:val="-5"/>
        </w:rPr>
        <w:t> </w:t>
      </w:r>
      <w:r>
        <w:rPr/>
        <w:t>balance</w:t>
      </w:r>
      <w:r>
        <w:rPr>
          <w:spacing w:val="-6"/>
        </w:rPr>
        <w:t> </w:t>
      </w:r>
      <w:r>
        <w:rPr/>
        <w:t>sheet</w:t>
      </w:r>
      <w:r>
        <w:rPr>
          <w:spacing w:val="-6"/>
        </w:rPr>
        <w:t> </w:t>
      </w:r>
      <w:r>
        <w:rPr/>
        <w:t>hedging</w:t>
      </w:r>
      <w:r>
        <w:rPr>
          <w:spacing w:val="-5"/>
        </w:rPr>
        <w:t> </w:t>
      </w:r>
      <w:r>
        <w:rPr/>
        <w:t>for</w:t>
      </w:r>
      <w:r>
        <w:rPr>
          <w:spacing w:val="-5"/>
        </w:rPr>
        <w:t> </w:t>
      </w:r>
      <w:r>
        <w:rPr/>
        <w:t>fiscal</w:t>
      </w:r>
      <w:r>
        <w:rPr>
          <w:spacing w:val="-6"/>
        </w:rPr>
        <w:t> </w:t>
      </w:r>
      <w:r>
        <w:rPr/>
        <w:t>2017, 2016 and 2015 were as follows (in thousands):</w:t>
      </w:r>
    </w:p>
    <w:p>
      <w:pPr>
        <w:pStyle w:val="BodyText"/>
        <w:spacing w:before="4"/>
        <w:rPr>
          <w:sz w:val="18"/>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0"/>
        <w:gridCol w:w="1180"/>
        <w:gridCol w:w="1180"/>
        <w:gridCol w:w="1140"/>
      </w:tblGrid>
      <w:tr>
        <w:trPr>
          <w:trHeight w:val="217" w:hRule="atLeast"/>
        </w:trPr>
        <w:tc>
          <w:tcPr>
            <w:tcW w:w="6740" w:type="dxa"/>
          </w:tcPr>
          <w:p>
            <w:pPr>
              <w:pStyle w:val="TableParagraph"/>
              <w:rPr>
                <w:sz w:val="14"/>
              </w:rPr>
            </w:pPr>
          </w:p>
        </w:tc>
        <w:tc>
          <w:tcPr>
            <w:tcW w:w="1180" w:type="dxa"/>
            <w:tcBorders>
              <w:bottom w:val="single" w:sz="8" w:space="0" w:color="000000"/>
            </w:tcBorders>
          </w:tcPr>
          <w:p>
            <w:pPr>
              <w:pStyle w:val="TableParagraph"/>
              <w:spacing w:line="177" w:lineRule="exact"/>
              <w:ind w:left="390"/>
              <w:rPr>
                <w:b/>
                <w:sz w:val="16"/>
              </w:rPr>
            </w:pPr>
            <w:r>
              <w:rPr>
                <w:b/>
                <w:spacing w:val="-4"/>
                <w:sz w:val="16"/>
              </w:rPr>
              <w:t>2017</w:t>
            </w:r>
          </w:p>
        </w:tc>
        <w:tc>
          <w:tcPr>
            <w:tcW w:w="1180" w:type="dxa"/>
            <w:tcBorders>
              <w:bottom w:val="single" w:sz="8" w:space="0" w:color="000000"/>
            </w:tcBorders>
          </w:tcPr>
          <w:p>
            <w:pPr>
              <w:pStyle w:val="TableParagraph"/>
              <w:spacing w:line="177" w:lineRule="exact"/>
              <w:ind w:left="8" w:right="67"/>
              <w:jc w:val="center"/>
              <w:rPr>
                <w:b/>
                <w:sz w:val="16"/>
              </w:rPr>
            </w:pPr>
            <w:r>
              <w:rPr>
                <w:b/>
                <w:spacing w:val="-4"/>
                <w:sz w:val="16"/>
              </w:rPr>
              <w:t>2016</w:t>
            </w:r>
          </w:p>
        </w:tc>
        <w:tc>
          <w:tcPr>
            <w:tcW w:w="1140" w:type="dxa"/>
            <w:tcBorders>
              <w:bottom w:val="single" w:sz="8" w:space="0" w:color="000000"/>
            </w:tcBorders>
          </w:tcPr>
          <w:p>
            <w:pPr>
              <w:pStyle w:val="TableParagraph"/>
              <w:spacing w:line="177" w:lineRule="exact"/>
              <w:ind w:left="2" w:right="2"/>
              <w:jc w:val="center"/>
              <w:rPr>
                <w:b/>
                <w:sz w:val="16"/>
              </w:rPr>
            </w:pPr>
            <w:r>
              <w:rPr>
                <w:b/>
                <w:spacing w:val="-4"/>
                <w:sz w:val="16"/>
              </w:rPr>
              <w:t>2015</w:t>
            </w:r>
          </w:p>
        </w:tc>
      </w:tr>
      <w:tr>
        <w:trPr>
          <w:trHeight w:val="270" w:hRule="atLeast"/>
        </w:trPr>
        <w:tc>
          <w:tcPr>
            <w:tcW w:w="6740" w:type="dxa"/>
          </w:tcPr>
          <w:p>
            <w:pPr>
              <w:pStyle w:val="TableParagraph"/>
              <w:spacing w:line="222" w:lineRule="exact"/>
              <w:ind w:left="50"/>
              <w:rPr>
                <w:sz w:val="20"/>
              </w:rPr>
            </w:pPr>
            <w:r>
              <w:rPr>
                <w:sz w:val="20"/>
              </w:rPr>
              <w:t>Gain</w:t>
            </w:r>
            <w:r>
              <w:rPr>
                <w:spacing w:val="-3"/>
                <w:sz w:val="20"/>
              </w:rPr>
              <w:t> </w:t>
            </w:r>
            <w:r>
              <w:rPr>
                <w:sz w:val="20"/>
              </w:rPr>
              <w:t>(loss)</w:t>
            </w:r>
            <w:r>
              <w:rPr>
                <w:spacing w:val="-1"/>
                <w:sz w:val="20"/>
              </w:rPr>
              <w:t> </w:t>
            </w:r>
            <w:r>
              <w:rPr>
                <w:sz w:val="20"/>
              </w:rPr>
              <w:t>on</w:t>
            </w:r>
            <w:r>
              <w:rPr>
                <w:spacing w:val="-1"/>
                <w:sz w:val="20"/>
              </w:rPr>
              <w:t> </w:t>
            </w:r>
            <w:r>
              <w:rPr>
                <w:sz w:val="20"/>
              </w:rPr>
              <w:t>foreign currency</w:t>
            </w:r>
            <w:r>
              <w:rPr>
                <w:spacing w:val="-1"/>
                <w:sz w:val="20"/>
              </w:rPr>
              <w:t> </w:t>
            </w:r>
            <w:r>
              <w:rPr>
                <w:sz w:val="20"/>
              </w:rPr>
              <w:t>assets</w:t>
            </w:r>
            <w:r>
              <w:rPr>
                <w:spacing w:val="-2"/>
                <w:sz w:val="20"/>
              </w:rPr>
              <w:t> </w:t>
            </w:r>
            <w:r>
              <w:rPr>
                <w:sz w:val="20"/>
              </w:rPr>
              <w:t>and </w:t>
            </w:r>
            <w:r>
              <w:rPr>
                <w:spacing w:val="-2"/>
                <w:sz w:val="20"/>
              </w:rPr>
              <w:t>liabilities:</w:t>
            </w:r>
          </w:p>
        </w:tc>
        <w:tc>
          <w:tcPr>
            <w:tcW w:w="1180" w:type="dxa"/>
            <w:tcBorders>
              <w:top w:val="single" w:sz="8" w:space="0" w:color="000000"/>
            </w:tcBorders>
          </w:tcPr>
          <w:p>
            <w:pPr>
              <w:pStyle w:val="TableParagraph"/>
              <w:rPr>
                <w:sz w:val="18"/>
              </w:rPr>
            </w:pPr>
          </w:p>
        </w:tc>
        <w:tc>
          <w:tcPr>
            <w:tcW w:w="1180" w:type="dxa"/>
            <w:tcBorders>
              <w:top w:val="single" w:sz="8" w:space="0" w:color="000000"/>
            </w:tcBorders>
          </w:tcPr>
          <w:p>
            <w:pPr>
              <w:pStyle w:val="TableParagraph"/>
              <w:rPr>
                <w:sz w:val="18"/>
              </w:rPr>
            </w:pPr>
          </w:p>
        </w:tc>
        <w:tc>
          <w:tcPr>
            <w:tcW w:w="1140" w:type="dxa"/>
            <w:tcBorders>
              <w:top w:val="single" w:sz="8" w:space="0" w:color="000000"/>
            </w:tcBorders>
          </w:tcPr>
          <w:p>
            <w:pPr>
              <w:pStyle w:val="TableParagraph"/>
              <w:rPr>
                <w:sz w:val="18"/>
              </w:rPr>
            </w:pPr>
          </w:p>
        </w:tc>
      </w:tr>
      <w:tr>
        <w:trPr>
          <w:trHeight w:val="280" w:hRule="atLeast"/>
        </w:trPr>
        <w:tc>
          <w:tcPr>
            <w:tcW w:w="6740" w:type="dxa"/>
            <w:shd w:val="clear" w:color="auto" w:fill="CCEDFF"/>
          </w:tcPr>
          <w:p>
            <w:pPr>
              <w:pStyle w:val="TableParagraph"/>
              <w:spacing w:before="2"/>
              <w:ind w:left="170"/>
              <w:rPr>
                <w:sz w:val="20"/>
              </w:rPr>
            </w:pPr>
            <w:r>
              <w:rPr>
                <w:sz w:val="20"/>
              </w:rPr>
              <w:t>Net realized gain (loss) recognized in other </w:t>
            </w:r>
            <w:r>
              <w:rPr>
                <w:spacing w:val="-2"/>
                <w:sz w:val="20"/>
              </w:rPr>
              <w:t>income</w:t>
            </w:r>
          </w:p>
        </w:tc>
        <w:tc>
          <w:tcPr>
            <w:tcW w:w="1180" w:type="dxa"/>
            <w:shd w:val="clear" w:color="auto" w:fill="CCEDFF"/>
          </w:tcPr>
          <w:p>
            <w:pPr>
              <w:pStyle w:val="TableParagraph"/>
              <w:tabs>
                <w:tab w:pos="475" w:val="left" w:leader="none"/>
              </w:tabs>
              <w:spacing w:before="2"/>
              <w:ind w:right="68"/>
              <w:jc w:val="right"/>
              <w:rPr>
                <w:sz w:val="20"/>
              </w:rPr>
            </w:pPr>
            <w:r>
              <w:rPr>
                <w:spacing w:val="-10"/>
                <w:sz w:val="20"/>
              </w:rPr>
              <w:t>$</w:t>
            </w:r>
            <w:r>
              <w:rPr>
                <w:sz w:val="20"/>
              </w:rPr>
              <w:tab/>
            </w:r>
            <w:r>
              <w:rPr>
                <w:spacing w:val="-2"/>
                <w:sz w:val="20"/>
              </w:rPr>
              <w:t>(6,142)</w:t>
            </w:r>
          </w:p>
        </w:tc>
        <w:tc>
          <w:tcPr>
            <w:tcW w:w="1180" w:type="dxa"/>
            <w:shd w:val="clear" w:color="auto" w:fill="CCEDFF"/>
          </w:tcPr>
          <w:p>
            <w:pPr>
              <w:pStyle w:val="TableParagraph"/>
              <w:tabs>
                <w:tab w:pos="672" w:val="left" w:leader="none"/>
              </w:tabs>
              <w:spacing w:before="2"/>
              <w:ind w:right="136"/>
              <w:jc w:val="right"/>
              <w:rPr>
                <w:sz w:val="20"/>
              </w:rPr>
            </w:pPr>
            <w:r>
              <w:rPr>
                <w:spacing w:val="-10"/>
                <w:sz w:val="20"/>
              </w:rPr>
              <w:t>$</w:t>
            </w:r>
            <w:r>
              <w:rPr>
                <w:sz w:val="20"/>
              </w:rPr>
              <w:tab/>
            </w:r>
            <w:r>
              <w:rPr>
                <w:spacing w:val="-5"/>
                <w:sz w:val="20"/>
              </w:rPr>
              <w:t>832</w:t>
            </w:r>
          </w:p>
        </w:tc>
        <w:tc>
          <w:tcPr>
            <w:tcW w:w="1140" w:type="dxa"/>
            <w:shd w:val="clear" w:color="auto" w:fill="CCEDFF"/>
          </w:tcPr>
          <w:p>
            <w:pPr>
              <w:pStyle w:val="TableParagraph"/>
              <w:tabs>
                <w:tab w:pos="375" w:val="left" w:leader="none"/>
              </w:tabs>
              <w:spacing w:before="2"/>
              <w:ind w:right="8"/>
              <w:jc w:val="right"/>
              <w:rPr>
                <w:sz w:val="20"/>
              </w:rPr>
            </w:pPr>
            <w:r>
              <w:rPr>
                <w:spacing w:val="-10"/>
                <w:sz w:val="20"/>
              </w:rPr>
              <w:t>$</w:t>
            </w:r>
            <w:r>
              <w:rPr>
                <w:sz w:val="20"/>
              </w:rPr>
              <w:tab/>
            </w:r>
            <w:r>
              <w:rPr>
                <w:spacing w:val="-2"/>
                <w:sz w:val="20"/>
              </w:rPr>
              <w:t>(10,952)</w:t>
            </w:r>
          </w:p>
        </w:tc>
      </w:tr>
      <w:tr>
        <w:trPr>
          <w:trHeight w:val="269" w:hRule="atLeast"/>
        </w:trPr>
        <w:tc>
          <w:tcPr>
            <w:tcW w:w="6740" w:type="dxa"/>
          </w:tcPr>
          <w:p>
            <w:pPr>
              <w:pStyle w:val="TableParagraph"/>
              <w:spacing w:before="2"/>
              <w:ind w:left="170"/>
              <w:rPr>
                <w:sz w:val="20"/>
              </w:rPr>
            </w:pPr>
            <w:r>
              <w:rPr>
                <w:sz w:val="20"/>
              </w:rPr>
              <w:t>Net unrealized gain (loss) recognized in other </w:t>
            </w:r>
            <w:r>
              <w:rPr>
                <w:spacing w:val="-2"/>
                <w:sz w:val="20"/>
              </w:rPr>
              <w:t>income</w:t>
            </w:r>
          </w:p>
        </w:tc>
        <w:tc>
          <w:tcPr>
            <w:tcW w:w="1180" w:type="dxa"/>
            <w:tcBorders>
              <w:bottom w:val="single" w:sz="8" w:space="0" w:color="000000"/>
            </w:tcBorders>
          </w:tcPr>
          <w:p>
            <w:pPr>
              <w:pStyle w:val="TableParagraph"/>
              <w:spacing w:before="2"/>
              <w:ind w:right="68"/>
              <w:jc w:val="right"/>
              <w:rPr>
                <w:sz w:val="20"/>
              </w:rPr>
            </w:pPr>
            <w:r>
              <w:rPr>
                <w:spacing w:val="-2"/>
                <w:sz w:val="20"/>
              </w:rPr>
              <w:t>(907)</w:t>
            </w:r>
          </w:p>
        </w:tc>
        <w:tc>
          <w:tcPr>
            <w:tcW w:w="1180" w:type="dxa"/>
            <w:tcBorders>
              <w:bottom w:val="single" w:sz="8" w:space="0" w:color="000000"/>
            </w:tcBorders>
          </w:tcPr>
          <w:p>
            <w:pPr>
              <w:pStyle w:val="TableParagraph"/>
              <w:spacing w:before="2"/>
              <w:ind w:right="68"/>
              <w:jc w:val="right"/>
              <w:rPr>
                <w:sz w:val="20"/>
              </w:rPr>
            </w:pPr>
            <w:r>
              <w:rPr>
                <w:spacing w:val="-2"/>
                <w:sz w:val="20"/>
              </w:rPr>
              <w:t>(6,070)</w:t>
            </w:r>
          </w:p>
        </w:tc>
        <w:tc>
          <w:tcPr>
            <w:tcW w:w="1140" w:type="dxa"/>
            <w:tcBorders>
              <w:bottom w:val="single" w:sz="8" w:space="0" w:color="000000"/>
            </w:tcBorders>
          </w:tcPr>
          <w:p>
            <w:pPr>
              <w:pStyle w:val="TableParagraph"/>
              <w:spacing w:before="2"/>
              <w:ind w:right="76"/>
              <w:jc w:val="right"/>
              <w:rPr>
                <w:sz w:val="20"/>
              </w:rPr>
            </w:pPr>
            <w:r>
              <w:rPr>
                <w:spacing w:val="-2"/>
                <w:sz w:val="20"/>
              </w:rPr>
              <w:t>3,815</w:t>
            </w:r>
          </w:p>
        </w:tc>
      </w:tr>
      <w:tr>
        <w:trPr>
          <w:trHeight w:val="260" w:hRule="atLeast"/>
        </w:trPr>
        <w:tc>
          <w:tcPr>
            <w:tcW w:w="6740" w:type="dxa"/>
            <w:shd w:val="clear" w:color="auto" w:fill="CCEDFF"/>
          </w:tcPr>
          <w:p>
            <w:pPr>
              <w:pStyle w:val="TableParagraph"/>
              <w:rPr>
                <w:sz w:val="18"/>
              </w:rPr>
            </w:pPr>
          </w:p>
        </w:tc>
        <w:tc>
          <w:tcPr>
            <w:tcW w:w="1180" w:type="dxa"/>
            <w:tcBorders>
              <w:top w:val="single" w:sz="8" w:space="0" w:color="000000"/>
              <w:bottom w:val="single" w:sz="8" w:space="0" w:color="000000"/>
            </w:tcBorders>
            <w:shd w:val="clear" w:color="auto" w:fill="CCEDFF"/>
          </w:tcPr>
          <w:p>
            <w:pPr>
              <w:pStyle w:val="TableParagraph"/>
              <w:spacing w:line="222" w:lineRule="exact"/>
              <w:ind w:right="68"/>
              <w:jc w:val="right"/>
              <w:rPr>
                <w:sz w:val="20"/>
              </w:rPr>
            </w:pPr>
            <w:r>
              <w:rPr>
                <w:spacing w:val="-2"/>
                <w:sz w:val="20"/>
              </w:rPr>
              <w:t>(7,049)</w:t>
            </w:r>
          </w:p>
        </w:tc>
        <w:tc>
          <w:tcPr>
            <w:tcW w:w="1180" w:type="dxa"/>
            <w:tcBorders>
              <w:top w:val="single" w:sz="8" w:space="0" w:color="000000"/>
              <w:bottom w:val="single" w:sz="8" w:space="0" w:color="000000"/>
            </w:tcBorders>
            <w:shd w:val="clear" w:color="auto" w:fill="CCEDFF"/>
          </w:tcPr>
          <w:p>
            <w:pPr>
              <w:pStyle w:val="TableParagraph"/>
              <w:spacing w:line="222" w:lineRule="exact"/>
              <w:ind w:right="68"/>
              <w:jc w:val="right"/>
              <w:rPr>
                <w:sz w:val="20"/>
              </w:rPr>
            </w:pPr>
            <w:r>
              <w:rPr>
                <w:spacing w:val="-2"/>
                <w:sz w:val="20"/>
              </w:rPr>
              <w:t>(5,238)</w:t>
            </w:r>
          </w:p>
        </w:tc>
        <w:tc>
          <w:tcPr>
            <w:tcW w:w="1140" w:type="dxa"/>
            <w:tcBorders>
              <w:top w:val="single" w:sz="8" w:space="0" w:color="000000"/>
              <w:bottom w:val="single" w:sz="8" w:space="0" w:color="000000"/>
            </w:tcBorders>
            <w:shd w:val="clear" w:color="auto" w:fill="CCEDFF"/>
          </w:tcPr>
          <w:p>
            <w:pPr>
              <w:pStyle w:val="TableParagraph"/>
              <w:spacing w:line="222" w:lineRule="exact"/>
              <w:ind w:right="8"/>
              <w:jc w:val="right"/>
              <w:rPr>
                <w:sz w:val="20"/>
              </w:rPr>
            </w:pPr>
            <w:r>
              <w:rPr>
                <w:spacing w:val="-2"/>
                <w:sz w:val="20"/>
              </w:rPr>
              <w:t>(7,137)</w:t>
            </w:r>
          </w:p>
        </w:tc>
      </w:tr>
      <w:tr>
        <w:trPr>
          <w:trHeight w:val="270" w:hRule="atLeast"/>
        </w:trPr>
        <w:tc>
          <w:tcPr>
            <w:tcW w:w="6740" w:type="dxa"/>
          </w:tcPr>
          <w:p>
            <w:pPr>
              <w:pStyle w:val="TableParagraph"/>
              <w:spacing w:line="222" w:lineRule="exact"/>
              <w:ind w:left="50"/>
              <w:rPr>
                <w:sz w:val="20"/>
              </w:rPr>
            </w:pPr>
            <w:r>
              <w:rPr>
                <w:sz w:val="20"/>
              </w:rPr>
              <w:t>Gain</w:t>
            </w:r>
            <w:r>
              <w:rPr>
                <w:spacing w:val="-4"/>
                <w:sz w:val="20"/>
              </w:rPr>
              <w:t> </w:t>
            </w:r>
            <w:r>
              <w:rPr>
                <w:sz w:val="20"/>
              </w:rPr>
              <w:t>(loss)</w:t>
            </w:r>
            <w:r>
              <w:rPr>
                <w:spacing w:val="-1"/>
                <w:sz w:val="20"/>
              </w:rPr>
              <w:t> </w:t>
            </w:r>
            <w:r>
              <w:rPr>
                <w:sz w:val="20"/>
              </w:rPr>
              <w:t>on</w:t>
            </w:r>
            <w:r>
              <w:rPr>
                <w:spacing w:val="-1"/>
                <w:sz w:val="20"/>
              </w:rPr>
              <w:t> </w:t>
            </w:r>
            <w:r>
              <w:rPr>
                <w:sz w:val="20"/>
              </w:rPr>
              <w:t>hedges</w:t>
            </w:r>
            <w:r>
              <w:rPr>
                <w:spacing w:val="-2"/>
                <w:sz w:val="20"/>
              </w:rPr>
              <w:t> </w:t>
            </w:r>
            <w:r>
              <w:rPr>
                <w:sz w:val="20"/>
              </w:rPr>
              <w:t>of</w:t>
            </w:r>
            <w:r>
              <w:rPr>
                <w:spacing w:val="-1"/>
                <w:sz w:val="20"/>
              </w:rPr>
              <w:t> </w:t>
            </w:r>
            <w:r>
              <w:rPr>
                <w:sz w:val="20"/>
              </w:rPr>
              <w:t>foreign</w:t>
            </w:r>
            <w:r>
              <w:rPr>
                <w:spacing w:val="-1"/>
                <w:sz w:val="20"/>
              </w:rPr>
              <w:t> </w:t>
            </w:r>
            <w:r>
              <w:rPr>
                <w:sz w:val="20"/>
              </w:rPr>
              <w:t>currency</w:t>
            </w:r>
            <w:r>
              <w:rPr>
                <w:spacing w:val="-1"/>
                <w:sz w:val="20"/>
              </w:rPr>
              <w:t> </w:t>
            </w:r>
            <w:r>
              <w:rPr>
                <w:sz w:val="20"/>
              </w:rPr>
              <w:t>assets</w:t>
            </w:r>
            <w:r>
              <w:rPr>
                <w:spacing w:val="-2"/>
                <w:sz w:val="20"/>
              </w:rPr>
              <w:t> </w:t>
            </w:r>
            <w:r>
              <w:rPr>
                <w:sz w:val="20"/>
              </w:rPr>
              <w:t>and</w:t>
            </w:r>
            <w:r>
              <w:rPr>
                <w:spacing w:val="-1"/>
                <w:sz w:val="20"/>
              </w:rPr>
              <w:t> </w:t>
            </w:r>
            <w:r>
              <w:rPr>
                <w:spacing w:val="-2"/>
                <w:sz w:val="20"/>
              </w:rPr>
              <w:t>liabilities:</w:t>
            </w:r>
          </w:p>
        </w:tc>
        <w:tc>
          <w:tcPr>
            <w:tcW w:w="1180" w:type="dxa"/>
            <w:tcBorders>
              <w:top w:val="single" w:sz="8" w:space="0" w:color="000000"/>
            </w:tcBorders>
          </w:tcPr>
          <w:p>
            <w:pPr>
              <w:pStyle w:val="TableParagraph"/>
              <w:rPr>
                <w:sz w:val="18"/>
              </w:rPr>
            </w:pPr>
          </w:p>
        </w:tc>
        <w:tc>
          <w:tcPr>
            <w:tcW w:w="1180" w:type="dxa"/>
            <w:tcBorders>
              <w:top w:val="single" w:sz="8" w:space="0" w:color="000000"/>
            </w:tcBorders>
          </w:tcPr>
          <w:p>
            <w:pPr>
              <w:pStyle w:val="TableParagraph"/>
              <w:rPr>
                <w:sz w:val="18"/>
              </w:rPr>
            </w:pPr>
          </w:p>
        </w:tc>
        <w:tc>
          <w:tcPr>
            <w:tcW w:w="1140" w:type="dxa"/>
            <w:tcBorders>
              <w:top w:val="single" w:sz="8" w:space="0" w:color="000000"/>
            </w:tcBorders>
          </w:tcPr>
          <w:p>
            <w:pPr>
              <w:pStyle w:val="TableParagraph"/>
              <w:rPr>
                <w:sz w:val="18"/>
              </w:rPr>
            </w:pPr>
          </w:p>
        </w:tc>
      </w:tr>
      <w:tr>
        <w:trPr>
          <w:trHeight w:val="280" w:hRule="atLeast"/>
        </w:trPr>
        <w:tc>
          <w:tcPr>
            <w:tcW w:w="6740" w:type="dxa"/>
            <w:shd w:val="clear" w:color="auto" w:fill="CCEDFF"/>
          </w:tcPr>
          <w:p>
            <w:pPr>
              <w:pStyle w:val="TableParagraph"/>
              <w:spacing w:before="2"/>
              <w:ind w:left="170"/>
              <w:rPr>
                <w:sz w:val="20"/>
              </w:rPr>
            </w:pPr>
            <w:r>
              <w:rPr>
                <w:sz w:val="20"/>
              </w:rPr>
              <w:t>Net realized gain recognized in other </w:t>
            </w:r>
            <w:r>
              <w:rPr>
                <w:spacing w:val="-2"/>
                <w:sz w:val="20"/>
              </w:rPr>
              <w:t>income</w:t>
            </w:r>
          </w:p>
        </w:tc>
        <w:tc>
          <w:tcPr>
            <w:tcW w:w="1180" w:type="dxa"/>
            <w:shd w:val="clear" w:color="auto" w:fill="CCEDFF"/>
          </w:tcPr>
          <w:p>
            <w:pPr>
              <w:pStyle w:val="TableParagraph"/>
              <w:spacing w:before="2"/>
              <w:ind w:right="136"/>
              <w:jc w:val="right"/>
              <w:rPr>
                <w:sz w:val="20"/>
              </w:rPr>
            </w:pPr>
            <w:r>
              <w:rPr>
                <w:spacing w:val="-2"/>
                <w:sz w:val="20"/>
              </w:rPr>
              <w:t>5,415</w:t>
            </w:r>
          </w:p>
        </w:tc>
        <w:tc>
          <w:tcPr>
            <w:tcW w:w="1180" w:type="dxa"/>
            <w:shd w:val="clear" w:color="auto" w:fill="CCEDFF"/>
          </w:tcPr>
          <w:p>
            <w:pPr>
              <w:pStyle w:val="TableParagraph"/>
              <w:spacing w:before="2"/>
              <w:ind w:right="136"/>
              <w:jc w:val="right"/>
              <w:rPr>
                <w:sz w:val="20"/>
              </w:rPr>
            </w:pPr>
            <w:r>
              <w:rPr>
                <w:spacing w:val="-5"/>
                <w:sz w:val="20"/>
              </w:rPr>
              <w:t>174</w:t>
            </w:r>
          </w:p>
        </w:tc>
        <w:tc>
          <w:tcPr>
            <w:tcW w:w="1140" w:type="dxa"/>
            <w:shd w:val="clear" w:color="auto" w:fill="CCEDFF"/>
          </w:tcPr>
          <w:p>
            <w:pPr>
              <w:pStyle w:val="TableParagraph"/>
              <w:spacing w:before="2"/>
              <w:ind w:right="76"/>
              <w:jc w:val="right"/>
              <w:rPr>
                <w:sz w:val="20"/>
              </w:rPr>
            </w:pPr>
            <w:r>
              <w:rPr>
                <w:spacing w:val="-2"/>
                <w:sz w:val="20"/>
              </w:rPr>
              <w:t>5,490</w:t>
            </w:r>
          </w:p>
        </w:tc>
      </w:tr>
      <w:tr>
        <w:trPr>
          <w:trHeight w:val="269" w:hRule="atLeast"/>
        </w:trPr>
        <w:tc>
          <w:tcPr>
            <w:tcW w:w="6740" w:type="dxa"/>
          </w:tcPr>
          <w:p>
            <w:pPr>
              <w:pStyle w:val="TableParagraph"/>
              <w:spacing w:before="2"/>
              <w:ind w:left="170"/>
              <w:rPr>
                <w:sz w:val="20"/>
              </w:rPr>
            </w:pPr>
            <w:r>
              <w:rPr>
                <w:sz w:val="20"/>
              </w:rPr>
              <w:t>Net unrealized gain (loss) recognized in other </w:t>
            </w:r>
            <w:r>
              <w:rPr>
                <w:spacing w:val="-2"/>
                <w:sz w:val="20"/>
              </w:rPr>
              <w:t>income</w:t>
            </w:r>
          </w:p>
        </w:tc>
        <w:tc>
          <w:tcPr>
            <w:tcW w:w="1180" w:type="dxa"/>
            <w:tcBorders>
              <w:bottom w:val="single" w:sz="8" w:space="0" w:color="000000"/>
            </w:tcBorders>
          </w:tcPr>
          <w:p>
            <w:pPr>
              <w:pStyle w:val="TableParagraph"/>
              <w:spacing w:before="2"/>
              <w:ind w:right="136"/>
              <w:jc w:val="right"/>
              <w:rPr>
                <w:sz w:val="20"/>
              </w:rPr>
            </w:pPr>
            <w:r>
              <w:rPr>
                <w:spacing w:val="-2"/>
                <w:sz w:val="20"/>
              </w:rPr>
              <w:t>1,171</w:t>
            </w:r>
          </w:p>
        </w:tc>
        <w:tc>
          <w:tcPr>
            <w:tcW w:w="1180" w:type="dxa"/>
            <w:tcBorders>
              <w:bottom w:val="single" w:sz="8" w:space="0" w:color="000000"/>
            </w:tcBorders>
          </w:tcPr>
          <w:p>
            <w:pPr>
              <w:pStyle w:val="TableParagraph"/>
              <w:spacing w:before="2"/>
              <w:ind w:right="68"/>
              <w:jc w:val="right"/>
              <w:rPr>
                <w:sz w:val="20"/>
              </w:rPr>
            </w:pPr>
            <w:r>
              <w:rPr>
                <w:spacing w:val="-2"/>
                <w:sz w:val="20"/>
              </w:rPr>
              <w:t>(1,482)</w:t>
            </w:r>
          </w:p>
        </w:tc>
        <w:tc>
          <w:tcPr>
            <w:tcW w:w="1140" w:type="dxa"/>
            <w:tcBorders>
              <w:bottom w:val="single" w:sz="8" w:space="0" w:color="000000"/>
            </w:tcBorders>
          </w:tcPr>
          <w:p>
            <w:pPr>
              <w:pStyle w:val="TableParagraph"/>
              <w:spacing w:before="2"/>
              <w:ind w:right="8"/>
              <w:jc w:val="right"/>
              <w:rPr>
                <w:sz w:val="20"/>
              </w:rPr>
            </w:pPr>
            <w:r>
              <w:rPr>
                <w:spacing w:val="-2"/>
                <w:sz w:val="20"/>
              </w:rPr>
              <w:t>(1,060)</w:t>
            </w:r>
          </w:p>
        </w:tc>
      </w:tr>
      <w:tr>
        <w:trPr>
          <w:trHeight w:val="260" w:hRule="atLeast"/>
        </w:trPr>
        <w:tc>
          <w:tcPr>
            <w:tcW w:w="6740" w:type="dxa"/>
            <w:shd w:val="clear" w:color="auto" w:fill="CCEDFF"/>
          </w:tcPr>
          <w:p>
            <w:pPr>
              <w:pStyle w:val="TableParagraph"/>
              <w:rPr>
                <w:sz w:val="18"/>
              </w:rPr>
            </w:pPr>
          </w:p>
        </w:tc>
        <w:tc>
          <w:tcPr>
            <w:tcW w:w="1180" w:type="dxa"/>
            <w:tcBorders>
              <w:top w:val="single" w:sz="8" w:space="0" w:color="000000"/>
              <w:bottom w:val="single" w:sz="8" w:space="0" w:color="000000"/>
            </w:tcBorders>
            <w:shd w:val="clear" w:color="auto" w:fill="CCEDFF"/>
          </w:tcPr>
          <w:p>
            <w:pPr>
              <w:pStyle w:val="TableParagraph"/>
              <w:spacing w:line="222" w:lineRule="exact"/>
              <w:ind w:right="136"/>
              <w:jc w:val="right"/>
              <w:rPr>
                <w:sz w:val="20"/>
              </w:rPr>
            </w:pPr>
            <w:r>
              <w:rPr>
                <w:spacing w:val="-2"/>
                <w:sz w:val="20"/>
              </w:rPr>
              <w:t>6,586</w:t>
            </w:r>
          </w:p>
        </w:tc>
        <w:tc>
          <w:tcPr>
            <w:tcW w:w="1180" w:type="dxa"/>
            <w:tcBorders>
              <w:top w:val="single" w:sz="8" w:space="0" w:color="000000"/>
              <w:bottom w:val="single" w:sz="8" w:space="0" w:color="000000"/>
            </w:tcBorders>
            <w:shd w:val="clear" w:color="auto" w:fill="CCEDFF"/>
          </w:tcPr>
          <w:p>
            <w:pPr>
              <w:pStyle w:val="TableParagraph"/>
              <w:spacing w:line="222" w:lineRule="exact"/>
              <w:ind w:right="68"/>
              <w:jc w:val="right"/>
              <w:rPr>
                <w:sz w:val="20"/>
              </w:rPr>
            </w:pPr>
            <w:r>
              <w:rPr>
                <w:spacing w:val="-2"/>
                <w:sz w:val="20"/>
              </w:rPr>
              <w:t>(1,308)</w:t>
            </w:r>
          </w:p>
        </w:tc>
        <w:tc>
          <w:tcPr>
            <w:tcW w:w="1140" w:type="dxa"/>
            <w:tcBorders>
              <w:top w:val="single" w:sz="8" w:space="0" w:color="000000"/>
              <w:bottom w:val="single" w:sz="8" w:space="0" w:color="000000"/>
            </w:tcBorders>
            <w:shd w:val="clear" w:color="auto" w:fill="CCEDFF"/>
          </w:tcPr>
          <w:p>
            <w:pPr>
              <w:pStyle w:val="TableParagraph"/>
              <w:spacing w:line="222" w:lineRule="exact"/>
              <w:ind w:right="76"/>
              <w:jc w:val="right"/>
              <w:rPr>
                <w:sz w:val="20"/>
              </w:rPr>
            </w:pPr>
            <w:r>
              <w:rPr>
                <w:spacing w:val="-2"/>
                <w:sz w:val="20"/>
              </w:rPr>
              <w:t>4,430</w:t>
            </w:r>
          </w:p>
        </w:tc>
      </w:tr>
      <w:tr>
        <w:trPr>
          <w:trHeight w:val="240" w:hRule="atLeast"/>
        </w:trPr>
        <w:tc>
          <w:tcPr>
            <w:tcW w:w="6740" w:type="dxa"/>
          </w:tcPr>
          <w:p>
            <w:pPr>
              <w:pStyle w:val="TableParagraph"/>
              <w:spacing w:line="220" w:lineRule="exact"/>
              <w:ind w:left="50"/>
              <w:rPr>
                <w:sz w:val="20"/>
              </w:rPr>
            </w:pPr>
            <w:r>
              <w:rPr>
                <w:sz w:val="20"/>
              </w:rPr>
              <w:t>Net gain (loss) recognized in interest and other income (expense), </w:t>
            </w:r>
            <w:r>
              <w:rPr>
                <w:spacing w:val="-5"/>
                <w:sz w:val="20"/>
              </w:rPr>
              <w:t>net</w:t>
            </w:r>
          </w:p>
        </w:tc>
        <w:tc>
          <w:tcPr>
            <w:tcW w:w="1180" w:type="dxa"/>
            <w:tcBorders>
              <w:top w:val="single" w:sz="8" w:space="0" w:color="000000"/>
              <w:bottom w:val="double" w:sz="8" w:space="0" w:color="000000"/>
            </w:tcBorders>
          </w:tcPr>
          <w:p>
            <w:pPr>
              <w:pStyle w:val="TableParagraph"/>
              <w:tabs>
                <w:tab w:pos="625" w:val="left" w:leader="none"/>
              </w:tabs>
              <w:spacing w:line="220" w:lineRule="exact"/>
              <w:ind w:right="68"/>
              <w:jc w:val="right"/>
              <w:rPr>
                <w:sz w:val="20"/>
              </w:rPr>
            </w:pPr>
            <w:r>
              <w:rPr>
                <w:spacing w:val="-10"/>
                <w:sz w:val="20"/>
              </w:rPr>
              <w:t>$</w:t>
            </w:r>
            <w:r>
              <w:rPr>
                <w:sz w:val="20"/>
              </w:rPr>
              <w:tab/>
            </w:r>
            <w:r>
              <w:rPr>
                <w:spacing w:val="-2"/>
                <w:sz w:val="20"/>
              </w:rPr>
              <w:t>(463)</w:t>
            </w:r>
          </w:p>
        </w:tc>
        <w:tc>
          <w:tcPr>
            <w:tcW w:w="1180" w:type="dxa"/>
            <w:tcBorders>
              <w:top w:val="single" w:sz="8" w:space="0" w:color="000000"/>
              <w:bottom w:val="double" w:sz="8" w:space="0" w:color="000000"/>
            </w:tcBorders>
          </w:tcPr>
          <w:p>
            <w:pPr>
              <w:pStyle w:val="TableParagraph"/>
              <w:tabs>
                <w:tab w:pos="455" w:val="left" w:leader="none"/>
              </w:tabs>
              <w:spacing w:line="220" w:lineRule="exact"/>
              <w:ind w:right="68"/>
              <w:jc w:val="right"/>
              <w:rPr>
                <w:sz w:val="20"/>
              </w:rPr>
            </w:pPr>
            <w:r>
              <w:rPr>
                <w:spacing w:val="-10"/>
                <w:sz w:val="20"/>
              </w:rPr>
              <w:t>$</w:t>
            </w:r>
            <w:r>
              <w:rPr>
                <w:sz w:val="20"/>
              </w:rPr>
              <w:tab/>
            </w:r>
            <w:r>
              <w:rPr>
                <w:spacing w:val="-2"/>
                <w:sz w:val="20"/>
              </w:rPr>
              <w:t>(6,546)</w:t>
            </w:r>
          </w:p>
        </w:tc>
        <w:tc>
          <w:tcPr>
            <w:tcW w:w="1140" w:type="dxa"/>
            <w:tcBorders>
              <w:top w:val="single" w:sz="8" w:space="0" w:color="000000"/>
              <w:bottom w:val="double" w:sz="8" w:space="0" w:color="000000"/>
            </w:tcBorders>
          </w:tcPr>
          <w:p>
            <w:pPr>
              <w:pStyle w:val="TableParagraph"/>
              <w:tabs>
                <w:tab w:pos="475" w:val="left" w:leader="none"/>
              </w:tabs>
              <w:spacing w:line="220" w:lineRule="exact"/>
              <w:ind w:right="8"/>
              <w:jc w:val="right"/>
              <w:rPr>
                <w:sz w:val="20"/>
              </w:rPr>
            </w:pPr>
            <w:r>
              <w:rPr>
                <w:spacing w:val="-10"/>
                <w:sz w:val="20"/>
              </w:rPr>
              <w:t>$</w:t>
            </w:r>
            <w:r>
              <w:rPr>
                <w:sz w:val="20"/>
              </w:rPr>
              <w:tab/>
            </w:r>
            <w:r>
              <w:rPr>
                <w:spacing w:val="-2"/>
                <w:sz w:val="20"/>
              </w:rPr>
              <w:t>(2,707)</w:t>
            </w:r>
          </w:p>
        </w:tc>
      </w:tr>
    </w:tbl>
    <w:p>
      <w:pPr>
        <w:spacing w:after="0" w:line="220" w:lineRule="exact"/>
        <w:jc w:val="right"/>
        <w:rPr>
          <w:sz w:val="20"/>
        </w:rPr>
        <w:sectPr>
          <w:type w:val="continuous"/>
          <w:pgSz w:w="12240" w:h="15840"/>
          <w:pgMar w:header="210" w:footer="610" w:top="680" w:bottom="280" w:left="780" w:right="740"/>
        </w:sectPr>
      </w:pPr>
    </w:p>
    <w:p>
      <w:pPr>
        <w:pStyle w:val="BodyText"/>
      </w:pPr>
    </w:p>
    <w:p>
      <w:pPr>
        <w:pStyle w:val="BodyText"/>
      </w:pPr>
    </w:p>
    <w:p>
      <w:pPr>
        <w:pStyle w:val="BodyText"/>
        <w:spacing w:before="27"/>
      </w:pPr>
    </w:p>
    <w:p>
      <w:pPr>
        <w:pStyle w:val="Heading1"/>
        <w:ind w:left="210"/>
      </w:pPr>
      <w:bookmarkStart w:name="NOTE 6. PROPERTY AND EQUIPMENT" w:id="75"/>
      <w:bookmarkEnd w:id="75"/>
      <w:r>
        <w:rPr>
          <w:b w:val="0"/>
        </w:rPr>
      </w:r>
      <w:bookmarkStart w:name="_bookmark27" w:id="76"/>
      <w:bookmarkEnd w:id="76"/>
      <w:r>
        <w:rPr>
          <w:b w:val="0"/>
        </w:rPr>
      </w:r>
      <w:r>
        <w:rPr/>
        <w:t>NOTE</w:t>
      </w:r>
      <w:r>
        <w:rPr>
          <w:spacing w:val="-6"/>
        </w:rPr>
        <w:t> </w:t>
      </w:r>
      <w:r>
        <w:rPr/>
        <w:t>6.</w:t>
      </w:r>
      <w:r>
        <w:rPr>
          <w:spacing w:val="44"/>
        </w:rPr>
        <w:t> </w:t>
      </w:r>
      <w:r>
        <w:rPr/>
        <w:t>PROPERTY</w:t>
      </w:r>
      <w:r>
        <w:rPr>
          <w:spacing w:val="-19"/>
        </w:rPr>
        <w:t> </w:t>
      </w:r>
      <w:r>
        <w:rPr/>
        <w:t>AND</w:t>
      </w:r>
      <w:r>
        <w:rPr>
          <w:spacing w:val="-4"/>
        </w:rPr>
        <w:t> </w:t>
      </w:r>
      <w:r>
        <w:rPr>
          <w:spacing w:val="-2"/>
        </w:rPr>
        <w:t>EQUIPMENT</w:t>
      </w:r>
    </w:p>
    <w:p>
      <w:pPr>
        <w:pStyle w:val="BodyText"/>
        <w:spacing w:before="190"/>
        <w:ind w:left="750"/>
      </w:pPr>
      <w:r>
        <w:rPr/>
        <w:t>Property</w:t>
      </w:r>
      <w:r>
        <w:rPr>
          <w:spacing w:val="-3"/>
        </w:rPr>
        <w:t> </w:t>
      </w:r>
      <w:r>
        <w:rPr/>
        <w:t>and equipment,</w:t>
      </w:r>
      <w:r>
        <w:rPr>
          <w:spacing w:val="-1"/>
        </w:rPr>
        <w:t> </w:t>
      </w:r>
      <w:r>
        <w:rPr/>
        <w:t>net consisted</w:t>
      </w:r>
      <w:r>
        <w:rPr>
          <w:spacing w:val="-1"/>
        </w:rPr>
        <w:t> </w:t>
      </w:r>
      <w:r>
        <w:rPr/>
        <w:t>of the following as of December 1,</w:t>
      </w:r>
      <w:r>
        <w:rPr>
          <w:spacing w:val="-1"/>
        </w:rPr>
        <w:t> </w:t>
      </w:r>
      <w:r>
        <w:rPr/>
        <w:t>2017 and December 2,</w:t>
      </w:r>
      <w:r>
        <w:rPr>
          <w:spacing w:val="-1"/>
        </w:rPr>
        <w:t> </w:t>
      </w:r>
      <w:r>
        <w:rPr/>
        <w:t>2016 (in </w:t>
      </w:r>
      <w:r>
        <w:rPr>
          <w:spacing w:val="-2"/>
        </w:rPr>
        <w:t>thousands):</w:t>
      </w:r>
    </w:p>
    <w:p>
      <w:pPr>
        <w:pStyle w:val="BodyText"/>
        <w:spacing w:before="5" w:after="1"/>
        <w:rPr>
          <w:sz w:val="14"/>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2"/>
        <w:gridCol w:w="3157"/>
        <w:gridCol w:w="1630"/>
      </w:tblGrid>
      <w:tr>
        <w:trPr>
          <w:trHeight w:val="270" w:hRule="atLeast"/>
        </w:trPr>
        <w:tc>
          <w:tcPr>
            <w:tcW w:w="5462" w:type="dxa"/>
            <w:shd w:val="clear" w:color="auto" w:fill="CCEDFF"/>
          </w:tcPr>
          <w:p>
            <w:pPr>
              <w:pStyle w:val="TableParagraph"/>
              <w:rPr>
                <w:sz w:val="18"/>
              </w:rPr>
            </w:pPr>
          </w:p>
        </w:tc>
        <w:tc>
          <w:tcPr>
            <w:tcW w:w="3157" w:type="dxa"/>
            <w:tcBorders>
              <w:bottom w:val="single" w:sz="8" w:space="0" w:color="000000"/>
            </w:tcBorders>
            <w:shd w:val="clear" w:color="auto" w:fill="CCEDFF"/>
          </w:tcPr>
          <w:p>
            <w:pPr>
              <w:pStyle w:val="TableParagraph"/>
              <w:spacing w:before="46"/>
              <w:ind w:right="708"/>
              <w:jc w:val="right"/>
              <w:rPr>
                <w:b/>
                <w:sz w:val="16"/>
              </w:rPr>
            </w:pPr>
            <w:r>
              <w:rPr>
                <w:b/>
                <w:spacing w:val="-4"/>
                <w:sz w:val="16"/>
              </w:rPr>
              <w:t>2017</w:t>
            </w:r>
          </w:p>
        </w:tc>
        <w:tc>
          <w:tcPr>
            <w:tcW w:w="1630" w:type="dxa"/>
            <w:tcBorders>
              <w:bottom w:val="single" w:sz="8" w:space="0" w:color="000000"/>
            </w:tcBorders>
            <w:shd w:val="clear" w:color="auto" w:fill="CCEDFF"/>
          </w:tcPr>
          <w:p>
            <w:pPr>
              <w:pStyle w:val="TableParagraph"/>
              <w:spacing w:before="46"/>
              <w:ind w:right="7"/>
              <w:jc w:val="center"/>
              <w:rPr>
                <w:b/>
                <w:sz w:val="16"/>
              </w:rPr>
            </w:pPr>
            <w:r>
              <w:rPr>
                <w:b/>
                <w:spacing w:val="-4"/>
                <w:sz w:val="16"/>
              </w:rPr>
              <w:t>2016</w:t>
            </w:r>
          </w:p>
        </w:tc>
      </w:tr>
      <w:tr>
        <w:trPr>
          <w:trHeight w:val="270" w:hRule="atLeast"/>
        </w:trPr>
        <w:tc>
          <w:tcPr>
            <w:tcW w:w="5462" w:type="dxa"/>
          </w:tcPr>
          <w:p>
            <w:pPr>
              <w:pStyle w:val="TableParagraph"/>
              <w:spacing w:line="222" w:lineRule="exact"/>
              <w:ind w:left="50"/>
              <w:rPr>
                <w:sz w:val="20"/>
              </w:rPr>
            </w:pPr>
            <w:r>
              <w:rPr>
                <w:sz w:val="20"/>
              </w:rPr>
              <w:t>Computers</w:t>
            </w:r>
            <w:r>
              <w:rPr>
                <w:spacing w:val="-5"/>
                <w:sz w:val="20"/>
              </w:rPr>
              <w:t> </w:t>
            </w:r>
            <w:r>
              <w:rPr>
                <w:sz w:val="20"/>
              </w:rPr>
              <w:t>and</w:t>
            </w:r>
            <w:r>
              <w:rPr>
                <w:spacing w:val="-4"/>
                <w:sz w:val="20"/>
              </w:rPr>
              <w:t> </w:t>
            </w:r>
            <w:r>
              <w:rPr>
                <w:spacing w:val="-2"/>
                <w:sz w:val="20"/>
              </w:rPr>
              <w:t>equipment</w:t>
            </w:r>
          </w:p>
        </w:tc>
        <w:tc>
          <w:tcPr>
            <w:tcW w:w="3157" w:type="dxa"/>
            <w:tcBorders>
              <w:top w:val="single" w:sz="8" w:space="0" w:color="000000"/>
            </w:tcBorders>
          </w:tcPr>
          <w:p>
            <w:pPr>
              <w:pStyle w:val="TableParagraph"/>
              <w:tabs>
                <w:tab w:pos="672" w:val="left" w:leader="none"/>
              </w:tabs>
              <w:spacing w:line="222" w:lineRule="exact"/>
              <w:ind w:right="135"/>
              <w:jc w:val="right"/>
              <w:rPr>
                <w:sz w:val="20"/>
              </w:rPr>
            </w:pPr>
            <w:r>
              <w:rPr>
                <w:spacing w:val="-10"/>
                <w:sz w:val="20"/>
              </w:rPr>
              <w:t>$</w:t>
            </w:r>
            <w:r>
              <w:rPr>
                <w:sz w:val="20"/>
              </w:rPr>
              <w:tab/>
            </w:r>
            <w:r>
              <w:rPr>
                <w:spacing w:val="-2"/>
                <w:sz w:val="20"/>
              </w:rPr>
              <w:t>1,128,264</w:t>
            </w:r>
          </w:p>
        </w:tc>
        <w:tc>
          <w:tcPr>
            <w:tcW w:w="1630" w:type="dxa"/>
            <w:tcBorders>
              <w:top w:val="single" w:sz="8" w:space="0" w:color="000000"/>
            </w:tcBorders>
          </w:tcPr>
          <w:p>
            <w:pPr>
              <w:pStyle w:val="TableParagraph"/>
              <w:tabs>
                <w:tab w:pos="672" w:val="left" w:leader="none"/>
              </w:tabs>
              <w:spacing w:line="222" w:lineRule="exact"/>
              <w:ind w:right="85"/>
              <w:jc w:val="right"/>
              <w:rPr>
                <w:sz w:val="20"/>
              </w:rPr>
            </w:pPr>
            <w:r>
              <w:rPr>
                <w:spacing w:val="-10"/>
                <w:sz w:val="20"/>
              </w:rPr>
              <w:t>$</w:t>
            </w:r>
            <w:r>
              <w:rPr>
                <w:sz w:val="20"/>
              </w:rPr>
              <w:tab/>
            </w:r>
            <w:r>
              <w:rPr>
                <w:spacing w:val="-2"/>
                <w:sz w:val="20"/>
              </w:rPr>
              <w:t>1,051,937</w:t>
            </w:r>
          </w:p>
        </w:tc>
      </w:tr>
      <w:tr>
        <w:trPr>
          <w:trHeight w:val="280" w:hRule="atLeast"/>
        </w:trPr>
        <w:tc>
          <w:tcPr>
            <w:tcW w:w="5462" w:type="dxa"/>
            <w:shd w:val="clear" w:color="auto" w:fill="CCEDFF"/>
          </w:tcPr>
          <w:p>
            <w:pPr>
              <w:pStyle w:val="TableParagraph"/>
              <w:spacing w:before="2"/>
              <w:ind w:left="50"/>
              <w:rPr>
                <w:sz w:val="20"/>
              </w:rPr>
            </w:pPr>
            <w:r>
              <w:rPr>
                <w:sz w:val="20"/>
              </w:rPr>
              <w:t>Furniture and </w:t>
            </w:r>
            <w:r>
              <w:rPr>
                <w:spacing w:val="-2"/>
                <w:sz w:val="20"/>
              </w:rPr>
              <w:t>fixtures</w:t>
            </w:r>
          </w:p>
        </w:tc>
        <w:tc>
          <w:tcPr>
            <w:tcW w:w="3157" w:type="dxa"/>
            <w:shd w:val="clear" w:color="auto" w:fill="CCEDFF"/>
          </w:tcPr>
          <w:p>
            <w:pPr>
              <w:pStyle w:val="TableParagraph"/>
              <w:spacing w:before="2"/>
              <w:ind w:right="135"/>
              <w:jc w:val="right"/>
              <w:rPr>
                <w:sz w:val="20"/>
              </w:rPr>
            </w:pPr>
            <w:r>
              <w:rPr>
                <w:spacing w:val="-2"/>
                <w:sz w:val="20"/>
              </w:rPr>
              <w:t>115,273</w:t>
            </w:r>
          </w:p>
        </w:tc>
        <w:tc>
          <w:tcPr>
            <w:tcW w:w="1630" w:type="dxa"/>
            <w:shd w:val="clear" w:color="auto" w:fill="CCEDFF"/>
          </w:tcPr>
          <w:p>
            <w:pPr>
              <w:pStyle w:val="TableParagraph"/>
              <w:spacing w:before="2"/>
              <w:ind w:right="85"/>
              <w:jc w:val="right"/>
              <w:rPr>
                <w:sz w:val="20"/>
              </w:rPr>
            </w:pPr>
            <w:r>
              <w:rPr>
                <w:spacing w:val="-2"/>
                <w:sz w:val="20"/>
              </w:rPr>
              <w:t>94,243</w:t>
            </w:r>
          </w:p>
        </w:tc>
      </w:tr>
      <w:tr>
        <w:trPr>
          <w:trHeight w:val="280" w:hRule="atLeast"/>
        </w:trPr>
        <w:tc>
          <w:tcPr>
            <w:tcW w:w="5462" w:type="dxa"/>
          </w:tcPr>
          <w:p>
            <w:pPr>
              <w:pStyle w:val="TableParagraph"/>
              <w:spacing w:before="2"/>
              <w:ind w:left="50"/>
              <w:rPr>
                <w:sz w:val="20"/>
              </w:rPr>
            </w:pPr>
            <w:r>
              <w:rPr>
                <w:sz w:val="20"/>
              </w:rPr>
              <w:t>Capital</w:t>
            </w:r>
            <w:r>
              <w:rPr>
                <w:spacing w:val="-8"/>
                <w:sz w:val="20"/>
              </w:rPr>
              <w:t> </w:t>
            </w:r>
            <w:r>
              <w:rPr>
                <w:sz w:val="20"/>
              </w:rPr>
              <w:t>projects</w:t>
            </w:r>
            <w:r>
              <w:rPr>
                <w:spacing w:val="-5"/>
                <w:sz w:val="20"/>
              </w:rPr>
              <w:t> </w:t>
            </w:r>
            <w:r>
              <w:rPr>
                <w:sz w:val="20"/>
              </w:rPr>
              <w:t>in-</w:t>
            </w:r>
            <w:r>
              <w:rPr>
                <w:spacing w:val="-2"/>
                <w:sz w:val="20"/>
              </w:rPr>
              <w:t>progress</w:t>
            </w:r>
          </w:p>
        </w:tc>
        <w:tc>
          <w:tcPr>
            <w:tcW w:w="3157" w:type="dxa"/>
          </w:tcPr>
          <w:p>
            <w:pPr>
              <w:pStyle w:val="TableParagraph"/>
              <w:spacing w:before="2"/>
              <w:ind w:right="135"/>
              <w:jc w:val="right"/>
              <w:rPr>
                <w:sz w:val="20"/>
              </w:rPr>
            </w:pPr>
            <w:r>
              <w:rPr>
                <w:spacing w:val="-2"/>
                <w:sz w:val="20"/>
              </w:rPr>
              <w:t>5,575</w:t>
            </w:r>
          </w:p>
        </w:tc>
        <w:tc>
          <w:tcPr>
            <w:tcW w:w="1630" w:type="dxa"/>
          </w:tcPr>
          <w:p>
            <w:pPr>
              <w:pStyle w:val="TableParagraph"/>
              <w:spacing w:before="2"/>
              <w:ind w:right="85"/>
              <w:jc w:val="right"/>
              <w:rPr>
                <w:sz w:val="20"/>
              </w:rPr>
            </w:pPr>
            <w:r>
              <w:rPr>
                <w:spacing w:val="-2"/>
                <w:sz w:val="20"/>
              </w:rPr>
              <w:t>7,648</w:t>
            </w:r>
          </w:p>
        </w:tc>
      </w:tr>
      <w:tr>
        <w:trPr>
          <w:trHeight w:val="280" w:hRule="atLeast"/>
        </w:trPr>
        <w:tc>
          <w:tcPr>
            <w:tcW w:w="5462" w:type="dxa"/>
            <w:shd w:val="clear" w:color="auto" w:fill="CCEDFF"/>
          </w:tcPr>
          <w:p>
            <w:pPr>
              <w:pStyle w:val="TableParagraph"/>
              <w:spacing w:before="2"/>
              <w:ind w:left="50"/>
              <w:rPr>
                <w:sz w:val="20"/>
              </w:rPr>
            </w:pPr>
            <w:r>
              <w:rPr>
                <w:sz w:val="20"/>
              </w:rPr>
              <w:t>Leasehold </w:t>
            </w:r>
            <w:r>
              <w:rPr>
                <w:spacing w:val="-2"/>
                <w:sz w:val="20"/>
              </w:rPr>
              <w:t>improvements</w:t>
            </w:r>
          </w:p>
        </w:tc>
        <w:tc>
          <w:tcPr>
            <w:tcW w:w="3157" w:type="dxa"/>
            <w:shd w:val="clear" w:color="auto" w:fill="CCEDFF"/>
          </w:tcPr>
          <w:p>
            <w:pPr>
              <w:pStyle w:val="TableParagraph"/>
              <w:spacing w:before="2"/>
              <w:ind w:right="135"/>
              <w:jc w:val="right"/>
              <w:rPr>
                <w:sz w:val="20"/>
              </w:rPr>
            </w:pPr>
            <w:r>
              <w:rPr>
                <w:spacing w:val="-2"/>
                <w:sz w:val="20"/>
              </w:rPr>
              <w:t>120,165</w:t>
            </w:r>
          </w:p>
        </w:tc>
        <w:tc>
          <w:tcPr>
            <w:tcW w:w="1630" w:type="dxa"/>
            <w:shd w:val="clear" w:color="auto" w:fill="CCEDFF"/>
          </w:tcPr>
          <w:p>
            <w:pPr>
              <w:pStyle w:val="TableParagraph"/>
              <w:spacing w:before="2"/>
              <w:ind w:right="85"/>
              <w:jc w:val="right"/>
              <w:rPr>
                <w:sz w:val="20"/>
              </w:rPr>
            </w:pPr>
            <w:r>
              <w:rPr>
                <w:spacing w:val="-2"/>
                <w:sz w:val="20"/>
              </w:rPr>
              <w:t>110,414</w:t>
            </w:r>
          </w:p>
        </w:tc>
      </w:tr>
      <w:tr>
        <w:trPr>
          <w:trHeight w:val="280" w:hRule="atLeast"/>
        </w:trPr>
        <w:tc>
          <w:tcPr>
            <w:tcW w:w="5462" w:type="dxa"/>
          </w:tcPr>
          <w:p>
            <w:pPr>
              <w:pStyle w:val="TableParagraph"/>
              <w:spacing w:before="2"/>
              <w:ind w:left="50"/>
              <w:rPr>
                <w:sz w:val="20"/>
              </w:rPr>
            </w:pPr>
            <w:r>
              <w:rPr>
                <w:spacing w:val="-4"/>
                <w:sz w:val="20"/>
              </w:rPr>
              <w:t>Land</w:t>
            </w:r>
          </w:p>
        </w:tc>
        <w:tc>
          <w:tcPr>
            <w:tcW w:w="3157" w:type="dxa"/>
          </w:tcPr>
          <w:p>
            <w:pPr>
              <w:pStyle w:val="TableParagraph"/>
              <w:spacing w:before="2"/>
              <w:ind w:right="135"/>
              <w:jc w:val="right"/>
              <w:rPr>
                <w:sz w:val="20"/>
              </w:rPr>
            </w:pPr>
            <w:r>
              <w:rPr>
                <w:spacing w:val="-2"/>
                <w:sz w:val="20"/>
              </w:rPr>
              <w:t>77,723</w:t>
            </w:r>
          </w:p>
        </w:tc>
        <w:tc>
          <w:tcPr>
            <w:tcW w:w="1630" w:type="dxa"/>
          </w:tcPr>
          <w:p>
            <w:pPr>
              <w:pStyle w:val="TableParagraph"/>
              <w:spacing w:before="2"/>
              <w:ind w:right="85"/>
              <w:jc w:val="right"/>
              <w:rPr>
                <w:sz w:val="20"/>
              </w:rPr>
            </w:pPr>
            <w:r>
              <w:rPr>
                <w:spacing w:val="-2"/>
                <w:sz w:val="20"/>
              </w:rPr>
              <w:t>77,340</w:t>
            </w:r>
          </w:p>
        </w:tc>
      </w:tr>
      <w:tr>
        <w:trPr>
          <w:trHeight w:val="280" w:hRule="atLeast"/>
        </w:trPr>
        <w:tc>
          <w:tcPr>
            <w:tcW w:w="5462" w:type="dxa"/>
            <w:shd w:val="clear" w:color="auto" w:fill="CCEDFF"/>
          </w:tcPr>
          <w:p>
            <w:pPr>
              <w:pStyle w:val="TableParagraph"/>
              <w:spacing w:before="2"/>
              <w:ind w:left="50"/>
              <w:rPr>
                <w:sz w:val="20"/>
              </w:rPr>
            </w:pPr>
            <w:r>
              <w:rPr>
                <w:spacing w:val="-2"/>
                <w:sz w:val="20"/>
              </w:rPr>
              <w:t>Buildings</w:t>
            </w:r>
          </w:p>
        </w:tc>
        <w:tc>
          <w:tcPr>
            <w:tcW w:w="3157" w:type="dxa"/>
            <w:shd w:val="clear" w:color="auto" w:fill="CCEDFF"/>
          </w:tcPr>
          <w:p>
            <w:pPr>
              <w:pStyle w:val="TableParagraph"/>
              <w:spacing w:before="2"/>
              <w:ind w:right="135"/>
              <w:jc w:val="right"/>
              <w:rPr>
                <w:sz w:val="20"/>
              </w:rPr>
            </w:pPr>
            <w:r>
              <w:rPr>
                <w:spacing w:val="-2"/>
                <w:sz w:val="20"/>
              </w:rPr>
              <w:t>490,665</w:t>
            </w:r>
          </w:p>
        </w:tc>
        <w:tc>
          <w:tcPr>
            <w:tcW w:w="1630" w:type="dxa"/>
            <w:shd w:val="clear" w:color="auto" w:fill="CCEDFF"/>
          </w:tcPr>
          <w:p>
            <w:pPr>
              <w:pStyle w:val="TableParagraph"/>
              <w:spacing w:before="2"/>
              <w:ind w:right="85"/>
              <w:jc w:val="right"/>
              <w:rPr>
                <w:sz w:val="20"/>
              </w:rPr>
            </w:pPr>
            <w:r>
              <w:rPr>
                <w:spacing w:val="-2"/>
                <w:sz w:val="20"/>
              </w:rPr>
              <w:t>382,364</w:t>
            </w:r>
          </w:p>
        </w:tc>
      </w:tr>
      <w:tr>
        <w:trPr>
          <w:trHeight w:val="270" w:hRule="atLeast"/>
        </w:trPr>
        <w:tc>
          <w:tcPr>
            <w:tcW w:w="5462" w:type="dxa"/>
          </w:tcPr>
          <w:p>
            <w:pPr>
              <w:pStyle w:val="TableParagraph"/>
              <w:spacing w:before="2"/>
              <w:ind w:left="50"/>
              <w:rPr>
                <w:sz w:val="20"/>
              </w:rPr>
            </w:pPr>
            <w:r>
              <w:rPr>
                <w:sz w:val="20"/>
              </w:rPr>
              <w:t>Building </w:t>
            </w:r>
            <w:r>
              <w:rPr>
                <w:spacing w:val="-2"/>
                <w:sz w:val="20"/>
              </w:rPr>
              <w:t>improvements</w:t>
            </w:r>
          </w:p>
        </w:tc>
        <w:tc>
          <w:tcPr>
            <w:tcW w:w="3157" w:type="dxa"/>
            <w:tcBorders>
              <w:bottom w:val="single" w:sz="8" w:space="0" w:color="000000"/>
            </w:tcBorders>
          </w:tcPr>
          <w:p>
            <w:pPr>
              <w:pStyle w:val="TableParagraph"/>
              <w:spacing w:before="2"/>
              <w:ind w:right="135"/>
              <w:jc w:val="right"/>
              <w:rPr>
                <w:sz w:val="20"/>
              </w:rPr>
            </w:pPr>
            <w:r>
              <w:rPr>
                <w:spacing w:val="-2"/>
                <w:sz w:val="20"/>
              </w:rPr>
              <w:t>265,829</w:t>
            </w:r>
          </w:p>
        </w:tc>
        <w:tc>
          <w:tcPr>
            <w:tcW w:w="1630" w:type="dxa"/>
            <w:tcBorders>
              <w:bottom w:val="single" w:sz="8" w:space="0" w:color="000000"/>
            </w:tcBorders>
          </w:tcPr>
          <w:p>
            <w:pPr>
              <w:pStyle w:val="TableParagraph"/>
              <w:spacing w:before="2"/>
              <w:ind w:right="85"/>
              <w:jc w:val="right"/>
              <w:rPr>
                <w:sz w:val="20"/>
              </w:rPr>
            </w:pPr>
            <w:r>
              <w:rPr>
                <w:spacing w:val="-2"/>
                <w:sz w:val="20"/>
              </w:rPr>
              <w:t>202,266</w:t>
            </w:r>
          </w:p>
        </w:tc>
      </w:tr>
      <w:tr>
        <w:trPr>
          <w:trHeight w:val="270" w:hRule="atLeast"/>
        </w:trPr>
        <w:tc>
          <w:tcPr>
            <w:tcW w:w="5462" w:type="dxa"/>
            <w:shd w:val="clear" w:color="auto" w:fill="CCEDFF"/>
          </w:tcPr>
          <w:p>
            <w:pPr>
              <w:pStyle w:val="TableParagraph"/>
              <w:spacing w:line="222" w:lineRule="exact"/>
              <w:ind w:left="50"/>
              <w:rPr>
                <w:sz w:val="20"/>
              </w:rPr>
            </w:pPr>
            <w:r>
              <w:rPr>
                <w:spacing w:val="-2"/>
                <w:sz w:val="20"/>
              </w:rPr>
              <w:t>Total</w:t>
            </w:r>
          </w:p>
        </w:tc>
        <w:tc>
          <w:tcPr>
            <w:tcW w:w="3157" w:type="dxa"/>
            <w:tcBorders>
              <w:top w:val="single" w:sz="8" w:space="0" w:color="000000"/>
            </w:tcBorders>
            <w:shd w:val="clear" w:color="auto" w:fill="CCEDFF"/>
          </w:tcPr>
          <w:p>
            <w:pPr>
              <w:pStyle w:val="TableParagraph"/>
              <w:spacing w:line="222" w:lineRule="exact"/>
              <w:ind w:right="135"/>
              <w:jc w:val="right"/>
              <w:rPr>
                <w:sz w:val="20"/>
              </w:rPr>
            </w:pPr>
            <w:r>
              <w:rPr>
                <w:spacing w:val="-2"/>
                <w:sz w:val="20"/>
              </w:rPr>
              <w:t>2,203,494</w:t>
            </w:r>
          </w:p>
        </w:tc>
        <w:tc>
          <w:tcPr>
            <w:tcW w:w="1630" w:type="dxa"/>
            <w:tcBorders>
              <w:top w:val="single" w:sz="8" w:space="0" w:color="000000"/>
            </w:tcBorders>
            <w:shd w:val="clear" w:color="auto" w:fill="CCEDFF"/>
          </w:tcPr>
          <w:p>
            <w:pPr>
              <w:pStyle w:val="TableParagraph"/>
              <w:spacing w:line="222" w:lineRule="exact"/>
              <w:ind w:right="85"/>
              <w:jc w:val="right"/>
              <w:rPr>
                <w:sz w:val="20"/>
              </w:rPr>
            </w:pPr>
            <w:r>
              <w:rPr>
                <w:spacing w:val="-2"/>
                <w:sz w:val="20"/>
              </w:rPr>
              <w:t>1,926,212</w:t>
            </w:r>
          </w:p>
        </w:tc>
      </w:tr>
      <w:tr>
        <w:trPr>
          <w:trHeight w:val="270" w:hRule="atLeast"/>
        </w:trPr>
        <w:tc>
          <w:tcPr>
            <w:tcW w:w="5462" w:type="dxa"/>
          </w:tcPr>
          <w:p>
            <w:pPr>
              <w:pStyle w:val="TableParagraph"/>
              <w:spacing w:before="2"/>
              <w:ind w:left="50"/>
              <w:rPr>
                <w:sz w:val="20"/>
              </w:rPr>
            </w:pPr>
            <w:r>
              <w:rPr>
                <w:sz w:val="20"/>
              </w:rPr>
              <w:t>Less</w:t>
            </w:r>
            <w:r>
              <w:rPr>
                <w:spacing w:val="-2"/>
                <w:sz w:val="20"/>
              </w:rPr>
              <w:t> </w:t>
            </w:r>
            <w:r>
              <w:rPr>
                <w:sz w:val="20"/>
              </w:rPr>
              <w:t>accumulated</w:t>
            </w:r>
            <w:r>
              <w:rPr>
                <w:spacing w:val="-1"/>
                <w:sz w:val="20"/>
              </w:rPr>
              <w:t> </w:t>
            </w:r>
            <w:r>
              <w:rPr>
                <w:sz w:val="20"/>
              </w:rPr>
              <w:t>depreciation</w:t>
            </w:r>
            <w:r>
              <w:rPr>
                <w:spacing w:val="-1"/>
                <w:sz w:val="20"/>
              </w:rPr>
              <w:t> </w:t>
            </w:r>
            <w:r>
              <w:rPr>
                <w:sz w:val="20"/>
              </w:rPr>
              <w:t>and </w:t>
            </w:r>
            <w:r>
              <w:rPr>
                <w:spacing w:val="-2"/>
                <w:sz w:val="20"/>
              </w:rPr>
              <w:t>amortization</w:t>
            </w:r>
          </w:p>
        </w:tc>
        <w:tc>
          <w:tcPr>
            <w:tcW w:w="3157" w:type="dxa"/>
            <w:tcBorders>
              <w:bottom w:val="single" w:sz="8" w:space="0" w:color="000000"/>
            </w:tcBorders>
          </w:tcPr>
          <w:p>
            <w:pPr>
              <w:pStyle w:val="TableParagraph"/>
              <w:spacing w:before="2"/>
              <w:ind w:right="67"/>
              <w:jc w:val="right"/>
              <w:rPr>
                <w:sz w:val="20"/>
              </w:rPr>
            </w:pPr>
            <w:r>
              <w:rPr>
                <w:spacing w:val="-2"/>
                <w:sz w:val="20"/>
              </w:rPr>
              <w:t>(1,266,518)</w:t>
            </w:r>
          </w:p>
        </w:tc>
        <w:tc>
          <w:tcPr>
            <w:tcW w:w="1630" w:type="dxa"/>
            <w:tcBorders>
              <w:bottom w:val="single" w:sz="8" w:space="0" w:color="000000"/>
            </w:tcBorders>
          </w:tcPr>
          <w:p>
            <w:pPr>
              <w:pStyle w:val="TableParagraph"/>
              <w:spacing w:before="2"/>
              <w:ind w:right="17"/>
              <w:jc w:val="right"/>
              <w:rPr>
                <w:sz w:val="20"/>
              </w:rPr>
            </w:pPr>
            <w:r>
              <w:rPr>
                <w:spacing w:val="-2"/>
                <w:sz w:val="20"/>
              </w:rPr>
              <w:t>(1,109,948)</w:t>
            </w:r>
          </w:p>
        </w:tc>
      </w:tr>
      <w:tr>
        <w:trPr>
          <w:trHeight w:val="240" w:hRule="atLeast"/>
        </w:trPr>
        <w:tc>
          <w:tcPr>
            <w:tcW w:w="5462" w:type="dxa"/>
            <w:shd w:val="clear" w:color="auto" w:fill="CCEDFF"/>
          </w:tcPr>
          <w:p>
            <w:pPr>
              <w:pStyle w:val="TableParagraph"/>
              <w:spacing w:line="220" w:lineRule="exact"/>
              <w:ind w:left="170"/>
              <w:rPr>
                <w:sz w:val="20"/>
              </w:rPr>
            </w:pPr>
            <w:r>
              <w:rPr>
                <w:sz w:val="20"/>
              </w:rPr>
              <w:t>Property and equipment, </w:t>
            </w:r>
            <w:r>
              <w:rPr>
                <w:spacing w:val="-5"/>
                <w:sz w:val="20"/>
              </w:rPr>
              <w:t>net</w:t>
            </w:r>
          </w:p>
        </w:tc>
        <w:tc>
          <w:tcPr>
            <w:tcW w:w="3157" w:type="dxa"/>
            <w:tcBorders>
              <w:top w:val="single" w:sz="8" w:space="0" w:color="000000"/>
              <w:bottom w:val="double" w:sz="8" w:space="0" w:color="000000"/>
            </w:tcBorders>
            <w:shd w:val="clear" w:color="auto" w:fill="CCEDFF"/>
          </w:tcPr>
          <w:p>
            <w:pPr>
              <w:pStyle w:val="TableParagraph"/>
              <w:tabs>
                <w:tab w:pos="822" w:val="left" w:leader="none"/>
              </w:tabs>
              <w:spacing w:line="220" w:lineRule="exact"/>
              <w:ind w:right="135"/>
              <w:jc w:val="right"/>
              <w:rPr>
                <w:sz w:val="20"/>
              </w:rPr>
            </w:pPr>
            <w:r>
              <w:rPr>
                <w:spacing w:val="-10"/>
                <w:sz w:val="20"/>
              </w:rPr>
              <w:t>$</w:t>
            </w:r>
            <w:r>
              <w:rPr>
                <w:sz w:val="20"/>
              </w:rPr>
              <w:tab/>
            </w:r>
            <w:r>
              <w:rPr>
                <w:spacing w:val="-2"/>
                <w:sz w:val="20"/>
              </w:rPr>
              <w:t>936,976</w:t>
            </w:r>
          </w:p>
        </w:tc>
        <w:tc>
          <w:tcPr>
            <w:tcW w:w="1630" w:type="dxa"/>
            <w:tcBorders>
              <w:top w:val="single" w:sz="8" w:space="0" w:color="000000"/>
              <w:bottom w:val="double" w:sz="8" w:space="0" w:color="000000"/>
            </w:tcBorders>
            <w:shd w:val="clear" w:color="auto" w:fill="CCEDFF"/>
          </w:tcPr>
          <w:p>
            <w:pPr>
              <w:pStyle w:val="TableParagraph"/>
              <w:tabs>
                <w:tab w:pos="822" w:val="left" w:leader="none"/>
              </w:tabs>
              <w:spacing w:line="220" w:lineRule="exact"/>
              <w:ind w:right="85"/>
              <w:jc w:val="right"/>
              <w:rPr>
                <w:sz w:val="20"/>
              </w:rPr>
            </w:pPr>
            <w:r>
              <w:rPr>
                <w:spacing w:val="-10"/>
                <w:sz w:val="20"/>
              </w:rPr>
              <w:t>$</w:t>
            </w:r>
            <w:r>
              <w:rPr>
                <w:sz w:val="20"/>
              </w:rPr>
              <w:tab/>
            </w:r>
            <w:r>
              <w:rPr>
                <w:spacing w:val="-2"/>
                <w:sz w:val="20"/>
              </w:rPr>
              <w:t>816,264</w:t>
            </w:r>
          </w:p>
        </w:tc>
      </w:tr>
    </w:tbl>
    <w:p>
      <w:pPr>
        <w:pStyle w:val="BodyText"/>
        <w:spacing w:before="193"/>
        <w:ind w:left="750"/>
      </w:pPr>
      <w:r>
        <w:rPr/>
        <w:t>Depreciation</w:t>
      </w:r>
      <w:r>
        <w:rPr>
          <w:spacing w:val="15"/>
        </w:rPr>
        <w:t> </w:t>
      </w:r>
      <w:r>
        <w:rPr/>
        <w:t>and</w:t>
      </w:r>
      <w:r>
        <w:rPr>
          <w:spacing w:val="17"/>
        </w:rPr>
        <w:t> </w:t>
      </w:r>
      <w:r>
        <w:rPr/>
        <w:t>amortization</w:t>
      </w:r>
      <w:r>
        <w:rPr>
          <w:spacing w:val="17"/>
        </w:rPr>
        <w:t> </w:t>
      </w:r>
      <w:r>
        <w:rPr/>
        <w:t>expense</w:t>
      </w:r>
      <w:r>
        <w:rPr>
          <w:spacing w:val="16"/>
        </w:rPr>
        <w:t> </w:t>
      </w:r>
      <w:r>
        <w:rPr/>
        <w:t>of</w:t>
      </w:r>
      <w:r>
        <w:rPr>
          <w:spacing w:val="17"/>
        </w:rPr>
        <w:t> </w:t>
      </w:r>
      <w:r>
        <w:rPr/>
        <w:t>property</w:t>
      </w:r>
      <w:r>
        <w:rPr>
          <w:spacing w:val="17"/>
        </w:rPr>
        <w:t> </w:t>
      </w:r>
      <w:r>
        <w:rPr/>
        <w:t>and</w:t>
      </w:r>
      <w:r>
        <w:rPr>
          <w:spacing w:val="17"/>
        </w:rPr>
        <w:t> </w:t>
      </w:r>
      <w:r>
        <w:rPr/>
        <w:t>equipment</w:t>
      </w:r>
      <w:r>
        <w:rPr>
          <w:spacing w:val="16"/>
        </w:rPr>
        <w:t> </w:t>
      </w:r>
      <w:r>
        <w:rPr/>
        <w:t>for</w:t>
      </w:r>
      <w:r>
        <w:rPr>
          <w:spacing w:val="16"/>
        </w:rPr>
        <w:t> </w:t>
      </w:r>
      <w:r>
        <w:rPr/>
        <w:t>fiscal</w:t>
      </w:r>
      <w:r>
        <w:rPr>
          <w:spacing w:val="16"/>
        </w:rPr>
        <w:t> </w:t>
      </w:r>
      <w:r>
        <w:rPr/>
        <w:t>2017,</w:t>
      </w:r>
      <w:r>
        <w:rPr>
          <w:spacing w:val="17"/>
        </w:rPr>
        <w:t> </w:t>
      </w:r>
      <w:r>
        <w:rPr/>
        <w:t>2016</w:t>
      </w:r>
      <w:r>
        <w:rPr>
          <w:spacing w:val="17"/>
        </w:rPr>
        <w:t> </w:t>
      </w:r>
      <w:r>
        <w:rPr/>
        <w:t>and</w:t>
      </w:r>
      <w:r>
        <w:rPr>
          <w:spacing w:val="17"/>
        </w:rPr>
        <w:t> </w:t>
      </w:r>
      <w:r>
        <w:rPr/>
        <w:t>2015</w:t>
      </w:r>
      <w:r>
        <w:rPr>
          <w:spacing w:val="17"/>
        </w:rPr>
        <w:t> </w:t>
      </w:r>
      <w:r>
        <w:rPr/>
        <w:t>was</w:t>
      </w:r>
      <w:r>
        <w:rPr>
          <w:spacing w:val="17"/>
        </w:rPr>
        <w:t> </w:t>
      </w:r>
      <w:r>
        <w:rPr/>
        <w:t>$156.9</w:t>
      </w:r>
      <w:r>
        <w:rPr>
          <w:spacing w:val="17"/>
        </w:rPr>
        <w:t> </w:t>
      </w:r>
      <w:r>
        <w:rPr>
          <w:spacing w:val="-2"/>
        </w:rPr>
        <w:t>million,</w:t>
      </w:r>
    </w:p>
    <w:p>
      <w:pPr>
        <w:pStyle w:val="BodyText"/>
        <w:spacing w:before="10"/>
        <w:ind w:left="210"/>
      </w:pPr>
      <w:r>
        <w:rPr/>
        <w:t>$157.6</w:t>
      </w:r>
      <w:r>
        <w:rPr>
          <w:spacing w:val="-3"/>
        </w:rPr>
        <w:t> </w:t>
      </w:r>
      <w:r>
        <w:rPr/>
        <w:t>million</w:t>
      </w:r>
      <w:r>
        <w:rPr>
          <w:spacing w:val="-1"/>
        </w:rPr>
        <w:t> </w:t>
      </w:r>
      <w:r>
        <w:rPr/>
        <w:t>and $146.3 million, </w:t>
      </w:r>
      <w:r>
        <w:rPr>
          <w:spacing w:val="-2"/>
        </w:rPr>
        <w:t>respectively.</w:t>
      </w:r>
    </w:p>
    <w:p>
      <w:pPr>
        <w:pStyle w:val="BodyText"/>
        <w:spacing w:line="249" w:lineRule="auto" w:before="190"/>
        <w:ind w:left="210" w:right="247" w:firstLine="540"/>
        <w:jc w:val="both"/>
      </w:pPr>
      <w:r>
        <w:rPr/>
        <w:t>In March 2017, we exercised our option to purchase the</w:t>
      </w:r>
      <w:r>
        <w:rPr>
          <w:spacing w:val="-11"/>
        </w:rPr>
        <w:t> </w:t>
      </w:r>
      <w:r>
        <w:rPr/>
        <w:t>Almaden</w:t>
      </w:r>
      <w:r>
        <w:rPr>
          <w:spacing w:val="-3"/>
        </w:rPr>
        <w:t> </w:t>
      </w:r>
      <w:r>
        <w:rPr/>
        <w:t>Tower for a total purchase price of $103.6 million.</w:t>
      </w:r>
      <w:r>
        <w:rPr>
          <w:spacing w:val="-3"/>
        </w:rPr>
        <w:t> </w:t>
      </w:r>
      <w:r>
        <w:rPr/>
        <w:t>We capitalized the</w:t>
      </w:r>
      <w:r>
        <w:rPr>
          <w:spacing w:val="-6"/>
        </w:rPr>
        <w:t> </w:t>
      </w:r>
      <w:r>
        <w:rPr/>
        <w:t>Almaden Tower as property and equipment on our Consolidated Balance Sheets at $104.2 million, the lesser of cost or fair value, which represented the total purchase price plus other direct costs associated with the purchase.</w:t>
      </w:r>
    </w:p>
    <w:p>
      <w:pPr>
        <w:spacing w:before="162"/>
        <w:ind w:left="750" w:right="0" w:firstLine="0"/>
        <w:jc w:val="left"/>
        <w:rPr>
          <w:i/>
          <w:sz w:val="20"/>
        </w:rPr>
      </w:pPr>
      <w:hyperlink w:history="true" w:anchor="_bookmark30">
        <w:r>
          <w:rPr>
            <w:i/>
            <w:spacing w:val="-2"/>
            <w:sz w:val="20"/>
          </w:rPr>
          <w:t>See</w:t>
        </w:r>
        <w:r>
          <w:rPr>
            <w:i/>
            <w:spacing w:val="-16"/>
            <w:sz w:val="20"/>
          </w:rPr>
          <w:t> </w:t>
        </w:r>
        <w:r>
          <w:rPr>
            <w:i/>
            <w:spacing w:val="-2"/>
            <w:sz w:val="20"/>
          </w:rPr>
          <w:t>Note</w:t>
        </w:r>
        <w:r>
          <w:rPr>
            <w:i/>
            <w:spacing w:val="-13"/>
            <w:sz w:val="20"/>
          </w:rPr>
          <w:t> </w:t>
        </w:r>
        <w:r>
          <w:rPr>
            <w:i/>
            <w:spacing w:val="-2"/>
            <w:sz w:val="20"/>
          </w:rPr>
          <w:t>14</w:t>
        </w:r>
        <w:r>
          <w:rPr>
            <w:i/>
            <w:spacing w:val="-13"/>
            <w:sz w:val="20"/>
          </w:rPr>
          <w:t> </w:t>
        </w:r>
        <w:r>
          <w:rPr>
            <w:i/>
            <w:spacing w:val="-2"/>
            <w:sz w:val="20"/>
          </w:rPr>
          <w:t>of</w:t>
        </w:r>
        <w:r>
          <w:rPr>
            <w:i/>
            <w:spacing w:val="-13"/>
            <w:sz w:val="20"/>
          </w:rPr>
          <w:t> </w:t>
        </w:r>
        <w:r>
          <w:rPr>
            <w:i/>
            <w:spacing w:val="-2"/>
            <w:sz w:val="20"/>
          </w:rPr>
          <w:t>our</w:t>
        </w:r>
        <w:r>
          <w:rPr>
            <w:i/>
            <w:spacing w:val="-12"/>
            <w:sz w:val="20"/>
          </w:rPr>
          <w:t> </w:t>
        </w:r>
        <w:r>
          <w:rPr>
            <w:i/>
            <w:spacing w:val="-2"/>
            <w:sz w:val="20"/>
          </w:rPr>
          <w:t>Notes</w:t>
        </w:r>
        <w:r>
          <w:rPr>
            <w:i/>
            <w:spacing w:val="-13"/>
            <w:sz w:val="20"/>
          </w:rPr>
          <w:t> </w:t>
        </w:r>
        <w:r>
          <w:rPr>
            <w:i/>
            <w:spacing w:val="-2"/>
            <w:sz w:val="20"/>
          </w:rPr>
          <w:t>to</w:t>
        </w:r>
        <w:r>
          <w:rPr>
            <w:i/>
            <w:spacing w:val="-13"/>
            <w:sz w:val="20"/>
          </w:rPr>
          <w:t> </w:t>
        </w:r>
        <w:r>
          <w:rPr>
            <w:i/>
            <w:spacing w:val="-2"/>
            <w:sz w:val="20"/>
          </w:rPr>
          <w:t>Consolidated</w:t>
        </w:r>
        <w:r>
          <w:rPr>
            <w:i/>
            <w:spacing w:val="-14"/>
            <w:sz w:val="20"/>
          </w:rPr>
          <w:t> </w:t>
        </w:r>
        <w:r>
          <w:rPr>
            <w:i/>
            <w:spacing w:val="-2"/>
            <w:sz w:val="20"/>
          </w:rPr>
          <w:t>Financial</w:t>
        </w:r>
        <w:r>
          <w:rPr>
            <w:i/>
            <w:spacing w:val="-13"/>
            <w:sz w:val="20"/>
          </w:rPr>
          <w:t> </w:t>
        </w:r>
        <w:r>
          <w:rPr>
            <w:i/>
            <w:spacing w:val="-2"/>
            <w:sz w:val="20"/>
          </w:rPr>
          <w:t>Statements</w:t>
        </w:r>
        <w:r>
          <w:rPr>
            <w:i/>
            <w:spacing w:val="-12"/>
            <w:sz w:val="20"/>
          </w:rPr>
          <w:t> </w:t>
        </w:r>
        <w:r>
          <w:rPr>
            <w:i/>
            <w:spacing w:val="-2"/>
            <w:sz w:val="20"/>
          </w:rPr>
          <w:t>for</w:t>
        </w:r>
        <w:r>
          <w:rPr>
            <w:i/>
            <w:spacing w:val="-13"/>
            <w:sz w:val="20"/>
          </w:rPr>
          <w:t> </w:t>
        </w:r>
        <w:r>
          <w:rPr>
            <w:i/>
            <w:spacing w:val="-2"/>
            <w:sz w:val="20"/>
          </w:rPr>
          <w:t>additional</w:t>
        </w:r>
        <w:r>
          <w:rPr>
            <w:i/>
            <w:spacing w:val="-13"/>
            <w:sz w:val="20"/>
          </w:rPr>
          <w:t> </w:t>
        </w:r>
        <w:r>
          <w:rPr>
            <w:i/>
            <w:spacing w:val="-2"/>
            <w:sz w:val="20"/>
          </w:rPr>
          <w:t>information</w:t>
        </w:r>
        <w:r>
          <w:rPr>
            <w:i/>
            <w:spacing w:val="-13"/>
            <w:sz w:val="20"/>
          </w:rPr>
          <w:t> </w:t>
        </w:r>
        <w:r>
          <w:rPr>
            <w:i/>
            <w:spacing w:val="-2"/>
            <w:sz w:val="20"/>
          </w:rPr>
          <w:t>regarding</w:t>
        </w:r>
        <w:r>
          <w:rPr>
            <w:i/>
            <w:spacing w:val="-13"/>
            <w:sz w:val="20"/>
          </w:rPr>
          <w:t> </w:t>
        </w:r>
        <w:r>
          <w:rPr>
            <w:i/>
            <w:spacing w:val="-2"/>
            <w:sz w:val="20"/>
          </w:rPr>
          <w:t>purchase</w:t>
        </w:r>
        <w:r>
          <w:rPr>
            <w:i/>
            <w:spacing w:val="-14"/>
            <w:sz w:val="20"/>
          </w:rPr>
          <w:t> </w:t>
        </w:r>
        <w:r>
          <w:rPr>
            <w:i/>
            <w:spacing w:val="-2"/>
            <w:sz w:val="20"/>
          </w:rPr>
          <w:t>of</w:t>
        </w:r>
        <w:r>
          <w:rPr>
            <w:i/>
            <w:spacing w:val="-13"/>
            <w:sz w:val="20"/>
          </w:rPr>
          <w:t> </w:t>
        </w:r>
        <w:r>
          <w:rPr>
            <w:i/>
            <w:spacing w:val="-2"/>
            <w:sz w:val="20"/>
          </w:rPr>
          <w:t>the</w:t>
        </w:r>
        <w:r>
          <w:rPr>
            <w:i/>
            <w:spacing w:val="-15"/>
            <w:sz w:val="20"/>
          </w:rPr>
          <w:t> </w:t>
        </w:r>
        <w:r>
          <w:rPr>
            <w:i/>
            <w:spacing w:val="-2"/>
            <w:sz w:val="20"/>
          </w:rPr>
          <w:t>Almaden</w:t>
        </w:r>
      </w:hyperlink>
    </w:p>
    <w:p>
      <w:pPr>
        <w:spacing w:before="11"/>
        <w:ind w:left="210" w:right="0" w:firstLine="0"/>
        <w:jc w:val="left"/>
        <w:rPr>
          <w:i/>
          <w:sz w:val="20"/>
        </w:rPr>
      </w:pPr>
      <w:hyperlink w:history="true" w:anchor="_bookmark30">
        <w:r>
          <w:rPr>
            <w:i/>
            <w:spacing w:val="-2"/>
            <w:sz w:val="20"/>
          </w:rPr>
          <w:t>Tower.</w:t>
        </w:r>
      </w:hyperlink>
    </w:p>
    <w:p>
      <w:pPr>
        <w:pStyle w:val="Heading1"/>
        <w:spacing w:before="170"/>
      </w:pPr>
      <w:bookmarkStart w:name="NOTE 7. GOODWILL AND PURCHASED AND OTHER" w:id="77"/>
      <w:bookmarkEnd w:id="77"/>
      <w:r>
        <w:rPr>
          <w:b w:val="0"/>
        </w:rPr>
      </w:r>
      <w:r>
        <w:rPr/>
        <w:t>NOTE</w:t>
      </w:r>
      <w:r>
        <w:rPr>
          <w:spacing w:val="-6"/>
        </w:rPr>
        <w:t> </w:t>
      </w:r>
      <w:r>
        <w:rPr/>
        <w:t>7.</w:t>
      </w:r>
      <w:r>
        <w:rPr>
          <w:spacing w:val="45"/>
        </w:rPr>
        <w:t> </w:t>
      </w:r>
      <w:r>
        <w:rPr/>
        <w:t>GOODWILL</w:t>
      </w:r>
      <w:r>
        <w:rPr>
          <w:spacing w:val="-23"/>
        </w:rPr>
        <w:t> </w:t>
      </w:r>
      <w:r>
        <w:rPr/>
        <w:t>AND</w:t>
      </w:r>
      <w:r>
        <w:rPr>
          <w:spacing w:val="-3"/>
        </w:rPr>
        <w:t> </w:t>
      </w:r>
      <w:r>
        <w:rPr/>
        <w:t>PURCHASED</w:t>
      </w:r>
      <w:r>
        <w:rPr>
          <w:spacing w:val="-12"/>
        </w:rPr>
        <w:t> </w:t>
      </w:r>
      <w:r>
        <w:rPr/>
        <w:t>AND</w:t>
      </w:r>
      <w:r>
        <w:rPr>
          <w:spacing w:val="-3"/>
        </w:rPr>
        <w:t> </w:t>
      </w:r>
      <w:r>
        <w:rPr/>
        <w:t>OTHER</w:t>
      </w:r>
      <w:r>
        <w:rPr>
          <w:spacing w:val="-3"/>
        </w:rPr>
        <w:t> </w:t>
      </w:r>
      <w:r>
        <w:rPr>
          <w:spacing w:val="-2"/>
        </w:rPr>
        <w:t>INTANGIBLES</w:t>
      </w:r>
    </w:p>
    <w:p>
      <w:pPr>
        <w:pStyle w:val="BodyText"/>
        <w:spacing w:line="249" w:lineRule="auto" w:before="190"/>
        <w:ind w:left="220" w:right="240" w:firstLine="540"/>
      </w:pPr>
      <w:r>
        <w:rPr/>
        <w:t>Goodwill</w:t>
      </w:r>
      <w:r>
        <w:rPr>
          <w:spacing w:val="-6"/>
        </w:rPr>
        <w:t> </w:t>
      </w:r>
      <w:r>
        <w:rPr/>
        <w:t>by</w:t>
      </w:r>
      <w:r>
        <w:rPr>
          <w:spacing w:val="-6"/>
        </w:rPr>
        <w:t> </w:t>
      </w:r>
      <w:r>
        <w:rPr/>
        <w:t>reportable</w:t>
      </w:r>
      <w:r>
        <w:rPr>
          <w:spacing w:val="-6"/>
        </w:rPr>
        <w:t> </w:t>
      </w:r>
      <w:r>
        <w:rPr/>
        <w:t>segment</w:t>
      </w:r>
      <w:r>
        <w:rPr>
          <w:spacing w:val="-6"/>
        </w:rPr>
        <w:t> </w:t>
      </w:r>
      <w:r>
        <w:rPr/>
        <w:t>and</w:t>
      </w:r>
      <w:r>
        <w:rPr>
          <w:spacing w:val="-6"/>
        </w:rPr>
        <w:t> </w:t>
      </w:r>
      <w:r>
        <w:rPr/>
        <w:t>activity</w:t>
      </w:r>
      <w:r>
        <w:rPr>
          <w:spacing w:val="-6"/>
        </w:rPr>
        <w:t> </w:t>
      </w:r>
      <w:r>
        <w:rPr/>
        <w:t>for</w:t>
      </w:r>
      <w:r>
        <w:rPr>
          <w:spacing w:val="-6"/>
        </w:rPr>
        <w:t> </w:t>
      </w:r>
      <w:r>
        <w:rPr/>
        <w:t>the</w:t>
      </w:r>
      <w:r>
        <w:rPr>
          <w:spacing w:val="-6"/>
        </w:rPr>
        <w:t> </w:t>
      </w:r>
      <w:r>
        <w:rPr/>
        <w:t>years</w:t>
      </w:r>
      <w:r>
        <w:rPr>
          <w:spacing w:val="-6"/>
        </w:rPr>
        <w:t> </w:t>
      </w:r>
      <w:r>
        <w:rPr/>
        <w:t>ended</w:t>
      </w:r>
      <w:r>
        <w:rPr>
          <w:spacing w:val="-6"/>
        </w:rPr>
        <w:t> </w:t>
      </w:r>
      <w:r>
        <w:rPr/>
        <w:t>December</w:t>
      </w:r>
      <w:r>
        <w:rPr>
          <w:spacing w:val="-2"/>
        </w:rPr>
        <w:t> </w:t>
      </w:r>
      <w:r>
        <w:rPr/>
        <w:t>1,</w:t>
      </w:r>
      <w:r>
        <w:rPr>
          <w:spacing w:val="-6"/>
        </w:rPr>
        <w:t> </w:t>
      </w:r>
      <w:r>
        <w:rPr/>
        <w:t>2017</w:t>
      </w:r>
      <w:r>
        <w:rPr>
          <w:spacing w:val="-6"/>
        </w:rPr>
        <w:t> </w:t>
      </w:r>
      <w:r>
        <w:rPr/>
        <w:t>and</w:t>
      </w:r>
      <w:r>
        <w:rPr>
          <w:spacing w:val="-6"/>
        </w:rPr>
        <w:t> </w:t>
      </w:r>
      <w:r>
        <w:rPr/>
        <w:t>December</w:t>
      </w:r>
      <w:r>
        <w:rPr>
          <w:spacing w:val="-2"/>
        </w:rPr>
        <w:t> </w:t>
      </w:r>
      <w:r>
        <w:rPr/>
        <w:t>2,</w:t>
      </w:r>
      <w:r>
        <w:rPr>
          <w:spacing w:val="-6"/>
        </w:rPr>
        <w:t> </w:t>
      </w:r>
      <w:r>
        <w:rPr/>
        <w:t>2016</w:t>
      </w:r>
      <w:r>
        <w:rPr>
          <w:spacing w:val="-6"/>
        </w:rPr>
        <w:t> </w:t>
      </w:r>
      <w:r>
        <w:rPr/>
        <w:t>was</w:t>
      </w:r>
      <w:r>
        <w:rPr>
          <w:spacing w:val="-6"/>
        </w:rPr>
        <w:t> </w:t>
      </w:r>
      <w:r>
        <w:rPr/>
        <w:t>as</w:t>
      </w:r>
      <w:r>
        <w:rPr>
          <w:spacing w:val="-6"/>
        </w:rPr>
        <w:t> </w:t>
      </w:r>
      <w:r>
        <w:rPr/>
        <w:t>follows (in thousands):</w:t>
      </w:r>
    </w:p>
    <w:p>
      <w:pPr>
        <w:pStyle w:val="BodyText"/>
        <w:spacing w:before="9"/>
        <w:rPr>
          <w:sz w:val="12"/>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0"/>
        <w:gridCol w:w="1066"/>
        <w:gridCol w:w="1120"/>
        <w:gridCol w:w="1120"/>
        <w:gridCol w:w="1120"/>
        <w:gridCol w:w="1121"/>
        <w:gridCol w:w="1121"/>
        <w:gridCol w:w="1094"/>
      </w:tblGrid>
      <w:tr>
        <w:trPr>
          <w:trHeight w:val="281" w:hRule="atLeast"/>
        </w:trPr>
        <w:tc>
          <w:tcPr>
            <w:tcW w:w="2490" w:type="dxa"/>
          </w:tcPr>
          <w:p>
            <w:pPr>
              <w:pStyle w:val="TableParagraph"/>
              <w:rPr>
                <w:sz w:val="18"/>
              </w:rPr>
            </w:pPr>
          </w:p>
        </w:tc>
        <w:tc>
          <w:tcPr>
            <w:tcW w:w="1066" w:type="dxa"/>
            <w:tcBorders>
              <w:bottom w:val="single" w:sz="8" w:space="0" w:color="000000"/>
            </w:tcBorders>
          </w:tcPr>
          <w:p>
            <w:pPr>
              <w:pStyle w:val="TableParagraph"/>
              <w:spacing w:before="57"/>
              <w:ind w:left="350"/>
              <w:rPr>
                <w:b/>
                <w:sz w:val="16"/>
              </w:rPr>
            </w:pPr>
            <w:r>
              <w:rPr>
                <w:b/>
                <w:spacing w:val="-4"/>
                <w:sz w:val="16"/>
              </w:rPr>
              <w:t>2015</w:t>
            </w:r>
          </w:p>
        </w:tc>
        <w:tc>
          <w:tcPr>
            <w:tcW w:w="1120" w:type="dxa"/>
            <w:tcBorders>
              <w:bottom w:val="single" w:sz="8" w:space="0" w:color="000000"/>
            </w:tcBorders>
          </w:tcPr>
          <w:p>
            <w:pPr>
              <w:pStyle w:val="TableParagraph"/>
              <w:spacing w:before="57"/>
              <w:ind w:right="132"/>
              <w:jc w:val="right"/>
              <w:rPr>
                <w:b/>
                <w:sz w:val="16"/>
              </w:rPr>
            </w:pPr>
            <w:r>
              <w:rPr>
                <w:b/>
                <w:spacing w:val="-2"/>
                <w:sz w:val="16"/>
              </w:rPr>
              <w:t>Acquisitions</w:t>
            </w:r>
          </w:p>
        </w:tc>
        <w:tc>
          <w:tcPr>
            <w:tcW w:w="1120" w:type="dxa"/>
            <w:tcBorders>
              <w:bottom w:val="single" w:sz="8" w:space="0" w:color="000000"/>
            </w:tcBorders>
          </w:tcPr>
          <w:p>
            <w:pPr>
              <w:pStyle w:val="TableParagraph"/>
              <w:spacing w:line="241" w:lineRule="exact"/>
              <w:ind w:left="282"/>
              <w:rPr>
                <w:b/>
                <w:sz w:val="13"/>
              </w:rPr>
            </w:pPr>
            <w:r>
              <w:rPr>
                <w:b/>
                <w:spacing w:val="-2"/>
                <w:sz w:val="16"/>
              </w:rPr>
              <w:t>Other</w:t>
            </w:r>
            <w:r>
              <w:rPr>
                <w:b/>
                <w:spacing w:val="-2"/>
                <w:position w:val="9"/>
                <w:sz w:val="13"/>
              </w:rPr>
              <w:t>(1)</w:t>
            </w:r>
          </w:p>
        </w:tc>
        <w:tc>
          <w:tcPr>
            <w:tcW w:w="1120" w:type="dxa"/>
            <w:tcBorders>
              <w:bottom w:val="single" w:sz="8" w:space="0" w:color="000000"/>
            </w:tcBorders>
          </w:tcPr>
          <w:p>
            <w:pPr>
              <w:pStyle w:val="TableParagraph"/>
              <w:spacing w:before="57"/>
              <w:ind w:left="8"/>
              <w:jc w:val="center"/>
              <w:rPr>
                <w:b/>
                <w:sz w:val="16"/>
              </w:rPr>
            </w:pPr>
            <w:r>
              <w:rPr>
                <w:b/>
                <w:spacing w:val="-4"/>
                <w:sz w:val="16"/>
              </w:rPr>
              <w:t>2016</w:t>
            </w:r>
          </w:p>
        </w:tc>
        <w:tc>
          <w:tcPr>
            <w:tcW w:w="1121" w:type="dxa"/>
            <w:tcBorders>
              <w:bottom w:val="single" w:sz="8" w:space="0" w:color="000000"/>
            </w:tcBorders>
          </w:tcPr>
          <w:p>
            <w:pPr>
              <w:pStyle w:val="TableParagraph"/>
              <w:spacing w:before="57"/>
              <w:ind w:right="133"/>
              <w:jc w:val="right"/>
              <w:rPr>
                <w:b/>
                <w:sz w:val="16"/>
              </w:rPr>
            </w:pPr>
            <w:r>
              <w:rPr>
                <w:b/>
                <w:spacing w:val="-2"/>
                <w:sz w:val="16"/>
              </w:rPr>
              <w:t>Acquisitions</w:t>
            </w:r>
          </w:p>
        </w:tc>
        <w:tc>
          <w:tcPr>
            <w:tcW w:w="1121" w:type="dxa"/>
            <w:tcBorders>
              <w:bottom w:val="single" w:sz="8" w:space="0" w:color="000000"/>
            </w:tcBorders>
          </w:tcPr>
          <w:p>
            <w:pPr>
              <w:pStyle w:val="TableParagraph"/>
              <w:spacing w:line="241" w:lineRule="exact"/>
              <w:ind w:left="281"/>
              <w:rPr>
                <w:b/>
                <w:sz w:val="13"/>
              </w:rPr>
            </w:pPr>
            <w:r>
              <w:rPr>
                <w:b/>
                <w:spacing w:val="-2"/>
                <w:sz w:val="16"/>
              </w:rPr>
              <w:t>Other</w:t>
            </w:r>
            <w:r>
              <w:rPr>
                <w:b/>
                <w:spacing w:val="-2"/>
                <w:position w:val="9"/>
                <w:sz w:val="13"/>
              </w:rPr>
              <w:t>(1)</w:t>
            </w:r>
          </w:p>
        </w:tc>
        <w:tc>
          <w:tcPr>
            <w:tcW w:w="1094" w:type="dxa"/>
            <w:tcBorders>
              <w:bottom w:val="single" w:sz="8" w:space="0" w:color="000000"/>
            </w:tcBorders>
          </w:tcPr>
          <w:p>
            <w:pPr>
              <w:pStyle w:val="TableParagraph"/>
              <w:spacing w:before="57"/>
              <w:ind w:left="30"/>
              <w:jc w:val="center"/>
              <w:rPr>
                <w:b/>
                <w:sz w:val="16"/>
              </w:rPr>
            </w:pPr>
            <w:r>
              <w:rPr>
                <w:b/>
                <w:spacing w:val="-4"/>
                <w:sz w:val="16"/>
              </w:rPr>
              <w:t>2017</w:t>
            </w:r>
          </w:p>
        </w:tc>
      </w:tr>
      <w:tr>
        <w:trPr>
          <w:trHeight w:val="270" w:hRule="atLeast"/>
        </w:trPr>
        <w:tc>
          <w:tcPr>
            <w:tcW w:w="2490" w:type="dxa"/>
            <w:shd w:val="clear" w:color="auto" w:fill="CCEDFF"/>
          </w:tcPr>
          <w:p>
            <w:pPr>
              <w:pStyle w:val="TableParagraph"/>
              <w:spacing w:line="222" w:lineRule="exact"/>
              <w:ind w:left="60"/>
              <w:rPr>
                <w:sz w:val="20"/>
              </w:rPr>
            </w:pPr>
            <w:r>
              <w:rPr>
                <w:sz w:val="20"/>
              </w:rPr>
              <w:t>Digital </w:t>
            </w:r>
            <w:r>
              <w:rPr>
                <w:spacing w:val="-2"/>
                <w:sz w:val="20"/>
              </w:rPr>
              <w:t>Media</w:t>
            </w:r>
          </w:p>
        </w:tc>
        <w:tc>
          <w:tcPr>
            <w:tcW w:w="1066" w:type="dxa"/>
            <w:tcBorders>
              <w:top w:val="single" w:sz="8" w:space="0" w:color="000000"/>
            </w:tcBorders>
            <w:shd w:val="clear" w:color="auto" w:fill="CCEDFF"/>
          </w:tcPr>
          <w:p>
            <w:pPr>
              <w:pStyle w:val="TableParagraph"/>
              <w:spacing w:line="222" w:lineRule="exact"/>
              <w:ind w:right="103"/>
              <w:jc w:val="right"/>
              <w:rPr>
                <w:sz w:val="20"/>
              </w:rPr>
            </w:pPr>
            <w:r>
              <w:rPr>
                <w:spacing w:val="-2"/>
                <w:sz w:val="20"/>
              </w:rPr>
              <w:t>$2,796,302</w:t>
            </w:r>
          </w:p>
        </w:tc>
        <w:tc>
          <w:tcPr>
            <w:tcW w:w="1120" w:type="dxa"/>
            <w:tcBorders>
              <w:top w:val="single" w:sz="8" w:space="0" w:color="000000"/>
            </w:tcBorders>
            <w:shd w:val="clear" w:color="auto" w:fill="CCEDFF"/>
          </w:tcPr>
          <w:p>
            <w:pPr>
              <w:pStyle w:val="TableParagraph"/>
              <w:tabs>
                <w:tab w:pos="712" w:val="left" w:leader="none"/>
              </w:tabs>
              <w:spacing w:line="222" w:lineRule="exact"/>
              <w:ind w:right="102"/>
              <w:jc w:val="right"/>
              <w:rPr>
                <w:sz w:val="20"/>
              </w:rPr>
            </w:pPr>
            <w:r>
              <w:rPr>
                <w:spacing w:val="-10"/>
                <w:sz w:val="20"/>
              </w:rPr>
              <w:t>$</w:t>
            </w:r>
            <w:r>
              <w:rPr>
                <w:sz w:val="20"/>
              </w:rPr>
              <w:tab/>
            </w:r>
            <w:r>
              <w:rPr>
                <w:spacing w:val="-10"/>
                <w:sz w:val="20"/>
              </w:rPr>
              <w:t>—</w:t>
            </w:r>
          </w:p>
        </w:tc>
        <w:tc>
          <w:tcPr>
            <w:tcW w:w="1120" w:type="dxa"/>
            <w:tcBorders>
              <w:top w:val="single" w:sz="8" w:space="0" w:color="000000"/>
            </w:tcBorders>
            <w:shd w:val="clear" w:color="auto" w:fill="CCEDFF"/>
          </w:tcPr>
          <w:p>
            <w:pPr>
              <w:pStyle w:val="TableParagraph"/>
              <w:tabs>
                <w:tab w:pos="612" w:val="left" w:leader="none"/>
              </w:tabs>
              <w:spacing w:line="222" w:lineRule="exact"/>
              <w:ind w:right="102"/>
              <w:jc w:val="right"/>
              <w:rPr>
                <w:sz w:val="20"/>
              </w:rPr>
            </w:pPr>
            <w:r>
              <w:rPr>
                <w:spacing w:val="-10"/>
                <w:sz w:val="20"/>
              </w:rPr>
              <w:t>$</w:t>
            </w:r>
            <w:r>
              <w:rPr>
                <w:sz w:val="20"/>
              </w:rPr>
              <w:tab/>
            </w:r>
            <w:r>
              <w:rPr>
                <w:spacing w:val="-5"/>
                <w:sz w:val="20"/>
              </w:rPr>
              <w:t>288</w:t>
            </w:r>
          </w:p>
        </w:tc>
        <w:tc>
          <w:tcPr>
            <w:tcW w:w="1120" w:type="dxa"/>
            <w:tcBorders>
              <w:top w:val="single" w:sz="8" w:space="0" w:color="000000"/>
            </w:tcBorders>
            <w:shd w:val="clear" w:color="auto" w:fill="CCEDFF"/>
          </w:tcPr>
          <w:p>
            <w:pPr>
              <w:pStyle w:val="TableParagraph"/>
              <w:spacing w:line="222" w:lineRule="exact"/>
              <w:ind w:right="103"/>
              <w:jc w:val="right"/>
              <w:rPr>
                <w:sz w:val="20"/>
              </w:rPr>
            </w:pPr>
            <w:r>
              <w:rPr>
                <w:spacing w:val="-2"/>
                <w:sz w:val="20"/>
              </w:rPr>
              <w:t>$2,796,590</w:t>
            </w:r>
          </w:p>
        </w:tc>
        <w:tc>
          <w:tcPr>
            <w:tcW w:w="1121" w:type="dxa"/>
            <w:tcBorders>
              <w:top w:val="single" w:sz="8" w:space="0" w:color="000000"/>
            </w:tcBorders>
            <w:shd w:val="clear" w:color="auto" w:fill="CCEDFF"/>
          </w:tcPr>
          <w:p>
            <w:pPr>
              <w:pStyle w:val="TableParagraph"/>
              <w:tabs>
                <w:tab w:pos="712" w:val="left" w:leader="none"/>
              </w:tabs>
              <w:spacing w:line="222" w:lineRule="exact"/>
              <w:ind w:right="103"/>
              <w:jc w:val="right"/>
              <w:rPr>
                <w:sz w:val="20"/>
              </w:rPr>
            </w:pPr>
            <w:r>
              <w:rPr>
                <w:spacing w:val="-10"/>
                <w:sz w:val="20"/>
              </w:rPr>
              <w:t>$</w:t>
            </w:r>
            <w:r>
              <w:rPr>
                <w:sz w:val="20"/>
              </w:rPr>
              <w:tab/>
            </w:r>
            <w:r>
              <w:rPr>
                <w:spacing w:val="-10"/>
                <w:sz w:val="20"/>
              </w:rPr>
              <w:t>—</w:t>
            </w:r>
          </w:p>
        </w:tc>
        <w:tc>
          <w:tcPr>
            <w:tcW w:w="1121" w:type="dxa"/>
            <w:tcBorders>
              <w:top w:val="single" w:sz="8" w:space="0" w:color="000000"/>
            </w:tcBorders>
            <w:shd w:val="clear" w:color="auto" w:fill="CCEDFF"/>
          </w:tcPr>
          <w:p>
            <w:pPr>
              <w:pStyle w:val="TableParagraph"/>
              <w:tabs>
                <w:tab w:pos="462" w:val="left" w:leader="none"/>
              </w:tabs>
              <w:spacing w:line="222" w:lineRule="exact"/>
              <w:ind w:right="104"/>
              <w:jc w:val="right"/>
              <w:rPr>
                <w:sz w:val="20"/>
              </w:rPr>
            </w:pPr>
            <w:r>
              <w:rPr>
                <w:spacing w:val="-10"/>
                <w:sz w:val="20"/>
              </w:rPr>
              <w:t>$</w:t>
            </w:r>
            <w:r>
              <w:rPr>
                <w:sz w:val="20"/>
              </w:rPr>
              <w:tab/>
            </w:r>
            <w:r>
              <w:rPr>
                <w:spacing w:val="-2"/>
                <w:sz w:val="20"/>
              </w:rPr>
              <w:t>4,501</w:t>
            </w:r>
          </w:p>
        </w:tc>
        <w:tc>
          <w:tcPr>
            <w:tcW w:w="1094" w:type="dxa"/>
            <w:tcBorders>
              <w:top w:val="single" w:sz="8" w:space="0" w:color="000000"/>
            </w:tcBorders>
            <w:shd w:val="clear" w:color="auto" w:fill="CCEDFF"/>
          </w:tcPr>
          <w:p>
            <w:pPr>
              <w:pStyle w:val="TableParagraph"/>
              <w:spacing w:line="222" w:lineRule="exact"/>
              <w:ind w:right="79"/>
              <w:jc w:val="right"/>
              <w:rPr>
                <w:sz w:val="20"/>
              </w:rPr>
            </w:pPr>
            <w:r>
              <w:rPr>
                <w:spacing w:val="-2"/>
                <w:sz w:val="20"/>
              </w:rPr>
              <w:t>$2,801,091</w:t>
            </w:r>
          </w:p>
        </w:tc>
      </w:tr>
      <w:tr>
        <w:trPr>
          <w:trHeight w:val="280" w:hRule="atLeast"/>
        </w:trPr>
        <w:tc>
          <w:tcPr>
            <w:tcW w:w="2490" w:type="dxa"/>
          </w:tcPr>
          <w:p>
            <w:pPr>
              <w:pStyle w:val="TableParagraph"/>
              <w:spacing w:before="2"/>
              <w:ind w:left="60"/>
              <w:rPr>
                <w:sz w:val="20"/>
              </w:rPr>
            </w:pPr>
            <w:r>
              <w:rPr>
                <w:sz w:val="20"/>
              </w:rPr>
              <w:t>Digital </w:t>
            </w:r>
            <w:r>
              <w:rPr>
                <w:spacing w:val="-2"/>
                <w:sz w:val="20"/>
              </w:rPr>
              <w:t>Marketing</w:t>
            </w:r>
          </w:p>
        </w:tc>
        <w:tc>
          <w:tcPr>
            <w:tcW w:w="1066" w:type="dxa"/>
          </w:tcPr>
          <w:p>
            <w:pPr>
              <w:pStyle w:val="TableParagraph"/>
              <w:spacing w:before="2"/>
              <w:ind w:right="103"/>
              <w:jc w:val="right"/>
              <w:rPr>
                <w:sz w:val="20"/>
              </w:rPr>
            </w:pPr>
            <w:r>
              <w:rPr>
                <w:spacing w:val="-2"/>
                <w:sz w:val="20"/>
              </w:rPr>
              <w:t>2,312,158</w:t>
            </w:r>
          </w:p>
        </w:tc>
        <w:tc>
          <w:tcPr>
            <w:tcW w:w="1120" w:type="dxa"/>
          </w:tcPr>
          <w:p>
            <w:pPr>
              <w:pStyle w:val="TableParagraph"/>
              <w:spacing w:before="2"/>
              <w:ind w:right="102"/>
              <w:jc w:val="right"/>
              <w:rPr>
                <w:sz w:val="20"/>
              </w:rPr>
            </w:pPr>
            <w:r>
              <w:rPr>
                <w:spacing w:val="-2"/>
                <w:sz w:val="20"/>
              </w:rPr>
              <w:t>35,802</w:t>
            </w:r>
          </w:p>
        </w:tc>
        <w:tc>
          <w:tcPr>
            <w:tcW w:w="1120" w:type="dxa"/>
          </w:tcPr>
          <w:p>
            <w:pPr>
              <w:pStyle w:val="TableParagraph"/>
              <w:spacing w:before="2"/>
              <w:ind w:right="102"/>
              <w:jc w:val="right"/>
              <w:rPr>
                <w:sz w:val="20"/>
              </w:rPr>
            </w:pPr>
            <w:r>
              <w:rPr>
                <w:spacing w:val="-2"/>
                <w:sz w:val="20"/>
              </w:rPr>
              <w:t>3,502</w:t>
            </w:r>
          </w:p>
        </w:tc>
        <w:tc>
          <w:tcPr>
            <w:tcW w:w="1120" w:type="dxa"/>
          </w:tcPr>
          <w:p>
            <w:pPr>
              <w:pStyle w:val="TableParagraph"/>
              <w:spacing w:before="2"/>
              <w:ind w:right="103"/>
              <w:jc w:val="right"/>
              <w:rPr>
                <w:sz w:val="20"/>
              </w:rPr>
            </w:pPr>
            <w:r>
              <w:rPr>
                <w:spacing w:val="-2"/>
                <w:sz w:val="20"/>
              </w:rPr>
              <w:t>2,351,462</w:t>
            </w:r>
          </w:p>
        </w:tc>
        <w:tc>
          <w:tcPr>
            <w:tcW w:w="1121" w:type="dxa"/>
          </w:tcPr>
          <w:p>
            <w:pPr>
              <w:pStyle w:val="TableParagraph"/>
              <w:spacing w:before="2"/>
              <w:ind w:right="104"/>
              <w:jc w:val="right"/>
              <w:rPr>
                <w:sz w:val="20"/>
              </w:rPr>
            </w:pPr>
            <w:r>
              <w:rPr>
                <w:spacing w:val="-2"/>
                <w:sz w:val="20"/>
              </w:rPr>
              <w:t>348,352</w:t>
            </w:r>
          </w:p>
        </w:tc>
        <w:tc>
          <w:tcPr>
            <w:tcW w:w="1121" w:type="dxa"/>
          </w:tcPr>
          <w:p>
            <w:pPr>
              <w:pStyle w:val="TableParagraph"/>
              <w:spacing w:before="2"/>
              <w:ind w:right="104"/>
              <w:jc w:val="right"/>
              <w:rPr>
                <w:sz w:val="20"/>
              </w:rPr>
            </w:pPr>
            <w:r>
              <w:rPr>
                <w:spacing w:val="-2"/>
                <w:sz w:val="20"/>
              </w:rPr>
              <w:t>62,232</w:t>
            </w:r>
          </w:p>
        </w:tc>
        <w:tc>
          <w:tcPr>
            <w:tcW w:w="1094" w:type="dxa"/>
          </w:tcPr>
          <w:p>
            <w:pPr>
              <w:pStyle w:val="TableParagraph"/>
              <w:spacing w:before="2"/>
              <w:ind w:right="79"/>
              <w:jc w:val="right"/>
              <w:rPr>
                <w:sz w:val="20"/>
              </w:rPr>
            </w:pPr>
            <w:r>
              <w:rPr>
                <w:spacing w:val="-2"/>
                <w:sz w:val="20"/>
              </w:rPr>
              <w:t>2,762,046</w:t>
            </w:r>
          </w:p>
        </w:tc>
      </w:tr>
      <w:tr>
        <w:trPr>
          <w:trHeight w:val="270" w:hRule="atLeast"/>
        </w:trPr>
        <w:tc>
          <w:tcPr>
            <w:tcW w:w="2490" w:type="dxa"/>
            <w:shd w:val="clear" w:color="auto" w:fill="CCEDFF"/>
          </w:tcPr>
          <w:p>
            <w:pPr>
              <w:pStyle w:val="TableParagraph"/>
              <w:spacing w:before="2"/>
              <w:ind w:left="60"/>
              <w:rPr>
                <w:sz w:val="20"/>
              </w:rPr>
            </w:pPr>
            <w:r>
              <w:rPr>
                <w:sz w:val="20"/>
              </w:rPr>
              <w:t>Print and </w:t>
            </w:r>
            <w:r>
              <w:rPr>
                <w:spacing w:val="-2"/>
                <w:sz w:val="20"/>
              </w:rPr>
              <w:t>Publishing</w:t>
            </w:r>
          </w:p>
        </w:tc>
        <w:tc>
          <w:tcPr>
            <w:tcW w:w="1066" w:type="dxa"/>
            <w:tcBorders>
              <w:bottom w:val="single" w:sz="8" w:space="0" w:color="000000"/>
            </w:tcBorders>
            <w:shd w:val="clear" w:color="auto" w:fill="CCEDFF"/>
          </w:tcPr>
          <w:p>
            <w:pPr>
              <w:pStyle w:val="TableParagraph"/>
              <w:spacing w:before="2"/>
              <w:ind w:right="103"/>
              <w:jc w:val="right"/>
              <w:rPr>
                <w:sz w:val="20"/>
              </w:rPr>
            </w:pPr>
            <w:r>
              <w:rPr>
                <w:spacing w:val="-2"/>
                <w:sz w:val="20"/>
              </w:rPr>
              <w:t>258,421</w:t>
            </w:r>
          </w:p>
        </w:tc>
        <w:tc>
          <w:tcPr>
            <w:tcW w:w="1120" w:type="dxa"/>
            <w:tcBorders>
              <w:bottom w:val="single" w:sz="8" w:space="0" w:color="000000"/>
            </w:tcBorders>
            <w:shd w:val="clear" w:color="auto" w:fill="CCEDFF"/>
          </w:tcPr>
          <w:p>
            <w:pPr>
              <w:pStyle w:val="TableParagraph"/>
              <w:spacing w:before="2"/>
              <w:ind w:right="102"/>
              <w:jc w:val="right"/>
              <w:rPr>
                <w:sz w:val="20"/>
              </w:rPr>
            </w:pPr>
            <w:r>
              <w:rPr>
                <w:spacing w:val="-10"/>
                <w:sz w:val="20"/>
              </w:rPr>
              <w:t>—</w:t>
            </w:r>
          </w:p>
        </w:tc>
        <w:tc>
          <w:tcPr>
            <w:tcW w:w="1120" w:type="dxa"/>
            <w:tcBorders>
              <w:bottom w:val="single" w:sz="8" w:space="0" w:color="000000"/>
            </w:tcBorders>
            <w:shd w:val="clear" w:color="auto" w:fill="CCEDFF"/>
          </w:tcPr>
          <w:p>
            <w:pPr>
              <w:pStyle w:val="TableParagraph"/>
              <w:spacing w:before="2"/>
              <w:ind w:right="102"/>
              <w:jc w:val="right"/>
              <w:rPr>
                <w:sz w:val="20"/>
              </w:rPr>
            </w:pPr>
            <w:r>
              <w:rPr>
                <w:spacing w:val="-10"/>
                <w:sz w:val="20"/>
              </w:rPr>
              <w:t>1</w:t>
            </w:r>
          </w:p>
        </w:tc>
        <w:tc>
          <w:tcPr>
            <w:tcW w:w="1120" w:type="dxa"/>
            <w:tcBorders>
              <w:bottom w:val="single" w:sz="8" w:space="0" w:color="000000"/>
            </w:tcBorders>
            <w:shd w:val="clear" w:color="auto" w:fill="CCEDFF"/>
          </w:tcPr>
          <w:p>
            <w:pPr>
              <w:pStyle w:val="TableParagraph"/>
              <w:spacing w:before="2"/>
              <w:ind w:right="103"/>
              <w:jc w:val="right"/>
              <w:rPr>
                <w:sz w:val="20"/>
              </w:rPr>
            </w:pPr>
            <w:r>
              <w:rPr>
                <w:spacing w:val="-2"/>
                <w:sz w:val="20"/>
              </w:rPr>
              <w:t>258,422</w:t>
            </w:r>
          </w:p>
        </w:tc>
        <w:tc>
          <w:tcPr>
            <w:tcW w:w="1121" w:type="dxa"/>
            <w:tcBorders>
              <w:bottom w:val="single" w:sz="8" w:space="0" w:color="000000"/>
            </w:tcBorders>
            <w:shd w:val="clear" w:color="auto" w:fill="CCEDFF"/>
          </w:tcPr>
          <w:p>
            <w:pPr>
              <w:pStyle w:val="TableParagraph"/>
              <w:spacing w:before="2"/>
              <w:ind w:right="103"/>
              <w:jc w:val="right"/>
              <w:rPr>
                <w:sz w:val="20"/>
              </w:rPr>
            </w:pPr>
            <w:r>
              <w:rPr>
                <w:spacing w:val="-10"/>
                <w:sz w:val="20"/>
              </w:rPr>
              <w:t>—</w:t>
            </w:r>
          </w:p>
        </w:tc>
        <w:tc>
          <w:tcPr>
            <w:tcW w:w="1121" w:type="dxa"/>
            <w:tcBorders>
              <w:bottom w:val="single" w:sz="8" w:space="0" w:color="000000"/>
            </w:tcBorders>
            <w:shd w:val="clear" w:color="auto" w:fill="CCEDFF"/>
          </w:tcPr>
          <w:p>
            <w:pPr>
              <w:pStyle w:val="TableParagraph"/>
              <w:spacing w:before="2"/>
              <w:ind w:right="104"/>
              <w:jc w:val="right"/>
              <w:rPr>
                <w:sz w:val="20"/>
              </w:rPr>
            </w:pPr>
            <w:r>
              <w:rPr>
                <w:spacing w:val="-10"/>
                <w:sz w:val="20"/>
              </w:rPr>
              <w:t>2</w:t>
            </w:r>
          </w:p>
        </w:tc>
        <w:tc>
          <w:tcPr>
            <w:tcW w:w="1094" w:type="dxa"/>
            <w:tcBorders>
              <w:bottom w:val="single" w:sz="8" w:space="0" w:color="000000"/>
            </w:tcBorders>
            <w:shd w:val="clear" w:color="auto" w:fill="CCEDFF"/>
          </w:tcPr>
          <w:p>
            <w:pPr>
              <w:pStyle w:val="TableParagraph"/>
              <w:spacing w:before="2"/>
              <w:ind w:right="79"/>
              <w:jc w:val="right"/>
              <w:rPr>
                <w:sz w:val="20"/>
              </w:rPr>
            </w:pPr>
            <w:r>
              <w:rPr>
                <w:spacing w:val="-2"/>
                <w:sz w:val="20"/>
              </w:rPr>
              <w:t>258,424</w:t>
            </w:r>
          </w:p>
        </w:tc>
      </w:tr>
      <w:tr>
        <w:trPr>
          <w:trHeight w:val="240" w:hRule="atLeast"/>
        </w:trPr>
        <w:tc>
          <w:tcPr>
            <w:tcW w:w="2490" w:type="dxa"/>
          </w:tcPr>
          <w:p>
            <w:pPr>
              <w:pStyle w:val="TableParagraph"/>
              <w:spacing w:line="220" w:lineRule="exact"/>
              <w:ind w:left="180"/>
              <w:rPr>
                <w:sz w:val="20"/>
              </w:rPr>
            </w:pPr>
            <w:r>
              <w:rPr>
                <w:spacing w:val="-2"/>
                <w:sz w:val="20"/>
              </w:rPr>
              <w:t>Goodwill</w:t>
            </w:r>
          </w:p>
        </w:tc>
        <w:tc>
          <w:tcPr>
            <w:tcW w:w="1066" w:type="dxa"/>
            <w:tcBorders>
              <w:top w:val="single" w:sz="8" w:space="0" w:color="000000"/>
              <w:bottom w:val="double" w:sz="8" w:space="0" w:color="000000"/>
            </w:tcBorders>
          </w:tcPr>
          <w:p>
            <w:pPr>
              <w:pStyle w:val="TableParagraph"/>
              <w:spacing w:line="220" w:lineRule="exact"/>
              <w:ind w:right="103"/>
              <w:jc w:val="right"/>
              <w:rPr>
                <w:sz w:val="20"/>
              </w:rPr>
            </w:pPr>
            <w:r>
              <w:rPr>
                <w:spacing w:val="-2"/>
                <w:sz w:val="20"/>
              </w:rPr>
              <w:t>$5,366,881</w:t>
            </w:r>
          </w:p>
        </w:tc>
        <w:tc>
          <w:tcPr>
            <w:tcW w:w="1120" w:type="dxa"/>
            <w:tcBorders>
              <w:top w:val="single" w:sz="8" w:space="0" w:color="000000"/>
              <w:bottom w:val="double" w:sz="8" w:space="0" w:color="000000"/>
            </w:tcBorders>
          </w:tcPr>
          <w:p>
            <w:pPr>
              <w:pStyle w:val="TableParagraph"/>
              <w:tabs>
                <w:tab w:pos="362" w:val="left" w:leader="none"/>
              </w:tabs>
              <w:spacing w:line="220" w:lineRule="exact"/>
              <w:ind w:right="102"/>
              <w:jc w:val="right"/>
              <w:rPr>
                <w:sz w:val="20"/>
              </w:rPr>
            </w:pPr>
            <w:r>
              <w:rPr>
                <w:spacing w:val="-10"/>
                <w:sz w:val="20"/>
              </w:rPr>
              <w:t>$</w:t>
            </w:r>
            <w:r>
              <w:rPr>
                <w:sz w:val="20"/>
              </w:rPr>
              <w:tab/>
            </w:r>
            <w:r>
              <w:rPr>
                <w:spacing w:val="-2"/>
                <w:sz w:val="20"/>
              </w:rPr>
              <w:t>35,802</w:t>
            </w:r>
          </w:p>
        </w:tc>
        <w:tc>
          <w:tcPr>
            <w:tcW w:w="1120" w:type="dxa"/>
            <w:tcBorders>
              <w:top w:val="single" w:sz="8" w:space="0" w:color="000000"/>
              <w:bottom w:val="double" w:sz="8" w:space="0" w:color="000000"/>
            </w:tcBorders>
          </w:tcPr>
          <w:p>
            <w:pPr>
              <w:pStyle w:val="TableParagraph"/>
              <w:tabs>
                <w:tab w:pos="462" w:val="left" w:leader="none"/>
              </w:tabs>
              <w:spacing w:line="220" w:lineRule="exact"/>
              <w:ind w:right="102"/>
              <w:jc w:val="right"/>
              <w:rPr>
                <w:sz w:val="20"/>
              </w:rPr>
            </w:pPr>
            <w:r>
              <w:rPr>
                <w:spacing w:val="-10"/>
                <w:sz w:val="20"/>
              </w:rPr>
              <w:t>$</w:t>
            </w:r>
            <w:r>
              <w:rPr>
                <w:sz w:val="20"/>
              </w:rPr>
              <w:tab/>
            </w:r>
            <w:r>
              <w:rPr>
                <w:spacing w:val="-2"/>
                <w:sz w:val="20"/>
              </w:rPr>
              <w:t>3,791</w:t>
            </w:r>
          </w:p>
        </w:tc>
        <w:tc>
          <w:tcPr>
            <w:tcW w:w="1120" w:type="dxa"/>
            <w:tcBorders>
              <w:top w:val="single" w:sz="8" w:space="0" w:color="000000"/>
              <w:bottom w:val="double" w:sz="8" w:space="0" w:color="000000"/>
            </w:tcBorders>
          </w:tcPr>
          <w:p>
            <w:pPr>
              <w:pStyle w:val="TableParagraph"/>
              <w:spacing w:line="220" w:lineRule="exact"/>
              <w:ind w:right="103"/>
              <w:jc w:val="right"/>
              <w:rPr>
                <w:sz w:val="20"/>
              </w:rPr>
            </w:pPr>
            <w:r>
              <w:rPr>
                <w:spacing w:val="-2"/>
                <w:sz w:val="20"/>
              </w:rPr>
              <w:t>$5,406,474</w:t>
            </w:r>
          </w:p>
        </w:tc>
        <w:tc>
          <w:tcPr>
            <w:tcW w:w="1121" w:type="dxa"/>
            <w:tcBorders>
              <w:top w:val="single" w:sz="8" w:space="0" w:color="000000"/>
              <w:bottom w:val="double" w:sz="8" w:space="0" w:color="000000"/>
            </w:tcBorders>
          </w:tcPr>
          <w:p>
            <w:pPr>
              <w:pStyle w:val="TableParagraph"/>
              <w:spacing w:line="220" w:lineRule="exact"/>
              <w:ind w:right="104"/>
              <w:jc w:val="right"/>
              <w:rPr>
                <w:sz w:val="20"/>
              </w:rPr>
            </w:pPr>
            <w:r>
              <w:rPr>
                <w:sz w:val="20"/>
              </w:rPr>
              <w:t>$</w:t>
            </w:r>
            <w:r>
              <w:rPr>
                <w:spacing w:val="31"/>
                <w:sz w:val="20"/>
              </w:rPr>
              <w:t>  </w:t>
            </w:r>
            <w:r>
              <w:rPr>
                <w:spacing w:val="-2"/>
                <w:sz w:val="20"/>
              </w:rPr>
              <w:t>348,352</w:t>
            </w:r>
          </w:p>
        </w:tc>
        <w:tc>
          <w:tcPr>
            <w:tcW w:w="1121" w:type="dxa"/>
            <w:tcBorders>
              <w:top w:val="single" w:sz="8" w:space="0" w:color="000000"/>
              <w:bottom w:val="double" w:sz="8" w:space="0" w:color="000000"/>
            </w:tcBorders>
          </w:tcPr>
          <w:p>
            <w:pPr>
              <w:pStyle w:val="TableParagraph"/>
              <w:tabs>
                <w:tab w:pos="362" w:val="left" w:leader="none"/>
              </w:tabs>
              <w:spacing w:line="220" w:lineRule="exact"/>
              <w:ind w:right="104"/>
              <w:jc w:val="right"/>
              <w:rPr>
                <w:sz w:val="20"/>
              </w:rPr>
            </w:pPr>
            <w:r>
              <w:rPr>
                <w:spacing w:val="-10"/>
                <w:sz w:val="20"/>
              </w:rPr>
              <w:t>$</w:t>
            </w:r>
            <w:r>
              <w:rPr>
                <w:sz w:val="20"/>
              </w:rPr>
              <w:tab/>
            </w:r>
            <w:r>
              <w:rPr>
                <w:spacing w:val="-2"/>
                <w:sz w:val="20"/>
              </w:rPr>
              <w:t>66,735</w:t>
            </w:r>
          </w:p>
        </w:tc>
        <w:tc>
          <w:tcPr>
            <w:tcW w:w="1094" w:type="dxa"/>
            <w:tcBorders>
              <w:top w:val="single" w:sz="8" w:space="0" w:color="000000"/>
              <w:bottom w:val="double" w:sz="8" w:space="0" w:color="000000"/>
            </w:tcBorders>
          </w:tcPr>
          <w:p>
            <w:pPr>
              <w:pStyle w:val="TableParagraph"/>
              <w:spacing w:line="220" w:lineRule="exact"/>
              <w:ind w:right="79"/>
              <w:jc w:val="right"/>
              <w:rPr>
                <w:sz w:val="20"/>
              </w:rPr>
            </w:pPr>
            <w:r>
              <w:rPr>
                <w:spacing w:val="-2"/>
                <w:sz w:val="20"/>
              </w:rPr>
              <w:t>$5,821,561</w:t>
            </w:r>
          </w:p>
        </w:tc>
      </w:tr>
    </w:tbl>
    <w:p>
      <w:pPr>
        <w:pStyle w:val="BodyText"/>
        <w:spacing w:before="7"/>
        <w:rPr>
          <w:sz w:val="9"/>
        </w:rPr>
      </w:pPr>
      <w:r>
        <w:rPr/>
        <mc:AlternateContent>
          <mc:Choice Requires="wps">
            <w:drawing>
              <wp:anchor distT="0" distB="0" distL="0" distR="0" allowOverlap="1" layoutInCell="1" locked="0" behindDoc="1" simplePos="0" relativeHeight="487674368">
                <wp:simplePos x="0" y="0"/>
                <wp:positionH relativeFrom="page">
                  <wp:posOffset>635000</wp:posOffset>
                </wp:positionH>
                <wp:positionV relativeFrom="paragraph">
                  <wp:posOffset>85677</wp:posOffset>
                </wp:positionV>
                <wp:extent cx="1692275" cy="1270"/>
                <wp:effectExtent l="0" t="0" r="0" b="0"/>
                <wp:wrapTopAndBottom/>
                <wp:docPr id="478" name="Graphic 478"/>
                <wp:cNvGraphicFramePr>
                  <a:graphicFrameLocks/>
                </wp:cNvGraphicFramePr>
                <a:graphic>
                  <a:graphicData uri="http://schemas.microsoft.com/office/word/2010/wordprocessingShape">
                    <wps:wsp>
                      <wps:cNvPr id="478" name="Graphic 478"/>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6.746238pt;width:133.25pt;height:.1pt;mso-position-horizontal-relative:page;mso-position-vertical-relative:paragraph;z-index:-15642112;mso-wrap-distance-left:0;mso-wrap-distance-right:0" id="docshape376" coordorigin="1000,135" coordsize="2665,0" path="m1000,135l3665,135e" filled="false" stroked="true" strokeweight=".26pt" strokecolor="#000000">
                <v:path arrowok="t"/>
                <v:stroke dashstyle="solid"/>
                <w10:wrap type="topAndBottom"/>
              </v:shape>
            </w:pict>
          </mc:Fallback>
        </mc:AlternateContent>
      </w:r>
    </w:p>
    <w:p>
      <w:pPr>
        <w:pStyle w:val="BodyText"/>
        <w:tabs>
          <w:tab w:pos="579" w:val="left" w:leader="none"/>
        </w:tabs>
        <w:spacing w:before="116"/>
        <w:ind w:left="220"/>
      </w:pPr>
      <w:r>
        <w:rPr>
          <w:spacing w:val="-5"/>
          <w:vertAlign w:val="superscript"/>
        </w:rPr>
        <w:t>(1)</w:t>
      </w:r>
      <w:r>
        <w:rPr>
          <w:vertAlign w:val="baseline"/>
        </w:rPr>
        <w:tab/>
        <w:t>Amounts</w:t>
      </w:r>
      <w:r>
        <w:rPr>
          <w:spacing w:val="-1"/>
          <w:vertAlign w:val="baseline"/>
        </w:rPr>
        <w:t> </w:t>
      </w:r>
      <w:r>
        <w:rPr>
          <w:vertAlign w:val="baseline"/>
        </w:rPr>
        <w:t>primarily</w:t>
      </w:r>
      <w:r>
        <w:rPr>
          <w:spacing w:val="-2"/>
          <w:vertAlign w:val="baseline"/>
        </w:rPr>
        <w:t> </w:t>
      </w:r>
      <w:r>
        <w:rPr>
          <w:vertAlign w:val="baseline"/>
        </w:rPr>
        <w:t>consist</w:t>
      </w:r>
      <w:r>
        <w:rPr>
          <w:spacing w:val="-2"/>
          <w:vertAlign w:val="baseline"/>
        </w:rPr>
        <w:t> </w:t>
      </w:r>
      <w:r>
        <w:rPr>
          <w:vertAlign w:val="baseline"/>
        </w:rPr>
        <w:t>of</w:t>
      </w:r>
      <w:r>
        <w:rPr>
          <w:spacing w:val="-1"/>
          <w:vertAlign w:val="baseline"/>
        </w:rPr>
        <w:t> </w:t>
      </w:r>
      <w:r>
        <w:rPr>
          <w:vertAlign w:val="baseline"/>
        </w:rPr>
        <w:t>foreign</w:t>
      </w:r>
      <w:r>
        <w:rPr>
          <w:spacing w:val="-1"/>
          <w:vertAlign w:val="baseline"/>
        </w:rPr>
        <w:t> </w:t>
      </w:r>
      <w:r>
        <w:rPr>
          <w:vertAlign w:val="baseline"/>
        </w:rPr>
        <w:t>currency</w:t>
      </w:r>
      <w:r>
        <w:rPr>
          <w:spacing w:val="-2"/>
          <w:vertAlign w:val="baseline"/>
        </w:rPr>
        <w:t> </w:t>
      </w:r>
      <w:r>
        <w:rPr>
          <w:vertAlign w:val="baseline"/>
        </w:rPr>
        <w:t>translation</w:t>
      </w:r>
      <w:r>
        <w:rPr>
          <w:spacing w:val="-1"/>
          <w:vertAlign w:val="baseline"/>
        </w:rPr>
        <w:t> </w:t>
      </w:r>
      <w:r>
        <w:rPr>
          <w:spacing w:val="-2"/>
          <w:vertAlign w:val="baseline"/>
        </w:rPr>
        <w:t>adjustments.</w:t>
      </w:r>
    </w:p>
    <w:p>
      <w:pPr>
        <w:pStyle w:val="BodyText"/>
        <w:spacing w:line="249" w:lineRule="auto" w:before="190"/>
        <w:ind w:left="220" w:right="240" w:firstLine="540"/>
      </w:pPr>
      <w:r>
        <w:rPr/>
        <w:t>Purchased</w:t>
      </w:r>
      <w:r>
        <w:rPr>
          <w:spacing w:val="-14"/>
        </w:rPr>
        <w:t> </w:t>
      </w:r>
      <w:r>
        <w:rPr/>
        <w:t>and</w:t>
      </w:r>
      <w:r>
        <w:rPr>
          <w:spacing w:val="-14"/>
        </w:rPr>
        <w:t> </w:t>
      </w:r>
      <w:r>
        <w:rPr/>
        <w:t>other</w:t>
      </w:r>
      <w:r>
        <w:rPr>
          <w:spacing w:val="-14"/>
        </w:rPr>
        <w:t> </w:t>
      </w:r>
      <w:r>
        <w:rPr/>
        <w:t>intangible</w:t>
      </w:r>
      <w:r>
        <w:rPr>
          <w:spacing w:val="-15"/>
        </w:rPr>
        <w:t> </w:t>
      </w:r>
      <w:r>
        <w:rPr/>
        <w:t>assets</w:t>
      </w:r>
      <w:r>
        <w:rPr>
          <w:spacing w:val="-14"/>
        </w:rPr>
        <w:t> </w:t>
      </w:r>
      <w:r>
        <w:rPr/>
        <w:t>by</w:t>
      </w:r>
      <w:r>
        <w:rPr>
          <w:spacing w:val="-14"/>
        </w:rPr>
        <w:t> </w:t>
      </w:r>
      <w:r>
        <w:rPr/>
        <w:t>reportable</w:t>
      </w:r>
      <w:r>
        <w:rPr>
          <w:spacing w:val="-15"/>
        </w:rPr>
        <w:t> </w:t>
      </w:r>
      <w:r>
        <w:rPr/>
        <w:t>segment</w:t>
      </w:r>
      <w:r>
        <w:rPr>
          <w:spacing w:val="-15"/>
        </w:rPr>
        <w:t> </w:t>
      </w:r>
      <w:r>
        <w:rPr/>
        <w:t>as</w:t>
      </w:r>
      <w:r>
        <w:rPr>
          <w:spacing w:val="-14"/>
        </w:rPr>
        <w:t> </w:t>
      </w:r>
      <w:r>
        <w:rPr/>
        <w:t>of</w:t>
      </w:r>
      <w:r>
        <w:rPr>
          <w:spacing w:val="-14"/>
        </w:rPr>
        <w:t> </w:t>
      </w:r>
      <w:r>
        <w:rPr/>
        <w:t>December</w:t>
      </w:r>
      <w:r>
        <w:rPr>
          <w:spacing w:val="-13"/>
        </w:rPr>
        <w:t> </w:t>
      </w:r>
      <w:r>
        <w:rPr/>
        <w:t>1,</w:t>
      </w:r>
      <w:r>
        <w:rPr>
          <w:spacing w:val="-14"/>
        </w:rPr>
        <w:t> </w:t>
      </w:r>
      <w:r>
        <w:rPr/>
        <w:t>2017</w:t>
      </w:r>
      <w:r>
        <w:rPr>
          <w:spacing w:val="-14"/>
        </w:rPr>
        <w:t> </w:t>
      </w:r>
      <w:r>
        <w:rPr/>
        <w:t>and</w:t>
      </w:r>
      <w:r>
        <w:rPr>
          <w:spacing w:val="-14"/>
        </w:rPr>
        <w:t> </w:t>
      </w:r>
      <w:r>
        <w:rPr/>
        <w:t>December</w:t>
      </w:r>
      <w:r>
        <w:rPr>
          <w:spacing w:val="-12"/>
        </w:rPr>
        <w:t> </w:t>
      </w:r>
      <w:r>
        <w:rPr/>
        <w:t>2,</w:t>
      </w:r>
      <w:r>
        <w:rPr>
          <w:spacing w:val="-14"/>
        </w:rPr>
        <w:t> </w:t>
      </w:r>
      <w:r>
        <w:rPr/>
        <w:t>2016</w:t>
      </w:r>
      <w:r>
        <w:rPr>
          <w:spacing w:val="-14"/>
        </w:rPr>
        <w:t> </w:t>
      </w:r>
      <w:r>
        <w:rPr/>
        <w:t>were</w:t>
      </w:r>
      <w:r>
        <w:rPr>
          <w:spacing w:val="-15"/>
        </w:rPr>
        <w:t> </w:t>
      </w:r>
      <w:r>
        <w:rPr/>
        <w:t>as</w:t>
      </w:r>
      <w:r>
        <w:rPr>
          <w:spacing w:val="-14"/>
        </w:rPr>
        <w:t> </w:t>
      </w:r>
      <w:r>
        <w:rPr/>
        <w:t>follows (in thousands):</w:t>
      </w:r>
    </w:p>
    <w:p>
      <w:pPr>
        <w:pStyle w:val="BodyText"/>
        <w:spacing w:before="4"/>
        <w:rPr>
          <w:sz w:val="18"/>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56"/>
        <w:gridCol w:w="3320"/>
        <w:gridCol w:w="1173"/>
      </w:tblGrid>
      <w:tr>
        <w:trPr>
          <w:trHeight w:val="217" w:hRule="atLeast"/>
        </w:trPr>
        <w:tc>
          <w:tcPr>
            <w:tcW w:w="5756" w:type="dxa"/>
          </w:tcPr>
          <w:p>
            <w:pPr>
              <w:pStyle w:val="TableParagraph"/>
              <w:rPr>
                <w:sz w:val="14"/>
              </w:rPr>
            </w:pPr>
          </w:p>
        </w:tc>
        <w:tc>
          <w:tcPr>
            <w:tcW w:w="3320" w:type="dxa"/>
          </w:tcPr>
          <w:p>
            <w:pPr>
              <w:pStyle w:val="TableParagraph"/>
              <w:spacing w:line="177" w:lineRule="exact"/>
              <w:ind w:right="425"/>
              <w:jc w:val="right"/>
              <w:rPr>
                <w:b/>
                <w:sz w:val="16"/>
              </w:rPr>
            </w:pPr>
            <w:r>
              <w:rPr>
                <w:b/>
                <w:spacing w:val="-4"/>
                <w:sz w:val="16"/>
              </w:rPr>
              <w:t>2017</w:t>
            </w:r>
          </w:p>
        </w:tc>
        <w:tc>
          <w:tcPr>
            <w:tcW w:w="1173" w:type="dxa"/>
            <w:tcBorders>
              <w:bottom w:val="single" w:sz="8" w:space="0" w:color="000000"/>
            </w:tcBorders>
          </w:tcPr>
          <w:p>
            <w:pPr>
              <w:pStyle w:val="TableParagraph"/>
              <w:spacing w:line="177" w:lineRule="exact"/>
              <w:ind w:left="35"/>
              <w:jc w:val="center"/>
              <w:rPr>
                <w:b/>
                <w:sz w:val="16"/>
              </w:rPr>
            </w:pPr>
            <w:r>
              <w:rPr>
                <w:b/>
                <w:spacing w:val="-4"/>
                <w:sz w:val="16"/>
              </w:rPr>
              <w:t>2016</w:t>
            </w:r>
          </w:p>
        </w:tc>
      </w:tr>
      <w:tr>
        <w:trPr>
          <w:trHeight w:val="270" w:hRule="atLeast"/>
        </w:trPr>
        <w:tc>
          <w:tcPr>
            <w:tcW w:w="5756" w:type="dxa"/>
            <w:shd w:val="clear" w:color="auto" w:fill="CCEDFF"/>
          </w:tcPr>
          <w:p>
            <w:pPr>
              <w:pStyle w:val="TableParagraph"/>
              <w:spacing w:line="222" w:lineRule="exact"/>
              <w:ind w:left="60"/>
              <w:rPr>
                <w:sz w:val="20"/>
              </w:rPr>
            </w:pPr>
            <w:r>
              <w:rPr>
                <w:sz w:val="20"/>
              </w:rPr>
              <w:t>Digital </w:t>
            </w:r>
            <w:r>
              <w:rPr>
                <w:spacing w:val="-2"/>
                <w:sz w:val="20"/>
              </w:rPr>
              <w:t>Media</w:t>
            </w:r>
          </w:p>
        </w:tc>
        <w:tc>
          <w:tcPr>
            <w:tcW w:w="3320" w:type="dxa"/>
            <w:shd w:val="clear" w:color="auto" w:fill="CCEDFF"/>
          </w:tcPr>
          <w:p>
            <w:pPr>
              <w:pStyle w:val="TableParagraph"/>
              <w:tabs>
                <w:tab w:pos="322" w:val="left" w:leader="none"/>
              </w:tabs>
              <w:spacing w:line="222" w:lineRule="exact"/>
              <w:ind w:right="102"/>
              <w:jc w:val="right"/>
              <w:rPr>
                <w:sz w:val="20"/>
              </w:rPr>
            </w:pPr>
            <w:r>
              <w:rPr>
                <w:spacing w:val="-10"/>
                <w:sz w:val="20"/>
              </w:rPr>
              <w:t>$</w:t>
            </w:r>
            <w:r>
              <w:rPr>
                <w:sz w:val="20"/>
              </w:rPr>
              <w:tab/>
            </w:r>
            <w:r>
              <w:rPr>
                <w:spacing w:val="-2"/>
                <w:sz w:val="20"/>
              </w:rPr>
              <w:t>128,243</w:t>
            </w:r>
          </w:p>
        </w:tc>
        <w:tc>
          <w:tcPr>
            <w:tcW w:w="1173" w:type="dxa"/>
            <w:tcBorders>
              <w:top w:val="single" w:sz="8" w:space="0" w:color="000000"/>
            </w:tcBorders>
            <w:shd w:val="clear" w:color="auto" w:fill="CCEDFF"/>
          </w:tcPr>
          <w:p>
            <w:pPr>
              <w:pStyle w:val="TableParagraph"/>
              <w:tabs>
                <w:tab w:pos="342" w:val="left" w:leader="none"/>
              </w:tabs>
              <w:spacing w:line="222" w:lineRule="exact"/>
              <w:ind w:right="75"/>
              <w:jc w:val="right"/>
              <w:rPr>
                <w:sz w:val="20"/>
              </w:rPr>
            </w:pPr>
            <w:r>
              <w:rPr>
                <w:spacing w:val="-10"/>
                <w:sz w:val="20"/>
              </w:rPr>
              <w:t>$</w:t>
            </w:r>
            <w:r>
              <w:rPr>
                <w:sz w:val="20"/>
              </w:rPr>
              <w:tab/>
            </w:r>
            <w:r>
              <w:rPr>
                <w:spacing w:val="-2"/>
                <w:sz w:val="20"/>
              </w:rPr>
              <w:t>203,570</w:t>
            </w:r>
          </w:p>
        </w:tc>
      </w:tr>
      <w:tr>
        <w:trPr>
          <w:trHeight w:val="280" w:hRule="atLeast"/>
        </w:trPr>
        <w:tc>
          <w:tcPr>
            <w:tcW w:w="5756" w:type="dxa"/>
          </w:tcPr>
          <w:p>
            <w:pPr>
              <w:pStyle w:val="TableParagraph"/>
              <w:spacing w:before="2"/>
              <w:ind w:left="60"/>
              <w:rPr>
                <w:sz w:val="20"/>
              </w:rPr>
            </w:pPr>
            <w:r>
              <w:rPr>
                <w:sz w:val="20"/>
              </w:rPr>
              <w:t>Digital </w:t>
            </w:r>
            <w:r>
              <w:rPr>
                <w:spacing w:val="-2"/>
                <w:sz w:val="20"/>
              </w:rPr>
              <w:t>Marketing</w:t>
            </w:r>
          </w:p>
        </w:tc>
        <w:tc>
          <w:tcPr>
            <w:tcW w:w="3320" w:type="dxa"/>
          </w:tcPr>
          <w:p>
            <w:pPr>
              <w:pStyle w:val="TableParagraph"/>
              <w:spacing w:before="2"/>
              <w:ind w:right="102"/>
              <w:jc w:val="right"/>
              <w:rPr>
                <w:sz w:val="20"/>
              </w:rPr>
            </w:pPr>
            <w:r>
              <w:rPr>
                <w:spacing w:val="-2"/>
                <w:sz w:val="20"/>
              </w:rPr>
              <w:t>257,408</w:t>
            </w:r>
          </w:p>
        </w:tc>
        <w:tc>
          <w:tcPr>
            <w:tcW w:w="1173" w:type="dxa"/>
          </w:tcPr>
          <w:p>
            <w:pPr>
              <w:pStyle w:val="TableParagraph"/>
              <w:spacing w:before="2"/>
              <w:ind w:right="75"/>
              <w:jc w:val="right"/>
              <w:rPr>
                <w:sz w:val="20"/>
              </w:rPr>
            </w:pPr>
            <w:r>
              <w:rPr>
                <w:spacing w:val="-2"/>
                <w:sz w:val="20"/>
              </w:rPr>
              <w:t>210,823</w:t>
            </w:r>
          </w:p>
        </w:tc>
      </w:tr>
      <w:tr>
        <w:trPr>
          <w:trHeight w:val="270" w:hRule="atLeast"/>
        </w:trPr>
        <w:tc>
          <w:tcPr>
            <w:tcW w:w="5756" w:type="dxa"/>
            <w:shd w:val="clear" w:color="auto" w:fill="CCEDFF"/>
          </w:tcPr>
          <w:p>
            <w:pPr>
              <w:pStyle w:val="TableParagraph"/>
              <w:spacing w:before="2"/>
              <w:ind w:left="60"/>
              <w:rPr>
                <w:sz w:val="20"/>
              </w:rPr>
            </w:pPr>
            <w:r>
              <w:rPr>
                <w:sz w:val="20"/>
              </w:rPr>
              <w:t>Print and </w:t>
            </w:r>
            <w:r>
              <w:rPr>
                <w:spacing w:val="-2"/>
                <w:sz w:val="20"/>
              </w:rPr>
              <w:t>Publishing</w:t>
            </w:r>
          </w:p>
        </w:tc>
        <w:tc>
          <w:tcPr>
            <w:tcW w:w="3320" w:type="dxa"/>
            <w:tcBorders>
              <w:bottom w:val="single" w:sz="8" w:space="0" w:color="000000"/>
            </w:tcBorders>
            <w:shd w:val="clear" w:color="auto" w:fill="CCEDFF"/>
          </w:tcPr>
          <w:p>
            <w:pPr>
              <w:pStyle w:val="TableParagraph"/>
              <w:spacing w:before="2"/>
              <w:ind w:right="102"/>
              <w:jc w:val="right"/>
              <w:rPr>
                <w:sz w:val="20"/>
              </w:rPr>
            </w:pPr>
            <w:r>
              <w:rPr>
                <w:spacing w:val="-10"/>
                <w:sz w:val="20"/>
              </w:rPr>
              <w:t>7</w:t>
            </w:r>
          </w:p>
        </w:tc>
        <w:tc>
          <w:tcPr>
            <w:tcW w:w="1173" w:type="dxa"/>
            <w:tcBorders>
              <w:bottom w:val="single" w:sz="8" w:space="0" w:color="000000"/>
            </w:tcBorders>
            <w:shd w:val="clear" w:color="auto" w:fill="CCEDFF"/>
          </w:tcPr>
          <w:p>
            <w:pPr>
              <w:pStyle w:val="TableParagraph"/>
              <w:spacing w:before="2"/>
              <w:ind w:right="75"/>
              <w:jc w:val="right"/>
              <w:rPr>
                <w:sz w:val="20"/>
              </w:rPr>
            </w:pPr>
            <w:r>
              <w:rPr>
                <w:spacing w:val="-5"/>
                <w:sz w:val="20"/>
              </w:rPr>
              <w:t>12</w:t>
            </w:r>
          </w:p>
        </w:tc>
      </w:tr>
      <w:tr>
        <w:trPr>
          <w:trHeight w:val="300" w:hRule="atLeast"/>
        </w:trPr>
        <w:tc>
          <w:tcPr>
            <w:tcW w:w="5756" w:type="dxa"/>
          </w:tcPr>
          <w:p>
            <w:pPr>
              <w:pStyle w:val="TableParagraph"/>
              <w:spacing w:line="222" w:lineRule="exact"/>
              <w:ind w:left="180"/>
              <w:rPr>
                <w:sz w:val="20"/>
              </w:rPr>
            </w:pPr>
            <w:r>
              <w:rPr>
                <w:sz w:val="20"/>
              </w:rPr>
              <w:t>Purchased and other intangible assets, </w:t>
            </w:r>
            <w:r>
              <w:rPr>
                <w:spacing w:val="-5"/>
                <w:sz w:val="20"/>
              </w:rPr>
              <w:t>net</w:t>
            </w:r>
          </w:p>
        </w:tc>
        <w:tc>
          <w:tcPr>
            <w:tcW w:w="3320" w:type="dxa"/>
            <w:tcBorders>
              <w:top w:val="single" w:sz="8" w:space="0" w:color="000000"/>
            </w:tcBorders>
          </w:tcPr>
          <w:p>
            <w:pPr>
              <w:pStyle w:val="TableParagraph"/>
              <w:tabs>
                <w:tab w:pos="322" w:val="left" w:leader="none"/>
              </w:tabs>
              <w:spacing w:line="222" w:lineRule="exact"/>
              <w:ind w:right="102"/>
              <w:jc w:val="right"/>
              <w:rPr>
                <w:sz w:val="20"/>
              </w:rPr>
            </w:pPr>
            <w:r>
              <w:rPr/>
              <mc:AlternateContent>
                <mc:Choice Requires="wps">
                  <w:drawing>
                    <wp:anchor distT="0" distB="0" distL="0" distR="0" allowOverlap="1" layoutInCell="1" locked="0" behindDoc="1" simplePos="0" relativeHeight="479873024">
                      <wp:simplePos x="0" y="0"/>
                      <wp:positionH relativeFrom="column">
                        <wp:posOffset>1392929</wp:posOffset>
                      </wp:positionH>
                      <wp:positionV relativeFrom="paragraph">
                        <wp:posOffset>152400</wp:posOffset>
                      </wp:positionV>
                      <wp:extent cx="698500" cy="38100"/>
                      <wp:effectExtent l="0" t="0" r="0" b="0"/>
                      <wp:wrapNone/>
                      <wp:docPr id="479" name="Group 479"/>
                      <wp:cNvGraphicFramePr>
                        <a:graphicFrameLocks/>
                      </wp:cNvGraphicFramePr>
                      <a:graphic>
                        <a:graphicData uri="http://schemas.microsoft.com/office/word/2010/wordprocessingGroup">
                          <wpg:wgp>
                            <wpg:cNvPr id="479" name="Group 479"/>
                            <wpg:cNvGrpSpPr/>
                            <wpg:grpSpPr>
                              <a:xfrm>
                                <a:off x="0" y="0"/>
                                <a:ext cx="698500" cy="38100"/>
                                <a:chExt cx="698500" cy="38100"/>
                              </a:xfrm>
                            </wpg:grpSpPr>
                            <wps:wsp>
                              <wps:cNvPr id="480" name="Graphic 480"/>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679504pt;margin-top:12pt;width:55pt;height:3pt;mso-position-horizontal-relative:column;mso-position-vertical-relative:paragraph;z-index:-23443456" id="docshapegroup377" coordorigin="2194,240" coordsize="1100,60">
                      <v:shape style="position:absolute;left:2193;top:250;width:1100;height:40" id="docshape378" coordorigin="2194,250" coordsize="1100,40" path="m2194,250l3294,250m2194,290l3294,29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385,658</w:t>
            </w:r>
          </w:p>
        </w:tc>
        <w:tc>
          <w:tcPr>
            <w:tcW w:w="1173" w:type="dxa"/>
            <w:tcBorders>
              <w:top w:val="single" w:sz="8" w:space="0" w:color="000000"/>
            </w:tcBorders>
          </w:tcPr>
          <w:p>
            <w:pPr>
              <w:pStyle w:val="TableParagraph"/>
              <w:tabs>
                <w:tab w:pos="342" w:val="left" w:leader="none"/>
              </w:tabs>
              <w:spacing w:line="222" w:lineRule="exact"/>
              <w:ind w:right="75"/>
              <w:jc w:val="right"/>
              <w:rPr>
                <w:sz w:val="20"/>
              </w:rPr>
            </w:pPr>
            <w:r>
              <w:rPr/>
              <mc:AlternateContent>
                <mc:Choice Requires="wps">
                  <w:drawing>
                    <wp:anchor distT="0" distB="0" distL="0" distR="0" allowOverlap="1" layoutInCell="1" locked="0" behindDoc="1" simplePos="0" relativeHeight="479873536">
                      <wp:simplePos x="0" y="0"/>
                      <wp:positionH relativeFrom="column">
                        <wp:posOffset>33972</wp:posOffset>
                      </wp:positionH>
                      <wp:positionV relativeFrom="paragraph">
                        <wp:posOffset>152400</wp:posOffset>
                      </wp:positionV>
                      <wp:extent cx="711200" cy="38100"/>
                      <wp:effectExtent l="0" t="0" r="0" b="0"/>
                      <wp:wrapNone/>
                      <wp:docPr id="481" name="Group 481"/>
                      <wp:cNvGraphicFramePr>
                        <a:graphicFrameLocks/>
                      </wp:cNvGraphicFramePr>
                      <a:graphic>
                        <a:graphicData uri="http://schemas.microsoft.com/office/word/2010/wordprocessingGroup">
                          <wpg:wgp>
                            <wpg:cNvPr id="481" name="Group 481"/>
                            <wpg:cNvGrpSpPr/>
                            <wpg:grpSpPr>
                              <a:xfrm>
                                <a:off x="0" y="0"/>
                                <a:ext cx="711200" cy="38100"/>
                                <a:chExt cx="711200" cy="38100"/>
                              </a:xfrm>
                            </wpg:grpSpPr>
                            <wps:wsp>
                              <wps:cNvPr id="482" name="Graphic 482"/>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4999pt;margin-top:12pt;width:56pt;height:3pt;mso-position-horizontal-relative:column;mso-position-vertical-relative:paragraph;z-index:-23442944" id="docshapegroup379" coordorigin="53,240" coordsize="1120,60">
                      <v:shape style="position:absolute;left:53;top:250;width:1120;height:40" id="docshape380" coordorigin="53,250" coordsize="1120,40" path="m53,250l1173,250m53,290l1173,29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414,405</w:t>
            </w:r>
          </w:p>
        </w:tc>
      </w:tr>
    </w:tbl>
    <w:p>
      <w:pPr>
        <w:spacing w:after="0" w:line="222" w:lineRule="exact"/>
        <w:jc w:val="right"/>
        <w:rPr>
          <w:sz w:val="20"/>
        </w:rPr>
        <w:sectPr>
          <w:pgSz w:w="12240" w:h="15840"/>
          <w:pgMar w:header="210" w:footer="610" w:top="1380" w:bottom="840" w:left="780" w:right="740"/>
        </w:sectPr>
      </w:pPr>
    </w:p>
    <w:p>
      <w:pPr>
        <w:pStyle w:val="BodyText"/>
      </w:pPr>
    </w:p>
    <w:p>
      <w:pPr>
        <w:pStyle w:val="BodyText"/>
      </w:pPr>
    </w:p>
    <w:p>
      <w:pPr>
        <w:pStyle w:val="BodyText"/>
        <w:spacing w:before="30"/>
      </w:pPr>
    </w:p>
    <w:p>
      <w:pPr>
        <w:pStyle w:val="BodyText"/>
        <w:spacing w:line="249" w:lineRule="auto"/>
        <w:ind w:left="220" w:right="240" w:firstLine="540"/>
      </w:pPr>
      <w:r>
        <w:rPr/>
        <w:t>Purchased</w:t>
      </w:r>
      <w:r>
        <w:rPr>
          <w:spacing w:val="-18"/>
        </w:rPr>
        <w:t> </w:t>
      </w:r>
      <w:r>
        <w:rPr/>
        <w:t>and</w:t>
      </w:r>
      <w:r>
        <w:rPr>
          <w:spacing w:val="-18"/>
        </w:rPr>
        <w:t> </w:t>
      </w:r>
      <w:r>
        <w:rPr/>
        <w:t>other</w:t>
      </w:r>
      <w:r>
        <w:rPr>
          <w:spacing w:val="-18"/>
        </w:rPr>
        <w:t> </w:t>
      </w:r>
      <w:r>
        <w:rPr/>
        <w:t>intangible</w:t>
      </w:r>
      <w:r>
        <w:rPr>
          <w:spacing w:val="-18"/>
        </w:rPr>
        <w:t> </w:t>
      </w:r>
      <w:r>
        <w:rPr/>
        <w:t>assets</w:t>
      </w:r>
      <w:r>
        <w:rPr>
          <w:spacing w:val="-18"/>
        </w:rPr>
        <w:t> </w:t>
      </w:r>
      <w:r>
        <w:rPr/>
        <w:t>subject</w:t>
      </w:r>
      <w:r>
        <w:rPr>
          <w:spacing w:val="-18"/>
        </w:rPr>
        <w:t> </w:t>
      </w:r>
      <w:r>
        <w:rPr/>
        <w:t>to</w:t>
      </w:r>
      <w:r>
        <w:rPr>
          <w:spacing w:val="-18"/>
        </w:rPr>
        <w:t> </w:t>
      </w:r>
      <w:r>
        <w:rPr/>
        <w:t>amortization</w:t>
      </w:r>
      <w:r>
        <w:rPr>
          <w:spacing w:val="-18"/>
        </w:rPr>
        <w:t> </w:t>
      </w:r>
      <w:r>
        <w:rPr/>
        <w:t>as</w:t>
      </w:r>
      <w:r>
        <w:rPr>
          <w:spacing w:val="-18"/>
        </w:rPr>
        <w:t> </w:t>
      </w:r>
      <w:r>
        <w:rPr/>
        <w:t>of</w:t>
      </w:r>
      <w:r>
        <w:rPr>
          <w:spacing w:val="-17"/>
        </w:rPr>
        <w:t> </w:t>
      </w:r>
      <w:r>
        <w:rPr/>
        <w:t>December</w:t>
      </w:r>
      <w:r>
        <w:rPr>
          <w:spacing w:val="-13"/>
        </w:rPr>
        <w:t> </w:t>
      </w:r>
      <w:r>
        <w:rPr/>
        <w:t>1,</w:t>
      </w:r>
      <w:r>
        <w:rPr>
          <w:spacing w:val="-18"/>
        </w:rPr>
        <w:t> </w:t>
      </w:r>
      <w:r>
        <w:rPr/>
        <w:t>2017</w:t>
      </w:r>
      <w:r>
        <w:rPr>
          <w:spacing w:val="-17"/>
        </w:rPr>
        <w:t> </w:t>
      </w:r>
      <w:r>
        <w:rPr/>
        <w:t>and</w:t>
      </w:r>
      <w:r>
        <w:rPr>
          <w:spacing w:val="-18"/>
        </w:rPr>
        <w:t> </w:t>
      </w:r>
      <w:r>
        <w:rPr/>
        <w:t>December</w:t>
      </w:r>
      <w:r>
        <w:rPr>
          <w:spacing w:val="-12"/>
        </w:rPr>
        <w:t> </w:t>
      </w:r>
      <w:r>
        <w:rPr/>
        <w:t>2,</w:t>
      </w:r>
      <w:r>
        <w:rPr>
          <w:spacing w:val="-18"/>
        </w:rPr>
        <w:t> </w:t>
      </w:r>
      <w:r>
        <w:rPr/>
        <w:t>2016</w:t>
      </w:r>
      <w:r>
        <w:rPr>
          <w:spacing w:val="-17"/>
        </w:rPr>
        <w:t> </w:t>
      </w:r>
      <w:r>
        <w:rPr/>
        <w:t>were</w:t>
      </w:r>
      <w:r>
        <w:rPr>
          <w:spacing w:val="-18"/>
        </w:rPr>
        <w:t> </w:t>
      </w:r>
      <w:r>
        <w:rPr/>
        <w:t>as</w:t>
      </w:r>
      <w:r>
        <w:rPr>
          <w:spacing w:val="-18"/>
        </w:rPr>
        <w:t> </w:t>
      </w:r>
      <w:r>
        <w:rPr/>
        <w:t>follows (in thousands):</w:t>
      </w:r>
    </w:p>
    <w:p>
      <w:pPr>
        <w:pStyle w:val="BodyText"/>
        <w:spacing w:before="1"/>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0"/>
        <w:gridCol w:w="262"/>
        <w:gridCol w:w="866"/>
        <w:gridCol w:w="282"/>
        <w:gridCol w:w="932"/>
        <w:gridCol w:w="282"/>
        <w:gridCol w:w="865"/>
        <w:gridCol w:w="315"/>
        <w:gridCol w:w="865"/>
        <w:gridCol w:w="281"/>
        <w:gridCol w:w="931"/>
        <w:gridCol w:w="281"/>
        <w:gridCol w:w="838"/>
      </w:tblGrid>
      <w:tr>
        <w:trPr>
          <w:trHeight w:val="217" w:hRule="atLeast"/>
        </w:trPr>
        <w:tc>
          <w:tcPr>
            <w:tcW w:w="3240" w:type="dxa"/>
            <w:vMerge w:val="restart"/>
          </w:tcPr>
          <w:p>
            <w:pPr>
              <w:pStyle w:val="TableParagraph"/>
              <w:rPr>
                <w:sz w:val="18"/>
              </w:rPr>
            </w:pPr>
          </w:p>
        </w:tc>
        <w:tc>
          <w:tcPr>
            <w:tcW w:w="1128" w:type="dxa"/>
            <w:gridSpan w:val="2"/>
            <w:tcBorders>
              <w:bottom w:val="single" w:sz="8" w:space="0" w:color="000000"/>
            </w:tcBorders>
          </w:tcPr>
          <w:p>
            <w:pPr>
              <w:pStyle w:val="TableParagraph"/>
              <w:rPr>
                <w:sz w:val="14"/>
              </w:rPr>
            </w:pPr>
          </w:p>
        </w:tc>
        <w:tc>
          <w:tcPr>
            <w:tcW w:w="1214" w:type="dxa"/>
            <w:gridSpan w:val="2"/>
            <w:tcBorders>
              <w:bottom w:val="single" w:sz="8" w:space="0" w:color="000000"/>
            </w:tcBorders>
          </w:tcPr>
          <w:p>
            <w:pPr>
              <w:pStyle w:val="TableParagraph"/>
              <w:spacing w:line="177" w:lineRule="exact"/>
              <w:ind w:right="29"/>
              <w:jc w:val="center"/>
              <w:rPr>
                <w:b/>
                <w:sz w:val="16"/>
              </w:rPr>
            </w:pPr>
            <w:r>
              <w:rPr>
                <w:b/>
                <w:spacing w:val="-4"/>
                <w:sz w:val="16"/>
              </w:rPr>
              <w:t>2017</w:t>
            </w:r>
          </w:p>
        </w:tc>
        <w:tc>
          <w:tcPr>
            <w:tcW w:w="1147" w:type="dxa"/>
            <w:gridSpan w:val="2"/>
            <w:tcBorders>
              <w:bottom w:val="single" w:sz="8" w:space="0" w:color="000000"/>
            </w:tcBorders>
          </w:tcPr>
          <w:p>
            <w:pPr>
              <w:pStyle w:val="TableParagraph"/>
              <w:rPr>
                <w:sz w:val="14"/>
              </w:rPr>
            </w:pPr>
          </w:p>
        </w:tc>
        <w:tc>
          <w:tcPr>
            <w:tcW w:w="1180" w:type="dxa"/>
            <w:gridSpan w:val="2"/>
            <w:tcBorders>
              <w:bottom w:val="single" w:sz="8" w:space="0" w:color="000000"/>
            </w:tcBorders>
          </w:tcPr>
          <w:p>
            <w:pPr>
              <w:pStyle w:val="TableParagraph"/>
              <w:rPr>
                <w:sz w:val="14"/>
              </w:rPr>
            </w:pPr>
          </w:p>
        </w:tc>
        <w:tc>
          <w:tcPr>
            <w:tcW w:w="1212" w:type="dxa"/>
            <w:gridSpan w:val="2"/>
            <w:tcBorders>
              <w:bottom w:val="single" w:sz="8" w:space="0" w:color="000000"/>
            </w:tcBorders>
          </w:tcPr>
          <w:p>
            <w:pPr>
              <w:pStyle w:val="TableParagraph"/>
              <w:spacing w:line="177" w:lineRule="exact"/>
              <w:ind w:right="29"/>
              <w:jc w:val="center"/>
              <w:rPr>
                <w:b/>
                <w:sz w:val="16"/>
              </w:rPr>
            </w:pPr>
            <w:r>
              <w:rPr>
                <w:b/>
                <w:spacing w:val="-4"/>
                <w:sz w:val="16"/>
              </w:rPr>
              <w:t>2016</w:t>
            </w:r>
          </w:p>
        </w:tc>
        <w:tc>
          <w:tcPr>
            <w:tcW w:w="1119" w:type="dxa"/>
            <w:gridSpan w:val="2"/>
            <w:tcBorders>
              <w:bottom w:val="single" w:sz="8" w:space="0" w:color="000000"/>
            </w:tcBorders>
          </w:tcPr>
          <w:p>
            <w:pPr>
              <w:pStyle w:val="TableParagraph"/>
              <w:rPr>
                <w:sz w:val="14"/>
              </w:rPr>
            </w:pPr>
          </w:p>
        </w:tc>
      </w:tr>
      <w:tr>
        <w:trPr>
          <w:trHeight w:val="400" w:hRule="atLeast"/>
        </w:trPr>
        <w:tc>
          <w:tcPr>
            <w:tcW w:w="3240" w:type="dxa"/>
            <w:vMerge/>
            <w:tcBorders>
              <w:top w:val="nil"/>
            </w:tcBorders>
          </w:tcPr>
          <w:p>
            <w:pPr>
              <w:rPr>
                <w:sz w:val="2"/>
                <w:szCs w:val="2"/>
              </w:rPr>
            </w:pPr>
          </w:p>
        </w:tc>
        <w:tc>
          <w:tcPr>
            <w:tcW w:w="1128" w:type="dxa"/>
            <w:gridSpan w:val="2"/>
            <w:tcBorders>
              <w:top w:val="single" w:sz="8" w:space="0" w:color="000000"/>
              <w:bottom w:val="single" w:sz="8" w:space="0" w:color="000000"/>
            </w:tcBorders>
          </w:tcPr>
          <w:p>
            <w:pPr>
              <w:pStyle w:val="TableParagraph"/>
              <w:spacing w:before="176"/>
              <w:ind w:right="46"/>
              <w:jc w:val="center"/>
              <w:rPr>
                <w:b/>
                <w:sz w:val="16"/>
              </w:rPr>
            </w:pPr>
            <w:r>
              <w:rPr>
                <w:b/>
                <w:spacing w:val="-4"/>
                <w:sz w:val="16"/>
              </w:rPr>
              <w:t>Cost</w:t>
            </w:r>
          </w:p>
        </w:tc>
        <w:tc>
          <w:tcPr>
            <w:tcW w:w="1214" w:type="dxa"/>
            <w:gridSpan w:val="2"/>
            <w:tcBorders>
              <w:top w:val="single" w:sz="8" w:space="0" w:color="000000"/>
              <w:bottom w:val="single" w:sz="8" w:space="0" w:color="000000"/>
            </w:tcBorders>
          </w:tcPr>
          <w:p>
            <w:pPr>
              <w:pStyle w:val="TableParagraph"/>
              <w:spacing w:line="208" w:lineRule="auto" w:before="35"/>
              <w:ind w:left="134" w:firstLine="4"/>
              <w:rPr>
                <w:b/>
                <w:sz w:val="16"/>
              </w:rPr>
            </w:pPr>
            <w:r>
              <w:rPr>
                <w:b/>
                <w:spacing w:val="-2"/>
                <w:sz w:val="16"/>
              </w:rPr>
              <w:t>Accumulated</w:t>
            </w:r>
            <w:r>
              <w:rPr>
                <w:b/>
                <w:spacing w:val="40"/>
                <w:sz w:val="16"/>
              </w:rPr>
              <w:t> </w:t>
            </w:r>
            <w:r>
              <w:rPr>
                <w:b/>
                <w:spacing w:val="-2"/>
                <w:sz w:val="16"/>
              </w:rPr>
              <w:t>Amortization</w:t>
            </w:r>
          </w:p>
        </w:tc>
        <w:tc>
          <w:tcPr>
            <w:tcW w:w="1147" w:type="dxa"/>
            <w:gridSpan w:val="2"/>
            <w:tcBorders>
              <w:top w:val="single" w:sz="8" w:space="0" w:color="000000"/>
              <w:bottom w:val="single" w:sz="8" w:space="0" w:color="000000"/>
            </w:tcBorders>
          </w:tcPr>
          <w:p>
            <w:pPr>
              <w:pStyle w:val="TableParagraph"/>
              <w:spacing w:before="176"/>
              <w:ind w:right="29"/>
              <w:jc w:val="center"/>
              <w:rPr>
                <w:b/>
                <w:sz w:val="16"/>
              </w:rPr>
            </w:pPr>
            <w:r>
              <w:rPr>
                <w:b/>
                <w:spacing w:val="-5"/>
                <w:sz w:val="16"/>
              </w:rPr>
              <w:t>Net</w:t>
            </w:r>
          </w:p>
        </w:tc>
        <w:tc>
          <w:tcPr>
            <w:tcW w:w="1180" w:type="dxa"/>
            <w:gridSpan w:val="2"/>
            <w:tcBorders>
              <w:top w:val="single" w:sz="8" w:space="0" w:color="000000"/>
              <w:bottom w:val="single" w:sz="8" w:space="0" w:color="000000"/>
            </w:tcBorders>
          </w:tcPr>
          <w:p>
            <w:pPr>
              <w:pStyle w:val="TableParagraph"/>
              <w:spacing w:before="176"/>
              <w:ind w:left="60" w:right="59"/>
              <w:jc w:val="center"/>
              <w:rPr>
                <w:b/>
                <w:sz w:val="16"/>
              </w:rPr>
            </w:pPr>
            <w:r>
              <w:rPr>
                <w:b/>
                <w:spacing w:val="-4"/>
                <w:sz w:val="16"/>
              </w:rPr>
              <w:t>Cost</w:t>
            </w:r>
          </w:p>
        </w:tc>
        <w:tc>
          <w:tcPr>
            <w:tcW w:w="1212" w:type="dxa"/>
            <w:gridSpan w:val="2"/>
            <w:tcBorders>
              <w:top w:val="single" w:sz="8" w:space="0" w:color="000000"/>
              <w:bottom w:val="single" w:sz="8" w:space="0" w:color="000000"/>
            </w:tcBorders>
          </w:tcPr>
          <w:p>
            <w:pPr>
              <w:pStyle w:val="TableParagraph"/>
              <w:spacing w:line="208" w:lineRule="auto" w:before="35"/>
              <w:ind w:left="132" w:firstLine="4"/>
              <w:rPr>
                <w:b/>
                <w:sz w:val="16"/>
              </w:rPr>
            </w:pPr>
            <w:r>
              <w:rPr>
                <w:b/>
                <w:spacing w:val="-2"/>
                <w:sz w:val="16"/>
              </w:rPr>
              <w:t>Accumulated</w:t>
            </w:r>
            <w:r>
              <w:rPr>
                <w:b/>
                <w:spacing w:val="40"/>
                <w:sz w:val="16"/>
              </w:rPr>
              <w:t> </w:t>
            </w:r>
            <w:r>
              <w:rPr>
                <w:b/>
                <w:spacing w:val="-2"/>
                <w:sz w:val="16"/>
              </w:rPr>
              <w:t>Amortization</w:t>
            </w:r>
          </w:p>
        </w:tc>
        <w:tc>
          <w:tcPr>
            <w:tcW w:w="1119" w:type="dxa"/>
            <w:gridSpan w:val="2"/>
            <w:tcBorders>
              <w:top w:val="single" w:sz="8" w:space="0" w:color="000000"/>
              <w:bottom w:val="single" w:sz="8" w:space="0" w:color="000000"/>
            </w:tcBorders>
          </w:tcPr>
          <w:p>
            <w:pPr>
              <w:pStyle w:val="TableParagraph"/>
              <w:spacing w:before="176"/>
              <w:ind w:right="1"/>
              <w:jc w:val="center"/>
              <w:rPr>
                <w:b/>
                <w:sz w:val="16"/>
              </w:rPr>
            </w:pPr>
            <w:r>
              <w:rPr>
                <w:b/>
                <w:spacing w:val="-5"/>
                <w:sz w:val="16"/>
              </w:rPr>
              <w:t>Net</w:t>
            </w:r>
          </w:p>
        </w:tc>
      </w:tr>
      <w:tr>
        <w:trPr>
          <w:trHeight w:val="280" w:hRule="atLeast"/>
        </w:trPr>
        <w:tc>
          <w:tcPr>
            <w:tcW w:w="3240" w:type="dxa"/>
            <w:shd w:val="clear" w:color="auto" w:fill="CCEDFF"/>
          </w:tcPr>
          <w:p>
            <w:pPr>
              <w:pStyle w:val="TableParagraph"/>
              <w:spacing w:before="10"/>
              <w:ind w:left="50"/>
              <w:rPr>
                <w:sz w:val="20"/>
              </w:rPr>
            </w:pPr>
            <w:r>
              <w:rPr>
                <w:sz w:val="20"/>
              </w:rPr>
              <w:t>Purchased </w:t>
            </w:r>
            <w:r>
              <w:rPr>
                <w:spacing w:val="-2"/>
                <w:sz w:val="20"/>
              </w:rPr>
              <w:t>technology</w:t>
            </w:r>
          </w:p>
        </w:tc>
        <w:tc>
          <w:tcPr>
            <w:tcW w:w="1128" w:type="dxa"/>
            <w:gridSpan w:val="2"/>
            <w:tcBorders>
              <w:top w:val="single" w:sz="8" w:space="0" w:color="000000"/>
              <w:bottom w:val="single" w:sz="8" w:space="0" w:color="000000"/>
            </w:tcBorders>
            <w:shd w:val="clear" w:color="auto" w:fill="CCEDFF"/>
          </w:tcPr>
          <w:p>
            <w:pPr>
              <w:pStyle w:val="TableParagraph"/>
              <w:tabs>
                <w:tab w:pos="372" w:val="left" w:leader="none"/>
              </w:tabs>
              <w:spacing w:before="10"/>
              <w:ind w:left="50"/>
              <w:rPr>
                <w:sz w:val="20"/>
              </w:rPr>
            </w:pPr>
            <w:r>
              <w:rPr>
                <w:spacing w:val="-10"/>
                <w:sz w:val="20"/>
              </w:rPr>
              <w:t>$</w:t>
            </w:r>
            <w:r>
              <w:rPr>
                <w:sz w:val="20"/>
              </w:rPr>
              <w:tab/>
            </w:r>
            <w:r>
              <w:rPr>
                <w:spacing w:val="-2"/>
                <w:sz w:val="20"/>
              </w:rPr>
              <w:t>223,252</w:t>
            </w:r>
          </w:p>
        </w:tc>
        <w:tc>
          <w:tcPr>
            <w:tcW w:w="1214" w:type="dxa"/>
            <w:gridSpan w:val="2"/>
            <w:tcBorders>
              <w:top w:val="single" w:sz="8" w:space="0" w:color="000000"/>
              <w:bottom w:val="single" w:sz="8" w:space="0" w:color="000000"/>
            </w:tcBorders>
            <w:shd w:val="clear" w:color="auto" w:fill="CCEDFF"/>
          </w:tcPr>
          <w:p>
            <w:pPr>
              <w:pStyle w:val="TableParagraph"/>
              <w:spacing w:before="10"/>
              <w:ind w:left="102"/>
              <w:rPr>
                <w:sz w:val="20"/>
              </w:rPr>
            </w:pPr>
            <w:r>
              <w:rPr>
                <w:sz w:val="20"/>
              </w:rPr>
              <w:t>$</w:t>
            </w:r>
            <w:r>
              <w:rPr>
                <w:spacing w:val="28"/>
                <w:sz w:val="20"/>
              </w:rPr>
              <w:t>  </w:t>
            </w:r>
            <w:r>
              <w:rPr>
                <w:spacing w:val="-2"/>
                <w:sz w:val="20"/>
              </w:rPr>
              <w:t>(110,433)</w:t>
            </w:r>
          </w:p>
        </w:tc>
        <w:tc>
          <w:tcPr>
            <w:tcW w:w="1147" w:type="dxa"/>
            <w:gridSpan w:val="2"/>
            <w:tcBorders>
              <w:top w:val="single" w:sz="8" w:space="0" w:color="000000"/>
              <w:bottom w:val="single" w:sz="8" w:space="0" w:color="000000"/>
            </w:tcBorders>
            <w:shd w:val="clear" w:color="auto" w:fill="CCEDFF"/>
          </w:tcPr>
          <w:p>
            <w:pPr>
              <w:pStyle w:val="TableParagraph"/>
              <w:tabs>
                <w:tab w:pos="390" w:val="left" w:leader="none"/>
              </w:tabs>
              <w:spacing w:before="10"/>
              <w:ind w:left="67"/>
              <w:rPr>
                <w:sz w:val="20"/>
              </w:rPr>
            </w:pPr>
            <w:r>
              <w:rPr>
                <w:spacing w:val="-10"/>
                <w:sz w:val="20"/>
              </w:rPr>
              <w:t>$</w:t>
            </w:r>
            <w:r>
              <w:rPr>
                <w:sz w:val="20"/>
              </w:rPr>
              <w:tab/>
            </w:r>
            <w:r>
              <w:rPr>
                <w:spacing w:val="-2"/>
                <w:sz w:val="20"/>
              </w:rPr>
              <w:t>112,819</w:t>
            </w:r>
          </w:p>
        </w:tc>
        <w:tc>
          <w:tcPr>
            <w:tcW w:w="1180" w:type="dxa"/>
            <w:gridSpan w:val="2"/>
            <w:tcBorders>
              <w:top w:val="single" w:sz="8" w:space="0" w:color="000000"/>
              <w:bottom w:val="single" w:sz="8" w:space="0" w:color="000000"/>
            </w:tcBorders>
            <w:shd w:val="clear" w:color="auto" w:fill="CCEDFF"/>
          </w:tcPr>
          <w:p>
            <w:pPr>
              <w:pStyle w:val="TableParagraph"/>
              <w:tabs>
                <w:tab w:pos="423" w:val="left" w:leader="none"/>
              </w:tabs>
              <w:spacing w:before="10"/>
              <w:ind w:left="100"/>
              <w:rPr>
                <w:sz w:val="20"/>
              </w:rPr>
            </w:pPr>
            <w:r>
              <w:rPr>
                <w:spacing w:val="-10"/>
                <w:sz w:val="20"/>
              </w:rPr>
              <w:t>$</w:t>
            </w:r>
            <w:r>
              <w:rPr>
                <w:sz w:val="20"/>
              </w:rPr>
              <w:tab/>
            </w:r>
            <w:r>
              <w:rPr>
                <w:spacing w:val="-2"/>
                <w:sz w:val="20"/>
              </w:rPr>
              <w:t>149,253</w:t>
            </w:r>
          </w:p>
        </w:tc>
        <w:tc>
          <w:tcPr>
            <w:tcW w:w="1212" w:type="dxa"/>
            <w:gridSpan w:val="2"/>
            <w:tcBorders>
              <w:top w:val="single" w:sz="8" w:space="0" w:color="000000"/>
              <w:bottom w:val="single" w:sz="8" w:space="0" w:color="000000"/>
            </w:tcBorders>
            <w:shd w:val="clear" w:color="auto" w:fill="CCEDFF"/>
          </w:tcPr>
          <w:p>
            <w:pPr>
              <w:pStyle w:val="TableParagraph"/>
              <w:tabs>
                <w:tab w:pos="456" w:val="left" w:leader="none"/>
              </w:tabs>
              <w:spacing w:before="10"/>
              <w:ind w:left="100"/>
              <w:rPr>
                <w:sz w:val="20"/>
              </w:rPr>
            </w:pPr>
            <w:r>
              <w:rPr>
                <w:spacing w:val="-10"/>
                <w:sz w:val="20"/>
              </w:rPr>
              <w:t>$</w:t>
            </w:r>
            <w:r>
              <w:rPr>
                <w:sz w:val="20"/>
              </w:rPr>
              <w:tab/>
            </w:r>
            <w:r>
              <w:rPr>
                <w:spacing w:val="-2"/>
                <w:sz w:val="20"/>
              </w:rPr>
              <w:t>(82,091)</w:t>
            </w:r>
          </w:p>
        </w:tc>
        <w:tc>
          <w:tcPr>
            <w:tcW w:w="1119" w:type="dxa"/>
            <w:gridSpan w:val="2"/>
            <w:tcBorders>
              <w:top w:val="single" w:sz="8" w:space="0" w:color="000000"/>
              <w:bottom w:val="single" w:sz="8" w:space="0" w:color="000000"/>
            </w:tcBorders>
            <w:shd w:val="clear" w:color="auto" w:fill="CCEDFF"/>
          </w:tcPr>
          <w:p>
            <w:pPr>
              <w:pStyle w:val="TableParagraph"/>
              <w:tabs>
                <w:tab w:pos="491" w:val="left" w:leader="none"/>
              </w:tabs>
              <w:spacing w:before="10"/>
              <w:ind w:left="68"/>
              <w:rPr>
                <w:sz w:val="20"/>
              </w:rPr>
            </w:pPr>
            <w:r>
              <w:rPr>
                <w:spacing w:val="-10"/>
                <w:sz w:val="20"/>
              </w:rPr>
              <w:t>$</w:t>
            </w:r>
            <w:r>
              <w:rPr>
                <w:sz w:val="20"/>
              </w:rPr>
              <w:tab/>
            </w:r>
            <w:r>
              <w:rPr>
                <w:spacing w:val="-2"/>
                <w:sz w:val="20"/>
              </w:rPr>
              <w:t>67,162</w:t>
            </w:r>
          </w:p>
        </w:tc>
      </w:tr>
      <w:tr>
        <w:trPr>
          <w:trHeight w:val="290" w:hRule="atLeast"/>
        </w:trPr>
        <w:tc>
          <w:tcPr>
            <w:tcW w:w="3240" w:type="dxa"/>
          </w:tcPr>
          <w:p>
            <w:pPr>
              <w:pStyle w:val="TableParagraph"/>
              <w:spacing w:before="10"/>
              <w:ind w:left="50"/>
              <w:rPr>
                <w:sz w:val="20"/>
              </w:rPr>
            </w:pPr>
            <w:r>
              <w:rPr>
                <w:sz w:val="20"/>
              </w:rPr>
              <w:t>Customer</w:t>
            </w:r>
            <w:r>
              <w:rPr>
                <w:spacing w:val="-3"/>
                <w:sz w:val="20"/>
              </w:rPr>
              <w:t> </w:t>
            </w:r>
            <w:r>
              <w:rPr>
                <w:sz w:val="20"/>
              </w:rPr>
              <w:t>contracts</w:t>
            </w:r>
            <w:r>
              <w:rPr>
                <w:spacing w:val="-4"/>
                <w:sz w:val="20"/>
              </w:rPr>
              <w:t> </w:t>
            </w:r>
            <w:r>
              <w:rPr>
                <w:sz w:val="20"/>
              </w:rPr>
              <w:t>and</w:t>
            </w:r>
            <w:r>
              <w:rPr>
                <w:spacing w:val="-2"/>
                <w:sz w:val="20"/>
              </w:rPr>
              <w:t> relationships</w:t>
            </w:r>
          </w:p>
        </w:tc>
        <w:tc>
          <w:tcPr>
            <w:tcW w:w="1128" w:type="dxa"/>
            <w:gridSpan w:val="2"/>
            <w:tcBorders>
              <w:top w:val="single" w:sz="8" w:space="0" w:color="000000"/>
            </w:tcBorders>
          </w:tcPr>
          <w:p>
            <w:pPr>
              <w:pStyle w:val="TableParagraph"/>
              <w:tabs>
                <w:tab w:pos="372" w:val="left" w:leader="none"/>
              </w:tabs>
              <w:spacing w:before="10"/>
              <w:ind w:left="50"/>
              <w:rPr>
                <w:sz w:val="20"/>
              </w:rPr>
            </w:pPr>
            <w:r>
              <w:rPr>
                <w:spacing w:val="-10"/>
                <w:sz w:val="20"/>
              </w:rPr>
              <w:t>$</w:t>
            </w:r>
            <w:r>
              <w:rPr>
                <w:sz w:val="20"/>
              </w:rPr>
              <w:tab/>
            </w:r>
            <w:r>
              <w:rPr>
                <w:spacing w:val="-2"/>
                <w:sz w:val="20"/>
              </w:rPr>
              <w:t>577,484</w:t>
            </w:r>
          </w:p>
        </w:tc>
        <w:tc>
          <w:tcPr>
            <w:tcW w:w="1214" w:type="dxa"/>
            <w:gridSpan w:val="2"/>
            <w:tcBorders>
              <w:top w:val="single" w:sz="8" w:space="0" w:color="000000"/>
            </w:tcBorders>
          </w:tcPr>
          <w:p>
            <w:pPr>
              <w:pStyle w:val="TableParagraph"/>
              <w:spacing w:before="10"/>
              <w:ind w:left="102"/>
              <w:rPr>
                <w:sz w:val="20"/>
              </w:rPr>
            </w:pPr>
            <w:r>
              <w:rPr>
                <w:sz w:val="20"/>
              </w:rPr>
              <w:t>$</w:t>
            </w:r>
            <w:r>
              <w:rPr>
                <w:spacing w:val="28"/>
                <w:sz w:val="20"/>
              </w:rPr>
              <w:t>  </w:t>
            </w:r>
            <w:r>
              <w:rPr>
                <w:spacing w:val="-2"/>
                <w:sz w:val="20"/>
              </w:rPr>
              <w:t>(356,613)</w:t>
            </w:r>
          </w:p>
        </w:tc>
        <w:tc>
          <w:tcPr>
            <w:tcW w:w="1147" w:type="dxa"/>
            <w:gridSpan w:val="2"/>
            <w:tcBorders>
              <w:top w:val="single" w:sz="8" w:space="0" w:color="000000"/>
            </w:tcBorders>
          </w:tcPr>
          <w:p>
            <w:pPr>
              <w:pStyle w:val="TableParagraph"/>
              <w:tabs>
                <w:tab w:pos="390" w:val="left" w:leader="none"/>
              </w:tabs>
              <w:spacing w:before="10"/>
              <w:ind w:left="67"/>
              <w:rPr>
                <w:sz w:val="20"/>
              </w:rPr>
            </w:pPr>
            <w:r>
              <w:rPr>
                <w:spacing w:val="-10"/>
                <w:sz w:val="20"/>
              </w:rPr>
              <w:t>$</w:t>
            </w:r>
            <w:r>
              <w:rPr>
                <w:sz w:val="20"/>
              </w:rPr>
              <w:tab/>
            </w:r>
            <w:r>
              <w:rPr>
                <w:spacing w:val="-2"/>
                <w:sz w:val="20"/>
              </w:rPr>
              <w:t>220,871</w:t>
            </w:r>
          </w:p>
        </w:tc>
        <w:tc>
          <w:tcPr>
            <w:tcW w:w="1180" w:type="dxa"/>
            <w:gridSpan w:val="2"/>
            <w:tcBorders>
              <w:top w:val="single" w:sz="8" w:space="0" w:color="000000"/>
            </w:tcBorders>
          </w:tcPr>
          <w:p>
            <w:pPr>
              <w:pStyle w:val="TableParagraph"/>
              <w:tabs>
                <w:tab w:pos="423" w:val="left" w:leader="none"/>
              </w:tabs>
              <w:spacing w:before="10"/>
              <w:ind w:left="100"/>
              <w:rPr>
                <w:sz w:val="20"/>
              </w:rPr>
            </w:pPr>
            <w:r>
              <w:rPr>
                <w:spacing w:val="-10"/>
                <w:sz w:val="20"/>
              </w:rPr>
              <w:t>$</w:t>
            </w:r>
            <w:r>
              <w:rPr>
                <w:sz w:val="20"/>
              </w:rPr>
              <w:tab/>
            </w:r>
            <w:r>
              <w:rPr>
                <w:spacing w:val="-2"/>
                <w:sz w:val="20"/>
              </w:rPr>
              <w:t>541,366</w:t>
            </w:r>
          </w:p>
        </w:tc>
        <w:tc>
          <w:tcPr>
            <w:tcW w:w="1212" w:type="dxa"/>
            <w:gridSpan w:val="2"/>
            <w:tcBorders>
              <w:top w:val="single" w:sz="8" w:space="0" w:color="000000"/>
            </w:tcBorders>
          </w:tcPr>
          <w:p>
            <w:pPr>
              <w:pStyle w:val="TableParagraph"/>
              <w:spacing w:before="10"/>
              <w:ind w:left="100"/>
              <w:rPr>
                <w:sz w:val="20"/>
              </w:rPr>
            </w:pPr>
            <w:r>
              <w:rPr>
                <w:sz w:val="20"/>
              </w:rPr>
              <w:t>$</w:t>
            </w:r>
            <w:r>
              <w:rPr>
                <w:spacing w:val="28"/>
                <w:sz w:val="20"/>
              </w:rPr>
              <w:t>  </w:t>
            </w:r>
            <w:r>
              <w:rPr>
                <w:spacing w:val="-2"/>
                <w:sz w:val="20"/>
              </w:rPr>
              <w:t>(274,380)</w:t>
            </w:r>
          </w:p>
        </w:tc>
        <w:tc>
          <w:tcPr>
            <w:tcW w:w="1119" w:type="dxa"/>
            <w:gridSpan w:val="2"/>
            <w:tcBorders>
              <w:top w:val="single" w:sz="8" w:space="0" w:color="000000"/>
            </w:tcBorders>
          </w:tcPr>
          <w:p>
            <w:pPr>
              <w:pStyle w:val="TableParagraph"/>
              <w:tabs>
                <w:tab w:pos="391" w:val="left" w:leader="none"/>
              </w:tabs>
              <w:spacing w:before="10"/>
              <w:ind w:left="68"/>
              <w:rPr>
                <w:sz w:val="20"/>
              </w:rPr>
            </w:pPr>
            <w:r>
              <w:rPr>
                <w:spacing w:val="-10"/>
                <w:sz w:val="20"/>
              </w:rPr>
              <w:t>$</w:t>
            </w:r>
            <w:r>
              <w:rPr>
                <w:sz w:val="20"/>
              </w:rPr>
              <w:tab/>
            </w:r>
            <w:r>
              <w:rPr>
                <w:spacing w:val="-2"/>
                <w:sz w:val="20"/>
              </w:rPr>
              <w:t>266,986</w:t>
            </w:r>
          </w:p>
        </w:tc>
      </w:tr>
      <w:tr>
        <w:trPr>
          <w:trHeight w:val="300" w:hRule="atLeast"/>
        </w:trPr>
        <w:tc>
          <w:tcPr>
            <w:tcW w:w="3240" w:type="dxa"/>
            <w:shd w:val="clear" w:color="auto" w:fill="CCEDFF"/>
          </w:tcPr>
          <w:p>
            <w:pPr>
              <w:pStyle w:val="TableParagraph"/>
              <w:spacing w:before="20"/>
              <w:ind w:left="50"/>
              <w:rPr>
                <w:sz w:val="20"/>
              </w:rPr>
            </w:pPr>
            <w:r>
              <w:rPr>
                <w:spacing w:val="-2"/>
                <w:sz w:val="20"/>
              </w:rPr>
              <w:t>Trademarks</w:t>
            </w:r>
          </w:p>
        </w:tc>
        <w:tc>
          <w:tcPr>
            <w:tcW w:w="1128" w:type="dxa"/>
            <w:gridSpan w:val="2"/>
            <w:shd w:val="clear" w:color="auto" w:fill="CCEDFF"/>
          </w:tcPr>
          <w:p>
            <w:pPr>
              <w:pStyle w:val="TableParagraph"/>
              <w:spacing w:before="20"/>
              <w:ind w:left="473"/>
              <w:rPr>
                <w:sz w:val="20"/>
              </w:rPr>
            </w:pPr>
            <w:r>
              <w:rPr>
                <w:spacing w:val="-2"/>
                <w:sz w:val="20"/>
              </w:rPr>
              <w:t>76,255</w:t>
            </w:r>
          </w:p>
        </w:tc>
        <w:tc>
          <w:tcPr>
            <w:tcW w:w="1214" w:type="dxa"/>
            <w:gridSpan w:val="2"/>
            <w:shd w:val="clear" w:color="auto" w:fill="CCEDFF"/>
          </w:tcPr>
          <w:p>
            <w:pPr>
              <w:pStyle w:val="TableParagraph"/>
              <w:spacing w:before="20"/>
              <w:ind w:left="458"/>
              <w:rPr>
                <w:sz w:val="20"/>
              </w:rPr>
            </w:pPr>
            <w:r>
              <w:rPr>
                <w:spacing w:val="-2"/>
                <w:sz w:val="20"/>
              </w:rPr>
              <w:t>(56,094)</w:t>
            </w:r>
          </w:p>
        </w:tc>
        <w:tc>
          <w:tcPr>
            <w:tcW w:w="1147" w:type="dxa"/>
            <w:gridSpan w:val="2"/>
            <w:shd w:val="clear" w:color="auto" w:fill="CCEDFF"/>
          </w:tcPr>
          <w:p>
            <w:pPr>
              <w:pStyle w:val="TableParagraph"/>
              <w:spacing w:before="20"/>
              <w:ind w:left="490"/>
              <w:rPr>
                <w:sz w:val="20"/>
              </w:rPr>
            </w:pPr>
            <w:r>
              <w:rPr>
                <w:spacing w:val="-2"/>
                <w:sz w:val="20"/>
              </w:rPr>
              <w:t>20,161</w:t>
            </w:r>
          </w:p>
        </w:tc>
        <w:tc>
          <w:tcPr>
            <w:tcW w:w="1180" w:type="dxa"/>
            <w:gridSpan w:val="2"/>
            <w:shd w:val="clear" w:color="auto" w:fill="CCEDFF"/>
          </w:tcPr>
          <w:p>
            <w:pPr>
              <w:pStyle w:val="TableParagraph"/>
              <w:spacing w:before="20"/>
              <w:ind w:left="523"/>
              <w:rPr>
                <w:sz w:val="20"/>
              </w:rPr>
            </w:pPr>
            <w:r>
              <w:rPr>
                <w:spacing w:val="-2"/>
                <w:sz w:val="20"/>
              </w:rPr>
              <w:t>76,355</w:t>
            </w:r>
          </w:p>
        </w:tc>
        <w:tc>
          <w:tcPr>
            <w:tcW w:w="1212" w:type="dxa"/>
            <w:gridSpan w:val="2"/>
            <w:shd w:val="clear" w:color="auto" w:fill="CCEDFF"/>
          </w:tcPr>
          <w:p>
            <w:pPr>
              <w:pStyle w:val="TableParagraph"/>
              <w:spacing w:before="20"/>
              <w:ind w:left="456"/>
              <w:rPr>
                <w:sz w:val="20"/>
              </w:rPr>
            </w:pPr>
            <w:r>
              <w:rPr>
                <w:spacing w:val="-2"/>
                <w:sz w:val="20"/>
              </w:rPr>
              <w:t>(46,846)</w:t>
            </w:r>
          </w:p>
        </w:tc>
        <w:tc>
          <w:tcPr>
            <w:tcW w:w="1119" w:type="dxa"/>
            <w:gridSpan w:val="2"/>
            <w:shd w:val="clear" w:color="auto" w:fill="CCEDFF"/>
          </w:tcPr>
          <w:p>
            <w:pPr>
              <w:pStyle w:val="TableParagraph"/>
              <w:spacing w:before="20"/>
              <w:ind w:left="491"/>
              <w:rPr>
                <w:sz w:val="20"/>
              </w:rPr>
            </w:pPr>
            <w:r>
              <w:rPr>
                <w:spacing w:val="-2"/>
                <w:sz w:val="20"/>
              </w:rPr>
              <w:t>29,509</w:t>
            </w:r>
          </w:p>
        </w:tc>
      </w:tr>
      <w:tr>
        <w:trPr>
          <w:trHeight w:val="300" w:hRule="atLeast"/>
        </w:trPr>
        <w:tc>
          <w:tcPr>
            <w:tcW w:w="3240" w:type="dxa"/>
          </w:tcPr>
          <w:p>
            <w:pPr>
              <w:pStyle w:val="TableParagraph"/>
              <w:spacing w:before="20"/>
              <w:ind w:left="50"/>
              <w:rPr>
                <w:sz w:val="20"/>
              </w:rPr>
            </w:pPr>
            <w:r>
              <w:rPr>
                <w:sz w:val="20"/>
              </w:rPr>
              <w:t>Acquired</w:t>
            </w:r>
            <w:r>
              <w:rPr>
                <w:spacing w:val="-2"/>
                <w:sz w:val="20"/>
              </w:rPr>
              <w:t> </w:t>
            </w:r>
            <w:r>
              <w:rPr>
                <w:sz w:val="20"/>
              </w:rPr>
              <w:t>rights</w:t>
            </w:r>
            <w:r>
              <w:rPr>
                <w:spacing w:val="-2"/>
                <w:sz w:val="20"/>
              </w:rPr>
              <w:t> </w:t>
            </w:r>
            <w:r>
              <w:rPr>
                <w:sz w:val="20"/>
              </w:rPr>
              <w:t>to</w:t>
            </w:r>
            <w:r>
              <w:rPr>
                <w:spacing w:val="-1"/>
                <w:sz w:val="20"/>
              </w:rPr>
              <w:t> </w:t>
            </w:r>
            <w:r>
              <w:rPr>
                <w:sz w:val="20"/>
              </w:rPr>
              <w:t>use</w:t>
            </w:r>
            <w:r>
              <w:rPr>
                <w:spacing w:val="-1"/>
                <w:sz w:val="20"/>
              </w:rPr>
              <w:t> </w:t>
            </w:r>
            <w:r>
              <w:rPr>
                <w:spacing w:val="-2"/>
                <w:sz w:val="20"/>
              </w:rPr>
              <w:t>technology</w:t>
            </w:r>
          </w:p>
        </w:tc>
        <w:tc>
          <w:tcPr>
            <w:tcW w:w="1128" w:type="dxa"/>
            <w:gridSpan w:val="2"/>
          </w:tcPr>
          <w:p>
            <w:pPr>
              <w:pStyle w:val="TableParagraph"/>
              <w:spacing w:before="20"/>
              <w:ind w:left="473"/>
              <w:rPr>
                <w:sz w:val="20"/>
              </w:rPr>
            </w:pPr>
            <w:r>
              <w:rPr>
                <w:spacing w:val="-2"/>
                <w:sz w:val="20"/>
              </w:rPr>
              <w:t>71,130</w:t>
            </w:r>
          </w:p>
        </w:tc>
        <w:tc>
          <w:tcPr>
            <w:tcW w:w="1214" w:type="dxa"/>
            <w:gridSpan w:val="2"/>
          </w:tcPr>
          <w:p>
            <w:pPr>
              <w:pStyle w:val="TableParagraph"/>
              <w:spacing w:before="20"/>
              <w:ind w:left="458"/>
              <w:rPr>
                <w:sz w:val="20"/>
              </w:rPr>
            </w:pPr>
            <w:r>
              <w:rPr>
                <w:spacing w:val="-2"/>
                <w:sz w:val="20"/>
              </w:rPr>
              <w:t>(54,223)</w:t>
            </w:r>
          </w:p>
        </w:tc>
        <w:tc>
          <w:tcPr>
            <w:tcW w:w="1147" w:type="dxa"/>
            <w:gridSpan w:val="2"/>
          </w:tcPr>
          <w:p>
            <w:pPr>
              <w:pStyle w:val="TableParagraph"/>
              <w:spacing w:before="20"/>
              <w:ind w:left="490"/>
              <w:rPr>
                <w:sz w:val="20"/>
              </w:rPr>
            </w:pPr>
            <w:r>
              <w:rPr>
                <w:spacing w:val="-2"/>
                <w:sz w:val="20"/>
              </w:rPr>
              <w:t>16,907</w:t>
            </w:r>
          </w:p>
        </w:tc>
        <w:tc>
          <w:tcPr>
            <w:tcW w:w="1180" w:type="dxa"/>
            <w:gridSpan w:val="2"/>
          </w:tcPr>
          <w:p>
            <w:pPr>
              <w:pStyle w:val="TableParagraph"/>
              <w:spacing w:before="20"/>
              <w:ind w:left="523"/>
              <w:rPr>
                <w:sz w:val="20"/>
              </w:rPr>
            </w:pPr>
            <w:r>
              <w:rPr>
                <w:spacing w:val="-2"/>
                <w:sz w:val="20"/>
              </w:rPr>
              <w:t>87,403</w:t>
            </w:r>
          </w:p>
        </w:tc>
        <w:tc>
          <w:tcPr>
            <w:tcW w:w="1212" w:type="dxa"/>
            <w:gridSpan w:val="2"/>
          </w:tcPr>
          <w:p>
            <w:pPr>
              <w:pStyle w:val="TableParagraph"/>
              <w:spacing w:before="20"/>
              <w:ind w:left="456"/>
              <w:rPr>
                <w:sz w:val="20"/>
              </w:rPr>
            </w:pPr>
            <w:r>
              <w:rPr>
                <w:spacing w:val="-2"/>
                <w:sz w:val="20"/>
              </w:rPr>
              <w:t>(60,929)</w:t>
            </w:r>
          </w:p>
        </w:tc>
        <w:tc>
          <w:tcPr>
            <w:tcW w:w="1119" w:type="dxa"/>
            <w:gridSpan w:val="2"/>
          </w:tcPr>
          <w:p>
            <w:pPr>
              <w:pStyle w:val="TableParagraph"/>
              <w:spacing w:before="20"/>
              <w:ind w:left="491"/>
              <w:rPr>
                <w:sz w:val="20"/>
              </w:rPr>
            </w:pPr>
            <w:r>
              <w:rPr>
                <w:spacing w:val="-2"/>
                <w:sz w:val="20"/>
              </w:rPr>
              <w:t>26,474</w:t>
            </w:r>
          </w:p>
        </w:tc>
      </w:tr>
      <w:tr>
        <w:trPr>
          <w:trHeight w:val="300" w:hRule="atLeast"/>
        </w:trPr>
        <w:tc>
          <w:tcPr>
            <w:tcW w:w="3240" w:type="dxa"/>
            <w:shd w:val="clear" w:color="auto" w:fill="CCEDFF"/>
          </w:tcPr>
          <w:p>
            <w:pPr>
              <w:pStyle w:val="TableParagraph"/>
              <w:spacing w:before="20"/>
              <w:ind w:left="50"/>
              <w:rPr>
                <w:sz w:val="20"/>
              </w:rPr>
            </w:pPr>
            <w:r>
              <w:rPr>
                <w:spacing w:val="-2"/>
                <w:sz w:val="20"/>
              </w:rPr>
              <w:t>Localization</w:t>
            </w:r>
          </w:p>
        </w:tc>
        <w:tc>
          <w:tcPr>
            <w:tcW w:w="1128" w:type="dxa"/>
            <w:gridSpan w:val="2"/>
            <w:shd w:val="clear" w:color="auto" w:fill="CCEDFF"/>
          </w:tcPr>
          <w:p>
            <w:pPr>
              <w:pStyle w:val="TableParagraph"/>
              <w:spacing w:before="20"/>
              <w:ind w:left="723"/>
              <w:rPr>
                <w:sz w:val="20"/>
              </w:rPr>
            </w:pPr>
            <w:r>
              <w:rPr>
                <w:spacing w:val="-5"/>
                <w:sz w:val="20"/>
              </w:rPr>
              <w:t>603</w:t>
            </w:r>
          </w:p>
        </w:tc>
        <w:tc>
          <w:tcPr>
            <w:tcW w:w="1214" w:type="dxa"/>
            <w:gridSpan w:val="2"/>
            <w:shd w:val="clear" w:color="auto" w:fill="CCEDFF"/>
          </w:tcPr>
          <w:p>
            <w:pPr>
              <w:pStyle w:val="TableParagraph"/>
              <w:spacing w:before="20"/>
              <w:ind w:left="708"/>
              <w:rPr>
                <w:sz w:val="20"/>
              </w:rPr>
            </w:pPr>
            <w:r>
              <w:rPr>
                <w:spacing w:val="-2"/>
                <w:sz w:val="20"/>
              </w:rPr>
              <w:t>(170)</w:t>
            </w:r>
          </w:p>
        </w:tc>
        <w:tc>
          <w:tcPr>
            <w:tcW w:w="1147" w:type="dxa"/>
            <w:gridSpan w:val="2"/>
            <w:shd w:val="clear" w:color="auto" w:fill="CCEDFF"/>
          </w:tcPr>
          <w:p>
            <w:pPr>
              <w:pStyle w:val="TableParagraph"/>
              <w:spacing w:before="20"/>
              <w:ind w:left="740"/>
              <w:rPr>
                <w:sz w:val="20"/>
              </w:rPr>
            </w:pPr>
            <w:r>
              <w:rPr>
                <w:spacing w:val="-5"/>
                <w:sz w:val="20"/>
              </w:rPr>
              <w:t>433</w:t>
            </w:r>
          </w:p>
        </w:tc>
        <w:tc>
          <w:tcPr>
            <w:tcW w:w="1180" w:type="dxa"/>
            <w:gridSpan w:val="2"/>
            <w:shd w:val="clear" w:color="auto" w:fill="CCEDFF"/>
          </w:tcPr>
          <w:p>
            <w:pPr>
              <w:pStyle w:val="TableParagraph"/>
              <w:spacing w:before="20"/>
              <w:ind w:left="773"/>
              <w:rPr>
                <w:sz w:val="20"/>
              </w:rPr>
            </w:pPr>
            <w:r>
              <w:rPr>
                <w:spacing w:val="-5"/>
                <w:sz w:val="20"/>
              </w:rPr>
              <w:t>631</w:t>
            </w:r>
          </w:p>
        </w:tc>
        <w:tc>
          <w:tcPr>
            <w:tcW w:w="1212" w:type="dxa"/>
            <w:gridSpan w:val="2"/>
            <w:shd w:val="clear" w:color="auto" w:fill="CCEDFF"/>
          </w:tcPr>
          <w:p>
            <w:pPr>
              <w:pStyle w:val="TableParagraph"/>
              <w:spacing w:before="20"/>
              <w:ind w:left="706"/>
              <w:rPr>
                <w:sz w:val="20"/>
              </w:rPr>
            </w:pPr>
            <w:r>
              <w:rPr>
                <w:spacing w:val="-2"/>
                <w:sz w:val="20"/>
              </w:rPr>
              <w:t>(177)</w:t>
            </w:r>
          </w:p>
        </w:tc>
        <w:tc>
          <w:tcPr>
            <w:tcW w:w="1119" w:type="dxa"/>
            <w:gridSpan w:val="2"/>
            <w:shd w:val="clear" w:color="auto" w:fill="CCEDFF"/>
          </w:tcPr>
          <w:p>
            <w:pPr>
              <w:pStyle w:val="TableParagraph"/>
              <w:spacing w:before="20"/>
              <w:ind w:left="741"/>
              <w:rPr>
                <w:sz w:val="20"/>
              </w:rPr>
            </w:pPr>
            <w:r>
              <w:rPr>
                <w:spacing w:val="-5"/>
                <w:sz w:val="20"/>
              </w:rPr>
              <w:t>454</w:t>
            </w:r>
          </w:p>
        </w:tc>
      </w:tr>
      <w:tr>
        <w:trPr>
          <w:trHeight w:val="290" w:hRule="atLeast"/>
        </w:trPr>
        <w:tc>
          <w:tcPr>
            <w:tcW w:w="3240" w:type="dxa"/>
          </w:tcPr>
          <w:p>
            <w:pPr>
              <w:pStyle w:val="TableParagraph"/>
              <w:spacing w:before="20"/>
              <w:ind w:left="50"/>
              <w:rPr>
                <w:sz w:val="20"/>
              </w:rPr>
            </w:pPr>
            <w:r>
              <w:rPr>
                <w:sz w:val="20"/>
              </w:rPr>
              <w:t>Other </w:t>
            </w:r>
            <w:r>
              <w:rPr>
                <w:spacing w:val="-2"/>
                <w:sz w:val="20"/>
              </w:rPr>
              <w:t>intangibles</w:t>
            </w:r>
          </w:p>
        </w:tc>
        <w:tc>
          <w:tcPr>
            <w:tcW w:w="1128" w:type="dxa"/>
            <w:gridSpan w:val="2"/>
            <w:tcBorders>
              <w:bottom w:val="single" w:sz="8" w:space="0" w:color="000000"/>
            </w:tcBorders>
          </w:tcPr>
          <w:p>
            <w:pPr>
              <w:pStyle w:val="TableParagraph"/>
              <w:spacing w:before="20"/>
              <w:ind w:left="473"/>
              <w:rPr>
                <w:sz w:val="20"/>
              </w:rPr>
            </w:pPr>
            <w:r>
              <w:rPr>
                <w:spacing w:val="-2"/>
                <w:sz w:val="20"/>
              </w:rPr>
              <w:t>38,693</w:t>
            </w:r>
          </w:p>
        </w:tc>
        <w:tc>
          <w:tcPr>
            <w:tcW w:w="1214" w:type="dxa"/>
            <w:gridSpan w:val="2"/>
            <w:tcBorders>
              <w:bottom w:val="single" w:sz="8" w:space="0" w:color="000000"/>
            </w:tcBorders>
          </w:tcPr>
          <w:p>
            <w:pPr>
              <w:pStyle w:val="TableParagraph"/>
              <w:spacing w:before="20"/>
              <w:ind w:left="458"/>
              <w:rPr>
                <w:sz w:val="20"/>
              </w:rPr>
            </w:pPr>
            <w:r>
              <w:rPr>
                <w:spacing w:val="-2"/>
                <w:sz w:val="20"/>
              </w:rPr>
              <w:t>(24,226)</w:t>
            </w:r>
          </w:p>
        </w:tc>
        <w:tc>
          <w:tcPr>
            <w:tcW w:w="1147" w:type="dxa"/>
            <w:gridSpan w:val="2"/>
            <w:tcBorders>
              <w:bottom w:val="single" w:sz="8" w:space="0" w:color="000000"/>
            </w:tcBorders>
          </w:tcPr>
          <w:p>
            <w:pPr>
              <w:pStyle w:val="TableParagraph"/>
              <w:spacing w:before="20"/>
              <w:ind w:left="490"/>
              <w:rPr>
                <w:sz w:val="20"/>
              </w:rPr>
            </w:pPr>
            <w:r>
              <w:rPr>
                <w:spacing w:val="-2"/>
                <w:sz w:val="20"/>
              </w:rPr>
              <w:t>14,467</w:t>
            </w:r>
          </w:p>
        </w:tc>
        <w:tc>
          <w:tcPr>
            <w:tcW w:w="1180" w:type="dxa"/>
            <w:gridSpan w:val="2"/>
            <w:tcBorders>
              <w:bottom w:val="single" w:sz="8" w:space="0" w:color="000000"/>
            </w:tcBorders>
          </w:tcPr>
          <w:p>
            <w:pPr>
              <w:pStyle w:val="TableParagraph"/>
              <w:spacing w:before="20"/>
              <w:ind w:left="523"/>
              <w:rPr>
                <w:sz w:val="20"/>
              </w:rPr>
            </w:pPr>
            <w:r>
              <w:rPr>
                <w:spacing w:val="-2"/>
                <w:sz w:val="20"/>
              </w:rPr>
              <w:t>38,693</w:t>
            </w:r>
          </w:p>
        </w:tc>
        <w:tc>
          <w:tcPr>
            <w:tcW w:w="1212" w:type="dxa"/>
            <w:gridSpan w:val="2"/>
            <w:tcBorders>
              <w:bottom w:val="single" w:sz="8" w:space="0" w:color="000000"/>
            </w:tcBorders>
          </w:tcPr>
          <w:p>
            <w:pPr>
              <w:pStyle w:val="TableParagraph"/>
              <w:spacing w:before="20"/>
              <w:ind w:left="456"/>
              <w:rPr>
                <w:sz w:val="20"/>
              </w:rPr>
            </w:pPr>
            <w:r>
              <w:rPr>
                <w:spacing w:val="-2"/>
                <w:sz w:val="20"/>
              </w:rPr>
              <w:t>(14,873)</w:t>
            </w:r>
          </w:p>
        </w:tc>
        <w:tc>
          <w:tcPr>
            <w:tcW w:w="1119" w:type="dxa"/>
            <w:gridSpan w:val="2"/>
            <w:tcBorders>
              <w:bottom w:val="single" w:sz="8" w:space="0" w:color="000000"/>
            </w:tcBorders>
          </w:tcPr>
          <w:p>
            <w:pPr>
              <w:pStyle w:val="TableParagraph"/>
              <w:spacing w:before="20"/>
              <w:ind w:left="491"/>
              <w:rPr>
                <w:sz w:val="20"/>
              </w:rPr>
            </w:pPr>
            <w:r>
              <w:rPr>
                <w:spacing w:val="-2"/>
                <w:sz w:val="20"/>
              </w:rPr>
              <w:t>23,820</w:t>
            </w:r>
          </w:p>
        </w:tc>
      </w:tr>
      <w:tr>
        <w:trPr>
          <w:trHeight w:val="280" w:hRule="atLeast"/>
        </w:trPr>
        <w:tc>
          <w:tcPr>
            <w:tcW w:w="3240" w:type="dxa"/>
            <w:shd w:val="clear" w:color="auto" w:fill="CCEDFF"/>
          </w:tcPr>
          <w:p>
            <w:pPr>
              <w:pStyle w:val="TableParagraph"/>
              <w:spacing w:before="10"/>
              <w:ind w:left="50"/>
              <w:rPr>
                <w:sz w:val="20"/>
              </w:rPr>
            </w:pPr>
            <w:r>
              <w:rPr>
                <w:sz w:val="20"/>
              </w:rPr>
              <w:t>Total</w:t>
            </w:r>
            <w:r>
              <w:rPr>
                <w:spacing w:val="-5"/>
                <w:sz w:val="20"/>
              </w:rPr>
              <w:t> </w:t>
            </w:r>
            <w:r>
              <w:rPr>
                <w:sz w:val="20"/>
              </w:rPr>
              <w:t>other</w:t>
            </w:r>
            <w:r>
              <w:rPr>
                <w:spacing w:val="-5"/>
                <w:sz w:val="20"/>
              </w:rPr>
              <w:t> </w:t>
            </w:r>
            <w:r>
              <w:rPr>
                <w:sz w:val="20"/>
              </w:rPr>
              <w:t>intangible</w:t>
            </w:r>
            <w:r>
              <w:rPr>
                <w:spacing w:val="-4"/>
                <w:sz w:val="20"/>
              </w:rPr>
              <w:t> </w:t>
            </w:r>
            <w:r>
              <w:rPr>
                <w:spacing w:val="-2"/>
                <w:sz w:val="20"/>
              </w:rPr>
              <w:t>assets</w:t>
            </w:r>
          </w:p>
        </w:tc>
        <w:tc>
          <w:tcPr>
            <w:tcW w:w="1128" w:type="dxa"/>
            <w:gridSpan w:val="2"/>
            <w:tcBorders>
              <w:top w:val="single" w:sz="8" w:space="0" w:color="000000"/>
              <w:bottom w:val="single" w:sz="8" w:space="0" w:color="000000"/>
            </w:tcBorders>
            <w:shd w:val="clear" w:color="auto" w:fill="CCEDFF"/>
          </w:tcPr>
          <w:p>
            <w:pPr>
              <w:pStyle w:val="TableParagraph"/>
              <w:tabs>
                <w:tab w:pos="372" w:val="left" w:leader="none"/>
              </w:tabs>
              <w:spacing w:before="10"/>
              <w:ind w:left="50"/>
              <w:rPr>
                <w:sz w:val="20"/>
              </w:rPr>
            </w:pPr>
            <w:r>
              <w:rPr>
                <w:spacing w:val="-10"/>
                <w:sz w:val="20"/>
              </w:rPr>
              <w:t>$</w:t>
            </w:r>
            <w:r>
              <w:rPr>
                <w:sz w:val="20"/>
              </w:rPr>
              <w:tab/>
            </w:r>
            <w:r>
              <w:rPr>
                <w:spacing w:val="-2"/>
                <w:sz w:val="20"/>
              </w:rPr>
              <w:t>764,165</w:t>
            </w:r>
          </w:p>
        </w:tc>
        <w:tc>
          <w:tcPr>
            <w:tcW w:w="1214" w:type="dxa"/>
            <w:gridSpan w:val="2"/>
            <w:tcBorders>
              <w:top w:val="single" w:sz="8" w:space="0" w:color="000000"/>
              <w:bottom w:val="single" w:sz="8" w:space="0" w:color="000000"/>
            </w:tcBorders>
            <w:shd w:val="clear" w:color="auto" w:fill="CCEDFF"/>
          </w:tcPr>
          <w:p>
            <w:pPr>
              <w:pStyle w:val="TableParagraph"/>
              <w:spacing w:before="10"/>
              <w:ind w:left="102"/>
              <w:rPr>
                <w:sz w:val="20"/>
              </w:rPr>
            </w:pPr>
            <w:r>
              <w:rPr>
                <w:sz w:val="20"/>
              </w:rPr>
              <w:t>$</w:t>
            </w:r>
            <w:r>
              <w:rPr>
                <w:spacing w:val="28"/>
                <w:sz w:val="20"/>
              </w:rPr>
              <w:t>  </w:t>
            </w:r>
            <w:r>
              <w:rPr>
                <w:spacing w:val="-2"/>
                <w:sz w:val="20"/>
              </w:rPr>
              <w:t>(491,326)</w:t>
            </w:r>
          </w:p>
        </w:tc>
        <w:tc>
          <w:tcPr>
            <w:tcW w:w="1147" w:type="dxa"/>
            <w:gridSpan w:val="2"/>
            <w:tcBorders>
              <w:top w:val="single" w:sz="8" w:space="0" w:color="000000"/>
              <w:bottom w:val="single" w:sz="8" w:space="0" w:color="000000"/>
            </w:tcBorders>
            <w:shd w:val="clear" w:color="auto" w:fill="CCEDFF"/>
          </w:tcPr>
          <w:p>
            <w:pPr>
              <w:pStyle w:val="TableParagraph"/>
              <w:tabs>
                <w:tab w:pos="390" w:val="left" w:leader="none"/>
              </w:tabs>
              <w:spacing w:before="10"/>
              <w:ind w:left="67"/>
              <w:rPr>
                <w:sz w:val="20"/>
              </w:rPr>
            </w:pPr>
            <w:r>
              <w:rPr>
                <w:spacing w:val="-10"/>
                <w:sz w:val="20"/>
              </w:rPr>
              <w:t>$</w:t>
            </w:r>
            <w:r>
              <w:rPr>
                <w:sz w:val="20"/>
              </w:rPr>
              <w:tab/>
            </w:r>
            <w:r>
              <w:rPr>
                <w:spacing w:val="-2"/>
                <w:sz w:val="20"/>
              </w:rPr>
              <w:t>272,839</w:t>
            </w:r>
          </w:p>
        </w:tc>
        <w:tc>
          <w:tcPr>
            <w:tcW w:w="1180" w:type="dxa"/>
            <w:gridSpan w:val="2"/>
            <w:tcBorders>
              <w:top w:val="single" w:sz="8" w:space="0" w:color="000000"/>
              <w:bottom w:val="single" w:sz="8" w:space="0" w:color="000000"/>
            </w:tcBorders>
            <w:shd w:val="clear" w:color="auto" w:fill="CCEDFF"/>
          </w:tcPr>
          <w:p>
            <w:pPr>
              <w:pStyle w:val="TableParagraph"/>
              <w:tabs>
                <w:tab w:pos="423" w:val="left" w:leader="none"/>
              </w:tabs>
              <w:spacing w:before="10"/>
              <w:ind w:left="100"/>
              <w:rPr>
                <w:sz w:val="20"/>
              </w:rPr>
            </w:pPr>
            <w:r>
              <w:rPr>
                <w:spacing w:val="-10"/>
                <w:sz w:val="20"/>
              </w:rPr>
              <w:t>$</w:t>
            </w:r>
            <w:r>
              <w:rPr>
                <w:sz w:val="20"/>
              </w:rPr>
              <w:tab/>
            </w:r>
            <w:r>
              <w:rPr>
                <w:spacing w:val="-2"/>
                <w:sz w:val="20"/>
              </w:rPr>
              <w:t>744,448</w:t>
            </w:r>
          </w:p>
        </w:tc>
        <w:tc>
          <w:tcPr>
            <w:tcW w:w="1212" w:type="dxa"/>
            <w:gridSpan w:val="2"/>
            <w:tcBorders>
              <w:top w:val="single" w:sz="8" w:space="0" w:color="000000"/>
              <w:bottom w:val="single" w:sz="8" w:space="0" w:color="000000"/>
            </w:tcBorders>
            <w:shd w:val="clear" w:color="auto" w:fill="CCEDFF"/>
          </w:tcPr>
          <w:p>
            <w:pPr>
              <w:pStyle w:val="TableParagraph"/>
              <w:spacing w:before="10"/>
              <w:ind w:left="100"/>
              <w:rPr>
                <w:sz w:val="20"/>
              </w:rPr>
            </w:pPr>
            <w:r>
              <w:rPr>
                <w:sz w:val="20"/>
              </w:rPr>
              <w:t>$</w:t>
            </w:r>
            <w:r>
              <w:rPr>
                <w:spacing w:val="28"/>
                <w:sz w:val="20"/>
              </w:rPr>
              <w:t>  </w:t>
            </w:r>
            <w:r>
              <w:rPr>
                <w:spacing w:val="-2"/>
                <w:sz w:val="20"/>
              </w:rPr>
              <w:t>(397,205)</w:t>
            </w:r>
          </w:p>
        </w:tc>
        <w:tc>
          <w:tcPr>
            <w:tcW w:w="1119" w:type="dxa"/>
            <w:gridSpan w:val="2"/>
            <w:tcBorders>
              <w:top w:val="single" w:sz="8" w:space="0" w:color="000000"/>
              <w:bottom w:val="single" w:sz="8" w:space="0" w:color="000000"/>
            </w:tcBorders>
            <w:shd w:val="clear" w:color="auto" w:fill="CCEDFF"/>
          </w:tcPr>
          <w:p>
            <w:pPr>
              <w:pStyle w:val="TableParagraph"/>
              <w:tabs>
                <w:tab w:pos="391" w:val="left" w:leader="none"/>
              </w:tabs>
              <w:spacing w:before="10"/>
              <w:ind w:left="68"/>
              <w:rPr>
                <w:sz w:val="20"/>
              </w:rPr>
            </w:pPr>
            <w:r>
              <w:rPr>
                <w:spacing w:val="-10"/>
                <w:sz w:val="20"/>
              </w:rPr>
              <w:t>$</w:t>
            </w:r>
            <w:r>
              <w:rPr>
                <w:sz w:val="20"/>
              </w:rPr>
              <w:tab/>
            </w:r>
            <w:r>
              <w:rPr>
                <w:spacing w:val="-2"/>
                <w:sz w:val="20"/>
              </w:rPr>
              <w:t>347,243</w:t>
            </w:r>
          </w:p>
        </w:tc>
      </w:tr>
      <w:tr>
        <w:trPr>
          <w:trHeight w:val="420" w:hRule="atLeast"/>
        </w:trPr>
        <w:tc>
          <w:tcPr>
            <w:tcW w:w="3240" w:type="dxa"/>
          </w:tcPr>
          <w:p>
            <w:pPr>
              <w:pStyle w:val="TableParagraph"/>
              <w:spacing w:line="200" w:lineRule="exact"/>
              <w:ind w:left="270" w:right="139" w:hanging="100"/>
              <w:rPr>
                <w:sz w:val="20"/>
              </w:rPr>
            </w:pPr>
            <w:r>
              <w:rPr>
                <w:sz w:val="20"/>
              </w:rPr>
              <w:t>Purchased</w:t>
            </w:r>
            <w:r>
              <w:rPr>
                <w:spacing w:val="-13"/>
                <w:sz w:val="20"/>
              </w:rPr>
              <w:t> </w:t>
            </w:r>
            <w:r>
              <w:rPr>
                <w:sz w:val="20"/>
              </w:rPr>
              <w:t>and</w:t>
            </w:r>
            <w:r>
              <w:rPr>
                <w:spacing w:val="-12"/>
                <w:sz w:val="20"/>
              </w:rPr>
              <w:t> </w:t>
            </w:r>
            <w:r>
              <w:rPr>
                <w:sz w:val="20"/>
              </w:rPr>
              <w:t>other</w:t>
            </w:r>
            <w:r>
              <w:rPr>
                <w:spacing w:val="-13"/>
                <w:sz w:val="20"/>
              </w:rPr>
              <w:t> </w:t>
            </w:r>
            <w:r>
              <w:rPr>
                <w:sz w:val="20"/>
              </w:rPr>
              <w:t>intangible assets, net</w:t>
            </w:r>
          </w:p>
        </w:tc>
        <w:tc>
          <w:tcPr>
            <w:tcW w:w="262" w:type="dxa"/>
            <w:tcBorders>
              <w:bottom w:val="double" w:sz="8" w:space="0" w:color="000000"/>
            </w:tcBorders>
          </w:tcPr>
          <w:p>
            <w:pPr>
              <w:pStyle w:val="TableParagraph"/>
              <w:spacing w:before="160"/>
              <w:ind w:left="50"/>
              <w:rPr>
                <w:sz w:val="20"/>
              </w:rPr>
            </w:pPr>
            <w:r>
              <w:rPr>
                <w:spacing w:val="-10"/>
                <w:sz w:val="20"/>
              </w:rPr>
              <w:t>$</w:t>
            </w:r>
          </w:p>
        </w:tc>
        <w:tc>
          <w:tcPr>
            <w:tcW w:w="866" w:type="dxa"/>
            <w:tcBorders>
              <w:bottom w:val="double" w:sz="8" w:space="0" w:color="000000"/>
            </w:tcBorders>
          </w:tcPr>
          <w:p>
            <w:pPr>
              <w:pStyle w:val="TableParagraph"/>
              <w:spacing w:before="160"/>
              <w:ind w:left="111"/>
              <w:rPr>
                <w:sz w:val="20"/>
              </w:rPr>
            </w:pPr>
            <w:r>
              <w:rPr>
                <w:spacing w:val="-2"/>
                <w:sz w:val="20"/>
              </w:rPr>
              <w:t>987,417</w:t>
            </w:r>
          </w:p>
        </w:tc>
        <w:tc>
          <w:tcPr>
            <w:tcW w:w="282" w:type="dxa"/>
            <w:tcBorders>
              <w:bottom w:val="double" w:sz="8" w:space="0" w:color="000000"/>
            </w:tcBorders>
          </w:tcPr>
          <w:p>
            <w:pPr>
              <w:pStyle w:val="TableParagraph"/>
              <w:spacing w:before="160"/>
              <w:ind w:left="102"/>
              <w:rPr>
                <w:sz w:val="20"/>
              </w:rPr>
            </w:pPr>
            <w:r>
              <w:rPr>
                <w:spacing w:val="-10"/>
                <w:sz w:val="20"/>
              </w:rPr>
              <w:t>$</w:t>
            </w:r>
          </w:p>
        </w:tc>
        <w:tc>
          <w:tcPr>
            <w:tcW w:w="932" w:type="dxa"/>
            <w:tcBorders>
              <w:bottom w:val="double" w:sz="8" w:space="0" w:color="000000"/>
            </w:tcBorders>
          </w:tcPr>
          <w:p>
            <w:pPr>
              <w:pStyle w:val="TableParagraph"/>
              <w:spacing w:before="160"/>
              <w:ind w:left="76"/>
              <w:rPr>
                <w:sz w:val="20"/>
              </w:rPr>
            </w:pPr>
            <w:r>
              <w:rPr>
                <w:spacing w:val="-2"/>
                <w:sz w:val="20"/>
              </w:rPr>
              <w:t>(601,759)</w:t>
            </w:r>
          </w:p>
        </w:tc>
        <w:tc>
          <w:tcPr>
            <w:tcW w:w="282" w:type="dxa"/>
            <w:tcBorders>
              <w:bottom w:val="double" w:sz="8" w:space="0" w:color="000000"/>
            </w:tcBorders>
          </w:tcPr>
          <w:p>
            <w:pPr>
              <w:pStyle w:val="TableParagraph"/>
              <w:spacing w:before="160"/>
              <w:ind w:left="67"/>
              <w:rPr>
                <w:sz w:val="20"/>
              </w:rPr>
            </w:pPr>
            <w:r>
              <w:rPr>
                <w:spacing w:val="-10"/>
                <w:sz w:val="20"/>
              </w:rPr>
              <w:t>$</w:t>
            </w:r>
          </w:p>
        </w:tc>
        <w:tc>
          <w:tcPr>
            <w:tcW w:w="865" w:type="dxa"/>
            <w:tcBorders>
              <w:bottom w:val="double" w:sz="8" w:space="0" w:color="000000"/>
            </w:tcBorders>
          </w:tcPr>
          <w:p>
            <w:pPr>
              <w:pStyle w:val="TableParagraph"/>
              <w:spacing w:before="160"/>
              <w:ind w:left="108"/>
              <w:rPr>
                <w:sz w:val="20"/>
              </w:rPr>
            </w:pPr>
            <w:r>
              <w:rPr>
                <w:spacing w:val="-2"/>
                <w:sz w:val="20"/>
              </w:rPr>
              <w:t>385,658</w:t>
            </w:r>
          </w:p>
        </w:tc>
        <w:tc>
          <w:tcPr>
            <w:tcW w:w="315" w:type="dxa"/>
            <w:tcBorders>
              <w:bottom w:val="double" w:sz="8" w:space="0" w:color="000000"/>
            </w:tcBorders>
          </w:tcPr>
          <w:p>
            <w:pPr>
              <w:pStyle w:val="TableParagraph"/>
              <w:spacing w:before="160"/>
              <w:ind w:left="100"/>
              <w:rPr>
                <w:sz w:val="20"/>
              </w:rPr>
            </w:pPr>
            <w:r>
              <w:rPr>
                <w:spacing w:val="-10"/>
                <w:sz w:val="20"/>
              </w:rPr>
              <w:t>$</w:t>
            </w:r>
          </w:p>
        </w:tc>
        <w:tc>
          <w:tcPr>
            <w:tcW w:w="865" w:type="dxa"/>
            <w:tcBorders>
              <w:bottom w:val="double" w:sz="8" w:space="0" w:color="000000"/>
            </w:tcBorders>
          </w:tcPr>
          <w:p>
            <w:pPr>
              <w:pStyle w:val="TableParagraph"/>
              <w:spacing w:before="160"/>
              <w:ind w:left="108"/>
              <w:rPr>
                <w:sz w:val="20"/>
              </w:rPr>
            </w:pPr>
            <w:r>
              <w:rPr>
                <w:spacing w:val="-2"/>
                <w:sz w:val="20"/>
              </w:rPr>
              <w:t>893,701</w:t>
            </w:r>
          </w:p>
        </w:tc>
        <w:tc>
          <w:tcPr>
            <w:tcW w:w="281" w:type="dxa"/>
            <w:tcBorders>
              <w:bottom w:val="double" w:sz="8" w:space="0" w:color="000000"/>
            </w:tcBorders>
          </w:tcPr>
          <w:p>
            <w:pPr>
              <w:pStyle w:val="TableParagraph"/>
              <w:spacing w:before="160"/>
              <w:ind w:left="100"/>
              <w:rPr>
                <w:sz w:val="20"/>
              </w:rPr>
            </w:pPr>
            <w:r>
              <w:rPr>
                <w:spacing w:val="-10"/>
                <w:sz w:val="20"/>
              </w:rPr>
              <w:t>$</w:t>
            </w:r>
          </w:p>
        </w:tc>
        <w:tc>
          <w:tcPr>
            <w:tcW w:w="931" w:type="dxa"/>
            <w:tcBorders>
              <w:bottom w:val="double" w:sz="8" w:space="0" w:color="000000"/>
            </w:tcBorders>
          </w:tcPr>
          <w:p>
            <w:pPr>
              <w:pStyle w:val="TableParagraph"/>
              <w:spacing w:before="160"/>
              <w:ind w:left="75"/>
              <w:rPr>
                <w:sz w:val="20"/>
              </w:rPr>
            </w:pPr>
            <w:r>
              <w:rPr>
                <w:spacing w:val="-2"/>
                <w:sz w:val="20"/>
              </w:rPr>
              <w:t>(479,296)</w:t>
            </w:r>
          </w:p>
        </w:tc>
        <w:tc>
          <w:tcPr>
            <w:tcW w:w="281" w:type="dxa"/>
            <w:tcBorders>
              <w:bottom w:val="double" w:sz="8" w:space="0" w:color="000000"/>
            </w:tcBorders>
          </w:tcPr>
          <w:p>
            <w:pPr>
              <w:pStyle w:val="TableParagraph"/>
              <w:spacing w:before="160"/>
              <w:ind w:left="68"/>
              <w:rPr>
                <w:sz w:val="20"/>
              </w:rPr>
            </w:pPr>
            <w:r>
              <w:rPr>
                <w:spacing w:val="-10"/>
                <w:sz w:val="20"/>
              </w:rPr>
              <w:t>$</w:t>
            </w:r>
          </w:p>
        </w:tc>
        <w:tc>
          <w:tcPr>
            <w:tcW w:w="838" w:type="dxa"/>
            <w:tcBorders>
              <w:bottom w:val="double" w:sz="8" w:space="0" w:color="000000"/>
            </w:tcBorders>
          </w:tcPr>
          <w:p>
            <w:pPr>
              <w:pStyle w:val="TableParagraph"/>
              <w:spacing w:before="160"/>
              <w:ind w:left="110"/>
              <w:rPr>
                <w:sz w:val="20"/>
              </w:rPr>
            </w:pPr>
            <w:r>
              <w:rPr>
                <w:spacing w:val="-2"/>
                <w:sz w:val="20"/>
              </w:rPr>
              <w:t>414,405</w:t>
            </w:r>
          </w:p>
        </w:tc>
      </w:tr>
    </w:tbl>
    <w:p>
      <w:pPr>
        <w:pStyle w:val="BodyText"/>
        <w:spacing w:before="203"/>
      </w:pPr>
    </w:p>
    <w:p>
      <w:pPr>
        <w:pStyle w:val="BodyText"/>
        <w:spacing w:line="249" w:lineRule="auto"/>
        <w:ind w:left="220" w:right="257" w:firstLine="720"/>
        <w:jc w:val="both"/>
      </w:pPr>
      <w:r>
        <w:rPr/>
        <w:t>In fiscal 2017, certain purchased intangibles associated with our acquisitions in prior years and certain other acquired </w:t>
      </w:r>
      <w:r>
        <w:rPr>
          <w:spacing w:val="-2"/>
        </w:rPr>
        <w:t>rights</w:t>
      </w:r>
      <w:r>
        <w:rPr>
          <w:spacing w:val="-11"/>
        </w:rPr>
        <w:t> </w:t>
      </w:r>
      <w:r>
        <w:rPr>
          <w:spacing w:val="-2"/>
        </w:rPr>
        <w:t>to</w:t>
      </w:r>
      <w:r>
        <w:rPr>
          <w:spacing w:val="-10"/>
        </w:rPr>
        <w:t> </w:t>
      </w:r>
      <w:r>
        <w:rPr>
          <w:spacing w:val="-2"/>
        </w:rPr>
        <w:t>use</w:t>
      </w:r>
      <w:r>
        <w:rPr>
          <w:spacing w:val="-10"/>
        </w:rPr>
        <w:t> </w:t>
      </w:r>
      <w:r>
        <w:rPr>
          <w:spacing w:val="-2"/>
        </w:rPr>
        <w:t>technology</w:t>
      </w:r>
      <w:r>
        <w:rPr>
          <w:spacing w:val="-10"/>
        </w:rPr>
        <w:t> </w:t>
      </w:r>
      <w:r>
        <w:rPr>
          <w:spacing w:val="-2"/>
        </w:rPr>
        <w:t>became</w:t>
      </w:r>
      <w:r>
        <w:rPr>
          <w:spacing w:val="-10"/>
        </w:rPr>
        <w:t> </w:t>
      </w:r>
      <w:r>
        <w:rPr>
          <w:spacing w:val="-2"/>
        </w:rPr>
        <w:t>fully</w:t>
      </w:r>
      <w:r>
        <w:rPr>
          <w:spacing w:val="-10"/>
        </w:rPr>
        <w:t> </w:t>
      </w:r>
      <w:r>
        <w:rPr>
          <w:spacing w:val="-2"/>
        </w:rPr>
        <w:t>amortized</w:t>
      </w:r>
      <w:r>
        <w:rPr>
          <w:spacing w:val="-10"/>
        </w:rPr>
        <w:t> </w:t>
      </w:r>
      <w:r>
        <w:rPr>
          <w:spacing w:val="-2"/>
        </w:rPr>
        <w:t>and</w:t>
      </w:r>
      <w:r>
        <w:rPr>
          <w:spacing w:val="-10"/>
        </w:rPr>
        <w:t> </w:t>
      </w:r>
      <w:r>
        <w:rPr>
          <w:spacing w:val="-2"/>
        </w:rPr>
        <w:t>were</w:t>
      </w:r>
      <w:r>
        <w:rPr>
          <w:spacing w:val="-10"/>
        </w:rPr>
        <w:t> </w:t>
      </w:r>
      <w:r>
        <w:rPr>
          <w:spacing w:val="-2"/>
        </w:rPr>
        <w:t>removed</w:t>
      </w:r>
      <w:r>
        <w:rPr>
          <w:spacing w:val="-10"/>
        </w:rPr>
        <w:t> </w:t>
      </w:r>
      <w:r>
        <w:rPr>
          <w:spacing w:val="-2"/>
        </w:rPr>
        <w:t>from</w:t>
      </w:r>
      <w:r>
        <w:rPr>
          <w:spacing w:val="-10"/>
        </w:rPr>
        <w:t> </w:t>
      </w:r>
      <w:r>
        <w:rPr>
          <w:spacing w:val="-2"/>
        </w:rPr>
        <w:t>the</w:t>
      </w:r>
      <w:r>
        <w:rPr>
          <w:spacing w:val="-10"/>
        </w:rPr>
        <w:t> </w:t>
      </w:r>
      <w:r>
        <w:rPr>
          <w:spacing w:val="-2"/>
        </w:rPr>
        <w:t>Consolidated</w:t>
      </w:r>
      <w:r>
        <w:rPr>
          <w:spacing w:val="-10"/>
        </w:rPr>
        <w:t> </w:t>
      </w:r>
      <w:r>
        <w:rPr>
          <w:spacing w:val="-2"/>
        </w:rPr>
        <w:t>Balance</w:t>
      </w:r>
      <w:r>
        <w:rPr>
          <w:spacing w:val="-10"/>
        </w:rPr>
        <w:t> </w:t>
      </w:r>
      <w:r>
        <w:rPr>
          <w:spacing w:val="-2"/>
        </w:rPr>
        <w:t>Sheets.</w:t>
      </w:r>
      <w:r>
        <w:rPr>
          <w:spacing w:val="-10"/>
        </w:rPr>
        <w:t> </w:t>
      </w:r>
      <w:r>
        <w:rPr>
          <w:spacing w:val="-2"/>
        </w:rPr>
        <w:t>In</w:t>
      </w:r>
      <w:r>
        <w:rPr>
          <w:spacing w:val="-10"/>
        </w:rPr>
        <w:t> </w:t>
      </w:r>
      <w:r>
        <w:rPr>
          <w:spacing w:val="-2"/>
        </w:rPr>
        <w:t>fiscal</w:t>
      </w:r>
      <w:r>
        <w:rPr>
          <w:spacing w:val="-11"/>
        </w:rPr>
        <w:t> </w:t>
      </w:r>
      <w:r>
        <w:rPr>
          <w:spacing w:val="-2"/>
        </w:rPr>
        <w:t>2016,</w:t>
      </w:r>
      <w:r>
        <w:rPr>
          <w:spacing w:val="-10"/>
        </w:rPr>
        <w:t> </w:t>
      </w:r>
      <w:r>
        <w:rPr>
          <w:spacing w:val="-2"/>
        </w:rPr>
        <w:t>purchased intangibles</w:t>
      </w:r>
      <w:r>
        <w:rPr>
          <w:spacing w:val="-3"/>
        </w:rPr>
        <w:t> </w:t>
      </w:r>
      <w:r>
        <w:rPr>
          <w:spacing w:val="-2"/>
        </w:rPr>
        <w:t>associated</w:t>
      </w:r>
      <w:r>
        <w:rPr>
          <w:spacing w:val="-4"/>
        </w:rPr>
        <w:t> </w:t>
      </w:r>
      <w:r>
        <w:rPr>
          <w:spacing w:val="-2"/>
        </w:rPr>
        <w:t>with</w:t>
      </w:r>
      <w:r>
        <w:rPr>
          <w:spacing w:val="-4"/>
        </w:rPr>
        <w:t> </w:t>
      </w:r>
      <w:r>
        <w:rPr>
          <w:spacing w:val="-2"/>
        </w:rPr>
        <w:t>our</w:t>
      </w:r>
      <w:r>
        <w:rPr>
          <w:spacing w:val="-3"/>
        </w:rPr>
        <w:t> </w:t>
      </w:r>
      <w:r>
        <w:rPr>
          <w:spacing w:val="-2"/>
        </w:rPr>
        <w:t>acquisition</w:t>
      </w:r>
      <w:r>
        <w:rPr>
          <w:spacing w:val="-4"/>
        </w:rPr>
        <w:t> </w:t>
      </w:r>
      <w:r>
        <w:rPr>
          <w:spacing w:val="-2"/>
        </w:rPr>
        <w:t>of</w:t>
      </w:r>
      <w:r>
        <w:rPr>
          <w:spacing w:val="-3"/>
        </w:rPr>
        <w:t> </w:t>
      </w:r>
      <w:r>
        <w:rPr>
          <w:spacing w:val="-2"/>
        </w:rPr>
        <w:t>EchoSign</w:t>
      </w:r>
      <w:r>
        <w:rPr>
          <w:spacing w:val="-4"/>
        </w:rPr>
        <w:t> </w:t>
      </w:r>
      <w:r>
        <w:rPr>
          <w:spacing w:val="-2"/>
        </w:rPr>
        <w:t>and</w:t>
      </w:r>
      <w:r>
        <w:rPr>
          <w:spacing w:val="-4"/>
        </w:rPr>
        <w:t> </w:t>
      </w:r>
      <w:r>
        <w:rPr>
          <w:spacing w:val="-2"/>
        </w:rPr>
        <w:t>certain</w:t>
      </w:r>
      <w:r>
        <w:rPr>
          <w:spacing w:val="-4"/>
        </w:rPr>
        <w:t> </w:t>
      </w:r>
      <w:r>
        <w:rPr>
          <w:spacing w:val="-2"/>
        </w:rPr>
        <w:t>other</w:t>
      </w:r>
      <w:r>
        <w:rPr>
          <w:spacing w:val="-4"/>
        </w:rPr>
        <w:t> </w:t>
      </w:r>
      <w:r>
        <w:rPr>
          <w:spacing w:val="-2"/>
        </w:rPr>
        <w:t>acquired</w:t>
      </w:r>
      <w:r>
        <w:rPr>
          <w:spacing w:val="-4"/>
        </w:rPr>
        <w:t> </w:t>
      </w:r>
      <w:r>
        <w:rPr>
          <w:spacing w:val="-2"/>
        </w:rPr>
        <w:t>rights</w:t>
      </w:r>
      <w:r>
        <w:rPr>
          <w:spacing w:val="-3"/>
        </w:rPr>
        <w:t> </w:t>
      </w:r>
      <w:r>
        <w:rPr>
          <w:spacing w:val="-2"/>
        </w:rPr>
        <w:t>to</w:t>
      </w:r>
      <w:r>
        <w:rPr>
          <w:spacing w:val="-3"/>
        </w:rPr>
        <w:t> </w:t>
      </w:r>
      <w:r>
        <w:rPr>
          <w:spacing w:val="-2"/>
        </w:rPr>
        <w:t>use</w:t>
      </w:r>
      <w:r>
        <w:rPr>
          <w:spacing w:val="-4"/>
        </w:rPr>
        <w:t> </w:t>
      </w:r>
      <w:r>
        <w:rPr>
          <w:spacing w:val="-2"/>
        </w:rPr>
        <w:t>technology</w:t>
      </w:r>
      <w:r>
        <w:rPr>
          <w:spacing w:val="-4"/>
        </w:rPr>
        <w:t> </w:t>
      </w:r>
      <w:r>
        <w:rPr>
          <w:spacing w:val="-2"/>
        </w:rPr>
        <w:t>became</w:t>
      </w:r>
      <w:r>
        <w:rPr>
          <w:spacing w:val="-4"/>
        </w:rPr>
        <w:t> </w:t>
      </w:r>
      <w:r>
        <w:rPr>
          <w:spacing w:val="-2"/>
        </w:rPr>
        <w:t>fully</w:t>
      </w:r>
      <w:r>
        <w:rPr>
          <w:spacing w:val="-4"/>
        </w:rPr>
        <w:t> </w:t>
      </w:r>
      <w:r>
        <w:rPr>
          <w:spacing w:val="-2"/>
        </w:rPr>
        <w:t>amortized </w:t>
      </w:r>
      <w:r>
        <w:rPr/>
        <w:t>and were removed from the Consolidated Balance Sheets.</w:t>
      </w:r>
    </w:p>
    <w:p>
      <w:pPr>
        <w:pStyle w:val="BodyText"/>
        <w:spacing w:line="249" w:lineRule="auto" w:before="183"/>
        <w:ind w:left="220" w:right="257" w:firstLine="720"/>
        <w:jc w:val="both"/>
      </w:pPr>
      <w:r>
        <w:rPr/>
        <w:t>Amortization expense related to purchased and other intangible assets was $153.6 million, $152.4 million, and $174.5 million for fiscal 2017, 2016 and 2015 respectively. Of these amounts, $76.1 million, $71.1 million, and $104.4 million were included in cost of sales for fiscal 2017, 2016 and 2015 respectively.</w:t>
      </w:r>
    </w:p>
    <w:p>
      <w:pPr>
        <w:pStyle w:val="BodyText"/>
        <w:spacing w:line="249" w:lineRule="auto" w:before="183"/>
        <w:ind w:left="220" w:firstLine="540"/>
      </w:pPr>
      <w:r>
        <w:rPr/>
        <w:t>Purchased and other intangible assets are amortized over their estimated useful lives of 1 to 14 years.</w:t>
      </w:r>
      <w:r>
        <w:rPr>
          <w:spacing w:val="-10"/>
        </w:rPr>
        <w:t> </w:t>
      </w:r>
      <w:r>
        <w:rPr/>
        <w:t>As of December</w:t>
      </w:r>
      <w:r>
        <w:rPr>
          <w:spacing w:val="-2"/>
        </w:rPr>
        <w:t> </w:t>
      </w:r>
      <w:r>
        <w:rPr/>
        <w:t>1, 2017, we expect amortization expense in future periods to be as follows (in thousands):</w:t>
      </w:r>
    </w:p>
    <w:p>
      <w:pPr>
        <w:pStyle w:val="BodyText"/>
        <w:spacing w:before="7"/>
        <w:rPr>
          <w:sz w:val="1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2"/>
        <w:gridCol w:w="3495"/>
        <w:gridCol w:w="1514"/>
      </w:tblGrid>
      <w:tr>
        <w:trPr>
          <w:trHeight w:val="377" w:hRule="atLeast"/>
        </w:trPr>
        <w:tc>
          <w:tcPr>
            <w:tcW w:w="5232" w:type="dxa"/>
          </w:tcPr>
          <w:p>
            <w:pPr>
              <w:pStyle w:val="TableParagraph"/>
              <w:spacing w:before="153"/>
              <w:ind w:left="70"/>
              <w:rPr>
                <w:b/>
                <w:sz w:val="16"/>
              </w:rPr>
            </w:pPr>
            <w:r>
              <w:rPr>
                <w:b/>
                <w:sz w:val="16"/>
              </w:rPr>
              <w:t>Fiscal</w:t>
            </w:r>
            <w:r>
              <w:rPr>
                <w:b/>
                <w:spacing w:val="-7"/>
                <w:sz w:val="16"/>
              </w:rPr>
              <w:t> </w:t>
            </w:r>
            <w:r>
              <w:rPr>
                <w:b/>
                <w:spacing w:val="-4"/>
                <w:sz w:val="16"/>
              </w:rPr>
              <w:t>Year</w:t>
            </w:r>
          </w:p>
        </w:tc>
        <w:tc>
          <w:tcPr>
            <w:tcW w:w="3495" w:type="dxa"/>
            <w:tcBorders>
              <w:bottom w:val="single" w:sz="8" w:space="0" w:color="000000"/>
            </w:tcBorders>
          </w:tcPr>
          <w:p>
            <w:pPr>
              <w:pStyle w:val="TableParagraph"/>
              <w:spacing w:line="208" w:lineRule="auto" w:before="12"/>
              <w:ind w:left="2368" w:right="347" w:firstLine="30"/>
              <w:jc w:val="right"/>
              <w:rPr>
                <w:b/>
                <w:sz w:val="16"/>
              </w:rPr>
            </w:pPr>
            <w:r>
              <w:rPr>
                <w:b/>
                <w:spacing w:val="-2"/>
                <w:sz w:val="16"/>
              </w:rPr>
              <w:t>Purchased</w:t>
            </w:r>
            <w:r>
              <w:rPr>
                <w:b/>
                <w:spacing w:val="40"/>
                <w:sz w:val="16"/>
              </w:rPr>
              <w:t> </w:t>
            </w:r>
            <w:r>
              <w:rPr>
                <w:b/>
                <w:spacing w:val="-4"/>
                <w:sz w:val="16"/>
              </w:rPr>
              <w:t>Technology</w:t>
            </w:r>
          </w:p>
        </w:tc>
        <w:tc>
          <w:tcPr>
            <w:tcW w:w="1514" w:type="dxa"/>
            <w:tcBorders>
              <w:bottom w:val="single" w:sz="8" w:space="0" w:color="000000"/>
            </w:tcBorders>
          </w:tcPr>
          <w:p>
            <w:pPr>
              <w:pStyle w:val="TableParagraph"/>
              <w:spacing w:line="208" w:lineRule="auto" w:before="12"/>
              <w:ind w:left="528" w:right="185" w:hanging="361"/>
              <w:rPr>
                <w:b/>
                <w:sz w:val="16"/>
              </w:rPr>
            </w:pPr>
            <w:r>
              <w:rPr>
                <w:b/>
                <w:sz w:val="16"/>
              </w:rPr>
              <w:t>Other</w:t>
            </w:r>
            <w:r>
              <w:rPr>
                <w:b/>
                <w:spacing w:val="-10"/>
                <w:sz w:val="16"/>
              </w:rPr>
              <w:t> </w:t>
            </w:r>
            <w:r>
              <w:rPr>
                <w:b/>
                <w:sz w:val="16"/>
              </w:rPr>
              <w:t>Intangible</w:t>
            </w:r>
            <w:r>
              <w:rPr>
                <w:b/>
                <w:spacing w:val="40"/>
                <w:sz w:val="16"/>
              </w:rPr>
              <w:t> </w:t>
            </w:r>
            <w:r>
              <w:rPr>
                <w:b/>
                <w:spacing w:val="-2"/>
                <w:sz w:val="16"/>
              </w:rPr>
              <w:t>Assets</w:t>
            </w:r>
          </w:p>
        </w:tc>
      </w:tr>
      <w:tr>
        <w:trPr>
          <w:trHeight w:val="290" w:hRule="atLeast"/>
        </w:trPr>
        <w:tc>
          <w:tcPr>
            <w:tcW w:w="5232" w:type="dxa"/>
            <w:shd w:val="clear" w:color="auto" w:fill="CCEDFF"/>
          </w:tcPr>
          <w:p>
            <w:pPr>
              <w:pStyle w:val="TableParagraph"/>
              <w:spacing w:before="10"/>
              <w:ind w:left="70"/>
              <w:rPr>
                <w:sz w:val="20"/>
              </w:rPr>
            </w:pPr>
            <w:r>
              <w:rPr>
                <w:spacing w:val="-4"/>
                <w:sz w:val="20"/>
              </w:rPr>
              <w:t>2018</w:t>
            </w:r>
          </w:p>
        </w:tc>
        <w:tc>
          <w:tcPr>
            <w:tcW w:w="3495" w:type="dxa"/>
            <w:tcBorders>
              <w:top w:val="single" w:sz="8" w:space="0" w:color="000000"/>
            </w:tcBorders>
            <w:shd w:val="clear" w:color="auto" w:fill="CCEDFF"/>
          </w:tcPr>
          <w:p>
            <w:pPr>
              <w:pStyle w:val="TableParagraph"/>
              <w:tabs>
                <w:tab w:pos="722" w:val="left" w:leader="none"/>
              </w:tabs>
              <w:spacing w:before="10"/>
              <w:ind w:right="103"/>
              <w:jc w:val="right"/>
              <w:rPr>
                <w:sz w:val="20"/>
              </w:rPr>
            </w:pPr>
            <w:r>
              <w:rPr>
                <w:spacing w:val="-10"/>
                <w:sz w:val="20"/>
              </w:rPr>
              <w:t>$</w:t>
            </w:r>
            <w:r>
              <w:rPr>
                <w:sz w:val="20"/>
              </w:rPr>
              <w:tab/>
            </w:r>
            <w:r>
              <w:rPr>
                <w:spacing w:val="-2"/>
                <w:sz w:val="20"/>
              </w:rPr>
              <w:t>37,984</w:t>
            </w:r>
          </w:p>
        </w:tc>
        <w:tc>
          <w:tcPr>
            <w:tcW w:w="1514" w:type="dxa"/>
            <w:tcBorders>
              <w:top w:val="single" w:sz="8" w:space="0" w:color="000000"/>
            </w:tcBorders>
            <w:shd w:val="clear" w:color="auto" w:fill="CCEDFF"/>
          </w:tcPr>
          <w:p>
            <w:pPr>
              <w:pStyle w:val="TableParagraph"/>
              <w:tabs>
                <w:tab w:pos="722" w:val="left" w:leader="none"/>
              </w:tabs>
              <w:spacing w:before="10"/>
              <w:ind w:right="137"/>
              <w:jc w:val="right"/>
              <w:rPr>
                <w:sz w:val="20"/>
              </w:rPr>
            </w:pPr>
            <w:r>
              <w:rPr>
                <w:spacing w:val="-10"/>
                <w:sz w:val="20"/>
              </w:rPr>
              <w:t>$</w:t>
            </w:r>
            <w:r>
              <w:rPr>
                <w:sz w:val="20"/>
              </w:rPr>
              <w:tab/>
            </w:r>
            <w:r>
              <w:rPr>
                <w:spacing w:val="-2"/>
                <w:sz w:val="20"/>
              </w:rPr>
              <w:t>97,726</w:t>
            </w:r>
          </w:p>
        </w:tc>
      </w:tr>
      <w:tr>
        <w:trPr>
          <w:trHeight w:val="300" w:hRule="atLeast"/>
        </w:trPr>
        <w:tc>
          <w:tcPr>
            <w:tcW w:w="5232" w:type="dxa"/>
          </w:tcPr>
          <w:p>
            <w:pPr>
              <w:pStyle w:val="TableParagraph"/>
              <w:spacing w:before="20"/>
              <w:ind w:left="70"/>
              <w:rPr>
                <w:sz w:val="20"/>
              </w:rPr>
            </w:pPr>
            <w:r>
              <w:rPr>
                <w:spacing w:val="-4"/>
                <w:sz w:val="20"/>
              </w:rPr>
              <w:t>2019</w:t>
            </w:r>
          </w:p>
        </w:tc>
        <w:tc>
          <w:tcPr>
            <w:tcW w:w="3495" w:type="dxa"/>
          </w:tcPr>
          <w:p>
            <w:pPr>
              <w:pStyle w:val="TableParagraph"/>
              <w:spacing w:before="20"/>
              <w:ind w:right="103"/>
              <w:jc w:val="right"/>
              <w:rPr>
                <w:sz w:val="20"/>
              </w:rPr>
            </w:pPr>
            <w:r>
              <w:rPr>
                <w:spacing w:val="-2"/>
                <w:sz w:val="20"/>
              </w:rPr>
              <w:t>34,404</w:t>
            </w:r>
          </w:p>
        </w:tc>
        <w:tc>
          <w:tcPr>
            <w:tcW w:w="1514" w:type="dxa"/>
          </w:tcPr>
          <w:p>
            <w:pPr>
              <w:pStyle w:val="TableParagraph"/>
              <w:spacing w:before="20"/>
              <w:ind w:right="137"/>
              <w:jc w:val="right"/>
              <w:rPr>
                <w:sz w:val="20"/>
              </w:rPr>
            </w:pPr>
            <w:r>
              <w:rPr>
                <w:spacing w:val="-2"/>
                <w:sz w:val="20"/>
              </w:rPr>
              <w:t>69,733</w:t>
            </w:r>
          </w:p>
        </w:tc>
      </w:tr>
      <w:tr>
        <w:trPr>
          <w:trHeight w:val="300" w:hRule="atLeast"/>
        </w:trPr>
        <w:tc>
          <w:tcPr>
            <w:tcW w:w="5232" w:type="dxa"/>
            <w:shd w:val="clear" w:color="auto" w:fill="CCEDFF"/>
          </w:tcPr>
          <w:p>
            <w:pPr>
              <w:pStyle w:val="TableParagraph"/>
              <w:spacing w:before="20"/>
              <w:ind w:left="70"/>
              <w:rPr>
                <w:sz w:val="20"/>
              </w:rPr>
            </w:pPr>
            <w:r>
              <w:rPr>
                <w:spacing w:val="-4"/>
                <w:sz w:val="20"/>
              </w:rPr>
              <w:t>2020</w:t>
            </w:r>
          </w:p>
        </w:tc>
        <w:tc>
          <w:tcPr>
            <w:tcW w:w="3495" w:type="dxa"/>
            <w:shd w:val="clear" w:color="auto" w:fill="CCEDFF"/>
          </w:tcPr>
          <w:p>
            <w:pPr>
              <w:pStyle w:val="TableParagraph"/>
              <w:spacing w:before="20"/>
              <w:ind w:right="103"/>
              <w:jc w:val="right"/>
              <w:rPr>
                <w:sz w:val="20"/>
              </w:rPr>
            </w:pPr>
            <w:r>
              <w:rPr>
                <w:spacing w:val="-2"/>
                <w:sz w:val="20"/>
              </w:rPr>
              <w:t>32,111</w:t>
            </w:r>
          </w:p>
        </w:tc>
        <w:tc>
          <w:tcPr>
            <w:tcW w:w="1514" w:type="dxa"/>
            <w:shd w:val="clear" w:color="auto" w:fill="CCEDFF"/>
          </w:tcPr>
          <w:p>
            <w:pPr>
              <w:pStyle w:val="TableParagraph"/>
              <w:spacing w:before="20"/>
              <w:ind w:right="137"/>
              <w:jc w:val="right"/>
              <w:rPr>
                <w:sz w:val="20"/>
              </w:rPr>
            </w:pPr>
            <w:r>
              <w:rPr>
                <w:spacing w:val="-2"/>
                <w:sz w:val="20"/>
              </w:rPr>
              <w:t>39,658</w:t>
            </w:r>
          </w:p>
        </w:tc>
      </w:tr>
      <w:tr>
        <w:trPr>
          <w:trHeight w:val="300" w:hRule="atLeast"/>
        </w:trPr>
        <w:tc>
          <w:tcPr>
            <w:tcW w:w="5232" w:type="dxa"/>
          </w:tcPr>
          <w:p>
            <w:pPr>
              <w:pStyle w:val="TableParagraph"/>
              <w:spacing w:before="20"/>
              <w:ind w:left="70"/>
              <w:rPr>
                <w:sz w:val="20"/>
              </w:rPr>
            </w:pPr>
            <w:r>
              <w:rPr>
                <w:spacing w:val="-4"/>
                <w:sz w:val="20"/>
              </w:rPr>
              <w:t>2021</w:t>
            </w:r>
          </w:p>
        </w:tc>
        <w:tc>
          <w:tcPr>
            <w:tcW w:w="3495" w:type="dxa"/>
          </w:tcPr>
          <w:p>
            <w:pPr>
              <w:pStyle w:val="TableParagraph"/>
              <w:spacing w:before="20"/>
              <w:ind w:right="103"/>
              <w:jc w:val="right"/>
              <w:rPr>
                <w:sz w:val="20"/>
              </w:rPr>
            </w:pPr>
            <w:r>
              <w:rPr>
                <w:spacing w:val="-2"/>
                <w:sz w:val="20"/>
              </w:rPr>
              <w:t>7,203</w:t>
            </w:r>
          </w:p>
        </w:tc>
        <w:tc>
          <w:tcPr>
            <w:tcW w:w="1514" w:type="dxa"/>
          </w:tcPr>
          <w:p>
            <w:pPr>
              <w:pStyle w:val="TableParagraph"/>
              <w:spacing w:before="20"/>
              <w:ind w:right="137"/>
              <w:jc w:val="right"/>
              <w:rPr>
                <w:sz w:val="20"/>
              </w:rPr>
            </w:pPr>
            <w:r>
              <w:rPr>
                <w:spacing w:val="-2"/>
                <w:sz w:val="20"/>
              </w:rPr>
              <w:t>17,304</w:t>
            </w:r>
          </w:p>
        </w:tc>
      </w:tr>
      <w:tr>
        <w:trPr>
          <w:trHeight w:val="300" w:hRule="atLeast"/>
        </w:trPr>
        <w:tc>
          <w:tcPr>
            <w:tcW w:w="5232" w:type="dxa"/>
            <w:shd w:val="clear" w:color="auto" w:fill="CCEDFF"/>
          </w:tcPr>
          <w:p>
            <w:pPr>
              <w:pStyle w:val="TableParagraph"/>
              <w:spacing w:before="20"/>
              <w:ind w:left="70"/>
              <w:rPr>
                <w:sz w:val="20"/>
              </w:rPr>
            </w:pPr>
            <w:r>
              <w:rPr>
                <w:spacing w:val="-4"/>
                <w:sz w:val="20"/>
              </w:rPr>
              <w:t>2022</w:t>
            </w:r>
          </w:p>
        </w:tc>
        <w:tc>
          <w:tcPr>
            <w:tcW w:w="3495" w:type="dxa"/>
            <w:shd w:val="clear" w:color="auto" w:fill="CCEDFF"/>
          </w:tcPr>
          <w:p>
            <w:pPr>
              <w:pStyle w:val="TableParagraph"/>
              <w:spacing w:before="20"/>
              <w:ind w:right="103"/>
              <w:jc w:val="right"/>
              <w:rPr>
                <w:sz w:val="20"/>
              </w:rPr>
            </w:pPr>
            <w:r>
              <w:rPr>
                <w:spacing w:val="-2"/>
                <w:sz w:val="20"/>
              </w:rPr>
              <w:t>1,117</w:t>
            </w:r>
          </w:p>
        </w:tc>
        <w:tc>
          <w:tcPr>
            <w:tcW w:w="1514" w:type="dxa"/>
            <w:shd w:val="clear" w:color="auto" w:fill="CCEDFF"/>
          </w:tcPr>
          <w:p>
            <w:pPr>
              <w:pStyle w:val="TableParagraph"/>
              <w:spacing w:before="20"/>
              <w:ind w:right="137"/>
              <w:jc w:val="right"/>
              <w:rPr>
                <w:sz w:val="20"/>
              </w:rPr>
            </w:pPr>
            <w:r>
              <w:rPr>
                <w:spacing w:val="-2"/>
                <w:sz w:val="20"/>
              </w:rPr>
              <w:t>14,297</w:t>
            </w:r>
          </w:p>
        </w:tc>
      </w:tr>
      <w:tr>
        <w:trPr>
          <w:trHeight w:val="289" w:hRule="atLeast"/>
        </w:trPr>
        <w:tc>
          <w:tcPr>
            <w:tcW w:w="5232" w:type="dxa"/>
          </w:tcPr>
          <w:p>
            <w:pPr>
              <w:pStyle w:val="TableParagraph"/>
              <w:spacing w:before="20"/>
              <w:ind w:left="70"/>
              <w:rPr>
                <w:sz w:val="20"/>
              </w:rPr>
            </w:pPr>
            <w:r>
              <w:rPr>
                <w:spacing w:val="-2"/>
                <w:sz w:val="20"/>
              </w:rPr>
              <w:t>Thereafter</w:t>
            </w:r>
          </w:p>
        </w:tc>
        <w:tc>
          <w:tcPr>
            <w:tcW w:w="3495" w:type="dxa"/>
            <w:tcBorders>
              <w:bottom w:val="single" w:sz="8" w:space="0" w:color="000000"/>
            </w:tcBorders>
          </w:tcPr>
          <w:p>
            <w:pPr>
              <w:pStyle w:val="TableParagraph"/>
              <w:spacing w:before="20"/>
              <w:ind w:right="103"/>
              <w:jc w:val="right"/>
              <w:rPr>
                <w:sz w:val="20"/>
              </w:rPr>
            </w:pPr>
            <w:r>
              <w:rPr>
                <w:spacing w:val="-10"/>
                <w:sz w:val="20"/>
              </w:rPr>
              <w:t>—</w:t>
            </w:r>
          </w:p>
        </w:tc>
        <w:tc>
          <w:tcPr>
            <w:tcW w:w="1514" w:type="dxa"/>
            <w:tcBorders>
              <w:bottom w:val="single" w:sz="8" w:space="0" w:color="000000"/>
            </w:tcBorders>
          </w:tcPr>
          <w:p>
            <w:pPr>
              <w:pStyle w:val="TableParagraph"/>
              <w:spacing w:before="20"/>
              <w:ind w:right="137"/>
              <w:jc w:val="right"/>
              <w:rPr>
                <w:sz w:val="20"/>
              </w:rPr>
            </w:pPr>
            <w:r>
              <w:rPr>
                <w:spacing w:val="-2"/>
                <w:sz w:val="20"/>
              </w:rPr>
              <w:t>34,121</w:t>
            </w:r>
          </w:p>
        </w:tc>
      </w:tr>
      <w:tr>
        <w:trPr>
          <w:trHeight w:val="290" w:hRule="atLeast"/>
        </w:trPr>
        <w:tc>
          <w:tcPr>
            <w:tcW w:w="5232" w:type="dxa"/>
            <w:shd w:val="clear" w:color="auto" w:fill="CCEDFF"/>
          </w:tcPr>
          <w:p>
            <w:pPr>
              <w:pStyle w:val="TableParagraph"/>
              <w:spacing w:before="10"/>
              <w:ind w:left="190"/>
              <w:rPr>
                <w:sz w:val="20"/>
              </w:rPr>
            </w:pPr>
            <w:r>
              <w:rPr>
                <w:sz w:val="20"/>
              </w:rPr>
              <w:t>Total</w:t>
            </w:r>
            <w:r>
              <w:rPr>
                <w:spacing w:val="-5"/>
                <w:sz w:val="20"/>
              </w:rPr>
              <w:t> </w:t>
            </w:r>
            <w:r>
              <w:rPr>
                <w:sz w:val="20"/>
              </w:rPr>
              <w:t>expected</w:t>
            </w:r>
            <w:r>
              <w:rPr>
                <w:spacing w:val="-5"/>
                <w:sz w:val="20"/>
              </w:rPr>
              <w:t> </w:t>
            </w:r>
            <w:r>
              <w:rPr>
                <w:sz w:val="20"/>
              </w:rPr>
              <w:t>amortization</w:t>
            </w:r>
            <w:r>
              <w:rPr>
                <w:spacing w:val="-4"/>
                <w:sz w:val="20"/>
              </w:rPr>
              <w:t> </w:t>
            </w:r>
            <w:r>
              <w:rPr>
                <w:spacing w:val="-2"/>
                <w:sz w:val="20"/>
              </w:rPr>
              <w:t>expense</w:t>
            </w:r>
          </w:p>
        </w:tc>
        <w:tc>
          <w:tcPr>
            <w:tcW w:w="3495" w:type="dxa"/>
            <w:tcBorders>
              <w:top w:val="single" w:sz="8" w:space="0" w:color="000000"/>
            </w:tcBorders>
            <w:shd w:val="clear" w:color="auto" w:fill="CCEDFF"/>
          </w:tcPr>
          <w:p>
            <w:pPr>
              <w:pStyle w:val="TableParagraph"/>
              <w:tabs>
                <w:tab w:pos="622" w:val="left" w:leader="none"/>
              </w:tabs>
              <w:spacing w:before="10"/>
              <w:ind w:right="103"/>
              <w:jc w:val="right"/>
              <w:rPr>
                <w:sz w:val="20"/>
              </w:rPr>
            </w:pPr>
            <w:r>
              <w:rPr/>
              <mc:AlternateContent>
                <mc:Choice Requires="wps">
                  <w:drawing>
                    <wp:anchor distT="0" distB="0" distL="0" distR="0" allowOverlap="1" layoutInCell="1" locked="0" behindDoc="0" simplePos="0" relativeHeight="15817728">
                      <wp:simplePos x="0" y="0"/>
                      <wp:positionH relativeFrom="column">
                        <wp:posOffset>1313187</wp:posOffset>
                      </wp:positionH>
                      <wp:positionV relativeFrom="paragraph">
                        <wp:posOffset>165175</wp:posOffset>
                      </wp:positionV>
                      <wp:extent cx="889000" cy="12700"/>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889000" cy="12700"/>
                                <a:chExt cx="889000" cy="12700"/>
                              </a:xfrm>
                            </wpg:grpSpPr>
                            <wps:wsp>
                              <wps:cNvPr id="484" name="Graphic 484"/>
                              <wps:cNvSpPr/>
                              <wps:spPr>
                                <a:xfrm>
                                  <a:off x="0" y="0"/>
                                  <a:ext cx="889000" cy="12700"/>
                                </a:xfrm>
                                <a:custGeom>
                                  <a:avLst/>
                                  <a:gdLst/>
                                  <a:ahLst/>
                                  <a:cxnLst/>
                                  <a:rect l="l" t="t" r="r" b="b"/>
                                  <a:pathLst>
                                    <a:path w="889000" h="12700">
                                      <a:moveTo>
                                        <a:pt x="0" y="12700"/>
                                      </a:moveTo>
                                      <a:lnTo>
                                        <a:pt x="889000" y="12700"/>
                                      </a:lnTo>
                                      <a:lnTo>
                                        <a:pt x="889000" y="0"/>
                                      </a:lnTo>
                                      <a:lnTo>
                                        <a:pt x="0" y="0"/>
                                      </a:lnTo>
                                      <a:lnTo>
                                        <a:pt x="0" y="127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3.400566pt;margin-top:13.005941pt;width:70pt;height:1pt;mso-position-horizontal-relative:column;mso-position-vertical-relative:paragraph;z-index:15817728" id="docshapegroup381" coordorigin="2068,260" coordsize="1400,20">
                      <v:rect style="position:absolute;left:2068;top:260;width:1400;height:20" id="docshape382" filled="true" fillcolor="#000000" stroked="false">
                        <v:fill type="solid"/>
                      </v:rect>
                      <w10:wrap type="none"/>
                    </v:group>
                  </w:pict>
                </mc:Fallback>
              </mc:AlternateContent>
            </w:r>
            <w:r>
              <w:rPr>
                <w:spacing w:val="-10"/>
                <w:sz w:val="20"/>
              </w:rPr>
              <w:t>$</w:t>
            </w:r>
            <w:r>
              <w:rPr>
                <w:sz w:val="20"/>
              </w:rPr>
              <w:tab/>
            </w:r>
            <w:r>
              <w:rPr>
                <w:spacing w:val="-2"/>
                <w:sz w:val="20"/>
              </w:rPr>
              <w:t>112,819</w:t>
            </w:r>
          </w:p>
        </w:tc>
        <w:tc>
          <w:tcPr>
            <w:tcW w:w="1514" w:type="dxa"/>
            <w:tcBorders>
              <w:top w:val="single" w:sz="8" w:space="0" w:color="000000"/>
            </w:tcBorders>
            <w:shd w:val="clear" w:color="auto" w:fill="CCEDFF"/>
          </w:tcPr>
          <w:p>
            <w:pPr>
              <w:pStyle w:val="TableParagraph"/>
              <w:tabs>
                <w:tab w:pos="622" w:val="left" w:leader="none"/>
              </w:tabs>
              <w:spacing w:before="10"/>
              <w:ind w:right="137"/>
              <w:jc w:val="right"/>
              <w:rPr>
                <w:sz w:val="20"/>
              </w:rPr>
            </w:pPr>
            <w:r>
              <w:rPr/>
              <mc:AlternateContent>
                <mc:Choice Requires="wps">
                  <w:drawing>
                    <wp:anchor distT="0" distB="0" distL="0" distR="0" allowOverlap="1" layoutInCell="1" locked="0" behindDoc="0" simplePos="0" relativeHeight="15818240">
                      <wp:simplePos x="0" y="0"/>
                      <wp:positionH relativeFrom="column">
                        <wp:posOffset>33972</wp:posOffset>
                      </wp:positionH>
                      <wp:positionV relativeFrom="paragraph">
                        <wp:posOffset>165175</wp:posOffset>
                      </wp:positionV>
                      <wp:extent cx="889000" cy="12700"/>
                      <wp:effectExtent l="0" t="0" r="0" b="0"/>
                      <wp:wrapNone/>
                      <wp:docPr id="485" name="Group 485"/>
                      <wp:cNvGraphicFramePr>
                        <a:graphicFrameLocks/>
                      </wp:cNvGraphicFramePr>
                      <a:graphic>
                        <a:graphicData uri="http://schemas.microsoft.com/office/word/2010/wordprocessingGroup">
                          <wpg:wgp>
                            <wpg:cNvPr id="485" name="Group 485"/>
                            <wpg:cNvGrpSpPr/>
                            <wpg:grpSpPr>
                              <a:xfrm>
                                <a:off x="0" y="0"/>
                                <a:ext cx="889000" cy="12700"/>
                                <a:chExt cx="889000" cy="12700"/>
                              </a:xfrm>
                            </wpg:grpSpPr>
                            <wps:wsp>
                              <wps:cNvPr id="486" name="Graphic 486"/>
                              <wps:cNvSpPr/>
                              <wps:spPr>
                                <a:xfrm>
                                  <a:off x="0" y="0"/>
                                  <a:ext cx="889000" cy="12700"/>
                                </a:xfrm>
                                <a:custGeom>
                                  <a:avLst/>
                                  <a:gdLst/>
                                  <a:ahLst/>
                                  <a:cxnLst/>
                                  <a:rect l="l" t="t" r="r" b="b"/>
                                  <a:pathLst>
                                    <a:path w="889000" h="12700">
                                      <a:moveTo>
                                        <a:pt x="0" y="12700"/>
                                      </a:moveTo>
                                      <a:lnTo>
                                        <a:pt x="889000" y="12700"/>
                                      </a:lnTo>
                                      <a:lnTo>
                                        <a:pt x="889000" y="0"/>
                                      </a:lnTo>
                                      <a:lnTo>
                                        <a:pt x="0" y="0"/>
                                      </a:lnTo>
                                      <a:lnTo>
                                        <a:pt x="0" y="127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74999pt;margin-top:13.005941pt;width:70pt;height:1pt;mso-position-horizontal-relative:column;mso-position-vertical-relative:paragraph;z-index:15818240" id="docshapegroup383" coordorigin="53,260" coordsize="1400,20">
                      <v:rect style="position:absolute;left:53;top:260;width:1400;height:20" id="docshape384" filled="true" fillcolor="#000000" stroked="false">
                        <v:fill type="solid"/>
                      </v:rect>
                      <w10:wrap type="none"/>
                    </v:group>
                  </w:pict>
                </mc:Fallback>
              </mc:AlternateContent>
            </w:r>
            <w:r>
              <w:rPr>
                <w:spacing w:val="-10"/>
                <w:sz w:val="20"/>
              </w:rPr>
              <w:t>$</w:t>
            </w:r>
            <w:r>
              <w:rPr>
                <w:sz w:val="20"/>
              </w:rPr>
              <w:tab/>
            </w:r>
            <w:r>
              <w:rPr>
                <w:spacing w:val="-2"/>
                <w:sz w:val="20"/>
              </w:rPr>
              <w:t>272,839</w:t>
            </w:r>
          </w:p>
        </w:tc>
      </w:tr>
    </w:tbl>
    <w:p>
      <w:pPr>
        <w:spacing w:line="20" w:lineRule="exact"/>
        <w:ind w:left="7510" w:right="0" w:firstLine="0"/>
        <w:jc w:val="left"/>
        <w:rPr>
          <w:sz w:val="2"/>
        </w:rPr>
      </w:pPr>
      <w:r>
        <w:rPr>
          <w:sz w:val="2"/>
        </w:rPr>
        <mc:AlternateContent>
          <mc:Choice Requires="wps">
            <w:drawing>
              <wp:inline distT="0" distB="0" distL="0" distR="0">
                <wp:extent cx="889000" cy="12700"/>
                <wp:effectExtent l="9525" t="0" r="6350" b="6350"/>
                <wp:docPr id="487" name="Group 487"/>
                <wp:cNvGraphicFramePr>
                  <a:graphicFrameLocks/>
                </wp:cNvGraphicFramePr>
                <a:graphic>
                  <a:graphicData uri="http://schemas.microsoft.com/office/word/2010/wordprocessingGroup">
                    <wpg:wgp>
                      <wpg:cNvPr id="487" name="Group 487"/>
                      <wpg:cNvGrpSpPr/>
                      <wpg:grpSpPr>
                        <a:xfrm>
                          <a:off x="0" y="0"/>
                          <a:ext cx="889000" cy="12700"/>
                          <a:chExt cx="889000" cy="12700"/>
                        </a:xfrm>
                      </wpg:grpSpPr>
                      <wps:wsp>
                        <wps:cNvPr id="488" name="Graphic 488"/>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85" coordorigin="0,0" coordsize="1400,20">
                <v:line style="position:absolute" from="0,10" to="140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889000" cy="12700"/>
                <wp:effectExtent l="9525" t="0" r="6350" b="6350"/>
                <wp:docPr id="489" name="Group 489"/>
                <wp:cNvGraphicFramePr>
                  <a:graphicFrameLocks/>
                </wp:cNvGraphicFramePr>
                <a:graphic>
                  <a:graphicData uri="http://schemas.microsoft.com/office/word/2010/wordprocessingGroup">
                    <wpg:wgp>
                      <wpg:cNvPr id="489" name="Group 489"/>
                      <wpg:cNvGrpSpPr/>
                      <wpg:grpSpPr>
                        <a:xfrm>
                          <a:off x="0" y="0"/>
                          <a:ext cx="889000" cy="12700"/>
                          <a:chExt cx="889000" cy="12700"/>
                        </a:xfrm>
                      </wpg:grpSpPr>
                      <wps:wsp>
                        <wps:cNvPr id="490" name="Graphic 490"/>
                        <wps:cNvSpPr/>
                        <wps:spPr>
                          <a:xfrm>
                            <a:off x="0" y="6350"/>
                            <a:ext cx="889000" cy="1270"/>
                          </a:xfrm>
                          <a:custGeom>
                            <a:avLst/>
                            <a:gdLst/>
                            <a:ahLst/>
                            <a:cxnLst/>
                            <a:rect l="l" t="t" r="r" b="b"/>
                            <a:pathLst>
                              <a:path w="889000" h="0">
                                <a:moveTo>
                                  <a:pt x="0" y="0"/>
                                </a:moveTo>
                                <a:lnTo>
                                  <a:pt x="889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1pt;mso-position-horizontal-relative:char;mso-position-vertical-relative:line" id="docshapegroup386" coordorigin="0,0" coordsize="1400,20">
                <v:line style="position:absolute" from="0,10" to="1400,10" stroked="true" strokeweight="1pt" strokecolor="#000000">
                  <v:stroke dashstyle="solid"/>
                </v:line>
              </v:group>
            </w:pict>
          </mc:Fallback>
        </mc:AlternateContent>
      </w:r>
      <w:r>
        <w:rPr>
          <w:spacing w:val="70"/>
          <w:sz w:val="2"/>
        </w:rPr>
      </w:r>
    </w:p>
    <w:p>
      <w:pPr>
        <w:spacing w:after="0" w:line="20" w:lineRule="exact"/>
        <w:jc w:val="left"/>
        <w:rPr>
          <w:sz w:val="2"/>
        </w:rPr>
        <w:sectPr>
          <w:pgSz w:w="12240" w:h="15840"/>
          <w:pgMar w:header="210" w:footer="610" w:top="1380" w:bottom="800" w:left="780" w:right="740"/>
        </w:sectPr>
      </w:pPr>
    </w:p>
    <w:p>
      <w:pPr>
        <w:pStyle w:val="BodyText"/>
      </w:pPr>
    </w:p>
    <w:p>
      <w:pPr>
        <w:pStyle w:val="BodyText"/>
      </w:pPr>
    </w:p>
    <w:p>
      <w:pPr>
        <w:pStyle w:val="BodyText"/>
        <w:spacing w:before="27"/>
      </w:pPr>
    </w:p>
    <w:p>
      <w:pPr>
        <w:pStyle w:val="Heading1"/>
      </w:pPr>
      <w:bookmarkStart w:name="NOTE 8. ACCRUED EXPENSES" w:id="78"/>
      <w:bookmarkEnd w:id="78"/>
      <w:r>
        <w:rPr>
          <w:b w:val="0"/>
        </w:rPr>
      </w:r>
      <w:r>
        <w:rPr/>
        <w:t>NOTE</w:t>
      </w:r>
      <w:r>
        <w:rPr>
          <w:spacing w:val="-2"/>
        </w:rPr>
        <w:t> </w:t>
      </w:r>
      <w:r>
        <w:rPr/>
        <w:t>8.</w:t>
      </w:r>
      <w:r>
        <w:rPr>
          <w:spacing w:val="36"/>
        </w:rPr>
        <w:t> </w:t>
      </w:r>
      <w:r>
        <w:rPr/>
        <w:t>ACCRUED</w:t>
      </w:r>
      <w:r>
        <w:rPr>
          <w:spacing w:val="-1"/>
        </w:rPr>
        <w:t> </w:t>
      </w:r>
      <w:r>
        <w:rPr>
          <w:spacing w:val="-2"/>
        </w:rPr>
        <w:t>EXPENSES</w:t>
      </w:r>
    </w:p>
    <w:p>
      <w:pPr>
        <w:pStyle w:val="BodyText"/>
        <w:spacing w:before="190"/>
        <w:ind w:left="760"/>
      </w:pPr>
      <w:r>
        <w:rPr/>
        <w:t>Accrued</w:t>
      </w:r>
      <w:r>
        <w:rPr>
          <w:spacing w:val="-1"/>
        </w:rPr>
        <w:t> </w:t>
      </w:r>
      <w:r>
        <w:rPr/>
        <w:t>expenses as</w:t>
      </w:r>
      <w:r>
        <w:rPr>
          <w:spacing w:val="-1"/>
        </w:rPr>
        <w:t> </w:t>
      </w:r>
      <w:r>
        <w:rPr/>
        <w:t>of December</w:t>
      </w:r>
      <w:r>
        <w:rPr>
          <w:spacing w:val="-1"/>
        </w:rPr>
        <w:t> </w:t>
      </w:r>
      <w:r>
        <w:rPr/>
        <w:t>1,</w:t>
      </w:r>
      <w:r>
        <w:rPr>
          <w:spacing w:val="-1"/>
        </w:rPr>
        <w:t> </w:t>
      </w:r>
      <w:r>
        <w:rPr/>
        <w:t>2017</w:t>
      </w:r>
      <w:r>
        <w:rPr>
          <w:spacing w:val="-1"/>
        </w:rPr>
        <w:t> </w:t>
      </w:r>
      <w:r>
        <w:rPr/>
        <w:t>and December</w:t>
      </w:r>
      <w:r>
        <w:rPr>
          <w:spacing w:val="-1"/>
        </w:rPr>
        <w:t> </w:t>
      </w:r>
      <w:r>
        <w:rPr/>
        <w:t>2,</w:t>
      </w:r>
      <w:r>
        <w:rPr>
          <w:spacing w:val="-1"/>
        </w:rPr>
        <w:t> </w:t>
      </w:r>
      <w:r>
        <w:rPr/>
        <w:t>2016</w:t>
      </w:r>
      <w:r>
        <w:rPr>
          <w:spacing w:val="-1"/>
        </w:rPr>
        <w:t> </w:t>
      </w:r>
      <w:r>
        <w:rPr/>
        <w:t>consisted of</w:t>
      </w:r>
      <w:r>
        <w:rPr>
          <w:spacing w:val="-1"/>
        </w:rPr>
        <w:t> </w:t>
      </w:r>
      <w:r>
        <w:rPr/>
        <w:t>the following</w:t>
      </w:r>
      <w:r>
        <w:rPr>
          <w:spacing w:val="-2"/>
        </w:rPr>
        <w:t> </w:t>
      </w:r>
      <w:r>
        <w:rPr/>
        <w:t>(in </w:t>
      </w:r>
      <w:r>
        <w:rPr>
          <w:spacing w:val="-2"/>
        </w:rPr>
        <w:t>thousands):</w:t>
      </w:r>
    </w:p>
    <w:p>
      <w:pPr>
        <w:pStyle w:val="BodyText"/>
        <w:spacing w:before="9"/>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0"/>
        <w:gridCol w:w="3627"/>
        <w:gridCol w:w="1474"/>
      </w:tblGrid>
      <w:tr>
        <w:trPr>
          <w:trHeight w:val="217" w:hRule="atLeast"/>
        </w:trPr>
        <w:tc>
          <w:tcPr>
            <w:tcW w:w="5160" w:type="dxa"/>
          </w:tcPr>
          <w:p>
            <w:pPr>
              <w:pStyle w:val="TableParagraph"/>
              <w:rPr>
                <w:sz w:val="14"/>
              </w:rPr>
            </w:pPr>
          </w:p>
        </w:tc>
        <w:tc>
          <w:tcPr>
            <w:tcW w:w="3627" w:type="dxa"/>
            <w:tcBorders>
              <w:bottom w:val="single" w:sz="8" w:space="0" w:color="000000"/>
            </w:tcBorders>
          </w:tcPr>
          <w:p>
            <w:pPr>
              <w:pStyle w:val="TableParagraph"/>
              <w:spacing w:line="177" w:lineRule="exact"/>
              <w:ind w:right="576"/>
              <w:jc w:val="right"/>
              <w:rPr>
                <w:b/>
                <w:sz w:val="16"/>
              </w:rPr>
            </w:pPr>
            <w:r>
              <w:rPr>
                <w:b/>
                <w:spacing w:val="-4"/>
                <w:sz w:val="16"/>
              </w:rPr>
              <w:t>2017</w:t>
            </w:r>
          </w:p>
        </w:tc>
        <w:tc>
          <w:tcPr>
            <w:tcW w:w="1474" w:type="dxa"/>
            <w:tcBorders>
              <w:bottom w:val="single" w:sz="8" w:space="0" w:color="000000"/>
            </w:tcBorders>
          </w:tcPr>
          <w:p>
            <w:pPr>
              <w:pStyle w:val="TableParagraph"/>
              <w:spacing w:line="177" w:lineRule="exact"/>
              <w:ind w:left="12"/>
              <w:jc w:val="center"/>
              <w:rPr>
                <w:b/>
                <w:sz w:val="16"/>
              </w:rPr>
            </w:pPr>
            <w:r>
              <w:rPr>
                <w:b/>
                <w:spacing w:val="-4"/>
                <w:sz w:val="16"/>
              </w:rPr>
              <w:t>2016</w:t>
            </w:r>
          </w:p>
        </w:tc>
      </w:tr>
      <w:tr>
        <w:trPr>
          <w:trHeight w:val="290" w:hRule="atLeast"/>
        </w:trPr>
        <w:tc>
          <w:tcPr>
            <w:tcW w:w="5160" w:type="dxa"/>
            <w:shd w:val="clear" w:color="auto" w:fill="CCEDFF"/>
          </w:tcPr>
          <w:p>
            <w:pPr>
              <w:pStyle w:val="TableParagraph"/>
              <w:spacing w:before="10"/>
              <w:ind w:left="50"/>
              <w:rPr>
                <w:sz w:val="20"/>
              </w:rPr>
            </w:pPr>
            <w:r>
              <w:rPr>
                <w:sz w:val="20"/>
              </w:rPr>
              <w:t>Accrued compensation and </w:t>
            </w:r>
            <w:r>
              <w:rPr>
                <w:spacing w:val="-2"/>
                <w:sz w:val="20"/>
              </w:rPr>
              <w:t>benefits</w:t>
            </w:r>
          </w:p>
        </w:tc>
        <w:tc>
          <w:tcPr>
            <w:tcW w:w="3627" w:type="dxa"/>
            <w:tcBorders>
              <w:top w:val="single" w:sz="8" w:space="0" w:color="000000"/>
            </w:tcBorders>
            <w:shd w:val="clear" w:color="auto" w:fill="CCEDFF"/>
          </w:tcPr>
          <w:p>
            <w:pPr>
              <w:pStyle w:val="TableParagraph"/>
              <w:tabs>
                <w:tab w:pos="622" w:val="left" w:leader="none"/>
              </w:tabs>
              <w:spacing w:before="10"/>
              <w:ind w:right="103"/>
              <w:jc w:val="right"/>
              <w:rPr>
                <w:sz w:val="20"/>
              </w:rPr>
            </w:pPr>
            <w:r>
              <w:rPr>
                <w:spacing w:val="-10"/>
                <w:sz w:val="20"/>
              </w:rPr>
              <w:t>$</w:t>
            </w:r>
            <w:r>
              <w:rPr>
                <w:sz w:val="20"/>
              </w:rPr>
              <w:tab/>
            </w:r>
            <w:r>
              <w:rPr>
                <w:spacing w:val="-2"/>
                <w:sz w:val="20"/>
              </w:rPr>
              <w:t>417,742</w:t>
            </w:r>
          </w:p>
        </w:tc>
        <w:tc>
          <w:tcPr>
            <w:tcW w:w="1474" w:type="dxa"/>
            <w:tcBorders>
              <w:top w:val="single" w:sz="8" w:space="0" w:color="000000"/>
            </w:tcBorders>
            <w:shd w:val="clear" w:color="auto" w:fill="CCEDFF"/>
          </w:tcPr>
          <w:p>
            <w:pPr>
              <w:pStyle w:val="TableParagraph"/>
              <w:tabs>
                <w:tab w:pos="622" w:val="left" w:leader="none"/>
              </w:tabs>
              <w:spacing w:before="10"/>
              <w:ind w:right="97"/>
              <w:jc w:val="right"/>
              <w:rPr>
                <w:sz w:val="20"/>
              </w:rPr>
            </w:pPr>
            <w:r>
              <w:rPr>
                <w:spacing w:val="-10"/>
                <w:sz w:val="20"/>
              </w:rPr>
              <w:t>$</w:t>
            </w:r>
            <w:r>
              <w:rPr>
                <w:sz w:val="20"/>
              </w:rPr>
              <w:tab/>
            </w:r>
            <w:r>
              <w:rPr>
                <w:spacing w:val="-2"/>
                <w:sz w:val="20"/>
              </w:rPr>
              <w:t>339,487</w:t>
            </w:r>
          </w:p>
        </w:tc>
      </w:tr>
      <w:tr>
        <w:trPr>
          <w:trHeight w:val="300" w:hRule="atLeast"/>
        </w:trPr>
        <w:tc>
          <w:tcPr>
            <w:tcW w:w="5160" w:type="dxa"/>
          </w:tcPr>
          <w:p>
            <w:pPr>
              <w:pStyle w:val="TableParagraph"/>
              <w:spacing w:before="20"/>
              <w:ind w:left="50"/>
              <w:rPr>
                <w:sz w:val="20"/>
              </w:rPr>
            </w:pPr>
            <w:r>
              <w:rPr>
                <w:sz w:val="20"/>
              </w:rPr>
              <w:t>Accrued media </w:t>
            </w:r>
            <w:r>
              <w:rPr>
                <w:spacing w:val="-2"/>
                <w:sz w:val="20"/>
              </w:rPr>
              <w:t>costs</w:t>
            </w:r>
          </w:p>
        </w:tc>
        <w:tc>
          <w:tcPr>
            <w:tcW w:w="3627" w:type="dxa"/>
          </w:tcPr>
          <w:p>
            <w:pPr>
              <w:pStyle w:val="TableParagraph"/>
              <w:spacing w:before="20"/>
              <w:ind w:right="103"/>
              <w:jc w:val="right"/>
              <w:rPr>
                <w:sz w:val="20"/>
              </w:rPr>
            </w:pPr>
            <w:r>
              <w:rPr>
                <w:spacing w:val="-2"/>
                <w:sz w:val="20"/>
              </w:rPr>
              <w:t>134,525</w:t>
            </w:r>
          </w:p>
        </w:tc>
        <w:tc>
          <w:tcPr>
            <w:tcW w:w="1474" w:type="dxa"/>
          </w:tcPr>
          <w:p>
            <w:pPr>
              <w:pStyle w:val="TableParagraph"/>
              <w:spacing w:before="20"/>
              <w:ind w:right="97"/>
              <w:jc w:val="right"/>
              <w:rPr>
                <w:sz w:val="20"/>
              </w:rPr>
            </w:pPr>
            <w:r>
              <w:rPr>
                <w:spacing w:val="-2"/>
                <w:sz w:val="20"/>
              </w:rPr>
              <w:t>5,144</w:t>
            </w:r>
          </w:p>
        </w:tc>
      </w:tr>
      <w:tr>
        <w:trPr>
          <w:trHeight w:val="300" w:hRule="atLeast"/>
        </w:trPr>
        <w:tc>
          <w:tcPr>
            <w:tcW w:w="5160" w:type="dxa"/>
            <w:shd w:val="clear" w:color="auto" w:fill="CCEDFF"/>
          </w:tcPr>
          <w:p>
            <w:pPr>
              <w:pStyle w:val="TableParagraph"/>
              <w:spacing w:before="20"/>
              <w:ind w:left="50"/>
              <w:rPr>
                <w:sz w:val="20"/>
              </w:rPr>
            </w:pPr>
            <w:r>
              <w:rPr>
                <w:sz w:val="20"/>
              </w:rPr>
              <w:t>Sales</w:t>
            </w:r>
            <w:r>
              <w:rPr>
                <w:spacing w:val="-3"/>
                <w:sz w:val="20"/>
              </w:rPr>
              <w:t> </w:t>
            </w:r>
            <w:r>
              <w:rPr>
                <w:sz w:val="20"/>
              </w:rPr>
              <w:t>and</w:t>
            </w:r>
            <w:r>
              <w:rPr>
                <w:spacing w:val="-1"/>
                <w:sz w:val="20"/>
              </w:rPr>
              <w:t> </w:t>
            </w:r>
            <w:r>
              <w:rPr>
                <w:sz w:val="20"/>
              </w:rPr>
              <w:t>marketing</w:t>
            </w:r>
            <w:r>
              <w:rPr>
                <w:spacing w:val="-1"/>
                <w:sz w:val="20"/>
              </w:rPr>
              <w:t> </w:t>
            </w:r>
            <w:r>
              <w:rPr>
                <w:spacing w:val="-2"/>
                <w:sz w:val="20"/>
              </w:rPr>
              <w:t>allowances</w:t>
            </w:r>
          </w:p>
        </w:tc>
        <w:tc>
          <w:tcPr>
            <w:tcW w:w="3627" w:type="dxa"/>
            <w:shd w:val="clear" w:color="auto" w:fill="CCEDFF"/>
          </w:tcPr>
          <w:p>
            <w:pPr>
              <w:pStyle w:val="TableParagraph"/>
              <w:spacing w:before="20"/>
              <w:ind w:right="103"/>
              <w:jc w:val="right"/>
              <w:rPr>
                <w:sz w:val="20"/>
              </w:rPr>
            </w:pPr>
            <w:r>
              <w:rPr>
                <w:spacing w:val="-2"/>
                <w:sz w:val="20"/>
              </w:rPr>
              <w:t>47,389</w:t>
            </w:r>
          </w:p>
        </w:tc>
        <w:tc>
          <w:tcPr>
            <w:tcW w:w="1474" w:type="dxa"/>
            <w:shd w:val="clear" w:color="auto" w:fill="CCEDFF"/>
          </w:tcPr>
          <w:p>
            <w:pPr>
              <w:pStyle w:val="TableParagraph"/>
              <w:spacing w:before="20"/>
              <w:ind w:right="97"/>
              <w:jc w:val="right"/>
              <w:rPr>
                <w:sz w:val="20"/>
              </w:rPr>
            </w:pPr>
            <w:r>
              <w:rPr>
                <w:spacing w:val="-2"/>
                <w:sz w:val="20"/>
              </w:rPr>
              <w:t>55,681</w:t>
            </w:r>
          </w:p>
        </w:tc>
      </w:tr>
      <w:tr>
        <w:trPr>
          <w:trHeight w:val="300" w:hRule="atLeast"/>
        </w:trPr>
        <w:tc>
          <w:tcPr>
            <w:tcW w:w="5160" w:type="dxa"/>
          </w:tcPr>
          <w:p>
            <w:pPr>
              <w:pStyle w:val="TableParagraph"/>
              <w:spacing w:before="20"/>
              <w:ind w:left="50"/>
              <w:rPr>
                <w:sz w:val="20"/>
              </w:rPr>
            </w:pPr>
            <w:r>
              <w:rPr>
                <w:sz w:val="20"/>
              </w:rPr>
              <w:t>Accrued corporate </w:t>
            </w:r>
            <w:r>
              <w:rPr>
                <w:spacing w:val="-2"/>
                <w:sz w:val="20"/>
              </w:rPr>
              <w:t>marketing</w:t>
            </w:r>
          </w:p>
        </w:tc>
        <w:tc>
          <w:tcPr>
            <w:tcW w:w="3627" w:type="dxa"/>
          </w:tcPr>
          <w:p>
            <w:pPr>
              <w:pStyle w:val="TableParagraph"/>
              <w:spacing w:before="20"/>
              <w:ind w:right="103"/>
              <w:jc w:val="right"/>
              <w:rPr>
                <w:sz w:val="20"/>
              </w:rPr>
            </w:pPr>
            <w:r>
              <w:rPr>
                <w:spacing w:val="-2"/>
                <w:sz w:val="20"/>
              </w:rPr>
              <w:t>72,087</w:t>
            </w:r>
          </w:p>
        </w:tc>
        <w:tc>
          <w:tcPr>
            <w:tcW w:w="1474" w:type="dxa"/>
          </w:tcPr>
          <w:p>
            <w:pPr>
              <w:pStyle w:val="TableParagraph"/>
              <w:spacing w:before="20"/>
              <w:ind w:right="97"/>
              <w:jc w:val="right"/>
              <w:rPr>
                <w:sz w:val="20"/>
              </w:rPr>
            </w:pPr>
            <w:r>
              <w:rPr>
                <w:spacing w:val="-2"/>
                <w:sz w:val="20"/>
              </w:rPr>
              <w:t>55,218</w:t>
            </w:r>
          </w:p>
        </w:tc>
      </w:tr>
      <w:tr>
        <w:trPr>
          <w:trHeight w:val="300" w:hRule="atLeast"/>
        </w:trPr>
        <w:tc>
          <w:tcPr>
            <w:tcW w:w="5160" w:type="dxa"/>
            <w:shd w:val="clear" w:color="auto" w:fill="CCEDFF"/>
          </w:tcPr>
          <w:p>
            <w:pPr>
              <w:pStyle w:val="TableParagraph"/>
              <w:spacing w:before="20"/>
              <w:ind w:left="50"/>
              <w:rPr>
                <w:sz w:val="20"/>
              </w:rPr>
            </w:pPr>
            <w:r>
              <w:rPr>
                <w:sz w:val="20"/>
              </w:rPr>
              <w:t>Taxes</w:t>
            </w:r>
            <w:r>
              <w:rPr>
                <w:spacing w:val="-11"/>
                <w:sz w:val="20"/>
              </w:rPr>
              <w:t> </w:t>
            </w:r>
            <w:r>
              <w:rPr>
                <w:spacing w:val="-2"/>
                <w:sz w:val="20"/>
              </w:rPr>
              <w:t>payable</w:t>
            </w:r>
          </w:p>
        </w:tc>
        <w:tc>
          <w:tcPr>
            <w:tcW w:w="3627" w:type="dxa"/>
            <w:shd w:val="clear" w:color="auto" w:fill="CCEDFF"/>
          </w:tcPr>
          <w:p>
            <w:pPr>
              <w:pStyle w:val="TableParagraph"/>
              <w:spacing w:before="20"/>
              <w:ind w:right="103"/>
              <w:jc w:val="right"/>
              <w:rPr>
                <w:sz w:val="20"/>
              </w:rPr>
            </w:pPr>
            <w:r>
              <w:rPr>
                <w:spacing w:val="-2"/>
                <w:sz w:val="20"/>
              </w:rPr>
              <w:t>49,550</w:t>
            </w:r>
          </w:p>
        </w:tc>
        <w:tc>
          <w:tcPr>
            <w:tcW w:w="1474" w:type="dxa"/>
            <w:shd w:val="clear" w:color="auto" w:fill="CCEDFF"/>
          </w:tcPr>
          <w:p>
            <w:pPr>
              <w:pStyle w:val="TableParagraph"/>
              <w:spacing w:before="20"/>
              <w:ind w:right="97"/>
              <w:jc w:val="right"/>
              <w:rPr>
                <w:sz w:val="20"/>
              </w:rPr>
            </w:pPr>
            <w:r>
              <w:rPr>
                <w:spacing w:val="-2"/>
                <w:sz w:val="20"/>
              </w:rPr>
              <w:t>43,113</w:t>
            </w:r>
          </w:p>
        </w:tc>
      </w:tr>
      <w:tr>
        <w:trPr>
          <w:trHeight w:val="300" w:hRule="atLeast"/>
        </w:trPr>
        <w:tc>
          <w:tcPr>
            <w:tcW w:w="5160" w:type="dxa"/>
          </w:tcPr>
          <w:p>
            <w:pPr>
              <w:pStyle w:val="TableParagraph"/>
              <w:spacing w:before="20"/>
              <w:ind w:left="50"/>
              <w:rPr>
                <w:sz w:val="20"/>
              </w:rPr>
            </w:pPr>
            <w:r>
              <w:rPr>
                <w:sz w:val="20"/>
              </w:rPr>
              <w:t>Royalties</w:t>
            </w:r>
            <w:r>
              <w:rPr>
                <w:spacing w:val="-9"/>
                <w:sz w:val="20"/>
              </w:rPr>
              <w:t> </w:t>
            </w:r>
            <w:r>
              <w:rPr>
                <w:spacing w:val="-2"/>
                <w:sz w:val="20"/>
              </w:rPr>
              <w:t>payable</w:t>
            </w:r>
          </w:p>
        </w:tc>
        <w:tc>
          <w:tcPr>
            <w:tcW w:w="3627" w:type="dxa"/>
          </w:tcPr>
          <w:p>
            <w:pPr>
              <w:pStyle w:val="TableParagraph"/>
              <w:spacing w:before="20"/>
              <w:ind w:right="103"/>
              <w:jc w:val="right"/>
              <w:rPr>
                <w:sz w:val="20"/>
              </w:rPr>
            </w:pPr>
            <w:r>
              <w:rPr>
                <w:spacing w:val="-2"/>
                <w:sz w:val="20"/>
              </w:rPr>
              <w:t>46,411</w:t>
            </w:r>
          </w:p>
        </w:tc>
        <w:tc>
          <w:tcPr>
            <w:tcW w:w="1474" w:type="dxa"/>
          </w:tcPr>
          <w:p>
            <w:pPr>
              <w:pStyle w:val="TableParagraph"/>
              <w:spacing w:before="20"/>
              <w:ind w:right="97"/>
              <w:jc w:val="right"/>
              <w:rPr>
                <w:sz w:val="20"/>
              </w:rPr>
            </w:pPr>
            <w:r>
              <w:rPr>
                <w:spacing w:val="-2"/>
                <w:sz w:val="20"/>
              </w:rPr>
              <w:t>25,089</w:t>
            </w:r>
          </w:p>
        </w:tc>
      </w:tr>
      <w:tr>
        <w:trPr>
          <w:trHeight w:val="300" w:hRule="atLeast"/>
        </w:trPr>
        <w:tc>
          <w:tcPr>
            <w:tcW w:w="5160" w:type="dxa"/>
            <w:shd w:val="clear" w:color="auto" w:fill="CCEDFF"/>
          </w:tcPr>
          <w:p>
            <w:pPr>
              <w:pStyle w:val="TableParagraph"/>
              <w:spacing w:before="20"/>
              <w:ind w:left="50"/>
              <w:rPr>
                <w:sz w:val="20"/>
              </w:rPr>
            </w:pPr>
            <w:r>
              <w:rPr>
                <w:sz w:val="20"/>
              </w:rPr>
              <w:t>Accrued interest </w:t>
            </w:r>
            <w:r>
              <w:rPr>
                <w:spacing w:val="-2"/>
                <w:sz w:val="20"/>
              </w:rPr>
              <w:t>expense</w:t>
            </w:r>
          </w:p>
        </w:tc>
        <w:tc>
          <w:tcPr>
            <w:tcW w:w="3627" w:type="dxa"/>
            <w:shd w:val="clear" w:color="auto" w:fill="CCEDFF"/>
          </w:tcPr>
          <w:p>
            <w:pPr>
              <w:pStyle w:val="TableParagraph"/>
              <w:spacing w:before="20"/>
              <w:ind w:right="103"/>
              <w:jc w:val="right"/>
              <w:rPr>
                <w:sz w:val="20"/>
              </w:rPr>
            </w:pPr>
            <w:r>
              <w:rPr>
                <w:spacing w:val="-2"/>
                <w:sz w:val="20"/>
              </w:rPr>
              <w:t>25,594</w:t>
            </w:r>
          </w:p>
        </w:tc>
        <w:tc>
          <w:tcPr>
            <w:tcW w:w="1474" w:type="dxa"/>
            <w:shd w:val="clear" w:color="auto" w:fill="CCEDFF"/>
          </w:tcPr>
          <w:p>
            <w:pPr>
              <w:pStyle w:val="TableParagraph"/>
              <w:spacing w:before="20"/>
              <w:ind w:right="97"/>
              <w:jc w:val="right"/>
              <w:rPr>
                <w:sz w:val="20"/>
              </w:rPr>
            </w:pPr>
            <w:r>
              <w:rPr>
                <w:spacing w:val="-2"/>
                <w:sz w:val="20"/>
              </w:rPr>
              <w:t>25,805</w:t>
            </w:r>
          </w:p>
        </w:tc>
      </w:tr>
      <w:tr>
        <w:trPr>
          <w:trHeight w:val="290" w:hRule="atLeast"/>
        </w:trPr>
        <w:tc>
          <w:tcPr>
            <w:tcW w:w="5160" w:type="dxa"/>
          </w:tcPr>
          <w:p>
            <w:pPr>
              <w:pStyle w:val="TableParagraph"/>
              <w:spacing w:before="20"/>
              <w:ind w:left="50"/>
              <w:rPr>
                <w:sz w:val="20"/>
              </w:rPr>
            </w:pPr>
            <w:r>
              <w:rPr>
                <w:spacing w:val="-2"/>
                <w:sz w:val="20"/>
              </w:rPr>
              <w:t>Other</w:t>
            </w:r>
          </w:p>
        </w:tc>
        <w:tc>
          <w:tcPr>
            <w:tcW w:w="3627" w:type="dxa"/>
          </w:tcPr>
          <w:p>
            <w:pPr>
              <w:pStyle w:val="TableParagraph"/>
              <w:spacing w:before="20"/>
              <w:ind w:right="103"/>
              <w:jc w:val="right"/>
              <w:rPr>
                <w:sz w:val="20"/>
              </w:rPr>
            </w:pPr>
            <w:r>
              <w:rPr>
                <w:spacing w:val="-2"/>
                <w:sz w:val="20"/>
              </w:rPr>
              <w:t>200,475</w:t>
            </w:r>
          </w:p>
        </w:tc>
        <w:tc>
          <w:tcPr>
            <w:tcW w:w="1474" w:type="dxa"/>
            <w:tcBorders>
              <w:bottom w:val="single" w:sz="8" w:space="0" w:color="000000"/>
            </w:tcBorders>
          </w:tcPr>
          <w:p>
            <w:pPr>
              <w:pStyle w:val="TableParagraph"/>
              <w:spacing w:before="20"/>
              <w:ind w:right="97"/>
              <w:jc w:val="right"/>
              <w:rPr>
                <w:sz w:val="20"/>
              </w:rPr>
            </w:pPr>
            <w:r>
              <w:rPr>
                <w:spacing w:val="-2"/>
                <w:sz w:val="20"/>
              </w:rPr>
              <w:t>190,093</w:t>
            </w:r>
          </w:p>
        </w:tc>
      </w:tr>
      <w:tr>
        <w:trPr>
          <w:trHeight w:val="260" w:hRule="atLeast"/>
        </w:trPr>
        <w:tc>
          <w:tcPr>
            <w:tcW w:w="5160" w:type="dxa"/>
            <w:shd w:val="clear" w:color="auto" w:fill="CCEDFF"/>
          </w:tcPr>
          <w:p>
            <w:pPr>
              <w:pStyle w:val="TableParagraph"/>
              <w:spacing w:before="10"/>
              <w:ind w:left="170"/>
              <w:rPr>
                <w:sz w:val="20"/>
              </w:rPr>
            </w:pPr>
            <w:r>
              <w:rPr>
                <w:sz w:val="20"/>
              </w:rPr>
              <w:t>Accrued </w:t>
            </w:r>
            <w:r>
              <w:rPr>
                <w:spacing w:val="-2"/>
                <w:sz w:val="20"/>
              </w:rPr>
              <w:t>expenses</w:t>
            </w:r>
          </w:p>
        </w:tc>
        <w:tc>
          <w:tcPr>
            <w:tcW w:w="3627" w:type="dxa"/>
            <w:tcBorders>
              <w:bottom w:val="double" w:sz="8" w:space="0" w:color="000000"/>
            </w:tcBorders>
            <w:shd w:val="clear" w:color="auto" w:fill="CCEDFF"/>
          </w:tcPr>
          <w:p>
            <w:pPr>
              <w:pStyle w:val="TableParagraph"/>
              <w:tabs>
                <w:tab w:pos="622" w:val="left" w:leader="none"/>
              </w:tabs>
              <w:spacing w:before="10"/>
              <w:ind w:right="103"/>
              <w:jc w:val="right"/>
              <w:rPr>
                <w:sz w:val="20"/>
              </w:rPr>
            </w:pPr>
            <w:r>
              <w:rPr>
                <w:spacing w:val="-10"/>
                <w:sz w:val="20"/>
              </w:rPr>
              <w:t>$</w:t>
            </w:r>
            <w:r>
              <w:rPr>
                <w:sz w:val="20"/>
              </w:rPr>
              <w:tab/>
            </w:r>
            <w:r>
              <w:rPr>
                <w:spacing w:val="-2"/>
                <w:sz w:val="20"/>
              </w:rPr>
              <w:t>993,773</w:t>
            </w:r>
          </w:p>
        </w:tc>
        <w:tc>
          <w:tcPr>
            <w:tcW w:w="1474" w:type="dxa"/>
            <w:tcBorders>
              <w:top w:val="single" w:sz="8" w:space="0" w:color="000000"/>
              <w:bottom w:val="double" w:sz="8" w:space="0" w:color="000000"/>
            </w:tcBorders>
            <w:shd w:val="clear" w:color="auto" w:fill="CCEDFF"/>
          </w:tcPr>
          <w:p>
            <w:pPr>
              <w:pStyle w:val="TableParagraph"/>
              <w:tabs>
                <w:tab w:pos="622" w:val="left" w:leader="none"/>
              </w:tabs>
              <w:spacing w:before="10"/>
              <w:ind w:right="97"/>
              <w:jc w:val="right"/>
              <w:rPr>
                <w:sz w:val="20"/>
              </w:rPr>
            </w:pPr>
            <w:r>
              <w:rPr>
                <w:spacing w:val="-10"/>
                <w:sz w:val="20"/>
              </w:rPr>
              <w:t>$</w:t>
            </w:r>
            <w:r>
              <w:rPr>
                <w:sz w:val="20"/>
              </w:rPr>
              <w:tab/>
            </w:r>
            <w:r>
              <w:rPr>
                <w:spacing w:val="-2"/>
                <w:sz w:val="20"/>
              </w:rPr>
              <w:t>739,630</w:t>
            </w:r>
          </w:p>
        </w:tc>
      </w:tr>
    </w:tbl>
    <w:p>
      <w:pPr>
        <w:pStyle w:val="BodyText"/>
        <w:spacing w:line="249" w:lineRule="auto" w:before="193"/>
        <w:ind w:left="220" w:right="257" w:firstLine="540"/>
        <w:jc w:val="both"/>
      </w:pPr>
      <w:r>
        <w:rPr>
          <w:spacing w:val="-4"/>
        </w:rPr>
        <w:t>Accrued media costs primarily relate to our advertising platform offerings from</w:t>
      </w:r>
      <w:r>
        <w:rPr>
          <w:spacing w:val="-6"/>
        </w:rPr>
        <w:t> </w:t>
      </w:r>
      <w:r>
        <w:rPr>
          <w:spacing w:val="-4"/>
        </w:rPr>
        <w:t>TubeMogul, which are part of the</w:t>
      </w:r>
      <w:r>
        <w:rPr>
          <w:spacing w:val="-9"/>
        </w:rPr>
        <w:t> </w:t>
      </w:r>
      <w:r>
        <w:rPr>
          <w:spacing w:val="-4"/>
        </w:rPr>
        <w:t>Advertising </w:t>
      </w:r>
      <w:r>
        <w:rPr>
          <w:spacing w:val="-2"/>
        </w:rPr>
        <w:t>Cloud.</w:t>
      </w:r>
      <w:r>
        <w:rPr>
          <w:spacing w:val="-8"/>
        </w:rPr>
        <w:t> </w:t>
      </w:r>
      <w:r>
        <w:rPr>
          <w:spacing w:val="-2"/>
        </w:rPr>
        <w:t>We</w:t>
      </w:r>
      <w:r>
        <w:rPr>
          <w:spacing w:val="-4"/>
        </w:rPr>
        <w:t> </w:t>
      </w:r>
      <w:r>
        <w:rPr>
          <w:spacing w:val="-2"/>
        </w:rPr>
        <w:t>accrue</w:t>
      </w:r>
      <w:r>
        <w:rPr>
          <w:spacing w:val="-4"/>
        </w:rPr>
        <w:t> </w:t>
      </w:r>
      <w:r>
        <w:rPr>
          <w:spacing w:val="-2"/>
        </w:rPr>
        <w:t>for</w:t>
      </w:r>
      <w:r>
        <w:rPr>
          <w:spacing w:val="-4"/>
        </w:rPr>
        <w:t> </w:t>
      </w:r>
      <w:r>
        <w:rPr>
          <w:spacing w:val="-2"/>
        </w:rPr>
        <w:t>media</w:t>
      </w:r>
      <w:r>
        <w:rPr>
          <w:spacing w:val="-4"/>
        </w:rPr>
        <w:t> </w:t>
      </w:r>
      <w:r>
        <w:rPr>
          <w:spacing w:val="-2"/>
        </w:rPr>
        <w:t>costs</w:t>
      </w:r>
      <w:r>
        <w:rPr>
          <w:spacing w:val="-4"/>
        </w:rPr>
        <w:t> </w:t>
      </w:r>
      <w:r>
        <w:rPr>
          <w:spacing w:val="-2"/>
        </w:rPr>
        <w:t>related</w:t>
      </w:r>
      <w:r>
        <w:rPr>
          <w:spacing w:val="-4"/>
        </w:rPr>
        <w:t> </w:t>
      </w:r>
      <w:r>
        <w:rPr>
          <w:spacing w:val="-2"/>
        </w:rPr>
        <w:t>to</w:t>
      </w:r>
      <w:r>
        <w:rPr>
          <w:spacing w:val="-4"/>
        </w:rPr>
        <w:t> </w:t>
      </w:r>
      <w:r>
        <w:rPr>
          <w:spacing w:val="-2"/>
        </w:rPr>
        <w:t>impressions</w:t>
      </w:r>
      <w:r>
        <w:rPr>
          <w:spacing w:val="-4"/>
        </w:rPr>
        <w:t> </w:t>
      </w:r>
      <w:r>
        <w:rPr>
          <w:spacing w:val="-2"/>
        </w:rPr>
        <w:t>purchased</w:t>
      </w:r>
      <w:r>
        <w:rPr>
          <w:spacing w:val="-4"/>
        </w:rPr>
        <w:t> </w:t>
      </w:r>
      <w:r>
        <w:rPr>
          <w:spacing w:val="-2"/>
        </w:rPr>
        <w:t>from</w:t>
      </w:r>
      <w:r>
        <w:rPr>
          <w:spacing w:val="-4"/>
        </w:rPr>
        <w:t> </w:t>
      </w:r>
      <w:r>
        <w:rPr>
          <w:spacing w:val="-2"/>
        </w:rPr>
        <w:t>third-party</w:t>
      </w:r>
      <w:r>
        <w:rPr>
          <w:spacing w:val="-4"/>
        </w:rPr>
        <w:t> </w:t>
      </w:r>
      <w:r>
        <w:rPr>
          <w:spacing w:val="-2"/>
        </w:rPr>
        <w:t>ad</w:t>
      </w:r>
      <w:r>
        <w:rPr>
          <w:spacing w:val="-4"/>
        </w:rPr>
        <w:t> </w:t>
      </w:r>
      <w:r>
        <w:rPr>
          <w:spacing w:val="-2"/>
        </w:rPr>
        <w:t>inventory</w:t>
      </w:r>
      <w:r>
        <w:rPr>
          <w:spacing w:val="-4"/>
        </w:rPr>
        <w:t> </w:t>
      </w:r>
      <w:r>
        <w:rPr>
          <w:spacing w:val="-2"/>
        </w:rPr>
        <w:t>sources.</w:t>
      </w:r>
      <w:r>
        <w:rPr>
          <w:spacing w:val="-4"/>
        </w:rPr>
        <w:t> </w:t>
      </w:r>
      <w:r>
        <w:rPr>
          <w:spacing w:val="-2"/>
        </w:rPr>
        <w:t>Other</w:t>
      </w:r>
      <w:r>
        <w:rPr>
          <w:spacing w:val="-4"/>
        </w:rPr>
        <w:t> </w:t>
      </w:r>
      <w:r>
        <w:rPr>
          <w:spacing w:val="-2"/>
        </w:rPr>
        <w:t>primarily</w:t>
      </w:r>
      <w:r>
        <w:rPr>
          <w:spacing w:val="-4"/>
        </w:rPr>
        <w:t> </w:t>
      </w:r>
      <w:r>
        <w:rPr>
          <w:spacing w:val="-2"/>
        </w:rPr>
        <w:t>includes </w:t>
      </w:r>
      <w:r>
        <w:rPr/>
        <w:t>general</w:t>
      </w:r>
      <w:r>
        <w:rPr>
          <w:spacing w:val="-12"/>
        </w:rPr>
        <w:t> </w:t>
      </w:r>
      <w:r>
        <w:rPr/>
        <w:t>corporate</w:t>
      </w:r>
      <w:r>
        <w:rPr>
          <w:spacing w:val="-12"/>
        </w:rPr>
        <w:t> </w:t>
      </w:r>
      <w:r>
        <w:rPr/>
        <w:t>accruals</w:t>
      </w:r>
      <w:r>
        <w:rPr>
          <w:spacing w:val="-11"/>
        </w:rPr>
        <w:t> </w:t>
      </w:r>
      <w:r>
        <w:rPr/>
        <w:t>for</w:t>
      </w:r>
      <w:r>
        <w:rPr>
          <w:spacing w:val="-12"/>
        </w:rPr>
        <w:t> </w:t>
      </w:r>
      <w:r>
        <w:rPr/>
        <w:t>local</w:t>
      </w:r>
      <w:r>
        <w:rPr>
          <w:spacing w:val="-12"/>
        </w:rPr>
        <w:t> </w:t>
      </w:r>
      <w:r>
        <w:rPr/>
        <w:t>and</w:t>
      </w:r>
      <w:r>
        <w:rPr>
          <w:spacing w:val="-12"/>
        </w:rPr>
        <w:t> </w:t>
      </w:r>
      <w:r>
        <w:rPr/>
        <w:t>regional</w:t>
      </w:r>
      <w:r>
        <w:rPr>
          <w:spacing w:val="-12"/>
        </w:rPr>
        <w:t> </w:t>
      </w:r>
      <w:r>
        <w:rPr/>
        <w:t>expenses.</w:t>
      </w:r>
      <w:r>
        <w:rPr>
          <w:spacing w:val="-11"/>
        </w:rPr>
        <w:t> </w:t>
      </w:r>
      <w:r>
        <w:rPr/>
        <w:t>Other</w:t>
      </w:r>
      <w:r>
        <w:rPr>
          <w:spacing w:val="-12"/>
        </w:rPr>
        <w:t> </w:t>
      </w:r>
      <w:r>
        <w:rPr/>
        <w:t>is</w:t>
      </w:r>
      <w:r>
        <w:rPr>
          <w:spacing w:val="-12"/>
        </w:rPr>
        <w:t> </w:t>
      </w:r>
      <w:r>
        <w:rPr/>
        <w:t>also</w:t>
      </w:r>
      <w:r>
        <w:rPr>
          <w:spacing w:val="-12"/>
        </w:rPr>
        <w:t> </w:t>
      </w:r>
      <w:r>
        <w:rPr/>
        <w:t>comprised</w:t>
      </w:r>
      <w:r>
        <w:rPr>
          <w:spacing w:val="-12"/>
        </w:rPr>
        <w:t> </w:t>
      </w:r>
      <w:r>
        <w:rPr/>
        <w:t>of</w:t>
      </w:r>
      <w:r>
        <w:rPr>
          <w:spacing w:val="-12"/>
        </w:rPr>
        <w:t> </w:t>
      </w:r>
      <w:r>
        <w:rPr/>
        <w:t>deferred</w:t>
      </w:r>
      <w:r>
        <w:rPr>
          <w:spacing w:val="-12"/>
        </w:rPr>
        <w:t> </w:t>
      </w:r>
      <w:r>
        <w:rPr/>
        <w:t>rent</w:t>
      </w:r>
      <w:r>
        <w:rPr>
          <w:spacing w:val="-12"/>
        </w:rPr>
        <w:t> </w:t>
      </w:r>
      <w:r>
        <w:rPr/>
        <w:t>related</w:t>
      </w:r>
      <w:r>
        <w:rPr>
          <w:spacing w:val="-12"/>
        </w:rPr>
        <w:t> </w:t>
      </w:r>
      <w:r>
        <w:rPr/>
        <w:t>to</w:t>
      </w:r>
      <w:r>
        <w:rPr>
          <w:spacing w:val="-12"/>
        </w:rPr>
        <w:t> </w:t>
      </w:r>
      <w:r>
        <w:rPr/>
        <w:t>office</w:t>
      </w:r>
      <w:r>
        <w:rPr>
          <w:spacing w:val="-12"/>
        </w:rPr>
        <w:t> </w:t>
      </w:r>
      <w:r>
        <w:rPr/>
        <w:t>locations</w:t>
      </w:r>
      <w:r>
        <w:rPr>
          <w:spacing w:val="-11"/>
        </w:rPr>
        <w:t> </w:t>
      </w:r>
      <w:r>
        <w:rPr/>
        <w:t>with rent escalations and foreign currency liability derivatives.</w:t>
      </w:r>
    </w:p>
    <w:p>
      <w:pPr>
        <w:pStyle w:val="BodyText"/>
        <w:spacing w:before="193"/>
      </w:pPr>
    </w:p>
    <w:p>
      <w:pPr>
        <w:pStyle w:val="Heading1"/>
      </w:pPr>
      <w:bookmarkStart w:name="NOTE 9. INCOME TAXES" w:id="79"/>
      <w:bookmarkEnd w:id="79"/>
      <w:r>
        <w:rPr>
          <w:b w:val="0"/>
        </w:rPr>
      </w:r>
      <w:bookmarkStart w:name="_bookmark28" w:id="80"/>
      <w:bookmarkEnd w:id="80"/>
      <w:r>
        <w:rPr>
          <w:b w:val="0"/>
        </w:rPr>
      </w:r>
      <w:r>
        <w:rPr/>
        <w:t>NOTE 9.</w:t>
      </w:r>
      <w:r>
        <w:rPr>
          <w:spacing w:val="50"/>
        </w:rPr>
        <w:t> </w:t>
      </w:r>
      <w:r>
        <w:rPr/>
        <w:t>INCOME</w:t>
      </w:r>
      <w:r>
        <w:rPr>
          <w:spacing w:val="-4"/>
        </w:rPr>
        <w:t> </w:t>
      </w:r>
      <w:r>
        <w:rPr>
          <w:spacing w:val="-2"/>
        </w:rPr>
        <w:t>TAXES</w:t>
      </w:r>
    </w:p>
    <w:p>
      <w:pPr>
        <w:pStyle w:val="BodyText"/>
        <w:spacing w:before="190"/>
        <w:ind w:left="760"/>
      </w:pPr>
      <w:r>
        <w:rPr/>
        <w:t>Income</w:t>
      </w:r>
      <w:r>
        <w:rPr>
          <w:spacing w:val="-1"/>
        </w:rPr>
        <w:t> </w:t>
      </w:r>
      <w:r>
        <w:rPr/>
        <w:t>before income taxes</w:t>
      </w:r>
      <w:r>
        <w:rPr>
          <w:spacing w:val="-2"/>
        </w:rPr>
        <w:t> </w:t>
      </w:r>
      <w:r>
        <w:rPr/>
        <w:t>for fiscal</w:t>
      </w:r>
      <w:r>
        <w:rPr>
          <w:spacing w:val="-1"/>
        </w:rPr>
        <w:t> </w:t>
      </w:r>
      <w:r>
        <w:rPr/>
        <w:t>2017, 2016</w:t>
      </w:r>
      <w:r>
        <w:rPr>
          <w:spacing w:val="-1"/>
        </w:rPr>
        <w:t> </w:t>
      </w:r>
      <w:r>
        <w:rPr/>
        <w:t>and 2015 consisted of</w:t>
      </w:r>
      <w:r>
        <w:rPr>
          <w:spacing w:val="-1"/>
        </w:rPr>
        <w:t> </w:t>
      </w:r>
      <w:r>
        <w:rPr/>
        <w:t>the following (in </w:t>
      </w:r>
      <w:r>
        <w:rPr>
          <w:spacing w:val="-2"/>
        </w:rPr>
        <w:t>thousands):</w:t>
      </w:r>
    </w:p>
    <w:p>
      <w:pPr>
        <w:pStyle w:val="BodyText"/>
        <w:spacing w:before="1" w:after="1"/>
        <w:rPr>
          <w:sz w:val="19"/>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0"/>
        <w:gridCol w:w="3276"/>
        <w:gridCol w:w="1181"/>
        <w:gridCol w:w="1174"/>
      </w:tblGrid>
      <w:tr>
        <w:trPr>
          <w:trHeight w:val="217" w:hRule="atLeast"/>
        </w:trPr>
        <w:tc>
          <w:tcPr>
            <w:tcW w:w="4630" w:type="dxa"/>
          </w:tcPr>
          <w:p>
            <w:pPr>
              <w:pStyle w:val="TableParagraph"/>
              <w:rPr>
                <w:sz w:val="14"/>
              </w:rPr>
            </w:pPr>
          </w:p>
        </w:tc>
        <w:tc>
          <w:tcPr>
            <w:tcW w:w="3276" w:type="dxa"/>
          </w:tcPr>
          <w:p>
            <w:pPr>
              <w:pStyle w:val="TableParagraph"/>
              <w:spacing w:line="177" w:lineRule="exact"/>
              <w:ind w:right="435"/>
              <w:jc w:val="right"/>
              <w:rPr>
                <w:b/>
                <w:sz w:val="16"/>
              </w:rPr>
            </w:pPr>
            <w:r>
              <w:rPr>
                <w:b/>
                <w:spacing w:val="-4"/>
                <w:sz w:val="16"/>
              </w:rPr>
              <w:t>2017</w:t>
            </w:r>
          </w:p>
        </w:tc>
        <w:tc>
          <w:tcPr>
            <w:tcW w:w="1181" w:type="dxa"/>
            <w:tcBorders>
              <w:bottom w:val="single" w:sz="8" w:space="0" w:color="000000"/>
            </w:tcBorders>
          </w:tcPr>
          <w:p>
            <w:pPr>
              <w:pStyle w:val="TableParagraph"/>
              <w:spacing w:line="177" w:lineRule="exact"/>
              <w:ind w:left="7"/>
              <w:jc w:val="center"/>
              <w:rPr>
                <w:b/>
                <w:sz w:val="16"/>
              </w:rPr>
            </w:pPr>
            <w:r>
              <w:rPr>
                <w:b/>
                <w:spacing w:val="-4"/>
                <w:sz w:val="16"/>
              </w:rPr>
              <w:t>2016</w:t>
            </w:r>
          </w:p>
        </w:tc>
        <w:tc>
          <w:tcPr>
            <w:tcW w:w="1174" w:type="dxa"/>
            <w:tcBorders>
              <w:bottom w:val="single" w:sz="8" w:space="0" w:color="000000"/>
            </w:tcBorders>
          </w:tcPr>
          <w:p>
            <w:pPr>
              <w:pStyle w:val="TableParagraph"/>
              <w:spacing w:line="177" w:lineRule="exact"/>
              <w:ind w:left="32"/>
              <w:jc w:val="center"/>
              <w:rPr>
                <w:b/>
                <w:sz w:val="16"/>
              </w:rPr>
            </w:pPr>
            <w:r>
              <w:rPr>
                <w:b/>
                <w:spacing w:val="-4"/>
                <w:sz w:val="16"/>
              </w:rPr>
              <w:t>2015</w:t>
            </w:r>
          </w:p>
        </w:tc>
      </w:tr>
      <w:tr>
        <w:trPr>
          <w:trHeight w:val="270" w:hRule="atLeast"/>
        </w:trPr>
        <w:tc>
          <w:tcPr>
            <w:tcW w:w="4630" w:type="dxa"/>
            <w:shd w:val="clear" w:color="auto" w:fill="CCEDFF"/>
          </w:tcPr>
          <w:p>
            <w:pPr>
              <w:pStyle w:val="TableParagraph"/>
              <w:spacing w:line="222" w:lineRule="exact"/>
              <w:ind w:left="70"/>
              <w:rPr>
                <w:sz w:val="20"/>
              </w:rPr>
            </w:pPr>
            <w:r>
              <w:rPr>
                <w:spacing w:val="-2"/>
                <w:sz w:val="20"/>
              </w:rPr>
              <w:t>Domestic</w:t>
            </w:r>
          </w:p>
        </w:tc>
        <w:tc>
          <w:tcPr>
            <w:tcW w:w="3276" w:type="dxa"/>
            <w:shd w:val="clear" w:color="auto" w:fill="CCEDFF"/>
          </w:tcPr>
          <w:p>
            <w:pPr>
              <w:pStyle w:val="TableParagraph"/>
              <w:spacing w:line="222" w:lineRule="exact"/>
              <w:ind w:right="103"/>
              <w:jc w:val="right"/>
              <w:rPr>
                <w:sz w:val="20"/>
              </w:rPr>
            </w:pPr>
            <w:r>
              <w:rPr>
                <w:sz w:val="20"/>
              </w:rPr>
              <w:t>$</w:t>
            </w:r>
            <w:r>
              <w:rPr>
                <w:spacing w:val="42"/>
                <w:sz w:val="20"/>
              </w:rPr>
              <w:t> </w:t>
            </w:r>
            <w:r>
              <w:rPr>
                <w:spacing w:val="-2"/>
                <w:sz w:val="20"/>
              </w:rPr>
              <w:t>1,056,156</w:t>
            </w:r>
          </w:p>
        </w:tc>
        <w:tc>
          <w:tcPr>
            <w:tcW w:w="1181" w:type="dxa"/>
            <w:tcBorders>
              <w:top w:val="single" w:sz="8" w:space="0" w:color="000000"/>
            </w:tcBorders>
            <w:shd w:val="clear" w:color="auto" w:fill="CCEDFF"/>
          </w:tcPr>
          <w:p>
            <w:pPr>
              <w:pStyle w:val="TableParagraph"/>
              <w:tabs>
                <w:tab w:pos="322" w:val="left" w:leader="none"/>
              </w:tabs>
              <w:spacing w:line="222" w:lineRule="exact"/>
              <w:ind w:right="103"/>
              <w:jc w:val="right"/>
              <w:rPr>
                <w:sz w:val="20"/>
              </w:rPr>
            </w:pPr>
            <w:r>
              <w:rPr>
                <w:spacing w:val="-10"/>
                <w:sz w:val="20"/>
              </w:rPr>
              <w:t>$</w:t>
            </w:r>
            <w:r>
              <w:rPr>
                <w:sz w:val="20"/>
              </w:rPr>
              <w:tab/>
            </w:r>
            <w:r>
              <w:rPr>
                <w:spacing w:val="-2"/>
                <w:sz w:val="20"/>
              </w:rPr>
              <w:t>805,749</w:t>
            </w:r>
          </w:p>
        </w:tc>
        <w:tc>
          <w:tcPr>
            <w:tcW w:w="1174" w:type="dxa"/>
            <w:tcBorders>
              <w:top w:val="single" w:sz="8" w:space="0" w:color="000000"/>
            </w:tcBorders>
            <w:shd w:val="clear" w:color="auto" w:fill="CCEDFF"/>
          </w:tcPr>
          <w:p>
            <w:pPr>
              <w:pStyle w:val="TableParagraph"/>
              <w:tabs>
                <w:tab w:pos="342" w:val="left" w:leader="none"/>
              </w:tabs>
              <w:spacing w:line="222" w:lineRule="exact"/>
              <w:ind w:right="77"/>
              <w:jc w:val="right"/>
              <w:rPr>
                <w:sz w:val="20"/>
              </w:rPr>
            </w:pPr>
            <w:r>
              <w:rPr>
                <w:spacing w:val="-10"/>
                <w:sz w:val="20"/>
              </w:rPr>
              <w:t>$</w:t>
            </w:r>
            <w:r>
              <w:rPr>
                <w:sz w:val="20"/>
              </w:rPr>
              <w:tab/>
            </w:r>
            <w:r>
              <w:rPr>
                <w:spacing w:val="-2"/>
                <w:sz w:val="20"/>
              </w:rPr>
              <w:t>589,371</w:t>
            </w:r>
          </w:p>
        </w:tc>
      </w:tr>
      <w:tr>
        <w:trPr>
          <w:trHeight w:val="270" w:hRule="atLeast"/>
        </w:trPr>
        <w:tc>
          <w:tcPr>
            <w:tcW w:w="4630" w:type="dxa"/>
          </w:tcPr>
          <w:p>
            <w:pPr>
              <w:pStyle w:val="TableParagraph"/>
              <w:spacing w:before="2"/>
              <w:ind w:left="70"/>
              <w:rPr>
                <w:sz w:val="20"/>
              </w:rPr>
            </w:pPr>
            <w:r>
              <w:rPr>
                <w:spacing w:val="-2"/>
                <w:sz w:val="20"/>
              </w:rPr>
              <w:t>Foreign</w:t>
            </w:r>
          </w:p>
        </w:tc>
        <w:tc>
          <w:tcPr>
            <w:tcW w:w="3276" w:type="dxa"/>
            <w:tcBorders>
              <w:bottom w:val="single" w:sz="8" w:space="0" w:color="000000"/>
            </w:tcBorders>
          </w:tcPr>
          <w:p>
            <w:pPr>
              <w:pStyle w:val="TableParagraph"/>
              <w:spacing w:before="2"/>
              <w:ind w:right="103"/>
              <w:jc w:val="right"/>
              <w:rPr>
                <w:sz w:val="20"/>
              </w:rPr>
            </w:pPr>
            <w:r>
              <w:rPr>
                <w:spacing w:val="-2"/>
                <w:sz w:val="20"/>
              </w:rPr>
              <w:t>1,081,485</w:t>
            </w:r>
          </w:p>
        </w:tc>
        <w:tc>
          <w:tcPr>
            <w:tcW w:w="1181" w:type="dxa"/>
            <w:tcBorders>
              <w:bottom w:val="single" w:sz="8" w:space="0" w:color="000000"/>
            </w:tcBorders>
          </w:tcPr>
          <w:p>
            <w:pPr>
              <w:pStyle w:val="TableParagraph"/>
              <w:spacing w:before="2"/>
              <w:ind w:right="103"/>
              <w:jc w:val="right"/>
              <w:rPr>
                <w:sz w:val="20"/>
              </w:rPr>
            </w:pPr>
            <w:r>
              <w:rPr>
                <w:spacing w:val="-2"/>
                <w:sz w:val="20"/>
              </w:rPr>
              <w:t>629,389</w:t>
            </w:r>
          </w:p>
        </w:tc>
        <w:tc>
          <w:tcPr>
            <w:tcW w:w="1174" w:type="dxa"/>
            <w:tcBorders>
              <w:bottom w:val="single" w:sz="8" w:space="0" w:color="000000"/>
            </w:tcBorders>
          </w:tcPr>
          <w:p>
            <w:pPr>
              <w:pStyle w:val="TableParagraph"/>
              <w:spacing w:before="2"/>
              <w:ind w:right="77"/>
              <w:jc w:val="right"/>
              <w:rPr>
                <w:sz w:val="20"/>
              </w:rPr>
            </w:pPr>
            <w:r>
              <w:rPr>
                <w:spacing w:val="-2"/>
                <w:sz w:val="20"/>
              </w:rPr>
              <w:t>284,410</w:t>
            </w:r>
          </w:p>
        </w:tc>
      </w:tr>
      <w:tr>
        <w:trPr>
          <w:trHeight w:val="220" w:hRule="atLeast"/>
        </w:trPr>
        <w:tc>
          <w:tcPr>
            <w:tcW w:w="4630" w:type="dxa"/>
            <w:shd w:val="clear" w:color="auto" w:fill="CCEDFF"/>
          </w:tcPr>
          <w:p>
            <w:pPr>
              <w:pStyle w:val="TableParagraph"/>
              <w:spacing w:line="200" w:lineRule="exact"/>
              <w:ind w:left="190"/>
              <w:rPr>
                <w:sz w:val="20"/>
              </w:rPr>
            </w:pPr>
            <w:r>
              <w:rPr>
                <w:sz w:val="20"/>
              </w:rPr>
              <w:t>Income before income </w:t>
            </w:r>
            <w:r>
              <w:rPr>
                <w:spacing w:val="-2"/>
                <w:sz w:val="20"/>
              </w:rPr>
              <w:t>taxes</w:t>
            </w:r>
          </w:p>
        </w:tc>
        <w:tc>
          <w:tcPr>
            <w:tcW w:w="3276" w:type="dxa"/>
            <w:tcBorders>
              <w:top w:val="single" w:sz="8" w:space="0" w:color="000000"/>
              <w:bottom w:val="double" w:sz="8" w:space="0" w:color="000000"/>
            </w:tcBorders>
            <w:shd w:val="clear" w:color="auto" w:fill="CCEDFF"/>
          </w:tcPr>
          <w:p>
            <w:pPr>
              <w:pStyle w:val="TableParagraph"/>
              <w:spacing w:line="200" w:lineRule="exact"/>
              <w:ind w:right="103"/>
              <w:jc w:val="right"/>
              <w:rPr>
                <w:sz w:val="20"/>
              </w:rPr>
            </w:pPr>
            <w:r>
              <w:rPr>
                <w:sz w:val="20"/>
              </w:rPr>
              <w:t>$</w:t>
            </w:r>
            <w:r>
              <w:rPr>
                <w:spacing w:val="42"/>
                <w:sz w:val="20"/>
              </w:rPr>
              <w:t> </w:t>
            </w:r>
            <w:r>
              <w:rPr>
                <w:spacing w:val="-2"/>
                <w:sz w:val="20"/>
              </w:rPr>
              <w:t>2,137,641</w:t>
            </w:r>
          </w:p>
        </w:tc>
        <w:tc>
          <w:tcPr>
            <w:tcW w:w="1181" w:type="dxa"/>
            <w:tcBorders>
              <w:top w:val="single" w:sz="8" w:space="0" w:color="000000"/>
              <w:bottom w:val="double" w:sz="8" w:space="0" w:color="000000"/>
            </w:tcBorders>
            <w:shd w:val="clear" w:color="auto" w:fill="CCEDFF"/>
          </w:tcPr>
          <w:p>
            <w:pPr>
              <w:pStyle w:val="TableParagraph"/>
              <w:spacing w:line="200" w:lineRule="exact"/>
              <w:ind w:right="104"/>
              <w:jc w:val="right"/>
              <w:rPr>
                <w:sz w:val="20"/>
              </w:rPr>
            </w:pPr>
            <w:r>
              <w:rPr>
                <w:sz w:val="20"/>
              </w:rPr>
              <w:t>$</w:t>
            </w:r>
            <w:r>
              <w:rPr>
                <w:spacing w:val="22"/>
                <w:sz w:val="20"/>
              </w:rPr>
              <w:t> </w:t>
            </w:r>
            <w:r>
              <w:rPr>
                <w:spacing w:val="-2"/>
                <w:sz w:val="20"/>
              </w:rPr>
              <w:t>1,435,138</w:t>
            </w:r>
          </w:p>
        </w:tc>
        <w:tc>
          <w:tcPr>
            <w:tcW w:w="1174" w:type="dxa"/>
            <w:tcBorders>
              <w:top w:val="single" w:sz="8" w:space="0" w:color="000000"/>
              <w:bottom w:val="double" w:sz="8" w:space="0" w:color="000000"/>
            </w:tcBorders>
            <w:shd w:val="clear" w:color="auto" w:fill="CCEDFF"/>
          </w:tcPr>
          <w:p>
            <w:pPr>
              <w:pStyle w:val="TableParagraph"/>
              <w:tabs>
                <w:tab w:pos="342" w:val="left" w:leader="none"/>
              </w:tabs>
              <w:spacing w:line="200" w:lineRule="exact"/>
              <w:ind w:right="77"/>
              <w:jc w:val="right"/>
              <w:rPr>
                <w:sz w:val="20"/>
              </w:rPr>
            </w:pPr>
            <w:r>
              <w:rPr>
                <w:spacing w:val="-10"/>
                <w:sz w:val="20"/>
              </w:rPr>
              <w:t>$</w:t>
            </w:r>
            <w:r>
              <w:rPr>
                <w:sz w:val="20"/>
              </w:rPr>
              <w:tab/>
            </w:r>
            <w:r>
              <w:rPr>
                <w:spacing w:val="-2"/>
                <w:sz w:val="20"/>
              </w:rPr>
              <w:t>873,781</w:t>
            </w:r>
          </w:p>
        </w:tc>
      </w:tr>
    </w:tbl>
    <w:p>
      <w:pPr>
        <w:pStyle w:val="BodyText"/>
        <w:spacing w:before="213"/>
        <w:ind w:left="760"/>
      </w:pPr>
      <w:r>
        <w:rPr/>
        <w:t>The</w:t>
      </w:r>
      <w:r>
        <w:rPr>
          <w:spacing w:val="-1"/>
        </w:rPr>
        <w:t> </w:t>
      </w:r>
      <w:r>
        <w:rPr/>
        <w:t>provision for income</w:t>
      </w:r>
      <w:r>
        <w:rPr>
          <w:spacing w:val="-1"/>
        </w:rPr>
        <w:t> </w:t>
      </w:r>
      <w:r>
        <w:rPr/>
        <w:t>taxes</w:t>
      </w:r>
      <w:r>
        <w:rPr>
          <w:spacing w:val="-1"/>
        </w:rPr>
        <w:t> </w:t>
      </w:r>
      <w:r>
        <w:rPr/>
        <w:t>for fiscal</w:t>
      </w:r>
      <w:r>
        <w:rPr>
          <w:spacing w:val="-1"/>
        </w:rPr>
        <w:t> </w:t>
      </w:r>
      <w:r>
        <w:rPr/>
        <w:t>2017, 2016</w:t>
      </w:r>
      <w:r>
        <w:rPr>
          <w:spacing w:val="-1"/>
        </w:rPr>
        <w:t> </w:t>
      </w:r>
      <w:r>
        <w:rPr/>
        <w:t>and 2015 consisted of</w:t>
      </w:r>
      <w:r>
        <w:rPr>
          <w:spacing w:val="-1"/>
        </w:rPr>
        <w:t> </w:t>
      </w:r>
      <w:r>
        <w:rPr/>
        <w:t>the</w:t>
      </w:r>
      <w:r>
        <w:rPr>
          <w:spacing w:val="-1"/>
        </w:rPr>
        <w:t> </w:t>
      </w:r>
      <w:r>
        <w:rPr/>
        <w:t>following (in </w:t>
      </w:r>
      <w:r>
        <w:rPr>
          <w:spacing w:val="-2"/>
        </w:rPr>
        <w:t>thousands):</w:t>
      </w:r>
    </w:p>
    <w:p>
      <w:pPr>
        <w:pStyle w:val="BodyText"/>
        <w:spacing w:before="1"/>
        <w:rPr>
          <w:sz w:val="19"/>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0"/>
        <w:gridCol w:w="1180"/>
        <w:gridCol w:w="1180"/>
        <w:gridCol w:w="1140"/>
      </w:tblGrid>
      <w:tr>
        <w:trPr>
          <w:trHeight w:val="217" w:hRule="atLeast"/>
        </w:trPr>
        <w:tc>
          <w:tcPr>
            <w:tcW w:w="6760" w:type="dxa"/>
          </w:tcPr>
          <w:p>
            <w:pPr>
              <w:pStyle w:val="TableParagraph"/>
              <w:rPr>
                <w:sz w:val="14"/>
              </w:rPr>
            </w:pPr>
          </w:p>
        </w:tc>
        <w:tc>
          <w:tcPr>
            <w:tcW w:w="1180" w:type="dxa"/>
            <w:tcBorders>
              <w:bottom w:val="single" w:sz="8" w:space="0" w:color="000000"/>
            </w:tcBorders>
          </w:tcPr>
          <w:p>
            <w:pPr>
              <w:pStyle w:val="TableParagraph"/>
              <w:spacing w:line="177" w:lineRule="exact"/>
              <w:ind w:left="390"/>
              <w:rPr>
                <w:b/>
                <w:sz w:val="16"/>
              </w:rPr>
            </w:pPr>
            <w:r>
              <w:rPr>
                <w:b/>
                <w:spacing w:val="-4"/>
                <w:sz w:val="16"/>
              </w:rPr>
              <w:t>2017</w:t>
            </w:r>
          </w:p>
        </w:tc>
        <w:tc>
          <w:tcPr>
            <w:tcW w:w="1180" w:type="dxa"/>
            <w:tcBorders>
              <w:bottom w:val="single" w:sz="8" w:space="0" w:color="000000"/>
            </w:tcBorders>
          </w:tcPr>
          <w:p>
            <w:pPr>
              <w:pStyle w:val="TableParagraph"/>
              <w:spacing w:line="177" w:lineRule="exact"/>
              <w:ind w:left="8" w:right="67"/>
              <w:jc w:val="center"/>
              <w:rPr>
                <w:b/>
                <w:sz w:val="16"/>
              </w:rPr>
            </w:pPr>
            <w:r>
              <w:rPr>
                <w:b/>
                <w:spacing w:val="-4"/>
                <w:sz w:val="16"/>
              </w:rPr>
              <w:t>2016</w:t>
            </w:r>
          </w:p>
        </w:tc>
        <w:tc>
          <w:tcPr>
            <w:tcW w:w="1140" w:type="dxa"/>
            <w:tcBorders>
              <w:bottom w:val="single" w:sz="8" w:space="0" w:color="000000"/>
            </w:tcBorders>
          </w:tcPr>
          <w:p>
            <w:pPr>
              <w:pStyle w:val="TableParagraph"/>
              <w:spacing w:line="177" w:lineRule="exact"/>
              <w:ind w:left="2" w:right="2"/>
              <w:jc w:val="center"/>
              <w:rPr>
                <w:b/>
                <w:sz w:val="16"/>
              </w:rPr>
            </w:pPr>
            <w:r>
              <w:rPr>
                <w:b/>
                <w:spacing w:val="-4"/>
                <w:sz w:val="16"/>
              </w:rPr>
              <w:t>2015</w:t>
            </w:r>
          </w:p>
        </w:tc>
      </w:tr>
      <w:tr>
        <w:trPr>
          <w:trHeight w:val="270" w:hRule="atLeast"/>
        </w:trPr>
        <w:tc>
          <w:tcPr>
            <w:tcW w:w="6760" w:type="dxa"/>
          </w:tcPr>
          <w:p>
            <w:pPr>
              <w:pStyle w:val="TableParagraph"/>
              <w:spacing w:line="222" w:lineRule="exact"/>
              <w:ind w:left="70"/>
              <w:rPr>
                <w:sz w:val="20"/>
              </w:rPr>
            </w:pPr>
            <w:r>
              <w:rPr>
                <w:spacing w:val="-2"/>
                <w:sz w:val="20"/>
              </w:rPr>
              <w:t>Current:</w:t>
            </w:r>
          </w:p>
        </w:tc>
        <w:tc>
          <w:tcPr>
            <w:tcW w:w="1180" w:type="dxa"/>
            <w:tcBorders>
              <w:top w:val="single" w:sz="8" w:space="0" w:color="000000"/>
            </w:tcBorders>
          </w:tcPr>
          <w:p>
            <w:pPr>
              <w:pStyle w:val="TableParagraph"/>
              <w:rPr>
                <w:sz w:val="18"/>
              </w:rPr>
            </w:pPr>
          </w:p>
        </w:tc>
        <w:tc>
          <w:tcPr>
            <w:tcW w:w="1180" w:type="dxa"/>
            <w:tcBorders>
              <w:top w:val="single" w:sz="8" w:space="0" w:color="000000"/>
            </w:tcBorders>
          </w:tcPr>
          <w:p>
            <w:pPr>
              <w:pStyle w:val="TableParagraph"/>
              <w:rPr>
                <w:sz w:val="18"/>
              </w:rPr>
            </w:pPr>
          </w:p>
        </w:tc>
        <w:tc>
          <w:tcPr>
            <w:tcW w:w="1140" w:type="dxa"/>
            <w:tcBorders>
              <w:top w:val="single" w:sz="8" w:space="0" w:color="000000"/>
            </w:tcBorders>
          </w:tcPr>
          <w:p>
            <w:pPr>
              <w:pStyle w:val="TableParagraph"/>
              <w:rPr>
                <w:sz w:val="18"/>
              </w:rPr>
            </w:pPr>
          </w:p>
        </w:tc>
      </w:tr>
      <w:tr>
        <w:trPr>
          <w:trHeight w:val="280" w:hRule="atLeast"/>
        </w:trPr>
        <w:tc>
          <w:tcPr>
            <w:tcW w:w="6760" w:type="dxa"/>
            <w:shd w:val="clear" w:color="auto" w:fill="CCEDFF"/>
          </w:tcPr>
          <w:p>
            <w:pPr>
              <w:pStyle w:val="TableParagraph"/>
              <w:spacing w:before="2"/>
              <w:ind w:left="190"/>
              <w:rPr>
                <w:sz w:val="20"/>
              </w:rPr>
            </w:pPr>
            <w:r>
              <w:rPr>
                <w:sz w:val="20"/>
              </w:rPr>
              <w:t>United</w:t>
            </w:r>
            <w:r>
              <w:rPr>
                <w:spacing w:val="-3"/>
                <w:sz w:val="20"/>
              </w:rPr>
              <w:t> </w:t>
            </w:r>
            <w:r>
              <w:rPr>
                <w:sz w:val="20"/>
              </w:rPr>
              <w:t>States</w:t>
            </w:r>
            <w:r>
              <w:rPr>
                <w:spacing w:val="-3"/>
                <w:sz w:val="20"/>
              </w:rPr>
              <w:t> </w:t>
            </w:r>
            <w:r>
              <w:rPr>
                <w:spacing w:val="-2"/>
                <w:sz w:val="20"/>
              </w:rPr>
              <w:t>federal</w:t>
            </w:r>
          </w:p>
        </w:tc>
        <w:tc>
          <w:tcPr>
            <w:tcW w:w="1180" w:type="dxa"/>
            <w:shd w:val="clear" w:color="auto" w:fill="CCEDFF"/>
          </w:tcPr>
          <w:p>
            <w:pPr>
              <w:pStyle w:val="TableParagraph"/>
              <w:tabs>
                <w:tab w:pos="392" w:val="left" w:leader="none"/>
              </w:tabs>
              <w:spacing w:before="2"/>
              <w:ind w:left="50"/>
              <w:rPr>
                <w:sz w:val="20"/>
              </w:rPr>
            </w:pPr>
            <w:r>
              <w:rPr>
                <w:spacing w:val="-10"/>
                <w:sz w:val="20"/>
              </w:rPr>
              <w:t>$</w:t>
            </w:r>
            <w:r>
              <w:rPr>
                <w:sz w:val="20"/>
              </w:rPr>
              <w:tab/>
            </w:r>
            <w:r>
              <w:rPr>
                <w:spacing w:val="-2"/>
                <w:sz w:val="20"/>
              </w:rPr>
              <w:t>298,802</w:t>
            </w:r>
          </w:p>
        </w:tc>
        <w:tc>
          <w:tcPr>
            <w:tcW w:w="1180" w:type="dxa"/>
            <w:shd w:val="clear" w:color="auto" w:fill="CCEDFF"/>
          </w:tcPr>
          <w:p>
            <w:pPr>
              <w:pStyle w:val="TableParagraph"/>
              <w:tabs>
                <w:tab w:pos="422" w:val="left" w:leader="none"/>
              </w:tabs>
              <w:spacing w:before="2"/>
              <w:ind w:right="136"/>
              <w:jc w:val="right"/>
              <w:rPr>
                <w:sz w:val="20"/>
              </w:rPr>
            </w:pPr>
            <w:r>
              <w:rPr>
                <w:spacing w:val="-10"/>
                <w:sz w:val="20"/>
              </w:rPr>
              <w:t>$</w:t>
            </w:r>
            <w:r>
              <w:rPr>
                <w:sz w:val="20"/>
              </w:rPr>
              <w:tab/>
            </w:r>
            <w:r>
              <w:rPr>
                <w:spacing w:val="-2"/>
                <w:sz w:val="20"/>
              </w:rPr>
              <w:t>94,396</w:t>
            </w:r>
          </w:p>
        </w:tc>
        <w:tc>
          <w:tcPr>
            <w:tcW w:w="1140" w:type="dxa"/>
            <w:shd w:val="clear" w:color="auto" w:fill="CCEDFF"/>
          </w:tcPr>
          <w:p>
            <w:pPr>
              <w:pStyle w:val="TableParagraph"/>
              <w:tabs>
                <w:tab w:pos="342" w:val="left" w:leader="none"/>
              </w:tabs>
              <w:spacing w:before="2"/>
              <w:ind w:right="76"/>
              <w:jc w:val="right"/>
              <w:rPr>
                <w:sz w:val="20"/>
              </w:rPr>
            </w:pPr>
            <w:r>
              <w:rPr>
                <w:spacing w:val="-10"/>
                <w:sz w:val="20"/>
              </w:rPr>
              <w:t>$</w:t>
            </w:r>
            <w:r>
              <w:rPr>
                <w:sz w:val="20"/>
              </w:rPr>
              <w:tab/>
            </w:r>
            <w:r>
              <w:rPr>
                <w:spacing w:val="-2"/>
                <w:sz w:val="20"/>
              </w:rPr>
              <w:t>204,834</w:t>
            </w:r>
          </w:p>
        </w:tc>
      </w:tr>
      <w:tr>
        <w:trPr>
          <w:trHeight w:val="280" w:hRule="atLeast"/>
        </w:trPr>
        <w:tc>
          <w:tcPr>
            <w:tcW w:w="6760" w:type="dxa"/>
          </w:tcPr>
          <w:p>
            <w:pPr>
              <w:pStyle w:val="TableParagraph"/>
              <w:spacing w:before="2"/>
              <w:ind w:left="190"/>
              <w:rPr>
                <w:sz w:val="20"/>
              </w:rPr>
            </w:pPr>
            <w:r>
              <w:rPr>
                <w:spacing w:val="-2"/>
                <w:sz w:val="20"/>
              </w:rPr>
              <w:t>Foreign</w:t>
            </w:r>
          </w:p>
        </w:tc>
        <w:tc>
          <w:tcPr>
            <w:tcW w:w="1180" w:type="dxa"/>
          </w:tcPr>
          <w:p>
            <w:pPr>
              <w:pStyle w:val="TableParagraph"/>
              <w:spacing w:before="2"/>
              <w:ind w:right="136"/>
              <w:jc w:val="right"/>
              <w:rPr>
                <w:sz w:val="20"/>
              </w:rPr>
            </w:pPr>
            <w:r>
              <w:rPr>
                <w:spacing w:val="-2"/>
                <w:sz w:val="20"/>
              </w:rPr>
              <w:t>60,962</w:t>
            </w:r>
          </w:p>
        </w:tc>
        <w:tc>
          <w:tcPr>
            <w:tcW w:w="1180" w:type="dxa"/>
          </w:tcPr>
          <w:p>
            <w:pPr>
              <w:pStyle w:val="TableParagraph"/>
              <w:spacing w:before="2"/>
              <w:ind w:right="136"/>
              <w:jc w:val="right"/>
              <w:rPr>
                <w:sz w:val="20"/>
              </w:rPr>
            </w:pPr>
            <w:r>
              <w:rPr>
                <w:spacing w:val="-2"/>
                <w:sz w:val="20"/>
              </w:rPr>
              <w:t>59,749</w:t>
            </w:r>
          </w:p>
        </w:tc>
        <w:tc>
          <w:tcPr>
            <w:tcW w:w="1140" w:type="dxa"/>
          </w:tcPr>
          <w:p>
            <w:pPr>
              <w:pStyle w:val="TableParagraph"/>
              <w:spacing w:before="2"/>
              <w:ind w:right="76"/>
              <w:jc w:val="right"/>
              <w:rPr>
                <w:sz w:val="20"/>
              </w:rPr>
            </w:pPr>
            <w:r>
              <w:rPr>
                <w:spacing w:val="-2"/>
                <w:sz w:val="20"/>
              </w:rPr>
              <w:t>52,125</w:t>
            </w:r>
          </w:p>
        </w:tc>
      </w:tr>
      <w:tr>
        <w:trPr>
          <w:trHeight w:val="270" w:hRule="atLeast"/>
        </w:trPr>
        <w:tc>
          <w:tcPr>
            <w:tcW w:w="6760" w:type="dxa"/>
            <w:shd w:val="clear" w:color="auto" w:fill="CCEDFF"/>
          </w:tcPr>
          <w:p>
            <w:pPr>
              <w:pStyle w:val="TableParagraph"/>
              <w:spacing w:before="2"/>
              <w:ind w:left="190"/>
              <w:rPr>
                <w:sz w:val="20"/>
              </w:rPr>
            </w:pPr>
            <w:r>
              <w:rPr>
                <w:sz w:val="20"/>
              </w:rPr>
              <w:t>State and </w:t>
            </w:r>
            <w:r>
              <w:rPr>
                <w:spacing w:val="-2"/>
                <w:sz w:val="20"/>
              </w:rPr>
              <w:t>local</w:t>
            </w:r>
          </w:p>
        </w:tc>
        <w:tc>
          <w:tcPr>
            <w:tcW w:w="1180" w:type="dxa"/>
            <w:tcBorders>
              <w:bottom w:val="single" w:sz="8" w:space="0" w:color="000000"/>
            </w:tcBorders>
            <w:shd w:val="clear" w:color="auto" w:fill="CCEDFF"/>
          </w:tcPr>
          <w:p>
            <w:pPr>
              <w:pStyle w:val="TableParagraph"/>
              <w:spacing w:before="2"/>
              <w:ind w:right="136"/>
              <w:jc w:val="right"/>
              <w:rPr>
                <w:sz w:val="20"/>
              </w:rPr>
            </w:pPr>
            <w:r>
              <w:rPr>
                <w:spacing w:val="-2"/>
                <w:sz w:val="20"/>
              </w:rPr>
              <w:t>33,578</w:t>
            </w:r>
          </w:p>
        </w:tc>
        <w:tc>
          <w:tcPr>
            <w:tcW w:w="1180" w:type="dxa"/>
            <w:tcBorders>
              <w:bottom w:val="single" w:sz="8" w:space="0" w:color="000000"/>
            </w:tcBorders>
            <w:shd w:val="clear" w:color="auto" w:fill="CCEDFF"/>
          </w:tcPr>
          <w:p>
            <w:pPr>
              <w:pStyle w:val="TableParagraph"/>
              <w:spacing w:before="2"/>
              <w:ind w:right="136"/>
              <w:jc w:val="right"/>
              <w:rPr>
                <w:sz w:val="20"/>
              </w:rPr>
            </w:pPr>
            <w:r>
              <w:rPr>
                <w:spacing w:val="-2"/>
                <w:sz w:val="20"/>
              </w:rPr>
              <w:t>15,222</w:t>
            </w:r>
          </w:p>
        </w:tc>
        <w:tc>
          <w:tcPr>
            <w:tcW w:w="1140" w:type="dxa"/>
            <w:tcBorders>
              <w:bottom w:val="single" w:sz="8" w:space="0" w:color="000000"/>
            </w:tcBorders>
            <w:shd w:val="clear" w:color="auto" w:fill="CCEDFF"/>
          </w:tcPr>
          <w:p>
            <w:pPr>
              <w:pStyle w:val="TableParagraph"/>
              <w:spacing w:before="2"/>
              <w:ind w:right="8"/>
              <w:jc w:val="right"/>
              <w:rPr>
                <w:sz w:val="20"/>
              </w:rPr>
            </w:pPr>
            <w:r>
              <w:rPr>
                <w:spacing w:val="-2"/>
                <w:sz w:val="20"/>
              </w:rPr>
              <w:t>(14,975)</w:t>
            </w:r>
          </w:p>
        </w:tc>
      </w:tr>
      <w:tr>
        <w:trPr>
          <w:trHeight w:val="260" w:hRule="atLeast"/>
        </w:trPr>
        <w:tc>
          <w:tcPr>
            <w:tcW w:w="6760" w:type="dxa"/>
          </w:tcPr>
          <w:p>
            <w:pPr>
              <w:pStyle w:val="TableParagraph"/>
              <w:spacing w:line="222" w:lineRule="exact"/>
              <w:ind w:left="70"/>
              <w:rPr>
                <w:sz w:val="20"/>
              </w:rPr>
            </w:pPr>
            <w:r>
              <w:rPr>
                <w:sz w:val="20"/>
              </w:rPr>
              <w:t>Total</w:t>
            </w:r>
            <w:r>
              <w:rPr>
                <w:spacing w:val="-7"/>
                <w:sz w:val="20"/>
              </w:rPr>
              <w:t> </w:t>
            </w:r>
            <w:r>
              <w:rPr>
                <w:spacing w:val="-2"/>
                <w:sz w:val="20"/>
              </w:rPr>
              <w:t>current</w:t>
            </w:r>
          </w:p>
        </w:tc>
        <w:tc>
          <w:tcPr>
            <w:tcW w:w="1180" w:type="dxa"/>
            <w:tcBorders>
              <w:top w:val="single" w:sz="8" w:space="0" w:color="000000"/>
              <w:bottom w:val="single" w:sz="8" w:space="0" w:color="000000"/>
            </w:tcBorders>
          </w:tcPr>
          <w:p>
            <w:pPr>
              <w:pStyle w:val="TableParagraph"/>
              <w:spacing w:line="222" w:lineRule="exact"/>
              <w:ind w:left="392"/>
              <w:rPr>
                <w:sz w:val="20"/>
              </w:rPr>
            </w:pPr>
            <w:r>
              <w:rPr>
                <w:spacing w:val="-2"/>
                <w:sz w:val="20"/>
              </w:rPr>
              <w:t>393,342</w:t>
            </w:r>
          </w:p>
        </w:tc>
        <w:tc>
          <w:tcPr>
            <w:tcW w:w="1180" w:type="dxa"/>
            <w:tcBorders>
              <w:top w:val="single" w:sz="8" w:space="0" w:color="000000"/>
              <w:bottom w:val="single" w:sz="8" w:space="0" w:color="000000"/>
            </w:tcBorders>
          </w:tcPr>
          <w:p>
            <w:pPr>
              <w:pStyle w:val="TableParagraph"/>
              <w:spacing w:line="222" w:lineRule="exact"/>
              <w:ind w:right="136"/>
              <w:jc w:val="right"/>
              <w:rPr>
                <w:sz w:val="20"/>
              </w:rPr>
            </w:pPr>
            <w:r>
              <w:rPr>
                <w:spacing w:val="-2"/>
                <w:sz w:val="20"/>
              </w:rPr>
              <w:t>169,367</w:t>
            </w:r>
          </w:p>
        </w:tc>
        <w:tc>
          <w:tcPr>
            <w:tcW w:w="1140" w:type="dxa"/>
            <w:tcBorders>
              <w:top w:val="single" w:sz="8" w:space="0" w:color="000000"/>
              <w:bottom w:val="single" w:sz="8" w:space="0" w:color="000000"/>
            </w:tcBorders>
          </w:tcPr>
          <w:p>
            <w:pPr>
              <w:pStyle w:val="TableParagraph"/>
              <w:spacing w:line="222" w:lineRule="exact"/>
              <w:ind w:right="76"/>
              <w:jc w:val="right"/>
              <w:rPr>
                <w:sz w:val="20"/>
              </w:rPr>
            </w:pPr>
            <w:r>
              <w:rPr>
                <w:spacing w:val="-2"/>
                <w:sz w:val="20"/>
              </w:rPr>
              <w:t>241,984</w:t>
            </w:r>
          </w:p>
        </w:tc>
      </w:tr>
      <w:tr>
        <w:trPr>
          <w:trHeight w:val="270" w:hRule="atLeast"/>
        </w:trPr>
        <w:tc>
          <w:tcPr>
            <w:tcW w:w="6760" w:type="dxa"/>
            <w:shd w:val="clear" w:color="auto" w:fill="CCEDFF"/>
          </w:tcPr>
          <w:p>
            <w:pPr>
              <w:pStyle w:val="TableParagraph"/>
              <w:spacing w:line="222" w:lineRule="exact"/>
              <w:ind w:left="70"/>
              <w:rPr>
                <w:sz w:val="20"/>
              </w:rPr>
            </w:pPr>
            <w:r>
              <w:rPr>
                <w:spacing w:val="-2"/>
                <w:sz w:val="20"/>
              </w:rPr>
              <w:t>Deferred:</w:t>
            </w:r>
          </w:p>
        </w:tc>
        <w:tc>
          <w:tcPr>
            <w:tcW w:w="1180" w:type="dxa"/>
            <w:tcBorders>
              <w:top w:val="single" w:sz="8" w:space="0" w:color="000000"/>
            </w:tcBorders>
            <w:shd w:val="clear" w:color="auto" w:fill="CCEDFF"/>
          </w:tcPr>
          <w:p>
            <w:pPr>
              <w:pStyle w:val="TableParagraph"/>
              <w:rPr>
                <w:sz w:val="18"/>
              </w:rPr>
            </w:pPr>
          </w:p>
        </w:tc>
        <w:tc>
          <w:tcPr>
            <w:tcW w:w="1180" w:type="dxa"/>
            <w:tcBorders>
              <w:top w:val="single" w:sz="8" w:space="0" w:color="000000"/>
            </w:tcBorders>
            <w:shd w:val="clear" w:color="auto" w:fill="CCEDFF"/>
          </w:tcPr>
          <w:p>
            <w:pPr>
              <w:pStyle w:val="TableParagraph"/>
              <w:rPr>
                <w:sz w:val="18"/>
              </w:rPr>
            </w:pPr>
          </w:p>
        </w:tc>
        <w:tc>
          <w:tcPr>
            <w:tcW w:w="1140" w:type="dxa"/>
            <w:tcBorders>
              <w:top w:val="single" w:sz="8" w:space="0" w:color="000000"/>
            </w:tcBorders>
            <w:shd w:val="clear" w:color="auto" w:fill="CCEDFF"/>
          </w:tcPr>
          <w:p>
            <w:pPr>
              <w:pStyle w:val="TableParagraph"/>
              <w:rPr>
                <w:sz w:val="18"/>
              </w:rPr>
            </w:pPr>
          </w:p>
        </w:tc>
      </w:tr>
      <w:tr>
        <w:trPr>
          <w:trHeight w:val="280" w:hRule="atLeast"/>
        </w:trPr>
        <w:tc>
          <w:tcPr>
            <w:tcW w:w="6760" w:type="dxa"/>
          </w:tcPr>
          <w:p>
            <w:pPr>
              <w:pStyle w:val="TableParagraph"/>
              <w:spacing w:before="2"/>
              <w:ind w:left="190"/>
              <w:rPr>
                <w:sz w:val="20"/>
              </w:rPr>
            </w:pPr>
            <w:r>
              <w:rPr>
                <w:sz w:val="20"/>
              </w:rPr>
              <w:t>United</w:t>
            </w:r>
            <w:r>
              <w:rPr>
                <w:spacing w:val="-3"/>
                <w:sz w:val="20"/>
              </w:rPr>
              <w:t> </w:t>
            </w:r>
            <w:r>
              <w:rPr>
                <w:sz w:val="20"/>
              </w:rPr>
              <w:t>States</w:t>
            </w:r>
            <w:r>
              <w:rPr>
                <w:spacing w:val="-3"/>
                <w:sz w:val="20"/>
              </w:rPr>
              <w:t> </w:t>
            </w:r>
            <w:r>
              <w:rPr>
                <w:spacing w:val="-2"/>
                <w:sz w:val="20"/>
              </w:rPr>
              <w:t>federal</w:t>
            </w:r>
          </w:p>
        </w:tc>
        <w:tc>
          <w:tcPr>
            <w:tcW w:w="1180" w:type="dxa"/>
          </w:tcPr>
          <w:p>
            <w:pPr>
              <w:pStyle w:val="TableParagraph"/>
              <w:spacing w:before="2"/>
              <w:ind w:right="136"/>
              <w:jc w:val="right"/>
              <w:rPr>
                <w:sz w:val="20"/>
              </w:rPr>
            </w:pPr>
            <w:r>
              <w:rPr>
                <w:spacing w:val="-2"/>
                <w:sz w:val="20"/>
              </w:rPr>
              <w:t>48,905</w:t>
            </w:r>
          </w:p>
        </w:tc>
        <w:tc>
          <w:tcPr>
            <w:tcW w:w="1180" w:type="dxa"/>
          </w:tcPr>
          <w:p>
            <w:pPr>
              <w:pStyle w:val="TableParagraph"/>
              <w:spacing w:before="2"/>
              <w:ind w:right="136"/>
              <w:jc w:val="right"/>
              <w:rPr>
                <w:sz w:val="20"/>
              </w:rPr>
            </w:pPr>
            <w:r>
              <w:rPr>
                <w:spacing w:val="-2"/>
                <w:sz w:val="20"/>
              </w:rPr>
              <w:t>33,924</w:t>
            </w:r>
          </w:p>
        </w:tc>
        <w:tc>
          <w:tcPr>
            <w:tcW w:w="1140" w:type="dxa"/>
          </w:tcPr>
          <w:p>
            <w:pPr>
              <w:pStyle w:val="TableParagraph"/>
              <w:spacing w:before="2"/>
              <w:ind w:right="8"/>
              <w:jc w:val="right"/>
              <w:rPr>
                <w:sz w:val="20"/>
              </w:rPr>
            </w:pPr>
            <w:r>
              <w:rPr>
                <w:spacing w:val="-2"/>
                <w:sz w:val="20"/>
              </w:rPr>
              <w:t>(31,011)</w:t>
            </w:r>
          </w:p>
        </w:tc>
      </w:tr>
      <w:tr>
        <w:trPr>
          <w:trHeight w:val="280" w:hRule="atLeast"/>
        </w:trPr>
        <w:tc>
          <w:tcPr>
            <w:tcW w:w="6760" w:type="dxa"/>
            <w:shd w:val="clear" w:color="auto" w:fill="CCEDFF"/>
          </w:tcPr>
          <w:p>
            <w:pPr>
              <w:pStyle w:val="TableParagraph"/>
              <w:spacing w:before="2"/>
              <w:ind w:left="190"/>
              <w:rPr>
                <w:sz w:val="20"/>
              </w:rPr>
            </w:pPr>
            <w:r>
              <w:rPr>
                <w:spacing w:val="-2"/>
                <w:sz w:val="20"/>
              </w:rPr>
              <w:t>Foreign</w:t>
            </w:r>
          </w:p>
        </w:tc>
        <w:tc>
          <w:tcPr>
            <w:tcW w:w="1180" w:type="dxa"/>
            <w:shd w:val="clear" w:color="auto" w:fill="CCEDFF"/>
          </w:tcPr>
          <w:p>
            <w:pPr>
              <w:pStyle w:val="TableParagraph"/>
              <w:spacing w:before="2"/>
              <w:ind w:right="68"/>
              <w:jc w:val="right"/>
              <w:rPr>
                <w:sz w:val="20"/>
              </w:rPr>
            </w:pPr>
            <w:r>
              <w:rPr>
                <w:spacing w:val="-2"/>
                <w:sz w:val="20"/>
              </w:rPr>
              <w:t>(4,242)</w:t>
            </w:r>
          </w:p>
        </w:tc>
        <w:tc>
          <w:tcPr>
            <w:tcW w:w="1180" w:type="dxa"/>
            <w:shd w:val="clear" w:color="auto" w:fill="CCEDFF"/>
          </w:tcPr>
          <w:p>
            <w:pPr>
              <w:pStyle w:val="TableParagraph"/>
              <w:spacing w:before="2"/>
              <w:ind w:right="68"/>
              <w:jc w:val="right"/>
              <w:rPr>
                <w:sz w:val="20"/>
              </w:rPr>
            </w:pPr>
            <w:r>
              <w:rPr>
                <w:spacing w:val="-2"/>
                <w:sz w:val="20"/>
              </w:rPr>
              <w:t>(2,751)</w:t>
            </w:r>
          </w:p>
        </w:tc>
        <w:tc>
          <w:tcPr>
            <w:tcW w:w="1140" w:type="dxa"/>
            <w:shd w:val="clear" w:color="auto" w:fill="CCEDFF"/>
          </w:tcPr>
          <w:p>
            <w:pPr>
              <w:pStyle w:val="TableParagraph"/>
              <w:spacing w:before="2"/>
              <w:ind w:right="8"/>
              <w:jc w:val="right"/>
              <w:rPr>
                <w:sz w:val="20"/>
              </w:rPr>
            </w:pPr>
            <w:r>
              <w:rPr>
                <w:spacing w:val="-2"/>
                <w:sz w:val="20"/>
              </w:rPr>
              <w:t>(9,368)</w:t>
            </w:r>
          </w:p>
        </w:tc>
      </w:tr>
      <w:tr>
        <w:trPr>
          <w:trHeight w:val="270" w:hRule="atLeast"/>
        </w:trPr>
        <w:tc>
          <w:tcPr>
            <w:tcW w:w="6760" w:type="dxa"/>
          </w:tcPr>
          <w:p>
            <w:pPr>
              <w:pStyle w:val="TableParagraph"/>
              <w:spacing w:before="2"/>
              <w:ind w:left="190"/>
              <w:rPr>
                <w:sz w:val="20"/>
              </w:rPr>
            </w:pPr>
            <w:r>
              <w:rPr>
                <w:sz w:val="20"/>
              </w:rPr>
              <w:t>State and </w:t>
            </w:r>
            <w:r>
              <w:rPr>
                <w:spacing w:val="-2"/>
                <w:sz w:val="20"/>
              </w:rPr>
              <w:t>local</w:t>
            </w:r>
          </w:p>
        </w:tc>
        <w:tc>
          <w:tcPr>
            <w:tcW w:w="1180" w:type="dxa"/>
            <w:tcBorders>
              <w:bottom w:val="single" w:sz="8" w:space="0" w:color="000000"/>
            </w:tcBorders>
          </w:tcPr>
          <w:p>
            <w:pPr>
              <w:pStyle w:val="TableParagraph"/>
              <w:spacing w:before="2"/>
              <w:ind w:right="136"/>
              <w:jc w:val="right"/>
              <w:rPr>
                <w:sz w:val="20"/>
              </w:rPr>
            </w:pPr>
            <w:r>
              <w:rPr>
                <w:spacing w:val="-2"/>
                <w:sz w:val="20"/>
              </w:rPr>
              <w:t>5,682</w:t>
            </w:r>
          </w:p>
        </w:tc>
        <w:tc>
          <w:tcPr>
            <w:tcW w:w="1180" w:type="dxa"/>
            <w:tcBorders>
              <w:bottom w:val="single" w:sz="8" w:space="0" w:color="000000"/>
            </w:tcBorders>
          </w:tcPr>
          <w:p>
            <w:pPr>
              <w:pStyle w:val="TableParagraph"/>
              <w:spacing w:before="2"/>
              <w:ind w:right="68"/>
              <w:jc w:val="right"/>
              <w:rPr>
                <w:sz w:val="20"/>
              </w:rPr>
            </w:pPr>
            <w:r>
              <w:rPr>
                <w:spacing w:val="-2"/>
                <w:sz w:val="20"/>
              </w:rPr>
              <w:t>(9,287)</w:t>
            </w:r>
          </w:p>
        </w:tc>
        <w:tc>
          <w:tcPr>
            <w:tcW w:w="1140" w:type="dxa"/>
            <w:tcBorders>
              <w:bottom w:val="single" w:sz="8" w:space="0" w:color="000000"/>
            </w:tcBorders>
          </w:tcPr>
          <w:p>
            <w:pPr>
              <w:pStyle w:val="TableParagraph"/>
              <w:spacing w:before="2"/>
              <w:ind w:right="8"/>
              <w:jc w:val="right"/>
              <w:rPr>
                <w:sz w:val="20"/>
              </w:rPr>
            </w:pPr>
            <w:r>
              <w:rPr>
                <w:spacing w:val="-2"/>
                <w:sz w:val="20"/>
              </w:rPr>
              <w:t>(25,511)</w:t>
            </w:r>
          </w:p>
        </w:tc>
      </w:tr>
      <w:tr>
        <w:trPr>
          <w:trHeight w:val="260" w:hRule="atLeast"/>
        </w:trPr>
        <w:tc>
          <w:tcPr>
            <w:tcW w:w="6760" w:type="dxa"/>
            <w:shd w:val="clear" w:color="auto" w:fill="CCEDFF"/>
          </w:tcPr>
          <w:p>
            <w:pPr>
              <w:pStyle w:val="TableParagraph"/>
              <w:spacing w:line="222" w:lineRule="exact"/>
              <w:ind w:left="70"/>
              <w:rPr>
                <w:sz w:val="20"/>
              </w:rPr>
            </w:pPr>
            <w:r>
              <w:rPr>
                <w:sz w:val="20"/>
              </w:rPr>
              <w:t>Total</w:t>
            </w:r>
            <w:r>
              <w:rPr>
                <w:spacing w:val="-7"/>
                <w:sz w:val="20"/>
              </w:rPr>
              <w:t> </w:t>
            </w:r>
            <w:r>
              <w:rPr>
                <w:spacing w:val="-2"/>
                <w:sz w:val="20"/>
              </w:rPr>
              <w:t>deferred</w:t>
            </w:r>
          </w:p>
        </w:tc>
        <w:tc>
          <w:tcPr>
            <w:tcW w:w="1180" w:type="dxa"/>
            <w:tcBorders>
              <w:top w:val="single" w:sz="8" w:space="0" w:color="000000"/>
              <w:bottom w:val="single" w:sz="8" w:space="0" w:color="000000"/>
            </w:tcBorders>
            <w:shd w:val="clear" w:color="auto" w:fill="CCEDFF"/>
          </w:tcPr>
          <w:p>
            <w:pPr>
              <w:pStyle w:val="TableParagraph"/>
              <w:spacing w:line="222" w:lineRule="exact"/>
              <w:ind w:right="136"/>
              <w:jc w:val="right"/>
              <w:rPr>
                <w:sz w:val="20"/>
              </w:rPr>
            </w:pPr>
            <w:r>
              <w:rPr>
                <w:spacing w:val="-2"/>
                <w:sz w:val="20"/>
              </w:rPr>
              <w:t>50,345</w:t>
            </w:r>
          </w:p>
        </w:tc>
        <w:tc>
          <w:tcPr>
            <w:tcW w:w="1180" w:type="dxa"/>
            <w:tcBorders>
              <w:top w:val="single" w:sz="8" w:space="0" w:color="000000"/>
              <w:bottom w:val="single" w:sz="8" w:space="0" w:color="000000"/>
            </w:tcBorders>
            <w:shd w:val="clear" w:color="auto" w:fill="CCEDFF"/>
          </w:tcPr>
          <w:p>
            <w:pPr>
              <w:pStyle w:val="TableParagraph"/>
              <w:spacing w:line="222" w:lineRule="exact"/>
              <w:ind w:right="136"/>
              <w:jc w:val="right"/>
              <w:rPr>
                <w:sz w:val="20"/>
              </w:rPr>
            </w:pPr>
            <w:r>
              <w:rPr>
                <w:spacing w:val="-2"/>
                <w:sz w:val="20"/>
              </w:rPr>
              <w:t>21,886</w:t>
            </w:r>
          </w:p>
        </w:tc>
        <w:tc>
          <w:tcPr>
            <w:tcW w:w="1140" w:type="dxa"/>
            <w:tcBorders>
              <w:top w:val="single" w:sz="8" w:space="0" w:color="000000"/>
              <w:bottom w:val="single" w:sz="8" w:space="0" w:color="000000"/>
            </w:tcBorders>
            <w:shd w:val="clear" w:color="auto" w:fill="CCEDFF"/>
          </w:tcPr>
          <w:p>
            <w:pPr>
              <w:pStyle w:val="TableParagraph"/>
              <w:spacing w:line="222" w:lineRule="exact"/>
              <w:ind w:right="8"/>
              <w:jc w:val="right"/>
              <w:rPr>
                <w:sz w:val="20"/>
              </w:rPr>
            </w:pPr>
            <w:r>
              <w:rPr>
                <w:spacing w:val="-2"/>
                <w:sz w:val="20"/>
              </w:rPr>
              <w:t>(65,890)</w:t>
            </w:r>
          </w:p>
        </w:tc>
      </w:tr>
      <w:tr>
        <w:trPr>
          <w:trHeight w:val="260" w:hRule="atLeast"/>
        </w:trPr>
        <w:tc>
          <w:tcPr>
            <w:tcW w:w="6760" w:type="dxa"/>
          </w:tcPr>
          <w:p>
            <w:pPr>
              <w:pStyle w:val="TableParagraph"/>
              <w:spacing w:line="222" w:lineRule="exact"/>
              <w:ind w:left="70"/>
              <w:rPr>
                <w:sz w:val="20"/>
              </w:rPr>
            </w:pPr>
            <w:r>
              <w:rPr>
                <w:sz w:val="20"/>
              </w:rPr>
              <w:t>Tax</w:t>
            </w:r>
            <w:r>
              <w:rPr>
                <w:spacing w:val="-3"/>
                <w:sz w:val="20"/>
              </w:rPr>
              <w:t> </w:t>
            </w:r>
            <w:r>
              <w:rPr>
                <w:sz w:val="20"/>
              </w:rPr>
              <w:t>expense</w:t>
            </w:r>
            <w:r>
              <w:rPr>
                <w:spacing w:val="-2"/>
                <w:sz w:val="20"/>
              </w:rPr>
              <w:t> </w:t>
            </w:r>
            <w:r>
              <w:rPr>
                <w:sz w:val="20"/>
              </w:rPr>
              <w:t>attributable</w:t>
            </w:r>
            <w:r>
              <w:rPr>
                <w:spacing w:val="-2"/>
                <w:sz w:val="20"/>
              </w:rPr>
              <w:t> </w:t>
            </w:r>
            <w:r>
              <w:rPr>
                <w:sz w:val="20"/>
              </w:rPr>
              <w:t>to</w:t>
            </w:r>
            <w:r>
              <w:rPr>
                <w:spacing w:val="-3"/>
                <w:sz w:val="20"/>
              </w:rPr>
              <w:t> </w:t>
            </w:r>
            <w:r>
              <w:rPr>
                <w:sz w:val="20"/>
              </w:rPr>
              <w:t>employee</w:t>
            </w:r>
            <w:r>
              <w:rPr>
                <w:spacing w:val="-2"/>
                <w:sz w:val="20"/>
              </w:rPr>
              <w:t> </w:t>
            </w:r>
            <w:r>
              <w:rPr>
                <w:sz w:val="20"/>
              </w:rPr>
              <w:t>stock</w:t>
            </w:r>
            <w:r>
              <w:rPr>
                <w:spacing w:val="-2"/>
                <w:sz w:val="20"/>
              </w:rPr>
              <w:t> plans</w:t>
            </w:r>
          </w:p>
        </w:tc>
        <w:tc>
          <w:tcPr>
            <w:tcW w:w="1180" w:type="dxa"/>
            <w:tcBorders>
              <w:top w:val="single" w:sz="8" w:space="0" w:color="000000"/>
              <w:bottom w:val="single" w:sz="8" w:space="0" w:color="000000"/>
            </w:tcBorders>
          </w:tcPr>
          <w:p>
            <w:pPr>
              <w:pStyle w:val="TableParagraph"/>
              <w:spacing w:line="222" w:lineRule="exact"/>
              <w:ind w:right="136"/>
              <w:jc w:val="right"/>
              <w:rPr>
                <w:sz w:val="20"/>
              </w:rPr>
            </w:pPr>
            <w:r>
              <w:rPr>
                <w:spacing w:val="-10"/>
                <w:sz w:val="20"/>
              </w:rPr>
              <w:t>—</w:t>
            </w:r>
          </w:p>
        </w:tc>
        <w:tc>
          <w:tcPr>
            <w:tcW w:w="1180" w:type="dxa"/>
            <w:tcBorders>
              <w:top w:val="single" w:sz="8" w:space="0" w:color="000000"/>
              <w:bottom w:val="single" w:sz="8" w:space="0" w:color="000000"/>
            </w:tcBorders>
          </w:tcPr>
          <w:p>
            <w:pPr>
              <w:pStyle w:val="TableParagraph"/>
              <w:spacing w:line="222" w:lineRule="exact"/>
              <w:ind w:right="136"/>
              <w:jc w:val="right"/>
              <w:rPr>
                <w:sz w:val="20"/>
              </w:rPr>
            </w:pPr>
            <w:r>
              <w:rPr>
                <w:spacing w:val="-2"/>
                <w:sz w:val="20"/>
              </w:rPr>
              <w:t>75,103</w:t>
            </w:r>
          </w:p>
        </w:tc>
        <w:tc>
          <w:tcPr>
            <w:tcW w:w="1140" w:type="dxa"/>
            <w:tcBorders>
              <w:top w:val="single" w:sz="8" w:space="0" w:color="000000"/>
              <w:bottom w:val="single" w:sz="8" w:space="0" w:color="000000"/>
            </w:tcBorders>
          </w:tcPr>
          <w:p>
            <w:pPr>
              <w:pStyle w:val="TableParagraph"/>
              <w:spacing w:line="222" w:lineRule="exact"/>
              <w:ind w:right="76"/>
              <w:jc w:val="right"/>
              <w:rPr>
                <w:sz w:val="20"/>
              </w:rPr>
            </w:pPr>
            <w:r>
              <w:rPr>
                <w:spacing w:val="-2"/>
                <w:sz w:val="20"/>
              </w:rPr>
              <w:t>68,136</w:t>
            </w:r>
          </w:p>
        </w:tc>
      </w:tr>
      <w:tr>
        <w:trPr>
          <w:trHeight w:val="240" w:hRule="atLeast"/>
        </w:trPr>
        <w:tc>
          <w:tcPr>
            <w:tcW w:w="6760" w:type="dxa"/>
            <w:shd w:val="clear" w:color="auto" w:fill="CCEDFF"/>
          </w:tcPr>
          <w:p>
            <w:pPr>
              <w:pStyle w:val="TableParagraph"/>
              <w:spacing w:line="220" w:lineRule="exact"/>
              <w:ind w:left="190"/>
              <w:rPr>
                <w:sz w:val="20"/>
              </w:rPr>
            </w:pPr>
            <w:r>
              <w:rPr>
                <w:sz w:val="20"/>
              </w:rPr>
              <w:t>Provision for income </w:t>
            </w:r>
            <w:r>
              <w:rPr>
                <w:spacing w:val="-2"/>
                <w:sz w:val="20"/>
              </w:rPr>
              <w:t>taxes</w:t>
            </w:r>
          </w:p>
        </w:tc>
        <w:tc>
          <w:tcPr>
            <w:tcW w:w="1180" w:type="dxa"/>
            <w:tcBorders>
              <w:top w:val="single" w:sz="8" w:space="0" w:color="000000"/>
              <w:bottom w:val="single" w:sz="8" w:space="0" w:color="000000"/>
            </w:tcBorders>
            <w:shd w:val="clear" w:color="auto" w:fill="CCEDFF"/>
          </w:tcPr>
          <w:p>
            <w:pPr>
              <w:pStyle w:val="TableParagraph"/>
              <w:tabs>
                <w:tab w:pos="392" w:val="left" w:leader="none"/>
              </w:tabs>
              <w:spacing w:line="220" w:lineRule="exact"/>
              <w:ind w:left="50"/>
              <w:rPr>
                <w:sz w:val="20"/>
              </w:rPr>
            </w:pPr>
            <w:r>
              <w:rPr>
                <w:spacing w:val="-10"/>
                <w:sz w:val="20"/>
              </w:rPr>
              <w:t>$</w:t>
            </w:r>
            <w:r>
              <w:rPr>
                <w:sz w:val="20"/>
              </w:rPr>
              <w:tab/>
            </w:r>
            <w:r>
              <w:rPr>
                <w:spacing w:val="-2"/>
                <w:sz w:val="20"/>
              </w:rPr>
              <w:t>443,687</w:t>
            </w:r>
          </w:p>
        </w:tc>
        <w:tc>
          <w:tcPr>
            <w:tcW w:w="1180" w:type="dxa"/>
            <w:tcBorders>
              <w:top w:val="single" w:sz="8" w:space="0" w:color="000000"/>
              <w:bottom w:val="single" w:sz="8" w:space="0" w:color="000000"/>
            </w:tcBorders>
            <w:shd w:val="clear" w:color="auto" w:fill="CCEDFF"/>
          </w:tcPr>
          <w:p>
            <w:pPr>
              <w:pStyle w:val="TableParagraph"/>
              <w:tabs>
                <w:tab w:pos="322" w:val="left" w:leader="none"/>
              </w:tabs>
              <w:spacing w:line="220" w:lineRule="exact"/>
              <w:ind w:right="136"/>
              <w:jc w:val="right"/>
              <w:rPr>
                <w:sz w:val="20"/>
              </w:rPr>
            </w:pPr>
            <w:r>
              <w:rPr>
                <w:spacing w:val="-10"/>
                <w:sz w:val="20"/>
              </w:rPr>
              <w:t>$</w:t>
            </w:r>
            <w:r>
              <w:rPr>
                <w:sz w:val="20"/>
              </w:rPr>
              <w:tab/>
            </w:r>
            <w:r>
              <w:rPr>
                <w:spacing w:val="-2"/>
                <w:sz w:val="20"/>
              </w:rPr>
              <w:t>266,356</w:t>
            </w:r>
          </w:p>
        </w:tc>
        <w:tc>
          <w:tcPr>
            <w:tcW w:w="1140" w:type="dxa"/>
            <w:tcBorders>
              <w:top w:val="single" w:sz="8" w:space="0" w:color="000000"/>
              <w:bottom w:val="single" w:sz="8" w:space="0" w:color="000000"/>
            </w:tcBorders>
            <w:shd w:val="clear" w:color="auto" w:fill="CCEDFF"/>
          </w:tcPr>
          <w:p>
            <w:pPr>
              <w:pStyle w:val="TableParagraph"/>
              <w:tabs>
                <w:tab w:pos="342" w:val="left" w:leader="none"/>
              </w:tabs>
              <w:spacing w:line="220" w:lineRule="exact"/>
              <w:ind w:right="76"/>
              <w:jc w:val="right"/>
              <w:rPr>
                <w:sz w:val="20"/>
              </w:rPr>
            </w:pPr>
            <w:r>
              <w:rPr>
                <w:spacing w:val="-10"/>
                <w:sz w:val="20"/>
              </w:rPr>
              <w:t>$</w:t>
            </w:r>
            <w:r>
              <w:rPr>
                <w:sz w:val="20"/>
              </w:rPr>
              <w:tab/>
            </w:r>
            <w:r>
              <w:rPr>
                <w:spacing w:val="-2"/>
                <w:sz w:val="20"/>
              </w:rPr>
              <w:t>244,230</w:t>
            </w:r>
          </w:p>
        </w:tc>
      </w:tr>
    </w:tbl>
    <w:p>
      <w:pPr>
        <w:pStyle w:val="BodyText"/>
        <w:spacing w:before="7"/>
        <w:rPr>
          <w:sz w:val="2"/>
        </w:rPr>
      </w:pPr>
    </w:p>
    <w:p>
      <w:pPr>
        <w:spacing w:line="20" w:lineRule="exact"/>
        <w:ind w:left="6970" w:right="0" w:firstLine="0"/>
        <w:jc w:val="left"/>
        <w:rPr>
          <w:sz w:val="2"/>
        </w:rPr>
      </w:pPr>
      <w:r>
        <w:rPr>
          <w:sz w:val="2"/>
        </w:rPr>
        <mc:AlternateContent>
          <mc:Choice Requires="wps">
            <w:drawing>
              <wp:inline distT="0" distB="0" distL="0" distR="0">
                <wp:extent cx="711200" cy="12700"/>
                <wp:effectExtent l="9525" t="0" r="3175" b="6350"/>
                <wp:docPr id="491" name="Group 491"/>
                <wp:cNvGraphicFramePr>
                  <a:graphicFrameLocks/>
                </wp:cNvGraphicFramePr>
                <a:graphic>
                  <a:graphicData uri="http://schemas.microsoft.com/office/word/2010/wordprocessingGroup">
                    <wpg:wgp>
                      <wpg:cNvPr id="491" name="Group 491"/>
                      <wpg:cNvGrpSpPr/>
                      <wpg:grpSpPr>
                        <a:xfrm>
                          <a:off x="0" y="0"/>
                          <a:ext cx="711200" cy="12700"/>
                          <a:chExt cx="711200" cy="12700"/>
                        </a:xfrm>
                      </wpg:grpSpPr>
                      <wps:wsp>
                        <wps:cNvPr id="492" name="Graphic 492"/>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1pt;mso-position-horizontal-relative:char;mso-position-vertical-relative:line" id="docshapegroup387" coordorigin="0,0" coordsize="1120,20">
                <v:line style="position:absolute" from="0,10" to="1120,10" stroked="true" strokeweight="1pt" strokecolor="#000000">
                  <v:stroke dashstyle="solid"/>
                </v:line>
              </v:group>
            </w:pict>
          </mc:Fallback>
        </mc:AlternateContent>
      </w:r>
      <w:r>
        <w:rPr>
          <w:sz w:val="2"/>
        </w:rPr>
      </w:r>
      <w:r>
        <w:rPr>
          <w:spacing w:val="75"/>
          <w:sz w:val="2"/>
        </w:rPr>
        <w:t> </w:t>
      </w:r>
      <w:r>
        <w:rPr>
          <w:spacing w:val="75"/>
          <w:sz w:val="2"/>
        </w:rPr>
        <mc:AlternateContent>
          <mc:Choice Requires="wps">
            <w:drawing>
              <wp:inline distT="0" distB="0" distL="0" distR="0">
                <wp:extent cx="698500" cy="12700"/>
                <wp:effectExtent l="9525" t="0" r="6350" b="6350"/>
                <wp:docPr id="493" name="Group 493"/>
                <wp:cNvGraphicFramePr>
                  <a:graphicFrameLocks/>
                </wp:cNvGraphicFramePr>
                <a:graphic>
                  <a:graphicData uri="http://schemas.microsoft.com/office/word/2010/wordprocessingGroup">
                    <wpg:wgp>
                      <wpg:cNvPr id="493" name="Group 493"/>
                      <wpg:cNvGrpSpPr/>
                      <wpg:grpSpPr>
                        <a:xfrm>
                          <a:off x="0" y="0"/>
                          <a:ext cx="698500" cy="12700"/>
                          <a:chExt cx="698500" cy="12700"/>
                        </a:xfrm>
                      </wpg:grpSpPr>
                      <wps:wsp>
                        <wps:cNvPr id="494" name="Graphic 494"/>
                        <wps:cNvSpPr/>
                        <wps:spPr>
                          <a:xfrm>
                            <a:off x="0" y="6350"/>
                            <a:ext cx="698500" cy="1270"/>
                          </a:xfrm>
                          <a:custGeom>
                            <a:avLst/>
                            <a:gdLst/>
                            <a:ahLst/>
                            <a:cxnLst/>
                            <a:rect l="l" t="t" r="r" b="b"/>
                            <a:pathLst>
                              <a:path w="698500" h="0">
                                <a:moveTo>
                                  <a:pt x="0" y="0"/>
                                </a:moveTo>
                                <a:lnTo>
                                  <a:pt x="698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1pt;mso-position-horizontal-relative:char;mso-position-vertical-relative:line" id="docshapegroup388" coordorigin="0,0" coordsize="1100,20">
                <v:line style="position:absolute" from="0,10" to="1100,10" stroked="true" strokeweight="1pt" strokecolor="#000000">
                  <v:stroke dashstyle="solid"/>
                </v:line>
              </v:group>
            </w:pict>
          </mc:Fallback>
        </mc:AlternateContent>
      </w:r>
      <w:r>
        <w:rPr>
          <w:spacing w:val="75"/>
          <w:sz w:val="2"/>
        </w:rPr>
      </w:r>
      <w:r>
        <w:rPr>
          <w:spacing w:val="70"/>
          <w:sz w:val="2"/>
        </w:rPr>
        <w:t> </w:t>
      </w:r>
      <w:r>
        <w:rPr>
          <w:spacing w:val="70"/>
          <w:sz w:val="2"/>
        </w:rPr>
        <mc:AlternateContent>
          <mc:Choice Requires="wps">
            <w:drawing>
              <wp:inline distT="0" distB="0" distL="0" distR="0">
                <wp:extent cx="711200" cy="12700"/>
                <wp:effectExtent l="9525" t="0" r="3175" b="6350"/>
                <wp:docPr id="495" name="Group 495"/>
                <wp:cNvGraphicFramePr>
                  <a:graphicFrameLocks/>
                </wp:cNvGraphicFramePr>
                <a:graphic>
                  <a:graphicData uri="http://schemas.microsoft.com/office/word/2010/wordprocessingGroup">
                    <wpg:wgp>
                      <wpg:cNvPr id="495" name="Group 495"/>
                      <wpg:cNvGrpSpPr/>
                      <wpg:grpSpPr>
                        <a:xfrm>
                          <a:off x="0" y="0"/>
                          <a:ext cx="711200" cy="12700"/>
                          <a:chExt cx="711200" cy="12700"/>
                        </a:xfrm>
                      </wpg:grpSpPr>
                      <wps:wsp>
                        <wps:cNvPr id="496" name="Graphic 496"/>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1pt;mso-position-horizontal-relative:char;mso-position-vertical-relative:line" id="docshapegroup389" coordorigin="0,0" coordsize="1120,20">
                <v:line style="position:absolute" from="0,10" to="1120,10" stroked="true" strokeweight="1pt" strokecolor="#000000">
                  <v:stroke dashstyle="solid"/>
                </v:line>
              </v:group>
            </w:pict>
          </mc:Fallback>
        </mc:AlternateContent>
      </w:r>
      <w:r>
        <w:rPr>
          <w:spacing w:val="70"/>
          <w:sz w:val="2"/>
        </w:rPr>
      </w:r>
    </w:p>
    <w:p>
      <w:pPr>
        <w:spacing w:line="249" w:lineRule="auto" w:before="183"/>
        <w:ind w:left="220" w:right="259" w:firstLine="540"/>
        <w:jc w:val="both"/>
        <w:rPr>
          <w:i/>
          <w:sz w:val="20"/>
        </w:rPr>
      </w:pPr>
      <w:hyperlink w:history="true" w:anchor="_bookmark21">
        <w:r>
          <w:rPr>
            <w:i/>
            <w:sz w:val="20"/>
          </w:rPr>
          <w:t>See Note 1 to the Consolidated Financial Statements for further information on our adoption of ASU No. 2016-09,</w:t>
        </w:r>
      </w:hyperlink>
      <w:r>
        <w:rPr>
          <w:i/>
          <w:sz w:val="20"/>
        </w:rPr>
        <w:t> </w:t>
      </w:r>
      <w:hyperlink w:history="true" w:anchor="_bookmark21">
        <w:r>
          <w:rPr>
            <w:i/>
            <w:sz w:val="20"/>
          </w:rPr>
          <w:t>Improvements to Employee Share-Based Payment Accounting.</w:t>
        </w:r>
      </w:hyperlink>
    </w:p>
    <w:p>
      <w:pPr>
        <w:spacing w:after="0" w:line="249" w:lineRule="auto"/>
        <w:jc w:val="both"/>
        <w:rPr>
          <w:sz w:val="20"/>
        </w:rPr>
        <w:sectPr>
          <w:pgSz w:w="12240" w:h="15840"/>
          <w:pgMar w:header="210" w:footer="610" w:top="1380" w:bottom="800" w:left="780" w:right="740"/>
        </w:sectPr>
      </w:pPr>
    </w:p>
    <w:p>
      <w:pPr>
        <w:pStyle w:val="BodyText"/>
        <w:rPr>
          <w:i/>
        </w:rPr>
      </w:pPr>
    </w:p>
    <w:p>
      <w:pPr>
        <w:pStyle w:val="BodyText"/>
        <w:rPr>
          <w:i/>
        </w:rPr>
      </w:pPr>
    </w:p>
    <w:p>
      <w:pPr>
        <w:pStyle w:val="BodyText"/>
        <w:spacing w:before="30"/>
        <w:rPr>
          <w:i/>
        </w:rPr>
      </w:pPr>
    </w:p>
    <w:p>
      <w:pPr>
        <w:pStyle w:val="BodyText"/>
        <w:spacing w:line="249" w:lineRule="auto"/>
        <w:ind w:left="220" w:right="328" w:firstLine="540"/>
        <w:jc w:val="both"/>
      </w:pPr>
      <w:r>
        <w:rPr/>
        <w:t>Total</w:t>
      </w:r>
      <w:r>
        <w:rPr>
          <w:spacing w:val="-4"/>
        </w:rPr>
        <w:t> </w:t>
      </w:r>
      <w:r>
        <w:rPr/>
        <w:t>income</w:t>
      </w:r>
      <w:r>
        <w:rPr>
          <w:spacing w:val="-4"/>
        </w:rPr>
        <w:t> </w:t>
      </w:r>
      <w:r>
        <w:rPr/>
        <w:t>tax</w:t>
      </w:r>
      <w:r>
        <w:rPr>
          <w:spacing w:val="-4"/>
        </w:rPr>
        <w:t> </w:t>
      </w:r>
      <w:r>
        <w:rPr/>
        <w:t>expense</w:t>
      </w:r>
      <w:r>
        <w:rPr>
          <w:spacing w:val="-4"/>
        </w:rPr>
        <w:t> </w:t>
      </w:r>
      <w:r>
        <w:rPr/>
        <w:t>differs</w:t>
      </w:r>
      <w:r>
        <w:rPr>
          <w:spacing w:val="-5"/>
        </w:rPr>
        <w:t> </w:t>
      </w:r>
      <w:r>
        <w:rPr/>
        <w:t>from</w:t>
      </w:r>
      <w:r>
        <w:rPr>
          <w:spacing w:val="-4"/>
        </w:rPr>
        <w:t> </w:t>
      </w:r>
      <w:r>
        <w:rPr/>
        <w:t>the</w:t>
      </w:r>
      <w:r>
        <w:rPr>
          <w:spacing w:val="-4"/>
        </w:rPr>
        <w:t> </w:t>
      </w:r>
      <w:r>
        <w:rPr/>
        <w:t>expected</w:t>
      </w:r>
      <w:r>
        <w:rPr>
          <w:spacing w:val="-4"/>
        </w:rPr>
        <w:t> </w:t>
      </w:r>
      <w:r>
        <w:rPr/>
        <w:t>tax</w:t>
      </w:r>
      <w:r>
        <w:rPr>
          <w:spacing w:val="-4"/>
        </w:rPr>
        <w:t> </w:t>
      </w:r>
      <w:r>
        <w:rPr/>
        <w:t>expense</w:t>
      </w:r>
      <w:r>
        <w:rPr>
          <w:spacing w:val="-4"/>
        </w:rPr>
        <w:t> </w:t>
      </w:r>
      <w:r>
        <w:rPr/>
        <w:t>(computed</w:t>
      </w:r>
      <w:r>
        <w:rPr>
          <w:spacing w:val="-4"/>
        </w:rPr>
        <w:t> </w:t>
      </w:r>
      <w:r>
        <w:rPr/>
        <w:t>by</w:t>
      </w:r>
      <w:r>
        <w:rPr>
          <w:spacing w:val="-4"/>
        </w:rPr>
        <w:t> </w:t>
      </w:r>
      <w:r>
        <w:rPr/>
        <w:t>multiplying</w:t>
      </w:r>
      <w:r>
        <w:rPr>
          <w:spacing w:val="-4"/>
        </w:rPr>
        <w:t> </w:t>
      </w:r>
      <w:r>
        <w:rPr/>
        <w:t>the</w:t>
      </w:r>
      <w:r>
        <w:rPr>
          <w:spacing w:val="-4"/>
        </w:rPr>
        <w:t> </w:t>
      </w:r>
      <w:r>
        <w:rPr/>
        <w:t>U.S.</w:t>
      </w:r>
      <w:r>
        <w:rPr>
          <w:spacing w:val="-4"/>
        </w:rPr>
        <w:t> </w:t>
      </w:r>
      <w:r>
        <w:rPr/>
        <w:t>federal</w:t>
      </w:r>
      <w:r>
        <w:rPr>
          <w:spacing w:val="-4"/>
        </w:rPr>
        <w:t> </w:t>
      </w:r>
      <w:r>
        <w:rPr/>
        <w:t>statutory</w:t>
      </w:r>
      <w:r>
        <w:rPr>
          <w:spacing w:val="-4"/>
        </w:rPr>
        <w:t> </w:t>
      </w:r>
      <w:r>
        <w:rPr/>
        <w:t>rate of 35% by income before income taxes) as a result of the following (in thousands):</w:t>
      </w:r>
    </w:p>
    <w:p>
      <w:pPr>
        <w:pStyle w:val="BodyText"/>
        <w:spacing w:before="161"/>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30"/>
        <w:gridCol w:w="1389"/>
        <w:gridCol w:w="1180"/>
        <w:gridCol w:w="1140"/>
      </w:tblGrid>
      <w:tr>
        <w:trPr>
          <w:trHeight w:val="217" w:hRule="atLeast"/>
        </w:trPr>
        <w:tc>
          <w:tcPr>
            <w:tcW w:w="6530" w:type="dxa"/>
          </w:tcPr>
          <w:p>
            <w:pPr>
              <w:pStyle w:val="TableParagraph"/>
              <w:rPr>
                <w:sz w:val="14"/>
              </w:rPr>
            </w:pPr>
          </w:p>
        </w:tc>
        <w:tc>
          <w:tcPr>
            <w:tcW w:w="1389" w:type="dxa"/>
            <w:tcBorders>
              <w:bottom w:val="single" w:sz="8" w:space="0" w:color="000000"/>
            </w:tcBorders>
          </w:tcPr>
          <w:p>
            <w:pPr>
              <w:pStyle w:val="TableParagraph"/>
              <w:spacing w:line="177" w:lineRule="exact"/>
              <w:ind w:left="131"/>
              <w:jc w:val="center"/>
              <w:rPr>
                <w:b/>
                <w:sz w:val="16"/>
              </w:rPr>
            </w:pPr>
            <w:r>
              <w:rPr>
                <w:b/>
                <w:spacing w:val="-4"/>
                <w:sz w:val="16"/>
              </w:rPr>
              <w:t>2017</w:t>
            </w:r>
          </w:p>
        </w:tc>
        <w:tc>
          <w:tcPr>
            <w:tcW w:w="1180" w:type="dxa"/>
            <w:tcBorders>
              <w:bottom w:val="single" w:sz="8" w:space="0" w:color="000000"/>
            </w:tcBorders>
          </w:tcPr>
          <w:p>
            <w:pPr>
              <w:pStyle w:val="TableParagraph"/>
              <w:spacing w:line="177" w:lineRule="exact"/>
              <w:ind w:left="8" w:right="65"/>
              <w:jc w:val="center"/>
              <w:rPr>
                <w:b/>
                <w:sz w:val="16"/>
              </w:rPr>
            </w:pPr>
            <w:r>
              <w:rPr>
                <w:b/>
                <w:spacing w:val="-4"/>
                <w:sz w:val="16"/>
              </w:rPr>
              <w:t>2016</w:t>
            </w:r>
          </w:p>
        </w:tc>
        <w:tc>
          <w:tcPr>
            <w:tcW w:w="1140" w:type="dxa"/>
            <w:tcBorders>
              <w:bottom w:val="single" w:sz="8" w:space="0" w:color="000000"/>
            </w:tcBorders>
          </w:tcPr>
          <w:p>
            <w:pPr>
              <w:pStyle w:val="TableParagraph"/>
              <w:spacing w:line="177" w:lineRule="exact"/>
              <w:ind w:left="2"/>
              <w:jc w:val="center"/>
              <w:rPr>
                <w:b/>
                <w:sz w:val="16"/>
              </w:rPr>
            </w:pPr>
            <w:r>
              <w:rPr>
                <w:b/>
                <w:spacing w:val="-4"/>
                <w:sz w:val="16"/>
              </w:rPr>
              <w:t>2015</w:t>
            </w:r>
          </w:p>
        </w:tc>
      </w:tr>
      <w:tr>
        <w:trPr>
          <w:trHeight w:val="270" w:hRule="atLeast"/>
        </w:trPr>
        <w:tc>
          <w:tcPr>
            <w:tcW w:w="6530" w:type="dxa"/>
            <w:shd w:val="clear" w:color="auto" w:fill="CCEDFF"/>
          </w:tcPr>
          <w:p>
            <w:pPr>
              <w:pStyle w:val="TableParagraph"/>
              <w:spacing w:line="222" w:lineRule="exact"/>
              <w:ind w:left="50"/>
              <w:rPr>
                <w:sz w:val="20"/>
              </w:rPr>
            </w:pPr>
            <w:r>
              <w:rPr>
                <w:sz w:val="20"/>
              </w:rPr>
              <w:t>Computed “expected” tax </w:t>
            </w:r>
            <w:r>
              <w:rPr>
                <w:spacing w:val="-2"/>
                <w:sz w:val="20"/>
              </w:rPr>
              <w:t>expense</w:t>
            </w:r>
          </w:p>
        </w:tc>
        <w:tc>
          <w:tcPr>
            <w:tcW w:w="1389" w:type="dxa"/>
            <w:tcBorders>
              <w:top w:val="single" w:sz="8" w:space="0" w:color="000000"/>
            </w:tcBorders>
            <w:shd w:val="clear" w:color="auto" w:fill="CCEDFF"/>
          </w:tcPr>
          <w:p>
            <w:pPr>
              <w:pStyle w:val="TableParagraph"/>
              <w:tabs>
                <w:tab w:pos="602" w:val="left" w:leader="none"/>
              </w:tabs>
              <w:spacing w:line="222" w:lineRule="exact"/>
              <w:ind w:left="260"/>
              <w:rPr>
                <w:sz w:val="20"/>
              </w:rPr>
            </w:pPr>
            <w:r>
              <w:rPr>
                <w:spacing w:val="-10"/>
                <w:sz w:val="20"/>
              </w:rPr>
              <w:t>$</w:t>
            </w:r>
            <w:r>
              <w:rPr>
                <w:sz w:val="20"/>
              </w:rPr>
              <w:tab/>
            </w:r>
            <w:r>
              <w:rPr>
                <w:spacing w:val="-2"/>
                <w:sz w:val="20"/>
              </w:rPr>
              <w:t>748,174</w:t>
            </w:r>
          </w:p>
        </w:tc>
        <w:tc>
          <w:tcPr>
            <w:tcW w:w="1180" w:type="dxa"/>
            <w:tcBorders>
              <w:top w:val="single" w:sz="8" w:space="0" w:color="000000"/>
            </w:tcBorders>
            <w:shd w:val="clear" w:color="auto" w:fill="CCEDFF"/>
          </w:tcPr>
          <w:p>
            <w:pPr>
              <w:pStyle w:val="TableParagraph"/>
              <w:tabs>
                <w:tab w:pos="322" w:val="left" w:leader="none"/>
              </w:tabs>
              <w:spacing w:line="222" w:lineRule="exact"/>
              <w:ind w:right="135"/>
              <w:jc w:val="right"/>
              <w:rPr>
                <w:sz w:val="20"/>
              </w:rPr>
            </w:pPr>
            <w:r>
              <w:rPr>
                <w:spacing w:val="-10"/>
                <w:sz w:val="20"/>
              </w:rPr>
              <w:t>$</w:t>
            </w:r>
            <w:r>
              <w:rPr>
                <w:sz w:val="20"/>
              </w:rPr>
              <w:tab/>
            </w:r>
            <w:r>
              <w:rPr>
                <w:spacing w:val="-2"/>
                <w:sz w:val="20"/>
              </w:rPr>
              <w:t>502,298</w:t>
            </w:r>
          </w:p>
        </w:tc>
        <w:tc>
          <w:tcPr>
            <w:tcW w:w="1140" w:type="dxa"/>
            <w:tcBorders>
              <w:top w:val="single" w:sz="8" w:space="0" w:color="000000"/>
            </w:tcBorders>
            <w:shd w:val="clear" w:color="auto" w:fill="CCEDFF"/>
          </w:tcPr>
          <w:p>
            <w:pPr>
              <w:pStyle w:val="TableParagraph"/>
              <w:tabs>
                <w:tab w:pos="342" w:val="left" w:leader="none"/>
              </w:tabs>
              <w:spacing w:line="222" w:lineRule="exact"/>
              <w:ind w:right="75"/>
              <w:jc w:val="right"/>
              <w:rPr>
                <w:sz w:val="20"/>
              </w:rPr>
            </w:pPr>
            <w:r>
              <w:rPr>
                <w:spacing w:val="-10"/>
                <w:sz w:val="20"/>
              </w:rPr>
              <w:t>$</w:t>
            </w:r>
            <w:r>
              <w:rPr>
                <w:sz w:val="20"/>
              </w:rPr>
              <w:tab/>
            </w:r>
            <w:r>
              <w:rPr>
                <w:spacing w:val="-2"/>
                <w:sz w:val="20"/>
              </w:rPr>
              <w:t>305,824</w:t>
            </w:r>
          </w:p>
        </w:tc>
      </w:tr>
      <w:tr>
        <w:trPr>
          <w:trHeight w:val="280" w:hRule="atLeast"/>
        </w:trPr>
        <w:tc>
          <w:tcPr>
            <w:tcW w:w="6530" w:type="dxa"/>
          </w:tcPr>
          <w:p>
            <w:pPr>
              <w:pStyle w:val="TableParagraph"/>
              <w:spacing w:before="2"/>
              <w:ind w:left="50"/>
              <w:rPr>
                <w:sz w:val="20"/>
              </w:rPr>
            </w:pPr>
            <w:r>
              <w:rPr>
                <w:sz w:val="20"/>
              </w:rPr>
              <w:t>State tax expense, net of federal </w:t>
            </w:r>
            <w:r>
              <w:rPr>
                <w:spacing w:val="-2"/>
                <w:sz w:val="20"/>
              </w:rPr>
              <w:t>benefit</w:t>
            </w:r>
          </w:p>
        </w:tc>
        <w:tc>
          <w:tcPr>
            <w:tcW w:w="1389" w:type="dxa"/>
          </w:tcPr>
          <w:p>
            <w:pPr>
              <w:pStyle w:val="TableParagraph"/>
              <w:spacing w:before="2"/>
              <w:ind w:right="135"/>
              <w:jc w:val="right"/>
              <w:rPr>
                <w:sz w:val="20"/>
              </w:rPr>
            </w:pPr>
            <w:r>
              <w:rPr>
                <w:spacing w:val="-2"/>
                <w:sz w:val="20"/>
              </w:rPr>
              <w:t>25,131</w:t>
            </w:r>
          </w:p>
        </w:tc>
        <w:tc>
          <w:tcPr>
            <w:tcW w:w="1180" w:type="dxa"/>
          </w:tcPr>
          <w:p>
            <w:pPr>
              <w:pStyle w:val="TableParagraph"/>
              <w:spacing w:before="2"/>
              <w:ind w:right="135"/>
              <w:jc w:val="right"/>
              <w:rPr>
                <w:sz w:val="20"/>
              </w:rPr>
            </w:pPr>
            <w:r>
              <w:rPr>
                <w:spacing w:val="-2"/>
                <w:sz w:val="20"/>
              </w:rPr>
              <w:t>10,636</w:t>
            </w:r>
          </w:p>
        </w:tc>
        <w:tc>
          <w:tcPr>
            <w:tcW w:w="1140" w:type="dxa"/>
          </w:tcPr>
          <w:p>
            <w:pPr>
              <w:pStyle w:val="TableParagraph"/>
              <w:spacing w:before="2"/>
              <w:ind w:right="7"/>
              <w:jc w:val="right"/>
              <w:rPr>
                <w:sz w:val="20"/>
              </w:rPr>
            </w:pPr>
            <w:r>
              <w:rPr>
                <w:spacing w:val="-2"/>
                <w:sz w:val="20"/>
              </w:rPr>
              <w:t>(8,316)</w:t>
            </w:r>
          </w:p>
        </w:tc>
      </w:tr>
      <w:tr>
        <w:trPr>
          <w:trHeight w:val="300" w:hRule="atLeast"/>
        </w:trPr>
        <w:tc>
          <w:tcPr>
            <w:tcW w:w="6530" w:type="dxa"/>
            <w:shd w:val="clear" w:color="auto" w:fill="CCEDFF"/>
          </w:tcPr>
          <w:p>
            <w:pPr>
              <w:pStyle w:val="TableParagraph"/>
              <w:spacing w:before="20"/>
              <w:ind w:left="50"/>
              <w:rPr>
                <w:sz w:val="20"/>
              </w:rPr>
            </w:pPr>
            <w:r>
              <w:rPr>
                <w:sz w:val="20"/>
              </w:rPr>
              <w:t>Tax</w:t>
            </w:r>
            <w:r>
              <w:rPr>
                <w:spacing w:val="-7"/>
                <w:sz w:val="20"/>
              </w:rPr>
              <w:t> </w:t>
            </w:r>
            <w:r>
              <w:rPr>
                <w:spacing w:val="-2"/>
                <w:sz w:val="20"/>
              </w:rPr>
              <w:t>credits</w:t>
            </w:r>
          </w:p>
        </w:tc>
        <w:tc>
          <w:tcPr>
            <w:tcW w:w="1389" w:type="dxa"/>
            <w:shd w:val="clear" w:color="auto" w:fill="CCEDFF"/>
          </w:tcPr>
          <w:p>
            <w:pPr>
              <w:pStyle w:val="TableParagraph"/>
              <w:spacing w:before="20"/>
              <w:ind w:right="67"/>
              <w:jc w:val="right"/>
              <w:rPr>
                <w:sz w:val="20"/>
              </w:rPr>
            </w:pPr>
            <w:r>
              <w:rPr>
                <w:spacing w:val="-2"/>
                <w:sz w:val="20"/>
              </w:rPr>
              <w:t>(38,000)</w:t>
            </w:r>
          </w:p>
        </w:tc>
        <w:tc>
          <w:tcPr>
            <w:tcW w:w="1180" w:type="dxa"/>
            <w:shd w:val="clear" w:color="auto" w:fill="CCEDFF"/>
          </w:tcPr>
          <w:p>
            <w:pPr>
              <w:pStyle w:val="TableParagraph"/>
              <w:spacing w:before="20"/>
              <w:ind w:right="67"/>
              <w:jc w:val="right"/>
              <w:rPr>
                <w:sz w:val="20"/>
              </w:rPr>
            </w:pPr>
            <w:r>
              <w:rPr>
                <w:spacing w:val="-2"/>
                <w:sz w:val="20"/>
              </w:rPr>
              <w:t>(48,383)</w:t>
            </w:r>
          </w:p>
        </w:tc>
        <w:tc>
          <w:tcPr>
            <w:tcW w:w="1140" w:type="dxa"/>
            <w:shd w:val="clear" w:color="auto" w:fill="CCEDFF"/>
          </w:tcPr>
          <w:p>
            <w:pPr>
              <w:pStyle w:val="TableParagraph"/>
              <w:spacing w:before="20"/>
              <w:ind w:right="7"/>
              <w:jc w:val="right"/>
              <w:rPr>
                <w:sz w:val="20"/>
              </w:rPr>
            </w:pPr>
            <w:r>
              <w:rPr>
                <w:spacing w:val="-2"/>
                <w:sz w:val="20"/>
              </w:rPr>
              <w:t>(25,967)</w:t>
            </w:r>
          </w:p>
        </w:tc>
      </w:tr>
      <w:tr>
        <w:trPr>
          <w:trHeight w:val="280" w:hRule="atLeast"/>
        </w:trPr>
        <w:tc>
          <w:tcPr>
            <w:tcW w:w="6530" w:type="dxa"/>
          </w:tcPr>
          <w:p>
            <w:pPr>
              <w:pStyle w:val="TableParagraph"/>
              <w:spacing w:before="2"/>
              <w:ind w:left="50"/>
              <w:rPr>
                <w:sz w:val="20"/>
              </w:rPr>
            </w:pPr>
            <w:r>
              <w:rPr>
                <w:sz w:val="20"/>
              </w:rPr>
              <w:t>Differences</w:t>
            </w:r>
            <w:r>
              <w:rPr>
                <w:spacing w:val="-3"/>
                <w:sz w:val="20"/>
              </w:rPr>
              <w:t> </w:t>
            </w:r>
            <w:r>
              <w:rPr>
                <w:sz w:val="20"/>
              </w:rPr>
              <w:t>between</w:t>
            </w:r>
            <w:r>
              <w:rPr>
                <w:spacing w:val="-2"/>
                <w:sz w:val="20"/>
              </w:rPr>
              <w:t> </w:t>
            </w:r>
            <w:r>
              <w:rPr>
                <w:sz w:val="20"/>
              </w:rPr>
              <w:t>statutory</w:t>
            </w:r>
            <w:r>
              <w:rPr>
                <w:spacing w:val="-1"/>
                <w:sz w:val="20"/>
              </w:rPr>
              <w:t> </w:t>
            </w:r>
            <w:r>
              <w:rPr>
                <w:sz w:val="20"/>
              </w:rPr>
              <w:t>rate</w:t>
            </w:r>
            <w:r>
              <w:rPr>
                <w:spacing w:val="-2"/>
                <w:sz w:val="20"/>
              </w:rPr>
              <w:t> </w:t>
            </w:r>
            <w:r>
              <w:rPr>
                <w:sz w:val="20"/>
              </w:rPr>
              <w:t>and</w:t>
            </w:r>
            <w:r>
              <w:rPr>
                <w:spacing w:val="-2"/>
                <w:sz w:val="20"/>
              </w:rPr>
              <w:t> </w:t>
            </w:r>
            <w:r>
              <w:rPr>
                <w:sz w:val="20"/>
              </w:rPr>
              <w:t>foreign</w:t>
            </w:r>
            <w:r>
              <w:rPr>
                <w:spacing w:val="-1"/>
                <w:sz w:val="20"/>
              </w:rPr>
              <w:t> </w:t>
            </w:r>
            <w:r>
              <w:rPr>
                <w:sz w:val="20"/>
              </w:rPr>
              <w:t>effective</w:t>
            </w:r>
            <w:r>
              <w:rPr>
                <w:spacing w:val="-2"/>
                <w:sz w:val="20"/>
              </w:rPr>
              <w:t> </w:t>
            </w:r>
            <w:r>
              <w:rPr>
                <w:sz w:val="20"/>
              </w:rPr>
              <w:t>tax</w:t>
            </w:r>
            <w:r>
              <w:rPr>
                <w:spacing w:val="-1"/>
                <w:sz w:val="20"/>
              </w:rPr>
              <w:t> </w:t>
            </w:r>
            <w:r>
              <w:rPr>
                <w:spacing w:val="-4"/>
                <w:sz w:val="20"/>
              </w:rPr>
              <w:t>rate</w:t>
            </w:r>
          </w:p>
        </w:tc>
        <w:tc>
          <w:tcPr>
            <w:tcW w:w="1389" w:type="dxa"/>
          </w:tcPr>
          <w:p>
            <w:pPr>
              <w:pStyle w:val="TableParagraph"/>
              <w:spacing w:before="2"/>
              <w:ind w:right="67"/>
              <w:jc w:val="right"/>
              <w:rPr>
                <w:sz w:val="20"/>
              </w:rPr>
            </w:pPr>
            <w:r>
              <w:rPr>
                <w:spacing w:val="-2"/>
                <w:sz w:val="20"/>
              </w:rPr>
              <w:t>(215,490)</w:t>
            </w:r>
          </w:p>
        </w:tc>
        <w:tc>
          <w:tcPr>
            <w:tcW w:w="1180" w:type="dxa"/>
          </w:tcPr>
          <w:p>
            <w:pPr>
              <w:pStyle w:val="TableParagraph"/>
              <w:spacing w:before="2"/>
              <w:ind w:right="67"/>
              <w:jc w:val="right"/>
              <w:rPr>
                <w:sz w:val="20"/>
              </w:rPr>
            </w:pPr>
            <w:r>
              <w:rPr>
                <w:spacing w:val="-2"/>
                <w:sz w:val="20"/>
              </w:rPr>
              <w:t>(133,778)</w:t>
            </w:r>
          </w:p>
        </w:tc>
        <w:tc>
          <w:tcPr>
            <w:tcW w:w="1140" w:type="dxa"/>
          </w:tcPr>
          <w:p>
            <w:pPr>
              <w:pStyle w:val="TableParagraph"/>
              <w:spacing w:before="2"/>
              <w:ind w:right="7"/>
              <w:jc w:val="right"/>
              <w:rPr>
                <w:sz w:val="20"/>
              </w:rPr>
            </w:pPr>
            <w:r>
              <w:rPr>
                <w:spacing w:val="-2"/>
                <w:sz w:val="20"/>
              </w:rPr>
              <w:t>(90,063)</w:t>
            </w:r>
          </w:p>
        </w:tc>
      </w:tr>
      <w:tr>
        <w:trPr>
          <w:trHeight w:val="280" w:hRule="atLeast"/>
        </w:trPr>
        <w:tc>
          <w:tcPr>
            <w:tcW w:w="6530" w:type="dxa"/>
            <w:shd w:val="clear" w:color="auto" w:fill="CCEDFF"/>
          </w:tcPr>
          <w:p>
            <w:pPr>
              <w:pStyle w:val="TableParagraph"/>
              <w:spacing w:before="2"/>
              <w:ind w:left="50"/>
              <w:rPr>
                <w:sz w:val="20"/>
              </w:rPr>
            </w:pPr>
            <w:r>
              <w:rPr>
                <w:sz w:val="20"/>
              </w:rPr>
              <w:t>Stock-based compensation, net of tax </w:t>
            </w:r>
            <w:r>
              <w:rPr>
                <w:spacing w:val="-2"/>
                <w:sz w:val="20"/>
              </w:rPr>
              <w:t>deduction</w:t>
            </w:r>
          </w:p>
        </w:tc>
        <w:tc>
          <w:tcPr>
            <w:tcW w:w="1389" w:type="dxa"/>
            <w:shd w:val="clear" w:color="auto" w:fill="CCEDFF"/>
          </w:tcPr>
          <w:p>
            <w:pPr>
              <w:pStyle w:val="TableParagraph"/>
              <w:spacing w:before="2"/>
              <w:ind w:right="67"/>
              <w:jc w:val="right"/>
              <w:rPr>
                <w:sz w:val="20"/>
              </w:rPr>
            </w:pPr>
            <w:r>
              <w:rPr>
                <w:spacing w:val="-2"/>
                <w:sz w:val="20"/>
              </w:rPr>
              <w:t>(42,512)</w:t>
            </w:r>
          </w:p>
        </w:tc>
        <w:tc>
          <w:tcPr>
            <w:tcW w:w="1180" w:type="dxa"/>
            <w:shd w:val="clear" w:color="auto" w:fill="CCEDFF"/>
          </w:tcPr>
          <w:p>
            <w:pPr>
              <w:pStyle w:val="TableParagraph"/>
              <w:spacing w:before="2"/>
              <w:ind w:right="135"/>
              <w:jc w:val="right"/>
              <w:rPr>
                <w:sz w:val="20"/>
              </w:rPr>
            </w:pPr>
            <w:r>
              <w:rPr>
                <w:spacing w:val="-2"/>
                <w:sz w:val="20"/>
              </w:rPr>
              <w:t>15,101</w:t>
            </w:r>
          </w:p>
        </w:tc>
        <w:tc>
          <w:tcPr>
            <w:tcW w:w="1140" w:type="dxa"/>
            <w:shd w:val="clear" w:color="auto" w:fill="CCEDFF"/>
          </w:tcPr>
          <w:p>
            <w:pPr>
              <w:pStyle w:val="TableParagraph"/>
              <w:spacing w:before="2"/>
              <w:ind w:right="75"/>
              <w:jc w:val="right"/>
              <w:rPr>
                <w:sz w:val="20"/>
              </w:rPr>
            </w:pPr>
            <w:r>
              <w:rPr>
                <w:spacing w:val="-2"/>
                <w:sz w:val="20"/>
              </w:rPr>
              <w:t>9,623</w:t>
            </w:r>
          </w:p>
        </w:tc>
      </w:tr>
      <w:tr>
        <w:trPr>
          <w:trHeight w:val="280" w:hRule="atLeast"/>
        </w:trPr>
        <w:tc>
          <w:tcPr>
            <w:tcW w:w="6530" w:type="dxa"/>
          </w:tcPr>
          <w:p>
            <w:pPr>
              <w:pStyle w:val="TableParagraph"/>
              <w:spacing w:before="2"/>
              <w:ind w:left="50"/>
              <w:rPr>
                <w:sz w:val="20"/>
              </w:rPr>
            </w:pPr>
            <w:r>
              <w:rPr>
                <w:sz w:val="20"/>
              </w:rPr>
              <w:t>Resolution of income tax </w:t>
            </w:r>
            <w:r>
              <w:rPr>
                <w:spacing w:val="-2"/>
                <w:sz w:val="20"/>
              </w:rPr>
              <w:t>examinations</w:t>
            </w:r>
          </w:p>
        </w:tc>
        <w:tc>
          <w:tcPr>
            <w:tcW w:w="1389" w:type="dxa"/>
          </w:tcPr>
          <w:p>
            <w:pPr>
              <w:pStyle w:val="TableParagraph"/>
              <w:spacing w:before="2"/>
              <w:ind w:right="67"/>
              <w:jc w:val="right"/>
              <w:rPr>
                <w:sz w:val="20"/>
              </w:rPr>
            </w:pPr>
            <w:r>
              <w:rPr>
                <w:spacing w:val="-2"/>
                <w:sz w:val="20"/>
              </w:rPr>
              <w:t>(31,358)</w:t>
            </w:r>
          </w:p>
        </w:tc>
        <w:tc>
          <w:tcPr>
            <w:tcW w:w="1180" w:type="dxa"/>
          </w:tcPr>
          <w:p>
            <w:pPr>
              <w:pStyle w:val="TableParagraph"/>
              <w:spacing w:before="2"/>
              <w:ind w:right="67"/>
              <w:jc w:val="right"/>
              <w:rPr>
                <w:sz w:val="20"/>
              </w:rPr>
            </w:pPr>
            <w:r>
              <w:rPr>
                <w:spacing w:val="-2"/>
                <w:sz w:val="20"/>
              </w:rPr>
              <w:t>(68,003)</w:t>
            </w:r>
          </w:p>
        </w:tc>
        <w:tc>
          <w:tcPr>
            <w:tcW w:w="1140" w:type="dxa"/>
          </w:tcPr>
          <w:p>
            <w:pPr>
              <w:pStyle w:val="TableParagraph"/>
              <w:spacing w:before="2"/>
              <w:ind w:right="7"/>
              <w:jc w:val="right"/>
              <w:rPr>
                <w:sz w:val="20"/>
              </w:rPr>
            </w:pPr>
            <w:r>
              <w:rPr>
                <w:spacing w:val="-2"/>
                <w:sz w:val="20"/>
              </w:rPr>
              <w:t>(17,595)</w:t>
            </w:r>
          </w:p>
        </w:tc>
      </w:tr>
      <w:tr>
        <w:trPr>
          <w:trHeight w:val="280" w:hRule="atLeast"/>
        </w:trPr>
        <w:tc>
          <w:tcPr>
            <w:tcW w:w="6530" w:type="dxa"/>
            <w:shd w:val="clear" w:color="auto" w:fill="CCEDFF"/>
          </w:tcPr>
          <w:p>
            <w:pPr>
              <w:pStyle w:val="TableParagraph"/>
              <w:spacing w:before="2"/>
              <w:ind w:left="50"/>
              <w:rPr>
                <w:sz w:val="20"/>
              </w:rPr>
            </w:pPr>
            <w:r>
              <w:rPr>
                <w:sz w:val="20"/>
              </w:rPr>
              <w:t>Domestic manufacturing deduction </w:t>
            </w:r>
            <w:r>
              <w:rPr>
                <w:spacing w:val="-2"/>
                <w:sz w:val="20"/>
              </w:rPr>
              <w:t>benefit</w:t>
            </w:r>
          </w:p>
        </w:tc>
        <w:tc>
          <w:tcPr>
            <w:tcW w:w="1389" w:type="dxa"/>
            <w:shd w:val="clear" w:color="auto" w:fill="CCEDFF"/>
          </w:tcPr>
          <w:p>
            <w:pPr>
              <w:pStyle w:val="TableParagraph"/>
              <w:spacing w:before="2"/>
              <w:ind w:right="67"/>
              <w:jc w:val="right"/>
              <w:rPr>
                <w:sz w:val="20"/>
              </w:rPr>
            </w:pPr>
            <w:r>
              <w:rPr>
                <w:spacing w:val="-2"/>
                <w:sz w:val="20"/>
              </w:rPr>
              <w:t>(32,200)</w:t>
            </w:r>
          </w:p>
        </w:tc>
        <w:tc>
          <w:tcPr>
            <w:tcW w:w="1180" w:type="dxa"/>
            <w:shd w:val="clear" w:color="auto" w:fill="CCEDFF"/>
          </w:tcPr>
          <w:p>
            <w:pPr>
              <w:pStyle w:val="TableParagraph"/>
              <w:spacing w:before="2"/>
              <w:ind w:right="67"/>
              <w:jc w:val="right"/>
              <w:rPr>
                <w:sz w:val="20"/>
              </w:rPr>
            </w:pPr>
            <w:r>
              <w:rPr>
                <w:spacing w:val="-2"/>
                <w:sz w:val="20"/>
              </w:rPr>
              <w:t>(26,990)</w:t>
            </w:r>
          </w:p>
        </w:tc>
        <w:tc>
          <w:tcPr>
            <w:tcW w:w="1140" w:type="dxa"/>
            <w:shd w:val="clear" w:color="auto" w:fill="CCEDFF"/>
          </w:tcPr>
          <w:p>
            <w:pPr>
              <w:pStyle w:val="TableParagraph"/>
              <w:spacing w:before="2"/>
              <w:ind w:right="7"/>
              <w:jc w:val="right"/>
              <w:rPr>
                <w:sz w:val="20"/>
              </w:rPr>
            </w:pPr>
            <w:r>
              <w:rPr>
                <w:spacing w:val="-2"/>
                <w:sz w:val="20"/>
              </w:rPr>
              <w:t>(16,800)</w:t>
            </w:r>
          </w:p>
        </w:tc>
      </w:tr>
      <w:tr>
        <w:trPr>
          <w:trHeight w:val="280" w:hRule="atLeast"/>
        </w:trPr>
        <w:tc>
          <w:tcPr>
            <w:tcW w:w="6530" w:type="dxa"/>
          </w:tcPr>
          <w:p>
            <w:pPr>
              <w:pStyle w:val="TableParagraph"/>
              <w:spacing w:before="2"/>
              <w:ind w:left="50"/>
              <w:rPr>
                <w:sz w:val="20"/>
              </w:rPr>
            </w:pPr>
            <w:r>
              <w:rPr>
                <w:sz w:val="20"/>
              </w:rPr>
              <w:t>Tax</w:t>
            </w:r>
            <w:r>
              <w:rPr>
                <w:spacing w:val="-2"/>
                <w:sz w:val="20"/>
              </w:rPr>
              <w:t> </w:t>
            </w:r>
            <w:r>
              <w:rPr>
                <w:sz w:val="20"/>
              </w:rPr>
              <w:t>charge</w:t>
            </w:r>
            <w:r>
              <w:rPr>
                <w:spacing w:val="-2"/>
                <w:sz w:val="20"/>
              </w:rPr>
              <w:t> </w:t>
            </w:r>
            <w:r>
              <w:rPr>
                <w:sz w:val="20"/>
              </w:rPr>
              <w:t>for</w:t>
            </w:r>
            <w:r>
              <w:rPr>
                <w:spacing w:val="-2"/>
                <w:sz w:val="20"/>
              </w:rPr>
              <w:t> </w:t>
            </w:r>
            <w:r>
              <w:rPr>
                <w:sz w:val="20"/>
              </w:rPr>
              <w:t>licensing</w:t>
            </w:r>
            <w:r>
              <w:rPr>
                <w:spacing w:val="-2"/>
                <w:sz w:val="20"/>
              </w:rPr>
              <w:t> </w:t>
            </w:r>
            <w:r>
              <w:rPr>
                <w:sz w:val="20"/>
              </w:rPr>
              <w:t>acquired</w:t>
            </w:r>
            <w:r>
              <w:rPr>
                <w:spacing w:val="-1"/>
                <w:sz w:val="20"/>
              </w:rPr>
              <w:t> </w:t>
            </w:r>
            <w:r>
              <w:rPr>
                <w:sz w:val="20"/>
              </w:rPr>
              <w:t>company</w:t>
            </w:r>
            <w:r>
              <w:rPr>
                <w:spacing w:val="-2"/>
                <w:sz w:val="20"/>
              </w:rPr>
              <w:t> </w:t>
            </w:r>
            <w:r>
              <w:rPr>
                <w:sz w:val="20"/>
              </w:rPr>
              <w:t>technology</w:t>
            </w:r>
            <w:r>
              <w:rPr>
                <w:spacing w:val="-2"/>
                <w:sz w:val="20"/>
              </w:rPr>
              <w:t> </w:t>
            </w:r>
            <w:r>
              <w:rPr>
                <w:sz w:val="20"/>
              </w:rPr>
              <w:t>to</w:t>
            </w:r>
            <w:r>
              <w:rPr>
                <w:spacing w:val="-2"/>
                <w:sz w:val="20"/>
              </w:rPr>
              <w:t> </w:t>
            </w:r>
            <w:r>
              <w:rPr>
                <w:sz w:val="20"/>
              </w:rPr>
              <w:t>foreign</w:t>
            </w:r>
            <w:r>
              <w:rPr>
                <w:spacing w:val="-1"/>
                <w:sz w:val="20"/>
              </w:rPr>
              <w:t> </w:t>
            </w:r>
            <w:r>
              <w:rPr>
                <w:spacing w:val="-2"/>
                <w:sz w:val="20"/>
              </w:rPr>
              <w:t>subsidiaries</w:t>
            </w:r>
          </w:p>
        </w:tc>
        <w:tc>
          <w:tcPr>
            <w:tcW w:w="1389" w:type="dxa"/>
          </w:tcPr>
          <w:p>
            <w:pPr>
              <w:pStyle w:val="TableParagraph"/>
              <w:spacing w:before="2"/>
              <w:ind w:right="135"/>
              <w:jc w:val="right"/>
              <w:rPr>
                <w:sz w:val="20"/>
              </w:rPr>
            </w:pPr>
            <w:r>
              <w:rPr>
                <w:spacing w:val="-2"/>
                <w:sz w:val="20"/>
              </w:rPr>
              <w:t>24,771</w:t>
            </w:r>
          </w:p>
        </w:tc>
        <w:tc>
          <w:tcPr>
            <w:tcW w:w="1180" w:type="dxa"/>
          </w:tcPr>
          <w:p>
            <w:pPr>
              <w:pStyle w:val="TableParagraph"/>
              <w:spacing w:before="2"/>
              <w:ind w:right="135"/>
              <w:jc w:val="right"/>
              <w:rPr>
                <w:sz w:val="20"/>
              </w:rPr>
            </w:pPr>
            <w:r>
              <w:rPr>
                <w:spacing w:val="-2"/>
                <w:sz w:val="20"/>
              </w:rPr>
              <w:t>5,346</w:t>
            </w:r>
          </w:p>
        </w:tc>
        <w:tc>
          <w:tcPr>
            <w:tcW w:w="1140" w:type="dxa"/>
          </w:tcPr>
          <w:p>
            <w:pPr>
              <w:pStyle w:val="TableParagraph"/>
              <w:spacing w:before="2"/>
              <w:ind w:right="75"/>
              <w:jc w:val="right"/>
              <w:rPr>
                <w:sz w:val="20"/>
              </w:rPr>
            </w:pPr>
            <w:r>
              <w:rPr>
                <w:spacing w:val="-2"/>
                <w:sz w:val="20"/>
              </w:rPr>
              <w:t>80,015</w:t>
            </w:r>
          </w:p>
        </w:tc>
      </w:tr>
      <w:tr>
        <w:trPr>
          <w:trHeight w:val="270" w:hRule="atLeast"/>
        </w:trPr>
        <w:tc>
          <w:tcPr>
            <w:tcW w:w="6530" w:type="dxa"/>
            <w:shd w:val="clear" w:color="auto" w:fill="CCEDFF"/>
          </w:tcPr>
          <w:p>
            <w:pPr>
              <w:pStyle w:val="TableParagraph"/>
              <w:spacing w:before="2"/>
              <w:ind w:left="50"/>
              <w:rPr>
                <w:sz w:val="20"/>
              </w:rPr>
            </w:pPr>
            <w:r>
              <w:rPr>
                <w:sz w:val="20"/>
              </w:rPr>
              <w:t>Other,</w:t>
            </w:r>
            <w:r>
              <w:rPr>
                <w:spacing w:val="-8"/>
                <w:sz w:val="20"/>
              </w:rPr>
              <w:t> </w:t>
            </w:r>
            <w:r>
              <w:rPr>
                <w:spacing w:val="-5"/>
                <w:sz w:val="20"/>
              </w:rPr>
              <w:t>net</w:t>
            </w:r>
          </w:p>
        </w:tc>
        <w:tc>
          <w:tcPr>
            <w:tcW w:w="1389" w:type="dxa"/>
            <w:tcBorders>
              <w:bottom w:val="single" w:sz="8" w:space="0" w:color="000000"/>
            </w:tcBorders>
            <w:shd w:val="clear" w:color="auto" w:fill="CCEDFF"/>
          </w:tcPr>
          <w:p>
            <w:pPr>
              <w:pStyle w:val="TableParagraph"/>
              <w:spacing w:before="2"/>
              <w:ind w:right="135"/>
              <w:jc w:val="right"/>
              <w:rPr>
                <w:sz w:val="20"/>
              </w:rPr>
            </w:pPr>
            <w:r>
              <w:rPr>
                <w:spacing w:val="-2"/>
                <w:sz w:val="20"/>
              </w:rPr>
              <w:t>5,171</w:t>
            </w:r>
          </w:p>
        </w:tc>
        <w:tc>
          <w:tcPr>
            <w:tcW w:w="1180" w:type="dxa"/>
            <w:tcBorders>
              <w:bottom w:val="single" w:sz="8" w:space="0" w:color="000000"/>
            </w:tcBorders>
            <w:shd w:val="clear" w:color="auto" w:fill="CCEDFF"/>
          </w:tcPr>
          <w:p>
            <w:pPr>
              <w:pStyle w:val="TableParagraph"/>
              <w:spacing w:before="2"/>
              <w:ind w:right="135"/>
              <w:jc w:val="right"/>
              <w:rPr>
                <w:sz w:val="20"/>
              </w:rPr>
            </w:pPr>
            <w:r>
              <w:rPr>
                <w:spacing w:val="-2"/>
                <w:sz w:val="20"/>
              </w:rPr>
              <w:t>10,129</w:t>
            </w:r>
          </w:p>
        </w:tc>
        <w:tc>
          <w:tcPr>
            <w:tcW w:w="1140" w:type="dxa"/>
            <w:tcBorders>
              <w:bottom w:val="single" w:sz="8" w:space="0" w:color="000000"/>
            </w:tcBorders>
            <w:shd w:val="clear" w:color="auto" w:fill="CCEDFF"/>
          </w:tcPr>
          <w:p>
            <w:pPr>
              <w:pStyle w:val="TableParagraph"/>
              <w:spacing w:before="2"/>
              <w:ind w:right="75"/>
              <w:jc w:val="right"/>
              <w:rPr>
                <w:sz w:val="20"/>
              </w:rPr>
            </w:pPr>
            <w:r>
              <w:rPr>
                <w:spacing w:val="-2"/>
                <w:sz w:val="20"/>
              </w:rPr>
              <w:t>7,509</w:t>
            </w:r>
          </w:p>
        </w:tc>
      </w:tr>
      <w:tr>
        <w:trPr>
          <w:trHeight w:val="221" w:hRule="atLeast"/>
        </w:trPr>
        <w:tc>
          <w:tcPr>
            <w:tcW w:w="6530" w:type="dxa"/>
          </w:tcPr>
          <w:p>
            <w:pPr>
              <w:pStyle w:val="TableParagraph"/>
              <w:spacing w:line="202" w:lineRule="exact"/>
              <w:ind w:left="170"/>
              <w:rPr>
                <w:sz w:val="20"/>
              </w:rPr>
            </w:pPr>
            <w:r>
              <w:rPr>
                <w:sz w:val="20"/>
              </w:rPr>
              <w:t>Provision for income </w:t>
            </w:r>
            <w:r>
              <w:rPr>
                <w:spacing w:val="-2"/>
                <w:sz w:val="20"/>
              </w:rPr>
              <w:t>taxes</w:t>
            </w:r>
          </w:p>
        </w:tc>
        <w:tc>
          <w:tcPr>
            <w:tcW w:w="1389" w:type="dxa"/>
            <w:tcBorders>
              <w:top w:val="single" w:sz="8" w:space="0" w:color="000000"/>
            </w:tcBorders>
          </w:tcPr>
          <w:p>
            <w:pPr>
              <w:pStyle w:val="TableParagraph"/>
              <w:tabs>
                <w:tab w:pos="602" w:val="left" w:leader="none"/>
              </w:tabs>
              <w:spacing w:line="202" w:lineRule="exact"/>
              <w:ind w:left="260"/>
              <w:rPr>
                <w:sz w:val="20"/>
              </w:rPr>
            </w:pPr>
            <w:r>
              <w:rPr>
                <w:spacing w:val="-10"/>
                <w:sz w:val="20"/>
              </w:rPr>
              <w:t>$</w:t>
            </w:r>
            <w:r>
              <w:rPr>
                <w:sz w:val="20"/>
              </w:rPr>
              <w:tab/>
            </w:r>
            <w:r>
              <w:rPr>
                <w:spacing w:val="-2"/>
                <w:sz w:val="20"/>
              </w:rPr>
              <w:t>443,687</w:t>
            </w:r>
          </w:p>
        </w:tc>
        <w:tc>
          <w:tcPr>
            <w:tcW w:w="1180" w:type="dxa"/>
            <w:tcBorders>
              <w:top w:val="single" w:sz="8" w:space="0" w:color="000000"/>
            </w:tcBorders>
          </w:tcPr>
          <w:p>
            <w:pPr>
              <w:pStyle w:val="TableParagraph"/>
              <w:tabs>
                <w:tab w:pos="322" w:val="left" w:leader="none"/>
              </w:tabs>
              <w:spacing w:line="202" w:lineRule="exact"/>
              <w:ind w:right="135"/>
              <w:jc w:val="right"/>
              <w:rPr>
                <w:sz w:val="20"/>
              </w:rPr>
            </w:pPr>
            <w:r>
              <w:rPr>
                <w:spacing w:val="-10"/>
                <w:sz w:val="20"/>
              </w:rPr>
              <w:t>$</w:t>
            </w:r>
            <w:r>
              <w:rPr>
                <w:sz w:val="20"/>
              </w:rPr>
              <w:tab/>
            </w:r>
            <w:r>
              <w:rPr>
                <w:spacing w:val="-2"/>
                <w:sz w:val="20"/>
              </w:rPr>
              <w:t>266,356</w:t>
            </w:r>
          </w:p>
        </w:tc>
        <w:tc>
          <w:tcPr>
            <w:tcW w:w="1140" w:type="dxa"/>
            <w:tcBorders>
              <w:top w:val="single" w:sz="8" w:space="0" w:color="000000"/>
            </w:tcBorders>
          </w:tcPr>
          <w:p>
            <w:pPr>
              <w:pStyle w:val="TableParagraph"/>
              <w:tabs>
                <w:tab w:pos="342" w:val="left" w:leader="none"/>
              </w:tabs>
              <w:spacing w:line="202" w:lineRule="exact"/>
              <w:ind w:right="75"/>
              <w:jc w:val="right"/>
              <w:rPr>
                <w:sz w:val="20"/>
              </w:rPr>
            </w:pPr>
            <w:r>
              <w:rPr>
                <w:spacing w:val="-10"/>
                <w:sz w:val="20"/>
              </w:rPr>
              <w:t>$</w:t>
            </w:r>
            <w:r>
              <w:rPr>
                <w:sz w:val="20"/>
              </w:rPr>
              <w:tab/>
            </w:r>
            <w:r>
              <w:rPr>
                <w:spacing w:val="-2"/>
                <w:sz w:val="20"/>
              </w:rPr>
              <w:t>244,230</w:t>
            </w:r>
          </w:p>
        </w:tc>
      </w:tr>
    </w:tbl>
    <w:p>
      <w:pPr>
        <w:spacing w:line="60" w:lineRule="exact"/>
        <w:ind w:left="6960" w:right="0" w:firstLine="0"/>
        <w:jc w:val="left"/>
        <w:rPr>
          <w:sz w:val="6"/>
        </w:rPr>
      </w:pPr>
      <w:r>
        <w:rPr>
          <w:position w:val="0"/>
          <w:sz w:val="6"/>
        </w:rPr>
        <mc:AlternateContent>
          <mc:Choice Requires="wps">
            <w:drawing>
              <wp:inline distT="0" distB="0" distL="0" distR="0">
                <wp:extent cx="711200" cy="38100"/>
                <wp:effectExtent l="9525" t="0" r="3175" b="0"/>
                <wp:docPr id="497" name="Group 497"/>
                <wp:cNvGraphicFramePr>
                  <a:graphicFrameLocks/>
                </wp:cNvGraphicFramePr>
                <a:graphic>
                  <a:graphicData uri="http://schemas.microsoft.com/office/word/2010/wordprocessingGroup">
                    <wpg:wgp>
                      <wpg:cNvPr id="497" name="Group 497"/>
                      <wpg:cNvGrpSpPr/>
                      <wpg:grpSpPr>
                        <a:xfrm>
                          <a:off x="0" y="0"/>
                          <a:ext cx="711200" cy="38100"/>
                          <a:chExt cx="711200" cy="38100"/>
                        </a:xfrm>
                      </wpg:grpSpPr>
                      <wps:wsp>
                        <wps:cNvPr id="498" name="Graphic 498"/>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390" coordorigin="0,0" coordsize="1120,60">
                <v:shape style="position:absolute;left:0;top:10;width:1120;height:40" id="docshape391" coordorigin="0,10" coordsize="1120,40" path="m0,10l1120,10m0,50l1120,50e" filled="false" stroked="true" strokeweight="1pt" strokecolor="#000000">
                  <v:path arrowok="t"/>
                  <v:stroke dashstyle="solid"/>
                </v:shape>
              </v:group>
            </w:pict>
          </mc:Fallback>
        </mc:AlternateContent>
      </w:r>
      <w:r>
        <w:rPr>
          <w:position w:val="0"/>
          <w:sz w:val="6"/>
        </w:rPr>
      </w:r>
      <w:r>
        <w:rPr>
          <w:spacing w:val="30"/>
          <w:position w:val="0"/>
          <w:sz w:val="6"/>
        </w:rPr>
        <w:t> </w:t>
      </w:r>
      <w:r>
        <w:rPr>
          <w:spacing w:val="30"/>
          <w:position w:val="0"/>
          <w:sz w:val="6"/>
        </w:rPr>
        <mc:AlternateContent>
          <mc:Choice Requires="wps">
            <w:drawing>
              <wp:inline distT="0" distB="0" distL="0" distR="0">
                <wp:extent cx="698500" cy="38100"/>
                <wp:effectExtent l="9525" t="0" r="6350" b="0"/>
                <wp:docPr id="499" name="Group 499"/>
                <wp:cNvGraphicFramePr>
                  <a:graphicFrameLocks/>
                </wp:cNvGraphicFramePr>
                <a:graphic>
                  <a:graphicData uri="http://schemas.microsoft.com/office/word/2010/wordprocessingGroup">
                    <wpg:wgp>
                      <wpg:cNvPr id="499" name="Group 499"/>
                      <wpg:cNvGrpSpPr/>
                      <wpg:grpSpPr>
                        <a:xfrm>
                          <a:off x="0" y="0"/>
                          <a:ext cx="698500" cy="38100"/>
                          <a:chExt cx="698500" cy="38100"/>
                        </a:xfrm>
                      </wpg:grpSpPr>
                      <wps:wsp>
                        <wps:cNvPr id="500" name="Graphic 500"/>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3pt;mso-position-horizontal-relative:char;mso-position-vertical-relative:line" id="docshapegroup392" coordorigin="0,0" coordsize="1100,60">
                <v:shape style="position:absolute;left:0;top:10;width:1100;height:40" id="docshape393" coordorigin="0,10" coordsize="1100,40" path="m0,10l1100,10m0,50l1100,50e" filled="false" stroked="true" strokeweight="1pt" strokecolor="#000000">
                  <v:path arrowok="t"/>
                  <v:stroke dashstyle="solid"/>
                </v:shape>
              </v:group>
            </w:pict>
          </mc:Fallback>
        </mc:AlternateContent>
      </w:r>
      <w:r>
        <w:rPr>
          <w:spacing w:val="30"/>
          <w:position w:val="0"/>
          <w:sz w:val="6"/>
        </w:rPr>
      </w:r>
      <w:r>
        <w:rPr>
          <w:spacing w:val="40"/>
          <w:position w:val="0"/>
          <w:sz w:val="6"/>
        </w:rPr>
        <w:t> </w:t>
      </w:r>
      <w:r>
        <w:rPr>
          <w:spacing w:val="40"/>
          <w:position w:val="0"/>
          <w:sz w:val="6"/>
        </w:rPr>
        <mc:AlternateContent>
          <mc:Choice Requires="wps">
            <w:drawing>
              <wp:inline distT="0" distB="0" distL="0" distR="0">
                <wp:extent cx="711200" cy="38100"/>
                <wp:effectExtent l="9525" t="0" r="3175" b="0"/>
                <wp:docPr id="501" name="Group 501"/>
                <wp:cNvGraphicFramePr>
                  <a:graphicFrameLocks/>
                </wp:cNvGraphicFramePr>
                <a:graphic>
                  <a:graphicData uri="http://schemas.microsoft.com/office/word/2010/wordprocessingGroup">
                    <wpg:wgp>
                      <wpg:cNvPr id="501" name="Group 501"/>
                      <wpg:cNvGrpSpPr/>
                      <wpg:grpSpPr>
                        <a:xfrm>
                          <a:off x="0" y="0"/>
                          <a:ext cx="711200" cy="38100"/>
                          <a:chExt cx="711200" cy="38100"/>
                        </a:xfrm>
                      </wpg:grpSpPr>
                      <wps:wsp>
                        <wps:cNvPr id="502" name="Graphic 502"/>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394" coordorigin="0,0" coordsize="1120,60">
                <v:shape style="position:absolute;left:0;top:10;width:1120;height:40" id="docshape395" coordorigin="0,10" coordsize="1120,40" path="m0,10l1120,10m0,50l1120,50e" filled="false" stroked="true" strokeweight="1pt" strokecolor="#000000">
                  <v:path arrowok="t"/>
                  <v:stroke dashstyle="solid"/>
                </v:shape>
              </v:group>
            </w:pict>
          </mc:Fallback>
        </mc:AlternateContent>
      </w:r>
      <w:r>
        <w:rPr>
          <w:spacing w:val="40"/>
          <w:position w:val="0"/>
          <w:sz w:val="6"/>
        </w:rPr>
      </w:r>
    </w:p>
    <w:p>
      <w:pPr>
        <w:spacing w:before="212"/>
        <w:ind w:left="220" w:right="0" w:firstLine="0"/>
        <w:jc w:val="left"/>
        <w:rPr>
          <w:i/>
          <w:sz w:val="20"/>
        </w:rPr>
      </w:pPr>
      <w:r>
        <w:rPr>
          <w:i/>
          <w:sz w:val="20"/>
        </w:rPr>
        <w:t>Deferred</w:t>
      </w:r>
      <w:r>
        <w:rPr>
          <w:i/>
          <w:spacing w:val="-10"/>
          <w:sz w:val="20"/>
        </w:rPr>
        <w:t> </w:t>
      </w:r>
      <w:r>
        <w:rPr>
          <w:i/>
          <w:sz w:val="20"/>
        </w:rPr>
        <w:t>Tax</w:t>
      </w:r>
      <w:r>
        <w:rPr>
          <w:i/>
          <w:spacing w:val="-13"/>
          <w:sz w:val="20"/>
        </w:rPr>
        <w:t> </w:t>
      </w:r>
      <w:r>
        <w:rPr>
          <w:i/>
          <w:sz w:val="20"/>
        </w:rPr>
        <w:t>Assets</w:t>
      </w:r>
      <w:r>
        <w:rPr>
          <w:i/>
          <w:spacing w:val="-9"/>
          <w:sz w:val="20"/>
        </w:rPr>
        <w:t> </w:t>
      </w:r>
      <w:r>
        <w:rPr>
          <w:i/>
          <w:sz w:val="20"/>
        </w:rPr>
        <w:t>and</w:t>
      </w:r>
      <w:r>
        <w:rPr>
          <w:i/>
          <w:spacing w:val="-9"/>
          <w:sz w:val="20"/>
        </w:rPr>
        <w:t> </w:t>
      </w:r>
      <w:r>
        <w:rPr>
          <w:i/>
          <w:spacing w:val="-2"/>
          <w:sz w:val="20"/>
        </w:rPr>
        <w:t>Liabilities</w:t>
      </w:r>
    </w:p>
    <w:p>
      <w:pPr>
        <w:pStyle w:val="BodyText"/>
        <w:spacing w:line="249" w:lineRule="auto" w:before="190"/>
        <w:ind w:left="220" w:right="258" w:firstLine="540"/>
        <w:jc w:val="both"/>
      </w:pPr>
      <w:r>
        <w:rPr/>
        <w:t>The tax effects of the temporary differences that gave rise to significant portions of the deferred tax assets and liabilities as of December 1, 2017 and December 2, 2016 are presented below (in thousands):</w:t>
      </w:r>
    </w:p>
    <w:p>
      <w:pPr>
        <w:pStyle w:val="BodyText"/>
        <w:spacing w:before="4"/>
        <w:rPr>
          <w:sz w:val="18"/>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0"/>
        <w:gridCol w:w="80"/>
        <w:gridCol w:w="1160"/>
        <w:gridCol w:w="1140"/>
      </w:tblGrid>
      <w:tr>
        <w:trPr>
          <w:trHeight w:val="217" w:hRule="atLeast"/>
        </w:trPr>
        <w:tc>
          <w:tcPr>
            <w:tcW w:w="7940" w:type="dxa"/>
            <w:gridSpan w:val="2"/>
          </w:tcPr>
          <w:p>
            <w:pPr>
              <w:pStyle w:val="TableParagraph"/>
              <w:rPr>
                <w:sz w:val="14"/>
              </w:rPr>
            </w:pPr>
          </w:p>
        </w:tc>
        <w:tc>
          <w:tcPr>
            <w:tcW w:w="1160" w:type="dxa"/>
            <w:tcBorders>
              <w:bottom w:val="single" w:sz="8" w:space="0" w:color="000000"/>
            </w:tcBorders>
          </w:tcPr>
          <w:p>
            <w:pPr>
              <w:pStyle w:val="TableParagraph"/>
              <w:spacing w:line="177" w:lineRule="exact"/>
              <w:ind w:left="380"/>
              <w:rPr>
                <w:b/>
                <w:sz w:val="16"/>
              </w:rPr>
            </w:pPr>
            <w:r>
              <w:rPr>
                <w:b/>
                <w:spacing w:val="-4"/>
                <w:sz w:val="16"/>
              </w:rPr>
              <w:t>2017</w:t>
            </w:r>
          </w:p>
        </w:tc>
        <w:tc>
          <w:tcPr>
            <w:tcW w:w="1140" w:type="dxa"/>
            <w:tcBorders>
              <w:bottom w:val="single" w:sz="8" w:space="0" w:color="000000"/>
            </w:tcBorders>
          </w:tcPr>
          <w:p>
            <w:pPr>
              <w:pStyle w:val="TableParagraph"/>
              <w:spacing w:line="177" w:lineRule="exact"/>
              <w:ind w:left="2" w:right="2"/>
              <w:jc w:val="center"/>
              <w:rPr>
                <w:b/>
                <w:sz w:val="16"/>
              </w:rPr>
            </w:pPr>
            <w:r>
              <w:rPr>
                <w:b/>
                <w:spacing w:val="-4"/>
                <w:sz w:val="16"/>
              </w:rPr>
              <w:t>2016</w:t>
            </w:r>
          </w:p>
        </w:tc>
      </w:tr>
      <w:tr>
        <w:trPr>
          <w:trHeight w:val="270" w:hRule="atLeast"/>
        </w:trPr>
        <w:tc>
          <w:tcPr>
            <w:tcW w:w="7940" w:type="dxa"/>
            <w:gridSpan w:val="2"/>
          </w:tcPr>
          <w:p>
            <w:pPr>
              <w:pStyle w:val="TableParagraph"/>
              <w:spacing w:line="222" w:lineRule="exact"/>
              <w:ind w:left="50"/>
              <w:rPr>
                <w:sz w:val="20"/>
              </w:rPr>
            </w:pPr>
            <w:r>
              <w:rPr>
                <w:sz w:val="20"/>
              </w:rPr>
              <w:t>Deferred tax </w:t>
            </w:r>
            <w:r>
              <w:rPr>
                <w:spacing w:val="-2"/>
                <w:sz w:val="20"/>
              </w:rPr>
              <w:t>assets:</w:t>
            </w:r>
          </w:p>
        </w:tc>
        <w:tc>
          <w:tcPr>
            <w:tcW w:w="1160" w:type="dxa"/>
            <w:tcBorders>
              <w:top w:val="single" w:sz="8" w:space="0" w:color="000000"/>
            </w:tcBorders>
          </w:tcPr>
          <w:p>
            <w:pPr>
              <w:pStyle w:val="TableParagraph"/>
              <w:rPr>
                <w:sz w:val="18"/>
              </w:rPr>
            </w:pPr>
          </w:p>
        </w:tc>
        <w:tc>
          <w:tcPr>
            <w:tcW w:w="1140" w:type="dxa"/>
            <w:tcBorders>
              <w:top w:val="single" w:sz="8" w:space="0" w:color="000000"/>
            </w:tcBorders>
          </w:tcPr>
          <w:p>
            <w:pPr>
              <w:pStyle w:val="TableParagraph"/>
              <w:rPr>
                <w:sz w:val="18"/>
              </w:rPr>
            </w:pPr>
          </w:p>
        </w:tc>
      </w:tr>
      <w:tr>
        <w:trPr>
          <w:trHeight w:val="280" w:hRule="atLeast"/>
        </w:trPr>
        <w:tc>
          <w:tcPr>
            <w:tcW w:w="7940" w:type="dxa"/>
            <w:gridSpan w:val="2"/>
            <w:shd w:val="clear" w:color="auto" w:fill="CCEDFF"/>
          </w:tcPr>
          <w:p>
            <w:pPr>
              <w:pStyle w:val="TableParagraph"/>
              <w:spacing w:before="2"/>
              <w:ind w:left="170"/>
              <w:rPr>
                <w:sz w:val="20"/>
              </w:rPr>
            </w:pPr>
            <w:r>
              <w:rPr>
                <w:sz w:val="20"/>
              </w:rPr>
              <w:t>Acquired </w:t>
            </w:r>
            <w:r>
              <w:rPr>
                <w:spacing w:val="-2"/>
                <w:sz w:val="20"/>
              </w:rPr>
              <w:t>technology</w:t>
            </w:r>
          </w:p>
        </w:tc>
        <w:tc>
          <w:tcPr>
            <w:tcW w:w="1160" w:type="dxa"/>
            <w:shd w:val="clear" w:color="auto" w:fill="CCEDFF"/>
          </w:tcPr>
          <w:p>
            <w:pPr>
              <w:pStyle w:val="TableParagraph"/>
              <w:tabs>
                <w:tab w:pos="522" w:val="left" w:leader="none"/>
              </w:tabs>
              <w:spacing w:before="2"/>
              <w:ind w:right="136"/>
              <w:jc w:val="right"/>
              <w:rPr>
                <w:sz w:val="20"/>
              </w:rPr>
            </w:pPr>
            <w:r>
              <w:rPr>
                <w:spacing w:val="-10"/>
                <w:sz w:val="20"/>
              </w:rPr>
              <w:t>$</w:t>
            </w:r>
            <w:r>
              <w:rPr>
                <w:sz w:val="20"/>
              </w:rPr>
              <w:tab/>
            </w:r>
            <w:r>
              <w:rPr>
                <w:spacing w:val="-2"/>
                <w:sz w:val="20"/>
              </w:rPr>
              <w:t>4,846</w:t>
            </w:r>
          </w:p>
        </w:tc>
        <w:tc>
          <w:tcPr>
            <w:tcW w:w="1140" w:type="dxa"/>
            <w:shd w:val="clear" w:color="auto" w:fill="CCEDFF"/>
          </w:tcPr>
          <w:p>
            <w:pPr>
              <w:pStyle w:val="TableParagraph"/>
              <w:tabs>
                <w:tab w:pos="542" w:val="left" w:leader="none"/>
              </w:tabs>
              <w:spacing w:before="2"/>
              <w:ind w:right="76"/>
              <w:jc w:val="right"/>
              <w:rPr>
                <w:sz w:val="20"/>
              </w:rPr>
            </w:pPr>
            <w:r>
              <w:rPr>
                <w:spacing w:val="-10"/>
                <w:sz w:val="20"/>
              </w:rPr>
              <w:t>$</w:t>
            </w:r>
            <w:r>
              <w:rPr>
                <w:sz w:val="20"/>
              </w:rPr>
              <w:tab/>
            </w:r>
            <w:r>
              <w:rPr>
                <w:spacing w:val="-2"/>
                <w:sz w:val="20"/>
              </w:rPr>
              <w:t>7,421</w:t>
            </w:r>
          </w:p>
        </w:tc>
      </w:tr>
      <w:tr>
        <w:trPr>
          <w:trHeight w:val="280" w:hRule="atLeast"/>
        </w:trPr>
        <w:tc>
          <w:tcPr>
            <w:tcW w:w="7940" w:type="dxa"/>
            <w:gridSpan w:val="2"/>
          </w:tcPr>
          <w:p>
            <w:pPr>
              <w:pStyle w:val="TableParagraph"/>
              <w:spacing w:before="2"/>
              <w:ind w:left="170"/>
              <w:rPr>
                <w:sz w:val="20"/>
              </w:rPr>
            </w:pPr>
            <w:r>
              <w:rPr>
                <w:sz w:val="20"/>
              </w:rPr>
              <w:t>Reserves</w:t>
            </w:r>
            <w:r>
              <w:rPr>
                <w:spacing w:val="-7"/>
                <w:sz w:val="20"/>
              </w:rPr>
              <w:t> </w:t>
            </w:r>
            <w:r>
              <w:rPr>
                <w:sz w:val="20"/>
              </w:rPr>
              <w:t>and</w:t>
            </w:r>
            <w:r>
              <w:rPr>
                <w:spacing w:val="-3"/>
                <w:sz w:val="20"/>
              </w:rPr>
              <w:t> </w:t>
            </w:r>
            <w:r>
              <w:rPr>
                <w:spacing w:val="-2"/>
                <w:sz w:val="20"/>
              </w:rPr>
              <w:t>accruals</w:t>
            </w:r>
          </w:p>
        </w:tc>
        <w:tc>
          <w:tcPr>
            <w:tcW w:w="1160" w:type="dxa"/>
          </w:tcPr>
          <w:p>
            <w:pPr>
              <w:pStyle w:val="TableParagraph"/>
              <w:spacing w:before="2"/>
              <w:ind w:right="136"/>
              <w:jc w:val="right"/>
              <w:rPr>
                <w:sz w:val="20"/>
              </w:rPr>
            </w:pPr>
            <w:r>
              <w:rPr>
                <w:spacing w:val="-2"/>
                <w:sz w:val="20"/>
              </w:rPr>
              <w:t>48,761</w:t>
            </w:r>
          </w:p>
        </w:tc>
        <w:tc>
          <w:tcPr>
            <w:tcW w:w="1140" w:type="dxa"/>
          </w:tcPr>
          <w:p>
            <w:pPr>
              <w:pStyle w:val="TableParagraph"/>
              <w:spacing w:before="2"/>
              <w:ind w:right="76"/>
              <w:jc w:val="right"/>
              <w:rPr>
                <w:sz w:val="20"/>
              </w:rPr>
            </w:pPr>
            <w:r>
              <w:rPr>
                <w:spacing w:val="-2"/>
                <w:sz w:val="20"/>
              </w:rPr>
              <w:t>35,440</w:t>
            </w:r>
          </w:p>
        </w:tc>
      </w:tr>
      <w:tr>
        <w:trPr>
          <w:trHeight w:val="280" w:hRule="atLeast"/>
        </w:trPr>
        <w:tc>
          <w:tcPr>
            <w:tcW w:w="7940" w:type="dxa"/>
            <w:gridSpan w:val="2"/>
            <w:shd w:val="clear" w:color="auto" w:fill="CCEDFF"/>
          </w:tcPr>
          <w:p>
            <w:pPr>
              <w:pStyle w:val="TableParagraph"/>
              <w:spacing w:before="2"/>
              <w:ind w:left="170"/>
              <w:rPr>
                <w:sz w:val="20"/>
              </w:rPr>
            </w:pPr>
            <w:r>
              <w:rPr>
                <w:sz w:val="20"/>
              </w:rPr>
              <w:t>Deferred </w:t>
            </w:r>
            <w:r>
              <w:rPr>
                <w:spacing w:val="-2"/>
                <w:sz w:val="20"/>
              </w:rPr>
              <w:t>revenue</w:t>
            </w:r>
          </w:p>
        </w:tc>
        <w:tc>
          <w:tcPr>
            <w:tcW w:w="1160" w:type="dxa"/>
            <w:shd w:val="clear" w:color="auto" w:fill="CCEDFF"/>
          </w:tcPr>
          <w:p>
            <w:pPr>
              <w:pStyle w:val="TableParagraph"/>
              <w:spacing w:before="2"/>
              <w:ind w:right="136"/>
              <w:jc w:val="right"/>
              <w:rPr>
                <w:sz w:val="20"/>
              </w:rPr>
            </w:pPr>
            <w:r>
              <w:rPr>
                <w:spacing w:val="-2"/>
                <w:sz w:val="20"/>
              </w:rPr>
              <w:t>23,452</w:t>
            </w:r>
          </w:p>
        </w:tc>
        <w:tc>
          <w:tcPr>
            <w:tcW w:w="1140" w:type="dxa"/>
            <w:shd w:val="clear" w:color="auto" w:fill="CCEDFF"/>
          </w:tcPr>
          <w:p>
            <w:pPr>
              <w:pStyle w:val="TableParagraph"/>
              <w:spacing w:before="2"/>
              <w:ind w:right="76"/>
              <w:jc w:val="right"/>
              <w:rPr>
                <w:sz w:val="20"/>
              </w:rPr>
            </w:pPr>
            <w:r>
              <w:rPr>
                <w:spacing w:val="-2"/>
                <w:sz w:val="20"/>
              </w:rPr>
              <w:t>21,039</w:t>
            </w:r>
          </w:p>
        </w:tc>
      </w:tr>
      <w:tr>
        <w:trPr>
          <w:trHeight w:val="280" w:hRule="atLeast"/>
        </w:trPr>
        <w:tc>
          <w:tcPr>
            <w:tcW w:w="7940" w:type="dxa"/>
            <w:gridSpan w:val="2"/>
          </w:tcPr>
          <w:p>
            <w:pPr>
              <w:pStyle w:val="TableParagraph"/>
              <w:spacing w:before="2"/>
              <w:ind w:left="170"/>
              <w:rPr>
                <w:sz w:val="20"/>
              </w:rPr>
            </w:pPr>
            <w:r>
              <w:rPr>
                <w:sz w:val="20"/>
              </w:rPr>
              <w:t>Unrealized</w:t>
            </w:r>
            <w:r>
              <w:rPr>
                <w:spacing w:val="-4"/>
                <w:sz w:val="20"/>
              </w:rPr>
              <w:t> </w:t>
            </w:r>
            <w:r>
              <w:rPr>
                <w:sz w:val="20"/>
              </w:rPr>
              <w:t>losses</w:t>
            </w:r>
            <w:r>
              <w:rPr>
                <w:spacing w:val="-3"/>
                <w:sz w:val="20"/>
              </w:rPr>
              <w:t> </w:t>
            </w:r>
            <w:r>
              <w:rPr>
                <w:sz w:val="20"/>
              </w:rPr>
              <w:t>on</w:t>
            </w:r>
            <w:r>
              <w:rPr>
                <w:spacing w:val="-1"/>
                <w:sz w:val="20"/>
              </w:rPr>
              <w:t> </w:t>
            </w:r>
            <w:r>
              <w:rPr>
                <w:spacing w:val="-2"/>
                <w:sz w:val="20"/>
              </w:rPr>
              <w:t>investments</w:t>
            </w:r>
          </w:p>
        </w:tc>
        <w:tc>
          <w:tcPr>
            <w:tcW w:w="1160" w:type="dxa"/>
          </w:tcPr>
          <w:p>
            <w:pPr>
              <w:pStyle w:val="TableParagraph"/>
              <w:spacing w:before="2"/>
              <w:ind w:right="136"/>
              <w:jc w:val="right"/>
              <w:rPr>
                <w:sz w:val="20"/>
              </w:rPr>
            </w:pPr>
            <w:r>
              <w:rPr>
                <w:spacing w:val="-5"/>
                <w:sz w:val="20"/>
              </w:rPr>
              <w:t>11</w:t>
            </w:r>
          </w:p>
        </w:tc>
        <w:tc>
          <w:tcPr>
            <w:tcW w:w="1140" w:type="dxa"/>
          </w:tcPr>
          <w:p>
            <w:pPr>
              <w:pStyle w:val="TableParagraph"/>
              <w:spacing w:before="2"/>
              <w:ind w:right="76"/>
              <w:jc w:val="right"/>
              <w:rPr>
                <w:sz w:val="20"/>
              </w:rPr>
            </w:pPr>
            <w:r>
              <w:rPr>
                <w:spacing w:val="-2"/>
                <w:sz w:val="20"/>
              </w:rPr>
              <w:t>2,391</w:t>
            </w:r>
          </w:p>
        </w:tc>
      </w:tr>
      <w:tr>
        <w:trPr>
          <w:trHeight w:val="280" w:hRule="atLeast"/>
        </w:trPr>
        <w:tc>
          <w:tcPr>
            <w:tcW w:w="7940" w:type="dxa"/>
            <w:gridSpan w:val="2"/>
            <w:shd w:val="clear" w:color="auto" w:fill="CCEDFF"/>
          </w:tcPr>
          <w:p>
            <w:pPr>
              <w:pStyle w:val="TableParagraph"/>
              <w:spacing w:before="2"/>
              <w:ind w:left="170"/>
              <w:rPr>
                <w:sz w:val="20"/>
              </w:rPr>
            </w:pPr>
            <w:r>
              <w:rPr>
                <w:sz w:val="20"/>
              </w:rPr>
              <w:t>Stock-based </w:t>
            </w:r>
            <w:r>
              <w:rPr>
                <w:spacing w:val="-2"/>
                <w:sz w:val="20"/>
              </w:rPr>
              <w:t>compensation</w:t>
            </w:r>
          </w:p>
        </w:tc>
        <w:tc>
          <w:tcPr>
            <w:tcW w:w="1160" w:type="dxa"/>
            <w:shd w:val="clear" w:color="auto" w:fill="CCEDFF"/>
          </w:tcPr>
          <w:p>
            <w:pPr>
              <w:pStyle w:val="TableParagraph"/>
              <w:spacing w:before="2"/>
              <w:ind w:right="136"/>
              <w:jc w:val="right"/>
              <w:rPr>
                <w:sz w:val="20"/>
              </w:rPr>
            </w:pPr>
            <w:r>
              <w:rPr>
                <w:spacing w:val="-2"/>
                <w:sz w:val="20"/>
              </w:rPr>
              <w:t>74,942</w:t>
            </w:r>
          </w:p>
        </w:tc>
        <w:tc>
          <w:tcPr>
            <w:tcW w:w="1140" w:type="dxa"/>
            <w:shd w:val="clear" w:color="auto" w:fill="CCEDFF"/>
          </w:tcPr>
          <w:p>
            <w:pPr>
              <w:pStyle w:val="TableParagraph"/>
              <w:spacing w:before="2"/>
              <w:ind w:right="76"/>
              <w:jc w:val="right"/>
              <w:rPr>
                <w:sz w:val="20"/>
              </w:rPr>
            </w:pPr>
            <w:r>
              <w:rPr>
                <w:spacing w:val="-2"/>
                <w:sz w:val="20"/>
              </w:rPr>
              <w:t>56,353</w:t>
            </w:r>
          </w:p>
        </w:tc>
      </w:tr>
      <w:tr>
        <w:trPr>
          <w:trHeight w:val="280" w:hRule="atLeast"/>
        </w:trPr>
        <w:tc>
          <w:tcPr>
            <w:tcW w:w="7940" w:type="dxa"/>
            <w:gridSpan w:val="2"/>
          </w:tcPr>
          <w:p>
            <w:pPr>
              <w:pStyle w:val="TableParagraph"/>
              <w:spacing w:before="2"/>
              <w:ind w:left="170"/>
              <w:rPr>
                <w:sz w:val="20"/>
              </w:rPr>
            </w:pPr>
            <w:r>
              <w:rPr>
                <w:sz w:val="20"/>
              </w:rPr>
              <w:t>Net</w:t>
            </w:r>
            <w:r>
              <w:rPr>
                <w:spacing w:val="-5"/>
                <w:sz w:val="20"/>
              </w:rPr>
              <w:t> </w:t>
            </w:r>
            <w:r>
              <w:rPr>
                <w:sz w:val="20"/>
              </w:rPr>
              <w:t>operating</w:t>
            </w:r>
            <w:r>
              <w:rPr>
                <w:spacing w:val="-3"/>
                <w:sz w:val="20"/>
              </w:rPr>
              <w:t> </w:t>
            </w:r>
            <w:r>
              <w:rPr>
                <w:sz w:val="20"/>
              </w:rPr>
              <w:t>loss</w:t>
            </w:r>
            <w:r>
              <w:rPr>
                <w:spacing w:val="-3"/>
                <w:sz w:val="20"/>
              </w:rPr>
              <w:t> </w:t>
            </w:r>
            <w:r>
              <w:rPr>
                <w:sz w:val="20"/>
              </w:rPr>
              <w:t>carryforwards</w:t>
            </w:r>
            <w:r>
              <w:rPr>
                <w:spacing w:val="-3"/>
                <w:sz w:val="20"/>
              </w:rPr>
              <w:t> </w:t>
            </w:r>
            <w:r>
              <w:rPr>
                <w:sz w:val="20"/>
              </w:rPr>
              <w:t>of</w:t>
            </w:r>
            <w:r>
              <w:rPr>
                <w:spacing w:val="-3"/>
                <w:sz w:val="20"/>
              </w:rPr>
              <w:t> </w:t>
            </w:r>
            <w:r>
              <w:rPr>
                <w:sz w:val="20"/>
              </w:rPr>
              <w:t>acquired</w:t>
            </w:r>
            <w:r>
              <w:rPr>
                <w:spacing w:val="-2"/>
                <w:sz w:val="20"/>
              </w:rPr>
              <w:t> companies</w:t>
            </w:r>
          </w:p>
        </w:tc>
        <w:tc>
          <w:tcPr>
            <w:tcW w:w="1160" w:type="dxa"/>
          </w:tcPr>
          <w:p>
            <w:pPr>
              <w:pStyle w:val="TableParagraph"/>
              <w:spacing w:before="2"/>
              <w:ind w:right="136"/>
              <w:jc w:val="right"/>
              <w:rPr>
                <w:sz w:val="20"/>
              </w:rPr>
            </w:pPr>
            <w:r>
              <w:rPr>
                <w:spacing w:val="-2"/>
                <w:sz w:val="20"/>
              </w:rPr>
              <w:t>44,465</w:t>
            </w:r>
          </w:p>
        </w:tc>
        <w:tc>
          <w:tcPr>
            <w:tcW w:w="1140" w:type="dxa"/>
          </w:tcPr>
          <w:p>
            <w:pPr>
              <w:pStyle w:val="TableParagraph"/>
              <w:spacing w:before="2"/>
              <w:ind w:right="76"/>
              <w:jc w:val="right"/>
              <w:rPr>
                <w:sz w:val="20"/>
              </w:rPr>
            </w:pPr>
            <w:r>
              <w:rPr>
                <w:spacing w:val="-2"/>
                <w:sz w:val="20"/>
              </w:rPr>
              <w:t>31,305</w:t>
            </w:r>
          </w:p>
        </w:tc>
      </w:tr>
      <w:tr>
        <w:trPr>
          <w:trHeight w:val="280" w:hRule="atLeast"/>
        </w:trPr>
        <w:tc>
          <w:tcPr>
            <w:tcW w:w="7940" w:type="dxa"/>
            <w:gridSpan w:val="2"/>
            <w:shd w:val="clear" w:color="auto" w:fill="CCEDFF"/>
          </w:tcPr>
          <w:p>
            <w:pPr>
              <w:pStyle w:val="TableParagraph"/>
              <w:spacing w:before="2"/>
              <w:ind w:left="170"/>
              <w:rPr>
                <w:sz w:val="20"/>
              </w:rPr>
            </w:pPr>
            <w:r>
              <w:rPr>
                <w:sz w:val="20"/>
              </w:rPr>
              <w:t>Credit </w:t>
            </w:r>
            <w:r>
              <w:rPr>
                <w:spacing w:val="-2"/>
                <w:sz w:val="20"/>
              </w:rPr>
              <w:t>carryforwards</w:t>
            </w:r>
          </w:p>
        </w:tc>
        <w:tc>
          <w:tcPr>
            <w:tcW w:w="1160" w:type="dxa"/>
            <w:shd w:val="clear" w:color="auto" w:fill="CCEDFF"/>
          </w:tcPr>
          <w:p>
            <w:pPr>
              <w:pStyle w:val="TableParagraph"/>
              <w:spacing w:before="2"/>
              <w:ind w:right="136"/>
              <w:jc w:val="right"/>
              <w:rPr>
                <w:sz w:val="20"/>
              </w:rPr>
            </w:pPr>
            <w:r>
              <w:rPr>
                <w:spacing w:val="-2"/>
                <w:sz w:val="20"/>
              </w:rPr>
              <w:t>124,205</w:t>
            </w:r>
          </w:p>
        </w:tc>
        <w:tc>
          <w:tcPr>
            <w:tcW w:w="1140" w:type="dxa"/>
            <w:shd w:val="clear" w:color="auto" w:fill="CCEDFF"/>
          </w:tcPr>
          <w:p>
            <w:pPr>
              <w:pStyle w:val="TableParagraph"/>
              <w:spacing w:before="2"/>
              <w:ind w:right="76"/>
              <w:jc w:val="right"/>
              <w:rPr>
                <w:sz w:val="20"/>
              </w:rPr>
            </w:pPr>
            <w:r>
              <w:rPr>
                <w:spacing w:val="-2"/>
                <w:sz w:val="20"/>
              </w:rPr>
              <w:t>63,315</w:t>
            </w:r>
          </w:p>
        </w:tc>
      </w:tr>
      <w:tr>
        <w:trPr>
          <w:trHeight w:val="280" w:hRule="atLeast"/>
        </w:trPr>
        <w:tc>
          <w:tcPr>
            <w:tcW w:w="7940" w:type="dxa"/>
            <w:gridSpan w:val="2"/>
          </w:tcPr>
          <w:p>
            <w:pPr>
              <w:pStyle w:val="TableParagraph"/>
              <w:spacing w:before="2"/>
              <w:ind w:left="170"/>
              <w:rPr>
                <w:sz w:val="20"/>
              </w:rPr>
            </w:pPr>
            <w:r>
              <w:rPr>
                <w:sz w:val="20"/>
              </w:rPr>
              <w:t>Capitalized </w:t>
            </w:r>
            <w:r>
              <w:rPr>
                <w:spacing w:val="-2"/>
                <w:sz w:val="20"/>
              </w:rPr>
              <w:t>expenses</w:t>
            </w:r>
          </w:p>
        </w:tc>
        <w:tc>
          <w:tcPr>
            <w:tcW w:w="1160" w:type="dxa"/>
          </w:tcPr>
          <w:p>
            <w:pPr>
              <w:pStyle w:val="TableParagraph"/>
              <w:spacing w:before="2"/>
              <w:ind w:right="136"/>
              <w:jc w:val="right"/>
              <w:rPr>
                <w:sz w:val="20"/>
              </w:rPr>
            </w:pPr>
            <w:r>
              <w:rPr>
                <w:spacing w:val="-2"/>
                <w:sz w:val="20"/>
              </w:rPr>
              <w:t>13,428</w:t>
            </w:r>
          </w:p>
        </w:tc>
        <w:tc>
          <w:tcPr>
            <w:tcW w:w="1140" w:type="dxa"/>
          </w:tcPr>
          <w:p>
            <w:pPr>
              <w:pStyle w:val="TableParagraph"/>
              <w:spacing w:before="2"/>
              <w:ind w:right="76"/>
              <w:jc w:val="right"/>
              <w:rPr>
                <w:sz w:val="20"/>
              </w:rPr>
            </w:pPr>
            <w:r>
              <w:rPr>
                <w:spacing w:val="-2"/>
                <w:sz w:val="20"/>
              </w:rPr>
              <w:t>15,571</w:t>
            </w:r>
          </w:p>
        </w:tc>
      </w:tr>
      <w:tr>
        <w:trPr>
          <w:trHeight w:val="280" w:hRule="atLeast"/>
        </w:trPr>
        <w:tc>
          <w:tcPr>
            <w:tcW w:w="7940" w:type="dxa"/>
            <w:gridSpan w:val="2"/>
            <w:shd w:val="clear" w:color="auto" w:fill="CCEDFF"/>
          </w:tcPr>
          <w:p>
            <w:pPr>
              <w:pStyle w:val="TableParagraph"/>
              <w:spacing w:before="2"/>
              <w:ind w:left="170"/>
              <w:rPr>
                <w:sz w:val="20"/>
              </w:rPr>
            </w:pPr>
            <w:r>
              <w:rPr>
                <w:sz w:val="20"/>
              </w:rPr>
              <w:t>Benefits</w:t>
            </w:r>
            <w:r>
              <w:rPr>
                <w:spacing w:val="-3"/>
                <w:sz w:val="20"/>
              </w:rPr>
              <w:t> </w:t>
            </w:r>
            <w:r>
              <w:rPr>
                <w:sz w:val="20"/>
              </w:rPr>
              <w:t>relating</w:t>
            </w:r>
            <w:r>
              <w:rPr>
                <w:spacing w:val="-2"/>
                <w:sz w:val="20"/>
              </w:rPr>
              <w:t> </w:t>
            </w:r>
            <w:r>
              <w:rPr>
                <w:sz w:val="20"/>
              </w:rPr>
              <w:t>to</w:t>
            </w:r>
            <w:r>
              <w:rPr>
                <w:spacing w:val="-2"/>
                <w:sz w:val="20"/>
              </w:rPr>
              <w:t> </w:t>
            </w:r>
            <w:r>
              <w:rPr>
                <w:sz w:val="20"/>
              </w:rPr>
              <w:t>tax</w:t>
            </w:r>
            <w:r>
              <w:rPr>
                <w:spacing w:val="-1"/>
                <w:sz w:val="20"/>
              </w:rPr>
              <w:t> </w:t>
            </w:r>
            <w:r>
              <w:rPr>
                <w:spacing w:val="-2"/>
                <w:sz w:val="20"/>
              </w:rPr>
              <w:t>positions</w:t>
            </w:r>
          </w:p>
        </w:tc>
        <w:tc>
          <w:tcPr>
            <w:tcW w:w="1160" w:type="dxa"/>
            <w:shd w:val="clear" w:color="auto" w:fill="CCEDFF"/>
          </w:tcPr>
          <w:p>
            <w:pPr>
              <w:pStyle w:val="TableParagraph"/>
              <w:spacing w:before="2"/>
              <w:ind w:right="136"/>
              <w:jc w:val="right"/>
              <w:rPr>
                <w:sz w:val="20"/>
              </w:rPr>
            </w:pPr>
            <w:r>
              <w:rPr>
                <w:spacing w:val="-2"/>
                <w:sz w:val="20"/>
              </w:rPr>
              <w:t>33,318</w:t>
            </w:r>
          </w:p>
        </w:tc>
        <w:tc>
          <w:tcPr>
            <w:tcW w:w="1140" w:type="dxa"/>
            <w:shd w:val="clear" w:color="auto" w:fill="CCEDFF"/>
          </w:tcPr>
          <w:p>
            <w:pPr>
              <w:pStyle w:val="TableParagraph"/>
              <w:spacing w:before="2"/>
              <w:ind w:right="76"/>
              <w:jc w:val="right"/>
              <w:rPr>
                <w:sz w:val="20"/>
              </w:rPr>
            </w:pPr>
            <w:r>
              <w:rPr>
                <w:spacing w:val="-2"/>
                <w:sz w:val="20"/>
              </w:rPr>
              <w:t>39,492</w:t>
            </w:r>
          </w:p>
        </w:tc>
      </w:tr>
      <w:tr>
        <w:trPr>
          <w:trHeight w:val="270" w:hRule="atLeast"/>
        </w:trPr>
        <w:tc>
          <w:tcPr>
            <w:tcW w:w="7940" w:type="dxa"/>
            <w:gridSpan w:val="2"/>
          </w:tcPr>
          <w:p>
            <w:pPr>
              <w:pStyle w:val="TableParagraph"/>
              <w:spacing w:before="2"/>
              <w:ind w:left="170"/>
              <w:rPr>
                <w:sz w:val="20"/>
              </w:rPr>
            </w:pPr>
            <w:r>
              <w:rPr>
                <w:spacing w:val="-2"/>
                <w:sz w:val="20"/>
              </w:rPr>
              <w:t>Other</w:t>
            </w:r>
          </w:p>
        </w:tc>
        <w:tc>
          <w:tcPr>
            <w:tcW w:w="1160" w:type="dxa"/>
            <w:tcBorders>
              <w:bottom w:val="single" w:sz="8" w:space="0" w:color="000000"/>
            </w:tcBorders>
          </w:tcPr>
          <w:p>
            <w:pPr>
              <w:pStyle w:val="TableParagraph"/>
              <w:spacing w:before="2"/>
              <w:ind w:right="136"/>
              <w:jc w:val="right"/>
              <w:rPr>
                <w:sz w:val="20"/>
              </w:rPr>
            </w:pPr>
            <w:r>
              <w:rPr>
                <w:spacing w:val="-2"/>
                <w:sz w:val="20"/>
              </w:rPr>
              <w:t>30,289</w:t>
            </w:r>
          </w:p>
        </w:tc>
        <w:tc>
          <w:tcPr>
            <w:tcW w:w="1140" w:type="dxa"/>
            <w:tcBorders>
              <w:bottom w:val="single" w:sz="8" w:space="0" w:color="000000"/>
            </w:tcBorders>
          </w:tcPr>
          <w:p>
            <w:pPr>
              <w:pStyle w:val="TableParagraph"/>
              <w:spacing w:before="2"/>
              <w:ind w:right="76"/>
              <w:jc w:val="right"/>
              <w:rPr>
                <w:sz w:val="20"/>
              </w:rPr>
            </w:pPr>
            <w:r>
              <w:rPr>
                <w:spacing w:val="-2"/>
                <w:sz w:val="20"/>
              </w:rPr>
              <w:t>26,439</w:t>
            </w:r>
          </w:p>
        </w:tc>
      </w:tr>
      <w:tr>
        <w:trPr>
          <w:trHeight w:val="270" w:hRule="atLeast"/>
        </w:trPr>
        <w:tc>
          <w:tcPr>
            <w:tcW w:w="7940" w:type="dxa"/>
            <w:gridSpan w:val="2"/>
            <w:shd w:val="clear" w:color="auto" w:fill="CCEDFF"/>
          </w:tcPr>
          <w:p>
            <w:pPr>
              <w:pStyle w:val="TableParagraph"/>
              <w:spacing w:line="222" w:lineRule="exact"/>
              <w:ind w:left="170"/>
              <w:rPr>
                <w:sz w:val="20"/>
              </w:rPr>
            </w:pPr>
            <w:r>
              <w:rPr>
                <w:sz w:val="20"/>
              </w:rPr>
              <w:t>Total</w:t>
            </w:r>
            <w:r>
              <w:rPr>
                <w:spacing w:val="-3"/>
                <w:sz w:val="20"/>
              </w:rPr>
              <w:t> </w:t>
            </w:r>
            <w:r>
              <w:rPr>
                <w:sz w:val="20"/>
              </w:rPr>
              <w:t>gross</w:t>
            </w:r>
            <w:r>
              <w:rPr>
                <w:spacing w:val="-4"/>
                <w:sz w:val="20"/>
              </w:rPr>
              <w:t> </w:t>
            </w:r>
            <w:r>
              <w:rPr>
                <w:sz w:val="20"/>
              </w:rPr>
              <w:t>deferred</w:t>
            </w:r>
            <w:r>
              <w:rPr>
                <w:spacing w:val="-3"/>
                <w:sz w:val="20"/>
              </w:rPr>
              <w:t> </w:t>
            </w:r>
            <w:r>
              <w:rPr>
                <w:sz w:val="20"/>
              </w:rPr>
              <w:t>tax</w:t>
            </w:r>
            <w:r>
              <w:rPr>
                <w:spacing w:val="-2"/>
                <w:sz w:val="20"/>
              </w:rPr>
              <w:t> assets</w:t>
            </w:r>
          </w:p>
        </w:tc>
        <w:tc>
          <w:tcPr>
            <w:tcW w:w="1160" w:type="dxa"/>
            <w:tcBorders>
              <w:top w:val="single" w:sz="8" w:space="0" w:color="000000"/>
            </w:tcBorders>
            <w:shd w:val="clear" w:color="auto" w:fill="CCEDFF"/>
          </w:tcPr>
          <w:p>
            <w:pPr>
              <w:pStyle w:val="TableParagraph"/>
              <w:spacing w:line="222" w:lineRule="exact"/>
              <w:ind w:right="136"/>
              <w:jc w:val="right"/>
              <w:rPr>
                <w:sz w:val="20"/>
              </w:rPr>
            </w:pPr>
            <w:r>
              <w:rPr>
                <w:spacing w:val="-2"/>
                <w:sz w:val="20"/>
              </w:rPr>
              <w:t>397,717</w:t>
            </w:r>
          </w:p>
        </w:tc>
        <w:tc>
          <w:tcPr>
            <w:tcW w:w="1140" w:type="dxa"/>
            <w:tcBorders>
              <w:top w:val="single" w:sz="8" w:space="0" w:color="000000"/>
            </w:tcBorders>
            <w:shd w:val="clear" w:color="auto" w:fill="CCEDFF"/>
          </w:tcPr>
          <w:p>
            <w:pPr>
              <w:pStyle w:val="TableParagraph"/>
              <w:spacing w:line="222" w:lineRule="exact"/>
              <w:ind w:right="76"/>
              <w:jc w:val="right"/>
              <w:rPr>
                <w:sz w:val="20"/>
              </w:rPr>
            </w:pPr>
            <w:r>
              <w:rPr>
                <w:spacing w:val="-2"/>
                <w:sz w:val="20"/>
              </w:rPr>
              <w:t>298,766</w:t>
            </w:r>
          </w:p>
        </w:tc>
      </w:tr>
      <w:tr>
        <w:trPr>
          <w:trHeight w:val="270" w:hRule="atLeast"/>
        </w:trPr>
        <w:tc>
          <w:tcPr>
            <w:tcW w:w="7940" w:type="dxa"/>
            <w:gridSpan w:val="2"/>
          </w:tcPr>
          <w:p>
            <w:pPr>
              <w:pStyle w:val="TableParagraph"/>
              <w:spacing w:before="2"/>
              <w:ind w:left="170"/>
              <w:rPr>
                <w:sz w:val="20"/>
              </w:rPr>
            </w:pPr>
            <w:r>
              <w:rPr>
                <w:sz w:val="20"/>
              </w:rPr>
              <w:t>Deferred tax asset valuation </w:t>
            </w:r>
            <w:r>
              <w:rPr>
                <w:spacing w:val="-2"/>
                <w:sz w:val="20"/>
              </w:rPr>
              <w:t>allowance</w:t>
            </w:r>
          </w:p>
        </w:tc>
        <w:tc>
          <w:tcPr>
            <w:tcW w:w="1160" w:type="dxa"/>
            <w:tcBorders>
              <w:bottom w:val="single" w:sz="8" w:space="0" w:color="000000"/>
            </w:tcBorders>
          </w:tcPr>
          <w:p>
            <w:pPr>
              <w:pStyle w:val="TableParagraph"/>
              <w:spacing w:before="2"/>
              <w:ind w:right="68"/>
              <w:jc w:val="right"/>
              <w:rPr>
                <w:sz w:val="20"/>
              </w:rPr>
            </w:pPr>
            <w:r>
              <w:rPr>
                <w:spacing w:val="-2"/>
                <w:sz w:val="20"/>
              </w:rPr>
              <w:t>(93,568)</w:t>
            </w:r>
          </w:p>
        </w:tc>
        <w:tc>
          <w:tcPr>
            <w:tcW w:w="1140" w:type="dxa"/>
            <w:tcBorders>
              <w:bottom w:val="single" w:sz="8" w:space="0" w:color="000000"/>
            </w:tcBorders>
          </w:tcPr>
          <w:p>
            <w:pPr>
              <w:pStyle w:val="TableParagraph"/>
              <w:spacing w:before="2"/>
              <w:ind w:right="8"/>
              <w:jc w:val="right"/>
              <w:rPr>
                <w:sz w:val="20"/>
              </w:rPr>
            </w:pPr>
            <w:r>
              <w:rPr>
                <w:spacing w:val="-2"/>
                <w:sz w:val="20"/>
              </w:rPr>
              <w:t>(24,265)</w:t>
            </w:r>
          </w:p>
        </w:tc>
      </w:tr>
      <w:tr>
        <w:trPr>
          <w:trHeight w:val="260" w:hRule="atLeast"/>
        </w:trPr>
        <w:tc>
          <w:tcPr>
            <w:tcW w:w="7940" w:type="dxa"/>
            <w:gridSpan w:val="2"/>
            <w:shd w:val="clear" w:color="auto" w:fill="CCEDFF"/>
          </w:tcPr>
          <w:p>
            <w:pPr>
              <w:pStyle w:val="TableParagraph"/>
              <w:spacing w:line="222" w:lineRule="exact"/>
              <w:ind w:left="170"/>
              <w:rPr>
                <w:sz w:val="20"/>
              </w:rPr>
            </w:pPr>
            <w:r>
              <w:rPr>
                <w:sz w:val="20"/>
              </w:rPr>
              <w:t>Total</w:t>
            </w:r>
            <w:r>
              <w:rPr>
                <w:spacing w:val="-3"/>
                <w:sz w:val="20"/>
              </w:rPr>
              <w:t> </w:t>
            </w:r>
            <w:r>
              <w:rPr>
                <w:sz w:val="20"/>
              </w:rPr>
              <w:t>deferred</w:t>
            </w:r>
            <w:r>
              <w:rPr>
                <w:spacing w:val="-2"/>
                <w:sz w:val="20"/>
              </w:rPr>
              <w:t> </w:t>
            </w:r>
            <w:r>
              <w:rPr>
                <w:sz w:val="20"/>
              </w:rPr>
              <w:t>tax</w:t>
            </w:r>
            <w:r>
              <w:rPr>
                <w:spacing w:val="-2"/>
                <w:sz w:val="20"/>
              </w:rPr>
              <w:t> assets</w:t>
            </w:r>
          </w:p>
        </w:tc>
        <w:tc>
          <w:tcPr>
            <w:tcW w:w="1160" w:type="dxa"/>
            <w:tcBorders>
              <w:top w:val="single" w:sz="8" w:space="0" w:color="000000"/>
              <w:bottom w:val="single" w:sz="8" w:space="0" w:color="000000"/>
            </w:tcBorders>
            <w:shd w:val="clear" w:color="auto" w:fill="CCEDFF"/>
          </w:tcPr>
          <w:p>
            <w:pPr>
              <w:pStyle w:val="TableParagraph"/>
              <w:spacing w:line="222" w:lineRule="exact"/>
              <w:ind w:right="136"/>
              <w:jc w:val="right"/>
              <w:rPr>
                <w:sz w:val="20"/>
              </w:rPr>
            </w:pPr>
            <w:r>
              <w:rPr>
                <w:spacing w:val="-2"/>
                <w:sz w:val="20"/>
              </w:rPr>
              <w:t>304,149</w:t>
            </w:r>
          </w:p>
        </w:tc>
        <w:tc>
          <w:tcPr>
            <w:tcW w:w="1140" w:type="dxa"/>
            <w:tcBorders>
              <w:top w:val="single" w:sz="8" w:space="0" w:color="000000"/>
              <w:bottom w:val="single" w:sz="8" w:space="0" w:color="000000"/>
            </w:tcBorders>
            <w:shd w:val="clear" w:color="auto" w:fill="CCEDFF"/>
          </w:tcPr>
          <w:p>
            <w:pPr>
              <w:pStyle w:val="TableParagraph"/>
              <w:spacing w:line="222" w:lineRule="exact"/>
              <w:ind w:right="76"/>
              <w:jc w:val="right"/>
              <w:rPr>
                <w:sz w:val="20"/>
              </w:rPr>
            </w:pPr>
            <w:r>
              <w:rPr>
                <w:spacing w:val="-2"/>
                <w:sz w:val="20"/>
              </w:rPr>
              <w:t>274,501</w:t>
            </w:r>
          </w:p>
        </w:tc>
      </w:tr>
      <w:tr>
        <w:trPr>
          <w:trHeight w:val="270" w:hRule="atLeast"/>
        </w:trPr>
        <w:tc>
          <w:tcPr>
            <w:tcW w:w="7940" w:type="dxa"/>
            <w:gridSpan w:val="2"/>
          </w:tcPr>
          <w:p>
            <w:pPr>
              <w:pStyle w:val="TableParagraph"/>
              <w:spacing w:line="222" w:lineRule="exact"/>
              <w:ind w:left="50"/>
              <w:rPr>
                <w:sz w:val="20"/>
              </w:rPr>
            </w:pPr>
            <w:r>
              <w:rPr>
                <w:sz w:val="20"/>
              </w:rPr>
              <w:t>Deferred tax </w:t>
            </w:r>
            <w:r>
              <w:rPr>
                <w:spacing w:val="-2"/>
                <w:sz w:val="20"/>
              </w:rPr>
              <w:t>liabilities:</w:t>
            </w:r>
          </w:p>
        </w:tc>
        <w:tc>
          <w:tcPr>
            <w:tcW w:w="1160" w:type="dxa"/>
          </w:tcPr>
          <w:p>
            <w:pPr>
              <w:pStyle w:val="TableParagraph"/>
              <w:rPr>
                <w:sz w:val="18"/>
              </w:rPr>
            </w:pPr>
          </w:p>
        </w:tc>
        <w:tc>
          <w:tcPr>
            <w:tcW w:w="1140" w:type="dxa"/>
          </w:tcPr>
          <w:p>
            <w:pPr>
              <w:pStyle w:val="TableParagraph"/>
              <w:rPr>
                <w:sz w:val="18"/>
              </w:rPr>
            </w:pPr>
          </w:p>
        </w:tc>
      </w:tr>
      <w:tr>
        <w:trPr>
          <w:trHeight w:val="280" w:hRule="atLeast"/>
        </w:trPr>
        <w:tc>
          <w:tcPr>
            <w:tcW w:w="7860" w:type="dxa"/>
            <w:shd w:val="clear" w:color="auto" w:fill="CCEDFF"/>
          </w:tcPr>
          <w:p>
            <w:pPr>
              <w:pStyle w:val="TableParagraph"/>
              <w:spacing w:before="2"/>
              <w:ind w:left="170"/>
              <w:rPr>
                <w:sz w:val="20"/>
              </w:rPr>
            </w:pPr>
            <w:r>
              <w:rPr>
                <w:sz w:val="20"/>
              </w:rPr>
              <w:t>Depreciation and </w:t>
            </w:r>
            <w:r>
              <w:rPr>
                <w:spacing w:val="-2"/>
                <w:sz w:val="20"/>
              </w:rPr>
              <w:t>amortization</w:t>
            </w:r>
          </w:p>
        </w:tc>
        <w:tc>
          <w:tcPr>
            <w:tcW w:w="1240" w:type="dxa"/>
            <w:gridSpan w:val="2"/>
            <w:shd w:val="clear" w:color="auto" w:fill="CCEDFF"/>
          </w:tcPr>
          <w:p>
            <w:pPr>
              <w:pStyle w:val="TableParagraph"/>
              <w:spacing w:before="2"/>
              <w:ind w:left="552"/>
              <w:rPr>
                <w:sz w:val="20"/>
              </w:rPr>
            </w:pPr>
            <w:r>
              <w:rPr>
                <w:spacing w:val="-2"/>
                <w:sz w:val="20"/>
              </w:rPr>
              <w:t>84,064</w:t>
            </w:r>
          </w:p>
        </w:tc>
        <w:tc>
          <w:tcPr>
            <w:tcW w:w="1140" w:type="dxa"/>
            <w:shd w:val="clear" w:color="auto" w:fill="CCEDFF"/>
          </w:tcPr>
          <w:p>
            <w:pPr>
              <w:pStyle w:val="TableParagraph"/>
              <w:spacing w:before="2"/>
              <w:ind w:right="76"/>
              <w:jc w:val="right"/>
              <w:rPr>
                <w:sz w:val="20"/>
              </w:rPr>
            </w:pPr>
            <w:r>
              <w:rPr>
                <w:spacing w:val="-2"/>
                <w:sz w:val="20"/>
              </w:rPr>
              <w:t>78,619</w:t>
            </w:r>
          </w:p>
        </w:tc>
      </w:tr>
      <w:tr>
        <w:trPr>
          <w:trHeight w:val="280" w:hRule="atLeast"/>
        </w:trPr>
        <w:tc>
          <w:tcPr>
            <w:tcW w:w="7860" w:type="dxa"/>
          </w:tcPr>
          <w:p>
            <w:pPr>
              <w:pStyle w:val="TableParagraph"/>
              <w:spacing w:before="2"/>
              <w:ind w:left="170"/>
              <w:rPr>
                <w:sz w:val="20"/>
              </w:rPr>
            </w:pPr>
            <w:r>
              <w:rPr>
                <w:sz w:val="20"/>
              </w:rPr>
              <w:t>Undistributed</w:t>
            </w:r>
            <w:r>
              <w:rPr>
                <w:spacing w:val="-2"/>
                <w:sz w:val="20"/>
              </w:rPr>
              <w:t> </w:t>
            </w:r>
            <w:r>
              <w:rPr>
                <w:sz w:val="20"/>
              </w:rPr>
              <w:t>earnings</w:t>
            </w:r>
            <w:r>
              <w:rPr>
                <w:spacing w:val="-3"/>
                <w:sz w:val="20"/>
              </w:rPr>
              <w:t> </w:t>
            </w:r>
            <w:r>
              <w:rPr>
                <w:sz w:val="20"/>
              </w:rPr>
              <w:t>of</w:t>
            </w:r>
            <w:r>
              <w:rPr>
                <w:spacing w:val="-2"/>
                <w:sz w:val="20"/>
              </w:rPr>
              <w:t> </w:t>
            </w:r>
            <w:r>
              <w:rPr>
                <w:sz w:val="20"/>
              </w:rPr>
              <w:t>foreign</w:t>
            </w:r>
            <w:r>
              <w:rPr>
                <w:spacing w:val="-1"/>
                <w:sz w:val="20"/>
              </w:rPr>
              <w:t> </w:t>
            </w:r>
            <w:r>
              <w:rPr>
                <w:spacing w:val="-2"/>
                <w:sz w:val="20"/>
              </w:rPr>
              <w:t>subsidiaries</w:t>
            </w:r>
          </w:p>
        </w:tc>
        <w:tc>
          <w:tcPr>
            <w:tcW w:w="1240" w:type="dxa"/>
            <w:gridSpan w:val="2"/>
          </w:tcPr>
          <w:p>
            <w:pPr>
              <w:pStyle w:val="TableParagraph"/>
              <w:spacing w:before="2"/>
              <w:ind w:left="452"/>
              <w:rPr>
                <w:sz w:val="20"/>
              </w:rPr>
            </w:pPr>
            <w:r>
              <w:rPr>
                <w:spacing w:val="-2"/>
                <w:sz w:val="20"/>
              </w:rPr>
              <w:t>382,744</w:t>
            </w:r>
          </w:p>
        </w:tc>
        <w:tc>
          <w:tcPr>
            <w:tcW w:w="1140" w:type="dxa"/>
          </w:tcPr>
          <w:p>
            <w:pPr>
              <w:pStyle w:val="TableParagraph"/>
              <w:spacing w:before="2"/>
              <w:ind w:right="76"/>
              <w:jc w:val="right"/>
              <w:rPr>
                <w:sz w:val="20"/>
              </w:rPr>
            </w:pPr>
            <w:r>
              <w:rPr>
                <w:spacing w:val="-2"/>
                <w:sz w:val="20"/>
              </w:rPr>
              <w:t>292,844</w:t>
            </w:r>
          </w:p>
        </w:tc>
      </w:tr>
      <w:tr>
        <w:trPr>
          <w:trHeight w:val="269" w:hRule="atLeast"/>
        </w:trPr>
        <w:tc>
          <w:tcPr>
            <w:tcW w:w="7860" w:type="dxa"/>
            <w:shd w:val="clear" w:color="auto" w:fill="CCEDFF"/>
          </w:tcPr>
          <w:p>
            <w:pPr>
              <w:pStyle w:val="TableParagraph"/>
              <w:spacing w:before="2"/>
              <w:ind w:left="170"/>
              <w:rPr>
                <w:sz w:val="20"/>
              </w:rPr>
            </w:pPr>
            <w:r>
              <w:rPr>
                <w:sz w:val="20"/>
              </w:rPr>
              <w:t>Acquired intangible </w:t>
            </w:r>
            <w:r>
              <w:rPr>
                <w:spacing w:val="-2"/>
                <w:sz w:val="20"/>
              </w:rPr>
              <w:t>assets</w:t>
            </w:r>
          </w:p>
        </w:tc>
        <w:tc>
          <w:tcPr>
            <w:tcW w:w="1240" w:type="dxa"/>
            <w:gridSpan w:val="2"/>
            <w:tcBorders>
              <w:bottom w:val="single" w:sz="8" w:space="0" w:color="000000"/>
            </w:tcBorders>
            <w:shd w:val="clear" w:color="auto" w:fill="CCEDFF"/>
          </w:tcPr>
          <w:p>
            <w:pPr>
              <w:pStyle w:val="TableParagraph"/>
              <w:spacing w:before="2"/>
              <w:ind w:left="452"/>
              <w:rPr>
                <w:sz w:val="20"/>
              </w:rPr>
            </w:pPr>
            <w:r>
              <w:rPr>
                <w:spacing w:val="-2"/>
                <w:sz w:val="20"/>
              </w:rPr>
              <w:t>117,282</w:t>
            </w:r>
          </w:p>
        </w:tc>
        <w:tc>
          <w:tcPr>
            <w:tcW w:w="1140" w:type="dxa"/>
            <w:tcBorders>
              <w:bottom w:val="single" w:sz="8" w:space="0" w:color="000000"/>
            </w:tcBorders>
            <w:shd w:val="clear" w:color="auto" w:fill="CCEDFF"/>
          </w:tcPr>
          <w:p>
            <w:pPr>
              <w:pStyle w:val="TableParagraph"/>
              <w:spacing w:before="2"/>
              <w:ind w:right="76"/>
              <w:jc w:val="right"/>
              <w:rPr>
                <w:sz w:val="20"/>
              </w:rPr>
            </w:pPr>
            <w:r>
              <w:rPr>
                <w:spacing w:val="-2"/>
                <w:sz w:val="20"/>
              </w:rPr>
              <w:t>120,698</w:t>
            </w:r>
          </w:p>
        </w:tc>
      </w:tr>
      <w:tr>
        <w:trPr>
          <w:trHeight w:val="260" w:hRule="atLeast"/>
        </w:trPr>
        <w:tc>
          <w:tcPr>
            <w:tcW w:w="7860" w:type="dxa"/>
          </w:tcPr>
          <w:p>
            <w:pPr>
              <w:pStyle w:val="TableParagraph"/>
              <w:spacing w:line="222" w:lineRule="exact"/>
              <w:ind w:left="170"/>
              <w:rPr>
                <w:sz w:val="20"/>
              </w:rPr>
            </w:pPr>
            <w:r>
              <w:rPr>
                <w:sz w:val="20"/>
              </w:rPr>
              <w:t>Total</w:t>
            </w:r>
            <w:r>
              <w:rPr>
                <w:spacing w:val="-5"/>
                <w:sz w:val="20"/>
              </w:rPr>
              <w:t> </w:t>
            </w:r>
            <w:r>
              <w:rPr>
                <w:sz w:val="20"/>
              </w:rPr>
              <w:t>deferred</w:t>
            </w:r>
            <w:r>
              <w:rPr>
                <w:spacing w:val="-5"/>
                <w:sz w:val="20"/>
              </w:rPr>
              <w:t> </w:t>
            </w:r>
            <w:r>
              <w:rPr>
                <w:sz w:val="20"/>
              </w:rPr>
              <w:t>tax</w:t>
            </w:r>
            <w:r>
              <w:rPr>
                <w:spacing w:val="-4"/>
                <w:sz w:val="20"/>
              </w:rPr>
              <w:t> </w:t>
            </w:r>
            <w:r>
              <w:rPr>
                <w:spacing w:val="-2"/>
                <w:sz w:val="20"/>
              </w:rPr>
              <w:t>liabilities</w:t>
            </w:r>
          </w:p>
        </w:tc>
        <w:tc>
          <w:tcPr>
            <w:tcW w:w="1240" w:type="dxa"/>
            <w:gridSpan w:val="2"/>
            <w:tcBorders>
              <w:top w:val="single" w:sz="8" w:space="0" w:color="000000"/>
              <w:bottom w:val="single" w:sz="8" w:space="0" w:color="000000"/>
            </w:tcBorders>
          </w:tcPr>
          <w:p>
            <w:pPr>
              <w:pStyle w:val="TableParagraph"/>
              <w:spacing w:line="222" w:lineRule="exact"/>
              <w:ind w:left="452"/>
              <w:rPr>
                <w:sz w:val="20"/>
              </w:rPr>
            </w:pPr>
            <w:r>
              <w:rPr>
                <w:spacing w:val="-2"/>
                <w:sz w:val="20"/>
              </w:rPr>
              <w:t>584,090</w:t>
            </w:r>
          </w:p>
        </w:tc>
        <w:tc>
          <w:tcPr>
            <w:tcW w:w="1140" w:type="dxa"/>
            <w:tcBorders>
              <w:top w:val="single" w:sz="8" w:space="0" w:color="000000"/>
              <w:bottom w:val="single" w:sz="8" w:space="0" w:color="000000"/>
            </w:tcBorders>
          </w:tcPr>
          <w:p>
            <w:pPr>
              <w:pStyle w:val="TableParagraph"/>
              <w:spacing w:line="222" w:lineRule="exact"/>
              <w:ind w:right="76"/>
              <w:jc w:val="right"/>
              <w:rPr>
                <w:sz w:val="20"/>
              </w:rPr>
            </w:pPr>
            <w:r>
              <w:rPr>
                <w:spacing w:val="-2"/>
                <w:sz w:val="20"/>
              </w:rPr>
              <w:t>492,161</w:t>
            </w:r>
          </w:p>
        </w:tc>
      </w:tr>
      <w:tr>
        <w:trPr>
          <w:trHeight w:val="240" w:hRule="atLeast"/>
        </w:trPr>
        <w:tc>
          <w:tcPr>
            <w:tcW w:w="7860" w:type="dxa"/>
          </w:tcPr>
          <w:p>
            <w:pPr>
              <w:pStyle w:val="TableParagraph"/>
              <w:spacing w:line="220" w:lineRule="exact"/>
              <w:ind w:left="50"/>
              <w:rPr>
                <w:sz w:val="20"/>
              </w:rPr>
            </w:pPr>
            <w:r>
              <w:rPr>
                <w:sz w:val="20"/>
              </w:rPr>
              <w:t>Net deferred tax </w:t>
            </w:r>
            <w:r>
              <w:rPr>
                <w:spacing w:val="-2"/>
                <w:sz w:val="20"/>
              </w:rPr>
              <w:t>liabilities:</w:t>
            </w:r>
          </w:p>
        </w:tc>
        <w:tc>
          <w:tcPr>
            <w:tcW w:w="1240" w:type="dxa"/>
            <w:gridSpan w:val="2"/>
            <w:tcBorders>
              <w:top w:val="single" w:sz="8" w:space="0" w:color="000000"/>
              <w:bottom w:val="double" w:sz="8" w:space="0" w:color="000000"/>
            </w:tcBorders>
            <w:shd w:val="clear" w:color="auto" w:fill="CCEDFF"/>
          </w:tcPr>
          <w:p>
            <w:pPr>
              <w:pStyle w:val="TableParagraph"/>
              <w:tabs>
                <w:tab w:pos="452" w:val="left" w:leader="none"/>
              </w:tabs>
              <w:spacing w:line="220" w:lineRule="exact"/>
              <w:ind w:left="130"/>
              <w:rPr>
                <w:sz w:val="20"/>
              </w:rPr>
            </w:pPr>
            <w:r>
              <w:rPr>
                <w:spacing w:val="-10"/>
                <w:sz w:val="20"/>
              </w:rPr>
              <w:t>$</w:t>
            </w:r>
            <w:r>
              <w:rPr>
                <w:sz w:val="20"/>
              </w:rPr>
              <w:tab/>
            </w:r>
            <w:r>
              <w:rPr>
                <w:spacing w:val="-2"/>
                <w:sz w:val="20"/>
              </w:rPr>
              <w:t>279,941</w:t>
            </w:r>
          </w:p>
        </w:tc>
        <w:tc>
          <w:tcPr>
            <w:tcW w:w="1140" w:type="dxa"/>
            <w:tcBorders>
              <w:top w:val="single" w:sz="8" w:space="0" w:color="000000"/>
              <w:bottom w:val="double" w:sz="8" w:space="0" w:color="000000"/>
            </w:tcBorders>
            <w:shd w:val="clear" w:color="auto" w:fill="CCEDFF"/>
          </w:tcPr>
          <w:p>
            <w:pPr>
              <w:pStyle w:val="TableParagraph"/>
              <w:tabs>
                <w:tab w:pos="342" w:val="left" w:leader="none"/>
              </w:tabs>
              <w:spacing w:line="220" w:lineRule="exact"/>
              <w:ind w:right="76"/>
              <w:jc w:val="right"/>
              <w:rPr>
                <w:sz w:val="20"/>
              </w:rPr>
            </w:pPr>
            <w:r>
              <w:rPr>
                <w:spacing w:val="-10"/>
                <w:sz w:val="20"/>
              </w:rPr>
              <w:t>$</w:t>
            </w:r>
            <w:r>
              <w:rPr>
                <w:sz w:val="20"/>
              </w:rPr>
              <w:tab/>
            </w:r>
            <w:r>
              <w:rPr>
                <w:spacing w:val="-2"/>
                <w:sz w:val="20"/>
              </w:rPr>
              <w:t>217,660</w:t>
            </w:r>
          </w:p>
        </w:tc>
      </w:tr>
    </w:tbl>
    <w:p>
      <w:pPr>
        <w:pStyle w:val="BodyText"/>
        <w:spacing w:line="249" w:lineRule="auto" w:before="194"/>
        <w:ind w:left="220" w:right="257" w:firstLine="540"/>
        <w:jc w:val="both"/>
      </w:pPr>
      <w:r>
        <w:rPr>
          <w:spacing w:val="-2"/>
        </w:rPr>
        <w:t>Deferred</w:t>
      </w:r>
      <w:r>
        <w:rPr>
          <w:spacing w:val="-4"/>
        </w:rPr>
        <w:t> </w:t>
      </w:r>
      <w:r>
        <w:rPr>
          <w:spacing w:val="-2"/>
        </w:rPr>
        <w:t>tax</w:t>
      </w:r>
      <w:r>
        <w:rPr>
          <w:spacing w:val="-3"/>
        </w:rPr>
        <w:t> </w:t>
      </w:r>
      <w:r>
        <w:rPr>
          <w:spacing w:val="-2"/>
        </w:rPr>
        <w:t>assets</w:t>
      </w:r>
      <w:r>
        <w:rPr>
          <w:spacing w:val="-4"/>
        </w:rPr>
        <w:t> </w:t>
      </w:r>
      <w:r>
        <w:rPr>
          <w:spacing w:val="-2"/>
        </w:rPr>
        <w:t>and</w:t>
      </w:r>
      <w:r>
        <w:rPr>
          <w:spacing w:val="-3"/>
        </w:rPr>
        <w:t> </w:t>
      </w:r>
      <w:r>
        <w:rPr>
          <w:spacing w:val="-2"/>
        </w:rPr>
        <w:t>liabilities</w:t>
      </w:r>
      <w:r>
        <w:rPr>
          <w:spacing w:val="-3"/>
        </w:rPr>
        <w:t> </w:t>
      </w:r>
      <w:r>
        <w:rPr>
          <w:spacing w:val="-2"/>
        </w:rPr>
        <w:t>are</w:t>
      </w:r>
      <w:r>
        <w:rPr>
          <w:spacing w:val="-3"/>
        </w:rPr>
        <w:t> </w:t>
      </w:r>
      <w:r>
        <w:rPr>
          <w:spacing w:val="-2"/>
        </w:rPr>
        <w:t>recognized</w:t>
      </w:r>
      <w:r>
        <w:rPr>
          <w:spacing w:val="-4"/>
        </w:rPr>
        <w:t> </w:t>
      </w:r>
      <w:r>
        <w:rPr>
          <w:spacing w:val="-2"/>
        </w:rPr>
        <w:t>for</w:t>
      </w:r>
      <w:r>
        <w:rPr>
          <w:spacing w:val="-4"/>
        </w:rPr>
        <w:t> </w:t>
      </w:r>
      <w:r>
        <w:rPr>
          <w:spacing w:val="-2"/>
        </w:rPr>
        <w:t>the</w:t>
      </w:r>
      <w:r>
        <w:rPr>
          <w:spacing w:val="-3"/>
        </w:rPr>
        <w:t> </w:t>
      </w:r>
      <w:r>
        <w:rPr>
          <w:spacing w:val="-2"/>
        </w:rPr>
        <w:t>expected</w:t>
      </w:r>
      <w:r>
        <w:rPr>
          <w:spacing w:val="-4"/>
        </w:rPr>
        <w:t> </w:t>
      </w:r>
      <w:r>
        <w:rPr>
          <w:spacing w:val="-2"/>
        </w:rPr>
        <w:t>future</w:t>
      </w:r>
      <w:r>
        <w:rPr>
          <w:spacing w:val="-4"/>
        </w:rPr>
        <w:t> </w:t>
      </w:r>
      <w:r>
        <w:rPr>
          <w:spacing w:val="-2"/>
        </w:rPr>
        <w:t>tax</w:t>
      </w:r>
      <w:r>
        <w:rPr>
          <w:spacing w:val="-4"/>
        </w:rPr>
        <w:t> </w:t>
      </w:r>
      <w:r>
        <w:rPr>
          <w:spacing w:val="-2"/>
        </w:rPr>
        <w:t>consequences</w:t>
      </w:r>
      <w:r>
        <w:rPr>
          <w:spacing w:val="-3"/>
        </w:rPr>
        <w:t> </w:t>
      </w:r>
      <w:r>
        <w:rPr>
          <w:spacing w:val="-2"/>
        </w:rPr>
        <w:t>of</w:t>
      </w:r>
      <w:r>
        <w:rPr>
          <w:spacing w:val="-4"/>
        </w:rPr>
        <w:t> </w:t>
      </w:r>
      <w:r>
        <w:rPr>
          <w:spacing w:val="-2"/>
        </w:rPr>
        <w:t>temporary</w:t>
      </w:r>
      <w:r>
        <w:rPr>
          <w:spacing w:val="-4"/>
        </w:rPr>
        <w:t> </w:t>
      </w:r>
      <w:r>
        <w:rPr>
          <w:spacing w:val="-2"/>
        </w:rPr>
        <w:t>differences</w:t>
      </w:r>
      <w:r>
        <w:rPr>
          <w:spacing w:val="-3"/>
        </w:rPr>
        <w:t> </w:t>
      </w:r>
      <w:r>
        <w:rPr>
          <w:spacing w:val="-2"/>
        </w:rPr>
        <w:t>between </w:t>
      </w:r>
      <w:r>
        <w:rPr/>
        <w:t>the</w:t>
      </w:r>
      <w:r>
        <w:rPr>
          <w:spacing w:val="-9"/>
        </w:rPr>
        <w:t> </w:t>
      </w:r>
      <w:r>
        <w:rPr/>
        <w:t>financial</w:t>
      </w:r>
      <w:r>
        <w:rPr>
          <w:spacing w:val="-9"/>
        </w:rPr>
        <w:t> </w:t>
      </w:r>
      <w:r>
        <w:rPr/>
        <w:t>reporting</w:t>
      </w:r>
      <w:r>
        <w:rPr>
          <w:spacing w:val="-9"/>
        </w:rPr>
        <w:t> </w:t>
      </w:r>
      <w:r>
        <w:rPr/>
        <w:t>and</w:t>
      </w:r>
      <w:r>
        <w:rPr>
          <w:spacing w:val="-9"/>
        </w:rPr>
        <w:t> </w:t>
      </w:r>
      <w:r>
        <w:rPr/>
        <w:t>tax</w:t>
      </w:r>
      <w:r>
        <w:rPr>
          <w:spacing w:val="-9"/>
        </w:rPr>
        <w:t> </w:t>
      </w:r>
      <w:r>
        <w:rPr/>
        <w:t>bases</w:t>
      </w:r>
      <w:r>
        <w:rPr>
          <w:spacing w:val="-9"/>
        </w:rPr>
        <w:t> </w:t>
      </w:r>
      <w:r>
        <w:rPr/>
        <w:t>of</w:t>
      </w:r>
      <w:r>
        <w:rPr>
          <w:spacing w:val="-9"/>
        </w:rPr>
        <w:t> </w:t>
      </w:r>
      <w:r>
        <w:rPr/>
        <w:t>assets</w:t>
      </w:r>
      <w:r>
        <w:rPr>
          <w:spacing w:val="-9"/>
        </w:rPr>
        <w:t> </w:t>
      </w:r>
      <w:r>
        <w:rPr/>
        <w:t>and</w:t>
      </w:r>
      <w:r>
        <w:rPr>
          <w:spacing w:val="-9"/>
        </w:rPr>
        <w:t> </w:t>
      </w:r>
      <w:r>
        <w:rPr/>
        <w:t>liabilities,</w:t>
      </w:r>
      <w:r>
        <w:rPr>
          <w:spacing w:val="-9"/>
        </w:rPr>
        <w:t> </w:t>
      </w:r>
      <w:r>
        <w:rPr/>
        <w:t>and</w:t>
      </w:r>
      <w:r>
        <w:rPr>
          <w:spacing w:val="-9"/>
        </w:rPr>
        <w:t> </w:t>
      </w:r>
      <w:r>
        <w:rPr/>
        <w:t>for</w:t>
      </w:r>
      <w:r>
        <w:rPr>
          <w:spacing w:val="-9"/>
        </w:rPr>
        <w:t> </w:t>
      </w:r>
      <w:r>
        <w:rPr/>
        <w:t>operating</w:t>
      </w:r>
      <w:r>
        <w:rPr>
          <w:spacing w:val="-9"/>
        </w:rPr>
        <w:t> </w:t>
      </w:r>
      <w:r>
        <w:rPr/>
        <w:t>losses</w:t>
      </w:r>
      <w:r>
        <w:rPr>
          <w:spacing w:val="-9"/>
        </w:rPr>
        <w:t> </w:t>
      </w:r>
      <w:r>
        <w:rPr/>
        <w:t>and</w:t>
      </w:r>
      <w:r>
        <w:rPr>
          <w:spacing w:val="-9"/>
        </w:rPr>
        <w:t> </w:t>
      </w:r>
      <w:r>
        <w:rPr/>
        <w:t>tax</w:t>
      </w:r>
      <w:r>
        <w:rPr>
          <w:spacing w:val="-9"/>
        </w:rPr>
        <w:t> </w:t>
      </w:r>
      <w:r>
        <w:rPr/>
        <w:t>credit</w:t>
      </w:r>
      <w:r>
        <w:rPr>
          <w:spacing w:val="-10"/>
        </w:rPr>
        <w:t> </w:t>
      </w:r>
      <w:r>
        <w:rPr/>
        <w:t>carryforwards.</w:t>
      </w:r>
      <w:r>
        <w:rPr>
          <w:spacing w:val="-9"/>
        </w:rPr>
        <w:t> </w:t>
      </w:r>
      <w:r>
        <w:rPr/>
        <w:t>Included</w:t>
      </w:r>
      <w:r>
        <w:rPr>
          <w:spacing w:val="-9"/>
        </w:rPr>
        <w:t> </w:t>
      </w:r>
      <w:r>
        <w:rPr/>
        <w:t>in</w:t>
      </w:r>
      <w:r>
        <w:rPr>
          <w:spacing w:val="-9"/>
        </w:rPr>
        <w:t> </w:t>
      </w:r>
      <w:r>
        <w:rPr/>
        <w:t>the deferred</w:t>
      </w:r>
      <w:r>
        <w:rPr>
          <w:spacing w:val="-6"/>
        </w:rPr>
        <w:t> </w:t>
      </w:r>
      <w:r>
        <w:rPr/>
        <w:t>tax</w:t>
      </w:r>
      <w:r>
        <w:rPr>
          <w:spacing w:val="-6"/>
        </w:rPr>
        <w:t> </w:t>
      </w:r>
      <w:r>
        <w:rPr/>
        <w:t>assets</w:t>
      </w:r>
      <w:r>
        <w:rPr>
          <w:spacing w:val="-6"/>
        </w:rPr>
        <w:t> </w:t>
      </w:r>
      <w:r>
        <w:rPr/>
        <w:t>and</w:t>
      </w:r>
      <w:r>
        <w:rPr>
          <w:spacing w:val="-6"/>
        </w:rPr>
        <w:t> </w:t>
      </w:r>
      <w:r>
        <w:rPr/>
        <w:t>liabilities</w:t>
      </w:r>
      <w:r>
        <w:rPr>
          <w:spacing w:val="-6"/>
        </w:rPr>
        <w:t> </w:t>
      </w:r>
      <w:r>
        <w:rPr/>
        <w:t>for</w:t>
      </w:r>
      <w:r>
        <w:rPr>
          <w:spacing w:val="-6"/>
        </w:rPr>
        <w:t> </w:t>
      </w:r>
      <w:r>
        <w:rPr/>
        <w:t>fiscal</w:t>
      </w:r>
      <w:r>
        <w:rPr>
          <w:spacing w:val="-6"/>
        </w:rPr>
        <w:t> </w:t>
      </w:r>
      <w:r>
        <w:rPr/>
        <w:t>2017</w:t>
      </w:r>
      <w:r>
        <w:rPr>
          <w:spacing w:val="-6"/>
        </w:rPr>
        <w:t> </w:t>
      </w:r>
      <w:r>
        <w:rPr/>
        <w:t>and</w:t>
      </w:r>
      <w:r>
        <w:rPr>
          <w:spacing w:val="-6"/>
        </w:rPr>
        <w:t> </w:t>
      </w:r>
      <w:r>
        <w:rPr/>
        <w:t>2016</w:t>
      </w:r>
      <w:r>
        <w:rPr>
          <w:spacing w:val="-6"/>
        </w:rPr>
        <w:t> </w:t>
      </w:r>
      <w:r>
        <w:rPr/>
        <w:t>are</w:t>
      </w:r>
      <w:r>
        <w:rPr>
          <w:spacing w:val="-6"/>
        </w:rPr>
        <w:t> </w:t>
      </w:r>
      <w:r>
        <w:rPr/>
        <w:t>amounts</w:t>
      </w:r>
      <w:r>
        <w:rPr>
          <w:spacing w:val="-6"/>
        </w:rPr>
        <w:t> </w:t>
      </w:r>
      <w:r>
        <w:rPr/>
        <w:t>related</w:t>
      </w:r>
      <w:r>
        <w:rPr>
          <w:spacing w:val="-6"/>
        </w:rPr>
        <w:t> </w:t>
      </w:r>
      <w:r>
        <w:rPr/>
        <w:t>to</w:t>
      </w:r>
      <w:r>
        <w:rPr>
          <w:spacing w:val="-6"/>
        </w:rPr>
        <w:t> </w:t>
      </w:r>
      <w:r>
        <w:rPr/>
        <w:t>various</w:t>
      </w:r>
      <w:r>
        <w:rPr>
          <w:spacing w:val="-6"/>
        </w:rPr>
        <w:t> </w:t>
      </w:r>
      <w:r>
        <w:rPr/>
        <w:t>acquisitions.</w:t>
      </w:r>
      <w:r>
        <w:rPr>
          <w:spacing w:val="-6"/>
        </w:rPr>
        <w:t> </w:t>
      </w:r>
      <w:r>
        <w:rPr/>
        <w:t>The</w:t>
      </w:r>
      <w:r>
        <w:rPr>
          <w:spacing w:val="-6"/>
        </w:rPr>
        <w:t> </w:t>
      </w:r>
      <w:r>
        <w:rPr/>
        <w:t>deferred</w:t>
      </w:r>
      <w:r>
        <w:rPr>
          <w:spacing w:val="-6"/>
        </w:rPr>
        <w:t> </w:t>
      </w:r>
      <w:r>
        <w:rPr/>
        <w:t>tax</w:t>
      </w:r>
      <w:r>
        <w:rPr>
          <w:spacing w:val="-6"/>
        </w:rPr>
        <w:t> </w:t>
      </w:r>
      <w:r>
        <w:rPr/>
        <w:t>assets</w:t>
      </w:r>
      <w:r>
        <w:rPr>
          <w:spacing w:val="-6"/>
        </w:rPr>
        <w:t> </w:t>
      </w:r>
      <w:r>
        <w:rPr/>
        <w:t>are offset by a valuation allowance to the extent it is more likely than not that they are not expected to be realized.</w:t>
      </w:r>
    </w:p>
    <w:p>
      <w:pPr>
        <w:spacing w:after="0" w:line="249" w:lineRule="auto"/>
        <w:jc w:val="both"/>
        <w:sectPr>
          <w:pgSz w:w="12240" w:h="15840"/>
          <w:pgMar w:header="210" w:footer="610" w:top="1380" w:bottom="800" w:left="780" w:right="740"/>
        </w:sectPr>
      </w:pPr>
    </w:p>
    <w:p>
      <w:pPr>
        <w:pStyle w:val="BodyText"/>
      </w:pPr>
    </w:p>
    <w:p>
      <w:pPr>
        <w:pStyle w:val="BodyText"/>
      </w:pPr>
    </w:p>
    <w:p>
      <w:pPr>
        <w:pStyle w:val="BodyText"/>
        <w:spacing w:before="30"/>
      </w:pPr>
    </w:p>
    <w:p>
      <w:pPr>
        <w:pStyle w:val="BodyText"/>
        <w:spacing w:line="249" w:lineRule="auto"/>
        <w:ind w:left="220" w:right="257" w:firstLine="540"/>
        <w:jc w:val="both"/>
      </w:pPr>
      <w:r>
        <w:rPr/>
        <w:t>We provide U.S. income taxes on the earnings of foreign subsidiaries unless the subsidiaries’ earnings are considered permanently reinvested outside the United States. To the extent that the foreign earnings previously treated as permanently reinvested</w:t>
      </w:r>
      <w:r>
        <w:rPr>
          <w:spacing w:val="-10"/>
        </w:rPr>
        <w:t> </w:t>
      </w:r>
      <w:r>
        <w:rPr/>
        <w:t>are</w:t>
      </w:r>
      <w:r>
        <w:rPr>
          <w:spacing w:val="-6"/>
        </w:rPr>
        <w:t> </w:t>
      </w:r>
      <w:r>
        <w:rPr/>
        <w:t>repatriated,</w:t>
      </w:r>
      <w:r>
        <w:rPr>
          <w:spacing w:val="-7"/>
        </w:rPr>
        <w:t> </w:t>
      </w:r>
      <w:r>
        <w:rPr/>
        <w:t>the</w:t>
      </w:r>
      <w:r>
        <w:rPr>
          <w:spacing w:val="-6"/>
        </w:rPr>
        <w:t> </w:t>
      </w:r>
      <w:r>
        <w:rPr/>
        <w:t>related</w:t>
      </w:r>
      <w:r>
        <w:rPr>
          <w:spacing w:val="-7"/>
        </w:rPr>
        <w:t> </w:t>
      </w:r>
      <w:r>
        <w:rPr/>
        <w:t>U.S.</w:t>
      </w:r>
      <w:r>
        <w:rPr>
          <w:spacing w:val="-7"/>
        </w:rPr>
        <w:t> </w:t>
      </w:r>
      <w:r>
        <w:rPr/>
        <w:t>tax</w:t>
      </w:r>
      <w:r>
        <w:rPr>
          <w:spacing w:val="-7"/>
        </w:rPr>
        <w:t> </w:t>
      </w:r>
      <w:r>
        <w:rPr/>
        <w:t>liability</w:t>
      </w:r>
      <w:r>
        <w:rPr>
          <w:spacing w:val="-6"/>
        </w:rPr>
        <w:t> </w:t>
      </w:r>
      <w:r>
        <w:rPr/>
        <w:t>may</w:t>
      </w:r>
      <w:r>
        <w:rPr>
          <w:spacing w:val="-7"/>
        </w:rPr>
        <w:t> </w:t>
      </w:r>
      <w:r>
        <w:rPr/>
        <w:t>be</w:t>
      </w:r>
      <w:r>
        <w:rPr>
          <w:spacing w:val="-6"/>
        </w:rPr>
        <w:t> </w:t>
      </w:r>
      <w:r>
        <w:rPr/>
        <w:t>reduced</w:t>
      </w:r>
      <w:r>
        <w:rPr>
          <w:spacing w:val="-7"/>
        </w:rPr>
        <w:t> </w:t>
      </w:r>
      <w:r>
        <w:rPr/>
        <w:t>by</w:t>
      </w:r>
      <w:r>
        <w:rPr>
          <w:spacing w:val="-6"/>
        </w:rPr>
        <w:t> </w:t>
      </w:r>
      <w:r>
        <w:rPr/>
        <w:t>any</w:t>
      </w:r>
      <w:r>
        <w:rPr>
          <w:spacing w:val="-7"/>
        </w:rPr>
        <w:t> </w:t>
      </w:r>
      <w:r>
        <w:rPr/>
        <w:t>foreign</w:t>
      </w:r>
      <w:r>
        <w:rPr>
          <w:spacing w:val="-6"/>
        </w:rPr>
        <w:t> </w:t>
      </w:r>
      <w:r>
        <w:rPr/>
        <w:t>income</w:t>
      </w:r>
      <w:r>
        <w:rPr>
          <w:spacing w:val="-7"/>
        </w:rPr>
        <w:t> </w:t>
      </w:r>
      <w:r>
        <w:rPr/>
        <w:t>taxes</w:t>
      </w:r>
      <w:r>
        <w:rPr>
          <w:spacing w:val="-6"/>
        </w:rPr>
        <w:t> </w:t>
      </w:r>
      <w:r>
        <w:rPr/>
        <w:t>paid</w:t>
      </w:r>
      <w:r>
        <w:rPr>
          <w:spacing w:val="-6"/>
        </w:rPr>
        <w:t> </w:t>
      </w:r>
      <w:r>
        <w:rPr/>
        <w:t>on</w:t>
      </w:r>
      <w:r>
        <w:rPr>
          <w:spacing w:val="-7"/>
        </w:rPr>
        <w:t> </w:t>
      </w:r>
      <w:r>
        <w:rPr/>
        <w:t>these</w:t>
      </w:r>
      <w:r>
        <w:rPr>
          <w:spacing w:val="-7"/>
        </w:rPr>
        <w:t> </w:t>
      </w:r>
      <w:r>
        <w:rPr/>
        <w:t>earnings.</w:t>
      </w:r>
      <w:r>
        <w:rPr>
          <w:spacing w:val="-13"/>
        </w:rPr>
        <w:t> </w:t>
      </w:r>
      <w:r>
        <w:rPr/>
        <w:t>As</w:t>
      </w:r>
      <w:r>
        <w:rPr>
          <w:spacing w:val="-5"/>
        </w:rPr>
        <w:t> </w:t>
      </w:r>
      <w:r>
        <w:rPr/>
        <w:t>of December</w:t>
      </w:r>
      <w:r>
        <w:rPr>
          <w:spacing w:val="-1"/>
        </w:rPr>
        <w:t> </w:t>
      </w:r>
      <w:r>
        <w:rPr/>
        <w:t>1,</w:t>
      </w:r>
      <w:r>
        <w:rPr>
          <w:spacing w:val="4"/>
        </w:rPr>
        <w:t> </w:t>
      </w:r>
      <w:r>
        <w:rPr/>
        <w:t>2017,</w:t>
      </w:r>
      <w:r>
        <w:rPr>
          <w:spacing w:val="5"/>
        </w:rPr>
        <w:t> </w:t>
      </w:r>
      <w:r>
        <w:rPr/>
        <w:t>the</w:t>
      </w:r>
      <w:r>
        <w:rPr>
          <w:spacing w:val="4"/>
        </w:rPr>
        <w:t> </w:t>
      </w:r>
      <w:r>
        <w:rPr/>
        <w:t>cumulative</w:t>
      </w:r>
      <w:r>
        <w:rPr>
          <w:spacing w:val="3"/>
        </w:rPr>
        <w:t> </w:t>
      </w:r>
      <w:r>
        <w:rPr/>
        <w:t>amount</w:t>
      </w:r>
      <w:r>
        <w:rPr>
          <w:spacing w:val="5"/>
        </w:rPr>
        <w:t> </w:t>
      </w:r>
      <w:r>
        <w:rPr/>
        <w:t>of</w:t>
      </w:r>
      <w:r>
        <w:rPr>
          <w:spacing w:val="4"/>
        </w:rPr>
        <w:t> </w:t>
      </w:r>
      <w:r>
        <w:rPr/>
        <w:t>earnings</w:t>
      </w:r>
      <w:r>
        <w:rPr>
          <w:spacing w:val="4"/>
        </w:rPr>
        <w:t> </w:t>
      </w:r>
      <w:r>
        <w:rPr/>
        <w:t>upon</w:t>
      </w:r>
      <w:r>
        <w:rPr>
          <w:spacing w:val="5"/>
        </w:rPr>
        <w:t> </w:t>
      </w:r>
      <w:r>
        <w:rPr/>
        <w:t>which</w:t>
      </w:r>
      <w:r>
        <w:rPr>
          <w:spacing w:val="4"/>
        </w:rPr>
        <w:t> </w:t>
      </w:r>
      <w:r>
        <w:rPr/>
        <w:t>U.S.</w:t>
      </w:r>
      <w:r>
        <w:rPr>
          <w:spacing w:val="4"/>
        </w:rPr>
        <w:t> </w:t>
      </w:r>
      <w:r>
        <w:rPr/>
        <w:t>income</w:t>
      </w:r>
      <w:r>
        <w:rPr>
          <w:spacing w:val="4"/>
        </w:rPr>
        <w:t> </w:t>
      </w:r>
      <w:r>
        <w:rPr/>
        <w:t>taxes</w:t>
      </w:r>
      <w:r>
        <w:rPr>
          <w:spacing w:val="4"/>
        </w:rPr>
        <w:t> </w:t>
      </w:r>
      <w:r>
        <w:rPr/>
        <w:t>have</w:t>
      </w:r>
      <w:r>
        <w:rPr>
          <w:spacing w:val="3"/>
        </w:rPr>
        <w:t> </w:t>
      </w:r>
      <w:r>
        <w:rPr/>
        <w:t>not</w:t>
      </w:r>
      <w:r>
        <w:rPr>
          <w:spacing w:val="5"/>
        </w:rPr>
        <w:t> </w:t>
      </w:r>
      <w:r>
        <w:rPr/>
        <w:t>been</w:t>
      </w:r>
      <w:r>
        <w:rPr>
          <w:spacing w:val="4"/>
        </w:rPr>
        <w:t> </w:t>
      </w:r>
      <w:r>
        <w:rPr/>
        <w:t>provided</w:t>
      </w:r>
      <w:r>
        <w:rPr>
          <w:spacing w:val="4"/>
        </w:rPr>
        <w:t> </w:t>
      </w:r>
      <w:r>
        <w:rPr/>
        <w:t>is</w:t>
      </w:r>
      <w:r>
        <w:rPr>
          <w:spacing w:val="5"/>
        </w:rPr>
        <w:t> </w:t>
      </w:r>
      <w:r>
        <w:rPr>
          <w:spacing w:val="-2"/>
        </w:rPr>
        <w:t>approximately</w:t>
      </w:r>
    </w:p>
    <w:p>
      <w:pPr>
        <w:pStyle w:val="BodyText"/>
        <w:spacing w:before="3"/>
        <w:ind w:left="220"/>
        <w:jc w:val="both"/>
      </w:pPr>
      <w:r>
        <w:rPr/>
        <w:t>$5.0</w:t>
      </w:r>
      <w:r>
        <w:rPr>
          <w:spacing w:val="-3"/>
        </w:rPr>
        <w:t> </w:t>
      </w:r>
      <w:r>
        <w:rPr/>
        <w:t>billion.</w:t>
      </w:r>
      <w:r>
        <w:rPr>
          <w:spacing w:val="-5"/>
        </w:rPr>
        <w:t> </w:t>
      </w:r>
      <w:r>
        <w:rPr/>
        <w:t>The unrecognized</w:t>
      </w:r>
      <w:r>
        <w:rPr>
          <w:spacing w:val="-2"/>
        </w:rPr>
        <w:t> </w:t>
      </w:r>
      <w:r>
        <w:rPr/>
        <w:t>deferred</w:t>
      </w:r>
      <w:r>
        <w:rPr>
          <w:spacing w:val="-1"/>
        </w:rPr>
        <w:t> </w:t>
      </w:r>
      <w:r>
        <w:rPr/>
        <w:t>tax</w:t>
      </w:r>
      <w:r>
        <w:rPr>
          <w:spacing w:val="-1"/>
        </w:rPr>
        <w:t> </w:t>
      </w:r>
      <w:r>
        <w:rPr/>
        <w:t>liability</w:t>
      </w:r>
      <w:r>
        <w:rPr>
          <w:spacing w:val="-1"/>
        </w:rPr>
        <w:t> </w:t>
      </w:r>
      <w:r>
        <w:rPr/>
        <w:t>for</w:t>
      </w:r>
      <w:r>
        <w:rPr>
          <w:spacing w:val="-1"/>
        </w:rPr>
        <w:t> </w:t>
      </w:r>
      <w:r>
        <w:rPr/>
        <w:t>these</w:t>
      </w:r>
      <w:r>
        <w:rPr>
          <w:spacing w:val="-1"/>
        </w:rPr>
        <w:t> </w:t>
      </w:r>
      <w:r>
        <w:rPr/>
        <w:t>earnings</w:t>
      </w:r>
      <w:r>
        <w:rPr>
          <w:spacing w:val="-1"/>
        </w:rPr>
        <w:t> </w:t>
      </w:r>
      <w:r>
        <w:rPr/>
        <w:t>is</w:t>
      </w:r>
      <w:r>
        <w:rPr>
          <w:spacing w:val="-1"/>
        </w:rPr>
        <w:t> </w:t>
      </w:r>
      <w:r>
        <w:rPr/>
        <w:t>approximately</w:t>
      </w:r>
      <w:r>
        <w:rPr>
          <w:spacing w:val="49"/>
        </w:rPr>
        <w:t> </w:t>
      </w:r>
      <w:r>
        <w:rPr/>
        <w:t>$1.4 </w:t>
      </w:r>
      <w:r>
        <w:rPr>
          <w:spacing w:val="-2"/>
        </w:rPr>
        <w:t>billion.</w:t>
      </w:r>
    </w:p>
    <w:p>
      <w:pPr>
        <w:pStyle w:val="BodyText"/>
        <w:spacing w:before="20"/>
      </w:pPr>
    </w:p>
    <w:p>
      <w:pPr>
        <w:pStyle w:val="BodyText"/>
        <w:spacing w:line="249" w:lineRule="auto"/>
        <w:ind w:left="220" w:right="257" w:firstLine="540"/>
        <w:jc w:val="both"/>
      </w:pPr>
      <w:r>
        <w:rPr/>
        <w:t>As</w:t>
      </w:r>
      <w:r>
        <w:rPr>
          <w:spacing w:val="-4"/>
        </w:rPr>
        <w:t> </w:t>
      </w:r>
      <w:r>
        <w:rPr/>
        <w:t>of</w:t>
      </w:r>
      <w:r>
        <w:rPr>
          <w:spacing w:val="-4"/>
        </w:rPr>
        <w:t> </w:t>
      </w:r>
      <w:r>
        <w:rPr/>
        <w:t>December</w:t>
      </w:r>
      <w:r>
        <w:rPr>
          <w:spacing w:val="-2"/>
        </w:rPr>
        <w:t> </w:t>
      </w:r>
      <w:r>
        <w:rPr/>
        <w:t>1,</w:t>
      </w:r>
      <w:r>
        <w:rPr>
          <w:spacing w:val="-4"/>
        </w:rPr>
        <w:t> </w:t>
      </w:r>
      <w:r>
        <w:rPr/>
        <w:t>2017,</w:t>
      </w:r>
      <w:r>
        <w:rPr>
          <w:spacing w:val="-4"/>
        </w:rPr>
        <w:t> </w:t>
      </w:r>
      <w:r>
        <w:rPr/>
        <w:t>we</w:t>
      </w:r>
      <w:r>
        <w:rPr>
          <w:spacing w:val="-4"/>
        </w:rPr>
        <w:t> </w:t>
      </w:r>
      <w:r>
        <w:rPr/>
        <w:t>have</w:t>
      </w:r>
      <w:r>
        <w:rPr>
          <w:spacing w:val="-4"/>
        </w:rPr>
        <w:t> </w:t>
      </w:r>
      <w:r>
        <w:rPr/>
        <w:t>net</w:t>
      </w:r>
      <w:r>
        <w:rPr>
          <w:spacing w:val="-4"/>
        </w:rPr>
        <w:t> </w:t>
      </w:r>
      <w:r>
        <w:rPr/>
        <w:t>operating</w:t>
      </w:r>
      <w:r>
        <w:rPr>
          <w:spacing w:val="-4"/>
        </w:rPr>
        <w:t> </w:t>
      </w:r>
      <w:r>
        <w:rPr/>
        <w:t>loss</w:t>
      </w:r>
      <w:r>
        <w:rPr>
          <w:spacing w:val="-4"/>
        </w:rPr>
        <w:t> </w:t>
      </w:r>
      <w:r>
        <w:rPr/>
        <w:t>carryforwards</w:t>
      </w:r>
      <w:r>
        <w:rPr>
          <w:spacing w:val="-3"/>
        </w:rPr>
        <w:t> </w:t>
      </w:r>
      <w:r>
        <w:rPr/>
        <w:t>of</w:t>
      </w:r>
      <w:r>
        <w:rPr>
          <w:spacing w:val="-4"/>
        </w:rPr>
        <w:t> </w:t>
      </w:r>
      <w:r>
        <w:rPr/>
        <w:t>approximately</w:t>
      </w:r>
      <w:r>
        <w:rPr>
          <w:spacing w:val="-4"/>
        </w:rPr>
        <w:t> </w:t>
      </w:r>
      <w:r>
        <w:rPr/>
        <w:t>$118.4</w:t>
      </w:r>
      <w:r>
        <w:rPr>
          <w:spacing w:val="-4"/>
        </w:rPr>
        <w:t> </w:t>
      </w:r>
      <w:r>
        <w:rPr/>
        <w:t>million</w:t>
      </w:r>
      <w:r>
        <w:rPr>
          <w:spacing w:val="-4"/>
        </w:rPr>
        <w:t> </w:t>
      </w:r>
      <w:r>
        <w:rPr/>
        <w:t>for</w:t>
      </w:r>
      <w:r>
        <w:rPr>
          <w:spacing w:val="-4"/>
        </w:rPr>
        <w:t> </w:t>
      </w:r>
      <w:r>
        <w:rPr/>
        <w:t>federal</w:t>
      </w:r>
      <w:r>
        <w:rPr>
          <w:spacing w:val="-4"/>
        </w:rPr>
        <w:t> </w:t>
      </w:r>
      <w:r>
        <w:rPr/>
        <w:t>and</w:t>
      </w:r>
      <w:r>
        <w:rPr>
          <w:spacing w:val="-4"/>
        </w:rPr>
        <w:t> </w:t>
      </w:r>
      <w:r>
        <w:rPr/>
        <w:t>$52.6 million for state. We also have state and foreign tax credit carryforwards of approximately $166.2 million and $16.2 million, respectively.</w:t>
      </w:r>
      <w:r>
        <w:rPr>
          <w:spacing w:val="-13"/>
        </w:rPr>
        <w:t> </w:t>
      </w:r>
      <w:r>
        <w:rPr/>
        <w:t>The</w:t>
      </w:r>
      <w:r>
        <w:rPr>
          <w:spacing w:val="-12"/>
        </w:rPr>
        <w:t> </w:t>
      </w:r>
      <w:r>
        <w:rPr/>
        <w:t>net</w:t>
      </w:r>
      <w:r>
        <w:rPr>
          <w:spacing w:val="-13"/>
        </w:rPr>
        <w:t> </w:t>
      </w:r>
      <w:r>
        <w:rPr/>
        <w:t>operating</w:t>
      </w:r>
      <w:r>
        <w:rPr>
          <w:spacing w:val="-12"/>
        </w:rPr>
        <w:t> </w:t>
      </w:r>
      <w:r>
        <w:rPr/>
        <w:t>loss</w:t>
      </w:r>
      <w:r>
        <w:rPr>
          <w:spacing w:val="-13"/>
        </w:rPr>
        <w:t> </w:t>
      </w:r>
      <w:r>
        <w:rPr/>
        <w:t>carryforward</w:t>
      </w:r>
      <w:r>
        <w:rPr>
          <w:spacing w:val="-12"/>
        </w:rPr>
        <w:t> </w:t>
      </w:r>
      <w:r>
        <w:rPr/>
        <w:t>assets</w:t>
      </w:r>
      <w:r>
        <w:rPr>
          <w:spacing w:val="-13"/>
        </w:rPr>
        <w:t> </w:t>
      </w:r>
      <w:r>
        <w:rPr/>
        <w:t>and</w:t>
      </w:r>
      <w:r>
        <w:rPr>
          <w:spacing w:val="-12"/>
        </w:rPr>
        <w:t> </w:t>
      </w:r>
      <w:r>
        <w:rPr/>
        <w:t>tax</w:t>
      </w:r>
      <w:r>
        <w:rPr>
          <w:spacing w:val="-12"/>
        </w:rPr>
        <w:t> </w:t>
      </w:r>
      <w:r>
        <w:rPr/>
        <w:t>credits</w:t>
      </w:r>
      <w:r>
        <w:rPr>
          <w:spacing w:val="-13"/>
        </w:rPr>
        <w:t> </w:t>
      </w:r>
      <w:r>
        <w:rPr/>
        <w:t>will</w:t>
      </w:r>
      <w:r>
        <w:rPr>
          <w:spacing w:val="-12"/>
        </w:rPr>
        <w:t> </w:t>
      </w:r>
      <w:r>
        <w:rPr/>
        <w:t>expire</w:t>
      </w:r>
      <w:r>
        <w:rPr>
          <w:spacing w:val="-12"/>
        </w:rPr>
        <w:t> </w:t>
      </w:r>
      <w:r>
        <w:rPr/>
        <w:t>in</w:t>
      </w:r>
      <w:r>
        <w:rPr>
          <w:spacing w:val="-13"/>
        </w:rPr>
        <w:t> </w:t>
      </w:r>
      <w:r>
        <w:rPr/>
        <w:t>various</w:t>
      </w:r>
      <w:r>
        <w:rPr>
          <w:spacing w:val="-12"/>
        </w:rPr>
        <w:t> </w:t>
      </w:r>
      <w:r>
        <w:rPr/>
        <w:t>years</w:t>
      </w:r>
      <w:r>
        <w:rPr>
          <w:spacing w:val="-12"/>
        </w:rPr>
        <w:t> </w:t>
      </w:r>
      <w:r>
        <w:rPr/>
        <w:t>from</w:t>
      </w:r>
      <w:r>
        <w:rPr>
          <w:spacing w:val="-13"/>
        </w:rPr>
        <w:t> </w:t>
      </w:r>
      <w:r>
        <w:rPr/>
        <w:t>fiscal</w:t>
      </w:r>
      <w:r>
        <w:rPr>
          <w:spacing w:val="-12"/>
        </w:rPr>
        <w:t> </w:t>
      </w:r>
      <w:r>
        <w:rPr/>
        <w:t>2018</w:t>
      </w:r>
      <w:r>
        <w:rPr>
          <w:spacing w:val="-12"/>
        </w:rPr>
        <w:t> </w:t>
      </w:r>
      <w:r>
        <w:rPr/>
        <w:t>through</w:t>
      </w:r>
      <w:r>
        <w:rPr>
          <w:spacing w:val="-13"/>
        </w:rPr>
        <w:t> </w:t>
      </w:r>
      <w:r>
        <w:rPr/>
        <w:t>2036. </w:t>
      </w:r>
      <w:r>
        <w:rPr>
          <w:spacing w:val="-2"/>
        </w:rPr>
        <w:t>The</w:t>
      </w:r>
      <w:r>
        <w:rPr>
          <w:spacing w:val="-5"/>
        </w:rPr>
        <w:t> </w:t>
      </w:r>
      <w:r>
        <w:rPr>
          <w:spacing w:val="-2"/>
        </w:rPr>
        <w:t>state</w:t>
      </w:r>
      <w:r>
        <w:rPr>
          <w:spacing w:val="-5"/>
        </w:rPr>
        <w:t> </w:t>
      </w:r>
      <w:r>
        <w:rPr>
          <w:spacing w:val="-2"/>
        </w:rPr>
        <w:t>tax</w:t>
      </w:r>
      <w:r>
        <w:rPr>
          <w:spacing w:val="-5"/>
        </w:rPr>
        <w:t> </w:t>
      </w:r>
      <w:r>
        <w:rPr>
          <w:spacing w:val="-2"/>
        </w:rPr>
        <w:t>credit</w:t>
      </w:r>
      <w:r>
        <w:rPr>
          <w:spacing w:val="-6"/>
        </w:rPr>
        <w:t> </w:t>
      </w:r>
      <w:r>
        <w:rPr>
          <w:spacing w:val="-2"/>
        </w:rPr>
        <w:t>carryforwards</w:t>
      </w:r>
      <w:r>
        <w:rPr>
          <w:spacing w:val="-5"/>
        </w:rPr>
        <w:t> </w:t>
      </w:r>
      <w:r>
        <w:rPr>
          <w:spacing w:val="-2"/>
        </w:rPr>
        <w:t>can</w:t>
      </w:r>
      <w:r>
        <w:rPr>
          <w:spacing w:val="-5"/>
        </w:rPr>
        <w:t> </w:t>
      </w:r>
      <w:r>
        <w:rPr>
          <w:spacing w:val="-2"/>
        </w:rPr>
        <w:t>be</w:t>
      </w:r>
      <w:r>
        <w:rPr>
          <w:spacing w:val="-5"/>
        </w:rPr>
        <w:t> </w:t>
      </w:r>
      <w:r>
        <w:rPr>
          <w:spacing w:val="-2"/>
        </w:rPr>
        <w:t>carried</w:t>
      </w:r>
      <w:r>
        <w:rPr>
          <w:spacing w:val="-5"/>
        </w:rPr>
        <w:t> </w:t>
      </w:r>
      <w:r>
        <w:rPr>
          <w:spacing w:val="-2"/>
        </w:rPr>
        <w:t>forward</w:t>
      </w:r>
      <w:r>
        <w:rPr>
          <w:spacing w:val="-5"/>
        </w:rPr>
        <w:t> </w:t>
      </w:r>
      <w:r>
        <w:rPr>
          <w:spacing w:val="-2"/>
        </w:rPr>
        <w:t>indefinitely.</w:t>
      </w:r>
      <w:r>
        <w:rPr>
          <w:spacing w:val="-9"/>
        </w:rPr>
        <w:t> </w:t>
      </w:r>
      <w:r>
        <w:rPr>
          <w:spacing w:val="-2"/>
        </w:rPr>
        <w:t>The</w:t>
      </w:r>
      <w:r>
        <w:rPr>
          <w:spacing w:val="-5"/>
        </w:rPr>
        <w:t> </w:t>
      </w:r>
      <w:r>
        <w:rPr>
          <w:spacing w:val="-2"/>
        </w:rPr>
        <w:t>net</w:t>
      </w:r>
      <w:r>
        <w:rPr>
          <w:spacing w:val="-5"/>
        </w:rPr>
        <w:t> </w:t>
      </w:r>
      <w:r>
        <w:rPr>
          <w:spacing w:val="-2"/>
        </w:rPr>
        <w:t>operating</w:t>
      </w:r>
      <w:r>
        <w:rPr>
          <w:spacing w:val="-5"/>
        </w:rPr>
        <w:t> </w:t>
      </w:r>
      <w:r>
        <w:rPr>
          <w:spacing w:val="-2"/>
        </w:rPr>
        <w:t>loss</w:t>
      </w:r>
      <w:r>
        <w:rPr>
          <w:spacing w:val="-5"/>
        </w:rPr>
        <w:t> </w:t>
      </w:r>
      <w:r>
        <w:rPr>
          <w:spacing w:val="-2"/>
        </w:rPr>
        <w:t>carryforward</w:t>
      </w:r>
      <w:r>
        <w:rPr>
          <w:spacing w:val="-5"/>
        </w:rPr>
        <w:t> </w:t>
      </w:r>
      <w:r>
        <w:rPr>
          <w:spacing w:val="-2"/>
        </w:rPr>
        <w:t>assets</w:t>
      </w:r>
      <w:r>
        <w:rPr>
          <w:spacing w:val="-5"/>
        </w:rPr>
        <w:t> </w:t>
      </w:r>
      <w:r>
        <w:rPr>
          <w:spacing w:val="-2"/>
        </w:rPr>
        <w:t>and</w:t>
      </w:r>
      <w:r>
        <w:rPr>
          <w:spacing w:val="-5"/>
        </w:rPr>
        <w:t> </w:t>
      </w:r>
      <w:r>
        <w:rPr>
          <w:spacing w:val="-2"/>
        </w:rPr>
        <w:t>certain</w:t>
      </w:r>
      <w:r>
        <w:rPr>
          <w:spacing w:val="-5"/>
        </w:rPr>
        <w:t> </w:t>
      </w:r>
      <w:r>
        <w:rPr>
          <w:spacing w:val="-2"/>
        </w:rPr>
        <w:t>credits </w:t>
      </w:r>
      <w:r>
        <w:rPr/>
        <w:t>are reduced by the valuation allowance and are subject to an annual limitation under Internal Revenue Code Section 382, the carrying amount of which are expected to be fully realized.</w:t>
      </w:r>
    </w:p>
    <w:p>
      <w:pPr>
        <w:pStyle w:val="BodyText"/>
        <w:spacing w:line="249" w:lineRule="auto" w:before="185"/>
        <w:ind w:left="220" w:right="257" w:firstLine="540"/>
        <w:jc w:val="both"/>
      </w:pPr>
      <w:r>
        <w:rPr/>
        <w:t>As</w:t>
      </w:r>
      <w:r>
        <w:rPr>
          <w:spacing w:val="-10"/>
        </w:rPr>
        <w:t> </w:t>
      </w:r>
      <w:r>
        <w:rPr/>
        <w:t>of</w:t>
      </w:r>
      <w:r>
        <w:rPr>
          <w:spacing w:val="-10"/>
        </w:rPr>
        <w:t> </w:t>
      </w:r>
      <w:r>
        <w:rPr/>
        <w:t>December</w:t>
      </w:r>
      <w:r>
        <w:rPr>
          <w:spacing w:val="-2"/>
        </w:rPr>
        <w:t> </w:t>
      </w:r>
      <w:r>
        <w:rPr/>
        <w:t>1,</w:t>
      </w:r>
      <w:r>
        <w:rPr>
          <w:spacing w:val="-10"/>
        </w:rPr>
        <w:t> </w:t>
      </w:r>
      <w:r>
        <w:rPr/>
        <w:t>2017,</w:t>
      </w:r>
      <w:r>
        <w:rPr>
          <w:spacing w:val="-10"/>
        </w:rPr>
        <w:t> </w:t>
      </w:r>
      <w:r>
        <w:rPr/>
        <w:t>a</w:t>
      </w:r>
      <w:r>
        <w:rPr>
          <w:spacing w:val="-10"/>
        </w:rPr>
        <w:t> </w:t>
      </w:r>
      <w:r>
        <w:rPr/>
        <w:t>valuation</w:t>
      </w:r>
      <w:r>
        <w:rPr>
          <w:spacing w:val="-10"/>
        </w:rPr>
        <w:t> </w:t>
      </w:r>
      <w:r>
        <w:rPr/>
        <w:t>allowance</w:t>
      </w:r>
      <w:r>
        <w:rPr>
          <w:spacing w:val="-10"/>
        </w:rPr>
        <w:t> </w:t>
      </w:r>
      <w:r>
        <w:rPr/>
        <w:t>of</w:t>
      </w:r>
      <w:r>
        <w:rPr>
          <w:spacing w:val="-10"/>
        </w:rPr>
        <w:t> </w:t>
      </w:r>
      <w:r>
        <w:rPr/>
        <w:t>$93.6</w:t>
      </w:r>
      <w:r>
        <w:rPr>
          <w:spacing w:val="-10"/>
        </w:rPr>
        <w:t> </w:t>
      </w:r>
      <w:r>
        <w:rPr/>
        <w:t>million</w:t>
      </w:r>
      <w:r>
        <w:rPr>
          <w:spacing w:val="-10"/>
        </w:rPr>
        <w:t> </w:t>
      </w:r>
      <w:r>
        <w:rPr/>
        <w:t>has</w:t>
      </w:r>
      <w:r>
        <w:rPr>
          <w:spacing w:val="-10"/>
        </w:rPr>
        <w:t> </w:t>
      </w:r>
      <w:r>
        <w:rPr/>
        <w:t>been</w:t>
      </w:r>
      <w:r>
        <w:rPr>
          <w:spacing w:val="-10"/>
        </w:rPr>
        <w:t> </w:t>
      </w:r>
      <w:r>
        <w:rPr/>
        <w:t>established</w:t>
      </w:r>
      <w:r>
        <w:rPr>
          <w:spacing w:val="-10"/>
        </w:rPr>
        <w:t> </w:t>
      </w:r>
      <w:r>
        <w:rPr/>
        <w:t>for</w:t>
      </w:r>
      <w:r>
        <w:rPr>
          <w:spacing w:val="-10"/>
        </w:rPr>
        <w:t> </w:t>
      </w:r>
      <w:r>
        <w:rPr/>
        <w:t>certain</w:t>
      </w:r>
      <w:r>
        <w:rPr>
          <w:spacing w:val="-10"/>
        </w:rPr>
        <w:t> </w:t>
      </w:r>
      <w:r>
        <w:rPr/>
        <w:t>deferred</w:t>
      </w:r>
      <w:r>
        <w:rPr>
          <w:spacing w:val="-10"/>
        </w:rPr>
        <w:t> </w:t>
      </w:r>
      <w:r>
        <w:rPr/>
        <w:t>tax</w:t>
      </w:r>
      <w:r>
        <w:rPr>
          <w:spacing w:val="-10"/>
        </w:rPr>
        <w:t> </w:t>
      </w:r>
      <w:r>
        <w:rPr/>
        <w:t>assets</w:t>
      </w:r>
      <w:r>
        <w:rPr>
          <w:spacing w:val="-10"/>
        </w:rPr>
        <w:t> </w:t>
      </w:r>
      <w:r>
        <w:rPr/>
        <w:t>related to</w:t>
      </w:r>
      <w:r>
        <w:rPr>
          <w:spacing w:val="-6"/>
        </w:rPr>
        <w:t> </w:t>
      </w:r>
      <w:r>
        <w:rPr/>
        <w:t>the</w:t>
      </w:r>
      <w:r>
        <w:rPr>
          <w:spacing w:val="-6"/>
        </w:rPr>
        <w:t> </w:t>
      </w:r>
      <w:r>
        <w:rPr/>
        <w:t>impairment</w:t>
      </w:r>
      <w:r>
        <w:rPr>
          <w:spacing w:val="-6"/>
        </w:rPr>
        <w:t> </w:t>
      </w:r>
      <w:r>
        <w:rPr/>
        <w:t>of</w:t>
      </w:r>
      <w:r>
        <w:rPr>
          <w:spacing w:val="-6"/>
        </w:rPr>
        <w:t> </w:t>
      </w:r>
      <w:r>
        <w:rPr/>
        <w:t>investments</w:t>
      </w:r>
      <w:r>
        <w:rPr>
          <w:spacing w:val="-6"/>
        </w:rPr>
        <w:t> </w:t>
      </w:r>
      <w:r>
        <w:rPr/>
        <w:t>and</w:t>
      </w:r>
      <w:r>
        <w:rPr>
          <w:spacing w:val="-6"/>
        </w:rPr>
        <w:t> </w:t>
      </w:r>
      <w:r>
        <w:rPr/>
        <w:t>certain</w:t>
      </w:r>
      <w:r>
        <w:rPr>
          <w:spacing w:val="-6"/>
        </w:rPr>
        <w:t> </w:t>
      </w:r>
      <w:r>
        <w:rPr/>
        <w:t>state</w:t>
      </w:r>
      <w:r>
        <w:rPr>
          <w:spacing w:val="-6"/>
        </w:rPr>
        <w:t> </w:t>
      </w:r>
      <w:r>
        <w:rPr/>
        <w:t>and</w:t>
      </w:r>
      <w:r>
        <w:rPr>
          <w:spacing w:val="-6"/>
        </w:rPr>
        <w:t> </w:t>
      </w:r>
      <w:r>
        <w:rPr/>
        <w:t>foreign</w:t>
      </w:r>
      <w:r>
        <w:rPr>
          <w:spacing w:val="-6"/>
        </w:rPr>
        <w:t> </w:t>
      </w:r>
      <w:r>
        <w:rPr/>
        <w:t>assets.</w:t>
      </w:r>
      <w:r>
        <w:rPr>
          <w:spacing w:val="-6"/>
        </w:rPr>
        <w:t> </w:t>
      </w:r>
      <w:r>
        <w:rPr/>
        <w:t>For</w:t>
      </w:r>
      <w:r>
        <w:rPr>
          <w:spacing w:val="-6"/>
        </w:rPr>
        <w:t> </w:t>
      </w:r>
      <w:r>
        <w:rPr/>
        <w:t>fiscal</w:t>
      </w:r>
      <w:r>
        <w:rPr>
          <w:spacing w:val="-6"/>
        </w:rPr>
        <w:t> </w:t>
      </w:r>
      <w:r>
        <w:rPr/>
        <w:t>2017,</w:t>
      </w:r>
      <w:r>
        <w:rPr>
          <w:spacing w:val="-6"/>
        </w:rPr>
        <w:t> </w:t>
      </w:r>
      <w:r>
        <w:rPr/>
        <w:t>the</w:t>
      </w:r>
      <w:r>
        <w:rPr>
          <w:spacing w:val="-6"/>
        </w:rPr>
        <w:t> </w:t>
      </w:r>
      <w:r>
        <w:rPr/>
        <w:t>total</w:t>
      </w:r>
      <w:r>
        <w:rPr>
          <w:spacing w:val="-6"/>
        </w:rPr>
        <w:t> </w:t>
      </w:r>
      <w:r>
        <w:rPr/>
        <w:t>change</w:t>
      </w:r>
      <w:r>
        <w:rPr>
          <w:spacing w:val="-6"/>
        </w:rPr>
        <w:t> </w:t>
      </w:r>
      <w:r>
        <w:rPr/>
        <w:t>in</w:t>
      </w:r>
      <w:r>
        <w:rPr>
          <w:spacing w:val="-6"/>
        </w:rPr>
        <w:t> </w:t>
      </w:r>
      <w:r>
        <w:rPr/>
        <w:t>the</w:t>
      </w:r>
      <w:r>
        <w:rPr>
          <w:spacing w:val="-6"/>
        </w:rPr>
        <w:t> </w:t>
      </w:r>
      <w:r>
        <w:rPr/>
        <w:t>valuation</w:t>
      </w:r>
      <w:r>
        <w:rPr>
          <w:spacing w:val="-6"/>
        </w:rPr>
        <w:t> </w:t>
      </w:r>
      <w:r>
        <w:rPr/>
        <w:t>allowance was</w:t>
      </w:r>
      <w:r>
        <w:rPr>
          <w:spacing w:val="-7"/>
        </w:rPr>
        <w:t> </w:t>
      </w:r>
      <w:r>
        <w:rPr/>
        <w:t>$69.3</w:t>
      </w:r>
      <w:r>
        <w:rPr>
          <w:spacing w:val="-7"/>
        </w:rPr>
        <w:t> </w:t>
      </w:r>
      <w:r>
        <w:rPr/>
        <w:t>million,</w:t>
      </w:r>
      <w:r>
        <w:rPr>
          <w:spacing w:val="-7"/>
        </w:rPr>
        <w:t> </w:t>
      </w:r>
      <w:r>
        <w:rPr/>
        <w:t>of</w:t>
      </w:r>
      <w:r>
        <w:rPr>
          <w:spacing w:val="-7"/>
        </w:rPr>
        <w:t> </w:t>
      </w:r>
      <w:r>
        <w:rPr/>
        <w:t>which</w:t>
      </w:r>
      <w:r>
        <w:rPr>
          <w:spacing w:val="-7"/>
        </w:rPr>
        <w:t> </w:t>
      </w:r>
      <w:r>
        <w:rPr/>
        <w:t>$55.3</w:t>
      </w:r>
      <w:r>
        <w:rPr>
          <w:spacing w:val="-7"/>
        </w:rPr>
        <w:t> </w:t>
      </w:r>
      <w:r>
        <w:rPr/>
        <w:t>million</w:t>
      </w:r>
      <w:r>
        <w:rPr>
          <w:spacing w:val="-7"/>
        </w:rPr>
        <w:t> </w:t>
      </w:r>
      <w:r>
        <w:rPr/>
        <w:t>was</w:t>
      </w:r>
      <w:r>
        <w:rPr>
          <w:spacing w:val="-7"/>
        </w:rPr>
        <w:t> </w:t>
      </w:r>
      <w:r>
        <w:rPr/>
        <w:t>related</w:t>
      </w:r>
      <w:r>
        <w:rPr>
          <w:spacing w:val="-7"/>
        </w:rPr>
        <w:t> </w:t>
      </w:r>
      <w:r>
        <w:rPr/>
        <w:t>to</w:t>
      </w:r>
      <w:r>
        <w:rPr>
          <w:spacing w:val="-7"/>
        </w:rPr>
        <w:t> </w:t>
      </w:r>
      <w:r>
        <w:rPr/>
        <w:t>the</w:t>
      </w:r>
      <w:r>
        <w:rPr>
          <w:spacing w:val="-7"/>
        </w:rPr>
        <w:t> </w:t>
      </w:r>
      <w:r>
        <w:rPr/>
        <w:t>deferred</w:t>
      </w:r>
      <w:r>
        <w:rPr>
          <w:spacing w:val="-7"/>
        </w:rPr>
        <w:t> </w:t>
      </w:r>
      <w:r>
        <w:rPr/>
        <w:t>tax</w:t>
      </w:r>
      <w:r>
        <w:rPr>
          <w:spacing w:val="-7"/>
        </w:rPr>
        <w:t> </w:t>
      </w:r>
      <w:r>
        <w:rPr/>
        <w:t>attributes</w:t>
      </w:r>
      <w:r>
        <w:rPr>
          <w:spacing w:val="-7"/>
        </w:rPr>
        <w:t> </w:t>
      </w:r>
      <w:r>
        <w:rPr/>
        <w:t>recorded</w:t>
      </w:r>
      <w:r>
        <w:rPr>
          <w:spacing w:val="-7"/>
        </w:rPr>
        <w:t> </w:t>
      </w:r>
      <w:r>
        <w:rPr/>
        <w:t>due</w:t>
      </w:r>
      <w:r>
        <w:rPr>
          <w:spacing w:val="-7"/>
        </w:rPr>
        <w:t> </w:t>
      </w:r>
      <w:r>
        <w:rPr/>
        <w:t>to</w:t>
      </w:r>
      <w:r>
        <w:rPr>
          <w:spacing w:val="-7"/>
        </w:rPr>
        <w:t> </w:t>
      </w:r>
      <w:r>
        <w:rPr/>
        <w:t>our</w:t>
      </w:r>
      <w:r>
        <w:rPr>
          <w:spacing w:val="-7"/>
        </w:rPr>
        <w:t> </w:t>
      </w:r>
      <w:r>
        <w:rPr/>
        <w:t>early</w:t>
      </w:r>
      <w:r>
        <w:rPr>
          <w:spacing w:val="-7"/>
        </w:rPr>
        <w:t> </w:t>
      </w:r>
      <w:r>
        <w:rPr/>
        <w:t>adoption</w:t>
      </w:r>
      <w:r>
        <w:rPr>
          <w:spacing w:val="-7"/>
        </w:rPr>
        <w:t> </w:t>
      </w:r>
      <w:r>
        <w:rPr/>
        <w:t>of</w:t>
      </w:r>
      <w:r>
        <w:rPr>
          <w:spacing w:val="-7"/>
        </w:rPr>
        <w:t> </w:t>
      </w:r>
      <w:r>
        <w:rPr/>
        <w:t>the</w:t>
      </w:r>
      <w:r>
        <w:rPr>
          <w:spacing w:val="-7"/>
        </w:rPr>
        <w:t> </w:t>
      </w:r>
      <w:r>
        <w:rPr/>
        <w:t>new accounting guidance related to stock-based compensation.</w:t>
      </w:r>
    </w:p>
    <w:p>
      <w:pPr>
        <w:spacing w:before="183"/>
        <w:ind w:left="220" w:right="0" w:firstLine="0"/>
        <w:jc w:val="both"/>
        <w:rPr>
          <w:i/>
          <w:sz w:val="20"/>
        </w:rPr>
      </w:pPr>
      <w:r>
        <w:rPr>
          <w:i/>
          <w:sz w:val="20"/>
        </w:rPr>
        <w:t>Accounting</w:t>
      </w:r>
      <w:r>
        <w:rPr>
          <w:i/>
          <w:spacing w:val="-2"/>
          <w:sz w:val="20"/>
        </w:rPr>
        <w:t> </w:t>
      </w:r>
      <w:r>
        <w:rPr>
          <w:i/>
          <w:sz w:val="20"/>
        </w:rPr>
        <w:t>for Uncertainty</w:t>
      </w:r>
      <w:r>
        <w:rPr>
          <w:i/>
          <w:spacing w:val="-2"/>
          <w:sz w:val="20"/>
        </w:rPr>
        <w:t> </w:t>
      </w:r>
      <w:r>
        <w:rPr>
          <w:i/>
          <w:sz w:val="20"/>
        </w:rPr>
        <w:t>in</w:t>
      </w:r>
      <w:r>
        <w:rPr>
          <w:i/>
          <w:spacing w:val="-1"/>
          <w:sz w:val="20"/>
        </w:rPr>
        <w:t> </w:t>
      </w:r>
      <w:r>
        <w:rPr>
          <w:i/>
          <w:sz w:val="20"/>
        </w:rPr>
        <w:t>Income</w:t>
      </w:r>
      <w:r>
        <w:rPr>
          <w:i/>
          <w:spacing w:val="-1"/>
          <w:sz w:val="20"/>
        </w:rPr>
        <w:t> </w:t>
      </w:r>
      <w:r>
        <w:rPr>
          <w:i/>
          <w:spacing w:val="-2"/>
          <w:sz w:val="20"/>
        </w:rPr>
        <w:t>Taxes</w:t>
      </w:r>
    </w:p>
    <w:p>
      <w:pPr>
        <w:pStyle w:val="BodyText"/>
        <w:spacing w:line="249" w:lineRule="auto" w:before="190"/>
        <w:ind w:left="220" w:right="257" w:firstLine="540"/>
        <w:jc w:val="both"/>
      </w:pPr>
      <w:r>
        <w:rPr/>
        <w:t>During</w:t>
      </w:r>
      <w:r>
        <w:rPr>
          <w:spacing w:val="-12"/>
        </w:rPr>
        <w:t> </w:t>
      </w:r>
      <w:r>
        <w:rPr/>
        <w:t>fiscal</w:t>
      </w:r>
      <w:r>
        <w:rPr>
          <w:spacing w:val="-12"/>
        </w:rPr>
        <w:t> </w:t>
      </w:r>
      <w:r>
        <w:rPr/>
        <w:t>2017</w:t>
      </w:r>
      <w:r>
        <w:rPr>
          <w:spacing w:val="-12"/>
        </w:rPr>
        <w:t> </w:t>
      </w:r>
      <w:r>
        <w:rPr/>
        <w:t>and</w:t>
      </w:r>
      <w:r>
        <w:rPr>
          <w:spacing w:val="-12"/>
        </w:rPr>
        <w:t> </w:t>
      </w:r>
      <w:r>
        <w:rPr/>
        <w:t>2016,</w:t>
      </w:r>
      <w:r>
        <w:rPr>
          <w:spacing w:val="-12"/>
        </w:rPr>
        <w:t> </w:t>
      </w:r>
      <w:r>
        <w:rPr/>
        <w:t>our</w:t>
      </w:r>
      <w:r>
        <w:rPr>
          <w:spacing w:val="-12"/>
        </w:rPr>
        <w:t> </w:t>
      </w:r>
      <w:r>
        <w:rPr/>
        <w:t>aggregate</w:t>
      </w:r>
      <w:r>
        <w:rPr>
          <w:spacing w:val="-12"/>
        </w:rPr>
        <w:t> </w:t>
      </w:r>
      <w:r>
        <w:rPr/>
        <w:t>changes</w:t>
      </w:r>
      <w:r>
        <w:rPr>
          <w:spacing w:val="-12"/>
        </w:rPr>
        <w:t> </w:t>
      </w:r>
      <w:r>
        <w:rPr/>
        <w:t>in</w:t>
      </w:r>
      <w:r>
        <w:rPr>
          <w:spacing w:val="-12"/>
        </w:rPr>
        <w:t> </w:t>
      </w:r>
      <w:r>
        <w:rPr/>
        <w:t>our</w:t>
      </w:r>
      <w:r>
        <w:rPr>
          <w:spacing w:val="-12"/>
        </w:rPr>
        <w:t> </w:t>
      </w:r>
      <w:r>
        <w:rPr/>
        <w:t>total</w:t>
      </w:r>
      <w:r>
        <w:rPr>
          <w:spacing w:val="-12"/>
        </w:rPr>
        <w:t> </w:t>
      </w:r>
      <w:r>
        <w:rPr/>
        <w:t>gross</w:t>
      </w:r>
      <w:r>
        <w:rPr>
          <w:spacing w:val="-12"/>
        </w:rPr>
        <w:t> </w:t>
      </w:r>
      <w:r>
        <w:rPr/>
        <w:t>amount</w:t>
      </w:r>
      <w:r>
        <w:rPr>
          <w:spacing w:val="-12"/>
        </w:rPr>
        <w:t> </w:t>
      </w:r>
      <w:r>
        <w:rPr/>
        <w:t>of</w:t>
      </w:r>
      <w:r>
        <w:rPr>
          <w:spacing w:val="-12"/>
        </w:rPr>
        <w:t> </w:t>
      </w:r>
      <w:r>
        <w:rPr/>
        <w:t>unrecognized</w:t>
      </w:r>
      <w:r>
        <w:rPr>
          <w:spacing w:val="-12"/>
        </w:rPr>
        <w:t> </w:t>
      </w:r>
      <w:r>
        <w:rPr/>
        <w:t>tax</w:t>
      </w:r>
      <w:r>
        <w:rPr>
          <w:spacing w:val="-12"/>
        </w:rPr>
        <w:t> </w:t>
      </w:r>
      <w:r>
        <w:rPr/>
        <w:t>benefits</w:t>
      </w:r>
      <w:r>
        <w:rPr>
          <w:spacing w:val="-12"/>
        </w:rPr>
        <w:t> </w:t>
      </w:r>
      <w:r>
        <w:rPr/>
        <w:t>are</w:t>
      </w:r>
      <w:r>
        <w:rPr>
          <w:spacing w:val="-12"/>
        </w:rPr>
        <w:t> </w:t>
      </w:r>
      <w:r>
        <w:rPr/>
        <w:t>summarized as follows (in thousands):</w:t>
      </w:r>
    </w:p>
    <w:p>
      <w:pPr>
        <w:pStyle w:val="BodyText"/>
        <w:spacing w:before="4" w:after="1"/>
        <w:rPr>
          <w:sz w:val="18"/>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3"/>
        <w:gridCol w:w="2127"/>
        <w:gridCol w:w="1141"/>
      </w:tblGrid>
      <w:tr>
        <w:trPr>
          <w:trHeight w:val="227" w:hRule="atLeast"/>
        </w:trPr>
        <w:tc>
          <w:tcPr>
            <w:tcW w:w="9100" w:type="dxa"/>
            <w:gridSpan w:val="2"/>
          </w:tcPr>
          <w:p>
            <w:pPr>
              <w:pStyle w:val="TableParagraph"/>
              <w:spacing w:line="177" w:lineRule="exact"/>
              <w:ind w:right="459"/>
              <w:jc w:val="right"/>
              <w:rPr>
                <w:b/>
                <w:sz w:val="16"/>
              </w:rPr>
            </w:pPr>
            <w:r>
              <w:rPr>
                <w:b/>
                <w:spacing w:val="-4"/>
                <w:sz w:val="16"/>
              </w:rPr>
              <w:t>2017</w:t>
            </w:r>
          </w:p>
        </w:tc>
        <w:tc>
          <w:tcPr>
            <w:tcW w:w="1141" w:type="dxa"/>
          </w:tcPr>
          <w:p>
            <w:pPr>
              <w:pStyle w:val="TableParagraph"/>
              <w:spacing w:line="177" w:lineRule="exact"/>
              <w:jc w:val="center"/>
              <w:rPr>
                <w:b/>
                <w:sz w:val="16"/>
              </w:rPr>
            </w:pPr>
            <w:r>
              <w:rPr>
                <w:b/>
                <w:spacing w:val="-4"/>
                <w:sz w:val="16"/>
              </w:rPr>
              <w:t>2016</w:t>
            </w:r>
          </w:p>
        </w:tc>
      </w:tr>
      <w:tr>
        <w:trPr>
          <w:trHeight w:val="259" w:hRule="atLeast"/>
        </w:trPr>
        <w:tc>
          <w:tcPr>
            <w:tcW w:w="6973" w:type="dxa"/>
            <w:shd w:val="clear" w:color="auto" w:fill="CCEDFF"/>
          </w:tcPr>
          <w:p>
            <w:pPr>
              <w:pStyle w:val="TableParagraph"/>
              <w:spacing w:line="222" w:lineRule="exact"/>
              <w:ind w:left="50"/>
              <w:rPr>
                <w:sz w:val="20"/>
              </w:rPr>
            </w:pPr>
            <w:r>
              <w:rPr>
                <w:sz w:val="20"/>
              </w:rPr>
              <w:t>Beginning </w:t>
            </w:r>
            <w:r>
              <w:rPr>
                <w:spacing w:val="-2"/>
                <w:sz w:val="20"/>
              </w:rPr>
              <w:t>balance</w:t>
            </w:r>
          </w:p>
        </w:tc>
        <w:tc>
          <w:tcPr>
            <w:tcW w:w="2127" w:type="dxa"/>
            <w:tcBorders>
              <w:top w:val="single" w:sz="8" w:space="0" w:color="000000"/>
            </w:tcBorders>
            <w:shd w:val="clear" w:color="auto" w:fill="CCEDFF"/>
          </w:tcPr>
          <w:p>
            <w:pPr>
              <w:pStyle w:val="TableParagraph"/>
              <w:tabs>
                <w:tab w:pos="322" w:val="left" w:leader="none"/>
              </w:tabs>
              <w:spacing w:line="222" w:lineRule="exact"/>
              <w:ind w:right="136"/>
              <w:jc w:val="right"/>
              <w:rPr>
                <w:sz w:val="20"/>
              </w:rPr>
            </w:pPr>
            <w:r>
              <w:rPr>
                <w:spacing w:val="-10"/>
                <w:sz w:val="20"/>
              </w:rPr>
              <w:t>$</w:t>
            </w:r>
            <w:r>
              <w:rPr>
                <w:sz w:val="20"/>
              </w:rPr>
              <w:tab/>
            </w:r>
            <w:r>
              <w:rPr>
                <w:spacing w:val="-2"/>
                <w:sz w:val="20"/>
              </w:rPr>
              <w:t>178,413</w:t>
            </w:r>
          </w:p>
        </w:tc>
        <w:tc>
          <w:tcPr>
            <w:tcW w:w="1141" w:type="dxa"/>
            <w:tcBorders>
              <w:top w:val="single" w:sz="8" w:space="0" w:color="000000"/>
            </w:tcBorders>
            <w:shd w:val="clear" w:color="auto" w:fill="CCEDFF"/>
          </w:tcPr>
          <w:p>
            <w:pPr>
              <w:pStyle w:val="TableParagraph"/>
              <w:tabs>
                <w:tab w:pos="342" w:val="left" w:leader="none"/>
              </w:tabs>
              <w:spacing w:line="222" w:lineRule="exact"/>
              <w:ind w:right="77"/>
              <w:jc w:val="right"/>
              <w:rPr>
                <w:sz w:val="20"/>
              </w:rPr>
            </w:pPr>
            <w:r>
              <w:rPr>
                <w:spacing w:val="-10"/>
                <w:sz w:val="20"/>
              </w:rPr>
              <w:t>$</w:t>
            </w:r>
            <w:r>
              <w:rPr>
                <w:sz w:val="20"/>
              </w:rPr>
              <w:tab/>
            </w:r>
            <w:r>
              <w:rPr>
                <w:spacing w:val="-2"/>
                <w:sz w:val="20"/>
              </w:rPr>
              <w:t>258,718</w:t>
            </w:r>
          </w:p>
        </w:tc>
      </w:tr>
      <w:tr>
        <w:trPr>
          <w:trHeight w:val="280" w:hRule="atLeast"/>
        </w:trPr>
        <w:tc>
          <w:tcPr>
            <w:tcW w:w="6973" w:type="dxa"/>
          </w:tcPr>
          <w:p>
            <w:pPr>
              <w:pStyle w:val="TableParagraph"/>
              <w:spacing w:before="2"/>
              <w:ind w:left="170"/>
              <w:rPr>
                <w:sz w:val="20"/>
              </w:rPr>
            </w:pPr>
            <w:r>
              <w:rPr>
                <w:sz w:val="20"/>
              </w:rPr>
              <w:t>Gross</w:t>
            </w:r>
            <w:r>
              <w:rPr>
                <w:spacing w:val="-3"/>
                <w:sz w:val="20"/>
              </w:rPr>
              <w:t> </w:t>
            </w:r>
            <w:r>
              <w:rPr>
                <w:sz w:val="20"/>
              </w:rPr>
              <w:t>increases</w:t>
            </w:r>
            <w:r>
              <w:rPr>
                <w:spacing w:val="-3"/>
                <w:sz w:val="20"/>
              </w:rPr>
              <w:t> </w:t>
            </w:r>
            <w:r>
              <w:rPr>
                <w:sz w:val="20"/>
              </w:rPr>
              <w:t>in</w:t>
            </w:r>
            <w:r>
              <w:rPr>
                <w:spacing w:val="-2"/>
                <w:sz w:val="20"/>
              </w:rPr>
              <w:t> </w:t>
            </w:r>
            <w:r>
              <w:rPr>
                <w:sz w:val="20"/>
              </w:rPr>
              <w:t>unrecognized</w:t>
            </w:r>
            <w:r>
              <w:rPr>
                <w:spacing w:val="-2"/>
                <w:sz w:val="20"/>
              </w:rPr>
              <w:t> </w:t>
            </w:r>
            <w:r>
              <w:rPr>
                <w:sz w:val="20"/>
              </w:rPr>
              <w:t>tax</w:t>
            </w:r>
            <w:r>
              <w:rPr>
                <w:spacing w:val="-2"/>
                <w:sz w:val="20"/>
              </w:rPr>
              <w:t> </w:t>
            </w:r>
            <w:r>
              <w:rPr>
                <w:sz w:val="20"/>
              </w:rPr>
              <w:t>benefits</w:t>
            </w:r>
            <w:r>
              <w:rPr>
                <w:spacing w:val="-3"/>
                <w:sz w:val="20"/>
              </w:rPr>
              <w:t> </w:t>
            </w:r>
            <w:r>
              <w:rPr>
                <w:sz w:val="20"/>
              </w:rPr>
              <w:t>–</w:t>
            </w:r>
            <w:r>
              <w:rPr>
                <w:spacing w:val="-2"/>
                <w:sz w:val="20"/>
              </w:rPr>
              <w:t> </w:t>
            </w:r>
            <w:r>
              <w:rPr>
                <w:sz w:val="20"/>
              </w:rPr>
              <w:t>prior</w:t>
            </w:r>
            <w:r>
              <w:rPr>
                <w:spacing w:val="-2"/>
                <w:sz w:val="20"/>
              </w:rPr>
              <w:t> </w:t>
            </w:r>
            <w:r>
              <w:rPr>
                <w:sz w:val="20"/>
              </w:rPr>
              <w:t>year</w:t>
            </w:r>
            <w:r>
              <w:rPr>
                <w:spacing w:val="-2"/>
                <w:sz w:val="20"/>
              </w:rPr>
              <w:t> </w:t>
            </w:r>
            <w:r>
              <w:rPr>
                <w:sz w:val="20"/>
              </w:rPr>
              <w:t>tax</w:t>
            </w:r>
            <w:r>
              <w:rPr>
                <w:spacing w:val="-1"/>
                <w:sz w:val="20"/>
              </w:rPr>
              <w:t> </w:t>
            </w:r>
            <w:r>
              <w:rPr>
                <w:spacing w:val="-2"/>
                <w:sz w:val="20"/>
              </w:rPr>
              <w:t>positions</w:t>
            </w:r>
          </w:p>
        </w:tc>
        <w:tc>
          <w:tcPr>
            <w:tcW w:w="2127" w:type="dxa"/>
          </w:tcPr>
          <w:p>
            <w:pPr>
              <w:pStyle w:val="TableParagraph"/>
              <w:spacing w:before="2"/>
              <w:ind w:right="136"/>
              <w:jc w:val="right"/>
              <w:rPr>
                <w:sz w:val="20"/>
              </w:rPr>
            </w:pPr>
            <w:r>
              <w:rPr>
                <w:spacing w:val="-2"/>
                <w:sz w:val="20"/>
              </w:rPr>
              <w:t>3,680</w:t>
            </w:r>
          </w:p>
        </w:tc>
        <w:tc>
          <w:tcPr>
            <w:tcW w:w="1141" w:type="dxa"/>
          </w:tcPr>
          <w:p>
            <w:pPr>
              <w:pStyle w:val="TableParagraph"/>
              <w:spacing w:before="2"/>
              <w:ind w:right="77"/>
              <w:jc w:val="right"/>
              <w:rPr>
                <w:sz w:val="20"/>
              </w:rPr>
            </w:pPr>
            <w:r>
              <w:rPr>
                <w:spacing w:val="-2"/>
                <w:sz w:val="20"/>
              </w:rPr>
              <w:t>6,047</w:t>
            </w:r>
          </w:p>
        </w:tc>
      </w:tr>
      <w:tr>
        <w:trPr>
          <w:trHeight w:val="280" w:hRule="atLeast"/>
        </w:trPr>
        <w:tc>
          <w:tcPr>
            <w:tcW w:w="6973" w:type="dxa"/>
            <w:shd w:val="clear" w:color="auto" w:fill="CCEDFF"/>
          </w:tcPr>
          <w:p>
            <w:pPr>
              <w:pStyle w:val="TableParagraph"/>
              <w:spacing w:before="2"/>
              <w:ind w:left="170"/>
              <w:rPr>
                <w:sz w:val="20"/>
              </w:rPr>
            </w:pPr>
            <w:r>
              <w:rPr>
                <w:sz w:val="20"/>
              </w:rPr>
              <w:t>Gross</w:t>
            </w:r>
            <w:r>
              <w:rPr>
                <w:spacing w:val="-3"/>
                <w:sz w:val="20"/>
              </w:rPr>
              <w:t> </w:t>
            </w:r>
            <w:r>
              <w:rPr>
                <w:sz w:val="20"/>
              </w:rPr>
              <w:t>decreases</w:t>
            </w:r>
            <w:r>
              <w:rPr>
                <w:spacing w:val="-3"/>
                <w:sz w:val="20"/>
              </w:rPr>
              <w:t> </w:t>
            </w:r>
            <w:r>
              <w:rPr>
                <w:sz w:val="20"/>
              </w:rPr>
              <w:t>in</w:t>
            </w:r>
            <w:r>
              <w:rPr>
                <w:spacing w:val="-2"/>
                <w:sz w:val="20"/>
              </w:rPr>
              <w:t> </w:t>
            </w:r>
            <w:r>
              <w:rPr>
                <w:sz w:val="20"/>
              </w:rPr>
              <w:t>unrecognized</w:t>
            </w:r>
            <w:r>
              <w:rPr>
                <w:spacing w:val="-2"/>
                <w:sz w:val="20"/>
              </w:rPr>
              <w:t> </w:t>
            </w:r>
            <w:r>
              <w:rPr>
                <w:sz w:val="20"/>
              </w:rPr>
              <w:t>tax</w:t>
            </w:r>
            <w:r>
              <w:rPr>
                <w:spacing w:val="-2"/>
                <w:sz w:val="20"/>
              </w:rPr>
              <w:t> </w:t>
            </w:r>
            <w:r>
              <w:rPr>
                <w:sz w:val="20"/>
              </w:rPr>
              <w:t>benefits</w:t>
            </w:r>
            <w:r>
              <w:rPr>
                <w:spacing w:val="-3"/>
                <w:sz w:val="20"/>
              </w:rPr>
              <w:t> </w:t>
            </w:r>
            <w:r>
              <w:rPr>
                <w:sz w:val="20"/>
              </w:rPr>
              <w:t>–</w:t>
            </w:r>
            <w:r>
              <w:rPr>
                <w:spacing w:val="-2"/>
                <w:sz w:val="20"/>
              </w:rPr>
              <w:t> </w:t>
            </w:r>
            <w:r>
              <w:rPr>
                <w:sz w:val="20"/>
              </w:rPr>
              <w:t>prior</w:t>
            </w:r>
            <w:r>
              <w:rPr>
                <w:spacing w:val="-2"/>
                <w:sz w:val="20"/>
              </w:rPr>
              <w:t> </w:t>
            </w:r>
            <w:r>
              <w:rPr>
                <w:sz w:val="20"/>
              </w:rPr>
              <w:t>year</w:t>
            </w:r>
            <w:r>
              <w:rPr>
                <w:spacing w:val="-2"/>
                <w:sz w:val="20"/>
              </w:rPr>
              <w:t> </w:t>
            </w:r>
            <w:r>
              <w:rPr>
                <w:sz w:val="20"/>
              </w:rPr>
              <w:t>tax</w:t>
            </w:r>
            <w:r>
              <w:rPr>
                <w:spacing w:val="-1"/>
                <w:sz w:val="20"/>
              </w:rPr>
              <w:t> </w:t>
            </w:r>
            <w:r>
              <w:rPr>
                <w:spacing w:val="-2"/>
                <w:sz w:val="20"/>
              </w:rPr>
              <w:t>positions</w:t>
            </w:r>
          </w:p>
        </w:tc>
        <w:tc>
          <w:tcPr>
            <w:tcW w:w="2127" w:type="dxa"/>
            <w:shd w:val="clear" w:color="auto" w:fill="CCEDFF"/>
          </w:tcPr>
          <w:p>
            <w:pPr>
              <w:pStyle w:val="TableParagraph"/>
              <w:spacing w:before="2"/>
              <w:ind w:right="68"/>
              <w:jc w:val="right"/>
              <w:rPr>
                <w:sz w:val="20"/>
              </w:rPr>
            </w:pPr>
            <w:r>
              <w:rPr>
                <w:spacing w:val="-2"/>
                <w:sz w:val="20"/>
              </w:rPr>
              <w:t>(30,166)</w:t>
            </w:r>
          </w:p>
        </w:tc>
        <w:tc>
          <w:tcPr>
            <w:tcW w:w="1141" w:type="dxa"/>
            <w:shd w:val="clear" w:color="auto" w:fill="CCEDFF"/>
          </w:tcPr>
          <w:p>
            <w:pPr>
              <w:pStyle w:val="TableParagraph"/>
              <w:spacing w:before="2"/>
              <w:ind w:right="9"/>
              <w:jc w:val="right"/>
              <w:rPr>
                <w:sz w:val="20"/>
              </w:rPr>
            </w:pPr>
            <w:r>
              <w:rPr>
                <w:spacing w:val="-2"/>
                <w:sz w:val="20"/>
              </w:rPr>
              <w:t>(67,870)</w:t>
            </w:r>
          </w:p>
        </w:tc>
      </w:tr>
      <w:tr>
        <w:trPr>
          <w:trHeight w:val="280" w:hRule="atLeast"/>
        </w:trPr>
        <w:tc>
          <w:tcPr>
            <w:tcW w:w="6973" w:type="dxa"/>
          </w:tcPr>
          <w:p>
            <w:pPr>
              <w:pStyle w:val="TableParagraph"/>
              <w:spacing w:before="2"/>
              <w:ind w:left="170"/>
              <w:rPr>
                <w:sz w:val="20"/>
              </w:rPr>
            </w:pPr>
            <w:r>
              <w:rPr>
                <w:sz w:val="20"/>
              </w:rPr>
              <w:t>Gross</w:t>
            </w:r>
            <w:r>
              <w:rPr>
                <w:spacing w:val="-3"/>
                <w:sz w:val="20"/>
              </w:rPr>
              <w:t> </w:t>
            </w:r>
            <w:r>
              <w:rPr>
                <w:sz w:val="20"/>
              </w:rPr>
              <w:t>increases</w:t>
            </w:r>
            <w:r>
              <w:rPr>
                <w:spacing w:val="-3"/>
                <w:sz w:val="20"/>
              </w:rPr>
              <w:t> </w:t>
            </w:r>
            <w:r>
              <w:rPr>
                <w:sz w:val="20"/>
              </w:rPr>
              <w:t>in</w:t>
            </w:r>
            <w:r>
              <w:rPr>
                <w:spacing w:val="-2"/>
                <w:sz w:val="20"/>
              </w:rPr>
              <w:t> </w:t>
            </w:r>
            <w:r>
              <w:rPr>
                <w:sz w:val="20"/>
              </w:rPr>
              <w:t>unrecognized</w:t>
            </w:r>
            <w:r>
              <w:rPr>
                <w:spacing w:val="-2"/>
                <w:sz w:val="20"/>
              </w:rPr>
              <w:t> </w:t>
            </w:r>
            <w:r>
              <w:rPr>
                <w:sz w:val="20"/>
              </w:rPr>
              <w:t>tax</w:t>
            </w:r>
            <w:r>
              <w:rPr>
                <w:spacing w:val="-2"/>
                <w:sz w:val="20"/>
              </w:rPr>
              <w:t> </w:t>
            </w:r>
            <w:r>
              <w:rPr>
                <w:sz w:val="20"/>
              </w:rPr>
              <w:t>benefits</w:t>
            </w:r>
            <w:r>
              <w:rPr>
                <w:spacing w:val="-3"/>
                <w:sz w:val="20"/>
              </w:rPr>
              <w:t> </w:t>
            </w:r>
            <w:r>
              <w:rPr>
                <w:sz w:val="20"/>
              </w:rPr>
              <w:t>–</w:t>
            </w:r>
            <w:r>
              <w:rPr>
                <w:spacing w:val="-2"/>
                <w:sz w:val="20"/>
              </w:rPr>
              <w:t> </w:t>
            </w:r>
            <w:r>
              <w:rPr>
                <w:sz w:val="20"/>
              </w:rPr>
              <w:t>current</w:t>
            </w:r>
            <w:r>
              <w:rPr>
                <w:spacing w:val="-2"/>
                <w:sz w:val="20"/>
              </w:rPr>
              <w:t> </w:t>
            </w:r>
            <w:r>
              <w:rPr>
                <w:sz w:val="20"/>
              </w:rPr>
              <w:t>year</w:t>
            </w:r>
            <w:r>
              <w:rPr>
                <w:spacing w:val="-2"/>
                <w:sz w:val="20"/>
              </w:rPr>
              <w:t> </w:t>
            </w:r>
            <w:r>
              <w:rPr>
                <w:sz w:val="20"/>
              </w:rPr>
              <w:t>tax</w:t>
            </w:r>
            <w:r>
              <w:rPr>
                <w:spacing w:val="-1"/>
                <w:sz w:val="20"/>
              </w:rPr>
              <w:t> </w:t>
            </w:r>
            <w:r>
              <w:rPr>
                <w:spacing w:val="-2"/>
                <w:sz w:val="20"/>
              </w:rPr>
              <w:t>positions</w:t>
            </w:r>
          </w:p>
        </w:tc>
        <w:tc>
          <w:tcPr>
            <w:tcW w:w="2127" w:type="dxa"/>
          </w:tcPr>
          <w:p>
            <w:pPr>
              <w:pStyle w:val="TableParagraph"/>
              <w:spacing w:before="2"/>
              <w:ind w:right="136"/>
              <w:jc w:val="right"/>
              <w:rPr>
                <w:sz w:val="20"/>
              </w:rPr>
            </w:pPr>
            <w:r>
              <w:rPr>
                <w:spacing w:val="-2"/>
                <w:sz w:val="20"/>
              </w:rPr>
              <w:t>24,927</w:t>
            </w:r>
          </w:p>
        </w:tc>
        <w:tc>
          <w:tcPr>
            <w:tcW w:w="1141" w:type="dxa"/>
          </w:tcPr>
          <w:p>
            <w:pPr>
              <w:pStyle w:val="TableParagraph"/>
              <w:spacing w:before="2"/>
              <w:ind w:right="77"/>
              <w:jc w:val="right"/>
              <w:rPr>
                <w:sz w:val="20"/>
              </w:rPr>
            </w:pPr>
            <w:r>
              <w:rPr>
                <w:spacing w:val="-2"/>
                <w:sz w:val="20"/>
              </w:rPr>
              <w:t>23,068</w:t>
            </w:r>
          </w:p>
        </w:tc>
      </w:tr>
      <w:tr>
        <w:trPr>
          <w:trHeight w:val="280" w:hRule="atLeast"/>
        </w:trPr>
        <w:tc>
          <w:tcPr>
            <w:tcW w:w="6973" w:type="dxa"/>
            <w:shd w:val="clear" w:color="auto" w:fill="CCEDFF"/>
          </w:tcPr>
          <w:p>
            <w:pPr>
              <w:pStyle w:val="TableParagraph"/>
              <w:spacing w:before="2"/>
              <w:ind w:left="170"/>
              <w:rPr>
                <w:sz w:val="20"/>
              </w:rPr>
            </w:pPr>
            <w:r>
              <w:rPr>
                <w:sz w:val="20"/>
              </w:rPr>
              <w:t>Settlements</w:t>
            </w:r>
            <w:r>
              <w:rPr>
                <w:spacing w:val="-5"/>
                <w:sz w:val="20"/>
              </w:rPr>
              <w:t> </w:t>
            </w:r>
            <w:r>
              <w:rPr>
                <w:sz w:val="20"/>
              </w:rPr>
              <w:t>with</w:t>
            </w:r>
            <w:r>
              <w:rPr>
                <w:spacing w:val="-3"/>
                <w:sz w:val="20"/>
              </w:rPr>
              <w:t> </w:t>
            </w:r>
            <w:r>
              <w:rPr>
                <w:sz w:val="20"/>
              </w:rPr>
              <w:t>taxing</w:t>
            </w:r>
            <w:r>
              <w:rPr>
                <w:spacing w:val="-3"/>
                <w:sz w:val="20"/>
              </w:rPr>
              <w:t> </w:t>
            </w:r>
            <w:r>
              <w:rPr>
                <w:spacing w:val="-2"/>
                <w:sz w:val="20"/>
              </w:rPr>
              <w:t>authorities</w:t>
            </w:r>
          </w:p>
        </w:tc>
        <w:tc>
          <w:tcPr>
            <w:tcW w:w="2127" w:type="dxa"/>
            <w:shd w:val="clear" w:color="auto" w:fill="CCEDFF"/>
          </w:tcPr>
          <w:p>
            <w:pPr>
              <w:pStyle w:val="TableParagraph"/>
              <w:spacing w:before="2"/>
              <w:ind w:right="68"/>
              <w:jc w:val="right"/>
              <w:rPr>
                <w:sz w:val="20"/>
              </w:rPr>
            </w:pPr>
            <w:r>
              <w:rPr>
                <w:spacing w:val="-2"/>
                <w:sz w:val="20"/>
              </w:rPr>
              <w:t>(3,876)</w:t>
            </w:r>
          </w:p>
        </w:tc>
        <w:tc>
          <w:tcPr>
            <w:tcW w:w="1141" w:type="dxa"/>
            <w:shd w:val="clear" w:color="auto" w:fill="CCEDFF"/>
          </w:tcPr>
          <w:p>
            <w:pPr>
              <w:pStyle w:val="TableParagraph"/>
              <w:spacing w:before="2"/>
              <w:ind w:right="9"/>
              <w:jc w:val="right"/>
              <w:rPr>
                <w:sz w:val="20"/>
              </w:rPr>
            </w:pPr>
            <w:r>
              <w:rPr>
                <w:spacing w:val="-2"/>
                <w:sz w:val="20"/>
              </w:rPr>
              <w:t>(33,265)</w:t>
            </w:r>
          </w:p>
        </w:tc>
      </w:tr>
      <w:tr>
        <w:trPr>
          <w:trHeight w:val="280" w:hRule="atLeast"/>
        </w:trPr>
        <w:tc>
          <w:tcPr>
            <w:tcW w:w="6973" w:type="dxa"/>
          </w:tcPr>
          <w:p>
            <w:pPr>
              <w:pStyle w:val="TableParagraph"/>
              <w:spacing w:before="2"/>
              <w:ind w:left="170"/>
              <w:rPr>
                <w:sz w:val="20"/>
              </w:rPr>
            </w:pPr>
            <w:r>
              <w:rPr>
                <w:sz w:val="20"/>
              </w:rPr>
              <w:t>Lapse of statute of </w:t>
            </w:r>
            <w:r>
              <w:rPr>
                <w:spacing w:val="-2"/>
                <w:sz w:val="20"/>
              </w:rPr>
              <w:t>limitations</w:t>
            </w:r>
          </w:p>
        </w:tc>
        <w:tc>
          <w:tcPr>
            <w:tcW w:w="2127" w:type="dxa"/>
          </w:tcPr>
          <w:p>
            <w:pPr>
              <w:pStyle w:val="TableParagraph"/>
              <w:spacing w:before="2"/>
              <w:ind w:right="68"/>
              <w:jc w:val="right"/>
              <w:rPr>
                <w:sz w:val="20"/>
              </w:rPr>
            </w:pPr>
            <w:r>
              <w:rPr>
                <w:spacing w:val="-2"/>
                <w:sz w:val="20"/>
              </w:rPr>
              <w:t>(8,819)</w:t>
            </w:r>
          </w:p>
        </w:tc>
        <w:tc>
          <w:tcPr>
            <w:tcW w:w="1141" w:type="dxa"/>
          </w:tcPr>
          <w:p>
            <w:pPr>
              <w:pStyle w:val="TableParagraph"/>
              <w:spacing w:before="2"/>
              <w:ind w:right="9"/>
              <w:jc w:val="right"/>
              <w:rPr>
                <w:sz w:val="20"/>
              </w:rPr>
            </w:pPr>
            <w:r>
              <w:rPr>
                <w:spacing w:val="-2"/>
                <w:sz w:val="20"/>
              </w:rPr>
              <w:t>(8,456)</w:t>
            </w:r>
          </w:p>
        </w:tc>
      </w:tr>
      <w:tr>
        <w:trPr>
          <w:trHeight w:val="270" w:hRule="atLeast"/>
        </w:trPr>
        <w:tc>
          <w:tcPr>
            <w:tcW w:w="6973" w:type="dxa"/>
            <w:shd w:val="clear" w:color="auto" w:fill="CCEDFF"/>
          </w:tcPr>
          <w:p>
            <w:pPr>
              <w:pStyle w:val="TableParagraph"/>
              <w:spacing w:before="2"/>
              <w:ind w:left="170"/>
              <w:rPr>
                <w:sz w:val="20"/>
              </w:rPr>
            </w:pPr>
            <w:r>
              <w:rPr>
                <w:sz w:val="20"/>
              </w:rPr>
              <w:t>Foreign</w:t>
            </w:r>
            <w:r>
              <w:rPr>
                <w:spacing w:val="-1"/>
                <w:sz w:val="20"/>
              </w:rPr>
              <w:t> </w:t>
            </w:r>
            <w:r>
              <w:rPr>
                <w:sz w:val="20"/>
              </w:rPr>
              <w:t>exchange</w:t>
            </w:r>
            <w:r>
              <w:rPr>
                <w:spacing w:val="-2"/>
                <w:sz w:val="20"/>
              </w:rPr>
              <w:t> </w:t>
            </w:r>
            <w:r>
              <w:rPr>
                <w:sz w:val="20"/>
              </w:rPr>
              <w:t>gains</w:t>
            </w:r>
            <w:r>
              <w:rPr>
                <w:spacing w:val="-1"/>
                <w:sz w:val="20"/>
              </w:rPr>
              <w:t> </w:t>
            </w:r>
            <w:r>
              <w:rPr>
                <w:sz w:val="20"/>
              </w:rPr>
              <w:t>and</w:t>
            </w:r>
            <w:r>
              <w:rPr>
                <w:spacing w:val="-1"/>
                <w:sz w:val="20"/>
              </w:rPr>
              <w:t> </w:t>
            </w:r>
            <w:r>
              <w:rPr>
                <w:spacing w:val="-2"/>
                <w:sz w:val="20"/>
              </w:rPr>
              <w:t>losses</w:t>
            </w:r>
          </w:p>
        </w:tc>
        <w:tc>
          <w:tcPr>
            <w:tcW w:w="2127" w:type="dxa"/>
            <w:tcBorders>
              <w:bottom w:val="single" w:sz="8" w:space="0" w:color="000000"/>
            </w:tcBorders>
            <w:shd w:val="clear" w:color="auto" w:fill="CCEDFF"/>
          </w:tcPr>
          <w:p>
            <w:pPr>
              <w:pStyle w:val="TableParagraph"/>
              <w:spacing w:before="2"/>
              <w:ind w:right="136"/>
              <w:jc w:val="right"/>
              <w:rPr>
                <w:sz w:val="20"/>
              </w:rPr>
            </w:pPr>
            <w:r>
              <w:rPr>
                <w:spacing w:val="-2"/>
                <w:sz w:val="20"/>
              </w:rPr>
              <w:t>8,786</w:t>
            </w:r>
          </w:p>
        </w:tc>
        <w:tc>
          <w:tcPr>
            <w:tcW w:w="1141" w:type="dxa"/>
            <w:tcBorders>
              <w:bottom w:val="single" w:sz="8" w:space="0" w:color="000000"/>
            </w:tcBorders>
            <w:shd w:val="clear" w:color="auto" w:fill="CCEDFF"/>
          </w:tcPr>
          <w:p>
            <w:pPr>
              <w:pStyle w:val="TableParagraph"/>
              <w:spacing w:before="2"/>
              <w:ind w:right="77"/>
              <w:jc w:val="right"/>
              <w:rPr>
                <w:sz w:val="20"/>
              </w:rPr>
            </w:pPr>
            <w:r>
              <w:rPr>
                <w:spacing w:val="-5"/>
                <w:sz w:val="20"/>
              </w:rPr>
              <w:t>171</w:t>
            </w:r>
          </w:p>
        </w:tc>
      </w:tr>
      <w:tr>
        <w:trPr>
          <w:trHeight w:val="300" w:hRule="atLeast"/>
        </w:trPr>
        <w:tc>
          <w:tcPr>
            <w:tcW w:w="6973" w:type="dxa"/>
          </w:tcPr>
          <w:p>
            <w:pPr>
              <w:pStyle w:val="TableParagraph"/>
              <w:spacing w:line="222" w:lineRule="exact"/>
              <w:ind w:left="50"/>
              <w:rPr>
                <w:sz w:val="20"/>
              </w:rPr>
            </w:pPr>
            <w:r>
              <w:rPr>
                <w:sz w:val="20"/>
              </w:rPr>
              <w:t>Ending </w:t>
            </w:r>
            <w:r>
              <w:rPr>
                <w:spacing w:val="-2"/>
                <w:sz w:val="20"/>
              </w:rPr>
              <w:t>balance</w:t>
            </w:r>
          </w:p>
        </w:tc>
        <w:tc>
          <w:tcPr>
            <w:tcW w:w="2127" w:type="dxa"/>
            <w:tcBorders>
              <w:top w:val="single" w:sz="8" w:space="0" w:color="000000"/>
            </w:tcBorders>
          </w:tcPr>
          <w:p>
            <w:pPr>
              <w:pStyle w:val="TableParagraph"/>
              <w:tabs>
                <w:tab w:pos="322" w:val="left" w:leader="none"/>
              </w:tabs>
              <w:spacing w:line="222" w:lineRule="exact"/>
              <w:ind w:right="136"/>
              <w:jc w:val="right"/>
              <w:rPr>
                <w:sz w:val="20"/>
              </w:rPr>
            </w:pPr>
            <w:r>
              <w:rPr/>
              <mc:AlternateContent>
                <mc:Choice Requires="wps">
                  <w:drawing>
                    <wp:anchor distT="0" distB="0" distL="0" distR="0" allowOverlap="1" layoutInCell="1" locked="0" behindDoc="1" simplePos="0" relativeHeight="479879168">
                      <wp:simplePos x="0" y="0"/>
                      <wp:positionH relativeFrom="column">
                        <wp:posOffset>613966</wp:posOffset>
                      </wp:positionH>
                      <wp:positionV relativeFrom="paragraph">
                        <wp:posOffset>152400</wp:posOffset>
                      </wp:positionV>
                      <wp:extent cx="698500" cy="38100"/>
                      <wp:effectExtent l="0" t="0" r="0" b="0"/>
                      <wp:wrapNone/>
                      <wp:docPr id="503" name="Group 503"/>
                      <wp:cNvGraphicFramePr>
                        <a:graphicFrameLocks/>
                      </wp:cNvGraphicFramePr>
                      <a:graphic>
                        <a:graphicData uri="http://schemas.microsoft.com/office/word/2010/wordprocessingGroup">
                          <wpg:wgp>
                            <wpg:cNvPr id="503" name="Group 503"/>
                            <wpg:cNvGrpSpPr/>
                            <wpg:grpSpPr>
                              <a:xfrm>
                                <a:off x="0" y="0"/>
                                <a:ext cx="698500" cy="38100"/>
                                <a:chExt cx="698500" cy="38100"/>
                              </a:xfrm>
                            </wpg:grpSpPr>
                            <wps:wsp>
                              <wps:cNvPr id="504" name="Graphic 504"/>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343803pt;margin-top:12pt;width:55pt;height:3pt;mso-position-horizontal-relative:column;mso-position-vertical-relative:paragraph;z-index:-23437312" id="docshapegroup396" coordorigin="967,240" coordsize="1100,60">
                      <v:shape style="position:absolute;left:966;top:250;width:1100;height:40" id="docshape397" coordorigin="967,250" coordsize="1100,40" path="m967,250l2067,250m967,290l2067,29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172,945</w:t>
            </w:r>
          </w:p>
        </w:tc>
        <w:tc>
          <w:tcPr>
            <w:tcW w:w="1141" w:type="dxa"/>
            <w:tcBorders>
              <w:top w:val="single" w:sz="8" w:space="0" w:color="000000"/>
            </w:tcBorders>
          </w:tcPr>
          <w:p>
            <w:pPr>
              <w:pStyle w:val="TableParagraph"/>
              <w:tabs>
                <w:tab w:pos="342" w:val="left" w:leader="none"/>
              </w:tabs>
              <w:spacing w:line="222" w:lineRule="exact"/>
              <w:ind w:right="77"/>
              <w:jc w:val="right"/>
              <w:rPr>
                <w:sz w:val="20"/>
              </w:rPr>
            </w:pPr>
            <w:r>
              <w:rPr/>
              <mc:AlternateContent>
                <mc:Choice Requires="wps">
                  <w:drawing>
                    <wp:anchor distT="0" distB="0" distL="0" distR="0" allowOverlap="1" layoutInCell="1" locked="0" behindDoc="1" simplePos="0" relativeHeight="479879680">
                      <wp:simplePos x="0" y="0"/>
                      <wp:positionH relativeFrom="column">
                        <wp:posOffset>12826</wp:posOffset>
                      </wp:positionH>
                      <wp:positionV relativeFrom="paragraph">
                        <wp:posOffset>152400</wp:posOffset>
                      </wp:positionV>
                      <wp:extent cx="711200" cy="38100"/>
                      <wp:effectExtent l="0" t="0" r="0" b="0"/>
                      <wp:wrapNone/>
                      <wp:docPr id="505" name="Group 505"/>
                      <wp:cNvGraphicFramePr>
                        <a:graphicFrameLocks/>
                      </wp:cNvGraphicFramePr>
                      <a:graphic>
                        <a:graphicData uri="http://schemas.microsoft.com/office/word/2010/wordprocessingGroup">
                          <wpg:wgp>
                            <wpg:cNvPr id="505" name="Group 505"/>
                            <wpg:cNvGrpSpPr/>
                            <wpg:grpSpPr>
                              <a:xfrm>
                                <a:off x="0" y="0"/>
                                <a:ext cx="711200" cy="38100"/>
                                <a:chExt cx="711200" cy="38100"/>
                              </a:xfrm>
                            </wpg:grpSpPr>
                            <wps:wsp>
                              <wps:cNvPr id="506" name="Graphic 506"/>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9961pt;margin-top:12pt;width:56pt;height:3pt;mso-position-horizontal-relative:column;mso-position-vertical-relative:paragraph;z-index:-23436800" id="docshapegroup398" coordorigin="20,240" coordsize="1120,60">
                      <v:shape style="position:absolute;left:20;top:250;width:1120;height:40" id="docshape399" coordorigin="20,250" coordsize="1120,40" path="m20,250l1140,250m20,290l1140,29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178,413</w:t>
            </w:r>
          </w:p>
        </w:tc>
      </w:tr>
    </w:tbl>
    <w:p>
      <w:pPr>
        <w:pStyle w:val="BodyText"/>
        <w:spacing w:before="194"/>
        <w:ind w:left="760"/>
      </w:pPr>
      <w:r>
        <w:rPr/>
        <w:t>The</w:t>
      </w:r>
      <w:r>
        <w:rPr>
          <w:spacing w:val="-13"/>
        </w:rPr>
        <w:t> </w:t>
      </w:r>
      <w:r>
        <w:rPr/>
        <w:t>combined</w:t>
      </w:r>
      <w:r>
        <w:rPr>
          <w:spacing w:val="-12"/>
        </w:rPr>
        <w:t> </w:t>
      </w:r>
      <w:r>
        <w:rPr/>
        <w:t>amount</w:t>
      </w:r>
      <w:r>
        <w:rPr>
          <w:spacing w:val="-12"/>
        </w:rPr>
        <w:t> </w:t>
      </w:r>
      <w:r>
        <w:rPr/>
        <w:t>of</w:t>
      </w:r>
      <w:r>
        <w:rPr>
          <w:spacing w:val="-12"/>
        </w:rPr>
        <w:t> </w:t>
      </w:r>
      <w:r>
        <w:rPr/>
        <w:t>accrued</w:t>
      </w:r>
      <w:r>
        <w:rPr>
          <w:spacing w:val="-13"/>
        </w:rPr>
        <w:t> </w:t>
      </w:r>
      <w:r>
        <w:rPr/>
        <w:t>interest</w:t>
      </w:r>
      <w:r>
        <w:rPr>
          <w:spacing w:val="-12"/>
        </w:rPr>
        <w:t> </w:t>
      </w:r>
      <w:r>
        <w:rPr/>
        <w:t>and</w:t>
      </w:r>
      <w:r>
        <w:rPr>
          <w:spacing w:val="-12"/>
        </w:rPr>
        <w:t> </w:t>
      </w:r>
      <w:r>
        <w:rPr/>
        <w:t>penalties</w:t>
      </w:r>
      <w:r>
        <w:rPr>
          <w:spacing w:val="-12"/>
        </w:rPr>
        <w:t> </w:t>
      </w:r>
      <w:r>
        <w:rPr/>
        <w:t>related</w:t>
      </w:r>
      <w:r>
        <w:rPr>
          <w:spacing w:val="-12"/>
        </w:rPr>
        <w:t> </w:t>
      </w:r>
      <w:r>
        <w:rPr/>
        <w:t>to</w:t>
      </w:r>
      <w:r>
        <w:rPr>
          <w:spacing w:val="-13"/>
        </w:rPr>
        <w:t> </w:t>
      </w:r>
      <w:r>
        <w:rPr/>
        <w:t>tax</w:t>
      </w:r>
      <w:r>
        <w:rPr>
          <w:spacing w:val="-12"/>
        </w:rPr>
        <w:t> </w:t>
      </w:r>
      <w:r>
        <w:rPr/>
        <w:t>positions</w:t>
      </w:r>
      <w:r>
        <w:rPr>
          <w:spacing w:val="-11"/>
        </w:rPr>
        <w:t> </w:t>
      </w:r>
      <w:r>
        <w:rPr/>
        <w:t>taken</w:t>
      </w:r>
      <w:r>
        <w:rPr>
          <w:spacing w:val="-12"/>
        </w:rPr>
        <w:t> </w:t>
      </w:r>
      <w:r>
        <w:rPr/>
        <w:t>on</w:t>
      </w:r>
      <w:r>
        <w:rPr>
          <w:spacing w:val="-13"/>
        </w:rPr>
        <w:t> </w:t>
      </w:r>
      <w:r>
        <w:rPr/>
        <w:t>our</w:t>
      </w:r>
      <w:r>
        <w:rPr>
          <w:spacing w:val="-12"/>
        </w:rPr>
        <w:t> </w:t>
      </w:r>
      <w:r>
        <w:rPr/>
        <w:t>tax</w:t>
      </w:r>
      <w:r>
        <w:rPr>
          <w:spacing w:val="-12"/>
        </w:rPr>
        <w:t> </w:t>
      </w:r>
      <w:r>
        <w:rPr/>
        <w:t>returns</w:t>
      </w:r>
      <w:r>
        <w:rPr>
          <w:spacing w:val="-12"/>
        </w:rPr>
        <w:t> </w:t>
      </w:r>
      <w:r>
        <w:rPr/>
        <w:t>were</w:t>
      </w:r>
      <w:r>
        <w:rPr>
          <w:spacing w:val="-12"/>
        </w:rPr>
        <w:t> </w:t>
      </w:r>
      <w:r>
        <w:rPr>
          <w:spacing w:val="-2"/>
        </w:rPr>
        <w:t>approximately</w:t>
      </w:r>
    </w:p>
    <w:p>
      <w:pPr>
        <w:pStyle w:val="BodyText"/>
        <w:spacing w:line="249" w:lineRule="auto" w:before="10"/>
        <w:ind w:left="220"/>
      </w:pPr>
      <w:r>
        <w:rPr/>
        <w:t>$23.6</w:t>
      </w:r>
      <w:r>
        <w:rPr>
          <w:spacing w:val="-11"/>
        </w:rPr>
        <w:t> </w:t>
      </w:r>
      <w:r>
        <w:rPr/>
        <w:t>million</w:t>
      </w:r>
      <w:r>
        <w:rPr>
          <w:spacing w:val="-11"/>
        </w:rPr>
        <w:t> </w:t>
      </w:r>
      <w:r>
        <w:rPr/>
        <w:t>and</w:t>
      </w:r>
      <w:r>
        <w:rPr>
          <w:spacing w:val="-11"/>
        </w:rPr>
        <w:t> </w:t>
      </w:r>
      <w:r>
        <w:rPr/>
        <w:t>$22.4</w:t>
      </w:r>
      <w:r>
        <w:rPr>
          <w:spacing w:val="-11"/>
        </w:rPr>
        <w:t> </w:t>
      </w:r>
      <w:r>
        <w:rPr/>
        <w:t>million</w:t>
      </w:r>
      <w:r>
        <w:rPr>
          <w:spacing w:val="-11"/>
        </w:rPr>
        <w:t> </w:t>
      </w:r>
      <w:r>
        <w:rPr/>
        <w:t>for</w:t>
      </w:r>
      <w:r>
        <w:rPr>
          <w:spacing w:val="-11"/>
        </w:rPr>
        <w:t> </w:t>
      </w:r>
      <w:r>
        <w:rPr/>
        <w:t>fiscal</w:t>
      </w:r>
      <w:r>
        <w:rPr>
          <w:spacing w:val="-11"/>
        </w:rPr>
        <w:t> </w:t>
      </w:r>
      <w:r>
        <w:rPr/>
        <w:t>2017</w:t>
      </w:r>
      <w:r>
        <w:rPr>
          <w:spacing w:val="-11"/>
        </w:rPr>
        <w:t> </w:t>
      </w:r>
      <w:r>
        <w:rPr/>
        <w:t>and</w:t>
      </w:r>
      <w:r>
        <w:rPr>
          <w:spacing w:val="-11"/>
        </w:rPr>
        <w:t> </w:t>
      </w:r>
      <w:r>
        <w:rPr/>
        <w:t>2016,</w:t>
      </w:r>
      <w:r>
        <w:rPr>
          <w:spacing w:val="-11"/>
        </w:rPr>
        <w:t> </w:t>
      </w:r>
      <w:r>
        <w:rPr/>
        <w:t>respectively.</w:t>
      </w:r>
      <w:r>
        <w:rPr>
          <w:spacing w:val="-13"/>
        </w:rPr>
        <w:t> </w:t>
      </w:r>
      <w:r>
        <w:rPr/>
        <w:t>These</w:t>
      </w:r>
      <w:r>
        <w:rPr>
          <w:spacing w:val="-10"/>
        </w:rPr>
        <w:t> </w:t>
      </w:r>
      <w:r>
        <w:rPr/>
        <w:t>amounts</w:t>
      </w:r>
      <w:r>
        <w:rPr>
          <w:spacing w:val="-10"/>
        </w:rPr>
        <w:t> </w:t>
      </w:r>
      <w:r>
        <w:rPr/>
        <w:t>were</w:t>
      </w:r>
      <w:r>
        <w:rPr>
          <w:spacing w:val="-11"/>
        </w:rPr>
        <w:t> </w:t>
      </w:r>
      <w:r>
        <w:rPr/>
        <w:t>included</w:t>
      </w:r>
      <w:r>
        <w:rPr>
          <w:spacing w:val="-11"/>
        </w:rPr>
        <w:t> </w:t>
      </w:r>
      <w:r>
        <w:rPr/>
        <w:t>in</w:t>
      </w:r>
      <w:r>
        <w:rPr>
          <w:spacing w:val="-11"/>
        </w:rPr>
        <w:t> </w:t>
      </w:r>
      <w:r>
        <w:rPr/>
        <w:t>non-current</w:t>
      </w:r>
      <w:r>
        <w:rPr>
          <w:spacing w:val="-11"/>
        </w:rPr>
        <w:t> </w:t>
      </w:r>
      <w:r>
        <w:rPr/>
        <w:t>income</w:t>
      </w:r>
      <w:r>
        <w:rPr>
          <w:spacing w:val="-11"/>
        </w:rPr>
        <w:t> </w:t>
      </w:r>
      <w:r>
        <w:rPr/>
        <w:t>taxes payable in their respective years.</w:t>
      </w:r>
    </w:p>
    <w:p>
      <w:pPr>
        <w:pStyle w:val="BodyText"/>
        <w:spacing w:before="12"/>
      </w:pPr>
    </w:p>
    <w:p>
      <w:pPr>
        <w:pStyle w:val="BodyText"/>
        <w:spacing w:line="249" w:lineRule="auto"/>
        <w:ind w:left="220" w:right="257" w:firstLine="540"/>
        <w:jc w:val="both"/>
      </w:pPr>
      <w:r>
        <w:rPr/>
        <w:t>We</w:t>
      </w:r>
      <w:r>
        <w:rPr>
          <w:spacing w:val="-3"/>
        </w:rPr>
        <w:t> </w:t>
      </w:r>
      <w:r>
        <w:rPr/>
        <w:t>file</w:t>
      </w:r>
      <w:r>
        <w:rPr>
          <w:spacing w:val="-4"/>
        </w:rPr>
        <w:t> </w:t>
      </w:r>
      <w:r>
        <w:rPr/>
        <w:t>income</w:t>
      </w:r>
      <w:r>
        <w:rPr>
          <w:spacing w:val="-4"/>
        </w:rPr>
        <w:t> </w:t>
      </w:r>
      <w:r>
        <w:rPr/>
        <w:t>tax</w:t>
      </w:r>
      <w:r>
        <w:rPr>
          <w:spacing w:val="-3"/>
        </w:rPr>
        <w:t> </w:t>
      </w:r>
      <w:r>
        <w:rPr/>
        <w:t>returns</w:t>
      </w:r>
      <w:r>
        <w:rPr>
          <w:spacing w:val="-3"/>
        </w:rPr>
        <w:t> </w:t>
      </w:r>
      <w:r>
        <w:rPr/>
        <w:t>in</w:t>
      </w:r>
      <w:r>
        <w:rPr>
          <w:spacing w:val="-3"/>
        </w:rPr>
        <w:t> </w:t>
      </w:r>
      <w:r>
        <w:rPr/>
        <w:t>the</w:t>
      </w:r>
      <w:r>
        <w:rPr>
          <w:spacing w:val="-3"/>
        </w:rPr>
        <w:t> </w:t>
      </w:r>
      <w:r>
        <w:rPr/>
        <w:t>United</w:t>
      </w:r>
      <w:r>
        <w:rPr>
          <w:spacing w:val="-4"/>
        </w:rPr>
        <w:t> </w:t>
      </w:r>
      <w:r>
        <w:rPr/>
        <w:t>States</w:t>
      </w:r>
      <w:r>
        <w:rPr>
          <w:spacing w:val="-3"/>
        </w:rPr>
        <w:t> </w:t>
      </w:r>
      <w:r>
        <w:rPr/>
        <w:t>on</w:t>
      </w:r>
      <w:r>
        <w:rPr>
          <w:spacing w:val="-3"/>
        </w:rPr>
        <w:t> </w:t>
      </w:r>
      <w:r>
        <w:rPr/>
        <w:t>a</w:t>
      </w:r>
      <w:r>
        <w:rPr>
          <w:spacing w:val="-3"/>
        </w:rPr>
        <w:t> </w:t>
      </w:r>
      <w:r>
        <w:rPr/>
        <w:t>federal</w:t>
      </w:r>
      <w:r>
        <w:rPr>
          <w:spacing w:val="-4"/>
        </w:rPr>
        <w:t> </w:t>
      </w:r>
      <w:r>
        <w:rPr/>
        <w:t>basis</w:t>
      </w:r>
      <w:r>
        <w:rPr>
          <w:spacing w:val="-3"/>
        </w:rPr>
        <w:t> </w:t>
      </w:r>
      <w:r>
        <w:rPr/>
        <w:t>and</w:t>
      </w:r>
      <w:r>
        <w:rPr>
          <w:spacing w:val="-3"/>
        </w:rPr>
        <w:t> </w:t>
      </w:r>
      <w:r>
        <w:rPr/>
        <w:t>in</w:t>
      </w:r>
      <w:r>
        <w:rPr>
          <w:spacing w:val="-3"/>
        </w:rPr>
        <w:t> </w:t>
      </w:r>
      <w:r>
        <w:rPr/>
        <w:t>many</w:t>
      </w:r>
      <w:r>
        <w:rPr>
          <w:spacing w:val="-4"/>
        </w:rPr>
        <w:t> </w:t>
      </w:r>
      <w:r>
        <w:rPr/>
        <w:t>U.S.</w:t>
      </w:r>
      <w:r>
        <w:rPr>
          <w:spacing w:val="-3"/>
        </w:rPr>
        <w:t> </w:t>
      </w:r>
      <w:r>
        <w:rPr/>
        <w:t>state</w:t>
      </w:r>
      <w:r>
        <w:rPr>
          <w:spacing w:val="-4"/>
        </w:rPr>
        <w:t> </w:t>
      </w:r>
      <w:r>
        <w:rPr/>
        <w:t>and</w:t>
      </w:r>
      <w:r>
        <w:rPr>
          <w:spacing w:val="-3"/>
        </w:rPr>
        <w:t> </w:t>
      </w:r>
      <w:r>
        <w:rPr/>
        <w:t>foreign</w:t>
      </w:r>
      <w:r>
        <w:rPr>
          <w:spacing w:val="-3"/>
        </w:rPr>
        <w:t> </w:t>
      </w:r>
      <w:r>
        <w:rPr/>
        <w:t>jurisdictions.</w:t>
      </w:r>
      <w:r>
        <w:rPr>
          <w:spacing w:val="-7"/>
        </w:rPr>
        <w:t> </w:t>
      </w:r>
      <w:r>
        <w:rPr/>
        <w:t>We</w:t>
      </w:r>
      <w:r>
        <w:rPr>
          <w:spacing w:val="-3"/>
        </w:rPr>
        <w:t> </w:t>
      </w:r>
      <w:r>
        <w:rPr/>
        <w:t>are subject to the continual examination of our income tax returns by the IRS and other domestic and foreign tax authorities. Our major tax jurisdictions are Ireland, California and the United States. For Ireland, California and the United States, the earliest fiscal</w:t>
      </w:r>
      <w:r>
        <w:rPr>
          <w:spacing w:val="-11"/>
        </w:rPr>
        <w:t> </w:t>
      </w:r>
      <w:r>
        <w:rPr/>
        <w:t>years</w:t>
      </w:r>
      <w:r>
        <w:rPr>
          <w:spacing w:val="-11"/>
        </w:rPr>
        <w:t> </w:t>
      </w:r>
      <w:r>
        <w:rPr/>
        <w:t>open</w:t>
      </w:r>
      <w:r>
        <w:rPr>
          <w:spacing w:val="-11"/>
        </w:rPr>
        <w:t> </w:t>
      </w:r>
      <w:r>
        <w:rPr/>
        <w:t>for</w:t>
      </w:r>
      <w:r>
        <w:rPr>
          <w:spacing w:val="-11"/>
        </w:rPr>
        <w:t> </w:t>
      </w:r>
      <w:r>
        <w:rPr/>
        <w:t>examination</w:t>
      </w:r>
      <w:r>
        <w:rPr>
          <w:spacing w:val="-11"/>
        </w:rPr>
        <w:t> </w:t>
      </w:r>
      <w:r>
        <w:rPr/>
        <w:t>are</w:t>
      </w:r>
      <w:r>
        <w:rPr>
          <w:spacing w:val="-11"/>
        </w:rPr>
        <w:t> </w:t>
      </w:r>
      <w:r>
        <w:rPr/>
        <w:t>2008,</w:t>
      </w:r>
      <w:r>
        <w:rPr>
          <w:spacing w:val="-11"/>
        </w:rPr>
        <w:t> </w:t>
      </w:r>
      <w:r>
        <w:rPr/>
        <w:t>2010</w:t>
      </w:r>
      <w:r>
        <w:rPr>
          <w:spacing w:val="-11"/>
        </w:rPr>
        <w:t> </w:t>
      </w:r>
      <w:r>
        <w:rPr/>
        <w:t>and</w:t>
      </w:r>
      <w:r>
        <w:rPr>
          <w:spacing w:val="-11"/>
        </w:rPr>
        <w:t> </w:t>
      </w:r>
      <w:r>
        <w:rPr/>
        <w:t>2013,</w:t>
      </w:r>
      <w:r>
        <w:rPr>
          <w:spacing w:val="-11"/>
        </w:rPr>
        <w:t> </w:t>
      </w:r>
      <w:r>
        <w:rPr/>
        <w:t>respectively.</w:t>
      </w:r>
      <w:r>
        <w:rPr>
          <w:spacing w:val="-13"/>
        </w:rPr>
        <w:t> </w:t>
      </w:r>
      <w:r>
        <w:rPr/>
        <w:t>We</w:t>
      </w:r>
      <w:r>
        <w:rPr>
          <w:spacing w:val="-10"/>
        </w:rPr>
        <w:t> </w:t>
      </w:r>
      <w:r>
        <w:rPr/>
        <w:t>regularly</w:t>
      </w:r>
      <w:r>
        <w:rPr>
          <w:spacing w:val="-11"/>
        </w:rPr>
        <w:t> </w:t>
      </w:r>
      <w:r>
        <w:rPr/>
        <w:t>assess</w:t>
      </w:r>
      <w:r>
        <w:rPr>
          <w:spacing w:val="-11"/>
        </w:rPr>
        <w:t> </w:t>
      </w:r>
      <w:r>
        <w:rPr/>
        <w:t>the</w:t>
      </w:r>
      <w:r>
        <w:rPr>
          <w:spacing w:val="-11"/>
        </w:rPr>
        <w:t> </w:t>
      </w:r>
      <w:r>
        <w:rPr/>
        <w:t>likelihood</w:t>
      </w:r>
      <w:r>
        <w:rPr>
          <w:spacing w:val="-11"/>
        </w:rPr>
        <w:t> </w:t>
      </w:r>
      <w:r>
        <w:rPr/>
        <w:t>of</w:t>
      </w:r>
      <w:r>
        <w:rPr>
          <w:spacing w:val="-11"/>
        </w:rPr>
        <w:t> </w:t>
      </w:r>
      <w:r>
        <w:rPr/>
        <w:t>outcomes</w:t>
      </w:r>
      <w:r>
        <w:rPr>
          <w:spacing w:val="-11"/>
        </w:rPr>
        <w:t> </w:t>
      </w:r>
      <w:r>
        <w:rPr/>
        <w:t>resulting from</w:t>
      </w:r>
      <w:r>
        <w:rPr>
          <w:spacing w:val="-10"/>
        </w:rPr>
        <w:t> </w:t>
      </w:r>
      <w:r>
        <w:rPr/>
        <w:t>these</w:t>
      </w:r>
      <w:r>
        <w:rPr>
          <w:spacing w:val="-10"/>
        </w:rPr>
        <w:t> </w:t>
      </w:r>
      <w:r>
        <w:rPr/>
        <w:t>examinations</w:t>
      </w:r>
      <w:r>
        <w:rPr>
          <w:spacing w:val="-10"/>
        </w:rPr>
        <w:t> </w:t>
      </w:r>
      <w:r>
        <w:rPr/>
        <w:t>to</w:t>
      </w:r>
      <w:r>
        <w:rPr>
          <w:spacing w:val="-10"/>
        </w:rPr>
        <w:t> </w:t>
      </w:r>
      <w:r>
        <w:rPr/>
        <w:t>determine</w:t>
      </w:r>
      <w:r>
        <w:rPr>
          <w:spacing w:val="-10"/>
        </w:rPr>
        <w:t> </w:t>
      </w:r>
      <w:r>
        <w:rPr/>
        <w:t>the</w:t>
      </w:r>
      <w:r>
        <w:rPr>
          <w:spacing w:val="-10"/>
        </w:rPr>
        <w:t> </w:t>
      </w:r>
      <w:r>
        <w:rPr/>
        <w:t>adequacy</w:t>
      </w:r>
      <w:r>
        <w:rPr>
          <w:spacing w:val="-10"/>
        </w:rPr>
        <w:t> </w:t>
      </w:r>
      <w:r>
        <w:rPr/>
        <w:t>of</w:t>
      </w:r>
      <w:r>
        <w:rPr>
          <w:spacing w:val="-10"/>
        </w:rPr>
        <w:t> </w:t>
      </w:r>
      <w:r>
        <w:rPr/>
        <w:t>our</w:t>
      </w:r>
      <w:r>
        <w:rPr>
          <w:spacing w:val="-10"/>
        </w:rPr>
        <w:t> </w:t>
      </w:r>
      <w:r>
        <w:rPr/>
        <w:t>provision</w:t>
      </w:r>
      <w:r>
        <w:rPr>
          <w:spacing w:val="-10"/>
        </w:rPr>
        <w:t> </w:t>
      </w:r>
      <w:r>
        <w:rPr/>
        <w:t>for</w:t>
      </w:r>
      <w:r>
        <w:rPr>
          <w:spacing w:val="-10"/>
        </w:rPr>
        <w:t> </w:t>
      </w:r>
      <w:r>
        <w:rPr/>
        <w:t>income</w:t>
      </w:r>
      <w:r>
        <w:rPr>
          <w:spacing w:val="-10"/>
        </w:rPr>
        <w:t> </w:t>
      </w:r>
      <w:r>
        <w:rPr/>
        <w:t>taxes</w:t>
      </w:r>
      <w:r>
        <w:rPr>
          <w:spacing w:val="-10"/>
        </w:rPr>
        <w:t> </w:t>
      </w:r>
      <w:r>
        <w:rPr/>
        <w:t>and</w:t>
      </w:r>
      <w:r>
        <w:rPr>
          <w:spacing w:val="-10"/>
        </w:rPr>
        <w:t> </w:t>
      </w:r>
      <w:r>
        <w:rPr/>
        <w:t>have</w:t>
      </w:r>
      <w:r>
        <w:rPr>
          <w:spacing w:val="-10"/>
        </w:rPr>
        <w:t> </w:t>
      </w:r>
      <w:r>
        <w:rPr/>
        <w:t>reserved</w:t>
      </w:r>
      <w:r>
        <w:rPr>
          <w:spacing w:val="-10"/>
        </w:rPr>
        <w:t> </w:t>
      </w:r>
      <w:r>
        <w:rPr/>
        <w:t>for</w:t>
      </w:r>
      <w:r>
        <w:rPr>
          <w:spacing w:val="-10"/>
        </w:rPr>
        <w:t> </w:t>
      </w:r>
      <w:r>
        <w:rPr/>
        <w:t>potential</w:t>
      </w:r>
      <w:r>
        <w:rPr>
          <w:spacing w:val="-10"/>
        </w:rPr>
        <w:t> </w:t>
      </w:r>
      <w:r>
        <w:rPr/>
        <w:t>adjustments that</w:t>
      </w:r>
      <w:r>
        <w:rPr>
          <w:spacing w:val="-8"/>
        </w:rPr>
        <w:t> </w:t>
      </w:r>
      <w:r>
        <w:rPr/>
        <w:t>may</w:t>
      </w:r>
      <w:r>
        <w:rPr>
          <w:spacing w:val="-8"/>
        </w:rPr>
        <w:t> </w:t>
      </w:r>
      <w:r>
        <w:rPr/>
        <w:t>result</w:t>
      </w:r>
      <w:r>
        <w:rPr>
          <w:spacing w:val="-8"/>
        </w:rPr>
        <w:t> </w:t>
      </w:r>
      <w:r>
        <w:rPr/>
        <w:t>from</w:t>
      </w:r>
      <w:r>
        <w:rPr>
          <w:spacing w:val="-8"/>
        </w:rPr>
        <w:t> </w:t>
      </w:r>
      <w:r>
        <w:rPr/>
        <w:t>these</w:t>
      </w:r>
      <w:r>
        <w:rPr>
          <w:spacing w:val="-8"/>
        </w:rPr>
        <w:t> </w:t>
      </w:r>
      <w:r>
        <w:rPr/>
        <w:t>examinations.</w:t>
      </w:r>
      <w:r>
        <w:rPr>
          <w:spacing w:val="-11"/>
        </w:rPr>
        <w:t> </w:t>
      </w:r>
      <w:r>
        <w:rPr/>
        <w:t>We</w:t>
      </w:r>
      <w:r>
        <w:rPr>
          <w:spacing w:val="-8"/>
        </w:rPr>
        <w:t> </w:t>
      </w:r>
      <w:r>
        <w:rPr/>
        <w:t>believe</w:t>
      </w:r>
      <w:r>
        <w:rPr>
          <w:spacing w:val="-8"/>
        </w:rPr>
        <w:t> </w:t>
      </w:r>
      <w:r>
        <w:rPr/>
        <w:t>such</w:t>
      </w:r>
      <w:r>
        <w:rPr>
          <w:spacing w:val="-8"/>
        </w:rPr>
        <w:t> </w:t>
      </w:r>
      <w:r>
        <w:rPr/>
        <w:t>estimates</w:t>
      </w:r>
      <w:r>
        <w:rPr>
          <w:spacing w:val="-7"/>
        </w:rPr>
        <w:t> </w:t>
      </w:r>
      <w:r>
        <w:rPr/>
        <w:t>to</w:t>
      </w:r>
      <w:r>
        <w:rPr>
          <w:spacing w:val="-8"/>
        </w:rPr>
        <w:t> </w:t>
      </w:r>
      <w:r>
        <w:rPr/>
        <w:t>be</w:t>
      </w:r>
      <w:r>
        <w:rPr>
          <w:spacing w:val="-8"/>
        </w:rPr>
        <w:t> </w:t>
      </w:r>
      <w:r>
        <w:rPr/>
        <w:t>reasonable;</w:t>
      </w:r>
      <w:r>
        <w:rPr>
          <w:spacing w:val="-8"/>
        </w:rPr>
        <w:t> </w:t>
      </w:r>
      <w:r>
        <w:rPr/>
        <w:t>however,</w:t>
      </w:r>
      <w:r>
        <w:rPr>
          <w:spacing w:val="-8"/>
        </w:rPr>
        <w:t> </w:t>
      </w:r>
      <w:r>
        <w:rPr/>
        <w:t>there</w:t>
      </w:r>
      <w:r>
        <w:rPr>
          <w:spacing w:val="-8"/>
        </w:rPr>
        <w:t> </w:t>
      </w:r>
      <w:r>
        <w:rPr/>
        <w:t>can</w:t>
      </w:r>
      <w:r>
        <w:rPr>
          <w:spacing w:val="-8"/>
        </w:rPr>
        <w:t> </w:t>
      </w:r>
      <w:r>
        <w:rPr/>
        <w:t>be</w:t>
      </w:r>
      <w:r>
        <w:rPr>
          <w:spacing w:val="-8"/>
        </w:rPr>
        <w:t> </w:t>
      </w:r>
      <w:r>
        <w:rPr/>
        <w:t>no</w:t>
      </w:r>
      <w:r>
        <w:rPr>
          <w:spacing w:val="-8"/>
        </w:rPr>
        <w:t> </w:t>
      </w:r>
      <w:r>
        <w:rPr/>
        <w:t>assurance</w:t>
      </w:r>
      <w:r>
        <w:rPr>
          <w:spacing w:val="-8"/>
        </w:rPr>
        <w:t> </w:t>
      </w:r>
      <w:r>
        <w:rPr/>
        <w:t>that</w:t>
      </w:r>
      <w:r>
        <w:rPr>
          <w:spacing w:val="-8"/>
        </w:rPr>
        <w:t> </w:t>
      </w:r>
      <w:r>
        <w:rPr/>
        <w:t>the final determination of any of these examinations will not have an adverse effect on our operating results and financial position.</w:t>
      </w:r>
    </w:p>
    <w:p>
      <w:pPr>
        <w:pStyle w:val="BodyText"/>
        <w:spacing w:before="15"/>
      </w:pPr>
    </w:p>
    <w:p>
      <w:pPr>
        <w:pStyle w:val="BodyText"/>
        <w:spacing w:line="249" w:lineRule="auto" w:before="1"/>
        <w:ind w:left="220" w:right="257" w:firstLine="540"/>
        <w:jc w:val="both"/>
      </w:pPr>
      <w:r>
        <w:rPr/>
        <w:t>The</w:t>
      </w:r>
      <w:r>
        <w:rPr>
          <w:spacing w:val="-8"/>
        </w:rPr>
        <w:t> </w:t>
      </w:r>
      <w:r>
        <w:rPr/>
        <w:t>timing</w:t>
      </w:r>
      <w:r>
        <w:rPr>
          <w:spacing w:val="-9"/>
        </w:rPr>
        <w:t> </w:t>
      </w:r>
      <w:r>
        <w:rPr/>
        <w:t>of</w:t>
      </w:r>
      <w:r>
        <w:rPr>
          <w:spacing w:val="-8"/>
        </w:rPr>
        <w:t> </w:t>
      </w:r>
      <w:r>
        <w:rPr/>
        <w:t>the</w:t>
      </w:r>
      <w:r>
        <w:rPr>
          <w:spacing w:val="-8"/>
        </w:rPr>
        <w:t> </w:t>
      </w:r>
      <w:r>
        <w:rPr/>
        <w:t>resolution</w:t>
      </w:r>
      <w:r>
        <w:rPr>
          <w:spacing w:val="-8"/>
        </w:rPr>
        <w:t> </w:t>
      </w:r>
      <w:r>
        <w:rPr/>
        <w:t>of</w:t>
      </w:r>
      <w:r>
        <w:rPr>
          <w:spacing w:val="-8"/>
        </w:rPr>
        <w:t> </w:t>
      </w:r>
      <w:r>
        <w:rPr/>
        <w:t>income</w:t>
      </w:r>
      <w:r>
        <w:rPr>
          <w:spacing w:val="-9"/>
        </w:rPr>
        <w:t> </w:t>
      </w:r>
      <w:r>
        <w:rPr/>
        <w:t>tax</w:t>
      </w:r>
      <w:r>
        <w:rPr>
          <w:spacing w:val="-8"/>
        </w:rPr>
        <w:t> </w:t>
      </w:r>
      <w:r>
        <w:rPr/>
        <w:t>examinations</w:t>
      </w:r>
      <w:r>
        <w:rPr>
          <w:spacing w:val="-8"/>
        </w:rPr>
        <w:t> </w:t>
      </w:r>
      <w:r>
        <w:rPr/>
        <w:t>is</w:t>
      </w:r>
      <w:r>
        <w:rPr>
          <w:spacing w:val="-8"/>
        </w:rPr>
        <w:t> </w:t>
      </w:r>
      <w:r>
        <w:rPr/>
        <w:t>highly</w:t>
      </w:r>
      <w:r>
        <w:rPr>
          <w:spacing w:val="-8"/>
        </w:rPr>
        <w:t> </w:t>
      </w:r>
      <w:r>
        <w:rPr/>
        <w:t>uncertain</w:t>
      </w:r>
      <w:r>
        <w:rPr>
          <w:spacing w:val="-8"/>
        </w:rPr>
        <w:t> </w:t>
      </w:r>
      <w:r>
        <w:rPr/>
        <w:t>as</w:t>
      </w:r>
      <w:r>
        <w:rPr>
          <w:spacing w:val="-8"/>
        </w:rPr>
        <w:t> </w:t>
      </w:r>
      <w:r>
        <w:rPr/>
        <w:t>are</w:t>
      </w:r>
      <w:r>
        <w:rPr>
          <w:spacing w:val="-8"/>
        </w:rPr>
        <w:t> </w:t>
      </w:r>
      <w:r>
        <w:rPr/>
        <w:t>the</w:t>
      </w:r>
      <w:r>
        <w:rPr>
          <w:spacing w:val="-9"/>
        </w:rPr>
        <w:t> </w:t>
      </w:r>
      <w:r>
        <w:rPr/>
        <w:t>amounts</w:t>
      </w:r>
      <w:r>
        <w:rPr>
          <w:spacing w:val="-8"/>
        </w:rPr>
        <w:t> </w:t>
      </w:r>
      <w:r>
        <w:rPr/>
        <w:t>and</w:t>
      </w:r>
      <w:r>
        <w:rPr>
          <w:spacing w:val="-8"/>
        </w:rPr>
        <w:t> </w:t>
      </w:r>
      <w:r>
        <w:rPr/>
        <w:t>timing</w:t>
      </w:r>
      <w:r>
        <w:rPr>
          <w:spacing w:val="-8"/>
        </w:rPr>
        <w:t> </w:t>
      </w:r>
      <w:r>
        <w:rPr/>
        <w:t>of</w:t>
      </w:r>
      <w:r>
        <w:rPr>
          <w:spacing w:val="-8"/>
        </w:rPr>
        <w:t> </w:t>
      </w:r>
      <w:r>
        <w:rPr/>
        <w:t>tax</w:t>
      </w:r>
      <w:r>
        <w:rPr>
          <w:spacing w:val="-9"/>
        </w:rPr>
        <w:t> </w:t>
      </w:r>
      <w:r>
        <w:rPr/>
        <w:t>payments that</w:t>
      </w:r>
      <w:r>
        <w:rPr>
          <w:spacing w:val="-11"/>
        </w:rPr>
        <w:t> </w:t>
      </w:r>
      <w:r>
        <w:rPr/>
        <w:t>are</w:t>
      </w:r>
      <w:r>
        <w:rPr>
          <w:spacing w:val="-11"/>
        </w:rPr>
        <w:t> </w:t>
      </w:r>
      <w:r>
        <w:rPr/>
        <w:t>part</w:t>
      </w:r>
      <w:r>
        <w:rPr>
          <w:spacing w:val="-11"/>
        </w:rPr>
        <w:t> </w:t>
      </w:r>
      <w:r>
        <w:rPr/>
        <w:t>of</w:t>
      </w:r>
      <w:r>
        <w:rPr>
          <w:spacing w:val="-11"/>
        </w:rPr>
        <w:t> </w:t>
      </w:r>
      <w:r>
        <w:rPr/>
        <w:t>any</w:t>
      </w:r>
      <w:r>
        <w:rPr>
          <w:spacing w:val="-11"/>
        </w:rPr>
        <w:t> </w:t>
      </w:r>
      <w:r>
        <w:rPr/>
        <w:t>audit</w:t>
      </w:r>
      <w:r>
        <w:rPr>
          <w:spacing w:val="-11"/>
        </w:rPr>
        <w:t> </w:t>
      </w:r>
      <w:r>
        <w:rPr/>
        <w:t>settlement</w:t>
      </w:r>
      <w:r>
        <w:rPr>
          <w:spacing w:val="-11"/>
        </w:rPr>
        <w:t> </w:t>
      </w:r>
      <w:r>
        <w:rPr/>
        <w:t>process.</w:t>
      </w:r>
      <w:r>
        <w:rPr>
          <w:spacing w:val="27"/>
        </w:rPr>
        <w:t> </w:t>
      </w:r>
      <w:r>
        <w:rPr/>
        <w:t>These</w:t>
      </w:r>
      <w:r>
        <w:rPr>
          <w:spacing w:val="-11"/>
        </w:rPr>
        <w:t> </w:t>
      </w:r>
      <w:r>
        <w:rPr/>
        <w:t>events</w:t>
      </w:r>
      <w:r>
        <w:rPr>
          <w:spacing w:val="-10"/>
        </w:rPr>
        <w:t> </w:t>
      </w:r>
      <w:r>
        <w:rPr/>
        <w:t>could</w:t>
      </w:r>
      <w:r>
        <w:rPr>
          <w:spacing w:val="-11"/>
        </w:rPr>
        <w:t> </w:t>
      </w:r>
      <w:r>
        <w:rPr/>
        <w:t>cause</w:t>
      </w:r>
      <w:r>
        <w:rPr>
          <w:spacing w:val="-11"/>
        </w:rPr>
        <w:t> </w:t>
      </w:r>
      <w:r>
        <w:rPr/>
        <w:t>large</w:t>
      </w:r>
      <w:r>
        <w:rPr>
          <w:spacing w:val="-11"/>
        </w:rPr>
        <w:t> </w:t>
      </w:r>
      <w:r>
        <w:rPr/>
        <w:t>fluctuations</w:t>
      </w:r>
      <w:r>
        <w:rPr>
          <w:spacing w:val="-10"/>
        </w:rPr>
        <w:t> </w:t>
      </w:r>
      <w:r>
        <w:rPr/>
        <w:t>in</w:t>
      </w:r>
      <w:r>
        <w:rPr>
          <w:spacing w:val="-11"/>
        </w:rPr>
        <w:t> </w:t>
      </w:r>
      <w:r>
        <w:rPr/>
        <w:t>the</w:t>
      </w:r>
      <w:r>
        <w:rPr>
          <w:spacing w:val="-11"/>
        </w:rPr>
        <w:t> </w:t>
      </w:r>
      <w:r>
        <w:rPr/>
        <w:t>balance</w:t>
      </w:r>
      <w:r>
        <w:rPr>
          <w:spacing w:val="-11"/>
        </w:rPr>
        <w:t> </w:t>
      </w:r>
      <w:r>
        <w:rPr/>
        <w:t>of</w:t>
      </w:r>
      <w:r>
        <w:rPr>
          <w:spacing w:val="-10"/>
        </w:rPr>
        <w:t> </w:t>
      </w:r>
      <w:r>
        <w:rPr/>
        <w:t>current</w:t>
      </w:r>
      <w:r>
        <w:rPr>
          <w:spacing w:val="-11"/>
        </w:rPr>
        <w:t> </w:t>
      </w:r>
      <w:r>
        <w:rPr/>
        <w:t>and</w:t>
      </w:r>
      <w:r>
        <w:rPr>
          <w:spacing w:val="-11"/>
        </w:rPr>
        <w:t> </w:t>
      </w:r>
      <w:r>
        <w:rPr/>
        <w:t>non-current assets,</w:t>
      </w:r>
      <w:r>
        <w:rPr>
          <w:spacing w:val="-9"/>
        </w:rPr>
        <w:t> </w:t>
      </w:r>
      <w:r>
        <w:rPr/>
        <w:t>liabilities</w:t>
      </w:r>
      <w:r>
        <w:rPr>
          <w:spacing w:val="-9"/>
        </w:rPr>
        <w:t> </w:t>
      </w:r>
      <w:r>
        <w:rPr/>
        <w:t>and</w:t>
      </w:r>
      <w:r>
        <w:rPr>
          <w:spacing w:val="-9"/>
        </w:rPr>
        <w:t> </w:t>
      </w:r>
      <w:r>
        <w:rPr/>
        <w:t>income</w:t>
      </w:r>
      <w:r>
        <w:rPr>
          <w:spacing w:val="-10"/>
        </w:rPr>
        <w:t> </w:t>
      </w:r>
      <w:r>
        <w:rPr/>
        <w:t>taxes</w:t>
      </w:r>
      <w:r>
        <w:rPr>
          <w:spacing w:val="-9"/>
        </w:rPr>
        <w:t> </w:t>
      </w:r>
      <w:r>
        <w:rPr/>
        <w:t>payable.</w:t>
      </w:r>
      <w:r>
        <w:rPr>
          <w:spacing w:val="-13"/>
        </w:rPr>
        <w:t> </w:t>
      </w:r>
      <w:r>
        <w:rPr/>
        <w:t>We</w:t>
      </w:r>
      <w:r>
        <w:rPr>
          <w:spacing w:val="-8"/>
        </w:rPr>
        <w:t> </w:t>
      </w:r>
      <w:r>
        <w:rPr/>
        <w:t>believe</w:t>
      </w:r>
      <w:r>
        <w:rPr>
          <w:spacing w:val="-10"/>
        </w:rPr>
        <w:t> </w:t>
      </w:r>
      <w:r>
        <w:rPr/>
        <w:t>that</w:t>
      </w:r>
      <w:r>
        <w:rPr>
          <w:spacing w:val="-10"/>
        </w:rPr>
        <w:t> </w:t>
      </w:r>
      <w:r>
        <w:rPr/>
        <w:t>within</w:t>
      </w:r>
      <w:r>
        <w:rPr>
          <w:spacing w:val="-10"/>
        </w:rPr>
        <w:t> </w:t>
      </w:r>
      <w:r>
        <w:rPr/>
        <w:t>the</w:t>
      </w:r>
      <w:r>
        <w:rPr>
          <w:spacing w:val="-9"/>
        </w:rPr>
        <w:t> </w:t>
      </w:r>
      <w:r>
        <w:rPr/>
        <w:t>next</w:t>
      </w:r>
      <w:r>
        <w:rPr>
          <w:spacing w:val="-10"/>
        </w:rPr>
        <w:t> </w:t>
      </w:r>
      <w:r>
        <w:rPr/>
        <w:t>12</w:t>
      </w:r>
      <w:r>
        <w:rPr>
          <w:spacing w:val="-9"/>
        </w:rPr>
        <w:t> </w:t>
      </w:r>
      <w:r>
        <w:rPr/>
        <w:t>months,</w:t>
      </w:r>
      <w:r>
        <w:rPr>
          <w:spacing w:val="-10"/>
        </w:rPr>
        <w:t> </w:t>
      </w:r>
      <w:r>
        <w:rPr/>
        <w:t>it</w:t>
      </w:r>
      <w:r>
        <w:rPr>
          <w:spacing w:val="-9"/>
        </w:rPr>
        <w:t> </w:t>
      </w:r>
      <w:r>
        <w:rPr/>
        <w:t>is</w:t>
      </w:r>
      <w:r>
        <w:rPr>
          <w:spacing w:val="-9"/>
        </w:rPr>
        <w:t> </w:t>
      </w:r>
      <w:r>
        <w:rPr/>
        <w:t>reasonably</w:t>
      </w:r>
      <w:r>
        <w:rPr>
          <w:spacing w:val="-10"/>
        </w:rPr>
        <w:t> </w:t>
      </w:r>
      <w:r>
        <w:rPr/>
        <w:t>possible</w:t>
      </w:r>
      <w:r>
        <w:rPr>
          <w:spacing w:val="-10"/>
        </w:rPr>
        <w:t> </w:t>
      </w:r>
      <w:r>
        <w:rPr/>
        <w:t>that</w:t>
      </w:r>
      <w:r>
        <w:rPr>
          <w:spacing w:val="-9"/>
        </w:rPr>
        <w:t> </w:t>
      </w:r>
      <w:r>
        <w:rPr/>
        <w:t>either</w:t>
      </w:r>
      <w:r>
        <w:rPr>
          <w:spacing w:val="-10"/>
        </w:rPr>
        <w:t> </w:t>
      </w:r>
      <w:r>
        <w:rPr/>
        <w:t>certain </w:t>
      </w:r>
      <w:r>
        <w:rPr>
          <w:spacing w:val="-2"/>
        </w:rPr>
        <w:t>audits</w:t>
      </w:r>
      <w:r>
        <w:rPr>
          <w:spacing w:val="-9"/>
        </w:rPr>
        <w:t> </w:t>
      </w:r>
      <w:r>
        <w:rPr>
          <w:spacing w:val="-2"/>
        </w:rPr>
        <w:t>will</w:t>
      </w:r>
      <w:r>
        <w:rPr>
          <w:spacing w:val="-9"/>
        </w:rPr>
        <w:t> </w:t>
      </w:r>
      <w:r>
        <w:rPr>
          <w:spacing w:val="-2"/>
        </w:rPr>
        <w:t>conclude</w:t>
      </w:r>
      <w:r>
        <w:rPr>
          <w:spacing w:val="-9"/>
        </w:rPr>
        <w:t> </w:t>
      </w:r>
      <w:r>
        <w:rPr>
          <w:spacing w:val="-2"/>
        </w:rPr>
        <w:t>or</w:t>
      </w:r>
      <w:r>
        <w:rPr>
          <w:spacing w:val="-9"/>
        </w:rPr>
        <w:t> </w:t>
      </w:r>
      <w:r>
        <w:rPr>
          <w:spacing w:val="-2"/>
        </w:rPr>
        <w:t>statutes</w:t>
      </w:r>
      <w:r>
        <w:rPr>
          <w:spacing w:val="-9"/>
        </w:rPr>
        <w:t> </w:t>
      </w:r>
      <w:r>
        <w:rPr>
          <w:spacing w:val="-2"/>
        </w:rPr>
        <w:t>of</w:t>
      </w:r>
      <w:r>
        <w:rPr>
          <w:spacing w:val="-9"/>
        </w:rPr>
        <w:t> </w:t>
      </w:r>
      <w:r>
        <w:rPr>
          <w:spacing w:val="-2"/>
        </w:rPr>
        <w:t>limitations</w:t>
      </w:r>
      <w:r>
        <w:rPr>
          <w:spacing w:val="-9"/>
        </w:rPr>
        <w:t> </w:t>
      </w:r>
      <w:r>
        <w:rPr>
          <w:spacing w:val="-2"/>
        </w:rPr>
        <w:t>on</w:t>
      </w:r>
      <w:r>
        <w:rPr>
          <w:spacing w:val="-9"/>
        </w:rPr>
        <w:t> </w:t>
      </w:r>
      <w:r>
        <w:rPr>
          <w:spacing w:val="-2"/>
        </w:rPr>
        <w:t>certain</w:t>
      </w:r>
      <w:r>
        <w:rPr>
          <w:spacing w:val="-9"/>
        </w:rPr>
        <w:t> </w:t>
      </w:r>
      <w:r>
        <w:rPr>
          <w:spacing w:val="-2"/>
        </w:rPr>
        <w:t>income</w:t>
      </w:r>
      <w:r>
        <w:rPr>
          <w:spacing w:val="-9"/>
        </w:rPr>
        <w:t> </w:t>
      </w:r>
      <w:r>
        <w:rPr>
          <w:spacing w:val="-2"/>
        </w:rPr>
        <w:t>tax</w:t>
      </w:r>
      <w:r>
        <w:rPr>
          <w:spacing w:val="-9"/>
        </w:rPr>
        <w:t> </w:t>
      </w:r>
      <w:r>
        <w:rPr>
          <w:spacing w:val="-2"/>
        </w:rPr>
        <w:t>examination</w:t>
      </w:r>
      <w:r>
        <w:rPr>
          <w:spacing w:val="-9"/>
        </w:rPr>
        <w:t> </w:t>
      </w:r>
      <w:r>
        <w:rPr>
          <w:spacing w:val="-2"/>
        </w:rPr>
        <w:t>periods</w:t>
      </w:r>
      <w:r>
        <w:rPr>
          <w:spacing w:val="-9"/>
        </w:rPr>
        <w:t> </w:t>
      </w:r>
      <w:r>
        <w:rPr>
          <w:spacing w:val="-2"/>
        </w:rPr>
        <w:t>will</w:t>
      </w:r>
      <w:r>
        <w:rPr>
          <w:spacing w:val="-9"/>
        </w:rPr>
        <w:t> </w:t>
      </w:r>
      <w:r>
        <w:rPr>
          <w:spacing w:val="-2"/>
        </w:rPr>
        <w:t>expire,</w:t>
      </w:r>
      <w:r>
        <w:rPr>
          <w:spacing w:val="-9"/>
        </w:rPr>
        <w:t> </w:t>
      </w:r>
      <w:r>
        <w:rPr>
          <w:spacing w:val="-2"/>
        </w:rPr>
        <w:t>or</w:t>
      </w:r>
      <w:r>
        <w:rPr>
          <w:spacing w:val="-9"/>
        </w:rPr>
        <w:t> </w:t>
      </w:r>
      <w:r>
        <w:rPr>
          <w:spacing w:val="-2"/>
        </w:rPr>
        <w:t>both.</w:t>
      </w:r>
      <w:r>
        <w:rPr>
          <w:spacing w:val="-9"/>
        </w:rPr>
        <w:t> </w:t>
      </w:r>
      <w:r>
        <w:rPr>
          <w:spacing w:val="-2"/>
        </w:rPr>
        <w:t>Given</w:t>
      </w:r>
      <w:r>
        <w:rPr>
          <w:spacing w:val="-9"/>
        </w:rPr>
        <w:t> </w:t>
      </w:r>
      <w:r>
        <w:rPr>
          <w:spacing w:val="-2"/>
        </w:rPr>
        <w:t>the</w:t>
      </w:r>
      <w:r>
        <w:rPr>
          <w:spacing w:val="-9"/>
        </w:rPr>
        <w:t> </w:t>
      </w:r>
      <w:r>
        <w:rPr>
          <w:spacing w:val="-2"/>
        </w:rPr>
        <w:t>uncertainties </w:t>
      </w:r>
      <w:r>
        <w:rPr/>
        <w:t>described</w:t>
      </w:r>
      <w:r>
        <w:rPr>
          <w:spacing w:val="-8"/>
        </w:rPr>
        <w:t> </w:t>
      </w:r>
      <w:r>
        <w:rPr/>
        <w:t>above,</w:t>
      </w:r>
      <w:r>
        <w:rPr>
          <w:spacing w:val="-8"/>
        </w:rPr>
        <w:t> </w:t>
      </w:r>
      <w:r>
        <w:rPr/>
        <w:t>we</w:t>
      </w:r>
      <w:r>
        <w:rPr>
          <w:spacing w:val="-8"/>
        </w:rPr>
        <w:t> </w:t>
      </w:r>
      <w:r>
        <w:rPr/>
        <w:t>can</w:t>
      </w:r>
      <w:r>
        <w:rPr>
          <w:spacing w:val="-8"/>
        </w:rPr>
        <w:t> </w:t>
      </w:r>
      <w:r>
        <w:rPr/>
        <w:t>only</w:t>
      </w:r>
      <w:r>
        <w:rPr>
          <w:spacing w:val="-8"/>
        </w:rPr>
        <w:t> </w:t>
      </w:r>
      <w:r>
        <w:rPr/>
        <w:t>determine</w:t>
      </w:r>
      <w:r>
        <w:rPr>
          <w:spacing w:val="-8"/>
        </w:rPr>
        <w:t> </w:t>
      </w:r>
      <w:r>
        <w:rPr/>
        <w:t>a</w:t>
      </w:r>
      <w:r>
        <w:rPr>
          <w:spacing w:val="-8"/>
        </w:rPr>
        <w:t> </w:t>
      </w:r>
      <w:r>
        <w:rPr/>
        <w:t>range</w:t>
      </w:r>
      <w:r>
        <w:rPr>
          <w:spacing w:val="-8"/>
        </w:rPr>
        <w:t> </w:t>
      </w:r>
      <w:r>
        <w:rPr/>
        <w:t>of</w:t>
      </w:r>
      <w:r>
        <w:rPr>
          <w:spacing w:val="-8"/>
        </w:rPr>
        <w:t> </w:t>
      </w:r>
      <w:r>
        <w:rPr/>
        <w:t>estimated</w:t>
      </w:r>
      <w:r>
        <w:rPr>
          <w:spacing w:val="-8"/>
        </w:rPr>
        <w:t> </w:t>
      </w:r>
      <w:r>
        <w:rPr/>
        <w:t>potential</w:t>
      </w:r>
      <w:r>
        <w:rPr>
          <w:spacing w:val="-8"/>
        </w:rPr>
        <w:t> </w:t>
      </w:r>
      <w:r>
        <w:rPr/>
        <w:t>decreases</w:t>
      </w:r>
      <w:r>
        <w:rPr>
          <w:spacing w:val="-8"/>
        </w:rPr>
        <w:t> </w:t>
      </w:r>
      <w:r>
        <w:rPr/>
        <w:t>in</w:t>
      </w:r>
      <w:r>
        <w:rPr>
          <w:spacing w:val="-8"/>
        </w:rPr>
        <w:t> </w:t>
      </w:r>
      <w:r>
        <w:rPr/>
        <w:t>underlying</w:t>
      </w:r>
      <w:r>
        <w:rPr>
          <w:spacing w:val="-8"/>
        </w:rPr>
        <w:t> </w:t>
      </w:r>
      <w:r>
        <w:rPr/>
        <w:t>unrecognized</w:t>
      </w:r>
      <w:r>
        <w:rPr>
          <w:spacing w:val="-8"/>
        </w:rPr>
        <w:t> </w:t>
      </w:r>
      <w:r>
        <w:rPr/>
        <w:t>tax</w:t>
      </w:r>
      <w:r>
        <w:rPr>
          <w:spacing w:val="-8"/>
        </w:rPr>
        <w:t> </w:t>
      </w:r>
      <w:r>
        <w:rPr/>
        <w:t>benefits</w:t>
      </w:r>
      <w:r>
        <w:rPr>
          <w:spacing w:val="-8"/>
        </w:rPr>
        <w:t> </w:t>
      </w:r>
      <w:r>
        <w:rPr/>
        <w:t>ranging from $0 to approximately $40 million.</w:t>
      </w:r>
    </w:p>
    <w:p>
      <w:pPr>
        <w:spacing w:after="0" w:line="249" w:lineRule="auto"/>
        <w:jc w:val="both"/>
        <w:sectPr>
          <w:pgSz w:w="12240" w:h="15840"/>
          <w:pgMar w:header="210" w:footer="610" w:top="1380" w:bottom="800" w:left="780" w:right="740"/>
        </w:sectPr>
      </w:pPr>
    </w:p>
    <w:p>
      <w:pPr>
        <w:pStyle w:val="BodyText"/>
      </w:pPr>
    </w:p>
    <w:p>
      <w:pPr>
        <w:pStyle w:val="BodyText"/>
      </w:pPr>
    </w:p>
    <w:p>
      <w:pPr>
        <w:pStyle w:val="BodyText"/>
        <w:spacing w:before="30"/>
      </w:pPr>
    </w:p>
    <w:p>
      <w:pPr>
        <w:pStyle w:val="BodyText"/>
        <w:spacing w:line="249" w:lineRule="auto"/>
        <w:ind w:left="220" w:right="257" w:firstLine="540"/>
        <w:jc w:val="both"/>
      </w:pPr>
      <w:r>
        <w:rPr/>
        <w:t>Subsequent</w:t>
      </w:r>
      <w:r>
        <w:rPr>
          <w:spacing w:val="-13"/>
        </w:rPr>
        <w:t> </w:t>
      </w:r>
      <w:r>
        <w:rPr/>
        <w:t>to</w:t>
      </w:r>
      <w:r>
        <w:rPr>
          <w:spacing w:val="-12"/>
        </w:rPr>
        <w:t> </w:t>
      </w:r>
      <w:r>
        <w:rPr/>
        <w:t>December</w:t>
      </w:r>
      <w:r>
        <w:rPr>
          <w:spacing w:val="-9"/>
        </w:rPr>
        <w:t> </w:t>
      </w:r>
      <w:r>
        <w:rPr/>
        <w:t>1,</w:t>
      </w:r>
      <w:r>
        <w:rPr>
          <w:spacing w:val="-12"/>
        </w:rPr>
        <w:t> </w:t>
      </w:r>
      <w:r>
        <w:rPr/>
        <w:t>2017,</w:t>
      </w:r>
      <w:r>
        <w:rPr>
          <w:spacing w:val="-12"/>
        </w:rPr>
        <w:t> </w:t>
      </w:r>
      <w:r>
        <w:rPr/>
        <w:t>the</w:t>
      </w:r>
      <w:r>
        <w:rPr>
          <w:spacing w:val="-12"/>
        </w:rPr>
        <w:t> </w:t>
      </w:r>
      <w:r>
        <w:rPr/>
        <w:t>“Tax</w:t>
      </w:r>
      <w:r>
        <w:rPr>
          <w:spacing w:val="-11"/>
        </w:rPr>
        <w:t> </w:t>
      </w:r>
      <w:r>
        <w:rPr/>
        <w:t>Cuts</w:t>
      </w:r>
      <w:r>
        <w:rPr>
          <w:spacing w:val="-12"/>
        </w:rPr>
        <w:t> </w:t>
      </w:r>
      <w:r>
        <w:rPr/>
        <w:t>and</w:t>
      </w:r>
      <w:r>
        <w:rPr>
          <w:spacing w:val="-12"/>
        </w:rPr>
        <w:t> </w:t>
      </w:r>
      <w:r>
        <w:rPr/>
        <w:t>Jobs</w:t>
      </w:r>
      <w:r>
        <w:rPr>
          <w:spacing w:val="-13"/>
        </w:rPr>
        <w:t> </w:t>
      </w:r>
      <w:r>
        <w:rPr/>
        <w:t>Act”</w:t>
      </w:r>
      <w:r>
        <w:rPr>
          <w:spacing w:val="-12"/>
        </w:rPr>
        <w:t> </w:t>
      </w:r>
      <w:r>
        <w:rPr/>
        <w:t>(the</w:t>
      </w:r>
      <w:r>
        <w:rPr>
          <w:spacing w:val="-12"/>
        </w:rPr>
        <w:t> </w:t>
      </w:r>
      <w:r>
        <w:rPr/>
        <w:t>“Act”)</w:t>
      </w:r>
      <w:r>
        <w:rPr>
          <w:spacing w:val="-12"/>
        </w:rPr>
        <w:t> </w:t>
      </w:r>
      <w:r>
        <w:rPr/>
        <w:t>was</w:t>
      </w:r>
      <w:r>
        <w:rPr>
          <w:spacing w:val="-12"/>
        </w:rPr>
        <w:t> </w:t>
      </w:r>
      <w:r>
        <w:rPr/>
        <w:t>enacted</w:t>
      </w:r>
      <w:r>
        <w:rPr>
          <w:spacing w:val="-12"/>
        </w:rPr>
        <w:t> </w:t>
      </w:r>
      <w:r>
        <w:rPr/>
        <w:t>and</w:t>
      </w:r>
      <w:r>
        <w:rPr>
          <w:spacing w:val="-12"/>
        </w:rPr>
        <w:t> </w:t>
      </w:r>
      <w:r>
        <w:rPr/>
        <w:t>included</w:t>
      </w:r>
      <w:r>
        <w:rPr>
          <w:spacing w:val="-12"/>
        </w:rPr>
        <w:t> </w:t>
      </w:r>
      <w:r>
        <w:rPr/>
        <w:t>broad</w:t>
      </w:r>
      <w:r>
        <w:rPr>
          <w:spacing w:val="-12"/>
        </w:rPr>
        <w:t> </w:t>
      </w:r>
      <w:r>
        <w:rPr/>
        <w:t>tax</w:t>
      </w:r>
      <w:r>
        <w:rPr>
          <w:spacing w:val="-12"/>
        </w:rPr>
        <w:t> </w:t>
      </w:r>
      <w:r>
        <w:rPr/>
        <w:t>reforms</w:t>
      </w:r>
      <w:r>
        <w:rPr>
          <w:spacing w:val="-11"/>
        </w:rPr>
        <w:t> </w:t>
      </w:r>
      <w:r>
        <w:rPr/>
        <w:t>that are</w:t>
      </w:r>
      <w:r>
        <w:rPr>
          <w:spacing w:val="-13"/>
        </w:rPr>
        <w:t> </w:t>
      </w:r>
      <w:r>
        <w:rPr/>
        <w:t>applicable</w:t>
      </w:r>
      <w:r>
        <w:rPr>
          <w:spacing w:val="-12"/>
        </w:rPr>
        <w:t> </w:t>
      </w:r>
      <w:r>
        <w:rPr/>
        <w:t>to</w:t>
      </w:r>
      <w:r>
        <w:rPr>
          <w:spacing w:val="-13"/>
        </w:rPr>
        <w:t> </w:t>
      </w:r>
      <w:r>
        <w:rPr/>
        <w:t>Adobe.</w:t>
      </w:r>
      <w:r>
        <w:rPr>
          <w:spacing w:val="-12"/>
        </w:rPr>
        <w:t> </w:t>
      </w:r>
      <w:r>
        <w:rPr/>
        <w:t>Under</w:t>
      </w:r>
      <w:r>
        <w:rPr>
          <w:spacing w:val="-13"/>
        </w:rPr>
        <w:t> </w:t>
      </w:r>
      <w:r>
        <w:rPr/>
        <w:t>the</w:t>
      </w:r>
      <w:r>
        <w:rPr>
          <w:spacing w:val="-12"/>
        </w:rPr>
        <w:t> </w:t>
      </w:r>
      <w:r>
        <w:rPr/>
        <w:t>provisions</w:t>
      </w:r>
      <w:r>
        <w:rPr>
          <w:spacing w:val="-13"/>
        </w:rPr>
        <w:t> </w:t>
      </w:r>
      <w:r>
        <w:rPr/>
        <w:t>of</w:t>
      </w:r>
      <w:r>
        <w:rPr>
          <w:spacing w:val="-12"/>
        </w:rPr>
        <w:t> </w:t>
      </w:r>
      <w:r>
        <w:rPr/>
        <w:t>the</w:t>
      </w:r>
      <w:r>
        <w:rPr>
          <w:spacing w:val="-13"/>
        </w:rPr>
        <w:t> </w:t>
      </w:r>
      <w:r>
        <w:rPr/>
        <w:t>Act,</w:t>
      </w:r>
      <w:r>
        <w:rPr>
          <w:spacing w:val="-12"/>
        </w:rPr>
        <w:t> </w:t>
      </w:r>
      <w:r>
        <w:rPr/>
        <w:t>the</w:t>
      </w:r>
      <w:r>
        <w:rPr>
          <w:spacing w:val="-13"/>
        </w:rPr>
        <w:t> </w:t>
      </w:r>
      <w:r>
        <w:rPr/>
        <w:t>U.S.</w:t>
      </w:r>
      <w:r>
        <w:rPr>
          <w:spacing w:val="-12"/>
        </w:rPr>
        <w:t> </w:t>
      </w:r>
      <w:r>
        <w:rPr/>
        <w:t>corporate</w:t>
      </w:r>
      <w:r>
        <w:rPr>
          <w:spacing w:val="-13"/>
        </w:rPr>
        <w:t> </w:t>
      </w:r>
      <w:r>
        <w:rPr/>
        <w:t>tax</w:t>
      </w:r>
      <w:r>
        <w:rPr>
          <w:spacing w:val="-12"/>
        </w:rPr>
        <w:t> </w:t>
      </w:r>
      <w:r>
        <w:rPr/>
        <w:t>rate</w:t>
      </w:r>
      <w:r>
        <w:rPr>
          <w:spacing w:val="-13"/>
        </w:rPr>
        <w:t> </w:t>
      </w:r>
      <w:r>
        <w:rPr/>
        <w:t>decreased</w:t>
      </w:r>
      <w:r>
        <w:rPr>
          <w:spacing w:val="-12"/>
        </w:rPr>
        <w:t> </w:t>
      </w:r>
      <w:r>
        <w:rPr/>
        <w:t>from</w:t>
      </w:r>
      <w:r>
        <w:rPr>
          <w:spacing w:val="-13"/>
        </w:rPr>
        <w:t> </w:t>
      </w:r>
      <w:r>
        <w:rPr/>
        <w:t>35%</w:t>
      </w:r>
      <w:r>
        <w:rPr>
          <w:spacing w:val="-12"/>
        </w:rPr>
        <w:t> </w:t>
      </w:r>
      <w:r>
        <w:rPr/>
        <w:t>to</w:t>
      </w:r>
      <w:r>
        <w:rPr>
          <w:spacing w:val="-13"/>
        </w:rPr>
        <w:t> </w:t>
      </w:r>
      <w:r>
        <w:rPr/>
        <w:t>21%</w:t>
      </w:r>
      <w:r>
        <w:rPr>
          <w:spacing w:val="-12"/>
        </w:rPr>
        <w:t> </w:t>
      </w:r>
      <w:r>
        <w:rPr/>
        <w:t>effective</w:t>
      </w:r>
      <w:r>
        <w:rPr>
          <w:spacing w:val="-13"/>
        </w:rPr>
        <w:t> </w:t>
      </w:r>
      <w:r>
        <w:rPr/>
        <w:t>January 1,</w:t>
      </w:r>
      <w:r>
        <w:rPr>
          <w:spacing w:val="-4"/>
        </w:rPr>
        <w:t> </w:t>
      </w:r>
      <w:r>
        <w:rPr/>
        <w:t>2018,</w:t>
      </w:r>
      <w:r>
        <w:rPr>
          <w:spacing w:val="-4"/>
        </w:rPr>
        <w:t> </w:t>
      </w:r>
      <w:r>
        <w:rPr/>
        <w:t>our</w:t>
      </w:r>
      <w:r>
        <w:rPr>
          <w:spacing w:val="-4"/>
        </w:rPr>
        <w:t> </w:t>
      </w:r>
      <w:r>
        <w:rPr/>
        <w:t>undistributed</w:t>
      </w:r>
      <w:r>
        <w:rPr>
          <w:spacing w:val="-4"/>
        </w:rPr>
        <w:t> </w:t>
      </w:r>
      <w:r>
        <w:rPr/>
        <w:t>foreign</w:t>
      </w:r>
      <w:r>
        <w:rPr>
          <w:spacing w:val="-4"/>
        </w:rPr>
        <w:t> </w:t>
      </w:r>
      <w:r>
        <w:rPr/>
        <w:t>earnings</w:t>
      </w:r>
      <w:r>
        <w:rPr>
          <w:spacing w:val="-4"/>
        </w:rPr>
        <w:t> </w:t>
      </w:r>
      <w:r>
        <w:rPr/>
        <w:t>are</w:t>
      </w:r>
      <w:r>
        <w:rPr>
          <w:spacing w:val="-4"/>
        </w:rPr>
        <w:t> </w:t>
      </w:r>
      <w:r>
        <w:rPr/>
        <w:t>subject</w:t>
      </w:r>
      <w:r>
        <w:rPr>
          <w:spacing w:val="-4"/>
        </w:rPr>
        <w:t> </w:t>
      </w:r>
      <w:r>
        <w:rPr/>
        <w:t>to</w:t>
      </w:r>
      <w:r>
        <w:rPr>
          <w:spacing w:val="-4"/>
        </w:rPr>
        <w:t> </w:t>
      </w:r>
      <w:r>
        <w:rPr/>
        <w:t>taxation</w:t>
      </w:r>
      <w:r>
        <w:rPr>
          <w:spacing w:val="-4"/>
        </w:rPr>
        <w:t> </w:t>
      </w:r>
      <w:r>
        <w:rPr/>
        <w:t>in</w:t>
      </w:r>
      <w:r>
        <w:rPr>
          <w:spacing w:val="-4"/>
        </w:rPr>
        <w:t> </w:t>
      </w:r>
      <w:r>
        <w:rPr/>
        <w:t>fiscal</w:t>
      </w:r>
      <w:r>
        <w:rPr>
          <w:spacing w:val="-4"/>
        </w:rPr>
        <w:t> </w:t>
      </w:r>
      <w:r>
        <w:rPr/>
        <w:t>2018</w:t>
      </w:r>
      <w:r>
        <w:rPr>
          <w:spacing w:val="-4"/>
        </w:rPr>
        <w:t> </w:t>
      </w:r>
      <w:r>
        <w:rPr/>
        <w:t>and</w:t>
      </w:r>
      <w:r>
        <w:rPr>
          <w:spacing w:val="-4"/>
        </w:rPr>
        <w:t> </w:t>
      </w:r>
      <w:r>
        <w:rPr/>
        <w:t>are</w:t>
      </w:r>
      <w:r>
        <w:rPr>
          <w:spacing w:val="-4"/>
        </w:rPr>
        <w:t> </w:t>
      </w:r>
      <w:r>
        <w:rPr/>
        <w:t>available</w:t>
      </w:r>
      <w:r>
        <w:rPr>
          <w:spacing w:val="-4"/>
        </w:rPr>
        <w:t> </w:t>
      </w:r>
      <w:r>
        <w:rPr/>
        <w:t>for</w:t>
      </w:r>
      <w:r>
        <w:rPr>
          <w:spacing w:val="-4"/>
        </w:rPr>
        <w:t> </w:t>
      </w:r>
      <w:r>
        <w:rPr/>
        <w:t>repatriation,</w:t>
      </w:r>
      <w:r>
        <w:rPr>
          <w:spacing w:val="-4"/>
        </w:rPr>
        <w:t> </w:t>
      </w:r>
      <w:r>
        <w:rPr/>
        <w:t>and</w:t>
      </w:r>
      <w:r>
        <w:rPr>
          <w:spacing w:val="-4"/>
        </w:rPr>
        <w:t> </w:t>
      </w:r>
      <w:r>
        <w:rPr/>
        <w:t>our</w:t>
      </w:r>
      <w:r>
        <w:rPr>
          <w:spacing w:val="-4"/>
        </w:rPr>
        <w:t> </w:t>
      </w:r>
      <w:r>
        <w:rPr/>
        <w:t>future foreign</w:t>
      </w:r>
      <w:r>
        <w:rPr>
          <w:spacing w:val="-10"/>
        </w:rPr>
        <w:t> </w:t>
      </w:r>
      <w:r>
        <w:rPr/>
        <w:t>earnings</w:t>
      </w:r>
      <w:r>
        <w:rPr>
          <w:spacing w:val="-10"/>
        </w:rPr>
        <w:t> </w:t>
      </w:r>
      <w:r>
        <w:rPr/>
        <w:t>are</w:t>
      </w:r>
      <w:r>
        <w:rPr>
          <w:spacing w:val="-10"/>
        </w:rPr>
        <w:t> </w:t>
      </w:r>
      <w:r>
        <w:rPr/>
        <w:t>subject</w:t>
      </w:r>
      <w:r>
        <w:rPr>
          <w:spacing w:val="-10"/>
        </w:rPr>
        <w:t> </w:t>
      </w:r>
      <w:r>
        <w:rPr/>
        <w:t>to</w:t>
      </w:r>
      <w:r>
        <w:rPr>
          <w:spacing w:val="-10"/>
        </w:rPr>
        <w:t> </w:t>
      </w:r>
      <w:r>
        <w:rPr/>
        <w:t>U.S.</w:t>
      </w:r>
      <w:r>
        <w:rPr>
          <w:spacing w:val="-10"/>
        </w:rPr>
        <w:t> </w:t>
      </w:r>
      <w:r>
        <w:rPr/>
        <w:t>taxation.</w:t>
      </w:r>
      <w:r>
        <w:rPr>
          <w:spacing w:val="-13"/>
        </w:rPr>
        <w:t> </w:t>
      </w:r>
      <w:r>
        <w:rPr/>
        <w:t>These</w:t>
      </w:r>
      <w:r>
        <w:rPr>
          <w:spacing w:val="-9"/>
        </w:rPr>
        <w:t> </w:t>
      </w:r>
      <w:r>
        <w:rPr/>
        <w:t>changes</w:t>
      </w:r>
      <w:r>
        <w:rPr>
          <w:spacing w:val="-10"/>
        </w:rPr>
        <w:t> </w:t>
      </w:r>
      <w:r>
        <w:rPr/>
        <w:t>will</w:t>
      </w:r>
      <w:r>
        <w:rPr>
          <w:spacing w:val="-10"/>
        </w:rPr>
        <w:t> </w:t>
      </w:r>
      <w:r>
        <w:rPr/>
        <w:t>require</w:t>
      </w:r>
      <w:r>
        <w:rPr>
          <w:spacing w:val="-10"/>
        </w:rPr>
        <w:t> </w:t>
      </w:r>
      <w:r>
        <w:rPr/>
        <w:t>us</w:t>
      </w:r>
      <w:r>
        <w:rPr>
          <w:spacing w:val="-10"/>
        </w:rPr>
        <w:t> </w:t>
      </w:r>
      <w:r>
        <w:rPr/>
        <w:t>to</w:t>
      </w:r>
      <w:r>
        <w:rPr>
          <w:spacing w:val="-10"/>
        </w:rPr>
        <w:t> </w:t>
      </w:r>
      <w:r>
        <w:rPr/>
        <w:t>remeasure</w:t>
      </w:r>
      <w:r>
        <w:rPr>
          <w:spacing w:val="-10"/>
        </w:rPr>
        <w:t> </w:t>
      </w:r>
      <w:r>
        <w:rPr/>
        <w:t>our</w:t>
      </w:r>
      <w:r>
        <w:rPr>
          <w:spacing w:val="-10"/>
        </w:rPr>
        <w:t> </w:t>
      </w:r>
      <w:r>
        <w:rPr/>
        <w:t>deferred</w:t>
      </w:r>
      <w:r>
        <w:rPr>
          <w:spacing w:val="-10"/>
        </w:rPr>
        <w:t> </w:t>
      </w:r>
      <w:r>
        <w:rPr/>
        <w:t>tax</w:t>
      </w:r>
      <w:r>
        <w:rPr>
          <w:spacing w:val="-10"/>
        </w:rPr>
        <w:t> </w:t>
      </w:r>
      <w:r>
        <w:rPr/>
        <w:t>assets</w:t>
      </w:r>
      <w:r>
        <w:rPr>
          <w:spacing w:val="-10"/>
        </w:rPr>
        <w:t> </w:t>
      </w:r>
      <w:r>
        <w:rPr/>
        <w:t>and</w:t>
      </w:r>
      <w:r>
        <w:rPr>
          <w:spacing w:val="-10"/>
        </w:rPr>
        <w:t> </w:t>
      </w:r>
      <w:r>
        <w:rPr/>
        <w:t>liabilities</w:t>
      </w:r>
      <w:r>
        <w:rPr>
          <w:spacing w:val="-10"/>
        </w:rPr>
        <w:t> </w:t>
      </w:r>
      <w:r>
        <w:rPr/>
        <w:t>and reclassify</w:t>
      </w:r>
      <w:r>
        <w:rPr>
          <w:spacing w:val="-12"/>
        </w:rPr>
        <w:t> </w:t>
      </w:r>
      <w:r>
        <w:rPr/>
        <w:t>deferred</w:t>
      </w:r>
      <w:r>
        <w:rPr>
          <w:spacing w:val="-9"/>
        </w:rPr>
        <w:t> </w:t>
      </w:r>
      <w:r>
        <w:rPr/>
        <w:t>tax</w:t>
      </w:r>
      <w:r>
        <w:rPr>
          <w:spacing w:val="-9"/>
        </w:rPr>
        <w:t> </w:t>
      </w:r>
      <w:r>
        <w:rPr/>
        <w:t>liabilities</w:t>
      </w:r>
      <w:r>
        <w:rPr>
          <w:spacing w:val="-8"/>
        </w:rPr>
        <w:t> </w:t>
      </w:r>
      <w:r>
        <w:rPr/>
        <w:t>related</w:t>
      </w:r>
      <w:r>
        <w:rPr>
          <w:spacing w:val="-10"/>
        </w:rPr>
        <w:t> </w:t>
      </w:r>
      <w:r>
        <w:rPr/>
        <w:t>to</w:t>
      </w:r>
      <w:r>
        <w:rPr>
          <w:spacing w:val="-9"/>
        </w:rPr>
        <w:t> </w:t>
      </w:r>
      <w:r>
        <w:rPr/>
        <w:t>undistributed</w:t>
      </w:r>
      <w:r>
        <w:rPr>
          <w:spacing w:val="-9"/>
        </w:rPr>
        <w:t> </w:t>
      </w:r>
      <w:r>
        <w:rPr/>
        <w:t>foreign</w:t>
      </w:r>
      <w:r>
        <w:rPr>
          <w:spacing w:val="-9"/>
        </w:rPr>
        <w:t> </w:t>
      </w:r>
      <w:r>
        <w:rPr/>
        <w:t>earnings</w:t>
      </w:r>
      <w:r>
        <w:rPr>
          <w:spacing w:val="-9"/>
        </w:rPr>
        <w:t> </w:t>
      </w:r>
      <w:r>
        <w:rPr/>
        <w:t>to</w:t>
      </w:r>
      <w:r>
        <w:rPr>
          <w:spacing w:val="-9"/>
        </w:rPr>
        <w:t> </w:t>
      </w:r>
      <w:r>
        <w:rPr/>
        <w:t>long-term</w:t>
      </w:r>
      <w:r>
        <w:rPr>
          <w:spacing w:val="-9"/>
        </w:rPr>
        <w:t> </w:t>
      </w:r>
      <w:r>
        <w:rPr/>
        <w:t>income</w:t>
      </w:r>
      <w:r>
        <w:rPr>
          <w:spacing w:val="-9"/>
        </w:rPr>
        <w:t> </w:t>
      </w:r>
      <w:r>
        <w:rPr/>
        <w:t>taxes</w:t>
      </w:r>
      <w:r>
        <w:rPr>
          <w:spacing w:val="-9"/>
        </w:rPr>
        <w:t> </w:t>
      </w:r>
      <w:r>
        <w:rPr/>
        <w:t>payable</w:t>
      </w:r>
      <w:r>
        <w:rPr>
          <w:spacing w:val="-9"/>
        </w:rPr>
        <w:t> </w:t>
      </w:r>
      <w:r>
        <w:rPr/>
        <w:t>due</w:t>
      </w:r>
      <w:r>
        <w:rPr>
          <w:spacing w:val="-9"/>
        </w:rPr>
        <w:t> </w:t>
      </w:r>
      <w:r>
        <w:rPr/>
        <w:t>over</w:t>
      </w:r>
      <w:r>
        <w:rPr>
          <w:spacing w:val="-9"/>
        </w:rPr>
        <w:t> </w:t>
      </w:r>
      <w:r>
        <w:rPr/>
        <w:t>eight</w:t>
      </w:r>
      <w:r>
        <w:rPr>
          <w:spacing w:val="-9"/>
        </w:rPr>
        <w:t> </w:t>
      </w:r>
      <w:r>
        <w:rPr>
          <w:spacing w:val="-2"/>
        </w:rPr>
        <w:t>years.</w:t>
      </w:r>
    </w:p>
    <w:p>
      <w:pPr>
        <w:pStyle w:val="BodyText"/>
        <w:spacing w:before="14"/>
      </w:pPr>
    </w:p>
    <w:p>
      <w:pPr>
        <w:pStyle w:val="Heading1"/>
        <w:ind w:left="210"/>
      </w:pPr>
      <w:bookmarkStart w:name="NOTE 10. BENEFIT PLANS" w:id="81"/>
      <w:bookmarkEnd w:id="81"/>
      <w:r>
        <w:rPr>
          <w:b w:val="0"/>
        </w:rPr>
      </w:r>
      <w:r>
        <w:rPr/>
        <w:t>NOTE 10.</w:t>
      </w:r>
      <w:r>
        <w:rPr>
          <w:spacing w:val="50"/>
        </w:rPr>
        <w:t> </w:t>
      </w:r>
      <w:r>
        <w:rPr/>
        <w:t>BENEFIT</w:t>
      </w:r>
      <w:r>
        <w:rPr>
          <w:spacing w:val="-4"/>
        </w:rPr>
        <w:t> </w:t>
      </w:r>
      <w:r>
        <w:rPr>
          <w:spacing w:val="-2"/>
        </w:rPr>
        <w:t>PLANS</w:t>
      </w:r>
    </w:p>
    <w:p>
      <w:pPr>
        <w:spacing w:before="190"/>
        <w:ind w:left="210" w:right="0" w:firstLine="0"/>
        <w:jc w:val="left"/>
        <w:rPr>
          <w:i/>
          <w:sz w:val="20"/>
        </w:rPr>
      </w:pPr>
      <w:r>
        <w:rPr>
          <w:i/>
          <w:sz w:val="20"/>
        </w:rPr>
        <w:t>Retirement</w:t>
      </w:r>
      <w:r>
        <w:rPr>
          <w:i/>
          <w:spacing w:val="-10"/>
          <w:sz w:val="20"/>
        </w:rPr>
        <w:t> </w:t>
      </w:r>
      <w:r>
        <w:rPr>
          <w:i/>
          <w:sz w:val="20"/>
        </w:rPr>
        <w:t>Savings</w:t>
      </w:r>
      <w:r>
        <w:rPr>
          <w:i/>
          <w:spacing w:val="-9"/>
          <w:sz w:val="20"/>
        </w:rPr>
        <w:t> </w:t>
      </w:r>
      <w:r>
        <w:rPr>
          <w:i/>
          <w:spacing w:val="-4"/>
          <w:sz w:val="20"/>
        </w:rPr>
        <w:t>Plan</w:t>
      </w:r>
    </w:p>
    <w:p>
      <w:pPr>
        <w:pStyle w:val="BodyText"/>
        <w:spacing w:line="249" w:lineRule="auto" w:before="190"/>
        <w:ind w:left="210" w:right="247" w:firstLine="540"/>
        <w:jc w:val="both"/>
      </w:pPr>
      <w:r>
        <w:rPr/>
        <w:t>In</w:t>
      </w:r>
      <w:r>
        <w:rPr>
          <w:spacing w:val="-8"/>
        </w:rPr>
        <w:t> </w:t>
      </w:r>
      <w:r>
        <w:rPr/>
        <w:t>1987,</w:t>
      </w:r>
      <w:r>
        <w:rPr>
          <w:spacing w:val="-8"/>
        </w:rPr>
        <w:t> </w:t>
      </w:r>
      <w:r>
        <w:rPr/>
        <w:t>we</w:t>
      </w:r>
      <w:r>
        <w:rPr>
          <w:spacing w:val="-8"/>
        </w:rPr>
        <w:t> </w:t>
      </w:r>
      <w:r>
        <w:rPr/>
        <w:t>adopted</w:t>
      </w:r>
      <w:r>
        <w:rPr>
          <w:spacing w:val="-8"/>
        </w:rPr>
        <w:t> </w:t>
      </w:r>
      <w:r>
        <w:rPr/>
        <w:t>an</w:t>
      </w:r>
      <w:r>
        <w:rPr>
          <w:spacing w:val="-8"/>
        </w:rPr>
        <w:t> </w:t>
      </w:r>
      <w:r>
        <w:rPr/>
        <w:t>Employee</w:t>
      </w:r>
      <w:r>
        <w:rPr>
          <w:spacing w:val="-8"/>
        </w:rPr>
        <w:t> </w:t>
      </w:r>
      <w:r>
        <w:rPr/>
        <w:t>Investment</w:t>
      </w:r>
      <w:r>
        <w:rPr>
          <w:spacing w:val="-8"/>
        </w:rPr>
        <w:t> </w:t>
      </w:r>
      <w:r>
        <w:rPr/>
        <w:t>Plan,</w:t>
      </w:r>
      <w:r>
        <w:rPr>
          <w:spacing w:val="-8"/>
        </w:rPr>
        <w:t> </w:t>
      </w:r>
      <w:r>
        <w:rPr/>
        <w:t>qualified</w:t>
      </w:r>
      <w:r>
        <w:rPr>
          <w:spacing w:val="-8"/>
        </w:rPr>
        <w:t> </w:t>
      </w:r>
      <w:r>
        <w:rPr/>
        <w:t>under</w:t>
      </w:r>
      <w:r>
        <w:rPr>
          <w:spacing w:val="-8"/>
        </w:rPr>
        <w:t> </w:t>
      </w:r>
      <w:r>
        <w:rPr/>
        <w:t>Section</w:t>
      </w:r>
      <w:r>
        <w:rPr>
          <w:spacing w:val="-2"/>
        </w:rPr>
        <w:t> </w:t>
      </w:r>
      <w:r>
        <w:rPr/>
        <w:t>401(k)</w:t>
      </w:r>
      <w:r>
        <w:rPr>
          <w:spacing w:val="-2"/>
        </w:rPr>
        <w:t> </w:t>
      </w:r>
      <w:r>
        <w:rPr/>
        <w:t>of</w:t>
      </w:r>
      <w:r>
        <w:rPr>
          <w:spacing w:val="-8"/>
        </w:rPr>
        <w:t> </w:t>
      </w:r>
      <w:r>
        <w:rPr/>
        <w:t>the</w:t>
      </w:r>
      <w:r>
        <w:rPr>
          <w:spacing w:val="-8"/>
        </w:rPr>
        <w:t> </w:t>
      </w:r>
      <w:r>
        <w:rPr/>
        <w:t>Internal</w:t>
      </w:r>
      <w:r>
        <w:rPr>
          <w:spacing w:val="-8"/>
        </w:rPr>
        <w:t> </w:t>
      </w:r>
      <w:r>
        <w:rPr/>
        <w:t>Revenue</w:t>
      </w:r>
      <w:r>
        <w:rPr>
          <w:spacing w:val="-8"/>
        </w:rPr>
        <w:t> </w:t>
      </w:r>
      <w:r>
        <w:rPr/>
        <w:t>Code,</w:t>
      </w:r>
      <w:r>
        <w:rPr>
          <w:spacing w:val="-8"/>
        </w:rPr>
        <w:t> </w:t>
      </w:r>
      <w:r>
        <w:rPr/>
        <w:t>which</w:t>
      </w:r>
      <w:r>
        <w:rPr>
          <w:spacing w:val="-8"/>
        </w:rPr>
        <w:t> </w:t>
      </w:r>
      <w:r>
        <w:rPr/>
        <w:t>is </w:t>
      </w:r>
      <w:r>
        <w:rPr>
          <w:spacing w:val="-2"/>
        </w:rPr>
        <w:t>a</w:t>
      </w:r>
      <w:r>
        <w:rPr>
          <w:spacing w:val="-9"/>
        </w:rPr>
        <w:t> </w:t>
      </w:r>
      <w:r>
        <w:rPr>
          <w:spacing w:val="-2"/>
        </w:rPr>
        <w:t>retirement</w:t>
      </w:r>
      <w:r>
        <w:rPr>
          <w:spacing w:val="-5"/>
        </w:rPr>
        <w:t> </w:t>
      </w:r>
      <w:r>
        <w:rPr>
          <w:spacing w:val="-2"/>
        </w:rPr>
        <w:t>savings</w:t>
      </w:r>
      <w:r>
        <w:rPr>
          <w:spacing w:val="-5"/>
        </w:rPr>
        <w:t> </w:t>
      </w:r>
      <w:r>
        <w:rPr>
          <w:spacing w:val="-2"/>
        </w:rPr>
        <w:t>plan</w:t>
      </w:r>
      <w:r>
        <w:rPr>
          <w:spacing w:val="-5"/>
        </w:rPr>
        <w:t> </w:t>
      </w:r>
      <w:r>
        <w:rPr>
          <w:spacing w:val="-2"/>
        </w:rPr>
        <w:t>covering</w:t>
      </w:r>
      <w:r>
        <w:rPr>
          <w:spacing w:val="-5"/>
        </w:rPr>
        <w:t> </w:t>
      </w:r>
      <w:r>
        <w:rPr>
          <w:spacing w:val="-2"/>
        </w:rPr>
        <w:t>substantially</w:t>
      </w:r>
      <w:r>
        <w:rPr>
          <w:spacing w:val="-5"/>
        </w:rPr>
        <w:t> </w:t>
      </w:r>
      <w:r>
        <w:rPr>
          <w:spacing w:val="-2"/>
        </w:rPr>
        <w:t>all</w:t>
      </w:r>
      <w:r>
        <w:rPr>
          <w:spacing w:val="-5"/>
        </w:rPr>
        <w:t> </w:t>
      </w:r>
      <w:r>
        <w:rPr>
          <w:spacing w:val="-2"/>
        </w:rPr>
        <w:t>of</w:t>
      </w:r>
      <w:r>
        <w:rPr>
          <w:spacing w:val="-5"/>
        </w:rPr>
        <w:t> </w:t>
      </w:r>
      <w:r>
        <w:rPr>
          <w:spacing w:val="-2"/>
        </w:rPr>
        <w:t>our</w:t>
      </w:r>
      <w:r>
        <w:rPr>
          <w:spacing w:val="-5"/>
        </w:rPr>
        <w:t> </w:t>
      </w:r>
      <w:r>
        <w:rPr>
          <w:spacing w:val="-2"/>
        </w:rPr>
        <w:t>U.S.</w:t>
      </w:r>
      <w:r>
        <w:rPr>
          <w:spacing w:val="-5"/>
        </w:rPr>
        <w:t> </w:t>
      </w:r>
      <w:r>
        <w:rPr>
          <w:spacing w:val="-2"/>
        </w:rPr>
        <w:t>employees,</w:t>
      </w:r>
      <w:r>
        <w:rPr>
          <w:spacing w:val="-5"/>
        </w:rPr>
        <w:t> </w:t>
      </w:r>
      <w:r>
        <w:rPr>
          <w:spacing w:val="-2"/>
        </w:rPr>
        <w:t>now</w:t>
      </w:r>
      <w:r>
        <w:rPr>
          <w:spacing w:val="-5"/>
        </w:rPr>
        <w:t> </w:t>
      </w:r>
      <w:r>
        <w:rPr>
          <w:spacing w:val="-2"/>
        </w:rPr>
        <w:t>referred</w:t>
      </w:r>
      <w:r>
        <w:rPr>
          <w:spacing w:val="-5"/>
        </w:rPr>
        <w:t> </w:t>
      </w:r>
      <w:r>
        <w:rPr>
          <w:spacing w:val="-2"/>
        </w:rPr>
        <w:t>to</w:t>
      </w:r>
      <w:r>
        <w:rPr>
          <w:spacing w:val="-5"/>
        </w:rPr>
        <w:t> </w:t>
      </w:r>
      <w:r>
        <w:rPr>
          <w:spacing w:val="-2"/>
        </w:rPr>
        <w:t>as</w:t>
      </w:r>
      <w:r>
        <w:rPr>
          <w:spacing w:val="-5"/>
        </w:rPr>
        <w:t> </w:t>
      </w:r>
      <w:r>
        <w:rPr>
          <w:spacing w:val="-2"/>
        </w:rPr>
        <w:t>the</w:t>
      </w:r>
      <w:r>
        <w:rPr>
          <w:spacing w:val="-11"/>
        </w:rPr>
        <w:t> </w:t>
      </w:r>
      <w:r>
        <w:rPr>
          <w:spacing w:val="-2"/>
        </w:rPr>
        <w:t>Adobe</w:t>
      </w:r>
      <w:r>
        <w:rPr>
          <w:spacing w:val="-5"/>
        </w:rPr>
        <w:t> </w:t>
      </w:r>
      <w:r>
        <w:rPr>
          <w:spacing w:val="-2"/>
        </w:rPr>
        <w:t>401(k)</w:t>
      </w:r>
      <w:r>
        <w:rPr>
          <w:spacing w:val="-5"/>
        </w:rPr>
        <w:t> </w:t>
      </w:r>
      <w:r>
        <w:rPr>
          <w:spacing w:val="-2"/>
        </w:rPr>
        <w:t>Retirement</w:t>
      </w:r>
      <w:r>
        <w:rPr>
          <w:spacing w:val="-5"/>
        </w:rPr>
        <w:t> </w:t>
      </w:r>
      <w:r>
        <w:rPr>
          <w:spacing w:val="-2"/>
        </w:rPr>
        <w:t>Savings Plan.</w:t>
      </w:r>
      <w:r>
        <w:rPr>
          <w:spacing w:val="-9"/>
        </w:rPr>
        <w:t> </w:t>
      </w:r>
      <w:r>
        <w:rPr>
          <w:spacing w:val="-2"/>
        </w:rPr>
        <w:t>Under</w:t>
      </w:r>
      <w:r>
        <w:rPr>
          <w:spacing w:val="-9"/>
        </w:rPr>
        <w:t> </w:t>
      </w:r>
      <w:r>
        <w:rPr>
          <w:spacing w:val="-2"/>
        </w:rPr>
        <w:t>the</w:t>
      </w:r>
      <w:r>
        <w:rPr>
          <w:spacing w:val="-9"/>
        </w:rPr>
        <w:t> </w:t>
      </w:r>
      <w:r>
        <w:rPr>
          <w:spacing w:val="-2"/>
        </w:rPr>
        <w:t>plan,</w:t>
      </w:r>
      <w:r>
        <w:rPr>
          <w:spacing w:val="-9"/>
        </w:rPr>
        <w:t> </w:t>
      </w:r>
      <w:r>
        <w:rPr>
          <w:spacing w:val="-2"/>
        </w:rPr>
        <w:t>eligible</w:t>
      </w:r>
      <w:r>
        <w:rPr>
          <w:spacing w:val="-9"/>
        </w:rPr>
        <w:t> </w:t>
      </w:r>
      <w:r>
        <w:rPr>
          <w:spacing w:val="-2"/>
        </w:rPr>
        <w:t>employees</w:t>
      </w:r>
      <w:r>
        <w:rPr>
          <w:spacing w:val="-9"/>
        </w:rPr>
        <w:t> </w:t>
      </w:r>
      <w:r>
        <w:rPr>
          <w:spacing w:val="-2"/>
        </w:rPr>
        <w:t>may</w:t>
      </w:r>
      <w:r>
        <w:rPr>
          <w:spacing w:val="-9"/>
        </w:rPr>
        <w:t> </w:t>
      </w:r>
      <w:r>
        <w:rPr>
          <w:spacing w:val="-2"/>
        </w:rPr>
        <w:t>contribute</w:t>
      </w:r>
      <w:r>
        <w:rPr>
          <w:spacing w:val="-9"/>
        </w:rPr>
        <w:t> </w:t>
      </w:r>
      <w:r>
        <w:rPr>
          <w:spacing w:val="-2"/>
        </w:rPr>
        <w:t>up</w:t>
      </w:r>
      <w:r>
        <w:rPr>
          <w:spacing w:val="-9"/>
        </w:rPr>
        <w:t> </w:t>
      </w:r>
      <w:r>
        <w:rPr>
          <w:spacing w:val="-2"/>
        </w:rPr>
        <w:t>to</w:t>
      </w:r>
      <w:r>
        <w:rPr>
          <w:spacing w:val="-9"/>
        </w:rPr>
        <w:t> </w:t>
      </w:r>
      <w:r>
        <w:rPr>
          <w:spacing w:val="-2"/>
        </w:rPr>
        <w:t>65%</w:t>
      </w:r>
      <w:r>
        <w:rPr>
          <w:spacing w:val="-9"/>
        </w:rPr>
        <w:t> </w:t>
      </w:r>
      <w:r>
        <w:rPr>
          <w:spacing w:val="-2"/>
        </w:rPr>
        <w:t>of</w:t>
      </w:r>
      <w:r>
        <w:rPr>
          <w:spacing w:val="-9"/>
        </w:rPr>
        <w:t> </w:t>
      </w:r>
      <w:r>
        <w:rPr>
          <w:spacing w:val="-2"/>
        </w:rPr>
        <w:t>their</w:t>
      </w:r>
      <w:r>
        <w:rPr>
          <w:spacing w:val="-9"/>
        </w:rPr>
        <w:t> </w:t>
      </w:r>
      <w:r>
        <w:rPr>
          <w:spacing w:val="-2"/>
        </w:rPr>
        <w:t>pretax</w:t>
      </w:r>
      <w:r>
        <w:rPr>
          <w:spacing w:val="-9"/>
        </w:rPr>
        <w:t> </w:t>
      </w:r>
      <w:r>
        <w:rPr>
          <w:spacing w:val="-2"/>
        </w:rPr>
        <w:t>or</w:t>
      </w:r>
      <w:r>
        <w:rPr>
          <w:spacing w:val="-9"/>
        </w:rPr>
        <w:t> </w:t>
      </w:r>
      <w:r>
        <w:rPr>
          <w:spacing w:val="-2"/>
        </w:rPr>
        <w:t>after-tax</w:t>
      </w:r>
      <w:r>
        <w:rPr>
          <w:spacing w:val="-9"/>
        </w:rPr>
        <w:t> </w:t>
      </w:r>
      <w:r>
        <w:rPr>
          <w:spacing w:val="-2"/>
        </w:rPr>
        <w:t>salary,</w:t>
      </w:r>
      <w:r>
        <w:rPr>
          <w:spacing w:val="-9"/>
        </w:rPr>
        <w:t> </w:t>
      </w:r>
      <w:r>
        <w:rPr>
          <w:spacing w:val="-2"/>
        </w:rPr>
        <w:t>subject</w:t>
      </w:r>
      <w:r>
        <w:rPr>
          <w:spacing w:val="-9"/>
        </w:rPr>
        <w:t> </w:t>
      </w:r>
      <w:r>
        <w:rPr>
          <w:spacing w:val="-2"/>
        </w:rPr>
        <w:t>to</w:t>
      </w:r>
      <w:r>
        <w:rPr>
          <w:spacing w:val="-9"/>
        </w:rPr>
        <w:t> </w:t>
      </w:r>
      <w:r>
        <w:rPr>
          <w:spacing w:val="-2"/>
        </w:rPr>
        <w:t>the</w:t>
      </w:r>
      <w:r>
        <w:rPr>
          <w:spacing w:val="-9"/>
        </w:rPr>
        <w:t> </w:t>
      </w:r>
      <w:r>
        <w:rPr>
          <w:spacing w:val="-2"/>
        </w:rPr>
        <w:t>Internal</w:t>
      </w:r>
      <w:r>
        <w:rPr>
          <w:spacing w:val="-9"/>
        </w:rPr>
        <w:t> </w:t>
      </w:r>
      <w:r>
        <w:rPr>
          <w:spacing w:val="-2"/>
        </w:rPr>
        <w:t>Revenue </w:t>
      </w:r>
      <w:r>
        <w:rPr/>
        <w:t>Service</w:t>
      </w:r>
      <w:r>
        <w:rPr>
          <w:spacing w:val="-2"/>
        </w:rPr>
        <w:t> </w:t>
      </w:r>
      <w:r>
        <w:rPr/>
        <w:t>annual</w:t>
      </w:r>
      <w:r>
        <w:rPr>
          <w:spacing w:val="-2"/>
        </w:rPr>
        <w:t> </w:t>
      </w:r>
      <w:r>
        <w:rPr/>
        <w:t>contribution</w:t>
      </w:r>
      <w:r>
        <w:rPr>
          <w:spacing w:val="-2"/>
        </w:rPr>
        <w:t> </w:t>
      </w:r>
      <w:r>
        <w:rPr/>
        <w:t>limits.</w:t>
      </w:r>
      <w:r>
        <w:rPr>
          <w:spacing w:val="-2"/>
        </w:rPr>
        <w:t> </w:t>
      </w:r>
      <w:r>
        <w:rPr/>
        <w:t>In</w:t>
      </w:r>
      <w:r>
        <w:rPr>
          <w:spacing w:val="-2"/>
        </w:rPr>
        <w:t> </w:t>
      </w:r>
      <w:r>
        <w:rPr/>
        <w:t>fiscal</w:t>
      </w:r>
      <w:r>
        <w:rPr>
          <w:spacing w:val="-2"/>
        </w:rPr>
        <w:t> </w:t>
      </w:r>
      <w:r>
        <w:rPr/>
        <w:t>2017,</w:t>
      </w:r>
      <w:r>
        <w:rPr>
          <w:spacing w:val="-2"/>
        </w:rPr>
        <w:t> </w:t>
      </w:r>
      <w:r>
        <w:rPr/>
        <w:t>we</w:t>
      </w:r>
      <w:r>
        <w:rPr>
          <w:spacing w:val="-2"/>
        </w:rPr>
        <w:t> </w:t>
      </w:r>
      <w:r>
        <w:rPr/>
        <w:t>matched</w:t>
      </w:r>
      <w:r>
        <w:rPr>
          <w:spacing w:val="-2"/>
        </w:rPr>
        <w:t> </w:t>
      </w:r>
      <w:r>
        <w:rPr/>
        <w:t>50%</w:t>
      </w:r>
      <w:r>
        <w:rPr>
          <w:spacing w:val="-2"/>
        </w:rPr>
        <w:t> </w:t>
      </w:r>
      <w:r>
        <w:rPr/>
        <w:t>of</w:t>
      </w:r>
      <w:r>
        <w:rPr>
          <w:spacing w:val="-2"/>
        </w:rPr>
        <w:t> </w:t>
      </w:r>
      <w:r>
        <w:rPr/>
        <w:t>the</w:t>
      </w:r>
      <w:r>
        <w:rPr>
          <w:spacing w:val="-2"/>
        </w:rPr>
        <w:t> </w:t>
      </w:r>
      <w:r>
        <w:rPr/>
        <w:t>first</w:t>
      </w:r>
      <w:r>
        <w:rPr>
          <w:spacing w:val="-2"/>
        </w:rPr>
        <w:t> </w:t>
      </w:r>
      <w:r>
        <w:rPr/>
        <w:t>6%</w:t>
      </w:r>
      <w:r>
        <w:rPr>
          <w:spacing w:val="-2"/>
        </w:rPr>
        <w:t> </w:t>
      </w:r>
      <w:r>
        <w:rPr/>
        <w:t>of</w:t>
      </w:r>
      <w:r>
        <w:rPr>
          <w:spacing w:val="-2"/>
        </w:rPr>
        <w:t> </w:t>
      </w:r>
      <w:r>
        <w:rPr/>
        <w:t>the</w:t>
      </w:r>
      <w:r>
        <w:rPr>
          <w:spacing w:val="-2"/>
        </w:rPr>
        <w:t> </w:t>
      </w:r>
      <w:r>
        <w:rPr/>
        <w:t>employee’s</w:t>
      </w:r>
      <w:r>
        <w:rPr>
          <w:spacing w:val="-2"/>
        </w:rPr>
        <w:t> </w:t>
      </w:r>
      <w:r>
        <w:rPr/>
        <w:t>eligible</w:t>
      </w:r>
      <w:r>
        <w:rPr>
          <w:spacing w:val="-2"/>
        </w:rPr>
        <w:t> </w:t>
      </w:r>
      <w:r>
        <w:rPr/>
        <w:t>compensation.</w:t>
      </w:r>
      <w:r>
        <w:rPr>
          <w:spacing w:val="-6"/>
        </w:rPr>
        <w:t> </w:t>
      </w:r>
      <w:r>
        <w:rPr/>
        <w:t>We contributed</w:t>
      </w:r>
      <w:r>
        <w:rPr>
          <w:spacing w:val="-13"/>
        </w:rPr>
        <w:t> </w:t>
      </w:r>
      <w:r>
        <w:rPr/>
        <w:t>$34.3</w:t>
      </w:r>
      <w:r>
        <w:rPr>
          <w:spacing w:val="-12"/>
        </w:rPr>
        <w:t> </w:t>
      </w:r>
      <w:r>
        <w:rPr/>
        <w:t>million,</w:t>
      </w:r>
      <w:r>
        <w:rPr>
          <w:spacing w:val="-13"/>
        </w:rPr>
        <w:t> </w:t>
      </w:r>
      <w:r>
        <w:rPr/>
        <w:t>$33.4</w:t>
      </w:r>
      <w:r>
        <w:rPr>
          <w:spacing w:val="-12"/>
        </w:rPr>
        <w:t> </w:t>
      </w:r>
      <w:r>
        <w:rPr/>
        <w:t>million</w:t>
      </w:r>
      <w:r>
        <w:rPr>
          <w:spacing w:val="-13"/>
        </w:rPr>
        <w:t> </w:t>
      </w:r>
      <w:r>
        <w:rPr/>
        <w:t>and</w:t>
      </w:r>
      <w:r>
        <w:rPr>
          <w:spacing w:val="-12"/>
        </w:rPr>
        <w:t> </w:t>
      </w:r>
      <w:r>
        <w:rPr/>
        <w:t>$25.7</w:t>
      </w:r>
      <w:r>
        <w:rPr>
          <w:spacing w:val="-13"/>
        </w:rPr>
        <w:t> </w:t>
      </w:r>
      <w:r>
        <w:rPr/>
        <w:t>million</w:t>
      </w:r>
      <w:r>
        <w:rPr>
          <w:spacing w:val="-12"/>
        </w:rPr>
        <w:t> </w:t>
      </w:r>
      <w:r>
        <w:rPr/>
        <w:t>in</w:t>
      </w:r>
      <w:r>
        <w:rPr>
          <w:spacing w:val="-13"/>
        </w:rPr>
        <w:t> </w:t>
      </w:r>
      <w:r>
        <w:rPr/>
        <w:t>fiscal</w:t>
      </w:r>
      <w:r>
        <w:rPr>
          <w:spacing w:val="-12"/>
        </w:rPr>
        <w:t> </w:t>
      </w:r>
      <w:r>
        <w:rPr/>
        <w:t>2017,</w:t>
      </w:r>
      <w:r>
        <w:rPr>
          <w:spacing w:val="-13"/>
        </w:rPr>
        <w:t> </w:t>
      </w:r>
      <w:r>
        <w:rPr/>
        <w:t>2016</w:t>
      </w:r>
      <w:r>
        <w:rPr>
          <w:spacing w:val="-12"/>
        </w:rPr>
        <w:t> </w:t>
      </w:r>
      <w:r>
        <w:rPr/>
        <w:t>and</w:t>
      </w:r>
      <w:r>
        <w:rPr>
          <w:spacing w:val="-13"/>
        </w:rPr>
        <w:t> </w:t>
      </w:r>
      <w:r>
        <w:rPr/>
        <w:t>2015,</w:t>
      </w:r>
      <w:r>
        <w:rPr>
          <w:spacing w:val="-12"/>
        </w:rPr>
        <w:t> </w:t>
      </w:r>
      <w:r>
        <w:rPr/>
        <w:t>respectively.</w:t>
      </w:r>
      <w:r>
        <w:rPr>
          <w:spacing w:val="-13"/>
        </w:rPr>
        <w:t> </w:t>
      </w:r>
      <w:r>
        <w:rPr/>
        <w:t>We</w:t>
      </w:r>
      <w:r>
        <w:rPr>
          <w:spacing w:val="-12"/>
        </w:rPr>
        <w:t> </w:t>
      </w:r>
      <w:r>
        <w:rPr/>
        <w:t>are</w:t>
      </w:r>
      <w:r>
        <w:rPr>
          <w:spacing w:val="-13"/>
        </w:rPr>
        <w:t> </w:t>
      </w:r>
      <w:r>
        <w:rPr/>
        <w:t>under</w:t>
      </w:r>
      <w:r>
        <w:rPr>
          <w:spacing w:val="-12"/>
        </w:rPr>
        <w:t> </w:t>
      </w:r>
      <w:r>
        <w:rPr/>
        <w:t>no</w:t>
      </w:r>
      <w:r>
        <w:rPr>
          <w:spacing w:val="-13"/>
        </w:rPr>
        <w:t> </w:t>
      </w:r>
      <w:r>
        <w:rPr/>
        <w:t>obligation to continue matching future employee contributions and, at our discretion, may change our practices at any time.</w:t>
      </w:r>
    </w:p>
    <w:p>
      <w:pPr>
        <w:spacing w:before="185"/>
        <w:ind w:left="210" w:right="0" w:firstLine="0"/>
        <w:jc w:val="left"/>
        <w:rPr>
          <w:i/>
          <w:sz w:val="20"/>
        </w:rPr>
      </w:pPr>
      <w:r>
        <w:rPr>
          <w:i/>
          <w:sz w:val="20"/>
        </w:rPr>
        <w:t>Deferred</w:t>
      </w:r>
      <w:r>
        <w:rPr>
          <w:i/>
          <w:spacing w:val="-9"/>
          <w:sz w:val="20"/>
        </w:rPr>
        <w:t> </w:t>
      </w:r>
      <w:r>
        <w:rPr>
          <w:i/>
          <w:sz w:val="20"/>
        </w:rPr>
        <w:t>Compensation</w:t>
      </w:r>
      <w:r>
        <w:rPr>
          <w:i/>
          <w:spacing w:val="-6"/>
          <w:sz w:val="20"/>
        </w:rPr>
        <w:t> </w:t>
      </w:r>
      <w:r>
        <w:rPr>
          <w:i/>
          <w:spacing w:val="-4"/>
          <w:sz w:val="20"/>
        </w:rPr>
        <w:t>Plan</w:t>
      </w:r>
    </w:p>
    <w:p>
      <w:pPr>
        <w:pStyle w:val="BodyText"/>
        <w:spacing w:line="249" w:lineRule="auto" w:before="150"/>
        <w:ind w:left="210" w:right="233" w:firstLine="540"/>
        <w:jc w:val="both"/>
      </w:pPr>
      <w:r>
        <w:rPr/>
        <w:t>On September</w:t>
      </w:r>
      <w:r>
        <w:rPr>
          <w:spacing w:val="-2"/>
        </w:rPr>
        <w:t> </w:t>
      </w:r>
      <w:r>
        <w:rPr/>
        <w:t>21, 2006, the Board of Directors approved the</w:t>
      </w:r>
      <w:r>
        <w:rPr>
          <w:spacing w:val="-10"/>
        </w:rPr>
        <w:t> </w:t>
      </w:r>
      <w:r>
        <w:rPr/>
        <w:t>Adobe Systems Incorporated Deferred Compensation Plan, effective</w:t>
      </w:r>
      <w:r>
        <w:rPr>
          <w:spacing w:val="-13"/>
        </w:rPr>
        <w:t> </w:t>
      </w:r>
      <w:r>
        <w:rPr/>
        <w:t>December</w:t>
      </w:r>
      <w:r>
        <w:rPr>
          <w:spacing w:val="-12"/>
        </w:rPr>
        <w:t> </w:t>
      </w:r>
      <w:r>
        <w:rPr/>
        <w:t>2,</w:t>
      </w:r>
      <w:r>
        <w:rPr>
          <w:spacing w:val="-13"/>
        </w:rPr>
        <w:t> </w:t>
      </w:r>
      <w:r>
        <w:rPr/>
        <w:t>2006</w:t>
      </w:r>
      <w:r>
        <w:rPr>
          <w:spacing w:val="-12"/>
        </w:rPr>
        <w:t> </w:t>
      </w:r>
      <w:r>
        <w:rPr/>
        <w:t>(the</w:t>
      </w:r>
      <w:r>
        <w:rPr>
          <w:spacing w:val="-13"/>
        </w:rPr>
        <w:t> </w:t>
      </w:r>
      <w:r>
        <w:rPr/>
        <w:t>“Deferred</w:t>
      </w:r>
      <w:r>
        <w:rPr>
          <w:spacing w:val="-12"/>
        </w:rPr>
        <w:t> </w:t>
      </w:r>
      <w:r>
        <w:rPr/>
        <w:t>Compensation</w:t>
      </w:r>
      <w:r>
        <w:rPr>
          <w:spacing w:val="-13"/>
        </w:rPr>
        <w:t> </w:t>
      </w:r>
      <w:r>
        <w:rPr/>
        <w:t>Plan”).</w:t>
      </w:r>
      <w:r>
        <w:rPr>
          <w:spacing w:val="-12"/>
        </w:rPr>
        <w:t> </w:t>
      </w:r>
      <w:r>
        <w:rPr/>
        <w:t>The</w:t>
      </w:r>
      <w:r>
        <w:rPr>
          <w:spacing w:val="-13"/>
        </w:rPr>
        <w:t> </w:t>
      </w:r>
      <w:r>
        <w:rPr/>
        <w:t>Deferred</w:t>
      </w:r>
      <w:r>
        <w:rPr>
          <w:spacing w:val="-12"/>
        </w:rPr>
        <w:t> </w:t>
      </w:r>
      <w:r>
        <w:rPr/>
        <w:t>Compensation</w:t>
      </w:r>
      <w:r>
        <w:rPr>
          <w:spacing w:val="-13"/>
        </w:rPr>
        <w:t> </w:t>
      </w:r>
      <w:r>
        <w:rPr/>
        <w:t>Plan</w:t>
      </w:r>
      <w:r>
        <w:rPr>
          <w:spacing w:val="-12"/>
        </w:rPr>
        <w:t> </w:t>
      </w:r>
      <w:r>
        <w:rPr/>
        <w:t>is</w:t>
      </w:r>
      <w:r>
        <w:rPr>
          <w:spacing w:val="-13"/>
        </w:rPr>
        <w:t> </w:t>
      </w:r>
      <w:r>
        <w:rPr/>
        <w:t>an</w:t>
      </w:r>
      <w:r>
        <w:rPr>
          <w:spacing w:val="-12"/>
        </w:rPr>
        <w:t> </w:t>
      </w:r>
      <w:r>
        <w:rPr/>
        <w:t>unfunded,</w:t>
      </w:r>
      <w:r>
        <w:rPr>
          <w:spacing w:val="-13"/>
        </w:rPr>
        <w:t> </w:t>
      </w:r>
      <w:r>
        <w:rPr/>
        <w:t>non-qualified, deferred compensation arrangement under which certain executives and members of the Board of Directors are able to defer a </w:t>
      </w:r>
      <w:r>
        <w:rPr>
          <w:spacing w:val="-2"/>
        </w:rPr>
        <w:t>portion</w:t>
      </w:r>
      <w:r>
        <w:rPr>
          <w:spacing w:val="-9"/>
        </w:rPr>
        <w:t> </w:t>
      </w:r>
      <w:r>
        <w:rPr>
          <w:spacing w:val="-2"/>
        </w:rPr>
        <w:t>of</w:t>
      </w:r>
      <w:r>
        <w:rPr>
          <w:spacing w:val="-9"/>
        </w:rPr>
        <w:t> </w:t>
      </w:r>
      <w:r>
        <w:rPr>
          <w:spacing w:val="-2"/>
        </w:rPr>
        <w:t>their</w:t>
      </w:r>
      <w:r>
        <w:rPr>
          <w:spacing w:val="-9"/>
        </w:rPr>
        <w:t> </w:t>
      </w:r>
      <w:r>
        <w:rPr>
          <w:spacing w:val="-2"/>
        </w:rPr>
        <w:t>annual</w:t>
      </w:r>
      <w:r>
        <w:rPr>
          <w:spacing w:val="-9"/>
        </w:rPr>
        <w:t> </w:t>
      </w:r>
      <w:r>
        <w:rPr>
          <w:spacing w:val="-2"/>
        </w:rPr>
        <w:t>compensation.</w:t>
      </w:r>
      <w:r>
        <w:rPr>
          <w:spacing w:val="-9"/>
        </w:rPr>
        <w:t> </w:t>
      </w:r>
      <w:r>
        <w:rPr>
          <w:spacing w:val="-2"/>
        </w:rPr>
        <w:t>Participants</w:t>
      </w:r>
      <w:r>
        <w:rPr>
          <w:spacing w:val="-9"/>
        </w:rPr>
        <w:t> </w:t>
      </w:r>
      <w:r>
        <w:rPr>
          <w:spacing w:val="-2"/>
        </w:rPr>
        <w:t>may</w:t>
      </w:r>
      <w:r>
        <w:rPr>
          <w:spacing w:val="-9"/>
        </w:rPr>
        <w:t> </w:t>
      </w:r>
      <w:r>
        <w:rPr>
          <w:spacing w:val="-2"/>
        </w:rPr>
        <w:t>elect</w:t>
      </w:r>
      <w:r>
        <w:rPr>
          <w:spacing w:val="-9"/>
        </w:rPr>
        <w:t> </w:t>
      </w:r>
      <w:r>
        <w:rPr>
          <w:spacing w:val="-2"/>
        </w:rPr>
        <w:t>to</w:t>
      </w:r>
      <w:r>
        <w:rPr>
          <w:spacing w:val="-9"/>
        </w:rPr>
        <w:t> </w:t>
      </w:r>
      <w:r>
        <w:rPr>
          <w:spacing w:val="-2"/>
        </w:rPr>
        <w:t>contribute</w:t>
      </w:r>
      <w:r>
        <w:rPr>
          <w:spacing w:val="-9"/>
        </w:rPr>
        <w:t> </w:t>
      </w:r>
      <w:r>
        <w:rPr>
          <w:spacing w:val="-2"/>
        </w:rPr>
        <w:t>up</w:t>
      </w:r>
      <w:r>
        <w:rPr>
          <w:spacing w:val="-9"/>
        </w:rPr>
        <w:t> </w:t>
      </w:r>
      <w:r>
        <w:rPr>
          <w:spacing w:val="-2"/>
        </w:rPr>
        <w:t>to</w:t>
      </w:r>
      <w:r>
        <w:rPr>
          <w:spacing w:val="-9"/>
        </w:rPr>
        <w:t> </w:t>
      </w:r>
      <w:r>
        <w:rPr>
          <w:spacing w:val="-2"/>
        </w:rPr>
        <w:t>75%</w:t>
      </w:r>
      <w:r>
        <w:rPr>
          <w:spacing w:val="-9"/>
        </w:rPr>
        <w:t> </w:t>
      </w:r>
      <w:r>
        <w:rPr>
          <w:spacing w:val="-2"/>
        </w:rPr>
        <w:t>of</w:t>
      </w:r>
      <w:r>
        <w:rPr>
          <w:spacing w:val="-9"/>
        </w:rPr>
        <w:t> </w:t>
      </w:r>
      <w:r>
        <w:rPr>
          <w:spacing w:val="-2"/>
        </w:rPr>
        <w:t>their</w:t>
      </w:r>
      <w:r>
        <w:rPr>
          <w:spacing w:val="-9"/>
        </w:rPr>
        <w:t> </w:t>
      </w:r>
      <w:r>
        <w:rPr>
          <w:spacing w:val="-2"/>
        </w:rPr>
        <w:t>base</w:t>
      </w:r>
      <w:r>
        <w:rPr>
          <w:spacing w:val="-9"/>
        </w:rPr>
        <w:t> </w:t>
      </w:r>
      <w:r>
        <w:rPr>
          <w:spacing w:val="-2"/>
        </w:rPr>
        <w:t>salary</w:t>
      </w:r>
      <w:r>
        <w:rPr>
          <w:spacing w:val="-9"/>
        </w:rPr>
        <w:t> </w:t>
      </w:r>
      <w:r>
        <w:rPr>
          <w:spacing w:val="-2"/>
        </w:rPr>
        <w:t>and</w:t>
      </w:r>
      <w:r>
        <w:rPr>
          <w:spacing w:val="-9"/>
        </w:rPr>
        <w:t> </w:t>
      </w:r>
      <w:r>
        <w:rPr>
          <w:spacing w:val="-2"/>
        </w:rPr>
        <w:t>100%</w:t>
      </w:r>
      <w:r>
        <w:rPr>
          <w:spacing w:val="-9"/>
        </w:rPr>
        <w:t> </w:t>
      </w:r>
      <w:r>
        <w:rPr>
          <w:spacing w:val="-2"/>
        </w:rPr>
        <w:t>of</w:t>
      </w:r>
      <w:r>
        <w:rPr>
          <w:spacing w:val="-9"/>
        </w:rPr>
        <w:t> </w:t>
      </w:r>
      <w:r>
        <w:rPr>
          <w:spacing w:val="-2"/>
        </w:rPr>
        <w:t>other</w:t>
      </w:r>
      <w:r>
        <w:rPr>
          <w:spacing w:val="-9"/>
        </w:rPr>
        <w:t> </w:t>
      </w:r>
      <w:r>
        <w:rPr>
          <w:spacing w:val="-2"/>
        </w:rPr>
        <w:t>specified </w:t>
      </w:r>
      <w:r>
        <w:rPr/>
        <w:t>compensation,</w:t>
      </w:r>
      <w:r>
        <w:rPr>
          <w:spacing w:val="40"/>
        </w:rPr>
        <w:t> </w:t>
      </w:r>
      <w:r>
        <w:rPr/>
        <w:t>including</w:t>
      </w:r>
      <w:r>
        <w:rPr>
          <w:spacing w:val="40"/>
        </w:rPr>
        <w:t> </w:t>
      </w:r>
      <w:r>
        <w:rPr/>
        <w:t>commissions,</w:t>
      </w:r>
      <w:r>
        <w:rPr>
          <w:spacing w:val="40"/>
        </w:rPr>
        <w:t> </w:t>
      </w:r>
      <w:r>
        <w:rPr/>
        <w:t>bonuses,</w:t>
      </w:r>
      <w:r>
        <w:rPr>
          <w:spacing w:val="40"/>
        </w:rPr>
        <w:t> </w:t>
      </w:r>
      <w:r>
        <w:rPr/>
        <w:t>performance-based</w:t>
      </w:r>
      <w:r>
        <w:rPr>
          <w:spacing w:val="40"/>
        </w:rPr>
        <w:t> </w:t>
      </w:r>
      <w:r>
        <w:rPr/>
        <w:t>and</w:t>
      </w:r>
      <w:r>
        <w:rPr>
          <w:spacing w:val="40"/>
        </w:rPr>
        <w:t> </w:t>
      </w:r>
      <w:r>
        <w:rPr/>
        <w:t>time-based</w:t>
      </w:r>
      <w:r>
        <w:rPr>
          <w:spacing w:val="40"/>
        </w:rPr>
        <w:t> </w:t>
      </w:r>
      <w:r>
        <w:rPr/>
        <w:t>restricted</w:t>
      </w:r>
      <w:r>
        <w:rPr>
          <w:spacing w:val="40"/>
        </w:rPr>
        <w:t> </w:t>
      </w:r>
      <w:r>
        <w:rPr/>
        <w:t>stock</w:t>
      </w:r>
      <w:r>
        <w:rPr>
          <w:spacing w:val="40"/>
        </w:rPr>
        <w:t> </w:t>
      </w:r>
      <w:r>
        <w:rPr/>
        <w:t>units,</w:t>
      </w:r>
      <w:r>
        <w:rPr>
          <w:spacing w:val="40"/>
        </w:rPr>
        <w:t> </w:t>
      </w:r>
      <w:r>
        <w:rPr/>
        <w:t>and</w:t>
      </w:r>
      <w:r>
        <w:rPr>
          <w:spacing w:val="40"/>
        </w:rPr>
        <w:t> </w:t>
      </w:r>
      <w:r>
        <w:rPr/>
        <w:t>directors’ fees.</w:t>
      </w:r>
      <w:r>
        <w:rPr>
          <w:spacing w:val="-1"/>
        </w:rPr>
        <w:t> </w:t>
      </w:r>
      <w:r>
        <w:rPr/>
        <w:t>Participants</w:t>
      </w:r>
      <w:r>
        <w:rPr>
          <w:spacing w:val="-5"/>
        </w:rPr>
        <w:t> </w:t>
      </w:r>
      <w:r>
        <w:rPr/>
        <w:t>are</w:t>
      </w:r>
      <w:r>
        <w:rPr>
          <w:spacing w:val="-5"/>
        </w:rPr>
        <w:t> </w:t>
      </w:r>
      <w:r>
        <w:rPr/>
        <w:t>able</w:t>
      </w:r>
      <w:r>
        <w:rPr>
          <w:spacing w:val="-5"/>
        </w:rPr>
        <w:t> </w:t>
      </w:r>
      <w:r>
        <w:rPr/>
        <w:t>to</w:t>
      </w:r>
      <w:r>
        <w:rPr>
          <w:spacing w:val="-5"/>
        </w:rPr>
        <w:t> </w:t>
      </w:r>
      <w:r>
        <w:rPr/>
        <w:t>elect</w:t>
      </w:r>
      <w:r>
        <w:rPr>
          <w:spacing w:val="-5"/>
        </w:rPr>
        <w:t> </w:t>
      </w:r>
      <w:r>
        <w:rPr/>
        <w:t>the</w:t>
      </w:r>
      <w:r>
        <w:rPr>
          <w:spacing w:val="-5"/>
        </w:rPr>
        <w:t> </w:t>
      </w:r>
      <w:r>
        <w:rPr/>
        <w:t>payment</w:t>
      </w:r>
      <w:r>
        <w:rPr>
          <w:spacing w:val="-5"/>
        </w:rPr>
        <w:t> </w:t>
      </w:r>
      <w:r>
        <w:rPr/>
        <w:t>of</w:t>
      </w:r>
      <w:r>
        <w:rPr>
          <w:spacing w:val="-5"/>
        </w:rPr>
        <w:t> </w:t>
      </w:r>
      <w:r>
        <w:rPr/>
        <w:t>benefits</w:t>
      </w:r>
      <w:r>
        <w:rPr>
          <w:spacing w:val="-5"/>
        </w:rPr>
        <w:t> </w:t>
      </w:r>
      <w:r>
        <w:rPr/>
        <w:t>to</w:t>
      </w:r>
      <w:r>
        <w:rPr>
          <w:spacing w:val="-5"/>
        </w:rPr>
        <w:t> </w:t>
      </w:r>
      <w:r>
        <w:rPr/>
        <w:t>begin</w:t>
      </w:r>
      <w:r>
        <w:rPr>
          <w:spacing w:val="-5"/>
        </w:rPr>
        <w:t> </w:t>
      </w:r>
      <w:r>
        <w:rPr/>
        <w:t>on</w:t>
      </w:r>
      <w:r>
        <w:rPr>
          <w:spacing w:val="-5"/>
        </w:rPr>
        <w:t> </w:t>
      </w:r>
      <w:r>
        <w:rPr/>
        <w:t>a</w:t>
      </w:r>
      <w:r>
        <w:rPr>
          <w:spacing w:val="-5"/>
        </w:rPr>
        <w:t> </w:t>
      </w:r>
      <w:r>
        <w:rPr/>
        <w:t>specified</w:t>
      </w:r>
      <w:r>
        <w:rPr>
          <w:spacing w:val="-5"/>
        </w:rPr>
        <w:t> </w:t>
      </w:r>
      <w:r>
        <w:rPr/>
        <w:t>date</w:t>
      </w:r>
      <w:r>
        <w:rPr>
          <w:spacing w:val="-5"/>
        </w:rPr>
        <w:t> </w:t>
      </w:r>
      <w:r>
        <w:rPr/>
        <w:t>at</w:t>
      </w:r>
      <w:r>
        <w:rPr>
          <w:spacing w:val="-5"/>
        </w:rPr>
        <w:t> </w:t>
      </w:r>
      <w:r>
        <w:rPr/>
        <w:t>least</w:t>
      </w:r>
      <w:r>
        <w:rPr>
          <w:spacing w:val="-5"/>
        </w:rPr>
        <w:t> </w:t>
      </w:r>
      <w:r>
        <w:rPr/>
        <w:t>three</w:t>
      </w:r>
      <w:r>
        <w:rPr>
          <w:spacing w:val="-5"/>
        </w:rPr>
        <w:t> </w:t>
      </w:r>
      <w:r>
        <w:rPr/>
        <w:t>years</w:t>
      </w:r>
      <w:r>
        <w:rPr>
          <w:spacing w:val="-5"/>
        </w:rPr>
        <w:t> </w:t>
      </w:r>
      <w:r>
        <w:rPr/>
        <w:t>after</w:t>
      </w:r>
      <w:r>
        <w:rPr>
          <w:spacing w:val="-5"/>
        </w:rPr>
        <w:t> </w:t>
      </w:r>
      <w:r>
        <w:rPr/>
        <w:t>the</w:t>
      </w:r>
      <w:r>
        <w:rPr>
          <w:spacing w:val="-5"/>
        </w:rPr>
        <w:t> </w:t>
      </w:r>
      <w:r>
        <w:rPr/>
        <w:t>end</w:t>
      </w:r>
      <w:r>
        <w:rPr>
          <w:spacing w:val="-5"/>
        </w:rPr>
        <w:t> </w:t>
      </w:r>
      <w:r>
        <w:rPr/>
        <w:t>of</w:t>
      </w:r>
      <w:r>
        <w:rPr>
          <w:spacing w:val="-5"/>
        </w:rPr>
        <w:t> </w:t>
      </w:r>
      <w:r>
        <w:rPr/>
        <w:t>the</w:t>
      </w:r>
      <w:r>
        <w:rPr>
          <w:spacing w:val="-5"/>
        </w:rPr>
        <w:t> </w:t>
      </w:r>
      <w:r>
        <w:rPr/>
        <w:t>plan year</w:t>
      </w:r>
      <w:r>
        <w:rPr>
          <w:spacing w:val="-5"/>
        </w:rPr>
        <w:t> </w:t>
      </w:r>
      <w:r>
        <w:rPr/>
        <w:t>in</w:t>
      </w:r>
      <w:r>
        <w:rPr>
          <w:spacing w:val="-5"/>
        </w:rPr>
        <w:t> </w:t>
      </w:r>
      <w:r>
        <w:rPr/>
        <w:t>which</w:t>
      </w:r>
      <w:r>
        <w:rPr>
          <w:spacing w:val="-5"/>
        </w:rPr>
        <w:t> </w:t>
      </w:r>
      <w:r>
        <w:rPr/>
        <w:t>election</w:t>
      </w:r>
      <w:r>
        <w:rPr>
          <w:spacing w:val="-5"/>
        </w:rPr>
        <w:t> </w:t>
      </w:r>
      <w:r>
        <w:rPr/>
        <w:t>is</w:t>
      </w:r>
      <w:r>
        <w:rPr>
          <w:spacing w:val="-5"/>
        </w:rPr>
        <w:t> </w:t>
      </w:r>
      <w:r>
        <w:rPr/>
        <w:t>made.</w:t>
      </w:r>
      <w:r>
        <w:rPr>
          <w:spacing w:val="-5"/>
        </w:rPr>
        <w:t> </w:t>
      </w:r>
      <w:r>
        <w:rPr/>
        <w:t>For</w:t>
      </w:r>
      <w:r>
        <w:rPr>
          <w:spacing w:val="-5"/>
        </w:rPr>
        <w:t> </w:t>
      </w:r>
      <w:r>
        <w:rPr/>
        <w:t>cash</w:t>
      </w:r>
      <w:r>
        <w:rPr>
          <w:spacing w:val="-5"/>
        </w:rPr>
        <w:t> </w:t>
      </w:r>
      <w:r>
        <w:rPr/>
        <w:t>benefit</w:t>
      </w:r>
      <w:r>
        <w:rPr>
          <w:spacing w:val="-6"/>
        </w:rPr>
        <w:t> </w:t>
      </w:r>
      <w:r>
        <w:rPr/>
        <w:t>elections,</w:t>
      </w:r>
      <w:r>
        <w:rPr>
          <w:spacing w:val="-5"/>
        </w:rPr>
        <w:t> </w:t>
      </w:r>
      <w:r>
        <w:rPr/>
        <w:t>distributions</w:t>
      </w:r>
      <w:r>
        <w:rPr>
          <w:spacing w:val="-5"/>
        </w:rPr>
        <w:t> </w:t>
      </w:r>
      <w:r>
        <w:rPr/>
        <w:t>are</w:t>
      </w:r>
      <w:r>
        <w:rPr>
          <w:spacing w:val="-5"/>
        </w:rPr>
        <w:t> </w:t>
      </w:r>
      <w:r>
        <w:rPr/>
        <w:t>made</w:t>
      </w:r>
      <w:r>
        <w:rPr>
          <w:spacing w:val="-5"/>
        </w:rPr>
        <w:t> </w:t>
      </w:r>
      <w:r>
        <w:rPr/>
        <w:t>in</w:t>
      </w:r>
      <w:r>
        <w:rPr>
          <w:spacing w:val="-5"/>
        </w:rPr>
        <w:t> </w:t>
      </w:r>
      <w:r>
        <w:rPr/>
        <w:t>cash</w:t>
      </w:r>
      <w:r>
        <w:rPr>
          <w:spacing w:val="-5"/>
        </w:rPr>
        <w:t> </w:t>
      </w:r>
      <w:r>
        <w:rPr/>
        <w:t>and</w:t>
      </w:r>
      <w:r>
        <w:rPr>
          <w:spacing w:val="-5"/>
        </w:rPr>
        <w:t> </w:t>
      </w:r>
      <w:r>
        <w:rPr/>
        <w:t>in</w:t>
      </w:r>
      <w:r>
        <w:rPr>
          <w:spacing w:val="-5"/>
        </w:rPr>
        <w:t> </w:t>
      </w:r>
      <w:r>
        <w:rPr/>
        <w:t>the</w:t>
      </w:r>
      <w:r>
        <w:rPr>
          <w:spacing w:val="-5"/>
        </w:rPr>
        <w:t> </w:t>
      </w:r>
      <w:r>
        <w:rPr/>
        <w:t>form</w:t>
      </w:r>
      <w:r>
        <w:rPr>
          <w:spacing w:val="-5"/>
        </w:rPr>
        <w:t> </w:t>
      </w:r>
      <w:r>
        <w:rPr/>
        <w:t>of</w:t>
      </w:r>
      <w:r>
        <w:rPr>
          <w:spacing w:val="-5"/>
        </w:rPr>
        <w:t> </w:t>
      </w:r>
      <w:r>
        <w:rPr/>
        <w:t>a</w:t>
      </w:r>
      <w:r>
        <w:rPr>
          <w:spacing w:val="-5"/>
        </w:rPr>
        <w:t> </w:t>
      </w:r>
      <w:r>
        <w:rPr/>
        <w:t>lump</w:t>
      </w:r>
      <w:r>
        <w:rPr>
          <w:spacing w:val="-5"/>
        </w:rPr>
        <w:t> </w:t>
      </w:r>
      <w:r>
        <w:rPr/>
        <w:t>sum</w:t>
      </w:r>
      <w:r>
        <w:rPr>
          <w:spacing w:val="-5"/>
        </w:rPr>
        <w:t> </w:t>
      </w:r>
      <w:r>
        <w:rPr/>
        <w:t>or</w:t>
      </w:r>
      <w:r>
        <w:rPr>
          <w:spacing w:val="-5"/>
        </w:rPr>
        <w:t> </w:t>
      </w:r>
      <w:r>
        <w:rPr/>
        <w:t>annual installments</w:t>
      </w:r>
      <w:r>
        <w:rPr>
          <w:spacing w:val="-2"/>
        </w:rPr>
        <w:t> </w:t>
      </w:r>
      <w:r>
        <w:rPr/>
        <w:t>over</w:t>
      </w:r>
      <w:r>
        <w:rPr>
          <w:spacing w:val="-2"/>
        </w:rPr>
        <w:t> </w:t>
      </w:r>
      <w:r>
        <w:rPr/>
        <w:t>five</w:t>
      </w:r>
      <w:r>
        <w:rPr>
          <w:spacing w:val="-3"/>
        </w:rPr>
        <w:t> </w:t>
      </w:r>
      <w:r>
        <w:rPr/>
        <w:t>years.</w:t>
      </w:r>
      <w:r>
        <w:rPr>
          <w:spacing w:val="-3"/>
        </w:rPr>
        <w:t> </w:t>
      </w:r>
      <w:r>
        <w:rPr/>
        <w:t>For</w:t>
      </w:r>
      <w:r>
        <w:rPr>
          <w:spacing w:val="-2"/>
        </w:rPr>
        <w:t> </w:t>
      </w:r>
      <w:r>
        <w:rPr/>
        <w:t>stock</w:t>
      </w:r>
      <w:r>
        <w:rPr>
          <w:spacing w:val="-2"/>
        </w:rPr>
        <w:t> </w:t>
      </w:r>
      <w:r>
        <w:rPr/>
        <w:t>benefit</w:t>
      </w:r>
      <w:r>
        <w:rPr>
          <w:spacing w:val="-3"/>
        </w:rPr>
        <w:t> </w:t>
      </w:r>
      <w:r>
        <w:rPr/>
        <w:t>elections,</w:t>
      </w:r>
      <w:r>
        <w:rPr>
          <w:spacing w:val="-3"/>
        </w:rPr>
        <w:t> </w:t>
      </w:r>
      <w:r>
        <w:rPr/>
        <w:t>distributions</w:t>
      </w:r>
      <w:r>
        <w:rPr>
          <w:spacing w:val="-2"/>
        </w:rPr>
        <w:t> </w:t>
      </w:r>
      <w:r>
        <w:rPr/>
        <w:t>are</w:t>
      </w:r>
      <w:r>
        <w:rPr>
          <w:spacing w:val="-3"/>
        </w:rPr>
        <w:t> </w:t>
      </w:r>
      <w:r>
        <w:rPr/>
        <w:t>settled</w:t>
      </w:r>
      <w:r>
        <w:rPr>
          <w:spacing w:val="-2"/>
        </w:rPr>
        <w:t> </w:t>
      </w:r>
      <w:r>
        <w:rPr/>
        <w:t>in</w:t>
      </w:r>
      <w:r>
        <w:rPr>
          <w:spacing w:val="-2"/>
        </w:rPr>
        <w:t> </w:t>
      </w:r>
      <w:r>
        <w:rPr/>
        <w:t>stock</w:t>
      </w:r>
      <w:r>
        <w:rPr>
          <w:spacing w:val="-3"/>
        </w:rPr>
        <w:t> </w:t>
      </w:r>
      <w:r>
        <w:rPr/>
        <w:t>and</w:t>
      </w:r>
      <w:r>
        <w:rPr>
          <w:spacing w:val="-2"/>
        </w:rPr>
        <w:t> </w:t>
      </w:r>
      <w:r>
        <w:rPr/>
        <w:t>in</w:t>
      </w:r>
      <w:r>
        <w:rPr>
          <w:spacing w:val="-2"/>
        </w:rPr>
        <w:t> </w:t>
      </w:r>
      <w:r>
        <w:rPr/>
        <w:t>the</w:t>
      </w:r>
      <w:r>
        <w:rPr>
          <w:spacing w:val="-2"/>
        </w:rPr>
        <w:t> </w:t>
      </w:r>
      <w:r>
        <w:rPr/>
        <w:t>form</w:t>
      </w:r>
      <w:r>
        <w:rPr>
          <w:spacing w:val="-3"/>
        </w:rPr>
        <w:t> </w:t>
      </w:r>
      <w:r>
        <w:rPr/>
        <w:t>of</w:t>
      </w:r>
      <w:r>
        <w:rPr>
          <w:spacing w:val="-2"/>
        </w:rPr>
        <w:t> </w:t>
      </w:r>
      <w:r>
        <w:rPr/>
        <w:t>a</w:t>
      </w:r>
      <w:r>
        <w:rPr>
          <w:spacing w:val="-2"/>
        </w:rPr>
        <w:t> </w:t>
      </w:r>
      <w:r>
        <w:rPr/>
        <w:t>lump</w:t>
      </w:r>
      <w:r>
        <w:rPr>
          <w:spacing w:val="-3"/>
        </w:rPr>
        <w:t> </w:t>
      </w:r>
      <w:r>
        <w:rPr/>
        <w:t>sum</w:t>
      </w:r>
      <w:r>
        <w:rPr>
          <w:spacing w:val="-3"/>
        </w:rPr>
        <w:t> </w:t>
      </w:r>
      <w:r>
        <w:rPr/>
        <w:t>payment </w:t>
      </w:r>
      <w:r>
        <w:rPr>
          <w:spacing w:val="-2"/>
        </w:rPr>
        <w:t>only.</w:t>
      </w:r>
    </w:p>
    <w:p>
      <w:pPr>
        <w:pStyle w:val="BodyText"/>
        <w:spacing w:line="249" w:lineRule="auto" w:before="187"/>
        <w:ind w:left="210" w:right="247" w:firstLine="540"/>
        <w:jc w:val="both"/>
      </w:pPr>
      <w:r>
        <w:rPr/>
        <w:t>As of December</w:t>
      </w:r>
      <w:r>
        <w:rPr>
          <w:spacing w:val="-2"/>
        </w:rPr>
        <w:t> </w:t>
      </w:r>
      <w:r>
        <w:rPr/>
        <w:t>1, 2017 and December</w:t>
      </w:r>
      <w:r>
        <w:rPr>
          <w:spacing w:val="-2"/>
        </w:rPr>
        <w:t> </w:t>
      </w:r>
      <w:r>
        <w:rPr/>
        <w:t>2, 2016, the invested amounts under the Deferred Compensation</w:t>
      </w:r>
      <w:r>
        <w:rPr>
          <w:spacing w:val="-1"/>
        </w:rPr>
        <w:t> </w:t>
      </w:r>
      <w:r>
        <w:rPr/>
        <w:t>Plan total $56.7 million</w:t>
      </w:r>
      <w:r>
        <w:rPr>
          <w:spacing w:val="-13"/>
        </w:rPr>
        <w:t> </w:t>
      </w:r>
      <w:r>
        <w:rPr/>
        <w:t>and</w:t>
      </w:r>
      <w:r>
        <w:rPr>
          <w:spacing w:val="-9"/>
        </w:rPr>
        <w:t> </w:t>
      </w:r>
      <w:r>
        <w:rPr/>
        <w:t>$42.2</w:t>
      </w:r>
      <w:r>
        <w:rPr>
          <w:spacing w:val="-8"/>
        </w:rPr>
        <w:t> </w:t>
      </w:r>
      <w:r>
        <w:rPr/>
        <w:t>million,</w:t>
      </w:r>
      <w:r>
        <w:rPr>
          <w:spacing w:val="-9"/>
        </w:rPr>
        <w:t> </w:t>
      </w:r>
      <w:r>
        <w:rPr/>
        <w:t>respectively</w:t>
      </w:r>
      <w:r>
        <w:rPr>
          <w:spacing w:val="-9"/>
        </w:rPr>
        <w:t> </w:t>
      </w:r>
      <w:r>
        <w:rPr/>
        <w:t>and</w:t>
      </w:r>
      <w:r>
        <w:rPr>
          <w:spacing w:val="-8"/>
        </w:rPr>
        <w:t> </w:t>
      </w:r>
      <w:r>
        <w:rPr/>
        <w:t>were</w:t>
      </w:r>
      <w:r>
        <w:rPr>
          <w:spacing w:val="-9"/>
        </w:rPr>
        <w:t> </w:t>
      </w:r>
      <w:r>
        <w:rPr/>
        <w:t>recorded</w:t>
      </w:r>
      <w:r>
        <w:rPr>
          <w:spacing w:val="-9"/>
        </w:rPr>
        <w:t> </w:t>
      </w:r>
      <w:r>
        <w:rPr/>
        <w:t>as</w:t>
      </w:r>
      <w:r>
        <w:rPr>
          <w:spacing w:val="-8"/>
        </w:rPr>
        <w:t> </w:t>
      </w:r>
      <w:r>
        <w:rPr/>
        <w:t>other</w:t>
      </w:r>
      <w:r>
        <w:rPr>
          <w:spacing w:val="-9"/>
        </w:rPr>
        <w:t> </w:t>
      </w:r>
      <w:r>
        <w:rPr/>
        <w:t>assets</w:t>
      </w:r>
      <w:r>
        <w:rPr>
          <w:spacing w:val="-9"/>
        </w:rPr>
        <w:t> </w:t>
      </w:r>
      <w:r>
        <w:rPr/>
        <w:t>on</w:t>
      </w:r>
      <w:r>
        <w:rPr>
          <w:spacing w:val="-9"/>
        </w:rPr>
        <w:t> </w:t>
      </w:r>
      <w:r>
        <w:rPr/>
        <w:t>our</w:t>
      </w:r>
      <w:r>
        <w:rPr>
          <w:spacing w:val="-9"/>
        </w:rPr>
        <w:t> </w:t>
      </w:r>
      <w:r>
        <w:rPr/>
        <w:t>Consolidated</w:t>
      </w:r>
      <w:r>
        <w:rPr>
          <w:spacing w:val="-9"/>
        </w:rPr>
        <w:t> </w:t>
      </w:r>
      <w:r>
        <w:rPr/>
        <w:t>Balance</w:t>
      </w:r>
      <w:r>
        <w:rPr>
          <w:spacing w:val="-9"/>
        </w:rPr>
        <w:t> </w:t>
      </w:r>
      <w:r>
        <w:rPr/>
        <w:t>Sheets.</w:t>
      </w:r>
      <w:r>
        <w:rPr>
          <w:spacing w:val="-13"/>
        </w:rPr>
        <w:t> </w:t>
      </w:r>
      <w:r>
        <w:rPr/>
        <w:t>As</w:t>
      </w:r>
      <w:r>
        <w:rPr>
          <w:spacing w:val="-8"/>
        </w:rPr>
        <w:t> </w:t>
      </w:r>
      <w:r>
        <w:rPr/>
        <w:t>of</w:t>
      </w:r>
      <w:r>
        <w:rPr>
          <w:spacing w:val="-9"/>
        </w:rPr>
        <w:t> </w:t>
      </w:r>
      <w:r>
        <w:rPr/>
        <w:t>December</w:t>
      </w:r>
      <w:r>
        <w:rPr>
          <w:spacing w:val="-2"/>
        </w:rPr>
        <w:t> </w:t>
      </w:r>
      <w:r>
        <w:rPr/>
        <w:t>1, 2017 and December</w:t>
      </w:r>
      <w:r>
        <w:rPr>
          <w:spacing w:val="-3"/>
        </w:rPr>
        <w:t> </w:t>
      </w:r>
      <w:r>
        <w:rPr/>
        <w:t>2, 2016, $67.2 million and $49.0 million, respectively, was recorded as long-term liabilities to recognize undistributed deferred compensation due to employees.</w:t>
      </w:r>
    </w:p>
    <w:p>
      <w:pPr>
        <w:pStyle w:val="Heading1"/>
        <w:spacing w:before="184"/>
      </w:pPr>
      <w:bookmarkStart w:name="NOTE 11. STOCK-BASED COMPENSATION" w:id="82"/>
      <w:bookmarkEnd w:id="82"/>
      <w:r>
        <w:rPr>
          <w:b w:val="0"/>
        </w:rPr>
      </w:r>
      <w:r>
        <w:rPr/>
        <w:t>NOTE</w:t>
      </w:r>
      <w:r>
        <w:rPr>
          <w:spacing w:val="-6"/>
        </w:rPr>
        <w:t> </w:t>
      </w:r>
      <w:r>
        <w:rPr/>
        <w:t>11.</w:t>
      </w:r>
      <w:r>
        <w:rPr>
          <w:spacing w:val="38"/>
        </w:rPr>
        <w:t> </w:t>
      </w:r>
      <w:r>
        <w:rPr/>
        <w:t>STOCK-BASED</w:t>
      </w:r>
      <w:r>
        <w:rPr>
          <w:spacing w:val="-6"/>
        </w:rPr>
        <w:t> </w:t>
      </w:r>
      <w:r>
        <w:rPr>
          <w:spacing w:val="-2"/>
        </w:rPr>
        <w:t>COMPENSATION</w:t>
      </w:r>
    </w:p>
    <w:p>
      <w:pPr>
        <w:pStyle w:val="BodyText"/>
        <w:spacing w:line="249" w:lineRule="auto" w:before="170"/>
        <w:ind w:left="220" w:right="257" w:firstLine="540"/>
        <w:jc w:val="both"/>
      </w:pPr>
      <w:r>
        <w:rPr/>
        <w:t>Our</w:t>
      </w:r>
      <w:r>
        <w:rPr>
          <w:spacing w:val="-1"/>
        </w:rPr>
        <w:t> </w:t>
      </w:r>
      <w:r>
        <w:rPr/>
        <w:t>stock-based</w:t>
      </w:r>
      <w:r>
        <w:rPr>
          <w:spacing w:val="-1"/>
        </w:rPr>
        <w:t> </w:t>
      </w:r>
      <w:r>
        <w:rPr/>
        <w:t>compensation</w:t>
      </w:r>
      <w:r>
        <w:rPr>
          <w:spacing w:val="-1"/>
        </w:rPr>
        <w:t> </w:t>
      </w:r>
      <w:r>
        <w:rPr/>
        <w:t>programs</w:t>
      </w:r>
      <w:r>
        <w:rPr>
          <w:spacing w:val="-1"/>
        </w:rPr>
        <w:t> </w:t>
      </w:r>
      <w:r>
        <w:rPr/>
        <w:t>are</w:t>
      </w:r>
      <w:r>
        <w:rPr>
          <w:spacing w:val="-1"/>
        </w:rPr>
        <w:t> </w:t>
      </w:r>
      <w:r>
        <w:rPr/>
        <w:t>long-term</w:t>
      </w:r>
      <w:r>
        <w:rPr>
          <w:spacing w:val="-1"/>
        </w:rPr>
        <w:t> </w:t>
      </w:r>
      <w:r>
        <w:rPr/>
        <w:t>retention</w:t>
      </w:r>
      <w:r>
        <w:rPr>
          <w:spacing w:val="-1"/>
        </w:rPr>
        <w:t> </w:t>
      </w:r>
      <w:r>
        <w:rPr/>
        <w:t>programs</w:t>
      </w:r>
      <w:r>
        <w:rPr>
          <w:spacing w:val="-1"/>
        </w:rPr>
        <w:t> </w:t>
      </w:r>
      <w:r>
        <w:rPr/>
        <w:t>that</w:t>
      </w:r>
      <w:r>
        <w:rPr>
          <w:spacing w:val="-1"/>
        </w:rPr>
        <w:t> </w:t>
      </w:r>
      <w:r>
        <w:rPr/>
        <w:t>are</w:t>
      </w:r>
      <w:r>
        <w:rPr>
          <w:spacing w:val="-1"/>
        </w:rPr>
        <w:t> </w:t>
      </w:r>
      <w:r>
        <w:rPr/>
        <w:t>intended</w:t>
      </w:r>
      <w:r>
        <w:rPr>
          <w:spacing w:val="-1"/>
        </w:rPr>
        <w:t> </w:t>
      </w:r>
      <w:r>
        <w:rPr/>
        <w:t>to</w:t>
      </w:r>
      <w:r>
        <w:rPr>
          <w:spacing w:val="-1"/>
        </w:rPr>
        <w:t> </w:t>
      </w:r>
      <w:r>
        <w:rPr/>
        <w:t>attract,</w:t>
      </w:r>
      <w:r>
        <w:rPr>
          <w:spacing w:val="-1"/>
        </w:rPr>
        <w:t> </w:t>
      </w:r>
      <w:r>
        <w:rPr/>
        <w:t>retain</w:t>
      </w:r>
      <w:r>
        <w:rPr>
          <w:spacing w:val="-1"/>
        </w:rPr>
        <w:t> </w:t>
      </w:r>
      <w:r>
        <w:rPr/>
        <w:t>and</w:t>
      </w:r>
      <w:r>
        <w:rPr>
          <w:spacing w:val="-1"/>
        </w:rPr>
        <w:t> </w:t>
      </w:r>
      <w:r>
        <w:rPr/>
        <w:t>provide incentives for employees, officers and directors, and to align stockholder and employee interests.</w:t>
      </w:r>
      <w:r>
        <w:rPr>
          <w:spacing w:val="-2"/>
        </w:rPr>
        <w:t> </w:t>
      </w:r>
      <w:r>
        <w:rPr/>
        <w:t>We have the following stock- based compensation plans and programs:</w:t>
      </w:r>
    </w:p>
    <w:p>
      <w:pPr>
        <w:spacing w:before="142"/>
        <w:ind w:left="220" w:right="0" w:firstLine="0"/>
        <w:jc w:val="left"/>
        <w:rPr>
          <w:i/>
          <w:sz w:val="20"/>
        </w:rPr>
      </w:pPr>
      <w:r>
        <w:rPr>
          <w:i/>
          <w:sz w:val="20"/>
        </w:rPr>
        <w:t>Restricted Stock Unit </w:t>
      </w:r>
      <w:r>
        <w:rPr>
          <w:i/>
          <w:spacing w:val="-4"/>
          <w:sz w:val="20"/>
        </w:rPr>
        <w:t>Plan</w:t>
      </w:r>
    </w:p>
    <w:p>
      <w:pPr>
        <w:pStyle w:val="BodyText"/>
        <w:spacing w:line="249" w:lineRule="auto" w:before="155"/>
        <w:ind w:left="220" w:right="257" w:firstLine="540"/>
        <w:jc w:val="both"/>
      </w:pPr>
      <w:r>
        <w:rPr/>
        <w:t>We grant restricted stock units to eligible employees under our 2003 Equity Incentive Plan, as amended (</w:t>
      </w:r>
      <w:r>
        <w:rPr>
          <w:sz w:val="22"/>
        </w:rPr>
        <w:t>“</w:t>
      </w:r>
      <w:r>
        <w:rPr/>
        <w:t>2003 Plan</w:t>
      </w:r>
      <w:r>
        <w:rPr>
          <w:sz w:val="22"/>
        </w:rPr>
        <w:t>”</w:t>
      </w:r>
      <w:r>
        <w:rPr/>
        <w:t>). Restricted stock units granted as part of our annual review process or for promotions vest annually over three years. Restricted stock</w:t>
      </w:r>
      <w:r>
        <w:rPr>
          <w:spacing w:val="-3"/>
        </w:rPr>
        <w:t> </w:t>
      </w:r>
      <w:r>
        <w:rPr/>
        <w:t>units</w:t>
      </w:r>
      <w:r>
        <w:rPr>
          <w:spacing w:val="-3"/>
        </w:rPr>
        <w:t> </w:t>
      </w:r>
      <w:r>
        <w:rPr/>
        <w:t>granted</w:t>
      </w:r>
      <w:r>
        <w:rPr>
          <w:spacing w:val="-3"/>
        </w:rPr>
        <w:t> </w:t>
      </w:r>
      <w:r>
        <w:rPr/>
        <w:t>to</w:t>
      </w:r>
      <w:r>
        <w:rPr>
          <w:spacing w:val="-3"/>
        </w:rPr>
        <w:t> </w:t>
      </w:r>
      <w:r>
        <w:rPr/>
        <w:t>new</w:t>
      </w:r>
      <w:r>
        <w:rPr>
          <w:spacing w:val="-3"/>
        </w:rPr>
        <w:t> </w:t>
      </w:r>
      <w:r>
        <w:rPr/>
        <w:t>hires</w:t>
      </w:r>
      <w:r>
        <w:rPr>
          <w:spacing w:val="-3"/>
        </w:rPr>
        <w:t> </w:t>
      </w:r>
      <w:r>
        <w:rPr/>
        <w:t>generally</w:t>
      </w:r>
      <w:r>
        <w:rPr>
          <w:spacing w:val="-3"/>
        </w:rPr>
        <w:t> </w:t>
      </w:r>
      <w:r>
        <w:rPr/>
        <w:t>vest</w:t>
      </w:r>
      <w:r>
        <w:rPr>
          <w:spacing w:val="-3"/>
        </w:rPr>
        <w:t> </w:t>
      </w:r>
      <w:r>
        <w:rPr/>
        <w:t>over</w:t>
      </w:r>
      <w:r>
        <w:rPr>
          <w:spacing w:val="-3"/>
        </w:rPr>
        <w:t> </w:t>
      </w:r>
      <w:r>
        <w:rPr/>
        <w:t>four</w:t>
      </w:r>
      <w:r>
        <w:rPr>
          <w:spacing w:val="-3"/>
        </w:rPr>
        <w:t> </w:t>
      </w:r>
      <w:r>
        <w:rPr/>
        <w:t>years.</w:t>
      </w:r>
      <w:r>
        <w:rPr>
          <w:spacing w:val="-3"/>
        </w:rPr>
        <w:t> </w:t>
      </w:r>
      <w:r>
        <w:rPr/>
        <w:t>Certain</w:t>
      </w:r>
      <w:r>
        <w:rPr>
          <w:spacing w:val="-3"/>
        </w:rPr>
        <w:t> </w:t>
      </w:r>
      <w:r>
        <w:rPr/>
        <w:t>grants</w:t>
      </w:r>
      <w:r>
        <w:rPr>
          <w:spacing w:val="-3"/>
        </w:rPr>
        <w:t> </w:t>
      </w:r>
      <w:r>
        <w:rPr/>
        <w:t>have</w:t>
      </w:r>
      <w:r>
        <w:rPr>
          <w:spacing w:val="-3"/>
        </w:rPr>
        <w:t> </w:t>
      </w:r>
      <w:r>
        <w:rPr/>
        <w:t>other</w:t>
      </w:r>
      <w:r>
        <w:rPr>
          <w:spacing w:val="-3"/>
        </w:rPr>
        <w:t> </w:t>
      </w:r>
      <w:r>
        <w:rPr/>
        <w:t>vesting</w:t>
      </w:r>
      <w:r>
        <w:rPr>
          <w:spacing w:val="-3"/>
        </w:rPr>
        <w:t> </w:t>
      </w:r>
      <w:r>
        <w:rPr/>
        <w:t>periods</w:t>
      </w:r>
      <w:r>
        <w:rPr>
          <w:spacing w:val="-3"/>
        </w:rPr>
        <w:t> </w:t>
      </w:r>
      <w:r>
        <w:rPr/>
        <w:t>approved</w:t>
      </w:r>
      <w:r>
        <w:rPr>
          <w:spacing w:val="-3"/>
        </w:rPr>
        <w:t> </w:t>
      </w:r>
      <w:r>
        <w:rPr/>
        <w:t>by</w:t>
      </w:r>
      <w:r>
        <w:rPr>
          <w:spacing w:val="-3"/>
        </w:rPr>
        <w:t> </w:t>
      </w:r>
      <w:r>
        <w:rPr/>
        <w:t>our</w:t>
      </w:r>
      <w:r>
        <w:rPr>
          <w:spacing w:val="-3"/>
        </w:rPr>
        <w:t> </w:t>
      </w:r>
      <w:r>
        <w:rPr/>
        <w:t>Board of Directors or an authorized committee.</w:t>
      </w:r>
    </w:p>
    <w:p>
      <w:pPr>
        <w:pStyle w:val="BodyText"/>
        <w:spacing w:before="158"/>
        <w:ind w:left="760"/>
      </w:pPr>
      <w:r>
        <w:rPr/>
        <w:t>We</w:t>
      </w:r>
      <w:r>
        <w:rPr>
          <w:spacing w:val="-3"/>
        </w:rPr>
        <w:t> </w:t>
      </w:r>
      <w:r>
        <w:rPr/>
        <w:t>grant</w:t>
      </w:r>
      <w:r>
        <w:rPr>
          <w:spacing w:val="-3"/>
        </w:rPr>
        <w:t> </w:t>
      </w:r>
      <w:r>
        <w:rPr/>
        <w:t>performance</w:t>
      </w:r>
      <w:r>
        <w:rPr>
          <w:spacing w:val="-4"/>
        </w:rPr>
        <w:t> </w:t>
      </w:r>
      <w:r>
        <w:rPr/>
        <w:t>awards</w:t>
      </w:r>
      <w:r>
        <w:rPr>
          <w:spacing w:val="-2"/>
        </w:rPr>
        <w:t> </w:t>
      </w:r>
      <w:r>
        <w:rPr/>
        <w:t>to</w:t>
      </w:r>
      <w:r>
        <w:rPr>
          <w:spacing w:val="-4"/>
        </w:rPr>
        <w:t> </w:t>
      </w:r>
      <w:r>
        <w:rPr/>
        <w:t>officers</w:t>
      </w:r>
      <w:r>
        <w:rPr>
          <w:spacing w:val="-2"/>
        </w:rPr>
        <w:t> </w:t>
      </w:r>
      <w:r>
        <w:rPr/>
        <w:t>and</w:t>
      </w:r>
      <w:r>
        <w:rPr>
          <w:spacing w:val="-3"/>
        </w:rPr>
        <w:t> </w:t>
      </w:r>
      <w:r>
        <w:rPr/>
        <w:t>key</w:t>
      </w:r>
      <w:r>
        <w:rPr>
          <w:spacing w:val="-2"/>
        </w:rPr>
        <w:t> </w:t>
      </w:r>
      <w:r>
        <w:rPr/>
        <w:t>employees</w:t>
      </w:r>
      <w:r>
        <w:rPr>
          <w:spacing w:val="-3"/>
        </w:rPr>
        <w:t> </w:t>
      </w:r>
      <w:r>
        <w:rPr/>
        <w:t>under</w:t>
      </w:r>
      <w:r>
        <w:rPr>
          <w:spacing w:val="-2"/>
        </w:rPr>
        <w:t> </w:t>
      </w:r>
      <w:r>
        <w:rPr/>
        <w:t>our</w:t>
      </w:r>
      <w:r>
        <w:rPr>
          <w:spacing w:val="-3"/>
        </w:rPr>
        <w:t> </w:t>
      </w:r>
      <w:r>
        <w:rPr/>
        <w:t>2003</w:t>
      </w:r>
      <w:r>
        <w:rPr>
          <w:spacing w:val="-2"/>
        </w:rPr>
        <w:t> </w:t>
      </w:r>
      <w:r>
        <w:rPr/>
        <w:t>Plan</w:t>
      </w:r>
      <w:r>
        <w:rPr>
          <w:spacing w:val="-3"/>
        </w:rPr>
        <w:t> </w:t>
      </w:r>
      <w:r>
        <w:rPr/>
        <w:t>which</w:t>
      </w:r>
      <w:r>
        <w:rPr>
          <w:spacing w:val="-2"/>
        </w:rPr>
        <w:t> </w:t>
      </w:r>
      <w:r>
        <w:rPr/>
        <w:t>cliff-vest</w:t>
      </w:r>
      <w:r>
        <w:rPr>
          <w:spacing w:val="-4"/>
        </w:rPr>
        <w:t> </w:t>
      </w:r>
      <w:r>
        <w:rPr/>
        <w:t>after</w:t>
      </w:r>
      <w:r>
        <w:rPr>
          <w:spacing w:val="-2"/>
        </w:rPr>
        <w:t> </w:t>
      </w:r>
      <w:r>
        <w:rPr/>
        <w:t>three</w:t>
      </w:r>
      <w:r>
        <w:rPr>
          <w:spacing w:val="-3"/>
        </w:rPr>
        <w:t> </w:t>
      </w:r>
      <w:r>
        <w:rPr>
          <w:spacing w:val="-2"/>
        </w:rPr>
        <w:t>years.</w:t>
      </w:r>
    </w:p>
    <w:p>
      <w:pPr>
        <w:pStyle w:val="BodyText"/>
        <w:spacing w:before="170"/>
        <w:ind w:left="760"/>
      </w:pPr>
      <w:r>
        <w:rPr/>
        <w:t>As</w:t>
      </w:r>
      <w:r>
        <w:rPr>
          <w:spacing w:val="-9"/>
        </w:rPr>
        <w:t> </w:t>
      </w:r>
      <w:r>
        <w:rPr/>
        <w:t>of</w:t>
      </w:r>
      <w:r>
        <w:rPr>
          <w:spacing w:val="-8"/>
        </w:rPr>
        <w:t> </w:t>
      </w:r>
      <w:r>
        <w:rPr/>
        <w:t>December 1,</w:t>
      </w:r>
      <w:r>
        <w:rPr>
          <w:spacing w:val="-9"/>
        </w:rPr>
        <w:t> </w:t>
      </w:r>
      <w:r>
        <w:rPr/>
        <w:t>2017,</w:t>
      </w:r>
      <w:r>
        <w:rPr>
          <w:spacing w:val="-7"/>
        </w:rPr>
        <w:t> </w:t>
      </w:r>
      <w:r>
        <w:rPr/>
        <w:t>we</w:t>
      </w:r>
      <w:r>
        <w:rPr>
          <w:spacing w:val="-8"/>
        </w:rPr>
        <w:t> </w:t>
      </w:r>
      <w:r>
        <w:rPr/>
        <w:t>had</w:t>
      </w:r>
      <w:r>
        <w:rPr>
          <w:spacing w:val="-8"/>
        </w:rPr>
        <w:t> </w:t>
      </w:r>
      <w:r>
        <w:rPr/>
        <w:t>reserved</w:t>
      </w:r>
      <w:r>
        <w:rPr>
          <w:spacing w:val="-8"/>
        </w:rPr>
        <w:t> </w:t>
      </w:r>
      <w:r>
        <w:rPr/>
        <w:t>183.2</w:t>
      </w:r>
      <w:r>
        <w:rPr>
          <w:spacing w:val="-8"/>
        </w:rPr>
        <w:t> </w:t>
      </w:r>
      <w:r>
        <w:rPr/>
        <w:t>million</w:t>
      </w:r>
      <w:r>
        <w:rPr>
          <w:spacing w:val="-8"/>
        </w:rPr>
        <w:t> </w:t>
      </w:r>
      <w:r>
        <w:rPr/>
        <w:t>shares</w:t>
      </w:r>
      <w:r>
        <w:rPr>
          <w:spacing w:val="-8"/>
        </w:rPr>
        <w:t> </w:t>
      </w:r>
      <w:r>
        <w:rPr/>
        <w:t>of</w:t>
      </w:r>
      <w:r>
        <w:rPr>
          <w:spacing w:val="-8"/>
        </w:rPr>
        <w:t> </w:t>
      </w:r>
      <w:r>
        <w:rPr/>
        <w:t>common</w:t>
      </w:r>
      <w:r>
        <w:rPr>
          <w:spacing w:val="-8"/>
        </w:rPr>
        <w:t> </w:t>
      </w:r>
      <w:r>
        <w:rPr/>
        <w:t>stock</w:t>
      </w:r>
      <w:r>
        <w:rPr>
          <w:spacing w:val="-9"/>
        </w:rPr>
        <w:t> </w:t>
      </w:r>
      <w:r>
        <w:rPr/>
        <w:t>for</w:t>
      </w:r>
      <w:r>
        <w:rPr>
          <w:spacing w:val="-7"/>
        </w:rPr>
        <w:t> </w:t>
      </w:r>
      <w:r>
        <w:rPr/>
        <w:t>issuance</w:t>
      </w:r>
      <w:r>
        <w:rPr>
          <w:spacing w:val="-8"/>
        </w:rPr>
        <w:t> </w:t>
      </w:r>
      <w:r>
        <w:rPr/>
        <w:t>under</w:t>
      </w:r>
      <w:r>
        <w:rPr>
          <w:spacing w:val="-8"/>
        </w:rPr>
        <w:t> </w:t>
      </w:r>
      <w:r>
        <w:rPr/>
        <w:t>our</w:t>
      </w:r>
      <w:r>
        <w:rPr>
          <w:spacing w:val="-8"/>
        </w:rPr>
        <w:t> </w:t>
      </w:r>
      <w:r>
        <w:rPr/>
        <w:t>2003</w:t>
      </w:r>
      <w:r>
        <w:rPr>
          <w:spacing w:val="-8"/>
        </w:rPr>
        <w:t> </w:t>
      </w:r>
      <w:r>
        <w:rPr/>
        <w:t>Plan</w:t>
      </w:r>
      <w:r>
        <w:rPr>
          <w:spacing w:val="-7"/>
        </w:rPr>
        <w:t> </w:t>
      </w:r>
      <w:r>
        <w:rPr/>
        <w:t>and</w:t>
      </w:r>
      <w:r>
        <w:rPr>
          <w:spacing w:val="-8"/>
        </w:rPr>
        <w:t> </w:t>
      </w:r>
      <w:r>
        <w:rPr>
          <w:spacing w:val="-5"/>
        </w:rPr>
        <w:t>had</w:t>
      </w:r>
    </w:p>
    <w:p>
      <w:pPr>
        <w:pStyle w:val="BodyText"/>
        <w:spacing w:before="10"/>
        <w:ind w:left="220"/>
      </w:pPr>
      <w:r>
        <w:rPr/>
        <w:t>93.6</w:t>
      </w:r>
      <w:r>
        <w:rPr>
          <w:spacing w:val="-1"/>
        </w:rPr>
        <w:t> </w:t>
      </w:r>
      <w:r>
        <w:rPr/>
        <w:t>million</w:t>
      </w:r>
      <w:r>
        <w:rPr>
          <w:spacing w:val="-2"/>
        </w:rPr>
        <w:t> </w:t>
      </w:r>
      <w:r>
        <w:rPr/>
        <w:t>shares</w:t>
      </w:r>
      <w:r>
        <w:rPr>
          <w:spacing w:val="-1"/>
        </w:rPr>
        <w:t> </w:t>
      </w:r>
      <w:r>
        <w:rPr/>
        <w:t>available</w:t>
      </w:r>
      <w:r>
        <w:rPr>
          <w:spacing w:val="-2"/>
        </w:rPr>
        <w:t> </w:t>
      </w:r>
      <w:r>
        <w:rPr/>
        <w:t>for</w:t>
      </w:r>
      <w:r>
        <w:rPr>
          <w:spacing w:val="-1"/>
        </w:rPr>
        <w:t> </w:t>
      </w:r>
      <w:r>
        <w:rPr>
          <w:spacing w:val="-2"/>
        </w:rPr>
        <w:t>grant.</w:t>
      </w:r>
    </w:p>
    <w:p>
      <w:pPr>
        <w:spacing w:after="0"/>
        <w:sectPr>
          <w:pgSz w:w="12240" w:h="15840"/>
          <w:pgMar w:header="210" w:footer="610" w:top="1380" w:bottom="800" w:left="780" w:right="740"/>
        </w:sectPr>
      </w:pPr>
    </w:p>
    <w:p>
      <w:pPr>
        <w:pStyle w:val="BodyText"/>
      </w:pPr>
    </w:p>
    <w:p>
      <w:pPr>
        <w:pStyle w:val="BodyText"/>
      </w:pPr>
    </w:p>
    <w:p>
      <w:pPr>
        <w:pStyle w:val="BodyText"/>
        <w:spacing w:before="30"/>
      </w:pPr>
    </w:p>
    <w:p>
      <w:pPr>
        <w:spacing w:before="0"/>
        <w:ind w:left="220" w:right="0" w:firstLine="0"/>
        <w:jc w:val="left"/>
        <w:rPr>
          <w:i/>
          <w:sz w:val="20"/>
        </w:rPr>
      </w:pPr>
      <w:r>
        <w:rPr>
          <w:i/>
          <w:sz w:val="20"/>
        </w:rPr>
        <w:t>Employee</w:t>
      </w:r>
      <w:r>
        <w:rPr>
          <w:i/>
          <w:spacing w:val="-5"/>
          <w:sz w:val="20"/>
        </w:rPr>
        <w:t> </w:t>
      </w:r>
      <w:r>
        <w:rPr>
          <w:i/>
          <w:sz w:val="20"/>
        </w:rPr>
        <w:t>Stock</w:t>
      </w:r>
      <w:r>
        <w:rPr>
          <w:i/>
          <w:spacing w:val="-4"/>
          <w:sz w:val="20"/>
        </w:rPr>
        <w:t> </w:t>
      </w:r>
      <w:r>
        <w:rPr>
          <w:i/>
          <w:sz w:val="20"/>
        </w:rPr>
        <w:t>Purchase</w:t>
      </w:r>
      <w:r>
        <w:rPr>
          <w:i/>
          <w:spacing w:val="-4"/>
          <w:sz w:val="20"/>
        </w:rPr>
        <w:t> Plan</w:t>
      </w:r>
    </w:p>
    <w:p>
      <w:pPr>
        <w:pStyle w:val="BodyText"/>
        <w:spacing w:line="249" w:lineRule="auto" w:before="150"/>
        <w:ind w:left="220" w:right="250" w:firstLine="540"/>
        <w:jc w:val="both"/>
      </w:pPr>
      <w:r>
        <w:rPr>
          <w:spacing w:val="-2"/>
        </w:rPr>
        <w:t>Our</w:t>
      </w:r>
      <w:r>
        <w:rPr>
          <w:spacing w:val="-5"/>
        </w:rPr>
        <w:t> </w:t>
      </w:r>
      <w:r>
        <w:rPr>
          <w:spacing w:val="-2"/>
        </w:rPr>
        <w:t>1997</w:t>
      </w:r>
      <w:r>
        <w:rPr>
          <w:spacing w:val="-5"/>
        </w:rPr>
        <w:t> </w:t>
      </w:r>
      <w:r>
        <w:rPr>
          <w:spacing w:val="-2"/>
        </w:rPr>
        <w:t>Employee</w:t>
      </w:r>
      <w:r>
        <w:rPr>
          <w:spacing w:val="-7"/>
        </w:rPr>
        <w:t> </w:t>
      </w:r>
      <w:r>
        <w:rPr>
          <w:spacing w:val="-2"/>
        </w:rPr>
        <w:t>Stock</w:t>
      </w:r>
      <w:r>
        <w:rPr>
          <w:spacing w:val="-5"/>
        </w:rPr>
        <w:t> </w:t>
      </w:r>
      <w:r>
        <w:rPr>
          <w:spacing w:val="-2"/>
        </w:rPr>
        <w:t>Purchase</w:t>
      </w:r>
      <w:r>
        <w:rPr>
          <w:spacing w:val="-5"/>
        </w:rPr>
        <w:t> </w:t>
      </w:r>
      <w:r>
        <w:rPr>
          <w:spacing w:val="-2"/>
        </w:rPr>
        <w:t>Plan</w:t>
      </w:r>
      <w:r>
        <w:rPr>
          <w:spacing w:val="-5"/>
        </w:rPr>
        <w:t> </w:t>
      </w:r>
      <w:r>
        <w:rPr>
          <w:spacing w:val="-2"/>
        </w:rPr>
        <w:t>(“ESPP”)</w:t>
      </w:r>
      <w:r>
        <w:rPr>
          <w:spacing w:val="-5"/>
        </w:rPr>
        <w:t> </w:t>
      </w:r>
      <w:r>
        <w:rPr>
          <w:spacing w:val="-2"/>
        </w:rPr>
        <w:t>allows</w:t>
      </w:r>
      <w:r>
        <w:rPr>
          <w:spacing w:val="-5"/>
        </w:rPr>
        <w:t> </w:t>
      </w:r>
      <w:r>
        <w:rPr>
          <w:spacing w:val="-2"/>
        </w:rPr>
        <w:t>eligible</w:t>
      </w:r>
      <w:r>
        <w:rPr>
          <w:spacing w:val="-7"/>
        </w:rPr>
        <w:t> </w:t>
      </w:r>
      <w:r>
        <w:rPr>
          <w:spacing w:val="-2"/>
        </w:rPr>
        <w:t>employee</w:t>
      </w:r>
      <w:r>
        <w:rPr>
          <w:spacing w:val="-7"/>
        </w:rPr>
        <w:t> </w:t>
      </w:r>
      <w:r>
        <w:rPr>
          <w:spacing w:val="-2"/>
        </w:rPr>
        <w:t>participants</w:t>
      </w:r>
      <w:r>
        <w:rPr>
          <w:spacing w:val="-5"/>
        </w:rPr>
        <w:t> </w:t>
      </w:r>
      <w:r>
        <w:rPr>
          <w:spacing w:val="-2"/>
        </w:rPr>
        <w:t>to</w:t>
      </w:r>
      <w:r>
        <w:rPr>
          <w:spacing w:val="-5"/>
        </w:rPr>
        <w:t> </w:t>
      </w:r>
      <w:r>
        <w:rPr>
          <w:spacing w:val="-2"/>
        </w:rPr>
        <w:t>purchase</w:t>
      </w:r>
      <w:r>
        <w:rPr>
          <w:spacing w:val="-7"/>
        </w:rPr>
        <w:t> </w:t>
      </w:r>
      <w:r>
        <w:rPr>
          <w:spacing w:val="-2"/>
        </w:rPr>
        <w:t>shares</w:t>
      </w:r>
      <w:r>
        <w:rPr>
          <w:spacing w:val="-5"/>
        </w:rPr>
        <w:t> </w:t>
      </w:r>
      <w:r>
        <w:rPr>
          <w:spacing w:val="-2"/>
        </w:rPr>
        <w:t>of</w:t>
      </w:r>
      <w:r>
        <w:rPr>
          <w:spacing w:val="-5"/>
        </w:rPr>
        <w:t> </w:t>
      </w:r>
      <w:r>
        <w:rPr>
          <w:spacing w:val="-2"/>
        </w:rPr>
        <w:t>our</w:t>
      </w:r>
      <w:r>
        <w:rPr>
          <w:spacing w:val="-5"/>
        </w:rPr>
        <w:t> </w:t>
      </w:r>
      <w:r>
        <w:rPr>
          <w:spacing w:val="-2"/>
        </w:rPr>
        <w:t>common </w:t>
      </w:r>
      <w:r>
        <w:rPr/>
        <w:t>stock at a discount through payroll deductions. The ESPP</w:t>
      </w:r>
      <w:r>
        <w:rPr>
          <w:spacing w:val="-1"/>
        </w:rPr>
        <w:t> </w:t>
      </w:r>
      <w:r>
        <w:rPr/>
        <w:t>consists of a twenty-four month offering period with four six-month purchase</w:t>
      </w:r>
      <w:r>
        <w:rPr>
          <w:spacing w:val="-1"/>
        </w:rPr>
        <w:t> </w:t>
      </w:r>
      <w:r>
        <w:rPr/>
        <w:t>periods</w:t>
      </w:r>
      <w:r>
        <w:rPr>
          <w:spacing w:val="-1"/>
        </w:rPr>
        <w:t> </w:t>
      </w:r>
      <w:r>
        <w:rPr/>
        <w:t>in</w:t>
      </w:r>
      <w:r>
        <w:rPr>
          <w:spacing w:val="-1"/>
        </w:rPr>
        <w:t> </w:t>
      </w:r>
      <w:r>
        <w:rPr/>
        <w:t>each</w:t>
      </w:r>
      <w:r>
        <w:rPr>
          <w:spacing w:val="-1"/>
        </w:rPr>
        <w:t> </w:t>
      </w:r>
      <w:r>
        <w:rPr/>
        <w:t>offering</w:t>
      </w:r>
      <w:r>
        <w:rPr>
          <w:spacing w:val="-1"/>
        </w:rPr>
        <w:t> </w:t>
      </w:r>
      <w:r>
        <w:rPr/>
        <w:t>period.</w:t>
      </w:r>
      <w:r>
        <w:rPr>
          <w:spacing w:val="-1"/>
        </w:rPr>
        <w:t> </w:t>
      </w:r>
      <w:r>
        <w:rPr/>
        <w:t>Employees</w:t>
      </w:r>
      <w:r>
        <w:rPr>
          <w:spacing w:val="-1"/>
        </w:rPr>
        <w:t> </w:t>
      </w:r>
      <w:r>
        <w:rPr/>
        <w:t>purchase</w:t>
      </w:r>
      <w:r>
        <w:rPr>
          <w:spacing w:val="-1"/>
        </w:rPr>
        <w:t> </w:t>
      </w:r>
      <w:r>
        <w:rPr/>
        <w:t>shares</w:t>
      </w:r>
      <w:r>
        <w:rPr>
          <w:spacing w:val="-1"/>
        </w:rPr>
        <w:t> </w:t>
      </w:r>
      <w:r>
        <w:rPr/>
        <w:t>in</w:t>
      </w:r>
      <w:r>
        <w:rPr>
          <w:spacing w:val="-1"/>
        </w:rPr>
        <w:t> </w:t>
      </w:r>
      <w:r>
        <w:rPr/>
        <w:t>each</w:t>
      </w:r>
      <w:r>
        <w:rPr>
          <w:spacing w:val="-1"/>
        </w:rPr>
        <w:t> </w:t>
      </w:r>
      <w:r>
        <w:rPr/>
        <w:t>purchase</w:t>
      </w:r>
      <w:r>
        <w:rPr>
          <w:spacing w:val="-1"/>
        </w:rPr>
        <w:t> </w:t>
      </w:r>
      <w:r>
        <w:rPr/>
        <w:t>period</w:t>
      </w:r>
      <w:r>
        <w:rPr>
          <w:spacing w:val="-1"/>
        </w:rPr>
        <w:t> </w:t>
      </w:r>
      <w:r>
        <w:rPr/>
        <w:t>at</w:t>
      </w:r>
      <w:r>
        <w:rPr>
          <w:spacing w:val="-1"/>
        </w:rPr>
        <w:t> </w:t>
      </w:r>
      <w:r>
        <w:rPr/>
        <w:t>85%</w:t>
      </w:r>
      <w:r>
        <w:rPr>
          <w:spacing w:val="-1"/>
        </w:rPr>
        <w:t> </w:t>
      </w:r>
      <w:r>
        <w:rPr/>
        <w:t>of</w:t>
      </w:r>
      <w:r>
        <w:rPr>
          <w:spacing w:val="-1"/>
        </w:rPr>
        <w:t> </w:t>
      </w:r>
      <w:r>
        <w:rPr/>
        <w:t>the</w:t>
      </w:r>
      <w:r>
        <w:rPr>
          <w:spacing w:val="-1"/>
        </w:rPr>
        <w:t> </w:t>
      </w:r>
      <w:r>
        <w:rPr/>
        <w:t>market</w:t>
      </w:r>
      <w:r>
        <w:rPr>
          <w:spacing w:val="-1"/>
        </w:rPr>
        <w:t> </w:t>
      </w:r>
      <w:r>
        <w:rPr/>
        <w:t>value</w:t>
      </w:r>
      <w:r>
        <w:rPr>
          <w:spacing w:val="-1"/>
        </w:rPr>
        <w:t> </w:t>
      </w:r>
      <w:r>
        <w:rPr/>
        <w:t>of</w:t>
      </w:r>
      <w:r>
        <w:rPr>
          <w:spacing w:val="-1"/>
        </w:rPr>
        <w:t> </w:t>
      </w:r>
      <w:r>
        <w:rPr/>
        <w:t>our common</w:t>
      </w:r>
      <w:r>
        <w:rPr>
          <w:spacing w:val="-13"/>
        </w:rPr>
        <w:t> </w:t>
      </w:r>
      <w:r>
        <w:rPr/>
        <w:t>stock</w:t>
      </w:r>
      <w:r>
        <w:rPr>
          <w:spacing w:val="-11"/>
        </w:rPr>
        <w:t> </w:t>
      </w:r>
      <w:r>
        <w:rPr/>
        <w:t>at</w:t>
      </w:r>
      <w:r>
        <w:rPr>
          <w:spacing w:val="-11"/>
        </w:rPr>
        <w:t> </w:t>
      </w:r>
      <w:r>
        <w:rPr/>
        <w:t>either</w:t>
      </w:r>
      <w:r>
        <w:rPr>
          <w:spacing w:val="-11"/>
        </w:rPr>
        <w:t> </w:t>
      </w:r>
      <w:r>
        <w:rPr/>
        <w:t>the</w:t>
      </w:r>
      <w:r>
        <w:rPr>
          <w:spacing w:val="-11"/>
        </w:rPr>
        <w:t> </w:t>
      </w:r>
      <w:r>
        <w:rPr/>
        <w:t>beginning</w:t>
      </w:r>
      <w:r>
        <w:rPr>
          <w:spacing w:val="-11"/>
        </w:rPr>
        <w:t> </w:t>
      </w:r>
      <w:r>
        <w:rPr/>
        <w:t>of</w:t>
      </w:r>
      <w:r>
        <w:rPr>
          <w:spacing w:val="-11"/>
        </w:rPr>
        <w:t> </w:t>
      </w:r>
      <w:r>
        <w:rPr/>
        <w:t>the</w:t>
      </w:r>
      <w:r>
        <w:rPr>
          <w:spacing w:val="-11"/>
        </w:rPr>
        <w:t> </w:t>
      </w:r>
      <w:r>
        <w:rPr/>
        <w:t>offering</w:t>
      </w:r>
      <w:r>
        <w:rPr>
          <w:spacing w:val="-11"/>
        </w:rPr>
        <w:t> </w:t>
      </w:r>
      <w:r>
        <w:rPr/>
        <w:t>period</w:t>
      </w:r>
      <w:r>
        <w:rPr>
          <w:spacing w:val="-11"/>
        </w:rPr>
        <w:t> </w:t>
      </w:r>
      <w:r>
        <w:rPr/>
        <w:t>or</w:t>
      </w:r>
      <w:r>
        <w:rPr>
          <w:spacing w:val="-11"/>
        </w:rPr>
        <w:t> </w:t>
      </w:r>
      <w:r>
        <w:rPr/>
        <w:t>the</w:t>
      </w:r>
      <w:r>
        <w:rPr>
          <w:spacing w:val="-11"/>
        </w:rPr>
        <w:t> </w:t>
      </w:r>
      <w:r>
        <w:rPr/>
        <w:t>end</w:t>
      </w:r>
      <w:r>
        <w:rPr>
          <w:spacing w:val="-11"/>
        </w:rPr>
        <w:t> </w:t>
      </w:r>
      <w:r>
        <w:rPr/>
        <w:t>of</w:t>
      </w:r>
      <w:r>
        <w:rPr>
          <w:spacing w:val="-11"/>
        </w:rPr>
        <w:t> </w:t>
      </w:r>
      <w:r>
        <w:rPr/>
        <w:t>the</w:t>
      </w:r>
      <w:r>
        <w:rPr>
          <w:spacing w:val="-11"/>
        </w:rPr>
        <w:t> </w:t>
      </w:r>
      <w:r>
        <w:rPr/>
        <w:t>purchase</w:t>
      </w:r>
      <w:r>
        <w:rPr>
          <w:spacing w:val="-11"/>
        </w:rPr>
        <w:t> </w:t>
      </w:r>
      <w:r>
        <w:rPr/>
        <w:t>period,</w:t>
      </w:r>
      <w:r>
        <w:rPr>
          <w:spacing w:val="-11"/>
        </w:rPr>
        <w:t> </w:t>
      </w:r>
      <w:r>
        <w:rPr/>
        <w:t>whichever</w:t>
      </w:r>
      <w:r>
        <w:rPr>
          <w:spacing w:val="-11"/>
        </w:rPr>
        <w:t> </w:t>
      </w:r>
      <w:r>
        <w:rPr/>
        <w:t>price</w:t>
      </w:r>
      <w:r>
        <w:rPr>
          <w:spacing w:val="-11"/>
        </w:rPr>
        <w:t> </w:t>
      </w:r>
      <w:r>
        <w:rPr/>
        <w:t>is</w:t>
      </w:r>
      <w:r>
        <w:rPr>
          <w:spacing w:val="-11"/>
        </w:rPr>
        <w:t> </w:t>
      </w:r>
      <w:r>
        <w:rPr/>
        <w:t>lower.</w:t>
      </w:r>
      <w:r>
        <w:rPr>
          <w:spacing w:val="-13"/>
        </w:rPr>
        <w:t> </w:t>
      </w:r>
      <w:r>
        <w:rPr/>
        <w:t>The</w:t>
      </w:r>
      <w:r>
        <w:rPr>
          <w:spacing w:val="-11"/>
        </w:rPr>
        <w:t> </w:t>
      </w:r>
      <w:r>
        <w:rPr/>
        <w:t>ESPP will</w:t>
      </w:r>
      <w:r>
        <w:rPr>
          <w:spacing w:val="-9"/>
        </w:rPr>
        <w:t> </w:t>
      </w:r>
      <w:r>
        <w:rPr/>
        <w:t>continue</w:t>
      </w:r>
      <w:r>
        <w:rPr>
          <w:spacing w:val="-9"/>
        </w:rPr>
        <w:t> </w:t>
      </w:r>
      <w:r>
        <w:rPr/>
        <w:t>until</w:t>
      </w:r>
      <w:r>
        <w:rPr>
          <w:spacing w:val="-9"/>
        </w:rPr>
        <w:t> </w:t>
      </w:r>
      <w:r>
        <w:rPr/>
        <w:t>the</w:t>
      </w:r>
      <w:r>
        <w:rPr>
          <w:spacing w:val="-9"/>
        </w:rPr>
        <w:t> </w:t>
      </w:r>
      <w:r>
        <w:rPr/>
        <w:t>earlier</w:t>
      </w:r>
      <w:r>
        <w:rPr>
          <w:spacing w:val="-9"/>
        </w:rPr>
        <w:t> </w:t>
      </w:r>
      <w:r>
        <w:rPr/>
        <w:t>of</w:t>
      </w:r>
      <w:r>
        <w:rPr>
          <w:spacing w:val="-9"/>
        </w:rPr>
        <w:t> </w:t>
      </w:r>
      <w:r>
        <w:rPr/>
        <w:t>(i)</w:t>
      </w:r>
      <w:r>
        <w:rPr>
          <w:spacing w:val="-2"/>
        </w:rPr>
        <w:t> </w:t>
      </w:r>
      <w:r>
        <w:rPr/>
        <w:t>termination</w:t>
      </w:r>
      <w:r>
        <w:rPr>
          <w:spacing w:val="-9"/>
        </w:rPr>
        <w:t> </w:t>
      </w:r>
      <w:r>
        <w:rPr/>
        <w:t>by</w:t>
      </w:r>
      <w:r>
        <w:rPr>
          <w:spacing w:val="-9"/>
        </w:rPr>
        <w:t> </w:t>
      </w:r>
      <w:r>
        <w:rPr/>
        <w:t>the</w:t>
      </w:r>
      <w:r>
        <w:rPr>
          <w:spacing w:val="-9"/>
        </w:rPr>
        <w:t> </w:t>
      </w:r>
      <w:r>
        <w:rPr/>
        <w:t>Board</w:t>
      </w:r>
      <w:r>
        <w:rPr>
          <w:spacing w:val="-9"/>
        </w:rPr>
        <w:t> </w:t>
      </w:r>
      <w:r>
        <w:rPr/>
        <w:t>or</w:t>
      </w:r>
      <w:r>
        <w:rPr>
          <w:spacing w:val="-9"/>
        </w:rPr>
        <w:t> </w:t>
      </w:r>
      <w:r>
        <w:rPr/>
        <w:t>(ii)</w:t>
      </w:r>
      <w:r>
        <w:rPr>
          <w:spacing w:val="-2"/>
        </w:rPr>
        <w:t> </w:t>
      </w:r>
      <w:r>
        <w:rPr/>
        <w:t>the</w:t>
      </w:r>
      <w:r>
        <w:rPr>
          <w:spacing w:val="-9"/>
        </w:rPr>
        <w:t> </w:t>
      </w:r>
      <w:r>
        <w:rPr/>
        <w:t>date</w:t>
      </w:r>
      <w:r>
        <w:rPr>
          <w:spacing w:val="-9"/>
        </w:rPr>
        <w:t> </w:t>
      </w:r>
      <w:r>
        <w:rPr/>
        <w:t>on</w:t>
      </w:r>
      <w:r>
        <w:rPr>
          <w:spacing w:val="-9"/>
        </w:rPr>
        <w:t> </w:t>
      </w:r>
      <w:r>
        <w:rPr/>
        <w:t>which</w:t>
      </w:r>
      <w:r>
        <w:rPr>
          <w:spacing w:val="-9"/>
        </w:rPr>
        <w:t> </w:t>
      </w:r>
      <w:r>
        <w:rPr/>
        <w:t>all</w:t>
      </w:r>
      <w:r>
        <w:rPr>
          <w:spacing w:val="-9"/>
        </w:rPr>
        <w:t> </w:t>
      </w:r>
      <w:r>
        <w:rPr/>
        <w:t>of</w:t>
      </w:r>
      <w:r>
        <w:rPr>
          <w:spacing w:val="-9"/>
        </w:rPr>
        <w:t> </w:t>
      </w:r>
      <w:r>
        <w:rPr/>
        <w:t>the</w:t>
      </w:r>
      <w:r>
        <w:rPr>
          <w:spacing w:val="-9"/>
        </w:rPr>
        <w:t> </w:t>
      </w:r>
      <w:r>
        <w:rPr/>
        <w:t>shares</w:t>
      </w:r>
      <w:r>
        <w:rPr>
          <w:spacing w:val="-9"/>
        </w:rPr>
        <w:t> </w:t>
      </w:r>
      <w:r>
        <w:rPr/>
        <w:t>available</w:t>
      </w:r>
      <w:r>
        <w:rPr>
          <w:spacing w:val="-9"/>
        </w:rPr>
        <w:t> </w:t>
      </w:r>
      <w:r>
        <w:rPr/>
        <w:t>for</w:t>
      </w:r>
      <w:r>
        <w:rPr>
          <w:spacing w:val="-9"/>
        </w:rPr>
        <w:t> </w:t>
      </w:r>
      <w:r>
        <w:rPr/>
        <w:t>issuance</w:t>
      </w:r>
      <w:r>
        <w:rPr>
          <w:spacing w:val="-9"/>
        </w:rPr>
        <w:t> </w:t>
      </w:r>
      <w:r>
        <w:rPr/>
        <w:t>under the plan have been issued.</w:t>
      </w:r>
    </w:p>
    <w:p>
      <w:pPr>
        <w:pStyle w:val="BodyText"/>
        <w:spacing w:line="249" w:lineRule="auto" w:before="165"/>
        <w:ind w:left="220" w:right="258" w:firstLine="540"/>
        <w:jc w:val="both"/>
      </w:pPr>
      <w:r>
        <w:rPr/>
        <w:t>As of December</w:t>
      </w:r>
      <w:r>
        <w:rPr>
          <w:spacing w:val="-1"/>
        </w:rPr>
        <w:t> </w:t>
      </w:r>
      <w:r>
        <w:rPr/>
        <w:t>1, 2017, we had reserved 93.0 million shares of our common stock for issuance under the ESPP and approximately 7.0 million shares remain available for future issuance.</w:t>
      </w:r>
    </w:p>
    <w:p>
      <w:pPr>
        <w:spacing w:before="181"/>
        <w:ind w:left="220" w:right="0" w:firstLine="0"/>
        <w:jc w:val="left"/>
        <w:rPr>
          <w:i/>
          <w:sz w:val="20"/>
        </w:rPr>
      </w:pPr>
      <w:r>
        <w:rPr>
          <w:i/>
          <w:sz w:val="20"/>
        </w:rPr>
        <w:t>Stock</w:t>
      </w:r>
      <w:r>
        <w:rPr>
          <w:i/>
          <w:spacing w:val="-1"/>
          <w:sz w:val="20"/>
        </w:rPr>
        <w:t> </w:t>
      </w:r>
      <w:r>
        <w:rPr>
          <w:i/>
          <w:sz w:val="20"/>
        </w:rPr>
        <w:t>Option</w:t>
      </w:r>
      <w:r>
        <w:rPr>
          <w:i/>
          <w:spacing w:val="-1"/>
          <w:sz w:val="20"/>
        </w:rPr>
        <w:t> </w:t>
      </w:r>
      <w:r>
        <w:rPr>
          <w:i/>
          <w:spacing w:val="-4"/>
          <w:sz w:val="20"/>
        </w:rPr>
        <w:t>Plan</w:t>
      </w:r>
    </w:p>
    <w:p>
      <w:pPr>
        <w:pStyle w:val="BodyText"/>
        <w:spacing w:line="249" w:lineRule="auto" w:before="190"/>
        <w:ind w:left="220" w:right="257" w:firstLine="540"/>
        <w:jc w:val="both"/>
      </w:pPr>
      <w:r>
        <w:rPr/>
        <w:t>The 2003 Plan allows us to grant options to all employees, including executive officers, outside consultants and non- employee directors. This plan will continue until the earlier of (i)</w:t>
      </w:r>
      <w:r>
        <w:rPr>
          <w:spacing w:val="-1"/>
        </w:rPr>
        <w:t> </w:t>
      </w:r>
      <w:r>
        <w:rPr/>
        <w:t>termination by the Board or (ii)</w:t>
      </w:r>
      <w:r>
        <w:rPr>
          <w:spacing w:val="-1"/>
        </w:rPr>
        <w:t> </w:t>
      </w:r>
      <w:r>
        <w:rPr/>
        <w:t>the date on which all of the shares</w:t>
      </w:r>
      <w:r>
        <w:rPr>
          <w:spacing w:val="-12"/>
        </w:rPr>
        <w:t> </w:t>
      </w:r>
      <w:r>
        <w:rPr/>
        <w:t>available</w:t>
      </w:r>
      <w:r>
        <w:rPr>
          <w:spacing w:val="-12"/>
        </w:rPr>
        <w:t> </w:t>
      </w:r>
      <w:r>
        <w:rPr/>
        <w:t>for</w:t>
      </w:r>
      <w:r>
        <w:rPr>
          <w:spacing w:val="-12"/>
        </w:rPr>
        <w:t> </w:t>
      </w:r>
      <w:r>
        <w:rPr/>
        <w:t>issuance</w:t>
      </w:r>
      <w:r>
        <w:rPr>
          <w:spacing w:val="-12"/>
        </w:rPr>
        <w:t> </w:t>
      </w:r>
      <w:r>
        <w:rPr/>
        <w:t>under</w:t>
      </w:r>
      <w:r>
        <w:rPr>
          <w:spacing w:val="-12"/>
        </w:rPr>
        <w:t> </w:t>
      </w:r>
      <w:r>
        <w:rPr/>
        <w:t>the</w:t>
      </w:r>
      <w:r>
        <w:rPr>
          <w:spacing w:val="-12"/>
        </w:rPr>
        <w:t> </w:t>
      </w:r>
      <w:r>
        <w:rPr/>
        <w:t>plan</w:t>
      </w:r>
      <w:r>
        <w:rPr>
          <w:spacing w:val="-12"/>
        </w:rPr>
        <w:t> </w:t>
      </w:r>
      <w:r>
        <w:rPr/>
        <w:t>have</w:t>
      </w:r>
      <w:r>
        <w:rPr>
          <w:spacing w:val="-12"/>
        </w:rPr>
        <w:t> </w:t>
      </w:r>
      <w:r>
        <w:rPr/>
        <w:t>been</w:t>
      </w:r>
      <w:r>
        <w:rPr>
          <w:spacing w:val="-12"/>
        </w:rPr>
        <w:t> </w:t>
      </w:r>
      <w:r>
        <w:rPr/>
        <w:t>issued</w:t>
      </w:r>
      <w:r>
        <w:rPr>
          <w:spacing w:val="-12"/>
        </w:rPr>
        <w:t> </w:t>
      </w:r>
      <w:r>
        <w:rPr/>
        <w:t>and</w:t>
      </w:r>
      <w:r>
        <w:rPr>
          <w:spacing w:val="-12"/>
        </w:rPr>
        <w:t> </w:t>
      </w:r>
      <w:r>
        <w:rPr/>
        <w:t>restrictions</w:t>
      </w:r>
      <w:r>
        <w:rPr>
          <w:spacing w:val="-12"/>
        </w:rPr>
        <w:t> </w:t>
      </w:r>
      <w:r>
        <w:rPr/>
        <w:t>on</w:t>
      </w:r>
      <w:r>
        <w:rPr>
          <w:spacing w:val="-12"/>
        </w:rPr>
        <w:t> </w:t>
      </w:r>
      <w:r>
        <w:rPr/>
        <w:t>issued</w:t>
      </w:r>
      <w:r>
        <w:rPr>
          <w:spacing w:val="-12"/>
        </w:rPr>
        <w:t> </w:t>
      </w:r>
      <w:r>
        <w:rPr/>
        <w:t>shares</w:t>
      </w:r>
      <w:r>
        <w:rPr>
          <w:spacing w:val="-12"/>
        </w:rPr>
        <w:t> </w:t>
      </w:r>
      <w:r>
        <w:rPr/>
        <w:t>have</w:t>
      </w:r>
      <w:r>
        <w:rPr>
          <w:spacing w:val="-12"/>
        </w:rPr>
        <w:t> </w:t>
      </w:r>
      <w:r>
        <w:rPr/>
        <w:t>lapsed.</w:t>
      </w:r>
      <w:r>
        <w:rPr>
          <w:spacing w:val="-12"/>
        </w:rPr>
        <w:t> </w:t>
      </w:r>
      <w:r>
        <w:rPr/>
        <w:t>Option</w:t>
      </w:r>
      <w:r>
        <w:rPr>
          <w:spacing w:val="-12"/>
        </w:rPr>
        <w:t> </w:t>
      </w:r>
      <w:r>
        <w:rPr/>
        <w:t>vesting</w:t>
      </w:r>
      <w:r>
        <w:rPr>
          <w:spacing w:val="-12"/>
        </w:rPr>
        <w:t> </w:t>
      </w:r>
      <w:r>
        <w:rPr/>
        <w:t>periods used in the past were generally four years and expire seven years from the effective date of grant.</w:t>
      </w:r>
    </w:p>
    <w:p>
      <w:pPr>
        <w:pStyle w:val="BodyText"/>
        <w:spacing w:line="249" w:lineRule="auto" w:before="184"/>
        <w:ind w:left="220" w:right="258" w:firstLine="540"/>
        <w:jc w:val="both"/>
      </w:pPr>
      <w:r>
        <w:rPr>
          <w:spacing w:val="-2"/>
        </w:rPr>
        <w:t>We</w:t>
      </w:r>
      <w:r>
        <w:rPr>
          <w:spacing w:val="-10"/>
        </w:rPr>
        <w:t> </w:t>
      </w:r>
      <w:r>
        <w:rPr>
          <w:spacing w:val="-2"/>
        </w:rPr>
        <w:t>eliminated</w:t>
      </w:r>
      <w:r>
        <w:rPr>
          <w:spacing w:val="-10"/>
        </w:rPr>
        <w:t> </w:t>
      </w:r>
      <w:r>
        <w:rPr>
          <w:spacing w:val="-2"/>
        </w:rPr>
        <w:t>the</w:t>
      </w:r>
      <w:r>
        <w:rPr>
          <w:spacing w:val="-10"/>
        </w:rPr>
        <w:t> </w:t>
      </w:r>
      <w:r>
        <w:rPr>
          <w:spacing w:val="-2"/>
        </w:rPr>
        <w:t>use</w:t>
      </w:r>
      <w:r>
        <w:rPr>
          <w:spacing w:val="-10"/>
        </w:rPr>
        <w:t> </w:t>
      </w:r>
      <w:r>
        <w:rPr>
          <w:spacing w:val="-2"/>
        </w:rPr>
        <w:t>of</w:t>
      </w:r>
      <w:r>
        <w:rPr>
          <w:spacing w:val="-10"/>
        </w:rPr>
        <w:t> </w:t>
      </w:r>
      <w:r>
        <w:rPr>
          <w:spacing w:val="-2"/>
        </w:rPr>
        <w:t>stock</w:t>
      </w:r>
      <w:r>
        <w:rPr>
          <w:spacing w:val="-10"/>
        </w:rPr>
        <w:t> </w:t>
      </w:r>
      <w:r>
        <w:rPr>
          <w:spacing w:val="-2"/>
        </w:rPr>
        <w:t>option</w:t>
      </w:r>
      <w:r>
        <w:rPr>
          <w:spacing w:val="-10"/>
        </w:rPr>
        <w:t> </w:t>
      </w:r>
      <w:r>
        <w:rPr>
          <w:spacing w:val="-2"/>
        </w:rPr>
        <w:t>grants</w:t>
      </w:r>
      <w:r>
        <w:rPr>
          <w:spacing w:val="-10"/>
        </w:rPr>
        <w:t> </w:t>
      </w:r>
      <w:r>
        <w:rPr>
          <w:spacing w:val="-2"/>
        </w:rPr>
        <w:t>for</w:t>
      </w:r>
      <w:r>
        <w:rPr>
          <w:spacing w:val="-10"/>
        </w:rPr>
        <w:t> </w:t>
      </w:r>
      <w:r>
        <w:rPr>
          <w:spacing w:val="-2"/>
        </w:rPr>
        <w:t>all</w:t>
      </w:r>
      <w:r>
        <w:rPr>
          <w:spacing w:val="-10"/>
        </w:rPr>
        <w:t> </w:t>
      </w:r>
      <w:r>
        <w:rPr>
          <w:spacing w:val="-2"/>
        </w:rPr>
        <w:t>employees</w:t>
      </w:r>
      <w:r>
        <w:rPr>
          <w:spacing w:val="-10"/>
        </w:rPr>
        <w:t> </w:t>
      </w:r>
      <w:r>
        <w:rPr>
          <w:spacing w:val="-2"/>
        </w:rPr>
        <w:t>effective</w:t>
      </w:r>
      <w:r>
        <w:rPr>
          <w:spacing w:val="-10"/>
        </w:rPr>
        <w:t> </w:t>
      </w:r>
      <w:r>
        <w:rPr>
          <w:spacing w:val="-2"/>
        </w:rPr>
        <w:t>fiscal</w:t>
      </w:r>
      <w:r>
        <w:rPr>
          <w:spacing w:val="-10"/>
        </w:rPr>
        <w:t> </w:t>
      </w:r>
      <w:r>
        <w:rPr>
          <w:spacing w:val="-2"/>
        </w:rPr>
        <w:t>2012,</w:t>
      </w:r>
      <w:r>
        <w:rPr>
          <w:spacing w:val="-10"/>
        </w:rPr>
        <w:t> </w:t>
      </w:r>
      <w:r>
        <w:rPr>
          <w:spacing w:val="-2"/>
        </w:rPr>
        <w:t>and</w:t>
      </w:r>
      <w:r>
        <w:rPr>
          <w:spacing w:val="-10"/>
        </w:rPr>
        <w:t> </w:t>
      </w:r>
      <w:r>
        <w:rPr>
          <w:spacing w:val="-2"/>
        </w:rPr>
        <w:t>for</w:t>
      </w:r>
      <w:r>
        <w:rPr>
          <w:spacing w:val="-10"/>
        </w:rPr>
        <w:t> </w:t>
      </w:r>
      <w:r>
        <w:rPr>
          <w:spacing w:val="-2"/>
        </w:rPr>
        <w:t>all</w:t>
      </w:r>
      <w:r>
        <w:rPr>
          <w:spacing w:val="-10"/>
        </w:rPr>
        <w:t> </w:t>
      </w:r>
      <w:r>
        <w:rPr>
          <w:spacing w:val="-2"/>
        </w:rPr>
        <w:t>of</w:t>
      </w:r>
      <w:r>
        <w:rPr>
          <w:spacing w:val="-10"/>
        </w:rPr>
        <w:t> </w:t>
      </w:r>
      <w:r>
        <w:rPr>
          <w:spacing w:val="-2"/>
        </w:rPr>
        <w:t>the</w:t>
      </w:r>
      <w:r>
        <w:rPr>
          <w:spacing w:val="-10"/>
        </w:rPr>
        <w:t> </w:t>
      </w:r>
      <w:r>
        <w:rPr>
          <w:spacing w:val="-2"/>
        </w:rPr>
        <w:t>non-employee</w:t>
      </w:r>
      <w:r>
        <w:rPr>
          <w:spacing w:val="-10"/>
        </w:rPr>
        <w:t> </w:t>
      </w:r>
      <w:r>
        <w:rPr>
          <w:spacing w:val="-2"/>
        </w:rPr>
        <w:t>directors </w:t>
      </w:r>
      <w:r>
        <w:rPr/>
        <w:t>effective fiscal 2014, but may choose to issue stock options in the future.</w:t>
      </w:r>
    </w:p>
    <w:p>
      <w:pPr>
        <w:spacing w:before="181"/>
        <w:ind w:left="220" w:right="0" w:firstLine="0"/>
        <w:jc w:val="left"/>
        <w:rPr>
          <w:i/>
          <w:sz w:val="20"/>
        </w:rPr>
      </w:pPr>
      <w:r>
        <w:rPr>
          <w:i/>
          <w:sz w:val="20"/>
        </w:rPr>
        <w:t>Performance</w:t>
      </w:r>
      <w:r>
        <w:rPr>
          <w:i/>
          <w:spacing w:val="-6"/>
          <w:sz w:val="20"/>
        </w:rPr>
        <w:t> </w:t>
      </w:r>
      <w:r>
        <w:rPr>
          <w:i/>
          <w:sz w:val="20"/>
        </w:rPr>
        <w:t>Share</w:t>
      </w:r>
      <w:r>
        <w:rPr>
          <w:i/>
          <w:spacing w:val="-5"/>
          <w:sz w:val="20"/>
        </w:rPr>
        <w:t> </w:t>
      </w:r>
      <w:r>
        <w:rPr>
          <w:i/>
          <w:spacing w:val="-2"/>
          <w:sz w:val="20"/>
        </w:rPr>
        <w:t>Programs</w:t>
      </w:r>
    </w:p>
    <w:p>
      <w:pPr>
        <w:pStyle w:val="BodyText"/>
        <w:spacing w:line="249" w:lineRule="auto" w:before="190"/>
        <w:ind w:left="220" w:right="257" w:firstLine="540"/>
        <w:jc w:val="both"/>
      </w:pPr>
      <w:r>
        <w:rPr/>
        <w:t>Our 2017, 2016 and 2015 Performance Share Programs aim to help focus key employees on building stockholder value, provide</w:t>
      </w:r>
      <w:r>
        <w:rPr>
          <w:spacing w:val="-1"/>
        </w:rPr>
        <w:t> </w:t>
      </w:r>
      <w:r>
        <w:rPr/>
        <w:t>significant</w:t>
      </w:r>
      <w:r>
        <w:rPr>
          <w:spacing w:val="-1"/>
        </w:rPr>
        <w:t> </w:t>
      </w:r>
      <w:r>
        <w:rPr/>
        <w:t>award</w:t>
      </w:r>
      <w:r>
        <w:rPr>
          <w:spacing w:val="-1"/>
        </w:rPr>
        <w:t> </w:t>
      </w:r>
      <w:r>
        <w:rPr/>
        <w:t>potential</w:t>
      </w:r>
      <w:r>
        <w:rPr>
          <w:spacing w:val="-2"/>
        </w:rPr>
        <w:t> </w:t>
      </w:r>
      <w:r>
        <w:rPr/>
        <w:t>for</w:t>
      </w:r>
      <w:r>
        <w:rPr>
          <w:spacing w:val="-1"/>
        </w:rPr>
        <w:t> </w:t>
      </w:r>
      <w:r>
        <w:rPr/>
        <w:t>achieving</w:t>
      </w:r>
      <w:r>
        <w:rPr>
          <w:spacing w:val="-1"/>
        </w:rPr>
        <w:t> </w:t>
      </w:r>
      <w:r>
        <w:rPr/>
        <w:t>outstanding</w:t>
      </w:r>
      <w:r>
        <w:rPr>
          <w:spacing w:val="-1"/>
        </w:rPr>
        <w:t> </w:t>
      </w:r>
      <w:r>
        <w:rPr/>
        <w:t>Company</w:t>
      </w:r>
      <w:r>
        <w:rPr>
          <w:spacing w:val="-1"/>
        </w:rPr>
        <w:t> </w:t>
      </w:r>
      <w:r>
        <w:rPr/>
        <w:t>performance</w:t>
      </w:r>
      <w:r>
        <w:rPr>
          <w:spacing w:val="-1"/>
        </w:rPr>
        <w:t> </w:t>
      </w:r>
      <w:r>
        <w:rPr/>
        <w:t>and</w:t>
      </w:r>
      <w:r>
        <w:rPr>
          <w:spacing w:val="-1"/>
        </w:rPr>
        <w:t> </w:t>
      </w:r>
      <w:r>
        <w:rPr/>
        <w:t>enhance</w:t>
      </w:r>
      <w:r>
        <w:rPr>
          <w:spacing w:val="-1"/>
        </w:rPr>
        <w:t> </w:t>
      </w:r>
      <w:r>
        <w:rPr/>
        <w:t>the</w:t>
      </w:r>
      <w:r>
        <w:rPr>
          <w:spacing w:val="-1"/>
        </w:rPr>
        <w:t> </w:t>
      </w:r>
      <w:r>
        <w:rPr/>
        <w:t>ability</w:t>
      </w:r>
      <w:r>
        <w:rPr>
          <w:spacing w:val="-1"/>
        </w:rPr>
        <w:t> </w:t>
      </w:r>
      <w:r>
        <w:rPr/>
        <w:t>of</w:t>
      </w:r>
      <w:r>
        <w:rPr>
          <w:spacing w:val="-1"/>
        </w:rPr>
        <w:t> </w:t>
      </w:r>
      <w:r>
        <w:rPr/>
        <w:t>the</w:t>
      </w:r>
      <w:r>
        <w:rPr>
          <w:spacing w:val="-1"/>
        </w:rPr>
        <w:t> </w:t>
      </w:r>
      <w:r>
        <w:rPr/>
        <w:t>Company</w:t>
      </w:r>
      <w:r>
        <w:rPr>
          <w:spacing w:val="-1"/>
        </w:rPr>
        <w:t> </w:t>
      </w:r>
      <w:r>
        <w:rPr/>
        <w:t>to attract</w:t>
      </w:r>
      <w:r>
        <w:rPr>
          <w:spacing w:val="-2"/>
        </w:rPr>
        <w:t> </w:t>
      </w:r>
      <w:r>
        <w:rPr/>
        <w:t>and</w:t>
      </w:r>
      <w:r>
        <w:rPr>
          <w:spacing w:val="-2"/>
        </w:rPr>
        <w:t> </w:t>
      </w:r>
      <w:r>
        <w:rPr/>
        <w:t>retain</w:t>
      </w:r>
      <w:r>
        <w:rPr>
          <w:spacing w:val="-2"/>
        </w:rPr>
        <w:t> </w:t>
      </w:r>
      <w:r>
        <w:rPr/>
        <w:t>highly</w:t>
      </w:r>
      <w:r>
        <w:rPr>
          <w:spacing w:val="-2"/>
        </w:rPr>
        <w:t> </w:t>
      </w:r>
      <w:r>
        <w:rPr/>
        <w:t>talented</w:t>
      </w:r>
      <w:r>
        <w:rPr>
          <w:spacing w:val="-2"/>
        </w:rPr>
        <w:t> </w:t>
      </w:r>
      <w:r>
        <w:rPr/>
        <w:t>and</w:t>
      </w:r>
      <w:r>
        <w:rPr>
          <w:spacing w:val="-2"/>
        </w:rPr>
        <w:t> </w:t>
      </w:r>
      <w:r>
        <w:rPr/>
        <w:t>competent</w:t>
      </w:r>
      <w:r>
        <w:rPr>
          <w:spacing w:val="-2"/>
        </w:rPr>
        <w:t> </w:t>
      </w:r>
      <w:r>
        <w:rPr/>
        <w:t>individuals.</w:t>
      </w:r>
      <w:r>
        <w:rPr>
          <w:spacing w:val="-6"/>
        </w:rPr>
        <w:t> </w:t>
      </w:r>
      <w:r>
        <w:rPr/>
        <w:t>The</w:t>
      </w:r>
      <w:r>
        <w:rPr>
          <w:spacing w:val="-2"/>
        </w:rPr>
        <w:t> </w:t>
      </w:r>
      <w:r>
        <w:rPr/>
        <w:t>Executive</w:t>
      </w:r>
      <w:r>
        <w:rPr>
          <w:spacing w:val="-2"/>
        </w:rPr>
        <w:t> </w:t>
      </w:r>
      <w:r>
        <w:rPr/>
        <w:t>Compensation</w:t>
      </w:r>
      <w:r>
        <w:rPr>
          <w:spacing w:val="-2"/>
        </w:rPr>
        <w:t> </w:t>
      </w:r>
      <w:r>
        <w:rPr/>
        <w:t>Committee</w:t>
      </w:r>
      <w:r>
        <w:rPr>
          <w:spacing w:val="-2"/>
        </w:rPr>
        <w:t> </w:t>
      </w:r>
      <w:r>
        <w:rPr/>
        <w:t>of</w:t>
      </w:r>
      <w:r>
        <w:rPr>
          <w:spacing w:val="-2"/>
        </w:rPr>
        <w:t> </w:t>
      </w:r>
      <w:r>
        <w:rPr/>
        <w:t>our</w:t>
      </w:r>
      <w:r>
        <w:rPr>
          <w:spacing w:val="-2"/>
        </w:rPr>
        <w:t> </w:t>
      </w:r>
      <w:r>
        <w:rPr/>
        <w:t>Board</w:t>
      </w:r>
      <w:r>
        <w:rPr>
          <w:spacing w:val="-2"/>
        </w:rPr>
        <w:t> </w:t>
      </w:r>
      <w:r>
        <w:rPr/>
        <w:t>of</w:t>
      </w:r>
      <w:r>
        <w:rPr>
          <w:spacing w:val="-2"/>
        </w:rPr>
        <w:t> </w:t>
      </w:r>
      <w:r>
        <w:rPr/>
        <w:t>Directors approves</w:t>
      </w:r>
      <w:r>
        <w:rPr>
          <w:spacing w:val="-9"/>
        </w:rPr>
        <w:t> </w:t>
      </w:r>
      <w:r>
        <w:rPr/>
        <w:t>the</w:t>
      </w:r>
      <w:r>
        <w:rPr>
          <w:spacing w:val="-9"/>
        </w:rPr>
        <w:t> </w:t>
      </w:r>
      <w:r>
        <w:rPr/>
        <w:t>terms</w:t>
      </w:r>
      <w:r>
        <w:rPr>
          <w:spacing w:val="-9"/>
        </w:rPr>
        <w:t> </w:t>
      </w:r>
      <w:r>
        <w:rPr/>
        <w:t>of</w:t>
      </w:r>
      <w:r>
        <w:rPr>
          <w:spacing w:val="-9"/>
        </w:rPr>
        <w:t> </w:t>
      </w:r>
      <w:r>
        <w:rPr/>
        <w:t>each</w:t>
      </w:r>
      <w:r>
        <w:rPr>
          <w:spacing w:val="-9"/>
        </w:rPr>
        <w:t> </w:t>
      </w:r>
      <w:r>
        <w:rPr/>
        <w:t>of</w:t>
      </w:r>
      <w:r>
        <w:rPr>
          <w:spacing w:val="-9"/>
        </w:rPr>
        <w:t> </w:t>
      </w:r>
      <w:r>
        <w:rPr/>
        <w:t>our</w:t>
      </w:r>
      <w:r>
        <w:rPr>
          <w:spacing w:val="-9"/>
        </w:rPr>
        <w:t> </w:t>
      </w:r>
      <w:r>
        <w:rPr/>
        <w:t>Performance</w:t>
      </w:r>
      <w:r>
        <w:rPr>
          <w:spacing w:val="-9"/>
        </w:rPr>
        <w:t> </w:t>
      </w:r>
      <w:r>
        <w:rPr/>
        <w:t>Share</w:t>
      </w:r>
      <w:r>
        <w:rPr>
          <w:spacing w:val="-9"/>
        </w:rPr>
        <w:t> </w:t>
      </w:r>
      <w:r>
        <w:rPr/>
        <w:t>Programs,</w:t>
      </w:r>
      <w:r>
        <w:rPr>
          <w:spacing w:val="-9"/>
        </w:rPr>
        <w:t> </w:t>
      </w:r>
      <w:r>
        <w:rPr/>
        <w:t>including</w:t>
      </w:r>
      <w:r>
        <w:rPr>
          <w:spacing w:val="-9"/>
        </w:rPr>
        <w:t> </w:t>
      </w:r>
      <w:r>
        <w:rPr/>
        <w:t>the</w:t>
      </w:r>
      <w:r>
        <w:rPr>
          <w:spacing w:val="-9"/>
        </w:rPr>
        <w:t> </w:t>
      </w:r>
      <w:r>
        <w:rPr/>
        <w:t>award</w:t>
      </w:r>
      <w:r>
        <w:rPr>
          <w:spacing w:val="-9"/>
        </w:rPr>
        <w:t> </w:t>
      </w:r>
      <w:r>
        <w:rPr/>
        <w:t>calculation</w:t>
      </w:r>
      <w:r>
        <w:rPr>
          <w:spacing w:val="-9"/>
        </w:rPr>
        <w:t> </w:t>
      </w:r>
      <w:r>
        <w:rPr/>
        <w:t>methodology,</w:t>
      </w:r>
      <w:r>
        <w:rPr>
          <w:spacing w:val="-9"/>
        </w:rPr>
        <w:t> </w:t>
      </w:r>
      <w:r>
        <w:rPr/>
        <w:t>under</w:t>
      </w:r>
      <w:r>
        <w:rPr>
          <w:spacing w:val="-9"/>
        </w:rPr>
        <w:t> </w:t>
      </w:r>
      <w:r>
        <w:rPr/>
        <w:t>the</w:t>
      </w:r>
      <w:r>
        <w:rPr>
          <w:spacing w:val="-9"/>
        </w:rPr>
        <w:t> </w:t>
      </w:r>
      <w:r>
        <w:rPr/>
        <w:t>terms</w:t>
      </w:r>
      <w:r>
        <w:rPr>
          <w:spacing w:val="-9"/>
        </w:rPr>
        <w:t> </w:t>
      </w:r>
      <w:r>
        <w:rPr/>
        <w:t>of our</w:t>
      </w:r>
      <w:r>
        <w:rPr>
          <w:spacing w:val="-3"/>
        </w:rPr>
        <w:t> </w:t>
      </w:r>
      <w:r>
        <w:rPr/>
        <w:t>2003</w:t>
      </w:r>
      <w:r>
        <w:rPr>
          <w:spacing w:val="-3"/>
        </w:rPr>
        <w:t> </w:t>
      </w:r>
      <w:r>
        <w:rPr/>
        <w:t>Plan.</w:t>
      </w:r>
      <w:r>
        <w:rPr>
          <w:spacing w:val="-3"/>
        </w:rPr>
        <w:t> </w:t>
      </w:r>
      <w:r>
        <w:rPr/>
        <w:t>Shares</w:t>
      </w:r>
      <w:r>
        <w:rPr>
          <w:spacing w:val="-3"/>
        </w:rPr>
        <w:t> </w:t>
      </w:r>
      <w:r>
        <w:rPr/>
        <w:t>may</w:t>
      </w:r>
      <w:r>
        <w:rPr>
          <w:spacing w:val="-3"/>
        </w:rPr>
        <w:t> </w:t>
      </w:r>
      <w:r>
        <w:rPr/>
        <w:t>be</w:t>
      </w:r>
      <w:r>
        <w:rPr>
          <w:spacing w:val="-3"/>
        </w:rPr>
        <w:t> </w:t>
      </w:r>
      <w:r>
        <w:rPr/>
        <w:t>earned</w:t>
      </w:r>
      <w:r>
        <w:rPr>
          <w:spacing w:val="-3"/>
        </w:rPr>
        <w:t> </w:t>
      </w:r>
      <w:r>
        <w:rPr/>
        <w:t>based</w:t>
      </w:r>
      <w:r>
        <w:rPr>
          <w:spacing w:val="-3"/>
        </w:rPr>
        <w:t> </w:t>
      </w:r>
      <w:r>
        <w:rPr/>
        <w:t>on</w:t>
      </w:r>
      <w:r>
        <w:rPr>
          <w:spacing w:val="-3"/>
        </w:rPr>
        <w:t> </w:t>
      </w:r>
      <w:r>
        <w:rPr/>
        <w:t>the</w:t>
      </w:r>
      <w:r>
        <w:rPr>
          <w:spacing w:val="-3"/>
        </w:rPr>
        <w:t> </w:t>
      </w:r>
      <w:r>
        <w:rPr/>
        <w:t>achievement</w:t>
      </w:r>
      <w:r>
        <w:rPr>
          <w:spacing w:val="-3"/>
        </w:rPr>
        <w:t> </w:t>
      </w:r>
      <w:r>
        <w:rPr/>
        <w:t>of</w:t>
      </w:r>
      <w:r>
        <w:rPr>
          <w:spacing w:val="-3"/>
        </w:rPr>
        <w:t> </w:t>
      </w:r>
      <w:r>
        <w:rPr/>
        <w:t>an</w:t>
      </w:r>
      <w:r>
        <w:rPr>
          <w:spacing w:val="-3"/>
        </w:rPr>
        <w:t> </w:t>
      </w:r>
      <w:r>
        <w:rPr/>
        <w:t>objective</w:t>
      </w:r>
      <w:r>
        <w:rPr>
          <w:spacing w:val="-3"/>
        </w:rPr>
        <w:t> </w:t>
      </w:r>
      <w:r>
        <w:rPr/>
        <w:t>relative</w:t>
      </w:r>
      <w:r>
        <w:rPr>
          <w:spacing w:val="-3"/>
        </w:rPr>
        <w:t> </w:t>
      </w:r>
      <w:r>
        <w:rPr/>
        <w:t>total</w:t>
      </w:r>
      <w:r>
        <w:rPr>
          <w:spacing w:val="-3"/>
        </w:rPr>
        <w:t> </w:t>
      </w:r>
      <w:r>
        <w:rPr/>
        <w:t>stockholder</w:t>
      </w:r>
      <w:r>
        <w:rPr>
          <w:spacing w:val="-3"/>
        </w:rPr>
        <w:t> </w:t>
      </w:r>
      <w:r>
        <w:rPr/>
        <w:t>return</w:t>
      </w:r>
      <w:r>
        <w:rPr>
          <w:spacing w:val="-3"/>
        </w:rPr>
        <w:t> </w:t>
      </w:r>
      <w:r>
        <w:rPr/>
        <w:t>measured</w:t>
      </w:r>
      <w:r>
        <w:rPr>
          <w:spacing w:val="-3"/>
        </w:rPr>
        <w:t> </w:t>
      </w:r>
      <w:r>
        <w:rPr/>
        <w:t>over</w:t>
      </w:r>
      <w:r>
        <w:rPr>
          <w:spacing w:val="-3"/>
        </w:rPr>
        <w:t> </w:t>
      </w:r>
      <w:r>
        <w:rPr/>
        <w:t>a three-year performance period. Performance share awards will be awarded and fully vest upon the later of the Executive Compensation Committee's certification of the level of achievement or the three-year anniversary of each grant. Program participants generally have the ability to receive up to 200% of the target number of shares originally granted.</w:t>
      </w:r>
    </w:p>
    <w:p>
      <w:pPr>
        <w:pStyle w:val="BodyText"/>
        <w:spacing w:line="249" w:lineRule="auto" w:before="187"/>
        <w:ind w:left="220" w:right="257" w:firstLine="540"/>
        <w:jc w:val="both"/>
      </w:pPr>
      <w:r>
        <w:rPr/>
        <w:t>On</w:t>
      </w:r>
      <w:r>
        <w:rPr>
          <w:spacing w:val="-3"/>
        </w:rPr>
        <w:t> </w:t>
      </w:r>
      <w:r>
        <w:rPr/>
        <w:t>January</w:t>
      </w:r>
      <w:r>
        <w:rPr>
          <w:spacing w:val="-3"/>
        </w:rPr>
        <w:t> </w:t>
      </w:r>
      <w:r>
        <w:rPr/>
        <w:t>24,</w:t>
      </w:r>
      <w:r>
        <w:rPr>
          <w:spacing w:val="-3"/>
        </w:rPr>
        <w:t> </w:t>
      </w:r>
      <w:r>
        <w:rPr/>
        <w:t>2017,</w:t>
      </w:r>
      <w:r>
        <w:rPr>
          <w:spacing w:val="-3"/>
        </w:rPr>
        <w:t> </w:t>
      </w:r>
      <w:r>
        <w:rPr/>
        <w:t>the</w:t>
      </w:r>
      <w:r>
        <w:rPr>
          <w:spacing w:val="-3"/>
        </w:rPr>
        <w:t> </w:t>
      </w:r>
      <w:r>
        <w:rPr/>
        <w:t>Executive</w:t>
      </w:r>
      <w:r>
        <w:rPr>
          <w:spacing w:val="-4"/>
        </w:rPr>
        <w:t> </w:t>
      </w:r>
      <w:r>
        <w:rPr/>
        <w:t>Compensation</w:t>
      </w:r>
      <w:r>
        <w:rPr>
          <w:spacing w:val="-3"/>
        </w:rPr>
        <w:t> </w:t>
      </w:r>
      <w:r>
        <w:rPr/>
        <w:t>Committee</w:t>
      </w:r>
      <w:r>
        <w:rPr>
          <w:spacing w:val="-4"/>
        </w:rPr>
        <w:t> </w:t>
      </w:r>
      <w:r>
        <w:rPr/>
        <w:t>approved</w:t>
      </w:r>
      <w:r>
        <w:rPr>
          <w:spacing w:val="-3"/>
        </w:rPr>
        <w:t> </w:t>
      </w:r>
      <w:r>
        <w:rPr/>
        <w:t>the</w:t>
      </w:r>
      <w:r>
        <w:rPr>
          <w:spacing w:val="-3"/>
        </w:rPr>
        <w:t> </w:t>
      </w:r>
      <w:r>
        <w:rPr/>
        <w:t>2017</w:t>
      </w:r>
      <w:r>
        <w:rPr>
          <w:spacing w:val="-3"/>
        </w:rPr>
        <w:t> </w:t>
      </w:r>
      <w:r>
        <w:rPr/>
        <w:t>Performance</w:t>
      </w:r>
      <w:r>
        <w:rPr>
          <w:spacing w:val="-4"/>
        </w:rPr>
        <w:t> </w:t>
      </w:r>
      <w:r>
        <w:rPr/>
        <w:t>Share</w:t>
      </w:r>
      <w:r>
        <w:rPr>
          <w:spacing w:val="-3"/>
        </w:rPr>
        <w:t> </w:t>
      </w:r>
      <w:r>
        <w:rPr/>
        <w:t>Program,</w:t>
      </w:r>
      <w:r>
        <w:rPr>
          <w:spacing w:val="-3"/>
        </w:rPr>
        <w:t> </w:t>
      </w:r>
      <w:r>
        <w:rPr/>
        <w:t>the</w:t>
      </w:r>
      <w:r>
        <w:rPr>
          <w:spacing w:val="-3"/>
        </w:rPr>
        <w:t> </w:t>
      </w:r>
      <w:r>
        <w:rPr/>
        <w:t>terms of</w:t>
      </w:r>
      <w:r>
        <w:rPr>
          <w:spacing w:val="-1"/>
        </w:rPr>
        <w:t> </w:t>
      </w:r>
      <w:r>
        <w:rPr/>
        <w:t>which</w:t>
      </w:r>
      <w:r>
        <w:rPr>
          <w:spacing w:val="-1"/>
        </w:rPr>
        <w:t> </w:t>
      </w:r>
      <w:r>
        <w:rPr/>
        <w:t>are</w:t>
      </w:r>
      <w:r>
        <w:rPr>
          <w:spacing w:val="-1"/>
        </w:rPr>
        <w:t> </w:t>
      </w:r>
      <w:r>
        <w:rPr/>
        <w:t>similar</w:t>
      </w:r>
      <w:r>
        <w:rPr>
          <w:spacing w:val="-1"/>
        </w:rPr>
        <w:t> </w:t>
      </w:r>
      <w:r>
        <w:rPr/>
        <w:t>to</w:t>
      </w:r>
      <w:r>
        <w:rPr>
          <w:spacing w:val="-1"/>
        </w:rPr>
        <w:t> </w:t>
      </w:r>
      <w:r>
        <w:rPr/>
        <w:t>prior</w:t>
      </w:r>
      <w:r>
        <w:rPr>
          <w:spacing w:val="-1"/>
        </w:rPr>
        <w:t> </w:t>
      </w:r>
      <w:r>
        <w:rPr/>
        <w:t>year</w:t>
      </w:r>
      <w:r>
        <w:rPr>
          <w:spacing w:val="-1"/>
        </w:rPr>
        <w:t> </w:t>
      </w:r>
      <w:r>
        <w:rPr/>
        <w:t>performance</w:t>
      </w:r>
      <w:r>
        <w:rPr>
          <w:spacing w:val="-1"/>
        </w:rPr>
        <w:t> </w:t>
      </w:r>
      <w:r>
        <w:rPr/>
        <w:t>share</w:t>
      </w:r>
      <w:r>
        <w:rPr>
          <w:spacing w:val="-1"/>
        </w:rPr>
        <w:t> </w:t>
      </w:r>
      <w:r>
        <w:rPr/>
        <w:t>programs</w:t>
      </w:r>
      <w:r>
        <w:rPr>
          <w:spacing w:val="-1"/>
        </w:rPr>
        <w:t> </w:t>
      </w:r>
      <w:r>
        <w:rPr/>
        <w:t>as</w:t>
      </w:r>
      <w:r>
        <w:rPr>
          <w:spacing w:val="-1"/>
        </w:rPr>
        <w:t> </w:t>
      </w:r>
      <w:r>
        <w:rPr/>
        <w:t>discussed</w:t>
      </w:r>
      <w:r>
        <w:rPr>
          <w:spacing w:val="-1"/>
        </w:rPr>
        <w:t> </w:t>
      </w:r>
      <w:r>
        <w:rPr/>
        <w:t>above.</w:t>
      </w:r>
      <w:r>
        <w:rPr>
          <w:spacing w:val="-12"/>
        </w:rPr>
        <w:t> </w:t>
      </w:r>
      <w:r>
        <w:rPr/>
        <w:t>As</w:t>
      </w:r>
      <w:r>
        <w:rPr>
          <w:spacing w:val="-1"/>
        </w:rPr>
        <w:t> </w:t>
      </w:r>
      <w:r>
        <w:rPr/>
        <w:t>of</w:t>
      </w:r>
      <w:r>
        <w:rPr>
          <w:spacing w:val="-1"/>
        </w:rPr>
        <w:t> </w:t>
      </w:r>
      <w:r>
        <w:rPr/>
        <w:t>December</w:t>
      </w:r>
      <w:r>
        <w:rPr>
          <w:spacing w:val="-2"/>
        </w:rPr>
        <w:t> </w:t>
      </w:r>
      <w:r>
        <w:rPr/>
        <w:t>1,</w:t>
      </w:r>
      <w:r>
        <w:rPr>
          <w:spacing w:val="-1"/>
        </w:rPr>
        <w:t> </w:t>
      </w:r>
      <w:r>
        <w:rPr/>
        <w:t>2017,</w:t>
      </w:r>
      <w:r>
        <w:rPr>
          <w:spacing w:val="-1"/>
        </w:rPr>
        <w:t> </w:t>
      </w:r>
      <w:r>
        <w:rPr/>
        <w:t>the</w:t>
      </w:r>
      <w:r>
        <w:rPr>
          <w:spacing w:val="-1"/>
        </w:rPr>
        <w:t> </w:t>
      </w:r>
      <w:r>
        <w:rPr/>
        <w:t>shares</w:t>
      </w:r>
      <w:r>
        <w:rPr>
          <w:spacing w:val="-1"/>
        </w:rPr>
        <w:t> </w:t>
      </w:r>
      <w:r>
        <w:rPr/>
        <w:t>awarded under our 2017, 2016 and 2015 Performance Share Programs are yet to be achieved.</w:t>
      </w:r>
    </w:p>
    <w:p>
      <w:pPr>
        <w:pStyle w:val="BodyText"/>
        <w:spacing w:before="12"/>
      </w:pPr>
    </w:p>
    <w:p>
      <w:pPr>
        <w:spacing w:before="0"/>
        <w:ind w:left="220" w:right="0" w:firstLine="0"/>
        <w:jc w:val="left"/>
        <w:rPr>
          <w:i/>
          <w:sz w:val="20"/>
        </w:rPr>
      </w:pPr>
      <w:r>
        <w:rPr>
          <w:i/>
          <w:sz w:val="20"/>
        </w:rPr>
        <w:t>Issuance</w:t>
      </w:r>
      <w:r>
        <w:rPr>
          <w:i/>
          <w:spacing w:val="-1"/>
          <w:sz w:val="20"/>
        </w:rPr>
        <w:t> </w:t>
      </w:r>
      <w:r>
        <w:rPr>
          <w:i/>
          <w:sz w:val="20"/>
        </w:rPr>
        <w:t>of </w:t>
      </w:r>
      <w:r>
        <w:rPr>
          <w:i/>
          <w:spacing w:val="-2"/>
          <w:sz w:val="20"/>
        </w:rPr>
        <w:t>Shares</w:t>
      </w:r>
    </w:p>
    <w:p>
      <w:pPr>
        <w:pStyle w:val="BodyText"/>
        <w:spacing w:line="249" w:lineRule="auto" w:before="190"/>
        <w:ind w:left="220" w:right="257" w:firstLine="540"/>
        <w:jc w:val="both"/>
        <w:rPr>
          <w:i/>
        </w:rPr>
      </w:pPr>
      <w:r>
        <w:rPr/>
        <w:t>Upon</w:t>
      </w:r>
      <w:r>
        <w:rPr>
          <w:spacing w:val="-9"/>
        </w:rPr>
        <w:t> </w:t>
      </w:r>
      <w:r>
        <w:rPr/>
        <w:t>exercise</w:t>
      </w:r>
      <w:r>
        <w:rPr>
          <w:spacing w:val="-9"/>
        </w:rPr>
        <w:t> </w:t>
      </w:r>
      <w:r>
        <w:rPr/>
        <w:t>of</w:t>
      </w:r>
      <w:r>
        <w:rPr>
          <w:spacing w:val="-9"/>
        </w:rPr>
        <w:t> </w:t>
      </w:r>
      <w:r>
        <w:rPr/>
        <w:t>stock</w:t>
      </w:r>
      <w:r>
        <w:rPr>
          <w:spacing w:val="-9"/>
        </w:rPr>
        <w:t> </w:t>
      </w:r>
      <w:r>
        <w:rPr/>
        <w:t>options,</w:t>
      </w:r>
      <w:r>
        <w:rPr>
          <w:spacing w:val="-9"/>
        </w:rPr>
        <w:t> </w:t>
      </w:r>
      <w:r>
        <w:rPr/>
        <w:t>vesting</w:t>
      </w:r>
      <w:r>
        <w:rPr>
          <w:spacing w:val="-9"/>
        </w:rPr>
        <w:t> </w:t>
      </w:r>
      <w:r>
        <w:rPr/>
        <w:t>of</w:t>
      </w:r>
      <w:r>
        <w:rPr>
          <w:spacing w:val="-9"/>
        </w:rPr>
        <w:t> </w:t>
      </w:r>
      <w:r>
        <w:rPr/>
        <w:t>restricted</w:t>
      </w:r>
      <w:r>
        <w:rPr>
          <w:spacing w:val="-9"/>
        </w:rPr>
        <w:t> </w:t>
      </w:r>
      <w:r>
        <w:rPr/>
        <w:t>stock</w:t>
      </w:r>
      <w:r>
        <w:rPr>
          <w:spacing w:val="-9"/>
        </w:rPr>
        <w:t> </w:t>
      </w:r>
      <w:r>
        <w:rPr/>
        <w:t>units</w:t>
      </w:r>
      <w:r>
        <w:rPr>
          <w:spacing w:val="-9"/>
        </w:rPr>
        <w:t> </w:t>
      </w:r>
      <w:r>
        <w:rPr/>
        <w:t>and</w:t>
      </w:r>
      <w:r>
        <w:rPr>
          <w:spacing w:val="-9"/>
        </w:rPr>
        <w:t> </w:t>
      </w:r>
      <w:r>
        <w:rPr/>
        <w:t>performance</w:t>
      </w:r>
      <w:r>
        <w:rPr>
          <w:spacing w:val="-9"/>
        </w:rPr>
        <w:t> </w:t>
      </w:r>
      <w:r>
        <w:rPr/>
        <w:t>shares,</w:t>
      </w:r>
      <w:r>
        <w:rPr>
          <w:spacing w:val="-9"/>
        </w:rPr>
        <w:t> </w:t>
      </w:r>
      <w:r>
        <w:rPr/>
        <w:t>and</w:t>
      </w:r>
      <w:r>
        <w:rPr>
          <w:spacing w:val="-9"/>
        </w:rPr>
        <w:t> </w:t>
      </w:r>
      <w:r>
        <w:rPr/>
        <w:t>purchases</w:t>
      </w:r>
      <w:r>
        <w:rPr>
          <w:spacing w:val="-9"/>
        </w:rPr>
        <w:t> </w:t>
      </w:r>
      <w:r>
        <w:rPr/>
        <w:t>of</w:t>
      </w:r>
      <w:r>
        <w:rPr>
          <w:spacing w:val="-9"/>
        </w:rPr>
        <w:t> </w:t>
      </w:r>
      <w:r>
        <w:rPr/>
        <w:t>shares</w:t>
      </w:r>
      <w:r>
        <w:rPr>
          <w:spacing w:val="-9"/>
        </w:rPr>
        <w:t> </w:t>
      </w:r>
      <w:r>
        <w:rPr/>
        <w:t>under</w:t>
      </w:r>
      <w:r>
        <w:rPr>
          <w:spacing w:val="-9"/>
        </w:rPr>
        <w:t> </w:t>
      </w:r>
      <w:r>
        <w:rPr/>
        <w:t>the ESPP,</w:t>
      </w:r>
      <w:r>
        <w:rPr>
          <w:spacing w:val="-13"/>
        </w:rPr>
        <w:t> </w:t>
      </w:r>
      <w:r>
        <w:rPr/>
        <w:t>we</w:t>
      </w:r>
      <w:r>
        <w:rPr>
          <w:spacing w:val="-12"/>
        </w:rPr>
        <w:t> </w:t>
      </w:r>
      <w:r>
        <w:rPr/>
        <w:t>will</w:t>
      </w:r>
      <w:r>
        <w:rPr>
          <w:spacing w:val="-13"/>
        </w:rPr>
        <w:t> </w:t>
      </w:r>
      <w:r>
        <w:rPr/>
        <w:t>issue</w:t>
      </w:r>
      <w:r>
        <w:rPr>
          <w:spacing w:val="-12"/>
        </w:rPr>
        <w:t> </w:t>
      </w:r>
      <w:r>
        <w:rPr/>
        <w:t>treasury</w:t>
      </w:r>
      <w:r>
        <w:rPr>
          <w:spacing w:val="-13"/>
        </w:rPr>
        <w:t> </w:t>
      </w:r>
      <w:r>
        <w:rPr/>
        <w:t>stock.</w:t>
      </w:r>
      <w:r>
        <w:rPr>
          <w:spacing w:val="-12"/>
        </w:rPr>
        <w:t> </w:t>
      </w:r>
      <w:r>
        <w:rPr/>
        <w:t>If</w:t>
      </w:r>
      <w:r>
        <w:rPr>
          <w:spacing w:val="-13"/>
        </w:rPr>
        <w:t> </w:t>
      </w:r>
      <w:r>
        <w:rPr/>
        <w:t>treasury</w:t>
      </w:r>
      <w:r>
        <w:rPr>
          <w:spacing w:val="-12"/>
        </w:rPr>
        <w:t> </w:t>
      </w:r>
      <w:r>
        <w:rPr/>
        <w:t>stock</w:t>
      </w:r>
      <w:r>
        <w:rPr>
          <w:spacing w:val="-13"/>
        </w:rPr>
        <w:t> </w:t>
      </w:r>
      <w:r>
        <w:rPr/>
        <w:t>is</w:t>
      </w:r>
      <w:r>
        <w:rPr>
          <w:spacing w:val="-12"/>
        </w:rPr>
        <w:t> </w:t>
      </w:r>
      <w:r>
        <w:rPr/>
        <w:t>not</w:t>
      </w:r>
      <w:r>
        <w:rPr>
          <w:spacing w:val="-13"/>
        </w:rPr>
        <w:t> </w:t>
      </w:r>
      <w:r>
        <w:rPr/>
        <w:t>available,</w:t>
      </w:r>
      <w:r>
        <w:rPr>
          <w:spacing w:val="-12"/>
        </w:rPr>
        <w:t> </w:t>
      </w:r>
      <w:r>
        <w:rPr/>
        <w:t>common</w:t>
      </w:r>
      <w:r>
        <w:rPr>
          <w:spacing w:val="-13"/>
        </w:rPr>
        <w:t> </w:t>
      </w:r>
      <w:r>
        <w:rPr/>
        <w:t>stock</w:t>
      </w:r>
      <w:r>
        <w:rPr>
          <w:spacing w:val="-12"/>
        </w:rPr>
        <w:t> </w:t>
      </w:r>
      <w:r>
        <w:rPr/>
        <w:t>will</w:t>
      </w:r>
      <w:r>
        <w:rPr>
          <w:spacing w:val="-13"/>
        </w:rPr>
        <w:t> </w:t>
      </w:r>
      <w:r>
        <w:rPr/>
        <w:t>be</w:t>
      </w:r>
      <w:r>
        <w:rPr>
          <w:spacing w:val="-12"/>
        </w:rPr>
        <w:t> </w:t>
      </w:r>
      <w:r>
        <w:rPr/>
        <w:t>issued.</w:t>
      </w:r>
      <w:r>
        <w:rPr>
          <w:spacing w:val="-13"/>
        </w:rPr>
        <w:t> </w:t>
      </w:r>
      <w:r>
        <w:rPr/>
        <w:t>In</w:t>
      </w:r>
      <w:r>
        <w:rPr>
          <w:spacing w:val="-12"/>
        </w:rPr>
        <w:t> </w:t>
      </w:r>
      <w:r>
        <w:rPr/>
        <w:t>order</w:t>
      </w:r>
      <w:r>
        <w:rPr>
          <w:spacing w:val="-13"/>
        </w:rPr>
        <w:t> </w:t>
      </w:r>
      <w:r>
        <w:rPr/>
        <w:t>to</w:t>
      </w:r>
      <w:r>
        <w:rPr>
          <w:spacing w:val="-12"/>
        </w:rPr>
        <w:t> </w:t>
      </w:r>
      <w:r>
        <w:rPr/>
        <w:t>minimize</w:t>
      </w:r>
      <w:r>
        <w:rPr>
          <w:spacing w:val="-13"/>
        </w:rPr>
        <w:t> </w:t>
      </w:r>
      <w:r>
        <w:rPr/>
        <w:t>the</w:t>
      </w:r>
      <w:r>
        <w:rPr>
          <w:spacing w:val="-12"/>
        </w:rPr>
        <w:t> </w:t>
      </w:r>
      <w:r>
        <w:rPr/>
        <w:t>impact of</w:t>
      </w:r>
      <w:r>
        <w:rPr>
          <w:spacing w:val="-4"/>
        </w:rPr>
        <w:t> </w:t>
      </w:r>
      <w:r>
        <w:rPr/>
        <w:t>on-going</w:t>
      </w:r>
      <w:r>
        <w:rPr>
          <w:spacing w:val="-4"/>
        </w:rPr>
        <w:t> </w:t>
      </w:r>
      <w:r>
        <w:rPr/>
        <w:t>dilution</w:t>
      </w:r>
      <w:r>
        <w:rPr>
          <w:spacing w:val="-4"/>
        </w:rPr>
        <w:t> </w:t>
      </w:r>
      <w:r>
        <w:rPr/>
        <w:t>from</w:t>
      </w:r>
      <w:r>
        <w:rPr>
          <w:spacing w:val="-4"/>
        </w:rPr>
        <w:t> </w:t>
      </w:r>
      <w:r>
        <w:rPr/>
        <w:t>exercises</w:t>
      </w:r>
      <w:r>
        <w:rPr>
          <w:spacing w:val="-4"/>
        </w:rPr>
        <w:t> </w:t>
      </w:r>
      <w:r>
        <w:rPr/>
        <w:t>of</w:t>
      </w:r>
      <w:r>
        <w:rPr>
          <w:spacing w:val="-4"/>
        </w:rPr>
        <w:t> </w:t>
      </w:r>
      <w:r>
        <w:rPr/>
        <w:t>stock</w:t>
      </w:r>
      <w:r>
        <w:rPr>
          <w:spacing w:val="-4"/>
        </w:rPr>
        <w:t> </w:t>
      </w:r>
      <w:r>
        <w:rPr/>
        <w:t>options</w:t>
      </w:r>
      <w:r>
        <w:rPr>
          <w:spacing w:val="-4"/>
        </w:rPr>
        <w:t> </w:t>
      </w:r>
      <w:r>
        <w:rPr/>
        <w:t>and</w:t>
      </w:r>
      <w:r>
        <w:rPr>
          <w:spacing w:val="-4"/>
        </w:rPr>
        <w:t> </w:t>
      </w:r>
      <w:r>
        <w:rPr/>
        <w:t>vesting</w:t>
      </w:r>
      <w:r>
        <w:rPr>
          <w:spacing w:val="-4"/>
        </w:rPr>
        <w:t> </w:t>
      </w:r>
      <w:r>
        <w:rPr/>
        <w:t>of</w:t>
      </w:r>
      <w:r>
        <w:rPr>
          <w:spacing w:val="-4"/>
        </w:rPr>
        <w:t> </w:t>
      </w:r>
      <w:r>
        <w:rPr/>
        <w:t>restricted</w:t>
      </w:r>
      <w:r>
        <w:rPr>
          <w:spacing w:val="-4"/>
        </w:rPr>
        <w:t> </w:t>
      </w:r>
      <w:r>
        <w:rPr/>
        <w:t>stock</w:t>
      </w:r>
      <w:r>
        <w:rPr>
          <w:spacing w:val="-4"/>
        </w:rPr>
        <w:t> </w:t>
      </w:r>
      <w:r>
        <w:rPr/>
        <w:t>units</w:t>
      </w:r>
      <w:r>
        <w:rPr>
          <w:spacing w:val="-4"/>
        </w:rPr>
        <w:t> </w:t>
      </w:r>
      <w:r>
        <w:rPr/>
        <w:t>and</w:t>
      </w:r>
      <w:r>
        <w:rPr>
          <w:spacing w:val="-4"/>
        </w:rPr>
        <w:t> </w:t>
      </w:r>
      <w:r>
        <w:rPr/>
        <w:t>performance</w:t>
      </w:r>
      <w:r>
        <w:rPr>
          <w:spacing w:val="-4"/>
        </w:rPr>
        <w:t> </w:t>
      </w:r>
      <w:r>
        <w:rPr/>
        <w:t>shares,</w:t>
      </w:r>
      <w:r>
        <w:rPr>
          <w:spacing w:val="-4"/>
        </w:rPr>
        <w:t> </w:t>
      </w:r>
      <w:r>
        <w:rPr/>
        <w:t>we</w:t>
      </w:r>
      <w:r>
        <w:rPr>
          <w:spacing w:val="-4"/>
        </w:rPr>
        <w:t> </w:t>
      </w:r>
      <w:r>
        <w:rPr/>
        <w:t>instituted</w:t>
      </w:r>
      <w:r>
        <w:rPr>
          <w:spacing w:val="-4"/>
        </w:rPr>
        <w:t> </w:t>
      </w:r>
      <w:r>
        <w:rPr/>
        <w:t>a stock repurchase program. </w:t>
      </w:r>
      <w:hyperlink w:history="true" w:anchor="_bookmark29">
        <w:r>
          <w:rPr>
            <w:i/>
          </w:rPr>
          <w:t>See Note 12 for information regarding our stock repurchase programs.</w:t>
        </w:r>
      </w:hyperlink>
    </w:p>
    <w:p>
      <w:pPr>
        <w:spacing w:before="184"/>
        <w:ind w:left="220" w:right="0" w:firstLine="0"/>
        <w:jc w:val="left"/>
        <w:rPr>
          <w:i/>
          <w:sz w:val="20"/>
        </w:rPr>
      </w:pPr>
      <w:r>
        <w:rPr>
          <w:i/>
          <w:sz w:val="20"/>
        </w:rPr>
        <w:t>Valuation</w:t>
      </w:r>
      <w:r>
        <w:rPr>
          <w:i/>
          <w:spacing w:val="-9"/>
          <w:sz w:val="20"/>
        </w:rPr>
        <w:t> </w:t>
      </w:r>
      <w:r>
        <w:rPr>
          <w:i/>
          <w:sz w:val="20"/>
        </w:rPr>
        <w:t>of</w:t>
      </w:r>
      <w:r>
        <w:rPr>
          <w:i/>
          <w:spacing w:val="-8"/>
          <w:sz w:val="20"/>
        </w:rPr>
        <w:t> </w:t>
      </w:r>
      <w:r>
        <w:rPr>
          <w:i/>
          <w:sz w:val="20"/>
        </w:rPr>
        <w:t>Stock-Based</w:t>
      </w:r>
      <w:r>
        <w:rPr>
          <w:i/>
          <w:spacing w:val="-7"/>
          <w:sz w:val="20"/>
        </w:rPr>
        <w:t> </w:t>
      </w:r>
      <w:r>
        <w:rPr>
          <w:i/>
          <w:spacing w:val="-2"/>
          <w:sz w:val="20"/>
        </w:rPr>
        <w:t>Compensation</w:t>
      </w:r>
    </w:p>
    <w:p>
      <w:pPr>
        <w:pStyle w:val="BodyText"/>
        <w:spacing w:before="190"/>
        <w:ind w:left="760"/>
      </w:pPr>
      <w:r>
        <w:rPr/>
        <w:t>Stock-based</w:t>
      </w:r>
      <w:r>
        <w:rPr>
          <w:spacing w:val="-1"/>
        </w:rPr>
        <w:t> </w:t>
      </w:r>
      <w:r>
        <w:rPr/>
        <w:t>compensation</w:t>
      </w:r>
      <w:r>
        <w:rPr>
          <w:spacing w:val="-1"/>
        </w:rPr>
        <w:t> </w:t>
      </w:r>
      <w:r>
        <w:rPr/>
        <w:t>cost</w:t>
      </w:r>
      <w:r>
        <w:rPr>
          <w:spacing w:val="-1"/>
        </w:rPr>
        <w:t> </w:t>
      </w:r>
      <w:r>
        <w:rPr/>
        <w:t>is measured</w:t>
      </w:r>
      <w:r>
        <w:rPr>
          <w:spacing w:val="-1"/>
        </w:rPr>
        <w:t> </w:t>
      </w:r>
      <w:r>
        <w:rPr/>
        <w:t>at the grant</w:t>
      </w:r>
      <w:r>
        <w:rPr>
          <w:spacing w:val="-1"/>
        </w:rPr>
        <w:t> </w:t>
      </w:r>
      <w:r>
        <w:rPr/>
        <w:t>date based on the</w:t>
      </w:r>
      <w:r>
        <w:rPr>
          <w:spacing w:val="-1"/>
        </w:rPr>
        <w:t> </w:t>
      </w:r>
      <w:r>
        <w:rPr/>
        <w:t>fair value</w:t>
      </w:r>
      <w:r>
        <w:rPr>
          <w:spacing w:val="-1"/>
        </w:rPr>
        <w:t> </w:t>
      </w:r>
      <w:r>
        <w:rPr/>
        <w:t>of the</w:t>
      </w:r>
      <w:r>
        <w:rPr>
          <w:spacing w:val="-1"/>
        </w:rPr>
        <w:t> </w:t>
      </w:r>
      <w:r>
        <w:rPr>
          <w:spacing w:val="-2"/>
        </w:rPr>
        <w:t>award.</w:t>
      </w:r>
    </w:p>
    <w:p>
      <w:pPr>
        <w:pStyle w:val="BodyText"/>
        <w:spacing w:line="249" w:lineRule="auto" w:before="190"/>
        <w:ind w:left="220" w:right="259" w:firstLine="540"/>
        <w:jc w:val="both"/>
      </w:pPr>
      <w:r>
        <w:rPr/>
        <w:t>Our</w:t>
      </w:r>
      <w:r>
        <w:rPr>
          <w:spacing w:val="-7"/>
        </w:rPr>
        <w:t> </w:t>
      </w:r>
      <w:r>
        <w:rPr/>
        <w:t>performance</w:t>
      </w:r>
      <w:r>
        <w:rPr>
          <w:spacing w:val="-8"/>
        </w:rPr>
        <w:t> </w:t>
      </w:r>
      <w:r>
        <w:rPr/>
        <w:t>share</w:t>
      </w:r>
      <w:r>
        <w:rPr>
          <w:spacing w:val="-8"/>
        </w:rPr>
        <w:t> </w:t>
      </w:r>
      <w:r>
        <w:rPr/>
        <w:t>awards</w:t>
      </w:r>
      <w:r>
        <w:rPr>
          <w:spacing w:val="-7"/>
        </w:rPr>
        <w:t> </w:t>
      </w:r>
      <w:r>
        <w:rPr/>
        <w:t>are</w:t>
      </w:r>
      <w:r>
        <w:rPr>
          <w:spacing w:val="-7"/>
        </w:rPr>
        <w:t> </w:t>
      </w:r>
      <w:r>
        <w:rPr/>
        <w:t>valued</w:t>
      </w:r>
      <w:r>
        <w:rPr>
          <w:spacing w:val="-7"/>
        </w:rPr>
        <w:t> </w:t>
      </w:r>
      <w:r>
        <w:rPr/>
        <w:t>using</w:t>
      </w:r>
      <w:r>
        <w:rPr>
          <w:spacing w:val="-7"/>
        </w:rPr>
        <w:t> </w:t>
      </w:r>
      <w:r>
        <w:rPr/>
        <w:t>a</w:t>
      </w:r>
      <w:r>
        <w:rPr>
          <w:spacing w:val="-7"/>
        </w:rPr>
        <w:t> </w:t>
      </w:r>
      <w:r>
        <w:rPr/>
        <w:t>Monte</w:t>
      </w:r>
      <w:r>
        <w:rPr>
          <w:spacing w:val="-8"/>
        </w:rPr>
        <w:t> </w:t>
      </w:r>
      <w:r>
        <w:rPr/>
        <w:t>Carlo</w:t>
      </w:r>
      <w:r>
        <w:rPr>
          <w:spacing w:val="-7"/>
        </w:rPr>
        <w:t> </w:t>
      </w:r>
      <w:r>
        <w:rPr/>
        <w:t>Simulation</w:t>
      </w:r>
      <w:r>
        <w:rPr>
          <w:spacing w:val="-7"/>
        </w:rPr>
        <w:t> </w:t>
      </w:r>
      <w:r>
        <w:rPr/>
        <w:t>model.</w:t>
      </w:r>
      <w:r>
        <w:rPr>
          <w:spacing w:val="-11"/>
        </w:rPr>
        <w:t> </w:t>
      </w:r>
      <w:r>
        <w:rPr/>
        <w:t>The</w:t>
      </w:r>
      <w:r>
        <w:rPr>
          <w:spacing w:val="-7"/>
        </w:rPr>
        <w:t> </w:t>
      </w:r>
      <w:r>
        <w:rPr/>
        <w:t>fair</w:t>
      </w:r>
      <w:r>
        <w:rPr>
          <w:spacing w:val="-7"/>
        </w:rPr>
        <w:t> </w:t>
      </w:r>
      <w:r>
        <w:rPr/>
        <w:t>value</w:t>
      </w:r>
      <w:r>
        <w:rPr>
          <w:spacing w:val="-8"/>
        </w:rPr>
        <w:t> </w:t>
      </w:r>
      <w:r>
        <w:rPr/>
        <w:t>of</w:t>
      </w:r>
      <w:r>
        <w:rPr>
          <w:spacing w:val="-7"/>
        </w:rPr>
        <w:t> </w:t>
      </w:r>
      <w:r>
        <w:rPr/>
        <w:t>the</w:t>
      </w:r>
      <w:r>
        <w:rPr>
          <w:spacing w:val="-7"/>
        </w:rPr>
        <w:t> </w:t>
      </w:r>
      <w:r>
        <w:rPr/>
        <w:t>awards</w:t>
      </w:r>
      <w:r>
        <w:rPr>
          <w:spacing w:val="-7"/>
        </w:rPr>
        <w:t> </w:t>
      </w:r>
      <w:r>
        <w:rPr/>
        <w:t>are</w:t>
      </w:r>
      <w:r>
        <w:rPr>
          <w:spacing w:val="-7"/>
        </w:rPr>
        <w:t> </w:t>
      </w:r>
      <w:r>
        <w:rPr/>
        <w:t>fixed</w:t>
      </w:r>
      <w:r>
        <w:rPr>
          <w:spacing w:val="-7"/>
        </w:rPr>
        <w:t> </w:t>
      </w:r>
      <w:r>
        <w:rPr/>
        <w:t>at grant date and amortized over the longer of the remaining performance or service period.</w:t>
      </w:r>
    </w:p>
    <w:p>
      <w:pPr>
        <w:pStyle w:val="BodyText"/>
        <w:spacing w:line="249" w:lineRule="auto" w:before="181"/>
        <w:ind w:left="220" w:right="257" w:firstLine="587"/>
        <w:jc w:val="both"/>
      </w:pPr>
      <w:r>
        <w:rPr/>
        <w:t>We</w:t>
      </w:r>
      <w:r>
        <w:rPr>
          <w:spacing w:val="-3"/>
        </w:rPr>
        <w:t> </w:t>
      </w:r>
      <w:r>
        <w:rPr/>
        <w:t>use</w:t>
      </w:r>
      <w:r>
        <w:rPr>
          <w:spacing w:val="-3"/>
        </w:rPr>
        <w:t> </w:t>
      </w:r>
      <w:r>
        <w:rPr/>
        <w:t>the</w:t>
      </w:r>
      <w:r>
        <w:rPr>
          <w:spacing w:val="-3"/>
        </w:rPr>
        <w:t> </w:t>
      </w:r>
      <w:r>
        <w:rPr/>
        <w:t>Black-Scholes</w:t>
      </w:r>
      <w:r>
        <w:rPr>
          <w:spacing w:val="-2"/>
        </w:rPr>
        <w:t> </w:t>
      </w:r>
      <w:r>
        <w:rPr/>
        <w:t>option</w:t>
      </w:r>
      <w:r>
        <w:rPr>
          <w:spacing w:val="-3"/>
        </w:rPr>
        <w:t> </w:t>
      </w:r>
      <w:r>
        <w:rPr/>
        <w:t>pricing</w:t>
      </w:r>
      <w:r>
        <w:rPr>
          <w:spacing w:val="-3"/>
        </w:rPr>
        <w:t> </w:t>
      </w:r>
      <w:r>
        <w:rPr/>
        <w:t>model</w:t>
      </w:r>
      <w:r>
        <w:rPr>
          <w:spacing w:val="-3"/>
        </w:rPr>
        <w:t> </w:t>
      </w:r>
      <w:r>
        <w:rPr/>
        <w:t>to</w:t>
      </w:r>
      <w:r>
        <w:rPr>
          <w:spacing w:val="-3"/>
        </w:rPr>
        <w:t> </w:t>
      </w:r>
      <w:r>
        <w:rPr/>
        <w:t>determine</w:t>
      </w:r>
      <w:r>
        <w:rPr>
          <w:spacing w:val="-3"/>
        </w:rPr>
        <w:t> </w:t>
      </w:r>
      <w:r>
        <w:rPr/>
        <w:t>the</w:t>
      </w:r>
      <w:r>
        <w:rPr>
          <w:spacing w:val="-3"/>
        </w:rPr>
        <w:t> </w:t>
      </w:r>
      <w:r>
        <w:rPr/>
        <w:t>fair</w:t>
      </w:r>
      <w:r>
        <w:rPr>
          <w:spacing w:val="-3"/>
        </w:rPr>
        <w:t> </w:t>
      </w:r>
      <w:r>
        <w:rPr/>
        <w:t>value</w:t>
      </w:r>
      <w:r>
        <w:rPr>
          <w:spacing w:val="-3"/>
        </w:rPr>
        <w:t> </w:t>
      </w:r>
      <w:r>
        <w:rPr/>
        <w:t>of</w:t>
      </w:r>
      <w:r>
        <w:rPr>
          <w:spacing w:val="-3"/>
        </w:rPr>
        <w:t> </w:t>
      </w:r>
      <w:r>
        <w:rPr/>
        <w:t>ESPP</w:t>
      </w:r>
      <w:r>
        <w:rPr>
          <w:spacing w:val="-9"/>
        </w:rPr>
        <w:t> </w:t>
      </w:r>
      <w:r>
        <w:rPr/>
        <w:t>shares.</w:t>
      </w:r>
      <w:r>
        <w:rPr>
          <w:spacing w:val="-5"/>
        </w:rPr>
        <w:t> </w:t>
      </w:r>
      <w:r>
        <w:rPr/>
        <w:t>The</w:t>
      </w:r>
      <w:r>
        <w:rPr>
          <w:spacing w:val="-3"/>
        </w:rPr>
        <w:t> </w:t>
      </w:r>
      <w:r>
        <w:rPr/>
        <w:t>determination</w:t>
      </w:r>
      <w:r>
        <w:rPr>
          <w:spacing w:val="-3"/>
        </w:rPr>
        <w:t> </w:t>
      </w:r>
      <w:r>
        <w:rPr/>
        <w:t>of</w:t>
      </w:r>
      <w:r>
        <w:rPr>
          <w:spacing w:val="-2"/>
        </w:rPr>
        <w:t> </w:t>
      </w:r>
      <w:r>
        <w:rPr/>
        <w:t>the</w:t>
      </w:r>
      <w:r>
        <w:rPr>
          <w:spacing w:val="-3"/>
        </w:rPr>
        <w:t> </w:t>
      </w:r>
      <w:r>
        <w:rPr/>
        <w:t>fair value</w:t>
      </w:r>
      <w:r>
        <w:rPr>
          <w:spacing w:val="-2"/>
        </w:rPr>
        <w:t> </w:t>
      </w:r>
      <w:r>
        <w:rPr/>
        <w:t>of</w:t>
      </w:r>
      <w:r>
        <w:rPr>
          <w:spacing w:val="-2"/>
        </w:rPr>
        <w:t> </w:t>
      </w:r>
      <w:r>
        <w:rPr/>
        <w:t>stock-based</w:t>
      </w:r>
      <w:r>
        <w:rPr>
          <w:spacing w:val="-2"/>
        </w:rPr>
        <w:t> </w:t>
      </w:r>
      <w:r>
        <w:rPr/>
        <w:t>payment</w:t>
      </w:r>
      <w:r>
        <w:rPr>
          <w:spacing w:val="-2"/>
        </w:rPr>
        <w:t> </w:t>
      </w:r>
      <w:r>
        <w:rPr/>
        <w:t>awards</w:t>
      </w:r>
      <w:r>
        <w:rPr>
          <w:spacing w:val="-2"/>
        </w:rPr>
        <w:t> </w:t>
      </w:r>
      <w:r>
        <w:rPr/>
        <w:t>on</w:t>
      </w:r>
      <w:r>
        <w:rPr>
          <w:spacing w:val="-2"/>
        </w:rPr>
        <w:t> </w:t>
      </w:r>
      <w:r>
        <w:rPr/>
        <w:t>the</w:t>
      </w:r>
      <w:r>
        <w:rPr>
          <w:spacing w:val="-3"/>
        </w:rPr>
        <w:t> </w:t>
      </w:r>
      <w:r>
        <w:rPr/>
        <w:t>date</w:t>
      </w:r>
      <w:r>
        <w:rPr>
          <w:spacing w:val="-2"/>
        </w:rPr>
        <w:t> </w:t>
      </w:r>
      <w:r>
        <w:rPr/>
        <w:t>of</w:t>
      </w:r>
      <w:r>
        <w:rPr>
          <w:spacing w:val="-2"/>
        </w:rPr>
        <w:t> </w:t>
      </w:r>
      <w:r>
        <w:rPr/>
        <w:t>grant</w:t>
      </w:r>
      <w:r>
        <w:rPr>
          <w:spacing w:val="-2"/>
        </w:rPr>
        <w:t> </w:t>
      </w:r>
      <w:r>
        <w:rPr/>
        <w:t>using</w:t>
      </w:r>
      <w:r>
        <w:rPr>
          <w:spacing w:val="-2"/>
        </w:rPr>
        <w:t> </w:t>
      </w:r>
      <w:r>
        <w:rPr/>
        <w:t>an</w:t>
      </w:r>
      <w:r>
        <w:rPr>
          <w:spacing w:val="-2"/>
        </w:rPr>
        <w:t> </w:t>
      </w:r>
      <w:r>
        <w:rPr/>
        <w:t>option</w:t>
      </w:r>
      <w:r>
        <w:rPr>
          <w:spacing w:val="-2"/>
        </w:rPr>
        <w:t> </w:t>
      </w:r>
      <w:r>
        <w:rPr/>
        <w:t>pricing</w:t>
      </w:r>
      <w:r>
        <w:rPr>
          <w:spacing w:val="-2"/>
        </w:rPr>
        <w:t> </w:t>
      </w:r>
      <w:r>
        <w:rPr/>
        <w:t>model</w:t>
      </w:r>
      <w:r>
        <w:rPr>
          <w:spacing w:val="-2"/>
        </w:rPr>
        <w:t> </w:t>
      </w:r>
      <w:r>
        <w:rPr/>
        <w:t>is</w:t>
      </w:r>
      <w:r>
        <w:rPr>
          <w:spacing w:val="-2"/>
        </w:rPr>
        <w:t> </w:t>
      </w:r>
      <w:r>
        <w:rPr/>
        <w:t>affected</w:t>
      </w:r>
      <w:r>
        <w:rPr>
          <w:spacing w:val="-2"/>
        </w:rPr>
        <w:t> </w:t>
      </w:r>
      <w:r>
        <w:rPr/>
        <w:t>by</w:t>
      </w:r>
      <w:r>
        <w:rPr>
          <w:spacing w:val="-2"/>
        </w:rPr>
        <w:t> </w:t>
      </w:r>
      <w:r>
        <w:rPr/>
        <w:t>our</w:t>
      </w:r>
      <w:r>
        <w:rPr>
          <w:spacing w:val="-3"/>
        </w:rPr>
        <w:t> </w:t>
      </w:r>
      <w:r>
        <w:rPr/>
        <w:t>stock</w:t>
      </w:r>
      <w:r>
        <w:rPr>
          <w:spacing w:val="-2"/>
        </w:rPr>
        <w:t> </w:t>
      </w:r>
      <w:r>
        <w:rPr/>
        <w:t>price</w:t>
      </w:r>
      <w:r>
        <w:rPr>
          <w:spacing w:val="-2"/>
        </w:rPr>
        <w:t> </w:t>
      </w:r>
      <w:r>
        <w:rPr/>
        <w:t>as</w:t>
      </w:r>
      <w:r>
        <w:rPr>
          <w:spacing w:val="-2"/>
        </w:rPr>
        <w:t> </w:t>
      </w:r>
      <w:r>
        <w:rPr/>
        <w:t>well</w:t>
      </w:r>
      <w:r>
        <w:rPr>
          <w:spacing w:val="-2"/>
        </w:rPr>
        <w:t> </w:t>
      </w:r>
      <w:r>
        <w:rPr/>
        <w:t>as assumptions</w:t>
      </w:r>
      <w:r>
        <w:rPr>
          <w:spacing w:val="-5"/>
        </w:rPr>
        <w:t> </w:t>
      </w:r>
      <w:r>
        <w:rPr/>
        <w:t>regarding</w:t>
      </w:r>
      <w:r>
        <w:rPr>
          <w:spacing w:val="-5"/>
        </w:rPr>
        <w:t> </w:t>
      </w:r>
      <w:r>
        <w:rPr/>
        <w:t>a</w:t>
      </w:r>
      <w:r>
        <w:rPr>
          <w:spacing w:val="-5"/>
        </w:rPr>
        <w:t> </w:t>
      </w:r>
      <w:r>
        <w:rPr/>
        <w:t>number</w:t>
      </w:r>
      <w:r>
        <w:rPr>
          <w:spacing w:val="-6"/>
        </w:rPr>
        <w:t> </w:t>
      </w:r>
      <w:r>
        <w:rPr/>
        <w:t>of</w:t>
      </w:r>
      <w:r>
        <w:rPr>
          <w:spacing w:val="-5"/>
        </w:rPr>
        <w:t> </w:t>
      </w:r>
      <w:r>
        <w:rPr/>
        <w:t>complex</w:t>
      </w:r>
      <w:r>
        <w:rPr>
          <w:spacing w:val="-5"/>
        </w:rPr>
        <w:t> </w:t>
      </w:r>
      <w:r>
        <w:rPr/>
        <w:t>and</w:t>
      </w:r>
      <w:r>
        <w:rPr>
          <w:spacing w:val="-5"/>
        </w:rPr>
        <w:t> </w:t>
      </w:r>
      <w:r>
        <w:rPr/>
        <w:t>subjective</w:t>
      </w:r>
      <w:r>
        <w:rPr>
          <w:spacing w:val="-6"/>
        </w:rPr>
        <w:t> </w:t>
      </w:r>
      <w:r>
        <w:rPr/>
        <w:t>variables.</w:t>
      </w:r>
      <w:r>
        <w:rPr>
          <w:spacing w:val="-9"/>
        </w:rPr>
        <w:t> </w:t>
      </w:r>
      <w:r>
        <w:rPr/>
        <w:t>These</w:t>
      </w:r>
      <w:r>
        <w:rPr>
          <w:spacing w:val="-6"/>
        </w:rPr>
        <w:t> </w:t>
      </w:r>
      <w:r>
        <w:rPr/>
        <w:t>variables</w:t>
      </w:r>
      <w:r>
        <w:rPr>
          <w:spacing w:val="-5"/>
        </w:rPr>
        <w:t> </w:t>
      </w:r>
      <w:r>
        <w:rPr/>
        <w:t>include</w:t>
      </w:r>
      <w:r>
        <w:rPr>
          <w:spacing w:val="-6"/>
        </w:rPr>
        <w:t> </w:t>
      </w:r>
      <w:r>
        <w:rPr/>
        <w:t>our</w:t>
      </w:r>
      <w:r>
        <w:rPr>
          <w:spacing w:val="-5"/>
        </w:rPr>
        <w:t> </w:t>
      </w:r>
      <w:r>
        <w:rPr/>
        <w:t>expected</w:t>
      </w:r>
      <w:r>
        <w:rPr>
          <w:spacing w:val="-6"/>
        </w:rPr>
        <w:t> </w:t>
      </w:r>
      <w:r>
        <w:rPr/>
        <w:t>stock</w:t>
      </w:r>
      <w:r>
        <w:rPr>
          <w:spacing w:val="-5"/>
        </w:rPr>
        <w:t> </w:t>
      </w:r>
      <w:r>
        <w:rPr/>
        <w:t>price</w:t>
      </w:r>
      <w:r>
        <w:rPr>
          <w:spacing w:val="-6"/>
        </w:rPr>
        <w:t> </w:t>
      </w:r>
      <w:r>
        <w:rPr/>
        <w:t>volatility over</w:t>
      </w:r>
      <w:r>
        <w:rPr>
          <w:spacing w:val="-6"/>
        </w:rPr>
        <w:t> </w:t>
      </w:r>
      <w:r>
        <w:rPr/>
        <w:t>the</w:t>
      </w:r>
      <w:r>
        <w:rPr>
          <w:spacing w:val="-6"/>
        </w:rPr>
        <w:t> </w:t>
      </w:r>
      <w:r>
        <w:rPr/>
        <w:t>expected</w:t>
      </w:r>
      <w:r>
        <w:rPr>
          <w:spacing w:val="-6"/>
        </w:rPr>
        <w:t> </w:t>
      </w:r>
      <w:r>
        <w:rPr/>
        <w:t>term</w:t>
      </w:r>
      <w:r>
        <w:rPr>
          <w:spacing w:val="-6"/>
        </w:rPr>
        <w:t> </w:t>
      </w:r>
      <w:r>
        <w:rPr/>
        <w:t>of</w:t>
      </w:r>
      <w:r>
        <w:rPr>
          <w:spacing w:val="-6"/>
        </w:rPr>
        <w:t> </w:t>
      </w:r>
      <w:r>
        <w:rPr/>
        <w:t>the</w:t>
      </w:r>
      <w:r>
        <w:rPr>
          <w:spacing w:val="-6"/>
        </w:rPr>
        <w:t> </w:t>
      </w:r>
      <w:r>
        <w:rPr/>
        <w:t>awards,</w:t>
      </w:r>
      <w:r>
        <w:rPr>
          <w:spacing w:val="-6"/>
        </w:rPr>
        <w:t> </w:t>
      </w:r>
      <w:r>
        <w:rPr/>
        <w:t>actual</w:t>
      </w:r>
      <w:r>
        <w:rPr>
          <w:spacing w:val="-6"/>
        </w:rPr>
        <w:t> </w:t>
      </w:r>
      <w:r>
        <w:rPr/>
        <w:t>and</w:t>
      </w:r>
      <w:r>
        <w:rPr>
          <w:spacing w:val="-6"/>
        </w:rPr>
        <w:t> </w:t>
      </w:r>
      <w:r>
        <w:rPr/>
        <w:t>projected</w:t>
      </w:r>
      <w:r>
        <w:rPr>
          <w:spacing w:val="-6"/>
        </w:rPr>
        <w:t> </w:t>
      </w:r>
      <w:r>
        <w:rPr/>
        <w:t>employee</w:t>
      </w:r>
      <w:r>
        <w:rPr>
          <w:spacing w:val="-6"/>
        </w:rPr>
        <w:t> </w:t>
      </w:r>
      <w:r>
        <w:rPr/>
        <w:t>stock</w:t>
      </w:r>
      <w:r>
        <w:rPr>
          <w:spacing w:val="-6"/>
        </w:rPr>
        <w:t> </w:t>
      </w:r>
      <w:r>
        <w:rPr/>
        <w:t>option</w:t>
      </w:r>
      <w:r>
        <w:rPr>
          <w:spacing w:val="-6"/>
        </w:rPr>
        <w:t> </w:t>
      </w:r>
      <w:r>
        <w:rPr/>
        <w:t>exercise</w:t>
      </w:r>
      <w:r>
        <w:rPr>
          <w:spacing w:val="-6"/>
        </w:rPr>
        <w:t> </w:t>
      </w:r>
      <w:r>
        <w:rPr/>
        <w:t>behaviors,</w:t>
      </w:r>
      <w:r>
        <w:rPr>
          <w:spacing w:val="-6"/>
        </w:rPr>
        <w:t> </w:t>
      </w:r>
      <w:r>
        <w:rPr/>
        <w:t>a</w:t>
      </w:r>
      <w:r>
        <w:rPr>
          <w:spacing w:val="-6"/>
        </w:rPr>
        <w:t> </w:t>
      </w:r>
      <w:r>
        <w:rPr/>
        <w:t>risk-free</w:t>
      </w:r>
      <w:r>
        <w:rPr>
          <w:spacing w:val="-6"/>
        </w:rPr>
        <w:t> </w:t>
      </w:r>
      <w:r>
        <w:rPr/>
        <w:t>interest</w:t>
      </w:r>
      <w:r>
        <w:rPr>
          <w:spacing w:val="-6"/>
        </w:rPr>
        <w:t> </w:t>
      </w:r>
      <w:r>
        <w:rPr/>
        <w:t>rate</w:t>
      </w:r>
      <w:r>
        <w:rPr>
          <w:spacing w:val="-6"/>
        </w:rPr>
        <w:t> </w:t>
      </w:r>
      <w:r>
        <w:rPr/>
        <w:t>and any expected dividends.</w:t>
      </w:r>
    </w:p>
    <w:p>
      <w:pPr>
        <w:spacing w:after="0" w:line="249" w:lineRule="auto"/>
        <w:jc w:val="both"/>
        <w:sectPr>
          <w:pgSz w:w="12240" w:h="15840"/>
          <w:pgMar w:header="210" w:footer="610" w:top="1380" w:bottom="800" w:left="780" w:right="740"/>
        </w:sectPr>
      </w:pPr>
    </w:p>
    <w:p>
      <w:pPr>
        <w:pStyle w:val="BodyText"/>
      </w:pPr>
    </w:p>
    <w:p>
      <w:pPr>
        <w:pStyle w:val="BodyText"/>
      </w:pPr>
    </w:p>
    <w:p>
      <w:pPr>
        <w:pStyle w:val="BodyText"/>
        <w:spacing w:before="30"/>
      </w:pPr>
    </w:p>
    <w:p>
      <w:pPr>
        <w:pStyle w:val="BodyText"/>
        <w:spacing w:line="249" w:lineRule="auto"/>
        <w:ind w:left="220" w:firstLine="540"/>
      </w:pPr>
      <w:r>
        <w:rPr/>
        <w:t>The</w:t>
      </w:r>
      <w:r>
        <w:rPr>
          <w:spacing w:val="22"/>
        </w:rPr>
        <w:t> </w:t>
      </w:r>
      <w:r>
        <w:rPr/>
        <w:t>expected</w:t>
      </w:r>
      <w:r>
        <w:rPr>
          <w:spacing w:val="22"/>
        </w:rPr>
        <w:t> </w:t>
      </w:r>
      <w:r>
        <w:rPr/>
        <w:t>term</w:t>
      </w:r>
      <w:r>
        <w:rPr>
          <w:spacing w:val="22"/>
        </w:rPr>
        <w:t> </w:t>
      </w:r>
      <w:r>
        <w:rPr/>
        <w:t>of</w:t>
      </w:r>
      <w:r>
        <w:rPr>
          <w:spacing w:val="22"/>
        </w:rPr>
        <w:t> </w:t>
      </w:r>
      <w:r>
        <w:rPr/>
        <w:t>ESPP</w:t>
      </w:r>
      <w:r>
        <w:rPr>
          <w:spacing w:val="15"/>
        </w:rPr>
        <w:t> </w:t>
      </w:r>
      <w:r>
        <w:rPr/>
        <w:t>shares</w:t>
      </w:r>
      <w:r>
        <w:rPr>
          <w:spacing w:val="22"/>
        </w:rPr>
        <w:t> </w:t>
      </w:r>
      <w:r>
        <w:rPr/>
        <w:t>is</w:t>
      </w:r>
      <w:r>
        <w:rPr>
          <w:spacing w:val="23"/>
        </w:rPr>
        <w:t> </w:t>
      </w:r>
      <w:r>
        <w:rPr/>
        <w:t>the</w:t>
      </w:r>
      <w:r>
        <w:rPr>
          <w:spacing w:val="22"/>
        </w:rPr>
        <w:t> </w:t>
      </w:r>
      <w:r>
        <w:rPr/>
        <w:t>average</w:t>
      </w:r>
      <w:r>
        <w:rPr>
          <w:spacing w:val="22"/>
        </w:rPr>
        <w:t> </w:t>
      </w:r>
      <w:r>
        <w:rPr/>
        <w:t>of</w:t>
      </w:r>
      <w:r>
        <w:rPr>
          <w:spacing w:val="23"/>
        </w:rPr>
        <w:t> </w:t>
      </w:r>
      <w:r>
        <w:rPr/>
        <w:t>the</w:t>
      </w:r>
      <w:r>
        <w:rPr>
          <w:spacing w:val="22"/>
        </w:rPr>
        <w:t> </w:t>
      </w:r>
      <w:r>
        <w:rPr/>
        <w:t>remaining</w:t>
      </w:r>
      <w:r>
        <w:rPr>
          <w:spacing w:val="22"/>
        </w:rPr>
        <w:t> </w:t>
      </w:r>
      <w:r>
        <w:rPr/>
        <w:t>purchase</w:t>
      </w:r>
      <w:r>
        <w:rPr>
          <w:spacing w:val="22"/>
        </w:rPr>
        <w:t> </w:t>
      </w:r>
      <w:r>
        <w:rPr/>
        <w:t>periods</w:t>
      </w:r>
      <w:r>
        <w:rPr>
          <w:spacing w:val="23"/>
        </w:rPr>
        <w:t> </w:t>
      </w:r>
      <w:r>
        <w:rPr/>
        <w:t>under</w:t>
      </w:r>
      <w:r>
        <w:rPr>
          <w:spacing w:val="22"/>
        </w:rPr>
        <w:t> </w:t>
      </w:r>
      <w:r>
        <w:rPr/>
        <w:t>each</w:t>
      </w:r>
      <w:r>
        <w:rPr>
          <w:spacing w:val="22"/>
        </w:rPr>
        <w:t> </w:t>
      </w:r>
      <w:r>
        <w:rPr/>
        <w:t>offering</w:t>
      </w:r>
      <w:r>
        <w:rPr>
          <w:spacing w:val="22"/>
        </w:rPr>
        <w:t> </w:t>
      </w:r>
      <w:r>
        <w:rPr/>
        <w:t>period.</w:t>
      </w:r>
      <w:r>
        <w:rPr>
          <w:spacing w:val="17"/>
        </w:rPr>
        <w:t> </w:t>
      </w:r>
      <w:r>
        <w:rPr/>
        <w:t>The assumptions used to value employee stock purchase rights were as follows:</w:t>
      </w:r>
    </w:p>
    <w:p>
      <w:pPr>
        <w:pStyle w:val="BodyText"/>
        <w:spacing w:before="141"/>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0"/>
        <w:gridCol w:w="1670"/>
        <w:gridCol w:w="1100"/>
        <w:gridCol w:w="944"/>
        <w:gridCol w:w="1247"/>
      </w:tblGrid>
      <w:tr>
        <w:trPr>
          <w:trHeight w:val="217" w:hRule="atLeast"/>
        </w:trPr>
        <w:tc>
          <w:tcPr>
            <w:tcW w:w="5300" w:type="dxa"/>
          </w:tcPr>
          <w:p>
            <w:pPr>
              <w:pStyle w:val="TableParagraph"/>
              <w:rPr>
                <w:sz w:val="14"/>
              </w:rPr>
            </w:pPr>
          </w:p>
        </w:tc>
        <w:tc>
          <w:tcPr>
            <w:tcW w:w="1670" w:type="dxa"/>
            <w:tcBorders>
              <w:bottom w:val="single" w:sz="8" w:space="0" w:color="000000"/>
            </w:tcBorders>
          </w:tcPr>
          <w:p>
            <w:pPr>
              <w:pStyle w:val="TableParagraph"/>
              <w:spacing w:line="177" w:lineRule="exact"/>
              <w:ind w:right="89"/>
              <w:jc w:val="center"/>
              <w:rPr>
                <w:b/>
                <w:sz w:val="16"/>
              </w:rPr>
            </w:pPr>
            <w:r>
              <w:rPr>
                <w:b/>
                <w:spacing w:val="-4"/>
                <w:sz w:val="16"/>
              </w:rPr>
              <w:t>2017</w:t>
            </w:r>
          </w:p>
        </w:tc>
        <w:tc>
          <w:tcPr>
            <w:tcW w:w="2044" w:type="dxa"/>
            <w:gridSpan w:val="2"/>
            <w:tcBorders>
              <w:bottom w:val="single" w:sz="8" w:space="0" w:color="000000"/>
            </w:tcBorders>
          </w:tcPr>
          <w:p>
            <w:pPr>
              <w:pStyle w:val="TableParagraph"/>
              <w:spacing w:line="177" w:lineRule="exact"/>
              <w:ind w:left="640"/>
              <w:rPr>
                <w:b/>
                <w:sz w:val="16"/>
              </w:rPr>
            </w:pPr>
            <w:r>
              <w:rPr>
                <w:b/>
                <w:spacing w:val="-4"/>
                <w:sz w:val="16"/>
              </w:rPr>
              <w:t>2016</w:t>
            </w:r>
          </w:p>
        </w:tc>
        <w:tc>
          <w:tcPr>
            <w:tcW w:w="1247" w:type="dxa"/>
            <w:tcBorders>
              <w:bottom w:val="single" w:sz="8" w:space="0" w:color="000000"/>
            </w:tcBorders>
          </w:tcPr>
          <w:p>
            <w:pPr>
              <w:pStyle w:val="TableParagraph"/>
              <w:spacing w:line="177" w:lineRule="exact"/>
              <w:ind w:left="276"/>
              <w:rPr>
                <w:b/>
                <w:sz w:val="16"/>
              </w:rPr>
            </w:pPr>
            <w:r>
              <w:rPr>
                <w:b/>
                <w:spacing w:val="-4"/>
                <w:sz w:val="16"/>
              </w:rPr>
              <w:t>2015</w:t>
            </w:r>
          </w:p>
        </w:tc>
      </w:tr>
      <w:tr>
        <w:trPr>
          <w:trHeight w:val="290" w:hRule="atLeast"/>
        </w:trPr>
        <w:tc>
          <w:tcPr>
            <w:tcW w:w="5300" w:type="dxa"/>
          </w:tcPr>
          <w:p>
            <w:pPr>
              <w:pStyle w:val="TableParagraph"/>
              <w:spacing w:line="222" w:lineRule="exact"/>
              <w:ind w:left="70"/>
              <w:rPr>
                <w:sz w:val="20"/>
              </w:rPr>
            </w:pPr>
            <w:r>
              <w:rPr>
                <w:sz w:val="20"/>
              </w:rPr>
              <w:t>Expected life (in </w:t>
            </w:r>
            <w:r>
              <w:rPr>
                <w:spacing w:val="-2"/>
                <w:sz w:val="20"/>
              </w:rPr>
              <w:t>years)</w:t>
            </w:r>
          </w:p>
        </w:tc>
        <w:tc>
          <w:tcPr>
            <w:tcW w:w="1670" w:type="dxa"/>
            <w:tcBorders>
              <w:top w:val="single" w:sz="8" w:space="0" w:color="000000"/>
            </w:tcBorders>
          </w:tcPr>
          <w:p>
            <w:pPr>
              <w:pStyle w:val="TableParagraph"/>
              <w:spacing w:before="10"/>
              <w:ind w:right="258"/>
              <w:jc w:val="right"/>
              <w:rPr>
                <w:sz w:val="20"/>
              </w:rPr>
            </w:pPr>
            <w:r>
              <w:rPr>
                <w:sz w:val="20"/>
              </w:rPr>
              <w:t>0.5 - </w:t>
            </w:r>
            <w:r>
              <w:rPr>
                <w:spacing w:val="-5"/>
                <w:sz w:val="20"/>
              </w:rPr>
              <w:t>2.0</w:t>
            </w:r>
          </w:p>
        </w:tc>
        <w:tc>
          <w:tcPr>
            <w:tcW w:w="2044" w:type="dxa"/>
            <w:gridSpan w:val="2"/>
            <w:tcBorders>
              <w:top w:val="single" w:sz="8" w:space="0" w:color="000000"/>
            </w:tcBorders>
          </w:tcPr>
          <w:p>
            <w:pPr>
              <w:pStyle w:val="TableParagraph"/>
              <w:spacing w:before="10"/>
              <w:ind w:left="752"/>
              <w:rPr>
                <w:sz w:val="20"/>
              </w:rPr>
            </w:pPr>
            <w:r>
              <w:rPr>
                <w:sz w:val="20"/>
              </w:rPr>
              <w:t>0.5 - </w:t>
            </w:r>
            <w:r>
              <w:rPr>
                <w:spacing w:val="-5"/>
                <w:sz w:val="20"/>
              </w:rPr>
              <w:t>2.0</w:t>
            </w:r>
          </w:p>
        </w:tc>
        <w:tc>
          <w:tcPr>
            <w:tcW w:w="1247" w:type="dxa"/>
            <w:tcBorders>
              <w:top w:val="single" w:sz="8" w:space="0" w:color="000000"/>
            </w:tcBorders>
          </w:tcPr>
          <w:p>
            <w:pPr>
              <w:pStyle w:val="TableParagraph"/>
              <w:spacing w:before="10"/>
              <w:ind w:left="388"/>
              <w:rPr>
                <w:sz w:val="20"/>
              </w:rPr>
            </w:pPr>
            <w:r>
              <w:rPr>
                <w:sz w:val="20"/>
              </w:rPr>
              <w:t>0.5 - </w:t>
            </w:r>
            <w:r>
              <w:rPr>
                <w:spacing w:val="-5"/>
                <w:sz w:val="20"/>
              </w:rPr>
              <w:t>2.0</w:t>
            </w:r>
          </w:p>
        </w:tc>
      </w:tr>
      <w:tr>
        <w:trPr>
          <w:trHeight w:val="300" w:hRule="atLeast"/>
        </w:trPr>
        <w:tc>
          <w:tcPr>
            <w:tcW w:w="5300" w:type="dxa"/>
            <w:shd w:val="clear" w:color="auto" w:fill="CCEDFF"/>
          </w:tcPr>
          <w:p>
            <w:pPr>
              <w:pStyle w:val="TableParagraph"/>
              <w:spacing w:before="2"/>
              <w:ind w:left="70"/>
              <w:rPr>
                <w:sz w:val="20"/>
              </w:rPr>
            </w:pPr>
            <w:r>
              <w:rPr>
                <w:spacing w:val="-2"/>
                <w:sz w:val="20"/>
              </w:rPr>
              <w:t>Volatility</w:t>
            </w:r>
          </w:p>
        </w:tc>
        <w:tc>
          <w:tcPr>
            <w:tcW w:w="1670" w:type="dxa"/>
            <w:shd w:val="clear" w:color="auto" w:fill="CCEDFF"/>
          </w:tcPr>
          <w:p>
            <w:pPr>
              <w:pStyle w:val="TableParagraph"/>
              <w:spacing w:before="20"/>
              <w:ind w:right="138"/>
              <w:jc w:val="right"/>
              <w:rPr>
                <w:sz w:val="20"/>
              </w:rPr>
            </w:pPr>
            <w:r>
              <w:rPr>
                <w:sz w:val="20"/>
              </w:rPr>
              <w:t>22% - </w:t>
            </w:r>
            <w:r>
              <w:rPr>
                <w:spacing w:val="-5"/>
                <w:sz w:val="20"/>
              </w:rPr>
              <w:t>27%</w:t>
            </w:r>
          </w:p>
        </w:tc>
        <w:tc>
          <w:tcPr>
            <w:tcW w:w="2044" w:type="dxa"/>
            <w:gridSpan w:val="2"/>
            <w:shd w:val="clear" w:color="auto" w:fill="CCEDFF"/>
          </w:tcPr>
          <w:p>
            <w:pPr>
              <w:pStyle w:val="TableParagraph"/>
              <w:spacing w:before="20"/>
              <w:ind w:left="640"/>
              <w:rPr>
                <w:sz w:val="20"/>
              </w:rPr>
            </w:pPr>
            <w:r>
              <w:rPr>
                <w:sz w:val="20"/>
              </w:rPr>
              <w:t>26% - </w:t>
            </w:r>
            <w:r>
              <w:rPr>
                <w:spacing w:val="-5"/>
                <w:sz w:val="20"/>
              </w:rPr>
              <w:t>29%</w:t>
            </w:r>
          </w:p>
        </w:tc>
        <w:tc>
          <w:tcPr>
            <w:tcW w:w="1247" w:type="dxa"/>
            <w:shd w:val="clear" w:color="auto" w:fill="CCEDFF"/>
          </w:tcPr>
          <w:p>
            <w:pPr>
              <w:pStyle w:val="TableParagraph"/>
              <w:spacing w:before="20"/>
              <w:ind w:left="-17" w:right="69"/>
              <w:jc w:val="right"/>
              <w:rPr>
                <w:sz w:val="20"/>
              </w:rPr>
            </w:pPr>
            <w:r>
              <w:rPr>
                <w:sz w:val="20"/>
              </w:rPr>
              <w:t>26% - </w:t>
            </w:r>
            <w:r>
              <w:rPr>
                <w:spacing w:val="-5"/>
                <w:sz w:val="20"/>
              </w:rPr>
              <w:t>30%</w:t>
            </w:r>
          </w:p>
        </w:tc>
      </w:tr>
      <w:tr>
        <w:trPr>
          <w:trHeight w:val="400" w:hRule="atLeast"/>
        </w:trPr>
        <w:tc>
          <w:tcPr>
            <w:tcW w:w="5300" w:type="dxa"/>
          </w:tcPr>
          <w:p>
            <w:pPr>
              <w:pStyle w:val="TableParagraph"/>
              <w:spacing w:before="2"/>
              <w:ind w:left="70"/>
              <w:rPr>
                <w:sz w:val="20"/>
              </w:rPr>
            </w:pPr>
            <w:r>
              <w:rPr>
                <w:sz w:val="20"/>
              </w:rPr>
              <w:t>Risk free interest </w:t>
            </w:r>
            <w:r>
              <w:rPr>
                <w:spacing w:val="-4"/>
                <w:sz w:val="20"/>
              </w:rPr>
              <w:t>rate</w:t>
            </w:r>
          </w:p>
        </w:tc>
        <w:tc>
          <w:tcPr>
            <w:tcW w:w="1670" w:type="dxa"/>
          </w:tcPr>
          <w:p>
            <w:pPr>
              <w:pStyle w:val="TableParagraph"/>
              <w:spacing w:before="20"/>
              <w:ind w:right="138"/>
              <w:jc w:val="right"/>
              <w:rPr>
                <w:sz w:val="20"/>
              </w:rPr>
            </w:pPr>
            <w:r>
              <w:rPr>
                <w:sz w:val="20"/>
              </w:rPr>
              <w:t>0.62% - </w:t>
            </w:r>
            <w:r>
              <w:rPr>
                <w:spacing w:val="-2"/>
                <w:sz w:val="20"/>
              </w:rPr>
              <w:t>1.41%</w:t>
            </w:r>
          </w:p>
        </w:tc>
        <w:tc>
          <w:tcPr>
            <w:tcW w:w="2044" w:type="dxa"/>
            <w:gridSpan w:val="2"/>
          </w:tcPr>
          <w:p>
            <w:pPr>
              <w:pStyle w:val="TableParagraph"/>
              <w:spacing w:before="20"/>
              <w:ind w:left="340"/>
              <w:rPr>
                <w:sz w:val="20"/>
              </w:rPr>
            </w:pPr>
            <w:r>
              <w:rPr>
                <w:sz w:val="20"/>
              </w:rPr>
              <w:t>0.37% - </w:t>
            </w:r>
            <w:r>
              <w:rPr>
                <w:spacing w:val="-2"/>
                <w:sz w:val="20"/>
              </w:rPr>
              <w:t>1.06%</w:t>
            </w:r>
          </w:p>
        </w:tc>
        <w:tc>
          <w:tcPr>
            <w:tcW w:w="1247" w:type="dxa"/>
          </w:tcPr>
          <w:p>
            <w:pPr>
              <w:pStyle w:val="TableParagraph"/>
              <w:spacing w:before="20"/>
              <w:ind w:left="-17" w:right="69"/>
              <w:jc w:val="right"/>
              <w:rPr>
                <w:sz w:val="20"/>
              </w:rPr>
            </w:pPr>
            <w:r>
              <w:rPr>
                <w:sz w:val="20"/>
              </w:rPr>
              <w:t>0.11%</w:t>
            </w:r>
            <w:r>
              <w:rPr>
                <w:spacing w:val="-4"/>
                <w:sz w:val="20"/>
              </w:rPr>
              <w:t> </w:t>
            </w:r>
            <w:r>
              <w:rPr>
                <w:sz w:val="20"/>
              </w:rPr>
              <w:t>-</w:t>
            </w:r>
            <w:r>
              <w:rPr>
                <w:spacing w:val="-4"/>
                <w:sz w:val="20"/>
              </w:rPr>
              <w:t> </w:t>
            </w:r>
            <w:r>
              <w:rPr>
                <w:spacing w:val="-2"/>
                <w:sz w:val="20"/>
              </w:rPr>
              <w:t>0.67%</w:t>
            </w:r>
          </w:p>
        </w:tc>
      </w:tr>
      <w:tr>
        <w:trPr>
          <w:trHeight w:val="372" w:hRule="atLeast"/>
        </w:trPr>
        <w:tc>
          <w:tcPr>
            <w:tcW w:w="5300" w:type="dxa"/>
          </w:tcPr>
          <w:p>
            <w:pPr>
              <w:pStyle w:val="TableParagraph"/>
              <w:spacing w:line="210" w:lineRule="exact" w:before="142"/>
              <w:ind w:left="30"/>
              <w:rPr>
                <w:i/>
                <w:sz w:val="20"/>
              </w:rPr>
            </w:pPr>
            <w:r>
              <w:rPr>
                <w:i/>
                <w:sz w:val="20"/>
              </w:rPr>
              <w:t>Summary</w:t>
            </w:r>
            <w:r>
              <w:rPr>
                <w:i/>
                <w:spacing w:val="-1"/>
                <w:sz w:val="20"/>
              </w:rPr>
              <w:t> </w:t>
            </w:r>
            <w:r>
              <w:rPr>
                <w:i/>
                <w:sz w:val="20"/>
              </w:rPr>
              <w:t>of Restricted</w:t>
            </w:r>
            <w:r>
              <w:rPr>
                <w:i/>
                <w:spacing w:val="-1"/>
                <w:sz w:val="20"/>
              </w:rPr>
              <w:t> </w:t>
            </w:r>
            <w:r>
              <w:rPr>
                <w:i/>
                <w:sz w:val="20"/>
              </w:rPr>
              <w:t>Stock</w:t>
            </w:r>
            <w:r>
              <w:rPr>
                <w:i/>
                <w:spacing w:val="-1"/>
                <w:sz w:val="20"/>
              </w:rPr>
              <w:t> </w:t>
            </w:r>
            <w:r>
              <w:rPr>
                <w:i/>
                <w:spacing w:val="-2"/>
                <w:sz w:val="20"/>
              </w:rPr>
              <w:t>Units</w:t>
            </w:r>
          </w:p>
        </w:tc>
        <w:tc>
          <w:tcPr>
            <w:tcW w:w="1670" w:type="dxa"/>
          </w:tcPr>
          <w:p>
            <w:pPr>
              <w:pStyle w:val="TableParagraph"/>
              <w:rPr>
                <w:sz w:val="18"/>
              </w:rPr>
            </w:pPr>
          </w:p>
        </w:tc>
        <w:tc>
          <w:tcPr>
            <w:tcW w:w="2044" w:type="dxa"/>
            <w:gridSpan w:val="2"/>
          </w:tcPr>
          <w:p>
            <w:pPr>
              <w:pStyle w:val="TableParagraph"/>
              <w:rPr>
                <w:sz w:val="18"/>
              </w:rPr>
            </w:pPr>
          </w:p>
        </w:tc>
        <w:tc>
          <w:tcPr>
            <w:tcW w:w="1247" w:type="dxa"/>
          </w:tcPr>
          <w:p>
            <w:pPr>
              <w:pStyle w:val="TableParagraph"/>
              <w:rPr>
                <w:sz w:val="18"/>
              </w:rPr>
            </w:pPr>
          </w:p>
        </w:tc>
      </w:tr>
      <w:tr>
        <w:trPr>
          <w:trHeight w:val="440" w:hRule="atLeast"/>
        </w:trPr>
        <w:tc>
          <w:tcPr>
            <w:tcW w:w="10261" w:type="dxa"/>
            <w:gridSpan w:val="5"/>
          </w:tcPr>
          <w:p>
            <w:pPr>
              <w:pStyle w:val="TableParagraph"/>
              <w:spacing w:line="210" w:lineRule="exact" w:before="210"/>
              <w:ind w:left="570"/>
              <w:rPr>
                <w:sz w:val="20"/>
              </w:rPr>
            </w:pPr>
            <w:r>
              <w:rPr>
                <w:sz w:val="20"/>
              </w:rPr>
              <w:t>Restricted</w:t>
            </w:r>
            <w:r>
              <w:rPr>
                <w:spacing w:val="-2"/>
                <w:sz w:val="20"/>
              </w:rPr>
              <w:t> </w:t>
            </w:r>
            <w:r>
              <w:rPr>
                <w:sz w:val="20"/>
              </w:rPr>
              <w:t>stock</w:t>
            </w:r>
            <w:r>
              <w:rPr>
                <w:spacing w:val="-1"/>
                <w:sz w:val="20"/>
              </w:rPr>
              <w:t> </w:t>
            </w:r>
            <w:r>
              <w:rPr>
                <w:sz w:val="20"/>
              </w:rPr>
              <w:t>unit</w:t>
            </w:r>
            <w:r>
              <w:rPr>
                <w:spacing w:val="-1"/>
                <w:sz w:val="20"/>
              </w:rPr>
              <w:t> </w:t>
            </w:r>
            <w:r>
              <w:rPr>
                <w:sz w:val="20"/>
              </w:rPr>
              <w:t>activity</w:t>
            </w:r>
            <w:r>
              <w:rPr>
                <w:spacing w:val="-1"/>
                <w:sz w:val="20"/>
              </w:rPr>
              <w:t> </w:t>
            </w:r>
            <w:r>
              <w:rPr>
                <w:sz w:val="20"/>
              </w:rPr>
              <w:t>for</w:t>
            </w:r>
            <w:r>
              <w:rPr>
                <w:spacing w:val="-1"/>
                <w:sz w:val="20"/>
              </w:rPr>
              <w:t> </w:t>
            </w:r>
            <w:r>
              <w:rPr>
                <w:sz w:val="20"/>
              </w:rPr>
              <w:t>fiscal</w:t>
            </w:r>
            <w:r>
              <w:rPr>
                <w:spacing w:val="-1"/>
                <w:sz w:val="20"/>
              </w:rPr>
              <w:t> </w:t>
            </w:r>
            <w:r>
              <w:rPr>
                <w:sz w:val="20"/>
              </w:rPr>
              <w:t>2017,</w:t>
            </w:r>
            <w:r>
              <w:rPr>
                <w:spacing w:val="-1"/>
                <w:sz w:val="20"/>
              </w:rPr>
              <w:t> </w:t>
            </w:r>
            <w:r>
              <w:rPr>
                <w:sz w:val="20"/>
              </w:rPr>
              <w:t>2016</w:t>
            </w:r>
            <w:r>
              <w:rPr>
                <w:spacing w:val="-1"/>
                <w:sz w:val="20"/>
              </w:rPr>
              <w:t> </w:t>
            </w:r>
            <w:r>
              <w:rPr>
                <w:sz w:val="20"/>
              </w:rPr>
              <w:t>and 2015</w:t>
            </w:r>
            <w:r>
              <w:rPr>
                <w:spacing w:val="-1"/>
                <w:sz w:val="20"/>
              </w:rPr>
              <w:t> </w:t>
            </w:r>
            <w:r>
              <w:rPr>
                <w:sz w:val="20"/>
              </w:rPr>
              <w:t>was</w:t>
            </w:r>
            <w:r>
              <w:rPr>
                <w:spacing w:val="-1"/>
                <w:sz w:val="20"/>
              </w:rPr>
              <w:t> </w:t>
            </w:r>
            <w:r>
              <w:rPr>
                <w:sz w:val="20"/>
              </w:rPr>
              <w:t>as follows</w:t>
            </w:r>
            <w:r>
              <w:rPr>
                <w:spacing w:val="-1"/>
                <w:sz w:val="20"/>
              </w:rPr>
              <w:t> </w:t>
            </w:r>
            <w:r>
              <w:rPr>
                <w:sz w:val="20"/>
              </w:rPr>
              <w:t>(in </w:t>
            </w:r>
            <w:r>
              <w:rPr>
                <w:spacing w:val="-2"/>
                <w:sz w:val="20"/>
              </w:rPr>
              <w:t>thousands):</w:t>
            </w:r>
          </w:p>
        </w:tc>
      </w:tr>
      <w:tr>
        <w:trPr>
          <w:trHeight w:val="436" w:hRule="atLeast"/>
        </w:trPr>
        <w:tc>
          <w:tcPr>
            <w:tcW w:w="5300" w:type="dxa"/>
          </w:tcPr>
          <w:p>
            <w:pPr>
              <w:pStyle w:val="TableParagraph"/>
              <w:rPr>
                <w:sz w:val="18"/>
              </w:rPr>
            </w:pPr>
          </w:p>
        </w:tc>
        <w:tc>
          <w:tcPr>
            <w:tcW w:w="2770" w:type="dxa"/>
            <w:gridSpan w:val="2"/>
          </w:tcPr>
          <w:p>
            <w:pPr>
              <w:pStyle w:val="TableParagraph"/>
              <w:spacing w:before="28"/>
              <w:rPr>
                <w:sz w:val="16"/>
              </w:rPr>
            </w:pPr>
          </w:p>
          <w:p>
            <w:pPr>
              <w:pStyle w:val="TableParagraph"/>
              <w:ind w:left="1810"/>
              <w:rPr>
                <w:b/>
                <w:sz w:val="16"/>
              </w:rPr>
            </w:pPr>
            <w:r>
              <w:rPr>
                <w:b/>
                <w:spacing w:val="-4"/>
                <w:sz w:val="16"/>
              </w:rPr>
              <w:t>2017</w:t>
            </w:r>
          </w:p>
        </w:tc>
        <w:tc>
          <w:tcPr>
            <w:tcW w:w="944" w:type="dxa"/>
            <w:tcBorders>
              <w:bottom w:val="single" w:sz="8" w:space="0" w:color="000000"/>
            </w:tcBorders>
          </w:tcPr>
          <w:p>
            <w:pPr>
              <w:pStyle w:val="TableParagraph"/>
              <w:spacing w:before="28"/>
              <w:rPr>
                <w:sz w:val="16"/>
              </w:rPr>
            </w:pPr>
          </w:p>
          <w:p>
            <w:pPr>
              <w:pStyle w:val="TableParagraph"/>
              <w:ind w:left="240"/>
              <w:rPr>
                <w:b/>
                <w:sz w:val="16"/>
              </w:rPr>
            </w:pPr>
            <w:r>
              <w:rPr>
                <w:b/>
                <w:spacing w:val="-4"/>
                <w:sz w:val="16"/>
              </w:rPr>
              <w:t>2016</w:t>
            </w:r>
          </w:p>
        </w:tc>
        <w:tc>
          <w:tcPr>
            <w:tcW w:w="1247" w:type="dxa"/>
            <w:tcBorders>
              <w:bottom w:val="single" w:sz="8" w:space="0" w:color="000000"/>
            </w:tcBorders>
          </w:tcPr>
          <w:p>
            <w:pPr>
              <w:pStyle w:val="TableParagraph"/>
              <w:spacing w:before="28"/>
              <w:rPr>
                <w:sz w:val="16"/>
              </w:rPr>
            </w:pPr>
          </w:p>
          <w:p>
            <w:pPr>
              <w:pStyle w:val="TableParagraph"/>
              <w:ind w:left="65"/>
              <w:jc w:val="center"/>
              <w:rPr>
                <w:b/>
                <w:sz w:val="16"/>
              </w:rPr>
            </w:pPr>
            <w:r>
              <w:rPr>
                <w:b/>
                <w:spacing w:val="-4"/>
                <w:sz w:val="16"/>
              </w:rPr>
              <w:t>2015</w:t>
            </w:r>
          </w:p>
        </w:tc>
      </w:tr>
      <w:tr>
        <w:trPr>
          <w:trHeight w:val="270" w:hRule="atLeast"/>
        </w:trPr>
        <w:tc>
          <w:tcPr>
            <w:tcW w:w="5300" w:type="dxa"/>
            <w:shd w:val="clear" w:color="auto" w:fill="CCEDFF"/>
          </w:tcPr>
          <w:p>
            <w:pPr>
              <w:pStyle w:val="TableParagraph"/>
              <w:spacing w:line="222" w:lineRule="exact"/>
              <w:ind w:left="50"/>
              <w:rPr>
                <w:sz w:val="20"/>
              </w:rPr>
            </w:pPr>
            <w:r>
              <w:rPr>
                <w:sz w:val="20"/>
              </w:rPr>
              <w:t>Beginning outstanding </w:t>
            </w:r>
            <w:r>
              <w:rPr>
                <w:spacing w:val="-2"/>
                <w:sz w:val="20"/>
              </w:rPr>
              <w:t>balance</w:t>
            </w:r>
          </w:p>
        </w:tc>
        <w:tc>
          <w:tcPr>
            <w:tcW w:w="2770" w:type="dxa"/>
            <w:gridSpan w:val="2"/>
            <w:tcBorders>
              <w:top w:val="single" w:sz="8" w:space="0" w:color="000000"/>
            </w:tcBorders>
            <w:shd w:val="clear" w:color="auto" w:fill="CCEDFF"/>
          </w:tcPr>
          <w:p>
            <w:pPr>
              <w:pStyle w:val="TableParagraph"/>
              <w:spacing w:line="222" w:lineRule="exact"/>
              <w:ind w:right="306"/>
              <w:jc w:val="right"/>
              <w:rPr>
                <w:sz w:val="20"/>
              </w:rPr>
            </w:pPr>
            <w:r>
              <w:rPr>
                <w:spacing w:val="-2"/>
                <w:sz w:val="20"/>
              </w:rPr>
              <w:t>8,316</w:t>
            </w:r>
          </w:p>
        </w:tc>
        <w:tc>
          <w:tcPr>
            <w:tcW w:w="944" w:type="dxa"/>
            <w:tcBorders>
              <w:top w:val="single" w:sz="8" w:space="0" w:color="000000"/>
            </w:tcBorders>
            <w:shd w:val="clear" w:color="auto" w:fill="CCEDFF"/>
          </w:tcPr>
          <w:p>
            <w:pPr>
              <w:pStyle w:val="TableParagraph"/>
              <w:spacing w:line="222" w:lineRule="exact"/>
              <w:ind w:right="50"/>
              <w:jc w:val="right"/>
              <w:rPr>
                <w:sz w:val="20"/>
              </w:rPr>
            </w:pPr>
            <w:r>
              <w:rPr>
                <w:spacing w:val="-2"/>
                <w:sz w:val="20"/>
              </w:rPr>
              <w:t>10,069</w:t>
            </w:r>
          </w:p>
        </w:tc>
        <w:tc>
          <w:tcPr>
            <w:tcW w:w="1247" w:type="dxa"/>
            <w:tcBorders>
              <w:top w:val="single" w:sz="8" w:space="0" w:color="000000"/>
            </w:tcBorders>
            <w:shd w:val="clear" w:color="auto" w:fill="CCEDFF"/>
          </w:tcPr>
          <w:p>
            <w:pPr>
              <w:pStyle w:val="TableParagraph"/>
              <w:spacing w:line="222" w:lineRule="exact"/>
              <w:ind w:left="-17" w:right="97"/>
              <w:jc w:val="right"/>
              <w:rPr>
                <w:sz w:val="20"/>
              </w:rPr>
            </w:pPr>
            <w:r>
              <w:rPr>
                <w:spacing w:val="-2"/>
                <w:sz w:val="20"/>
              </w:rPr>
              <w:t>13,564</w:t>
            </w:r>
          </w:p>
        </w:tc>
      </w:tr>
      <w:tr>
        <w:trPr>
          <w:trHeight w:val="280" w:hRule="atLeast"/>
        </w:trPr>
        <w:tc>
          <w:tcPr>
            <w:tcW w:w="5300" w:type="dxa"/>
          </w:tcPr>
          <w:p>
            <w:pPr>
              <w:pStyle w:val="TableParagraph"/>
              <w:spacing w:before="2"/>
              <w:ind w:left="50"/>
              <w:rPr>
                <w:sz w:val="20"/>
              </w:rPr>
            </w:pPr>
            <w:r>
              <w:rPr>
                <w:spacing w:val="-2"/>
                <w:sz w:val="20"/>
              </w:rPr>
              <w:t>Awarded</w:t>
            </w:r>
          </w:p>
        </w:tc>
        <w:tc>
          <w:tcPr>
            <w:tcW w:w="2770" w:type="dxa"/>
            <w:gridSpan w:val="2"/>
          </w:tcPr>
          <w:p>
            <w:pPr>
              <w:pStyle w:val="TableParagraph"/>
              <w:spacing w:before="2"/>
              <w:ind w:right="306"/>
              <w:jc w:val="right"/>
              <w:rPr>
                <w:sz w:val="20"/>
              </w:rPr>
            </w:pPr>
            <w:r>
              <w:rPr>
                <w:spacing w:val="-2"/>
                <w:sz w:val="20"/>
              </w:rPr>
              <w:t>5,018</w:t>
            </w:r>
          </w:p>
        </w:tc>
        <w:tc>
          <w:tcPr>
            <w:tcW w:w="944" w:type="dxa"/>
          </w:tcPr>
          <w:p>
            <w:pPr>
              <w:pStyle w:val="TableParagraph"/>
              <w:spacing w:before="2"/>
              <w:ind w:right="50"/>
              <w:jc w:val="right"/>
              <w:rPr>
                <w:sz w:val="20"/>
              </w:rPr>
            </w:pPr>
            <w:r>
              <w:rPr>
                <w:spacing w:val="-2"/>
                <w:sz w:val="20"/>
              </w:rPr>
              <w:t>4,440</w:t>
            </w:r>
          </w:p>
        </w:tc>
        <w:tc>
          <w:tcPr>
            <w:tcW w:w="1247" w:type="dxa"/>
          </w:tcPr>
          <w:p>
            <w:pPr>
              <w:pStyle w:val="TableParagraph"/>
              <w:spacing w:before="2"/>
              <w:ind w:left="-17" w:right="97"/>
              <w:jc w:val="right"/>
              <w:rPr>
                <w:sz w:val="20"/>
              </w:rPr>
            </w:pPr>
            <w:r>
              <w:rPr>
                <w:spacing w:val="-2"/>
                <w:sz w:val="20"/>
              </w:rPr>
              <w:t>4,012</w:t>
            </w:r>
          </w:p>
        </w:tc>
      </w:tr>
      <w:tr>
        <w:trPr>
          <w:trHeight w:val="280" w:hRule="atLeast"/>
        </w:trPr>
        <w:tc>
          <w:tcPr>
            <w:tcW w:w="5300" w:type="dxa"/>
            <w:shd w:val="clear" w:color="auto" w:fill="CCEDFF"/>
          </w:tcPr>
          <w:p>
            <w:pPr>
              <w:pStyle w:val="TableParagraph"/>
              <w:spacing w:before="2"/>
              <w:ind w:left="50"/>
              <w:rPr>
                <w:sz w:val="20"/>
              </w:rPr>
            </w:pPr>
            <w:r>
              <w:rPr>
                <w:spacing w:val="-2"/>
                <w:sz w:val="20"/>
              </w:rPr>
              <w:t>Released</w:t>
            </w:r>
          </w:p>
        </w:tc>
        <w:tc>
          <w:tcPr>
            <w:tcW w:w="2770" w:type="dxa"/>
            <w:gridSpan w:val="2"/>
            <w:shd w:val="clear" w:color="auto" w:fill="CCEDFF"/>
          </w:tcPr>
          <w:p>
            <w:pPr>
              <w:pStyle w:val="TableParagraph"/>
              <w:spacing w:before="2"/>
              <w:ind w:right="238"/>
              <w:jc w:val="right"/>
              <w:rPr>
                <w:sz w:val="20"/>
              </w:rPr>
            </w:pPr>
            <w:r>
              <w:rPr>
                <w:spacing w:val="-2"/>
                <w:sz w:val="20"/>
              </w:rPr>
              <w:t>(3,859)</w:t>
            </w:r>
          </w:p>
        </w:tc>
        <w:tc>
          <w:tcPr>
            <w:tcW w:w="944" w:type="dxa"/>
            <w:shd w:val="clear" w:color="auto" w:fill="CCEDFF"/>
          </w:tcPr>
          <w:p>
            <w:pPr>
              <w:pStyle w:val="TableParagraph"/>
              <w:spacing w:before="2"/>
              <w:ind w:right="-29"/>
              <w:jc w:val="right"/>
              <w:rPr>
                <w:sz w:val="20"/>
              </w:rPr>
            </w:pPr>
            <w:r>
              <w:rPr>
                <w:spacing w:val="-2"/>
                <w:sz w:val="20"/>
              </w:rPr>
              <w:t>(5,471)</w:t>
            </w:r>
          </w:p>
        </w:tc>
        <w:tc>
          <w:tcPr>
            <w:tcW w:w="1247" w:type="dxa"/>
            <w:shd w:val="clear" w:color="auto" w:fill="CCEDFF"/>
          </w:tcPr>
          <w:p>
            <w:pPr>
              <w:pStyle w:val="TableParagraph"/>
              <w:spacing w:before="2"/>
              <w:ind w:left="-17" w:right="29"/>
              <w:jc w:val="right"/>
              <w:rPr>
                <w:sz w:val="20"/>
              </w:rPr>
            </w:pPr>
            <w:r>
              <w:rPr>
                <w:spacing w:val="-2"/>
                <w:sz w:val="20"/>
              </w:rPr>
              <w:t>(6,561)</w:t>
            </w:r>
          </w:p>
        </w:tc>
      </w:tr>
      <w:tr>
        <w:trPr>
          <w:trHeight w:val="280" w:hRule="atLeast"/>
        </w:trPr>
        <w:tc>
          <w:tcPr>
            <w:tcW w:w="5300" w:type="dxa"/>
          </w:tcPr>
          <w:p>
            <w:pPr>
              <w:pStyle w:val="TableParagraph"/>
              <w:spacing w:before="2"/>
              <w:ind w:left="50"/>
              <w:rPr>
                <w:sz w:val="20"/>
              </w:rPr>
            </w:pPr>
            <w:r>
              <w:rPr>
                <w:spacing w:val="-2"/>
                <w:sz w:val="20"/>
              </w:rPr>
              <w:t>Forfeited</w:t>
            </w:r>
          </w:p>
        </w:tc>
        <w:tc>
          <w:tcPr>
            <w:tcW w:w="2770" w:type="dxa"/>
            <w:gridSpan w:val="2"/>
          </w:tcPr>
          <w:p>
            <w:pPr>
              <w:pStyle w:val="TableParagraph"/>
              <w:spacing w:before="2"/>
              <w:ind w:right="238"/>
              <w:jc w:val="right"/>
              <w:rPr>
                <w:sz w:val="20"/>
              </w:rPr>
            </w:pPr>
            <w:r>
              <w:rPr>
                <w:spacing w:val="-2"/>
                <w:sz w:val="20"/>
              </w:rPr>
              <w:t>(766)</w:t>
            </w:r>
          </w:p>
        </w:tc>
        <w:tc>
          <w:tcPr>
            <w:tcW w:w="944" w:type="dxa"/>
          </w:tcPr>
          <w:p>
            <w:pPr>
              <w:pStyle w:val="TableParagraph"/>
              <w:spacing w:before="2"/>
              <w:ind w:right="-29"/>
              <w:jc w:val="right"/>
              <w:rPr>
                <w:sz w:val="20"/>
              </w:rPr>
            </w:pPr>
            <w:r>
              <w:rPr>
                <w:spacing w:val="-2"/>
                <w:sz w:val="20"/>
              </w:rPr>
              <w:t>(722)</w:t>
            </w:r>
          </w:p>
        </w:tc>
        <w:tc>
          <w:tcPr>
            <w:tcW w:w="1247" w:type="dxa"/>
          </w:tcPr>
          <w:p>
            <w:pPr>
              <w:pStyle w:val="TableParagraph"/>
              <w:spacing w:before="2"/>
              <w:ind w:left="-17" w:right="29"/>
              <w:jc w:val="right"/>
              <w:rPr>
                <w:sz w:val="20"/>
              </w:rPr>
            </w:pPr>
            <w:r>
              <w:rPr>
                <w:spacing w:val="-2"/>
                <w:sz w:val="20"/>
              </w:rPr>
              <w:t>(946)</w:t>
            </w:r>
          </w:p>
        </w:tc>
      </w:tr>
      <w:tr>
        <w:trPr>
          <w:trHeight w:val="270" w:hRule="atLeast"/>
        </w:trPr>
        <w:tc>
          <w:tcPr>
            <w:tcW w:w="5300" w:type="dxa"/>
            <w:shd w:val="clear" w:color="auto" w:fill="CCEDFF"/>
          </w:tcPr>
          <w:p>
            <w:pPr>
              <w:pStyle w:val="TableParagraph"/>
              <w:spacing w:before="2"/>
              <w:ind w:left="50"/>
              <w:rPr>
                <w:sz w:val="20"/>
              </w:rPr>
            </w:pPr>
            <w:r>
              <w:rPr>
                <w:sz w:val="20"/>
              </w:rPr>
              <w:t>Increase due to </w:t>
            </w:r>
            <w:r>
              <w:rPr>
                <w:spacing w:val="-2"/>
                <w:sz w:val="20"/>
              </w:rPr>
              <w:t>acquisition</w:t>
            </w:r>
          </w:p>
        </w:tc>
        <w:tc>
          <w:tcPr>
            <w:tcW w:w="2770" w:type="dxa"/>
            <w:gridSpan w:val="2"/>
            <w:shd w:val="clear" w:color="auto" w:fill="CCEDFF"/>
          </w:tcPr>
          <w:p>
            <w:pPr>
              <w:pStyle w:val="TableParagraph"/>
              <w:spacing w:before="2"/>
              <w:ind w:right="306"/>
              <w:jc w:val="right"/>
              <w:rPr>
                <w:sz w:val="20"/>
              </w:rPr>
            </w:pPr>
            <w:r>
              <w:rPr>
                <w:spacing w:val="-5"/>
                <w:sz w:val="20"/>
              </w:rPr>
              <w:t>595</w:t>
            </w:r>
          </w:p>
        </w:tc>
        <w:tc>
          <w:tcPr>
            <w:tcW w:w="944" w:type="dxa"/>
            <w:tcBorders>
              <w:bottom w:val="single" w:sz="8" w:space="0" w:color="000000"/>
            </w:tcBorders>
            <w:shd w:val="clear" w:color="auto" w:fill="CCEDFF"/>
          </w:tcPr>
          <w:p>
            <w:pPr>
              <w:pStyle w:val="TableParagraph"/>
              <w:spacing w:before="2"/>
              <w:ind w:right="50"/>
              <w:jc w:val="right"/>
              <w:rPr>
                <w:sz w:val="20"/>
              </w:rPr>
            </w:pPr>
            <w:r>
              <w:rPr>
                <w:spacing w:val="-10"/>
                <w:sz w:val="20"/>
              </w:rPr>
              <w:t>—</w:t>
            </w:r>
          </w:p>
        </w:tc>
        <w:tc>
          <w:tcPr>
            <w:tcW w:w="1247" w:type="dxa"/>
            <w:tcBorders>
              <w:bottom w:val="single" w:sz="8" w:space="0" w:color="000000"/>
            </w:tcBorders>
            <w:shd w:val="clear" w:color="auto" w:fill="CCEDFF"/>
          </w:tcPr>
          <w:p>
            <w:pPr>
              <w:pStyle w:val="TableParagraph"/>
              <w:spacing w:before="2"/>
              <w:ind w:left="-17" w:right="97"/>
              <w:jc w:val="right"/>
              <w:rPr>
                <w:sz w:val="20"/>
              </w:rPr>
            </w:pPr>
            <w:r>
              <w:rPr>
                <w:spacing w:val="-10"/>
                <w:sz w:val="20"/>
              </w:rPr>
              <w:t>—</w:t>
            </w:r>
          </w:p>
        </w:tc>
      </w:tr>
      <w:tr>
        <w:trPr>
          <w:trHeight w:val="221" w:hRule="atLeast"/>
        </w:trPr>
        <w:tc>
          <w:tcPr>
            <w:tcW w:w="5300" w:type="dxa"/>
          </w:tcPr>
          <w:p>
            <w:pPr>
              <w:pStyle w:val="TableParagraph"/>
              <w:spacing w:line="202" w:lineRule="exact"/>
              <w:ind w:left="50"/>
              <w:rPr>
                <w:sz w:val="20"/>
              </w:rPr>
            </w:pPr>
            <w:r>
              <w:rPr>
                <w:sz w:val="20"/>
              </w:rPr>
              <w:t>Ending outstanding </w:t>
            </w:r>
            <w:r>
              <w:rPr>
                <w:spacing w:val="-2"/>
                <w:sz w:val="20"/>
              </w:rPr>
              <w:t>balance</w:t>
            </w:r>
          </w:p>
        </w:tc>
        <w:tc>
          <w:tcPr>
            <w:tcW w:w="2770" w:type="dxa"/>
            <w:gridSpan w:val="2"/>
          </w:tcPr>
          <w:p>
            <w:pPr>
              <w:pStyle w:val="TableParagraph"/>
              <w:spacing w:line="202" w:lineRule="exact"/>
              <w:ind w:right="306"/>
              <w:jc w:val="right"/>
              <w:rPr>
                <w:sz w:val="20"/>
              </w:rPr>
            </w:pPr>
            <w:r>
              <w:rPr>
                <w:spacing w:val="-2"/>
                <w:sz w:val="20"/>
              </w:rPr>
              <w:t>9,304</w:t>
            </w:r>
          </w:p>
        </w:tc>
        <w:tc>
          <w:tcPr>
            <w:tcW w:w="944" w:type="dxa"/>
            <w:tcBorders>
              <w:top w:val="single" w:sz="8" w:space="0" w:color="000000"/>
            </w:tcBorders>
          </w:tcPr>
          <w:p>
            <w:pPr>
              <w:pStyle w:val="TableParagraph"/>
              <w:spacing w:line="202" w:lineRule="exact"/>
              <w:ind w:right="50"/>
              <w:jc w:val="right"/>
              <w:rPr>
                <w:sz w:val="20"/>
              </w:rPr>
            </w:pPr>
            <w:r>
              <w:rPr>
                <w:spacing w:val="-2"/>
                <w:sz w:val="20"/>
              </w:rPr>
              <w:t>8,316</w:t>
            </w:r>
          </w:p>
        </w:tc>
        <w:tc>
          <w:tcPr>
            <w:tcW w:w="1247" w:type="dxa"/>
            <w:tcBorders>
              <w:top w:val="single" w:sz="8" w:space="0" w:color="000000"/>
            </w:tcBorders>
          </w:tcPr>
          <w:p>
            <w:pPr>
              <w:pStyle w:val="TableParagraph"/>
              <w:spacing w:line="202" w:lineRule="exact"/>
              <w:ind w:left="-17" w:right="97"/>
              <w:jc w:val="right"/>
              <w:rPr>
                <w:sz w:val="20"/>
              </w:rPr>
            </w:pPr>
            <w:r>
              <w:rPr>
                <w:spacing w:val="-2"/>
                <w:sz w:val="20"/>
              </w:rPr>
              <w:t>10,069</w:t>
            </w:r>
          </w:p>
        </w:tc>
      </w:tr>
    </w:tbl>
    <w:p>
      <w:pPr>
        <w:spacing w:line="60" w:lineRule="exact"/>
        <w:ind w:left="6900" w:right="0" w:firstLine="0"/>
        <w:jc w:val="left"/>
        <w:rPr>
          <w:sz w:val="6"/>
        </w:rPr>
      </w:pPr>
      <w:r>
        <w:rPr>
          <w:position w:val="0"/>
          <w:sz w:val="6"/>
        </w:rPr>
        <mc:AlternateContent>
          <mc:Choice Requires="wps">
            <w:drawing>
              <wp:inline distT="0" distB="0" distL="0" distR="0">
                <wp:extent cx="711200" cy="38100"/>
                <wp:effectExtent l="9525" t="0" r="3175" b="0"/>
                <wp:docPr id="507" name="Group 507"/>
                <wp:cNvGraphicFramePr>
                  <a:graphicFrameLocks/>
                </wp:cNvGraphicFramePr>
                <a:graphic>
                  <a:graphicData uri="http://schemas.microsoft.com/office/word/2010/wordprocessingGroup">
                    <wpg:wgp>
                      <wpg:cNvPr id="507" name="Group 507"/>
                      <wpg:cNvGrpSpPr/>
                      <wpg:grpSpPr>
                        <a:xfrm>
                          <a:off x="0" y="0"/>
                          <a:ext cx="711200" cy="38100"/>
                          <a:chExt cx="711200" cy="38100"/>
                        </a:xfrm>
                      </wpg:grpSpPr>
                      <wps:wsp>
                        <wps:cNvPr id="508" name="Graphic 508"/>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400" coordorigin="0,0" coordsize="1120,60">
                <v:shape style="position:absolute;left:0;top:10;width:1120;height:40" id="docshape401" coordorigin="0,10" coordsize="1120,40" path="m0,10l1120,10m0,50l1120,50e" filled="false" stroked="true" strokeweight="1pt" strokecolor="#000000">
                  <v:path arrowok="t"/>
                  <v:stroke dashstyle="solid"/>
                </v:shape>
              </v:group>
            </w:pict>
          </mc:Fallback>
        </mc:AlternateContent>
      </w:r>
      <w:r>
        <w:rPr>
          <w:position w:val="0"/>
          <w:sz w:val="6"/>
        </w:rPr>
      </w:r>
      <w:r>
        <w:rPr>
          <w:spacing w:val="30"/>
          <w:position w:val="0"/>
          <w:sz w:val="6"/>
        </w:rPr>
        <w:t> </w:t>
      </w:r>
      <w:r>
        <w:rPr>
          <w:spacing w:val="30"/>
          <w:position w:val="0"/>
          <w:sz w:val="6"/>
        </w:rPr>
        <mc:AlternateContent>
          <mc:Choice Requires="wps">
            <w:drawing>
              <wp:inline distT="0" distB="0" distL="0" distR="0">
                <wp:extent cx="711200" cy="38100"/>
                <wp:effectExtent l="9525" t="0" r="3175" b="0"/>
                <wp:docPr id="509" name="Group 509"/>
                <wp:cNvGraphicFramePr>
                  <a:graphicFrameLocks/>
                </wp:cNvGraphicFramePr>
                <a:graphic>
                  <a:graphicData uri="http://schemas.microsoft.com/office/word/2010/wordprocessingGroup">
                    <wpg:wgp>
                      <wpg:cNvPr id="509" name="Group 509"/>
                      <wpg:cNvGrpSpPr/>
                      <wpg:grpSpPr>
                        <a:xfrm>
                          <a:off x="0" y="0"/>
                          <a:ext cx="711200" cy="38100"/>
                          <a:chExt cx="711200" cy="38100"/>
                        </a:xfrm>
                      </wpg:grpSpPr>
                      <wps:wsp>
                        <wps:cNvPr id="510" name="Graphic 510"/>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402" coordorigin="0,0" coordsize="1120,60">
                <v:shape style="position:absolute;left:0;top:10;width:1120;height:40" id="docshape403" coordorigin="0,10" coordsize="1120,40" path="m0,10l1120,10m0,50l1120,50e" filled="false" stroked="true" strokeweight="1pt" strokecolor="#000000">
                  <v:path arrowok="t"/>
                  <v:stroke dashstyle="solid"/>
                </v:shape>
              </v:group>
            </w:pict>
          </mc:Fallback>
        </mc:AlternateContent>
      </w:r>
      <w:r>
        <w:rPr>
          <w:spacing w:val="30"/>
          <w:position w:val="0"/>
          <w:sz w:val="6"/>
        </w:rPr>
      </w:r>
      <w:r>
        <w:rPr>
          <w:spacing w:val="30"/>
          <w:position w:val="0"/>
          <w:sz w:val="6"/>
        </w:rPr>
        <w:t> </w:t>
      </w:r>
      <w:r>
        <w:rPr>
          <w:spacing w:val="30"/>
          <w:position w:val="0"/>
          <w:sz w:val="6"/>
        </w:rPr>
        <mc:AlternateContent>
          <mc:Choice Requires="wps">
            <w:drawing>
              <wp:inline distT="0" distB="0" distL="0" distR="0">
                <wp:extent cx="711200" cy="38100"/>
                <wp:effectExtent l="9525" t="0" r="3175" b="0"/>
                <wp:docPr id="511" name="Group 511"/>
                <wp:cNvGraphicFramePr>
                  <a:graphicFrameLocks/>
                </wp:cNvGraphicFramePr>
                <a:graphic>
                  <a:graphicData uri="http://schemas.microsoft.com/office/word/2010/wordprocessingGroup">
                    <wpg:wgp>
                      <wpg:cNvPr id="511" name="Group 511"/>
                      <wpg:cNvGrpSpPr/>
                      <wpg:grpSpPr>
                        <a:xfrm>
                          <a:off x="0" y="0"/>
                          <a:ext cx="711200" cy="38100"/>
                          <a:chExt cx="711200" cy="38100"/>
                        </a:xfrm>
                      </wpg:grpSpPr>
                      <wps:wsp>
                        <wps:cNvPr id="512" name="Graphic 512"/>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404" coordorigin="0,0" coordsize="1120,60">
                <v:shape style="position:absolute;left:0;top:10;width:1120;height:40" id="docshape405" coordorigin="0,10" coordsize="1120,40" path="m0,10l1120,10m0,50l1120,50e" filled="false" stroked="true" strokeweight="1pt" strokecolor="#000000">
                  <v:path arrowok="t"/>
                  <v:stroke dashstyle="solid"/>
                </v:shape>
              </v:group>
            </w:pict>
          </mc:Fallback>
        </mc:AlternateContent>
      </w:r>
      <w:r>
        <w:rPr>
          <w:spacing w:val="30"/>
          <w:position w:val="0"/>
          <w:sz w:val="6"/>
        </w:rPr>
      </w:r>
    </w:p>
    <w:p>
      <w:pPr>
        <w:pStyle w:val="BodyText"/>
        <w:spacing w:before="44"/>
      </w:pPr>
    </w:p>
    <w:p>
      <w:pPr>
        <w:pStyle w:val="BodyText"/>
        <w:ind w:left="760"/>
      </w:pPr>
      <w:r>
        <w:rPr>
          <w:spacing w:val="-2"/>
        </w:rPr>
        <w:t>The</w:t>
      </w:r>
      <w:r>
        <w:rPr>
          <w:spacing w:val="-10"/>
        </w:rPr>
        <w:t> </w:t>
      </w:r>
      <w:r>
        <w:rPr>
          <w:spacing w:val="-2"/>
        </w:rPr>
        <w:t>weighted</w:t>
      </w:r>
      <w:r>
        <w:rPr>
          <w:spacing w:val="-9"/>
        </w:rPr>
        <w:t> </w:t>
      </w:r>
      <w:r>
        <w:rPr>
          <w:spacing w:val="-2"/>
        </w:rPr>
        <w:t>average</w:t>
      </w:r>
      <w:r>
        <w:rPr>
          <w:spacing w:val="-9"/>
        </w:rPr>
        <w:t> </w:t>
      </w:r>
      <w:r>
        <w:rPr>
          <w:spacing w:val="-2"/>
        </w:rPr>
        <w:t>grant</w:t>
      </w:r>
      <w:r>
        <w:rPr>
          <w:spacing w:val="-9"/>
        </w:rPr>
        <w:t> </w:t>
      </w:r>
      <w:r>
        <w:rPr>
          <w:spacing w:val="-2"/>
        </w:rPr>
        <w:t>date</w:t>
      </w:r>
      <w:r>
        <w:rPr>
          <w:spacing w:val="-9"/>
        </w:rPr>
        <w:t> </w:t>
      </w:r>
      <w:r>
        <w:rPr>
          <w:spacing w:val="-2"/>
        </w:rPr>
        <w:t>fair</w:t>
      </w:r>
      <w:r>
        <w:rPr>
          <w:spacing w:val="-9"/>
        </w:rPr>
        <w:t> </w:t>
      </w:r>
      <w:r>
        <w:rPr>
          <w:spacing w:val="-2"/>
        </w:rPr>
        <w:t>values</w:t>
      </w:r>
      <w:r>
        <w:rPr>
          <w:spacing w:val="-10"/>
        </w:rPr>
        <w:t> </w:t>
      </w:r>
      <w:r>
        <w:rPr>
          <w:spacing w:val="-2"/>
        </w:rPr>
        <w:t>of</w:t>
      </w:r>
      <w:r>
        <w:rPr>
          <w:spacing w:val="-9"/>
        </w:rPr>
        <w:t> </w:t>
      </w:r>
      <w:r>
        <w:rPr>
          <w:spacing w:val="-2"/>
        </w:rPr>
        <w:t>restricted</w:t>
      </w:r>
      <w:r>
        <w:rPr>
          <w:spacing w:val="-9"/>
        </w:rPr>
        <w:t> </w:t>
      </w:r>
      <w:r>
        <w:rPr>
          <w:spacing w:val="-2"/>
        </w:rPr>
        <w:t>stock</w:t>
      </w:r>
      <w:r>
        <w:rPr>
          <w:spacing w:val="-9"/>
        </w:rPr>
        <w:t> </w:t>
      </w:r>
      <w:r>
        <w:rPr>
          <w:spacing w:val="-2"/>
        </w:rPr>
        <w:t>units</w:t>
      </w:r>
      <w:r>
        <w:rPr>
          <w:spacing w:val="-9"/>
        </w:rPr>
        <w:t> </w:t>
      </w:r>
      <w:r>
        <w:rPr>
          <w:spacing w:val="-2"/>
        </w:rPr>
        <w:t>granted</w:t>
      </w:r>
      <w:r>
        <w:rPr>
          <w:spacing w:val="-9"/>
        </w:rPr>
        <w:t> </w:t>
      </w:r>
      <w:r>
        <w:rPr>
          <w:spacing w:val="-2"/>
        </w:rPr>
        <w:t>during</w:t>
      </w:r>
      <w:r>
        <w:rPr>
          <w:spacing w:val="-10"/>
        </w:rPr>
        <w:t> </w:t>
      </w:r>
      <w:r>
        <w:rPr>
          <w:spacing w:val="-2"/>
        </w:rPr>
        <w:t>fiscal</w:t>
      </w:r>
      <w:r>
        <w:rPr>
          <w:spacing w:val="-9"/>
        </w:rPr>
        <w:t> </w:t>
      </w:r>
      <w:r>
        <w:rPr>
          <w:spacing w:val="-2"/>
        </w:rPr>
        <w:t>2017,</w:t>
      </w:r>
      <w:r>
        <w:rPr>
          <w:spacing w:val="-9"/>
        </w:rPr>
        <w:t> </w:t>
      </w:r>
      <w:r>
        <w:rPr>
          <w:spacing w:val="-2"/>
        </w:rPr>
        <w:t>2016</w:t>
      </w:r>
      <w:r>
        <w:rPr>
          <w:spacing w:val="-9"/>
        </w:rPr>
        <w:t> </w:t>
      </w:r>
      <w:r>
        <w:rPr>
          <w:spacing w:val="-2"/>
        </w:rPr>
        <w:t>and</w:t>
      </w:r>
      <w:r>
        <w:rPr>
          <w:spacing w:val="-9"/>
        </w:rPr>
        <w:t> </w:t>
      </w:r>
      <w:r>
        <w:rPr>
          <w:spacing w:val="-2"/>
        </w:rPr>
        <w:t>2015</w:t>
      </w:r>
      <w:r>
        <w:rPr>
          <w:spacing w:val="-9"/>
        </w:rPr>
        <w:t> </w:t>
      </w:r>
      <w:r>
        <w:rPr>
          <w:spacing w:val="-2"/>
        </w:rPr>
        <w:t>were</w:t>
      </w:r>
      <w:r>
        <w:rPr>
          <w:spacing w:val="-9"/>
        </w:rPr>
        <w:t> </w:t>
      </w:r>
      <w:r>
        <w:rPr>
          <w:spacing w:val="-2"/>
        </w:rPr>
        <w:t>$120.33,</w:t>
      </w:r>
    </w:p>
    <w:p>
      <w:pPr>
        <w:pStyle w:val="BodyText"/>
        <w:spacing w:line="249" w:lineRule="auto" w:before="10"/>
        <w:ind w:left="220"/>
      </w:pPr>
      <w:r>
        <w:rPr/>
        <w:t>$89.87</w:t>
      </w:r>
      <w:r>
        <w:rPr>
          <w:spacing w:val="-12"/>
        </w:rPr>
        <w:t> </w:t>
      </w:r>
      <w:r>
        <w:rPr/>
        <w:t>and</w:t>
      </w:r>
      <w:r>
        <w:rPr>
          <w:spacing w:val="-11"/>
        </w:rPr>
        <w:t> </w:t>
      </w:r>
      <w:r>
        <w:rPr/>
        <w:t>$75.47,</w:t>
      </w:r>
      <w:r>
        <w:rPr>
          <w:spacing w:val="-11"/>
        </w:rPr>
        <w:t> </w:t>
      </w:r>
      <w:r>
        <w:rPr/>
        <w:t>respectively.</w:t>
      </w:r>
      <w:r>
        <w:rPr>
          <w:spacing w:val="-13"/>
        </w:rPr>
        <w:t> </w:t>
      </w:r>
      <w:r>
        <w:rPr/>
        <w:t>The</w:t>
      </w:r>
      <w:r>
        <w:rPr>
          <w:spacing w:val="-11"/>
        </w:rPr>
        <w:t> </w:t>
      </w:r>
      <w:r>
        <w:rPr/>
        <w:t>total</w:t>
      </w:r>
      <w:r>
        <w:rPr>
          <w:spacing w:val="-11"/>
        </w:rPr>
        <w:t> </w:t>
      </w:r>
      <w:r>
        <w:rPr/>
        <w:t>fair</w:t>
      </w:r>
      <w:r>
        <w:rPr>
          <w:spacing w:val="-11"/>
        </w:rPr>
        <w:t> </w:t>
      </w:r>
      <w:r>
        <w:rPr/>
        <w:t>value</w:t>
      </w:r>
      <w:r>
        <w:rPr>
          <w:spacing w:val="-11"/>
        </w:rPr>
        <w:t> </w:t>
      </w:r>
      <w:r>
        <w:rPr/>
        <w:t>of</w:t>
      </w:r>
      <w:r>
        <w:rPr>
          <w:spacing w:val="-11"/>
        </w:rPr>
        <w:t> </w:t>
      </w:r>
      <w:r>
        <w:rPr/>
        <w:t>restricted</w:t>
      </w:r>
      <w:r>
        <w:rPr>
          <w:spacing w:val="-11"/>
        </w:rPr>
        <w:t> </w:t>
      </w:r>
      <w:r>
        <w:rPr/>
        <w:t>stock</w:t>
      </w:r>
      <w:r>
        <w:rPr>
          <w:spacing w:val="-11"/>
        </w:rPr>
        <w:t> </w:t>
      </w:r>
      <w:r>
        <w:rPr/>
        <w:t>units</w:t>
      </w:r>
      <w:r>
        <w:rPr>
          <w:spacing w:val="-11"/>
        </w:rPr>
        <w:t> </w:t>
      </w:r>
      <w:r>
        <w:rPr/>
        <w:t>vested</w:t>
      </w:r>
      <w:r>
        <w:rPr>
          <w:spacing w:val="-11"/>
        </w:rPr>
        <w:t> </w:t>
      </w:r>
      <w:r>
        <w:rPr/>
        <w:t>during</w:t>
      </w:r>
      <w:r>
        <w:rPr>
          <w:spacing w:val="-11"/>
        </w:rPr>
        <w:t> </w:t>
      </w:r>
      <w:r>
        <w:rPr/>
        <w:t>fiscal</w:t>
      </w:r>
      <w:r>
        <w:rPr>
          <w:spacing w:val="-11"/>
        </w:rPr>
        <w:t> </w:t>
      </w:r>
      <w:r>
        <w:rPr/>
        <w:t>2017,</w:t>
      </w:r>
      <w:r>
        <w:rPr>
          <w:spacing w:val="-11"/>
        </w:rPr>
        <w:t> </w:t>
      </w:r>
      <w:r>
        <w:rPr/>
        <w:t>2016</w:t>
      </w:r>
      <w:r>
        <w:rPr>
          <w:spacing w:val="-11"/>
        </w:rPr>
        <w:t> </w:t>
      </w:r>
      <w:r>
        <w:rPr/>
        <w:t>and</w:t>
      </w:r>
      <w:r>
        <w:rPr>
          <w:spacing w:val="-11"/>
        </w:rPr>
        <w:t> </w:t>
      </w:r>
      <w:r>
        <w:rPr/>
        <w:t>2015</w:t>
      </w:r>
      <w:r>
        <w:rPr>
          <w:spacing w:val="-11"/>
        </w:rPr>
        <w:t> </w:t>
      </w:r>
      <w:r>
        <w:rPr/>
        <w:t>was</w:t>
      </w:r>
      <w:r>
        <w:rPr>
          <w:spacing w:val="-10"/>
        </w:rPr>
        <w:t> </w:t>
      </w:r>
      <w:r>
        <w:rPr/>
        <w:t>$472.0 million, $499.8 million and $495.1 million, respectively.</w:t>
      </w:r>
    </w:p>
    <w:p>
      <w:pPr>
        <w:pStyle w:val="BodyText"/>
        <w:spacing w:before="12"/>
      </w:pPr>
    </w:p>
    <w:p>
      <w:pPr>
        <w:pStyle w:val="BodyText"/>
        <w:spacing w:line="249" w:lineRule="auto"/>
        <w:ind w:left="220" w:right="240" w:firstLine="540"/>
      </w:pPr>
      <w:r>
        <w:rPr/>
        <w:t>Information</w:t>
      </w:r>
      <w:r>
        <w:rPr>
          <w:spacing w:val="-5"/>
        </w:rPr>
        <w:t> </w:t>
      </w:r>
      <w:r>
        <w:rPr/>
        <w:t>regarding</w:t>
      </w:r>
      <w:r>
        <w:rPr>
          <w:spacing w:val="-5"/>
        </w:rPr>
        <w:t> </w:t>
      </w:r>
      <w:r>
        <w:rPr/>
        <w:t>restricted</w:t>
      </w:r>
      <w:r>
        <w:rPr>
          <w:spacing w:val="-5"/>
        </w:rPr>
        <w:t> </w:t>
      </w:r>
      <w:r>
        <w:rPr/>
        <w:t>stock</w:t>
      </w:r>
      <w:r>
        <w:rPr>
          <w:spacing w:val="-5"/>
        </w:rPr>
        <w:t> </w:t>
      </w:r>
      <w:r>
        <w:rPr/>
        <w:t>units</w:t>
      </w:r>
      <w:r>
        <w:rPr>
          <w:spacing w:val="-5"/>
        </w:rPr>
        <w:t> </w:t>
      </w:r>
      <w:r>
        <w:rPr/>
        <w:t>outstanding</w:t>
      </w:r>
      <w:r>
        <w:rPr>
          <w:spacing w:val="-5"/>
        </w:rPr>
        <w:t> </w:t>
      </w:r>
      <w:r>
        <w:rPr/>
        <w:t>at</w:t>
      </w:r>
      <w:r>
        <w:rPr>
          <w:spacing w:val="-5"/>
        </w:rPr>
        <w:t> </w:t>
      </w:r>
      <w:r>
        <w:rPr/>
        <w:t>December</w:t>
      </w:r>
      <w:r>
        <w:rPr>
          <w:spacing w:val="-2"/>
        </w:rPr>
        <w:t> </w:t>
      </w:r>
      <w:r>
        <w:rPr/>
        <w:t>1,</w:t>
      </w:r>
      <w:r>
        <w:rPr>
          <w:spacing w:val="-5"/>
        </w:rPr>
        <w:t> </w:t>
      </w:r>
      <w:r>
        <w:rPr/>
        <w:t>2017,</w:t>
      </w:r>
      <w:r>
        <w:rPr>
          <w:spacing w:val="-5"/>
        </w:rPr>
        <w:t> </w:t>
      </w:r>
      <w:r>
        <w:rPr/>
        <w:t>December</w:t>
      </w:r>
      <w:r>
        <w:rPr>
          <w:spacing w:val="-2"/>
        </w:rPr>
        <w:t> </w:t>
      </w:r>
      <w:r>
        <w:rPr/>
        <w:t>2,</w:t>
      </w:r>
      <w:r>
        <w:rPr>
          <w:spacing w:val="-5"/>
        </w:rPr>
        <w:t> </w:t>
      </w:r>
      <w:r>
        <w:rPr/>
        <w:t>2016</w:t>
      </w:r>
      <w:r>
        <w:rPr>
          <w:spacing w:val="-5"/>
        </w:rPr>
        <w:t> </w:t>
      </w:r>
      <w:r>
        <w:rPr/>
        <w:t>and</w:t>
      </w:r>
      <w:r>
        <w:rPr>
          <w:spacing w:val="-5"/>
        </w:rPr>
        <w:t> </w:t>
      </w:r>
      <w:r>
        <w:rPr/>
        <w:t>November</w:t>
      </w:r>
      <w:r>
        <w:rPr>
          <w:spacing w:val="-2"/>
        </w:rPr>
        <w:t> </w:t>
      </w:r>
      <w:r>
        <w:rPr/>
        <w:t>27,</w:t>
      </w:r>
      <w:r>
        <w:rPr>
          <w:spacing w:val="-5"/>
        </w:rPr>
        <w:t> </w:t>
      </w:r>
      <w:r>
        <w:rPr/>
        <w:t>2015 is summarized below:</w:t>
      </w:r>
    </w:p>
    <w:p>
      <w:pPr>
        <w:spacing w:after="0" w:line="249" w:lineRule="auto"/>
        <w:sectPr>
          <w:pgSz w:w="12240" w:h="15840"/>
          <w:pgMar w:header="210" w:footer="610" w:top="1380" w:bottom="800" w:left="780" w:right="740"/>
        </w:sectPr>
      </w:pPr>
    </w:p>
    <w:p>
      <w:pPr>
        <w:pStyle w:val="BodyText"/>
        <w:rPr>
          <w:sz w:val="16"/>
        </w:rPr>
      </w:pPr>
    </w:p>
    <w:p>
      <w:pPr>
        <w:pStyle w:val="BodyText"/>
        <w:rPr>
          <w:sz w:val="16"/>
        </w:rPr>
      </w:pPr>
    </w:p>
    <w:p>
      <w:pPr>
        <w:pStyle w:val="BodyText"/>
        <w:spacing w:before="112"/>
        <w:rPr>
          <w:sz w:val="16"/>
        </w:rPr>
      </w:pPr>
    </w:p>
    <w:p>
      <w:pPr>
        <w:spacing w:line="208" w:lineRule="auto" w:before="0"/>
        <w:ind w:left="6379" w:right="0" w:firstLine="0"/>
        <w:jc w:val="center"/>
        <w:rPr>
          <w:b/>
          <w:sz w:val="16"/>
        </w:rPr>
      </w:pPr>
      <w:r>
        <w:rPr>
          <w:b/>
          <w:sz w:val="16"/>
        </w:rPr>
        <w:t>Number</w:t>
      </w:r>
      <w:r>
        <w:rPr>
          <w:b/>
          <w:spacing w:val="-7"/>
          <w:sz w:val="16"/>
        </w:rPr>
        <w:t> </w:t>
      </w:r>
      <w:r>
        <w:rPr>
          <w:b/>
          <w:sz w:val="16"/>
        </w:rPr>
        <w:t>of</w:t>
      </w:r>
      <w:r>
        <w:rPr>
          <w:b/>
          <w:spacing w:val="40"/>
          <w:sz w:val="16"/>
        </w:rPr>
        <w:t> </w:t>
      </w:r>
      <w:r>
        <w:rPr>
          <w:b/>
          <w:spacing w:val="-2"/>
          <w:sz w:val="16"/>
        </w:rPr>
        <w:t>Shares</w:t>
      </w:r>
      <w:r>
        <w:rPr>
          <w:b/>
          <w:spacing w:val="40"/>
          <w:sz w:val="16"/>
        </w:rPr>
        <w:t> </w:t>
      </w:r>
      <w:r>
        <w:rPr>
          <w:b/>
          <w:spacing w:val="-2"/>
          <w:sz w:val="16"/>
        </w:rPr>
        <w:t>(thousands)</w:t>
      </w:r>
    </w:p>
    <w:p>
      <w:pPr>
        <w:spacing w:line="240" w:lineRule="auto" w:before="2"/>
        <w:rPr>
          <w:b/>
          <w:sz w:val="16"/>
        </w:rPr>
      </w:pPr>
      <w:r>
        <w:rPr/>
        <w:br w:type="column"/>
      </w:r>
      <w:r>
        <w:rPr>
          <w:b/>
          <w:sz w:val="16"/>
        </w:rPr>
      </w:r>
    </w:p>
    <w:p>
      <w:pPr>
        <w:spacing w:line="208" w:lineRule="auto" w:before="1"/>
        <w:ind w:left="626" w:right="0" w:hanging="1"/>
        <w:jc w:val="center"/>
        <w:rPr>
          <w:b/>
          <w:sz w:val="16"/>
        </w:rPr>
      </w:pPr>
      <w:r>
        <w:rPr>
          <w:b/>
          <w:spacing w:val="-2"/>
          <w:sz w:val="16"/>
        </w:rPr>
        <w:t>Weighted</w:t>
      </w:r>
      <w:r>
        <w:rPr>
          <w:b/>
          <w:spacing w:val="40"/>
          <w:sz w:val="16"/>
        </w:rPr>
        <w:t> </w:t>
      </w:r>
      <w:r>
        <w:rPr>
          <w:b/>
          <w:spacing w:val="-2"/>
          <w:sz w:val="16"/>
        </w:rPr>
        <w:t>Average</w:t>
      </w:r>
      <w:r>
        <w:rPr>
          <w:b/>
          <w:spacing w:val="40"/>
          <w:sz w:val="16"/>
        </w:rPr>
        <w:t> </w:t>
      </w:r>
      <w:r>
        <w:rPr>
          <w:b/>
          <w:spacing w:val="-2"/>
          <w:sz w:val="16"/>
        </w:rPr>
        <w:t>Remaining</w:t>
      </w:r>
      <w:r>
        <w:rPr>
          <w:b/>
          <w:spacing w:val="40"/>
          <w:sz w:val="16"/>
        </w:rPr>
        <w:t> </w:t>
      </w:r>
      <w:r>
        <w:rPr>
          <w:b/>
          <w:spacing w:val="-2"/>
          <w:sz w:val="16"/>
        </w:rPr>
        <w:t>Contractual</w:t>
      </w:r>
      <w:r>
        <w:rPr>
          <w:b/>
          <w:spacing w:val="40"/>
          <w:sz w:val="16"/>
        </w:rPr>
        <w:t> </w:t>
      </w:r>
      <w:r>
        <w:rPr>
          <w:b/>
          <w:spacing w:val="-4"/>
          <w:sz w:val="16"/>
        </w:rPr>
        <w:t>Life</w:t>
      </w:r>
    </w:p>
    <w:p>
      <w:pPr>
        <w:spacing w:line="164" w:lineRule="exact" w:before="0"/>
        <w:ind w:left="626" w:right="0" w:firstLine="0"/>
        <w:jc w:val="center"/>
        <w:rPr>
          <w:b/>
          <w:sz w:val="16"/>
        </w:rPr>
      </w:pPr>
      <w:r>
        <w:rPr>
          <w:b/>
          <w:spacing w:val="-2"/>
          <w:sz w:val="16"/>
        </w:rPr>
        <w:t>(years)</w:t>
      </w:r>
    </w:p>
    <w:p>
      <w:pPr>
        <w:spacing w:line="240" w:lineRule="auto" w:before="0"/>
        <w:rPr>
          <w:b/>
          <w:sz w:val="16"/>
        </w:rPr>
      </w:pPr>
      <w:r>
        <w:rPr/>
        <w:br w:type="column"/>
      </w:r>
      <w:r>
        <w:rPr>
          <w:b/>
          <w:sz w:val="16"/>
        </w:rPr>
      </w:r>
    </w:p>
    <w:p>
      <w:pPr>
        <w:pStyle w:val="BodyText"/>
        <w:spacing w:before="136"/>
        <w:rPr>
          <w:b/>
          <w:sz w:val="16"/>
        </w:rPr>
      </w:pPr>
    </w:p>
    <w:p>
      <w:pPr>
        <w:spacing w:line="208" w:lineRule="auto" w:before="0"/>
        <w:ind w:left="677" w:right="628" w:firstLine="0"/>
        <w:jc w:val="center"/>
        <w:rPr>
          <w:b/>
          <w:sz w:val="16"/>
        </w:rPr>
      </w:pPr>
      <w:r>
        <w:rPr>
          <w:b/>
          <w:spacing w:val="-2"/>
          <w:sz w:val="16"/>
        </w:rPr>
        <w:t>Aggregate</w:t>
      </w:r>
      <w:r>
        <w:rPr>
          <w:b/>
          <w:spacing w:val="40"/>
          <w:sz w:val="16"/>
        </w:rPr>
        <w:t> </w:t>
      </w:r>
      <w:r>
        <w:rPr>
          <w:b/>
          <w:spacing w:val="-2"/>
          <w:sz w:val="16"/>
        </w:rPr>
        <w:t>Intrinsic</w:t>
      </w:r>
      <w:r>
        <w:rPr>
          <w:b/>
          <w:spacing w:val="40"/>
          <w:sz w:val="16"/>
        </w:rPr>
        <w:t> </w:t>
      </w:r>
      <w:r>
        <w:rPr>
          <w:b/>
          <w:spacing w:val="-2"/>
          <w:sz w:val="16"/>
        </w:rPr>
        <w:t>Value</w:t>
      </w:r>
      <w:r>
        <w:rPr>
          <w:b/>
          <w:spacing w:val="-2"/>
          <w:sz w:val="16"/>
          <w:vertAlign w:val="superscript"/>
        </w:rPr>
        <w:t>(*)</w:t>
      </w:r>
      <w:r>
        <w:rPr>
          <w:b/>
          <w:spacing w:val="40"/>
          <w:sz w:val="16"/>
          <w:vertAlign w:val="baseline"/>
        </w:rPr>
        <w:t> </w:t>
      </w:r>
      <w:r>
        <w:rPr>
          <w:b/>
          <w:spacing w:val="-2"/>
          <w:sz w:val="16"/>
          <w:vertAlign w:val="baseline"/>
        </w:rPr>
        <w:t>(millions)</w:t>
      </w:r>
    </w:p>
    <w:p>
      <w:pPr>
        <w:spacing w:after="0" w:line="208" w:lineRule="auto"/>
        <w:jc w:val="center"/>
        <w:rPr>
          <w:sz w:val="16"/>
        </w:rPr>
        <w:sectPr>
          <w:type w:val="continuous"/>
          <w:pgSz w:w="12240" w:h="15840"/>
          <w:pgMar w:header="210" w:footer="610" w:top="680" w:bottom="280" w:left="780" w:right="740"/>
          <w:cols w:num="3" w:equalWidth="0">
            <w:col w:w="7180" w:space="40"/>
            <w:col w:w="1454" w:space="39"/>
            <w:col w:w="2007"/>
          </w:cols>
        </w:sectPr>
      </w:pPr>
    </w:p>
    <w:p>
      <w:pPr>
        <w:pStyle w:val="BodyText"/>
        <w:rPr>
          <w:b/>
          <w:sz w:val="4"/>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0"/>
        <w:gridCol w:w="1659"/>
        <w:gridCol w:w="1018"/>
        <w:gridCol w:w="1682"/>
      </w:tblGrid>
      <w:tr>
        <w:trPr>
          <w:trHeight w:val="270" w:hRule="atLeast"/>
        </w:trPr>
        <w:tc>
          <w:tcPr>
            <w:tcW w:w="5900" w:type="dxa"/>
          </w:tcPr>
          <w:p>
            <w:pPr>
              <w:pStyle w:val="TableParagraph"/>
              <w:spacing w:line="220" w:lineRule="exact"/>
              <w:ind w:left="70"/>
              <w:rPr>
                <w:b/>
                <w:sz w:val="20"/>
              </w:rPr>
            </w:pPr>
            <w:r>
              <w:rPr>
                <w:b/>
                <w:spacing w:val="-4"/>
                <w:sz w:val="20"/>
              </w:rPr>
              <w:t>2017</w:t>
            </w:r>
          </w:p>
        </w:tc>
        <w:tc>
          <w:tcPr>
            <w:tcW w:w="4359" w:type="dxa"/>
            <w:gridSpan w:val="3"/>
            <w:tcBorders>
              <w:top w:val="single" w:sz="8" w:space="0" w:color="000000"/>
            </w:tcBorders>
          </w:tcPr>
          <w:p>
            <w:pPr>
              <w:pStyle w:val="TableParagraph"/>
              <w:rPr>
                <w:sz w:val="18"/>
              </w:rPr>
            </w:pPr>
          </w:p>
        </w:tc>
      </w:tr>
      <w:tr>
        <w:trPr>
          <w:trHeight w:val="280" w:hRule="atLeast"/>
        </w:trPr>
        <w:tc>
          <w:tcPr>
            <w:tcW w:w="5900" w:type="dxa"/>
            <w:shd w:val="clear" w:color="auto" w:fill="CCEDFF"/>
          </w:tcPr>
          <w:p>
            <w:pPr>
              <w:pStyle w:val="TableParagraph"/>
              <w:spacing w:before="2"/>
              <w:ind w:left="70"/>
              <w:rPr>
                <w:sz w:val="20"/>
              </w:rPr>
            </w:pPr>
            <w:r>
              <w:rPr>
                <w:sz w:val="20"/>
              </w:rPr>
              <w:t>Restricted</w:t>
            </w:r>
            <w:r>
              <w:rPr>
                <w:spacing w:val="-4"/>
                <w:sz w:val="20"/>
              </w:rPr>
              <w:t> </w:t>
            </w:r>
            <w:r>
              <w:rPr>
                <w:sz w:val="20"/>
              </w:rPr>
              <w:t>stock</w:t>
            </w:r>
            <w:r>
              <w:rPr>
                <w:spacing w:val="-1"/>
                <w:sz w:val="20"/>
              </w:rPr>
              <w:t> </w:t>
            </w:r>
            <w:r>
              <w:rPr>
                <w:sz w:val="20"/>
              </w:rPr>
              <w:t>units</w:t>
            </w:r>
            <w:r>
              <w:rPr>
                <w:spacing w:val="-2"/>
                <w:sz w:val="20"/>
              </w:rPr>
              <w:t> outstanding</w:t>
            </w:r>
          </w:p>
        </w:tc>
        <w:tc>
          <w:tcPr>
            <w:tcW w:w="1659" w:type="dxa"/>
            <w:shd w:val="clear" w:color="auto" w:fill="CCEDFF"/>
          </w:tcPr>
          <w:p>
            <w:pPr>
              <w:pStyle w:val="TableParagraph"/>
              <w:spacing w:before="2"/>
              <w:ind w:right="335"/>
              <w:jc w:val="right"/>
              <w:rPr>
                <w:sz w:val="20"/>
              </w:rPr>
            </w:pPr>
            <w:r>
              <w:rPr>
                <w:spacing w:val="-2"/>
                <w:sz w:val="20"/>
              </w:rPr>
              <w:t>9,304</w:t>
            </w:r>
          </w:p>
        </w:tc>
        <w:tc>
          <w:tcPr>
            <w:tcW w:w="1018" w:type="dxa"/>
            <w:shd w:val="clear" w:color="auto" w:fill="CCEDFF"/>
          </w:tcPr>
          <w:p>
            <w:pPr>
              <w:pStyle w:val="TableParagraph"/>
              <w:spacing w:before="2"/>
              <w:ind w:left="6"/>
              <w:jc w:val="center"/>
              <w:rPr>
                <w:sz w:val="20"/>
              </w:rPr>
            </w:pPr>
            <w:r>
              <w:rPr>
                <w:spacing w:val="-4"/>
                <w:sz w:val="20"/>
              </w:rPr>
              <w:t>1.11</w:t>
            </w:r>
          </w:p>
        </w:tc>
        <w:tc>
          <w:tcPr>
            <w:tcW w:w="1682" w:type="dxa"/>
            <w:shd w:val="clear" w:color="auto" w:fill="CCEDFF"/>
          </w:tcPr>
          <w:p>
            <w:pPr>
              <w:pStyle w:val="TableParagraph"/>
              <w:tabs>
                <w:tab w:pos="672" w:val="left" w:leader="none"/>
              </w:tabs>
              <w:spacing w:before="2"/>
              <w:ind w:right="75"/>
              <w:jc w:val="right"/>
              <w:rPr>
                <w:sz w:val="20"/>
              </w:rPr>
            </w:pPr>
            <w:r>
              <w:rPr>
                <w:spacing w:val="-10"/>
                <w:sz w:val="20"/>
              </w:rPr>
              <w:t>$</w:t>
            </w:r>
            <w:r>
              <w:rPr>
                <w:sz w:val="20"/>
              </w:rPr>
              <w:tab/>
            </w:r>
            <w:r>
              <w:rPr>
                <w:spacing w:val="-2"/>
                <w:sz w:val="20"/>
              </w:rPr>
              <w:t>1,670.2</w:t>
            </w:r>
          </w:p>
        </w:tc>
      </w:tr>
      <w:tr>
        <w:trPr>
          <w:trHeight w:val="280" w:hRule="atLeast"/>
        </w:trPr>
        <w:tc>
          <w:tcPr>
            <w:tcW w:w="5900" w:type="dxa"/>
          </w:tcPr>
          <w:p>
            <w:pPr>
              <w:pStyle w:val="TableParagraph"/>
              <w:spacing w:before="2"/>
              <w:ind w:left="70"/>
              <w:rPr>
                <w:sz w:val="20"/>
              </w:rPr>
            </w:pPr>
            <w:r>
              <w:rPr>
                <w:sz w:val="20"/>
              </w:rPr>
              <w:t>Restricted</w:t>
            </w:r>
            <w:r>
              <w:rPr>
                <w:spacing w:val="-1"/>
                <w:sz w:val="20"/>
              </w:rPr>
              <w:t> </w:t>
            </w:r>
            <w:r>
              <w:rPr>
                <w:sz w:val="20"/>
              </w:rPr>
              <w:t>stock</w:t>
            </w:r>
            <w:r>
              <w:rPr>
                <w:spacing w:val="-1"/>
                <w:sz w:val="20"/>
              </w:rPr>
              <w:t> </w:t>
            </w:r>
            <w:r>
              <w:rPr>
                <w:sz w:val="20"/>
              </w:rPr>
              <w:t>units</w:t>
            </w:r>
            <w:r>
              <w:rPr>
                <w:spacing w:val="-1"/>
                <w:sz w:val="20"/>
              </w:rPr>
              <w:t> </w:t>
            </w:r>
            <w:r>
              <w:rPr>
                <w:sz w:val="20"/>
              </w:rPr>
              <w:t>vested</w:t>
            </w:r>
            <w:r>
              <w:rPr>
                <w:spacing w:val="-1"/>
                <w:sz w:val="20"/>
              </w:rPr>
              <w:t> </w:t>
            </w:r>
            <w:r>
              <w:rPr>
                <w:sz w:val="20"/>
              </w:rPr>
              <w:t>and expected</w:t>
            </w:r>
            <w:r>
              <w:rPr>
                <w:spacing w:val="-1"/>
                <w:sz w:val="20"/>
              </w:rPr>
              <w:t> </w:t>
            </w:r>
            <w:r>
              <w:rPr>
                <w:sz w:val="20"/>
              </w:rPr>
              <w:t>to </w:t>
            </w:r>
            <w:r>
              <w:rPr>
                <w:spacing w:val="-4"/>
                <w:sz w:val="20"/>
              </w:rPr>
              <w:t>vest</w:t>
            </w:r>
          </w:p>
        </w:tc>
        <w:tc>
          <w:tcPr>
            <w:tcW w:w="1659" w:type="dxa"/>
          </w:tcPr>
          <w:p>
            <w:pPr>
              <w:pStyle w:val="TableParagraph"/>
              <w:spacing w:before="2"/>
              <w:ind w:right="335"/>
              <w:jc w:val="right"/>
              <w:rPr>
                <w:sz w:val="20"/>
              </w:rPr>
            </w:pPr>
            <w:r>
              <w:rPr>
                <w:spacing w:val="-2"/>
                <w:sz w:val="20"/>
              </w:rPr>
              <w:t>8,608</w:t>
            </w:r>
          </w:p>
        </w:tc>
        <w:tc>
          <w:tcPr>
            <w:tcW w:w="1018" w:type="dxa"/>
          </w:tcPr>
          <w:p>
            <w:pPr>
              <w:pStyle w:val="TableParagraph"/>
              <w:spacing w:before="2"/>
              <w:ind w:left="6" w:right="2"/>
              <w:jc w:val="center"/>
              <w:rPr>
                <w:sz w:val="20"/>
              </w:rPr>
            </w:pPr>
            <w:r>
              <w:rPr>
                <w:spacing w:val="-4"/>
                <w:sz w:val="20"/>
              </w:rPr>
              <w:t>1.05</w:t>
            </w:r>
          </w:p>
        </w:tc>
        <w:tc>
          <w:tcPr>
            <w:tcW w:w="1682" w:type="dxa"/>
          </w:tcPr>
          <w:p>
            <w:pPr>
              <w:pStyle w:val="TableParagraph"/>
              <w:tabs>
                <w:tab w:pos="672" w:val="left" w:leader="none"/>
              </w:tabs>
              <w:spacing w:before="2"/>
              <w:ind w:right="75"/>
              <w:jc w:val="right"/>
              <w:rPr>
                <w:sz w:val="20"/>
              </w:rPr>
            </w:pPr>
            <w:r>
              <w:rPr>
                <w:spacing w:val="-10"/>
                <w:sz w:val="20"/>
              </w:rPr>
              <w:t>$</w:t>
            </w:r>
            <w:r>
              <w:rPr>
                <w:sz w:val="20"/>
              </w:rPr>
              <w:tab/>
            </w:r>
            <w:r>
              <w:rPr>
                <w:spacing w:val="-2"/>
                <w:sz w:val="20"/>
              </w:rPr>
              <w:t>1,545.3</w:t>
            </w:r>
          </w:p>
        </w:tc>
      </w:tr>
      <w:tr>
        <w:trPr>
          <w:trHeight w:val="280" w:hRule="atLeast"/>
        </w:trPr>
        <w:tc>
          <w:tcPr>
            <w:tcW w:w="5900" w:type="dxa"/>
            <w:shd w:val="clear" w:color="auto" w:fill="CCEDFF"/>
          </w:tcPr>
          <w:p>
            <w:pPr>
              <w:pStyle w:val="TableParagraph"/>
              <w:spacing w:line="230" w:lineRule="exact"/>
              <w:ind w:left="70"/>
              <w:rPr>
                <w:b/>
                <w:sz w:val="20"/>
              </w:rPr>
            </w:pPr>
            <w:r>
              <w:rPr>
                <w:b/>
                <w:spacing w:val="-4"/>
                <w:sz w:val="20"/>
              </w:rPr>
              <w:t>2016</w:t>
            </w:r>
          </w:p>
        </w:tc>
        <w:tc>
          <w:tcPr>
            <w:tcW w:w="1659" w:type="dxa"/>
            <w:shd w:val="clear" w:color="auto" w:fill="CCEDFF"/>
          </w:tcPr>
          <w:p>
            <w:pPr>
              <w:pStyle w:val="TableParagraph"/>
              <w:rPr>
                <w:sz w:val="18"/>
              </w:rPr>
            </w:pPr>
          </w:p>
        </w:tc>
        <w:tc>
          <w:tcPr>
            <w:tcW w:w="1018" w:type="dxa"/>
            <w:shd w:val="clear" w:color="auto" w:fill="CCEDFF"/>
          </w:tcPr>
          <w:p>
            <w:pPr>
              <w:pStyle w:val="TableParagraph"/>
              <w:rPr>
                <w:sz w:val="18"/>
              </w:rPr>
            </w:pPr>
          </w:p>
        </w:tc>
        <w:tc>
          <w:tcPr>
            <w:tcW w:w="1682" w:type="dxa"/>
            <w:shd w:val="clear" w:color="auto" w:fill="CCEDFF"/>
          </w:tcPr>
          <w:p>
            <w:pPr>
              <w:pStyle w:val="TableParagraph"/>
              <w:rPr>
                <w:sz w:val="18"/>
              </w:rPr>
            </w:pPr>
          </w:p>
        </w:tc>
      </w:tr>
      <w:tr>
        <w:trPr>
          <w:trHeight w:val="280" w:hRule="atLeast"/>
        </w:trPr>
        <w:tc>
          <w:tcPr>
            <w:tcW w:w="5900" w:type="dxa"/>
          </w:tcPr>
          <w:p>
            <w:pPr>
              <w:pStyle w:val="TableParagraph"/>
              <w:spacing w:before="2"/>
              <w:ind w:left="70"/>
              <w:rPr>
                <w:sz w:val="20"/>
              </w:rPr>
            </w:pPr>
            <w:r>
              <w:rPr>
                <w:sz w:val="20"/>
              </w:rPr>
              <w:t>Restricted</w:t>
            </w:r>
            <w:r>
              <w:rPr>
                <w:spacing w:val="-4"/>
                <w:sz w:val="20"/>
              </w:rPr>
              <w:t> </w:t>
            </w:r>
            <w:r>
              <w:rPr>
                <w:sz w:val="20"/>
              </w:rPr>
              <w:t>stock</w:t>
            </w:r>
            <w:r>
              <w:rPr>
                <w:spacing w:val="-1"/>
                <w:sz w:val="20"/>
              </w:rPr>
              <w:t> </w:t>
            </w:r>
            <w:r>
              <w:rPr>
                <w:sz w:val="20"/>
              </w:rPr>
              <w:t>units</w:t>
            </w:r>
            <w:r>
              <w:rPr>
                <w:spacing w:val="-2"/>
                <w:sz w:val="20"/>
              </w:rPr>
              <w:t> outstanding</w:t>
            </w:r>
          </w:p>
        </w:tc>
        <w:tc>
          <w:tcPr>
            <w:tcW w:w="1659" w:type="dxa"/>
          </w:tcPr>
          <w:p>
            <w:pPr>
              <w:pStyle w:val="TableParagraph"/>
              <w:spacing w:before="2"/>
              <w:ind w:right="335"/>
              <w:jc w:val="right"/>
              <w:rPr>
                <w:sz w:val="20"/>
              </w:rPr>
            </w:pPr>
            <w:r>
              <w:rPr>
                <w:spacing w:val="-2"/>
                <w:sz w:val="20"/>
              </w:rPr>
              <w:t>8,316</w:t>
            </w:r>
          </w:p>
        </w:tc>
        <w:tc>
          <w:tcPr>
            <w:tcW w:w="1018" w:type="dxa"/>
          </w:tcPr>
          <w:p>
            <w:pPr>
              <w:pStyle w:val="TableParagraph"/>
              <w:spacing w:before="2"/>
              <w:ind w:left="6"/>
              <w:jc w:val="center"/>
              <w:rPr>
                <w:sz w:val="20"/>
              </w:rPr>
            </w:pPr>
            <w:r>
              <w:rPr>
                <w:spacing w:val="-4"/>
                <w:sz w:val="20"/>
              </w:rPr>
              <w:t>1.11</w:t>
            </w:r>
          </w:p>
        </w:tc>
        <w:tc>
          <w:tcPr>
            <w:tcW w:w="1682" w:type="dxa"/>
          </w:tcPr>
          <w:p>
            <w:pPr>
              <w:pStyle w:val="TableParagraph"/>
              <w:tabs>
                <w:tab w:pos="822" w:val="left" w:leader="none"/>
              </w:tabs>
              <w:spacing w:before="2"/>
              <w:ind w:right="75"/>
              <w:jc w:val="right"/>
              <w:rPr>
                <w:sz w:val="20"/>
              </w:rPr>
            </w:pPr>
            <w:r>
              <w:rPr>
                <w:spacing w:val="-10"/>
                <w:sz w:val="20"/>
              </w:rPr>
              <w:t>$</w:t>
            </w:r>
            <w:r>
              <w:rPr>
                <w:sz w:val="20"/>
              </w:rPr>
              <w:tab/>
            </w:r>
            <w:r>
              <w:rPr>
                <w:spacing w:val="-2"/>
                <w:sz w:val="20"/>
              </w:rPr>
              <w:t>829.4</w:t>
            </w:r>
          </w:p>
        </w:tc>
      </w:tr>
      <w:tr>
        <w:trPr>
          <w:trHeight w:val="280" w:hRule="atLeast"/>
        </w:trPr>
        <w:tc>
          <w:tcPr>
            <w:tcW w:w="5900" w:type="dxa"/>
            <w:shd w:val="clear" w:color="auto" w:fill="CCEDFF"/>
          </w:tcPr>
          <w:p>
            <w:pPr>
              <w:pStyle w:val="TableParagraph"/>
              <w:spacing w:before="2"/>
              <w:ind w:left="70"/>
              <w:rPr>
                <w:sz w:val="20"/>
              </w:rPr>
            </w:pPr>
            <w:r>
              <w:rPr>
                <w:sz w:val="20"/>
              </w:rPr>
              <w:t>Restricted</w:t>
            </w:r>
            <w:r>
              <w:rPr>
                <w:spacing w:val="-1"/>
                <w:sz w:val="20"/>
              </w:rPr>
              <w:t> </w:t>
            </w:r>
            <w:r>
              <w:rPr>
                <w:sz w:val="20"/>
              </w:rPr>
              <w:t>stock</w:t>
            </w:r>
            <w:r>
              <w:rPr>
                <w:spacing w:val="-1"/>
                <w:sz w:val="20"/>
              </w:rPr>
              <w:t> </w:t>
            </w:r>
            <w:r>
              <w:rPr>
                <w:sz w:val="20"/>
              </w:rPr>
              <w:t>units</w:t>
            </w:r>
            <w:r>
              <w:rPr>
                <w:spacing w:val="-1"/>
                <w:sz w:val="20"/>
              </w:rPr>
              <w:t> </w:t>
            </w:r>
            <w:r>
              <w:rPr>
                <w:sz w:val="20"/>
              </w:rPr>
              <w:t>vested</w:t>
            </w:r>
            <w:r>
              <w:rPr>
                <w:spacing w:val="-1"/>
                <w:sz w:val="20"/>
              </w:rPr>
              <w:t> </w:t>
            </w:r>
            <w:r>
              <w:rPr>
                <w:sz w:val="20"/>
              </w:rPr>
              <w:t>and expected</w:t>
            </w:r>
            <w:r>
              <w:rPr>
                <w:spacing w:val="-1"/>
                <w:sz w:val="20"/>
              </w:rPr>
              <w:t> </w:t>
            </w:r>
            <w:r>
              <w:rPr>
                <w:sz w:val="20"/>
              </w:rPr>
              <w:t>to </w:t>
            </w:r>
            <w:r>
              <w:rPr>
                <w:spacing w:val="-4"/>
                <w:sz w:val="20"/>
              </w:rPr>
              <w:t>vest</w:t>
            </w:r>
          </w:p>
        </w:tc>
        <w:tc>
          <w:tcPr>
            <w:tcW w:w="1659" w:type="dxa"/>
            <w:shd w:val="clear" w:color="auto" w:fill="CCEDFF"/>
          </w:tcPr>
          <w:p>
            <w:pPr>
              <w:pStyle w:val="TableParagraph"/>
              <w:spacing w:before="2"/>
              <w:ind w:right="335"/>
              <w:jc w:val="right"/>
              <w:rPr>
                <w:sz w:val="20"/>
              </w:rPr>
            </w:pPr>
            <w:r>
              <w:rPr>
                <w:spacing w:val="-2"/>
                <w:sz w:val="20"/>
              </w:rPr>
              <w:t>7,613</w:t>
            </w:r>
          </w:p>
        </w:tc>
        <w:tc>
          <w:tcPr>
            <w:tcW w:w="1018" w:type="dxa"/>
            <w:shd w:val="clear" w:color="auto" w:fill="CCEDFF"/>
          </w:tcPr>
          <w:p>
            <w:pPr>
              <w:pStyle w:val="TableParagraph"/>
              <w:spacing w:before="2"/>
              <w:ind w:left="6" w:right="2"/>
              <w:jc w:val="center"/>
              <w:rPr>
                <w:sz w:val="20"/>
              </w:rPr>
            </w:pPr>
            <w:r>
              <w:rPr>
                <w:spacing w:val="-4"/>
                <w:sz w:val="20"/>
              </w:rPr>
              <w:t>1.04</w:t>
            </w:r>
          </w:p>
        </w:tc>
        <w:tc>
          <w:tcPr>
            <w:tcW w:w="1682" w:type="dxa"/>
            <w:shd w:val="clear" w:color="auto" w:fill="CCEDFF"/>
          </w:tcPr>
          <w:p>
            <w:pPr>
              <w:pStyle w:val="TableParagraph"/>
              <w:tabs>
                <w:tab w:pos="822" w:val="left" w:leader="none"/>
              </w:tabs>
              <w:spacing w:before="2"/>
              <w:ind w:right="75"/>
              <w:jc w:val="right"/>
              <w:rPr>
                <w:sz w:val="20"/>
              </w:rPr>
            </w:pPr>
            <w:r>
              <w:rPr>
                <w:spacing w:val="-10"/>
                <w:sz w:val="20"/>
              </w:rPr>
              <w:t>$</w:t>
            </w:r>
            <w:r>
              <w:rPr>
                <w:sz w:val="20"/>
              </w:rPr>
              <w:tab/>
            </w:r>
            <w:r>
              <w:rPr>
                <w:spacing w:val="-2"/>
                <w:sz w:val="20"/>
              </w:rPr>
              <w:t>759.3</w:t>
            </w:r>
          </w:p>
        </w:tc>
      </w:tr>
      <w:tr>
        <w:trPr>
          <w:trHeight w:val="280" w:hRule="atLeast"/>
        </w:trPr>
        <w:tc>
          <w:tcPr>
            <w:tcW w:w="5900" w:type="dxa"/>
          </w:tcPr>
          <w:p>
            <w:pPr>
              <w:pStyle w:val="TableParagraph"/>
              <w:spacing w:line="230" w:lineRule="exact"/>
              <w:ind w:left="70"/>
              <w:rPr>
                <w:b/>
                <w:sz w:val="20"/>
              </w:rPr>
            </w:pPr>
            <w:r>
              <w:rPr>
                <w:b/>
                <w:spacing w:val="-4"/>
                <w:sz w:val="20"/>
              </w:rPr>
              <w:t>2015</w:t>
            </w:r>
          </w:p>
        </w:tc>
        <w:tc>
          <w:tcPr>
            <w:tcW w:w="1659" w:type="dxa"/>
          </w:tcPr>
          <w:p>
            <w:pPr>
              <w:pStyle w:val="TableParagraph"/>
              <w:rPr>
                <w:sz w:val="18"/>
              </w:rPr>
            </w:pPr>
          </w:p>
        </w:tc>
        <w:tc>
          <w:tcPr>
            <w:tcW w:w="1018" w:type="dxa"/>
          </w:tcPr>
          <w:p>
            <w:pPr>
              <w:pStyle w:val="TableParagraph"/>
              <w:rPr>
                <w:sz w:val="18"/>
              </w:rPr>
            </w:pPr>
          </w:p>
        </w:tc>
        <w:tc>
          <w:tcPr>
            <w:tcW w:w="1682" w:type="dxa"/>
          </w:tcPr>
          <w:p>
            <w:pPr>
              <w:pStyle w:val="TableParagraph"/>
              <w:rPr>
                <w:sz w:val="18"/>
              </w:rPr>
            </w:pPr>
          </w:p>
        </w:tc>
      </w:tr>
      <w:tr>
        <w:trPr>
          <w:trHeight w:val="280" w:hRule="atLeast"/>
        </w:trPr>
        <w:tc>
          <w:tcPr>
            <w:tcW w:w="5900" w:type="dxa"/>
            <w:shd w:val="clear" w:color="auto" w:fill="CCEDFF"/>
          </w:tcPr>
          <w:p>
            <w:pPr>
              <w:pStyle w:val="TableParagraph"/>
              <w:spacing w:before="2"/>
              <w:ind w:left="70"/>
              <w:rPr>
                <w:sz w:val="20"/>
              </w:rPr>
            </w:pPr>
            <w:r>
              <w:rPr>
                <w:sz w:val="20"/>
              </w:rPr>
              <w:t>Restricted</w:t>
            </w:r>
            <w:r>
              <w:rPr>
                <w:spacing w:val="-4"/>
                <w:sz w:val="20"/>
              </w:rPr>
              <w:t> </w:t>
            </w:r>
            <w:r>
              <w:rPr>
                <w:sz w:val="20"/>
              </w:rPr>
              <w:t>stock</w:t>
            </w:r>
            <w:r>
              <w:rPr>
                <w:spacing w:val="-1"/>
                <w:sz w:val="20"/>
              </w:rPr>
              <w:t> </w:t>
            </w:r>
            <w:r>
              <w:rPr>
                <w:sz w:val="20"/>
              </w:rPr>
              <w:t>units</w:t>
            </w:r>
            <w:r>
              <w:rPr>
                <w:spacing w:val="-2"/>
                <w:sz w:val="20"/>
              </w:rPr>
              <w:t> outstanding</w:t>
            </w:r>
          </w:p>
        </w:tc>
        <w:tc>
          <w:tcPr>
            <w:tcW w:w="1659" w:type="dxa"/>
            <w:shd w:val="clear" w:color="auto" w:fill="CCEDFF"/>
          </w:tcPr>
          <w:p>
            <w:pPr>
              <w:pStyle w:val="TableParagraph"/>
              <w:spacing w:before="2"/>
              <w:ind w:right="335"/>
              <w:jc w:val="right"/>
              <w:rPr>
                <w:sz w:val="20"/>
              </w:rPr>
            </w:pPr>
            <w:r>
              <w:rPr>
                <w:spacing w:val="-2"/>
                <w:sz w:val="20"/>
              </w:rPr>
              <w:t>10,069</w:t>
            </w:r>
          </w:p>
        </w:tc>
        <w:tc>
          <w:tcPr>
            <w:tcW w:w="1018" w:type="dxa"/>
            <w:shd w:val="clear" w:color="auto" w:fill="CCEDFF"/>
          </w:tcPr>
          <w:p>
            <w:pPr>
              <w:pStyle w:val="TableParagraph"/>
              <w:spacing w:before="2"/>
              <w:ind w:left="6" w:right="2"/>
              <w:jc w:val="center"/>
              <w:rPr>
                <w:sz w:val="20"/>
              </w:rPr>
            </w:pPr>
            <w:r>
              <w:rPr>
                <w:spacing w:val="-4"/>
                <w:sz w:val="20"/>
              </w:rPr>
              <w:t>0.93</w:t>
            </w:r>
          </w:p>
        </w:tc>
        <w:tc>
          <w:tcPr>
            <w:tcW w:w="1682" w:type="dxa"/>
            <w:shd w:val="clear" w:color="auto" w:fill="CCEDFF"/>
          </w:tcPr>
          <w:p>
            <w:pPr>
              <w:pStyle w:val="TableParagraph"/>
              <w:tabs>
                <w:tab w:pos="822" w:val="left" w:leader="none"/>
              </w:tabs>
              <w:spacing w:before="2"/>
              <w:ind w:right="75"/>
              <w:jc w:val="right"/>
              <w:rPr>
                <w:sz w:val="20"/>
              </w:rPr>
            </w:pPr>
            <w:r>
              <w:rPr>
                <w:spacing w:val="-10"/>
                <w:sz w:val="20"/>
              </w:rPr>
              <w:t>$</w:t>
            </w:r>
            <w:r>
              <w:rPr>
                <w:sz w:val="20"/>
              </w:rPr>
              <w:tab/>
            </w:r>
            <w:r>
              <w:rPr>
                <w:spacing w:val="-2"/>
                <w:sz w:val="20"/>
              </w:rPr>
              <w:t>928.0</w:t>
            </w:r>
          </w:p>
        </w:tc>
      </w:tr>
      <w:tr>
        <w:trPr>
          <w:trHeight w:val="231" w:hRule="atLeast"/>
        </w:trPr>
        <w:tc>
          <w:tcPr>
            <w:tcW w:w="5900" w:type="dxa"/>
          </w:tcPr>
          <w:p>
            <w:pPr>
              <w:pStyle w:val="TableParagraph"/>
              <w:spacing w:line="210" w:lineRule="exact" w:before="2"/>
              <w:ind w:left="70"/>
              <w:rPr>
                <w:sz w:val="20"/>
              </w:rPr>
            </w:pPr>
            <w:r>
              <w:rPr>
                <w:sz w:val="20"/>
              </w:rPr>
              <w:t>Restricted</w:t>
            </w:r>
            <w:r>
              <w:rPr>
                <w:spacing w:val="-1"/>
                <w:sz w:val="20"/>
              </w:rPr>
              <w:t> </w:t>
            </w:r>
            <w:r>
              <w:rPr>
                <w:sz w:val="20"/>
              </w:rPr>
              <w:t>stock</w:t>
            </w:r>
            <w:r>
              <w:rPr>
                <w:spacing w:val="-1"/>
                <w:sz w:val="20"/>
              </w:rPr>
              <w:t> </w:t>
            </w:r>
            <w:r>
              <w:rPr>
                <w:sz w:val="20"/>
              </w:rPr>
              <w:t>units</w:t>
            </w:r>
            <w:r>
              <w:rPr>
                <w:spacing w:val="-1"/>
                <w:sz w:val="20"/>
              </w:rPr>
              <w:t> </w:t>
            </w:r>
            <w:r>
              <w:rPr>
                <w:sz w:val="20"/>
              </w:rPr>
              <w:t>vested</w:t>
            </w:r>
            <w:r>
              <w:rPr>
                <w:spacing w:val="-1"/>
                <w:sz w:val="20"/>
              </w:rPr>
              <w:t> </w:t>
            </w:r>
            <w:r>
              <w:rPr>
                <w:sz w:val="20"/>
              </w:rPr>
              <w:t>and expected</w:t>
            </w:r>
            <w:r>
              <w:rPr>
                <w:spacing w:val="-1"/>
                <w:sz w:val="20"/>
              </w:rPr>
              <w:t> </w:t>
            </w:r>
            <w:r>
              <w:rPr>
                <w:sz w:val="20"/>
              </w:rPr>
              <w:t>to </w:t>
            </w:r>
            <w:r>
              <w:rPr>
                <w:spacing w:val="-4"/>
                <w:sz w:val="20"/>
              </w:rPr>
              <w:t>vest</w:t>
            </w:r>
          </w:p>
        </w:tc>
        <w:tc>
          <w:tcPr>
            <w:tcW w:w="1659" w:type="dxa"/>
          </w:tcPr>
          <w:p>
            <w:pPr>
              <w:pStyle w:val="TableParagraph"/>
              <w:spacing w:line="210" w:lineRule="exact" w:before="2"/>
              <w:ind w:right="335"/>
              <w:jc w:val="right"/>
              <w:rPr>
                <w:sz w:val="20"/>
              </w:rPr>
            </w:pPr>
            <w:r>
              <w:rPr>
                <w:spacing w:val="-2"/>
                <w:sz w:val="20"/>
              </w:rPr>
              <w:t>9,267</w:t>
            </w:r>
          </w:p>
        </w:tc>
        <w:tc>
          <w:tcPr>
            <w:tcW w:w="1018" w:type="dxa"/>
          </w:tcPr>
          <w:p>
            <w:pPr>
              <w:pStyle w:val="TableParagraph"/>
              <w:spacing w:line="210" w:lineRule="exact" w:before="2"/>
              <w:ind w:left="6" w:right="2"/>
              <w:jc w:val="center"/>
              <w:rPr>
                <w:sz w:val="20"/>
              </w:rPr>
            </w:pPr>
            <w:r>
              <w:rPr>
                <w:spacing w:val="-4"/>
                <w:sz w:val="20"/>
              </w:rPr>
              <w:t>0.86</w:t>
            </w:r>
          </w:p>
        </w:tc>
        <w:tc>
          <w:tcPr>
            <w:tcW w:w="1682" w:type="dxa"/>
          </w:tcPr>
          <w:p>
            <w:pPr>
              <w:pStyle w:val="TableParagraph"/>
              <w:tabs>
                <w:tab w:pos="822" w:val="left" w:leader="none"/>
              </w:tabs>
              <w:spacing w:line="210" w:lineRule="exact" w:before="2"/>
              <w:ind w:right="75"/>
              <w:jc w:val="right"/>
              <w:rPr>
                <w:sz w:val="20"/>
              </w:rPr>
            </w:pPr>
            <w:r>
              <w:rPr>
                <w:spacing w:val="-10"/>
                <w:sz w:val="20"/>
              </w:rPr>
              <w:t>$</w:t>
            </w:r>
            <w:r>
              <w:rPr>
                <w:sz w:val="20"/>
              </w:rPr>
              <w:tab/>
            </w:r>
            <w:r>
              <w:rPr>
                <w:spacing w:val="-2"/>
                <w:sz w:val="20"/>
              </w:rPr>
              <w:t>842.9</w:t>
            </w:r>
          </w:p>
        </w:tc>
      </w:tr>
    </w:tbl>
    <w:p>
      <w:pPr>
        <w:pStyle w:val="BodyText"/>
        <w:spacing w:before="8"/>
        <w:rPr>
          <w:b/>
          <w:sz w:val="15"/>
        </w:rPr>
      </w:pPr>
      <w:r>
        <w:rPr/>
        <mc:AlternateContent>
          <mc:Choice Requires="wps">
            <w:drawing>
              <wp:anchor distT="0" distB="0" distL="0" distR="0" allowOverlap="1" layoutInCell="1" locked="0" behindDoc="1" simplePos="0" relativeHeight="487683584">
                <wp:simplePos x="0" y="0"/>
                <wp:positionH relativeFrom="page">
                  <wp:posOffset>635000</wp:posOffset>
                </wp:positionH>
                <wp:positionV relativeFrom="paragraph">
                  <wp:posOffset>130080</wp:posOffset>
                </wp:positionV>
                <wp:extent cx="1692275" cy="1270"/>
                <wp:effectExtent l="0" t="0" r="0" b="0"/>
                <wp:wrapTopAndBottom/>
                <wp:docPr id="513" name="Graphic 513"/>
                <wp:cNvGraphicFramePr>
                  <a:graphicFrameLocks/>
                </wp:cNvGraphicFramePr>
                <a:graphic>
                  <a:graphicData uri="http://schemas.microsoft.com/office/word/2010/wordprocessingShape">
                    <wps:wsp>
                      <wps:cNvPr id="513" name="Graphic 513"/>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0.242589pt;width:133.25pt;height:.1pt;mso-position-horizontal-relative:page;mso-position-vertical-relative:paragraph;z-index:-15632896;mso-wrap-distance-left:0;mso-wrap-distance-right:0" id="docshape406" coordorigin="1000,205" coordsize="2665,0" path="m1000,205l3665,205e" filled="false" stroked="true" strokeweight=".26pt" strokecolor="#000000">
                <v:path arrowok="t"/>
                <v:stroke dashstyle="solid"/>
                <w10:wrap type="topAndBottom"/>
              </v:shape>
            </w:pict>
          </mc:Fallback>
        </mc:AlternateContent>
      </w:r>
    </w:p>
    <w:p>
      <w:pPr>
        <w:pStyle w:val="BodyText"/>
        <w:spacing w:line="249" w:lineRule="auto" w:before="116"/>
        <w:ind w:left="580" w:right="257" w:hanging="360"/>
        <w:jc w:val="both"/>
      </w:pPr>
      <w:r>
        <w:rPr>
          <w:vertAlign w:val="superscript"/>
        </w:rPr>
        <w:t>(*)</w:t>
      </w:r>
      <w:r>
        <w:rPr>
          <w:spacing w:val="80"/>
          <w:w w:val="150"/>
          <w:vertAlign w:val="baseline"/>
        </w:rPr>
        <w:t> </w:t>
      </w:r>
      <w:r>
        <w:rPr>
          <w:vertAlign w:val="baseline"/>
        </w:rPr>
        <w:t>The intrinsic value is calculated as the market value as of the end of the fiscal period.</w:t>
      </w:r>
      <w:r>
        <w:rPr>
          <w:spacing w:val="-10"/>
          <w:vertAlign w:val="baseline"/>
        </w:rPr>
        <w:t> </w:t>
      </w:r>
      <w:r>
        <w:rPr>
          <w:vertAlign w:val="baseline"/>
        </w:rPr>
        <w:t>As reported by the NASDAQ Global Select</w:t>
      </w:r>
      <w:r>
        <w:rPr>
          <w:spacing w:val="-6"/>
          <w:vertAlign w:val="baseline"/>
        </w:rPr>
        <w:t> </w:t>
      </w:r>
      <w:r>
        <w:rPr>
          <w:vertAlign w:val="baseline"/>
        </w:rPr>
        <w:t>Market,</w:t>
      </w:r>
      <w:r>
        <w:rPr>
          <w:spacing w:val="-5"/>
          <w:vertAlign w:val="baseline"/>
        </w:rPr>
        <w:t> </w:t>
      </w:r>
      <w:r>
        <w:rPr>
          <w:vertAlign w:val="baseline"/>
        </w:rPr>
        <w:t>the</w:t>
      </w:r>
      <w:r>
        <w:rPr>
          <w:spacing w:val="-5"/>
          <w:vertAlign w:val="baseline"/>
        </w:rPr>
        <w:t> </w:t>
      </w:r>
      <w:r>
        <w:rPr>
          <w:vertAlign w:val="baseline"/>
        </w:rPr>
        <w:t>market</w:t>
      </w:r>
      <w:r>
        <w:rPr>
          <w:spacing w:val="-6"/>
          <w:vertAlign w:val="baseline"/>
        </w:rPr>
        <w:t> </w:t>
      </w:r>
      <w:r>
        <w:rPr>
          <w:vertAlign w:val="baseline"/>
        </w:rPr>
        <w:t>values</w:t>
      </w:r>
      <w:r>
        <w:rPr>
          <w:spacing w:val="-5"/>
          <w:vertAlign w:val="baseline"/>
        </w:rPr>
        <w:t> </w:t>
      </w:r>
      <w:r>
        <w:rPr>
          <w:vertAlign w:val="baseline"/>
        </w:rPr>
        <w:t>as</w:t>
      </w:r>
      <w:r>
        <w:rPr>
          <w:spacing w:val="-5"/>
          <w:vertAlign w:val="baseline"/>
        </w:rPr>
        <w:t> </w:t>
      </w:r>
      <w:r>
        <w:rPr>
          <w:vertAlign w:val="baseline"/>
        </w:rPr>
        <w:t>of</w:t>
      </w:r>
      <w:r>
        <w:rPr>
          <w:spacing w:val="-5"/>
          <w:vertAlign w:val="baseline"/>
        </w:rPr>
        <w:t> </w:t>
      </w:r>
      <w:r>
        <w:rPr>
          <w:vertAlign w:val="baseline"/>
        </w:rPr>
        <w:t>December</w:t>
      </w:r>
      <w:r>
        <w:rPr>
          <w:spacing w:val="-2"/>
          <w:vertAlign w:val="baseline"/>
        </w:rPr>
        <w:t> </w:t>
      </w:r>
      <w:r>
        <w:rPr>
          <w:vertAlign w:val="baseline"/>
        </w:rPr>
        <w:t>1,</w:t>
      </w:r>
      <w:r>
        <w:rPr>
          <w:spacing w:val="-5"/>
          <w:vertAlign w:val="baseline"/>
        </w:rPr>
        <w:t> </w:t>
      </w:r>
      <w:r>
        <w:rPr>
          <w:vertAlign w:val="baseline"/>
        </w:rPr>
        <w:t>2017,</w:t>
      </w:r>
      <w:r>
        <w:rPr>
          <w:spacing w:val="-5"/>
          <w:vertAlign w:val="baseline"/>
        </w:rPr>
        <w:t> </w:t>
      </w:r>
      <w:r>
        <w:rPr>
          <w:vertAlign w:val="baseline"/>
        </w:rPr>
        <w:t>December</w:t>
      </w:r>
      <w:r>
        <w:rPr>
          <w:spacing w:val="-2"/>
          <w:vertAlign w:val="baseline"/>
        </w:rPr>
        <w:t> </w:t>
      </w:r>
      <w:r>
        <w:rPr>
          <w:vertAlign w:val="baseline"/>
        </w:rPr>
        <w:t>2,</w:t>
      </w:r>
      <w:r>
        <w:rPr>
          <w:spacing w:val="-5"/>
          <w:vertAlign w:val="baseline"/>
        </w:rPr>
        <w:t> </w:t>
      </w:r>
      <w:r>
        <w:rPr>
          <w:vertAlign w:val="baseline"/>
        </w:rPr>
        <w:t>2016</w:t>
      </w:r>
      <w:r>
        <w:rPr>
          <w:spacing w:val="-5"/>
          <w:vertAlign w:val="baseline"/>
        </w:rPr>
        <w:t> </w:t>
      </w:r>
      <w:r>
        <w:rPr>
          <w:vertAlign w:val="baseline"/>
        </w:rPr>
        <w:t>and</w:t>
      </w:r>
      <w:r>
        <w:rPr>
          <w:spacing w:val="-5"/>
          <w:vertAlign w:val="baseline"/>
        </w:rPr>
        <w:t> </w:t>
      </w:r>
      <w:r>
        <w:rPr>
          <w:vertAlign w:val="baseline"/>
        </w:rPr>
        <w:t>November</w:t>
      </w:r>
      <w:r>
        <w:rPr>
          <w:spacing w:val="-2"/>
          <w:vertAlign w:val="baseline"/>
        </w:rPr>
        <w:t> </w:t>
      </w:r>
      <w:r>
        <w:rPr>
          <w:vertAlign w:val="baseline"/>
        </w:rPr>
        <w:t>27,</w:t>
      </w:r>
      <w:r>
        <w:rPr>
          <w:spacing w:val="-5"/>
          <w:vertAlign w:val="baseline"/>
        </w:rPr>
        <w:t> </w:t>
      </w:r>
      <w:r>
        <w:rPr>
          <w:vertAlign w:val="baseline"/>
        </w:rPr>
        <w:t>2015</w:t>
      </w:r>
      <w:r>
        <w:rPr>
          <w:spacing w:val="-5"/>
          <w:vertAlign w:val="baseline"/>
        </w:rPr>
        <w:t> </w:t>
      </w:r>
      <w:r>
        <w:rPr>
          <w:vertAlign w:val="baseline"/>
        </w:rPr>
        <w:t>were</w:t>
      </w:r>
      <w:r>
        <w:rPr>
          <w:spacing w:val="-5"/>
          <w:vertAlign w:val="baseline"/>
        </w:rPr>
        <w:t> </w:t>
      </w:r>
      <w:r>
        <w:rPr>
          <w:vertAlign w:val="baseline"/>
        </w:rPr>
        <w:t>$179.52,</w:t>
      </w:r>
      <w:r>
        <w:rPr>
          <w:spacing w:val="-5"/>
          <w:vertAlign w:val="baseline"/>
        </w:rPr>
        <w:t> </w:t>
      </w:r>
      <w:r>
        <w:rPr>
          <w:vertAlign w:val="baseline"/>
        </w:rPr>
        <w:t>$99.73 and $92.17, respectively.</w:t>
      </w:r>
    </w:p>
    <w:p>
      <w:pPr>
        <w:spacing w:after="0" w:line="249" w:lineRule="auto"/>
        <w:jc w:val="both"/>
        <w:sectPr>
          <w:type w:val="continuous"/>
          <w:pgSz w:w="12240" w:h="15840"/>
          <w:pgMar w:header="210" w:footer="610" w:top="680" w:bottom="280" w:left="780" w:right="740"/>
        </w:sectPr>
      </w:pPr>
    </w:p>
    <w:p>
      <w:pPr>
        <w:pStyle w:val="BodyText"/>
      </w:pPr>
    </w:p>
    <w:p>
      <w:pPr>
        <w:pStyle w:val="BodyText"/>
      </w:pPr>
    </w:p>
    <w:p>
      <w:pPr>
        <w:pStyle w:val="BodyText"/>
        <w:spacing w:before="30"/>
      </w:pPr>
    </w:p>
    <w:p>
      <w:pPr>
        <w:spacing w:before="0"/>
        <w:ind w:left="220" w:right="0" w:firstLine="0"/>
        <w:jc w:val="left"/>
        <w:rPr>
          <w:i/>
          <w:sz w:val="20"/>
        </w:rPr>
      </w:pPr>
      <w:r>
        <w:rPr>
          <w:i/>
          <w:sz w:val="20"/>
        </w:rPr>
        <w:t>Summary</w:t>
      </w:r>
      <w:r>
        <w:rPr>
          <w:i/>
          <w:spacing w:val="-1"/>
          <w:sz w:val="20"/>
        </w:rPr>
        <w:t> </w:t>
      </w:r>
      <w:r>
        <w:rPr>
          <w:i/>
          <w:sz w:val="20"/>
        </w:rPr>
        <w:t>of Performance</w:t>
      </w:r>
      <w:r>
        <w:rPr>
          <w:i/>
          <w:spacing w:val="-1"/>
          <w:sz w:val="20"/>
        </w:rPr>
        <w:t> </w:t>
      </w:r>
      <w:r>
        <w:rPr>
          <w:i/>
          <w:spacing w:val="-2"/>
          <w:sz w:val="20"/>
        </w:rPr>
        <w:t>Shares</w:t>
      </w:r>
    </w:p>
    <w:p>
      <w:pPr>
        <w:pStyle w:val="BodyText"/>
        <w:spacing w:line="249" w:lineRule="auto" w:before="190"/>
        <w:ind w:left="220" w:right="257" w:firstLine="540"/>
        <w:jc w:val="both"/>
      </w:pPr>
      <w:r>
        <w:rPr/>
        <w:t>In the first quarter of fiscal 2017, the Executive Compensation Committee certified the actual performance achievement of</w:t>
      </w:r>
      <w:r>
        <w:rPr>
          <w:spacing w:val="-4"/>
        </w:rPr>
        <w:t> </w:t>
      </w:r>
      <w:r>
        <w:rPr/>
        <w:t>participants</w:t>
      </w:r>
      <w:r>
        <w:rPr>
          <w:spacing w:val="-3"/>
        </w:rPr>
        <w:t> </w:t>
      </w:r>
      <w:r>
        <w:rPr/>
        <w:t>in</w:t>
      </w:r>
      <w:r>
        <w:rPr>
          <w:spacing w:val="-3"/>
        </w:rPr>
        <w:t> </w:t>
      </w:r>
      <w:r>
        <w:rPr/>
        <w:t>the</w:t>
      </w:r>
      <w:r>
        <w:rPr>
          <w:spacing w:val="-3"/>
        </w:rPr>
        <w:t> </w:t>
      </w:r>
      <w:r>
        <w:rPr/>
        <w:t>2014</w:t>
      </w:r>
      <w:r>
        <w:rPr>
          <w:spacing w:val="-3"/>
        </w:rPr>
        <w:t> </w:t>
      </w:r>
      <w:r>
        <w:rPr/>
        <w:t>Performance</w:t>
      </w:r>
      <w:r>
        <w:rPr>
          <w:spacing w:val="-3"/>
        </w:rPr>
        <w:t> </w:t>
      </w:r>
      <w:r>
        <w:rPr/>
        <w:t>Share</w:t>
      </w:r>
      <w:r>
        <w:rPr>
          <w:spacing w:val="-3"/>
        </w:rPr>
        <w:t> </w:t>
      </w:r>
      <w:r>
        <w:rPr/>
        <w:t>Program.</w:t>
      </w:r>
      <w:r>
        <w:rPr>
          <w:spacing w:val="-13"/>
        </w:rPr>
        <w:t> </w:t>
      </w:r>
      <w:r>
        <w:rPr/>
        <w:t>Actual</w:t>
      </w:r>
      <w:r>
        <w:rPr>
          <w:spacing w:val="-3"/>
        </w:rPr>
        <w:t> </w:t>
      </w:r>
      <w:r>
        <w:rPr/>
        <w:t>performance</w:t>
      </w:r>
      <w:r>
        <w:rPr>
          <w:spacing w:val="-3"/>
        </w:rPr>
        <w:t> </w:t>
      </w:r>
      <w:r>
        <w:rPr/>
        <w:t>resulted</w:t>
      </w:r>
      <w:r>
        <w:rPr>
          <w:spacing w:val="-3"/>
        </w:rPr>
        <w:t> </w:t>
      </w:r>
      <w:r>
        <w:rPr/>
        <w:t>in</w:t>
      </w:r>
      <w:r>
        <w:rPr>
          <w:spacing w:val="-3"/>
        </w:rPr>
        <w:t> </w:t>
      </w:r>
      <w:r>
        <w:rPr/>
        <w:t>participants</w:t>
      </w:r>
      <w:r>
        <w:rPr>
          <w:spacing w:val="-3"/>
        </w:rPr>
        <w:t> </w:t>
      </w:r>
      <w:r>
        <w:rPr/>
        <w:t>achieving</w:t>
      </w:r>
      <w:r>
        <w:rPr>
          <w:spacing w:val="-3"/>
        </w:rPr>
        <w:t> </w:t>
      </w:r>
      <w:r>
        <w:rPr/>
        <w:t>198%</w:t>
      </w:r>
      <w:r>
        <w:rPr>
          <w:spacing w:val="-3"/>
        </w:rPr>
        <w:t> </w:t>
      </w:r>
      <w:r>
        <w:rPr/>
        <w:t>of</w:t>
      </w:r>
      <w:r>
        <w:rPr>
          <w:spacing w:val="-3"/>
        </w:rPr>
        <w:t> </w:t>
      </w:r>
      <w:r>
        <w:rPr/>
        <w:t>target</w:t>
      </w:r>
      <w:r>
        <w:rPr>
          <w:spacing w:val="-3"/>
        </w:rPr>
        <w:t> </w:t>
      </w:r>
      <w:r>
        <w:rPr/>
        <w:t>or approximately 0.6 million additional shares.</w:t>
      </w:r>
      <w:r>
        <w:rPr>
          <w:spacing w:val="-3"/>
        </w:rPr>
        <w:t> </w:t>
      </w:r>
      <w:r>
        <w:rPr/>
        <w:t>The shares granted and achieved under the 2014 Performance Share Program fully vested on the three-year anniversary of the grant on January 24, 2017, if not forfeited.</w:t>
      </w:r>
    </w:p>
    <w:p>
      <w:pPr>
        <w:pStyle w:val="BodyText"/>
        <w:spacing w:before="13"/>
      </w:pPr>
    </w:p>
    <w:p>
      <w:pPr>
        <w:pStyle w:val="BodyText"/>
        <w:spacing w:line="249" w:lineRule="auto"/>
        <w:ind w:left="220" w:right="257" w:firstLine="540"/>
        <w:jc w:val="both"/>
      </w:pPr>
      <w:r>
        <w:rPr/>
        <w:t>In the first quarter of fiscal 2016, the Executive Compensation Committee certified the actual performance achievement of</w:t>
      </w:r>
      <w:r>
        <w:rPr>
          <w:spacing w:val="-5"/>
        </w:rPr>
        <w:t> </w:t>
      </w:r>
      <w:r>
        <w:rPr/>
        <w:t>participants</w:t>
      </w:r>
      <w:r>
        <w:rPr>
          <w:spacing w:val="-3"/>
        </w:rPr>
        <w:t> </w:t>
      </w:r>
      <w:r>
        <w:rPr/>
        <w:t>in</w:t>
      </w:r>
      <w:r>
        <w:rPr>
          <w:spacing w:val="-3"/>
        </w:rPr>
        <w:t> </w:t>
      </w:r>
      <w:r>
        <w:rPr/>
        <w:t>the</w:t>
      </w:r>
      <w:r>
        <w:rPr>
          <w:spacing w:val="-3"/>
        </w:rPr>
        <w:t> </w:t>
      </w:r>
      <w:r>
        <w:rPr/>
        <w:t>2013</w:t>
      </w:r>
      <w:r>
        <w:rPr>
          <w:spacing w:val="-3"/>
        </w:rPr>
        <w:t> </w:t>
      </w:r>
      <w:r>
        <w:rPr/>
        <w:t>Performance</w:t>
      </w:r>
      <w:r>
        <w:rPr>
          <w:spacing w:val="-3"/>
        </w:rPr>
        <w:t> </w:t>
      </w:r>
      <w:r>
        <w:rPr/>
        <w:t>Share</w:t>
      </w:r>
      <w:r>
        <w:rPr>
          <w:spacing w:val="-3"/>
        </w:rPr>
        <w:t> </w:t>
      </w:r>
      <w:r>
        <w:rPr/>
        <w:t>Program.</w:t>
      </w:r>
      <w:r>
        <w:rPr>
          <w:spacing w:val="-13"/>
        </w:rPr>
        <w:t> </w:t>
      </w:r>
      <w:r>
        <w:rPr/>
        <w:t>Actual</w:t>
      </w:r>
      <w:r>
        <w:rPr>
          <w:spacing w:val="-3"/>
        </w:rPr>
        <w:t> </w:t>
      </w:r>
      <w:r>
        <w:rPr/>
        <w:t>performance</w:t>
      </w:r>
      <w:r>
        <w:rPr>
          <w:spacing w:val="-3"/>
        </w:rPr>
        <w:t> </w:t>
      </w:r>
      <w:r>
        <w:rPr/>
        <w:t>resulted</w:t>
      </w:r>
      <w:r>
        <w:rPr>
          <w:spacing w:val="-3"/>
        </w:rPr>
        <w:t> </w:t>
      </w:r>
      <w:r>
        <w:rPr/>
        <w:t>in</w:t>
      </w:r>
      <w:r>
        <w:rPr>
          <w:spacing w:val="-3"/>
        </w:rPr>
        <w:t> </w:t>
      </w:r>
      <w:r>
        <w:rPr/>
        <w:t>participants</w:t>
      </w:r>
      <w:r>
        <w:rPr>
          <w:spacing w:val="-3"/>
        </w:rPr>
        <w:t> </w:t>
      </w:r>
      <w:r>
        <w:rPr/>
        <w:t>achieving</w:t>
      </w:r>
      <w:r>
        <w:rPr>
          <w:spacing w:val="-3"/>
        </w:rPr>
        <w:t> </w:t>
      </w:r>
      <w:r>
        <w:rPr/>
        <w:t>198%</w:t>
      </w:r>
      <w:r>
        <w:rPr>
          <w:spacing w:val="-3"/>
        </w:rPr>
        <w:t> </w:t>
      </w:r>
      <w:r>
        <w:rPr/>
        <w:t>of</w:t>
      </w:r>
      <w:r>
        <w:rPr>
          <w:spacing w:val="-3"/>
        </w:rPr>
        <w:t> </w:t>
      </w:r>
      <w:r>
        <w:rPr/>
        <w:t>target</w:t>
      </w:r>
      <w:r>
        <w:rPr>
          <w:spacing w:val="-3"/>
        </w:rPr>
        <w:t> </w:t>
      </w:r>
      <w:r>
        <w:rPr/>
        <w:t>or approximately</w:t>
      </w:r>
      <w:r>
        <w:rPr>
          <w:spacing w:val="-2"/>
        </w:rPr>
        <w:t> </w:t>
      </w:r>
      <w:r>
        <w:rPr/>
        <w:t>0.7 million</w:t>
      </w:r>
      <w:r>
        <w:rPr>
          <w:spacing w:val="-3"/>
        </w:rPr>
        <w:t> </w:t>
      </w:r>
      <w:r>
        <w:rPr/>
        <w:t>additional shares.</w:t>
      </w:r>
      <w:r>
        <w:rPr>
          <w:spacing w:val="-2"/>
        </w:rPr>
        <w:t> </w:t>
      </w:r>
      <w:r>
        <w:rPr/>
        <w:t>The shares granted and achieved under the 2013 Performance Share Program fully vested</w:t>
      </w:r>
      <w:r>
        <w:rPr>
          <w:spacing w:val="-13"/>
        </w:rPr>
        <w:t> </w:t>
      </w:r>
      <w:r>
        <w:rPr/>
        <w:t>on</w:t>
      </w:r>
      <w:r>
        <w:rPr>
          <w:spacing w:val="-12"/>
        </w:rPr>
        <w:t> </w:t>
      </w:r>
      <w:r>
        <w:rPr/>
        <w:t>the</w:t>
      </w:r>
      <w:r>
        <w:rPr>
          <w:spacing w:val="-13"/>
        </w:rPr>
        <w:t> </w:t>
      </w:r>
      <w:r>
        <w:rPr/>
        <w:t>three-year</w:t>
      </w:r>
      <w:r>
        <w:rPr>
          <w:spacing w:val="-12"/>
        </w:rPr>
        <w:t> </w:t>
      </w:r>
      <w:r>
        <w:rPr/>
        <w:t>anniversary</w:t>
      </w:r>
      <w:r>
        <w:rPr>
          <w:spacing w:val="-13"/>
        </w:rPr>
        <w:t> </w:t>
      </w:r>
      <w:r>
        <w:rPr/>
        <w:t>of</w:t>
      </w:r>
      <w:r>
        <w:rPr>
          <w:spacing w:val="-12"/>
        </w:rPr>
        <w:t> </w:t>
      </w:r>
      <w:r>
        <w:rPr/>
        <w:t>the</w:t>
      </w:r>
      <w:r>
        <w:rPr>
          <w:spacing w:val="-13"/>
        </w:rPr>
        <w:t> </w:t>
      </w:r>
      <w:r>
        <w:rPr/>
        <w:t>grant</w:t>
      </w:r>
      <w:r>
        <w:rPr>
          <w:spacing w:val="-12"/>
        </w:rPr>
        <w:t> </w:t>
      </w:r>
      <w:r>
        <w:rPr/>
        <w:t>on</w:t>
      </w:r>
      <w:r>
        <w:rPr>
          <w:spacing w:val="-13"/>
        </w:rPr>
        <w:t> </w:t>
      </w:r>
      <w:r>
        <w:rPr/>
        <w:t>January</w:t>
      </w:r>
      <w:r>
        <w:rPr>
          <w:spacing w:val="-12"/>
        </w:rPr>
        <w:t> </w:t>
      </w:r>
      <w:r>
        <w:rPr/>
        <w:t>24,</w:t>
      </w:r>
      <w:r>
        <w:rPr>
          <w:spacing w:val="-13"/>
        </w:rPr>
        <w:t> </w:t>
      </w:r>
      <w:r>
        <w:rPr/>
        <w:t>2016,</w:t>
      </w:r>
      <w:r>
        <w:rPr>
          <w:spacing w:val="-12"/>
        </w:rPr>
        <w:t> </w:t>
      </w:r>
      <w:r>
        <w:rPr/>
        <w:t>if</w:t>
      </w:r>
      <w:r>
        <w:rPr>
          <w:spacing w:val="-13"/>
        </w:rPr>
        <w:t> </w:t>
      </w:r>
      <w:r>
        <w:rPr/>
        <w:t>not</w:t>
      </w:r>
      <w:r>
        <w:rPr>
          <w:spacing w:val="-12"/>
        </w:rPr>
        <w:t> </w:t>
      </w:r>
      <w:r>
        <w:rPr/>
        <w:t>forfeited.</w:t>
      </w:r>
      <w:r>
        <w:rPr>
          <w:spacing w:val="-13"/>
        </w:rPr>
        <w:t> </w:t>
      </w:r>
      <w:r>
        <w:rPr/>
        <w:t>As</w:t>
      </w:r>
      <w:r>
        <w:rPr>
          <w:spacing w:val="-12"/>
        </w:rPr>
        <w:t> </w:t>
      </w:r>
      <w:r>
        <w:rPr/>
        <w:t>of</w:t>
      </w:r>
      <w:r>
        <w:rPr>
          <w:spacing w:val="-13"/>
        </w:rPr>
        <w:t> </w:t>
      </w:r>
      <w:r>
        <w:rPr/>
        <w:t>December</w:t>
      </w:r>
      <w:r>
        <w:rPr>
          <w:spacing w:val="-12"/>
        </w:rPr>
        <w:t> </w:t>
      </w:r>
      <w:r>
        <w:rPr/>
        <w:t>1,</w:t>
      </w:r>
      <w:r>
        <w:rPr>
          <w:spacing w:val="-13"/>
        </w:rPr>
        <w:t> </w:t>
      </w:r>
      <w:r>
        <w:rPr/>
        <w:t>2017,</w:t>
      </w:r>
      <w:r>
        <w:rPr>
          <w:spacing w:val="-12"/>
        </w:rPr>
        <w:t> </w:t>
      </w:r>
      <w:r>
        <w:rPr/>
        <w:t>the</w:t>
      </w:r>
      <w:r>
        <w:rPr>
          <w:spacing w:val="-13"/>
        </w:rPr>
        <w:t> </w:t>
      </w:r>
      <w:r>
        <w:rPr/>
        <w:t>shares</w:t>
      </w:r>
      <w:r>
        <w:rPr>
          <w:spacing w:val="-12"/>
        </w:rPr>
        <w:t> </w:t>
      </w:r>
      <w:r>
        <w:rPr/>
        <w:t>awarded under our 2017, 2016 and 2015 Performance Share Programs are yet to be achieved.</w:t>
      </w:r>
    </w:p>
    <w:p>
      <w:pPr>
        <w:pStyle w:val="BodyText"/>
        <w:spacing w:before="14"/>
      </w:pPr>
    </w:p>
    <w:p>
      <w:pPr>
        <w:pStyle w:val="BodyText"/>
        <w:ind w:left="760"/>
        <w:jc w:val="both"/>
      </w:pPr>
      <w:r>
        <w:rPr/>
        <w:t>Performance</w:t>
      </w:r>
      <w:r>
        <w:rPr>
          <w:spacing w:val="-2"/>
        </w:rPr>
        <w:t> </w:t>
      </w:r>
      <w:r>
        <w:rPr/>
        <w:t>share</w:t>
      </w:r>
      <w:r>
        <w:rPr>
          <w:spacing w:val="-2"/>
        </w:rPr>
        <w:t> </w:t>
      </w:r>
      <w:r>
        <w:rPr/>
        <w:t>activity</w:t>
      </w:r>
      <w:r>
        <w:rPr>
          <w:spacing w:val="-1"/>
        </w:rPr>
        <w:t> </w:t>
      </w:r>
      <w:r>
        <w:rPr/>
        <w:t>for fiscal</w:t>
      </w:r>
      <w:r>
        <w:rPr>
          <w:spacing w:val="-2"/>
        </w:rPr>
        <w:t> </w:t>
      </w:r>
      <w:r>
        <w:rPr/>
        <w:t>2017,</w:t>
      </w:r>
      <w:r>
        <w:rPr>
          <w:spacing w:val="-1"/>
        </w:rPr>
        <w:t> </w:t>
      </w:r>
      <w:r>
        <w:rPr/>
        <w:t>2016 and</w:t>
      </w:r>
      <w:r>
        <w:rPr>
          <w:spacing w:val="-1"/>
        </w:rPr>
        <w:t> </w:t>
      </w:r>
      <w:r>
        <w:rPr/>
        <w:t>2015</w:t>
      </w:r>
      <w:r>
        <w:rPr>
          <w:spacing w:val="-1"/>
        </w:rPr>
        <w:t> </w:t>
      </w:r>
      <w:r>
        <w:rPr/>
        <w:t>was as</w:t>
      </w:r>
      <w:r>
        <w:rPr>
          <w:spacing w:val="-1"/>
        </w:rPr>
        <w:t> </w:t>
      </w:r>
      <w:r>
        <w:rPr/>
        <w:t>follows</w:t>
      </w:r>
      <w:r>
        <w:rPr>
          <w:spacing w:val="-1"/>
        </w:rPr>
        <w:t> </w:t>
      </w:r>
      <w:r>
        <w:rPr/>
        <w:t>(in </w:t>
      </w:r>
      <w:r>
        <w:rPr>
          <w:spacing w:val="-2"/>
        </w:rPr>
        <w:t>thousands):</w:t>
      </w:r>
    </w:p>
    <w:p>
      <w:pPr>
        <w:pStyle w:val="BodyText"/>
        <w:spacing w:before="1"/>
        <w:rPr>
          <w:sz w:val="19"/>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4"/>
        <w:gridCol w:w="1497"/>
        <w:gridCol w:w="375"/>
        <w:gridCol w:w="978"/>
        <w:gridCol w:w="826"/>
        <w:gridCol w:w="375"/>
        <w:gridCol w:w="978"/>
        <w:gridCol w:w="1066"/>
        <w:gridCol w:w="817"/>
      </w:tblGrid>
      <w:tr>
        <w:trPr>
          <w:trHeight w:val="227" w:hRule="atLeast"/>
        </w:trPr>
        <w:tc>
          <w:tcPr>
            <w:tcW w:w="5196" w:type="dxa"/>
            <w:gridSpan w:val="3"/>
          </w:tcPr>
          <w:p>
            <w:pPr>
              <w:pStyle w:val="TableParagraph"/>
              <w:spacing w:line="177" w:lineRule="exact"/>
              <w:ind w:right="35"/>
              <w:jc w:val="right"/>
              <w:rPr>
                <w:b/>
                <w:sz w:val="16"/>
              </w:rPr>
            </w:pPr>
            <w:r>
              <w:rPr>
                <w:b/>
                <w:spacing w:val="-4"/>
                <w:sz w:val="16"/>
              </w:rPr>
              <w:t>2017</w:t>
            </w:r>
          </w:p>
        </w:tc>
        <w:tc>
          <w:tcPr>
            <w:tcW w:w="2179" w:type="dxa"/>
            <w:gridSpan w:val="3"/>
          </w:tcPr>
          <w:p>
            <w:pPr>
              <w:pStyle w:val="TableParagraph"/>
              <w:spacing w:line="177" w:lineRule="exact"/>
              <w:ind w:right="34"/>
              <w:jc w:val="right"/>
              <w:rPr>
                <w:b/>
                <w:sz w:val="16"/>
              </w:rPr>
            </w:pPr>
            <w:r>
              <w:rPr>
                <w:b/>
                <w:spacing w:val="-4"/>
                <w:sz w:val="16"/>
              </w:rPr>
              <w:t>2016</w:t>
            </w:r>
          </w:p>
        </w:tc>
        <w:tc>
          <w:tcPr>
            <w:tcW w:w="2861" w:type="dxa"/>
            <w:gridSpan w:val="3"/>
          </w:tcPr>
          <w:p>
            <w:pPr>
              <w:pStyle w:val="TableParagraph"/>
              <w:spacing w:line="177" w:lineRule="exact"/>
              <w:ind w:left="1735"/>
              <w:rPr>
                <w:b/>
                <w:sz w:val="16"/>
              </w:rPr>
            </w:pPr>
            <w:r>
              <w:rPr/>
              <mc:AlternateContent>
                <mc:Choice Requires="wps">
                  <w:drawing>
                    <wp:anchor distT="0" distB="0" distL="0" distR="0" allowOverlap="1" layoutInCell="1" locked="0" behindDoc="1" simplePos="0" relativeHeight="479885312">
                      <wp:simplePos x="0" y="0"/>
                      <wp:positionH relativeFrom="column">
                        <wp:posOffset>598805</wp:posOffset>
                      </wp:positionH>
                      <wp:positionV relativeFrom="paragraph">
                        <wp:posOffset>137908</wp:posOffset>
                      </wp:positionV>
                      <wp:extent cx="1219200" cy="12700"/>
                      <wp:effectExtent l="0" t="0" r="0" b="0"/>
                      <wp:wrapNone/>
                      <wp:docPr id="514" name="Group 514"/>
                      <wp:cNvGraphicFramePr>
                        <a:graphicFrameLocks/>
                      </wp:cNvGraphicFramePr>
                      <a:graphic>
                        <a:graphicData uri="http://schemas.microsoft.com/office/word/2010/wordprocessingGroup">
                          <wpg:wgp>
                            <wpg:cNvPr id="514" name="Group 514"/>
                            <wpg:cNvGrpSpPr/>
                            <wpg:grpSpPr>
                              <a:xfrm>
                                <a:off x="0" y="0"/>
                                <a:ext cx="1219200" cy="12700"/>
                                <a:chExt cx="1219200" cy="12700"/>
                              </a:xfrm>
                            </wpg:grpSpPr>
                            <wps:wsp>
                              <wps:cNvPr id="515" name="Graphic 515"/>
                              <wps:cNvSpPr/>
                              <wps:spPr>
                                <a:xfrm>
                                  <a:off x="0" y="0"/>
                                  <a:ext cx="1219200" cy="12700"/>
                                </a:xfrm>
                                <a:custGeom>
                                  <a:avLst/>
                                  <a:gdLst/>
                                  <a:ahLst/>
                                  <a:cxnLst/>
                                  <a:rect l="l" t="t" r="r" b="b"/>
                                  <a:pathLst>
                                    <a:path w="1219200" h="12700">
                                      <a:moveTo>
                                        <a:pt x="1219200" y="0"/>
                                      </a:moveTo>
                                      <a:lnTo>
                                        <a:pt x="635000" y="0"/>
                                      </a:lnTo>
                                      <a:lnTo>
                                        <a:pt x="584200" y="0"/>
                                      </a:lnTo>
                                      <a:lnTo>
                                        <a:pt x="0" y="0"/>
                                      </a:lnTo>
                                      <a:lnTo>
                                        <a:pt x="0" y="12700"/>
                                      </a:lnTo>
                                      <a:lnTo>
                                        <a:pt x="584200" y="12700"/>
                                      </a:lnTo>
                                      <a:lnTo>
                                        <a:pt x="635000" y="12700"/>
                                      </a:lnTo>
                                      <a:lnTo>
                                        <a:pt x="1219200" y="12700"/>
                                      </a:lnTo>
                                      <a:lnTo>
                                        <a:pt x="12192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150002pt;margin-top:10.858906pt;width:96pt;height:1pt;mso-position-horizontal-relative:column;mso-position-vertical-relative:paragraph;z-index:-23431168" id="docshapegroup407" coordorigin="943,217" coordsize="1920,20">
                      <v:shape style="position:absolute;left:943;top:217;width:1920;height:20" id="docshape408" coordorigin="943,217" coordsize="1920,20" path="m2863,217l1943,217,1863,217,943,217,943,237,1863,237,1943,237,2863,237,2863,217xe" filled="true" fillcolor="#000000" stroked="false">
                        <v:path arrowok="t"/>
                        <v:fill type="solid"/>
                      </v:shape>
                      <w10:wrap type="none"/>
                    </v:group>
                  </w:pict>
                </mc:Fallback>
              </mc:AlternateContent>
            </w:r>
            <w:r>
              <w:rPr>
                <w:b/>
                <w:spacing w:val="-4"/>
                <w:sz w:val="16"/>
              </w:rPr>
              <w:t>2015</w:t>
            </w:r>
          </w:p>
        </w:tc>
      </w:tr>
      <w:tr>
        <w:trPr>
          <w:trHeight w:val="621" w:hRule="atLeast"/>
        </w:trPr>
        <w:tc>
          <w:tcPr>
            <w:tcW w:w="3324" w:type="dxa"/>
          </w:tcPr>
          <w:p>
            <w:pPr>
              <w:pStyle w:val="TableParagraph"/>
              <w:rPr>
                <w:sz w:val="18"/>
              </w:rPr>
            </w:pPr>
          </w:p>
        </w:tc>
        <w:tc>
          <w:tcPr>
            <w:tcW w:w="1497" w:type="dxa"/>
          </w:tcPr>
          <w:p>
            <w:pPr>
              <w:pStyle w:val="TableParagraph"/>
              <w:rPr>
                <w:sz w:val="16"/>
              </w:rPr>
            </w:pPr>
          </w:p>
          <w:p>
            <w:pPr>
              <w:pStyle w:val="TableParagraph"/>
              <w:spacing w:before="78"/>
              <w:rPr>
                <w:sz w:val="16"/>
              </w:rPr>
            </w:pPr>
          </w:p>
          <w:p>
            <w:pPr>
              <w:pStyle w:val="TableParagraph"/>
              <w:spacing w:line="155" w:lineRule="exact"/>
              <w:ind w:left="856"/>
              <w:rPr>
                <w:b/>
                <w:sz w:val="16"/>
              </w:rPr>
            </w:pPr>
            <w:r>
              <w:rPr/>
              <mc:AlternateContent>
                <mc:Choice Requires="wps">
                  <w:drawing>
                    <wp:anchor distT="0" distB="0" distL="0" distR="0" allowOverlap="1" layoutInCell="1" locked="0" behindDoc="1" simplePos="0" relativeHeight="479884288">
                      <wp:simplePos x="0" y="0"/>
                      <wp:positionH relativeFrom="column">
                        <wp:posOffset>403714</wp:posOffset>
                      </wp:positionH>
                      <wp:positionV relativeFrom="paragraph">
                        <wp:posOffset>-289576</wp:posOffset>
                      </wp:positionV>
                      <wp:extent cx="1333500" cy="12700"/>
                      <wp:effectExtent l="0" t="0" r="0" b="0"/>
                      <wp:wrapNone/>
                      <wp:docPr id="516" name="Group 516"/>
                      <wp:cNvGraphicFramePr>
                        <a:graphicFrameLocks/>
                      </wp:cNvGraphicFramePr>
                      <a:graphic>
                        <a:graphicData uri="http://schemas.microsoft.com/office/word/2010/wordprocessingGroup">
                          <wpg:wgp>
                            <wpg:cNvPr id="516" name="Group 516"/>
                            <wpg:cNvGrpSpPr/>
                            <wpg:grpSpPr>
                              <a:xfrm>
                                <a:off x="0" y="0"/>
                                <a:ext cx="1333500" cy="12700"/>
                                <a:chExt cx="1333500" cy="12700"/>
                              </a:xfrm>
                            </wpg:grpSpPr>
                            <wps:wsp>
                              <wps:cNvPr id="517" name="Graphic 517"/>
                              <wps:cNvSpPr/>
                              <wps:spPr>
                                <a:xfrm>
                                  <a:off x="0" y="6350"/>
                                  <a:ext cx="1333500" cy="1270"/>
                                </a:xfrm>
                                <a:custGeom>
                                  <a:avLst/>
                                  <a:gdLst/>
                                  <a:ahLst/>
                                  <a:cxnLst/>
                                  <a:rect l="l" t="t" r="r" b="b"/>
                                  <a:pathLst>
                                    <a:path w="1333500" h="0">
                                      <a:moveTo>
                                        <a:pt x="0" y="0"/>
                                      </a:moveTo>
                                      <a:lnTo>
                                        <a:pt x="584200" y="0"/>
                                      </a:lnTo>
                                    </a:path>
                                    <a:path w="1333500" h="0">
                                      <a:moveTo>
                                        <a:pt x="584200" y="0"/>
                                      </a:moveTo>
                                      <a:lnTo>
                                        <a:pt x="749300" y="0"/>
                                      </a:lnTo>
                                    </a:path>
                                    <a:path w="1333500" h="0">
                                      <a:moveTo>
                                        <a:pt x="749300" y="0"/>
                                      </a:moveTo>
                                      <a:lnTo>
                                        <a:pt x="1333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88513pt;margin-top:-22.801264pt;width:105pt;height:1pt;mso-position-horizontal-relative:column;mso-position-vertical-relative:paragraph;z-index:-23432192" id="docshapegroup409" coordorigin="636,-456" coordsize="2100,20">
                      <v:shape style="position:absolute;left:635;top:-447;width:2100;height:2" id="docshape410" coordorigin="636,-446" coordsize="2100,0" path="m636,-446l1556,-446m1556,-446l1816,-446m1816,-446l2736,-446e" filled="false" stroked="true" strokeweight="1pt" strokecolor="#000000">
                        <v:path arrowok="t"/>
                        <v:stroke dashstyle="solid"/>
                      </v:shape>
                      <w10:wrap type="none"/>
                    </v:group>
                  </w:pict>
                </mc:Fallback>
              </mc:AlternateContent>
            </w:r>
            <w:r>
              <w:rPr>
                <w:b/>
                <w:spacing w:val="-2"/>
                <w:sz w:val="16"/>
              </w:rPr>
              <w:t>Shares</w:t>
            </w:r>
          </w:p>
        </w:tc>
        <w:tc>
          <w:tcPr>
            <w:tcW w:w="375" w:type="dxa"/>
          </w:tcPr>
          <w:p>
            <w:pPr>
              <w:pStyle w:val="TableParagraph"/>
              <w:rPr>
                <w:sz w:val="18"/>
              </w:rPr>
            </w:pPr>
          </w:p>
        </w:tc>
        <w:tc>
          <w:tcPr>
            <w:tcW w:w="978" w:type="dxa"/>
          </w:tcPr>
          <w:p>
            <w:pPr>
              <w:pStyle w:val="TableParagraph"/>
              <w:spacing w:line="160" w:lineRule="exact" w:before="121"/>
              <w:ind w:right="190"/>
              <w:jc w:val="center"/>
              <w:rPr>
                <w:b/>
                <w:sz w:val="16"/>
              </w:rPr>
            </w:pPr>
            <w:r>
              <w:rPr>
                <w:b/>
                <w:spacing w:val="-2"/>
                <w:sz w:val="16"/>
              </w:rPr>
              <w:t>Maximum</w:t>
            </w:r>
            <w:r>
              <w:rPr>
                <w:b/>
                <w:spacing w:val="40"/>
                <w:sz w:val="16"/>
              </w:rPr>
              <w:t> </w:t>
            </w:r>
            <w:r>
              <w:rPr>
                <w:b/>
                <w:spacing w:val="-2"/>
                <w:sz w:val="16"/>
              </w:rPr>
              <w:t>Shares</w:t>
            </w:r>
            <w:r>
              <w:rPr>
                <w:b/>
                <w:spacing w:val="40"/>
                <w:sz w:val="16"/>
              </w:rPr>
              <w:t> </w:t>
            </w:r>
            <w:r>
              <w:rPr>
                <w:b/>
                <w:spacing w:val="-2"/>
                <w:sz w:val="16"/>
              </w:rPr>
              <w:t>Eligible</w:t>
            </w:r>
          </w:p>
        </w:tc>
        <w:tc>
          <w:tcPr>
            <w:tcW w:w="826" w:type="dxa"/>
          </w:tcPr>
          <w:p>
            <w:pPr>
              <w:pStyle w:val="TableParagraph"/>
              <w:rPr>
                <w:sz w:val="16"/>
              </w:rPr>
            </w:pPr>
          </w:p>
          <w:p>
            <w:pPr>
              <w:pStyle w:val="TableParagraph"/>
              <w:spacing w:before="78"/>
              <w:rPr>
                <w:sz w:val="16"/>
              </w:rPr>
            </w:pPr>
          </w:p>
          <w:p>
            <w:pPr>
              <w:pStyle w:val="TableParagraph"/>
              <w:spacing w:line="155" w:lineRule="exact"/>
              <w:ind w:left="186"/>
              <w:rPr>
                <w:b/>
                <w:sz w:val="16"/>
              </w:rPr>
            </w:pPr>
            <w:r>
              <w:rPr/>
              <mc:AlternateContent>
                <mc:Choice Requires="wps">
                  <w:drawing>
                    <wp:anchor distT="0" distB="0" distL="0" distR="0" allowOverlap="1" layoutInCell="1" locked="0" behindDoc="1" simplePos="0" relativeHeight="479884800">
                      <wp:simplePos x="0" y="0"/>
                      <wp:positionH relativeFrom="column">
                        <wp:posOffset>-22415</wp:posOffset>
                      </wp:positionH>
                      <wp:positionV relativeFrom="paragraph">
                        <wp:posOffset>-289576</wp:posOffset>
                      </wp:positionV>
                      <wp:extent cx="1333500" cy="12700"/>
                      <wp:effectExtent l="0" t="0" r="0" b="0"/>
                      <wp:wrapNone/>
                      <wp:docPr id="518" name="Group 518"/>
                      <wp:cNvGraphicFramePr>
                        <a:graphicFrameLocks/>
                      </wp:cNvGraphicFramePr>
                      <a:graphic>
                        <a:graphicData uri="http://schemas.microsoft.com/office/word/2010/wordprocessingGroup">
                          <wpg:wgp>
                            <wpg:cNvPr id="518" name="Group 518"/>
                            <wpg:cNvGrpSpPr/>
                            <wpg:grpSpPr>
                              <a:xfrm>
                                <a:off x="0" y="0"/>
                                <a:ext cx="1333500" cy="12700"/>
                                <a:chExt cx="1333500" cy="12700"/>
                              </a:xfrm>
                            </wpg:grpSpPr>
                            <wps:wsp>
                              <wps:cNvPr id="519" name="Graphic 519"/>
                              <wps:cNvSpPr/>
                              <wps:spPr>
                                <a:xfrm>
                                  <a:off x="0" y="0"/>
                                  <a:ext cx="1333500" cy="12700"/>
                                </a:xfrm>
                                <a:custGeom>
                                  <a:avLst/>
                                  <a:gdLst/>
                                  <a:ahLst/>
                                  <a:cxnLst/>
                                  <a:rect l="l" t="t" r="r" b="b"/>
                                  <a:pathLst>
                                    <a:path w="1333500" h="12700">
                                      <a:moveTo>
                                        <a:pt x="1333500" y="0"/>
                                      </a:moveTo>
                                      <a:lnTo>
                                        <a:pt x="749300" y="0"/>
                                      </a:lnTo>
                                      <a:lnTo>
                                        <a:pt x="584200" y="0"/>
                                      </a:lnTo>
                                      <a:lnTo>
                                        <a:pt x="0" y="0"/>
                                      </a:lnTo>
                                      <a:lnTo>
                                        <a:pt x="0" y="12700"/>
                                      </a:lnTo>
                                      <a:lnTo>
                                        <a:pt x="584200" y="12700"/>
                                      </a:lnTo>
                                      <a:lnTo>
                                        <a:pt x="749300" y="12700"/>
                                      </a:lnTo>
                                      <a:lnTo>
                                        <a:pt x="1333500" y="12700"/>
                                      </a:lnTo>
                                      <a:lnTo>
                                        <a:pt x="13335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65039pt;margin-top:-22.801264pt;width:105pt;height:1pt;mso-position-horizontal-relative:column;mso-position-vertical-relative:paragraph;z-index:-23431680" id="docshapegroup411" coordorigin="-35,-456" coordsize="2100,20">
                      <v:shape style="position:absolute;left:-36;top:-457;width:2100;height:20" id="docshape412" coordorigin="-35,-456" coordsize="2100,20" path="m2065,-456l1145,-456,885,-456,-35,-456,-35,-436,885,-436,1145,-436,2065,-436,2065,-456xe" filled="true" fillcolor="#000000" stroked="false">
                        <v:path arrowok="t"/>
                        <v:fill type="solid"/>
                      </v:shape>
                      <w10:wrap type="none"/>
                    </v:group>
                  </w:pict>
                </mc:Fallback>
              </mc:AlternateContent>
            </w:r>
            <w:r>
              <w:rPr>
                <w:b/>
                <w:spacing w:val="-2"/>
                <w:sz w:val="16"/>
              </w:rPr>
              <w:t>Shares</w:t>
            </w:r>
          </w:p>
        </w:tc>
        <w:tc>
          <w:tcPr>
            <w:tcW w:w="375" w:type="dxa"/>
          </w:tcPr>
          <w:p>
            <w:pPr>
              <w:pStyle w:val="TableParagraph"/>
              <w:rPr>
                <w:sz w:val="18"/>
              </w:rPr>
            </w:pPr>
          </w:p>
        </w:tc>
        <w:tc>
          <w:tcPr>
            <w:tcW w:w="978" w:type="dxa"/>
          </w:tcPr>
          <w:p>
            <w:pPr>
              <w:pStyle w:val="TableParagraph"/>
              <w:spacing w:line="160" w:lineRule="exact" w:before="121"/>
              <w:ind w:left="2" w:right="190"/>
              <w:jc w:val="center"/>
              <w:rPr>
                <w:b/>
                <w:sz w:val="16"/>
              </w:rPr>
            </w:pPr>
            <w:r>
              <w:rPr>
                <w:b/>
                <w:spacing w:val="-2"/>
                <w:sz w:val="16"/>
              </w:rPr>
              <w:t>Maximum</w:t>
            </w:r>
            <w:r>
              <w:rPr>
                <w:b/>
                <w:spacing w:val="40"/>
                <w:sz w:val="16"/>
              </w:rPr>
              <w:t> </w:t>
            </w:r>
            <w:r>
              <w:rPr>
                <w:b/>
                <w:spacing w:val="-2"/>
                <w:sz w:val="16"/>
              </w:rPr>
              <w:t>Shares</w:t>
            </w:r>
            <w:r>
              <w:rPr>
                <w:b/>
                <w:spacing w:val="40"/>
                <w:sz w:val="16"/>
              </w:rPr>
              <w:t> </w:t>
            </w:r>
            <w:r>
              <w:rPr>
                <w:b/>
                <w:spacing w:val="-2"/>
                <w:sz w:val="16"/>
              </w:rPr>
              <w:t>Eligible</w:t>
            </w:r>
          </w:p>
        </w:tc>
        <w:tc>
          <w:tcPr>
            <w:tcW w:w="1066" w:type="dxa"/>
          </w:tcPr>
          <w:p>
            <w:pPr>
              <w:pStyle w:val="TableParagraph"/>
              <w:rPr>
                <w:sz w:val="16"/>
              </w:rPr>
            </w:pPr>
          </w:p>
          <w:p>
            <w:pPr>
              <w:pStyle w:val="TableParagraph"/>
              <w:spacing w:before="78"/>
              <w:rPr>
                <w:sz w:val="16"/>
              </w:rPr>
            </w:pPr>
          </w:p>
          <w:p>
            <w:pPr>
              <w:pStyle w:val="TableParagraph"/>
              <w:spacing w:line="155" w:lineRule="exact"/>
              <w:ind w:left="187"/>
              <w:rPr>
                <w:b/>
                <w:sz w:val="16"/>
              </w:rPr>
            </w:pPr>
            <w:r>
              <w:rPr>
                <w:b/>
                <w:spacing w:val="-2"/>
                <w:sz w:val="16"/>
              </w:rPr>
              <w:t>Shares</w:t>
            </w:r>
          </w:p>
        </w:tc>
        <w:tc>
          <w:tcPr>
            <w:tcW w:w="817" w:type="dxa"/>
          </w:tcPr>
          <w:p>
            <w:pPr>
              <w:pStyle w:val="TableParagraph"/>
              <w:spacing w:line="160" w:lineRule="exact" w:before="121"/>
              <w:ind w:left="-5" w:right="110"/>
              <w:jc w:val="center"/>
              <w:rPr>
                <w:b/>
                <w:sz w:val="16"/>
              </w:rPr>
            </w:pPr>
            <w:r>
              <w:rPr>
                <w:b/>
                <w:spacing w:val="-2"/>
                <w:sz w:val="16"/>
              </w:rPr>
              <w:t>Maximum</w:t>
            </w:r>
            <w:r>
              <w:rPr>
                <w:b/>
                <w:spacing w:val="40"/>
                <w:sz w:val="16"/>
              </w:rPr>
              <w:t> </w:t>
            </w:r>
            <w:r>
              <w:rPr>
                <w:b/>
                <w:spacing w:val="-2"/>
                <w:sz w:val="16"/>
              </w:rPr>
              <w:t>Shares</w:t>
            </w:r>
            <w:r>
              <w:rPr>
                <w:b/>
                <w:spacing w:val="40"/>
                <w:sz w:val="16"/>
              </w:rPr>
              <w:t> </w:t>
            </w:r>
            <w:r>
              <w:rPr>
                <w:b/>
                <w:spacing w:val="-2"/>
                <w:sz w:val="16"/>
              </w:rPr>
              <w:t>Eligible</w:t>
            </w:r>
          </w:p>
        </w:tc>
      </w:tr>
      <w:tr>
        <w:trPr>
          <w:trHeight w:val="208" w:hRule="atLeast"/>
        </w:trPr>
        <w:tc>
          <w:tcPr>
            <w:tcW w:w="3324" w:type="dxa"/>
          </w:tcPr>
          <w:p>
            <w:pPr>
              <w:pStyle w:val="TableParagraph"/>
              <w:rPr>
                <w:sz w:val="14"/>
              </w:rPr>
            </w:pPr>
          </w:p>
        </w:tc>
        <w:tc>
          <w:tcPr>
            <w:tcW w:w="1497" w:type="dxa"/>
            <w:tcBorders>
              <w:bottom w:val="single" w:sz="8" w:space="0" w:color="000000"/>
            </w:tcBorders>
          </w:tcPr>
          <w:p>
            <w:pPr>
              <w:pStyle w:val="TableParagraph"/>
              <w:spacing w:line="169" w:lineRule="exact"/>
              <w:ind w:right="120"/>
              <w:jc w:val="right"/>
              <w:rPr>
                <w:b/>
                <w:sz w:val="16"/>
              </w:rPr>
            </w:pPr>
            <w:r>
              <w:rPr>
                <w:b/>
                <w:spacing w:val="-2"/>
                <w:sz w:val="16"/>
              </w:rPr>
              <w:t>Granted</w:t>
            </w:r>
          </w:p>
        </w:tc>
        <w:tc>
          <w:tcPr>
            <w:tcW w:w="375" w:type="dxa"/>
          </w:tcPr>
          <w:p>
            <w:pPr>
              <w:pStyle w:val="TableParagraph"/>
              <w:rPr>
                <w:sz w:val="14"/>
              </w:rPr>
            </w:pPr>
          </w:p>
        </w:tc>
        <w:tc>
          <w:tcPr>
            <w:tcW w:w="978" w:type="dxa"/>
            <w:tcBorders>
              <w:bottom w:val="single" w:sz="8" w:space="0" w:color="000000"/>
            </w:tcBorders>
          </w:tcPr>
          <w:p>
            <w:pPr>
              <w:pStyle w:val="TableParagraph"/>
              <w:spacing w:line="169" w:lineRule="exact"/>
              <w:ind w:right="233"/>
              <w:jc w:val="right"/>
              <w:rPr>
                <w:b/>
                <w:sz w:val="16"/>
              </w:rPr>
            </w:pPr>
            <w:r>
              <w:rPr>
                <w:b/>
                <w:sz w:val="16"/>
              </w:rPr>
              <w:t>to </w:t>
            </w:r>
            <w:r>
              <w:rPr>
                <w:b/>
                <w:spacing w:val="-2"/>
                <w:sz w:val="16"/>
              </w:rPr>
              <w:t>Receive</w:t>
            </w:r>
          </w:p>
        </w:tc>
        <w:tc>
          <w:tcPr>
            <w:tcW w:w="826" w:type="dxa"/>
            <w:tcBorders>
              <w:bottom w:val="single" w:sz="8" w:space="0" w:color="000000"/>
            </w:tcBorders>
          </w:tcPr>
          <w:p>
            <w:pPr>
              <w:pStyle w:val="TableParagraph"/>
              <w:spacing w:line="169" w:lineRule="exact"/>
              <w:ind w:left="127"/>
              <w:rPr>
                <w:b/>
                <w:sz w:val="16"/>
              </w:rPr>
            </w:pPr>
            <w:r>
              <w:rPr>
                <w:b/>
                <w:spacing w:val="-2"/>
                <w:sz w:val="16"/>
              </w:rPr>
              <w:t>Granted</w:t>
            </w:r>
          </w:p>
        </w:tc>
        <w:tc>
          <w:tcPr>
            <w:tcW w:w="375" w:type="dxa"/>
          </w:tcPr>
          <w:p>
            <w:pPr>
              <w:pStyle w:val="TableParagraph"/>
              <w:rPr>
                <w:sz w:val="14"/>
              </w:rPr>
            </w:pPr>
          </w:p>
        </w:tc>
        <w:tc>
          <w:tcPr>
            <w:tcW w:w="978" w:type="dxa"/>
            <w:tcBorders>
              <w:bottom w:val="single" w:sz="8" w:space="0" w:color="000000"/>
            </w:tcBorders>
          </w:tcPr>
          <w:p>
            <w:pPr>
              <w:pStyle w:val="TableParagraph"/>
              <w:spacing w:line="169" w:lineRule="exact"/>
              <w:ind w:left="46"/>
              <w:rPr>
                <w:b/>
                <w:sz w:val="16"/>
              </w:rPr>
            </w:pPr>
            <w:r>
              <w:rPr>
                <w:b/>
                <w:sz w:val="16"/>
              </w:rPr>
              <w:t>to </w:t>
            </w:r>
            <w:r>
              <w:rPr>
                <w:b/>
                <w:spacing w:val="-2"/>
                <w:sz w:val="16"/>
              </w:rPr>
              <w:t>Receive</w:t>
            </w:r>
          </w:p>
        </w:tc>
        <w:tc>
          <w:tcPr>
            <w:tcW w:w="1066" w:type="dxa"/>
            <w:tcBorders>
              <w:bottom w:val="single" w:sz="8" w:space="0" w:color="000000"/>
            </w:tcBorders>
          </w:tcPr>
          <w:p>
            <w:pPr>
              <w:pStyle w:val="TableParagraph"/>
              <w:spacing w:line="169" w:lineRule="exact"/>
              <w:ind w:left="128"/>
              <w:rPr>
                <w:b/>
                <w:sz w:val="16"/>
              </w:rPr>
            </w:pPr>
            <w:r>
              <w:rPr>
                <w:b/>
                <w:spacing w:val="-2"/>
                <w:sz w:val="16"/>
              </w:rPr>
              <w:t>Granted</w:t>
            </w:r>
          </w:p>
        </w:tc>
        <w:tc>
          <w:tcPr>
            <w:tcW w:w="817" w:type="dxa"/>
            <w:tcBorders>
              <w:bottom w:val="single" w:sz="8" w:space="0" w:color="000000"/>
            </w:tcBorders>
          </w:tcPr>
          <w:p>
            <w:pPr>
              <w:pStyle w:val="TableParagraph"/>
              <w:spacing w:line="169" w:lineRule="exact"/>
              <w:ind w:left="2"/>
              <w:rPr>
                <w:b/>
                <w:sz w:val="16"/>
              </w:rPr>
            </w:pPr>
            <w:r>
              <w:rPr>
                <w:b/>
                <w:sz w:val="16"/>
              </w:rPr>
              <w:t>to </w:t>
            </w:r>
            <w:r>
              <w:rPr>
                <w:b/>
                <w:spacing w:val="-2"/>
                <w:sz w:val="16"/>
              </w:rPr>
              <w:t>Receive</w:t>
            </w:r>
          </w:p>
        </w:tc>
      </w:tr>
      <w:tr>
        <w:trPr>
          <w:trHeight w:val="270" w:hRule="atLeast"/>
        </w:trPr>
        <w:tc>
          <w:tcPr>
            <w:tcW w:w="3324" w:type="dxa"/>
            <w:shd w:val="clear" w:color="auto" w:fill="CCEDFF"/>
          </w:tcPr>
          <w:p>
            <w:pPr>
              <w:pStyle w:val="TableParagraph"/>
              <w:spacing w:line="222" w:lineRule="exact"/>
              <w:ind w:left="50"/>
              <w:rPr>
                <w:sz w:val="20"/>
              </w:rPr>
            </w:pPr>
            <w:r>
              <w:rPr>
                <w:sz w:val="20"/>
              </w:rPr>
              <w:t>Beginning outstanding </w:t>
            </w:r>
            <w:r>
              <w:rPr>
                <w:spacing w:val="-2"/>
                <w:sz w:val="20"/>
              </w:rPr>
              <w:t>balance</w:t>
            </w:r>
          </w:p>
        </w:tc>
        <w:tc>
          <w:tcPr>
            <w:tcW w:w="1497" w:type="dxa"/>
            <w:tcBorders>
              <w:top w:val="single" w:sz="8" w:space="0" w:color="000000"/>
            </w:tcBorders>
            <w:shd w:val="clear" w:color="auto" w:fill="CCEDFF"/>
          </w:tcPr>
          <w:p>
            <w:pPr>
              <w:pStyle w:val="TableParagraph"/>
              <w:spacing w:line="222" w:lineRule="exact"/>
              <w:ind w:right="17"/>
              <w:jc w:val="right"/>
              <w:rPr>
                <w:sz w:val="20"/>
              </w:rPr>
            </w:pPr>
            <w:r>
              <w:rPr>
                <w:spacing w:val="-2"/>
                <w:sz w:val="20"/>
              </w:rPr>
              <w:t>1,630</w:t>
            </w:r>
          </w:p>
        </w:tc>
        <w:tc>
          <w:tcPr>
            <w:tcW w:w="375" w:type="dxa"/>
            <w:shd w:val="clear" w:color="auto" w:fill="CCEDFF"/>
          </w:tcPr>
          <w:p>
            <w:pPr>
              <w:pStyle w:val="TableParagraph"/>
              <w:rPr>
                <w:sz w:val="18"/>
              </w:rPr>
            </w:pPr>
          </w:p>
        </w:tc>
        <w:tc>
          <w:tcPr>
            <w:tcW w:w="978" w:type="dxa"/>
            <w:tcBorders>
              <w:top w:val="single" w:sz="8" w:space="0" w:color="000000"/>
            </w:tcBorders>
            <w:shd w:val="clear" w:color="auto" w:fill="CCEDFF"/>
          </w:tcPr>
          <w:p>
            <w:pPr>
              <w:pStyle w:val="TableParagraph"/>
              <w:spacing w:line="222" w:lineRule="exact"/>
              <w:ind w:right="190"/>
              <w:jc w:val="right"/>
              <w:rPr>
                <w:sz w:val="20"/>
              </w:rPr>
            </w:pPr>
            <w:r>
              <w:rPr>
                <w:spacing w:val="-2"/>
                <w:sz w:val="20"/>
              </w:rPr>
              <w:t>3,261</w:t>
            </w:r>
          </w:p>
        </w:tc>
        <w:tc>
          <w:tcPr>
            <w:tcW w:w="826" w:type="dxa"/>
            <w:tcBorders>
              <w:top w:val="single" w:sz="8" w:space="0" w:color="000000"/>
            </w:tcBorders>
            <w:shd w:val="clear" w:color="auto" w:fill="CCEDFF"/>
          </w:tcPr>
          <w:p>
            <w:pPr>
              <w:pStyle w:val="TableParagraph"/>
              <w:spacing w:line="222" w:lineRule="exact"/>
              <w:ind w:right="16"/>
              <w:jc w:val="right"/>
              <w:rPr>
                <w:sz w:val="20"/>
              </w:rPr>
            </w:pPr>
            <w:r>
              <w:rPr>
                <w:spacing w:val="-2"/>
                <w:sz w:val="20"/>
              </w:rPr>
              <w:t>1,940</w:t>
            </w:r>
          </w:p>
        </w:tc>
        <w:tc>
          <w:tcPr>
            <w:tcW w:w="375" w:type="dxa"/>
            <w:shd w:val="clear" w:color="auto" w:fill="CCEDFF"/>
          </w:tcPr>
          <w:p>
            <w:pPr>
              <w:pStyle w:val="TableParagraph"/>
              <w:rPr>
                <w:sz w:val="18"/>
              </w:rPr>
            </w:pPr>
          </w:p>
        </w:tc>
        <w:tc>
          <w:tcPr>
            <w:tcW w:w="978" w:type="dxa"/>
            <w:tcBorders>
              <w:top w:val="single" w:sz="8" w:space="0" w:color="000000"/>
            </w:tcBorders>
            <w:shd w:val="clear" w:color="auto" w:fill="CCEDFF"/>
          </w:tcPr>
          <w:p>
            <w:pPr>
              <w:pStyle w:val="TableParagraph"/>
              <w:spacing w:line="222" w:lineRule="exact"/>
              <w:ind w:left="338"/>
              <w:rPr>
                <w:sz w:val="20"/>
              </w:rPr>
            </w:pPr>
            <w:r>
              <w:rPr>
                <w:spacing w:val="-2"/>
                <w:sz w:val="20"/>
              </w:rPr>
              <w:t>3,881</w:t>
            </w:r>
          </w:p>
        </w:tc>
        <w:tc>
          <w:tcPr>
            <w:tcW w:w="1066" w:type="dxa"/>
            <w:tcBorders>
              <w:top w:val="single" w:sz="8" w:space="0" w:color="000000"/>
            </w:tcBorders>
            <w:shd w:val="clear" w:color="auto" w:fill="CCEDFF"/>
          </w:tcPr>
          <w:p>
            <w:pPr>
              <w:pStyle w:val="TableParagraph"/>
              <w:spacing w:line="222" w:lineRule="exact"/>
              <w:ind w:left="360"/>
              <w:rPr>
                <w:sz w:val="20"/>
              </w:rPr>
            </w:pPr>
            <w:r>
              <w:rPr>
                <w:spacing w:val="-2"/>
                <w:sz w:val="20"/>
              </w:rPr>
              <w:t>1,517</w:t>
            </w:r>
          </w:p>
        </w:tc>
        <w:tc>
          <w:tcPr>
            <w:tcW w:w="817" w:type="dxa"/>
            <w:tcBorders>
              <w:top w:val="single" w:sz="8" w:space="0" w:color="000000"/>
            </w:tcBorders>
            <w:shd w:val="clear" w:color="auto" w:fill="CCEDFF"/>
          </w:tcPr>
          <w:p>
            <w:pPr>
              <w:pStyle w:val="TableParagraph"/>
              <w:spacing w:line="222" w:lineRule="exact"/>
              <w:ind w:left="294"/>
              <w:rPr>
                <w:sz w:val="20"/>
              </w:rPr>
            </w:pPr>
            <w:r>
              <w:rPr>
                <w:spacing w:val="-2"/>
                <w:sz w:val="20"/>
              </w:rPr>
              <w:t>3,034</w:t>
            </w:r>
          </w:p>
        </w:tc>
      </w:tr>
      <w:tr>
        <w:trPr>
          <w:trHeight w:val="280" w:hRule="atLeast"/>
        </w:trPr>
        <w:tc>
          <w:tcPr>
            <w:tcW w:w="3324" w:type="dxa"/>
          </w:tcPr>
          <w:p>
            <w:pPr>
              <w:pStyle w:val="TableParagraph"/>
              <w:spacing w:before="2"/>
              <w:ind w:left="50"/>
              <w:rPr>
                <w:sz w:val="20"/>
              </w:rPr>
            </w:pPr>
            <w:r>
              <w:rPr>
                <w:spacing w:val="-2"/>
                <w:sz w:val="20"/>
              </w:rPr>
              <w:t>Awarded</w:t>
            </w:r>
          </w:p>
        </w:tc>
        <w:tc>
          <w:tcPr>
            <w:tcW w:w="1497" w:type="dxa"/>
          </w:tcPr>
          <w:p>
            <w:pPr>
              <w:pStyle w:val="TableParagraph"/>
              <w:spacing w:before="2"/>
              <w:ind w:right="17"/>
              <w:jc w:val="right"/>
              <w:rPr>
                <w:sz w:val="20"/>
              </w:rPr>
            </w:pPr>
            <w:r>
              <w:rPr>
                <w:spacing w:val="-2"/>
                <w:sz w:val="20"/>
              </w:rPr>
              <w:t>1,082</w:t>
            </w:r>
          </w:p>
        </w:tc>
        <w:tc>
          <w:tcPr>
            <w:tcW w:w="375" w:type="dxa"/>
          </w:tcPr>
          <w:p>
            <w:pPr>
              <w:pStyle w:val="TableParagraph"/>
              <w:spacing w:before="19"/>
              <w:ind w:left="109"/>
              <w:rPr>
                <w:sz w:val="10"/>
              </w:rPr>
            </w:pPr>
            <w:r>
              <w:rPr>
                <w:spacing w:val="-5"/>
                <w:w w:val="105"/>
                <w:sz w:val="10"/>
              </w:rPr>
              <w:t>(1)</w:t>
            </w:r>
          </w:p>
        </w:tc>
        <w:tc>
          <w:tcPr>
            <w:tcW w:w="978" w:type="dxa"/>
          </w:tcPr>
          <w:p>
            <w:pPr>
              <w:pStyle w:val="TableParagraph"/>
              <w:spacing w:before="2"/>
              <w:ind w:right="190"/>
              <w:jc w:val="right"/>
              <w:rPr>
                <w:sz w:val="20"/>
              </w:rPr>
            </w:pPr>
            <w:r>
              <w:rPr>
                <w:spacing w:val="-2"/>
                <w:sz w:val="20"/>
              </w:rPr>
              <w:t>1,040</w:t>
            </w:r>
          </w:p>
        </w:tc>
        <w:tc>
          <w:tcPr>
            <w:tcW w:w="826" w:type="dxa"/>
          </w:tcPr>
          <w:p>
            <w:pPr>
              <w:pStyle w:val="TableParagraph"/>
              <w:spacing w:before="2"/>
              <w:ind w:right="16"/>
              <w:jc w:val="right"/>
              <w:rPr>
                <w:sz w:val="20"/>
              </w:rPr>
            </w:pPr>
            <w:r>
              <w:rPr>
                <w:spacing w:val="-2"/>
                <w:sz w:val="20"/>
              </w:rPr>
              <w:t>1,206</w:t>
            </w:r>
          </w:p>
        </w:tc>
        <w:tc>
          <w:tcPr>
            <w:tcW w:w="375" w:type="dxa"/>
          </w:tcPr>
          <w:p>
            <w:pPr>
              <w:pStyle w:val="TableParagraph"/>
              <w:spacing w:before="19"/>
              <w:ind w:left="110"/>
              <w:rPr>
                <w:sz w:val="10"/>
              </w:rPr>
            </w:pPr>
            <w:r>
              <w:rPr>
                <w:spacing w:val="-5"/>
                <w:w w:val="105"/>
                <w:sz w:val="10"/>
              </w:rPr>
              <w:t>(2)</w:t>
            </w:r>
          </w:p>
        </w:tc>
        <w:tc>
          <w:tcPr>
            <w:tcW w:w="978" w:type="dxa"/>
          </w:tcPr>
          <w:p>
            <w:pPr>
              <w:pStyle w:val="TableParagraph"/>
              <w:spacing w:before="2"/>
              <w:ind w:left="338"/>
              <w:rPr>
                <w:sz w:val="20"/>
              </w:rPr>
            </w:pPr>
            <w:r>
              <w:rPr>
                <w:spacing w:val="-2"/>
                <w:sz w:val="20"/>
              </w:rPr>
              <w:t>1,053</w:t>
            </w:r>
          </w:p>
        </w:tc>
        <w:tc>
          <w:tcPr>
            <w:tcW w:w="1066" w:type="dxa"/>
          </w:tcPr>
          <w:p>
            <w:pPr>
              <w:pStyle w:val="TableParagraph"/>
              <w:spacing w:before="2"/>
              <w:ind w:left="510"/>
              <w:rPr>
                <w:sz w:val="20"/>
              </w:rPr>
            </w:pPr>
            <w:r>
              <w:rPr>
                <w:spacing w:val="-5"/>
                <w:sz w:val="20"/>
              </w:rPr>
              <w:t>671</w:t>
            </w:r>
          </w:p>
        </w:tc>
        <w:tc>
          <w:tcPr>
            <w:tcW w:w="817" w:type="dxa"/>
          </w:tcPr>
          <w:p>
            <w:pPr>
              <w:pStyle w:val="TableParagraph"/>
              <w:spacing w:before="2"/>
              <w:ind w:left="294"/>
              <w:rPr>
                <w:sz w:val="20"/>
              </w:rPr>
            </w:pPr>
            <w:r>
              <w:rPr>
                <w:spacing w:val="-2"/>
                <w:sz w:val="20"/>
              </w:rPr>
              <w:t>1,342</w:t>
            </w:r>
          </w:p>
        </w:tc>
      </w:tr>
      <w:tr>
        <w:trPr>
          <w:trHeight w:val="300" w:hRule="atLeast"/>
        </w:trPr>
        <w:tc>
          <w:tcPr>
            <w:tcW w:w="3324" w:type="dxa"/>
            <w:shd w:val="clear" w:color="auto" w:fill="CCEDFF"/>
          </w:tcPr>
          <w:p>
            <w:pPr>
              <w:pStyle w:val="TableParagraph"/>
              <w:spacing w:before="20"/>
              <w:ind w:left="50"/>
              <w:rPr>
                <w:sz w:val="20"/>
              </w:rPr>
            </w:pPr>
            <w:r>
              <w:rPr>
                <w:spacing w:val="-2"/>
                <w:sz w:val="20"/>
              </w:rPr>
              <w:t>Achieved</w:t>
            </w:r>
          </w:p>
        </w:tc>
        <w:tc>
          <w:tcPr>
            <w:tcW w:w="1872" w:type="dxa"/>
            <w:gridSpan w:val="2"/>
            <w:shd w:val="clear" w:color="auto" w:fill="CCEDFF"/>
          </w:tcPr>
          <w:p>
            <w:pPr>
              <w:pStyle w:val="TableParagraph"/>
              <w:spacing w:before="20"/>
              <w:ind w:left="962"/>
              <w:rPr>
                <w:sz w:val="10"/>
              </w:rPr>
            </w:pPr>
            <w:r>
              <w:rPr>
                <w:sz w:val="20"/>
              </w:rPr>
              <w:t>(1,135)</w:t>
            </w:r>
            <w:r>
              <w:rPr>
                <w:spacing w:val="10"/>
                <w:sz w:val="20"/>
              </w:rPr>
              <w:t> </w:t>
            </w:r>
            <w:r>
              <w:rPr>
                <w:spacing w:val="-5"/>
                <w:position w:val="7"/>
                <w:sz w:val="10"/>
              </w:rPr>
              <w:t>(3)</w:t>
            </w:r>
          </w:p>
        </w:tc>
        <w:tc>
          <w:tcPr>
            <w:tcW w:w="978" w:type="dxa"/>
            <w:shd w:val="clear" w:color="auto" w:fill="CCEDFF"/>
          </w:tcPr>
          <w:p>
            <w:pPr>
              <w:pStyle w:val="TableParagraph"/>
              <w:spacing w:before="20"/>
              <w:ind w:right="122"/>
              <w:jc w:val="right"/>
              <w:rPr>
                <w:sz w:val="20"/>
              </w:rPr>
            </w:pPr>
            <w:r>
              <w:rPr>
                <w:spacing w:val="-2"/>
                <w:sz w:val="20"/>
              </w:rPr>
              <w:t>(1,147)</w:t>
            </w:r>
          </w:p>
        </w:tc>
        <w:tc>
          <w:tcPr>
            <w:tcW w:w="1201" w:type="dxa"/>
            <w:gridSpan w:val="2"/>
            <w:shd w:val="clear" w:color="auto" w:fill="CCEDFF"/>
          </w:tcPr>
          <w:p>
            <w:pPr>
              <w:pStyle w:val="TableParagraph"/>
              <w:spacing w:before="20"/>
              <w:ind w:left="292"/>
              <w:rPr>
                <w:sz w:val="10"/>
              </w:rPr>
            </w:pPr>
            <w:r>
              <w:rPr>
                <w:sz w:val="20"/>
              </w:rPr>
              <w:t>(1,373)</w:t>
            </w:r>
            <w:r>
              <w:rPr>
                <w:spacing w:val="10"/>
                <w:sz w:val="20"/>
              </w:rPr>
              <w:t> </w:t>
            </w:r>
            <w:r>
              <w:rPr>
                <w:spacing w:val="-5"/>
                <w:position w:val="7"/>
                <w:sz w:val="10"/>
              </w:rPr>
              <w:t>(3)</w:t>
            </w:r>
          </w:p>
        </w:tc>
        <w:tc>
          <w:tcPr>
            <w:tcW w:w="978" w:type="dxa"/>
            <w:shd w:val="clear" w:color="auto" w:fill="CCEDFF"/>
          </w:tcPr>
          <w:p>
            <w:pPr>
              <w:pStyle w:val="TableParagraph"/>
              <w:spacing w:before="20"/>
              <w:ind w:right="121"/>
              <w:jc w:val="right"/>
              <w:rPr>
                <w:sz w:val="20"/>
              </w:rPr>
            </w:pPr>
            <w:r>
              <w:rPr>
                <w:spacing w:val="-2"/>
                <w:sz w:val="20"/>
              </w:rPr>
              <w:t>(1,387)</w:t>
            </w:r>
          </w:p>
        </w:tc>
        <w:tc>
          <w:tcPr>
            <w:tcW w:w="1066" w:type="dxa"/>
            <w:shd w:val="clear" w:color="auto" w:fill="CCEDFF"/>
          </w:tcPr>
          <w:p>
            <w:pPr>
              <w:pStyle w:val="TableParagraph"/>
              <w:spacing w:before="20"/>
              <w:ind w:right="255"/>
              <w:jc w:val="right"/>
              <w:rPr>
                <w:sz w:val="20"/>
              </w:rPr>
            </w:pPr>
            <w:r>
              <w:rPr>
                <w:spacing w:val="-10"/>
                <w:sz w:val="20"/>
              </w:rPr>
              <w:t>—</w:t>
            </w:r>
          </w:p>
        </w:tc>
        <w:tc>
          <w:tcPr>
            <w:tcW w:w="817" w:type="dxa"/>
            <w:shd w:val="clear" w:color="auto" w:fill="CCEDFF"/>
          </w:tcPr>
          <w:p>
            <w:pPr>
              <w:pStyle w:val="TableParagraph"/>
              <w:spacing w:before="20"/>
              <w:ind w:right="72"/>
              <w:jc w:val="right"/>
              <w:rPr>
                <w:sz w:val="20"/>
              </w:rPr>
            </w:pPr>
            <w:r>
              <w:rPr>
                <w:spacing w:val="-10"/>
                <w:sz w:val="20"/>
              </w:rPr>
              <w:t>—</w:t>
            </w:r>
          </w:p>
        </w:tc>
      </w:tr>
      <w:tr>
        <w:trPr>
          <w:trHeight w:val="290" w:hRule="atLeast"/>
        </w:trPr>
        <w:tc>
          <w:tcPr>
            <w:tcW w:w="3324" w:type="dxa"/>
          </w:tcPr>
          <w:p>
            <w:pPr>
              <w:pStyle w:val="TableParagraph"/>
              <w:spacing w:before="20"/>
              <w:ind w:left="50"/>
              <w:rPr>
                <w:sz w:val="20"/>
              </w:rPr>
            </w:pPr>
            <w:r>
              <w:rPr>
                <w:spacing w:val="-2"/>
                <w:sz w:val="20"/>
              </w:rPr>
              <w:t>Forfeited</w:t>
            </w:r>
          </w:p>
        </w:tc>
        <w:tc>
          <w:tcPr>
            <w:tcW w:w="1872" w:type="dxa"/>
            <w:gridSpan w:val="2"/>
          </w:tcPr>
          <w:p>
            <w:pPr>
              <w:pStyle w:val="TableParagraph"/>
              <w:spacing w:before="20"/>
              <w:ind w:left="1212"/>
              <w:rPr>
                <w:sz w:val="20"/>
              </w:rPr>
            </w:pPr>
            <w:r>
              <w:rPr>
                <w:spacing w:val="-4"/>
                <w:sz w:val="20"/>
              </w:rPr>
              <w:t>(43)</w:t>
            </w:r>
          </w:p>
        </w:tc>
        <w:tc>
          <w:tcPr>
            <w:tcW w:w="978" w:type="dxa"/>
            <w:tcBorders>
              <w:bottom w:val="single" w:sz="8" w:space="0" w:color="000000"/>
            </w:tcBorders>
          </w:tcPr>
          <w:p>
            <w:pPr>
              <w:pStyle w:val="TableParagraph"/>
              <w:spacing w:before="20"/>
              <w:ind w:right="122"/>
              <w:jc w:val="right"/>
              <w:rPr>
                <w:sz w:val="20"/>
              </w:rPr>
            </w:pPr>
            <w:r>
              <w:rPr>
                <w:spacing w:val="-4"/>
                <w:sz w:val="20"/>
              </w:rPr>
              <w:t>(86)</w:t>
            </w:r>
          </w:p>
        </w:tc>
        <w:tc>
          <w:tcPr>
            <w:tcW w:w="1201" w:type="dxa"/>
            <w:gridSpan w:val="2"/>
          </w:tcPr>
          <w:p>
            <w:pPr>
              <w:pStyle w:val="TableParagraph"/>
              <w:spacing w:before="20"/>
              <w:ind w:left="442"/>
              <w:rPr>
                <w:sz w:val="20"/>
              </w:rPr>
            </w:pPr>
            <w:r>
              <w:rPr>
                <w:spacing w:val="-2"/>
                <w:sz w:val="20"/>
              </w:rPr>
              <w:t>(143)</w:t>
            </w:r>
          </w:p>
        </w:tc>
        <w:tc>
          <w:tcPr>
            <w:tcW w:w="978" w:type="dxa"/>
            <w:tcBorders>
              <w:bottom w:val="single" w:sz="8" w:space="0" w:color="000000"/>
            </w:tcBorders>
          </w:tcPr>
          <w:p>
            <w:pPr>
              <w:pStyle w:val="TableParagraph"/>
              <w:spacing w:before="20"/>
              <w:ind w:right="121"/>
              <w:jc w:val="right"/>
              <w:rPr>
                <w:sz w:val="20"/>
              </w:rPr>
            </w:pPr>
            <w:r>
              <w:rPr>
                <w:spacing w:val="-2"/>
                <w:sz w:val="20"/>
              </w:rPr>
              <w:t>(286)</w:t>
            </w:r>
          </w:p>
        </w:tc>
        <w:tc>
          <w:tcPr>
            <w:tcW w:w="1066" w:type="dxa"/>
            <w:tcBorders>
              <w:bottom w:val="single" w:sz="8" w:space="0" w:color="000000"/>
            </w:tcBorders>
          </w:tcPr>
          <w:p>
            <w:pPr>
              <w:pStyle w:val="TableParagraph"/>
              <w:spacing w:before="20"/>
              <w:ind w:right="187"/>
              <w:jc w:val="right"/>
              <w:rPr>
                <w:sz w:val="20"/>
              </w:rPr>
            </w:pPr>
            <w:r>
              <w:rPr>
                <w:spacing w:val="-2"/>
                <w:sz w:val="20"/>
              </w:rPr>
              <w:t>(248)</w:t>
            </w:r>
          </w:p>
        </w:tc>
        <w:tc>
          <w:tcPr>
            <w:tcW w:w="817" w:type="dxa"/>
            <w:tcBorders>
              <w:bottom w:val="single" w:sz="8" w:space="0" w:color="000000"/>
            </w:tcBorders>
          </w:tcPr>
          <w:p>
            <w:pPr>
              <w:pStyle w:val="TableParagraph"/>
              <w:spacing w:before="20"/>
              <w:ind w:right="4"/>
              <w:jc w:val="right"/>
              <w:rPr>
                <w:sz w:val="20"/>
              </w:rPr>
            </w:pPr>
            <w:r>
              <w:rPr>
                <w:spacing w:val="-2"/>
                <w:sz w:val="20"/>
              </w:rPr>
              <w:t>(495)</w:t>
            </w:r>
          </w:p>
        </w:tc>
      </w:tr>
      <w:tr>
        <w:trPr>
          <w:trHeight w:val="220" w:hRule="atLeast"/>
        </w:trPr>
        <w:tc>
          <w:tcPr>
            <w:tcW w:w="3324" w:type="dxa"/>
            <w:shd w:val="clear" w:color="auto" w:fill="CCEDFF"/>
          </w:tcPr>
          <w:p>
            <w:pPr>
              <w:pStyle w:val="TableParagraph"/>
              <w:spacing w:line="200" w:lineRule="exact"/>
              <w:ind w:left="50"/>
              <w:rPr>
                <w:sz w:val="20"/>
              </w:rPr>
            </w:pPr>
            <w:r>
              <w:rPr>
                <w:sz w:val="20"/>
              </w:rPr>
              <w:t>Ending outstanding </w:t>
            </w:r>
            <w:r>
              <w:rPr>
                <w:spacing w:val="-2"/>
                <w:sz w:val="20"/>
              </w:rPr>
              <w:t>balance</w:t>
            </w:r>
          </w:p>
        </w:tc>
        <w:tc>
          <w:tcPr>
            <w:tcW w:w="1872" w:type="dxa"/>
            <w:gridSpan w:val="2"/>
            <w:tcBorders>
              <w:top w:val="single" w:sz="8" w:space="0" w:color="000000"/>
            </w:tcBorders>
            <w:shd w:val="clear" w:color="auto" w:fill="CCEDFF"/>
          </w:tcPr>
          <w:p>
            <w:pPr>
              <w:pStyle w:val="TableParagraph"/>
              <w:spacing w:line="200" w:lineRule="exact"/>
              <w:ind w:left="1028"/>
              <w:rPr>
                <w:sz w:val="20"/>
              </w:rPr>
            </w:pPr>
            <w:r>
              <w:rPr>
                <w:spacing w:val="-2"/>
                <w:sz w:val="20"/>
              </w:rPr>
              <w:t>1,534</w:t>
            </w:r>
          </w:p>
        </w:tc>
        <w:tc>
          <w:tcPr>
            <w:tcW w:w="978" w:type="dxa"/>
            <w:tcBorders>
              <w:top w:val="single" w:sz="8" w:space="0" w:color="000000"/>
              <w:bottom w:val="single" w:sz="8" w:space="0" w:color="000000"/>
            </w:tcBorders>
            <w:shd w:val="clear" w:color="auto" w:fill="CCEDFF"/>
          </w:tcPr>
          <w:p>
            <w:pPr>
              <w:pStyle w:val="TableParagraph"/>
              <w:spacing w:line="200" w:lineRule="exact"/>
              <w:ind w:right="190"/>
              <w:jc w:val="right"/>
              <w:rPr>
                <w:sz w:val="20"/>
              </w:rPr>
            </w:pPr>
            <w:r>
              <w:rPr>
                <w:spacing w:val="-2"/>
                <w:sz w:val="20"/>
              </w:rPr>
              <w:t>3,068</w:t>
            </w:r>
          </w:p>
        </w:tc>
        <w:tc>
          <w:tcPr>
            <w:tcW w:w="1201" w:type="dxa"/>
            <w:gridSpan w:val="2"/>
            <w:tcBorders>
              <w:top w:val="single" w:sz="8" w:space="0" w:color="000000"/>
            </w:tcBorders>
            <w:shd w:val="clear" w:color="auto" w:fill="CCEDFF"/>
          </w:tcPr>
          <w:p>
            <w:pPr>
              <w:pStyle w:val="TableParagraph"/>
              <w:spacing w:line="200" w:lineRule="exact"/>
              <w:ind w:left="359"/>
              <w:rPr>
                <w:sz w:val="20"/>
              </w:rPr>
            </w:pPr>
            <w:r>
              <w:rPr>
                <w:spacing w:val="-2"/>
                <w:sz w:val="20"/>
              </w:rPr>
              <w:t>1,630</w:t>
            </w:r>
          </w:p>
        </w:tc>
        <w:tc>
          <w:tcPr>
            <w:tcW w:w="978" w:type="dxa"/>
            <w:tcBorders>
              <w:top w:val="single" w:sz="8" w:space="0" w:color="000000"/>
              <w:bottom w:val="double" w:sz="8" w:space="0" w:color="000000"/>
            </w:tcBorders>
            <w:shd w:val="clear" w:color="auto" w:fill="CCEDFF"/>
          </w:tcPr>
          <w:p>
            <w:pPr>
              <w:pStyle w:val="TableParagraph"/>
              <w:spacing w:line="200" w:lineRule="exact"/>
              <w:ind w:left="338"/>
              <w:rPr>
                <w:sz w:val="20"/>
              </w:rPr>
            </w:pPr>
            <w:r>
              <w:rPr>
                <w:spacing w:val="-2"/>
                <w:sz w:val="20"/>
              </w:rPr>
              <w:t>3,261</w:t>
            </w:r>
          </w:p>
        </w:tc>
        <w:tc>
          <w:tcPr>
            <w:tcW w:w="1066" w:type="dxa"/>
            <w:tcBorders>
              <w:top w:val="single" w:sz="8" w:space="0" w:color="000000"/>
              <w:bottom w:val="double" w:sz="8" w:space="0" w:color="000000"/>
            </w:tcBorders>
            <w:shd w:val="clear" w:color="auto" w:fill="CCEDFF"/>
          </w:tcPr>
          <w:p>
            <w:pPr>
              <w:pStyle w:val="TableParagraph"/>
              <w:spacing w:line="200" w:lineRule="exact"/>
              <w:ind w:left="360"/>
              <w:rPr>
                <w:sz w:val="20"/>
              </w:rPr>
            </w:pPr>
            <w:r>
              <w:rPr>
                <w:spacing w:val="-2"/>
                <w:sz w:val="20"/>
              </w:rPr>
              <w:t>1,940</w:t>
            </w:r>
          </w:p>
        </w:tc>
        <w:tc>
          <w:tcPr>
            <w:tcW w:w="817" w:type="dxa"/>
            <w:tcBorders>
              <w:top w:val="single" w:sz="8" w:space="0" w:color="000000"/>
              <w:bottom w:val="double" w:sz="8" w:space="0" w:color="000000"/>
            </w:tcBorders>
            <w:shd w:val="clear" w:color="auto" w:fill="CCEDFF"/>
          </w:tcPr>
          <w:p>
            <w:pPr>
              <w:pStyle w:val="TableParagraph"/>
              <w:spacing w:line="200" w:lineRule="exact"/>
              <w:ind w:left="294"/>
              <w:rPr>
                <w:sz w:val="20"/>
              </w:rPr>
            </w:pPr>
            <w:r>
              <w:rPr>
                <w:spacing w:val="-2"/>
                <w:sz w:val="20"/>
              </w:rPr>
              <w:t>3,881</w:t>
            </w:r>
          </w:p>
        </w:tc>
      </w:tr>
    </w:tbl>
    <w:p>
      <w:pPr>
        <w:tabs>
          <w:tab w:pos="5350" w:val="left" w:leader="none"/>
        </w:tabs>
        <w:spacing w:line="20" w:lineRule="exact"/>
        <w:ind w:left="4170" w:right="0" w:firstLine="0"/>
        <w:jc w:val="left"/>
        <w:rPr>
          <w:sz w:val="2"/>
        </w:rPr>
      </w:pPr>
      <w:r>
        <w:rPr>
          <w:sz w:val="2"/>
        </w:rPr>
        <mc:AlternateContent>
          <mc:Choice Requires="wps">
            <w:drawing>
              <wp:inline distT="0" distB="0" distL="0" distR="0">
                <wp:extent cx="584200" cy="12700"/>
                <wp:effectExtent l="9525" t="0" r="6350" b="6350"/>
                <wp:docPr id="520" name="Group 520"/>
                <wp:cNvGraphicFramePr>
                  <a:graphicFrameLocks/>
                </wp:cNvGraphicFramePr>
                <a:graphic>
                  <a:graphicData uri="http://schemas.microsoft.com/office/word/2010/wordprocessingGroup">
                    <wpg:wgp>
                      <wpg:cNvPr id="520" name="Group 520"/>
                      <wpg:cNvGrpSpPr/>
                      <wpg:grpSpPr>
                        <a:xfrm>
                          <a:off x="0" y="0"/>
                          <a:ext cx="584200" cy="12700"/>
                          <a:chExt cx="584200" cy="12700"/>
                        </a:xfrm>
                      </wpg:grpSpPr>
                      <wps:wsp>
                        <wps:cNvPr id="521" name="Graphic 521"/>
                        <wps:cNvSpPr/>
                        <wps:spPr>
                          <a:xfrm>
                            <a:off x="0" y="6350"/>
                            <a:ext cx="584200" cy="1270"/>
                          </a:xfrm>
                          <a:custGeom>
                            <a:avLst/>
                            <a:gdLst/>
                            <a:ahLst/>
                            <a:cxnLst/>
                            <a:rect l="l" t="t" r="r" b="b"/>
                            <a:pathLst>
                              <a:path w="584200" h="0">
                                <a:moveTo>
                                  <a:pt x="0" y="0"/>
                                </a:moveTo>
                                <a:lnTo>
                                  <a:pt x="584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pt;height:1pt;mso-position-horizontal-relative:char;mso-position-vertical-relative:line" id="docshapegroup413" coordorigin="0,0" coordsize="920,20">
                <v:line style="position:absolute" from="0,10" to="920,10" stroked="true" strokeweight="1pt" strokecolor="#000000">
                  <v:stroke dashstyle="solid"/>
                </v:line>
              </v:group>
            </w:pict>
          </mc:Fallback>
        </mc:AlternateContent>
      </w:r>
      <w:r>
        <w:rPr>
          <w:sz w:val="2"/>
        </w:rPr>
      </w:r>
      <w:r>
        <w:rPr>
          <w:sz w:val="2"/>
        </w:rPr>
        <w:tab/>
      </w:r>
      <w:r>
        <w:rPr>
          <w:sz w:val="2"/>
        </w:rPr>
        <mc:AlternateContent>
          <mc:Choice Requires="wps">
            <w:drawing>
              <wp:inline distT="0" distB="0" distL="0" distR="0">
                <wp:extent cx="584200" cy="12700"/>
                <wp:effectExtent l="9525" t="0" r="6350" b="6350"/>
                <wp:docPr id="522" name="Group 522"/>
                <wp:cNvGraphicFramePr>
                  <a:graphicFrameLocks/>
                </wp:cNvGraphicFramePr>
                <a:graphic>
                  <a:graphicData uri="http://schemas.microsoft.com/office/word/2010/wordprocessingGroup">
                    <wpg:wgp>
                      <wpg:cNvPr id="522" name="Group 522"/>
                      <wpg:cNvGrpSpPr/>
                      <wpg:grpSpPr>
                        <a:xfrm>
                          <a:off x="0" y="0"/>
                          <a:ext cx="584200" cy="12700"/>
                          <a:chExt cx="584200" cy="12700"/>
                        </a:xfrm>
                      </wpg:grpSpPr>
                      <wps:wsp>
                        <wps:cNvPr id="523" name="Graphic 523"/>
                        <wps:cNvSpPr/>
                        <wps:spPr>
                          <a:xfrm>
                            <a:off x="0" y="6350"/>
                            <a:ext cx="584200" cy="1270"/>
                          </a:xfrm>
                          <a:custGeom>
                            <a:avLst/>
                            <a:gdLst/>
                            <a:ahLst/>
                            <a:cxnLst/>
                            <a:rect l="l" t="t" r="r" b="b"/>
                            <a:pathLst>
                              <a:path w="584200" h="0">
                                <a:moveTo>
                                  <a:pt x="0" y="0"/>
                                </a:moveTo>
                                <a:lnTo>
                                  <a:pt x="584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pt;height:1pt;mso-position-horizontal-relative:char;mso-position-vertical-relative:line" id="docshapegroup414" coordorigin="0,0" coordsize="920,20">
                <v:line style="position:absolute" from="0,10" to="92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584200" cy="12700"/>
                <wp:effectExtent l="9525" t="0" r="6350" b="6350"/>
                <wp:docPr id="524" name="Group 524"/>
                <wp:cNvGraphicFramePr>
                  <a:graphicFrameLocks/>
                </wp:cNvGraphicFramePr>
                <a:graphic>
                  <a:graphicData uri="http://schemas.microsoft.com/office/word/2010/wordprocessingGroup">
                    <wpg:wgp>
                      <wpg:cNvPr id="524" name="Group 524"/>
                      <wpg:cNvGrpSpPr/>
                      <wpg:grpSpPr>
                        <a:xfrm>
                          <a:off x="0" y="0"/>
                          <a:ext cx="584200" cy="12700"/>
                          <a:chExt cx="584200" cy="12700"/>
                        </a:xfrm>
                      </wpg:grpSpPr>
                      <wps:wsp>
                        <wps:cNvPr id="525" name="Graphic 525"/>
                        <wps:cNvSpPr/>
                        <wps:spPr>
                          <a:xfrm>
                            <a:off x="0" y="6350"/>
                            <a:ext cx="584200" cy="1270"/>
                          </a:xfrm>
                          <a:custGeom>
                            <a:avLst/>
                            <a:gdLst/>
                            <a:ahLst/>
                            <a:cxnLst/>
                            <a:rect l="l" t="t" r="r" b="b"/>
                            <a:pathLst>
                              <a:path w="584200" h="0">
                                <a:moveTo>
                                  <a:pt x="0" y="0"/>
                                </a:moveTo>
                                <a:lnTo>
                                  <a:pt x="584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pt;height:1pt;mso-position-horizontal-relative:char;mso-position-vertical-relative:line" id="docshapegroup415" coordorigin="0,0" coordsize="920,20">
                <v:line style="position:absolute" from="0,10" to="920,10" stroked="true" strokeweight="1pt" strokecolor="#000000">
                  <v:stroke dashstyle="solid"/>
                </v:line>
              </v:group>
            </w:pict>
          </mc:Fallback>
        </mc:AlternateContent>
      </w:r>
      <w:r>
        <w:rPr>
          <w:spacing w:val="70"/>
          <w:sz w:val="2"/>
        </w:rPr>
      </w:r>
    </w:p>
    <w:p>
      <w:pPr>
        <w:pStyle w:val="BodyText"/>
        <w:spacing w:before="8"/>
        <w:rPr>
          <w:sz w:val="9"/>
        </w:rPr>
      </w:pPr>
      <w:r>
        <w:rPr/>
        <mc:AlternateContent>
          <mc:Choice Requires="wps">
            <w:drawing>
              <wp:anchor distT="0" distB="0" distL="0" distR="0" allowOverlap="1" layoutInCell="1" locked="0" behindDoc="1" simplePos="0" relativeHeight="487685632">
                <wp:simplePos x="0" y="0"/>
                <wp:positionH relativeFrom="page">
                  <wp:posOffset>635000</wp:posOffset>
                </wp:positionH>
                <wp:positionV relativeFrom="paragraph">
                  <wp:posOffset>86396</wp:posOffset>
                </wp:positionV>
                <wp:extent cx="1692275" cy="1270"/>
                <wp:effectExtent l="0" t="0" r="0" b="0"/>
                <wp:wrapTopAndBottom/>
                <wp:docPr id="526" name="Graphic 526"/>
                <wp:cNvGraphicFramePr>
                  <a:graphicFrameLocks/>
                </wp:cNvGraphicFramePr>
                <a:graphic>
                  <a:graphicData uri="http://schemas.microsoft.com/office/word/2010/wordprocessingShape">
                    <wps:wsp>
                      <wps:cNvPr id="526" name="Graphic 526"/>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6.802901pt;width:133.25pt;height:.1pt;mso-position-horizontal-relative:page;mso-position-vertical-relative:paragraph;z-index:-15630848;mso-wrap-distance-left:0;mso-wrap-distance-right:0" id="docshape416" coordorigin="1000,136" coordsize="2665,0" path="m1000,136l3665,136e" filled="false" stroked="true" strokeweight=".26pt" strokecolor="#000000">
                <v:path arrowok="t"/>
                <v:stroke dashstyle="solid"/>
                <w10:wrap type="topAndBottom"/>
              </v:shape>
            </w:pict>
          </mc:Fallback>
        </mc:AlternateContent>
      </w:r>
    </w:p>
    <w:p>
      <w:pPr>
        <w:pStyle w:val="BodyText"/>
        <w:spacing w:line="249" w:lineRule="auto" w:before="116"/>
        <w:ind w:left="580" w:right="257" w:hanging="360"/>
        <w:jc w:val="both"/>
      </w:pPr>
      <w:r>
        <w:rPr>
          <w:vertAlign w:val="superscript"/>
        </w:rPr>
        <w:t>(1)</w:t>
      </w:r>
      <w:r>
        <w:rPr>
          <w:spacing w:val="80"/>
          <w:vertAlign w:val="baseline"/>
        </w:rPr>
        <w:t> </w:t>
      </w:r>
      <w:r>
        <w:rPr>
          <w:vertAlign w:val="baseline"/>
        </w:rPr>
        <w:t>Included in the 1.1 million shares awarded during fiscal 2017 were 0.6 million additional shares awarded for the final achievement</w:t>
      </w:r>
      <w:r>
        <w:rPr>
          <w:spacing w:val="-2"/>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2014</w:t>
      </w:r>
      <w:r>
        <w:rPr>
          <w:spacing w:val="-1"/>
          <w:vertAlign w:val="baseline"/>
        </w:rPr>
        <w:t> </w:t>
      </w:r>
      <w:r>
        <w:rPr>
          <w:vertAlign w:val="baseline"/>
        </w:rPr>
        <w:t>Performance</w:t>
      </w:r>
      <w:r>
        <w:rPr>
          <w:spacing w:val="-2"/>
          <w:vertAlign w:val="baseline"/>
        </w:rPr>
        <w:t> </w:t>
      </w:r>
      <w:r>
        <w:rPr>
          <w:vertAlign w:val="baseline"/>
        </w:rPr>
        <w:t>Share</w:t>
      </w:r>
      <w:r>
        <w:rPr>
          <w:spacing w:val="-2"/>
          <w:vertAlign w:val="baseline"/>
        </w:rPr>
        <w:t> </w:t>
      </w:r>
      <w:r>
        <w:rPr>
          <w:vertAlign w:val="baseline"/>
        </w:rPr>
        <w:t>program.</w:t>
      </w:r>
      <w:r>
        <w:rPr>
          <w:spacing w:val="-5"/>
          <w:vertAlign w:val="baseline"/>
        </w:rPr>
        <w:t> </w:t>
      </w:r>
      <w:r>
        <w:rPr>
          <w:vertAlign w:val="baseline"/>
        </w:rPr>
        <w:t>The</w:t>
      </w:r>
      <w:r>
        <w:rPr>
          <w:spacing w:val="-1"/>
          <w:vertAlign w:val="baseline"/>
        </w:rPr>
        <w:t> </w:t>
      </w:r>
      <w:r>
        <w:rPr>
          <w:vertAlign w:val="baseline"/>
        </w:rPr>
        <w:t>remaining</w:t>
      </w:r>
      <w:r>
        <w:rPr>
          <w:spacing w:val="-2"/>
          <w:vertAlign w:val="baseline"/>
        </w:rPr>
        <w:t> </w:t>
      </w:r>
      <w:r>
        <w:rPr>
          <w:vertAlign w:val="baseline"/>
        </w:rPr>
        <w:t>awarded</w:t>
      </w:r>
      <w:r>
        <w:rPr>
          <w:spacing w:val="-2"/>
          <w:vertAlign w:val="baseline"/>
        </w:rPr>
        <w:t> </w:t>
      </w:r>
      <w:r>
        <w:rPr>
          <w:vertAlign w:val="baseline"/>
        </w:rPr>
        <w:t>shares</w:t>
      </w:r>
      <w:r>
        <w:rPr>
          <w:spacing w:val="-1"/>
          <w:vertAlign w:val="baseline"/>
        </w:rPr>
        <w:t> </w:t>
      </w:r>
      <w:r>
        <w:rPr>
          <w:vertAlign w:val="baseline"/>
        </w:rPr>
        <w:t>were</w:t>
      </w:r>
      <w:r>
        <w:rPr>
          <w:spacing w:val="-2"/>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2017</w:t>
      </w:r>
      <w:r>
        <w:rPr>
          <w:spacing w:val="-2"/>
          <w:vertAlign w:val="baseline"/>
        </w:rPr>
        <w:t> </w:t>
      </w:r>
      <w:r>
        <w:rPr>
          <w:vertAlign w:val="baseline"/>
        </w:rPr>
        <w:t>Performance</w:t>
      </w:r>
      <w:r>
        <w:rPr>
          <w:spacing w:val="-2"/>
          <w:vertAlign w:val="baseline"/>
        </w:rPr>
        <w:t> </w:t>
      </w:r>
      <w:r>
        <w:rPr>
          <w:vertAlign w:val="baseline"/>
        </w:rPr>
        <w:t>Share </w:t>
      </w:r>
      <w:r>
        <w:rPr>
          <w:spacing w:val="-2"/>
          <w:vertAlign w:val="baseline"/>
        </w:rPr>
        <w:t>Program.</w:t>
      </w:r>
    </w:p>
    <w:p>
      <w:pPr>
        <w:pStyle w:val="BodyText"/>
        <w:spacing w:line="249" w:lineRule="auto" w:before="2"/>
        <w:ind w:left="580" w:right="257" w:hanging="360"/>
        <w:jc w:val="both"/>
      </w:pPr>
      <w:r>
        <w:rPr>
          <w:vertAlign w:val="superscript"/>
        </w:rPr>
        <w:t>(2)</w:t>
      </w:r>
      <w:r>
        <w:rPr>
          <w:spacing w:val="80"/>
          <w:vertAlign w:val="baseline"/>
        </w:rPr>
        <w:t> </w:t>
      </w:r>
      <w:r>
        <w:rPr>
          <w:vertAlign w:val="baseline"/>
        </w:rPr>
        <w:t>Included in the 1.2 million shares awarded during fiscal 2016 were 0.7 million additional shares awarded for the final achievement</w:t>
      </w:r>
      <w:r>
        <w:rPr>
          <w:spacing w:val="-2"/>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2013</w:t>
      </w:r>
      <w:r>
        <w:rPr>
          <w:spacing w:val="-1"/>
          <w:vertAlign w:val="baseline"/>
        </w:rPr>
        <w:t> </w:t>
      </w:r>
      <w:r>
        <w:rPr>
          <w:vertAlign w:val="baseline"/>
        </w:rPr>
        <w:t>Performance</w:t>
      </w:r>
      <w:r>
        <w:rPr>
          <w:spacing w:val="-2"/>
          <w:vertAlign w:val="baseline"/>
        </w:rPr>
        <w:t> </w:t>
      </w:r>
      <w:r>
        <w:rPr>
          <w:vertAlign w:val="baseline"/>
        </w:rPr>
        <w:t>Share</w:t>
      </w:r>
      <w:r>
        <w:rPr>
          <w:spacing w:val="-2"/>
          <w:vertAlign w:val="baseline"/>
        </w:rPr>
        <w:t> </w:t>
      </w:r>
      <w:r>
        <w:rPr>
          <w:vertAlign w:val="baseline"/>
        </w:rPr>
        <w:t>program.</w:t>
      </w:r>
      <w:r>
        <w:rPr>
          <w:spacing w:val="-5"/>
          <w:vertAlign w:val="baseline"/>
        </w:rPr>
        <w:t> </w:t>
      </w:r>
      <w:r>
        <w:rPr>
          <w:vertAlign w:val="baseline"/>
        </w:rPr>
        <w:t>The</w:t>
      </w:r>
      <w:r>
        <w:rPr>
          <w:spacing w:val="-1"/>
          <w:vertAlign w:val="baseline"/>
        </w:rPr>
        <w:t> </w:t>
      </w:r>
      <w:r>
        <w:rPr>
          <w:vertAlign w:val="baseline"/>
        </w:rPr>
        <w:t>remaining</w:t>
      </w:r>
      <w:r>
        <w:rPr>
          <w:spacing w:val="-2"/>
          <w:vertAlign w:val="baseline"/>
        </w:rPr>
        <w:t> </w:t>
      </w:r>
      <w:r>
        <w:rPr>
          <w:vertAlign w:val="baseline"/>
        </w:rPr>
        <w:t>awarded</w:t>
      </w:r>
      <w:r>
        <w:rPr>
          <w:spacing w:val="-2"/>
          <w:vertAlign w:val="baseline"/>
        </w:rPr>
        <w:t> </w:t>
      </w:r>
      <w:r>
        <w:rPr>
          <w:vertAlign w:val="baseline"/>
        </w:rPr>
        <w:t>shares</w:t>
      </w:r>
      <w:r>
        <w:rPr>
          <w:spacing w:val="-1"/>
          <w:vertAlign w:val="baseline"/>
        </w:rPr>
        <w:t> </w:t>
      </w:r>
      <w:r>
        <w:rPr>
          <w:vertAlign w:val="baseline"/>
        </w:rPr>
        <w:t>were</w:t>
      </w:r>
      <w:r>
        <w:rPr>
          <w:spacing w:val="-2"/>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2016</w:t>
      </w:r>
      <w:r>
        <w:rPr>
          <w:spacing w:val="-2"/>
          <w:vertAlign w:val="baseline"/>
        </w:rPr>
        <w:t> </w:t>
      </w:r>
      <w:r>
        <w:rPr>
          <w:vertAlign w:val="baseline"/>
        </w:rPr>
        <w:t>Performance</w:t>
      </w:r>
      <w:r>
        <w:rPr>
          <w:spacing w:val="-2"/>
          <w:vertAlign w:val="baseline"/>
        </w:rPr>
        <w:t> </w:t>
      </w:r>
      <w:r>
        <w:rPr>
          <w:vertAlign w:val="baseline"/>
        </w:rPr>
        <w:t>Share </w:t>
      </w:r>
      <w:r>
        <w:rPr>
          <w:spacing w:val="-2"/>
          <w:vertAlign w:val="baseline"/>
        </w:rPr>
        <w:t>Program.</w:t>
      </w:r>
    </w:p>
    <w:p>
      <w:pPr>
        <w:pStyle w:val="BodyText"/>
        <w:spacing w:line="249" w:lineRule="auto" w:before="2"/>
        <w:ind w:left="580" w:right="258" w:hanging="360"/>
        <w:jc w:val="both"/>
      </w:pPr>
      <w:r>
        <w:rPr>
          <w:vertAlign w:val="superscript"/>
        </w:rPr>
        <w:t>(3)</w:t>
      </w:r>
      <w:r>
        <w:rPr>
          <w:spacing w:val="80"/>
          <w:w w:val="150"/>
          <w:vertAlign w:val="baseline"/>
        </w:rPr>
        <w:t> </w:t>
      </w:r>
      <w:r>
        <w:rPr>
          <w:vertAlign w:val="baseline"/>
        </w:rPr>
        <w:t>Shares</w:t>
      </w:r>
      <w:r>
        <w:rPr>
          <w:spacing w:val="-8"/>
          <w:vertAlign w:val="baseline"/>
        </w:rPr>
        <w:t> </w:t>
      </w:r>
      <w:r>
        <w:rPr>
          <w:vertAlign w:val="baseline"/>
        </w:rPr>
        <w:t>achieved</w:t>
      </w:r>
      <w:r>
        <w:rPr>
          <w:spacing w:val="-8"/>
          <w:vertAlign w:val="baseline"/>
        </w:rPr>
        <w:t> </w:t>
      </w:r>
      <w:r>
        <w:rPr>
          <w:vertAlign w:val="baseline"/>
        </w:rPr>
        <w:t>under</w:t>
      </w:r>
      <w:r>
        <w:rPr>
          <w:spacing w:val="-8"/>
          <w:vertAlign w:val="baseline"/>
        </w:rPr>
        <w:t> </w:t>
      </w:r>
      <w:r>
        <w:rPr>
          <w:vertAlign w:val="baseline"/>
        </w:rPr>
        <w:t>our</w:t>
      </w:r>
      <w:r>
        <w:rPr>
          <w:spacing w:val="-8"/>
          <w:vertAlign w:val="baseline"/>
        </w:rPr>
        <w:t> </w:t>
      </w:r>
      <w:r>
        <w:rPr>
          <w:vertAlign w:val="baseline"/>
        </w:rPr>
        <w:t>2014</w:t>
      </w:r>
      <w:r>
        <w:rPr>
          <w:spacing w:val="-8"/>
          <w:vertAlign w:val="baseline"/>
        </w:rPr>
        <w:t> </w:t>
      </w:r>
      <w:r>
        <w:rPr>
          <w:vertAlign w:val="baseline"/>
        </w:rPr>
        <w:t>and</w:t>
      </w:r>
      <w:r>
        <w:rPr>
          <w:spacing w:val="-8"/>
          <w:vertAlign w:val="baseline"/>
        </w:rPr>
        <w:t> </w:t>
      </w:r>
      <w:r>
        <w:rPr>
          <w:vertAlign w:val="baseline"/>
        </w:rPr>
        <w:t>2013</w:t>
      </w:r>
      <w:r>
        <w:rPr>
          <w:spacing w:val="-8"/>
          <w:vertAlign w:val="baseline"/>
        </w:rPr>
        <w:t> </w:t>
      </w:r>
      <w:r>
        <w:rPr>
          <w:vertAlign w:val="baseline"/>
        </w:rPr>
        <w:t>Performance</w:t>
      </w:r>
      <w:r>
        <w:rPr>
          <w:spacing w:val="-8"/>
          <w:vertAlign w:val="baseline"/>
        </w:rPr>
        <w:t> </w:t>
      </w:r>
      <w:r>
        <w:rPr>
          <w:vertAlign w:val="baseline"/>
        </w:rPr>
        <w:t>Share</w:t>
      </w:r>
      <w:r>
        <w:rPr>
          <w:spacing w:val="-8"/>
          <w:vertAlign w:val="baseline"/>
        </w:rPr>
        <w:t> </w:t>
      </w:r>
      <w:r>
        <w:rPr>
          <w:vertAlign w:val="baseline"/>
        </w:rPr>
        <w:t>programs</w:t>
      </w:r>
      <w:r>
        <w:rPr>
          <w:spacing w:val="-8"/>
          <w:vertAlign w:val="baseline"/>
        </w:rPr>
        <w:t> </w:t>
      </w:r>
      <w:r>
        <w:rPr>
          <w:vertAlign w:val="baseline"/>
        </w:rPr>
        <w:t>which</w:t>
      </w:r>
      <w:r>
        <w:rPr>
          <w:spacing w:val="-8"/>
          <w:vertAlign w:val="baseline"/>
        </w:rPr>
        <w:t> </w:t>
      </w:r>
      <w:r>
        <w:rPr>
          <w:vertAlign w:val="baseline"/>
        </w:rPr>
        <w:t>resulted</w:t>
      </w:r>
      <w:r>
        <w:rPr>
          <w:spacing w:val="-8"/>
          <w:vertAlign w:val="baseline"/>
        </w:rPr>
        <w:t> </w:t>
      </w:r>
      <w:r>
        <w:rPr>
          <w:vertAlign w:val="baseline"/>
        </w:rPr>
        <w:t>from</w:t>
      </w:r>
      <w:r>
        <w:rPr>
          <w:spacing w:val="-8"/>
          <w:vertAlign w:val="baseline"/>
        </w:rPr>
        <w:t> </w:t>
      </w:r>
      <w:r>
        <w:rPr>
          <w:vertAlign w:val="baseline"/>
        </w:rPr>
        <w:t>198%</w:t>
      </w:r>
      <w:r>
        <w:rPr>
          <w:spacing w:val="-8"/>
          <w:vertAlign w:val="baseline"/>
        </w:rPr>
        <w:t> </w:t>
      </w:r>
      <w:r>
        <w:rPr>
          <w:vertAlign w:val="baseline"/>
        </w:rPr>
        <w:t>achievement</w:t>
      </w:r>
      <w:r>
        <w:rPr>
          <w:spacing w:val="-9"/>
          <w:vertAlign w:val="baseline"/>
        </w:rPr>
        <w:t> </w:t>
      </w:r>
      <w:r>
        <w:rPr>
          <w:vertAlign w:val="baseline"/>
        </w:rPr>
        <w:t>of</w:t>
      </w:r>
      <w:r>
        <w:rPr>
          <w:spacing w:val="-8"/>
          <w:vertAlign w:val="baseline"/>
        </w:rPr>
        <w:t> </w:t>
      </w:r>
      <w:r>
        <w:rPr>
          <w:vertAlign w:val="baseline"/>
        </w:rPr>
        <w:t>target</w:t>
      </w:r>
      <w:r>
        <w:rPr>
          <w:spacing w:val="-8"/>
          <w:vertAlign w:val="baseline"/>
        </w:rPr>
        <w:t> </w:t>
      </w:r>
      <w:r>
        <w:rPr>
          <w:vertAlign w:val="baseline"/>
        </w:rPr>
        <w:t>for both programs.</w:t>
      </w:r>
    </w:p>
    <w:p>
      <w:pPr>
        <w:pStyle w:val="BodyText"/>
        <w:spacing w:before="12"/>
      </w:pPr>
    </w:p>
    <w:p>
      <w:pPr>
        <w:pStyle w:val="BodyText"/>
        <w:spacing w:line="249" w:lineRule="auto"/>
        <w:ind w:left="220" w:right="257" w:firstLine="540"/>
        <w:jc w:val="both"/>
      </w:pPr>
      <w:r>
        <w:rPr/>
        <w:t>The total fair value of performance awards vested during fiscal 2017, 2016 and 2015 was $127.4 million, $123.1 million and $26.1 million, respectively.</w:t>
      </w:r>
    </w:p>
    <w:p>
      <w:pPr>
        <w:pStyle w:val="BodyText"/>
        <w:spacing w:before="12"/>
      </w:pPr>
    </w:p>
    <w:p>
      <w:pPr>
        <w:spacing w:before="0"/>
        <w:ind w:left="220" w:right="0" w:firstLine="0"/>
        <w:jc w:val="left"/>
        <w:rPr>
          <w:i/>
          <w:sz w:val="20"/>
        </w:rPr>
      </w:pPr>
      <w:r>
        <w:rPr>
          <w:i/>
          <w:sz w:val="20"/>
        </w:rPr>
        <w:t>Summary</w:t>
      </w:r>
      <w:r>
        <w:rPr>
          <w:i/>
          <w:spacing w:val="-3"/>
          <w:sz w:val="20"/>
        </w:rPr>
        <w:t> </w:t>
      </w:r>
      <w:r>
        <w:rPr>
          <w:i/>
          <w:sz w:val="20"/>
        </w:rPr>
        <w:t>of</w:t>
      </w:r>
      <w:r>
        <w:rPr>
          <w:i/>
          <w:spacing w:val="-2"/>
          <w:sz w:val="20"/>
        </w:rPr>
        <w:t> </w:t>
      </w:r>
      <w:r>
        <w:rPr>
          <w:i/>
          <w:sz w:val="20"/>
        </w:rPr>
        <w:t>Employee</w:t>
      </w:r>
      <w:r>
        <w:rPr>
          <w:i/>
          <w:spacing w:val="-2"/>
          <w:sz w:val="20"/>
        </w:rPr>
        <w:t> </w:t>
      </w:r>
      <w:r>
        <w:rPr>
          <w:i/>
          <w:sz w:val="20"/>
        </w:rPr>
        <w:t>Stock</w:t>
      </w:r>
      <w:r>
        <w:rPr>
          <w:i/>
          <w:spacing w:val="-3"/>
          <w:sz w:val="20"/>
        </w:rPr>
        <w:t> </w:t>
      </w:r>
      <w:r>
        <w:rPr>
          <w:i/>
          <w:sz w:val="20"/>
        </w:rPr>
        <w:t>Purchase</w:t>
      </w:r>
      <w:r>
        <w:rPr>
          <w:i/>
          <w:spacing w:val="-3"/>
          <w:sz w:val="20"/>
        </w:rPr>
        <w:t> </w:t>
      </w:r>
      <w:r>
        <w:rPr>
          <w:i/>
          <w:sz w:val="20"/>
        </w:rPr>
        <w:t>Plan</w:t>
      </w:r>
      <w:r>
        <w:rPr>
          <w:i/>
          <w:spacing w:val="-1"/>
          <w:sz w:val="20"/>
        </w:rPr>
        <w:t> </w:t>
      </w:r>
      <w:r>
        <w:rPr>
          <w:i/>
          <w:spacing w:val="-2"/>
          <w:sz w:val="20"/>
        </w:rPr>
        <w:t>Shares</w:t>
      </w:r>
    </w:p>
    <w:p>
      <w:pPr>
        <w:pStyle w:val="BodyText"/>
        <w:spacing w:before="190"/>
        <w:ind w:left="760"/>
        <w:jc w:val="both"/>
      </w:pPr>
      <w:r>
        <w:rPr>
          <w:spacing w:val="-2"/>
        </w:rPr>
        <w:t>The</w:t>
      </w:r>
      <w:r>
        <w:rPr>
          <w:spacing w:val="-4"/>
        </w:rPr>
        <w:t> </w:t>
      </w:r>
      <w:r>
        <w:rPr>
          <w:spacing w:val="-2"/>
        </w:rPr>
        <w:t>weighted</w:t>
      </w:r>
      <w:r>
        <w:rPr>
          <w:spacing w:val="-3"/>
        </w:rPr>
        <w:t> </w:t>
      </w:r>
      <w:r>
        <w:rPr>
          <w:spacing w:val="-2"/>
        </w:rPr>
        <w:t>average</w:t>
      </w:r>
      <w:r>
        <w:rPr>
          <w:spacing w:val="-3"/>
        </w:rPr>
        <w:t> </w:t>
      </w:r>
      <w:r>
        <w:rPr>
          <w:spacing w:val="-2"/>
        </w:rPr>
        <w:t>subscription</w:t>
      </w:r>
      <w:r>
        <w:rPr>
          <w:spacing w:val="-4"/>
        </w:rPr>
        <w:t> </w:t>
      </w:r>
      <w:r>
        <w:rPr>
          <w:spacing w:val="-2"/>
        </w:rPr>
        <w:t>date</w:t>
      </w:r>
      <w:r>
        <w:rPr>
          <w:spacing w:val="-3"/>
        </w:rPr>
        <w:t> </w:t>
      </w:r>
      <w:r>
        <w:rPr>
          <w:spacing w:val="-2"/>
        </w:rPr>
        <w:t>fair</w:t>
      </w:r>
      <w:r>
        <w:rPr>
          <w:spacing w:val="-3"/>
        </w:rPr>
        <w:t> </w:t>
      </w:r>
      <w:r>
        <w:rPr>
          <w:spacing w:val="-2"/>
        </w:rPr>
        <w:t>value</w:t>
      </w:r>
      <w:r>
        <w:rPr>
          <w:spacing w:val="-4"/>
        </w:rPr>
        <w:t> </w:t>
      </w:r>
      <w:r>
        <w:rPr>
          <w:spacing w:val="-2"/>
        </w:rPr>
        <w:t>of</w:t>
      </w:r>
      <w:r>
        <w:rPr>
          <w:spacing w:val="-3"/>
        </w:rPr>
        <w:t> </w:t>
      </w:r>
      <w:r>
        <w:rPr>
          <w:spacing w:val="-2"/>
        </w:rPr>
        <w:t>shares</w:t>
      </w:r>
      <w:r>
        <w:rPr>
          <w:spacing w:val="-3"/>
        </w:rPr>
        <w:t> </w:t>
      </w:r>
      <w:r>
        <w:rPr>
          <w:spacing w:val="-2"/>
        </w:rPr>
        <w:t>under</w:t>
      </w:r>
      <w:r>
        <w:rPr>
          <w:spacing w:val="-4"/>
        </w:rPr>
        <w:t> </w:t>
      </w:r>
      <w:r>
        <w:rPr>
          <w:spacing w:val="-2"/>
        </w:rPr>
        <w:t>the</w:t>
      </w:r>
      <w:r>
        <w:rPr>
          <w:spacing w:val="-3"/>
        </w:rPr>
        <w:t> </w:t>
      </w:r>
      <w:r>
        <w:rPr>
          <w:spacing w:val="-2"/>
        </w:rPr>
        <w:t>ESPP</w:t>
      </w:r>
      <w:r>
        <w:rPr>
          <w:spacing w:val="-12"/>
        </w:rPr>
        <w:t> </w:t>
      </w:r>
      <w:r>
        <w:rPr>
          <w:spacing w:val="-2"/>
        </w:rPr>
        <w:t>during</w:t>
      </w:r>
      <w:r>
        <w:rPr>
          <w:spacing w:val="-4"/>
        </w:rPr>
        <w:t> </w:t>
      </w:r>
      <w:r>
        <w:rPr>
          <w:spacing w:val="-2"/>
        </w:rPr>
        <w:t>fiscal</w:t>
      </w:r>
      <w:r>
        <w:rPr>
          <w:spacing w:val="-3"/>
        </w:rPr>
        <w:t> </w:t>
      </w:r>
      <w:r>
        <w:rPr>
          <w:spacing w:val="-2"/>
        </w:rPr>
        <w:t>2017,</w:t>
      </w:r>
      <w:r>
        <w:rPr>
          <w:spacing w:val="-3"/>
        </w:rPr>
        <w:t> </w:t>
      </w:r>
      <w:r>
        <w:rPr>
          <w:spacing w:val="-2"/>
        </w:rPr>
        <w:t>2016</w:t>
      </w:r>
      <w:r>
        <w:rPr>
          <w:spacing w:val="-4"/>
        </w:rPr>
        <w:t> </w:t>
      </w:r>
      <w:r>
        <w:rPr>
          <w:spacing w:val="-2"/>
        </w:rPr>
        <w:t>and</w:t>
      </w:r>
      <w:r>
        <w:rPr>
          <w:spacing w:val="-3"/>
        </w:rPr>
        <w:t> </w:t>
      </w:r>
      <w:r>
        <w:rPr>
          <w:spacing w:val="-2"/>
        </w:rPr>
        <w:t>2015</w:t>
      </w:r>
      <w:r>
        <w:rPr>
          <w:spacing w:val="-3"/>
        </w:rPr>
        <w:t> </w:t>
      </w:r>
      <w:r>
        <w:rPr>
          <w:spacing w:val="-2"/>
        </w:rPr>
        <w:t>were</w:t>
      </w:r>
      <w:r>
        <w:rPr>
          <w:spacing w:val="-3"/>
        </w:rPr>
        <w:t> </w:t>
      </w:r>
      <w:r>
        <w:rPr>
          <w:spacing w:val="-2"/>
        </w:rPr>
        <w:t>$29.86,</w:t>
      </w:r>
    </w:p>
    <w:p>
      <w:pPr>
        <w:pStyle w:val="BodyText"/>
        <w:spacing w:line="249" w:lineRule="auto" w:before="10"/>
        <w:ind w:left="220" w:right="257"/>
        <w:jc w:val="both"/>
      </w:pPr>
      <w:r>
        <w:rPr/>
        <w:t>$24.84</w:t>
      </w:r>
      <w:r>
        <w:rPr>
          <w:spacing w:val="-1"/>
        </w:rPr>
        <w:t> </w:t>
      </w:r>
      <w:r>
        <w:rPr/>
        <w:t>and</w:t>
      </w:r>
      <w:r>
        <w:rPr>
          <w:spacing w:val="-1"/>
        </w:rPr>
        <w:t> </w:t>
      </w:r>
      <w:r>
        <w:rPr/>
        <w:t>$20.81,</w:t>
      </w:r>
      <w:r>
        <w:rPr>
          <w:spacing w:val="-1"/>
        </w:rPr>
        <w:t> </w:t>
      </w:r>
      <w:r>
        <w:rPr/>
        <w:t>respectively.</w:t>
      </w:r>
      <w:r>
        <w:rPr>
          <w:spacing w:val="-1"/>
        </w:rPr>
        <w:t> </w:t>
      </w:r>
      <w:r>
        <w:rPr/>
        <w:t>Employees</w:t>
      </w:r>
      <w:r>
        <w:rPr>
          <w:spacing w:val="-1"/>
        </w:rPr>
        <w:t> </w:t>
      </w:r>
      <w:r>
        <w:rPr/>
        <w:t>purchased</w:t>
      </w:r>
      <w:r>
        <w:rPr>
          <w:spacing w:val="-1"/>
        </w:rPr>
        <w:t> </w:t>
      </w:r>
      <w:r>
        <w:rPr/>
        <w:t>1.9</w:t>
      </w:r>
      <w:r>
        <w:rPr>
          <w:spacing w:val="-1"/>
        </w:rPr>
        <w:t> </w:t>
      </w:r>
      <w:r>
        <w:rPr/>
        <w:t>million</w:t>
      </w:r>
      <w:r>
        <w:rPr>
          <w:spacing w:val="-2"/>
        </w:rPr>
        <w:t> </w:t>
      </w:r>
      <w:r>
        <w:rPr/>
        <w:t>shares</w:t>
      </w:r>
      <w:r>
        <w:rPr>
          <w:spacing w:val="-1"/>
        </w:rPr>
        <w:t> </w:t>
      </w:r>
      <w:r>
        <w:rPr/>
        <w:t>at</w:t>
      </w:r>
      <w:r>
        <w:rPr>
          <w:spacing w:val="-1"/>
        </w:rPr>
        <w:t> </w:t>
      </w:r>
      <w:r>
        <w:rPr/>
        <w:t>an</w:t>
      </w:r>
      <w:r>
        <w:rPr>
          <w:spacing w:val="-1"/>
        </w:rPr>
        <w:t> </w:t>
      </w:r>
      <w:r>
        <w:rPr/>
        <w:t>average</w:t>
      </w:r>
      <w:r>
        <w:rPr>
          <w:spacing w:val="-2"/>
        </w:rPr>
        <w:t> </w:t>
      </w:r>
      <w:r>
        <w:rPr/>
        <w:t>price</w:t>
      </w:r>
      <w:r>
        <w:rPr>
          <w:spacing w:val="-2"/>
        </w:rPr>
        <w:t> </w:t>
      </w:r>
      <w:r>
        <w:rPr/>
        <w:t>of</w:t>
      </w:r>
      <w:r>
        <w:rPr>
          <w:spacing w:val="-1"/>
        </w:rPr>
        <w:t> </w:t>
      </w:r>
      <w:r>
        <w:rPr/>
        <w:t>$77.63,</w:t>
      </w:r>
      <w:r>
        <w:rPr>
          <w:spacing w:val="-1"/>
        </w:rPr>
        <w:t> </w:t>
      </w:r>
      <w:r>
        <w:rPr/>
        <w:t>1.9</w:t>
      </w:r>
      <w:r>
        <w:rPr>
          <w:spacing w:val="-1"/>
        </w:rPr>
        <w:t> </w:t>
      </w:r>
      <w:r>
        <w:rPr/>
        <w:t>million</w:t>
      </w:r>
      <w:r>
        <w:rPr>
          <w:spacing w:val="-1"/>
        </w:rPr>
        <w:t> </w:t>
      </w:r>
      <w:r>
        <w:rPr/>
        <w:t>shares</w:t>
      </w:r>
      <w:r>
        <w:rPr>
          <w:spacing w:val="-1"/>
        </w:rPr>
        <w:t> </w:t>
      </w:r>
      <w:r>
        <w:rPr/>
        <w:t>at</w:t>
      </w:r>
      <w:r>
        <w:rPr>
          <w:spacing w:val="-1"/>
        </w:rPr>
        <w:t> </w:t>
      </w:r>
      <w:r>
        <w:rPr/>
        <w:t>an average price of $66.13, and 2.1 million shares at an average price of $52.37, respectively, for fiscal 2017, 2016 and 2015.</w:t>
      </w:r>
      <w:r>
        <w:rPr>
          <w:spacing w:val="-2"/>
        </w:rPr>
        <w:t> </w:t>
      </w:r>
      <w:r>
        <w:rPr/>
        <w:t>The intrinsic value of shares purchased during fiscal 2017, 2016 and 2015 was $97.7 million, $54.3 million and $53.9 million, respectively.</w:t>
      </w:r>
      <w:r>
        <w:rPr>
          <w:spacing w:val="-12"/>
        </w:rPr>
        <w:t> </w:t>
      </w:r>
      <w:r>
        <w:rPr/>
        <w:t>The</w:t>
      </w:r>
      <w:r>
        <w:rPr>
          <w:spacing w:val="-9"/>
        </w:rPr>
        <w:t> </w:t>
      </w:r>
      <w:r>
        <w:rPr/>
        <w:t>intrinsic</w:t>
      </w:r>
      <w:r>
        <w:rPr>
          <w:spacing w:val="-10"/>
        </w:rPr>
        <w:t> </w:t>
      </w:r>
      <w:r>
        <w:rPr/>
        <w:t>value</w:t>
      </w:r>
      <w:r>
        <w:rPr>
          <w:spacing w:val="-10"/>
        </w:rPr>
        <w:t> </w:t>
      </w:r>
      <w:r>
        <w:rPr/>
        <w:t>is</w:t>
      </w:r>
      <w:r>
        <w:rPr>
          <w:spacing w:val="-9"/>
        </w:rPr>
        <w:t> </w:t>
      </w:r>
      <w:r>
        <w:rPr/>
        <w:t>calculated</w:t>
      </w:r>
      <w:r>
        <w:rPr>
          <w:spacing w:val="-9"/>
        </w:rPr>
        <w:t> </w:t>
      </w:r>
      <w:r>
        <w:rPr/>
        <w:t>as</w:t>
      </w:r>
      <w:r>
        <w:rPr>
          <w:spacing w:val="-9"/>
        </w:rPr>
        <w:t> </w:t>
      </w:r>
      <w:r>
        <w:rPr/>
        <w:t>the</w:t>
      </w:r>
      <w:r>
        <w:rPr>
          <w:spacing w:val="-9"/>
        </w:rPr>
        <w:t> </w:t>
      </w:r>
      <w:r>
        <w:rPr/>
        <w:t>difference</w:t>
      </w:r>
      <w:r>
        <w:rPr>
          <w:spacing w:val="-10"/>
        </w:rPr>
        <w:t> </w:t>
      </w:r>
      <w:r>
        <w:rPr/>
        <w:t>between</w:t>
      </w:r>
      <w:r>
        <w:rPr>
          <w:spacing w:val="-10"/>
        </w:rPr>
        <w:t> </w:t>
      </w:r>
      <w:r>
        <w:rPr/>
        <w:t>the</w:t>
      </w:r>
      <w:r>
        <w:rPr>
          <w:spacing w:val="-9"/>
        </w:rPr>
        <w:t> </w:t>
      </w:r>
      <w:r>
        <w:rPr/>
        <w:t>market</w:t>
      </w:r>
      <w:r>
        <w:rPr>
          <w:spacing w:val="-10"/>
        </w:rPr>
        <w:t> </w:t>
      </w:r>
      <w:r>
        <w:rPr/>
        <w:t>value</w:t>
      </w:r>
      <w:r>
        <w:rPr>
          <w:spacing w:val="-10"/>
        </w:rPr>
        <w:t> </w:t>
      </w:r>
      <w:r>
        <w:rPr/>
        <w:t>on</w:t>
      </w:r>
      <w:r>
        <w:rPr>
          <w:spacing w:val="-9"/>
        </w:rPr>
        <w:t> </w:t>
      </w:r>
      <w:r>
        <w:rPr/>
        <w:t>the</w:t>
      </w:r>
      <w:r>
        <w:rPr>
          <w:spacing w:val="-9"/>
        </w:rPr>
        <w:t> </w:t>
      </w:r>
      <w:r>
        <w:rPr/>
        <w:t>date</w:t>
      </w:r>
      <w:r>
        <w:rPr>
          <w:spacing w:val="-10"/>
        </w:rPr>
        <w:t> </w:t>
      </w:r>
      <w:r>
        <w:rPr/>
        <w:t>of</w:t>
      </w:r>
      <w:r>
        <w:rPr>
          <w:spacing w:val="-9"/>
        </w:rPr>
        <w:t> </w:t>
      </w:r>
      <w:r>
        <w:rPr/>
        <w:t>purchase</w:t>
      </w:r>
      <w:r>
        <w:rPr>
          <w:spacing w:val="-10"/>
        </w:rPr>
        <w:t> </w:t>
      </w:r>
      <w:r>
        <w:rPr/>
        <w:t>and</w:t>
      </w:r>
      <w:r>
        <w:rPr>
          <w:spacing w:val="-9"/>
        </w:rPr>
        <w:t> </w:t>
      </w:r>
      <w:r>
        <w:rPr/>
        <w:t>the</w:t>
      </w:r>
      <w:r>
        <w:rPr>
          <w:spacing w:val="-9"/>
        </w:rPr>
        <w:t> </w:t>
      </w:r>
      <w:r>
        <w:rPr/>
        <w:t>purchase price of the shares.</w:t>
      </w:r>
    </w:p>
    <w:p>
      <w:pPr>
        <w:spacing w:after="0" w:line="249" w:lineRule="auto"/>
        <w:jc w:val="both"/>
        <w:sectPr>
          <w:pgSz w:w="12240" w:h="15840"/>
          <w:pgMar w:header="210" w:footer="610" w:top="1380" w:bottom="800" w:left="780" w:right="740"/>
        </w:sectPr>
      </w:pPr>
    </w:p>
    <w:p>
      <w:pPr>
        <w:pStyle w:val="BodyText"/>
      </w:pPr>
    </w:p>
    <w:p>
      <w:pPr>
        <w:pStyle w:val="BodyText"/>
      </w:pPr>
    </w:p>
    <w:p>
      <w:pPr>
        <w:pStyle w:val="BodyText"/>
        <w:spacing w:before="30"/>
      </w:pPr>
    </w:p>
    <w:p>
      <w:pPr>
        <w:spacing w:before="0"/>
        <w:ind w:left="220" w:right="0" w:firstLine="0"/>
        <w:jc w:val="left"/>
        <w:rPr>
          <w:i/>
          <w:sz w:val="20"/>
        </w:rPr>
      </w:pPr>
      <w:r>
        <w:rPr>
          <w:i/>
          <w:sz w:val="20"/>
        </w:rPr>
        <w:t>Summary</w:t>
      </w:r>
      <w:r>
        <w:rPr>
          <w:i/>
          <w:spacing w:val="-1"/>
          <w:sz w:val="20"/>
        </w:rPr>
        <w:t> </w:t>
      </w:r>
      <w:r>
        <w:rPr>
          <w:i/>
          <w:sz w:val="20"/>
        </w:rPr>
        <w:t>of Stock</w:t>
      </w:r>
      <w:r>
        <w:rPr>
          <w:i/>
          <w:spacing w:val="-1"/>
          <w:sz w:val="20"/>
        </w:rPr>
        <w:t> </w:t>
      </w:r>
      <w:r>
        <w:rPr>
          <w:i/>
          <w:spacing w:val="-2"/>
          <w:sz w:val="20"/>
        </w:rPr>
        <w:t>Options</w:t>
      </w:r>
    </w:p>
    <w:p>
      <w:pPr>
        <w:pStyle w:val="BodyText"/>
        <w:spacing w:before="190"/>
        <w:ind w:left="760"/>
      </w:pPr>
      <w:r>
        <w:rPr/>
        <w:t>As</w:t>
      </w:r>
      <w:r>
        <w:rPr>
          <w:spacing w:val="-14"/>
        </w:rPr>
        <w:t> </w:t>
      </w:r>
      <w:r>
        <w:rPr/>
        <w:t>of</w:t>
      </w:r>
      <w:r>
        <w:rPr>
          <w:spacing w:val="-11"/>
        </w:rPr>
        <w:t> </w:t>
      </w:r>
      <w:r>
        <w:rPr/>
        <w:t>December</w:t>
      </w:r>
      <w:r>
        <w:rPr>
          <w:spacing w:val="-1"/>
        </w:rPr>
        <w:t> </w:t>
      </w:r>
      <w:r>
        <w:rPr/>
        <w:t>1,</w:t>
      </w:r>
      <w:r>
        <w:rPr>
          <w:spacing w:val="-11"/>
        </w:rPr>
        <w:t> </w:t>
      </w:r>
      <w:r>
        <w:rPr/>
        <w:t>2017</w:t>
      </w:r>
      <w:r>
        <w:rPr>
          <w:spacing w:val="-11"/>
        </w:rPr>
        <w:t> </w:t>
      </w:r>
      <w:r>
        <w:rPr/>
        <w:t>and</w:t>
      </w:r>
      <w:r>
        <w:rPr>
          <w:spacing w:val="-12"/>
        </w:rPr>
        <w:t> </w:t>
      </w:r>
      <w:r>
        <w:rPr/>
        <w:t>December 2,</w:t>
      </w:r>
      <w:r>
        <w:rPr>
          <w:spacing w:val="-12"/>
        </w:rPr>
        <w:t> </w:t>
      </w:r>
      <w:r>
        <w:rPr/>
        <w:t>2016,</w:t>
      </w:r>
      <w:r>
        <w:rPr>
          <w:spacing w:val="-11"/>
        </w:rPr>
        <w:t> </w:t>
      </w:r>
      <w:r>
        <w:rPr/>
        <w:t>we</w:t>
      </w:r>
      <w:r>
        <w:rPr>
          <w:spacing w:val="-12"/>
        </w:rPr>
        <w:t> </w:t>
      </w:r>
      <w:r>
        <w:rPr/>
        <w:t>had</w:t>
      </w:r>
      <w:r>
        <w:rPr>
          <w:spacing w:val="-12"/>
        </w:rPr>
        <w:t> </w:t>
      </w:r>
      <w:r>
        <w:rPr/>
        <w:t>0.3</w:t>
      </w:r>
      <w:r>
        <w:rPr>
          <w:spacing w:val="-11"/>
        </w:rPr>
        <w:t> </w:t>
      </w:r>
      <w:r>
        <w:rPr/>
        <w:t>million</w:t>
      </w:r>
      <w:r>
        <w:rPr>
          <w:spacing w:val="-11"/>
        </w:rPr>
        <w:t> </w:t>
      </w:r>
      <w:r>
        <w:rPr/>
        <w:t>and</w:t>
      </w:r>
      <w:r>
        <w:rPr>
          <w:spacing w:val="-12"/>
        </w:rPr>
        <w:t> </w:t>
      </w:r>
      <w:r>
        <w:rPr/>
        <w:t>0.6</w:t>
      </w:r>
      <w:r>
        <w:rPr>
          <w:spacing w:val="-11"/>
        </w:rPr>
        <w:t> </w:t>
      </w:r>
      <w:r>
        <w:rPr/>
        <w:t>million</w:t>
      </w:r>
      <w:r>
        <w:rPr>
          <w:spacing w:val="-11"/>
        </w:rPr>
        <w:t> </w:t>
      </w:r>
      <w:r>
        <w:rPr/>
        <w:t>stock</w:t>
      </w:r>
      <w:r>
        <w:rPr>
          <w:spacing w:val="-12"/>
        </w:rPr>
        <w:t> </w:t>
      </w:r>
      <w:r>
        <w:rPr/>
        <w:t>options</w:t>
      </w:r>
      <w:r>
        <w:rPr>
          <w:spacing w:val="-11"/>
        </w:rPr>
        <w:t> </w:t>
      </w:r>
      <w:r>
        <w:rPr/>
        <w:t>outstanding,</w:t>
      </w:r>
      <w:r>
        <w:rPr>
          <w:spacing w:val="-11"/>
        </w:rPr>
        <w:t> </w:t>
      </w:r>
      <w:r>
        <w:rPr>
          <w:spacing w:val="-2"/>
        </w:rPr>
        <w:t>respectively.</w:t>
      </w:r>
    </w:p>
    <w:p>
      <w:pPr>
        <w:spacing w:before="190"/>
        <w:ind w:left="220" w:right="0" w:firstLine="0"/>
        <w:jc w:val="left"/>
        <w:rPr>
          <w:i/>
          <w:sz w:val="20"/>
        </w:rPr>
      </w:pPr>
      <w:r>
        <w:rPr>
          <w:i/>
          <w:sz w:val="20"/>
        </w:rPr>
        <w:t>Grants</w:t>
      </w:r>
      <w:r>
        <w:rPr>
          <w:i/>
          <w:spacing w:val="-4"/>
          <w:sz w:val="20"/>
        </w:rPr>
        <w:t> </w:t>
      </w:r>
      <w:r>
        <w:rPr>
          <w:i/>
          <w:sz w:val="20"/>
        </w:rPr>
        <w:t>to</w:t>
      </w:r>
      <w:r>
        <w:rPr>
          <w:i/>
          <w:spacing w:val="-2"/>
          <w:sz w:val="20"/>
        </w:rPr>
        <w:t> </w:t>
      </w:r>
      <w:r>
        <w:rPr>
          <w:i/>
          <w:sz w:val="20"/>
        </w:rPr>
        <w:t>Executive</w:t>
      </w:r>
      <w:r>
        <w:rPr>
          <w:i/>
          <w:spacing w:val="-2"/>
          <w:sz w:val="20"/>
        </w:rPr>
        <w:t> Officers</w:t>
      </w:r>
    </w:p>
    <w:p>
      <w:pPr>
        <w:pStyle w:val="BodyText"/>
        <w:spacing w:line="249" w:lineRule="auto" w:before="190"/>
        <w:ind w:left="220" w:right="257" w:firstLine="540"/>
        <w:jc w:val="both"/>
      </w:pPr>
      <w:r>
        <w:rPr/>
        <w:t>All equity awards granted to executive officers are made after a review by and with the approval of the Executive Compensation Committee of the Board of Directors.</w:t>
      </w:r>
    </w:p>
    <w:p>
      <w:pPr>
        <w:spacing w:before="181"/>
        <w:ind w:left="220" w:right="0" w:firstLine="0"/>
        <w:jc w:val="left"/>
        <w:rPr>
          <w:i/>
          <w:sz w:val="20"/>
        </w:rPr>
      </w:pPr>
      <w:r>
        <w:rPr>
          <w:i/>
          <w:sz w:val="20"/>
        </w:rPr>
        <w:t>Grants</w:t>
      </w:r>
      <w:r>
        <w:rPr>
          <w:i/>
          <w:spacing w:val="-2"/>
          <w:sz w:val="20"/>
        </w:rPr>
        <w:t> </w:t>
      </w:r>
      <w:r>
        <w:rPr>
          <w:i/>
          <w:sz w:val="20"/>
        </w:rPr>
        <w:t>to</w:t>
      </w:r>
      <w:r>
        <w:rPr>
          <w:i/>
          <w:spacing w:val="-2"/>
          <w:sz w:val="20"/>
        </w:rPr>
        <w:t> </w:t>
      </w:r>
      <w:r>
        <w:rPr>
          <w:i/>
          <w:sz w:val="20"/>
        </w:rPr>
        <w:t>Non-Employee</w:t>
      </w:r>
      <w:r>
        <w:rPr>
          <w:i/>
          <w:spacing w:val="-2"/>
          <w:sz w:val="20"/>
        </w:rPr>
        <w:t> Directors</w:t>
      </w:r>
    </w:p>
    <w:p>
      <w:pPr>
        <w:pStyle w:val="BodyText"/>
        <w:spacing w:line="249" w:lineRule="auto" w:before="190"/>
        <w:ind w:left="220" w:right="257" w:firstLine="540"/>
        <w:jc w:val="both"/>
      </w:pPr>
      <w:r>
        <w:rPr/>
        <w:t>Although</w:t>
      </w:r>
      <w:r>
        <w:rPr>
          <w:spacing w:val="-10"/>
        </w:rPr>
        <w:t> </w:t>
      </w:r>
      <w:r>
        <w:rPr/>
        <w:t>the</w:t>
      </w:r>
      <w:r>
        <w:rPr>
          <w:spacing w:val="-11"/>
        </w:rPr>
        <w:t> </w:t>
      </w:r>
      <w:r>
        <w:rPr/>
        <w:t>2003</w:t>
      </w:r>
      <w:r>
        <w:rPr>
          <w:spacing w:val="-10"/>
        </w:rPr>
        <w:t> </w:t>
      </w:r>
      <w:r>
        <w:rPr/>
        <w:t>Plan</w:t>
      </w:r>
      <w:r>
        <w:rPr>
          <w:spacing w:val="-11"/>
        </w:rPr>
        <w:t> </w:t>
      </w:r>
      <w:r>
        <w:rPr/>
        <w:t>provides</w:t>
      </w:r>
      <w:r>
        <w:rPr>
          <w:spacing w:val="-10"/>
        </w:rPr>
        <w:t> </w:t>
      </w:r>
      <w:r>
        <w:rPr/>
        <w:t>for</w:t>
      </w:r>
      <w:r>
        <w:rPr>
          <w:spacing w:val="-10"/>
        </w:rPr>
        <w:t> </w:t>
      </w:r>
      <w:r>
        <w:rPr/>
        <w:t>the</w:t>
      </w:r>
      <w:r>
        <w:rPr>
          <w:spacing w:val="-11"/>
        </w:rPr>
        <w:t> </w:t>
      </w:r>
      <w:r>
        <w:rPr/>
        <w:t>granting</w:t>
      </w:r>
      <w:r>
        <w:rPr>
          <w:spacing w:val="-11"/>
        </w:rPr>
        <w:t> </w:t>
      </w:r>
      <w:r>
        <w:rPr/>
        <w:t>of</w:t>
      </w:r>
      <w:r>
        <w:rPr>
          <w:spacing w:val="-10"/>
        </w:rPr>
        <w:t> </w:t>
      </w:r>
      <w:r>
        <w:rPr/>
        <w:t>non-qualified</w:t>
      </w:r>
      <w:r>
        <w:rPr>
          <w:spacing w:val="-11"/>
        </w:rPr>
        <w:t> </w:t>
      </w:r>
      <w:r>
        <w:rPr/>
        <w:t>stock</w:t>
      </w:r>
      <w:r>
        <w:rPr>
          <w:spacing w:val="-11"/>
        </w:rPr>
        <w:t> </w:t>
      </w:r>
      <w:r>
        <w:rPr/>
        <w:t>options</w:t>
      </w:r>
      <w:r>
        <w:rPr>
          <w:spacing w:val="-10"/>
        </w:rPr>
        <w:t> </w:t>
      </w:r>
      <w:r>
        <w:rPr/>
        <w:t>and</w:t>
      </w:r>
      <w:r>
        <w:rPr>
          <w:spacing w:val="-11"/>
        </w:rPr>
        <w:t> </w:t>
      </w:r>
      <w:r>
        <w:rPr/>
        <w:t>restricted</w:t>
      </w:r>
      <w:r>
        <w:rPr>
          <w:spacing w:val="-11"/>
        </w:rPr>
        <w:t> </w:t>
      </w:r>
      <w:r>
        <w:rPr/>
        <w:t>stock</w:t>
      </w:r>
      <w:r>
        <w:rPr>
          <w:spacing w:val="-10"/>
        </w:rPr>
        <w:t> </w:t>
      </w:r>
      <w:r>
        <w:rPr/>
        <w:t>units</w:t>
      </w:r>
      <w:r>
        <w:rPr>
          <w:spacing w:val="-11"/>
        </w:rPr>
        <w:t> </w:t>
      </w:r>
      <w:r>
        <w:rPr/>
        <w:t>to</w:t>
      </w:r>
      <w:r>
        <w:rPr>
          <w:spacing w:val="-10"/>
        </w:rPr>
        <w:t> </w:t>
      </w:r>
      <w:r>
        <w:rPr/>
        <w:t>non-employee directors,</w:t>
      </w:r>
      <w:r>
        <w:rPr>
          <w:spacing w:val="-3"/>
        </w:rPr>
        <w:t> </w:t>
      </w:r>
      <w:r>
        <w:rPr/>
        <w:t>restricted</w:t>
      </w:r>
      <w:r>
        <w:rPr>
          <w:spacing w:val="-3"/>
        </w:rPr>
        <w:t> </w:t>
      </w:r>
      <w:r>
        <w:rPr/>
        <w:t>stock</w:t>
      </w:r>
      <w:r>
        <w:rPr>
          <w:spacing w:val="-3"/>
        </w:rPr>
        <w:t> </w:t>
      </w:r>
      <w:r>
        <w:rPr/>
        <w:t>units</w:t>
      </w:r>
      <w:r>
        <w:rPr>
          <w:spacing w:val="-3"/>
        </w:rPr>
        <w:t> </w:t>
      </w:r>
      <w:r>
        <w:rPr/>
        <w:t>are</w:t>
      </w:r>
      <w:r>
        <w:rPr>
          <w:spacing w:val="-3"/>
        </w:rPr>
        <w:t> </w:t>
      </w:r>
      <w:r>
        <w:rPr/>
        <w:t>the</w:t>
      </w:r>
      <w:r>
        <w:rPr>
          <w:spacing w:val="-3"/>
        </w:rPr>
        <w:t> </w:t>
      </w:r>
      <w:r>
        <w:rPr/>
        <w:t>primary</w:t>
      </w:r>
      <w:r>
        <w:rPr>
          <w:spacing w:val="-3"/>
        </w:rPr>
        <w:t> </w:t>
      </w:r>
      <w:r>
        <w:rPr/>
        <w:t>form</w:t>
      </w:r>
      <w:r>
        <w:rPr>
          <w:spacing w:val="-3"/>
        </w:rPr>
        <w:t> </w:t>
      </w:r>
      <w:r>
        <w:rPr/>
        <w:t>of</w:t>
      </w:r>
      <w:r>
        <w:rPr>
          <w:spacing w:val="-3"/>
        </w:rPr>
        <w:t> </w:t>
      </w:r>
      <w:r>
        <w:rPr/>
        <w:t>our</w:t>
      </w:r>
      <w:r>
        <w:rPr>
          <w:spacing w:val="-3"/>
        </w:rPr>
        <w:t> </w:t>
      </w:r>
      <w:r>
        <w:rPr/>
        <w:t>grants</w:t>
      </w:r>
      <w:r>
        <w:rPr>
          <w:spacing w:val="-3"/>
        </w:rPr>
        <w:t> </w:t>
      </w:r>
      <w:r>
        <w:rPr/>
        <w:t>to</w:t>
      </w:r>
      <w:r>
        <w:rPr>
          <w:spacing w:val="-3"/>
        </w:rPr>
        <w:t> </w:t>
      </w:r>
      <w:r>
        <w:rPr/>
        <w:t>non-employee</w:t>
      </w:r>
      <w:r>
        <w:rPr>
          <w:spacing w:val="-4"/>
        </w:rPr>
        <w:t> </w:t>
      </w:r>
      <w:r>
        <w:rPr/>
        <w:t>directors</w:t>
      </w:r>
      <w:r>
        <w:rPr>
          <w:spacing w:val="-3"/>
        </w:rPr>
        <w:t> </w:t>
      </w:r>
      <w:r>
        <w:rPr/>
        <w:t>since</w:t>
      </w:r>
      <w:r>
        <w:rPr>
          <w:spacing w:val="-3"/>
        </w:rPr>
        <w:t> </w:t>
      </w:r>
      <w:r>
        <w:rPr/>
        <w:t>fiscal</w:t>
      </w:r>
      <w:r>
        <w:rPr>
          <w:spacing w:val="-3"/>
        </w:rPr>
        <w:t> </w:t>
      </w:r>
      <w:r>
        <w:rPr/>
        <w:t>2014.</w:t>
      </w:r>
      <w:r>
        <w:rPr>
          <w:spacing w:val="-7"/>
        </w:rPr>
        <w:t> </w:t>
      </w:r>
      <w:r>
        <w:rPr/>
        <w:t>The</w:t>
      </w:r>
      <w:r>
        <w:rPr>
          <w:spacing w:val="-3"/>
        </w:rPr>
        <w:t> </w:t>
      </w:r>
      <w:r>
        <w:rPr/>
        <w:t>initial</w:t>
      </w:r>
      <w:r>
        <w:rPr>
          <w:spacing w:val="-3"/>
        </w:rPr>
        <w:t> </w:t>
      </w:r>
      <w:r>
        <w:rPr/>
        <w:t>equity grant to a new non-employee director is a restricted stock unit award having an aggregate value of $0.3 million based on the average</w:t>
      </w:r>
      <w:r>
        <w:rPr>
          <w:spacing w:val="-3"/>
        </w:rPr>
        <w:t> </w:t>
      </w:r>
      <w:r>
        <w:rPr/>
        <w:t>stock</w:t>
      </w:r>
      <w:r>
        <w:rPr>
          <w:spacing w:val="-3"/>
        </w:rPr>
        <w:t> </w:t>
      </w:r>
      <w:r>
        <w:rPr/>
        <w:t>price</w:t>
      </w:r>
      <w:r>
        <w:rPr>
          <w:spacing w:val="-3"/>
        </w:rPr>
        <w:t> </w:t>
      </w:r>
      <w:r>
        <w:rPr/>
        <w:t>over</w:t>
      </w:r>
      <w:r>
        <w:rPr>
          <w:spacing w:val="-3"/>
        </w:rPr>
        <w:t> </w:t>
      </w:r>
      <w:r>
        <w:rPr/>
        <w:t>the</w:t>
      </w:r>
      <w:r>
        <w:rPr>
          <w:spacing w:val="-3"/>
        </w:rPr>
        <w:t> </w:t>
      </w:r>
      <w:r>
        <w:rPr/>
        <w:t>30</w:t>
      </w:r>
      <w:r>
        <w:rPr>
          <w:spacing w:val="-3"/>
        </w:rPr>
        <w:t> </w:t>
      </w:r>
      <w:r>
        <w:rPr/>
        <w:t>calendar</w:t>
      </w:r>
      <w:r>
        <w:rPr>
          <w:spacing w:val="-3"/>
        </w:rPr>
        <w:t> </w:t>
      </w:r>
      <w:r>
        <w:rPr/>
        <w:t>days</w:t>
      </w:r>
      <w:r>
        <w:rPr>
          <w:spacing w:val="-3"/>
        </w:rPr>
        <w:t> </w:t>
      </w:r>
      <w:r>
        <w:rPr/>
        <w:t>ending</w:t>
      </w:r>
      <w:r>
        <w:rPr>
          <w:spacing w:val="-3"/>
        </w:rPr>
        <w:t> </w:t>
      </w:r>
      <w:r>
        <w:rPr/>
        <w:t>on</w:t>
      </w:r>
      <w:r>
        <w:rPr>
          <w:spacing w:val="-3"/>
        </w:rPr>
        <w:t> </w:t>
      </w:r>
      <w:r>
        <w:rPr/>
        <w:t>the</w:t>
      </w:r>
      <w:r>
        <w:rPr>
          <w:spacing w:val="-3"/>
        </w:rPr>
        <w:t> </w:t>
      </w:r>
      <w:r>
        <w:rPr/>
        <w:t>day</w:t>
      </w:r>
      <w:r>
        <w:rPr>
          <w:spacing w:val="-3"/>
        </w:rPr>
        <w:t> </w:t>
      </w:r>
      <w:r>
        <w:rPr/>
        <w:t>before</w:t>
      </w:r>
      <w:r>
        <w:rPr>
          <w:spacing w:val="-3"/>
        </w:rPr>
        <w:t> </w:t>
      </w:r>
      <w:r>
        <w:rPr/>
        <w:t>the</w:t>
      </w:r>
      <w:r>
        <w:rPr>
          <w:spacing w:val="-3"/>
        </w:rPr>
        <w:t> </w:t>
      </w:r>
      <w:r>
        <w:rPr/>
        <w:t>date</w:t>
      </w:r>
      <w:r>
        <w:rPr>
          <w:spacing w:val="-3"/>
        </w:rPr>
        <w:t> </w:t>
      </w:r>
      <w:r>
        <w:rPr/>
        <w:t>of</w:t>
      </w:r>
      <w:r>
        <w:rPr>
          <w:spacing w:val="-3"/>
        </w:rPr>
        <w:t> </w:t>
      </w:r>
      <w:r>
        <w:rPr/>
        <w:t>grant</w:t>
      </w:r>
      <w:r>
        <w:rPr>
          <w:spacing w:val="-3"/>
        </w:rPr>
        <w:t> </w:t>
      </w:r>
      <w:r>
        <w:rPr/>
        <w:t>and</w:t>
      </w:r>
      <w:r>
        <w:rPr>
          <w:spacing w:val="-3"/>
        </w:rPr>
        <w:t> </w:t>
      </w:r>
      <w:r>
        <w:rPr/>
        <w:t>vest</w:t>
      </w:r>
      <w:r>
        <w:rPr>
          <w:spacing w:val="-3"/>
        </w:rPr>
        <w:t> </w:t>
      </w:r>
      <w:r>
        <w:rPr/>
        <w:t>100%</w:t>
      </w:r>
      <w:r>
        <w:rPr>
          <w:spacing w:val="-3"/>
        </w:rPr>
        <w:t> </w:t>
      </w:r>
      <w:r>
        <w:rPr/>
        <w:t>on</w:t>
      </w:r>
      <w:r>
        <w:rPr>
          <w:spacing w:val="-3"/>
        </w:rPr>
        <w:t> </w:t>
      </w:r>
      <w:r>
        <w:rPr/>
        <w:t>the</w:t>
      </w:r>
      <w:r>
        <w:rPr>
          <w:spacing w:val="-3"/>
        </w:rPr>
        <w:t> </w:t>
      </w:r>
      <w:r>
        <w:rPr/>
        <w:t>day</w:t>
      </w:r>
      <w:r>
        <w:rPr>
          <w:spacing w:val="-3"/>
        </w:rPr>
        <w:t> </w:t>
      </w:r>
      <w:r>
        <w:rPr/>
        <w:t>preceding</w:t>
      </w:r>
      <w:r>
        <w:rPr>
          <w:spacing w:val="-3"/>
        </w:rPr>
        <w:t> </w:t>
      </w:r>
      <w:r>
        <w:rPr/>
        <w:t>the next</w:t>
      </w:r>
      <w:r>
        <w:rPr>
          <w:spacing w:val="-8"/>
        </w:rPr>
        <w:t> </w:t>
      </w:r>
      <w:r>
        <w:rPr/>
        <w:t>annual</w:t>
      </w:r>
      <w:r>
        <w:rPr>
          <w:spacing w:val="-8"/>
        </w:rPr>
        <w:t> </w:t>
      </w:r>
      <w:r>
        <w:rPr/>
        <w:t>meeting.</w:t>
      </w:r>
      <w:r>
        <w:rPr>
          <w:spacing w:val="-11"/>
        </w:rPr>
        <w:t> </w:t>
      </w:r>
      <w:r>
        <w:rPr/>
        <w:t>The</w:t>
      </w:r>
      <w:r>
        <w:rPr>
          <w:spacing w:val="-8"/>
        </w:rPr>
        <w:t> </w:t>
      </w:r>
      <w:r>
        <w:rPr/>
        <w:t>actual</w:t>
      </w:r>
      <w:r>
        <w:rPr>
          <w:spacing w:val="-8"/>
        </w:rPr>
        <w:t> </w:t>
      </w:r>
      <w:r>
        <w:rPr/>
        <w:t>target</w:t>
      </w:r>
      <w:r>
        <w:rPr>
          <w:spacing w:val="-8"/>
        </w:rPr>
        <w:t> </w:t>
      </w:r>
      <w:r>
        <w:rPr/>
        <w:t>grant</w:t>
      </w:r>
      <w:r>
        <w:rPr>
          <w:spacing w:val="-8"/>
        </w:rPr>
        <w:t> </w:t>
      </w:r>
      <w:r>
        <w:rPr/>
        <w:t>value</w:t>
      </w:r>
      <w:r>
        <w:rPr>
          <w:spacing w:val="-8"/>
        </w:rPr>
        <w:t> </w:t>
      </w:r>
      <w:r>
        <w:rPr/>
        <w:t>will</w:t>
      </w:r>
      <w:r>
        <w:rPr>
          <w:spacing w:val="-8"/>
        </w:rPr>
        <w:t> </w:t>
      </w:r>
      <w:r>
        <w:rPr/>
        <w:t>be</w:t>
      </w:r>
      <w:r>
        <w:rPr>
          <w:spacing w:val="-8"/>
        </w:rPr>
        <w:t> </w:t>
      </w:r>
      <w:r>
        <w:rPr/>
        <w:t>prorated</w:t>
      </w:r>
      <w:r>
        <w:rPr>
          <w:spacing w:val="-8"/>
        </w:rPr>
        <w:t> </w:t>
      </w:r>
      <w:r>
        <w:rPr/>
        <w:t>based</w:t>
      </w:r>
      <w:r>
        <w:rPr>
          <w:spacing w:val="-8"/>
        </w:rPr>
        <w:t> </w:t>
      </w:r>
      <w:r>
        <w:rPr/>
        <w:t>on</w:t>
      </w:r>
      <w:r>
        <w:rPr>
          <w:spacing w:val="-8"/>
        </w:rPr>
        <w:t> </w:t>
      </w:r>
      <w:r>
        <w:rPr/>
        <w:t>the</w:t>
      </w:r>
      <w:r>
        <w:rPr>
          <w:spacing w:val="-8"/>
        </w:rPr>
        <w:t> </w:t>
      </w:r>
      <w:r>
        <w:rPr/>
        <w:t>number</w:t>
      </w:r>
      <w:r>
        <w:rPr>
          <w:spacing w:val="-8"/>
        </w:rPr>
        <w:t> </w:t>
      </w:r>
      <w:r>
        <w:rPr/>
        <w:t>of</w:t>
      </w:r>
      <w:r>
        <w:rPr>
          <w:spacing w:val="-8"/>
        </w:rPr>
        <w:t> </w:t>
      </w:r>
      <w:r>
        <w:rPr/>
        <w:t>days</w:t>
      </w:r>
      <w:r>
        <w:rPr>
          <w:spacing w:val="-8"/>
        </w:rPr>
        <w:t> </w:t>
      </w:r>
      <w:r>
        <w:rPr/>
        <w:t>remaining</w:t>
      </w:r>
      <w:r>
        <w:rPr>
          <w:spacing w:val="-8"/>
        </w:rPr>
        <w:t> </w:t>
      </w:r>
      <w:r>
        <w:rPr/>
        <w:t>before</w:t>
      </w:r>
      <w:r>
        <w:rPr>
          <w:spacing w:val="-8"/>
        </w:rPr>
        <w:t> </w:t>
      </w:r>
      <w:r>
        <w:rPr/>
        <w:t>the</w:t>
      </w:r>
      <w:r>
        <w:rPr>
          <w:spacing w:val="-8"/>
        </w:rPr>
        <w:t> </w:t>
      </w:r>
      <w:r>
        <w:rPr/>
        <w:t>next</w:t>
      </w:r>
      <w:r>
        <w:rPr>
          <w:spacing w:val="-8"/>
        </w:rPr>
        <w:t> </w:t>
      </w:r>
      <w:r>
        <w:rPr/>
        <w:t>annual meeting or the date of the first anniversary of our last annual meeting if the next annual meeting is not yet scheduled.</w:t>
      </w:r>
    </w:p>
    <w:p>
      <w:pPr>
        <w:pStyle w:val="BodyText"/>
        <w:spacing w:line="249" w:lineRule="auto" w:before="185"/>
        <w:ind w:left="220" w:right="257" w:firstLine="540"/>
        <w:jc w:val="both"/>
      </w:pPr>
      <w:r>
        <w:rPr/>
        <w:t>Annual</w:t>
      </w:r>
      <w:r>
        <w:rPr>
          <w:spacing w:val="-3"/>
        </w:rPr>
        <w:t> </w:t>
      </w:r>
      <w:r>
        <w:rPr/>
        <w:t>equity</w:t>
      </w:r>
      <w:r>
        <w:rPr>
          <w:spacing w:val="-3"/>
        </w:rPr>
        <w:t> </w:t>
      </w:r>
      <w:r>
        <w:rPr/>
        <w:t>grants</w:t>
      </w:r>
      <w:r>
        <w:rPr>
          <w:spacing w:val="-3"/>
        </w:rPr>
        <w:t> </w:t>
      </w:r>
      <w:r>
        <w:rPr/>
        <w:t>to</w:t>
      </w:r>
      <w:r>
        <w:rPr>
          <w:spacing w:val="-3"/>
        </w:rPr>
        <w:t> </w:t>
      </w:r>
      <w:r>
        <w:rPr/>
        <w:t>non-employee</w:t>
      </w:r>
      <w:r>
        <w:rPr>
          <w:spacing w:val="-3"/>
        </w:rPr>
        <w:t> </w:t>
      </w:r>
      <w:r>
        <w:rPr/>
        <w:t>directors</w:t>
      </w:r>
      <w:r>
        <w:rPr>
          <w:spacing w:val="-3"/>
        </w:rPr>
        <w:t> </w:t>
      </w:r>
      <w:r>
        <w:rPr/>
        <w:t>in</w:t>
      </w:r>
      <w:r>
        <w:rPr>
          <w:spacing w:val="-3"/>
        </w:rPr>
        <w:t> </w:t>
      </w:r>
      <w:r>
        <w:rPr/>
        <w:t>the</w:t>
      </w:r>
      <w:r>
        <w:rPr>
          <w:spacing w:val="-3"/>
        </w:rPr>
        <w:t> </w:t>
      </w:r>
      <w:r>
        <w:rPr/>
        <w:t>form</w:t>
      </w:r>
      <w:r>
        <w:rPr>
          <w:spacing w:val="-3"/>
        </w:rPr>
        <w:t> </w:t>
      </w:r>
      <w:r>
        <w:rPr/>
        <w:t>of</w:t>
      </w:r>
      <w:r>
        <w:rPr>
          <w:spacing w:val="-3"/>
        </w:rPr>
        <w:t> </w:t>
      </w:r>
      <w:r>
        <w:rPr/>
        <w:t>restricted</w:t>
      </w:r>
      <w:r>
        <w:rPr>
          <w:spacing w:val="-3"/>
        </w:rPr>
        <w:t> </w:t>
      </w:r>
      <w:r>
        <w:rPr/>
        <w:t>stock</w:t>
      </w:r>
      <w:r>
        <w:rPr>
          <w:spacing w:val="-3"/>
        </w:rPr>
        <w:t> </w:t>
      </w:r>
      <w:r>
        <w:rPr/>
        <w:t>units</w:t>
      </w:r>
      <w:r>
        <w:rPr>
          <w:spacing w:val="-3"/>
        </w:rPr>
        <w:t> </w:t>
      </w:r>
      <w:r>
        <w:rPr/>
        <w:t>shall</w:t>
      </w:r>
      <w:r>
        <w:rPr>
          <w:spacing w:val="-3"/>
        </w:rPr>
        <w:t> </w:t>
      </w:r>
      <w:r>
        <w:rPr/>
        <w:t>have</w:t>
      </w:r>
      <w:r>
        <w:rPr>
          <w:spacing w:val="-3"/>
        </w:rPr>
        <w:t> </w:t>
      </w:r>
      <w:r>
        <w:rPr/>
        <w:t>an</w:t>
      </w:r>
      <w:r>
        <w:rPr>
          <w:spacing w:val="-3"/>
        </w:rPr>
        <w:t> </w:t>
      </w:r>
      <w:r>
        <w:rPr/>
        <w:t>aggregate</w:t>
      </w:r>
      <w:r>
        <w:rPr>
          <w:spacing w:val="-3"/>
        </w:rPr>
        <w:t> </w:t>
      </w:r>
      <w:r>
        <w:rPr/>
        <w:t>value</w:t>
      </w:r>
      <w:r>
        <w:rPr>
          <w:spacing w:val="-3"/>
        </w:rPr>
        <w:t> </w:t>
      </w:r>
      <w:r>
        <w:rPr/>
        <w:t>of</w:t>
      </w:r>
      <w:r>
        <w:rPr>
          <w:spacing w:val="-3"/>
        </w:rPr>
        <w:t> </w:t>
      </w:r>
      <w:r>
        <w:rPr/>
        <w:t>$0.3 million as based on the average stock price over the 30 calendar days ending on the day before the date of grant and vest 100% on the day preceding the next annual meeting.</w:t>
      </w:r>
    </w:p>
    <w:p>
      <w:pPr>
        <w:pStyle w:val="BodyText"/>
        <w:spacing w:before="183"/>
        <w:ind w:left="760"/>
      </w:pPr>
      <w:r>
        <w:rPr/>
        <w:t>Restricted</w:t>
      </w:r>
      <w:r>
        <w:rPr>
          <w:spacing w:val="-2"/>
        </w:rPr>
        <w:t> </w:t>
      </w:r>
      <w:r>
        <w:rPr/>
        <w:t>stock</w:t>
      </w:r>
      <w:r>
        <w:rPr>
          <w:spacing w:val="-1"/>
        </w:rPr>
        <w:t> </w:t>
      </w:r>
      <w:r>
        <w:rPr/>
        <w:t>units</w:t>
      </w:r>
      <w:r>
        <w:rPr>
          <w:spacing w:val="-2"/>
        </w:rPr>
        <w:t> </w:t>
      </w:r>
      <w:r>
        <w:rPr/>
        <w:t>granted</w:t>
      </w:r>
      <w:r>
        <w:rPr>
          <w:spacing w:val="-1"/>
        </w:rPr>
        <w:t> </w:t>
      </w:r>
      <w:r>
        <w:rPr/>
        <w:t>to</w:t>
      </w:r>
      <w:r>
        <w:rPr>
          <w:spacing w:val="-1"/>
        </w:rPr>
        <w:t> </w:t>
      </w:r>
      <w:r>
        <w:rPr/>
        <w:t>directors</w:t>
      </w:r>
      <w:r>
        <w:rPr>
          <w:spacing w:val="-3"/>
        </w:rPr>
        <w:t> </w:t>
      </w:r>
      <w:r>
        <w:rPr/>
        <w:t>for</w:t>
      </w:r>
      <w:r>
        <w:rPr>
          <w:spacing w:val="-1"/>
        </w:rPr>
        <w:t> </w:t>
      </w:r>
      <w:r>
        <w:rPr/>
        <w:t>fiscal</w:t>
      </w:r>
      <w:r>
        <w:rPr>
          <w:spacing w:val="-1"/>
        </w:rPr>
        <w:t> </w:t>
      </w:r>
      <w:r>
        <w:rPr/>
        <w:t>2017,</w:t>
      </w:r>
      <w:r>
        <w:rPr>
          <w:spacing w:val="-1"/>
        </w:rPr>
        <w:t> </w:t>
      </w:r>
      <w:r>
        <w:rPr/>
        <w:t>2016</w:t>
      </w:r>
      <w:r>
        <w:rPr>
          <w:spacing w:val="-1"/>
        </w:rPr>
        <w:t> </w:t>
      </w:r>
      <w:r>
        <w:rPr/>
        <w:t>and</w:t>
      </w:r>
      <w:r>
        <w:rPr>
          <w:spacing w:val="-2"/>
        </w:rPr>
        <w:t> </w:t>
      </w:r>
      <w:r>
        <w:rPr/>
        <w:t>2015</w:t>
      </w:r>
      <w:r>
        <w:rPr>
          <w:spacing w:val="-1"/>
        </w:rPr>
        <w:t> </w:t>
      </w:r>
      <w:r>
        <w:rPr/>
        <w:t>were</w:t>
      </w:r>
      <w:r>
        <w:rPr>
          <w:spacing w:val="-1"/>
        </w:rPr>
        <w:t> </w:t>
      </w:r>
      <w:r>
        <w:rPr/>
        <w:t>as</w:t>
      </w:r>
      <w:r>
        <w:rPr>
          <w:spacing w:val="-2"/>
        </w:rPr>
        <w:t> </w:t>
      </w:r>
      <w:r>
        <w:rPr/>
        <w:t>follows</w:t>
      </w:r>
      <w:r>
        <w:rPr>
          <w:spacing w:val="-2"/>
        </w:rPr>
        <w:t> </w:t>
      </w:r>
      <w:r>
        <w:rPr/>
        <w:t>(in</w:t>
      </w:r>
      <w:r>
        <w:rPr>
          <w:spacing w:val="-1"/>
        </w:rPr>
        <w:t> </w:t>
      </w:r>
      <w:r>
        <w:rPr>
          <w:spacing w:val="-2"/>
        </w:rPr>
        <w:t>thousands):</w:t>
      </w:r>
    </w:p>
    <w:p>
      <w:pPr>
        <w:pStyle w:val="BodyText"/>
        <w:spacing w:before="28"/>
        <w:rPr>
          <w:sz w:val="16"/>
        </w:rPr>
      </w:pPr>
    </w:p>
    <w:p>
      <w:pPr>
        <w:tabs>
          <w:tab w:pos="1189" w:val="left" w:leader="none"/>
          <w:tab w:pos="2379" w:val="left" w:leader="none"/>
        </w:tabs>
        <w:spacing w:before="1"/>
        <w:ind w:left="0" w:right="659" w:firstLine="0"/>
        <w:jc w:val="right"/>
        <w:rPr>
          <w:b/>
          <w:sz w:val="16"/>
        </w:rPr>
      </w:pPr>
      <w:r>
        <w:rPr/>
        <mc:AlternateContent>
          <mc:Choice Requires="wps">
            <w:drawing>
              <wp:anchor distT="0" distB="0" distL="0" distR="0" allowOverlap="1" layoutInCell="1" locked="0" behindDoc="1" simplePos="0" relativeHeight="487687680">
                <wp:simplePos x="0" y="0"/>
                <wp:positionH relativeFrom="page">
                  <wp:posOffset>641350</wp:posOffset>
                </wp:positionH>
                <wp:positionV relativeFrom="paragraph">
                  <wp:posOffset>142832</wp:posOffset>
                </wp:positionV>
                <wp:extent cx="6502400" cy="184150"/>
                <wp:effectExtent l="0" t="0" r="0" b="0"/>
                <wp:wrapTopAndBottom/>
                <wp:docPr id="527" name="Group 527"/>
                <wp:cNvGraphicFramePr>
                  <a:graphicFrameLocks/>
                </wp:cNvGraphicFramePr>
                <a:graphic>
                  <a:graphicData uri="http://schemas.microsoft.com/office/word/2010/wordprocessingGroup">
                    <wpg:wgp>
                      <wpg:cNvPr id="527" name="Group 527"/>
                      <wpg:cNvGrpSpPr/>
                      <wpg:grpSpPr>
                        <a:xfrm>
                          <a:off x="0" y="0"/>
                          <a:ext cx="6502400" cy="184150"/>
                          <a:chExt cx="6502400" cy="184150"/>
                        </a:xfrm>
                      </wpg:grpSpPr>
                      <wps:wsp>
                        <wps:cNvPr id="528" name="Graphic 528"/>
                        <wps:cNvSpPr/>
                        <wps:spPr>
                          <a:xfrm>
                            <a:off x="4279900" y="0"/>
                            <a:ext cx="2222500" cy="12700"/>
                          </a:xfrm>
                          <a:custGeom>
                            <a:avLst/>
                            <a:gdLst/>
                            <a:ahLst/>
                            <a:cxnLst/>
                            <a:rect l="l" t="t" r="r" b="b"/>
                            <a:pathLst>
                              <a:path w="2222500" h="12700">
                                <a:moveTo>
                                  <a:pt x="711200" y="0"/>
                                </a:moveTo>
                                <a:lnTo>
                                  <a:pt x="0" y="0"/>
                                </a:lnTo>
                                <a:lnTo>
                                  <a:pt x="0" y="12700"/>
                                </a:lnTo>
                                <a:lnTo>
                                  <a:pt x="711200" y="12700"/>
                                </a:lnTo>
                                <a:lnTo>
                                  <a:pt x="711200" y="0"/>
                                </a:lnTo>
                                <a:close/>
                              </a:path>
                              <a:path w="2222500" h="12700">
                                <a:moveTo>
                                  <a:pt x="1460500" y="0"/>
                                </a:moveTo>
                                <a:lnTo>
                                  <a:pt x="762000" y="0"/>
                                </a:lnTo>
                                <a:lnTo>
                                  <a:pt x="762000" y="12700"/>
                                </a:lnTo>
                                <a:lnTo>
                                  <a:pt x="1460500" y="12700"/>
                                </a:lnTo>
                                <a:lnTo>
                                  <a:pt x="1460500" y="0"/>
                                </a:lnTo>
                                <a:close/>
                              </a:path>
                              <a:path w="2222500" h="12700">
                                <a:moveTo>
                                  <a:pt x="2222500" y="0"/>
                                </a:moveTo>
                                <a:lnTo>
                                  <a:pt x="1511300" y="0"/>
                                </a:lnTo>
                                <a:lnTo>
                                  <a:pt x="1511300" y="12700"/>
                                </a:lnTo>
                                <a:lnTo>
                                  <a:pt x="2222500" y="12700"/>
                                </a:lnTo>
                                <a:lnTo>
                                  <a:pt x="2222500" y="0"/>
                                </a:lnTo>
                                <a:close/>
                              </a:path>
                            </a:pathLst>
                          </a:custGeom>
                          <a:solidFill>
                            <a:srgbClr val="000000"/>
                          </a:solidFill>
                        </wps:spPr>
                        <wps:bodyPr wrap="square" lIns="0" tIns="0" rIns="0" bIns="0" rtlCol="0">
                          <a:prstTxWarp prst="textNoShape">
                            <a:avLst/>
                          </a:prstTxWarp>
                          <a:noAutofit/>
                        </wps:bodyPr>
                      </wps:wsp>
                      <wps:wsp>
                        <wps:cNvPr id="529" name="Textbox 529"/>
                        <wps:cNvSpPr txBox="1"/>
                        <wps:spPr>
                          <a:xfrm>
                            <a:off x="0" y="6350"/>
                            <a:ext cx="6502400" cy="177800"/>
                          </a:xfrm>
                          <a:prstGeom prst="rect">
                            <a:avLst/>
                          </a:prstGeom>
                          <a:solidFill>
                            <a:srgbClr val="CCEDFF"/>
                          </a:solidFill>
                        </wps:spPr>
                        <wps:txbx>
                          <w:txbxContent>
                            <w:p>
                              <w:pPr>
                                <w:tabs>
                                  <w:tab w:pos="7582" w:val="left" w:leader="none"/>
                                  <w:tab w:pos="8762" w:val="left" w:leader="none"/>
                                  <w:tab w:pos="10162" w:val="right" w:leader="none"/>
                                </w:tabs>
                                <w:spacing w:before="2"/>
                                <w:ind w:left="50" w:right="0" w:firstLine="0"/>
                                <w:jc w:val="left"/>
                                <w:rPr>
                                  <w:color w:val="000000"/>
                                  <w:sz w:val="20"/>
                                </w:rPr>
                              </w:pPr>
                              <w:r>
                                <w:rPr>
                                  <w:color w:val="000000"/>
                                  <w:sz w:val="20"/>
                                </w:rPr>
                                <w:t>Restricted</w:t>
                              </w:r>
                              <w:r>
                                <w:rPr>
                                  <w:color w:val="000000"/>
                                  <w:spacing w:val="-1"/>
                                  <w:sz w:val="20"/>
                                </w:rPr>
                                <w:t> </w:t>
                              </w:r>
                              <w:r>
                                <w:rPr>
                                  <w:color w:val="000000"/>
                                  <w:sz w:val="20"/>
                                </w:rPr>
                                <w:t>stock</w:t>
                              </w:r>
                              <w:r>
                                <w:rPr>
                                  <w:color w:val="000000"/>
                                  <w:spacing w:val="-1"/>
                                  <w:sz w:val="20"/>
                                </w:rPr>
                                <w:t> </w:t>
                              </w:r>
                              <w:r>
                                <w:rPr>
                                  <w:color w:val="000000"/>
                                  <w:sz w:val="20"/>
                                </w:rPr>
                                <w:t>units</w:t>
                              </w:r>
                              <w:r>
                                <w:rPr>
                                  <w:color w:val="000000"/>
                                  <w:spacing w:val="-1"/>
                                  <w:sz w:val="20"/>
                                </w:rPr>
                                <w:t> </w:t>
                              </w:r>
                              <w:r>
                                <w:rPr>
                                  <w:color w:val="000000"/>
                                  <w:sz w:val="20"/>
                                </w:rPr>
                                <w:t>granted</w:t>
                              </w:r>
                              <w:r>
                                <w:rPr>
                                  <w:color w:val="000000"/>
                                  <w:spacing w:val="-1"/>
                                  <w:sz w:val="20"/>
                                </w:rPr>
                                <w:t> </w:t>
                              </w:r>
                              <w:r>
                                <w:rPr>
                                  <w:color w:val="000000"/>
                                  <w:sz w:val="20"/>
                                </w:rPr>
                                <w:t>to</w:t>
                              </w:r>
                              <w:r>
                                <w:rPr>
                                  <w:color w:val="000000"/>
                                  <w:spacing w:val="-1"/>
                                  <w:sz w:val="20"/>
                                </w:rPr>
                                <w:t> </w:t>
                              </w:r>
                              <w:r>
                                <w:rPr>
                                  <w:color w:val="000000"/>
                                  <w:sz w:val="20"/>
                                </w:rPr>
                                <w:t>existing </w:t>
                              </w:r>
                              <w:r>
                                <w:rPr>
                                  <w:color w:val="000000"/>
                                  <w:spacing w:val="-2"/>
                                  <w:sz w:val="20"/>
                                </w:rPr>
                                <w:t>directors</w:t>
                              </w:r>
                              <w:r>
                                <w:rPr>
                                  <w:color w:val="000000"/>
                                  <w:sz w:val="20"/>
                                </w:rPr>
                                <w:tab/>
                              </w:r>
                              <w:r>
                                <w:rPr>
                                  <w:color w:val="000000"/>
                                  <w:spacing w:val="-5"/>
                                  <w:sz w:val="20"/>
                                </w:rPr>
                                <w:t>18</w:t>
                              </w:r>
                              <w:r>
                                <w:rPr>
                                  <w:color w:val="000000"/>
                                  <w:sz w:val="20"/>
                                </w:rPr>
                                <w:tab/>
                              </w:r>
                              <w:r>
                                <w:rPr>
                                  <w:color w:val="000000"/>
                                  <w:spacing w:val="-5"/>
                                  <w:sz w:val="20"/>
                                </w:rPr>
                                <w:t>25</w:t>
                              </w:r>
                              <w:r>
                                <w:rPr>
                                  <w:color w:val="000000"/>
                                  <w:sz w:val="20"/>
                                </w:rPr>
                                <w:tab/>
                              </w:r>
                              <w:r>
                                <w:rPr>
                                  <w:color w:val="000000"/>
                                  <w:spacing w:val="-5"/>
                                  <w:sz w:val="20"/>
                                </w:rPr>
                                <w:t>41</w:t>
                              </w:r>
                            </w:p>
                          </w:txbxContent>
                        </wps:txbx>
                        <wps:bodyPr wrap="square" lIns="0" tIns="0" rIns="0" bIns="0" rtlCol="0">
                          <a:noAutofit/>
                        </wps:bodyPr>
                      </wps:wsp>
                    </wpg:wgp>
                  </a:graphicData>
                </a:graphic>
              </wp:anchor>
            </w:drawing>
          </mc:Choice>
          <mc:Fallback>
            <w:pict>
              <v:group style="position:absolute;margin-left:50.5pt;margin-top:11.246679pt;width:512pt;height:14.5pt;mso-position-horizontal-relative:page;mso-position-vertical-relative:paragraph;z-index:-15628800;mso-wrap-distance-left:0;mso-wrap-distance-right:0" id="docshapegroup417" coordorigin="1010,225" coordsize="10240,290">
                <v:shape style="position:absolute;left:7750;top:224;width:3500;height:20" id="docshape418" coordorigin="7750,225" coordsize="3500,20" path="m8870,225l7750,225,7750,245,8870,245,8870,225xm10050,225l8950,225,8950,245,10050,245,10050,225xm11250,225l10130,225,10130,245,11250,245,11250,225xe" filled="true" fillcolor="#000000" stroked="false">
                  <v:path arrowok="t"/>
                  <v:fill type="solid"/>
                </v:shape>
                <v:shape style="position:absolute;left:1010;top:234;width:10240;height:280" type="#_x0000_t202" id="docshape419" filled="true" fillcolor="#ccedff" stroked="false">
                  <v:textbox inset="0,0,0,0">
                    <w:txbxContent>
                      <w:p>
                        <w:pPr>
                          <w:tabs>
                            <w:tab w:pos="7582" w:val="left" w:leader="none"/>
                            <w:tab w:pos="8762" w:val="left" w:leader="none"/>
                            <w:tab w:pos="10162" w:val="right" w:leader="none"/>
                          </w:tabs>
                          <w:spacing w:before="2"/>
                          <w:ind w:left="50" w:right="0" w:firstLine="0"/>
                          <w:jc w:val="left"/>
                          <w:rPr>
                            <w:color w:val="000000"/>
                            <w:sz w:val="20"/>
                          </w:rPr>
                        </w:pPr>
                        <w:r>
                          <w:rPr>
                            <w:color w:val="000000"/>
                            <w:sz w:val="20"/>
                          </w:rPr>
                          <w:t>Restricted</w:t>
                        </w:r>
                        <w:r>
                          <w:rPr>
                            <w:color w:val="000000"/>
                            <w:spacing w:val="-1"/>
                            <w:sz w:val="20"/>
                          </w:rPr>
                          <w:t> </w:t>
                        </w:r>
                        <w:r>
                          <w:rPr>
                            <w:color w:val="000000"/>
                            <w:sz w:val="20"/>
                          </w:rPr>
                          <w:t>stock</w:t>
                        </w:r>
                        <w:r>
                          <w:rPr>
                            <w:color w:val="000000"/>
                            <w:spacing w:val="-1"/>
                            <w:sz w:val="20"/>
                          </w:rPr>
                          <w:t> </w:t>
                        </w:r>
                        <w:r>
                          <w:rPr>
                            <w:color w:val="000000"/>
                            <w:sz w:val="20"/>
                          </w:rPr>
                          <w:t>units</w:t>
                        </w:r>
                        <w:r>
                          <w:rPr>
                            <w:color w:val="000000"/>
                            <w:spacing w:val="-1"/>
                            <w:sz w:val="20"/>
                          </w:rPr>
                          <w:t> </w:t>
                        </w:r>
                        <w:r>
                          <w:rPr>
                            <w:color w:val="000000"/>
                            <w:sz w:val="20"/>
                          </w:rPr>
                          <w:t>granted</w:t>
                        </w:r>
                        <w:r>
                          <w:rPr>
                            <w:color w:val="000000"/>
                            <w:spacing w:val="-1"/>
                            <w:sz w:val="20"/>
                          </w:rPr>
                          <w:t> </w:t>
                        </w:r>
                        <w:r>
                          <w:rPr>
                            <w:color w:val="000000"/>
                            <w:sz w:val="20"/>
                          </w:rPr>
                          <w:t>to</w:t>
                        </w:r>
                        <w:r>
                          <w:rPr>
                            <w:color w:val="000000"/>
                            <w:spacing w:val="-1"/>
                            <w:sz w:val="20"/>
                          </w:rPr>
                          <w:t> </w:t>
                        </w:r>
                        <w:r>
                          <w:rPr>
                            <w:color w:val="000000"/>
                            <w:sz w:val="20"/>
                          </w:rPr>
                          <w:t>existing </w:t>
                        </w:r>
                        <w:r>
                          <w:rPr>
                            <w:color w:val="000000"/>
                            <w:spacing w:val="-2"/>
                            <w:sz w:val="20"/>
                          </w:rPr>
                          <w:t>directors</w:t>
                        </w:r>
                        <w:r>
                          <w:rPr>
                            <w:color w:val="000000"/>
                            <w:sz w:val="20"/>
                          </w:rPr>
                          <w:tab/>
                        </w:r>
                        <w:r>
                          <w:rPr>
                            <w:color w:val="000000"/>
                            <w:spacing w:val="-5"/>
                            <w:sz w:val="20"/>
                          </w:rPr>
                          <w:t>18</w:t>
                        </w:r>
                        <w:r>
                          <w:rPr>
                            <w:color w:val="000000"/>
                            <w:sz w:val="20"/>
                          </w:rPr>
                          <w:tab/>
                        </w:r>
                        <w:r>
                          <w:rPr>
                            <w:color w:val="000000"/>
                            <w:spacing w:val="-5"/>
                            <w:sz w:val="20"/>
                          </w:rPr>
                          <w:t>25</w:t>
                        </w:r>
                        <w:r>
                          <w:rPr>
                            <w:color w:val="000000"/>
                            <w:sz w:val="20"/>
                          </w:rPr>
                          <w:tab/>
                        </w:r>
                        <w:r>
                          <w:rPr>
                            <w:color w:val="000000"/>
                            <w:spacing w:val="-5"/>
                            <w:sz w:val="20"/>
                          </w:rPr>
                          <w:t>41</w:t>
                        </w:r>
                      </w:p>
                    </w:txbxContent>
                  </v:textbox>
                  <v:fill type="solid"/>
                  <w10:wrap type="none"/>
                </v:shape>
                <w10:wrap type="topAndBottom"/>
              </v:group>
            </w:pict>
          </mc:Fallback>
        </mc:AlternateContent>
      </w:r>
      <w:r>
        <w:rPr>
          <w:b/>
          <w:spacing w:val="-4"/>
          <w:sz w:val="16"/>
        </w:rPr>
        <w:t>2017</w:t>
      </w:r>
      <w:r>
        <w:rPr>
          <w:b/>
          <w:sz w:val="16"/>
        </w:rPr>
        <w:tab/>
      </w:r>
      <w:r>
        <w:rPr>
          <w:b/>
          <w:spacing w:val="-4"/>
          <w:sz w:val="16"/>
        </w:rPr>
        <w:t>2016</w:t>
      </w:r>
      <w:r>
        <w:rPr>
          <w:b/>
          <w:sz w:val="16"/>
        </w:rPr>
        <w:tab/>
      </w:r>
      <w:r>
        <w:rPr>
          <w:b/>
          <w:spacing w:val="-4"/>
          <w:sz w:val="16"/>
        </w:rPr>
        <w:t>2015</w:t>
      </w:r>
    </w:p>
    <w:p>
      <w:pPr>
        <w:spacing w:before="223"/>
        <w:ind w:left="220" w:right="0" w:firstLine="0"/>
        <w:jc w:val="left"/>
        <w:rPr>
          <w:i/>
          <w:sz w:val="20"/>
        </w:rPr>
      </w:pPr>
      <w:r>
        <w:rPr>
          <w:i/>
          <w:sz w:val="20"/>
        </w:rPr>
        <w:t>Compensation </w:t>
      </w:r>
      <w:r>
        <w:rPr>
          <w:i/>
          <w:spacing w:val="-2"/>
          <w:sz w:val="20"/>
        </w:rPr>
        <w:t>Costs</w:t>
      </w:r>
    </w:p>
    <w:p>
      <w:pPr>
        <w:pStyle w:val="BodyText"/>
        <w:spacing w:line="249" w:lineRule="auto" w:before="190"/>
        <w:ind w:left="220" w:right="257" w:firstLine="540"/>
        <w:jc w:val="both"/>
      </w:pPr>
      <w:r>
        <w:rPr/>
        <w:t>We</w:t>
      </w:r>
      <w:r>
        <w:rPr>
          <w:spacing w:val="-11"/>
        </w:rPr>
        <w:t> </w:t>
      </w:r>
      <w:r>
        <w:rPr/>
        <w:t>recognize</w:t>
      </w:r>
      <w:r>
        <w:rPr>
          <w:spacing w:val="-11"/>
        </w:rPr>
        <w:t> </w:t>
      </w:r>
      <w:r>
        <w:rPr/>
        <w:t>the</w:t>
      </w:r>
      <w:r>
        <w:rPr>
          <w:spacing w:val="-11"/>
        </w:rPr>
        <w:t> </w:t>
      </w:r>
      <w:r>
        <w:rPr/>
        <w:t>estimated</w:t>
      </w:r>
      <w:r>
        <w:rPr>
          <w:spacing w:val="-10"/>
        </w:rPr>
        <w:t> </w:t>
      </w:r>
      <w:r>
        <w:rPr/>
        <w:t>compensation</w:t>
      </w:r>
      <w:r>
        <w:rPr>
          <w:spacing w:val="-11"/>
        </w:rPr>
        <w:t> </w:t>
      </w:r>
      <w:r>
        <w:rPr/>
        <w:t>cost</w:t>
      </w:r>
      <w:r>
        <w:rPr>
          <w:spacing w:val="-11"/>
        </w:rPr>
        <w:t> </w:t>
      </w:r>
      <w:r>
        <w:rPr/>
        <w:t>of</w:t>
      </w:r>
      <w:r>
        <w:rPr>
          <w:spacing w:val="-10"/>
        </w:rPr>
        <w:t> </w:t>
      </w:r>
      <w:r>
        <w:rPr/>
        <w:t>restricted</w:t>
      </w:r>
      <w:r>
        <w:rPr>
          <w:spacing w:val="-11"/>
        </w:rPr>
        <w:t> </w:t>
      </w:r>
      <w:r>
        <w:rPr/>
        <w:t>stock</w:t>
      </w:r>
      <w:r>
        <w:rPr>
          <w:spacing w:val="-11"/>
        </w:rPr>
        <w:t> </w:t>
      </w:r>
      <w:r>
        <w:rPr/>
        <w:t>units,</w:t>
      </w:r>
      <w:r>
        <w:rPr>
          <w:spacing w:val="-10"/>
        </w:rPr>
        <w:t> </w:t>
      </w:r>
      <w:r>
        <w:rPr/>
        <w:t>net</w:t>
      </w:r>
      <w:r>
        <w:rPr>
          <w:spacing w:val="-11"/>
        </w:rPr>
        <w:t> </w:t>
      </w:r>
      <w:r>
        <w:rPr/>
        <w:t>of</w:t>
      </w:r>
      <w:r>
        <w:rPr>
          <w:spacing w:val="-10"/>
        </w:rPr>
        <w:t> </w:t>
      </w:r>
      <w:r>
        <w:rPr/>
        <w:t>estimated</w:t>
      </w:r>
      <w:r>
        <w:rPr>
          <w:spacing w:val="-10"/>
        </w:rPr>
        <w:t> </w:t>
      </w:r>
      <w:r>
        <w:rPr/>
        <w:t>forfeitures,</w:t>
      </w:r>
      <w:r>
        <w:rPr>
          <w:spacing w:val="-10"/>
        </w:rPr>
        <w:t> </w:t>
      </w:r>
      <w:r>
        <w:rPr/>
        <w:t>on</w:t>
      </w:r>
      <w:r>
        <w:rPr>
          <w:spacing w:val="-11"/>
        </w:rPr>
        <w:t> </w:t>
      </w:r>
      <w:r>
        <w:rPr/>
        <w:t>a</w:t>
      </w:r>
      <w:r>
        <w:rPr>
          <w:spacing w:val="-10"/>
        </w:rPr>
        <w:t> </w:t>
      </w:r>
      <w:r>
        <w:rPr/>
        <w:t>straight-line</w:t>
      </w:r>
      <w:r>
        <w:rPr>
          <w:spacing w:val="-11"/>
        </w:rPr>
        <w:t> </w:t>
      </w:r>
      <w:r>
        <w:rPr/>
        <w:t>basis over the requisite service period of the entire award, which is generally the vesting period. The estimated compensation cost is based on the fair value of our common stock on the date of grant.</w:t>
      </w:r>
    </w:p>
    <w:p>
      <w:pPr>
        <w:pStyle w:val="BodyText"/>
        <w:spacing w:line="249" w:lineRule="auto" w:before="182"/>
        <w:ind w:left="220" w:right="257" w:firstLine="540"/>
        <w:jc w:val="both"/>
      </w:pPr>
      <w:r>
        <w:rPr/>
        <w:t>We</w:t>
      </w:r>
      <w:r>
        <w:rPr>
          <w:spacing w:val="-5"/>
        </w:rPr>
        <w:t> </w:t>
      </w:r>
      <w:r>
        <w:rPr/>
        <w:t>recognize</w:t>
      </w:r>
      <w:r>
        <w:rPr>
          <w:spacing w:val="-5"/>
        </w:rPr>
        <w:t> </w:t>
      </w:r>
      <w:r>
        <w:rPr/>
        <w:t>the</w:t>
      </w:r>
      <w:r>
        <w:rPr>
          <w:spacing w:val="-5"/>
        </w:rPr>
        <w:t> </w:t>
      </w:r>
      <w:r>
        <w:rPr/>
        <w:t>estimated</w:t>
      </w:r>
      <w:r>
        <w:rPr>
          <w:spacing w:val="-5"/>
        </w:rPr>
        <w:t> </w:t>
      </w:r>
      <w:r>
        <w:rPr/>
        <w:t>compensation</w:t>
      </w:r>
      <w:r>
        <w:rPr>
          <w:spacing w:val="-5"/>
        </w:rPr>
        <w:t> </w:t>
      </w:r>
      <w:r>
        <w:rPr/>
        <w:t>cost</w:t>
      </w:r>
      <w:r>
        <w:rPr>
          <w:spacing w:val="-5"/>
        </w:rPr>
        <w:t> </w:t>
      </w:r>
      <w:r>
        <w:rPr/>
        <w:t>of</w:t>
      </w:r>
      <w:r>
        <w:rPr>
          <w:spacing w:val="-5"/>
        </w:rPr>
        <w:t> </w:t>
      </w:r>
      <w:r>
        <w:rPr/>
        <w:t>performance</w:t>
      </w:r>
      <w:r>
        <w:rPr>
          <w:spacing w:val="-5"/>
        </w:rPr>
        <w:t> </w:t>
      </w:r>
      <w:r>
        <w:rPr/>
        <w:t>shares,</w:t>
      </w:r>
      <w:r>
        <w:rPr>
          <w:spacing w:val="-5"/>
        </w:rPr>
        <w:t> </w:t>
      </w:r>
      <w:r>
        <w:rPr/>
        <w:t>net</w:t>
      </w:r>
      <w:r>
        <w:rPr>
          <w:spacing w:val="-5"/>
        </w:rPr>
        <w:t> </w:t>
      </w:r>
      <w:r>
        <w:rPr/>
        <w:t>of</w:t>
      </w:r>
      <w:r>
        <w:rPr>
          <w:spacing w:val="-5"/>
        </w:rPr>
        <w:t> </w:t>
      </w:r>
      <w:r>
        <w:rPr/>
        <w:t>estimated</w:t>
      </w:r>
      <w:r>
        <w:rPr>
          <w:spacing w:val="-5"/>
        </w:rPr>
        <w:t> </w:t>
      </w:r>
      <w:r>
        <w:rPr/>
        <w:t>forfeitures,</w:t>
      </w:r>
      <w:r>
        <w:rPr>
          <w:spacing w:val="-5"/>
        </w:rPr>
        <w:t> </w:t>
      </w:r>
      <w:r>
        <w:rPr/>
        <w:t>on</w:t>
      </w:r>
      <w:r>
        <w:rPr>
          <w:spacing w:val="-5"/>
        </w:rPr>
        <w:t> </w:t>
      </w:r>
      <w:r>
        <w:rPr/>
        <w:t>a</w:t>
      </w:r>
      <w:r>
        <w:rPr>
          <w:spacing w:val="-5"/>
        </w:rPr>
        <w:t> </w:t>
      </w:r>
      <w:r>
        <w:rPr/>
        <w:t>straight-line</w:t>
      </w:r>
      <w:r>
        <w:rPr>
          <w:spacing w:val="-5"/>
        </w:rPr>
        <w:t> </w:t>
      </w:r>
      <w:r>
        <w:rPr/>
        <w:t>basis over</w:t>
      </w:r>
      <w:r>
        <w:rPr>
          <w:spacing w:val="-1"/>
        </w:rPr>
        <w:t> </w:t>
      </w:r>
      <w:r>
        <w:rPr/>
        <w:t>the</w:t>
      </w:r>
      <w:r>
        <w:rPr>
          <w:spacing w:val="-1"/>
        </w:rPr>
        <w:t> </w:t>
      </w:r>
      <w:r>
        <w:rPr/>
        <w:t>requisite</w:t>
      </w:r>
      <w:r>
        <w:rPr>
          <w:spacing w:val="-1"/>
        </w:rPr>
        <w:t> </w:t>
      </w:r>
      <w:r>
        <w:rPr/>
        <w:t>service</w:t>
      </w:r>
      <w:r>
        <w:rPr>
          <w:spacing w:val="-1"/>
        </w:rPr>
        <w:t> </w:t>
      </w:r>
      <w:r>
        <w:rPr/>
        <w:t>period</w:t>
      </w:r>
      <w:r>
        <w:rPr>
          <w:spacing w:val="-1"/>
        </w:rPr>
        <w:t> </w:t>
      </w:r>
      <w:r>
        <w:rPr/>
        <w:t>of</w:t>
      </w:r>
      <w:r>
        <w:rPr>
          <w:spacing w:val="-1"/>
        </w:rPr>
        <w:t> </w:t>
      </w:r>
      <w:r>
        <w:rPr/>
        <w:t>the</w:t>
      </w:r>
      <w:r>
        <w:rPr>
          <w:spacing w:val="-1"/>
        </w:rPr>
        <w:t> </w:t>
      </w:r>
      <w:r>
        <w:rPr/>
        <w:t>entire</w:t>
      </w:r>
      <w:r>
        <w:rPr>
          <w:spacing w:val="-1"/>
        </w:rPr>
        <w:t> </w:t>
      </w:r>
      <w:r>
        <w:rPr/>
        <w:t>award.</w:t>
      </w:r>
      <w:r>
        <w:rPr>
          <w:spacing w:val="-5"/>
        </w:rPr>
        <w:t> </w:t>
      </w:r>
      <w:r>
        <w:rPr/>
        <w:t>The</w:t>
      </w:r>
      <w:r>
        <w:rPr>
          <w:spacing w:val="-1"/>
        </w:rPr>
        <w:t> </w:t>
      </w:r>
      <w:r>
        <w:rPr/>
        <w:t>fiscal</w:t>
      </w:r>
      <w:r>
        <w:rPr>
          <w:spacing w:val="-1"/>
        </w:rPr>
        <w:t> </w:t>
      </w:r>
      <w:r>
        <w:rPr/>
        <w:t>2017,</w:t>
      </w:r>
      <w:r>
        <w:rPr>
          <w:spacing w:val="-1"/>
        </w:rPr>
        <w:t> </w:t>
      </w:r>
      <w:r>
        <w:rPr/>
        <w:t>2016</w:t>
      </w:r>
      <w:r>
        <w:rPr>
          <w:spacing w:val="-1"/>
        </w:rPr>
        <w:t> </w:t>
      </w:r>
      <w:r>
        <w:rPr/>
        <w:t>and</w:t>
      </w:r>
      <w:r>
        <w:rPr>
          <w:spacing w:val="-1"/>
        </w:rPr>
        <w:t> </w:t>
      </w:r>
      <w:r>
        <w:rPr/>
        <w:t>2015</w:t>
      </w:r>
      <w:r>
        <w:rPr>
          <w:spacing w:val="-1"/>
        </w:rPr>
        <w:t> </w:t>
      </w:r>
      <w:r>
        <w:rPr/>
        <w:t>awards</w:t>
      </w:r>
      <w:r>
        <w:rPr>
          <w:spacing w:val="-1"/>
        </w:rPr>
        <w:t> </w:t>
      </w:r>
      <w:r>
        <w:rPr/>
        <w:t>are</w:t>
      </w:r>
      <w:r>
        <w:rPr>
          <w:spacing w:val="-1"/>
        </w:rPr>
        <w:t> </w:t>
      </w:r>
      <w:r>
        <w:rPr/>
        <w:t>earned</w:t>
      </w:r>
      <w:r>
        <w:rPr>
          <w:spacing w:val="-1"/>
        </w:rPr>
        <w:t> </w:t>
      </w:r>
      <w:r>
        <w:rPr/>
        <w:t>upon</w:t>
      </w:r>
      <w:r>
        <w:rPr>
          <w:spacing w:val="-1"/>
        </w:rPr>
        <w:t> </w:t>
      </w:r>
      <w:r>
        <w:rPr/>
        <w:t>achievement</w:t>
      </w:r>
      <w:r>
        <w:rPr>
          <w:spacing w:val="-1"/>
        </w:rPr>
        <w:t> </w:t>
      </w:r>
      <w:r>
        <w:rPr/>
        <w:t>of</w:t>
      </w:r>
      <w:r>
        <w:rPr>
          <w:spacing w:val="-1"/>
        </w:rPr>
        <w:t> </w:t>
      </w:r>
      <w:r>
        <w:rPr/>
        <w:t>an objective total stockholder return measure at the end of the three-year performance period, as described above.</w:t>
      </w:r>
    </w:p>
    <w:p>
      <w:pPr>
        <w:pStyle w:val="BodyText"/>
        <w:spacing w:line="249" w:lineRule="auto" w:before="183"/>
        <w:ind w:left="220" w:right="257" w:firstLine="540"/>
        <w:jc w:val="both"/>
      </w:pPr>
      <w:r>
        <w:rPr/>
        <w:t>We</w:t>
      </w:r>
      <w:r>
        <w:rPr>
          <w:spacing w:val="-12"/>
        </w:rPr>
        <w:t> </w:t>
      </w:r>
      <w:r>
        <w:rPr/>
        <w:t>estimate</w:t>
      </w:r>
      <w:r>
        <w:rPr>
          <w:spacing w:val="-12"/>
        </w:rPr>
        <w:t> </w:t>
      </w:r>
      <w:r>
        <w:rPr/>
        <w:t>forfeitures</w:t>
      </w:r>
      <w:r>
        <w:rPr>
          <w:spacing w:val="-11"/>
        </w:rPr>
        <w:t> </w:t>
      </w:r>
      <w:r>
        <w:rPr/>
        <w:t>at</w:t>
      </w:r>
      <w:r>
        <w:rPr>
          <w:spacing w:val="-12"/>
        </w:rPr>
        <w:t> </w:t>
      </w:r>
      <w:r>
        <w:rPr/>
        <w:t>the</w:t>
      </w:r>
      <w:r>
        <w:rPr>
          <w:spacing w:val="-12"/>
        </w:rPr>
        <w:t> </w:t>
      </w:r>
      <w:r>
        <w:rPr/>
        <w:t>time</w:t>
      </w:r>
      <w:r>
        <w:rPr>
          <w:spacing w:val="-12"/>
        </w:rPr>
        <w:t> </w:t>
      </w:r>
      <w:r>
        <w:rPr/>
        <w:t>of</w:t>
      </w:r>
      <w:r>
        <w:rPr>
          <w:spacing w:val="-12"/>
        </w:rPr>
        <w:t> </w:t>
      </w:r>
      <w:r>
        <w:rPr/>
        <w:t>grant</w:t>
      </w:r>
      <w:r>
        <w:rPr>
          <w:spacing w:val="-12"/>
        </w:rPr>
        <w:t> </w:t>
      </w:r>
      <w:r>
        <w:rPr/>
        <w:t>and</w:t>
      </w:r>
      <w:r>
        <w:rPr>
          <w:spacing w:val="-12"/>
        </w:rPr>
        <w:t> </w:t>
      </w:r>
      <w:r>
        <w:rPr/>
        <w:t>revise</w:t>
      </w:r>
      <w:r>
        <w:rPr>
          <w:spacing w:val="-12"/>
        </w:rPr>
        <w:t> </w:t>
      </w:r>
      <w:r>
        <w:rPr/>
        <w:t>those</w:t>
      </w:r>
      <w:r>
        <w:rPr>
          <w:spacing w:val="-12"/>
        </w:rPr>
        <w:t> </w:t>
      </w:r>
      <w:r>
        <w:rPr/>
        <w:t>estimates</w:t>
      </w:r>
      <w:r>
        <w:rPr>
          <w:spacing w:val="-12"/>
        </w:rPr>
        <w:t> </w:t>
      </w:r>
      <w:r>
        <w:rPr/>
        <w:t>in</w:t>
      </w:r>
      <w:r>
        <w:rPr>
          <w:spacing w:val="-12"/>
        </w:rPr>
        <w:t> </w:t>
      </w:r>
      <w:r>
        <w:rPr/>
        <w:t>subsequent</w:t>
      </w:r>
      <w:r>
        <w:rPr>
          <w:spacing w:val="-12"/>
        </w:rPr>
        <w:t> </w:t>
      </w:r>
      <w:r>
        <w:rPr/>
        <w:t>periods</w:t>
      </w:r>
      <w:r>
        <w:rPr>
          <w:spacing w:val="-12"/>
        </w:rPr>
        <w:t> </w:t>
      </w:r>
      <w:r>
        <w:rPr/>
        <w:t>if</w:t>
      </w:r>
      <w:r>
        <w:rPr>
          <w:spacing w:val="-12"/>
        </w:rPr>
        <w:t> </w:t>
      </w:r>
      <w:r>
        <w:rPr/>
        <w:t>actual</w:t>
      </w:r>
      <w:r>
        <w:rPr>
          <w:spacing w:val="-12"/>
        </w:rPr>
        <w:t> </w:t>
      </w:r>
      <w:r>
        <w:rPr/>
        <w:t>forfeitures</w:t>
      </w:r>
      <w:r>
        <w:rPr>
          <w:spacing w:val="-11"/>
        </w:rPr>
        <w:t> </w:t>
      </w:r>
      <w:r>
        <w:rPr/>
        <w:t>differ</w:t>
      </w:r>
      <w:r>
        <w:rPr>
          <w:spacing w:val="-12"/>
        </w:rPr>
        <w:t> </w:t>
      </w:r>
      <w:r>
        <w:rPr/>
        <w:t>from those</w:t>
      </w:r>
      <w:r>
        <w:rPr>
          <w:spacing w:val="-13"/>
        </w:rPr>
        <w:t> </w:t>
      </w:r>
      <w:r>
        <w:rPr/>
        <w:t>estimates.</w:t>
      </w:r>
      <w:r>
        <w:rPr>
          <w:spacing w:val="-12"/>
        </w:rPr>
        <w:t> </w:t>
      </w:r>
      <w:r>
        <w:rPr/>
        <w:t>We</w:t>
      </w:r>
      <w:r>
        <w:rPr>
          <w:spacing w:val="-13"/>
        </w:rPr>
        <w:t> </w:t>
      </w:r>
      <w:r>
        <w:rPr/>
        <w:t>use</w:t>
      </w:r>
      <w:r>
        <w:rPr>
          <w:spacing w:val="-12"/>
        </w:rPr>
        <w:t> </w:t>
      </w:r>
      <w:r>
        <w:rPr/>
        <w:t>historical</w:t>
      </w:r>
      <w:r>
        <w:rPr>
          <w:spacing w:val="-13"/>
        </w:rPr>
        <w:t> </w:t>
      </w:r>
      <w:r>
        <w:rPr/>
        <w:t>data</w:t>
      </w:r>
      <w:r>
        <w:rPr>
          <w:spacing w:val="-12"/>
        </w:rPr>
        <w:t> </w:t>
      </w:r>
      <w:r>
        <w:rPr/>
        <w:t>to</w:t>
      </w:r>
      <w:r>
        <w:rPr>
          <w:spacing w:val="-13"/>
        </w:rPr>
        <w:t> </w:t>
      </w:r>
      <w:r>
        <w:rPr/>
        <w:t>estimate</w:t>
      </w:r>
      <w:r>
        <w:rPr>
          <w:spacing w:val="-12"/>
        </w:rPr>
        <w:t> </w:t>
      </w:r>
      <w:r>
        <w:rPr/>
        <w:t>forfeitures</w:t>
      </w:r>
      <w:r>
        <w:rPr>
          <w:spacing w:val="-13"/>
        </w:rPr>
        <w:t> </w:t>
      </w:r>
      <w:r>
        <w:rPr/>
        <w:t>and</w:t>
      </w:r>
      <w:r>
        <w:rPr>
          <w:spacing w:val="-12"/>
        </w:rPr>
        <w:t> </w:t>
      </w:r>
      <w:r>
        <w:rPr/>
        <w:t>record</w:t>
      </w:r>
      <w:r>
        <w:rPr>
          <w:spacing w:val="-13"/>
        </w:rPr>
        <w:t> </w:t>
      </w:r>
      <w:r>
        <w:rPr/>
        <w:t>stock-based</w:t>
      </w:r>
      <w:r>
        <w:rPr>
          <w:spacing w:val="-12"/>
        </w:rPr>
        <w:t> </w:t>
      </w:r>
      <w:r>
        <w:rPr/>
        <w:t>compensation</w:t>
      </w:r>
      <w:r>
        <w:rPr>
          <w:spacing w:val="-13"/>
        </w:rPr>
        <w:t> </w:t>
      </w:r>
      <w:r>
        <w:rPr/>
        <w:t>expense</w:t>
      </w:r>
      <w:r>
        <w:rPr>
          <w:spacing w:val="-12"/>
        </w:rPr>
        <w:t> </w:t>
      </w:r>
      <w:r>
        <w:rPr/>
        <w:t>only</w:t>
      </w:r>
      <w:r>
        <w:rPr>
          <w:spacing w:val="-13"/>
        </w:rPr>
        <w:t> </w:t>
      </w:r>
      <w:r>
        <w:rPr/>
        <w:t>for</w:t>
      </w:r>
      <w:r>
        <w:rPr>
          <w:spacing w:val="-12"/>
        </w:rPr>
        <w:t> </w:t>
      </w:r>
      <w:r>
        <w:rPr/>
        <w:t>those</w:t>
      </w:r>
      <w:r>
        <w:rPr>
          <w:spacing w:val="-13"/>
        </w:rPr>
        <w:t> </w:t>
      </w:r>
      <w:r>
        <w:rPr/>
        <w:t>awards that are expected to vest.</w:t>
      </w:r>
    </w:p>
    <w:p>
      <w:pPr>
        <w:pStyle w:val="BodyText"/>
        <w:spacing w:line="249" w:lineRule="auto" w:before="182"/>
        <w:ind w:left="220" w:right="257" w:firstLine="540"/>
        <w:jc w:val="both"/>
      </w:pPr>
      <w:r>
        <w:rPr/>
        <w:t>As</w:t>
      </w:r>
      <w:r>
        <w:rPr>
          <w:spacing w:val="-4"/>
        </w:rPr>
        <w:t> </w:t>
      </w:r>
      <w:r>
        <w:rPr/>
        <w:t>of</w:t>
      </w:r>
      <w:r>
        <w:rPr>
          <w:spacing w:val="-5"/>
        </w:rPr>
        <w:t> </w:t>
      </w:r>
      <w:r>
        <w:rPr/>
        <w:t>December</w:t>
      </w:r>
      <w:r>
        <w:rPr>
          <w:spacing w:val="-3"/>
        </w:rPr>
        <w:t> </w:t>
      </w:r>
      <w:r>
        <w:rPr/>
        <w:t>1,</w:t>
      </w:r>
      <w:r>
        <w:rPr>
          <w:spacing w:val="-4"/>
        </w:rPr>
        <w:t> </w:t>
      </w:r>
      <w:r>
        <w:rPr/>
        <w:t>2017,</w:t>
      </w:r>
      <w:r>
        <w:rPr>
          <w:spacing w:val="-5"/>
        </w:rPr>
        <w:t> </w:t>
      </w:r>
      <w:r>
        <w:rPr/>
        <w:t>there</w:t>
      </w:r>
      <w:r>
        <w:rPr>
          <w:spacing w:val="-4"/>
        </w:rPr>
        <w:t> </w:t>
      </w:r>
      <w:r>
        <w:rPr/>
        <w:t>was</w:t>
      </w:r>
      <w:r>
        <w:rPr>
          <w:spacing w:val="-5"/>
        </w:rPr>
        <w:t> </w:t>
      </w:r>
      <w:r>
        <w:rPr/>
        <w:t>$708.3</w:t>
      </w:r>
      <w:r>
        <w:rPr>
          <w:spacing w:val="-4"/>
        </w:rPr>
        <w:t> </w:t>
      </w:r>
      <w:r>
        <w:rPr/>
        <w:t>million</w:t>
      </w:r>
      <w:r>
        <w:rPr>
          <w:spacing w:val="-5"/>
        </w:rPr>
        <w:t> </w:t>
      </w:r>
      <w:r>
        <w:rPr/>
        <w:t>of</w:t>
      </w:r>
      <w:r>
        <w:rPr>
          <w:spacing w:val="-4"/>
        </w:rPr>
        <w:t> </w:t>
      </w:r>
      <w:r>
        <w:rPr/>
        <w:t>unrecognized</w:t>
      </w:r>
      <w:r>
        <w:rPr>
          <w:spacing w:val="-5"/>
        </w:rPr>
        <w:t> </w:t>
      </w:r>
      <w:r>
        <w:rPr/>
        <w:t>compensation</w:t>
      </w:r>
      <w:r>
        <w:rPr>
          <w:spacing w:val="-4"/>
        </w:rPr>
        <w:t> </w:t>
      </w:r>
      <w:r>
        <w:rPr/>
        <w:t>cost,</w:t>
      </w:r>
      <w:r>
        <w:rPr>
          <w:spacing w:val="-5"/>
        </w:rPr>
        <w:t> </w:t>
      </w:r>
      <w:r>
        <w:rPr/>
        <w:t>adjusted</w:t>
      </w:r>
      <w:r>
        <w:rPr>
          <w:spacing w:val="-4"/>
        </w:rPr>
        <w:t> </w:t>
      </w:r>
      <w:r>
        <w:rPr/>
        <w:t>for</w:t>
      </w:r>
      <w:r>
        <w:rPr>
          <w:spacing w:val="-5"/>
        </w:rPr>
        <w:t> </w:t>
      </w:r>
      <w:r>
        <w:rPr/>
        <w:t>estimated</w:t>
      </w:r>
      <w:r>
        <w:rPr>
          <w:spacing w:val="-4"/>
        </w:rPr>
        <w:t> </w:t>
      </w:r>
      <w:r>
        <w:rPr/>
        <w:t>forfeitures, </w:t>
      </w:r>
      <w:r>
        <w:rPr>
          <w:spacing w:val="-2"/>
        </w:rPr>
        <w:t>related</w:t>
      </w:r>
      <w:r>
        <w:rPr>
          <w:spacing w:val="-7"/>
        </w:rPr>
        <w:t> </w:t>
      </w:r>
      <w:r>
        <w:rPr>
          <w:spacing w:val="-2"/>
        </w:rPr>
        <w:t>to</w:t>
      </w:r>
      <w:r>
        <w:rPr>
          <w:spacing w:val="-7"/>
        </w:rPr>
        <w:t> </w:t>
      </w:r>
      <w:r>
        <w:rPr>
          <w:spacing w:val="-2"/>
        </w:rPr>
        <w:t>non-vested</w:t>
      </w:r>
      <w:r>
        <w:rPr>
          <w:spacing w:val="-7"/>
        </w:rPr>
        <w:t> </w:t>
      </w:r>
      <w:r>
        <w:rPr>
          <w:spacing w:val="-2"/>
        </w:rPr>
        <w:t>stock-based</w:t>
      </w:r>
      <w:r>
        <w:rPr>
          <w:spacing w:val="-7"/>
        </w:rPr>
        <w:t> </w:t>
      </w:r>
      <w:r>
        <w:rPr>
          <w:spacing w:val="-2"/>
        </w:rPr>
        <w:t>awards</w:t>
      </w:r>
      <w:r>
        <w:rPr>
          <w:spacing w:val="-7"/>
        </w:rPr>
        <w:t> </w:t>
      </w:r>
      <w:r>
        <w:rPr>
          <w:spacing w:val="-2"/>
        </w:rPr>
        <w:t>which</w:t>
      </w:r>
      <w:r>
        <w:rPr>
          <w:spacing w:val="-7"/>
        </w:rPr>
        <w:t> </w:t>
      </w:r>
      <w:r>
        <w:rPr>
          <w:spacing w:val="-2"/>
        </w:rPr>
        <w:t>will</w:t>
      </w:r>
      <w:r>
        <w:rPr>
          <w:spacing w:val="-7"/>
        </w:rPr>
        <w:t> </w:t>
      </w:r>
      <w:r>
        <w:rPr>
          <w:spacing w:val="-2"/>
        </w:rPr>
        <w:t>be</w:t>
      </w:r>
      <w:r>
        <w:rPr>
          <w:spacing w:val="-7"/>
        </w:rPr>
        <w:t> </w:t>
      </w:r>
      <w:r>
        <w:rPr>
          <w:spacing w:val="-2"/>
        </w:rPr>
        <w:t>recognized</w:t>
      </w:r>
      <w:r>
        <w:rPr>
          <w:spacing w:val="-7"/>
        </w:rPr>
        <w:t> </w:t>
      </w:r>
      <w:r>
        <w:rPr>
          <w:spacing w:val="-2"/>
        </w:rPr>
        <w:t>over</w:t>
      </w:r>
      <w:r>
        <w:rPr>
          <w:spacing w:val="-7"/>
        </w:rPr>
        <w:t> </w:t>
      </w:r>
      <w:r>
        <w:rPr>
          <w:spacing w:val="-2"/>
        </w:rPr>
        <w:t>a</w:t>
      </w:r>
      <w:r>
        <w:rPr>
          <w:spacing w:val="-7"/>
        </w:rPr>
        <w:t> </w:t>
      </w:r>
      <w:r>
        <w:rPr>
          <w:spacing w:val="-2"/>
        </w:rPr>
        <w:t>weighted</w:t>
      </w:r>
      <w:r>
        <w:rPr>
          <w:spacing w:val="-7"/>
        </w:rPr>
        <w:t> </w:t>
      </w:r>
      <w:r>
        <w:rPr>
          <w:spacing w:val="-2"/>
        </w:rPr>
        <w:t>average</w:t>
      </w:r>
      <w:r>
        <w:rPr>
          <w:spacing w:val="-7"/>
        </w:rPr>
        <w:t> </w:t>
      </w:r>
      <w:r>
        <w:rPr>
          <w:spacing w:val="-2"/>
        </w:rPr>
        <w:t>period</w:t>
      </w:r>
      <w:r>
        <w:rPr>
          <w:spacing w:val="-7"/>
        </w:rPr>
        <w:t> </w:t>
      </w:r>
      <w:r>
        <w:rPr>
          <w:spacing w:val="-2"/>
        </w:rPr>
        <w:t>of</w:t>
      </w:r>
      <w:r>
        <w:rPr>
          <w:spacing w:val="-7"/>
        </w:rPr>
        <w:t> </w:t>
      </w:r>
      <w:r>
        <w:rPr>
          <w:spacing w:val="-2"/>
        </w:rPr>
        <w:t>1.8</w:t>
      </w:r>
      <w:r>
        <w:rPr>
          <w:spacing w:val="-7"/>
        </w:rPr>
        <w:t> </w:t>
      </w:r>
      <w:r>
        <w:rPr>
          <w:spacing w:val="-2"/>
        </w:rPr>
        <w:t>years.</w:t>
      </w:r>
      <w:r>
        <w:rPr>
          <w:spacing w:val="-10"/>
        </w:rPr>
        <w:t> </w:t>
      </w:r>
      <w:r>
        <w:rPr>
          <w:spacing w:val="-2"/>
        </w:rPr>
        <w:t>Total</w:t>
      </w:r>
      <w:r>
        <w:rPr>
          <w:spacing w:val="-7"/>
        </w:rPr>
        <w:t> </w:t>
      </w:r>
      <w:r>
        <w:rPr>
          <w:spacing w:val="-2"/>
        </w:rPr>
        <w:t>unrecognized </w:t>
      </w:r>
      <w:r>
        <w:rPr/>
        <w:t>compensation cost will be adjusted for future changes in estimated forfeitures.</w:t>
      </w:r>
    </w:p>
    <w:p>
      <w:pPr>
        <w:spacing w:after="0" w:line="249" w:lineRule="auto"/>
        <w:jc w:val="both"/>
        <w:sectPr>
          <w:pgSz w:w="12240" w:h="15840"/>
          <w:pgMar w:header="210" w:footer="610" w:top="1380" w:bottom="800" w:left="780" w:right="740"/>
        </w:sectPr>
      </w:pPr>
    </w:p>
    <w:p>
      <w:pPr>
        <w:pStyle w:val="BodyText"/>
      </w:pPr>
    </w:p>
    <w:p>
      <w:pPr>
        <w:pStyle w:val="BodyText"/>
      </w:pPr>
    </w:p>
    <w:p>
      <w:pPr>
        <w:pStyle w:val="BodyText"/>
        <w:spacing w:before="30"/>
      </w:pPr>
    </w:p>
    <w:p>
      <w:pPr>
        <w:pStyle w:val="BodyText"/>
        <w:spacing w:line="249" w:lineRule="auto"/>
        <w:ind w:left="220" w:firstLine="540"/>
      </w:pPr>
      <w:r>
        <w:rPr/>
        <w:t>Total stock-based compensation costs that have been included in our Consolidated Statements of Income for fiscal 2017, 2016 and 2015 were as follows (in thousands):</w:t>
      </w:r>
    </w:p>
    <w:p>
      <w:pPr>
        <w:pStyle w:val="BodyText"/>
        <w:spacing w:before="52"/>
      </w:pPr>
    </w:p>
    <w:p>
      <w:pPr>
        <w:spacing w:after="0"/>
        <w:sectPr>
          <w:pgSz w:w="12240" w:h="15840"/>
          <w:pgMar w:header="210" w:footer="610" w:top="1380" w:bottom="800" w:left="780" w:right="740"/>
        </w:sectPr>
      </w:pPr>
    </w:p>
    <w:p>
      <w:pPr>
        <w:pStyle w:val="BodyText"/>
        <w:rPr>
          <w:sz w:val="16"/>
        </w:rPr>
      </w:pPr>
    </w:p>
    <w:p>
      <w:pPr>
        <w:pStyle w:val="BodyText"/>
        <w:spacing w:before="134"/>
        <w:rPr>
          <w:sz w:val="16"/>
        </w:rPr>
      </w:pPr>
    </w:p>
    <w:p>
      <w:pPr>
        <w:spacing w:line="167" w:lineRule="exact" w:before="0"/>
        <w:ind w:left="0" w:right="0" w:firstLine="0"/>
        <w:jc w:val="right"/>
        <w:rPr>
          <w:b/>
          <w:sz w:val="16"/>
        </w:rPr>
      </w:pPr>
      <w:r>
        <w:rPr>
          <w:b/>
          <w:sz w:val="16"/>
        </w:rPr>
        <w:t>Cost </w:t>
      </w:r>
      <w:r>
        <w:rPr>
          <w:b/>
          <w:spacing w:val="-5"/>
          <w:sz w:val="16"/>
        </w:rPr>
        <w:t>of</w:t>
      </w:r>
    </w:p>
    <w:p>
      <w:pPr>
        <w:spacing w:line="240" w:lineRule="auto" w:before="165"/>
        <w:rPr>
          <w:b/>
          <w:sz w:val="16"/>
        </w:rPr>
      </w:pPr>
      <w:r>
        <w:rPr/>
        <w:br w:type="column"/>
      </w:r>
      <w:r>
        <w:rPr>
          <w:b/>
          <w:sz w:val="16"/>
        </w:rPr>
      </w:r>
    </w:p>
    <w:p>
      <w:pPr>
        <w:spacing w:line="208" w:lineRule="auto" w:before="0"/>
        <w:ind w:left="584" w:right="0" w:firstLine="91"/>
        <w:jc w:val="left"/>
        <w:rPr>
          <w:b/>
          <w:sz w:val="16"/>
        </w:rPr>
      </w:pPr>
      <w:r>
        <w:rPr/>
        <mc:AlternateContent>
          <mc:Choice Requires="wps">
            <w:drawing>
              <wp:anchor distT="0" distB="0" distL="0" distR="0" allowOverlap="1" layoutInCell="1" locked="0" behindDoc="0" simplePos="0" relativeHeight="15830528">
                <wp:simplePos x="0" y="0"/>
                <wp:positionH relativeFrom="page">
                  <wp:posOffset>2597150</wp:posOffset>
                </wp:positionH>
                <wp:positionV relativeFrom="paragraph">
                  <wp:posOffset>-7954</wp:posOffset>
                </wp:positionV>
                <wp:extent cx="4546600" cy="127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4546600" cy="1270"/>
                        </a:xfrm>
                        <a:custGeom>
                          <a:avLst/>
                          <a:gdLst/>
                          <a:ahLst/>
                          <a:cxnLst/>
                          <a:rect l="l" t="t" r="r" b="b"/>
                          <a:pathLst>
                            <a:path w="4546600" h="0">
                              <a:moveTo>
                                <a:pt x="0" y="0"/>
                              </a:moveTo>
                              <a:lnTo>
                                <a:pt x="711200" y="0"/>
                              </a:lnTo>
                            </a:path>
                            <a:path w="4546600" h="0">
                              <a:moveTo>
                                <a:pt x="711200" y="0"/>
                              </a:moveTo>
                              <a:lnTo>
                                <a:pt x="762000" y="0"/>
                              </a:lnTo>
                            </a:path>
                            <a:path w="4546600" h="0">
                              <a:moveTo>
                                <a:pt x="762000" y="0"/>
                              </a:moveTo>
                              <a:lnTo>
                                <a:pt x="1473200" y="0"/>
                              </a:lnTo>
                            </a:path>
                            <a:path w="4546600" h="0">
                              <a:moveTo>
                                <a:pt x="1473200" y="0"/>
                              </a:moveTo>
                              <a:lnTo>
                                <a:pt x="1524000" y="0"/>
                              </a:lnTo>
                            </a:path>
                            <a:path w="4546600" h="0">
                              <a:moveTo>
                                <a:pt x="1524000" y="0"/>
                              </a:moveTo>
                              <a:lnTo>
                                <a:pt x="2235200" y="0"/>
                              </a:lnTo>
                            </a:path>
                            <a:path w="4546600" h="0">
                              <a:moveTo>
                                <a:pt x="2235200" y="0"/>
                              </a:moveTo>
                              <a:lnTo>
                                <a:pt x="2286000" y="0"/>
                              </a:lnTo>
                            </a:path>
                            <a:path w="4546600" h="0">
                              <a:moveTo>
                                <a:pt x="2286000" y="0"/>
                              </a:moveTo>
                              <a:lnTo>
                                <a:pt x="2997200" y="0"/>
                              </a:lnTo>
                            </a:path>
                            <a:path w="4546600" h="0">
                              <a:moveTo>
                                <a:pt x="2997200" y="0"/>
                              </a:moveTo>
                              <a:lnTo>
                                <a:pt x="3048000" y="0"/>
                              </a:lnTo>
                            </a:path>
                            <a:path w="4546600" h="0">
                              <a:moveTo>
                                <a:pt x="3048000" y="0"/>
                              </a:moveTo>
                              <a:lnTo>
                                <a:pt x="3784600" y="0"/>
                              </a:lnTo>
                            </a:path>
                            <a:path w="4546600" h="0">
                              <a:moveTo>
                                <a:pt x="3784600" y="0"/>
                              </a:moveTo>
                              <a:lnTo>
                                <a:pt x="3835400" y="0"/>
                              </a:lnTo>
                            </a:path>
                            <a:path w="4546600" h="0">
                              <a:moveTo>
                                <a:pt x="3835400" y="0"/>
                              </a:moveTo>
                              <a:lnTo>
                                <a:pt x="4546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5pt;margin-top:-.626367pt;width:358pt;height:.1pt;mso-position-horizontal-relative:page;mso-position-vertical-relative:paragraph;z-index:15830528" id="docshape420" coordorigin="4090,-13" coordsize="7160,0" path="m4090,-13l5210,-13m5210,-13l5290,-13m5290,-13l6410,-13m6410,-13l6490,-13m6490,-13l7610,-13m7610,-13l7690,-13m7690,-13l8810,-13m8810,-13l8890,-13m8890,-13l10050,-13m10050,-13l10130,-13m10130,-13l11250,-13e" filled="false" stroked="true" strokeweight="1pt" strokecolor="#000000">
                <v:path arrowok="t"/>
                <v:stroke dashstyle="solid"/>
                <w10:wrap type="none"/>
              </v:shape>
            </w:pict>
          </mc:Fallback>
        </mc:AlternateContent>
      </w:r>
      <w:r>
        <w:rPr>
          <w:b/>
          <w:sz w:val="16"/>
        </w:rPr>
        <w:t>Cost</w:t>
      </w:r>
      <w:r>
        <w:rPr>
          <w:b/>
          <w:spacing w:val="-1"/>
          <w:sz w:val="16"/>
        </w:rPr>
        <w:t> </w:t>
      </w:r>
      <w:r>
        <w:rPr>
          <w:b/>
          <w:sz w:val="16"/>
        </w:rPr>
        <w:t>of</w:t>
      </w:r>
      <w:r>
        <w:rPr>
          <w:b/>
          <w:spacing w:val="40"/>
          <w:sz w:val="16"/>
        </w:rPr>
        <w:t> </w:t>
      </w:r>
      <w:r>
        <w:rPr>
          <w:b/>
          <w:spacing w:val="-2"/>
          <w:sz w:val="16"/>
        </w:rPr>
        <w:t>Revenue–</w:t>
      </w:r>
    </w:p>
    <w:p>
      <w:pPr>
        <w:spacing w:before="93"/>
        <w:ind w:left="358" w:right="0" w:firstLine="0"/>
        <w:jc w:val="left"/>
        <w:rPr>
          <w:b/>
          <w:sz w:val="16"/>
        </w:rPr>
      </w:pPr>
      <w:r>
        <w:rPr/>
        <w:br w:type="column"/>
      </w:r>
      <w:r>
        <w:rPr>
          <w:b/>
          <w:sz w:val="16"/>
        </w:rPr>
        <w:t>Income Statement </w:t>
      </w:r>
      <w:r>
        <w:rPr>
          <w:b/>
          <w:spacing w:val="-2"/>
          <w:sz w:val="16"/>
        </w:rPr>
        <w:t>Classifications</w:t>
      </w:r>
    </w:p>
    <w:p>
      <w:pPr>
        <w:spacing w:after="0"/>
        <w:jc w:val="left"/>
        <w:rPr>
          <w:sz w:val="16"/>
        </w:rPr>
        <w:sectPr>
          <w:type w:val="continuous"/>
          <w:pgSz w:w="12240" w:h="15840"/>
          <w:pgMar w:header="210" w:footer="610" w:top="680" w:bottom="280" w:left="780" w:right="740"/>
          <w:cols w:num="3" w:equalWidth="0">
            <w:col w:w="4102" w:space="40"/>
            <w:col w:w="1252" w:space="39"/>
            <w:col w:w="5287"/>
          </w:cols>
        </w:sectPr>
      </w:pPr>
    </w:p>
    <w:p>
      <w:pPr>
        <w:pStyle w:val="BodyText"/>
        <w:rPr>
          <w:b/>
          <w:sz w:val="16"/>
        </w:rPr>
      </w:pPr>
    </w:p>
    <w:p>
      <w:pPr>
        <w:pStyle w:val="BodyText"/>
        <w:spacing w:before="28"/>
        <w:rPr>
          <w:b/>
          <w:sz w:val="16"/>
        </w:rPr>
      </w:pPr>
    </w:p>
    <w:p>
      <w:pPr>
        <w:spacing w:before="0"/>
        <w:ind w:left="280" w:right="0" w:firstLine="0"/>
        <w:jc w:val="left"/>
        <w:rPr>
          <w:b/>
          <w:sz w:val="16"/>
        </w:rPr>
      </w:pPr>
      <w:r>
        <w:rPr/>
        <mc:AlternateContent>
          <mc:Choice Requires="wps">
            <w:drawing>
              <wp:anchor distT="0" distB="0" distL="0" distR="0" allowOverlap="1" layoutInCell="1" locked="0" behindDoc="0" simplePos="0" relativeHeight="15831040">
                <wp:simplePos x="0" y="0"/>
                <wp:positionH relativeFrom="page">
                  <wp:posOffset>2597150</wp:posOffset>
                </wp:positionH>
                <wp:positionV relativeFrom="paragraph">
                  <wp:posOffset>-5479</wp:posOffset>
                </wp:positionV>
                <wp:extent cx="711200" cy="127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1040" from="204.5pt,-.431445pt" to="260.5pt,-.431445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831552">
                <wp:simplePos x="0" y="0"/>
                <wp:positionH relativeFrom="page">
                  <wp:posOffset>3359150</wp:posOffset>
                </wp:positionH>
                <wp:positionV relativeFrom="paragraph">
                  <wp:posOffset>-5479</wp:posOffset>
                </wp:positionV>
                <wp:extent cx="711200" cy="1270"/>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1552" from="264.5pt,-.431445pt" to="320.5pt,-.431445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832064">
                <wp:simplePos x="0" y="0"/>
                <wp:positionH relativeFrom="page">
                  <wp:posOffset>4121150</wp:posOffset>
                </wp:positionH>
                <wp:positionV relativeFrom="paragraph">
                  <wp:posOffset>-5479</wp:posOffset>
                </wp:positionV>
                <wp:extent cx="711200" cy="1270"/>
                <wp:effectExtent l="0" t="0" r="0" b="0"/>
                <wp:wrapNone/>
                <wp:docPr id="533" name="Graphic 533"/>
                <wp:cNvGraphicFramePr>
                  <a:graphicFrameLocks/>
                </wp:cNvGraphicFramePr>
                <a:graphic>
                  <a:graphicData uri="http://schemas.microsoft.com/office/word/2010/wordprocessingShape">
                    <wps:wsp>
                      <wps:cNvPr id="533" name="Graphic 533"/>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2064" from="324.5pt,-.431445pt" to="380.5pt,-.431445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832576">
                <wp:simplePos x="0" y="0"/>
                <wp:positionH relativeFrom="page">
                  <wp:posOffset>4883150</wp:posOffset>
                </wp:positionH>
                <wp:positionV relativeFrom="paragraph">
                  <wp:posOffset>-5479</wp:posOffset>
                </wp:positionV>
                <wp:extent cx="711200" cy="127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2576" from="384.5pt,-.431445pt" to="440.5pt,-.431445pt" stroked="true" strokeweight="1pt" strokecolor="#000000">
                <v:stroke dashstyle="solid"/>
                <w10:wrap type="none"/>
              </v:line>
            </w:pict>
          </mc:Fallback>
        </mc:AlternateContent>
      </w:r>
      <w:r>
        <w:rPr>
          <w:b/>
          <w:sz w:val="16"/>
        </w:rPr>
        <w:t>Option</w:t>
      </w:r>
      <w:r>
        <w:rPr>
          <w:b/>
          <w:spacing w:val="-5"/>
          <w:sz w:val="16"/>
        </w:rPr>
        <w:t> </w:t>
      </w:r>
      <w:r>
        <w:rPr>
          <w:b/>
          <w:sz w:val="16"/>
        </w:rPr>
        <w:t>Grants</w:t>
      </w:r>
      <w:r>
        <w:rPr>
          <w:b/>
          <w:spacing w:val="-5"/>
          <w:sz w:val="16"/>
        </w:rPr>
        <w:t> </w:t>
      </w:r>
      <w:r>
        <w:rPr>
          <w:b/>
          <w:sz w:val="16"/>
        </w:rPr>
        <w:t>and</w:t>
      </w:r>
      <w:r>
        <w:rPr>
          <w:b/>
          <w:spacing w:val="-5"/>
          <w:sz w:val="16"/>
        </w:rPr>
        <w:t> </w:t>
      </w:r>
      <w:r>
        <w:rPr>
          <w:b/>
          <w:spacing w:val="-2"/>
          <w:sz w:val="16"/>
        </w:rPr>
        <w:t>Stock</w:t>
      </w:r>
    </w:p>
    <w:p>
      <w:pPr>
        <w:spacing w:line="208" w:lineRule="auto" w:before="12"/>
        <w:ind w:left="280" w:right="0" w:firstLine="102"/>
        <w:jc w:val="left"/>
        <w:rPr>
          <w:b/>
          <w:sz w:val="16"/>
        </w:rPr>
      </w:pPr>
      <w:r>
        <w:rPr/>
        <w:br w:type="column"/>
      </w:r>
      <w:r>
        <w:rPr>
          <w:b/>
          <w:spacing w:val="-2"/>
          <w:sz w:val="16"/>
        </w:rPr>
        <w:t>Revenue–</w:t>
      </w:r>
      <w:r>
        <w:rPr>
          <w:b/>
          <w:spacing w:val="40"/>
          <w:sz w:val="16"/>
        </w:rPr>
        <w:t> </w:t>
      </w:r>
      <w:r>
        <w:rPr>
          <w:b/>
          <w:spacing w:val="-2"/>
          <w:sz w:val="16"/>
        </w:rPr>
        <w:t>Subscription</w:t>
      </w:r>
    </w:p>
    <w:p>
      <w:pPr>
        <w:spacing w:line="208" w:lineRule="auto" w:before="15"/>
        <w:ind w:left="427" w:right="0" w:hanging="148"/>
        <w:jc w:val="left"/>
        <w:rPr>
          <w:b/>
          <w:sz w:val="16"/>
        </w:rPr>
      </w:pPr>
      <w:r>
        <w:rPr/>
        <w:br w:type="column"/>
      </w:r>
      <w:r>
        <w:rPr>
          <w:b/>
          <w:sz w:val="16"/>
        </w:rPr>
        <w:t>Services</w:t>
      </w:r>
      <w:r>
        <w:rPr>
          <w:b/>
          <w:spacing w:val="-10"/>
          <w:sz w:val="16"/>
        </w:rPr>
        <w:t> </w:t>
      </w:r>
      <w:r>
        <w:rPr>
          <w:b/>
          <w:sz w:val="16"/>
        </w:rPr>
        <w:t>and</w:t>
      </w:r>
      <w:r>
        <w:rPr>
          <w:b/>
          <w:spacing w:val="40"/>
          <w:sz w:val="16"/>
        </w:rPr>
        <w:t> </w:t>
      </w:r>
      <w:r>
        <w:rPr>
          <w:b/>
          <w:spacing w:val="-2"/>
          <w:sz w:val="16"/>
        </w:rPr>
        <w:t>Support</w:t>
      </w:r>
    </w:p>
    <w:p>
      <w:pPr>
        <w:spacing w:line="208" w:lineRule="auto" w:before="12"/>
        <w:ind w:left="282" w:right="38" w:hanging="14"/>
        <w:jc w:val="left"/>
        <w:rPr>
          <w:b/>
          <w:sz w:val="16"/>
        </w:rPr>
      </w:pPr>
      <w:r>
        <w:rPr/>
        <w:br w:type="column"/>
      </w:r>
      <w:r>
        <w:rPr>
          <w:b/>
          <w:sz w:val="16"/>
        </w:rPr>
        <w:t>Research</w:t>
      </w:r>
      <w:r>
        <w:rPr>
          <w:b/>
          <w:spacing w:val="-10"/>
          <w:sz w:val="16"/>
        </w:rPr>
        <w:t> </w:t>
      </w:r>
      <w:r>
        <w:rPr>
          <w:b/>
          <w:sz w:val="16"/>
        </w:rPr>
        <w:t>and</w:t>
      </w:r>
      <w:r>
        <w:rPr>
          <w:b/>
          <w:spacing w:val="40"/>
          <w:sz w:val="16"/>
        </w:rPr>
        <w:t> </w:t>
      </w:r>
      <w:r>
        <w:rPr>
          <w:b/>
          <w:spacing w:val="-2"/>
          <w:sz w:val="16"/>
        </w:rPr>
        <w:t>Development</w:t>
      </w:r>
    </w:p>
    <w:p>
      <w:pPr>
        <w:spacing w:line="208" w:lineRule="auto" w:before="12"/>
        <w:ind w:left="280" w:right="0" w:firstLine="42"/>
        <w:jc w:val="left"/>
        <w:rPr>
          <w:b/>
          <w:sz w:val="16"/>
        </w:rPr>
      </w:pPr>
      <w:r>
        <w:rPr/>
        <w:br w:type="column"/>
      </w:r>
      <w:r>
        <w:rPr>
          <w:b/>
          <w:sz w:val="16"/>
        </w:rPr>
        <w:t>Sales</w:t>
      </w:r>
      <w:r>
        <w:rPr>
          <w:b/>
          <w:spacing w:val="-3"/>
          <w:sz w:val="16"/>
        </w:rPr>
        <w:t> </w:t>
      </w:r>
      <w:r>
        <w:rPr>
          <w:b/>
          <w:sz w:val="16"/>
        </w:rPr>
        <w:t>and</w:t>
      </w:r>
      <w:r>
        <w:rPr>
          <w:b/>
          <w:spacing w:val="40"/>
          <w:sz w:val="16"/>
        </w:rPr>
        <w:t> </w:t>
      </w:r>
      <w:r>
        <w:rPr>
          <w:b/>
          <w:spacing w:val="-2"/>
          <w:sz w:val="16"/>
        </w:rPr>
        <w:t>Marketing</w:t>
      </w:r>
    </w:p>
    <w:p>
      <w:pPr>
        <w:tabs>
          <w:tab w:pos="1779" w:val="left" w:leader="none"/>
        </w:tabs>
        <w:spacing w:line="208" w:lineRule="auto" w:before="12"/>
        <w:ind w:left="280" w:right="582" w:firstLine="91"/>
        <w:jc w:val="left"/>
        <w:rPr>
          <w:b/>
          <w:sz w:val="16"/>
        </w:rPr>
      </w:pPr>
      <w:r>
        <w:rPr/>
        <w:br w:type="column"/>
      </w:r>
      <w:r>
        <w:rPr>
          <w:b/>
          <w:sz w:val="16"/>
        </w:rPr>
        <w:t>General</w:t>
      </w:r>
      <w:r>
        <w:rPr>
          <w:b/>
          <w:spacing w:val="-1"/>
          <w:sz w:val="16"/>
        </w:rPr>
        <w:t> </w:t>
      </w:r>
      <w:r>
        <w:rPr>
          <w:b/>
          <w:sz w:val="16"/>
        </w:rPr>
        <w:t>and</w:t>
      </w:r>
      <w:r>
        <w:rPr>
          <w:b/>
          <w:spacing w:val="40"/>
          <w:sz w:val="16"/>
        </w:rPr>
        <w:t> </w:t>
      </w:r>
      <w:r>
        <w:rPr>
          <w:b/>
          <w:spacing w:val="-2"/>
          <w:sz w:val="16"/>
        </w:rPr>
        <w:t>Administrative</w:t>
      </w:r>
      <w:r>
        <w:rPr>
          <w:b/>
          <w:sz w:val="16"/>
        </w:rPr>
        <w:tab/>
      </w:r>
      <w:r>
        <w:rPr>
          <w:b/>
          <w:spacing w:val="-4"/>
          <w:sz w:val="16"/>
        </w:rPr>
        <w:t>Total</w:t>
      </w:r>
      <w:r>
        <w:rPr>
          <w:b/>
          <w:spacing w:val="-4"/>
          <w:sz w:val="16"/>
          <w:vertAlign w:val="superscript"/>
        </w:rPr>
        <w:t>(1)</w:t>
      </w:r>
    </w:p>
    <w:p>
      <w:pPr>
        <w:pStyle w:val="BodyText"/>
        <w:spacing w:before="9"/>
        <w:rPr>
          <w:b/>
          <w:sz w:val="4"/>
        </w:rPr>
      </w:pPr>
    </w:p>
    <w:p>
      <w:pPr>
        <w:spacing w:line="20" w:lineRule="exact"/>
        <w:ind w:left="226" w:right="0" w:firstLine="0"/>
        <w:jc w:val="left"/>
        <w:rPr>
          <w:sz w:val="2"/>
        </w:rPr>
      </w:pPr>
      <w:r>
        <w:rPr>
          <w:sz w:val="2"/>
        </w:rPr>
        <mc:AlternateContent>
          <mc:Choice Requires="wps">
            <w:drawing>
              <wp:inline distT="0" distB="0" distL="0" distR="0">
                <wp:extent cx="736600" cy="12700"/>
                <wp:effectExtent l="9525" t="0" r="6350" b="6350"/>
                <wp:docPr id="535" name="Group 535"/>
                <wp:cNvGraphicFramePr>
                  <a:graphicFrameLocks/>
                </wp:cNvGraphicFramePr>
                <a:graphic>
                  <a:graphicData uri="http://schemas.microsoft.com/office/word/2010/wordprocessingGroup">
                    <wpg:wgp>
                      <wpg:cNvPr id="535" name="Group 535"/>
                      <wpg:cNvGrpSpPr/>
                      <wpg:grpSpPr>
                        <a:xfrm>
                          <a:off x="0" y="0"/>
                          <a:ext cx="736600" cy="12700"/>
                          <a:chExt cx="736600" cy="12700"/>
                        </a:xfrm>
                      </wpg:grpSpPr>
                      <wps:wsp>
                        <wps:cNvPr id="536" name="Graphic 536"/>
                        <wps:cNvSpPr/>
                        <wps:spPr>
                          <a:xfrm>
                            <a:off x="0" y="6350"/>
                            <a:ext cx="736600" cy="1270"/>
                          </a:xfrm>
                          <a:custGeom>
                            <a:avLst/>
                            <a:gdLst/>
                            <a:ahLst/>
                            <a:cxnLst/>
                            <a:rect l="l" t="t" r="r" b="b"/>
                            <a:pathLst>
                              <a:path w="736600" h="0">
                                <a:moveTo>
                                  <a:pt x="0" y="0"/>
                                </a:moveTo>
                                <a:lnTo>
                                  <a:pt x="7366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pt;height:1pt;mso-position-horizontal-relative:char;mso-position-vertical-relative:line" id="docshapegroup421" coordorigin="0,0" coordsize="1160,20">
                <v:line style="position:absolute" from="0,10" to="1160,10" stroked="true" strokeweight="1pt" strokecolor="#000000">
                  <v:stroke dashstyle="solid"/>
                </v:line>
              </v:group>
            </w:pict>
          </mc:Fallback>
        </mc:AlternateContent>
      </w:r>
      <w:r>
        <w:rPr>
          <w:sz w:val="2"/>
        </w:rPr>
      </w:r>
      <w:r>
        <w:rPr>
          <w:spacing w:val="70"/>
          <w:sz w:val="2"/>
        </w:rPr>
        <w:t> </w:t>
      </w:r>
      <w:r>
        <w:rPr>
          <w:spacing w:val="70"/>
          <w:sz w:val="2"/>
        </w:rPr>
        <mc:AlternateContent>
          <mc:Choice Requires="wps">
            <w:drawing>
              <wp:inline distT="0" distB="0" distL="0" distR="0">
                <wp:extent cx="711200" cy="12700"/>
                <wp:effectExtent l="9525" t="0" r="3175" b="6350"/>
                <wp:docPr id="537" name="Group 537"/>
                <wp:cNvGraphicFramePr>
                  <a:graphicFrameLocks/>
                </wp:cNvGraphicFramePr>
                <a:graphic>
                  <a:graphicData uri="http://schemas.microsoft.com/office/word/2010/wordprocessingGroup">
                    <wpg:wgp>
                      <wpg:cNvPr id="537" name="Group 537"/>
                      <wpg:cNvGrpSpPr/>
                      <wpg:grpSpPr>
                        <a:xfrm>
                          <a:off x="0" y="0"/>
                          <a:ext cx="711200" cy="12700"/>
                          <a:chExt cx="711200" cy="12700"/>
                        </a:xfrm>
                      </wpg:grpSpPr>
                      <wps:wsp>
                        <wps:cNvPr id="538" name="Graphic 538"/>
                        <wps:cNvSpPr/>
                        <wps:spPr>
                          <a:xfrm>
                            <a:off x="0" y="6350"/>
                            <a:ext cx="711200" cy="1270"/>
                          </a:xfrm>
                          <a:custGeom>
                            <a:avLst/>
                            <a:gdLst/>
                            <a:ahLst/>
                            <a:cxnLst/>
                            <a:rect l="l" t="t" r="r" b="b"/>
                            <a:pathLst>
                              <a:path w="711200" h="0">
                                <a:moveTo>
                                  <a:pt x="0" y="0"/>
                                </a:moveTo>
                                <a:lnTo>
                                  <a:pt x="7112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1pt;mso-position-horizontal-relative:char;mso-position-vertical-relative:line" id="docshapegroup422" coordorigin="0,0" coordsize="1120,20">
                <v:line style="position:absolute" from="0,10" to="1120,10" stroked="true" strokeweight="1pt" strokecolor="#000000">
                  <v:stroke dashstyle="solid"/>
                </v:line>
              </v:group>
            </w:pict>
          </mc:Fallback>
        </mc:AlternateContent>
      </w:r>
      <w:r>
        <w:rPr>
          <w:spacing w:val="70"/>
          <w:sz w:val="2"/>
        </w:rPr>
      </w:r>
    </w:p>
    <w:p>
      <w:pPr>
        <w:spacing w:after="0" w:line="20" w:lineRule="exact"/>
        <w:jc w:val="left"/>
        <w:rPr>
          <w:sz w:val="2"/>
        </w:rPr>
        <w:sectPr>
          <w:type w:val="continuous"/>
          <w:pgSz w:w="12240" w:h="15840"/>
          <w:pgMar w:header="210" w:footer="610" w:top="680" w:bottom="280" w:left="780" w:right="740"/>
          <w:cols w:num="6" w:equalWidth="0">
            <w:col w:w="2040" w:space="1104"/>
            <w:col w:w="1152" w:space="55"/>
            <w:col w:w="1138" w:space="40"/>
            <w:col w:w="1236" w:space="50"/>
            <w:col w:w="1009" w:space="60"/>
            <w:col w:w="2836"/>
          </w:cols>
        </w:sect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7"/>
        <w:gridCol w:w="1259"/>
        <w:gridCol w:w="1200"/>
        <w:gridCol w:w="1200"/>
        <w:gridCol w:w="1200"/>
        <w:gridCol w:w="1240"/>
        <w:gridCol w:w="1173"/>
      </w:tblGrid>
      <w:tr>
        <w:trPr>
          <w:trHeight w:val="224" w:hRule="atLeast"/>
        </w:trPr>
        <w:tc>
          <w:tcPr>
            <w:tcW w:w="2987" w:type="dxa"/>
          </w:tcPr>
          <w:p>
            <w:pPr>
              <w:pStyle w:val="TableParagraph"/>
              <w:spacing w:line="160" w:lineRule="exact"/>
              <w:ind w:left="250"/>
              <w:rPr>
                <w:b/>
                <w:sz w:val="16"/>
              </w:rPr>
            </w:pPr>
            <w:r>
              <w:rPr>
                <w:b/>
                <w:sz w:val="16"/>
              </w:rPr>
              <w:t>Purchase</w:t>
            </w:r>
            <w:r>
              <w:rPr>
                <w:b/>
                <w:spacing w:val="-3"/>
                <w:sz w:val="16"/>
              </w:rPr>
              <w:t> </w:t>
            </w:r>
            <w:r>
              <w:rPr>
                <w:b/>
                <w:spacing w:val="-2"/>
                <w:sz w:val="16"/>
              </w:rPr>
              <w:t>Rights</w:t>
            </w:r>
          </w:p>
        </w:tc>
        <w:tc>
          <w:tcPr>
            <w:tcW w:w="7272" w:type="dxa"/>
            <w:gridSpan w:val="6"/>
          </w:tcPr>
          <w:p>
            <w:pPr>
              <w:pStyle w:val="TableParagraph"/>
              <w:rPr>
                <w:sz w:val="16"/>
              </w:rPr>
            </w:pPr>
          </w:p>
        </w:tc>
      </w:tr>
      <w:tr>
        <w:trPr>
          <w:trHeight w:val="280" w:hRule="atLeast"/>
        </w:trPr>
        <w:tc>
          <w:tcPr>
            <w:tcW w:w="2987" w:type="dxa"/>
            <w:shd w:val="clear" w:color="auto" w:fill="CCEDFF"/>
          </w:tcPr>
          <w:p>
            <w:pPr>
              <w:pStyle w:val="TableParagraph"/>
              <w:spacing w:line="215" w:lineRule="exact"/>
              <w:ind w:left="70"/>
              <w:rPr>
                <w:sz w:val="20"/>
              </w:rPr>
            </w:pPr>
            <w:r>
              <w:rPr>
                <w:spacing w:val="-4"/>
                <w:sz w:val="20"/>
              </w:rPr>
              <w:t>2017</w:t>
            </w:r>
          </w:p>
        </w:tc>
        <w:tc>
          <w:tcPr>
            <w:tcW w:w="1259" w:type="dxa"/>
            <w:shd w:val="clear" w:color="auto" w:fill="CCEDFF"/>
          </w:tcPr>
          <w:p>
            <w:pPr>
              <w:pStyle w:val="TableParagraph"/>
              <w:tabs>
                <w:tab w:pos="752" w:val="left" w:leader="none"/>
              </w:tabs>
              <w:spacing w:line="215" w:lineRule="exact"/>
              <w:ind w:left="60"/>
              <w:jc w:val="center"/>
              <w:rPr>
                <w:sz w:val="20"/>
              </w:rPr>
            </w:pPr>
            <w:r>
              <w:rPr>
                <w:spacing w:val="-10"/>
                <w:sz w:val="20"/>
              </w:rPr>
              <w:t>$</w:t>
            </w:r>
            <w:r>
              <w:rPr>
                <w:sz w:val="20"/>
              </w:rPr>
              <w:tab/>
            </w:r>
            <w:r>
              <w:rPr>
                <w:spacing w:val="-5"/>
                <w:sz w:val="20"/>
              </w:rPr>
              <w:t>180</w:t>
            </w:r>
          </w:p>
        </w:tc>
        <w:tc>
          <w:tcPr>
            <w:tcW w:w="1200" w:type="dxa"/>
            <w:shd w:val="clear" w:color="auto" w:fill="CCEDFF"/>
          </w:tcPr>
          <w:p>
            <w:pPr>
              <w:pStyle w:val="TableParagraph"/>
              <w:tabs>
                <w:tab w:pos="543" w:val="left" w:leader="none"/>
              </w:tabs>
              <w:spacing w:line="215" w:lineRule="exact"/>
              <w:ind w:left="1"/>
              <w:jc w:val="center"/>
              <w:rPr>
                <w:sz w:val="20"/>
              </w:rPr>
            </w:pPr>
            <w:r>
              <w:rPr>
                <w:spacing w:val="-10"/>
                <w:sz w:val="20"/>
              </w:rPr>
              <w:t>$</w:t>
            </w:r>
            <w:r>
              <w:rPr>
                <w:sz w:val="20"/>
              </w:rPr>
              <w:tab/>
            </w:r>
            <w:r>
              <w:rPr>
                <w:spacing w:val="-2"/>
                <w:sz w:val="20"/>
              </w:rPr>
              <w:t>6,661</w:t>
            </w:r>
          </w:p>
        </w:tc>
        <w:tc>
          <w:tcPr>
            <w:tcW w:w="1200" w:type="dxa"/>
            <w:shd w:val="clear" w:color="auto" w:fill="CCEDFF"/>
          </w:tcPr>
          <w:p>
            <w:pPr>
              <w:pStyle w:val="TableParagraph"/>
              <w:tabs>
                <w:tab w:pos="443" w:val="left" w:leader="none"/>
              </w:tabs>
              <w:spacing w:line="215" w:lineRule="exact"/>
              <w:ind w:left="1"/>
              <w:jc w:val="center"/>
              <w:rPr>
                <w:sz w:val="20"/>
              </w:rPr>
            </w:pPr>
            <w:r>
              <w:rPr>
                <w:spacing w:val="-10"/>
                <w:sz w:val="20"/>
              </w:rPr>
              <w:t>$</w:t>
            </w:r>
            <w:r>
              <w:rPr>
                <w:sz w:val="20"/>
              </w:rPr>
              <w:tab/>
            </w:r>
            <w:r>
              <w:rPr>
                <w:spacing w:val="-2"/>
                <w:sz w:val="20"/>
              </w:rPr>
              <w:t>20,126</w:t>
            </w:r>
          </w:p>
        </w:tc>
        <w:tc>
          <w:tcPr>
            <w:tcW w:w="1200" w:type="dxa"/>
            <w:shd w:val="clear" w:color="auto" w:fill="CCEDFF"/>
          </w:tcPr>
          <w:p>
            <w:pPr>
              <w:pStyle w:val="TableParagraph"/>
              <w:tabs>
                <w:tab w:pos="443" w:val="left" w:leader="none"/>
              </w:tabs>
              <w:spacing w:line="215" w:lineRule="exact"/>
              <w:ind w:left="1"/>
              <w:jc w:val="center"/>
              <w:rPr>
                <w:sz w:val="20"/>
              </w:rPr>
            </w:pPr>
            <w:r>
              <w:rPr>
                <w:spacing w:val="-10"/>
                <w:sz w:val="20"/>
              </w:rPr>
              <w:t>$</w:t>
            </w:r>
            <w:r>
              <w:rPr>
                <w:sz w:val="20"/>
              </w:rPr>
              <w:tab/>
            </w:r>
            <w:r>
              <w:rPr>
                <w:spacing w:val="-2"/>
                <w:sz w:val="20"/>
              </w:rPr>
              <w:t>18,592</w:t>
            </w:r>
          </w:p>
        </w:tc>
        <w:tc>
          <w:tcPr>
            <w:tcW w:w="1240" w:type="dxa"/>
            <w:shd w:val="clear" w:color="auto" w:fill="CCEDFF"/>
          </w:tcPr>
          <w:p>
            <w:pPr>
              <w:pStyle w:val="TableParagraph"/>
              <w:tabs>
                <w:tab w:pos="583" w:val="left" w:leader="none"/>
              </w:tabs>
              <w:spacing w:line="215" w:lineRule="exact"/>
              <w:ind w:left="1"/>
              <w:jc w:val="center"/>
              <w:rPr>
                <w:sz w:val="20"/>
              </w:rPr>
            </w:pPr>
            <w:r>
              <w:rPr>
                <w:spacing w:val="-10"/>
                <w:sz w:val="20"/>
              </w:rPr>
              <w:t>$</w:t>
            </w:r>
            <w:r>
              <w:rPr>
                <w:sz w:val="20"/>
              </w:rPr>
              <w:tab/>
            </w:r>
            <w:r>
              <w:rPr>
                <w:spacing w:val="-2"/>
                <w:sz w:val="20"/>
              </w:rPr>
              <w:t>4,973</w:t>
            </w:r>
          </w:p>
        </w:tc>
        <w:tc>
          <w:tcPr>
            <w:tcW w:w="1173" w:type="dxa"/>
            <w:shd w:val="clear" w:color="auto" w:fill="CCEDFF"/>
          </w:tcPr>
          <w:p>
            <w:pPr>
              <w:pStyle w:val="TableParagraph"/>
              <w:tabs>
                <w:tab w:pos="470" w:val="left" w:leader="none"/>
              </w:tabs>
              <w:spacing w:line="215" w:lineRule="exact"/>
              <w:ind w:left="28"/>
              <w:jc w:val="center"/>
              <w:rPr>
                <w:sz w:val="20"/>
              </w:rPr>
            </w:pPr>
            <w:r>
              <w:rPr>
                <w:spacing w:val="-10"/>
                <w:sz w:val="20"/>
              </w:rPr>
              <w:t>$</w:t>
            </w:r>
            <w:r>
              <w:rPr>
                <w:sz w:val="20"/>
              </w:rPr>
              <w:tab/>
            </w:r>
            <w:r>
              <w:rPr>
                <w:spacing w:val="-2"/>
                <w:sz w:val="20"/>
              </w:rPr>
              <w:t>50,532</w:t>
            </w:r>
          </w:p>
        </w:tc>
      </w:tr>
      <w:tr>
        <w:trPr>
          <w:trHeight w:val="280" w:hRule="atLeast"/>
        </w:trPr>
        <w:tc>
          <w:tcPr>
            <w:tcW w:w="2987" w:type="dxa"/>
          </w:tcPr>
          <w:p>
            <w:pPr>
              <w:pStyle w:val="TableParagraph"/>
              <w:spacing w:line="215" w:lineRule="exact"/>
              <w:ind w:left="70"/>
              <w:rPr>
                <w:sz w:val="20"/>
              </w:rPr>
            </w:pPr>
            <w:r>
              <w:rPr>
                <w:spacing w:val="-4"/>
                <w:sz w:val="20"/>
              </w:rPr>
              <w:t>2016</w:t>
            </w:r>
          </w:p>
        </w:tc>
        <w:tc>
          <w:tcPr>
            <w:tcW w:w="1259" w:type="dxa"/>
          </w:tcPr>
          <w:p>
            <w:pPr>
              <w:pStyle w:val="TableParagraph"/>
              <w:tabs>
                <w:tab w:pos="602" w:val="left" w:leader="none"/>
              </w:tabs>
              <w:spacing w:line="215" w:lineRule="exact"/>
              <w:ind w:left="60"/>
              <w:jc w:val="center"/>
              <w:rPr>
                <w:sz w:val="20"/>
              </w:rPr>
            </w:pPr>
            <w:r>
              <w:rPr>
                <w:spacing w:val="-10"/>
                <w:sz w:val="20"/>
              </w:rPr>
              <w:t>$</w:t>
            </w:r>
            <w:r>
              <w:rPr>
                <w:sz w:val="20"/>
              </w:rPr>
              <w:tab/>
            </w:r>
            <w:r>
              <w:rPr>
                <w:spacing w:val="-2"/>
                <w:sz w:val="20"/>
              </w:rPr>
              <w:t>1,474</w:t>
            </w:r>
          </w:p>
        </w:tc>
        <w:tc>
          <w:tcPr>
            <w:tcW w:w="1200" w:type="dxa"/>
          </w:tcPr>
          <w:p>
            <w:pPr>
              <w:pStyle w:val="TableParagraph"/>
              <w:tabs>
                <w:tab w:pos="543" w:val="left" w:leader="none"/>
              </w:tabs>
              <w:spacing w:line="215" w:lineRule="exact"/>
              <w:ind w:left="1"/>
              <w:jc w:val="center"/>
              <w:rPr>
                <w:sz w:val="20"/>
              </w:rPr>
            </w:pPr>
            <w:r>
              <w:rPr>
                <w:spacing w:val="-10"/>
                <w:sz w:val="20"/>
              </w:rPr>
              <w:t>$</w:t>
            </w:r>
            <w:r>
              <w:rPr>
                <w:sz w:val="20"/>
              </w:rPr>
              <w:tab/>
            </w:r>
            <w:r>
              <w:rPr>
                <w:spacing w:val="-2"/>
                <w:sz w:val="20"/>
              </w:rPr>
              <w:t>5,514</w:t>
            </w:r>
          </w:p>
        </w:tc>
        <w:tc>
          <w:tcPr>
            <w:tcW w:w="1200" w:type="dxa"/>
          </w:tcPr>
          <w:p>
            <w:pPr>
              <w:pStyle w:val="TableParagraph"/>
              <w:tabs>
                <w:tab w:pos="443" w:val="left" w:leader="none"/>
              </w:tabs>
              <w:spacing w:line="215" w:lineRule="exact"/>
              <w:ind w:left="1"/>
              <w:jc w:val="center"/>
              <w:rPr>
                <w:sz w:val="20"/>
              </w:rPr>
            </w:pPr>
            <w:r>
              <w:rPr>
                <w:spacing w:val="-10"/>
                <w:sz w:val="20"/>
              </w:rPr>
              <w:t>$</w:t>
            </w:r>
            <w:r>
              <w:rPr>
                <w:sz w:val="20"/>
              </w:rPr>
              <w:tab/>
            </w:r>
            <w:r>
              <w:rPr>
                <w:spacing w:val="-2"/>
                <w:sz w:val="20"/>
              </w:rPr>
              <w:t>13,932</w:t>
            </w:r>
          </w:p>
        </w:tc>
        <w:tc>
          <w:tcPr>
            <w:tcW w:w="1200" w:type="dxa"/>
          </w:tcPr>
          <w:p>
            <w:pPr>
              <w:pStyle w:val="TableParagraph"/>
              <w:tabs>
                <w:tab w:pos="443" w:val="left" w:leader="none"/>
              </w:tabs>
              <w:spacing w:line="215" w:lineRule="exact"/>
              <w:ind w:left="1"/>
              <w:jc w:val="center"/>
              <w:rPr>
                <w:sz w:val="20"/>
              </w:rPr>
            </w:pPr>
            <w:r>
              <w:rPr>
                <w:spacing w:val="-10"/>
                <w:sz w:val="20"/>
              </w:rPr>
              <w:t>$</w:t>
            </w:r>
            <w:r>
              <w:rPr>
                <w:sz w:val="20"/>
              </w:rPr>
              <w:tab/>
            </w:r>
            <w:r>
              <w:rPr>
                <w:spacing w:val="-2"/>
                <w:sz w:val="20"/>
              </w:rPr>
              <w:t>16,534</w:t>
            </w:r>
          </w:p>
        </w:tc>
        <w:tc>
          <w:tcPr>
            <w:tcW w:w="1240" w:type="dxa"/>
          </w:tcPr>
          <w:p>
            <w:pPr>
              <w:pStyle w:val="TableParagraph"/>
              <w:tabs>
                <w:tab w:pos="583" w:val="left" w:leader="none"/>
              </w:tabs>
              <w:spacing w:line="215" w:lineRule="exact"/>
              <w:ind w:left="1"/>
              <w:jc w:val="center"/>
              <w:rPr>
                <w:sz w:val="20"/>
              </w:rPr>
            </w:pPr>
            <w:r>
              <w:rPr>
                <w:spacing w:val="-10"/>
                <w:sz w:val="20"/>
              </w:rPr>
              <w:t>$</w:t>
            </w:r>
            <w:r>
              <w:rPr>
                <w:sz w:val="20"/>
              </w:rPr>
              <w:tab/>
            </w:r>
            <w:r>
              <w:rPr>
                <w:spacing w:val="-2"/>
                <w:sz w:val="20"/>
              </w:rPr>
              <w:t>4,371</w:t>
            </w:r>
          </w:p>
        </w:tc>
        <w:tc>
          <w:tcPr>
            <w:tcW w:w="1173" w:type="dxa"/>
          </w:tcPr>
          <w:p>
            <w:pPr>
              <w:pStyle w:val="TableParagraph"/>
              <w:tabs>
                <w:tab w:pos="470" w:val="left" w:leader="none"/>
              </w:tabs>
              <w:spacing w:line="215" w:lineRule="exact"/>
              <w:ind w:left="28"/>
              <w:jc w:val="center"/>
              <w:rPr>
                <w:sz w:val="20"/>
              </w:rPr>
            </w:pPr>
            <w:r>
              <w:rPr>
                <w:spacing w:val="-10"/>
                <w:sz w:val="20"/>
              </w:rPr>
              <w:t>$</w:t>
            </w:r>
            <w:r>
              <w:rPr>
                <w:sz w:val="20"/>
              </w:rPr>
              <w:tab/>
            </w:r>
            <w:r>
              <w:rPr>
                <w:spacing w:val="-2"/>
                <w:sz w:val="20"/>
              </w:rPr>
              <w:t>41,825</w:t>
            </w:r>
          </w:p>
        </w:tc>
      </w:tr>
      <w:tr>
        <w:trPr>
          <w:trHeight w:val="280" w:hRule="atLeast"/>
        </w:trPr>
        <w:tc>
          <w:tcPr>
            <w:tcW w:w="2987" w:type="dxa"/>
            <w:shd w:val="clear" w:color="auto" w:fill="CCEDFF"/>
          </w:tcPr>
          <w:p>
            <w:pPr>
              <w:pStyle w:val="TableParagraph"/>
              <w:spacing w:line="215" w:lineRule="exact"/>
              <w:ind w:left="70"/>
              <w:rPr>
                <w:sz w:val="20"/>
              </w:rPr>
            </w:pPr>
            <w:r>
              <w:rPr>
                <w:spacing w:val="-4"/>
                <w:sz w:val="20"/>
              </w:rPr>
              <w:t>2015</w:t>
            </w:r>
          </w:p>
        </w:tc>
        <w:tc>
          <w:tcPr>
            <w:tcW w:w="1259" w:type="dxa"/>
            <w:shd w:val="clear" w:color="auto" w:fill="CCEDFF"/>
          </w:tcPr>
          <w:p>
            <w:pPr>
              <w:pStyle w:val="TableParagraph"/>
              <w:tabs>
                <w:tab w:pos="602" w:val="left" w:leader="none"/>
              </w:tabs>
              <w:spacing w:line="215" w:lineRule="exact"/>
              <w:ind w:left="60"/>
              <w:jc w:val="center"/>
              <w:rPr>
                <w:sz w:val="20"/>
              </w:rPr>
            </w:pPr>
            <w:r>
              <w:rPr>
                <w:spacing w:val="-10"/>
                <w:sz w:val="20"/>
              </w:rPr>
              <w:t>$</w:t>
            </w:r>
            <w:r>
              <w:rPr>
                <w:sz w:val="20"/>
              </w:rPr>
              <w:tab/>
            </w:r>
            <w:r>
              <w:rPr>
                <w:spacing w:val="-2"/>
                <w:sz w:val="20"/>
              </w:rPr>
              <w:t>1,449</w:t>
            </w:r>
          </w:p>
        </w:tc>
        <w:tc>
          <w:tcPr>
            <w:tcW w:w="1200" w:type="dxa"/>
            <w:shd w:val="clear" w:color="auto" w:fill="CCEDFF"/>
          </w:tcPr>
          <w:p>
            <w:pPr>
              <w:pStyle w:val="TableParagraph"/>
              <w:tabs>
                <w:tab w:pos="543" w:val="left" w:leader="none"/>
              </w:tabs>
              <w:spacing w:line="215" w:lineRule="exact"/>
              <w:ind w:left="1"/>
              <w:jc w:val="center"/>
              <w:rPr>
                <w:sz w:val="20"/>
              </w:rPr>
            </w:pPr>
            <w:r>
              <w:rPr>
                <w:spacing w:val="-10"/>
                <w:sz w:val="20"/>
              </w:rPr>
              <w:t>$</w:t>
            </w:r>
            <w:r>
              <w:rPr>
                <w:sz w:val="20"/>
              </w:rPr>
              <w:tab/>
            </w:r>
            <w:r>
              <w:rPr>
                <w:spacing w:val="-2"/>
                <w:sz w:val="20"/>
              </w:rPr>
              <w:t>5,185</w:t>
            </w:r>
          </w:p>
        </w:tc>
        <w:tc>
          <w:tcPr>
            <w:tcW w:w="1200" w:type="dxa"/>
            <w:shd w:val="clear" w:color="auto" w:fill="CCEDFF"/>
          </w:tcPr>
          <w:p>
            <w:pPr>
              <w:pStyle w:val="TableParagraph"/>
              <w:tabs>
                <w:tab w:pos="443" w:val="left" w:leader="none"/>
              </w:tabs>
              <w:spacing w:line="215" w:lineRule="exact"/>
              <w:ind w:left="1"/>
              <w:jc w:val="center"/>
              <w:rPr>
                <w:sz w:val="20"/>
              </w:rPr>
            </w:pPr>
            <w:r>
              <w:rPr>
                <w:spacing w:val="-10"/>
                <w:sz w:val="20"/>
              </w:rPr>
              <w:t>$</w:t>
            </w:r>
            <w:r>
              <w:rPr>
                <w:sz w:val="20"/>
              </w:rPr>
              <w:tab/>
            </w:r>
            <w:r>
              <w:rPr>
                <w:spacing w:val="-2"/>
                <w:sz w:val="20"/>
              </w:rPr>
              <w:t>14,082</w:t>
            </w:r>
          </w:p>
        </w:tc>
        <w:tc>
          <w:tcPr>
            <w:tcW w:w="1200" w:type="dxa"/>
            <w:shd w:val="clear" w:color="auto" w:fill="CCEDFF"/>
          </w:tcPr>
          <w:p>
            <w:pPr>
              <w:pStyle w:val="TableParagraph"/>
              <w:tabs>
                <w:tab w:pos="443" w:val="left" w:leader="none"/>
              </w:tabs>
              <w:spacing w:line="215" w:lineRule="exact"/>
              <w:ind w:left="1"/>
              <w:jc w:val="center"/>
              <w:rPr>
                <w:sz w:val="20"/>
              </w:rPr>
            </w:pPr>
            <w:r>
              <w:rPr>
                <w:spacing w:val="-10"/>
                <w:sz w:val="20"/>
              </w:rPr>
              <w:t>$</w:t>
            </w:r>
            <w:r>
              <w:rPr>
                <w:sz w:val="20"/>
              </w:rPr>
              <w:tab/>
            </w:r>
            <w:r>
              <w:rPr>
                <w:spacing w:val="-2"/>
                <w:sz w:val="20"/>
              </w:rPr>
              <w:t>18,360</w:t>
            </w:r>
          </w:p>
        </w:tc>
        <w:tc>
          <w:tcPr>
            <w:tcW w:w="1240" w:type="dxa"/>
            <w:shd w:val="clear" w:color="auto" w:fill="CCEDFF"/>
          </w:tcPr>
          <w:p>
            <w:pPr>
              <w:pStyle w:val="TableParagraph"/>
              <w:tabs>
                <w:tab w:pos="583" w:val="left" w:leader="none"/>
              </w:tabs>
              <w:spacing w:line="215" w:lineRule="exact"/>
              <w:ind w:left="1"/>
              <w:jc w:val="center"/>
              <w:rPr>
                <w:sz w:val="20"/>
              </w:rPr>
            </w:pPr>
            <w:r>
              <w:rPr>
                <w:spacing w:val="-10"/>
                <w:sz w:val="20"/>
              </w:rPr>
              <w:t>$</w:t>
            </w:r>
            <w:r>
              <w:rPr>
                <w:sz w:val="20"/>
              </w:rPr>
              <w:tab/>
            </w:r>
            <w:r>
              <w:rPr>
                <w:spacing w:val="-2"/>
                <w:sz w:val="20"/>
              </w:rPr>
              <w:t>4,790</w:t>
            </w:r>
          </w:p>
        </w:tc>
        <w:tc>
          <w:tcPr>
            <w:tcW w:w="1173" w:type="dxa"/>
            <w:shd w:val="clear" w:color="auto" w:fill="CCEDFF"/>
          </w:tcPr>
          <w:p>
            <w:pPr>
              <w:pStyle w:val="TableParagraph"/>
              <w:tabs>
                <w:tab w:pos="470" w:val="left" w:leader="none"/>
              </w:tabs>
              <w:spacing w:line="215" w:lineRule="exact"/>
              <w:ind w:left="28"/>
              <w:jc w:val="center"/>
              <w:rPr>
                <w:sz w:val="20"/>
              </w:rPr>
            </w:pPr>
            <w:r>
              <w:rPr>
                <w:spacing w:val="-10"/>
                <w:sz w:val="20"/>
              </w:rPr>
              <w:t>$</w:t>
            </w:r>
            <w:r>
              <w:rPr>
                <w:sz w:val="20"/>
              </w:rPr>
              <w:tab/>
            </w:r>
            <w:r>
              <w:rPr>
                <w:spacing w:val="-2"/>
                <w:sz w:val="20"/>
              </w:rPr>
              <w:t>43,866</w:t>
            </w:r>
          </w:p>
        </w:tc>
      </w:tr>
      <w:tr>
        <w:trPr>
          <w:trHeight w:val="400" w:hRule="atLeast"/>
        </w:trPr>
        <w:tc>
          <w:tcPr>
            <w:tcW w:w="2987" w:type="dxa"/>
          </w:tcPr>
          <w:p>
            <w:pPr>
              <w:pStyle w:val="TableParagraph"/>
              <w:spacing w:line="208" w:lineRule="auto" w:before="11"/>
              <w:ind w:left="250" w:hanging="180"/>
              <w:rPr>
                <w:b/>
                <w:sz w:val="16"/>
              </w:rPr>
            </w:pPr>
            <w:r>
              <w:rPr>
                <w:b/>
                <w:sz w:val="16"/>
              </w:rPr>
              <w:t>Restricted</w:t>
            </w:r>
            <w:r>
              <w:rPr>
                <w:b/>
                <w:spacing w:val="-10"/>
                <w:sz w:val="16"/>
              </w:rPr>
              <w:t> </w:t>
            </w:r>
            <w:r>
              <w:rPr>
                <w:b/>
                <w:sz w:val="16"/>
              </w:rPr>
              <w:t>Stock</w:t>
            </w:r>
            <w:r>
              <w:rPr>
                <w:b/>
                <w:spacing w:val="-10"/>
                <w:sz w:val="16"/>
              </w:rPr>
              <w:t> </w:t>
            </w:r>
            <w:r>
              <w:rPr>
                <w:b/>
                <w:sz w:val="16"/>
              </w:rPr>
              <w:t>Units</w:t>
            </w:r>
            <w:r>
              <w:rPr>
                <w:b/>
                <w:spacing w:val="-10"/>
                <w:sz w:val="16"/>
              </w:rPr>
              <w:t> </w:t>
            </w:r>
            <w:r>
              <w:rPr>
                <w:b/>
                <w:sz w:val="16"/>
              </w:rPr>
              <w:t>and</w:t>
            </w:r>
            <w:r>
              <w:rPr>
                <w:b/>
                <w:spacing w:val="-10"/>
                <w:sz w:val="16"/>
              </w:rPr>
              <w:t> </w:t>
            </w:r>
            <w:r>
              <w:rPr>
                <w:b/>
                <w:sz w:val="16"/>
              </w:rPr>
              <w:t>Performance</w:t>
            </w:r>
            <w:r>
              <w:rPr>
                <w:b/>
                <w:spacing w:val="40"/>
                <w:sz w:val="16"/>
              </w:rPr>
              <w:t> </w:t>
            </w:r>
            <w:r>
              <w:rPr>
                <w:b/>
                <w:sz w:val="16"/>
              </w:rPr>
              <w:t>Share</w:t>
            </w:r>
            <w:r>
              <w:rPr>
                <w:b/>
                <w:spacing w:val="-10"/>
                <w:sz w:val="16"/>
              </w:rPr>
              <w:t> </w:t>
            </w:r>
            <w:r>
              <w:rPr>
                <w:b/>
                <w:sz w:val="16"/>
              </w:rPr>
              <w:t>Awards</w:t>
            </w:r>
          </w:p>
        </w:tc>
        <w:tc>
          <w:tcPr>
            <w:tcW w:w="1259"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40" w:type="dxa"/>
          </w:tcPr>
          <w:p>
            <w:pPr>
              <w:pStyle w:val="TableParagraph"/>
              <w:rPr>
                <w:sz w:val="18"/>
              </w:rPr>
            </w:pPr>
          </w:p>
        </w:tc>
        <w:tc>
          <w:tcPr>
            <w:tcW w:w="1173" w:type="dxa"/>
          </w:tcPr>
          <w:p>
            <w:pPr>
              <w:pStyle w:val="TableParagraph"/>
              <w:rPr>
                <w:sz w:val="18"/>
              </w:rPr>
            </w:pPr>
          </w:p>
        </w:tc>
      </w:tr>
      <w:tr>
        <w:trPr>
          <w:trHeight w:val="280" w:hRule="atLeast"/>
        </w:trPr>
        <w:tc>
          <w:tcPr>
            <w:tcW w:w="2987" w:type="dxa"/>
            <w:shd w:val="clear" w:color="auto" w:fill="CCEDFF"/>
          </w:tcPr>
          <w:p>
            <w:pPr>
              <w:pStyle w:val="TableParagraph"/>
              <w:spacing w:line="215" w:lineRule="exact"/>
              <w:ind w:left="70"/>
              <w:rPr>
                <w:sz w:val="20"/>
              </w:rPr>
            </w:pPr>
            <w:r>
              <w:rPr>
                <w:spacing w:val="-4"/>
                <w:sz w:val="20"/>
              </w:rPr>
              <w:t>2017</w:t>
            </w:r>
          </w:p>
        </w:tc>
        <w:tc>
          <w:tcPr>
            <w:tcW w:w="1259" w:type="dxa"/>
            <w:shd w:val="clear" w:color="auto" w:fill="CCEDFF"/>
          </w:tcPr>
          <w:p>
            <w:pPr>
              <w:pStyle w:val="TableParagraph"/>
              <w:tabs>
                <w:tab w:pos="502" w:val="left" w:leader="none"/>
              </w:tabs>
              <w:spacing w:line="215" w:lineRule="exact"/>
              <w:ind w:left="60"/>
              <w:jc w:val="center"/>
              <w:rPr>
                <w:sz w:val="20"/>
              </w:rPr>
            </w:pPr>
            <w:r>
              <w:rPr>
                <w:spacing w:val="-10"/>
                <w:sz w:val="20"/>
              </w:rPr>
              <w:t>$</w:t>
            </w:r>
            <w:r>
              <w:rPr>
                <w:sz w:val="20"/>
              </w:rPr>
              <w:tab/>
            </w:r>
            <w:r>
              <w:rPr>
                <w:spacing w:val="-2"/>
                <w:sz w:val="20"/>
              </w:rPr>
              <w:t>16,792</w:t>
            </w:r>
          </w:p>
        </w:tc>
        <w:tc>
          <w:tcPr>
            <w:tcW w:w="1200" w:type="dxa"/>
            <w:shd w:val="clear" w:color="auto" w:fill="CCEDFF"/>
          </w:tcPr>
          <w:p>
            <w:pPr>
              <w:pStyle w:val="TableParagraph"/>
              <w:tabs>
                <w:tab w:pos="543" w:val="left" w:leader="none"/>
              </w:tabs>
              <w:spacing w:line="215" w:lineRule="exact"/>
              <w:ind w:left="1"/>
              <w:jc w:val="center"/>
              <w:rPr>
                <w:sz w:val="20"/>
              </w:rPr>
            </w:pPr>
            <w:r>
              <w:rPr>
                <w:spacing w:val="-10"/>
                <w:sz w:val="20"/>
              </w:rPr>
              <w:t>$</w:t>
            </w:r>
            <w:r>
              <w:rPr>
                <w:sz w:val="20"/>
              </w:rPr>
              <w:tab/>
            </w:r>
            <w:r>
              <w:rPr>
                <w:spacing w:val="-2"/>
                <w:sz w:val="20"/>
              </w:rPr>
              <w:t>9,602</w:t>
            </w:r>
          </w:p>
        </w:tc>
        <w:tc>
          <w:tcPr>
            <w:tcW w:w="1200" w:type="dxa"/>
            <w:shd w:val="clear" w:color="auto" w:fill="CCEDFF"/>
          </w:tcPr>
          <w:p>
            <w:pPr>
              <w:pStyle w:val="TableParagraph"/>
              <w:tabs>
                <w:tab w:pos="343" w:val="left" w:leader="none"/>
              </w:tabs>
              <w:spacing w:line="215" w:lineRule="exact"/>
              <w:ind w:left="1"/>
              <w:jc w:val="center"/>
              <w:rPr>
                <w:sz w:val="20"/>
              </w:rPr>
            </w:pPr>
            <w:r>
              <w:rPr>
                <w:spacing w:val="-10"/>
                <w:sz w:val="20"/>
              </w:rPr>
              <w:t>$</w:t>
            </w:r>
            <w:r>
              <w:rPr>
                <w:sz w:val="20"/>
              </w:rPr>
              <w:tab/>
            </w:r>
            <w:r>
              <w:rPr>
                <w:spacing w:val="-2"/>
                <w:sz w:val="20"/>
              </w:rPr>
              <w:t>161,366</w:t>
            </w:r>
          </w:p>
        </w:tc>
        <w:tc>
          <w:tcPr>
            <w:tcW w:w="1200" w:type="dxa"/>
            <w:shd w:val="clear" w:color="auto" w:fill="CCEDFF"/>
          </w:tcPr>
          <w:p>
            <w:pPr>
              <w:pStyle w:val="TableParagraph"/>
              <w:tabs>
                <w:tab w:pos="343" w:val="left" w:leader="none"/>
              </w:tabs>
              <w:spacing w:line="215" w:lineRule="exact"/>
              <w:ind w:left="1"/>
              <w:jc w:val="center"/>
              <w:rPr>
                <w:sz w:val="20"/>
              </w:rPr>
            </w:pPr>
            <w:r>
              <w:rPr>
                <w:spacing w:val="-10"/>
                <w:sz w:val="20"/>
              </w:rPr>
              <w:t>$</w:t>
            </w:r>
            <w:r>
              <w:rPr>
                <w:sz w:val="20"/>
              </w:rPr>
              <w:tab/>
            </w:r>
            <w:r>
              <w:rPr>
                <w:spacing w:val="-2"/>
                <w:sz w:val="20"/>
              </w:rPr>
              <w:t>139,047</w:t>
            </w:r>
          </w:p>
        </w:tc>
        <w:tc>
          <w:tcPr>
            <w:tcW w:w="1240" w:type="dxa"/>
            <w:shd w:val="clear" w:color="auto" w:fill="CCEDFF"/>
          </w:tcPr>
          <w:p>
            <w:pPr>
              <w:pStyle w:val="TableParagraph"/>
              <w:tabs>
                <w:tab w:pos="483" w:val="left" w:leader="none"/>
              </w:tabs>
              <w:spacing w:line="215" w:lineRule="exact"/>
              <w:ind w:left="1"/>
              <w:jc w:val="center"/>
              <w:rPr>
                <w:sz w:val="20"/>
              </w:rPr>
            </w:pPr>
            <w:r>
              <w:rPr>
                <w:spacing w:val="-10"/>
                <w:sz w:val="20"/>
              </w:rPr>
              <w:t>$</w:t>
            </w:r>
            <w:r>
              <w:rPr>
                <w:sz w:val="20"/>
              </w:rPr>
              <w:tab/>
            </w:r>
            <w:r>
              <w:rPr>
                <w:spacing w:val="-2"/>
                <w:sz w:val="20"/>
              </w:rPr>
              <w:t>77,133</w:t>
            </w:r>
          </w:p>
        </w:tc>
        <w:tc>
          <w:tcPr>
            <w:tcW w:w="1173" w:type="dxa"/>
            <w:shd w:val="clear" w:color="auto" w:fill="CCEDFF"/>
          </w:tcPr>
          <w:p>
            <w:pPr>
              <w:pStyle w:val="TableParagraph"/>
              <w:tabs>
                <w:tab w:pos="370" w:val="left" w:leader="none"/>
              </w:tabs>
              <w:spacing w:line="215" w:lineRule="exact"/>
              <w:ind w:left="28"/>
              <w:jc w:val="center"/>
              <w:rPr>
                <w:sz w:val="20"/>
              </w:rPr>
            </w:pPr>
            <w:r>
              <w:rPr>
                <w:spacing w:val="-10"/>
                <w:sz w:val="20"/>
              </w:rPr>
              <w:t>$</w:t>
            </w:r>
            <w:r>
              <w:rPr>
                <w:sz w:val="20"/>
              </w:rPr>
              <w:tab/>
            </w:r>
            <w:r>
              <w:rPr>
                <w:spacing w:val="-2"/>
                <w:sz w:val="20"/>
              </w:rPr>
              <w:t>403,940</w:t>
            </w:r>
          </w:p>
        </w:tc>
      </w:tr>
      <w:tr>
        <w:trPr>
          <w:trHeight w:val="280" w:hRule="atLeast"/>
        </w:trPr>
        <w:tc>
          <w:tcPr>
            <w:tcW w:w="2987" w:type="dxa"/>
          </w:tcPr>
          <w:p>
            <w:pPr>
              <w:pStyle w:val="TableParagraph"/>
              <w:spacing w:line="215" w:lineRule="exact"/>
              <w:ind w:left="70"/>
              <w:rPr>
                <w:sz w:val="20"/>
              </w:rPr>
            </w:pPr>
            <w:r>
              <w:rPr>
                <w:spacing w:val="-4"/>
                <w:sz w:val="20"/>
              </w:rPr>
              <w:t>2016</w:t>
            </w:r>
          </w:p>
        </w:tc>
        <w:tc>
          <w:tcPr>
            <w:tcW w:w="1259" w:type="dxa"/>
          </w:tcPr>
          <w:p>
            <w:pPr>
              <w:pStyle w:val="TableParagraph"/>
              <w:tabs>
                <w:tab w:pos="602" w:val="left" w:leader="none"/>
              </w:tabs>
              <w:spacing w:line="215" w:lineRule="exact"/>
              <w:ind w:left="60"/>
              <w:jc w:val="center"/>
              <w:rPr>
                <w:sz w:val="20"/>
              </w:rPr>
            </w:pPr>
            <w:r>
              <w:rPr>
                <w:spacing w:val="-10"/>
                <w:sz w:val="20"/>
              </w:rPr>
              <w:t>$</w:t>
            </w:r>
            <w:r>
              <w:rPr>
                <w:sz w:val="20"/>
              </w:rPr>
              <w:tab/>
            </w:r>
            <w:r>
              <w:rPr>
                <w:spacing w:val="-2"/>
                <w:sz w:val="20"/>
              </w:rPr>
              <w:t>6,632</w:t>
            </w:r>
          </w:p>
        </w:tc>
        <w:tc>
          <w:tcPr>
            <w:tcW w:w="1200" w:type="dxa"/>
          </w:tcPr>
          <w:p>
            <w:pPr>
              <w:pStyle w:val="TableParagraph"/>
              <w:tabs>
                <w:tab w:pos="543" w:val="left" w:leader="none"/>
              </w:tabs>
              <w:spacing w:line="215" w:lineRule="exact"/>
              <w:ind w:left="1"/>
              <w:jc w:val="center"/>
              <w:rPr>
                <w:sz w:val="20"/>
              </w:rPr>
            </w:pPr>
            <w:r>
              <w:rPr>
                <w:spacing w:val="-10"/>
                <w:sz w:val="20"/>
              </w:rPr>
              <w:t>$</w:t>
            </w:r>
            <w:r>
              <w:rPr>
                <w:sz w:val="20"/>
              </w:rPr>
              <w:tab/>
            </w:r>
            <w:r>
              <w:rPr>
                <w:spacing w:val="-2"/>
                <w:sz w:val="20"/>
              </w:rPr>
              <w:t>7,522</w:t>
            </w:r>
          </w:p>
        </w:tc>
        <w:tc>
          <w:tcPr>
            <w:tcW w:w="1200" w:type="dxa"/>
          </w:tcPr>
          <w:p>
            <w:pPr>
              <w:pStyle w:val="TableParagraph"/>
              <w:tabs>
                <w:tab w:pos="343" w:val="left" w:leader="none"/>
              </w:tabs>
              <w:spacing w:line="215" w:lineRule="exact"/>
              <w:ind w:left="1"/>
              <w:jc w:val="center"/>
              <w:rPr>
                <w:sz w:val="20"/>
              </w:rPr>
            </w:pPr>
            <w:r>
              <w:rPr>
                <w:spacing w:val="-10"/>
                <w:sz w:val="20"/>
              </w:rPr>
              <w:t>$</w:t>
            </w:r>
            <w:r>
              <w:rPr>
                <w:sz w:val="20"/>
              </w:rPr>
              <w:tab/>
            </w:r>
            <w:r>
              <w:rPr>
                <w:spacing w:val="-2"/>
                <w:sz w:val="20"/>
              </w:rPr>
              <w:t>109,249</w:t>
            </w:r>
          </w:p>
        </w:tc>
        <w:tc>
          <w:tcPr>
            <w:tcW w:w="1200" w:type="dxa"/>
          </w:tcPr>
          <w:p>
            <w:pPr>
              <w:pStyle w:val="TableParagraph"/>
              <w:tabs>
                <w:tab w:pos="343" w:val="left" w:leader="none"/>
              </w:tabs>
              <w:spacing w:line="215" w:lineRule="exact"/>
              <w:ind w:left="1"/>
              <w:jc w:val="center"/>
              <w:rPr>
                <w:sz w:val="20"/>
              </w:rPr>
            </w:pPr>
            <w:r>
              <w:rPr>
                <w:spacing w:val="-10"/>
                <w:sz w:val="20"/>
              </w:rPr>
              <w:t>$</w:t>
            </w:r>
            <w:r>
              <w:rPr>
                <w:sz w:val="20"/>
              </w:rPr>
              <w:tab/>
            </w:r>
            <w:r>
              <w:rPr>
                <w:spacing w:val="-2"/>
                <w:sz w:val="20"/>
              </w:rPr>
              <w:t>113,757</w:t>
            </w:r>
          </w:p>
        </w:tc>
        <w:tc>
          <w:tcPr>
            <w:tcW w:w="1240" w:type="dxa"/>
          </w:tcPr>
          <w:p>
            <w:pPr>
              <w:pStyle w:val="TableParagraph"/>
              <w:tabs>
                <w:tab w:pos="483" w:val="left" w:leader="none"/>
              </w:tabs>
              <w:spacing w:line="215" w:lineRule="exact"/>
              <w:ind w:left="1"/>
              <w:jc w:val="center"/>
              <w:rPr>
                <w:sz w:val="20"/>
              </w:rPr>
            </w:pPr>
            <w:r>
              <w:rPr>
                <w:spacing w:val="-10"/>
                <w:sz w:val="20"/>
              </w:rPr>
              <w:t>$</w:t>
            </w:r>
            <w:r>
              <w:rPr>
                <w:sz w:val="20"/>
              </w:rPr>
              <w:tab/>
            </w:r>
            <w:r>
              <w:rPr>
                <w:spacing w:val="-2"/>
                <w:sz w:val="20"/>
              </w:rPr>
              <w:t>70,312</w:t>
            </w:r>
          </w:p>
        </w:tc>
        <w:tc>
          <w:tcPr>
            <w:tcW w:w="1173" w:type="dxa"/>
          </w:tcPr>
          <w:p>
            <w:pPr>
              <w:pStyle w:val="TableParagraph"/>
              <w:tabs>
                <w:tab w:pos="370" w:val="left" w:leader="none"/>
              </w:tabs>
              <w:spacing w:line="215" w:lineRule="exact"/>
              <w:ind w:left="28"/>
              <w:jc w:val="center"/>
              <w:rPr>
                <w:sz w:val="20"/>
              </w:rPr>
            </w:pPr>
            <w:r>
              <w:rPr>
                <w:spacing w:val="-10"/>
                <w:sz w:val="20"/>
              </w:rPr>
              <w:t>$</w:t>
            </w:r>
            <w:r>
              <w:rPr>
                <w:sz w:val="20"/>
              </w:rPr>
              <w:tab/>
            </w:r>
            <w:r>
              <w:rPr>
                <w:spacing w:val="-2"/>
                <w:sz w:val="20"/>
              </w:rPr>
              <w:t>307,472</w:t>
            </w:r>
          </w:p>
        </w:tc>
      </w:tr>
      <w:tr>
        <w:trPr>
          <w:trHeight w:val="280" w:hRule="atLeast"/>
        </w:trPr>
        <w:tc>
          <w:tcPr>
            <w:tcW w:w="2987" w:type="dxa"/>
            <w:shd w:val="clear" w:color="auto" w:fill="CCEDFF"/>
          </w:tcPr>
          <w:p>
            <w:pPr>
              <w:pStyle w:val="TableParagraph"/>
              <w:spacing w:line="215" w:lineRule="exact"/>
              <w:ind w:left="70"/>
              <w:rPr>
                <w:sz w:val="20"/>
              </w:rPr>
            </w:pPr>
            <w:r>
              <w:rPr>
                <w:spacing w:val="-4"/>
                <w:sz w:val="20"/>
              </w:rPr>
              <w:t>2015</w:t>
            </w:r>
          </w:p>
        </w:tc>
        <w:tc>
          <w:tcPr>
            <w:tcW w:w="1259" w:type="dxa"/>
            <w:shd w:val="clear" w:color="auto" w:fill="CCEDFF"/>
          </w:tcPr>
          <w:p>
            <w:pPr>
              <w:pStyle w:val="TableParagraph"/>
              <w:tabs>
                <w:tab w:pos="602" w:val="left" w:leader="none"/>
              </w:tabs>
              <w:spacing w:line="215" w:lineRule="exact"/>
              <w:ind w:left="60"/>
              <w:jc w:val="center"/>
              <w:rPr>
                <w:sz w:val="20"/>
              </w:rPr>
            </w:pPr>
            <w:r>
              <w:rPr>
                <w:spacing w:val="-10"/>
                <w:sz w:val="20"/>
              </w:rPr>
              <w:t>$</w:t>
            </w:r>
            <w:r>
              <w:rPr>
                <w:sz w:val="20"/>
              </w:rPr>
              <w:tab/>
            </w:r>
            <w:r>
              <w:rPr>
                <w:spacing w:val="-2"/>
                <w:sz w:val="20"/>
              </w:rPr>
              <w:t>6,481</w:t>
            </w:r>
          </w:p>
        </w:tc>
        <w:tc>
          <w:tcPr>
            <w:tcW w:w="1200" w:type="dxa"/>
            <w:shd w:val="clear" w:color="auto" w:fill="CCEDFF"/>
          </w:tcPr>
          <w:p>
            <w:pPr>
              <w:pStyle w:val="TableParagraph"/>
              <w:tabs>
                <w:tab w:pos="543" w:val="left" w:leader="none"/>
              </w:tabs>
              <w:spacing w:line="215" w:lineRule="exact"/>
              <w:ind w:left="1"/>
              <w:jc w:val="center"/>
              <w:rPr>
                <w:sz w:val="20"/>
              </w:rPr>
            </w:pPr>
            <w:r>
              <w:rPr>
                <w:spacing w:val="-10"/>
                <w:sz w:val="20"/>
              </w:rPr>
              <w:t>$</w:t>
            </w:r>
            <w:r>
              <w:rPr>
                <w:sz w:val="20"/>
              </w:rPr>
              <w:tab/>
            </w:r>
            <w:r>
              <w:rPr>
                <w:spacing w:val="-2"/>
                <w:sz w:val="20"/>
              </w:rPr>
              <w:t>6,446</w:t>
            </w:r>
          </w:p>
        </w:tc>
        <w:tc>
          <w:tcPr>
            <w:tcW w:w="1200" w:type="dxa"/>
            <w:shd w:val="clear" w:color="auto" w:fill="CCEDFF"/>
          </w:tcPr>
          <w:p>
            <w:pPr>
              <w:pStyle w:val="TableParagraph"/>
              <w:tabs>
                <w:tab w:pos="343" w:val="left" w:leader="none"/>
              </w:tabs>
              <w:spacing w:line="215" w:lineRule="exact"/>
              <w:ind w:left="1"/>
              <w:jc w:val="center"/>
              <w:rPr>
                <w:sz w:val="20"/>
              </w:rPr>
            </w:pPr>
            <w:r>
              <w:rPr>
                <w:spacing w:val="-10"/>
                <w:sz w:val="20"/>
              </w:rPr>
              <w:t>$</w:t>
            </w:r>
            <w:r>
              <w:rPr>
                <w:sz w:val="20"/>
              </w:rPr>
              <w:tab/>
            </w:r>
            <w:r>
              <w:rPr>
                <w:spacing w:val="-2"/>
                <w:sz w:val="20"/>
              </w:rPr>
              <w:t>104,624</w:t>
            </w:r>
          </w:p>
        </w:tc>
        <w:tc>
          <w:tcPr>
            <w:tcW w:w="1200" w:type="dxa"/>
            <w:shd w:val="clear" w:color="auto" w:fill="CCEDFF"/>
          </w:tcPr>
          <w:p>
            <w:pPr>
              <w:pStyle w:val="TableParagraph"/>
              <w:tabs>
                <w:tab w:pos="343" w:val="left" w:leader="none"/>
              </w:tabs>
              <w:spacing w:line="215" w:lineRule="exact"/>
              <w:ind w:left="1"/>
              <w:jc w:val="center"/>
              <w:rPr>
                <w:sz w:val="20"/>
              </w:rPr>
            </w:pPr>
            <w:r>
              <w:rPr>
                <w:spacing w:val="-10"/>
                <w:sz w:val="20"/>
              </w:rPr>
              <w:t>$</w:t>
            </w:r>
            <w:r>
              <w:rPr>
                <w:sz w:val="20"/>
              </w:rPr>
              <w:tab/>
            </w:r>
            <w:r>
              <w:rPr>
                <w:spacing w:val="-2"/>
                <w:sz w:val="20"/>
              </w:rPr>
              <w:t>109,908</w:t>
            </w:r>
          </w:p>
        </w:tc>
        <w:tc>
          <w:tcPr>
            <w:tcW w:w="1240" w:type="dxa"/>
            <w:shd w:val="clear" w:color="auto" w:fill="CCEDFF"/>
          </w:tcPr>
          <w:p>
            <w:pPr>
              <w:pStyle w:val="TableParagraph"/>
              <w:tabs>
                <w:tab w:pos="483" w:val="left" w:leader="none"/>
              </w:tabs>
              <w:spacing w:line="215" w:lineRule="exact"/>
              <w:ind w:left="1"/>
              <w:jc w:val="center"/>
              <w:rPr>
                <w:sz w:val="20"/>
              </w:rPr>
            </w:pPr>
            <w:r>
              <w:rPr>
                <w:spacing w:val="-10"/>
                <w:sz w:val="20"/>
              </w:rPr>
              <w:t>$</w:t>
            </w:r>
            <w:r>
              <w:rPr>
                <w:sz w:val="20"/>
              </w:rPr>
              <w:tab/>
            </w:r>
            <w:r>
              <w:rPr>
                <w:spacing w:val="-2"/>
                <w:sz w:val="20"/>
              </w:rPr>
              <w:t>66,709</w:t>
            </w:r>
          </w:p>
        </w:tc>
        <w:tc>
          <w:tcPr>
            <w:tcW w:w="1173" w:type="dxa"/>
            <w:shd w:val="clear" w:color="auto" w:fill="CCEDFF"/>
          </w:tcPr>
          <w:p>
            <w:pPr>
              <w:pStyle w:val="TableParagraph"/>
              <w:tabs>
                <w:tab w:pos="370" w:val="left" w:leader="none"/>
              </w:tabs>
              <w:spacing w:line="215" w:lineRule="exact"/>
              <w:ind w:left="28"/>
              <w:jc w:val="center"/>
              <w:rPr>
                <w:sz w:val="20"/>
              </w:rPr>
            </w:pPr>
            <w:r>
              <w:rPr>
                <w:spacing w:val="-10"/>
                <w:sz w:val="20"/>
              </w:rPr>
              <w:t>$</w:t>
            </w:r>
            <w:r>
              <w:rPr>
                <w:sz w:val="20"/>
              </w:rPr>
              <w:tab/>
            </w:r>
            <w:r>
              <w:rPr>
                <w:spacing w:val="-2"/>
                <w:sz w:val="20"/>
              </w:rPr>
              <w:t>294,168</w:t>
            </w:r>
          </w:p>
        </w:tc>
      </w:tr>
    </w:tbl>
    <w:p>
      <w:pPr>
        <w:pStyle w:val="BodyText"/>
        <w:spacing w:before="9"/>
        <w:rPr>
          <w:b/>
          <w:sz w:val="10"/>
        </w:rPr>
      </w:pPr>
      <w:r>
        <w:rPr/>
        <mc:AlternateContent>
          <mc:Choice Requires="wps">
            <w:drawing>
              <wp:anchor distT="0" distB="0" distL="0" distR="0" allowOverlap="1" layoutInCell="1" locked="0" behindDoc="1" simplePos="0" relativeHeight="487689216">
                <wp:simplePos x="0" y="0"/>
                <wp:positionH relativeFrom="page">
                  <wp:posOffset>635000</wp:posOffset>
                </wp:positionH>
                <wp:positionV relativeFrom="paragraph">
                  <wp:posOffset>94149</wp:posOffset>
                </wp:positionV>
                <wp:extent cx="1692275" cy="1270"/>
                <wp:effectExtent l="0" t="0" r="0" b="0"/>
                <wp:wrapTopAndBottom/>
                <wp:docPr id="539" name="Graphic 539"/>
                <wp:cNvGraphicFramePr>
                  <a:graphicFrameLocks/>
                </wp:cNvGraphicFramePr>
                <a:graphic>
                  <a:graphicData uri="http://schemas.microsoft.com/office/word/2010/wordprocessingShape">
                    <wps:wsp>
                      <wps:cNvPr id="539" name="Graphic 539"/>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7.413331pt;width:133.25pt;height:.1pt;mso-position-horizontal-relative:page;mso-position-vertical-relative:paragraph;z-index:-15627264;mso-wrap-distance-left:0;mso-wrap-distance-right:0" id="docshape423" coordorigin="1000,148" coordsize="2665,0" path="m1000,148l3665,148e" filled="false" stroked="true" strokeweight=".26pt" strokecolor="#000000">
                <v:path arrowok="t"/>
                <v:stroke dashstyle="solid"/>
                <w10:wrap type="topAndBottom"/>
              </v:shape>
            </w:pict>
          </mc:Fallback>
        </mc:AlternateContent>
      </w:r>
    </w:p>
    <w:p>
      <w:pPr>
        <w:pStyle w:val="BodyText"/>
        <w:tabs>
          <w:tab w:pos="579" w:val="left" w:leader="none"/>
        </w:tabs>
        <w:spacing w:before="116"/>
        <w:ind w:left="220"/>
      </w:pPr>
      <w:r>
        <w:rPr>
          <w:spacing w:val="-5"/>
          <w:vertAlign w:val="superscript"/>
        </w:rPr>
        <w:t>(1)</w:t>
      </w:r>
      <w:r>
        <w:rPr>
          <w:vertAlign w:val="baseline"/>
        </w:rPr>
        <w:tab/>
        <w:t>During</w:t>
      </w:r>
      <w:r>
        <w:rPr>
          <w:spacing w:val="-10"/>
          <w:vertAlign w:val="baseline"/>
        </w:rPr>
        <w:t> </w:t>
      </w:r>
      <w:r>
        <w:rPr>
          <w:vertAlign w:val="baseline"/>
        </w:rPr>
        <w:t>fiscal</w:t>
      </w:r>
      <w:r>
        <w:rPr>
          <w:spacing w:val="-10"/>
          <w:vertAlign w:val="baseline"/>
        </w:rPr>
        <w:t> </w:t>
      </w:r>
      <w:r>
        <w:rPr>
          <w:vertAlign w:val="baseline"/>
        </w:rPr>
        <w:t>2017,</w:t>
      </w:r>
      <w:r>
        <w:rPr>
          <w:spacing w:val="-10"/>
          <w:vertAlign w:val="baseline"/>
        </w:rPr>
        <w:t> </w:t>
      </w:r>
      <w:r>
        <w:rPr>
          <w:vertAlign w:val="baseline"/>
        </w:rPr>
        <w:t>2016</w:t>
      </w:r>
      <w:r>
        <w:rPr>
          <w:spacing w:val="-9"/>
          <w:vertAlign w:val="baseline"/>
        </w:rPr>
        <w:t> </w:t>
      </w:r>
      <w:r>
        <w:rPr>
          <w:vertAlign w:val="baseline"/>
        </w:rPr>
        <w:t>and</w:t>
      </w:r>
      <w:r>
        <w:rPr>
          <w:spacing w:val="-10"/>
          <w:vertAlign w:val="baseline"/>
        </w:rPr>
        <w:t> </w:t>
      </w:r>
      <w:r>
        <w:rPr>
          <w:vertAlign w:val="baseline"/>
        </w:rPr>
        <w:t>2015,</w:t>
      </w:r>
      <w:r>
        <w:rPr>
          <w:spacing w:val="-9"/>
          <w:vertAlign w:val="baseline"/>
        </w:rPr>
        <w:t> </w:t>
      </w:r>
      <w:r>
        <w:rPr>
          <w:vertAlign w:val="baseline"/>
        </w:rPr>
        <w:t>we</w:t>
      </w:r>
      <w:r>
        <w:rPr>
          <w:spacing w:val="-10"/>
          <w:vertAlign w:val="baseline"/>
        </w:rPr>
        <w:t> </w:t>
      </w:r>
      <w:r>
        <w:rPr>
          <w:vertAlign w:val="baseline"/>
        </w:rPr>
        <w:t>recorded</w:t>
      </w:r>
      <w:r>
        <w:rPr>
          <w:spacing w:val="-9"/>
          <w:vertAlign w:val="baseline"/>
        </w:rPr>
        <w:t> </w:t>
      </w:r>
      <w:r>
        <w:rPr>
          <w:vertAlign w:val="baseline"/>
        </w:rPr>
        <w:t>tax</w:t>
      </w:r>
      <w:r>
        <w:rPr>
          <w:spacing w:val="-10"/>
          <w:vertAlign w:val="baseline"/>
        </w:rPr>
        <w:t> </w:t>
      </w:r>
      <w:r>
        <w:rPr>
          <w:vertAlign w:val="baseline"/>
        </w:rPr>
        <w:t>benefits</w:t>
      </w:r>
      <w:r>
        <w:rPr>
          <w:spacing w:val="-9"/>
          <w:vertAlign w:val="baseline"/>
        </w:rPr>
        <w:t> </w:t>
      </w:r>
      <w:r>
        <w:rPr>
          <w:vertAlign w:val="baseline"/>
        </w:rPr>
        <w:t>of</w:t>
      </w:r>
      <w:r>
        <w:rPr>
          <w:spacing w:val="-10"/>
          <w:vertAlign w:val="baseline"/>
        </w:rPr>
        <w:t> </w:t>
      </w:r>
      <w:r>
        <w:rPr>
          <w:vertAlign w:val="baseline"/>
        </w:rPr>
        <w:t>$153.2</w:t>
      </w:r>
      <w:r>
        <w:rPr>
          <w:spacing w:val="-9"/>
          <w:vertAlign w:val="baseline"/>
        </w:rPr>
        <w:t> </w:t>
      </w:r>
      <w:r>
        <w:rPr>
          <w:vertAlign w:val="baseline"/>
        </w:rPr>
        <w:t>million,</w:t>
      </w:r>
      <w:r>
        <w:rPr>
          <w:spacing w:val="-10"/>
          <w:vertAlign w:val="baseline"/>
        </w:rPr>
        <w:t> </w:t>
      </w:r>
      <w:r>
        <w:rPr>
          <w:vertAlign w:val="baseline"/>
        </w:rPr>
        <w:t>$71.7</w:t>
      </w:r>
      <w:r>
        <w:rPr>
          <w:spacing w:val="-9"/>
          <w:vertAlign w:val="baseline"/>
        </w:rPr>
        <w:t> </w:t>
      </w:r>
      <w:r>
        <w:rPr>
          <w:vertAlign w:val="baseline"/>
        </w:rPr>
        <w:t>million</w:t>
      </w:r>
      <w:r>
        <w:rPr>
          <w:spacing w:val="-10"/>
          <w:vertAlign w:val="baseline"/>
        </w:rPr>
        <w:t> </w:t>
      </w:r>
      <w:r>
        <w:rPr>
          <w:vertAlign w:val="baseline"/>
        </w:rPr>
        <w:t>and</w:t>
      </w:r>
      <w:r>
        <w:rPr>
          <w:spacing w:val="-9"/>
          <w:vertAlign w:val="baseline"/>
        </w:rPr>
        <w:t> </w:t>
      </w:r>
      <w:r>
        <w:rPr>
          <w:vertAlign w:val="baseline"/>
        </w:rPr>
        <w:t>$68.8</w:t>
      </w:r>
      <w:r>
        <w:rPr>
          <w:spacing w:val="-10"/>
          <w:vertAlign w:val="baseline"/>
        </w:rPr>
        <w:t> </w:t>
      </w:r>
      <w:r>
        <w:rPr>
          <w:vertAlign w:val="baseline"/>
        </w:rPr>
        <w:t>million,</w:t>
      </w:r>
      <w:r>
        <w:rPr>
          <w:spacing w:val="-9"/>
          <w:vertAlign w:val="baseline"/>
        </w:rPr>
        <w:t> </w:t>
      </w:r>
      <w:r>
        <w:rPr>
          <w:spacing w:val="-2"/>
          <w:vertAlign w:val="baseline"/>
        </w:rPr>
        <w:t>respectively.</w:t>
      </w:r>
    </w:p>
    <w:p>
      <w:pPr>
        <w:pStyle w:val="Heading1"/>
        <w:spacing w:before="190"/>
      </w:pPr>
      <w:bookmarkStart w:name="NOTE 12. STOCKHOLDERS  EQUITY" w:id="83"/>
      <w:bookmarkEnd w:id="83"/>
      <w:r>
        <w:rPr>
          <w:b w:val="0"/>
        </w:rPr>
      </w:r>
      <w:bookmarkStart w:name="_bookmark29" w:id="84"/>
      <w:bookmarkEnd w:id="84"/>
      <w:r>
        <w:rPr>
          <w:b w:val="0"/>
        </w:rPr>
      </w:r>
      <w:r>
        <w:rPr/>
        <w:t>NOTE</w:t>
      </w:r>
      <w:r>
        <w:rPr>
          <w:spacing w:val="-2"/>
        </w:rPr>
        <w:t> </w:t>
      </w:r>
      <w:r>
        <w:rPr/>
        <w:t>12.</w:t>
      </w:r>
      <w:r>
        <w:rPr>
          <w:spacing w:val="48"/>
        </w:rPr>
        <w:t> </w:t>
      </w:r>
      <w:r>
        <w:rPr/>
        <w:t>STOCKHOLDERS’</w:t>
      </w:r>
      <w:r>
        <w:rPr>
          <w:spacing w:val="-15"/>
        </w:rPr>
        <w:t> </w:t>
      </w:r>
      <w:r>
        <w:rPr>
          <w:spacing w:val="-2"/>
        </w:rPr>
        <w:t>EQUITY</w:t>
      </w:r>
    </w:p>
    <w:p>
      <w:pPr>
        <w:spacing w:before="190"/>
        <w:ind w:left="220" w:right="0" w:firstLine="0"/>
        <w:jc w:val="left"/>
        <w:rPr>
          <w:i/>
          <w:sz w:val="20"/>
        </w:rPr>
      </w:pPr>
      <w:r>
        <w:rPr>
          <w:i/>
          <w:sz w:val="20"/>
        </w:rPr>
        <w:t>Comprehensive</w:t>
      </w:r>
      <w:r>
        <w:rPr>
          <w:i/>
          <w:spacing w:val="-6"/>
          <w:sz w:val="20"/>
        </w:rPr>
        <w:t> </w:t>
      </w:r>
      <w:r>
        <w:rPr>
          <w:i/>
          <w:sz w:val="20"/>
        </w:rPr>
        <w:t>Income</w:t>
      </w:r>
      <w:r>
        <w:rPr>
          <w:i/>
          <w:spacing w:val="-6"/>
          <w:sz w:val="20"/>
        </w:rPr>
        <w:t> </w:t>
      </w:r>
      <w:r>
        <w:rPr>
          <w:i/>
          <w:spacing w:val="-2"/>
          <w:sz w:val="20"/>
        </w:rPr>
        <w:t>(Loss)</w:t>
      </w:r>
    </w:p>
    <w:p>
      <w:pPr>
        <w:pStyle w:val="BodyText"/>
        <w:spacing w:line="249" w:lineRule="auto" w:before="190"/>
        <w:ind w:left="220" w:right="240" w:firstLine="540"/>
      </w:pPr>
      <w:r>
        <w:rPr/>
        <w:t>The</w:t>
      </w:r>
      <w:r>
        <w:rPr>
          <w:spacing w:val="-7"/>
        </w:rPr>
        <w:t> </w:t>
      </w:r>
      <w:r>
        <w:rPr/>
        <w:t>components</w:t>
      </w:r>
      <w:r>
        <w:rPr>
          <w:spacing w:val="-7"/>
        </w:rPr>
        <w:t> </w:t>
      </w:r>
      <w:r>
        <w:rPr/>
        <w:t>of</w:t>
      </w:r>
      <w:r>
        <w:rPr>
          <w:spacing w:val="-7"/>
        </w:rPr>
        <w:t> </w:t>
      </w:r>
      <w:r>
        <w:rPr/>
        <w:t>accumulated</w:t>
      </w:r>
      <w:r>
        <w:rPr>
          <w:spacing w:val="-7"/>
        </w:rPr>
        <w:t> </w:t>
      </w:r>
      <w:r>
        <w:rPr/>
        <w:t>other</w:t>
      </w:r>
      <w:r>
        <w:rPr>
          <w:spacing w:val="-7"/>
        </w:rPr>
        <w:t> </w:t>
      </w:r>
      <w:r>
        <w:rPr/>
        <w:t>comprehensive</w:t>
      </w:r>
      <w:r>
        <w:rPr>
          <w:spacing w:val="-7"/>
        </w:rPr>
        <w:t> </w:t>
      </w:r>
      <w:r>
        <w:rPr/>
        <w:t>income</w:t>
      </w:r>
      <w:r>
        <w:rPr>
          <w:spacing w:val="-7"/>
        </w:rPr>
        <w:t> </w:t>
      </w:r>
      <w:r>
        <w:rPr/>
        <w:t>(loss)</w:t>
      </w:r>
      <w:r>
        <w:rPr>
          <w:spacing w:val="-7"/>
        </w:rPr>
        <w:t> </w:t>
      </w:r>
      <w:r>
        <w:rPr/>
        <w:t>and</w:t>
      </w:r>
      <w:r>
        <w:rPr>
          <w:spacing w:val="-7"/>
        </w:rPr>
        <w:t> </w:t>
      </w:r>
      <w:r>
        <w:rPr/>
        <w:t>activity,</w:t>
      </w:r>
      <w:r>
        <w:rPr>
          <w:spacing w:val="-7"/>
        </w:rPr>
        <w:t> </w:t>
      </w:r>
      <w:r>
        <w:rPr/>
        <w:t>net</w:t>
      </w:r>
      <w:r>
        <w:rPr>
          <w:spacing w:val="-7"/>
        </w:rPr>
        <w:t> </w:t>
      </w:r>
      <w:r>
        <w:rPr/>
        <w:t>of</w:t>
      </w:r>
      <w:r>
        <w:rPr>
          <w:spacing w:val="-7"/>
        </w:rPr>
        <w:t> </w:t>
      </w:r>
      <w:r>
        <w:rPr/>
        <w:t>related</w:t>
      </w:r>
      <w:r>
        <w:rPr>
          <w:spacing w:val="-7"/>
        </w:rPr>
        <w:t> </w:t>
      </w:r>
      <w:r>
        <w:rPr/>
        <w:t>taxes,</w:t>
      </w:r>
      <w:r>
        <w:rPr>
          <w:spacing w:val="-7"/>
        </w:rPr>
        <w:t> </w:t>
      </w:r>
      <w:r>
        <w:rPr/>
        <w:t>for</w:t>
      </w:r>
      <w:r>
        <w:rPr>
          <w:spacing w:val="-7"/>
        </w:rPr>
        <w:t> </w:t>
      </w:r>
      <w:r>
        <w:rPr/>
        <w:t>fiscal</w:t>
      </w:r>
      <w:r>
        <w:rPr>
          <w:spacing w:val="-7"/>
        </w:rPr>
        <w:t> </w:t>
      </w:r>
      <w:r>
        <w:rPr/>
        <w:t>2017</w:t>
      </w:r>
      <w:r>
        <w:rPr>
          <w:spacing w:val="-7"/>
        </w:rPr>
        <w:t> </w:t>
      </w:r>
      <w:r>
        <w:rPr/>
        <w:t>were as follows (in thousands):</w:t>
      </w:r>
    </w:p>
    <w:p>
      <w:pPr>
        <w:pStyle w:val="BodyText"/>
        <w:spacing w:before="101"/>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0"/>
        <w:gridCol w:w="1040"/>
        <w:gridCol w:w="1060"/>
        <w:gridCol w:w="1220"/>
        <w:gridCol w:w="260"/>
        <w:gridCol w:w="1000"/>
      </w:tblGrid>
      <w:tr>
        <w:trPr>
          <w:trHeight w:val="168" w:hRule="atLeast"/>
        </w:trPr>
        <w:tc>
          <w:tcPr>
            <w:tcW w:w="5680" w:type="dxa"/>
            <w:vMerge w:val="restart"/>
          </w:tcPr>
          <w:p>
            <w:pPr>
              <w:pStyle w:val="TableParagraph"/>
              <w:rPr>
                <w:sz w:val="18"/>
              </w:rPr>
            </w:pPr>
          </w:p>
        </w:tc>
        <w:tc>
          <w:tcPr>
            <w:tcW w:w="1040" w:type="dxa"/>
          </w:tcPr>
          <w:p>
            <w:pPr>
              <w:pStyle w:val="TableParagraph"/>
              <w:spacing w:line="149" w:lineRule="exact"/>
              <w:ind w:right="131"/>
              <w:jc w:val="right"/>
              <w:rPr>
                <w:b/>
                <w:sz w:val="16"/>
              </w:rPr>
            </w:pPr>
            <w:r>
              <w:rPr>
                <w:b/>
                <w:sz w:val="16"/>
              </w:rPr>
              <w:t>December</w:t>
            </w:r>
            <w:r>
              <w:rPr>
                <w:b/>
                <w:spacing w:val="-2"/>
                <w:sz w:val="16"/>
              </w:rPr>
              <w:t> </w:t>
            </w:r>
            <w:r>
              <w:rPr>
                <w:b/>
                <w:spacing w:val="-5"/>
                <w:sz w:val="16"/>
              </w:rPr>
              <w:t>2,</w:t>
            </w:r>
          </w:p>
        </w:tc>
        <w:tc>
          <w:tcPr>
            <w:tcW w:w="1060" w:type="dxa"/>
          </w:tcPr>
          <w:p>
            <w:pPr>
              <w:pStyle w:val="TableParagraph"/>
              <w:spacing w:line="149" w:lineRule="exact"/>
              <w:ind w:left="170"/>
              <w:rPr>
                <w:b/>
                <w:sz w:val="16"/>
              </w:rPr>
            </w:pPr>
            <w:r>
              <w:rPr>
                <w:b/>
                <w:sz w:val="16"/>
              </w:rPr>
              <w:t>Increase</w:t>
            </w:r>
            <w:r>
              <w:rPr>
                <w:b/>
                <w:spacing w:val="-2"/>
                <w:sz w:val="16"/>
              </w:rPr>
              <w:t> </w:t>
            </w:r>
            <w:r>
              <w:rPr>
                <w:b/>
                <w:spacing w:val="-10"/>
                <w:sz w:val="16"/>
              </w:rPr>
              <w:t>/</w:t>
            </w:r>
          </w:p>
        </w:tc>
        <w:tc>
          <w:tcPr>
            <w:tcW w:w="1220" w:type="dxa"/>
          </w:tcPr>
          <w:p>
            <w:pPr>
              <w:pStyle w:val="TableParagraph"/>
              <w:spacing w:line="149" w:lineRule="exact"/>
              <w:ind w:left="76"/>
              <w:rPr>
                <w:b/>
                <w:sz w:val="16"/>
              </w:rPr>
            </w:pPr>
            <w:r>
              <w:rPr>
                <w:b/>
                <w:spacing w:val="-2"/>
                <w:sz w:val="16"/>
              </w:rPr>
              <w:t>Reclassification</w:t>
            </w:r>
          </w:p>
        </w:tc>
        <w:tc>
          <w:tcPr>
            <w:tcW w:w="260" w:type="dxa"/>
          </w:tcPr>
          <w:p>
            <w:pPr>
              <w:pStyle w:val="TableParagraph"/>
              <w:rPr>
                <w:sz w:val="10"/>
              </w:rPr>
            </w:pPr>
          </w:p>
        </w:tc>
        <w:tc>
          <w:tcPr>
            <w:tcW w:w="1000" w:type="dxa"/>
          </w:tcPr>
          <w:p>
            <w:pPr>
              <w:pStyle w:val="TableParagraph"/>
              <w:spacing w:line="149" w:lineRule="exact"/>
              <w:ind w:left="55"/>
              <w:rPr>
                <w:b/>
                <w:sz w:val="16"/>
              </w:rPr>
            </w:pPr>
            <w:r>
              <w:rPr>
                <w:b/>
                <w:sz w:val="16"/>
              </w:rPr>
              <w:t>December</w:t>
            </w:r>
            <w:r>
              <w:rPr>
                <w:b/>
                <w:spacing w:val="-4"/>
                <w:sz w:val="16"/>
              </w:rPr>
              <w:t> </w:t>
            </w:r>
            <w:r>
              <w:rPr>
                <w:b/>
                <w:spacing w:val="-5"/>
                <w:sz w:val="16"/>
              </w:rPr>
              <w:t>1,</w:t>
            </w:r>
          </w:p>
        </w:tc>
      </w:tr>
      <w:tr>
        <w:trPr>
          <w:trHeight w:val="208" w:hRule="atLeast"/>
        </w:trPr>
        <w:tc>
          <w:tcPr>
            <w:tcW w:w="5680" w:type="dxa"/>
            <w:vMerge/>
            <w:tcBorders>
              <w:top w:val="nil"/>
            </w:tcBorders>
          </w:tcPr>
          <w:p>
            <w:pPr>
              <w:rPr>
                <w:sz w:val="2"/>
                <w:szCs w:val="2"/>
              </w:rPr>
            </w:pPr>
          </w:p>
        </w:tc>
        <w:tc>
          <w:tcPr>
            <w:tcW w:w="1040" w:type="dxa"/>
            <w:tcBorders>
              <w:bottom w:val="single" w:sz="8" w:space="0" w:color="000000"/>
            </w:tcBorders>
          </w:tcPr>
          <w:p>
            <w:pPr>
              <w:pStyle w:val="TableParagraph"/>
              <w:spacing w:line="169" w:lineRule="exact"/>
              <w:ind w:left="320"/>
              <w:rPr>
                <w:b/>
                <w:sz w:val="16"/>
              </w:rPr>
            </w:pPr>
            <w:r>
              <w:rPr>
                <w:b/>
                <w:spacing w:val="-4"/>
                <w:sz w:val="16"/>
              </w:rPr>
              <w:t>2016</w:t>
            </w:r>
          </w:p>
        </w:tc>
        <w:tc>
          <w:tcPr>
            <w:tcW w:w="1060" w:type="dxa"/>
            <w:tcBorders>
              <w:bottom w:val="single" w:sz="8" w:space="0" w:color="000000"/>
            </w:tcBorders>
          </w:tcPr>
          <w:p>
            <w:pPr>
              <w:pStyle w:val="TableParagraph"/>
              <w:spacing w:line="169" w:lineRule="exact"/>
              <w:ind w:left="195"/>
              <w:rPr>
                <w:b/>
                <w:sz w:val="16"/>
              </w:rPr>
            </w:pPr>
            <w:r>
              <w:rPr>
                <w:b/>
                <w:spacing w:val="-2"/>
                <w:sz w:val="16"/>
              </w:rPr>
              <w:t>Decrease</w:t>
            </w:r>
          </w:p>
        </w:tc>
        <w:tc>
          <w:tcPr>
            <w:tcW w:w="1220" w:type="dxa"/>
            <w:tcBorders>
              <w:bottom w:val="single" w:sz="8" w:space="0" w:color="000000"/>
            </w:tcBorders>
          </w:tcPr>
          <w:p>
            <w:pPr>
              <w:pStyle w:val="TableParagraph"/>
              <w:spacing w:line="169" w:lineRule="exact"/>
              <w:ind w:left="173"/>
              <w:rPr>
                <w:b/>
                <w:sz w:val="16"/>
              </w:rPr>
            </w:pPr>
            <w:r>
              <w:rPr>
                <w:b/>
                <w:spacing w:val="-2"/>
                <w:sz w:val="16"/>
              </w:rPr>
              <w:t>Adjustments</w:t>
            </w:r>
          </w:p>
        </w:tc>
        <w:tc>
          <w:tcPr>
            <w:tcW w:w="260" w:type="dxa"/>
          </w:tcPr>
          <w:p>
            <w:pPr>
              <w:pStyle w:val="TableParagraph"/>
              <w:rPr>
                <w:sz w:val="14"/>
              </w:rPr>
            </w:pPr>
          </w:p>
        </w:tc>
        <w:tc>
          <w:tcPr>
            <w:tcW w:w="1000" w:type="dxa"/>
            <w:tcBorders>
              <w:bottom w:val="single" w:sz="8" w:space="0" w:color="000000"/>
            </w:tcBorders>
          </w:tcPr>
          <w:p>
            <w:pPr>
              <w:pStyle w:val="TableParagraph"/>
              <w:spacing w:line="169" w:lineRule="exact"/>
              <w:ind w:left="320"/>
              <w:rPr>
                <w:b/>
                <w:sz w:val="16"/>
              </w:rPr>
            </w:pPr>
            <w:r>
              <w:rPr>
                <w:b/>
                <w:spacing w:val="-4"/>
                <w:sz w:val="16"/>
              </w:rPr>
              <w:t>2017</w:t>
            </w:r>
          </w:p>
        </w:tc>
      </w:tr>
      <w:tr>
        <w:trPr>
          <w:trHeight w:val="290" w:hRule="atLeast"/>
        </w:trPr>
        <w:tc>
          <w:tcPr>
            <w:tcW w:w="5680" w:type="dxa"/>
          </w:tcPr>
          <w:p>
            <w:pPr>
              <w:pStyle w:val="TableParagraph"/>
              <w:spacing w:before="10"/>
              <w:ind w:left="50"/>
              <w:rPr>
                <w:sz w:val="20"/>
              </w:rPr>
            </w:pPr>
            <w:r>
              <w:rPr>
                <w:sz w:val="20"/>
              </w:rPr>
              <w:t>Net</w:t>
            </w:r>
            <w:r>
              <w:rPr>
                <w:spacing w:val="-4"/>
                <w:sz w:val="20"/>
              </w:rPr>
              <w:t> </w:t>
            </w:r>
            <w:r>
              <w:rPr>
                <w:sz w:val="20"/>
              </w:rPr>
              <w:t>unrealized</w:t>
            </w:r>
            <w:r>
              <w:rPr>
                <w:spacing w:val="-2"/>
                <w:sz w:val="20"/>
              </w:rPr>
              <w:t> </w:t>
            </w:r>
            <w:r>
              <w:rPr>
                <w:sz w:val="20"/>
              </w:rPr>
              <w:t>gains</w:t>
            </w:r>
            <w:r>
              <w:rPr>
                <w:spacing w:val="-2"/>
                <w:sz w:val="20"/>
              </w:rPr>
              <w:t> </w:t>
            </w:r>
            <w:r>
              <w:rPr>
                <w:sz w:val="20"/>
              </w:rPr>
              <w:t>/</w:t>
            </w:r>
            <w:r>
              <w:rPr>
                <w:spacing w:val="-2"/>
                <w:sz w:val="20"/>
              </w:rPr>
              <w:t> </w:t>
            </w:r>
            <w:r>
              <w:rPr>
                <w:sz w:val="20"/>
              </w:rPr>
              <w:t>losses</w:t>
            </w:r>
            <w:r>
              <w:rPr>
                <w:spacing w:val="-2"/>
                <w:sz w:val="20"/>
              </w:rPr>
              <w:t> </w:t>
            </w:r>
            <w:r>
              <w:rPr>
                <w:sz w:val="20"/>
              </w:rPr>
              <w:t>on</w:t>
            </w:r>
            <w:r>
              <w:rPr>
                <w:spacing w:val="-2"/>
                <w:sz w:val="20"/>
              </w:rPr>
              <w:t> </w:t>
            </w:r>
            <w:r>
              <w:rPr>
                <w:sz w:val="20"/>
              </w:rPr>
              <w:t>available-for-sale</w:t>
            </w:r>
            <w:r>
              <w:rPr>
                <w:spacing w:val="-1"/>
                <w:sz w:val="20"/>
              </w:rPr>
              <w:t> </w:t>
            </w:r>
            <w:r>
              <w:rPr>
                <w:spacing w:val="-2"/>
                <w:sz w:val="20"/>
              </w:rPr>
              <w:t>securities:</w:t>
            </w:r>
          </w:p>
        </w:tc>
        <w:tc>
          <w:tcPr>
            <w:tcW w:w="1040" w:type="dxa"/>
            <w:tcBorders>
              <w:top w:val="single" w:sz="8" w:space="0" w:color="000000"/>
            </w:tcBorders>
          </w:tcPr>
          <w:p>
            <w:pPr>
              <w:pStyle w:val="TableParagraph"/>
              <w:rPr>
                <w:sz w:val="18"/>
              </w:rPr>
            </w:pPr>
          </w:p>
        </w:tc>
        <w:tc>
          <w:tcPr>
            <w:tcW w:w="1060" w:type="dxa"/>
            <w:tcBorders>
              <w:top w:val="single" w:sz="8" w:space="0" w:color="000000"/>
            </w:tcBorders>
          </w:tcPr>
          <w:p>
            <w:pPr>
              <w:pStyle w:val="TableParagraph"/>
              <w:rPr>
                <w:sz w:val="18"/>
              </w:rPr>
            </w:pPr>
          </w:p>
        </w:tc>
        <w:tc>
          <w:tcPr>
            <w:tcW w:w="1220" w:type="dxa"/>
            <w:tcBorders>
              <w:top w:val="single" w:sz="8" w:space="0" w:color="000000"/>
            </w:tcBorders>
          </w:tcPr>
          <w:p>
            <w:pPr>
              <w:pStyle w:val="TableParagraph"/>
              <w:rPr>
                <w:sz w:val="18"/>
              </w:rPr>
            </w:pPr>
          </w:p>
        </w:tc>
        <w:tc>
          <w:tcPr>
            <w:tcW w:w="260" w:type="dxa"/>
          </w:tcPr>
          <w:p>
            <w:pPr>
              <w:pStyle w:val="TableParagraph"/>
              <w:rPr>
                <w:sz w:val="18"/>
              </w:rPr>
            </w:pPr>
          </w:p>
        </w:tc>
        <w:tc>
          <w:tcPr>
            <w:tcW w:w="1000" w:type="dxa"/>
            <w:tcBorders>
              <w:top w:val="single" w:sz="8" w:space="0" w:color="000000"/>
            </w:tcBorders>
          </w:tcPr>
          <w:p>
            <w:pPr>
              <w:pStyle w:val="TableParagraph"/>
              <w:rPr>
                <w:sz w:val="18"/>
              </w:rPr>
            </w:pPr>
          </w:p>
        </w:tc>
      </w:tr>
      <w:tr>
        <w:trPr>
          <w:trHeight w:val="300" w:hRule="atLeast"/>
        </w:trPr>
        <w:tc>
          <w:tcPr>
            <w:tcW w:w="5680" w:type="dxa"/>
            <w:shd w:val="clear" w:color="auto" w:fill="CCEDFF"/>
          </w:tcPr>
          <w:p>
            <w:pPr>
              <w:pStyle w:val="TableParagraph"/>
              <w:spacing w:before="20"/>
              <w:ind w:left="170"/>
              <w:rPr>
                <w:sz w:val="20"/>
              </w:rPr>
            </w:pPr>
            <w:r>
              <w:rPr>
                <w:sz w:val="20"/>
              </w:rPr>
              <w:t>Unrealized</w:t>
            </w:r>
            <w:r>
              <w:rPr>
                <w:spacing w:val="-2"/>
                <w:sz w:val="20"/>
              </w:rPr>
              <w:t> </w:t>
            </w:r>
            <w:r>
              <w:rPr>
                <w:sz w:val="20"/>
              </w:rPr>
              <w:t>gains</w:t>
            </w:r>
            <w:r>
              <w:rPr>
                <w:spacing w:val="-2"/>
                <w:sz w:val="20"/>
              </w:rPr>
              <w:t> </w:t>
            </w:r>
            <w:r>
              <w:rPr>
                <w:sz w:val="20"/>
              </w:rPr>
              <w:t>on</w:t>
            </w:r>
            <w:r>
              <w:rPr>
                <w:spacing w:val="-2"/>
                <w:sz w:val="20"/>
              </w:rPr>
              <w:t> </w:t>
            </w:r>
            <w:r>
              <w:rPr>
                <w:sz w:val="20"/>
              </w:rPr>
              <w:t>available-for-sale</w:t>
            </w:r>
            <w:r>
              <w:rPr>
                <w:spacing w:val="-1"/>
                <w:sz w:val="20"/>
              </w:rPr>
              <w:t> </w:t>
            </w:r>
            <w:r>
              <w:rPr>
                <w:spacing w:val="-2"/>
                <w:sz w:val="20"/>
              </w:rPr>
              <w:t>securities</w:t>
            </w:r>
          </w:p>
        </w:tc>
        <w:tc>
          <w:tcPr>
            <w:tcW w:w="1040" w:type="dxa"/>
            <w:shd w:val="clear" w:color="auto" w:fill="CCEDFF"/>
          </w:tcPr>
          <w:p>
            <w:pPr>
              <w:pStyle w:val="TableParagraph"/>
              <w:tabs>
                <w:tab w:pos="402" w:val="left" w:leader="none"/>
              </w:tabs>
              <w:spacing w:before="20"/>
              <w:ind w:right="136"/>
              <w:jc w:val="right"/>
              <w:rPr>
                <w:sz w:val="20"/>
              </w:rPr>
            </w:pPr>
            <w:r>
              <w:rPr>
                <w:spacing w:val="-10"/>
                <w:sz w:val="20"/>
              </w:rPr>
              <w:t>$</w:t>
            </w:r>
            <w:r>
              <w:rPr>
                <w:sz w:val="20"/>
              </w:rPr>
              <w:tab/>
            </w:r>
            <w:r>
              <w:rPr>
                <w:spacing w:val="-2"/>
                <w:sz w:val="20"/>
              </w:rPr>
              <w:t>3,499</w:t>
            </w:r>
          </w:p>
        </w:tc>
        <w:tc>
          <w:tcPr>
            <w:tcW w:w="1060" w:type="dxa"/>
            <w:shd w:val="clear" w:color="auto" w:fill="CCEDFF"/>
          </w:tcPr>
          <w:p>
            <w:pPr>
              <w:pStyle w:val="TableParagraph"/>
              <w:tabs>
                <w:tab w:pos="622" w:val="left" w:leader="none"/>
              </w:tabs>
              <w:spacing w:before="20"/>
              <w:ind w:left="70"/>
              <w:rPr>
                <w:sz w:val="20"/>
              </w:rPr>
            </w:pPr>
            <w:r>
              <w:rPr>
                <w:spacing w:val="-10"/>
                <w:sz w:val="20"/>
              </w:rPr>
              <w:t>$</w:t>
            </w:r>
            <w:r>
              <w:rPr>
                <w:sz w:val="20"/>
              </w:rPr>
              <w:tab/>
            </w:r>
            <w:r>
              <w:rPr>
                <w:spacing w:val="-5"/>
                <w:sz w:val="20"/>
              </w:rPr>
              <w:t>878</w:t>
            </w:r>
          </w:p>
        </w:tc>
        <w:tc>
          <w:tcPr>
            <w:tcW w:w="1220" w:type="dxa"/>
            <w:shd w:val="clear" w:color="auto" w:fill="CCEDFF"/>
          </w:tcPr>
          <w:p>
            <w:pPr>
              <w:pStyle w:val="TableParagraph"/>
              <w:tabs>
                <w:tab w:pos="555" w:val="left" w:leader="none"/>
              </w:tabs>
              <w:spacing w:before="20"/>
              <w:ind w:right="8"/>
              <w:jc w:val="right"/>
              <w:rPr>
                <w:sz w:val="20"/>
              </w:rPr>
            </w:pPr>
            <w:r>
              <w:rPr>
                <w:spacing w:val="-10"/>
                <w:sz w:val="20"/>
              </w:rPr>
              <w:t>$</w:t>
            </w:r>
            <w:r>
              <w:rPr>
                <w:sz w:val="20"/>
              </w:rPr>
              <w:tab/>
            </w:r>
            <w:r>
              <w:rPr>
                <w:spacing w:val="-2"/>
                <w:sz w:val="20"/>
              </w:rPr>
              <w:t>(1,673)</w:t>
            </w:r>
          </w:p>
        </w:tc>
        <w:tc>
          <w:tcPr>
            <w:tcW w:w="260" w:type="dxa"/>
            <w:shd w:val="clear" w:color="auto" w:fill="CCEDFF"/>
          </w:tcPr>
          <w:p>
            <w:pPr>
              <w:pStyle w:val="TableParagraph"/>
              <w:rPr>
                <w:sz w:val="18"/>
              </w:rPr>
            </w:pPr>
          </w:p>
        </w:tc>
        <w:tc>
          <w:tcPr>
            <w:tcW w:w="1000" w:type="dxa"/>
            <w:shd w:val="clear" w:color="auto" w:fill="CCEDFF"/>
          </w:tcPr>
          <w:p>
            <w:pPr>
              <w:pStyle w:val="TableParagraph"/>
              <w:tabs>
                <w:tab w:pos="452" w:val="left" w:leader="none"/>
              </w:tabs>
              <w:spacing w:before="20"/>
              <w:ind w:left="50"/>
              <w:rPr>
                <w:sz w:val="20"/>
              </w:rPr>
            </w:pPr>
            <w:r>
              <w:rPr>
                <w:spacing w:val="-10"/>
                <w:sz w:val="20"/>
              </w:rPr>
              <w:t>$</w:t>
            </w:r>
            <w:r>
              <w:rPr>
                <w:sz w:val="20"/>
              </w:rPr>
              <w:tab/>
            </w:r>
            <w:r>
              <w:rPr>
                <w:spacing w:val="-2"/>
                <w:sz w:val="20"/>
              </w:rPr>
              <w:t>2,704</w:t>
            </w:r>
          </w:p>
        </w:tc>
      </w:tr>
      <w:tr>
        <w:trPr>
          <w:trHeight w:val="277" w:hRule="atLeast"/>
        </w:trPr>
        <w:tc>
          <w:tcPr>
            <w:tcW w:w="5680" w:type="dxa"/>
          </w:tcPr>
          <w:p>
            <w:pPr>
              <w:pStyle w:val="TableParagraph"/>
              <w:spacing w:before="20"/>
              <w:ind w:left="170"/>
              <w:rPr>
                <w:sz w:val="20"/>
              </w:rPr>
            </w:pPr>
            <w:r>
              <w:rPr>
                <w:sz w:val="20"/>
              </w:rPr>
              <w:t>Unrealized</w:t>
            </w:r>
            <w:r>
              <w:rPr>
                <w:spacing w:val="-3"/>
                <w:sz w:val="20"/>
              </w:rPr>
              <w:t> </w:t>
            </w:r>
            <w:r>
              <w:rPr>
                <w:sz w:val="20"/>
              </w:rPr>
              <w:t>losses</w:t>
            </w:r>
            <w:r>
              <w:rPr>
                <w:spacing w:val="-3"/>
                <w:sz w:val="20"/>
              </w:rPr>
              <w:t> </w:t>
            </w:r>
            <w:r>
              <w:rPr>
                <w:sz w:val="20"/>
              </w:rPr>
              <w:t>on</w:t>
            </w:r>
            <w:r>
              <w:rPr>
                <w:spacing w:val="-2"/>
                <w:sz w:val="20"/>
              </w:rPr>
              <w:t> </w:t>
            </w:r>
            <w:r>
              <w:rPr>
                <w:sz w:val="20"/>
              </w:rPr>
              <w:t>available-for-sale</w:t>
            </w:r>
            <w:r>
              <w:rPr>
                <w:spacing w:val="-2"/>
                <w:sz w:val="20"/>
              </w:rPr>
              <w:t> securities</w:t>
            </w:r>
          </w:p>
        </w:tc>
        <w:tc>
          <w:tcPr>
            <w:tcW w:w="1040" w:type="dxa"/>
            <w:tcBorders>
              <w:bottom w:val="single" w:sz="8" w:space="0" w:color="000000"/>
            </w:tcBorders>
          </w:tcPr>
          <w:p>
            <w:pPr>
              <w:pStyle w:val="TableParagraph"/>
              <w:spacing w:before="20"/>
              <w:ind w:right="68"/>
              <w:jc w:val="right"/>
              <w:rPr>
                <w:sz w:val="20"/>
              </w:rPr>
            </w:pPr>
            <w:r>
              <w:rPr>
                <w:spacing w:val="-2"/>
                <w:sz w:val="20"/>
              </w:rPr>
              <w:t>(11,565)</w:t>
            </w:r>
          </w:p>
        </w:tc>
        <w:tc>
          <w:tcPr>
            <w:tcW w:w="1060" w:type="dxa"/>
            <w:tcBorders>
              <w:bottom w:val="single" w:sz="8" w:space="0" w:color="000000"/>
            </w:tcBorders>
          </w:tcPr>
          <w:p>
            <w:pPr>
              <w:pStyle w:val="TableParagraph"/>
              <w:spacing w:before="20"/>
              <w:ind w:right="68"/>
              <w:jc w:val="right"/>
              <w:rPr>
                <w:sz w:val="20"/>
              </w:rPr>
            </w:pPr>
            <w:r>
              <w:rPr>
                <w:spacing w:val="-2"/>
                <w:sz w:val="20"/>
              </w:rPr>
              <w:t>(3,381)</w:t>
            </w:r>
          </w:p>
        </w:tc>
        <w:tc>
          <w:tcPr>
            <w:tcW w:w="1220" w:type="dxa"/>
            <w:tcBorders>
              <w:bottom w:val="single" w:sz="8" w:space="0" w:color="000000"/>
            </w:tcBorders>
          </w:tcPr>
          <w:p>
            <w:pPr>
              <w:pStyle w:val="TableParagraph"/>
              <w:spacing w:before="20"/>
              <w:ind w:right="76"/>
              <w:jc w:val="right"/>
              <w:rPr>
                <w:sz w:val="20"/>
              </w:rPr>
            </w:pPr>
            <w:r>
              <w:rPr>
                <w:spacing w:val="-5"/>
                <w:sz w:val="20"/>
              </w:rPr>
              <w:t>726</w:t>
            </w:r>
          </w:p>
        </w:tc>
        <w:tc>
          <w:tcPr>
            <w:tcW w:w="260" w:type="dxa"/>
          </w:tcPr>
          <w:p>
            <w:pPr>
              <w:pStyle w:val="TableParagraph"/>
              <w:rPr>
                <w:sz w:val="18"/>
              </w:rPr>
            </w:pPr>
          </w:p>
        </w:tc>
        <w:tc>
          <w:tcPr>
            <w:tcW w:w="1000" w:type="dxa"/>
            <w:tcBorders>
              <w:bottom w:val="single" w:sz="8" w:space="0" w:color="000000"/>
            </w:tcBorders>
          </w:tcPr>
          <w:p>
            <w:pPr>
              <w:pStyle w:val="TableParagraph"/>
              <w:spacing w:before="20"/>
              <w:ind w:right="28"/>
              <w:jc w:val="right"/>
              <w:rPr>
                <w:sz w:val="20"/>
              </w:rPr>
            </w:pPr>
            <w:r>
              <w:rPr>
                <w:spacing w:val="-2"/>
                <w:sz w:val="20"/>
              </w:rPr>
              <w:t>(14,220)</w:t>
            </w:r>
          </w:p>
        </w:tc>
      </w:tr>
      <w:tr>
        <w:trPr>
          <w:trHeight w:val="302" w:hRule="atLeast"/>
        </w:trPr>
        <w:tc>
          <w:tcPr>
            <w:tcW w:w="5680" w:type="dxa"/>
            <w:shd w:val="clear" w:color="auto" w:fill="CCEDFF"/>
          </w:tcPr>
          <w:p>
            <w:pPr>
              <w:pStyle w:val="TableParagraph"/>
              <w:spacing w:before="10"/>
              <w:ind w:left="410"/>
              <w:rPr>
                <w:sz w:val="20"/>
              </w:rPr>
            </w:pPr>
            <w:r>
              <w:rPr>
                <w:sz w:val="20"/>
              </w:rPr>
              <w:t>Total</w:t>
            </w:r>
            <w:r>
              <w:rPr>
                <w:spacing w:val="-4"/>
                <w:sz w:val="20"/>
              </w:rPr>
              <w:t> </w:t>
            </w:r>
            <w:r>
              <w:rPr>
                <w:sz w:val="20"/>
              </w:rPr>
              <w:t>net</w:t>
            </w:r>
            <w:r>
              <w:rPr>
                <w:spacing w:val="-3"/>
                <w:sz w:val="20"/>
              </w:rPr>
              <w:t> </w:t>
            </w:r>
            <w:r>
              <w:rPr>
                <w:sz w:val="20"/>
              </w:rPr>
              <w:t>unrealized</w:t>
            </w:r>
            <w:r>
              <w:rPr>
                <w:spacing w:val="-4"/>
                <w:sz w:val="20"/>
              </w:rPr>
              <w:t> </w:t>
            </w:r>
            <w:r>
              <w:rPr>
                <w:sz w:val="20"/>
              </w:rPr>
              <w:t>gains</w:t>
            </w:r>
            <w:r>
              <w:rPr>
                <w:spacing w:val="-4"/>
                <w:sz w:val="20"/>
              </w:rPr>
              <w:t> </w:t>
            </w:r>
            <w:r>
              <w:rPr>
                <w:sz w:val="20"/>
              </w:rPr>
              <w:t>/</w:t>
            </w:r>
            <w:r>
              <w:rPr>
                <w:spacing w:val="-3"/>
                <w:sz w:val="20"/>
              </w:rPr>
              <w:t> </w:t>
            </w:r>
            <w:r>
              <w:rPr>
                <w:sz w:val="20"/>
              </w:rPr>
              <w:t>losses</w:t>
            </w:r>
            <w:r>
              <w:rPr>
                <w:spacing w:val="-5"/>
                <w:sz w:val="20"/>
              </w:rPr>
              <w:t> </w:t>
            </w:r>
            <w:r>
              <w:rPr>
                <w:sz w:val="20"/>
              </w:rPr>
              <w:t>on</w:t>
            </w:r>
            <w:r>
              <w:rPr>
                <w:spacing w:val="-3"/>
                <w:sz w:val="20"/>
              </w:rPr>
              <w:t> </w:t>
            </w:r>
            <w:r>
              <w:rPr>
                <w:sz w:val="20"/>
              </w:rPr>
              <w:t>available-for-sale</w:t>
            </w:r>
            <w:r>
              <w:rPr>
                <w:spacing w:val="-3"/>
                <w:sz w:val="20"/>
              </w:rPr>
              <w:t> </w:t>
            </w:r>
            <w:r>
              <w:rPr>
                <w:spacing w:val="-2"/>
                <w:sz w:val="20"/>
              </w:rPr>
              <w:t>securities</w:t>
            </w:r>
          </w:p>
        </w:tc>
        <w:tc>
          <w:tcPr>
            <w:tcW w:w="1040" w:type="dxa"/>
            <w:tcBorders>
              <w:top w:val="single" w:sz="8" w:space="0" w:color="000000"/>
            </w:tcBorders>
            <w:shd w:val="clear" w:color="auto" w:fill="CCEDFF"/>
          </w:tcPr>
          <w:p>
            <w:pPr>
              <w:pStyle w:val="TableParagraph"/>
              <w:spacing w:before="10"/>
              <w:ind w:right="68"/>
              <w:jc w:val="right"/>
              <w:rPr>
                <w:sz w:val="20"/>
              </w:rPr>
            </w:pPr>
            <w:r>
              <w:rPr>
                <w:spacing w:val="-2"/>
                <w:sz w:val="20"/>
              </w:rPr>
              <w:t>(8,066)</w:t>
            </w:r>
          </w:p>
        </w:tc>
        <w:tc>
          <w:tcPr>
            <w:tcW w:w="1060" w:type="dxa"/>
            <w:tcBorders>
              <w:top w:val="single" w:sz="8" w:space="0" w:color="000000"/>
            </w:tcBorders>
            <w:shd w:val="clear" w:color="auto" w:fill="CCEDFF"/>
          </w:tcPr>
          <w:p>
            <w:pPr>
              <w:pStyle w:val="TableParagraph"/>
              <w:spacing w:before="10"/>
              <w:ind w:right="68"/>
              <w:jc w:val="right"/>
              <w:rPr>
                <w:sz w:val="20"/>
              </w:rPr>
            </w:pPr>
            <w:r>
              <w:rPr>
                <w:spacing w:val="-2"/>
                <w:sz w:val="20"/>
              </w:rPr>
              <w:t>(2,503)</w:t>
            </w:r>
          </w:p>
        </w:tc>
        <w:tc>
          <w:tcPr>
            <w:tcW w:w="1220" w:type="dxa"/>
            <w:tcBorders>
              <w:top w:val="single" w:sz="8" w:space="0" w:color="000000"/>
            </w:tcBorders>
            <w:shd w:val="clear" w:color="auto" w:fill="CCEDFF"/>
          </w:tcPr>
          <w:p>
            <w:pPr>
              <w:pStyle w:val="TableParagraph"/>
              <w:spacing w:before="10"/>
              <w:ind w:right="8"/>
              <w:jc w:val="right"/>
              <w:rPr>
                <w:sz w:val="20"/>
              </w:rPr>
            </w:pPr>
            <w:r>
              <w:rPr>
                <w:spacing w:val="-2"/>
                <w:sz w:val="20"/>
              </w:rPr>
              <w:t>(947)</w:t>
            </w:r>
          </w:p>
        </w:tc>
        <w:tc>
          <w:tcPr>
            <w:tcW w:w="260" w:type="dxa"/>
            <w:shd w:val="clear" w:color="auto" w:fill="CCEDFF"/>
          </w:tcPr>
          <w:p>
            <w:pPr>
              <w:pStyle w:val="TableParagraph"/>
              <w:spacing w:line="122" w:lineRule="exact"/>
              <w:ind w:left="40"/>
              <w:jc w:val="center"/>
              <w:rPr>
                <w:sz w:val="13"/>
              </w:rPr>
            </w:pPr>
            <w:r>
              <w:rPr>
                <w:spacing w:val="-5"/>
                <w:sz w:val="13"/>
              </w:rPr>
              <w:t>(1)</w:t>
            </w:r>
          </w:p>
        </w:tc>
        <w:tc>
          <w:tcPr>
            <w:tcW w:w="1000" w:type="dxa"/>
            <w:tcBorders>
              <w:top w:val="single" w:sz="8" w:space="0" w:color="000000"/>
            </w:tcBorders>
            <w:shd w:val="clear" w:color="auto" w:fill="CCEDFF"/>
          </w:tcPr>
          <w:p>
            <w:pPr>
              <w:pStyle w:val="TableParagraph"/>
              <w:spacing w:before="10"/>
              <w:ind w:right="28"/>
              <w:jc w:val="right"/>
              <w:rPr>
                <w:sz w:val="20"/>
              </w:rPr>
            </w:pPr>
            <w:r>
              <w:rPr>
                <w:spacing w:val="-2"/>
                <w:sz w:val="20"/>
              </w:rPr>
              <w:t>(11,516)</w:t>
            </w:r>
          </w:p>
        </w:tc>
      </w:tr>
      <w:tr>
        <w:trPr>
          <w:trHeight w:val="500" w:hRule="atLeast"/>
        </w:trPr>
        <w:tc>
          <w:tcPr>
            <w:tcW w:w="5680" w:type="dxa"/>
          </w:tcPr>
          <w:p>
            <w:pPr>
              <w:pStyle w:val="TableParagraph"/>
              <w:spacing w:line="208" w:lineRule="auto" w:before="44"/>
              <w:ind w:left="230" w:hanging="180"/>
              <w:rPr>
                <w:sz w:val="20"/>
              </w:rPr>
            </w:pPr>
            <w:r>
              <w:rPr>
                <w:sz w:val="20"/>
              </w:rPr>
              <w:t>Net</w:t>
            </w:r>
            <w:r>
              <w:rPr>
                <w:spacing w:val="-4"/>
                <w:sz w:val="20"/>
              </w:rPr>
              <w:t> </w:t>
            </w:r>
            <w:r>
              <w:rPr>
                <w:sz w:val="20"/>
              </w:rPr>
              <w:t>unrealized</w:t>
            </w:r>
            <w:r>
              <w:rPr>
                <w:spacing w:val="-4"/>
                <w:sz w:val="20"/>
              </w:rPr>
              <w:t> </w:t>
            </w:r>
            <w:r>
              <w:rPr>
                <w:sz w:val="20"/>
              </w:rPr>
              <w:t>gains</w:t>
            </w:r>
            <w:r>
              <w:rPr>
                <w:spacing w:val="-5"/>
                <w:sz w:val="20"/>
              </w:rPr>
              <w:t> </w:t>
            </w:r>
            <w:r>
              <w:rPr>
                <w:sz w:val="20"/>
              </w:rPr>
              <w:t>/</w:t>
            </w:r>
            <w:r>
              <w:rPr>
                <w:spacing w:val="-4"/>
                <w:sz w:val="20"/>
              </w:rPr>
              <w:t> </w:t>
            </w:r>
            <w:r>
              <w:rPr>
                <w:sz w:val="20"/>
              </w:rPr>
              <w:t>losses</w:t>
            </w:r>
            <w:r>
              <w:rPr>
                <w:spacing w:val="-5"/>
                <w:sz w:val="20"/>
              </w:rPr>
              <w:t> </w:t>
            </w:r>
            <w:r>
              <w:rPr>
                <w:sz w:val="20"/>
              </w:rPr>
              <w:t>on</w:t>
            </w:r>
            <w:r>
              <w:rPr>
                <w:spacing w:val="-4"/>
                <w:sz w:val="20"/>
              </w:rPr>
              <w:t> </w:t>
            </w:r>
            <w:r>
              <w:rPr>
                <w:sz w:val="20"/>
              </w:rPr>
              <w:t>derivative</w:t>
            </w:r>
            <w:r>
              <w:rPr>
                <w:spacing w:val="-4"/>
                <w:sz w:val="20"/>
              </w:rPr>
              <w:t> </w:t>
            </w:r>
            <w:r>
              <w:rPr>
                <w:sz w:val="20"/>
              </w:rPr>
              <w:t>instruments</w:t>
            </w:r>
            <w:r>
              <w:rPr>
                <w:spacing w:val="-5"/>
                <w:sz w:val="20"/>
              </w:rPr>
              <w:t> </w:t>
            </w:r>
            <w:r>
              <w:rPr>
                <w:sz w:val="20"/>
              </w:rPr>
              <w:t>designated</w:t>
            </w:r>
            <w:r>
              <w:rPr>
                <w:spacing w:val="-4"/>
                <w:sz w:val="20"/>
              </w:rPr>
              <w:t> </w:t>
            </w:r>
            <w:r>
              <w:rPr>
                <w:sz w:val="20"/>
              </w:rPr>
              <w:t>as hedging instruments</w:t>
            </w:r>
          </w:p>
        </w:tc>
        <w:tc>
          <w:tcPr>
            <w:tcW w:w="1040" w:type="dxa"/>
          </w:tcPr>
          <w:p>
            <w:pPr>
              <w:pStyle w:val="TableParagraph"/>
              <w:spacing w:before="220"/>
              <w:ind w:right="136"/>
              <w:jc w:val="right"/>
              <w:rPr>
                <w:sz w:val="20"/>
              </w:rPr>
            </w:pPr>
            <w:r>
              <w:rPr>
                <w:spacing w:val="-2"/>
                <w:sz w:val="20"/>
              </w:rPr>
              <w:t>21,689</w:t>
            </w:r>
          </w:p>
        </w:tc>
        <w:tc>
          <w:tcPr>
            <w:tcW w:w="1060" w:type="dxa"/>
          </w:tcPr>
          <w:p>
            <w:pPr>
              <w:pStyle w:val="TableParagraph"/>
              <w:spacing w:before="220"/>
              <w:ind w:right="136"/>
              <w:jc w:val="right"/>
              <w:rPr>
                <w:sz w:val="20"/>
              </w:rPr>
            </w:pPr>
            <w:r>
              <w:rPr>
                <w:spacing w:val="-2"/>
                <w:sz w:val="20"/>
              </w:rPr>
              <w:t>6,917</w:t>
            </w:r>
          </w:p>
        </w:tc>
        <w:tc>
          <w:tcPr>
            <w:tcW w:w="1220" w:type="dxa"/>
          </w:tcPr>
          <w:p>
            <w:pPr>
              <w:pStyle w:val="TableParagraph"/>
              <w:spacing w:before="220"/>
              <w:ind w:right="8"/>
              <w:jc w:val="right"/>
              <w:rPr>
                <w:sz w:val="20"/>
              </w:rPr>
            </w:pPr>
            <w:r>
              <w:rPr>
                <w:spacing w:val="-2"/>
                <w:sz w:val="20"/>
              </w:rPr>
              <w:t>(31,973)</w:t>
            </w:r>
          </w:p>
        </w:tc>
        <w:tc>
          <w:tcPr>
            <w:tcW w:w="260" w:type="dxa"/>
          </w:tcPr>
          <w:p>
            <w:pPr>
              <w:pStyle w:val="TableParagraph"/>
              <w:spacing w:before="32"/>
              <w:rPr>
                <w:sz w:val="13"/>
              </w:rPr>
            </w:pPr>
          </w:p>
          <w:p>
            <w:pPr>
              <w:pStyle w:val="TableParagraph"/>
              <w:ind w:left="40"/>
              <w:jc w:val="center"/>
              <w:rPr>
                <w:sz w:val="13"/>
              </w:rPr>
            </w:pPr>
            <w:r>
              <w:rPr>
                <w:spacing w:val="-5"/>
                <w:sz w:val="13"/>
              </w:rPr>
              <w:t>(2)</w:t>
            </w:r>
          </w:p>
        </w:tc>
        <w:tc>
          <w:tcPr>
            <w:tcW w:w="1000" w:type="dxa"/>
          </w:tcPr>
          <w:p>
            <w:pPr>
              <w:pStyle w:val="TableParagraph"/>
              <w:spacing w:before="220"/>
              <w:ind w:right="28"/>
              <w:jc w:val="right"/>
              <w:rPr>
                <w:sz w:val="20"/>
              </w:rPr>
            </w:pPr>
            <w:r>
              <w:rPr>
                <w:spacing w:val="-2"/>
                <w:sz w:val="20"/>
              </w:rPr>
              <w:t>(3,367)</w:t>
            </w:r>
          </w:p>
        </w:tc>
      </w:tr>
      <w:tr>
        <w:trPr>
          <w:trHeight w:val="289" w:hRule="atLeast"/>
        </w:trPr>
        <w:tc>
          <w:tcPr>
            <w:tcW w:w="5680" w:type="dxa"/>
            <w:shd w:val="clear" w:color="auto" w:fill="CCEDFF"/>
          </w:tcPr>
          <w:p>
            <w:pPr>
              <w:pStyle w:val="TableParagraph"/>
              <w:spacing w:before="20"/>
              <w:ind w:left="50"/>
              <w:rPr>
                <w:sz w:val="20"/>
              </w:rPr>
            </w:pPr>
            <w:r>
              <w:rPr>
                <w:sz w:val="20"/>
              </w:rPr>
              <w:t>Cumulative foreign currency translation </w:t>
            </w:r>
            <w:r>
              <w:rPr>
                <w:spacing w:val="-2"/>
                <w:sz w:val="20"/>
              </w:rPr>
              <w:t>adjustments</w:t>
            </w:r>
          </w:p>
        </w:tc>
        <w:tc>
          <w:tcPr>
            <w:tcW w:w="1040" w:type="dxa"/>
            <w:tcBorders>
              <w:bottom w:val="single" w:sz="8" w:space="0" w:color="000000"/>
            </w:tcBorders>
            <w:shd w:val="clear" w:color="auto" w:fill="CCEDFF"/>
          </w:tcPr>
          <w:p>
            <w:pPr>
              <w:pStyle w:val="TableParagraph"/>
              <w:spacing w:before="20"/>
              <w:ind w:right="68"/>
              <w:jc w:val="right"/>
              <w:rPr>
                <w:sz w:val="20"/>
              </w:rPr>
            </w:pPr>
            <w:r>
              <w:rPr>
                <w:spacing w:val="-2"/>
                <w:sz w:val="20"/>
              </w:rPr>
              <w:t>(187,225)</w:t>
            </w:r>
          </w:p>
        </w:tc>
        <w:tc>
          <w:tcPr>
            <w:tcW w:w="1060" w:type="dxa"/>
            <w:tcBorders>
              <w:bottom w:val="single" w:sz="8" w:space="0" w:color="000000"/>
            </w:tcBorders>
            <w:shd w:val="clear" w:color="auto" w:fill="CCEDFF"/>
          </w:tcPr>
          <w:p>
            <w:pPr>
              <w:pStyle w:val="TableParagraph"/>
              <w:spacing w:before="20"/>
              <w:ind w:left="372"/>
              <w:rPr>
                <w:sz w:val="20"/>
              </w:rPr>
            </w:pPr>
            <w:r>
              <w:rPr>
                <w:spacing w:val="-2"/>
                <w:sz w:val="20"/>
              </w:rPr>
              <w:t>90,287</w:t>
            </w:r>
          </w:p>
        </w:tc>
        <w:tc>
          <w:tcPr>
            <w:tcW w:w="1220" w:type="dxa"/>
            <w:tcBorders>
              <w:bottom w:val="single" w:sz="8" w:space="0" w:color="000000"/>
            </w:tcBorders>
            <w:shd w:val="clear" w:color="auto" w:fill="CCEDFF"/>
          </w:tcPr>
          <w:p>
            <w:pPr>
              <w:pStyle w:val="TableParagraph"/>
              <w:spacing w:before="20"/>
              <w:ind w:right="76"/>
              <w:jc w:val="right"/>
              <w:rPr>
                <w:sz w:val="20"/>
              </w:rPr>
            </w:pPr>
            <w:r>
              <w:rPr>
                <w:spacing w:val="-10"/>
                <w:sz w:val="20"/>
              </w:rPr>
              <w:t>—</w:t>
            </w:r>
          </w:p>
        </w:tc>
        <w:tc>
          <w:tcPr>
            <w:tcW w:w="1260" w:type="dxa"/>
            <w:gridSpan w:val="2"/>
            <w:shd w:val="clear" w:color="auto" w:fill="CCEDFF"/>
          </w:tcPr>
          <w:p>
            <w:pPr>
              <w:pStyle w:val="TableParagraph"/>
              <w:spacing w:before="20"/>
              <w:ind w:left="545"/>
              <w:rPr>
                <w:sz w:val="20"/>
              </w:rPr>
            </w:pPr>
            <w:r>
              <w:rPr>
                <w:spacing w:val="-2"/>
                <w:sz w:val="20"/>
              </w:rPr>
              <w:t>(96,938)</w:t>
            </w:r>
          </w:p>
        </w:tc>
      </w:tr>
      <w:tr>
        <w:trPr>
          <w:trHeight w:val="457" w:hRule="atLeast"/>
        </w:trPr>
        <w:tc>
          <w:tcPr>
            <w:tcW w:w="5680" w:type="dxa"/>
          </w:tcPr>
          <w:p>
            <w:pPr>
              <w:pStyle w:val="TableParagraph"/>
              <w:spacing w:before="10"/>
              <w:ind w:left="50"/>
              <w:rPr>
                <w:sz w:val="20"/>
              </w:rPr>
            </w:pPr>
            <w:r>
              <w:rPr/>
              <mc:AlternateContent>
                <mc:Choice Requires="wps">
                  <w:drawing>
                    <wp:anchor distT="0" distB="0" distL="0" distR="0" allowOverlap="1" layoutInCell="1" locked="0" behindDoc="0" simplePos="0" relativeHeight="15835136">
                      <wp:simplePos x="0" y="0"/>
                      <wp:positionH relativeFrom="column">
                        <wp:posOffset>6350</wp:posOffset>
                      </wp:positionH>
                      <wp:positionV relativeFrom="paragraph">
                        <wp:posOffset>287273</wp:posOffset>
                      </wp:positionV>
                      <wp:extent cx="1692275" cy="3810"/>
                      <wp:effectExtent l="0" t="0" r="0" b="0"/>
                      <wp:wrapNone/>
                      <wp:docPr id="540" name="Group 540"/>
                      <wp:cNvGraphicFramePr>
                        <a:graphicFrameLocks/>
                      </wp:cNvGraphicFramePr>
                      <a:graphic>
                        <a:graphicData uri="http://schemas.microsoft.com/office/word/2010/wordprocessingGroup">
                          <wpg:wgp>
                            <wpg:cNvPr id="540" name="Group 540"/>
                            <wpg:cNvGrpSpPr/>
                            <wpg:grpSpPr>
                              <a:xfrm>
                                <a:off x="0" y="0"/>
                                <a:ext cx="1692275" cy="3810"/>
                                <a:chExt cx="1692275" cy="3810"/>
                              </a:xfrm>
                            </wpg:grpSpPr>
                            <wps:wsp>
                              <wps:cNvPr id="541" name="Graphic 541"/>
                              <wps:cNvSpPr/>
                              <wps:spPr>
                                <a:xfrm>
                                  <a:off x="0" y="1651"/>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pt;margin-top:22.619938pt;width:133.25pt;height:.3pt;mso-position-horizontal-relative:column;mso-position-vertical-relative:paragraph;z-index:15835136" id="docshapegroup424" coordorigin="10,452" coordsize="2665,6">
                      <v:line style="position:absolute" from="10,455" to="2675,455" stroked="true" strokeweight=".26pt" strokecolor="#000000">
                        <v:stroke dashstyle="solid"/>
                      </v:line>
                      <w10:wrap type="none"/>
                    </v:group>
                  </w:pict>
                </mc:Fallback>
              </mc:AlternateContent>
            </w:r>
            <w:r>
              <w:rPr>
                <w:sz w:val="20"/>
              </w:rPr>
              <w:t>Total</w:t>
            </w:r>
            <w:r>
              <w:rPr>
                <w:spacing w:val="-2"/>
                <w:sz w:val="20"/>
              </w:rPr>
              <w:t> </w:t>
            </w:r>
            <w:r>
              <w:rPr>
                <w:sz w:val="20"/>
              </w:rPr>
              <w:t>accumulated</w:t>
            </w:r>
            <w:r>
              <w:rPr>
                <w:spacing w:val="-2"/>
                <w:sz w:val="20"/>
              </w:rPr>
              <w:t> </w:t>
            </w:r>
            <w:r>
              <w:rPr>
                <w:sz w:val="20"/>
              </w:rPr>
              <w:t>other</w:t>
            </w:r>
            <w:r>
              <w:rPr>
                <w:spacing w:val="-2"/>
                <w:sz w:val="20"/>
              </w:rPr>
              <w:t> </w:t>
            </w:r>
            <w:r>
              <w:rPr>
                <w:sz w:val="20"/>
              </w:rPr>
              <w:t>comprehensive</w:t>
            </w:r>
            <w:r>
              <w:rPr>
                <w:spacing w:val="-1"/>
                <w:sz w:val="20"/>
              </w:rPr>
              <w:t> </w:t>
            </w:r>
            <w:r>
              <w:rPr>
                <w:sz w:val="20"/>
              </w:rPr>
              <w:t>income</w:t>
            </w:r>
            <w:r>
              <w:rPr>
                <w:spacing w:val="-2"/>
                <w:sz w:val="20"/>
              </w:rPr>
              <w:t> </w:t>
            </w:r>
            <w:r>
              <w:rPr>
                <w:sz w:val="20"/>
              </w:rPr>
              <w:t>(loss),</w:t>
            </w:r>
            <w:r>
              <w:rPr>
                <w:spacing w:val="-2"/>
                <w:sz w:val="20"/>
              </w:rPr>
              <w:t> </w:t>
            </w:r>
            <w:r>
              <w:rPr>
                <w:sz w:val="20"/>
              </w:rPr>
              <w:t>net</w:t>
            </w:r>
            <w:r>
              <w:rPr>
                <w:spacing w:val="-2"/>
                <w:sz w:val="20"/>
              </w:rPr>
              <w:t> </w:t>
            </w:r>
            <w:r>
              <w:rPr>
                <w:sz w:val="20"/>
              </w:rPr>
              <w:t>of</w:t>
            </w:r>
            <w:r>
              <w:rPr>
                <w:spacing w:val="-1"/>
                <w:sz w:val="20"/>
              </w:rPr>
              <w:t> </w:t>
            </w:r>
            <w:r>
              <w:rPr>
                <w:spacing w:val="-2"/>
                <w:sz w:val="20"/>
              </w:rPr>
              <w:t>taxes</w:t>
            </w:r>
          </w:p>
        </w:tc>
        <w:tc>
          <w:tcPr>
            <w:tcW w:w="1040" w:type="dxa"/>
            <w:tcBorders>
              <w:top w:val="single" w:sz="8" w:space="0" w:color="000000"/>
            </w:tcBorders>
          </w:tcPr>
          <w:p>
            <w:pPr>
              <w:pStyle w:val="TableParagraph"/>
              <w:spacing w:before="10"/>
              <w:ind w:right="68"/>
              <w:jc w:val="right"/>
              <w:rPr>
                <w:sz w:val="20"/>
              </w:rPr>
            </w:pPr>
            <w:r>
              <w:rPr/>
              <mc:AlternateContent>
                <mc:Choice Requires="wps">
                  <w:drawing>
                    <wp:anchor distT="0" distB="0" distL="0" distR="0" allowOverlap="1" layoutInCell="1" locked="0" behindDoc="1" simplePos="0" relativeHeight="479890432">
                      <wp:simplePos x="0" y="0"/>
                      <wp:positionH relativeFrom="column">
                        <wp:posOffset>0</wp:posOffset>
                      </wp:positionH>
                      <wp:positionV relativeFrom="paragraph">
                        <wp:posOffset>165175</wp:posOffset>
                      </wp:positionV>
                      <wp:extent cx="622300" cy="38100"/>
                      <wp:effectExtent l="0" t="0" r="0" b="0"/>
                      <wp:wrapNone/>
                      <wp:docPr id="542" name="Group 542"/>
                      <wp:cNvGraphicFramePr>
                        <a:graphicFrameLocks/>
                      </wp:cNvGraphicFramePr>
                      <a:graphic>
                        <a:graphicData uri="http://schemas.microsoft.com/office/word/2010/wordprocessingGroup">
                          <wpg:wgp>
                            <wpg:cNvPr id="542" name="Group 542"/>
                            <wpg:cNvGrpSpPr/>
                            <wpg:grpSpPr>
                              <a:xfrm>
                                <a:off x="0" y="0"/>
                                <a:ext cx="622300" cy="38100"/>
                                <a:chExt cx="622300" cy="38100"/>
                              </a:xfrm>
                            </wpg:grpSpPr>
                            <wps:wsp>
                              <wps:cNvPr id="543" name="Graphic 543"/>
                              <wps:cNvSpPr/>
                              <wps:spPr>
                                <a:xfrm>
                                  <a:off x="0" y="6350"/>
                                  <a:ext cx="622300" cy="25400"/>
                                </a:xfrm>
                                <a:custGeom>
                                  <a:avLst/>
                                  <a:gdLst/>
                                  <a:ahLst/>
                                  <a:cxnLst/>
                                  <a:rect l="l" t="t" r="r" b="b"/>
                                  <a:pathLst>
                                    <a:path w="622300" h="25400">
                                      <a:moveTo>
                                        <a:pt x="0" y="0"/>
                                      </a:moveTo>
                                      <a:lnTo>
                                        <a:pt x="622300" y="0"/>
                                      </a:lnTo>
                                    </a:path>
                                    <a:path w="622300" h="25400">
                                      <a:moveTo>
                                        <a:pt x="0" y="25400"/>
                                      </a:moveTo>
                                      <a:lnTo>
                                        <a:pt x="6223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3.005941pt;width:49pt;height:3pt;mso-position-horizontal-relative:column;mso-position-vertical-relative:paragraph;z-index:-23426048" id="docshapegroup425" coordorigin="0,260" coordsize="980,60">
                      <v:shape style="position:absolute;left:0;top:270;width:980;height:40" id="docshape426" coordorigin="0,270" coordsize="980,40" path="m0,270l980,270m0,310l980,310e" filled="false" stroked="true" strokeweight="1pt" strokecolor="#000000">
                        <v:path arrowok="t"/>
                        <v:stroke dashstyle="solid"/>
                      </v:shape>
                      <w10:wrap type="none"/>
                    </v:group>
                  </w:pict>
                </mc:Fallback>
              </mc:AlternateContent>
            </w:r>
            <w:r>
              <w:rPr>
                <w:sz w:val="20"/>
              </w:rPr>
              <w:t>$</w:t>
            </w:r>
            <w:r>
              <w:rPr>
                <w:spacing w:val="-14"/>
                <w:sz w:val="20"/>
              </w:rPr>
              <w:t> </w:t>
            </w:r>
            <w:r>
              <w:rPr>
                <w:spacing w:val="-2"/>
                <w:sz w:val="20"/>
              </w:rPr>
              <w:t>(173,602)</w:t>
            </w:r>
          </w:p>
        </w:tc>
        <w:tc>
          <w:tcPr>
            <w:tcW w:w="1060" w:type="dxa"/>
            <w:tcBorders>
              <w:top w:val="single" w:sz="8" w:space="0" w:color="000000"/>
            </w:tcBorders>
          </w:tcPr>
          <w:p>
            <w:pPr>
              <w:pStyle w:val="TableParagraph"/>
              <w:tabs>
                <w:tab w:pos="372" w:val="left" w:leader="none"/>
              </w:tabs>
              <w:spacing w:before="10"/>
              <w:ind w:left="70"/>
              <w:rPr>
                <w:sz w:val="20"/>
              </w:rPr>
            </w:pPr>
            <w:r>
              <w:rPr/>
              <mc:AlternateContent>
                <mc:Choice Requires="wps">
                  <w:drawing>
                    <wp:anchor distT="0" distB="0" distL="0" distR="0" allowOverlap="1" layoutInCell="1" locked="0" behindDoc="1" simplePos="0" relativeHeight="479890944">
                      <wp:simplePos x="0" y="0"/>
                      <wp:positionH relativeFrom="column">
                        <wp:posOffset>12826</wp:posOffset>
                      </wp:positionH>
                      <wp:positionV relativeFrom="paragraph">
                        <wp:posOffset>165175</wp:posOffset>
                      </wp:positionV>
                      <wp:extent cx="622300" cy="38100"/>
                      <wp:effectExtent l="0" t="0" r="0" b="0"/>
                      <wp:wrapNone/>
                      <wp:docPr id="544" name="Group 544"/>
                      <wp:cNvGraphicFramePr>
                        <a:graphicFrameLocks/>
                      </wp:cNvGraphicFramePr>
                      <a:graphic>
                        <a:graphicData uri="http://schemas.microsoft.com/office/word/2010/wordprocessingGroup">
                          <wpg:wgp>
                            <wpg:cNvPr id="544" name="Group 544"/>
                            <wpg:cNvGrpSpPr/>
                            <wpg:grpSpPr>
                              <a:xfrm>
                                <a:off x="0" y="0"/>
                                <a:ext cx="622300" cy="38100"/>
                                <a:chExt cx="622300" cy="38100"/>
                              </a:xfrm>
                            </wpg:grpSpPr>
                            <wps:wsp>
                              <wps:cNvPr id="545" name="Graphic 545"/>
                              <wps:cNvSpPr/>
                              <wps:spPr>
                                <a:xfrm>
                                  <a:off x="0" y="6350"/>
                                  <a:ext cx="622300" cy="25400"/>
                                </a:xfrm>
                                <a:custGeom>
                                  <a:avLst/>
                                  <a:gdLst/>
                                  <a:ahLst/>
                                  <a:cxnLst/>
                                  <a:rect l="l" t="t" r="r" b="b"/>
                                  <a:pathLst>
                                    <a:path w="622300" h="25400">
                                      <a:moveTo>
                                        <a:pt x="0" y="0"/>
                                      </a:moveTo>
                                      <a:lnTo>
                                        <a:pt x="622300" y="0"/>
                                      </a:lnTo>
                                    </a:path>
                                    <a:path w="622300" h="25400">
                                      <a:moveTo>
                                        <a:pt x="0" y="25400"/>
                                      </a:moveTo>
                                      <a:lnTo>
                                        <a:pt x="6223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9961pt;margin-top:13.005941pt;width:49pt;height:3pt;mso-position-horizontal-relative:column;mso-position-vertical-relative:paragraph;z-index:-23425536" id="docshapegroup427" coordorigin="20,260" coordsize="980,60">
                      <v:shape style="position:absolute;left:20;top:270;width:980;height:40" id="docshape428" coordorigin="20,270" coordsize="980,40" path="m20,270l1000,270m20,310l1000,31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94,701</w:t>
            </w:r>
          </w:p>
        </w:tc>
        <w:tc>
          <w:tcPr>
            <w:tcW w:w="1220" w:type="dxa"/>
            <w:tcBorders>
              <w:top w:val="single" w:sz="8" w:space="0" w:color="000000"/>
            </w:tcBorders>
          </w:tcPr>
          <w:p>
            <w:pPr>
              <w:pStyle w:val="TableParagraph"/>
              <w:tabs>
                <w:tab w:pos="455" w:val="left" w:leader="none"/>
              </w:tabs>
              <w:spacing w:before="10"/>
              <w:ind w:right="8"/>
              <w:jc w:val="right"/>
              <w:rPr>
                <w:sz w:val="20"/>
              </w:rPr>
            </w:pPr>
            <w:r>
              <w:rPr/>
              <mc:AlternateContent>
                <mc:Choice Requires="wps">
                  <w:drawing>
                    <wp:anchor distT="0" distB="0" distL="0" distR="0" allowOverlap="1" layoutInCell="1" locked="0" behindDoc="1" simplePos="0" relativeHeight="479891456">
                      <wp:simplePos x="0" y="0"/>
                      <wp:positionH relativeFrom="column">
                        <wp:posOffset>12826</wp:posOffset>
                      </wp:positionH>
                      <wp:positionV relativeFrom="paragraph">
                        <wp:posOffset>165175</wp:posOffset>
                      </wp:positionV>
                      <wp:extent cx="762000" cy="38100"/>
                      <wp:effectExtent l="0" t="0" r="0" b="0"/>
                      <wp:wrapNone/>
                      <wp:docPr id="546" name="Group 546"/>
                      <wp:cNvGraphicFramePr>
                        <a:graphicFrameLocks/>
                      </wp:cNvGraphicFramePr>
                      <a:graphic>
                        <a:graphicData uri="http://schemas.microsoft.com/office/word/2010/wordprocessingGroup">
                          <wpg:wgp>
                            <wpg:cNvPr id="546" name="Group 546"/>
                            <wpg:cNvGrpSpPr/>
                            <wpg:grpSpPr>
                              <a:xfrm>
                                <a:off x="0" y="0"/>
                                <a:ext cx="762000" cy="38100"/>
                                <a:chExt cx="762000" cy="38100"/>
                              </a:xfrm>
                            </wpg:grpSpPr>
                            <wps:wsp>
                              <wps:cNvPr id="547" name="Graphic 547"/>
                              <wps:cNvSpPr/>
                              <wps:spPr>
                                <a:xfrm>
                                  <a:off x="0" y="635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9961pt;margin-top:13.005941pt;width:60pt;height:3pt;mso-position-horizontal-relative:column;mso-position-vertical-relative:paragraph;z-index:-23425024" id="docshapegroup429" coordorigin="20,260" coordsize="1200,60">
                      <v:shape style="position:absolute;left:20;top:270;width:1200;height:40" id="docshape430" coordorigin="20,270" coordsize="1200,40" path="m20,270l1220,270m20,310l1220,310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(32,920)</w:t>
            </w:r>
          </w:p>
        </w:tc>
        <w:tc>
          <w:tcPr>
            <w:tcW w:w="1260" w:type="dxa"/>
            <w:gridSpan w:val="2"/>
            <w:tcBorders>
              <w:top w:val="single" w:sz="8" w:space="0" w:color="000000"/>
            </w:tcBorders>
          </w:tcPr>
          <w:p>
            <w:pPr>
              <w:pStyle w:val="TableParagraph"/>
              <w:spacing w:before="10"/>
              <w:ind w:left="310"/>
              <w:rPr>
                <w:sz w:val="20"/>
              </w:rPr>
            </w:pPr>
            <w:r>
              <w:rPr/>
              <mc:AlternateContent>
                <mc:Choice Requires="wps">
                  <w:drawing>
                    <wp:anchor distT="0" distB="0" distL="0" distR="0" allowOverlap="1" layoutInCell="1" locked="0" behindDoc="1" simplePos="0" relativeHeight="479891968">
                      <wp:simplePos x="0" y="0"/>
                      <wp:positionH relativeFrom="column">
                        <wp:posOffset>165100</wp:posOffset>
                      </wp:positionH>
                      <wp:positionV relativeFrom="paragraph">
                        <wp:posOffset>165175</wp:posOffset>
                      </wp:positionV>
                      <wp:extent cx="622300" cy="38100"/>
                      <wp:effectExtent l="0" t="0" r="0" b="0"/>
                      <wp:wrapNone/>
                      <wp:docPr id="548" name="Group 548"/>
                      <wp:cNvGraphicFramePr>
                        <a:graphicFrameLocks/>
                      </wp:cNvGraphicFramePr>
                      <a:graphic>
                        <a:graphicData uri="http://schemas.microsoft.com/office/word/2010/wordprocessingGroup">
                          <wpg:wgp>
                            <wpg:cNvPr id="548" name="Group 548"/>
                            <wpg:cNvGrpSpPr/>
                            <wpg:grpSpPr>
                              <a:xfrm>
                                <a:off x="0" y="0"/>
                                <a:ext cx="622300" cy="38100"/>
                                <a:chExt cx="622300" cy="38100"/>
                              </a:xfrm>
                            </wpg:grpSpPr>
                            <wps:wsp>
                              <wps:cNvPr id="549" name="Graphic 549"/>
                              <wps:cNvSpPr/>
                              <wps:spPr>
                                <a:xfrm>
                                  <a:off x="0" y="6350"/>
                                  <a:ext cx="622300" cy="25400"/>
                                </a:xfrm>
                                <a:custGeom>
                                  <a:avLst/>
                                  <a:gdLst/>
                                  <a:ahLst/>
                                  <a:cxnLst/>
                                  <a:rect l="l" t="t" r="r" b="b"/>
                                  <a:pathLst>
                                    <a:path w="622300" h="25400">
                                      <a:moveTo>
                                        <a:pt x="0" y="0"/>
                                      </a:moveTo>
                                      <a:lnTo>
                                        <a:pt x="622300" y="0"/>
                                      </a:lnTo>
                                    </a:path>
                                    <a:path w="622300" h="25400">
                                      <a:moveTo>
                                        <a:pt x="0" y="25400"/>
                                      </a:moveTo>
                                      <a:lnTo>
                                        <a:pt x="6223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pt;margin-top:13.005941pt;width:49pt;height:3pt;mso-position-horizontal-relative:column;mso-position-vertical-relative:paragraph;z-index:-23424512" id="docshapegroup431" coordorigin="260,260" coordsize="980,60">
                      <v:shape style="position:absolute;left:260;top:270;width:980;height:40" id="docshape432" coordorigin="260,270" coordsize="980,40" path="m260,270l1240,270m260,310l1240,310e" filled="false" stroked="true" strokeweight="1pt" strokecolor="#000000">
                        <v:path arrowok="t"/>
                        <v:stroke dashstyle="solid"/>
                      </v:shape>
                      <w10:wrap type="none"/>
                    </v:group>
                  </w:pict>
                </mc:Fallback>
              </mc:AlternateContent>
            </w:r>
            <w:r>
              <w:rPr>
                <w:sz w:val="20"/>
              </w:rPr>
              <w:t>$</w:t>
            </w:r>
            <w:r>
              <w:rPr>
                <w:spacing w:val="-14"/>
                <w:sz w:val="20"/>
              </w:rPr>
              <w:t> </w:t>
            </w:r>
            <w:r>
              <w:rPr>
                <w:spacing w:val="-2"/>
                <w:sz w:val="20"/>
              </w:rPr>
              <w:t>(111,821)</w:t>
            </w:r>
          </w:p>
        </w:tc>
      </w:tr>
    </w:tbl>
    <w:p>
      <w:pPr>
        <w:pStyle w:val="BodyText"/>
        <w:tabs>
          <w:tab w:pos="579" w:val="left" w:leader="none"/>
        </w:tabs>
        <w:spacing w:line="249" w:lineRule="auto" w:before="119"/>
        <w:ind w:left="580" w:right="583" w:hanging="360"/>
      </w:pPr>
      <w:r>
        <w:rPr>
          <w:spacing w:val="-4"/>
          <w:vertAlign w:val="superscript"/>
        </w:rPr>
        <w:t>(1)</w:t>
      </w:r>
      <w:r>
        <w:rPr>
          <w:vertAlign w:val="baseline"/>
        </w:rPr>
        <w:tab/>
        <w:t>Reclassification</w:t>
      </w:r>
      <w:r>
        <w:rPr>
          <w:spacing w:val="-3"/>
          <w:vertAlign w:val="baseline"/>
        </w:rPr>
        <w:t> </w:t>
      </w:r>
      <w:r>
        <w:rPr>
          <w:vertAlign w:val="baseline"/>
        </w:rPr>
        <w:t>adjustments</w:t>
      </w:r>
      <w:r>
        <w:rPr>
          <w:spacing w:val="-4"/>
          <w:vertAlign w:val="baseline"/>
        </w:rPr>
        <w:t> </w:t>
      </w:r>
      <w:r>
        <w:rPr>
          <w:vertAlign w:val="baseline"/>
        </w:rPr>
        <w:t>for</w:t>
      </w:r>
      <w:r>
        <w:rPr>
          <w:spacing w:val="-3"/>
          <w:vertAlign w:val="baseline"/>
        </w:rPr>
        <w:t> </w:t>
      </w:r>
      <w:r>
        <w:rPr>
          <w:vertAlign w:val="baseline"/>
        </w:rPr>
        <w:t>gains</w:t>
      </w:r>
      <w:r>
        <w:rPr>
          <w:spacing w:val="-4"/>
          <w:vertAlign w:val="baseline"/>
        </w:rPr>
        <w:t> </w:t>
      </w:r>
      <w:r>
        <w:rPr>
          <w:vertAlign w:val="baseline"/>
        </w:rPr>
        <w:t>/</w:t>
      </w:r>
      <w:r>
        <w:rPr>
          <w:spacing w:val="-3"/>
          <w:vertAlign w:val="baseline"/>
        </w:rPr>
        <w:t> </w:t>
      </w:r>
      <w:r>
        <w:rPr>
          <w:vertAlign w:val="baseline"/>
        </w:rPr>
        <w:t>losses</w:t>
      </w:r>
      <w:r>
        <w:rPr>
          <w:spacing w:val="-4"/>
          <w:vertAlign w:val="baseline"/>
        </w:rPr>
        <w:t> </w:t>
      </w:r>
      <w:r>
        <w:rPr>
          <w:vertAlign w:val="baseline"/>
        </w:rPr>
        <w:t>on</w:t>
      </w:r>
      <w:r>
        <w:rPr>
          <w:spacing w:val="-3"/>
          <w:vertAlign w:val="baseline"/>
        </w:rPr>
        <w:t> </w:t>
      </w:r>
      <w:r>
        <w:rPr>
          <w:vertAlign w:val="baseline"/>
        </w:rPr>
        <w:t>available-for-sale</w:t>
      </w:r>
      <w:r>
        <w:rPr>
          <w:spacing w:val="-3"/>
          <w:vertAlign w:val="baseline"/>
        </w:rPr>
        <w:t> </w:t>
      </w:r>
      <w:r>
        <w:rPr>
          <w:vertAlign w:val="baseline"/>
        </w:rPr>
        <w:t>securities</w:t>
      </w:r>
      <w:r>
        <w:rPr>
          <w:spacing w:val="-4"/>
          <w:vertAlign w:val="baseline"/>
        </w:rPr>
        <w:t> </w:t>
      </w:r>
      <w:r>
        <w:rPr>
          <w:vertAlign w:val="baseline"/>
        </w:rPr>
        <w:t>are</w:t>
      </w:r>
      <w:r>
        <w:rPr>
          <w:spacing w:val="-3"/>
          <w:vertAlign w:val="baseline"/>
        </w:rPr>
        <w:t> </w:t>
      </w:r>
      <w:r>
        <w:rPr>
          <w:vertAlign w:val="baseline"/>
        </w:rPr>
        <w:t>classified</w:t>
      </w:r>
      <w:r>
        <w:rPr>
          <w:spacing w:val="-3"/>
          <w:vertAlign w:val="baseline"/>
        </w:rPr>
        <w:t> </w:t>
      </w:r>
      <w:r>
        <w:rPr>
          <w:vertAlign w:val="baseline"/>
        </w:rPr>
        <w:t>in</w:t>
      </w:r>
      <w:r>
        <w:rPr>
          <w:spacing w:val="-3"/>
          <w:vertAlign w:val="baseline"/>
        </w:rPr>
        <w:t> </w:t>
      </w:r>
      <w:r>
        <w:rPr>
          <w:vertAlign w:val="baseline"/>
        </w:rPr>
        <w:t>interest</w:t>
      </w:r>
      <w:r>
        <w:rPr>
          <w:spacing w:val="-3"/>
          <w:vertAlign w:val="baseline"/>
        </w:rPr>
        <w:t> </w:t>
      </w:r>
      <w:r>
        <w:rPr>
          <w:vertAlign w:val="baseline"/>
        </w:rPr>
        <w:t>and</w:t>
      </w:r>
      <w:r>
        <w:rPr>
          <w:spacing w:val="-3"/>
          <w:vertAlign w:val="baseline"/>
        </w:rPr>
        <w:t> </w:t>
      </w:r>
      <w:r>
        <w:rPr>
          <w:vertAlign w:val="baseline"/>
        </w:rPr>
        <w:t>other</w:t>
      </w:r>
      <w:r>
        <w:rPr>
          <w:spacing w:val="-3"/>
          <w:vertAlign w:val="baseline"/>
        </w:rPr>
        <w:t> </w:t>
      </w:r>
      <w:r>
        <w:rPr>
          <w:vertAlign w:val="baseline"/>
        </w:rPr>
        <w:t>income (expense), net.</w:t>
      </w:r>
    </w:p>
    <w:p>
      <w:pPr>
        <w:pStyle w:val="BodyText"/>
        <w:tabs>
          <w:tab w:pos="579" w:val="left" w:leader="none"/>
        </w:tabs>
        <w:spacing w:before="2"/>
        <w:ind w:left="220"/>
      </w:pPr>
      <w:r>
        <w:rPr>
          <w:spacing w:val="-5"/>
          <w:vertAlign w:val="superscript"/>
        </w:rPr>
        <w:t>(2)</w:t>
      </w:r>
      <w:r>
        <w:rPr>
          <w:vertAlign w:val="baseline"/>
        </w:rPr>
        <w:tab/>
        <w:t>Reclassification</w:t>
      </w:r>
      <w:r>
        <w:rPr>
          <w:spacing w:val="-3"/>
          <w:vertAlign w:val="baseline"/>
        </w:rPr>
        <w:t> </w:t>
      </w:r>
      <w:r>
        <w:rPr>
          <w:vertAlign w:val="baseline"/>
        </w:rPr>
        <w:t>adjustments</w:t>
      </w:r>
      <w:r>
        <w:rPr>
          <w:spacing w:val="-2"/>
          <w:vertAlign w:val="baseline"/>
        </w:rPr>
        <w:t> </w:t>
      </w:r>
      <w:r>
        <w:rPr>
          <w:vertAlign w:val="baseline"/>
        </w:rPr>
        <w:t>for</w:t>
      </w:r>
      <w:r>
        <w:rPr>
          <w:spacing w:val="-2"/>
          <w:vertAlign w:val="baseline"/>
        </w:rPr>
        <w:t> </w:t>
      </w:r>
      <w:r>
        <w:rPr>
          <w:vertAlign w:val="baseline"/>
        </w:rPr>
        <w:t>gains</w:t>
      </w:r>
      <w:r>
        <w:rPr>
          <w:spacing w:val="-2"/>
          <w:vertAlign w:val="baseline"/>
        </w:rPr>
        <w:t> </w:t>
      </w:r>
      <w:r>
        <w:rPr>
          <w:vertAlign w:val="baseline"/>
        </w:rPr>
        <w:t>/</w:t>
      </w:r>
      <w:r>
        <w:rPr>
          <w:spacing w:val="-3"/>
          <w:vertAlign w:val="baseline"/>
        </w:rPr>
        <w:t> </w:t>
      </w:r>
      <w:r>
        <w:rPr>
          <w:vertAlign w:val="baseline"/>
        </w:rPr>
        <w:t>losses</w:t>
      </w:r>
      <w:r>
        <w:rPr>
          <w:spacing w:val="-2"/>
          <w:vertAlign w:val="baseline"/>
        </w:rPr>
        <w:t> </w:t>
      </w:r>
      <w:r>
        <w:rPr>
          <w:vertAlign w:val="baseline"/>
        </w:rPr>
        <w:t>on</w:t>
      </w:r>
      <w:r>
        <w:rPr>
          <w:spacing w:val="-2"/>
          <w:vertAlign w:val="baseline"/>
        </w:rPr>
        <w:t> </w:t>
      </w:r>
      <w:r>
        <w:rPr>
          <w:vertAlign w:val="baseline"/>
        </w:rPr>
        <w:t>other</w:t>
      </w:r>
      <w:r>
        <w:rPr>
          <w:spacing w:val="-2"/>
          <w:vertAlign w:val="baseline"/>
        </w:rPr>
        <w:t> </w:t>
      </w:r>
      <w:r>
        <w:rPr>
          <w:vertAlign w:val="baseline"/>
        </w:rPr>
        <w:t>derivative</w:t>
      </w:r>
      <w:r>
        <w:rPr>
          <w:spacing w:val="-4"/>
          <w:vertAlign w:val="baseline"/>
        </w:rPr>
        <w:t> </w:t>
      </w:r>
      <w:r>
        <w:rPr>
          <w:vertAlign w:val="baseline"/>
        </w:rPr>
        <w:t>instruments</w:t>
      </w:r>
      <w:r>
        <w:rPr>
          <w:spacing w:val="-2"/>
          <w:vertAlign w:val="baseline"/>
        </w:rPr>
        <w:t> </w:t>
      </w:r>
      <w:r>
        <w:rPr>
          <w:vertAlign w:val="baseline"/>
        </w:rPr>
        <w:t>are</w:t>
      </w:r>
      <w:r>
        <w:rPr>
          <w:spacing w:val="-2"/>
          <w:vertAlign w:val="baseline"/>
        </w:rPr>
        <w:t> </w:t>
      </w:r>
      <w:r>
        <w:rPr>
          <w:vertAlign w:val="baseline"/>
        </w:rPr>
        <w:t>classified</w:t>
      </w:r>
      <w:r>
        <w:rPr>
          <w:spacing w:val="-3"/>
          <w:vertAlign w:val="baseline"/>
        </w:rPr>
        <w:t> </w:t>
      </w:r>
      <w:r>
        <w:rPr>
          <w:vertAlign w:val="baseline"/>
        </w:rPr>
        <w:t>in</w:t>
      </w:r>
      <w:r>
        <w:rPr>
          <w:spacing w:val="-2"/>
          <w:vertAlign w:val="baseline"/>
        </w:rPr>
        <w:t> revenue.</w:t>
      </w:r>
    </w:p>
    <w:p>
      <w:pPr>
        <w:spacing w:after="0"/>
        <w:sectPr>
          <w:type w:val="continuous"/>
          <w:pgSz w:w="12240" w:h="15840"/>
          <w:pgMar w:header="210" w:footer="610" w:top="680" w:bottom="280" w:left="780" w:right="740"/>
        </w:sectPr>
      </w:pPr>
    </w:p>
    <w:p>
      <w:pPr>
        <w:pStyle w:val="BodyText"/>
      </w:pPr>
    </w:p>
    <w:p>
      <w:pPr>
        <w:pStyle w:val="BodyText"/>
      </w:pPr>
    </w:p>
    <w:p>
      <w:pPr>
        <w:pStyle w:val="BodyText"/>
        <w:spacing w:before="30"/>
      </w:pPr>
    </w:p>
    <w:p>
      <w:pPr>
        <w:pStyle w:val="BodyText"/>
        <w:spacing w:line="249" w:lineRule="auto"/>
        <w:ind w:left="220" w:right="240" w:firstLine="540"/>
      </w:pPr>
      <w:r>
        <w:rPr/>
        <w:t>The</w:t>
      </w:r>
      <w:r>
        <w:rPr>
          <w:spacing w:val="-2"/>
        </w:rPr>
        <w:t> </w:t>
      </w:r>
      <w:r>
        <w:rPr/>
        <w:t>following</w:t>
      </w:r>
      <w:r>
        <w:rPr>
          <w:spacing w:val="-2"/>
        </w:rPr>
        <w:t> </w:t>
      </w:r>
      <w:r>
        <w:rPr/>
        <w:t>table</w:t>
      </w:r>
      <w:r>
        <w:rPr>
          <w:spacing w:val="-2"/>
        </w:rPr>
        <w:t> </w:t>
      </w:r>
      <w:r>
        <w:rPr/>
        <w:t>sets</w:t>
      </w:r>
      <w:r>
        <w:rPr>
          <w:spacing w:val="-3"/>
        </w:rPr>
        <w:t> </w:t>
      </w:r>
      <w:r>
        <w:rPr/>
        <w:t>forth</w:t>
      </w:r>
      <w:r>
        <w:rPr>
          <w:spacing w:val="-2"/>
        </w:rPr>
        <w:t> </w:t>
      </w:r>
      <w:r>
        <w:rPr/>
        <w:t>the</w:t>
      </w:r>
      <w:r>
        <w:rPr>
          <w:spacing w:val="-2"/>
        </w:rPr>
        <w:t> </w:t>
      </w:r>
      <w:r>
        <w:rPr/>
        <w:t>taxes</w:t>
      </w:r>
      <w:r>
        <w:rPr>
          <w:spacing w:val="-3"/>
        </w:rPr>
        <w:t> </w:t>
      </w:r>
      <w:r>
        <w:rPr/>
        <w:t>related</w:t>
      </w:r>
      <w:r>
        <w:rPr>
          <w:spacing w:val="-2"/>
        </w:rPr>
        <w:t> </w:t>
      </w:r>
      <w:r>
        <w:rPr/>
        <w:t>to</w:t>
      </w:r>
      <w:r>
        <w:rPr>
          <w:spacing w:val="-2"/>
        </w:rPr>
        <w:t> </w:t>
      </w:r>
      <w:r>
        <w:rPr/>
        <w:t>each</w:t>
      </w:r>
      <w:r>
        <w:rPr>
          <w:spacing w:val="-2"/>
        </w:rPr>
        <w:t> </w:t>
      </w:r>
      <w:r>
        <w:rPr/>
        <w:t>component</w:t>
      </w:r>
      <w:r>
        <w:rPr>
          <w:spacing w:val="-2"/>
        </w:rPr>
        <w:t> </w:t>
      </w:r>
      <w:r>
        <w:rPr/>
        <w:t>of</w:t>
      </w:r>
      <w:r>
        <w:rPr>
          <w:spacing w:val="-2"/>
        </w:rPr>
        <w:t> </w:t>
      </w:r>
      <w:r>
        <w:rPr/>
        <w:t>other</w:t>
      </w:r>
      <w:r>
        <w:rPr>
          <w:spacing w:val="-2"/>
        </w:rPr>
        <w:t> </w:t>
      </w:r>
      <w:r>
        <w:rPr/>
        <w:t>comprehensive</w:t>
      </w:r>
      <w:r>
        <w:rPr>
          <w:spacing w:val="-2"/>
        </w:rPr>
        <w:t> </w:t>
      </w:r>
      <w:r>
        <w:rPr/>
        <w:t>income</w:t>
      </w:r>
      <w:r>
        <w:rPr>
          <w:spacing w:val="-2"/>
        </w:rPr>
        <w:t> </w:t>
      </w:r>
      <w:r>
        <w:rPr/>
        <w:t>for</w:t>
      </w:r>
      <w:r>
        <w:rPr>
          <w:spacing w:val="-2"/>
        </w:rPr>
        <w:t> </w:t>
      </w:r>
      <w:r>
        <w:rPr/>
        <w:t>fiscal</w:t>
      </w:r>
      <w:r>
        <w:rPr>
          <w:spacing w:val="-4"/>
        </w:rPr>
        <w:t> </w:t>
      </w:r>
      <w:r>
        <w:rPr/>
        <w:t>2017,</w:t>
      </w:r>
      <w:r>
        <w:rPr>
          <w:spacing w:val="-2"/>
        </w:rPr>
        <w:t> </w:t>
      </w:r>
      <w:r>
        <w:rPr/>
        <w:t>2016 and 2015 (in thousands):</w:t>
      </w:r>
    </w:p>
    <w:p>
      <w:pPr>
        <w:pStyle w:val="BodyText"/>
        <w:spacing w:before="180"/>
        <w:rPr>
          <w:sz w:val="16"/>
        </w:rPr>
      </w:pPr>
    </w:p>
    <w:p>
      <w:pPr>
        <w:tabs>
          <w:tab w:pos="8419" w:val="left" w:leader="none"/>
          <w:tab w:pos="9699" w:val="left" w:leader="none"/>
        </w:tabs>
        <w:spacing w:before="0"/>
        <w:ind w:left="7140" w:right="0" w:firstLine="0"/>
        <w:jc w:val="left"/>
        <w:rPr>
          <w:b/>
          <w:sz w:val="16"/>
        </w:rPr>
      </w:pPr>
      <w:r>
        <w:rPr/>
        <mc:AlternateContent>
          <mc:Choice Requires="wps">
            <w:drawing>
              <wp:anchor distT="0" distB="0" distL="0" distR="0" allowOverlap="1" layoutInCell="1" locked="0" behindDoc="1" simplePos="0" relativeHeight="487694848">
                <wp:simplePos x="0" y="0"/>
                <wp:positionH relativeFrom="page">
                  <wp:posOffset>4756150</wp:posOffset>
                </wp:positionH>
                <wp:positionV relativeFrom="paragraph">
                  <wp:posOffset>148877</wp:posOffset>
                </wp:positionV>
                <wp:extent cx="762000" cy="1270"/>
                <wp:effectExtent l="0" t="0" r="0" b="0"/>
                <wp:wrapTopAndBottom/>
                <wp:docPr id="550" name="Graphic 550"/>
                <wp:cNvGraphicFramePr>
                  <a:graphicFrameLocks/>
                </wp:cNvGraphicFramePr>
                <a:graphic>
                  <a:graphicData uri="http://schemas.microsoft.com/office/word/2010/wordprocessingShape">
                    <wps:wsp>
                      <wps:cNvPr id="550" name="Graphic 550"/>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4.5pt;margin-top:11.722656pt;width:60pt;height:.1pt;mso-position-horizontal-relative:page;mso-position-vertical-relative:paragraph;z-index:-15621632;mso-wrap-distance-left:0;mso-wrap-distance-right:0" id="docshape433" coordorigin="7490,234" coordsize="1200,0" path="m7490,234l8690,23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5360">
                <wp:simplePos x="0" y="0"/>
                <wp:positionH relativeFrom="page">
                  <wp:posOffset>5568950</wp:posOffset>
                </wp:positionH>
                <wp:positionV relativeFrom="paragraph">
                  <wp:posOffset>148877</wp:posOffset>
                </wp:positionV>
                <wp:extent cx="762000" cy="1270"/>
                <wp:effectExtent l="0" t="0" r="0" b="0"/>
                <wp:wrapTopAndBottom/>
                <wp:docPr id="551" name="Graphic 551"/>
                <wp:cNvGraphicFramePr>
                  <a:graphicFrameLocks/>
                </wp:cNvGraphicFramePr>
                <a:graphic>
                  <a:graphicData uri="http://schemas.microsoft.com/office/word/2010/wordprocessingShape">
                    <wps:wsp>
                      <wps:cNvPr id="551" name="Graphic 551"/>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8.5pt;margin-top:11.722656pt;width:60pt;height:.1pt;mso-position-horizontal-relative:page;mso-position-vertical-relative:paragraph;z-index:-15621120;mso-wrap-distance-left:0;mso-wrap-distance-right:0" id="docshape434" coordorigin="8770,234" coordsize="1200,0" path="m8770,234l9970,234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5872">
                <wp:simplePos x="0" y="0"/>
                <wp:positionH relativeFrom="page">
                  <wp:posOffset>6381750</wp:posOffset>
                </wp:positionH>
                <wp:positionV relativeFrom="paragraph">
                  <wp:posOffset>148877</wp:posOffset>
                </wp:positionV>
                <wp:extent cx="762000" cy="1270"/>
                <wp:effectExtent l="0" t="0" r="0" b="0"/>
                <wp:wrapTopAndBottom/>
                <wp:docPr id="552" name="Graphic 552"/>
                <wp:cNvGraphicFramePr>
                  <a:graphicFrameLocks/>
                </wp:cNvGraphicFramePr>
                <a:graphic>
                  <a:graphicData uri="http://schemas.microsoft.com/office/word/2010/wordprocessingShape">
                    <wps:wsp>
                      <wps:cNvPr id="552" name="Graphic 552"/>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2.5pt;margin-top:11.722656pt;width:60pt;height:.1pt;mso-position-horizontal-relative:page;mso-position-vertical-relative:paragraph;z-index:-15620608;mso-wrap-distance-left:0;mso-wrap-distance-right:0" id="docshape435" coordorigin="10050,234" coordsize="1200,0" path="m10050,234l11250,234e" filled="false" stroked="true" strokeweight="1pt" strokecolor="#000000">
                <v:path arrowok="t"/>
                <v:stroke dashstyle="solid"/>
                <w10:wrap type="topAndBottom"/>
              </v:shape>
            </w:pict>
          </mc:Fallback>
        </mc:AlternateContent>
      </w:r>
      <w:r>
        <w:rPr>
          <w:b/>
          <w:spacing w:val="-4"/>
          <w:sz w:val="16"/>
        </w:rPr>
        <w:t>2017</w:t>
      </w:r>
      <w:r>
        <w:rPr>
          <w:b/>
          <w:sz w:val="16"/>
        </w:rPr>
        <w:tab/>
      </w:r>
      <w:r>
        <w:rPr>
          <w:b/>
          <w:spacing w:val="-4"/>
          <w:sz w:val="16"/>
        </w:rPr>
        <w:t>2016</w:t>
      </w:r>
      <w:r>
        <w:rPr>
          <w:b/>
          <w:sz w:val="16"/>
        </w:rPr>
        <w:tab/>
      </w:r>
      <w:r>
        <w:rPr>
          <w:b/>
          <w:spacing w:val="-4"/>
          <w:sz w:val="16"/>
        </w:rPr>
        <w:t>2015</w:t>
      </w:r>
    </w:p>
    <w:p>
      <w:pPr>
        <w:pStyle w:val="BodyText"/>
        <w:spacing w:before="10" w:after="50"/>
        <w:ind w:left="400"/>
      </w:pPr>
      <w:r>
        <w:rPr>
          <w:spacing w:val="-2"/>
        </w:rPr>
        <w:t>Available-for-sale</w:t>
      </w:r>
      <w:r>
        <w:rPr>
          <w:spacing w:val="18"/>
        </w:rPr>
        <w:t> </w:t>
      </w:r>
      <w:r>
        <w:rPr>
          <w:spacing w:val="-2"/>
        </w:rPr>
        <w:t>securities:</w:t>
      </w: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7"/>
        <w:gridCol w:w="1834"/>
        <w:gridCol w:w="1281"/>
        <w:gridCol w:w="1233"/>
      </w:tblGrid>
      <w:tr>
        <w:trPr>
          <w:trHeight w:val="300" w:hRule="atLeast"/>
        </w:trPr>
        <w:tc>
          <w:tcPr>
            <w:tcW w:w="5907" w:type="dxa"/>
            <w:shd w:val="clear" w:color="auto" w:fill="CCEDFF"/>
          </w:tcPr>
          <w:p>
            <w:pPr>
              <w:pStyle w:val="TableParagraph"/>
              <w:spacing w:before="20"/>
              <w:ind w:left="410"/>
              <w:rPr>
                <w:sz w:val="20"/>
              </w:rPr>
            </w:pPr>
            <w:r>
              <w:rPr>
                <w:sz w:val="20"/>
              </w:rPr>
              <w:t>Unrealized</w:t>
            </w:r>
            <w:r>
              <w:rPr>
                <w:spacing w:val="-2"/>
                <w:sz w:val="20"/>
              </w:rPr>
              <w:t> </w:t>
            </w:r>
            <w:r>
              <w:rPr>
                <w:sz w:val="20"/>
              </w:rPr>
              <w:t>gains</w:t>
            </w:r>
            <w:r>
              <w:rPr>
                <w:spacing w:val="-2"/>
                <w:sz w:val="20"/>
              </w:rPr>
              <w:t> </w:t>
            </w:r>
            <w:r>
              <w:rPr>
                <w:sz w:val="20"/>
              </w:rPr>
              <w:t>/</w:t>
            </w:r>
            <w:r>
              <w:rPr>
                <w:spacing w:val="-1"/>
                <w:sz w:val="20"/>
              </w:rPr>
              <w:t> </w:t>
            </w:r>
            <w:r>
              <w:rPr>
                <w:spacing w:val="-2"/>
                <w:sz w:val="20"/>
              </w:rPr>
              <w:t>losses</w:t>
            </w:r>
          </w:p>
        </w:tc>
        <w:tc>
          <w:tcPr>
            <w:tcW w:w="1834" w:type="dxa"/>
            <w:shd w:val="clear" w:color="auto" w:fill="CCEDFF"/>
          </w:tcPr>
          <w:p>
            <w:pPr>
              <w:pStyle w:val="TableParagraph"/>
              <w:tabs>
                <w:tab w:pos="772" w:val="left" w:leader="none"/>
              </w:tabs>
              <w:spacing w:before="20"/>
              <w:ind w:right="137"/>
              <w:jc w:val="right"/>
              <w:rPr>
                <w:sz w:val="20"/>
              </w:rPr>
            </w:pPr>
            <w:r>
              <w:rPr>
                <w:spacing w:val="-10"/>
                <w:sz w:val="20"/>
              </w:rPr>
              <w:t>$</w:t>
            </w:r>
            <w:r>
              <w:rPr>
                <w:sz w:val="20"/>
              </w:rPr>
              <w:tab/>
            </w:r>
            <w:r>
              <w:rPr>
                <w:spacing w:val="-5"/>
                <w:sz w:val="20"/>
              </w:rPr>
              <w:t>663</w:t>
            </w:r>
          </w:p>
        </w:tc>
        <w:tc>
          <w:tcPr>
            <w:tcW w:w="1281" w:type="dxa"/>
            <w:shd w:val="clear" w:color="auto" w:fill="CCEDFF"/>
          </w:tcPr>
          <w:p>
            <w:pPr>
              <w:pStyle w:val="TableParagraph"/>
              <w:tabs>
                <w:tab w:pos="705" w:val="left" w:leader="none"/>
              </w:tabs>
              <w:spacing w:before="20"/>
              <w:ind w:right="70"/>
              <w:jc w:val="right"/>
              <w:rPr>
                <w:sz w:val="20"/>
              </w:rPr>
            </w:pPr>
            <w:r>
              <w:rPr>
                <w:spacing w:val="-10"/>
                <w:sz w:val="20"/>
              </w:rPr>
              <w:t>$</w:t>
            </w:r>
            <w:r>
              <w:rPr>
                <w:sz w:val="20"/>
              </w:rPr>
              <w:tab/>
            </w:r>
            <w:r>
              <w:rPr>
                <w:spacing w:val="-2"/>
                <w:sz w:val="20"/>
              </w:rPr>
              <w:t>(299)</w:t>
            </w:r>
          </w:p>
        </w:tc>
        <w:tc>
          <w:tcPr>
            <w:tcW w:w="1233" w:type="dxa"/>
            <w:shd w:val="clear" w:color="auto" w:fill="CCEDFF"/>
          </w:tcPr>
          <w:p>
            <w:pPr>
              <w:pStyle w:val="TableParagraph"/>
              <w:tabs>
                <w:tab w:pos="705" w:val="left" w:leader="none"/>
              </w:tabs>
              <w:spacing w:before="20"/>
              <w:ind w:right="23"/>
              <w:jc w:val="right"/>
              <w:rPr>
                <w:sz w:val="20"/>
              </w:rPr>
            </w:pPr>
            <w:r>
              <w:rPr>
                <w:spacing w:val="-10"/>
                <w:sz w:val="20"/>
              </w:rPr>
              <w:t>$</w:t>
            </w:r>
            <w:r>
              <w:rPr>
                <w:sz w:val="20"/>
              </w:rPr>
              <w:tab/>
            </w:r>
            <w:r>
              <w:rPr>
                <w:spacing w:val="-2"/>
                <w:sz w:val="20"/>
              </w:rPr>
              <w:t>(154)</w:t>
            </w:r>
          </w:p>
        </w:tc>
      </w:tr>
      <w:tr>
        <w:trPr>
          <w:trHeight w:val="290" w:hRule="atLeast"/>
        </w:trPr>
        <w:tc>
          <w:tcPr>
            <w:tcW w:w="5907" w:type="dxa"/>
          </w:tcPr>
          <w:p>
            <w:pPr>
              <w:pStyle w:val="TableParagraph"/>
              <w:spacing w:before="20"/>
              <w:ind w:left="410"/>
              <w:rPr>
                <w:sz w:val="20"/>
              </w:rPr>
            </w:pPr>
            <w:r>
              <w:rPr>
                <w:sz w:val="20"/>
              </w:rPr>
              <w:t>Reclassification </w:t>
            </w:r>
            <w:r>
              <w:rPr>
                <w:spacing w:val="-2"/>
                <w:sz w:val="20"/>
              </w:rPr>
              <w:t>adjustments</w:t>
            </w:r>
          </w:p>
        </w:tc>
        <w:tc>
          <w:tcPr>
            <w:tcW w:w="1834" w:type="dxa"/>
          </w:tcPr>
          <w:p>
            <w:pPr>
              <w:pStyle w:val="TableParagraph"/>
              <w:spacing w:before="20"/>
              <w:ind w:right="69"/>
              <w:jc w:val="right"/>
              <w:rPr>
                <w:sz w:val="20"/>
              </w:rPr>
            </w:pPr>
            <w:r>
              <w:rPr>
                <w:spacing w:val="-2"/>
                <w:sz w:val="20"/>
              </w:rPr>
              <w:t>(491)</w:t>
            </w:r>
          </w:p>
        </w:tc>
        <w:tc>
          <w:tcPr>
            <w:tcW w:w="1281" w:type="dxa"/>
          </w:tcPr>
          <w:p>
            <w:pPr>
              <w:pStyle w:val="TableParagraph"/>
              <w:spacing w:before="20"/>
              <w:ind w:right="138"/>
              <w:jc w:val="right"/>
              <w:rPr>
                <w:sz w:val="20"/>
              </w:rPr>
            </w:pPr>
            <w:r>
              <w:rPr>
                <w:spacing w:val="-5"/>
                <w:sz w:val="20"/>
              </w:rPr>
              <w:t>108</w:t>
            </w:r>
          </w:p>
        </w:tc>
        <w:tc>
          <w:tcPr>
            <w:tcW w:w="1233" w:type="dxa"/>
          </w:tcPr>
          <w:p>
            <w:pPr>
              <w:pStyle w:val="TableParagraph"/>
              <w:spacing w:before="20"/>
              <w:ind w:right="91"/>
              <w:jc w:val="right"/>
              <w:rPr>
                <w:sz w:val="20"/>
              </w:rPr>
            </w:pPr>
            <w:r>
              <w:rPr>
                <w:spacing w:val="-10"/>
                <w:sz w:val="20"/>
              </w:rPr>
              <w:t>—</w:t>
            </w:r>
          </w:p>
        </w:tc>
      </w:tr>
      <w:tr>
        <w:trPr>
          <w:trHeight w:val="290" w:hRule="atLeast"/>
        </w:trPr>
        <w:tc>
          <w:tcPr>
            <w:tcW w:w="5907" w:type="dxa"/>
            <w:shd w:val="clear" w:color="auto" w:fill="CCEDFF"/>
          </w:tcPr>
          <w:p>
            <w:pPr>
              <w:pStyle w:val="TableParagraph"/>
              <w:spacing w:before="10"/>
              <w:ind w:left="890"/>
              <w:rPr>
                <w:sz w:val="20"/>
              </w:rPr>
            </w:pPr>
            <w:r>
              <w:rPr>
                <w:sz w:val="20"/>
              </w:rPr>
              <w:t>Subtotal</w:t>
            </w:r>
            <w:r>
              <w:rPr>
                <w:spacing w:val="-2"/>
                <w:sz w:val="20"/>
              </w:rPr>
              <w:t> </w:t>
            </w:r>
            <w:r>
              <w:rPr>
                <w:sz w:val="20"/>
              </w:rPr>
              <w:t>available-for-sale</w:t>
            </w:r>
            <w:r>
              <w:rPr>
                <w:spacing w:val="-1"/>
                <w:sz w:val="20"/>
              </w:rPr>
              <w:t> </w:t>
            </w:r>
            <w:r>
              <w:rPr>
                <w:spacing w:val="-2"/>
                <w:sz w:val="20"/>
              </w:rPr>
              <w:t>securities</w:t>
            </w:r>
          </w:p>
        </w:tc>
        <w:tc>
          <w:tcPr>
            <w:tcW w:w="1834" w:type="dxa"/>
            <w:tcBorders>
              <w:top w:val="single" w:sz="8" w:space="0" w:color="000000"/>
            </w:tcBorders>
            <w:shd w:val="clear" w:color="auto" w:fill="CCEDFF"/>
          </w:tcPr>
          <w:p>
            <w:pPr>
              <w:pStyle w:val="TableParagraph"/>
              <w:spacing w:before="10"/>
              <w:ind w:right="137"/>
              <w:jc w:val="right"/>
              <w:rPr>
                <w:sz w:val="20"/>
              </w:rPr>
            </w:pPr>
            <w:r>
              <w:rPr>
                <w:spacing w:val="-5"/>
                <w:sz w:val="20"/>
              </w:rPr>
              <w:t>172</w:t>
            </w:r>
          </w:p>
        </w:tc>
        <w:tc>
          <w:tcPr>
            <w:tcW w:w="1281" w:type="dxa"/>
            <w:tcBorders>
              <w:top w:val="single" w:sz="8" w:space="0" w:color="000000"/>
            </w:tcBorders>
            <w:shd w:val="clear" w:color="auto" w:fill="CCEDFF"/>
          </w:tcPr>
          <w:p>
            <w:pPr>
              <w:pStyle w:val="TableParagraph"/>
              <w:spacing w:before="10"/>
              <w:ind w:right="70"/>
              <w:jc w:val="right"/>
              <w:rPr>
                <w:sz w:val="20"/>
              </w:rPr>
            </w:pPr>
            <w:r>
              <w:rPr>
                <w:spacing w:val="-2"/>
                <w:sz w:val="20"/>
              </w:rPr>
              <w:t>(191)</w:t>
            </w:r>
          </w:p>
        </w:tc>
        <w:tc>
          <w:tcPr>
            <w:tcW w:w="1233" w:type="dxa"/>
            <w:tcBorders>
              <w:top w:val="single" w:sz="8" w:space="0" w:color="000000"/>
            </w:tcBorders>
            <w:shd w:val="clear" w:color="auto" w:fill="CCEDFF"/>
          </w:tcPr>
          <w:p>
            <w:pPr>
              <w:pStyle w:val="TableParagraph"/>
              <w:spacing w:before="10"/>
              <w:ind w:right="23"/>
              <w:jc w:val="right"/>
              <w:rPr>
                <w:sz w:val="20"/>
              </w:rPr>
            </w:pPr>
            <w:r>
              <w:rPr>
                <w:spacing w:val="-2"/>
                <w:sz w:val="20"/>
              </w:rPr>
              <w:t>(154)</w:t>
            </w:r>
          </w:p>
        </w:tc>
      </w:tr>
      <w:tr>
        <w:trPr>
          <w:trHeight w:val="300" w:hRule="atLeast"/>
        </w:trPr>
        <w:tc>
          <w:tcPr>
            <w:tcW w:w="5907" w:type="dxa"/>
          </w:tcPr>
          <w:p>
            <w:pPr>
              <w:pStyle w:val="TableParagraph"/>
              <w:spacing w:before="20"/>
              <w:ind w:left="170"/>
              <w:rPr>
                <w:sz w:val="20"/>
              </w:rPr>
            </w:pPr>
            <w:r>
              <w:rPr>
                <w:sz w:val="20"/>
              </w:rPr>
              <w:t>Derivatives</w:t>
            </w:r>
            <w:r>
              <w:rPr>
                <w:spacing w:val="-4"/>
                <w:sz w:val="20"/>
              </w:rPr>
              <w:t> </w:t>
            </w:r>
            <w:r>
              <w:rPr>
                <w:sz w:val="20"/>
              </w:rPr>
              <w:t>designated</w:t>
            </w:r>
            <w:r>
              <w:rPr>
                <w:spacing w:val="-3"/>
                <w:sz w:val="20"/>
              </w:rPr>
              <w:t> </w:t>
            </w:r>
            <w:r>
              <w:rPr>
                <w:sz w:val="20"/>
              </w:rPr>
              <w:t>as</w:t>
            </w:r>
            <w:r>
              <w:rPr>
                <w:spacing w:val="-4"/>
                <w:sz w:val="20"/>
              </w:rPr>
              <w:t> </w:t>
            </w:r>
            <w:r>
              <w:rPr>
                <w:sz w:val="20"/>
              </w:rPr>
              <w:t>hedging</w:t>
            </w:r>
            <w:r>
              <w:rPr>
                <w:spacing w:val="-2"/>
                <w:sz w:val="20"/>
              </w:rPr>
              <w:t> instruments:</w:t>
            </w:r>
          </w:p>
        </w:tc>
        <w:tc>
          <w:tcPr>
            <w:tcW w:w="1834" w:type="dxa"/>
          </w:tcPr>
          <w:p>
            <w:pPr>
              <w:pStyle w:val="TableParagraph"/>
              <w:rPr>
                <w:sz w:val="18"/>
              </w:rPr>
            </w:pPr>
          </w:p>
        </w:tc>
        <w:tc>
          <w:tcPr>
            <w:tcW w:w="1281" w:type="dxa"/>
          </w:tcPr>
          <w:p>
            <w:pPr>
              <w:pStyle w:val="TableParagraph"/>
              <w:rPr>
                <w:sz w:val="18"/>
              </w:rPr>
            </w:pPr>
          </w:p>
        </w:tc>
        <w:tc>
          <w:tcPr>
            <w:tcW w:w="1233" w:type="dxa"/>
          </w:tcPr>
          <w:p>
            <w:pPr>
              <w:pStyle w:val="TableParagraph"/>
              <w:rPr>
                <w:sz w:val="18"/>
              </w:rPr>
            </w:pPr>
          </w:p>
        </w:tc>
      </w:tr>
      <w:tr>
        <w:trPr>
          <w:trHeight w:val="300" w:hRule="atLeast"/>
        </w:trPr>
        <w:tc>
          <w:tcPr>
            <w:tcW w:w="5907" w:type="dxa"/>
            <w:shd w:val="clear" w:color="auto" w:fill="CCEDFF"/>
          </w:tcPr>
          <w:p>
            <w:pPr>
              <w:pStyle w:val="TableParagraph"/>
              <w:spacing w:before="20"/>
              <w:ind w:left="410"/>
              <w:rPr>
                <w:sz w:val="20"/>
              </w:rPr>
            </w:pPr>
            <w:r>
              <w:rPr>
                <w:sz w:val="20"/>
              </w:rPr>
              <w:t>Unrealized</w:t>
            </w:r>
            <w:r>
              <w:rPr>
                <w:spacing w:val="-1"/>
                <w:sz w:val="20"/>
              </w:rPr>
              <w:t> </w:t>
            </w:r>
            <w:r>
              <w:rPr>
                <w:sz w:val="20"/>
              </w:rPr>
              <w:t>gains</w:t>
            </w:r>
            <w:r>
              <w:rPr>
                <w:spacing w:val="-2"/>
                <w:sz w:val="20"/>
              </w:rPr>
              <w:t> </w:t>
            </w:r>
            <w:r>
              <w:rPr>
                <w:sz w:val="20"/>
              </w:rPr>
              <w:t>on</w:t>
            </w:r>
            <w:r>
              <w:rPr>
                <w:spacing w:val="-1"/>
                <w:sz w:val="20"/>
              </w:rPr>
              <w:t> </w:t>
            </w:r>
            <w:r>
              <w:rPr>
                <w:sz w:val="20"/>
              </w:rPr>
              <w:t>derivative</w:t>
            </w:r>
            <w:r>
              <w:rPr>
                <w:spacing w:val="-1"/>
                <w:sz w:val="20"/>
              </w:rPr>
              <w:t> </w:t>
            </w:r>
            <w:r>
              <w:rPr>
                <w:spacing w:val="-2"/>
                <w:sz w:val="20"/>
              </w:rPr>
              <w:t>instruments</w:t>
            </w:r>
            <w:r>
              <w:rPr>
                <w:spacing w:val="-2"/>
                <w:sz w:val="20"/>
                <w:vertAlign w:val="superscript"/>
              </w:rPr>
              <w:t>*</w:t>
            </w:r>
          </w:p>
        </w:tc>
        <w:tc>
          <w:tcPr>
            <w:tcW w:w="1834" w:type="dxa"/>
            <w:shd w:val="clear" w:color="auto" w:fill="CCEDFF"/>
          </w:tcPr>
          <w:p>
            <w:pPr>
              <w:pStyle w:val="TableParagraph"/>
              <w:spacing w:before="20"/>
              <w:ind w:right="137"/>
              <w:jc w:val="right"/>
              <w:rPr>
                <w:sz w:val="20"/>
              </w:rPr>
            </w:pPr>
            <w:r>
              <w:rPr>
                <w:spacing w:val="-10"/>
                <w:sz w:val="20"/>
              </w:rPr>
              <w:t>—</w:t>
            </w:r>
          </w:p>
        </w:tc>
        <w:tc>
          <w:tcPr>
            <w:tcW w:w="1281" w:type="dxa"/>
            <w:shd w:val="clear" w:color="auto" w:fill="CCEDFF"/>
          </w:tcPr>
          <w:p>
            <w:pPr>
              <w:pStyle w:val="TableParagraph"/>
              <w:spacing w:before="20"/>
              <w:ind w:right="138"/>
              <w:jc w:val="right"/>
              <w:rPr>
                <w:sz w:val="20"/>
              </w:rPr>
            </w:pPr>
            <w:r>
              <w:rPr>
                <w:spacing w:val="-10"/>
                <w:sz w:val="20"/>
              </w:rPr>
              <w:t>—</w:t>
            </w:r>
          </w:p>
        </w:tc>
        <w:tc>
          <w:tcPr>
            <w:tcW w:w="1233" w:type="dxa"/>
            <w:shd w:val="clear" w:color="auto" w:fill="CCEDFF"/>
          </w:tcPr>
          <w:p>
            <w:pPr>
              <w:pStyle w:val="TableParagraph"/>
              <w:spacing w:before="20"/>
              <w:ind w:right="91"/>
              <w:jc w:val="right"/>
              <w:rPr>
                <w:sz w:val="20"/>
              </w:rPr>
            </w:pPr>
            <w:r>
              <w:rPr>
                <w:spacing w:val="-2"/>
                <w:sz w:val="20"/>
              </w:rPr>
              <w:t>6,147</w:t>
            </w:r>
          </w:p>
        </w:tc>
      </w:tr>
      <w:tr>
        <w:trPr>
          <w:trHeight w:val="290" w:hRule="atLeast"/>
        </w:trPr>
        <w:tc>
          <w:tcPr>
            <w:tcW w:w="5907" w:type="dxa"/>
          </w:tcPr>
          <w:p>
            <w:pPr>
              <w:pStyle w:val="TableParagraph"/>
              <w:spacing w:before="20"/>
              <w:ind w:left="410"/>
              <w:rPr>
                <w:sz w:val="20"/>
              </w:rPr>
            </w:pPr>
            <w:r>
              <w:rPr>
                <w:sz w:val="20"/>
              </w:rPr>
              <w:t>Reclassification </w:t>
            </w:r>
            <w:r>
              <w:rPr>
                <w:spacing w:val="-2"/>
                <w:sz w:val="20"/>
              </w:rPr>
              <w:t>adjustments</w:t>
            </w:r>
            <w:r>
              <w:rPr>
                <w:spacing w:val="-2"/>
                <w:sz w:val="20"/>
                <w:vertAlign w:val="superscript"/>
              </w:rPr>
              <w:t>*</w:t>
            </w:r>
          </w:p>
        </w:tc>
        <w:tc>
          <w:tcPr>
            <w:tcW w:w="1834" w:type="dxa"/>
            <w:tcBorders>
              <w:bottom w:val="single" w:sz="8" w:space="0" w:color="000000"/>
            </w:tcBorders>
          </w:tcPr>
          <w:p>
            <w:pPr>
              <w:pStyle w:val="TableParagraph"/>
              <w:spacing w:before="20"/>
              <w:ind w:right="69"/>
              <w:jc w:val="right"/>
              <w:rPr>
                <w:sz w:val="20"/>
              </w:rPr>
            </w:pPr>
            <w:r>
              <w:rPr>
                <w:spacing w:val="-2"/>
                <w:sz w:val="20"/>
              </w:rPr>
              <w:t>(732)</w:t>
            </w:r>
          </w:p>
        </w:tc>
        <w:tc>
          <w:tcPr>
            <w:tcW w:w="1281" w:type="dxa"/>
            <w:tcBorders>
              <w:bottom w:val="single" w:sz="8" w:space="0" w:color="000000"/>
            </w:tcBorders>
          </w:tcPr>
          <w:p>
            <w:pPr>
              <w:pStyle w:val="TableParagraph"/>
              <w:spacing w:before="20"/>
              <w:ind w:right="70"/>
              <w:jc w:val="right"/>
              <w:rPr>
                <w:sz w:val="20"/>
              </w:rPr>
            </w:pPr>
            <w:r>
              <w:rPr>
                <w:spacing w:val="-2"/>
                <w:sz w:val="20"/>
              </w:rPr>
              <w:t>(552)</w:t>
            </w:r>
          </w:p>
        </w:tc>
        <w:tc>
          <w:tcPr>
            <w:tcW w:w="1233" w:type="dxa"/>
            <w:tcBorders>
              <w:bottom w:val="single" w:sz="8" w:space="0" w:color="000000"/>
            </w:tcBorders>
          </w:tcPr>
          <w:p>
            <w:pPr>
              <w:pStyle w:val="TableParagraph"/>
              <w:spacing w:before="20"/>
              <w:ind w:right="23"/>
              <w:jc w:val="right"/>
              <w:rPr>
                <w:sz w:val="20"/>
              </w:rPr>
            </w:pPr>
            <w:r>
              <w:rPr>
                <w:spacing w:val="-2"/>
                <w:sz w:val="20"/>
              </w:rPr>
              <w:t>(550)</w:t>
            </w:r>
          </w:p>
        </w:tc>
      </w:tr>
      <w:tr>
        <w:trPr>
          <w:trHeight w:val="280" w:hRule="atLeast"/>
        </w:trPr>
        <w:tc>
          <w:tcPr>
            <w:tcW w:w="5907" w:type="dxa"/>
            <w:shd w:val="clear" w:color="auto" w:fill="CCEDFF"/>
          </w:tcPr>
          <w:p>
            <w:pPr>
              <w:pStyle w:val="TableParagraph"/>
              <w:spacing w:before="10"/>
              <w:ind w:left="266"/>
              <w:jc w:val="center"/>
              <w:rPr>
                <w:sz w:val="20"/>
              </w:rPr>
            </w:pPr>
            <w:r>
              <w:rPr>
                <w:sz w:val="20"/>
              </w:rPr>
              <w:t>Subtotal</w:t>
            </w:r>
            <w:r>
              <w:rPr>
                <w:spacing w:val="-5"/>
                <w:sz w:val="20"/>
              </w:rPr>
              <w:t> </w:t>
            </w:r>
            <w:r>
              <w:rPr>
                <w:sz w:val="20"/>
              </w:rPr>
              <w:t>derivatives</w:t>
            </w:r>
            <w:r>
              <w:rPr>
                <w:spacing w:val="-3"/>
                <w:sz w:val="20"/>
              </w:rPr>
              <w:t> </w:t>
            </w:r>
            <w:r>
              <w:rPr>
                <w:sz w:val="20"/>
              </w:rPr>
              <w:t>designated</w:t>
            </w:r>
            <w:r>
              <w:rPr>
                <w:spacing w:val="-2"/>
                <w:sz w:val="20"/>
              </w:rPr>
              <w:t> </w:t>
            </w:r>
            <w:r>
              <w:rPr>
                <w:sz w:val="20"/>
              </w:rPr>
              <w:t>as</w:t>
            </w:r>
            <w:r>
              <w:rPr>
                <w:spacing w:val="-3"/>
                <w:sz w:val="20"/>
              </w:rPr>
              <w:t> </w:t>
            </w:r>
            <w:r>
              <w:rPr>
                <w:sz w:val="20"/>
              </w:rPr>
              <w:t>hedging</w:t>
            </w:r>
            <w:r>
              <w:rPr>
                <w:spacing w:val="-2"/>
                <w:sz w:val="20"/>
              </w:rPr>
              <w:t> instruments</w:t>
            </w:r>
          </w:p>
        </w:tc>
        <w:tc>
          <w:tcPr>
            <w:tcW w:w="1834" w:type="dxa"/>
            <w:tcBorders>
              <w:top w:val="single" w:sz="8" w:space="0" w:color="000000"/>
              <w:bottom w:val="single" w:sz="8" w:space="0" w:color="000000"/>
            </w:tcBorders>
            <w:shd w:val="clear" w:color="auto" w:fill="CCEDFF"/>
          </w:tcPr>
          <w:p>
            <w:pPr>
              <w:pStyle w:val="TableParagraph"/>
              <w:spacing w:before="10"/>
              <w:ind w:right="69"/>
              <w:jc w:val="right"/>
              <w:rPr>
                <w:sz w:val="20"/>
              </w:rPr>
            </w:pPr>
            <w:r>
              <w:rPr>
                <w:spacing w:val="-2"/>
                <w:sz w:val="20"/>
              </w:rPr>
              <w:t>(732)</w:t>
            </w:r>
          </w:p>
        </w:tc>
        <w:tc>
          <w:tcPr>
            <w:tcW w:w="1281" w:type="dxa"/>
            <w:tcBorders>
              <w:top w:val="single" w:sz="8" w:space="0" w:color="000000"/>
              <w:bottom w:val="single" w:sz="8" w:space="0" w:color="000000"/>
            </w:tcBorders>
            <w:shd w:val="clear" w:color="auto" w:fill="CCEDFF"/>
          </w:tcPr>
          <w:p>
            <w:pPr>
              <w:pStyle w:val="TableParagraph"/>
              <w:spacing w:before="10"/>
              <w:ind w:right="70"/>
              <w:jc w:val="right"/>
              <w:rPr>
                <w:sz w:val="20"/>
              </w:rPr>
            </w:pPr>
            <w:r>
              <w:rPr>
                <w:spacing w:val="-2"/>
                <w:sz w:val="20"/>
              </w:rPr>
              <w:t>(552)</w:t>
            </w:r>
          </w:p>
        </w:tc>
        <w:tc>
          <w:tcPr>
            <w:tcW w:w="1233" w:type="dxa"/>
            <w:tcBorders>
              <w:top w:val="single" w:sz="8" w:space="0" w:color="000000"/>
              <w:bottom w:val="single" w:sz="8" w:space="0" w:color="000000"/>
            </w:tcBorders>
            <w:shd w:val="clear" w:color="auto" w:fill="CCEDFF"/>
          </w:tcPr>
          <w:p>
            <w:pPr>
              <w:pStyle w:val="TableParagraph"/>
              <w:spacing w:before="10"/>
              <w:ind w:right="91"/>
              <w:jc w:val="right"/>
              <w:rPr>
                <w:sz w:val="20"/>
              </w:rPr>
            </w:pPr>
            <w:r>
              <w:rPr>
                <w:spacing w:val="-2"/>
                <w:sz w:val="20"/>
              </w:rPr>
              <w:t>5,597</w:t>
            </w:r>
          </w:p>
        </w:tc>
      </w:tr>
      <w:tr>
        <w:trPr>
          <w:trHeight w:val="280" w:hRule="atLeast"/>
        </w:trPr>
        <w:tc>
          <w:tcPr>
            <w:tcW w:w="5907" w:type="dxa"/>
          </w:tcPr>
          <w:p>
            <w:pPr>
              <w:pStyle w:val="TableParagraph"/>
              <w:spacing w:before="10"/>
              <w:ind w:left="170"/>
              <w:rPr>
                <w:sz w:val="20"/>
              </w:rPr>
            </w:pPr>
            <w:r>
              <w:rPr>
                <w:sz w:val="20"/>
              </w:rPr>
              <w:t>Foreign currency translation </w:t>
            </w:r>
            <w:r>
              <w:rPr>
                <w:spacing w:val="-2"/>
                <w:sz w:val="20"/>
              </w:rPr>
              <w:t>adjustments</w:t>
            </w:r>
          </w:p>
        </w:tc>
        <w:tc>
          <w:tcPr>
            <w:tcW w:w="1834" w:type="dxa"/>
            <w:tcBorders>
              <w:top w:val="single" w:sz="8" w:space="0" w:color="000000"/>
              <w:bottom w:val="single" w:sz="8" w:space="0" w:color="000000"/>
            </w:tcBorders>
          </w:tcPr>
          <w:p>
            <w:pPr>
              <w:pStyle w:val="TableParagraph"/>
              <w:spacing w:before="10"/>
              <w:ind w:right="137"/>
              <w:jc w:val="right"/>
              <w:rPr>
                <w:sz w:val="20"/>
              </w:rPr>
            </w:pPr>
            <w:r>
              <w:rPr>
                <w:spacing w:val="-2"/>
                <w:sz w:val="20"/>
              </w:rPr>
              <w:t>3,005</w:t>
            </w:r>
          </w:p>
        </w:tc>
        <w:tc>
          <w:tcPr>
            <w:tcW w:w="1281" w:type="dxa"/>
            <w:tcBorders>
              <w:top w:val="single" w:sz="8" w:space="0" w:color="000000"/>
              <w:bottom w:val="single" w:sz="8" w:space="0" w:color="000000"/>
            </w:tcBorders>
          </w:tcPr>
          <w:p>
            <w:pPr>
              <w:pStyle w:val="TableParagraph"/>
              <w:spacing w:before="10"/>
              <w:ind w:right="138"/>
              <w:jc w:val="right"/>
              <w:rPr>
                <w:sz w:val="20"/>
              </w:rPr>
            </w:pPr>
            <w:r>
              <w:rPr>
                <w:spacing w:val="-5"/>
                <w:sz w:val="20"/>
              </w:rPr>
              <w:t>24</w:t>
            </w:r>
          </w:p>
        </w:tc>
        <w:tc>
          <w:tcPr>
            <w:tcW w:w="1233" w:type="dxa"/>
            <w:tcBorders>
              <w:top w:val="single" w:sz="8" w:space="0" w:color="000000"/>
              <w:bottom w:val="single" w:sz="8" w:space="0" w:color="000000"/>
            </w:tcBorders>
          </w:tcPr>
          <w:p>
            <w:pPr>
              <w:pStyle w:val="TableParagraph"/>
              <w:spacing w:before="10"/>
              <w:ind w:right="23"/>
              <w:jc w:val="right"/>
              <w:rPr>
                <w:sz w:val="20"/>
              </w:rPr>
            </w:pPr>
            <w:r>
              <w:rPr>
                <w:spacing w:val="-2"/>
                <w:sz w:val="20"/>
              </w:rPr>
              <w:t>(3,378)</w:t>
            </w:r>
          </w:p>
        </w:tc>
      </w:tr>
      <w:tr>
        <w:trPr>
          <w:trHeight w:val="240" w:hRule="atLeast"/>
        </w:trPr>
        <w:tc>
          <w:tcPr>
            <w:tcW w:w="5907" w:type="dxa"/>
            <w:shd w:val="clear" w:color="auto" w:fill="CCEDFF"/>
          </w:tcPr>
          <w:p>
            <w:pPr>
              <w:pStyle w:val="TableParagraph"/>
              <w:spacing w:line="210" w:lineRule="exact" w:before="10"/>
              <w:ind w:left="50"/>
              <w:rPr>
                <w:sz w:val="20"/>
              </w:rPr>
            </w:pPr>
            <w:r>
              <w:rPr>
                <w:sz w:val="20"/>
              </w:rPr>
              <w:t>Total</w:t>
            </w:r>
            <w:r>
              <w:rPr>
                <w:spacing w:val="-3"/>
                <w:sz w:val="20"/>
              </w:rPr>
              <w:t> </w:t>
            </w:r>
            <w:r>
              <w:rPr>
                <w:sz w:val="20"/>
              </w:rPr>
              <w:t>taxes,</w:t>
            </w:r>
            <w:r>
              <w:rPr>
                <w:spacing w:val="-3"/>
                <w:sz w:val="20"/>
              </w:rPr>
              <w:t> </w:t>
            </w:r>
            <w:r>
              <w:rPr>
                <w:sz w:val="20"/>
              </w:rPr>
              <w:t>other</w:t>
            </w:r>
            <w:r>
              <w:rPr>
                <w:spacing w:val="-3"/>
                <w:sz w:val="20"/>
              </w:rPr>
              <w:t> </w:t>
            </w:r>
            <w:r>
              <w:rPr>
                <w:sz w:val="20"/>
              </w:rPr>
              <w:t>comprehensive</w:t>
            </w:r>
            <w:r>
              <w:rPr>
                <w:spacing w:val="-3"/>
                <w:sz w:val="20"/>
              </w:rPr>
              <w:t> </w:t>
            </w:r>
            <w:r>
              <w:rPr>
                <w:sz w:val="20"/>
              </w:rPr>
              <w:t>income</w:t>
            </w:r>
            <w:r>
              <w:rPr>
                <w:spacing w:val="-2"/>
                <w:sz w:val="20"/>
              </w:rPr>
              <w:t> (loss)</w:t>
            </w:r>
          </w:p>
        </w:tc>
        <w:tc>
          <w:tcPr>
            <w:tcW w:w="1834" w:type="dxa"/>
            <w:tcBorders>
              <w:top w:val="single" w:sz="8" w:space="0" w:color="000000"/>
              <w:bottom w:val="double" w:sz="8" w:space="0" w:color="000000"/>
            </w:tcBorders>
            <w:shd w:val="clear" w:color="auto" w:fill="CCEDFF"/>
          </w:tcPr>
          <w:p>
            <w:pPr>
              <w:pStyle w:val="TableParagraph"/>
              <w:tabs>
                <w:tab w:pos="622" w:val="left" w:leader="none"/>
              </w:tabs>
              <w:spacing w:line="210" w:lineRule="exact" w:before="10"/>
              <w:ind w:right="137"/>
              <w:jc w:val="right"/>
              <w:rPr>
                <w:sz w:val="20"/>
              </w:rPr>
            </w:pPr>
            <w:r>
              <w:rPr>
                <w:spacing w:val="-10"/>
                <w:sz w:val="20"/>
              </w:rPr>
              <w:t>$</w:t>
            </w:r>
            <w:r>
              <w:rPr>
                <w:sz w:val="20"/>
              </w:rPr>
              <w:tab/>
            </w:r>
            <w:r>
              <w:rPr>
                <w:spacing w:val="-2"/>
                <w:sz w:val="20"/>
              </w:rPr>
              <w:t>2,445</w:t>
            </w:r>
          </w:p>
        </w:tc>
        <w:tc>
          <w:tcPr>
            <w:tcW w:w="1281" w:type="dxa"/>
            <w:tcBorders>
              <w:top w:val="single" w:sz="8" w:space="0" w:color="000000"/>
              <w:bottom w:val="double" w:sz="8" w:space="0" w:color="000000"/>
            </w:tcBorders>
            <w:shd w:val="clear" w:color="auto" w:fill="CCEDFF"/>
          </w:tcPr>
          <w:p>
            <w:pPr>
              <w:pStyle w:val="TableParagraph"/>
              <w:tabs>
                <w:tab w:pos="705" w:val="left" w:leader="none"/>
              </w:tabs>
              <w:spacing w:line="210" w:lineRule="exact" w:before="10"/>
              <w:ind w:right="70"/>
              <w:jc w:val="right"/>
              <w:rPr>
                <w:sz w:val="20"/>
              </w:rPr>
            </w:pPr>
            <w:r>
              <w:rPr>
                <w:spacing w:val="-10"/>
                <w:sz w:val="20"/>
              </w:rPr>
              <w:t>$</w:t>
            </w:r>
            <w:r>
              <w:rPr>
                <w:sz w:val="20"/>
              </w:rPr>
              <w:tab/>
            </w:r>
            <w:r>
              <w:rPr>
                <w:spacing w:val="-2"/>
                <w:sz w:val="20"/>
              </w:rPr>
              <w:t>(719)</w:t>
            </w:r>
          </w:p>
        </w:tc>
        <w:tc>
          <w:tcPr>
            <w:tcW w:w="1233" w:type="dxa"/>
            <w:tcBorders>
              <w:top w:val="single" w:sz="8" w:space="0" w:color="000000"/>
              <w:bottom w:val="double" w:sz="8" w:space="0" w:color="000000"/>
            </w:tcBorders>
            <w:shd w:val="clear" w:color="auto" w:fill="CCEDFF"/>
          </w:tcPr>
          <w:p>
            <w:pPr>
              <w:pStyle w:val="TableParagraph"/>
              <w:tabs>
                <w:tab w:pos="622" w:val="left" w:leader="none"/>
              </w:tabs>
              <w:spacing w:line="210" w:lineRule="exact" w:before="10"/>
              <w:ind w:right="91"/>
              <w:jc w:val="right"/>
              <w:rPr>
                <w:sz w:val="20"/>
              </w:rPr>
            </w:pPr>
            <w:r>
              <w:rPr>
                <w:spacing w:val="-10"/>
                <w:sz w:val="20"/>
              </w:rPr>
              <w:t>$</w:t>
            </w:r>
            <w:r>
              <w:rPr>
                <w:sz w:val="20"/>
              </w:rPr>
              <w:tab/>
            </w:r>
            <w:r>
              <w:rPr>
                <w:spacing w:val="-2"/>
                <w:sz w:val="20"/>
              </w:rPr>
              <w:t>2,065</w:t>
            </w:r>
          </w:p>
        </w:tc>
      </w:tr>
    </w:tbl>
    <w:p>
      <w:pPr>
        <w:pStyle w:val="BodyText"/>
        <w:spacing w:before="4"/>
        <w:rPr>
          <w:sz w:val="11"/>
        </w:rPr>
      </w:pPr>
      <w:r>
        <w:rPr/>
        <mc:AlternateContent>
          <mc:Choice Requires="wps">
            <w:drawing>
              <wp:anchor distT="0" distB="0" distL="0" distR="0" allowOverlap="1" layoutInCell="1" locked="0" behindDoc="1" simplePos="0" relativeHeight="487696384">
                <wp:simplePos x="0" y="0"/>
                <wp:positionH relativeFrom="page">
                  <wp:posOffset>635000</wp:posOffset>
                </wp:positionH>
                <wp:positionV relativeFrom="paragraph">
                  <wp:posOffset>98348</wp:posOffset>
                </wp:positionV>
                <wp:extent cx="1692275" cy="1270"/>
                <wp:effectExtent l="0" t="0" r="0" b="0"/>
                <wp:wrapTopAndBottom/>
                <wp:docPr id="553" name="Graphic 553"/>
                <wp:cNvGraphicFramePr>
                  <a:graphicFrameLocks/>
                </wp:cNvGraphicFramePr>
                <a:graphic>
                  <a:graphicData uri="http://schemas.microsoft.com/office/word/2010/wordprocessingShape">
                    <wps:wsp>
                      <wps:cNvPr id="553" name="Graphic 553"/>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7.743995pt;width:133.25pt;height:.1pt;mso-position-horizontal-relative:page;mso-position-vertical-relative:paragraph;z-index:-15620096;mso-wrap-distance-left:0;mso-wrap-distance-right:0" id="docshape436" coordorigin="1000,155" coordsize="2665,0" path="m1000,155l3665,155e" filled="false" stroked="true" strokeweight=".26pt" strokecolor="#000000">
                <v:path arrowok="t"/>
                <v:stroke dashstyle="solid"/>
                <w10:wrap type="topAndBottom"/>
              </v:shape>
            </w:pict>
          </mc:Fallback>
        </mc:AlternateContent>
      </w:r>
    </w:p>
    <w:p>
      <w:pPr>
        <w:pStyle w:val="BodyText"/>
        <w:tabs>
          <w:tab w:pos="579" w:val="left" w:leader="none"/>
        </w:tabs>
        <w:spacing w:line="249" w:lineRule="auto" w:before="116"/>
        <w:ind w:left="580" w:right="413" w:hanging="360"/>
      </w:pPr>
      <w:r>
        <w:rPr>
          <w:spacing w:val="-4"/>
          <w:vertAlign w:val="superscript"/>
        </w:rPr>
        <w:t>(*)</w:t>
      </w:r>
      <w:r>
        <w:rPr>
          <w:vertAlign w:val="baseline"/>
        </w:rPr>
        <w:tab/>
        <w:t>Taxes related to derivative instruments other than the interest rate lock agreement were zero based on the tax jurisdiction where these derivative instruments were executed.</w:t>
      </w:r>
    </w:p>
    <w:p>
      <w:pPr>
        <w:spacing w:before="181"/>
        <w:ind w:left="220" w:right="0" w:firstLine="0"/>
        <w:jc w:val="left"/>
        <w:rPr>
          <w:i/>
          <w:sz w:val="20"/>
        </w:rPr>
      </w:pPr>
      <w:r>
        <w:rPr>
          <w:i/>
          <w:sz w:val="20"/>
        </w:rPr>
        <w:t>Stock</w:t>
      </w:r>
      <w:r>
        <w:rPr>
          <w:i/>
          <w:spacing w:val="-7"/>
          <w:sz w:val="20"/>
        </w:rPr>
        <w:t> </w:t>
      </w:r>
      <w:r>
        <w:rPr>
          <w:i/>
          <w:sz w:val="20"/>
        </w:rPr>
        <w:t>Repurchase</w:t>
      </w:r>
      <w:r>
        <w:rPr>
          <w:i/>
          <w:spacing w:val="-7"/>
          <w:sz w:val="20"/>
        </w:rPr>
        <w:t> </w:t>
      </w:r>
      <w:r>
        <w:rPr>
          <w:i/>
          <w:spacing w:val="-2"/>
          <w:sz w:val="20"/>
        </w:rPr>
        <w:t>Program</w:t>
      </w:r>
    </w:p>
    <w:p>
      <w:pPr>
        <w:pStyle w:val="BodyText"/>
        <w:spacing w:line="249" w:lineRule="auto" w:before="190"/>
        <w:ind w:left="220" w:right="257" w:firstLine="540"/>
        <w:jc w:val="both"/>
      </w:pPr>
      <w:r>
        <w:rPr/>
        <w:t>To</w:t>
      </w:r>
      <w:r>
        <w:rPr>
          <w:spacing w:val="-5"/>
        </w:rPr>
        <w:t> </w:t>
      </w:r>
      <w:r>
        <w:rPr/>
        <w:t>facilitate</w:t>
      </w:r>
      <w:r>
        <w:rPr>
          <w:spacing w:val="-5"/>
        </w:rPr>
        <w:t> </w:t>
      </w:r>
      <w:r>
        <w:rPr/>
        <w:t>our</w:t>
      </w:r>
      <w:r>
        <w:rPr>
          <w:spacing w:val="-5"/>
        </w:rPr>
        <w:t> </w:t>
      </w:r>
      <w:r>
        <w:rPr/>
        <w:t>stock</w:t>
      </w:r>
      <w:r>
        <w:rPr>
          <w:spacing w:val="-5"/>
        </w:rPr>
        <w:t> </w:t>
      </w:r>
      <w:r>
        <w:rPr/>
        <w:t>repurchase</w:t>
      </w:r>
      <w:r>
        <w:rPr>
          <w:spacing w:val="-5"/>
        </w:rPr>
        <w:t> </w:t>
      </w:r>
      <w:r>
        <w:rPr/>
        <w:t>program,</w:t>
      </w:r>
      <w:r>
        <w:rPr>
          <w:spacing w:val="-5"/>
        </w:rPr>
        <w:t> </w:t>
      </w:r>
      <w:r>
        <w:rPr/>
        <w:t>designed</w:t>
      </w:r>
      <w:r>
        <w:rPr>
          <w:spacing w:val="-5"/>
        </w:rPr>
        <w:t> </w:t>
      </w:r>
      <w:r>
        <w:rPr/>
        <w:t>to</w:t>
      </w:r>
      <w:r>
        <w:rPr>
          <w:spacing w:val="-5"/>
        </w:rPr>
        <w:t> </w:t>
      </w:r>
      <w:r>
        <w:rPr/>
        <w:t>return</w:t>
      </w:r>
      <w:r>
        <w:rPr>
          <w:spacing w:val="-5"/>
        </w:rPr>
        <w:t> </w:t>
      </w:r>
      <w:r>
        <w:rPr/>
        <w:t>value</w:t>
      </w:r>
      <w:r>
        <w:rPr>
          <w:spacing w:val="-5"/>
        </w:rPr>
        <w:t> </w:t>
      </w:r>
      <w:r>
        <w:rPr/>
        <w:t>to</w:t>
      </w:r>
      <w:r>
        <w:rPr>
          <w:spacing w:val="-5"/>
        </w:rPr>
        <w:t> </w:t>
      </w:r>
      <w:r>
        <w:rPr/>
        <w:t>our</w:t>
      </w:r>
      <w:r>
        <w:rPr>
          <w:spacing w:val="-5"/>
        </w:rPr>
        <w:t> </w:t>
      </w:r>
      <w:r>
        <w:rPr/>
        <w:t>stockholders</w:t>
      </w:r>
      <w:r>
        <w:rPr>
          <w:spacing w:val="-5"/>
        </w:rPr>
        <w:t> </w:t>
      </w:r>
      <w:r>
        <w:rPr/>
        <w:t>and</w:t>
      </w:r>
      <w:r>
        <w:rPr>
          <w:spacing w:val="-5"/>
        </w:rPr>
        <w:t> </w:t>
      </w:r>
      <w:r>
        <w:rPr/>
        <w:t>minimize</w:t>
      </w:r>
      <w:r>
        <w:rPr>
          <w:spacing w:val="-5"/>
        </w:rPr>
        <w:t> </w:t>
      </w:r>
      <w:r>
        <w:rPr/>
        <w:t>dilution</w:t>
      </w:r>
      <w:r>
        <w:rPr>
          <w:spacing w:val="-5"/>
        </w:rPr>
        <w:t> </w:t>
      </w:r>
      <w:r>
        <w:rPr/>
        <w:t>from</w:t>
      </w:r>
      <w:r>
        <w:rPr>
          <w:spacing w:val="-5"/>
        </w:rPr>
        <w:t> </w:t>
      </w:r>
      <w:r>
        <w:rPr/>
        <w:t>stock issuances, we may repurchase shares in the open market or enter into structured repurchase agreements with third parties. In January 2017, our Board of Directors approved a new stock repurchase program granting us authority to repurchase up to $2.5 billion</w:t>
      </w:r>
      <w:r>
        <w:rPr>
          <w:spacing w:val="-2"/>
        </w:rPr>
        <w:t> </w:t>
      </w:r>
      <w:r>
        <w:rPr/>
        <w:t>in</w:t>
      </w:r>
      <w:r>
        <w:rPr>
          <w:spacing w:val="-2"/>
        </w:rPr>
        <w:t> </w:t>
      </w:r>
      <w:r>
        <w:rPr/>
        <w:t>common</w:t>
      </w:r>
      <w:r>
        <w:rPr>
          <w:spacing w:val="-1"/>
        </w:rPr>
        <w:t> </w:t>
      </w:r>
      <w:r>
        <w:rPr/>
        <w:t>stock</w:t>
      </w:r>
      <w:r>
        <w:rPr>
          <w:spacing w:val="-2"/>
        </w:rPr>
        <w:t> </w:t>
      </w:r>
      <w:r>
        <w:rPr/>
        <w:t>through</w:t>
      </w:r>
      <w:r>
        <w:rPr>
          <w:spacing w:val="-1"/>
        </w:rPr>
        <w:t> </w:t>
      </w:r>
      <w:r>
        <w:rPr/>
        <w:t>the</w:t>
      </w:r>
      <w:r>
        <w:rPr>
          <w:spacing w:val="-2"/>
        </w:rPr>
        <w:t> </w:t>
      </w:r>
      <w:r>
        <w:rPr/>
        <w:t>end</w:t>
      </w:r>
      <w:r>
        <w:rPr>
          <w:spacing w:val="-2"/>
        </w:rPr>
        <w:t> </w:t>
      </w:r>
      <w:r>
        <w:rPr/>
        <w:t>of</w:t>
      </w:r>
      <w:r>
        <w:rPr>
          <w:spacing w:val="-1"/>
        </w:rPr>
        <w:t> </w:t>
      </w:r>
      <w:r>
        <w:rPr/>
        <w:t>fiscal</w:t>
      </w:r>
      <w:r>
        <w:rPr>
          <w:spacing w:val="-2"/>
        </w:rPr>
        <w:t> </w:t>
      </w:r>
      <w:r>
        <w:rPr/>
        <w:t>2019.</w:t>
      </w:r>
      <w:r>
        <w:rPr>
          <w:spacing w:val="-5"/>
        </w:rPr>
        <w:t> </w:t>
      </w:r>
      <w:r>
        <w:rPr/>
        <w:t>The</w:t>
      </w:r>
      <w:r>
        <w:rPr>
          <w:spacing w:val="-1"/>
        </w:rPr>
        <w:t> </w:t>
      </w:r>
      <w:r>
        <w:rPr/>
        <w:t>new</w:t>
      </w:r>
      <w:r>
        <w:rPr>
          <w:spacing w:val="-2"/>
        </w:rPr>
        <w:t> </w:t>
      </w:r>
      <w:r>
        <w:rPr/>
        <w:t>stock</w:t>
      </w:r>
      <w:r>
        <w:rPr>
          <w:spacing w:val="-1"/>
        </w:rPr>
        <w:t> </w:t>
      </w:r>
      <w:r>
        <w:rPr/>
        <w:t>repurchase</w:t>
      </w:r>
      <w:r>
        <w:rPr>
          <w:spacing w:val="-2"/>
        </w:rPr>
        <w:t> </w:t>
      </w:r>
      <w:r>
        <w:rPr/>
        <w:t>program</w:t>
      </w:r>
      <w:r>
        <w:rPr>
          <w:spacing w:val="-2"/>
        </w:rPr>
        <w:t> </w:t>
      </w:r>
      <w:r>
        <w:rPr/>
        <w:t>approved</w:t>
      </w:r>
      <w:r>
        <w:rPr>
          <w:spacing w:val="-1"/>
        </w:rPr>
        <w:t> </w:t>
      </w:r>
      <w:r>
        <w:rPr/>
        <w:t>by</w:t>
      </w:r>
      <w:r>
        <w:rPr>
          <w:spacing w:val="-2"/>
        </w:rPr>
        <w:t> </w:t>
      </w:r>
      <w:r>
        <w:rPr/>
        <w:t>our</w:t>
      </w:r>
      <w:r>
        <w:rPr>
          <w:spacing w:val="-1"/>
        </w:rPr>
        <w:t> </w:t>
      </w:r>
      <w:r>
        <w:rPr/>
        <w:t>Board</w:t>
      </w:r>
      <w:r>
        <w:rPr>
          <w:spacing w:val="-1"/>
        </w:rPr>
        <w:t> </w:t>
      </w:r>
      <w:r>
        <w:rPr/>
        <w:t>of</w:t>
      </w:r>
      <w:r>
        <w:rPr>
          <w:spacing w:val="-2"/>
        </w:rPr>
        <w:t> </w:t>
      </w:r>
      <w:r>
        <w:rPr/>
        <w:t>Directors is similar to our previous stock repurchase programs.</w:t>
      </w:r>
    </w:p>
    <w:p>
      <w:pPr>
        <w:pStyle w:val="BodyText"/>
        <w:spacing w:line="249" w:lineRule="auto" w:before="184"/>
        <w:ind w:left="220" w:right="257" w:firstLine="540"/>
        <w:jc w:val="both"/>
      </w:pPr>
      <w:r>
        <w:rPr/>
        <w:t>During fiscal 2017, 2016 and 2015, we entered into several structured stock repurchase agreements with large financial institutions,</w:t>
      </w:r>
      <w:r>
        <w:rPr>
          <w:spacing w:val="-6"/>
        </w:rPr>
        <w:t> </w:t>
      </w:r>
      <w:r>
        <w:rPr/>
        <w:t>whereupon</w:t>
      </w:r>
      <w:r>
        <w:rPr>
          <w:spacing w:val="-6"/>
        </w:rPr>
        <w:t> </w:t>
      </w:r>
      <w:r>
        <w:rPr/>
        <w:t>we</w:t>
      </w:r>
      <w:r>
        <w:rPr>
          <w:spacing w:val="-6"/>
        </w:rPr>
        <w:t> </w:t>
      </w:r>
      <w:r>
        <w:rPr/>
        <w:t>provided</w:t>
      </w:r>
      <w:r>
        <w:rPr>
          <w:spacing w:val="-6"/>
        </w:rPr>
        <w:t> </w:t>
      </w:r>
      <w:r>
        <w:rPr/>
        <w:t>them</w:t>
      </w:r>
      <w:r>
        <w:rPr>
          <w:spacing w:val="-6"/>
        </w:rPr>
        <w:t> </w:t>
      </w:r>
      <w:r>
        <w:rPr/>
        <w:t>with</w:t>
      </w:r>
      <w:r>
        <w:rPr>
          <w:spacing w:val="-6"/>
        </w:rPr>
        <w:t> </w:t>
      </w:r>
      <w:r>
        <w:rPr/>
        <w:t>prepayments</w:t>
      </w:r>
      <w:r>
        <w:rPr>
          <w:spacing w:val="-5"/>
        </w:rPr>
        <w:t> </w:t>
      </w:r>
      <w:r>
        <w:rPr/>
        <w:t>totaling</w:t>
      </w:r>
      <w:r>
        <w:rPr>
          <w:spacing w:val="-6"/>
        </w:rPr>
        <w:t> </w:t>
      </w:r>
      <w:r>
        <w:rPr/>
        <w:t>$1.10</w:t>
      </w:r>
      <w:r>
        <w:rPr>
          <w:spacing w:val="-6"/>
        </w:rPr>
        <w:t> </w:t>
      </w:r>
      <w:r>
        <w:rPr/>
        <w:t>billion,</w:t>
      </w:r>
      <w:r>
        <w:rPr>
          <w:spacing w:val="-6"/>
        </w:rPr>
        <w:t> </w:t>
      </w:r>
      <w:r>
        <w:rPr/>
        <w:t>$1.08</w:t>
      </w:r>
      <w:r>
        <w:rPr>
          <w:spacing w:val="-6"/>
        </w:rPr>
        <w:t> </w:t>
      </w:r>
      <w:r>
        <w:rPr/>
        <w:t>billion,</w:t>
      </w:r>
      <w:r>
        <w:rPr>
          <w:spacing w:val="-6"/>
        </w:rPr>
        <w:t> </w:t>
      </w:r>
      <w:r>
        <w:rPr/>
        <w:t>and</w:t>
      </w:r>
      <w:r>
        <w:rPr>
          <w:spacing w:val="-6"/>
        </w:rPr>
        <w:t> </w:t>
      </w:r>
      <w:r>
        <w:rPr/>
        <w:t>$625</w:t>
      </w:r>
      <w:r>
        <w:rPr>
          <w:spacing w:val="-6"/>
        </w:rPr>
        <w:t> </w:t>
      </w:r>
      <w:r>
        <w:rPr/>
        <w:t>million,</w:t>
      </w:r>
      <w:r>
        <w:rPr>
          <w:spacing w:val="-6"/>
        </w:rPr>
        <w:t> </w:t>
      </w:r>
      <w:r>
        <w:rPr/>
        <w:t>respectively. </w:t>
      </w:r>
      <w:r>
        <w:rPr>
          <w:spacing w:val="-2"/>
        </w:rPr>
        <w:t>We</w:t>
      </w:r>
      <w:r>
        <w:rPr>
          <w:spacing w:val="-4"/>
        </w:rPr>
        <w:t> </w:t>
      </w:r>
      <w:r>
        <w:rPr>
          <w:spacing w:val="-2"/>
        </w:rPr>
        <w:t>enter</w:t>
      </w:r>
      <w:r>
        <w:rPr>
          <w:spacing w:val="-4"/>
        </w:rPr>
        <w:t> </w:t>
      </w:r>
      <w:r>
        <w:rPr>
          <w:spacing w:val="-2"/>
        </w:rPr>
        <w:t>into</w:t>
      </w:r>
      <w:r>
        <w:rPr>
          <w:spacing w:val="-4"/>
        </w:rPr>
        <w:t> </w:t>
      </w:r>
      <w:r>
        <w:rPr>
          <w:spacing w:val="-2"/>
        </w:rPr>
        <w:t>these</w:t>
      </w:r>
      <w:r>
        <w:rPr>
          <w:spacing w:val="-4"/>
        </w:rPr>
        <w:t> </w:t>
      </w:r>
      <w:r>
        <w:rPr>
          <w:spacing w:val="-2"/>
        </w:rPr>
        <w:t>agreements</w:t>
      </w:r>
      <w:r>
        <w:rPr>
          <w:spacing w:val="-4"/>
        </w:rPr>
        <w:t> </w:t>
      </w:r>
      <w:r>
        <w:rPr>
          <w:spacing w:val="-2"/>
        </w:rPr>
        <w:t>in</w:t>
      </w:r>
      <w:r>
        <w:rPr>
          <w:spacing w:val="-4"/>
        </w:rPr>
        <w:t> </w:t>
      </w:r>
      <w:r>
        <w:rPr>
          <w:spacing w:val="-2"/>
        </w:rPr>
        <w:t>order</w:t>
      </w:r>
      <w:r>
        <w:rPr>
          <w:spacing w:val="-4"/>
        </w:rPr>
        <w:t> </w:t>
      </w:r>
      <w:r>
        <w:rPr>
          <w:spacing w:val="-2"/>
        </w:rPr>
        <w:t>to</w:t>
      </w:r>
      <w:r>
        <w:rPr>
          <w:spacing w:val="-4"/>
        </w:rPr>
        <w:t> </w:t>
      </w:r>
      <w:r>
        <w:rPr>
          <w:spacing w:val="-2"/>
        </w:rPr>
        <w:t>take</w:t>
      </w:r>
      <w:r>
        <w:rPr>
          <w:spacing w:val="-4"/>
        </w:rPr>
        <w:t> </w:t>
      </w:r>
      <w:r>
        <w:rPr>
          <w:spacing w:val="-2"/>
        </w:rPr>
        <w:t>advantage</w:t>
      </w:r>
      <w:r>
        <w:rPr>
          <w:spacing w:val="-4"/>
        </w:rPr>
        <w:t> </w:t>
      </w:r>
      <w:r>
        <w:rPr>
          <w:spacing w:val="-2"/>
        </w:rPr>
        <w:t>of</w:t>
      </w:r>
      <w:r>
        <w:rPr>
          <w:spacing w:val="-4"/>
        </w:rPr>
        <w:t> </w:t>
      </w:r>
      <w:r>
        <w:rPr>
          <w:spacing w:val="-2"/>
        </w:rPr>
        <w:t>repurchasing</w:t>
      </w:r>
      <w:r>
        <w:rPr>
          <w:spacing w:val="-4"/>
        </w:rPr>
        <w:t> </w:t>
      </w:r>
      <w:r>
        <w:rPr>
          <w:spacing w:val="-2"/>
        </w:rPr>
        <w:t>shares</w:t>
      </w:r>
      <w:r>
        <w:rPr>
          <w:spacing w:val="-4"/>
        </w:rPr>
        <w:t> </w:t>
      </w:r>
      <w:r>
        <w:rPr>
          <w:spacing w:val="-2"/>
        </w:rPr>
        <w:t>at</w:t>
      </w:r>
      <w:r>
        <w:rPr>
          <w:spacing w:val="-4"/>
        </w:rPr>
        <w:t> </w:t>
      </w:r>
      <w:r>
        <w:rPr>
          <w:spacing w:val="-2"/>
        </w:rPr>
        <w:t>a</w:t>
      </w:r>
      <w:r>
        <w:rPr>
          <w:spacing w:val="-4"/>
        </w:rPr>
        <w:t> </w:t>
      </w:r>
      <w:r>
        <w:rPr>
          <w:spacing w:val="-2"/>
        </w:rPr>
        <w:t>guaranteed</w:t>
      </w:r>
      <w:r>
        <w:rPr>
          <w:spacing w:val="-4"/>
        </w:rPr>
        <w:t> </w:t>
      </w:r>
      <w:r>
        <w:rPr>
          <w:spacing w:val="-2"/>
        </w:rPr>
        <w:t>discount</w:t>
      </w:r>
      <w:r>
        <w:rPr>
          <w:spacing w:val="-4"/>
        </w:rPr>
        <w:t> </w:t>
      </w:r>
      <w:r>
        <w:rPr>
          <w:spacing w:val="-2"/>
        </w:rPr>
        <w:t>to</w:t>
      </w:r>
      <w:r>
        <w:rPr>
          <w:spacing w:val="-4"/>
        </w:rPr>
        <w:t> </w:t>
      </w:r>
      <w:r>
        <w:rPr>
          <w:spacing w:val="-2"/>
        </w:rPr>
        <w:t>the</w:t>
      </w:r>
      <w:r>
        <w:rPr>
          <w:spacing w:val="-7"/>
        </w:rPr>
        <w:t> </w:t>
      </w:r>
      <w:r>
        <w:rPr>
          <w:spacing w:val="-2"/>
        </w:rPr>
        <w:t>Volume</w:t>
      </w:r>
      <w:r>
        <w:rPr>
          <w:spacing w:val="-7"/>
        </w:rPr>
        <w:t> </w:t>
      </w:r>
      <w:r>
        <w:rPr>
          <w:spacing w:val="-2"/>
        </w:rPr>
        <w:t>Weighted </w:t>
      </w:r>
      <w:r>
        <w:rPr/>
        <w:t>Average Price (“VWAP”) of our common stock over a specified period of time.</w:t>
      </w:r>
      <w:r>
        <w:rPr>
          <w:spacing w:val="-1"/>
        </w:rPr>
        <w:t> </w:t>
      </w:r>
      <w:r>
        <w:rPr/>
        <w:t>We only enter into such transactions when the discount that we receive is higher than our estimate of the expected foregone return on our cash prepayments to the financial institutions.</w:t>
      </w:r>
      <w:r>
        <w:rPr>
          <w:spacing w:val="-13"/>
        </w:rPr>
        <w:t> </w:t>
      </w:r>
      <w:r>
        <w:rPr/>
        <w:t>There</w:t>
      </w:r>
      <w:r>
        <w:rPr>
          <w:spacing w:val="-11"/>
        </w:rPr>
        <w:t> </w:t>
      </w:r>
      <w:r>
        <w:rPr/>
        <w:t>were</w:t>
      </w:r>
      <w:r>
        <w:rPr>
          <w:spacing w:val="-11"/>
        </w:rPr>
        <w:t> </w:t>
      </w:r>
      <w:r>
        <w:rPr/>
        <w:t>no</w:t>
      </w:r>
      <w:r>
        <w:rPr>
          <w:spacing w:val="-11"/>
        </w:rPr>
        <w:t> </w:t>
      </w:r>
      <w:r>
        <w:rPr/>
        <w:t>explicit</w:t>
      </w:r>
      <w:r>
        <w:rPr>
          <w:spacing w:val="-11"/>
        </w:rPr>
        <w:t> </w:t>
      </w:r>
      <w:r>
        <w:rPr/>
        <w:t>commissions</w:t>
      </w:r>
      <w:r>
        <w:rPr>
          <w:spacing w:val="-10"/>
        </w:rPr>
        <w:t> </w:t>
      </w:r>
      <w:r>
        <w:rPr/>
        <w:t>or</w:t>
      </w:r>
      <w:r>
        <w:rPr>
          <w:spacing w:val="-11"/>
        </w:rPr>
        <w:t> </w:t>
      </w:r>
      <w:r>
        <w:rPr/>
        <w:t>fees</w:t>
      </w:r>
      <w:r>
        <w:rPr>
          <w:spacing w:val="-11"/>
        </w:rPr>
        <w:t> </w:t>
      </w:r>
      <w:r>
        <w:rPr/>
        <w:t>on</w:t>
      </w:r>
      <w:r>
        <w:rPr>
          <w:spacing w:val="-11"/>
        </w:rPr>
        <w:t> </w:t>
      </w:r>
      <w:r>
        <w:rPr/>
        <w:t>these</w:t>
      </w:r>
      <w:r>
        <w:rPr>
          <w:spacing w:val="-11"/>
        </w:rPr>
        <w:t> </w:t>
      </w:r>
      <w:r>
        <w:rPr/>
        <w:t>structured</w:t>
      </w:r>
      <w:r>
        <w:rPr>
          <w:spacing w:val="-11"/>
        </w:rPr>
        <w:t> </w:t>
      </w:r>
      <w:r>
        <w:rPr/>
        <w:t>repurchases.</w:t>
      </w:r>
      <w:r>
        <w:rPr>
          <w:spacing w:val="-11"/>
        </w:rPr>
        <w:t> </w:t>
      </w:r>
      <w:r>
        <w:rPr/>
        <w:t>Under</w:t>
      </w:r>
      <w:r>
        <w:rPr>
          <w:spacing w:val="-11"/>
        </w:rPr>
        <w:t> </w:t>
      </w:r>
      <w:r>
        <w:rPr/>
        <w:t>the</w:t>
      </w:r>
      <w:r>
        <w:rPr>
          <w:spacing w:val="-11"/>
        </w:rPr>
        <w:t> </w:t>
      </w:r>
      <w:r>
        <w:rPr/>
        <w:t>terms</w:t>
      </w:r>
      <w:r>
        <w:rPr>
          <w:spacing w:val="-10"/>
        </w:rPr>
        <w:t> </w:t>
      </w:r>
      <w:r>
        <w:rPr/>
        <w:t>of</w:t>
      </w:r>
      <w:r>
        <w:rPr>
          <w:spacing w:val="-11"/>
        </w:rPr>
        <w:t> </w:t>
      </w:r>
      <w:r>
        <w:rPr/>
        <w:t>the</w:t>
      </w:r>
      <w:r>
        <w:rPr>
          <w:spacing w:val="-11"/>
        </w:rPr>
        <w:t> </w:t>
      </w:r>
      <w:r>
        <w:rPr/>
        <w:t>agreements,</w:t>
      </w:r>
      <w:r>
        <w:rPr>
          <w:spacing w:val="-11"/>
        </w:rPr>
        <w:t> </w:t>
      </w:r>
      <w:r>
        <w:rPr/>
        <w:t>there is no requirement for the financial institutions to return any portion of the prepayment to us.</w:t>
      </w:r>
    </w:p>
    <w:p>
      <w:pPr>
        <w:pStyle w:val="BodyText"/>
        <w:spacing w:line="249" w:lineRule="auto" w:before="186"/>
        <w:ind w:left="220" w:right="257" w:firstLine="540"/>
        <w:jc w:val="both"/>
      </w:pPr>
      <w:r>
        <w:rPr/>
        <w:t>The financial institutions agree to deliver shares to us at monthly intervals during the contract term.</w:t>
      </w:r>
      <w:r>
        <w:rPr>
          <w:spacing w:val="-4"/>
        </w:rPr>
        <w:t> </w:t>
      </w:r>
      <w:r>
        <w:rPr/>
        <w:t>The parameters used to calculate the number of shares deliverable are: the total notional amount of the contract, the number of trading days in the contract, the number of trading days in the interval and the average</w:t>
      </w:r>
      <w:r>
        <w:rPr>
          <w:spacing w:val="-4"/>
        </w:rPr>
        <w:t> </w:t>
      </w:r>
      <w:r>
        <w:rPr/>
        <w:t>VWAP</w:t>
      </w:r>
      <w:r>
        <w:rPr>
          <w:spacing w:val="-7"/>
        </w:rPr>
        <w:t> </w:t>
      </w:r>
      <w:r>
        <w:rPr/>
        <w:t>of our stock during the interval less the agreed upon discount.</w:t>
      </w:r>
      <w:r>
        <w:rPr>
          <w:spacing w:val="-2"/>
        </w:rPr>
        <w:t> </w:t>
      </w:r>
      <w:r>
        <w:rPr/>
        <w:t>During</w:t>
      </w:r>
      <w:r>
        <w:rPr>
          <w:spacing w:val="-2"/>
        </w:rPr>
        <w:t> </w:t>
      </w:r>
      <w:r>
        <w:rPr/>
        <w:t>fiscal</w:t>
      </w:r>
      <w:r>
        <w:rPr>
          <w:spacing w:val="-2"/>
        </w:rPr>
        <w:t> </w:t>
      </w:r>
      <w:r>
        <w:rPr/>
        <w:t>2017,</w:t>
      </w:r>
      <w:r>
        <w:rPr>
          <w:spacing w:val="-2"/>
        </w:rPr>
        <w:t> </w:t>
      </w:r>
      <w:r>
        <w:rPr/>
        <w:t>we</w:t>
      </w:r>
      <w:r>
        <w:rPr>
          <w:spacing w:val="-2"/>
        </w:rPr>
        <w:t> </w:t>
      </w:r>
      <w:r>
        <w:rPr/>
        <w:t>repurchased</w:t>
      </w:r>
      <w:r>
        <w:rPr>
          <w:spacing w:val="-2"/>
        </w:rPr>
        <w:t> </w:t>
      </w:r>
      <w:r>
        <w:rPr/>
        <w:t>approximately</w:t>
      </w:r>
      <w:r>
        <w:rPr>
          <w:spacing w:val="-2"/>
        </w:rPr>
        <w:t> </w:t>
      </w:r>
      <w:r>
        <w:rPr/>
        <w:t>8.2</w:t>
      </w:r>
      <w:r>
        <w:rPr>
          <w:spacing w:val="-2"/>
        </w:rPr>
        <w:t> </w:t>
      </w:r>
      <w:r>
        <w:rPr/>
        <w:t>million</w:t>
      </w:r>
      <w:r>
        <w:rPr>
          <w:spacing w:val="-2"/>
        </w:rPr>
        <w:t> </w:t>
      </w:r>
      <w:r>
        <w:rPr/>
        <w:t>shares</w:t>
      </w:r>
      <w:r>
        <w:rPr>
          <w:spacing w:val="-2"/>
        </w:rPr>
        <w:t> </w:t>
      </w:r>
      <w:r>
        <w:rPr/>
        <w:t>at</w:t>
      </w:r>
      <w:r>
        <w:rPr>
          <w:spacing w:val="-2"/>
        </w:rPr>
        <w:t> </w:t>
      </w:r>
      <w:r>
        <w:rPr/>
        <w:t>an</w:t>
      </w:r>
      <w:r>
        <w:rPr>
          <w:spacing w:val="-2"/>
        </w:rPr>
        <w:t> </w:t>
      </w:r>
      <w:r>
        <w:rPr/>
        <w:t>average</w:t>
      </w:r>
      <w:r>
        <w:rPr>
          <w:spacing w:val="-2"/>
        </w:rPr>
        <w:t> </w:t>
      </w:r>
      <w:r>
        <w:rPr/>
        <w:t>price</w:t>
      </w:r>
      <w:r>
        <w:rPr>
          <w:spacing w:val="-2"/>
        </w:rPr>
        <w:t> </w:t>
      </w:r>
      <w:r>
        <w:rPr/>
        <w:t>per</w:t>
      </w:r>
      <w:r>
        <w:rPr>
          <w:spacing w:val="-2"/>
        </w:rPr>
        <w:t> </w:t>
      </w:r>
      <w:r>
        <w:rPr/>
        <w:t>share</w:t>
      </w:r>
      <w:r>
        <w:rPr>
          <w:spacing w:val="-2"/>
        </w:rPr>
        <w:t> </w:t>
      </w:r>
      <w:r>
        <w:rPr/>
        <w:t>of</w:t>
      </w:r>
      <w:r>
        <w:rPr>
          <w:spacing w:val="-2"/>
        </w:rPr>
        <w:t> </w:t>
      </w:r>
      <w:r>
        <w:rPr/>
        <w:t>$134.20</w:t>
      </w:r>
      <w:r>
        <w:rPr>
          <w:spacing w:val="-2"/>
        </w:rPr>
        <w:t> </w:t>
      </w:r>
      <w:r>
        <w:rPr/>
        <w:t>through </w:t>
      </w:r>
      <w:r>
        <w:rPr>
          <w:spacing w:val="-2"/>
        </w:rPr>
        <w:t>structured</w:t>
      </w:r>
      <w:r>
        <w:rPr>
          <w:spacing w:val="-11"/>
        </w:rPr>
        <w:t> </w:t>
      </w:r>
      <w:r>
        <w:rPr>
          <w:spacing w:val="-2"/>
        </w:rPr>
        <w:t>repurchase</w:t>
      </w:r>
      <w:r>
        <w:rPr>
          <w:spacing w:val="-13"/>
        </w:rPr>
        <w:t> </w:t>
      </w:r>
      <w:r>
        <w:rPr>
          <w:spacing w:val="-2"/>
        </w:rPr>
        <w:t>agreements</w:t>
      </w:r>
      <w:r>
        <w:rPr>
          <w:spacing w:val="-10"/>
        </w:rPr>
        <w:t> </w:t>
      </w:r>
      <w:r>
        <w:rPr>
          <w:spacing w:val="-2"/>
        </w:rPr>
        <w:t>entered</w:t>
      </w:r>
      <w:r>
        <w:rPr>
          <w:spacing w:val="-11"/>
        </w:rPr>
        <w:t> </w:t>
      </w:r>
      <w:r>
        <w:rPr>
          <w:spacing w:val="-2"/>
        </w:rPr>
        <w:t>into</w:t>
      </w:r>
      <w:r>
        <w:rPr>
          <w:spacing w:val="-11"/>
        </w:rPr>
        <w:t> </w:t>
      </w:r>
      <w:r>
        <w:rPr>
          <w:spacing w:val="-2"/>
        </w:rPr>
        <w:t>during</w:t>
      </w:r>
      <w:r>
        <w:rPr>
          <w:spacing w:val="-11"/>
        </w:rPr>
        <w:t> </w:t>
      </w:r>
      <w:r>
        <w:rPr>
          <w:spacing w:val="-2"/>
        </w:rPr>
        <w:t>fiscal</w:t>
      </w:r>
      <w:r>
        <w:rPr>
          <w:spacing w:val="-12"/>
        </w:rPr>
        <w:t> </w:t>
      </w:r>
      <w:r>
        <w:rPr>
          <w:spacing w:val="-2"/>
        </w:rPr>
        <w:t>2017</w:t>
      </w:r>
      <w:r>
        <w:rPr>
          <w:spacing w:val="-11"/>
        </w:rPr>
        <w:t> </w:t>
      </w:r>
      <w:r>
        <w:rPr>
          <w:spacing w:val="-2"/>
        </w:rPr>
        <w:t>and</w:t>
      </w:r>
      <w:r>
        <w:rPr>
          <w:spacing w:val="-11"/>
        </w:rPr>
        <w:t> </w:t>
      </w:r>
      <w:r>
        <w:rPr>
          <w:spacing w:val="-2"/>
        </w:rPr>
        <w:t>fiscal</w:t>
      </w:r>
      <w:r>
        <w:rPr>
          <w:spacing w:val="-12"/>
        </w:rPr>
        <w:t> </w:t>
      </w:r>
      <w:r>
        <w:rPr>
          <w:spacing w:val="-2"/>
        </w:rPr>
        <w:t>2016.</w:t>
      </w:r>
      <w:r>
        <w:rPr>
          <w:spacing w:val="-11"/>
        </w:rPr>
        <w:t> </w:t>
      </w:r>
      <w:r>
        <w:rPr>
          <w:spacing w:val="-2"/>
        </w:rPr>
        <w:t>During</w:t>
      </w:r>
      <w:r>
        <w:rPr>
          <w:spacing w:val="-10"/>
        </w:rPr>
        <w:t> </w:t>
      </w:r>
      <w:r>
        <w:rPr>
          <w:spacing w:val="-2"/>
        </w:rPr>
        <w:t>fiscal</w:t>
      </w:r>
      <w:r>
        <w:rPr>
          <w:spacing w:val="-13"/>
        </w:rPr>
        <w:t> </w:t>
      </w:r>
      <w:r>
        <w:rPr>
          <w:spacing w:val="-2"/>
        </w:rPr>
        <w:t>2016,</w:t>
      </w:r>
      <w:r>
        <w:rPr>
          <w:spacing w:val="-10"/>
        </w:rPr>
        <w:t> </w:t>
      </w:r>
      <w:r>
        <w:rPr>
          <w:spacing w:val="-2"/>
        </w:rPr>
        <w:t>we</w:t>
      </w:r>
      <w:r>
        <w:rPr>
          <w:spacing w:val="-13"/>
        </w:rPr>
        <w:t> </w:t>
      </w:r>
      <w:r>
        <w:rPr>
          <w:spacing w:val="-2"/>
        </w:rPr>
        <w:t>repurchased</w:t>
      </w:r>
      <w:r>
        <w:rPr>
          <w:spacing w:val="-10"/>
        </w:rPr>
        <w:t> </w:t>
      </w:r>
      <w:r>
        <w:rPr>
          <w:spacing w:val="-2"/>
        </w:rPr>
        <w:t>approximately</w:t>
      </w:r>
    </w:p>
    <w:p>
      <w:pPr>
        <w:pStyle w:val="BodyText"/>
        <w:spacing w:line="249" w:lineRule="auto" w:before="4"/>
        <w:ind w:left="220" w:right="257"/>
        <w:jc w:val="both"/>
      </w:pPr>
      <w:r>
        <w:rPr/>
        <w:t>10.4 million shares at an average price per share of $97.16 through structured repurchase agreements entered into during fiscal 2016</w:t>
      </w:r>
      <w:r>
        <w:rPr>
          <w:spacing w:val="-13"/>
        </w:rPr>
        <w:t> </w:t>
      </w:r>
      <w:r>
        <w:rPr/>
        <w:t>and</w:t>
      </w:r>
      <w:r>
        <w:rPr>
          <w:spacing w:val="-12"/>
        </w:rPr>
        <w:t> </w:t>
      </w:r>
      <w:r>
        <w:rPr/>
        <w:t>fiscal</w:t>
      </w:r>
      <w:r>
        <w:rPr>
          <w:spacing w:val="-13"/>
        </w:rPr>
        <w:t> </w:t>
      </w:r>
      <w:r>
        <w:rPr/>
        <w:t>2015.</w:t>
      </w:r>
      <w:r>
        <w:rPr>
          <w:spacing w:val="-12"/>
        </w:rPr>
        <w:t> </w:t>
      </w:r>
      <w:r>
        <w:rPr/>
        <w:t>During</w:t>
      </w:r>
      <w:r>
        <w:rPr>
          <w:spacing w:val="-13"/>
        </w:rPr>
        <w:t> </w:t>
      </w:r>
      <w:r>
        <w:rPr/>
        <w:t>fiscal</w:t>
      </w:r>
      <w:r>
        <w:rPr>
          <w:spacing w:val="-12"/>
        </w:rPr>
        <w:t> </w:t>
      </w:r>
      <w:r>
        <w:rPr/>
        <w:t>2015,</w:t>
      </w:r>
      <w:r>
        <w:rPr>
          <w:spacing w:val="-13"/>
        </w:rPr>
        <w:t> </w:t>
      </w:r>
      <w:r>
        <w:rPr/>
        <w:t>we</w:t>
      </w:r>
      <w:r>
        <w:rPr>
          <w:spacing w:val="-12"/>
        </w:rPr>
        <w:t> </w:t>
      </w:r>
      <w:r>
        <w:rPr/>
        <w:t>repurchased</w:t>
      </w:r>
      <w:r>
        <w:rPr>
          <w:spacing w:val="-13"/>
        </w:rPr>
        <w:t> </w:t>
      </w:r>
      <w:r>
        <w:rPr/>
        <w:t>approximately</w:t>
      </w:r>
      <w:r>
        <w:rPr>
          <w:spacing w:val="-12"/>
        </w:rPr>
        <w:t> </w:t>
      </w:r>
      <w:r>
        <w:rPr/>
        <w:t>8.1</w:t>
      </w:r>
      <w:r>
        <w:rPr>
          <w:spacing w:val="-13"/>
        </w:rPr>
        <w:t> </w:t>
      </w:r>
      <w:r>
        <w:rPr/>
        <w:t>million</w:t>
      </w:r>
      <w:r>
        <w:rPr>
          <w:spacing w:val="-12"/>
        </w:rPr>
        <w:t> </w:t>
      </w:r>
      <w:r>
        <w:rPr/>
        <w:t>shares</w:t>
      </w:r>
      <w:r>
        <w:rPr>
          <w:spacing w:val="-13"/>
        </w:rPr>
        <w:t> </w:t>
      </w:r>
      <w:r>
        <w:rPr/>
        <w:t>at</w:t>
      </w:r>
      <w:r>
        <w:rPr>
          <w:spacing w:val="-12"/>
        </w:rPr>
        <w:t> </w:t>
      </w:r>
      <w:r>
        <w:rPr/>
        <w:t>an</w:t>
      </w:r>
      <w:r>
        <w:rPr>
          <w:spacing w:val="-13"/>
        </w:rPr>
        <w:t> </w:t>
      </w:r>
      <w:r>
        <w:rPr/>
        <w:t>average</w:t>
      </w:r>
      <w:r>
        <w:rPr>
          <w:spacing w:val="-12"/>
        </w:rPr>
        <w:t> </w:t>
      </w:r>
      <w:r>
        <w:rPr/>
        <w:t>price</w:t>
      </w:r>
      <w:r>
        <w:rPr>
          <w:spacing w:val="-13"/>
        </w:rPr>
        <w:t> </w:t>
      </w:r>
      <w:r>
        <w:rPr/>
        <w:t>per</w:t>
      </w:r>
      <w:r>
        <w:rPr>
          <w:spacing w:val="-12"/>
        </w:rPr>
        <w:t> </w:t>
      </w:r>
      <w:r>
        <w:rPr/>
        <w:t>share</w:t>
      </w:r>
      <w:r>
        <w:rPr>
          <w:spacing w:val="-13"/>
        </w:rPr>
        <w:t> </w:t>
      </w:r>
      <w:r>
        <w:rPr/>
        <w:t>of</w:t>
      </w:r>
      <w:r>
        <w:rPr>
          <w:spacing w:val="-12"/>
        </w:rPr>
        <w:t> </w:t>
      </w:r>
      <w:r>
        <w:rPr/>
        <w:t>$77.38 through structured repurchase agreements entered into during fiscal 2015 and fiscal 2014.</w:t>
      </w:r>
    </w:p>
    <w:p>
      <w:pPr>
        <w:pStyle w:val="BodyText"/>
        <w:spacing w:line="249" w:lineRule="auto" w:before="123"/>
        <w:ind w:left="220" w:right="257" w:firstLine="540"/>
        <w:jc w:val="both"/>
      </w:pPr>
      <w:r>
        <w:rPr/>
        <w:t>For</w:t>
      </w:r>
      <w:r>
        <w:rPr>
          <w:spacing w:val="-1"/>
        </w:rPr>
        <w:t> </w:t>
      </w:r>
      <w:r>
        <w:rPr/>
        <w:t>fiscal</w:t>
      </w:r>
      <w:r>
        <w:rPr>
          <w:spacing w:val="-1"/>
        </w:rPr>
        <w:t> </w:t>
      </w:r>
      <w:r>
        <w:rPr/>
        <w:t>2017,</w:t>
      </w:r>
      <w:r>
        <w:rPr>
          <w:spacing w:val="-1"/>
        </w:rPr>
        <w:t> </w:t>
      </w:r>
      <w:r>
        <w:rPr/>
        <w:t>2016</w:t>
      </w:r>
      <w:r>
        <w:rPr>
          <w:spacing w:val="-1"/>
        </w:rPr>
        <w:t> </w:t>
      </w:r>
      <w:r>
        <w:rPr/>
        <w:t>and</w:t>
      </w:r>
      <w:r>
        <w:rPr>
          <w:spacing w:val="-1"/>
        </w:rPr>
        <w:t> </w:t>
      </w:r>
      <w:r>
        <w:rPr/>
        <w:t>2015,</w:t>
      </w:r>
      <w:r>
        <w:rPr>
          <w:spacing w:val="-1"/>
        </w:rPr>
        <w:t> </w:t>
      </w:r>
      <w:r>
        <w:rPr/>
        <w:t>the</w:t>
      </w:r>
      <w:r>
        <w:rPr>
          <w:spacing w:val="-1"/>
        </w:rPr>
        <w:t> </w:t>
      </w:r>
      <w:r>
        <w:rPr/>
        <w:t>prepayments</w:t>
      </w:r>
      <w:r>
        <w:rPr>
          <w:spacing w:val="-1"/>
        </w:rPr>
        <w:t> </w:t>
      </w:r>
      <w:r>
        <w:rPr/>
        <w:t>were</w:t>
      </w:r>
      <w:r>
        <w:rPr>
          <w:spacing w:val="-1"/>
        </w:rPr>
        <w:t> </w:t>
      </w:r>
      <w:r>
        <w:rPr/>
        <w:t>classified</w:t>
      </w:r>
      <w:r>
        <w:rPr>
          <w:spacing w:val="-1"/>
        </w:rPr>
        <w:t> </w:t>
      </w:r>
      <w:r>
        <w:rPr/>
        <w:t>as</w:t>
      </w:r>
      <w:r>
        <w:rPr>
          <w:spacing w:val="-1"/>
        </w:rPr>
        <w:t> </w:t>
      </w:r>
      <w:r>
        <w:rPr/>
        <w:t>treasury</w:t>
      </w:r>
      <w:r>
        <w:rPr>
          <w:spacing w:val="-1"/>
        </w:rPr>
        <w:t> </w:t>
      </w:r>
      <w:r>
        <w:rPr/>
        <w:t>stock</w:t>
      </w:r>
      <w:r>
        <w:rPr>
          <w:spacing w:val="-1"/>
        </w:rPr>
        <w:t> </w:t>
      </w:r>
      <w:r>
        <w:rPr/>
        <w:t>on</w:t>
      </w:r>
      <w:r>
        <w:rPr>
          <w:spacing w:val="-1"/>
        </w:rPr>
        <w:t> </w:t>
      </w:r>
      <w:r>
        <w:rPr/>
        <w:t>our</w:t>
      </w:r>
      <w:r>
        <w:rPr>
          <w:spacing w:val="-1"/>
        </w:rPr>
        <w:t> </w:t>
      </w:r>
      <w:r>
        <w:rPr/>
        <w:t>Consolidated</w:t>
      </w:r>
      <w:r>
        <w:rPr>
          <w:spacing w:val="-1"/>
        </w:rPr>
        <w:t> </w:t>
      </w:r>
      <w:r>
        <w:rPr/>
        <w:t>Balance</w:t>
      </w:r>
      <w:r>
        <w:rPr>
          <w:spacing w:val="-1"/>
        </w:rPr>
        <w:t> </w:t>
      </w:r>
      <w:r>
        <w:rPr/>
        <w:t>Sheets</w:t>
      </w:r>
      <w:r>
        <w:rPr>
          <w:spacing w:val="-1"/>
        </w:rPr>
        <w:t> </w:t>
      </w:r>
      <w:r>
        <w:rPr/>
        <w:t>at the</w:t>
      </w:r>
      <w:r>
        <w:rPr>
          <w:spacing w:val="-12"/>
        </w:rPr>
        <w:t> </w:t>
      </w:r>
      <w:r>
        <w:rPr/>
        <w:t>payment</w:t>
      </w:r>
      <w:r>
        <w:rPr>
          <w:spacing w:val="-12"/>
        </w:rPr>
        <w:t> </w:t>
      </w:r>
      <w:r>
        <w:rPr/>
        <w:t>date,</w:t>
      </w:r>
      <w:r>
        <w:rPr>
          <w:spacing w:val="-12"/>
        </w:rPr>
        <w:t> </w:t>
      </w:r>
      <w:r>
        <w:rPr/>
        <w:t>though</w:t>
      </w:r>
      <w:r>
        <w:rPr>
          <w:spacing w:val="-12"/>
        </w:rPr>
        <w:t> </w:t>
      </w:r>
      <w:r>
        <w:rPr/>
        <w:t>only</w:t>
      </w:r>
      <w:r>
        <w:rPr>
          <w:spacing w:val="-12"/>
        </w:rPr>
        <w:t> </w:t>
      </w:r>
      <w:r>
        <w:rPr/>
        <w:t>shares</w:t>
      </w:r>
      <w:r>
        <w:rPr>
          <w:spacing w:val="-12"/>
        </w:rPr>
        <w:t> </w:t>
      </w:r>
      <w:r>
        <w:rPr/>
        <w:t>physically</w:t>
      </w:r>
      <w:r>
        <w:rPr>
          <w:spacing w:val="-12"/>
        </w:rPr>
        <w:t> </w:t>
      </w:r>
      <w:r>
        <w:rPr/>
        <w:t>delivered</w:t>
      </w:r>
      <w:r>
        <w:rPr>
          <w:spacing w:val="-12"/>
        </w:rPr>
        <w:t> </w:t>
      </w:r>
      <w:r>
        <w:rPr/>
        <w:t>to</w:t>
      </w:r>
      <w:r>
        <w:rPr>
          <w:spacing w:val="-12"/>
        </w:rPr>
        <w:t> </w:t>
      </w:r>
      <w:r>
        <w:rPr/>
        <w:t>us</w:t>
      </w:r>
      <w:r>
        <w:rPr>
          <w:spacing w:val="-12"/>
        </w:rPr>
        <w:t> </w:t>
      </w:r>
      <w:r>
        <w:rPr/>
        <w:t>by</w:t>
      </w:r>
      <w:r>
        <w:rPr>
          <w:spacing w:val="-12"/>
        </w:rPr>
        <w:t> </w:t>
      </w:r>
      <w:r>
        <w:rPr/>
        <w:t>December</w:t>
      </w:r>
      <w:r>
        <w:rPr>
          <w:spacing w:val="-2"/>
        </w:rPr>
        <w:t> </w:t>
      </w:r>
      <w:r>
        <w:rPr/>
        <w:t>1,</w:t>
      </w:r>
      <w:r>
        <w:rPr>
          <w:spacing w:val="-12"/>
        </w:rPr>
        <w:t> </w:t>
      </w:r>
      <w:r>
        <w:rPr/>
        <w:t>2017,</w:t>
      </w:r>
      <w:r>
        <w:rPr>
          <w:spacing w:val="-12"/>
        </w:rPr>
        <w:t> </w:t>
      </w:r>
      <w:r>
        <w:rPr/>
        <w:t>December</w:t>
      </w:r>
      <w:r>
        <w:rPr>
          <w:spacing w:val="-2"/>
        </w:rPr>
        <w:t> </w:t>
      </w:r>
      <w:r>
        <w:rPr/>
        <w:t>2,</w:t>
      </w:r>
      <w:r>
        <w:rPr>
          <w:spacing w:val="-12"/>
        </w:rPr>
        <w:t> </w:t>
      </w:r>
      <w:r>
        <w:rPr/>
        <w:t>2016</w:t>
      </w:r>
      <w:r>
        <w:rPr>
          <w:spacing w:val="-12"/>
        </w:rPr>
        <w:t> </w:t>
      </w:r>
      <w:r>
        <w:rPr/>
        <w:t>and</w:t>
      </w:r>
      <w:r>
        <w:rPr>
          <w:spacing w:val="-12"/>
        </w:rPr>
        <w:t> </w:t>
      </w:r>
      <w:r>
        <w:rPr/>
        <w:t>November</w:t>
      </w:r>
      <w:r>
        <w:rPr>
          <w:spacing w:val="-2"/>
        </w:rPr>
        <w:t> </w:t>
      </w:r>
      <w:r>
        <w:rPr/>
        <w:t>27,</w:t>
      </w:r>
      <w:r>
        <w:rPr>
          <w:spacing w:val="-12"/>
        </w:rPr>
        <w:t> </w:t>
      </w:r>
      <w:r>
        <w:rPr/>
        <w:t>2015 were excluded from the computation of earnings per share.</w:t>
      </w:r>
      <w:r>
        <w:rPr>
          <w:spacing w:val="-6"/>
        </w:rPr>
        <w:t> </w:t>
      </w:r>
      <w:r>
        <w:rPr/>
        <w:t>As of December</w:t>
      </w:r>
      <w:r>
        <w:rPr>
          <w:spacing w:val="-2"/>
        </w:rPr>
        <w:t> </w:t>
      </w:r>
      <w:r>
        <w:rPr/>
        <w:t>1, 2017, $101.5 million of prepayments remained under the agreement.</w:t>
      </w:r>
    </w:p>
    <w:p>
      <w:pPr>
        <w:pStyle w:val="BodyText"/>
        <w:spacing w:line="249" w:lineRule="auto" w:before="123"/>
        <w:ind w:left="220" w:right="257" w:firstLine="540"/>
        <w:jc w:val="both"/>
      </w:pPr>
      <w:r>
        <w:rPr>
          <w:spacing w:val="-4"/>
        </w:rPr>
        <w:t>Subsequent</w:t>
      </w:r>
      <w:r>
        <w:rPr>
          <w:spacing w:val="-5"/>
        </w:rPr>
        <w:t> </w:t>
      </w:r>
      <w:r>
        <w:rPr>
          <w:spacing w:val="-4"/>
        </w:rPr>
        <w:t>to December</w:t>
      </w:r>
      <w:r>
        <w:rPr>
          <w:spacing w:val="34"/>
        </w:rPr>
        <w:t> </w:t>
      </w:r>
      <w:r>
        <w:rPr>
          <w:spacing w:val="-4"/>
        </w:rPr>
        <w:t>1, 2017, as part</w:t>
      </w:r>
      <w:r>
        <w:rPr>
          <w:spacing w:val="-5"/>
        </w:rPr>
        <w:t> </w:t>
      </w:r>
      <w:r>
        <w:rPr>
          <w:spacing w:val="-4"/>
        </w:rPr>
        <w:t>of the 2017 stock repurchase</w:t>
      </w:r>
      <w:r>
        <w:rPr>
          <w:spacing w:val="-5"/>
        </w:rPr>
        <w:t> </w:t>
      </w:r>
      <w:r>
        <w:rPr>
          <w:spacing w:val="-4"/>
        </w:rPr>
        <w:t>authority, we</w:t>
      </w:r>
      <w:r>
        <w:rPr>
          <w:spacing w:val="-5"/>
        </w:rPr>
        <w:t> </w:t>
      </w:r>
      <w:r>
        <w:rPr>
          <w:spacing w:val="-4"/>
        </w:rPr>
        <w:t>entered into a structured stock repurchase </w:t>
      </w:r>
      <w:r>
        <w:rPr/>
        <w:t>agreement with a large financial institution whereupon we provided them with a prepayment of $300 million.</w:t>
      </w:r>
      <w:r>
        <w:rPr>
          <w:spacing w:val="-2"/>
        </w:rPr>
        <w:t> </w:t>
      </w:r>
      <w:r>
        <w:rPr/>
        <w:t>This amount will be classified as treasury stock on our Consolidated Balance Sheets. Upon completion of the $300 million stock repurchase agreement, $1.6 billion remains under our current authority.</w:t>
      </w:r>
    </w:p>
    <w:p>
      <w:pPr>
        <w:spacing w:after="0" w:line="249" w:lineRule="auto"/>
        <w:jc w:val="both"/>
        <w:sectPr>
          <w:pgSz w:w="12240" w:h="15840"/>
          <w:pgMar w:header="210" w:footer="610" w:top="1380" w:bottom="800" w:left="780" w:right="740"/>
        </w:sectPr>
      </w:pPr>
    </w:p>
    <w:p>
      <w:pPr>
        <w:pStyle w:val="BodyText"/>
      </w:pPr>
    </w:p>
    <w:p>
      <w:pPr>
        <w:pStyle w:val="BodyText"/>
      </w:pPr>
    </w:p>
    <w:p>
      <w:pPr>
        <w:pStyle w:val="BodyText"/>
        <w:spacing w:before="27"/>
      </w:pPr>
    </w:p>
    <w:p>
      <w:pPr>
        <w:pStyle w:val="Heading1"/>
      </w:pPr>
      <w:bookmarkStart w:name="NOTE 13. NET INCOME PER SHARE" w:id="85"/>
      <w:bookmarkEnd w:id="85"/>
      <w:r>
        <w:rPr>
          <w:b w:val="0"/>
        </w:rPr>
      </w:r>
      <w:r>
        <w:rPr/>
        <w:t>NOTE</w:t>
      </w:r>
      <w:r>
        <w:rPr>
          <w:spacing w:val="-1"/>
        </w:rPr>
        <w:t> </w:t>
      </w:r>
      <w:r>
        <w:rPr/>
        <w:t>13.</w:t>
      </w:r>
      <w:r>
        <w:rPr>
          <w:spacing w:val="49"/>
        </w:rPr>
        <w:t> </w:t>
      </w:r>
      <w:r>
        <w:rPr/>
        <w:t>NET</w:t>
      </w:r>
      <w:r>
        <w:rPr>
          <w:spacing w:val="-4"/>
        </w:rPr>
        <w:t> </w:t>
      </w:r>
      <w:r>
        <w:rPr/>
        <w:t>INCOME</w:t>
      </w:r>
      <w:r>
        <w:rPr>
          <w:spacing w:val="-1"/>
        </w:rPr>
        <w:t> </w:t>
      </w:r>
      <w:r>
        <w:rPr/>
        <w:t>PER </w:t>
      </w:r>
      <w:r>
        <w:rPr>
          <w:spacing w:val="-2"/>
        </w:rPr>
        <w:t>SHARE</w:t>
      </w:r>
    </w:p>
    <w:p>
      <w:pPr>
        <w:pStyle w:val="BodyText"/>
        <w:spacing w:line="249" w:lineRule="auto" w:before="190"/>
        <w:ind w:left="220" w:right="257" w:firstLine="540"/>
        <w:jc w:val="both"/>
      </w:pPr>
      <w:r>
        <w:rPr/>
        <w:t>Basic</w:t>
      </w:r>
      <w:r>
        <w:rPr>
          <w:spacing w:val="-6"/>
        </w:rPr>
        <w:t> </w:t>
      </w:r>
      <w:r>
        <w:rPr/>
        <w:t>net</w:t>
      </w:r>
      <w:r>
        <w:rPr>
          <w:spacing w:val="-6"/>
        </w:rPr>
        <w:t> </w:t>
      </w:r>
      <w:r>
        <w:rPr/>
        <w:t>income</w:t>
      </w:r>
      <w:r>
        <w:rPr>
          <w:spacing w:val="-6"/>
        </w:rPr>
        <w:t> </w:t>
      </w:r>
      <w:r>
        <w:rPr/>
        <w:t>per</w:t>
      </w:r>
      <w:r>
        <w:rPr>
          <w:spacing w:val="-6"/>
        </w:rPr>
        <w:t> </w:t>
      </w:r>
      <w:r>
        <w:rPr/>
        <w:t>share</w:t>
      </w:r>
      <w:r>
        <w:rPr>
          <w:spacing w:val="-6"/>
        </w:rPr>
        <w:t> </w:t>
      </w:r>
      <w:r>
        <w:rPr/>
        <w:t>is</w:t>
      </w:r>
      <w:r>
        <w:rPr>
          <w:spacing w:val="-6"/>
        </w:rPr>
        <w:t> </w:t>
      </w:r>
      <w:r>
        <w:rPr/>
        <w:t>computed</w:t>
      </w:r>
      <w:r>
        <w:rPr>
          <w:spacing w:val="-6"/>
        </w:rPr>
        <w:t> </w:t>
      </w:r>
      <w:r>
        <w:rPr/>
        <w:t>using</w:t>
      </w:r>
      <w:r>
        <w:rPr>
          <w:spacing w:val="-6"/>
        </w:rPr>
        <w:t> </w:t>
      </w:r>
      <w:r>
        <w:rPr/>
        <w:t>the</w:t>
      </w:r>
      <w:r>
        <w:rPr>
          <w:spacing w:val="-6"/>
        </w:rPr>
        <w:t> </w:t>
      </w:r>
      <w:r>
        <w:rPr/>
        <w:t>weighted</w:t>
      </w:r>
      <w:r>
        <w:rPr>
          <w:spacing w:val="-6"/>
        </w:rPr>
        <w:t> </w:t>
      </w:r>
      <w:r>
        <w:rPr/>
        <w:t>average</w:t>
      </w:r>
      <w:r>
        <w:rPr>
          <w:spacing w:val="-6"/>
        </w:rPr>
        <w:t> </w:t>
      </w:r>
      <w:r>
        <w:rPr/>
        <w:t>number</w:t>
      </w:r>
      <w:r>
        <w:rPr>
          <w:spacing w:val="-6"/>
        </w:rPr>
        <w:t> </w:t>
      </w:r>
      <w:r>
        <w:rPr/>
        <w:t>of</w:t>
      </w:r>
      <w:r>
        <w:rPr>
          <w:spacing w:val="-6"/>
        </w:rPr>
        <w:t> </w:t>
      </w:r>
      <w:r>
        <w:rPr/>
        <w:t>common</w:t>
      </w:r>
      <w:r>
        <w:rPr>
          <w:spacing w:val="-6"/>
        </w:rPr>
        <w:t> </w:t>
      </w:r>
      <w:r>
        <w:rPr/>
        <w:t>shares</w:t>
      </w:r>
      <w:r>
        <w:rPr>
          <w:spacing w:val="-6"/>
        </w:rPr>
        <w:t> </w:t>
      </w:r>
      <w:r>
        <w:rPr/>
        <w:t>outstanding</w:t>
      </w:r>
      <w:r>
        <w:rPr>
          <w:spacing w:val="-6"/>
        </w:rPr>
        <w:t> </w:t>
      </w:r>
      <w:r>
        <w:rPr/>
        <w:t>for</w:t>
      </w:r>
      <w:r>
        <w:rPr>
          <w:spacing w:val="-6"/>
        </w:rPr>
        <w:t> </w:t>
      </w:r>
      <w:r>
        <w:rPr/>
        <w:t>the</w:t>
      </w:r>
      <w:r>
        <w:rPr>
          <w:spacing w:val="-6"/>
        </w:rPr>
        <w:t> </w:t>
      </w:r>
      <w:r>
        <w:rPr/>
        <w:t>period, </w:t>
      </w:r>
      <w:r>
        <w:rPr>
          <w:spacing w:val="-2"/>
        </w:rPr>
        <w:t>excluding</w:t>
      </w:r>
      <w:r>
        <w:rPr>
          <w:spacing w:val="-8"/>
        </w:rPr>
        <w:t> </w:t>
      </w:r>
      <w:r>
        <w:rPr>
          <w:spacing w:val="-2"/>
        </w:rPr>
        <w:t>unvested</w:t>
      </w:r>
      <w:r>
        <w:rPr>
          <w:spacing w:val="-8"/>
        </w:rPr>
        <w:t> </w:t>
      </w:r>
      <w:r>
        <w:rPr>
          <w:spacing w:val="-2"/>
        </w:rPr>
        <w:t>restricted</w:t>
      </w:r>
      <w:r>
        <w:rPr>
          <w:spacing w:val="-8"/>
        </w:rPr>
        <w:t> </w:t>
      </w:r>
      <w:r>
        <w:rPr>
          <w:spacing w:val="-2"/>
        </w:rPr>
        <w:t>stock</w:t>
      </w:r>
      <w:r>
        <w:rPr>
          <w:spacing w:val="-8"/>
        </w:rPr>
        <w:t> </w:t>
      </w:r>
      <w:r>
        <w:rPr>
          <w:spacing w:val="-2"/>
        </w:rPr>
        <w:t>units</w:t>
      </w:r>
      <w:r>
        <w:rPr>
          <w:spacing w:val="-8"/>
        </w:rPr>
        <w:t> </w:t>
      </w:r>
      <w:r>
        <w:rPr>
          <w:spacing w:val="-2"/>
        </w:rPr>
        <w:t>and</w:t>
      </w:r>
      <w:r>
        <w:rPr>
          <w:spacing w:val="-8"/>
        </w:rPr>
        <w:t> </w:t>
      </w:r>
      <w:r>
        <w:rPr>
          <w:spacing w:val="-2"/>
        </w:rPr>
        <w:t>performance</w:t>
      </w:r>
      <w:r>
        <w:rPr>
          <w:spacing w:val="-8"/>
        </w:rPr>
        <w:t> </w:t>
      </w:r>
      <w:r>
        <w:rPr>
          <w:spacing w:val="-2"/>
        </w:rPr>
        <w:t>awards.</w:t>
      </w:r>
      <w:r>
        <w:rPr>
          <w:spacing w:val="-8"/>
        </w:rPr>
        <w:t> </w:t>
      </w:r>
      <w:r>
        <w:rPr>
          <w:spacing w:val="-2"/>
        </w:rPr>
        <w:t>Diluted</w:t>
      </w:r>
      <w:r>
        <w:rPr>
          <w:spacing w:val="-8"/>
        </w:rPr>
        <w:t> </w:t>
      </w:r>
      <w:r>
        <w:rPr>
          <w:spacing w:val="-2"/>
        </w:rPr>
        <w:t>net</w:t>
      </w:r>
      <w:r>
        <w:rPr>
          <w:spacing w:val="-8"/>
        </w:rPr>
        <w:t> </w:t>
      </w:r>
      <w:r>
        <w:rPr>
          <w:spacing w:val="-2"/>
        </w:rPr>
        <w:t>income</w:t>
      </w:r>
      <w:r>
        <w:rPr>
          <w:spacing w:val="-8"/>
        </w:rPr>
        <w:t> </w:t>
      </w:r>
      <w:r>
        <w:rPr>
          <w:spacing w:val="-2"/>
        </w:rPr>
        <w:t>per</w:t>
      </w:r>
      <w:r>
        <w:rPr>
          <w:spacing w:val="-8"/>
        </w:rPr>
        <w:t> </w:t>
      </w:r>
      <w:r>
        <w:rPr>
          <w:spacing w:val="-2"/>
        </w:rPr>
        <w:t>share</w:t>
      </w:r>
      <w:r>
        <w:rPr>
          <w:spacing w:val="-8"/>
        </w:rPr>
        <w:t> </w:t>
      </w:r>
      <w:r>
        <w:rPr>
          <w:spacing w:val="-2"/>
        </w:rPr>
        <w:t>is</w:t>
      </w:r>
      <w:r>
        <w:rPr>
          <w:spacing w:val="-8"/>
        </w:rPr>
        <w:t> </w:t>
      </w:r>
      <w:r>
        <w:rPr>
          <w:spacing w:val="-2"/>
        </w:rPr>
        <w:t>based</w:t>
      </w:r>
      <w:r>
        <w:rPr>
          <w:spacing w:val="-8"/>
        </w:rPr>
        <w:t> </w:t>
      </w:r>
      <w:r>
        <w:rPr>
          <w:spacing w:val="-2"/>
        </w:rPr>
        <w:t>upon</w:t>
      </w:r>
      <w:r>
        <w:rPr>
          <w:spacing w:val="-8"/>
        </w:rPr>
        <w:t> </w:t>
      </w:r>
      <w:r>
        <w:rPr>
          <w:spacing w:val="-2"/>
        </w:rPr>
        <w:t>the</w:t>
      </w:r>
      <w:r>
        <w:rPr>
          <w:spacing w:val="-8"/>
        </w:rPr>
        <w:t> </w:t>
      </w:r>
      <w:r>
        <w:rPr>
          <w:spacing w:val="-2"/>
        </w:rPr>
        <w:t>weighted</w:t>
      </w:r>
      <w:r>
        <w:rPr>
          <w:spacing w:val="-8"/>
        </w:rPr>
        <w:t> </w:t>
      </w:r>
      <w:r>
        <w:rPr>
          <w:spacing w:val="-2"/>
        </w:rPr>
        <w:t>average </w:t>
      </w:r>
      <w:r>
        <w:rPr/>
        <w:t>common shares outstanding for the period plus dilutive potential common shares, including unvested restricted stock units, performance share awards, and stock options using the treasury stock method.</w:t>
      </w:r>
    </w:p>
    <w:p>
      <w:pPr>
        <w:pStyle w:val="BodyText"/>
        <w:spacing w:line="249" w:lineRule="auto" w:before="183"/>
        <w:ind w:left="220" w:right="257" w:firstLine="540"/>
        <w:jc w:val="both"/>
      </w:pPr>
      <w:r>
        <w:rPr/>
        <w:t>The</w:t>
      </w:r>
      <w:r>
        <w:rPr>
          <w:spacing w:val="-8"/>
        </w:rPr>
        <w:t> </w:t>
      </w:r>
      <w:r>
        <w:rPr/>
        <w:t>following</w:t>
      </w:r>
      <w:r>
        <w:rPr>
          <w:spacing w:val="-8"/>
        </w:rPr>
        <w:t> </w:t>
      </w:r>
      <w:r>
        <w:rPr/>
        <w:t>table</w:t>
      </w:r>
      <w:r>
        <w:rPr>
          <w:spacing w:val="-8"/>
        </w:rPr>
        <w:t> </w:t>
      </w:r>
      <w:r>
        <w:rPr/>
        <w:t>sets</w:t>
      </w:r>
      <w:r>
        <w:rPr>
          <w:spacing w:val="-8"/>
        </w:rPr>
        <w:t> </w:t>
      </w:r>
      <w:r>
        <w:rPr/>
        <w:t>forth</w:t>
      </w:r>
      <w:r>
        <w:rPr>
          <w:spacing w:val="-8"/>
        </w:rPr>
        <w:t> </w:t>
      </w:r>
      <w:r>
        <w:rPr/>
        <w:t>the</w:t>
      </w:r>
      <w:r>
        <w:rPr>
          <w:spacing w:val="-8"/>
        </w:rPr>
        <w:t> </w:t>
      </w:r>
      <w:r>
        <w:rPr/>
        <w:t>computation</w:t>
      </w:r>
      <w:r>
        <w:rPr>
          <w:spacing w:val="-8"/>
        </w:rPr>
        <w:t> </w:t>
      </w:r>
      <w:r>
        <w:rPr/>
        <w:t>of</w:t>
      </w:r>
      <w:r>
        <w:rPr>
          <w:spacing w:val="-8"/>
        </w:rPr>
        <w:t> </w:t>
      </w:r>
      <w:r>
        <w:rPr/>
        <w:t>basic</w:t>
      </w:r>
      <w:r>
        <w:rPr>
          <w:spacing w:val="-8"/>
        </w:rPr>
        <w:t> </w:t>
      </w:r>
      <w:r>
        <w:rPr/>
        <w:t>and</w:t>
      </w:r>
      <w:r>
        <w:rPr>
          <w:spacing w:val="-8"/>
        </w:rPr>
        <w:t> </w:t>
      </w:r>
      <w:r>
        <w:rPr/>
        <w:t>diluted</w:t>
      </w:r>
      <w:r>
        <w:rPr>
          <w:spacing w:val="-8"/>
        </w:rPr>
        <w:t> </w:t>
      </w:r>
      <w:r>
        <w:rPr/>
        <w:t>net</w:t>
      </w:r>
      <w:r>
        <w:rPr>
          <w:spacing w:val="-8"/>
        </w:rPr>
        <w:t> </w:t>
      </w:r>
      <w:r>
        <w:rPr/>
        <w:t>income</w:t>
      </w:r>
      <w:r>
        <w:rPr>
          <w:spacing w:val="-8"/>
        </w:rPr>
        <w:t> </w:t>
      </w:r>
      <w:r>
        <w:rPr/>
        <w:t>per</w:t>
      </w:r>
      <w:r>
        <w:rPr>
          <w:spacing w:val="-8"/>
        </w:rPr>
        <w:t> </w:t>
      </w:r>
      <w:r>
        <w:rPr/>
        <w:t>share</w:t>
      </w:r>
      <w:r>
        <w:rPr>
          <w:spacing w:val="-8"/>
        </w:rPr>
        <w:t> </w:t>
      </w:r>
      <w:r>
        <w:rPr/>
        <w:t>for</w:t>
      </w:r>
      <w:r>
        <w:rPr>
          <w:spacing w:val="-8"/>
        </w:rPr>
        <w:t> </w:t>
      </w:r>
      <w:r>
        <w:rPr/>
        <w:t>fiscal</w:t>
      </w:r>
      <w:r>
        <w:rPr>
          <w:spacing w:val="-8"/>
        </w:rPr>
        <w:t> </w:t>
      </w:r>
      <w:r>
        <w:rPr/>
        <w:t>2017,</w:t>
      </w:r>
      <w:r>
        <w:rPr>
          <w:spacing w:val="-8"/>
        </w:rPr>
        <w:t> </w:t>
      </w:r>
      <w:r>
        <w:rPr/>
        <w:t>2016</w:t>
      </w:r>
      <w:r>
        <w:rPr>
          <w:spacing w:val="-8"/>
        </w:rPr>
        <w:t> </w:t>
      </w:r>
      <w:r>
        <w:rPr/>
        <w:t>and</w:t>
      </w:r>
      <w:r>
        <w:rPr>
          <w:spacing w:val="-8"/>
        </w:rPr>
        <w:t> </w:t>
      </w:r>
      <w:r>
        <w:rPr/>
        <w:t>2015</w:t>
      </w:r>
      <w:r>
        <w:rPr>
          <w:spacing w:val="-8"/>
        </w:rPr>
        <w:t> </w:t>
      </w:r>
      <w:r>
        <w:rPr/>
        <w:t>(in thousands, except per share data):</w:t>
      </w:r>
    </w:p>
    <w:p>
      <w:pPr>
        <w:pStyle w:val="BodyText"/>
        <w:spacing w:before="2"/>
        <w:rPr>
          <w:sz w:val="1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4"/>
        <w:gridCol w:w="1932"/>
        <w:gridCol w:w="1180"/>
        <w:gridCol w:w="1173"/>
      </w:tblGrid>
      <w:tr>
        <w:trPr>
          <w:trHeight w:val="214" w:hRule="atLeast"/>
        </w:trPr>
        <w:tc>
          <w:tcPr>
            <w:tcW w:w="5954" w:type="dxa"/>
          </w:tcPr>
          <w:p>
            <w:pPr>
              <w:pStyle w:val="TableParagraph"/>
              <w:rPr>
                <w:sz w:val="14"/>
              </w:rPr>
            </w:pPr>
          </w:p>
        </w:tc>
        <w:tc>
          <w:tcPr>
            <w:tcW w:w="1932" w:type="dxa"/>
            <w:tcBorders>
              <w:bottom w:val="single" w:sz="8" w:space="0" w:color="000000"/>
            </w:tcBorders>
          </w:tcPr>
          <w:p>
            <w:pPr>
              <w:pStyle w:val="TableParagraph"/>
              <w:spacing w:line="177" w:lineRule="exact"/>
              <w:ind w:left="1176"/>
              <w:rPr>
                <w:b/>
                <w:sz w:val="16"/>
              </w:rPr>
            </w:pPr>
            <w:r>
              <w:rPr>
                <w:b/>
                <w:spacing w:val="-4"/>
                <w:sz w:val="16"/>
              </w:rPr>
              <w:t>2017</w:t>
            </w:r>
          </w:p>
        </w:tc>
        <w:tc>
          <w:tcPr>
            <w:tcW w:w="1180" w:type="dxa"/>
            <w:tcBorders>
              <w:bottom w:val="single" w:sz="8" w:space="0" w:color="000000"/>
            </w:tcBorders>
          </w:tcPr>
          <w:p>
            <w:pPr>
              <w:pStyle w:val="TableParagraph"/>
              <w:spacing w:line="177" w:lineRule="exact"/>
              <w:ind w:left="67" w:right="59"/>
              <w:jc w:val="center"/>
              <w:rPr>
                <w:b/>
                <w:sz w:val="16"/>
              </w:rPr>
            </w:pPr>
            <w:r>
              <w:rPr>
                <w:b/>
                <w:spacing w:val="-4"/>
                <w:sz w:val="16"/>
              </w:rPr>
              <w:t>2016</w:t>
            </w:r>
          </w:p>
        </w:tc>
        <w:tc>
          <w:tcPr>
            <w:tcW w:w="1173" w:type="dxa"/>
            <w:tcBorders>
              <w:bottom w:val="single" w:sz="8" w:space="0" w:color="000000"/>
            </w:tcBorders>
          </w:tcPr>
          <w:p>
            <w:pPr>
              <w:pStyle w:val="TableParagraph"/>
              <w:spacing w:line="177" w:lineRule="exact"/>
              <w:ind w:left="35"/>
              <w:jc w:val="center"/>
              <w:rPr>
                <w:b/>
                <w:sz w:val="16"/>
              </w:rPr>
            </w:pPr>
            <w:r>
              <w:rPr>
                <w:b/>
                <w:spacing w:val="-4"/>
                <w:sz w:val="16"/>
              </w:rPr>
              <w:t>2015</w:t>
            </w:r>
          </w:p>
        </w:tc>
      </w:tr>
      <w:tr>
        <w:trPr>
          <w:trHeight w:val="220" w:hRule="atLeast"/>
        </w:trPr>
        <w:tc>
          <w:tcPr>
            <w:tcW w:w="5954" w:type="dxa"/>
            <w:shd w:val="clear" w:color="auto" w:fill="CCEDFF"/>
          </w:tcPr>
          <w:p>
            <w:pPr>
              <w:pStyle w:val="TableParagraph"/>
              <w:spacing w:line="200" w:lineRule="exact"/>
              <w:ind w:left="50"/>
              <w:rPr>
                <w:sz w:val="20"/>
              </w:rPr>
            </w:pPr>
            <w:r>
              <w:rPr>
                <w:sz w:val="20"/>
              </w:rPr>
              <w:t>Net </w:t>
            </w:r>
            <w:r>
              <w:rPr>
                <w:spacing w:val="-2"/>
                <w:sz w:val="20"/>
              </w:rPr>
              <w:t>income</w:t>
            </w:r>
          </w:p>
        </w:tc>
        <w:tc>
          <w:tcPr>
            <w:tcW w:w="1932" w:type="dxa"/>
            <w:tcBorders>
              <w:top w:val="single" w:sz="8" w:space="0" w:color="000000"/>
              <w:bottom w:val="double" w:sz="8" w:space="0" w:color="000000"/>
            </w:tcBorders>
            <w:shd w:val="clear" w:color="auto" w:fill="CCEDFF"/>
          </w:tcPr>
          <w:p>
            <w:pPr>
              <w:pStyle w:val="TableParagraph"/>
              <w:spacing w:line="200" w:lineRule="exact"/>
              <w:ind w:right="103"/>
              <w:jc w:val="right"/>
              <w:rPr>
                <w:sz w:val="20"/>
              </w:rPr>
            </w:pPr>
            <w:r>
              <w:rPr>
                <w:sz w:val="20"/>
              </w:rPr>
              <w:t>$</w:t>
            </w:r>
            <w:r>
              <w:rPr>
                <w:spacing w:val="42"/>
                <w:sz w:val="20"/>
              </w:rPr>
              <w:t> </w:t>
            </w:r>
            <w:r>
              <w:rPr>
                <w:spacing w:val="-2"/>
                <w:sz w:val="20"/>
              </w:rPr>
              <w:t>1,693,954</w:t>
            </w:r>
          </w:p>
        </w:tc>
        <w:tc>
          <w:tcPr>
            <w:tcW w:w="1180" w:type="dxa"/>
            <w:tcBorders>
              <w:top w:val="single" w:sz="8" w:space="0" w:color="000000"/>
              <w:bottom w:val="double" w:sz="8" w:space="0" w:color="000000"/>
            </w:tcBorders>
            <w:shd w:val="clear" w:color="auto" w:fill="CCEDFF"/>
          </w:tcPr>
          <w:p>
            <w:pPr>
              <w:pStyle w:val="TableParagraph"/>
              <w:spacing w:line="200" w:lineRule="exact"/>
              <w:ind w:right="103"/>
              <w:jc w:val="right"/>
              <w:rPr>
                <w:sz w:val="20"/>
              </w:rPr>
            </w:pPr>
            <w:r>
              <w:rPr>
                <w:sz w:val="20"/>
              </w:rPr>
              <w:t>$</w:t>
            </w:r>
            <w:r>
              <w:rPr>
                <w:spacing w:val="22"/>
                <w:sz w:val="20"/>
              </w:rPr>
              <w:t> </w:t>
            </w:r>
            <w:r>
              <w:rPr>
                <w:spacing w:val="-2"/>
                <w:sz w:val="20"/>
              </w:rPr>
              <w:t>1,168,782</w:t>
            </w:r>
          </w:p>
        </w:tc>
        <w:tc>
          <w:tcPr>
            <w:tcW w:w="1173" w:type="dxa"/>
            <w:tcBorders>
              <w:top w:val="single" w:sz="8" w:space="0" w:color="000000"/>
              <w:bottom w:val="double" w:sz="8" w:space="0" w:color="000000"/>
            </w:tcBorders>
            <w:shd w:val="clear" w:color="auto" w:fill="CCEDFF"/>
          </w:tcPr>
          <w:p>
            <w:pPr>
              <w:pStyle w:val="TableParagraph"/>
              <w:tabs>
                <w:tab w:pos="342" w:val="left" w:leader="none"/>
              </w:tabs>
              <w:spacing w:line="200" w:lineRule="exact"/>
              <w:ind w:right="75"/>
              <w:jc w:val="right"/>
              <w:rPr>
                <w:sz w:val="20"/>
              </w:rPr>
            </w:pPr>
            <w:r>
              <w:rPr>
                <w:spacing w:val="-10"/>
                <w:sz w:val="20"/>
              </w:rPr>
              <w:t>$</w:t>
            </w:r>
            <w:r>
              <w:rPr>
                <w:sz w:val="20"/>
              </w:rPr>
              <w:tab/>
            </w:r>
            <w:r>
              <w:rPr>
                <w:spacing w:val="-2"/>
                <w:sz w:val="20"/>
              </w:rPr>
              <w:t>629,551</w:t>
            </w:r>
          </w:p>
        </w:tc>
      </w:tr>
      <w:tr>
        <w:trPr>
          <w:trHeight w:val="221" w:hRule="atLeast"/>
        </w:trPr>
        <w:tc>
          <w:tcPr>
            <w:tcW w:w="5954" w:type="dxa"/>
          </w:tcPr>
          <w:p>
            <w:pPr>
              <w:pStyle w:val="TableParagraph"/>
              <w:spacing w:line="202" w:lineRule="exact"/>
              <w:ind w:left="50"/>
              <w:rPr>
                <w:sz w:val="20"/>
              </w:rPr>
            </w:pPr>
            <w:r>
              <w:rPr>
                <w:sz w:val="20"/>
              </w:rPr>
              <w:t>Shares</w:t>
            </w:r>
            <w:r>
              <w:rPr>
                <w:spacing w:val="-2"/>
                <w:sz w:val="20"/>
              </w:rPr>
              <w:t> </w:t>
            </w:r>
            <w:r>
              <w:rPr>
                <w:sz w:val="20"/>
              </w:rPr>
              <w:t>used</w:t>
            </w:r>
            <w:r>
              <w:rPr>
                <w:spacing w:val="-1"/>
                <w:sz w:val="20"/>
              </w:rPr>
              <w:t> </w:t>
            </w:r>
            <w:r>
              <w:rPr>
                <w:sz w:val="20"/>
              </w:rPr>
              <w:t>to compute</w:t>
            </w:r>
            <w:r>
              <w:rPr>
                <w:spacing w:val="-1"/>
                <w:sz w:val="20"/>
              </w:rPr>
              <w:t> </w:t>
            </w:r>
            <w:r>
              <w:rPr>
                <w:sz w:val="20"/>
              </w:rPr>
              <w:t>basic</w:t>
            </w:r>
            <w:r>
              <w:rPr>
                <w:spacing w:val="-1"/>
                <w:sz w:val="20"/>
              </w:rPr>
              <w:t> </w:t>
            </w:r>
            <w:r>
              <w:rPr>
                <w:sz w:val="20"/>
              </w:rPr>
              <w:t>net income</w:t>
            </w:r>
            <w:r>
              <w:rPr>
                <w:spacing w:val="-1"/>
                <w:sz w:val="20"/>
              </w:rPr>
              <w:t> </w:t>
            </w:r>
            <w:r>
              <w:rPr>
                <w:sz w:val="20"/>
              </w:rPr>
              <w:t>per </w:t>
            </w:r>
            <w:r>
              <w:rPr>
                <w:spacing w:val="-2"/>
                <w:sz w:val="20"/>
              </w:rPr>
              <w:t>share</w:t>
            </w:r>
          </w:p>
        </w:tc>
        <w:tc>
          <w:tcPr>
            <w:tcW w:w="1932" w:type="dxa"/>
            <w:tcBorders>
              <w:top w:val="double" w:sz="8" w:space="0" w:color="000000"/>
            </w:tcBorders>
          </w:tcPr>
          <w:p>
            <w:pPr>
              <w:pStyle w:val="TableParagraph"/>
              <w:spacing w:line="202" w:lineRule="exact"/>
              <w:ind w:right="102"/>
              <w:jc w:val="right"/>
              <w:rPr>
                <w:sz w:val="20"/>
              </w:rPr>
            </w:pPr>
            <w:r>
              <w:rPr>
                <w:spacing w:val="-2"/>
                <w:sz w:val="20"/>
              </w:rPr>
              <w:t>493,632</w:t>
            </w:r>
          </w:p>
        </w:tc>
        <w:tc>
          <w:tcPr>
            <w:tcW w:w="1180" w:type="dxa"/>
            <w:tcBorders>
              <w:top w:val="double" w:sz="8" w:space="0" w:color="000000"/>
            </w:tcBorders>
          </w:tcPr>
          <w:p>
            <w:pPr>
              <w:pStyle w:val="TableParagraph"/>
              <w:spacing w:line="202" w:lineRule="exact"/>
              <w:ind w:right="102"/>
              <w:jc w:val="right"/>
              <w:rPr>
                <w:sz w:val="20"/>
              </w:rPr>
            </w:pPr>
            <w:r>
              <w:rPr>
                <w:spacing w:val="-2"/>
                <w:sz w:val="20"/>
              </w:rPr>
              <w:t>498,345</w:t>
            </w:r>
          </w:p>
        </w:tc>
        <w:tc>
          <w:tcPr>
            <w:tcW w:w="1173" w:type="dxa"/>
            <w:tcBorders>
              <w:top w:val="double" w:sz="8" w:space="0" w:color="000000"/>
            </w:tcBorders>
          </w:tcPr>
          <w:p>
            <w:pPr>
              <w:pStyle w:val="TableParagraph"/>
              <w:spacing w:line="202" w:lineRule="exact"/>
              <w:ind w:right="75"/>
              <w:jc w:val="right"/>
              <w:rPr>
                <w:sz w:val="20"/>
              </w:rPr>
            </w:pPr>
            <w:r>
              <w:rPr>
                <w:spacing w:val="-2"/>
                <w:sz w:val="20"/>
              </w:rPr>
              <w:t>498,764</w:t>
            </w:r>
          </w:p>
        </w:tc>
      </w:tr>
      <w:tr>
        <w:trPr>
          <w:trHeight w:val="280" w:hRule="atLeast"/>
        </w:trPr>
        <w:tc>
          <w:tcPr>
            <w:tcW w:w="10239" w:type="dxa"/>
            <w:gridSpan w:val="4"/>
          </w:tcPr>
          <w:p>
            <w:pPr>
              <w:pStyle w:val="TableParagraph"/>
              <w:tabs>
                <w:tab w:pos="10239" w:val="left" w:leader="none"/>
              </w:tabs>
              <w:spacing w:line="210" w:lineRule="exact" w:before="50"/>
              <w:ind w:right="-15"/>
              <w:rPr>
                <w:sz w:val="20"/>
              </w:rPr>
            </w:pPr>
            <w:r>
              <w:rPr>
                <w:color w:val="000000"/>
                <w:sz w:val="20"/>
                <w:shd w:fill="CCEDFF" w:color="auto" w:val="clear"/>
              </w:rPr>
              <w:t> Dilutive potential common </w:t>
            </w:r>
            <w:r>
              <w:rPr>
                <w:color w:val="000000"/>
                <w:spacing w:val="-2"/>
                <w:sz w:val="20"/>
                <w:shd w:fill="CCEDFF" w:color="auto" w:val="clear"/>
              </w:rPr>
              <w:t>shares:</w:t>
            </w:r>
            <w:r>
              <w:rPr>
                <w:color w:val="000000"/>
                <w:sz w:val="20"/>
                <w:shd w:fill="CCEDFF" w:color="auto" w:val="clear"/>
              </w:rPr>
              <w:tab/>
            </w:r>
          </w:p>
        </w:tc>
      </w:tr>
      <w:tr>
        <w:trPr>
          <w:trHeight w:val="328" w:hRule="atLeast"/>
        </w:trPr>
        <w:tc>
          <w:tcPr>
            <w:tcW w:w="5954" w:type="dxa"/>
          </w:tcPr>
          <w:p>
            <w:pPr>
              <w:pStyle w:val="TableParagraph"/>
              <w:spacing w:before="50"/>
              <w:ind w:left="170"/>
              <w:rPr>
                <w:sz w:val="20"/>
              </w:rPr>
            </w:pPr>
            <w:r>
              <w:rPr>
                <w:sz w:val="20"/>
              </w:rPr>
              <w:t>Unvested</w:t>
            </w:r>
            <w:r>
              <w:rPr>
                <w:spacing w:val="-1"/>
                <w:sz w:val="20"/>
              </w:rPr>
              <w:t> </w:t>
            </w:r>
            <w:r>
              <w:rPr>
                <w:sz w:val="20"/>
              </w:rPr>
              <w:t>restricted</w:t>
            </w:r>
            <w:r>
              <w:rPr>
                <w:spacing w:val="-1"/>
                <w:sz w:val="20"/>
              </w:rPr>
              <w:t> </w:t>
            </w:r>
            <w:r>
              <w:rPr>
                <w:sz w:val="20"/>
              </w:rPr>
              <w:t>stock units</w:t>
            </w:r>
            <w:r>
              <w:rPr>
                <w:spacing w:val="-2"/>
                <w:sz w:val="20"/>
              </w:rPr>
              <w:t> </w:t>
            </w:r>
            <w:r>
              <w:rPr>
                <w:sz w:val="20"/>
              </w:rPr>
              <w:t>and performance</w:t>
            </w:r>
            <w:r>
              <w:rPr>
                <w:spacing w:val="-1"/>
                <w:sz w:val="20"/>
              </w:rPr>
              <w:t> </w:t>
            </w:r>
            <w:r>
              <w:rPr>
                <w:sz w:val="20"/>
              </w:rPr>
              <w:t>share </w:t>
            </w:r>
            <w:r>
              <w:rPr>
                <w:spacing w:val="-2"/>
                <w:sz w:val="20"/>
              </w:rPr>
              <w:t>awards</w:t>
            </w:r>
          </w:p>
        </w:tc>
        <w:tc>
          <w:tcPr>
            <w:tcW w:w="1932" w:type="dxa"/>
          </w:tcPr>
          <w:p>
            <w:pPr>
              <w:pStyle w:val="TableParagraph"/>
              <w:spacing w:before="50"/>
              <w:ind w:right="102"/>
              <w:jc w:val="right"/>
              <w:rPr>
                <w:sz w:val="20"/>
              </w:rPr>
            </w:pPr>
            <w:r>
              <w:rPr>
                <w:spacing w:val="-2"/>
                <w:sz w:val="20"/>
              </w:rPr>
              <w:t>7,161</w:t>
            </w:r>
          </w:p>
        </w:tc>
        <w:tc>
          <w:tcPr>
            <w:tcW w:w="1180" w:type="dxa"/>
          </w:tcPr>
          <w:p>
            <w:pPr>
              <w:pStyle w:val="TableParagraph"/>
              <w:spacing w:before="50"/>
              <w:ind w:right="102"/>
              <w:jc w:val="right"/>
              <w:rPr>
                <w:sz w:val="20"/>
              </w:rPr>
            </w:pPr>
            <w:r>
              <w:rPr>
                <w:spacing w:val="-2"/>
                <w:sz w:val="20"/>
              </w:rPr>
              <w:t>5,455</w:t>
            </w:r>
          </w:p>
        </w:tc>
        <w:tc>
          <w:tcPr>
            <w:tcW w:w="1173" w:type="dxa"/>
          </w:tcPr>
          <w:p>
            <w:pPr>
              <w:pStyle w:val="TableParagraph"/>
              <w:spacing w:before="50"/>
              <w:ind w:right="75"/>
              <w:jc w:val="right"/>
              <w:rPr>
                <w:sz w:val="20"/>
              </w:rPr>
            </w:pPr>
            <w:r>
              <w:rPr>
                <w:spacing w:val="-2"/>
                <w:sz w:val="20"/>
              </w:rPr>
              <w:t>7,389</w:t>
            </w:r>
          </w:p>
        </w:tc>
      </w:tr>
      <w:tr>
        <w:trPr>
          <w:trHeight w:val="270" w:hRule="atLeast"/>
        </w:trPr>
        <w:tc>
          <w:tcPr>
            <w:tcW w:w="5954" w:type="dxa"/>
            <w:shd w:val="clear" w:color="auto" w:fill="CCEDFF"/>
          </w:tcPr>
          <w:p>
            <w:pPr>
              <w:pStyle w:val="TableParagraph"/>
              <w:spacing w:before="2"/>
              <w:ind w:left="170"/>
              <w:rPr>
                <w:sz w:val="20"/>
              </w:rPr>
            </w:pPr>
            <w:r>
              <w:rPr>
                <w:sz w:val="20"/>
              </w:rPr>
              <w:t>Stock </w:t>
            </w:r>
            <w:r>
              <w:rPr>
                <w:spacing w:val="-2"/>
                <w:sz w:val="20"/>
              </w:rPr>
              <w:t>options</w:t>
            </w:r>
          </w:p>
        </w:tc>
        <w:tc>
          <w:tcPr>
            <w:tcW w:w="1932" w:type="dxa"/>
            <w:tcBorders>
              <w:bottom w:val="single" w:sz="8" w:space="0" w:color="000000"/>
            </w:tcBorders>
            <w:shd w:val="clear" w:color="auto" w:fill="CCEDFF"/>
          </w:tcPr>
          <w:p>
            <w:pPr>
              <w:pStyle w:val="TableParagraph"/>
              <w:spacing w:before="2"/>
              <w:ind w:right="102"/>
              <w:jc w:val="right"/>
              <w:rPr>
                <w:sz w:val="20"/>
              </w:rPr>
            </w:pPr>
            <w:r>
              <w:rPr>
                <w:spacing w:val="-5"/>
                <w:sz w:val="20"/>
              </w:rPr>
              <w:t>330</w:t>
            </w:r>
          </w:p>
        </w:tc>
        <w:tc>
          <w:tcPr>
            <w:tcW w:w="1180" w:type="dxa"/>
            <w:tcBorders>
              <w:bottom w:val="single" w:sz="8" w:space="0" w:color="000000"/>
            </w:tcBorders>
            <w:shd w:val="clear" w:color="auto" w:fill="CCEDFF"/>
          </w:tcPr>
          <w:p>
            <w:pPr>
              <w:pStyle w:val="TableParagraph"/>
              <w:spacing w:before="2"/>
              <w:ind w:right="102"/>
              <w:jc w:val="right"/>
              <w:rPr>
                <w:sz w:val="20"/>
              </w:rPr>
            </w:pPr>
            <w:r>
              <w:rPr>
                <w:spacing w:val="-5"/>
                <w:sz w:val="20"/>
              </w:rPr>
              <w:t>499</w:t>
            </w:r>
          </w:p>
        </w:tc>
        <w:tc>
          <w:tcPr>
            <w:tcW w:w="1173" w:type="dxa"/>
            <w:tcBorders>
              <w:bottom w:val="single" w:sz="8" w:space="0" w:color="000000"/>
            </w:tcBorders>
            <w:shd w:val="clear" w:color="auto" w:fill="CCEDFF"/>
          </w:tcPr>
          <w:p>
            <w:pPr>
              <w:pStyle w:val="TableParagraph"/>
              <w:spacing w:before="2"/>
              <w:ind w:right="75"/>
              <w:jc w:val="right"/>
              <w:rPr>
                <w:sz w:val="20"/>
              </w:rPr>
            </w:pPr>
            <w:r>
              <w:rPr>
                <w:spacing w:val="-2"/>
                <w:sz w:val="20"/>
              </w:rPr>
              <w:t>1,011</w:t>
            </w:r>
          </w:p>
        </w:tc>
      </w:tr>
      <w:tr>
        <w:trPr>
          <w:trHeight w:val="250" w:hRule="atLeast"/>
        </w:trPr>
        <w:tc>
          <w:tcPr>
            <w:tcW w:w="5954" w:type="dxa"/>
          </w:tcPr>
          <w:p>
            <w:pPr>
              <w:pStyle w:val="TableParagraph"/>
              <w:spacing w:line="222" w:lineRule="exact"/>
              <w:ind w:left="50"/>
              <w:rPr>
                <w:sz w:val="20"/>
              </w:rPr>
            </w:pPr>
            <w:r>
              <w:rPr>
                <w:sz w:val="20"/>
              </w:rPr>
              <w:t>Shares</w:t>
            </w:r>
            <w:r>
              <w:rPr>
                <w:spacing w:val="-2"/>
                <w:sz w:val="20"/>
              </w:rPr>
              <w:t> </w:t>
            </w:r>
            <w:r>
              <w:rPr>
                <w:sz w:val="20"/>
              </w:rPr>
              <w:t>used</w:t>
            </w:r>
            <w:r>
              <w:rPr>
                <w:spacing w:val="-1"/>
                <w:sz w:val="20"/>
              </w:rPr>
              <w:t> </w:t>
            </w:r>
            <w:r>
              <w:rPr>
                <w:sz w:val="20"/>
              </w:rPr>
              <w:t>to compute</w:t>
            </w:r>
            <w:r>
              <w:rPr>
                <w:spacing w:val="-1"/>
                <w:sz w:val="20"/>
              </w:rPr>
              <w:t> </w:t>
            </w:r>
            <w:r>
              <w:rPr>
                <w:sz w:val="20"/>
              </w:rPr>
              <w:t>diluted</w:t>
            </w:r>
            <w:r>
              <w:rPr>
                <w:spacing w:val="-1"/>
                <w:sz w:val="20"/>
              </w:rPr>
              <w:t> </w:t>
            </w:r>
            <w:r>
              <w:rPr>
                <w:sz w:val="20"/>
              </w:rPr>
              <w:t>net income</w:t>
            </w:r>
            <w:r>
              <w:rPr>
                <w:spacing w:val="-1"/>
                <w:sz w:val="20"/>
              </w:rPr>
              <w:t> </w:t>
            </w:r>
            <w:r>
              <w:rPr>
                <w:sz w:val="20"/>
              </w:rPr>
              <w:t>per </w:t>
            </w:r>
            <w:r>
              <w:rPr>
                <w:spacing w:val="-2"/>
                <w:sz w:val="20"/>
              </w:rPr>
              <w:t>share</w:t>
            </w:r>
          </w:p>
        </w:tc>
        <w:tc>
          <w:tcPr>
            <w:tcW w:w="1932" w:type="dxa"/>
            <w:tcBorders>
              <w:top w:val="single" w:sz="8" w:space="0" w:color="000000"/>
              <w:bottom w:val="double" w:sz="8" w:space="0" w:color="000000"/>
            </w:tcBorders>
          </w:tcPr>
          <w:p>
            <w:pPr>
              <w:pStyle w:val="TableParagraph"/>
              <w:spacing w:line="222" w:lineRule="exact"/>
              <w:ind w:right="102"/>
              <w:jc w:val="right"/>
              <w:rPr>
                <w:sz w:val="20"/>
              </w:rPr>
            </w:pPr>
            <w:r>
              <w:rPr>
                <w:spacing w:val="-2"/>
                <w:sz w:val="20"/>
              </w:rPr>
              <w:t>501,123</w:t>
            </w:r>
          </w:p>
        </w:tc>
        <w:tc>
          <w:tcPr>
            <w:tcW w:w="1180" w:type="dxa"/>
            <w:tcBorders>
              <w:top w:val="single" w:sz="8" w:space="0" w:color="000000"/>
              <w:bottom w:val="double" w:sz="8" w:space="0" w:color="000000"/>
            </w:tcBorders>
          </w:tcPr>
          <w:p>
            <w:pPr>
              <w:pStyle w:val="TableParagraph"/>
              <w:spacing w:line="222" w:lineRule="exact"/>
              <w:ind w:right="102"/>
              <w:jc w:val="right"/>
              <w:rPr>
                <w:sz w:val="20"/>
              </w:rPr>
            </w:pPr>
            <w:r>
              <w:rPr>
                <w:spacing w:val="-2"/>
                <w:sz w:val="20"/>
              </w:rPr>
              <w:t>504,299</w:t>
            </w:r>
          </w:p>
        </w:tc>
        <w:tc>
          <w:tcPr>
            <w:tcW w:w="1173" w:type="dxa"/>
            <w:tcBorders>
              <w:top w:val="single" w:sz="8" w:space="0" w:color="000000"/>
              <w:bottom w:val="double" w:sz="8" w:space="0" w:color="000000"/>
            </w:tcBorders>
          </w:tcPr>
          <w:p>
            <w:pPr>
              <w:pStyle w:val="TableParagraph"/>
              <w:spacing w:line="222" w:lineRule="exact"/>
              <w:ind w:right="75"/>
              <w:jc w:val="right"/>
              <w:rPr>
                <w:sz w:val="20"/>
              </w:rPr>
            </w:pPr>
            <w:r>
              <w:rPr>
                <w:spacing w:val="-2"/>
                <w:sz w:val="20"/>
              </w:rPr>
              <w:t>507,164</w:t>
            </w:r>
          </w:p>
        </w:tc>
      </w:tr>
      <w:tr>
        <w:trPr>
          <w:trHeight w:val="189" w:hRule="atLeast"/>
        </w:trPr>
        <w:tc>
          <w:tcPr>
            <w:tcW w:w="5954" w:type="dxa"/>
            <w:shd w:val="clear" w:color="auto" w:fill="CCEDFF"/>
          </w:tcPr>
          <w:p>
            <w:pPr>
              <w:pStyle w:val="TableParagraph"/>
              <w:spacing w:line="160" w:lineRule="exact"/>
              <w:ind w:left="50"/>
              <w:rPr>
                <w:sz w:val="20"/>
              </w:rPr>
            </w:pPr>
            <w:r>
              <w:rPr>
                <w:sz w:val="20"/>
              </w:rPr>
              <w:t>Basic net income per </w:t>
            </w:r>
            <w:r>
              <w:rPr>
                <w:spacing w:val="-2"/>
                <w:sz w:val="20"/>
              </w:rPr>
              <w:t>share</w:t>
            </w:r>
          </w:p>
        </w:tc>
        <w:tc>
          <w:tcPr>
            <w:tcW w:w="1932" w:type="dxa"/>
            <w:tcBorders>
              <w:top w:val="double" w:sz="8" w:space="0" w:color="000000"/>
              <w:bottom w:val="double" w:sz="8" w:space="0" w:color="000000"/>
            </w:tcBorders>
            <w:shd w:val="clear" w:color="auto" w:fill="CCEDFF"/>
          </w:tcPr>
          <w:p>
            <w:pPr>
              <w:pStyle w:val="TableParagraph"/>
              <w:tabs>
                <w:tab w:pos="642" w:val="left" w:leader="none"/>
              </w:tabs>
              <w:spacing w:line="160" w:lineRule="exact"/>
              <w:ind w:right="102"/>
              <w:jc w:val="right"/>
              <w:rPr>
                <w:sz w:val="20"/>
              </w:rPr>
            </w:pPr>
            <w:r>
              <w:rPr>
                <w:spacing w:val="-10"/>
                <w:sz w:val="20"/>
              </w:rPr>
              <w:t>$</w:t>
            </w:r>
            <w:r>
              <w:rPr>
                <w:sz w:val="20"/>
              </w:rPr>
              <w:tab/>
            </w:r>
            <w:r>
              <w:rPr>
                <w:spacing w:val="-4"/>
                <w:sz w:val="20"/>
              </w:rPr>
              <w:t>3.43</w:t>
            </w:r>
          </w:p>
        </w:tc>
        <w:tc>
          <w:tcPr>
            <w:tcW w:w="1180" w:type="dxa"/>
            <w:tcBorders>
              <w:top w:val="double" w:sz="8" w:space="0" w:color="000000"/>
              <w:bottom w:val="double" w:sz="8" w:space="0" w:color="000000"/>
            </w:tcBorders>
            <w:shd w:val="clear" w:color="auto" w:fill="CCEDFF"/>
          </w:tcPr>
          <w:p>
            <w:pPr>
              <w:pStyle w:val="TableParagraph"/>
              <w:tabs>
                <w:tab w:pos="622" w:val="left" w:leader="none"/>
              </w:tabs>
              <w:spacing w:line="160" w:lineRule="exact"/>
              <w:ind w:right="102"/>
              <w:jc w:val="right"/>
              <w:rPr>
                <w:sz w:val="20"/>
              </w:rPr>
            </w:pPr>
            <w:r>
              <w:rPr>
                <w:spacing w:val="-10"/>
                <w:sz w:val="20"/>
              </w:rPr>
              <w:t>$</w:t>
            </w:r>
            <w:r>
              <w:rPr>
                <w:sz w:val="20"/>
              </w:rPr>
              <w:tab/>
            </w:r>
            <w:r>
              <w:rPr>
                <w:spacing w:val="-4"/>
                <w:sz w:val="20"/>
              </w:rPr>
              <w:t>2.35</w:t>
            </w:r>
          </w:p>
        </w:tc>
        <w:tc>
          <w:tcPr>
            <w:tcW w:w="1173" w:type="dxa"/>
            <w:tcBorders>
              <w:top w:val="double" w:sz="8" w:space="0" w:color="000000"/>
              <w:bottom w:val="double" w:sz="8" w:space="0" w:color="000000"/>
            </w:tcBorders>
            <w:shd w:val="clear" w:color="auto" w:fill="CCEDFF"/>
          </w:tcPr>
          <w:p>
            <w:pPr>
              <w:pStyle w:val="TableParagraph"/>
              <w:tabs>
                <w:tab w:pos="642" w:val="left" w:leader="none"/>
              </w:tabs>
              <w:spacing w:line="160" w:lineRule="exact"/>
              <w:ind w:right="75"/>
              <w:jc w:val="right"/>
              <w:rPr>
                <w:sz w:val="20"/>
              </w:rPr>
            </w:pPr>
            <w:r>
              <w:rPr>
                <w:spacing w:val="-10"/>
                <w:sz w:val="20"/>
              </w:rPr>
              <w:t>$</w:t>
            </w:r>
            <w:r>
              <w:rPr>
                <w:sz w:val="20"/>
              </w:rPr>
              <w:tab/>
            </w:r>
            <w:r>
              <w:rPr>
                <w:spacing w:val="-4"/>
                <w:sz w:val="20"/>
              </w:rPr>
              <w:t>1.26</w:t>
            </w:r>
          </w:p>
        </w:tc>
      </w:tr>
      <w:tr>
        <w:trPr>
          <w:trHeight w:val="221" w:hRule="atLeast"/>
        </w:trPr>
        <w:tc>
          <w:tcPr>
            <w:tcW w:w="5954" w:type="dxa"/>
          </w:tcPr>
          <w:p>
            <w:pPr>
              <w:pStyle w:val="TableParagraph"/>
              <w:spacing w:line="202" w:lineRule="exact"/>
              <w:ind w:left="50"/>
              <w:rPr>
                <w:sz w:val="20"/>
              </w:rPr>
            </w:pPr>
            <w:r>
              <w:rPr>
                <w:sz w:val="20"/>
              </w:rPr>
              <w:t>Diluted net income per </w:t>
            </w:r>
            <w:r>
              <w:rPr>
                <w:spacing w:val="-2"/>
                <w:sz w:val="20"/>
              </w:rPr>
              <w:t>share</w:t>
            </w:r>
          </w:p>
        </w:tc>
        <w:tc>
          <w:tcPr>
            <w:tcW w:w="1932" w:type="dxa"/>
            <w:tcBorders>
              <w:top w:val="double" w:sz="8" w:space="0" w:color="000000"/>
            </w:tcBorders>
          </w:tcPr>
          <w:p>
            <w:pPr>
              <w:pStyle w:val="TableParagraph"/>
              <w:tabs>
                <w:tab w:pos="642" w:val="left" w:leader="none"/>
              </w:tabs>
              <w:spacing w:line="202" w:lineRule="exact"/>
              <w:ind w:right="102"/>
              <w:jc w:val="right"/>
              <w:rPr>
                <w:sz w:val="20"/>
              </w:rPr>
            </w:pPr>
            <w:r>
              <w:rPr>
                <w:spacing w:val="-10"/>
                <w:sz w:val="20"/>
              </w:rPr>
              <w:t>$</w:t>
            </w:r>
            <w:r>
              <w:rPr>
                <w:sz w:val="20"/>
              </w:rPr>
              <w:tab/>
            </w:r>
            <w:r>
              <w:rPr>
                <w:spacing w:val="-4"/>
                <w:sz w:val="20"/>
              </w:rPr>
              <w:t>3.38</w:t>
            </w:r>
          </w:p>
        </w:tc>
        <w:tc>
          <w:tcPr>
            <w:tcW w:w="1180" w:type="dxa"/>
            <w:tcBorders>
              <w:top w:val="double" w:sz="8" w:space="0" w:color="000000"/>
            </w:tcBorders>
          </w:tcPr>
          <w:p>
            <w:pPr>
              <w:pStyle w:val="TableParagraph"/>
              <w:tabs>
                <w:tab w:pos="622" w:val="left" w:leader="none"/>
              </w:tabs>
              <w:spacing w:line="202" w:lineRule="exact"/>
              <w:ind w:right="102"/>
              <w:jc w:val="right"/>
              <w:rPr>
                <w:sz w:val="20"/>
              </w:rPr>
            </w:pPr>
            <w:r>
              <w:rPr>
                <w:spacing w:val="-10"/>
                <w:sz w:val="20"/>
              </w:rPr>
              <w:t>$</w:t>
            </w:r>
            <w:r>
              <w:rPr>
                <w:sz w:val="20"/>
              </w:rPr>
              <w:tab/>
            </w:r>
            <w:r>
              <w:rPr>
                <w:spacing w:val="-4"/>
                <w:sz w:val="20"/>
              </w:rPr>
              <w:t>2.32</w:t>
            </w:r>
          </w:p>
        </w:tc>
        <w:tc>
          <w:tcPr>
            <w:tcW w:w="1173" w:type="dxa"/>
            <w:tcBorders>
              <w:top w:val="double" w:sz="8" w:space="0" w:color="000000"/>
            </w:tcBorders>
          </w:tcPr>
          <w:p>
            <w:pPr>
              <w:pStyle w:val="TableParagraph"/>
              <w:tabs>
                <w:tab w:pos="642" w:val="left" w:leader="none"/>
              </w:tabs>
              <w:spacing w:line="202" w:lineRule="exact"/>
              <w:ind w:right="75"/>
              <w:jc w:val="right"/>
              <w:rPr>
                <w:sz w:val="20"/>
              </w:rPr>
            </w:pPr>
            <w:r>
              <w:rPr>
                <w:spacing w:val="-10"/>
                <w:sz w:val="20"/>
              </w:rPr>
              <w:t>$</w:t>
            </w:r>
            <w:r>
              <w:rPr>
                <w:sz w:val="20"/>
              </w:rPr>
              <w:tab/>
            </w:r>
            <w:r>
              <w:rPr>
                <w:spacing w:val="-4"/>
                <w:sz w:val="20"/>
              </w:rPr>
              <w:t>1.24</w:t>
            </w:r>
          </w:p>
        </w:tc>
      </w:tr>
    </w:tbl>
    <w:p>
      <w:pPr>
        <w:spacing w:line="60" w:lineRule="exact"/>
        <w:ind w:left="6940" w:right="0" w:firstLine="0"/>
        <w:jc w:val="left"/>
        <w:rPr>
          <w:sz w:val="6"/>
        </w:rPr>
      </w:pPr>
      <w:r>
        <w:rPr>
          <w:position w:val="0"/>
          <w:sz w:val="6"/>
        </w:rPr>
        <mc:AlternateContent>
          <mc:Choice Requires="wps">
            <w:drawing>
              <wp:inline distT="0" distB="0" distL="0" distR="0">
                <wp:extent cx="711200" cy="38100"/>
                <wp:effectExtent l="9525" t="0" r="3175" b="0"/>
                <wp:docPr id="554" name="Group 554"/>
                <wp:cNvGraphicFramePr>
                  <a:graphicFrameLocks/>
                </wp:cNvGraphicFramePr>
                <a:graphic>
                  <a:graphicData uri="http://schemas.microsoft.com/office/word/2010/wordprocessingGroup">
                    <wpg:wgp>
                      <wpg:cNvPr id="554" name="Group 554"/>
                      <wpg:cNvGrpSpPr/>
                      <wpg:grpSpPr>
                        <a:xfrm>
                          <a:off x="0" y="0"/>
                          <a:ext cx="711200" cy="38100"/>
                          <a:chExt cx="711200" cy="38100"/>
                        </a:xfrm>
                      </wpg:grpSpPr>
                      <wps:wsp>
                        <wps:cNvPr id="555" name="Graphic 555"/>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437" coordorigin="0,0" coordsize="1120,60">
                <v:shape style="position:absolute;left:0;top:10;width:1120;height:40" id="docshape438" coordorigin="0,10" coordsize="1120,40" path="m0,10l1120,10m0,50l1120,50e" filled="false" stroked="true" strokeweight="1pt" strokecolor="#000000">
                  <v:path arrowok="t"/>
                  <v:stroke dashstyle="solid"/>
                </v:shape>
              </v:group>
            </w:pict>
          </mc:Fallback>
        </mc:AlternateContent>
      </w:r>
      <w:r>
        <w:rPr>
          <w:position w:val="0"/>
          <w:sz w:val="6"/>
        </w:rPr>
      </w:r>
      <w:r>
        <w:rPr>
          <w:spacing w:val="30"/>
          <w:position w:val="0"/>
          <w:sz w:val="6"/>
        </w:rPr>
        <w:t> </w:t>
      </w:r>
      <w:r>
        <w:rPr>
          <w:spacing w:val="30"/>
          <w:position w:val="0"/>
          <w:sz w:val="6"/>
        </w:rPr>
        <mc:AlternateContent>
          <mc:Choice Requires="wps">
            <w:drawing>
              <wp:inline distT="0" distB="0" distL="0" distR="0">
                <wp:extent cx="698500" cy="38100"/>
                <wp:effectExtent l="9525" t="0" r="6350" b="0"/>
                <wp:docPr id="556" name="Group 556"/>
                <wp:cNvGraphicFramePr>
                  <a:graphicFrameLocks/>
                </wp:cNvGraphicFramePr>
                <a:graphic>
                  <a:graphicData uri="http://schemas.microsoft.com/office/word/2010/wordprocessingGroup">
                    <wpg:wgp>
                      <wpg:cNvPr id="556" name="Group 556"/>
                      <wpg:cNvGrpSpPr/>
                      <wpg:grpSpPr>
                        <a:xfrm>
                          <a:off x="0" y="0"/>
                          <a:ext cx="698500" cy="38100"/>
                          <a:chExt cx="698500" cy="38100"/>
                        </a:xfrm>
                      </wpg:grpSpPr>
                      <wps:wsp>
                        <wps:cNvPr id="557" name="Graphic 557"/>
                        <wps:cNvSpPr/>
                        <wps:spPr>
                          <a:xfrm>
                            <a:off x="0" y="6350"/>
                            <a:ext cx="698500" cy="25400"/>
                          </a:xfrm>
                          <a:custGeom>
                            <a:avLst/>
                            <a:gdLst/>
                            <a:ahLst/>
                            <a:cxnLst/>
                            <a:rect l="l" t="t" r="r" b="b"/>
                            <a:pathLst>
                              <a:path w="698500" h="25400">
                                <a:moveTo>
                                  <a:pt x="0" y="0"/>
                                </a:moveTo>
                                <a:lnTo>
                                  <a:pt x="698500" y="0"/>
                                </a:lnTo>
                              </a:path>
                              <a:path w="698500" h="25400">
                                <a:moveTo>
                                  <a:pt x="0" y="25400"/>
                                </a:moveTo>
                                <a:lnTo>
                                  <a:pt x="6985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3pt;mso-position-horizontal-relative:char;mso-position-vertical-relative:line" id="docshapegroup439" coordorigin="0,0" coordsize="1100,60">
                <v:shape style="position:absolute;left:0;top:10;width:1100;height:40" id="docshape440" coordorigin="0,10" coordsize="1100,40" path="m0,10l1100,10m0,50l1100,50e" filled="false" stroked="true" strokeweight="1pt" strokecolor="#000000">
                  <v:path arrowok="t"/>
                  <v:stroke dashstyle="solid"/>
                </v:shape>
              </v:group>
            </w:pict>
          </mc:Fallback>
        </mc:AlternateContent>
      </w:r>
      <w:r>
        <w:rPr>
          <w:spacing w:val="30"/>
          <w:position w:val="0"/>
          <w:sz w:val="6"/>
        </w:rPr>
      </w:r>
      <w:r>
        <w:rPr>
          <w:spacing w:val="40"/>
          <w:position w:val="0"/>
          <w:sz w:val="6"/>
        </w:rPr>
        <w:t> </w:t>
      </w:r>
      <w:r>
        <w:rPr>
          <w:spacing w:val="40"/>
          <w:position w:val="0"/>
          <w:sz w:val="6"/>
        </w:rPr>
        <mc:AlternateContent>
          <mc:Choice Requires="wps">
            <w:drawing>
              <wp:inline distT="0" distB="0" distL="0" distR="0">
                <wp:extent cx="711200" cy="38100"/>
                <wp:effectExtent l="9525" t="0" r="3175" b="0"/>
                <wp:docPr id="558" name="Group 558"/>
                <wp:cNvGraphicFramePr>
                  <a:graphicFrameLocks/>
                </wp:cNvGraphicFramePr>
                <a:graphic>
                  <a:graphicData uri="http://schemas.microsoft.com/office/word/2010/wordprocessingGroup">
                    <wpg:wgp>
                      <wpg:cNvPr id="558" name="Group 558"/>
                      <wpg:cNvGrpSpPr/>
                      <wpg:grpSpPr>
                        <a:xfrm>
                          <a:off x="0" y="0"/>
                          <a:ext cx="711200" cy="38100"/>
                          <a:chExt cx="711200" cy="38100"/>
                        </a:xfrm>
                      </wpg:grpSpPr>
                      <wps:wsp>
                        <wps:cNvPr id="559" name="Graphic 559"/>
                        <wps:cNvSpPr/>
                        <wps:spPr>
                          <a:xfrm>
                            <a:off x="0" y="6350"/>
                            <a:ext cx="711200" cy="25400"/>
                          </a:xfrm>
                          <a:custGeom>
                            <a:avLst/>
                            <a:gdLst/>
                            <a:ahLst/>
                            <a:cxnLst/>
                            <a:rect l="l" t="t" r="r" b="b"/>
                            <a:pathLst>
                              <a:path w="711200" h="25400">
                                <a:moveTo>
                                  <a:pt x="0" y="0"/>
                                </a:moveTo>
                                <a:lnTo>
                                  <a:pt x="711200" y="0"/>
                                </a:lnTo>
                              </a:path>
                              <a:path w="711200" h="25400">
                                <a:moveTo>
                                  <a:pt x="0" y="25400"/>
                                </a:moveTo>
                                <a:lnTo>
                                  <a:pt x="7112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3pt;mso-position-horizontal-relative:char;mso-position-vertical-relative:line" id="docshapegroup441" coordorigin="0,0" coordsize="1120,60">
                <v:shape style="position:absolute;left:0;top:10;width:1120;height:40" id="docshape442" coordorigin="0,10" coordsize="1120,40" path="m0,10l1120,10m0,50l1120,50e" filled="false" stroked="true" strokeweight="1pt" strokecolor="#000000">
                  <v:path arrowok="t"/>
                  <v:stroke dashstyle="solid"/>
                </v:shape>
              </v:group>
            </w:pict>
          </mc:Fallback>
        </mc:AlternateContent>
      </w:r>
      <w:r>
        <w:rPr>
          <w:spacing w:val="40"/>
          <w:position w:val="0"/>
          <w:sz w:val="6"/>
        </w:rPr>
      </w:r>
    </w:p>
    <w:p>
      <w:pPr>
        <w:pStyle w:val="BodyText"/>
        <w:spacing w:line="249" w:lineRule="auto" w:before="214"/>
        <w:ind w:left="220" w:right="257" w:firstLine="540"/>
        <w:jc w:val="both"/>
      </w:pPr>
      <w:r>
        <w:rPr/>
        <w:t>For fiscal 2017, 2016, and 2015 there were no options to purchase shares of common stock with exercise prices greater than</w:t>
      </w:r>
      <w:r>
        <w:rPr>
          <w:spacing w:val="-1"/>
        </w:rPr>
        <w:t> </w:t>
      </w:r>
      <w:r>
        <w:rPr/>
        <w:t>the</w:t>
      </w:r>
      <w:r>
        <w:rPr>
          <w:spacing w:val="-2"/>
        </w:rPr>
        <w:t> </w:t>
      </w:r>
      <w:r>
        <w:rPr/>
        <w:t>average</w:t>
      </w:r>
      <w:r>
        <w:rPr>
          <w:spacing w:val="-2"/>
        </w:rPr>
        <w:t> </w:t>
      </w:r>
      <w:r>
        <w:rPr/>
        <w:t>fair</w:t>
      </w:r>
      <w:r>
        <w:rPr>
          <w:spacing w:val="-1"/>
        </w:rPr>
        <w:t> </w:t>
      </w:r>
      <w:r>
        <w:rPr/>
        <w:t>market</w:t>
      </w:r>
      <w:r>
        <w:rPr>
          <w:spacing w:val="-2"/>
        </w:rPr>
        <w:t> </w:t>
      </w:r>
      <w:r>
        <w:rPr/>
        <w:t>value</w:t>
      </w:r>
      <w:r>
        <w:rPr>
          <w:spacing w:val="-2"/>
        </w:rPr>
        <w:t> </w:t>
      </w:r>
      <w:r>
        <w:rPr/>
        <w:t>of</w:t>
      </w:r>
      <w:r>
        <w:rPr>
          <w:spacing w:val="-1"/>
        </w:rPr>
        <w:t> </w:t>
      </w:r>
      <w:r>
        <w:rPr/>
        <w:t>our stock</w:t>
      </w:r>
      <w:r>
        <w:rPr>
          <w:spacing w:val="-1"/>
        </w:rPr>
        <w:t> </w:t>
      </w:r>
      <w:r>
        <w:rPr/>
        <w:t>of</w:t>
      </w:r>
      <w:r>
        <w:rPr>
          <w:spacing w:val="-1"/>
        </w:rPr>
        <w:t> </w:t>
      </w:r>
      <w:r>
        <w:rPr/>
        <w:t>$138.71,</w:t>
      </w:r>
      <w:r>
        <w:rPr>
          <w:spacing w:val="-1"/>
        </w:rPr>
        <w:t> </w:t>
      </w:r>
      <w:r>
        <w:rPr/>
        <w:t>$96.39, and</w:t>
      </w:r>
      <w:r>
        <w:rPr>
          <w:spacing w:val="-1"/>
        </w:rPr>
        <w:t> </w:t>
      </w:r>
      <w:r>
        <w:rPr/>
        <w:t>$79.22,</w:t>
      </w:r>
      <w:r>
        <w:rPr>
          <w:spacing w:val="-1"/>
        </w:rPr>
        <w:t> </w:t>
      </w:r>
      <w:r>
        <w:rPr/>
        <w:t>respectively,</w:t>
      </w:r>
      <w:r>
        <w:rPr>
          <w:spacing w:val="-1"/>
        </w:rPr>
        <w:t> </w:t>
      </w:r>
      <w:r>
        <w:rPr/>
        <w:t>that would</w:t>
      </w:r>
      <w:r>
        <w:rPr>
          <w:spacing w:val="-1"/>
        </w:rPr>
        <w:t> </w:t>
      </w:r>
      <w:r>
        <w:rPr/>
        <w:t>have</w:t>
      </w:r>
      <w:r>
        <w:rPr>
          <w:spacing w:val="-2"/>
        </w:rPr>
        <w:t> </w:t>
      </w:r>
      <w:r>
        <w:rPr/>
        <w:t>been anti-</w:t>
      </w:r>
      <w:r>
        <w:rPr>
          <w:spacing w:val="-2"/>
        </w:rPr>
        <w:t>dilutive.</w:t>
      </w:r>
    </w:p>
    <w:p>
      <w:pPr>
        <w:pStyle w:val="BodyText"/>
        <w:spacing w:before="12"/>
      </w:pPr>
    </w:p>
    <w:p>
      <w:pPr>
        <w:pStyle w:val="Heading1"/>
        <w:ind w:left="210"/>
      </w:pPr>
      <w:bookmarkStart w:name="NOTE 14. COMMITMENTS AND CONTINGENCIES" w:id="86"/>
      <w:bookmarkEnd w:id="86"/>
      <w:r>
        <w:rPr>
          <w:b w:val="0"/>
        </w:rPr>
      </w:r>
      <w:bookmarkStart w:name="_bookmark30" w:id="87"/>
      <w:bookmarkEnd w:id="87"/>
      <w:r>
        <w:rPr>
          <w:b w:val="0"/>
        </w:rPr>
      </w:r>
      <w:r>
        <w:rPr/>
        <w:t>NOTE</w:t>
      </w:r>
      <w:r>
        <w:rPr>
          <w:spacing w:val="-3"/>
        </w:rPr>
        <w:t> </w:t>
      </w:r>
      <w:r>
        <w:rPr/>
        <w:t>14.</w:t>
      </w:r>
      <w:r>
        <w:rPr>
          <w:spacing w:val="44"/>
        </w:rPr>
        <w:t> </w:t>
      </w:r>
      <w:r>
        <w:rPr/>
        <w:t>COMMITMENTS</w:t>
      </w:r>
      <w:r>
        <w:rPr>
          <w:spacing w:val="-12"/>
        </w:rPr>
        <w:t> </w:t>
      </w:r>
      <w:r>
        <w:rPr/>
        <w:t>AND</w:t>
      </w:r>
      <w:r>
        <w:rPr>
          <w:spacing w:val="-3"/>
        </w:rPr>
        <w:t> </w:t>
      </w:r>
      <w:r>
        <w:rPr>
          <w:spacing w:val="-2"/>
        </w:rPr>
        <w:t>CONTINGENCIES</w:t>
      </w:r>
    </w:p>
    <w:p>
      <w:pPr>
        <w:spacing w:before="210"/>
        <w:ind w:left="260" w:right="0" w:firstLine="0"/>
        <w:jc w:val="left"/>
        <w:rPr>
          <w:i/>
          <w:sz w:val="20"/>
        </w:rPr>
      </w:pPr>
      <w:r>
        <w:rPr>
          <w:i/>
          <w:sz w:val="20"/>
        </w:rPr>
        <w:t>Lease</w:t>
      </w:r>
      <w:r>
        <w:rPr>
          <w:i/>
          <w:spacing w:val="-1"/>
          <w:sz w:val="20"/>
        </w:rPr>
        <w:t> </w:t>
      </w:r>
      <w:r>
        <w:rPr>
          <w:i/>
          <w:spacing w:val="-2"/>
          <w:sz w:val="20"/>
        </w:rPr>
        <w:t>Commitments</w:t>
      </w:r>
    </w:p>
    <w:p>
      <w:pPr>
        <w:pStyle w:val="BodyText"/>
        <w:spacing w:line="249" w:lineRule="auto" w:before="210"/>
        <w:ind w:left="210" w:right="247" w:firstLine="540"/>
        <w:jc w:val="both"/>
      </w:pPr>
      <w:r>
        <w:rPr>
          <w:spacing w:val="-2"/>
        </w:rPr>
        <w:t>We</w:t>
      </w:r>
      <w:r>
        <w:rPr>
          <w:spacing w:val="-3"/>
        </w:rPr>
        <w:t> </w:t>
      </w:r>
      <w:r>
        <w:rPr>
          <w:spacing w:val="-2"/>
        </w:rPr>
        <w:t>lease</w:t>
      </w:r>
      <w:r>
        <w:rPr>
          <w:spacing w:val="-3"/>
        </w:rPr>
        <w:t> </w:t>
      </w:r>
      <w:r>
        <w:rPr>
          <w:spacing w:val="-2"/>
        </w:rPr>
        <w:t>certain</w:t>
      </w:r>
      <w:r>
        <w:rPr>
          <w:spacing w:val="-3"/>
        </w:rPr>
        <w:t> </w:t>
      </w:r>
      <w:r>
        <w:rPr>
          <w:spacing w:val="-2"/>
        </w:rPr>
        <w:t>of</w:t>
      </w:r>
      <w:r>
        <w:rPr>
          <w:spacing w:val="-3"/>
        </w:rPr>
        <w:t> </w:t>
      </w:r>
      <w:r>
        <w:rPr>
          <w:spacing w:val="-2"/>
        </w:rPr>
        <w:t>our</w:t>
      </w:r>
      <w:r>
        <w:rPr>
          <w:spacing w:val="-3"/>
        </w:rPr>
        <w:t> </w:t>
      </w:r>
      <w:r>
        <w:rPr>
          <w:spacing w:val="-2"/>
        </w:rPr>
        <w:t>facilities</w:t>
      </w:r>
      <w:r>
        <w:rPr>
          <w:spacing w:val="-3"/>
        </w:rPr>
        <w:t> </w:t>
      </w:r>
      <w:r>
        <w:rPr>
          <w:spacing w:val="-2"/>
        </w:rPr>
        <w:t>and</w:t>
      </w:r>
      <w:r>
        <w:rPr>
          <w:spacing w:val="-3"/>
        </w:rPr>
        <w:t> </w:t>
      </w:r>
      <w:r>
        <w:rPr>
          <w:spacing w:val="-2"/>
        </w:rPr>
        <w:t>some</w:t>
      </w:r>
      <w:r>
        <w:rPr>
          <w:spacing w:val="-3"/>
        </w:rPr>
        <w:t> </w:t>
      </w:r>
      <w:r>
        <w:rPr>
          <w:spacing w:val="-2"/>
        </w:rPr>
        <w:t>of</w:t>
      </w:r>
      <w:r>
        <w:rPr>
          <w:spacing w:val="-3"/>
        </w:rPr>
        <w:t> </w:t>
      </w:r>
      <w:r>
        <w:rPr>
          <w:spacing w:val="-2"/>
        </w:rPr>
        <w:t>our</w:t>
      </w:r>
      <w:r>
        <w:rPr>
          <w:spacing w:val="-3"/>
        </w:rPr>
        <w:t> </w:t>
      </w:r>
      <w:r>
        <w:rPr>
          <w:spacing w:val="-2"/>
        </w:rPr>
        <w:t>equipment</w:t>
      </w:r>
      <w:r>
        <w:rPr>
          <w:spacing w:val="-3"/>
        </w:rPr>
        <w:t> </w:t>
      </w:r>
      <w:r>
        <w:rPr>
          <w:spacing w:val="-2"/>
        </w:rPr>
        <w:t>under</w:t>
      </w:r>
      <w:r>
        <w:rPr>
          <w:spacing w:val="-3"/>
        </w:rPr>
        <w:t> </w:t>
      </w:r>
      <w:r>
        <w:rPr>
          <w:spacing w:val="-2"/>
        </w:rPr>
        <w:t>non-cancellable</w:t>
      </w:r>
      <w:r>
        <w:rPr>
          <w:spacing w:val="-4"/>
        </w:rPr>
        <w:t> </w:t>
      </w:r>
      <w:r>
        <w:rPr>
          <w:spacing w:val="-2"/>
        </w:rPr>
        <w:t>operating</w:t>
      </w:r>
      <w:r>
        <w:rPr>
          <w:spacing w:val="-3"/>
        </w:rPr>
        <w:t> </w:t>
      </w:r>
      <w:r>
        <w:rPr>
          <w:spacing w:val="-2"/>
        </w:rPr>
        <w:t>lease</w:t>
      </w:r>
      <w:r>
        <w:rPr>
          <w:spacing w:val="-3"/>
        </w:rPr>
        <w:t> </w:t>
      </w:r>
      <w:r>
        <w:rPr>
          <w:spacing w:val="-2"/>
        </w:rPr>
        <w:t>arrangements</w:t>
      </w:r>
      <w:r>
        <w:rPr>
          <w:spacing w:val="-3"/>
        </w:rPr>
        <w:t> </w:t>
      </w:r>
      <w:r>
        <w:rPr>
          <w:spacing w:val="-2"/>
        </w:rPr>
        <w:t>that</w:t>
      </w:r>
      <w:r>
        <w:rPr>
          <w:spacing w:val="-3"/>
        </w:rPr>
        <w:t> </w:t>
      </w:r>
      <w:r>
        <w:rPr>
          <w:spacing w:val="-2"/>
        </w:rPr>
        <w:t>expire </w:t>
      </w:r>
      <w:r>
        <w:rPr/>
        <w:t>at</w:t>
      </w:r>
      <w:r>
        <w:rPr>
          <w:spacing w:val="-4"/>
        </w:rPr>
        <w:t> </w:t>
      </w:r>
      <w:r>
        <w:rPr/>
        <w:t>various</w:t>
      </w:r>
      <w:r>
        <w:rPr>
          <w:spacing w:val="-4"/>
        </w:rPr>
        <w:t> </w:t>
      </w:r>
      <w:r>
        <w:rPr/>
        <w:t>dates</w:t>
      </w:r>
      <w:r>
        <w:rPr>
          <w:spacing w:val="-4"/>
        </w:rPr>
        <w:t> </w:t>
      </w:r>
      <w:r>
        <w:rPr/>
        <w:t>through</w:t>
      </w:r>
      <w:r>
        <w:rPr>
          <w:spacing w:val="-4"/>
        </w:rPr>
        <w:t> </w:t>
      </w:r>
      <w:r>
        <w:rPr/>
        <w:t>2031.</w:t>
      </w:r>
      <w:r>
        <w:rPr>
          <w:spacing w:val="-6"/>
        </w:rPr>
        <w:t> </w:t>
      </w:r>
      <w:r>
        <w:rPr/>
        <w:t>We</w:t>
      </w:r>
      <w:r>
        <w:rPr>
          <w:spacing w:val="-4"/>
        </w:rPr>
        <w:t> </w:t>
      </w:r>
      <w:r>
        <w:rPr/>
        <w:t>also</w:t>
      </w:r>
      <w:r>
        <w:rPr>
          <w:spacing w:val="-4"/>
        </w:rPr>
        <w:t> </w:t>
      </w:r>
      <w:r>
        <w:rPr/>
        <w:t>have</w:t>
      </w:r>
      <w:r>
        <w:rPr>
          <w:spacing w:val="-4"/>
        </w:rPr>
        <w:t> </w:t>
      </w:r>
      <w:r>
        <w:rPr/>
        <w:t>one</w:t>
      </w:r>
      <w:r>
        <w:rPr>
          <w:spacing w:val="-4"/>
        </w:rPr>
        <w:t> </w:t>
      </w:r>
      <w:r>
        <w:rPr/>
        <w:t>land</w:t>
      </w:r>
      <w:r>
        <w:rPr>
          <w:spacing w:val="-4"/>
        </w:rPr>
        <w:t> </w:t>
      </w:r>
      <w:r>
        <w:rPr/>
        <w:t>lease</w:t>
      </w:r>
      <w:r>
        <w:rPr>
          <w:spacing w:val="-4"/>
        </w:rPr>
        <w:t> </w:t>
      </w:r>
      <w:r>
        <w:rPr/>
        <w:t>that</w:t>
      </w:r>
      <w:r>
        <w:rPr>
          <w:spacing w:val="-4"/>
        </w:rPr>
        <w:t> </w:t>
      </w:r>
      <w:r>
        <w:rPr/>
        <w:t>expires</w:t>
      </w:r>
      <w:r>
        <w:rPr>
          <w:spacing w:val="-4"/>
        </w:rPr>
        <w:t> </w:t>
      </w:r>
      <w:r>
        <w:rPr/>
        <w:t>in</w:t>
      </w:r>
      <w:r>
        <w:rPr>
          <w:spacing w:val="-4"/>
        </w:rPr>
        <w:t> </w:t>
      </w:r>
      <w:r>
        <w:rPr/>
        <w:t>2091.</w:t>
      </w:r>
      <w:r>
        <w:rPr>
          <w:spacing w:val="-4"/>
        </w:rPr>
        <w:t> </w:t>
      </w:r>
      <w:r>
        <w:rPr/>
        <w:t>Rent</w:t>
      </w:r>
      <w:r>
        <w:rPr>
          <w:spacing w:val="-4"/>
        </w:rPr>
        <w:t> </w:t>
      </w:r>
      <w:r>
        <w:rPr/>
        <w:t>expense</w:t>
      </w:r>
      <w:r>
        <w:rPr>
          <w:spacing w:val="-4"/>
        </w:rPr>
        <w:t> </w:t>
      </w:r>
      <w:r>
        <w:rPr/>
        <w:t>includes</w:t>
      </w:r>
      <w:r>
        <w:rPr>
          <w:spacing w:val="-4"/>
        </w:rPr>
        <w:t> </w:t>
      </w:r>
      <w:r>
        <w:rPr/>
        <w:t>base</w:t>
      </w:r>
      <w:r>
        <w:rPr>
          <w:spacing w:val="-4"/>
        </w:rPr>
        <w:t> </w:t>
      </w:r>
      <w:r>
        <w:rPr/>
        <w:t>contractual</w:t>
      </w:r>
      <w:r>
        <w:rPr>
          <w:spacing w:val="-4"/>
        </w:rPr>
        <w:t> </w:t>
      </w:r>
      <w:r>
        <w:rPr/>
        <w:t>rent</w:t>
      </w:r>
      <w:r>
        <w:rPr>
          <w:spacing w:val="-4"/>
        </w:rPr>
        <w:t> </w:t>
      </w:r>
      <w:r>
        <w:rPr/>
        <w:t>and variable costs such as building expenses, utilities, taxes, insurance and equipment rental. Rent expense for these leases was approximately</w:t>
      </w:r>
      <w:r>
        <w:rPr>
          <w:spacing w:val="-8"/>
        </w:rPr>
        <w:t> </w:t>
      </w:r>
      <w:r>
        <w:rPr/>
        <w:t>$115.4</w:t>
      </w:r>
      <w:r>
        <w:rPr>
          <w:spacing w:val="-8"/>
        </w:rPr>
        <w:t> </w:t>
      </w:r>
      <w:r>
        <w:rPr/>
        <w:t>million</w:t>
      </w:r>
      <w:r>
        <w:rPr>
          <w:spacing w:val="-8"/>
        </w:rPr>
        <w:t> </w:t>
      </w:r>
      <w:r>
        <w:rPr/>
        <w:t>in</w:t>
      </w:r>
      <w:r>
        <w:rPr>
          <w:spacing w:val="-8"/>
        </w:rPr>
        <w:t> </w:t>
      </w:r>
      <w:r>
        <w:rPr/>
        <w:t>fiscal</w:t>
      </w:r>
      <w:r>
        <w:rPr>
          <w:spacing w:val="-9"/>
        </w:rPr>
        <w:t> </w:t>
      </w:r>
      <w:r>
        <w:rPr/>
        <w:t>2017</w:t>
      </w:r>
      <w:r>
        <w:rPr>
          <w:spacing w:val="-8"/>
        </w:rPr>
        <w:t> </w:t>
      </w:r>
      <w:r>
        <w:rPr/>
        <w:t>and</w:t>
      </w:r>
      <w:r>
        <w:rPr>
          <w:spacing w:val="-8"/>
        </w:rPr>
        <w:t> </w:t>
      </w:r>
      <w:r>
        <w:rPr/>
        <w:t>$92.9</w:t>
      </w:r>
      <w:r>
        <w:rPr>
          <w:spacing w:val="-8"/>
        </w:rPr>
        <w:t> </w:t>
      </w:r>
      <w:r>
        <w:rPr/>
        <w:t>million</w:t>
      </w:r>
      <w:r>
        <w:rPr>
          <w:spacing w:val="-8"/>
        </w:rPr>
        <w:t> </w:t>
      </w:r>
      <w:r>
        <w:rPr/>
        <w:t>in</w:t>
      </w:r>
      <w:r>
        <w:rPr>
          <w:spacing w:val="-8"/>
        </w:rPr>
        <w:t> </w:t>
      </w:r>
      <w:r>
        <w:rPr/>
        <w:t>both</w:t>
      </w:r>
      <w:r>
        <w:rPr>
          <w:spacing w:val="-8"/>
        </w:rPr>
        <w:t> </w:t>
      </w:r>
      <w:r>
        <w:rPr/>
        <w:t>fiscal</w:t>
      </w:r>
      <w:r>
        <w:rPr>
          <w:spacing w:val="-8"/>
        </w:rPr>
        <w:t> </w:t>
      </w:r>
      <w:r>
        <w:rPr/>
        <w:t>2016</w:t>
      </w:r>
      <w:r>
        <w:rPr>
          <w:spacing w:val="-8"/>
        </w:rPr>
        <w:t> </w:t>
      </w:r>
      <w:r>
        <w:rPr/>
        <w:t>and</w:t>
      </w:r>
      <w:r>
        <w:rPr>
          <w:spacing w:val="-8"/>
        </w:rPr>
        <w:t> </w:t>
      </w:r>
      <w:r>
        <w:rPr/>
        <w:t>2015.</w:t>
      </w:r>
      <w:r>
        <w:rPr>
          <w:spacing w:val="-8"/>
        </w:rPr>
        <w:t> </w:t>
      </w:r>
      <w:r>
        <w:rPr/>
        <w:t>Our</w:t>
      </w:r>
      <w:r>
        <w:rPr>
          <w:spacing w:val="-8"/>
        </w:rPr>
        <w:t> </w:t>
      </w:r>
      <w:r>
        <w:rPr/>
        <w:t>sublease</w:t>
      </w:r>
      <w:r>
        <w:rPr>
          <w:spacing w:val="-8"/>
        </w:rPr>
        <w:t> </w:t>
      </w:r>
      <w:r>
        <w:rPr/>
        <w:t>income</w:t>
      </w:r>
      <w:r>
        <w:rPr>
          <w:spacing w:val="-9"/>
        </w:rPr>
        <w:t> </w:t>
      </w:r>
      <w:r>
        <w:rPr/>
        <w:t>was</w:t>
      </w:r>
      <w:r>
        <w:rPr>
          <w:spacing w:val="-8"/>
        </w:rPr>
        <w:t> </w:t>
      </w:r>
      <w:r>
        <w:rPr/>
        <w:t>immaterial for all periods presented.</w:t>
      </w:r>
    </w:p>
    <w:p>
      <w:pPr>
        <w:pStyle w:val="BodyText"/>
        <w:spacing w:line="249" w:lineRule="auto" w:before="204"/>
        <w:ind w:left="210" w:right="247" w:firstLine="540"/>
        <w:jc w:val="both"/>
      </w:pPr>
      <w:r>
        <w:rPr/>
        <w:t>We</w:t>
      </w:r>
      <w:r>
        <w:rPr>
          <w:spacing w:val="-8"/>
        </w:rPr>
        <w:t> </w:t>
      </w:r>
      <w:r>
        <w:rPr/>
        <w:t>occupy</w:t>
      </w:r>
      <w:r>
        <w:rPr>
          <w:spacing w:val="-8"/>
        </w:rPr>
        <w:t> </w:t>
      </w:r>
      <w:r>
        <w:rPr/>
        <w:t>three</w:t>
      </w:r>
      <w:r>
        <w:rPr>
          <w:spacing w:val="-8"/>
        </w:rPr>
        <w:t> </w:t>
      </w:r>
      <w:r>
        <w:rPr/>
        <w:t>office</w:t>
      </w:r>
      <w:r>
        <w:rPr>
          <w:spacing w:val="-8"/>
        </w:rPr>
        <w:t> </w:t>
      </w:r>
      <w:r>
        <w:rPr/>
        <w:t>buildings</w:t>
      </w:r>
      <w:r>
        <w:rPr>
          <w:spacing w:val="-7"/>
        </w:rPr>
        <w:t> </w:t>
      </w:r>
      <w:r>
        <w:rPr/>
        <w:t>in</w:t>
      </w:r>
      <w:r>
        <w:rPr>
          <w:spacing w:val="-8"/>
        </w:rPr>
        <w:t> </w:t>
      </w:r>
      <w:r>
        <w:rPr/>
        <w:t>San</w:t>
      </w:r>
      <w:r>
        <w:rPr>
          <w:spacing w:val="-8"/>
        </w:rPr>
        <w:t> </w:t>
      </w:r>
      <w:r>
        <w:rPr/>
        <w:t>Jose,</w:t>
      </w:r>
      <w:r>
        <w:rPr>
          <w:spacing w:val="-8"/>
        </w:rPr>
        <w:t> </w:t>
      </w:r>
      <w:r>
        <w:rPr/>
        <w:t>California</w:t>
      </w:r>
      <w:r>
        <w:rPr>
          <w:spacing w:val="-8"/>
        </w:rPr>
        <w:t> </w:t>
      </w:r>
      <w:r>
        <w:rPr/>
        <w:t>where</w:t>
      </w:r>
      <w:r>
        <w:rPr>
          <w:spacing w:val="-8"/>
        </w:rPr>
        <w:t> </w:t>
      </w:r>
      <w:r>
        <w:rPr/>
        <w:t>our</w:t>
      </w:r>
      <w:r>
        <w:rPr>
          <w:spacing w:val="-8"/>
        </w:rPr>
        <w:t> </w:t>
      </w:r>
      <w:r>
        <w:rPr/>
        <w:t>corporate</w:t>
      </w:r>
      <w:r>
        <w:rPr>
          <w:spacing w:val="-8"/>
        </w:rPr>
        <w:t> </w:t>
      </w:r>
      <w:r>
        <w:rPr/>
        <w:t>headquarters</w:t>
      </w:r>
      <w:r>
        <w:rPr>
          <w:spacing w:val="-7"/>
        </w:rPr>
        <w:t> </w:t>
      </w:r>
      <w:r>
        <w:rPr/>
        <w:t>are</w:t>
      </w:r>
      <w:r>
        <w:rPr>
          <w:spacing w:val="-8"/>
        </w:rPr>
        <w:t> </w:t>
      </w:r>
      <w:r>
        <w:rPr/>
        <w:t>located.</w:t>
      </w:r>
      <w:r>
        <w:rPr>
          <w:spacing w:val="-11"/>
        </w:rPr>
        <w:t> </w:t>
      </w:r>
      <w:r>
        <w:rPr/>
        <w:t>We</w:t>
      </w:r>
      <w:r>
        <w:rPr>
          <w:spacing w:val="-8"/>
        </w:rPr>
        <w:t> </w:t>
      </w:r>
      <w:r>
        <w:rPr/>
        <w:t>reference</w:t>
      </w:r>
      <w:r>
        <w:rPr>
          <w:spacing w:val="-8"/>
        </w:rPr>
        <w:t> </w:t>
      </w:r>
      <w:r>
        <w:rPr/>
        <w:t>these office buildings as the Almaden, East and West Towers.</w:t>
      </w:r>
    </w:p>
    <w:p>
      <w:pPr>
        <w:pStyle w:val="BodyText"/>
        <w:spacing w:line="249" w:lineRule="auto" w:before="202"/>
        <w:ind w:left="210" w:right="247" w:firstLine="540"/>
        <w:jc w:val="both"/>
      </w:pPr>
      <w:r>
        <w:rPr/>
        <w:t>In</w:t>
      </w:r>
      <w:r>
        <w:rPr>
          <w:spacing w:val="-12"/>
        </w:rPr>
        <w:t> </w:t>
      </w:r>
      <w:r>
        <w:rPr/>
        <w:t>March</w:t>
      </w:r>
      <w:r>
        <w:rPr>
          <w:spacing w:val="-7"/>
        </w:rPr>
        <w:t> </w:t>
      </w:r>
      <w:r>
        <w:rPr/>
        <w:t>2017,</w:t>
      </w:r>
      <w:r>
        <w:rPr>
          <w:spacing w:val="-8"/>
        </w:rPr>
        <w:t> </w:t>
      </w:r>
      <w:r>
        <w:rPr/>
        <w:t>we</w:t>
      </w:r>
      <w:r>
        <w:rPr>
          <w:spacing w:val="-9"/>
        </w:rPr>
        <w:t> </w:t>
      </w:r>
      <w:r>
        <w:rPr/>
        <w:t>exercised</w:t>
      </w:r>
      <w:r>
        <w:rPr>
          <w:spacing w:val="-8"/>
        </w:rPr>
        <w:t> </w:t>
      </w:r>
      <w:r>
        <w:rPr/>
        <w:t>our</w:t>
      </w:r>
      <w:r>
        <w:rPr>
          <w:spacing w:val="-8"/>
        </w:rPr>
        <w:t> </w:t>
      </w:r>
      <w:r>
        <w:rPr/>
        <w:t>option</w:t>
      </w:r>
      <w:r>
        <w:rPr>
          <w:spacing w:val="-8"/>
        </w:rPr>
        <w:t> </w:t>
      </w:r>
      <w:r>
        <w:rPr/>
        <w:t>to</w:t>
      </w:r>
      <w:r>
        <w:rPr>
          <w:spacing w:val="-8"/>
        </w:rPr>
        <w:t> </w:t>
      </w:r>
      <w:r>
        <w:rPr/>
        <w:t>purchase</w:t>
      </w:r>
      <w:r>
        <w:rPr>
          <w:spacing w:val="-9"/>
        </w:rPr>
        <w:t> </w:t>
      </w:r>
      <w:r>
        <w:rPr/>
        <w:t>the</w:t>
      </w:r>
      <w:r>
        <w:rPr>
          <w:spacing w:val="-13"/>
        </w:rPr>
        <w:t> </w:t>
      </w:r>
      <w:r>
        <w:rPr/>
        <w:t>Almaden</w:t>
      </w:r>
      <w:r>
        <w:rPr>
          <w:spacing w:val="-11"/>
        </w:rPr>
        <w:t> </w:t>
      </w:r>
      <w:r>
        <w:rPr/>
        <w:t>Tower</w:t>
      </w:r>
      <w:r>
        <w:rPr>
          <w:spacing w:val="-8"/>
        </w:rPr>
        <w:t> </w:t>
      </w:r>
      <w:r>
        <w:rPr/>
        <w:t>for</w:t>
      </w:r>
      <w:r>
        <w:rPr>
          <w:spacing w:val="-8"/>
        </w:rPr>
        <w:t> </w:t>
      </w:r>
      <w:r>
        <w:rPr/>
        <w:t>a</w:t>
      </w:r>
      <w:r>
        <w:rPr>
          <w:spacing w:val="-8"/>
        </w:rPr>
        <w:t> </w:t>
      </w:r>
      <w:r>
        <w:rPr/>
        <w:t>total</w:t>
      </w:r>
      <w:r>
        <w:rPr>
          <w:spacing w:val="-9"/>
        </w:rPr>
        <w:t> </w:t>
      </w:r>
      <w:r>
        <w:rPr/>
        <w:t>purchase</w:t>
      </w:r>
      <w:r>
        <w:rPr>
          <w:spacing w:val="-9"/>
        </w:rPr>
        <w:t> </w:t>
      </w:r>
      <w:r>
        <w:rPr/>
        <w:t>price</w:t>
      </w:r>
      <w:r>
        <w:rPr>
          <w:spacing w:val="-9"/>
        </w:rPr>
        <w:t> </w:t>
      </w:r>
      <w:r>
        <w:rPr/>
        <w:t>of</w:t>
      </w:r>
      <w:r>
        <w:rPr>
          <w:spacing w:val="-8"/>
        </w:rPr>
        <w:t> </w:t>
      </w:r>
      <w:r>
        <w:rPr/>
        <w:t>$103.6</w:t>
      </w:r>
      <w:r>
        <w:rPr>
          <w:spacing w:val="-8"/>
        </w:rPr>
        <w:t> </w:t>
      </w:r>
      <w:r>
        <w:rPr/>
        <w:t>million.</w:t>
      </w:r>
      <w:r>
        <w:rPr>
          <w:spacing w:val="-8"/>
        </w:rPr>
        <w:t> </w:t>
      </w:r>
      <w:r>
        <w:rPr/>
        <w:t>Upon purchase,</w:t>
      </w:r>
      <w:r>
        <w:rPr>
          <w:spacing w:val="-7"/>
        </w:rPr>
        <w:t> </w:t>
      </w:r>
      <w:r>
        <w:rPr/>
        <w:t>our</w:t>
      </w:r>
      <w:r>
        <w:rPr>
          <w:spacing w:val="-7"/>
        </w:rPr>
        <w:t> </w:t>
      </w:r>
      <w:r>
        <w:rPr/>
        <w:t>investment</w:t>
      </w:r>
      <w:r>
        <w:rPr>
          <w:spacing w:val="-7"/>
        </w:rPr>
        <w:t> </w:t>
      </w:r>
      <w:r>
        <w:rPr/>
        <w:t>in</w:t>
      </w:r>
      <w:r>
        <w:rPr>
          <w:spacing w:val="-7"/>
        </w:rPr>
        <w:t> </w:t>
      </w:r>
      <w:r>
        <w:rPr/>
        <w:t>the</w:t>
      </w:r>
      <w:r>
        <w:rPr>
          <w:spacing w:val="-7"/>
        </w:rPr>
        <w:t> </w:t>
      </w:r>
      <w:r>
        <w:rPr/>
        <w:t>lease</w:t>
      </w:r>
      <w:r>
        <w:rPr>
          <w:spacing w:val="-7"/>
        </w:rPr>
        <w:t> </w:t>
      </w:r>
      <w:r>
        <w:rPr/>
        <w:t>receivable</w:t>
      </w:r>
      <w:r>
        <w:rPr>
          <w:spacing w:val="-7"/>
        </w:rPr>
        <w:t> </w:t>
      </w:r>
      <w:r>
        <w:rPr/>
        <w:t>of</w:t>
      </w:r>
      <w:r>
        <w:rPr>
          <w:spacing w:val="-7"/>
        </w:rPr>
        <w:t> </w:t>
      </w:r>
      <w:r>
        <w:rPr/>
        <w:t>$80.4</w:t>
      </w:r>
      <w:r>
        <w:rPr>
          <w:spacing w:val="-7"/>
        </w:rPr>
        <w:t> </w:t>
      </w:r>
      <w:r>
        <w:rPr/>
        <w:t>million</w:t>
      </w:r>
      <w:r>
        <w:rPr>
          <w:spacing w:val="-7"/>
        </w:rPr>
        <w:t> </w:t>
      </w:r>
      <w:r>
        <w:rPr/>
        <w:t>was</w:t>
      </w:r>
      <w:r>
        <w:rPr>
          <w:spacing w:val="-6"/>
        </w:rPr>
        <w:t> </w:t>
      </w:r>
      <w:r>
        <w:rPr/>
        <w:t>credited</w:t>
      </w:r>
      <w:r>
        <w:rPr>
          <w:spacing w:val="-7"/>
        </w:rPr>
        <w:t> </w:t>
      </w:r>
      <w:r>
        <w:rPr/>
        <w:t>against</w:t>
      </w:r>
      <w:r>
        <w:rPr>
          <w:spacing w:val="-7"/>
        </w:rPr>
        <w:t> </w:t>
      </w:r>
      <w:r>
        <w:rPr/>
        <w:t>the</w:t>
      </w:r>
      <w:r>
        <w:rPr>
          <w:spacing w:val="-7"/>
        </w:rPr>
        <w:t> </w:t>
      </w:r>
      <w:r>
        <w:rPr/>
        <w:t>total</w:t>
      </w:r>
      <w:r>
        <w:rPr>
          <w:spacing w:val="-7"/>
        </w:rPr>
        <w:t> </w:t>
      </w:r>
      <w:r>
        <w:rPr/>
        <w:t>purchase</w:t>
      </w:r>
      <w:r>
        <w:rPr>
          <w:spacing w:val="-7"/>
        </w:rPr>
        <w:t> </w:t>
      </w:r>
      <w:r>
        <w:rPr/>
        <w:t>price.</w:t>
      </w:r>
      <w:r>
        <w:rPr>
          <w:spacing w:val="-9"/>
        </w:rPr>
        <w:t> </w:t>
      </w:r>
      <w:r>
        <w:rPr/>
        <w:t>We</w:t>
      </w:r>
      <w:r>
        <w:rPr>
          <w:spacing w:val="-7"/>
        </w:rPr>
        <w:t> </w:t>
      </w:r>
      <w:r>
        <w:rPr/>
        <w:t>capitalized</w:t>
      </w:r>
      <w:r>
        <w:rPr>
          <w:spacing w:val="-7"/>
        </w:rPr>
        <w:t> </w:t>
      </w:r>
      <w:r>
        <w:rPr/>
        <w:t>the Almaden</w:t>
      </w:r>
      <w:r>
        <w:rPr>
          <w:spacing w:val="-10"/>
        </w:rPr>
        <w:t> </w:t>
      </w:r>
      <w:r>
        <w:rPr/>
        <w:t>Tower</w:t>
      </w:r>
      <w:r>
        <w:rPr>
          <w:spacing w:val="-8"/>
        </w:rPr>
        <w:t> </w:t>
      </w:r>
      <w:r>
        <w:rPr/>
        <w:t>as</w:t>
      </w:r>
      <w:r>
        <w:rPr>
          <w:spacing w:val="-7"/>
        </w:rPr>
        <w:t> </w:t>
      </w:r>
      <w:r>
        <w:rPr/>
        <w:t>property</w:t>
      </w:r>
      <w:r>
        <w:rPr>
          <w:spacing w:val="-7"/>
        </w:rPr>
        <w:t> </w:t>
      </w:r>
      <w:r>
        <w:rPr/>
        <w:t>and</w:t>
      </w:r>
      <w:r>
        <w:rPr>
          <w:spacing w:val="-8"/>
        </w:rPr>
        <w:t> </w:t>
      </w:r>
      <w:r>
        <w:rPr/>
        <w:t>equipment</w:t>
      </w:r>
      <w:r>
        <w:rPr>
          <w:spacing w:val="-8"/>
        </w:rPr>
        <w:t> </w:t>
      </w:r>
      <w:r>
        <w:rPr/>
        <w:t>on</w:t>
      </w:r>
      <w:r>
        <w:rPr>
          <w:spacing w:val="-7"/>
        </w:rPr>
        <w:t> </w:t>
      </w:r>
      <w:r>
        <w:rPr/>
        <w:t>our</w:t>
      </w:r>
      <w:r>
        <w:rPr>
          <w:spacing w:val="-7"/>
        </w:rPr>
        <w:t> </w:t>
      </w:r>
      <w:r>
        <w:rPr/>
        <w:t>Consolidated</w:t>
      </w:r>
      <w:r>
        <w:rPr>
          <w:spacing w:val="-8"/>
        </w:rPr>
        <w:t> </w:t>
      </w:r>
      <w:r>
        <w:rPr/>
        <w:t>Balance</w:t>
      </w:r>
      <w:r>
        <w:rPr>
          <w:spacing w:val="-8"/>
        </w:rPr>
        <w:t> </w:t>
      </w:r>
      <w:r>
        <w:rPr/>
        <w:t>Sheets</w:t>
      </w:r>
      <w:r>
        <w:rPr>
          <w:spacing w:val="-7"/>
        </w:rPr>
        <w:t> </w:t>
      </w:r>
      <w:r>
        <w:rPr/>
        <w:t>at</w:t>
      </w:r>
      <w:r>
        <w:rPr>
          <w:spacing w:val="-7"/>
        </w:rPr>
        <w:t> </w:t>
      </w:r>
      <w:r>
        <w:rPr/>
        <w:t>$104.2</w:t>
      </w:r>
      <w:r>
        <w:rPr>
          <w:spacing w:val="-8"/>
        </w:rPr>
        <w:t> </w:t>
      </w:r>
      <w:r>
        <w:rPr/>
        <w:t>million,</w:t>
      </w:r>
      <w:r>
        <w:rPr>
          <w:spacing w:val="-8"/>
        </w:rPr>
        <w:t> </w:t>
      </w:r>
      <w:r>
        <w:rPr/>
        <w:t>the</w:t>
      </w:r>
      <w:r>
        <w:rPr>
          <w:spacing w:val="-7"/>
        </w:rPr>
        <w:t> </w:t>
      </w:r>
      <w:r>
        <w:rPr/>
        <w:t>lesser</w:t>
      </w:r>
      <w:r>
        <w:rPr>
          <w:spacing w:val="-8"/>
        </w:rPr>
        <w:t> </w:t>
      </w:r>
      <w:r>
        <w:rPr/>
        <w:t>of</w:t>
      </w:r>
      <w:r>
        <w:rPr>
          <w:spacing w:val="-7"/>
        </w:rPr>
        <w:t> </w:t>
      </w:r>
      <w:r>
        <w:rPr/>
        <w:t>cost</w:t>
      </w:r>
      <w:r>
        <w:rPr>
          <w:spacing w:val="-8"/>
        </w:rPr>
        <w:t> </w:t>
      </w:r>
      <w:r>
        <w:rPr/>
        <w:t>or</w:t>
      </w:r>
      <w:r>
        <w:rPr>
          <w:spacing w:val="-8"/>
        </w:rPr>
        <w:t> </w:t>
      </w:r>
      <w:r>
        <w:rPr/>
        <w:t>fair</w:t>
      </w:r>
      <w:r>
        <w:rPr>
          <w:spacing w:val="-7"/>
        </w:rPr>
        <w:t> </w:t>
      </w:r>
      <w:r>
        <w:rPr/>
        <w:t>value, which represented the total purchase price plus other direct costs associated with the purchase.</w:t>
      </w:r>
    </w:p>
    <w:p>
      <w:pPr>
        <w:pStyle w:val="BodyText"/>
        <w:spacing w:line="249" w:lineRule="auto" w:before="203"/>
        <w:ind w:left="210" w:right="249" w:firstLine="540"/>
        <w:jc w:val="both"/>
      </w:pPr>
      <w:r>
        <w:rPr/>
        <w:t>As of December</w:t>
      </w:r>
      <w:r>
        <w:rPr>
          <w:spacing w:val="-2"/>
        </w:rPr>
        <w:t> </w:t>
      </w:r>
      <w:r>
        <w:rPr/>
        <w:t>1, 2017, we own the buildings and the underlying land that make up our corporate headquarters in San Jose, California, including the Almaden Tower.</w:t>
      </w:r>
    </w:p>
    <w:p>
      <w:pPr>
        <w:spacing w:before="202"/>
        <w:ind w:left="210" w:right="0" w:firstLine="0"/>
        <w:jc w:val="left"/>
        <w:rPr>
          <w:i/>
          <w:sz w:val="20"/>
        </w:rPr>
      </w:pPr>
      <w:r>
        <w:rPr>
          <w:i/>
          <w:sz w:val="20"/>
        </w:rPr>
        <w:t>Unconditional</w:t>
      </w:r>
      <w:r>
        <w:rPr>
          <w:i/>
          <w:spacing w:val="-8"/>
          <w:sz w:val="20"/>
        </w:rPr>
        <w:t> </w:t>
      </w:r>
      <w:r>
        <w:rPr>
          <w:i/>
          <w:sz w:val="20"/>
        </w:rPr>
        <w:t>Purchase</w:t>
      </w:r>
      <w:r>
        <w:rPr>
          <w:i/>
          <w:spacing w:val="-6"/>
          <w:sz w:val="20"/>
        </w:rPr>
        <w:t> </w:t>
      </w:r>
      <w:r>
        <w:rPr>
          <w:i/>
          <w:spacing w:val="-2"/>
          <w:sz w:val="20"/>
        </w:rPr>
        <w:t>Obligations</w:t>
      </w:r>
    </w:p>
    <w:p>
      <w:pPr>
        <w:pStyle w:val="BodyText"/>
        <w:spacing w:before="210"/>
        <w:ind w:left="750"/>
      </w:pPr>
      <w:r>
        <w:rPr>
          <w:spacing w:val="-2"/>
        </w:rPr>
        <w:t>Our</w:t>
      </w:r>
      <w:r>
        <w:rPr>
          <w:spacing w:val="-15"/>
        </w:rPr>
        <w:t> </w:t>
      </w:r>
      <w:r>
        <w:rPr>
          <w:spacing w:val="-2"/>
        </w:rPr>
        <w:t>purchase</w:t>
      </w:r>
      <w:r>
        <w:rPr>
          <w:spacing w:val="-14"/>
        </w:rPr>
        <w:t> </w:t>
      </w:r>
      <w:r>
        <w:rPr>
          <w:spacing w:val="-2"/>
        </w:rPr>
        <w:t>obligations</w:t>
      </w:r>
      <w:r>
        <w:rPr>
          <w:spacing w:val="-13"/>
        </w:rPr>
        <w:t> </w:t>
      </w:r>
      <w:r>
        <w:rPr>
          <w:spacing w:val="-2"/>
        </w:rPr>
        <w:t>consist</w:t>
      </w:r>
      <w:r>
        <w:rPr>
          <w:spacing w:val="-12"/>
        </w:rPr>
        <w:t> </w:t>
      </w:r>
      <w:r>
        <w:rPr>
          <w:spacing w:val="-2"/>
        </w:rPr>
        <w:t>of</w:t>
      </w:r>
      <w:r>
        <w:rPr>
          <w:spacing w:val="-13"/>
        </w:rPr>
        <w:t> </w:t>
      </w:r>
      <w:r>
        <w:rPr>
          <w:spacing w:val="-2"/>
        </w:rPr>
        <w:t>agreements</w:t>
      </w:r>
      <w:r>
        <w:rPr>
          <w:spacing w:val="-13"/>
        </w:rPr>
        <w:t> </w:t>
      </w:r>
      <w:r>
        <w:rPr>
          <w:spacing w:val="-2"/>
        </w:rPr>
        <w:t>to</w:t>
      </w:r>
      <w:r>
        <w:rPr>
          <w:spacing w:val="-12"/>
        </w:rPr>
        <w:t> </w:t>
      </w:r>
      <w:r>
        <w:rPr>
          <w:spacing w:val="-2"/>
        </w:rPr>
        <w:t>purchase</w:t>
      </w:r>
      <w:r>
        <w:rPr>
          <w:spacing w:val="-13"/>
        </w:rPr>
        <w:t> </w:t>
      </w:r>
      <w:r>
        <w:rPr>
          <w:spacing w:val="-2"/>
        </w:rPr>
        <w:t>goods</w:t>
      </w:r>
      <w:r>
        <w:rPr>
          <w:spacing w:val="-12"/>
        </w:rPr>
        <w:t> </w:t>
      </w:r>
      <w:r>
        <w:rPr>
          <w:spacing w:val="-2"/>
        </w:rPr>
        <w:t>and</w:t>
      </w:r>
      <w:r>
        <w:rPr>
          <w:spacing w:val="-13"/>
        </w:rPr>
        <w:t> </w:t>
      </w:r>
      <w:r>
        <w:rPr>
          <w:spacing w:val="-2"/>
        </w:rPr>
        <w:t>services</w:t>
      </w:r>
      <w:r>
        <w:rPr>
          <w:spacing w:val="-13"/>
        </w:rPr>
        <w:t> </w:t>
      </w:r>
      <w:r>
        <w:rPr>
          <w:spacing w:val="-2"/>
        </w:rPr>
        <w:t>entered</w:t>
      </w:r>
      <w:r>
        <w:rPr>
          <w:spacing w:val="-12"/>
        </w:rPr>
        <w:t> </w:t>
      </w:r>
      <w:r>
        <w:rPr>
          <w:spacing w:val="-2"/>
        </w:rPr>
        <w:t>into</w:t>
      </w:r>
      <w:r>
        <w:rPr>
          <w:spacing w:val="-13"/>
        </w:rPr>
        <w:t> </w:t>
      </w:r>
      <w:r>
        <w:rPr>
          <w:spacing w:val="-2"/>
        </w:rPr>
        <w:t>in</w:t>
      </w:r>
      <w:r>
        <w:rPr>
          <w:spacing w:val="-13"/>
        </w:rPr>
        <w:t> </w:t>
      </w:r>
      <w:r>
        <w:rPr>
          <w:spacing w:val="-2"/>
        </w:rPr>
        <w:t>the</w:t>
      </w:r>
      <w:r>
        <w:rPr>
          <w:spacing w:val="-12"/>
        </w:rPr>
        <w:t> </w:t>
      </w:r>
      <w:r>
        <w:rPr>
          <w:spacing w:val="-2"/>
        </w:rPr>
        <w:t>ordinary</w:t>
      </w:r>
      <w:r>
        <w:rPr>
          <w:spacing w:val="-13"/>
        </w:rPr>
        <w:t> </w:t>
      </w:r>
      <w:r>
        <w:rPr>
          <w:spacing w:val="-2"/>
        </w:rPr>
        <w:t>course</w:t>
      </w:r>
      <w:r>
        <w:rPr>
          <w:spacing w:val="-14"/>
        </w:rPr>
        <w:t> </w:t>
      </w:r>
      <w:r>
        <w:rPr>
          <w:spacing w:val="-2"/>
        </w:rPr>
        <w:t>of</w:t>
      </w:r>
      <w:r>
        <w:rPr>
          <w:spacing w:val="-12"/>
        </w:rPr>
        <w:t> </w:t>
      </w:r>
      <w:r>
        <w:rPr>
          <w:spacing w:val="-2"/>
        </w:rPr>
        <w:t>business.</w:t>
      </w:r>
    </w:p>
    <w:p>
      <w:pPr>
        <w:spacing w:after="0"/>
        <w:sectPr>
          <w:pgSz w:w="12240" w:h="15840"/>
          <w:pgMar w:header="210" w:footer="610" w:top="1380" w:bottom="800" w:left="780" w:right="740"/>
        </w:sectPr>
      </w:pPr>
    </w:p>
    <w:p>
      <w:pPr>
        <w:pStyle w:val="BodyText"/>
      </w:pPr>
    </w:p>
    <w:p>
      <w:pPr>
        <w:pStyle w:val="BodyText"/>
      </w:pPr>
    </w:p>
    <w:p>
      <w:pPr>
        <w:pStyle w:val="BodyText"/>
        <w:spacing w:before="30"/>
      </w:pPr>
    </w:p>
    <w:p>
      <w:pPr>
        <w:pStyle w:val="BodyText"/>
        <w:spacing w:line="249" w:lineRule="auto"/>
        <w:ind w:left="210" w:right="240" w:firstLine="540"/>
      </w:pPr>
      <w:r>
        <w:rPr/>
        <w:t>The following table summarizes our non-cancellable unconditional purchase obligations and operating leases for each of the next five years and thereafter as of December 1, 2017 (in thousands):</w:t>
      </w:r>
    </w:p>
    <w:p>
      <w:pPr>
        <w:pStyle w:val="BodyText"/>
        <w:rPr>
          <w:sz w:val="16"/>
        </w:rPr>
      </w:pPr>
    </w:p>
    <w:p>
      <w:pPr>
        <w:pStyle w:val="BodyText"/>
        <w:spacing w:before="27"/>
        <w:rPr>
          <w:sz w:val="16"/>
        </w:rPr>
      </w:pPr>
    </w:p>
    <w:p>
      <w:pPr>
        <w:spacing w:before="0"/>
        <w:ind w:left="7899" w:right="910" w:firstLine="0"/>
        <w:jc w:val="center"/>
        <w:rPr>
          <w:b/>
          <w:sz w:val="16"/>
        </w:rPr>
      </w:pPr>
      <w:r>
        <w:rPr/>
        <mc:AlternateContent>
          <mc:Choice Requires="wps">
            <w:drawing>
              <wp:anchor distT="0" distB="0" distL="0" distR="0" allowOverlap="1" layoutInCell="1" locked="0" behindDoc="1" simplePos="0" relativeHeight="487698432">
                <wp:simplePos x="0" y="0"/>
                <wp:positionH relativeFrom="page">
                  <wp:posOffset>5067300</wp:posOffset>
                </wp:positionH>
                <wp:positionV relativeFrom="paragraph">
                  <wp:posOffset>144458</wp:posOffset>
                </wp:positionV>
                <wp:extent cx="2082800" cy="1270"/>
                <wp:effectExtent l="0" t="0" r="0" b="0"/>
                <wp:wrapTopAndBottom/>
                <wp:docPr id="560" name="Graphic 560"/>
                <wp:cNvGraphicFramePr>
                  <a:graphicFrameLocks/>
                </wp:cNvGraphicFramePr>
                <a:graphic>
                  <a:graphicData uri="http://schemas.microsoft.com/office/word/2010/wordprocessingShape">
                    <wps:wsp>
                      <wps:cNvPr id="560" name="Graphic 560"/>
                      <wps:cNvSpPr/>
                      <wps:spPr>
                        <a:xfrm>
                          <a:off x="0" y="0"/>
                          <a:ext cx="2082800" cy="1270"/>
                        </a:xfrm>
                        <a:custGeom>
                          <a:avLst/>
                          <a:gdLst/>
                          <a:ahLst/>
                          <a:cxnLst/>
                          <a:rect l="l" t="t" r="r" b="b"/>
                          <a:pathLst>
                            <a:path w="2082800" h="0">
                              <a:moveTo>
                                <a:pt x="0" y="0"/>
                              </a:moveTo>
                              <a:lnTo>
                                <a:pt x="1016000" y="0"/>
                              </a:lnTo>
                            </a:path>
                            <a:path w="2082800" h="0">
                              <a:moveTo>
                                <a:pt x="1016000" y="0"/>
                              </a:moveTo>
                              <a:lnTo>
                                <a:pt x="1066800" y="0"/>
                              </a:lnTo>
                            </a:path>
                            <a:path w="2082800" h="0">
                              <a:moveTo>
                                <a:pt x="1066800" y="0"/>
                              </a:moveTo>
                              <a:lnTo>
                                <a:pt x="2082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pt;margin-top:11.374695pt;width:164pt;height:.1pt;mso-position-horizontal-relative:page;mso-position-vertical-relative:paragraph;z-index:-15618048;mso-wrap-distance-left:0;mso-wrap-distance-right:0" id="docshape443" coordorigin="7980,227" coordsize="3280,0" path="m7980,227l9580,227m9580,227l9660,227m9660,227l11260,227e" filled="false" stroked="true" strokeweight="1pt" strokecolor="#000000">
                <v:path arrowok="t"/>
                <v:stroke dashstyle="solid"/>
                <w10:wrap type="topAndBottom"/>
              </v:shape>
            </w:pict>
          </mc:Fallback>
        </mc:AlternateContent>
      </w:r>
      <w:r>
        <w:rPr>
          <w:b/>
          <w:sz w:val="16"/>
        </w:rPr>
        <w:t>Operating </w:t>
      </w:r>
      <w:r>
        <w:rPr>
          <w:b/>
          <w:spacing w:val="-2"/>
          <w:sz w:val="16"/>
        </w:rPr>
        <w:t>Leases</w:t>
      </w:r>
    </w:p>
    <w:p>
      <w:pPr>
        <w:tabs>
          <w:tab w:pos="8618" w:val="left" w:leader="none"/>
        </w:tabs>
        <w:spacing w:line="167" w:lineRule="exact" w:before="15"/>
        <w:ind w:left="6938" w:right="0" w:firstLine="0"/>
        <w:jc w:val="center"/>
        <w:rPr>
          <w:b/>
          <w:sz w:val="16"/>
        </w:rPr>
      </w:pPr>
      <w:r>
        <w:rPr>
          <w:b/>
          <w:spacing w:val="-2"/>
          <w:sz w:val="16"/>
        </w:rPr>
        <w:t>Future</w:t>
      </w:r>
      <w:r>
        <w:rPr>
          <w:b/>
          <w:sz w:val="16"/>
        </w:rPr>
        <w:tab/>
      </w:r>
      <w:r>
        <w:rPr>
          <w:b/>
          <w:spacing w:val="-2"/>
          <w:sz w:val="16"/>
        </w:rPr>
        <w:t>Future</w:t>
      </w:r>
    </w:p>
    <w:p>
      <w:pPr>
        <w:spacing w:after="0" w:line="167" w:lineRule="exact"/>
        <w:jc w:val="center"/>
        <w:rPr>
          <w:sz w:val="16"/>
        </w:rPr>
        <w:sectPr>
          <w:pgSz w:w="12240" w:h="15840"/>
          <w:pgMar w:header="210" w:footer="610" w:top="1380" w:bottom="840" w:left="780" w:right="740"/>
        </w:sectPr>
      </w:pPr>
    </w:p>
    <w:p>
      <w:pPr>
        <w:spacing w:before="150"/>
        <w:ind w:left="0" w:right="0" w:firstLine="0"/>
        <w:jc w:val="right"/>
        <w:rPr>
          <w:b/>
          <w:sz w:val="16"/>
        </w:rPr>
      </w:pPr>
      <w:r>
        <w:rPr>
          <w:b/>
          <w:spacing w:val="-2"/>
          <w:sz w:val="16"/>
        </w:rPr>
        <w:t>Purchase</w:t>
      </w:r>
    </w:p>
    <w:p>
      <w:pPr>
        <w:spacing w:line="208" w:lineRule="auto" w:before="12"/>
        <w:ind w:left="1130" w:right="0" w:hanging="147"/>
        <w:jc w:val="left"/>
        <w:rPr>
          <w:b/>
          <w:sz w:val="16"/>
        </w:rPr>
      </w:pPr>
      <w:r>
        <w:rPr/>
        <w:br w:type="column"/>
      </w:r>
      <w:r>
        <w:rPr>
          <w:b/>
          <w:spacing w:val="-2"/>
          <w:sz w:val="16"/>
        </w:rPr>
        <w:t>Minimum</w:t>
      </w:r>
      <w:r>
        <w:rPr>
          <w:b/>
          <w:spacing w:val="40"/>
          <w:sz w:val="16"/>
        </w:rPr>
        <w:t> </w:t>
      </w:r>
      <w:r>
        <w:rPr>
          <w:b/>
          <w:spacing w:val="-2"/>
          <w:sz w:val="16"/>
        </w:rPr>
        <w:t>Lease</w:t>
      </w:r>
    </w:p>
    <w:p>
      <w:pPr>
        <w:spacing w:line="208" w:lineRule="auto" w:before="12"/>
        <w:ind w:left="1000" w:right="706" w:hanging="45"/>
        <w:jc w:val="left"/>
        <w:rPr>
          <w:b/>
          <w:sz w:val="16"/>
        </w:rPr>
      </w:pPr>
      <w:r>
        <w:rPr/>
        <w:br w:type="column"/>
      </w:r>
      <w:r>
        <w:rPr>
          <w:b/>
          <w:spacing w:val="-2"/>
          <w:sz w:val="16"/>
        </w:rPr>
        <w:t>Minimum</w:t>
      </w:r>
      <w:r>
        <w:rPr>
          <w:b/>
          <w:spacing w:val="40"/>
          <w:sz w:val="16"/>
        </w:rPr>
        <w:t> </w:t>
      </w:r>
      <w:r>
        <w:rPr>
          <w:b/>
          <w:spacing w:val="-2"/>
          <w:sz w:val="16"/>
        </w:rPr>
        <w:t>Sublease</w:t>
      </w:r>
    </w:p>
    <w:p>
      <w:pPr>
        <w:spacing w:after="0" w:line="208" w:lineRule="auto"/>
        <w:jc w:val="left"/>
        <w:rPr>
          <w:sz w:val="16"/>
        </w:rPr>
        <w:sectPr>
          <w:type w:val="continuous"/>
          <w:pgSz w:w="12240" w:h="15840"/>
          <w:pgMar w:header="210" w:footer="610" w:top="680" w:bottom="280" w:left="780" w:right="740"/>
          <w:cols w:num="3" w:equalWidth="0">
            <w:col w:w="6624" w:space="40"/>
            <w:col w:w="1669" w:space="39"/>
            <w:col w:w="2348"/>
          </w:cols>
        </w:sect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6"/>
        <w:gridCol w:w="3810"/>
        <w:gridCol w:w="1680"/>
        <w:gridCol w:w="1653"/>
      </w:tblGrid>
      <w:tr>
        <w:trPr>
          <w:trHeight w:val="217" w:hRule="atLeast"/>
        </w:trPr>
        <w:tc>
          <w:tcPr>
            <w:tcW w:w="3116" w:type="dxa"/>
          </w:tcPr>
          <w:p>
            <w:pPr>
              <w:pStyle w:val="TableParagraph"/>
              <w:spacing w:line="160" w:lineRule="exact"/>
              <w:ind w:left="50"/>
              <w:rPr>
                <w:b/>
                <w:sz w:val="16"/>
              </w:rPr>
            </w:pPr>
            <w:r>
              <w:rPr>
                <w:b/>
                <w:sz w:val="16"/>
                <w:u w:val="single"/>
              </w:rPr>
              <w:t>Fiscal</w:t>
            </w:r>
            <w:r>
              <w:rPr>
                <w:b/>
                <w:spacing w:val="-7"/>
                <w:sz w:val="16"/>
                <w:u w:val="single"/>
              </w:rPr>
              <w:t> </w:t>
            </w:r>
            <w:r>
              <w:rPr>
                <w:b/>
                <w:spacing w:val="-4"/>
                <w:sz w:val="16"/>
                <w:u w:val="single"/>
              </w:rPr>
              <w:t>Year</w:t>
            </w:r>
          </w:p>
        </w:tc>
        <w:tc>
          <w:tcPr>
            <w:tcW w:w="3810" w:type="dxa"/>
          </w:tcPr>
          <w:p>
            <w:pPr>
              <w:pStyle w:val="TableParagraph"/>
              <w:spacing w:line="160" w:lineRule="exact"/>
              <w:ind w:right="438"/>
              <w:jc w:val="right"/>
              <w:rPr>
                <w:b/>
                <w:sz w:val="16"/>
              </w:rPr>
            </w:pPr>
            <w:r>
              <w:rPr>
                <w:b/>
                <w:spacing w:val="-2"/>
                <w:sz w:val="16"/>
              </w:rPr>
              <w:t>Obligations</w:t>
            </w:r>
          </w:p>
        </w:tc>
        <w:tc>
          <w:tcPr>
            <w:tcW w:w="1680" w:type="dxa"/>
            <w:tcBorders>
              <w:bottom w:val="single" w:sz="8" w:space="0" w:color="000000"/>
            </w:tcBorders>
          </w:tcPr>
          <w:p>
            <w:pPr>
              <w:pStyle w:val="TableParagraph"/>
              <w:spacing w:line="163" w:lineRule="exact"/>
              <w:ind w:left="510"/>
              <w:rPr>
                <w:b/>
                <w:sz w:val="16"/>
              </w:rPr>
            </w:pPr>
            <w:r>
              <w:rPr>
                <w:b/>
                <w:spacing w:val="-2"/>
                <w:sz w:val="16"/>
              </w:rPr>
              <w:t>Payments</w:t>
            </w:r>
          </w:p>
        </w:tc>
        <w:tc>
          <w:tcPr>
            <w:tcW w:w="1653" w:type="dxa"/>
            <w:tcBorders>
              <w:bottom w:val="single" w:sz="8" w:space="0" w:color="000000"/>
            </w:tcBorders>
          </w:tcPr>
          <w:p>
            <w:pPr>
              <w:pStyle w:val="TableParagraph"/>
              <w:spacing w:line="163" w:lineRule="exact"/>
              <w:ind w:left="33"/>
              <w:jc w:val="center"/>
              <w:rPr>
                <w:b/>
                <w:sz w:val="16"/>
              </w:rPr>
            </w:pPr>
            <w:r>
              <w:rPr>
                <w:b/>
                <w:spacing w:val="-2"/>
                <w:sz w:val="16"/>
              </w:rPr>
              <w:t>Income</w:t>
            </w:r>
          </w:p>
        </w:tc>
      </w:tr>
      <w:tr>
        <w:trPr>
          <w:trHeight w:val="270" w:hRule="atLeast"/>
        </w:trPr>
        <w:tc>
          <w:tcPr>
            <w:tcW w:w="3116" w:type="dxa"/>
            <w:shd w:val="clear" w:color="auto" w:fill="CCEDFF"/>
          </w:tcPr>
          <w:p>
            <w:pPr>
              <w:pStyle w:val="TableParagraph"/>
              <w:spacing w:line="205" w:lineRule="exact"/>
              <w:ind w:left="50"/>
              <w:rPr>
                <w:sz w:val="20"/>
              </w:rPr>
            </w:pPr>
            <w:r>
              <w:rPr>
                <w:spacing w:val="-4"/>
                <w:sz w:val="20"/>
              </w:rPr>
              <w:t>2018</w:t>
            </w:r>
          </w:p>
        </w:tc>
        <w:tc>
          <w:tcPr>
            <w:tcW w:w="3810" w:type="dxa"/>
            <w:shd w:val="clear" w:color="auto" w:fill="CCEDFF"/>
          </w:tcPr>
          <w:p>
            <w:pPr>
              <w:pStyle w:val="TableParagraph"/>
              <w:tabs>
                <w:tab w:pos="822" w:val="left" w:leader="none"/>
              </w:tabs>
              <w:spacing w:line="205" w:lineRule="exact"/>
              <w:ind w:right="102"/>
              <w:jc w:val="right"/>
              <w:rPr>
                <w:sz w:val="20"/>
              </w:rPr>
            </w:pPr>
            <w:r>
              <w:rPr>
                <w:spacing w:val="-10"/>
                <w:sz w:val="20"/>
              </w:rPr>
              <w:t>$</w:t>
            </w:r>
            <w:r>
              <w:rPr>
                <w:sz w:val="20"/>
              </w:rPr>
              <w:tab/>
            </w:r>
            <w:r>
              <w:rPr>
                <w:spacing w:val="-2"/>
                <w:sz w:val="20"/>
              </w:rPr>
              <w:t>449,823</w:t>
            </w:r>
          </w:p>
        </w:tc>
        <w:tc>
          <w:tcPr>
            <w:tcW w:w="1680" w:type="dxa"/>
            <w:tcBorders>
              <w:top w:val="single" w:sz="8" w:space="0" w:color="000000"/>
            </w:tcBorders>
            <w:shd w:val="clear" w:color="auto" w:fill="CCEDFF"/>
          </w:tcPr>
          <w:p>
            <w:pPr>
              <w:pStyle w:val="TableParagraph"/>
              <w:tabs>
                <w:tab w:pos="922" w:val="left" w:leader="none"/>
              </w:tabs>
              <w:spacing w:line="205" w:lineRule="exact"/>
              <w:ind w:right="102"/>
              <w:jc w:val="right"/>
              <w:rPr>
                <w:sz w:val="20"/>
              </w:rPr>
            </w:pPr>
            <w:r>
              <w:rPr>
                <w:spacing w:val="-10"/>
                <w:sz w:val="20"/>
              </w:rPr>
              <w:t>$</w:t>
            </w:r>
            <w:r>
              <w:rPr>
                <w:sz w:val="20"/>
              </w:rPr>
              <w:tab/>
            </w:r>
            <w:r>
              <w:rPr>
                <w:spacing w:val="-2"/>
                <w:sz w:val="20"/>
              </w:rPr>
              <w:t>60,464</w:t>
            </w:r>
          </w:p>
        </w:tc>
        <w:tc>
          <w:tcPr>
            <w:tcW w:w="1653" w:type="dxa"/>
            <w:tcBorders>
              <w:top w:val="single" w:sz="8" w:space="0" w:color="000000"/>
            </w:tcBorders>
            <w:shd w:val="clear" w:color="auto" w:fill="CCEDFF"/>
          </w:tcPr>
          <w:p>
            <w:pPr>
              <w:pStyle w:val="TableParagraph"/>
              <w:tabs>
                <w:tab w:pos="1022" w:val="left" w:leader="none"/>
              </w:tabs>
              <w:spacing w:line="205" w:lineRule="exact"/>
              <w:ind w:right="75"/>
              <w:jc w:val="right"/>
              <w:rPr>
                <w:sz w:val="20"/>
              </w:rPr>
            </w:pPr>
            <w:r>
              <w:rPr>
                <w:spacing w:val="-10"/>
                <w:sz w:val="20"/>
              </w:rPr>
              <w:t>$</w:t>
            </w:r>
            <w:r>
              <w:rPr>
                <w:sz w:val="20"/>
              </w:rPr>
              <w:tab/>
            </w:r>
            <w:r>
              <w:rPr>
                <w:spacing w:val="-2"/>
                <w:sz w:val="20"/>
              </w:rPr>
              <w:t>3,001</w:t>
            </w:r>
          </w:p>
        </w:tc>
      </w:tr>
      <w:tr>
        <w:trPr>
          <w:trHeight w:val="280" w:hRule="atLeast"/>
        </w:trPr>
        <w:tc>
          <w:tcPr>
            <w:tcW w:w="3116" w:type="dxa"/>
          </w:tcPr>
          <w:p>
            <w:pPr>
              <w:pStyle w:val="TableParagraph"/>
              <w:spacing w:line="215" w:lineRule="exact"/>
              <w:ind w:left="50"/>
              <w:rPr>
                <w:sz w:val="20"/>
              </w:rPr>
            </w:pPr>
            <w:r>
              <w:rPr>
                <w:spacing w:val="-4"/>
                <w:sz w:val="20"/>
              </w:rPr>
              <w:t>2019</w:t>
            </w:r>
          </w:p>
        </w:tc>
        <w:tc>
          <w:tcPr>
            <w:tcW w:w="3810" w:type="dxa"/>
          </w:tcPr>
          <w:p>
            <w:pPr>
              <w:pStyle w:val="TableParagraph"/>
              <w:spacing w:line="215" w:lineRule="exact"/>
              <w:ind w:right="102"/>
              <w:jc w:val="right"/>
              <w:rPr>
                <w:sz w:val="20"/>
              </w:rPr>
            </w:pPr>
            <w:r>
              <w:rPr>
                <w:spacing w:val="-2"/>
                <w:sz w:val="20"/>
              </w:rPr>
              <w:t>245,087</w:t>
            </w:r>
          </w:p>
        </w:tc>
        <w:tc>
          <w:tcPr>
            <w:tcW w:w="1680" w:type="dxa"/>
          </w:tcPr>
          <w:p>
            <w:pPr>
              <w:pStyle w:val="TableParagraph"/>
              <w:spacing w:line="215" w:lineRule="exact"/>
              <w:ind w:right="102"/>
              <w:jc w:val="right"/>
              <w:rPr>
                <w:sz w:val="20"/>
              </w:rPr>
            </w:pPr>
            <w:r>
              <w:rPr>
                <w:spacing w:val="-2"/>
                <w:sz w:val="20"/>
              </w:rPr>
              <w:t>62,307</w:t>
            </w:r>
          </w:p>
        </w:tc>
        <w:tc>
          <w:tcPr>
            <w:tcW w:w="1653" w:type="dxa"/>
          </w:tcPr>
          <w:p>
            <w:pPr>
              <w:pStyle w:val="TableParagraph"/>
              <w:spacing w:line="215" w:lineRule="exact"/>
              <w:ind w:right="75"/>
              <w:jc w:val="right"/>
              <w:rPr>
                <w:sz w:val="20"/>
              </w:rPr>
            </w:pPr>
            <w:r>
              <w:rPr>
                <w:spacing w:val="-2"/>
                <w:sz w:val="20"/>
              </w:rPr>
              <w:t>2,903</w:t>
            </w:r>
          </w:p>
        </w:tc>
      </w:tr>
      <w:tr>
        <w:trPr>
          <w:trHeight w:val="280" w:hRule="atLeast"/>
        </w:trPr>
        <w:tc>
          <w:tcPr>
            <w:tcW w:w="3116" w:type="dxa"/>
            <w:shd w:val="clear" w:color="auto" w:fill="CCEDFF"/>
          </w:tcPr>
          <w:p>
            <w:pPr>
              <w:pStyle w:val="TableParagraph"/>
              <w:spacing w:line="215" w:lineRule="exact"/>
              <w:ind w:left="50"/>
              <w:rPr>
                <w:sz w:val="20"/>
              </w:rPr>
            </w:pPr>
            <w:r>
              <w:rPr>
                <w:spacing w:val="-4"/>
                <w:sz w:val="20"/>
              </w:rPr>
              <w:t>2020</w:t>
            </w:r>
          </w:p>
        </w:tc>
        <w:tc>
          <w:tcPr>
            <w:tcW w:w="3810" w:type="dxa"/>
            <w:shd w:val="clear" w:color="auto" w:fill="CCEDFF"/>
          </w:tcPr>
          <w:p>
            <w:pPr>
              <w:pStyle w:val="TableParagraph"/>
              <w:spacing w:line="215" w:lineRule="exact"/>
              <w:ind w:right="102"/>
              <w:jc w:val="right"/>
              <w:rPr>
                <w:sz w:val="20"/>
              </w:rPr>
            </w:pPr>
            <w:r>
              <w:rPr>
                <w:spacing w:val="-5"/>
                <w:sz w:val="20"/>
              </w:rPr>
              <w:t>410</w:t>
            </w:r>
          </w:p>
        </w:tc>
        <w:tc>
          <w:tcPr>
            <w:tcW w:w="1680" w:type="dxa"/>
            <w:shd w:val="clear" w:color="auto" w:fill="CCEDFF"/>
          </w:tcPr>
          <w:p>
            <w:pPr>
              <w:pStyle w:val="TableParagraph"/>
              <w:spacing w:line="215" w:lineRule="exact"/>
              <w:ind w:right="102"/>
              <w:jc w:val="right"/>
              <w:rPr>
                <w:sz w:val="20"/>
              </w:rPr>
            </w:pPr>
            <w:r>
              <w:rPr>
                <w:spacing w:val="-2"/>
                <w:sz w:val="20"/>
              </w:rPr>
              <w:t>63,341</w:t>
            </w:r>
          </w:p>
        </w:tc>
        <w:tc>
          <w:tcPr>
            <w:tcW w:w="1653" w:type="dxa"/>
            <w:shd w:val="clear" w:color="auto" w:fill="CCEDFF"/>
          </w:tcPr>
          <w:p>
            <w:pPr>
              <w:pStyle w:val="TableParagraph"/>
              <w:spacing w:line="215" w:lineRule="exact"/>
              <w:ind w:right="75"/>
              <w:jc w:val="right"/>
              <w:rPr>
                <w:sz w:val="20"/>
              </w:rPr>
            </w:pPr>
            <w:r>
              <w:rPr>
                <w:spacing w:val="-2"/>
                <w:sz w:val="20"/>
              </w:rPr>
              <w:t>2,286</w:t>
            </w:r>
          </w:p>
        </w:tc>
      </w:tr>
      <w:tr>
        <w:trPr>
          <w:trHeight w:val="280" w:hRule="atLeast"/>
        </w:trPr>
        <w:tc>
          <w:tcPr>
            <w:tcW w:w="3116" w:type="dxa"/>
          </w:tcPr>
          <w:p>
            <w:pPr>
              <w:pStyle w:val="TableParagraph"/>
              <w:spacing w:line="215" w:lineRule="exact"/>
              <w:ind w:left="50"/>
              <w:rPr>
                <w:sz w:val="20"/>
              </w:rPr>
            </w:pPr>
            <w:r>
              <w:rPr>
                <w:spacing w:val="-4"/>
                <w:sz w:val="20"/>
              </w:rPr>
              <w:t>2021</w:t>
            </w:r>
          </w:p>
        </w:tc>
        <w:tc>
          <w:tcPr>
            <w:tcW w:w="3810" w:type="dxa"/>
          </w:tcPr>
          <w:p>
            <w:pPr>
              <w:pStyle w:val="TableParagraph"/>
              <w:spacing w:line="215" w:lineRule="exact"/>
              <w:ind w:right="102"/>
              <w:jc w:val="right"/>
              <w:rPr>
                <w:sz w:val="20"/>
              </w:rPr>
            </w:pPr>
            <w:r>
              <w:rPr>
                <w:spacing w:val="-10"/>
                <w:sz w:val="20"/>
              </w:rPr>
              <w:t>—</w:t>
            </w:r>
          </w:p>
        </w:tc>
        <w:tc>
          <w:tcPr>
            <w:tcW w:w="1680" w:type="dxa"/>
          </w:tcPr>
          <w:p>
            <w:pPr>
              <w:pStyle w:val="TableParagraph"/>
              <w:spacing w:line="215" w:lineRule="exact"/>
              <w:ind w:right="102"/>
              <w:jc w:val="right"/>
              <w:rPr>
                <w:sz w:val="20"/>
              </w:rPr>
            </w:pPr>
            <w:r>
              <w:rPr>
                <w:spacing w:val="-2"/>
                <w:sz w:val="20"/>
              </w:rPr>
              <w:t>53,670</w:t>
            </w:r>
          </w:p>
        </w:tc>
        <w:tc>
          <w:tcPr>
            <w:tcW w:w="1653" w:type="dxa"/>
          </w:tcPr>
          <w:p>
            <w:pPr>
              <w:pStyle w:val="TableParagraph"/>
              <w:spacing w:line="215" w:lineRule="exact"/>
              <w:ind w:right="75"/>
              <w:jc w:val="right"/>
              <w:rPr>
                <w:sz w:val="20"/>
              </w:rPr>
            </w:pPr>
            <w:r>
              <w:rPr>
                <w:spacing w:val="-2"/>
                <w:sz w:val="20"/>
              </w:rPr>
              <w:t>2,036</w:t>
            </w:r>
          </w:p>
        </w:tc>
      </w:tr>
      <w:tr>
        <w:trPr>
          <w:trHeight w:val="280" w:hRule="atLeast"/>
        </w:trPr>
        <w:tc>
          <w:tcPr>
            <w:tcW w:w="3116" w:type="dxa"/>
            <w:shd w:val="clear" w:color="auto" w:fill="CCEDFF"/>
          </w:tcPr>
          <w:p>
            <w:pPr>
              <w:pStyle w:val="TableParagraph"/>
              <w:spacing w:line="215" w:lineRule="exact"/>
              <w:ind w:left="50"/>
              <w:rPr>
                <w:sz w:val="20"/>
              </w:rPr>
            </w:pPr>
            <w:r>
              <w:rPr>
                <w:spacing w:val="-4"/>
                <w:sz w:val="20"/>
              </w:rPr>
              <w:t>2022</w:t>
            </w:r>
          </w:p>
        </w:tc>
        <w:tc>
          <w:tcPr>
            <w:tcW w:w="3810" w:type="dxa"/>
            <w:shd w:val="clear" w:color="auto" w:fill="CCEDFF"/>
          </w:tcPr>
          <w:p>
            <w:pPr>
              <w:pStyle w:val="TableParagraph"/>
              <w:spacing w:line="215" w:lineRule="exact"/>
              <w:ind w:right="102"/>
              <w:jc w:val="right"/>
              <w:rPr>
                <w:sz w:val="20"/>
              </w:rPr>
            </w:pPr>
            <w:r>
              <w:rPr>
                <w:spacing w:val="-10"/>
                <w:sz w:val="20"/>
              </w:rPr>
              <w:t>—</w:t>
            </w:r>
          </w:p>
        </w:tc>
        <w:tc>
          <w:tcPr>
            <w:tcW w:w="1680" w:type="dxa"/>
            <w:shd w:val="clear" w:color="auto" w:fill="CCEDFF"/>
          </w:tcPr>
          <w:p>
            <w:pPr>
              <w:pStyle w:val="TableParagraph"/>
              <w:spacing w:line="215" w:lineRule="exact"/>
              <w:ind w:right="102"/>
              <w:jc w:val="right"/>
              <w:rPr>
                <w:sz w:val="20"/>
              </w:rPr>
            </w:pPr>
            <w:r>
              <w:rPr>
                <w:spacing w:val="-2"/>
                <w:sz w:val="20"/>
              </w:rPr>
              <w:t>44,016</w:t>
            </w:r>
          </w:p>
        </w:tc>
        <w:tc>
          <w:tcPr>
            <w:tcW w:w="1653" w:type="dxa"/>
            <w:shd w:val="clear" w:color="auto" w:fill="CCEDFF"/>
          </w:tcPr>
          <w:p>
            <w:pPr>
              <w:pStyle w:val="TableParagraph"/>
              <w:spacing w:line="215" w:lineRule="exact"/>
              <w:ind w:right="75"/>
              <w:jc w:val="right"/>
              <w:rPr>
                <w:sz w:val="20"/>
              </w:rPr>
            </w:pPr>
            <w:r>
              <w:rPr>
                <w:spacing w:val="-10"/>
                <w:sz w:val="20"/>
              </w:rPr>
              <w:t>—</w:t>
            </w:r>
          </w:p>
        </w:tc>
      </w:tr>
      <w:tr>
        <w:trPr>
          <w:trHeight w:val="270" w:hRule="atLeast"/>
        </w:trPr>
        <w:tc>
          <w:tcPr>
            <w:tcW w:w="3116" w:type="dxa"/>
          </w:tcPr>
          <w:p>
            <w:pPr>
              <w:pStyle w:val="TableParagraph"/>
              <w:spacing w:line="215" w:lineRule="exact"/>
              <w:ind w:left="50"/>
              <w:rPr>
                <w:sz w:val="20"/>
              </w:rPr>
            </w:pPr>
            <w:r>
              <w:rPr>
                <w:spacing w:val="-2"/>
                <w:sz w:val="20"/>
              </w:rPr>
              <w:t>Thereafter</w:t>
            </w:r>
          </w:p>
        </w:tc>
        <w:tc>
          <w:tcPr>
            <w:tcW w:w="3810" w:type="dxa"/>
            <w:tcBorders>
              <w:bottom w:val="single" w:sz="8" w:space="0" w:color="000000"/>
            </w:tcBorders>
          </w:tcPr>
          <w:p>
            <w:pPr>
              <w:pStyle w:val="TableParagraph"/>
              <w:spacing w:line="215" w:lineRule="exact"/>
              <w:ind w:right="102"/>
              <w:jc w:val="right"/>
              <w:rPr>
                <w:sz w:val="20"/>
              </w:rPr>
            </w:pPr>
            <w:r>
              <w:rPr>
                <w:spacing w:val="-10"/>
                <w:sz w:val="20"/>
              </w:rPr>
              <w:t>—</w:t>
            </w:r>
          </w:p>
        </w:tc>
        <w:tc>
          <w:tcPr>
            <w:tcW w:w="1680" w:type="dxa"/>
            <w:tcBorders>
              <w:bottom w:val="single" w:sz="8" w:space="0" w:color="000000"/>
            </w:tcBorders>
          </w:tcPr>
          <w:p>
            <w:pPr>
              <w:pStyle w:val="TableParagraph"/>
              <w:spacing w:line="215" w:lineRule="exact"/>
              <w:ind w:right="102"/>
              <w:jc w:val="right"/>
              <w:rPr>
                <w:sz w:val="20"/>
              </w:rPr>
            </w:pPr>
            <w:r>
              <w:rPr>
                <w:spacing w:val="-2"/>
                <w:sz w:val="20"/>
              </w:rPr>
              <w:t>251,544</w:t>
            </w:r>
          </w:p>
        </w:tc>
        <w:tc>
          <w:tcPr>
            <w:tcW w:w="1653" w:type="dxa"/>
            <w:tcBorders>
              <w:bottom w:val="single" w:sz="8" w:space="0" w:color="000000"/>
            </w:tcBorders>
          </w:tcPr>
          <w:p>
            <w:pPr>
              <w:pStyle w:val="TableParagraph"/>
              <w:spacing w:line="215" w:lineRule="exact"/>
              <w:ind w:right="75"/>
              <w:jc w:val="right"/>
              <w:rPr>
                <w:sz w:val="20"/>
              </w:rPr>
            </w:pPr>
            <w:r>
              <w:rPr>
                <w:spacing w:val="-10"/>
                <w:sz w:val="20"/>
              </w:rPr>
              <w:t>—</w:t>
            </w:r>
          </w:p>
        </w:tc>
      </w:tr>
      <w:tr>
        <w:trPr>
          <w:trHeight w:val="220" w:hRule="atLeast"/>
        </w:trPr>
        <w:tc>
          <w:tcPr>
            <w:tcW w:w="3116" w:type="dxa"/>
            <w:shd w:val="clear" w:color="auto" w:fill="CCEDFF"/>
          </w:tcPr>
          <w:p>
            <w:pPr>
              <w:pStyle w:val="TableParagraph"/>
              <w:spacing w:line="200" w:lineRule="exact"/>
              <w:ind w:left="170"/>
              <w:rPr>
                <w:sz w:val="20"/>
              </w:rPr>
            </w:pPr>
            <w:r>
              <w:rPr>
                <w:spacing w:val="-2"/>
                <w:sz w:val="20"/>
              </w:rPr>
              <w:t>Total</w:t>
            </w:r>
          </w:p>
        </w:tc>
        <w:tc>
          <w:tcPr>
            <w:tcW w:w="3810" w:type="dxa"/>
            <w:tcBorders>
              <w:top w:val="single" w:sz="8" w:space="0" w:color="000000"/>
              <w:bottom w:val="double" w:sz="8" w:space="0" w:color="000000"/>
            </w:tcBorders>
            <w:shd w:val="clear" w:color="auto" w:fill="CCEDFF"/>
          </w:tcPr>
          <w:p>
            <w:pPr>
              <w:pStyle w:val="TableParagraph"/>
              <w:tabs>
                <w:tab w:pos="822" w:val="left" w:leader="none"/>
              </w:tabs>
              <w:spacing w:line="200" w:lineRule="exact"/>
              <w:ind w:right="102"/>
              <w:jc w:val="right"/>
              <w:rPr>
                <w:sz w:val="20"/>
              </w:rPr>
            </w:pPr>
            <w:r>
              <w:rPr>
                <w:spacing w:val="-10"/>
                <w:sz w:val="20"/>
              </w:rPr>
              <w:t>$</w:t>
            </w:r>
            <w:r>
              <w:rPr>
                <w:sz w:val="20"/>
              </w:rPr>
              <w:tab/>
            </w:r>
            <w:r>
              <w:rPr>
                <w:spacing w:val="-2"/>
                <w:sz w:val="20"/>
              </w:rPr>
              <w:t>695,320</w:t>
            </w:r>
          </w:p>
        </w:tc>
        <w:tc>
          <w:tcPr>
            <w:tcW w:w="1680" w:type="dxa"/>
            <w:tcBorders>
              <w:top w:val="single" w:sz="8" w:space="0" w:color="000000"/>
              <w:bottom w:val="double" w:sz="8" w:space="0" w:color="000000"/>
            </w:tcBorders>
            <w:shd w:val="clear" w:color="auto" w:fill="CCEDFF"/>
          </w:tcPr>
          <w:p>
            <w:pPr>
              <w:pStyle w:val="TableParagraph"/>
              <w:tabs>
                <w:tab w:pos="822" w:val="left" w:leader="none"/>
              </w:tabs>
              <w:spacing w:line="200" w:lineRule="exact"/>
              <w:ind w:right="102"/>
              <w:jc w:val="right"/>
              <w:rPr>
                <w:sz w:val="20"/>
              </w:rPr>
            </w:pPr>
            <w:r>
              <w:rPr>
                <w:spacing w:val="-10"/>
                <w:sz w:val="20"/>
              </w:rPr>
              <w:t>$</w:t>
            </w:r>
            <w:r>
              <w:rPr>
                <w:sz w:val="20"/>
              </w:rPr>
              <w:tab/>
            </w:r>
            <w:r>
              <w:rPr>
                <w:spacing w:val="-2"/>
                <w:sz w:val="20"/>
              </w:rPr>
              <w:t>535,342</w:t>
            </w:r>
          </w:p>
        </w:tc>
        <w:tc>
          <w:tcPr>
            <w:tcW w:w="1653" w:type="dxa"/>
            <w:tcBorders>
              <w:top w:val="single" w:sz="8" w:space="0" w:color="000000"/>
              <w:bottom w:val="double" w:sz="8" w:space="0" w:color="000000"/>
            </w:tcBorders>
            <w:shd w:val="clear" w:color="auto" w:fill="CCEDFF"/>
          </w:tcPr>
          <w:p>
            <w:pPr>
              <w:pStyle w:val="TableParagraph"/>
              <w:tabs>
                <w:tab w:pos="922" w:val="left" w:leader="none"/>
              </w:tabs>
              <w:spacing w:line="200" w:lineRule="exact"/>
              <w:ind w:right="75"/>
              <w:jc w:val="right"/>
              <w:rPr>
                <w:sz w:val="20"/>
              </w:rPr>
            </w:pPr>
            <w:r>
              <w:rPr>
                <w:spacing w:val="-10"/>
                <w:sz w:val="20"/>
              </w:rPr>
              <w:t>$</w:t>
            </w:r>
            <w:r>
              <w:rPr>
                <w:sz w:val="20"/>
              </w:rPr>
              <w:tab/>
            </w:r>
            <w:r>
              <w:rPr>
                <w:spacing w:val="-2"/>
                <w:sz w:val="20"/>
              </w:rPr>
              <w:t>10,226</w:t>
            </w:r>
          </w:p>
        </w:tc>
      </w:tr>
    </w:tbl>
    <w:p>
      <w:pPr>
        <w:spacing w:before="216"/>
        <w:ind w:left="210" w:right="0" w:firstLine="0"/>
        <w:jc w:val="left"/>
        <w:rPr>
          <w:i/>
          <w:sz w:val="20"/>
        </w:rPr>
      </w:pPr>
      <w:r>
        <w:rPr>
          <w:i/>
          <w:spacing w:val="-2"/>
          <w:sz w:val="20"/>
        </w:rPr>
        <w:t>Other</w:t>
      </w:r>
    </w:p>
    <w:p>
      <w:pPr>
        <w:pStyle w:val="BodyText"/>
        <w:spacing w:before="210"/>
        <w:ind w:left="750"/>
      </w:pPr>
      <w:r>
        <w:rPr/>
        <w:t>Subsequent</w:t>
      </w:r>
      <w:r>
        <w:rPr>
          <w:spacing w:val="-1"/>
        </w:rPr>
        <w:t> </w:t>
      </w:r>
      <w:r>
        <w:rPr/>
        <w:t>to</w:t>
      </w:r>
      <w:r>
        <w:rPr>
          <w:spacing w:val="-2"/>
        </w:rPr>
        <w:t> </w:t>
      </w:r>
      <w:r>
        <w:rPr/>
        <w:t>December 1,</w:t>
      </w:r>
      <w:r>
        <w:rPr>
          <w:spacing w:val="-1"/>
        </w:rPr>
        <w:t> </w:t>
      </w:r>
      <w:r>
        <w:rPr/>
        <w:t>2017,</w:t>
      </w:r>
      <w:r>
        <w:rPr>
          <w:spacing w:val="-1"/>
        </w:rPr>
        <w:t> </w:t>
      </w:r>
      <w:r>
        <w:rPr/>
        <w:t>we purchased</w:t>
      </w:r>
      <w:r>
        <w:rPr>
          <w:spacing w:val="-1"/>
        </w:rPr>
        <w:t> </w:t>
      </w:r>
      <w:r>
        <w:rPr/>
        <w:t>land</w:t>
      </w:r>
      <w:r>
        <w:rPr>
          <w:spacing w:val="-1"/>
        </w:rPr>
        <w:t> </w:t>
      </w:r>
      <w:r>
        <w:rPr/>
        <w:t>near our</w:t>
      </w:r>
      <w:r>
        <w:rPr>
          <w:spacing w:val="-1"/>
        </w:rPr>
        <w:t> </w:t>
      </w:r>
      <w:r>
        <w:rPr/>
        <w:t>headquarters</w:t>
      </w:r>
      <w:r>
        <w:rPr>
          <w:spacing w:val="-2"/>
        </w:rPr>
        <w:t> </w:t>
      </w:r>
      <w:r>
        <w:rPr/>
        <w:t>in San</w:t>
      </w:r>
      <w:r>
        <w:rPr>
          <w:spacing w:val="-1"/>
        </w:rPr>
        <w:t> </w:t>
      </w:r>
      <w:r>
        <w:rPr/>
        <w:t>Jose,</w:t>
      </w:r>
      <w:r>
        <w:rPr>
          <w:spacing w:val="-1"/>
        </w:rPr>
        <w:t> </w:t>
      </w:r>
      <w:r>
        <w:rPr/>
        <w:t>California for</w:t>
      </w:r>
      <w:r>
        <w:rPr>
          <w:spacing w:val="-1"/>
        </w:rPr>
        <w:t> </w:t>
      </w:r>
      <w:r>
        <w:rPr/>
        <w:t>a</w:t>
      </w:r>
      <w:r>
        <w:rPr>
          <w:spacing w:val="-1"/>
        </w:rPr>
        <w:t> </w:t>
      </w:r>
      <w:r>
        <w:rPr/>
        <w:t>total </w:t>
      </w:r>
      <w:r>
        <w:rPr>
          <w:spacing w:val="-2"/>
        </w:rPr>
        <w:t>purchase</w:t>
      </w:r>
    </w:p>
    <w:p>
      <w:pPr>
        <w:pStyle w:val="BodyText"/>
        <w:spacing w:before="10"/>
        <w:ind w:left="210"/>
      </w:pPr>
      <w:r>
        <w:rPr/>
        <w:t>price of</w:t>
      </w:r>
      <w:r>
        <w:rPr>
          <w:spacing w:val="-1"/>
        </w:rPr>
        <w:t> </w:t>
      </w:r>
      <w:r>
        <w:rPr/>
        <w:t>$68.0 </w:t>
      </w:r>
      <w:r>
        <w:rPr>
          <w:spacing w:val="-2"/>
        </w:rPr>
        <w:t>million.</w:t>
      </w:r>
    </w:p>
    <w:p>
      <w:pPr>
        <w:pStyle w:val="BodyText"/>
        <w:spacing w:before="20"/>
      </w:pPr>
    </w:p>
    <w:p>
      <w:pPr>
        <w:spacing w:before="0"/>
        <w:ind w:left="210" w:right="0" w:firstLine="0"/>
        <w:jc w:val="left"/>
        <w:rPr>
          <w:i/>
          <w:sz w:val="20"/>
        </w:rPr>
      </w:pPr>
      <w:r>
        <w:rPr>
          <w:i/>
          <w:spacing w:val="-2"/>
          <w:sz w:val="20"/>
        </w:rPr>
        <w:t>Royalties</w:t>
      </w:r>
    </w:p>
    <w:p>
      <w:pPr>
        <w:pStyle w:val="BodyText"/>
        <w:spacing w:line="249" w:lineRule="auto" w:before="210"/>
        <w:ind w:left="210" w:right="247" w:firstLine="540"/>
        <w:jc w:val="both"/>
      </w:pPr>
      <w:r>
        <w:rPr/>
        <w:t>We</w:t>
      </w:r>
      <w:r>
        <w:rPr>
          <w:spacing w:val="-12"/>
        </w:rPr>
        <w:t> </w:t>
      </w:r>
      <w:r>
        <w:rPr/>
        <w:t>have</w:t>
      </w:r>
      <w:r>
        <w:rPr>
          <w:spacing w:val="-12"/>
        </w:rPr>
        <w:t> </w:t>
      </w:r>
      <w:r>
        <w:rPr/>
        <w:t>royalty</w:t>
      </w:r>
      <w:r>
        <w:rPr>
          <w:spacing w:val="-12"/>
        </w:rPr>
        <w:t> </w:t>
      </w:r>
      <w:r>
        <w:rPr/>
        <w:t>commitments</w:t>
      </w:r>
      <w:r>
        <w:rPr>
          <w:spacing w:val="-11"/>
        </w:rPr>
        <w:t> </w:t>
      </w:r>
      <w:r>
        <w:rPr/>
        <w:t>associated</w:t>
      </w:r>
      <w:r>
        <w:rPr>
          <w:spacing w:val="-12"/>
        </w:rPr>
        <w:t> </w:t>
      </w:r>
      <w:r>
        <w:rPr/>
        <w:t>with</w:t>
      </w:r>
      <w:r>
        <w:rPr>
          <w:spacing w:val="-11"/>
        </w:rPr>
        <w:t> </w:t>
      </w:r>
      <w:r>
        <w:rPr/>
        <w:t>the</w:t>
      </w:r>
      <w:r>
        <w:rPr>
          <w:spacing w:val="-12"/>
        </w:rPr>
        <w:t> </w:t>
      </w:r>
      <w:r>
        <w:rPr/>
        <w:t>licensing</w:t>
      </w:r>
      <w:r>
        <w:rPr>
          <w:spacing w:val="-12"/>
        </w:rPr>
        <w:t> </w:t>
      </w:r>
      <w:r>
        <w:rPr/>
        <w:t>of</w:t>
      </w:r>
      <w:r>
        <w:rPr>
          <w:spacing w:val="-12"/>
        </w:rPr>
        <w:t> </w:t>
      </w:r>
      <w:r>
        <w:rPr/>
        <w:t>certain</w:t>
      </w:r>
      <w:r>
        <w:rPr>
          <w:spacing w:val="-12"/>
        </w:rPr>
        <w:t> </w:t>
      </w:r>
      <w:r>
        <w:rPr/>
        <w:t>offerings</w:t>
      </w:r>
      <w:r>
        <w:rPr>
          <w:spacing w:val="-11"/>
        </w:rPr>
        <w:t> </w:t>
      </w:r>
      <w:r>
        <w:rPr/>
        <w:t>and</w:t>
      </w:r>
      <w:r>
        <w:rPr>
          <w:spacing w:val="-12"/>
        </w:rPr>
        <w:t> </w:t>
      </w:r>
      <w:r>
        <w:rPr/>
        <w:t>products.</w:t>
      </w:r>
      <w:r>
        <w:rPr>
          <w:spacing w:val="-11"/>
        </w:rPr>
        <w:t> </w:t>
      </w:r>
      <w:r>
        <w:rPr/>
        <w:t>Royalty</w:t>
      </w:r>
      <w:r>
        <w:rPr>
          <w:spacing w:val="-12"/>
        </w:rPr>
        <w:t> </w:t>
      </w:r>
      <w:r>
        <w:rPr/>
        <w:t>expense</w:t>
      </w:r>
      <w:r>
        <w:rPr>
          <w:spacing w:val="-12"/>
        </w:rPr>
        <w:t> </w:t>
      </w:r>
      <w:r>
        <w:rPr/>
        <w:t>is</w:t>
      </w:r>
      <w:r>
        <w:rPr>
          <w:spacing w:val="-12"/>
        </w:rPr>
        <w:t> </w:t>
      </w:r>
      <w:r>
        <w:rPr/>
        <w:t>generally based</w:t>
      </w:r>
      <w:r>
        <w:rPr>
          <w:spacing w:val="-8"/>
        </w:rPr>
        <w:t> </w:t>
      </w:r>
      <w:r>
        <w:rPr/>
        <w:t>on</w:t>
      </w:r>
      <w:r>
        <w:rPr>
          <w:spacing w:val="-8"/>
        </w:rPr>
        <w:t> </w:t>
      </w:r>
      <w:r>
        <w:rPr/>
        <w:t>a</w:t>
      </w:r>
      <w:r>
        <w:rPr>
          <w:spacing w:val="-8"/>
        </w:rPr>
        <w:t> </w:t>
      </w:r>
      <w:r>
        <w:rPr/>
        <w:t>dollar</w:t>
      </w:r>
      <w:r>
        <w:rPr>
          <w:spacing w:val="-8"/>
        </w:rPr>
        <w:t> </w:t>
      </w:r>
      <w:r>
        <w:rPr/>
        <w:t>amount</w:t>
      </w:r>
      <w:r>
        <w:rPr>
          <w:spacing w:val="-8"/>
        </w:rPr>
        <w:t> </w:t>
      </w:r>
      <w:r>
        <w:rPr/>
        <w:t>per</w:t>
      </w:r>
      <w:r>
        <w:rPr>
          <w:spacing w:val="-8"/>
        </w:rPr>
        <w:t> </w:t>
      </w:r>
      <w:r>
        <w:rPr/>
        <w:t>unit</w:t>
      </w:r>
      <w:r>
        <w:rPr>
          <w:spacing w:val="-8"/>
        </w:rPr>
        <w:t> </w:t>
      </w:r>
      <w:r>
        <w:rPr/>
        <w:t>or</w:t>
      </w:r>
      <w:r>
        <w:rPr>
          <w:spacing w:val="-8"/>
        </w:rPr>
        <w:t> </w:t>
      </w:r>
      <w:r>
        <w:rPr/>
        <w:t>a</w:t>
      </w:r>
      <w:r>
        <w:rPr>
          <w:spacing w:val="-8"/>
        </w:rPr>
        <w:t> </w:t>
      </w:r>
      <w:r>
        <w:rPr/>
        <w:t>percentage</w:t>
      </w:r>
      <w:r>
        <w:rPr>
          <w:spacing w:val="-8"/>
        </w:rPr>
        <w:t> </w:t>
      </w:r>
      <w:r>
        <w:rPr/>
        <w:t>of</w:t>
      </w:r>
      <w:r>
        <w:rPr>
          <w:spacing w:val="-8"/>
        </w:rPr>
        <w:t> </w:t>
      </w:r>
      <w:r>
        <w:rPr/>
        <w:t>the</w:t>
      </w:r>
      <w:r>
        <w:rPr>
          <w:spacing w:val="-8"/>
        </w:rPr>
        <w:t> </w:t>
      </w:r>
      <w:r>
        <w:rPr/>
        <w:t>underlying</w:t>
      </w:r>
      <w:r>
        <w:rPr>
          <w:spacing w:val="-8"/>
        </w:rPr>
        <w:t> </w:t>
      </w:r>
      <w:r>
        <w:rPr/>
        <w:t>revenue.</w:t>
      </w:r>
      <w:r>
        <w:rPr>
          <w:spacing w:val="-8"/>
        </w:rPr>
        <w:t> </w:t>
      </w:r>
      <w:r>
        <w:rPr/>
        <w:t>Royalty</w:t>
      </w:r>
      <w:r>
        <w:rPr>
          <w:spacing w:val="-8"/>
        </w:rPr>
        <w:t> </w:t>
      </w:r>
      <w:r>
        <w:rPr/>
        <w:t>expense,</w:t>
      </w:r>
      <w:r>
        <w:rPr>
          <w:spacing w:val="-8"/>
        </w:rPr>
        <w:t> </w:t>
      </w:r>
      <w:r>
        <w:rPr/>
        <w:t>which</w:t>
      </w:r>
      <w:r>
        <w:rPr>
          <w:spacing w:val="-8"/>
        </w:rPr>
        <w:t> </w:t>
      </w:r>
      <w:r>
        <w:rPr/>
        <w:t>was</w:t>
      </w:r>
      <w:r>
        <w:rPr>
          <w:spacing w:val="-8"/>
        </w:rPr>
        <w:t> </w:t>
      </w:r>
      <w:r>
        <w:rPr/>
        <w:t>recorded</w:t>
      </w:r>
      <w:r>
        <w:rPr>
          <w:spacing w:val="-8"/>
        </w:rPr>
        <w:t> </w:t>
      </w:r>
      <w:r>
        <w:rPr/>
        <w:t>under</w:t>
      </w:r>
      <w:r>
        <w:rPr>
          <w:spacing w:val="-8"/>
        </w:rPr>
        <w:t> </w:t>
      </w:r>
      <w:r>
        <w:rPr/>
        <w:t>our</w:t>
      </w:r>
      <w:r>
        <w:rPr>
          <w:spacing w:val="-8"/>
        </w:rPr>
        <w:t> </w:t>
      </w:r>
      <w:r>
        <w:rPr/>
        <w:t>cost </w:t>
      </w:r>
      <w:r>
        <w:rPr>
          <w:spacing w:val="-2"/>
        </w:rPr>
        <w:t>of</w:t>
      </w:r>
      <w:r>
        <w:rPr>
          <w:spacing w:val="-3"/>
        </w:rPr>
        <w:t> </w:t>
      </w:r>
      <w:r>
        <w:rPr>
          <w:spacing w:val="-2"/>
        </w:rPr>
        <w:t>revenue</w:t>
      </w:r>
      <w:r>
        <w:rPr>
          <w:spacing w:val="-4"/>
        </w:rPr>
        <w:t> </w:t>
      </w:r>
      <w:r>
        <w:rPr>
          <w:spacing w:val="-2"/>
        </w:rPr>
        <w:t>on</w:t>
      </w:r>
      <w:r>
        <w:rPr>
          <w:spacing w:val="-3"/>
        </w:rPr>
        <w:t> </w:t>
      </w:r>
      <w:r>
        <w:rPr>
          <w:spacing w:val="-2"/>
        </w:rPr>
        <w:t>our</w:t>
      </w:r>
      <w:r>
        <w:rPr>
          <w:spacing w:val="-3"/>
        </w:rPr>
        <w:t> </w:t>
      </w:r>
      <w:r>
        <w:rPr>
          <w:spacing w:val="-2"/>
        </w:rPr>
        <w:t>Consolidated</w:t>
      </w:r>
      <w:r>
        <w:rPr>
          <w:spacing w:val="-3"/>
        </w:rPr>
        <w:t> </w:t>
      </w:r>
      <w:r>
        <w:rPr>
          <w:spacing w:val="-2"/>
        </w:rPr>
        <w:t>Statements</w:t>
      </w:r>
      <w:r>
        <w:rPr>
          <w:spacing w:val="-3"/>
        </w:rPr>
        <w:t> </w:t>
      </w:r>
      <w:r>
        <w:rPr>
          <w:spacing w:val="-2"/>
        </w:rPr>
        <w:t>of</w:t>
      </w:r>
      <w:r>
        <w:rPr>
          <w:spacing w:val="-3"/>
        </w:rPr>
        <w:t> </w:t>
      </w:r>
      <w:r>
        <w:rPr>
          <w:spacing w:val="-2"/>
        </w:rPr>
        <w:t>Income,</w:t>
      </w:r>
      <w:r>
        <w:rPr>
          <w:spacing w:val="-3"/>
        </w:rPr>
        <w:t> </w:t>
      </w:r>
      <w:r>
        <w:rPr>
          <w:spacing w:val="-2"/>
        </w:rPr>
        <w:t>was</w:t>
      </w:r>
      <w:r>
        <w:rPr>
          <w:spacing w:val="-3"/>
        </w:rPr>
        <w:t> </w:t>
      </w:r>
      <w:r>
        <w:rPr>
          <w:spacing w:val="-2"/>
        </w:rPr>
        <w:t>approximately</w:t>
      </w:r>
      <w:r>
        <w:rPr>
          <w:spacing w:val="-3"/>
        </w:rPr>
        <w:t> </w:t>
      </w:r>
      <w:r>
        <w:rPr>
          <w:spacing w:val="-2"/>
        </w:rPr>
        <w:t>$100.9</w:t>
      </w:r>
      <w:r>
        <w:rPr>
          <w:spacing w:val="-3"/>
        </w:rPr>
        <w:t> </w:t>
      </w:r>
      <w:r>
        <w:rPr>
          <w:spacing w:val="-2"/>
        </w:rPr>
        <w:t>million,</w:t>
      </w:r>
      <w:r>
        <w:rPr>
          <w:spacing w:val="-3"/>
        </w:rPr>
        <w:t> </w:t>
      </w:r>
      <w:r>
        <w:rPr>
          <w:spacing w:val="-2"/>
        </w:rPr>
        <w:t>$79.8</w:t>
      </w:r>
      <w:r>
        <w:rPr>
          <w:spacing w:val="-3"/>
        </w:rPr>
        <w:t> </w:t>
      </w:r>
      <w:r>
        <w:rPr>
          <w:spacing w:val="-2"/>
        </w:rPr>
        <w:t>million</w:t>
      </w:r>
      <w:r>
        <w:rPr>
          <w:spacing w:val="-4"/>
        </w:rPr>
        <w:t> </w:t>
      </w:r>
      <w:r>
        <w:rPr>
          <w:spacing w:val="-2"/>
        </w:rPr>
        <w:t>and</w:t>
      </w:r>
      <w:r>
        <w:rPr>
          <w:spacing w:val="-3"/>
        </w:rPr>
        <w:t> </w:t>
      </w:r>
      <w:r>
        <w:rPr>
          <w:spacing w:val="-2"/>
        </w:rPr>
        <w:t>$62.3</w:t>
      </w:r>
      <w:r>
        <w:rPr>
          <w:spacing w:val="-3"/>
        </w:rPr>
        <w:t> </w:t>
      </w:r>
      <w:r>
        <w:rPr>
          <w:spacing w:val="-2"/>
        </w:rPr>
        <w:t>million</w:t>
      </w:r>
      <w:r>
        <w:rPr>
          <w:spacing w:val="-3"/>
        </w:rPr>
        <w:t> </w:t>
      </w:r>
      <w:r>
        <w:rPr>
          <w:spacing w:val="-2"/>
        </w:rPr>
        <w:t>in</w:t>
      </w:r>
      <w:r>
        <w:rPr>
          <w:spacing w:val="-3"/>
        </w:rPr>
        <w:t> </w:t>
      </w:r>
      <w:r>
        <w:rPr>
          <w:spacing w:val="-2"/>
        </w:rPr>
        <w:t>fiscal </w:t>
      </w:r>
      <w:r>
        <w:rPr/>
        <w:t>2017, 2016 and 2015, respectively.</w:t>
      </w:r>
    </w:p>
    <w:p>
      <w:pPr>
        <w:spacing w:before="204"/>
        <w:ind w:left="210" w:right="0" w:firstLine="0"/>
        <w:jc w:val="left"/>
        <w:rPr>
          <w:i/>
          <w:sz w:val="20"/>
        </w:rPr>
      </w:pPr>
      <w:r>
        <w:rPr>
          <w:i/>
          <w:spacing w:val="-2"/>
          <w:sz w:val="20"/>
        </w:rPr>
        <w:t>Indemnifications</w:t>
      </w:r>
    </w:p>
    <w:p>
      <w:pPr>
        <w:pStyle w:val="BodyText"/>
        <w:spacing w:line="249" w:lineRule="auto" w:before="210"/>
        <w:ind w:left="210" w:right="247" w:firstLine="540"/>
        <w:jc w:val="both"/>
      </w:pPr>
      <w:r>
        <w:rPr/>
        <w:t>In</w:t>
      </w:r>
      <w:r>
        <w:rPr>
          <w:spacing w:val="-13"/>
        </w:rPr>
        <w:t> </w:t>
      </w:r>
      <w:r>
        <w:rPr/>
        <w:t>the</w:t>
      </w:r>
      <w:r>
        <w:rPr>
          <w:spacing w:val="-12"/>
        </w:rPr>
        <w:t> </w:t>
      </w:r>
      <w:r>
        <w:rPr/>
        <w:t>ordinary</w:t>
      </w:r>
      <w:r>
        <w:rPr>
          <w:spacing w:val="-12"/>
        </w:rPr>
        <w:t> </w:t>
      </w:r>
      <w:r>
        <w:rPr/>
        <w:t>course</w:t>
      </w:r>
      <w:r>
        <w:rPr>
          <w:spacing w:val="-12"/>
        </w:rPr>
        <w:t> </w:t>
      </w:r>
      <w:r>
        <w:rPr/>
        <w:t>of</w:t>
      </w:r>
      <w:r>
        <w:rPr>
          <w:spacing w:val="-12"/>
        </w:rPr>
        <w:t> </w:t>
      </w:r>
      <w:r>
        <w:rPr/>
        <w:t>business,</w:t>
      </w:r>
      <w:r>
        <w:rPr>
          <w:spacing w:val="-12"/>
        </w:rPr>
        <w:t> </w:t>
      </w:r>
      <w:r>
        <w:rPr/>
        <w:t>we</w:t>
      </w:r>
      <w:r>
        <w:rPr>
          <w:spacing w:val="-12"/>
        </w:rPr>
        <w:t> </w:t>
      </w:r>
      <w:r>
        <w:rPr/>
        <w:t>provide</w:t>
      </w:r>
      <w:r>
        <w:rPr>
          <w:spacing w:val="-13"/>
        </w:rPr>
        <w:t> </w:t>
      </w:r>
      <w:r>
        <w:rPr/>
        <w:t>indemnifications</w:t>
      </w:r>
      <w:r>
        <w:rPr>
          <w:spacing w:val="-12"/>
        </w:rPr>
        <w:t> </w:t>
      </w:r>
      <w:r>
        <w:rPr/>
        <w:t>of</w:t>
      </w:r>
      <w:r>
        <w:rPr>
          <w:spacing w:val="-12"/>
        </w:rPr>
        <w:t> </w:t>
      </w:r>
      <w:r>
        <w:rPr/>
        <w:t>varying</w:t>
      </w:r>
      <w:r>
        <w:rPr>
          <w:spacing w:val="-12"/>
        </w:rPr>
        <w:t> </w:t>
      </w:r>
      <w:r>
        <w:rPr/>
        <w:t>scope</w:t>
      </w:r>
      <w:r>
        <w:rPr>
          <w:spacing w:val="-12"/>
        </w:rPr>
        <w:t> </w:t>
      </w:r>
      <w:r>
        <w:rPr/>
        <w:t>to</w:t>
      </w:r>
      <w:r>
        <w:rPr>
          <w:spacing w:val="-12"/>
        </w:rPr>
        <w:t> </w:t>
      </w:r>
      <w:r>
        <w:rPr/>
        <w:t>customers</w:t>
      </w:r>
      <w:r>
        <w:rPr>
          <w:spacing w:val="-12"/>
        </w:rPr>
        <w:t> </w:t>
      </w:r>
      <w:r>
        <w:rPr/>
        <w:t>against</w:t>
      </w:r>
      <w:r>
        <w:rPr>
          <w:spacing w:val="-12"/>
        </w:rPr>
        <w:t> </w:t>
      </w:r>
      <w:r>
        <w:rPr/>
        <w:t>claims</w:t>
      </w:r>
      <w:r>
        <w:rPr>
          <w:spacing w:val="-12"/>
        </w:rPr>
        <w:t> </w:t>
      </w:r>
      <w:r>
        <w:rPr/>
        <w:t>of</w:t>
      </w:r>
      <w:r>
        <w:rPr>
          <w:spacing w:val="-12"/>
        </w:rPr>
        <w:t> </w:t>
      </w:r>
      <w:r>
        <w:rPr/>
        <w:t>intellectual property</w:t>
      </w:r>
      <w:r>
        <w:rPr>
          <w:spacing w:val="-1"/>
        </w:rPr>
        <w:t> </w:t>
      </w:r>
      <w:r>
        <w:rPr/>
        <w:t>infringement</w:t>
      </w:r>
      <w:r>
        <w:rPr>
          <w:spacing w:val="-2"/>
        </w:rPr>
        <w:t> </w:t>
      </w:r>
      <w:r>
        <w:rPr/>
        <w:t>made</w:t>
      </w:r>
      <w:r>
        <w:rPr>
          <w:spacing w:val="-1"/>
        </w:rPr>
        <w:t> </w:t>
      </w:r>
      <w:r>
        <w:rPr/>
        <w:t>by</w:t>
      </w:r>
      <w:r>
        <w:rPr>
          <w:spacing w:val="-1"/>
        </w:rPr>
        <w:t> </w:t>
      </w:r>
      <w:r>
        <w:rPr/>
        <w:t>third</w:t>
      </w:r>
      <w:r>
        <w:rPr>
          <w:spacing w:val="-1"/>
        </w:rPr>
        <w:t> </w:t>
      </w:r>
      <w:r>
        <w:rPr/>
        <w:t>parties</w:t>
      </w:r>
      <w:r>
        <w:rPr>
          <w:spacing w:val="-1"/>
        </w:rPr>
        <w:t> </w:t>
      </w:r>
      <w:r>
        <w:rPr/>
        <w:t>arising</w:t>
      </w:r>
      <w:r>
        <w:rPr>
          <w:spacing w:val="-1"/>
        </w:rPr>
        <w:t> </w:t>
      </w:r>
      <w:r>
        <w:rPr/>
        <w:t>from</w:t>
      </w:r>
      <w:r>
        <w:rPr>
          <w:spacing w:val="-2"/>
        </w:rPr>
        <w:t> </w:t>
      </w:r>
      <w:r>
        <w:rPr/>
        <w:t>the</w:t>
      </w:r>
      <w:r>
        <w:rPr>
          <w:spacing w:val="-1"/>
        </w:rPr>
        <w:t> </w:t>
      </w:r>
      <w:r>
        <w:rPr/>
        <w:t>use</w:t>
      </w:r>
      <w:r>
        <w:rPr>
          <w:spacing w:val="-1"/>
        </w:rPr>
        <w:t> </w:t>
      </w:r>
      <w:r>
        <w:rPr/>
        <w:t>of</w:t>
      </w:r>
      <w:r>
        <w:rPr>
          <w:spacing w:val="-1"/>
        </w:rPr>
        <w:t> </w:t>
      </w:r>
      <w:r>
        <w:rPr/>
        <w:t>our</w:t>
      </w:r>
      <w:r>
        <w:rPr>
          <w:spacing w:val="-1"/>
        </w:rPr>
        <w:t> </w:t>
      </w:r>
      <w:r>
        <w:rPr/>
        <w:t>products</w:t>
      </w:r>
      <w:r>
        <w:rPr>
          <w:spacing w:val="-1"/>
        </w:rPr>
        <w:t> </w:t>
      </w:r>
      <w:r>
        <w:rPr/>
        <w:t>and</w:t>
      </w:r>
      <w:r>
        <w:rPr>
          <w:spacing w:val="-1"/>
        </w:rPr>
        <w:t> </w:t>
      </w:r>
      <w:r>
        <w:rPr/>
        <w:t>from</w:t>
      </w:r>
      <w:r>
        <w:rPr>
          <w:spacing w:val="-2"/>
        </w:rPr>
        <w:t> </w:t>
      </w:r>
      <w:r>
        <w:rPr/>
        <w:t>time</w:t>
      </w:r>
      <w:r>
        <w:rPr>
          <w:spacing w:val="-1"/>
        </w:rPr>
        <w:t> </w:t>
      </w:r>
      <w:r>
        <w:rPr/>
        <w:t>to</w:t>
      </w:r>
      <w:r>
        <w:rPr>
          <w:spacing w:val="-1"/>
        </w:rPr>
        <w:t> </w:t>
      </w:r>
      <w:r>
        <w:rPr/>
        <w:t>time,</w:t>
      </w:r>
      <w:r>
        <w:rPr>
          <w:spacing w:val="-1"/>
        </w:rPr>
        <w:t> </w:t>
      </w:r>
      <w:r>
        <w:rPr/>
        <w:t>we</w:t>
      </w:r>
      <w:r>
        <w:rPr>
          <w:spacing w:val="-1"/>
        </w:rPr>
        <w:t> </w:t>
      </w:r>
      <w:r>
        <w:rPr/>
        <w:t>are</w:t>
      </w:r>
      <w:r>
        <w:rPr>
          <w:spacing w:val="-1"/>
        </w:rPr>
        <w:t> </w:t>
      </w:r>
      <w:r>
        <w:rPr/>
        <w:t>subject</w:t>
      </w:r>
      <w:r>
        <w:rPr>
          <w:spacing w:val="-2"/>
        </w:rPr>
        <w:t> </w:t>
      </w:r>
      <w:r>
        <w:rPr/>
        <w:t>to</w:t>
      </w:r>
      <w:r>
        <w:rPr>
          <w:spacing w:val="-1"/>
        </w:rPr>
        <w:t> </w:t>
      </w:r>
      <w:r>
        <w:rPr/>
        <w:t>claims by</w:t>
      </w:r>
      <w:r>
        <w:rPr>
          <w:spacing w:val="-4"/>
        </w:rPr>
        <w:t> </w:t>
      </w:r>
      <w:r>
        <w:rPr/>
        <w:t>our</w:t>
      </w:r>
      <w:r>
        <w:rPr>
          <w:spacing w:val="-4"/>
        </w:rPr>
        <w:t> </w:t>
      </w:r>
      <w:r>
        <w:rPr/>
        <w:t>customers</w:t>
      </w:r>
      <w:r>
        <w:rPr>
          <w:spacing w:val="-4"/>
        </w:rPr>
        <w:t> </w:t>
      </w:r>
      <w:r>
        <w:rPr/>
        <w:t>under</w:t>
      </w:r>
      <w:r>
        <w:rPr>
          <w:spacing w:val="-4"/>
        </w:rPr>
        <w:t> </w:t>
      </w:r>
      <w:r>
        <w:rPr/>
        <w:t>these</w:t>
      </w:r>
      <w:r>
        <w:rPr>
          <w:spacing w:val="-4"/>
        </w:rPr>
        <w:t> </w:t>
      </w:r>
      <w:r>
        <w:rPr/>
        <w:t>indemnification</w:t>
      </w:r>
      <w:r>
        <w:rPr>
          <w:spacing w:val="-4"/>
        </w:rPr>
        <w:t> </w:t>
      </w:r>
      <w:r>
        <w:rPr/>
        <w:t>provisions.</w:t>
      </w:r>
      <w:r>
        <w:rPr>
          <w:spacing w:val="-4"/>
        </w:rPr>
        <w:t> </w:t>
      </w:r>
      <w:r>
        <w:rPr/>
        <w:t>Historically,</w:t>
      </w:r>
      <w:r>
        <w:rPr>
          <w:spacing w:val="-4"/>
        </w:rPr>
        <w:t> </w:t>
      </w:r>
      <w:r>
        <w:rPr/>
        <w:t>costs</w:t>
      </w:r>
      <w:r>
        <w:rPr>
          <w:spacing w:val="-4"/>
        </w:rPr>
        <w:t> </w:t>
      </w:r>
      <w:r>
        <w:rPr/>
        <w:t>related</w:t>
      </w:r>
      <w:r>
        <w:rPr>
          <w:spacing w:val="-4"/>
        </w:rPr>
        <w:t> </w:t>
      </w:r>
      <w:r>
        <w:rPr/>
        <w:t>to</w:t>
      </w:r>
      <w:r>
        <w:rPr>
          <w:spacing w:val="-4"/>
        </w:rPr>
        <w:t> </w:t>
      </w:r>
      <w:r>
        <w:rPr/>
        <w:t>these</w:t>
      </w:r>
      <w:r>
        <w:rPr>
          <w:spacing w:val="-4"/>
        </w:rPr>
        <w:t> </w:t>
      </w:r>
      <w:r>
        <w:rPr/>
        <w:t>indemnification</w:t>
      </w:r>
      <w:r>
        <w:rPr>
          <w:spacing w:val="-4"/>
        </w:rPr>
        <w:t> </w:t>
      </w:r>
      <w:r>
        <w:rPr/>
        <w:t>provisions</w:t>
      </w:r>
      <w:r>
        <w:rPr>
          <w:spacing w:val="-4"/>
        </w:rPr>
        <w:t> </w:t>
      </w:r>
      <w:r>
        <w:rPr/>
        <w:t>have</w:t>
      </w:r>
      <w:r>
        <w:rPr>
          <w:spacing w:val="-4"/>
        </w:rPr>
        <w:t> </w:t>
      </w:r>
      <w:r>
        <w:rPr/>
        <w:t>not been significant and we are unable to estimate the maximum potential impact of these indemnification provisions on our future results of operations.</w:t>
      </w:r>
    </w:p>
    <w:p>
      <w:pPr>
        <w:pStyle w:val="BodyText"/>
        <w:spacing w:line="249" w:lineRule="auto" w:before="204"/>
        <w:ind w:left="210" w:right="247" w:firstLine="540"/>
        <w:jc w:val="both"/>
      </w:pPr>
      <w:r>
        <w:rPr/>
        <w:t>To the extent permitted under Delaware law, we have agreements whereby we indemnify our officers and directors for certain events or occurrences while the officer or director is or was serving at our request in such capacity.</w:t>
      </w:r>
      <w:r>
        <w:rPr>
          <w:spacing w:val="-3"/>
        </w:rPr>
        <w:t> </w:t>
      </w:r>
      <w:r>
        <w:rPr/>
        <w:t>The indemnification period covers all pertinent events and occurrences during the officer’s or director’s lifetime.</w:t>
      </w:r>
      <w:r>
        <w:rPr>
          <w:spacing w:val="-2"/>
        </w:rPr>
        <w:t> </w:t>
      </w:r>
      <w:r>
        <w:rPr/>
        <w:t>The maximum potential amount of future payments we could be required to make under these indemnification agreements is unlimited; however, we have director and officer insurance coverage that reduces our exposure and enables us to recover a portion of any future amounts paid. We believe the estimated fair value of these indemnification agreements in excess of applicable insurance coverage is minimal.</w:t>
      </w:r>
    </w:p>
    <w:p>
      <w:pPr>
        <w:spacing w:before="205"/>
        <w:ind w:left="210" w:right="0" w:firstLine="0"/>
        <w:jc w:val="left"/>
        <w:rPr>
          <w:i/>
          <w:sz w:val="20"/>
        </w:rPr>
      </w:pPr>
      <w:r>
        <w:rPr>
          <w:i/>
          <w:sz w:val="20"/>
        </w:rPr>
        <w:t>Legal</w:t>
      </w:r>
      <w:r>
        <w:rPr>
          <w:i/>
          <w:spacing w:val="-1"/>
          <w:sz w:val="20"/>
        </w:rPr>
        <w:t> </w:t>
      </w:r>
      <w:r>
        <w:rPr>
          <w:i/>
          <w:spacing w:val="-2"/>
          <w:sz w:val="20"/>
        </w:rPr>
        <w:t>Proceedings</w:t>
      </w:r>
    </w:p>
    <w:p>
      <w:pPr>
        <w:pStyle w:val="BodyText"/>
        <w:spacing w:line="249" w:lineRule="auto" w:before="210"/>
        <w:ind w:left="210" w:right="247" w:firstLine="540"/>
        <w:jc w:val="both"/>
      </w:pPr>
      <w:r>
        <w:rPr>
          <w:spacing w:val="-2"/>
        </w:rPr>
        <w:t>In</w:t>
      </w:r>
      <w:r>
        <w:rPr>
          <w:spacing w:val="-11"/>
        </w:rPr>
        <w:t> </w:t>
      </w:r>
      <w:r>
        <w:rPr>
          <w:spacing w:val="-2"/>
        </w:rPr>
        <w:t>connection</w:t>
      </w:r>
      <w:r>
        <w:rPr>
          <w:spacing w:val="-10"/>
        </w:rPr>
        <w:t> </w:t>
      </w:r>
      <w:r>
        <w:rPr>
          <w:spacing w:val="-2"/>
        </w:rPr>
        <w:t>with</w:t>
      </w:r>
      <w:r>
        <w:rPr>
          <w:spacing w:val="-11"/>
        </w:rPr>
        <w:t> </w:t>
      </w:r>
      <w:r>
        <w:rPr>
          <w:spacing w:val="-2"/>
        </w:rPr>
        <w:t>disputes</w:t>
      </w:r>
      <w:r>
        <w:rPr>
          <w:spacing w:val="-10"/>
        </w:rPr>
        <w:t> </w:t>
      </w:r>
      <w:r>
        <w:rPr>
          <w:spacing w:val="-2"/>
        </w:rPr>
        <w:t>relating</w:t>
      </w:r>
      <w:r>
        <w:rPr>
          <w:spacing w:val="-11"/>
        </w:rPr>
        <w:t> </w:t>
      </w:r>
      <w:r>
        <w:rPr>
          <w:spacing w:val="-2"/>
        </w:rPr>
        <w:t>to</w:t>
      </w:r>
      <w:r>
        <w:rPr>
          <w:spacing w:val="-10"/>
        </w:rPr>
        <w:t> </w:t>
      </w:r>
      <w:r>
        <w:rPr>
          <w:spacing w:val="-2"/>
        </w:rPr>
        <w:t>the</w:t>
      </w:r>
      <w:r>
        <w:rPr>
          <w:spacing w:val="-11"/>
        </w:rPr>
        <w:t> </w:t>
      </w:r>
      <w:r>
        <w:rPr>
          <w:spacing w:val="-2"/>
        </w:rPr>
        <w:t>validity</w:t>
      </w:r>
      <w:r>
        <w:rPr>
          <w:spacing w:val="-10"/>
        </w:rPr>
        <w:t> </w:t>
      </w:r>
      <w:r>
        <w:rPr>
          <w:spacing w:val="-2"/>
        </w:rPr>
        <w:t>or</w:t>
      </w:r>
      <w:r>
        <w:rPr>
          <w:spacing w:val="-11"/>
        </w:rPr>
        <w:t> </w:t>
      </w:r>
      <w:r>
        <w:rPr>
          <w:spacing w:val="-2"/>
        </w:rPr>
        <w:t>alleged</w:t>
      </w:r>
      <w:r>
        <w:rPr>
          <w:spacing w:val="-10"/>
        </w:rPr>
        <w:t> </w:t>
      </w:r>
      <w:r>
        <w:rPr>
          <w:spacing w:val="-2"/>
        </w:rPr>
        <w:t>infringement</w:t>
      </w:r>
      <w:r>
        <w:rPr>
          <w:spacing w:val="-11"/>
        </w:rPr>
        <w:t> </w:t>
      </w:r>
      <w:r>
        <w:rPr>
          <w:spacing w:val="-2"/>
        </w:rPr>
        <w:t>of</w:t>
      </w:r>
      <w:r>
        <w:rPr>
          <w:spacing w:val="-10"/>
        </w:rPr>
        <w:t> </w:t>
      </w:r>
      <w:r>
        <w:rPr>
          <w:spacing w:val="-2"/>
        </w:rPr>
        <w:t>third-party</w:t>
      </w:r>
      <w:r>
        <w:rPr>
          <w:spacing w:val="-11"/>
        </w:rPr>
        <w:t> </w:t>
      </w:r>
      <w:r>
        <w:rPr>
          <w:spacing w:val="-2"/>
        </w:rPr>
        <w:t>intellectual</w:t>
      </w:r>
      <w:r>
        <w:rPr>
          <w:spacing w:val="-10"/>
        </w:rPr>
        <w:t> </w:t>
      </w:r>
      <w:r>
        <w:rPr>
          <w:spacing w:val="-2"/>
        </w:rPr>
        <w:t>property</w:t>
      </w:r>
      <w:r>
        <w:rPr>
          <w:spacing w:val="-11"/>
        </w:rPr>
        <w:t> </w:t>
      </w:r>
      <w:r>
        <w:rPr>
          <w:spacing w:val="-2"/>
        </w:rPr>
        <w:t>rights,</w:t>
      </w:r>
      <w:r>
        <w:rPr>
          <w:spacing w:val="-10"/>
        </w:rPr>
        <w:t> </w:t>
      </w:r>
      <w:r>
        <w:rPr>
          <w:spacing w:val="-2"/>
        </w:rPr>
        <w:t>including </w:t>
      </w:r>
      <w:r>
        <w:rPr/>
        <w:t>patent</w:t>
      </w:r>
      <w:r>
        <w:rPr>
          <w:spacing w:val="-13"/>
        </w:rPr>
        <w:t> </w:t>
      </w:r>
      <w:r>
        <w:rPr/>
        <w:t>rights,</w:t>
      </w:r>
      <w:r>
        <w:rPr>
          <w:spacing w:val="-11"/>
        </w:rPr>
        <w:t> </w:t>
      </w:r>
      <w:r>
        <w:rPr/>
        <w:t>we</w:t>
      </w:r>
      <w:r>
        <w:rPr>
          <w:spacing w:val="-12"/>
        </w:rPr>
        <w:t> </w:t>
      </w:r>
      <w:r>
        <w:rPr/>
        <w:t>have</w:t>
      </w:r>
      <w:r>
        <w:rPr>
          <w:spacing w:val="-13"/>
        </w:rPr>
        <w:t> </w:t>
      </w:r>
      <w:r>
        <w:rPr/>
        <w:t>been,</w:t>
      </w:r>
      <w:r>
        <w:rPr>
          <w:spacing w:val="-11"/>
        </w:rPr>
        <w:t> </w:t>
      </w:r>
      <w:r>
        <w:rPr/>
        <w:t>are</w:t>
      </w:r>
      <w:r>
        <w:rPr>
          <w:spacing w:val="-12"/>
        </w:rPr>
        <w:t> </w:t>
      </w:r>
      <w:r>
        <w:rPr/>
        <w:t>currently</w:t>
      </w:r>
      <w:r>
        <w:rPr>
          <w:spacing w:val="-12"/>
        </w:rPr>
        <w:t> </w:t>
      </w:r>
      <w:r>
        <w:rPr/>
        <w:t>and</w:t>
      </w:r>
      <w:r>
        <w:rPr>
          <w:spacing w:val="-12"/>
        </w:rPr>
        <w:t> </w:t>
      </w:r>
      <w:r>
        <w:rPr/>
        <w:t>may</w:t>
      </w:r>
      <w:r>
        <w:rPr>
          <w:spacing w:val="-12"/>
        </w:rPr>
        <w:t> </w:t>
      </w:r>
      <w:r>
        <w:rPr/>
        <w:t>in</w:t>
      </w:r>
      <w:r>
        <w:rPr>
          <w:spacing w:val="-12"/>
        </w:rPr>
        <w:t> </w:t>
      </w:r>
      <w:r>
        <w:rPr/>
        <w:t>the</w:t>
      </w:r>
      <w:r>
        <w:rPr>
          <w:spacing w:val="-12"/>
        </w:rPr>
        <w:t> </w:t>
      </w:r>
      <w:r>
        <w:rPr/>
        <w:t>future</w:t>
      </w:r>
      <w:r>
        <w:rPr>
          <w:spacing w:val="-13"/>
        </w:rPr>
        <w:t> </w:t>
      </w:r>
      <w:r>
        <w:rPr/>
        <w:t>be</w:t>
      </w:r>
      <w:r>
        <w:rPr>
          <w:spacing w:val="-11"/>
        </w:rPr>
        <w:t> </w:t>
      </w:r>
      <w:r>
        <w:rPr/>
        <w:t>subject</w:t>
      </w:r>
      <w:r>
        <w:rPr>
          <w:spacing w:val="-13"/>
        </w:rPr>
        <w:t> </w:t>
      </w:r>
      <w:r>
        <w:rPr/>
        <w:t>to</w:t>
      </w:r>
      <w:r>
        <w:rPr>
          <w:spacing w:val="-12"/>
        </w:rPr>
        <w:t> </w:t>
      </w:r>
      <w:r>
        <w:rPr/>
        <w:t>claims,</w:t>
      </w:r>
      <w:r>
        <w:rPr>
          <w:spacing w:val="-12"/>
        </w:rPr>
        <w:t> </w:t>
      </w:r>
      <w:r>
        <w:rPr/>
        <w:t>negotiations</w:t>
      </w:r>
      <w:r>
        <w:rPr>
          <w:spacing w:val="-12"/>
        </w:rPr>
        <w:t> </w:t>
      </w:r>
      <w:r>
        <w:rPr/>
        <w:t>or</w:t>
      </w:r>
      <w:r>
        <w:rPr>
          <w:spacing w:val="-12"/>
        </w:rPr>
        <w:t> </w:t>
      </w:r>
      <w:r>
        <w:rPr/>
        <w:t>complex,</w:t>
      </w:r>
      <w:r>
        <w:rPr>
          <w:spacing w:val="-12"/>
        </w:rPr>
        <w:t> </w:t>
      </w:r>
      <w:r>
        <w:rPr/>
        <w:t>protracted</w:t>
      </w:r>
      <w:r>
        <w:rPr>
          <w:spacing w:val="-13"/>
        </w:rPr>
        <w:t> </w:t>
      </w:r>
      <w:r>
        <w:rPr/>
        <w:t>litigation. Intellectual property disputes and litigation may be very costly and can be disruptive to our business operations by diverting the attention and energies of management and key technical personnel.</w:t>
      </w:r>
      <w:r>
        <w:rPr>
          <w:spacing w:val="-1"/>
        </w:rPr>
        <w:t> </w:t>
      </w:r>
      <w:r>
        <w:rPr/>
        <w:t>Although we have successfully defended or resolved past </w:t>
      </w:r>
      <w:r>
        <w:rPr>
          <w:spacing w:val="-2"/>
        </w:rPr>
        <w:t>litigation</w:t>
      </w:r>
      <w:r>
        <w:rPr>
          <w:spacing w:val="-9"/>
        </w:rPr>
        <w:t> </w:t>
      </w:r>
      <w:r>
        <w:rPr>
          <w:spacing w:val="-2"/>
        </w:rPr>
        <w:t>and</w:t>
      </w:r>
      <w:r>
        <w:rPr>
          <w:spacing w:val="-9"/>
        </w:rPr>
        <w:t> </w:t>
      </w:r>
      <w:r>
        <w:rPr>
          <w:spacing w:val="-2"/>
        </w:rPr>
        <w:t>disputes,</w:t>
      </w:r>
      <w:r>
        <w:rPr>
          <w:spacing w:val="-9"/>
        </w:rPr>
        <w:t> </w:t>
      </w:r>
      <w:r>
        <w:rPr>
          <w:spacing w:val="-2"/>
        </w:rPr>
        <w:t>we</w:t>
      </w:r>
      <w:r>
        <w:rPr>
          <w:spacing w:val="-9"/>
        </w:rPr>
        <w:t> </w:t>
      </w:r>
      <w:r>
        <w:rPr>
          <w:spacing w:val="-2"/>
        </w:rPr>
        <w:t>may</w:t>
      </w:r>
      <w:r>
        <w:rPr>
          <w:spacing w:val="-9"/>
        </w:rPr>
        <w:t> </w:t>
      </w:r>
      <w:r>
        <w:rPr>
          <w:spacing w:val="-2"/>
        </w:rPr>
        <w:t>not</w:t>
      </w:r>
      <w:r>
        <w:rPr>
          <w:spacing w:val="-9"/>
        </w:rPr>
        <w:t> </w:t>
      </w:r>
      <w:r>
        <w:rPr>
          <w:spacing w:val="-2"/>
        </w:rPr>
        <w:t>prevail</w:t>
      </w:r>
      <w:r>
        <w:rPr>
          <w:spacing w:val="-9"/>
        </w:rPr>
        <w:t> </w:t>
      </w:r>
      <w:r>
        <w:rPr>
          <w:spacing w:val="-2"/>
        </w:rPr>
        <w:t>in</w:t>
      </w:r>
      <w:r>
        <w:rPr>
          <w:spacing w:val="-9"/>
        </w:rPr>
        <w:t> </w:t>
      </w:r>
      <w:r>
        <w:rPr>
          <w:spacing w:val="-2"/>
        </w:rPr>
        <w:t>any</w:t>
      </w:r>
      <w:r>
        <w:rPr>
          <w:spacing w:val="-9"/>
        </w:rPr>
        <w:t> </w:t>
      </w:r>
      <w:r>
        <w:rPr>
          <w:spacing w:val="-2"/>
        </w:rPr>
        <w:t>ongoing</w:t>
      </w:r>
      <w:r>
        <w:rPr>
          <w:spacing w:val="-9"/>
        </w:rPr>
        <w:t> </w:t>
      </w:r>
      <w:r>
        <w:rPr>
          <w:spacing w:val="-2"/>
        </w:rPr>
        <w:t>or</w:t>
      </w:r>
      <w:r>
        <w:rPr>
          <w:spacing w:val="-9"/>
        </w:rPr>
        <w:t> </w:t>
      </w:r>
      <w:r>
        <w:rPr>
          <w:spacing w:val="-2"/>
        </w:rPr>
        <w:t>future</w:t>
      </w:r>
      <w:r>
        <w:rPr>
          <w:spacing w:val="-9"/>
        </w:rPr>
        <w:t> </w:t>
      </w:r>
      <w:r>
        <w:rPr>
          <w:spacing w:val="-2"/>
        </w:rPr>
        <w:t>litigation</w:t>
      </w:r>
      <w:r>
        <w:rPr>
          <w:spacing w:val="-9"/>
        </w:rPr>
        <w:t> </w:t>
      </w:r>
      <w:r>
        <w:rPr>
          <w:spacing w:val="-2"/>
        </w:rPr>
        <w:t>and</w:t>
      </w:r>
      <w:r>
        <w:rPr>
          <w:spacing w:val="-9"/>
        </w:rPr>
        <w:t> </w:t>
      </w:r>
      <w:r>
        <w:rPr>
          <w:spacing w:val="-2"/>
        </w:rPr>
        <w:t>disputes.</w:t>
      </w:r>
      <w:r>
        <w:rPr>
          <w:spacing w:val="-11"/>
        </w:rPr>
        <w:t> </w:t>
      </w:r>
      <w:r>
        <w:rPr>
          <w:spacing w:val="-2"/>
        </w:rPr>
        <w:t>Third-party</w:t>
      </w:r>
      <w:r>
        <w:rPr>
          <w:spacing w:val="-8"/>
        </w:rPr>
        <w:t> </w:t>
      </w:r>
      <w:r>
        <w:rPr>
          <w:spacing w:val="-2"/>
        </w:rPr>
        <w:t>intellectual</w:t>
      </w:r>
      <w:r>
        <w:rPr>
          <w:spacing w:val="-9"/>
        </w:rPr>
        <w:t> </w:t>
      </w:r>
      <w:r>
        <w:rPr>
          <w:spacing w:val="-2"/>
        </w:rPr>
        <w:t>property</w:t>
      </w:r>
      <w:r>
        <w:rPr>
          <w:spacing w:val="-9"/>
        </w:rPr>
        <w:t> </w:t>
      </w:r>
      <w:r>
        <w:rPr>
          <w:spacing w:val="-2"/>
        </w:rPr>
        <w:t>disputes </w:t>
      </w:r>
      <w:r>
        <w:rPr/>
        <w:t>could</w:t>
      </w:r>
      <w:r>
        <w:rPr>
          <w:spacing w:val="-10"/>
        </w:rPr>
        <w:t> </w:t>
      </w:r>
      <w:r>
        <w:rPr/>
        <w:t>subject</w:t>
      </w:r>
      <w:r>
        <w:rPr>
          <w:spacing w:val="-10"/>
        </w:rPr>
        <w:t> </w:t>
      </w:r>
      <w:r>
        <w:rPr/>
        <w:t>us</w:t>
      </w:r>
      <w:r>
        <w:rPr>
          <w:spacing w:val="-10"/>
        </w:rPr>
        <w:t> </w:t>
      </w:r>
      <w:r>
        <w:rPr/>
        <w:t>to</w:t>
      </w:r>
      <w:r>
        <w:rPr>
          <w:spacing w:val="-10"/>
        </w:rPr>
        <w:t> </w:t>
      </w:r>
      <w:r>
        <w:rPr/>
        <w:t>significant</w:t>
      </w:r>
      <w:r>
        <w:rPr>
          <w:spacing w:val="-10"/>
        </w:rPr>
        <w:t> </w:t>
      </w:r>
      <w:r>
        <w:rPr/>
        <w:t>liabilities,</w:t>
      </w:r>
      <w:r>
        <w:rPr>
          <w:spacing w:val="-10"/>
        </w:rPr>
        <w:t> </w:t>
      </w:r>
      <w:r>
        <w:rPr/>
        <w:t>require</w:t>
      </w:r>
      <w:r>
        <w:rPr>
          <w:spacing w:val="-10"/>
        </w:rPr>
        <w:t> </w:t>
      </w:r>
      <w:r>
        <w:rPr/>
        <w:t>us</w:t>
      </w:r>
      <w:r>
        <w:rPr>
          <w:spacing w:val="-10"/>
        </w:rPr>
        <w:t> </w:t>
      </w:r>
      <w:r>
        <w:rPr/>
        <w:t>to</w:t>
      </w:r>
      <w:r>
        <w:rPr>
          <w:spacing w:val="-10"/>
        </w:rPr>
        <w:t> </w:t>
      </w:r>
      <w:r>
        <w:rPr/>
        <w:t>enter</w:t>
      </w:r>
      <w:r>
        <w:rPr>
          <w:spacing w:val="-10"/>
        </w:rPr>
        <w:t> </w:t>
      </w:r>
      <w:r>
        <w:rPr/>
        <w:t>into</w:t>
      </w:r>
      <w:r>
        <w:rPr>
          <w:spacing w:val="-10"/>
        </w:rPr>
        <w:t> </w:t>
      </w:r>
      <w:r>
        <w:rPr/>
        <w:t>royalty</w:t>
      </w:r>
      <w:r>
        <w:rPr>
          <w:spacing w:val="-10"/>
        </w:rPr>
        <w:t> </w:t>
      </w:r>
      <w:r>
        <w:rPr/>
        <w:t>and</w:t>
      </w:r>
      <w:r>
        <w:rPr>
          <w:spacing w:val="-10"/>
        </w:rPr>
        <w:t> </w:t>
      </w:r>
      <w:r>
        <w:rPr/>
        <w:t>licensing</w:t>
      </w:r>
      <w:r>
        <w:rPr>
          <w:spacing w:val="-10"/>
        </w:rPr>
        <w:t> </w:t>
      </w:r>
      <w:r>
        <w:rPr/>
        <w:t>arrangements</w:t>
      </w:r>
      <w:r>
        <w:rPr>
          <w:spacing w:val="-10"/>
        </w:rPr>
        <w:t> </w:t>
      </w:r>
      <w:r>
        <w:rPr/>
        <w:t>on</w:t>
      </w:r>
      <w:r>
        <w:rPr>
          <w:spacing w:val="-10"/>
        </w:rPr>
        <w:t> </w:t>
      </w:r>
      <w:r>
        <w:rPr/>
        <w:t>unfavorable</w:t>
      </w:r>
      <w:r>
        <w:rPr>
          <w:spacing w:val="-10"/>
        </w:rPr>
        <w:t> </w:t>
      </w:r>
      <w:r>
        <w:rPr/>
        <w:t>terms,</w:t>
      </w:r>
      <w:r>
        <w:rPr>
          <w:spacing w:val="-10"/>
        </w:rPr>
        <w:t> </w:t>
      </w:r>
      <w:r>
        <w:rPr/>
        <w:t>prevent us</w:t>
      </w:r>
      <w:r>
        <w:rPr>
          <w:spacing w:val="-13"/>
        </w:rPr>
        <w:t> </w:t>
      </w:r>
      <w:r>
        <w:rPr/>
        <w:t>from</w:t>
      </w:r>
      <w:r>
        <w:rPr>
          <w:spacing w:val="-13"/>
        </w:rPr>
        <w:t> </w:t>
      </w:r>
      <w:r>
        <w:rPr/>
        <w:t>licensing</w:t>
      </w:r>
      <w:r>
        <w:rPr>
          <w:spacing w:val="-13"/>
        </w:rPr>
        <w:t> </w:t>
      </w:r>
      <w:r>
        <w:rPr/>
        <w:t>certain</w:t>
      </w:r>
      <w:r>
        <w:rPr>
          <w:spacing w:val="-13"/>
        </w:rPr>
        <w:t> </w:t>
      </w:r>
      <w:r>
        <w:rPr/>
        <w:t>of</w:t>
      </w:r>
      <w:r>
        <w:rPr>
          <w:spacing w:val="-13"/>
        </w:rPr>
        <w:t> </w:t>
      </w:r>
      <w:r>
        <w:rPr/>
        <w:t>our</w:t>
      </w:r>
      <w:r>
        <w:rPr>
          <w:spacing w:val="-13"/>
        </w:rPr>
        <w:t> </w:t>
      </w:r>
      <w:r>
        <w:rPr/>
        <w:t>products</w:t>
      </w:r>
      <w:r>
        <w:rPr>
          <w:spacing w:val="-13"/>
        </w:rPr>
        <w:t> </w:t>
      </w:r>
      <w:r>
        <w:rPr/>
        <w:t>or</w:t>
      </w:r>
      <w:r>
        <w:rPr>
          <w:spacing w:val="-13"/>
        </w:rPr>
        <w:t> </w:t>
      </w:r>
      <w:r>
        <w:rPr/>
        <w:t>offering</w:t>
      </w:r>
      <w:r>
        <w:rPr>
          <w:spacing w:val="-13"/>
        </w:rPr>
        <w:t> </w:t>
      </w:r>
      <w:r>
        <w:rPr/>
        <w:t>certain</w:t>
      </w:r>
      <w:r>
        <w:rPr>
          <w:spacing w:val="-13"/>
        </w:rPr>
        <w:t> </w:t>
      </w:r>
      <w:r>
        <w:rPr/>
        <w:t>of</w:t>
      </w:r>
      <w:r>
        <w:rPr>
          <w:spacing w:val="-12"/>
        </w:rPr>
        <w:t> </w:t>
      </w:r>
      <w:r>
        <w:rPr/>
        <w:t>our</w:t>
      </w:r>
      <w:r>
        <w:rPr>
          <w:spacing w:val="-13"/>
        </w:rPr>
        <w:t> </w:t>
      </w:r>
      <w:r>
        <w:rPr/>
        <w:t>services,</w:t>
      </w:r>
      <w:r>
        <w:rPr>
          <w:spacing w:val="-13"/>
        </w:rPr>
        <w:t> </w:t>
      </w:r>
      <w:r>
        <w:rPr/>
        <w:t>subject</w:t>
      </w:r>
      <w:r>
        <w:rPr>
          <w:spacing w:val="-13"/>
        </w:rPr>
        <w:t> </w:t>
      </w:r>
      <w:r>
        <w:rPr/>
        <w:t>us</w:t>
      </w:r>
      <w:r>
        <w:rPr>
          <w:spacing w:val="-13"/>
        </w:rPr>
        <w:t> </w:t>
      </w:r>
      <w:r>
        <w:rPr/>
        <w:t>to</w:t>
      </w:r>
      <w:r>
        <w:rPr>
          <w:spacing w:val="-13"/>
        </w:rPr>
        <w:t> </w:t>
      </w:r>
      <w:r>
        <w:rPr/>
        <w:t>injunctions</w:t>
      </w:r>
      <w:r>
        <w:rPr>
          <w:spacing w:val="-13"/>
        </w:rPr>
        <w:t> </w:t>
      </w:r>
      <w:r>
        <w:rPr/>
        <w:t>restricting</w:t>
      </w:r>
      <w:r>
        <w:rPr>
          <w:spacing w:val="-13"/>
        </w:rPr>
        <w:t> </w:t>
      </w:r>
      <w:r>
        <w:rPr/>
        <w:t>our</w:t>
      </w:r>
      <w:r>
        <w:rPr>
          <w:spacing w:val="-13"/>
        </w:rPr>
        <w:t> </w:t>
      </w:r>
      <w:r>
        <w:rPr/>
        <w:t>sale</w:t>
      </w:r>
      <w:r>
        <w:rPr>
          <w:spacing w:val="-13"/>
        </w:rPr>
        <w:t> </w:t>
      </w:r>
      <w:r>
        <w:rPr/>
        <w:t>of</w:t>
      </w:r>
      <w:r>
        <w:rPr>
          <w:spacing w:val="-13"/>
        </w:rPr>
        <w:t> </w:t>
      </w:r>
      <w:r>
        <w:rPr/>
        <w:t>products</w:t>
      </w:r>
    </w:p>
    <w:p>
      <w:pPr>
        <w:spacing w:after="0" w:line="249" w:lineRule="auto"/>
        <w:jc w:val="both"/>
        <w:sectPr>
          <w:type w:val="continuous"/>
          <w:pgSz w:w="12240" w:h="15840"/>
          <w:pgMar w:header="210" w:footer="610" w:top="680" w:bottom="280" w:left="780" w:right="740"/>
        </w:sectPr>
      </w:pPr>
    </w:p>
    <w:p>
      <w:pPr>
        <w:pStyle w:val="BodyText"/>
      </w:pPr>
    </w:p>
    <w:p>
      <w:pPr>
        <w:pStyle w:val="BodyText"/>
      </w:pPr>
    </w:p>
    <w:p>
      <w:pPr>
        <w:pStyle w:val="BodyText"/>
        <w:spacing w:before="30"/>
      </w:pPr>
    </w:p>
    <w:p>
      <w:pPr>
        <w:pStyle w:val="BodyText"/>
        <w:spacing w:line="249" w:lineRule="auto"/>
        <w:ind w:left="210"/>
      </w:pPr>
      <w:r>
        <w:rPr/>
        <w:t>or</w:t>
      </w:r>
      <w:r>
        <w:rPr>
          <w:spacing w:val="-13"/>
        </w:rPr>
        <w:t> </w:t>
      </w:r>
      <w:r>
        <w:rPr/>
        <w:t>services,</w:t>
      </w:r>
      <w:r>
        <w:rPr>
          <w:spacing w:val="-12"/>
        </w:rPr>
        <w:t> </w:t>
      </w:r>
      <w:r>
        <w:rPr/>
        <w:t>cause</w:t>
      </w:r>
      <w:r>
        <w:rPr>
          <w:spacing w:val="-13"/>
        </w:rPr>
        <w:t> </w:t>
      </w:r>
      <w:r>
        <w:rPr/>
        <w:t>severe</w:t>
      </w:r>
      <w:r>
        <w:rPr>
          <w:spacing w:val="-12"/>
        </w:rPr>
        <w:t> </w:t>
      </w:r>
      <w:r>
        <w:rPr/>
        <w:t>disruptions</w:t>
      </w:r>
      <w:r>
        <w:rPr>
          <w:spacing w:val="-12"/>
        </w:rPr>
        <w:t> </w:t>
      </w:r>
      <w:r>
        <w:rPr/>
        <w:t>to</w:t>
      </w:r>
      <w:r>
        <w:rPr>
          <w:spacing w:val="-12"/>
        </w:rPr>
        <w:t> </w:t>
      </w:r>
      <w:r>
        <w:rPr/>
        <w:t>our</w:t>
      </w:r>
      <w:r>
        <w:rPr>
          <w:spacing w:val="-13"/>
        </w:rPr>
        <w:t> </w:t>
      </w:r>
      <w:r>
        <w:rPr/>
        <w:t>operations</w:t>
      </w:r>
      <w:r>
        <w:rPr>
          <w:spacing w:val="-12"/>
        </w:rPr>
        <w:t> </w:t>
      </w:r>
      <w:r>
        <w:rPr/>
        <w:t>or</w:t>
      </w:r>
      <w:r>
        <w:rPr>
          <w:spacing w:val="-13"/>
        </w:rPr>
        <w:t> </w:t>
      </w:r>
      <w:r>
        <w:rPr/>
        <w:t>the</w:t>
      </w:r>
      <w:r>
        <w:rPr>
          <w:spacing w:val="-12"/>
        </w:rPr>
        <w:t> </w:t>
      </w:r>
      <w:r>
        <w:rPr/>
        <w:t>markets</w:t>
      </w:r>
      <w:r>
        <w:rPr>
          <w:spacing w:val="-12"/>
        </w:rPr>
        <w:t> </w:t>
      </w:r>
      <w:r>
        <w:rPr/>
        <w:t>in</w:t>
      </w:r>
      <w:r>
        <w:rPr>
          <w:spacing w:val="-12"/>
        </w:rPr>
        <w:t> </w:t>
      </w:r>
      <w:r>
        <w:rPr/>
        <w:t>which</w:t>
      </w:r>
      <w:r>
        <w:rPr>
          <w:spacing w:val="-13"/>
        </w:rPr>
        <w:t> </w:t>
      </w:r>
      <w:r>
        <w:rPr/>
        <w:t>we</w:t>
      </w:r>
      <w:r>
        <w:rPr>
          <w:spacing w:val="-12"/>
        </w:rPr>
        <w:t> </w:t>
      </w:r>
      <w:r>
        <w:rPr/>
        <w:t>compete,</w:t>
      </w:r>
      <w:r>
        <w:rPr>
          <w:spacing w:val="-13"/>
        </w:rPr>
        <w:t> </w:t>
      </w:r>
      <w:r>
        <w:rPr/>
        <w:t>or</w:t>
      </w:r>
      <w:r>
        <w:rPr>
          <w:spacing w:val="-12"/>
        </w:rPr>
        <w:t> </w:t>
      </w:r>
      <w:r>
        <w:rPr/>
        <w:t>require</w:t>
      </w:r>
      <w:r>
        <w:rPr>
          <w:spacing w:val="-13"/>
        </w:rPr>
        <w:t> </w:t>
      </w:r>
      <w:r>
        <w:rPr/>
        <w:t>us</w:t>
      </w:r>
      <w:r>
        <w:rPr>
          <w:spacing w:val="-12"/>
        </w:rPr>
        <w:t> </w:t>
      </w:r>
      <w:r>
        <w:rPr/>
        <w:t>to</w:t>
      </w:r>
      <w:r>
        <w:rPr>
          <w:spacing w:val="-13"/>
        </w:rPr>
        <w:t> </w:t>
      </w:r>
      <w:r>
        <w:rPr/>
        <w:t>satisfy</w:t>
      </w:r>
      <w:r>
        <w:rPr>
          <w:spacing w:val="-12"/>
        </w:rPr>
        <w:t> </w:t>
      </w:r>
      <w:r>
        <w:rPr/>
        <w:t>indemnification commitments with our customers including contractual provisions under various license arrangements and service agreements.</w:t>
      </w:r>
    </w:p>
    <w:p>
      <w:pPr>
        <w:pStyle w:val="BodyText"/>
        <w:spacing w:line="249" w:lineRule="auto" w:before="201"/>
        <w:ind w:left="210" w:right="247" w:firstLine="720"/>
        <w:jc w:val="both"/>
      </w:pPr>
      <w:r>
        <w:rPr/>
        <w:t>In</w:t>
      </w:r>
      <w:r>
        <w:rPr>
          <w:spacing w:val="-12"/>
        </w:rPr>
        <w:t> </w:t>
      </w:r>
      <w:r>
        <w:rPr/>
        <w:t>addition</w:t>
      </w:r>
      <w:r>
        <w:rPr>
          <w:spacing w:val="-12"/>
        </w:rPr>
        <w:t> </w:t>
      </w:r>
      <w:r>
        <w:rPr/>
        <w:t>to</w:t>
      </w:r>
      <w:r>
        <w:rPr>
          <w:spacing w:val="-12"/>
        </w:rPr>
        <w:t> </w:t>
      </w:r>
      <w:r>
        <w:rPr/>
        <w:t>intellectual</w:t>
      </w:r>
      <w:r>
        <w:rPr>
          <w:spacing w:val="-13"/>
        </w:rPr>
        <w:t> </w:t>
      </w:r>
      <w:r>
        <w:rPr/>
        <w:t>property</w:t>
      </w:r>
      <w:r>
        <w:rPr>
          <w:spacing w:val="-12"/>
        </w:rPr>
        <w:t> </w:t>
      </w:r>
      <w:r>
        <w:rPr/>
        <w:t>disputes,</w:t>
      </w:r>
      <w:r>
        <w:rPr>
          <w:spacing w:val="-12"/>
        </w:rPr>
        <w:t> </w:t>
      </w:r>
      <w:r>
        <w:rPr/>
        <w:t>we</w:t>
      </w:r>
      <w:r>
        <w:rPr>
          <w:spacing w:val="-12"/>
        </w:rPr>
        <w:t> </w:t>
      </w:r>
      <w:r>
        <w:rPr/>
        <w:t>are</w:t>
      </w:r>
      <w:r>
        <w:rPr>
          <w:spacing w:val="-12"/>
        </w:rPr>
        <w:t> </w:t>
      </w:r>
      <w:r>
        <w:rPr/>
        <w:t>subject</w:t>
      </w:r>
      <w:r>
        <w:rPr>
          <w:spacing w:val="-12"/>
        </w:rPr>
        <w:t> </w:t>
      </w:r>
      <w:r>
        <w:rPr/>
        <w:t>to</w:t>
      </w:r>
      <w:r>
        <w:rPr>
          <w:spacing w:val="-12"/>
        </w:rPr>
        <w:t> </w:t>
      </w:r>
      <w:r>
        <w:rPr/>
        <w:t>legal</w:t>
      </w:r>
      <w:r>
        <w:rPr>
          <w:spacing w:val="-12"/>
        </w:rPr>
        <w:t> </w:t>
      </w:r>
      <w:r>
        <w:rPr/>
        <w:t>proceedings,</w:t>
      </w:r>
      <w:r>
        <w:rPr>
          <w:spacing w:val="-12"/>
        </w:rPr>
        <w:t> </w:t>
      </w:r>
      <w:r>
        <w:rPr/>
        <w:t>claims</w:t>
      </w:r>
      <w:r>
        <w:rPr>
          <w:spacing w:val="-12"/>
        </w:rPr>
        <w:t> </w:t>
      </w:r>
      <w:r>
        <w:rPr/>
        <w:t>and</w:t>
      </w:r>
      <w:r>
        <w:rPr>
          <w:spacing w:val="-12"/>
        </w:rPr>
        <w:t> </w:t>
      </w:r>
      <w:r>
        <w:rPr/>
        <w:t>investigations</w:t>
      </w:r>
      <w:r>
        <w:rPr>
          <w:spacing w:val="-12"/>
        </w:rPr>
        <w:t> </w:t>
      </w:r>
      <w:r>
        <w:rPr/>
        <w:t>in</w:t>
      </w:r>
      <w:r>
        <w:rPr>
          <w:spacing w:val="-12"/>
        </w:rPr>
        <w:t> </w:t>
      </w:r>
      <w:r>
        <w:rPr/>
        <w:t>the</w:t>
      </w:r>
      <w:r>
        <w:rPr>
          <w:spacing w:val="-12"/>
        </w:rPr>
        <w:t> </w:t>
      </w:r>
      <w:r>
        <w:rPr/>
        <w:t>ordinary course of business, including claims relating to commercial, employment and other matters. Some of these disputes and legal proceedings may include speculative claims for substantial or indeterminate amounts of damages. We consider all claims on a quarterly basis in accordance with GAAP and based on known facts assess whether potential losses are considered reasonably possible, probable and estimable. Based upon this assessment, we then evaluate disclosure requirements and whether to accrue for</w:t>
      </w:r>
      <w:r>
        <w:rPr>
          <w:spacing w:val="-9"/>
        </w:rPr>
        <w:t> </w:t>
      </w:r>
      <w:r>
        <w:rPr/>
        <w:t>such</w:t>
      </w:r>
      <w:r>
        <w:rPr>
          <w:spacing w:val="-6"/>
        </w:rPr>
        <w:t> </w:t>
      </w:r>
      <w:r>
        <w:rPr/>
        <w:t>claims</w:t>
      </w:r>
      <w:r>
        <w:rPr>
          <w:spacing w:val="-6"/>
        </w:rPr>
        <w:t> </w:t>
      </w:r>
      <w:r>
        <w:rPr/>
        <w:t>in</w:t>
      </w:r>
      <w:r>
        <w:rPr>
          <w:spacing w:val="-6"/>
        </w:rPr>
        <w:t> </w:t>
      </w:r>
      <w:r>
        <w:rPr/>
        <w:t>our</w:t>
      </w:r>
      <w:r>
        <w:rPr>
          <w:spacing w:val="-6"/>
        </w:rPr>
        <w:t> </w:t>
      </w:r>
      <w:r>
        <w:rPr/>
        <w:t>financial</w:t>
      </w:r>
      <w:r>
        <w:rPr>
          <w:spacing w:val="-6"/>
        </w:rPr>
        <w:t> </w:t>
      </w:r>
      <w:r>
        <w:rPr/>
        <w:t>statements.</w:t>
      </w:r>
      <w:r>
        <w:rPr>
          <w:spacing w:val="-10"/>
        </w:rPr>
        <w:t> </w:t>
      </w:r>
      <w:r>
        <w:rPr/>
        <w:t>This</w:t>
      </w:r>
      <w:r>
        <w:rPr>
          <w:spacing w:val="-6"/>
        </w:rPr>
        <w:t> </w:t>
      </w:r>
      <w:r>
        <w:rPr/>
        <w:t>determination</w:t>
      </w:r>
      <w:r>
        <w:rPr>
          <w:spacing w:val="-6"/>
        </w:rPr>
        <w:t> </w:t>
      </w:r>
      <w:r>
        <w:rPr/>
        <w:t>is</w:t>
      </w:r>
      <w:r>
        <w:rPr>
          <w:spacing w:val="-6"/>
        </w:rPr>
        <w:t> </w:t>
      </w:r>
      <w:r>
        <w:rPr/>
        <w:t>then</w:t>
      </w:r>
      <w:r>
        <w:rPr>
          <w:spacing w:val="-6"/>
        </w:rPr>
        <w:t> </w:t>
      </w:r>
      <w:r>
        <w:rPr/>
        <w:t>reviewed</w:t>
      </w:r>
      <w:r>
        <w:rPr>
          <w:spacing w:val="-6"/>
        </w:rPr>
        <w:t> </w:t>
      </w:r>
      <w:r>
        <w:rPr/>
        <w:t>and</w:t>
      </w:r>
      <w:r>
        <w:rPr>
          <w:spacing w:val="-6"/>
        </w:rPr>
        <w:t> </w:t>
      </w:r>
      <w:r>
        <w:rPr/>
        <w:t>discussed</w:t>
      </w:r>
      <w:r>
        <w:rPr>
          <w:spacing w:val="-6"/>
        </w:rPr>
        <w:t> </w:t>
      </w:r>
      <w:r>
        <w:rPr/>
        <w:t>with</w:t>
      </w:r>
      <w:r>
        <w:rPr>
          <w:spacing w:val="-6"/>
        </w:rPr>
        <w:t> </w:t>
      </w:r>
      <w:r>
        <w:rPr/>
        <w:t>our</w:t>
      </w:r>
      <w:r>
        <w:rPr>
          <w:spacing w:val="-13"/>
        </w:rPr>
        <w:t> </w:t>
      </w:r>
      <w:r>
        <w:rPr/>
        <w:t>Audit</w:t>
      </w:r>
      <w:r>
        <w:rPr>
          <w:spacing w:val="-6"/>
        </w:rPr>
        <w:t> </w:t>
      </w:r>
      <w:r>
        <w:rPr/>
        <w:t>Committee</w:t>
      </w:r>
      <w:r>
        <w:rPr>
          <w:spacing w:val="-6"/>
        </w:rPr>
        <w:t> </w:t>
      </w:r>
      <w:r>
        <w:rPr/>
        <w:t>and</w:t>
      </w:r>
      <w:r>
        <w:rPr>
          <w:spacing w:val="-6"/>
        </w:rPr>
        <w:t> </w:t>
      </w:r>
      <w:r>
        <w:rPr/>
        <w:t>our independent registered public accounting firm.</w:t>
      </w:r>
    </w:p>
    <w:p>
      <w:pPr>
        <w:pStyle w:val="BodyText"/>
        <w:spacing w:line="249" w:lineRule="auto" w:before="206"/>
        <w:ind w:left="210" w:right="247" w:firstLine="540"/>
        <w:jc w:val="both"/>
      </w:pPr>
      <w:r>
        <w:rPr/>
        <w:t>We</w:t>
      </w:r>
      <w:r>
        <w:rPr>
          <w:spacing w:val="-9"/>
        </w:rPr>
        <w:t> </w:t>
      </w:r>
      <w:r>
        <w:rPr/>
        <w:t>make</w:t>
      </w:r>
      <w:r>
        <w:rPr>
          <w:spacing w:val="-9"/>
        </w:rPr>
        <w:t> </w:t>
      </w:r>
      <w:r>
        <w:rPr/>
        <w:t>a</w:t>
      </w:r>
      <w:r>
        <w:rPr>
          <w:spacing w:val="-9"/>
        </w:rPr>
        <w:t> </w:t>
      </w:r>
      <w:r>
        <w:rPr/>
        <w:t>provision</w:t>
      </w:r>
      <w:r>
        <w:rPr>
          <w:spacing w:val="-9"/>
        </w:rPr>
        <w:t> </w:t>
      </w:r>
      <w:r>
        <w:rPr/>
        <w:t>for</w:t>
      </w:r>
      <w:r>
        <w:rPr>
          <w:spacing w:val="-9"/>
        </w:rPr>
        <w:t> </w:t>
      </w:r>
      <w:r>
        <w:rPr/>
        <w:t>a</w:t>
      </w:r>
      <w:r>
        <w:rPr>
          <w:spacing w:val="-9"/>
        </w:rPr>
        <w:t> </w:t>
      </w:r>
      <w:r>
        <w:rPr/>
        <w:t>liability</w:t>
      </w:r>
      <w:r>
        <w:rPr>
          <w:spacing w:val="-9"/>
        </w:rPr>
        <w:t> </w:t>
      </w:r>
      <w:r>
        <w:rPr/>
        <w:t>when</w:t>
      </w:r>
      <w:r>
        <w:rPr>
          <w:spacing w:val="-9"/>
        </w:rPr>
        <w:t> </w:t>
      </w:r>
      <w:r>
        <w:rPr/>
        <w:t>it</w:t>
      </w:r>
      <w:r>
        <w:rPr>
          <w:spacing w:val="-9"/>
        </w:rPr>
        <w:t> </w:t>
      </w:r>
      <w:r>
        <w:rPr/>
        <w:t>is</w:t>
      </w:r>
      <w:r>
        <w:rPr>
          <w:spacing w:val="-9"/>
        </w:rPr>
        <w:t> </w:t>
      </w:r>
      <w:r>
        <w:rPr/>
        <w:t>both</w:t>
      </w:r>
      <w:r>
        <w:rPr>
          <w:spacing w:val="-9"/>
        </w:rPr>
        <w:t> </w:t>
      </w:r>
      <w:r>
        <w:rPr/>
        <w:t>probable</w:t>
      </w:r>
      <w:r>
        <w:rPr>
          <w:spacing w:val="-9"/>
        </w:rPr>
        <w:t> </w:t>
      </w:r>
      <w:r>
        <w:rPr/>
        <w:t>that</w:t>
      </w:r>
      <w:r>
        <w:rPr>
          <w:spacing w:val="-9"/>
        </w:rPr>
        <w:t> </w:t>
      </w:r>
      <w:r>
        <w:rPr/>
        <w:t>a</w:t>
      </w:r>
      <w:r>
        <w:rPr>
          <w:spacing w:val="-9"/>
        </w:rPr>
        <w:t> </w:t>
      </w:r>
      <w:r>
        <w:rPr/>
        <w:t>liability</w:t>
      </w:r>
      <w:r>
        <w:rPr>
          <w:spacing w:val="-9"/>
        </w:rPr>
        <w:t> </w:t>
      </w:r>
      <w:r>
        <w:rPr/>
        <w:t>has</w:t>
      </w:r>
      <w:r>
        <w:rPr>
          <w:spacing w:val="-9"/>
        </w:rPr>
        <w:t> </w:t>
      </w:r>
      <w:r>
        <w:rPr/>
        <w:t>been</w:t>
      </w:r>
      <w:r>
        <w:rPr>
          <w:spacing w:val="-9"/>
        </w:rPr>
        <w:t> </w:t>
      </w:r>
      <w:r>
        <w:rPr/>
        <w:t>incurred</w:t>
      </w:r>
      <w:r>
        <w:rPr>
          <w:spacing w:val="-9"/>
        </w:rPr>
        <w:t> </w:t>
      </w:r>
      <w:r>
        <w:rPr/>
        <w:t>and</w:t>
      </w:r>
      <w:r>
        <w:rPr>
          <w:spacing w:val="-9"/>
        </w:rPr>
        <w:t> </w:t>
      </w:r>
      <w:r>
        <w:rPr/>
        <w:t>the</w:t>
      </w:r>
      <w:r>
        <w:rPr>
          <w:spacing w:val="-9"/>
        </w:rPr>
        <w:t> </w:t>
      </w:r>
      <w:r>
        <w:rPr/>
        <w:t>amount</w:t>
      </w:r>
      <w:r>
        <w:rPr>
          <w:spacing w:val="-9"/>
        </w:rPr>
        <w:t> </w:t>
      </w:r>
      <w:r>
        <w:rPr/>
        <w:t>of</w:t>
      </w:r>
      <w:r>
        <w:rPr>
          <w:spacing w:val="-9"/>
        </w:rPr>
        <w:t> </w:t>
      </w:r>
      <w:r>
        <w:rPr/>
        <w:t>the</w:t>
      </w:r>
      <w:r>
        <w:rPr>
          <w:spacing w:val="-9"/>
        </w:rPr>
        <w:t> </w:t>
      </w:r>
      <w:r>
        <w:rPr/>
        <w:t>loss</w:t>
      </w:r>
      <w:r>
        <w:rPr>
          <w:spacing w:val="-9"/>
        </w:rPr>
        <w:t> </w:t>
      </w:r>
      <w:r>
        <w:rPr/>
        <w:t>can be reasonably estimated. These provisions are reviewed at least quarterly and adjusted to reflect the impacts of negotiations, settlements, rulings, advice of legal counsel and other information and events pertaining to a particular case. Unless otherwise specifically</w:t>
      </w:r>
      <w:r>
        <w:rPr>
          <w:spacing w:val="-11"/>
        </w:rPr>
        <w:t> </w:t>
      </w:r>
      <w:r>
        <w:rPr/>
        <w:t>disclosed</w:t>
      </w:r>
      <w:r>
        <w:rPr>
          <w:spacing w:val="-11"/>
        </w:rPr>
        <w:t> </w:t>
      </w:r>
      <w:r>
        <w:rPr/>
        <w:t>in</w:t>
      </w:r>
      <w:r>
        <w:rPr>
          <w:spacing w:val="-11"/>
        </w:rPr>
        <w:t> </w:t>
      </w:r>
      <w:r>
        <w:rPr/>
        <w:t>this</w:t>
      </w:r>
      <w:r>
        <w:rPr>
          <w:spacing w:val="-11"/>
        </w:rPr>
        <w:t> </w:t>
      </w:r>
      <w:r>
        <w:rPr/>
        <w:t>note,</w:t>
      </w:r>
      <w:r>
        <w:rPr>
          <w:spacing w:val="-11"/>
        </w:rPr>
        <w:t> </w:t>
      </w:r>
      <w:r>
        <w:rPr/>
        <w:t>we</w:t>
      </w:r>
      <w:r>
        <w:rPr>
          <w:spacing w:val="-11"/>
        </w:rPr>
        <w:t> </w:t>
      </w:r>
      <w:r>
        <w:rPr/>
        <w:t>have</w:t>
      </w:r>
      <w:r>
        <w:rPr>
          <w:spacing w:val="-11"/>
        </w:rPr>
        <w:t> </w:t>
      </w:r>
      <w:r>
        <w:rPr/>
        <w:t>determined</w:t>
      </w:r>
      <w:r>
        <w:rPr>
          <w:spacing w:val="-11"/>
        </w:rPr>
        <w:t> </w:t>
      </w:r>
      <w:r>
        <w:rPr/>
        <w:t>that</w:t>
      </w:r>
      <w:r>
        <w:rPr>
          <w:spacing w:val="-11"/>
        </w:rPr>
        <w:t> </w:t>
      </w:r>
      <w:r>
        <w:rPr/>
        <w:t>no</w:t>
      </w:r>
      <w:r>
        <w:rPr>
          <w:spacing w:val="-11"/>
        </w:rPr>
        <w:t> </w:t>
      </w:r>
      <w:r>
        <w:rPr/>
        <w:t>provision</w:t>
      </w:r>
      <w:r>
        <w:rPr>
          <w:spacing w:val="-11"/>
        </w:rPr>
        <w:t> </w:t>
      </w:r>
      <w:r>
        <w:rPr/>
        <w:t>for</w:t>
      </w:r>
      <w:r>
        <w:rPr>
          <w:spacing w:val="-11"/>
        </w:rPr>
        <w:t> </w:t>
      </w:r>
      <w:r>
        <w:rPr/>
        <w:t>liability</w:t>
      </w:r>
      <w:r>
        <w:rPr>
          <w:spacing w:val="-11"/>
        </w:rPr>
        <w:t> </w:t>
      </w:r>
      <w:r>
        <w:rPr/>
        <w:t>nor</w:t>
      </w:r>
      <w:r>
        <w:rPr>
          <w:spacing w:val="-11"/>
        </w:rPr>
        <w:t> </w:t>
      </w:r>
      <w:r>
        <w:rPr/>
        <w:t>disclosure</w:t>
      </w:r>
      <w:r>
        <w:rPr>
          <w:spacing w:val="-12"/>
        </w:rPr>
        <w:t> </w:t>
      </w:r>
      <w:r>
        <w:rPr/>
        <w:t>is</w:t>
      </w:r>
      <w:r>
        <w:rPr>
          <w:spacing w:val="-11"/>
        </w:rPr>
        <w:t> </w:t>
      </w:r>
      <w:r>
        <w:rPr/>
        <w:t>required</w:t>
      </w:r>
      <w:r>
        <w:rPr>
          <w:spacing w:val="-11"/>
        </w:rPr>
        <w:t> </w:t>
      </w:r>
      <w:r>
        <w:rPr/>
        <w:t>related</w:t>
      </w:r>
      <w:r>
        <w:rPr>
          <w:spacing w:val="-11"/>
        </w:rPr>
        <w:t> </w:t>
      </w:r>
      <w:r>
        <w:rPr/>
        <w:t>to</w:t>
      </w:r>
      <w:r>
        <w:rPr>
          <w:spacing w:val="-11"/>
        </w:rPr>
        <w:t> </w:t>
      </w:r>
      <w:r>
        <w:rPr/>
        <w:t>any</w:t>
      </w:r>
      <w:r>
        <w:rPr>
          <w:spacing w:val="-11"/>
        </w:rPr>
        <w:t> </w:t>
      </w:r>
      <w:r>
        <w:rPr/>
        <w:t>claim against us because: (a) there is not a reasonable possibility that a loss exceeding amounts already recognized (if any) may be incurred with respect to such claim; (b) a reasonably possible loss or range of loss cannot be estimated; or (c) such estimate is </w:t>
      </w:r>
      <w:r>
        <w:rPr>
          <w:spacing w:val="-2"/>
        </w:rPr>
        <w:t>immaterial.</w:t>
      </w:r>
    </w:p>
    <w:p>
      <w:pPr>
        <w:pStyle w:val="BodyText"/>
        <w:spacing w:line="249" w:lineRule="auto" w:before="206"/>
        <w:ind w:left="210" w:right="247" w:firstLine="540"/>
        <w:jc w:val="both"/>
      </w:pPr>
      <w:r>
        <w:rPr/>
        <w:t>All legal costs associated with litigation are expensed as incurred. Litigation is inherently unpredictable. However, we believe that we have valid defenses with respect to the legal matters pending against us. It is possible, nevertheless, that our consolidated financial position, cash flows or results of operations could be negatively affected by an unfavorable resolution of one or more of such proceedings, claims or investigations.</w:t>
      </w:r>
    </w:p>
    <w:p>
      <w:pPr>
        <w:pStyle w:val="BodyText"/>
        <w:spacing w:line="249" w:lineRule="auto" w:before="203"/>
        <w:ind w:left="210" w:right="247" w:firstLine="540"/>
        <w:jc w:val="both"/>
      </w:pPr>
      <w:r>
        <w:rPr>
          <w:spacing w:val="-2"/>
        </w:rPr>
        <w:t>In</w:t>
      </w:r>
      <w:r>
        <w:rPr>
          <w:spacing w:val="-9"/>
        </w:rPr>
        <w:t> </w:t>
      </w:r>
      <w:r>
        <w:rPr>
          <w:spacing w:val="-2"/>
        </w:rPr>
        <w:t>connection</w:t>
      </w:r>
      <w:r>
        <w:rPr>
          <w:spacing w:val="-11"/>
        </w:rPr>
        <w:t> </w:t>
      </w:r>
      <w:r>
        <w:rPr>
          <w:spacing w:val="-2"/>
        </w:rPr>
        <w:t>with</w:t>
      </w:r>
      <w:r>
        <w:rPr>
          <w:spacing w:val="-9"/>
        </w:rPr>
        <w:t> </w:t>
      </w:r>
      <w:r>
        <w:rPr>
          <w:spacing w:val="-2"/>
        </w:rPr>
        <w:t>our</w:t>
      </w:r>
      <w:r>
        <w:rPr>
          <w:spacing w:val="-9"/>
        </w:rPr>
        <w:t> </w:t>
      </w:r>
      <w:r>
        <w:rPr>
          <w:spacing w:val="-2"/>
        </w:rPr>
        <w:t>anti-piracy</w:t>
      </w:r>
      <w:r>
        <w:rPr>
          <w:spacing w:val="-11"/>
        </w:rPr>
        <w:t> </w:t>
      </w:r>
      <w:r>
        <w:rPr>
          <w:spacing w:val="-2"/>
        </w:rPr>
        <w:t>efforts,</w:t>
      </w:r>
      <w:r>
        <w:rPr>
          <w:spacing w:val="-9"/>
        </w:rPr>
        <w:t> </w:t>
      </w:r>
      <w:r>
        <w:rPr>
          <w:spacing w:val="-2"/>
        </w:rPr>
        <w:t>conducted</w:t>
      </w:r>
      <w:r>
        <w:rPr>
          <w:spacing w:val="-9"/>
        </w:rPr>
        <w:t> </w:t>
      </w:r>
      <w:r>
        <w:rPr>
          <w:spacing w:val="-2"/>
        </w:rPr>
        <w:t>both</w:t>
      </w:r>
      <w:r>
        <w:rPr>
          <w:spacing w:val="-9"/>
        </w:rPr>
        <w:t> </w:t>
      </w:r>
      <w:r>
        <w:rPr>
          <w:spacing w:val="-2"/>
        </w:rPr>
        <w:t>internally</w:t>
      </w:r>
      <w:r>
        <w:rPr>
          <w:spacing w:val="-9"/>
        </w:rPr>
        <w:t> </w:t>
      </w:r>
      <w:r>
        <w:rPr>
          <w:spacing w:val="-2"/>
        </w:rPr>
        <w:t>and</w:t>
      </w:r>
      <w:r>
        <w:rPr>
          <w:spacing w:val="-11"/>
        </w:rPr>
        <w:t> </w:t>
      </w:r>
      <w:r>
        <w:rPr>
          <w:spacing w:val="-2"/>
        </w:rPr>
        <w:t>through</w:t>
      </w:r>
      <w:r>
        <w:rPr>
          <w:spacing w:val="-9"/>
        </w:rPr>
        <w:t> </w:t>
      </w:r>
      <w:r>
        <w:rPr>
          <w:spacing w:val="-2"/>
        </w:rPr>
        <w:t>organizations</w:t>
      </w:r>
      <w:r>
        <w:rPr>
          <w:spacing w:val="-9"/>
        </w:rPr>
        <w:t> </w:t>
      </w:r>
      <w:r>
        <w:rPr>
          <w:spacing w:val="-2"/>
        </w:rPr>
        <w:t>such</w:t>
      </w:r>
      <w:r>
        <w:rPr>
          <w:spacing w:val="-9"/>
        </w:rPr>
        <w:t> </w:t>
      </w:r>
      <w:r>
        <w:rPr>
          <w:spacing w:val="-2"/>
        </w:rPr>
        <w:t>as</w:t>
      </w:r>
      <w:r>
        <w:rPr>
          <w:spacing w:val="-9"/>
        </w:rPr>
        <w:t> </w:t>
      </w:r>
      <w:r>
        <w:rPr>
          <w:spacing w:val="-2"/>
        </w:rPr>
        <w:t>the</w:t>
      </w:r>
      <w:r>
        <w:rPr>
          <w:spacing w:val="-11"/>
        </w:rPr>
        <w:t> </w:t>
      </w:r>
      <w:r>
        <w:rPr>
          <w:spacing w:val="-2"/>
        </w:rPr>
        <w:t>Business</w:t>
      </w:r>
      <w:r>
        <w:rPr>
          <w:spacing w:val="-9"/>
        </w:rPr>
        <w:t> </w:t>
      </w:r>
      <w:r>
        <w:rPr>
          <w:spacing w:val="-2"/>
        </w:rPr>
        <w:t>Software </w:t>
      </w:r>
      <w:r>
        <w:rPr/>
        <w:t>Alliance,</w:t>
      </w:r>
      <w:r>
        <w:rPr>
          <w:spacing w:val="-10"/>
        </w:rPr>
        <w:t> </w:t>
      </w:r>
      <w:r>
        <w:rPr/>
        <w:t>from</w:t>
      </w:r>
      <w:r>
        <w:rPr>
          <w:spacing w:val="-10"/>
        </w:rPr>
        <w:t> </w:t>
      </w:r>
      <w:r>
        <w:rPr/>
        <w:t>time</w:t>
      </w:r>
      <w:r>
        <w:rPr>
          <w:spacing w:val="-10"/>
        </w:rPr>
        <w:t> </w:t>
      </w:r>
      <w:r>
        <w:rPr/>
        <w:t>to</w:t>
      </w:r>
      <w:r>
        <w:rPr>
          <w:spacing w:val="-10"/>
        </w:rPr>
        <w:t> </w:t>
      </w:r>
      <w:r>
        <w:rPr/>
        <w:t>time</w:t>
      </w:r>
      <w:r>
        <w:rPr>
          <w:spacing w:val="-10"/>
        </w:rPr>
        <w:t> </w:t>
      </w:r>
      <w:r>
        <w:rPr/>
        <w:t>we</w:t>
      </w:r>
      <w:r>
        <w:rPr>
          <w:spacing w:val="-10"/>
        </w:rPr>
        <w:t> </w:t>
      </w:r>
      <w:r>
        <w:rPr/>
        <w:t>undertake</w:t>
      </w:r>
      <w:r>
        <w:rPr>
          <w:spacing w:val="-10"/>
        </w:rPr>
        <w:t> </w:t>
      </w:r>
      <w:r>
        <w:rPr/>
        <w:t>litigation</w:t>
      </w:r>
      <w:r>
        <w:rPr>
          <w:spacing w:val="-10"/>
        </w:rPr>
        <w:t> </w:t>
      </w:r>
      <w:r>
        <w:rPr/>
        <w:t>against</w:t>
      </w:r>
      <w:r>
        <w:rPr>
          <w:spacing w:val="-10"/>
        </w:rPr>
        <w:t> </w:t>
      </w:r>
      <w:r>
        <w:rPr/>
        <w:t>alleged</w:t>
      </w:r>
      <w:r>
        <w:rPr>
          <w:spacing w:val="-10"/>
        </w:rPr>
        <w:t> </w:t>
      </w:r>
      <w:r>
        <w:rPr/>
        <w:t>copyright</w:t>
      </w:r>
      <w:r>
        <w:rPr>
          <w:spacing w:val="-10"/>
        </w:rPr>
        <w:t> </w:t>
      </w:r>
      <w:r>
        <w:rPr/>
        <w:t>infringers.</w:t>
      </w:r>
      <w:r>
        <w:rPr>
          <w:spacing w:val="-10"/>
        </w:rPr>
        <w:t> </w:t>
      </w:r>
      <w:r>
        <w:rPr/>
        <w:t>Such</w:t>
      </w:r>
      <w:r>
        <w:rPr>
          <w:spacing w:val="-10"/>
        </w:rPr>
        <w:t> </w:t>
      </w:r>
      <w:r>
        <w:rPr/>
        <w:t>lawsuits</w:t>
      </w:r>
      <w:r>
        <w:rPr>
          <w:spacing w:val="-10"/>
        </w:rPr>
        <w:t> </w:t>
      </w:r>
      <w:r>
        <w:rPr/>
        <w:t>may</w:t>
      </w:r>
      <w:r>
        <w:rPr>
          <w:spacing w:val="-10"/>
        </w:rPr>
        <w:t> </w:t>
      </w:r>
      <w:r>
        <w:rPr/>
        <w:t>lead</w:t>
      </w:r>
      <w:r>
        <w:rPr>
          <w:spacing w:val="-10"/>
        </w:rPr>
        <w:t> </w:t>
      </w:r>
      <w:r>
        <w:rPr/>
        <w:t>to</w:t>
      </w:r>
      <w:r>
        <w:rPr>
          <w:spacing w:val="-10"/>
        </w:rPr>
        <w:t> </w:t>
      </w:r>
      <w:r>
        <w:rPr/>
        <w:t>counter-claims alleging improper use of litigation or violation of other laws. We believe we have valid defenses with respect to such counter- claims; however, it is possible that our consolidated financial position, cash flows or results of operations could be negatively affected in any particular period by the resolution of one or more of these counter-claims.</w:t>
      </w:r>
    </w:p>
    <w:p>
      <w:pPr>
        <w:pStyle w:val="Heading1"/>
        <w:spacing w:before="204"/>
      </w:pPr>
      <w:bookmarkStart w:name="NOTE 15. DEBT" w:id="88"/>
      <w:bookmarkEnd w:id="88"/>
      <w:r>
        <w:rPr>
          <w:b w:val="0"/>
        </w:rPr>
      </w:r>
      <w:bookmarkStart w:name="_bookmark31" w:id="89"/>
      <w:bookmarkEnd w:id="89"/>
      <w:r>
        <w:rPr>
          <w:b w:val="0"/>
        </w:rPr>
      </w:r>
      <w:r>
        <w:rPr/>
        <w:t>NOTE 15.</w:t>
      </w:r>
      <w:r>
        <w:rPr>
          <w:spacing w:val="50"/>
        </w:rPr>
        <w:t> </w:t>
      </w:r>
      <w:r>
        <w:rPr>
          <w:spacing w:val="-4"/>
        </w:rPr>
        <w:t>DEBT</w:t>
      </w:r>
    </w:p>
    <w:p>
      <w:pPr>
        <w:pStyle w:val="BodyText"/>
        <w:spacing w:before="190"/>
        <w:ind w:left="760"/>
      </w:pPr>
      <w:r>
        <w:rPr/>
        <w:t>Our</w:t>
      </w:r>
      <w:r>
        <w:rPr>
          <w:spacing w:val="-2"/>
        </w:rPr>
        <w:t> </w:t>
      </w:r>
      <w:r>
        <w:rPr/>
        <w:t>long-term</w:t>
      </w:r>
      <w:r>
        <w:rPr>
          <w:spacing w:val="-1"/>
        </w:rPr>
        <w:t> </w:t>
      </w:r>
      <w:r>
        <w:rPr/>
        <w:t>debt</w:t>
      </w:r>
      <w:r>
        <w:rPr>
          <w:spacing w:val="-1"/>
        </w:rPr>
        <w:t> </w:t>
      </w:r>
      <w:r>
        <w:rPr/>
        <w:t>as of December 1, 2017 and</w:t>
      </w:r>
      <w:r>
        <w:rPr>
          <w:spacing w:val="-1"/>
        </w:rPr>
        <w:t> </w:t>
      </w:r>
      <w:r>
        <w:rPr/>
        <w:t>December 2, 2016 consisted of the</w:t>
      </w:r>
      <w:r>
        <w:rPr>
          <w:spacing w:val="-1"/>
        </w:rPr>
        <w:t> </w:t>
      </w:r>
      <w:r>
        <w:rPr/>
        <w:t>following (in </w:t>
      </w:r>
      <w:r>
        <w:rPr>
          <w:spacing w:val="-2"/>
        </w:rPr>
        <w:t>thousands):</w:t>
      </w:r>
    </w:p>
    <w:p>
      <w:pPr>
        <w:pStyle w:val="BodyText"/>
        <w:spacing w:before="1"/>
        <w:rPr>
          <w:sz w:val="19"/>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7"/>
        <w:gridCol w:w="3762"/>
        <w:gridCol w:w="1420"/>
      </w:tblGrid>
      <w:tr>
        <w:trPr>
          <w:trHeight w:val="217" w:hRule="atLeast"/>
        </w:trPr>
        <w:tc>
          <w:tcPr>
            <w:tcW w:w="5057" w:type="dxa"/>
          </w:tcPr>
          <w:p>
            <w:pPr>
              <w:pStyle w:val="TableParagraph"/>
              <w:rPr>
                <w:sz w:val="14"/>
              </w:rPr>
            </w:pPr>
          </w:p>
        </w:tc>
        <w:tc>
          <w:tcPr>
            <w:tcW w:w="3762" w:type="dxa"/>
            <w:tcBorders>
              <w:bottom w:val="single" w:sz="8" w:space="0" w:color="000000"/>
            </w:tcBorders>
          </w:tcPr>
          <w:p>
            <w:pPr>
              <w:pStyle w:val="TableParagraph"/>
              <w:spacing w:line="177" w:lineRule="exact"/>
              <w:ind w:right="608"/>
              <w:jc w:val="right"/>
              <w:rPr>
                <w:b/>
                <w:sz w:val="16"/>
              </w:rPr>
            </w:pPr>
            <w:r>
              <w:rPr>
                <w:b/>
                <w:spacing w:val="-4"/>
                <w:sz w:val="16"/>
              </w:rPr>
              <w:t>2017</w:t>
            </w:r>
          </w:p>
        </w:tc>
        <w:tc>
          <w:tcPr>
            <w:tcW w:w="1420" w:type="dxa"/>
            <w:tcBorders>
              <w:bottom w:val="single" w:sz="8" w:space="0" w:color="000000"/>
            </w:tcBorders>
          </w:tcPr>
          <w:p>
            <w:pPr>
              <w:pStyle w:val="TableParagraph"/>
              <w:spacing w:line="177" w:lineRule="exact"/>
              <w:ind w:left="2"/>
              <w:jc w:val="center"/>
              <w:rPr>
                <w:b/>
                <w:sz w:val="16"/>
              </w:rPr>
            </w:pPr>
            <w:r>
              <w:rPr>
                <w:b/>
                <w:spacing w:val="-4"/>
                <w:sz w:val="16"/>
              </w:rPr>
              <w:t>2016</w:t>
            </w:r>
          </w:p>
        </w:tc>
      </w:tr>
      <w:tr>
        <w:trPr>
          <w:trHeight w:val="270" w:hRule="atLeast"/>
        </w:trPr>
        <w:tc>
          <w:tcPr>
            <w:tcW w:w="5057" w:type="dxa"/>
            <w:shd w:val="clear" w:color="auto" w:fill="CCEDFF"/>
          </w:tcPr>
          <w:p>
            <w:pPr>
              <w:pStyle w:val="TableParagraph"/>
              <w:spacing w:line="222" w:lineRule="exact"/>
              <w:ind w:left="50"/>
              <w:rPr>
                <w:sz w:val="20"/>
              </w:rPr>
            </w:pPr>
            <w:r>
              <w:rPr>
                <w:spacing w:val="-2"/>
                <w:sz w:val="20"/>
              </w:rPr>
              <w:t>Notes</w:t>
            </w:r>
          </w:p>
        </w:tc>
        <w:tc>
          <w:tcPr>
            <w:tcW w:w="3762" w:type="dxa"/>
            <w:tcBorders>
              <w:top w:val="single" w:sz="8" w:space="0" w:color="000000"/>
            </w:tcBorders>
            <w:shd w:val="clear" w:color="auto" w:fill="CCEDFF"/>
          </w:tcPr>
          <w:p>
            <w:pPr>
              <w:pStyle w:val="TableParagraph"/>
              <w:tabs>
                <w:tab w:pos="472" w:val="left" w:leader="none"/>
              </w:tabs>
              <w:spacing w:line="222" w:lineRule="exact"/>
              <w:ind w:right="135"/>
              <w:jc w:val="right"/>
              <w:rPr>
                <w:sz w:val="20"/>
              </w:rPr>
            </w:pPr>
            <w:r>
              <w:rPr>
                <w:spacing w:val="-10"/>
                <w:sz w:val="20"/>
              </w:rPr>
              <w:t>$</w:t>
            </w:r>
            <w:r>
              <w:rPr>
                <w:sz w:val="20"/>
              </w:rPr>
              <w:tab/>
            </w:r>
            <w:r>
              <w:rPr>
                <w:spacing w:val="-2"/>
                <w:sz w:val="20"/>
              </w:rPr>
              <w:t>1,882,479</w:t>
            </w:r>
          </w:p>
        </w:tc>
        <w:tc>
          <w:tcPr>
            <w:tcW w:w="1420" w:type="dxa"/>
            <w:tcBorders>
              <w:top w:val="single" w:sz="8" w:space="0" w:color="000000"/>
            </w:tcBorders>
            <w:shd w:val="clear" w:color="auto" w:fill="CCEDFF"/>
          </w:tcPr>
          <w:p>
            <w:pPr>
              <w:pStyle w:val="TableParagraph"/>
              <w:tabs>
                <w:tab w:pos="472" w:val="left" w:leader="none"/>
              </w:tabs>
              <w:spacing w:line="222" w:lineRule="exact"/>
              <w:ind w:right="75"/>
              <w:jc w:val="right"/>
              <w:rPr>
                <w:sz w:val="20"/>
              </w:rPr>
            </w:pPr>
            <w:r>
              <w:rPr>
                <w:spacing w:val="-10"/>
                <w:sz w:val="20"/>
              </w:rPr>
              <w:t>$</w:t>
            </w:r>
            <w:r>
              <w:rPr>
                <w:sz w:val="20"/>
              </w:rPr>
              <w:tab/>
            </w:r>
            <w:r>
              <w:rPr>
                <w:spacing w:val="-2"/>
                <w:sz w:val="20"/>
              </w:rPr>
              <w:t>1,879,083</w:t>
            </w:r>
          </w:p>
        </w:tc>
      </w:tr>
      <w:tr>
        <w:trPr>
          <w:trHeight w:val="270" w:hRule="atLeast"/>
        </w:trPr>
        <w:tc>
          <w:tcPr>
            <w:tcW w:w="5057" w:type="dxa"/>
          </w:tcPr>
          <w:p>
            <w:pPr>
              <w:pStyle w:val="TableParagraph"/>
              <w:spacing w:before="2"/>
              <w:ind w:left="50"/>
              <w:rPr>
                <w:sz w:val="20"/>
              </w:rPr>
            </w:pPr>
            <w:r>
              <w:rPr>
                <w:sz w:val="20"/>
              </w:rPr>
              <w:t>Fair value of interest rate </w:t>
            </w:r>
            <w:r>
              <w:rPr>
                <w:spacing w:val="-4"/>
                <w:sz w:val="20"/>
              </w:rPr>
              <w:t>swap</w:t>
            </w:r>
          </w:p>
        </w:tc>
        <w:tc>
          <w:tcPr>
            <w:tcW w:w="3762" w:type="dxa"/>
            <w:tcBorders>
              <w:bottom w:val="single" w:sz="8" w:space="0" w:color="000000"/>
            </w:tcBorders>
          </w:tcPr>
          <w:p>
            <w:pPr>
              <w:pStyle w:val="TableParagraph"/>
              <w:spacing w:before="2"/>
              <w:ind w:right="67"/>
              <w:jc w:val="right"/>
              <w:rPr>
                <w:sz w:val="20"/>
              </w:rPr>
            </w:pPr>
            <w:r>
              <w:rPr>
                <w:spacing w:val="-2"/>
                <w:sz w:val="20"/>
              </w:rPr>
              <w:t>(1,058)</w:t>
            </w:r>
          </w:p>
        </w:tc>
        <w:tc>
          <w:tcPr>
            <w:tcW w:w="1420" w:type="dxa"/>
            <w:tcBorders>
              <w:bottom w:val="single" w:sz="8" w:space="0" w:color="000000"/>
            </w:tcBorders>
          </w:tcPr>
          <w:p>
            <w:pPr>
              <w:pStyle w:val="TableParagraph"/>
              <w:spacing w:before="2"/>
              <w:ind w:right="75"/>
              <w:jc w:val="right"/>
              <w:rPr>
                <w:sz w:val="20"/>
              </w:rPr>
            </w:pPr>
            <w:r>
              <w:rPr>
                <w:spacing w:val="-2"/>
                <w:sz w:val="20"/>
              </w:rPr>
              <w:t>13,117</w:t>
            </w:r>
          </w:p>
        </w:tc>
      </w:tr>
      <w:tr>
        <w:trPr>
          <w:trHeight w:val="240" w:hRule="atLeast"/>
        </w:trPr>
        <w:tc>
          <w:tcPr>
            <w:tcW w:w="5057" w:type="dxa"/>
            <w:shd w:val="clear" w:color="auto" w:fill="CCEDFF"/>
          </w:tcPr>
          <w:p>
            <w:pPr>
              <w:pStyle w:val="TableParagraph"/>
              <w:spacing w:line="220" w:lineRule="exact"/>
              <w:ind w:left="50"/>
              <w:rPr>
                <w:sz w:val="20"/>
              </w:rPr>
            </w:pPr>
            <w:r>
              <w:rPr>
                <w:sz w:val="20"/>
              </w:rPr>
              <w:t>Adjusted carrying value of </w:t>
            </w:r>
            <w:r>
              <w:rPr>
                <w:spacing w:val="-2"/>
                <w:sz w:val="20"/>
              </w:rPr>
              <w:t>Notes</w:t>
            </w:r>
          </w:p>
        </w:tc>
        <w:tc>
          <w:tcPr>
            <w:tcW w:w="3762" w:type="dxa"/>
            <w:tcBorders>
              <w:top w:val="single" w:sz="8" w:space="0" w:color="000000"/>
              <w:bottom w:val="double" w:sz="8" w:space="0" w:color="000000"/>
            </w:tcBorders>
            <w:shd w:val="clear" w:color="auto" w:fill="CCEDFF"/>
          </w:tcPr>
          <w:p>
            <w:pPr>
              <w:pStyle w:val="TableParagraph"/>
              <w:spacing w:line="220" w:lineRule="exact"/>
              <w:ind w:right="135"/>
              <w:jc w:val="right"/>
              <w:rPr>
                <w:sz w:val="20"/>
              </w:rPr>
            </w:pPr>
            <w:r>
              <w:rPr>
                <w:spacing w:val="-2"/>
                <w:sz w:val="20"/>
              </w:rPr>
              <w:t>1,881,421</w:t>
            </w:r>
          </w:p>
        </w:tc>
        <w:tc>
          <w:tcPr>
            <w:tcW w:w="1420" w:type="dxa"/>
            <w:tcBorders>
              <w:top w:val="single" w:sz="8" w:space="0" w:color="000000"/>
              <w:bottom w:val="double" w:sz="8" w:space="0" w:color="000000"/>
            </w:tcBorders>
            <w:shd w:val="clear" w:color="auto" w:fill="CCEDFF"/>
          </w:tcPr>
          <w:p>
            <w:pPr>
              <w:pStyle w:val="TableParagraph"/>
              <w:spacing w:line="220" w:lineRule="exact"/>
              <w:ind w:right="75"/>
              <w:jc w:val="right"/>
              <w:rPr>
                <w:sz w:val="20"/>
              </w:rPr>
            </w:pPr>
            <w:r>
              <w:rPr>
                <w:spacing w:val="-2"/>
                <w:sz w:val="20"/>
              </w:rPr>
              <w:t>1,892,200</w:t>
            </w:r>
          </w:p>
        </w:tc>
      </w:tr>
      <w:tr>
        <w:trPr>
          <w:trHeight w:val="423" w:hRule="atLeast"/>
        </w:trPr>
        <w:tc>
          <w:tcPr>
            <w:tcW w:w="5057" w:type="dxa"/>
          </w:tcPr>
          <w:p>
            <w:pPr>
              <w:pStyle w:val="TableParagraph"/>
              <w:spacing w:line="210" w:lineRule="exact" w:before="193"/>
              <w:ind w:left="10"/>
              <w:rPr>
                <w:i/>
                <w:sz w:val="20"/>
              </w:rPr>
            </w:pPr>
            <w:r>
              <w:rPr>
                <w:i/>
                <w:sz w:val="20"/>
              </w:rPr>
              <w:t>Senior</w:t>
            </w:r>
            <w:r>
              <w:rPr>
                <w:i/>
                <w:spacing w:val="-5"/>
                <w:sz w:val="20"/>
              </w:rPr>
              <w:t> </w:t>
            </w:r>
            <w:r>
              <w:rPr>
                <w:i/>
                <w:spacing w:val="-2"/>
                <w:sz w:val="20"/>
              </w:rPr>
              <w:t>Notes</w:t>
            </w:r>
          </w:p>
        </w:tc>
        <w:tc>
          <w:tcPr>
            <w:tcW w:w="3762" w:type="dxa"/>
            <w:tcBorders>
              <w:top w:val="double" w:sz="8" w:space="0" w:color="000000"/>
            </w:tcBorders>
          </w:tcPr>
          <w:p>
            <w:pPr>
              <w:pStyle w:val="TableParagraph"/>
              <w:rPr>
                <w:sz w:val="20"/>
              </w:rPr>
            </w:pPr>
          </w:p>
        </w:tc>
        <w:tc>
          <w:tcPr>
            <w:tcW w:w="1420" w:type="dxa"/>
            <w:tcBorders>
              <w:top w:val="double" w:sz="8" w:space="0" w:color="000000"/>
            </w:tcBorders>
          </w:tcPr>
          <w:p>
            <w:pPr>
              <w:pStyle w:val="TableParagraph"/>
              <w:rPr>
                <w:sz w:val="20"/>
              </w:rPr>
            </w:pPr>
          </w:p>
        </w:tc>
      </w:tr>
    </w:tbl>
    <w:p>
      <w:pPr>
        <w:pStyle w:val="BodyText"/>
        <w:spacing w:line="249" w:lineRule="auto" w:before="190"/>
        <w:ind w:left="220" w:right="257" w:firstLine="590"/>
        <w:jc w:val="both"/>
      </w:pPr>
      <w:r>
        <w:rPr/>
        <w:t>In</w:t>
      </w:r>
      <w:r>
        <w:rPr>
          <w:spacing w:val="-2"/>
        </w:rPr>
        <w:t> </w:t>
      </w:r>
      <w:r>
        <w:rPr/>
        <w:t>February</w:t>
      </w:r>
      <w:r>
        <w:rPr>
          <w:spacing w:val="-2"/>
        </w:rPr>
        <w:t> </w:t>
      </w:r>
      <w:r>
        <w:rPr/>
        <w:t>2010,</w:t>
      </w:r>
      <w:r>
        <w:rPr>
          <w:spacing w:val="-2"/>
        </w:rPr>
        <w:t> </w:t>
      </w:r>
      <w:r>
        <w:rPr/>
        <w:t>we</w:t>
      </w:r>
      <w:r>
        <w:rPr>
          <w:spacing w:val="-2"/>
        </w:rPr>
        <w:t> </w:t>
      </w:r>
      <w:r>
        <w:rPr/>
        <w:t>issued</w:t>
      </w:r>
      <w:r>
        <w:rPr>
          <w:spacing w:val="-2"/>
        </w:rPr>
        <w:t> </w:t>
      </w:r>
      <w:r>
        <w:rPr/>
        <w:t>$900</w:t>
      </w:r>
      <w:r>
        <w:rPr>
          <w:spacing w:val="-2"/>
        </w:rPr>
        <w:t> </w:t>
      </w:r>
      <w:r>
        <w:rPr/>
        <w:t>million</w:t>
      </w:r>
      <w:r>
        <w:rPr>
          <w:spacing w:val="-2"/>
        </w:rPr>
        <w:t> </w:t>
      </w:r>
      <w:r>
        <w:rPr/>
        <w:t>of</w:t>
      </w:r>
      <w:r>
        <w:rPr>
          <w:spacing w:val="-2"/>
        </w:rPr>
        <w:t> </w:t>
      </w:r>
      <w:r>
        <w:rPr/>
        <w:t>4.75%</w:t>
      </w:r>
      <w:r>
        <w:rPr>
          <w:spacing w:val="-2"/>
        </w:rPr>
        <w:t> </w:t>
      </w:r>
      <w:r>
        <w:rPr/>
        <w:t>senior</w:t>
      </w:r>
      <w:r>
        <w:rPr>
          <w:spacing w:val="-2"/>
        </w:rPr>
        <w:t> </w:t>
      </w:r>
      <w:r>
        <w:rPr/>
        <w:t>notes</w:t>
      </w:r>
      <w:r>
        <w:rPr>
          <w:spacing w:val="-2"/>
        </w:rPr>
        <w:t> </w:t>
      </w:r>
      <w:r>
        <w:rPr/>
        <w:t>due</w:t>
      </w:r>
      <w:r>
        <w:rPr>
          <w:spacing w:val="-2"/>
        </w:rPr>
        <w:t> </w:t>
      </w:r>
      <w:r>
        <w:rPr/>
        <w:t>February</w:t>
      </w:r>
      <w:r>
        <w:rPr>
          <w:spacing w:val="-2"/>
        </w:rPr>
        <w:t> </w:t>
      </w:r>
      <w:r>
        <w:rPr/>
        <w:t>1,</w:t>
      </w:r>
      <w:r>
        <w:rPr>
          <w:spacing w:val="-2"/>
        </w:rPr>
        <w:t> </w:t>
      </w:r>
      <w:r>
        <w:rPr/>
        <w:t>2020</w:t>
      </w:r>
      <w:r>
        <w:rPr>
          <w:spacing w:val="-2"/>
        </w:rPr>
        <w:t> </w:t>
      </w:r>
      <w:r>
        <w:rPr/>
        <w:t>(the</w:t>
      </w:r>
      <w:r>
        <w:rPr>
          <w:spacing w:val="-3"/>
        </w:rPr>
        <w:t> </w:t>
      </w:r>
      <w:r>
        <w:rPr/>
        <w:t>“2020</w:t>
      </w:r>
      <w:r>
        <w:rPr>
          <w:spacing w:val="-2"/>
        </w:rPr>
        <w:t> </w:t>
      </w:r>
      <w:r>
        <w:rPr/>
        <w:t>Notes”).</w:t>
      </w:r>
      <w:r>
        <w:rPr>
          <w:spacing w:val="-2"/>
        </w:rPr>
        <w:t> </w:t>
      </w:r>
      <w:r>
        <w:rPr/>
        <w:t>Our</w:t>
      </w:r>
      <w:r>
        <w:rPr>
          <w:spacing w:val="-2"/>
        </w:rPr>
        <w:t> </w:t>
      </w:r>
      <w:r>
        <w:rPr/>
        <w:t>proceeds were $900 million and were net of an issuance discount of $5.5 million. In addition, we incurred issuance costs of $6.4 million. Both</w:t>
      </w:r>
      <w:r>
        <w:rPr>
          <w:spacing w:val="-2"/>
        </w:rPr>
        <w:t> </w:t>
      </w:r>
      <w:r>
        <w:rPr/>
        <w:t>the</w:t>
      </w:r>
      <w:r>
        <w:rPr>
          <w:spacing w:val="-1"/>
        </w:rPr>
        <w:t> </w:t>
      </w:r>
      <w:r>
        <w:rPr/>
        <w:t>discount</w:t>
      </w:r>
      <w:r>
        <w:rPr>
          <w:spacing w:val="-2"/>
        </w:rPr>
        <w:t> </w:t>
      </w:r>
      <w:r>
        <w:rPr/>
        <w:t>and</w:t>
      </w:r>
      <w:r>
        <w:rPr>
          <w:spacing w:val="-2"/>
        </w:rPr>
        <w:t> </w:t>
      </w:r>
      <w:r>
        <w:rPr/>
        <w:t>issuance</w:t>
      </w:r>
      <w:r>
        <w:rPr>
          <w:spacing w:val="-2"/>
        </w:rPr>
        <w:t> </w:t>
      </w:r>
      <w:r>
        <w:rPr/>
        <w:t>costs</w:t>
      </w:r>
      <w:r>
        <w:rPr>
          <w:spacing w:val="-1"/>
        </w:rPr>
        <w:t> </w:t>
      </w:r>
      <w:r>
        <w:rPr/>
        <w:t>are</w:t>
      </w:r>
      <w:r>
        <w:rPr>
          <w:spacing w:val="-2"/>
        </w:rPr>
        <w:t> </w:t>
      </w:r>
      <w:r>
        <w:rPr/>
        <w:t>being</w:t>
      </w:r>
      <w:r>
        <w:rPr>
          <w:spacing w:val="-2"/>
        </w:rPr>
        <w:t> </w:t>
      </w:r>
      <w:r>
        <w:rPr/>
        <w:t>amortized</w:t>
      </w:r>
      <w:r>
        <w:rPr>
          <w:spacing w:val="-1"/>
        </w:rPr>
        <w:t> </w:t>
      </w:r>
      <w:r>
        <w:rPr/>
        <w:t>to</w:t>
      </w:r>
      <w:r>
        <w:rPr>
          <w:spacing w:val="-2"/>
        </w:rPr>
        <w:t> </w:t>
      </w:r>
      <w:r>
        <w:rPr/>
        <w:t>interest</w:t>
      </w:r>
      <w:r>
        <w:rPr>
          <w:spacing w:val="-2"/>
        </w:rPr>
        <w:t> </w:t>
      </w:r>
      <w:r>
        <w:rPr/>
        <w:t>expense</w:t>
      </w:r>
      <w:r>
        <w:rPr>
          <w:spacing w:val="-2"/>
        </w:rPr>
        <w:t> </w:t>
      </w:r>
      <w:r>
        <w:rPr/>
        <w:t>over</w:t>
      </w:r>
      <w:r>
        <w:rPr>
          <w:spacing w:val="-2"/>
        </w:rPr>
        <w:t> </w:t>
      </w:r>
      <w:r>
        <w:rPr/>
        <w:t>the</w:t>
      </w:r>
      <w:r>
        <w:rPr>
          <w:spacing w:val="-2"/>
        </w:rPr>
        <w:t> </w:t>
      </w:r>
      <w:r>
        <w:rPr/>
        <w:t>term</w:t>
      </w:r>
      <w:r>
        <w:rPr>
          <w:spacing w:val="-2"/>
        </w:rPr>
        <w:t> </w:t>
      </w:r>
      <w:r>
        <w:rPr/>
        <w:t>of</w:t>
      </w:r>
      <w:r>
        <w:rPr>
          <w:spacing w:val="-1"/>
        </w:rPr>
        <w:t> </w:t>
      </w:r>
      <w:r>
        <w:rPr/>
        <w:t>the</w:t>
      </w:r>
      <w:r>
        <w:rPr>
          <w:spacing w:val="-2"/>
        </w:rPr>
        <w:t> </w:t>
      </w:r>
      <w:r>
        <w:rPr/>
        <w:t>2020</w:t>
      </w:r>
      <w:r>
        <w:rPr>
          <w:spacing w:val="-1"/>
        </w:rPr>
        <w:t> </w:t>
      </w:r>
      <w:r>
        <w:rPr/>
        <w:t>Notes</w:t>
      </w:r>
      <w:r>
        <w:rPr>
          <w:spacing w:val="-2"/>
        </w:rPr>
        <w:t> </w:t>
      </w:r>
      <w:r>
        <w:rPr/>
        <w:t>using</w:t>
      </w:r>
      <w:r>
        <w:rPr>
          <w:spacing w:val="-1"/>
        </w:rPr>
        <w:t> </w:t>
      </w:r>
      <w:r>
        <w:rPr/>
        <w:t>the</w:t>
      </w:r>
      <w:r>
        <w:rPr>
          <w:spacing w:val="-2"/>
        </w:rPr>
        <w:t> </w:t>
      </w:r>
      <w:r>
        <w:rPr/>
        <w:t>effective interest method.</w:t>
      </w:r>
      <w:r>
        <w:rPr>
          <w:spacing w:val="-4"/>
        </w:rPr>
        <w:t> </w:t>
      </w:r>
      <w:r>
        <w:rPr/>
        <w:t>The 2020 Notes rank equally with our other unsecured and unsubordinated indebtedness.</w:t>
      </w:r>
      <w:r>
        <w:rPr>
          <w:spacing w:val="-4"/>
        </w:rPr>
        <w:t> </w:t>
      </w:r>
      <w:r>
        <w:rPr/>
        <w:t>The effective interest rate</w:t>
      </w:r>
      <w:r>
        <w:rPr>
          <w:spacing w:val="-13"/>
        </w:rPr>
        <w:t> </w:t>
      </w:r>
      <w:r>
        <w:rPr/>
        <w:t>including</w:t>
      </w:r>
      <w:r>
        <w:rPr>
          <w:spacing w:val="-12"/>
        </w:rPr>
        <w:t> </w:t>
      </w:r>
      <w:r>
        <w:rPr/>
        <w:t>the</w:t>
      </w:r>
      <w:r>
        <w:rPr>
          <w:spacing w:val="-9"/>
        </w:rPr>
        <w:t> </w:t>
      </w:r>
      <w:r>
        <w:rPr/>
        <w:t>discount</w:t>
      </w:r>
      <w:r>
        <w:rPr>
          <w:spacing w:val="-10"/>
        </w:rPr>
        <w:t> </w:t>
      </w:r>
      <w:r>
        <w:rPr/>
        <w:t>and</w:t>
      </w:r>
      <w:r>
        <w:rPr>
          <w:spacing w:val="-10"/>
        </w:rPr>
        <w:t> </w:t>
      </w:r>
      <w:r>
        <w:rPr/>
        <w:t>issuance</w:t>
      </w:r>
      <w:r>
        <w:rPr>
          <w:spacing w:val="-10"/>
        </w:rPr>
        <w:t> </w:t>
      </w:r>
      <w:r>
        <w:rPr/>
        <w:t>costs</w:t>
      </w:r>
      <w:r>
        <w:rPr>
          <w:spacing w:val="-10"/>
        </w:rPr>
        <w:t> </w:t>
      </w:r>
      <w:r>
        <w:rPr/>
        <w:t>was</w:t>
      </w:r>
      <w:r>
        <w:rPr>
          <w:spacing w:val="-10"/>
        </w:rPr>
        <w:t> </w:t>
      </w:r>
      <w:r>
        <w:rPr/>
        <w:t>4.92%</w:t>
      </w:r>
      <w:r>
        <w:rPr>
          <w:spacing w:val="-10"/>
        </w:rPr>
        <w:t> </w:t>
      </w:r>
      <w:r>
        <w:rPr/>
        <w:t>.</w:t>
      </w:r>
      <w:r>
        <w:rPr>
          <w:spacing w:val="-10"/>
        </w:rPr>
        <w:t> </w:t>
      </w:r>
      <w:r>
        <w:rPr/>
        <w:t>Interest</w:t>
      </w:r>
      <w:r>
        <w:rPr>
          <w:spacing w:val="-10"/>
        </w:rPr>
        <w:t> </w:t>
      </w:r>
      <w:r>
        <w:rPr/>
        <w:t>is</w:t>
      </w:r>
      <w:r>
        <w:rPr>
          <w:spacing w:val="-10"/>
        </w:rPr>
        <w:t> </w:t>
      </w:r>
      <w:r>
        <w:rPr/>
        <w:t>payable</w:t>
      </w:r>
      <w:r>
        <w:rPr>
          <w:spacing w:val="-10"/>
        </w:rPr>
        <w:t> </w:t>
      </w:r>
      <w:r>
        <w:rPr/>
        <w:t>semi-annually,</w:t>
      </w:r>
      <w:r>
        <w:rPr>
          <w:spacing w:val="-10"/>
        </w:rPr>
        <w:t> </w:t>
      </w:r>
      <w:r>
        <w:rPr/>
        <w:t>in</w:t>
      </w:r>
      <w:r>
        <w:rPr>
          <w:spacing w:val="-10"/>
        </w:rPr>
        <w:t> </w:t>
      </w:r>
      <w:r>
        <w:rPr/>
        <w:t>arrears,</w:t>
      </w:r>
      <w:r>
        <w:rPr>
          <w:spacing w:val="-10"/>
        </w:rPr>
        <w:t> </w:t>
      </w:r>
      <w:r>
        <w:rPr/>
        <w:t>on</w:t>
      </w:r>
      <w:r>
        <w:rPr>
          <w:spacing w:val="-10"/>
        </w:rPr>
        <w:t> </w:t>
      </w:r>
      <w:r>
        <w:rPr/>
        <w:t>February</w:t>
      </w:r>
      <w:r>
        <w:rPr>
          <w:spacing w:val="-10"/>
        </w:rPr>
        <w:t> </w:t>
      </w:r>
      <w:r>
        <w:rPr/>
        <w:t>1</w:t>
      </w:r>
      <w:r>
        <w:rPr>
          <w:spacing w:val="-10"/>
        </w:rPr>
        <w:t> </w:t>
      </w:r>
      <w:r>
        <w:rPr/>
        <w:t>and</w:t>
      </w:r>
      <w:r>
        <w:rPr>
          <w:spacing w:val="-13"/>
        </w:rPr>
        <w:t> </w:t>
      </w:r>
      <w:r>
        <w:rPr/>
        <w:t>August 1, and commenced on August 1, 2010.</w:t>
      </w:r>
    </w:p>
    <w:p>
      <w:pPr>
        <w:pStyle w:val="BodyText"/>
        <w:spacing w:line="249" w:lineRule="auto" w:before="185"/>
        <w:ind w:left="220" w:right="257" w:firstLine="540"/>
        <w:jc w:val="both"/>
        <w:rPr>
          <w:i/>
        </w:rPr>
      </w:pPr>
      <w:r>
        <w:rPr/>
        <w:t>In June 2014, we entered into interest rate swaps with a total notional amount of $900 million designated as a fair value hedge</w:t>
      </w:r>
      <w:r>
        <w:rPr>
          <w:spacing w:val="-7"/>
        </w:rPr>
        <w:t> </w:t>
      </w:r>
      <w:r>
        <w:rPr/>
        <w:t>related</w:t>
      </w:r>
      <w:r>
        <w:rPr>
          <w:spacing w:val="-7"/>
        </w:rPr>
        <w:t> </w:t>
      </w:r>
      <w:r>
        <w:rPr/>
        <w:t>to</w:t>
      </w:r>
      <w:r>
        <w:rPr>
          <w:spacing w:val="-7"/>
        </w:rPr>
        <w:t> </w:t>
      </w:r>
      <w:r>
        <w:rPr/>
        <w:t>our</w:t>
      </w:r>
      <w:r>
        <w:rPr>
          <w:spacing w:val="-7"/>
        </w:rPr>
        <w:t> </w:t>
      </w:r>
      <w:r>
        <w:rPr/>
        <w:t>2020</w:t>
      </w:r>
      <w:r>
        <w:rPr>
          <w:spacing w:val="-7"/>
        </w:rPr>
        <w:t> </w:t>
      </w:r>
      <w:r>
        <w:rPr/>
        <w:t>Notes.</w:t>
      </w:r>
      <w:r>
        <w:rPr>
          <w:spacing w:val="-10"/>
        </w:rPr>
        <w:t> </w:t>
      </w:r>
      <w:r>
        <w:rPr/>
        <w:t>The</w:t>
      </w:r>
      <w:r>
        <w:rPr>
          <w:spacing w:val="-7"/>
        </w:rPr>
        <w:t> </w:t>
      </w:r>
      <w:r>
        <w:rPr/>
        <w:t>interest</w:t>
      </w:r>
      <w:r>
        <w:rPr>
          <w:spacing w:val="-7"/>
        </w:rPr>
        <w:t> </w:t>
      </w:r>
      <w:r>
        <w:rPr/>
        <w:t>rate</w:t>
      </w:r>
      <w:r>
        <w:rPr>
          <w:spacing w:val="-7"/>
        </w:rPr>
        <w:t> </w:t>
      </w:r>
      <w:r>
        <w:rPr/>
        <w:t>swaps</w:t>
      </w:r>
      <w:r>
        <w:rPr>
          <w:spacing w:val="-7"/>
        </w:rPr>
        <w:t> </w:t>
      </w:r>
      <w:r>
        <w:rPr/>
        <w:t>effectively</w:t>
      </w:r>
      <w:r>
        <w:rPr>
          <w:spacing w:val="-7"/>
        </w:rPr>
        <w:t> </w:t>
      </w:r>
      <w:r>
        <w:rPr/>
        <w:t>convert</w:t>
      </w:r>
      <w:r>
        <w:rPr>
          <w:spacing w:val="-7"/>
        </w:rPr>
        <w:t> </w:t>
      </w:r>
      <w:r>
        <w:rPr/>
        <w:t>the</w:t>
      </w:r>
      <w:r>
        <w:rPr>
          <w:spacing w:val="-7"/>
        </w:rPr>
        <w:t> </w:t>
      </w:r>
      <w:r>
        <w:rPr/>
        <w:t>fixed</w:t>
      </w:r>
      <w:r>
        <w:rPr>
          <w:spacing w:val="-7"/>
        </w:rPr>
        <w:t> </w:t>
      </w:r>
      <w:r>
        <w:rPr/>
        <w:t>interest</w:t>
      </w:r>
      <w:r>
        <w:rPr>
          <w:spacing w:val="-7"/>
        </w:rPr>
        <w:t> </w:t>
      </w:r>
      <w:r>
        <w:rPr/>
        <w:t>rate</w:t>
      </w:r>
      <w:r>
        <w:rPr>
          <w:spacing w:val="-7"/>
        </w:rPr>
        <w:t> </w:t>
      </w:r>
      <w:r>
        <w:rPr/>
        <w:t>on</w:t>
      </w:r>
      <w:r>
        <w:rPr>
          <w:spacing w:val="-7"/>
        </w:rPr>
        <w:t> </w:t>
      </w:r>
      <w:r>
        <w:rPr/>
        <w:t>our</w:t>
      </w:r>
      <w:r>
        <w:rPr>
          <w:spacing w:val="-7"/>
        </w:rPr>
        <w:t> </w:t>
      </w:r>
      <w:r>
        <w:rPr/>
        <w:t>2020</w:t>
      </w:r>
      <w:r>
        <w:rPr>
          <w:spacing w:val="-7"/>
        </w:rPr>
        <w:t> </w:t>
      </w:r>
      <w:r>
        <w:rPr/>
        <w:t>Notes</w:t>
      </w:r>
      <w:r>
        <w:rPr>
          <w:spacing w:val="-7"/>
        </w:rPr>
        <w:t> </w:t>
      </w:r>
      <w:r>
        <w:rPr/>
        <w:t>to</w:t>
      </w:r>
      <w:r>
        <w:rPr>
          <w:spacing w:val="-7"/>
        </w:rPr>
        <w:t> </w:t>
      </w:r>
      <w:r>
        <w:rPr/>
        <w:t>a</w:t>
      </w:r>
      <w:r>
        <w:rPr>
          <w:spacing w:val="-7"/>
        </w:rPr>
        <w:t> </w:t>
      </w:r>
      <w:r>
        <w:rPr/>
        <w:t>floating interest rate based on LIBOR. Under the terms of the swap, we will pay monthly interest at the one-month LIBOR interest rate plus a fixed number of basis points on the $900 million notional amount. In exchange, we will receive 4.75% fixed rate interest from the swap counterparties. </w:t>
      </w:r>
      <w:hyperlink w:history="true" w:anchor="_bookmark26">
        <w:r>
          <w:rPr>
            <w:i/>
          </w:rPr>
          <w:t>See Note 5 for further details regarding our interest rate swap derivatives.</w:t>
        </w:r>
      </w:hyperlink>
    </w:p>
    <w:p>
      <w:pPr>
        <w:spacing w:after="0" w:line="249" w:lineRule="auto"/>
        <w:jc w:val="both"/>
        <w:sectPr>
          <w:pgSz w:w="12240" w:h="15840"/>
          <w:pgMar w:header="210" w:footer="610" w:top="1380" w:bottom="840" w:left="780" w:right="740"/>
        </w:sectPr>
      </w:pPr>
    </w:p>
    <w:p>
      <w:pPr>
        <w:pStyle w:val="BodyText"/>
        <w:rPr>
          <w:i/>
        </w:rPr>
      </w:pPr>
    </w:p>
    <w:p>
      <w:pPr>
        <w:pStyle w:val="BodyText"/>
        <w:rPr>
          <w:i/>
        </w:rPr>
      </w:pPr>
    </w:p>
    <w:p>
      <w:pPr>
        <w:pStyle w:val="BodyText"/>
        <w:spacing w:before="30"/>
        <w:rPr>
          <w:i/>
        </w:rPr>
      </w:pPr>
    </w:p>
    <w:p>
      <w:pPr>
        <w:pStyle w:val="BodyText"/>
        <w:spacing w:line="249" w:lineRule="auto"/>
        <w:ind w:left="220" w:right="257" w:firstLine="540"/>
        <w:jc w:val="both"/>
      </w:pPr>
      <w:r>
        <w:rPr/>
        <w:t>In</w:t>
      </w:r>
      <w:r>
        <w:rPr>
          <w:spacing w:val="-4"/>
        </w:rPr>
        <w:t> </w:t>
      </w:r>
      <w:r>
        <w:rPr/>
        <w:t>January</w:t>
      </w:r>
      <w:r>
        <w:rPr>
          <w:spacing w:val="-4"/>
        </w:rPr>
        <w:t> </w:t>
      </w:r>
      <w:r>
        <w:rPr/>
        <w:t>2015,</w:t>
      </w:r>
      <w:r>
        <w:rPr>
          <w:spacing w:val="-4"/>
        </w:rPr>
        <w:t> </w:t>
      </w:r>
      <w:r>
        <w:rPr/>
        <w:t>we</w:t>
      </w:r>
      <w:r>
        <w:rPr>
          <w:spacing w:val="-4"/>
        </w:rPr>
        <w:t> </w:t>
      </w:r>
      <w:r>
        <w:rPr/>
        <w:t>issued</w:t>
      </w:r>
      <w:r>
        <w:rPr>
          <w:spacing w:val="-4"/>
        </w:rPr>
        <w:t> </w:t>
      </w:r>
      <w:r>
        <w:rPr/>
        <w:t>$1</w:t>
      </w:r>
      <w:r>
        <w:rPr>
          <w:spacing w:val="-4"/>
        </w:rPr>
        <w:t> </w:t>
      </w:r>
      <w:r>
        <w:rPr/>
        <w:t>billion</w:t>
      </w:r>
      <w:r>
        <w:rPr>
          <w:spacing w:val="-4"/>
        </w:rPr>
        <w:t> </w:t>
      </w:r>
      <w:r>
        <w:rPr/>
        <w:t>of</w:t>
      </w:r>
      <w:r>
        <w:rPr>
          <w:spacing w:val="-4"/>
        </w:rPr>
        <w:t> </w:t>
      </w:r>
      <w:r>
        <w:rPr/>
        <w:t>3.25%</w:t>
      </w:r>
      <w:r>
        <w:rPr>
          <w:spacing w:val="-4"/>
        </w:rPr>
        <w:t> </w:t>
      </w:r>
      <w:r>
        <w:rPr/>
        <w:t>senior</w:t>
      </w:r>
      <w:r>
        <w:rPr>
          <w:spacing w:val="-4"/>
        </w:rPr>
        <w:t> </w:t>
      </w:r>
      <w:r>
        <w:rPr/>
        <w:t>notes</w:t>
      </w:r>
      <w:r>
        <w:rPr>
          <w:spacing w:val="-4"/>
        </w:rPr>
        <w:t> </w:t>
      </w:r>
      <w:r>
        <w:rPr/>
        <w:t>due</w:t>
      </w:r>
      <w:r>
        <w:rPr>
          <w:spacing w:val="-4"/>
        </w:rPr>
        <w:t> </w:t>
      </w:r>
      <w:r>
        <w:rPr/>
        <w:t>February</w:t>
      </w:r>
      <w:r>
        <w:rPr>
          <w:spacing w:val="-2"/>
        </w:rPr>
        <w:t> </w:t>
      </w:r>
      <w:r>
        <w:rPr/>
        <w:t>1,</w:t>
      </w:r>
      <w:r>
        <w:rPr>
          <w:spacing w:val="-4"/>
        </w:rPr>
        <w:t> </w:t>
      </w:r>
      <w:r>
        <w:rPr/>
        <w:t>2025</w:t>
      </w:r>
      <w:r>
        <w:rPr>
          <w:spacing w:val="-4"/>
        </w:rPr>
        <w:t> </w:t>
      </w:r>
      <w:r>
        <w:rPr/>
        <w:t>(the</w:t>
      </w:r>
      <w:r>
        <w:rPr>
          <w:spacing w:val="-4"/>
        </w:rPr>
        <w:t> </w:t>
      </w:r>
      <w:r>
        <w:rPr/>
        <w:t>“2025</w:t>
      </w:r>
      <w:r>
        <w:rPr>
          <w:spacing w:val="-4"/>
        </w:rPr>
        <w:t> </w:t>
      </w:r>
      <w:r>
        <w:rPr/>
        <w:t>Notes”).</w:t>
      </w:r>
      <w:r>
        <w:rPr>
          <w:spacing w:val="-4"/>
        </w:rPr>
        <w:t> </w:t>
      </w:r>
      <w:r>
        <w:rPr/>
        <w:t>Our</w:t>
      </w:r>
      <w:r>
        <w:rPr>
          <w:spacing w:val="-4"/>
        </w:rPr>
        <w:t> </w:t>
      </w:r>
      <w:r>
        <w:rPr/>
        <w:t>proceeds</w:t>
      </w:r>
      <w:r>
        <w:rPr>
          <w:spacing w:val="-4"/>
        </w:rPr>
        <w:t> </w:t>
      </w:r>
      <w:r>
        <w:rPr/>
        <w:t>were approximately</w:t>
      </w:r>
      <w:r>
        <w:rPr>
          <w:spacing w:val="6"/>
        </w:rPr>
        <w:t> </w:t>
      </w:r>
      <w:r>
        <w:rPr/>
        <w:t>$989.3</w:t>
      </w:r>
      <w:r>
        <w:rPr>
          <w:spacing w:val="8"/>
        </w:rPr>
        <w:t> </w:t>
      </w:r>
      <w:r>
        <w:rPr/>
        <w:t>million</w:t>
      </w:r>
      <w:r>
        <w:rPr>
          <w:spacing w:val="8"/>
        </w:rPr>
        <w:t> </w:t>
      </w:r>
      <w:r>
        <w:rPr/>
        <w:t>which</w:t>
      </w:r>
      <w:r>
        <w:rPr>
          <w:spacing w:val="8"/>
        </w:rPr>
        <w:t> </w:t>
      </w:r>
      <w:r>
        <w:rPr/>
        <w:t>is</w:t>
      </w:r>
      <w:r>
        <w:rPr>
          <w:spacing w:val="8"/>
        </w:rPr>
        <w:t> </w:t>
      </w:r>
      <w:r>
        <w:rPr/>
        <w:t>net</w:t>
      </w:r>
      <w:r>
        <w:rPr>
          <w:spacing w:val="9"/>
        </w:rPr>
        <w:t> </w:t>
      </w:r>
      <w:r>
        <w:rPr/>
        <w:t>of</w:t>
      </w:r>
      <w:r>
        <w:rPr>
          <w:spacing w:val="7"/>
        </w:rPr>
        <w:t> </w:t>
      </w:r>
      <w:r>
        <w:rPr/>
        <w:t>an</w:t>
      </w:r>
      <w:r>
        <w:rPr>
          <w:spacing w:val="9"/>
        </w:rPr>
        <w:t> </w:t>
      </w:r>
      <w:r>
        <w:rPr/>
        <w:t>issuance</w:t>
      </w:r>
      <w:r>
        <w:rPr>
          <w:spacing w:val="8"/>
        </w:rPr>
        <w:t> </w:t>
      </w:r>
      <w:r>
        <w:rPr/>
        <w:t>discount</w:t>
      </w:r>
      <w:r>
        <w:rPr>
          <w:spacing w:val="7"/>
        </w:rPr>
        <w:t> </w:t>
      </w:r>
      <w:r>
        <w:rPr/>
        <w:t>of</w:t>
      </w:r>
      <w:r>
        <w:rPr>
          <w:spacing w:val="8"/>
        </w:rPr>
        <w:t> </w:t>
      </w:r>
      <w:r>
        <w:rPr/>
        <w:t>$10.7</w:t>
      </w:r>
      <w:r>
        <w:rPr>
          <w:spacing w:val="9"/>
        </w:rPr>
        <w:t> </w:t>
      </w:r>
      <w:r>
        <w:rPr/>
        <w:t>million.</w:t>
      </w:r>
      <w:r>
        <w:rPr>
          <w:spacing w:val="8"/>
        </w:rPr>
        <w:t> </w:t>
      </w:r>
      <w:r>
        <w:rPr/>
        <w:t>In</w:t>
      </w:r>
      <w:r>
        <w:rPr>
          <w:spacing w:val="8"/>
        </w:rPr>
        <w:t> </w:t>
      </w:r>
      <w:r>
        <w:rPr/>
        <w:t>addition,</w:t>
      </w:r>
      <w:r>
        <w:rPr>
          <w:spacing w:val="8"/>
        </w:rPr>
        <w:t> </w:t>
      </w:r>
      <w:r>
        <w:rPr/>
        <w:t>we</w:t>
      </w:r>
      <w:r>
        <w:rPr>
          <w:spacing w:val="7"/>
        </w:rPr>
        <w:t> </w:t>
      </w:r>
      <w:r>
        <w:rPr/>
        <w:t>incurred</w:t>
      </w:r>
      <w:r>
        <w:rPr>
          <w:spacing w:val="8"/>
        </w:rPr>
        <w:t> </w:t>
      </w:r>
      <w:r>
        <w:rPr/>
        <w:t>issuance</w:t>
      </w:r>
      <w:r>
        <w:rPr>
          <w:spacing w:val="8"/>
        </w:rPr>
        <w:t> </w:t>
      </w:r>
      <w:r>
        <w:rPr/>
        <w:t>costs</w:t>
      </w:r>
      <w:r>
        <w:rPr>
          <w:spacing w:val="8"/>
        </w:rPr>
        <w:t> </w:t>
      </w:r>
      <w:r>
        <w:rPr>
          <w:spacing w:val="-5"/>
        </w:rPr>
        <w:t>of</w:t>
      </w:r>
    </w:p>
    <w:p>
      <w:pPr>
        <w:pStyle w:val="BodyText"/>
        <w:spacing w:line="249" w:lineRule="auto" w:before="1"/>
        <w:ind w:left="220" w:right="257"/>
        <w:jc w:val="both"/>
      </w:pPr>
      <w:r>
        <w:rPr/>
        <w:t>$7.9</w:t>
      </w:r>
      <w:r>
        <w:rPr>
          <w:spacing w:val="-3"/>
        </w:rPr>
        <w:t> </w:t>
      </w:r>
      <w:r>
        <w:rPr/>
        <w:t>million.</w:t>
      </w:r>
      <w:r>
        <w:rPr>
          <w:spacing w:val="-3"/>
        </w:rPr>
        <w:t> </w:t>
      </w:r>
      <w:r>
        <w:rPr/>
        <w:t>Both</w:t>
      </w:r>
      <w:r>
        <w:rPr>
          <w:spacing w:val="-3"/>
        </w:rPr>
        <w:t> </w:t>
      </w:r>
      <w:r>
        <w:rPr/>
        <w:t>the</w:t>
      </w:r>
      <w:r>
        <w:rPr>
          <w:spacing w:val="-3"/>
        </w:rPr>
        <w:t> </w:t>
      </w:r>
      <w:r>
        <w:rPr/>
        <w:t>discount</w:t>
      </w:r>
      <w:r>
        <w:rPr>
          <w:spacing w:val="-4"/>
        </w:rPr>
        <w:t> </w:t>
      </w:r>
      <w:r>
        <w:rPr/>
        <w:t>and</w:t>
      </w:r>
      <w:r>
        <w:rPr>
          <w:spacing w:val="-3"/>
        </w:rPr>
        <w:t> </w:t>
      </w:r>
      <w:r>
        <w:rPr/>
        <w:t>issuance</w:t>
      </w:r>
      <w:r>
        <w:rPr>
          <w:spacing w:val="-4"/>
        </w:rPr>
        <w:t> </w:t>
      </w:r>
      <w:r>
        <w:rPr/>
        <w:t>costs</w:t>
      </w:r>
      <w:r>
        <w:rPr>
          <w:spacing w:val="-3"/>
        </w:rPr>
        <w:t> </w:t>
      </w:r>
      <w:r>
        <w:rPr/>
        <w:t>are</w:t>
      </w:r>
      <w:r>
        <w:rPr>
          <w:spacing w:val="-3"/>
        </w:rPr>
        <w:t> </w:t>
      </w:r>
      <w:r>
        <w:rPr/>
        <w:t>being</w:t>
      </w:r>
      <w:r>
        <w:rPr>
          <w:spacing w:val="-3"/>
        </w:rPr>
        <w:t> </w:t>
      </w:r>
      <w:r>
        <w:rPr/>
        <w:t>amortized</w:t>
      </w:r>
      <w:r>
        <w:rPr>
          <w:spacing w:val="-3"/>
        </w:rPr>
        <w:t> </w:t>
      </w:r>
      <w:r>
        <w:rPr/>
        <w:t>to</w:t>
      </w:r>
      <w:r>
        <w:rPr>
          <w:spacing w:val="-3"/>
        </w:rPr>
        <w:t> </w:t>
      </w:r>
      <w:r>
        <w:rPr/>
        <w:t>interest</w:t>
      </w:r>
      <w:r>
        <w:rPr>
          <w:spacing w:val="-4"/>
        </w:rPr>
        <w:t> </w:t>
      </w:r>
      <w:r>
        <w:rPr/>
        <w:t>expense</w:t>
      </w:r>
      <w:r>
        <w:rPr>
          <w:spacing w:val="-3"/>
        </w:rPr>
        <w:t> </w:t>
      </w:r>
      <w:r>
        <w:rPr/>
        <w:t>over</w:t>
      </w:r>
      <w:r>
        <w:rPr>
          <w:spacing w:val="-3"/>
        </w:rPr>
        <w:t> </w:t>
      </w:r>
      <w:r>
        <w:rPr/>
        <w:t>the</w:t>
      </w:r>
      <w:r>
        <w:rPr>
          <w:spacing w:val="-3"/>
        </w:rPr>
        <w:t> </w:t>
      </w:r>
      <w:r>
        <w:rPr/>
        <w:t>term</w:t>
      </w:r>
      <w:r>
        <w:rPr>
          <w:spacing w:val="-3"/>
        </w:rPr>
        <w:t> </w:t>
      </w:r>
      <w:r>
        <w:rPr/>
        <w:t>of</w:t>
      </w:r>
      <w:r>
        <w:rPr>
          <w:spacing w:val="-3"/>
        </w:rPr>
        <w:t> </w:t>
      </w:r>
      <w:r>
        <w:rPr/>
        <w:t>the</w:t>
      </w:r>
      <w:r>
        <w:rPr>
          <w:spacing w:val="-3"/>
        </w:rPr>
        <w:t> </w:t>
      </w:r>
      <w:r>
        <w:rPr/>
        <w:t>2025</w:t>
      </w:r>
      <w:r>
        <w:rPr>
          <w:spacing w:val="-3"/>
        </w:rPr>
        <w:t> </w:t>
      </w:r>
      <w:r>
        <w:rPr/>
        <w:t>Notes</w:t>
      </w:r>
      <w:r>
        <w:rPr>
          <w:spacing w:val="-3"/>
        </w:rPr>
        <w:t> </w:t>
      </w:r>
      <w:r>
        <w:rPr/>
        <w:t>using </w:t>
      </w:r>
      <w:r>
        <w:rPr>
          <w:spacing w:val="-2"/>
        </w:rPr>
        <w:t>the</w:t>
      </w:r>
      <w:r>
        <w:rPr>
          <w:spacing w:val="-11"/>
        </w:rPr>
        <w:t> </w:t>
      </w:r>
      <w:r>
        <w:rPr>
          <w:spacing w:val="-2"/>
        </w:rPr>
        <w:t>effective</w:t>
      </w:r>
      <w:r>
        <w:rPr>
          <w:spacing w:val="-10"/>
        </w:rPr>
        <w:t> </w:t>
      </w:r>
      <w:r>
        <w:rPr>
          <w:spacing w:val="-2"/>
        </w:rPr>
        <w:t>interest</w:t>
      </w:r>
      <w:r>
        <w:rPr>
          <w:spacing w:val="-11"/>
        </w:rPr>
        <w:t> </w:t>
      </w:r>
      <w:r>
        <w:rPr>
          <w:spacing w:val="-2"/>
        </w:rPr>
        <w:t>method.</w:t>
      </w:r>
      <w:r>
        <w:rPr>
          <w:spacing w:val="-10"/>
        </w:rPr>
        <w:t> </w:t>
      </w:r>
      <w:r>
        <w:rPr>
          <w:spacing w:val="-2"/>
        </w:rPr>
        <w:t>The</w:t>
      </w:r>
      <w:r>
        <w:rPr>
          <w:spacing w:val="-11"/>
        </w:rPr>
        <w:t> </w:t>
      </w:r>
      <w:r>
        <w:rPr>
          <w:spacing w:val="-2"/>
        </w:rPr>
        <w:t>2025</w:t>
      </w:r>
      <w:r>
        <w:rPr>
          <w:spacing w:val="-10"/>
        </w:rPr>
        <w:t> </w:t>
      </w:r>
      <w:r>
        <w:rPr>
          <w:spacing w:val="-2"/>
        </w:rPr>
        <w:t>Notes</w:t>
      </w:r>
      <w:r>
        <w:rPr>
          <w:spacing w:val="-11"/>
        </w:rPr>
        <w:t> </w:t>
      </w:r>
      <w:r>
        <w:rPr>
          <w:spacing w:val="-2"/>
        </w:rPr>
        <w:t>rank</w:t>
      </w:r>
      <w:r>
        <w:rPr>
          <w:spacing w:val="-10"/>
        </w:rPr>
        <w:t> </w:t>
      </w:r>
      <w:r>
        <w:rPr>
          <w:spacing w:val="-2"/>
        </w:rPr>
        <w:t>equally</w:t>
      </w:r>
      <w:r>
        <w:rPr>
          <w:spacing w:val="-11"/>
        </w:rPr>
        <w:t> </w:t>
      </w:r>
      <w:r>
        <w:rPr>
          <w:spacing w:val="-2"/>
        </w:rPr>
        <w:t>with</w:t>
      </w:r>
      <w:r>
        <w:rPr>
          <w:spacing w:val="-10"/>
        </w:rPr>
        <w:t> </w:t>
      </w:r>
      <w:r>
        <w:rPr>
          <w:spacing w:val="-2"/>
        </w:rPr>
        <w:t>our</w:t>
      </w:r>
      <w:r>
        <w:rPr>
          <w:spacing w:val="-11"/>
        </w:rPr>
        <w:t> </w:t>
      </w:r>
      <w:r>
        <w:rPr>
          <w:spacing w:val="-2"/>
        </w:rPr>
        <w:t>other</w:t>
      </w:r>
      <w:r>
        <w:rPr>
          <w:spacing w:val="-10"/>
        </w:rPr>
        <w:t> </w:t>
      </w:r>
      <w:r>
        <w:rPr>
          <w:spacing w:val="-2"/>
        </w:rPr>
        <w:t>unsecured</w:t>
      </w:r>
      <w:r>
        <w:rPr>
          <w:spacing w:val="-11"/>
        </w:rPr>
        <w:t> </w:t>
      </w:r>
      <w:r>
        <w:rPr>
          <w:spacing w:val="-2"/>
        </w:rPr>
        <w:t>and</w:t>
      </w:r>
      <w:r>
        <w:rPr>
          <w:spacing w:val="-10"/>
        </w:rPr>
        <w:t> </w:t>
      </w:r>
      <w:r>
        <w:rPr>
          <w:spacing w:val="-2"/>
        </w:rPr>
        <w:t>unsubordinated</w:t>
      </w:r>
      <w:r>
        <w:rPr>
          <w:spacing w:val="-11"/>
        </w:rPr>
        <w:t> </w:t>
      </w:r>
      <w:r>
        <w:rPr>
          <w:spacing w:val="-2"/>
        </w:rPr>
        <w:t>indebtedness.</w:t>
      </w:r>
      <w:r>
        <w:rPr>
          <w:spacing w:val="-10"/>
        </w:rPr>
        <w:t> </w:t>
      </w:r>
      <w:r>
        <w:rPr>
          <w:spacing w:val="-2"/>
        </w:rPr>
        <w:t>The</w:t>
      </w:r>
      <w:r>
        <w:rPr>
          <w:spacing w:val="-11"/>
        </w:rPr>
        <w:t> </w:t>
      </w:r>
      <w:r>
        <w:rPr>
          <w:spacing w:val="-2"/>
        </w:rPr>
        <w:t>effective interest</w:t>
      </w:r>
      <w:r>
        <w:rPr>
          <w:spacing w:val="-7"/>
        </w:rPr>
        <w:t> </w:t>
      </w:r>
      <w:r>
        <w:rPr>
          <w:spacing w:val="-2"/>
        </w:rPr>
        <w:t>rate</w:t>
      </w:r>
      <w:r>
        <w:rPr>
          <w:spacing w:val="-6"/>
        </w:rPr>
        <w:t> </w:t>
      </w:r>
      <w:r>
        <w:rPr>
          <w:spacing w:val="-2"/>
        </w:rPr>
        <w:t>including</w:t>
      </w:r>
      <w:r>
        <w:rPr>
          <w:spacing w:val="-7"/>
        </w:rPr>
        <w:t> </w:t>
      </w:r>
      <w:r>
        <w:rPr>
          <w:spacing w:val="-2"/>
        </w:rPr>
        <w:t>the</w:t>
      </w:r>
      <w:r>
        <w:rPr>
          <w:spacing w:val="-6"/>
        </w:rPr>
        <w:t> </w:t>
      </w:r>
      <w:r>
        <w:rPr>
          <w:spacing w:val="-2"/>
        </w:rPr>
        <w:t>discount,</w:t>
      </w:r>
      <w:r>
        <w:rPr>
          <w:spacing w:val="-6"/>
        </w:rPr>
        <w:t> </w:t>
      </w:r>
      <w:r>
        <w:rPr>
          <w:spacing w:val="-2"/>
        </w:rPr>
        <w:t>issuance</w:t>
      </w:r>
      <w:r>
        <w:rPr>
          <w:spacing w:val="-7"/>
        </w:rPr>
        <w:t> </w:t>
      </w:r>
      <w:r>
        <w:rPr>
          <w:spacing w:val="-2"/>
        </w:rPr>
        <w:t>costs</w:t>
      </w:r>
      <w:r>
        <w:rPr>
          <w:spacing w:val="-6"/>
        </w:rPr>
        <w:t> </w:t>
      </w:r>
      <w:r>
        <w:rPr>
          <w:spacing w:val="-2"/>
        </w:rPr>
        <w:t>and</w:t>
      </w:r>
      <w:r>
        <w:rPr>
          <w:spacing w:val="-6"/>
        </w:rPr>
        <w:t> </w:t>
      </w:r>
      <w:r>
        <w:rPr>
          <w:spacing w:val="-2"/>
        </w:rPr>
        <w:t>interest</w:t>
      </w:r>
      <w:r>
        <w:rPr>
          <w:spacing w:val="-7"/>
        </w:rPr>
        <w:t> </w:t>
      </w:r>
      <w:r>
        <w:rPr>
          <w:spacing w:val="-2"/>
        </w:rPr>
        <w:t>rate</w:t>
      </w:r>
      <w:r>
        <w:rPr>
          <w:spacing w:val="-6"/>
        </w:rPr>
        <w:t> </w:t>
      </w:r>
      <w:r>
        <w:rPr>
          <w:spacing w:val="-2"/>
        </w:rPr>
        <w:t>agreement</w:t>
      </w:r>
      <w:r>
        <w:rPr>
          <w:spacing w:val="-7"/>
        </w:rPr>
        <w:t> </w:t>
      </w:r>
      <w:r>
        <w:rPr>
          <w:spacing w:val="-2"/>
        </w:rPr>
        <w:t>is</w:t>
      </w:r>
      <w:r>
        <w:rPr>
          <w:spacing w:val="-6"/>
        </w:rPr>
        <w:t> </w:t>
      </w:r>
      <w:r>
        <w:rPr>
          <w:spacing w:val="-2"/>
        </w:rPr>
        <w:t>3.67%.</w:t>
      </w:r>
      <w:r>
        <w:rPr>
          <w:spacing w:val="-6"/>
        </w:rPr>
        <w:t> </w:t>
      </w:r>
      <w:r>
        <w:rPr>
          <w:spacing w:val="-2"/>
        </w:rPr>
        <w:t>Interest</w:t>
      </w:r>
      <w:r>
        <w:rPr>
          <w:spacing w:val="-7"/>
        </w:rPr>
        <w:t> </w:t>
      </w:r>
      <w:r>
        <w:rPr>
          <w:spacing w:val="-2"/>
        </w:rPr>
        <w:t>is</w:t>
      </w:r>
      <w:r>
        <w:rPr>
          <w:spacing w:val="-6"/>
        </w:rPr>
        <w:t> </w:t>
      </w:r>
      <w:r>
        <w:rPr>
          <w:spacing w:val="-2"/>
        </w:rPr>
        <w:t>payable</w:t>
      </w:r>
      <w:r>
        <w:rPr>
          <w:spacing w:val="-7"/>
        </w:rPr>
        <w:t> </w:t>
      </w:r>
      <w:r>
        <w:rPr>
          <w:spacing w:val="-2"/>
        </w:rPr>
        <w:t>semi-annually,</w:t>
      </w:r>
      <w:r>
        <w:rPr>
          <w:spacing w:val="-6"/>
        </w:rPr>
        <w:t> </w:t>
      </w:r>
      <w:r>
        <w:rPr>
          <w:spacing w:val="-2"/>
        </w:rPr>
        <w:t>in</w:t>
      </w:r>
      <w:r>
        <w:rPr>
          <w:spacing w:val="-6"/>
        </w:rPr>
        <w:t> </w:t>
      </w:r>
      <w:r>
        <w:rPr>
          <w:spacing w:val="-2"/>
        </w:rPr>
        <w:t>arrears </w:t>
      </w:r>
      <w:r>
        <w:rPr/>
        <w:t>on February 1 and</w:t>
      </w:r>
      <w:r>
        <w:rPr>
          <w:spacing w:val="-11"/>
        </w:rPr>
        <w:t> </w:t>
      </w:r>
      <w:r>
        <w:rPr/>
        <w:t>August 1, and</w:t>
      </w:r>
      <w:r>
        <w:rPr>
          <w:spacing w:val="1"/>
        </w:rPr>
        <w:t> </w:t>
      </w:r>
      <w:r>
        <w:rPr/>
        <w:t>commenced on</w:t>
      </w:r>
      <w:r>
        <w:rPr>
          <w:spacing w:val="-12"/>
        </w:rPr>
        <w:t> </w:t>
      </w:r>
      <w:r>
        <w:rPr/>
        <w:t>August 1,</w:t>
      </w:r>
      <w:r>
        <w:rPr>
          <w:spacing w:val="-1"/>
        </w:rPr>
        <w:t> </w:t>
      </w:r>
      <w:r>
        <w:rPr/>
        <w:t>2015.</w:t>
      </w:r>
      <w:r>
        <w:rPr>
          <w:spacing w:val="-12"/>
        </w:rPr>
        <w:t> </w:t>
      </w:r>
      <w:r>
        <w:rPr/>
        <w:t>A</w:t>
      </w:r>
      <w:r>
        <w:rPr>
          <w:spacing w:val="-10"/>
        </w:rPr>
        <w:t> </w:t>
      </w:r>
      <w:r>
        <w:rPr/>
        <w:t>portion of the</w:t>
      </w:r>
      <w:r>
        <w:rPr>
          <w:spacing w:val="1"/>
        </w:rPr>
        <w:t> </w:t>
      </w:r>
      <w:r>
        <w:rPr/>
        <w:t>proceeds from</w:t>
      </w:r>
      <w:r>
        <w:rPr>
          <w:spacing w:val="-1"/>
        </w:rPr>
        <w:t> </w:t>
      </w:r>
      <w:r>
        <w:rPr/>
        <w:t>this offering</w:t>
      </w:r>
      <w:r>
        <w:rPr>
          <w:spacing w:val="1"/>
        </w:rPr>
        <w:t> </w:t>
      </w:r>
      <w:r>
        <w:rPr/>
        <w:t>was used to</w:t>
      </w:r>
      <w:r>
        <w:rPr>
          <w:spacing w:val="1"/>
        </w:rPr>
        <w:t> </w:t>
      </w:r>
      <w:r>
        <w:rPr>
          <w:spacing w:val="-2"/>
        </w:rPr>
        <w:t>repay</w:t>
      </w:r>
    </w:p>
    <w:p>
      <w:pPr>
        <w:pStyle w:val="BodyText"/>
        <w:spacing w:line="249" w:lineRule="auto" w:before="4"/>
        <w:ind w:left="220" w:right="257"/>
        <w:jc w:val="both"/>
      </w:pPr>
      <w:r>
        <w:rPr>
          <w:spacing w:val="-2"/>
        </w:rPr>
        <w:t>$600</w:t>
      </w:r>
      <w:r>
        <w:rPr>
          <w:spacing w:val="-7"/>
        </w:rPr>
        <w:t> </w:t>
      </w:r>
      <w:r>
        <w:rPr>
          <w:spacing w:val="-2"/>
        </w:rPr>
        <w:t>million</w:t>
      </w:r>
      <w:r>
        <w:rPr>
          <w:spacing w:val="-7"/>
        </w:rPr>
        <w:t> </w:t>
      </w:r>
      <w:r>
        <w:rPr>
          <w:spacing w:val="-2"/>
        </w:rPr>
        <w:t>in</w:t>
      </w:r>
      <w:r>
        <w:rPr>
          <w:spacing w:val="-7"/>
        </w:rPr>
        <w:t> </w:t>
      </w:r>
      <w:r>
        <w:rPr>
          <w:spacing w:val="-2"/>
        </w:rPr>
        <w:t>aggregate</w:t>
      </w:r>
      <w:r>
        <w:rPr>
          <w:spacing w:val="-7"/>
        </w:rPr>
        <w:t> </w:t>
      </w:r>
      <w:r>
        <w:rPr>
          <w:spacing w:val="-2"/>
        </w:rPr>
        <w:t>principal</w:t>
      </w:r>
      <w:r>
        <w:rPr>
          <w:spacing w:val="-7"/>
        </w:rPr>
        <w:t> </w:t>
      </w:r>
      <w:r>
        <w:rPr>
          <w:spacing w:val="-2"/>
        </w:rPr>
        <w:t>amount</w:t>
      </w:r>
      <w:r>
        <w:rPr>
          <w:spacing w:val="-7"/>
        </w:rPr>
        <w:t> </w:t>
      </w:r>
      <w:r>
        <w:rPr>
          <w:spacing w:val="-2"/>
        </w:rPr>
        <w:t>of</w:t>
      </w:r>
      <w:r>
        <w:rPr>
          <w:spacing w:val="-7"/>
        </w:rPr>
        <w:t> </w:t>
      </w:r>
      <w:r>
        <w:rPr>
          <w:spacing w:val="-2"/>
        </w:rPr>
        <w:t>previously</w:t>
      </w:r>
      <w:r>
        <w:rPr>
          <w:spacing w:val="-7"/>
        </w:rPr>
        <w:t> </w:t>
      </w:r>
      <w:r>
        <w:rPr>
          <w:spacing w:val="-2"/>
        </w:rPr>
        <w:t>outstanding</w:t>
      </w:r>
      <w:r>
        <w:rPr>
          <w:spacing w:val="-7"/>
        </w:rPr>
        <w:t> </w:t>
      </w:r>
      <w:r>
        <w:rPr>
          <w:spacing w:val="-2"/>
        </w:rPr>
        <w:t>senior</w:t>
      </w:r>
      <w:r>
        <w:rPr>
          <w:spacing w:val="-7"/>
        </w:rPr>
        <w:t> </w:t>
      </w:r>
      <w:r>
        <w:rPr>
          <w:spacing w:val="-2"/>
        </w:rPr>
        <w:t>notes</w:t>
      </w:r>
      <w:r>
        <w:rPr>
          <w:spacing w:val="-5"/>
        </w:rPr>
        <w:t> </w:t>
      </w:r>
      <w:r>
        <w:rPr>
          <w:spacing w:val="-2"/>
        </w:rPr>
        <w:t>plus</w:t>
      </w:r>
      <w:r>
        <w:rPr>
          <w:spacing w:val="-7"/>
        </w:rPr>
        <w:t> </w:t>
      </w:r>
      <w:r>
        <w:rPr>
          <w:spacing w:val="-2"/>
        </w:rPr>
        <w:t>accrued</w:t>
      </w:r>
      <w:r>
        <w:rPr>
          <w:spacing w:val="-7"/>
        </w:rPr>
        <w:t> </w:t>
      </w:r>
      <w:r>
        <w:rPr>
          <w:spacing w:val="-2"/>
        </w:rPr>
        <w:t>and</w:t>
      </w:r>
      <w:r>
        <w:rPr>
          <w:spacing w:val="-7"/>
        </w:rPr>
        <w:t> </w:t>
      </w:r>
      <w:r>
        <w:rPr>
          <w:spacing w:val="-2"/>
        </w:rPr>
        <w:t>unpaid</w:t>
      </w:r>
      <w:r>
        <w:rPr>
          <w:spacing w:val="-7"/>
        </w:rPr>
        <w:t> </w:t>
      </w:r>
      <w:r>
        <w:rPr>
          <w:spacing w:val="-2"/>
        </w:rPr>
        <w:t>interest</w:t>
      </w:r>
      <w:r>
        <w:rPr>
          <w:spacing w:val="-7"/>
        </w:rPr>
        <w:t> </w:t>
      </w:r>
      <w:r>
        <w:rPr>
          <w:spacing w:val="-2"/>
        </w:rPr>
        <w:t>due</w:t>
      </w:r>
      <w:r>
        <w:rPr>
          <w:spacing w:val="-7"/>
        </w:rPr>
        <w:t> </w:t>
      </w:r>
      <w:r>
        <w:rPr>
          <w:spacing w:val="-2"/>
        </w:rPr>
        <w:t>February</w:t>
      </w:r>
      <w:r>
        <w:rPr>
          <w:spacing w:val="16"/>
        </w:rPr>
        <w:t> </w:t>
      </w:r>
      <w:r>
        <w:rPr>
          <w:spacing w:val="-2"/>
        </w:rPr>
        <w:t>1, </w:t>
      </w:r>
      <w:r>
        <w:rPr/>
        <w:t>2015. The remaining proceeds were used for general corporate purposes.</w:t>
      </w:r>
    </w:p>
    <w:p>
      <w:pPr>
        <w:pStyle w:val="BodyText"/>
        <w:spacing w:before="11"/>
      </w:pPr>
    </w:p>
    <w:p>
      <w:pPr>
        <w:pStyle w:val="BodyText"/>
        <w:spacing w:line="249" w:lineRule="auto"/>
        <w:ind w:left="220" w:right="257" w:firstLine="540"/>
        <w:jc w:val="both"/>
      </w:pPr>
      <w:r>
        <w:rPr/>
        <w:t>As of December</w:t>
      </w:r>
      <w:r>
        <w:rPr>
          <w:spacing w:val="-2"/>
        </w:rPr>
        <w:t> </w:t>
      </w:r>
      <w:r>
        <w:rPr/>
        <w:t>1, 2017, our outstanding notes payable consist of the 2020 Notes and 2025 Notes (the “Notes”) with a total</w:t>
      </w:r>
      <w:r>
        <w:rPr>
          <w:spacing w:val="-13"/>
        </w:rPr>
        <w:t> </w:t>
      </w:r>
      <w:r>
        <w:rPr/>
        <w:t>carrying</w:t>
      </w:r>
      <w:r>
        <w:rPr>
          <w:spacing w:val="-12"/>
        </w:rPr>
        <w:t> </w:t>
      </w:r>
      <w:r>
        <w:rPr/>
        <w:t>value</w:t>
      </w:r>
      <w:r>
        <w:rPr>
          <w:spacing w:val="-13"/>
        </w:rPr>
        <w:t> </w:t>
      </w:r>
      <w:r>
        <w:rPr/>
        <w:t>of</w:t>
      </w:r>
      <w:r>
        <w:rPr>
          <w:spacing w:val="-12"/>
        </w:rPr>
        <w:t> </w:t>
      </w:r>
      <w:r>
        <w:rPr/>
        <w:t>$1.88</w:t>
      </w:r>
      <w:r>
        <w:rPr>
          <w:spacing w:val="-13"/>
        </w:rPr>
        <w:t> </w:t>
      </w:r>
      <w:r>
        <w:rPr/>
        <w:t>billion,</w:t>
      </w:r>
      <w:r>
        <w:rPr>
          <w:spacing w:val="-12"/>
        </w:rPr>
        <w:t> </w:t>
      </w:r>
      <w:r>
        <w:rPr/>
        <w:t>which</w:t>
      </w:r>
      <w:r>
        <w:rPr>
          <w:spacing w:val="-13"/>
        </w:rPr>
        <w:t> </w:t>
      </w:r>
      <w:r>
        <w:rPr/>
        <w:t>includes</w:t>
      </w:r>
      <w:r>
        <w:rPr>
          <w:spacing w:val="-12"/>
        </w:rPr>
        <w:t> </w:t>
      </w:r>
      <w:r>
        <w:rPr/>
        <w:t>the</w:t>
      </w:r>
      <w:r>
        <w:rPr>
          <w:spacing w:val="-13"/>
        </w:rPr>
        <w:t> </w:t>
      </w:r>
      <w:r>
        <w:rPr/>
        <w:t>fair</w:t>
      </w:r>
      <w:r>
        <w:rPr>
          <w:spacing w:val="-12"/>
        </w:rPr>
        <w:t> </w:t>
      </w:r>
      <w:r>
        <w:rPr/>
        <w:t>value</w:t>
      </w:r>
      <w:r>
        <w:rPr>
          <w:spacing w:val="-13"/>
        </w:rPr>
        <w:t> </w:t>
      </w:r>
      <w:r>
        <w:rPr/>
        <w:t>of</w:t>
      </w:r>
      <w:r>
        <w:rPr>
          <w:spacing w:val="-12"/>
        </w:rPr>
        <w:t> </w:t>
      </w:r>
      <w:r>
        <w:rPr/>
        <w:t>the</w:t>
      </w:r>
      <w:r>
        <w:rPr>
          <w:spacing w:val="-13"/>
        </w:rPr>
        <w:t> </w:t>
      </w:r>
      <w:r>
        <w:rPr/>
        <w:t>interest</w:t>
      </w:r>
      <w:r>
        <w:rPr>
          <w:spacing w:val="-12"/>
        </w:rPr>
        <w:t> </w:t>
      </w:r>
      <w:r>
        <w:rPr/>
        <w:t>rate</w:t>
      </w:r>
      <w:r>
        <w:rPr>
          <w:spacing w:val="-13"/>
        </w:rPr>
        <w:t> </w:t>
      </w:r>
      <w:r>
        <w:rPr/>
        <w:t>swaps</w:t>
      </w:r>
      <w:r>
        <w:rPr>
          <w:spacing w:val="-12"/>
        </w:rPr>
        <w:t> </w:t>
      </w:r>
      <w:r>
        <w:rPr/>
        <w:t>and</w:t>
      </w:r>
      <w:r>
        <w:rPr>
          <w:spacing w:val="-13"/>
        </w:rPr>
        <w:t> </w:t>
      </w:r>
      <w:r>
        <w:rPr/>
        <w:t>is</w:t>
      </w:r>
      <w:r>
        <w:rPr>
          <w:spacing w:val="-12"/>
        </w:rPr>
        <w:t> </w:t>
      </w:r>
      <w:r>
        <w:rPr/>
        <w:t>net</w:t>
      </w:r>
      <w:r>
        <w:rPr>
          <w:spacing w:val="-13"/>
        </w:rPr>
        <w:t> </w:t>
      </w:r>
      <w:r>
        <w:rPr/>
        <w:t>of</w:t>
      </w:r>
      <w:r>
        <w:rPr>
          <w:spacing w:val="-12"/>
        </w:rPr>
        <w:t> </w:t>
      </w:r>
      <w:r>
        <w:rPr/>
        <w:t>debt</w:t>
      </w:r>
      <w:r>
        <w:rPr>
          <w:spacing w:val="-13"/>
        </w:rPr>
        <w:t> </w:t>
      </w:r>
      <w:r>
        <w:rPr/>
        <w:t>issuance</w:t>
      </w:r>
      <w:r>
        <w:rPr>
          <w:spacing w:val="-12"/>
        </w:rPr>
        <w:t> </w:t>
      </w:r>
      <w:r>
        <w:rPr/>
        <w:t>costs.</w:t>
      </w:r>
      <w:r>
        <w:rPr>
          <w:spacing w:val="-13"/>
        </w:rPr>
        <w:t> </w:t>
      </w:r>
      <w:r>
        <w:rPr/>
        <w:t>Based on quoted prices in inactive markets, the fair value of the Notes was $1.98 billion as of December</w:t>
      </w:r>
      <w:r>
        <w:rPr>
          <w:spacing w:val="-1"/>
        </w:rPr>
        <w:t> </w:t>
      </w:r>
      <w:r>
        <w:rPr/>
        <w:t>1, 2017, which excludes the effect of the fair value of the interest rate swaps described above.</w:t>
      </w:r>
    </w:p>
    <w:p>
      <w:pPr>
        <w:pStyle w:val="BodyText"/>
        <w:spacing w:before="13"/>
      </w:pPr>
    </w:p>
    <w:p>
      <w:pPr>
        <w:pStyle w:val="BodyText"/>
        <w:spacing w:line="249" w:lineRule="auto" w:before="1"/>
        <w:ind w:left="220" w:right="257" w:firstLine="540"/>
        <w:jc w:val="both"/>
      </w:pPr>
      <w:r>
        <w:rPr>
          <w:spacing w:val="-2"/>
        </w:rPr>
        <w:t>We</w:t>
      </w:r>
      <w:r>
        <w:rPr>
          <w:spacing w:val="-7"/>
        </w:rPr>
        <w:t> </w:t>
      </w:r>
      <w:r>
        <w:rPr>
          <w:spacing w:val="-2"/>
        </w:rPr>
        <w:t>may</w:t>
      </w:r>
      <w:r>
        <w:rPr>
          <w:spacing w:val="-7"/>
        </w:rPr>
        <w:t> </w:t>
      </w:r>
      <w:r>
        <w:rPr>
          <w:spacing w:val="-2"/>
        </w:rPr>
        <w:t>redeem</w:t>
      </w:r>
      <w:r>
        <w:rPr>
          <w:spacing w:val="-7"/>
        </w:rPr>
        <w:t> </w:t>
      </w:r>
      <w:r>
        <w:rPr>
          <w:spacing w:val="-2"/>
        </w:rPr>
        <w:t>the</w:t>
      </w:r>
      <w:r>
        <w:rPr>
          <w:spacing w:val="-7"/>
        </w:rPr>
        <w:t> </w:t>
      </w:r>
      <w:r>
        <w:rPr>
          <w:spacing w:val="-2"/>
        </w:rPr>
        <w:t>Notes</w:t>
      </w:r>
      <w:r>
        <w:rPr>
          <w:spacing w:val="-7"/>
        </w:rPr>
        <w:t> </w:t>
      </w:r>
      <w:r>
        <w:rPr>
          <w:spacing w:val="-2"/>
        </w:rPr>
        <w:t>at</w:t>
      </w:r>
      <w:r>
        <w:rPr>
          <w:spacing w:val="-7"/>
        </w:rPr>
        <w:t> </w:t>
      </w:r>
      <w:r>
        <w:rPr>
          <w:spacing w:val="-2"/>
        </w:rPr>
        <w:t>any</w:t>
      </w:r>
      <w:r>
        <w:rPr>
          <w:spacing w:val="-7"/>
        </w:rPr>
        <w:t> </w:t>
      </w:r>
      <w:r>
        <w:rPr>
          <w:spacing w:val="-2"/>
        </w:rPr>
        <w:t>time,</w:t>
      </w:r>
      <w:r>
        <w:rPr>
          <w:spacing w:val="-7"/>
        </w:rPr>
        <w:t> </w:t>
      </w:r>
      <w:r>
        <w:rPr>
          <w:spacing w:val="-2"/>
        </w:rPr>
        <w:t>subject</w:t>
      </w:r>
      <w:r>
        <w:rPr>
          <w:spacing w:val="-7"/>
        </w:rPr>
        <w:t> </w:t>
      </w:r>
      <w:r>
        <w:rPr>
          <w:spacing w:val="-2"/>
        </w:rPr>
        <w:t>to</w:t>
      </w:r>
      <w:r>
        <w:rPr>
          <w:spacing w:val="-7"/>
        </w:rPr>
        <w:t> </w:t>
      </w:r>
      <w:r>
        <w:rPr>
          <w:spacing w:val="-2"/>
        </w:rPr>
        <w:t>a</w:t>
      </w:r>
      <w:r>
        <w:rPr>
          <w:spacing w:val="-7"/>
        </w:rPr>
        <w:t> </w:t>
      </w:r>
      <w:r>
        <w:rPr>
          <w:spacing w:val="-2"/>
        </w:rPr>
        <w:t>make-whole</w:t>
      </w:r>
      <w:r>
        <w:rPr>
          <w:spacing w:val="-7"/>
        </w:rPr>
        <w:t> </w:t>
      </w:r>
      <w:r>
        <w:rPr>
          <w:spacing w:val="-2"/>
        </w:rPr>
        <w:t>premium.</w:t>
      </w:r>
      <w:r>
        <w:rPr>
          <w:spacing w:val="-7"/>
        </w:rPr>
        <w:t> </w:t>
      </w:r>
      <w:r>
        <w:rPr>
          <w:spacing w:val="-2"/>
        </w:rPr>
        <w:t>In</w:t>
      </w:r>
      <w:r>
        <w:rPr>
          <w:spacing w:val="-7"/>
        </w:rPr>
        <w:t> </w:t>
      </w:r>
      <w:r>
        <w:rPr>
          <w:spacing w:val="-2"/>
        </w:rPr>
        <w:t>addition,</w:t>
      </w:r>
      <w:r>
        <w:rPr>
          <w:spacing w:val="-7"/>
        </w:rPr>
        <w:t> </w:t>
      </w:r>
      <w:r>
        <w:rPr>
          <w:spacing w:val="-2"/>
        </w:rPr>
        <w:t>upon</w:t>
      </w:r>
      <w:r>
        <w:rPr>
          <w:spacing w:val="-7"/>
        </w:rPr>
        <w:t> </w:t>
      </w:r>
      <w:r>
        <w:rPr>
          <w:spacing w:val="-2"/>
        </w:rPr>
        <w:t>the</w:t>
      </w:r>
      <w:r>
        <w:rPr>
          <w:spacing w:val="-7"/>
        </w:rPr>
        <w:t> </w:t>
      </w:r>
      <w:r>
        <w:rPr>
          <w:spacing w:val="-2"/>
        </w:rPr>
        <w:t>occurrence</w:t>
      </w:r>
      <w:r>
        <w:rPr>
          <w:spacing w:val="-7"/>
        </w:rPr>
        <w:t> </w:t>
      </w:r>
      <w:r>
        <w:rPr>
          <w:spacing w:val="-2"/>
        </w:rPr>
        <w:t>of</w:t>
      </w:r>
      <w:r>
        <w:rPr>
          <w:spacing w:val="-7"/>
        </w:rPr>
        <w:t> </w:t>
      </w:r>
      <w:r>
        <w:rPr>
          <w:spacing w:val="-2"/>
        </w:rPr>
        <w:t>certain</w:t>
      </w:r>
      <w:r>
        <w:rPr>
          <w:spacing w:val="-7"/>
        </w:rPr>
        <w:t> </w:t>
      </w:r>
      <w:r>
        <w:rPr>
          <w:spacing w:val="-2"/>
        </w:rPr>
        <w:t>change </w:t>
      </w:r>
      <w:r>
        <w:rPr/>
        <w:t>of</w:t>
      </w:r>
      <w:r>
        <w:rPr>
          <w:spacing w:val="-6"/>
        </w:rPr>
        <w:t> </w:t>
      </w:r>
      <w:r>
        <w:rPr/>
        <w:t>control</w:t>
      </w:r>
      <w:r>
        <w:rPr>
          <w:spacing w:val="-6"/>
        </w:rPr>
        <w:t> </w:t>
      </w:r>
      <w:r>
        <w:rPr/>
        <w:t>triggering</w:t>
      </w:r>
      <w:r>
        <w:rPr>
          <w:spacing w:val="-6"/>
        </w:rPr>
        <w:t> </w:t>
      </w:r>
      <w:r>
        <w:rPr/>
        <w:t>events,</w:t>
      </w:r>
      <w:r>
        <w:rPr>
          <w:spacing w:val="-6"/>
        </w:rPr>
        <w:t> </w:t>
      </w:r>
      <w:r>
        <w:rPr/>
        <w:t>we</w:t>
      </w:r>
      <w:r>
        <w:rPr>
          <w:spacing w:val="-6"/>
        </w:rPr>
        <w:t> </w:t>
      </w:r>
      <w:r>
        <w:rPr/>
        <w:t>may</w:t>
      </w:r>
      <w:r>
        <w:rPr>
          <w:spacing w:val="-6"/>
        </w:rPr>
        <w:t> </w:t>
      </w:r>
      <w:r>
        <w:rPr/>
        <w:t>be</w:t>
      </w:r>
      <w:r>
        <w:rPr>
          <w:spacing w:val="-6"/>
        </w:rPr>
        <w:t> </w:t>
      </w:r>
      <w:r>
        <w:rPr/>
        <w:t>required</w:t>
      </w:r>
      <w:r>
        <w:rPr>
          <w:spacing w:val="-6"/>
        </w:rPr>
        <w:t> </w:t>
      </w:r>
      <w:r>
        <w:rPr/>
        <w:t>to</w:t>
      </w:r>
      <w:r>
        <w:rPr>
          <w:spacing w:val="-6"/>
        </w:rPr>
        <w:t> </w:t>
      </w:r>
      <w:r>
        <w:rPr/>
        <w:t>repurchase</w:t>
      </w:r>
      <w:r>
        <w:rPr>
          <w:spacing w:val="-6"/>
        </w:rPr>
        <w:t> </w:t>
      </w:r>
      <w:r>
        <w:rPr/>
        <w:t>the</w:t>
      </w:r>
      <w:r>
        <w:rPr>
          <w:spacing w:val="-6"/>
        </w:rPr>
        <w:t> </w:t>
      </w:r>
      <w:r>
        <w:rPr/>
        <w:t>Notes,</w:t>
      </w:r>
      <w:r>
        <w:rPr>
          <w:spacing w:val="-6"/>
        </w:rPr>
        <w:t> </w:t>
      </w:r>
      <w:r>
        <w:rPr/>
        <w:t>at</w:t>
      </w:r>
      <w:r>
        <w:rPr>
          <w:spacing w:val="-6"/>
        </w:rPr>
        <w:t> </w:t>
      </w:r>
      <w:r>
        <w:rPr/>
        <w:t>a</w:t>
      </w:r>
      <w:r>
        <w:rPr>
          <w:spacing w:val="-6"/>
        </w:rPr>
        <w:t> </w:t>
      </w:r>
      <w:r>
        <w:rPr/>
        <w:t>price</w:t>
      </w:r>
      <w:r>
        <w:rPr>
          <w:spacing w:val="-6"/>
        </w:rPr>
        <w:t> </w:t>
      </w:r>
      <w:r>
        <w:rPr/>
        <w:t>equal</w:t>
      </w:r>
      <w:r>
        <w:rPr>
          <w:spacing w:val="-6"/>
        </w:rPr>
        <w:t> </w:t>
      </w:r>
      <w:r>
        <w:rPr/>
        <w:t>to</w:t>
      </w:r>
      <w:r>
        <w:rPr>
          <w:spacing w:val="-6"/>
        </w:rPr>
        <w:t> </w:t>
      </w:r>
      <w:r>
        <w:rPr/>
        <w:t>101%</w:t>
      </w:r>
      <w:r>
        <w:rPr>
          <w:spacing w:val="-6"/>
        </w:rPr>
        <w:t> </w:t>
      </w:r>
      <w:r>
        <w:rPr/>
        <w:t>of</w:t>
      </w:r>
      <w:r>
        <w:rPr>
          <w:spacing w:val="-6"/>
        </w:rPr>
        <w:t> </w:t>
      </w:r>
      <w:r>
        <w:rPr/>
        <w:t>their</w:t>
      </w:r>
      <w:r>
        <w:rPr>
          <w:spacing w:val="-6"/>
        </w:rPr>
        <w:t> </w:t>
      </w:r>
      <w:r>
        <w:rPr/>
        <w:t>principal</w:t>
      </w:r>
      <w:r>
        <w:rPr>
          <w:spacing w:val="-6"/>
        </w:rPr>
        <w:t> </w:t>
      </w:r>
      <w:r>
        <w:rPr/>
        <w:t>amount,</w:t>
      </w:r>
      <w:r>
        <w:rPr>
          <w:spacing w:val="-6"/>
        </w:rPr>
        <w:t> </w:t>
      </w:r>
      <w:r>
        <w:rPr/>
        <w:t>plus accrued and unpaid interest to the date of repurchase. The Notes also include covenants that limit our ability to grant liens on assets and to enter into sale and leaseback transactions, subject to significant allowances.</w:t>
      </w:r>
      <w:r>
        <w:rPr>
          <w:spacing w:val="-7"/>
        </w:rPr>
        <w:t> </w:t>
      </w:r>
      <w:r>
        <w:rPr/>
        <w:t>As of December</w:t>
      </w:r>
      <w:r>
        <w:rPr>
          <w:spacing w:val="-2"/>
        </w:rPr>
        <w:t> </w:t>
      </w:r>
      <w:r>
        <w:rPr/>
        <w:t>1, 2017, we were in compliance with all of the covenants.</w:t>
      </w:r>
    </w:p>
    <w:p>
      <w:pPr>
        <w:pStyle w:val="BodyText"/>
        <w:spacing w:line="249" w:lineRule="auto" w:before="184"/>
        <w:ind w:left="220" w:firstLine="540"/>
      </w:pPr>
      <w:r>
        <w:rPr/>
        <w:t>In</w:t>
      </w:r>
      <w:r>
        <w:rPr>
          <w:spacing w:val="-2"/>
        </w:rPr>
        <w:t> </w:t>
      </w:r>
      <w:r>
        <w:rPr/>
        <w:t>February</w:t>
      </w:r>
      <w:r>
        <w:rPr>
          <w:spacing w:val="-2"/>
        </w:rPr>
        <w:t> </w:t>
      </w:r>
      <w:r>
        <w:rPr/>
        <w:t>and</w:t>
      </w:r>
      <w:r>
        <w:rPr>
          <w:spacing w:val="-13"/>
        </w:rPr>
        <w:t> </w:t>
      </w:r>
      <w:r>
        <w:rPr/>
        <w:t>August</w:t>
      </w:r>
      <w:r>
        <w:rPr>
          <w:spacing w:val="-2"/>
        </w:rPr>
        <w:t> </w:t>
      </w:r>
      <w:r>
        <w:rPr/>
        <w:t>2017,</w:t>
      </w:r>
      <w:r>
        <w:rPr>
          <w:spacing w:val="-2"/>
        </w:rPr>
        <w:t> </w:t>
      </w:r>
      <w:r>
        <w:rPr/>
        <w:t>we</w:t>
      </w:r>
      <w:r>
        <w:rPr>
          <w:spacing w:val="-2"/>
        </w:rPr>
        <w:t> </w:t>
      </w:r>
      <w:r>
        <w:rPr/>
        <w:t>made</w:t>
      </w:r>
      <w:r>
        <w:rPr>
          <w:spacing w:val="-2"/>
        </w:rPr>
        <w:t> </w:t>
      </w:r>
      <w:r>
        <w:rPr/>
        <w:t>semi-annual</w:t>
      </w:r>
      <w:r>
        <w:rPr>
          <w:spacing w:val="-2"/>
        </w:rPr>
        <w:t> </w:t>
      </w:r>
      <w:r>
        <w:rPr/>
        <w:t>interest</w:t>
      </w:r>
      <w:r>
        <w:rPr>
          <w:spacing w:val="-2"/>
        </w:rPr>
        <w:t> </w:t>
      </w:r>
      <w:r>
        <w:rPr/>
        <w:t>payments</w:t>
      </w:r>
      <w:r>
        <w:rPr>
          <w:spacing w:val="-3"/>
        </w:rPr>
        <w:t> </w:t>
      </w:r>
      <w:r>
        <w:rPr/>
        <w:t>on</w:t>
      </w:r>
      <w:r>
        <w:rPr>
          <w:spacing w:val="-2"/>
        </w:rPr>
        <w:t> </w:t>
      </w:r>
      <w:r>
        <w:rPr/>
        <w:t>our</w:t>
      </w:r>
      <w:r>
        <w:rPr>
          <w:spacing w:val="-2"/>
        </w:rPr>
        <w:t> </w:t>
      </w:r>
      <w:r>
        <w:rPr/>
        <w:t>2020</w:t>
      </w:r>
      <w:r>
        <w:rPr>
          <w:spacing w:val="-2"/>
        </w:rPr>
        <w:t> </w:t>
      </w:r>
      <w:r>
        <w:rPr/>
        <w:t>and</w:t>
      </w:r>
      <w:r>
        <w:rPr>
          <w:spacing w:val="-2"/>
        </w:rPr>
        <w:t> </w:t>
      </w:r>
      <w:r>
        <w:rPr/>
        <w:t>2025</w:t>
      </w:r>
      <w:r>
        <w:rPr>
          <w:spacing w:val="-2"/>
        </w:rPr>
        <w:t> </w:t>
      </w:r>
      <w:r>
        <w:rPr/>
        <w:t>Notes</w:t>
      </w:r>
      <w:r>
        <w:rPr>
          <w:spacing w:val="-3"/>
        </w:rPr>
        <w:t> </w:t>
      </w:r>
      <w:r>
        <w:rPr/>
        <w:t>each</w:t>
      </w:r>
      <w:r>
        <w:rPr>
          <w:spacing w:val="-2"/>
        </w:rPr>
        <w:t> </w:t>
      </w:r>
      <w:r>
        <w:rPr/>
        <w:t>totaling</w:t>
      </w:r>
      <w:r>
        <w:rPr>
          <w:spacing w:val="-3"/>
        </w:rPr>
        <w:t> </w:t>
      </w:r>
      <w:r>
        <w:rPr/>
        <w:t>$37.6 </w:t>
      </w:r>
      <w:r>
        <w:rPr>
          <w:spacing w:val="-2"/>
        </w:rPr>
        <w:t>million.</w:t>
      </w:r>
    </w:p>
    <w:p>
      <w:pPr>
        <w:pStyle w:val="BodyText"/>
        <w:spacing w:before="11"/>
      </w:pPr>
    </w:p>
    <w:p>
      <w:pPr>
        <w:spacing w:before="0"/>
        <w:ind w:left="220" w:right="0" w:firstLine="0"/>
        <w:jc w:val="both"/>
        <w:rPr>
          <w:i/>
          <w:sz w:val="20"/>
        </w:rPr>
      </w:pPr>
      <w:r>
        <w:rPr>
          <w:i/>
          <w:spacing w:val="-2"/>
          <w:sz w:val="20"/>
        </w:rPr>
        <w:t>Credit</w:t>
      </w:r>
      <w:r>
        <w:rPr>
          <w:i/>
          <w:spacing w:val="-3"/>
          <w:sz w:val="20"/>
        </w:rPr>
        <w:t> </w:t>
      </w:r>
      <w:r>
        <w:rPr>
          <w:i/>
          <w:spacing w:val="-2"/>
          <w:sz w:val="20"/>
        </w:rPr>
        <w:t>Agreement</w:t>
      </w:r>
    </w:p>
    <w:p>
      <w:pPr>
        <w:pStyle w:val="BodyText"/>
        <w:spacing w:line="249" w:lineRule="auto" w:before="190"/>
        <w:ind w:left="220" w:right="257" w:firstLine="540"/>
        <w:jc w:val="both"/>
      </w:pPr>
      <w:r>
        <w:rPr/>
        <w:t>On March 2, 2012, we entered into a five-year $1 billion senior unsecured revolving credit agreement (the </w:t>
      </w:r>
      <w:r>
        <w:rPr/>
        <w:t>“Credit Agreement”), providing for loans to us and certain of our subsidiaries. Pursuant to the terms of the Credit</w:t>
      </w:r>
      <w:r>
        <w:rPr>
          <w:spacing w:val="-9"/>
        </w:rPr>
        <w:t> </w:t>
      </w:r>
      <w:r>
        <w:rPr/>
        <w:t>Agreement, we may, subject to the agreement of the applicable lenders, request up to an additional $500 million in commitments, for a maximum aggregate commitment of $1.5 billion. Loans under the Credit</w:t>
      </w:r>
      <w:r>
        <w:rPr>
          <w:spacing w:val="-6"/>
        </w:rPr>
        <w:t> </w:t>
      </w:r>
      <w:r>
        <w:rPr/>
        <w:t>Agreement will bear interest at either (i) LIBOR plus a margin, based on our public debt ratings, ranging from 0.795% and 1.3% or (ii) the base rate, which is defined as the highest of (a) the agent’s prime rate, (b) the federal funds effective rate plus 0.50% or (c) LIBOR plus 1.00% plus a margin, based on our debt ratings,</w:t>
      </w:r>
      <w:r>
        <w:rPr>
          <w:spacing w:val="-2"/>
        </w:rPr>
        <w:t> </w:t>
      </w:r>
      <w:r>
        <w:rPr/>
        <w:t>ranging</w:t>
      </w:r>
      <w:r>
        <w:rPr>
          <w:spacing w:val="-1"/>
        </w:rPr>
        <w:t> </w:t>
      </w:r>
      <w:r>
        <w:rPr/>
        <w:t>from</w:t>
      </w:r>
      <w:r>
        <w:rPr>
          <w:spacing w:val="-2"/>
        </w:rPr>
        <w:t> </w:t>
      </w:r>
      <w:r>
        <w:rPr/>
        <w:t>0.00%</w:t>
      </w:r>
      <w:r>
        <w:rPr>
          <w:spacing w:val="-2"/>
        </w:rPr>
        <w:t> </w:t>
      </w:r>
      <w:r>
        <w:rPr/>
        <w:t>to</w:t>
      </w:r>
      <w:r>
        <w:rPr>
          <w:spacing w:val="-1"/>
        </w:rPr>
        <w:t> </w:t>
      </w:r>
      <w:r>
        <w:rPr/>
        <w:t>0.30%.</w:t>
      </w:r>
      <w:r>
        <w:rPr>
          <w:spacing w:val="-1"/>
        </w:rPr>
        <w:t> </w:t>
      </w:r>
      <w:r>
        <w:rPr/>
        <w:t>Commitment</w:t>
      </w:r>
      <w:r>
        <w:rPr>
          <w:spacing w:val="-2"/>
        </w:rPr>
        <w:t> </w:t>
      </w:r>
      <w:r>
        <w:rPr/>
        <w:t>fees</w:t>
      </w:r>
      <w:r>
        <w:rPr>
          <w:spacing w:val="-1"/>
        </w:rPr>
        <w:t> </w:t>
      </w:r>
      <w:r>
        <w:rPr/>
        <w:t>are</w:t>
      </w:r>
      <w:r>
        <w:rPr>
          <w:spacing w:val="-1"/>
        </w:rPr>
        <w:t> </w:t>
      </w:r>
      <w:r>
        <w:rPr/>
        <w:t>payable</w:t>
      </w:r>
      <w:r>
        <w:rPr>
          <w:spacing w:val="-2"/>
        </w:rPr>
        <w:t> </w:t>
      </w:r>
      <w:r>
        <w:rPr/>
        <w:t>quarterly</w:t>
      </w:r>
      <w:r>
        <w:rPr>
          <w:spacing w:val="-2"/>
        </w:rPr>
        <w:t> </w:t>
      </w:r>
      <w:r>
        <w:rPr/>
        <w:t>at</w:t>
      </w:r>
      <w:r>
        <w:rPr>
          <w:spacing w:val="-2"/>
        </w:rPr>
        <w:t> </w:t>
      </w:r>
      <w:r>
        <w:rPr/>
        <w:t>rates</w:t>
      </w:r>
      <w:r>
        <w:rPr>
          <w:spacing w:val="-1"/>
        </w:rPr>
        <w:t> </w:t>
      </w:r>
      <w:r>
        <w:rPr/>
        <w:t>between</w:t>
      </w:r>
      <w:r>
        <w:rPr>
          <w:spacing w:val="-2"/>
        </w:rPr>
        <w:t> </w:t>
      </w:r>
      <w:r>
        <w:rPr/>
        <w:t>0.08%</w:t>
      </w:r>
      <w:r>
        <w:rPr>
          <w:spacing w:val="-1"/>
        </w:rPr>
        <w:t> </w:t>
      </w:r>
      <w:r>
        <w:rPr/>
        <w:t>and</w:t>
      </w:r>
      <w:r>
        <w:rPr>
          <w:spacing w:val="-1"/>
        </w:rPr>
        <w:t> </w:t>
      </w:r>
      <w:r>
        <w:rPr/>
        <w:t>0.20%</w:t>
      </w:r>
      <w:r>
        <w:rPr>
          <w:spacing w:val="-2"/>
        </w:rPr>
        <w:t> </w:t>
      </w:r>
      <w:r>
        <w:rPr/>
        <w:t>per</w:t>
      </w:r>
      <w:r>
        <w:rPr>
          <w:spacing w:val="-1"/>
        </w:rPr>
        <w:t> </w:t>
      </w:r>
      <w:r>
        <w:rPr/>
        <w:t>year,</w:t>
      </w:r>
      <w:r>
        <w:rPr>
          <w:spacing w:val="-2"/>
        </w:rPr>
        <w:t> </w:t>
      </w:r>
      <w:r>
        <w:rPr/>
        <w:t>also based</w:t>
      </w:r>
      <w:r>
        <w:rPr>
          <w:spacing w:val="-11"/>
        </w:rPr>
        <w:t> </w:t>
      </w:r>
      <w:r>
        <w:rPr/>
        <w:t>on</w:t>
      </w:r>
      <w:r>
        <w:rPr>
          <w:spacing w:val="-7"/>
        </w:rPr>
        <w:t> </w:t>
      </w:r>
      <w:r>
        <w:rPr/>
        <w:t>our</w:t>
      </w:r>
      <w:r>
        <w:rPr>
          <w:spacing w:val="-7"/>
        </w:rPr>
        <w:t> </w:t>
      </w:r>
      <w:r>
        <w:rPr/>
        <w:t>debt</w:t>
      </w:r>
      <w:r>
        <w:rPr>
          <w:spacing w:val="-7"/>
        </w:rPr>
        <w:t> </w:t>
      </w:r>
      <w:r>
        <w:rPr/>
        <w:t>ratings.</w:t>
      </w:r>
      <w:r>
        <w:rPr>
          <w:spacing w:val="-7"/>
        </w:rPr>
        <w:t> </w:t>
      </w:r>
      <w:r>
        <w:rPr/>
        <w:t>Subject</w:t>
      </w:r>
      <w:r>
        <w:rPr>
          <w:spacing w:val="-7"/>
        </w:rPr>
        <w:t> </w:t>
      </w:r>
      <w:r>
        <w:rPr/>
        <w:t>to</w:t>
      </w:r>
      <w:r>
        <w:rPr>
          <w:spacing w:val="-7"/>
        </w:rPr>
        <w:t> </w:t>
      </w:r>
      <w:r>
        <w:rPr/>
        <w:t>certain</w:t>
      </w:r>
      <w:r>
        <w:rPr>
          <w:spacing w:val="-7"/>
        </w:rPr>
        <w:t> </w:t>
      </w:r>
      <w:r>
        <w:rPr/>
        <w:t>conditions</w:t>
      </w:r>
      <w:r>
        <w:rPr>
          <w:spacing w:val="-7"/>
        </w:rPr>
        <w:t> </w:t>
      </w:r>
      <w:r>
        <w:rPr/>
        <w:t>stated</w:t>
      </w:r>
      <w:r>
        <w:rPr>
          <w:spacing w:val="-7"/>
        </w:rPr>
        <w:t> </w:t>
      </w:r>
      <w:r>
        <w:rPr/>
        <w:t>in</w:t>
      </w:r>
      <w:r>
        <w:rPr>
          <w:spacing w:val="-7"/>
        </w:rPr>
        <w:t> </w:t>
      </w:r>
      <w:r>
        <w:rPr/>
        <w:t>the</w:t>
      </w:r>
      <w:r>
        <w:rPr>
          <w:spacing w:val="-7"/>
        </w:rPr>
        <w:t> </w:t>
      </w:r>
      <w:r>
        <w:rPr/>
        <w:t>Credit</w:t>
      </w:r>
      <w:r>
        <w:rPr>
          <w:spacing w:val="-13"/>
        </w:rPr>
        <w:t> </w:t>
      </w:r>
      <w:r>
        <w:rPr/>
        <w:t>Agreement,</w:t>
      </w:r>
      <w:r>
        <w:rPr>
          <w:spacing w:val="-6"/>
        </w:rPr>
        <w:t> </w:t>
      </w:r>
      <w:r>
        <w:rPr/>
        <w:t>we</w:t>
      </w:r>
      <w:r>
        <w:rPr>
          <w:spacing w:val="-7"/>
        </w:rPr>
        <w:t> </w:t>
      </w:r>
      <w:r>
        <w:rPr/>
        <w:t>and</w:t>
      </w:r>
      <w:r>
        <w:rPr>
          <w:spacing w:val="-7"/>
        </w:rPr>
        <w:t> </w:t>
      </w:r>
      <w:r>
        <w:rPr/>
        <w:t>any</w:t>
      </w:r>
      <w:r>
        <w:rPr>
          <w:spacing w:val="-7"/>
        </w:rPr>
        <w:t> </w:t>
      </w:r>
      <w:r>
        <w:rPr/>
        <w:t>of</w:t>
      </w:r>
      <w:r>
        <w:rPr>
          <w:spacing w:val="-7"/>
        </w:rPr>
        <w:t> </w:t>
      </w:r>
      <w:r>
        <w:rPr/>
        <w:t>our</w:t>
      </w:r>
      <w:r>
        <w:rPr>
          <w:spacing w:val="-7"/>
        </w:rPr>
        <w:t> </w:t>
      </w:r>
      <w:r>
        <w:rPr/>
        <w:t>subsidiaries</w:t>
      </w:r>
      <w:r>
        <w:rPr>
          <w:spacing w:val="-7"/>
        </w:rPr>
        <w:t> </w:t>
      </w:r>
      <w:r>
        <w:rPr/>
        <w:t>designated as</w:t>
      </w:r>
      <w:r>
        <w:rPr>
          <w:spacing w:val="-12"/>
        </w:rPr>
        <w:t> </w:t>
      </w:r>
      <w:r>
        <w:rPr/>
        <w:t>additional</w:t>
      </w:r>
      <w:r>
        <w:rPr>
          <w:spacing w:val="-12"/>
        </w:rPr>
        <w:t> </w:t>
      </w:r>
      <w:r>
        <w:rPr/>
        <w:t>borrowers</w:t>
      </w:r>
      <w:r>
        <w:rPr>
          <w:spacing w:val="-12"/>
        </w:rPr>
        <w:t> </w:t>
      </w:r>
      <w:r>
        <w:rPr/>
        <w:t>may</w:t>
      </w:r>
      <w:r>
        <w:rPr>
          <w:spacing w:val="-12"/>
        </w:rPr>
        <w:t> </w:t>
      </w:r>
      <w:r>
        <w:rPr/>
        <w:t>borrow,</w:t>
      </w:r>
      <w:r>
        <w:rPr>
          <w:spacing w:val="-12"/>
        </w:rPr>
        <w:t> </w:t>
      </w:r>
      <w:r>
        <w:rPr/>
        <w:t>prepay</w:t>
      </w:r>
      <w:r>
        <w:rPr>
          <w:spacing w:val="-12"/>
        </w:rPr>
        <w:t> </w:t>
      </w:r>
      <w:r>
        <w:rPr/>
        <w:t>and</w:t>
      </w:r>
      <w:r>
        <w:rPr>
          <w:spacing w:val="-12"/>
        </w:rPr>
        <w:t> </w:t>
      </w:r>
      <w:r>
        <w:rPr/>
        <w:t>re-borrow</w:t>
      </w:r>
      <w:r>
        <w:rPr>
          <w:spacing w:val="-12"/>
        </w:rPr>
        <w:t> </w:t>
      </w:r>
      <w:r>
        <w:rPr/>
        <w:t>amounts</w:t>
      </w:r>
      <w:r>
        <w:rPr>
          <w:spacing w:val="-12"/>
        </w:rPr>
        <w:t> </w:t>
      </w:r>
      <w:r>
        <w:rPr/>
        <w:t>under</w:t>
      </w:r>
      <w:r>
        <w:rPr>
          <w:spacing w:val="-12"/>
        </w:rPr>
        <w:t> </w:t>
      </w:r>
      <w:r>
        <w:rPr/>
        <w:t>the</w:t>
      </w:r>
      <w:r>
        <w:rPr>
          <w:spacing w:val="-12"/>
        </w:rPr>
        <w:t> </w:t>
      </w:r>
      <w:r>
        <w:rPr/>
        <w:t>revolving</w:t>
      </w:r>
      <w:r>
        <w:rPr>
          <w:spacing w:val="-12"/>
        </w:rPr>
        <w:t> </w:t>
      </w:r>
      <w:r>
        <w:rPr/>
        <w:t>credit</w:t>
      </w:r>
      <w:r>
        <w:rPr>
          <w:spacing w:val="-12"/>
        </w:rPr>
        <w:t> </w:t>
      </w:r>
      <w:r>
        <w:rPr/>
        <w:t>facility</w:t>
      </w:r>
      <w:r>
        <w:rPr>
          <w:spacing w:val="-12"/>
        </w:rPr>
        <w:t> </w:t>
      </w:r>
      <w:r>
        <w:rPr/>
        <w:t>at</w:t>
      </w:r>
      <w:r>
        <w:rPr>
          <w:spacing w:val="-12"/>
        </w:rPr>
        <w:t> </w:t>
      </w:r>
      <w:r>
        <w:rPr/>
        <w:t>any</w:t>
      </w:r>
      <w:r>
        <w:rPr>
          <w:spacing w:val="-12"/>
        </w:rPr>
        <w:t> </w:t>
      </w:r>
      <w:r>
        <w:rPr/>
        <w:t>time</w:t>
      </w:r>
      <w:r>
        <w:rPr>
          <w:spacing w:val="-12"/>
        </w:rPr>
        <w:t> </w:t>
      </w:r>
      <w:r>
        <w:rPr/>
        <w:t>during</w:t>
      </w:r>
      <w:r>
        <w:rPr>
          <w:spacing w:val="-12"/>
        </w:rPr>
        <w:t> </w:t>
      </w:r>
      <w:r>
        <w:rPr/>
        <w:t>the</w:t>
      </w:r>
      <w:r>
        <w:rPr>
          <w:spacing w:val="-12"/>
        </w:rPr>
        <w:t> </w:t>
      </w:r>
      <w:r>
        <w:rPr/>
        <w:t>term of the Credit Agreement.</w:t>
      </w:r>
    </w:p>
    <w:p>
      <w:pPr>
        <w:pStyle w:val="BodyText"/>
        <w:spacing w:line="249" w:lineRule="auto" w:before="189"/>
        <w:ind w:left="220" w:right="257" w:firstLine="540"/>
        <w:jc w:val="both"/>
      </w:pPr>
      <w:r>
        <w:rPr/>
        <w:t>The Credit Agreement contains customary representations, warranties, affirmative and negative covenants, including a financial covenant, events of default and indemnification provisions in favor of the lenders. The negative covenants include restrictions</w:t>
      </w:r>
      <w:r>
        <w:rPr>
          <w:spacing w:val="-10"/>
        </w:rPr>
        <w:t> </w:t>
      </w:r>
      <w:r>
        <w:rPr/>
        <w:t>regarding</w:t>
      </w:r>
      <w:r>
        <w:rPr>
          <w:spacing w:val="-10"/>
        </w:rPr>
        <w:t> </w:t>
      </w:r>
      <w:r>
        <w:rPr/>
        <w:t>the</w:t>
      </w:r>
      <w:r>
        <w:rPr>
          <w:spacing w:val="-10"/>
        </w:rPr>
        <w:t> </w:t>
      </w:r>
      <w:r>
        <w:rPr/>
        <w:t>incurrence</w:t>
      </w:r>
      <w:r>
        <w:rPr>
          <w:spacing w:val="-11"/>
        </w:rPr>
        <w:t> </w:t>
      </w:r>
      <w:r>
        <w:rPr/>
        <w:t>of</w:t>
      </w:r>
      <w:r>
        <w:rPr>
          <w:spacing w:val="-10"/>
        </w:rPr>
        <w:t> </w:t>
      </w:r>
      <w:r>
        <w:rPr/>
        <w:t>liens</w:t>
      </w:r>
      <w:r>
        <w:rPr>
          <w:spacing w:val="-10"/>
        </w:rPr>
        <w:t> </w:t>
      </w:r>
      <w:r>
        <w:rPr/>
        <w:t>and</w:t>
      </w:r>
      <w:r>
        <w:rPr>
          <w:spacing w:val="-10"/>
        </w:rPr>
        <w:t> </w:t>
      </w:r>
      <w:r>
        <w:rPr/>
        <w:t>indebtedness,</w:t>
      </w:r>
      <w:r>
        <w:rPr>
          <w:spacing w:val="-10"/>
        </w:rPr>
        <w:t> </w:t>
      </w:r>
      <w:r>
        <w:rPr/>
        <w:t>certain</w:t>
      </w:r>
      <w:r>
        <w:rPr>
          <w:spacing w:val="-10"/>
        </w:rPr>
        <w:t> </w:t>
      </w:r>
      <w:r>
        <w:rPr/>
        <w:t>merger</w:t>
      </w:r>
      <w:r>
        <w:rPr>
          <w:spacing w:val="-10"/>
        </w:rPr>
        <w:t> </w:t>
      </w:r>
      <w:r>
        <w:rPr/>
        <w:t>and</w:t>
      </w:r>
      <w:r>
        <w:rPr>
          <w:spacing w:val="-10"/>
        </w:rPr>
        <w:t> </w:t>
      </w:r>
      <w:r>
        <w:rPr/>
        <w:t>acquisition</w:t>
      </w:r>
      <w:r>
        <w:rPr>
          <w:spacing w:val="-10"/>
        </w:rPr>
        <w:t> </w:t>
      </w:r>
      <w:r>
        <w:rPr/>
        <w:t>transactions,</w:t>
      </w:r>
      <w:r>
        <w:rPr>
          <w:spacing w:val="-11"/>
        </w:rPr>
        <w:t> </w:t>
      </w:r>
      <w:r>
        <w:rPr/>
        <w:t>dispositions</w:t>
      </w:r>
      <w:r>
        <w:rPr>
          <w:spacing w:val="-10"/>
        </w:rPr>
        <w:t> </w:t>
      </w:r>
      <w:r>
        <w:rPr/>
        <w:t>and</w:t>
      </w:r>
      <w:r>
        <w:rPr>
          <w:spacing w:val="-10"/>
        </w:rPr>
        <w:t> </w:t>
      </w:r>
      <w:r>
        <w:rPr/>
        <w:t>other matters, all subject to certain exceptions.</w:t>
      </w:r>
      <w:r>
        <w:rPr>
          <w:spacing w:val="-2"/>
        </w:rPr>
        <w:t> </w:t>
      </w:r>
      <w:r>
        <w:rPr/>
        <w:t>The financial covenant, based on a quarterly financial test, requires us not to exceed a maximum leverage ratio.</w:t>
      </w:r>
    </w:p>
    <w:p>
      <w:pPr>
        <w:pStyle w:val="BodyText"/>
        <w:spacing w:line="249" w:lineRule="auto" w:before="184"/>
        <w:ind w:left="220" w:right="257" w:firstLine="579"/>
        <w:jc w:val="both"/>
      </w:pPr>
      <w:r>
        <w:rPr/>
        <w:t>On</w:t>
      </w:r>
      <w:r>
        <w:rPr>
          <w:spacing w:val="-13"/>
        </w:rPr>
        <w:t> </w:t>
      </w:r>
      <w:r>
        <w:rPr/>
        <w:t>March</w:t>
      </w:r>
      <w:r>
        <w:rPr>
          <w:spacing w:val="-12"/>
        </w:rPr>
        <w:t> </w:t>
      </w:r>
      <w:r>
        <w:rPr/>
        <w:t>1,</w:t>
      </w:r>
      <w:r>
        <w:rPr>
          <w:spacing w:val="-13"/>
        </w:rPr>
        <w:t> </w:t>
      </w:r>
      <w:r>
        <w:rPr/>
        <w:t>2013,</w:t>
      </w:r>
      <w:r>
        <w:rPr>
          <w:spacing w:val="-12"/>
        </w:rPr>
        <w:t> </w:t>
      </w:r>
      <w:r>
        <w:rPr/>
        <w:t>we</w:t>
      </w:r>
      <w:r>
        <w:rPr>
          <w:spacing w:val="-13"/>
        </w:rPr>
        <w:t> </w:t>
      </w:r>
      <w:r>
        <w:rPr/>
        <w:t>exercised</w:t>
      </w:r>
      <w:r>
        <w:rPr>
          <w:spacing w:val="-12"/>
        </w:rPr>
        <w:t> </w:t>
      </w:r>
      <w:r>
        <w:rPr/>
        <w:t>an</w:t>
      </w:r>
      <w:r>
        <w:rPr>
          <w:spacing w:val="-13"/>
        </w:rPr>
        <w:t> </w:t>
      </w:r>
      <w:r>
        <w:rPr/>
        <w:t>option</w:t>
      </w:r>
      <w:r>
        <w:rPr>
          <w:spacing w:val="-12"/>
        </w:rPr>
        <w:t> </w:t>
      </w:r>
      <w:r>
        <w:rPr/>
        <w:t>under</w:t>
      </w:r>
      <w:r>
        <w:rPr>
          <w:spacing w:val="-13"/>
        </w:rPr>
        <w:t> </w:t>
      </w:r>
      <w:r>
        <w:rPr/>
        <w:t>the</w:t>
      </w:r>
      <w:r>
        <w:rPr>
          <w:spacing w:val="-12"/>
        </w:rPr>
        <w:t> </w:t>
      </w:r>
      <w:r>
        <w:rPr/>
        <w:t>Credit</w:t>
      </w:r>
      <w:r>
        <w:rPr>
          <w:spacing w:val="-13"/>
        </w:rPr>
        <w:t> </w:t>
      </w:r>
      <w:r>
        <w:rPr/>
        <w:t>Agreement</w:t>
      </w:r>
      <w:r>
        <w:rPr>
          <w:spacing w:val="-12"/>
        </w:rPr>
        <w:t> </w:t>
      </w:r>
      <w:r>
        <w:rPr/>
        <w:t>to</w:t>
      </w:r>
      <w:r>
        <w:rPr>
          <w:spacing w:val="-13"/>
        </w:rPr>
        <w:t> </w:t>
      </w:r>
      <w:r>
        <w:rPr/>
        <w:t>extend</w:t>
      </w:r>
      <w:r>
        <w:rPr>
          <w:spacing w:val="-12"/>
        </w:rPr>
        <w:t> </w:t>
      </w:r>
      <w:r>
        <w:rPr/>
        <w:t>the</w:t>
      </w:r>
      <w:r>
        <w:rPr>
          <w:spacing w:val="-13"/>
        </w:rPr>
        <w:t> </w:t>
      </w:r>
      <w:r>
        <w:rPr/>
        <w:t>maturity</w:t>
      </w:r>
      <w:r>
        <w:rPr>
          <w:spacing w:val="-12"/>
        </w:rPr>
        <w:t> </w:t>
      </w:r>
      <w:r>
        <w:rPr/>
        <w:t>date</w:t>
      </w:r>
      <w:r>
        <w:rPr>
          <w:spacing w:val="-13"/>
        </w:rPr>
        <w:t> </w:t>
      </w:r>
      <w:r>
        <w:rPr/>
        <w:t>of</w:t>
      </w:r>
      <w:r>
        <w:rPr>
          <w:spacing w:val="-12"/>
        </w:rPr>
        <w:t> </w:t>
      </w:r>
      <w:r>
        <w:rPr/>
        <w:t>the</w:t>
      </w:r>
      <w:r>
        <w:rPr>
          <w:spacing w:val="-13"/>
        </w:rPr>
        <w:t> </w:t>
      </w:r>
      <w:r>
        <w:rPr/>
        <w:t>Credit</w:t>
      </w:r>
      <w:r>
        <w:rPr>
          <w:spacing w:val="-12"/>
        </w:rPr>
        <w:t> </w:t>
      </w:r>
      <w:r>
        <w:rPr/>
        <w:t>Agreement to March 2, 2018. On July 27, 2015, we entered into an amendment to further extend the maturity date to July 27, 2020 and reallocated the facility among the syndicate of lenders that are parties to the Credit</w:t>
      </w:r>
      <w:r>
        <w:rPr>
          <w:spacing w:val="-4"/>
        </w:rPr>
        <w:t> </w:t>
      </w:r>
      <w:r>
        <w:rPr/>
        <w:t>Agreement.</w:t>
      </w:r>
    </w:p>
    <w:p>
      <w:pPr>
        <w:pStyle w:val="BodyText"/>
        <w:spacing w:line="249" w:lineRule="auto" w:before="182"/>
        <w:ind w:left="220" w:right="257" w:firstLine="540"/>
        <w:jc w:val="both"/>
      </w:pPr>
      <w:r>
        <w:rPr/>
        <w:t>The facility will terminate and all amounts owing thereunder will be due and payable on the maturity date unless (a) the commitments</w:t>
      </w:r>
      <w:r>
        <w:rPr>
          <w:spacing w:val="-3"/>
        </w:rPr>
        <w:t> </w:t>
      </w:r>
      <w:r>
        <w:rPr/>
        <w:t>are</w:t>
      </w:r>
      <w:r>
        <w:rPr>
          <w:spacing w:val="-3"/>
        </w:rPr>
        <w:t> </w:t>
      </w:r>
      <w:r>
        <w:rPr/>
        <w:t>terminated</w:t>
      </w:r>
      <w:r>
        <w:rPr>
          <w:spacing w:val="-3"/>
        </w:rPr>
        <w:t> </w:t>
      </w:r>
      <w:r>
        <w:rPr/>
        <w:t>earlier</w:t>
      </w:r>
      <w:r>
        <w:rPr>
          <w:spacing w:val="-3"/>
        </w:rPr>
        <w:t> </w:t>
      </w:r>
      <w:r>
        <w:rPr/>
        <w:t>upon</w:t>
      </w:r>
      <w:r>
        <w:rPr>
          <w:spacing w:val="-3"/>
        </w:rPr>
        <w:t> </w:t>
      </w:r>
      <w:r>
        <w:rPr/>
        <w:t>the</w:t>
      </w:r>
      <w:r>
        <w:rPr>
          <w:spacing w:val="-3"/>
        </w:rPr>
        <w:t> </w:t>
      </w:r>
      <w:r>
        <w:rPr/>
        <w:t>occurrence</w:t>
      </w:r>
      <w:r>
        <w:rPr>
          <w:spacing w:val="-3"/>
        </w:rPr>
        <w:t> </w:t>
      </w:r>
      <w:r>
        <w:rPr/>
        <w:t>of</w:t>
      </w:r>
      <w:r>
        <w:rPr>
          <w:spacing w:val="-3"/>
        </w:rPr>
        <w:t> </w:t>
      </w:r>
      <w:r>
        <w:rPr/>
        <w:t>certain</w:t>
      </w:r>
      <w:r>
        <w:rPr>
          <w:spacing w:val="-3"/>
        </w:rPr>
        <w:t> </w:t>
      </w:r>
      <w:r>
        <w:rPr/>
        <w:t>events,</w:t>
      </w:r>
      <w:r>
        <w:rPr>
          <w:spacing w:val="-3"/>
        </w:rPr>
        <w:t> </w:t>
      </w:r>
      <w:r>
        <w:rPr/>
        <w:t>including</w:t>
      </w:r>
      <w:r>
        <w:rPr>
          <w:spacing w:val="-3"/>
        </w:rPr>
        <w:t> </w:t>
      </w:r>
      <w:r>
        <w:rPr/>
        <w:t>an</w:t>
      </w:r>
      <w:r>
        <w:rPr>
          <w:spacing w:val="-3"/>
        </w:rPr>
        <w:t> </w:t>
      </w:r>
      <w:r>
        <w:rPr/>
        <w:t>event</w:t>
      </w:r>
      <w:r>
        <w:rPr>
          <w:spacing w:val="-3"/>
        </w:rPr>
        <w:t> </w:t>
      </w:r>
      <w:r>
        <w:rPr/>
        <w:t>of</w:t>
      </w:r>
      <w:r>
        <w:rPr>
          <w:spacing w:val="-3"/>
        </w:rPr>
        <w:t> </w:t>
      </w:r>
      <w:r>
        <w:rPr/>
        <w:t>default,</w:t>
      </w:r>
      <w:r>
        <w:rPr>
          <w:spacing w:val="-3"/>
        </w:rPr>
        <w:t> </w:t>
      </w:r>
      <w:r>
        <w:rPr/>
        <w:t>or</w:t>
      </w:r>
      <w:r>
        <w:rPr>
          <w:spacing w:val="-3"/>
        </w:rPr>
        <w:t> </w:t>
      </w:r>
      <w:r>
        <w:rPr/>
        <w:t>(b)</w:t>
      </w:r>
      <w:r>
        <w:rPr>
          <w:spacing w:val="-3"/>
        </w:rPr>
        <w:t> </w:t>
      </w:r>
      <w:r>
        <w:rPr/>
        <w:t>the</w:t>
      </w:r>
      <w:r>
        <w:rPr>
          <w:spacing w:val="-3"/>
        </w:rPr>
        <w:t> </w:t>
      </w:r>
      <w:r>
        <w:rPr/>
        <w:t>maturity</w:t>
      </w:r>
      <w:r>
        <w:rPr>
          <w:spacing w:val="-3"/>
        </w:rPr>
        <w:t> </w:t>
      </w:r>
      <w:r>
        <w:rPr/>
        <w:t>date is further extended upon our request, subject to the agreement of the lenders.</w:t>
      </w:r>
    </w:p>
    <w:p>
      <w:pPr>
        <w:pStyle w:val="BodyText"/>
        <w:spacing w:line="249" w:lineRule="auto" w:before="183"/>
        <w:ind w:left="220" w:firstLine="540"/>
      </w:pPr>
      <w:r>
        <w:rPr/>
        <w:t>As of December</w:t>
      </w:r>
      <w:r>
        <w:rPr>
          <w:spacing w:val="-2"/>
        </w:rPr>
        <w:t> </w:t>
      </w:r>
      <w:r>
        <w:rPr/>
        <w:t>1, 2017, there were no outstanding borrowings under this Credit</w:t>
      </w:r>
      <w:r>
        <w:rPr>
          <w:spacing w:val="-11"/>
        </w:rPr>
        <w:t> </w:t>
      </w:r>
      <w:r>
        <w:rPr/>
        <w:t>Agreement and we were in compliance with all covenants.</w:t>
      </w:r>
    </w:p>
    <w:p>
      <w:pPr>
        <w:spacing w:after="0" w:line="249" w:lineRule="auto"/>
        <w:sectPr>
          <w:pgSz w:w="12240" w:h="15840"/>
          <w:pgMar w:header="210" w:footer="610" w:top="1380" w:bottom="800" w:left="780" w:right="740"/>
        </w:sectPr>
      </w:pPr>
    </w:p>
    <w:p>
      <w:pPr>
        <w:pStyle w:val="BodyText"/>
      </w:pPr>
    </w:p>
    <w:p>
      <w:pPr>
        <w:pStyle w:val="BodyText"/>
      </w:pPr>
    </w:p>
    <w:p>
      <w:pPr>
        <w:pStyle w:val="BodyText"/>
        <w:spacing w:before="27"/>
      </w:pPr>
    </w:p>
    <w:p>
      <w:pPr>
        <w:pStyle w:val="Heading1"/>
      </w:pPr>
      <w:bookmarkStart w:name="NOTE 16. NON-OPERATING INCOME (EXPENSE)" w:id="90"/>
      <w:bookmarkEnd w:id="90"/>
      <w:r>
        <w:rPr>
          <w:b w:val="0"/>
        </w:rPr>
      </w:r>
      <w:r>
        <w:rPr/>
        <w:t>NOTE</w:t>
      </w:r>
      <w:r>
        <w:rPr>
          <w:spacing w:val="-7"/>
        </w:rPr>
        <w:t> </w:t>
      </w:r>
      <w:r>
        <w:rPr/>
        <w:t>16.</w:t>
      </w:r>
      <w:r>
        <w:rPr>
          <w:spacing w:val="41"/>
        </w:rPr>
        <w:t> </w:t>
      </w:r>
      <w:r>
        <w:rPr/>
        <w:t>NON-OPERATING</w:t>
      </w:r>
      <w:r>
        <w:rPr>
          <w:spacing w:val="-6"/>
        </w:rPr>
        <w:t> </w:t>
      </w:r>
      <w:r>
        <w:rPr/>
        <w:t>INCOME</w:t>
      </w:r>
      <w:r>
        <w:rPr>
          <w:spacing w:val="-5"/>
        </w:rPr>
        <w:t> </w:t>
      </w:r>
      <w:r>
        <w:rPr>
          <w:spacing w:val="-2"/>
        </w:rPr>
        <w:t>(EXPENSE)</w:t>
      </w:r>
    </w:p>
    <w:p>
      <w:pPr>
        <w:pStyle w:val="BodyText"/>
        <w:spacing w:before="190"/>
        <w:ind w:left="760"/>
      </w:pPr>
      <w:r>
        <w:rPr/>
        <w:t>Non-operating income</w:t>
      </w:r>
      <w:r>
        <w:rPr>
          <w:spacing w:val="-1"/>
        </w:rPr>
        <w:t> </w:t>
      </w:r>
      <w:r>
        <w:rPr/>
        <w:t>(expense) for fiscal</w:t>
      </w:r>
      <w:r>
        <w:rPr>
          <w:spacing w:val="-1"/>
        </w:rPr>
        <w:t> </w:t>
      </w:r>
      <w:r>
        <w:rPr/>
        <w:t>2017, 2016 and 2015 included</w:t>
      </w:r>
      <w:r>
        <w:rPr>
          <w:spacing w:val="-1"/>
        </w:rPr>
        <w:t> </w:t>
      </w:r>
      <w:r>
        <w:rPr/>
        <w:t>the following (in </w:t>
      </w:r>
      <w:r>
        <w:rPr>
          <w:spacing w:val="-2"/>
        </w:rPr>
        <w:t>thousands):</w:t>
      </w:r>
    </w:p>
    <w:p>
      <w:pPr>
        <w:pStyle w:val="BodyText"/>
        <w:spacing w:before="4"/>
        <w:rPr>
          <w:sz w:val="17"/>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0"/>
        <w:gridCol w:w="1460"/>
        <w:gridCol w:w="1480"/>
        <w:gridCol w:w="1420"/>
      </w:tblGrid>
      <w:tr>
        <w:trPr>
          <w:trHeight w:val="217" w:hRule="atLeast"/>
        </w:trPr>
        <w:tc>
          <w:tcPr>
            <w:tcW w:w="5880" w:type="dxa"/>
          </w:tcPr>
          <w:p>
            <w:pPr>
              <w:pStyle w:val="TableParagraph"/>
              <w:rPr>
                <w:sz w:val="14"/>
              </w:rPr>
            </w:pPr>
          </w:p>
        </w:tc>
        <w:tc>
          <w:tcPr>
            <w:tcW w:w="1460" w:type="dxa"/>
            <w:tcBorders>
              <w:bottom w:val="single" w:sz="8" w:space="0" w:color="000000"/>
            </w:tcBorders>
          </w:tcPr>
          <w:p>
            <w:pPr>
              <w:pStyle w:val="TableParagraph"/>
              <w:spacing w:line="177" w:lineRule="exact"/>
              <w:ind w:left="4" w:right="83"/>
              <w:jc w:val="center"/>
              <w:rPr>
                <w:b/>
                <w:sz w:val="16"/>
              </w:rPr>
            </w:pPr>
            <w:r>
              <w:rPr>
                <w:b/>
                <w:spacing w:val="-4"/>
                <w:sz w:val="16"/>
              </w:rPr>
              <w:t>2017</w:t>
            </w:r>
          </w:p>
        </w:tc>
        <w:tc>
          <w:tcPr>
            <w:tcW w:w="1480" w:type="dxa"/>
            <w:tcBorders>
              <w:bottom w:val="single" w:sz="8" w:space="0" w:color="000000"/>
            </w:tcBorders>
          </w:tcPr>
          <w:p>
            <w:pPr>
              <w:pStyle w:val="TableParagraph"/>
              <w:spacing w:line="177" w:lineRule="exact"/>
              <w:ind w:right="59"/>
              <w:jc w:val="center"/>
              <w:rPr>
                <w:b/>
                <w:sz w:val="16"/>
              </w:rPr>
            </w:pPr>
            <w:r>
              <w:rPr>
                <w:b/>
                <w:spacing w:val="-4"/>
                <w:sz w:val="16"/>
              </w:rPr>
              <w:t>2016</w:t>
            </w:r>
          </w:p>
        </w:tc>
        <w:tc>
          <w:tcPr>
            <w:tcW w:w="1420" w:type="dxa"/>
            <w:tcBorders>
              <w:bottom w:val="single" w:sz="8" w:space="0" w:color="000000"/>
            </w:tcBorders>
          </w:tcPr>
          <w:p>
            <w:pPr>
              <w:pStyle w:val="TableParagraph"/>
              <w:spacing w:line="177" w:lineRule="exact"/>
              <w:ind w:left="2" w:right="2"/>
              <w:jc w:val="center"/>
              <w:rPr>
                <w:b/>
                <w:sz w:val="16"/>
              </w:rPr>
            </w:pPr>
            <w:r>
              <w:rPr>
                <w:b/>
                <w:spacing w:val="-4"/>
                <w:sz w:val="16"/>
              </w:rPr>
              <w:t>2015</w:t>
            </w:r>
          </w:p>
        </w:tc>
      </w:tr>
      <w:tr>
        <w:trPr>
          <w:trHeight w:val="290" w:hRule="atLeast"/>
        </w:trPr>
        <w:tc>
          <w:tcPr>
            <w:tcW w:w="5880" w:type="dxa"/>
          </w:tcPr>
          <w:p>
            <w:pPr>
              <w:pStyle w:val="TableParagraph"/>
              <w:spacing w:before="10"/>
              <w:ind w:left="50"/>
              <w:rPr>
                <w:sz w:val="20"/>
              </w:rPr>
            </w:pPr>
            <w:r>
              <w:rPr>
                <w:sz w:val="20"/>
              </w:rPr>
              <w:t>Interest and other income (expense), </w:t>
            </w:r>
            <w:r>
              <w:rPr>
                <w:spacing w:val="-4"/>
                <w:sz w:val="20"/>
              </w:rPr>
              <w:t>net:</w:t>
            </w:r>
          </w:p>
        </w:tc>
        <w:tc>
          <w:tcPr>
            <w:tcW w:w="1460" w:type="dxa"/>
            <w:tcBorders>
              <w:top w:val="single" w:sz="8" w:space="0" w:color="000000"/>
            </w:tcBorders>
          </w:tcPr>
          <w:p>
            <w:pPr>
              <w:pStyle w:val="TableParagraph"/>
              <w:rPr>
                <w:sz w:val="18"/>
              </w:rPr>
            </w:pPr>
          </w:p>
        </w:tc>
        <w:tc>
          <w:tcPr>
            <w:tcW w:w="1480" w:type="dxa"/>
            <w:tcBorders>
              <w:top w:val="single" w:sz="8" w:space="0" w:color="000000"/>
            </w:tcBorders>
          </w:tcPr>
          <w:p>
            <w:pPr>
              <w:pStyle w:val="TableParagraph"/>
              <w:rPr>
                <w:sz w:val="18"/>
              </w:rPr>
            </w:pPr>
          </w:p>
        </w:tc>
        <w:tc>
          <w:tcPr>
            <w:tcW w:w="1420" w:type="dxa"/>
            <w:tcBorders>
              <w:top w:val="single" w:sz="8" w:space="0" w:color="000000"/>
            </w:tcBorders>
          </w:tcPr>
          <w:p>
            <w:pPr>
              <w:pStyle w:val="TableParagraph"/>
              <w:rPr>
                <w:sz w:val="18"/>
              </w:rPr>
            </w:pPr>
          </w:p>
        </w:tc>
      </w:tr>
      <w:tr>
        <w:trPr>
          <w:trHeight w:val="300" w:hRule="atLeast"/>
        </w:trPr>
        <w:tc>
          <w:tcPr>
            <w:tcW w:w="5880" w:type="dxa"/>
            <w:shd w:val="clear" w:color="auto" w:fill="CCEDFF"/>
          </w:tcPr>
          <w:p>
            <w:pPr>
              <w:pStyle w:val="TableParagraph"/>
              <w:spacing w:before="20"/>
              <w:ind w:left="170"/>
              <w:rPr>
                <w:sz w:val="20"/>
              </w:rPr>
            </w:pPr>
            <w:r>
              <w:rPr>
                <w:sz w:val="20"/>
              </w:rPr>
              <w:t>Interest </w:t>
            </w:r>
            <w:r>
              <w:rPr>
                <w:spacing w:val="-2"/>
                <w:sz w:val="20"/>
              </w:rPr>
              <w:t>income</w:t>
            </w:r>
          </w:p>
        </w:tc>
        <w:tc>
          <w:tcPr>
            <w:tcW w:w="1460" w:type="dxa"/>
            <w:shd w:val="clear" w:color="auto" w:fill="CCEDFF"/>
          </w:tcPr>
          <w:p>
            <w:pPr>
              <w:pStyle w:val="TableParagraph"/>
              <w:tabs>
                <w:tab w:pos="722" w:val="left" w:leader="none"/>
              </w:tabs>
              <w:spacing w:before="20"/>
              <w:ind w:right="136"/>
              <w:jc w:val="right"/>
              <w:rPr>
                <w:sz w:val="20"/>
              </w:rPr>
            </w:pPr>
            <w:r>
              <w:rPr>
                <w:spacing w:val="-10"/>
                <w:sz w:val="20"/>
              </w:rPr>
              <w:t>$</w:t>
            </w:r>
            <w:r>
              <w:rPr>
                <w:sz w:val="20"/>
              </w:rPr>
              <w:tab/>
            </w:r>
            <w:r>
              <w:rPr>
                <w:spacing w:val="-2"/>
                <w:sz w:val="20"/>
              </w:rPr>
              <w:t>66,069</w:t>
            </w:r>
          </w:p>
        </w:tc>
        <w:tc>
          <w:tcPr>
            <w:tcW w:w="1480" w:type="dxa"/>
            <w:shd w:val="clear" w:color="auto" w:fill="CCEDFF"/>
          </w:tcPr>
          <w:p>
            <w:pPr>
              <w:pStyle w:val="TableParagraph"/>
              <w:tabs>
                <w:tab w:pos="722" w:val="left" w:leader="none"/>
              </w:tabs>
              <w:spacing w:before="20"/>
              <w:ind w:right="136"/>
              <w:jc w:val="right"/>
              <w:rPr>
                <w:sz w:val="20"/>
              </w:rPr>
            </w:pPr>
            <w:r>
              <w:rPr>
                <w:spacing w:val="-10"/>
                <w:sz w:val="20"/>
              </w:rPr>
              <w:t>$</w:t>
            </w:r>
            <w:r>
              <w:rPr>
                <w:sz w:val="20"/>
              </w:rPr>
              <w:tab/>
            </w:r>
            <w:r>
              <w:rPr>
                <w:spacing w:val="-2"/>
                <w:sz w:val="20"/>
              </w:rPr>
              <w:t>47,340</w:t>
            </w:r>
          </w:p>
        </w:tc>
        <w:tc>
          <w:tcPr>
            <w:tcW w:w="1420" w:type="dxa"/>
            <w:shd w:val="clear" w:color="auto" w:fill="CCEDFF"/>
          </w:tcPr>
          <w:p>
            <w:pPr>
              <w:pStyle w:val="TableParagraph"/>
              <w:tabs>
                <w:tab w:pos="722" w:val="left" w:leader="none"/>
              </w:tabs>
              <w:spacing w:before="20"/>
              <w:ind w:right="76"/>
              <w:jc w:val="right"/>
              <w:rPr>
                <w:sz w:val="20"/>
              </w:rPr>
            </w:pPr>
            <w:r>
              <w:rPr>
                <w:spacing w:val="-10"/>
                <w:sz w:val="20"/>
              </w:rPr>
              <w:t>$</w:t>
            </w:r>
            <w:r>
              <w:rPr>
                <w:sz w:val="20"/>
              </w:rPr>
              <w:tab/>
            </w:r>
            <w:r>
              <w:rPr>
                <w:spacing w:val="-2"/>
                <w:sz w:val="20"/>
              </w:rPr>
              <w:t>28,759</w:t>
            </w:r>
          </w:p>
        </w:tc>
      </w:tr>
      <w:tr>
        <w:trPr>
          <w:trHeight w:val="300" w:hRule="atLeast"/>
        </w:trPr>
        <w:tc>
          <w:tcPr>
            <w:tcW w:w="5880" w:type="dxa"/>
          </w:tcPr>
          <w:p>
            <w:pPr>
              <w:pStyle w:val="TableParagraph"/>
              <w:spacing w:before="20"/>
              <w:ind w:left="170"/>
              <w:rPr>
                <w:sz w:val="20"/>
              </w:rPr>
            </w:pPr>
            <w:r>
              <w:rPr>
                <w:sz w:val="20"/>
              </w:rPr>
              <w:t>Foreign</w:t>
            </w:r>
            <w:r>
              <w:rPr>
                <w:spacing w:val="-4"/>
                <w:sz w:val="20"/>
              </w:rPr>
              <w:t> </w:t>
            </w:r>
            <w:r>
              <w:rPr>
                <w:sz w:val="20"/>
              </w:rPr>
              <w:t>exchange</w:t>
            </w:r>
            <w:r>
              <w:rPr>
                <w:spacing w:val="-1"/>
                <w:sz w:val="20"/>
              </w:rPr>
              <w:t> </w:t>
            </w:r>
            <w:r>
              <w:rPr>
                <w:sz w:val="20"/>
              </w:rPr>
              <w:t>gains</w:t>
            </w:r>
            <w:r>
              <w:rPr>
                <w:spacing w:val="-2"/>
                <w:sz w:val="20"/>
              </w:rPr>
              <w:t> (losses)</w:t>
            </w:r>
          </w:p>
        </w:tc>
        <w:tc>
          <w:tcPr>
            <w:tcW w:w="1460" w:type="dxa"/>
          </w:tcPr>
          <w:p>
            <w:pPr>
              <w:pStyle w:val="TableParagraph"/>
              <w:spacing w:before="20"/>
              <w:ind w:right="68"/>
              <w:jc w:val="right"/>
              <w:rPr>
                <w:sz w:val="20"/>
              </w:rPr>
            </w:pPr>
            <w:r>
              <w:rPr>
                <w:spacing w:val="-2"/>
                <w:sz w:val="20"/>
              </w:rPr>
              <w:t>(30,705)</w:t>
            </w:r>
          </w:p>
        </w:tc>
        <w:tc>
          <w:tcPr>
            <w:tcW w:w="1480" w:type="dxa"/>
          </w:tcPr>
          <w:p>
            <w:pPr>
              <w:pStyle w:val="TableParagraph"/>
              <w:spacing w:before="20"/>
              <w:ind w:right="68"/>
              <w:jc w:val="right"/>
              <w:rPr>
                <w:sz w:val="20"/>
              </w:rPr>
            </w:pPr>
            <w:r>
              <w:rPr>
                <w:spacing w:val="-2"/>
                <w:sz w:val="20"/>
              </w:rPr>
              <w:t>(35,716)</w:t>
            </w:r>
          </w:p>
        </w:tc>
        <w:tc>
          <w:tcPr>
            <w:tcW w:w="1420" w:type="dxa"/>
          </w:tcPr>
          <w:p>
            <w:pPr>
              <w:pStyle w:val="TableParagraph"/>
              <w:spacing w:before="20"/>
              <w:ind w:right="8"/>
              <w:jc w:val="right"/>
              <w:rPr>
                <w:sz w:val="20"/>
              </w:rPr>
            </w:pPr>
            <w:r>
              <w:rPr>
                <w:spacing w:val="-2"/>
                <w:sz w:val="20"/>
              </w:rPr>
              <w:t>(20,130)</w:t>
            </w:r>
          </w:p>
        </w:tc>
      </w:tr>
      <w:tr>
        <w:trPr>
          <w:trHeight w:val="300" w:hRule="atLeast"/>
        </w:trPr>
        <w:tc>
          <w:tcPr>
            <w:tcW w:w="5880" w:type="dxa"/>
            <w:shd w:val="clear" w:color="auto" w:fill="CCEDFF"/>
          </w:tcPr>
          <w:p>
            <w:pPr>
              <w:pStyle w:val="TableParagraph"/>
              <w:spacing w:before="20"/>
              <w:ind w:left="170"/>
              <w:rPr>
                <w:sz w:val="20"/>
              </w:rPr>
            </w:pPr>
            <w:r>
              <w:rPr>
                <w:sz w:val="20"/>
              </w:rPr>
              <w:t>Realized</w:t>
            </w:r>
            <w:r>
              <w:rPr>
                <w:spacing w:val="-1"/>
                <w:sz w:val="20"/>
              </w:rPr>
              <w:t> </w:t>
            </w:r>
            <w:r>
              <w:rPr>
                <w:sz w:val="20"/>
              </w:rPr>
              <w:t>gains</w:t>
            </w:r>
            <w:r>
              <w:rPr>
                <w:spacing w:val="-2"/>
                <w:sz w:val="20"/>
              </w:rPr>
              <w:t> </w:t>
            </w:r>
            <w:r>
              <w:rPr>
                <w:sz w:val="20"/>
              </w:rPr>
              <w:t>on</w:t>
            </w:r>
            <w:r>
              <w:rPr>
                <w:spacing w:val="-1"/>
                <w:sz w:val="20"/>
              </w:rPr>
              <w:t> </w:t>
            </w:r>
            <w:r>
              <w:rPr>
                <w:sz w:val="20"/>
              </w:rPr>
              <w:t>fixed</w:t>
            </w:r>
            <w:r>
              <w:rPr>
                <w:spacing w:val="-1"/>
                <w:sz w:val="20"/>
              </w:rPr>
              <w:t> </w:t>
            </w:r>
            <w:r>
              <w:rPr>
                <w:sz w:val="20"/>
              </w:rPr>
              <w:t>income </w:t>
            </w:r>
            <w:r>
              <w:rPr>
                <w:spacing w:val="-2"/>
                <w:sz w:val="20"/>
              </w:rPr>
              <w:t>investment</w:t>
            </w:r>
          </w:p>
        </w:tc>
        <w:tc>
          <w:tcPr>
            <w:tcW w:w="1460" w:type="dxa"/>
            <w:shd w:val="clear" w:color="auto" w:fill="CCEDFF"/>
          </w:tcPr>
          <w:p>
            <w:pPr>
              <w:pStyle w:val="TableParagraph"/>
              <w:spacing w:before="20"/>
              <w:ind w:right="136"/>
              <w:jc w:val="right"/>
              <w:rPr>
                <w:sz w:val="20"/>
              </w:rPr>
            </w:pPr>
            <w:r>
              <w:rPr>
                <w:spacing w:val="-2"/>
                <w:sz w:val="20"/>
              </w:rPr>
              <w:t>1,673</w:t>
            </w:r>
          </w:p>
        </w:tc>
        <w:tc>
          <w:tcPr>
            <w:tcW w:w="1480" w:type="dxa"/>
            <w:shd w:val="clear" w:color="auto" w:fill="CCEDFF"/>
          </w:tcPr>
          <w:p>
            <w:pPr>
              <w:pStyle w:val="TableParagraph"/>
              <w:spacing w:before="20"/>
              <w:ind w:right="136"/>
              <w:jc w:val="right"/>
              <w:rPr>
                <w:sz w:val="20"/>
              </w:rPr>
            </w:pPr>
            <w:r>
              <w:rPr>
                <w:spacing w:val="-2"/>
                <w:sz w:val="20"/>
              </w:rPr>
              <w:t>2,880</w:t>
            </w:r>
          </w:p>
        </w:tc>
        <w:tc>
          <w:tcPr>
            <w:tcW w:w="1420" w:type="dxa"/>
            <w:shd w:val="clear" w:color="auto" w:fill="CCEDFF"/>
          </w:tcPr>
          <w:p>
            <w:pPr>
              <w:pStyle w:val="TableParagraph"/>
              <w:spacing w:before="20"/>
              <w:ind w:right="76"/>
              <w:jc w:val="right"/>
              <w:rPr>
                <w:sz w:val="20"/>
              </w:rPr>
            </w:pPr>
            <w:r>
              <w:rPr>
                <w:spacing w:val="-2"/>
                <w:sz w:val="20"/>
              </w:rPr>
              <w:t>3,309</w:t>
            </w:r>
          </w:p>
        </w:tc>
      </w:tr>
      <w:tr>
        <w:trPr>
          <w:trHeight w:val="300" w:hRule="atLeast"/>
        </w:trPr>
        <w:tc>
          <w:tcPr>
            <w:tcW w:w="5880" w:type="dxa"/>
          </w:tcPr>
          <w:p>
            <w:pPr>
              <w:pStyle w:val="TableParagraph"/>
              <w:spacing w:before="20"/>
              <w:ind w:left="170"/>
              <w:rPr>
                <w:sz w:val="20"/>
              </w:rPr>
            </w:pPr>
            <w:r>
              <w:rPr>
                <w:sz w:val="20"/>
              </w:rPr>
              <w:t>Realized</w:t>
            </w:r>
            <w:r>
              <w:rPr>
                <w:spacing w:val="-1"/>
                <w:sz w:val="20"/>
              </w:rPr>
              <w:t> </w:t>
            </w:r>
            <w:r>
              <w:rPr>
                <w:sz w:val="20"/>
              </w:rPr>
              <w:t>losses</w:t>
            </w:r>
            <w:r>
              <w:rPr>
                <w:spacing w:val="-2"/>
                <w:sz w:val="20"/>
              </w:rPr>
              <w:t> </w:t>
            </w:r>
            <w:r>
              <w:rPr>
                <w:sz w:val="20"/>
              </w:rPr>
              <w:t>on</w:t>
            </w:r>
            <w:r>
              <w:rPr>
                <w:spacing w:val="-1"/>
                <w:sz w:val="20"/>
              </w:rPr>
              <w:t> </w:t>
            </w:r>
            <w:r>
              <w:rPr>
                <w:sz w:val="20"/>
              </w:rPr>
              <w:t>fixed</w:t>
            </w:r>
            <w:r>
              <w:rPr>
                <w:spacing w:val="-1"/>
                <w:sz w:val="20"/>
              </w:rPr>
              <w:t> </w:t>
            </w:r>
            <w:r>
              <w:rPr>
                <w:sz w:val="20"/>
              </w:rPr>
              <w:t>income</w:t>
            </w:r>
            <w:r>
              <w:rPr>
                <w:spacing w:val="-1"/>
                <w:sz w:val="20"/>
              </w:rPr>
              <w:t> </w:t>
            </w:r>
            <w:r>
              <w:rPr>
                <w:spacing w:val="-2"/>
                <w:sz w:val="20"/>
              </w:rPr>
              <w:t>investment</w:t>
            </w:r>
          </w:p>
        </w:tc>
        <w:tc>
          <w:tcPr>
            <w:tcW w:w="1460" w:type="dxa"/>
          </w:tcPr>
          <w:p>
            <w:pPr>
              <w:pStyle w:val="TableParagraph"/>
              <w:spacing w:before="20"/>
              <w:ind w:right="68"/>
              <w:jc w:val="right"/>
              <w:rPr>
                <w:sz w:val="20"/>
              </w:rPr>
            </w:pPr>
            <w:r>
              <w:rPr>
                <w:spacing w:val="-2"/>
                <w:sz w:val="20"/>
              </w:rPr>
              <w:t>(725)</w:t>
            </w:r>
          </w:p>
        </w:tc>
        <w:tc>
          <w:tcPr>
            <w:tcW w:w="1480" w:type="dxa"/>
          </w:tcPr>
          <w:p>
            <w:pPr>
              <w:pStyle w:val="TableParagraph"/>
              <w:spacing w:before="20"/>
              <w:ind w:right="68"/>
              <w:jc w:val="right"/>
              <w:rPr>
                <w:sz w:val="20"/>
              </w:rPr>
            </w:pPr>
            <w:r>
              <w:rPr>
                <w:spacing w:val="-2"/>
                <w:sz w:val="20"/>
              </w:rPr>
              <w:t>(985)</w:t>
            </w:r>
          </w:p>
        </w:tc>
        <w:tc>
          <w:tcPr>
            <w:tcW w:w="1420" w:type="dxa"/>
          </w:tcPr>
          <w:p>
            <w:pPr>
              <w:pStyle w:val="TableParagraph"/>
              <w:spacing w:before="20"/>
              <w:ind w:right="8"/>
              <w:jc w:val="right"/>
              <w:rPr>
                <w:sz w:val="20"/>
              </w:rPr>
            </w:pPr>
            <w:r>
              <w:rPr>
                <w:spacing w:val="-2"/>
                <w:sz w:val="20"/>
              </w:rPr>
              <w:t>(354)</w:t>
            </w:r>
          </w:p>
        </w:tc>
      </w:tr>
      <w:tr>
        <w:trPr>
          <w:trHeight w:val="290" w:hRule="atLeast"/>
        </w:trPr>
        <w:tc>
          <w:tcPr>
            <w:tcW w:w="5880" w:type="dxa"/>
            <w:shd w:val="clear" w:color="auto" w:fill="CCEDFF"/>
          </w:tcPr>
          <w:p>
            <w:pPr>
              <w:pStyle w:val="TableParagraph"/>
              <w:spacing w:before="20"/>
              <w:ind w:left="170"/>
              <w:rPr>
                <w:sz w:val="20"/>
              </w:rPr>
            </w:pPr>
            <w:r>
              <w:rPr>
                <w:spacing w:val="-2"/>
                <w:sz w:val="20"/>
              </w:rPr>
              <w:t>Other</w:t>
            </w:r>
          </w:p>
        </w:tc>
        <w:tc>
          <w:tcPr>
            <w:tcW w:w="1460" w:type="dxa"/>
            <w:tcBorders>
              <w:bottom w:val="single" w:sz="8" w:space="0" w:color="000000"/>
            </w:tcBorders>
            <w:shd w:val="clear" w:color="auto" w:fill="CCEDFF"/>
          </w:tcPr>
          <w:p>
            <w:pPr>
              <w:pStyle w:val="TableParagraph"/>
              <w:spacing w:before="20"/>
              <w:ind w:right="136"/>
              <w:jc w:val="right"/>
              <w:rPr>
                <w:sz w:val="20"/>
              </w:rPr>
            </w:pPr>
            <w:r>
              <w:rPr>
                <w:spacing w:val="-5"/>
                <w:sz w:val="20"/>
              </w:rPr>
              <w:t>83</w:t>
            </w:r>
          </w:p>
        </w:tc>
        <w:tc>
          <w:tcPr>
            <w:tcW w:w="1480" w:type="dxa"/>
            <w:tcBorders>
              <w:bottom w:val="single" w:sz="8" w:space="0" w:color="000000"/>
            </w:tcBorders>
            <w:shd w:val="clear" w:color="auto" w:fill="CCEDFF"/>
          </w:tcPr>
          <w:p>
            <w:pPr>
              <w:pStyle w:val="TableParagraph"/>
              <w:spacing w:before="20"/>
              <w:ind w:right="136"/>
              <w:jc w:val="right"/>
              <w:rPr>
                <w:sz w:val="20"/>
              </w:rPr>
            </w:pPr>
            <w:r>
              <w:rPr>
                <w:spacing w:val="-5"/>
                <w:sz w:val="20"/>
              </w:rPr>
              <w:t>29</w:t>
            </w:r>
          </w:p>
        </w:tc>
        <w:tc>
          <w:tcPr>
            <w:tcW w:w="1420" w:type="dxa"/>
            <w:tcBorders>
              <w:bottom w:val="single" w:sz="8" w:space="0" w:color="000000"/>
            </w:tcBorders>
            <w:shd w:val="clear" w:color="auto" w:fill="CCEDFF"/>
          </w:tcPr>
          <w:p>
            <w:pPr>
              <w:pStyle w:val="TableParagraph"/>
              <w:spacing w:before="20"/>
              <w:ind w:right="76"/>
              <w:jc w:val="right"/>
              <w:rPr>
                <w:sz w:val="20"/>
              </w:rPr>
            </w:pPr>
            <w:r>
              <w:rPr>
                <w:spacing w:val="-2"/>
                <w:sz w:val="20"/>
              </w:rPr>
              <w:t>22,325</w:t>
            </w:r>
          </w:p>
        </w:tc>
      </w:tr>
      <w:tr>
        <w:trPr>
          <w:trHeight w:val="280" w:hRule="atLeast"/>
        </w:trPr>
        <w:tc>
          <w:tcPr>
            <w:tcW w:w="5880" w:type="dxa"/>
          </w:tcPr>
          <w:p>
            <w:pPr>
              <w:pStyle w:val="TableParagraph"/>
              <w:spacing w:before="10"/>
              <w:ind w:left="410"/>
              <w:rPr>
                <w:sz w:val="20"/>
              </w:rPr>
            </w:pPr>
            <w:r>
              <w:rPr>
                <w:sz w:val="20"/>
              </w:rPr>
              <w:t>Interest and other income (expense), </w:t>
            </w:r>
            <w:r>
              <w:rPr>
                <w:spacing w:val="-5"/>
                <w:sz w:val="20"/>
              </w:rPr>
              <w:t>net</w:t>
            </w:r>
          </w:p>
        </w:tc>
        <w:tc>
          <w:tcPr>
            <w:tcW w:w="1460" w:type="dxa"/>
            <w:tcBorders>
              <w:top w:val="single" w:sz="8" w:space="0" w:color="000000"/>
              <w:bottom w:val="single" w:sz="8" w:space="0" w:color="000000"/>
            </w:tcBorders>
          </w:tcPr>
          <w:p>
            <w:pPr>
              <w:pStyle w:val="TableParagraph"/>
              <w:tabs>
                <w:tab w:pos="722" w:val="left" w:leader="none"/>
              </w:tabs>
              <w:spacing w:before="10"/>
              <w:ind w:right="136"/>
              <w:jc w:val="right"/>
              <w:rPr>
                <w:sz w:val="20"/>
              </w:rPr>
            </w:pPr>
            <w:r>
              <w:rPr>
                <w:spacing w:val="-10"/>
                <w:sz w:val="20"/>
              </w:rPr>
              <w:t>$</w:t>
            </w:r>
            <w:r>
              <w:rPr>
                <w:sz w:val="20"/>
              </w:rPr>
              <w:tab/>
            </w:r>
            <w:r>
              <w:rPr>
                <w:spacing w:val="-2"/>
                <w:sz w:val="20"/>
              </w:rPr>
              <w:t>36,395</w:t>
            </w:r>
          </w:p>
        </w:tc>
        <w:tc>
          <w:tcPr>
            <w:tcW w:w="1480" w:type="dxa"/>
            <w:tcBorders>
              <w:top w:val="single" w:sz="8" w:space="0" w:color="000000"/>
              <w:bottom w:val="single" w:sz="8" w:space="0" w:color="000000"/>
            </w:tcBorders>
          </w:tcPr>
          <w:p>
            <w:pPr>
              <w:pStyle w:val="TableParagraph"/>
              <w:tabs>
                <w:tab w:pos="722" w:val="left" w:leader="none"/>
              </w:tabs>
              <w:spacing w:before="10"/>
              <w:ind w:right="136"/>
              <w:jc w:val="right"/>
              <w:rPr>
                <w:sz w:val="20"/>
              </w:rPr>
            </w:pPr>
            <w:r>
              <w:rPr>
                <w:spacing w:val="-10"/>
                <w:sz w:val="20"/>
              </w:rPr>
              <w:t>$</w:t>
            </w:r>
            <w:r>
              <w:rPr>
                <w:sz w:val="20"/>
              </w:rPr>
              <w:tab/>
            </w:r>
            <w:r>
              <w:rPr>
                <w:spacing w:val="-2"/>
                <w:sz w:val="20"/>
              </w:rPr>
              <w:t>13,548</w:t>
            </w:r>
          </w:p>
        </w:tc>
        <w:tc>
          <w:tcPr>
            <w:tcW w:w="1420" w:type="dxa"/>
            <w:tcBorders>
              <w:top w:val="single" w:sz="8" w:space="0" w:color="000000"/>
              <w:bottom w:val="single" w:sz="8" w:space="0" w:color="000000"/>
            </w:tcBorders>
          </w:tcPr>
          <w:p>
            <w:pPr>
              <w:pStyle w:val="TableParagraph"/>
              <w:tabs>
                <w:tab w:pos="722" w:val="left" w:leader="none"/>
              </w:tabs>
              <w:spacing w:before="10"/>
              <w:ind w:right="76"/>
              <w:jc w:val="right"/>
              <w:rPr>
                <w:sz w:val="20"/>
              </w:rPr>
            </w:pPr>
            <w:r>
              <w:rPr>
                <w:spacing w:val="-10"/>
                <w:sz w:val="20"/>
              </w:rPr>
              <w:t>$</w:t>
            </w:r>
            <w:r>
              <w:rPr>
                <w:sz w:val="20"/>
              </w:rPr>
              <w:tab/>
            </w:r>
            <w:r>
              <w:rPr>
                <w:spacing w:val="-2"/>
                <w:sz w:val="20"/>
              </w:rPr>
              <w:t>33,909</w:t>
            </w:r>
          </w:p>
        </w:tc>
      </w:tr>
      <w:tr>
        <w:trPr>
          <w:trHeight w:val="280" w:hRule="atLeast"/>
        </w:trPr>
        <w:tc>
          <w:tcPr>
            <w:tcW w:w="5880" w:type="dxa"/>
            <w:shd w:val="clear" w:color="auto" w:fill="CCEDFF"/>
          </w:tcPr>
          <w:p>
            <w:pPr>
              <w:pStyle w:val="TableParagraph"/>
              <w:spacing w:before="10"/>
              <w:ind w:left="50"/>
              <w:rPr>
                <w:sz w:val="20"/>
              </w:rPr>
            </w:pPr>
            <w:r>
              <w:rPr>
                <w:sz w:val="20"/>
              </w:rPr>
              <w:t>Interest </w:t>
            </w:r>
            <w:r>
              <w:rPr>
                <w:spacing w:val="-2"/>
                <w:sz w:val="20"/>
              </w:rPr>
              <w:t>expense</w:t>
            </w:r>
          </w:p>
        </w:tc>
        <w:tc>
          <w:tcPr>
            <w:tcW w:w="1460" w:type="dxa"/>
            <w:tcBorders>
              <w:top w:val="single" w:sz="8" w:space="0" w:color="000000"/>
              <w:bottom w:val="single" w:sz="8" w:space="0" w:color="000000"/>
            </w:tcBorders>
            <w:shd w:val="clear" w:color="auto" w:fill="CCEDFF"/>
          </w:tcPr>
          <w:p>
            <w:pPr>
              <w:pStyle w:val="TableParagraph"/>
              <w:tabs>
                <w:tab w:pos="655" w:val="left" w:leader="none"/>
              </w:tabs>
              <w:spacing w:before="10"/>
              <w:ind w:right="68"/>
              <w:jc w:val="right"/>
              <w:rPr>
                <w:sz w:val="20"/>
              </w:rPr>
            </w:pPr>
            <w:r>
              <w:rPr>
                <w:spacing w:val="-10"/>
                <w:sz w:val="20"/>
              </w:rPr>
              <w:t>$</w:t>
            </w:r>
            <w:r>
              <w:rPr>
                <w:sz w:val="20"/>
              </w:rPr>
              <w:tab/>
            </w:r>
            <w:r>
              <w:rPr>
                <w:spacing w:val="-2"/>
                <w:sz w:val="20"/>
              </w:rPr>
              <w:t>(74,402)</w:t>
            </w:r>
          </w:p>
        </w:tc>
        <w:tc>
          <w:tcPr>
            <w:tcW w:w="1480" w:type="dxa"/>
            <w:tcBorders>
              <w:top w:val="single" w:sz="8" w:space="0" w:color="000000"/>
              <w:bottom w:val="single" w:sz="8" w:space="0" w:color="000000"/>
            </w:tcBorders>
            <w:shd w:val="clear" w:color="auto" w:fill="CCEDFF"/>
          </w:tcPr>
          <w:p>
            <w:pPr>
              <w:pStyle w:val="TableParagraph"/>
              <w:tabs>
                <w:tab w:pos="655" w:val="left" w:leader="none"/>
              </w:tabs>
              <w:spacing w:before="10"/>
              <w:ind w:right="68"/>
              <w:jc w:val="right"/>
              <w:rPr>
                <w:sz w:val="20"/>
              </w:rPr>
            </w:pPr>
            <w:r>
              <w:rPr>
                <w:spacing w:val="-10"/>
                <w:sz w:val="20"/>
              </w:rPr>
              <w:t>$</w:t>
            </w:r>
            <w:r>
              <w:rPr>
                <w:sz w:val="20"/>
              </w:rPr>
              <w:tab/>
            </w:r>
            <w:r>
              <w:rPr>
                <w:spacing w:val="-2"/>
                <w:sz w:val="20"/>
              </w:rPr>
              <w:t>(70,442)</w:t>
            </w:r>
          </w:p>
        </w:tc>
        <w:tc>
          <w:tcPr>
            <w:tcW w:w="1420" w:type="dxa"/>
            <w:tcBorders>
              <w:top w:val="single" w:sz="8" w:space="0" w:color="000000"/>
              <w:bottom w:val="single" w:sz="8" w:space="0" w:color="000000"/>
            </w:tcBorders>
            <w:shd w:val="clear" w:color="auto" w:fill="CCEDFF"/>
          </w:tcPr>
          <w:p>
            <w:pPr>
              <w:pStyle w:val="TableParagraph"/>
              <w:tabs>
                <w:tab w:pos="655" w:val="left" w:leader="none"/>
              </w:tabs>
              <w:spacing w:before="10"/>
              <w:ind w:right="8"/>
              <w:jc w:val="right"/>
              <w:rPr>
                <w:sz w:val="20"/>
              </w:rPr>
            </w:pPr>
            <w:r>
              <w:rPr>
                <w:spacing w:val="-10"/>
                <w:sz w:val="20"/>
              </w:rPr>
              <w:t>$</w:t>
            </w:r>
            <w:r>
              <w:rPr>
                <w:sz w:val="20"/>
              </w:rPr>
              <w:tab/>
            </w:r>
            <w:r>
              <w:rPr>
                <w:spacing w:val="-2"/>
                <w:sz w:val="20"/>
              </w:rPr>
              <w:t>(64,184)</w:t>
            </w:r>
          </w:p>
        </w:tc>
      </w:tr>
      <w:tr>
        <w:trPr>
          <w:trHeight w:val="290" w:hRule="atLeast"/>
        </w:trPr>
        <w:tc>
          <w:tcPr>
            <w:tcW w:w="5880" w:type="dxa"/>
          </w:tcPr>
          <w:p>
            <w:pPr>
              <w:pStyle w:val="TableParagraph"/>
              <w:spacing w:before="10"/>
              <w:ind w:left="50"/>
              <w:rPr>
                <w:sz w:val="20"/>
              </w:rPr>
            </w:pPr>
            <w:r>
              <w:rPr>
                <w:sz w:val="20"/>
              </w:rPr>
              <w:t>Investment</w:t>
            </w:r>
            <w:r>
              <w:rPr>
                <w:spacing w:val="-4"/>
                <w:sz w:val="20"/>
              </w:rPr>
              <w:t> </w:t>
            </w:r>
            <w:r>
              <w:rPr>
                <w:sz w:val="20"/>
              </w:rPr>
              <w:t>gains</w:t>
            </w:r>
            <w:r>
              <w:rPr>
                <w:spacing w:val="-2"/>
                <w:sz w:val="20"/>
              </w:rPr>
              <w:t> </w:t>
            </w:r>
            <w:r>
              <w:rPr>
                <w:sz w:val="20"/>
              </w:rPr>
              <w:t>(losses),</w:t>
            </w:r>
            <w:r>
              <w:rPr>
                <w:spacing w:val="-1"/>
                <w:sz w:val="20"/>
              </w:rPr>
              <w:t> </w:t>
            </w:r>
            <w:r>
              <w:rPr>
                <w:spacing w:val="-4"/>
                <w:sz w:val="20"/>
              </w:rPr>
              <w:t>net:</w:t>
            </w:r>
          </w:p>
        </w:tc>
        <w:tc>
          <w:tcPr>
            <w:tcW w:w="1460" w:type="dxa"/>
            <w:tcBorders>
              <w:top w:val="single" w:sz="8" w:space="0" w:color="000000"/>
            </w:tcBorders>
          </w:tcPr>
          <w:p>
            <w:pPr>
              <w:pStyle w:val="TableParagraph"/>
              <w:rPr>
                <w:sz w:val="18"/>
              </w:rPr>
            </w:pPr>
          </w:p>
        </w:tc>
        <w:tc>
          <w:tcPr>
            <w:tcW w:w="1480" w:type="dxa"/>
            <w:tcBorders>
              <w:top w:val="single" w:sz="8" w:space="0" w:color="000000"/>
            </w:tcBorders>
          </w:tcPr>
          <w:p>
            <w:pPr>
              <w:pStyle w:val="TableParagraph"/>
              <w:rPr>
                <w:sz w:val="18"/>
              </w:rPr>
            </w:pPr>
          </w:p>
        </w:tc>
        <w:tc>
          <w:tcPr>
            <w:tcW w:w="1420" w:type="dxa"/>
            <w:tcBorders>
              <w:top w:val="single" w:sz="8" w:space="0" w:color="000000"/>
            </w:tcBorders>
          </w:tcPr>
          <w:p>
            <w:pPr>
              <w:pStyle w:val="TableParagraph"/>
              <w:rPr>
                <w:sz w:val="18"/>
              </w:rPr>
            </w:pPr>
          </w:p>
        </w:tc>
      </w:tr>
      <w:tr>
        <w:trPr>
          <w:trHeight w:val="300" w:hRule="atLeast"/>
        </w:trPr>
        <w:tc>
          <w:tcPr>
            <w:tcW w:w="5880" w:type="dxa"/>
            <w:shd w:val="clear" w:color="auto" w:fill="CCEDFF"/>
          </w:tcPr>
          <w:p>
            <w:pPr>
              <w:pStyle w:val="TableParagraph"/>
              <w:spacing w:before="20"/>
              <w:ind w:left="170"/>
              <w:rPr>
                <w:sz w:val="20"/>
              </w:rPr>
            </w:pPr>
            <w:r>
              <w:rPr>
                <w:sz w:val="20"/>
              </w:rPr>
              <w:t>Realized investment </w:t>
            </w:r>
            <w:r>
              <w:rPr>
                <w:spacing w:val="-2"/>
                <w:sz w:val="20"/>
              </w:rPr>
              <w:t>gains</w:t>
            </w:r>
          </w:p>
        </w:tc>
        <w:tc>
          <w:tcPr>
            <w:tcW w:w="1460" w:type="dxa"/>
            <w:shd w:val="clear" w:color="auto" w:fill="CCEDFF"/>
          </w:tcPr>
          <w:p>
            <w:pPr>
              <w:pStyle w:val="TableParagraph"/>
              <w:tabs>
                <w:tab w:pos="822" w:val="left" w:leader="none"/>
              </w:tabs>
              <w:spacing w:before="20"/>
              <w:ind w:right="136"/>
              <w:jc w:val="right"/>
              <w:rPr>
                <w:sz w:val="20"/>
              </w:rPr>
            </w:pPr>
            <w:r>
              <w:rPr>
                <w:spacing w:val="-10"/>
                <w:sz w:val="20"/>
              </w:rPr>
              <w:t>$</w:t>
            </w:r>
            <w:r>
              <w:rPr>
                <w:sz w:val="20"/>
              </w:rPr>
              <w:tab/>
            </w:r>
            <w:r>
              <w:rPr>
                <w:spacing w:val="-2"/>
                <w:sz w:val="20"/>
              </w:rPr>
              <w:t>3,279</w:t>
            </w:r>
          </w:p>
        </w:tc>
        <w:tc>
          <w:tcPr>
            <w:tcW w:w="1480" w:type="dxa"/>
            <w:shd w:val="clear" w:color="auto" w:fill="CCEDFF"/>
          </w:tcPr>
          <w:p>
            <w:pPr>
              <w:pStyle w:val="TableParagraph"/>
              <w:tabs>
                <w:tab w:pos="822" w:val="left" w:leader="none"/>
              </w:tabs>
              <w:spacing w:before="20"/>
              <w:ind w:right="136"/>
              <w:jc w:val="right"/>
              <w:rPr>
                <w:sz w:val="20"/>
              </w:rPr>
            </w:pPr>
            <w:r>
              <w:rPr>
                <w:spacing w:val="-10"/>
                <w:sz w:val="20"/>
              </w:rPr>
              <w:t>$</w:t>
            </w:r>
            <w:r>
              <w:rPr>
                <w:sz w:val="20"/>
              </w:rPr>
              <w:tab/>
            </w:r>
            <w:r>
              <w:rPr>
                <w:spacing w:val="-2"/>
                <w:sz w:val="20"/>
              </w:rPr>
              <w:t>4,964</w:t>
            </w:r>
          </w:p>
        </w:tc>
        <w:tc>
          <w:tcPr>
            <w:tcW w:w="1420" w:type="dxa"/>
            <w:shd w:val="clear" w:color="auto" w:fill="CCEDFF"/>
          </w:tcPr>
          <w:p>
            <w:pPr>
              <w:pStyle w:val="TableParagraph"/>
              <w:tabs>
                <w:tab w:pos="822" w:val="left" w:leader="none"/>
              </w:tabs>
              <w:spacing w:before="20"/>
              <w:ind w:right="76"/>
              <w:jc w:val="right"/>
              <w:rPr>
                <w:sz w:val="20"/>
              </w:rPr>
            </w:pPr>
            <w:r>
              <w:rPr>
                <w:spacing w:val="-10"/>
                <w:sz w:val="20"/>
              </w:rPr>
              <w:t>$</w:t>
            </w:r>
            <w:r>
              <w:rPr>
                <w:sz w:val="20"/>
              </w:rPr>
              <w:tab/>
            </w:r>
            <w:r>
              <w:rPr>
                <w:spacing w:val="-2"/>
                <w:sz w:val="20"/>
              </w:rPr>
              <w:t>2,760</w:t>
            </w:r>
          </w:p>
        </w:tc>
      </w:tr>
      <w:tr>
        <w:trPr>
          <w:trHeight w:val="300" w:hRule="atLeast"/>
        </w:trPr>
        <w:tc>
          <w:tcPr>
            <w:tcW w:w="5880" w:type="dxa"/>
          </w:tcPr>
          <w:p>
            <w:pPr>
              <w:pStyle w:val="TableParagraph"/>
              <w:spacing w:before="20"/>
              <w:ind w:left="170"/>
              <w:rPr>
                <w:sz w:val="20"/>
              </w:rPr>
            </w:pPr>
            <w:r>
              <w:rPr>
                <w:sz w:val="20"/>
              </w:rPr>
              <w:t>Unrealized investment </w:t>
            </w:r>
            <w:r>
              <w:rPr>
                <w:spacing w:val="-2"/>
                <w:sz w:val="20"/>
              </w:rPr>
              <w:t>gains</w:t>
            </w:r>
          </w:p>
        </w:tc>
        <w:tc>
          <w:tcPr>
            <w:tcW w:w="1460" w:type="dxa"/>
          </w:tcPr>
          <w:p>
            <w:pPr>
              <w:pStyle w:val="TableParagraph"/>
              <w:spacing w:before="20"/>
              <w:ind w:right="136"/>
              <w:jc w:val="right"/>
              <w:rPr>
                <w:sz w:val="20"/>
              </w:rPr>
            </w:pPr>
            <w:r>
              <w:rPr>
                <w:spacing w:val="-2"/>
                <w:sz w:val="20"/>
              </w:rPr>
              <w:t>4,274</w:t>
            </w:r>
          </w:p>
        </w:tc>
        <w:tc>
          <w:tcPr>
            <w:tcW w:w="1480" w:type="dxa"/>
          </w:tcPr>
          <w:p>
            <w:pPr>
              <w:pStyle w:val="TableParagraph"/>
              <w:spacing w:before="20"/>
              <w:ind w:right="136"/>
              <w:jc w:val="right"/>
              <w:rPr>
                <w:sz w:val="20"/>
              </w:rPr>
            </w:pPr>
            <w:r>
              <w:rPr>
                <w:spacing w:val="-5"/>
                <w:sz w:val="20"/>
              </w:rPr>
              <w:t>186</w:t>
            </w:r>
          </w:p>
        </w:tc>
        <w:tc>
          <w:tcPr>
            <w:tcW w:w="1420" w:type="dxa"/>
          </w:tcPr>
          <w:p>
            <w:pPr>
              <w:pStyle w:val="TableParagraph"/>
              <w:spacing w:before="20"/>
              <w:ind w:right="76"/>
              <w:jc w:val="right"/>
              <w:rPr>
                <w:sz w:val="20"/>
              </w:rPr>
            </w:pPr>
            <w:r>
              <w:rPr>
                <w:spacing w:val="-10"/>
                <w:sz w:val="20"/>
              </w:rPr>
              <w:t>—</w:t>
            </w:r>
          </w:p>
        </w:tc>
      </w:tr>
      <w:tr>
        <w:trPr>
          <w:trHeight w:val="300" w:hRule="atLeast"/>
        </w:trPr>
        <w:tc>
          <w:tcPr>
            <w:tcW w:w="5880" w:type="dxa"/>
            <w:shd w:val="clear" w:color="auto" w:fill="CCEDFF"/>
          </w:tcPr>
          <w:p>
            <w:pPr>
              <w:pStyle w:val="TableParagraph"/>
              <w:spacing w:before="20"/>
              <w:ind w:left="170"/>
              <w:rPr>
                <w:sz w:val="20"/>
              </w:rPr>
            </w:pPr>
            <w:r>
              <w:rPr>
                <w:sz w:val="20"/>
              </w:rPr>
              <w:t>Realized investment </w:t>
            </w:r>
            <w:r>
              <w:rPr>
                <w:spacing w:val="-2"/>
                <w:sz w:val="20"/>
              </w:rPr>
              <w:t>losses</w:t>
            </w:r>
          </w:p>
        </w:tc>
        <w:tc>
          <w:tcPr>
            <w:tcW w:w="1460" w:type="dxa"/>
            <w:shd w:val="clear" w:color="auto" w:fill="CCEDFF"/>
          </w:tcPr>
          <w:p>
            <w:pPr>
              <w:pStyle w:val="TableParagraph"/>
              <w:spacing w:before="20"/>
              <w:ind w:right="136"/>
              <w:jc w:val="right"/>
              <w:rPr>
                <w:sz w:val="20"/>
              </w:rPr>
            </w:pPr>
            <w:r>
              <w:rPr>
                <w:spacing w:val="-10"/>
                <w:sz w:val="20"/>
              </w:rPr>
              <w:t>—</w:t>
            </w:r>
          </w:p>
        </w:tc>
        <w:tc>
          <w:tcPr>
            <w:tcW w:w="1480" w:type="dxa"/>
            <w:shd w:val="clear" w:color="auto" w:fill="CCEDFF"/>
          </w:tcPr>
          <w:p>
            <w:pPr>
              <w:pStyle w:val="TableParagraph"/>
              <w:spacing w:before="20"/>
              <w:ind w:right="68"/>
              <w:jc w:val="right"/>
              <w:rPr>
                <w:sz w:val="20"/>
              </w:rPr>
            </w:pPr>
            <w:r>
              <w:rPr>
                <w:spacing w:val="-2"/>
                <w:sz w:val="20"/>
              </w:rPr>
              <w:t>(6,720)</w:t>
            </w:r>
          </w:p>
        </w:tc>
        <w:tc>
          <w:tcPr>
            <w:tcW w:w="1420" w:type="dxa"/>
            <w:shd w:val="clear" w:color="auto" w:fill="CCEDFF"/>
          </w:tcPr>
          <w:p>
            <w:pPr>
              <w:pStyle w:val="TableParagraph"/>
              <w:spacing w:before="20"/>
              <w:ind w:right="8"/>
              <w:jc w:val="right"/>
              <w:rPr>
                <w:sz w:val="20"/>
              </w:rPr>
            </w:pPr>
            <w:r>
              <w:rPr>
                <w:spacing w:val="-2"/>
                <w:sz w:val="20"/>
              </w:rPr>
              <w:t>(206)</w:t>
            </w:r>
          </w:p>
        </w:tc>
      </w:tr>
      <w:tr>
        <w:trPr>
          <w:trHeight w:val="290" w:hRule="atLeast"/>
        </w:trPr>
        <w:tc>
          <w:tcPr>
            <w:tcW w:w="5880" w:type="dxa"/>
          </w:tcPr>
          <w:p>
            <w:pPr>
              <w:pStyle w:val="TableParagraph"/>
              <w:spacing w:before="20"/>
              <w:ind w:left="170"/>
              <w:rPr>
                <w:sz w:val="20"/>
              </w:rPr>
            </w:pPr>
            <w:r>
              <w:rPr>
                <w:sz w:val="20"/>
              </w:rPr>
              <w:t>Unrealized investment </w:t>
            </w:r>
            <w:r>
              <w:rPr>
                <w:spacing w:val="-2"/>
                <w:sz w:val="20"/>
              </w:rPr>
              <w:t>losses</w:t>
            </w:r>
          </w:p>
        </w:tc>
        <w:tc>
          <w:tcPr>
            <w:tcW w:w="1460" w:type="dxa"/>
            <w:tcBorders>
              <w:bottom w:val="single" w:sz="8" w:space="0" w:color="000000"/>
            </w:tcBorders>
          </w:tcPr>
          <w:p>
            <w:pPr>
              <w:pStyle w:val="TableParagraph"/>
              <w:spacing w:before="20"/>
              <w:ind w:right="136"/>
              <w:jc w:val="right"/>
              <w:rPr>
                <w:sz w:val="20"/>
              </w:rPr>
            </w:pPr>
            <w:r>
              <w:rPr>
                <w:spacing w:val="-10"/>
                <w:sz w:val="20"/>
              </w:rPr>
              <w:t>—</w:t>
            </w:r>
          </w:p>
        </w:tc>
        <w:tc>
          <w:tcPr>
            <w:tcW w:w="1480" w:type="dxa"/>
            <w:tcBorders>
              <w:bottom w:val="single" w:sz="8" w:space="0" w:color="000000"/>
            </w:tcBorders>
          </w:tcPr>
          <w:p>
            <w:pPr>
              <w:pStyle w:val="TableParagraph"/>
              <w:spacing w:before="20"/>
              <w:ind w:right="136"/>
              <w:jc w:val="right"/>
              <w:rPr>
                <w:sz w:val="20"/>
              </w:rPr>
            </w:pPr>
            <w:r>
              <w:rPr>
                <w:spacing w:val="-10"/>
                <w:sz w:val="20"/>
              </w:rPr>
              <w:t>—</w:t>
            </w:r>
          </w:p>
        </w:tc>
        <w:tc>
          <w:tcPr>
            <w:tcW w:w="1420" w:type="dxa"/>
            <w:tcBorders>
              <w:bottom w:val="single" w:sz="8" w:space="0" w:color="000000"/>
            </w:tcBorders>
          </w:tcPr>
          <w:p>
            <w:pPr>
              <w:pStyle w:val="TableParagraph"/>
              <w:spacing w:before="20"/>
              <w:ind w:right="8"/>
              <w:jc w:val="right"/>
              <w:rPr>
                <w:sz w:val="20"/>
              </w:rPr>
            </w:pPr>
            <w:r>
              <w:rPr>
                <w:spacing w:val="-2"/>
                <w:sz w:val="20"/>
              </w:rPr>
              <w:t>(1,593)</w:t>
            </w:r>
          </w:p>
        </w:tc>
      </w:tr>
      <w:tr>
        <w:trPr>
          <w:trHeight w:val="280" w:hRule="atLeast"/>
        </w:trPr>
        <w:tc>
          <w:tcPr>
            <w:tcW w:w="5880" w:type="dxa"/>
            <w:shd w:val="clear" w:color="auto" w:fill="CCEDFF"/>
          </w:tcPr>
          <w:p>
            <w:pPr>
              <w:pStyle w:val="TableParagraph"/>
              <w:spacing w:before="10"/>
              <w:ind w:left="410"/>
              <w:rPr>
                <w:sz w:val="20"/>
              </w:rPr>
            </w:pPr>
            <w:r>
              <w:rPr>
                <w:sz w:val="20"/>
              </w:rPr>
              <w:t>Investment</w:t>
            </w:r>
            <w:r>
              <w:rPr>
                <w:spacing w:val="-4"/>
                <w:sz w:val="20"/>
              </w:rPr>
              <w:t> </w:t>
            </w:r>
            <w:r>
              <w:rPr>
                <w:sz w:val="20"/>
              </w:rPr>
              <w:t>gains</w:t>
            </w:r>
            <w:r>
              <w:rPr>
                <w:spacing w:val="-2"/>
                <w:sz w:val="20"/>
              </w:rPr>
              <w:t> </w:t>
            </w:r>
            <w:r>
              <w:rPr>
                <w:sz w:val="20"/>
              </w:rPr>
              <w:t>(losses),</w:t>
            </w:r>
            <w:r>
              <w:rPr>
                <w:spacing w:val="-1"/>
                <w:sz w:val="20"/>
              </w:rPr>
              <w:t> </w:t>
            </w:r>
            <w:r>
              <w:rPr>
                <w:spacing w:val="-5"/>
                <w:sz w:val="20"/>
              </w:rPr>
              <w:t>net</w:t>
            </w:r>
          </w:p>
        </w:tc>
        <w:tc>
          <w:tcPr>
            <w:tcW w:w="1460" w:type="dxa"/>
            <w:tcBorders>
              <w:top w:val="single" w:sz="8" w:space="0" w:color="000000"/>
              <w:bottom w:val="single" w:sz="8" w:space="0" w:color="000000"/>
            </w:tcBorders>
            <w:shd w:val="clear" w:color="auto" w:fill="CCEDFF"/>
          </w:tcPr>
          <w:p>
            <w:pPr>
              <w:pStyle w:val="TableParagraph"/>
              <w:tabs>
                <w:tab w:pos="822" w:val="left" w:leader="none"/>
              </w:tabs>
              <w:spacing w:before="10"/>
              <w:ind w:right="136"/>
              <w:jc w:val="right"/>
              <w:rPr>
                <w:sz w:val="20"/>
              </w:rPr>
            </w:pPr>
            <w:r>
              <w:rPr>
                <w:spacing w:val="-10"/>
                <w:sz w:val="20"/>
              </w:rPr>
              <w:t>$</w:t>
            </w:r>
            <w:r>
              <w:rPr>
                <w:sz w:val="20"/>
              </w:rPr>
              <w:tab/>
            </w:r>
            <w:r>
              <w:rPr>
                <w:spacing w:val="-2"/>
                <w:sz w:val="20"/>
              </w:rPr>
              <w:t>7,553</w:t>
            </w:r>
          </w:p>
        </w:tc>
        <w:tc>
          <w:tcPr>
            <w:tcW w:w="1480" w:type="dxa"/>
            <w:tcBorders>
              <w:top w:val="single" w:sz="8" w:space="0" w:color="000000"/>
              <w:bottom w:val="single" w:sz="8" w:space="0" w:color="000000"/>
            </w:tcBorders>
            <w:shd w:val="clear" w:color="auto" w:fill="CCEDFF"/>
          </w:tcPr>
          <w:p>
            <w:pPr>
              <w:pStyle w:val="TableParagraph"/>
              <w:tabs>
                <w:tab w:pos="755" w:val="left" w:leader="none"/>
              </w:tabs>
              <w:spacing w:before="10"/>
              <w:ind w:right="68"/>
              <w:jc w:val="right"/>
              <w:rPr>
                <w:sz w:val="20"/>
              </w:rPr>
            </w:pPr>
            <w:r>
              <w:rPr>
                <w:spacing w:val="-10"/>
                <w:sz w:val="20"/>
              </w:rPr>
              <w:t>$</w:t>
            </w:r>
            <w:r>
              <w:rPr>
                <w:sz w:val="20"/>
              </w:rPr>
              <w:tab/>
            </w:r>
            <w:r>
              <w:rPr>
                <w:spacing w:val="-2"/>
                <w:sz w:val="20"/>
              </w:rPr>
              <w:t>(1,570)</w:t>
            </w:r>
          </w:p>
        </w:tc>
        <w:tc>
          <w:tcPr>
            <w:tcW w:w="1420" w:type="dxa"/>
            <w:tcBorders>
              <w:top w:val="single" w:sz="8" w:space="0" w:color="000000"/>
              <w:bottom w:val="single" w:sz="8" w:space="0" w:color="000000"/>
            </w:tcBorders>
            <w:shd w:val="clear" w:color="auto" w:fill="CCEDFF"/>
          </w:tcPr>
          <w:p>
            <w:pPr>
              <w:pStyle w:val="TableParagraph"/>
              <w:tabs>
                <w:tab w:pos="972" w:val="left" w:leader="none"/>
              </w:tabs>
              <w:spacing w:before="10"/>
              <w:ind w:right="76"/>
              <w:jc w:val="right"/>
              <w:rPr>
                <w:sz w:val="20"/>
              </w:rPr>
            </w:pPr>
            <w:r>
              <w:rPr>
                <w:spacing w:val="-10"/>
                <w:sz w:val="20"/>
              </w:rPr>
              <w:t>$</w:t>
            </w:r>
            <w:r>
              <w:rPr>
                <w:sz w:val="20"/>
              </w:rPr>
              <w:tab/>
            </w:r>
            <w:r>
              <w:rPr>
                <w:spacing w:val="-5"/>
                <w:sz w:val="20"/>
              </w:rPr>
              <w:t>961</w:t>
            </w:r>
          </w:p>
        </w:tc>
      </w:tr>
      <w:tr>
        <w:trPr>
          <w:trHeight w:val="260" w:hRule="atLeast"/>
        </w:trPr>
        <w:tc>
          <w:tcPr>
            <w:tcW w:w="5880" w:type="dxa"/>
          </w:tcPr>
          <w:p>
            <w:pPr>
              <w:pStyle w:val="TableParagraph"/>
              <w:spacing w:before="10"/>
              <w:ind w:left="50"/>
              <w:rPr>
                <w:sz w:val="20"/>
              </w:rPr>
            </w:pPr>
            <w:r>
              <w:rPr>
                <w:sz w:val="20"/>
              </w:rPr>
              <w:t>Non-operating income (expense), </w:t>
            </w:r>
            <w:r>
              <w:rPr>
                <w:spacing w:val="-5"/>
                <w:sz w:val="20"/>
              </w:rPr>
              <w:t>net</w:t>
            </w:r>
          </w:p>
        </w:tc>
        <w:tc>
          <w:tcPr>
            <w:tcW w:w="1460" w:type="dxa"/>
            <w:tcBorders>
              <w:top w:val="single" w:sz="8" w:space="0" w:color="000000"/>
              <w:bottom w:val="double" w:sz="8" w:space="0" w:color="000000"/>
            </w:tcBorders>
          </w:tcPr>
          <w:p>
            <w:pPr>
              <w:pStyle w:val="TableParagraph"/>
              <w:tabs>
                <w:tab w:pos="655" w:val="left" w:leader="none"/>
              </w:tabs>
              <w:spacing w:before="10"/>
              <w:ind w:right="68"/>
              <w:jc w:val="right"/>
              <w:rPr>
                <w:sz w:val="20"/>
              </w:rPr>
            </w:pPr>
            <w:r>
              <w:rPr>
                <w:spacing w:val="-10"/>
                <w:sz w:val="20"/>
              </w:rPr>
              <w:t>$</w:t>
            </w:r>
            <w:r>
              <w:rPr>
                <w:sz w:val="20"/>
              </w:rPr>
              <w:tab/>
            </w:r>
            <w:r>
              <w:rPr>
                <w:spacing w:val="-2"/>
                <w:sz w:val="20"/>
              </w:rPr>
              <w:t>(30,454)</w:t>
            </w:r>
          </w:p>
        </w:tc>
        <w:tc>
          <w:tcPr>
            <w:tcW w:w="1480" w:type="dxa"/>
            <w:tcBorders>
              <w:top w:val="single" w:sz="8" w:space="0" w:color="000000"/>
              <w:bottom w:val="double" w:sz="8" w:space="0" w:color="000000"/>
            </w:tcBorders>
          </w:tcPr>
          <w:p>
            <w:pPr>
              <w:pStyle w:val="TableParagraph"/>
              <w:tabs>
                <w:tab w:pos="655" w:val="left" w:leader="none"/>
              </w:tabs>
              <w:spacing w:before="10"/>
              <w:ind w:right="68"/>
              <w:jc w:val="right"/>
              <w:rPr>
                <w:sz w:val="20"/>
              </w:rPr>
            </w:pPr>
            <w:r>
              <w:rPr>
                <w:spacing w:val="-10"/>
                <w:sz w:val="20"/>
              </w:rPr>
              <w:t>$</w:t>
            </w:r>
            <w:r>
              <w:rPr>
                <w:sz w:val="20"/>
              </w:rPr>
              <w:tab/>
            </w:r>
            <w:r>
              <w:rPr>
                <w:spacing w:val="-2"/>
                <w:sz w:val="20"/>
              </w:rPr>
              <w:t>(58,464)</w:t>
            </w:r>
          </w:p>
        </w:tc>
        <w:tc>
          <w:tcPr>
            <w:tcW w:w="1420" w:type="dxa"/>
            <w:tcBorders>
              <w:top w:val="single" w:sz="8" w:space="0" w:color="000000"/>
              <w:bottom w:val="double" w:sz="8" w:space="0" w:color="000000"/>
            </w:tcBorders>
          </w:tcPr>
          <w:p>
            <w:pPr>
              <w:pStyle w:val="TableParagraph"/>
              <w:tabs>
                <w:tab w:pos="655" w:val="left" w:leader="none"/>
              </w:tabs>
              <w:spacing w:before="10"/>
              <w:ind w:right="8"/>
              <w:jc w:val="right"/>
              <w:rPr>
                <w:sz w:val="20"/>
              </w:rPr>
            </w:pPr>
            <w:r>
              <w:rPr>
                <w:spacing w:val="-10"/>
                <w:sz w:val="20"/>
              </w:rPr>
              <w:t>$</w:t>
            </w:r>
            <w:r>
              <w:rPr>
                <w:sz w:val="20"/>
              </w:rPr>
              <w:tab/>
            </w:r>
            <w:r>
              <w:rPr>
                <w:spacing w:val="-2"/>
                <w:sz w:val="20"/>
              </w:rPr>
              <w:t>(29,314)</w:t>
            </w:r>
          </w:p>
        </w:tc>
      </w:tr>
    </w:tbl>
    <w:p>
      <w:pPr>
        <w:pStyle w:val="Heading1"/>
        <w:spacing w:before="133"/>
      </w:pPr>
      <w:bookmarkStart w:name="NOTE 17. INDUSTRY SEGMENT, GEOGRAPHIC IN" w:id="91"/>
      <w:bookmarkEnd w:id="91"/>
      <w:r>
        <w:rPr>
          <w:b w:val="0"/>
        </w:rPr>
      </w:r>
      <w:bookmarkStart w:name="_bookmark32" w:id="92"/>
      <w:bookmarkEnd w:id="92"/>
      <w:r>
        <w:rPr>
          <w:b w:val="0"/>
        </w:rPr>
      </w:r>
      <w:r>
        <w:rPr/>
        <w:t>NOTE</w:t>
      </w:r>
      <w:r>
        <w:rPr>
          <w:spacing w:val="-15"/>
        </w:rPr>
        <w:t> </w:t>
      </w:r>
      <w:r>
        <w:rPr/>
        <w:t>17.</w:t>
      </w:r>
      <w:r>
        <w:rPr>
          <w:spacing w:val="34"/>
        </w:rPr>
        <w:t> </w:t>
      </w:r>
      <w:r>
        <w:rPr/>
        <w:t>INDUSTRY</w:t>
      </w:r>
      <w:r>
        <w:rPr>
          <w:spacing w:val="-12"/>
        </w:rPr>
        <w:t> </w:t>
      </w:r>
      <w:r>
        <w:rPr/>
        <w:t>SEGMENT,</w:t>
      </w:r>
      <w:r>
        <w:rPr>
          <w:spacing w:val="-8"/>
        </w:rPr>
        <w:t> </w:t>
      </w:r>
      <w:r>
        <w:rPr/>
        <w:t>GEOGRAPHIC</w:t>
      </w:r>
      <w:r>
        <w:rPr>
          <w:spacing w:val="-8"/>
        </w:rPr>
        <w:t> </w:t>
      </w:r>
      <w:r>
        <w:rPr/>
        <w:t>INFORMATION</w:t>
      </w:r>
      <w:r>
        <w:rPr>
          <w:spacing w:val="-12"/>
        </w:rPr>
        <w:t> </w:t>
      </w:r>
      <w:r>
        <w:rPr/>
        <w:t>AND</w:t>
      </w:r>
      <w:r>
        <w:rPr>
          <w:spacing w:val="-9"/>
        </w:rPr>
        <w:t> </w:t>
      </w:r>
      <w:r>
        <w:rPr/>
        <w:t>SIGNIFICANT</w:t>
      </w:r>
      <w:r>
        <w:rPr>
          <w:spacing w:val="-10"/>
        </w:rPr>
        <w:t> </w:t>
      </w:r>
      <w:r>
        <w:rPr>
          <w:spacing w:val="-2"/>
        </w:rPr>
        <w:t>CUSTOMERS</w:t>
      </w:r>
    </w:p>
    <w:p>
      <w:pPr>
        <w:pStyle w:val="BodyText"/>
        <w:spacing w:line="249" w:lineRule="auto" w:before="190"/>
        <w:ind w:left="220" w:right="257" w:firstLine="540"/>
        <w:jc w:val="both"/>
      </w:pPr>
      <w:r>
        <w:rPr/>
        <w:t>We</w:t>
      </w:r>
      <w:r>
        <w:rPr>
          <w:spacing w:val="-3"/>
        </w:rPr>
        <w:t> </w:t>
      </w:r>
      <w:r>
        <w:rPr/>
        <w:t>report</w:t>
      </w:r>
      <w:r>
        <w:rPr>
          <w:spacing w:val="-3"/>
        </w:rPr>
        <w:t> </w:t>
      </w:r>
      <w:r>
        <w:rPr/>
        <w:t>segment</w:t>
      </w:r>
      <w:r>
        <w:rPr>
          <w:spacing w:val="-3"/>
        </w:rPr>
        <w:t> </w:t>
      </w:r>
      <w:r>
        <w:rPr/>
        <w:t>information</w:t>
      </w:r>
      <w:r>
        <w:rPr>
          <w:spacing w:val="-3"/>
        </w:rPr>
        <w:t> </w:t>
      </w:r>
      <w:r>
        <w:rPr/>
        <w:t>based</w:t>
      </w:r>
      <w:r>
        <w:rPr>
          <w:spacing w:val="-3"/>
        </w:rPr>
        <w:t> </w:t>
      </w:r>
      <w:r>
        <w:rPr/>
        <w:t>on</w:t>
      </w:r>
      <w:r>
        <w:rPr>
          <w:spacing w:val="-3"/>
        </w:rPr>
        <w:t> </w:t>
      </w:r>
      <w:r>
        <w:rPr/>
        <w:t>the</w:t>
      </w:r>
      <w:r>
        <w:rPr>
          <w:spacing w:val="-3"/>
        </w:rPr>
        <w:t> </w:t>
      </w:r>
      <w:r>
        <w:rPr/>
        <w:t>“management”</w:t>
      </w:r>
      <w:r>
        <w:rPr>
          <w:spacing w:val="-4"/>
        </w:rPr>
        <w:t> </w:t>
      </w:r>
      <w:r>
        <w:rPr/>
        <w:t>approach.</w:t>
      </w:r>
      <w:r>
        <w:rPr>
          <w:spacing w:val="-7"/>
        </w:rPr>
        <w:t> </w:t>
      </w:r>
      <w:r>
        <w:rPr/>
        <w:t>The</w:t>
      </w:r>
      <w:r>
        <w:rPr>
          <w:spacing w:val="-3"/>
        </w:rPr>
        <w:t> </w:t>
      </w:r>
      <w:r>
        <w:rPr/>
        <w:t>management</w:t>
      </w:r>
      <w:r>
        <w:rPr>
          <w:spacing w:val="-4"/>
        </w:rPr>
        <w:t> </w:t>
      </w:r>
      <w:r>
        <w:rPr/>
        <w:t>approach</w:t>
      </w:r>
      <w:r>
        <w:rPr>
          <w:spacing w:val="-3"/>
        </w:rPr>
        <w:t> </w:t>
      </w:r>
      <w:r>
        <w:rPr/>
        <w:t>designates</w:t>
      </w:r>
      <w:r>
        <w:rPr>
          <w:spacing w:val="-3"/>
        </w:rPr>
        <w:t> </w:t>
      </w:r>
      <w:r>
        <w:rPr/>
        <w:t>the</w:t>
      </w:r>
      <w:r>
        <w:rPr>
          <w:spacing w:val="-3"/>
        </w:rPr>
        <w:t> </w:t>
      </w:r>
      <w:r>
        <w:rPr/>
        <w:t>internal reporting used by management for making decisions and assessing performance as the source of our reportable segments.</w:t>
      </w:r>
    </w:p>
    <w:p>
      <w:pPr>
        <w:pStyle w:val="BodyText"/>
        <w:spacing w:line="249" w:lineRule="auto" w:before="182"/>
        <w:ind w:left="220" w:right="257" w:firstLine="540"/>
        <w:jc w:val="both"/>
      </w:pPr>
      <w:r>
        <w:rPr/>
        <w:t>Our CEO, the chief operating decision maker, reviews revenue and gross margin information for each of our reportable segments,</w:t>
      </w:r>
      <w:r>
        <w:rPr>
          <w:spacing w:val="-10"/>
        </w:rPr>
        <w:t> </w:t>
      </w:r>
      <w:r>
        <w:rPr/>
        <w:t>but</w:t>
      </w:r>
      <w:r>
        <w:rPr>
          <w:spacing w:val="-10"/>
        </w:rPr>
        <w:t> </w:t>
      </w:r>
      <w:r>
        <w:rPr/>
        <w:t>does</w:t>
      </w:r>
      <w:r>
        <w:rPr>
          <w:spacing w:val="-9"/>
        </w:rPr>
        <w:t> </w:t>
      </w:r>
      <w:r>
        <w:rPr/>
        <w:t>not</w:t>
      </w:r>
      <w:r>
        <w:rPr>
          <w:spacing w:val="-10"/>
        </w:rPr>
        <w:t> </w:t>
      </w:r>
      <w:r>
        <w:rPr/>
        <w:t>review</w:t>
      </w:r>
      <w:r>
        <w:rPr>
          <w:spacing w:val="-9"/>
        </w:rPr>
        <w:t> </w:t>
      </w:r>
      <w:r>
        <w:rPr/>
        <w:t>operating</w:t>
      </w:r>
      <w:r>
        <w:rPr>
          <w:spacing w:val="-10"/>
        </w:rPr>
        <w:t> </w:t>
      </w:r>
      <w:r>
        <w:rPr/>
        <w:t>expenses</w:t>
      </w:r>
      <w:r>
        <w:rPr>
          <w:spacing w:val="-9"/>
        </w:rPr>
        <w:t> </w:t>
      </w:r>
      <w:r>
        <w:rPr/>
        <w:t>on</w:t>
      </w:r>
      <w:r>
        <w:rPr>
          <w:spacing w:val="-10"/>
        </w:rPr>
        <w:t> </w:t>
      </w:r>
      <w:r>
        <w:rPr/>
        <w:t>a</w:t>
      </w:r>
      <w:r>
        <w:rPr>
          <w:spacing w:val="-9"/>
        </w:rPr>
        <w:t> </w:t>
      </w:r>
      <w:r>
        <w:rPr/>
        <w:t>segment</w:t>
      </w:r>
      <w:r>
        <w:rPr>
          <w:spacing w:val="-10"/>
        </w:rPr>
        <w:t> </w:t>
      </w:r>
      <w:r>
        <w:rPr/>
        <w:t>by</w:t>
      </w:r>
      <w:r>
        <w:rPr>
          <w:spacing w:val="-9"/>
        </w:rPr>
        <w:t> </w:t>
      </w:r>
      <w:r>
        <w:rPr/>
        <w:t>segment</w:t>
      </w:r>
      <w:r>
        <w:rPr>
          <w:spacing w:val="-10"/>
        </w:rPr>
        <w:t> </w:t>
      </w:r>
      <w:r>
        <w:rPr/>
        <w:t>basis.</w:t>
      </w:r>
      <w:r>
        <w:rPr>
          <w:spacing w:val="-9"/>
        </w:rPr>
        <w:t> </w:t>
      </w:r>
      <w:r>
        <w:rPr/>
        <w:t>In</w:t>
      </w:r>
      <w:r>
        <w:rPr>
          <w:spacing w:val="-9"/>
        </w:rPr>
        <w:t> </w:t>
      </w:r>
      <w:r>
        <w:rPr/>
        <w:t>addition,</w:t>
      </w:r>
      <w:r>
        <w:rPr>
          <w:spacing w:val="-10"/>
        </w:rPr>
        <w:t> </w:t>
      </w:r>
      <w:r>
        <w:rPr/>
        <w:t>with</w:t>
      </w:r>
      <w:r>
        <w:rPr>
          <w:spacing w:val="-10"/>
        </w:rPr>
        <w:t> </w:t>
      </w:r>
      <w:r>
        <w:rPr/>
        <w:t>the</w:t>
      </w:r>
      <w:r>
        <w:rPr>
          <w:spacing w:val="-9"/>
        </w:rPr>
        <w:t> </w:t>
      </w:r>
      <w:r>
        <w:rPr/>
        <w:t>exception</w:t>
      </w:r>
      <w:r>
        <w:rPr>
          <w:spacing w:val="-10"/>
        </w:rPr>
        <w:t> </w:t>
      </w:r>
      <w:r>
        <w:rPr/>
        <w:t>of</w:t>
      </w:r>
      <w:r>
        <w:rPr>
          <w:spacing w:val="-10"/>
        </w:rPr>
        <w:t> </w:t>
      </w:r>
      <w:r>
        <w:rPr/>
        <w:t>goodwill</w:t>
      </w:r>
      <w:r>
        <w:rPr>
          <w:spacing w:val="-10"/>
        </w:rPr>
        <w:t> </w:t>
      </w:r>
      <w:r>
        <w:rPr/>
        <w:t>and intangible assets, we do not identify or allocate our assets by the reportable segments.</w:t>
      </w:r>
    </w:p>
    <w:p>
      <w:pPr>
        <w:pStyle w:val="BodyText"/>
        <w:spacing w:before="182"/>
        <w:ind w:left="760"/>
      </w:pPr>
      <w:r>
        <w:rPr/>
        <w:t>For</w:t>
      </w:r>
      <w:r>
        <w:rPr>
          <w:spacing w:val="-1"/>
        </w:rPr>
        <w:t> </w:t>
      </w:r>
      <w:r>
        <w:rPr/>
        <w:t>fiscal</w:t>
      </w:r>
      <w:r>
        <w:rPr>
          <w:spacing w:val="-1"/>
        </w:rPr>
        <w:t> </w:t>
      </w:r>
      <w:r>
        <w:rPr/>
        <w:t>2017, we</w:t>
      </w:r>
      <w:r>
        <w:rPr>
          <w:spacing w:val="-1"/>
        </w:rPr>
        <w:t> </w:t>
      </w:r>
      <w:r>
        <w:rPr/>
        <w:t>have</w:t>
      </w:r>
      <w:r>
        <w:rPr>
          <w:spacing w:val="-1"/>
        </w:rPr>
        <w:t> </w:t>
      </w:r>
      <w:r>
        <w:rPr/>
        <w:t>the following reportable</w:t>
      </w:r>
      <w:r>
        <w:rPr>
          <w:spacing w:val="-1"/>
        </w:rPr>
        <w:t> </w:t>
      </w:r>
      <w:r>
        <w:rPr>
          <w:spacing w:val="-2"/>
        </w:rPr>
        <w:t>segments:</w:t>
      </w:r>
    </w:p>
    <w:p>
      <w:pPr>
        <w:pStyle w:val="BodyText"/>
        <w:spacing w:before="20"/>
      </w:pPr>
    </w:p>
    <w:p>
      <w:pPr>
        <w:pStyle w:val="ListParagraph"/>
        <w:numPr>
          <w:ilvl w:val="0"/>
          <w:numId w:val="8"/>
        </w:numPr>
        <w:tabs>
          <w:tab w:pos="1480" w:val="left" w:leader="none"/>
        </w:tabs>
        <w:spacing w:line="249" w:lineRule="auto" w:before="0" w:after="0"/>
        <w:ind w:left="1480" w:right="257" w:hanging="360"/>
        <w:jc w:val="both"/>
        <w:rPr>
          <w:sz w:val="20"/>
        </w:rPr>
      </w:pPr>
      <w:r>
        <w:rPr>
          <w:i/>
          <w:spacing w:val="-2"/>
          <w:sz w:val="20"/>
        </w:rPr>
        <w:t>Digital</w:t>
      </w:r>
      <w:r>
        <w:rPr>
          <w:i/>
          <w:spacing w:val="-7"/>
          <w:sz w:val="20"/>
        </w:rPr>
        <w:t> </w:t>
      </w:r>
      <w:r>
        <w:rPr>
          <w:i/>
          <w:spacing w:val="-2"/>
          <w:sz w:val="20"/>
        </w:rPr>
        <w:t>Media—</w:t>
      </w:r>
      <w:r>
        <w:rPr>
          <w:spacing w:val="-2"/>
          <w:sz w:val="20"/>
        </w:rPr>
        <w:t>Our</w:t>
      </w:r>
      <w:r>
        <w:rPr>
          <w:spacing w:val="-7"/>
          <w:sz w:val="20"/>
        </w:rPr>
        <w:t> </w:t>
      </w:r>
      <w:r>
        <w:rPr>
          <w:spacing w:val="-2"/>
          <w:sz w:val="20"/>
        </w:rPr>
        <w:t>Digital</w:t>
      </w:r>
      <w:r>
        <w:rPr>
          <w:spacing w:val="-7"/>
          <w:sz w:val="20"/>
        </w:rPr>
        <w:t> </w:t>
      </w:r>
      <w:r>
        <w:rPr>
          <w:spacing w:val="-2"/>
          <w:sz w:val="20"/>
        </w:rPr>
        <w:t>Media</w:t>
      </w:r>
      <w:r>
        <w:rPr>
          <w:spacing w:val="-7"/>
          <w:sz w:val="20"/>
        </w:rPr>
        <w:t> </w:t>
      </w:r>
      <w:r>
        <w:rPr>
          <w:spacing w:val="-2"/>
          <w:sz w:val="20"/>
        </w:rPr>
        <w:t>segment</w:t>
      </w:r>
      <w:r>
        <w:rPr>
          <w:spacing w:val="-7"/>
          <w:sz w:val="20"/>
        </w:rPr>
        <w:t> </w:t>
      </w:r>
      <w:r>
        <w:rPr>
          <w:spacing w:val="-2"/>
          <w:sz w:val="20"/>
        </w:rPr>
        <w:t>provides</w:t>
      </w:r>
      <w:r>
        <w:rPr>
          <w:spacing w:val="-7"/>
          <w:sz w:val="20"/>
        </w:rPr>
        <w:t> </w:t>
      </w:r>
      <w:r>
        <w:rPr>
          <w:spacing w:val="-2"/>
          <w:sz w:val="20"/>
        </w:rPr>
        <w:t>tools</w:t>
      </w:r>
      <w:r>
        <w:rPr>
          <w:spacing w:val="-7"/>
          <w:sz w:val="20"/>
        </w:rPr>
        <w:t> </w:t>
      </w:r>
      <w:r>
        <w:rPr>
          <w:spacing w:val="-2"/>
          <w:sz w:val="20"/>
        </w:rPr>
        <w:t>and</w:t>
      </w:r>
      <w:r>
        <w:rPr>
          <w:spacing w:val="-7"/>
          <w:sz w:val="20"/>
        </w:rPr>
        <w:t> </w:t>
      </w:r>
      <w:r>
        <w:rPr>
          <w:spacing w:val="-2"/>
          <w:sz w:val="20"/>
        </w:rPr>
        <w:t>solutions</w:t>
      </w:r>
      <w:r>
        <w:rPr>
          <w:spacing w:val="-7"/>
          <w:sz w:val="20"/>
        </w:rPr>
        <w:t> </w:t>
      </w:r>
      <w:r>
        <w:rPr>
          <w:spacing w:val="-2"/>
          <w:sz w:val="20"/>
        </w:rPr>
        <w:t>that</w:t>
      </w:r>
      <w:r>
        <w:rPr>
          <w:spacing w:val="-7"/>
          <w:sz w:val="20"/>
        </w:rPr>
        <w:t> </w:t>
      </w:r>
      <w:r>
        <w:rPr>
          <w:spacing w:val="-2"/>
          <w:sz w:val="20"/>
        </w:rPr>
        <w:t>enable</w:t>
      </w:r>
      <w:r>
        <w:rPr>
          <w:spacing w:val="-7"/>
          <w:sz w:val="20"/>
        </w:rPr>
        <w:t> </w:t>
      </w:r>
      <w:r>
        <w:rPr>
          <w:spacing w:val="-2"/>
          <w:sz w:val="20"/>
        </w:rPr>
        <w:t>individuals,</w:t>
      </w:r>
      <w:r>
        <w:rPr>
          <w:spacing w:val="-7"/>
          <w:sz w:val="20"/>
        </w:rPr>
        <w:t> </w:t>
      </w:r>
      <w:r>
        <w:rPr>
          <w:spacing w:val="-2"/>
          <w:sz w:val="20"/>
        </w:rPr>
        <w:t>small</w:t>
      </w:r>
      <w:r>
        <w:rPr>
          <w:spacing w:val="-7"/>
          <w:sz w:val="20"/>
        </w:rPr>
        <w:t> </w:t>
      </w:r>
      <w:r>
        <w:rPr>
          <w:spacing w:val="-2"/>
          <w:sz w:val="20"/>
        </w:rPr>
        <w:t>and</w:t>
      </w:r>
      <w:r>
        <w:rPr>
          <w:spacing w:val="-7"/>
          <w:sz w:val="20"/>
        </w:rPr>
        <w:t> </w:t>
      </w:r>
      <w:r>
        <w:rPr>
          <w:spacing w:val="-2"/>
          <w:sz w:val="20"/>
        </w:rPr>
        <w:t>medium </w:t>
      </w:r>
      <w:r>
        <w:rPr>
          <w:sz w:val="20"/>
        </w:rPr>
        <w:t>businesses</w:t>
      </w:r>
      <w:r>
        <w:rPr>
          <w:spacing w:val="-13"/>
          <w:sz w:val="20"/>
        </w:rPr>
        <w:t> </w:t>
      </w:r>
      <w:r>
        <w:rPr>
          <w:sz w:val="20"/>
        </w:rPr>
        <w:t>and</w:t>
      </w:r>
      <w:r>
        <w:rPr>
          <w:spacing w:val="-12"/>
          <w:sz w:val="20"/>
        </w:rPr>
        <w:t> </w:t>
      </w:r>
      <w:r>
        <w:rPr>
          <w:sz w:val="20"/>
        </w:rPr>
        <w:t>enterprises</w:t>
      </w:r>
      <w:r>
        <w:rPr>
          <w:spacing w:val="-13"/>
          <w:sz w:val="20"/>
        </w:rPr>
        <w:t> </w:t>
      </w:r>
      <w:r>
        <w:rPr>
          <w:sz w:val="20"/>
        </w:rPr>
        <w:t>to</w:t>
      </w:r>
      <w:r>
        <w:rPr>
          <w:spacing w:val="-12"/>
          <w:sz w:val="20"/>
        </w:rPr>
        <w:t> </w:t>
      </w:r>
      <w:r>
        <w:rPr>
          <w:sz w:val="20"/>
        </w:rPr>
        <w:t>create,</w:t>
      </w:r>
      <w:r>
        <w:rPr>
          <w:spacing w:val="-13"/>
          <w:sz w:val="20"/>
        </w:rPr>
        <w:t> </w:t>
      </w:r>
      <w:r>
        <w:rPr>
          <w:sz w:val="20"/>
        </w:rPr>
        <w:t>publish,</w:t>
      </w:r>
      <w:r>
        <w:rPr>
          <w:spacing w:val="-12"/>
          <w:sz w:val="20"/>
        </w:rPr>
        <w:t> </w:t>
      </w:r>
      <w:r>
        <w:rPr>
          <w:sz w:val="20"/>
        </w:rPr>
        <w:t>promote</w:t>
      </w:r>
      <w:r>
        <w:rPr>
          <w:spacing w:val="-13"/>
          <w:sz w:val="20"/>
        </w:rPr>
        <w:t> </w:t>
      </w:r>
      <w:r>
        <w:rPr>
          <w:sz w:val="20"/>
        </w:rPr>
        <w:t>and</w:t>
      </w:r>
      <w:r>
        <w:rPr>
          <w:spacing w:val="-12"/>
          <w:sz w:val="20"/>
        </w:rPr>
        <w:t> </w:t>
      </w:r>
      <w:r>
        <w:rPr>
          <w:sz w:val="20"/>
        </w:rPr>
        <w:t>monetize</w:t>
      </w:r>
      <w:r>
        <w:rPr>
          <w:spacing w:val="-13"/>
          <w:sz w:val="20"/>
        </w:rPr>
        <w:t> </w:t>
      </w:r>
      <w:r>
        <w:rPr>
          <w:sz w:val="20"/>
        </w:rPr>
        <w:t>their</w:t>
      </w:r>
      <w:r>
        <w:rPr>
          <w:spacing w:val="-12"/>
          <w:sz w:val="20"/>
        </w:rPr>
        <w:t> </w:t>
      </w:r>
      <w:r>
        <w:rPr>
          <w:sz w:val="20"/>
        </w:rPr>
        <w:t>digital</w:t>
      </w:r>
      <w:r>
        <w:rPr>
          <w:spacing w:val="-13"/>
          <w:sz w:val="20"/>
        </w:rPr>
        <w:t> </w:t>
      </w:r>
      <w:r>
        <w:rPr>
          <w:sz w:val="20"/>
        </w:rPr>
        <w:t>content</w:t>
      </w:r>
      <w:r>
        <w:rPr>
          <w:spacing w:val="-12"/>
          <w:sz w:val="20"/>
        </w:rPr>
        <w:t> </w:t>
      </w:r>
      <w:r>
        <w:rPr>
          <w:sz w:val="20"/>
        </w:rPr>
        <w:t>anywhere.</w:t>
      </w:r>
      <w:r>
        <w:rPr>
          <w:spacing w:val="-13"/>
          <w:sz w:val="20"/>
        </w:rPr>
        <w:t> </w:t>
      </w:r>
      <w:r>
        <w:rPr>
          <w:sz w:val="20"/>
        </w:rPr>
        <w:t>Our</w:t>
      </w:r>
      <w:r>
        <w:rPr>
          <w:spacing w:val="-12"/>
          <w:sz w:val="20"/>
        </w:rPr>
        <w:t> </w:t>
      </w:r>
      <w:r>
        <w:rPr>
          <w:sz w:val="20"/>
        </w:rPr>
        <w:t>customers include traditional content creators, web application developers and digital media professionals, as well as their management in marketing departments and agencies, companies and publishers. Our customers also include knowledge workers who create, collaborate and distribute documents.</w:t>
      </w:r>
    </w:p>
    <w:p>
      <w:pPr>
        <w:pStyle w:val="ListParagraph"/>
        <w:numPr>
          <w:ilvl w:val="0"/>
          <w:numId w:val="8"/>
        </w:numPr>
        <w:tabs>
          <w:tab w:pos="1480" w:val="left" w:leader="none"/>
        </w:tabs>
        <w:spacing w:line="249" w:lineRule="auto" w:before="184" w:after="0"/>
        <w:ind w:left="1480" w:right="257" w:hanging="360"/>
        <w:jc w:val="both"/>
        <w:rPr>
          <w:sz w:val="20"/>
        </w:rPr>
      </w:pPr>
      <w:r>
        <w:rPr>
          <w:i/>
          <w:sz w:val="20"/>
        </w:rPr>
        <w:t>Digital Marketing—</w:t>
      </w:r>
      <w:r>
        <w:rPr>
          <w:sz w:val="20"/>
        </w:rPr>
        <w:t>Our Digital Marketing segment provides solutions and services for how digital advertising and</w:t>
      </w:r>
      <w:r>
        <w:rPr>
          <w:spacing w:val="-13"/>
          <w:sz w:val="20"/>
        </w:rPr>
        <w:t> </w:t>
      </w:r>
      <w:r>
        <w:rPr>
          <w:sz w:val="20"/>
        </w:rPr>
        <w:t>marketing</w:t>
      </w:r>
      <w:r>
        <w:rPr>
          <w:spacing w:val="-12"/>
          <w:sz w:val="20"/>
        </w:rPr>
        <w:t> </w:t>
      </w:r>
      <w:r>
        <w:rPr>
          <w:sz w:val="20"/>
        </w:rPr>
        <w:t>are</w:t>
      </w:r>
      <w:r>
        <w:rPr>
          <w:spacing w:val="-13"/>
          <w:sz w:val="20"/>
        </w:rPr>
        <w:t> </w:t>
      </w:r>
      <w:r>
        <w:rPr>
          <w:sz w:val="20"/>
        </w:rPr>
        <w:t>created,</w:t>
      </w:r>
      <w:r>
        <w:rPr>
          <w:spacing w:val="-12"/>
          <w:sz w:val="20"/>
        </w:rPr>
        <w:t> </w:t>
      </w:r>
      <w:r>
        <w:rPr>
          <w:sz w:val="20"/>
        </w:rPr>
        <w:t>managed,</w:t>
      </w:r>
      <w:r>
        <w:rPr>
          <w:spacing w:val="-13"/>
          <w:sz w:val="20"/>
        </w:rPr>
        <w:t> </w:t>
      </w:r>
      <w:r>
        <w:rPr>
          <w:sz w:val="20"/>
        </w:rPr>
        <w:t>executed,</w:t>
      </w:r>
      <w:r>
        <w:rPr>
          <w:spacing w:val="-12"/>
          <w:sz w:val="20"/>
        </w:rPr>
        <w:t> </w:t>
      </w:r>
      <w:r>
        <w:rPr>
          <w:sz w:val="20"/>
        </w:rPr>
        <w:t>measured</w:t>
      </w:r>
      <w:r>
        <w:rPr>
          <w:spacing w:val="-13"/>
          <w:sz w:val="20"/>
        </w:rPr>
        <w:t> </w:t>
      </w:r>
      <w:r>
        <w:rPr>
          <w:sz w:val="20"/>
        </w:rPr>
        <w:t>and</w:t>
      </w:r>
      <w:r>
        <w:rPr>
          <w:spacing w:val="-12"/>
          <w:sz w:val="20"/>
        </w:rPr>
        <w:t> </w:t>
      </w:r>
      <w:r>
        <w:rPr>
          <w:sz w:val="20"/>
        </w:rPr>
        <w:t>optimized.</w:t>
      </w:r>
      <w:r>
        <w:rPr>
          <w:spacing w:val="-13"/>
          <w:sz w:val="20"/>
        </w:rPr>
        <w:t> </w:t>
      </w:r>
      <w:r>
        <w:rPr>
          <w:sz w:val="20"/>
        </w:rPr>
        <w:t>Our</w:t>
      </w:r>
      <w:r>
        <w:rPr>
          <w:spacing w:val="-12"/>
          <w:sz w:val="20"/>
        </w:rPr>
        <w:t> </w:t>
      </w:r>
      <w:r>
        <w:rPr>
          <w:sz w:val="20"/>
        </w:rPr>
        <w:t>customers</w:t>
      </w:r>
      <w:r>
        <w:rPr>
          <w:spacing w:val="-13"/>
          <w:sz w:val="20"/>
        </w:rPr>
        <w:t> </w:t>
      </w:r>
      <w:r>
        <w:rPr>
          <w:sz w:val="20"/>
        </w:rPr>
        <w:t>include</w:t>
      </w:r>
      <w:r>
        <w:rPr>
          <w:spacing w:val="-12"/>
          <w:sz w:val="20"/>
        </w:rPr>
        <w:t> </w:t>
      </w:r>
      <w:r>
        <w:rPr>
          <w:sz w:val="20"/>
        </w:rPr>
        <w:t>digital</w:t>
      </w:r>
      <w:r>
        <w:rPr>
          <w:spacing w:val="-13"/>
          <w:sz w:val="20"/>
        </w:rPr>
        <w:t> </w:t>
      </w:r>
      <w:r>
        <w:rPr>
          <w:sz w:val="20"/>
        </w:rPr>
        <w:t>marketers, </w:t>
      </w:r>
      <w:r>
        <w:rPr>
          <w:spacing w:val="-2"/>
          <w:sz w:val="20"/>
        </w:rPr>
        <w:t>advertisers, publishers, merchandisers, web analysts, chief marketing officers, chief information officers and chief </w:t>
      </w:r>
      <w:r>
        <w:rPr>
          <w:sz w:val="20"/>
        </w:rPr>
        <w:t>revenue officers.</w:t>
      </w:r>
    </w:p>
    <w:p>
      <w:pPr>
        <w:pStyle w:val="ListParagraph"/>
        <w:numPr>
          <w:ilvl w:val="0"/>
          <w:numId w:val="8"/>
        </w:numPr>
        <w:tabs>
          <w:tab w:pos="1480" w:val="left" w:leader="none"/>
        </w:tabs>
        <w:spacing w:line="249" w:lineRule="auto" w:before="184" w:after="0"/>
        <w:ind w:left="1480" w:right="257" w:hanging="360"/>
        <w:jc w:val="both"/>
        <w:rPr>
          <w:sz w:val="20"/>
        </w:rPr>
      </w:pPr>
      <w:r>
        <w:rPr>
          <w:i/>
          <w:sz w:val="20"/>
        </w:rPr>
        <w:t>Print</w:t>
      </w:r>
      <w:r>
        <w:rPr>
          <w:i/>
          <w:spacing w:val="-13"/>
          <w:sz w:val="20"/>
        </w:rPr>
        <w:t> </w:t>
      </w:r>
      <w:r>
        <w:rPr>
          <w:i/>
          <w:sz w:val="20"/>
        </w:rPr>
        <w:t>and</w:t>
      </w:r>
      <w:r>
        <w:rPr>
          <w:i/>
          <w:spacing w:val="-12"/>
          <w:sz w:val="20"/>
        </w:rPr>
        <w:t> </w:t>
      </w:r>
      <w:r>
        <w:rPr>
          <w:i/>
          <w:sz w:val="20"/>
        </w:rPr>
        <w:t>Publishing—</w:t>
      </w:r>
      <w:r>
        <w:rPr>
          <w:sz w:val="20"/>
        </w:rPr>
        <w:t>Our</w:t>
      </w:r>
      <w:r>
        <w:rPr>
          <w:spacing w:val="-13"/>
          <w:sz w:val="20"/>
        </w:rPr>
        <w:t> </w:t>
      </w:r>
      <w:r>
        <w:rPr>
          <w:sz w:val="20"/>
        </w:rPr>
        <w:t>Print</w:t>
      </w:r>
      <w:r>
        <w:rPr>
          <w:spacing w:val="-12"/>
          <w:sz w:val="20"/>
        </w:rPr>
        <w:t> </w:t>
      </w:r>
      <w:r>
        <w:rPr>
          <w:sz w:val="20"/>
        </w:rPr>
        <w:t>and</w:t>
      </w:r>
      <w:r>
        <w:rPr>
          <w:spacing w:val="-13"/>
          <w:sz w:val="20"/>
        </w:rPr>
        <w:t> </w:t>
      </w:r>
      <w:r>
        <w:rPr>
          <w:sz w:val="20"/>
        </w:rPr>
        <w:t>Publishing</w:t>
      </w:r>
      <w:r>
        <w:rPr>
          <w:spacing w:val="-12"/>
          <w:sz w:val="20"/>
        </w:rPr>
        <w:t> </w:t>
      </w:r>
      <w:r>
        <w:rPr>
          <w:sz w:val="20"/>
        </w:rPr>
        <w:t>segment</w:t>
      </w:r>
      <w:r>
        <w:rPr>
          <w:spacing w:val="-13"/>
          <w:sz w:val="20"/>
        </w:rPr>
        <w:t> </w:t>
      </w:r>
      <w:r>
        <w:rPr>
          <w:sz w:val="20"/>
        </w:rPr>
        <w:t>addresses</w:t>
      </w:r>
      <w:r>
        <w:rPr>
          <w:spacing w:val="-12"/>
          <w:sz w:val="20"/>
        </w:rPr>
        <w:t> </w:t>
      </w:r>
      <w:r>
        <w:rPr>
          <w:sz w:val="20"/>
        </w:rPr>
        <w:t>market</w:t>
      </w:r>
      <w:r>
        <w:rPr>
          <w:spacing w:val="-13"/>
          <w:sz w:val="20"/>
        </w:rPr>
        <w:t> </w:t>
      </w:r>
      <w:r>
        <w:rPr>
          <w:sz w:val="20"/>
        </w:rPr>
        <w:t>opportunities</w:t>
      </w:r>
      <w:r>
        <w:rPr>
          <w:spacing w:val="-12"/>
          <w:sz w:val="20"/>
        </w:rPr>
        <w:t> </w:t>
      </w:r>
      <w:r>
        <w:rPr>
          <w:sz w:val="20"/>
        </w:rPr>
        <w:t>ranging</w:t>
      </w:r>
      <w:r>
        <w:rPr>
          <w:spacing w:val="-13"/>
          <w:sz w:val="20"/>
        </w:rPr>
        <w:t> </w:t>
      </w:r>
      <w:r>
        <w:rPr>
          <w:sz w:val="20"/>
        </w:rPr>
        <w:t>from</w:t>
      </w:r>
      <w:r>
        <w:rPr>
          <w:spacing w:val="-12"/>
          <w:sz w:val="20"/>
        </w:rPr>
        <w:t> </w:t>
      </w:r>
      <w:r>
        <w:rPr>
          <w:sz w:val="20"/>
        </w:rPr>
        <w:t>the</w:t>
      </w:r>
      <w:r>
        <w:rPr>
          <w:spacing w:val="-13"/>
          <w:sz w:val="20"/>
        </w:rPr>
        <w:t> </w:t>
      </w:r>
      <w:r>
        <w:rPr>
          <w:sz w:val="20"/>
        </w:rPr>
        <w:t>diverse authoring</w:t>
      </w:r>
      <w:r>
        <w:rPr>
          <w:spacing w:val="40"/>
          <w:sz w:val="20"/>
        </w:rPr>
        <w:t> </w:t>
      </w:r>
      <w:r>
        <w:rPr>
          <w:sz w:val="20"/>
        </w:rPr>
        <w:t>and</w:t>
      </w:r>
      <w:r>
        <w:rPr>
          <w:spacing w:val="40"/>
          <w:sz w:val="20"/>
        </w:rPr>
        <w:t> </w:t>
      </w:r>
      <w:r>
        <w:rPr>
          <w:sz w:val="20"/>
        </w:rPr>
        <w:t>publishing</w:t>
      </w:r>
      <w:r>
        <w:rPr>
          <w:spacing w:val="40"/>
          <w:sz w:val="20"/>
        </w:rPr>
        <w:t> </w:t>
      </w:r>
      <w:r>
        <w:rPr>
          <w:sz w:val="20"/>
        </w:rPr>
        <w:t>needs</w:t>
      </w:r>
      <w:r>
        <w:rPr>
          <w:spacing w:val="40"/>
          <w:sz w:val="20"/>
        </w:rPr>
        <w:t> </w:t>
      </w:r>
      <w:r>
        <w:rPr>
          <w:sz w:val="20"/>
        </w:rPr>
        <w:t>of</w:t>
      </w:r>
      <w:r>
        <w:rPr>
          <w:spacing w:val="40"/>
          <w:sz w:val="20"/>
        </w:rPr>
        <w:t> </w:t>
      </w:r>
      <w:r>
        <w:rPr>
          <w:sz w:val="20"/>
        </w:rPr>
        <w:t>technical</w:t>
      </w:r>
      <w:r>
        <w:rPr>
          <w:spacing w:val="40"/>
          <w:sz w:val="20"/>
        </w:rPr>
        <w:t> </w:t>
      </w:r>
      <w:r>
        <w:rPr>
          <w:sz w:val="20"/>
        </w:rPr>
        <w:t>and</w:t>
      </w:r>
      <w:r>
        <w:rPr>
          <w:spacing w:val="40"/>
          <w:sz w:val="20"/>
        </w:rPr>
        <w:t> </w:t>
      </w:r>
      <w:r>
        <w:rPr>
          <w:sz w:val="20"/>
        </w:rPr>
        <w:t>business</w:t>
      </w:r>
      <w:r>
        <w:rPr>
          <w:spacing w:val="40"/>
          <w:sz w:val="20"/>
        </w:rPr>
        <w:t> </w:t>
      </w:r>
      <w:r>
        <w:rPr>
          <w:sz w:val="20"/>
        </w:rPr>
        <w:t>publishing</w:t>
      </w:r>
      <w:r>
        <w:rPr>
          <w:spacing w:val="40"/>
          <w:sz w:val="20"/>
        </w:rPr>
        <w:t> </w:t>
      </w:r>
      <w:r>
        <w:rPr>
          <w:sz w:val="20"/>
        </w:rPr>
        <w:t>to</w:t>
      </w:r>
      <w:r>
        <w:rPr>
          <w:spacing w:val="40"/>
          <w:sz w:val="20"/>
        </w:rPr>
        <w:t> </w:t>
      </w:r>
      <w:r>
        <w:rPr>
          <w:sz w:val="20"/>
        </w:rPr>
        <w:t>our</w:t>
      </w:r>
      <w:r>
        <w:rPr>
          <w:spacing w:val="40"/>
          <w:sz w:val="20"/>
        </w:rPr>
        <w:t> </w:t>
      </w:r>
      <w:r>
        <w:rPr>
          <w:sz w:val="20"/>
        </w:rPr>
        <w:t>legacy</w:t>
      </w:r>
      <w:r>
        <w:rPr>
          <w:spacing w:val="40"/>
          <w:sz w:val="20"/>
        </w:rPr>
        <w:t> </w:t>
      </w:r>
      <w:r>
        <w:rPr>
          <w:sz w:val="20"/>
        </w:rPr>
        <w:t>type</w:t>
      </w:r>
      <w:r>
        <w:rPr>
          <w:spacing w:val="40"/>
          <w:sz w:val="20"/>
        </w:rPr>
        <w:t> </w:t>
      </w:r>
      <w:r>
        <w:rPr>
          <w:sz w:val="20"/>
        </w:rPr>
        <w:t>and</w:t>
      </w:r>
      <w:r>
        <w:rPr>
          <w:spacing w:val="40"/>
          <w:sz w:val="20"/>
        </w:rPr>
        <w:t> </w:t>
      </w:r>
      <w:r>
        <w:rPr>
          <w:sz w:val="20"/>
        </w:rPr>
        <w:t>OEM</w:t>
      </w:r>
      <w:r>
        <w:rPr>
          <w:spacing w:val="40"/>
          <w:sz w:val="20"/>
        </w:rPr>
        <w:t> </w:t>
      </w:r>
      <w:r>
        <w:rPr>
          <w:sz w:val="20"/>
        </w:rPr>
        <w:t>printing businesses.</w:t>
      </w:r>
    </w:p>
    <w:p>
      <w:pPr>
        <w:spacing w:after="0" w:line="249" w:lineRule="auto"/>
        <w:jc w:val="both"/>
        <w:rPr>
          <w:sz w:val="20"/>
        </w:rPr>
        <w:sectPr>
          <w:pgSz w:w="12240" w:h="15840"/>
          <w:pgMar w:header="210" w:footer="610" w:top="1380" w:bottom="800" w:left="780" w:right="740"/>
        </w:sectPr>
      </w:pPr>
    </w:p>
    <w:p>
      <w:pPr>
        <w:pStyle w:val="BodyText"/>
      </w:pPr>
    </w:p>
    <w:p>
      <w:pPr>
        <w:pStyle w:val="BodyText"/>
      </w:pPr>
    </w:p>
    <w:p>
      <w:pPr>
        <w:pStyle w:val="BodyText"/>
        <w:spacing w:before="30"/>
      </w:pPr>
    </w:p>
    <w:p>
      <w:pPr>
        <w:pStyle w:val="BodyText"/>
        <w:ind w:left="760"/>
      </w:pPr>
      <w:r>
        <w:rPr/>
        <w:t>Our</w:t>
      </w:r>
      <w:r>
        <w:rPr>
          <w:spacing w:val="-3"/>
        </w:rPr>
        <w:t> </w:t>
      </w:r>
      <w:r>
        <w:rPr/>
        <w:t>segment</w:t>
      </w:r>
      <w:r>
        <w:rPr>
          <w:spacing w:val="-2"/>
        </w:rPr>
        <w:t> </w:t>
      </w:r>
      <w:r>
        <w:rPr/>
        <w:t>results</w:t>
      </w:r>
      <w:r>
        <w:rPr>
          <w:spacing w:val="-2"/>
        </w:rPr>
        <w:t> </w:t>
      </w:r>
      <w:r>
        <w:rPr/>
        <w:t>for</w:t>
      </w:r>
      <w:r>
        <w:rPr>
          <w:spacing w:val="-1"/>
        </w:rPr>
        <w:t> </w:t>
      </w:r>
      <w:r>
        <w:rPr/>
        <w:t>fiscal</w:t>
      </w:r>
      <w:r>
        <w:rPr>
          <w:spacing w:val="-3"/>
        </w:rPr>
        <w:t> </w:t>
      </w:r>
      <w:r>
        <w:rPr/>
        <w:t>2017,</w:t>
      </w:r>
      <w:r>
        <w:rPr>
          <w:spacing w:val="-1"/>
        </w:rPr>
        <w:t> </w:t>
      </w:r>
      <w:r>
        <w:rPr/>
        <w:t>2016</w:t>
      </w:r>
      <w:r>
        <w:rPr>
          <w:spacing w:val="-1"/>
        </w:rPr>
        <w:t> </w:t>
      </w:r>
      <w:r>
        <w:rPr/>
        <w:t>and</w:t>
      </w:r>
      <w:r>
        <w:rPr>
          <w:spacing w:val="-2"/>
        </w:rPr>
        <w:t> </w:t>
      </w:r>
      <w:r>
        <w:rPr/>
        <w:t>2015</w:t>
      </w:r>
      <w:r>
        <w:rPr>
          <w:spacing w:val="-1"/>
        </w:rPr>
        <w:t> </w:t>
      </w:r>
      <w:r>
        <w:rPr/>
        <w:t>were</w:t>
      </w:r>
      <w:r>
        <w:rPr>
          <w:spacing w:val="-3"/>
        </w:rPr>
        <w:t> </w:t>
      </w:r>
      <w:r>
        <w:rPr/>
        <w:t>as</w:t>
      </w:r>
      <w:r>
        <w:rPr>
          <w:spacing w:val="-1"/>
        </w:rPr>
        <w:t> </w:t>
      </w:r>
      <w:r>
        <w:rPr/>
        <w:t>follows</w:t>
      </w:r>
      <w:r>
        <w:rPr>
          <w:spacing w:val="-2"/>
        </w:rPr>
        <w:t> </w:t>
      </w:r>
      <w:r>
        <w:rPr/>
        <w:t>(dollars</w:t>
      </w:r>
      <w:r>
        <w:rPr>
          <w:spacing w:val="-1"/>
        </w:rPr>
        <w:t> </w:t>
      </w:r>
      <w:r>
        <w:rPr/>
        <w:t>in</w:t>
      </w:r>
      <w:r>
        <w:rPr>
          <w:spacing w:val="-1"/>
        </w:rPr>
        <w:t> </w:t>
      </w:r>
      <w:r>
        <w:rPr>
          <w:spacing w:val="-2"/>
        </w:rPr>
        <w:t>thousands):</w:t>
      </w:r>
    </w:p>
    <w:p>
      <w:pPr>
        <w:pStyle w:val="BodyText"/>
      </w:pPr>
    </w:p>
    <w:p>
      <w:pPr>
        <w:pStyle w:val="BodyText"/>
        <w:spacing w:before="19"/>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0"/>
        <w:gridCol w:w="1660"/>
        <w:gridCol w:w="1680"/>
        <w:gridCol w:w="1680"/>
        <w:gridCol w:w="1620"/>
      </w:tblGrid>
      <w:tr>
        <w:trPr>
          <w:trHeight w:val="377" w:hRule="atLeast"/>
        </w:trPr>
        <w:tc>
          <w:tcPr>
            <w:tcW w:w="3600" w:type="dxa"/>
          </w:tcPr>
          <w:p>
            <w:pPr>
              <w:pStyle w:val="TableParagraph"/>
              <w:rPr>
                <w:sz w:val="18"/>
              </w:rPr>
            </w:pPr>
          </w:p>
        </w:tc>
        <w:tc>
          <w:tcPr>
            <w:tcW w:w="1660" w:type="dxa"/>
            <w:tcBorders>
              <w:bottom w:val="single" w:sz="8" w:space="0" w:color="000000"/>
            </w:tcBorders>
          </w:tcPr>
          <w:p>
            <w:pPr>
              <w:pStyle w:val="TableParagraph"/>
              <w:spacing w:before="153"/>
              <w:ind w:left="321"/>
              <w:rPr>
                <w:b/>
                <w:sz w:val="16"/>
              </w:rPr>
            </w:pPr>
            <w:r>
              <w:rPr>
                <w:b/>
                <w:sz w:val="16"/>
              </w:rPr>
              <w:t>Digital </w:t>
            </w:r>
            <w:r>
              <w:rPr>
                <w:b/>
                <w:spacing w:val="-2"/>
                <w:sz w:val="16"/>
              </w:rPr>
              <w:t>Media</w:t>
            </w:r>
          </w:p>
        </w:tc>
        <w:tc>
          <w:tcPr>
            <w:tcW w:w="1680" w:type="dxa"/>
            <w:tcBorders>
              <w:bottom w:val="single" w:sz="8" w:space="0" w:color="000000"/>
            </w:tcBorders>
          </w:tcPr>
          <w:p>
            <w:pPr>
              <w:pStyle w:val="TableParagraph"/>
              <w:spacing w:line="208" w:lineRule="auto" w:before="12"/>
              <w:ind w:left="445" w:right="-2" w:firstLine="133"/>
              <w:rPr>
                <w:b/>
                <w:sz w:val="16"/>
              </w:rPr>
            </w:pPr>
            <w:r>
              <w:rPr>
                <w:b/>
                <w:spacing w:val="-2"/>
                <w:sz w:val="16"/>
              </w:rPr>
              <w:t>Digital</w:t>
            </w:r>
            <w:r>
              <w:rPr>
                <w:b/>
                <w:spacing w:val="40"/>
                <w:sz w:val="16"/>
              </w:rPr>
              <w:t> </w:t>
            </w:r>
            <w:r>
              <w:rPr>
                <w:b/>
                <w:spacing w:val="-2"/>
                <w:sz w:val="16"/>
              </w:rPr>
              <w:t>Marketing</w:t>
            </w:r>
          </w:p>
        </w:tc>
        <w:tc>
          <w:tcPr>
            <w:tcW w:w="1680" w:type="dxa"/>
            <w:tcBorders>
              <w:bottom w:val="single" w:sz="8" w:space="0" w:color="000000"/>
            </w:tcBorders>
          </w:tcPr>
          <w:p>
            <w:pPr>
              <w:pStyle w:val="TableParagraph"/>
              <w:spacing w:before="153"/>
              <w:ind w:left="97"/>
              <w:rPr>
                <w:b/>
                <w:sz w:val="16"/>
              </w:rPr>
            </w:pPr>
            <w:r>
              <w:rPr>
                <w:b/>
                <w:sz w:val="16"/>
              </w:rPr>
              <w:t>Print</w:t>
            </w:r>
            <w:r>
              <w:rPr>
                <w:b/>
                <w:spacing w:val="-2"/>
                <w:sz w:val="16"/>
              </w:rPr>
              <w:t> </w:t>
            </w:r>
            <w:r>
              <w:rPr>
                <w:b/>
                <w:sz w:val="16"/>
              </w:rPr>
              <w:t>and</w:t>
            </w:r>
            <w:r>
              <w:rPr>
                <w:b/>
                <w:spacing w:val="-1"/>
                <w:sz w:val="16"/>
              </w:rPr>
              <w:t> </w:t>
            </w:r>
            <w:r>
              <w:rPr>
                <w:b/>
                <w:spacing w:val="-2"/>
                <w:sz w:val="16"/>
              </w:rPr>
              <w:t>Publishing</w:t>
            </w:r>
          </w:p>
        </w:tc>
        <w:tc>
          <w:tcPr>
            <w:tcW w:w="1620" w:type="dxa"/>
            <w:tcBorders>
              <w:bottom w:val="single" w:sz="8" w:space="0" w:color="000000"/>
            </w:tcBorders>
          </w:tcPr>
          <w:p>
            <w:pPr>
              <w:pStyle w:val="TableParagraph"/>
              <w:spacing w:before="153"/>
              <w:jc w:val="center"/>
              <w:rPr>
                <w:b/>
                <w:sz w:val="16"/>
              </w:rPr>
            </w:pPr>
            <w:r>
              <w:rPr>
                <w:b/>
                <w:spacing w:val="-2"/>
                <w:sz w:val="16"/>
              </w:rPr>
              <w:t>Total</w:t>
            </w:r>
          </w:p>
        </w:tc>
      </w:tr>
      <w:tr>
        <w:trPr>
          <w:trHeight w:val="270" w:hRule="atLeast"/>
        </w:trPr>
        <w:tc>
          <w:tcPr>
            <w:tcW w:w="3600" w:type="dxa"/>
          </w:tcPr>
          <w:p>
            <w:pPr>
              <w:pStyle w:val="TableParagraph"/>
              <w:spacing w:line="219" w:lineRule="exact"/>
              <w:ind w:left="50"/>
              <w:rPr>
                <w:b/>
                <w:sz w:val="20"/>
              </w:rPr>
            </w:pPr>
            <w:r>
              <w:rPr>
                <w:b/>
                <w:sz w:val="20"/>
              </w:rPr>
              <w:t>Fiscal </w:t>
            </w:r>
            <w:r>
              <w:rPr>
                <w:b/>
                <w:spacing w:val="-4"/>
                <w:sz w:val="20"/>
              </w:rPr>
              <w:t>2017</w:t>
            </w:r>
          </w:p>
        </w:tc>
        <w:tc>
          <w:tcPr>
            <w:tcW w:w="1660" w:type="dxa"/>
            <w:tcBorders>
              <w:top w:val="single" w:sz="8" w:space="0" w:color="000000"/>
            </w:tcBorders>
          </w:tcPr>
          <w:p>
            <w:pPr>
              <w:pStyle w:val="TableParagraph"/>
              <w:rPr>
                <w:sz w:val="18"/>
              </w:rPr>
            </w:pPr>
          </w:p>
        </w:tc>
        <w:tc>
          <w:tcPr>
            <w:tcW w:w="1680" w:type="dxa"/>
            <w:tcBorders>
              <w:top w:val="single" w:sz="8" w:space="0" w:color="000000"/>
            </w:tcBorders>
          </w:tcPr>
          <w:p>
            <w:pPr>
              <w:pStyle w:val="TableParagraph"/>
              <w:rPr>
                <w:sz w:val="18"/>
              </w:rPr>
            </w:pPr>
          </w:p>
        </w:tc>
        <w:tc>
          <w:tcPr>
            <w:tcW w:w="1680" w:type="dxa"/>
            <w:tcBorders>
              <w:top w:val="single" w:sz="8" w:space="0" w:color="000000"/>
            </w:tcBorders>
          </w:tcPr>
          <w:p>
            <w:pPr>
              <w:pStyle w:val="TableParagraph"/>
              <w:rPr>
                <w:sz w:val="18"/>
              </w:rPr>
            </w:pPr>
          </w:p>
        </w:tc>
        <w:tc>
          <w:tcPr>
            <w:tcW w:w="1620" w:type="dxa"/>
            <w:tcBorders>
              <w:top w:val="single" w:sz="8" w:space="0" w:color="000000"/>
            </w:tcBorders>
          </w:tcPr>
          <w:p>
            <w:pPr>
              <w:pStyle w:val="TableParagraph"/>
              <w:rPr>
                <w:sz w:val="18"/>
              </w:rPr>
            </w:pPr>
          </w:p>
        </w:tc>
      </w:tr>
      <w:tr>
        <w:trPr>
          <w:trHeight w:val="280" w:hRule="atLeast"/>
        </w:trPr>
        <w:tc>
          <w:tcPr>
            <w:tcW w:w="3600" w:type="dxa"/>
            <w:shd w:val="clear" w:color="auto" w:fill="CCEDFF"/>
          </w:tcPr>
          <w:p>
            <w:pPr>
              <w:pStyle w:val="TableParagraph"/>
              <w:spacing w:before="2"/>
              <w:ind w:left="50"/>
              <w:rPr>
                <w:sz w:val="20"/>
              </w:rPr>
            </w:pPr>
            <w:r>
              <w:rPr>
                <w:spacing w:val="-2"/>
                <w:sz w:val="20"/>
              </w:rPr>
              <w:t>Revenue</w:t>
            </w:r>
          </w:p>
        </w:tc>
        <w:tc>
          <w:tcPr>
            <w:tcW w:w="1660" w:type="dxa"/>
            <w:shd w:val="clear" w:color="auto" w:fill="CCEDFF"/>
          </w:tcPr>
          <w:p>
            <w:pPr>
              <w:pStyle w:val="TableParagraph"/>
              <w:tabs>
                <w:tab w:pos="622" w:val="left" w:leader="none"/>
              </w:tabs>
              <w:spacing w:before="2"/>
              <w:ind w:left="50"/>
              <w:rPr>
                <w:sz w:val="20"/>
              </w:rPr>
            </w:pPr>
            <w:r>
              <w:rPr>
                <w:spacing w:val="-10"/>
                <w:sz w:val="20"/>
              </w:rPr>
              <w:t>$</w:t>
            </w:r>
            <w:r>
              <w:rPr>
                <w:sz w:val="20"/>
              </w:rPr>
              <w:tab/>
            </w:r>
            <w:r>
              <w:rPr>
                <w:spacing w:val="-2"/>
                <w:sz w:val="20"/>
              </w:rPr>
              <w:t>5,010,579</w:t>
            </w:r>
          </w:p>
        </w:tc>
        <w:tc>
          <w:tcPr>
            <w:tcW w:w="1680" w:type="dxa"/>
            <w:shd w:val="clear" w:color="auto" w:fill="CCEDFF"/>
          </w:tcPr>
          <w:p>
            <w:pPr>
              <w:pStyle w:val="TableParagraph"/>
              <w:tabs>
                <w:tab w:pos="642" w:val="left" w:leader="none"/>
              </w:tabs>
              <w:spacing w:before="2"/>
              <w:ind w:left="70"/>
              <w:rPr>
                <w:sz w:val="20"/>
              </w:rPr>
            </w:pPr>
            <w:r>
              <w:rPr>
                <w:spacing w:val="-10"/>
                <w:sz w:val="20"/>
              </w:rPr>
              <w:t>$</w:t>
            </w:r>
            <w:r>
              <w:rPr>
                <w:sz w:val="20"/>
              </w:rPr>
              <w:tab/>
            </w:r>
            <w:r>
              <w:rPr>
                <w:spacing w:val="-2"/>
                <w:sz w:val="20"/>
              </w:rPr>
              <w:t>2,120,032</w:t>
            </w:r>
          </w:p>
        </w:tc>
        <w:tc>
          <w:tcPr>
            <w:tcW w:w="1680" w:type="dxa"/>
            <w:shd w:val="clear" w:color="auto" w:fill="CCEDFF"/>
          </w:tcPr>
          <w:p>
            <w:pPr>
              <w:pStyle w:val="TableParagraph"/>
              <w:tabs>
                <w:tab w:pos="792" w:val="left" w:leader="none"/>
              </w:tabs>
              <w:spacing w:before="2"/>
              <w:ind w:left="70"/>
              <w:rPr>
                <w:sz w:val="20"/>
              </w:rPr>
            </w:pPr>
            <w:r>
              <w:rPr>
                <w:spacing w:val="-10"/>
                <w:sz w:val="20"/>
              </w:rPr>
              <w:t>$</w:t>
            </w:r>
            <w:r>
              <w:rPr>
                <w:sz w:val="20"/>
              </w:rPr>
              <w:tab/>
            </w:r>
            <w:r>
              <w:rPr>
                <w:spacing w:val="-2"/>
                <w:sz w:val="20"/>
              </w:rPr>
              <w:t>170,894</w:t>
            </w:r>
          </w:p>
        </w:tc>
        <w:tc>
          <w:tcPr>
            <w:tcW w:w="1620" w:type="dxa"/>
            <w:shd w:val="clear" w:color="auto" w:fill="CCEDFF"/>
          </w:tcPr>
          <w:p>
            <w:pPr>
              <w:pStyle w:val="TableParagraph"/>
              <w:tabs>
                <w:tab w:pos="642" w:val="left" w:leader="none"/>
              </w:tabs>
              <w:spacing w:before="2"/>
              <w:ind w:left="70"/>
              <w:rPr>
                <w:sz w:val="20"/>
              </w:rPr>
            </w:pPr>
            <w:r>
              <w:rPr>
                <w:spacing w:val="-10"/>
                <w:sz w:val="20"/>
              </w:rPr>
              <w:t>$</w:t>
            </w:r>
            <w:r>
              <w:rPr>
                <w:sz w:val="20"/>
              </w:rPr>
              <w:tab/>
            </w:r>
            <w:r>
              <w:rPr>
                <w:spacing w:val="-2"/>
                <w:sz w:val="20"/>
              </w:rPr>
              <w:t>7,301,505</w:t>
            </w:r>
          </w:p>
        </w:tc>
      </w:tr>
      <w:tr>
        <w:trPr>
          <w:trHeight w:val="270" w:hRule="atLeast"/>
        </w:trPr>
        <w:tc>
          <w:tcPr>
            <w:tcW w:w="3600" w:type="dxa"/>
          </w:tcPr>
          <w:p>
            <w:pPr>
              <w:pStyle w:val="TableParagraph"/>
              <w:spacing w:before="2"/>
              <w:ind w:left="50"/>
              <w:rPr>
                <w:sz w:val="20"/>
              </w:rPr>
            </w:pPr>
            <w:r>
              <w:rPr>
                <w:sz w:val="20"/>
              </w:rPr>
              <w:t>Cost of </w:t>
            </w:r>
            <w:r>
              <w:rPr>
                <w:spacing w:val="-2"/>
                <w:sz w:val="20"/>
              </w:rPr>
              <w:t>revenue</w:t>
            </w:r>
          </w:p>
        </w:tc>
        <w:tc>
          <w:tcPr>
            <w:tcW w:w="1660" w:type="dxa"/>
            <w:tcBorders>
              <w:bottom w:val="single" w:sz="8" w:space="0" w:color="000000"/>
            </w:tcBorders>
          </w:tcPr>
          <w:p>
            <w:pPr>
              <w:pStyle w:val="TableParagraph"/>
              <w:spacing w:before="2"/>
              <w:ind w:left="772"/>
              <w:rPr>
                <w:sz w:val="20"/>
              </w:rPr>
            </w:pPr>
            <w:r>
              <w:rPr>
                <w:spacing w:val="-2"/>
                <w:sz w:val="20"/>
              </w:rPr>
              <w:t>239,994</w:t>
            </w:r>
          </w:p>
        </w:tc>
        <w:tc>
          <w:tcPr>
            <w:tcW w:w="1680" w:type="dxa"/>
            <w:tcBorders>
              <w:bottom w:val="single" w:sz="8" w:space="0" w:color="000000"/>
            </w:tcBorders>
          </w:tcPr>
          <w:p>
            <w:pPr>
              <w:pStyle w:val="TableParagraph"/>
              <w:spacing w:before="2"/>
              <w:ind w:left="792"/>
              <w:rPr>
                <w:sz w:val="20"/>
              </w:rPr>
            </w:pPr>
            <w:r>
              <w:rPr>
                <w:spacing w:val="-2"/>
                <w:sz w:val="20"/>
              </w:rPr>
              <w:t>763,468</w:t>
            </w:r>
          </w:p>
        </w:tc>
        <w:tc>
          <w:tcPr>
            <w:tcW w:w="1680" w:type="dxa"/>
            <w:tcBorders>
              <w:bottom w:val="single" w:sz="8" w:space="0" w:color="000000"/>
            </w:tcBorders>
          </w:tcPr>
          <w:p>
            <w:pPr>
              <w:pStyle w:val="TableParagraph"/>
              <w:spacing w:before="2"/>
              <w:ind w:left="992"/>
              <w:rPr>
                <w:sz w:val="20"/>
              </w:rPr>
            </w:pPr>
            <w:r>
              <w:rPr>
                <w:spacing w:val="-2"/>
                <w:sz w:val="20"/>
              </w:rPr>
              <w:t>7,029</w:t>
            </w:r>
          </w:p>
        </w:tc>
        <w:tc>
          <w:tcPr>
            <w:tcW w:w="1620" w:type="dxa"/>
            <w:tcBorders>
              <w:bottom w:val="single" w:sz="8" w:space="0" w:color="000000"/>
            </w:tcBorders>
          </w:tcPr>
          <w:p>
            <w:pPr>
              <w:pStyle w:val="TableParagraph"/>
              <w:spacing w:before="2"/>
              <w:ind w:left="642"/>
              <w:rPr>
                <w:sz w:val="20"/>
              </w:rPr>
            </w:pPr>
            <w:r>
              <w:rPr>
                <w:spacing w:val="-2"/>
                <w:sz w:val="20"/>
              </w:rPr>
              <w:t>1,010,491</w:t>
            </w:r>
          </w:p>
        </w:tc>
      </w:tr>
      <w:tr>
        <w:trPr>
          <w:trHeight w:val="240" w:hRule="atLeast"/>
        </w:trPr>
        <w:tc>
          <w:tcPr>
            <w:tcW w:w="3600" w:type="dxa"/>
            <w:shd w:val="clear" w:color="auto" w:fill="CCEDFF"/>
          </w:tcPr>
          <w:p>
            <w:pPr>
              <w:pStyle w:val="TableParagraph"/>
              <w:spacing w:line="220" w:lineRule="exact"/>
              <w:ind w:left="50"/>
              <w:rPr>
                <w:sz w:val="20"/>
              </w:rPr>
            </w:pPr>
            <w:r>
              <w:rPr>
                <w:sz w:val="20"/>
              </w:rPr>
              <w:t>Gross</w:t>
            </w:r>
            <w:r>
              <w:rPr>
                <w:spacing w:val="-5"/>
                <w:sz w:val="20"/>
              </w:rPr>
              <w:t> </w:t>
            </w:r>
            <w:r>
              <w:rPr>
                <w:spacing w:val="-2"/>
                <w:sz w:val="20"/>
              </w:rPr>
              <w:t>profit</w:t>
            </w:r>
          </w:p>
        </w:tc>
        <w:tc>
          <w:tcPr>
            <w:tcW w:w="1660" w:type="dxa"/>
            <w:tcBorders>
              <w:top w:val="single" w:sz="8" w:space="0" w:color="000000"/>
              <w:bottom w:val="double" w:sz="8" w:space="0" w:color="000000"/>
            </w:tcBorders>
            <w:shd w:val="clear" w:color="auto" w:fill="CCEDFF"/>
          </w:tcPr>
          <w:p>
            <w:pPr>
              <w:pStyle w:val="TableParagraph"/>
              <w:tabs>
                <w:tab w:pos="622" w:val="left" w:leader="none"/>
              </w:tabs>
              <w:spacing w:line="220" w:lineRule="exact"/>
              <w:ind w:left="50"/>
              <w:rPr>
                <w:sz w:val="20"/>
              </w:rPr>
            </w:pPr>
            <w:r>
              <w:rPr>
                <w:spacing w:val="-10"/>
                <w:sz w:val="20"/>
              </w:rPr>
              <w:t>$</w:t>
            </w:r>
            <w:r>
              <w:rPr>
                <w:sz w:val="20"/>
              </w:rPr>
              <w:tab/>
            </w:r>
            <w:r>
              <w:rPr>
                <w:spacing w:val="-2"/>
                <w:sz w:val="20"/>
              </w:rPr>
              <w:t>4,770,585</w:t>
            </w:r>
          </w:p>
        </w:tc>
        <w:tc>
          <w:tcPr>
            <w:tcW w:w="1680" w:type="dxa"/>
            <w:tcBorders>
              <w:top w:val="single" w:sz="8" w:space="0" w:color="000000"/>
              <w:bottom w:val="double" w:sz="8" w:space="0" w:color="000000"/>
            </w:tcBorders>
            <w:shd w:val="clear" w:color="auto" w:fill="CCEDFF"/>
          </w:tcPr>
          <w:p>
            <w:pPr>
              <w:pStyle w:val="TableParagraph"/>
              <w:tabs>
                <w:tab w:pos="642" w:val="left" w:leader="none"/>
              </w:tabs>
              <w:spacing w:line="220" w:lineRule="exact"/>
              <w:ind w:left="70"/>
              <w:rPr>
                <w:sz w:val="20"/>
              </w:rPr>
            </w:pPr>
            <w:r>
              <w:rPr>
                <w:spacing w:val="-10"/>
                <w:sz w:val="20"/>
              </w:rPr>
              <w:t>$</w:t>
            </w:r>
            <w:r>
              <w:rPr>
                <w:sz w:val="20"/>
              </w:rPr>
              <w:tab/>
            </w:r>
            <w:r>
              <w:rPr>
                <w:spacing w:val="-2"/>
                <w:sz w:val="20"/>
              </w:rPr>
              <w:t>1,356,564</w:t>
            </w:r>
          </w:p>
        </w:tc>
        <w:tc>
          <w:tcPr>
            <w:tcW w:w="1680" w:type="dxa"/>
            <w:tcBorders>
              <w:top w:val="single" w:sz="8" w:space="0" w:color="000000"/>
              <w:bottom w:val="double" w:sz="8" w:space="0" w:color="000000"/>
            </w:tcBorders>
            <w:shd w:val="clear" w:color="auto" w:fill="CCEDFF"/>
          </w:tcPr>
          <w:p>
            <w:pPr>
              <w:pStyle w:val="TableParagraph"/>
              <w:tabs>
                <w:tab w:pos="792" w:val="left" w:leader="none"/>
              </w:tabs>
              <w:spacing w:line="220" w:lineRule="exact"/>
              <w:ind w:left="70"/>
              <w:rPr>
                <w:sz w:val="20"/>
              </w:rPr>
            </w:pPr>
            <w:r>
              <w:rPr>
                <w:spacing w:val="-10"/>
                <w:sz w:val="20"/>
              </w:rPr>
              <w:t>$</w:t>
            </w:r>
            <w:r>
              <w:rPr>
                <w:sz w:val="20"/>
              </w:rPr>
              <w:tab/>
            </w:r>
            <w:r>
              <w:rPr>
                <w:spacing w:val="-2"/>
                <w:sz w:val="20"/>
              </w:rPr>
              <w:t>163,865</w:t>
            </w:r>
          </w:p>
        </w:tc>
        <w:tc>
          <w:tcPr>
            <w:tcW w:w="1620" w:type="dxa"/>
            <w:tcBorders>
              <w:top w:val="single" w:sz="8" w:space="0" w:color="000000"/>
              <w:bottom w:val="double" w:sz="8" w:space="0" w:color="000000"/>
            </w:tcBorders>
            <w:shd w:val="clear" w:color="auto" w:fill="CCEDFF"/>
          </w:tcPr>
          <w:p>
            <w:pPr>
              <w:pStyle w:val="TableParagraph"/>
              <w:tabs>
                <w:tab w:pos="642" w:val="left" w:leader="none"/>
              </w:tabs>
              <w:spacing w:line="220" w:lineRule="exact"/>
              <w:ind w:left="70"/>
              <w:rPr>
                <w:sz w:val="20"/>
              </w:rPr>
            </w:pPr>
            <w:r>
              <w:rPr>
                <w:spacing w:val="-10"/>
                <w:sz w:val="20"/>
              </w:rPr>
              <w:t>$</w:t>
            </w:r>
            <w:r>
              <w:rPr>
                <w:sz w:val="20"/>
              </w:rPr>
              <w:tab/>
            </w:r>
            <w:r>
              <w:rPr>
                <w:spacing w:val="-2"/>
                <w:sz w:val="20"/>
              </w:rPr>
              <w:t>6,291,014</w:t>
            </w:r>
          </w:p>
        </w:tc>
      </w:tr>
      <w:tr>
        <w:trPr>
          <w:trHeight w:val="250" w:hRule="atLeast"/>
        </w:trPr>
        <w:tc>
          <w:tcPr>
            <w:tcW w:w="3600" w:type="dxa"/>
          </w:tcPr>
          <w:p>
            <w:pPr>
              <w:pStyle w:val="TableParagraph"/>
              <w:spacing w:line="202" w:lineRule="exact"/>
              <w:ind w:left="50"/>
              <w:rPr>
                <w:sz w:val="20"/>
              </w:rPr>
            </w:pPr>
            <w:r>
              <w:rPr>
                <w:sz w:val="20"/>
              </w:rPr>
              <w:t>Gross</w:t>
            </w:r>
            <w:r>
              <w:rPr>
                <w:spacing w:val="-2"/>
                <w:sz w:val="20"/>
              </w:rPr>
              <w:t> </w:t>
            </w:r>
            <w:r>
              <w:rPr>
                <w:sz w:val="20"/>
              </w:rPr>
              <w:t>profit</w:t>
            </w:r>
            <w:r>
              <w:rPr>
                <w:spacing w:val="-1"/>
                <w:sz w:val="20"/>
              </w:rPr>
              <w:t> </w:t>
            </w:r>
            <w:r>
              <w:rPr>
                <w:sz w:val="20"/>
              </w:rPr>
              <w:t>as</w:t>
            </w:r>
            <w:r>
              <w:rPr>
                <w:spacing w:val="-2"/>
                <w:sz w:val="20"/>
              </w:rPr>
              <w:t> </w:t>
            </w:r>
            <w:r>
              <w:rPr>
                <w:sz w:val="20"/>
              </w:rPr>
              <w:t>a</w:t>
            </w:r>
            <w:r>
              <w:rPr>
                <w:spacing w:val="-1"/>
                <w:sz w:val="20"/>
              </w:rPr>
              <w:t> </w:t>
            </w:r>
            <w:r>
              <w:rPr>
                <w:sz w:val="20"/>
              </w:rPr>
              <w:t>percentage</w:t>
            </w:r>
            <w:r>
              <w:rPr>
                <w:spacing w:val="-1"/>
                <w:sz w:val="20"/>
              </w:rPr>
              <w:t> </w:t>
            </w:r>
            <w:r>
              <w:rPr>
                <w:sz w:val="20"/>
              </w:rPr>
              <w:t>of </w:t>
            </w:r>
            <w:r>
              <w:rPr>
                <w:spacing w:val="-2"/>
                <w:sz w:val="20"/>
              </w:rPr>
              <w:t>revenue</w:t>
            </w:r>
          </w:p>
        </w:tc>
        <w:tc>
          <w:tcPr>
            <w:tcW w:w="1660" w:type="dxa"/>
            <w:tcBorders>
              <w:top w:val="double" w:sz="8" w:space="0" w:color="000000"/>
            </w:tcBorders>
          </w:tcPr>
          <w:p>
            <w:pPr>
              <w:pStyle w:val="TableParagraph"/>
              <w:spacing w:line="202" w:lineRule="exact"/>
              <w:ind w:right="68"/>
              <w:jc w:val="right"/>
              <w:rPr>
                <w:sz w:val="20"/>
              </w:rPr>
            </w:pPr>
            <w:r>
              <w:rPr>
                <w:spacing w:val="-5"/>
                <w:sz w:val="20"/>
              </w:rPr>
              <w:t>95%</w:t>
            </w:r>
          </w:p>
        </w:tc>
        <w:tc>
          <w:tcPr>
            <w:tcW w:w="1680" w:type="dxa"/>
            <w:tcBorders>
              <w:top w:val="double" w:sz="8" w:space="0" w:color="000000"/>
            </w:tcBorders>
          </w:tcPr>
          <w:p>
            <w:pPr>
              <w:pStyle w:val="TableParagraph"/>
              <w:spacing w:line="202" w:lineRule="exact"/>
              <w:ind w:right="68"/>
              <w:jc w:val="right"/>
              <w:rPr>
                <w:sz w:val="20"/>
              </w:rPr>
            </w:pPr>
            <w:r>
              <w:rPr>
                <w:spacing w:val="-5"/>
                <w:sz w:val="20"/>
              </w:rPr>
              <w:t>64%</w:t>
            </w:r>
          </w:p>
        </w:tc>
        <w:tc>
          <w:tcPr>
            <w:tcW w:w="1680" w:type="dxa"/>
            <w:tcBorders>
              <w:top w:val="double" w:sz="8" w:space="0" w:color="000000"/>
            </w:tcBorders>
          </w:tcPr>
          <w:p>
            <w:pPr>
              <w:pStyle w:val="TableParagraph"/>
              <w:spacing w:line="202" w:lineRule="exact"/>
              <w:ind w:right="68"/>
              <w:jc w:val="right"/>
              <w:rPr>
                <w:sz w:val="20"/>
              </w:rPr>
            </w:pPr>
            <w:r>
              <w:rPr>
                <w:spacing w:val="-5"/>
                <w:sz w:val="20"/>
              </w:rPr>
              <w:t>96%</w:t>
            </w:r>
          </w:p>
        </w:tc>
        <w:tc>
          <w:tcPr>
            <w:tcW w:w="1620" w:type="dxa"/>
            <w:tcBorders>
              <w:top w:val="double" w:sz="8" w:space="0" w:color="000000"/>
            </w:tcBorders>
          </w:tcPr>
          <w:p>
            <w:pPr>
              <w:pStyle w:val="TableParagraph"/>
              <w:spacing w:line="202" w:lineRule="exact"/>
              <w:ind w:right="8"/>
              <w:jc w:val="right"/>
              <w:rPr>
                <w:sz w:val="20"/>
              </w:rPr>
            </w:pPr>
            <w:r>
              <w:rPr>
                <w:spacing w:val="-5"/>
                <w:sz w:val="20"/>
              </w:rPr>
              <w:t>86%</w:t>
            </w:r>
          </w:p>
        </w:tc>
      </w:tr>
      <w:tr>
        <w:trPr>
          <w:trHeight w:val="280" w:hRule="atLeast"/>
        </w:trPr>
        <w:tc>
          <w:tcPr>
            <w:tcW w:w="3600" w:type="dxa"/>
            <w:shd w:val="clear" w:color="auto" w:fill="CCEDFF"/>
          </w:tcPr>
          <w:p>
            <w:pPr>
              <w:pStyle w:val="TableParagraph"/>
              <w:spacing w:line="229" w:lineRule="exact"/>
              <w:ind w:left="50"/>
              <w:rPr>
                <w:b/>
                <w:sz w:val="20"/>
              </w:rPr>
            </w:pPr>
            <w:r>
              <w:rPr>
                <w:b/>
                <w:sz w:val="20"/>
              </w:rPr>
              <w:t>Fiscal </w:t>
            </w:r>
            <w:r>
              <w:rPr>
                <w:b/>
                <w:spacing w:val="-4"/>
                <w:sz w:val="20"/>
              </w:rPr>
              <w:t>2016</w:t>
            </w:r>
          </w:p>
        </w:tc>
        <w:tc>
          <w:tcPr>
            <w:tcW w:w="1660" w:type="dxa"/>
            <w:shd w:val="clear" w:color="auto" w:fill="CCEDFF"/>
          </w:tcPr>
          <w:p>
            <w:pPr>
              <w:pStyle w:val="TableParagraph"/>
              <w:rPr>
                <w:sz w:val="18"/>
              </w:rPr>
            </w:pPr>
          </w:p>
        </w:tc>
        <w:tc>
          <w:tcPr>
            <w:tcW w:w="1680" w:type="dxa"/>
            <w:shd w:val="clear" w:color="auto" w:fill="CCEDFF"/>
          </w:tcPr>
          <w:p>
            <w:pPr>
              <w:pStyle w:val="TableParagraph"/>
              <w:rPr>
                <w:sz w:val="18"/>
              </w:rPr>
            </w:pPr>
          </w:p>
        </w:tc>
        <w:tc>
          <w:tcPr>
            <w:tcW w:w="1680" w:type="dxa"/>
            <w:shd w:val="clear" w:color="auto" w:fill="CCEDFF"/>
          </w:tcPr>
          <w:p>
            <w:pPr>
              <w:pStyle w:val="TableParagraph"/>
              <w:rPr>
                <w:sz w:val="18"/>
              </w:rPr>
            </w:pPr>
          </w:p>
        </w:tc>
        <w:tc>
          <w:tcPr>
            <w:tcW w:w="1620" w:type="dxa"/>
            <w:shd w:val="clear" w:color="auto" w:fill="CCEDFF"/>
          </w:tcPr>
          <w:p>
            <w:pPr>
              <w:pStyle w:val="TableParagraph"/>
              <w:rPr>
                <w:sz w:val="18"/>
              </w:rPr>
            </w:pPr>
          </w:p>
        </w:tc>
      </w:tr>
      <w:tr>
        <w:trPr>
          <w:trHeight w:val="280" w:hRule="atLeast"/>
        </w:trPr>
        <w:tc>
          <w:tcPr>
            <w:tcW w:w="3600" w:type="dxa"/>
          </w:tcPr>
          <w:p>
            <w:pPr>
              <w:pStyle w:val="TableParagraph"/>
              <w:spacing w:before="2"/>
              <w:ind w:left="50"/>
              <w:rPr>
                <w:sz w:val="20"/>
              </w:rPr>
            </w:pPr>
            <w:r>
              <w:rPr>
                <w:spacing w:val="-2"/>
                <w:sz w:val="20"/>
              </w:rPr>
              <w:t>Revenue</w:t>
            </w:r>
          </w:p>
        </w:tc>
        <w:tc>
          <w:tcPr>
            <w:tcW w:w="1660" w:type="dxa"/>
          </w:tcPr>
          <w:p>
            <w:pPr>
              <w:pStyle w:val="TableParagraph"/>
              <w:tabs>
                <w:tab w:pos="622" w:val="left" w:leader="none"/>
              </w:tabs>
              <w:spacing w:before="2"/>
              <w:ind w:left="50"/>
              <w:rPr>
                <w:sz w:val="20"/>
              </w:rPr>
            </w:pPr>
            <w:r>
              <w:rPr>
                <w:spacing w:val="-10"/>
                <w:sz w:val="20"/>
              </w:rPr>
              <w:t>$</w:t>
            </w:r>
            <w:r>
              <w:rPr>
                <w:sz w:val="20"/>
              </w:rPr>
              <w:tab/>
            </w:r>
            <w:r>
              <w:rPr>
                <w:spacing w:val="-2"/>
                <w:sz w:val="20"/>
              </w:rPr>
              <w:t>3,941,011</w:t>
            </w:r>
          </w:p>
        </w:tc>
        <w:tc>
          <w:tcPr>
            <w:tcW w:w="1680" w:type="dxa"/>
          </w:tcPr>
          <w:p>
            <w:pPr>
              <w:pStyle w:val="TableParagraph"/>
              <w:tabs>
                <w:tab w:pos="642" w:val="left" w:leader="none"/>
              </w:tabs>
              <w:spacing w:before="2"/>
              <w:ind w:left="70"/>
              <w:rPr>
                <w:sz w:val="20"/>
              </w:rPr>
            </w:pPr>
            <w:r>
              <w:rPr>
                <w:spacing w:val="-10"/>
                <w:sz w:val="20"/>
              </w:rPr>
              <w:t>$</w:t>
            </w:r>
            <w:r>
              <w:rPr>
                <w:sz w:val="20"/>
              </w:rPr>
              <w:tab/>
            </w:r>
            <w:r>
              <w:rPr>
                <w:spacing w:val="-2"/>
                <w:sz w:val="20"/>
              </w:rPr>
              <w:t>1,736,585</w:t>
            </w:r>
          </w:p>
        </w:tc>
        <w:tc>
          <w:tcPr>
            <w:tcW w:w="1680" w:type="dxa"/>
          </w:tcPr>
          <w:p>
            <w:pPr>
              <w:pStyle w:val="TableParagraph"/>
              <w:tabs>
                <w:tab w:pos="792" w:val="left" w:leader="none"/>
              </w:tabs>
              <w:spacing w:before="2"/>
              <w:ind w:left="70"/>
              <w:rPr>
                <w:sz w:val="20"/>
              </w:rPr>
            </w:pPr>
            <w:r>
              <w:rPr>
                <w:spacing w:val="-10"/>
                <w:sz w:val="20"/>
              </w:rPr>
              <w:t>$</w:t>
            </w:r>
            <w:r>
              <w:rPr>
                <w:sz w:val="20"/>
              </w:rPr>
              <w:tab/>
            </w:r>
            <w:r>
              <w:rPr>
                <w:spacing w:val="-2"/>
                <w:sz w:val="20"/>
              </w:rPr>
              <w:t>176,834</w:t>
            </w:r>
          </w:p>
        </w:tc>
        <w:tc>
          <w:tcPr>
            <w:tcW w:w="1620" w:type="dxa"/>
          </w:tcPr>
          <w:p>
            <w:pPr>
              <w:pStyle w:val="TableParagraph"/>
              <w:tabs>
                <w:tab w:pos="642" w:val="left" w:leader="none"/>
              </w:tabs>
              <w:spacing w:before="2"/>
              <w:ind w:left="70"/>
              <w:rPr>
                <w:sz w:val="20"/>
              </w:rPr>
            </w:pPr>
            <w:r>
              <w:rPr>
                <w:spacing w:val="-10"/>
                <w:sz w:val="20"/>
              </w:rPr>
              <w:t>$</w:t>
            </w:r>
            <w:r>
              <w:rPr>
                <w:sz w:val="20"/>
              </w:rPr>
              <w:tab/>
            </w:r>
            <w:r>
              <w:rPr>
                <w:spacing w:val="-2"/>
                <w:sz w:val="20"/>
              </w:rPr>
              <w:t>5,854,430</w:t>
            </w:r>
          </w:p>
        </w:tc>
      </w:tr>
      <w:tr>
        <w:trPr>
          <w:trHeight w:val="270" w:hRule="atLeast"/>
        </w:trPr>
        <w:tc>
          <w:tcPr>
            <w:tcW w:w="3600" w:type="dxa"/>
            <w:shd w:val="clear" w:color="auto" w:fill="CCEDFF"/>
          </w:tcPr>
          <w:p>
            <w:pPr>
              <w:pStyle w:val="TableParagraph"/>
              <w:spacing w:before="2"/>
              <w:ind w:left="50"/>
              <w:rPr>
                <w:sz w:val="20"/>
              </w:rPr>
            </w:pPr>
            <w:r>
              <w:rPr>
                <w:sz w:val="20"/>
              </w:rPr>
              <w:t>Cost of </w:t>
            </w:r>
            <w:r>
              <w:rPr>
                <w:spacing w:val="-2"/>
                <w:sz w:val="20"/>
              </w:rPr>
              <w:t>revenue</w:t>
            </w:r>
          </w:p>
        </w:tc>
        <w:tc>
          <w:tcPr>
            <w:tcW w:w="1660" w:type="dxa"/>
            <w:tcBorders>
              <w:bottom w:val="single" w:sz="8" w:space="0" w:color="000000"/>
            </w:tcBorders>
            <w:shd w:val="clear" w:color="auto" w:fill="CCEDFF"/>
          </w:tcPr>
          <w:p>
            <w:pPr>
              <w:pStyle w:val="TableParagraph"/>
              <w:spacing w:before="2"/>
              <w:ind w:left="772"/>
              <w:rPr>
                <w:sz w:val="20"/>
              </w:rPr>
            </w:pPr>
            <w:r>
              <w:rPr>
                <w:spacing w:val="-2"/>
                <w:sz w:val="20"/>
              </w:rPr>
              <w:t>231,074</w:t>
            </w:r>
          </w:p>
        </w:tc>
        <w:tc>
          <w:tcPr>
            <w:tcW w:w="1680" w:type="dxa"/>
            <w:tcBorders>
              <w:bottom w:val="single" w:sz="8" w:space="0" w:color="000000"/>
            </w:tcBorders>
            <w:shd w:val="clear" w:color="auto" w:fill="CCEDFF"/>
          </w:tcPr>
          <w:p>
            <w:pPr>
              <w:pStyle w:val="TableParagraph"/>
              <w:spacing w:before="2"/>
              <w:ind w:left="792"/>
              <w:rPr>
                <w:sz w:val="20"/>
              </w:rPr>
            </w:pPr>
            <w:r>
              <w:rPr>
                <w:spacing w:val="-2"/>
                <w:sz w:val="20"/>
              </w:rPr>
              <w:t>581,093</w:t>
            </w:r>
          </w:p>
        </w:tc>
        <w:tc>
          <w:tcPr>
            <w:tcW w:w="1680" w:type="dxa"/>
            <w:tcBorders>
              <w:bottom w:val="single" w:sz="8" w:space="0" w:color="000000"/>
            </w:tcBorders>
            <w:shd w:val="clear" w:color="auto" w:fill="CCEDFF"/>
          </w:tcPr>
          <w:p>
            <w:pPr>
              <w:pStyle w:val="TableParagraph"/>
              <w:spacing w:before="2"/>
              <w:ind w:left="992"/>
              <w:rPr>
                <w:sz w:val="20"/>
              </w:rPr>
            </w:pPr>
            <w:r>
              <w:rPr>
                <w:spacing w:val="-2"/>
                <w:sz w:val="20"/>
              </w:rPr>
              <w:t>7,741</w:t>
            </w:r>
          </w:p>
        </w:tc>
        <w:tc>
          <w:tcPr>
            <w:tcW w:w="1620" w:type="dxa"/>
            <w:tcBorders>
              <w:bottom w:val="single" w:sz="8" w:space="0" w:color="000000"/>
            </w:tcBorders>
            <w:shd w:val="clear" w:color="auto" w:fill="CCEDFF"/>
          </w:tcPr>
          <w:p>
            <w:pPr>
              <w:pStyle w:val="TableParagraph"/>
              <w:spacing w:before="2"/>
              <w:ind w:left="792"/>
              <w:rPr>
                <w:sz w:val="20"/>
              </w:rPr>
            </w:pPr>
            <w:r>
              <w:rPr>
                <w:spacing w:val="-2"/>
                <w:sz w:val="20"/>
              </w:rPr>
              <w:t>819,908</w:t>
            </w:r>
          </w:p>
        </w:tc>
      </w:tr>
      <w:tr>
        <w:trPr>
          <w:trHeight w:val="240" w:hRule="atLeast"/>
        </w:trPr>
        <w:tc>
          <w:tcPr>
            <w:tcW w:w="3600" w:type="dxa"/>
          </w:tcPr>
          <w:p>
            <w:pPr>
              <w:pStyle w:val="TableParagraph"/>
              <w:spacing w:line="220" w:lineRule="exact"/>
              <w:ind w:left="50"/>
              <w:rPr>
                <w:sz w:val="20"/>
              </w:rPr>
            </w:pPr>
            <w:r>
              <w:rPr>
                <w:sz w:val="20"/>
              </w:rPr>
              <w:t>Gross</w:t>
            </w:r>
            <w:r>
              <w:rPr>
                <w:spacing w:val="-5"/>
                <w:sz w:val="20"/>
              </w:rPr>
              <w:t> </w:t>
            </w:r>
            <w:r>
              <w:rPr>
                <w:spacing w:val="-2"/>
                <w:sz w:val="20"/>
              </w:rPr>
              <w:t>profit</w:t>
            </w:r>
          </w:p>
        </w:tc>
        <w:tc>
          <w:tcPr>
            <w:tcW w:w="1660" w:type="dxa"/>
            <w:tcBorders>
              <w:top w:val="single" w:sz="8" w:space="0" w:color="000000"/>
              <w:bottom w:val="double" w:sz="8" w:space="0" w:color="000000"/>
            </w:tcBorders>
          </w:tcPr>
          <w:p>
            <w:pPr>
              <w:pStyle w:val="TableParagraph"/>
              <w:tabs>
                <w:tab w:pos="622" w:val="left" w:leader="none"/>
              </w:tabs>
              <w:spacing w:line="220" w:lineRule="exact"/>
              <w:ind w:left="50"/>
              <w:rPr>
                <w:sz w:val="20"/>
              </w:rPr>
            </w:pPr>
            <w:r>
              <w:rPr>
                <w:spacing w:val="-10"/>
                <w:sz w:val="20"/>
              </w:rPr>
              <w:t>$</w:t>
            </w:r>
            <w:r>
              <w:rPr>
                <w:sz w:val="20"/>
              </w:rPr>
              <w:tab/>
            </w:r>
            <w:r>
              <w:rPr>
                <w:spacing w:val="-2"/>
                <w:sz w:val="20"/>
              </w:rPr>
              <w:t>3,709,937</w:t>
            </w:r>
          </w:p>
        </w:tc>
        <w:tc>
          <w:tcPr>
            <w:tcW w:w="1680" w:type="dxa"/>
            <w:tcBorders>
              <w:top w:val="single" w:sz="8" w:space="0" w:color="000000"/>
              <w:bottom w:val="double" w:sz="8" w:space="0" w:color="000000"/>
            </w:tcBorders>
          </w:tcPr>
          <w:p>
            <w:pPr>
              <w:pStyle w:val="TableParagraph"/>
              <w:tabs>
                <w:tab w:pos="642" w:val="left" w:leader="none"/>
              </w:tabs>
              <w:spacing w:line="220" w:lineRule="exact"/>
              <w:ind w:left="70"/>
              <w:rPr>
                <w:sz w:val="20"/>
              </w:rPr>
            </w:pPr>
            <w:r>
              <w:rPr>
                <w:spacing w:val="-10"/>
                <w:sz w:val="20"/>
              </w:rPr>
              <w:t>$</w:t>
            </w:r>
            <w:r>
              <w:rPr>
                <w:sz w:val="20"/>
              </w:rPr>
              <w:tab/>
            </w:r>
            <w:r>
              <w:rPr>
                <w:spacing w:val="-2"/>
                <w:sz w:val="20"/>
              </w:rPr>
              <w:t>1,155,492</w:t>
            </w:r>
          </w:p>
        </w:tc>
        <w:tc>
          <w:tcPr>
            <w:tcW w:w="1680" w:type="dxa"/>
            <w:tcBorders>
              <w:top w:val="single" w:sz="8" w:space="0" w:color="000000"/>
              <w:bottom w:val="double" w:sz="8" w:space="0" w:color="000000"/>
            </w:tcBorders>
          </w:tcPr>
          <w:p>
            <w:pPr>
              <w:pStyle w:val="TableParagraph"/>
              <w:tabs>
                <w:tab w:pos="792" w:val="left" w:leader="none"/>
              </w:tabs>
              <w:spacing w:line="220" w:lineRule="exact"/>
              <w:ind w:left="70"/>
              <w:rPr>
                <w:sz w:val="20"/>
              </w:rPr>
            </w:pPr>
            <w:r>
              <w:rPr>
                <w:spacing w:val="-10"/>
                <w:sz w:val="20"/>
              </w:rPr>
              <w:t>$</w:t>
            </w:r>
            <w:r>
              <w:rPr>
                <w:sz w:val="20"/>
              </w:rPr>
              <w:tab/>
            </w:r>
            <w:r>
              <w:rPr>
                <w:spacing w:val="-2"/>
                <w:sz w:val="20"/>
              </w:rPr>
              <w:t>169,093</w:t>
            </w:r>
          </w:p>
        </w:tc>
        <w:tc>
          <w:tcPr>
            <w:tcW w:w="1620" w:type="dxa"/>
            <w:tcBorders>
              <w:top w:val="single" w:sz="8" w:space="0" w:color="000000"/>
              <w:bottom w:val="double" w:sz="8" w:space="0" w:color="000000"/>
            </w:tcBorders>
          </w:tcPr>
          <w:p>
            <w:pPr>
              <w:pStyle w:val="TableParagraph"/>
              <w:tabs>
                <w:tab w:pos="642" w:val="left" w:leader="none"/>
              </w:tabs>
              <w:spacing w:line="220" w:lineRule="exact"/>
              <w:ind w:left="70"/>
              <w:rPr>
                <w:sz w:val="20"/>
              </w:rPr>
            </w:pPr>
            <w:r>
              <w:rPr>
                <w:spacing w:val="-10"/>
                <w:sz w:val="20"/>
              </w:rPr>
              <w:t>$</w:t>
            </w:r>
            <w:r>
              <w:rPr>
                <w:sz w:val="20"/>
              </w:rPr>
              <w:tab/>
            </w:r>
            <w:r>
              <w:rPr>
                <w:spacing w:val="-2"/>
                <w:sz w:val="20"/>
              </w:rPr>
              <w:t>5,034,522</w:t>
            </w:r>
          </w:p>
        </w:tc>
      </w:tr>
      <w:tr>
        <w:trPr>
          <w:trHeight w:val="250" w:hRule="atLeast"/>
        </w:trPr>
        <w:tc>
          <w:tcPr>
            <w:tcW w:w="3600" w:type="dxa"/>
            <w:shd w:val="clear" w:color="auto" w:fill="CCEDFF"/>
          </w:tcPr>
          <w:p>
            <w:pPr>
              <w:pStyle w:val="TableParagraph"/>
              <w:spacing w:line="202" w:lineRule="exact"/>
              <w:ind w:left="50"/>
              <w:rPr>
                <w:sz w:val="20"/>
              </w:rPr>
            </w:pPr>
            <w:r>
              <w:rPr>
                <w:sz w:val="20"/>
              </w:rPr>
              <w:t>Gross</w:t>
            </w:r>
            <w:r>
              <w:rPr>
                <w:spacing w:val="-2"/>
                <w:sz w:val="20"/>
              </w:rPr>
              <w:t> </w:t>
            </w:r>
            <w:r>
              <w:rPr>
                <w:sz w:val="20"/>
              </w:rPr>
              <w:t>profit</w:t>
            </w:r>
            <w:r>
              <w:rPr>
                <w:spacing w:val="-1"/>
                <w:sz w:val="20"/>
              </w:rPr>
              <w:t> </w:t>
            </w:r>
            <w:r>
              <w:rPr>
                <w:sz w:val="20"/>
              </w:rPr>
              <w:t>as</w:t>
            </w:r>
            <w:r>
              <w:rPr>
                <w:spacing w:val="-2"/>
                <w:sz w:val="20"/>
              </w:rPr>
              <w:t> </w:t>
            </w:r>
            <w:r>
              <w:rPr>
                <w:sz w:val="20"/>
              </w:rPr>
              <w:t>a</w:t>
            </w:r>
            <w:r>
              <w:rPr>
                <w:spacing w:val="-1"/>
                <w:sz w:val="20"/>
              </w:rPr>
              <w:t> </w:t>
            </w:r>
            <w:r>
              <w:rPr>
                <w:sz w:val="20"/>
              </w:rPr>
              <w:t>percentage</w:t>
            </w:r>
            <w:r>
              <w:rPr>
                <w:spacing w:val="-1"/>
                <w:sz w:val="20"/>
              </w:rPr>
              <w:t> </w:t>
            </w:r>
            <w:r>
              <w:rPr>
                <w:sz w:val="20"/>
              </w:rPr>
              <w:t>of </w:t>
            </w:r>
            <w:r>
              <w:rPr>
                <w:spacing w:val="-2"/>
                <w:sz w:val="20"/>
              </w:rPr>
              <w:t>revenue</w:t>
            </w:r>
          </w:p>
        </w:tc>
        <w:tc>
          <w:tcPr>
            <w:tcW w:w="1660" w:type="dxa"/>
            <w:tcBorders>
              <w:top w:val="double" w:sz="8" w:space="0" w:color="000000"/>
            </w:tcBorders>
            <w:shd w:val="clear" w:color="auto" w:fill="CCEDFF"/>
          </w:tcPr>
          <w:p>
            <w:pPr>
              <w:pStyle w:val="TableParagraph"/>
              <w:spacing w:line="202" w:lineRule="exact"/>
              <w:ind w:right="68"/>
              <w:jc w:val="right"/>
              <w:rPr>
                <w:sz w:val="20"/>
              </w:rPr>
            </w:pPr>
            <w:r>
              <w:rPr>
                <w:spacing w:val="-5"/>
                <w:sz w:val="20"/>
              </w:rPr>
              <w:t>94%</w:t>
            </w:r>
          </w:p>
        </w:tc>
        <w:tc>
          <w:tcPr>
            <w:tcW w:w="1680" w:type="dxa"/>
            <w:tcBorders>
              <w:top w:val="double" w:sz="8" w:space="0" w:color="000000"/>
            </w:tcBorders>
            <w:shd w:val="clear" w:color="auto" w:fill="CCEDFF"/>
          </w:tcPr>
          <w:p>
            <w:pPr>
              <w:pStyle w:val="TableParagraph"/>
              <w:spacing w:line="202" w:lineRule="exact"/>
              <w:ind w:right="68"/>
              <w:jc w:val="right"/>
              <w:rPr>
                <w:sz w:val="20"/>
              </w:rPr>
            </w:pPr>
            <w:r>
              <w:rPr>
                <w:spacing w:val="-5"/>
                <w:sz w:val="20"/>
              </w:rPr>
              <w:t>67%</w:t>
            </w:r>
          </w:p>
        </w:tc>
        <w:tc>
          <w:tcPr>
            <w:tcW w:w="1680" w:type="dxa"/>
            <w:tcBorders>
              <w:top w:val="double" w:sz="8" w:space="0" w:color="000000"/>
            </w:tcBorders>
            <w:shd w:val="clear" w:color="auto" w:fill="CCEDFF"/>
          </w:tcPr>
          <w:p>
            <w:pPr>
              <w:pStyle w:val="TableParagraph"/>
              <w:spacing w:line="202" w:lineRule="exact"/>
              <w:ind w:right="68"/>
              <w:jc w:val="right"/>
              <w:rPr>
                <w:sz w:val="20"/>
              </w:rPr>
            </w:pPr>
            <w:r>
              <w:rPr>
                <w:spacing w:val="-5"/>
                <w:sz w:val="20"/>
              </w:rPr>
              <w:t>96%</w:t>
            </w:r>
          </w:p>
        </w:tc>
        <w:tc>
          <w:tcPr>
            <w:tcW w:w="1620" w:type="dxa"/>
            <w:tcBorders>
              <w:top w:val="double" w:sz="8" w:space="0" w:color="000000"/>
            </w:tcBorders>
            <w:shd w:val="clear" w:color="auto" w:fill="CCEDFF"/>
          </w:tcPr>
          <w:p>
            <w:pPr>
              <w:pStyle w:val="TableParagraph"/>
              <w:spacing w:line="202" w:lineRule="exact"/>
              <w:ind w:right="8"/>
              <w:jc w:val="right"/>
              <w:rPr>
                <w:sz w:val="20"/>
              </w:rPr>
            </w:pPr>
            <w:r>
              <w:rPr>
                <w:spacing w:val="-5"/>
                <w:sz w:val="20"/>
              </w:rPr>
              <w:t>86%</w:t>
            </w:r>
          </w:p>
        </w:tc>
      </w:tr>
      <w:tr>
        <w:trPr>
          <w:trHeight w:val="280" w:hRule="atLeast"/>
        </w:trPr>
        <w:tc>
          <w:tcPr>
            <w:tcW w:w="3600" w:type="dxa"/>
          </w:tcPr>
          <w:p>
            <w:pPr>
              <w:pStyle w:val="TableParagraph"/>
              <w:spacing w:line="229" w:lineRule="exact"/>
              <w:ind w:left="50"/>
              <w:rPr>
                <w:b/>
                <w:sz w:val="20"/>
              </w:rPr>
            </w:pPr>
            <w:r>
              <w:rPr>
                <w:b/>
                <w:sz w:val="20"/>
              </w:rPr>
              <w:t>Fiscal </w:t>
            </w:r>
            <w:r>
              <w:rPr>
                <w:b/>
                <w:spacing w:val="-4"/>
                <w:sz w:val="20"/>
              </w:rPr>
              <w:t>2015</w:t>
            </w:r>
          </w:p>
        </w:tc>
        <w:tc>
          <w:tcPr>
            <w:tcW w:w="1660" w:type="dxa"/>
          </w:tcPr>
          <w:p>
            <w:pPr>
              <w:pStyle w:val="TableParagraph"/>
              <w:rPr>
                <w:sz w:val="18"/>
              </w:rPr>
            </w:pPr>
          </w:p>
        </w:tc>
        <w:tc>
          <w:tcPr>
            <w:tcW w:w="1680" w:type="dxa"/>
          </w:tcPr>
          <w:p>
            <w:pPr>
              <w:pStyle w:val="TableParagraph"/>
              <w:rPr>
                <w:sz w:val="18"/>
              </w:rPr>
            </w:pPr>
          </w:p>
        </w:tc>
        <w:tc>
          <w:tcPr>
            <w:tcW w:w="1680" w:type="dxa"/>
          </w:tcPr>
          <w:p>
            <w:pPr>
              <w:pStyle w:val="TableParagraph"/>
              <w:rPr>
                <w:sz w:val="18"/>
              </w:rPr>
            </w:pPr>
          </w:p>
        </w:tc>
        <w:tc>
          <w:tcPr>
            <w:tcW w:w="1620" w:type="dxa"/>
          </w:tcPr>
          <w:p>
            <w:pPr>
              <w:pStyle w:val="TableParagraph"/>
              <w:rPr>
                <w:sz w:val="18"/>
              </w:rPr>
            </w:pPr>
          </w:p>
        </w:tc>
      </w:tr>
      <w:tr>
        <w:trPr>
          <w:trHeight w:val="280" w:hRule="atLeast"/>
        </w:trPr>
        <w:tc>
          <w:tcPr>
            <w:tcW w:w="3600" w:type="dxa"/>
            <w:shd w:val="clear" w:color="auto" w:fill="CCEDFF"/>
          </w:tcPr>
          <w:p>
            <w:pPr>
              <w:pStyle w:val="TableParagraph"/>
              <w:spacing w:before="2"/>
              <w:ind w:left="50"/>
              <w:rPr>
                <w:sz w:val="20"/>
              </w:rPr>
            </w:pPr>
            <w:r>
              <w:rPr>
                <w:spacing w:val="-2"/>
                <w:sz w:val="20"/>
              </w:rPr>
              <w:t>Revenue</w:t>
            </w:r>
          </w:p>
        </w:tc>
        <w:tc>
          <w:tcPr>
            <w:tcW w:w="1660" w:type="dxa"/>
            <w:shd w:val="clear" w:color="auto" w:fill="CCEDFF"/>
          </w:tcPr>
          <w:p>
            <w:pPr>
              <w:pStyle w:val="TableParagraph"/>
              <w:tabs>
                <w:tab w:pos="622" w:val="left" w:leader="none"/>
              </w:tabs>
              <w:spacing w:before="2"/>
              <w:ind w:left="50"/>
              <w:rPr>
                <w:sz w:val="20"/>
              </w:rPr>
            </w:pPr>
            <w:r>
              <w:rPr>
                <w:spacing w:val="-10"/>
                <w:sz w:val="20"/>
              </w:rPr>
              <w:t>$</w:t>
            </w:r>
            <w:r>
              <w:rPr>
                <w:sz w:val="20"/>
              </w:rPr>
              <w:tab/>
            </w:r>
            <w:r>
              <w:rPr>
                <w:spacing w:val="-2"/>
                <w:sz w:val="20"/>
              </w:rPr>
              <w:t>3,095,160</w:t>
            </w:r>
          </w:p>
        </w:tc>
        <w:tc>
          <w:tcPr>
            <w:tcW w:w="1680" w:type="dxa"/>
            <w:shd w:val="clear" w:color="auto" w:fill="CCEDFF"/>
          </w:tcPr>
          <w:p>
            <w:pPr>
              <w:pStyle w:val="TableParagraph"/>
              <w:tabs>
                <w:tab w:pos="642" w:val="left" w:leader="none"/>
              </w:tabs>
              <w:spacing w:before="2"/>
              <w:ind w:left="70"/>
              <w:rPr>
                <w:sz w:val="20"/>
              </w:rPr>
            </w:pPr>
            <w:r>
              <w:rPr>
                <w:spacing w:val="-10"/>
                <w:sz w:val="20"/>
              </w:rPr>
              <w:t>$</w:t>
            </w:r>
            <w:r>
              <w:rPr>
                <w:sz w:val="20"/>
              </w:rPr>
              <w:tab/>
            </w:r>
            <w:r>
              <w:rPr>
                <w:spacing w:val="-2"/>
                <w:sz w:val="20"/>
              </w:rPr>
              <w:t>1,508,858</w:t>
            </w:r>
          </w:p>
        </w:tc>
        <w:tc>
          <w:tcPr>
            <w:tcW w:w="1680" w:type="dxa"/>
            <w:shd w:val="clear" w:color="auto" w:fill="CCEDFF"/>
          </w:tcPr>
          <w:p>
            <w:pPr>
              <w:pStyle w:val="TableParagraph"/>
              <w:tabs>
                <w:tab w:pos="792" w:val="left" w:leader="none"/>
              </w:tabs>
              <w:spacing w:before="2"/>
              <w:ind w:left="70"/>
              <w:rPr>
                <w:sz w:val="20"/>
              </w:rPr>
            </w:pPr>
            <w:r>
              <w:rPr>
                <w:spacing w:val="-10"/>
                <w:sz w:val="20"/>
              </w:rPr>
              <w:t>$</w:t>
            </w:r>
            <w:r>
              <w:rPr>
                <w:sz w:val="20"/>
              </w:rPr>
              <w:tab/>
            </w:r>
            <w:r>
              <w:rPr>
                <w:spacing w:val="-2"/>
                <w:sz w:val="20"/>
              </w:rPr>
              <w:t>191,493</w:t>
            </w:r>
          </w:p>
        </w:tc>
        <w:tc>
          <w:tcPr>
            <w:tcW w:w="1620" w:type="dxa"/>
            <w:shd w:val="clear" w:color="auto" w:fill="CCEDFF"/>
          </w:tcPr>
          <w:p>
            <w:pPr>
              <w:pStyle w:val="TableParagraph"/>
              <w:tabs>
                <w:tab w:pos="642" w:val="left" w:leader="none"/>
              </w:tabs>
              <w:spacing w:before="2"/>
              <w:ind w:left="70"/>
              <w:rPr>
                <w:sz w:val="20"/>
              </w:rPr>
            </w:pPr>
            <w:r>
              <w:rPr>
                <w:spacing w:val="-10"/>
                <w:sz w:val="20"/>
              </w:rPr>
              <w:t>$</w:t>
            </w:r>
            <w:r>
              <w:rPr>
                <w:sz w:val="20"/>
              </w:rPr>
              <w:tab/>
            </w:r>
            <w:r>
              <w:rPr>
                <w:spacing w:val="-2"/>
                <w:sz w:val="20"/>
              </w:rPr>
              <w:t>4,795,511</w:t>
            </w:r>
          </w:p>
        </w:tc>
      </w:tr>
      <w:tr>
        <w:trPr>
          <w:trHeight w:val="270" w:hRule="atLeast"/>
        </w:trPr>
        <w:tc>
          <w:tcPr>
            <w:tcW w:w="3600" w:type="dxa"/>
          </w:tcPr>
          <w:p>
            <w:pPr>
              <w:pStyle w:val="TableParagraph"/>
              <w:spacing w:before="2"/>
              <w:ind w:left="50"/>
              <w:rPr>
                <w:sz w:val="20"/>
              </w:rPr>
            </w:pPr>
            <w:r>
              <w:rPr>
                <w:sz w:val="20"/>
              </w:rPr>
              <w:t>Cost of </w:t>
            </w:r>
            <w:r>
              <w:rPr>
                <w:spacing w:val="-2"/>
                <w:sz w:val="20"/>
              </w:rPr>
              <w:t>revenue</w:t>
            </w:r>
          </w:p>
        </w:tc>
        <w:tc>
          <w:tcPr>
            <w:tcW w:w="1660" w:type="dxa"/>
            <w:tcBorders>
              <w:bottom w:val="single" w:sz="8" w:space="0" w:color="000000"/>
            </w:tcBorders>
          </w:tcPr>
          <w:p>
            <w:pPr>
              <w:pStyle w:val="TableParagraph"/>
              <w:spacing w:before="2"/>
              <w:ind w:left="772"/>
              <w:rPr>
                <w:sz w:val="20"/>
              </w:rPr>
            </w:pPr>
            <w:r>
              <w:rPr>
                <w:spacing w:val="-2"/>
                <w:sz w:val="20"/>
              </w:rPr>
              <w:t>210,587</w:t>
            </w:r>
          </w:p>
        </w:tc>
        <w:tc>
          <w:tcPr>
            <w:tcW w:w="1680" w:type="dxa"/>
            <w:tcBorders>
              <w:bottom w:val="single" w:sz="8" w:space="0" w:color="000000"/>
            </w:tcBorders>
          </w:tcPr>
          <w:p>
            <w:pPr>
              <w:pStyle w:val="TableParagraph"/>
              <w:spacing w:before="2"/>
              <w:ind w:left="792"/>
              <w:rPr>
                <w:sz w:val="20"/>
              </w:rPr>
            </w:pPr>
            <w:r>
              <w:rPr>
                <w:spacing w:val="-2"/>
                <w:sz w:val="20"/>
              </w:rPr>
              <w:t>525,309</w:t>
            </w:r>
          </w:p>
        </w:tc>
        <w:tc>
          <w:tcPr>
            <w:tcW w:w="1680" w:type="dxa"/>
            <w:tcBorders>
              <w:bottom w:val="single" w:sz="8" w:space="0" w:color="000000"/>
            </w:tcBorders>
          </w:tcPr>
          <w:p>
            <w:pPr>
              <w:pStyle w:val="TableParagraph"/>
              <w:spacing w:before="2"/>
              <w:ind w:left="992"/>
              <w:rPr>
                <w:sz w:val="20"/>
              </w:rPr>
            </w:pPr>
            <w:r>
              <w:rPr>
                <w:spacing w:val="-2"/>
                <w:sz w:val="20"/>
              </w:rPr>
              <w:t>8,421</w:t>
            </w:r>
          </w:p>
        </w:tc>
        <w:tc>
          <w:tcPr>
            <w:tcW w:w="1620" w:type="dxa"/>
            <w:tcBorders>
              <w:bottom w:val="single" w:sz="8" w:space="0" w:color="000000"/>
            </w:tcBorders>
          </w:tcPr>
          <w:p>
            <w:pPr>
              <w:pStyle w:val="TableParagraph"/>
              <w:spacing w:before="2"/>
              <w:ind w:left="792"/>
              <w:rPr>
                <w:sz w:val="20"/>
              </w:rPr>
            </w:pPr>
            <w:r>
              <w:rPr>
                <w:spacing w:val="-2"/>
                <w:sz w:val="20"/>
              </w:rPr>
              <w:t>744,317</w:t>
            </w:r>
          </w:p>
        </w:tc>
      </w:tr>
      <w:tr>
        <w:trPr>
          <w:trHeight w:val="240" w:hRule="atLeast"/>
        </w:trPr>
        <w:tc>
          <w:tcPr>
            <w:tcW w:w="3600" w:type="dxa"/>
            <w:shd w:val="clear" w:color="auto" w:fill="CCEDFF"/>
          </w:tcPr>
          <w:p>
            <w:pPr>
              <w:pStyle w:val="TableParagraph"/>
              <w:spacing w:line="220" w:lineRule="exact"/>
              <w:ind w:left="50"/>
              <w:rPr>
                <w:sz w:val="20"/>
              </w:rPr>
            </w:pPr>
            <w:r>
              <w:rPr>
                <w:sz w:val="20"/>
              </w:rPr>
              <w:t>Gross</w:t>
            </w:r>
            <w:r>
              <w:rPr>
                <w:spacing w:val="-5"/>
                <w:sz w:val="20"/>
              </w:rPr>
              <w:t> </w:t>
            </w:r>
            <w:r>
              <w:rPr>
                <w:spacing w:val="-2"/>
                <w:sz w:val="20"/>
              </w:rPr>
              <w:t>profit</w:t>
            </w:r>
          </w:p>
        </w:tc>
        <w:tc>
          <w:tcPr>
            <w:tcW w:w="1660" w:type="dxa"/>
            <w:tcBorders>
              <w:top w:val="single" w:sz="8" w:space="0" w:color="000000"/>
              <w:bottom w:val="double" w:sz="8" w:space="0" w:color="000000"/>
            </w:tcBorders>
            <w:shd w:val="clear" w:color="auto" w:fill="CCEDFF"/>
          </w:tcPr>
          <w:p>
            <w:pPr>
              <w:pStyle w:val="TableParagraph"/>
              <w:tabs>
                <w:tab w:pos="622" w:val="left" w:leader="none"/>
              </w:tabs>
              <w:spacing w:line="220" w:lineRule="exact"/>
              <w:ind w:left="50"/>
              <w:rPr>
                <w:sz w:val="20"/>
              </w:rPr>
            </w:pPr>
            <w:r>
              <w:rPr>
                <w:spacing w:val="-10"/>
                <w:sz w:val="20"/>
              </w:rPr>
              <w:t>$</w:t>
            </w:r>
            <w:r>
              <w:rPr>
                <w:sz w:val="20"/>
              </w:rPr>
              <w:tab/>
            </w:r>
            <w:r>
              <w:rPr>
                <w:spacing w:val="-2"/>
                <w:sz w:val="20"/>
              </w:rPr>
              <w:t>2,884,573</w:t>
            </w:r>
          </w:p>
        </w:tc>
        <w:tc>
          <w:tcPr>
            <w:tcW w:w="1680" w:type="dxa"/>
            <w:tcBorders>
              <w:top w:val="single" w:sz="8" w:space="0" w:color="000000"/>
              <w:bottom w:val="double" w:sz="8" w:space="0" w:color="000000"/>
            </w:tcBorders>
            <w:shd w:val="clear" w:color="auto" w:fill="CCEDFF"/>
          </w:tcPr>
          <w:p>
            <w:pPr>
              <w:pStyle w:val="TableParagraph"/>
              <w:tabs>
                <w:tab w:pos="792" w:val="left" w:leader="none"/>
              </w:tabs>
              <w:spacing w:line="220" w:lineRule="exact"/>
              <w:ind w:left="70"/>
              <w:rPr>
                <w:sz w:val="20"/>
              </w:rPr>
            </w:pPr>
            <w:r>
              <w:rPr>
                <w:spacing w:val="-10"/>
                <w:sz w:val="20"/>
              </w:rPr>
              <w:t>$</w:t>
            </w:r>
            <w:r>
              <w:rPr>
                <w:sz w:val="20"/>
              </w:rPr>
              <w:tab/>
            </w:r>
            <w:r>
              <w:rPr>
                <w:spacing w:val="-2"/>
                <w:sz w:val="20"/>
              </w:rPr>
              <w:t>983,549</w:t>
            </w:r>
          </w:p>
        </w:tc>
        <w:tc>
          <w:tcPr>
            <w:tcW w:w="1680" w:type="dxa"/>
            <w:tcBorders>
              <w:top w:val="single" w:sz="8" w:space="0" w:color="000000"/>
              <w:bottom w:val="double" w:sz="8" w:space="0" w:color="000000"/>
            </w:tcBorders>
            <w:shd w:val="clear" w:color="auto" w:fill="CCEDFF"/>
          </w:tcPr>
          <w:p>
            <w:pPr>
              <w:pStyle w:val="TableParagraph"/>
              <w:tabs>
                <w:tab w:pos="792" w:val="left" w:leader="none"/>
              </w:tabs>
              <w:spacing w:line="220" w:lineRule="exact"/>
              <w:ind w:left="70"/>
              <w:rPr>
                <w:sz w:val="20"/>
              </w:rPr>
            </w:pPr>
            <w:r>
              <w:rPr>
                <w:spacing w:val="-10"/>
                <w:sz w:val="20"/>
              </w:rPr>
              <w:t>$</w:t>
            </w:r>
            <w:r>
              <w:rPr>
                <w:sz w:val="20"/>
              </w:rPr>
              <w:tab/>
            </w:r>
            <w:r>
              <w:rPr>
                <w:spacing w:val="-2"/>
                <w:sz w:val="20"/>
              </w:rPr>
              <w:t>183,072</w:t>
            </w:r>
          </w:p>
        </w:tc>
        <w:tc>
          <w:tcPr>
            <w:tcW w:w="1620" w:type="dxa"/>
            <w:tcBorders>
              <w:top w:val="single" w:sz="8" w:space="0" w:color="000000"/>
              <w:bottom w:val="double" w:sz="8" w:space="0" w:color="000000"/>
            </w:tcBorders>
            <w:shd w:val="clear" w:color="auto" w:fill="CCEDFF"/>
          </w:tcPr>
          <w:p>
            <w:pPr>
              <w:pStyle w:val="TableParagraph"/>
              <w:tabs>
                <w:tab w:pos="642" w:val="left" w:leader="none"/>
              </w:tabs>
              <w:spacing w:line="220" w:lineRule="exact"/>
              <w:ind w:left="70"/>
              <w:rPr>
                <w:sz w:val="20"/>
              </w:rPr>
            </w:pPr>
            <w:r>
              <w:rPr>
                <w:spacing w:val="-10"/>
                <w:sz w:val="20"/>
              </w:rPr>
              <w:t>$</w:t>
            </w:r>
            <w:r>
              <w:rPr>
                <w:sz w:val="20"/>
              </w:rPr>
              <w:tab/>
            </w:r>
            <w:r>
              <w:rPr>
                <w:spacing w:val="-2"/>
                <w:sz w:val="20"/>
              </w:rPr>
              <w:t>4,051,194</w:t>
            </w:r>
          </w:p>
        </w:tc>
      </w:tr>
      <w:tr>
        <w:trPr>
          <w:trHeight w:val="201" w:hRule="atLeast"/>
        </w:trPr>
        <w:tc>
          <w:tcPr>
            <w:tcW w:w="3600" w:type="dxa"/>
          </w:tcPr>
          <w:p>
            <w:pPr>
              <w:pStyle w:val="TableParagraph"/>
              <w:spacing w:line="182" w:lineRule="exact"/>
              <w:ind w:left="50"/>
              <w:rPr>
                <w:sz w:val="20"/>
              </w:rPr>
            </w:pPr>
            <w:r>
              <w:rPr>
                <w:sz w:val="20"/>
              </w:rPr>
              <w:t>Gross</w:t>
            </w:r>
            <w:r>
              <w:rPr>
                <w:spacing w:val="-2"/>
                <w:sz w:val="20"/>
              </w:rPr>
              <w:t> </w:t>
            </w:r>
            <w:r>
              <w:rPr>
                <w:sz w:val="20"/>
              </w:rPr>
              <w:t>profit</w:t>
            </w:r>
            <w:r>
              <w:rPr>
                <w:spacing w:val="-1"/>
                <w:sz w:val="20"/>
              </w:rPr>
              <w:t> </w:t>
            </w:r>
            <w:r>
              <w:rPr>
                <w:sz w:val="20"/>
              </w:rPr>
              <w:t>as</w:t>
            </w:r>
            <w:r>
              <w:rPr>
                <w:spacing w:val="-2"/>
                <w:sz w:val="20"/>
              </w:rPr>
              <w:t> </w:t>
            </w:r>
            <w:r>
              <w:rPr>
                <w:sz w:val="20"/>
              </w:rPr>
              <w:t>a</w:t>
            </w:r>
            <w:r>
              <w:rPr>
                <w:spacing w:val="-1"/>
                <w:sz w:val="20"/>
              </w:rPr>
              <w:t> </w:t>
            </w:r>
            <w:r>
              <w:rPr>
                <w:sz w:val="20"/>
              </w:rPr>
              <w:t>percentage</w:t>
            </w:r>
            <w:r>
              <w:rPr>
                <w:spacing w:val="-1"/>
                <w:sz w:val="20"/>
              </w:rPr>
              <w:t> </w:t>
            </w:r>
            <w:r>
              <w:rPr>
                <w:sz w:val="20"/>
              </w:rPr>
              <w:t>of </w:t>
            </w:r>
            <w:r>
              <w:rPr>
                <w:spacing w:val="-2"/>
                <w:sz w:val="20"/>
              </w:rPr>
              <w:t>revenue</w:t>
            </w:r>
          </w:p>
        </w:tc>
        <w:tc>
          <w:tcPr>
            <w:tcW w:w="1660" w:type="dxa"/>
            <w:tcBorders>
              <w:top w:val="double" w:sz="8" w:space="0" w:color="000000"/>
            </w:tcBorders>
          </w:tcPr>
          <w:p>
            <w:pPr>
              <w:pStyle w:val="TableParagraph"/>
              <w:spacing w:line="182" w:lineRule="exact"/>
              <w:ind w:right="68"/>
              <w:jc w:val="right"/>
              <w:rPr>
                <w:sz w:val="20"/>
              </w:rPr>
            </w:pPr>
            <w:r>
              <w:rPr>
                <w:spacing w:val="-5"/>
                <w:sz w:val="20"/>
              </w:rPr>
              <w:t>93%</w:t>
            </w:r>
          </w:p>
        </w:tc>
        <w:tc>
          <w:tcPr>
            <w:tcW w:w="1680" w:type="dxa"/>
            <w:tcBorders>
              <w:top w:val="double" w:sz="8" w:space="0" w:color="000000"/>
            </w:tcBorders>
          </w:tcPr>
          <w:p>
            <w:pPr>
              <w:pStyle w:val="TableParagraph"/>
              <w:spacing w:line="182" w:lineRule="exact"/>
              <w:ind w:right="68"/>
              <w:jc w:val="right"/>
              <w:rPr>
                <w:sz w:val="20"/>
              </w:rPr>
            </w:pPr>
            <w:r>
              <w:rPr>
                <w:spacing w:val="-5"/>
                <w:sz w:val="20"/>
              </w:rPr>
              <w:t>65%</w:t>
            </w:r>
          </w:p>
        </w:tc>
        <w:tc>
          <w:tcPr>
            <w:tcW w:w="1680" w:type="dxa"/>
            <w:tcBorders>
              <w:top w:val="double" w:sz="8" w:space="0" w:color="000000"/>
            </w:tcBorders>
          </w:tcPr>
          <w:p>
            <w:pPr>
              <w:pStyle w:val="TableParagraph"/>
              <w:spacing w:line="182" w:lineRule="exact"/>
              <w:ind w:right="68"/>
              <w:jc w:val="right"/>
              <w:rPr>
                <w:sz w:val="20"/>
              </w:rPr>
            </w:pPr>
            <w:r>
              <w:rPr>
                <w:spacing w:val="-5"/>
                <w:sz w:val="20"/>
              </w:rPr>
              <w:t>96%</w:t>
            </w:r>
          </w:p>
        </w:tc>
        <w:tc>
          <w:tcPr>
            <w:tcW w:w="1620" w:type="dxa"/>
            <w:tcBorders>
              <w:top w:val="double" w:sz="8" w:space="0" w:color="000000"/>
            </w:tcBorders>
          </w:tcPr>
          <w:p>
            <w:pPr>
              <w:pStyle w:val="TableParagraph"/>
              <w:spacing w:line="182" w:lineRule="exact"/>
              <w:ind w:right="8"/>
              <w:jc w:val="right"/>
              <w:rPr>
                <w:sz w:val="20"/>
              </w:rPr>
            </w:pPr>
            <w:r>
              <w:rPr>
                <w:spacing w:val="-5"/>
                <w:sz w:val="20"/>
              </w:rPr>
              <w:t>84%</w:t>
            </w:r>
          </w:p>
        </w:tc>
      </w:tr>
    </w:tbl>
    <w:p>
      <w:pPr>
        <w:pStyle w:val="BodyText"/>
        <w:spacing w:before="102"/>
      </w:pPr>
    </w:p>
    <w:p>
      <w:pPr>
        <w:pStyle w:val="BodyText"/>
        <w:spacing w:line="249" w:lineRule="auto"/>
        <w:ind w:left="220" w:right="257" w:firstLine="540"/>
        <w:jc w:val="both"/>
      </w:pPr>
      <w:r>
        <w:rPr/>
        <w:t>Effective in the first quarter of fiscal 2018, we plan to move our legacy enterprise offerings</w:t>
      </w:r>
      <w:r>
        <w:rPr>
          <w:i/>
        </w:rPr>
        <w:t>—</w:t>
      </w:r>
      <w:r>
        <w:rPr/>
        <w:t>Adobe Connect web conferencing platform and</w:t>
      </w:r>
      <w:r>
        <w:rPr>
          <w:spacing w:val="-9"/>
        </w:rPr>
        <w:t> </w:t>
      </w:r>
      <w:r>
        <w:rPr/>
        <w:t>Adobe LiveCycle, an enterprise document and forms platform, from our Digital Marketing segment into</w:t>
      </w:r>
      <w:r>
        <w:rPr>
          <w:spacing w:val="-11"/>
        </w:rPr>
        <w:t> </w:t>
      </w:r>
      <w:r>
        <w:rPr/>
        <w:t>Print</w:t>
      </w:r>
      <w:r>
        <w:rPr>
          <w:spacing w:val="-10"/>
        </w:rPr>
        <w:t> </w:t>
      </w:r>
      <w:r>
        <w:rPr/>
        <w:t>and</w:t>
      </w:r>
      <w:r>
        <w:rPr>
          <w:spacing w:val="-10"/>
        </w:rPr>
        <w:t> </w:t>
      </w:r>
      <w:r>
        <w:rPr/>
        <w:t>Publishing,</w:t>
      </w:r>
      <w:r>
        <w:rPr>
          <w:spacing w:val="-10"/>
        </w:rPr>
        <w:t> </w:t>
      </w:r>
      <w:r>
        <w:rPr/>
        <w:t>in</w:t>
      </w:r>
      <w:r>
        <w:rPr>
          <w:spacing w:val="-10"/>
        </w:rPr>
        <w:t> </w:t>
      </w:r>
      <w:r>
        <w:rPr/>
        <w:t>order</w:t>
      </w:r>
      <w:r>
        <w:rPr>
          <w:spacing w:val="-10"/>
        </w:rPr>
        <w:t> </w:t>
      </w:r>
      <w:r>
        <w:rPr/>
        <w:t>to</w:t>
      </w:r>
      <w:r>
        <w:rPr>
          <w:spacing w:val="-10"/>
        </w:rPr>
        <w:t> </w:t>
      </w:r>
      <w:r>
        <w:rPr/>
        <w:t>more</w:t>
      </w:r>
      <w:r>
        <w:rPr>
          <w:spacing w:val="-10"/>
        </w:rPr>
        <w:t> </w:t>
      </w:r>
      <w:r>
        <w:rPr/>
        <w:t>closely</w:t>
      </w:r>
      <w:r>
        <w:rPr>
          <w:spacing w:val="-10"/>
        </w:rPr>
        <w:t> </w:t>
      </w:r>
      <w:r>
        <w:rPr/>
        <w:t>align</w:t>
      </w:r>
      <w:r>
        <w:rPr>
          <w:spacing w:val="-10"/>
        </w:rPr>
        <w:t> </w:t>
      </w:r>
      <w:r>
        <w:rPr/>
        <w:t>our</w:t>
      </w:r>
      <w:r>
        <w:rPr>
          <w:spacing w:val="-10"/>
        </w:rPr>
        <w:t> </w:t>
      </w:r>
      <w:r>
        <w:rPr/>
        <w:t>Digital</w:t>
      </w:r>
      <w:r>
        <w:rPr>
          <w:spacing w:val="-10"/>
        </w:rPr>
        <w:t> </w:t>
      </w:r>
      <w:r>
        <w:rPr/>
        <w:t>Marketing</w:t>
      </w:r>
      <w:r>
        <w:rPr>
          <w:spacing w:val="-10"/>
        </w:rPr>
        <w:t> </w:t>
      </w:r>
      <w:r>
        <w:rPr/>
        <w:t>business</w:t>
      </w:r>
      <w:r>
        <w:rPr>
          <w:spacing w:val="-10"/>
        </w:rPr>
        <w:t> </w:t>
      </w:r>
      <w:r>
        <w:rPr/>
        <w:t>with</w:t>
      </w:r>
      <w:r>
        <w:rPr>
          <w:spacing w:val="-10"/>
        </w:rPr>
        <w:t> </w:t>
      </w:r>
      <w:r>
        <w:rPr/>
        <w:t>the</w:t>
      </w:r>
      <w:r>
        <w:rPr>
          <w:spacing w:val="-10"/>
        </w:rPr>
        <w:t> </w:t>
      </w:r>
      <w:r>
        <w:rPr/>
        <w:t>strategic</w:t>
      </w:r>
      <w:r>
        <w:rPr>
          <w:spacing w:val="-10"/>
        </w:rPr>
        <w:t> </w:t>
      </w:r>
      <w:r>
        <w:rPr/>
        <w:t>growth</w:t>
      </w:r>
      <w:r>
        <w:rPr>
          <w:spacing w:val="-10"/>
        </w:rPr>
        <w:t> </w:t>
      </w:r>
      <w:r>
        <w:rPr/>
        <w:t>opportunity.</w:t>
      </w:r>
      <w:r>
        <w:rPr>
          <w:spacing w:val="-13"/>
        </w:rPr>
        <w:t> </w:t>
      </w:r>
      <w:r>
        <w:rPr/>
        <w:t>We will adjust our reportable segments at the beginning of fiscal 2018 to reflect these changes as we enter into the new fiscal year.</w:t>
      </w:r>
    </w:p>
    <w:p>
      <w:pPr>
        <w:pStyle w:val="BodyText"/>
        <w:spacing w:line="249" w:lineRule="auto" w:before="183"/>
        <w:ind w:left="220" w:right="257" w:firstLine="540"/>
        <w:jc w:val="both"/>
      </w:pPr>
      <w:r>
        <w:rPr/>
        <w:t>The</w:t>
      </w:r>
      <w:r>
        <w:rPr>
          <w:spacing w:val="-3"/>
        </w:rPr>
        <w:t> </w:t>
      </w:r>
      <w:r>
        <w:rPr/>
        <w:t>tables</w:t>
      </w:r>
      <w:r>
        <w:rPr>
          <w:spacing w:val="-2"/>
        </w:rPr>
        <w:t> </w:t>
      </w:r>
      <w:r>
        <w:rPr/>
        <w:t>below</w:t>
      </w:r>
      <w:r>
        <w:rPr>
          <w:spacing w:val="-3"/>
        </w:rPr>
        <w:t> </w:t>
      </w:r>
      <w:r>
        <w:rPr/>
        <w:t>list</w:t>
      </w:r>
      <w:r>
        <w:rPr>
          <w:spacing w:val="-3"/>
        </w:rPr>
        <w:t> </w:t>
      </w:r>
      <w:r>
        <w:rPr/>
        <w:t>our</w:t>
      </w:r>
      <w:r>
        <w:rPr>
          <w:spacing w:val="-2"/>
        </w:rPr>
        <w:t> </w:t>
      </w:r>
      <w:r>
        <w:rPr/>
        <w:t>revenue</w:t>
      </w:r>
      <w:r>
        <w:rPr>
          <w:spacing w:val="-3"/>
        </w:rPr>
        <w:t> </w:t>
      </w:r>
      <w:r>
        <w:rPr/>
        <w:t>and</w:t>
      </w:r>
      <w:r>
        <w:rPr>
          <w:spacing w:val="-3"/>
        </w:rPr>
        <w:t> </w:t>
      </w:r>
      <w:r>
        <w:rPr/>
        <w:t>property</w:t>
      </w:r>
      <w:r>
        <w:rPr>
          <w:spacing w:val="-3"/>
        </w:rPr>
        <w:t> </w:t>
      </w:r>
      <w:r>
        <w:rPr/>
        <w:t>and</w:t>
      </w:r>
      <w:r>
        <w:rPr>
          <w:spacing w:val="-3"/>
        </w:rPr>
        <w:t> </w:t>
      </w:r>
      <w:r>
        <w:rPr/>
        <w:t>equipment,</w:t>
      </w:r>
      <w:r>
        <w:rPr>
          <w:spacing w:val="-3"/>
        </w:rPr>
        <w:t> </w:t>
      </w:r>
      <w:r>
        <w:rPr/>
        <w:t>net,</w:t>
      </w:r>
      <w:r>
        <w:rPr>
          <w:spacing w:val="-3"/>
        </w:rPr>
        <w:t> </w:t>
      </w:r>
      <w:r>
        <w:rPr/>
        <w:t>by</w:t>
      </w:r>
      <w:r>
        <w:rPr>
          <w:spacing w:val="-2"/>
        </w:rPr>
        <w:t> </w:t>
      </w:r>
      <w:r>
        <w:rPr/>
        <w:t>geographic</w:t>
      </w:r>
      <w:r>
        <w:rPr>
          <w:spacing w:val="-3"/>
        </w:rPr>
        <w:t> </w:t>
      </w:r>
      <w:r>
        <w:rPr/>
        <w:t>area</w:t>
      </w:r>
      <w:r>
        <w:rPr>
          <w:spacing w:val="-3"/>
        </w:rPr>
        <w:t> </w:t>
      </w:r>
      <w:r>
        <w:rPr/>
        <w:t>for</w:t>
      </w:r>
      <w:r>
        <w:rPr>
          <w:spacing w:val="-2"/>
        </w:rPr>
        <w:t> </w:t>
      </w:r>
      <w:r>
        <w:rPr/>
        <w:t>fiscal</w:t>
      </w:r>
      <w:r>
        <w:rPr>
          <w:spacing w:val="-3"/>
        </w:rPr>
        <w:t> </w:t>
      </w:r>
      <w:r>
        <w:rPr/>
        <w:t>2017,</w:t>
      </w:r>
      <w:r>
        <w:rPr>
          <w:spacing w:val="-3"/>
        </w:rPr>
        <w:t> </w:t>
      </w:r>
      <w:r>
        <w:rPr/>
        <w:t>2016</w:t>
      </w:r>
      <w:r>
        <w:rPr>
          <w:spacing w:val="-3"/>
        </w:rPr>
        <w:t> </w:t>
      </w:r>
      <w:r>
        <w:rPr/>
        <w:t>and</w:t>
      </w:r>
      <w:r>
        <w:rPr>
          <w:spacing w:val="-2"/>
        </w:rPr>
        <w:t> </w:t>
      </w:r>
      <w:r>
        <w:rPr/>
        <w:t>2015</w:t>
      </w:r>
      <w:r>
        <w:rPr>
          <w:spacing w:val="-3"/>
        </w:rPr>
        <w:t> </w:t>
      </w:r>
      <w:r>
        <w:rPr/>
        <w:t>(in thousands).</w:t>
      </w:r>
      <w:r>
        <w:rPr>
          <w:spacing w:val="-7"/>
        </w:rPr>
        <w:t> </w:t>
      </w:r>
      <w:r>
        <w:rPr/>
        <w:t>With</w:t>
      </w:r>
      <w:r>
        <w:rPr>
          <w:spacing w:val="-4"/>
        </w:rPr>
        <w:t> </w:t>
      </w:r>
      <w:r>
        <w:rPr/>
        <w:t>the</w:t>
      </w:r>
      <w:r>
        <w:rPr>
          <w:spacing w:val="-4"/>
        </w:rPr>
        <w:t> </w:t>
      </w:r>
      <w:r>
        <w:rPr/>
        <w:t>exception</w:t>
      </w:r>
      <w:r>
        <w:rPr>
          <w:spacing w:val="-4"/>
        </w:rPr>
        <w:t> </w:t>
      </w:r>
      <w:r>
        <w:rPr/>
        <w:t>of</w:t>
      </w:r>
      <w:r>
        <w:rPr>
          <w:spacing w:val="-4"/>
        </w:rPr>
        <w:t> </w:t>
      </w:r>
      <w:r>
        <w:rPr/>
        <w:t>property</w:t>
      </w:r>
      <w:r>
        <w:rPr>
          <w:spacing w:val="-4"/>
        </w:rPr>
        <w:t> </w:t>
      </w:r>
      <w:r>
        <w:rPr/>
        <w:t>and</w:t>
      </w:r>
      <w:r>
        <w:rPr>
          <w:spacing w:val="-4"/>
        </w:rPr>
        <w:t> </w:t>
      </w:r>
      <w:r>
        <w:rPr/>
        <w:t>equipment,</w:t>
      </w:r>
      <w:r>
        <w:rPr>
          <w:spacing w:val="-4"/>
        </w:rPr>
        <w:t> </w:t>
      </w:r>
      <w:r>
        <w:rPr/>
        <w:t>we</w:t>
      </w:r>
      <w:r>
        <w:rPr>
          <w:spacing w:val="-4"/>
        </w:rPr>
        <w:t> </w:t>
      </w:r>
      <w:r>
        <w:rPr/>
        <w:t>do</w:t>
      </w:r>
      <w:r>
        <w:rPr>
          <w:spacing w:val="-4"/>
        </w:rPr>
        <w:t> </w:t>
      </w:r>
      <w:r>
        <w:rPr/>
        <w:t>not</w:t>
      </w:r>
      <w:r>
        <w:rPr>
          <w:spacing w:val="-4"/>
        </w:rPr>
        <w:t> </w:t>
      </w:r>
      <w:r>
        <w:rPr/>
        <w:t>identify</w:t>
      </w:r>
      <w:r>
        <w:rPr>
          <w:spacing w:val="-4"/>
        </w:rPr>
        <w:t> </w:t>
      </w:r>
      <w:r>
        <w:rPr/>
        <w:t>or</w:t>
      </w:r>
      <w:r>
        <w:rPr>
          <w:spacing w:val="-4"/>
        </w:rPr>
        <w:t> </w:t>
      </w:r>
      <w:r>
        <w:rPr/>
        <w:t>allocate</w:t>
      </w:r>
      <w:r>
        <w:rPr>
          <w:spacing w:val="-4"/>
        </w:rPr>
        <w:t> </w:t>
      </w:r>
      <w:r>
        <w:rPr/>
        <w:t>our</w:t>
      </w:r>
      <w:r>
        <w:rPr>
          <w:spacing w:val="-4"/>
        </w:rPr>
        <w:t> </w:t>
      </w:r>
      <w:r>
        <w:rPr/>
        <w:t>assets</w:t>
      </w:r>
      <w:r>
        <w:rPr>
          <w:spacing w:val="-4"/>
        </w:rPr>
        <w:t> </w:t>
      </w:r>
      <w:r>
        <w:rPr/>
        <w:t>(including</w:t>
      </w:r>
      <w:r>
        <w:rPr>
          <w:spacing w:val="-4"/>
        </w:rPr>
        <w:t> </w:t>
      </w:r>
      <w:r>
        <w:rPr/>
        <w:t>long-lived</w:t>
      </w:r>
      <w:r>
        <w:rPr>
          <w:spacing w:val="-4"/>
        </w:rPr>
        <w:t> </w:t>
      </w:r>
      <w:r>
        <w:rPr/>
        <w:t>assets) by geographic area.</w:t>
      </w:r>
    </w:p>
    <w:p>
      <w:pPr>
        <w:pStyle w:val="BodyText"/>
        <w:spacing w:before="118"/>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0"/>
        <w:gridCol w:w="1627"/>
        <w:gridCol w:w="1680"/>
        <w:gridCol w:w="1653"/>
      </w:tblGrid>
      <w:tr>
        <w:trPr>
          <w:trHeight w:val="261" w:hRule="atLeast"/>
        </w:trPr>
        <w:tc>
          <w:tcPr>
            <w:tcW w:w="5280" w:type="dxa"/>
          </w:tcPr>
          <w:p>
            <w:pPr>
              <w:pStyle w:val="TableParagraph"/>
              <w:spacing w:line="221" w:lineRule="exact"/>
              <w:ind w:left="50"/>
              <w:rPr>
                <w:b/>
                <w:sz w:val="20"/>
              </w:rPr>
            </w:pPr>
            <w:r>
              <w:rPr>
                <w:b/>
                <w:spacing w:val="-2"/>
                <w:sz w:val="20"/>
              </w:rPr>
              <w:t>Revenue</w:t>
            </w:r>
          </w:p>
        </w:tc>
        <w:tc>
          <w:tcPr>
            <w:tcW w:w="1627" w:type="dxa"/>
            <w:tcBorders>
              <w:bottom w:val="single" w:sz="8" w:space="0" w:color="000000"/>
            </w:tcBorders>
          </w:tcPr>
          <w:p>
            <w:pPr>
              <w:pStyle w:val="TableParagraph"/>
              <w:spacing w:before="38"/>
              <w:ind w:right="46"/>
              <w:jc w:val="center"/>
              <w:rPr>
                <w:b/>
                <w:sz w:val="16"/>
              </w:rPr>
            </w:pPr>
            <w:r>
              <w:rPr>
                <w:b/>
                <w:spacing w:val="-4"/>
                <w:sz w:val="16"/>
              </w:rPr>
              <w:t>2017</w:t>
            </w:r>
          </w:p>
        </w:tc>
        <w:tc>
          <w:tcPr>
            <w:tcW w:w="1680" w:type="dxa"/>
            <w:tcBorders>
              <w:bottom w:val="single" w:sz="8" w:space="0" w:color="000000"/>
            </w:tcBorders>
          </w:tcPr>
          <w:p>
            <w:pPr>
              <w:pStyle w:val="TableParagraph"/>
              <w:spacing w:before="38"/>
              <w:ind w:left="6"/>
              <w:jc w:val="center"/>
              <w:rPr>
                <w:b/>
                <w:sz w:val="16"/>
              </w:rPr>
            </w:pPr>
            <w:r>
              <w:rPr>
                <w:b/>
                <w:spacing w:val="-4"/>
                <w:sz w:val="16"/>
              </w:rPr>
              <w:t>2016</w:t>
            </w:r>
          </w:p>
        </w:tc>
        <w:tc>
          <w:tcPr>
            <w:tcW w:w="1653" w:type="dxa"/>
            <w:tcBorders>
              <w:bottom w:val="single" w:sz="8" w:space="0" w:color="000000"/>
            </w:tcBorders>
          </w:tcPr>
          <w:p>
            <w:pPr>
              <w:pStyle w:val="TableParagraph"/>
              <w:spacing w:before="38"/>
              <w:ind w:left="33"/>
              <w:jc w:val="center"/>
              <w:rPr>
                <w:b/>
                <w:sz w:val="16"/>
              </w:rPr>
            </w:pPr>
            <w:r>
              <w:rPr>
                <w:b/>
                <w:spacing w:val="-4"/>
                <w:sz w:val="16"/>
              </w:rPr>
              <w:t>2015</w:t>
            </w:r>
          </w:p>
        </w:tc>
      </w:tr>
      <w:tr>
        <w:trPr>
          <w:trHeight w:val="270" w:hRule="atLeast"/>
        </w:trPr>
        <w:tc>
          <w:tcPr>
            <w:tcW w:w="5280" w:type="dxa"/>
          </w:tcPr>
          <w:p>
            <w:pPr>
              <w:pStyle w:val="TableParagraph"/>
              <w:spacing w:line="222" w:lineRule="exact"/>
              <w:ind w:left="50"/>
              <w:rPr>
                <w:sz w:val="20"/>
              </w:rPr>
            </w:pPr>
            <w:r>
              <w:rPr>
                <w:spacing w:val="-2"/>
                <w:sz w:val="20"/>
              </w:rPr>
              <w:t>Americas:</w:t>
            </w:r>
          </w:p>
        </w:tc>
        <w:tc>
          <w:tcPr>
            <w:tcW w:w="1627" w:type="dxa"/>
            <w:tcBorders>
              <w:top w:val="single" w:sz="8" w:space="0" w:color="000000"/>
            </w:tcBorders>
          </w:tcPr>
          <w:p>
            <w:pPr>
              <w:pStyle w:val="TableParagraph"/>
              <w:rPr>
                <w:sz w:val="18"/>
              </w:rPr>
            </w:pPr>
          </w:p>
        </w:tc>
        <w:tc>
          <w:tcPr>
            <w:tcW w:w="1680" w:type="dxa"/>
            <w:tcBorders>
              <w:top w:val="single" w:sz="8" w:space="0" w:color="000000"/>
            </w:tcBorders>
          </w:tcPr>
          <w:p>
            <w:pPr>
              <w:pStyle w:val="TableParagraph"/>
              <w:rPr>
                <w:sz w:val="18"/>
              </w:rPr>
            </w:pPr>
          </w:p>
        </w:tc>
        <w:tc>
          <w:tcPr>
            <w:tcW w:w="1653" w:type="dxa"/>
            <w:tcBorders>
              <w:top w:val="single" w:sz="8" w:space="0" w:color="000000"/>
            </w:tcBorders>
          </w:tcPr>
          <w:p>
            <w:pPr>
              <w:pStyle w:val="TableParagraph"/>
              <w:rPr>
                <w:sz w:val="18"/>
              </w:rPr>
            </w:pPr>
          </w:p>
        </w:tc>
      </w:tr>
      <w:tr>
        <w:trPr>
          <w:trHeight w:val="280" w:hRule="atLeast"/>
        </w:trPr>
        <w:tc>
          <w:tcPr>
            <w:tcW w:w="5280" w:type="dxa"/>
            <w:shd w:val="clear" w:color="auto" w:fill="CCEDFF"/>
          </w:tcPr>
          <w:p>
            <w:pPr>
              <w:pStyle w:val="TableParagraph"/>
              <w:spacing w:before="2"/>
              <w:ind w:left="170"/>
              <w:rPr>
                <w:sz w:val="20"/>
              </w:rPr>
            </w:pPr>
            <w:r>
              <w:rPr>
                <w:sz w:val="20"/>
              </w:rPr>
              <w:t>United </w:t>
            </w:r>
            <w:r>
              <w:rPr>
                <w:spacing w:val="-2"/>
                <w:sz w:val="20"/>
              </w:rPr>
              <w:t>States</w:t>
            </w:r>
          </w:p>
        </w:tc>
        <w:tc>
          <w:tcPr>
            <w:tcW w:w="1627" w:type="dxa"/>
            <w:shd w:val="clear" w:color="auto" w:fill="CCEDFF"/>
          </w:tcPr>
          <w:p>
            <w:pPr>
              <w:pStyle w:val="TableParagraph"/>
              <w:tabs>
                <w:tab w:pos="672" w:val="left" w:leader="none"/>
              </w:tabs>
              <w:spacing w:before="2"/>
              <w:ind w:right="103"/>
              <w:jc w:val="right"/>
              <w:rPr>
                <w:sz w:val="20"/>
              </w:rPr>
            </w:pPr>
            <w:r>
              <w:rPr>
                <w:spacing w:val="-10"/>
                <w:sz w:val="20"/>
              </w:rPr>
              <w:t>$</w:t>
            </w:r>
            <w:r>
              <w:rPr>
                <w:sz w:val="20"/>
              </w:rPr>
              <w:tab/>
            </w:r>
            <w:r>
              <w:rPr>
                <w:spacing w:val="-2"/>
                <w:sz w:val="20"/>
              </w:rPr>
              <w:t>3,830,845</w:t>
            </w:r>
          </w:p>
        </w:tc>
        <w:tc>
          <w:tcPr>
            <w:tcW w:w="1680" w:type="dxa"/>
            <w:shd w:val="clear" w:color="auto" w:fill="CCEDFF"/>
          </w:tcPr>
          <w:p>
            <w:pPr>
              <w:pStyle w:val="TableParagraph"/>
              <w:tabs>
                <w:tab w:pos="672" w:val="left" w:leader="none"/>
              </w:tabs>
              <w:spacing w:before="2"/>
              <w:ind w:right="103"/>
              <w:jc w:val="right"/>
              <w:rPr>
                <w:sz w:val="20"/>
              </w:rPr>
            </w:pPr>
            <w:r>
              <w:rPr>
                <w:spacing w:val="-10"/>
                <w:sz w:val="20"/>
              </w:rPr>
              <w:t>$</w:t>
            </w:r>
            <w:r>
              <w:rPr>
                <w:sz w:val="20"/>
              </w:rPr>
              <w:tab/>
            </w:r>
            <w:r>
              <w:rPr>
                <w:spacing w:val="-2"/>
                <w:sz w:val="20"/>
              </w:rPr>
              <w:t>3,087,764</w:t>
            </w:r>
          </w:p>
        </w:tc>
        <w:tc>
          <w:tcPr>
            <w:tcW w:w="1653" w:type="dxa"/>
            <w:shd w:val="clear" w:color="auto" w:fill="CCEDFF"/>
          </w:tcPr>
          <w:p>
            <w:pPr>
              <w:pStyle w:val="TableParagraph"/>
              <w:tabs>
                <w:tab w:pos="672" w:val="left" w:leader="none"/>
              </w:tabs>
              <w:spacing w:before="2"/>
              <w:ind w:right="76"/>
              <w:jc w:val="right"/>
              <w:rPr>
                <w:sz w:val="20"/>
              </w:rPr>
            </w:pPr>
            <w:r>
              <w:rPr>
                <w:spacing w:val="-10"/>
                <w:sz w:val="20"/>
              </w:rPr>
              <w:t>$</w:t>
            </w:r>
            <w:r>
              <w:rPr>
                <w:sz w:val="20"/>
              </w:rPr>
              <w:tab/>
            </w:r>
            <w:r>
              <w:rPr>
                <w:spacing w:val="-2"/>
                <w:sz w:val="20"/>
              </w:rPr>
              <w:t>2,548,024</w:t>
            </w:r>
          </w:p>
        </w:tc>
      </w:tr>
      <w:tr>
        <w:trPr>
          <w:trHeight w:val="270" w:hRule="atLeast"/>
        </w:trPr>
        <w:tc>
          <w:tcPr>
            <w:tcW w:w="5280" w:type="dxa"/>
          </w:tcPr>
          <w:p>
            <w:pPr>
              <w:pStyle w:val="TableParagraph"/>
              <w:spacing w:before="2"/>
              <w:ind w:left="170"/>
              <w:rPr>
                <w:sz w:val="20"/>
              </w:rPr>
            </w:pPr>
            <w:r>
              <w:rPr>
                <w:spacing w:val="-2"/>
                <w:sz w:val="20"/>
              </w:rPr>
              <w:t>Other</w:t>
            </w:r>
          </w:p>
        </w:tc>
        <w:tc>
          <w:tcPr>
            <w:tcW w:w="1627" w:type="dxa"/>
            <w:tcBorders>
              <w:bottom w:val="single" w:sz="8" w:space="0" w:color="000000"/>
            </w:tcBorders>
          </w:tcPr>
          <w:p>
            <w:pPr>
              <w:pStyle w:val="TableParagraph"/>
              <w:spacing w:before="2"/>
              <w:ind w:right="103"/>
              <w:jc w:val="right"/>
              <w:rPr>
                <w:sz w:val="20"/>
              </w:rPr>
            </w:pPr>
            <w:r>
              <w:rPr>
                <w:spacing w:val="-2"/>
                <w:sz w:val="20"/>
              </w:rPr>
              <w:t>385,686</w:t>
            </w:r>
          </w:p>
        </w:tc>
        <w:tc>
          <w:tcPr>
            <w:tcW w:w="1680" w:type="dxa"/>
            <w:tcBorders>
              <w:bottom w:val="single" w:sz="8" w:space="0" w:color="000000"/>
            </w:tcBorders>
          </w:tcPr>
          <w:p>
            <w:pPr>
              <w:pStyle w:val="TableParagraph"/>
              <w:spacing w:before="2"/>
              <w:ind w:right="103"/>
              <w:jc w:val="right"/>
              <w:rPr>
                <w:sz w:val="20"/>
              </w:rPr>
            </w:pPr>
            <w:r>
              <w:rPr>
                <w:spacing w:val="-2"/>
                <w:sz w:val="20"/>
              </w:rPr>
              <w:t>312,371</w:t>
            </w:r>
          </w:p>
        </w:tc>
        <w:tc>
          <w:tcPr>
            <w:tcW w:w="1653" w:type="dxa"/>
            <w:tcBorders>
              <w:bottom w:val="single" w:sz="8" w:space="0" w:color="000000"/>
            </w:tcBorders>
          </w:tcPr>
          <w:p>
            <w:pPr>
              <w:pStyle w:val="TableParagraph"/>
              <w:spacing w:before="2"/>
              <w:ind w:right="76"/>
              <w:jc w:val="right"/>
              <w:rPr>
                <w:sz w:val="20"/>
              </w:rPr>
            </w:pPr>
            <w:r>
              <w:rPr>
                <w:spacing w:val="-2"/>
                <w:sz w:val="20"/>
              </w:rPr>
              <w:t>240,020</w:t>
            </w:r>
          </w:p>
        </w:tc>
      </w:tr>
      <w:tr>
        <w:trPr>
          <w:trHeight w:val="260" w:hRule="atLeast"/>
        </w:trPr>
        <w:tc>
          <w:tcPr>
            <w:tcW w:w="5280" w:type="dxa"/>
            <w:shd w:val="clear" w:color="auto" w:fill="CCEDFF"/>
          </w:tcPr>
          <w:p>
            <w:pPr>
              <w:pStyle w:val="TableParagraph"/>
              <w:spacing w:line="222" w:lineRule="exact"/>
              <w:ind w:left="410"/>
              <w:rPr>
                <w:sz w:val="20"/>
              </w:rPr>
            </w:pPr>
            <w:r>
              <w:rPr>
                <w:spacing w:val="-2"/>
                <w:sz w:val="20"/>
              </w:rPr>
              <w:t>Total</w:t>
            </w:r>
            <w:r>
              <w:rPr>
                <w:spacing w:val="-10"/>
                <w:sz w:val="20"/>
              </w:rPr>
              <w:t> </w:t>
            </w:r>
            <w:r>
              <w:rPr>
                <w:spacing w:val="-2"/>
                <w:sz w:val="20"/>
              </w:rPr>
              <w:t>Americas</w:t>
            </w:r>
          </w:p>
        </w:tc>
        <w:tc>
          <w:tcPr>
            <w:tcW w:w="1627" w:type="dxa"/>
            <w:tcBorders>
              <w:top w:val="single" w:sz="8" w:space="0" w:color="000000"/>
              <w:bottom w:val="single" w:sz="8" w:space="0" w:color="000000"/>
            </w:tcBorders>
            <w:shd w:val="clear" w:color="auto" w:fill="CCEDFF"/>
          </w:tcPr>
          <w:p>
            <w:pPr>
              <w:pStyle w:val="TableParagraph"/>
              <w:spacing w:line="222" w:lineRule="exact"/>
              <w:ind w:right="103"/>
              <w:jc w:val="right"/>
              <w:rPr>
                <w:sz w:val="20"/>
              </w:rPr>
            </w:pPr>
            <w:r>
              <w:rPr>
                <w:spacing w:val="-2"/>
                <w:sz w:val="20"/>
              </w:rPr>
              <w:t>4,216,531</w:t>
            </w:r>
          </w:p>
        </w:tc>
        <w:tc>
          <w:tcPr>
            <w:tcW w:w="1680" w:type="dxa"/>
            <w:tcBorders>
              <w:top w:val="single" w:sz="8" w:space="0" w:color="000000"/>
              <w:bottom w:val="single" w:sz="8" w:space="0" w:color="000000"/>
            </w:tcBorders>
            <w:shd w:val="clear" w:color="auto" w:fill="CCEDFF"/>
          </w:tcPr>
          <w:p>
            <w:pPr>
              <w:pStyle w:val="TableParagraph"/>
              <w:spacing w:line="222" w:lineRule="exact"/>
              <w:ind w:right="103"/>
              <w:jc w:val="right"/>
              <w:rPr>
                <w:sz w:val="20"/>
              </w:rPr>
            </w:pPr>
            <w:r>
              <w:rPr>
                <w:spacing w:val="-2"/>
                <w:sz w:val="20"/>
              </w:rPr>
              <w:t>3,400,135</w:t>
            </w:r>
          </w:p>
        </w:tc>
        <w:tc>
          <w:tcPr>
            <w:tcW w:w="1653" w:type="dxa"/>
            <w:tcBorders>
              <w:top w:val="single" w:sz="8" w:space="0" w:color="000000"/>
              <w:bottom w:val="single" w:sz="8" w:space="0" w:color="000000"/>
            </w:tcBorders>
            <w:shd w:val="clear" w:color="auto" w:fill="CCEDFF"/>
          </w:tcPr>
          <w:p>
            <w:pPr>
              <w:pStyle w:val="TableParagraph"/>
              <w:spacing w:line="222" w:lineRule="exact"/>
              <w:ind w:right="76"/>
              <w:jc w:val="right"/>
              <w:rPr>
                <w:sz w:val="20"/>
              </w:rPr>
            </w:pPr>
            <w:r>
              <w:rPr>
                <w:spacing w:val="-2"/>
                <w:sz w:val="20"/>
              </w:rPr>
              <w:t>2,788,044</w:t>
            </w:r>
          </w:p>
        </w:tc>
      </w:tr>
      <w:tr>
        <w:trPr>
          <w:trHeight w:val="260" w:hRule="atLeast"/>
        </w:trPr>
        <w:tc>
          <w:tcPr>
            <w:tcW w:w="5280" w:type="dxa"/>
          </w:tcPr>
          <w:p>
            <w:pPr>
              <w:pStyle w:val="TableParagraph"/>
              <w:spacing w:line="222" w:lineRule="exact"/>
              <w:ind w:left="50"/>
              <w:rPr>
                <w:sz w:val="20"/>
              </w:rPr>
            </w:pPr>
            <w:r>
              <w:rPr>
                <w:spacing w:val="-4"/>
                <w:sz w:val="20"/>
              </w:rPr>
              <w:t>EMEA</w:t>
            </w:r>
          </w:p>
        </w:tc>
        <w:tc>
          <w:tcPr>
            <w:tcW w:w="1627" w:type="dxa"/>
            <w:tcBorders>
              <w:top w:val="single" w:sz="8" w:space="0" w:color="000000"/>
              <w:bottom w:val="single" w:sz="8" w:space="0" w:color="000000"/>
            </w:tcBorders>
          </w:tcPr>
          <w:p>
            <w:pPr>
              <w:pStyle w:val="TableParagraph"/>
              <w:spacing w:line="222" w:lineRule="exact"/>
              <w:ind w:right="103"/>
              <w:jc w:val="right"/>
              <w:rPr>
                <w:sz w:val="20"/>
              </w:rPr>
            </w:pPr>
            <w:r>
              <w:rPr>
                <w:spacing w:val="-2"/>
                <w:sz w:val="20"/>
              </w:rPr>
              <w:t>1,985,105</w:t>
            </w:r>
          </w:p>
        </w:tc>
        <w:tc>
          <w:tcPr>
            <w:tcW w:w="1680" w:type="dxa"/>
            <w:tcBorders>
              <w:top w:val="single" w:sz="8" w:space="0" w:color="000000"/>
              <w:bottom w:val="single" w:sz="8" w:space="0" w:color="000000"/>
            </w:tcBorders>
          </w:tcPr>
          <w:p>
            <w:pPr>
              <w:pStyle w:val="TableParagraph"/>
              <w:spacing w:line="222" w:lineRule="exact"/>
              <w:ind w:right="103"/>
              <w:jc w:val="right"/>
              <w:rPr>
                <w:sz w:val="20"/>
              </w:rPr>
            </w:pPr>
            <w:r>
              <w:rPr>
                <w:spacing w:val="-2"/>
                <w:sz w:val="20"/>
              </w:rPr>
              <w:t>1,619,153</w:t>
            </w:r>
          </w:p>
        </w:tc>
        <w:tc>
          <w:tcPr>
            <w:tcW w:w="1653" w:type="dxa"/>
            <w:tcBorders>
              <w:top w:val="single" w:sz="8" w:space="0" w:color="000000"/>
              <w:bottom w:val="single" w:sz="8" w:space="0" w:color="000000"/>
            </w:tcBorders>
          </w:tcPr>
          <w:p>
            <w:pPr>
              <w:pStyle w:val="TableParagraph"/>
              <w:spacing w:line="222" w:lineRule="exact"/>
              <w:ind w:right="76"/>
              <w:jc w:val="right"/>
              <w:rPr>
                <w:sz w:val="20"/>
              </w:rPr>
            </w:pPr>
            <w:r>
              <w:rPr>
                <w:spacing w:val="-2"/>
                <w:sz w:val="20"/>
              </w:rPr>
              <w:t>1,336,448</w:t>
            </w:r>
          </w:p>
        </w:tc>
      </w:tr>
      <w:tr>
        <w:trPr>
          <w:trHeight w:val="270" w:hRule="atLeast"/>
        </w:trPr>
        <w:tc>
          <w:tcPr>
            <w:tcW w:w="5280" w:type="dxa"/>
            <w:shd w:val="clear" w:color="auto" w:fill="CCEDFF"/>
          </w:tcPr>
          <w:p>
            <w:pPr>
              <w:pStyle w:val="TableParagraph"/>
              <w:spacing w:line="222" w:lineRule="exact"/>
              <w:ind w:left="50"/>
              <w:rPr>
                <w:sz w:val="20"/>
              </w:rPr>
            </w:pPr>
            <w:r>
              <w:rPr>
                <w:spacing w:val="-2"/>
                <w:sz w:val="20"/>
              </w:rPr>
              <w:t>APAC:</w:t>
            </w:r>
          </w:p>
        </w:tc>
        <w:tc>
          <w:tcPr>
            <w:tcW w:w="1627" w:type="dxa"/>
            <w:tcBorders>
              <w:top w:val="single" w:sz="8" w:space="0" w:color="000000"/>
            </w:tcBorders>
            <w:shd w:val="clear" w:color="auto" w:fill="CCEDFF"/>
          </w:tcPr>
          <w:p>
            <w:pPr>
              <w:pStyle w:val="TableParagraph"/>
              <w:rPr>
                <w:sz w:val="18"/>
              </w:rPr>
            </w:pPr>
          </w:p>
        </w:tc>
        <w:tc>
          <w:tcPr>
            <w:tcW w:w="1680" w:type="dxa"/>
            <w:tcBorders>
              <w:top w:val="single" w:sz="8" w:space="0" w:color="000000"/>
            </w:tcBorders>
            <w:shd w:val="clear" w:color="auto" w:fill="CCEDFF"/>
          </w:tcPr>
          <w:p>
            <w:pPr>
              <w:pStyle w:val="TableParagraph"/>
              <w:rPr>
                <w:sz w:val="18"/>
              </w:rPr>
            </w:pPr>
          </w:p>
        </w:tc>
        <w:tc>
          <w:tcPr>
            <w:tcW w:w="1653" w:type="dxa"/>
            <w:tcBorders>
              <w:top w:val="single" w:sz="8" w:space="0" w:color="000000"/>
            </w:tcBorders>
            <w:shd w:val="clear" w:color="auto" w:fill="CCEDFF"/>
          </w:tcPr>
          <w:p>
            <w:pPr>
              <w:pStyle w:val="TableParagraph"/>
              <w:rPr>
                <w:sz w:val="18"/>
              </w:rPr>
            </w:pPr>
          </w:p>
        </w:tc>
      </w:tr>
      <w:tr>
        <w:trPr>
          <w:trHeight w:val="280" w:hRule="atLeast"/>
        </w:trPr>
        <w:tc>
          <w:tcPr>
            <w:tcW w:w="5280" w:type="dxa"/>
          </w:tcPr>
          <w:p>
            <w:pPr>
              <w:pStyle w:val="TableParagraph"/>
              <w:spacing w:before="2"/>
              <w:ind w:left="170"/>
              <w:rPr>
                <w:sz w:val="20"/>
              </w:rPr>
            </w:pPr>
            <w:r>
              <w:rPr>
                <w:spacing w:val="-2"/>
                <w:sz w:val="20"/>
              </w:rPr>
              <w:t>Japan</w:t>
            </w:r>
          </w:p>
        </w:tc>
        <w:tc>
          <w:tcPr>
            <w:tcW w:w="1627" w:type="dxa"/>
          </w:tcPr>
          <w:p>
            <w:pPr>
              <w:pStyle w:val="TableParagraph"/>
              <w:spacing w:before="2"/>
              <w:ind w:right="103"/>
              <w:jc w:val="right"/>
              <w:rPr>
                <w:sz w:val="20"/>
              </w:rPr>
            </w:pPr>
            <w:r>
              <w:rPr>
                <w:spacing w:val="-2"/>
                <w:sz w:val="20"/>
              </w:rPr>
              <w:t>524,254</w:t>
            </w:r>
          </w:p>
        </w:tc>
        <w:tc>
          <w:tcPr>
            <w:tcW w:w="1680" w:type="dxa"/>
          </w:tcPr>
          <w:p>
            <w:pPr>
              <w:pStyle w:val="TableParagraph"/>
              <w:spacing w:before="2"/>
              <w:ind w:right="103"/>
              <w:jc w:val="right"/>
              <w:rPr>
                <w:sz w:val="20"/>
              </w:rPr>
            </w:pPr>
            <w:r>
              <w:rPr>
                <w:spacing w:val="-2"/>
                <w:sz w:val="20"/>
              </w:rPr>
              <w:t>401,205</w:t>
            </w:r>
          </w:p>
        </w:tc>
        <w:tc>
          <w:tcPr>
            <w:tcW w:w="1653" w:type="dxa"/>
          </w:tcPr>
          <w:p>
            <w:pPr>
              <w:pStyle w:val="TableParagraph"/>
              <w:spacing w:before="2"/>
              <w:ind w:right="76"/>
              <w:jc w:val="right"/>
              <w:rPr>
                <w:sz w:val="20"/>
              </w:rPr>
            </w:pPr>
            <w:r>
              <w:rPr>
                <w:spacing w:val="-2"/>
                <w:sz w:val="20"/>
              </w:rPr>
              <w:t>347,740</w:t>
            </w:r>
          </w:p>
        </w:tc>
      </w:tr>
      <w:tr>
        <w:trPr>
          <w:trHeight w:val="269" w:hRule="atLeast"/>
        </w:trPr>
        <w:tc>
          <w:tcPr>
            <w:tcW w:w="5280" w:type="dxa"/>
            <w:shd w:val="clear" w:color="auto" w:fill="CCEDFF"/>
          </w:tcPr>
          <w:p>
            <w:pPr>
              <w:pStyle w:val="TableParagraph"/>
              <w:spacing w:before="2"/>
              <w:ind w:left="170"/>
              <w:rPr>
                <w:sz w:val="20"/>
              </w:rPr>
            </w:pPr>
            <w:r>
              <w:rPr>
                <w:spacing w:val="-2"/>
                <w:sz w:val="20"/>
              </w:rPr>
              <w:t>Other</w:t>
            </w:r>
          </w:p>
        </w:tc>
        <w:tc>
          <w:tcPr>
            <w:tcW w:w="1627" w:type="dxa"/>
            <w:tcBorders>
              <w:bottom w:val="single" w:sz="8" w:space="0" w:color="000000"/>
            </w:tcBorders>
            <w:shd w:val="clear" w:color="auto" w:fill="CCEDFF"/>
          </w:tcPr>
          <w:p>
            <w:pPr>
              <w:pStyle w:val="TableParagraph"/>
              <w:spacing w:before="2"/>
              <w:ind w:right="103"/>
              <w:jc w:val="right"/>
              <w:rPr>
                <w:sz w:val="20"/>
              </w:rPr>
            </w:pPr>
            <w:r>
              <w:rPr>
                <w:spacing w:val="-2"/>
                <w:sz w:val="20"/>
              </w:rPr>
              <w:t>575,615</w:t>
            </w:r>
          </w:p>
        </w:tc>
        <w:tc>
          <w:tcPr>
            <w:tcW w:w="1680" w:type="dxa"/>
            <w:tcBorders>
              <w:bottom w:val="single" w:sz="8" w:space="0" w:color="000000"/>
            </w:tcBorders>
            <w:shd w:val="clear" w:color="auto" w:fill="CCEDFF"/>
          </w:tcPr>
          <w:p>
            <w:pPr>
              <w:pStyle w:val="TableParagraph"/>
              <w:spacing w:before="2"/>
              <w:ind w:right="103"/>
              <w:jc w:val="right"/>
              <w:rPr>
                <w:sz w:val="20"/>
              </w:rPr>
            </w:pPr>
            <w:r>
              <w:rPr>
                <w:spacing w:val="-2"/>
                <w:sz w:val="20"/>
              </w:rPr>
              <w:t>433,937</w:t>
            </w:r>
          </w:p>
        </w:tc>
        <w:tc>
          <w:tcPr>
            <w:tcW w:w="1653" w:type="dxa"/>
            <w:tcBorders>
              <w:bottom w:val="single" w:sz="8" w:space="0" w:color="000000"/>
            </w:tcBorders>
            <w:shd w:val="clear" w:color="auto" w:fill="CCEDFF"/>
          </w:tcPr>
          <w:p>
            <w:pPr>
              <w:pStyle w:val="TableParagraph"/>
              <w:spacing w:before="2"/>
              <w:ind w:right="76"/>
              <w:jc w:val="right"/>
              <w:rPr>
                <w:sz w:val="20"/>
              </w:rPr>
            </w:pPr>
            <w:r>
              <w:rPr>
                <w:spacing w:val="-2"/>
                <w:sz w:val="20"/>
              </w:rPr>
              <w:t>323,279</w:t>
            </w:r>
          </w:p>
        </w:tc>
      </w:tr>
      <w:tr>
        <w:trPr>
          <w:trHeight w:val="260" w:hRule="atLeast"/>
        </w:trPr>
        <w:tc>
          <w:tcPr>
            <w:tcW w:w="5280" w:type="dxa"/>
          </w:tcPr>
          <w:p>
            <w:pPr>
              <w:pStyle w:val="TableParagraph"/>
              <w:spacing w:line="222" w:lineRule="exact"/>
              <w:ind w:left="410"/>
              <w:rPr>
                <w:sz w:val="20"/>
              </w:rPr>
            </w:pPr>
            <w:r>
              <w:rPr>
                <w:spacing w:val="-4"/>
                <w:sz w:val="20"/>
              </w:rPr>
              <w:t>Total</w:t>
            </w:r>
            <w:r>
              <w:rPr>
                <w:spacing w:val="-6"/>
                <w:sz w:val="20"/>
              </w:rPr>
              <w:t> </w:t>
            </w:r>
            <w:r>
              <w:rPr>
                <w:spacing w:val="-4"/>
                <w:sz w:val="20"/>
              </w:rPr>
              <w:t>APAC</w:t>
            </w:r>
          </w:p>
        </w:tc>
        <w:tc>
          <w:tcPr>
            <w:tcW w:w="1627" w:type="dxa"/>
            <w:tcBorders>
              <w:top w:val="single" w:sz="8" w:space="0" w:color="000000"/>
              <w:bottom w:val="single" w:sz="8" w:space="0" w:color="000000"/>
            </w:tcBorders>
          </w:tcPr>
          <w:p>
            <w:pPr>
              <w:pStyle w:val="TableParagraph"/>
              <w:spacing w:line="222" w:lineRule="exact"/>
              <w:ind w:right="103"/>
              <w:jc w:val="right"/>
              <w:rPr>
                <w:sz w:val="20"/>
              </w:rPr>
            </w:pPr>
            <w:r>
              <w:rPr>
                <w:spacing w:val="-2"/>
                <w:sz w:val="20"/>
              </w:rPr>
              <w:t>1,099,869</w:t>
            </w:r>
          </w:p>
        </w:tc>
        <w:tc>
          <w:tcPr>
            <w:tcW w:w="1680" w:type="dxa"/>
            <w:tcBorders>
              <w:top w:val="single" w:sz="8" w:space="0" w:color="000000"/>
              <w:bottom w:val="single" w:sz="8" w:space="0" w:color="000000"/>
            </w:tcBorders>
          </w:tcPr>
          <w:p>
            <w:pPr>
              <w:pStyle w:val="TableParagraph"/>
              <w:spacing w:line="222" w:lineRule="exact"/>
              <w:ind w:right="103"/>
              <w:jc w:val="right"/>
              <w:rPr>
                <w:sz w:val="20"/>
              </w:rPr>
            </w:pPr>
            <w:r>
              <w:rPr>
                <w:spacing w:val="-2"/>
                <w:sz w:val="20"/>
              </w:rPr>
              <w:t>835,142</w:t>
            </w:r>
          </w:p>
        </w:tc>
        <w:tc>
          <w:tcPr>
            <w:tcW w:w="1653" w:type="dxa"/>
            <w:tcBorders>
              <w:top w:val="single" w:sz="8" w:space="0" w:color="000000"/>
              <w:bottom w:val="single" w:sz="8" w:space="0" w:color="000000"/>
            </w:tcBorders>
          </w:tcPr>
          <w:p>
            <w:pPr>
              <w:pStyle w:val="TableParagraph"/>
              <w:spacing w:line="222" w:lineRule="exact"/>
              <w:ind w:right="76"/>
              <w:jc w:val="right"/>
              <w:rPr>
                <w:sz w:val="20"/>
              </w:rPr>
            </w:pPr>
            <w:r>
              <w:rPr>
                <w:spacing w:val="-2"/>
                <w:sz w:val="20"/>
              </w:rPr>
              <w:t>671,019</w:t>
            </w:r>
          </w:p>
        </w:tc>
      </w:tr>
      <w:tr>
        <w:trPr>
          <w:trHeight w:val="240" w:hRule="atLeast"/>
        </w:trPr>
        <w:tc>
          <w:tcPr>
            <w:tcW w:w="5280" w:type="dxa"/>
            <w:shd w:val="clear" w:color="auto" w:fill="CCEDFF"/>
          </w:tcPr>
          <w:p>
            <w:pPr>
              <w:pStyle w:val="TableParagraph"/>
              <w:spacing w:line="220" w:lineRule="exact"/>
              <w:ind w:left="50"/>
              <w:rPr>
                <w:sz w:val="20"/>
              </w:rPr>
            </w:pPr>
            <w:r>
              <w:rPr>
                <w:spacing w:val="-2"/>
                <w:sz w:val="20"/>
              </w:rPr>
              <w:t>Revenue</w:t>
            </w:r>
          </w:p>
        </w:tc>
        <w:tc>
          <w:tcPr>
            <w:tcW w:w="1627" w:type="dxa"/>
            <w:tcBorders>
              <w:top w:val="single" w:sz="8" w:space="0" w:color="000000"/>
              <w:bottom w:val="double" w:sz="8" w:space="0" w:color="000000"/>
            </w:tcBorders>
            <w:shd w:val="clear" w:color="auto" w:fill="CCEDFF"/>
          </w:tcPr>
          <w:p>
            <w:pPr>
              <w:pStyle w:val="TableParagraph"/>
              <w:tabs>
                <w:tab w:pos="672" w:val="left" w:leader="none"/>
              </w:tabs>
              <w:spacing w:line="220" w:lineRule="exact"/>
              <w:ind w:right="103"/>
              <w:jc w:val="right"/>
              <w:rPr>
                <w:sz w:val="20"/>
              </w:rPr>
            </w:pPr>
            <w:r>
              <w:rPr>
                <w:spacing w:val="-10"/>
                <w:sz w:val="20"/>
              </w:rPr>
              <w:t>$</w:t>
            </w:r>
            <w:r>
              <w:rPr>
                <w:sz w:val="20"/>
              </w:rPr>
              <w:tab/>
            </w:r>
            <w:r>
              <w:rPr>
                <w:spacing w:val="-2"/>
                <w:sz w:val="20"/>
              </w:rPr>
              <w:t>7,301,505</w:t>
            </w:r>
          </w:p>
        </w:tc>
        <w:tc>
          <w:tcPr>
            <w:tcW w:w="1680" w:type="dxa"/>
            <w:tcBorders>
              <w:top w:val="single" w:sz="8" w:space="0" w:color="000000"/>
              <w:bottom w:val="double" w:sz="8" w:space="0" w:color="000000"/>
            </w:tcBorders>
            <w:shd w:val="clear" w:color="auto" w:fill="CCEDFF"/>
          </w:tcPr>
          <w:p>
            <w:pPr>
              <w:pStyle w:val="TableParagraph"/>
              <w:tabs>
                <w:tab w:pos="672" w:val="left" w:leader="none"/>
              </w:tabs>
              <w:spacing w:line="220" w:lineRule="exact"/>
              <w:ind w:right="103"/>
              <w:jc w:val="right"/>
              <w:rPr>
                <w:sz w:val="20"/>
              </w:rPr>
            </w:pPr>
            <w:r>
              <w:rPr>
                <w:spacing w:val="-10"/>
                <w:sz w:val="20"/>
              </w:rPr>
              <w:t>$</w:t>
            </w:r>
            <w:r>
              <w:rPr>
                <w:sz w:val="20"/>
              </w:rPr>
              <w:tab/>
            </w:r>
            <w:r>
              <w:rPr>
                <w:spacing w:val="-2"/>
                <w:sz w:val="20"/>
              </w:rPr>
              <w:t>5,854,430</w:t>
            </w:r>
          </w:p>
        </w:tc>
        <w:tc>
          <w:tcPr>
            <w:tcW w:w="1653" w:type="dxa"/>
            <w:tcBorders>
              <w:top w:val="single" w:sz="8" w:space="0" w:color="000000"/>
              <w:bottom w:val="double" w:sz="8" w:space="0" w:color="000000"/>
            </w:tcBorders>
            <w:shd w:val="clear" w:color="auto" w:fill="CCEDFF"/>
          </w:tcPr>
          <w:p>
            <w:pPr>
              <w:pStyle w:val="TableParagraph"/>
              <w:tabs>
                <w:tab w:pos="672" w:val="left" w:leader="none"/>
              </w:tabs>
              <w:spacing w:line="220" w:lineRule="exact"/>
              <w:ind w:right="76"/>
              <w:jc w:val="right"/>
              <w:rPr>
                <w:sz w:val="20"/>
              </w:rPr>
            </w:pPr>
            <w:r>
              <w:rPr>
                <w:spacing w:val="-10"/>
                <w:sz w:val="20"/>
              </w:rPr>
              <w:t>$</w:t>
            </w:r>
            <w:r>
              <w:rPr>
                <w:sz w:val="20"/>
              </w:rPr>
              <w:tab/>
            </w:r>
            <w:r>
              <w:rPr>
                <w:spacing w:val="-2"/>
                <w:sz w:val="20"/>
              </w:rPr>
              <w:t>4,795,511</w:t>
            </w:r>
          </w:p>
        </w:tc>
      </w:tr>
    </w:tbl>
    <w:p>
      <w:pPr>
        <w:spacing w:after="0" w:line="220" w:lineRule="exact"/>
        <w:jc w:val="right"/>
        <w:rPr>
          <w:sz w:val="20"/>
        </w:rPr>
        <w:sectPr>
          <w:pgSz w:w="12240" w:h="15840"/>
          <w:pgMar w:header="210" w:footer="610" w:top="1380" w:bottom="800" w:left="780" w:right="740"/>
        </w:sectPr>
      </w:pPr>
    </w:p>
    <w:p>
      <w:pPr>
        <w:pStyle w:val="BodyText"/>
      </w:pPr>
    </w:p>
    <w:p>
      <w:pPr>
        <w:pStyle w:val="BodyText"/>
      </w:pPr>
    </w:p>
    <w:p>
      <w:pPr>
        <w:pStyle w:val="BodyText"/>
        <w:spacing w:before="96" w:after="1"/>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0"/>
        <w:gridCol w:w="1647"/>
        <w:gridCol w:w="1700"/>
        <w:gridCol w:w="1613"/>
      </w:tblGrid>
      <w:tr>
        <w:trPr>
          <w:trHeight w:val="261" w:hRule="atLeast"/>
        </w:trPr>
        <w:tc>
          <w:tcPr>
            <w:tcW w:w="5290" w:type="dxa"/>
          </w:tcPr>
          <w:p>
            <w:pPr>
              <w:pStyle w:val="TableParagraph"/>
              <w:spacing w:line="221" w:lineRule="exact"/>
              <w:ind w:left="60"/>
              <w:rPr>
                <w:b/>
                <w:sz w:val="20"/>
              </w:rPr>
            </w:pPr>
            <w:r>
              <w:rPr>
                <w:b/>
                <w:sz w:val="20"/>
              </w:rPr>
              <w:t>Property</w:t>
            </w:r>
            <w:r>
              <w:rPr>
                <w:b/>
                <w:spacing w:val="-4"/>
                <w:sz w:val="20"/>
              </w:rPr>
              <w:t> </w:t>
            </w:r>
            <w:r>
              <w:rPr>
                <w:b/>
                <w:sz w:val="20"/>
              </w:rPr>
              <w:t>and</w:t>
            </w:r>
            <w:r>
              <w:rPr>
                <w:b/>
                <w:spacing w:val="-3"/>
                <w:sz w:val="20"/>
              </w:rPr>
              <w:t> </w:t>
            </w:r>
            <w:r>
              <w:rPr>
                <w:b/>
                <w:spacing w:val="-2"/>
                <w:sz w:val="20"/>
              </w:rPr>
              <w:t>Equipment</w:t>
            </w:r>
          </w:p>
        </w:tc>
        <w:tc>
          <w:tcPr>
            <w:tcW w:w="1647" w:type="dxa"/>
            <w:tcBorders>
              <w:bottom w:val="single" w:sz="8" w:space="0" w:color="000000"/>
            </w:tcBorders>
          </w:tcPr>
          <w:p>
            <w:pPr>
              <w:pStyle w:val="TableParagraph"/>
              <w:spacing w:before="38"/>
              <w:ind w:right="46"/>
              <w:jc w:val="center"/>
              <w:rPr>
                <w:b/>
                <w:sz w:val="16"/>
              </w:rPr>
            </w:pPr>
            <w:r>
              <w:rPr>
                <w:b/>
                <w:spacing w:val="-4"/>
                <w:sz w:val="16"/>
              </w:rPr>
              <w:t>2017</w:t>
            </w:r>
          </w:p>
        </w:tc>
        <w:tc>
          <w:tcPr>
            <w:tcW w:w="1700" w:type="dxa"/>
            <w:tcBorders>
              <w:bottom w:val="single" w:sz="8" w:space="0" w:color="000000"/>
            </w:tcBorders>
          </w:tcPr>
          <w:p>
            <w:pPr>
              <w:pStyle w:val="TableParagraph"/>
              <w:spacing w:before="38"/>
              <w:ind w:left="6"/>
              <w:jc w:val="center"/>
              <w:rPr>
                <w:b/>
                <w:sz w:val="16"/>
              </w:rPr>
            </w:pPr>
            <w:r>
              <w:rPr>
                <w:b/>
                <w:spacing w:val="-4"/>
                <w:sz w:val="16"/>
              </w:rPr>
              <w:t>2016</w:t>
            </w:r>
          </w:p>
        </w:tc>
        <w:tc>
          <w:tcPr>
            <w:tcW w:w="1613" w:type="dxa"/>
            <w:tcBorders>
              <w:bottom w:val="single" w:sz="8" w:space="0" w:color="000000"/>
            </w:tcBorders>
          </w:tcPr>
          <w:p>
            <w:pPr>
              <w:pStyle w:val="TableParagraph"/>
              <w:spacing w:before="38"/>
              <w:ind w:left="33"/>
              <w:jc w:val="center"/>
              <w:rPr>
                <w:b/>
                <w:sz w:val="16"/>
              </w:rPr>
            </w:pPr>
            <w:r>
              <w:rPr>
                <w:b/>
                <w:spacing w:val="-4"/>
                <w:sz w:val="16"/>
              </w:rPr>
              <w:t>2015</w:t>
            </w:r>
          </w:p>
        </w:tc>
      </w:tr>
      <w:tr>
        <w:trPr>
          <w:trHeight w:val="270" w:hRule="atLeast"/>
        </w:trPr>
        <w:tc>
          <w:tcPr>
            <w:tcW w:w="5290" w:type="dxa"/>
          </w:tcPr>
          <w:p>
            <w:pPr>
              <w:pStyle w:val="TableParagraph"/>
              <w:spacing w:line="222" w:lineRule="exact"/>
              <w:ind w:left="60"/>
              <w:rPr>
                <w:sz w:val="20"/>
              </w:rPr>
            </w:pPr>
            <w:r>
              <w:rPr>
                <w:spacing w:val="-2"/>
                <w:sz w:val="20"/>
              </w:rPr>
              <w:t>Americas:</w:t>
            </w:r>
          </w:p>
        </w:tc>
        <w:tc>
          <w:tcPr>
            <w:tcW w:w="1647" w:type="dxa"/>
            <w:tcBorders>
              <w:top w:val="single" w:sz="8" w:space="0" w:color="000000"/>
            </w:tcBorders>
          </w:tcPr>
          <w:p>
            <w:pPr>
              <w:pStyle w:val="TableParagraph"/>
              <w:rPr>
                <w:sz w:val="18"/>
              </w:rPr>
            </w:pPr>
          </w:p>
        </w:tc>
        <w:tc>
          <w:tcPr>
            <w:tcW w:w="1700" w:type="dxa"/>
            <w:tcBorders>
              <w:top w:val="single" w:sz="8" w:space="0" w:color="000000"/>
            </w:tcBorders>
          </w:tcPr>
          <w:p>
            <w:pPr>
              <w:pStyle w:val="TableParagraph"/>
              <w:rPr>
                <w:sz w:val="18"/>
              </w:rPr>
            </w:pPr>
          </w:p>
        </w:tc>
        <w:tc>
          <w:tcPr>
            <w:tcW w:w="1613" w:type="dxa"/>
            <w:tcBorders>
              <w:top w:val="single" w:sz="8" w:space="0" w:color="000000"/>
            </w:tcBorders>
          </w:tcPr>
          <w:p>
            <w:pPr>
              <w:pStyle w:val="TableParagraph"/>
              <w:rPr>
                <w:sz w:val="18"/>
              </w:rPr>
            </w:pPr>
          </w:p>
        </w:tc>
      </w:tr>
      <w:tr>
        <w:trPr>
          <w:trHeight w:val="280" w:hRule="atLeast"/>
        </w:trPr>
        <w:tc>
          <w:tcPr>
            <w:tcW w:w="5290" w:type="dxa"/>
            <w:shd w:val="clear" w:color="auto" w:fill="CCEDFF"/>
          </w:tcPr>
          <w:p>
            <w:pPr>
              <w:pStyle w:val="TableParagraph"/>
              <w:spacing w:before="2"/>
              <w:ind w:left="180"/>
              <w:rPr>
                <w:sz w:val="20"/>
              </w:rPr>
            </w:pPr>
            <w:r>
              <w:rPr>
                <w:sz w:val="20"/>
              </w:rPr>
              <w:t>United </w:t>
            </w:r>
            <w:r>
              <w:rPr>
                <w:spacing w:val="-2"/>
                <w:sz w:val="20"/>
              </w:rPr>
              <w:t>States</w:t>
            </w:r>
          </w:p>
        </w:tc>
        <w:tc>
          <w:tcPr>
            <w:tcW w:w="1647" w:type="dxa"/>
            <w:shd w:val="clear" w:color="auto" w:fill="CCEDFF"/>
          </w:tcPr>
          <w:p>
            <w:pPr>
              <w:pStyle w:val="TableParagraph"/>
              <w:tabs>
                <w:tab w:pos="842" w:val="left" w:leader="none"/>
              </w:tabs>
              <w:spacing w:before="2"/>
              <w:ind w:right="103"/>
              <w:jc w:val="right"/>
              <w:rPr>
                <w:sz w:val="20"/>
              </w:rPr>
            </w:pPr>
            <w:r>
              <w:rPr>
                <w:spacing w:val="-10"/>
                <w:sz w:val="20"/>
              </w:rPr>
              <w:t>$</w:t>
            </w:r>
            <w:r>
              <w:rPr>
                <w:sz w:val="20"/>
              </w:rPr>
              <w:tab/>
            </w:r>
            <w:r>
              <w:rPr>
                <w:spacing w:val="-2"/>
                <w:sz w:val="20"/>
              </w:rPr>
              <w:t>753,393</w:t>
            </w:r>
          </w:p>
        </w:tc>
        <w:tc>
          <w:tcPr>
            <w:tcW w:w="1700" w:type="dxa"/>
            <w:shd w:val="clear" w:color="auto" w:fill="CCEDFF"/>
          </w:tcPr>
          <w:p>
            <w:pPr>
              <w:pStyle w:val="TableParagraph"/>
              <w:tabs>
                <w:tab w:pos="842" w:val="left" w:leader="none"/>
              </w:tabs>
              <w:spacing w:before="2"/>
              <w:ind w:right="103"/>
              <w:jc w:val="right"/>
              <w:rPr>
                <w:sz w:val="20"/>
              </w:rPr>
            </w:pPr>
            <w:r>
              <w:rPr>
                <w:spacing w:val="-10"/>
                <w:sz w:val="20"/>
              </w:rPr>
              <w:t>$</w:t>
            </w:r>
            <w:r>
              <w:rPr>
                <w:sz w:val="20"/>
              </w:rPr>
              <w:tab/>
            </w:r>
            <w:r>
              <w:rPr>
                <w:spacing w:val="-2"/>
                <w:sz w:val="20"/>
              </w:rPr>
              <w:t>642,823</w:t>
            </w:r>
          </w:p>
        </w:tc>
        <w:tc>
          <w:tcPr>
            <w:tcW w:w="1613" w:type="dxa"/>
            <w:shd w:val="clear" w:color="auto" w:fill="CCEDFF"/>
          </w:tcPr>
          <w:p>
            <w:pPr>
              <w:pStyle w:val="TableParagraph"/>
              <w:tabs>
                <w:tab w:pos="782" w:val="left" w:leader="none"/>
              </w:tabs>
              <w:spacing w:before="2"/>
              <w:ind w:right="76"/>
              <w:jc w:val="right"/>
              <w:rPr>
                <w:sz w:val="20"/>
              </w:rPr>
            </w:pPr>
            <w:r>
              <w:rPr>
                <w:spacing w:val="-10"/>
                <w:sz w:val="20"/>
              </w:rPr>
              <w:t>$</w:t>
            </w:r>
            <w:r>
              <w:rPr>
                <w:sz w:val="20"/>
              </w:rPr>
              <w:tab/>
            </w:r>
            <w:r>
              <w:rPr>
                <w:spacing w:val="-2"/>
                <w:sz w:val="20"/>
              </w:rPr>
              <w:t>621,122</w:t>
            </w:r>
          </w:p>
        </w:tc>
      </w:tr>
      <w:tr>
        <w:trPr>
          <w:trHeight w:val="270" w:hRule="atLeast"/>
        </w:trPr>
        <w:tc>
          <w:tcPr>
            <w:tcW w:w="5290" w:type="dxa"/>
          </w:tcPr>
          <w:p>
            <w:pPr>
              <w:pStyle w:val="TableParagraph"/>
              <w:spacing w:before="2"/>
              <w:ind w:left="180"/>
              <w:rPr>
                <w:sz w:val="20"/>
              </w:rPr>
            </w:pPr>
            <w:r>
              <w:rPr>
                <w:spacing w:val="-2"/>
                <w:sz w:val="20"/>
              </w:rPr>
              <w:t>Other</w:t>
            </w:r>
          </w:p>
        </w:tc>
        <w:tc>
          <w:tcPr>
            <w:tcW w:w="1647" w:type="dxa"/>
            <w:tcBorders>
              <w:bottom w:val="single" w:sz="8" w:space="0" w:color="000000"/>
            </w:tcBorders>
          </w:tcPr>
          <w:p>
            <w:pPr>
              <w:pStyle w:val="TableParagraph"/>
              <w:spacing w:before="2"/>
              <w:ind w:right="103"/>
              <w:jc w:val="right"/>
              <w:rPr>
                <w:sz w:val="20"/>
              </w:rPr>
            </w:pPr>
            <w:r>
              <w:rPr>
                <w:spacing w:val="-2"/>
                <w:sz w:val="20"/>
              </w:rPr>
              <w:t>2,797</w:t>
            </w:r>
          </w:p>
        </w:tc>
        <w:tc>
          <w:tcPr>
            <w:tcW w:w="1700" w:type="dxa"/>
            <w:tcBorders>
              <w:bottom w:val="single" w:sz="8" w:space="0" w:color="000000"/>
            </w:tcBorders>
          </w:tcPr>
          <w:p>
            <w:pPr>
              <w:pStyle w:val="TableParagraph"/>
              <w:spacing w:before="2"/>
              <w:ind w:right="103"/>
              <w:jc w:val="right"/>
              <w:rPr>
                <w:sz w:val="20"/>
              </w:rPr>
            </w:pPr>
            <w:r>
              <w:rPr>
                <w:spacing w:val="-5"/>
                <w:sz w:val="20"/>
              </w:rPr>
              <w:t>559</w:t>
            </w:r>
          </w:p>
        </w:tc>
        <w:tc>
          <w:tcPr>
            <w:tcW w:w="1613" w:type="dxa"/>
            <w:tcBorders>
              <w:bottom w:val="single" w:sz="8" w:space="0" w:color="000000"/>
            </w:tcBorders>
          </w:tcPr>
          <w:p>
            <w:pPr>
              <w:pStyle w:val="TableParagraph"/>
              <w:spacing w:before="2"/>
              <w:ind w:right="76"/>
              <w:jc w:val="right"/>
              <w:rPr>
                <w:sz w:val="20"/>
              </w:rPr>
            </w:pPr>
            <w:r>
              <w:rPr>
                <w:spacing w:val="-5"/>
                <w:sz w:val="20"/>
              </w:rPr>
              <w:t>427</w:t>
            </w:r>
          </w:p>
        </w:tc>
      </w:tr>
      <w:tr>
        <w:trPr>
          <w:trHeight w:val="260" w:hRule="atLeast"/>
        </w:trPr>
        <w:tc>
          <w:tcPr>
            <w:tcW w:w="5290" w:type="dxa"/>
            <w:shd w:val="clear" w:color="auto" w:fill="CCEDFF"/>
          </w:tcPr>
          <w:p>
            <w:pPr>
              <w:pStyle w:val="TableParagraph"/>
              <w:spacing w:line="222" w:lineRule="exact"/>
              <w:ind w:left="420"/>
              <w:rPr>
                <w:sz w:val="20"/>
              </w:rPr>
            </w:pPr>
            <w:r>
              <w:rPr>
                <w:spacing w:val="-2"/>
                <w:sz w:val="20"/>
              </w:rPr>
              <w:t>Total</w:t>
            </w:r>
            <w:r>
              <w:rPr>
                <w:spacing w:val="-10"/>
                <w:sz w:val="20"/>
              </w:rPr>
              <w:t> </w:t>
            </w:r>
            <w:r>
              <w:rPr>
                <w:spacing w:val="-2"/>
                <w:sz w:val="20"/>
              </w:rPr>
              <w:t>Americas</w:t>
            </w:r>
          </w:p>
        </w:tc>
        <w:tc>
          <w:tcPr>
            <w:tcW w:w="1647" w:type="dxa"/>
            <w:tcBorders>
              <w:top w:val="single" w:sz="8" w:space="0" w:color="000000"/>
              <w:bottom w:val="single" w:sz="8" w:space="0" w:color="000000"/>
            </w:tcBorders>
            <w:shd w:val="clear" w:color="auto" w:fill="CCEDFF"/>
          </w:tcPr>
          <w:p>
            <w:pPr>
              <w:pStyle w:val="TableParagraph"/>
              <w:spacing w:line="222" w:lineRule="exact"/>
              <w:ind w:right="103"/>
              <w:jc w:val="right"/>
              <w:rPr>
                <w:sz w:val="20"/>
              </w:rPr>
            </w:pPr>
            <w:r>
              <w:rPr>
                <w:spacing w:val="-2"/>
                <w:sz w:val="20"/>
              </w:rPr>
              <w:t>756,190</w:t>
            </w:r>
          </w:p>
        </w:tc>
        <w:tc>
          <w:tcPr>
            <w:tcW w:w="1700" w:type="dxa"/>
            <w:tcBorders>
              <w:top w:val="single" w:sz="8" w:space="0" w:color="000000"/>
              <w:bottom w:val="single" w:sz="8" w:space="0" w:color="000000"/>
            </w:tcBorders>
            <w:shd w:val="clear" w:color="auto" w:fill="CCEDFF"/>
          </w:tcPr>
          <w:p>
            <w:pPr>
              <w:pStyle w:val="TableParagraph"/>
              <w:spacing w:line="222" w:lineRule="exact"/>
              <w:ind w:right="103"/>
              <w:jc w:val="right"/>
              <w:rPr>
                <w:sz w:val="20"/>
              </w:rPr>
            </w:pPr>
            <w:r>
              <w:rPr>
                <w:spacing w:val="-2"/>
                <w:sz w:val="20"/>
              </w:rPr>
              <w:t>643,382</w:t>
            </w:r>
          </w:p>
        </w:tc>
        <w:tc>
          <w:tcPr>
            <w:tcW w:w="1613" w:type="dxa"/>
            <w:tcBorders>
              <w:top w:val="single" w:sz="8" w:space="0" w:color="000000"/>
              <w:bottom w:val="single" w:sz="8" w:space="0" w:color="000000"/>
            </w:tcBorders>
            <w:shd w:val="clear" w:color="auto" w:fill="CCEDFF"/>
          </w:tcPr>
          <w:p>
            <w:pPr>
              <w:pStyle w:val="TableParagraph"/>
              <w:spacing w:line="222" w:lineRule="exact"/>
              <w:ind w:right="76"/>
              <w:jc w:val="right"/>
              <w:rPr>
                <w:sz w:val="20"/>
              </w:rPr>
            </w:pPr>
            <w:r>
              <w:rPr>
                <w:spacing w:val="-2"/>
                <w:sz w:val="20"/>
              </w:rPr>
              <w:t>621,549</w:t>
            </w:r>
          </w:p>
        </w:tc>
      </w:tr>
      <w:tr>
        <w:trPr>
          <w:trHeight w:val="260" w:hRule="atLeast"/>
        </w:trPr>
        <w:tc>
          <w:tcPr>
            <w:tcW w:w="5290" w:type="dxa"/>
          </w:tcPr>
          <w:p>
            <w:pPr>
              <w:pStyle w:val="TableParagraph"/>
              <w:spacing w:line="222" w:lineRule="exact"/>
              <w:ind w:left="60"/>
              <w:rPr>
                <w:sz w:val="20"/>
              </w:rPr>
            </w:pPr>
            <w:r>
              <w:rPr>
                <w:spacing w:val="-4"/>
                <w:sz w:val="20"/>
              </w:rPr>
              <w:t>EMEA</w:t>
            </w:r>
          </w:p>
        </w:tc>
        <w:tc>
          <w:tcPr>
            <w:tcW w:w="1647" w:type="dxa"/>
            <w:tcBorders>
              <w:top w:val="single" w:sz="8" w:space="0" w:color="000000"/>
              <w:bottom w:val="single" w:sz="8" w:space="0" w:color="000000"/>
            </w:tcBorders>
          </w:tcPr>
          <w:p>
            <w:pPr>
              <w:pStyle w:val="TableParagraph"/>
              <w:spacing w:line="222" w:lineRule="exact"/>
              <w:ind w:right="103"/>
              <w:jc w:val="right"/>
              <w:rPr>
                <w:sz w:val="20"/>
              </w:rPr>
            </w:pPr>
            <w:r>
              <w:rPr>
                <w:spacing w:val="-2"/>
                <w:sz w:val="20"/>
              </w:rPr>
              <w:t>54,181</w:t>
            </w:r>
          </w:p>
        </w:tc>
        <w:tc>
          <w:tcPr>
            <w:tcW w:w="1700" w:type="dxa"/>
            <w:tcBorders>
              <w:top w:val="single" w:sz="8" w:space="0" w:color="000000"/>
              <w:bottom w:val="single" w:sz="8" w:space="0" w:color="000000"/>
            </w:tcBorders>
          </w:tcPr>
          <w:p>
            <w:pPr>
              <w:pStyle w:val="TableParagraph"/>
              <w:spacing w:line="222" w:lineRule="exact"/>
              <w:ind w:right="103"/>
              <w:jc w:val="right"/>
              <w:rPr>
                <w:sz w:val="20"/>
              </w:rPr>
            </w:pPr>
            <w:r>
              <w:rPr>
                <w:spacing w:val="-2"/>
                <w:sz w:val="20"/>
              </w:rPr>
              <w:t>48,662</w:t>
            </w:r>
          </w:p>
        </w:tc>
        <w:tc>
          <w:tcPr>
            <w:tcW w:w="1613" w:type="dxa"/>
            <w:tcBorders>
              <w:top w:val="single" w:sz="8" w:space="0" w:color="000000"/>
              <w:bottom w:val="single" w:sz="8" w:space="0" w:color="000000"/>
            </w:tcBorders>
          </w:tcPr>
          <w:p>
            <w:pPr>
              <w:pStyle w:val="TableParagraph"/>
              <w:spacing w:line="222" w:lineRule="exact"/>
              <w:ind w:right="76"/>
              <w:jc w:val="right"/>
              <w:rPr>
                <w:sz w:val="20"/>
              </w:rPr>
            </w:pPr>
            <w:r>
              <w:rPr>
                <w:spacing w:val="-2"/>
                <w:sz w:val="20"/>
              </w:rPr>
              <w:t>43,943</w:t>
            </w:r>
          </w:p>
        </w:tc>
      </w:tr>
      <w:tr>
        <w:trPr>
          <w:trHeight w:val="270" w:hRule="atLeast"/>
        </w:trPr>
        <w:tc>
          <w:tcPr>
            <w:tcW w:w="5290" w:type="dxa"/>
            <w:shd w:val="clear" w:color="auto" w:fill="CCEDFF"/>
          </w:tcPr>
          <w:p>
            <w:pPr>
              <w:pStyle w:val="TableParagraph"/>
              <w:spacing w:line="222" w:lineRule="exact"/>
              <w:ind w:left="60"/>
              <w:rPr>
                <w:sz w:val="20"/>
              </w:rPr>
            </w:pPr>
            <w:r>
              <w:rPr>
                <w:spacing w:val="-2"/>
                <w:sz w:val="20"/>
              </w:rPr>
              <w:t>APAC:</w:t>
            </w:r>
          </w:p>
        </w:tc>
        <w:tc>
          <w:tcPr>
            <w:tcW w:w="1647" w:type="dxa"/>
            <w:tcBorders>
              <w:top w:val="single" w:sz="8" w:space="0" w:color="000000"/>
            </w:tcBorders>
            <w:shd w:val="clear" w:color="auto" w:fill="CCEDFF"/>
          </w:tcPr>
          <w:p>
            <w:pPr>
              <w:pStyle w:val="TableParagraph"/>
              <w:rPr>
                <w:sz w:val="18"/>
              </w:rPr>
            </w:pPr>
          </w:p>
        </w:tc>
        <w:tc>
          <w:tcPr>
            <w:tcW w:w="1700" w:type="dxa"/>
            <w:tcBorders>
              <w:top w:val="single" w:sz="8" w:space="0" w:color="000000"/>
            </w:tcBorders>
            <w:shd w:val="clear" w:color="auto" w:fill="CCEDFF"/>
          </w:tcPr>
          <w:p>
            <w:pPr>
              <w:pStyle w:val="TableParagraph"/>
              <w:rPr>
                <w:sz w:val="18"/>
              </w:rPr>
            </w:pPr>
          </w:p>
        </w:tc>
        <w:tc>
          <w:tcPr>
            <w:tcW w:w="1613" w:type="dxa"/>
            <w:tcBorders>
              <w:top w:val="single" w:sz="8" w:space="0" w:color="000000"/>
            </w:tcBorders>
            <w:shd w:val="clear" w:color="auto" w:fill="CCEDFF"/>
          </w:tcPr>
          <w:p>
            <w:pPr>
              <w:pStyle w:val="TableParagraph"/>
              <w:rPr>
                <w:sz w:val="18"/>
              </w:rPr>
            </w:pPr>
          </w:p>
        </w:tc>
      </w:tr>
      <w:tr>
        <w:trPr>
          <w:trHeight w:val="280" w:hRule="atLeast"/>
        </w:trPr>
        <w:tc>
          <w:tcPr>
            <w:tcW w:w="5290" w:type="dxa"/>
          </w:tcPr>
          <w:p>
            <w:pPr>
              <w:pStyle w:val="TableParagraph"/>
              <w:spacing w:before="2"/>
              <w:ind w:left="180"/>
              <w:rPr>
                <w:sz w:val="20"/>
              </w:rPr>
            </w:pPr>
            <w:r>
              <w:rPr>
                <w:spacing w:val="-2"/>
                <w:sz w:val="20"/>
              </w:rPr>
              <w:t>India</w:t>
            </w:r>
          </w:p>
        </w:tc>
        <w:tc>
          <w:tcPr>
            <w:tcW w:w="1647" w:type="dxa"/>
          </w:tcPr>
          <w:p>
            <w:pPr>
              <w:pStyle w:val="TableParagraph"/>
              <w:spacing w:before="2"/>
              <w:ind w:right="103"/>
              <w:jc w:val="right"/>
              <w:rPr>
                <w:sz w:val="20"/>
              </w:rPr>
            </w:pPr>
            <w:r>
              <w:rPr>
                <w:spacing w:val="-2"/>
                <w:sz w:val="20"/>
              </w:rPr>
              <w:t>109,051</w:t>
            </w:r>
          </w:p>
        </w:tc>
        <w:tc>
          <w:tcPr>
            <w:tcW w:w="1700" w:type="dxa"/>
          </w:tcPr>
          <w:p>
            <w:pPr>
              <w:pStyle w:val="TableParagraph"/>
              <w:spacing w:before="2"/>
              <w:ind w:right="103"/>
              <w:jc w:val="right"/>
              <w:rPr>
                <w:sz w:val="20"/>
              </w:rPr>
            </w:pPr>
            <w:r>
              <w:rPr>
                <w:spacing w:val="-2"/>
                <w:sz w:val="20"/>
              </w:rPr>
              <w:t>106,322</w:t>
            </w:r>
          </w:p>
        </w:tc>
        <w:tc>
          <w:tcPr>
            <w:tcW w:w="1613" w:type="dxa"/>
          </w:tcPr>
          <w:p>
            <w:pPr>
              <w:pStyle w:val="TableParagraph"/>
              <w:spacing w:before="2"/>
              <w:ind w:right="76"/>
              <w:jc w:val="right"/>
              <w:rPr>
                <w:sz w:val="20"/>
              </w:rPr>
            </w:pPr>
            <w:r>
              <w:rPr>
                <w:spacing w:val="-2"/>
                <w:sz w:val="20"/>
              </w:rPr>
              <w:t>111,662</w:t>
            </w:r>
          </w:p>
        </w:tc>
      </w:tr>
      <w:tr>
        <w:trPr>
          <w:trHeight w:val="270" w:hRule="atLeast"/>
        </w:trPr>
        <w:tc>
          <w:tcPr>
            <w:tcW w:w="5290" w:type="dxa"/>
            <w:shd w:val="clear" w:color="auto" w:fill="CCEDFF"/>
          </w:tcPr>
          <w:p>
            <w:pPr>
              <w:pStyle w:val="TableParagraph"/>
              <w:spacing w:before="2"/>
              <w:ind w:left="180"/>
              <w:rPr>
                <w:sz w:val="20"/>
              </w:rPr>
            </w:pPr>
            <w:r>
              <w:rPr>
                <w:spacing w:val="-2"/>
                <w:sz w:val="20"/>
              </w:rPr>
              <w:t>Other</w:t>
            </w:r>
          </w:p>
        </w:tc>
        <w:tc>
          <w:tcPr>
            <w:tcW w:w="1647" w:type="dxa"/>
            <w:tcBorders>
              <w:bottom w:val="single" w:sz="8" w:space="0" w:color="000000"/>
            </w:tcBorders>
            <w:shd w:val="clear" w:color="auto" w:fill="CCEDFF"/>
          </w:tcPr>
          <w:p>
            <w:pPr>
              <w:pStyle w:val="TableParagraph"/>
              <w:spacing w:before="2"/>
              <w:ind w:right="103"/>
              <w:jc w:val="right"/>
              <w:rPr>
                <w:sz w:val="20"/>
              </w:rPr>
            </w:pPr>
            <w:r>
              <w:rPr>
                <w:spacing w:val="-2"/>
                <w:sz w:val="20"/>
              </w:rPr>
              <w:t>17,554</w:t>
            </w:r>
          </w:p>
        </w:tc>
        <w:tc>
          <w:tcPr>
            <w:tcW w:w="1700" w:type="dxa"/>
            <w:tcBorders>
              <w:bottom w:val="single" w:sz="8" w:space="0" w:color="000000"/>
            </w:tcBorders>
            <w:shd w:val="clear" w:color="auto" w:fill="CCEDFF"/>
          </w:tcPr>
          <w:p>
            <w:pPr>
              <w:pStyle w:val="TableParagraph"/>
              <w:spacing w:before="2"/>
              <w:ind w:right="103"/>
              <w:jc w:val="right"/>
              <w:rPr>
                <w:sz w:val="20"/>
              </w:rPr>
            </w:pPr>
            <w:r>
              <w:rPr>
                <w:spacing w:val="-2"/>
                <w:sz w:val="20"/>
              </w:rPr>
              <w:t>17,898</w:t>
            </w:r>
          </w:p>
        </w:tc>
        <w:tc>
          <w:tcPr>
            <w:tcW w:w="1613" w:type="dxa"/>
            <w:tcBorders>
              <w:bottom w:val="single" w:sz="8" w:space="0" w:color="000000"/>
            </w:tcBorders>
            <w:shd w:val="clear" w:color="auto" w:fill="CCEDFF"/>
          </w:tcPr>
          <w:p>
            <w:pPr>
              <w:pStyle w:val="TableParagraph"/>
              <w:spacing w:before="2"/>
              <w:ind w:right="76"/>
              <w:jc w:val="right"/>
              <w:rPr>
                <w:sz w:val="20"/>
              </w:rPr>
            </w:pPr>
            <w:r>
              <w:rPr>
                <w:spacing w:val="-2"/>
                <w:sz w:val="20"/>
              </w:rPr>
              <w:t>10,267</w:t>
            </w:r>
          </w:p>
        </w:tc>
      </w:tr>
      <w:tr>
        <w:trPr>
          <w:trHeight w:val="260" w:hRule="atLeast"/>
        </w:trPr>
        <w:tc>
          <w:tcPr>
            <w:tcW w:w="5290" w:type="dxa"/>
          </w:tcPr>
          <w:p>
            <w:pPr>
              <w:pStyle w:val="TableParagraph"/>
              <w:spacing w:line="222" w:lineRule="exact"/>
              <w:ind w:left="420"/>
              <w:rPr>
                <w:sz w:val="20"/>
              </w:rPr>
            </w:pPr>
            <w:r>
              <w:rPr>
                <w:spacing w:val="-4"/>
                <w:sz w:val="20"/>
              </w:rPr>
              <w:t>Total</w:t>
            </w:r>
            <w:r>
              <w:rPr>
                <w:spacing w:val="-6"/>
                <w:sz w:val="20"/>
              </w:rPr>
              <w:t> </w:t>
            </w:r>
            <w:r>
              <w:rPr>
                <w:spacing w:val="-4"/>
                <w:sz w:val="20"/>
              </w:rPr>
              <w:t>APAC</w:t>
            </w:r>
          </w:p>
        </w:tc>
        <w:tc>
          <w:tcPr>
            <w:tcW w:w="1647" w:type="dxa"/>
            <w:tcBorders>
              <w:top w:val="single" w:sz="8" w:space="0" w:color="000000"/>
              <w:bottom w:val="single" w:sz="8" w:space="0" w:color="000000"/>
            </w:tcBorders>
          </w:tcPr>
          <w:p>
            <w:pPr>
              <w:pStyle w:val="TableParagraph"/>
              <w:spacing w:line="222" w:lineRule="exact"/>
              <w:ind w:right="103"/>
              <w:jc w:val="right"/>
              <w:rPr>
                <w:sz w:val="20"/>
              </w:rPr>
            </w:pPr>
            <w:r>
              <w:rPr>
                <w:spacing w:val="-2"/>
                <w:sz w:val="20"/>
              </w:rPr>
              <w:t>126,605</w:t>
            </w:r>
          </w:p>
        </w:tc>
        <w:tc>
          <w:tcPr>
            <w:tcW w:w="1700" w:type="dxa"/>
            <w:tcBorders>
              <w:top w:val="single" w:sz="8" w:space="0" w:color="000000"/>
              <w:bottom w:val="single" w:sz="8" w:space="0" w:color="000000"/>
            </w:tcBorders>
          </w:tcPr>
          <w:p>
            <w:pPr>
              <w:pStyle w:val="TableParagraph"/>
              <w:spacing w:line="222" w:lineRule="exact"/>
              <w:ind w:right="103"/>
              <w:jc w:val="right"/>
              <w:rPr>
                <w:sz w:val="20"/>
              </w:rPr>
            </w:pPr>
            <w:r>
              <w:rPr>
                <w:spacing w:val="-2"/>
                <w:sz w:val="20"/>
              </w:rPr>
              <w:t>124,220</w:t>
            </w:r>
          </w:p>
        </w:tc>
        <w:tc>
          <w:tcPr>
            <w:tcW w:w="1613" w:type="dxa"/>
            <w:tcBorders>
              <w:top w:val="single" w:sz="8" w:space="0" w:color="000000"/>
              <w:bottom w:val="single" w:sz="8" w:space="0" w:color="000000"/>
            </w:tcBorders>
          </w:tcPr>
          <w:p>
            <w:pPr>
              <w:pStyle w:val="TableParagraph"/>
              <w:spacing w:line="222" w:lineRule="exact"/>
              <w:ind w:right="76"/>
              <w:jc w:val="right"/>
              <w:rPr>
                <w:sz w:val="20"/>
              </w:rPr>
            </w:pPr>
            <w:r>
              <w:rPr>
                <w:spacing w:val="-2"/>
                <w:sz w:val="20"/>
              </w:rPr>
              <w:t>121,929</w:t>
            </w:r>
          </w:p>
        </w:tc>
      </w:tr>
      <w:tr>
        <w:trPr>
          <w:trHeight w:val="220" w:hRule="atLeast"/>
        </w:trPr>
        <w:tc>
          <w:tcPr>
            <w:tcW w:w="5290" w:type="dxa"/>
            <w:shd w:val="clear" w:color="auto" w:fill="CCEDFF"/>
          </w:tcPr>
          <w:p>
            <w:pPr>
              <w:pStyle w:val="TableParagraph"/>
              <w:spacing w:line="200" w:lineRule="exact"/>
              <w:ind w:left="60"/>
              <w:rPr>
                <w:sz w:val="20"/>
              </w:rPr>
            </w:pPr>
            <w:r>
              <w:rPr>
                <w:sz w:val="20"/>
              </w:rPr>
              <w:t>Property and equipment, </w:t>
            </w:r>
            <w:r>
              <w:rPr>
                <w:spacing w:val="-5"/>
                <w:sz w:val="20"/>
              </w:rPr>
              <w:t>net</w:t>
            </w:r>
          </w:p>
        </w:tc>
        <w:tc>
          <w:tcPr>
            <w:tcW w:w="1647" w:type="dxa"/>
            <w:tcBorders>
              <w:top w:val="single" w:sz="8" w:space="0" w:color="000000"/>
              <w:bottom w:val="double" w:sz="8" w:space="0" w:color="000000"/>
            </w:tcBorders>
            <w:shd w:val="clear" w:color="auto" w:fill="CCEDFF"/>
          </w:tcPr>
          <w:p>
            <w:pPr>
              <w:pStyle w:val="TableParagraph"/>
              <w:tabs>
                <w:tab w:pos="842" w:val="left" w:leader="none"/>
              </w:tabs>
              <w:spacing w:line="200" w:lineRule="exact"/>
              <w:ind w:right="103"/>
              <w:jc w:val="right"/>
              <w:rPr>
                <w:sz w:val="20"/>
              </w:rPr>
            </w:pPr>
            <w:r>
              <w:rPr>
                <w:spacing w:val="-10"/>
                <w:sz w:val="20"/>
              </w:rPr>
              <w:t>$</w:t>
            </w:r>
            <w:r>
              <w:rPr>
                <w:sz w:val="20"/>
              </w:rPr>
              <w:tab/>
            </w:r>
            <w:r>
              <w:rPr>
                <w:spacing w:val="-2"/>
                <w:sz w:val="20"/>
              </w:rPr>
              <w:t>936,976</w:t>
            </w:r>
          </w:p>
        </w:tc>
        <w:tc>
          <w:tcPr>
            <w:tcW w:w="1700" w:type="dxa"/>
            <w:tcBorders>
              <w:top w:val="single" w:sz="8" w:space="0" w:color="000000"/>
              <w:bottom w:val="double" w:sz="8" w:space="0" w:color="000000"/>
            </w:tcBorders>
            <w:shd w:val="clear" w:color="auto" w:fill="CCEDFF"/>
          </w:tcPr>
          <w:p>
            <w:pPr>
              <w:pStyle w:val="TableParagraph"/>
              <w:tabs>
                <w:tab w:pos="842" w:val="left" w:leader="none"/>
              </w:tabs>
              <w:spacing w:line="200" w:lineRule="exact"/>
              <w:ind w:right="103"/>
              <w:jc w:val="right"/>
              <w:rPr>
                <w:sz w:val="20"/>
              </w:rPr>
            </w:pPr>
            <w:r>
              <w:rPr>
                <w:spacing w:val="-10"/>
                <w:sz w:val="20"/>
              </w:rPr>
              <w:t>$</w:t>
            </w:r>
            <w:r>
              <w:rPr>
                <w:sz w:val="20"/>
              </w:rPr>
              <w:tab/>
            </w:r>
            <w:r>
              <w:rPr>
                <w:spacing w:val="-2"/>
                <w:sz w:val="20"/>
              </w:rPr>
              <w:t>816,264</w:t>
            </w:r>
          </w:p>
        </w:tc>
        <w:tc>
          <w:tcPr>
            <w:tcW w:w="1613" w:type="dxa"/>
            <w:tcBorders>
              <w:top w:val="single" w:sz="8" w:space="0" w:color="000000"/>
              <w:bottom w:val="double" w:sz="8" w:space="0" w:color="000000"/>
            </w:tcBorders>
            <w:shd w:val="clear" w:color="auto" w:fill="CCEDFF"/>
          </w:tcPr>
          <w:p>
            <w:pPr>
              <w:pStyle w:val="TableParagraph"/>
              <w:tabs>
                <w:tab w:pos="782" w:val="left" w:leader="none"/>
              </w:tabs>
              <w:spacing w:line="200" w:lineRule="exact"/>
              <w:ind w:right="76"/>
              <w:jc w:val="right"/>
              <w:rPr>
                <w:sz w:val="20"/>
              </w:rPr>
            </w:pPr>
            <w:r>
              <w:rPr>
                <w:spacing w:val="-10"/>
                <w:sz w:val="20"/>
              </w:rPr>
              <w:t>$</w:t>
            </w:r>
            <w:r>
              <w:rPr>
                <w:sz w:val="20"/>
              </w:rPr>
              <w:tab/>
            </w:r>
            <w:r>
              <w:rPr>
                <w:spacing w:val="-2"/>
                <w:sz w:val="20"/>
              </w:rPr>
              <w:t>787,421</w:t>
            </w:r>
          </w:p>
        </w:tc>
      </w:tr>
      <w:tr>
        <w:trPr>
          <w:trHeight w:val="443" w:hRule="atLeast"/>
        </w:trPr>
        <w:tc>
          <w:tcPr>
            <w:tcW w:w="5290" w:type="dxa"/>
          </w:tcPr>
          <w:p>
            <w:pPr>
              <w:pStyle w:val="TableParagraph"/>
              <w:spacing w:line="210" w:lineRule="exact" w:before="213"/>
              <w:ind w:left="50"/>
              <w:rPr>
                <w:i/>
                <w:sz w:val="20"/>
              </w:rPr>
            </w:pPr>
            <w:r>
              <w:rPr>
                <w:i/>
                <w:sz w:val="20"/>
              </w:rPr>
              <w:t>Significant</w:t>
            </w:r>
            <w:r>
              <w:rPr>
                <w:i/>
                <w:spacing w:val="-1"/>
                <w:sz w:val="20"/>
              </w:rPr>
              <w:t> </w:t>
            </w:r>
            <w:r>
              <w:rPr>
                <w:i/>
                <w:spacing w:val="-2"/>
                <w:sz w:val="20"/>
              </w:rPr>
              <w:t>Customers</w:t>
            </w:r>
          </w:p>
        </w:tc>
        <w:tc>
          <w:tcPr>
            <w:tcW w:w="1647" w:type="dxa"/>
            <w:tcBorders>
              <w:top w:val="double" w:sz="8" w:space="0" w:color="000000"/>
            </w:tcBorders>
          </w:tcPr>
          <w:p>
            <w:pPr>
              <w:pStyle w:val="TableParagraph"/>
              <w:rPr>
                <w:sz w:val="18"/>
              </w:rPr>
            </w:pPr>
          </w:p>
        </w:tc>
        <w:tc>
          <w:tcPr>
            <w:tcW w:w="1700" w:type="dxa"/>
            <w:tcBorders>
              <w:top w:val="double" w:sz="8" w:space="0" w:color="000000"/>
            </w:tcBorders>
          </w:tcPr>
          <w:p>
            <w:pPr>
              <w:pStyle w:val="TableParagraph"/>
              <w:rPr>
                <w:sz w:val="18"/>
              </w:rPr>
            </w:pPr>
          </w:p>
        </w:tc>
        <w:tc>
          <w:tcPr>
            <w:tcW w:w="1613" w:type="dxa"/>
            <w:tcBorders>
              <w:top w:val="double" w:sz="8" w:space="0" w:color="000000"/>
            </w:tcBorders>
          </w:tcPr>
          <w:p>
            <w:pPr>
              <w:pStyle w:val="TableParagraph"/>
              <w:rPr>
                <w:sz w:val="18"/>
              </w:rPr>
            </w:pPr>
          </w:p>
        </w:tc>
      </w:tr>
    </w:tbl>
    <w:p>
      <w:pPr>
        <w:pStyle w:val="BodyText"/>
        <w:spacing w:line="249" w:lineRule="auto" w:before="191"/>
        <w:ind w:left="220" w:firstLine="540"/>
      </w:pPr>
      <w:r>
        <w:rPr/>
        <w:t>For</w:t>
      </w:r>
      <w:r>
        <w:rPr>
          <w:spacing w:val="-7"/>
        </w:rPr>
        <w:t> </w:t>
      </w:r>
      <w:r>
        <w:rPr/>
        <w:t>fiscal</w:t>
      </w:r>
      <w:r>
        <w:rPr>
          <w:spacing w:val="-7"/>
        </w:rPr>
        <w:t> </w:t>
      </w:r>
      <w:r>
        <w:rPr/>
        <w:t>2017,</w:t>
      </w:r>
      <w:r>
        <w:rPr>
          <w:spacing w:val="-6"/>
        </w:rPr>
        <w:t> </w:t>
      </w:r>
      <w:r>
        <w:rPr/>
        <w:t>2016</w:t>
      </w:r>
      <w:r>
        <w:rPr>
          <w:spacing w:val="-6"/>
        </w:rPr>
        <w:t> </w:t>
      </w:r>
      <w:r>
        <w:rPr/>
        <w:t>and</w:t>
      </w:r>
      <w:r>
        <w:rPr>
          <w:spacing w:val="-6"/>
        </w:rPr>
        <w:t> </w:t>
      </w:r>
      <w:r>
        <w:rPr/>
        <w:t>2015</w:t>
      </w:r>
      <w:r>
        <w:rPr>
          <w:spacing w:val="-6"/>
        </w:rPr>
        <w:t> </w:t>
      </w:r>
      <w:r>
        <w:rPr/>
        <w:t>there</w:t>
      </w:r>
      <w:r>
        <w:rPr>
          <w:spacing w:val="-7"/>
        </w:rPr>
        <w:t> </w:t>
      </w:r>
      <w:r>
        <w:rPr/>
        <w:t>were</w:t>
      </w:r>
      <w:r>
        <w:rPr>
          <w:spacing w:val="-7"/>
        </w:rPr>
        <w:t> </w:t>
      </w:r>
      <w:r>
        <w:rPr/>
        <w:t>no</w:t>
      </w:r>
      <w:r>
        <w:rPr>
          <w:spacing w:val="-6"/>
        </w:rPr>
        <w:t> </w:t>
      </w:r>
      <w:r>
        <w:rPr/>
        <w:t>customers</w:t>
      </w:r>
      <w:r>
        <w:rPr>
          <w:spacing w:val="-6"/>
        </w:rPr>
        <w:t> </w:t>
      </w:r>
      <w:r>
        <w:rPr/>
        <w:t>that</w:t>
      </w:r>
      <w:r>
        <w:rPr>
          <w:spacing w:val="-6"/>
        </w:rPr>
        <w:t> </w:t>
      </w:r>
      <w:r>
        <w:rPr/>
        <w:t>represented</w:t>
      </w:r>
      <w:r>
        <w:rPr>
          <w:spacing w:val="-6"/>
        </w:rPr>
        <w:t> </w:t>
      </w:r>
      <w:r>
        <w:rPr/>
        <w:t>at</w:t>
      </w:r>
      <w:r>
        <w:rPr>
          <w:spacing w:val="-6"/>
        </w:rPr>
        <w:t> </w:t>
      </w:r>
      <w:r>
        <w:rPr/>
        <w:t>least</w:t>
      </w:r>
      <w:r>
        <w:rPr>
          <w:spacing w:val="-7"/>
        </w:rPr>
        <w:t> </w:t>
      </w:r>
      <w:r>
        <w:rPr/>
        <w:t>10%</w:t>
      </w:r>
      <w:r>
        <w:rPr>
          <w:spacing w:val="-6"/>
        </w:rPr>
        <w:t> </w:t>
      </w:r>
      <w:r>
        <w:rPr/>
        <w:t>of</w:t>
      </w:r>
      <w:r>
        <w:rPr>
          <w:spacing w:val="-6"/>
        </w:rPr>
        <w:t> </w:t>
      </w:r>
      <w:r>
        <w:rPr/>
        <w:t>net</w:t>
      </w:r>
      <w:r>
        <w:rPr>
          <w:spacing w:val="-6"/>
        </w:rPr>
        <w:t> </w:t>
      </w:r>
      <w:r>
        <w:rPr/>
        <w:t>revenue.</w:t>
      </w:r>
      <w:r>
        <w:rPr>
          <w:spacing w:val="-15"/>
        </w:rPr>
        <w:t> </w:t>
      </w:r>
      <w:r>
        <w:rPr/>
        <w:t>As</w:t>
      </w:r>
      <w:r>
        <w:rPr>
          <w:spacing w:val="-7"/>
        </w:rPr>
        <w:t> </w:t>
      </w:r>
      <w:r>
        <w:rPr/>
        <w:t>of</w:t>
      </w:r>
      <w:r>
        <w:rPr>
          <w:spacing w:val="-6"/>
        </w:rPr>
        <w:t> </w:t>
      </w:r>
      <w:r>
        <w:rPr/>
        <w:t>fiscal</w:t>
      </w:r>
      <w:r>
        <w:rPr>
          <w:spacing w:val="-7"/>
        </w:rPr>
        <w:t> </w:t>
      </w:r>
      <w:r>
        <w:rPr/>
        <w:t>year</w:t>
      </w:r>
      <w:r>
        <w:rPr>
          <w:spacing w:val="-6"/>
        </w:rPr>
        <w:t> </w:t>
      </w:r>
      <w:r>
        <w:rPr/>
        <w:t>end 2017 and 2016, no single customer was responsible for over 10% of our trade receivables.</w:t>
      </w:r>
    </w:p>
    <w:p>
      <w:pPr>
        <w:pStyle w:val="BodyText"/>
        <w:spacing w:before="131"/>
      </w:pPr>
    </w:p>
    <w:p>
      <w:pPr>
        <w:pStyle w:val="Heading2"/>
        <w:ind w:left="210"/>
      </w:pPr>
      <w:bookmarkStart w:name="NOTE 18. SELECTED QUARTERLY FINANCIAL DA" w:id="93"/>
      <w:bookmarkEnd w:id="93"/>
      <w:r>
        <w:rPr>
          <w:b w:val="0"/>
        </w:rPr>
      </w:r>
      <w:r>
        <w:rPr>
          <w:spacing w:val="-2"/>
        </w:rPr>
        <w:t>NOTE</w:t>
      </w:r>
      <w:r>
        <w:rPr>
          <w:spacing w:val="1"/>
        </w:rPr>
        <w:t> </w:t>
      </w:r>
      <w:r>
        <w:rPr>
          <w:spacing w:val="-2"/>
        </w:rPr>
        <w:t>18.</w:t>
      </w:r>
      <w:r>
        <w:rPr>
          <w:spacing w:val="52"/>
        </w:rPr>
        <w:t> </w:t>
      </w:r>
      <w:r>
        <w:rPr>
          <w:spacing w:val="-2"/>
        </w:rPr>
        <w:t>SELECTED</w:t>
      </w:r>
      <w:r>
        <w:rPr/>
        <w:t> </w:t>
      </w:r>
      <w:r>
        <w:rPr>
          <w:spacing w:val="-2"/>
        </w:rPr>
        <w:t>QUARTERLY</w:t>
      </w:r>
      <w:r>
        <w:rPr>
          <w:spacing w:val="-7"/>
        </w:rPr>
        <w:t> </w:t>
      </w:r>
      <w:r>
        <w:rPr>
          <w:spacing w:val="-2"/>
        </w:rPr>
        <w:t>FINANCIAL</w:t>
      </w:r>
      <w:r>
        <w:rPr>
          <w:spacing w:val="-11"/>
        </w:rPr>
        <w:t> </w:t>
      </w:r>
      <w:r>
        <w:rPr>
          <w:spacing w:val="-2"/>
        </w:rPr>
        <w:t>DATA</w:t>
      </w:r>
      <w:r>
        <w:rPr>
          <w:spacing w:val="-11"/>
        </w:rPr>
        <w:t> </w:t>
      </w:r>
      <w:r>
        <w:rPr>
          <w:spacing w:val="-2"/>
        </w:rPr>
        <w:t>(unaudited)</w:t>
      </w:r>
    </w:p>
    <w:p>
      <w:pPr>
        <w:pStyle w:val="BodyText"/>
        <w:rPr>
          <w:b/>
          <w:sz w:val="16"/>
        </w:rPr>
      </w:pPr>
    </w:p>
    <w:p>
      <w:pPr>
        <w:pStyle w:val="BodyText"/>
        <w:spacing w:before="25"/>
        <w:rPr>
          <w:b/>
          <w:sz w:val="16"/>
        </w:rPr>
      </w:pPr>
    </w:p>
    <w:p>
      <w:pPr>
        <w:spacing w:before="0"/>
        <w:ind w:left="7770" w:right="0" w:firstLine="0"/>
        <w:jc w:val="left"/>
        <w:rPr>
          <w:b/>
          <w:sz w:val="16"/>
        </w:rPr>
      </w:pPr>
      <w:r>
        <w:rPr/>
        <mc:AlternateContent>
          <mc:Choice Requires="wps">
            <w:drawing>
              <wp:anchor distT="0" distB="0" distL="0" distR="0" allowOverlap="1" layoutInCell="1" locked="0" behindDoc="1" simplePos="0" relativeHeight="487698944">
                <wp:simplePos x="0" y="0"/>
                <wp:positionH relativeFrom="page">
                  <wp:posOffset>3937000</wp:posOffset>
                </wp:positionH>
                <wp:positionV relativeFrom="paragraph">
                  <wp:posOffset>148928</wp:posOffset>
                </wp:positionV>
                <wp:extent cx="3200400" cy="1270"/>
                <wp:effectExtent l="0" t="0" r="0" b="0"/>
                <wp:wrapTopAndBottom/>
                <wp:docPr id="561" name="Graphic 561"/>
                <wp:cNvGraphicFramePr>
                  <a:graphicFrameLocks/>
                </wp:cNvGraphicFramePr>
                <a:graphic>
                  <a:graphicData uri="http://schemas.microsoft.com/office/word/2010/wordprocessingShape">
                    <wps:wsp>
                      <wps:cNvPr id="561" name="Graphic 561"/>
                      <wps:cNvSpPr/>
                      <wps:spPr>
                        <a:xfrm>
                          <a:off x="0" y="0"/>
                          <a:ext cx="3200400" cy="1270"/>
                        </a:xfrm>
                        <a:custGeom>
                          <a:avLst/>
                          <a:gdLst/>
                          <a:ahLst/>
                          <a:cxnLst/>
                          <a:rect l="l" t="t" r="r" b="b"/>
                          <a:pathLst>
                            <a:path w="3200400" h="0">
                              <a:moveTo>
                                <a:pt x="0" y="0"/>
                              </a:moveTo>
                              <a:lnTo>
                                <a:pt x="762000" y="0"/>
                              </a:lnTo>
                            </a:path>
                            <a:path w="3200400" h="0">
                              <a:moveTo>
                                <a:pt x="762000" y="0"/>
                              </a:moveTo>
                              <a:lnTo>
                                <a:pt x="812800" y="0"/>
                              </a:lnTo>
                            </a:path>
                            <a:path w="3200400" h="0">
                              <a:moveTo>
                                <a:pt x="812800" y="0"/>
                              </a:moveTo>
                              <a:lnTo>
                                <a:pt x="1574800" y="0"/>
                              </a:lnTo>
                            </a:path>
                            <a:path w="3200400" h="0">
                              <a:moveTo>
                                <a:pt x="1574800" y="0"/>
                              </a:moveTo>
                              <a:lnTo>
                                <a:pt x="1625600" y="0"/>
                              </a:lnTo>
                            </a:path>
                            <a:path w="3200400" h="0">
                              <a:moveTo>
                                <a:pt x="1625600" y="0"/>
                              </a:moveTo>
                              <a:lnTo>
                                <a:pt x="2387600" y="0"/>
                              </a:lnTo>
                            </a:path>
                            <a:path w="3200400" h="0">
                              <a:moveTo>
                                <a:pt x="2387600" y="0"/>
                              </a:moveTo>
                              <a:lnTo>
                                <a:pt x="2438400" y="0"/>
                              </a:lnTo>
                            </a:path>
                            <a:path w="3200400" h="0">
                              <a:moveTo>
                                <a:pt x="2438400" y="0"/>
                              </a:moveTo>
                              <a:lnTo>
                                <a:pt x="3200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0pt;margin-top:11.72668pt;width:252pt;height:.1pt;mso-position-horizontal-relative:page;mso-position-vertical-relative:paragraph;z-index:-15617536;mso-wrap-distance-left:0;mso-wrap-distance-right:0" id="docshape444" coordorigin="6200,235" coordsize="5040,0" path="m6200,235l7400,235m7400,235l7480,235m7480,235l8680,235m8680,235l8760,235m8760,235l9960,235m9960,235l10040,235m10040,235l11240,235e" filled="false" stroked="true" strokeweight="1pt" strokecolor="#000000">
                <v:path arrowok="t"/>
                <v:stroke dashstyle="solid"/>
                <w10:wrap type="topAndBottom"/>
              </v:shape>
            </w:pict>
          </mc:Fallback>
        </mc:AlternateContent>
      </w:r>
      <w:r>
        <w:rPr>
          <w:b/>
          <w:spacing w:val="-4"/>
          <w:sz w:val="16"/>
        </w:rPr>
        <w:t>2017</w:t>
      </w:r>
    </w:p>
    <w:p>
      <w:pPr>
        <w:tabs>
          <w:tab w:pos="7433" w:val="left" w:leader="none"/>
        </w:tabs>
        <w:spacing w:before="16" w:after="40"/>
        <w:ind w:left="270" w:right="0" w:firstLine="0"/>
        <w:jc w:val="left"/>
        <w:rPr>
          <w:b/>
          <w:sz w:val="16"/>
        </w:rPr>
      </w:pPr>
      <w:r>
        <w:rPr>
          <w:b/>
          <w:position w:val="1"/>
          <w:sz w:val="16"/>
        </w:rPr>
        <w:t>(in</w:t>
      </w:r>
      <w:r>
        <w:rPr>
          <w:b/>
          <w:spacing w:val="-5"/>
          <w:position w:val="1"/>
          <w:sz w:val="16"/>
        </w:rPr>
        <w:t> </w:t>
      </w:r>
      <w:r>
        <w:rPr>
          <w:b/>
          <w:position w:val="1"/>
          <w:sz w:val="16"/>
        </w:rPr>
        <w:t>thousands,</w:t>
      </w:r>
      <w:r>
        <w:rPr>
          <w:b/>
          <w:spacing w:val="-1"/>
          <w:position w:val="1"/>
          <w:sz w:val="16"/>
        </w:rPr>
        <w:t> </w:t>
      </w:r>
      <w:r>
        <w:rPr>
          <w:b/>
          <w:position w:val="1"/>
          <w:sz w:val="16"/>
        </w:rPr>
        <w:t>except</w:t>
      </w:r>
      <w:r>
        <w:rPr>
          <w:b/>
          <w:spacing w:val="-1"/>
          <w:position w:val="1"/>
          <w:sz w:val="16"/>
        </w:rPr>
        <w:t> </w:t>
      </w:r>
      <w:r>
        <w:rPr>
          <w:b/>
          <w:position w:val="1"/>
          <w:sz w:val="16"/>
        </w:rPr>
        <w:t>per</w:t>
      </w:r>
      <w:r>
        <w:rPr>
          <w:b/>
          <w:spacing w:val="-4"/>
          <w:position w:val="1"/>
          <w:sz w:val="16"/>
        </w:rPr>
        <w:t> </w:t>
      </w:r>
      <w:r>
        <w:rPr>
          <w:b/>
          <w:position w:val="1"/>
          <w:sz w:val="16"/>
        </w:rPr>
        <w:t>share</w:t>
      </w:r>
      <w:r>
        <w:rPr>
          <w:b/>
          <w:spacing w:val="-1"/>
          <w:position w:val="1"/>
          <w:sz w:val="16"/>
        </w:rPr>
        <w:t> </w:t>
      </w:r>
      <w:r>
        <w:rPr>
          <w:b/>
          <w:spacing w:val="-2"/>
          <w:position w:val="1"/>
          <w:sz w:val="16"/>
        </w:rPr>
        <w:t>data)</w:t>
      </w:r>
      <w:r>
        <w:rPr>
          <w:b/>
          <w:position w:val="1"/>
          <w:sz w:val="16"/>
        </w:rPr>
        <w:tab/>
      </w:r>
      <w:r>
        <w:rPr>
          <w:b/>
          <w:sz w:val="16"/>
        </w:rPr>
        <w:t>Quarter</w:t>
      </w:r>
      <w:r>
        <w:rPr>
          <w:b/>
          <w:spacing w:val="-4"/>
          <w:sz w:val="16"/>
        </w:rPr>
        <w:t> </w:t>
      </w:r>
      <w:r>
        <w:rPr>
          <w:b/>
          <w:spacing w:val="-2"/>
          <w:sz w:val="16"/>
        </w:rPr>
        <w:t>Ended</w:t>
      </w: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0"/>
        <w:gridCol w:w="1227"/>
        <w:gridCol w:w="1280"/>
        <w:gridCol w:w="1280"/>
        <w:gridCol w:w="1263"/>
      </w:tblGrid>
      <w:tr>
        <w:trPr>
          <w:trHeight w:val="260" w:hRule="atLeast"/>
        </w:trPr>
        <w:tc>
          <w:tcPr>
            <w:tcW w:w="5200" w:type="dxa"/>
          </w:tcPr>
          <w:p>
            <w:pPr>
              <w:pStyle w:val="TableParagraph"/>
              <w:rPr>
                <w:sz w:val="18"/>
              </w:rPr>
            </w:pPr>
          </w:p>
        </w:tc>
        <w:tc>
          <w:tcPr>
            <w:tcW w:w="1227" w:type="dxa"/>
            <w:tcBorders>
              <w:top w:val="single" w:sz="8" w:space="0" w:color="000000"/>
              <w:bottom w:val="single" w:sz="8" w:space="0" w:color="000000"/>
            </w:tcBorders>
          </w:tcPr>
          <w:p>
            <w:pPr>
              <w:pStyle w:val="TableParagraph"/>
              <w:spacing w:before="36"/>
              <w:ind w:right="44"/>
              <w:jc w:val="center"/>
              <w:rPr>
                <w:b/>
                <w:sz w:val="16"/>
              </w:rPr>
            </w:pPr>
            <w:r>
              <w:rPr>
                <w:b/>
                <w:sz w:val="16"/>
              </w:rPr>
              <w:t>March</w:t>
            </w:r>
            <w:r>
              <w:rPr>
                <w:b/>
                <w:spacing w:val="-4"/>
                <w:sz w:val="16"/>
              </w:rPr>
              <w:t> </w:t>
            </w:r>
            <w:r>
              <w:rPr>
                <w:b/>
                <w:spacing w:val="-10"/>
                <w:sz w:val="16"/>
              </w:rPr>
              <w:t>3</w:t>
            </w:r>
          </w:p>
        </w:tc>
        <w:tc>
          <w:tcPr>
            <w:tcW w:w="1280" w:type="dxa"/>
            <w:tcBorders>
              <w:top w:val="single" w:sz="8" w:space="0" w:color="000000"/>
              <w:bottom w:val="single" w:sz="8" w:space="0" w:color="000000"/>
            </w:tcBorders>
          </w:tcPr>
          <w:p>
            <w:pPr>
              <w:pStyle w:val="TableParagraph"/>
              <w:spacing w:before="36"/>
              <w:ind w:left="6" w:right="1"/>
              <w:jc w:val="center"/>
              <w:rPr>
                <w:b/>
                <w:sz w:val="16"/>
              </w:rPr>
            </w:pPr>
            <w:r>
              <w:rPr>
                <w:b/>
                <w:sz w:val="16"/>
              </w:rPr>
              <w:t>June </w:t>
            </w:r>
            <w:r>
              <w:rPr>
                <w:b/>
                <w:spacing w:val="-10"/>
                <w:sz w:val="16"/>
              </w:rPr>
              <w:t>2</w:t>
            </w:r>
          </w:p>
        </w:tc>
        <w:tc>
          <w:tcPr>
            <w:tcW w:w="1280" w:type="dxa"/>
            <w:tcBorders>
              <w:top w:val="single" w:sz="8" w:space="0" w:color="000000"/>
              <w:bottom w:val="single" w:sz="8" w:space="0" w:color="000000"/>
            </w:tcBorders>
          </w:tcPr>
          <w:p>
            <w:pPr>
              <w:pStyle w:val="TableParagraph"/>
              <w:spacing w:before="36"/>
              <w:ind w:left="7" w:right="1"/>
              <w:jc w:val="center"/>
              <w:rPr>
                <w:b/>
                <w:sz w:val="16"/>
              </w:rPr>
            </w:pPr>
            <w:r>
              <w:rPr>
                <w:b/>
                <w:sz w:val="16"/>
              </w:rPr>
              <w:t>September</w:t>
            </w:r>
            <w:r>
              <w:rPr>
                <w:b/>
                <w:spacing w:val="-2"/>
                <w:sz w:val="16"/>
              </w:rPr>
              <w:t> </w:t>
            </w:r>
            <w:r>
              <w:rPr>
                <w:b/>
                <w:spacing w:val="-10"/>
                <w:sz w:val="16"/>
              </w:rPr>
              <w:t>1</w:t>
            </w:r>
          </w:p>
        </w:tc>
        <w:tc>
          <w:tcPr>
            <w:tcW w:w="1263" w:type="dxa"/>
            <w:tcBorders>
              <w:top w:val="single" w:sz="8" w:space="0" w:color="000000"/>
              <w:bottom w:val="single" w:sz="8" w:space="0" w:color="000000"/>
            </w:tcBorders>
          </w:tcPr>
          <w:p>
            <w:pPr>
              <w:pStyle w:val="TableParagraph"/>
              <w:spacing w:before="36"/>
              <w:ind w:left="23"/>
              <w:jc w:val="center"/>
              <w:rPr>
                <w:b/>
                <w:sz w:val="16"/>
              </w:rPr>
            </w:pPr>
            <w:r>
              <w:rPr>
                <w:b/>
                <w:sz w:val="16"/>
              </w:rPr>
              <w:t>December</w:t>
            </w:r>
            <w:r>
              <w:rPr>
                <w:b/>
                <w:spacing w:val="-4"/>
                <w:sz w:val="16"/>
              </w:rPr>
              <w:t> </w:t>
            </w:r>
            <w:r>
              <w:rPr>
                <w:b/>
                <w:spacing w:val="-10"/>
                <w:sz w:val="16"/>
              </w:rPr>
              <w:t>1</w:t>
            </w:r>
          </w:p>
        </w:tc>
      </w:tr>
      <w:tr>
        <w:trPr>
          <w:trHeight w:val="270" w:hRule="atLeast"/>
        </w:trPr>
        <w:tc>
          <w:tcPr>
            <w:tcW w:w="5200" w:type="dxa"/>
            <w:shd w:val="clear" w:color="auto" w:fill="CCEDFF"/>
          </w:tcPr>
          <w:p>
            <w:pPr>
              <w:pStyle w:val="TableParagraph"/>
              <w:spacing w:line="222" w:lineRule="exact"/>
              <w:ind w:left="50"/>
              <w:rPr>
                <w:sz w:val="20"/>
              </w:rPr>
            </w:pPr>
            <w:r>
              <w:rPr>
                <w:spacing w:val="-2"/>
                <w:sz w:val="20"/>
              </w:rPr>
              <w:t>Revenue</w:t>
            </w:r>
          </w:p>
        </w:tc>
        <w:tc>
          <w:tcPr>
            <w:tcW w:w="1227" w:type="dxa"/>
            <w:tcBorders>
              <w:top w:val="single" w:sz="8" w:space="0" w:color="000000"/>
            </w:tcBorders>
            <w:shd w:val="clear" w:color="auto" w:fill="CCEDFF"/>
          </w:tcPr>
          <w:p>
            <w:pPr>
              <w:pStyle w:val="TableParagraph"/>
              <w:spacing w:line="222" w:lineRule="exact"/>
              <w:ind w:right="54"/>
              <w:jc w:val="center"/>
              <w:rPr>
                <w:sz w:val="20"/>
              </w:rPr>
            </w:pPr>
            <w:r>
              <w:rPr>
                <w:sz w:val="20"/>
              </w:rPr>
              <w:t>$</w:t>
            </w:r>
            <w:r>
              <w:rPr>
                <w:spacing w:val="36"/>
                <w:sz w:val="20"/>
              </w:rPr>
              <w:t>  </w:t>
            </w:r>
            <w:r>
              <w:rPr>
                <w:spacing w:val="-2"/>
                <w:sz w:val="20"/>
              </w:rPr>
              <w:t>1,681,646</w:t>
            </w:r>
          </w:p>
        </w:tc>
        <w:tc>
          <w:tcPr>
            <w:tcW w:w="1280" w:type="dxa"/>
            <w:tcBorders>
              <w:top w:val="single" w:sz="8" w:space="0" w:color="000000"/>
            </w:tcBorders>
            <w:shd w:val="clear" w:color="auto" w:fill="CCEDFF"/>
          </w:tcPr>
          <w:p>
            <w:pPr>
              <w:pStyle w:val="TableParagraph"/>
              <w:spacing w:line="222" w:lineRule="exact"/>
              <w:ind w:left="6" w:right="7"/>
              <w:jc w:val="center"/>
              <w:rPr>
                <w:sz w:val="20"/>
              </w:rPr>
            </w:pPr>
            <w:r>
              <w:rPr>
                <w:sz w:val="20"/>
              </w:rPr>
              <w:t>$</w:t>
            </w:r>
            <w:r>
              <w:rPr>
                <w:spacing w:val="36"/>
                <w:sz w:val="20"/>
              </w:rPr>
              <w:t>  </w:t>
            </w:r>
            <w:r>
              <w:rPr>
                <w:spacing w:val="-2"/>
                <w:sz w:val="20"/>
              </w:rPr>
              <w:t>1,772,190</w:t>
            </w:r>
          </w:p>
        </w:tc>
        <w:tc>
          <w:tcPr>
            <w:tcW w:w="1280" w:type="dxa"/>
            <w:tcBorders>
              <w:top w:val="single" w:sz="8" w:space="0" w:color="000000"/>
            </w:tcBorders>
            <w:shd w:val="clear" w:color="auto" w:fill="CCEDFF"/>
          </w:tcPr>
          <w:p>
            <w:pPr>
              <w:pStyle w:val="TableParagraph"/>
              <w:spacing w:line="222" w:lineRule="exact"/>
              <w:ind w:left="6" w:right="7"/>
              <w:jc w:val="center"/>
              <w:rPr>
                <w:sz w:val="20"/>
              </w:rPr>
            </w:pPr>
            <w:r>
              <w:rPr>
                <w:sz w:val="20"/>
              </w:rPr>
              <w:t>$</w:t>
            </w:r>
            <w:r>
              <w:rPr>
                <w:spacing w:val="36"/>
                <w:sz w:val="20"/>
              </w:rPr>
              <w:t>  </w:t>
            </w:r>
            <w:r>
              <w:rPr>
                <w:spacing w:val="-2"/>
                <w:sz w:val="20"/>
              </w:rPr>
              <w:t>1,841,074</w:t>
            </w:r>
          </w:p>
        </w:tc>
        <w:tc>
          <w:tcPr>
            <w:tcW w:w="1263" w:type="dxa"/>
            <w:tcBorders>
              <w:top w:val="single" w:sz="8" w:space="0" w:color="000000"/>
            </w:tcBorders>
            <w:shd w:val="clear" w:color="auto" w:fill="CCEDFF"/>
          </w:tcPr>
          <w:p>
            <w:pPr>
              <w:pStyle w:val="TableParagraph"/>
              <w:spacing w:line="222" w:lineRule="exact"/>
              <w:ind w:left="15"/>
              <w:jc w:val="center"/>
              <w:rPr>
                <w:sz w:val="20"/>
              </w:rPr>
            </w:pPr>
            <w:r>
              <w:rPr>
                <w:sz w:val="20"/>
              </w:rPr>
              <w:t>$</w:t>
            </w:r>
            <w:r>
              <w:rPr>
                <w:spacing w:val="36"/>
                <w:sz w:val="20"/>
              </w:rPr>
              <w:t>  </w:t>
            </w:r>
            <w:r>
              <w:rPr>
                <w:spacing w:val="-2"/>
                <w:sz w:val="20"/>
              </w:rPr>
              <w:t>2,006,595</w:t>
            </w:r>
          </w:p>
        </w:tc>
      </w:tr>
      <w:tr>
        <w:trPr>
          <w:trHeight w:val="280" w:hRule="atLeast"/>
        </w:trPr>
        <w:tc>
          <w:tcPr>
            <w:tcW w:w="5200" w:type="dxa"/>
          </w:tcPr>
          <w:p>
            <w:pPr>
              <w:pStyle w:val="TableParagraph"/>
              <w:spacing w:before="2"/>
              <w:ind w:left="50"/>
              <w:rPr>
                <w:sz w:val="20"/>
              </w:rPr>
            </w:pPr>
            <w:r>
              <w:rPr>
                <w:sz w:val="20"/>
              </w:rPr>
              <w:t>Gross</w:t>
            </w:r>
            <w:r>
              <w:rPr>
                <w:spacing w:val="-5"/>
                <w:sz w:val="20"/>
              </w:rPr>
              <w:t> </w:t>
            </w:r>
            <w:r>
              <w:rPr>
                <w:spacing w:val="-2"/>
                <w:sz w:val="20"/>
              </w:rPr>
              <w:t>profit</w:t>
            </w:r>
          </w:p>
        </w:tc>
        <w:tc>
          <w:tcPr>
            <w:tcW w:w="1227" w:type="dxa"/>
          </w:tcPr>
          <w:p>
            <w:pPr>
              <w:pStyle w:val="TableParagraph"/>
              <w:spacing w:before="2"/>
              <w:ind w:right="54"/>
              <w:jc w:val="center"/>
              <w:rPr>
                <w:sz w:val="20"/>
              </w:rPr>
            </w:pPr>
            <w:r>
              <w:rPr>
                <w:sz w:val="20"/>
              </w:rPr>
              <w:t>$</w:t>
            </w:r>
            <w:r>
              <w:rPr>
                <w:spacing w:val="36"/>
                <w:sz w:val="20"/>
              </w:rPr>
              <w:t>  </w:t>
            </w:r>
            <w:r>
              <w:rPr>
                <w:spacing w:val="-2"/>
                <w:sz w:val="20"/>
              </w:rPr>
              <w:t>1,444,309</w:t>
            </w:r>
          </w:p>
        </w:tc>
        <w:tc>
          <w:tcPr>
            <w:tcW w:w="1280" w:type="dxa"/>
          </w:tcPr>
          <w:p>
            <w:pPr>
              <w:pStyle w:val="TableParagraph"/>
              <w:spacing w:before="2"/>
              <w:ind w:left="6" w:right="7"/>
              <w:jc w:val="center"/>
              <w:rPr>
                <w:sz w:val="20"/>
              </w:rPr>
            </w:pPr>
            <w:r>
              <w:rPr>
                <w:sz w:val="20"/>
              </w:rPr>
              <w:t>$</w:t>
            </w:r>
            <w:r>
              <w:rPr>
                <w:spacing w:val="36"/>
                <w:sz w:val="20"/>
              </w:rPr>
              <w:t>  </w:t>
            </w:r>
            <w:r>
              <w:rPr>
                <w:spacing w:val="-2"/>
                <w:sz w:val="20"/>
              </w:rPr>
              <w:t>1,532,830</w:t>
            </w:r>
          </w:p>
        </w:tc>
        <w:tc>
          <w:tcPr>
            <w:tcW w:w="1280" w:type="dxa"/>
          </w:tcPr>
          <w:p>
            <w:pPr>
              <w:pStyle w:val="TableParagraph"/>
              <w:spacing w:before="2"/>
              <w:ind w:left="6" w:right="7"/>
              <w:jc w:val="center"/>
              <w:rPr>
                <w:sz w:val="20"/>
              </w:rPr>
            </w:pPr>
            <w:r>
              <w:rPr>
                <w:sz w:val="20"/>
              </w:rPr>
              <w:t>$</w:t>
            </w:r>
            <w:r>
              <w:rPr>
                <w:spacing w:val="36"/>
                <w:sz w:val="20"/>
              </w:rPr>
              <w:t>  </w:t>
            </w:r>
            <w:r>
              <w:rPr>
                <w:spacing w:val="-2"/>
                <w:sz w:val="20"/>
              </w:rPr>
              <w:t>1,578,152</w:t>
            </w:r>
          </w:p>
        </w:tc>
        <w:tc>
          <w:tcPr>
            <w:tcW w:w="1263" w:type="dxa"/>
          </w:tcPr>
          <w:p>
            <w:pPr>
              <w:pStyle w:val="TableParagraph"/>
              <w:spacing w:before="2"/>
              <w:ind w:left="15"/>
              <w:jc w:val="center"/>
              <w:rPr>
                <w:sz w:val="20"/>
              </w:rPr>
            </w:pPr>
            <w:r>
              <w:rPr>
                <w:sz w:val="20"/>
              </w:rPr>
              <w:t>$</w:t>
            </w:r>
            <w:r>
              <w:rPr>
                <w:spacing w:val="36"/>
                <w:sz w:val="20"/>
              </w:rPr>
              <w:t>  </w:t>
            </w:r>
            <w:r>
              <w:rPr>
                <w:spacing w:val="-2"/>
                <w:sz w:val="20"/>
              </w:rPr>
              <w:t>1,735,723</w:t>
            </w:r>
          </w:p>
        </w:tc>
      </w:tr>
      <w:tr>
        <w:trPr>
          <w:trHeight w:val="280" w:hRule="atLeast"/>
        </w:trPr>
        <w:tc>
          <w:tcPr>
            <w:tcW w:w="5200" w:type="dxa"/>
            <w:shd w:val="clear" w:color="auto" w:fill="CCEDFF"/>
          </w:tcPr>
          <w:p>
            <w:pPr>
              <w:pStyle w:val="TableParagraph"/>
              <w:spacing w:before="2"/>
              <w:ind w:left="50"/>
              <w:rPr>
                <w:sz w:val="20"/>
              </w:rPr>
            </w:pPr>
            <w:r>
              <w:rPr>
                <w:sz w:val="20"/>
              </w:rPr>
              <w:t>Income before income </w:t>
            </w:r>
            <w:r>
              <w:rPr>
                <w:spacing w:val="-2"/>
                <w:sz w:val="20"/>
              </w:rPr>
              <w:t>taxes</w:t>
            </w:r>
          </w:p>
        </w:tc>
        <w:tc>
          <w:tcPr>
            <w:tcW w:w="1227" w:type="dxa"/>
            <w:shd w:val="clear" w:color="auto" w:fill="CCEDFF"/>
          </w:tcPr>
          <w:p>
            <w:pPr>
              <w:pStyle w:val="TableParagraph"/>
              <w:tabs>
                <w:tab w:pos="422" w:val="left" w:leader="none"/>
              </w:tabs>
              <w:spacing w:before="2"/>
              <w:ind w:right="53"/>
              <w:jc w:val="center"/>
              <w:rPr>
                <w:sz w:val="20"/>
              </w:rPr>
            </w:pPr>
            <w:r>
              <w:rPr>
                <w:spacing w:val="-10"/>
                <w:sz w:val="20"/>
              </w:rPr>
              <w:t>$</w:t>
            </w:r>
            <w:r>
              <w:rPr>
                <w:sz w:val="20"/>
              </w:rPr>
              <w:tab/>
            </w:r>
            <w:r>
              <w:rPr>
                <w:spacing w:val="-2"/>
                <w:sz w:val="20"/>
              </w:rPr>
              <w:t>460,632</w:t>
            </w:r>
          </w:p>
        </w:tc>
        <w:tc>
          <w:tcPr>
            <w:tcW w:w="1280" w:type="dxa"/>
            <w:shd w:val="clear" w:color="auto" w:fill="CCEDFF"/>
          </w:tcPr>
          <w:p>
            <w:pPr>
              <w:pStyle w:val="TableParagraph"/>
              <w:tabs>
                <w:tab w:pos="422" w:val="left" w:leader="none"/>
              </w:tabs>
              <w:spacing w:before="2"/>
              <w:jc w:val="center"/>
              <w:rPr>
                <w:sz w:val="20"/>
              </w:rPr>
            </w:pPr>
            <w:r>
              <w:rPr>
                <w:spacing w:val="-10"/>
                <w:sz w:val="20"/>
              </w:rPr>
              <w:t>$</w:t>
            </w:r>
            <w:r>
              <w:rPr>
                <w:sz w:val="20"/>
              </w:rPr>
              <w:tab/>
            </w:r>
            <w:r>
              <w:rPr>
                <w:spacing w:val="-2"/>
                <w:sz w:val="20"/>
              </w:rPr>
              <w:t>492,618</w:t>
            </w:r>
          </w:p>
        </w:tc>
        <w:tc>
          <w:tcPr>
            <w:tcW w:w="1280" w:type="dxa"/>
            <w:shd w:val="clear" w:color="auto" w:fill="CCEDFF"/>
          </w:tcPr>
          <w:p>
            <w:pPr>
              <w:pStyle w:val="TableParagraph"/>
              <w:tabs>
                <w:tab w:pos="422" w:val="left" w:leader="none"/>
              </w:tabs>
              <w:spacing w:before="2"/>
              <w:jc w:val="center"/>
              <w:rPr>
                <w:sz w:val="20"/>
              </w:rPr>
            </w:pPr>
            <w:r>
              <w:rPr>
                <w:spacing w:val="-10"/>
                <w:sz w:val="20"/>
              </w:rPr>
              <w:t>$</w:t>
            </w:r>
            <w:r>
              <w:rPr>
                <w:sz w:val="20"/>
              </w:rPr>
              <w:tab/>
            </w:r>
            <w:r>
              <w:rPr>
                <w:spacing w:val="-2"/>
                <w:sz w:val="20"/>
              </w:rPr>
              <w:t>541,379</w:t>
            </w:r>
          </w:p>
        </w:tc>
        <w:tc>
          <w:tcPr>
            <w:tcW w:w="1263" w:type="dxa"/>
            <w:shd w:val="clear" w:color="auto" w:fill="CCEDFF"/>
          </w:tcPr>
          <w:p>
            <w:pPr>
              <w:pStyle w:val="TableParagraph"/>
              <w:tabs>
                <w:tab w:pos="438" w:val="left" w:leader="none"/>
              </w:tabs>
              <w:spacing w:before="2"/>
              <w:ind w:left="16"/>
              <w:jc w:val="center"/>
              <w:rPr>
                <w:sz w:val="20"/>
              </w:rPr>
            </w:pPr>
            <w:r>
              <w:rPr>
                <w:spacing w:val="-10"/>
                <w:sz w:val="20"/>
              </w:rPr>
              <w:t>$</w:t>
            </w:r>
            <w:r>
              <w:rPr>
                <w:sz w:val="20"/>
              </w:rPr>
              <w:tab/>
            </w:r>
            <w:r>
              <w:rPr>
                <w:spacing w:val="-2"/>
                <w:sz w:val="20"/>
              </w:rPr>
              <w:t>643,012</w:t>
            </w:r>
          </w:p>
        </w:tc>
      </w:tr>
      <w:tr>
        <w:trPr>
          <w:trHeight w:val="280" w:hRule="atLeast"/>
        </w:trPr>
        <w:tc>
          <w:tcPr>
            <w:tcW w:w="5200" w:type="dxa"/>
          </w:tcPr>
          <w:p>
            <w:pPr>
              <w:pStyle w:val="TableParagraph"/>
              <w:spacing w:before="2"/>
              <w:ind w:left="50"/>
              <w:rPr>
                <w:sz w:val="20"/>
              </w:rPr>
            </w:pPr>
            <w:r>
              <w:rPr>
                <w:sz w:val="20"/>
              </w:rPr>
              <w:t>Net </w:t>
            </w:r>
            <w:r>
              <w:rPr>
                <w:spacing w:val="-2"/>
                <w:sz w:val="20"/>
              </w:rPr>
              <w:t>income</w:t>
            </w:r>
          </w:p>
        </w:tc>
        <w:tc>
          <w:tcPr>
            <w:tcW w:w="1227" w:type="dxa"/>
          </w:tcPr>
          <w:p>
            <w:pPr>
              <w:pStyle w:val="TableParagraph"/>
              <w:tabs>
                <w:tab w:pos="422" w:val="left" w:leader="none"/>
              </w:tabs>
              <w:spacing w:before="2"/>
              <w:ind w:right="53"/>
              <w:jc w:val="center"/>
              <w:rPr>
                <w:sz w:val="20"/>
              </w:rPr>
            </w:pPr>
            <w:r>
              <w:rPr>
                <w:spacing w:val="-10"/>
                <w:sz w:val="20"/>
              </w:rPr>
              <w:t>$</w:t>
            </w:r>
            <w:r>
              <w:rPr>
                <w:sz w:val="20"/>
              </w:rPr>
              <w:tab/>
            </w:r>
            <w:r>
              <w:rPr>
                <w:spacing w:val="-2"/>
                <w:sz w:val="20"/>
              </w:rPr>
              <w:t>398,446</w:t>
            </w:r>
          </w:p>
        </w:tc>
        <w:tc>
          <w:tcPr>
            <w:tcW w:w="1280" w:type="dxa"/>
          </w:tcPr>
          <w:p>
            <w:pPr>
              <w:pStyle w:val="TableParagraph"/>
              <w:tabs>
                <w:tab w:pos="422" w:val="left" w:leader="none"/>
              </w:tabs>
              <w:spacing w:before="2"/>
              <w:jc w:val="center"/>
              <w:rPr>
                <w:sz w:val="20"/>
              </w:rPr>
            </w:pPr>
            <w:r>
              <w:rPr>
                <w:spacing w:val="-10"/>
                <w:sz w:val="20"/>
              </w:rPr>
              <w:t>$</w:t>
            </w:r>
            <w:r>
              <w:rPr>
                <w:sz w:val="20"/>
              </w:rPr>
              <w:tab/>
            </w:r>
            <w:r>
              <w:rPr>
                <w:spacing w:val="-2"/>
                <w:sz w:val="20"/>
              </w:rPr>
              <w:t>374,390</w:t>
            </w:r>
          </w:p>
        </w:tc>
        <w:tc>
          <w:tcPr>
            <w:tcW w:w="1280" w:type="dxa"/>
          </w:tcPr>
          <w:p>
            <w:pPr>
              <w:pStyle w:val="TableParagraph"/>
              <w:tabs>
                <w:tab w:pos="422" w:val="left" w:leader="none"/>
              </w:tabs>
              <w:spacing w:before="2"/>
              <w:jc w:val="center"/>
              <w:rPr>
                <w:sz w:val="20"/>
              </w:rPr>
            </w:pPr>
            <w:r>
              <w:rPr>
                <w:spacing w:val="-10"/>
                <w:sz w:val="20"/>
              </w:rPr>
              <w:t>$</w:t>
            </w:r>
            <w:r>
              <w:rPr>
                <w:sz w:val="20"/>
              </w:rPr>
              <w:tab/>
            </w:r>
            <w:r>
              <w:rPr>
                <w:spacing w:val="-2"/>
                <w:sz w:val="20"/>
              </w:rPr>
              <w:t>419,569</w:t>
            </w:r>
          </w:p>
        </w:tc>
        <w:tc>
          <w:tcPr>
            <w:tcW w:w="1263" w:type="dxa"/>
          </w:tcPr>
          <w:p>
            <w:pPr>
              <w:pStyle w:val="TableParagraph"/>
              <w:tabs>
                <w:tab w:pos="438" w:val="left" w:leader="none"/>
              </w:tabs>
              <w:spacing w:before="2"/>
              <w:ind w:left="16"/>
              <w:jc w:val="center"/>
              <w:rPr>
                <w:sz w:val="20"/>
              </w:rPr>
            </w:pPr>
            <w:r>
              <w:rPr>
                <w:spacing w:val="-10"/>
                <w:sz w:val="20"/>
              </w:rPr>
              <w:t>$</w:t>
            </w:r>
            <w:r>
              <w:rPr>
                <w:sz w:val="20"/>
              </w:rPr>
              <w:tab/>
            </w:r>
            <w:r>
              <w:rPr>
                <w:spacing w:val="-2"/>
                <w:sz w:val="20"/>
              </w:rPr>
              <w:t>501,549</w:t>
            </w:r>
          </w:p>
        </w:tc>
      </w:tr>
      <w:tr>
        <w:trPr>
          <w:trHeight w:val="280" w:hRule="atLeast"/>
        </w:trPr>
        <w:tc>
          <w:tcPr>
            <w:tcW w:w="5200" w:type="dxa"/>
            <w:shd w:val="clear" w:color="auto" w:fill="CCEDFF"/>
          </w:tcPr>
          <w:p>
            <w:pPr>
              <w:pStyle w:val="TableParagraph"/>
              <w:spacing w:before="2"/>
              <w:ind w:left="50"/>
              <w:rPr>
                <w:sz w:val="20"/>
              </w:rPr>
            </w:pPr>
            <w:r>
              <w:rPr>
                <w:sz w:val="20"/>
              </w:rPr>
              <w:t>Basic net income per </w:t>
            </w:r>
            <w:r>
              <w:rPr>
                <w:spacing w:val="-2"/>
                <w:sz w:val="20"/>
              </w:rPr>
              <w:t>share</w:t>
            </w:r>
          </w:p>
        </w:tc>
        <w:tc>
          <w:tcPr>
            <w:tcW w:w="1227" w:type="dxa"/>
            <w:shd w:val="clear" w:color="auto" w:fill="CCEDFF"/>
          </w:tcPr>
          <w:p>
            <w:pPr>
              <w:pStyle w:val="TableParagraph"/>
              <w:tabs>
                <w:tab w:pos="722" w:val="left" w:leader="none"/>
              </w:tabs>
              <w:spacing w:before="2"/>
              <w:ind w:right="53"/>
              <w:jc w:val="center"/>
              <w:rPr>
                <w:sz w:val="20"/>
              </w:rPr>
            </w:pPr>
            <w:r>
              <w:rPr>
                <w:spacing w:val="-10"/>
                <w:sz w:val="20"/>
              </w:rPr>
              <w:t>$</w:t>
            </w:r>
            <w:r>
              <w:rPr>
                <w:sz w:val="20"/>
              </w:rPr>
              <w:tab/>
            </w:r>
            <w:r>
              <w:rPr>
                <w:spacing w:val="-4"/>
                <w:sz w:val="20"/>
              </w:rPr>
              <w:t>0.81</w:t>
            </w:r>
          </w:p>
        </w:tc>
        <w:tc>
          <w:tcPr>
            <w:tcW w:w="1280" w:type="dxa"/>
            <w:shd w:val="clear" w:color="auto" w:fill="CCEDFF"/>
          </w:tcPr>
          <w:p>
            <w:pPr>
              <w:pStyle w:val="TableParagraph"/>
              <w:tabs>
                <w:tab w:pos="722" w:val="left" w:leader="none"/>
              </w:tabs>
              <w:spacing w:before="2"/>
              <w:jc w:val="center"/>
              <w:rPr>
                <w:sz w:val="20"/>
              </w:rPr>
            </w:pPr>
            <w:r>
              <w:rPr>
                <w:spacing w:val="-10"/>
                <w:sz w:val="20"/>
              </w:rPr>
              <w:t>$</w:t>
            </w:r>
            <w:r>
              <w:rPr>
                <w:sz w:val="20"/>
              </w:rPr>
              <w:tab/>
            </w:r>
            <w:r>
              <w:rPr>
                <w:spacing w:val="-4"/>
                <w:sz w:val="20"/>
              </w:rPr>
              <w:t>0.76</w:t>
            </w:r>
          </w:p>
        </w:tc>
        <w:tc>
          <w:tcPr>
            <w:tcW w:w="1280" w:type="dxa"/>
            <w:shd w:val="clear" w:color="auto" w:fill="CCEDFF"/>
          </w:tcPr>
          <w:p>
            <w:pPr>
              <w:pStyle w:val="TableParagraph"/>
              <w:tabs>
                <w:tab w:pos="722" w:val="left" w:leader="none"/>
              </w:tabs>
              <w:spacing w:before="2"/>
              <w:jc w:val="center"/>
              <w:rPr>
                <w:sz w:val="20"/>
              </w:rPr>
            </w:pPr>
            <w:r>
              <w:rPr>
                <w:spacing w:val="-10"/>
                <w:sz w:val="20"/>
              </w:rPr>
              <w:t>$</w:t>
            </w:r>
            <w:r>
              <w:rPr>
                <w:sz w:val="20"/>
              </w:rPr>
              <w:tab/>
            </w:r>
            <w:r>
              <w:rPr>
                <w:spacing w:val="-4"/>
                <w:sz w:val="20"/>
              </w:rPr>
              <w:t>0.85</w:t>
            </w:r>
          </w:p>
        </w:tc>
        <w:tc>
          <w:tcPr>
            <w:tcW w:w="1263" w:type="dxa"/>
            <w:shd w:val="clear" w:color="auto" w:fill="CCEDFF"/>
          </w:tcPr>
          <w:p>
            <w:pPr>
              <w:pStyle w:val="TableParagraph"/>
              <w:tabs>
                <w:tab w:pos="738" w:val="left" w:leader="none"/>
              </w:tabs>
              <w:spacing w:before="2"/>
              <w:ind w:left="16"/>
              <w:jc w:val="center"/>
              <w:rPr>
                <w:sz w:val="20"/>
              </w:rPr>
            </w:pPr>
            <w:r>
              <w:rPr>
                <w:spacing w:val="-10"/>
                <w:sz w:val="20"/>
              </w:rPr>
              <w:t>$</w:t>
            </w:r>
            <w:r>
              <w:rPr>
                <w:sz w:val="20"/>
              </w:rPr>
              <w:tab/>
            </w:r>
            <w:r>
              <w:rPr>
                <w:spacing w:val="-4"/>
                <w:sz w:val="20"/>
              </w:rPr>
              <w:t>1.02</w:t>
            </w:r>
          </w:p>
        </w:tc>
      </w:tr>
      <w:tr>
        <w:trPr>
          <w:trHeight w:val="231" w:hRule="atLeast"/>
        </w:trPr>
        <w:tc>
          <w:tcPr>
            <w:tcW w:w="5200" w:type="dxa"/>
          </w:tcPr>
          <w:p>
            <w:pPr>
              <w:pStyle w:val="TableParagraph"/>
              <w:spacing w:line="210" w:lineRule="exact" w:before="2"/>
              <w:ind w:left="50"/>
              <w:rPr>
                <w:sz w:val="20"/>
              </w:rPr>
            </w:pPr>
            <w:r>
              <w:rPr>
                <w:sz w:val="20"/>
              </w:rPr>
              <w:t>Diluted net income per </w:t>
            </w:r>
            <w:r>
              <w:rPr>
                <w:spacing w:val="-2"/>
                <w:sz w:val="20"/>
              </w:rPr>
              <w:t>share</w:t>
            </w:r>
          </w:p>
        </w:tc>
        <w:tc>
          <w:tcPr>
            <w:tcW w:w="1227" w:type="dxa"/>
          </w:tcPr>
          <w:p>
            <w:pPr>
              <w:pStyle w:val="TableParagraph"/>
              <w:tabs>
                <w:tab w:pos="722" w:val="left" w:leader="none"/>
              </w:tabs>
              <w:spacing w:line="210" w:lineRule="exact" w:before="2"/>
              <w:ind w:right="53"/>
              <w:jc w:val="center"/>
              <w:rPr>
                <w:sz w:val="20"/>
              </w:rPr>
            </w:pPr>
            <w:r>
              <w:rPr>
                <w:spacing w:val="-10"/>
                <w:sz w:val="20"/>
              </w:rPr>
              <w:t>$</w:t>
            </w:r>
            <w:r>
              <w:rPr>
                <w:sz w:val="20"/>
              </w:rPr>
              <w:tab/>
            </w:r>
            <w:r>
              <w:rPr>
                <w:spacing w:val="-4"/>
                <w:sz w:val="20"/>
              </w:rPr>
              <w:t>0.80</w:t>
            </w:r>
          </w:p>
        </w:tc>
        <w:tc>
          <w:tcPr>
            <w:tcW w:w="1280" w:type="dxa"/>
          </w:tcPr>
          <w:p>
            <w:pPr>
              <w:pStyle w:val="TableParagraph"/>
              <w:tabs>
                <w:tab w:pos="722" w:val="left" w:leader="none"/>
              </w:tabs>
              <w:spacing w:line="210" w:lineRule="exact" w:before="2"/>
              <w:jc w:val="center"/>
              <w:rPr>
                <w:sz w:val="20"/>
              </w:rPr>
            </w:pPr>
            <w:r>
              <w:rPr>
                <w:spacing w:val="-10"/>
                <w:sz w:val="20"/>
              </w:rPr>
              <w:t>$</w:t>
            </w:r>
            <w:r>
              <w:rPr>
                <w:sz w:val="20"/>
              </w:rPr>
              <w:tab/>
            </w:r>
            <w:r>
              <w:rPr>
                <w:spacing w:val="-4"/>
                <w:sz w:val="20"/>
              </w:rPr>
              <w:t>0.75</w:t>
            </w:r>
          </w:p>
        </w:tc>
        <w:tc>
          <w:tcPr>
            <w:tcW w:w="1280" w:type="dxa"/>
          </w:tcPr>
          <w:p>
            <w:pPr>
              <w:pStyle w:val="TableParagraph"/>
              <w:tabs>
                <w:tab w:pos="722" w:val="left" w:leader="none"/>
              </w:tabs>
              <w:spacing w:line="210" w:lineRule="exact" w:before="2"/>
              <w:jc w:val="center"/>
              <w:rPr>
                <w:sz w:val="20"/>
              </w:rPr>
            </w:pPr>
            <w:r>
              <w:rPr>
                <w:spacing w:val="-10"/>
                <w:sz w:val="20"/>
              </w:rPr>
              <w:t>$</w:t>
            </w:r>
            <w:r>
              <w:rPr>
                <w:sz w:val="20"/>
              </w:rPr>
              <w:tab/>
            </w:r>
            <w:r>
              <w:rPr>
                <w:spacing w:val="-4"/>
                <w:sz w:val="20"/>
              </w:rPr>
              <w:t>0.84</w:t>
            </w:r>
          </w:p>
        </w:tc>
        <w:tc>
          <w:tcPr>
            <w:tcW w:w="1263" w:type="dxa"/>
          </w:tcPr>
          <w:p>
            <w:pPr>
              <w:pStyle w:val="TableParagraph"/>
              <w:tabs>
                <w:tab w:pos="738" w:val="left" w:leader="none"/>
              </w:tabs>
              <w:spacing w:line="210" w:lineRule="exact" w:before="2"/>
              <w:ind w:left="16"/>
              <w:jc w:val="center"/>
              <w:rPr>
                <w:sz w:val="20"/>
              </w:rPr>
            </w:pPr>
            <w:r>
              <w:rPr>
                <w:spacing w:val="-10"/>
                <w:sz w:val="20"/>
              </w:rPr>
              <w:t>$</w:t>
            </w:r>
            <w:r>
              <w:rPr>
                <w:sz w:val="20"/>
              </w:rPr>
              <w:tab/>
            </w:r>
            <w:r>
              <w:rPr>
                <w:spacing w:val="-4"/>
                <w:sz w:val="20"/>
              </w:rPr>
              <w:t>1.00</w:t>
            </w:r>
          </w:p>
        </w:tc>
      </w:tr>
    </w:tbl>
    <w:p>
      <w:pPr>
        <w:pStyle w:val="BodyText"/>
        <w:rPr>
          <w:b/>
          <w:sz w:val="16"/>
        </w:rPr>
      </w:pPr>
    </w:p>
    <w:p>
      <w:pPr>
        <w:pStyle w:val="BodyText"/>
        <w:spacing w:before="97"/>
        <w:rPr>
          <w:b/>
          <w:sz w:val="16"/>
        </w:rPr>
      </w:pPr>
    </w:p>
    <w:p>
      <w:pPr>
        <w:spacing w:before="0"/>
        <w:ind w:left="7770" w:right="0" w:firstLine="0"/>
        <w:jc w:val="left"/>
        <w:rPr>
          <w:b/>
          <w:sz w:val="16"/>
        </w:rPr>
      </w:pPr>
      <w:r>
        <w:rPr/>
        <mc:AlternateContent>
          <mc:Choice Requires="wps">
            <w:drawing>
              <wp:anchor distT="0" distB="0" distL="0" distR="0" allowOverlap="1" layoutInCell="1" locked="0" behindDoc="1" simplePos="0" relativeHeight="487699456">
                <wp:simplePos x="0" y="0"/>
                <wp:positionH relativeFrom="page">
                  <wp:posOffset>3937000</wp:posOffset>
                </wp:positionH>
                <wp:positionV relativeFrom="paragraph">
                  <wp:posOffset>148609</wp:posOffset>
                </wp:positionV>
                <wp:extent cx="3200400" cy="1270"/>
                <wp:effectExtent l="0" t="0" r="0" b="0"/>
                <wp:wrapTopAndBottom/>
                <wp:docPr id="562" name="Graphic 562"/>
                <wp:cNvGraphicFramePr>
                  <a:graphicFrameLocks/>
                </wp:cNvGraphicFramePr>
                <a:graphic>
                  <a:graphicData uri="http://schemas.microsoft.com/office/word/2010/wordprocessingShape">
                    <wps:wsp>
                      <wps:cNvPr id="562" name="Graphic 562"/>
                      <wps:cNvSpPr/>
                      <wps:spPr>
                        <a:xfrm>
                          <a:off x="0" y="0"/>
                          <a:ext cx="3200400" cy="1270"/>
                        </a:xfrm>
                        <a:custGeom>
                          <a:avLst/>
                          <a:gdLst/>
                          <a:ahLst/>
                          <a:cxnLst/>
                          <a:rect l="l" t="t" r="r" b="b"/>
                          <a:pathLst>
                            <a:path w="3200400" h="0">
                              <a:moveTo>
                                <a:pt x="0" y="0"/>
                              </a:moveTo>
                              <a:lnTo>
                                <a:pt x="762000" y="0"/>
                              </a:lnTo>
                            </a:path>
                            <a:path w="3200400" h="0">
                              <a:moveTo>
                                <a:pt x="762000" y="0"/>
                              </a:moveTo>
                              <a:lnTo>
                                <a:pt x="812800" y="0"/>
                              </a:lnTo>
                            </a:path>
                            <a:path w="3200400" h="0">
                              <a:moveTo>
                                <a:pt x="812800" y="0"/>
                              </a:moveTo>
                              <a:lnTo>
                                <a:pt x="1574800" y="0"/>
                              </a:lnTo>
                            </a:path>
                            <a:path w="3200400" h="0">
                              <a:moveTo>
                                <a:pt x="1574800" y="0"/>
                              </a:moveTo>
                              <a:lnTo>
                                <a:pt x="1625600" y="0"/>
                              </a:lnTo>
                            </a:path>
                            <a:path w="3200400" h="0">
                              <a:moveTo>
                                <a:pt x="1625600" y="0"/>
                              </a:moveTo>
                              <a:lnTo>
                                <a:pt x="2387600" y="0"/>
                              </a:lnTo>
                            </a:path>
                            <a:path w="3200400" h="0">
                              <a:moveTo>
                                <a:pt x="2387600" y="0"/>
                              </a:moveTo>
                              <a:lnTo>
                                <a:pt x="2438400" y="0"/>
                              </a:lnTo>
                            </a:path>
                            <a:path w="3200400" h="0">
                              <a:moveTo>
                                <a:pt x="2438400" y="0"/>
                              </a:moveTo>
                              <a:lnTo>
                                <a:pt x="3200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0pt;margin-top:11.701563pt;width:252pt;height:.1pt;mso-position-horizontal-relative:page;mso-position-vertical-relative:paragraph;z-index:-15617024;mso-wrap-distance-left:0;mso-wrap-distance-right:0" id="docshape445" coordorigin="6200,234" coordsize="5040,0" path="m6200,234l7400,234m7400,234l7480,234m7480,234l8680,234m8680,234l8760,234m8760,234l9960,234m9960,234l10040,234m10040,234l11240,234e" filled="false" stroked="true" strokeweight="1pt" strokecolor="#000000">
                <v:path arrowok="t"/>
                <v:stroke dashstyle="solid"/>
                <w10:wrap type="topAndBottom"/>
              </v:shape>
            </w:pict>
          </mc:Fallback>
        </mc:AlternateContent>
      </w:r>
      <w:r>
        <w:rPr>
          <w:b/>
          <w:spacing w:val="-4"/>
          <w:sz w:val="16"/>
        </w:rPr>
        <w:t>2016</w:t>
      </w:r>
    </w:p>
    <w:p>
      <w:pPr>
        <w:tabs>
          <w:tab w:pos="7433" w:val="left" w:leader="none"/>
        </w:tabs>
        <w:spacing w:before="16" w:after="40"/>
        <w:ind w:left="270" w:right="0" w:firstLine="0"/>
        <w:jc w:val="left"/>
        <w:rPr>
          <w:b/>
          <w:sz w:val="16"/>
        </w:rPr>
      </w:pPr>
      <w:r>
        <w:rPr>
          <w:b/>
          <w:position w:val="1"/>
          <w:sz w:val="16"/>
        </w:rPr>
        <w:t>(in</w:t>
      </w:r>
      <w:r>
        <w:rPr>
          <w:b/>
          <w:spacing w:val="-5"/>
          <w:position w:val="1"/>
          <w:sz w:val="16"/>
        </w:rPr>
        <w:t> </w:t>
      </w:r>
      <w:r>
        <w:rPr>
          <w:b/>
          <w:position w:val="1"/>
          <w:sz w:val="16"/>
        </w:rPr>
        <w:t>thousands,</w:t>
      </w:r>
      <w:r>
        <w:rPr>
          <w:b/>
          <w:spacing w:val="-1"/>
          <w:position w:val="1"/>
          <w:sz w:val="16"/>
        </w:rPr>
        <w:t> </w:t>
      </w:r>
      <w:r>
        <w:rPr>
          <w:b/>
          <w:position w:val="1"/>
          <w:sz w:val="16"/>
        </w:rPr>
        <w:t>except</w:t>
      </w:r>
      <w:r>
        <w:rPr>
          <w:b/>
          <w:spacing w:val="-1"/>
          <w:position w:val="1"/>
          <w:sz w:val="16"/>
        </w:rPr>
        <w:t> </w:t>
      </w:r>
      <w:r>
        <w:rPr>
          <w:b/>
          <w:position w:val="1"/>
          <w:sz w:val="16"/>
        </w:rPr>
        <w:t>per</w:t>
      </w:r>
      <w:r>
        <w:rPr>
          <w:b/>
          <w:spacing w:val="-4"/>
          <w:position w:val="1"/>
          <w:sz w:val="16"/>
        </w:rPr>
        <w:t> </w:t>
      </w:r>
      <w:r>
        <w:rPr>
          <w:b/>
          <w:position w:val="1"/>
          <w:sz w:val="16"/>
        </w:rPr>
        <w:t>share</w:t>
      </w:r>
      <w:r>
        <w:rPr>
          <w:b/>
          <w:spacing w:val="-1"/>
          <w:position w:val="1"/>
          <w:sz w:val="16"/>
        </w:rPr>
        <w:t> </w:t>
      </w:r>
      <w:r>
        <w:rPr>
          <w:b/>
          <w:spacing w:val="-2"/>
          <w:position w:val="1"/>
          <w:sz w:val="16"/>
        </w:rPr>
        <w:t>data)</w:t>
      </w:r>
      <w:r>
        <w:rPr>
          <w:b/>
          <w:position w:val="1"/>
          <w:sz w:val="16"/>
        </w:rPr>
        <w:tab/>
      </w:r>
      <w:r>
        <w:rPr>
          <w:b/>
          <w:sz w:val="16"/>
        </w:rPr>
        <w:t>Quarter</w:t>
      </w:r>
      <w:r>
        <w:rPr>
          <w:b/>
          <w:spacing w:val="-4"/>
          <w:sz w:val="16"/>
        </w:rPr>
        <w:t> </w:t>
      </w:r>
      <w:r>
        <w:rPr>
          <w:b/>
          <w:spacing w:val="-2"/>
          <w:sz w:val="16"/>
        </w:rPr>
        <w:t>Ended</w:t>
      </w: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0"/>
        <w:gridCol w:w="1227"/>
        <w:gridCol w:w="1280"/>
        <w:gridCol w:w="1280"/>
        <w:gridCol w:w="1263"/>
      </w:tblGrid>
      <w:tr>
        <w:trPr>
          <w:trHeight w:val="260" w:hRule="atLeast"/>
        </w:trPr>
        <w:tc>
          <w:tcPr>
            <w:tcW w:w="5200" w:type="dxa"/>
          </w:tcPr>
          <w:p>
            <w:pPr>
              <w:pStyle w:val="TableParagraph"/>
              <w:rPr>
                <w:sz w:val="18"/>
              </w:rPr>
            </w:pPr>
          </w:p>
        </w:tc>
        <w:tc>
          <w:tcPr>
            <w:tcW w:w="1227" w:type="dxa"/>
            <w:tcBorders>
              <w:top w:val="single" w:sz="8" w:space="0" w:color="000000"/>
              <w:bottom w:val="single" w:sz="8" w:space="0" w:color="000000"/>
            </w:tcBorders>
          </w:tcPr>
          <w:p>
            <w:pPr>
              <w:pStyle w:val="TableParagraph"/>
              <w:spacing w:before="36"/>
              <w:ind w:right="44"/>
              <w:jc w:val="center"/>
              <w:rPr>
                <w:b/>
                <w:sz w:val="16"/>
              </w:rPr>
            </w:pPr>
            <w:r>
              <w:rPr>
                <w:b/>
                <w:sz w:val="16"/>
              </w:rPr>
              <w:t>March</w:t>
            </w:r>
            <w:r>
              <w:rPr>
                <w:b/>
                <w:spacing w:val="-4"/>
                <w:sz w:val="16"/>
              </w:rPr>
              <w:t> </w:t>
            </w:r>
            <w:r>
              <w:rPr>
                <w:b/>
                <w:spacing w:val="-10"/>
                <w:sz w:val="16"/>
              </w:rPr>
              <w:t>4</w:t>
            </w:r>
          </w:p>
        </w:tc>
        <w:tc>
          <w:tcPr>
            <w:tcW w:w="1280" w:type="dxa"/>
            <w:tcBorders>
              <w:top w:val="single" w:sz="8" w:space="0" w:color="000000"/>
              <w:bottom w:val="single" w:sz="8" w:space="0" w:color="000000"/>
            </w:tcBorders>
          </w:tcPr>
          <w:p>
            <w:pPr>
              <w:pStyle w:val="TableParagraph"/>
              <w:spacing w:before="36"/>
              <w:ind w:left="6" w:right="1"/>
              <w:jc w:val="center"/>
              <w:rPr>
                <w:b/>
                <w:sz w:val="16"/>
              </w:rPr>
            </w:pPr>
            <w:r>
              <w:rPr>
                <w:b/>
                <w:sz w:val="16"/>
              </w:rPr>
              <w:t>June </w:t>
            </w:r>
            <w:r>
              <w:rPr>
                <w:b/>
                <w:spacing w:val="-10"/>
                <w:sz w:val="16"/>
              </w:rPr>
              <w:t>3</w:t>
            </w:r>
          </w:p>
        </w:tc>
        <w:tc>
          <w:tcPr>
            <w:tcW w:w="1280" w:type="dxa"/>
            <w:tcBorders>
              <w:top w:val="single" w:sz="8" w:space="0" w:color="000000"/>
              <w:bottom w:val="single" w:sz="8" w:space="0" w:color="000000"/>
            </w:tcBorders>
          </w:tcPr>
          <w:p>
            <w:pPr>
              <w:pStyle w:val="TableParagraph"/>
              <w:spacing w:before="36"/>
              <w:ind w:left="7" w:right="1"/>
              <w:jc w:val="center"/>
              <w:rPr>
                <w:b/>
                <w:sz w:val="16"/>
              </w:rPr>
            </w:pPr>
            <w:r>
              <w:rPr>
                <w:b/>
                <w:sz w:val="16"/>
              </w:rPr>
              <w:t>September</w:t>
            </w:r>
            <w:r>
              <w:rPr>
                <w:b/>
                <w:spacing w:val="-2"/>
                <w:sz w:val="16"/>
              </w:rPr>
              <w:t> </w:t>
            </w:r>
            <w:r>
              <w:rPr>
                <w:b/>
                <w:spacing w:val="-10"/>
                <w:sz w:val="16"/>
              </w:rPr>
              <w:t>2</w:t>
            </w:r>
          </w:p>
        </w:tc>
        <w:tc>
          <w:tcPr>
            <w:tcW w:w="1263" w:type="dxa"/>
            <w:tcBorders>
              <w:top w:val="single" w:sz="8" w:space="0" w:color="000000"/>
              <w:bottom w:val="single" w:sz="8" w:space="0" w:color="000000"/>
            </w:tcBorders>
          </w:tcPr>
          <w:p>
            <w:pPr>
              <w:pStyle w:val="TableParagraph"/>
              <w:spacing w:before="36"/>
              <w:ind w:left="23"/>
              <w:jc w:val="center"/>
              <w:rPr>
                <w:b/>
                <w:sz w:val="16"/>
              </w:rPr>
            </w:pPr>
            <w:r>
              <w:rPr>
                <w:b/>
                <w:sz w:val="16"/>
              </w:rPr>
              <w:t>December</w:t>
            </w:r>
            <w:r>
              <w:rPr>
                <w:b/>
                <w:spacing w:val="-4"/>
                <w:sz w:val="16"/>
              </w:rPr>
              <w:t> </w:t>
            </w:r>
            <w:r>
              <w:rPr>
                <w:b/>
                <w:spacing w:val="-10"/>
                <w:sz w:val="16"/>
              </w:rPr>
              <w:t>2</w:t>
            </w:r>
          </w:p>
        </w:tc>
      </w:tr>
      <w:tr>
        <w:trPr>
          <w:trHeight w:val="270" w:hRule="atLeast"/>
        </w:trPr>
        <w:tc>
          <w:tcPr>
            <w:tcW w:w="5200" w:type="dxa"/>
            <w:shd w:val="clear" w:color="auto" w:fill="CCEDFF"/>
          </w:tcPr>
          <w:p>
            <w:pPr>
              <w:pStyle w:val="TableParagraph"/>
              <w:spacing w:line="222" w:lineRule="exact"/>
              <w:ind w:left="50"/>
              <w:rPr>
                <w:sz w:val="20"/>
              </w:rPr>
            </w:pPr>
            <w:r>
              <w:rPr>
                <w:spacing w:val="-2"/>
                <w:sz w:val="20"/>
              </w:rPr>
              <w:t>Revenue</w:t>
            </w:r>
          </w:p>
        </w:tc>
        <w:tc>
          <w:tcPr>
            <w:tcW w:w="1227" w:type="dxa"/>
            <w:tcBorders>
              <w:top w:val="single" w:sz="8" w:space="0" w:color="000000"/>
            </w:tcBorders>
            <w:shd w:val="clear" w:color="auto" w:fill="CCEDFF"/>
          </w:tcPr>
          <w:p>
            <w:pPr>
              <w:pStyle w:val="TableParagraph"/>
              <w:spacing w:line="222" w:lineRule="exact"/>
              <w:ind w:right="54"/>
              <w:jc w:val="center"/>
              <w:rPr>
                <w:sz w:val="20"/>
              </w:rPr>
            </w:pPr>
            <w:r>
              <w:rPr>
                <w:sz w:val="20"/>
              </w:rPr>
              <w:t>$</w:t>
            </w:r>
            <w:r>
              <w:rPr>
                <w:spacing w:val="36"/>
                <w:sz w:val="20"/>
              </w:rPr>
              <w:t>  </w:t>
            </w:r>
            <w:r>
              <w:rPr>
                <w:spacing w:val="-2"/>
                <w:sz w:val="20"/>
              </w:rPr>
              <w:t>1,383,335</w:t>
            </w:r>
          </w:p>
        </w:tc>
        <w:tc>
          <w:tcPr>
            <w:tcW w:w="1280" w:type="dxa"/>
            <w:tcBorders>
              <w:top w:val="single" w:sz="8" w:space="0" w:color="000000"/>
            </w:tcBorders>
            <w:shd w:val="clear" w:color="auto" w:fill="CCEDFF"/>
          </w:tcPr>
          <w:p>
            <w:pPr>
              <w:pStyle w:val="TableParagraph"/>
              <w:spacing w:line="222" w:lineRule="exact"/>
              <w:ind w:left="6" w:right="7"/>
              <w:jc w:val="center"/>
              <w:rPr>
                <w:sz w:val="20"/>
              </w:rPr>
            </w:pPr>
            <w:r>
              <w:rPr>
                <w:sz w:val="20"/>
              </w:rPr>
              <w:t>$</w:t>
            </w:r>
            <w:r>
              <w:rPr>
                <w:spacing w:val="36"/>
                <w:sz w:val="20"/>
              </w:rPr>
              <w:t>  </w:t>
            </w:r>
            <w:r>
              <w:rPr>
                <w:spacing w:val="-2"/>
                <w:sz w:val="20"/>
              </w:rPr>
              <w:t>1,398,709</w:t>
            </w:r>
          </w:p>
        </w:tc>
        <w:tc>
          <w:tcPr>
            <w:tcW w:w="1280" w:type="dxa"/>
            <w:tcBorders>
              <w:top w:val="single" w:sz="8" w:space="0" w:color="000000"/>
            </w:tcBorders>
            <w:shd w:val="clear" w:color="auto" w:fill="CCEDFF"/>
          </w:tcPr>
          <w:p>
            <w:pPr>
              <w:pStyle w:val="TableParagraph"/>
              <w:spacing w:line="222" w:lineRule="exact"/>
              <w:ind w:left="6" w:right="7"/>
              <w:jc w:val="center"/>
              <w:rPr>
                <w:sz w:val="20"/>
              </w:rPr>
            </w:pPr>
            <w:r>
              <w:rPr>
                <w:sz w:val="20"/>
              </w:rPr>
              <w:t>$</w:t>
            </w:r>
            <w:r>
              <w:rPr>
                <w:spacing w:val="36"/>
                <w:sz w:val="20"/>
              </w:rPr>
              <w:t>  </w:t>
            </w:r>
            <w:r>
              <w:rPr>
                <w:spacing w:val="-2"/>
                <w:sz w:val="20"/>
              </w:rPr>
              <w:t>1,463,967</w:t>
            </w:r>
          </w:p>
        </w:tc>
        <w:tc>
          <w:tcPr>
            <w:tcW w:w="1263" w:type="dxa"/>
            <w:tcBorders>
              <w:top w:val="single" w:sz="8" w:space="0" w:color="000000"/>
            </w:tcBorders>
            <w:shd w:val="clear" w:color="auto" w:fill="CCEDFF"/>
          </w:tcPr>
          <w:p>
            <w:pPr>
              <w:pStyle w:val="TableParagraph"/>
              <w:spacing w:line="222" w:lineRule="exact"/>
              <w:ind w:left="15"/>
              <w:jc w:val="center"/>
              <w:rPr>
                <w:sz w:val="20"/>
              </w:rPr>
            </w:pPr>
            <w:r>
              <w:rPr>
                <w:sz w:val="20"/>
              </w:rPr>
              <w:t>$</w:t>
            </w:r>
            <w:r>
              <w:rPr>
                <w:spacing w:val="36"/>
                <w:sz w:val="20"/>
              </w:rPr>
              <w:t>  </w:t>
            </w:r>
            <w:r>
              <w:rPr>
                <w:spacing w:val="-2"/>
                <w:sz w:val="20"/>
              </w:rPr>
              <w:t>1,608,419</w:t>
            </w:r>
          </w:p>
        </w:tc>
      </w:tr>
      <w:tr>
        <w:trPr>
          <w:trHeight w:val="280" w:hRule="atLeast"/>
        </w:trPr>
        <w:tc>
          <w:tcPr>
            <w:tcW w:w="5200" w:type="dxa"/>
          </w:tcPr>
          <w:p>
            <w:pPr>
              <w:pStyle w:val="TableParagraph"/>
              <w:spacing w:before="2"/>
              <w:ind w:left="50"/>
              <w:rPr>
                <w:sz w:val="20"/>
              </w:rPr>
            </w:pPr>
            <w:r>
              <w:rPr>
                <w:sz w:val="20"/>
              </w:rPr>
              <w:t>Gross</w:t>
            </w:r>
            <w:r>
              <w:rPr>
                <w:spacing w:val="-5"/>
                <w:sz w:val="20"/>
              </w:rPr>
              <w:t> </w:t>
            </w:r>
            <w:r>
              <w:rPr>
                <w:spacing w:val="-2"/>
                <w:sz w:val="20"/>
              </w:rPr>
              <w:t>profit</w:t>
            </w:r>
          </w:p>
        </w:tc>
        <w:tc>
          <w:tcPr>
            <w:tcW w:w="1227" w:type="dxa"/>
          </w:tcPr>
          <w:p>
            <w:pPr>
              <w:pStyle w:val="TableParagraph"/>
              <w:spacing w:before="2"/>
              <w:ind w:right="54"/>
              <w:jc w:val="center"/>
              <w:rPr>
                <w:sz w:val="20"/>
              </w:rPr>
            </w:pPr>
            <w:r>
              <w:rPr>
                <w:sz w:val="20"/>
              </w:rPr>
              <w:t>$</w:t>
            </w:r>
            <w:r>
              <w:rPr>
                <w:spacing w:val="36"/>
                <w:sz w:val="20"/>
              </w:rPr>
              <w:t>  </w:t>
            </w:r>
            <w:r>
              <w:rPr>
                <w:spacing w:val="-2"/>
                <w:sz w:val="20"/>
              </w:rPr>
              <w:t>1,184,763</w:t>
            </w:r>
          </w:p>
        </w:tc>
        <w:tc>
          <w:tcPr>
            <w:tcW w:w="1280" w:type="dxa"/>
          </w:tcPr>
          <w:p>
            <w:pPr>
              <w:pStyle w:val="TableParagraph"/>
              <w:spacing w:before="2"/>
              <w:ind w:left="6" w:right="7"/>
              <w:jc w:val="center"/>
              <w:rPr>
                <w:sz w:val="20"/>
              </w:rPr>
            </w:pPr>
            <w:r>
              <w:rPr>
                <w:sz w:val="20"/>
              </w:rPr>
              <w:t>$</w:t>
            </w:r>
            <w:r>
              <w:rPr>
                <w:spacing w:val="36"/>
                <w:sz w:val="20"/>
              </w:rPr>
              <w:t>  </w:t>
            </w:r>
            <w:r>
              <w:rPr>
                <w:spacing w:val="-2"/>
                <w:sz w:val="20"/>
              </w:rPr>
              <w:t>1,196,630</w:t>
            </w:r>
          </w:p>
        </w:tc>
        <w:tc>
          <w:tcPr>
            <w:tcW w:w="1280" w:type="dxa"/>
          </w:tcPr>
          <w:p>
            <w:pPr>
              <w:pStyle w:val="TableParagraph"/>
              <w:spacing w:before="2"/>
              <w:ind w:left="6" w:right="7"/>
              <w:jc w:val="center"/>
              <w:rPr>
                <w:sz w:val="20"/>
              </w:rPr>
            </w:pPr>
            <w:r>
              <w:rPr>
                <w:sz w:val="20"/>
              </w:rPr>
              <w:t>$</w:t>
            </w:r>
            <w:r>
              <w:rPr>
                <w:spacing w:val="36"/>
                <w:sz w:val="20"/>
              </w:rPr>
              <w:t>  </w:t>
            </w:r>
            <w:r>
              <w:rPr>
                <w:spacing w:val="-2"/>
                <w:sz w:val="20"/>
              </w:rPr>
              <w:t>1,261,266</w:t>
            </w:r>
          </w:p>
        </w:tc>
        <w:tc>
          <w:tcPr>
            <w:tcW w:w="1263" w:type="dxa"/>
          </w:tcPr>
          <w:p>
            <w:pPr>
              <w:pStyle w:val="TableParagraph"/>
              <w:spacing w:before="2"/>
              <w:ind w:left="15"/>
              <w:jc w:val="center"/>
              <w:rPr>
                <w:sz w:val="20"/>
              </w:rPr>
            </w:pPr>
            <w:r>
              <w:rPr>
                <w:sz w:val="20"/>
              </w:rPr>
              <w:t>$</w:t>
            </w:r>
            <w:r>
              <w:rPr>
                <w:spacing w:val="36"/>
                <w:sz w:val="20"/>
              </w:rPr>
              <w:t>  </w:t>
            </w:r>
            <w:r>
              <w:rPr>
                <w:spacing w:val="-2"/>
                <w:sz w:val="20"/>
              </w:rPr>
              <w:t>1,391,863</w:t>
            </w:r>
          </w:p>
        </w:tc>
      </w:tr>
      <w:tr>
        <w:trPr>
          <w:trHeight w:val="280" w:hRule="atLeast"/>
        </w:trPr>
        <w:tc>
          <w:tcPr>
            <w:tcW w:w="5200" w:type="dxa"/>
            <w:shd w:val="clear" w:color="auto" w:fill="CCEDFF"/>
          </w:tcPr>
          <w:p>
            <w:pPr>
              <w:pStyle w:val="TableParagraph"/>
              <w:spacing w:before="2"/>
              <w:ind w:left="50"/>
              <w:rPr>
                <w:sz w:val="20"/>
              </w:rPr>
            </w:pPr>
            <w:r>
              <w:rPr>
                <w:sz w:val="20"/>
              </w:rPr>
              <w:t>Income before income </w:t>
            </w:r>
            <w:r>
              <w:rPr>
                <w:spacing w:val="-2"/>
                <w:sz w:val="20"/>
              </w:rPr>
              <w:t>taxes</w:t>
            </w:r>
          </w:p>
        </w:tc>
        <w:tc>
          <w:tcPr>
            <w:tcW w:w="1227" w:type="dxa"/>
            <w:shd w:val="clear" w:color="auto" w:fill="CCEDFF"/>
          </w:tcPr>
          <w:p>
            <w:pPr>
              <w:pStyle w:val="TableParagraph"/>
              <w:tabs>
                <w:tab w:pos="422" w:val="left" w:leader="none"/>
              </w:tabs>
              <w:spacing w:before="2"/>
              <w:ind w:right="53"/>
              <w:jc w:val="center"/>
              <w:rPr>
                <w:sz w:val="20"/>
              </w:rPr>
            </w:pPr>
            <w:r>
              <w:rPr>
                <w:spacing w:val="-10"/>
                <w:sz w:val="20"/>
              </w:rPr>
              <w:t>$</w:t>
            </w:r>
            <w:r>
              <w:rPr>
                <w:sz w:val="20"/>
              </w:rPr>
              <w:tab/>
            </w:r>
            <w:r>
              <w:rPr>
                <w:spacing w:val="-2"/>
                <w:sz w:val="20"/>
              </w:rPr>
              <w:t>292,307</w:t>
            </w:r>
          </w:p>
        </w:tc>
        <w:tc>
          <w:tcPr>
            <w:tcW w:w="1280" w:type="dxa"/>
            <w:shd w:val="clear" w:color="auto" w:fill="CCEDFF"/>
          </w:tcPr>
          <w:p>
            <w:pPr>
              <w:pStyle w:val="TableParagraph"/>
              <w:tabs>
                <w:tab w:pos="422" w:val="left" w:leader="none"/>
              </w:tabs>
              <w:spacing w:before="2"/>
              <w:jc w:val="center"/>
              <w:rPr>
                <w:sz w:val="20"/>
              </w:rPr>
            </w:pPr>
            <w:r>
              <w:rPr>
                <w:spacing w:val="-10"/>
                <w:sz w:val="20"/>
              </w:rPr>
              <w:t>$</w:t>
            </w:r>
            <w:r>
              <w:rPr>
                <w:sz w:val="20"/>
              </w:rPr>
              <w:tab/>
            </w:r>
            <w:r>
              <w:rPr>
                <w:spacing w:val="-2"/>
                <w:sz w:val="20"/>
              </w:rPr>
              <w:t>329,830</w:t>
            </w:r>
          </w:p>
        </w:tc>
        <w:tc>
          <w:tcPr>
            <w:tcW w:w="1280" w:type="dxa"/>
            <w:shd w:val="clear" w:color="auto" w:fill="CCEDFF"/>
          </w:tcPr>
          <w:p>
            <w:pPr>
              <w:pStyle w:val="TableParagraph"/>
              <w:tabs>
                <w:tab w:pos="422" w:val="left" w:leader="none"/>
              </w:tabs>
              <w:spacing w:before="2"/>
              <w:jc w:val="center"/>
              <w:rPr>
                <w:sz w:val="20"/>
              </w:rPr>
            </w:pPr>
            <w:r>
              <w:rPr>
                <w:spacing w:val="-10"/>
                <w:sz w:val="20"/>
              </w:rPr>
              <w:t>$</w:t>
            </w:r>
            <w:r>
              <w:rPr>
                <w:sz w:val="20"/>
              </w:rPr>
              <w:tab/>
            </w:r>
            <w:r>
              <w:rPr>
                <w:spacing w:val="-2"/>
                <w:sz w:val="20"/>
              </w:rPr>
              <w:t>356,301</w:t>
            </w:r>
          </w:p>
        </w:tc>
        <w:tc>
          <w:tcPr>
            <w:tcW w:w="1263" w:type="dxa"/>
            <w:shd w:val="clear" w:color="auto" w:fill="CCEDFF"/>
          </w:tcPr>
          <w:p>
            <w:pPr>
              <w:pStyle w:val="TableParagraph"/>
              <w:tabs>
                <w:tab w:pos="438" w:val="left" w:leader="none"/>
              </w:tabs>
              <w:spacing w:before="2"/>
              <w:ind w:left="16"/>
              <w:jc w:val="center"/>
              <w:rPr>
                <w:sz w:val="20"/>
              </w:rPr>
            </w:pPr>
            <w:r>
              <w:rPr>
                <w:spacing w:val="-10"/>
                <w:sz w:val="20"/>
              </w:rPr>
              <w:t>$</w:t>
            </w:r>
            <w:r>
              <w:rPr>
                <w:sz w:val="20"/>
              </w:rPr>
              <w:tab/>
            </w:r>
            <w:r>
              <w:rPr>
                <w:spacing w:val="-2"/>
                <w:sz w:val="20"/>
              </w:rPr>
              <w:t>456,700</w:t>
            </w:r>
          </w:p>
        </w:tc>
      </w:tr>
      <w:tr>
        <w:trPr>
          <w:trHeight w:val="280" w:hRule="atLeast"/>
        </w:trPr>
        <w:tc>
          <w:tcPr>
            <w:tcW w:w="5200" w:type="dxa"/>
          </w:tcPr>
          <w:p>
            <w:pPr>
              <w:pStyle w:val="TableParagraph"/>
              <w:spacing w:before="2"/>
              <w:ind w:left="50"/>
              <w:rPr>
                <w:sz w:val="20"/>
              </w:rPr>
            </w:pPr>
            <w:r>
              <w:rPr>
                <w:sz w:val="20"/>
              </w:rPr>
              <w:t>Net </w:t>
            </w:r>
            <w:r>
              <w:rPr>
                <w:spacing w:val="-2"/>
                <w:sz w:val="20"/>
              </w:rPr>
              <w:t>income</w:t>
            </w:r>
          </w:p>
        </w:tc>
        <w:tc>
          <w:tcPr>
            <w:tcW w:w="1227" w:type="dxa"/>
          </w:tcPr>
          <w:p>
            <w:pPr>
              <w:pStyle w:val="TableParagraph"/>
              <w:tabs>
                <w:tab w:pos="422" w:val="left" w:leader="none"/>
              </w:tabs>
              <w:spacing w:before="2"/>
              <w:ind w:right="53"/>
              <w:jc w:val="center"/>
              <w:rPr>
                <w:sz w:val="20"/>
              </w:rPr>
            </w:pPr>
            <w:r>
              <w:rPr>
                <w:spacing w:val="-10"/>
                <w:sz w:val="20"/>
              </w:rPr>
              <w:t>$</w:t>
            </w:r>
            <w:r>
              <w:rPr>
                <w:sz w:val="20"/>
              </w:rPr>
              <w:tab/>
            </w:r>
            <w:r>
              <w:rPr>
                <w:spacing w:val="-2"/>
                <w:sz w:val="20"/>
              </w:rPr>
              <w:t>254,307</w:t>
            </w:r>
          </w:p>
        </w:tc>
        <w:tc>
          <w:tcPr>
            <w:tcW w:w="1280" w:type="dxa"/>
          </w:tcPr>
          <w:p>
            <w:pPr>
              <w:pStyle w:val="TableParagraph"/>
              <w:tabs>
                <w:tab w:pos="422" w:val="left" w:leader="none"/>
              </w:tabs>
              <w:spacing w:before="2"/>
              <w:jc w:val="center"/>
              <w:rPr>
                <w:sz w:val="20"/>
              </w:rPr>
            </w:pPr>
            <w:r>
              <w:rPr>
                <w:spacing w:val="-10"/>
                <w:sz w:val="20"/>
              </w:rPr>
              <w:t>$</w:t>
            </w:r>
            <w:r>
              <w:rPr>
                <w:sz w:val="20"/>
              </w:rPr>
              <w:tab/>
            </w:r>
            <w:r>
              <w:rPr>
                <w:spacing w:val="-2"/>
                <w:sz w:val="20"/>
              </w:rPr>
              <w:t>244,074</w:t>
            </w:r>
          </w:p>
        </w:tc>
        <w:tc>
          <w:tcPr>
            <w:tcW w:w="1280" w:type="dxa"/>
          </w:tcPr>
          <w:p>
            <w:pPr>
              <w:pStyle w:val="TableParagraph"/>
              <w:tabs>
                <w:tab w:pos="422" w:val="left" w:leader="none"/>
              </w:tabs>
              <w:spacing w:before="2"/>
              <w:jc w:val="center"/>
              <w:rPr>
                <w:sz w:val="20"/>
              </w:rPr>
            </w:pPr>
            <w:r>
              <w:rPr>
                <w:spacing w:val="-10"/>
                <w:sz w:val="20"/>
              </w:rPr>
              <w:t>$</w:t>
            </w:r>
            <w:r>
              <w:rPr>
                <w:sz w:val="20"/>
              </w:rPr>
              <w:tab/>
            </w:r>
            <w:r>
              <w:rPr>
                <w:spacing w:val="-2"/>
                <w:sz w:val="20"/>
              </w:rPr>
              <w:t>270,788</w:t>
            </w:r>
          </w:p>
        </w:tc>
        <w:tc>
          <w:tcPr>
            <w:tcW w:w="1263" w:type="dxa"/>
          </w:tcPr>
          <w:p>
            <w:pPr>
              <w:pStyle w:val="TableParagraph"/>
              <w:tabs>
                <w:tab w:pos="438" w:val="left" w:leader="none"/>
              </w:tabs>
              <w:spacing w:before="2"/>
              <w:ind w:left="16"/>
              <w:jc w:val="center"/>
              <w:rPr>
                <w:sz w:val="20"/>
              </w:rPr>
            </w:pPr>
            <w:r>
              <w:rPr>
                <w:spacing w:val="-10"/>
                <w:sz w:val="20"/>
              </w:rPr>
              <w:t>$</w:t>
            </w:r>
            <w:r>
              <w:rPr>
                <w:sz w:val="20"/>
              </w:rPr>
              <w:tab/>
            </w:r>
            <w:r>
              <w:rPr>
                <w:spacing w:val="-2"/>
                <w:sz w:val="20"/>
              </w:rPr>
              <w:t>399,613</w:t>
            </w:r>
          </w:p>
        </w:tc>
      </w:tr>
      <w:tr>
        <w:trPr>
          <w:trHeight w:val="280" w:hRule="atLeast"/>
        </w:trPr>
        <w:tc>
          <w:tcPr>
            <w:tcW w:w="5200" w:type="dxa"/>
            <w:shd w:val="clear" w:color="auto" w:fill="CCEDFF"/>
          </w:tcPr>
          <w:p>
            <w:pPr>
              <w:pStyle w:val="TableParagraph"/>
              <w:spacing w:before="2"/>
              <w:ind w:left="50"/>
              <w:rPr>
                <w:sz w:val="20"/>
              </w:rPr>
            </w:pPr>
            <w:r>
              <w:rPr>
                <w:sz w:val="20"/>
              </w:rPr>
              <w:t>Basic net income per </w:t>
            </w:r>
            <w:r>
              <w:rPr>
                <w:spacing w:val="-2"/>
                <w:sz w:val="20"/>
              </w:rPr>
              <w:t>share</w:t>
            </w:r>
          </w:p>
        </w:tc>
        <w:tc>
          <w:tcPr>
            <w:tcW w:w="1227" w:type="dxa"/>
            <w:shd w:val="clear" w:color="auto" w:fill="CCEDFF"/>
          </w:tcPr>
          <w:p>
            <w:pPr>
              <w:pStyle w:val="TableParagraph"/>
              <w:tabs>
                <w:tab w:pos="722" w:val="left" w:leader="none"/>
              </w:tabs>
              <w:spacing w:before="2"/>
              <w:ind w:right="53"/>
              <w:jc w:val="center"/>
              <w:rPr>
                <w:sz w:val="20"/>
              </w:rPr>
            </w:pPr>
            <w:r>
              <w:rPr>
                <w:spacing w:val="-10"/>
                <w:sz w:val="20"/>
              </w:rPr>
              <w:t>$</w:t>
            </w:r>
            <w:r>
              <w:rPr>
                <w:sz w:val="20"/>
              </w:rPr>
              <w:tab/>
            </w:r>
            <w:r>
              <w:rPr>
                <w:spacing w:val="-4"/>
                <w:sz w:val="20"/>
              </w:rPr>
              <w:t>0.51</w:t>
            </w:r>
          </w:p>
        </w:tc>
        <w:tc>
          <w:tcPr>
            <w:tcW w:w="1280" w:type="dxa"/>
            <w:shd w:val="clear" w:color="auto" w:fill="CCEDFF"/>
          </w:tcPr>
          <w:p>
            <w:pPr>
              <w:pStyle w:val="TableParagraph"/>
              <w:tabs>
                <w:tab w:pos="722" w:val="left" w:leader="none"/>
              </w:tabs>
              <w:spacing w:before="2"/>
              <w:jc w:val="center"/>
              <w:rPr>
                <w:sz w:val="20"/>
              </w:rPr>
            </w:pPr>
            <w:r>
              <w:rPr>
                <w:spacing w:val="-10"/>
                <w:sz w:val="20"/>
              </w:rPr>
              <w:t>$</w:t>
            </w:r>
            <w:r>
              <w:rPr>
                <w:sz w:val="20"/>
              </w:rPr>
              <w:tab/>
            </w:r>
            <w:r>
              <w:rPr>
                <w:spacing w:val="-4"/>
                <w:sz w:val="20"/>
              </w:rPr>
              <w:t>0.49</w:t>
            </w:r>
          </w:p>
        </w:tc>
        <w:tc>
          <w:tcPr>
            <w:tcW w:w="1280" w:type="dxa"/>
            <w:shd w:val="clear" w:color="auto" w:fill="CCEDFF"/>
          </w:tcPr>
          <w:p>
            <w:pPr>
              <w:pStyle w:val="TableParagraph"/>
              <w:tabs>
                <w:tab w:pos="722" w:val="left" w:leader="none"/>
              </w:tabs>
              <w:spacing w:before="2"/>
              <w:jc w:val="center"/>
              <w:rPr>
                <w:sz w:val="20"/>
              </w:rPr>
            </w:pPr>
            <w:r>
              <w:rPr>
                <w:spacing w:val="-10"/>
                <w:sz w:val="20"/>
              </w:rPr>
              <w:t>$</w:t>
            </w:r>
            <w:r>
              <w:rPr>
                <w:sz w:val="20"/>
              </w:rPr>
              <w:tab/>
            </w:r>
            <w:r>
              <w:rPr>
                <w:spacing w:val="-4"/>
                <w:sz w:val="20"/>
              </w:rPr>
              <w:t>0.54</w:t>
            </w:r>
          </w:p>
        </w:tc>
        <w:tc>
          <w:tcPr>
            <w:tcW w:w="1263" w:type="dxa"/>
            <w:shd w:val="clear" w:color="auto" w:fill="CCEDFF"/>
          </w:tcPr>
          <w:p>
            <w:pPr>
              <w:pStyle w:val="TableParagraph"/>
              <w:tabs>
                <w:tab w:pos="738" w:val="left" w:leader="none"/>
              </w:tabs>
              <w:spacing w:before="2"/>
              <w:ind w:left="16"/>
              <w:jc w:val="center"/>
              <w:rPr>
                <w:sz w:val="20"/>
              </w:rPr>
            </w:pPr>
            <w:r>
              <w:rPr>
                <w:spacing w:val="-10"/>
                <w:sz w:val="20"/>
              </w:rPr>
              <w:t>$</w:t>
            </w:r>
            <w:r>
              <w:rPr>
                <w:sz w:val="20"/>
              </w:rPr>
              <w:tab/>
            </w:r>
            <w:r>
              <w:rPr>
                <w:spacing w:val="-4"/>
                <w:sz w:val="20"/>
              </w:rPr>
              <w:t>0.81</w:t>
            </w:r>
          </w:p>
        </w:tc>
      </w:tr>
      <w:tr>
        <w:trPr>
          <w:trHeight w:val="231" w:hRule="atLeast"/>
        </w:trPr>
        <w:tc>
          <w:tcPr>
            <w:tcW w:w="5200" w:type="dxa"/>
          </w:tcPr>
          <w:p>
            <w:pPr>
              <w:pStyle w:val="TableParagraph"/>
              <w:spacing w:line="210" w:lineRule="exact" w:before="2"/>
              <w:ind w:left="50"/>
              <w:rPr>
                <w:sz w:val="20"/>
              </w:rPr>
            </w:pPr>
            <w:r>
              <w:rPr>
                <w:sz w:val="20"/>
              </w:rPr>
              <w:t>Diluted net income per </w:t>
            </w:r>
            <w:r>
              <w:rPr>
                <w:spacing w:val="-2"/>
                <w:sz w:val="20"/>
              </w:rPr>
              <w:t>share</w:t>
            </w:r>
          </w:p>
        </w:tc>
        <w:tc>
          <w:tcPr>
            <w:tcW w:w="1227" w:type="dxa"/>
          </w:tcPr>
          <w:p>
            <w:pPr>
              <w:pStyle w:val="TableParagraph"/>
              <w:tabs>
                <w:tab w:pos="722" w:val="left" w:leader="none"/>
              </w:tabs>
              <w:spacing w:line="210" w:lineRule="exact" w:before="2"/>
              <w:ind w:right="53"/>
              <w:jc w:val="center"/>
              <w:rPr>
                <w:sz w:val="20"/>
              </w:rPr>
            </w:pPr>
            <w:r>
              <w:rPr>
                <w:spacing w:val="-10"/>
                <w:sz w:val="20"/>
              </w:rPr>
              <w:t>$</w:t>
            </w:r>
            <w:r>
              <w:rPr>
                <w:sz w:val="20"/>
              </w:rPr>
              <w:tab/>
            </w:r>
            <w:r>
              <w:rPr>
                <w:spacing w:val="-4"/>
                <w:sz w:val="20"/>
              </w:rPr>
              <w:t>0.50</w:t>
            </w:r>
          </w:p>
        </w:tc>
        <w:tc>
          <w:tcPr>
            <w:tcW w:w="1280" w:type="dxa"/>
          </w:tcPr>
          <w:p>
            <w:pPr>
              <w:pStyle w:val="TableParagraph"/>
              <w:tabs>
                <w:tab w:pos="722" w:val="left" w:leader="none"/>
              </w:tabs>
              <w:spacing w:line="210" w:lineRule="exact" w:before="2"/>
              <w:jc w:val="center"/>
              <w:rPr>
                <w:sz w:val="20"/>
              </w:rPr>
            </w:pPr>
            <w:r>
              <w:rPr>
                <w:spacing w:val="-10"/>
                <w:sz w:val="20"/>
              </w:rPr>
              <w:t>$</w:t>
            </w:r>
            <w:r>
              <w:rPr>
                <w:sz w:val="20"/>
              </w:rPr>
              <w:tab/>
            </w:r>
            <w:r>
              <w:rPr>
                <w:spacing w:val="-4"/>
                <w:sz w:val="20"/>
              </w:rPr>
              <w:t>0.48</w:t>
            </w:r>
          </w:p>
        </w:tc>
        <w:tc>
          <w:tcPr>
            <w:tcW w:w="1280" w:type="dxa"/>
          </w:tcPr>
          <w:p>
            <w:pPr>
              <w:pStyle w:val="TableParagraph"/>
              <w:tabs>
                <w:tab w:pos="722" w:val="left" w:leader="none"/>
              </w:tabs>
              <w:spacing w:line="210" w:lineRule="exact" w:before="2"/>
              <w:jc w:val="center"/>
              <w:rPr>
                <w:sz w:val="20"/>
              </w:rPr>
            </w:pPr>
            <w:r>
              <w:rPr>
                <w:spacing w:val="-10"/>
                <w:sz w:val="20"/>
              </w:rPr>
              <w:t>$</w:t>
            </w:r>
            <w:r>
              <w:rPr>
                <w:sz w:val="20"/>
              </w:rPr>
              <w:tab/>
            </w:r>
            <w:r>
              <w:rPr>
                <w:spacing w:val="-4"/>
                <w:sz w:val="20"/>
              </w:rPr>
              <w:t>0.54</w:t>
            </w:r>
          </w:p>
        </w:tc>
        <w:tc>
          <w:tcPr>
            <w:tcW w:w="1263" w:type="dxa"/>
          </w:tcPr>
          <w:p>
            <w:pPr>
              <w:pStyle w:val="TableParagraph"/>
              <w:tabs>
                <w:tab w:pos="738" w:val="left" w:leader="none"/>
              </w:tabs>
              <w:spacing w:line="210" w:lineRule="exact" w:before="2"/>
              <w:ind w:left="16"/>
              <w:jc w:val="center"/>
              <w:rPr>
                <w:sz w:val="20"/>
              </w:rPr>
            </w:pPr>
            <w:r>
              <w:rPr>
                <w:spacing w:val="-10"/>
                <w:sz w:val="20"/>
              </w:rPr>
              <w:t>$</w:t>
            </w:r>
            <w:r>
              <w:rPr>
                <w:sz w:val="20"/>
              </w:rPr>
              <w:tab/>
            </w:r>
            <w:r>
              <w:rPr>
                <w:spacing w:val="-4"/>
                <w:sz w:val="20"/>
              </w:rPr>
              <w:t>0.80</w:t>
            </w:r>
          </w:p>
        </w:tc>
      </w:tr>
    </w:tbl>
    <w:p>
      <w:pPr>
        <w:pStyle w:val="BodyText"/>
        <w:spacing w:before="78"/>
        <w:rPr>
          <w:b/>
          <w:sz w:val="16"/>
        </w:rPr>
      </w:pPr>
    </w:p>
    <w:p>
      <w:pPr>
        <w:pStyle w:val="BodyText"/>
        <w:spacing w:line="249" w:lineRule="auto"/>
        <w:ind w:left="210" w:firstLine="540"/>
      </w:pPr>
      <w:r>
        <w:rPr/>
        <w:t>Our</w:t>
      </w:r>
      <w:r>
        <w:rPr>
          <w:spacing w:val="-14"/>
        </w:rPr>
        <w:t> </w:t>
      </w:r>
      <w:r>
        <w:rPr/>
        <w:t>fiscal</w:t>
      </w:r>
      <w:r>
        <w:rPr>
          <w:spacing w:val="-14"/>
        </w:rPr>
        <w:t> </w:t>
      </w:r>
      <w:r>
        <w:rPr/>
        <w:t>year</w:t>
      </w:r>
      <w:r>
        <w:rPr>
          <w:spacing w:val="-13"/>
        </w:rPr>
        <w:t> </w:t>
      </w:r>
      <w:r>
        <w:rPr/>
        <w:t>is</w:t>
      </w:r>
      <w:r>
        <w:rPr>
          <w:spacing w:val="-14"/>
        </w:rPr>
        <w:t> </w:t>
      </w:r>
      <w:r>
        <w:rPr/>
        <w:t>a</w:t>
      </w:r>
      <w:r>
        <w:rPr>
          <w:spacing w:val="-13"/>
        </w:rPr>
        <w:t> </w:t>
      </w:r>
      <w:r>
        <w:rPr/>
        <w:t>52-</w:t>
      </w:r>
      <w:r>
        <w:rPr>
          <w:spacing w:val="-13"/>
        </w:rPr>
        <w:t> </w:t>
      </w:r>
      <w:r>
        <w:rPr/>
        <w:t>or</w:t>
      </w:r>
      <w:r>
        <w:rPr>
          <w:spacing w:val="-14"/>
        </w:rPr>
        <w:t> </w:t>
      </w:r>
      <w:r>
        <w:rPr/>
        <w:t>53-week</w:t>
      </w:r>
      <w:r>
        <w:rPr>
          <w:spacing w:val="-13"/>
        </w:rPr>
        <w:t> </w:t>
      </w:r>
      <w:r>
        <w:rPr/>
        <w:t>year</w:t>
      </w:r>
      <w:r>
        <w:rPr>
          <w:spacing w:val="-14"/>
        </w:rPr>
        <w:t> </w:t>
      </w:r>
      <w:r>
        <w:rPr/>
        <w:t>that</w:t>
      </w:r>
      <w:r>
        <w:rPr>
          <w:spacing w:val="-13"/>
        </w:rPr>
        <w:t> </w:t>
      </w:r>
      <w:r>
        <w:rPr/>
        <w:t>ends</w:t>
      </w:r>
      <w:r>
        <w:rPr>
          <w:spacing w:val="-14"/>
        </w:rPr>
        <w:t> </w:t>
      </w:r>
      <w:r>
        <w:rPr/>
        <w:t>on</w:t>
      </w:r>
      <w:r>
        <w:rPr>
          <w:spacing w:val="-13"/>
        </w:rPr>
        <w:t> </w:t>
      </w:r>
      <w:r>
        <w:rPr/>
        <w:t>the</w:t>
      </w:r>
      <w:r>
        <w:rPr>
          <w:spacing w:val="-14"/>
        </w:rPr>
        <w:t> </w:t>
      </w:r>
      <w:r>
        <w:rPr/>
        <w:t>Friday</w:t>
      </w:r>
      <w:r>
        <w:rPr>
          <w:spacing w:val="-13"/>
        </w:rPr>
        <w:t> </w:t>
      </w:r>
      <w:r>
        <w:rPr/>
        <w:t>closest</w:t>
      </w:r>
      <w:r>
        <w:rPr>
          <w:spacing w:val="-14"/>
        </w:rPr>
        <w:t> </w:t>
      </w:r>
      <w:r>
        <w:rPr/>
        <w:t>to</w:t>
      </w:r>
      <w:r>
        <w:rPr>
          <w:spacing w:val="-13"/>
        </w:rPr>
        <w:t> </w:t>
      </w:r>
      <w:r>
        <w:rPr/>
        <w:t>November</w:t>
      </w:r>
      <w:r>
        <w:rPr>
          <w:spacing w:val="-13"/>
        </w:rPr>
        <w:t> </w:t>
      </w:r>
      <w:r>
        <w:rPr/>
        <w:t>30.</w:t>
      </w:r>
      <w:r>
        <w:rPr>
          <w:spacing w:val="-14"/>
        </w:rPr>
        <w:t> </w:t>
      </w:r>
      <w:r>
        <w:rPr/>
        <w:t>Each</w:t>
      </w:r>
      <w:r>
        <w:rPr>
          <w:spacing w:val="-13"/>
        </w:rPr>
        <w:t> </w:t>
      </w:r>
      <w:r>
        <w:rPr/>
        <w:t>of</w:t>
      </w:r>
      <w:r>
        <w:rPr>
          <w:spacing w:val="-14"/>
        </w:rPr>
        <w:t> </w:t>
      </w:r>
      <w:r>
        <w:rPr/>
        <w:t>the</w:t>
      </w:r>
      <w:r>
        <w:rPr>
          <w:spacing w:val="-13"/>
        </w:rPr>
        <w:t> </w:t>
      </w:r>
      <w:r>
        <w:rPr/>
        <w:t>fiscal</w:t>
      </w:r>
      <w:r>
        <w:rPr>
          <w:spacing w:val="-14"/>
        </w:rPr>
        <w:t> </w:t>
      </w:r>
      <w:r>
        <w:rPr/>
        <w:t>quarters</w:t>
      </w:r>
      <w:r>
        <w:rPr>
          <w:spacing w:val="-13"/>
        </w:rPr>
        <w:t> </w:t>
      </w:r>
      <w:r>
        <w:rPr/>
        <w:t>presented were comprised of 13 weeks with the exception of the first quarter of fiscal 2016 which was comprised of 14 weeks.</w:t>
      </w:r>
    </w:p>
    <w:p>
      <w:pPr>
        <w:spacing w:after="0" w:line="249" w:lineRule="auto"/>
        <w:sectPr>
          <w:pgSz w:w="12240" w:h="15840"/>
          <w:pgMar w:header="210" w:footer="610" w:top="1380" w:bottom="800" w:left="780" w:right="740"/>
        </w:sectPr>
      </w:pPr>
    </w:p>
    <w:p>
      <w:pPr>
        <w:pStyle w:val="BodyText"/>
        <w:spacing w:before="97"/>
      </w:pPr>
    </w:p>
    <w:p>
      <w:pPr>
        <w:pStyle w:val="Heading1"/>
        <w:ind w:left="243" w:right="280"/>
        <w:jc w:val="center"/>
      </w:pPr>
      <w:bookmarkStart w:name="Report of Independent Registered Public " w:id="94"/>
      <w:bookmarkEnd w:id="94"/>
      <w:r>
        <w:rPr>
          <w:b w:val="0"/>
        </w:rPr>
      </w:r>
      <w:bookmarkStart w:name="_bookmark33" w:id="95"/>
      <w:bookmarkEnd w:id="95"/>
      <w:r>
        <w:rPr>
          <w:b w:val="0"/>
        </w:rPr>
      </w:r>
      <w:r>
        <w:rPr/>
        <w:t>REPORT</w:t>
      </w:r>
      <w:r>
        <w:rPr>
          <w:spacing w:val="-11"/>
        </w:rPr>
        <w:t> </w:t>
      </w:r>
      <w:r>
        <w:rPr/>
        <w:t>OF</w:t>
      </w:r>
      <w:r>
        <w:rPr>
          <w:spacing w:val="-12"/>
        </w:rPr>
        <w:t> </w:t>
      </w:r>
      <w:r>
        <w:rPr/>
        <w:t>INDEPENDENT</w:t>
      </w:r>
      <w:r>
        <w:rPr>
          <w:spacing w:val="-8"/>
        </w:rPr>
        <w:t> </w:t>
      </w:r>
      <w:r>
        <w:rPr/>
        <w:t>REGISTERED</w:t>
      </w:r>
      <w:r>
        <w:rPr>
          <w:spacing w:val="-5"/>
        </w:rPr>
        <w:t> </w:t>
      </w:r>
      <w:r>
        <w:rPr/>
        <w:t>PUBLIC</w:t>
      </w:r>
      <w:r>
        <w:rPr>
          <w:spacing w:val="-13"/>
        </w:rPr>
        <w:t> </w:t>
      </w:r>
      <w:r>
        <w:rPr/>
        <w:t>ACCOUNTING</w:t>
      </w:r>
      <w:r>
        <w:rPr>
          <w:spacing w:val="-4"/>
        </w:rPr>
        <w:t> FIRM</w:t>
      </w:r>
    </w:p>
    <w:p>
      <w:pPr>
        <w:pStyle w:val="BodyText"/>
        <w:spacing w:line="249" w:lineRule="auto" w:before="190"/>
        <w:ind w:left="210" w:right="7143"/>
      </w:pPr>
      <w:r>
        <w:rPr/>
        <w:t>The</w:t>
      </w:r>
      <w:r>
        <w:rPr>
          <w:spacing w:val="-8"/>
        </w:rPr>
        <w:t> </w:t>
      </w:r>
      <w:r>
        <w:rPr/>
        <w:t>Board</w:t>
      </w:r>
      <w:r>
        <w:rPr>
          <w:spacing w:val="-8"/>
        </w:rPr>
        <w:t> </w:t>
      </w:r>
      <w:r>
        <w:rPr/>
        <w:t>of</w:t>
      </w:r>
      <w:r>
        <w:rPr>
          <w:spacing w:val="-8"/>
        </w:rPr>
        <w:t> </w:t>
      </w:r>
      <w:r>
        <w:rPr/>
        <w:t>Directors</w:t>
      </w:r>
      <w:r>
        <w:rPr>
          <w:spacing w:val="-9"/>
        </w:rPr>
        <w:t> </w:t>
      </w:r>
      <w:r>
        <w:rPr/>
        <w:t>and</w:t>
      </w:r>
      <w:r>
        <w:rPr>
          <w:spacing w:val="-8"/>
        </w:rPr>
        <w:t> </w:t>
      </w:r>
      <w:r>
        <w:rPr/>
        <w:t>Stockholders Adobe Systems Incorporated:</w:t>
      </w:r>
    </w:p>
    <w:p>
      <w:pPr>
        <w:pStyle w:val="BodyText"/>
        <w:spacing w:before="131"/>
      </w:pPr>
    </w:p>
    <w:p>
      <w:pPr>
        <w:pStyle w:val="BodyText"/>
        <w:spacing w:line="249" w:lineRule="auto"/>
        <w:ind w:left="210" w:right="233" w:firstLine="540"/>
        <w:jc w:val="both"/>
        <w:rPr>
          <w:i/>
        </w:rPr>
      </w:pPr>
      <w:r>
        <w:rPr/>
        <w:t>We have audited the accompanying consolidated balance sheets of Adobe Systems Incorporated and subsidiaries as of </w:t>
      </w:r>
      <w:r>
        <w:rPr>
          <w:spacing w:val="-2"/>
        </w:rPr>
        <w:t>December</w:t>
      </w:r>
      <w:r>
        <w:rPr>
          <w:spacing w:val="18"/>
        </w:rPr>
        <w:t> </w:t>
      </w:r>
      <w:r>
        <w:rPr>
          <w:spacing w:val="-2"/>
        </w:rPr>
        <w:t>1,</w:t>
      </w:r>
      <w:r>
        <w:rPr>
          <w:spacing w:val="-8"/>
        </w:rPr>
        <w:t> </w:t>
      </w:r>
      <w:r>
        <w:rPr>
          <w:spacing w:val="-2"/>
        </w:rPr>
        <w:t>2017</w:t>
      </w:r>
      <w:r>
        <w:rPr>
          <w:spacing w:val="-8"/>
        </w:rPr>
        <w:t> </w:t>
      </w:r>
      <w:r>
        <w:rPr>
          <w:spacing w:val="-2"/>
        </w:rPr>
        <w:t>and</w:t>
      </w:r>
      <w:r>
        <w:rPr>
          <w:spacing w:val="-7"/>
        </w:rPr>
        <w:t> </w:t>
      </w:r>
      <w:r>
        <w:rPr>
          <w:spacing w:val="-2"/>
        </w:rPr>
        <w:t>December</w:t>
      </w:r>
      <w:r>
        <w:rPr>
          <w:spacing w:val="-8"/>
        </w:rPr>
        <w:t> </w:t>
      </w:r>
      <w:r>
        <w:rPr>
          <w:spacing w:val="-2"/>
        </w:rPr>
        <w:t>2,</w:t>
      </w:r>
      <w:r>
        <w:rPr>
          <w:spacing w:val="-7"/>
        </w:rPr>
        <w:t> </w:t>
      </w:r>
      <w:r>
        <w:rPr>
          <w:spacing w:val="-2"/>
        </w:rPr>
        <w:t>2016,</w:t>
      </w:r>
      <w:r>
        <w:rPr>
          <w:spacing w:val="-8"/>
        </w:rPr>
        <w:t> </w:t>
      </w:r>
      <w:r>
        <w:rPr>
          <w:spacing w:val="-2"/>
        </w:rPr>
        <w:t>and</w:t>
      </w:r>
      <w:r>
        <w:rPr>
          <w:spacing w:val="-8"/>
        </w:rPr>
        <w:t> </w:t>
      </w:r>
      <w:r>
        <w:rPr>
          <w:spacing w:val="-2"/>
        </w:rPr>
        <w:t>the</w:t>
      </w:r>
      <w:r>
        <w:rPr>
          <w:spacing w:val="-7"/>
        </w:rPr>
        <w:t> </w:t>
      </w:r>
      <w:r>
        <w:rPr>
          <w:spacing w:val="-2"/>
        </w:rPr>
        <w:t>related</w:t>
      </w:r>
      <w:r>
        <w:rPr>
          <w:spacing w:val="-8"/>
        </w:rPr>
        <w:t> </w:t>
      </w:r>
      <w:r>
        <w:rPr>
          <w:spacing w:val="-2"/>
        </w:rPr>
        <w:t>consolidated</w:t>
      </w:r>
      <w:r>
        <w:rPr>
          <w:spacing w:val="-8"/>
        </w:rPr>
        <w:t> </w:t>
      </w:r>
      <w:r>
        <w:rPr>
          <w:spacing w:val="-2"/>
        </w:rPr>
        <w:t>statements</w:t>
      </w:r>
      <w:r>
        <w:rPr>
          <w:spacing w:val="-7"/>
        </w:rPr>
        <w:t> </w:t>
      </w:r>
      <w:r>
        <w:rPr>
          <w:spacing w:val="-2"/>
        </w:rPr>
        <w:t>of</w:t>
      </w:r>
      <w:r>
        <w:rPr>
          <w:spacing w:val="-7"/>
        </w:rPr>
        <w:t> </w:t>
      </w:r>
      <w:r>
        <w:rPr>
          <w:spacing w:val="-2"/>
        </w:rPr>
        <w:t>income,</w:t>
      </w:r>
      <w:r>
        <w:rPr>
          <w:spacing w:val="-8"/>
        </w:rPr>
        <w:t> </w:t>
      </w:r>
      <w:r>
        <w:rPr>
          <w:spacing w:val="-2"/>
        </w:rPr>
        <w:t>comprehensive</w:t>
      </w:r>
      <w:r>
        <w:rPr>
          <w:spacing w:val="-8"/>
        </w:rPr>
        <w:t> </w:t>
      </w:r>
      <w:r>
        <w:rPr>
          <w:spacing w:val="-2"/>
        </w:rPr>
        <w:t>income,</w:t>
      </w:r>
      <w:r>
        <w:rPr>
          <w:spacing w:val="-8"/>
        </w:rPr>
        <w:t> </w:t>
      </w:r>
      <w:r>
        <w:rPr>
          <w:spacing w:val="-2"/>
        </w:rPr>
        <w:t>stockholders’ equity,</w:t>
      </w:r>
      <w:r>
        <w:rPr>
          <w:spacing w:val="-10"/>
        </w:rPr>
        <w:t> </w:t>
      </w:r>
      <w:r>
        <w:rPr>
          <w:spacing w:val="-2"/>
        </w:rPr>
        <w:t>and</w:t>
      </w:r>
      <w:r>
        <w:rPr>
          <w:spacing w:val="-6"/>
        </w:rPr>
        <w:t> </w:t>
      </w:r>
      <w:r>
        <w:rPr>
          <w:spacing w:val="-2"/>
        </w:rPr>
        <w:t>cash</w:t>
      </w:r>
      <w:r>
        <w:rPr>
          <w:spacing w:val="-6"/>
        </w:rPr>
        <w:t> </w:t>
      </w:r>
      <w:r>
        <w:rPr>
          <w:spacing w:val="-2"/>
        </w:rPr>
        <w:t>flows</w:t>
      </w:r>
      <w:r>
        <w:rPr>
          <w:spacing w:val="-6"/>
        </w:rPr>
        <w:t> </w:t>
      </w:r>
      <w:r>
        <w:rPr>
          <w:spacing w:val="-2"/>
        </w:rPr>
        <w:t>for</w:t>
      </w:r>
      <w:r>
        <w:rPr>
          <w:spacing w:val="-6"/>
        </w:rPr>
        <w:t> </w:t>
      </w:r>
      <w:r>
        <w:rPr>
          <w:spacing w:val="-2"/>
        </w:rPr>
        <w:t>each</w:t>
      </w:r>
      <w:r>
        <w:rPr>
          <w:spacing w:val="-6"/>
        </w:rPr>
        <w:t> </w:t>
      </w:r>
      <w:r>
        <w:rPr>
          <w:spacing w:val="-2"/>
        </w:rPr>
        <w:t>of</w:t>
      </w:r>
      <w:r>
        <w:rPr>
          <w:spacing w:val="-6"/>
        </w:rPr>
        <w:t> </w:t>
      </w:r>
      <w:r>
        <w:rPr>
          <w:spacing w:val="-2"/>
        </w:rPr>
        <w:t>the</w:t>
      </w:r>
      <w:r>
        <w:rPr>
          <w:spacing w:val="-6"/>
        </w:rPr>
        <w:t> </w:t>
      </w:r>
      <w:r>
        <w:rPr>
          <w:spacing w:val="-2"/>
        </w:rPr>
        <w:t>years</w:t>
      </w:r>
      <w:r>
        <w:rPr>
          <w:spacing w:val="-6"/>
        </w:rPr>
        <w:t> </w:t>
      </w:r>
      <w:r>
        <w:rPr>
          <w:spacing w:val="-2"/>
        </w:rPr>
        <w:t>in</w:t>
      </w:r>
      <w:r>
        <w:rPr>
          <w:spacing w:val="-6"/>
        </w:rPr>
        <w:t> </w:t>
      </w:r>
      <w:r>
        <w:rPr>
          <w:spacing w:val="-2"/>
        </w:rPr>
        <w:t>the</w:t>
      </w:r>
      <w:r>
        <w:rPr>
          <w:spacing w:val="-6"/>
        </w:rPr>
        <w:t> </w:t>
      </w:r>
      <w:r>
        <w:rPr>
          <w:spacing w:val="-2"/>
        </w:rPr>
        <w:t>three-year</w:t>
      </w:r>
      <w:r>
        <w:rPr>
          <w:spacing w:val="-6"/>
        </w:rPr>
        <w:t> </w:t>
      </w:r>
      <w:r>
        <w:rPr>
          <w:spacing w:val="-2"/>
        </w:rPr>
        <w:t>period</w:t>
      </w:r>
      <w:r>
        <w:rPr>
          <w:spacing w:val="-6"/>
        </w:rPr>
        <w:t> </w:t>
      </w:r>
      <w:r>
        <w:rPr>
          <w:spacing w:val="-2"/>
        </w:rPr>
        <w:t>ended</w:t>
      </w:r>
      <w:r>
        <w:rPr>
          <w:spacing w:val="-6"/>
        </w:rPr>
        <w:t> </w:t>
      </w:r>
      <w:r>
        <w:rPr>
          <w:spacing w:val="-2"/>
        </w:rPr>
        <w:t>December</w:t>
      </w:r>
      <w:r>
        <w:rPr>
          <w:spacing w:val="10"/>
        </w:rPr>
        <w:t> </w:t>
      </w:r>
      <w:r>
        <w:rPr>
          <w:spacing w:val="-2"/>
        </w:rPr>
        <w:t>1,</w:t>
      </w:r>
      <w:r>
        <w:rPr>
          <w:spacing w:val="-6"/>
        </w:rPr>
        <w:t> </w:t>
      </w:r>
      <w:r>
        <w:rPr>
          <w:spacing w:val="-2"/>
        </w:rPr>
        <w:t>2017.</w:t>
      </w:r>
      <w:r>
        <w:rPr>
          <w:spacing w:val="-8"/>
        </w:rPr>
        <w:t> </w:t>
      </w:r>
      <w:r>
        <w:rPr>
          <w:spacing w:val="-2"/>
        </w:rPr>
        <w:t>We</w:t>
      </w:r>
      <w:r>
        <w:rPr>
          <w:spacing w:val="-6"/>
        </w:rPr>
        <w:t> </w:t>
      </w:r>
      <w:r>
        <w:rPr>
          <w:spacing w:val="-2"/>
        </w:rPr>
        <w:t>also</w:t>
      </w:r>
      <w:r>
        <w:rPr>
          <w:spacing w:val="-6"/>
        </w:rPr>
        <w:t> </w:t>
      </w:r>
      <w:r>
        <w:rPr>
          <w:spacing w:val="-2"/>
        </w:rPr>
        <w:t>have</w:t>
      </w:r>
      <w:r>
        <w:rPr>
          <w:spacing w:val="-6"/>
        </w:rPr>
        <w:t> </w:t>
      </w:r>
      <w:r>
        <w:rPr>
          <w:spacing w:val="-2"/>
        </w:rPr>
        <w:t>audited</w:t>
      </w:r>
      <w:r>
        <w:rPr>
          <w:spacing w:val="-11"/>
        </w:rPr>
        <w:t> </w:t>
      </w:r>
      <w:r>
        <w:rPr>
          <w:spacing w:val="-2"/>
        </w:rPr>
        <w:t>Adobe</w:t>
      </w:r>
      <w:r>
        <w:rPr>
          <w:spacing w:val="-5"/>
        </w:rPr>
        <w:t> </w:t>
      </w:r>
      <w:r>
        <w:rPr>
          <w:spacing w:val="-2"/>
        </w:rPr>
        <w:t>Systems </w:t>
      </w:r>
      <w:r>
        <w:rPr/>
        <w:t>Incorporated’s</w:t>
      </w:r>
      <w:r>
        <w:rPr>
          <w:spacing w:val="-1"/>
        </w:rPr>
        <w:t> </w:t>
      </w:r>
      <w:r>
        <w:rPr/>
        <w:t>internal</w:t>
      </w:r>
      <w:r>
        <w:rPr>
          <w:spacing w:val="-1"/>
        </w:rPr>
        <w:t> </w:t>
      </w:r>
      <w:r>
        <w:rPr/>
        <w:t>control</w:t>
      </w:r>
      <w:r>
        <w:rPr>
          <w:spacing w:val="-1"/>
        </w:rPr>
        <w:t> </w:t>
      </w:r>
      <w:r>
        <w:rPr/>
        <w:t>over</w:t>
      </w:r>
      <w:r>
        <w:rPr>
          <w:spacing w:val="-1"/>
        </w:rPr>
        <w:t> </w:t>
      </w:r>
      <w:r>
        <w:rPr/>
        <w:t>financial reporting</w:t>
      </w:r>
      <w:r>
        <w:rPr>
          <w:spacing w:val="-1"/>
        </w:rPr>
        <w:t> </w:t>
      </w:r>
      <w:r>
        <w:rPr/>
        <w:t>as</w:t>
      </w:r>
      <w:r>
        <w:rPr>
          <w:spacing w:val="-1"/>
        </w:rPr>
        <w:t> </w:t>
      </w:r>
      <w:r>
        <w:rPr/>
        <w:t>of</w:t>
      </w:r>
      <w:r>
        <w:rPr>
          <w:spacing w:val="-1"/>
        </w:rPr>
        <w:t> </w:t>
      </w:r>
      <w:r>
        <w:rPr/>
        <w:t>December 1,</w:t>
      </w:r>
      <w:r>
        <w:rPr>
          <w:spacing w:val="-1"/>
        </w:rPr>
        <w:t> </w:t>
      </w:r>
      <w:r>
        <w:rPr/>
        <w:t>2017,</w:t>
      </w:r>
      <w:r>
        <w:rPr>
          <w:spacing w:val="-1"/>
        </w:rPr>
        <w:t> </w:t>
      </w:r>
      <w:r>
        <w:rPr/>
        <w:t>based</w:t>
      </w:r>
      <w:r>
        <w:rPr>
          <w:spacing w:val="-1"/>
        </w:rPr>
        <w:t> </w:t>
      </w:r>
      <w:r>
        <w:rPr/>
        <w:t>on criteria</w:t>
      </w:r>
      <w:r>
        <w:rPr>
          <w:spacing w:val="-1"/>
        </w:rPr>
        <w:t> </w:t>
      </w:r>
      <w:r>
        <w:rPr/>
        <w:t>established</w:t>
      </w:r>
      <w:r>
        <w:rPr>
          <w:spacing w:val="-1"/>
        </w:rPr>
        <w:t> </w:t>
      </w:r>
      <w:r>
        <w:rPr/>
        <w:t>in</w:t>
      </w:r>
      <w:r>
        <w:rPr>
          <w:spacing w:val="-1"/>
        </w:rPr>
        <w:t> </w:t>
      </w:r>
      <w:r>
        <w:rPr>
          <w:i/>
        </w:rPr>
        <w:t>Internal </w:t>
      </w:r>
      <w:r>
        <w:rPr>
          <w:i/>
          <w:spacing w:val="-2"/>
        </w:rPr>
        <w:t>Control</w:t>
      </w:r>
    </w:p>
    <w:p>
      <w:pPr>
        <w:pStyle w:val="BodyText"/>
        <w:spacing w:line="249" w:lineRule="auto" w:before="4"/>
        <w:ind w:left="210" w:right="247"/>
        <w:jc w:val="both"/>
      </w:pPr>
      <w:r>
        <w:rPr>
          <w:i/>
        </w:rPr>
        <w:t>- Integrated Framework </w:t>
      </w:r>
      <w:r>
        <w:rPr/>
        <w:t>(2013) issued by the Committee of Sponsoring Organizations of the Treadway Commission (COSO). Adobe Systems Incorporated’s management</w:t>
      </w:r>
      <w:r>
        <w:rPr>
          <w:spacing w:val="-1"/>
        </w:rPr>
        <w:t> </w:t>
      </w:r>
      <w:r>
        <w:rPr/>
        <w:t>is responsible</w:t>
      </w:r>
      <w:r>
        <w:rPr>
          <w:spacing w:val="-1"/>
        </w:rPr>
        <w:t> </w:t>
      </w:r>
      <w:r>
        <w:rPr/>
        <w:t>for these consolidated financial statements, for maintaining effective internal control over financial reporting, and for its assessment of the effectiveness of internal control over financial reporting, included</w:t>
      </w:r>
      <w:r>
        <w:rPr>
          <w:spacing w:val="-3"/>
        </w:rPr>
        <w:t> </w:t>
      </w:r>
      <w:r>
        <w:rPr/>
        <w:t>in</w:t>
      </w:r>
      <w:r>
        <w:rPr>
          <w:spacing w:val="-3"/>
        </w:rPr>
        <w:t> </w:t>
      </w:r>
      <w:r>
        <w:rPr/>
        <w:t>the</w:t>
      </w:r>
      <w:r>
        <w:rPr>
          <w:spacing w:val="-3"/>
        </w:rPr>
        <w:t> </w:t>
      </w:r>
      <w:r>
        <w:rPr/>
        <w:t>accompanying</w:t>
      </w:r>
      <w:r>
        <w:rPr>
          <w:spacing w:val="-3"/>
        </w:rPr>
        <w:t> </w:t>
      </w:r>
      <w:r>
        <w:rPr/>
        <w:t>Management’s</w:t>
      </w:r>
      <w:r>
        <w:rPr>
          <w:spacing w:val="-13"/>
        </w:rPr>
        <w:t> </w:t>
      </w:r>
      <w:r>
        <w:rPr/>
        <w:t>Annual</w:t>
      </w:r>
      <w:r>
        <w:rPr>
          <w:spacing w:val="-3"/>
        </w:rPr>
        <w:t> </w:t>
      </w:r>
      <w:r>
        <w:rPr/>
        <w:t>Report</w:t>
      </w:r>
      <w:r>
        <w:rPr>
          <w:spacing w:val="-3"/>
        </w:rPr>
        <w:t> </w:t>
      </w:r>
      <w:r>
        <w:rPr/>
        <w:t>on</w:t>
      </w:r>
      <w:r>
        <w:rPr>
          <w:spacing w:val="-2"/>
        </w:rPr>
        <w:t> </w:t>
      </w:r>
      <w:r>
        <w:rPr/>
        <w:t>Internal</w:t>
      </w:r>
      <w:r>
        <w:rPr>
          <w:spacing w:val="-3"/>
        </w:rPr>
        <w:t> </w:t>
      </w:r>
      <w:r>
        <w:rPr/>
        <w:t>Control</w:t>
      </w:r>
      <w:r>
        <w:rPr>
          <w:spacing w:val="-3"/>
        </w:rPr>
        <w:t> </w:t>
      </w:r>
      <w:r>
        <w:rPr/>
        <w:t>over</w:t>
      </w:r>
      <w:r>
        <w:rPr>
          <w:spacing w:val="-2"/>
        </w:rPr>
        <w:t> </w:t>
      </w:r>
      <w:r>
        <w:rPr/>
        <w:t>Financial</w:t>
      </w:r>
      <w:r>
        <w:rPr>
          <w:spacing w:val="-3"/>
        </w:rPr>
        <w:t> </w:t>
      </w:r>
      <w:r>
        <w:rPr/>
        <w:t>Reporting</w:t>
      </w:r>
      <w:r>
        <w:rPr>
          <w:spacing w:val="-3"/>
        </w:rPr>
        <w:t> </w:t>
      </w:r>
      <w:r>
        <w:rPr/>
        <w:t>appearing</w:t>
      </w:r>
      <w:r>
        <w:rPr>
          <w:spacing w:val="-3"/>
        </w:rPr>
        <w:t> </w:t>
      </w:r>
      <w:r>
        <w:rPr/>
        <w:t>under</w:t>
      </w:r>
      <w:r>
        <w:rPr>
          <w:spacing w:val="-3"/>
        </w:rPr>
        <w:t> </w:t>
      </w:r>
      <w:r>
        <w:rPr/>
        <w:t>Item </w:t>
      </w:r>
      <w:r>
        <w:rPr>
          <w:spacing w:val="-2"/>
        </w:rPr>
        <w:t>9A.</w:t>
      </w:r>
      <w:r>
        <w:rPr>
          <w:spacing w:val="-7"/>
        </w:rPr>
        <w:t> </w:t>
      </w:r>
      <w:r>
        <w:rPr>
          <w:spacing w:val="-2"/>
        </w:rPr>
        <w:t>Our</w:t>
      </w:r>
      <w:r>
        <w:rPr>
          <w:spacing w:val="-7"/>
        </w:rPr>
        <w:t> </w:t>
      </w:r>
      <w:r>
        <w:rPr>
          <w:spacing w:val="-2"/>
        </w:rPr>
        <w:t>responsibility</w:t>
      </w:r>
      <w:r>
        <w:rPr>
          <w:spacing w:val="-7"/>
        </w:rPr>
        <w:t> </w:t>
      </w:r>
      <w:r>
        <w:rPr>
          <w:spacing w:val="-2"/>
        </w:rPr>
        <w:t>is</w:t>
      </w:r>
      <w:r>
        <w:rPr>
          <w:spacing w:val="-7"/>
        </w:rPr>
        <w:t> </w:t>
      </w:r>
      <w:r>
        <w:rPr>
          <w:spacing w:val="-2"/>
        </w:rPr>
        <w:t>to</w:t>
      </w:r>
      <w:r>
        <w:rPr>
          <w:spacing w:val="-7"/>
        </w:rPr>
        <w:t> </w:t>
      </w:r>
      <w:r>
        <w:rPr>
          <w:spacing w:val="-2"/>
        </w:rPr>
        <w:t>express</w:t>
      </w:r>
      <w:r>
        <w:rPr>
          <w:spacing w:val="-7"/>
        </w:rPr>
        <w:t> </w:t>
      </w:r>
      <w:r>
        <w:rPr>
          <w:spacing w:val="-2"/>
        </w:rPr>
        <w:t>an</w:t>
      </w:r>
      <w:r>
        <w:rPr>
          <w:spacing w:val="-7"/>
        </w:rPr>
        <w:t> </w:t>
      </w:r>
      <w:r>
        <w:rPr>
          <w:spacing w:val="-2"/>
        </w:rPr>
        <w:t>opinion</w:t>
      </w:r>
      <w:r>
        <w:rPr>
          <w:spacing w:val="-7"/>
        </w:rPr>
        <w:t> </w:t>
      </w:r>
      <w:r>
        <w:rPr>
          <w:spacing w:val="-2"/>
        </w:rPr>
        <w:t>on</w:t>
      </w:r>
      <w:r>
        <w:rPr>
          <w:spacing w:val="-7"/>
        </w:rPr>
        <w:t> </w:t>
      </w:r>
      <w:r>
        <w:rPr>
          <w:spacing w:val="-2"/>
        </w:rPr>
        <w:t>these</w:t>
      </w:r>
      <w:r>
        <w:rPr>
          <w:spacing w:val="-7"/>
        </w:rPr>
        <w:t> </w:t>
      </w:r>
      <w:r>
        <w:rPr>
          <w:spacing w:val="-2"/>
        </w:rPr>
        <w:t>consolidated</w:t>
      </w:r>
      <w:r>
        <w:rPr>
          <w:spacing w:val="-7"/>
        </w:rPr>
        <w:t> </w:t>
      </w:r>
      <w:r>
        <w:rPr>
          <w:spacing w:val="-2"/>
        </w:rPr>
        <w:t>financial</w:t>
      </w:r>
      <w:r>
        <w:rPr>
          <w:spacing w:val="-7"/>
        </w:rPr>
        <w:t> </w:t>
      </w:r>
      <w:r>
        <w:rPr>
          <w:spacing w:val="-2"/>
        </w:rPr>
        <w:t>statements</w:t>
      </w:r>
      <w:r>
        <w:rPr>
          <w:spacing w:val="-7"/>
        </w:rPr>
        <w:t> </w:t>
      </w:r>
      <w:r>
        <w:rPr>
          <w:spacing w:val="-2"/>
        </w:rPr>
        <w:t>and</w:t>
      </w:r>
      <w:r>
        <w:rPr>
          <w:spacing w:val="-7"/>
        </w:rPr>
        <w:t> </w:t>
      </w:r>
      <w:r>
        <w:rPr>
          <w:spacing w:val="-2"/>
        </w:rPr>
        <w:t>an</w:t>
      </w:r>
      <w:r>
        <w:rPr>
          <w:spacing w:val="-7"/>
        </w:rPr>
        <w:t> </w:t>
      </w:r>
      <w:r>
        <w:rPr>
          <w:spacing w:val="-2"/>
        </w:rPr>
        <w:t>opinion</w:t>
      </w:r>
      <w:r>
        <w:rPr>
          <w:spacing w:val="-7"/>
        </w:rPr>
        <w:t> </w:t>
      </w:r>
      <w:r>
        <w:rPr>
          <w:spacing w:val="-2"/>
        </w:rPr>
        <w:t>on</w:t>
      </w:r>
      <w:r>
        <w:rPr>
          <w:spacing w:val="-7"/>
        </w:rPr>
        <w:t> </w:t>
      </w:r>
      <w:r>
        <w:rPr>
          <w:spacing w:val="-2"/>
        </w:rPr>
        <w:t>the</w:t>
      </w:r>
      <w:r>
        <w:rPr>
          <w:spacing w:val="-7"/>
        </w:rPr>
        <w:t> </w:t>
      </w:r>
      <w:r>
        <w:rPr>
          <w:spacing w:val="-2"/>
        </w:rPr>
        <w:t>Company’s</w:t>
      </w:r>
      <w:r>
        <w:rPr>
          <w:spacing w:val="-7"/>
        </w:rPr>
        <w:t> </w:t>
      </w:r>
      <w:r>
        <w:rPr>
          <w:spacing w:val="-2"/>
        </w:rPr>
        <w:t>internal </w:t>
      </w:r>
      <w:r>
        <w:rPr/>
        <w:t>control over financial reporting based on our audits.</w:t>
      </w:r>
    </w:p>
    <w:p>
      <w:pPr>
        <w:pStyle w:val="BodyText"/>
        <w:spacing w:line="249" w:lineRule="auto" w:before="125"/>
        <w:ind w:left="210" w:right="247" w:firstLine="720"/>
        <w:jc w:val="both"/>
      </w:pPr>
      <w:r>
        <w:rPr/>
        <w:t>We</w:t>
      </w:r>
      <w:r>
        <w:rPr>
          <w:spacing w:val="-6"/>
        </w:rPr>
        <w:t> </w:t>
      </w:r>
      <w:r>
        <w:rPr/>
        <w:t>conducted</w:t>
      </w:r>
      <w:r>
        <w:rPr>
          <w:spacing w:val="-4"/>
        </w:rPr>
        <w:t> </w:t>
      </w:r>
      <w:r>
        <w:rPr/>
        <w:t>our</w:t>
      </w:r>
      <w:r>
        <w:rPr>
          <w:spacing w:val="-4"/>
        </w:rPr>
        <w:t> </w:t>
      </w:r>
      <w:r>
        <w:rPr/>
        <w:t>audits</w:t>
      </w:r>
      <w:r>
        <w:rPr>
          <w:spacing w:val="-4"/>
        </w:rPr>
        <w:t> </w:t>
      </w:r>
      <w:r>
        <w:rPr/>
        <w:t>in</w:t>
      </w:r>
      <w:r>
        <w:rPr>
          <w:spacing w:val="-4"/>
        </w:rPr>
        <w:t> </w:t>
      </w:r>
      <w:r>
        <w:rPr/>
        <w:t>accordance</w:t>
      </w:r>
      <w:r>
        <w:rPr>
          <w:spacing w:val="-4"/>
        </w:rPr>
        <w:t> </w:t>
      </w:r>
      <w:r>
        <w:rPr/>
        <w:t>with</w:t>
      </w:r>
      <w:r>
        <w:rPr>
          <w:spacing w:val="-4"/>
        </w:rPr>
        <w:t> </w:t>
      </w:r>
      <w:r>
        <w:rPr/>
        <w:t>the</w:t>
      </w:r>
      <w:r>
        <w:rPr>
          <w:spacing w:val="-4"/>
        </w:rPr>
        <w:t> </w:t>
      </w:r>
      <w:r>
        <w:rPr/>
        <w:t>standards</w:t>
      </w:r>
      <w:r>
        <w:rPr>
          <w:spacing w:val="-4"/>
        </w:rPr>
        <w:t> </w:t>
      </w:r>
      <w:r>
        <w:rPr/>
        <w:t>of</w:t>
      </w:r>
      <w:r>
        <w:rPr>
          <w:spacing w:val="-4"/>
        </w:rPr>
        <w:t> </w:t>
      </w:r>
      <w:r>
        <w:rPr/>
        <w:t>the</w:t>
      </w:r>
      <w:r>
        <w:rPr>
          <w:spacing w:val="-4"/>
        </w:rPr>
        <w:t> </w:t>
      </w:r>
      <w:r>
        <w:rPr/>
        <w:t>Public</w:t>
      </w:r>
      <w:r>
        <w:rPr>
          <w:spacing w:val="-4"/>
        </w:rPr>
        <w:t> </w:t>
      </w:r>
      <w:r>
        <w:rPr/>
        <w:t>Company</w:t>
      </w:r>
      <w:r>
        <w:rPr>
          <w:spacing w:val="-13"/>
        </w:rPr>
        <w:t> </w:t>
      </w:r>
      <w:r>
        <w:rPr/>
        <w:t>Accounting</w:t>
      </w:r>
      <w:r>
        <w:rPr>
          <w:spacing w:val="-4"/>
        </w:rPr>
        <w:t> </w:t>
      </w:r>
      <w:r>
        <w:rPr/>
        <w:t>Oversight</w:t>
      </w:r>
      <w:r>
        <w:rPr>
          <w:spacing w:val="-4"/>
        </w:rPr>
        <w:t> </w:t>
      </w:r>
      <w:r>
        <w:rPr/>
        <w:t>Board</w:t>
      </w:r>
      <w:r>
        <w:rPr>
          <w:spacing w:val="-4"/>
        </w:rPr>
        <w:t> </w:t>
      </w:r>
      <w:r>
        <w:rPr/>
        <w:t>(United States).</w:t>
      </w:r>
      <w:r>
        <w:rPr>
          <w:spacing w:val="-1"/>
        </w:rPr>
        <w:t> </w:t>
      </w:r>
      <w:r>
        <w:rPr/>
        <w:t>Those standards require that we plan and perform the audits to obtain reasonable assurance about whether the financial statements</w:t>
      </w:r>
      <w:r>
        <w:rPr>
          <w:spacing w:val="-3"/>
        </w:rPr>
        <w:t> </w:t>
      </w:r>
      <w:r>
        <w:rPr/>
        <w:t>are</w:t>
      </w:r>
      <w:r>
        <w:rPr>
          <w:spacing w:val="-3"/>
        </w:rPr>
        <w:t> </w:t>
      </w:r>
      <w:r>
        <w:rPr/>
        <w:t>free</w:t>
      </w:r>
      <w:r>
        <w:rPr>
          <w:spacing w:val="-4"/>
        </w:rPr>
        <w:t> </w:t>
      </w:r>
      <w:r>
        <w:rPr/>
        <w:t>of</w:t>
      </w:r>
      <w:r>
        <w:rPr>
          <w:spacing w:val="-3"/>
        </w:rPr>
        <w:t> </w:t>
      </w:r>
      <w:r>
        <w:rPr/>
        <w:t>material</w:t>
      </w:r>
      <w:r>
        <w:rPr>
          <w:spacing w:val="-4"/>
        </w:rPr>
        <w:t> </w:t>
      </w:r>
      <w:r>
        <w:rPr/>
        <w:t>misstatement</w:t>
      </w:r>
      <w:r>
        <w:rPr>
          <w:spacing w:val="-4"/>
        </w:rPr>
        <w:t> </w:t>
      </w:r>
      <w:r>
        <w:rPr/>
        <w:t>and</w:t>
      </w:r>
      <w:r>
        <w:rPr>
          <w:spacing w:val="-3"/>
        </w:rPr>
        <w:t> </w:t>
      </w:r>
      <w:r>
        <w:rPr/>
        <w:t>whether</w:t>
      </w:r>
      <w:r>
        <w:rPr>
          <w:spacing w:val="-3"/>
        </w:rPr>
        <w:t> </w:t>
      </w:r>
      <w:r>
        <w:rPr/>
        <w:t>effective</w:t>
      </w:r>
      <w:r>
        <w:rPr>
          <w:spacing w:val="-4"/>
        </w:rPr>
        <w:t> </w:t>
      </w:r>
      <w:r>
        <w:rPr/>
        <w:t>internal</w:t>
      </w:r>
      <w:r>
        <w:rPr>
          <w:spacing w:val="-4"/>
        </w:rPr>
        <w:t> </w:t>
      </w:r>
      <w:r>
        <w:rPr/>
        <w:t>control</w:t>
      </w:r>
      <w:r>
        <w:rPr>
          <w:spacing w:val="-4"/>
        </w:rPr>
        <w:t> </w:t>
      </w:r>
      <w:r>
        <w:rPr/>
        <w:t>over</w:t>
      </w:r>
      <w:r>
        <w:rPr>
          <w:spacing w:val="-3"/>
        </w:rPr>
        <w:t> </w:t>
      </w:r>
      <w:r>
        <w:rPr/>
        <w:t>financial</w:t>
      </w:r>
      <w:r>
        <w:rPr>
          <w:spacing w:val="-4"/>
        </w:rPr>
        <w:t> </w:t>
      </w:r>
      <w:r>
        <w:rPr/>
        <w:t>reporting</w:t>
      </w:r>
      <w:r>
        <w:rPr>
          <w:spacing w:val="-3"/>
        </w:rPr>
        <w:t> </w:t>
      </w:r>
      <w:r>
        <w:rPr/>
        <w:t>was</w:t>
      </w:r>
      <w:r>
        <w:rPr>
          <w:spacing w:val="-3"/>
        </w:rPr>
        <w:t> </w:t>
      </w:r>
      <w:r>
        <w:rPr/>
        <w:t>maintained</w:t>
      </w:r>
      <w:r>
        <w:rPr>
          <w:spacing w:val="-3"/>
        </w:rPr>
        <w:t> </w:t>
      </w:r>
      <w:r>
        <w:rPr/>
        <w:t>in</w:t>
      </w:r>
      <w:r>
        <w:rPr>
          <w:spacing w:val="-3"/>
        </w:rPr>
        <w:t> </w:t>
      </w:r>
      <w:r>
        <w:rPr/>
        <w:t>all material</w:t>
      </w:r>
      <w:r>
        <w:rPr>
          <w:spacing w:val="-9"/>
        </w:rPr>
        <w:t> </w:t>
      </w:r>
      <w:r>
        <w:rPr/>
        <w:t>respects.</w:t>
      </w:r>
      <w:r>
        <w:rPr>
          <w:spacing w:val="-8"/>
        </w:rPr>
        <w:t> </w:t>
      </w:r>
      <w:r>
        <w:rPr/>
        <w:t>Our</w:t>
      </w:r>
      <w:r>
        <w:rPr>
          <w:spacing w:val="-9"/>
        </w:rPr>
        <w:t> </w:t>
      </w:r>
      <w:r>
        <w:rPr/>
        <w:t>audits</w:t>
      </w:r>
      <w:r>
        <w:rPr>
          <w:spacing w:val="-8"/>
        </w:rPr>
        <w:t> </w:t>
      </w:r>
      <w:r>
        <w:rPr/>
        <w:t>of</w:t>
      </w:r>
      <w:r>
        <w:rPr>
          <w:spacing w:val="-8"/>
        </w:rPr>
        <w:t> </w:t>
      </w:r>
      <w:r>
        <w:rPr/>
        <w:t>the</w:t>
      </w:r>
      <w:r>
        <w:rPr>
          <w:spacing w:val="-9"/>
        </w:rPr>
        <w:t> </w:t>
      </w:r>
      <w:r>
        <w:rPr/>
        <w:t>consolidated</w:t>
      </w:r>
      <w:r>
        <w:rPr>
          <w:spacing w:val="-9"/>
        </w:rPr>
        <w:t> </w:t>
      </w:r>
      <w:r>
        <w:rPr/>
        <w:t>financial</w:t>
      </w:r>
      <w:r>
        <w:rPr>
          <w:spacing w:val="-9"/>
        </w:rPr>
        <w:t> </w:t>
      </w:r>
      <w:r>
        <w:rPr/>
        <w:t>statements</w:t>
      </w:r>
      <w:r>
        <w:rPr>
          <w:spacing w:val="-8"/>
        </w:rPr>
        <w:t> </w:t>
      </w:r>
      <w:r>
        <w:rPr/>
        <w:t>included</w:t>
      </w:r>
      <w:r>
        <w:rPr>
          <w:spacing w:val="-9"/>
        </w:rPr>
        <w:t> </w:t>
      </w:r>
      <w:r>
        <w:rPr/>
        <w:t>examining,</w:t>
      </w:r>
      <w:r>
        <w:rPr>
          <w:spacing w:val="-9"/>
        </w:rPr>
        <w:t> </w:t>
      </w:r>
      <w:r>
        <w:rPr/>
        <w:t>on</w:t>
      </w:r>
      <w:r>
        <w:rPr>
          <w:spacing w:val="-8"/>
        </w:rPr>
        <w:t> </w:t>
      </w:r>
      <w:r>
        <w:rPr/>
        <w:t>a</w:t>
      </w:r>
      <w:r>
        <w:rPr>
          <w:spacing w:val="-9"/>
        </w:rPr>
        <w:t> </w:t>
      </w:r>
      <w:r>
        <w:rPr/>
        <w:t>test</w:t>
      </w:r>
      <w:r>
        <w:rPr>
          <w:spacing w:val="-9"/>
        </w:rPr>
        <w:t> </w:t>
      </w:r>
      <w:r>
        <w:rPr/>
        <w:t>basis,</w:t>
      </w:r>
      <w:r>
        <w:rPr>
          <w:spacing w:val="-8"/>
        </w:rPr>
        <w:t> </w:t>
      </w:r>
      <w:r>
        <w:rPr/>
        <w:t>evidence</w:t>
      </w:r>
      <w:r>
        <w:rPr>
          <w:spacing w:val="-9"/>
        </w:rPr>
        <w:t> </w:t>
      </w:r>
      <w:r>
        <w:rPr/>
        <w:t>supporting</w:t>
      </w:r>
      <w:r>
        <w:rPr>
          <w:spacing w:val="-9"/>
        </w:rPr>
        <w:t> </w:t>
      </w:r>
      <w:r>
        <w:rPr/>
        <w:t>the amounts and disclosures in the financial statements, assessing the accounting principles used and significant estimates made by management, and evaluating the overall financial statement presentation. Our audit of internal control over financial reporting included</w:t>
      </w:r>
      <w:r>
        <w:rPr>
          <w:spacing w:val="-11"/>
        </w:rPr>
        <w:t> </w:t>
      </w:r>
      <w:r>
        <w:rPr/>
        <w:t>obtaining</w:t>
      </w:r>
      <w:r>
        <w:rPr>
          <w:spacing w:val="-11"/>
        </w:rPr>
        <w:t> </w:t>
      </w:r>
      <w:r>
        <w:rPr/>
        <w:t>an</w:t>
      </w:r>
      <w:r>
        <w:rPr>
          <w:spacing w:val="-11"/>
        </w:rPr>
        <w:t> </w:t>
      </w:r>
      <w:r>
        <w:rPr/>
        <w:t>understanding</w:t>
      </w:r>
      <w:r>
        <w:rPr>
          <w:spacing w:val="-11"/>
        </w:rPr>
        <w:t> </w:t>
      </w:r>
      <w:r>
        <w:rPr/>
        <w:t>of</w:t>
      </w:r>
      <w:r>
        <w:rPr>
          <w:spacing w:val="-11"/>
        </w:rPr>
        <w:t> </w:t>
      </w:r>
      <w:r>
        <w:rPr/>
        <w:t>internal</w:t>
      </w:r>
      <w:r>
        <w:rPr>
          <w:spacing w:val="-11"/>
        </w:rPr>
        <w:t> </w:t>
      </w:r>
      <w:r>
        <w:rPr/>
        <w:t>control</w:t>
      </w:r>
      <w:r>
        <w:rPr>
          <w:spacing w:val="-11"/>
        </w:rPr>
        <w:t> </w:t>
      </w:r>
      <w:r>
        <w:rPr/>
        <w:t>over</w:t>
      </w:r>
      <w:r>
        <w:rPr>
          <w:spacing w:val="-11"/>
        </w:rPr>
        <w:t> </w:t>
      </w:r>
      <w:r>
        <w:rPr/>
        <w:t>financial</w:t>
      </w:r>
      <w:r>
        <w:rPr>
          <w:spacing w:val="-11"/>
        </w:rPr>
        <w:t> </w:t>
      </w:r>
      <w:r>
        <w:rPr/>
        <w:t>reporting,</w:t>
      </w:r>
      <w:r>
        <w:rPr>
          <w:spacing w:val="-11"/>
        </w:rPr>
        <w:t> </w:t>
      </w:r>
      <w:r>
        <w:rPr/>
        <w:t>assessing</w:t>
      </w:r>
      <w:r>
        <w:rPr>
          <w:spacing w:val="-11"/>
        </w:rPr>
        <w:t> </w:t>
      </w:r>
      <w:r>
        <w:rPr/>
        <w:t>the</w:t>
      </w:r>
      <w:r>
        <w:rPr>
          <w:spacing w:val="-11"/>
        </w:rPr>
        <w:t> </w:t>
      </w:r>
      <w:r>
        <w:rPr/>
        <w:t>risk</w:t>
      </w:r>
      <w:r>
        <w:rPr>
          <w:spacing w:val="-11"/>
        </w:rPr>
        <w:t> </w:t>
      </w:r>
      <w:r>
        <w:rPr/>
        <w:t>that</w:t>
      </w:r>
      <w:r>
        <w:rPr>
          <w:spacing w:val="-11"/>
        </w:rPr>
        <w:t> </w:t>
      </w:r>
      <w:r>
        <w:rPr/>
        <w:t>a</w:t>
      </w:r>
      <w:r>
        <w:rPr>
          <w:spacing w:val="-11"/>
        </w:rPr>
        <w:t> </w:t>
      </w:r>
      <w:r>
        <w:rPr/>
        <w:t>material</w:t>
      </w:r>
      <w:r>
        <w:rPr>
          <w:spacing w:val="-11"/>
        </w:rPr>
        <w:t> </w:t>
      </w:r>
      <w:r>
        <w:rPr/>
        <w:t>weakness</w:t>
      </w:r>
      <w:r>
        <w:rPr>
          <w:spacing w:val="-11"/>
        </w:rPr>
        <w:t> </w:t>
      </w:r>
      <w:r>
        <w:rPr/>
        <w:t>exists, and testing and evaluating the design and operating effectiveness of internal control based on the assessed risk. Our audits also included</w:t>
      </w:r>
      <w:r>
        <w:rPr>
          <w:spacing w:val="-1"/>
        </w:rPr>
        <w:t> </w:t>
      </w:r>
      <w:r>
        <w:rPr/>
        <w:t>performing</w:t>
      </w:r>
      <w:r>
        <w:rPr>
          <w:spacing w:val="-1"/>
        </w:rPr>
        <w:t> </w:t>
      </w:r>
      <w:r>
        <w:rPr/>
        <w:t>such other procedures as we</w:t>
      </w:r>
      <w:r>
        <w:rPr>
          <w:spacing w:val="-1"/>
        </w:rPr>
        <w:t> </w:t>
      </w:r>
      <w:r>
        <w:rPr/>
        <w:t>considered</w:t>
      </w:r>
      <w:r>
        <w:rPr>
          <w:spacing w:val="-1"/>
        </w:rPr>
        <w:t> </w:t>
      </w:r>
      <w:r>
        <w:rPr/>
        <w:t>necessary in</w:t>
      </w:r>
      <w:r>
        <w:rPr>
          <w:spacing w:val="-1"/>
        </w:rPr>
        <w:t> </w:t>
      </w:r>
      <w:r>
        <w:rPr/>
        <w:t>the circumstances.</w:t>
      </w:r>
      <w:r>
        <w:rPr>
          <w:spacing w:val="-4"/>
        </w:rPr>
        <w:t> </w:t>
      </w:r>
      <w:r>
        <w:rPr/>
        <w:t>We believe</w:t>
      </w:r>
      <w:r>
        <w:rPr>
          <w:spacing w:val="-1"/>
        </w:rPr>
        <w:t> </w:t>
      </w:r>
      <w:r>
        <w:rPr/>
        <w:t>that</w:t>
      </w:r>
      <w:r>
        <w:rPr>
          <w:spacing w:val="-1"/>
        </w:rPr>
        <w:t> </w:t>
      </w:r>
      <w:r>
        <w:rPr/>
        <w:t>our audits provide a reasonable basis for our opinions.</w:t>
      </w:r>
    </w:p>
    <w:p>
      <w:pPr>
        <w:pStyle w:val="BodyText"/>
        <w:spacing w:line="249" w:lineRule="auto" w:before="128"/>
        <w:ind w:left="210" w:right="247" w:firstLine="720"/>
        <w:jc w:val="both"/>
      </w:pPr>
      <w:r>
        <w:rPr/>
        <w:t>A</w:t>
      </w:r>
      <w:r>
        <w:rPr>
          <w:spacing w:val="-6"/>
        </w:rPr>
        <w:t> </w:t>
      </w:r>
      <w:r>
        <w:rPr/>
        <w:t>company’s internal control over financial reporting is a process designed to provide reasonable assurance regarding the</w:t>
      </w:r>
      <w:r>
        <w:rPr>
          <w:spacing w:val="-9"/>
        </w:rPr>
        <w:t> </w:t>
      </w:r>
      <w:r>
        <w:rPr/>
        <w:t>reliability</w:t>
      </w:r>
      <w:r>
        <w:rPr>
          <w:spacing w:val="-9"/>
        </w:rPr>
        <w:t> </w:t>
      </w:r>
      <w:r>
        <w:rPr/>
        <w:t>of</w:t>
      </w:r>
      <w:r>
        <w:rPr>
          <w:spacing w:val="-9"/>
        </w:rPr>
        <w:t> </w:t>
      </w:r>
      <w:r>
        <w:rPr/>
        <w:t>financial</w:t>
      </w:r>
      <w:r>
        <w:rPr>
          <w:spacing w:val="-9"/>
        </w:rPr>
        <w:t> </w:t>
      </w:r>
      <w:r>
        <w:rPr/>
        <w:t>reporting</w:t>
      </w:r>
      <w:r>
        <w:rPr>
          <w:spacing w:val="-9"/>
        </w:rPr>
        <w:t> </w:t>
      </w:r>
      <w:r>
        <w:rPr/>
        <w:t>and</w:t>
      </w:r>
      <w:r>
        <w:rPr>
          <w:spacing w:val="-9"/>
        </w:rPr>
        <w:t> </w:t>
      </w:r>
      <w:r>
        <w:rPr/>
        <w:t>the</w:t>
      </w:r>
      <w:r>
        <w:rPr>
          <w:spacing w:val="-9"/>
        </w:rPr>
        <w:t> </w:t>
      </w:r>
      <w:r>
        <w:rPr/>
        <w:t>preparation</w:t>
      </w:r>
      <w:r>
        <w:rPr>
          <w:spacing w:val="-9"/>
        </w:rPr>
        <w:t> </w:t>
      </w:r>
      <w:r>
        <w:rPr/>
        <w:t>of</w:t>
      </w:r>
      <w:r>
        <w:rPr>
          <w:spacing w:val="-9"/>
        </w:rPr>
        <w:t> </w:t>
      </w:r>
      <w:r>
        <w:rPr/>
        <w:t>financial</w:t>
      </w:r>
      <w:r>
        <w:rPr>
          <w:spacing w:val="-9"/>
        </w:rPr>
        <w:t> </w:t>
      </w:r>
      <w:r>
        <w:rPr/>
        <w:t>statements</w:t>
      </w:r>
      <w:r>
        <w:rPr>
          <w:spacing w:val="-8"/>
        </w:rPr>
        <w:t> </w:t>
      </w:r>
      <w:r>
        <w:rPr/>
        <w:t>for</w:t>
      </w:r>
      <w:r>
        <w:rPr>
          <w:spacing w:val="-9"/>
        </w:rPr>
        <w:t> </w:t>
      </w:r>
      <w:r>
        <w:rPr/>
        <w:t>external</w:t>
      </w:r>
      <w:r>
        <w:rPr>
          <w:spacing w:val="-9"/>
        </w:rPr>
        <w:t> </w:t>
      </w:r>
      <w:r>
        <w:rPr/>
        <w:t>purposes</w:t>
      </w:r>
      <w:r>
        <w:rPr>
          <w:spacing w:val="-9"/>
        </w:rPr>
        <w:t> </w:t>
      </w:r>
      <w:r>
        <w:rPr/>
        <w:t>in</w:t>
      </w:r>
      <w:r>
        <w:rPr>
          <w:spacing w:val="-9"/>
        </w:rPr>
        <w:t> </w:t>
      </w:r>
      <w:r>
        <w:rPr/>
        <w:t>accordance</w:t>
      </w:r>
      <w:r>
        <w:rPr>
          <w:spacing w:val="-9"/>
        </w:rPr>
        <w:t> </w:t>
      </w:r>
      <w:r>
        <w:rPr/>
        <w:t>with</w:t>
      </w:r>
      <w:r>
        <w:rPr>
          <w:spacing w:val="-9"/>
        </w:rPr>
        <w:t> </w:t>
      </w:r>
      <w:r>
        <w:rPr/>
        <w:t>generally accepted</w:t>
      </w:r>
      <w:r>
        <w:rPr>
          <w:spacing w:val="-10"/>
        </w:rPr>
        <w:t> </w:t>
      </w:r>
      <w:r>
        <w:rPr/>
        <w:t>accounting</w:t>
      </w:r>
      <w:r>
        <w:rPr>
          <w:spacing w:val="-5"/>
        </w:rPr>
        <w:t> </w:t>
      </w:r>
      <w:r>
        <w:rPr/>
        <w:t>principles.</w:t>
      </w:r>
      <w:r>
        <w:rPr>
          <w:spacing w:val="-14"/>
        </w:rPr>
        <w:t> </w:t>
      </w:r>
      <w:r>
        <w:rPr/>
        <w:t>A</w:t>
      </w:r>
      <w:r>
        <w:rPr>
          <w:spacing w:val="-14"/>
        </w:rPr>
        <w:t> </w:t>
      </w:r>
      <w:r>
        <w:rPr/>
        <w:t>company’s</w:t>
      </w:r>
      <w:r>
        <w:rPr>
          <w:spacing w:val="-5"/>
        </w:rPr>
        <w:t> </w:t>
      </w:r>
      <w:r>
        <w:rPr/>
        <w:t>internal</w:t>
      </w:r>
      <w:r>
        <w:rPr>
          <w:spacing w:val="-6"/>
        </w:rPr>
        <w:t> </w:t>
      </w:r>
      <w:r>
        <w:rPr/>
        <w:t>control</w:t>
      </w:r>
      <w:r>
        <w:rPr>
          <w:spacing w:val="-5"/>
        </w:rPr>
        <w:t> </w:t>
      </w:r>
      <w:r>
        <w:rPr/>
        <w:t>over</w:t>
      </w:r>
      <w:r>
        <w:rPr>
          <w:spacing w:val="-6"/>
        </w:rPr>
        <w:t> </w:t>
      </w:r>
      <w:r>
        <w:rPr/>
        <w:t>financial</w:t>
      </w:r>
      <w:r>
        <w:rPr>
          <w:spacing w:val="-5"/>
        </w:rPr>
        <w:t> </w:t>
      </w:r>
      <w:r>
        <w:rPr/>
        <w:t>reporting</w:t>
      </w:r>
      <w:r>
        <w:rPr>
          <w:spacing w:val="-5"/>
        </w:rPr>
        <w:t> </w:t>
      </w:r>
      <w:r>
        <w:rPr/>
        <w:t>includes</w:t>
      </w:r>
      <w:r>
        <w:rPr>
          <w:spacing w:val="-6"/>
        </w:rPr>
        <w:t> </w:t>
      </w:r>
      <w:r>
        <w:rPr/>
        <w:t>those</w:t>
      </w:r>
      <w:r>
        <w:rPr>
          <w:spacing w:val="-5"/>
        </w:rPr>
        <w:t> </w:t>
      </w:r>
      <w:r>
        <w:rPr/>
        <w:t>policies</w:t>
      </w:r>
      <w:r>
        <w:rPr>
          <w:spacing w:val="-6"/>
        </w:rPr>
        <w:t> </w:t>
      </w:r>
      <w:r>
        <w:rPr/>
        <w:t>and</w:t>
      </w:r>
      <w:r>
        <w:rPr>
          <w:spacing w:val="-5"/>
        </w:rPr>
        <w:t> </w:t>
      </w:r>
      <w:r>
        <w:rPr/>
        <w:t>procedures</w:t>
      </w:r>
      <w:r>
        <w:rPr>
          <w:spacing w:val="-5"/>
        </w:rPr>
        <w:t> </w:t>
      </w:r>
      <w:r>
        <w:rPr>
          <w:spacing w:val="-4"/>
        </w:rPr>
        <w:t>that</w:t>
      </w:r>
    </w:p>
    <w:p>
      <w:pPr>
        <w:pStyle w:val="BodyText"/>
        <w:spacing w:line="249" w:lineRule="auto" w:before="2"/>
        <w:ind w:left="210" w:right="247"/>
        <w:jc w:val="both"/>
      </w:pPr>
      <w:r>
        <w:rPr/>
        <w:t>(1)</w:t>
      </w:r>
      <w:r>
        <w:rPr>
          <w:spacing w:val="-2"/>
        </w:rPr>
        <w:t> </w:t>
      </w:r>
      <w:r>
        <w:rPr/>
        <w:t>pertain to the maintenance of records that, in reasonable detail, accurately and fairly reflect the transactions and dispositions of the assets of the company; (2)</w:t>
      </w:r>
      <w:r>
        <w:rPr>
          <w:spacing w:val="-2"/>
        </w:rPr>
        <w:t> </w:t>
      </w:r>
      <w:r>
        <w:rPr/>
        <w:t>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w:t>
      </w:r>
      <w:r>
        <w:rPr>
          <w:spacing w:val="-2"/>
        </w:rPr>
        <w:t> </w:t>
      </w:r>
      <w:r>
        <w:rPr/>
        <w:t>provide reasonable assurance regarding prevention or timely detection of unauthorized acquisition, use, or disposition of the company’s assets that could have a material effect on the financial statements.</w:t>
      </w:r>
    </w:p>
    <w:p>
      <w:pPr>
        <w:pStyle w:val="BodyText"/>
        <w:spacing w:line="249" w:lineRule="auto" w:before="125"/>
        <w:ind w:left="210" w:right="247" w:firstLine="720"/>
        <w:jc w:val="both"/>
      </w:pPr>
      <w:r>
        <w:rPr/>
        <w:t>Because of its inherent limitations, internal control over financial reporting may not prevent or detect misstatements. Also,</w:t>
      </w:r>
      <w:r>
        <w:rPr>
          <w:spacing w:val="-3"/>
        </w:rPr>
        <w:t> </w:t>
      </w:r>
      <w:r>
        <w:rPr/>
        <w:t>projections</w:t>
      </w:r>
      <w:r>
        <w:rPr>
          <w:spacing w:val="-3"/>
        </w:rPr>
        <w:t> </w:t>
      </w:r>
      <w:r>
        <w:rPr/>
        <w:t>of</w:t>
      </w:r>
      <w:r>
        <w:rPr>
          <w:spacing w:val="-3"/>
        </w:rPr>
        <w:t> </w:t>
      </w:r>
      <w:r>
        <w:rPr/>
        <w:t>any</w:t>
      </w:r>
      <w:r>
        <w:rPr>
          <w:spacing w:val="-3"/>
        </w:rPr>
        <w:t> </w:t>
      </w:r>
      <w:r>
        <w:rPr/>
        <w:t>evaluation</w:t>
      </w:r>
      <w:r>
        <w:rPr>
          <w:spacing w:val="-3"/>
        </w:rPr>
        <w:t> </w:t>
      </w:r>
      <w:r>
        <w:rPr/>
        <w:t>of</w:t>
      </w:r>
      <w:r>
        <w:rPr>
          <w:spacing w:val="-3"/>
        </w:rPr>
        <w:t> </w:t>
      </w:r>
      <w:r>
        <w:rPr/>
        <w:t>effectiveness</w:t>
      </w:r>
      <w:r>
        <w:rPr>
          <w:spacing w:val="-3"/>
        </w:rPr>
        <w:t> </w:t>
      </w:r>
      <w:r>
        <w:rPr/>
        <w:t>to</w:t>
      </w:r>
      <w:r>
        <w:rPr>
          <w:spacing w:val="-3"/>
        </w:rPr>
        <w:t> </w:t>
      </w:r>
      <w:r>
        <w:rPr/>
        <w:t>future</w:t>
      </w:r>
      <w:r>
        <w:rPr>
          <w:spacing w:val="-3"/>
        </w:rPr>
        <w:t> </w:t>
      </w:r>
      <w:r>
        <w:rPr/>
        <w:t>periods</w:t>
      </w:r>
      <w:r>
        <w:rPr>
          <w:spacing w:val="-3"/>
        </w:rPr>
        <w:t> </w:t>
      </w:r>
      <w:r>
        <w:rPr/>
        <w:t>are</w:t>
      </w:r>
      <w:r>
        <w:rPr>
          <w:spacing w:val="-3"/>
        </w:rPr>
        <w:t> </w:t>
      </w:r>
      <w:r>
        <w:rPr/>
        <w:t>subject</w:t>
      </w:r>
      <w:r>
        <w:rPr>
          <w:spacing w:val="-3"/>
        </w:rPr>
        <w:t> </w:t>
      </w:r>
      <w:r>
        <w:rPr/>
        <w:t>to</w:t>
      </w:r>
      <w:r>
        <w:rPr>
          <w:spacing w:val="-3"/>
        </w:rPr>
        <w:t> </w:t>
      </w:r>
      <w:r>
        <w:rPr/>
        <w:t>the</w:t>
      </w:r>
      <w:r>
        <w:rPr>
          <w:spacing w:val="-3"/>
        </w:rPr>
        <w:t> </w:t>
      </w:r>
      <w:r>
        <w:rPr/>
        <w:t>risk</w:t>
      </w:r>
      <w:r>
        <w:rPr>
          <w:spacing w:val="-3"/>
        </w:rPr>
        <w:t> </w:t>
      </w:r>
      <w:r>
        <w:rPr/>
        <w:t>that</w:t>
      </w:r>
      <w:r>
        <w:rPr>
          <w:spacing w:val="-3"/>
        </w:rPr>
        <w:t> </w:t>
      </w:r>
      <w:r>
        <w:rPr/>
        <w:t>controls</w:t>
      </w:r>
      <w:r>
        <w:rPr>
          <w:spacing w:val="-3"/>
        </w:rPr>
        <w:t> </w:t>
      </w:r>
      <w:r>
        <w:rPr/>
        <w:t>may</w:t>
      </w:r>
      <w:r>
        <w:rPr>
          <w:spacing w:val="-3"/>
        </w:rPr>
        <w:t> </w:t>
      </w:r>
      <w:r>
        <w:rPr/>
        <w:t>become</w:t>
      </w:r>
      <w:r>
        <w:rPr>
          <w:spacing w:val="-3"/>
        </w:rPr>
        <w:t> </w:t>
      </w:r>
      <w:r>
        <w:rPr/>
        <w:t>inadequate because of changes in conditions, or that the degree of compliance with the policies or procedures may deteriorate.</w:t>
      </w:r>
    </w:p>
    <w:p>
      <w:pPr>
        <w:pStyle w:val="BodyText"/>
        <w:spacing w:line="249" w:lineRule="auto" w:before="123"/>
        <w:ind w:left="210" w:right="247" w:firstLine="720"/>
        <w:jc w:val="both"/>
      </w:pPr>
      <w:r>
        <w:rPr/>
        <w:t>In</w:t>
      </w:r>
      <w:r>
        <w:rPr>
          <w:spacing w:val="-13"/>
        </w:rPr>
        <w:t> </w:t>
      </w:r>
      <w:r>
        <w:rPr/>
        <w:t>our</w:t>
      </w:r>
      <w:r>
        <w:rPr>
          <w:spacing w:val="-12"/>
        </w:rPr>
        <w:t> </w:t>
      </w:r>
      <w:r>
        <w:rPr/>
        <w:t>opinion,</w:t>
      </w:r>
      <w:r>
        <w:rPr>
          <w:spacing w:val="-13"/>
        </w:rPr>
        <w:t> </w:t>
      </w:r>
      <w:r>
        <w:rPr/>
        <w:t>the</w:t>
      </w:r>
      <w:r>
        <w:rPr>
          <w:spacing w:val="-12"/>
        </w:rPr>
        <w:t> </w:t>
      </w:r>
      <w:r>
        <w:rPr/>
        <w:t>consolidated</w:t>
      </w:r>
      <w:r>
        <w:rPr>
          <w:spacing w:val="-13"/>
        </w:rPr>
        <w:t> </w:t>
      </w:r>
      <w:r>
        <w:rPr/>
        <w:t>financial</w:t>
      </w:r>
      <w:r>
        <w:rPr>
          <w:spacing w:val="-12"/>
        </w:rPr>
        <w:t> </w:t>
      </w:r>
      <w:r>
        <w:rPr/>
        <w:t>statements</w:t>
      </w:r>
      <w:r>
        <w:rPr>
          <w:spacing w:val="-13"/>
        </w:rPr>
        <w:t> </w:t>
      </w:r>
      <w:r>
        <w:rPr/>
        <w:t>referred</w:t>
      </w:r>
      <w:r>
        <w:rPr>
          <w:spacing w:val="-12"/>
        </w:rPr>
        <w:t> </w:t>
      </w:r>
      <w:r>
        <w:rPr/>
        <w:t>to</w:t>
      </w:r>
      <w:r>
        <w:rPr>
          <w:spacing w:val="-13"/>
        </w:rPr>
        <w:t> </w:t>
      </w:r>
      <w:r>
        <w:rPr/>
        <w:t>above</w:t>
      </w:r>
      <w:r>
        <w:rPr>
          <w:spacing w:val="-12"/>
        </w:rPr>
        <w:t> </w:t>
      </w:r>
      <w:r>
        <w:rPr/>
        <w:t>present</w:t>
      </w:r>
      <w:r>
        <w:rPr>
          <w:spacing w:val="-13"/>
        </w:rPr>
        <w:t> </w:t>
      </w:r>
      <w:r>
        <w:rPr/>
        <w:t>fairly,</w:t>
      </w:r>
      <w:r>
        <w:rPr>
          <w:spacing w:val="-12"/>
        </w:rPr>
        <w:t> </w:t>
      </w:r>
      <w:r>
        <w:rPr/>
        <w:t>in</w:t>
      </w:r>
      <w:r>
        <w:rPr>
          <w:spacing w:val="-13"/>
        </w:rPr>
        <w:t> </w:t>
      </w:r>
      <w:r>
        <w:rPr/>
        <w:t>all</w:t>
      </w:r>
      <w:r>
        <w:rPr>
          <w:spacing w:val="-12"/>
        </w:rPr>
        <w:t> </w:t>
      </w:r>
      <w:r>
        <w:rPr/>
        <w:t>material</w:t>
      </w:r>
      <w:r>
        <w:rPr>
          <w:spacing w:val="-13"/>
        </w:rPr>
        <w:t> </w:t>
      </w:r>
      <w:r>
        <w:rPr/>
        <w:t>respects,</w:t>
      </w:r>
      <w:r>
        <w:rPr>
          <w:spacing w:val="-12"/>
        </w:rPr>
        <w:t> </w:t>
      </w:r>
      <w:r>
        <w:rPr/>
        <w:t>the</w:t>
      </w:r>
      <w:r>
        <w:rPr>
          <w:spacing w:val="-13"/>
        </w:rPr>
        <w:t> </w:t>
      </w:r>
      <w:r>
        <w:rPr/>
        <w:t>financial position</w:t>
      </w:r>
      <w:r>
        <w:rPr>
          <w:spacing w:val="-2"/>
        </w:rPr>
        <w:t> </w:t>
      </w:r>
      <w:r>
        <w:rPr/>
        <w:t>of</w:t>
      </w:r>
      <w:r>
        <w:rPr>
          <w:spacing w:val="-13"/>
        </w:rPr>
        <w:t> </w:t>
      </w:r>
      <w:r>
        <w:rPr/>
        <w:t>Adobe</w:t>
      </w:r>
      <w:r>
        <w:rPr>
          <w:spacing w:val="-2"/>
        </w:rPr>
        <w:t> </w:t>
      </w:r>
      <w:r>
        <w:rPr/>
        <w:t>Systems</w:t>
      </w:r>
      <w:r>
        <w:rPr>
          <w:spacing w:val="-2"/>
        </w:rPr>
        <w:t> </w:t>
      </w:r>
      <w:r>
        <w:rPr/>
        <w:t>Incorporated</w:t>
      </w:r>
      <w:r>
        <w:rPr>
          <w:spacing w:val="-2"/>
        </w:rPr>
        <w:t> </w:t>
      </w:r>
      <w:r>
        <w:rPr/>
        <w:t>and</w:t>
      </w:r>
      <w:r>
        <w:rPr>
          <w:spacing w:val="-2"/>
        </w:rPr>
        <w:t> </w:t>
      </w:r>
      <w:r>
        <w:rPr/>
        <w:t>subsidiaries</w:t>
      </w:r>
      <w:r>
        <w:rPr>
          <w:spacing w:val="-2"/>
        </w:rPr>
        <w:t> </w:t>
      </w:r>
      <w:r>
        <w:rPr/>
        <w:t>as</w:t>
      </w:r>
      <w:r>
        <w:rPr>
          <w:spacing w:val="-2"/>
        </w:rPr>
        <w:t> </w:t>
      </w:r>
      <w:r>
        <w:rPr/>
        <w:t>of</w:t>
      </w:r>
      <w:r>
        <w:rPr>
          <w:spacing w:val="-2"/>
        </w:rPr>
        <w:t> </w:t>
      </w:r>
      <w:r>
        <w:rPr/>
        <w:t>December</w:t>
      </w:r>
      <w:r>
        <w:rPr>
          <w:spacing w:val="-2"/>
        </w:rPr>
        <w:t> </w:t>
      </w:r>
      <w:r>
        <w:rPr/>
        <w:t>1,</w:t>
      </w:r>
      <w:r>
        <w:rPr>
          <w:spacing w:val="-2"/>
        </w:rPr>
        <w:t> </w:t>
      </w:r>
      <w:r>
        <w:rPr/>
        <w:t>2017</w:t>
      </w:r>
      <w:r>
        <w:rPr>
          <w:spacing w:val="-2"/>
        </w:rPr>
        <w:t> </w:t>
      </w:r>
      <w:r>
        <w:rPr/>
        <w:t>and</w:t>
      </w:r>
      <w:r>
        <w:rPr>
          <w:spacing w:val="-2"/>
        </w:rPr>
        <w:t> </w:t>
      </w:r>
      <w:r>
        <w:rPr/>
        <w:t>December</w:t>
      </w:r>
      <w:r>
        <w:rPr>
          <w:spacing w:val="-2"/>
        </w:rPr>
        <w:t> </w:t>
      </w:r>
      <w:r>
        <w:rPr/>
        <w:t>2,</w:t>
      </w:r>
      <w:r>
        <w:rPr>
          <w:spacing w:val="-2"/>
        </w:rPr>
        <w:t> </w:t>
      </w:r>
      <w:r>
        <w:rPr/>
        <w:t>2016,</w:t>
      </w:r>
      <w:r>
        <w:rPr>
          <w:spacing w:val="-2"/>
        </w:rPr>
        <w:t> </w:t>
      </w:r>
      <w:r>
        <w:rPr/>
        <w:t>and</w:t>
      </w:r>
      <w:r>
        <w:rPr>
          <w:spacing w:val="-2"/>
        </w:rPr>
        <w:t> </w:t>
      </w:r>
      <w:r>
        <w:rPr/>
        <w:t>the</w:t>
      </w:r>
      <w:r>
        <w:rPr>
          <w:spacing w:val="-2"/>
        </w:rPr>
        <w:t> </w:t>
      </w:r>
      <w:r>
        <w:rPr/>
        <w:t>results</w:t>
      </w:r>
      <w:r>
        <w:rPr>
          <w:spacing w:val="-2"/>
        </w:rPr>
        <w:t> </w:t>
      </w:r>
      <w:r>
        <w:rPr/>
        <w:t>of</w:t>
      </w:r>
      <w:r>
        <w:rPr>
          <w:spacing w:val="-2"/>
        </w:rPr>
        <w:t> </w:t>
      </w:r>
      <w:r>
        <w:rPr/>
        <w:t>their operations and their cash flows for each of the years in the three-year period ended December</w:t>
      </w:r>
      <w:r>
        <w:rPr>
          <w:spacing w:val="-2"/>
        </w:rPr>
        <w:t> </w:t>
      </w:r>
      <w:r>
        <w:rPr/>
        <w:t>1, 2017, in conformity with U.S. generally accepted accounting principles.</w:t>
      </w:r>
      <w:r>
        <w:rPr>
          <w:spacing w:val="-11"/>
        </w:rPr>
        <w:t> </w:t>
      </w:r>
      <w:r>
        <w:rPr/>
        <w:t>Also in our opinion,</w:t>
      </w:r>
      <w:r>
        <w:rPr>
          <w:spacing w:val="-11"/>
        </w:rPr>
        <w:t> </w:t>
      </w:r>
      <w:r>
        <w:rPr/>
        <w:t>Adobe Systems Incorporated maintained, in all material</w:t>
      </w:r>
      <w:r>
        <w:rPr>
          <w:spacing w:val="-1"/>
        </w:rPr>
        <w:t> </w:t>
      </w:r>
      <w:r>
        <w:rPr/>
        <w:t>respects, effective internal control over financial reporting as of December</w:t>
      </w:r>
      <w:r>
        <w:rPr>
          <w:spacing w:val="-2"/>
        </w:rPr>
        <w:t> </w:t>
      </w:r>
      <w:r>
        <w:rPr/>
        <w:t>1, 2017, based on criteria established in </w:t>
      </w:r>
      <w:r>
        <w:rPr>
          <w:i/>
        </w:rPr>
        <w:t>Internal Control - Integrated Framework </w:t>
      </w:r>
      <w:r>
        <w:rPr/>
        <w:t>(2013) issued by the COSO.</w:t>
      </w:r>
    </w:p>
    <w:p>
      <w:pPr>
        <w:pStyle w:val="BodyText"/>
        <w:spacing w:line="249" w:lineRule="auto" w:before="125"/>
        <w:ind w:left="210" w:right="247" w:firstLine="720"/>
        <w:jc w:val="both"/>
      </w:pPr>
      <w:r>
        <w:rPr/>
        <w:t>Adobe</w:t>
      </w:r>
      <w:r>
        <w:rPr>
          <w:spacing w:val="-3"/>
        </w:rPr>
        <w:t> </w:t>
      </w:r>
      <w:r>
        <w:rPr/>
        <w:t>Systems</w:t>
      </w:r>
      <w:r>
        <w:rPr>
          <w:spacing w:val="-2"/>
        </w:rPr>
        <w:t> </w:t>
      </w:r>
      <w:r>
        <w:rPr/>
        <w:t>Incorporated</w:t>
      </w:r>
      <w:r>
        <w:rPr>
          <w:spacing w:val="-3"/>
        </w:rPr>
        <w:t> </w:t>
      </w:r>
      <w:r>
        <w:rPr/>
        <w:t>acquired</w:t>
      </w:r>
      <w:r>
        <w:rPr>
          <w:spacing w:val="-6"/>
        </w:rPr>
        <w:t> </w:t>
      </w:r>
      <w:r>
        <w:rPr/>
        <w:t>TubeMogul,</w:t>
      </w:r>
      <w:r>
        <w:rPr>
          <w:spacing w:val="-3"/>
        </w:rPr>
        <w:t> </w:t>
      </w:r>
      <w:r>
        <w:rPr/>
        <w:t>Inc.</w:t>
      </w:r>
      <w:r>
        <w:rPr>
          <w:spacing w:val="-2"/>
        </w:rPr>
        <w:t> </w:t>
      </w:r>
      <w:r>
        <w:rPr/>
        <w:t>(TubeMogul)</w:t>
      </w:r>
      <w:r>
        <w:rPr>
          <w:spacing w:val="-3"/>
        </w:rPr>
        <w:t> </w:t>
      </w:r>
      <w:r>
        <w:rPr/>
        <w:t>on</w:t>
      </w:r>
      <w:r>
        <w:rPr>
          <w:spacing w:val="-2"/>
        </w:rPr>
        <w:t> </w:t>
      </w:r>
      <w:r>
        <w:rPr/>
        <w:t>December</w:t>
      </w:r>
      <w:r>
        <w:rPr>
          <w:spacing w:val="-2"/>
        </w:rPr>
        <w:t> </w:t>
      </w:r>
      <w:r>
        <w:rPr/>
        <w:t>19,</w:t>
      </w:r>
      <w:r>
        <w:rPr>
          <w:spacing w:val="-2"/>
        </w:rPr>
        <w:t> </w:t>
      </w:r>
      <w:r>
        <w:rPr/>
        <w:t>2016,</w:t>
      </w:r>
      <w:r>
        <w:rPr>
          <w:spacing w:val="-3"/>
        </w:rPr>
        <w:t> </w:t>
      </w:r>
      <w:r>
        <w:rPr/>
        <w:t>as</w:t>
      </w:r>
      <w:r>
        <w:rPr>
          <w:spacing w:val="-2"/>
        </w:rPr>
        <w:t> </w:t>
      </w:r>
      <w:r>
        <w:rPr/>
        <w:t>discussed</w:t>
      </w:r>
      <w:r>
        <w:rPr>
          <w:spacing w:val="-2"/>
        </w:rPr>
        <w:t> </w:t>
      </w:r>
      <w:r>
        <w:rPr/>
        <w:t>in</w:t>
      </w:r>
      <w:r>
        <w:rPr>
          <w:spacing w:val="-2"/>
        </w:rPr>
        <w:t> </w:t>
      </w:r>
      <w:r>
        <w:rPr/>
        <w:t>Note</w:t>
      </w:r>
      <w:r>
        <w:rPr>
          <w:spacing w:val="-3"/>
        </w:rPr>
        <w:t> </w:t>
      </w:r>
      <w:r>
        <w:rPr/>
        <w:t>2</w:t>
      </w:r>
      <w:r>
        <w:rPr>
          <w:spacing w:val="-2"/>
        </w:rPr>
        <w:t> </w:t>
      </w:r>
      <w:r>
        <w:rPr/>
        <w:t>to the</w:t>
      </w:r>
      <w:r>
        <w:rPr>
          <w:spacing w:val="-13"/>
        </w:rPr>
        <w:t> </w:t>
      </w:r>
      <w:r>
        <w:rPr/>
        <w:t>consolidated</w:t>
      </w:r>
      <w:r>
        <w:rPr>
          <w:spacing w:val="-12"/>
        </w:rPr>
        <w:t> </w:t>
      </w:r>
      <w:r>
        <w:rPr/>
        <w:t>financial</w:t>
      </w:r>
      <w:r>
        <w:rPr>
          <w:spacing w:val="-13"/>
        </w:rPr>
        <w:t> </w:t>
      </w:r>
      <w:r>
        <w:rPr/>
        <w:t>statements.</w:t>
      </w:r>
      <w:r>
        <w:rPr>
          <w:spacing w:val="-12"/>
        </w:rPr>
        <w:t> </w:t>
      </w:r>
      <w:r>
        <w:rPr/>
        <w:t>As</w:t>
      </w:r>
      <w:r>
        <w:rPr>
          <w:spacing w:val="-13"/>
        </w:rPr>
        <w:t> </w:t>
      </w:r>
      <w:r>
        <w:rPr/>
        <w:t>discussed</w:t>
      </w:r>
      <w:r>
        <w:rPr>
          <w:spacing w:val="-12"/>
        </w:rPr>
        <w:t> </w:t>
      </w:r>
      <w:r>
        <w:rPr/>
        <w:t>in</w:t>
      </w:r>
      <w:r>
        <w:rPr>
          <w:spacing w:val="-13"/>
        </w:rPr>
        <w:t> </w:t>
      </w:r>
      <w:r>
        <w:rPr/>
        <w:t>Management’s</w:t>
      </w:r>
      <w:r>
        <w:rPr>
          <w:spacing w:val="-12"/>
        </w:rPr>
        <w:t> </w:t>
      </w:r>
      <w:r>
        <w:rPr/>
        <w:t>Annual</w:t>
      </w:r>
      <w:r>
        <w:rPr>
          <w:spacing w:val="-12"/>
        </w:rPr>
        <w:t> </w:t>
      </w:r>
      <w:r>
        <w:rPr/>
        <w:t>Report</w:t>
      </w:r>
      <w:r>
        <w:rPr>
          <w:spacing w:val="-11"/>
        </w:rPr>
        <w:t> </w:t>
      </w:r>
      <w:r>
        <w:rPr/>
        <w:t>on</w:t>
      </w:r>
      <w:r>
        <w:rPr>
          <w:spacing w:val="-11"/>
        </w:rPr>
        <w:t> </w:t>
      </w:r>
      <w:r>
        <w:rPr/>
        <w:t>Internal</w:t>
      </w:r>
      <w:r>
        <w:rPr>
          <w:spacing w:val="-11"/>
        </w:rPr>
        <w:t> </w:t>
      </w:r>
      <w:r>
        <w:rPr/>
        <w:t>Control</w:t>
      </w:r>
      <w:r>
        <w:rPr>
          <w:spacing w:val="-11"/>
        </w:rPr>
        <w:t> </w:t>
      </w:r>
      <w:r>
        <w:rPr/>
        <w:t>over</w:t>
      </w:r>
      <w:r>
        <w:rPr>
          <w:spacing w:val="-11"/>
        </w:rPr>
        <w:t> </w:t>
      </w:r>
      <w:r>
        <w:rPr/>
        <w:t>Financial</w:t>
      </w:r>
      <w:r>
        <w:rPr>
          <w:spacing w:val="-11"/>
        </w:rPr>
        <w:t> </w:t>
      </w:r>
      <w:r>
        <w:rPr/>
        <w:t>Reporting appearing</w:t>
      </w:r>
      <w:r>
        <w:rPr>
          <w:spacing w:val="-13"/>
        </w:rPr>
        <w:t> </w:t>
      </w:r>
      <w:r>
        <w:rPr/>
        <w:t>under</w:t>
      </w:r>
      <w:r>
        <w:rPr>
          <w:spacing w:val="-12"/>
        </w:rPr>
        <w:t> </w:t>
      </w:r>
      <w:r>
        <w:rPr/>
        <w:t>Item</w:t>
      </w:r>
      <w:r>
        <w:rPr>
          <w:spacing w:val="-13"/>
        </w:rPr>
        <w:t> </w:t>
      </w:r>
      <w:r>
        <w:rPr/>
        <w:t>9A,</w:t>
      </w:r>
      <w:r>
        <w:rPr>
          <w:spacing w:val="-12"/>
        </w:rPr>
        <w:t> </w:t>
      </w:r>
      <w:r>
        <w:rPr/>
        <w:t>management</w:t>
      </w:r>
      <w:r>
        <w:rPr>
          <w:spacing w:val="-13"/>
        </w:rPr>
        <w:t> </w:t>
      </w:r>
      <w:r>
        <w:rPr/>
        <w:t>excluded</w:t>
      </w:r>
      <w:r>
        <w:rPr>
          <w:spacing w:val="-12"/>
        </w:rPr>
        <w:t> </w:t>
      </w:r>
      <w:r>
        <w:rPr/>
        <w:t>from</w:t>
      </w:r>
      <w:r>
        <w:rPr>
          <w:spacing w:val="-13"/>
        </w:rPr>
        <w:t> </w:t>
      </w:r>
      <w:r>
        <w:rPr/>
        <w:t>its</w:t>
      </w:r>
      <w:r>
        <w:rPr>
          <w:spacing w:val="-12"/>
        </w:rPr>
        <w:t> </w:t>
      </w:r>
      <w:r>
        <w:rPr/>
        <w:t>assessment</w:t>
      </w:r>
      <w:r>
        <w:rPr>
          <w:spacing w:val="-13"/>
        </w:rPr>
        <w:t> </w:t>
      </w:r>
      <w:r>
        <w:rPr/>
        <w:t>of</w:t>
      </w:r>
      <w:r>
        <w:rPr>
          <w:spacing w:val="-12"/>
        </w:rPr>
        <w:t> </w:t>
      </w:r>
      <w:r>
        <w:rPr/>
        <w:t>the</w:t>
      </w:r>
      <w:r>
        <w:rPr>
          <w:spacing w:val="-13"/>
        </w:rPr>
        <w:t> </w:t>
      </w:r>
      <w:r>
        <w:rPr/>
        <w:t>effectiveness</w:t>
      </w:r>
      <w:r>
        <w:rPr>
          <w:spacing w:val="-12"/>
        </w:rPr>
        <w:t> </w:t>
      </w:r>
      <w:r>
        <w:rPr/>
        <w:t>of</w:t>
      </w:r>
      <w:r>
        <w:rPr>
          <w:spacing w:val="-13"/>
        </w:rPr>
        <w:t> </w:t>
      </w:r>
      <w:r>
        <w:rPr/>
        <w:t>Adobe</w:t>
      </w:r>
      <w:r>
        <w:rPr>
          <w:spacing w:val="-12"/>
        </w:rPr>
        <w:t> </w:t>
      </w:r>
      <w:r>
        <w:rPr/>
        <w:t>System</w:t>
      </w:r>
      <w:r>
        <w:rPr>
          <w:spacing w:val="-13"/>
        </w:rPr>
        <w:t> </w:t>
      </w:r>
      <w:r>
        <w:rPr/>
        <w:t>Incorporated’s</w:t>
      </w:r>
      <w:r>
        <w:rPr>
          <w:spacing w:val="-12"/>
        </w:rPr>
        <w:t> </w:t>
      </w:r>
      <w:r>
        <w:rPr/>
        <w:t>internal control over financial reporting as of December 1, 2017, TubeMogul’s internal control over financial reporting associated with </w:t>
      </w:r>
      <w:r>
        <w:rPr>
          <w:spacing w:val="-2"/>
        </w:rPr>
        <w:t>consolidated</w:t>
      </w:r>
      <w:r>
        <w:rPr>
          <w:spacing w:val="-11"/>
        </w:rPr>
        <w:t> </w:t>
      </w:r>
      <w:r>
        <w:rPr>
          <w:spacing w:val="-2"/>
        </w:rPr>
        <w:t>total</w:t>
      </w:r>
      <w:r>
        <w:rPr>
          <w:spacing w:val="-10"/>
        </w:rPr>
        <w:t> </w:t>
      </w:r>
      <w:r>
        <w:rPr>
          <w:spacing w:val="-2"/>
        </w:rPr>
        <w:t>assets</w:t>
      </w:r>
      <w:r>
        <w:rPr>
          <w:spacing w:val="-11"/>
        </w:rPr>
        <w:t> </w:t>
      </w:r>
      <w:r>
        <w:rPr>
          <w:spacing w:val="-2"/>
        </w:rPr>
        <w:t>of</w:t>
      </w:r>
      <w:r>
        <w:rPr>
          <w:spacing w:val="-10"/>
        </w:rPr>
        <w:t> </w:t>
      </w:r>
      <w:r>
        <w:rPr>
          <w:spacing w:val="-2"/>
        </w:rPr>
        <w:t>approximately</w:t>
      </w:r>
      <w:r>
        <w:rPr>
          <w:spacing w:val="-11"/>
        </w:rPr>
        <w:t> </w:t>
      </w:r>
      <w:r>
        <w:rPr>
          <w:spacing w:val="-2"/>
        </w:rPr>
        <w:t>1.8%</w:t>
      </w:r>
      <w:r>
        <w:rPr>
          <w:spacing w:val="-10"/>
        </w:rPr>
        <w:t> </w:t>
      </w:r>
      <w:r>
        <w:rPr>
          <w:spacing w:val="-2"/>
        </w:rPr>
        <w:t>and</w:t>
      </w:r>
      <w:r>
        <w:rPr>
          <w:spacing w:val="-11"/>
        </w:rPr>
        <w:t> </w:t>
      </w:r>
      <w:r>
        <w:rPr>
          <w:spacing w:val="-2"/>
        </w:rPr>
        <w:t>consolidated</w:t>
      </w:r>
      <w:r>
        <w:rPr>
          <w:spacing w:val="-10"/>
        </w:rPr>
        <w:t> </w:t>
      </w:r>
      <w:r>
        <w:rPr>
          <w:spacing w:val="-2"/>
        </w:rPr>
        <w:t>total</w:t>
      </w:r>
      <w:r>
        <w:rPr>
          <w:spacing w:val="-11"/>
        </w:rPr>
        <w:t> </w:t>
      </w:r>
      <w:r>
        <w:rPr>
          <w:spacing w:val="-2"/>
        </w:rPr>
        <w:t>revenues</w:t>
      </w:r>
      <w:r>
        <w:rPr>
          <w:spacing w:val="-10"/>
        </w:rPr>
        <w:t> </w:t>
      </w:r>
      <w:r>
        <w:rPr>
          <w:spacing w:val="-2"/>
        </w:rPr>
        <w:t>of</w:t>
      </w:r>
      <w:r>
        <w:rPr>
          <w:spacing w:val="-11"/>
        </w:rPr>
        <w:t> </w:t>
      </w:r>
      <w:r>
        <w:rPr>
          <w:spacing w:val="-2"/>
        </w:rPr>
        <w:t>approximately</w:t>
      </w:r>
      <w:r>
        <w:rPr>
          <w:spacing w:val="-10"/>
        </w:rPr>
        <w:t> </w:t>
      </w:r>
      <w:r>
        <w:rPr>
          <w:spacing w:val="-2"/>
        </w:rPr>
        <w:t>2.5%,</w:t>
      </w:r>
      <w:r>
        <w:rPr>
          <w:spacing w:val="-11"/>
        </w:rPr>
        <w:t> </w:t>
      </w:r>
      <w:r>
        <w:rPr>
          <w:spacing w:val="-2"/>
        </w:rPr>
        <w:t>included</w:t>
      </w:r>
      <w:r>
        <w:rPr>
          <w:spacing w:val="-10"/>
        </w:rPr>
        <w:t> </w:t>
      </w:r>
      <w:r>
        <w:rPr>
          <w:spacing w:val="-2"/>
        </w:rPr>
        <w:t>in</w:t>
      </w:r>
      <w:r>
        <w:rPr>
          <w:spacing w:val="-11"/>
        </w:rPr>
        <w:t> </w:t>
      </w:r>
      <w:r>
        <w:rPr>
          <w:spacing w:val="-2"/>
        </w:rPr>
        <w:t>the</w:t>
      </w:r>
      <w:r>
        <w:rPr>
          <w:spacing w:val="-10"/>
        </w:rPr>
        <w:t> </w:t>
      </w:r>
      <w:r>
        <w:rPr>
          <w:spacing w:val="-2"/>
        </w:rPr>
        <w:t>consolidated </w:t>
      </w:r>
      <w:r>
        <w:rPr/>
        <w:t>financial statements of</w:t>
      </w:r>
      <w:r>
        <w:rPr>
          <w:spacing w:val="-9"/>
        </w:rPr>
        <w:t> </w:t>
      </w:r>
      <w:r>
        <w:rPr/>
        <w:t>Adobe Systems Incorporated and subsidiaries as of and for the year ended December 1, 2017. Our audit of</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t>reporting</w:t>
      </w:r>
      <w:r>
        <w:rPr>
          <w:spacing w:val="-1"/>
        </w:rPr>
        <w:t> </w:t>
      </w:r>
      <w:r>
        <w:rPr/>
        <w:t>of</w:t>
      </w:r>
      <w:r>
        <w:rPr>
          <w:spacing w:val="-12"/>
        </w:rPr>
        <w:t> </w:t>
      </w:r>
      <w:r>
        <w:rPr/>
        <w:t>Adobe</w:t>
      </w:r>
      <w:r>
        <w:rPr>
          <w:spacing w:val="-1"/>
        </w:rPr>
        <w:t> </w:t>
      </w:r>
      <w:r>
        <w:rPr/>
        <w:t>Systems Incorporated</w:t>
      </w:r>
      <w:r>
        <w:rPr>
          <w:spacing w:val="-1"/>
        </w:rPr>
        <w:t> </w:t>
      </w:r>
      <w:r>
        <w:rPr/>
        <w:t>as</w:t>
      </w:r>
      <w:r>
        <w:rPr>
          <w:spacing w:val="-1"/>
        </w:rPr>
        <w:t> </w:t>
      </w:r>
      <w:r>
        <w:rPr/>
        <w:t>of</w:t>
      </w:r>
      <w:r>
        <w:rPr>
          <w:spacing w:val="-1"/>
        </w:rPr>
        <w:t> </w:t>
      </w:r>
      <w:r>
        <w:rPr/>
        <w:t>December</w:t>
      </w:r>
      <w:r>
        <w:rPr>
          <w:spacing w:val="-2"/>
        </w:rPr>
        <w:t> </w:t>
      </w:r>
      <w:r>
        <w:rPr/>
        <w:t>1,</w:t>
      </w:r>
      <w:r>
        <w:rPr>
          <w:spacing w:val="-1"/>
        </w:rPr>
        <w:t> </w:t>
      </w:r>
      <w:r>
        <w:rPr/>
        <w:t>2017,</w:t>
      </w:r>
      <w:r>
        <w:rPr>
          <w:spacing w:val="-1"/>
        </w:rPr>
        <w:t> </w:t>
      </w:r>
      <w:r>
        <w:rPr/>
        <w:t>also</w:t>
      </w:r>
      <w:r>
        <w:rPr>
          <w:spacing w:val="-1"/>
        </w:rPr>
        <w:t> </w:t>
      </w:r>
      <w:r>
        <w:rPr/>
        <w:t>excluded</w:t>
      </w:r>
      <w:r>
        <w:rPr>
          <w:spacing w:val="-1"/>
        </w:rPr>
        <w:t> </w:t>
      </w:r>
      <w:r>
        <w:rPr/>
        <w:t>an</w:t>
      </w:r>
      <w:r>
        <w:rPr>
          <w:spacing w:val="-1"/>
        </w:rPr>
        <w:t> </w:t>
      </w:r>
      <w:r>
        <w:rPr/>
        <w:t>evaluation of the internal control over financial reporting of TubeMogul.</w:t>
      </w:r>
    </w:p>
    <w:p>
      <w:pPr>
        <w:pStyle w:val="BodyText"/>
        <w:spacing w:before="126"/>
        <w:ind w:left="3853" w:right="3884"/>
        <w:jc w:val="center"/>
      </w:pPr>
      <w:r>
        <w:rPr/>
        <w:t>(signed)</w:t>
      </w:r>
      <w:r>
        <w:rPr>
          <w:spacing w:val="-4"/>
        </w:rPr>
        <w:t> </w:t>
      </w:r>
      <w:r>
        <w:rPr/>
        <w:t>KPMG</w:t>
      </w:r>
      <w:r>
        <w:rPr>
          <w:spacing w:val="-2"/>
        </w:rPr>
        <w:t> </w:t>
      </w:r>
      <w:r>
        <w:rPr>
          <w:spacing w:val="-5"/>
        </w:rPr>
        <w:t>LLP</w:t>
      </w:r>
    </w:p>
    <w:p>
      <w:pPr>
        <w:pStyle w:val="BodyText"/>
        <w:spacing w:line="249" w:lineRule="auto" w:before="190"/>
        <w:ind w:left="210" w:right="8292"/>
      </w:pPr>
      <w:r>
        <w:rPr/>
        <w:t>Santa</w:t>
      </w:r>
      <w:r>
        <w:rPr>
          <w:spacing w:val="-13"/>
        </w:rPr>
        <w:t> </w:t>
      </w:r>
      <w:r>
        <w:rPr/>
        <w:t>Clara,</w:t>
      </w:r>
      <w:r>
        <w:rPr>
          <w:spacing w:val="-12"/>
        </w:rPr>
        <w:t> </w:t>
      </w:r>
      <w:r>
        <w:rPr/>
        <w:t>California January 22, 2018</w:t>
      </w:r>
    </w:p>
    <w:p>
      <w:pPr>
        <w:spacing w:after="0" w:line="249" w:lineRule="auto"/>
        <w:sectPr>
          <w:headerReference w:type="default" r:id="rId34"/>
          <w:footerReference w:type="default" r:id="rId35"/>
          <w:pgSz w:w="12240" w:h="15840"/>
          <w:pgMar w:header="210" w:footer="560" w:top="420" w:bottom="760" w:left="780" w:right="740"/>
        </w:sectPr>
      </w:pPr>
    </w:p>
    <w:p>
      <w:pPr>
        <w:pStyle w:val="BodyText"/>
        <w:spacing w:before="147"/>
      </w:pPr>
    </w:p>
    <w:p>
      <w:pPr>
        <w:pStyle w:val="Heading1"/>
        <w:spacing w:line="249" w:lineRule="auto"/>
      </w:pPr>
      <w:bookmarkStart w:name="Item 9. Changes in and Disagreements wit" w:id="96"/>
      <w:bookmarkEnd w:id="96"/>
      <w:r>
        <w:rPr>
          <w:b w:val="0"/>
        </w:rPr>
      </w:r>
      <w:bookmarkStart w:name="_bookmark34" w:id="97"/>
      <w:bookmarkEnd w:id="97"/>
      <w:r>
        <w:rPr>
          <w:b w:val="0"/>
        </w:rPr>
      </w:r>
      <w:r>
        <w:rPr/>
        <w:t>ITEM</w:t>
      </w:r>
      <w:r>
        <w:rPr>
          <w:spacing w:val="-13"/>
        </w:rPr>
        <w:t> </w:t>
      </w:r>
      <w:r>
        <w:rPr/>
        <w:t>9.</w:t>
      </w:r>
      <w:r>
        <w:rPr>
          <w:spacing w:val="40"/>
        </w:rPr>
        <w:t> </w:t>
      </w:r>
      <w:r>
        <w:rPr/>
        <w:t>CHANGES</w:t>
      </w:r>
      <w:r>
        <w:rPr>
          <w:spacing w:val="-6"/>
        </w:rPr>
        <w:t> </w:t>
      </w:r>
      <w:r>
        <w:rPr/>
        <w:t>IN</w:t>
      </w:r>
      <w:r>
        <w:rPr>
          <w:spacing w:val="-13"/>
        </w:rPr>
        <w:t> </w:t>
      </w:r>
      <w:r>
        <w:rPr/>
        <w:t>AND</w:t>
      </w:r>
      <w:r>
        <w:rPr>
          <w:spacing w:val="-5"/>
        </w:rPr>
        <w:t> </w:t>
      </w:r>
      <w:r>
        <w:rPr/>
        <w:t>DISAGREEMENTS</w:t>
      </w:r>
      <w:r>
        <w:rPr>
          <w:spacing w:val="-8"/>
        </w:rPr>
        <w:t> </w:t>
      </w:r>
      <w:r>
        <w:rPr/>
        <w:t>WITH</w:t>
      </w:r>
      <w:r>
        <w:rPr>
          <w:spacing w:val="-13"/>
        </w:rPr>
        <w:t> </w:t>
      </w:r>
      <w:r>
        <w:rPr/>
        <w:t>ACCOUNTANTS</w:t>
      </w:r>
      <w:r>
        <w:rPr>
          <w:spacing w:val="-5"/>
        </w:rPr>
        <w:t> </w:t>
      </w:r>
      <w:r>
        <w:rPr/>
        <w:t>ON</w:t>
      </w:r>
      <w:r>
        <w:rPr>
          <w:spacing w:val="-13"/>
        </w:rPr>
        <w:t> </w:t>
      </w:r>
      <w:r>
        <w:rPr/>
        <w:t>ACCOUNTING</w:t>
      </w:r>
      <w:r>
        <w:rPr>
          <w:spacing w:val="-12"/>
        </w:rPr>
        <w:t> </w:t>
      </w:r>
      <w:r>
        <w:rPr/>
        <w:t>AND</w:t>
      </w:r>
      <w:r>
        <w:rPr>
          <w:spacing w:val="-6"/>
        </w:rPr>
        <w:t> </w:t>
      </w:r>
      <w:r>
        <w:rPr/>
        <w:t>FINANCIAL </w:t>
      </w:r>
      <w:r>
        <w:rPr>
          <w:spacing w:val="-2"/>
        </w:rPr>
        <w:t>DISCLOSURE</w:t>
      </w:r>
    </w:p>
    <w:p>
      <w:pPr>
        <w:pStyle w:val="BodyText"/>
        <w:spacing w:before="121"/>
        <w:ind w:right="9474"/>
        <w:jc w:val="right"/>
      </w:pPr>
      <w:r>
        <w:rPr>
          <w:spacing w:val="-2"/>
        </w:rPr>
        <w:t>None.</w:t>
      </w:r>
    </w:p>
    <w:p>
      <w:pPr>
        <w:pStyle w:val="Heading1"/>
        <w:spacing w:before="190"/>
      </w:pPr>
      <w:bookmarkStart w:name="Item 9A. Controls and Procedures" w:id="98"/>
      <w:bookmarkEnd w:id="98"/>
      <w:r>
        <w:rPr>
          <w:b w:val="0"/>
        </w:rPr>
      </w:r>
      <w:bookmarkStart w:name="_bookmark35" w:id="99"/>
      <w:bookmarkEnd w:id="99"/>
      <w:r>
        <w:rPr>
          <w:b w:val="0"/>
        </w:rPr>
      </w:r>
      <w:r>
        <w:rPr/>
        <w:t>ITEM</w:t>
      </w:r>
      <w:r>
        <w:rPr>
          <w:spacing w:val="-2"/>
        </w:rPr>
        <w:t> </w:t>
      </w:r>
      <w:r>
        <w:rPr/>
        <w:t>9A.</w:t>
      </w:r>
      <w:r>
        <w:rPr>
          <w:spacing w:val="46"/>
        </w:rPr>
        <w:t> </w:t>
      </w:r>
      <w:r>
        <w:rPr/>
        <w:t>CONTROLS</w:t>
      </w:r>
      <w:r>
        <w:rPr>
          <w:spacing w:val="-13"/>
        </w:rPr>
        <w:t> </w:t>
      </w:r>
      <w:r>
        <w:rPr/>
        <w:t>AND</w:t>
      </w:r>
      <w:r>
        <w:rPr>
          <w:spacing w:val="-2"/>
        </w:rPr>
        <w:t> PROCEDURES</w:t>
      </w:r>
    </w:p>
    <w:p>
      <w:pPr>
        <w:pStyle w:val="Heading2"/>
        <w:spacing w:before="190"/>
      </w:pPr>
      <w:r>
        <w:rPr/>
        <w:t>Disclosure</w:t>
      </w:r>
      <w:r>
        <w:rPr>
          <w:spacing w:val="-4"/>
        </w:rPr>
        <w:t> </w:t>
      </w:r>
      <w:r>
        <w:rPr/>
        <w:t>Controls</w:t>
      </w:r>
      <w:r>
        <w:rPr>
          <w:spacing w:val="-4"/>
        </w:rPr>
        <w:t> </w:t>
      </w:r>
      <w:r>
        <w:rPr/>
        <w:t>and</w:t>
      </w:r>
      <w:r>
        <w:rPr>
          <w:spacing w:val="-4"/>
        </w:rPr>
        <w:t> </w:t>
      </w:r>
      <w:r>
        <w:rPr>
          <w:spacing w:val="-2"/>
        </w:rPr>
        <w:t>Procedures</w:t>
      </w:r>
    </w:p>
    <w:p>
      <w:pPr>
        <w:pStyle w:val="BodyText"/>
        <w:spacing w:line="249" w:lineRule="auto" w:before="190"/>
        <w:ind w:left="220" w:right="257" w:firstLine="540"/>
        <w:jc w:val="both"/>
      </w:pPr>
      <w:r>
        <w:rPr/>
        <w:t>Our</w:t>
      </w:r>
      <w:r>
        <w:rPr>
          <w:spacing w:val="-7"/>
        </w:rPr>
        <w:t> </w:t>
      </w:r>
      <w:r>
        <w:rPr/>
        <w:t>management</w:t>
      </w:r>
      <w:r>
        <w:rPr>
          <w:spacing w:val="-7"/>
        </w:rPr>
        <w:t> </w:t>
      </w:r>
      <w:r>
        <w:rPr/>
        <w:t>has</w:t>
      </w:r>
      <w:r>
        <w:rPr>
          <w:spacing w:val="-6"/>
        </w:rPr>
        <w:t> </w:t>
      </w:r>
      <w:r>
        <w:rPr/>
        <w:t>evaluated,</w:t>
      </w:r>
      <w:r>
        <w:rPr>
          <w:spacing w:val="-7"/>
        </w:rPr>
        <w:t> </w:t>
      </w:r>
      <w:r>
        <w:rPr/>
        <w:t>under</w:t>
      </w:r>
      <w:r>
        <w:rPr>
          <w:spacing w:val="-7"/>
        </w:rPr>
        <w:t> </w:t>
      </w:r>
      <w:r>
        <w:rPr/>
        <w:t>the</w:t>
      </w:r>
      <w:r>
        <w:rPr>
          <w:spacing w:val="-7"/>
        </w:rPr>
        <w:t> </w:t>
      </w:r>
      <w:r>
        <w:rPr/>
        <w:t>supervision</w:t>
      </w:r>
      <w:r>
        <w:rPr>
          <w:spacing w:val="-7"/>
        </w:rPr>
        <w:t> </w:t>
      </w:r>
      <w:r>
        <w:rPr/>
        <w:t>and</w:t>
      </w:r>
      <w:r>
        <w:rPr>
          <w:spacing w:val="-7"/>
        </w:rPr>
        <w:t> </w:t>
      </w:r>
      <w:r>
        <w:rPr/>
        <w:t>with</w:t>
      </w:r>
      <w:r>
        <w:rPr>
          <w:spacing w:val="-7"/>
        </w:rPr>
        <w:t> </w:t>
      </w:r>
      <w:r>
        <w:rPr/>
        <w:t>the</w:t>
      </w:r>
      <w:r>
        <w:rPr>
          <w:spacing w:val="-7"/>
        </w:rPr>
        <w:t> </w:t>
      </w:r>
      <w:r>
        <w:rPr/>
        <w:t>participation</w:t>
      </w:r>
      <w:r>
        <w:rPr>
          <w:spacing w:val="-7"/>
        </w:rPr>
        <w:t> </w:t>
      </w:r>
      <w:r>
        <w:rPr/>
        <w:t>of</w:t>
      </w:r>
      <w:r>
        <w:rPr>
          <w:spacing w:val="-7"/>
        </w:rPr>
        <w:t> </w:t>
      </w:r>
      <w:r>
        <w:rPr/>
        <w:t>our</w:t>
      </w:r>
      <w:r>
        <w:rPr>
          <w:spacing w:val="-6"/>
        </w:rPr>
        <w:t> </w:t>
      </w:r>
      <w:r>
        <w:rPr/>
        <w:t>Chief</w:t>
      </w:r>
      <w:r>
        <w:rPr>
          <w:spacing w:val="-7"/>
        </w:rPr>
        <w:t> </w:t>
      </w:r>
      <w:r>
        <w:rPr/>
        <w:t>Executive</w:t>
      </w:r>
      <w:r>
        <w:rPr>
          <w:spacing w:val="-7"/>
        </w:rPr>
        <w:t> </w:t>
      </w:r>
      <w:r>
        <w:rPr/>
        <w:t>Officer</w:t>
      </w:r>
      <w:r>
        <w:rPr>
          <w:spacing w:val="-7"/>
        </w:rPr>
        <w:t> </w:t>
      </w:r>
      <w:r>
        <w:rPr/>
        <w:t>and</w:t>
      </w:r>
      <w:r>
        <w:rPr>
          <w:spacing w:val="-7"/>
        </w:rPr>
        <w:t> </w:t>
      </w:r>
      <w:r>
        <w:rPr/>
        <w:t>Chief Financial</w:t>
      </w:r>
      <w:r>
        <w:rPr>
          <w:spacing w:val="-4"/>
        </w:rPr>
        <w:t> </w:t>
      </w:r>
      <w:r>
        <w:rPr/>
        <w:t>Officer,</w:t>
      </w:r>
      <w:r>
        <w:rPr>
          <w:spacing w:val="-3"/>
        </w:rPr>
        <w:t> </w:t>
      </w:r>
      <w:r>
        <w:rPr/>
        <w:t>the</w:t>
      </w:r>
      <w:r>
        <w:rPr>
          <w:spacing w:val="-4"/>
        </w:rPr>
        <w:t> </w:t>
      </w:r>
      <w:r>
        <w:rPr/>
        <w:t>effectiveness</w:t>
      </w:r>
      <w:r>
        <w:rPr>
          <w:spacing w:val="-3"/>
        </w:rPr>
        <w:t> </w:t>
      </w:r>
      <w:r>
        <w:rPr/>
        <w:t>of</w:t>
      </w:r>
      <w:r>
        <w:rPr>
          <w:spacing w:val="-3"/>
        </w:rPr>
        <w:t> </w:t>
      </w:r>
      <w:r>
        <w:rPr/>
        <w:t>our</w:t>
      </w:r>
      <w:r>
        <w:rPr>
          <w:spacing w:val="-4"/>
        </w:rPr>
        <w:t> </w:t>
      </w:r>
      <w:r>
        <w:rPr/>
        <w:t>disclosure</w:t>
      </w:r>
      <w:r>
        <w:rPr>
          <w:spacing w:val="-4"/>
        </w:rPr>
        <w:t> </w:t>
      </w:r>
      <w:r>
        <w:rPr/>
        <w:t>controls</w:t>
      </w:r>
      <w:r>
        <w:rPr>
          <w:spacing w:val="-3"/>
        </w:rPr>
        <w:t> </w:t>
      </w:r>
      <w:r>
        <w:rPr/>
        <w:t>and</w:t>
      </w:r>
      <w:r>
        <w:rPr>
          <w:spacing w:val="-3"/>
        </w:rPr>
        <w:t> </w:t>
      </w:r>
      <w:r>
        <w:rPr/>
        <w:t>procedures</w:t>
      </w:r>
      <w:r>
        <w:rPr>
          <w:spacing w:val="-3"/>
        </w:rPr>
        <w:t> </w:t>
      </w:r>
      <w:r>
        <w:rPr/>
        <w:t>as</w:t>
      </w:r>
      <w:r>
        <w:rPr>
          <w:spacing w:val="-4"/>
        </w:rPr>
        <w:t> </w:t>
      </w:r>
      <w:r>
        <w:rPr/>
        <w:t>of</w:t>
      </w:r>
      <w:r>
        <w:rPr>
          <w:spacing w:val="-3"/>
        </w:rPr>
        <w:t> </w:t>
      </w:r>
      <w:r>
        <w:rPr/>
        <w:t>December</w:t>
      </w:r>
      <w:r>
        <w:rPr>
          <w:spacing w:val="-3"/>
        </w:rPr>
        <w:t> </w:t>
      </w:r>
      <w:r>
        <w:rPr/>
        <w:t>1,</w:t>
      </w:r>
      <w:r>
        <w:rPr>
          <w:spacing w:val="-4"/>
        </w:rPr>
        <w:t> </w:t>
      </w:r>
      <w:r>
        <w:rPr/>
        <w:t>2017.</w:t>
      </w:r>
      <w:r>
        <w:rPr>
          <w:spacing w:val="-3"/>
        </w:rPr>
        <w:t> </w:t>
      </w:r>
      <w:r>
        <w:rPr/>
        <w:t>Based</w:t>
      </w:r>
      <w:r>
        <w:rPr>
          <w:spacing w:val="-4"/>
        </w:rPr>
        <w:t> </w:t>
      </w:r>
      <w:r>
        <w:rPr/>
        <w:t>on</w:t>
      </w:r>
      <w:r>
        <w:rPr>
          <w:spacing w:val="-4"/>
        </w:rPr>
        <w:t> </w:t>
      </w:r>
      <w:r>
        <w:rPr/>
        <w:t>their</w:t>
      </w:r>
      <w:r>
        <w:rPr>
          <w:spacing w:val="-4"/>
        </w:rPr>
        <w:t> </w:t>
      </w:r>
      <w:r>
        <w:rPr/>
        <w:t>evaluation as</w:t>
      </w:r>
      <w:r>
        <w:rPr>
          <w:spacing w:val="-9"/>
        </w:rPr>
        <w:t> </w:t>
      </w:r>
      <w:r>
        <w:rPr/>
        <w:t>of</w:t>
      </w:r>
      <w:r>
        <w:rPr>
          <w:spacing w:val="-8"/>
        </w:rPr>
        <w:t> </w:t>
      </w:r>
      <w:r>
        <w:rPr/>
        <w:t>December</w:t>
      </w:r>
      <w:r>
        <w:rPr>
          <w:spacing w:val="-2"/>
        </w:rPr>
        <w:t> </w:t>
      </w:r>
      <w:r>
        <w:rPr/>
        <w:t>1,</w:t>
      </w:r>
      <w:r>
        <w:rPr>
          <w:spacing w:val="-9"/>
        </w:rPr>
        <w:t> </w:t>
      </w:r>
      <w:r>
        <w:rPr/>
        <w:t>2017,</w:t>
      </w:r>
      <w:r>
        <w:rPr>
          <w:spacing w:val="-9"/>
        </w:rPr>
        <w:t> </w:t>
      </w:r>
      <w:r>
        <w:rPr/>
        <w:t>our</w:t>
      </w:r>
      <w:r>
        <w:rPr>
          <w:spacing w:val="-9"/>
        </w:rPr>
        <w:t> </w:t>
      </w:r>
      <w:r>
        <w:rPr/>
        <w:t>Chief</w:t>
      </w:r>
      <w:r>
        <w:rPr>
          <w:spacing w:val="-9"/>
        </w:rPr>
        <w:t> </w:t>
      </w:r>
      <w:r>
        <w:rPr/>
        <w:t>Executive</w:t>
      </w:r>
      <w:r>
        <w:rPr>
          <w:spacing w:val="-9"/>
        </w:rPr>
        <w:t> </w:t>
      </w:r>
      <w:r>
        <w:rPr/>
        <w:t>Officer</w:t>
      </w:r>
      <w:r>
        <w:rPr>
          <w:spacing w:val="-9"/>
        </w:rPr>
        <w:t> </w:t>
      </w:r>
      <w:r>
        <w:rPr/>
        <w:t>and</w:t>
      </w:r>
      <w:r>
        <w:rPr>
          <w:spacing w:val="-9"/>
        </w:rPr>
        <w:t> </w:t>
      </w:r>
      <w:r>
        <w:rPr/>
        <w:t>Chief</w:t>
      </w:r>
      <w:r>
        <w:rPr>
          <w:spacing w:val="-9"/>
        </w:rPr>
        <w:t> </w:t>
      </w:r>
      <w:r>
        <w:rPr/>
        <w:t>Financial</w:t>
      </w:r>
      <w:r>
        <w:rPr>
          <w:spacing w:val="-9"/>
        </w:rPr>
        <w:t> </w:t>
      </w:r>
      <w:r>
        <w:rPr/>
        <w:t>Officer</w:t>
      </w:r>
      <w:r>
        <w:rPr>
          <w:spacing w:val="-9"/>
        </w:rPr>
        <w:t> </w:t>
      </w:r>
      <w:r>
        <w:rPr/>
        <w:t>have</w:t>
      </w:r>
      <w:r>
        <w:rPr>
          <w:spacing w:val="-9"/>
        </w:rPr>
        <w:t> </w:t>
      </w:r>
      <w:r>
        <w:rPr/>
        <w:t>concluded</w:t>
      </w:r>
      <w:r>
        <w:rPr>
          <w:spacing w:val="-9"/>
        </w:rPr>
        <w:t> </w:t>
      </w:r>
      <w:r>
        <w:rPr/>
        <w:t>that</w:t>
      </w:r>
      <w:r>
        <w:rPr>
          <w:spacing w:val="-9"/>
        </w:rPr>
        <w:t> </w:t>
      </w:r>
      <w:r>
        <w:rPr/>
        <w:t>our</w:t>
      </w:r>
      <w:r>
        <w:rPr>
          <w:spacing w:val="-9"/>
        </w:rPr>
        <w:t> </w:t>
      </w:r>
      <w:r>
        <w:rPr/>
        <w:t>disclosure</w:t>
      </w:r>
      <w:r>
        <w:rPr>
          <w:spacing w:val="-9"/>
        </w:rPr>
        <w:t> </w:t>
      </w:r>
      <w:r>
        <w:rPr/>
        <w:t>controls</w:t>
      </w:r>
      <w:r>
        <w:rPr>
          <w:spacing w:val="-8"/>
        </w:rPr>
        <w:t> </w:t>
      </w:r>
      <w:r>
        <w:rPr/>
        <w:t>and procedures</w:t>
      </w:r>
      <w:r>
        <w:rPr>
          <w:spacing w:val="-9"/>
        </w:rPr>
        <w:t> </w:t>
      </w:r>
      <w:r>
        <w:rPr/>
        <w:t>(as</w:t>
      </w:r>
      <w:r>
        <w:rPr>
          <w:spacing w:val="-5"/>
        </w:rPr>
        <w:t> </w:t>
      </w:r>
      <w:r>
        <w:rPr/>
        <w:t>defined</w:t>
      </w:r>
      <w:r>
        <w:rPr>
          <w:spacing w:val="-5"/>
        </w:rPr>
        <w:t> </w:t>
      </w:r>
      <w:r>
        <w:rPr/>
        <w:t>in</w:t>
      </w:r>
      <w:r>
        <w:rPr>
          <w:spacing w:val="-5"/>
        </w:rPr>
        <w:t> </w:t>
      </w:r>
      <w:r>
        <w:rPr/>
        <w:t>Rules</w:t>
      </w:r>
      <w:r>
        <w:rPr>
          <w:spacing w:val="-4"/>
        </w:rPr>
        <w:t> </w:t>
      </w:r>
      <w:r>
        <w:rPr/>
        <w:t>13a-15(e)</w:t>
      </w:r>
      <w:r>
        <w:rPr>
          <w:spacing w:val="-5"/>
        </w:rPr>
        <w:t> </w:t>
      </w:r>
      <w:r>
        <w:rPr/>
        <w:t>and</w:t>
      </w:r>
      <w:r>
        <w:rPr>
          <w:spacing w:val="-5"/>
        </w:rPr>
        <w:t> </w:t>
      </w:r>
      <w:r>
        <w:rPr/>
        <w:t>15d-15(e)</w:t>
      </w:r>
      <w:r>
        <w:rPr>
          <w:spacing w:val="-5"/>
        </w:rPr>
        <w:t> </w:t>
      </w:r>
      <w:r>
        <w:rPr/>
        <w:t>under</w:t>
      </w:r>
      <w:r>
        <w:rPr>
          <w:spacing w:val="-5"/>
        </w:rPr>
        <w:t> </w:t>
      </w:r>
      <w:r>
        <w:rPr/>
        <w:t>the</w:t>
      </w:r>
      <w:r>
        <w:rPr>
          <w:spacing w:val="-5"/>
        </w:rPr>
        <w:t> </w:t>
      </w:r>
      <w:r>
        <w:rPr/>
        <w:t>Securities</w:t>
      </w:r>
      <w:r>
        <w:rPr>
          <w:spacing w:val="-5"/>
        </w:rPr>
        <w:t> </w:t>
      </w:r>
      <w:r>
        <w:rPr/>
        <w:t>Exchange</w:t>
      </w:r>
      <w:r>
        <w:rPr>
          <w:spacing w:val="-13"/>
        </w:rPr>
        <w:t> </w:t>
      </w:r>
      <w:r>
        <w:rPr/>
        <w:t>Act</w:t>
      </w:r>
      <w:r>
        <w:rPr>
          <w:spacing w:val="-5"/>
        </w:rPr>
        <w:t> </w:t>
      </w:r>
      <w:r>
        <w:rPr/>
        <w:t>of</w:t>
      </w:r>
      <w:r>
        <w:rPr>
          <w:spacing w:val="-5"/>
        </w:rPr>
        <w:t> </w:t>
      </w:r>
      <w:r>
        <w:rPr/>
        <w:t>1934,</w:t>
      </w:r>
      <w:r>
        <w:rPr>
          <w:spacing w:val="-5"/>
        </w:rPr>
        <w:t> </w:t>
      </w:r>
      <w:r>
        <w:rPr/>
        <w:t>as</w:t>
      </w:r>
      <w:r>
        <w:rPr>
          <w:spacing w:val="-5"/>
        </w:rPr>
        <w:t> </w:t>
      </w:r>
      <w:r>
        <w:rPr/>
        <w:t>amended)</w:t>
      </w:r>
      <w:r>
        <w:rPr>
          <w:spacing w:val="-5"/>
        </w:rPr>
        <w:t> </w:t>
      </w:r>
      <w:r>
        <w:rPr/>
        <w:t>were</w:t>
      </w:r>
      <w:r>
        <w:rPr>
          <w:spacing w:val="-5"/>
        </w:rPr>
        <w:t> </w:t>
      </w:r>
      <w:r>
        <w:rPr/>
        <w:t>effective at</w:t>
      </w:r>
      <w:r>
        <w:rPr>
          <w:spacing w:val="-5"/>
        </w:rPr>
        <w:t> </w:t>
      </w:r>
      <w:r>
        <w:rPr/>
        <w:t>the</w:t>
      </w:r>
      <w:r>
        <w:rPr>
          <w:spacing w:val="-4"/>
        </w:rPr>
        <w:t> </w:t>
      </w:r>
      <w:r>
        <w:rPr/>
        <w:t>reasonable</w:t>
      </w:r>
      <w:r>
        <w:rPr>
          <w:spacing w:val="-4"/>
        </w:rPr>
        <w:t> </w:t>
      </w:r>
      <w:r>
        <w:rPr/>
        <w:t>assurance</w:t>
      </w:r>
      <w:r>
        <w:rPr>
          <w:spacing w:val="-4"/>
        </w:rPr>
        <w:t> </w:t>
      </w:r>
      <w:r>
        <w:rPr/>
        <w:t>level</w:t>
      </w:r>
      <w:r>
        <w:rPr>
          <w:spacing w:val="-4"/>
        </w:rPr>
        <w:t> </w:t>
      </w:r>
      <w:r>
        <w:rPr/>
        <w:t>to</w:t>
      </w:r>
      <w:r>
        <w:rPr>
          <w:spacing w:val="-4"/>
        </w:rPr>
        <w:t> </w:t>
      </w:r>
      <w:r>
        <w:rPr/>
        <w:t>ensure</w:t>
      </w:r>
      <w:r>
        <w:rPr>
          <w:spacing w:val="-4"/>
        </w:rPr>
        <w:t> </w:t>
      </w:r>
      <w:r>
        <w:rPr/>
        <w:t>that</w:t>
      </w:r>
      <w:r>
        <w:rPr>
          <w:spacing w:val="-4"/>
        </w:rPr>
        <w:t> </w:t>
      </w:r>
      <w:r>
        <w:rPr/>
        <w:t>the</w:t>
      </w:r>
      <w:r>
        <w:rPr>
          <w:spacing w:val="-4"/>
        </w:rPr>
        <w:t> </w:t>
      </w:r>
      <w:r>
        <w:rPr/>
        <w:t>information</w:t>
      </w:r>
      <w:r>
        <w:rPr>
          <w:spacing w:val="-4"/>
        </w:rPr>
        <w:t> </w:t>
      </w:r>
      <w:r>
        <w:rPr/>
        <w:t>required</w:t>
      </w:r>
      <w:r>
        <w:rPr>
          <w:spacing w:val="-4"/>
        </w:rPr>
        <w:t> </w:t>
      </w:r>
      <w:r>
        <w:rPr/>
        <w:t>to</w:t>
      </w:r>
      <w:r>
        <w:rPr>
          <w:spacing w:val="-4"/>
        </w:rPr>
        <w:t> </w:t>
      </w:r>
      <w:r>
        <w:rPr/>
        <w:t>be</w:t>
      </w:r>
      <w:r>
        <w:rPr>
          <w:spacing w:val="-4"/>
        </w:rPr>
        <w:t> </w:t>
      </w:r>
      <w:r>
        <w:rPr/>
        <w:t>disclosed</w:t>
      </w:r>
      <w:r>
        <w:rPr>
          <w:spacing w:val="-4"/>
        </w:rPr>
        <w:t> </w:t>
      </w:r>
      <w:r>
        <w:rPr/>
        <w:t>by</w:t>
      </w:r>
      <w:r>
        <w:rPr>
          <w:spacing w:val="-4"/>
        </w:rPr>
        <w:t> </w:t>
      </w:r>
      <w:r>
        <w:rPr/>
        <w:t>us</w:t>
      </w:r>
      <w:r>
        <w:rPr>
          <w:spacing w:val="-4"/>
        </w:rPr>
        <w:t> </w:t>
      </w:r>
      <w:r>
        <w:rPr/>
        <w:t>in</w:t>
      </w:r>
      <w:r>
        <w:rPr>
          <w:spacing w:val="-4"/>
        </w:rPr>
        <w:t> </w:t>
      </w:r>
      <w:r>
        <w:rPr/>
        <w:t>this</w:t>
      </w:r>
      <w:r>
        <w:rPr>
          <w:spacing w:val="-13"/>
        </w:rPr>
        <w:t> </w:t>
      </w:r>
      <w:r>
        <w:rPr/>
        <w:t>Annual</w:t>
      </w:r>
      <w:r>
        <w:rPr>
          <w:spacing w:val="-3"/>
        </w:rPr>
        <w:t> </w:t>
      </w:r>
      <w:r>
        <w:rPr/>
        <w:t>Report</w:t>
      </w:r>
      <w:r>
        <w:rPr>
          <w:spacing w:val="-4"/>
        </w:rPr>
        <w:t> </w:t>
      </w:r>
      <w:r>
        <w:rPr/>
        <w:t>on</w:t>
      </w:r>
      <w:r>
        <w:rPr>
          <w:spacing w:val="-4"/>
        </w:rPr>
        <w:t> </w:t>
      </w:r>
      <w:r>
        <w:rPr/>
        <w:t>Form</w:t>
      </w:r>
      <w:r>
        <w:rPr>
          <w:spacing w:val="-2"/>
        </w:rPr>
        <w:t> </w:t>
      </w:r>
      <w:r>
        <w:rPr/>
        <w:t>10- K</w:t>
      </w:r>
      <w:r>
        <w:rPr>
          <w:spacing w:val="-5"/>
        </w:rPr>
        <w:t> </w:t>
      </w:r>
      <w:r>
        <w:rPr/>
        <w:t>was</w:t>
      </w:r>
      <w:r>
        <w:rPr>
          <w:spacing w:val="-5"/>
        </w:rPr>
        <w:t> </w:t>
      </w:r>
      <w:r>
        <w:rPr/>
        <w:t>(i)</w:t>
      </w:r>
      <w:r>
        <w:rPr>
          <w:spacing w:val="-5"/>
        </w:rPr>
        <w:t> </w:t>
      </w:r>
      <w:r>
        <w:rPr/>
        <w:t>recorded,</w:t>
      </w:r>
      <w:r>
        <w:rPr>
          <w:spacing w:val="-4"/>
        </w:rPr>
        <w:t> </w:t>
      </w:r>
      <w:r>
        <w:rPr/>
        <w:t>processed,</w:t>
      </w:r>
      <w:r>
        <w:rPr>
          <w:spacing w:val="-5"/>
        </w:rPr>
        <w:t> </w:t>
      </w:r>
      <w:r>
        <w:rPr/>
        <w:t>summarized</w:t>
      </w:r>
      <w:r>
        <w:rPr>
          <w:spacing w:val="-5"/>
        </w:rPr>
        <w:t> </w:t>
      </w:r>
      <w:r>
        <w:rPr/>
        <w:t>and</w:t>
      </w:r>
      <w:r>
        <w:rPr>
          <w:spacing w:val="-5"/>
        </w:rPr>
        <w:t> </w:t>
      </w:r>
      <w:r>
        <w:rPr/>
        <w:t>reported</w:t>
      </w:r>
      <w:r>
        <w:rPr>
          <w:spacing w:val="-4"/>
        </w:rPr>
        <w:t> </w:t>
      </w:r>
      <w:r>
        <w:rPr/>
        <w:t>within</w:t>
      </w:r>
      <w:r>
        <w:rPr>
          <w:spacing w:val="-5"/>
        </w:rPr>
        <w:t> </w:t>
      </w:r>
      <w:r>
        <w:rPr/>
        <w:t>the</w:t>
      </w:r>
      <w:r>
        <w:rPr>
          <w:spacing w:val="-5"/>
        </w:rPr>
        <w:t> </w:t>
      </w:r>
      <w:r>
        <w:rPr/>
        <w:t>time</w:t>
      </w:r>
      <w:r>
        <w:rPr>
          <w:spacing w:val="-5"/>
        </w:rPr>
        <w:t> </w:t>
      </w:r>
      <w:r>
        <w:rPr/>
        <w:t>periods</w:t>
      </w:r>
      <w:r>
        <w:rPr>
          <w:spacing w:val="-4"/>
        </w:rPr>
        <w:t> </w:t>
      </w:r>
      <w:r>
        <w:rPr/>
        <w:t>specified</w:t>
      </w:r>
      <w:r>
        <w:rPr>
          <w:spacing w:val="-5"/>
        </w:rPr>
        <w:t> </w:t>
      </w:r>
      <w:r>
        <w:rPr/>
        <w:t>in</w:t>
      </w:r>
      <w:r>
        <w:rPr>
          <w:spacing w:val="-5"/>
        </w:rPr>
        <w:t> </w:t>
      </w:r>
      <w:r>
        <w:rPr/>
        <w:t>the</w:t>
      </w:r>
      <w:r>
        <w:rPr>
          <w:spacing w:val="-5"/>
        </w:rPr>
        <w:t> </w:t>
      </w:r>
      <w:r>
        <w:rPr/>
        <w:t>SEC’s</w:t>
      </w:r>
      <w:r>
        <w:rPr>
          <w:spacing w:val="-4"/>
        </w:rPr>
        <w:t> </w:t>
      </w:r>
      <w:r>
        <w:rPr/>
        <w:t>rules</w:t>
      </w:r>
      <w:r>
        <w:rPr>
          <w:spacing w:val="-5"/>
        </w:rPr>
        <w:t> </w:t>
      </w:r>
      <w:r>
        <w:rPr/>
        <w:t>and</w:t>
      </w:r>
      <w:r>
        <w:rPr>
          <w:spacing w:val="-5"/>
        </w:rPr>
        <w:t> </w:t>
      </w:r>
      <w:r>
        <w:rPr/>
        <w:t>regulations</w:t>
      </w:r>
      <w:r>
        <w:rPr>
          <w:spacing w:val="-4"/>
        </w:rPr>
        <w:t> </w:t>
      </w:r>
      <w:r>
        <w:rPr>
          <w:spacing w:val="-5"/>
        </w:rPr>
        <w:t>and</w:t>
      </w:r>
    </w:p>
    <w:p>
      <w:pPr>
        <w:pStyle w:val="BodyText"/>
        <w:spacing w:line="249" w:lineRule="auto" w:before="5"/>
        <w:ind w:left="220" w:right="258"/>
        <w:jc w:val="both"/>
      </w:pPr>
      <w:r>
        <w:rPr/>
        <w:t>(ii) accumulated and communicated to our management, including our Chief Executive Officer and Chief Financial Officer, to allow timely decisions regarding required disclosure.</w:t>
      </w:r>
    </w:p>
    <w:p>
      <w:pPr>
        <w:pStyle w:val="BodyText"/>
        <w:spacing w:line="249" w:lineRule="auto" w:before="182"/>
        <w:ind w:left="220" w:right="257" w:firstLine="540"/>
        <w:jc w:val="both"/>
      </w:pPr>
      <w:r>
        <w:rPr/>
        <w:t>Our management, including our Chief Executive Officer and Chief Financial Officer, does not expect that our disclosure controls</w:t>
      </w:r>
      <w:r>
        <w:rPr>
          <w:spacing w:val="-13"/>
        </w:rPr>
        <w:t> </w:t>
      </w:r>
      <w:r>
        <w:rPr/>
        <w:t>and</w:t>
      </w:r>
      <w:r>
        <w:rPr>
          <w:spacing w:val="-7"/>
        </w:rPr>
        <w:t> </w:t>
      </w:r>
      <w:r>
        <w:rPr/>
        <w:t>procedures</w:t>
      </w:r>
      <w:r>
        <w:rPr>
          <w:spacing w:val="-6"/>
        </w:rPr>
        <w:t> </w:t>
      </w:r>
      <w:r>
        <w:rPr/>
        <w:t>or</w:t>
      </w:r>
      <w:r>
        <w:rPr>
          <w:spacing w:val="-6"/>
        </w:rPr>
        <w:t> </w:t>
      </w:r>
      <w:r>
        <w:rPr/>
        <w:t>our</w:t>
      </w:r>
      <w:r>
        <w:rPr>
          <w:spacing w:val="-6"/>
        </w:rPr>
        <w:t> </w:t>
      </w:r>
      <w:r>
        <w:rPr/>
        <w:t>internal</w:t>
      </w:r>
      <w:r>
        <w:rPr>
          <w:spacing w:val="-7"/>
        </w:rPr>
        <w:t> </w:t>
      </w:r>
      <w:r>
        <w:rPr/>
        <w:t>controls</w:t>
      </w:r>
      <w:r>
        <w:rPr>
          <w:spacing w:val="-6"/>
        </w:rPr>
        <w:t> </w:t>
      </w:r>
      <w:r>
        <w:rPr/>
        <w:t>over</w:t>
      </w:r>
      <w:r>
        <w:rPr>
          <w:spacing w:val="-6"/>
        </w:rPr>
        <w:t> </w:t>
      </w:r>
      <w:r>
        <w:rPr/>
        <w:t>financial</w:t>
      </w:r>
      <w:r>
        <w:rPr>
          <w:spacing w:val="-7"/>
        </w:rPr>
        <w:t> </w:t>
      </w:r>
      <w:r>
        <w:rPr/>
        <w:t>reporting</w:t>
      </w:r>
      <w:r>
        <w:rPr>
          <w:spacing w:val="-7"/>
        </w:rPr>
        <w:t> </w:t>
      </w:r>
      <w:r>
        <w:rPr/>
        <w:t>will</w:t>
      </w:r>
      <w:r>
        <w:rPr>
          <w:spacing w:val="-7"/>
        </w:rPr>
        <w:t> </w:t>
      </w:r>
      <w:r>
        <w:rPr/>
        <w:t>prevent</w:t>
      </w:r>
      <w:r>
        <w:rPr>
          <w:spacing w:val="-7"/>
        </w:rPr>
        <w:t> </w:t>
      </w:r>
      <w:r>
        <w:rPr/>
        <w:t>all</w:t>
      </w:r>
      <w:r>
        <w:rPr>
          <w:spacing w:val="-7"/>
        </w:rPr>
        <w:t> </w:t>
      </w:r>
      <w:r>
        <w:rPr/>
        <w:t>errors</w:t>
      </w:r>
      <w:r>
        <w:rPr>
          <w:spacing w:val="-6"/>
        </w:rPr>
        <w:t> </w:t>
      </w:r>
      <w:r>
        <w:rPr/>
        <w:t>and</w:t>
      </w:r>
      <w:r>
        <w:rPr>
          <w:spacing w:val="-6"/>
        </w:rPr>
        <w:t> </w:t>
      </w:r>
      <w:r>
        <w:rPr/>
        <w:t>all</w:t>
      </w:r>
      <w:r>
        <w:rPr>
          <w:spacing w:val="-7"/>
        </w:rPr>
        <w:t> </w:t>
      </w:r>
      <w:r>
        <w:rPr/>
        <w:t>fraud.</w:t>
      </w:r>
      <w:r>
        <w:rPr>
          <w:spacing w:val="-13"/>
        </w:rPr>
        <w:t> </w:t>
      </w:r>
      <w:r>
        <w:rPr/>
        <w:t>A</w:t>
      </w:r>
      <w:r>
        <w:rPr>
          <w:spacing w:val="-12"/>
        </w:rPr>
        <w:t> </w:t>
      </w:r>
      <w:r>
        <w:rPr/>
        <w:t>control</w:t>
      </w:r>
      <w:r>
        <w:rPr>
          <w:spacing w:val="-7"/>
        </w:rPr>
        <w:t> </w:t>
      </w:r>
      <w:r>
        <w:rPr/>
        <w:t>system,</w:t>
      </w:r>
      <w:r>
        <w:rPr>
          <w:spacing w:val="-6"/>
        </w:rPr>
        <w:t> </w:t>
      </w:r>
      <w:r>
        <w:rPr/>
        <w:t>no matter how well conceived and operated, can provide only reasonable, not absolute, assurance that the objectives of the control system</w:t>
      </w:r>
      <w:r>
        <w:rPr>
          <w:spacing w:val="-5"/>
        </w:rPr>
        <w:t> </w:t>
      </w:r>
      <w:r>
        <w:rPr/>
        <w:t>are</w:t>
      </w:r>
      <w:r>
        <w:rPr>
          <w:spacing w:val="-5"/>
        </w:rPr>
        <w:t> </w:t>
      </w:r>
      <w:r>
        <w:rPr/>
        <w:t>met.</w:t>
      </w:r>
      <w:r>
        <w:rPr>
          <w:spacing w:val="-5"/>
        </w:rPr>
        <w:t> </w:t>
      </w:r>
      <w:r>
        <w:rPr/>
        <w:t>Further,</w:t>
      </w:r>
      <w:r>
        <w:rPr>
          <w:spacing w:val="-5"/>
        </w:rPr>
        <w:t> </w:t>
      </w:r>
      <w:r>
        <w:rPr/>
        <w:t>the</w:t>
      </w:r>
      <w:r>
        <w:rPr>
          <w:spacing w:val="-5"/>
        </w:rPr>
        <w:t> </w:t>
      </w:r>
      <w:r>
        <w:rPr/>
        <w:t>design</w:t>
      </w:r>
      <w:r>
        <w:rPr>
          <w:spacing w:val="-5"/>
        </w:rPr>
        <w:t> </w:t>
      </w:r>
      <w:r>
        <w:rPr/>
        <w:t>of</w:t>
      </w:r>
      <w:r>
        <w:rPr>
          <w:spacing w:val="-5"/>
        </w:rPr>
        <w:t> </w:t>
      </w:r>
      <w:r>
        <w:rPr/>
        <w:t>a</w:t>
      </w:r>
      <w:r>
        <w:rPr>
          <w:spacing w:val="-5"/>
        </w:rPr>
        <w:t> </w:t>
      </w:r>
      <w:r>
        <w:rPr/>
        <w:t>control</w:t>
      </w:r>
      <w:r>
        <w:rPr>
          <w:spacing w:val="-5"/>
        </w:rPr>
        <w:t> </w:t>
      </w:r>
      <w:r>
        <w:rPr/>
        <w:t>system</w:t>
      </w:r>
      <w:r>
        <w:rPr>
          <w:spacing w:val="-5"/>
        </w:rPr>
        <w:t> </w:t>
      </w:r>
      <w:r>
        <w:rPr/>
        <w:t>must</w:t>
      </w:r>
      <w:r>
        <w:rPr>
          <w:spacing w:val="-5"/>
        </w:rPr>
        <w:t> </w:t>
      </w:r>
      <w:r>
        <w:rPr/>
        <w:t>reflect</w:t>
      </w:r>
      <w:r>
        <w:rPr>
          <w:spacing w:val="-5"/>
        </w:rPr>
        <w:t> </w:t>
      </w:r>
      <w:r>
        <w:rPr/>
        <w:t>the</w:t>
      </w:r>
      <w:r>
        <w:rPr>
          <w:spacing w:val="-5"/>
        </w:rPr>
        <w:t> </w:t>
      </w:r>
      <w:r>
        <w:rPr/>
        <w:t>fact</w:t>
      </w:r>
      <w:r>
        <w:rPr>
          <w:spacing w:val="-5"/>
        </w:rPr>
        <w:t> </w:t>
      </w:r>
      <w:r>
        <w:rPr/>
        <w:t>that</w:t>
      </w:r>
      <w:r>
        <w:rPr>
          <w:spacing w:val="-5"/>
        </w:rPr>
        <w:t> </w:t>
      </w:r>
      <w:r>
        <w:rPr/>
        <w:t>there</w:t>
      </w:r>
      <w:r>
        <w:rPr>
          <w:spacing w:val="-5"/>
        </w:rPr>
        <w:t> </w:t>
      </w:r>
      <w:r>
        <w:rPr/>
        <w:t>are</w:t>
      </w:r>
      <w:r>
        <w:rPr>
          <w:spacing w:val="-5"/>
        </w:rPr>
        <w:t> </w:t>
      </w:r>
      <w:r>
        <w:rPr/>
        <w:t>resource</w:t>
      </w:r>
      <w:r>
        <w:rPr>
          <w:spacing w:val="-5"/>
        </w:rPr>
        <w:t> </w:t>
      </w:r>
      <w:r>
        <w:rPr/>
        <w:t>constraints</w:t>
      </w:r>
      <w:r>
        <w:rPr>
          <w:spacing w:val="-4"/>
        </w:rPr>
        <w:t> </w:t>
      </w:r>
      <w:r>
        <w:rPr/>
        <w:t>and</w:t>
      </w:r>
      <w:r>
        <w:rPr>
          <w:spacing w:val="-5"/>
        </w:rPr>
        <w:t> </w:t>
      </w:r>
      <w:r>
        <w:rPr/>
        <w:t>the</w:t>
      </w:r>
      <w:r>
        <w:rPr>
          <w:spacing w:val="-5"/>
        </w:rPr>
        <w:t> </w:t>
      </w:r>
      <w:r>
        <w:rPr/>
        <w:t>benefits</w:t>
      </w:r>
      <w:r>
        <w:rPr>
          <w:spacing w:val="-5"/>
        </w:rPr>
        <w:t> </w:t>
      </w:r>
      <w:r>
        <w:rPr/>
        <w:t>of controls must be considered relative to their costs. Because of the inherent limitations in all control systems, no evaluation of controls can provide absolute assurance that all control issues and instances of fraud, if any, within</w:t>
      </w:r>
      <w:r>
        <w:rPr>
          <w:spacing w:val="-8"/>
        </w:rPr>
        <w:t> </w:t>
      </w:r>
      <w:r>
        <w:rPr/>
        <w:t>Adobe have been detected.</w:t>
      </w:r>
    </w:p>
    <w:p>
      <w:pPr>
        <w:pStyle w:val="Heading2"/>
        <w:spacing w:before="185"/>
      </w:pPr>
      <w:r>
        <w:rPr/>
        <w:t>Management’s</w:t>
      </w:r>
      <w:r>
        <w:rPr>
          <w:spacing w:val="-13"/>
        </w:rPr>
        <w:t> </w:t>
      </w:r>
      <w:r>
        <w:rPr/>
        <w:t>Annual</w:t>
      </w:r>
      <w:r>
        <w:rPr>
          <w:spacing w:val="-3"/>
        </w:rPr>
        <w:t> </w:t>
      </w:r>
      <w:r>
        <w:rPr/>
        <w:t>Report</w:t>
      </w:r>
      <w:r>
        <w:rPr>
          <w:spacing w:val="-2"/>
        </w:rPr>
        <w:t> </w:t>
      </w:r>
      <w:r>
        <w:rPr/>
        <w:t>on</w:t>
      </w:r>
      <w:r>
        <w:rPr>
          <w:spacing w:val="-2"/>
        </w:rPr>
        <w:t> </w:t>
      </w:r>
      <w:r>
        <w:rPr/>
        <w:t>Internal</w:t>
      </w:r>
      <w:r>
        <w:rPr>
          <w:spacing w:val="-3"/>
        </w:rPr>
        <w:t> </w:t>
      </w:r>
      <w:r>
        <w:rPr/>
        <w:t>Control</w:t>
      </w:r>
      <w:r>
        <w:rPr>
          <w:spacing w:val="-1"/>
        </w:rPr>
        <w:t> </w:t>
      </w:r>
      <w:r>
        <w:rPr/>
        <w:t>over</w:t>
      </w:r>
      <w:r>
        <w:rPr>
          <w:spacing w:val="-6"/>
        </w:rPr>
        <w:t> </w:t>
      </w:r>
      <w:r>
        <w:rPr/>
        <w:t>Financial</w:t>
      </w:r>
      <w:r>
        <w:rPr>
          <w:spacing w:val="-2"/>
        </w:rPr>
        <w:t> Reporting</w:t>
      </w:r>
    </w:p>
    <w:p>
      <w:pPr>
        <w:pStyle w:val="BodyText"/>
        <w:spacing w:line="249" w:lineRule="auto" w:before="190"/>
        <w:ind w:left="220" w:right="257" w:firstLine="540"/>
        <w:jc w:val="both"/>
      </w:pPr>
      <w:r>
        <w:rPr/>
        <w:t>Our management is responsible for establishing and maintaining adequate internal control over financial reporting (as defined</w:t>
      </w:r>
      <w:r>
        <w:rPr>
          <w:spacing w:val="-1"/>
        </w:rPr>
        <w:t> </w:t>
      </w:r>
      <w:r>
        <w:rPr/>
        <w:t>in</w:t>
      </w:r>
      <w:r>
        <w:rPr>
          <w:spacing w:val="-1"/>
        </w:rPr>
        <w:t> </w:t>
      </w:r>
      <w:r>
        <w:rPr/>
        <w:t>Rule</w:t>
      </w:r>
      <w:r>
        <w:rPr>
          <w:spacing w:val="-3"/>
        </w:rPr>
        <w:t> </w:t>
      </w:r>
      <w:r>
        <w:rPr/>
        <w:t>13a-15(f)</w:t>
      </w:r>
      <w:r>
        <w:rPr>
          <w:spacing w:val="-3"/>
        </w:rPr>
        <w:t> </w:t>
      </w:r>
      <w:r>
        <w:rPr/>
        <w:t>under</w:t>
      </w:r>
      <w:r>
        <w:rPr>
          <w:spacing w:val="-1"/>
        </w:rPr>
        <w:t> </w:t>
      </w:r>
      <w:r>
        <w:rPr/>
        <w:t>the</w:t>
      </w:r>
      <w:r>
        <w:rPr>
          <w:spacing w:val="-1"/>
        </w:rPr>
        <w:t> </w:t>
      </w:r>
      <w:r>
        <w:rPr/>
        <w:t>Securities</w:t>
      </w:r>
      <w:r>
        <w:rPr>
          <w:spacing w:val="-1"/>
        </w:rPr>
        <w:t> </w:t>
      </w:r>
      <w:r>
        <w:rPr/>
        <w:t>Exchange</w:t>
      </w:r>
      <w:r>
        <w:rPr>
          <w:spacing w:val="-12"/>
        </w:rPr>
        <w:t> </w:t>
      </w:r>
      <w:r>
        <w:rPr/>
        <w:t>Act</w:t>
      </w:r>
      <w:r>
        <w:rPr>
          <w:spacing w:val="-2"/>
        </w:rPr>
        <w:t> </w:t>
      </w:r>
      <w:r>
        <w:rPr/>
        <w:t>of</w:t>
      </w:r>
      <w:r>
        <w:rPr>
          <w:spacing w:val="-1"/>
        </w:rPr>
        <w:t> </w:t>
      </w:r>
      <w:r>
        <w:rPr/>
        <w:t>1934,</w:t>
      </w:r>
      <w:r>
        <w:rPr>
          <w:spacing w:val="-1"/>
        </w:rPr>
        <w:t> </w:t>
      </w:r>
      <w:r>
        <w:rPr/>
        <w:t>as</w:t>
      </w:r>
      <w:r>
        <w:rPr>
          <w:spacing w:val="-1"/>
        </w:rPr>
        <w:t> </w:t>
      </w:r>
      <w:r>
        <w:rPr/>
        <w:t>amended).</w:t>
      </w:r>
      <w:r>
        <w:rPr>
          <w:spacing w:val="-2"/>
        </w:rPr>
        <w:t> </w:t>
      </w:r>
      <w:r>
        <w:rPr/>
        <w:t>Our</w:t>
      </w:r>
      <w:r>
        <w:rPr>
          <w:spacing w:val="-1"/>
        </w:rPr>
        <w:t> </w:t>
      </w:r>
      <w:r>
        <w:rPr/>
        <w:t>management</w:t>
      </w:r>
      <w:r>
        <w:rPr>
          <w:spacing w:val="-2"/>
        </w:rPr>
        <w:t> </w:t>
      </w:r>
      <w:r>
        <w:rPr/>
        <w:t>assessed</w:t>
      </w:r>
      <w:r>
        <w:rPr>
          <w:spacing w:val="-1"/>
        </w:rPr>
        <w:t> </w:t>
      </w:r>
      <w:r>
        <w:rPr/>
        <w:t>the</w:t>
      </w:r>
      <w:r>
        <w:rPr>
          <w:spacing w:val="-1"/>
        </w:rPr>
        <w:t> </w:t>
      </w:r>
      <w:r>
        <w:rPr/>
        <w:t>effectiveness of our internal control over financial reporting as of December</w:t>
      </w:r>
      <w:r>
        <w:rPr>
          <w:spacing w:val="-2"/>
        </w:rPr>
        <w:t> </w:t>
      </w:r>
      <w:r>
        <w:rPr/>
        <w:t>1, 2017. In making this assessment, our management used the criteria</w:t>
      </w:r>
      <w:r>
        <w:rPr>
          <w:spacing w:val="-8"/>
        </w:rPr>
        <w:t> </w:t>
      </w:r>
      <w:r>
        <w:rPr/>
        <w:t>established</w:t>
      </w:r>
      <w:r>
        <w:rPr>
          <w:spacing w:val="-7"/>
        </w:rPr>
        <w:t> </w:t>
      </w:r>
      <w:r>
        <w:rPr/>
        <w:t>in</w:t>
      </w:r>
      <w:r>
        <w:rPr>
          <w:spacing w:val="-7"/>
        </w:rPr>
        <w:t> </w:t>
      </w:r>
      <w:r>
        <w:rPr/>
        <w:t>Internal</w:t>
      </w:r>
      <w:r>
        <w:rPr>
          <w:spacing w:val="-8"/>
        </w:rPr>
        <w:t> </w:t>
      </w:r>
      <w:r>
        <w:rPr/>
        <w:t>Control</w:t>
      </w:r>
      <w:r>
        <w:rPr>
          <w:spacing w:val="-8"/>
        </w:rPr>
        <w:t> </w:t>
      </w:r>
      <w:r>
        <w:rPr/>
        <w:t>-</w:t>
      </w:r>
      <w:r>
        <w:rPr>
          <w:spacing w:val="-7"/>
        </w:rPr>
        <w:t> </w:t>
      </w:r>
      <w:r>
        <w:rPr/>
        <w:t>Integrated</w:t>
      </w:r>
      <w:r>
        <w:rPr>
          <w:spacing w:val="-8"/>
        </w:rPr>
        <w:t> </w:t>
      </w:r>
      <w:r>
        <w:rPr/>
        <w:t>Framework</w:t>
      </w:r>
      <w:r>
        <w:rPr>
          <w:spacing w:val="-7"/>
        </w:rPr>
        <w:t> </w:t>
      </w:r>
      <w:r>
        <w:rPr/>
        <w:t>(2013)</w:t>
      </w:r>
      <w:r>
        <w:rPr>
          <w:spacing w:val="-7"/>
        </w:rPr>
        <w:t> </w:t>
      </w:r>
      <w:r>
        <w:rPr/>
        <w:t>issued</w:t>
      </w:r>
      <w:r>
        <w:rPr>
          <w:spacing w:val="-7"/>
        </w:rPr>
        <w:t> </w:t>
      </w:r>
      <w:r>
        <w:rPr/>
        <w:t>by</w:t>
      </w:r>
      <w:r>
        <w:rPr>
          <w:spacing w:val="-7"/>
        </w:rPr>
        <w:t> </w:t>
      </w:r>
      <w:r>
        <w:rPr/>
        <w:t>the</w:t>
      </w:r>
      <w:r>
        <w:rPr>
          <w:spacing w:val="-7"/>
        </w:rPr>
        <w:t> </w:t>
      </w:r>
      <w:r>
        <w:rPr/>
        <w:t>COSO.</w:t>
      </w:r>
      <w:r>
        <w:rPr>
          <w:spacing w:val="-7"/>
        </w:rPr>
        <w:t> </w:t>
      </w:r>
      <w:r>
        <w:rPr/>
        <w:t>Our</w:t>
      </w:r>
      <w:r>
        <w:rPr>
          <w:spacing w:val="-8"/>
        </w:rPr>
        <w:t> </w:t>
      </w:r>
      <w:r>
        <w:rPr/>
        <w:t>management</w:t>
      </w:r>
      <w:r>
        <w:rPr>
          <w:spacing w:val="-8"/>
        </w:rPr>
        <w:t> </w:t>
      </w:r>
      <w:r>
        <w:rPr/>
        <w:t>has</w:t>
      </w:r>
      <w:r>
        <w:rPr>
          <w:spacing w:val="-7"/>
        </w:rPr>
        <w:t> </w:t>
      </w:r>
      <w:r>
        <w:rPr/>
        <w:t>concluded</w:t>
      </w:r>
      <w:r>
        <w:rPr>
          <w:spacing w:val="-7"/>
        </w:rPr>
        <w:t> </w:t>
      </w:r>
      <w:r>
        <w:rPr/>
        <w:t>that, as of December 1, 2017, our internal control over financial reporting is effective based on these criteria.</w:t>
      </w:r>
    </w:p>
    <w:p>
      <w:pPr>
        <w:pStyle w:val="BodyText"/>
        <w:spacing w:before="14"/>
      </w:pPr>
    </w:p>
    <w:p>
      <w:pPr>
        <w:pStyle w:val="BodyText"/>
        <w:spacing w:line="249" w:lineRule="auto"/>
        <w:ind w:left="220" w:right="257" w:firstLine="540"/>
        <w:jc w:val="both"/>
      </w:pPr>
      <w:r>
        <w:rPr/>
        <w:t>We</w:t>
      </w:r>
      <w:r>
        <w:rPr>
          <w:spacing w:val="-13"/>
        </w:rPr>
        <w:t> </w:t>
      </w:r>
      <w:r>
        <w:rPr/>
        <w:t>acquired</w:t>
      </w:r>
      <w:r>
        <w:rPr>
          <w:spacing w:val="-12"/>
        </w:rPr>
        <w:t> </w:t>
      </w:r>
      <w:r>
        <w:rPr/>
        <w:t>TubeMogul,</w:t>
      </w:r>
      <w:r>
        <w:rPr>
          <w:spacing w:val="-13"/>
        </w:rPr>
        <w:t> </w:t>
      </w:r>
      <w:r>
        <w:rPr/>
        <w:t>Inc.</w:t>
      </w:r>
      <w:r>
        <w:rPr>
          <w:spacing w:val="-12"/>
        </w:rPr>
        <w:t> </w:t>
      </w:r>
      <w:r>
        <w:rPr/>
        <w:t>(“TubeMogul”)</w:t>
      </w:r>
      <w:r>
        <w:rPr>
          <w:spacing w:val="-13"/>
        </w:rPr>
        <w:t> </w:t>
      </w:r>
      <w:r>
        <w:rPr/>
        <w:t>on</w:t>
      </w:r>
      <w:r>
        <w:rPr>
          <w:spacing w:val="-12"/>
        </w:rPr>
        <w:t> </w:t>
      </w:r>
      <w:r>
        <w:rPr/>
        <w:t>December</w:t>
      </w:r>
      <w:r>
        <w:rPr>
          <w:spacing w:val="-13"/>
        </w:rPr>
        <w:t> </w:t>
      </w:r>
      <w:r>
        <w:rPr/>
        <w:t>19,</w:t>
      </w:r>
      <w:r>
        <w:rPr>
          <w:spacing w:val="-11"/>
        </w:rPr>
        <w:t> </w:t>
      </w:r>
      <w:r>
        <w:rPr/>
        <w:t>2016,</w:t>
      </w:r>
      <w:r>
        <w:rPr>
          <w:spacing w:val="-12"/>
        </w:rPr>
        <w:t> </w:t>
      </w:r>
      <w:r>
        <w:rPr/>
        <w:t>as</w:t>
      </w:r>
      <w:r>
        <w:rPr>
          <w:spacing w:val="-13"/>
        </w:rPr>
        <w:t> </w:t>
      </w:r>
      <w:r>
        <w:rPr/>
        <w:t>discussed</w:t>
      </w:r>
      <w:r>
        <w:rPr>
          <w:spacing w:val="-12"/>
        </w:rPr>
        <w:t> </w:t>
      </w:r>
      <w:r>
        <w:rPr/>
        <w:t>in</w:t>
      </w:r>
      <w:r>
        <w:rPr>
          <w:spacing w:val="-12"/>
        </w:rPr>
        <w:t> </w:t>
      </w:r>
      <w:r>
        <w:rPr/>
        <w:t>Note</w:t>
      </w:r>
      <w:r>
        <w:rPr>
          <w:spacing w:val="-13"/>
        </w:rPr>
        <w:t> </w:t>
      </w:r>
      <w:r>
        <w:rPr/>
        <w:t>2</w:t>
      </w:r>
      <w:r>
        <w:rPr>
          <w:spacing w:val="-11"/>
        </w:rPr>
        <w:t> </w:t>
      </w:r>
      <w:r>
        <w:rPr/>
        <w:t>to</w:t>
      </w:r>
      <w:r>
        <w:rPr>
          <w:spacing w:val="-13"/>
        </w:rPr>
        <w:t> </w:t>
      </w:r>
      <w:r>
        <w:rPr/>
        <w:t>the</w:t>
      </w:r>
      <w:r>
        <w:rPr>
          <w:spacing w:val="-12"/>
        </w:rPr>
        <w:t> </w:t>
      </w:r>
      <w:r>
        <w:rPr/>
        <w:t>Consolidated</w:t>
      </w:r>
      <w:r>
        <w:rPr>
          <w:spacing w:val="-13"/>
        </w:rPr>
        <w:t> </w:t>
      </w:r>
      <w:r>
        <w:rPr/>
        <w:t>Financial Statements.</w:t>
      </w:r>
      <w:r>
        <w:rPr>
          <w:spacing w:val="-4"/>
        </w:rPr>
        <w:t> </w:t>
      </w:r>
      <w:r>
        <w:rPr/>
        <w:t>As permitted by the SEC staff’s Frequently</w:t>
      </w:r>
      <w:r>
        <w:rPr>
          <w:spacing w:val="-3"/>
        </w:rPr>
        <w:t> </w:t>
      </w:r>
      <w:r>
        <w:rPr/>
        <w:t>Asked Question 3 on Management’s Report on Internal Control Over Financial Reporting and Certification of Disclosure in Exchange Act Periodic Reports (revised September 24, 2007), our management excluded from our assessment of internal control over financial reporting effectiveness as of December</w:t>
      </w:r>
      <w:r>
        <w:rPr>
          <w:spacing w:val="-2"/>
        </w:rPr>
        <w:t> </w:t>
      </w:r>
      <w:r>
        <w:rPr/>
        <w:t>1, 2017, TubeMogul’s internal control over financial reporting associated with consolidated total assets of approximately 1.8% and </w:t>
      </w:r>
      <w:r>
        <w:rPr>
          <w:spacing w:val="-2"/>
        </w:rPr>
        <w:t>consolidated</w:t>
      </w:r>
      <w:r>
        <w:rPr>
          <w:spacing w:val="-4"/>
        </w:rPr>
        <w:t> </w:t>
      </w:r>
      <w:r>
        <w:rPr>
          <w:spacing w:val="-2"/>
        </w:rPr>
        <w:t>total</w:t>
      </w:r>
      <w:r>
        <w:rPr>
          <w:spacing w:val="-4"/>
        </w:rPr>
        <w:t> </w:t>
      </w:r>
      <w:r>
        <w:rPr>
          <w:spacing w:val="-2"/>
        </w:rPr>
        <w:t>revenues</w:t>
      </w:r>
      <w:r>
        <w:rPr>
          <w:spacing w:val="-3"/>
        </w:rPr>
        <w:t> </w:t>
      </w:r>
      <w:r>
        <w:rPr>
          <w:spacing w:val="-2"/>
        </w:rPr>
        <w:t>of</w:t>
      </w:r>
      <w:r>
        <w:rPr>
          <w:spacing w:val="-3"/>
        </w:rPr>
        <w:t> </w:t>
      </w:r>
      <w:r>
        <w:rPr>
          <w:spacing w:val="-2"/>
        </w:rPr>
        <w:t>approximately</w:t>
      </w:r>
      <w:r>
        <w:rPr>
          <w:spacing w:val="-4"/>
        </w:rPr>
        <w:t> </w:t>
      </w:r>
      <w:r>
        <w:rPr>
          <w:spacing w:val="-2"/>
        </w:rPr>
        <w:t>2.5%,</w:t>
      </w:r>
      <w:r>
        <w:rPr>
          <w:spacing w:val="-3"/>
        </w:rPr>
        <w:t> </w:t>
      </w:r>
      <w:r>
        <w:rPr>
          <w:spacing w:val="-2"/>
        </w:rPr>
        <w:t>included</w:t>
      </w:r>
      <w:r>
        <w:rPr>
          <w:spacing w:val="-4"/>
        </w:rPr>
        <w:t> </w:t>
      </w:r>
      <w:r>
        <w:rPr>
          <w:spacing w:val="-2"/>
        </w:rPr>
        <w:t>in</w:t>
      </w:r>
      <w:r>
        <w:rPr>
          <w:spacing w:val="-3"/>
        </w:rPr>
        <w:t> </w:t>
      </w:r>
      <w:r>
        <w:rPr>
          <w:spacing w:val="-2"/>
        </w:rPr>
        <w:t>our</w:t>
      </w:r>
      <w:r>
        <w:rPr>
          <w:spacing w:val="-3"/>
        </w:rPr>
        <w:t> </w:t>
      </w:r>
      <w:r>
        <w:rPr>
          <w:spacing w:val="-2"/>
        </w:rPr>
        <w:t>Consolidated</w:t>
      </w:r>
      <w:r>
        <w:rPr>
          <w:spacing w:val="-4"/>
        </w:rPr>
        <w:t> </w:t>
      </w:r>
      <w:r>
        <w:rPr>
          <w:spacing w:val="-2"/>
        </w:rPr>
        <w:t>Financial</w:t>
      </w:r>
      <w:r>
        <w:rPr>
          <w:spacing w:val="-4"/>
        </w:rPr>
        <w:t> </w:t>
      </w:r>
      <w:r>
        <w:rPr>
          <w:spacing w:val="-2"/>
        </w:rPr>
        <w:t>Statements</w:t>
      </w:r>
      <w:r>
        <w:rPr>
          <w:spacing w:val="-3"/>
        </w:rPr>
        <w:t> </w:t>
      </w:r>
      <w:r>
        <w:rPr>
          <w:spacing w:val="-2"/>
        </w:rPr>
        <w:t>as</w:t>
      </w:r>
      <w:r>
        <w:rPr>
          <w:spacing w:val="-3"/>
        </w:rPr>
        <w:t> </w:t>
      </w:r>
      <w:r>
        <w:rPr>
          <w:spacing w:val="-2"/>
        </w:rPr>
        <w:t>of</w:t>
      </w:r>
      <w:r>
        <w:rPr>
          <w:spacing w:val="-4"/>
        </w:rPr>
        <w:t> </w:t>
      </w:r>
      <w:r>
        <w:rPr>
          <w:spacing w:val="-2"/>
        </w:rPr>
        <w:t>and</w:t>
      </w:r>
      <w:r>
        <w:rPr>
          <w:spacing w:val="-3"/>
        </w:rPr>
        <w:t> </w:t>
      </w:r>
      <w:r>
        <w:rPr>
          <w:spacing w:val="-2"/>
        </w:rPr>
        <w:t>for</w:t>
      </w:r>
      <w:r>
        <w:rPr>
          <w:spacing w:val="-3"/>
        </w:rPr>
        <w:t> </w:t>
      </w:r>
      <w:r>
        <w:rPr>
          <w:spacing w:val="-2"/>
        </w:rPr>
        <w:t>the</w:t>
      </w:r>
      <w:r>
        <w:rPr>
          <w:spacing w:val="-4"/>
        </w:rPr>
        <w:t> </w:t>
      </w:r>
      <w:r>
        <w:rPr>
          <w:spacing w:val="-2"/>
        </w:rPr>
        <w:t>year</w:t>
      </w:r>
      <w:r>
        <w:rPr>
          <w:spacing w:val="-3"/>
        </w:rPr>
        <w:t> </w:t>
      </w:r>
      <w:r>
        <w:rPr>
          <w:spacing w:val="-2"/>
        </w:rPr>
        <w:t>ended </w:t>
      </w:r>
      <w:r>
        <w:rPr/>
        <w:t>December</w:t>
      </w:r>
      <w:r>
        <w:rPr>
          <w:spacing w:val="-4"/>
        </w:rPr>
        <w:t> </w:t>
      </w:r>
      <w:r>
        <w:rPr/>
        <w:t>1,</w:t>
      </w:r>
      <w:r>
        <w:rPr>
          <w:spacing w:val="-8"/>
        </w:rPr>
        <w:t> </w:t>
      </w:r>
      <w:r>
        <w:rPr/>
        <w:t>2017.</w:t>
      </w:r>
      <w:r>
        <w:rPr>
          <w:spacing w:val="-11"/>
        </w:rPr>
        <w:t> </w:t>
      </w:r>
      <w:r>
        <w:rPr/>
        <w:t>We</w:t>
      </w:r>
      <w:r>
        <w:rPr>
          <w:spacing w:val="-8"/>
        </w:rPr>
        <w:t> </w:t>
      </w:r>
      <w:r>
        <w:rPr/>
        <w:t>will</w:t>
      </w:r>
      <w:r>
        <w:rPr>
          <w:spacing w:val="-9"/>
        </w:rPr>
        <w:t> </w:t>
      </w:r>
      <w:r>
        <w:rPr/>
        <w:t>include</w:t>
      </w:r>
      <w:r>
        <w:rPr>
          <w:spacing w:val="-11"/>
        </w:rPr>
        <w:t> </w:t>
      </w:r>
      <w:r>
        <w:rPr/>
        <w:t>TubeMogul</w:t>
      </w:r>
      <w:r>
        <w:rPr>
          <w:spacing w:val="-9"/>
        </w:rPr>
        <w:t> </w:t>
      </w:r>
      <w:r>
        <w:rPr/>
        <w:t>in</w:t>
      </w:r>
      <w:r>
        <w:rPr>
          <w:spacing w:val="-8"/>
        </w:rPr>
        <w:t> </w:t>
      </w:r>
      <w:r>
        <w:rPr/>
        <w:t>our</w:t>
      </w:r>
      <w:r>
        <w:rPr>
          <w:spacing w:val="-8"/>
        </w:rPr>
        <w:t> </w:t>
      </w:r>
      <w:r>
        <w:rPr/>
        <w:t>assessment</w:t>
      </w:r>
      <w:r>
        <w:rPr>
          <w:spacing w:val="-9"/>
        </w:rPr>
        <w:t> </w:t>
      </w:r>
      <w:r>
        <w:rPr/>
        <w:t>of</w:t>
      </w:r>
      <w:r>
        <w:rPr>
          <w:spacing w:val="-8"/>
        </w:rPr>
        <w:t> </w:t>
      </w:r>
      <w:r>
        <w:rPr/>
        <w:t>the</w:t>
      </w:r>
      <w:r>
        <w:rPr>
          <w:spacing w:val="-8"/>
        </w:rPr>
        <w:t> </w:t>
      </w:r>
      <w:r>
        <w:rPr/>
        <w:t>effectiveness</w:t>
      </w:r>
      <w:r>
        <w:rPr>
          <w:spacing w:val="-8"/>
        </w:rPr>
        <w:t> </w:t>
      </w:r>
      <w:r>
        <w:rPr/>
        <w:t>of</w:t>
      </w:r>
      <w:r>
        <w:rPr>
          <w:spacing w:val="-8"/>
        </w:rPr>
        <w:t> </w:t>
      </w:r>
      <w:r>
        <w:rPr/>
        <w:t>internal</w:t>
      </w:r>
      <w:r>
        <w:rPr>
          <w:spacing w:val="-9"/>
        </w:rPr>
        <w:t> </w:t>
      </w:r>
      <w:r>
        <w:rPr/>
        <w:t>control</w:t>
      </w:r>
      <w:r>
        <w:rPr>
          <w:spacing w:val="-9"/>
        </w:rPr>
        <w:t> </w:t>
      </w:r>
      <w:r>
        <w:rPr/>
        <w:t>over</w:t>
      </w:r>
      <w:r>
        <w:rPr>
          <w:spacing w:val="-8"/>
        </w:rPr>
        <w:t> </w:t>
      </w:r>
      <w:r>
        <w:rPr/>
        <w:t>financial</w:t>
      </w:r>
      <w:r>
        <w:rPr>
          <w:spacing w:val="-9"/>
        </w:rPr>
        <w:t> </w:t>
      </w:r>
      <w:r>
        <w:rPr/>
        <w:t>reporting starting fiscal 2018.</w:t>
      </w:r>
    </w:p>
    <w:p>
      <w:pPr>
        <w:pStyle w:val="BodyText"/>
        <w:spacing w:before="16"/>
      </w:pPr>
    </w:p>
    <w:p>
      <w:pPr>
        <w:pStyle w:val="BodyText"/>
        <w:spacing w:line="249" w:lineRule="auto" w:before="1"/>
        <w:ind w:left="220" w:right="257" w:firstLine="540"/>
        <w:jc w:val="both"/>
      </w:pPr>
      <w:r>
        <w:rPr>
          <w:spacing w:val="-2"/>
        </w:rPr>
        <w:t>KPMG</w:t>
      </w:r>
      <w:r>
        <w:rPr>
          <w:spacing w:val="-6"/>
        </w:rPr>
        <w:t> </w:t>
      </w:r>
      <w:r>
        <w:rPr>
          <w:spacing w:val="-2"/>
        </w:rPr>
        <w:t>LLP,</w:t>
      </w:r>
      <w:r>
        <w:rPr>
          <w:spacing w:val="-4"/>
        </w:rPr>
        <w:t> </w:t>
      </w:r>
      <w:r>
        <w:rPr>
          <w:spacing w:val="-2"/>
        </w:rPr>
        <w:t>the</w:t>
      </w:r>
      <w:r>
        <w:rPr>
          <w:spacing w:val="-4"/>
        </w:rPr>
        <w:t> </w:t>
      </w:r>
      <w:r>
        <w:rPr>
          <w:spacing w:val="-2"/>
        </w:rPr>
        <w:t>independent</w:t>
      </w:r>
      <w:r>
        <w:rPr>
          <w:spacing w:val="-5"/>
        </w:rPr>
        <w:t> </w:t>
      </w:r>
      <w:r>
        <w:rPr>
          <w:spacing w:val="-2"/>
        </w:rPr>
        <w:t>registered</w:t>
      </w:r>
      <w:r>
        <w:rPr>
          <w:spacing w:val="-4"/>
        </w:rPr>
        <w:t> </w:t>
      </w:r>
      <w:r>
        <w:rPr>
          <w:spacing w:val="-2"/>
        </w:rPr>
        <w:t>public</w:t>
      </w:r>
      <w:r>
        <w:rPr>
          <w:spacing w:val="-4"/>
        </w:rPr>
        <w:t> </w:t>
      </w:r>
      <w:r>
        <w:rPr>
          <w:spacing w:val="-2"/>
        </w:rPr>
        <w:t>accounting</w:t>
      </w:r>
      <w:r>
        <w:rPr>
          <w:spacing w:val="-5"/>
        </w:rPr>
        <w:t> </w:t>
      </w:r>
      <w:r>
        <w:rPr>
          <w:spacing w:val="-2"/>
        </w:rPr>
        <w:t>firm</w:t>
      </w:r>
      <w:r>
        <w:rPr>
          <w:spacing w:val="-4"/>
        </w:rPr>
        <w:t> </w:t>
      </w:r>
      <w:r>
        <w:rPr>
          <w:spacing w:val="-2"/>
        </w:rPr>
        <w:t>that</w:t>
      </w:r>
      <w:r>
        <w:rPr>
          <w:spacing w:val="-4"/>
        </w:rPr>
        <w:t> </w:t>
      </w:r>
      <w:r>
        <w:rPr>
          <w:spacing w:val="-2"/>
        </w:rPr>
        <w:t>audited</w:t>
      </w:r>
      <w:r>
        <w:rPr>
          <w:spacing w:val="-4"/>
        </w:rPr>
        <w:t> </w:t>
      </w:r>
      <w:r>
        <w:rPr>
          <w:spacing w:val="-2"/>
        </w:rPr>
        <w:t>our</w:t>
      </w:r>
      <w:r>
        <w:rPr>
          <w:spacing w:val="-4"/>
        </w:rPr>
        <w:t> </w:t>
      </w:r>
      <w:r>
        <w:rPr>
          <w:spacing w:val="-2"/>
        </w:rPr>
        <w:t>financial</w:t>
      </w:r>
      <w:r>
        <w:rPr>
          <w:spacing w:val="-5"/>
        </w:rPr>
        <w:t> </w:t>
      </w:r>
      <w:r>
        <w:rPr>
          <w:spacing w:val="-2"/>
        </w:rPr>
        <w:t>statements</w:t>
      </w:r>
      <w:r>
        <w:rPr>
          <w:spacing w:val="-4"/>
        </w:rPr>
        <w:t> </w:t>
      </w:r>
      <w:r>
        <w:rPr>
          <w:spacing w:val="-2"/>
        </w:rPr>
        <w:t>included</w:t>
      </w:r>
      <w:r>
        <w:rPr>
          <w:spacing w:val="-4"/>
        </w:rPr>
        <w:t> </w:t>
      </w:r>
      <w:r>
        <w:rPr>
          <w:spacing w:val="-2"/>
        </w:rPr>
        <w:t>in</w:t>
      </w:r>
      <w:r>
        <w:rPr>
          <w:spacing w:val="-4"/>
        </w:rPr>
        <w:t> </w:t>
      </w:r>
      <w:r>
        <w:rPr>
          <w:spacing w:val="-2"/>
        </w:rPr>
        <w:t>this</w:t>
      </w:r>
      <w:r>
        <w:rPr>
          <w:spacing w:val="-11"/>
        </w:rPr>
        <w:t> </w:t>
      </w:r>
      <w:r>
        <w:rPr>
          <w:spacing w:val="-2"/>
        </w:rPr>
        <w:t>Annual </w:t>
      </w:r>
      <w:r>
        <w:rPr/>
        <w:t>Report on Form 10-K, has issued an attestation report on our internal control over financial reporting, which is included herein.</w:t>
      </w:r>
    </w:p>
    <w:p>
      <w:pPr>
        <w:pStyle w:val="BodyText"/>
        <w:spacing w:before="11"/>
      </w:pPr>
    </w:p>
    <w:p>
      <w:pPr>
        <w:pStyle w:val="Heading2"/>
      </w:pPr>
      <w:r>
        <w:rPr/>
        <w:t>Changes</w:t>
      </w:r>
      <w:r>
        <w:rPr>
          <w:spacing w:val="-2"/>
        </w:rPr>
        <w:t> </w:t>
      </w:r>
      <w:r>
        <w:rPr/>
        <w:t>in</w:t>
      </w:r>
      <w:r>
        <w:rPr>
          <w:spacing w:val="-2"/>
        </w:rPr>
        <w:t> </w:t>
      </w:r>
      <w:r>
        <w:rPr/>
        <w:t>Internal</w:t>
      </w:r>
      <w:r>
        <w:rPr>
          <w:spacing w:val="-3"/>
        </w:rPr>
        <w:t> </w:t>
      </w:r>
      <w:r>
        <w:rPr/>
        <w:t>Control</w:t>
      </w:r>
      <w:r>
        <w:rPr>
          <w:spacing w:val="-3"/>
        </w:rPr>
        <w:t> </w:t>
      </w:r>
      <w:r>
        <w:rPr/>
        <w:t>over</w:t>
      </w:r>
      <w:r>
        <w:rPr>
          <w:spacing w:val="-6"/>
        </w:rPr>
        <w:t> </w:t>
      </w:r>
      <w:r>
        <w:rPr/>
        <w:t>Financial</w:t>
      </w:r>
      <w:r>
        <w:rPr>
          <w:spacing w:val="-2"/>
        </w:rPr>
        <w:t> Reporting</w:t>
      </w:r>
    </w:p>
    <w:p>
      <w:pPr>
        <w:pStyle w:val="BodyText"/>
        <w:spacing w:line="249" w:lineRule="auto" w:before="190"/>
        <w:ind w:left="220" w:right="257" w:firstLine="540"/>
        <w:jc w:val="both"/>
      </w:pPr>
      <w:r>
        <w:rPr/>
        <w:t>There</w:t>
      </w:r>
      <w:r>
        <w:rPr>
          <w:spacing w:val="-13"/>
        </w:rPr>
        <w:t> </w:t>
      </w:r>
      <w:r>
        <w:rPr/>
        <w:t>were</w:t>
      </w:r>
      <w:r>
        <w:rPr>
          <w:spacing w:val="-12"/>
        </w:rPr>
        <w:t> </w:t>
      </w:r>
      <w:r>
        <w:rPr/>
        <w:t>no</w:t>
      </w:r>
      <w:r>
        <w:rPr>
          <w:spacing w:val="-13"/>
        </w:rPr>
        <w:t> </w:t>
      </w:r>
      <w:r>
        <w:rPr/>
        <w:t>changes</w:t>
      </w:r>
      <w:r>
        <w:rPr>
          <w:spacing w:val="-12"/>
        </w:rPr>
        <w:t> </w:t>
      </w:r>
      <w:r>
        <w:rPr/>
        <w:t>in</w:t>
      </w:r>
      <w:r>
        <w:rPr>
          <w:spacing w:val="-13"/>
        </w:rPr>
        <w:t> </w:t>
      </w:r>
      <w:r>
        <w:rPr/>
        <w:t>our</w:t>
      </w:r>
      <w:r>
        <w:rPr>
          <w:spacing w:val="-12"/>
        </w:rPr>
        <w:t> </w:t>
      </w:r>
      <w:r>
        <w:rPr/>
        <w:t>internal</w:t>
      </w:r>
      <w:r>
        <w:rPr>
          <w:spacing w:val="-13"/>
        </w:rPr>
        <w:t> </w:t>
      </w:r>
      <w:r>
        <w:rPr/>
        <w:t>control</w:t>
      </w:r>
      <w:r>
        <w:rPr>
          <w:spacing w:val="-12"/>
        </w:rPr>
        <w:t> </w:t>
      </w:r>
      <w:r>
        <w:rPr/>
        <w:t>over</w:t>
      </w:r>
      <w:r>
        <w:rPr>
          <w:spacing w:val="-13"/>
        </w:rPr>
        <w:t> </w:t>
      </w:r>
      <w:r>
        <w:rPr/>
        <w:t>financial</w:t>
      </w:r>
      <w:r>
        <w:rPr>
          <w:spacing w:val="-12"/>
        </w:rPr>
        <w:t> </w:t>
      </w:r>
      <w:r>
        <w:rPr/>
        <w:t>reporting</w:t>
      </w:r>
      <w:r>
        <w:rPr>
          <w:spacing w:val="-13"/>
        </w:rPr>
        <w:t> </w:t>
      </w:r>
      <w:r>
        <w:rPr/>
        <w:t>during</w:t>
      </w:r>
      <w:r>
        <w:rPr>
          <w:spacing w:val="-12"/>
        </w:rPr>
        <w:t> </w:t>
      </w:r>
      <w:r>
        <w:rPr/>
        <w:t>the</w:t>
      </w:r>
      <w:r>
        <w:rPr>
          <w:spacing w:val="-13"/>
        </w:rPr>
        <w:t> </w:t>
      </w:r>
      <w:r>
        <w:rPr/>
        <w:t>quarter</w:t>
      </w:r>
      <w:r>
        <w:rPr>
          <w:spacing w:val="-12"/>
        </w:rPr>
        <w:t> </w:t>
      </w:r>
      <w:r>
        <w:rPr/>
        <w:t>ended</w:t>
      </w:r>
      <w:r>
        <w:rPr>
          <w:spacing w:val="-13"/>
        </w:rPr>
        <w:t> </w:t>
      </w:r>
      <w:r>
        <w:rPr/>
        <w:t>December</w:t>
      </w:r>
      <w:r>
        <w:rPr>
          <w:spacing w:val="-8"/>
        </w:rPr>
        <w:t> </w:t>
      </w:r>
      <w:r>
        <w:rPr/>
        <w:t>1,</w:t>
      </w:r>
      <w:r>
        <w:rPr>
          <w:spacing w:val="-13"/>
        </w:rPr>
        <w:t> </w:t>
      </w:r>
      <w:r>
        <w:rPr/>
        <w:t>2017</w:t>
      </w:r>
      <w:r>
        <w:rPr>
          <w:spacing w:val="-12"/>
        </w:rPr>
        <w:t> </w:t>
      </w:r>
      <w:r>
        <w:rPr/>
        <w:t>that</w:t>
      </w:r>
      <w:r>
        <w:rPr>
          <w:spacing w:val="-13"/>
        </w:rPr>
        <w:t> </w:t>
      </w:r>
      <w:r>
        <w:rPr/>
        <w:t>have materially affected, or are reasonably likely to materially affect, our internal control over financial reporting.</w:t>
      </w:r>
    </w:p>
    <w:p>
      <w:pPr>
        <w:pStyle w:val="Heading1"/>
        <w:spacing w:before="182"/>
      </w:pPr>
      <w:bookmarkStart w:name="Item 9B. Other Information" w:id="100"/>
      <w:bookmarkEnd w:id="100"/>
      <w:r>
        <w:rPr>
          <w:b w:val="0"/>
        </w:rPr>
      </w:r>
      <w:bookmarkStart w:name="_bookmark36" w:id="101"/>
      <w:bookmarkEnd w:id="101"/>
      <w:r>
        <w:rPr>
          <w:b w:val="0"/>
        </w:rPr>
      </w:r>
      <w:r>
        <w:rPr/>
        <w:t>ITEM</w:t>
      </w:r>
      <w:r>
        <w:rPr>
          <w:spacing w:val="-3"/>
        </w:rPr>
        <w:t> </w:t>
      </w:r>
      <w:r>
        <w:rPr/>
        <w:t>9B.</w:t>
      </w:r>
      <w:r>
        <w:rPr>
          <w:spacing w:val="47"/>
        </w:rPr>
        <w:t> </w:t>
      </w:r>
      <w:r>
        <w:rPr/>
        <w:t>OTHER</w:t>
      </w:r>
      <w:r>
        <w:rPr>
          <w:spacing w:val="-1"/>
        </w:rPr>
        <w:t> </w:t>
      </w:r>
      <w:r>
        <w:rPr>
          <w:spacing w:val="-2"/>
        </w:rPr>
        <w:t>INFORMATION</w:t>
      </w:r>
    </w:p>
    <w:p>
      <w:pPr>
        <w:pStyle w:val="Heading2"/>
        <w:spacing w:line="249" w:lineRule="auto" w:before="190"/>
        <w:ind w:right="257" w:firstLine="720"/>
        <w:jc w:val="both"/>
      </w:pPr>
      <w:r>
        <w:rPr/>
        <w:t>Item 5.02. Departure of Directors or Certain Officers; Election of Directors;</w:t>
      </w:r>
      <w:r>
        <w:rPr>
          <w:spacing w:val="-6"/>
        </w:rPr>
        <w:t> </w:t>
      </w:r>
      <w:r>
        <w:rPr/>
        <w:t>Appointment of Certain Officers; Compensatory Arrangements of Certain Officers.</w:t>
      </w:r>
    </w:p>
    <w:p>
      <w:pPr>
        <w:spacing w:before="182"/>
        <w:ind w:left="0" w:right="9533" w:firstLine="0"/>
        <w:jc w:val="right"/>
        <w:rPr>
          <w:b/>
          <w:sz w:val="20"/>
        </w:rPr>
      </w:pPr>
      <w:r>
        <w:rPr>
          <w:b/>
          <w:spacing w:val="-5"/>
          <w:sz w:val="20"/>
        </w:rPr>
        <w:t>(b)</w:t>
      </w:r>
    </w:p>
    <w:p>
      <w:pPr>
        <w:pStyle w:val="BodyText"/>
        <w:spacing w:line="249" w:lineRule="auto" w:before="190"/>
        <w:ind w:left="220" w:right="257" w:firstLine="720"/>
        <w:jc w:val="both"/>
      </w:pPr>
      <w:r>
        <w:rPr/>
        <w:t>On</w:t>
      </w:r>
      <w:r>
        <w:rPr>
          <w:spacing w:val="-1"/>
        </w:rPr>
        <w:t> </w:t>
      </w:r>
      <w:r>
        <w:rPr/>
        <w:t>January</w:t>
      </w:r>
      <w:r>
        <w:rPr>
          <w:spacing w:val="-1"/>
        </w:rPr>
        <w:t> </w:t>
      </w:r>
      <w:r>
        <w:rPr/>
        <w:t>22,</w:t>
      </w:r>
      <w:r>
        <w:rPr>
          <w:spacing w:val="-1"/>
        </w:rPr>
        <w:t> </w:t>
      </w:r>
      <w:r>
        <w:rPr/>
        <w:t>2018,</w:t>
      </w:r>
      <w:r>
        <w:rPr>
          <w:spacing w:val="-1"/>
        </w:rPr>
        <w:t> </w:t>
      </w:r>
      <w:r>
        <w:rPr/>
        <w:t>Mark</w:t>
      </w:r>
      <w:r>
        <w:rPr>
          <w:spacing w:val="-1"/>
        </w:rPr>
        <w:t> </w:t>
      </w:r>
      <w:r>
        <w:rPr/>
        <w:t>Garrett</w:t>
      </w:r>
      <w:r>
        <w:rPr>
          <w:spacing w:val="-1"/>
        </w:rPr>
        <w:t> </w:t>
      </w:r>
      <w:r>
        <w:rPr/>
        <w:t>notified</w:t>
      </w:r>
      <w:r>
        <w:rPr>
          <w:spacing w:val="-12"/>
        </w:rPr>
        <w:t> </w:t>
      </w:r>
      <w:r>
        <w:rPr/>
        <w:t>Adobe</w:t>
      </w:r>
      <w:r>
        <w:rPr>
          <w:spacing w:val="-1"/>
        </w:rPr>
        <w:t> </w:t>
      </w:r>
      <w:r>
        <w:rPr/>
        <w:t>Systems Incorporated</w:t>
      </w:r>
      <w:r>
        <w:rPr>
          <w:spacing w:val="-1"/>
        </w:rPr>
        <w:t> </w:t>
      </w:r>
      <w:r>
        <w:rPr/>
        <w:t>(“Adobe”)</w:t>
      </w:r>
      <w:r>
        <w:rPr>
          <w:spacing w:val="-1"/>
        </w:rPr>
        <w:t> </w:t>
      </w:r>
      <w:r>
        <w:rPr/>
        <w:t>of</w:t>
      </w:r>
      <w:r>
        <w:rPr>
          <w:spacing w:val="-1"/>
        </w:rPr>
        <w:t> </w:t>
      </w:r>
      <w:r>
        <w:rPr/>
        <w:t>his</w:t>
      </w:r>
      <w:r>
        <w:rPr>
          <w:spacing w:val="-1"/>
        </w:rPr>
        <w:t> </w:t>
      </w:r>
      <w:r>
        <w:rPr/>
        <w:t>intent</w:t>
      </w:r>
      <w:r>
        <w:rPr>
          <w:spacing w:val="-1"/>
        </w:rPr>
        <w:t> </w:t>
      </w:r>
      <w:r>
        <w:rPr/>
        <w:t>to</w:t>
      </w:r>
      <w:r>
        <w:rPr>
          <w:spacing w:val="-1"/>
        </w:rPr>
        <w:t> </w:t>
      </w:r>
      <w:r>
        <w:rPr/>
        <w:t>retire</w:t>
      </w:r>
      <w:r>
        <w:rPr>
          <w:spacing w:val="-1"/>
        </w:rPr>
        <w:t> </w:t>
      </w:r>
      <w:r>
        <w:rPr/>
        <w:t>as</w:t>
      </w:r>
      <w:r>
        <w:rPr>
          <w:spacing w:val="-1"/>
        </w:rPr>
        <w:t> </w:t>
      </w:r>
      <w:r>
        <w:rPr/>
        <w:t>Executive Vice President and Chief Financial Officer of Adobe during 2018.</w:t>
      </w:r>
      <w:r>
        <w:rPr>
          <w:spacing w:val="40"/>
        </w:rPr>
        <w:t> </w:t>
      </w:r>
      <w:r>
        <w:rPr/>
        <w:t>Mike Dillon also notified Adobe of his intent to retire as Executive</w:t>
      </w:r>
      <w:r>
        <w:rPr>
          <w:spacing w:val="-7"/>
        </w:rPr>
        <w:t> </w:t>
      </w:r>
      <w:r>
        <w:rPr/>
        <w:t>Vice</w:t>
      </w:r>
      <w:r>
        <w:rPr>
          <w:spacing w:val="-2"/>
        </w:rPr>
        <w:t> </w:t>
      </w:r>
      <w:r>
        <w:rPr/>
        <w:t>President</w:t>
      </w:r>
      <w:r>
        <w:rPr>
          <w:spacing w:val="-3"/>
        </w:rPr>
        <w:t> </w:t>
      </w:r>
      <w:r>
        <w:rPr/>
        <w:t>and</w:t>
      </w:r>
      <w:r>
        <w:rPr>
          <w:spacing w:val="-2"/>
        </w:rPr>
        <w:t> </w:t>
      </w:r>
      <w:r>
        <w:rPr/>
        <w:t>General</w:t>
      </w:r>
      <w:r>
        <w:rPr>
          <w:spacing w:val="-3"/>
        </w:rPr>
        <w:t> </w:t>
      </w:r>
      <w:r>
        <w:rPr/>
        <w:t>Counsel</w:t>
      </w:r>
      <w:r>
        <w:rPr>
          <w:spacing w:val="-3"/>
        </w:rPr>
        <w:t> </w:t>
      </w:r>
      <w:r>
        <w:rPr/>
        <w:t>of</w:t>
      </w:r>
      <w:r>
        <w:rPr>
          <w:spacing w:val="-13"/>
        </w:rPr>
        <w:t> </w:t>
      </w:r>
      <w:r>
        <w:rPr/>
        <w:t>Adobe</w:t>
      </w:r>
      <w:r>
        <w:rPr>
          <w:spacing w:val="-3"/>
        </w:rPr>
        <w:t> </w:t>
      </w:r>
      <w:r>
        <w:rPr/>
        <w:t>during</w:t>
      </w:r>
      <w:r>
        <w:rPr>
          <w:spacing w:val="-2"/>
        </w:rPr>
        <w:t> </w:t>
      </w:r>
      <w:r>
        <w:rPr/>
        <w:t>2018.</w:t>
      </w:r>
      <w:r>
        <w:rPr>
          <w:spacing w:val="40"/>
        </w:rPr>
        <w:t> </w:t>
      </w:r>
      <w:r>
        <w:rPr/>
        <w:t>To</w:t>
      </w:r>
      <w:r>
        <w:rPr>
          <w:spacing w:val="40"/>
        </w:rPr>
        <w:t> </w:t>
      </w:r>
      <w:r>
        <w:rPr/>
        <w:t>ensure</w:t>
      </w:r>
      <w:r>
        <w:rPr>
          <w:spacing w:val="40"/>
        </w:rPr>
        <w:t> </w:t>
      </w:r>
      <w:r>
        <w:rPr/>
        <w:t>an</w:t>
      </w:r>
      <w:r>
        <w:rPr>
          <w:spacing w:val="40"/>
        </w:rPr>
        <w:t> </w:t>
      </w:r>
      <w:r>
        <w:rPr/>
        <w:t>orderly</w:t>
      </w:r>
      <w:r>
        <w:rPr>
          <w:spacing w:val="40"/>
        </w:rPr>
        <w:t> </w:t>
      </w:r>
      <w:r>
        <w:rPr/>
        <w:t>transition</w:t>
      </w:r>
      <w:r>
        <w:rPr>
          <w:spacing w:val="40"/>
        </w:rPr>
        <w:t> </w:t>
      </w:r>
      <w:r>
        <w:rPr/>
        <w:t>and</w:t>
      </w:r>
      <w:r>
        <w:rPr>
          <w:spacing w:val="40"/>
        </w:rPr>
        <w:t> </w:t>
      </w:r>
      <w:r>
        <w:rPr/>
        <w:t>continuity</w:t>
      </w:r>
      <w:r>
        <w:rPr>
          <w:spacing w:val="40"/>
        </w:rPr>
        <w:t> </w:t>
      </w:r>
      <w:r>
        <w:rPr/>
        <w:t>of operations,</w:t>
      </w:r>
      <w:r>
        <w:rPr>
          <w:spacing w:val="9"/>
        </w:rPr>
        <w:t> </w:t>
      </w:r>
      <w:r>
        <w:rPr/>
        <w:t>both</w:t>
      </w:r>
      <w:r>
        <w:rPr>
          <w:spacing w:val="9"/>
        </w:rPr>
        <w:t> </w:t>
      </w:r>
      <w:r>
        <w:rPr/>
        <w:t>Garrett</w:t>
      </w:r>
      <w:r>
        <w:rPr>
          <w:spacing w:val="9"/>
        </w:rPr>
        <w:t> </w:t>
      </w:r>
      <w:r>
        <w:rPr/>
        <w:t>and</w:t>
      </w:r>
      <w:r>
        <w:rPr>
          <w:spacing w:val="11"/>
        </w:rPr>
        <w:t> </w:t>
      </w:r>
      <w:r>
        <w:rPr/>
        <w:t>Dillon</w:t>
      </w:r>
      <w:r>
        <w:rPr>
          <w:spacing w:val="9"/>
        </w:rPr>
        <w:t> </w:t>
      </w:r>
      <w:r>
        <w:rPr/>
        <w:t>will</w:t>
      </w:r>
      <w:r>
        <w:rPr>
          <w:spacing w:val="9"/>
        </w:rPr>
        <w:t> </w:t>
      </w:r>
      <w:r>
        <w:rPr/>
        <w:t>remain</w:t>
      </w:r>
      <w:r>
        <w:rPr>
          <w:spacing w:val="10"/>
        </w:rPr>
        <w:t> </w:t>
      </w:r>
      <w:r>
        <w:rPr/>
        <w:t>in</w:t>
      </w:r>
      <w:r>
        <w:rPr>
          <w:spacing w:val="9"/>
        </w:rPr>
        <w:t> </w:t>
      </w:r>
      <w:r>
        <w:rPr/>
        <w:t>their</w:t>
      </w:r>
      <w:r>
        <w:rPr>
          <w:spacing w:val="9"/>
        </w:rPr>
        <w:t> </w:t>
      </w:r>
      <w:r>
        <w:rPr/>
        <w:t>current</w:t>
      </w:r>
      <w:r>
        <w:rPr>
          <w:spacing w:val="10"/>
        </w:rPr>
        <w:t> </w:t>
      </w:r>
      <w:r>
        <w:rPr/>
        <w:t>roles</w:t>
      </w:r>
      <w:r>
        <w:rPr>
          <w:spacing w:val="9"/>
        </w:rPr>
        <w:t> </w:t>
      </w:r>
      <w:r>
        <w:rPr/>
        <w:t>with</w:t>
      </w:r>
      <w:r>
        <w:rPr>
          <w:spacing w:val="-4"/>
        </w:rPr>
        <w:t> </w:t>
      </w:r>
      <w:r>
        <w:rPr/>
        <w:t>Adobe</w:t>
      </w:r>
      <w:r>
        <w:rPr>
          <w:spacing w:val="10"/>
        </w:rPr>
        <w:t> </w:t>
      </w:r>
      <w:r>
        <w:rPr/>
        <w:t>until</w:t>
      </w:r>
      <w:r>
        <w:rPr>
          <w:spacing w:val="9"/>
        </w:rPr>
        <w:t> </w:t>
      </w:r>
      <w:r>
        <w:rPr/>
        <w:t>their</w:t>
      </w:r>
      <w:r>
        <w:rPr>
          <w:spacing w:val="9"/>
        </w:rPr>
        <w:t> </w:t>
      </w:r>
      <w:r>
        <w:rPr/>
        <w:t>respective</w:t>
      </w:r>
      <w:r>
        <w:rPr>
          <w:spacing w:val="10"/>
        </w:rPr>
        <w:t> </w:t>
      </w:r>
      <w:r>
        <w:rPr/>
        <w:t>successors</w:t>
      </w:r>
      <w:r>
        <w:rPr>
          <w:spacing w:val="10"/>
        </w:rPr>
        <w:t> </w:t>
      </w:r>
      <w:r>
        <w:rPr/>
        <w:t>are</w:t>
      </w:r>
      <w:r>
        <w:rPr>
          <w:spacing w:val="9"/>
        </w:rPr>
        <w:t> </w:t>
      </w:r>
      <w:r>
        <w:rPr/>
        <w:t>in</w:t>
      </w:r>
      <w:r>
        <w:rPr>
          <w:spacing w:val="10"/>
        </w:rPr>
        <w:t> </w:t>
      </w:r>
      <w:r>
        <w:rPr>
          <w:spacing w:val="-2"/>
        </w:rPr>
        <w:t>place.</w:t>
      </w:r>
    </w:p>
    <w:p>
      <w:pPr>
        <w:spacing w:after="0" w:line="249" w:lineRule="auto"/>
        <w:jc w:val="both"/>
        <w:sectPr>
          <w:pgSz w:w="12240" w:h="15840"/>
          <w:pgMar w:header="210" w:footer="560" w:top="420" w:bottom="800" w:left="780" w:right="740"/>
        </w:sectPr>
      </w:pPr>
    </w:p>
    <w:p>
      <w:pPr>
        <w:pStyle w:val="BodyText"/>
        <w:spacing w:before="150"/>
      </w:pPr>
    </w:p>
    <w:p>
      <w:pPr>
        <w:pStyle w:val="BodyText"/>
        <w:spacing w:line="249" w:lineRule="auto"/>
        <w:ind w:left="220"/>
      </w:pPr>
      <w:r>
        <w:rPr/>
        <w:t>Adobe</w:t>
      </w:r>
      <w:r>
        <w:rPr>
          <w:spacing w:val="-8"/>
        </w:rPr>
        <w:t> </w:t>
      </w:r>
      <w:r>
        <w:rPr/>
        <w:t>is</w:t>
      </w:r>
      <w:r>
        <w:rPr>
          <w:spacing w:val="-8"/>
        </w:rPr>
        <w:t> </w:t>
      </w:r>
      <w:r>
        <w:rPr/>
        <w:t>conducting</w:t>
      </w:r>
      <w:r>
        <w:rPr>
          <w:spacing w:val="-8"/>
        </w:rPr>
        <w:t> </w:t>
      </w:r>
      <w:r>
        <w:rPr/>
        <w:t>an</w:t>
      </w:r>
      <w:r>
        <w:rPr>
          <w:spacing w:val="-8"/>
        </w:rPr>
        <w:t> </w:t>
      </w:r>
      <w:r>
        <w:rPr/>
        <w:t>internal</w:t>
      </w:r>
      <w:r>
        <w:rPr>
          <w:spacing w:val="-8"/>
        </w:rPr>
        <w:t> </w:t>
      </w:r>
      <w:r>
        <w:rPr/>
        <w:t>and</w:t>
      </w:r>
      <w:r>
        <w:rPr>
          <w:spacing w:val="-8"/>
        </w:rPr>
        <w:t> </w:t>
      </w:r>
      <w:r>
        <w:rPr/>
        <w:t>external</w:t>
      </w:r>
      <w:r>
        <w:rPr>
          <w:spacing w:val="-8"/>
        </w:rPr>
        <w:t> </w:t>
      </w:r>
      <w:r>
        <w:rPr/>
        <w:t>search</w:t>
      </w:r>
      <w:r>
        <w:rPr>
          <w:spacing w:val="-8"/>
        </w:rPr>
        <w:t> </w:t>
      </w:r>
      <w:r>
        <w:rPr/>
        <w:t>to</w:t>
      </w:r>
      <w:r>
        <w:rPr>
          <w:spacing w:val="-7"/>
        </w:rPr>
        <w:t> </w:t>
      </w:r>
      <w:r>
        <w:rPr/>
        <w:t>fill</w:t>
      </w:r>
      <w:r>
        <w:rPr>
          <w:spacing w:val="-8"/>
        </w:rPr>
        <w:t> </w:t>
      </w:r>
      <w:r>
        <w:rPr/>
        <w:t>both</w:t>
      </w:r>
      <w:r>
        <w:rPr>
          <w:spacing w:val="-8"/>
        </w:rPr>
        <w:t> </w:t>
      </w:r>
      <w:r>
        <w:rPr/>
        <w:t>roles</w:t>
      </w:r>
      <w:r>
        <w:rPr>
          <w:spacing w:val="-8"/>
        </w:rPr>
        <w:t> </w:t>
      </w:r>
      <w:r>
        <w:rPr/>
        <w:t>and</w:t>
      </w:r>
      <w:r>
        <w:rPr>
          <w:spacing w:val="-7"/>
        </w:rPr>
        <w:t> </w:t>
      </w:r>
      <w:r>
        <w:rPr/>
        <w:t>both</w:t>
      </w:r>
      <w:r>
        <w:rPr>
          <w:spacing w:val="-8"/>
        </w:rPr>
        <w:t> </w:t>
      </w:r>
      <w:r>
        <w:rPr/>
        <w:t>Garrett</w:t>
      </w:r>
      <w:r>
        <w:rPr>
          <w:spacing w:val="-8"/>
        </w:rPr>
        <w:t> </w:t>
      </w:r>
      <w:r>
        <w:rPr/>
        <w:t>and</w:t>
      </w:r>
      <w:r>
        <w:rPr>
          <w:spacing w:val="-8"/>
        </w:rPr>
        <w:t> </w:t>
      </w:r>
      <w:r>
        <w:rPr/>
        <w:t>Dillon</w:t>
      </w:r>
      <w:r>
        <w:rPr>
          <w:spacing w:val="-7"/>
        </w:rPr>
        <w:t> </w:t>
      </w:r>
      <w:r>
        <w:rPr/>
        <w:t>will</w:t>
      </w:r>
      <w:r>
        <w:rPr>
          <w:spacing w:val="-8"/>
        </w:rPr>
        <w:t> </w:t>
      </w:r>
      <w:r>
        <w:rPr/>
        <w:t>be</w:t>
      </w:r>
      <w:r>
        <w:rPr>
          <w:spacing w:val="-8"/>
        </w:rPr>
        <w:t> </w:t>
      </w:r>
      <w:r>
        <w:rPr/>
        <w:t>active</w:t>
      </w:r>
      <w:r>
        <w:rPr>
          <w:spacing w:val="-8"/>
        </w:rPr>
        <w:t> </w:t>
      </w:r>
      <w:r>
        <w:rPr/>
        <w:t>participants</w:t>
      </w:r>
      <w:r>
        <w:rPr>
          <w:spacing w:val="-7"/>
        </w:rPr>
        <w:t> </w:t>
      </w:r>
      <w:r>
        <w:rPr/>
        <w:t>in</w:t>
      </w:r>
      <w:r>
        <w:rPr>
          <w:spacing w:val="-7"/>
        </w:rPr>
        <w:t> </w:t>
      </w:r>
      <w:r>
        <w:rPr/>
        <w:t>the search for and transition to their successors.</w:t>
      </w:r>
    </w:p>
    <w:p>
      <w:pPr>
        <w:pStyle w:val="Heading2"/>
        <w:spacing w:before="181"/>
        <w:ind w:left="940"/>
      </w:pPr>
      <w:r>
        <w:rPr/>
        <w:t>Item 8.01. Other</w:t>
      </w:r>
      <w:r>
        <w:rPr>
          <w:spacing w:val="-4"/>
        </w:rPr>
        <w:t> </w:t>
      </w:r>
      <w:r>
        <w:rPr>
          <w:spacing w:val="-2"/>
        </w:rPr>
        <w:t>Events.</w:t>
      </w:r>
    </w:p>
    <w:p>
      <w:pPr>
        <w:pStyle w:val="BodyText"/>
        <w:spacing w:line="249" w:lineRule="auto" w:before="190"/>
        <w:ind w:left="220" w:firstLine="720"/>
      </w:pPr>
      <w:r>
        <w:rPr/>
        <w:t>On</w:t>
      </w:r>
      <w:r>
        <w:rPr>
          <w:spacing w:val="-11"/>
        </w:rPr>
        <w:t> </w:t>
      </w:r>
      <w:r>
        <w:rPr/>
        <w:t>January</w:t>
      </w:r>
      <w:r>
        <w:rPr>
          <w:spacing w:val="-9"/>
        </w:rPr>
        <w:t> </w:t>
      </w:r>
      <w:r>
        <w:rPr/>
        <w:t>22,</w:t>
      </w:r>
      <w:r>
        <w:rPr>
          <w:spacing w:val="-9"/>
        </w:rPr>
        <w:t> </w:t>
      </w:r>
      <w:r>
        <w:rPr/>
        <w:t>2018,</w:t>
      </w:r>
      <w:r>
        <w:rPr>
          <w:spacing w:val="-9"/>
        </w:rPr>
        <w:t> </w:t>
      </w:r>
      <w:r>
        <w:rPr/>
        <w:t>we</w:t>
      </w:r>
      <w:r>
        <w:rPr>
          <w:spacing w:val="-9"/>
        </w:rPr>
        <w:t> </w:t>
      </w:r>
      <w:r>
        <w:rPr/>
        <w:t>issued</w:t>
      </w:r>
      <w:r>
        <w:rPr>
          <w:spacing w:val="-9"/>
        </w:rPr>
        <w:t> </w:t>
      </w:r>
      <w:r>
        <w:rPr/>
        <w:t>a</w:t>
      </w:r>
      <w:r>
        <w:rPr>
          <w:spacing w:val="-9"/>
        </w:rPr>
        <w:t> </w:t>
      </w:r>
      <w:r>
        <w:rPr/>
        <w:t>press</w:t>
      </w:r>
      <w:r>
        <w:rPr>
          <w:spacing w:val="-9"/>
        </w:rPr>
        <w:t> </w:t>
      </w:r>
      <w:r>
        <w:rPr/>
        <w:t>release</w:t>
      </w:r>
      <w:r>
        <w:rPr>
          <w:spacing w:val="-9"/>
        </w:rPr>
        <w:t> </w:t>
      </w:r>
      <w:r>
        <w:rPr/>
        <w:t>announcing</w:t>
      </w:r>
      <w:r>
        <w:rPr>
          <w:spacing w:val="-9"/>
        </w:rPr>
        <w:t> </w:t>
      </w:r>
      <w:r>
        <w:rPr/>
        <w:t>updated</w:t>
      </w:r>
      <w:r>
        <w:rPr>
          <w:spacing w:val="-9"/>
        </w:rPr>
        <w:t> </w:t>
      </w:r>
      <w:r>
        <w:rPr/>
        <w:t>financial</w:t>
      </w:r>
      <w:r>
        <w:rPr>
          <w:spacing w:val="-9"/>
        </w:rPr>
        <w:t> </w:t>
      </w:r>
      <w:r>
        <w:rPr/>
        <w:t>targets</w:t>
      </w:r>
      <w:r>
        <w:rPr>
          <w:spacing w:val="-9"/>
        </w:rPr>
        <w:t> </w:t>
      </w:r>
      <w:r>
        <w:rPr/>
        <w:t>for</w:t>
      </w:r>
      <w:r>
        <w:rPr>
          <w:spacing w:val="-9"/>
        </w:rPr>
        <w:t> </w:t>
      </w:r>
      <w:r>
        <w:rPr/>
        <w:t>fiscal</w:t>
      </w:r>
      <w:r>
        <w:rPr>
          <w:spacing w:val="-9"/>
        </w:rPr>
        <w:t> </w:t>
      </w:r>
      <w:r>
        <w:rPr/>
        <w:t>2018.</w:t>
      </w:r>
      <w:r>
        <w:rPr>
          <w:spacing w:val="-16"/>
        </w:rPr>
        <w:t> </w:t>
      </w:r>
      <w:r>
        <w:rPr/>
        <w:t>A</w:t>
      </w:r>
      <w:r>
        <w:rPr>
          <w:spacing w:val="-18"/>
        </w:rPr>
        <w:t> </w:t>
      </w:r>
      <w:r>
        <w:rPr/>
        <w:t>copy</w:t>
      </w:r>
      <w:r>
        <w:rPr>
          <w:spacing w:val="-9"/>
        </w:rPr>
        <w:t> </w:t>
      </w:r>
      <w:r>
        <w:rPr/>
        <w:t>of</w:t>
      </w:r>
      <w:r>
        <w:rPr>
          <w:spacing w:val="-9"/>
        </w:rPr>
        <w:t> </w:t>
      </w:r>
      <w:r>
        <w:rPr/>
        <w:t>this</w:t>
      </w:r>
      <w:r>
        <w:rPr>
          <w:spacing w:val="-9"/>
        </w:rPr>
        <w:t> </w:t>
      </w:r>
      <w:r>
        <w:rPr/>
        <w:t>press release is furnished and attached hereto as Exhibit 99.1.</w:t>
      </w:r>
    </w:p>
    <w:p>
      <w:pPr>
        <w:pStyle w:val="Heading1"/>
        <w:spacing w:before="182"/>
      </w:pPr>
      <w:bookmarkStart w:name="Part III." w:id="102"/>
      <w:bookmarkEnd w:id="102"/>
      <w:r>
        <w:rPr>
          <w:b w:val="0"/>
        </w:rPr>
      </w:r>
      <w:r>
        <w:rPr>
          <w:spacing w:val="-7"/>
        </w:rPr>
        <w:t>PART</w:t>
      </w:r>
      <w:r>
        <w:rPr>
          <w:spacing w:val="-2"/>
        </w:rPr>
        <w:t> </w:t>
      </w:r>
      <w:r>
        <w:rPr>
          <w:spacing w:val="-5"/>
        </w:rPr>
        <w:t>III</w:t>
      </w:r>
    </w:p>
    <w:p>
      <w:pPr>
        <w:spacing w:before="190"/>
        <w:ind w:left="220" w:right="0" w:firstLine="0"/>
        <w:jc w:val="left"/>
        <w:rPr>
          <w:b/>
          <w:sz w:val="20"/>
        </w:rPr>
      </w:pPr>
      <w:bookmarkStart w:name="Item 10. Directors, Executive Officers a" w:id="103"/>
      <w:bookmarkEnd w:id="103"/>
      <w:r>
        <w:rPr/>
      </w:r>
      <w:bookmarkStart w:name="_bookmark37" w:id="104"/>
      <w:bookmarkEnd w:id="104"/>
      <w:r>
        <w:rPr/>
      </w:r>
      <w:r>
        <w:rPr>
          <w:b/>
          <w:sz w:val="20"/>
        </w:rPr>
        <w:t>ITEM</w:t>
      </w:r>
      <w:r>
        <w:rPr>
          <w:b/>
          <w:spacing w:val="-7"/>
          <w:sz w:val="20"/>
        </w:rPr>
        <w:t> </w:t>
      </w:r>
      <w:r>
        <w:rPr>
          <w:b/>
          <w:sz w:val="20"/>
        </w:rPr>
        <w:t>10.</w:t>
      </w:r>
      <w:r>
        <w:rPr>
          <w:b/>
          <w:spacing w:val="41"/>
          <w:sz w:val="20"/>
        </w:rPr>
        <w:t> </w:t>
      </w:r>
      <w:r>
        <w:rPr>
          <w:b/>
          <w:sz w:val="20"/>
        </w:rPr>
        <w:t>DIRECTORS,</w:t>
      </w:r>
      <w:r>
        <w:rPr>
          <w:b/>
          <w:spacing w:val="-4"/>
          <w:sz w:val="20"/>
        </w:rPr>
        <w:t> </w:t>
      </w:r>
      <w:r>
        <w:rPr>
          <w:b/>
          <w:sz w:val="20"/>
        </w:rPr>
        <w:t>EXECUTIVE</w:t>
      </w:r>
      <w:r>
        <w:rPr>
          <w:b/>
          <w:spacing w:val="-4"/>
          <w:sz w:val="20"/>
        </w:rPr>
        <w:t> </w:t>
      </w:r>
      <w:r>
        <w:rPr>
          <w:b/>
          <w:sz w:val="20"/>
        </w:rPr>
        <w:t>OFFICERS</w:t>
      </w:r>
      <w:r>
        <w:rPr>
          <w:b/>
          <w:spacing w:val="-13"/>
          <w:sz w:val="20"/>
        </w:rPr>
        <w:t> </w:t>
      </w:r>
      <w:r>
        <w:rPr>
          <w:b/>
          <w:sz w:val="20"/>
        </w:rPr>
        <w:t>AND</w:t>
      </w:r>
      <w:r>
        <w:rPr>
          <w:b/>
          <w:spacing w:val="-5"/>
          <w:sz w:val="20"/>
        </w:rPr>
        <w:t> </w:t>
      </w:r>
      <w:r>
        <w:rPr>
          <w:b/>
          <w:sz w:val="20"/>
        </w:rPr>
        <w:t>CORPORATE</w:t>
      </w:r>
      <w:r>
        <w:rPr>
          <w:b/>
          <w:spacing w:val="-4"/>
          <w:sz w:val="20"/>
        </w:rPr>
        <w:t> </w:t>
      </w:r>
      <w:r>
        <w:rPr>
          <w:b/>
          <w:spacing w:val="-2"/>
          <w:sz w:val="20"/>
        </w:rPr>
        <w:t>GOVERNANCE</w:t>
      </w:r>
    </w:p>
    <w:p>
      <w:pPr>
        <w:pStyle w:val="BodyText"/>
        <w:spacing w:line="249" w:lineRule="auto" w:before="190"/>
        <w:ind w:left="220" w:right="257" w:firstLine="540"/>
        <w:jc w:val="both"/>
      </w:pPr>
      <w:r>
        <w:rPr/>
        <w:t>The</w:t>
      </w:r>
      <w:r>
        <w:rPr>
          <w:spacing w:val="-7"/>
        </w:rPr>
        <w:t> </w:t>
      </w:r>
      <w:r>
        <w:rPr/>
        <w:t>information</w:t>
      </w:r>
      <w:r>
        <w:rPr>
          <w:spacing w:val="-8"/>
        </w:rPr>
        <w:t> </w:t>
      </w:r>
      <w:r>
        <w:rPr/>
        <w:t>required</w:t>
      </w:r>
      <w:r>
        <w:rPr>
          <w:spacing w:val="-8"/>
        </w:rPr>
        <w:t> </w:t>
      </w:r>
      <w:r>
        <w:rPr/>
        <w:t>by</w:t>
      </w:r>
      <w:r>
        <w:rPr>
          <w:spacing w:val="-7"/>
        </w:rPr>
        <w:t> </w:t>
      </w:r>
      <w:r>
        <w:rPr/>
        <w:t>this</w:t>
      </w:r>
      <w:r>
        <w:rPr>
          <w:spacing w:val="-7"/>
        </w:rPr>
        <w:t> </w:t>
      </w:r>
      <w:r>
        <w:rPr/>
        <w:t>Item</w:t>
      </w:r>
      <w:r>
        <w:rPr>
          <w:spacing w:val="-7"/>
        </w:rPr>
        <w:t> </w:t>
      </w:r>
      <w:r>
        <w:rPr/>
        <w:t>10</w:t>
      </w:r>
      <w:r>
        <w:rPr>
          <w:spacing w:val="-7"/>
        </w:rPr>
        <w:t> </w:t>
      </w:r>
      <w:r>
        <w:rPr/>
        <w:t>of</w:t>
      </w:r>
      <w:r>
        <w:rPr>
          <w:spacing w:val="-7"/>
        </w:rPr>
        <w:t> </w:t>
      </w:r>
      <w:r>
        <w:rPr/>
        <w:t>Form</w:t>
      </w:r>
      <w:r>
        <w:rPr>
          <w:spacing w:val="-8"/>
        </w:rPr>
        <w:t> </w:t>
      </w:r>
      <w:r>
        <w:rPr/>
        <w:t>10-K</w:t>
      </w:r>
      <w:r>
        <w:rPr>
          <w:spacing w:val="-7"/>
        </w:rPr>
        <w:t> </w:t>
      </w:r>
      <w:r>
        <w:rPr/>
        <w:t>that</w:t>
      </w:r>
      <w:r>
        <w:rPr>
          <w:spacing w:val="-8"/>
        </w:rPr>
        <w:t> </w:t>
      </w:r>
      <w:r>
        <w:rPr/>
        <w:t>is</w:t>
      </w:r>
      <w:r>
        <w:rPr>
          <w:spacing w:val="-7"/>
        </w:rPr>
        <w:t> </w:t>
      </w:r>
      <w:r>
        <w:rPr/>
        <w:t>found</w:t>
      </w:r>
      <w:r>
        <w:rPr>
          <w:spacing w:val="-7"/>
        </w:rPr>
        <w:t> </w:t>
      </w:r>
      <w:r>
        <w:rPr/>
        <w:t>in</w:t>
      </w:r>
      <w:r>
        <w:rPr>
          <w:spacing w:val="-7"/>
        </w:rPr>
        <w:t> </w:t>
      </w:r>
      <w:r>
        <w:rPr/>
        <w:t>our</w:t>
      </w:r>
      <w:r>
        <w:rPr>
          <w:spacing w:val="-7"/>
        </w:rPr>
        <w:t> </w:t>
      </w:r>
      <w:r>
        <w:rPr/>
        <w:t>2018</w:t>
      </w:r>
      <w:r>
        <w:rPr>
          <w:spacing w:val="-7"/>
        </w:rPr>
        <w:t> </w:t>
      </w:r>
      <w:r>
        <w:rPr/>
        <w:t>Proxy</w:t>
      </w:r>
      <w:r>
        <w:rPr>
          <w:spacing w:val="-8"/>
        </w:rPr>
        <w:t> </w:t>
      </w:r>
      <w:r>
        <w:rPr/>
        <w:t>Statement</w:t>
      </w:r>
      <w:r>
        <w:rPr>
          <w:spacing w:val="-8"/>
        </w:rPr>
        <w:t> </w:t>
      </w:r>
      <w:r>
        <w:rPr/>
        <w:t>to</w:t>
      </w:r>
      <w:r>
        <w:rPr>
          <w:spacing w:val="-7"/>
        </w:rPr>
        <w:t> </w:t>
      </w:r>
      <w:r>
        <w:rPr/>
        <w:t>be</w:t>
      </w:r>
      <w:r>
        <w:rPr>
          <w:spacing w:val="-7"/>
        </w:rPr>
        <w:t> </w:t>
      </w:r>
      <w:r>
        <w:rPr/>
        <w:t>filed</w:t>
      </w:r>
      <w:r>
        <w:rPr>
          <w:spacing w:val="-7"/>
        </w:rPr>
        <w:t> </w:t>
      </w:r>
      <w:r>
        <w:rPr/>
        <w:t>with</w:t>
      </w:r>
      <w:r>
        <w:rPr>
          <w:spacing w:val="-7"/>
        </w:rPr>
        <w:t> </w:t>
      </w:r>
      <w:r>
        <w:rPr/>
        <w:t>the</w:t>
      </w:r>
      <w:r>
        <w:rPr>
          <w:spacing w:val="-8"/>
        </w:rPr>
        <w:t> </w:t>
      </w:r>
      <w:r>
        <w:rPr/>
        <w:t>SEC in</w:t>
      </w:r>
      <w:r>
        <w:rPr>
          <w:spacing w:val="-13"/>
        </w:rPr>
        <w:t> </w:t>
      </w:r>
      <w:r>
        <w:rPr/>
        <w:t>connection</w:t>
      </w:r>
      <w:r>
        <w:rPr>
          <w:spacing w:val="-12"/>
        </w:rPr>
        <w:t> </w:t>
      </w:r>
      <w:r>
        <w:rPr/>
        <w:t>with</w:t>
      </w:r>
      <w:r>
        <w:rPr>
          <w:spacing w:val="-12"/>
        </w:rPr>
        <w:t> </w:t>
      </w:r>
      <w:r>
        <w:rPr/>
        <w:t>the</w:t>
      </w:r>
      <w:r>
        <w:rPr>
          <w:spacing w:val="-10"/>
        </w:rPr>
        <w:t> </w:t>
      </w:r>
      <w:r>
        <w:rPr/>
        <w:t>solicitation</w:t>
      </w:r>
      <w:r>
        <w:rPr>
          <w:spacing w:val="-11"/>
        </w:rPr>
        <w:t> </w:t>
      </w:r>
      <w:r>
        <w:rPr/>
        <w:t>of</w:t>
      </w:r>
      <w:r>
        <w:rPr>
          <w:spacing w:val="-11"/>
        </w:rPr>
        <w:t> </w:t>
      </w:r>
      <w:r>
        <w:rPr/>
        <w:t>proxies</w:t>
      </w:r>
      <w:r>
        <w:rPr>
          <w:spacing w:val="-10"/>
        </w:rPr>
        <w:t> </w:t>
      </w:r>
      <w:r>
        <w:rPr/>
        <w:t>for</w:t>
      </w:r>
      <w:r>
        <w:rPr>
          <w:spacing w:val="-11"/>
        </w:rPr>
        <w:t> </w:t>
      </w:r>
      <w:r>
        <w:rPr/>
        <w:t>the</w:t>
      </w:r>
      <w:r>
        <w:rPr>
          <w:spacing w:val="-11"/>
        </w:rPr>
        <w:t> </w:t>
      </w:r>
      <w:r>
        <w:rPr/>
        <w:t>Company’s</w:t>
      </w:r>
      <w:r>
        <w:rPr>
          <w:spacing w:val="-11"/>
        </w:rPr>
        <w:t> </w:t>
      </w:r>
      <w:r>
        <w:rPr/>
        <w:t>2018</w:t>
      </w:r>
      <w:r>
        <w:rPr>
          <w:spacing w:val="-13"/>
        </w:rPr>
        <w:t> </w:t>
      </w:r>
      <w:r>
        <w:rPr/>
        <w:t>Annual</w:t>
      </w:r>
      <w:r>
        <w:rPr>
          <w:spacing w:val="-10"/>
        </w:rPr>
        <w:t> </w:t>
      </w:r>
      <w:r>
        <w:rPr/>
        <w:t>Meeting</w:t>
      </w:r>
      <w:r>
        <w:rPr>
          <w:spacing w:val="-11"/>
        </w:rPr>
        <w:t> </w:t>
      </w:r>
      <w:r>
        <w:rPr/>
        <w:t>of</w:t>
      </w:r>
      <w:r>
        <w:rPr>
          <w:spacing w:val="-10"/>
        </w:rPr>
        <w:t> </w:t>
      </w:r>
      <w:r>
        <w:rPr/>
        <w:t>Stockholders</w:t>
      </w:r>
      <w:r>
        <w:rPr>
          <w:spacing w:val="-10"/>
        </w:rPr>
        <w:t> </w:t>
      </w:r>
      <w:r>
        <w:rPr/>
        <w:t>(“2018</w:t>
      </w:r>
      <w:r>
        <w:rPr>
          <w:spacing w:val="-11"/>
        </w:rPr>
        <w:t> </w:t>
      </w:r>
      <w:r>
        <w:rPr/>
        <w:t>Proxy</w:t>
      </w:r>
      <w:r>
        <w:rPr>
          <w:spacing w:val="-11"/>
        </w:rPr>
        <w:t> </w:t>
      </w:r>
      <w:r>
        <w:rPr/>
        <w:t>Statement”) is</w:t>
      </w:r>
      <w:r>
        <w:rPr>
          <w:spacing w:val="-11"/>
        </w:rPr>
        <w:t> </w:t>
      </w:r>
      <w:r>
        <w:rPr/>
        <w:t>incorporated</w:t>
      </w:r>
      <w:r>
        <w:rPr>
          <w:spacing w:val="-11"/>
        </w:rPr>
        <w:t> </w:t>
      </w:r>
      <w:r>
        <w:rPr/>
        <w:t>herein</w:t>
      </w:r>
      <w:r>
        <w:rPr>
          <w:spacing w:val="-11"/>
        </w:rPr>
        <w:t> </w:t>
      </w:r>
      <w:r>
        <w:rPr/>
        <w:t>by</w:t>
      </w:r>
      <w:r>
        <w:rPr>
          <w:spacing w:val="-11"/>
        </w:rPr>
        <w:t> </w:t>
      </w:r>
      <w:r>
        <w:rPr/>
        <w:t>reference</w:t>
      </w:r>
      <w:r>
        <w:rPr>
          <w:spacing w:val="-11"/>
        </w:rPr>
        <w:t> </w:t>
      </w:r>
      <w:r>
        <w:rPr/>
        <w:t>to</w:t>
      </w:r>
      <w:r>
        <w:rPr>
          <w:spacing w:val="-11"/>
        </w:rPr>
        <w:t> </w:t>
      </w:r>
      <w:r>
        <w:rPr/>
        <w:t>our</w:t>
      </w:r>
      <w:r>
        <w:rPr>
          <w:spacing w:val="-11"/>
        </w:rPr>
        <w:t> </w:t>
      </w:r>
      <w:r>
        <w:rPr/>
        <w:t>2018</w:t>
      </w:r>
      <w:r>
        <w:rPr>
          <w:spacing w:val="-11"/>
        </w:rPr>
        <w:t> </w:t>
      </w:r>
      <w:r>
        <w:rPr/>
        <w:t>Proxy</w:t>
      </w:r>
      <w:r>
        <w:rPr>
          <w:spacing w:val="-11"/>
        </w:rPr>
        <w:t> </w:t>
      </w:r>
      <w:r>
        <w:rPr/>
        <w:t>Statement.</w:t>
      </w:r>
      <w:r>
        <w:rPr>
          <w:spacing w:val="-13"/>
        </w:rPr>
        <w:t> </w:t>
      </w:r>
      <w:r>
        <w:rPr/>
        <w:t>The</w:t>
      </w:r>
      <w:r>
        <w:rPr>
          <w:spacing w:val="-10"/>
        </w:rPr>
        <w:t> </w:t>
      </w:r>
      <w:r>
        <w:rPr/>
        <w:t>2018</w:t>
      </w:r>
      <w:r>
        <w:rPr>
          <w:spacing w:val="-11"/>
        </w:rPr>
        <w:t> </w:t>
      </w:r>
      <w:r>
        <w:rPr/>
        <w:t>Proxy</w:t>
      </w:r>
      <w:r>
        <w:rPr>
          <w:spacing w:val="-11"/>
        </w:rPr>
        <w:t> </w:t>
      </w:r>
      <w:r>
        <w:rPr/>
        <w:t>Statement</w:t>
      </w:r>
      <w:r>
        <w:rPr>
          <w:spacing w:val="-11"/>
        </w:rPr>
        <w:t> </w:t>
      </w:r>
      <w:r>
        <w:rPr/>
        <w:t>will</w:t>
      </w:r>
      <w:r>
        <w:rPr>
          <w:spacing w:val="-11"/>
        </w:rPr>
        <w:t> </w:t>
      </w:r>
      <w:r>
        <w:rPr/>
        <w:t>be</w:t>
      </w:r>
      <w:r>
        <w:rPr>
          <w:spacing w:val="-11"/>
        </w:rPr>
        <w:t> </w:t>
      </w:r>
      <w:r>
        <w:rPr/>
        <w:t>filed</w:t>
      </w:r>
      <w:r>
        <w:rPr>
          <w:spacing w:val="-11"/>
        </w:rPr>
        <w:t> </w:t>
      </w:r>
      <w:r>
        <w:rPr/>
        <w:t>with</w:t>
      </w:r>
      <w:r>
        <w:rPr>
          <w:spacing w:val="-11"/>
        </w:rPr>
        <w:t> </w:t>
      </w:r>
      <w:r>
        <w:rPr/>
        <w:t>the</w:t>
      </w:r>
      <w:r>
        <w:rPr>
          <w:spacing w:val="-11"/>
        </w:rPr>
        <w:t> </w:t>
      </w:r>
      <w:r>
        <w:rPr/>
        <w:t>SEC</w:t>
      </w:r>
      <w:r>
        <w:rPr>
          <w:spacing w:val="-11"/>
        </w:rPr>
        <w:t> </w:t>
      </w:r>
      <w:r>
        <w:rPr/>
        <w:t>within</w:t>
      </w:r>
      <w:r>
        <w:rPr>
          <w:spacing w:val="-11"/>
        </w:rPr>
        <w:t> </w:t>
      </w:r>
      <w:r>
        <w:rPr/>
        <w:t>120 </w:t>
      </w:r>
      <w:r>
        <w:rPr>
          <w:spacing w:val="-2"/>
        </w:rPr>
        <w:t>days</w:t>
      </w:r>
      <w:r>
        <w:rPr>
          <w:spacing w:val="-11"/>
        </w:rPr>
        <w:t> </w:t>
      </w:r>
      <w:r>
        <w:rPr>
          <w:spacing w:val="-2"/>
        </w:rPr>
        <w:t>after</w:t>
      </w:r>
      <w:r>
        <w:rPr>
          <w:spacing w:val="-10"/>
        </w:rPr>
        <w:t> </w:t>
      </w:r>
      <w:r>
        <w:rPr>
          <w:spacing w:val="-2"/>
        </w:rPr>
        <w:t>the</w:t>
      </w:r>
      <w:r>
        <w:rPr>
          <w:spacing w:val="-11"/>
        </w:rPr>
        <w:t> </w:t>
      </w:r>
      <w:r>
        <w:rPr>
          <w:spacing w:val="-2"/>
        </w:rPr>
        <w:t>end</w:t>
      </w:r>
      <w:r>
        <w:rPr>
          <w:spacing w:val="-10"/>
        </w:rPr>
        <w:t> </w:t>
      </w:r>
      <w:r>
        <w:rPr>
          <w:spacing w:val="-2"/>
        </w:rPr>
        <w:t>of</w:t>
      </w:r>
      <w:r>
        <w:rPr>
          <w:spacing w:val="-11"/>
        </w:rPr>
        <w:t> </w:t>
      </w:r>
      <w:r>
        <w:rPr>
          <w:spacing w:val="-2"/>
        </w:rPr>
        <w:t>the</w:t>
      </w:r>
      <w:r>
        <w:rPr>
          <w:spacing w:val="-10"/>
        </w:rPr>
        <w:t> </w:t>
      </w:r>
      <w:r>
        <w:rPr>
          <w:spacing w:val="-2"/>
        </w:rPr>
        <w:t>fiscal</w:t>
      </w:r>
      <w:r>
        <w:rPr>
          <w:spacing w:val="-11"/>
        </w:rPr>
        <w:t> </w:t>
      </w:r>
      <w:r>
        <w:rPr>
          <w:spacing w:val="-2"/>
        </w:rPr>
        <w:t>year</w:t>
      </w:r>
      <w:r>
        <w:rPr>
          <w:spacing w:val="-10"/>
        </w:rPr>
        <w:t> </w:t>
      </w:r>
      <w:r>
        <w:rPr>
          <w:spacing w:val="-2"/>
        </w:rPr>
        <w:t>to</w:t>
      </w:r>
      <w:r>
        <w:rPr>
          <w:spacing w:val="-11"/>
        </w:rPr>
        <w:t> </w:t>
      </w:r>
      <w:r>
        <w:rPr>
          <w:spacing w:val="-2"/>
        </w:rPr>
        <w:t>which</w:t>
      </w:r>
      <w:r>
        <w:rPr>
          <w:spacing w:val="-10"/>
        </w:rPr>
        <w:t> </w:t>
      </w:r>
      <w:r>
        <w:rPr>
          <w:spacing w:val="-2"/>
        </w:rPr>
        <w:t>this</w:t>
      </w:r>
      <w:r>
        <w:rPr>
          <w:spacing w:val="-11"/>
        </w:rPr>
        <w:t> </w:t>
      </w:r>
      <w:r>
        <w:rPr>
          <w:spacing w:val="-2"/>
        </w:rPr>
        <w:t>report</w:t>
      </w:r>
      <w:r>
        <w:rPr>
          <w:spacing w:val="-10"/>
        </w:rPr>
        <w:t> </w:t>
      </w:r>
      <w:r>
        <w:rPr>
          <w:spacing w:val="-2"/>
        </w:rPr>
        <w:t>relates.</w:t>
      </w:r>
      <w:r>
        <w:rPr>
          <w:spacing w:val="-11"/>
        </w:rPr>
        <w:t> </w:t>
      </w:r>
      <w:r>
        <w:rPr>
          <w:spacing w:val="-2"/>
        </w:rPr>
        <w:t>For</w:t>
      </w:r>
      <w:r>
        <w:rPr>
          <w:spacing w:val="-10"/>
        </w:rPr>
        <w:t> </w:t>
      </w:r>
      <w:r>
        <w:rPr>
          <w:spacing w:val="-2"/>
        </w:rPr>
        <w:t>information</w:t>
      </w:r>
      <w:r>
        <w:rPr>
          <w:spacing w:val="-11"/>
        </w:rPr>
        <w:t> </w:t>
      </w:r>
      <w:r>
        <w:rPr>
          <w:spacing w:val="-2"/>
        </w:rPr>
        <w:t>with</w:t>
      </w:r>
      <w:r>
        <w:rPr>
          <w:spacing w:val="-10"/>
        </w:rPr>
        <w:t> </w:t>
      </w:r>
      <w:r>
        <w:rPr>
          <w:spacing w:val="-2"/>
        </w:rPr>
        <w:t>respect</w:t>
      </w:r>
      <w:r>
        <w:rPr>
          <w:spacing w:val="-11"/>
        </w:rPr>
        <w:t> </w:t>
      </w:r>
      <w:r>
        <w:rPr>
          <w:spacing w:val="-2"/>
        </w:rPr>
        <w:t>to</w:t>
      </w:r>
      <w:r>
        <w:rPr>
          <w:spacing w:val="-10"/>
        </w:rPr>
        <w:t> </w:t>
      </w:r>
      <w:r>
        <w:rPr>
          <w:spacing w:val="-2"/>
        </w:rPr>
        <w:t>our</w:t>
      </w:r>
      <w:r>
        <w:rPr>
          <w:spacing w:val="-11"/>
        </w:rPr>
        <w:t> </w:t>
      </w:r>
      <w:r>
        <w:rPr>
          <w:spacing w:val="-2"/>
        </w:rPr>
        <w:t>executive</w:t>
      </w:r>
      <w:r>
        <w:rPr>
          <w:spacing w:val="-10"/>
        </w:rPr>
        <w:t> </w:t>
      </w:r>
      <w:r>
        <w:rPr>
          <w:spacing w:val="-2"/>
        </w:rPr>
        <w:t>officers,</w:t>
      </w:r>
      <w:r>
        <w:rPr>
          <w:spacing w:val="-11"/>
        </w:rPr>
        <w:t> </w:t>
      </w:r>
      <w:hyperlink w:history="true" w:anchor="_bookmark3">
        <w:r>
          <w:rPr>
            <w:spacing w:val="-2"/>
          </w:rPr>
          <w:t>see</w:t>
        </w:r>
        <w:r>
          <w:rPr>
            <w:spacing w:val="-10"/>
          </w:rPr>
          <w:t> </w:t>
        </w:r>
        <w:r>
          <w:rPr>
            <w:spacing w:val="-2"/>
          </w:rPr>
          <w:t>“Executive</w:t>
        </w:r>
      </w:hyperlink>
      <w:r>
        <w:rPr>
          <w:spacing w:val="-2"/>
        </w:rPr>
        <w:t> </w:t>
      </w:r>
      <w:hyperlink w:history="true" w:anchor="_bookmark3">
        <w:r>
          <w:rPr/>
          <w:t>Officers” at the end of Part I, Item 1</w:t>
        </w:r>
      </w:hyperlink>
      <w:r>
        <w:rPr/>
        <w:t> of this report.</w:t>
      </w:r>
    </w:p>
    <w:p>
      <w:pPr>
        <w:pStyle w:val="Heading1"/>
        <w:spacing w:before="184"/>
      </w:pPr>
      <w:bookmarkStart w:name="Item 11. Executive Compensation" w:id="105"/>
      <w:bookmarkEnd w:id="105"/>
      <w:r>
        <w:rPr>
          <w:b w:val="0"/>
        </w:rPr>
      </w:r>
      <w:bookmarkStart w:name="_bookmark38" w:id="106"/>
      <w:bookmarkEnd w:id="106"/>
      <w:r>
        <w:rPr>
          <w:b w:val="0"/>
        </w:rPr>
      </w:r>
      <w:r>
        <w:rPr/>
        <w:t>ITEM</w:t>
      </w:r>
      <w:r>
        <w:rPr>
          <w:spacing w:val="-3"/>
        </w:rPr>
        <w:t> </w:t>
      </w:r>
      <w:r>
        <w:rPr/>
        <w:t>11.</w:t>
      </w:r>
      <w:r>
        <w:rPr>
          <w:spacing w:val="44"/>
        </w:rPr>
        <w:t> </w:t>
      </w:r>
      <w:r>
        <w:rPr/>
        <w:t>EXECUTIVE</w:t>
      </w:r>
      <w:r>
        <w:rPr>
          <w:spacing w:val="-3"/>
        </w:rPr>
        <w:t> </w:t>
      </w:r>
      <w:r>
        <w:rPr>
          <w:spacing w:val="-2"/>
        </w:rPr>
        <w:t>COMPENSATION</w:t>
      </w:r>
    </w:p>
    <w:p>
      <w:pPr>
        <w:pStyle w:val="BodyText"/>
        <w:spacing w:before="190"/>
        <w:ind w:right="258"/>
        <w:jc w:val="right"/>
      </w:pPr>
      <w:r>
        <w:rPr/>
        <w:t>The</w:t>
      </w:r>
      <w:r>
        <w:rPr>
          <w:spacing w:val="-1"/>
        </w:rPr>
        <w:t> </w:t>
      </w:r>
      <w:r>
        <w:rPr/>
        <w:t>information</w:t>
      </w:r>
      <w:r>
        <w:rPr>
          <w:spacing w:val="-2"/>
        </w:rPr>
        <w:t> </w:t>
      </w:r>
      <w:r>
        <w:rPr/>
        <w:t>required</w:t>
      </w:r>
      <w:r>
        <w:rPr>
          <w:spacing w:val="-2"/>
        </w:rPr>
        <w:t> </w:t>
      </w:r>
      <w:r>
        <w:rPr/>
        <w:t>by</w:t>
      </w:r>
      <w:r>
        <w:rPr>
          <w:spacing w:val="-1"/>
        </w:rPr>
        <w:t> </w:t>
      </w:r>
      <w:r>
        <w:rPr/>
        <w:t>this Item</w:t>
      </w:r>
      <w:r>
        <w:rPr>
          <w:spacing w:val="-1"/>
        </w:rPr>
        <w:t> </w:t>
      </w:r>
      <w:r>
        <w:rPr/>
        <w:t>11</w:t>
      </w:r>
      <w:r>
        <w:rPr>
          <w:spacing w:val="-1"/>
        </w:rPr>
        <w:t> </w:t>
      </w:r>
      <w:r>
        <w:rPr/>
        <w:t>of</w:t>
      </w:r>
      <w:r>
        <w:rPr>
          <w:spacing w:val="-1"/>
        </w:rPr>
        <w:t> </w:t>
      </w:r>
      <w:r>
        <w:rPr/>
        <w:t>Form</w:t>
      </w:r>
      <w:r>
        <w:rPr>
          <w:spacing w:val="-2"/>
        </w:rPr>
        <w:t> </w:t>
      </w:r>
      <w:r>
        <w:rPr/>
        <w:t>10-K is</w:t>
      </w:r>
      <w:r>
        <w:rPr>
          <w:spacing w:val="-1"/>
        </w:rPr>
        <w:t> </w:t>
      </w:r>
      <w:r>
        <w:rPr/>
        <w:t>incorporated</w:t>
      </w:r>
      <w:r>
        <w:rPr>
          <w:spacing w:val="-2"/>
        </w:rPr>
        <w:t> </w:t>
      </w:r>
      <w:r>
        <w:rPr/>
        <w:t>herein</w:t>
      </w:r>
      <w:r>
        <w:rPr>
          <w:spacing w:val="-1"/>
        </w:rPr>
        <w:t> </w:t>
      </w:r>
      <w:r>
        <w:rPr/>
        <w:t>by</w:t>
      </w:r>
      <w:r>
        <w:rPr>
          <w:spacing w:val="-1"/>
        </w:rPr>
        <w:t> </w:t>
      </w:r>
      <w:r>
        <w:rPr/>
        <w:t>reference</w:t>
      </w:r>
      <w:r>
        <w:rPr>
          <w:spacing w:val="-1"/>
        </w:rPr>
        <w:t> </w:t>
      </w:r>
      <w:r>
        <w:rPr/>
        <w:t>to</w:t>
      </w:r>
      <w:r>
        <w:rPr>
          <w:spacing w:val="-1"/>
        </w:rPr>
        <w:t> </w:t>
      </w:r>
      <w:r>
        <w:rPr/>
        <w:t>our</w:t>
      </w:r>
      <w:r>
        <w:rPr>
          <w:spacing w:val="-1"/>
        </w:rPr>
        <w:t> </w:t>
      </w:r>
      <w:r>
        <w:rPr/>
        <w:t>2018</w:t>
      </w:r>
      <w:r>
        <w:rPr>
          <w:spacing w:val="-1"/>
        </w:rPr>
        <w:t> </w:t>
      </w:r>
      <w:r>
        <w:rPr/>
        <w:t>Proxy</w:t>
      </w:r>
      <w:r>
        <w:rPr>
          <w:spacing w:val="-1"/>
        </w:rPr>
        <w:t> </w:t>
      </w:r>
      <w:r>
        <w:rPr>
          <w:spacing w:val="-2"/>
        </w:rPr>
        <w:t>Statement.</w:t>
      </w:r>
    </w:p>
    <w:p>
      <w:pPr>
        <w:pStyle w:val="Heading1"/>
        <w:spacing w:line="249" w:lineRule="auto" w:before="190"/>
      </w:pPr>
      <w:bookmarkStart w:name="Item 12. Security Ownership of Certain B" w:id="107"/>
      <w:bookmarkEnd w:id="107"/>
      <w:r>
        <w:rPr>
          <w:b w:val="0"/>
        </w:rPr>
      </w:r>
      <w:bookmarkStart w:name="_bookmark39" w:id="108"/>
      <w:bookmarkEnd w:id="108"/>
      <w:r>
        <w:rPr>
          <w:b w:val="0"/>
        </w:rPr>
      </w:r>
      <w:r>
        <w:rPr/>
        <w:t>ITEM</w:t>
      </w:r>
      <w:r>
        <w:rPr>
          <w:spacing w:val="-13"/>
        </w:rPr>
        <w:t> </w:t>
      </w:r>
      <w:r>
        <w:rPr/>
        <w:t>12.</w:t>
      </w:r>
      <w:r>
        <w:rPr>
          <w:spacing w:val="24"/>
        </w:rPr>
        <w:t> </w:t>
      </w:r>
      <w:r>
        <w:rPr/>
        <w:t>SECURITY</w:t>
      </w:r>
      <w:r>
        <w:rPr>
          <w:spacing w:val="-13"/>
        </w:rPr>
        <w:t> </w:t>
      </w:r>
      <w:r>
        <w:rPr/>
        <w:t>OWNERSHIP</w:t>
      </w:r>
      <w:r>
        <w:rPr>
          <w:spacing w:val="-12"/>
        </w:rPr>
        <w:t> </w:t>
      </w:r>
      <w:r>
        <w:rPr/>
        <w:t>OF</w:t>
      </w:r>
      <w:r>
        <w:rPr>
          <w:spacing w:val="-13"/>
        </w:rPr>
        <w:t> </w:t>
      </w:r>
      <w:r>
        <w:rPr/>
        <w:t>CERTAIN</w:t>
      </w:r>
      <w:r>
        <w:rPr>
          <w:spacing w:val="-7"/>
        </w:rPr>
        <w:t> </w:t>
      </w:r>
      <w:r>
        <w:rPr/>
        <w:t>BENEFICIAL</w:t>
      </w:r>
      <w:r>
        <w:rPr>
          <w:spacing w:val="-13"/>
        </w:rPr>
        <w:t> </w:t>
      </w:r>
      <w:r>
        <w:rPr/>
        <w:t>OWNERS</w:t>
      </w:r>
      <w:r>
        <w:rPr>
          <w:spacing w:val="-12"/>
        </w:rPr>
        <w:t> </w:t>
      </w:r>
      <w:r>
        <w:rPr/>
        <w:t>AND</w:t>
      </w:r>
      <w:r>
        <w:rPr>
          <w:spacing w:val="-8"/>
        </w:rPr>
        <w:t> </w:t>
      </w:r>
      <w:r>
        <w:rPr/>
        <w:t>MANAGEMENT</w:t>
      </w:r>
      <w:r>
        <w:rPr>
          <w:spacing w:val="-15"/>
        </w:rPr>
        <w:t> </w:t>
      </w:r>
      <w:r>
        <w:rPr/>
        <w:t>AND</w:t>
      </w:r>
      <w:r>
        <w:rPr>
          <w:spacing w:val="-8"/>
        </w:rPr>
        <w:t> </w:t>
      </w:r>
      <w:r>
        <w:rPr/>
        <w:t>RELATED STOCKHOLDER MATTERS</w:t>
      </w:r>
    </w:p>
    <w:p>
      <w:pPr>
        <w:pStyle w:val="BodyText"/>
        <w:spacing w:before="182"/>
        <w:ind w:right="282"/>
        <w:jc w:val="right"/>
      </w:pPr>
      <w:r>
        <w:rPr/>
        <w:t>The</w:t>
      </w:r>
      <w:r>
        <w:rPr>
          <w:spacing w:val="-1"/>
        </w:rPr>
        <w:t> </w:t>
      </w:r>
      <w:r>
        <w:rPr/>
        <w:t>information</w:t>
      </w:r>
      <w:r>
        <w:rPr>
          <w:spacing w:val="-1"/>
        </w:rPr>
        <w:t> </w:t>
      </w:r>
      <w:r>
        <w:rPr/>
        <w:t>required</w:t>
      </w:r>
      <w:r>
        <w:rPr>
          <w:spacing w:val="-2"/>
        </w:rPr>
        <w:t> </w:t>
      </w:r>
      <w:r>
        <w:rPr/>
        <w:t>by this Item</w:t>
      </w:r>
      <w:r>
        <w:rPr>
          <w:spacing w:val="-1"/>
        </w:rPr>
        <w:t> </w:t>
      </w:r>
      <w:r>
        <w:rPr/>
        <w:t>12 of Form</w:t>
      </w:r>
      <w:r>
        <w:rPr>
          <w:spacing w:val="-2"/>
        </w:rPr>
        <w:t> </w:t>
      </w:r>
      <w:r>
        <w:rPr/>
        <w:t>10-K is</w:t>
      </w:r>
      <w:r>
        <w:rPr>
          <w:spacing w:val="-1"/>
        </w:rPr>
        <w:t> </w:t>
      </w:r>
      <w:r>
        <w:rPr/>
        <w:t>incorporated</w:t>
      </w:r>
      <w:r>
        <w:rPr>
          <w:spacing w:val="-1"/>
        </w:rPr>
        <w:t> </w:t>
      </w:r>
      <w:r>
        <w:rPr/>
        <w:t>herein by</w:t>
      </w:r>
      <w:r>
        <w:rPr>
          <w:spacing w:val="-1"/>
        </w:rPr>
        <w:t> </w:t>
      </w:r>
      <w:r>
        <w:rPr/>
        <w:t>reference</w:t>
      </w:r>
      <w:r>
        <w:rPr>
          <w:spacing w:val="-1"/>
        </w:rPr>
        <w:t> </w:t>
      </w:r>
      <w:r>
        <w:rPr/>
        <w:t>to our</w:t>
      </w:r>
      <w:r>
        <w:rPr>
          <w:spacing w:val="-1"/>
        </w:rPr>
        <w:t> </w:t>
      </w:r>
      <w:r>
        <w:rPr/>
        <w:t>2018 Proxy</w:t>
      </w:r>
      <w:r>
        <w:rPr>
          <w:spacing w:val="-1"/>
        </w:rPr>
        <w:t> </w:t>
      </w:r>
      <w:r>
        <w:rPr>
          <w:spacing w:val="-2"/>
        </w:rPr>
        <w:t>Statement.</w:t>
      </w:r>
    </w:p>
    <w:p>
      <w:pPr>
        <w:pStyle w:val="Heading1"/>
        <w:spacing w:before="190"/>
      </w:pPr>
      <w:bookmarkStart w:name="Item 13. Certain Relationships and Relat" w:id="109"/>
      <w:bookmarkEnd w:id="109"/>
      <w:r>
        <w:rPr>
          <w:b w:val="0"/>
        </w:rPr>
      </w:r>
      <w:bookmarkStart w:name="_bookmark40" w:id="110"/>
      <w:bookmarkEnd w:id="110"/>
      <w:r>
        <w:rPr>
          <w:b w:val="0"/>
        </w:rPr>
      </w:r>
      <w:r>
        <w:rPr/>
        <w:t>ITEM</w:t>
      </w:r>
      <w:r>
        <w:rPr>
          <w:spacing w:val="-15"/>
        </w:rPr>
        <w:t> </w:t>
      </w:r>
      <w:r>
        <w:rPr/>
        <w:t>13.</w:t>
      </w:r>
      <w:r>
        <w:rPr>
          <w:spacing w:val="25"/>
        </w:rPr>
        <w:t> </w:t>
      </w:r>
      <w:r>
        <w:rPr/>
        <w:t>CERTAIN</w:t>
      </w:r>
      <w:r>
        <w:rPr>
          <w:spacing w:val="-10"/>
        </w:rPr>
        <w:t> </w:t>
      </w:r>
      <w:r>
        <w:rPr/>
        <w:t>RELATIONSHIPS</w:t>
      </w:r>
      <w:r>
        <w:rPr>
          <w:spacing w:val="-12"/>
        </w:rPr>
        <w:t> </w:t>
      </w:r>
      <w:r>
        <w:rPr/>
        <w:t>AND</w:t>
      </w:r>
      <w:r>
        <w:rPr>
          <w:spacing w:val="-10"/>
        </w:rPr>
        <w:t> </w:t>
      </w:r>
      <w:r>
        <w:rPr/>
        <w:t>RELATED</w:t>
      </w:r>
      <w:r>
        <w:rPr>
          <w:spacing w:val="-12"/>
        </w:rPr>
        <w:t> </w:t>
      </w:r>
      <w:r>
        <w:rPr/>
        <w:t>TRANSACTIONS,</w:t>
      </w:r>
      <w:r>
        <w:rPr>
          <w:spacing w:val="-12"/>
        </w:rPr>
        <w:t> </w:t>
      </w:r>
      <w:r>
        <w:rPr/>
        <w:t>AND</w:t>
      </w:r>
      <w:r>
        <w:rPr>
          <w:spacing w:val="-10"/>
        </w:rPr>
        <w:t> </w:t>
      </w:r>
      <w:r>
        <w:rPr/>
        <w:t>DIRECTOR</w:t>
      </w:r>
      <w:r>
        <w:rPr>
          <w:spacing w:val="-9"/>
        </w:rPr>
        <w:t> </w:t>
      </w:r>
      <w:r>
        <w:rPr>
          <w:spacing w:val="-2"/>
        </w:rPr>
        <w:t>INDEPENDENCE</w:t>
      </w:r>
    </w:p>
    <w:p>
      <w:pPr>
        <w:pStyle w:val="BodyText"/>
        <w:spacing w:before="190"/>
        <w:ind w:right="332"/>
        <w:jc w:val="right"/>
      </w:pPr>
      <w:r>
        <w:rPr/>
        <w:t>The</w:t>
      </w:r>
      <w:r>
        <w:rPr>
          <w:spacing w:val="-1"/>
        </w:rPr>
        <w:t> </w:t>
      </w:r>
      <w:r>
        <w:rPr/>
        <w:t>information</w:t>
      </w:r>
      <w:r>
        <w:rPr>
          <w:spacing w:val="-1"/>
        </w:rPr>
        <w:t> </w:t>
      </w:r>
      <w:r>
        <w:rPr/>
        <w:t>required</w:t>
      </w:r>
      <w:r>
        <w:rPr>
          <w:spacing w:val="-2"/>
        </w:rPr>
        <w:t> </w:t>
      </w:r>
      <w:r>
        <w:rPr/>
        <w:t>by this Item13</w:t>
      </w:r>
      <w:r>
        <w:rPr>
          <w:spacing w:val="-1"/>
        </w:rPr>
        <w:t> </w:t>
      </w:r>
      <w:r>
        <w:rPr/>
        <w:t>of Form</w:t>
      </w:r>
      <w:r>
        <w:rPr>
          <w:spacing w:val="-2"/>
        </w:rPr>
        <w:t> </w:t>
      </w:r>
      <w:r>
        <w:rPr/>
        <w:t>10-K is incorporated</w:t>
      </w:r>
      <w:r>
        <w:rPr>
          <w:spacing w:val="-2"/>
        </w:rPr>
        <w:t> </w:t>
      </w:r>
      <w:r>
        <w:rPr/>
        <w:t>herein by</w:t>
      </w:r>
      <w:r>
        <w:rPr>
          <w:spacing w:val="-1"/>
        </w:rPr>
        <w:t> </w:t>
      </w:r>
      <w:r>
        <w:rPr/>
        <w:t>reference</w:t>
      </w:r>
      <w:r>
        <w:rPr>
          <w:spacing w:val="-1"/>
        </w:rPr>
        <w:t> </w:t>
      </w:r>
      <w:r>
        <w:rPr/>
        <w:t>to our</w:t>
      </w:r>
      <w:r>
        <w:rPr>
          <w:spacing w:val="-1"/>
        </w:rPr>
        <w:t> </w:t>
      </w:r>
      <w:r>
        <w:rPr/>
        <w:t>2018 Proxy</w:t>
      </w:r>
      <w:r>
        <w:rPr>
          <w:spacing w:val="-1"/>
        </w:rPr>
        <w:t> </w:t>
      </w:r>
      <w:r>
        <w:rPr>
          <w:spacing w:val="-2"/>
        </w:rPr>
        <w:t>Statement.</w:t>
      </w:r>
    </w:p>
    <w:p>
      <w:pPr>
        <w:pStyle w:val="Heading1"/>
        <w:spacing w:before="190"/>
      </w:pPr>
      <w:bookmarkStart w:name="Item 14. Principal Accounting Fees and S" w:id="111"/>
      <w:bookmarkEnd w:id="111"/>
      <w:r>
        <w:rPr>
          <w:b w:val="0"/>
        </w:rPr>
      </w:r>
      <w:bookmarkStart w:name="_bookmark41" w:id="112"/>
      <w:bookmarkEnd w:id="112"/>
      <w:r>
        <w:rPr>
          <w:b w:val="0"/>
        </w:rPr>
      </w:r>
      <w:r>
        <w:rPr/>
        <w:t>ITEM</w:t>
      </w:r>
      <w:r>
        <w:rPr>
          <w:spacing w:val="-8"/>
        </w:rPr>
        <w:t> </w:t>
      </w:r>
      <w:r>
        <w:rPr/>
        <w:t>14.</w:t>
      </w:r>
      <w:r>
        <w:rPr>
          <w:spacing w:val="44"/>
        </w:rPr>
        <w:t> </w:t>
      </w:r>
      <w:r>
        <w:rPr/>
        <w:t>PRINCIPAL</w:t>
      </w:r>
      <w:r>
        <w:rPr>
          <w:spacing w:val="-23"/>
        </w:rPr>
        <w:t> </w:t>
      </w:r>
      <w:r>
        <w:rPr/>
        <w:t>ACCOUNTING</w:t>
      </w:r>
      <w:r>
        <w:rPr>
          <w:spacing w:val="-4"/>
        </w:rPr>
        <w:t> </w:t>
      </w:r>
      <w:r>
        <w:rPr/>
        <w:t>FEES</w:t>
      </w:r>
      <w:r>
        <w:rPr>
          <w:spacing w:val="-12"/>
        </w:rPr>
        <w:t> </w:t>
      </w:r>
      <w:r>
        <w:rPr/>
        <w:t>AND</w:t>
      </w:r>
      <w:r>
        <w:rPr>
          <w:spacing w:val="-4"/>
        </w:rPr>
        <w:t> </w:t>
      </w:r>
      <w:r>
        <w:rPr>
          <w:spacing w:val="-2"/>
        </w:rPr>
        <w:t>SERVICES</w:t>
      </w:r>
    </w:p>
    <w:p>
      <w:pPr>
        <w:pStyle w:val="BodyText"/>
        <w:spacing w:before="190"/>
        <w:ind w:right="282"/>
        <w:jc w:val="right"/>
      </w:pPr>
      <w:r>
        <w:rPr/>
        <w:t>The</w:t>
      </w:r>
      <w:r>
        <w:rPr>
          <w:spacing w:val="-1"/>
        </w:rPr>
        <w:t> </w:t>
      </w:r>
      <w:r>
        <w:rPr/>
        <w:t>information</w:t>
      </w:r>
      <w:r>
        <w:rPr>
          <w:spacing w:val="-1"/>
        </w:rPr>
        <w:t> </w:t>
      </w:r>
      <w:r>
        <w:rPr/>
        <w:t>required</w:t>
      </w:r>
      <w:r>
        <w:rPr>
          <w:spacing w:val="-2"/>
        </w:rPr>
        <w:t> </w:t>
      </w:r>
      <w:r>
        <w:rPr/>
        <w:t>by this Item</w:t>
      </w:r>
      <w:r>
        <w:rPr>
          <w:spacing w:val="-1"/>
        </w:rPr>
        <w:t> </w:t>
      </w:r>
      <w:r>
        <w:rPr/>
        <w:t>14 of Form</w:t>
      </w:r>
      <w:r>
        <w:rPr>
          <w:spacing w:val="-2"/>
        </w:rPr>
        <w:t> </w:t>
      </w:r>
      <w:r>
        <w:rPr/>
        <w:t>10-K is</w:t>
      </w:r>
      <w:r>
        <w:rPr>
          <w:spacing w:val="-1"/>
        </w:rPr>
        <w:t> </w:t>
      </w:r>
      <w:r>
        <w:rPr/>
        <w:t>incorporated</w:t>
      </w:r>
      <w:r>
        <w:rPr>
          <w:spacing w:val="-1"/>
        </w:rPr>
        <w:t> </w:t>
      </w:r>
      <w:r>
        <w:rPr/>
        <w:t>herein by</w:t>
      </w:r>
      <w:r>
        <w:rPr>
          <w:spacing w:val="-1"/>
        </w:rPr>
        <w:t> </w:t>
      </w:r>
      <w:r>
        <w:rPr/>
        <w:t>reference</w:t>
      </w:r>
      <w:r>
        <w:rPr>
          <w:spacing w:val="-1"/>
        </w:rPr>
        <w:t> </w:t>
      </w:r>
      <w:r>
        <w:rPr/>
        <w:t>to our</w:t>
      </w:r>
      <w:r>
        <w:rPr>
          <w:spacing w:val="-1"/>
        </w:rPr>
        <w:t> </w:t>
      </w:r>
      <w:r>
        <w:rPr/>
        <w:t>2018 Proxy</w:t>
      </w:r>
      <w:r>
        <w:rPr>
          <w:spacing w:val="-1"/>
        </w:rPr>
        <w:t> </w:t>
      </w:r>
      <w:r>
        <w:rPr>
          <w:spacing w:val="-2"/>
        </w:rPr>
        <w:t>Statement.</w:t>
      </w:r>
    </w:p>
    <w:p>
      <w:pPr>
        <w:pStyle w:val="Heading1"/>
        <w:spacing w:before="190"/>
      </w:pPr>
      <w:bookmarkStart w:name="Part IV. " w:id="113"/>
      <w:bookmarkEnd w:id="113"/>
      <w:r>
        <w:rPr>
          <w:b w:val="0"/>
        </w:rPr>
      </w:r>
      <w:r>
        <w:rPr>
          <w:spacing w:val="-7"/>
        </w:rPr>
        <w:t>PART</w:t>
      </w:r>
      <w:r>
        <w:rPr>
          <w:spacing w:val="-2"/>
        </w:rPr>
        <w:t> </w:t>
      </w:r>
      <w:r>
        <w:rPr>
          <w:spacing w:val="-5"/>
        </w:rPr>
        <w:t>IV</w:t>
      </w:r>
    </w:p>
    <w:p>
      <w:pPr>
        <w:spacing w:before="190"/>
        <w:ind w:left="220" w:right="0" w:firstLine="0"/>
        <w:jc w:val="left"/>
        <w:rPr>
          <w:b/>
          <w:sz w:val="20"/>
        </w:rPr>
      </w:pPr>
      <w:bookmarkStart w:name="Item 15. Exhibits, Financial Statement S" w:id="114"/>
      <w:bookmarkEnd w:id="114"/>
      <w:r>
        <w:rPr/>
      </w:r>
      <w:bookmarkStart w:name="_bookmark42" w:id="115"/>
      <w:bookmarkEnd w:id="115"/>
      <w:r>
        <w:rPr/>
      </w:r>
      <w:r>
        <w:rPr>
          <w:b/>
          <w:sz w:val="20"/>
        </w:rPr>
        <w:t>ITEM</w:t>
      </w:r>
      <w:r>
        <w:rPr>
          <w:b/>
          <w:spacing w:val="-11"/>
          <w:sz w:val="20"/>
        </w:rPr>
        <w:t> </w:t>
      </w:r>
      <w:r>
        <w:rPr>
          <w:b/>
          <w:sz w:val="20"/>
        </w:rPr>
        <w:t>15.</w:t>
      </w:r>
      <w:r>
        <w:rPr>
          <w:b/>
          <w:spacing w:val="-7"/>
          <w:sz w:val="20"/>
        </w:rPr>
        <w:t> </w:t>
      </w:r>
      <w:r>
        <w:rPr>
          <w:b/>
          <w:sz w:val="20"/>
        </w:rPr>
        <w:t>EXHIBITS,</w:t>
      </w:r>
      <w:r>
        <w:rPr>
          <w:b/>
          <w:spacing w:val="-6"/>
          <w:sz w:val="20"/>
        </w:rPr>
        <w:t> </w:t>
      </w:r>
      <w:r>
        <w:rPr>
          <w:b/>
          <w:sz w:val="20"/>
        </w:rPr>
        <w:t>FINANCIAL</w:t>
      </w:r>
      <w:r>
        <w:rPr>
          <w:b/>
          <w:spacing w:val="-13"/>
          <w:sz w:val="20"/>
        </w:rPr>
        <w:t> </w:t>
      </w:r>
      <w:r>
        <w:rPr>
          <w:b/>
          <w:sz w:val="20"/>
        </w:rPr>
        <w:t>STATEMENT</w:t>
      </w:r>
      <w:r>
        <w:rPr>
          <w:b/>
          <w:spacing w:val="-9"/>
          <w:sz w:val="20"/>
        </w:rPr>
        <w:t> </w:t>
      </w:r>
      <w:r>
        <w:rPr>
          <w:b/>
          <w:spacing w:val="-2"/>
          <w:sz w:val="20"/>
        </w:rPr>
        <w:t>SCHEDULES</w:t>
      </w:r>
    </w:p>
    <w:p>
      <w:pPr>
        <w:pStyle w:val="BodyText"/>
        <w:tabs>
          <w:tab w:pos="1119" w:val="left" w:leader="none"/>
        </w:tabs>
        <w:spacing w:before="190"/>
        <w:ind w:left="760"/>
      </w:pPr>
      <w:r>
        <w:rPr>
          <w:spacing w:val="-5"/>
        </w:rPr>
        <w:t>1.</w:t>
      </w:r>
      <w:r>
        <w:rPr/>
        <w:tab/>
        <w:t>Financial</w:t>
      </w:r>
      <w:r>
        <w:rPr>
          <w:spacing w:val="-1"/>
        </w:rPr>
        <w:t> </w:t>
      </w:r>
      <w:r>
        <w:rPr/>
        <w:t>Statements.</w:t>
      </w:r>
      <w:r>
        <w:rPr>
          <w:spacing w:val="-2"/>
        </w:rPr>
        <w:t> </w:t>
      </w:r>
      <w:hyperlink w:history="true" w:anchor="_bookmark15">
        <w:r>
          <w:rPr/>
          <w:t>See</w:t>
        </w:r>
        <w:r>
          <w:rPr>
            <w:spacing w:val="-1"/>
          </w:rPr>
          <w:t> </w:t>
        </w:r>
        <w:r>
          <w:rPr/>
          <w:t>Index to</w:t>
        </w:r>
        <w:r>
          <w:rPr>
            <w:spacing w:val="-1"/>
          </w:rPr>
          <w:t> </w:t>
        </w:r>
        <w:r>
          <w:rPr/>
          <w:t>Consolidated</w:t>
        </w:r>
        <w:r>
          <w:rPr>
            <w:spacing w:val="-1"/>
          </w:rPr>
          <w:t> </w:t>
        </w:r>
        <w:r>
          <w:rPr/>
          <w:t>Financial</w:t>
        </w:r>
        <w:r>
          <w:rPr>
            <w:spacing w:val="-1"/>
          </w:rPr>
          <w:t> </w:t>
        </w:r>
        <w:r>
          <w:rPr/>
          <w:t>Statements</w:t>
        </w:r>
        <w:r>
          <w:rPr>
            <w:spacing w:val="-1"/>
          </w:rPr>
          <w:t> </w:t>
        </w:r>
        <w:r>
          <w:rPr/>
          <w:t>in</w:t>
        </w:r>
        <w:r>
          <w:rPr>
            <w:spacing w:val="-1"/>
          </w:rPr>
          <w:t> </w:t>
        </w:r>
        <w:r>
          <w:rPr/>
          <w:t>Part</w:t>
        </w:r>
        <w:r>
          <w:rPr>
            <w:spacing w:val="-1"/>
          </w:rPr>
          <w:t> </w:t>
        </w:r>
        <w:r>
          <w:rPr/>
          <w:t>II,</w:t>
        </w:r>
        <w:r>
          <w:rPr>
            <w:spacing w:val="-1"/>
          </w:rPr>
          <w:t> </w:t>
        </w:r>
        <w:r>
          <w:rPr/>
          <w:t>Item</w:t>
        </w:r>
        <w:r>
          <w:rPr>
            <w:spacing w:val="-1"/>
          </w:rPr>
          <w:t> </w:t>
        </w:r>
        <w:r>
          <w:rPr/>
          <w:t>8</w:t>
        </w:r>
      </w:hyperlink>
      <w:r>
        <w:rPr>
          <w:spacing w:val="-1"/>
        </w:rPr>
        <w:t> </w:t>
      </w:r>
      <w:r>
        <w:rPr/>
        <w:t>of</w:t>
      </w:r>
      <w:r>
        <w:rPr>
          <w:spacing w:val="-1"/>
        </w:rPr>
        <w:t> </w:t>
      </w:r>
      <w:r>
        <w:rPr/>
        <w:t>this</w:t>
      </w:r>
      <w:r>
        <w:rPr>
          <w:spacing w:val="-2"/>
        </w:rPr>
        <w:t> </w:t>
      </w:r>
      <w:r>
        <w:rPr/>
        <w:t>Form 10-</w:t>
      </w:r>
      <w:r>
        <w:rPr>
          <w:spacing w:val="-5"/>
        </w:rPr>
        <w:t>K.</w:t>
      </w:r>
    </w:p>
    <w:p>
      <w:pPr>
        <w:pStyle w:val="BodyText"/>
        <w:rPr>
          <w:sz w:val="16"/>
        </w:rPr>
      </w:pPr>
    </w:p>
    <w:p>
      <w:pPr>
        <w:pStyle w:val="BodyText"/>
        <w:spacing w:before="25"/>
        <w:rPr>
          <w:sz w:val="16"/>
        </w:rPr>
      </w:pPr>
    </w:p>
    <w:p>
      <w:pPr>
        <w:spacing w:before="0" w:after="50"/>
        <w:ind w:left="6201" w:right="0" w:firstLine="0"/>
        <w:jc w:val="left"/>
        <w:rPr>
          <w:b/>
          <w:sz w:val="16"/>
        </w:rPr>
      </w:pPr>
      <w:bookmarkStart w:name="Index to Exhibits" w:id="116"/>
      <w:bookmarkEnd w:id="116"/>
      <w:r>
        <w:rPr/>
      </w:r>
      <w:r>
        <w:rPr>
          <w:b/>
          <w:sz w:val="16"/>
        </w:rPr>
        <w:t>Incorporated</w:t>
      </w:r>
      <w:r>
        <w:rPr>
          <w:b/>
          <w:spacing w:val="-7"/>
          <w:sz w:val="16"/>
        </w:rPr>
        <w:t> </w:t>
      </w:r>
      <w:r>
        <w:rPr>
          <w:b/>
          <w:sz w:val="16"/>
        </w:rPr>
        <w:t>by</w:t>
      </w:r>
      <w:r>
        <w:rPr>
          <w:b/>
          <w:spacing w:val="-5"/>
          <w:sz w:val="16"/>
        </w:rPr>
        <w:t> </w:t>
      </w:r>
      <w:r>
        <w:rPr>
          <w:b/>
          <w:spacing w:val="-2"/>
          <w:sz w:val="16"/>
        </w:rPr>
        <w:t>Reference**</w:t>
      </w:r>
    </w:p>
    <w:tbl>
      <w:tblPr>
        <w:tblW w:w="0" w:type="auto"/>
        <w:jc w:val="lef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gridCol w:w="4830"/>
        <w:gridCol w:w="642"/>
        <w:gridCol w:w="1077"/>
        <w:gridCol w:w="759"/>
        <w:gridCol w:w="1210"/>
        <w:gridCol w:w="809"/>
      </w:tblGrid>
      <w:tr>
        <w:trPr>
          <w:trHeight w:val="380" w:hRule="atLeast"/>
        </w:trPr>
        <w:tc>
          <w:tcPr>
            <w:tcW w:w="863" w:type="dxa"/>
            <w:tcBorders>
              <w:bottom w:val="single" w:sz="8" w:space="0" w:color="000000"/>
            </w:tcBorders>
          </w:tcPr>
          <w:p>
            <w:pPr>
              <w:pStyle w:val="TableParagraph"/>
              <w:spacing w:line="208" w:lineRule="auto" w:before="18"/>
              <w:ind w:left="100" w:right="186" w:firstLine="29"/>
              <w:rPr>
                <w:b/>
                <w:sz w:val="16"/>
              </w:rPr>
            </w:pPr>
            <w:r>
              <w:rPr>
                <w:b/>
                <w:spacing w:val="-2"/>
                <w:sz w:val="16"/>
              </w:rPr>
              <w:t>Exhibit</w:t>
            </w:r>
            <w:r>
              <w:rPr>
                <w:b/>
                <w:spacing w:val="40"/>
                <w:sz w:val="16"/>
              </w:rPr>
              <w:t> </w:t>
            </w:r>
            <w:r>
              <w:rPr>
                <w:b/>
                <w:spacing w:val="-2"/>
                <w:sz w:val="16"/>
              </w:rPr>
              <w:t>Number</w:t>
            </w:r>
          </w:p>
        </w:tc>
        <w:tc>
          <w:tcPr>
            <w:tcW w:w="4830" w:type="dxa"/>
            <w:tcBorders>
              <w:bottom w:val="single" w:sz="8" w:space="0" w:color="000000"/>
            </w:tcBorders>
          </w:tcPr>
          <w:p>
            <w:pPr>
              <w:pStyle w:val="TableParagraph"/>
              <w:spacing w:before="156"/>
              <w:ind w:right="48"/>
              <w:jc w:val="center"/>
              <w:rPr>
                <w:b/>
                <w:sz w:val="16"/>
              </w:rPr>
            </w:pPr>
            <w:r>
              <w:rPr>
                <w:b/>
                <w:sz w:val="16"/>
              </w:rPr>
              <w:t>Exhibit </w:t>
            </w:r>
            <w:r>
              <w:rPr>
                <w:b/>
                <w:spacing w:val="-2"/>
                <w:sz w:val="16"/>
              </w:rPr>
              <w:t>Description</w:t>
            </w:r>
          </w:p>
        </w:tc>
        <w:tc>
          <w:tcPr>
            <w:tcW w:w="642" w:type="dxa"/>
            <w:tcBorders>
              <w:top w:val="single" w:sz="8" w:space="0" w:color="000000"/>
              <w:bottom w:val="single" w:sz="8" w:space="0" w:color="000000"/>
            </w:tcBorders>
          </w:tcPr>
          <w:p>
            <w:pPr>
              <w:pStyle w:val="TableParagraph"/>
              <w:spacing w:before="156"/>
              <w:ind w:right="61"/>
              <w:jc w:val="center"/>
              <w:rPr>
                <w:b/>
                <w:sz w:val="16"/>
              </w:rPr>
            </w:pPr>
            <w:r>
              <w:rPr>
                <w:b/>
                <w:spacing w:val="-4"/>
                <w:sz w:val="16"/>
              </w:rPr>
              <w:t>Form</w:t>
            </w:r>
          </w:p>
        </w:tc>
        <w:tc>
          <w:tcPr>
            <w:tcW w:w="1077" w:type="dxa"/>
            <w:tcBorders>
              <w:top w:val="single" w:sz="8" w:space="0" w:color="000000"/>
              <w:bottom w:val="single" w:sz="8" w:space="0" w:color="000000"/>
            </w:tcBorders>
          </w:tcPr>
          <w:p>
            <w:pPr>
              <w:pStyle w:val="TableParagraph"/>
              <w:spacing w:before="156"/>
              <w:ind w:right="166"/>
              <w:jc w:val="right"/>
              <w:rPr>
                <w:b/>
                <w:sz w:val="16"/>
              </w:rPr>
            </w:pPr>
            <w:r>
              <w:rPr>
                <w:b/>
                <w:sz w:val="16"/>
              </w:rPr>
              <w:t>Filing </w:t>
            </w:r>
            <w:r>
              <w:rPr>
                <w:b/>
                <w:spacing w:val="-4"/>
                <w:sz w:val="16"/>
              </w:rPr>
              <w:t>Date</w:t>
            </w:r>
          </w:p>
        </w:tc>
        <w:tc>
          <w:tcPr>
            <w:tcW w:w="759" w:type="dxa"/>
            <w:tcBorders>
              <w:top w:val="single" w:sz="8" w:space="0" w:color="000000"/>
              <w:bottom w:val="single" w:sz="8" w:space="0" w:color="000000"/>
            </w:tcBorders>
          </w:tcPr>
          <w:p>
            <w:pPr>
              <w:pStyle w:val="TableParagraph"/>
              <w:spacing w:line="208" w:lineRule="auto" w:before="18"/>
              <w:ind w:left="107" w:right="75" w:firstLine="29"/>
              <w:rPr>
                <w:b/>
                <w:sz w:val="16"/>
              </w:rPr>
            </w:pPr>
            <w:r>
              <w:rPr>
                <w:b/>
                <w:spacing w:val="-2"/>
                <w:sz w:val="16"/>
              </w:rPr>
              <w:t>Exhibit</w:t>
            </w:r>
            <w:r>
              <w:rPr>
                <w:b/>
                <w:spacing w:val="40"/>
                <w:sz w:val="16"/>
              </w:rPr>
              <w:t> </w:t>
            </w:r>
            <w:r>
              <w:rPr>
                <w:b/>
                <w:spacing w:val="-2"/>
                <w:sz w:val="16"/>
              </w:rPr>
              <w:t>Number</w:t>
            </w:r>
          </w:p>
        </w:tc>
        <w:tc>
          <w:tcPr>
            <w:tcW w:w="1210" w:type="dxa"/>
            <w:tcBorders>
              <w:bottom w:val="single" w:sz="8" w:space="0" w:color="000000"/>
            </w:tcBorders>
          </w:tcPr>
          <w:p>
            <w:pPr>
              <w:pStyle w:val="TableParagraph"/>
              <w:spacing w:before="156"/>
              <w:ind w:left="32"/>
              <w:jc w:val="center"/>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09" w:type="dxa"/>
            <w:tcBorders>
              <w:bottom w:val="single" w:sz="8" w:space="0" w:color="000000"/>
            </w:tcBorders>
          </w:tcPr>
          <w:p>
            <w:pPr>
              <w:pStyle w:val="TableParagraph"/>
              <w:spacing w:line="208" w:lineRule="auto" w:before="18"/>
              <w:ind w:left="102" w:right="63" w:firstLine="145"/>
              <w:rPr>
                <w:b/>
                <w:sz w:val="16"/>
              </w:rPr>
            </w:pPr>
            <w:r>
              <w:rPr>
                <w:b/>
                <w:spacing w:val="-2"/>
                <w:sz w:val="16"/>
              </w:rPr>
              <w:t>Filed</w:t>
            </w:r>
            <w:r>
              <w:rPr>
                <w:b/>
                <w:spacing w:val="40"/>
                <w:sz w:val="16"/>
              </w:rPr>
              <w:t> </w:t>
            </w:r>
            <w:r>
              <w:rPr>
                <w:b/>
                <w:spacing w:val="-2"/>
                <w:sz w:val="16"/>
              </w:rPr>
              <w:t>Herewith</w:t>
            </w:r>
          </w:p>
        </w:tc>
      </w:tr>
      <w:tr>
        <w:trPr>
          <w:trHeight w:val="841" w:hRule="atLeast"/>
        </w:trPr>
        <w:tc>
          <w:tcPr>
            <w:tcW w:w="863" w:type="dxa"/>
            <w:tcBorders>
              <w:top w:val="single" w:sz="8" w:space="0" w:color="000000"/>
            </w:tcBorders>
          </w:tcPr>
          <w:p>
            <w:pPr>
              <w:pStyle w:val="TableParagraph"/>
              <w:spacing w:before="21"/>
              <w:rPr>
                <w:b/>
                <w:sz w:val="20"/>
              </w:rPr>
            </w:pPr>
          </w:p>
          <w:p>
            <w:pPr>
              <w:pStyle w:val="TableParagraph"/>
              <w:spacing w:before="1"/>
              <w:ind w:right="99"/>
              <w:jc w:val="right"/>
              <w:rPr>
                <w:sz w:val="20"/>
              </w:rPr>
            </w:pPr>
            <w:r>
              <w:rPr>
                <w:spacing w:val="-5"/>
                <w:sz w:val="20"/>
              </w:rPr>
              <w:t>3.1</w:t>
            </w:r>
          </w:p>
        </w:tc>
        <w:tc>
          <w:tcPr>
            <w:tcW w:w="4830" w:type="dxa"/>
            <w:tcBorders>
              <w:top w:val="single" w:sz="8" w:space="0" w:color="000000"/>
            </w:tcBorders>
          </w:tcPr>
          <w:p>
            <w:pPr>
              <w:pStyle w:val="TableParagraph"/>
              <w:spacing w:before="46"/>
              <w:rPr>
                <w:b/>
                <w:sz w:val="20"/>
              </w:rPr>
            </w:pPr>
          </w:p>
          <w:p>
            <w:pPr>
              <w:pStyle w:val="TableParagraph"/>
              <w:spacing w:line="208" w:lineRule="auto"/>
              <w:ind w:left="100"/>
              <w:rPr>
                <w:sz w:val="20"/>
              </w:rPr>
            </w:pPr>
            <w:r>
              <w:rPr>
                <w:sz w:val="20"/>
              </w:rPr>
              <w:t>Restated</w:t>
            </w:r>
            <w:r>
              <w:rPr>
                <w:spacing w:val="-11"/>
                <w:sz w:val="20"/>
              </w:rPr>
              <w:t> </w:t>
            </w:r>
            <w:r>
              <w:rPr>
                <w:sz w:val="20"/>
              </w:rPr>
              <w:t>Certificate</w:t>
            </w:r>
            <w:r>
              <w:rPr>
                <w:spacing w:val="-7"/>
                <w:sz w:val="20"/>
              </w:rPr>
              <w:t> </w:t>
            </w:r>
            <w:r>
              <w:rPr>
                <w:sz w:val="20"/>
              </w:rPr>
              <w:t>of</w:t>
            </w:r>
            <w:r>
              <w:rPr>
                <w:spacing w:val="-7"/>
                <w:sz w:val="20"/>
              </w:rPr>
              <w:t> </w:t>
            </w:r>
            <w:r>
              <w:rPr>
                <w:sz w:val="20"/>
              </w:rPr>
              <w:t>Incorporation</w:t>
            </w:r>
            <w:r>
              <w:rPr>
                <w:spacing w:val="-7"/>
                <w:sz w:val="20"/>
              </w:rPr>
              <w:t> </w:t>
            </w:r>
            <w:r>
              <w:rPr>
                <w:sz w:val="20"/>
              </w:rPr>
              <w:t>of</w:t>
            </w:r>
            <w:r>
              <w:rPr>
                <w:spacing w:val="-13"/>
                <w:sz w:val="20"/>
              </w:rPr>
              <w:t> </w:t>
            </w:r>
            <w:r>
              <w:rPr>
                <w:sz w:val="20"/>
              </w:rPr>
              <w:t>Adobe</w:t>
            </w:r>
            <w:r>
              <w:rPr>
                <w:spacing w:val="-6"/>
                <w:sz w:val="20"/>
              </w:rPr>
              <w:t> </w:t>
            </w:r>
            <w:r>
              <w:rPr>
                <w:sz w:val="20"/>
              </w:rPr>
              <w:t>Systems </w:t>
            </w:r>
            <w:r>
              <w:rPr>
                <w:spacing w:val="-2"/>
                <w:sz w:val="20"/>
              </w:rPr>
              <w:t>Incorporated</w:t>
            </w:r>
          </w:p>
        </w:tc>
        <w:tc>
          <w:tcPr>
            <w:tcW w:w="642" w:type="dxa"/>
            <w:tcBorders>
              <w:top w:val="single" w:sz="8" w:space="0" w:color="000000"/>
            </w:tcBorders>
          </w:tcPr>
          <w:p>
            <w:pPr>
              <w:pStyle w:val="TableParagraph"/>
              <w:spacing w:before="21"/>
              <w:rPr>
                <w:b/>
                <w:sz w:val="20"/>
              </w:rPr>
            </w:pPr>
          </w:p>
          <w:p>
            <w:pPr>
              <w:pStyle w:val="TableParagraph"/>
              <w:spacing w:before="1"/>
              <w:ind w:right="61"/>
              <w:jc w:val="center"/>
              <w:rPr>
                <w:sz w:val="20"/>
              </w:rPr>
            </w:pPr>
            <w:r>
              <w:rPr>
                <w:spacing w:val="-2"/>
                <w:sz w:val="20"/>
              </w:rPr>
              <w:t>8-</w:t>
            </w:r>
            <w:r>
              <w:rPr>
                <w:spacing w:val="-10"/>
                <w:sz w:val="20"/>
              </w:rPr>
              <w:t>K</w:t>
            </w:r>
          </w:p>
        </w:tc>
        <w:tc>
          <w:tcPr>
            <w:tcW w:w="1077" w:type="dxa"/>
            <w:tcBorders>
              <w:top w:val="single" w:sz="8" w:space="0" w:color="000000"/>
            </w:tcBorders>
          </w:tcPr>
          <w:p>
            <w:pPr>
              <w:pStyle w:val="TableParagraph"/>
              <w:spacing w:before="21"/>
              <w:rPr>
                <w:b/>
                <w:sz w:val="20"/>
              </w:rPr>
            </w:pPr>
          </w:p>
          <w:p>
            <w:pPr>
              <w:pStyle w:val="TableParagraph"/>
              <w:spacing w:before="1"/>
              <w:ind w:right="103"/>
              <w:jc w:val="right"/>
              <w:rPr>
                <w:sz w:val="20"/>
              </w:rPr>
            </w:pPr>
            <w:r>
              <w:rPr>
                <w:spacing w:val="-2"/>
                <w:sz w:val="20"/>
              </w:rPr>
              <w:t>4/26/11</w:t>
            </w:r>
          </w:p>
        </w:tc>
        <w:tc>
          <w:tcPr>
            <w:tcW w:w="759" w:type="dxa"/>
            <w:tcBorders>
              <w:top w:val="single" w:sz="8" w:space="0" w:color="000000"/>
            </w:tcBorders>
          </w:tcPr>
          <w:p>
            <w:pPr>
              <w:pStyle w:val="TableParagraph"/>
              <w:spacing w:before="21"/>
              <w:rPr>
                <w:b/>
                <w:sz w:val="20"/>
              </w:rPr>
            </w:pPr>
          </w:p>
          <w:p>
            <w:pPr>
              <w:pStyle w:val="TableParagraph"/>
              <w:spacing w:before="1"/>
              <w:ind w:right="74"/>
              <w:jc w:val="right"/>
              <w:rPr>
                <w:sz w:val="20"/>
              </w:rPr>
            </w:pPr>
            <w:r>
              <w:rPr>
                <w:spacing w:val="-5"/>
                <w:sz w:val="20"/>
              </w:rPr>
              <w:t>3.3</w:t>
            </w:r>
          </w:p>
        </w:tc>
        <w:tc>
          <w:tcPr>
            <w:tcW w:w="1210" w:type="dxa"/>
            <w:tcBorders>
              <w:top w:val="single" w:sz="8" w:space="0" w:color="000000"/>
            </w:tcBorders>
          </w:tcPr>
          <w:p>
            <w:pPr>
              <w:pStyle w:val="TableParagraph"/>
              <w:spacing w:before="21"/>
              <w:rPr>
                <w:b/>
                <w:sz w:val="20"/>
              </w:rPr>
            </w:pPr>
          </w:p>
          <w:p>
            <w:pPr>
              <w:pStyle w:val="TableParagraph"/>
              <w:spacing w:before="1"/>
              <w:ind w:left="146"/>
              <w:jc w:val="center"/>
              <w:rPr>
                <w:sz w:val="20"/>
              </w:rPr>
            </w:pPr>
            <w:r>
              <w:rPr>
                <w:sz w:val="20"/>
              </w:rPr>
              <w:t>000-</w:t>
            </w:r>
            <w:r>
              <w:rPr>
                <w:spacing w:val="-2"/>
                <w:sz w:val="20"/>
              </w:rPr>
              <w:t>15175</w:t>
            </w:r>
          </w:p>
        </w:tc>
        <w:tc>
          <w:tcPr>
            <w:tcW w:w="809" w:type="dxa"/>
            <w:tcBorders>
              <w:top w:val="single" w:sz="8" w:space="0" w:color="000000"/>
            </w:tcBorders>
          </w:tcPr>
          <w:p>
            <w:pPr>
              <w:pStyle w:val="TableParagraph"/>
              <w:rPr>
                <w:sz w:val="18"/>
              </w:rPr>
            </w:pPr>
          </w:p>
        </w:tc>
      </w:tr>
      <w:tr>
        <w:trPr>
          <w:trHeight w:val="540" w:hRule="atLeast"/>
        </w:trPr>
        <w:tc>
          <w:tcPr>
            <w:tcW w:w="863" w:type="dxa"/>
          </w:tcPr>
          <w:p>
            <w:pPr>
              <w:pStyle w:val="TableParagraph"/>
              <w:spacing w:before="150"/>
              <w:ind w:right="99"/>
              <w:jc w:val="right"/>
              <w:rPr>
                <w:sz w:val="20"/>
              </w:rPr>
            </w:pPr>
            <w:r>
              <w:rPr>
                <w:spacing w:val="-5"/>
                <w:sz w:val="20"/>
              </w:rPr>
              <w:t>3.2</w:t>
            </w:r>
          </w:p>
        </w:tc>
        <w:tc>
          <w:tcPr>
            <w:tcW w:w="4830" w:type="dxa"/>
          </w:tcPr>
          <w:p>
            <w:pPr>
              <w:pStyle w:val="TableParagraph"/>
              <w:spacing w:before="150"/>
              <w:ind w:left="100"/>
              <w:rPr>
                <w:sz w:val="20"/>
              </w:rPr>
            </w:pPr>
            <w:r>
              <w:rPr>
                <w:sz w:val="20"/>
              </w:rPr>
              <w:t>Amended and Restated </w:t>
            </w:r>
            <w:r>
              <w:rPr>
                <w:spacing w:val="-2"/>
                <w:sz w:val="20"/>
              </w:rPr>
              <w:t>Bylaws</w:t>
            </w:r>
          </w:p>
        </w:tc>
        <w:tc>
          <w:tcPr>
            <w:tcW w:w="642" w:type="dxa"/>
          </w:tcPr>
          <w:p>
            <w:pPr>
              <w:pStyle w:val="TableParagraph"/>
              <w:spacing w:before="150"/>
              <w:ind w:right="61"/>
              <w:jc w:val="center"/>
              <w:rPr>
                <w:sz w:val="20"/>
              </w:rPr>
            </w:pPr>
            <w:r>
              <w:rPr>
                <w:spacing w:val="-2"/>
                <w:sz w:val="20"/>
              </w:rPr>
              <w:t>8-</w:t>
            </w:r>
            <w:r>
              <w:rPr>
                <w:spacing w:val="-10"/>
                <w:sz w:val="20"/>
              </w:rPr>
              <w:t>K</w:t>
            </w:r>
          </w:p>
        </w:tc>
        <w:tc>
          <w:tcPr>
            <w:tcW w:w="1077" w:type="dxa"/>
          </w:tcPr>
          <w:p>
            <w:pPr>
              <w:pStyle w:val="TableParagraph"/>
              <w:spacing w:before="150"/>
              <w:ind w:right="107"/>
              <w:jc w:val="right"/>
              <w:rPr>
                <w:sz w:val="20"/>
              </w:rPr>
            </w:pPr>
            <w:r>
              <w:rPr>
                <w:spacing w:val="-2"/>
                <w:sz w:val="20"/>
              </w:rPr>
              <w:t>9/2/16</w:t>
            </w:r>
          </w:p>
        </w:tc>
        <w:tc>
          <w:tcPr>
            <w:tcW w:w="759" w:type="dxa"/>
          </w:tcPr>
          <w:p>
            <w:pPr>
              <w:pStyle w:val="TableParagraph"/>
              <w:spacing w:before="150"/>
              <w:ind w:right="74"/>
              <w:jc w:val="right"/>
              <w:rPr>
                <w:sz w:val="20"/>
              </w:rPr>
            </w:pPr>
            <w:r>
              <w:rPr>
                <w:spacing w:val="-5"/>
                <w:sz w:val="20"/>
              </w:rPr>
              <w:t>3.2</w:t>
            </w:r>
          </w:p>
        </w:tc>
        <w:tc>
          <w:tcPr>
            <w:tcW w:w="1210" w:type="dxa"/>
          </w:tcPr>
          <w:p>
            <w:pPr>
              <w:pStyle w:val="TableParagraph"/>
              <w:spacing w:before="150"/>
              <w:ind w:left="146"/>
              <w:jc w:val="center"/>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3" w:type="dxa"/>
          </w:tcPr>
          <w:p>
            <w:pPr>
              <w:pStyle w:val="TableParagraph"/>
              <w:spacing w:before="150"/>
              <w:ind w:right="99"/>
              <w:jc w:val="right"/>
              <w:rPr>
                <w:sz w:val="20"/>
              </w:rPr>
            </w:pPr>
            <w:r>
              <w:rPr>
                <w:spacing w:val="-5"/>
                <w:sz w:val="20"/>
              </w:rPr>
              <w:t>4.1</w:t>
            </w:r>
          </w:p>
        </w:tc>
        <w:tc>
          <w:tcPr>
            <w:tcW w:w="4830" w:type="dxa"/>
          </w:tcPr>
          <w:p>
            <w:pPr>
              <w:pStyle w:val="TableParagraph"/>
              <w:spacing w:before="150"/>
              <w:ind w:left="100"/>
              <w:rPr>
                <w:sz w:val="20"/>
              </w:rPr>
            </w:pPr>
            <w:r>
              <w:rPr>
                <w:sz w:val="20"/>
              </w:rPr>
              <w:t>Specimen Common Stock </w:t>
            </w:r>
            <w:r>
              <w:rPr>
                <w:spacing w:val="-2"/>
                <w:sz w:val="20"/>
              </w:rPr>
              <w:t>Certificate</w:t>
            </w:r>
          </w:p>
        </w:tc>
        <w:tc>
          <w:tcPr>
            <w:tcW w:w="642" w:type="dxa"/>
          </w:tcPr>
          <w:p>
            <w:pPr>
              <w:pStyle w:val="TableParagraph"/>
              <w:spacing w:before="150"/>
              <w:ind w:right="61"/>
              <w:jc w:val="center"/>
              <w:rPr>
                <w:sz w:val="20"/>
              </w:rPr>
            </w:pPr>
            <w:r>
              <w:rPr>
                <w:spacing w:val="-2"/>
                <w:sz w:val="20"/>
              </w:rPr>
              <w:t>10-</w:t>
            </w:r>
            <w:r>
              <w:rPr>
                <w:spacing w:val="-10"/>
                <w:sz w:val="20"/>
              </w:rPr>
              <w:t>Q</w:t>
            </w:r>
          </w:p>
        </w:tc>
        <w:tc>
          <w:tcPr>
            <w:tcW w:w="1077" w:type="dxa"/>
          </w:tcPr>
          <w:p>
            <w:pPr>
              <w:pStyle w:val="TableParagraph"/>
              <w:spacing w:before="150"/>
              <w:ind w:right="107"/>
              <w:jc w:val="right"/>
              <w:rPr>
                <w:sz w:val="20"/>
              </w:rPr>
            </w:pPr>
            <w:r>
              <w:rPr>
                <w:spacing w:val="-2"/>
                <w:sz w:val="20"/>
              </w:rPr>
              <w:t>6/25/14</w:t>
            </w:r>
          </w:p>
        </w:tc>
        <w:tc>
          <w:tcPr>
            <w:tcW w:w="759" w:type="dxa"/>
          </w:tcPr>
          <w:p>
            <w:pPr>
              <w:pStyle w:val="TableParagraph"/>
              <w:spacing w:before="150"/>
              <w:ind w:right="74"/>
              <w:jc w:val="right"/>
              <w:rPr>
                <w:sz w:val="20"/>
              </w:rPr>
            </w:pPr>
            <w:r>
              <w:rPr>
                <w:spacing w:val="-5"/>
                <w:sz w:val="20"/>
              </w:rPr>
              <w:t>4.1</w:t>
            </w:r>
          </w:p>
        </w:tc>
        <w:tc>
          <w:tcPr>
            <w:tcW w:w="1210" w:type="dxa"/>
          </w:tcPr>
          <w:p>
            <w:pPr>
              <w:pStyle w:val="TableParagraph"/>
              <w:spacing w:before="150"/>
              <w:ind w:left="146"/>
              <w:jc w:val="center"/>
              <w:rPr>
                <w:sz w:val="20"/>
              </w:rPr>
            </w:pPr>
            <w:r>
              <w:rPr>
                <w:sz w:val="20"/>
              </w:rPr>
              <w:t>000-</w:t>
            </w:r>
            <w:r>
              <w:rPr>
                <w:spacing w:val="-2"/>
                <w:sz w:val="20"/>
              </w:rPr>
              <w:t>15175</w:t>
            </w:r>
          </w:p>
        </w:tc>
        <w:tc>
          <w:tcPr>
            <w:tcW w:w="809" w:type="dxa"/>
          </w:tcPr>
          <w:p>
            <w:pPr>
              <w:pStyle w:val="TableParagraph"/>
              <w:rPr>
                <w:sz w:val="18"/>
              </w:rPr>
            </w:pPr>
          </w:p>
        </w:tc>
      </w:tr>
      <w:tr>
        <w:trPr>
          <w:trHeight w:val="960" w:hRule="atLeast"/>
        </w:trPr>
        <w:tc>
          <w:tcPr>
            <w:tcW w:w="863" w:type="dxa"/>
          </w:tcPr>
          <w:p>
            <w:pPr>
              <w:pStyle w:val="TableParagraph"/>
              <w:spacing w:before="150"/>
              <w:ind w:right="99"/>
              <w:jc w:val="right"/>
              <w:rPr>
                <w:sz w:val="20"/>
              </w:rPr>
            </w:pPr>
            <w:r>
              <w:rPr>
                <w:spacing w:val="-5"/>
                <w:sz w:val="20"/>
              </w:rPr>
              <w:t>4.2</w:t>
            </w:r>
          </w:p>
        </w:tc>
        <w:tc>
          <w:tcPr>
            <w:tcW w:w="4830" w:type="dxa"/>
          </w:tcPr>
          <w:p>
            <w:pPr>
              <w:pStyle w:val="TableParagraph"/>
              <w:spacing w:line="208" w:lineRule="auto" w:before="175"/>
              <w:ind w:left="100" w:right="334"/>
              <w:jc w:val="both"/>
              <w:rPr>
                <w:sz w:val="20"/>
              </w:rPr>
            </w:pPr>
            <w:r>
              <w:rPr>
                <w:sz w:val="20"/>
              </w:rPr>
              <w:t>Form</w:t>
            </w:r>
            <w:r>
              <w:rPr>
                <w:spacing w:val="-4"/>
                <w:sz w:val="20"/>
              </w:rPr>
              <w:t> </w:t>
            </w:r>
            <w:r>
              <w:rPr>
                <w:sz w:val="20"/>
              </w:rPr>
              <w:t>of</w:t>
            </w:r>
            <w:r>
              <w:rPr>
                <w:spacing w:val="-4"/>
                <w:sz w:val="20"/>
              </w:rPr>
              <w:t> </w:t>
            </w:r>
            <w:r>
              <w:rPr>
                <w:sz w:val="20"/>
              </w:rPr>
              <w:t>Indenture</w:t>
            </w:r>
            <w:r>
              <w:rPr>
                <w:spacing w:val="-4"/>
                <w:sz w:val="20"/>
              </w:rPr>
              <w:t> </w:t>
            </w:r>
            <w:r>
              <w:rPr>
                <w:sz w:val="20"/>
              </w:rPr>
              <w:t>dated</w:t>
            </w:r>
            <w:r>
              <w:rPr>
                <w:spacing w:val="-4"/>
                <w:sz w:val="20"/>
              </w:rPr>
              <w:t> </w:t>
            </w:r>
            <w:r>
              <w:rPr>
                <w:sz w:val="20"/>
              </w:rPr>
              <w:t>as</w:t>
            </w:r>
            <w:r>
              <w:rPr>
                <w:spacing w:val="-5"/>
                <w:sz w:val="20"/>
              </w:rPr>
              <w:t> </w:t>
            </w:r>
            <w:r>
              <w:rPr>
                <w:sz w:val="20"/>
              </w:rPr>
              <w:t>of</w:t>
            </w:r>
            <w:r>
              <w:rPr>
                <w:spacing w:val="-4"/>
                <w:sz w:val="20"/>
              </w:rPr>
              <w:t> </w:t>
            </w:r>
            <w:r>
              <w:rPr>
                <w:sz w:val="20"/>
              </w:rPr>
              <w:t>January</w:t>
            </w:r>
            <w:r>
              <w:rPr>
                <w:spacing w:val="-4"/>
                <w:sz w:val="20"/>
              </w:rPr>
              <w:t> </w:t>
            </w:r>
            <w:r>
              <w:rPr>
                <w:sz w:val="20"/>
              </w:rPr>
              <w:t>25,</w:t>
            </w:r>
            <w:r>
              <w:rPr>
                <w:spacing w:val="-4"/>
                <w:sz w:val="20"/>
              </w:rPr>
              <w:t> </w:t>
            </w:r>
            <w:r>
              <w:rPr>
                <w:sz w:val="20"/>
              </w:rPr>
              <w:t>2010</w:t>
            </w:r>
            <w:r>
              <w:rPr>
                <w:spacing w:val="-4"/>
                <w:sz w:val="20"/>
              </w:rPr>
              <w:t> </w:t>
            </w:r>
            <w:r>
              <w:rPr>
                <w:sz w:val="20"/>
              </w:rPr>
              <w:t>by</w:t>
            </w:r>
            <w:r>
              <w:rPr>
                <w:spacing w:val="-4"/>
                <w:sz w:val="20"/>
              </w:rPr>
              <w:t> </w:t>
            </w:r>
            <w:r>
              <w:rPr>
                <w:sz w:val="20"/>
              </w:rPr>
              <w:t>and between</w:t>
            </w:r>
            <w:r>
              <w:rPr>
                <w:spacing w:val="-13"/>
                <w:sz w:val="20"/>
              </w:rPr>
              <w:t> </w:t>
            </w:r>
            <w:r>
              <w:rPr>
                <w:sz w:val="20"/>
              </w:rPr>
              <w:t>Adobe</w:t>
            </w:r>
            <w:r>
              <w:rPr>
                <w:spacing w:val="-11"/>
                <w:sz w:val="20"/>
              </w:rPr>
              <w:t> </w:t>
            </w:r>
            <w:r>
              <w:rPr>
                <w:sz w:val="20"/>
              </w:rPr>
              <w:t>Systems</w:t>
            </w:r>
            <w:r>
              <w:rPr>
                <w:spacing w:val="-7"/>
                <w:sz w:val="20"/>
              </w:rPr>
              <w:t> </w:t>
            </w:r>
            <w:r>
              <w:rPr>
                <w:sz w:val="20"/>
              </w:rPr>
              <w:t>Incorporated</w:t>
            </w:r>
            <w:r>
              <w:rPr>
                <w:spacing w:val="-7"/>
                <w:sz w:val="20"/>
              </w:rPr>
              <w:t> </w:t>
            </w:r>
            <w:r>
              <w:rPr>
                <w:sz w:val="20"/>
              </w:rPr>
              <w:t>and</w:t>
            </w:r>
            <w:r>
              <w:rPr>
                <w:spacing w:val="-10"/>
                <w:sz w:val="20"/>
              </w:rPr>
              <w:t> </w:t>
            </w:r>
            <w:r>
              <w:rPr>
                <w:sz w:val="20"/>
              </w:rPr>
              <w:t>Wells</w:t>
            </w:r>
            <w:r>
              <w:rPr>
                <w:spacing w:val="-8"/>
                <w:sz w:val="20"/>
              </w:rPr>
              <w:t> </w:t>
            </w:r>
            <w:r>
              <w:rPr>
                <w:sz w:val="20"/>
              </w:rPr>
              <w:t>Fargo Bank, National Association, as trustee</w:t>
            </w:r>
          </w:p>
        </w:tc>
        <w:tc>
          <w:tcPr>
            <w:tcW w:w="642" w:type="dxa"/>
          </w:tcPr>
          <w:p>
            <w:pPr>
              <w:pStyle w:val="TableParagraph"/>
              <w:spacing w:before="150"/>
              <w:ind w:left="1" w:right="61"/>
              <w:jc w:val="center"/>
              <w:rPr>
                <w:sz w:val="20"/>
              </w:rPr>
            </w:pPr>
            <w:r>
              <w:rPr>
                <w:sz w:val="20"/>
              </w:rPr>
              <w:t>S-</w:t>
            </w:r>
            <w:r>
              <w:rPr>
                <w:spacing w:val="-10"/>
                <w:sz w:val="20"/>
              </w:rPr>
              <w:t>3</w:t>
            </w:r>
          </w:p>
        </w:tc>
        <w:tc>
          <w:tcPr>
            <w:tcW w:w="1077" w:type="dxa"/>
          </w:tcPr>
          <w:p>
            <w:pPr>
              <w:pStyle w:val="TableParagraph"/>
              <w:spacing w:before="150"/>
              <w:ind w:right="107"/>
              <w:jc w:val="right"/>
              <w:rPr>
                <w:sz w:val="20"/>
              </w:rPr>
            </w:pPr>
            <w:r>
              <w:rPr>
                <w:spacing w:val="-2"/>
                <w:sz w:val="20"/>
              </w:rPr>
              <w:t>2/26/16</w:t>
            </w:r>
          </w:p>
        </w:tc>
        <w:tc>
          <w:tcPr>
            <w:tcW w:w="759" w:type="dxa"/>
          </w:tcPr>
          <w:p>
            <w:pPr>
              <w:pStyle w:val="TableParagraph"/>
              <w:spacing w:before="150"/>
              <w:ind w:right="74"/>
              <w:jc w:val="right"/>
              <w:rPr>
                <w:sz w:val="20"/>
              </w:rPr>
            </w:pPr>
            <w:r>
              <w:rPr>
                <w:spacing w:val="-5"/>
                <w:sz w:val="20"/>
              </w:rPr>
              <w:t>4.1</w:t>
            </w:r>
          </w:p>
        </w:tc>
        <w:tc>
          <w:tcPr>
            <w:tcW w:w="1210" w:type="dxa"/>
          </w:tcPr>
          <w:p>
            <w:pPr>
              <w:pStyle w:val="TableParagraph"/>
              <w:spacing w:before="150"/>
              <w:ind w:left="46"/>
              <w:jc w:val="center"/>
              <w:rPr>
                <w:sz w:val="20"/>
              </w:rPr>
            </w:pPr>
            <w:r>
              <w:rPr>
                <w:sz w:val="20"/>
              </w:rPr>
              <w:t>333-</w:t>
            </w:r>
            <w:r>
              <w:rPr>
                <w:spacing w:val="-2"/>
                <w:sz w:val="20"/>
              </w:rPr>
              <w:t>209764</w:t>
            </w:r>
          </w:p>
        </w:tc>
        <w:tc>
          <w:tcPr>
            <w:tcW w:w="809" w:type="dxa"/>
          </w:tcPr>
          <w:p>
            <w:pPr>
              <w:pStyle w:val="TableParagraph"/>
              <w:rPr>
                <w:sz w:val="18"/>
              </w:rPr>
            </w:pPr>
          </w:p>
        </w:tc>
      </w:tr>
      <w:tr>
        <w:trPr>
          <w:trHeight w:val="800" w:hRule="atLeast"/>
        </w:trPr>
        <w:tc>
          <w:tcPr>
            <w:tcW w:w="863" w:type="dxa"/>
          </w:tcPr>
          <w:p>
            <w:pPr>
              <w:pStyle w:val="TableParagraph"/>
              <w:spacing w:before="170"/>
              <w:ind w:right="99"/>
              <w:jc w:val="right"/>
              <w:rPr>
                <w:sz w:val="20"/>
              </w:rPr>
            </w:pPr>
            <w:r>
              <w:rPr>
                <w:spacing w:val="-5"/>
                <w:sz w:val="20"/>
              </w:rPr>
              <w:t>4.3</w:t>
            </w:r>
          </w:p>
        </w:tc>
        <w:tc>
          <w:tcPr>
            <w:tcW w:w="4830" w:type="dxa"/>
          </w:tcPr>
          <w:p>
            <w:pPr>
              <w:pStyle w:val="TableParagraph"/>
              <w:spacing w:line="200" w:lineRule="exact" w:before="180"/>
              <w:ind w:left="100" w:right="180"/>
              <w:jc w:val="both"/>
              <w:rPr>
                <w:sz w:val="20"/>
              </w:rPr>
            </w:pPr>
            <w:r>
              <w:rPr>
                <w:sz w:val="20"/>
              </w:rPr>
              <w:t>Forms</w:t>
            </w:r>
            <w:r>
              <w:rPr>
                <w:spacing w:val="-10"/>
                <w:sz w:val="20"/>
              </w:rPr>
              <w:t> </w:t>
            </w:r>
            <w:r>
              <w:rPr>
                <w:sz w:val="20"/>
              </w:rPr>
              <w:t>of</w:t>
            </w:r>
            <w:r>
              <w:rPr>
                <w:spacing w:val="-6"/>
                <w:sz w:val="20"/>
              </w:rPr>
              <w:t> </w:t>
            </w:r>
            <w:r>
              <w:rPr>
                <w:sz w:val="20"/>
              </w:rPr>
              <w:t>Global</w:t>
            </w:r>
            <w:r>
              <w:rPr>
                <w:spacing w:val="-6"/>
                <w:sz w:val="20"/>
              </w:rPr>
              <w:t> </w:t>
            </w:r>
            <w:r>
              <w:rPr>
                <w:sz w:val="20"/>
              </w:rPr>
              <w:t>Note</w:t>
            </w:r>
            <w:r>
              <w:rPr>
                <w:spacing w:val="-6"/>
                <w:sz w:val="20"/>
              </w:rPr>
              <w:t> </w:t>
            </w:r>
            <w:r>
              <w:rPr>
                <w:sz w:val="20"/>
              </w:rPr>
              <w:t>for</w:t>
            </w:r>
            <w:r>
              <w:rPr>
                <w:spacing w:val="-13"/>
                <w:sz w:val="20"/>
              </w:rPr>
              <w:t> </w:t>
            </w:r>
            <w:r>
              <w:rPr>
                <w:sz w:val="20"/>
              </w:rPr>
              <w:t>Adobe</w:t>
            </w:r>
            <w:r>
              <w:rPr>
                <w:spacing w:val="-5"/>
                <w:sz w:val="20"/>
              </w:rPr>
              <w:t> </w:t>
            </w:r>
            <w:r>
              <w:rPr>
                <w:sz w:val="20"/>
              </w:rPr>
              <w:t>Systems</w:t>
            </w:r>
            <w:r>
              <w:rPr>
                <w:spacing w:val="-7"/>
                <w:sz w:val="20"/>
              </w:rPr>
              <w:t> </w:t>
            </w:r>
            <w:r>
              <w:rPr>
                <w:sz w:val="20"/>
              </w:rPr>
              <w:t>Incorporated’s 4.750%</w:t>
            </w:r>
            <w:r>
              <w:rPr>
                <w:spacing w:val="-6"/>
                <w:sz w:val="20"/>
              </w:rPr>
              <w:t> </w:t>
            </w:r>
            <w:r>
              <w:rPr>
                <w:sz w:val="20"/>
              </w:rPr>
              <w:t>Notes</w:t>
            </w:r>
            <w:r>
              <w:rPr>
                <w:spacing w:val="-7"/>
                <w:sz w:val="20"/>
              </w:rPr>
              <w:t> </w:t>
            </w:r>
            <w:r>
              <w:rPr>
                <w:sz w:val="20"/>
              </w:rPr>
              <w:t>due</w:t>
            </w:r>
            <w:r>
              <w:rPr>
                <w:spacing w:val="-6"/>
                <w:sz w:val="20"/>
              </w:rPr>
              <w:t> </w:t>
            </w:r>
            <w:r>
              <w:rPr>
                <w:sz w:val="20"/>
              </w:rPr>
              <w:t>2020,</w:t>
            </w:r>
            <w:r>
              <w:rPr>
                <w:spacing w:val="-6"/>
                <w:sz w:val="20"/>
              </w:rPr>
              <w:t> </w:t>
            </w:r>
            <w:r>
              <w:rPr>
                <w:sz w:val="20"/>
              </w:rPr>
              <w:t>together</w:t>
            </w:r>
            <w:r>
              <w:rPr>
                <w:spacing w:val="-6"/>
                <w:sz w:val="20"/>
              </w:rPr>
              <w:t> </w:t>
            </w:r>
            <w:r>
              <w:rPr>
                <w:sz w:val="20"/>
              </w:rPr>
              <w:t>with</w:t>
            </w:r>
            <w:r>
              <w:rPr>
                <w:spacing w:val="-6"/>
                <w:sz w:val="20"/>
              </w:rPr>
              <w:t> </w:t>
            </w:r>
            <w:r>
              <w:rPr>
                <w:sz w:val="20"/>
              </w:rPr>
              <w:t>Form</w:t>
            </w:r>
            <w:r>
              <w:rPr>
                <w:spacing w:val="-6"/>
                <w:sz w:val="20"/>
              </w:rPr>
              <w:t> </w:t>
            </w:r>
            <w:r>
              <w:rPr>
                <w:sz w:val="20"/>
              </w:rPr>
              <w:t>of</w:t>
            </w:r>
            <w:r>
              <w:rPr>
                <w:spacing w:val="-6"/>
                <w:sz w:val="20"/>
              </w:rPr>
              <w:t> </w:t>
            </w:r>
            <w:r>
              <w:rPr>
                <w:sz w:val="20"/>
              </w:rPr>
              <w:t>Officer’s Certificate setting forth the terms of the Note</w:t>
            </w:r>
          </w:p>
        </w:tc>
        <w:tc>
          <w:tcPr>
            <w:tcW w:w="642" w:type="dxa"/>
          </w:tcPr>
          <w:p>
            <w:pPr>
              <w:pStyle w:val="TableParagraph"/>
              <w:spacing w:before="170"/>
              <w:ind w:right="61"/>
              <w:jc w:val="center"/>
              <w:rPr>
                <w:sz w:val="20"/>
              </w:rPr>
            </w:pPr>
            <w:r>
              <w:rPr>
                <w:spacing w:val="-2"/>
                <w:sz w:val="20"/>
              </w:rPr>
              <w:t>8-</w:t>
            </w:r>
            <w:r>
              <w:rPr>
                <w:spacing w:val="-10"/>
                <w:sz w:val="20"/>
              </w:rPr>
              <w:t>K</w:t>
            </w:r>
          </w:p>
        </w:tc>
        <w:tc>
          <w:tcPr>
            <w:tcW w:w="1077" w:type="dxa"/>
          </w:tcPr>
          <w:p>
            <w:pPr>
              <w:pStyle w:val="TableParagraph"/>
              <w:spacing w:before="170"/>
              <w:ind w:right="107"/>
              <w:jc w:val="right"/>
              <w:rPr>
                <w:sz w:val="20"/>
              </w:rPr>
            </w:pPr>
            <w:r>
              <w:rPr>
                <w:spacing w:val="-2"/>
                <w:sz w:val="20"/>
              </w:rPr>
              <w:t>1/26/10</w:t>
            </w:r>
          </w:p>
        </w:tc>
        <w:tc>
          <w:tcPr>
            <w:tcW w:w="759" w:type="dxa"/>
          </w:tcPr>
          <w:p>
            <w:pPr>
              <w:pStyle w:val="TableParagraph"/>
              <w:spacing w:before="170"/>
              <w:ind w:right="74"/>
              <w:jc w:val="right"/>
              <w:rPr>
                <w:sz w:val="20"/>
              </w:rPr>
            </w:pPr>
            <w:r>
              <w:rPr>
                <w:spacing w:val="-5"/>
                <w:sz w:val="20"/>
              </w:rPr>
              <w:t>4.1</w:t>
            </w:r>
          </w:p>
        </w:tc>
        <w:tc>
          <w:tcPr>
            <w:tcW w:w="1210" w:type="dxa"/>
          </w:tcPr>
          <w:p>
            <w:pPr>
              <w:pStyle w:val="TableParagraph"/>
              <w:spacing w:before="170"/>
              <w:ind w:left="146"/>
              <w:jc w:val="center"/>
              <w:rPr>
                <w:sz w:val="20"/>
              </w:rPr>
            </w:pPr>
            <w:r>
              <w:rPr>
                <w:sz w:val="20"/>
              </w:rPr>
              <w:t>000-</w:t>
            </w:r>
            <w:r>
              <w:rPr>
                <w:spacing w:val="-2"/>
                <w:sz w:val="20"/>
              </w:rPr>
              <w:t>15175</w:t>
            </w:r>
          </w:p>
        </w:tc>
        <w:tc>
          <w:tcPr>
            <w:tcW w:w="809" w:type="dxa"/>
          </w:tcPr>
          <w:p>
            <w:pPr>
              <w:pStyle w:val="TableParagraph"/>
              <w:rPr>
                <w:sz w:val="18"/>
              </w:rPr>
            </w:pPr>
          </w:p>
        </w:tc>
      </w:tr>
    </w:tbl>
    <w:p>
      <w:pPr>
        <w:spacing w:after="0"/>
        <w:rPr>
          <w:sz w:val="18"/>
        </w:rPr>
        <w:sectPr>
          <w:pgSz w:w="12240" w:h="15840"/>
          <w:pgMar w:header="210" w:footer="560" w:top="420" w:bottom="800" w:left="780" w:right="740"/>
        </w:sectPr>
      </w:pPr>
    </w:p>
    <w:p>
      <w:pPr>
        <w:spacing w:line="183" w:lineRule="exact" w:before="0"/>
        <w:ind w:left="405" w:right="0" w:firstLine="0"/>
        <w:jc w:val="left"/>
        <w:rPr>
          <w:b/>
          <w:sz w:val="16"/>
        </w:rPr>
      </w:pPr>
      <w:r>
        <w:rPr/>
        <mc:AlternateContent>
          <mc:Choice Requires="wps">
            <w:drawing>
              <wp:anchor distT="0" distB="0" distL="0" distR="0" allowOverlap="1" layoutInCell="1" locked="0" behindDoc="0" simplePos="0" relativeHeight="15840768">
                <wp:simplePos x="0" y="0"/>
                <wp:positionH relativeFrom="page">
                  <wp:posOffset>633094</wp:posOffset>
                </wp:positionH>
                <wp:positionV relativeFrom="page">
                  <wp:posOffset>839991</wp:posOffset>
                </wp:positionV>
                <wp:extent cx="6548755" cy="8392795"/>
                <wp:effectExtent l="0" t="0" r="0" b="0"/>
                <wp:wrapNone/>
                <wp:docPr id="569" name="Textbox 569"/>
                <wp:cNvGraphicFramePr>
                  <a:graphicFrameLocks/>
                </wp:cNvGraphicFramePr>
                <a:graphic>
                  <a:graphicData uri="http://schemas.microsoft.com/office/word/2010/wordprocessingShape">
                    <wps:wsp>
                      <wps:cNvPr id="569" name="Textbox 569"/>
                      <wps:cNvSpPr txBox="1"/>
                      <wps:spPr>
                        <a:xfrm>
                          <a:off x="0" y="0"/>
                          <a:ext cx="6548755" cy="83927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775"/>
                              <w:gridCol w:w="691"/>
                              <w:gridCol w:w="1075"/>
                              <w:gridCol w:w="811"/>
                              <w:gridCol w:w="1159"/>
                              <w:gridCol w:w="808"/>
                            </w:tblGrid>
                            <w:tr>
                              <w:trPr>
                                <w:trHeight w:val="217" w:hRule="atLeast"/>
                              </w:trPr>
                              <w:tc>
                                <w:tcPr>
                                  <w:tcW w:w="868" w:type="dxa"/>
                                  <w:tcBorders>
                                    <w:bottom w:val="single" w:sz="8" w:space="0" w:color="000000"/>
                                  </w:tcBorders>
                                </w:tcPr>
                                <w:p>
                                  <w:pPr>
                                    <w:pStyle w:val="TableParagraph"/>
                                    <w:spacing w:line="180" w:lineRule="exact"/>
                                    <w:ind w:left="100"/>
                                    <w:rPr>
                                      <w:b/>
                                      <w:sz w:val="16"/>
                                    </w:rPr>
                                  </w:pPr>
                                  <w:r>
                                    <w:rPr>
                                      <w:b/>
                                      <w:spacing w:val="-2"/>
                                      <w:sz w:val="16"/>
                                    </w:rPr>
                                    <w:t>Number</w:t>
                                  </w:r>
                                </w:p>
                              </w:tc>
                              <w:tc>
                                <w:tcPr>
                                  <w:tcW w:w="4775" w:type="dxa"/>
                                  <w:tcBorders>
                                    <w:bottom w:val="single" w:sz="8" w:space="0" w:color="000000"/>
                                  </w:tcBorders>
                                </w:tcPr>
                                <w:p>
                                  <w:pPr>
                                    <w:pStyle w:val="TableParagraph"/>
                                    <w:spacing w:line="177" w:lineRule="exact"/>
                                    <w:ind w:right="3"/>
                                    <w:jc w:val="center"/>
                                    <w:rPr>
                                      <w:b/>
                                      <w:sz w:val="16"/>
                                    </w:rPr>
                                  </w:pPr>
                                  <w:r>
                                    <w:rPr>
                                      <w:b/>
                                      <w:sz w:val="16"/>
                                    </w:rPr>
                                    <w:t>Exhibit </w:t>
                                  </w:r>
                                  <w:r>
                                    <w:rPr>
                                      <w:b/>
                                      <w:spacing w:val="-2"/>
                                      <w:sz w:val="16"/>
                                    </w:rPr>
                                    <w:t>Description</w:t>
                                  </w:r>
                                </w:p>
                              </w:tc>
                              <w:tc>
                                <w:tcPr>
                                  <w:tcW w:w="691" w:type="dxa"/>
                                  <w:tcBorders>
                                    <w:bottom w:val="single" w:sz="8" w:space="0" w:color="000000"/>
                                  </w:tcBorders>
                                </w:tcPr>
                                <w:p>
                                  <w:pPr>
                                    <w:pStyle w:val="TableParagraph"/>
                                    <w:spacing w:line="177" w:lineRule="exact"/>
                                    <w:ind w:right="10"/>
                                    <w:jc w:val="center"/>
                                    <w:rPr>
                                      <w:b/>
                                      <w:sz w:val="16"/>
                                    </w:rPr>
                                  </w:pPr>
                                  <w:r>
                                    <w:rPr>
                                      <w:b/>
                                      <w:spacing w:val="-4"/>
                                      <w:sz w:val="16"/>
                                    </w:rPr>
                                    <w:t>Form</w:t>
                                  </w:r>
                                </w:p>
                              </w:tc>
                              <w:tc>
                                <w:tcPr>
                                  <w:tcW w:w="1075" w:type="dxa"/>
                                  <w:tcBorders>
                                    <w:bottom w:val="single" w:sz="8" w:space="0" w:color="000000"/>
                                  </w:tcBorders>
                                </w:tcPr>
                                <w:p>
                                  <w:pPr>
                                    <w:pStyle w:val="TableParagraph"/>
                                    <w:spacing w:line="177" w:lineRule="exact"/>
                                    <w:ind w:right="163"/>
                                    <w:jc w:val="right"/>
                                    <w:rPr>
                                      <w:b/>
                                      <w:sz w:val="16"/>
                                    </w:rPr>
                                  </w:pPr>
                                  <w:r>
                                    <w:rPr>
                                      <w:b/>
                                      <w:sz w:val="16"/>
                                    </w:rPr>
                                    <w:t>Filing </w:t>
                                  </w:r>
                                  <w:r>
                                    <w:rPr>
                                      <w:b/>
                                      <w:spacing w:val="-4"/>
                                      <w:sz w:val="16"/>
                                    </w:rPr>
                                    <w:t>Date</w:t>
                                  </w:r>
                                </w:p>
                              </w:tc>
                              <w:tc>
                                <w:tcPr>
                                  <w:tcW w:w="811" w:type="dxa"/>
                                  <w:tcBorders>
                                    <w:bottom w:val="single" w:sz="8" w:space="0" w:color="000000"/>
                                  </w:tcBorders>
                                </w:tcPr>
                                <w:p>
                                  <w:pPr>
                                    <w:pStyle w:val="TableParagraph"/>
                                    <w:spacing w:line="180" w:lineRule="exact"/>
                                    <w:ind w:right="129"/>
                                    <w:jc w:val="right"/>
                                    <w:rPr>
                                      <w:b/>
                                      <w:sz w:val="16"/>
                                    </w:rPr>
                                  </w:pPr>
                                  <w:r>
                                    <w:rPr>
                                      <w:b/>
                                      <w:spacing w:val="-2"/>
                                      <w:sz w:val="16"/>
                                    </w:rPr>
                                    <w:t>Number</w:t>
                                  </w:r>
                                </w:p>
                              </w:tc>
                              <w:tc>
                                <w:tcPr>
                                  <w:tcW w:w="1159" w:type="dxa"/>
                                  <w:tcBorders>
                                    <w:bottom w:val="single" w:sz="8" w:space="0" w:color="000000"/>
                                  </w:tcBorders>
                                </w:tcPr>
                                <w:p>
                                  <w:pPr>
                                    <w:pStyle w:val="TableParagraph"/>
                                    <w:spacing w:line="177" w:lineRule="exact"/>
                                    <w:ind w:right="12"/>
                                    <w:jc w:val="center"/>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08" w:type="dxa"/>
                                  <w:tcBorders>
                                    <w:bottom w:val="single" w:sz="8" w:space="0" w:color="000000"/>
                                  </w:tcBorders>
                                </w:tcPr>
                                <w:p>
                                  <w:pPr>
                                    <w:pStyle w:val="TableParagraph"/>
                                    <w:spacing w:line="180" w:lineRule="exact"/>
                                    <w:ind w:left="104"/>
                                    <w:rPr>
                                      <w:b/>
                                      <w:sz w:val="16"/>
                                    </w:rPr>
                                  </w:pPr>
                                  <w:r>
                                    <w:rPr>
                                      <w:b/>
                                      <w:spacing w:val="-2"/>
                                      <w:sz w:val="16"/>
                                    </w:rPr>
                                    <w:t>Herewith</w:t>
                                  </w:r>
                                </w:p>
                              </w:tc>
                            </w:tr>
                            <w:tr>
                              <w:trPr>
                                <w:trHeight w:val="1041" w:hRule="atLeast"/>
                              </w:trPr>
                              <w:tc>
                                <w:tcPr>
                                  <w:tcW w:w="868" w:type="dxa"/>
                                  <w:tcBorders>
                                    <w:top w:val="single" w:sz="8" w:space="0" w:color="000000"/>
                                  </w:tcBorders>
                                </w:tcPr>
                                <w:p>
                                  <w:pPr>
                                    <w:pStyle w:val="TableParagraph"/>
                                    <w:spacing w:before="21"/>
                                    <w:rPr>
                                      <w:b/>
                                      <w:sz w:val="20"/>
                                    </w:rPr>
                                  </w:pPr>
                                </w:p>
                                <w:p>
                                  <w:pPr>
                                    <w:pStyle w:val="TableParagraph"/>
                                    <w:spacing w:before="1"/>
                                    <w:ind w:right="111"/>
                                    <w:jc w:val="right"/>
                                    <w:rPr>
                                      <w:sz w:val="20"/>
                                    </w:rPr>
                                  </w:pPr>
                                  <w:r>
                                    <w:rPr>
                                      <w:spacing w:val="-5"/>
                                      <w:sz w:val="20"/>
                                    </w:rPr>
                                    <w:t>4.4</w:t>
                                  </w:r>
                                </w:p>
                              </w:tc>
                              <w:tc>
                                <w:tcPr>
                                  <w:tcW w:w="4775" w:type="dxa"/>
                                  <w:tcBorders>
                                    <w:top w:val="single" w:sz="8" w:space="0" w:color="000000"/>
                                  </w:tcBorders>
                                </w:tcPr>
                                <w:p>
                                  <w:pPr>
                                    <w:pStyle w:val="TableParagraph"/>
                                    <w:spacing w:before="46"/>
                                    <w:rPr>
                                      <w:b/>
                                      <w:sz w:val="20"/>
                                    </w:rPr>
                                  </w:pPr>
                                </w:p>
                                <w:p>
                                  <w:pPr>
                                    <w:pStyle w:val="TableParagraph"/>
                                    <w:spacing w:line="208" w:lineRule="auto"/>
                                    <w:ind w:left="95"/>
                                    <w:rPr>
                                      <w:sz w:val="20"/>
                                    </w:rPr>
                                  </w:pPr>
                                  <w:r>
                                    <w:rPr>
                                      <w:sz w:val="20"/>
                                    </w:rPr>
                                    <w:t>Form of Global Note for</w:t>
                                  </w:r>
                                  <w:r>
                                    <w:rPr>
                                      <w:spacing w:val="-8"/>
                                      <w:sz w:val="20"/>
                                    </w:rPr>
                                    <w:t> </w:t>
                                  </w:r>
                                  <w:r>
                                    <w:rPr>
                                      <w:sz w:val="20"/>
                                    </w:rPr>
                                    <w:t>Adobe Systems Incorporated’s 3.250%</w:t>
                                  </w:r>
                                  <w:r>
                                    <w:rPr>
                                      <w:spacing w:val="-6"/>
                                      <w:sz w:val="20"/>
                                    </w:rPr>
                                    <w:t> </w:t>
                                  </w:r>
                                  <w:r>
                                    <w:rPr>
                                      <w:sz w:val="20"/>
                                    </w:rPr>
                                    <w:t>Notes</w:t>
                                  </w:r>
                                  <w:r>
                                    <w:rPr>
                                      <w:spacing w:val="-7"/>
                                      <w:sz w:val="20"/>
                                    </w:rPr>
                                    <w:t> </w:t>
                                  </w:r>
                                  <w:r>
                                    <w:rPr>
                                      <w:sz w:val="20"/>
                                    </w:rPr>
                                    <w:t>due</w:t>
                                  </w:r>
                                  <w:r>
                                    <w:rPr>
                                      <w:spacing w:val="-6"/>
                                      <w:sz w:val="20"/>
                                    </w:rPr>
                                    <w:t> </w:t>
                                  </w:r>
                                  <w:r>
                                    <w:rPr>
                                      <w:sz w:val="20"/>
                                    </w:rPr>
                                    <w:t>2025,</w:t>
                                  </w:r>
                                  <w:r>
                                    <w:rPr>
                                      <w:spacing w:val="-6"/>
                                      <w:sz w:val="20"/>
                                    </w:rPr>
                                    <w:t> </w:t>
                                  </w:r>
                                  <w:r>
                                    <w:rPr>
                                      <w:sz w:val="20"/>
                                    </w:rPr>
                                    <w:t>together</w:t>
                                  </w:r>
                                  <w:r>
                                    <w:rPr>
                                      <w:spacing w:val="-6"/>
                                      <w:sz w:val="20"/>
                                    </w:rPr>
                                    <w:t> </w:t>
                                  </w:r>
                                  <w:r>
                                    <w:rPr>
                                      <w:sz w:val="20"/>
                                    </w:rPr>
                                    <w:t>with</w:t>
                                  </w:r>
                                  <w:r>
                                    <w:rPr>
                                      <w:spacing w:val="-6"/>
                                      <w:sz w:val="20"/>
                                    </w:rPr>
                                    <w:t> </w:t>
                                  </w:r>
                                  <w:r>
                                    <w:rPr>
                                      <w:sz w:val="20"/>
                                    </w:rPr>
                                    <w:t>Form</w:t>
                                  </w:r>
                                  <w:r>
                                    <w:rPr>
                                      <w:spacing w:val="-6"/>
                                      <w:sz w:val="20"/>
                                    </w:rPr>
                                    <w:t> </w:t>
                                  </w:r>
                                  <w:r>
                                    <w:rPr>
                                      <w:sz w:val="20"/>
                                    </w:rPr>
                                    <w:t>of</w:t>
                                  </w:r>
                                  <w:r>
                                    <w:rPr>
                                      <w:spacing w:val="-6"/>
                                      <w:sz w:val="20"/>
                                    </w:rPr>
                                    <w:t> </w:t>
                                  </w:r>
                                  <w:r>
                                    <w:rPr>
                                      <w:sz w:val="20"/>
                                    </w:rPr>
                                    <w:t>Officer’s Certificate setting forth the terms of the Note</w:t>
                                  </w:r>
                                </w:p>
                              </w:tc>
                              <w:tc>
                                <w:tcPr>
                                  <w:tcW w:w="691" w:type="dxa"/>
                                  <w:tcBorders>
                                    <w:top w:val="single" w:sz="8" w:space="0" w:color="000000"/>
                                  </w:tcBorders>
                                </w:tcPr>
                                <w:p>
                                  <w:pPr>
                                    <w:pStyle w:val="TableParagraph"/>
                                    <w:spacing w:before="21"/>
                                    <w:rPr>
                                      <w:b/>
                                      <w:sz w:val="20"/>
                                    </w:rPr>
                                  </w:pPr>
                                </w:p>
                                <w:p>
                                  <w:pPr>
                                    <w:pStyle w:val="TableParagraph"/>
                                    <w:spacing w:before="1"/>
                                    <w:ind w:right="10"/>
                                    <w:jc w:val="center"/>
                                    <w:rPr>
                                      <w:sz w:val="20"/>
                                    </w:rPr>
                                  </w:pPr>
                                  <w:r>
                                    <w:rPr>
                                      <w:spacing w:val="-2"/>
                                      <w:sz w:val="20"/>
                                    </w:rPr>
                                    <w:t>8-</w:t>
                                  </w:r>
                                  <w:r>
                                    <w:rPr>
                                      <w:spacing w:val="-10"/>
                                      <w:sz w:val="20"/>
                                    </w:rPr>
                                    <w:t>K</w:t>
                                  </w:r>
                                </w:p>
                              </w:tc>
                              <w:tc>
                                <w:tcPr>
                                  <w:tcW w:w="1075" w:type="dxa"/>
                                  <w:tcBorders>
                                    <w:top w:val="single" w:sz="8" w:space="0" w:color="000000"/>
                                  </w:tcBorders>
                                </w:tcPr>
                                <w:p>
                                  <w:pPr>
                                    <w:pStyle w:val="TableParagraph"/>
                                    <w:spacing w:before="21"/>
                                    <w:rPr>
                                      <w:b/>
                                      <w:sz w:val="20"/>
                                    </w:rPr>
                                  </w:pPr>
                                </w:p>
                                <w:p>
                                  <w:pPr>
                                    <w:pStyle w:val="TableParagraph"/>
                                    <w:spacing w:before="1"/>
                                    <w:ind w:right="104"/>
                                    <w:jc w:val="right"/>
                                    <w:rPr>
                                      <w:sz w:val="20"/>
                                    </w:rPr>
                                  </w:pPr>
                                  <w:r>
                                    <w:rPr>
                                      <w:spacing w:val="-2"/>
                                      <w:sz w:val="20"/>
                                    </w:rPr>
                                    <w:t>1/26/15</w:t>
                                  </w:r>
                                </w:p>
                              </w:tc>
                              <w:tc>
                                <w:tcPr>
                                  <w:tcW w:w="811" w:type="dxa"/>
                                  <w:tcBorders>
                                    <w:top w:val="single" w:sz="8" w:space="0" w:color="000000"/>
                                  </w:tcBorders>
                                </w:tcPr>
                                <w:p>
                                  <w:pPr>
                                    <w:pStyle w:val="TableParagraph"/>
                                    <w:spacing w:before="21"/>
                                    <w:rPr>
                                      <w:b/>
                                      <w:sz w:val="20"/>
                                    </w:rPr>
                                  </w:pPr>
                                </w:p>
                                <w:p>
                                  <w:pPr>
                                    <w:pStyle w:val="TableParagraph"/>
                                    <w:spacing w:before="1"/>
                                    <w:ind w:right="123"/>
                                    <w:jc w:val="right"/>
                                    <w:rPr>
                                      <w:sz w:val="20"/>
                                    </w:rPr>
                                  </w:pPr>
                                  <w:r>
                                    <w:rPr>
                                      <w:spacing w:val="-5"/>
                                      <w:sz w:val="20"/>
                                    </w:rPr>
                                    <w:t>4.1</w:t>
                                  </w:r>
                                </w:p>
                              </w:tc>
                              <w:tc>
                                <w:tcPr>
                                  <w:tcW w:w="1159" w:type="dxa"/>
                                  <w:tcBorders>
                                    <w:top w:val="single" w:sz="8" w:space="0" w:color="000000"/>
                                  </w:tcBorders>
                                </w:tcPr>
                                <w:p>
                                  <w:pPr>
                                    <w:pStyle w:val="TableParagraph"/>
                                    <w:spacing w:before="21"/>
                                    <w:rPr>
                                      <w:b/>
                                      <w:sz w:val="20"/>
                                    </w:rPr>
                                  </w:pPr>
                                </w:p>
                                <w:p>
                                  <w:pPr>
                                    <w:pStyle w:val="TableParagraph"/>
                                    <w:spacing w:before="1"/>
                                    <w:ind w:left="111" w:right="12"/>
                                    <w:jc w:val="center"/>
                                    <w:rPr>
                                      <w:sz w:val="20"/>
                                    </w:rPr>
                                  </w:pPr>
                                  <w:r>
                                    <w:rPr>
                                      <w:sz w:val="20"/>
                                    </w:rPr>
                                    <w:t>000-</w:t>
                                  </w:r>
                                  <w:r>
                                    <w:rPr>
                                      <w:spacing w:val="-2"/>
                                      <w:sz w:val="20"/>
                                    </w:rPr>
                                    <w:t>15175</w:t>
                                  </w:r>
                                </w:p>
                              </w:tc>
                              <w:tc>
                                <w:tcPr>
                                  <w:tcW w:w="808" w:type="dxa"/>
                                  <w:tcBorders>
                                    <w:top w:val="single" w:sz="8" w:space="0" w:color="000000"/>
                                  </w:tcBorders>
                                </w:tcPr>
                                <w:p>
                                  <w:pPr>
                                    <w:pStyle w:val="TableParagraph"/>
                                    <w:rPr>
                                      <w:sz w:val="18"/>
                                    </w:rPr>
                                  </w:pPr>
                                </w:p>
                              </w:tc>
                            </w:tr>
                            <w:tr>
                              <w:trPr>
                                <w:trHeight w:val="540" w:hRule="atLeast"/>
                              </w:trPr>
                              <w:tc>
                                <w:tcPr>
                                  <w:tcW w:w="868" w:type="dxa"/>
                                </w:tcPr>
                                <w:p>
                                  <w:pPr>
                                    <w:pStyle w:val="TableParagraph"/>
                                    <w:spacing w:before="150"/>
                                    <w:ind w:right="92"/>
                                    <w:jc w:val="right"/>
                                    <w:rPr>
                                      <w:sz w:val="20"/>
                                    </w:rPr>
                                  </w:pPr>
                                  <w:r>
                                    <w:rPr>
                                      <w:spacing w:val="-2"/>
                                      <w:sz w:val="20"/>
                                    </w:rPr>
                                    <w:t>10.1A</w:t>
                                  </w:r>
                                </w:p>
                              </w:tc>
                              <w:tc>
                                <w:tcPr>
                                  <w:tcW w:w="4775" w:type="dxa"/>
                                </w:tcPr>
                                <w:p>
                                  <w:pPr>
                                    <w:pStyle w:val="TableParagraph"/>
                                    <w:spacing w:before="150"/>
                                    <w:ind w:left="95"/>
                                    <w:rPr>
                                      <w:sz w:val="20"/>
                                    </w:rPr>
                                  </w:pPr>
                                  <w:r>
                                    <w:rPr>
                                      <w:sz w:val="20"/>
                                    </w:rPr>
                                    <w:t>Amended 1994 Performance and Restricted Stock </w:t>
                                  </w:r>
                                  <w:r>
                                    <w:rPr>
                                      <w:spacing w:val="-2"/>
                                      <w:sz w:val="20"/>
                                    </w:rPr>
                                    <w:t>Plan*</w:t>
                                  </w:r>
                                </w:p>
                              </w:tc>
                              <w:tc>
                                <w:tcPr>
                                  <w:tcW w:w="691" w:type="dxa"/>
                                </w:tcPr>
                                <w:p>
                                  <w:pPr>
                                    <w:pStyle w:val="TableParagraph"/>
                                    <w:spacing w:before="150"/>
                                    <w:ind w:right="10"/>
                                    <w:jc w:val="center"/>
                                    <w:rPr>
                                      <w:sz w:val="20"/>
                                    </w:rPr>
                                  </w:pPr>
                                  <w:r>
                                    <w:rPr>
                                      <w:spacing w:val="-2"/>
                                      <w:sz w:val="20"/>
                                    </w:rPr>
                                    <w:t>10-</w:t>
                                  </w:r>
                                  <w:r>
                                    <w:rPr>
                                      <w:spacing w:val="-10"/>
                                      <w:sz w:val="20"/>
                                    </w:rPr>
                                    <w:t>Q</w:t>
                                  </w:r>
                                </w:p>
                              </w:tc>
                              <w:tc>
                                <w:tcPr>
                                  <w:tcW w:w="1075" w:type="dxa"/>
                                </w:tcPr>
                                <w:p>
                                  <w:pPr>
                                    <w:pStyle w:val="TableParagraph"/>
                                    <w:spacing w:before="150"/>
                                    <w:ind w:right="104"/>
                                    <w:jc w:val="right"/>
                                    <w:rPr>
                                      <w:sz w:val="20"/>
                                    </w:rPr>
                                  </w:pPr>
                                  <w:r>
                                    <w:rPr>
                                      <w:spacing w:val="-2"/>
                                      <w:sz w:val="20"/>
                                    </w:rPr>
                                    <w:t>4/9/10</w:t>
                                  </w:r>
                                </w:p>
                              </w:tc>
                              <w:tc>
                                <w:tcPr>
                                  <w:tcW w:w="811" w:type="dxa"/>
                                </w:tcPr>
                                <w:p>
                                  <w:pPr>
                                    <w:pStyle w:val="TableParagraph"/>
                                    <w:spacing w:before="150"/>
                                    <w:ind w:right="124"/>
                                    <w:jc w:val="right"/>
                                    <w:rPr>
                                      <w:sz w:val="20"/>
                                    </w:rPr>
                                  </w:pPr>
                                  <w:r>
                                    <w:rPr>
                                      <w:spacing w:val="-4"/>
                                      <w:sz w:val="20"/>
                                    </w:rPr>
                                    <w:t>10.1</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950" w:hRule="atLeast"/>
                              </w:trPr>
                              <w:tc>
                                <w:tcPr>
                                  <w:tcW w:w="868" w:type="dxa"/>
                                </w:tcPr>
                                <w:p>
                                  <w:pPr>
                                    <w:pStyle w:val="TableParagraph"/>
                                    <w:spacing w:before="150"/>
                                    <w:ind w:right="103"/>
                                    <w:jc w:val="right"/>
                                    <w:rPr>
                                      <w:sz w:val="20"/>
                                    </w:rPr>
                                  </w:pPr>
                                  <w:r>
                                    <w:rPr>
                                      <w:spacing w:val="-2"/>
                                      <w:sz w:val="20"/>
                                    </w:rPr>
                                    <w:t>10.1B</w:t>
                                  </w:r>
                                </w:p>
                              </w:tc>
                              <w:tc>
                                <w:tcPr>
                                  <w:tcW w:w="4775" w:type="dxa"/>
                                </w:tcPr>
                                <w:p>
                                  <w:pPr>
                                    <w:pStyle w:val="TableParagraph"/>
                                    <w:spacing w:line="208" w:lineRule="auto" w:before="175"/>
                                    <w:ind w:left="95" w:right="146"/>
                                    <w:rPr>
                                      <w:sz w:val="20"/>
                                    </w:rPr>
                                  </w:pPr>
                                  <w:r>
                                    <w:rPr>
                                      <w:sz w:val="20"/>
                                    </w:rPr>
                                    <w:t>Form</w:t>
                                  </w:r>
                                  <w:r>
                                    <w:rPr>
                                      <w:spacing w:val="-10"/>
                                      <w:sz w:val="20"/>
                                    </w:rPr>
                                    <w:t> </w:t>
                                  </w:r>
                                  <w:r>
                                    <w:rPr>
                                      <w:sz w:val="20"/>
                                    </w:rPr>
                                    <w:t>of</w:t>
                                  </w:r>
                                  <w:r>
                                    <w:rPr>
                                      <w:spacing w:val="-6"/>
                                      <w:sz w:val="20"/>
                                    </w:rPr>
                                    <w:t> </w:t>
                                  </w:r>
                                  <w:r>
                                    <w:rPr>
                                      <w:sz w:val="20"/>
                                    </w:rPr>
                                    <w:t>Restricted</w:t>
                                  </w:r>
                                  <w:r>
                                    <w:rPr>
                                      <w:spacing w:val="-6"/>
                                      <w:sz w:val="20"/>
                                    </w:rPr>
                                    <w:t> </w:t>
                                  </w:r>
                                  <w:r>
                                    <w:rPr>
                                      <w:sz w:val="20"/>
                                    </w:rPr>
                                    <w:t>Stock</w:t>
                                  </w:r>
                                  <w:r>
                                    <w:rPr>
                                      <w:spacing w:val="-13"/>
                                      <w:sz w:val="20"/>
                                    </w:rPr>
                                    <w:t> </w:t>
                                  </w:r>
                                  <w:r>
                                    <w:rPr>
                                      <w:sz w:val="20"/>
                                    </w:rPr>
                                    <w:t>Agreement</w:t>
                                  </w:r>
                                  <w:r>
                                    <w:rPr>
                                      <w:spacing w:val="-5"/>
                                      <w:sz w:val="20"/>
                                    </w:rPr>
                                    <w:t> </w:t>
                                  </w:r>
                                  <w:r>
                                    <w:rPr>
                                      <w:sz w:val="20"/>
                                    </w:rPr>
                                    <w:t>used</w:t>
                                  </w:r>
                                  <w:r>
                                    <w:rPr>
                                      <w:spacing w:val="-6"/>
                                      <w:sz w:val="20"/>
                                    </w:rPr>
                                    <w:t> </w:t>
                                  </w:r>
                                  <w:r>
                                    <w:rPr>
                                      <w:sz w:val="20"/>
                                    </w:rPr>
                                    <w:t>in</w:t>
                                  </w:r>
                                  <w:r>
                                    <w:rPr>
                                      <w:spacing w:val="-6"/>
                                      <w:sz w:val="20"/>
                                    </w:rPr>
                                    <w:t> </w:t>
                                  </w:r>
                                  <w:r>
                                    <w:rPr>
                                      <w:sz w:val="20"/>
                                    </w:rPr>
                                    <w:t>connection with the Amended 1994 Performance and Restricted Stock Plan*</w:t>
                                  </w:r>
                                </w:p>
                              </w:tc>
                              <w:tc>
                                <w:tcPr>
                                  <w:tcW w:w="691" w:type="dxa"/>
                                </w:tcPr>
                                <w:p>
                                  <w:pPr>
                                    <w:pStyle w:val="TableParagraph"/>
                                    <w:spacing w:before="150"/>
                                    <w:ind w:right="10"/>
                                    <w:jc w:val="center"/>
                                    <w:rPr>
                                      <w:sz w:val="20"/>
                                    </w:rPr>
                                  </w:pPr>
                                  <w:r>
                                    <w:rPr>
                                      <w:spacing w:val="-2"/>
                                      <w:sz w:val="20"/>
                                    </w:rPr>
                                    <w:t>10-</w:t>
                                  </w:r>
                                  <w:r>
                                    <w:rPr>
                                      <w:spacing w:val="-10"/>
                                      <w:sz w:val="20"/>
                                    </w:rPr>
                                    <w:t>K</w:t>
                                  </w:r>
                                </w:p>
                              </w:tc>
                              <w:tc>
                                <w:tcPr>
                                  <w:tcW w:w="1075" w:type="dxa"/>
                                </w:tcPr>
                                <w:p>
                                  <w:pPr>
                                    <w:pStyle w:val="TableParagraph"/>
                                    <w:spacing w:before="150"/>
                                    <w:ind w:right="104"/>
                                    <w:jc w:val="right"/>
                                    <w:rPr>
                                      <w:sz w:val="20"/>
                                    </w:rPr>
                                  </w:pPr>
                                  <w:r>
                                    <w:rPr>
                                      <w:spacing w:val="-2"/>
                                      <w:sz w:val="20"/>
                                    </w:rPr>
                                    <w:t>1/23/09</w:t>
                                  </w:r>
                                </w:p>
                              </w:tc>
                              <w:tc>
                                <w:tcPr>
                                  <w:tcW w:w="811" w:type="dxa"/>
                                </w:tcPr>
                                <w:p>
                                  <w:pPr>
                                    <w:pStyle w:val="TableParagraph"/>
                                    <w:spacing w:before="150"/>
                                    <w:ind w:right="124"/>
                                    <w:jc w:val="right"/>
                                    <w:rPr>
                                      <w:sz w:val="20"/>
                                    </w:rPr>
                                  </w:pPr>
                                  <w:r>
                                    <w:rPr>
                                      <w:spacing w:val="-4"/>
                                      <w:sz w:val="20"/>
                                    </w:rPr>
                                    <w:t>10.3</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950" w:hRule="atLeast"/>
                              </w:trPr>
                              <w:tc>
                                <w:tcPr>
                                  <w:tcW w:w="868" w:type="dxa"/>
                                </w:tcPr>
                                <w:p>
                                  <w:pPr>
                                    <w:pStyle w:val="TableParagraph"/>
                                    <w:spacing w:before="160"/>
                                    <w:ind w:right="103"/>
                                    <w:jc w:val="right"/>
                                    <w:rPr>
                                      <w:sz w:val="20"/>
                                    </w:rPr>
                                  </w:pPr>
                                  <w:r>
                                    <w:rPr>
                                      <w:spacing w:val="-2"/>
                                      <w:sz w:val="20"/>
                                    </w:rPr>
                                    <w:t>10.1C</w:t>
                                  </w:r>
                                </w:p>
                              </w:tc>
                              <w:tc>
                                <w:tcPr>
                                  <w:tcW w:w="4775" w:type="dxa"/>
                                </w:tcPr>
                                <w:p>
                                  <w:pPr>
                                    <w:pStyle w:val="TableParagraph"/>
                                    <w:spacing w:line="208" w:lineRule="auto" w:before="185"/>
                                    <w:ind w:left="95"/>
                                    <w:rPr>
                                      <w:sz w:val="20"/>
                                    </w:rPr>
                                  </w:pPr>
                                  <w:r>
                                    <w:rPr>
                                      <w:sz w:val="20"/>
                                    </w:rPr>
                                    <w:t>Form of Restricted Stock Unit Agreement used in connection</w:t>
                                  </w:r>
                                  <w:r>
                                    <w:rPr>
                                      <w:spacing w:val="-11"/>
                                      <w:sz w:val="20"/>
                                    </w:rPr>
                                    <w:t> </w:t>
                                  </w:r>
                                  <w:r>
                                    <w:rPr>
                                      <w:sz w:val="20"/>
                                    </w:rPr>
                                    <w:t>with</w:t>
                                  </w:r>
                                  <w:r>
                                    <w:rPr>
                                      <w:spacing w:val="-7"/>
                                      <w:sz w:val="20"/>
                                    </w:rPr>
                                    <w:t> </w:t>
                                  </w:r>
                                  <w:r>
                                    <w:rPr>
                                      <w:sz w:val="20"/>
                                    </w:rPr>
                                    <w:t>the</w:t>
                                  </w:r>
                                  <w:r>
                                    <w:rPr>
                                      <w:spacing w:val="-13"/>
                                      <w:sz w:val="20"/>
                                    </w:rPr>
                                    <w:t> </w:t>
                                  </w:r>
                                  <w:r>
                                    <w:rPr>
                                      <w:sz w:val="20"/>
                                    </w:rPr>
                                    <w:t>Amended</w:t>
                                  </w:r>
                                  <w:r>
                                    <w:rPr>
                                      <w:spacing w:val="-6"/>
                                      <w:sz w:val="20"/>
                                    </w:rPr>
                                    <w:t> </w:t>
                                  </w:r>
                                  <w:r>
                                    <w:rPr>
                                      <w:sz w:val="20"/>
                                    </w:rPr>
                                    <w:t>1994</w:t>
                                  </w:r>
                                  <w:r>
                                    <w:rPr>
                                      <w:spacing w:val="-7"/>
                                      <w:sz w:val="20"/>
                                    </w:rPr>
                                    <w:t> </w:t>
                                  </w:r>
                                  <w:r>
                                    <w:rPr>
                                      <w:sz w:val="20"/>
                                    </w:rPr>
                                    <w:t>Performance</w:t>
                                  </w:r>
                                  <w:r>
                                    <w:rPr>
                                      <w:spacing w:val="-7"/>
                                      <w:sz w:val="20"/>
                                    </w:rPr>
                                    <w:t> </w:t>
                                  </w:r>
                                  <w:r>
                                    <w:rPr>
                                      <w:sz w:val="20"/>
                                    </w:rPr>
                                    <w:t>and Restricted Stock Plan*</w:t>
                                  </w:r>
                                </w:p>
                              </w:tc>
                              <w:tc>
                                <w:tcPr>
                                  <w:tcW w:w="691" w:type="dxa"/>
                                </w:tcPr>
                                <w:p>
                                  <w:pPr>
                                    <w:pStyle w:val="TableParagraph"/>
                                    <w:spacing w:before="160"/>
                                    <w:ind w:right="10"/>
                                    <w:jc w:val="center"/>
                                    <w:rPr>
                                      <w:sz w:val="20"/>
                                    </w:rPr>
                                  </w:pPr>
                                  <w:r>
                                    <w:rPr>
                                      <w:spacing w:val="-2"/>
                                      <w:sz w:val="20"/>
                                    </w:rPr>
                                    <w:t>10-</w:t>
                                  </w:r>
                                  <w:r>
                                    <w:rPr>
                                      <w:spacing w:val="-10"/>
                                      <w:sz w:val="20"/>
                                    </w:rPr>
                                    <w:t>K</w:t>
                                  </w:r>
                                </w:p>
                              </w:tc>
                              <w:tc>
                                <w:tcPr>
                                  <w:tcW w:w="1075" w:type="dxa"/>
                                </w:tcPr>
                                <w:p>
                                  <w:pPr>
                                    <w:pStyle w:val="TableParagraph"/>
                                    <w:spacing w:before="160"/>
                                    <w:ind w:right="104"/>
                                    <w:jc w:val="right"/>
                                    <w:rPr>
                                      <w:sz w:val="20"/>
                                    </w:rPr>
                                  </w:pPr>
                                  <w:r>
                                    <w:rPr>
                                      <w:spacing w:val="-2"/>
                                      <w:sz w:val="20"/>
                                    </w:rPr>
                                    <w:t>1/26/12</w:t>
                                  </w:r>
                                </w:p>
                              </w:tc>
                              <w:tc>
                                <w:tcPr>
                                  <w:tcW w:w="811" w:type="dxa"/>
                                </w:tcPr>
                                <w:p>
                                  <w:pPr>
                                    <w:pStyle w:val="TableParagraph"/>
                                    <w:spacing w:before="160"/>
                                    <w:ind w:right="124"/>
                                    <w:jc w:val="right"/>
                                    <w:rPr>
                                      <w:sz w:val="20"/>
                                    </w:rPr>
                                  </w:pPr>
                                  <w:r>
                                    <w:rPr>
                                      <w:spacing w:val="-2"/>
                                      <w:sz w:val="20"/>
                                    </w:rPr>
                                    <w:t>10.13</w:t>
                                  </w:r>
                                </w:p>
                              </w:tc>
                              <w:tc>
                                <w:tcPr>
                                  <w:tcW w:w="1159" w:type="dxa"/>
                                </w:tcPr>
                                <w:p>
                                  <w:pPr>
                                    <w:pStyle w:val="TableParagraph"/>
                                    <w:spacing w:before="16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4"/>
                                      <w:sz w:val="20"/>
                                    </w:rPr>
                                    <w:t>10.2</w:t>
                                  </w:r>
                                </w:p>
                              </w:tc>
                              <w:tc>
                                <w:tcPr>
                                  <w:tcW w:w="4775" w:type="dxa"/>
                                </w:tcPr>
                                <w:p>
                                  <w:pPr>
                                    <w:pStyle w:val="TableParagraph"/>
                                    <w:spacing w:before="150"/>
                                    <w:ind w:left="95"/>
                                    <w:rPr>
                                      <w:sz w:val="20"/>
                                    </w:rPr>
                                  </w:pPr>
                                  <w:r>
                                    <w:rPr>
                                      <w:sz w:val="20"/>
                                    </w:rPr>
                                    <w:t>1997</w:t>
                                  </w:r>
                                  <w:r>
                                    <w:rPr>
                                      <w:spacing w:val="-1"/>
                                      <w:sz w:val="20"/>
                                    </w:rPr>
                                    <w:t> </w:t>
                                  </w:r>
                                  <w:r>
                                    <w:rPr>
                                      <w:sz w:val="20"/>
                                    </w:rPr>
                                    <w:t>Employee Stock Purchase Plan, as</w:t>
                                  </w:r>
                                  <w:r>
                                    <w:rPr>
                                      <w:spacing w:val="-1"/>
                                      <w:sz w:val="20"/>
                                    </w:rPr>
                                    <w:t> </w:t>
                                  </w:r>
                                  <w:r>
                                    <w:rPr>
                                      <w:spacing w:val="-2"/>
                                      <w:sz w:val="20"/>
                                    </w:rPr>
                                    <w:t>amended*</w:t>
                                  </w:r>
                                </w:p>
                              </w:tc>
                              <w:tc>
                                <w:tcPr>
                                  <w:tcW w:w="691" w:type="dxa"/>
                                </w:tcPr>
                                <w:p>
                                  <w:pPr>
                                    <w:pStyle w:val="TableParagraph"/>
                                    <w:spacing w:before="150"/>
                                    <w:ind w:right="10"/>
                                    <w:jc w:val="center"/>
                                    <w:rPr>
                                      <w:sz w:val="20"/>
                                    </w:rPr>
                                  </w:pPr>
                                  <w:r>
                                    <w:rPr>
                                      <w:spacing w:val="-2"/>
                                      <w:sz w:val="20"/>
                                    </w:rPr>
                                    <w:t>10-</w:t>
                                  </w:r>
                                  <w:r>
                                    <w:rPr>
                                      <w:spacing w:val="-10"/>
                                      <w:sz w:val="20"/>
                                    </w:rPr>
                                    <w:t>Q</w:t>
                                  </w:r>
                                </w:p>
                              </w:tc>
                              <w:tc>
                                <w:tcPr>
                                  <w:tcW w:w="1075" w:type="dxa"/>
                                </w:tcPr>
                                <w:p>
                                  <w:pPr>
                                    <w:pStyle w:val="TableParagraph"/>
                                    <w:spacing w:before="150"/>
                                    <w:ind w:right="104"/>
                                    <w:jc w:val="right"/>
                                    <w:rPr>
                                      <w:sz w:val="20"/>
                                    </w:rPr>
                                  </w:pPr>
                                  <w:r>
                                    <w:rPr>
                                      <w:spacing w:val="-2"/>
                                      <w:sz w:val="20"/>
                                    </w:rPr>
                                    <w:t>6/29/16</w:t>
                                  </w:r>
                                </w:p>
                              </w:tc>
                              <w:tc>
                                <w:tcPr>
                                  <w:tcW w:w="811" w:type="dxa"/>
                                </w:tcPr>
                                <w:p>
                                  <w:pPr>
                                    <w:pStyle w:val="TableParagraph"/>
                                    <w:spacing w:before="150"/>
                                    <w:ind w:right="124"/>
                                    <w:jc w:val="right"/>
                                    <w:rPr>
                                      <w:sz w:val="20"/>
                                    </w:rPr>
                                  </w:pPr>
                                  <w:r>
                                    <w:rPr>
                                      <w:spacing w:val="-4"/>
                                      <w:sz w:val="20"/>
                                    </w:rPr>
                                    <w:t>10.3</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550" w:hRule="atLeast"/>
                              </w:trPr>
                              <w:tc>
                                <w:tcPr>
                                  <w:tcW w:w="868" w:type="dxa"/>
                                </w:tcPr>
                                <w:p>
                                  <w:pPr>
                                    <w:pStyle w:val="TableParagraph"/>
                                    <w:spacing w:before="150"/>
                                    <w:ind w:right="92"/>
                                    <w:jc w:val="right"/>
                                    <w:rPr>
                                      <w:sz w:val="20"/>
                                    </w:rPr>
                                  </w:pPr>
                                  <w:r>
                                    <w:rPr>
                                      <w:spacing w:val="-2"/>
                                      <w:sz w:val="20"/>
                                    </w:rPr>
                                    <w:t>10.3A</w:t>
                                  </w:r>
                                </w:p>
                              </w:tc>
                              <w:tc>
                                <w:tcPr>
                                  <w:tcW w:w="4775" w:type="dxa"/>
                                </w:tcPr>
                                <w:p>
                                  <w:pPr>
                                    <w:pStyle w:val="TableParagraph"/>
                                    <w:spacing w:before="150"/>
                                    <w:ind w:left="95"/>
                                    <w:rPr>
                                      <w:sz w:val="20"/>
                                    </w:rPr>
                                  </w:pPr>
                                  <w:r>
                                    <w:rPr>
                                      <w:sz w:val="20"/>
                                    </w:rPr>
                                    <w:t>2003</w:t>
                                  </w:r>
                                  <w:r>
                                    <w:rPr>
                                      <w:spacing w:val="-1"/>
                                      <w:sz w:val="20"/>
                                    </w:rPr>
                                    <w:t> </w:t>
                                  </w:r>
                                  <w:r>
                                    <w:rPr>
                                      <w:sz w:val="20"/>
                                    </w:rPr>
                                    <w:t>Equity Incentive Plan, as</w:t>
                                  </w:r>
                                  <w:r>
                                    <w:rPr>
                                      <w:spacing w:val="-1"/>
                                      <w:sz w:val="20"/>
                                    </w:rPr>
                                    <w:t> </w:t>
                                  </w:r>
                                  <w:r>
                                    <w:rPr>
                                      <w:spacing w:val="-2"/>
                                      <w:sz w:val="20"/>
                                    </w:rPr>
                                    <w:t>amended*</w:t>
                                  </w:r>
                                </w:p>
                              </w:tc>
                              <w:tc>
                                <w:tcPr>
                                  <w:tcW w:w="691" w:type="dxa"/>
                                </w:tcPr>
                                <w:p>
                                  <w:pPr>
                                    <w:pStyle w:val="TableParagraph"/>
                                    <w:spacing w:before="150"/>
                                    <w:ind w:right="10"/>
                                    <w:jc w:val="center"/>
                                    <w:rPr>
                                      <w:sz w:val="20"/>
                                    </w:rPr>
                                  </w:pPr>
                                  <w:r>
                                    <w:rPr>
                                      <w:spacing w:val="-2"/>
                                      <w:sz w:val="20"/>
                                    </w:rPr>
                                    <w:t>8-</w:t>
                                  </w:r>
                                  <w:r>
                                    <w:rPr>
                                      <w:spacing w:val="-10"/>
                                      <w:sz w:val="20"/>
                                    </w:rPr>
                                    <w:t>K</w:t>
                                  </w:r>
                                </w:p>
                              </w:tc>
                              <w:tc>
                                <w:tcPr>
                                  <w:tcW w:w="1075" w:type="dxa"/>
                                </w:tcPr>
                                <w:p>
                                  <w:pPr>
                                    <w:pStyle w:val="TableParagraph"/>
                                    <w:spacing w:before="150"/>
                                    <w:ind w:right="104"/>
                                    <w:jc w:val="right"/>
                                    <w:rPr>
                                      <w:sz w:val="20"/>
                                    </w:rPr>
                                  </w:pPr>
                                  <w:r>
                                    <w:rPr>
                                      <w:spacing w:val="-2"/>
                                      <w:sz w:val="20"/>
                                    </w:rPr>
                                    <w:t>4/13/17</w:t>
                                  </w:r>
                                </w:p>
                              </w:tc>
                              <w:tc>
                                <w:tcPr>
                                  <w:tcW w:w="811" w:type="dxa"/>
                                </w:tcPr>
                                <w:p>
                                  <w:pPr>
                                    <w:pStyle w:val="TableParagraph"/>
                                    <w:spacing w:before="150"/>
                                    <w:ind w:right="124"/>
                                    <w:jc w:val="right"/>
                                    <w:rPr>
                                      <w:sz w:val="20"/>
                                    </w:rPr>
                                  </w:pPr>
                                  <w:r>
                                    <w:rPr>
                                      <w:spacing w:val="-4"/>
                                      <w:sz w:val="20"/>
                                    </w:rPr>
                                    <w:t>10.1</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729" w:hRule="atLeast"/>
                              </w:trPr>
                              <w:tc>
                                <w:tcPr>
                                  <w:tcW w:w="868" w:type="dxa"/>
                                </w:tcPr>
                                <w:p>
                                  <w:pPr>
                                    <w:pStyle w:val="TableParagraph"/>
                                    <w:spacing w:before="160"/>
                                    <w:ind w:right="103"/>
                                    <w:jc w:val="right"/>
                                    <w:rPr>
                                      <w:sz w:val="20"/>
                                    </w:rPr>
                                  </w:pPr>
                                  <w:r>
                                    <w:rPr>
                                      <w:spacing w:val="-2"/>
                                      <w:sz w:val="20"/>
                                    </w:rPr>
                                    <w:t>10.3B</w:t>
                                  </w:r>
                                </w:p>
                              </w:tc>
                              <w:tc>
                                <w:tcPr>
                                  <w:tcW w:w="4775" w:type="dxa"/>
                                </w:tcPr>
                                <w:p>
                                  <w:pPr>
                                    <w:pStyle w:val="TableParagraph"/>
                                    <w:spacing w:line="208" w:lineRule="auto" w:before="185"/>
                                    <w:ind w:left="95" w:right="146"/>
                                    <w:rPr>
                                      <w:sz w:val="20"/>
                                    </w:rPr>
                                  </w:pPr>
                                  <w:r>
                                    <w:rPr>
                                      <w:sz w:val="20"/>
                                    </w:rPr>
                                    <w:t>Form</w:t>
                                  </w:r>
                                  <w:r>
                                    <w:rPr>
                                      <w:spacing w:val="-9"/>
                                      <w:sz w:val="20"/>
                                    </w:rPr>
                                    <w:t> </w:t>
                                  </w:r>
                                  <w:r>
                                    <w:rPr>
                                      <w:sz w:val="20"/>
                                    </w:rPr>
                                    <w:t>of</w:t>
                                  </w:r>
                                  <w:r>
                                    <w:rPr>
                                      <w:spacing w:val="-6"/>
                                      <w:sz w:val="20"/>
                                    </w:rPr>
                                    <w:t> </w:t>
                                  </w:r>
                                  <w:r>
                                    <w:rPr>
                                      <w:sz w:val="20"/>
                                    </w:rPr>
                                    <w:t>Stock</w:t>
                                  </w:r>
                                  <w:r>
                                    <w:rPr>
                                      <w:spacing w:val="-6"/>
                                      <w:sz w:val="20"/>
                                    </w:rPr>
                                    <w:t> </w:t>
                                  </w:r>
                                  <w:r>
                                    <w:rPr>
                                      <w:sz w:val="20"/>
                                    </w:rPr>
                                    <w:t>Option</w:t>
                                  </w:r>
                                  <w:r>
                                    <w:rPr>
                                      <w:spacing w:val="-13"/>
                                      <w:sz w:val="20"/>
                                    </w:rPr>
                                    <w:t> </w:t>
                                  </w:r>
                                  <w:r>
                                    <w:rPr>
                                      <w:sz w:val="20"/>
                                    </w:rPr>
                                    <w:t>Agreement</w:t>
                                  </w:r>
                                  <w:r>
                                    <w:rPr>
                                      <w:spacing w:val="-5"/>
                                      <w:sz w:val="20"/>
                                    </w:rPr>
                                    <w:t> </w:t>
                                  </w:r>
                                  <w:r>
                                    <w:rPr>
                                      <w:sz w:val="20"/>
                                    </w:rPr>
                                    <w:t>used</w:t>
                                  </w:r>
                                  <w:r>
                                    <w:rPr>
                                      <w:spacing w:val="-6"/>
                                      <w:sz w:val="20"/>
                                    </w:rPr>
                                    <w:t> </w:t>
                                  </w:r>
                                  <w:r>
                                    <w:rPr>
                                      <w:sz w:val="20"/>
                                    </w:rPr>
                                    <w:t>in</w:t>
                                  </w:r>
                                  <w:r>
                                    <w:rPr>
                                      <w:spacing w:val="-6"/>
                                      <w:sz w:val="20"/>
                                    </w:rPr>
                                    <w:t> </w:t>
                                  </w:r>
                                  <w:r>
                                    <w:rPr>
                                      <w:sz w:val="20"/>
                                    </w:rPr>
                                    <w:t>connection with the 2003 Equity Incentive Plan*</w:t>
                                  </w:r>
                                </w:p>
                              </w:tc>
                              <w:tc>
                                <w:tcPr>
                                  <w:tcW w:w="691" w:type="dxa"/>
                                </w:tcPr>
                                <w:p>
                                  <w:pPr>
                                    <w:pStyle w:val="TableParagraph"/>
                                    <w:spacing w:before="160"/>
                                    <w:ind w:right="10"/>
                                    <w:jc w:val="center"/>
                                    <w:rPr>
                                      <w:sz w:val="20"/>
                                    </w:rPr>
                                  </w:pPr>
                                  <w:r>
                                    <w:rPr>
                                      <w:spacing w:val="-2"/>
                                      <w:sz w:val="20"/>
                                    </w:rPr>
                                    <w:t>8-</w:t>
                                  </w:r>
                                  <w:r>
                                    <w:rPr>
                                      <w:spacing w:val="-10"/>
                                      <w:sz w:val="20"/>
                                    </w:rPr>
                                    <w:t>K</w:t>
                                  </w:r>
                                </w:p>
                              </w:tc>
                              <w:tc>
                                <w:tcPr>
                                  <w:tcW w:w="1075" w:type="dxa"/>
                                </w:tcPr>
                                <w:p>
                                  <w:pPr>
                                    <w:pStyle w:val="TableParagraph"/>
                                    <w:spacing w:before="160"/>
                                    <w:ind w:right="104"/>
                                    <w:jc w:val="right"/>
                                    <w:rPr>
                                      <w:sz w:val="20"/>
                                    </w:rPr>
                                  </w:pPr>
                                  <w:r>
                                    <w:rPr>
                                      <w:spacing w:val="-2"/>
                                      <w:sz w:val="20"/>
                                    </w:rPr>
                                    <w:t>12/20/10</w:t>
                                  </w:r>
                                </w:p>
                              </w:tc>
                              <w:tc>
                                <w:tcPr>
                                  <w:tcW w:w="811" w:type="dxa"/>
                                </w:tcPr>
                                <w:p>
                                  <w:pPr>
                                    <w:pStyle w:val="TableParagraph"/>
                                    <w:spacing w:before="160"/>
                                    <w:ind w:right="124"/>
                                    <w:jc w:val="right"/>
                                    <w:rPr>
                                      <w:sz w:val="20"/>
                                    </w:rPr>
                                  </w:pPr>
                                  <w:r>
                                    <w:rPr>
                                      <w:spacing w:val="-4"/>
                                      <w:sz w:val="20"/>
                                    </w:rPr>
                                    <w:t>99.4</w:t>
                                  </w:r>
                                </w:p>
                              </w:tc>
                              <w:tc>
                                <w:tcPr>
                                  <w:tcW w:w="1159" w:type="dxa"/>
                                </w:tcPr>
                                <w:p>
                                  <w:pPr>
                                    <w:pStyle w:val="TableParagraph"/>
                                    <w:spacing w:before="16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720" w:hRule="atLeast"/>
                              </w:trPr>
                              <w:tc>
                                <w:tcPr>
                                  <w:tcW w:w="868" w:type="dxa"/>
                                </w:tcPr>
                                <w:p>
                                  <w:pPr>
                                    <w:pStyle w:val="TableParagraph"/>
                                    <w:spacing w:before="131"/>
                                    <w:ind w:right="103"/>
                                    <w:jc w:val="right"/>
                                    <w:rPr>
                                      <w:sz w:val="20"/>
                                    </w:rPr>
                                  </w:pPr>
                                  <w:r>
                                    <w:rPr>
                                      <w:spacing w:val="-2"/>
                                      <w:sz w:val="20"/>
                                    </w:rPr>
                                    <w:t>10.3C</w:t>
                                  </w:r>
                                </w:p>
                              </w:tc>
                              <w:tc>
                                <w:tcPr>
                                  <w:tcW w:w="4775" w:type="dxa"/>
                                </w:tcPr>
                                <w:p>
                                  <w:pPr>
                                    <w:pStyle w:val="TableParagraph"/>
                                    <w:spacing w:line="208" w:lineRule="auto" w:before="155"/>
                                    <w:ind w:left="95" w:right="146"/>
                                    <w:rPr>
                                      <w:sz w:val="20"/>
                                    </w:rPr>
                                  </w:pPr>
                                  <w:r>
                                    <w:rPr>
                                      <w:sz w:val="20"/>
                                    </w:rPr>
                                    <w:t>Form</w:t>
                                  </w:r>
                                  <w:r>
                                    <w:rPr>
                                      <w:spacing w:val="-13"/>
                                      <w:sz w:val="20"/>
                                    </w:rPr>
                                    <w:t> </w:t>
                                  </w:r>
                                  <w:r>
                                    <w:rPr>
                                      <w:sz w:val="20"/>
                                    </w:rPr>
                                    <w:t>of</w:t>
                                  </w:r>
                                  <w:r>
                                    <w:rPr>
                                      <w:spacing w:val="-12"/>
                                      <w:sz w:val="20"/>
                                    </w:rPr>
                                    <w:t> </w:t>
                                  </w:r>
                                  <w:r>
                                    <w:rPr>
                                      <w:sz w:val="20"/>
                                    </w:rPr>
                                    <w:t>RSU</w:t>
                                  </w:r>
                                  <w:r>
                                    <w:rPr>
                                      <w:spacing w:val="-12"/>
                                      <w:sz w:val="20"/>
                                    </w:rPr>
                                    <w:t> </w:t>
                                  </w:r>
                                  <w:r>
                                    <w:rPr>
                                      <w:sz w:val="20"/>
                                    </w:rPr>
                                    <w:t>Grant</w:t>
                                  </w:r>
                                  <w:r>
                                    <w:rPr>
                                      <w:spacing w:val="-8"/>
                                      <w:sz w:val="20"/>
                                    </w:rPr>
                                    <w:t> </w:t>
                                  </w:r>
                                  <w:r>
                                    <w:rPr>
                                      <w:sz w:val="20"/>
                                    </w:rPr>
                                    <w:t>Notice</w:t>
                                  </w:r>
                                  <w:r>
                                    <w:rPr>
                                      <w:spacing w:val="-9"/>
                                      <w:sz w:val="20"/>
                                    </w:rPr>
                                    <w:t> </w:t>
                                  </w:r>
                                  <w:r>
                                    <w:rPr>
                                      <w:sz w:val="20"/>
                                    </w:rPr>
                                    <w:t>and</w:t>
                                  </w:r>
                                  <w:r>
                                    <w:rPr>
                                      <w:spacing w:val="-13"/>
                                      <w:sz w:val="20"/>
                                    </w:rPr>
                                    <w:t> </w:t>
                                  </w:r>
                                  <w:r>
                                    <w:rPr>
                                      <w:sz w:val="20"/>
                                    </w:rPr>
                                    <w:t>Award</w:t>
                                  </w:r>
                                  <w:r>
                                    <w:rPr>
                                      <w:spacing w:val="-12"/>
                                      <w:sz w:val="20"/>
                                    </w:rPr>
                                    <w:t> </w:t>
                                  </w:r>
                                  <w:r>
                                    <w:rPr>
                                      <w:sz w:val="20"/>
                                    </w:rPr>
                                    <w:t>Agreement pursuant to 2003 Equity Incentive Plan*</w:t>
                                  </w:r>
                                </w:p>
                              </w:tc>
                              <w:tc>
                                <w:tcPr>
                                  <w:tcW w:w="691" w:type="dxa"/>
                                </w:tcPr>
                                <w:p>
                                  <w:pPr>
                                    <w:pStyle w:val="TableParagraph"/>
                                    <w:spacing w:before="131"/>
                                    <w:ind w:right="10"/>
                                    <w:jc w:val="center"/>
                                    <w:rPr>
                                      <w:sz w:val="20"/>
                                    </w:rPr>
                                  </w:pPr>
                                  <w:r>
                                    <w:rPr>
                                      <w:spacing w:val="-2"/>
                                      <w:sz w:val="20"/>
                                    </w:rPr>
                                    <w:t>8-</w:t>
                                  </w:r>
                                  <w:r>
                                    <w:rPr>
                                      <w:spacing w:val="-10"/>
                                      <w:sz w:val="20"/>
                                    </w:rPr>
                                    <w:t>K</w:t>
                                  </w:r>
                                </w:p>
                              </w:tc>
                              <w:tc>
                                <w:tcPr>
                                  <w:tcW w:w="1075" w:type="dxa"/>
                                </w:tcPr>
                                <w:p>
                                  <w:pPr>
                                    <w:pStyle w:val="TableParagraph"/>
                                    <w:spacing w:before="131"/>
                                    <w:ind w:right="104"/>
                                    <w:jc w:val="right"/>
                                    <w:rPr>
                                      <w:sz w:val="20"/>
                                    </w:rPr>
                                  </w:pPr>
                                  <w:r>
                                    <w:rPr>
                                      <w:spacing w:val="-2"/>
                                      <w:sz w:val="20"/>
                                    </w:rPr>
                                    <w:t>1/27/17</w:t>
                                  </w:r>
                                </w:p>
                              </w:tc>
                              <w:tc>
                                <w:tcPr>
                                  <w:tcW w:w="811" w:type="dxa"/>
                                </w:tcPr>
                                <w:p>
                                  <w:pPr>
                                    <w:pStyle w:val="TableParagraph"/>
                                    <w:spacing w:before="131"/>
                                    <w:ind w:right="124"/>
                                    <w:jc w:val="right"/>
                                    <w:rPr>
                                      <w:sz w:val="20"/>
                                    </w:rPr>
                                  </w:pPr>
                                  <w:r>
                                    <w:rPr>
                                      <w:spacing w:val="-4"/>
                                      <w:sz w:val="20"/>
                                    </w:rPr>
                                    <w:t>10.6</w:t>
                                  </w:r>
                                </w:p>
                              </w:tc>
                              <w:tc>
                                <w:tcPr>
                                  <w:tcW w:w="1159" w:type="dxa"/>
                                </w:tcPr>
                                <w:p>
                                  <w:pPr>
                                    <w:pStyle w:val="TableParagraph"/>
                                    <w:spacing w:before="131"/>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10.3D</w:t>
                                  </w:r>
                                </w:p>
                              </w:tc>
                              <w:tc>
                                <w:tcPr>
                                  <w:tcW w:w="4775" w:type="dxa"/>
                                </w:tcPr>
                                <w:p>
                                  <w:pPr>
                                    <w:pStyle w:val="TableParagraph"/>
                                    <w:spacing w:line="208" w:lineRule="auto" w:before="175"/>
                                    <w:ind w:left="95"/>
                                    <w:rPr>
                                      <w:sz w:val="20"/>
                                    </w:rPr>
                                  </w:pPr>
                                  <w:r>
                                    <w:rPr>
                                      <w:sz w:val="20"/>
                                    </w:rPr>
                                    <w:t>Form</w:t>
                                  </w:r>
                                  <w:r>
                                    <w:rPr>
                                      <w:spacing w:val="-10"/>
                                      <w:sz w:val="20"/>
                                    </w:rPr>
                                    <w:t> </w:t>
                                  </w:r>
                                  <w:r>
                                    <w:rPr>
                                      <w:sz w:val="20"/>
                                    </w:rPr>
                                    <w:t>of</w:t>
                                  </w:r>
                                  <w:r>
                                    <w:rPr>
                                      <w:spacing w:val="-6"/>
                                      <w:sz w:val="20"/>
                                    </w:rPr>
                                    <w:t> </w:t>
                                  </w:r>
                                  <w:r>
                                    <w:rPr>
                                      <w:sz w:val="20"/>
                                    </w:rPr>
                                    <w:t>Restricted</w:t>
                                  </w:r>
                                  <w:r>
                                    <w:rPr>
                                      <w:spacing w:val="-6"/>
                                      <w:sz w:val="20"/>
                                    </w:rPr>
                                    <w:t> </w:t>
                                  </w:r>
                                  <w:r>
                                    <w:rPr>
                                      <w:sz w:val="20"/>
                                    </w:rPr>
                                    <w:t>Stock</w:t>
                                  </w:r>
                                  <w:r>
                                    <w:rPr>
                                      <w:spacing w:val="-13"/>
                                      <w:sz w:val="20"/>
                                    </w:rPr>
                                    <w:t> </w:t>
                                  </w:r>
                                  <w:r>
                                    <w:rPr>
                                      <w:sz w:val="20"/>
                                    </w:rPr>
                                    <w:t>Agreement</w:t>
                                  </w:r>
                                  <w:r>
                                    <w:rPr>
                                      <w:spacing w:val="-5"/>
                                      <w:sz w:val="20"/>
                                    </w:rPr>
                                    <w:t> </w:t>
                                  </w:r>
                                  <w:r>
                                    <w:rPr>
                                      <w:sz w:val="20"/>
                                    </w:rPr>
                                    <w:t>used</w:t>
                                  </w:r>
                                  <w:r>
                                    <w:rPr>
                                      <w:spacing w:val="-6"/>
                                      <w:sz w:val="20"/>
                                    </w:rPr>
                                    <w:t> </w:t>
                                  </w:r>
                                  <w:r>
                                    <w:rPr>
                                      <w:sz w:val="20"/>
                                    </w:rPr>
                                    <w:t>in</w:t>
                                  </w:r>
                                  <w:r>
                                    <w:rPr>
                                      <w:spacing w:val="-6"/>
                                      <w:sz w:val="20"/>
                                    </w:rPr>
                                    <w:t> </w:t>
                                  </w:r>
                                  <w:r>
                                    <w:rPr>
                                      <w:sz w:val="20"/>
                                    </w:rPr>
                                    <w:t>connection with the 2003 Equity Incentive Plan*</w:t>
                                  </w:r>
                                </w:p>
                              </w:tc>
                              <w:tc>
                                <w:tcPr>
                                  <w:tcW w:w="691" w:type="dxa"/>
                                </w:tcPr>
                                <w:p>
                                  <w:pPr>
                                    <w:pStyle w:val="TableParagraph"/>
                                    <w:spacing w:before="150"/>
                                    <w:ind w:right="10"/>
                                    <w:jc w:val="center"/>
                                    <w:rPr>
                                      <w:sz w:val="20"/>
                                    </w:rPr>
                                  </w:pPr>
                                  <w:r>
                                    <w:rPr>
                                      <w:spacing w:val="-2"/>
                                      <w:sz w:val="20"/>
                                    </w:rPr>
                                    <w:t>10-</w:t>
                                  </w:r>
                                  <w:r>
                                    <w:rPr>
                                      <w:spacing w:val="-10"/>
                                      <w:sz w:val="20"/>
                                    </w:rPr>
                                    <w:t>Q</w:t>
                                  </w:r>
                                </w:p>
                              </w:tc>
                              <w:tc>
                                <w:tcPr>
                                  <w:tcW w:w="1075" w:type="dxa"/>
                                </w:tcPr>
                                <w:p>
                                  <w:pPr>
                                    <w:pStyle w:val="TableParagraph"/>
                                    <w:spacing w:before="150"/>
                                    <w:ind w:right="104"/>
                                    <w:jc w:val="right"/>
                                    <w:rPr>
                                      <w:sz w:val="20"/>
                                    </w:rPr>
                                  </w:pPr>
                                  <w:r>
                                    <w:rPr>
                                      <w:spacing w:val="-2"/>
                                      <w:sz w:val="20"/>
                                    </w:rPr>
                                    <w:t>10/7/04</w:t>
                                  </w:r>
                                </w:p>
                              </w:tc>
                              <w:tc>
                                <w:tcPr>
                                  <w:tcW w:w="811" w:type="dxa"/>
                                </w:tcPr>
                                <w:p>
                                  <w:pPr>
                                    <w:pStyle w:val="TableParagraph"/>
                                    <w:spacing w:before="150"/>
                                    <w:ind w:right="124"/>
                                    <w:jc w:val="right"/>
                                    <w:rPr>
                                      <w:sz w:val="20"/>
                                    </w:rPr>
                                  </w:pPr>
                                  <w:r>
                                    <w:rPr>
                                      <w:spacing w:val="-2"/>
                                      <w:sz w:val="20"/>
                                    </w:rPr>
                                    <w:t>10.11</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10.3E</w:t>
                                  </w:r>
                                </w:p>
                              </w:tc>
                              <w:tc>
                                <w:tcPr>
                                  <w:tcW w:w="4775" w:type="dxa"/>
                                </w:tcPr>
                                <w:p>
                                  <w:pPr>
                                    <w:pStyle w:val="TableParagraph"/>
                                    <w:spacing w:line="208" w:lineRule="auto" w:before="175"/>
                                    <w:ind w:left="95"/>
                                    <w:rPr>
                                      <w:sz w:val="20"/>
                                    </w:rPr>
                                  </w:pPr>
                                  <w:r>
                                    <w:rPr>
                                      <w:sz w:val="20"/>
                                    </w:rPr>
                                    <w:t>2013</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91" w:type="dxa"/>
                                </w:tcPr>
                                <w:p>
                                  <w:pPr>
                                    <w:pStyle w:val="TableParagraph"/>
                                    <w:spacing w:before="150"/>
                                    <w:ind w:right="10"/>
                                    <w:jc w:val="center"/>
                                    <w:rPr>
                                      <w:sz w:val="20"/>
                                    </w:rPr>
                                  </w:pPr>
                                  <w:r>
                                    <w:rPr>
                                      <w:spacing w:val="-2"/>
                                      <w:sz w:val="20"/>
                                    </w:rPr>
                                    <w:t>8-</w:t>
                                  </w:r>
                                  <w:r>
                                    <w:rPr>
                                      <w:spacing w:val="-10"/>
                                      <w:sz w:val="20"/>
                                    </w:rPr>
                                    <w:t>K</w:t>
                                  </w:r>
                                </w:p>
                              </w:tc>
                              <w:tc>
                                <w:tcPr>
                                  <w:tcW w:w="1075" w:type="dxa"/>
                                </w:tcPr>
                                <w:p>
                                  <w:pPr>
                                    <w:pStyle w:val="TableParagraph"/>
                                    <w:spacing w:before="150"/>
                                    <w:ind w:right="104"/>
                                    <w:jc w:val="right"/>
                                    <w:rPr>
                                      <w:sz w:val="20"/>
                                    </w:rPr>
                                  </w:pPr>
                                  <w:r>
                                    <w:rPr>
                                      <w:spacing w:val="-2"/>
                                      <w:sz w:val="20"/>
                                    </w:rPr>
                                    <w:t>1/28/13</w:t>
                                  </w:r>
                                </w:p>
                              </w:tc>
                              <w:tc>
                                <w:tcPr>
                                  <w:tcW w:w="811" w:type="dxa"/>
                                </w:tcPr>
                                <w:p>
                                  <w:pPr>
                                    <w:pStyle w:val="TableParagraph"/>
                                    <w:spacing w:before="150"/>
                                    <w:ind w:right="124"/>
                                    <w:jc w:val="right"/>
                                    <w:rPr>
                                      <w:sz w:val="20"/>
                                    </w:rPr>
                                  </w:pPr>
                                  <w:r>
                                    <w:rPr>
                                      <w:spacing w:val="-4"/>
                                      <w:sz w:val="20"/>
                                    </w:rPr>
                                    <w:t>10.2</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1130" w:hRule="atLeast"/>
                              </w:trPr>
                              <w:tc>
                                <w:tcPr>
                                  <w:tcW w:w="868" w:type="dxa"/>
                                </w:tcPr>
                                <w:p>
                                  <w:pPr>
                                    <w:pStyle w:val="TableParagraph"/>
                                    <w:spacing w:before="150"/>
                                    <w:ind w:right="103"/>
                                    <w:jc w:val="right"/>
                                    <w:rPr>
                                      <w:sz w:val="20"/>
                                    </w:rPr>
                                  </w:pPr>
                                  <w:r>
                                    <w:rPr>
                                      <w:spacing w:val="-2"/>
                                      <w:sz w:val="20"/>
                                    </w:rPr>
                                    <w:t>10.3F</w:t>
                                  </w:r>
                                </w:p>
                              </w:tc>
                              <w:tc>
                                <w:tcPr>
                                  <w:tcW w:w="4775" w:type="dxa"/>
                                </w:tcPr>
                                <w:p>
                                  <w:pPr>
                                    <w:pStyle w:val="TableParagraph"/>
                                    <w:spacing w:line="208" w:lineRule="auto" w:before="175"/>
                                    <w:ind w:left="95" w:right="146"/>
                                    <w:rPr>
                                      <w:sz w:val="20"/>
                                    </w:rPr>
                                  </w:pPr>
                                  <w:r>
                                    <w:rPr>
                                      <w:sz w:val="20"/>
                                    </w:rPr>
                                    <w:t>Form</w:t>
                                  </w:r>
                                  <w:r>
                                    <w:rPr>
                                      <w:spacing w:val="-4"/>
                                      <w:sz w:val="20"/>
                                    </w:rPr>
                                    <w:t> </w:t>
                                  </w:r>
                                  <w:r>
                                    <w:rPr>
                                      <w:sz w:val="20"/>
                                    </w:rPr>
                                    <w:t>of</w:t>
                                  </w:r>
                                  <w:r>
                                    <w:rPr>
                                      <w:spacing w:val="-3"/>
                                      <w:sz w:val="20"/>
                                    </w:rPr>
                                    <w:t> </w:t>
                                  </w:r>
                                  <w:r>
                                    <w:rPr>
                                      <w:sz w:val="20"/>
                                    </w:rPr>
                                    <w:t>Performance</w:t>
                                  </w:r>
                                  <w:r>
                                    <w:rPr>
                                      <w:spacing w:val="-3"/>
                                      <w:sz w:val="20"/>
                                    </w:rPr>
                                    <w:t> </w:t>
                                  </w:r>
                                  <w:r>
                                    <w:rPr>
                                      <w:sz w:val="20"/>
                                    </w:rPr>
                                    <w:t>Share</w:t>
                                  </w:r>
                                  <w:r>
                                    <w:rPr>
                                      <w:spacing w:val="-13"/>
                                      <w:sz w:val="20"/>
                                    </w:rPr>
                                    <w:t> </w:t>
                                  </w:r>
                                  <w:r>
                                    <w:rPr>
                                      <w:sz w:val="20"/>
                                    </w:rPr>
                                    <w:t>Award</w:t>
                                  </w:r>
                                  <w:r>
                                    <w:rPr>
                                      <w:spacing w:val="-2"/>
                                      <w:sz w:val="20"/>
                                    </w:rPr>
                                    <w:t> </w:t>
                                  </w:r>
                                  <w:r>
                                    <w:rPr>
                                      <w:sz w:val="20"/>
                                    </w:rPr>
                                    <w:t>Grant</w:t>
                                  </w:r>
                                  <w:r>
                                    <w:rPr>
                                      <w:spacing w:val="-3"/>
                                      <w:sz w:val="20"/>
                                    </w:rPr>
                                    <w:t> </w:t>
                                  </w:r>
                                  <w:r>
                                    <w:rPr>
                                      <w:sz w:val="20"/>
                                    </w:rPr>
                                    <w:t>Notice</w:t>
                                  </w:r>
                                  <w:r>
                                    <w:rPr>
                                      <w:spacing w:val="-3"/>
                                      <w:sz w:val="20"/>
                                    </w:rPr>
                                    <w:t> </w:t>
                                  </w:r>
                                  <w:r>
                                    <w:rPr>
                                      <w:sz w:val="20"/>
                                    </w:rPr>
                                    <w:t>and Performance</w:t>
                                  </w:r>
                                  <w:r>
                                    <w:rPr>
                                      <w:spacing w:val="-13"/>
                                      <w:sz w:val="20"/>
                                    </w:rPr>
                                    <w:t> </w:t>
                                  </w:r>
                                  <w:r>
                                    <w:rPr>
                                      <w:sz w:val="20"/>
                                    </w:rPr>
                                    <w:t>Share</w:t>
                                  </w:r>
                                  <w:r>
                                    <w:rPr>
                                      <w:spacing w:val="-12"/>
                                      <w:sz w:val="20"/>
                                    </w:rPr>
                                    <w:t> </w:t>
                                  </w:r>
                                  <w:r>
                                    <w:rPr>
                                      <w:sz w:val="20"/>
                                    </w:rPr>
                                    <w:t>Award</w:t>
                                  </w:r>
                                  <w:r>
                                    <w:rPr>
                                      <w:spacing w:val="-13"/>
                                      <w:sz w:val="20"/>
                                    </w:rPr>
                                    <w:t> </w:t>
                                  </w:r>
                                  <w:r>
                                    <w:rPr>
                                      <w:sz w:val="20"/>
                                    </w:rPr>
                                    <w:t>Agreement</w:t>
                                  </w:r>
                                  <w:r>
                                    <w:rPr>
                                      <w:spacing w:val="-12"/>
                                      <w:sz w:val="20"/>
                                    </w:rPr>
                                    <w:t> </w:t>
                                  </w:r>
                                  <w:r>
                                    <w:rPr>
                                      <w:sz w:val="20"/>
                                    </w:rPr>
                                    <w:t>pursuant</w:t>
                                  </w:r>
                                  <w:r>
                                    <w:rPr>
                                      <w:spacing w:val="-13"/>
                                      <w:sz w:val="20"/>
                                    </w:rPr>
                                    <w:t> </w:t>
                                  </w:r>
                                  <w:r>
                                    <w:rPr>
                                      <w:sz w:val="20"/>
                                    </w:rPr>
                                    <w:t>to</w:t>
                                  </w:r>
                                  <w:r>
                                    <w:rPr>
                                      <w:spacing w:val="-12"/>
                                      <w:sz w:val="20"/>
                                    </w:rPr>
                                    <w:t> </w:t>
                                  </w:r>
                                  <w:r>
                                    <w:rPr>
                                      <w:sz w:val="20"/>
                                    </w:rPr>
                                    <w:t>the 2003 Equity Incentive Plan (applicable to the 2013 Performance Share Program)*</w:t>
                                  </w:r>
                                </w:p>
                              </w:tc>
                              <w:tc>
                                <w:tcPr>
                                  <w:tcW w:w="691" w:type="dxa"/>
                                </w:tcPr>
                                <w:p>
                                  <w:pPr>
                                    <w:pStyle w:val="TableParagraph"/>
                                    <w:spacing w:before="150"/>
                                    <w:ind w:right="10"/>
                                    <w:jc w:val="center"/>
                                    <w:rPr>
                                      <w:sz w:val="20"/>
                                    </w:rPr>
                                  </w:pPr>
                                  <w:r>
                                    <w:rPr>
                                      <w:spacing w:val="-2"/>
                                      <w:sz w:val="20"/>
                                    </w:rPr>
                                    <w:t>8-</w:t>
                                  </w:r>
                                  <w:r>
                                    <w:rPr>
                                      <w:spacing w:val="-10"/>
                                      <w:sz w:val="20"/>
                                    </w:rPr>
                                    <w:t>K</w:t>
                                  </w:r>
                                </w:p>
                              </w:tc>
                              <w:tc>
                                <w:tcPr>
                                  <w:tcW w:w="1075" w:type="dxa"/>
                                </w:tcPr>
                                <w:p>
                                  <w:pPr>
                                    <w:pStyle w:val="TableParagraph"/>
                                    <w:spacing w:before="150"/>
                                    <w:ind w:right="104"/>
                                    <w:jc w:val="right"/>
                                    <w:rPr>
                                      <w:sz w:val="20"/>
                                    </w:rPr>
                                  </w:pPr>
                                  <w:r>
                                    <w:rPr>
                                      <w:spacing w:val="-2"/>
                                      <w:sz w:val="20"/>
                                    </w:rPr>
                                    <w:t>1/28/13</w:t>
                                  </w:r>
                                </w:p>
                              </w:tc>
                              <w:tc>
                                <w:tcPr>
                                  <w:tcW w:w="811" w:type="dxa"/>
                                </w:tcPr>
                                <w:p>
                                  <w:pPr>
                                    <w:pStyle w:val="TableParagraph"/>
                                    <w:spacing w:before="150"/>
                                    <w:ind w:right="124"/>
                                    <w:jc w:val="right"/>
                                    <w:rPr>
                                      <w:sz w:val="20"/>
                                    </w:rPr>
                                  </w:pPr>
                                  <w:r>
                                    <w:rPr>
                                      <w:spacing w:val="-4"/>
                                      <w:sz w:val="20"/>
                                    </w:rPr>
                                    <w:t>10.3</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40"/>
                                    <w:ind w:right="103"/>
                                    <w:jc w:val="right"/>
                                    <w:rPr>
                                      <w:sz w:val="20"/>
                                    </w:rPr>
                                  </w:pPr>
                                  <w:r>
                                    <w:rPr>
                                      <w:spacing w:val="-2"/>
                                      <w:sz w:val="20"/>
                                    </w:rPr>
                                    <w:t>10.3G</w:t>
                                  </w:r>
                                </w:p>
                              </w:tc>
                              <w:tc>
                                <w:tcPr>
                                  <w:tcW w:w="4775" w:type="dxa"/>
                                </w:tcPr>
                                <w:p>
                                  <w:pPr>
                                    <w:pStyle w:val="TableParagraph"/>
                                    <w:spacing w:line="208" w:lineRule="auto" w:before="165"/>
                                    <w:ind w:left="95"/>
                                    <w:rPr>
                                      <w:sz w:val="20"/>
                                    </w:rPr>
                                  </w:pPr>
                                  <w:r>
                                    <w:rPr>
                                      <w:sz w:val="20"/>
                                    </w:rPr>
                                    <w:t>2014</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91" w:type="dxa"/>
                                </w:tcPr>
                                <w:p>
                                  <w:pPr>
                                    <w:pStyle w:val="TableParagraph"/>
                                    <w:spacing w:before="140"/>
                                    <w:ind w:right="10"/>
                                    <w:jc w:val="center"/>
                                    <w:rPr>
                                      <w:sz w:val="20"/>
                                    </w:rPr>
                                  </w:pPr>
                                  <w:r>
                                    <w:rPr>
                                      <w:spacing w:val="-2"/>
                                      <w:sz w:val="20"/>
                                    </w:rPr>
                                    <w:t>8-</w:t>
                                  </w:r>
                                  <w:r>
                                    <w:rPr>
                                      <w:spacing w:val="-10"/>
                                      <w:sz w:val="20"/>
                                    </w:rPr>
                                    <w:t>K</w:t>
                                  </w:r>
                                </w:p>
                              </w:tc>
                              <w:tc>
                                <w:tcPr>
                                  <w:tcW w:w="1075" w:type="dxa"/>
                                </w:tcPr>
                                <w:p>
                                  <w:pPr>
                                    <w:pStyle w:val="TableParagraph"/>
                                    <w:spacing w:before="140"/>
                                    <w:ind w:right="104"/>
                                    <w:jc w:val="right"/>
                                    <w:rPr>
                                      <w:sz w:val="20"/>
                                    </w:rPr>
                                  </w:pPr>
                                  <w:r>
                                    <w:rPr>
                                      <w:spacing w:val="-2"/>
                                      <w:sz w:val="20"/>
                                    </w:rPr>
                                    <w:t>1/29/14</w:t>
                                  </w:r>
                                </w:p>
                              </w:tc>
                              <w:tc>
                                <w:tcPr>
                                  <w:tcW w:w="811" w:type="dxa"/>
                                </w:tcPr>
                                <w:p>
                                  <w:pPr>
                                    <w:pStyle w:val="TableParagraph"/>
                                    <w:spacing w:before="140"/>
                                    <w:ind w:right="124"/>
                                    <w:jc w:val="right"/>
                                    <w:rPr>
                                      <w:sz w:val="20"/>
                                    </w:rPr>
                                  </w:pPr>
                                  <w:r>
                                    <w:rPr>
                                      <w:spacing w:val="-4"/>
                                      <w:sz w:val="20"/>
                                    </w:rPr>
                                    <w:t>10.2</w:t>
                                  </w:r>
                                </w:p>
                              </w:tc>
                              <w:tc>
                                <w:tcPr>
                                  <w:tcW w:w="1159" w:type="dxa"/>
                                </w:tcPr>
                                <w:p>
                                  <w:pPr>
                                    <w:pStyle w:val="TableParagraph"/>
                                    <w:spacing w:before="14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1150" w:hRule="atLeast"/>
                              </w:trPr>
                              <w:tc>
                                <w:tcPr>
                                  <w:tcW w:w="868" w:type="dxa"/>
                                </w:tcPr>
                                <w:p>
                                  <w:pPr>
                                    <w:pStyle w:val="TableParagraph"/>
                                    <w:spacing w:before="160"/>
                                    <w:ind w:right="103"/>
                                    <w:jc w:val="right"/>
                                    <w:rPr>
                                      <w:sz w:val="20"/>
                                    </w:rPr>
                                  </w:pPr>
                                  <w:r>
                                    <w:rPr>
                                      <w:spacing w:val="-2"/>
                                      <w:sz w:val="20"/>
                                    </w:rPr>
                                    <w:t>10.3H</w:t>
                                  </w:r>
                                </w:p>
                              </w:tc>
                              <w:tc>
                                <w:tcPr>
                                  <w:tcW w:w="4775" w:type="dxa"/>
                                </w:tcPr>
                                <w:p>
                                  <w:pPr>
                                    <w:pStyle w:val="TableParagraph"/>
                                    <w:spacing w:line="208" w:lineRule="auto" w:before="185"/>
                                    <w:ind w:left="95" w:right="146"/>
                                    <w:rPr>
                                      <w:sz w:val="20"/>
                                    </w:rPr>
                                  </w:pPr>
                                  <w:r>
                                    <w:rPr>
                                      <w:sz w:val="20"/>
                                    </w:rPr>
                                    <w:t>Form</w:t>
                                  </w:r>
                                  <w:r>
                                    <w:rPr>
                                      <w:spacing w:val="-4"/>
                                      <w:sz w:val="20"/>
                                    </w:rPr>
                                    <w:t> </w:t>
                                  </w:r>
                                  <w:r>
                                    <w:rPr>
                                      <w:sz w:val="20"/>
                                    </w:rPr>
                                    <w:t>of</w:t>
                                  </w:r>
                                  <w:r>
                                    <w:rPr>
                                      <w:spacing w:val="-3"/>
                                      <w:sz w:val="20"/>
                                    </w:rPr>
                                    <w:t> </w:t>
                                  </w:r>
                                  <w:r>
                                    <w:rPr>
                                      <w:sz w:val="20"/>
                                    </w:rPr>
                                    <w:t>Performance</w:t>
                                  </w:r>
                                  <w:r>
                                    <w:rPr>
                                      <w:spacing w:val="-3"/>
                                      <w:sz w:val="20"/>
                                    </w:rPr>
                                    <w:t> </w:t>
                                  </w:r>
                                  <w:r>
                                    <w:rPr>
                                      <w:sz w:val="20"/>
                                    </w:rPr>
                                    <w:t>Share</w:t>
                                  </w:r>
                                  <w:r>
                                    <w:rPr>
                                      <w:spacing w:val="-13"/>
                                      <w:sz w:val="20"/>
                                    </w:rPr>
                                    <w:t> </w:t>
                                  </w:r>
                                  <w:r>
                                    <w:rPr>
                                      <w:sz w:val="20"/>
                                    </w:rPr>
                                    <w:t>Award</w:t>
                                  </w:r>
                                  <w:r>
                                    <w:rPr>
                                      <w:spacing w:val="-2"/>
                                      <w:sz w:val="20"/>
                                    </w:rPr>
                                    <w:t> </w:t>
                                  </w:r>
                                  <w:r>
                                    <w:rPr>
                                      <w:sz w:val="20"/>
                                    </w:rPr>
                                    <w:t>Grant</w:t>
                                  </w:r>
                                  <w:r>
                                    <w:rPr>
                                      <w:spacing w:val="-3"/>
                                      <w:sz w:val="20"/>
                                    </w:rPr>
                                    <w:t> </w:t>
                                  </w:r>
                                  <w:r>
                                    <w:rPr>
                                      <w:sz w:val="20"/>
                                    </w:rPr>
                                    <w:t>Notice</w:t>
                                  </w:r>
                                  <w:r>
                                    <w:rPr>
                                      <w:spacing w:val="-3"/>
                                      <w:sz w:val="20"/>
                                    </w:rPr>
                                    <w:t> </w:t>
                                  </w:r>
                                  <w:r>
                                    <w:rPr>
                                      <w:sz w:val="20"/>
                                    </w:rPr>
                                    <w:t>and Performance</w:t>
                                  </w:r>
                                  <w:r>
                                    <w:rPr>
                                      <w:spacing w:val="-13"/>
                                      <w:sz w:val="20"/>
                                    </w:rPr>
                                    <w:t> </w:t>
                                  </w:r>
                                  <w:r>
                                    <w:rPr>
                                      <w:sz w:val="20"/>
                                    </w:rPr>
                                    <w:t>Share</w:t>
                                  </w:r>
                                  <w:r>
                                    <w:rPr>
                                      <w:spacing w:val="-12"/>
                                      <w:sz w:val="20"/>
                                    </w:rPr>
                                    <w:t> </w:t>
                                  </w:r>
                                  <w:r>
                                    <w:rPr>
                                      <w:sz w:val="20"/>
                                    </w:rPr>
                                    <w:t>Award</w:t>
                                  </w:r>
                                  <w:r>
                                    <w:rPr>
                                      <w:spacing w:val="-13"/>
                                      <w:sz w:val="20"/>
                                    </w:rPr>
                                    <w:t> </w:t>
                                  </w:r>
                                  <w:r>
                                    <w:rPr>
                                      <w:sz w:val="20"/>
                                    </w:rPr>
                                    <w:t>Agreement</w:t>
                                  </w:r>
                                  <w:r>
                                    <w:rPr>
                                      <w:spacing w:val="-12"/>
                                      <w:sz w:val="20"/>
                                    </w:rPr>
                                    <w:t> </w:t>
                                  </w:r>
                                  <w:r>
                                    <w:rPr>
                                      <w:sz w:val="20"/>
                                    </w:rPr>
                                    <w:t>pursuant</w:t>
                                  </w:r>
                                  <w:r>
                                    <w:rPr>
                                      <w:spacing w:val="-13"/>
                                      <w:sz w:val="20"/>
                                    </w:rPr>
                                    <w:t> </w:t>
                                  </w:r>
                                  <w:r>
                                    <w:rPr>
                                      <w:sz w:val="20"/>
                                    </w:rPr>
                                    <w:t>to</w:t>
                                  </w:r>
                                  <w:r>
                                    <w:rPr>
                                      <w:spacing w:val="-12"/>
                                      <w:sz w:val="20"/>
                                    </w:rPr>
                                    <w:t> </w:t>
                                  </w:r>
                                  <w:r>
                                    <w:rPr>
                                      <w:sz w:val="20"/>
                                    </w:rPr>
                                    <w:t>the 2003 Equity Incentive Plan (applicable to the 2014 Performance Share Program)*</w:t>
                                  </w:r>
                                </w:p>
                              </w:tc>
                              <w:tc>
                                <w:tcPr>
                                  <w:tcW w:w="691" w:type="dxa"/>
                                </w:tcPr>
                                <w:p>
                                  <w:pPr>
                                    <w:pStyle w:val="TableParagraph"/>
                                    <w:spacing w:before="160"/>
                                    <w:ind w:right="10"/>
                                    <w:jc w:val="center"/>
                                    <w:rPr>
                                      <w:sz w:val="20"/>
                                    </w:rPr>
                                  </w:pPr>
                                  <w:r>
                                    <w:rPr>
                                      <w:spacing w:val="-2"/>
                                      <w:sz w:val="20"/>
                                    </w:rPr>
                                    <w:t>8-</w:t>
                                  </w:r>
                                  <w:r>
                                    <w:rPr>
                                      <w:spacing w:val="-10"/>
                                      <w:sz w:val="20"/>
                                    </w:rPr>
                                    <w:t>K</w:t>
                                  </w:r>
                                </w:p>
                              </w:tc>
                              <w:tc>
                                <w:tcPr>
                                  <w:tcW w:w="1075" w:type="dxa"/>
                                </w:tcPr>
                                <w:p>
                                  <w:pPr>
                                    <w:pStyle w:val="TableParagraph"/>
                                    <w:spacing w:before="160"/>
                                    <w:ind w:right="104"/>
                                    <w:jc w:val="right"/>
                                    <w:rPr>
                                      <w:sz w:val="20"/>
                                    </w:rPr>
                                  </w:pPr>
                                  <w:r>
                                    <w:rPr>
                                      <w:spacing w:val="-2"/>
                                      <w:sz w:val="20"/>
                                    </w:rPr>
                                    <w:t>1/29/14</w:t>
                                  </w:r>
                                </w:p>
                              </w:tc>
                              <w:tc>
                                <w:tcPr>
                                  <w:tcW w:w="811" w:type="dxa"/>
                                </w:tcPr>
                                <w:p>
                                  <w:pPr>
                                    <w:pStyle w:val="TableParagraph"/>
                                    <w:spacing w:before="160"/>
                                    <w:ind w:right="124"/>
                                    <w:jc w:val="right"/>
                                    <w:rPr>
                                      <w:sz w:val="20"/>
                                    </w:rPr>
                                  </w:pPr>
                                  <w:r>
                                    <w:rPr>
                                      <w:spacing w:val="-4"/>
                                      <w:sz w:val="20"/>
                                    </w:rPr>
                                    <w:t>10.3</w:t>
                                  </w:r>
                                </w:p>
                              </w:tc>
                              <w:tc>
                                <w:tcPr>
                                  <w:tcW w:w="1159" w:type="dxa"/>
                                </w:tcPr>
                                <w:p>
                                  <w:pPr>
                                    <w:pStyle w:val="TableParagraph"/>
                                    <w:spacing w:before="16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10.3I</w:t>
                                  </w:r>
                                </w:p>
                              </w:tc>
                              <w:tc>
                                <w:tcPr>
                                  <w:tcW w:w="4775" w:type="dxa"/>
                                </w:tcPr>
                                <w:p>
                                  <w:pPr>
                                    <w:pStyle w:val="TableParagraph"/>
                                    <w:spacing w:line="208" w:lineRule="auto" w:before="175"/>
                                    <w:ind w:left="95"/>
                                    <w:rPr>
                                      <w:sz w:val="20"/>
                                    </w:rPr>
                                  </w:pPr>
                                  <w:r>
                                    <w:rPr>
                                      <w:sz w:val="20"/>
                                    </w:rPr>
                                    <w:t>2015</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91" w:type="dxa"/>
                                </w:tcPr>
                                <w:p>
                                  <w:pPr>
                                    <w:pStyle w:val="TableParagraph"/>
                                    <w:spacing w:before="150"/>
                                    <w:ind w:right="10"/>
                                    <w:jc w:val="center"/>
                                    <w:rPr>
                                      <w:sz w:val="20"/>
                                    </w:rPr>
                                  </w:pPr>
                                  <w:r>
                                    <w:rPr>
                                      <w:spacing w:val="-2"/>
                                      <w:sz w:val="20"/>
                                    </w:rPr>
                                    <w:t>8-</w:t>
                                  </w:r>
                                  <w:r>
                                    <w:rPr>
                                      <w:spacing w:val="-10"/>
                                      <w:sz w:val="20"/>
                                    </w:rPr>
                                    <w:t>K</w:t>
                                  </w:r>
                                </w:p>
                              </w:tc>
                              <w:tc>
                                <w:tcPr>
                                  <w:tcW w:w="1075" w:type="dxa"/>
                                </w:tcPr>
                                <w:p>
                                  <w:pPr>
                                    <w:pStyle w:val="TableParagraph"/>
                                    <w:spacing w:before="150"/>
                                    <w:ind w:right="104"/>
                                    <w:jc w:val="right"/>
                                    <w:rPr>
                                      <w:sz w:val="20"/>
                                    </w:rPr>
                                  </w:pPr>
                                  <w:r>
                                    <w:rPr>
                                      <w:spacing w:val="-2"/>
                                      <w:sz w:val="20"/>
                                    </w:rPr>
                                    <w:t>1/28/15</w:t>
                                  </w:r>
                                </w:p>
                              </w:tc>
                              <w:tc>
                                <w:tcPr>
                                  <w:tcW w:w="811" w:type="dxa"/>
                                </w:tcPr>
                                <w:p>
                                  <w:pPr>
                                    <w:pStyle w:val="TableParagraph"/>
                                    <w:spacing w:before="150"/>
                                    <w:ind w:right="124"/>
                                    <w:jc w:val="right"/>
                                    <w:rPr>
                                      <w:sz w:val="20"/>
                                    </w:rPr>
                                  </w:pPr>
                                  <w:r>
                                    <w:rPr>
                                      <w:spacing w:val="-4"/>
                                      <w:sz w:val="20"/>
                                    </w:rPr>
                                    <w:t>10.2</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1140" w:hRule="atLeast"/>
                              </w:trPr>
                              <w:tc>
                                <w:tcPr>
                                  <w:tcW w:w="868" w:type="dxa"/>
                                </w:tcPr>
                                <w:p>
                                  <w:pPr>
                                    <w:pStyle w:val="TableParagraph"/>
                                    <w:spacing w:before="150"/>
                                    <w:ind w:right="103"/>
                                    <w:jc w:val="right"/>
                                    <w:rPr>
                                      <w:sz w:val="20"/>
                                    </w:rPr>
                                  </w:pPr>
                                  <w:r>
                                    <w:rPr>
                                      <w:spacing w:val="-2"/>
                                      <w:sz w:val="20"/>
                                    </w:rPr>
                                    <w:t>10.3J</w:t>
                                  </w:r>
                                </w:p>
                              </w:tc>
                              <w:tc>
                                <w:tcPr>
                                  <w:tcW w:w="4775" w:type="dxa"/>
                                </w:tcPr>
                                <w:p>
                                  <w:pPr>
                                    <w:pStyle w:val="TableParagraph"/>
                                    <w:spacing w:line="208" w:lineRule="auto" w:before="175"/>
                                    <w:ind w:left="95" w:right="146"/>
                                    <w:rPr>
                                      <w:sz w:val="20"/>
                                    </w:rPr>
                                  </w:pPr>
                                  <w:r>
                                    <w:rPr>
                                      <w:sz w:val="20"/>
                                    </w:rPr>
                                    <w:t>Form</w:t>
                                  </w:r>
                                  <w:r>
                                    <w:rPr>
                                      <w:spacing w:val="-13"/>
                                      <w:sz w:val="20"/>
                                    </w:rPr>
                                    <w:t> </w:t>
                                  </w:r>
                                  <w:r>
                                    <w:rPr>
                                      <w:sz w:val="20"/>
                                    </w:rPr>
                                    <w:t>of</w:t>
                                  </w:r>
                                  <w:r>
                                    <w:rPr>
                                      <w:spacing w:val="-9"/>
                                      <w:sz w:val="20"/>
                                    </w:rPr>
                                    <w:t> </w:t>
                                  </w:r>
                                  <w:r>
                                    <w:rPr>
                                      <w:sz w:val="20"/>
                                    </w:rPr>
                                    <w:t>2015</w:t>
                                  </w:r>
                                  <w:r>
                                    <w:rPr>
                                      <w:spacing w:val="-9"/>
                                      <w:sz w:val="20"/>
                                    </w:rPr>
                                    <w:t> </w:t>
                                  </w:r>
                                  <w:r>
                                    <w:rPr>
                                      <w:sz w:val="20"/>
                                    </w:rPr>
                                    <w:t>Performance</w:t>
                                  </w:r>
                                  <w:r>
                                    <w:rPr>
                                      <w:spacing w:val="-9"/>
                                      <w:sz w:val="20"/>
                                    </w:rPr>
                                    <w:t> </w:t>
                                  </w:r>
                                  <w:r>
                                    <w:rPr>
                                      <w:sz w:val="20"/>
                                    </w:rPr>
                                    <w:t>Share</w:t>
                                  </w:r>
                                  <w:r>
                                    <w:rPr>
                                      <w:spacing w:val="-13"/>
                                      <w:sz w:val="20"/>
                                    </w:rPr>
                                    <w:t> </w:t>
                                  </w:r>
                                  <w:r>
                                    <w:rPr>
                                      <w:sz w:val="20"/>
                                    </w:rPr>
                                    <w:t>Award</w:t>
                                  </w:r>
                                  <w:r>
                                    <w:rPr>
                                      <w:spacing w:val="-8"/>
                                      <w:sz w:val="20"/>
                                    </w:rPr>
                                    <w:t> </w:t>
                                  </w:r>
                                  <w:r>
                                    <w:rPr>
                                      <w:sz w:val="20"/>
                                    </w:rPr>
                                    <w:t>Grant</w:t>
                                  </w:r>
                                  <w:r>
                                    <w:rPr>
                                      <w:spacing w:val="-9"/>
                                      <w:sz w:val="20"/>
                                    </w:rPr>
                                    <w:t> </w:t>
                                  </w:r>
                                  <w:r>
                                    <w:rPr>
                                      <w:sz w:val="20"/>
                                    </w:rPr>
                                    <w:t>Notice and Award Agreement pursuant to the 2003 Equity Incentive Plan (applicable to the 2015 Performance Share Program)*</w:t>
                                  </w:r>
                                </w:p>
                              </w:tc>
                              <w:tc>
                                <w:tcPr>
                                  <w:tcW w:w="691" w:type="dxa"/>
                                </w:tcPr>
                                <w:p>
                                  <w:pPr>
                                    <w:pStyle w:val="TableParagraph"/>
                                    <w:spacing w:before="150"/>
                                    <w:ind w:right="10"/>
                                    <w:jc w:val="center"/>
                                    <w:rPr>
                                      <w:sz w:val="20"/>
                                    </w:rPr>
                                  </w:pPr>
                                  <w:r>
                                    <w:rPr>
                                      <w:spacing w:val="-2"/>
                                      <w:sz w:val="20"/>
                                    </w:rPr>
                                    <w:t>8-</w:t>
                                  </w:r>
                                  <w:r>
                                    <w:rPr>
                                      <w:spacing w:val="-10"/>
                                      <w:sz w:val="20"/>
                                    </w:rPr>
                                    <w:t>K</w:t>
                                  </w:r>
                                </w:p>
                              </w:tc>
                              <w:tc>
                                <w:tcPr>
                                  <w:tcW w:w="1075" w:type="dxa"/>
                                </w:tcPr>
                                <w:p>
                                  <w:pPr>
                                    <w:pStyle w:val="TableParagraph"/>
                                    <w:spacing w:before="150"/>
                                    <w:ind w:right="104"/>
                                    <w:jc w:val="right"/>
                                    <w:rPr>
                                      <w:sz w:val="20"/>
                                    </w:rPr>
                                  </w:pPr>
                                  <w:r>
                                    <w:rPr>
                                      <w:spacing w:val="-2"/>
                                      <w:sz w:val="20"/>
                                    </w:rPr>
                                    <w:t>1/28/15</w:t>
                                  </w:r>
                                </w:p>
                              </w:tc>
                              <w:tc>
                                <w:tcPr>
                                  <w:tcW w:w="811" w:type="dxa"/>
                                </w:tcPr>
                                <w:p>
                                  <w:pPr>
                                    <w:pStyle w:val="TableParagraph"/>
                                    <w:spacing w:before="150"/>
                                    <w:ind w:right="124"/>
                                    <w:jc w:val="right"/>
                                    <w:rPr>
                                      <w:sz w:val="20"/>
                                    </w:rPr>
                                  </w:pPr>
                                  <w:r>
                                    <w:rPr>
                                      <w:spacing w:val="-4"/>
                                      <w:sz w:val="20"/>
                                    </w:rPr>
                                    <w:t>10.3</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580" w:hRule="atLeast"/>
                              </w:trPr>
                              <w:tc>
                                <w:tcPr>
                                  <w:tcW w:w="868" w:type="dxa"/>
                                </w:tcPr>
                                <w:p>
                                  <w:pPr>
                                    <w:pStyle w:val="TableParagraph"/>
                                    <w:spacing w:before="150"/>
                                    <w:ind w:right="103"/>
                                    <w:jc w:val="right"/>
                                    <w:rPr>
                                      <w:sz w:val="20"/>
                                    </w:rPr>
                                  </w:pPr>
                                  <w:r>
                                    <w:rPr>
                                      <w:spacing w:val="-2"/>
                                      <w:sz w:val="20"/>
                                    </w:rPr>
                                    <w:t>10.3K</w:t>
                                  </w:r>
                                </w:p>
                              </w:tc>
                              <w:tc>
                                <w:tcPr>
                                  <w:tcW w:w="4775" w:type="dxa"/>
                                </w:tcPr>
                                <w:p>
                                  <w:pPr>
                                    <w:pStyle w:val="TableParagraph"/>
                                    <w:spacing w:line="200" w:lineRule="exact" w:before="160"/>
                                    <w:ind w:left="95"/>
                                    <w:rPr>
                                      <w:sz w:val="20"/>
                                    </w:rPr>
                                  </w:pPr>
                                  <w:r>
                                    <w:rPr>
                                      <w:sz w:val="20"/>
                                    </w:rPr>
                                    <w:t>2016</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91" w:type="dxa"/>
                                </w:tcPr>
                                <w:p>
                                  <w:pPr>
                                    <w:pStyle w:val="TableParagraph"/>
                                    <w:spacing w:before="150"/>
                                    <w:ind w:right="10"/>
                                    <w:jc w:val="center"/>
                                    <w:rPr>
                                      <w:sz w:val="20"/>
                                    </w:rPr>
                                  </w:pPr>
                                  <w:r>
                                    <w:rPr>
                                      <w:spacing w:val="-2"/>
                                      <w:sz w:val="20"/>
                                    </w:rPr>
                                    <w:t>8-</w:t>
                                  </w:r>
                                  <w:r>
                                    <w:rPr>
                                      <w:spacing w:val="-10"/>
                                      <w:sz w:val="20"/>
                                    </w:rPr>
                                    <w:t>K</w:t>
                                  </w:r>
                                </w:p>
                              </w:tc>
                              <w:tc>
                                <w:tcPr>
                                  <w:tcW w:w="1075" w:type="dxa"/>
                                </w:tcPr>
                                <w:p>
                                  <w:pPr>
                                    <w:pStyle w:val="TableParagraph"/>
                                    <w:spacing w:before="150"/>
                                    <w:ind w:right="104"/>
                                    <w:jc w:val="right"/>
                                    <w:rPr>
                                      <w:sz w:val="20"/>
                                    </w:rPr>
                                  </w:pPr>
                                  <w:r>
                                    <w:rPr>
                                      <w:spacing w:val="-2"/>
                                      <w:sz w:val="20"/>
                                    </w:rPr>
                                    <w:t>1/29/16</w:t>
                                  </w:r>
                                </w:p>
                              </w:tc>
                              <w:tc>
                                <w:tcPr>
                                  <w:tcW w:w="811" w:type="dxa"/>
                                </w:tcPr>
                                <w:p>
                                  <w:pPr>
                                    <w:pStyle w:val="TableParagraph"/>
                                    <w:spacing w:before="150"/>
                                    <w:ind w:right="124"/>
                                    <w:jc w:val="right"/>
                                    <w:rPr>
                                      <w:sz w:val="20"/>
                                    </w:rPr>
                                  </w:pPr>
                                  <w:r>
                                    <w:rPr>
                                      <w:spacing w:val="-4"/>
                                      <w:sz w:val="20"/>
                                    </w:rPr>
                                    <w:t>10.2</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49.849998pt;margin-top:66.141090pt;width:515.65pt;height:660.85pt;mso-position-horizontal-relative:page;mso-position-vertical-relative:page;z-index:15840768" type="#_x0000_t202" id="docshape45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775"/>
                        <w:gridCol w:w="691"/>
                        <w:gridCol w:w="1075"/>
                        <w:gridCol w:w="811"/>
                        <w:gridCol w:w="1159"/>
                        <w:gridCol w:w="808"/>
                      </w:tblGrid>
                      <w:tr>
                        <w:trPr>
                          <w:trHeight w:val="217" w:hRule="atLeast"/>
                        </w:trPr>
                        <w:tc>
                          <w:tcPr>
                            <w:tcW w:w="868" w:type="dxa"/>
                            <w:tcBorders>
                              <w:bottom w:val="single" w:sz="8" w:space="0" w:color="000000"/>
                            </w:tcBorders>
                          </w:tcPr>
                          <w:p>
                            <w:pPr>
                              <w:pStyle w:val="TableParagraph"/>
                              <w:spacing w:line="180" w:lineRule="exact"/>
                              <w:ind w:left="100"/>
                              <w:rPr>
                                <w:b/>
                                <w:sz w:val="16"/>
                              </w:rPr>
                            </w:pPr>
                            <w:r>
                              <w:rPr>
                                <w:b/>
                                <w:spacing w:val="-2"/>
                                <w:sz w:val="16"/>
                              </w:rPr>
                              <w:t>Number</w:t>
                            </w:r>
                          </w:p>
                        </w:tc>
                        <w:tc>
                          <w:tcPr>
                            <w:tcW w:w="4775" w:type="dxa"/>
                            <w:tcBorders>
                              <w:bottom w:val="single" w:sz="8" w:space="0" w:color="000000"/>
                            </w:tcBorders>
                          </w:tcPr>
                          <w:p>
                            <w:pPr>
                              <w:pStyle w:val="TableParagraph"/>
                              <w:spacing w:line="177" w:lineRule="exact"/>
                              <w:ind w:right="3"/>
                              <w:jc w:val="center"/>
                              <w:rPr>
                                <w:b/>
                                <w:sz w:val="16"/>
                              </w:rPr>
                            </w:pPr>
                            <w:r>
                              <w:rPr>
                                <w:b/>
                                <w:sz w:val="16"/>
                              </w:rPr>
                              <w:t>Exhibit </w:t>
                            </w:r>
                            <w:r>
                              <w:rPr>
                                <w:b/>
                                <w:spacing w:val="-2"/>
                                <w:sz w:val="16"/>
                              </w:rPr>
                              <w:t>Description</w:t>
                            </w:r>
                          </w:p>
                        </w:tc>
                        <w:tc>
                          <w:tcPr>
                            <w:tcW w:w="691" w:type="dxa"/>
                            <w:tcBorders>
                              <w:bottom w:val="single" w:sz="8" w:space="0" w:color="000000"/>
                            </w:tcBorders>
                          </w:tcPr>
                          <w:p>
                            <w:pPr>
                              <w:pStyle w:val="TableParagraph"/>
                              <w:spacing w:line="177" w:lineRule="exact"/>
                              <w:ind w:right="10"/>
                              <w:jc w:val="center"/>
                              <w:rPr>
                                <w:b/>
                                <w:sz w:val="16"/>
                              </w:rPr>
                            </w:pPr>
                            <w:r>
                              <w:rPr>
                                <w:b/>
                                <w:spacing w:val="-4"/>
                                <w:sz w:val="16"/>
                              </w:rPr>
                              <w:t>Form</w:t>
                            </w:r>
                          </w:p>
                        </w:tc>
                        <w:tc>
                          <w:tcPr>
                            <w:tcW w:w="1075" w:type="dxa"/>
                            <w:tcBorders>
                              <w:bottom w:val="single" w:sz="8" w:space="0" w:color="000000"/>
                            </w:tcBorders>
                          </w:tcPr>
                          <w:p>
                            <w:pPr>
                              <w:pStyle w:val="TableParagraph"/>
                              <w:spacing w:line="177" w:lineRule="exact"/>
                              <w:ind w:right="163"/>
                              <w:jc w:val="right"/>
                              <w:rPr>
                                <w:b/>
                                <w:sz w:val="16"/>
                              </w:rPr>
                            </w:pPr>
                            <w:r>
                              <w:rPr>
                                <w:b/>
                                <w:sz w:val="16"/>
                              </w:rPr>
                              <w:t>Filing </w:t>
                            </w:r>
                            <w:r>
                              <w:rPr>
                                <w:b/>
                                <w:spacing w:val="-4"/>
                                <w:sz w:val="16"/>
                              </w:rPr>
                              <w:t>Date</w:t>
                            </w:r>
                          </w:p>
                        </w:tc>
                        <w:tc>
                          <w:tcPr>
                            <w:tcW w:w="811" w:type="dxa"/>
                            <w:tcBorders>
                              <w:bottom w:val="single" w:sz="8" w:space="0" w:color="000000"/>
                            </w:tcBorders>
                          </w:tcPr>
                          <w:p>
                            <w:pPr>
                              <w:pStyle w:val="TableParagraph"/>
                              <w:spacing w:line="180" w:lineRule="exact"/>
                              <w:ind w:right="129"/>
                              <w:jc w:val="right"/>
                              <w:rPr>
                                <w:b/>
                                <w:sz w:val="16"/>
                              </w:rPr>
                            </w:pPr>
                            <w:r>
                              <w:rPr>
                                <w:b/>
                                <w:spacing w:val="-2"/>
                                <w:sz w:val="16"/>
                              </w:rPr>
                              <w:t>Number</w:t>
                            </w:r>
                          </w:p>
                        </w:tc>
                        <w:tc>
                          <w:tcPr>
                            <w:tcW w:w="1159" w:type="dxa"/>
                            <w:tcBorders>
                              <w:bottom w:val="single" w:sz="8" w:space="0" w:color="000000"/>
                            </w:tcBorders>
                          </w:tcPr>
                          <w:p>
                            <w:pPr>
                              <w:pStyle w:val="TableParagraph"/>
                              <w:spacing w:line="177" w:lineRule="exact"/>
                              <w:ind w:right="12"/>
                              <w:jc w:val="center"/>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08" w:type="dxa"/>
                            <w:tcBorders>
                              <w:bottom w:val="single" w:sz="8" w:space="0" w:color="000000"/>
                            </w:tcBorders>
                          </w:tcPr>
                          <w:p>
                            <w:pPr>
                              <w:pStyle w:val="TableParagraph"/>
                              <w:spacing w:line="180" w:lineRule="exact"/>
                              <w:ind w:left="104"/>
                              <w:rPr>
                                <w:b/>
                                <w:sz w:val="16"/>
                              </w:rPr>
                            </w:pPr>
                            <w:r>
                              <w:rPr>
                                <w:b/>
                                <w:spacing w:val="-2"/>
                                <w:sz w:val="16"/>
                              </w:rPr>
                              <w:t>Herewith</w:t>
                            </w:r>
                          </w:p>
                        </w:tc>
                      </w:tr>
                      <w:tr>
                        <w:trPr>
                          <w:trHeight w:val="1041" w:hRule="atLeast"/>
                        </w:trPr>
                        <w:tc>
                          <w:tcPr>
                            <w:tcW w:w="868" w:type="dxa"/>
                            <w:tcBorders>
                              <w:top w:val="single" w:sz="8" w:space="0" w:color="000000"/>
                            </w:tcBorders>
                          </w:tcPr>
                          <w:p>
                            <w:pPr>
                              <w:pStyle w:val="TableParagraph"/>
                              <w:spacing w:before="21"/>
                              <w:rPr>
                                <w:b/>
                                <w:sz w:val="20"/>
                              </w:rPr>
                            </w:pPr>
                          </w:p>
                          <w:p>
                            <w:pPr>
                              <w:pStyle w:val="TableParagraph"/>
                              <w:spacing w:before="1"/>
                              <w:ind w:right="111"/>
                              <w:jc w:val="right"/>
                              <w:rPr>
                                <w:sz w:val="20"/>
                              </w:rPr>
                            </w:pPr>
                            <w:r>
                              <w:rPr>
                                <w:spacing w:val="-5"/>
                                <w:sz w:val="20"/>
                              </w:rPr>
                              <w:t>4.4</w:t>
                            </w:r>
                          </w:p>
                        </w:tc>
                        <w:tc>
                          <w:tcPr>
                            <w:tcW w:w="4775" w:type="dxa"/>
                            <w:tcBorders>
                              <w:top w:val="single" w:sz="8" w:space="0" w:color="000000"/>
                            </w:tcBorders>
                          </w:tcPr>
                          <w:p>
                            <w:pPr>
                              <w:pStyle w:val="TableParagraph"/>
                              <w:spacing w:before="46"/>
                              <w:rPr>
                                <w:b/>
                                <w:sz w:val="20"/>
                              </w:rPr>
                            </w:pPr>
                          </w:p>
                          <w:p>
                            <w:pPr>
                              <w:pStyle w:val="TableParagraph"/>
                              <w:spacing w:line="208" w:lineRule="auto"/>
                              <w:ind w:left="95"/>
                              <w:rPr>
                                <w:sz w:val="20"/>
                              </w:rPr>
                            </w:pPr>
                            <w:r>
                              <w:rPr>
                                <w:sz w:val="20"/>
                              </w:rPr>
                              <w:t>Form of Global Note for</w:t>
                            </w:r>
                            <w:r>
                              <w:rPr>
                                <w:spacing w:val="-8"/>
                                <w:sz w:val="20"/>
                              </w:rPr>
                              <w:t> </w:t>
                            </w:r>
                            <w:r>
                              <w:rPr>
                                <w:sz w:val="20"/>
                              </w:rPr>
                              <w:t>Adobe Systems Incorporated’s 3.250%</w:t>
                            </w:r>
                            <w:r>
                              <w:rPr>
                                <w:spacing w:val="-6"/>
                                <w:sz w:val="20"/>
                              </w:rPr>
                              <w:t> </w:t>
                            </w:r>
                            <w:r>
                              <w:rPr>
                                <w:sz w:val="20"/>
                              </w:rPr>
                              <w:t>Notes</w:t>
                            </w:r>
                            <w:r>
                              <w:rPr>
                                <w:spacing w:val="-7"/>
                                <w:sz w:val="20"/>
                              </w:rPr>
                              <w:t> </w:t>
                            </w:r>
                            <w:r>
                              <w:rPr>
                                <w:sz w:val="20"/>
                              </w:rPr>
                              <w:t>due</w:t>
                            </w:r>
                            <w:r>
                              <w:rPr>
                                <w:spacing w:val="-6"/>
                                <w:sz w:val="20"/>
                              </w:rPr>
                              <w:t> </w:t>
                            </w:r>
                            <w:r>
                              <w:rPr>
                                <w:sz w:val="20"/>
                              </w:rPr>
                              <w:t>2025,</w:t>
                            </w:r>
                            <w:r>
                              <w:rPr>
                                <w:spacing w:val="-6"/>
                                <w:sz w:val="20"/>
                              </w:rPr>
                              <w:t> </w:t>
                            </w:r>
                            <w:r>
                              <w:rPr>
                                <w:sz w:val="20"/>
                              </w:rPr>
                              <w:t>together</w:t>
                            </w:r>
                            <w:r>
                              <w:rPr>
                                <w:spacing w:val="-6"/>
                                <w:sz w:val="20"/>
                              </w:rPr>
                              <w:t> </w:t>
                            </w:r>
                            <w:r>
                              <w:rPr>
                                <w:sz w:val="20"/>
                              </w:rPr>
                              <w:t>with</w:t>
                            </w:r>
                            <w:r>
                              <w:rPr>
                                <w:spacing w:val="-6"/>
                                <w:sz w:val="20"/>
                              </w:rPr>
                              <w:t> </w:t>
                            </w:r>
                            <w:r>
                              <w:rPr>
                                <w:sz w:val="20"/>
                              </w:rPr>
                              <w:t>Form</w:t>
                            </w:r>
                            <w:r>
                              <w:rPr>
                                <w:spacing w:val="-6"/>
                                <w:sz w:val="20"/>
                              </w:rPr>
                              <w:t> </w:t>
                            </w:r>
                            <w:r>
                              <w:rPr>
                                <w:sz w:val="20"/>
                              </w:rPr>
                              <w:t>of</w:t>
                            </w:r>
                            <w:r>
                              <w:rPr>
                                <w:spacing w:val="-6"/>
                                <w:sz w:val="20"/>
                              </w:rPr>
                              <w:t> </w:t>
                            </w:r>
                            <w:r>
                              <w:rPr>
                                <w:sz w:val="20"/>
                              </w:rPr>
                              <w:t>Officer’s Certificate setting forth the terms of the Note</w:t>
                            </w:r>
                          </w:p>
                        </w:tc>
                        <w:tc>
                          <w:tcPr>
                            <w:tcW w:w="691" w:type="dxa"/>
                            <w:tcBorders>
                              <w:top w:val="single" w:sz="8" w:space="0" w:color="000000"/>
                            </w:tcBorders>
                          </w:tcPr>
                          <w:p>
                            <w:pPr>
                              <w:pStyle w:val="TableParagraph"/>
                              <w:spacing w:before="21"/>
                              <w:rPr>
                                <w:b/>
                                <w:sz w:val="20"/>
                              </w:rPr>
                            </w:pPr>
                          </w:p>
                          <w:p>
                            <w:pPr>
                              <w:pStyle w:val="TableParagraph"/>
                              <w:spacing w:before="1"/>
                              <w:ind w:right="10"/>
                              <w:jc w:val="center"/>
                              <w:rPr>
                                <w:sz w:val="20"/>
                              </w:rPr>
                            </w:pPr>
                            <w:r>
                              <w:rPr>
                                <w:spacing w:val="-2"/>
                                <w:sz w:val="20"/>
                              </w:rPr>
                              <w:t>8-</w:t>
                            </w:r>
                            <w:r>
                              <w:rPr>
                                <w:spacing w:val="-10"/>
                                <w:sz w:val="20"/>
                              </w:rPr>
                              <w:t>K</w:t>
                            </w:r>
                          </w:p>
                        </w:tc>
                        <w:tc>
                          <w:tcPr>
                            <w:tcW w:w="1075" w:type="dxa"/>
                            <w:tcBorders>
                              <w:top w:val="single" w:sz="8" w:space="0" w:color="000000"/>
                            </w:tcBorders>
                          </w:tcPr>
                          <w:p>
                            <w:pPr>
                              <w:pStyle w:val="TableParagraph"/>
                              <w:spacing w:before="21"/>
                              <w:rPr>
                                <w:b/>
                                <w:sz w:val="20"/>
                              </w:rPr>
                            </w:pPr>
                          </w:p>
                          <w:p>
                            <w:pPr>
                              <w:pStyle w:val="TableParagraph"/>
                              <w:spacing w:before="1"/>
                              <w:ind w:right="104"/>
                              <w:jc w:val="right"/>
                              <w:rPr>
                                <w:sz w:val="20"/>
                              </w:rPr>
                            </w:pPr>
                            <w:r>
                              <w:rPr>
                                <w:spacing w:val="-2"/>
                                <w:sz w:val="20"/>
                              </w:rPr>
                              <w:t>1/26/15</w:t>
                            </w:r>
                          </w:p>
                        </w:tc>
                        <w:tc>
                          <w:tcPr>
                            <w:tcW w:w="811" w:type="dxa"/>
                            <w:tcBorders>
                              <w:top w:val="single" w:sz="8" w:space="0" w:color="000000"/>
                            </w:tcBorders>
                          </w:tcPr>
                          <w:p>
                            <w:pPr>
                              <w:pStyle w:val="TableParagraph"/>
                              <w:spacing w:before="21"/>
                              <w:rPr>
                                <w:b/>
                                <w:sz w:val="20"/>
                              </w:rPr>
                            </w:pPr>
                          </w:p>
                          <w:p>
                            <w:pPr>
                              <w:pStyle w:val="TableParagraph"/>
                              <w:spacing w:before="1"/>
                              <w:ind w:right="123"/>
                              <w:jc w:val="right"/>
                              <w:rPr>
                                <w:sz w:val="20"/>
                              </w:rPr>
                            </w:pPr>
                            <w:r>
                              <w:rPr>
                                <w:spacing w:val="-5"/>
                                <w:sz w:val="20"/>
                              </w:rPr>
                              <w:t>4.1</w:t>
                            </w:r>
                          </w:p>
                        </w:tc>
                        <w:tc>
                          <w:tcPr>
                            <w:tcW w:w="1159" w:type="dxa"/>
                            <w:tcBorders>
                              <w:top w:val="single" w:sz="8" w:space="0" w:color="000000"/>
                            </w:tcBorders>
                          </w:tcPr>
                          <w:p>
                            <w:pPr>
                              <w:pStyle w:val="TableParagraph"/>
                              <w:spacing w:before="21"/>
                              <w:rPr>
                                <w:b/>
                                <w:sz w:val="20"/>
                              </w:rPr>
                            </w:pPr>
                          </w:p>
                          <w:p>
                            <w:pPr>
                              <w:pStyle w:val="TableParagraph"/>
                              <w:spacing w:before="1"/>
                              <w:ind w:left="111" w:right="12"/>
                              <w:jc w:val="center"/>
                              <w:rPr>
                                <w:sz w:val="20"/>
                              </w:rPr>
                            </w:pPr>
                            <w:r>
                              <w:rPr>
                                <w:sz w:val="20"/>
                              </w:rPr>
                              <w:t>000-</w:t>
                            </w:r>
                            <w:r>
                              <w:rPr>
                                <w:spacing w:val="-2"/>
                                <w:sz w:val="20"/>
                              </w:rPr>
                              <w:t>15175</w:t>
                            </w:r>
                          </w:p>
                        </w:tc>
                        <w:tc>
                          <w:tcPr>
                            <w:tcW w:w="808" w:type="dxa"/>
                            <w:tcBorders>
                              <w:top w:val="single" w:sz="8" w:space="0" w:color="000000"/>
                            </w:tcBorders>
                          </w:tcPr>
                          <w:p>
                            <w:pPr>
                              <w:pStyle w:val="TableParagraph"/>
                              <w:rPr>
                                <w:sz w:val="18"/>
                              </w:rPr>
                            </w:pPr>
                          </w:p>
                        </w:tc>
                      </w:tr>
                      <w:tr>
                        <w:trPr>
                          <w:trHeight w:val="540" w:hRule="atLeast"/>
                        </w:trPr>
                        <w:tc>
                          <w:tcPr>
                            <w:tcW w:w="868" w:type="dxa"/>
                          </w:tcPr>
                          <w:p>
                            <w:pPr>
                              <w:pStyle w:val="TableParagraph"/>
                              <w:spacing w:before="150"/>
                              <w:ind w:right="92"/>
                              <w:jc w:val="right"/>
                              <w:rPr>
                                <w:sz w:val="20"/>
                              </w:rPr>
                            </w:pPr>
                            <w:r>
                              <w:rPr>
                                <w:spacing w:val="-2"/>
                                <w:sz w:val="20"/>
                              </w:rPr>
                              <w:t>10.1A</w:t>
                            </w:r>
                          </w:p>
                        </w:tc>
                        <w:tc>
                          <w:tcPr>
                            <w:tcW w:w="4775" w:type="dxa"/>
                          </w:tcPr>
                          <w:p>
                            <w:pPr>
                              <w:pStyle w:val="TableParagraph"/>
                              <w:spacing w:before="150"/>
                              <w:ind w:left="95"/>
                              <w:rPr>
                                <w:sz w:val="20"/>
                              </w:rPr>
                            </w:pPr>
                            <w:r>
                              <w:rPr>
                                <w:sz w:val="20"/>
                              </w:rPr>
                              <w:t>Amended 1994 Performance and Restricted Stock </w:t>
                            </w:r>
                            <w:r>
                              <w:rPr>
                                <w:spacing w:val="-2"/>
                                <w:sz w:val="20"/>
                              </w:rPr>
                              <w:t>Plan*</w:t>
                            </w:r>
                          </w:p>
                        </w:tc>
                        <w:tc>
                          <w:tcPr>
                            <w:tcW w:w="691" w:type="dxa"/>
                          </w:tcPr>
                          <w:p>
                            <w:pPr>
                              <w:pStyle w:val="TableParagraph"/>
                              <w:spacing w:before="150"/>
                              <w:ind w:right="10"/>
                              <w:jc w:val="center"/>
                              <w:rPr>
                                <w:sz w:val="20"/>
                              </w:rPr>
                            </w:pPr>
                            <w:r>
                              <w:rPr>
                                <w:spacing w:val="-2"/>
                                <w:sz w:val="20"/>
                              </w:rPr>
                              <w:t>10-</w:t>
                            </w:r>
                            <w:r>
                              <w:rPr>
                                <w:spacing w:val="-10"/>
                                <w:sz w:val="20"/>
                              </w:rPr>
                              <w:t>Q</w:t>
                            </w:r>
                          </w:p>
                        </w:tc>
                        <w:tc>
                          <w:tcPr>
                            <w:tcW w:w="1075" w:type="dxa"/>
                          </w:tcPr>
                          <w:p>
                            <w:pPr>
                              <w:pStyle w:val="TableParagraph"/>
                              <w:spacing w:before="150"/>
                              <w:ind w:right="104"/>
                              <w:jc w:val="right"/>
                              <w:rPr>
                                <w:sz w:val="20"/>
                              </w:rPr>
                            </w:pPr>
                            <w:r>
                              <w:rPr>
                                <w:spacing w:val="-2"/>
                                <w:sz w:val="20"/>
                              </w:rPr>
                              <w:t>4/9/10</w:t>
                            </w:r>
                          </w:p>
                        </w:tc>
                        <w:tc>
                          <w:tcPr>
                            <w:tcW w:w="811" w:type="dxa"/>
                          </w:tcPr>
                          <w:p>
                            <w:pPr>
                              <w:pStyle w:val="TableParagraph"/>
                              <w:spacing w:before="150"/>
                              <w:ind w:right="124"/>
                              <w:jc w:val="right"/>
                              <w:rPr>
                                <w:sz w:val="20"/>
                              </w:rPr>
                            </w:pPr>
                            <w:r>
                              <w:rPr>
                                <w:spacing w:val="-4"/>
                                <w:sz w:val="20"/>
                              </w:rPr>
                              <w:t>10.1</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950" w:hRule="atLeast"/>
                        </w:trPr>
                        <w:tc>
                          <w:tcPr>
                            <w:tcW w:w="868" w:type="dxa"/>
                          </w:tcPr>
                          <w:p>
                            <w:pPr>
                              <w:pStyle w:val="TableParagraph"/>
                              <w:spacing w:before="150"/>
                              <w:ind w:right="103"/>
                              <w:jc w:val="right"/>
                              <w:rPr>
                                <w:sz w:val="20"/>
                              </w:rPr>
                            </w:pPr>
                            <w:r>
                              <w:rPr>
                                <w:spacing w:val="-2"/>
                                <w:sz w:val="20"/>
                              </w:rPr>
                              <w:t>10.1B</w:t>
                            </w:r>
                          </w:p>
                        </w:tc>
                        <w:tc>
                          <w:tcPr>
                            <w:tcW w:w="4775" w:type="dxa"/>
                          </w:tcPr>
                          <w:p>
                            <w:pPr>
                              <w:pStyle w:val="TableParagraph"/>
                              <w:spacing w:line="208" w:lineRule="auto" w:before="175"/>
                              <w:ind w:left="95" w:right="146"/>
                              <w:rPr>
                                <w:sz w:val="20"/>
                              </w:rPr>
                            </w:pPr>
                            <w:r>
                              <w:rPr>
                                <w:sz w:val="20"/>
                              </w:rPr>
                              <w:t>Form</w:t>
                            </w:r>
                            <w:r>
                              <w:rPr>
                                <w:spacing w:val="-10"/>
                                <w:sz w:val="20"/>
                              </w:rPr>
                              <w:t> </w:t>
                            </w:r>
                            <w:r>
                              <w:rPr>
                                <w:sz w:val="20"/>
                              </w:rPr>
                              <w:t>of</w:t>
                            </w:r>
                            <w:r>
                              <w:rPr>
                                <w:spacing w:val="-6"/>
                                <w:sz w:val="20"/>
                              </w:rPr>
                              <w:t> </w:t>
                            </w:r>
                            <w:r>
                              <w:rPr>
                                <w:sz w:val="20"/>
                              </w:rPr>
                              <w:t>Restricted</w:t>
                            </w:r>
                            <w:r>
                              <w:rPr>
                                <w:spacing w:val="-6"/>
                                <w:sz w:val="20"/>
                              </w:rPr>
                              <w:t> </w:t>
                            </w:r>
                            <w:r>
                              <w:rPr>
                                <w:sz w:val="20"/>
                              </w:rPr>
                              <w:t>Stock</w:t>
                            </w:r>
                            <w:r>
                              <w:rPr>
                                <w:spacing w:val="-13"/>
                                <w:sz w:val="20"/>
                              </w:rPr>
                              <w:t> </w:t>
                            </w:r>
                            <w:r>
                              <w:rPr>
                                <w:sz w:val="20"/>
                              </w:rPr>
                              <w:t>Agreement</w:t>
                            </w:r>
                            <w:r>
                              <w:rPr>
                                <w:spacing w:val="-5"/>
                                <w:sz w:val="20"/>
                              </w:rPr>
                              <w:t> </w:t>
                            </w:r>
                            <w:r>
                              <w:rPr>
                                <w:sz w:val="20"/>
                              </w:rPr>
                              <w:t>used</w:t>
                            </w:r>
                            <w:r>
                              <w:rPr>
                                <w:spacing w:val="-6"/>
                                <w:sz w:val="20"/>
                              </w:rPr>
                              <w:t> </w:t>
                            </w:r>
                            <w:r>
                              <w:rPr>
                                <w:sz w:val="20"/>
                              </w:rPr>
                              <w:t>in</w:t>
                            </w:r>
                            <w:r>
                              <w:rPr>
                                <w:spacing w:val="-6"/>
                                <w:sz w:val="20"/>
                              </w:rPr>
                              <w:t> </w:t>
                            </w:r>
                            <w:r>
                              <w:rPr>
                                <w:sz w:val="20"/>
                              </w:rPr>
                              <w:t>connection with the Amended 1994 Performance and Restricted Stock Plan*</w:t>
                            </w:r>
                          </w:p>
                        </w:tc>
                        <w:tc>
                          <w:tcPr>
                            <w:tcW w:w="691" w:type="dxa"/>
                          </w:tcPr>
                          <w:p>
                            <w:pPr>
                              <w:pStyle w:val="TableParagraph"/>
                              <w:spacing w:before="150"/>
                              <w:ind w:right="10"/>
                              <w:jc w:val="center"/>
                              <w:rPr>
                                <w:sz w:val="20"/>
                              </w:rPr>
                            </w:pPr>
                            <w:r>
                              <w:rPr>
                                <w:spacing w:val="-2"/>
                                <w:sz w:val="20"/>
                              </w:rPr>
                              <w:t>10-</w:t>
                            </w:r>
                            <w:r>
                              <w:rPr>
                                <w:spacing w:val="-10"/>
                                <w:sz w:val="20"/>
                              </w:rPr>
                              <w:t>K</w:t>
                            </w:r>
                          </w:p>
                        </w:tc>
                        <w:tc>
                          <w:tcPr>
                            <w:tcW w:w="1075" w:type="dxa"/>
                          </w:tcPr>
                          <w:p>
                            <w:pPr>
                              <w:pStyle w:val="TableParagraph"/>
                              <w:spacing w:before="150"/>
                              <w:ind w:right="104"/>
                              <w:jc w:val="right"/>
                              <w:rPr>
                                <w:sz w:val="20"/>
                              </w:rPr>
                            </w:pPr>
                            <w:r>
                              <w:rPr>
                                <w:spacing w:val="-2"/>
                                <w:sz w:val="20"/>
                              </w:rPr>
                              <w:t>1/23/09</w:t>
                            </w:r>
                          </w:p>
                        </w:tc>
                        <w:tc>
                          <w:tcPr>
                            <w:tcW w:w="811" w:type="dxa"/>
                          </w:tcPr>
                          <w:p>
                            <w:pPr>
                              <w:pStyle w:val="TableParagraph"/>
                              <w:spacing w:before="150"/>
                              <w:ind w:right="124"/>
                              <w:jc w:val="right"/>
                              <w:rPr>
                                <w:sz w:val="20"/>
                              </w:rPr>
                            </w:pPr>
                            <w:r>
                              <w:rPr>
                                <w:spacing w:val="-4"/>
                                <w:sz w:val="20"/>
                              </w:rPr>
                              <w:t>10.3</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950" w:hRule="atLeast"/>
                        </w:trPr>
                        <w:tc>
                          <w:tcPr>
                            <w:tcW w:w="868" w:type="dxa"/>
                          </w:tcPr>
                          <w:p>
                            <w:pPr>
                              <w:pStyle w:val="TableParagraph"/>
                              <w:spacing w:before="160"/>
                              <w:ind w:right="103"/>
                              <w:jc w:val="right"/>
                              <w:rPr>
                                <w:sz w:val="20"/>
                              </w:rPr>
                            </w:pPr>
                            <w:r>
                              <w:rPr>
                                <w:spacing w:val="-2"/>
                                <w:sz w:val="20"/>
                              </w:rPr>
                              <w:t>10.1C</w:t>
                            </w:r>
                          </w:p>
                        </w:tc>
                        <w:tc>
                          <w:tcPr>
                            <w:tcW w:w="4775" w:type="dxa"/>
                          </w:tcPr>
                          <w:p>
                            <w:pPr>
                              <w:pStyle w:val="TableParagraph"/>
                              <w:spacing w:line="208" w:lineRule="auto" w:before="185"/>
                              <w:ind w:left="95"/>
                              <w:rPr>
                                <w:sz w:val="20"/>
                              </w:rPr>
                            </w:pPr>
                            <w:r>
                              <w:rPr>
                                <w:sz w:val="20"/>
                              </w:rPr>
                              <w:t>Form of Restricted Stock Unit Agreement used in connection</w:t>
                            </w:r>
                            <w:r>
                              <w:rPr>
                                <w:spacing w:val="-11"/>
                                <w:sz w:val="20"/>
                              </w:rPr>
                              <w:t> </w:t>
                            </w:r>
                            <w:r>
                              <w:rPr>
                                <w:sz w:val="20"/>
                              </w:rPr>
                              <w:t>with</w:t>
                            </w:r>
                            <w:r>
                              <w:rPr>
                                <w:spacing w:val="-7"/>
                                <w:sz w:val="20"/>
                              </w:rPr>
                              <w:t> </w:t>
                            </w:r>
                            <w:r>
                              <w:rPr>
                                <w:sz w:val="20"/>
                              </w:rPr>
                              <w:t>the</w:t>
                            </w:r>
                            <w:r>
                              <w:rPr>
                                <w:spacing w:val="-13"/>
                                <w:sz w:val="20"/>
                              </w:rPr>
                              <w:t> </w:t>
                            </w:r>
                            <w:r>
                              <w:rPr>
                                <w:sz w:val="20"/>
                              </w:rPr>
                              <w:t>Amended</w:t>
                            </w:r>
                            <w:r>
                              <w:rPr>
                                <w:spacing w:val="-6"/>
                                <w:sz w:val="20"/>
                              </w:rPr>
                              <w:t> </w:t>
                            </w:r>
                            <w:r>
                              <w:rPr>
                                <w:sz w:val="20"/>
                              </w:rPr>
                              <w:t>1994</w:t>
                            </w:r>
                            <w:r>
                              <w:rPr>
                                <w:spacing w:val="-7"/>
                                <w:sz w:val="20"/>
                              </w:rPr>
                              <w:t> </w:t>
                            </w:r>
                            <w:r>
                              <w:rPr>
                                <w:sz w:val="20"/>
                              </w:rPr>
                              <w:t>Performance</w:t>
                            </w:r>
                            <w:r>
                              <w:rPr>
                                <w:spacing w:val="-7"/>
                                <w:sz w:val="20"/>
                              </w:rPr>
                              <w:t> </w:t>
                            </w:r>
                            <w:r>
                              <w:rPr>
                                <w:sz w:val="20"/>
                              </w:rPr>
                              <w:t>and Restricted Stock Plan*</w:t>
                            </w:r>
                          </w:p>
                        </w:tc>
                        <w:tc>
                          <w:tcPr>
                            <w:tcW w:w="691" w:type="dxa"/>
                          </w:tcPr>
                          <w:p>
                            <w:pPr>
                              <w:pStyle w:val="TableParagraph"/>
                              <w:spacing w:before="160"/>
                              <w:ind w:right="10"/>
                              <w:jc w:val="center"/>
                              <w:rPr>
                                <w:sz w:val="20"/>
                              </w:rPr>
                            </w:pPr>
                            <w:r>
                              <w:rPr>
                                <w:spacing w:val="-2"/>
                                <w:sz w:val="20"/>
                              </w:rPr>
                              <w:t>10-</w:t>
                            </w:r>
                            <w:r>
                              <w:rPr>
                                <w:spacing w:val="-10"/>
                                <w:sz w:val="20"/>
                              </w:rPr>
                              <w:t>K</w:t>
                            </w:r>
                          </w:p>
                        </w:tc>
                        <w:tc>
                          <w:tcPr>
                            <w:tcW w:w="1075" w:type="dxa"/>
                          </w:tcPr>
                          <w:p>
                            <w:pPr>
                              <w:pStyle w:val="TableParagraph"/>
                              <w:spacing w:before="160"/>
                              <w:ind w:right="104"/>
                              <w:jc w:val="right"/>
                              <w:rPr>
                                <w:sz w:val="20"/>
                              </w:rPr>
                            </w:pPr>
                            <w:r>
                              <w:rPr>
                                <w:spacing w:val="-2"/>
                                <w:sz w:val="20"/>
                              </w:rPr>
                              <w:t>1/26/12</w:t>
                            </w:r>
                          </w:p>
                        </w:tc>
                        <w:tc>
                          <w:tcPr>
                            <w:tcW w:w="811" w:type="dxa"/>
                          </w:tcPr>
                          <w:p>
                            <w:pPr>
                              <w:pStyle w:val="TableParagraph"/>
                              <w:spacing w:before="160"/>
                              <w:ind w:right="124"/>
                              <w:jc w:val="right"/>
                              <w:rPr>
                                <w:sz w:val="20"/>
                              </w:rPr>
                            </w:pPr>
                            <w:r>
                              <w:rPr>
                                <w:spacing w:val="-2"/>
                                <w:sz w:val="20"/>
                              </w:rPr>
                              <w:t>10.13</w:t>
                            </w:r>
                          </w:p>
                        </w:tc>
                        <w:tc>
                          <w:tcPr>
                            <w:tcW w:w="1159" w:type="dxa"/>
                          </w:tcPr>
                          <w:p>
                            <w:pPr>
                              <w:pStyle w:val="TableParagraph"/>
                              <w:spacing w:before="16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4"/>
                                <w:sz w:val="20"/>
                              </w:rPr>
                              <w:t>10.2</w:t>
                            </w:r>
                          </w:p>
                        </w:tc>
                        <w:tc>
                          <w:tcPr>
                            <w:tcW w:w="4775" w:type="dxa"/>
                          </w:tcPr>
                          <w:p>
                            <w:pPr>
                              <w:pStyle w:val="TableParagraph"/>
                              <w:spacing w:before="150"/>
                              <w:ind w:left="95"/>
                              <w:rPr>
                                <w:sz w:val="20"/>
                              </w:rPr>
                            </w:pPr>
                            <w:r>
                              <w:rPr>
                                <w:sz w:val="20"/>
                              </w:rPr>
                              <w:t>1997</w:t>
                            </w:r>
                            <w:r>
                              <w:rPr>
                                <w:spacing w:val="-1"/>
                                <w:sz w:val="20"/>
                              </w:rPr>
                              <w:t> </w:t>
                            </w:r>
                            <w:r>
                              <w:rPr>
                                <w:sz w:val="20"/>
                              </w:rPr>
                              <w:t>Employee Stock Purchase Plan, as</w:t>
                            </w:r>
                            <w:r>
                              <w:rPr>
                                <w:spacing w:val="-1"/>
                                <w:sz w:val="20"/>
                              </w:rPr>
                              <w:t> </w:t>
                            </w:r>
                            <w:r>
                              <w:rPr>
                                <w:spacing w:val="-2"/>
                                <w:sz w:val="20"/>
                              </w:rPr>
                              <w:t>amended*</w:t>
                            </w:r>
                          </w:p>
                        </w:tc>
                        <w:tc>
                          <w:tcPr>
                            <w:tcW w:w="691" w:type="dxa"/>
                          </w:tcPr>
                          <w:p>
                            <w:pPr>
                              <w:pStyle w:val="TableParagraph"/>
                              <w:spacing w:before="150"/>
                              <w:ind w:right="10"/>
                              <w:jc w:val="center"/>
                              <w:rPr>
                                <w:sz w:val="20"/>
                              </w:rPr>
                            </w:pPr>
                            <w:r>
                              <w:rPr>
                                <w:spacing w:val="-2"/>
                                <w:sz w:val="20"/>
                              </w:rPr>
                              <w:t>10-</w:t>
                            </w:r>
                            <w:r>
                              <w:rPr>
                                <w:spacing w:val="-10"/>
                                <w:sz w:val="20"/>
                              </w:rPr>
                              <w:t>Q</w:t>
                            </w:r>
                          </w:p>
                        </w:tc>
                        <w:tc>
                          <w:tcPr>
                            <w:tcW w:w="1075" w:type="dxa"/>
                          </w:tcPr>
                          <w:p>
                            <w:pPr>
                              <w:pStyle w:val="TableParagraph"/>
                              <w:spacing w:before="150"/>
                              <w:ind w:right="104"/>
                              <w:jc w:val="right"/>
                              <w:rPr>
                                <w:sz w:val="20"/>
                              </w:rPr>
                            </w:pPr>
                            <w:r>
                              <w:rPr>
                                <w:spacing w:val="-2"/>
                                <w:sz w:val="20"/>
                              </w:rPr>
                              <w:t>6/29/16</w:t>
                            </w:r>
                          </w:p>
                        </w:tc>
                        <w:tc>
                          <w:tcPr>
                            <w:tcW w:w="811" w:type="dxa"/>
                          </w:tcPr>
                          <w:p>
                            <w:pPr>
                              <w:pStyle w:val="TableParagraph"/>
                              <w:spacing w:before="150"/>
                              <w:ind w:right="124"/>
                              <w:jc w:val="right"/>
                              <w:rPr>
                                <w:sz w:val="20"/>
                              </w:rPr>
                            </w:pPr>
                            <w:r>
                              <w:rPr>
                                <w:spacing w:val="-4"/>
                                <w:sz w:val="20"/>
                              </w:rPr>
                              <w:t>10.3</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550" w:hRule="atLeast"/>
                        </w:trPr>
                        <w:tc>
                          <w:tcPr>
                            <w:tcW w:w="868" w:type="dxa"/>
                          </w:tcPr>
                          <w:p>
                            <w:pPr>
                              <w:pStyle w:val="TableParagraph"/>
                              <w:spacing w:before="150"/>
                              <w:ind w:right="92"/>
                              <w:jc w:val="right"/>
                              <w:rPr>
                                <w:sz w:val="20"/>
                              </w:rPr>
                            </w:pPr>
                            <w:r>
                              <w:rPr>
                                <w:spacing w:val="-2"/>
                                <w:sz w:val="20"/>
                              </w:rPr>
                              <w:t>10.3A</w:t>
                            </w:r>
                          </w:p>
                        </w:tc>
                        <w:tc>
                          <w:tcPr>
                            <w:tcW w:w="4775" w:type="dxa"/>
                          </w:tcPr>
                          <w:p>
                            <w:pPr>
                              <w:pStyle w:val="TableParagraph"/>
                              <w:spacing w:before="150"/>
                              <w:ind w:left="95"/>
                              <w:rPr>
                                <w:sz w:val="20"/>
                              </w:rPr>
                            </w:pPr>
                            <w:r>
                              <w:rPr>
                                <w:sz w:val="20"/>
                              </w:rPr>
                              <w:t>2003</w:t>
                            </w:r>
                            <w:r>
                              <w:rPr>
                                <w:spacing w:val="-1"/>
                                <w:sz w:val="20"/>
                              </w:rPr>
                              <w:t> </w:t>
                            </w:r>
                            <w:r>
                              <w:rPr>
                                <w:sz w:val="20"/>
                              </w:rPr>
                              <w:t>Equity Incentive Plan, as</w:t>
                            </w:r>
                            <w:r>
                              <w:rPr>
                                <w:spacing w:val="-1"/>
                                <w:sz w:val="20"/>
                              </w:rPr>
                              <w:t> </w:t>
                            </w:r>
                            <w:r>
                              <w:rPr>
                                <w:spacing w:val="-2"/>
                                <w:sz w:val="20"/>
                              </w:rPr>
                              <w:t>amended*</w:t>
                            </w:r>
                          </w:p>
                        </w:tc>
                        <w:tc>
                          <w:tcPr>
                            <w:tcW w:w="691" w:type="dxa"/>
                          </w:tcPr>
                          <w:p>
                            <w:pPr>
                              <w:pStyle w:val="TableParagraph"/>
                              <w:spacing w:before="150"/>
                              <w:ind w:right="10"/>
                              <w:jc w:val="center"/>
                              <w:rPr>
                                <w:sz w:val="20"/>
                              </w:rPr>
                            </w:pPr>
                            <w:r>
                              <w:rPr>
                                <w:spacing w:val="-2"/>
                                <w:sz w:val="20"/>
                              </w:rPr>
                              <w:t>8-</w:t>
                            </w:r>
                            <w:r>
                              <w:rPr>
                                <w:spacing w:val="-10"/>
                                <w:sz w:val="20"/>
                              </w:rPr>
                              <w:t>K</w:t>
                            </w:r>
                          </w:p>
                        </w:tc>
                        <w:tc>
                          <w:tcPr>
                            <w:tcW w:w="1075" w:type="dxa"/>
                          </w:tcPr>
                          <w:p>
                            <w:pPr>
                              <w:pStyle w:val="TableParagraph"/>
                              <w:spacing w:before="150"/>
                              <w:ind w:right="104"/>
                              <w:jc w:val="right"/>
                              <w:rPr>
                                <w:sz w:val="20"/>
                              </w:rPr>
                            </w:pPr>
                            <w:r>
                              <w:rPr>
                                <w:spacing w:val="-2"/>
                                <w:sz w:val="20"/>
                              </w:rPr>
                              <w:t>4/13/17</w:t>
                            </w:r>
                          </w:p>
                        </w:tc>
                        <w:tc>
                          <w:tcPr>
                            <w:tcW w:w="811" w:type="dxa"/>
                          </w:tcPr>
                          <w:p>
                            <w:pPr>
                              <w:pStyle w:val="TableParagraph"/>
                              <w:spacing w:before="150"/>
                              <w:ind w:right="124"/>
                              <w:jc w:val="right"/>
                              <w:rPr>
                                <w:sz w:val="20"/>
                              </w:rPr>
                            </w:pPr>
                            <w:r>
                              <w:rPr>
                                <w:spacing w:val="-4"/>
                                <w:sz w:val="20"/>
                              </w:rPr>
                              <w:t>10.1</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729" w:hRule="atLeast"/>
                        </w:trPr>
                        <w:tc>
                          <w:tcPr>
                            <w:tcW w:w="868" w:type="dxa"/>
                          </w:tcPr>
                          <w:p>
                            <w:pPr>
                              <w:pStyle w:val="TableParagraph"/>
                              <w:spacing w:before="160"/>
                              <w:ind w:right="103"/>
                              <w:jc w:val="right"/>
                              <w:rPr>
                                <w:sz w:val="20"/>
                              </w:rPr>
                            </w:pPr>
                            <w:r>
                              <w:rPr>
                                <w:spacing w:val="-2"/>
                                <w:sz w:val="20"/>
                              </w:rPr>
                              <w:t>10.3B</w:t>
                            </w:r>
                          </w:p>
                        </w:tc>
                        <w:tc>
                          <w:tcPr>
                            <w:tcW w:w="4775" w:type="dxa"/>
                          </w:tcPr>
                          <w:p>
                            <w:pPr>
                              <w:pStyle w:val="TableParagraph"/>
                              <w:spacing w:line="208" w:lineRule="auto" w:before="185"/>
                              <w:ind w:left="95" w:right="146"/>
                              <w:rPr>
                                <w:sz w:val="20"/>
                              </w:rPr>
                            </w:pPr>
                            <w:r>
                              <w:rPr>
                                <w:sz w:val="20"/>
                              </w:rPr>
                              <w:t>Form</w:t>
                            </w:r>
                            <w:r>
                              <w:rPr>
                                <w:spacing w:val="-9"/>
                                <w:sz w:val="20"/>
                              </w:rPr>
                              <w:t> </w:t>
                            </w:r>
                            <w:r>
                              <w:rPr>
                                <w:sz w:val="20"/>
                              </w:rPr>
                              <w:t>of</w:t>
                            </w:r>
                            <w:r>
                              <w:rPr>
                                <w:spacing w:val="-6"/>
                                <w:sz w:val="20"/>
                              </w:rPr>
                              <w:t> </w:t>
                            </w:r>
                            <w:r>
                              <w:rPr>
                                <w:sz w:val="20"/>
                              </w:rPr>
                              <w:t>Stock</w:t>
                            </w:r>
                            <w:r>
                              <w:rPr>
                                <w:spacing w:val="-6"/>
                                <w:sz w:val="20"/>
                              </w:rPr>
                              <w:t> </w:t>
                            </w:r>
                            <w:r>
                              <w:rPr>
                                <w:sz w:val="20"/>
                              </w:rPr>
                              <w:t>Option</w:t>
                            </w:r>
                            <w:r>
                              <w:rPr>
                                <w:spacing w:val="-13"/>
                                <w:sz w:val="20"/>
                              </w:rPr>
                              <w:t> </w:t>
                            </w:r>
                            <w:r>
                              <w:rPr>
                                <w:sz w:val="20"/>
                              </w:rPr>
                              <w:t>Agreement</w:t>
                            </w:r>
                            <w:r>
                              <w:rPr>
                                <w:spacing w:val="-5"/>
                                <w:sz w:val="20"/>
                              </w:rPr>
                              <w:t> </w:t>
                            </w:r>
                            <w:r>
                              <w:rPr>
                                <w:sz w:val="20"/>
                              </w:rPr>
                              <w:t>used</w:t>
                            </w:r>
                            <w:r>
                              <w:rPr>
                                <w:spacing w:val="-6"/>
                                <w:sz w:val="20"/>
                              </w:rPr>
                              <w:t> </w:t>
                            </w:r>
                            <w:r>
                              <w:rPr>
                                <w:sz w:val="20"/>
                              </w:rPr>
                              <w:t>in</w:t>
                            </w:r>
                            <w:r>
                              <w:rPr>
                                <w:spacing w:val="-6"/>
                                <w:sz w:val="20"/>
                              </w:rPr>
                              <w:t> </w:t>
                            </w:r>
                            <w:r>
                              <w:rPr>
                                <w:sz w:val="20"/>
                              </w:rPr>
                              <w:t>connection with the 2003 Equity Incentive Plan*</w:t>
                            </w:r>
                          </w:p>
                        </w:tc>
                        <w:tc>
                          <w:tcPr>
                            <w:tcW w:w="691" w:type="dxa"/>
                          </w:tcPr>
                          <w:p>
                            <w:pPr>
                              <w:pStyle w:val="TableParagraph"/>
                              <w:spacing w:before="160"/>
                              <w:ind w:right="10"/>
                              <w:jc w:val="center"/>
                              <w:rPr>
                                <w:sz w:val="20"/>
                              </w:rPr>
                            </w:pPr>
                            <w:r>
                              <w:rPr>
                                <w:spacing w:val="-2"/>
                                <w:sz w:val="20"/>
                              </w:rPr>
                              <w:t>8-</w:t>
                            </w:r>
                            <w:r>
                              <w:rPr>
                                <w:spacing w:val="-10"/>
                                <w:sz w:val="20"/>
                              </w:rPr>
                              <w:t>K</w:t>
                            </w:r>
                          </w:p>
                        </w:tc>
                        <w:tc>
                          <w:tcPr>
                            <w:tcW w:w="1075" w:type="dxa"/>
                          </w:tcPr>
                          <w:p>
                            <w:pPr>
                              <w:pStyle w:val="TableParagraph"/>
                              <w:spacing w:before="160"/>
                              <w:ind w:right="104"/>
                              <w:jc w:val="right"/>
                              <w:rPr>
                                <w:sz w:val="20"/>
                              </w:rPr>
                            </w:pPr>
                            <w:r>
                              <w:rPr>
                                <w:spacing w:val="-2"/>
                                <w:sz w:val="20"/>
                              </w:rPr>
                              <w:t>12/20/10</w:t>
                            </w:r>
                          </w:p>
                        </w:tc>
                        <w:tc>
                          <w:tcPr>
                            <w:tcW w:w="811" w:type="dxa"/>
                          </w:tcPr>
                          <w:p>
                            <w:pPr>
                              <w:pStyle w:val="TableParagraph"/>
                              <w:spacing w:before="160"/>
                              <w:ind w:right="124"/>
                              <w:jc w:val="right"/>
                              <w:rPr>
                                <w:sz w:val="20"/>
                              </w:rPr>
                            </w:pPr>
                            <w:r>
                              <w:rPr>
                                <w:spacing w:val="-4"/>
                                <w:sz w:val="20"/>
                              </w:rPr>
                              <w:t>99.4</w:t>
                            </w:r>
                          </w:p>
                        </w:tc>
                        <w:tc>
                          <w:tcPr>
                            <w:tcW w:w="1159" w:type="dxa"/>
                          </w:tcPr>
                          <w:p>
                            <w:pPr>
                              <w:pStyle w:val="TableParagraph"/>
                              <w:spacing w:before="16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720" w:hRule="atLeast"/>
                        </w:trPr>
                        <w:tc>
                          <w:tcPr>
                            <w:tcW w:w="868" w:type="dxa"/>
                          </w:tcPr>
                          <w:p>
                            <w:pPr>
                              <w:pStyle w:val="TableParagraph"/>
                              <w:spacing w:before="131"/>
                              <w:ind w:right="103"/>
                              <w:jc w:val="right"/>
                              <w:rPr>
                                <w:sz w:val="20"/>
                              </w:rPr>
                            </w:pPr>
                            <w:r>
                              <w:rPr>
                                <w:spacing w:val="-2"/>
                                <w:sz w:val="20"/>
                              </w:rPr>
                              <w:t>10.3C</w:t>
                            </w:r>
                          </w:p>
                        </w:tc>
                        <w:tc>
                          <w:tcPr>
                            <w:tcW w:w="4775" w:type="dxa"/>
                          </w:tcPr>
                          <w:p>
                            <w:pPr>
                              <w:pStyle w:val="TableParagraph"/>
                              <w:spacing w:line="208" w:lineRule="auto" w:before="155"/>
                              <w:ind w:left="95" w:right="146"/>
                              <w:rPr>
                                <w:sz w:val="20"/>
                              </w:rPr>
                            </w:pPr>
                            <w:r>
                              <w:rPr>
                                <w:sz w:val="20"/>
                              </w:rPr>
                              <w:t>Form</w:t>
                            </w:r>
                            <w:r>
                              <w:rPr>
                                <w:spacing w:val="-13"/>
                                <w:sz w:val="20"/>
                              </w:rPr>
                              <w:t> </w:t>
                            </w:r>
                            <w:r>
                              <w:rPr>
                                <w:sz w:val="20"/>
                              </w:rPr>
                              <w:t>of</w:t>
                            </w:r>
                            <w:r>
                              <w:rPr>
                                <w:spacing w:val="-12"/>
                                <w:sz w:val="20"/>
                              </w:rPr>
                              <w:t> </w:t>
                            </w:r>
                            <w:r>
                              <w:rPr>
                                <w:sz w:val="20"/>
                              </w:rPr>
                              <w:t>RSU</w:t>
                            </w:r>
                            <w:r>
                              <w:rPr>
                                <w:spacing w:val="-12"/>
                                <w:sz w:val="20"/>
                              </w:rPr>
                              <w:t> </w:t>
                            </w:r>
                            <w:r>
                              <w:rPr>
                                <w:sz w:val="20"/>
                              </w:rPr>
                              <w:t>Grant</w:t>
                            </w:r>
                            <w:r>
                              <w:rPr>
                                <w:spacing w:val="-8"/>
                                <w:sz w:val="20"/>
                              </w:rPr>
                              <w:t> </w:t>
                            </w:r>
                            <w:r>
                              <w:rPr>
                                <w:sz w:val="20"/>
                              </w:rPr>
                              <w:t>Notice</w:t>
                            </w:r>
                            <w:r>
                              <w:rPr>
                                <w:spacing w:val="-9"/>
                                <w:sz w:val="20"/>
                              </w:rPr>
                              <w:t> </w:t>
                            </w:r>
                            <w:r>
                              <w:rPr>
                                <w:sz w:val="20"/>
                              </w:rPr>
                              <w:t>and</w:t>
                            </w:r>
                            <w:r>
                              <w:rPr>
                                <w:spacing w:val="-13"/>
                                <w:sz w:val="20"/>
                              </w:rPr>
                              <w:t> </w:t>
                            </w:r>
                            <w:r>
                              <w:rPr>
                                <w:sz w:val="20"/>
                              </w:rPr>
                              <w:t>Award</w:t>
                            </w:r>
                            <w:r>
                              <w:rPr>
                                <w:spacing w:val="-12"/>
                                <w:sz w:val="20"/>
                              </w:rPr>
                              <w:t> </w:t>
                            </w:r>
                            <w:r>
                              <w:rPr>
                                <w:sz w:val="20"/>
                              </w:rPr>
                              <w:t>Agreement pursuant to 2003 Equity Incentive Plan*</w:t>
                            </w:r>
                          </w:p>
                        </w:tc>
                        <w:tc>
                          <w:tcPr>
                            <w:tcW w:w="691" w:type="dxa"/>
                          </w:tcPr>
                          <w:p>
                            <w:pPr>
                              <w:pStyle w:val="TableParagraph"/>
                              <w:spacing w:before="131"/>
                              <w:ind w:right="10"/>
                              <w:jc w:val="center"/>
                              <w:rPr>
                                <w:sz w:val="20"/>
                              </w:rPr>
                            </w:pPr>
                            <w:r>
                              <w:rPr>
                                <w:spacing w:val="-2"/>
                                <w:sz w:val="20"/>
                              </w:rPr>
                              <w:t>8-</w:t>
                            </w:r>
                            <w:r>
                              <w:rPr>
                                <w:spacing w:val="-10"/>
                                <w:sz w:val="20"/>
                              </w:rPr>
                              <w:t>K</w:t>
                            </w:r>
                          </w:p>
                        </w:tc>
                        <w:tc>
                          <w:tcPr>
                            <w:tcW w:w="1075" w:type="dxa"/>
                          </w:tcPr>
                          <w:p>
                            <w:pPr>
                              <w:pStyle w:val="TableParagraph"/>
                              <w:spacing w:before="131"/>
                              <w:ind w:right="104"/>
                              <w:jc w:val="right"/>
                              <w:rPr>
                                <w:sz w:val="20"/>
                              </w:rPr>
                            </w:pPr>
                            <w:r>
                              <w:rPr>
                                <w:spacing w:val="-2"/>
                                <w:sz w:val="20"/>
                              </w:rPr>
                              <w:t>1/27/17</w:t>
                            </w:r>
                          </w:p>
                        </w:tc>
                        <w:tc>
                          <w:tcPr>
                            <w:tcW w:w="811" w:type="dxa"/>
                          </w:tcPr>
                          <w:p>
                            <w:pPr>
                              <w:pStyle w:val="TableParagraph"/>
                              <w:spacing w:before="131"/>
                              <w:ind w:right="124"/>
                              <w:jc w:val="right"/>
                              <w:rPr>
                                <w:sz w:val="20"/>
                              </w:rPr>
                            </w:pPr>
                            <w:r>
                              <w:rPr>
                                <w:spacing w:val="-4"/>
                                <w:sz w:val="20"/>
                              </w:rPr>
                              <w:t>10.6</w:t>
                            </w:r>
                          </w:p>
                        </w:tc>
                        <w:tc>
                          <w:tcPr>
                            <w:tcW w:w="1159" w:type="dxa"/>
                          </w:tcPr>
                          <w:p>
                            <w:pPr>
                              <w:pStyle w:val="TableParagraph"/>
                              <w:spacing w:before="131"/>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10.3D</w:t>
                            </w:r>
                          </w:p>
                        </w:tc>
                        <w:tc>
                          <w:tcPr>
                            <w:tcW w:w="4775" w:type="dxa"/>
                          </w:tcPr>
                          <w:p>
                            <w:pPr>
                              <w:pStyle w:val="TableParagraph"/>
                              <w:spacing w:line="208" w:lineRule="auto" w:before="175"/>
                              <w:ind w:left="95"/>
                              <w:rPr>
                                <w:sz w:val="20"/>
                              </w:rPr>
                            </w:pPr>
                            <w:r>
                              <w:rPr>
                                <w:sz w:val="20"/>
                              </w:rPr>
                              <w:t>Form</w:t>
                            </w:r>
                            <w:r>
                              <w:rPr>
                                <w:spacing w:val="-10"/>
                                <w:sz w:val="20"/>
                              </w:rPr>
                              <w:t> </w:t>
                            </w:r>
                            <w:r>
                              <w:rPr>
                                <w:sz w:val="20"/>
                              </w:rPr>
                              <w:t>of</w:t>
                            </w:r>
                            <w:r>
                              <w:rPr>
                                <w:spacing w:val="-6"/>
                                <w:sz w:val="20"/>
                              </w:rPr>
                              <w:t> </w:t>
                            </w:r>
                            <w:r>
                              <w:rPr>
                                <w:sz w:val="20"/>
                              </w:rPr>
                              <w:t>Restricted</w:t>
                            </w:r>
                            <w:r>
                              <w:rPr>
                                <w:spacing w:val="-6"/>
                                <w:sz w:val="20"/>
                              </w:rPr>
                              <w:t> </w:t>
                            </w:r>
                            <w:r>
                              <w:rPr>
                                <w:sz w:val="20"/>
                              </w:rPr>
                              <w:t>Stock</w:t>
                            </w:r>
                            <w:r>
                              <w:rPr>
                                <w:spacing w:val="-13"/>
                                <w:sz w:val="20"/>
                              </w:rPr>
                              <w:t> </w:t>
                            </w:r>
                            <w:r>
                              <w:rPr>
                                <w:sz w:val="20"/>
                              </w:rPr>
                              <w:t>Agreement</w:t>
                            </w:r>
                            <w:r>
                              <w:rPr>
                                <w:spacing w:val="-5"/>
                                <w:sz w:val="20"/>
                              </w:rPr>
                              <w:t> </w:t>
                            </w:r>
                            <w:r>
                              <w:rPr>
                                <w:sz w:val="20"/>
                              </w:rPr>
                              <w:t>used</w:t>
                            </w:r>
                            <w:r>
                              <w:rPr>
                                <w:spacing w:val="-6"/>
                                <w:sz w:val="20"/>
                              </w:rPr>
                              <w:t> </w:t>
                            </w:r>
                            <w:r>
                              <w:rPr>
                                <w:sz w:val="20"/>
                              </w:rPr>
                              <w:t>in</w:t>
                            </w:r>
                            <w:r>
                              <w:rPr>
                                <w:spacing w:val="-6"/>
                                <w:sz w:val="20"/>
                              </w:rPr>
                              <w:t> </w:t>
                            </w:r>
                            <w:r>
                              <w:rPr>
                                <w:sz w:val="20"/>
                              </w:rPr>
                              <w:t>connection with the 2003 Equity Incentive Plan*</w:t>
                            </w:r>
                          </w:p>
                        </w:tc>
                        <w:tc>
                          <w:tcPr>
                            <w:tcW w:w="691" w:type="dxa"/>
                          </w:tcPr>
                          <w:p>
                            <w:pPr>
                              <w:pStyle w:val="TableParagraph"/>
                              <w:spacing w:before="150"/>
                              <w:ind w:right="10"/>
                              <w:jc w:val="center"/>
                              <w:rPr>
                                <w:sz w:val="20"/>
                              </w:rPr>
                            </w:pPr>
                            <w:r>
                              <w:rPr>
                                <w:spacing w:val="-2"/>
                                <w:sz w:val="20"/>
                              </w:rPr>
                              <w:t>10-</w:t>
                            </w:r>
                            <w:r>
                              <w:rPr>
                                <w:spacing w:val="-10"/>
                                <w:sz w:val="20"/>
                              </w:rPr>
                              <w:t>Q</w:t>
                            </w:r>
                          </w:p>
                        </w:tc>
                        <w:tc>
                          <w:tcPr>
                            <w:tcW w:w="1075" w:type="dxa"/>
                          </w:tcPr>
                          <w:p>
                            <w:pPr>
                              <w:pStyle w:val="TableParagraph"/>
                              <w:spacing w:before="150"/>
                              <w:ind w:right="104"/>
                              <w:jc w:val="right"/>
                              <w:rPr>
                                <w:sz w:val="20"/>
                              </w:rPr>
                            </w:pPr>
                            <w:r>
                              <w:rPr>
                                <w:spacing w:val="-2"/>
                                <w:sz w:val="20"/>
                              </w:rPr>
                              <w:t>10/7/04</w:t>
                            </w:r>
                          </w:p>
                        </w:tc>
                        <w:tc>
                          <w:tcPr>
                            <w:tcW w:w="811" w:type="dxa"/>
                          </w:tcPr>
                          <w:p>
                            <w:pPr>
                              <w:pStyle w:val="TableParagraph"/>
                              <w:spacing w:before="150"/>
                              <w:ind w:right="124"/>
                              <w:jc w:val="right"/>
                              <w:rPr>
                                <w:sz w:val="20"/>
                              </w:rPr>
                            </w:pPr>
                            <w:r>
                              <w:rPr>
                                <w:spacing w:val="-2"/>
                                <w:sz w:val="20"/>
                              </w:rPr>
                              <w:t>10.11</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10.3E</w:t>
                            </w:r>
                          </w:p>
                        </w:tc>
                        <w:tc>
                          <w:tcPr>
                            <w:tcW w:w="4775" w:type="dxa"/>
                          </w:tcPr>
                          <w:p>
                            <w:pPr>
                              <w:pStyle w:val="TableParagraph"/>
                              <w:spacing w:line="208" w:lineRule="auto" w:before="175"/>
                              <w:ind w:left="95"/>
                              <w:rPr>
                                <w:sz w:val="20"/>
                              </w:rPr>
                            </w:pPr>
                            <w:r>
                              <w:rPr>
                                <w:sz w:val="20"/>
                              </w:rPr>
                              <w:t>2013</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91" w:type="dxa"/>
                          </w:tcPr>
                          <w:p>
                            <w:pPr>
                              <w:pStyle w:val="TableParagraph"/>
                              <w:spacing w:before="150"/>
                              <w:ind w:right="10"/>
                              <w:jc w:val="center"/>
                              <w:rPr>
                                <w:sz w:val="20"/>
                              </w:rPr>
                            </w:pPr>
                            <w:r>
                              <w:rPr>
                                <w:spacing w:val="-2"/>
                                <w:sz w:val="20"/>
                              </w:rPr>
                              <w:t>8-</w:t>
                            </w:r>
                            <w:r>
                              <w:rPr>
                                <w:spacing w:val="-10"/>
                                <w:sz w:val="20"/>
                              </w:rPr>
                              <w:t>K</w:t>
                            </w:r>
                          </w:p>
                        </w:tc>
                        <w:tc>
                          <w:tcPr>
                            <w:tcW w:w="1075" w:type="dxa"/>
                          </w:tcPr>
                          <w:p>
                            <w:pPr>
                              <w:pStyle w:val="TableParagraph"/>
                              <w:spacing w:before="150"/>
                              <w:ind w:right="104"/>
                              <w:jc w:val="right"/>
                              <w:rPr>
                                <w:sz w:val="20"/>
                              </w:rPr>
                            </w:pPr>
                            <w:r>
                              <w:rPr>
                                <w:spacing w:val="-2"/>
                                <w:sz w:val="20"/>
                              </w:rPr>
                              <w:t>1/28/13</w:t>
                            </w:r>
                          </w:p>
                        </w:tc>
                        <w:tc>
                          <w:tcPr>
                            <w:tcW w:w="811" w:type="dxa"/>
                          </w:tcPr>
                          <w:p>
                            <w:pPr>
                              <w:pStyle w:val="TableParagraph"/>
                              <w:spacing w:before="150"/>
                              <w:ind w:right="124"/>
                              <w:jc w:val="right"/>
                              <w:rPr>
                                <w:sz w:val="20"/>
                              </w:rPr>
                            </w:pPr>
                            <w:r>
                              <w:rPr>
                                <w:spacing w:val="-4"/>
                                <w:sz w:val="20"/>
                              </w:rPr>
                              <w:t>10.2</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1130" w:hRule="atLeast"/>
                        </w:trPr>
                        <w:tc>
                          <w:tcPr>
                            <w:tcW w:w="868" w:type="dxa"/>
                          </w:tcPr>
                          <w:p>
                            <w:pPr>
                              <w:pStyle w:val="TableParagraph"/>
                              <w:spacing w:before="150"/>
                              <w:ind w:right="103"/>
                              <w:jc w:val="right"/>
                              <w:rPr>
                                <w:sz w:val="20"/>
                              </w:rPr>
                            </w:pPr>
                            <w:r>
                              <w:rPr>
                                <w:spacing w:val="-2"/>
                                <w:sz w:val="20"/>
                              </w:rPr>
                              <w:t>10.3F</w:t>
                            </w:r>
                          </w:p>
                        </w:tc>
                        <w:tc>
                          <w:tcPr>
                            <w:tcW w:w="4775" w:type="dxa"/>
                          </w:tcPr>
                          <w:p>
                            <w:pPr>
                              <w:pStyle w:val="TableParagraph"/>
                              <w:spacing w:line="208" w:lineRule="auto" w:before="175"/>
                              <w:ind w:left="95" w:right="146"/>
                              <w:rPr>
                                <w:sz w:val="20"/>
                              </w:rPr>
                            </w:pPr>
                            <w:r>
                              <w:rPr>
                                <w:sz w:val="20"/>
                              </w:rPr>
                              <w:t>Form</w:t>
                            </w:r>
                            <w:r>
                              <w:rPr>
                                <w:spacing w:val="-4"/>
                                <w:sz w:val="20"/>
                              </w:rPr>
                              <w:t> </w:t>
                            </w:r>
                            <w:r>
                              <w:rPr>
                                <w:sz w:val="20"/>
                              </w:rPr>
                              <w:t>of</w:t>
                            </w:r>
                            <w:r>
                              <w:rPr>
                                <w:spacing w:val="-3"/>
                                <w:sz w:val="20"/>
                              </w:rPr>
                              <w:t> </w:t>
                            </w:r>
                            <w:r>
                              <w:rPr>
                                <w:sz w:val="20"/>
                              </w:rPr>
                              <w:t>Performance</w:t>
                            </w:r>
                            <w:r>
                              <w:rPr>
                                <w:spacing w:val="-3"/>
                                <w:sz w:val="20"/>
                              </w:rPr>
                              <w:t> </w:t>
                            </w:r>
                            <w:r>
                              <w:rPr>
                                <w:sz w:val="20"/>
                              </w:rPr>
                              <w:t>Share</w:t>
                            </w:r>
                            <w:r>
                              <w:rPr>
                                <w:spacing w:val="-13"/>
                                <w:sz w:val="20"/>
                              </w:rPr>
                              <w:t> </w:t>
                            </w:r>
                            <w:r>
                              <w:rPr>
                                <w:sz w:val="20"/>
                              </w:rPr>
                              <w:t>Award</w:t>
                            </w:r>
                            <w:r>
                              <w:rPr>
                                <w:spacing w:val="-2"/>
                                <w:sz w:val="20"/>
                              </w:rPr>
                              <w:t> </w:t>
                            </w:r>
                            <w:r>
                              <w:rPr>
                                <w:sz w:val="20"/>
                              </w:rPr>
                              <w:t>Grant</w:t>
                            </w:r>
                            <w:r>
                              <w:rPr>
                                <w:spacing w:val="-3"/>
                                <w:sz w:val="20"/>
                              </w:rPr>
                              <w:t> </w:t>
                            </w:r>
                            <w:r>
                              <w:rPr>
                                <w:sz w:val="20"/>
                              </w:rPr>
                              <w:t>Notice</w:t>
                            </w:r>
                            <w:r>
                              <w:rPr>
                                <w:spacing w:val="-3"/>
                                <w:sz w:val="20"/>
                              </w:rPr>
                              <w:t> </w:t>
                            </w:r>
                            <w:r>
                              <w:rPr>
                                <w:sz w:val="20"/>
                              </w:rPr>
                              <w:t>and Performance</w:t>
                            </w:r>
                            <w:r>
                              <w:rPr>
                                <w:spacing w:val="-13"/>
                                <w:sz w:val="20"/>
                              </w:rPr>
                              <w:t> </w:t>
                            </w:r>
                            <w:r>
                              <w:rPr>
                                <w:sz w:val="20"/>
                              </w:rPr>
                              <w:t>Share</w:t>
                            </w:r>
                            <w:r>
                              <w:rPr>
                                <w:spacing w:val="-12"/>
                                <w:sz w:val="20"/>
                              </w:rPr>
                              <w:t> </w:t>
                            </w:r>
                            <w:r>
                              <w:rPr>
                                <w:sz w:val="20"/>
                              </w:rPr>
                              <w:t>Award</w:t>
                            </w:r>
                            <w:r>
                              <w:rPr>
                                <w:spacing w:val="-13"/>
                                <w:sz w:val="20"/>
                              </w:rPr>
                              <w:t> </w:t>
                            </w:r>
                            <w:r>
                              <w:rPr>
                                <w:sz w:val="20"/>
                              </w:rPr>
                              <w:t>Agreement</w:t>
                            </w:r>
                            <w:r>
                              <w:rPr>
                                <w:spacing w:val="-12"/>
                                <w:sz w:val="20"/>
                              </w:rPr>
                              <w:t> </w:t>
                            </w:r>
                            <w:r>
                              <w:rPr>
                                <w:sz w:val="20"/>
                              </w:rPr>
                              <w:t>pursuant</w:t>
                            </w:r>
                            <w:r>
                              <w:rPr>
                                <w:spacing w:val="-13"/>
                                <w:sz w:val="20"/>
                              </w:rPr>
                              <w:t> </w:t>
                            </w:r>
                            <w:r>
                              <w:rPr>
                                <w:sz w:val="20"/>
                              </w:rPr>
                              <w:t>to</w:t>
                            </w:r>
                            <w:r>
                              <w:rPr>
                                <w:spacing w:val="-12"/>
                                <w:sz w:val="20"/>
                              </w:rPr>
                              <w:t> </w:t>
                            </w:r>
                            <w:r>
                              <w:rPr>
                                <w:sz w:val="20"/>
                              </w:rPr>
                              <w:t>the 2003 Equity Incentive Plan (applicable to the 2013 Performance Share Program)*</w:t>
                            </w:r>
                          </w:p>
                        </w:tc>
                        <w:tc>
                          <w:tcPr>
                            <w:tcW w:w="691" w:type="dxa"/>
                          </w:tcPr>
                          <w:p>
                            <w:pPr>
                              <w:pStyle w:val="TableParagraph"/>
                              <w:spacing w:before="150"/>
                              <w:ind w:right="10"/>
                              <w:jc w:val="center"/>
                              <w:rPr>
                                <w:sz w:val="20"/>
                              </w:rPr>
                            </w:pPr>
                            <w:r>
                              <w:rPr>
                                <w:spacing w:val="-2"/>
                                <w:sz w:val="20"/>
                              </w:rPr>
                              <w:t>8-</w:t>
                            </w:r>
                            <w:r>
                              <w:rPr>
                                <w:spacing w:val="-10"/>
                                <w:sz w:val="20"/>
                              </w:rPr>
                              <w:t>K</w:t>
                            </w:r>
                          </w:p>
                        </w:tc>
                        <w:tc>
                          <w:tcPr>
                            <w:tcW w:w="1075" w:type="dxa"/>
                          </w:tcPr>
                          <w:p>
                            <w:pPr>
                              <w:pStyle w:val="TableParagraph"/>
                              <w:spacing w:before="150"/>
                              <w:ind w:right="104"/>
                              <w:jc w:val="right"/>
                              <w:rPr>
                                <w:sz w:val="20"/>
                              </w:rPr>
                            </w:pPr>
                            <w:r>
                              <w:rPr>
                                <w:spacing w:val="-2"/>
                                <w:sz w:val="20"/>
                              </w:rPr>
                              <w:t>1/28/13</w:t>
                            </w:r>
                          </w:p>
                        </w:tc>
                        <w:tc>
                          <w:tcPr>
                            <w:tcW w:w="811" w:type="dxa"/>
                          </w:tcPr>
                          <w:p>
                            <w:pPr>
                              <w:pStyle w:val="TableParagraph"/>
                              <w:spacing w:before="150"/>
                              <w:ind w:right="124"/>
                              <w:jc w:val="right"/>
                              <w:rPr>
                                <w:sz w:val="20"/>
                              </w:rPr>
                            </w:pPr>
                            <w:r>
                              <w:rPr>
                                <w:spacing w:val="-4"/>
                                <w:sz w:val="20"/>
                              </w:rPr>
                              <w:t>10.3</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40"/>
                              <w:ind w:right="103"/>
                              <w:jc w:val="right"/>
                              <w:rPr>
                                <w:sz w:val="20"/>
                              </w:rPr>
                            </w:pPr>
                            <w:r>
                              <w:rPr>
                                <w:spacing w:val="-2"/>
                                <w:sz w:val="20"/>
                              </w:rPr>
                              <w:t>10.3G</w:t>
                            </w:r>
                          </w:p>
                        </w:tc>
                        <w:tc>
                          <w:tcPr>
                            <w:tcW w:w="4775" w:type="dxa"/>
                          </w:tcPr>
                          <w:p>
                            <w:pPr>
                              <w:pStyle w:val="TableParagraph"/>
                              <w:spacing w:line="208" w:lineRule="auto" w:before="165"/>
                              <w:ind w:left="95"/>
                              <w:rPr>
                                <w:sz w:val="20"/>
                              </w:rPr>
                            </w:pPr>
                            <w:r>
                              <w:rPr>
                                <w:sz w:val="20"/>
                              </w:rPr>
                              <w:t>2014</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91" w:type="dxa"/>
                          </w:tcPr>
                          <w:p>
                            <w:pPr>
                              <w:pStyle w:val="TableParagraph"/>
                              <w:spacing w:before="140"/>
                              <w:ind w:right="10"/>
                              <w:jc w:val="center"/>
                              <w:rPr>
                                <w:sz w:val="20"/>
                              </w:rPr>
                            </w:pPr>
                            <w:r>
                              <w:rPr>
                                <w:spacing w:val="-2"/>
                                <w:sz w:val="20"/>
                              </w:rPr>
                              <w:t>8-</w:t>
                            </w:r>
                            <w:r>
                              <w:rPr>
                                <w:spacing w:val="-10"/>
                                <w:sz w:val="20"/>
                              </w:rPr>
                              <w:t>K</w:t>
                            </w:r>
                          </w:p>
                        </w:tc>
                        <w:tc>
                          <w:tcPr>
                            <w:tcW w:w="1075" w:type="dxa"/>
                          </w:tcPr>
                          <w:p>
                            <w:pPr>
                              <w:pStyle w:val="TableParagraph"/>
                              <w:spacing w:before="140"/>
                              <w:ind w:right="104"/>
                              <w:jc w:val="right"/>
                              <w:rPr>
                                <w:sz w:val="20"/>
                              </w:rPr>
                            </w:pPr>
                            <w:r>
                              <w:rPr>
                                <w:spacing w:val="-2"/>
                                <w:sz w:val="20"/>
                              </w:rPr>
                              <w:t>1/29/14</w:t>
                            </w:r>
                          </w:p>
                        </w:tc>
                        <w:tc>
                          <w:tcPr>
                            <w:tcW w:w="811" w:type="dxa"/>
                          </w:tcPr>
                          <w:p>
                            <w:pPr>
                              <w:pStyle w:val="TableParagraph"/>
                              <w:spacing w:before="140"/>
                              <w:ind w:right="124"/>
                              <w:jc w:val="right"/>
                              <w:rPr>
                                <w:sz w:val="20"/>
                              </w:rPr>
                            </w:pPr>
                            <w:r>
                              <w:rPr>
                                <w:spacing w:val="-4"/>
                                <w:sz w:val="20"/>
                              </w:rPr>
                              <w:t>10.2</w:t>
                            </w:r>
                          </w:p>
                        </w:tc>
                        <w:tc>
                          <w:tcPr>
                            <w:tcW w:w="1159" w:type="dxa"/>
                          </w:tcPr>
                          <w:p>
                            <w:pPr>
                              <w:pStyle w:val="TableParagraph"/>
                              <w:spacing w:before="14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1150" w:hRule="atLeast"/>
                        </w:trPr>
                        <w:tc>
                          <w:tcPr>
                            <w:tcW w:w="868" w:type="dxa"/>
                          </w:tcPr>
                          <w:p>
                            <w:pPr>
                              <w:pStyle w:val="TableParagraph"/>
                              <w:spacing w:before="160"/>
                              <w:ind w:right="103"/>
                              <w:jc w:val="right"/>
                              <w:rPr>
                                <w:sz w:val="20"/>
                              </w:rPr>
                            </w:pPr>
                            <w:r>
                              <w:rPr>
                                <w:spacing w:val="-2"/>
                                <w:sz w:val="20"/>
                              </w:rPr>
                              <w:t>10.3H</w:t>
                            </w:r>
                          </w:p>
                        </w:tc>
                        <w:tc>
                          <w:tcPr>
                            <w:tcW w:w="4775" w:type="dxa"/>
                          </w:tcPr>
                          <w:p>
                            <w:pPr>
                              <w:pStyle w:val="TableParagraph"/>
                              <w:spacing w:line="208" w:lineRule="auto" w:before="185"/>
                              <w:ind w:left="95" w:right="146"/>
                              <w:rPr>
                                <w:sz w:val="20"/>
                              </w:rPr>
                            </w:pPr>
                            <w:r>
                              <w:rPr>
                                <w:sz w:val="20"/>
                              </w:rPr>
                              <w:t>Form</w:t>
                            </w:r>
                            <w:r>
                              <w:rPr>
                                <w:spacing w:val="-4"/>
                                <w:sz w:val="20"/>
                              </w:rPr>
                              <w:t> </w:t>
                            </w:r>
                            <w:r>
                              <w:rPr>
                                <w:sz w:val="20"/>
                              </w:rPr>
                              <w:t>of</w:t>
                            </w:r>
                            <w:r>
                              <w:rPr>
                                <w:spacing w:val="-3"/>
                                <w:sz w:val="20"/>
                              </w:rPr>
                              <w:t> </w:t>
                            </w:r>
                            <w:r>
                              <w:rPr>
                                <w:sz w:val="20"/>
                              </w:rPr>
                              <w:t>Performance</w:t>
                            </w:r>
                            <w:r>
                              <w:rPr>
                                <w:spacing w:val="-3"/>
                                <w:sz w:val="20"/>
                              </w:rPr>
                              <w:t> </w:t>
                            </w:r>
                            <w:r>
                              <w:rPr>
                                <w:sz w:val="20"/>
                              </w:rPr>
                              <w:t>Share</w:t>
                            </w:r>
                            <w:r>
                              <w:rPr>
                                <w:spacing w:val="-13"/>
                                <w:sz w:val="20"/>
                              </w:rPr>
                              <w:t> </w:t>
                            </w:r>
                            <w:r>
                              <w:rPr>
                                <w:sz w:val="20"/>
                              </w:rPr>
                              <w:t>Award</w:t>
                            </w:r>
                            <w:r>
                              <w:rPr>
                                <w:spacing w:val="-2"/>
                                <w:sz w:val="20"/>
                              </w:rPr>
                              <w:t> </w:t>
                            </w:r>
                            <w:r>
                              <w:rPr>
                                <w:sz w:val="20"/>
                              </w:rPr>
                              <w:t>Grant</w:t>
                            </w:r>
                            <w:r>
                              <w:rPr>
                                <w:spacing w:val="-3"/>
                                <w:sz w:val="20"/>
                              </w:rPr>
                              <w:t> </w:t>
                            </w:r>
                            <w:r>
                              <w:rPr>
                                <w:sz w:val="20"/>
                              </w:rPr>
                              <w:t>Notice</w:t>
                            </w:r>
                            <w:r>
                              <w:rPr>
                                <w:spacing w:val="-3"/>
                                <w:sz w:val="20"/>
                              </w:rPr>
                              <w:t> </w:t>
                            </w:r>
                            <w:r>
                              <w:rPr>
                                <w:sz w:val="20"/>
                              </w:rPr>
                              <w:t>and Performance</w:t>
                            </w:r>
                            <w:r>
                              <w:rPr>
                                <w:spacing w:val="-13"/>
                                <w:sz w:val="20"/>
                              </w:rPr>
                              <w:t> </w:t>
                            </w:r>
                            <w:r>
                              <w:rPr>
                                <w:sz w:val="20"/>
                              </w:rPr>
                              <w:t>Share</w:t>
                            </w:r>
                            <w:r>
                              <w:rPr>
                                <w:spacing w:val="-12"/>
                                <w:sz w:val="20"/>
                              </w:rPr>
                              <w:t> </w:t>
                            </w:r>
                            <w:r>
                              <w:rPr>
                                <w:sz w:val="20"/>
                              </w:rPr>
                              <w:t>Award</w:t>
                            </w:r>
                            <w:r>
                              <w:rPr>
                                <w:spacing w:val="-13"/>
                                <w:sz w:val="20"/>
                              </w:rPr>
                              <w:t> </w:t>
                            </w:r>
                            <w:r>
                              <w:rPr>
                                <w:sz w:val="20"/>
                              </w:rPr>
                              <w:t>Agreement</w:t>
                            </w:r>
                            <w:r>
                              <w:rPr>
                                <w:spacing w:val="-12"/>
                                <w:sz w:val="20"/>
                              </w:rPr>
                              <w:t> </w:t>
                            </w:r>
                            <w:r>
                              <w:rPr>
                                <w:sz w:val="20"/>
                              </w:rPr>
                              <w:t>pursuant</w:t>
                            </w:r>
                            <w:r>
                              <w:rPr>
                                <w:spacing w:val="-13"/>
                                <w:sz w:val="20"/>
                              </w:rPr>
                              <w:t> </w:t>
                            </w:r>
                            <w:r>
                              <w:rPr>
                                <w:sz w:val="20"/>
                              </w:rPr>
                              <w:t>to</w:t>
                            </w:r>
                            <w:r>
                              <w:rPr>
                                <w:spacing w:val="-12"/>
                                <w:sz w:val="20"/>
                              </w:rPr>
                              <w:t> </w:t>
                            </w:r>
                            <w:r>
                              <w:rPr>
                                <w:sz w:val="20"/>
                              </w:rPr>
                              <w:t>the 2003 Equity Incentive Plan (applicable to the 2014 Performance Share Program)*</w:t>
                            </w:r>
                          </w:p>
                        </w:tc>
                        <w:tc>
                          <w:tcPr>
                            <w:tcW w:w="691" w:type="dxa"/>
                          </w:tcPr>
                          <w:p>
                            <w:pPr>
                              <w:pStyle w:val="TableParagraph"/>
                              <w:spacing w:before="160"/>
                              <w:ind w:right="10"/>
                              <w:jc w:val="center"/>
                              <w:rPr>
                                <w:sz w:val="20"/>
                              </w:rPr>
                            </w:pPr>
                            <w:r>
                              <w:rPr>
                                <w:spacing w:val="-2"/>
                                <w:sz w:val="20"/>
                              </w:rPr>
                              <w:t>8-</w:t>
                            </w:r>
                            <w:r>
                              <w:rPr>
                                <w:spacing w:val="-10"/>
                                <w:sz w:val="20"/>
                              </w:rPr>
                              <w:t>K</w:t>
                            </w:r>
                          </w:p>
                        </w:tc>
                        <w:tc>
                          <w:tcPr>
                            <w:tcW w:w="1075" w:type="dxa"/>
                          </w:tcPr>
                          <w:p>
                            <w:pPr>
                              <w:pStyle w:val="TableParagraph"/>
                              <w:spacing w:before="160"/>
                              <w:ind w:right="104"/>
                              <w:jc w:val="right"/>
                              <w:rPr>
                                <w:sz w:val="20"/>
                              </w:rPr>
                            </w:pPr>
                            <w:r>
                              <w:rPr>
                                <w:spacing w:val="-2"/>
                                <w:sz w:val="20"/>
                              </w:rPr>
                              <w:t>1/29/14</w:t>
                            </w:r>
                          </w:p>
                        </w:tc>
                        <w:tc>
                          <w:tcPr>
                            <w:tcW w:w="811" w:type="dxa"/>
                          </w:tcPr>
                          <w:p>
                            <w:pPr>
                              <w:pStyle w:val="TableParagraph"/>
                              <w:spacing w:before="160"/>
                              <w:ind w:right="124"/>
                              <w:jc w:val="right"/>
                              <w:rPr>
                                <w:sz w:val="20"/>
                              </w:rPr>
                            </w:pPr>
                            <w:r>
                              <w:rPr>
                                <w:spacing w:val="-4"/>
                                <w:sz w:val="20"/>
                              </w:rPr>
                              <w:t>10.3</w:t>
                            </w:r>
                          </w:p>
                        </w:tc>
                        <w:tc>
                          <w:tcPr>
                            <w:tcW w:w="1159" w:type="dxa"/>
                          </w:tcPr>
                          <w:p>
                            <w:pPr>
                              <w:pStyle w:val="TableParagraph"/>
                              <w:spacing w:before="16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10.3I</w:t>
                            </w:r>
                          </w:p>
                        </w:tc>
                        <w:tc>
                          <w:tcPr>
                            <w:tcW w:w="4775" w:type="dxa"/>
                          </w:tcPr>
                          <w:p>
                            <w:pPr>
                              <w:pStyle w:val="TableParagraph"/>
                              <w:spacing w:line="208" w:lineRule="auto" w:before="175"/>
                              <w:ind w:left="95"/>
                              <w:rPr>
                                <w:sz w:val="20"/>
                              </w:rPr>
                            </w:pPr>
                            <w:r>
                              <w:rPr>
                                <w:sz w:val="20"/>
                              </w:rPr>
                              <w:t>2015</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91" w:type="dxa"/>
                          </w:tcPr>
                          <w:p>
                            <w:pPr>
                              <w:pStyle w:val="TableParagraph"/>
                              <w:spacing w:before="150"/>
                              <w:ind w:right="10"/>
                              <w:jc w:val="center"/>
                              <w:rPr>
                                <w:sz w:val="20"/>
                              </w:rPr>
                            </w:pPr>
                            <w:r>
                              <w:rPr>
                                <w:spacing w:val="-2"/>
                                <w:sz w:val="20"/>
                              </w:rPr>
                              <w:t>8-</w:t>
                            </w:r>
                            <w:r>
                              <w:rPr>
                                <w:spacing w:val="-10"/>
                                <w:sz w:val="20"/>
                              </w:rPr>
                              <w:t>K</w:t>
                            </w:r>
                          </w:p>
                        </w:tc>
                        <w:tc>
                          <w:tcPr>
                            <w:tcW w:w="1075" w:type="dxa"/>
                          </w:tcPr>
                          <w:p>
                            <w:pPr>
                              <w:pStyle w:val="TableParagraph"/>
                              <w:spacing w:before="150"/>
                              <w:ind w:right="104"/>
                              <w:jc w:val="right"/>
                              <w:rPr>
                                <w:sz w:val="20"/>
                              </w:rPr>
                            </w:pPr>
                            <w:r>
                              <w:rPr>
                                <w:spacing w:val="-2"/>
                                <w:sz w:val="20"/>
                              </w:rPr>
                              <w:t>1/28/15</w:t>
                            </w:r>
                          </w:p>
                        </w:tc>
                        <w:tc>
                          <w:tcPr>
                            <w:tcW w:w="811" w:type="dxa"/>
                          </w:tcPr>
                          <w:p>
                            <w:pPr>
                              <w:pStyle w:val="TableParagraph"/>
                              <w:spacing w:before="150"/>
                              <w:ind w:right="124"/>
                              <w:jc w:val="right"/>
                              <w:rPr>
                                <w:sz w:val="20"/>
                              </w:rPr>
                            </w:pPr>
                            <w:r>
                              <w:rPr>
                                <w:spacing w:val="-4"/>
                                <w:sz w:val="20"/>
                              </w:rPr>
                              <w:t>10.2</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1140" w:hRule="atLeast"/>
                        </w:trPr>
                        <w:tc>
                          <w:tcPr>
                            <w:tcW w:w="868" w:type="dxa"/>
                          </w:tcPr>
                          <w:p>
                            <w:pPr>
                              <w:pStyle w:val="TableParagraph"/>
                              <w:spacing w:before="150"/>
                              <w:ind w:right="103"/>
                              <w:jc w:val="right"/>
                              <w:rPr>
                                <w:sz w:val="20"/>
                              </w:rPr>
                            </w:pPr>
                            <w:r>
                              <w:rPr>
                                <w:spacing w:val="-2"/>
                                <w:sz w:val="20"/>
                              </w:rPr>
                              <w:t>10.3J</w:t>
                            </w:r>
                          </w:p>
                        </w:tc>
                        <w:tc>
                          <w:tcPr>
                            <w:tcW w:w="4775" w:type="dxa"/>
                          </w:tcPr>
                          <w:p>
                            <w:pPr>
                              <w:pStyle w:val="TableParagraph"/>
                              <w:spacing w:line="208" w:lineRule="auto" w:before="175"/>
                              <w:ind w:left="95" w:right="146"/>
                              <w:rPr>
                                <w:sz w:val="20"/>
                              </w:rPr>
                            </w:pPr>
                            <w:r>
                              <w:rPr>
                                <w:sz w:val="20"/>
                              </w:rPr>
                              <w:t>Form</w:t>
                            </w:r>
                            <w:r>
                              <w:rPr>
                                <w:spacing w:val="-13"/>
                                <w:sz w:val="20"/>
                              </w:rPr>
                              <w:t> </w:t>
                            </w:r>
                            <w:r>
                              <w:rPr>
                                <w:sz w:val="20"/>
                              </w:rPr>
                              <w:t>of</w:t>
                            </w:r>
                            <w:r>
                              <w:rPr>
                                <w:spacing w:val="-9"/>
                                <w:sz w:val="20"/>
                              </w:rPr>
                              <w:t> </w:t>
                            </w:r>
                            <w:r>
                              <w:rPr>
                                <w:sz w:val="20"/>
                              </w:rPr>
                              <w:t>2015</w:t>
                            </w:r>
                            <w:r>
                              <w:rPr>
                                <w:spacing w:val="-9"/>
                                <w:sz w:val="20"/>
                              </w:rPr>
                              <w:t> </w:t>
                            </w:r>
                            <w:r>
                              <w:rPr>
                                <w:sz w:val="20"/>
                              </w:rPr>
                              <w:t>Performance</w:t>
                            </w:r>
                            <w:r>
                              <w:rPr>
                                <w:spacing w:val="-9"/>
                                <w:sz w:val="20"/>
                              </w:rPr>
                              <w:t> </w:t>
                            </w:r>
                            <w:r>
                              <w:rPr>
                                <w:sz w:val="20"/>
                              </w:rPr>
                              <w:t>Share</w:t>
                            </w:r>
                            <w:r>
                              <w:rPr>
                                <w:spacing w:val="-13"/>
                                <w:sz w:val="20"/>
                              </w:rPr>
                              <w:t> </w:t>
                            </w:r>
                            <w:r>
                              <w:rPr>
                                <w:sz w:val="20"/>
                              </w:rPr>
                              <w:t>Award</w:t>
                            </w:r>
                            <w:r>
                              <w:rPr>
                                <w:spacing w:val="-8"/>
                                <w:sz w:val="20"/>
                              </w:rPr>
                              <w:t> </w:t>
                            </w:r>
                            <w:r>
                              <w:rPr>
                                <w:sz w:val="20"/>
                              </w:rPr>
                              <w:t>Grant</w:t>
                            </w:r>
                            <w:r>
                              <w:rPr>
                                <w:spacing w:val="-9"/>
                                <w:sz w:val="20"/>
                              </w:rPr>
                              <w:t> </w:t>
                            </w:r>
                            <w:r>
                              <w:rPr>
                                <w:sz w:val="20"/>
                              </w:rPr>
                              <w:t>Notice and Award Agreement pursuant to the 2003 Equity Incentive Plan (applicable to the 2015 Performance Share Program)*</w:t>
                            </w:r>
                          </w:p>
                        </w:tc>
                        <w:tc>
                          <w:tcPr>
                            <w:tcW w:w="691" w:type="dxa"/>
                          </w:tcPr>
                          <w:p>
                            <w:pPr>
                              <w:pStyle w:val="TableParagraph"/>
                              <w:spacing w:before="150"/>
                              <w:ind w:right="10"/>
                              <w:jc w:val="center"/>
                              <w:rPr>
                                <w:sz w:val="20"/>
                              </w:rPr>
                            </w:pPr>
                            <w:r>
                              <w:rPr>
                                <w:spacing w:val="-2"/>
                                <w:sz w:val="20"/>
                              </w:rPr>
                              <w:t>8-</w:t>
                            </w:r>
                            <w:r>
                              <w:rPr>
                                <w:spacing w:val="-10"/>
                                <w:sz w:val="20"/>
                              </w:rPr>
                              <w:t>K</w:t>
                            </w:r>
                          </w:p>
                        </w:tc>
                        <w:tc>
                          <w:tcPr>
                            <w:tcW w:w="1075" w:type="dxa"/>
                          </w:tcPr>
                          <w:p>
                            <w:pPr>
                              <w:pStyle w:val="TableParagraph"/>
                              <w:spacing w:before="150"/>
                              <w:ind w:right="104"/>
                              <w:jc w:val="right"/>
                              <w:rPr>
                                <w:sz w:val="20"/>
                              </w:rPr>
                            </w:pPr>
                            <w:r>
                              <w:rPr>
                                <w:spacing w:val="-2"/>
                                <w:sz w:val="20"/>
                              </w:rPr>
                              <w:t>1/28/15</w:t>
                            </w:r>
                          </w:p>
                        </w:tc>
                        <w:tc>
                          <w:tcPr>
                            <w:tcW w:w="811" w:type="dxa"/>
                          </w:tcPr>
                          <w:p>
                            <w:pPr>
                              <w:pStyle w:val="TableParagraph"/>
                              <w:spacing w:before="150"/>
                              <w:ind w:right="124"/>
                              <w:jc w:val="right"/>
                              <w:rPr>
                                <w:sz w:val="20"/>
                              </w:rPr>
                            </w:pPr>
                            <w:r>
                              <w:rPr>
                                <w:spacing w:val="-4"/>
                                <w:sz w:val="20"/>
                              </w:rPr>
                              <w:t>10.3</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r>
                        <w:trPr>
                          <w:trHeight w:val="580" w:hRule="atLeast"/>
                        </w:trPr>
                        <w:tc>
                          <w:tcPr>
                            <w:tcW w:w="868" w:type="dxa"/>
                          </w:tcPr>
                          <w:p>
                            <w:pPr>
                              <w:pStyle w:val="TableParagraph"/>
                              <w:spacing w:before="150"/>
                              <w:ind w:right="103"/>
                              <w:jc w:val="right"/>
                              <w:rPr>
                                <w:sz w:val="20"/>
                              </w:rPr>
                            </w:pPr>
                            <w:r>
                              <w:rPr>
                                <w:spacing w:val="-2"/>
                                <w:sz w:val="20"/>
                              </w:rPr>
                              <w:t>10.3K</w:t>
                            </w:r>
                          </w:p>
                        </w:tc>
                        <w:tc>
                          <w:tcPr>
                            <w:tcW w:w="4775" w:type="dxa"/>
                          </w:tcPr>
                          <w:p>
                            <w:pPr>
                              <w:pStyle w:val="TableParagraph"/>
                              <w:spacing w:line="200" w:lineRule="exact" w:before="160"/>
                              <w:ind w:left="95"/>
                              <w:rPr>
                                <w:sz w:val="20"/>
                              </w:rPr>
                            </w:pPr>
                            <w:r>
                              <w:rPr>
                                <w:sz w:val="20"/>
                              </w:rPr>
                              <w:t>2016</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91" w:type="dxa"/>
                          </w:tcPr>
                          <w:p>
                            <w:pPr>
                              <w:pStyle w:val="TableParagraph"/>
                              <w:spacing w:before="150"/>
                              <w:ind w:right="10"/>
                              <w:jc w:val="center"/>
                              <w:rPr>
                                <w:sz w:val="20"/>
                              </w:rPr>
                            </w:pPr>
                            <w:r>
                              <w:rPr>
                                <w:spacing w:val="-2"/>
                                <w:sz w:val="20"/>
                              </w:rPr>
                              <w:t>8-</w:t>
                            </w:r>
                            <w:r>
                              <w:rPr>
                                <w:spacing w:val="-10"/>
                                <w:sz w:val="20"/>
                              </w:rPr>
                              <w:t>K</w:t>
                            </w:r>
                          </w:p>
                        </w:tc>
                        <w:tc>
                          <w:tcPr>
                            <w:tcW w:w="1075" w:type="dxa"/>
                          </w:tcPr>
                          <w:p>
                            <w:pPr>
                              <w:pStyle w:val="TableParagraph"/>
                              <w:spacing w:before="150"/>
                              <w:ind w:right="104"/>
                              <w:jc w:val="right"/>
                              <w:rPr>
                                <w:sz w:val="20"/>
                              </w:rPr>
                            </w:pPr>
                            <w:r>
                              <w:rPr>
                                <w:spacing w:val="-2"/>
                                <w:sz w:val="20"/>
                              </w:rPr>
                              <w:t>1/29/16</w:t>
                            </w:r>
                          </w:p>
                        </w:tc>
                        <w:tc>
                          <w:tcPr>
                            <w:tcW w:w="811" w:type="dxa"/>
                          </w:tcPr>
                          <w:p>
                            <w:pPr>
                              <w:pStyle w:val="TableParagraph"/>
                              <w:spacing w:before="150"/>
                              <w:ind w:right="124"/>
                              <w:jc w:val="right"/>
                              <w:rPr>
                                <w:sz w:val="20"/>
                              </w:rPr>
                            </w:pPr>
                            <w:r>
                              <w:rPr>
                                <w:spacing w:val="-4"/>
                                <w:sz w:val="20"/>
                              </w:rPr>
                              <w:t>10.2</w:t>
                            </w:r>
                          </w:p>
                        </w:tc>
                        <w:tc>
                          <w:tcPr>
                            <w:tcW w:w="1159" w:type="dxa"/>
                          </w:tcPr>
                          <w:p>
                            <w:pPr>
                              <w:pStyle w:val="TableParagraph"/>
                              <w:spacing w:before="150"/>
                              <w:ind w:left="111" w:right="12"/>
                              <w:jc w:val="center"/>
                              <w:rPr>
                                <w:sz w:val="20"/>
                              </w:rPr>
                            </w:pPr>
                            <w:r>
                              <w:rPr>
                                <w:sz w:val="20"/>
                              </w:rPr>
                              <w:t>000-</w:t>
                            </w:r>
                            <w:r>
                              <w:rPr>
                                <w:spacing w:val="-2"/>
                                <w:sz w:val="20"/>
                              </w:rPr>
                              <w:t>15175</w:t>
                            </w:r>
                          </w:p>
                        </w:tc>
                        <w:tc>
                          <w:tcPr>
                            <w:tcW w:w="808" w:type="dxa"/>
                          </w:tcPr>
                          <w:p>
                            <w:pPr>
                              <w:pStyle w:val="TableParagraph"/>
                              <w:rPr>
                                <w:sz w:val="18"/>
                              </w:rPr>
                            </w:pPr>
                          </w:p>
                        </w:tc>
                      </w:tr>
                    </w:tbl>
                    <w:p>
                      <w:pPr>
                        <w:pStyle w:val="BodyText"/>
                      </w:pPr>
                    </w:p>
                  </w:txbxContent>
                </v:textbox>
                <w10:wrap type="none"/>
              </v:shape>
            </w:pict>
          </mc:Fallback>
        </mc:AlternateContent>
      </w:r>
      <w:r>
        <w:rPr>
          <w:b/>
          <w:spacing w:val="-2"/>
          <w:sz w:val="16"/>
        </w:rPr>
        <w:t>Exhibit</w:t>
      </w:r>
    </w:p>
    <w:p>
      <w:pPr>
        <w:spacing w:line="183" w:lineRule="exact" w:before="0"/>
        <w:ind w:left="406" w:right="0" w:firstLine="0"/>
        <w:jc w:val="left"/>
        <w:rPr>
          <w:b/>
          <w:sz w:val="16"/>
        </w:rPr>
      </w:pPr>
      <w:r>
        <w:rPr/>
        <w:br w:type="column"/>
      </w:r>
      <w:r>
        <w:rPr>
          <w:b/>
          <w:spacing w:val="-2"/>
          <w:sz w:val="16"/>
        </w:rPr>
        <w:t>Exhibit</w:t>
      </w:r>
    </w:p>
    <w:p>
      <w:pPr>
        <w:spacing w:line="183" w:lineRule="exact" w:before="0"/>
        <w:ind w:left="405" w:right="0" w:firstLine="0"/>
        <w:jc w:val="left"/>
        <w:rPr>
          <w:b/>
          <w:sz w:val="16"/>
        </w:rPr>
      </w:pPr>
      <w:r>
        <w:rPr/>
        <w:br w:type="column"/>
      </w:r>
      <w:r>
        <w:rPr>
          <w:b/>
          <w:spacing w:val="-2"/>
          <w:sz w:val="16"/>
        </w:rPr>
        <w:t>Filed</w:t>
      </w:r>
    </w:p>
    <w:p>
      <w:pPr>
        <w:spacing w:after="0" w:line="183" w:lineRule="exact"/>
        <w:jc w:val="left"/>
        <w:rPr>
          <w:sz w:val="16"/>
        </w:rPr>
        <w:sectPr>
          <w:headerReference w:type="default" r:id="rId36"/>
          <w:footerReference w:type="default" r:id="rId37"/>
          <w:pgSz w:w="12240" w:h="15840"/>
          <w:pgMar w:header="210" w:footer="610" w:top="1160" w:bottom="800" w:left="780" w:right="740"/>
          <w:cols w:num="3" w:equalWidth="0">
            <w:col w:w="953" w:space="6467"/>
            <w:col w:w="953" w:space="1127"/>
            <w:col w:w="1220"/>
          </w:cols>
        </w:sectPr>
      </w:pPr>
    </w:p>
    <w:p>
      <w:pPr>
        <w:spacing w:line="183" w:lineRule="exact" w:before="0"/>
        <w:ind w:left="405" w:right="0" w:firstLine="0"/>
        <w:jc w:val="left"/>
        <w:rPr>
          <w:b/>
          <w:sz w:val="16"/>
        </w:rPr>
      </w:pPr>
      <w:r>
        <w:rPr/>
        <mc:AlternateContent>
          <mc:Choice Requires="wps">
            <w:drawing>
              <wp:anchor distT="0" distB="0" distL="0" distR="0" allowOverlap="1" layoutInCell="1" locked="0" behindDoc="0" simplePos="0" relativeHeight="15841280">
                <wp:simplePos x="0" y="0"/>
                <wp:positionH relativeFrom="page">
                  <wp:posOffset>633094</wp:posOffset>
                </wp:positionH>
                <wp:positionV relativeFrom="page">
                  <wp:posOffset>839991</wp:posOffset>
                </wp:positionV>
                <wp:extent cx="6548755" cy="8213725"/>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a:off x="0" y="0"/>
                          <a:ext cx="6548755" cy="82137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785"/>
                              <w:gridCol w:w="683"/>
                              <w:gridCol w:w="1078"/>
                              <w:gridCol w:w="786"/>
                              <w:gridCol w:w="1184"/>
                              <w:gridCol w:w="809"/>
                            </w:tblGrid>
                            <w:tr>
                              <w:trPr>
                                <w:trHeight w:val="217" w:hRule="atLeast"/>
                              </w:trPr>
                              <w:tc>
                                <w:tcPr>
                                  <w:tcW w:w="868" w:type="dxa"/>
                                  <w:tcBorders>
                                    <w:bottom w:val="single" w:sz="8" w:space="0" w:color="000000"/>
                                  </w:tcBorders>
                                </w:tcPr>
                                <w:p>
                                  <w:pPr>
                                    <w:pStyle w:val="TableParagraph"/>
                                    <w:spacing w:line="180" w:lineRule="exact"/>
                                    <w:ind w:left="100"/>
                                    <w:rPr>
                                      <w:b/>
                                      <w:sz w:val="16"/>
                                    </w:rPr>
                                  </w:pPr>
                                  <w:r>
                                    <w:rPr>
                                      <w:b/>
                                      <w:spacing w:val="-2"/>
                                      <w:sz w:val="16"/>
                                    </w:rPr>
                                    <w:t>Number</w:t>
                                  </w:r>
                                </w:p>
                              </w:tc>
                              <w:tc>
                                <w:tcPr>
                                  <w:tcW w:w="4785" w:type="dxa"/>
                                  <w:tcBorders>
                                    <w:bottom w:val="single" w:sz="8" w:space="0" w:color="000000"/>
                                  </w:tcBorders>
                                </w:tcPr>
                                <w:p>
                                  <w:pPr>
                                    <w:pStyle w:val="TableParagraph"/>
                                    <w:spacing w:line="177" w:lineRule="exact"/>
                                    <w:ind w:right="13"/>
                                    <w:jc w:val="center"/>
                                    <w:rPr>
                                      <w:b/>
                                      <w:sz w:val="16"/>
                                    </w:rPr>
                                  </w:pPr>
                                  <w:r>
                                    <w:rPr>
                                      <w:b/>
                                      <w:sz w:val="16"/>
                                    </w:rPr>
                                    <w:t>Exhibit </w:t>
                                  </w:r>
                                  <w:r>
                                    <w:rPr>
                                      <w:b/>
                                      <w:spacing w:val="-2"/>
                                      <w:sz w:val="16"/>
                                    </w:rPr>
                                    <w:t>Description</w:t>
                                  </w:r>
                                </w:p>
                              </w:tc>
                              <w:tc>
                                <w:tcPr>
                                  <w:tcW w:w="683" w:type="dxa"/>
                                  <w:tcBorders>
                                    <w:bottom w:val="single" w:sz="8" w:space="0" w:color="000000"/>
                                  </w:tcBorders>
                                </w:tcPr>
                                <w:p>
                                  <w:pPr>
                                    <w:pStyle w:val="TableParagraph"/>
                                    <w:spacing w:line="177" w:lineRule="exact"/>
                                    <w:ind w:right="22"/>
                                    <w:jc w:val="center"/>
                                    <w:rPr>
                                      <w:b/>
                                      <w:sz w:val="16"/>
                                    </w:rPr>
                                  </w:pPr>
                                  <w:r>
                                    <w:rPr>
                                      <w:b/>
                                      <w:spacing w:val="-4"/>
                                      <w:sz w:val="16"/>
                                    </w:rPr>
                                    <w:t>Form</w:t>
                                  </w:r>
                                </w:p>
                              </w:tc>
                              <w:tc>
                                <w:tcPr>
                                  <w:tcW w:w="1078" w:type="dxa"/>
                                  <w:tcBorders>
                                    <w:bottom w:val="single" w:sz="8" w:space="0" w:color="000000"/>
                                  </w:tcBorders>
                                </w:tcPr>
                                <w:p>
                                  <w:pPr>
                                    <w:pStyle w:val="TableParagraph"/>
                                    <w:spacing w:line="177" w:lineRule="exact"/>
                                    <w:ind w:right="168"/>
                                    <w:jc w:val="right"/>
                                    <w:rPr>
                                      <w:b/>
                                      <w:sz w:val="16"/>
                                    </w:rPr>
                                  </w:pPr>
                                  <w:r>
                                    <w:rPr>
                                      <w:b/>
                                      <w:sz w:val="16"/>
                                    </w:rPr>
                                    <w:t>Filing </w:t>
                                  </w:r>
                                  <w:r>
                                    <w:rPr>
                                      <w:b/>
                                      <w:spacing w:val="-4"/>
                                      <w:sz w:val="16"/>
                                    </w:rPr>
                                    <w:t>Date</w:t>
                                  </w:r>
                                </w:p>
                              </w:tc>
                              <w:tc>
                                <w:tcPr>
                                  <w:tcW w:w="786" w:type="dxa"/>
                                  <w:tcBorders>
                                    <w:bottom w:val="single" w:sz="8" w:space="0" w:color="000000"/>
                                  </w:tcBorders>
                                </w:tcPr>
                                <w:p>
                                  <w:pPr>
                                    <w:pStyle w:val="TableParagraph"/>
                                    <w:spacing w:line="180" w:lineRule="exact"/>
                                    <w:ind w:right="109"/>
                                    <w:jc w:val="right"/>
                                    <w:rPr>
                                      <w:b/>
                                      <w:sz w:val="16"/>
                                    </w:rPr>
                                  </w:pPr>
                                  <w:r>
                                    <w:rPr>
                                      <w:b/>
                                      <w:spacing w:val="-2"/>
                                      <w:sz w:val="16"/>
                                    </w:rPr>
                                    <w:t>Number</w:t>
                                  </w:r>
                                </w:p>
                              </w:tc>
                              <w:tc>
                                <w:tcPr>
                                  <w:tcW w:w="1184" w:type="dxa"/>
                                  <w:tcBorders>
                                    <w:bottom w:val="single" w:sz="8" w:space="0" w:color="000000"/>
                                  </w:tcBorders>
                                </w:tcPr>
                                <w:p>
                                  <w:pPr>
                                    <w:pStyle w:val="TableParagraph"/>
                                    <w:spacing w:line="177" w:lineRule="exact"/>
                                    <w:ind w:right="147"/>
                                    <w:jc w:val="right"/>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09" w:type="dxa"/>
                                  <w:tcBorders>
                                    <w:bottom w:val="single" w:sz="8" w:space="0" w:color="000000"/>
                                  </w:tcBorders>
                                </w:tcPr>
                                <w:p>
                                  <w:pPr>
                                    <w:pStyle w:val="TableParagraph"/>
                                    <w:spacing w:line="180" w:lineRule="exact"/>
                                    <w:ind w:left="100"/>
                                    <w:rPr>
                                      <w:b/>
                                      <w:sz w:val="16"/>
                                    </w:rPr>
                                  </w:pPr>
                                  <w:r>
                                    <w:rPr>
                                      <w:b/>
                                      <w:spacing w:val="-2"/>
                                      <w:sz w:val="16"/>
                                    </w:rPr>
                                    <w:t>Herewith</w:t>
                                  </w:r>
                                </w:p>
                              </w:tc>
                            </w:tr>
                            <w:tr>
                              <w:trPr>
                                <w:trHeight w:val="1231" w:hRule="atLeast"/>
                              </w:trPr>
                              <w:tc>
                                <w:tcPr>
                                  <w:tcW w:w="868" w:type="dxa"/>
                                  <w:tcBorders>
                                    <w:top w:val="single" w:sz="8" w:space="0" w:color="000000"/>
                                  </w:tcBorders>
                                </w:tcPr>
                                <w:p>
                                  <w:pPr>
                                    <w:pStyle w:val="TableParagraph"/>
                                    <w:spacing w:before="21"/>
                                    <w:rPr>
                                      <w:b/>
                                      <w:sz w:val="20"/>
                                    </w:rPr>
                                  </w:pPr>
                                </w:p>
                                <w:p>
                                  <w:pPr>
                                    <w:pStyle w:val="TableParagraph"/>
                                    <w:spacing w:before="1"/>
                                    <w:ind w:right="95"/>
                                    <w:jc w:val="right"/>
                                    <w:rPr>
                                      <w:sz w:val="20"/>
                                    </w:rPr>
                                  </w:pPr>
                                  <w:r>
                                    <w:rPr>
                                      <w:spacing w:val="-2"/>
                                      <w:sz w:val="20"/>
                                    </w:rPr>
                                    <w:t>10.3L</w:t>
                                  </w:r>
                                </w:p>
                              </w:tc>
                              <w:tc>
                                <w:tcPr>
                                  <w:tcW w:w="4785" w:type="dxa"/>
                                  <w:tcBorders>
                                    <w:top w:val="single" w:sz="8" w:space="0" w:color="000000"/>
                                  </w:tcBorders>
                                </w:tcPr>
                                <w:p>
                                  <w:pPr>
                                    <w:pStyle w:val="TableParagraph"/>
                                    <w:spacing w:before="46"/>
                                    <w:rPr>
                                      <w:b/>
                                      <w:sz w:val="20"/>
                                    </w:rPr>
                                  </w:pPr>
                                </w:p>
                                <w:p>
                                  <w:pPr>
                                    <w:pStyle w:val="TableParagraph"/>
                                    <w:spacing w:line="208" w:lineRule="auto"/>
                                    <w:ind w:left="95" w:right="147"/>
                                    <w:rPr>
                                      <w:sz w:val="20"/>
                                    </w:rPr>
                                  </w:pPr>
                                  <w:r>
                                    <w:rPr>
                                      <w:sz w:val="20"/>
                                    </w:rPr>
                                    <w:t>Form</w:t>
                                  </w:r>
                                  <w:r>
                                    <w:rPr>
                                      <w:spacing w:val="-13"/>
                                      <w:sz w:val="20"/>
                                    </w:rPr>
                                    <w:t> </w:t>
                                  </w:r>
                                  <w:r>
                                    <w:rPr>
                                      <w:sz w:val="20"/>
                                    </w:rPr>
                                    <w:t>of</w:t>
                                  </w:r>
                                  <w:r>
                                    <w:rPr>
                                      <w:spacing w:val="-9"/>
                                      <w:sz w:val="20"/>
                                    </w:rPr>
                                    <w:t> </w:t>
                                  </w:r>
                                  <w:r>
                                    <w:rPr>
                                      <w:sz w:val="20"/>
                                    </w:rPr>
                                    <w:t>2016</w:t>
                                  </w:r>
                                  <w:r>
                                    <w:rPr>
                                      <w:spacing w:val="-9"/>
                                      <w:sz w:val="20"/>
                                    </w:rPr>
                                    <w:t> </w:t>
                                  </w:r>
                                  <w:r>
                                    <w:rPr>
                                      <w:sz w:val="20"/>
                                    </w:rPr>
                                    <w:t>Performance</w:t>
                                  </w:r>
                                  <w:r>
                                    <w:rPr>
                                      <w:spacing w:val="-9"/>
                                      <w:sz w:val="20"/>
                                    </w:rPr>
                                    <w:t> </w:t>
                                  </w:r>
                                  <w:r>
                                    <w:rPr>
                                      <w:sz w:val="20"/>
                                    </w:rPr>
                                    <w:t>Share</w:t>
                                  </w:r>
                                  <w:r>
                                    <w:rPr>
                                      <w:spacing w:val="-13"/>
                                      <w:sz w:val="20"/>
                                    </w:rPr>
                                    <w:t> </w:t>
                                  </w:r>
                                  <w:r>
                                    <w:rPr>
                                      <w:sz w:val="20"/>
                                    </w:rPr>
                                    <w:t>Award</w:t>
                                  </w:r>
                                  <w:r>
                                    <w:rPr>
                                      <w:spacing w:val="-8"/>
                                      <w:sz w:val="20"/>
                                    </w:rPr>
                                    <w:t> </w:t>
                                  </w:r>
                                  <w:r>
                                    <w:rPr>
                                      <w:sz w:val="20"/>
                                    </w:rPr>
                                    <w:t>Grant</w:t>
                                  </w:r>
                                  <w:r>
                                    <w:rPr>
                                      <w:spacing w:val="-9"/>
                                      <w:sz w:val="20"/>
                                    </w:rPr>
                                    <w:t> </w:t>
                                  </w:r>
                                  <w:r>
                                    <w:rPr>
                                      <w:sz w:val="20"/>
                                    </w:rPr>
                                    <w:t>Notice and Award Agreement pursuant to the 2003 Equity Incentive Plan (applicable to the 2016 Performance Share Program)*</w:t>
                                  </w:r>
                                </w:p>
                              </w:tc>
                              <w:tc>
                                <w:tcPr>
                                  <w:tcW w:w="683" w:type="dxa"/>
                                  <w:tcBorders>
                                    <w:top w:val="single" w:sz="8" w:space="0" w:color="000000"/>
                                  </w:tcBorders>
                                </w:tcPr>
                                <w:p>
                                  <w:pPr>
                                    <w:pStyle w:val="TableParagraph"/>
                                    <w:spacing w:before="21"/>
                                    <w:rPr>
                                      <w:b/>
                                      <w:sz w:val="20"/>
                                    </w:rPr>
                                  </w:pPr>
                                </w:p>
                                <w:p>
                                  <w:pPr>
                                    <w:pStyle w:val="TableParagraph"/>
                                    <w:spacing w:before="1"/>
                                    <w:ind w:right="22"/>
                                    <w:jc w:val="center"/>
                                    <w:rPr>
                                      <w:sz w:val="20"/>
                                    </w:rPr>
                                  </w:pPr>
                                  <w:r>
                                    <w:rPr>
                                      <w:spacing w:val="-2"/>
                                      <w:sz w:val="20"/>
                                    </w:rPr>
                                    <w:t>8-</w:t>
                                  </w:r>
                                  <w:r>
                                    <w:rPr>
                                      <w:spacing w:val="-10"/>
                                      <w:sz w:val="20"/>
                                    </w:rPr>
                                    <w:t>K</w:t>
                                  </w:r>
                                </w:p>
                              </w:tc>
                              <w:tc>
                                <w:tcPr>
                                  <w:tcW w:w="1078" w:type="dxa"/>
                                  <w:tcBorders>
                                    <w:top w:val="single" w:sz="8" w:space="0" w:color="000000"/>
                                  </w:tcBorders>
                                </w:tcPr>
                                <w:p>
                                  <w:pPr>
                                    <w:pStyle w:val="TableParagraph"/>
                                    <w:spacing w:before="21"/>
                                    <w:rPr>
                                      <w:b/>
                                      <w:sz w:val="20"/>
                                    </w:rPr>
                                  </w:pPr>
                                </w:p>
                                <w:p>
                                  <w:pPr>
                                    <w:pStyle w:val="TableParagraph"/>
                                    <w:spacing w:before="1"/>
                                    <w:ind w:right="109"/>
                                    <w:jc w:val="right"/>
                                    <w:rPr>
                                      <w:sz w:val="20"/>
                                    </w:rPr>
                                  </w:pPr>
                                  <w:r>
                                    <w:rPr>
                                      <w:spacing w:val="-2"/>
                                      <w:sz w:val="20"/>
                                    </w:rPr>
                                    <w:t>1/29/16</w:t>
                                  </w:r>
                                </w:p>
                              </w:tc>
                              <w:tc>
                                <w:tcPr>
                                  <w:tcW w:w="786" w:type="dxa"/>
                                  <w:tcBorders>
                                    <w:top w:val="single" w:sz="8" w:space="0" w:color="000000"/>
                                  </w:tcBorders>
                                </w:tcPr>
                                <w:p>
                                  <w:pPr>
                                    <w:pStyle w:val="TableParagraph"/>
                                    <w:spacing w:before="21"/>
                                    <w:rPr>
                                      <w:b/>
                                      <w:sz w:val="20"/>
                                    </w:rPr>
                                  </w:pPr>
                                </w:p>
                                <w:p>
                                  <w:pPr>
                                    <w:pStyle w:val="TableParagraph"/>
                                    <w:spacing w:before="1"/>
                                    <w:ind w:right="104"/>
                                    <w:jc w:val="right"/>
                                    <w:rPr>
                                      <w:sz w:val="20"/>
                                    </w:rPr>
                                  </w:pPr>
                                  <w:r>
                                    <w:rPr>
                                      <w:spacing w:val="-4"/>
                                      <w:sz w:val="20"/>
                                    </w:rPr>
                                    <w:t>10.3</w:t>
                                  </w:r>
                                </w:p>
                              </w:tc>
                              <w:tc>
                                <w:tcPr>
                                  <w:tcW w:w="1184" w:type="dxa"/>
                                  <w:tcBorders>
                                    <w:top w:val="single" w:sz="8" w:space="0" w:color="000000"/>
                                  </w:tcBorders>
                                </w:tcPr>
                                <w:p>
                                  <w:pPr>
                                    <w:pStyle w:val="TableParagraph"/>
                                    <w:spacing w:before="21"/>
                                    <w:rPr>
                                      <w:b/>
                                      <w:sz w:val="20"/>
                                    </w:rPr>
                                  </w:pPr>
                                </w:p>
                                <w:p>
                                  <w:pPr>
                                    <w:pStyle w:val="TableParagraph"/>
                                    <w:spacing w:before="1"/>
                                    <w:ind w:right="99"/>
                                    <w:jc w:val="right"/>
                                    <w:rPr>
                                      <w:sz w:val="20"/>
                                    </w:rPr>
                                  </w:pPr>
                                  <w:r>
                                    <w:rPr>
                                      <w:sz w:val="20"/>
                                    </w:rPr>
                                    <w:t>000-</w:t>
                                  </w:r>
                                  <w:r>
                                    <w:rPr>
                                      <w:spacing w:val="-2"/>
                                      <w:sz w:val="20"/>
                                    </w:rPr>
                                    <w:t>15175</w:t>
                                  </w:r>
                                </w:p>
                              </w:tc>
                              <w:tc>
                                <w:tcPr>
                                  <w:tcW w:w="809" w:type="dxa"/>
                                  <w:tcBorders>
                                    <w:top w:val="single" w:sz="8" w:space="0" w:color="000000"/>
                                  </w:tcBorders>
                                </w:tcPr>
                                <w:p>
                                  <w:pPr>
                                    <w:pStyle w:val="TableParagraph"/>
                                    <w:rPr>
                                      <w:sz w:val="18"/>
                                    </w:rPr>
                                  </w:pPr>
                                </w:p>
                              </w:tc>
                            </w:tr>
                            <w:tr>
                              <w:trPr>
                                <w:trHeight w:val="970" w:hRule="atLeast"/>
                              </w:trPr>
                              <w:tc>
                                <w:tcPr>
                                  <w:tcW w:w="868" w:type="dxa"/>
                                </w:tcPr>
                                <w:p>
                                  <w:pPr>
                                    <w:pStyle w:val="TableParagraph"/>
                                    <w:spacing w:before="140"/>
                                    <w:ind w:right="103"/>
                                    <w:jc w:val="right"/>
                                    <w:rPr>
                                      <w:sz w:val="20"/>
                                    </w:rPr>
                                  </w:pPr>
                                  <w:r>
                                    <w:rPr>
                                      <w:spacing w:val="-2"/>
                                      <w:sz w:val="20"/>
                                    </w:rPr>
                                    <w:t>10.3M</w:t>
                                  </w:r>
                                </w:p>
                              </w:tc>
                              <w:tc>
                                <w:tcPr>
                                  <w:tcW w:w="4785" w:type="dxa"/>
                                </w:tcPr>
                                <w:p>
                                  <w:pPr>
                                    <w:pStyle w:val="TableParagraph"/>
                                    <w:spacing w:line="208" w:lineRule="auto" w:before="165"/>
                                    <w:ind w:left="95" w:right="516"/>
                                    <w:jc w:val="both"/>
                                    <w:rPr>
                                      <w:sz w:val="20"/>
                                    </w:rPr>
                                  </w:pPr>
                                  <w:r>
                                    <w:rPr>
                                      <w:sz w:val="20"/>
                                    </w:rPr>
                                    <w:t>Form</w:t>
                                  </w:r>
                                  <w:r>
                                    <w:rPr>
                                      <w:spacing w:val="-6"/>
                                      <w:sz w:val="20"/>
                                    </w:rPr>
                                    <w:t> </w:t>
                                  </w:r>
                                  <w:r>
                                    <w:rPr>
                                      <w:sz w:val="20"/>
                                    </w:rPr>
                                    <w:t>of</w:t>
                                  </w:r>
                                  <w:r>
                                    <w:rPr>
                                      <w:spacing w:val="-6"/>
                                      <w:sz w:val="20"/>
                                    </w:rPr>
                                    <w:t> </w:t>
                                  </w:r>
                                  <w:r>
                                    <w:rPr>
                                      <w:sz w:val="20"/>
                                    </w:rPr>
                                    <w:t>Director</w:t>
                                  </w:r>
                                  <w:r>
                                    <w:rPr>
                                      <w:spacing w:val="-6"/>
                                      <w:sz w:val="20"/>
                                    </w:rPr>
                                    <w:t> </w:t>
                                  </w:r>
                                  <w:r>
                                    <w:rPr>
                                      <w:sz w:val="20"/>
                                    </w:rPr>
                                    <w:t>Initial</w:t>
                                  </w:r>
                                  <w:r>
                                    <w:rPr>
                                      <w:spacing w:val="-6"/>
                                      <w:sz w:val="20"/>
                                    </w:rPr>
                                    <w:t> </w:t>
                                  </w:r>
                                  <w:r>
                                    <w:rPr>
                                      <w:sz w:val="20"/>
                                    </w:rPr>
                                    <w:t>Grant</w:t>
                                  </w:r>
                                  <w:r>
                                    <w:rPr>
                                      <w:spacing w:val="-6"/>
                                      <w:sz w:val="20"/>
                                    </w:rPr>
                                    <w:t> </w:t>
                                  </w:r>
                                  <w:r>
                                    <w:rPr>
                                      <w:sz w:val="20"/>
                                    </w:rPr>
                                    <w:t>Restricted</w:t>
                                  </w:r>
                                  <w:r>
                                    <w:rPr>
                                      <w:spacing w:val="-6"/>
                                      <w:sz w:val="20"/>
                                    </w:rPr>
                                    <w:t> </w:t>
                                  </w:r>
                                  <w:r>
                                    <w:rPr>
                                      <w:sz w:val="20"/>
                                    </w:rPr>
                                    <w:t>Stock</w:t>
                                  </w:r>
                                  <w:r>
                                    <w:rPr>
                                      <w:spacing w:val="-6"/>
                                      <w:sz w:val="20"/>
                                    </w:rPr>
                                    <w:t> </w:t>
                                  </w:r>
                                  <w:r>
                                    <w:rPr>
                                      <w:sz w:val="20"/>
                                    </w:rPr>
                                    <w:t>Unit Award</w:t>
                                  </w:r>
                                  <w:r>
                                    <w:rPr>
                                      <w:spacing w:val="-13"/>
                                      <w:sz w:val="20"/>
                                    </w:rPr>
                                    <w:t> </w:t>
                                  </w:r>
                                  <w:r>
                                    <w:rPr>
                                      <w:sz w:val="20"/>
                                    </w:rPr>
                                    <w:t>Agreement</w:t>
                                  </w:r>
                                  <w:r>
                                    <w:rPr>
                                      <w:spacing w:val="-8"/>
                                      <w:sz w:val="20"/>
                                    </w:rPr>
                                    <w:t> </w:t>
                                  </w:r>
                                  <w:r>
                                    <w:rPr>
                                      <w:sz w:val="20"/>
                                    </w:rPr>
                                    <w:t>used</w:t>
                                  </w:r>
                                  <w:r>
                                    <w:rPr>
                                      <w:spacing w:val="-6"/>
                                      <w:sz w:val="20"/>
                                    </w:rPr>
                                    <w:t> </w:t>
                                  </w:r>
                                  <w:r>
                                    <w:rPr>
                                      <w:sz w:val="20"/>
                                    </w:rPr>
                                    <w:t>in</w:t>
                                  </w:r>
                                  <w:r>
                                    <w:rPr>
                                      <w:spacing w:val="-6"/>
                                      <w:sz w:val="20"/>
                                    </w:rPr>
                                    <w:t> </w:t>
                                  </w:r>
                                  <w:r>
                                    <w:rPr>
                                      <w:sz w:val="20"/>
                                    </w:rPr>
                                    <w:t>connection</w:t>
                                  </w:r>
                                  <w:r>
                                    <w:rPr>
                                      <w:spacing w:val="-6"/>
                                      <w:sz w:val="20"/>
                                    </w:rPr>
                                    <w:t> </w:t>
                                  </w:r>
                                  <w:r>
                                    <w:rPr>
                                      <w:sz w:val="20"/>
                                    </w:rPr>
                                    <w:t>with</w:t>
                                  </w:r>
                                  <w:r>
                                    <w:rPr>
                                      <w:spacing w:val="-6"/>
                                      <w:sz w:val="20"/>
                                    </w:rPr>
                                    <w:t> </w:t>
                                  </w:r>
                                  <w:r>
                                    <w:rPr>
                                      <w:sz w:val="20"/>
                                    </w:rPr>
                                    <w:t>the</w:t>
                                  </w:r>
                                  <w:r>
                                    <w:rPr>
                                      <w:spacing w:val="-6"/>
                                      <w:sz w:val="20"/>
                                    </w:rPr>
                                    <w:t> </w:t>
                                  </w:r>
                                  <w:r>
                                    <w:rPr>
                                      <w:sz w:val="20"/>
                                    </w:rPr>
                                    <w:t>2003 Equity Incentive Plan*</w:t>
                                  </w:r>
                                </w:p>
                              </w:tc>
                              <w:tc>
                                <w:tcPr>
                                  <w:tcW w:w="683" w:type="dxa"/>
                                </w:tcPr>
                                <w:p>
                                  <w:pPr>
                                    <w:pStyle w:val="TableParagraph"/>
                                    <w:spacing w:before="140"/>
                                    <w:ind w:right="22"/>
                                    <w:jc w:val="center"/>
                                    <w:rPr>
                                      <w:sz w:val="20"/>
                                    </w:rPr>
                                  </w:pPr>
                                  <w:r>
                                    <w:rPr>
                                      <w:spacing w:val="-2"/>
                                      <w:sz w:val="20"/>
                                    </w:rPr>
                                    <w:t>8-</w:t>
                                  </w:r>
                                  <w:r>
                                    <w:rPr>
                                      <w:spacing w:val="-10"/>
                                      <w:sz w:val="20"/>
                                    </w:rPr>
                                    <w:t>K</w:t>
                                  </w:r>
                                </w:p>
                              </w:tc>
                              <w:tc>
                                <w:tcPr>
                                  <w:tcW w:w="1078" w:type="dxa"/>
                                </w:tcPr>
                                <w:p>
                                  <w:pPr>
                                    <w:pStyle w:val="TableParagraph"/>
                                    <w:spacing w:before="140"/>
                                    <w:ind w:right="109"/>
                                    <w:jc w:val="right"/>
                                    <w:rPr>
                                      <w:sz w:val="20"/>
                                    </w:rPr>
                                  </w:pPr>
                                  <w:r>
                                    <w:rPr>
                                      <w:spacing w:val="-2"/>
                                      <w:sz w:val="20"/>
                                    </w:rPr>
                                    <w:t>12/20/10</w:t>
                                  </w:r>
                                </w:p>
                              </w:tc>
                              <w:tc>
                                <w:tcPr>
                                  <w:tcW w:w="786" w:type="dxa"/>
                                </w:tcPr>
                                <w:p>
                                  <w:pPr>
                                    <w:pStyle w:val="TableParagraph"/>
                                    <w:spacing w:before="140"/>
                                    <w:ind w:right="104"/>
                                    <w:jc w:val="right"/>
                                    <w:rPr>
                                      <w:sz w:val="20"/>
                                    </w:rPr>
                                  </w:pPr>
                                  <w:r>
                                    <w:rPr>
                                      <w:spacing w:val="-4"/>
                                      <w:sz w:val="20"/>
                                    </w:rPr>
                                    <w:t>99.6</w:t>
                                  </w:r>
                                </w:p>
                              </w:tc>
                              <w:tc>
                                <w:tcPr>
                                  <w:tcW w:w="1184" w:type="dxa"/>
                                </w:tcPr>
                                <w:p>
                                  <w:pPr>
                                    <w:pStyle w:val="TableParagraph"/>
                                    <w:spacing w:before="14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990" w:hRule="atLeast"/>
                              </w:trPr>
                              <w:tc>
                                <w:tcPr>
                                  <w:tcW w:w="868" w:type="dxa"/>
                                </w:tcPr>
                                <w:p>
                                  <w:pPr>
                                    <w:pStyle w:val="TableParagraph"/>
                                    <w:spacing w:before="190"/>
                                    <w:ind w:right="103"/>
                                    <w:jc w:val="right"/>
                                    <w:rPr>
                                      <w:sz w:val="20"/>
                                    </w:rPr>
                                  </w:pPr>
                                  <w:r>
                                    <w:rPr>
                                      <w:spacing w:val="-2"/>
                                      <w:sz w:val="20"/>
                                    </w:rPr>
                                    <w:t>10.3N</w:t>
                                  </w:r>
                                </w:p>
                              </w:tc>
                              <w:tc>
                                <w:tcPr>
                                  <w:tcW w:w="4785" w:type="dxa"/>
                                </w:tcPr>
                                <w:p>
                                  <w:pPr>
                                    <w:pStyle w:val="TableParagraph"/>
                                    <w:spacing w:line="208" w:lineRule="auto" w:before="215"/>
                                    <w:ind w:left="95" w:right="147"/>
                                    <w:rPr>
                                      <w:sz w:val="20"/>
                                    </w:rPr>
                                  </w:pPr>
                                  <w:r>
                                    <w:rPr>
                                      <w:sz w:val="20"/>
                                    </w:rPr>
                                    <w:t>Form</w:t>
                                  </w:r>
                                  <w:r>
                                    <w:rPr>
                                      <w:spacing w:val="-10"/>
                                      <w:sz w:val="20"/>
                                    </w:rPr>
                                    <w:t> </w:t>
                                  </w:r>
                                  <w:r>
                                    <w:rPr>
                                      <w:sz w:val="20"/>
                                    </w:rPr>
                                    <w:t>of</w:t>
                                  </w:r>
                                  <w:r>
                                    <w:rPr>
                                      <w:spacing w:val="-6"/>
                                      <w:sz w:val="20"/>
                                    </w:rPr>
                                    <w:t> </w:t>
                                  </w:r>
                                  <w:r>
                                    <w:rPr>
                                      <w:sz w:val="20"/>
                                    </w:rPr>
                                    <w:t>Director</w:t>
                                  </w:r>
                                  <w:r>
                                    <w:rPr>
                                      <w:spacing w:val="-13"/>
                                      <w:sz w:val="20"/>
                                    </w:rPr>
                                    <w:t> </w:t>
                                  </w:r>
                                  <w:r>
                                    <w:rPr>
                                      <w:sz w:val="20"/>
                                    </w:rPr>
                                    <w:t>Annual</w:t>
                                  </w:r>
                                  <w:r>
                                    <w:rPr>
                                      <w:spacing w:val="-5"/>
                                      <w:sz w:val="20"/>
                                    </w:rPr>
                                    <w:t> </w:t>
                                  </w:r>
                                  <w:r>
                                    <w:rPr>
                                      <w:sz w:val="20"/>
                                    </w:rPr>
                                    <w:t>Grant</w:t>
                                  </w:r>
                                  <w:r>
                                    <w:rPr>
                                      <w:spacing w:val="-6"/>
                                      <w:sz w:val="20"/>
                                    </w:rPr>
                                    <w:t> </w:t>
                                  </w:r>
                                  <w:r>
                                    <w:rPr>
                                      <w:sz w:val="20"/>
                                    </w:rPr>
                                    <w:t>Restricted</w:t>
                                  </w:r>
                                  <w:r>
                                    <w:rPr>
                                      <w:spacing w:val="-6"/>
                                      <w:sz w:val="20"/>
                                    </w:rPr>
                                    <w:t> </w:t>
                                  </w:r>
                                  <w:r>
                                    <w:rPr>
                                      <w:sz w:val="20"/>
                                    </w:rPr>
                                    <w:t>Stock</w:t>
                                  </w:r>
                                  <w:r>
                                    <w:rPr>
                                      <w:spacing w:val="-6"/>
                                      <w:sz w:val="20"/>
                                    </w:rPr>
                                    <w:t> </w:t>
                                  </w:r>
                                  <w:r>
                                    <w:rPr>
                                      <w:sz w:val="20"/>
                                    </w:rPr>
                                    <w:t>Unit Award</w:t>
                                  </w:r>
                                  <w:r>
                                    <w:rPr>
                                      <w:spacing w:val="-4"/>
                                      <w:sz w:val="20"/>
                                    </w:rPr>
                                    <w:t> </w:t>
                                  </w:r>
                                  <w:r>
                                    <w:rPr>
                                      <w:sz w:val="20"/>
                                    </w:rPr>
                                    <w:t>Agreement used in connection with the 2003 Equity Incentive Plan*</w:t>
                                  </w:r>
                                </w:p>
                              </w:tc>
                              <w:tc>
                                <w:tcPr>
                                  <w:tcW w:w="683" w:type="dxa"/>
                                </w:tcPr>
                                <w:p>
                                  <w:pPr>
                                    <w:pStyle w:val="TableParagraph"/>
                                    <w:spacing w:before="190"/>
                                    <w:ind w:right="22"/>
                                    <w:jc w:val="center"/>
                                    <w:rPr>
                                      <w:sz w:val="20"/>
                                    </w:rPr>
                                  </w:pPr>
                                  <w:r>
                                    <w:rPr>
                                      <w:spacing w:val="-2"/>
                                      <w:sz w:val="20"/>
                                    </w:rPr>
                                    <w:t>8-</w:t>
                                  </w:r>
                                  <w:r>
                                    <w:rPr>
                                      <w:spacing w:val="-10"/>
                                      <w:sz w:val="20"/>
                                    </w:rPr>
                                    <w:t>K</w:t>
                                  </w:r>
                                </w:p>
                              </w:tc>
                              <w:tc>
                                <w:tcPr>
                                  <w:tcW w:w="1078" w:type="dxa"/>
                                </w:tcPr>
                                <w:p>
                                  <w:pPr>
                                    <w:pStyle w:val="TableParagraph"/>
                                    <w:spacing w:before="190"/>
                                    <w:ind w:right="109"/>
                                    <w:jc w:val="right"/>
                                    <w:rPr>
                                      <w:sz w:val="20"/>
                                    </w:rPr>
                                  </w:pPr>
                                  <w:r>
                                    <w:rPr>
                                      <w:spacing w:val="-2"/>
                                      <w:sz w:val="20"/>
                                    </w:rPr>
                                    <w:t>12/20/10</w:t>
                                  </w:r>
                                </w:p>
                              </w:tc>
                              <w:tc>
                                <w:tcPr>
                                  <w:tcW w:w="786" w:type="dxa"/>
                                </w:tcPr>
                                <w:p>
                                  <w:pPr>
                                    <w:pStyle w:val="TableParagraph"/>
                                    <w:spacing w:before="190"/>
                                    <w:ind w:right="104"/>
                                    <w:jc w:val="right"/>
                                    <w:rPr>
                                      <w:sz w:val="20"/>
                                    </w:rPr>
                                  </w:pPr>
                                  <w:r>
                                    <w:rPr>
                                      <w:spacing w:val="-4"/>
                                      <w:sz w:val="20"/>
                                    </w:rPr>
                                    <w:t>99.7</w:t>
                                  </w:r>
                                </w:p>
                              </w:tc>
                              <w:tc>
                                <w:tcPr>
                                  <w:tcW w:w="1184" w:type="dxa"/>
                                </w:tcPr>
                                <w:p>
                                  <w:pPr>
                                    <w:pStyle w:val="TableParagraph"/>
                                    <w:spacing w:before="19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740" w:hRule="atLeast"/>
                              </w:trPr>
                              <w:tc>
                                <w:tcPr>
                                  <w:tcW w:w="868" w:type="dxa"/>
                                </w:tcPr>
                                <w:p>
                                  <w:pPr>
                                    <w:pStyle w:val="TableParagraph"/>
                                    <w:spacing w:before="160"/>
                                    <w:ind w:right="103"/>
                                    <w:jc w:val="right"/>
                                    <w:rPr>
                                      <w:sz w:val="20"/>
                                    </w:rPr>
                                  </w:pPr>
                                  <w:r>
                                    <w:rPr>
                                      <w:spacing w:val="-2"/>
                                      <w:sz w:val="20"/>
                                    </w:rPr>
                                    <w:t>10.3O</w:t>
                                  </w:r>
                                </w:p>
                              </w:tc>
                              <w:tc>
                                <w:tcPr>
                                  <w:tcW w:w="4785" w:type="dxa"/>
                                </w:tcPr>
                                <w:p>
                                  <w:pPr>
                                    <w:pStyle w:val="TableParagraph"/>
                                    <w:spacing w:line="208" w:lineRule="auto" w:before="185"/>
                                    <w:ind w:left="95" w:right="147"/>
                                    <w:rPr>
                                      <w:sz w:val="20"/>
                                    </w:rPr>
                                  </w:pPr>
                                  <w:r>
                                    <w:rPr>
                                      <w:sz w:val="20"/>
                                    </w:rPr>
                                    <w:t>Form</w:t>
                                  </w:r>
                                  <w:r>
                                    <w:rPr>
                                      <w:spacing w:val="-13"/>
                                      <w:sz w:val="20"/>
                                    </w:rPr>
                                    <w:t> </w:t>
                                  </w:r>
                                  <w:r>
                                    <w:rPr>
                                      <w:sz w:val="20"/>
                                    </w:rPr>
                                    <w:t>of</w:t>
                                  </w:r>
                                  <w:r>
                                    <w:rPr>
                                      <w:spacing w:val="-6"/>
                                      <w:sz w:val="20"/>
                                    </w:rPr>
                                    <w:t> </w:t>
                                  </w:r>
                                  <w:r>
                                    <w:rPr>
                                      <w:sz w:val="20"/>
                                    </w:rPr>
                                    <w:t>Director</w:t>
                                  </w:r>
                                  <w:r>
                                    <w:rPr>
                                      <w:spacing w:val="-13"/>
                                      <w:sz w:val="20"/>
                                    </w:rPr>
                                    <w:t> </w:t>
                                  </w:r>
                                  <w:r>
                                    <w:rPr>
                                      <w:sz w:val="20"/>
                                    </w:rPr>
                                    <w:t>Annual</w:t>
                                  </w:r>
                                  <w:r>
                                    <w:rPr>
                                      <w:spacing w:val="-5"/>
                                      <w:sz w:val="20"/>
                                    </w:rPr>
                                    <w:t> </w:t>
                                  </w:r>
                                  <w:r>
                                    <w:rPr>
                                      <w:sz w:val="20"/>
                                    </w:rPr>
                                    <w:t>Grant</w:t>
                                  </w:r>
                                  <w:r>
                                    <w:rPr>
                                      <w:spacing w:val="-6"/>
                                      <w:sz w:val="20"/>
                                    </w:rPr>
                                    <w:t> </w:t>
                                  </w:r>
                                  <w:r>
                                    <w:rPr>
                                      <w:sz w:val="20"/>
                                    </w:rPr>
                                    <w:t>Stock</w:t>
                                  </w:r>
                                  <w:r>
                                    <w:rPr>
                                      <w:spacing w:val="-6"/>
                                      <w:sz w:val="20"/>
                                    </w:rPr>
                                    <w:t> </w:t>
                                  </w:r>
                                  <w:r>
                                    <w:rPr>
                                      <w:sz w:val="20"/>
                                    </w:rPr>
                                    <w:t>Option</w:t>
                                  </w:r>
                                  <w:r>
                                    <w:rPr>
                                      <w:spacing w:val="-13"/>
                                      <w:sz w:val="20"/>
                                    </w:rPr>
                                    <w:t> </w:t>
                                  </w:r>
                                  <w:r>
                                    <w:rPr>
                                      <w:sz w:val="20"/>
                                    </w:rPr>
                                    <w:t>Agreement used in connection with the 2003 Equity Incentive </w:t>
                                  </w:r>
                                  <w:r>
                                    <w:rPr>
                                      <w:spacing w:val="-2"/>
                                      <w:sz w:val="20"/>
                                    </w:rPr>
                                    <w:t>Plan*</w:t>
                                  </w:r>
                                </w:p>
                              </w:tc>
                              <w:tc>
                                <w:tcPr>
                                  <w:tcW w:w="683" w:type="dxa"/>
                                </w:tcPr>
                                <w:p>
                                  <w:pPr>
                                    <w:pStyle w:val="TableParagraph"/>
                                    <w:spacing w:before="160"/>
                                    <w:ind w:right="22"/>
                                    <w:jc w:val="center"/>
                                    <w:rPr>
                                      <w:sz w:val="20"/>
                                    </w:rPr>
                                  </w:pPr>
                                  <w:r>
                                    <w:rPr>
                                      <w:spacing w:val="-2"/>
                                      <w:sz w:val="20"/>
                                    </w:rPr>
                                    <w:t>8-</w:t>
                                  </w:r>
                                  <w:r>
                                    <w:rPr>
                                      <w:spacing w:val="-10"/>
                                      <w:sz w:val="20"/>
                                    </w:rPr>
                                    <w:t>K</w:t>
                                  </w:r>
                                </w:p>
                              </w:tc>
                              <w:tc>
                                <w:tcPr>
                                  <w:tcW w:w="1078" w:type="dxa"/>
                                </w:tcPr>
                                <w:p>
                                  <w:pPr>
                                    <w:pStyle w:val="TableParagraph"/>
                                    <w:spacing w:before="160"/>
                                    <w:ind w:right="109"/>
                                    <w:jc w:val="right"/>
                                    <w:rPr>
                                      <w:sz w:val="20"/>
                                    </w:rPr>
                                  </w:pPr>
                                  <w:r>
                                    <w:rPr>
                                      <w:spacing w:val="-2"/>
                                      <w:sz w:val="20"/>
                                    </w:rPr>
                                    <w:t>12/20/10</w:t>
                                  </w:r>
                                </w:p>
                              </w:tc>
                              <w:tc>
                                <w:tcPr>
                                  <w:tcW w:w="786" w:type="dxa"/>
                                </w:tcPr>
                                <w:p>
                                  <w:pPr>
                                    <w:pStyle w:val="TableParagraph"/>
                                    <w:spacing w:before="160"/>
                                    <w:ind w:right="104"/>
                                    <w:jc w:val="right"/>
                                    <w:rPr>
                                      <w:sz w:val="20"/>
                                    </w:rPr>
                                  </w:pPr>
                                  <w:r>
                                    <w:rPr>
                                      <w:spacing w:val="-4"/>
                                      <w:sz w:val="20"/>
                                    </w:rPr>
                                    <w:t>99.8</w:t>
                                  </w:r>
                                </w:p>
                              </w:tc>
                              <w:tc>
                                <w:tcPr>
                                  <w:tcW w:w="1184" w:type="dxa"/>
                                </w:tcPr>
                                <w:p>
                                  <w:pPr>
                                    <w:pStyle w:val="TableParagraph"/>
                                    <w:spacing w:before="16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720" w:hRule="atLeast"/>
                              </w:trPr>
                              <w:tc>
                                <w:tcPr>
                                  <w:tcW w:w="868" w:type="dxa"/>
                                </w:tcPr>
                                <w:p>
                                  <w:pPr>
                                    <w:pStyle w:val="TableParagraph"/>
                                    <w:spacing w:before="140"/>
                                    <w:ind w:right="95"/>
                                    <w:jc w:val="right"/>
                                    <w:rPr>
                                      <w:sz w:val="20"/>
                                    </w:rPr>
                                  </w:pPr>
                                  <w:r>
                                    <w:rPr>
                                      <w:spacing w:val="-2"/>
                                      <w:sz w:val="20"/>
                                    </w:rPr>
                                    <w:t>10.3P</w:t>
                                  </w:r>
                                </w:p>
                              </w:tc>
                              <w:tc>
                                <w:tcPr>
                                  <w:tcW w:w="4785" w:type="dxa"/>
                                </w:tcPr>
                                <w:p>
                                  <w:pPr>
                                    <w:pStyle w:val="TableParagraph"/>
                                    <w:spacing w:line="208" w:lineRule="auto" w:before="165"/>
                                    <w:ind w:left="95" w:right="147"/>
                                    <w:rPr>
                                      <w:sz w:val="20"/>
                                    </w:rPr>
                                  </w:pPr>
                                  <w:r>
                                    <w:rPr>
                                      <w:sz w:val="20"/>
                                    </w:rPr>
                                    <w:t>2017</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83" w:type="dxa"/>
                                </w:tcPr>
                                <w:p>
                                  <w:pPr>
                                    <w:pStyle w:val="TableParagraph"/>
                                    <w:spacing w:before="140"/>
                                    <w:ind w:right="22"/>
                                    <w:jc w:val="center"/>
                                    <w:rPr>
                                      <w:sz w:val="20"/>
                                    </w:rPr>
                                  </w:pPr>
                                  <w:r>
                                    <w:rPr>
                                      <w:spacing w:val="-2"/>
                                      <w:sz w:val="20"/>
                                    </w:rPr>
                                    <w:t>8-</w:t>
                                  </w:r>
                                  <w:r>
                                    <w:rPr>
                                      <w:spacing w:val="-10"/>
                                      <w:sz w:val="20"/>
                                    </w:rPr>
                                    <w:t>K</w:t>
                                  </w:r>
                                </w:p>
                              </w:tc>
                              <w:tc>
                                <w:tcPr>
                                  <w:tcW w:w="1078" w:type="dxa"/>
                                </w:tcPr>
                                <w:p>
                                  <w:pPr>
                                    <w:pStyle w:val="TableParagraph"/>
                                    <w:spacing w:before="140"/>
                                    <w:ind w:right="109"/>
                                    <w:jc w:val="right"/>
                                    <w:rPr>
                                      <w:sz w:val="20"/>
                                    </w:rPr>
                                  </w:pPr>
                                  <w:r>
                                    <w:rPr>
                                      <w:spacing w:val="-2"/>
                                      <w:sz w:val="20"/>
                                    </w:rPr>
                                    <w:t>1/27/17</w:t>
                                  </w:r>
                                </w:p>
                              </w:tc>
                              <w:tc>
                                <w:tcPr>
                                  <w:tcW w:w="786" w:type="dxa"/>
                                </w:tcPr>
                                <w:p>
                                  <w:pPr>
                                    <w:pStyle w:val="TableParagraph"/>
                                    <w:spacing w:before="140"/>
                                    <w:ind w:right="104"/>
                                    <w:jc w:val="right"/>
                                    <w:rPr>
                                      <w:sz w:val="20"/>
                                    </w:rPr>
                                  </w:pPr>
                                  <w:r>
                                    <w:rPr>
                                      <w:spacing w:val="-4"/>
                                      <w:sz w:val="20"/>
                                    </w:rPr>
                                    <w:t>10.2</w:t>
                                  </w:r>
                                </w:p>
                              </w:tc>
                              <w:tc>
                                <w:tcPr>
                                  <w:tcW w:w="1184" w:type="dxa"/>
                                </w:tcPr>
                                <w:p>
                                  <w:pPr>
                                    <w:pStyle w:val="TableParagraph"/>
                                    <w:spacing w:before="14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919" w:hRule="atLeast"/>
                              </w:trPr>
                              <w:tc>
                                <w:tcPr>
                                  <w:tcW w:w="868" w:type="dxa"/>
                                </w:tcPr>
                                <w:p>
                                  <w:pPr>
                                    <w:pStyle w:val="TableParagraph"/>
                                    <w:spacing w:before="140"/>
                                    <w:ind w:right="103"/>
                                    <w:jc w:val="right"/>
                                    <w:rPr>
                                      <w:sz w:val="20"/>
                                    </w:rPr>
                                  </w:pPr>
                                  <w:r>
                                    <w:rPr>
                                      <w:spacing w:val="-2"/>
                                      <w:sz w:val="20"/>
                                    </w:rPr>
                                    <w:t>10.3Q</w:t>
                                  </w:r>
                                </w:p>
                              </w:tc>
                              <w:tc>
                                <w:tcPr>
                                  <w:tcW w:w="4785" w:type="dxa"/>
                                </w:tcPr>
                                <w:p>
                                  <w:pPr>
                                    <w:pStyle w:val="TableParagraph"/>
                                    <w:spacing w:line="208" w:lineRule="auto" w:before="165"/>
                                    <w:ind w:left="95" w:right="147"/>
                                    <w:rPr>
                                      <w:sz w:val="20"/>
                                    </w:rPr>
                                  </w:pPr>
                                  <w:r>
                                    <w:rPr>
                                      <w:sz w:val="20"/>
                                    </w:rPr>
                                    <w:t>Form</w:t>
                                  </w:r>
                                  <w:r>
                                    <w:rPr>
                                      <w:spacing w:val="-13"/>
                                      <w:sz w:val="20"/>
                                    </w:rPr>
                                    <w:t> </w:t>
                                  </w:r>
                                  <w:r>
                                    <w:rPr>
                                      <w:sz w:val="20"/>
                                    </w:rPr>
                                    <w:t>of</w:t>
                                  </w:r>
                                  <w:r>
                                    <w:rPr>
                                      <w:spacing w:val="-9"/>
                                      <w:sz w:val="20"/>
                                    </w:rPr>
                                    <w:t> </w:t>
                                  </w:r>
                                  <w:r>
                                    <w:rPr>
                                      <w:sz w:val="20"/>
                                    </w:rPr>
                                    <w:t>2017</w:t>
                                  </w:r>
                                  <w:r>
                                    <w:rPr>
                                      <w:spacing w:val="-9"/>
                                      <w:sz w:val="20"/>
                                    </w:rPr>
                                    <w:t> </w:t>
                                  </w:r>
                                  <w:r>
                                    <w:rPr>
                                      <w:sz w:val="20"/>
                                    </w:rPr>
                                    <w:t>Performance</w:t>
                                  </w:r>
                                  <w:r>
                                    <w:rPr>
                                      <w:spacing w:val="-9"/>
                                      <w:sz w:val="20"/>
                                    </w:rPr>
                                    <w:t> </w:t>
                                  </w:r>
                                  <w:r>
                                    <w:rPr>
                                      <w:sz w:val="20"/>
                                    </w:rPr>
                                    <w:t>Share</w:t>
                                  </w:r>
                                  <w:r>
                                    <w:rPr>
                                      <w:spacing w:val="-13"/>
                                      <w:sz w:val="20"/>
                                    </w:rPr>
                                    <w:t> </w:t>
                                  </w:r>
                                  <w:r>
                                    <w:rPr>
                                      <w:sz w:val="20"/>
                                    </w:rPr>
                                    <w:t>Award</w:t>
                                  </w:r>
                                  <w:r>
                                    <w:rPr>
                                      <w:spacing w:val="-8"/>
                                      <w:sz w:val="20"/>
                                    </w:rPr>
                                    <w:t> </w:t>
                                  </w:r>
                                  <w:r>
                                    <w:rPr>
                                      <w:sz w:val="20"/>
                                    </w:rPr>
                                    <w:t>Grant</w:t>
                                  </w:r>
                                  <w:r>
                                    <w:rPr>
                                      <w:spacing w:val="-9"/>
                                      <w:sz w:val="20"/>
                                    </w:rPr>
                                    <w:t> </w:t>
                                  </w:r>
                                  <w:r>
                                    <w:rPr>
                                      <w:sz w:val="20"/>
                                    </w:rPr>
                                    <w:t>Notice and</w:t>
                                  </w:r>
                                  <w:r>
                                    <w:rPr>
                                      <w:spacing w:val="-8"/>
                                      <w:sz w:val="20"/>
                                    </w:rPr>
                                    <w:t> </w:t>
                                  </w:r>
                                  <w:r>
                                    <w:rPr>
                                      <w:sz w:val="20"/>
                                    </w:rPr>
                                    <w:t>Award</w:t>
                                  </w:r>
                                  <w:r>
                                    <w:rPr>
                                      <w:spacing w:val="-8"/>
                                      <w:sz w:val="20"/>
                                    </w:rPr>
                                    <w:t> </w:t>
                                  </w:r>
                                  <w:r>
                                    <w:rPr>
                                      <w:sz w:val="20"/>
                                    </w:rPr>
                                    <w:t>Agreement pursuant to 2017 Performance Share Program and 2003 Equity Incentive Plan*</w:t>
                                  </w:r>
                                </w:p>
                              </w:tc>
                              <w:tc>
                                <w:tcPr>
                                  <w:tcW w:w="683" w:type="dxa"/>
                                </w:tcPr>
                                <w:p>
                                  <w:pPr>
                                    <w:pStyle w:val="TableParagraph"/>
                                    <w:spacing w:before="140"/>
                                    <w:ind w:right="22"/>
                                    <w:jc w:val="center"/>
                                    <w:rPr>
                                      <w:sz w:val="20"/>
                                    </w:rPr>
                                  </w:pPr>
                                  <w:r>
                                    <w:rPr>
                                      <w:spacing w:val="-2"/>
                                      <w:sz w:val="20"/>
                                    </w:rPr>
                                    <w:t>8-</w:t>
                                  </w:r>
                                  <w:r>
                                    <w:rPr>
                                      <w:spacing w:val="-10"/>
                                      <w:sz w:val="20"/>
                                    </w:rPr>
                                    <w:t>K</w:t>
                                  </w:r>
                                </w:p>
                              </w:tc>
                              <w:tc>
                                <w:tcPr>
                                  <w:tcW w:w="1078" w:type="dxa"/>
                                </w:tcPr>
                                <w:p>
                                  <w:pPr>
                                    <w:pStyle w:val="TableParagraph"/>
                                    <w:spacing w:before="140"/>
                                    <w:ind w:right="109"/>
                                    <w:jc w:val="right"/>
                                    <w:rPr>
                                      <w:sz w:val="20"/>
                                    </w:rPr>
                                  </w:pPr>
                                  <w:r>
                                    <w:rPr>
                                      <w:spacing w:val="-2"/>
                                      <w:sz w:val="20"/>
                                    </w:rPr>
                                    <w:t>1/27/17</w:t>
                                  </w:r>
                                </w:p>
                              </w:tc>
                              <w:tc>
                                <w:tcPr>
                                  <w:tcW w:w="786" w:type="dxa"/>
                                </w:tcPr>
                                <w:p>
                                  <w:pPr>
                                    <w:pStyle w:val="TableParagraph"/>
                                    <w:spacing w:before="140"/>
                                    <w:ind w:right="104"/>
                                    <w:jc w:val="right"/>
                                    <w:rPr>
                                      <w:sz w:val="20"/>
                                    </w:rPr>
                                  </w:pPr>
                                  <w:r>
                                    <w:rPr>
                                      <w:spacing w:val="-4"/>
                                      <w:sz w:val="20"/>
                                    </w:rPr>
                                    <w:t>10.3</w:t>
                                  </w:r>
                                </w:p>
                              </w:tc>
                              <w:tc>
                                <w:tcPr>
                                  <w:tcW w:w="1184" w:type="dxa"/>
                                </w:tcPr>
                                <w:p>
                                  <w:pPr>
                                    <w:pStyle w:val="TableParagraph"/>
                                    <w:spacing w:before="14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730" w:hRule="atLeast"/>
                              </w:trPr>
                              <w:tc>
                                <w:tcPr>
                                  <w:tcW w:w="868" w:type="dxa"/>
                                </w:tcPr>
                                <w:p>
                                  <w:pPr>
                                    <w:pStyle w:val="TableParagraph"/>
                                    <w:spacing w:before="141"/>
                                    <w:ind w:right="92"/>
                                    <w:jc w:val="right"/>
                                    <w:rPr>
                                      <w:sz w:val="20"/>
                                    </w:rPr>
                                  </w:pPr>
                                  <w:r>
                                    <w:rPr>
                                      <w:spacing w:val="-2"/>
                                      <w:sz w:val="20"/>
                                    </w:rPr>
                                    <w:t>10.4A</w:t>
                                  </w:r>
                                </w:p>
                              </w:tc>
                              <w:tc>
                                <w:tcPr>
                                  <w:tcW w:w="4785" w:type="dxa"/>
                                </w:tcPr>
                                <w:p>
                                  <w:pPr>
                                    <w:pStyle w:val="TableParagraph"/>
                                    <w:spacing w:line="208" w:lineRule="auto" w:before="165"/>
                                    <w:ind w:left="95" w:right="51"/>
                                    <w:rPr>
                                      <w:sz w:val="20"/>
                                    </w:rPr>
                                  </w:pPr>
                                  <w:r>
                                    <w:rPr>
                                      <w:sz w:val="20"/>
                                    </w:rPr>
                                    <w:t>2005</w:t>
                                  </w:r>
                                  <w:r>
                                    <w:rPr>
                                      <w:spacing w:val="-9"/>
                                      <w:sz w:val="20"/>
                                    </w:rPr>
                                    <w:t> </w:t>
                                  </w:r>
                                  <w:r>
                                    <w:rPr>
                                      <w:sz w:val="20"/>
                                    </w:rPr>
                                    <w:t>Equity</w:t>
                                  </w:r>
                                  <w:r>
                                    <w:rPr>
                                      <w:spacing w:val="-6"/>
                                      <w:sz w:val="20"/>
                                    </w:rPr>
                                    <w:t> </w:t>
                                  </w:r>
                                  <w:r>
                                    <w:rPr>
                                      <w:sz w:val="20"/>
                                    </w:rPr>
                                    <w:t>Incentive</w:t>
                                  </w:r>
                                  <w:r>
                                    <w:rPr>
                                      <w:spacing w:val="-13"/>
                                      <w:sz w:val="20"/>
                                    </w:rPr>
                                    <w:t> </w:t>
                                  </w:r>
                                  <w:r>
                                    <w:rPr>
                                      <w:sz w:val="20"/>
                                    </w:rPr>
                                    <w:t>Assumption</w:t>
                                  </w:r>
                                  <w:r>
                                    <w:rPr>
                                      <w:spacing w:val="-5"/>
                                      <w:sz w:val="20"/>
                                    </w:rPr>
                                    <w:t> </w:t>
                                  </w:r>
                                  <w:r>
                                    <w:rPr>
                                      <w:sz w:val="20"/>
                                    </w:rPr>
                                    <w:t>Plan,</w:t>
                                  </w:r>
                                  <w:r>
                                    <w:rPr>
                                      <w:spacing w:val="-6"/>
                                      <w:sz w:val="20"/>
                                    </w:rPr>
                                    <w:t> </w:t>
                                  </w:r>
                                  <w:r>
                                    <w:rPr>
                                      <w:sz w:val="20"/>
                                    </w:rPr>
                                    <w:t>as</w:t>
                                  </w:r>
                                  <w:r>
                                    <w:rPr>
                                      <w:spacing w:val="-7"/>
                                      <w:sz w:val="20"/>
                                    </w:rPr>
                                    <w:t> </w:t>
                                  </w:r>
                                  <w:r>
                                    <w:rPr>
                                      <w:sz w:val="20"/>
                                    </w:rPr>
                                    <w:t>amended</w:t>
                                  </w:r>
                                  <w:r>
                                    <w:rPr>
                                      <w:spacing w:val="-6"/>
                                      <w:sz w:val="20"/>
                                    </w:rPr>
                                    <w:t> </w:t>
                                  </w:r>
                                  <w:r>
                                    <w:rPr>
                                      <w:sz w:val="20"/>
                                    </w:rPr>
                                    <w:t>and </w:t>
                                  </w:r>
                                  <w:r>
                                    <w:rPr>
                                      <w:spacing w:val="-2"/>
                                      <w:sz w:val="20"/>
                                    </w:rPr>
                                    <w:t>restated*</w:t>
                                  </w:r>
                                </w:p>
                              </w:tc>
                              <w:tc>
                                <w:tcPr>
                                  <w:tcW w:w="683" w:type="dxa"/>
                                </w:tcPr>
                                <w:p>
                                  <w:pPr>
                                    <w:pStyle w:val="TableParagraph"/>
                                    <w:spacing w:before="141"/>
                                    <w:ind w:right="22"/>
                                    <w:jc w:val="center"/>
                                    <w:rPr>
                                      <w:sz w:val="20"/>
                                    </w:rPr>
                                  </w:pPr>
                                  <w:r>
                                    <w:rPr>
                                      <w:spacing w:val="-2"/>
                                      <w:sz w:val="20"/>
                                    </w:rPr>
                                    <w:t>10-</w:t>
                                  </w:r>
                                  <w:r>
                                    <w:rPr>
                                      <w:spacing w:val="-10"/>
                                      <w:sz w:val="20"/>
                                    </w:rPr>
                                    <w:t>Q</w:t>
                                  </w:r>
                                </w:p>
                              </w:tc>
                              <w:tc>
                                <w:tcPr>
                                  <w:tcW w:w="1078" w:type="dxa"/>
                                </w:tcPr>
                                <w:p>
                                  <w:pPr>
                                    <w:pStyle w:val="TableParagraph"/>
                                    <w:spacing w:before="141"/>
                                    <w:ind w:right="109"/>
                                    <w:jc w:val="right"/>
                                    <w:rPr>
                                      <w:sz w:val="20"/>
                                    </w:rPr>
                                  </w:pPr>
                                  <w:r>
                                    <w:rPr>
                                      <w:spacing w:val="-2"/>
                                      <w:sz w:val="20"/>
                                    </w:rPr>
                                    <w:t>6/28/13</w:t>
                                  </w:r>
                                </w:p>
                              </w:tc>
                              <w:tc>
                                <w:tcPr>
                                  <w:tcW w:w="786" w:type="dxa"/>
                                </w:tcPr>
                                <w:p>
                                  <w:pPr>
                                    <w:pStyle w:val="TableParagraph"/>
                                    <w:spacing w:before="141"/>
                                    <w:ind w:right="104"/>
                                    <w:jc w:val="right"/>
                                    <w:rPr>
                                      <w:sz w:val="20"/>
                                    </w:rPr>
                                  </w:pPr>
                                  <w:r>
                                    <w:rPr>
                                      <w:spacing w:val="-2"/>
                                      <w:sz w:val="20"/>
                                    </w:rPr>
                                    <w:t>10.17</w:t>
                                  </w:r>
                                </w:p>
                              </w:tc>
                              <w:tc>
                                <w:tcPr>
                                  <w:tcW w:w="1184" w:type="dxa"/>
                                </w:tcPr>
                                <w:p>
                                  <w:pPr>
                                    <w:pStyle w:val="TableParagraph"/>
                                    <w:spacing w:before="141"/>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10.4B</w:t>
                                  </w:r>
                                </w:p>
                              </w:tc>
                              <w:tc>
                                <w:tcPr>
                                  <w:tcW w:w="4785" w:type="dxa"/>
                                </w:tcPr>
                                <w:p>
                                  <w:pPr>
                                    <w:pStyle w:val="TableParagraph"/>
                                    <w:spacing w:line="208" w:lineRule="auto" w:before="175"/>
                                    <w:ind w:left="95" w:right="156"/>
                                    <w:rPr>
                                      <w:sz w:val="20"/>
                                    </w:rPr>
                                  </w:pPr>
                                  <w:r>
                                    <w:rPr>
                                      <w:sz w:val="20"/>
                                    </w:rPr>
                                    <w:t>Form</w:t>
                                  </w:r>
                                  <w:r>
                                    <w:rPr>
                                      <w:spacing w:val="-9"/>
                                      <w:sz w:val="20"/>
                                    </w:rPr>
                                    <w:t> </w:t>
                                  </w:r>
                                  <w:r>
                                    <w:rPr>
                                      <w:sz w:val="20"/>
                                    </w:rPr>
                                    <w:t>of</w:t>
                                  </w:r>
                                  <w:r>
                                    <w:rPr>
                                      <w:spacing w:val="-6"/>
                                      <w:sz w:val="20"/>
                                    </w:rPr>
                                    <w:t> </w:t>
                                  </w:r>
                                  <w:r>
                                    <w:rPr>
                                      <w:sz w:val="20"/>
                                    </w:rPr>
                                    <w:t>Stock</w:t>
                                  </w:r>
                                  <w:r>
                                    <w:rPr>
                                      <w:spacing w:val="-6"/>
                                      <w:sz w:val="20"/>
                                    </w:rPr>
                                    <w:t> </w:t>
                                  </w:r>
                                  <w:r>
                                    <w:rPr>
                                      <w:sz w:val="20"/>
                                    </w:rPr>
                                    <w:t>Option</w:t>
                                  </w:r>
                                  <w:r>
                                    <w:rPr>
                                      <w:spacing w:val="-13"/>
                                      <w:sz w:val="20"/>
                                    </w:rPr>
                                    <w:t> </w:t>
                                  </w:r>
                                  <w:r>
                                    <w:rPr>
                                      <w:sz w:val="20"/>
                                    </w:rPr>
                                    <w:t>Agreement</w:t>
                                  </w:r>
                                  <w:r>
                                    <w:rPr>
                                      <w:spacing w:val="-5"/>
                                      <w:sz w:val="20"/>
                                    </w:rPr>
                                    <w:t> </w:t>
                                  </w:r>
                                  <w:r>
                                    <w:rPr>
                                      <w:sz w:val="20"/>
                                    </w:rPr>
                                    <w:t>used</w:t>
                                  </w:r>
                                  <w:r>
                                    <w:rPr>
                                      <w:spacing w:val="-6"/>
                                      <w:sz w:val="20"/>
                                    </w:rPr>
                                    <w:t> </w:t>
                                  </w:r>
                                  <w:r>
                                    <w:rPr>
                                      <w:sz w:val="20"/>
                                    </w:rPr>
                                    <w:t>in</w:t>
                                  </w:r>
                                  <w:r>
                                    <w:rPr>
                                      <w:spacing w:val="-6"/>
                                      <w:sz w:val="20"/>
                                    </w:rPr>
                                    <w:t> </w:t>
                                  </w:r>
                                  <w:r>
                                    <w:rPr>
                                      <w:sz w:val="20"/>
                                    </w:rPr>
                                    <w:t>connection with the 2005 Equity Incentive Assumption Plan*</w:t>
                                  </w:r>
                                </w:p>
                              </w:tc>
                              <w:tc>
                                <w:tcPr>
                                  <w:tcW w:w="683" w:type="dxa"/>
                                </w:tcPr>
                                <w:p>
                                  <w:pPr>
                                    <w:pStyle w:val="TableParagraph"/>
                                    <w:spacing w:before="150"/>
                                    <w:ind w:right="22"/>
                                    <w:jc w:val="center"/>
                                    <w:rPr>
                                      <w:sz w:val="20"/>
                                    </w:rPr>
                                  </w:pPr>
                                  <w:r>
                                    <w:rPr>
                                      <w:spacing w:val="-2"/>
                                      <w:sz w:val="20"/>
                                    </w:rPr>
                                    <w:t>8-</w:t>
                                  </w:r>
                                  <w:r>
                                    <w:rPr>
                                      <w:spacing w:val="-10"/>
                                      <w:sz w:val="20"/>
                                    </w:rPr>
                                    <w:t>K</w:t>
                                  </w:r>
                                </w:p>
                              </w:tc>
                              <w:tc>
                                <w:tcPr>
                                  <w:tcW w:w="1078" w:type="dxa"/>
                                </w:tcPr>
                                <w:p>
                                  <w:pPr>
                                    <w:pStyle w:val="TableParagraph"/>
                                    <w:spacing w:before="150"/>
                                    <w:ind w:right="109"/>
                                    <w:jc w:val="right"/>
                                    <w:rPr>
                                      <w:sz w:val="20"/>
                                    </w:rPr>
                                  </w:pPr>
                                  <w:r>
                                    <w:rPr>
                                      <w:spacing w:val="-2"/>
                                      <w:sz w:val="20"/>
                                    </w:rPr>
                                    <w:t>12/20/10</w:t>
                                  </w:r>
                                </w:p>
                              </w:tc>
                              <w:tc>
                                <w:tcPr>
                                  <w:tcW w:w="786" w:type="dxa"/>
                                </w:tcPr>
                                <w:p>
                                  <w:pPr>
                                    <w:pStyle w:val="TableParagraph"/>
                                    <w:spacing w:before="150"/>
                                    <w:ind w:right="104"/>
                                    <w:jc w:val="right"/>
                                    <w:rPr>
                                      <w:sz w:val="20"/>
                                    </w:rPr>
                                  </w:pPr>
                                  <w:r>
                                    <w:rPr>
                                      <w:spacing w:val="-2"/>
                                      <w:sz w:val="20"/>
                                    </w:rPr>
                                    <w:t>99.10</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10.4C</w:t>
                                  </w:r>
                                </w:p>
                              </w:tc>
                              <w:tc>
                                <w:tcPr>
                                  <w:tcW w:w="4785" w:type="dxa"/>
                                </w:tcPr>
                                <w:p>
                                  <w:pPr>
                                    <w:pStyle w:val="TableParagraph"/>
                                    <w:spacing w:line="208" w:lineRule="auto" w:before="175"/>
                                    <w:ind w:left="95" w:right="147"/>
                                    <w:rPr>
                                      <w:sz w:val="20"/>
                                    </w:rPr>
                                  </w:pPr>
                                  <w:r>
                                    <w:rPr>
                                      <w:sz w:val="20"/>
                                    </w:rPr>
                                    <w:t>Form of RSU Grant Notice and Award Agreement pursuant</w:t>
                                  </w:r>
                                  <w:r>
                                    <w:rPr>
                                      <w:spacing w:val="-10"/>
                                      <w:sz w:val="20"/>
                                    </w:rPr>
                                    <w:t> </w:t>
                                  </w:r>
                                  <w:r>
                                    <w:rPr>
                                      <w:sz w:val="20"/>
                                    </w:rPr>
                                    <w:t>to</w:t>
                                  </w:r>
                                  <w:r>
                                    <w:rPr>
                                      <w:spacing w:val="-6"/>
                                      <w:sz w:val="20"/>
                                    </w:rPr>
                                    <w:t> </w:t>
                                  </w:r>
                                  <w:r>
                                    <w:rPr>
                                      <w:sz w:val="20"/>
                                    </w:rPr>
                                    <w:t>the</w:t>
                                  </w:r>
                                  <w:r>
                                    <w:rPr>
                                      <w:spacing w:val="-6"/>
                                      <w:sz w:val="20"/>
                                    </w:rPr>
                                    <w:t> </w:t>
                                  </w:r>
                                  <w:r>
                                    <w:rPr>
                                      <w:sz w:val="20"/>
                                    </w:rPr>
                                    <w:t>2005</w:t>
                                  </w:r>
                                  <w:r>
                                    <w:rPr>
                                      <w:spacing w:val="-6"/>
                                      <w:sz w:val="20"/>
                                    </w:rPr>
                                    <w:t> </w:t>
                                  </w:r>
                                  <w:r>
                                    <w:rPr>
                                      <w:sz w:val="20"/>
                                    </w:rPr>
                                    <w:t>Equity</w:t>
                                  </w:r>
                                  <w:r>
                                    <w:rPr>
                                      <w:spacing w:val="-6"/>
                                      <w:sz w:val="20"/>
                                    </w:rPr>
                                    <w:t> </w:t>
                                  </w:r>
                                  <w:r>
                                    <w:rPr>
                                      <w:sz w:val="20"/>
                                    </w:rPr>
                                    <w:t>Incentive</w:t>
                                  </w:r>
                                  <w:r>
                                    <w:rPr>
                                      <w:spacing w:val="-13"/>
                                      <w:sz w:val="20"/>
                                    </w:rPr>
                                    <w:t> </w:t>
                                  </w:r>
                                  <w:r>
                                    <w:rPr>
                                      <w:sz w:val="20"/>
                                    </w:rPr>
                                    <w:t>Assumption</w:t>
                                  </w:r>
                                  <w:r>
                                    <w:rPr>
                                      <w:spacing w:val="-5"/>
                                      <w:sz w:val="20"/>
                                    </w:rPr>
                                    <w:t> </w:t>
                                  </w:r>
                                  <w:r>
                                    <w:rPr>
                                      <w:sz w:val="20"/>
                                    </w:rPr>
                                    <w:t>Plan*</w:t>
                                  </w:r>
                                </w:p>
                              </w:tc>
                              <w:tc>
                                <w:tcPr>
                                  <w:tcW w:w="683" w:type="dxa"/>
                                </w:tcPr>
                                <w:p>
                                  <w:pPr>
                                    <w:pStyle w:val="TableParagraph"/>
                                    <w:spacing w:before="150"/>
                                    <w:ind w:right="22"/>
                                    <w:jc w:val="center"/>
                                    <w:rPr>
                                      <w:sz w:val="20"/>
                                    </w:rPr>
                                  </w:pPr>
                                  <w:r>
                                    <w:rPr>
                                      <w:spacing w:val="-2"/>
                                      <w:sz w:val="20"/>
                                    </w:rPr>
                                    <w:t>8-</w:t>
                                  </w:r>
                                  <w:r>
                                    <w:rPr>
                                      <w:spacing w:val="-10"/>
                                      <w:sz w:val="20"/>
                                    </w:rPr>
                                    <w:t>K</w:t>
                                  </w:r>
                                </w:p>
                              </w:tc>
                              <w:tc>
                                <w:tcPr>
                                  <w:tcW w:w="1078" w:type="dxa"/>
                                </w:tcPr>
                                <w:p>
                                  <w:pPr>
                                    <w:pStyle w:val="TableParagraph"/>
                                    <w:spacing w:before="150"/>
                                    <w:ind w:right="109"/>
                                    <w:jc w:val="right"/>
                                    <w:rPr>
                                      <w:sz w:val="20"/>
                                    </w:rPr>
                                  </w:pPr>
                                  <w:r>
                                    <w:rPr>
                                      <w:spacing w:val="-2"/>
                                      <w:sz w:val="20"/>
                                    </w:rPr>
                                    <w:t>1/28/13</w:t>
                                  </w:r>
                                </w:p>
                              </w:tc>
                              <w:tc>
                                <w:tcPr>
                                  <w:tcW w:w="786" w:type="dxa"/>
                                </w:tcPr>
                                <w:p>
                                  <w:pPr>
                                    <w:pStyle w:val="TableParagraph"/>
                                    <w:spacing w:before="150"/>
                                    <w:ind w:right="104"/>
                                    <w:jc w:val="right"/>
                                    <w:rPr>
                                      <w:sz w:val="20"/>
                                    </w:rPr>
                                  </w:pPr>
                                  <w:r>
                                    <w:rPr>
                                      <w:spacing w:val="-4"/>
                                      <w:sz w:val="20"/>
                                    </w:rPr>
                                    <w:t>10.7</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940" w:hRule="atLeast"/>
                              </w:trPr>
                              <w:tc>
                                <w:tcPr>
                                  <w:tcW w:w="868" w:type="dxa"/>
                                </w:tcPr>
                                <w:p>
                                  <w:pPr>
                                    <w:pStyle w:val="TableParagraph"/>
                                    <w:spacing w:before="150"/>
                                    <w:ind w:right="104"/>
                                    <w:jc w:val="right"/>
                                    <w:rPr>
                                      <w:sz w:val="20"/>
                                    </w:rPr>
                                  </w:pPr>
                                  <w:r>
                                    <w:rPr>
                                      <w:spacing w:val="-4"/>
                                      <w:sz w:val="20"/>
                                    </w:rPr>
                                    <w:t>10.5</w:t>
                                  </w:r>
                                </w:p>
                              </w:tc>
                              <w:tc>
                                <w:tcPr>
                                  <w:tcW w:w="4785" w:type="dxa"/>
                                </w:tcPr>
                                <w:p>
                                  <w:pPr>
                                    <w:pStyle w:val="TableParagraph"/>
                                    <w:spacing w:line="208" w:lineRule="auto" w:before="175"/>
                                    <w:ind w:left="95" w:right="51"/>
                                    <w:rPr>
                                      <w:sz w:val="20"/>
                                    </w:rPr>
                                  </w:pPr>
                                  <w:r>
                                    <w:rPr>
                                      <w:sz w:val="20"/>
                                    </w:rPr>
                                    <w:t>Retention Agreement between Adobe Systems Incorporated</w:t>
                                  </w:r>
                                  <w:r>
                                    <w:rPr>
                                      <w:spacing w:val="-9"/>
                                      <w:sz w:val="20"/>
                                    </w:rPr>
                                    <w:t> </w:t>
                                  </w:r>
                                  <w:r>
                                    <w:rPr>
                                      <w:sz w:val="20"/>
                                    </w:rPr>
                                    <w:t>and</w:t>
                                  </w:r>
                                  <w:r>
                                    <w:rPr>
                                      <w:spacing w:val="-9"/>
                                      <w:sz w:val="20"/>
                                    </w:rPr>
                                    <w:t> </w:t>
                                  </w:r>
                                  <w:r>
                                    <w:rPr>
                                      <w:sz w:val="20"/>
                                    </w:rPr>
                                    <w:t>Shantanu</w:t>
                                  </w:r>
                                  <w:r>
                                    <w:rPr>
                                      <w:spacing w:val="-9"/>
                                      <w:sz w:val="20"/>
                                    </w:rPr>
                                    <w:t> </w:t>
                                  </w:r>
                                  <w:r>
                                    <w:rPr>
                                      <w:sz w:val="20"/>
                                    </w:rPr>
                                    <w:t>Narayen,</w:t>
                                  </w:r>
                                  <w:r>
                                    <w:rPr>
                                      <w:spacing w:val="-9"/>
                                      <w:sz w:val="20"/>
                                    </w:rPr>
                                    <w:t> </w:t>
                                  </w:r>
                                  <w:r>
                                    <w:rPr>
                                      <w:sz w:val="20"/>
                                    </w:rPr>
                                    <w:t>effective</w:t>
                                  </w:r>
                                  <w:r>
                                    <w:rPr>
                                      <w:spacing w:val="-9"/>
                                      <w:sz w:val="20"/>
                                    </w:rPr>
                                    <w:t> </w:t>
                                  </w:r>
                                  <w:r>
                                    <w:rPr>
                                      <w:sz w:val="20"/>
                                    </w:rPr>
                                    <w:t>December 5, 2014</w:t>
                                  </w:r>
                                </w:p>
                              </w:tc>
                              <w:tc>
                                <w:tcPr>
                                  <w:tcW w:w="683" w:type="dxa"/>
                                </w:tcPr>
                                <w:p>
                                  <w:pPr>
                                    <w:pStyle w:val="TableParagraph"/>
                                    <w:spacing w:before="150"/>
                                    <w:ind w:right="22"/>
                                    <w:jc w:val="center"/>
                                    <w:rPr>
                                      <w:sz w:val="20"/>
                                    </w:rPr>
                                  </w:pPr>
                                  <w:r>
                                    <w:rPr>
                                      <w:spacing w:val="-2"/>
                                      <w:sz w:val="20"/>
                                    </w:rPr>
                                    <w:t>8-</w:t>
                                  </w:r>
                                  <w:r>
                                    <w:rPr>
                                      <w:spacing w:val="-10"/>
                                      <w:sz w:val="20"/>
                                    </w:rPr>
                                    <w:t>K</w:t>
                                  </w:r>
                                </w:p>
                              </w:tc>
                              <w:tc>
                                <w:tcPr>
                                  <w:tcW w:w="1078" w:type="dxa"/>
                                </w:tcPr>
                                <w:p>
                                  <w:pPr>
                                    <w:pStyle w:val="TableParagraph"/>
                                    <w:spacing w:before="150"/>
                                    <w:ind w:right="105"/>
                                    <w:jc w:val="right"/>
                                    <w:rPr>
                                      <w:sz w:val="20"/>
                                    </w:rPr>
                                  </w:pPr>
                                  <w:r>
                                    <w:rPr>
                                      <w:spacing w:val="-2"/>
                                      <w:sz w:val="20"/>
                                    </w:rPr>
                                    <w:t>12/11/14</w:t>
                                  </w:r>
                                </w:p>
                              </w:tc>
                              <w:tc>
                                <w:tcPr>
                                  <w:tcW w:w="786" w:type="dxa"/>
                                </w:tcPr>
                                <w:p>
                                  <w:pPr>
                                    <w:pStyle w:val="TableParagraph"/>
                                    <w:spacing w:before="150"/>
                                    <w:ind w:right="104"/>
                                    <w:jc w:val="right"/>
                                    <w:rPr>
                                      <w:sz w:val="20"/>
                                    </w:rPr>
                                  </w:pPr>
                                  <w:r>
                                    <w:rPr>
                                      <w:spacing w:val="-4"/>
                                      <w:sz w:val="20"/>
                                    </w:rPr>
                                    <w:t>10.2</w:t>
                                  </w:r>
                                </w:p>
                              </w:tc>
                              <w:tc>
                                <w:tcPr>
                                  <w:tcW w:w="1184" w:type="dxa"/>
                                </w:tcPr>
                                <w:p>
                                  <w:pPr>
                                    <w:pStyle w:val="TableParagraph"/>
                                    <w:spacing w:before="150"/>
                                    <w:ind w:left="103"/>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4"/>
                                      <w:sz w:val="20"/>
                                    </w:rPr>
                                    <w:t>10.6</w:t>
                                  </w:r>
                                </w:p>
                              </w:tc>
                              <w:tc>
                                <w:tcPr>
                                  <w:tcW w:w="4785" w:type="dxa"/>
                                </w:tcPr>
                                <w:p>
                                  <w:pPr>
                                    <w:pStyle w:val="TableParagraph"/>
                                    <w:spacing w:before="150"/>
                                    <w:ind w:left="95"/>
                                    <w:rPr>
                                      <w:sz w:val="20"/>
                                    </w:rPr>
                                  </w:pPr>
                                  <w:r>
                                    <w:rPr>
                                      <w:sz w:val="20"/>
                                    </w:rPr>
                                    <w:t>Form of Indemnity</w:t>
                                  </w:r>
                                  <w:r>
                                    <w:rPr>
                                      <w:spacing w:val="-12"/>
                                      <w:sz w:val="20"/>
                                    </w:rPr>
                                    <w:t> </w:t>
                                  </w:r>
                                  <w:r>
                                    <w:rPr>
                                      <w:spacing w:val="-2"/>
                                      <w:sz w:val="20"/>
                                    </w:rPr>
                                    <w:t>Agreement*</w:t>
                                  </w:r>
                                </w:p>
                              </w:tc>
                              <w:tc>
                                <w:tcPr>
                                  <w:tcW w:w="683" w:type="dxa"/>
                                </w:tcPr>
                                <w:p>
                                  <w:pPr>
                                    <w:pStyle w:val="TableParagraph"/>
                                    <w:spacing w:before="150"/>
                                    <w:ind w:right="22"/>
                                    <w:jc w:val="center"/>
                                    <w:rPr>
                                      <w:sz w:val="20"/>
                                    </w:rPr>
                                  </w:pPr>
                                  <w:r>
                                    <w:rPr>
                                      <w:spacing w:val="-2"/>
                                      <w:sz w:val="20"/>
                                    </w:rPr>
                                    <w:t>10-</w:t>
                                  </w:r>
                                  <w:r>
                                    <w:rPr>
                                      <w:spacing w:val="-10"/>
                                      <w:sz w:val="20"/>
                                    </w:rPr>
                                    <w:t>Q</w:t>
                                  </w:r>
                                </w:p>
                              </w:tc>
                              <w:tc>
                                <w:tcPr>
                                  <w:tcW w:w="1078" w:type="dxa"/>
                                </w:tcPr>
                                <w:p>
                                  <w:pPr>
                                    <w:pStyle w:val="TableParagraph"/>
                                    <w:spacing w:before="150"/>
                                    <w:ind w:right="109"/>
                                    <w:jc w:val="right"/>
                                    <w:rPr>
                                      <w:sz w:val="20"/>
                                    </w:rPr>
                                  </w:pPr>
                                  <w:r>
                                    <w:rPr>
                                      <w:spacing w:val="-2"/>
                                      <w:sz w:val="20"/>
                                    </w:rPr>
                                    <w:t>6/26/09</w:t>
                                  </w:r>
                                </w:p>
                              </w:tc>
                              <w:tc>
                                <w:tcPr>
                                  <w:tcW w:w="786" w:type="dxa"/>
                                </w:tcPr>
                                <w:p>
                                  <w:pPr>
                                    <w:pStyle w:val="TableParagraph"/>
                                    <w:spacing w:before="150"/>
                                    <w:ind w:right="104"/>
                                    <w:jc w:val="right"/>
                                    <w:rPr>
                                      <w:sz w:val="20"/>
                                    </w:rPr>
                                  </w:pPr>
                                  <w:r>
                                    <w:rPr>
                                      <w:spacing w:val="-2"/>
                                      <w:sz w:val="20"/>
                                    </w:rPr>
                                    <w:t>10.12</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619" w:hRule="atLeast"/>
                              </w:trPr>
                              <w:tc>
                                <w:tcPr>
                                  <w:tcW w:w="868" w:type="dxa"/>
                                </w:tcPr>
                                <w:p>
                                  <w:pPr>
                                    <w:pStyle w:val="TableParagraph"/>
                                    <w:spacing w:before="150"/>
                                    <w:ind w:right="104"/>
                                    <w:jc w:val="right"/>
                                    <w:rPr>
                                      <w:sz w:val="20"/>
                                    </w:rPr>
                                  </w:pPr>
                                  <w:r>
                                    <w:rPr>
                                      <w:spacing w:val="-4"/>
                                      <w:sz w:val="20"/>
                                    </w:rPr>
                                    <w:t>10.7</w:t>
                                  </w:r>
                                </w:p>
                              </w:tc>
                              <w:tc>
                                <w:tcPr>
                                  <w:tcW w:w="4785" w:type="dxa"/>
                                </w:tcPr>
                                <w:p>
                                  <w:pPr>
                                    <w:pStyle w:val="TableParagraph"/>
                                    <w:spacing w:line="208" w:lineRule="auto" w:before="175"/>
                                    <w:ind w:left="95" w:right="147"/>
                                    <w:rPr>
                                      <w:sz w:val="20"/>
                                    </w:rPr>
                                  </w:pPr>
                                  <w:r>
                                    <w:rPr>
                                      <w:sz w:val="20"/>
                                    </w:rPr>
                                    <w:t>Adobe</w:t>
                                  </w:r>
                                  <w:r>
                                    <w:rPr>
                                      <w:spacing w:val="-10"/>
                                      <w:sz w:val="20"/>
                                    </w:rPr>
                                    <w:t> </w:t>
                                  </w:r>
                                  <w:r>
                                    <w:rPr>
                                      <w:sz w:val="20"/>
                                    </w:rPr>
                                    <w:t>Systems</w:t>
                                  </w:r>
                                  <w:r>
                                    <w:rPr>
                                      <w:spacing w:val="-11"/>
                                      <w:sz w:val="20"/>
                                    </w:rPr>
                                    <w:t> </w:t>
                                  </w:r>
                                  <w:r>
                                    <w:rPr>
                                      <w:sz w:val="20"/>
                                    </w:rPr>
                                    <w:t>Incorporated</w:t>
                                  </w:r>
                                  <w:r>
                                    <w:rPr>
                                      <w:spacing w:val="-10"/>
                                      <w:sz w:val="20"/>
                                    </w:rPr>
                                    <w:t> </w:t>
                                  </w:r>
                                  <w:r>
                                    <w:rPr>
                                      <w:sz w:val="20"/>
                                    </w:rPr>
                                    <w:t>Deferred</w:t>
                                  </w:r>
                                  <w:r>
                                    <w:rPr>
                                      <w:spacing w:val="-10"/>
                                      <w:sz w:val="20"/>
                                    </w:rPr>
                                    <w:t> </w:t>
                                  </w:r>
                                  <w:r>
                                    <w:rPr>
                                      <w:sz w:val="20"/>
                                    </w:rPr>
                                    <w:t>Compensation Plan, as Amended and Restated*</w:t>
                                  </w:r>
                                </w:p>
                              </w:tc>
                              <w:tc>
                                <w:tcPr>
                                  <w:tcW w:w="683" w:type="dxa"/>
                                </w:tcPr>
                                <w:p>
                                  <w:pPr>
                                    <w:pStyle w:val="TableParagraph"/>
                                    <w:spacing w:before="150"/>
                                    <w:ind w:right="22"/>
                                    <w:jc w:val="center"/>
                                    <w:rPr>
                                      <w:sz w:val="20"/>
                                    </w:rPr>
                                  </w:pPr>
                                  <w:r>
                                    <w:rPr>
                                      <w:spacing w:val="-2"/>
                                      <w:sz w:val="20"/>
                                    </w:rPr>
                                    <w:t>10-</w:t>
                                  </w:r>
                                  <w:r>
                                    <w:rPr>
                                      <w:spacing w:val="-10"/>
                                      <w:sz w:val="20"/>
                                    </w:rPr>
                                    <w:t>K</w:t>
                                  </w:r>
                                </w:p>
                              </w:tc>
                              <w:tc>
                                <w:tcPr>
                                  <w:tcW w:w="1078" w:type="dxa"/>
                                </w:tcPr>
                                <w:p>
                                  <w:pPr>
                                    <w:pStyle w:val="TableParagraph"/>
                                    <w:spacing w:before="150"/>
                                    <w:ind w:right="109"/>
                                    <w:jc w:val="right"/>
                                    <w:rPr>
                                      <w:sz w:val="20"/>
                                    </w:rPr>
                                  </w:pPr>
                                  <w:r>
                                    <w:rPr>
                                      <w:spacing w:val="-2"/>
                                      <w:sz w:val="20"/>
                                    </w:rPr>
                                    <w:t>1/20/15</w:t>
                                  </w:r>
                                </w:p>
                              </w:tc>
                              <w:tc>
                                <w:tcPr>
                                  <w:tcW w:w="786" w:type="dxa"/>
                                </w:tcPr>
                                <w:p>
                                  <w:pPr>
                                    <w:pStyle w:val="TableParagraph"/>
                                    <w:spacing w:before="150"/>
                                    <w:ind w:right="104"/>
                                    <w:jc w:val="right"/>
                                    <w:rPr>
                                      <w:sz w:val="20"/>
                                    </w:rPr>
                                  </w:pPr>
                                  <w:r>
                                    <w:rPr>
                                      <w:spacing w:val="-2"/>
                                      <w:sz w:val="20"/>
                                    </w:rPr>
                                    <w:t>10.19</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1830" w:hRule="atLeast"/>
                              </w:trPr>
                              <w:tc>
                                <w:tcPr>
                                  <w:tcW w:w="868" w:type="dxa"/>
                                </w:tcPr>
                                <w:p>
                                  <w:pPr>
                                    <w:pStyle w:val="TableParagraph"/>
                                    <w:spacing w:before="31"/>
                                    <w:ind w:right="92"/>
                                    <w:jc w:val="right"/>
                                    <w:rPr>
                                      <w:sz w:val="20"/>
                                    </w:rPr>
                                  </w:pPr>
                                  <w:r>
                                    <w:rPr>
                                      <w:spacing w:val="-2"/>
                                      <w:sz w:val="20"/>
                                    </w:rPr>
                                    <w:t>10.8A</w:t>
                                  </w:r>
                                </w:p>
                              </w:tc>
                              <w:tc>
                                <w:tcPr>
                                  <w:tcW w:w="4785" w:type="dxa"/>
                                </w:tcPr>
                                <w:p>
                                  <w:pPr>
                                    <w:pStyle w:val="TableParagraph"/>
                                    <w:spacing w:line="208" w:lineRule="auto" w:before="55"/>
                                    <w:ind w:left="95" w:right="147"/>
                                    <w:rPr>
                                      <w:sz w:val="20"/>
                                    </w:rPr>
                                  </w:pPr>
                                  <w:r>
                                    <w:rPr>
                                      <w:sz w:val="20"/>
                                    </w:rPr>
                                    <w:t>Credit Agreement, dated as of March 2, 2012, among Adobe</w:t>
                                  </w:r>
                                  <w:r>
                                    <w:rPr>
                                      <w:spacing w:val="-7"/>
                                      <w:sz w:val="20"/>
                                    </w:rPr>
                                    <w:t> </w:t>
                                  </w:r>
                                  <w:r>
                                    <w:rPr>
                                      <w:sz w:val="20"/>
                                    </w:rPr>
                                    <w:t>Systems</w:t>
                                  </w:r>
                                  <w:r>
                                    <w:rPr>
                                      <w:spacing w:val="-8"/>
                                      <w:sz w:val="20"/>
                                    </w:rPr>
                                    <w:t> </w:t>
                                  </w:r>
                                  <w:r>
                                    <w:rPr>
                                      <w:sz w:val="20"/>
                                    </w:rPr>
                                    <w:t>Incorporated</w:t>
                                  </w:r>
                                  <w:r>
                                    <w:rPr>
                                      <w:spacing w:val="-7"/>
                                      <w:sz w:val="20"/>
                                    </w:rPr>
                                    <w:t> </w:t>
                                  </w:r>
                                  <w:r>
                                    <w:rPr>
                                      <w:sz w:val="20"/>
                                    </w:rPr>
                                    <w:t>and</w:t>
                                  </w:r>
                                  <w:r>
                                    <w:rPr>
                                      <w:spacing w:val="-7"/>
                                      <w:sz w:val="20"/>
                                    </w:rPr>
                                    <w:t> </w:t>
                                  </w:r>
                                  <w:r>
                                    <w:rPr>
                                      <w:sz w:val="20"/>
                                    </w:rPr>
                                    <w:t>certain</w:t>
                                  </w:r>
                                  <w:r>
                                    <w:rPr>
                                      <w:spacing w:val="-7"/>
                                      <w:sz w:val="20"/>
                                    </w:rPr>
                                    <w:t> </w:t>
                                  </w:r>
                                  <w:r>
                                    <w:rPr>
                                      <w:sz w:val="20"/>
                                    </w:rPr>
                                    <w:t>subsidiaries</w:t>
                                  </w:r>
                                  <w:r>
                                    <w:rPr>
                                      <w:spacing w:val="-8"/>
                                      <w:sz w:val="20"/>
                                    </w:rPr>
                                    <w:t> </w:t>
                                  </w:r>
                                  <w:r>
                                    <w:rPr>
                                      <w:sz w:val="20"/>
                                    </w:rPr>
                                    <w:t>as Borrowers, The Royal Bank of Scotland PLC and U.S. Bank National Association as Co-Documentation Agents, JPMorgan Chase Bank, N.A., as Syndication Agent, Bank of</w:t>
                                  </w:r>
                                  <w:r>
                                    <w:rPr>
                                      <w:spacing w:val="-11"/>
                                      <w:sz w:val="20"/>
                                    </w:rPr>
                                    <w:t> </w:t>
                                  </w:r>
                                  <w:r>
                                    <w:rPr>
                                      <w:sz w:val="20"/>
                                    </w:rPr>
                                    <w:t>America, N.A. as</w:t>
                                  </w:r>
                                  <w:r>
                                    <w:rPr>
                                      <w:spacing w:val="-12"/>
                                      <w:sz w:val="20"/>
                                    </w:rPr>
                                    <w:t> </w:t>
                                  </w:r>
                                  <w:r>
                                    <w:rPr>
                                      <w:sz w:val="20"/>
                                    </w:rPr>
                                    <w:t>Administrative</w:t>
                                  </w:r>
                                  <w:r>
                                    <w:rPr>
                                      <w:spacing w:val="-12"/>
                                      <w:sz w:val="20"/>
                                    </w:rPr>
                                    <w:t> </w:t>
                                  </w:r>
                                  <w:r>
                                    <w:rPr>
                                      <w:sz w:val="20"/>
                                    </w:rPr>
                                    <w:t>Agent and Swing Line Lender, and the Other Lenders Party </w:t>
                                  </w:r>
                                  <w:r>
                                    <w:rPr>
                                      <w:spacing w:val="-2"/>
                                      <w:sz w:val="20"/>
                                    </w:rPr>
                                    <w:t>Thereto</w:t>
                                  </w:r>
                                </w:p>
                              </w:tc>
                              <w:tc>
                                <w:tcPr>
                                  <w:tcW w:w="683" w:type="dxa"/>
                                </w:tcPr>
                                <w:p>
                                  <w:pPr>
                                    <w:pStyle w:val="TableParagraph"/>
                                    <w:spacing w:before="31"/>
                                    <w:ind w:right="22"/>
                                    <w:jc w:val="center"/>
                                    <w:rPr>
                                      <w:sz w:val="20"/>
                                    </w:rPr>
                                  </w:pPr>
                                  <w:r>
                                    <w:rPr>
                                      <w:spacing w:val="-2"/>
                                      <w:sz w:val="20"/>
                                    </w:rPr>
                                    <w:t>8-</w:t>
                                  </w:r>
                                  <w:r>
                                    <w:rPr>
                                      <w:spacing w:val="-10"/>
                                      <w:sz w:val="20"/>
                                    </w:rPr>
                                    <w:t>K</w:t>
                                  </w:r>
                                </w:p>
                              </w:tc>
                              <w:tc>
                                <w:tcPr>
                                  <w:tcW w:w="1078" w:type="dxa"/>
                                </w:tcPr>
                                <w:p>
                                  <w:pPr>
                                    <w:pStyle w:val="TableParagraph"/>
                                    <w:spacing w:before="31"/>
                                    <w:ind w:right="109"/>
                                    <w:jc w:val="right"/>
                                    <w:rPr>
                                      <w:sz w:val="20"/>
                                    </w:rPr>
                                  </w:pPr>
                                  <w:r>
                                    <w:rPr>
                                      <w:spacing w:val="-2"/>
                                      <w:sz w:val="20"/>
                                    </w:rPr>
                                    <w:t>3/7/12</w:t>
                                  </w:r>
                                </w:p>
                              </w:tc>
                              <w:tc>
                                <w:tcPr>
                                  <w:tcW w:w="786" w:type="dxa"/>
                                </w:tcPr>
                                <w:p>
                                  <w:pPr>
                                    <w:pStyle w:val="TableParagraph"/>
                                    <w:spacing w:before="31"/>
                                    <w:ind w:right="104"/>
                                    <w:jc w:val="right"/>
                                    <w:rPr>
                                      <w:sz w:val="20"/>
                                    </w:rPr>
                                  </w:pPr>
                                  <w:r>
                                    <w:rPr>
                                      <w:spacing w:val="-4"/>
                                      <w:sz w:val="20"/>
                                    </w:rPr>
                                    <w:t>10.1</w:t>
                                  </w:r>
                                </w:p>
                              </w:tc>
                              <w:tc>
                                <w:tcPr>
                                  <w:tcW w:w="1184" w:type="dxa"/>
                                </w:tcPr>
                                <w:p>
                                  <w:pPr>
                                    <w:pStyle w:val="TableParagraph"/>
                                    <w:spacing w:before="31"/>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989" w:hRule="atLeast"/>
                              </w:trPr>
                              <w:tc>
                                <w:tcPr>
                                  <w:tcW w:w="868" w:type="dxa"/>
                                </w:tcPr>
                                <w:p>
                                  <w:pPr>
                                    <w:pStyle w:val="TableParagraph"/>
                                    <w:spacing w:before="160"/>
                                    <w:ind w:right="103"/>
                                    <w:jc w:val="right"/>
                                    <w:rPr>
                                      <w:sz w:val="20"/>
                                    </w:rPr>
                                  </w:pPr>
                                  <w:r>
                                    <w:rPr>
                                      <w:spacing w:val="-2"/>
                                      <w:sz w:val="20"/>
                                    </w:rPr>
                                    <w:t>10.8B</w:t>
                                  </w:r>
                                </w:p>
                              </w:tc>
                              <w:tc>
                                <w:tcPr>
                                  <w:tcW w:w="4785" w:type="dxa"/>
                                </w:tcPr>
                                <w:p>
                                  <w:pPr>
                                    <w:pStyle w:val="TableParagraph"/>
                                    <w:spacing w:line="208" w:lineRule="auto" w:before="185"/>
                                    <w:ind w:left="95" w:right="147"/>
                                    <w:rPr>
                                      <w:sz w:val="20"/>
                                    </w:rPr>
                                  </w:pPr>
                                  <w:r>
                                    <w:rPr>
                                      <w:sz w:val="20"/>
                                    </w:rPr>
                                    <w:t>Amendment to Credit</w:t>
                                  </w:r>
                                  <w:r>
                                    <w:rPr>
                                      <w:spacing w:val="-1"/>
                                      <w:sz w:val="20"/>
                                    </w:rPr>
                                    <w:t> </w:t>
                                  </w:r>
                                  <w:r>
                                    <w:rPr>
                                      <w:sz w:val="20"/>
                                    </w:rPr>
                                    <w:t>Agreement, dated as of July 27, 2015,</w:t>
                                  </w:r>
                                  <w:r>
                                    <w:rPr>
                                      <w:spacing w:val="-1"/>
                                      <w:sz w:val="20"/>
                                    </w:rPr>
                                    <w:t> </w:t>
                                  </w:r>
                                  <w:r>
                                    <w:rPr>
                                      <w:sz w:val="20"/>
                                    </w:rPr>
                                    <w:t>among</w:t>
                                  </w:r>
                                  <w:r>
                                    <w:rPr>
                                      <w:spacing w:val="-12"/>
                                      <w:sz w:val="20"/>
                                    </w:rPr>
                                    <w:t> </w:t>
                                  </w:r>
                                  <w:r>
                                    <w:rPr>
                                      <w:sz w:val="20"/>
                                    </w:rPr>
                                    <w:t>Adobe</w:t>
                                  </w:r>
                                  <w:r>
                                    <w:rPr>
                                      <w:spacing w:val="-1"/>
                                      <w:sz w:val="20"/>
                                    </w:rPr>
                                    <w:t> </w:t>
                                  </w:r>
                                  <w:r>
                                    <w:rPr>
                                      <w:sz w:val="20"/>
                                    </w:rPr>
                                    <w:t>Systems</w:t>
                                  </w:r>
                                  <w:r>
                                    <w:rPr>
                                      <w:spacing w:val="-2"/>
                                      <w:sz w:val="20"/>
                                    </w:rPr>
                                    <w:t> </w:t>
                                  </w:r>
                                  <w:r>
                                    <w:rPr>
                                      <w:sz w:val="20"/>
                                    </w:rPr>
                                    <w:t>Incorporated</w:t>
                                  </w:r>
                                  <w:r>
                                    <w:rPr>
                                      <w:spacing w:val="-1"/>
                                      <w:sz w:val="20"/>
                                    </w:rPr>
                                    <w:t> </w:t>
                                  </w:r>
                                  <w:r>
                                    <w:rPr>
                                      <w:sz w:val="20"/>
                                    </w:rPr>
                                    <w:t>and</w:t>
                                  </w:r>
                                  <w:r>
                                    <w:rPr>
                                      <w:spacing w:val="-1"/>
                                      <w:sz w:val="20"/>
                                    </w:rPr>
                                    <w:t> </w:t>
                                  </w:r>
                                  <w:r>
                                    <w:rPr>
                                      <w:sz w:val="20"/>
                                    </w:rPr>
                                    <w:t>Bank </w:t>
                                  </w:r>
                                  <w:r>
                                    <w:rPr>
                                      <w:spacing w:val="-5"/>
                                      <w:sz w:val="20"/>
                                    </w:rPr>
                                    <w:t>of</w:t>
                                  </w:r>
                                </w:p>
                                <w:p>
                                  <w:pPr>
                                    <w:pStyle w:val="TableParagraph"/>
                                    <w:spacing w:line="198" w:lineRule="exact"/>
                                    <w:ind w:left="95" w:right="147"/>
                                    <w:rPr>
                                      <w:sz w:val="20"/>
                                    </w:rPr>
                                  </w:pPr>
                                  <w:r>
                                    <w:rPr>
                                      <w:sz w:val="20"/>
                                    </w:rPr>
                                    <w:t>America,</w:t>
                                  </w:r>
                                  <w:r>
                                    <w:rPr>
                                      <w:spacing w:val="-13"/>
                                      <w:sz w:val="20"/>
                                    </w:rPr>
                                    <w:t> </w:t>
                                  </w:r>
                                  <w:r>
                                    <w:rPr>
                                      <w:sz w:val="20"/>
                                    </w:rPr>
                                    <w:t>N.A.</w:t>
                                  </w:r>
                                  <w:r>
                                    <w:rPr>
                                      <w:spacing w:val="-5"/>
                                      <w:sz w:val="20"/>
                                    </w:rPr>
                                    <w:t> </w:t>
                                  </w:r>
                                  <w:r>
                                    <w:rPr>
                                      <w:sz w:val="20"/>
                                    </w:rPr>
                                    <w:t>as</w:t>
                                  </w:r>
                                  <w:r>
                                    <w:rPr>
                                      <w:spacing w:val="-13"/>
                                      <w:sz w:val="20"/>
                                    </w:rPr>
                                    <w:t> </w:t>
                                  </w:r>
                                  <w:r>
                                    <w:rPr>
                                      <w:sz w:val="20"/>
                                    </w:rPr>
                                    <w:t>Administrative</w:t>
                                  </w:r>
                                  <w:r>
                                    <w:rPr>
                                      <w:spacing w:val="-12"/>
                                      <w:sz w:val="20"/>
                                    </w:rPr>
                                    <w:t> </w:t>
                                  </w:r>
                                  <w:r>
                                    <w:rPr>
                                      <w:sz w:val="20"/>
                                    </w:rPr>
                                    <w:t>Agent</w:t>
                                  </w:r>
                                  <w:r>
                                    <w:rPr>
                                      <w:spacing w:val="-6"/>
                                      <w:sz w:val="20"/>
                                    </w:rPr>
                                    <w:t> </w:t>
                                  </w:r>
                                  <w:r>
                                    <w:rPr>
                                      <w:sz w:val="20"/>
                                    </w:rPr>
                                    <w:t>and</w:t>
                                  </w:r>
                                  <w:r>
                                    <w:rPr>
                                      <w:spacing w:val="-6"/>
                                      <w:sz w:val="20"/>
                                    </w:rPr>
                                    <w:t> </w:t>
                                  </w:r>
                                  <w:r>
                                    <w:rPr>
                                      <w:sz w:val="20"/>
                                    </w:rPr>
                                    <w:t>Swing</w:t>
                                  </w:r>
                                  <w:r>
                                    <w:rPr>
                                      <w:spacing w:val="-6"/>
                                      <w:sz w:val="20"/>
                                    </w:rPr>
                                    <w:t> </w:t>
                                  </w:r>
                                  <w:r>
                                    <w:rPr>
                                      <w:sz w:val="20"/>
                                    </w:rPr>
                                    <w:t>Line Lender and the Other Lenders Party Thereto</w:t>
                                  </w:r>
                                </w:p>
                              </w:tc>
                              <w:tc>
                                <w:tcPr>
                                  <w:tcW w:w="683" w:type="dxa"/>
                                </w:tcPr>
                                <w:p>
                                  <w:pPr>
                                    <w:pStyle w:val="TableParagraph"/>
                                    <w:spacing w:before="160"/>
                                    <w:ind w:right="22"/>
                                    <w:jc w:val="center"/>
                                    <w:rPr>
                                      <w:sz w:val="20"/>
                                    </w:rPr>
                                  </w:pPr>
                                  <w:r>
                                    <w:rPr>
                                      <w:spacing w:val="-2"/>
                                      <w:sz w:val="20"/>
                                    </w:rPr>
                                    <w:t>8-</w:t>
                                  </w:r>
                                  <w:r>
                                    <w:rPr>
                                      <w:spacing w:val="-10"/>
                                      <w:sz w:val="20"/>
                                    </w:rPr>
                                    <w:t>K</w:t>
                                  </w:r>
                                </w:p>
                              </w:tc>
                              <w:tc>
                                <w:tcPr>
                                  <w:tcW w:w="1078" w:type="dxa"/>
                                </w:tcPr>
                                <w:p>
                                  <w:pPr>
                                    <w:pStyle w:val="TableParagraph"/>
                                    <w:spacing w:before="160"/>
                                    <w:ind w:right="109"/>
                                    <w:jc w:val="right"/>
                                    <w:rPr>
                                      <w:sz w:val="20"/>
                                    </w:rPr>
                                  </w:pPr>
                                  <w:r>
                                    <w:rPr>
                                      <w:spacing w:val="-2"/>
                                      <w:sz w:val="20"/>
                                    </w:rPr>
                                    <w:t>7/30/15</w:t>
                                  </w:r>
                                </w:p>
                              </w:tc>
                              <w:tc>
                                <w:tcPr>
                                  <w:tcW w:w="786" w:type="dxa"/>
                                </w:tcPr>
                                <w:p>
                                  <w:pPr>
                                    <w:pStyle w:val="TableParagraph"/>
                                    <w:spacing w:before="160"/>
                                    <w:ind w:right="104"/>
                                    <w:jc w:val="right"/>
                                    <w:rPr>
                                      <w:sz w:val="20"/>
                                    </w:rPr>
                                  </w:pPr>
                                  <w:r>
                                    <w:rPr>
                                      <w:spacing w:val="-4"/>
                                      <w:sz w:val="20"/>
                                    </w:rPr>
                                    <w:t>10.1</w:t>
                                  </w:r>
                                </w:p>
                              </w:tc>
                              <w:tc>
                                <w:tcPr>
                                  <w:tcW w:w="1184" w:type="dxa"/>
                                </w:tcPr>
                                <w:p>
                                  <w:pPr>
                                    <w:pStyle w:val="TableParagraph"/>
                                    <w:spacing w:before="160"/>
                                    <w:ind w:left="103"/>
                                    <w:rPr>
                                      <w:sz w:val="20"/>
                                    </w:rPr>
                                  </w:pPr>
                                  <w:r>
                                    <w:rPr>
                                      <w:sz w:val="20"/>
                                    </w:rPr>
                                    <w:t>000-</w:t>
                                  </w:r>
                                  <w:r>
                                    <w:rPr>
                                      <w:spacing w:val="-2"/>
                                      <w:sz w:val="20"/>
                                    </w:rPr>
                                    <w:t>15175</w:t>
                                  </w:r>
                                </w:p>
                              </w:tc>
                              <w:tc>
                                <w:tcPr>
                                  <w:tcW w:w="809" w:type="dxa"/>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49.849998pt;margin-top:66.141090pt;width:515.65pt;height:646.75pt;mso-position-horizontal-relative:page;mso-position-vertical-relative:page;z-index:15841280" type="#_x0000_t202" id="docshape45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785"/>
                        <w:gridCol w:w="683"/>
                        <w:gridCol w:w="1078"/>
                        <w:gridCol w:w="786"/>
                        <w:gridCol w:w="1184"/>
                        <w:gridCol w:w="809"/>
                      </w:tblGrid>
                      <w:tr>
                        <w:trPr>
                          <w:trHeight w:val="217" w:hRule="atLeast"/>
                        </w:trPr>
                        <w:tc>
                          <w:tcPr>
                            <w:tcW w:w="868" w:type="dxa"/>
                            <w:tcBorders>
                              <w:bottom w:val="single" w:sz="8" w:space="0" w:color="000000"/>
                            </w:tcBorders>
                          </w:tcPr>
                          <w:p>
                            <w:pPr>
                              <w:pStyle w:val="TableParagraph"/>
                              <w:spacing w:line="180" w:lineRule="exact"/>
                              <w:ind w:left="100"/>
                              <w:rPr>
                                <w:b/>
                                <w:sz w:val="16"/>
                              </w:rPr>
                            </w:pPr>
                            <w:r>
                              <w:rPr>
                                <w:b/>
                                <w:spacing w:val="-2"/>
                                <w:sz w:val="16"/>
                              </w:rPr>
                              <w:t>Number</w:t>
                            </w:r>
                          </w:p>
                        </w:tc>
                        <w:tc>
                          <w:tcPr>
                            <w:tcW w:w="4785" w:type="dxa"/>
                            <w:tcBorders>
                              <w:bottom w:val="single" w:sz="8" w:space="0" w:color="000000"/>
                            </w:tcBorders>
                          </w:tcPr>
                          <w:p>
                            <w:pPr>
                              <w:pStyle w:val="TableParagraph"/>
                              <w:spacing w:line="177" w:lineRule="exact"/>
                              <w:ind w:right="13"/>
                              <w:jc w:val="center"/>
                              <w:rPr>
                                <w:b/>
                                <w:sz w:val="16"/>
                              </w:rPr>
                            </w:pPr>
                            <w:r>
                              <w:rPr>
                                <w:b/>
                                <w:sz w:val="16"/>
                              </w:rPr>
                              <w:t>Exhibit </w:t>
                            </w:r>
                            <w:r>
                              <w:rPr>
                                <w:b/>
                                <w:spacing w:val="-2"/>
                                <w:sz w:val="16"/>
                              </w:rPr>
                              <w:t>Description</w:t>
                            </w:r>
                          </w:p>
                        </w:tc>
                        <w:tc>
                          <w:tcPr>
                            <w:tcW w:w="683" w:type="dxa"/>
                            <w:tcBorders>
                              <w:bottom w:val="single" w:sz="8" w:space="0" w:color="000000"/>
                            </w:tcBorders>
                          </w:tcPr>
                          <w:p>
                            <w:pPr>
                              <w:pStyle w:val="TableParagraph"/>
                              <w:spacing w:line="177" w:lineRule="exact"/>
                              <w:ind w:right="22"/>
                              <w:jc w:val="center"/>
                              <w:rPr>
                                <w:b/>
                                <w:sz w:val="16"/>
                              </w:rPr>
                            </w:pPr>
                            <w:r>
                              <w:rPr>
                                <w:b/>
                                <w:spacing w:val="-4"/>
                                <w:sz w:val="16"/>
                              </w:rPr>
                              <w:t>Form</w:t>
                            </w:r>
                          </w:p>
                        </w:tc>
                        <w:tc>
                          <w:tcPr>
                            <w:tcW w:w="1078" w:type="dxa"/>
                            <w:tcBorders>
                              <w:bottom w:val="single" w:sz="8" w:space="0" w:color="000000"/>
                            </w:tcBorders>
                          </w:tcPr>
                          <w:p>
                            <w:pPr>
                              <w:pStyle w:val="TableParagraph"/>
                              <w:spacing w:line="177" w:lineRule="exact"/>
                              <w:ind w:right="168"/>
                              <w:jc w:val="right"/>
                              <w:rPr>
                                <w:b/>
                                <w:sz w:val="16"/>
                              </w:rPr>
                            </w:pPr>
                            <w:r>
                              <w:rPr>
                                <w:b/>
                                <w:sz w:val="16"/>
                              </w:rPr>
                              <w:t>Filing </w:t>
                            </w:r>
                            <w:r>
                              <w:rPr>
                                <w:b/>
                                <w:spacing w:val="-4"/>
                                <w:sz w:val="16"/>
                              </w:rPr>
                              <w:t>Date</w:t>
                            </w:r>
                          </w:p>
                        </w:tc>
                        <w:tc>
                          <w:tcPr>
                            <w:tcW w:w="786" w:type="dxa"/>
                            <w:tcBorders>
                              <w:bottom w:val="single" w:sz="8" w:space="0" w:color="000000"/>
                            </w:tcBorders>
                          </w:tcPr>
                          <w:p>
                            <w:pPr>
                              <w:pStyle w:val="TableParagraph"/>
                              <w:spacing w:line="180" w:lineRule="exact"/>
                              <w:ind w:right="109"/>
                              <w:jc w:val="right"/>
                              <w:rPr>
                                <w:b/>
                                <w:sz w:val="16"/>
                              </w:rPr>
                            </w:pPr>
                            <w:r>
                              <w:rPr>
                                <w:b/>
                                <w:spacing w:val="-2"/>
                                <w:sz w:val="16"/>
                              </w:rPr>
                              <w:t>Number</w:t>
                            </w:r>
                          </w:p>
                        </w:tc>
                        <w:tc>
                          <w:tcPr>
                            <w:tcW w:w="1184" w:type="dxa"/>
                            <w:tcBorders>
                              <w:bottom w:val="single" w:sz="8" w:space="0" w:color="000000"/>
                            </w:tcBorders>
                          </w:tcPr>
                          <w:p>
                            <w:pPr>
                              <w:pStyle w:val="TableParagraph"/>
                              <w:spacing w:line="177" w:lineRule="exact"/>
                              <w:ind w:right="147"/>
                              <w:jc w:val="right"/>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09" w:type="dxa"/>
                            <w:tcBorders>
                              <w:bottom w:val="single" w:sz="8" w:space="0" w:color="000000"/>
                            </w:tcBorders>
                          </w:tcPr>
                          <w:p>
                            <w:pPr>
                              <w:pStyle w:val="TableParagraph"/>
                              <w:spacing w:line="180" w:lineRule="exact"/>
                              <w:ind w:left="100"/>
                              <w:rPr>
                                <w:b/>
                                <w:sz w:val="16"/>
                              </w:rPr>
                            </w:pPr>
                            <w:r>
                              <w:rPr>
                                <w:b/>
                                <w:spacing w:val="-2"/>
                                <w:sz w:val="16"/>
                              </w:rPr>
                              <w:t>Herewith</w:t>
                            </w:r>
                          </w:p>
                        </w:tc>
                      </w:tr>
                      <w:tr>
                        <w:trPr>
                          <w:trHeight w:val="1231" w:hRule="atLeast"/>
                        </w:trPr>
                        <w:tc>
                          <w:tcPr>
                            <w:tcW w:w="868" w:type="dxa"/>
                            <w:tcBorders>
                              <w:top w:val="single" w:sz="8" w:space="0" w:color="000000"/>
                            </w:tcBorders>
                          </w:tcPr>
                          <w:p>
                            <w:pPr>
                              <w:pStyle w:val="TableParagraph"/>
                              <w:spacing w:before="21"/>
                              <w:rPr>
                                <w:b/>
                                <w:sz w:val="20"/>
                              </w:rPr>
                            </w:pPr>
                          </w:p>
                          <w:p>
                            <w:pPr>
                              <w:pStyle w:val="TableParagraph"/>
                              <w:spacing w:before="1"/>
                              <w:ind w:right="95"/>
                              <w:jc w:val="right"/>
                              <w:rPr>
                                <w:sz w:val="20"/>
                              </w:rPr>
                            </w:pPr>
                            <w:r>
                              <w:rPr>
                                <w:spacing w:val="-2"/>
                                <w:sz w:val="20"/>
                              </w:rPr>
                              <w:t>10.3L</w:t>
                            </w:r>
                          </w:p>
                        </w:tc>
                        <w:tc>
                          <w:tcPr>
                            <w:tcW w:w="4785" w:type="dxa"/>
                            <w:tcBorders>
                              <w:top w:val="single" w:sz="8" w:space="0" w:color="000000"/>
                            </w:tcBorders>
                          </w:tcPr>
                          <w:p>
                            <w:pPr>
                              <w:pStyle w:val="TableParagraph"/>
                              <w:spacing w:before="46"/>
                              <w:rPr>
                                <w:b/>
                                <w:sz w:val="20"/>
                              </w:rPr>
                            </w:pPr>
                          </w:p>
                          <w:p>
                            <w:pPr>
                              <w:pStyle w:val="TableParagraph"/>
                              <w:spacing w:line="208" w:lineRule="auto"/>
                              <w:ind w:left="95" w:right="147"/>
                              <w:rPr>
                                <w:sz w:val="20"/>
                              </w:rPr>
                            </w:pPr>
                            <w:r>
                              <w:rPr>
                                <w:sz w:val="20"/>
                              </w:rPr>
                              <w:t>Form</w:t>
                            </w:r>
                            <w:r>
                              <w:rPr>
                                <w:spacing w:val="-13"/>
                                <w:sz w:val="20"/>
                              </w:rPr>
                              <w:t> </w:t>
                            </w:r>
                            <w:r>
                              <w:rPr>
                                <w:sz w:val="20"/>
                              </w:rPr>
                              <w:t>of</w:t>
                            </w:r>
                            <w:r>
                              <w:rPr>
                                <w:spacing w:val="-9"/>
                                <w:sz w:val="20"/>
                              </w:rPr>
                              <w:t> </w:t>
                            </w:r>
                            <w:r>
                              <w:rPr>
                                <w:sz w:val="20"/>
                              </w:rPr>
                              <w:t>2016</w:t>
                            </w:r>
                            <w:r>
                              <w:rPr>
                                <w:spacing w:val="-9"/>
                                <w:sz w:val="20"/>
                              </w:rPr>
                              <w:t> </w:t>
                            </w:r>
                            <w:r>
                              <w:rPr>
                                <w:sz w:val="20"/>
                              </w:rPr>
                              <w:t>Performance</w:t>
                            </w:r>
                            <w:r>
                              <w:rPr>
                                <w:spacing w:val="-9"/>
                                <w:sz w:val="20"/>
                              </w:rPr>
                              <w:t> </w:t>
                            </w:r>
                            <w:r>
                              <w:rPr>
                                <w:sz w:val="20"/>
                              </w:rPr>
                              <w:t>Share</w:t>
                            </w:r>
                            <w:r>
                              <w:rPr>
                                <w:spacing w:val="-13"/>
                                <w:sz w:val="20"/>
                              </w:rPr>
                              <w:t> </w:t>
                            </w:r>
                            <w:r>
                              <w:rPr>
                                <w:sz w:val="20"/>
                              </w:rPr>
                              <w:t>Award</w:t>
                            </w:r>
                            <w:r>
                              <w:rPr>
                                <w:spacing w:val="-8"/>
                                <w:sz w:val="20"/>
                              </w:rPr>
                              <w:t> </w:t>
                            </w:r>
                            <w:r>
                              <w:rPr>
                                <w:sz w:val="20"/>
                              </w:rPr>
                              <w:t>Grant</w:t>
                            </w:r>
                            <w:r>
                              <w:rPr>
                                <w:spacing w:val="-9"/>
                                <w:sz w:val="20"/>
                              </w:rPr>
                              <w:t> </w:t>
                            </w:r>
                            <w:r>
                              <w:rPr>
                                <w:sz w:val="20"/>
                              </w:rPr>
                              <w:t>Notice and Award Agreement pursuant to the 2003 Equity Incentive Plan (applicable to the 2016 Performance Share Program)*</w:t>
                            </w:r>
                          </w:p>
                        </w:tc>
                        <w:tc>
                          <w:tcPr>
                            <w:tcW w:w="683" w:type="dxa"/>
                            <w:tcBorders>
                              <w:top w:val="single" w:sz="8" w:space="0" w:color="000000"/>
                            </w:tcBorders>
                          </w:tcPr>
                          <w:p>
                            <w:pPr>
                              <w:pStyle w:val="TableParagraph"/>
                              <w:spacing w:before="21"/>
                              <w:rPr>
                                <w:b/>
                                <w:sz w:val="20"/>
                              </w:rPr>
                            </w:pPr>
                          </w:p>
                          <w:p>
                            <w:pPr>
                              <w:pStyle w:val="TableParagraph"/>
                              <w:spacing w:before="1"/>
                              <w:ind w:right="22"/>
                              <w:jc w:val="center"/>
                              <w:rPr>
                                <w:sz w:val="20"/>
                              </w:rPr>
                            </w:pPr>
                            <w:r>
                              <w:rPr>
                                <w:spacing w:val="-2"/>
                                <w:sz w:val="20"/>
                              </w:rPr>
                              <w:t>8-</w:t>
                            </w:r>
                            <w:r>
                              <w:rPr>
                                <w:spacing w:val="-10"/>
                                <w:sz w:val="20"/>
                              </w:rPr>
                              <w:t>K</w:t>
                            </w:r>
                          </w:p>
                        </w:tc>
                        <w:tc>
                          <w:tcPr>
                            <w:tcW w:w="1078" w:type="dxa"/>
                            <w:tcBorders>
                              <w:top w:val="single" w:sz="8" w:space="0" w:color="000000"/>
                            </w:tcBorders>
                          </w:tcPr>
                          <w:p>
                            <w:pPr>
                              <w:pStyle w:val="TableParagraph"/>
                              <w:spacing w:before="21"/>
                              <w:rPr>
                                <w:b/>
                                <w:sz w:val="20"/>
                              </w:rPr>
                            </w:pPr>
                          </w:p>
                          <w:p>
                            <w:pPr>
                              <w:pStyle w:val="TableParagraph"/>
                              <w:spacing w:before="1"/>
                              <w:ind w:right="109"/>
                              <w:jc w:val="right"/>
                              <w:rPr>
                                <w:sz w:val="20"/>
                              </w:rPr>
                            </w:pPr>
                            <w:r>
                              <w:rPr>
                                <w:spacing w:val="-2"/>
                                <w:sz w:val="20"/>
                              </w:rPr>
                              <w:t>1/29/16</w:t>
                            </w:r>
                          </w:p>
                        </w:tc>
                        <w:tc>
                          <w:tcPr>
                            <w:tcW w:w="786" w:type="dxa"/>
                            <w:tcBorders>
                              <w:top w:val="single" w:sz="8" w:space="0" w:color="000000"/>
                            </w:tcBorders>
                          </w:tcPr>
                          <w:p>
                            <w:pPr>
                              <w:pStyle w:val="TableParagraph"/>
                              <w:spacing w:before="21"/>
                              <w:rPr>
                                <w:b/>
                                <w:sz w:val="20"/>
                              </w:rPr>
                            </w:pPr>
                          </w:p>
                          <w:p>
                            <w:pPr>
                              <w:pStyle w:val="TableParagraph"/>
                              <w:spacing w:before="1"/>
                              <w:ind w:right="104"/>
                              <w:jc w:val="right"/>
                              <w:rPr>
                                <w:sz w:val="20"/>
                              </w:rPr>
                            </w:pPr>
                            <w:r>
                              <w:rPr>
                                <w:spacing w:val="-4"/>
                                <w:sz w:val="20"/>
                              </w:rPr>
                              <w:t>10.3</w:t>
                            </w:r>
                          </w:p>
                        </w:tc>
                        <w:tc>
                          <w:tcPr>
                            <w:tcW w:w="1184" w:type="dxa"/>
                            <w:tcBorders>
                              <w:top w:val="single" w:sz="8" w:space="0" w:color="000000"/>
                            </w:tcBorders>
                          </w:tcPr>
                          <w:p>
                            <w:pPr>
                              <w:pStyle w:val="TableParagraph"/>
                              <w:spacing w:before="21"/>
                              <w:rPr>
                                <w:b/>
                                <w:sz w:val="20"/>
                              </w:rPr>
                            </w:pPr>
                          </w:p>
                          <w:p>
                            <w:pPr>
                              <w:pStyle w:val="TableParagraph"/>
                              <w:spacing w:before="1"/>
                              <w:ind w:right="99"/>
                              <w:jc w:val="right"/>
                              <w:rPr>
                                <w:sz w:val="20"/>
                              </w:rPr>
                            </w:pPr>
                            <w:r>
                              <w:rPr>
                                <w:sz w:val="20"/>
                              </w:rPr>
                              <w:t>000-</w:t>
                            </w:r>
                            <w:r>
                              <w:rPr>
                                <w:spacing w:val="-2"/>
                                <w:sz w:val="20"/>
                              </w:rPr>
                              <w:t>15175</w:t>
                            </w:r>
                          </w:p>
                        </w:tc>
                        <w:tc>
                          <w:tcPr>
                            <w:tcW w:w="809" w:type="dxa"/>
                            <w:tcBorders>
                              <w:top w:val="single" w:sz="8" w:space="0" w:color="000000"/>
                            </w:tcBorders>
                          </w:tcPr>
                          <w:p>
                            <w:pPr>
                              <w:pStyle w:val="TableParagraph"/>
                              <w:rPr>
                                <w:sz w:val="18"/>
                              </w:rPr>
                            </w:pPr>
                          </w:p>
                        </w:tc>
                      </w:tr>
                      <w:tr>
                        <w:trPr>
                          <w:trHeight w:val="970" w:hRule="atLeast"/>
                        </w:trPr>
                        <w:tc>
                          <w:tcPr>
                            <w:tcW w:w="868" w:type="dxa"/>
                          </w:tcPr>
                          <w:p>
                            <w:pPr>
                              <w:pStyle w:val="TableParagraph"/>
                              <w:spacing w:before="140"/>
                              <w:ind w:right="103"/>
                              <w:jc w:val="right"/>
                              <w:rPr>
                                <w:sz w:val="20"/>
                              </w:rPr>
                            </w:pPr>
                            <w:r>
                              <w:rPr>
                                <w:spacing w:val="-2"/>
                                <w:sz w:val="20"/>
                              </w:rPr>
                              <w:t>10.3M</w:t>
                            </w:r>
                          </w:p>
                        </w:tc>
                        <w:tc>
                          <w:tcPr>
                            <w:tcW w:w="4785" w:type="dxa"/>
                          </w:tcPr>
                          <w:p>
                            <w:pPr>
                              <w:pStyle w:val="TableParagraph"/>
                              <w:spacing w:line="208" w:lineRule="auto" w:before="165"/>
                              <w:ind w:left="95" w:right="516"/>
                              <w:jc w:val="both"/>
                              <w:rPr>
                                <w:sz w:val="20"/>
                              </w:rPr>
                            </w:pPr>
                            <w:r>
                              <w:rPr>
                                <w:sz w:val="20"/>
                              </w:rPr>
                              <w:t>Form</w:t>
                            </w:r>
                            <w:r>
                              <w:rPr>
                                <w:spacing w:val="-6"/>
                                <w:sz w:val="20"/>
                              </w:rPr>
                              <w:t> </w:t>
                            </w:r>
                            <w:r>
                              <w:rPr>
                                <w:sz w:val="20"/>
                              </w:rPr>
                              <w:t>of</w:t>
                            </w:r>
                            <w:r>
                              <w:rPr>
                                <w:spacing w:val="-6"/>
                                <w:sz w:val="20"/>
                              </w:rPr>
                              <w:t> </w:t>
                            </w:r>
                            <w:r>
                              <w:rPr>
                                <w:sz w:val="20"/>
                              </w:rPr>
                              <w:t>Director</w:t>
                            </w:r>
                            <w:r>
                              <w:rPr>
                                <w:spacing w:val="-6"/>
                                <w:sz w:val="20"/>
                              </w:rPr>
                              <w:t> </w:t>
                            </w:r>
                            <w:r>
                              <w:rPr>
                                <w:sz w:val="20"/>
                              </w:rPr>
                              <w:t>Initial</w:t>
                            </w:r>
                            <w:r>
                              <w:rPr>
                                <w:spacing w:val="-6"/>
                                <w:sz w:val="20"/>
                              </w:rPr>
                              <w:t> </w:t>
                            </w:r>
                            <w:r>
                              <w:rPr>
                                <w:sz w:val="20"/>
                              </w:rPr>
                              <w:t>Grant</w:t>
                            </w:r>
                            <w:r>
                              <w:rPr>
                                <w:spacing w:val="-6"/>
                                <w:sz w:val="20"/>
                              </w:rPr>
                              <w:t> </w:t>
                            </w:r>
                            <w:r>
                              <w:rPr>
                                <w:sz w:val="20"/>
                              </w:rPr>
                              <w:t>Restricted</w:t>
                            </w:r>
                            <w:r>
                              <w:rPr>
                                <w:spacing w:val="-6"/>
                                <w:sz w:val="20"/>
                              </w:rPr>
                              <w:t> </w:t>
                            </w:r>
                            <w:r>
                              <w:rPr>
                                <w:sz w:val="20"/>
                              </w:rPr>
                              <w:t>Stock</w:t>
                            </w:r>
                            <w:r>
                              <w:rPr>
                                <w:spacing w:val="-6"/>
                                <w:sz w:val="20"/>
                              </w:rPr>
                              <w:t> </w:t>
                            </w:r>
                            <w:r>
                              <w:rPr>
                                <w:sz w:val="20"/>
                              </w:rPr>
                              <w:t>Unit Award</w:t>
                            </w:r>
                            <w:r>
                              <w:rPr>
                                <w:spacing w:val="-13"/>
                                <w:sz w:val="20"/>
                              </w:rPr>
                              <w:t> </w:t>
                            </w:r>
                            <w:r>
                              <w:rPr>
                                <w:sz w:val="20"/>
                              </w:rPr>
                              <w:t>Agreement</w:t>
                            </w:r>
                            <w:r>
                              <w:rPr>
                                <w:spacing w:val="-8"/>
                                <w:sz w:val="20"/>
                              </w:rPr>
                              <w:t> </w:t>
                            </w:r>
                            <w:r>
                              <w:rPr>
                                <w:sz w:val="20"/>
                              </w:rPr>
                              <w:t>used</w:t>
                            </w:r>
                            <w:r>
                              <w:rPr>
                                <w:spacing w:val="-6"/>
                                <w:sz w:val="20"/>
                              </w:rPr>
                              <w:t> </w:t>
                            </w:r>
                            <w:r>
                              <w:rPr>
                                <w:sz w:val="20"/>
                              </w:rPr>
                              <w:t>in</w:t>
                            </w:r>
                            <w:r>
                              <w:rPr>
                                <w:spacing w:val="-6"/>
                                <w:sz w:val="20"/>
                              </w:rPr>
                              <w:t> </w:t>
                            </w:r>
                            <w:r>
                              <w:rPr>
                                <w:sz w:val="20"/>
                              </w:rPr>
                              <w:t>connection</w:t>
                            </w:r>
                            <w:r>
                              <w:rPr>
                                <w:spacing w:val="-6"/>
                                <w:sz w:val="20"/>
                              </w:rPr>
                              <w:t> </w:t>
                            </w:r>
                            <w:r>
                              <w:rPr>
                                <w:sz w:val="20"/>
                              </w:rPr>
                              <w:t>with</w:t>
                            </w:r>
                            <w:r>
                              <w:rPr>
                                <w:spacing w:val="-6"/>
                                <w:sz w:val="20"/>
                              </w:rPr>
                              <w:t> </w:t>
                            </w:r>
                            <w:r>
                              <w:rPr>
                                <w:sz w:val="20"/>
                              </w:rPr>
                              <w:t>the</w:t>
                            </w:r>
                            <w:r>
                              <w:rPr>
                                <w:spacing w:val="-6"/>
                                <w:sz w:val="20"/>
                              </w:rPr>
                              <w:t> </w:t>
                            </w:r>
                            <w:r>
                              <w:rPr>
                                <w:sz w:val="20"/>
                              </w:rPr>
                              <w:t>2003 Equity Incentive Plan*</w:t>
                            </w:r>
                          </w:p>
                        </w:tc>
                        <w:tc>
                          <w:tcPr>
                            <w:tcW w:w="683" w:type="dxa"/>
                          </w:tcPr>
                          <w:p>
                            <w:pPr>
                              <w:pStyle w:val="TableParagraph"/>
                              <w:spacing w:before="140"/>
                              <w:ind w:right="22"/>
                              <w:jc w:val="center"/>
                              <w:rPr>
                                <w:sz w:val="20"/>
                              </w:rPr>
                            </w:pPr>
                            <w:r>
                              <w:rPr>
                                <w:spacing w:val="-2"/>
                                <w:sz w:val="20"/>
                              </w:rPr>
                              <w:t>8-</w:t>
                            </w:r>
                            <w:r>
                              <w:rPr>
                                <w:spacing w:val="-10"/>
                                <w:sz w:val="20"/>
                              </w:rPr>
                              <w:t>K</w:t>
                            </w:r>
                          </w:p>
                        </w:tc>
                        <w:tc>
                          <w:tcPr>
                            <w:tcW w:w="1078" w:type="dxa"/>
                          </w:tcPr>
                          <w:p>
                            <w:pPr>
                              <w:pStyle w:val="TableParagraph"/>
                              <w:spacing w:before="140"/>
                              <w:ind w:right="109"/>
                              <w:jc w:val="right"/>
                              <w:rPr>
                                <w:sz w:val="20"/>
                              </w:rPr>
                            </w:pPr>
                            <w:r>
                              <w:rPr>
                                <w:spacing w:val="-2"/>
                                <w:sz w:val="20"/>
                              </w:rPr>
                              <w:t>12/20/10</w:t>
                            </w:r>
                          </w:p>
                        </w:tc>
                        <w:tc>
                          <w:tcPr>
                            <w:tcW w:w="786" w:type="dxa"/>
                          </w:tcPr>
                          <w:p>
                            <w:pPr>
                              <w:pStyle w:val="TableParagraph"/>
                              <w:spacing w:before="140"/>
                              <w:ind w:right="104"/>
                              <w:jc w:val="right"/>
                              <w:rPr>
                                <w:sz w:val="20"/>
                              </w:rPr>
                            </w:pPr>
                            <w:r>
                              <w:rPr>
                                <w:spacing w:val="-4"/>
                                <w:sz w:val="20"/>
                              </w:rPr>
                              <w:t>99.6</w:t>
                            </w:r>
                          </w:p>
                        </w:tc>
                        <w:tc>
                          <w:tcPr>
                            <w:tcW w:w="1184" w:type="dxa"/>
                          </w:tcPr>
                          <w:p>
                            <w:pPr>
                              <w:pStyle w:val="TableParagraph"/>
                              <w:spacing w:before="14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990" w:hRule="atLeast"/>
                        </w:trPr>
                        <w:tc>
                          <w:tcPr>
                            <w:tcW w:w="868" w:type="dxa"/>
                          </w:tcPr>
                          <w:p>
                            <w:pPr>
                              <w:pStyle w:val="TableParagraph"/>
                              <w:spacing w:before="190"/>
                              <w:ind w:right="103"/>
                              <w:jc w:val="right"/>
                              <w:rPr>
                                <w:sz w:val="20"/>
                              </w:rPr>
                            </w:pPr>
                            <w:r>
                              <w:rPr>
                                <w:spacing w:val="-2"/>
                                <w:sz w:val="20"/>
                              </w:rPr>
                              <w:t>10.3N</w:t>
                            </w:r>
                          </w:p>
                        </w:tc>
                        <w:tc>
                          <w:tcPr>
                            <w:tcW w:w="4785" w:type="dxa"/>
                          </w:tcPr>
                          <w:p>
                            <w:pPr>
                              <w:pStyle w:val="TableParagraph"/>
                              <w:spacing w:line="208" w:lineRule="auto" w:before="215"/>
                              <w:ind w:left="95" w:right="147"/>
                              <w:rPr>
                                <w:sz w:val="20"/>
                              </w:rPr>
                            </w:pPr>
                            <w:r>
                              <w:rPr>
                                <w:sz w:val="20"/>
                              </w:rPr>
                              <w:t>Form</w:t>
                            </w:r>
                            <w:r>
                              <w:rPr>
                                <w:spacing w:val="-10"/>
                                <w:sz w:val="20"/>
                              </w:rPr>
                              <w:t> </w:t>
                            </w:r>
                            <w:r>
                              <w:rPr>
                                <w:sz w:val="20"/>
                              </w:rPr>
                              <w:t>of</w:t>
                            </w:r>
                            <w:r>
                              <w:rPr>
                                <w:spacing w:val="-6"/>
                                <w:sz w:val="20"/>
                              </w:rPr>
                              <w:t> </w:t>
                            </w:r>
                            <w:r>
                              <w:rPr>
                                <w:sz w:val="20"/>
                              </w:rPr>
                              <w:t>Director</w:t>
                            </w:r>
                            <w:r>
                              <w:rPr>
                                <w:spacing w:val="-13"/>
                                <w:sz w:val="20"/>
                              </w:rPr>
                              <w:t> </w:t>
                            </w:r>
                            <w:r>
                              <w:rPr>
                                <w:sz w:val="20"/>
                              </w:rPr>
                              <w:t>Annual</w:t>
                            </w:r>
                            <w:r>
                              <w:rPr>
                                <w:spacing w:val="-5"/>
                                <w:sz w:val="20"/>
                              </w:rPr>
                              <w:t> </w:t>
                            </w:r>
                            <w:r>
                              <w:rPr>
                                <w:sz w:val="20"/>
                              </w:rPr>
                              <w:t>Grant</w:t>
                            </w:r>
                            <w:r>
                              <w:rPr>
                                <w:spacing w:val="-6"/>
                                <w:sz w:val="20"/>
                              </w:rPr>
                              <w:t> </w:t>
                            </w:r>
                            <w:r>
                              <w:rPr>
                                <w:sz w:val="20"/>
                              </w:rPr>
                              <w:t>Restricted</w:t>
                            </w:r>
                            <w:r>
                              <w:rPr>
                                <w:spacing w:val="-6"/>
                                <w:sz w:val="20"/>
                              </w:rPr>
                              <w:t> </w:t>
                            </w:r>
                            <w:r>
                              <w:rPr>
                                <w:sz w:val="20"/>
                              </w:rPr>
                              <w:t>Stock</w:t>
                            </w:r>
                            <w:r>
                              <w:rPr>
                                <w:spacing w:val="-6"/>
                                <w:sz w:val="20"/>
                              </w:rPr>
                              <w:t> </w:t>
                            </w:r>
                            <w:r>
                              <w:rPr>
                                <w:sz w:val="20"/>
                              </w:rPr>
                              <w:t>Unit Award</w:t>
                            </w:r>
                            <w:r>
                              <w:rPr>
                                <w:spacing w:val="-4"/>
                                <w:sz w:val="20"/>
                              </w:rPr>
                              <w:t> </w:t>
                            </w:r>
                            <w:r>
                              <w:rPr>
                                <w:sz w:val="20"/>
                              </w:rPr>
                              <w:t>Agreement used in connection with the 2003 Equity Incentive Plan*</w:t>
                            </w:r>
                          </w:p>
                        </w:tc>
                        <w:tc>
                          <w:tcPr>
                            <w:tcW w:w="683" w:type="dxa"/>
                          </w:tcPr>
                          <w:p>
                            <w:pPr>
                              <w:pStyle w:val="TableParagraph"/>
                              <w:spacing w:before="190"/>
                              <w:ind w:right="22"/>
                              <w:jc w:val="center"/>
                              <w:rPr>
                                <w:sz w:val="20"/>
                              </w:rPr>
                            </w:pPr>
                            <w:r>
                              <w:rPr>
                                <w:spacing w:val="-2"/>
                                <w:sz w:val="20"/>
                              </w:rPr>
                              <w:t>8-</w:t>
                            </w:r>
                            <w:r>
                              <w:rPr>
                                <w:spacing w:val="-10"/>
                                <w:sz w:val="20"/>
                              </w:rPr>
                              <w:t>K</w:t>
                            </w:r>
                          </w:p>
                        </w:tc>
                        <w:tc>
                          <w:tcPr>
                            <w:tcW w:w="1078" w:type="dxa"/>
                          </w:tcPr>
                          <w:p>
                            <w:pPr>
                              <w:pStyle w:val="TableParagraph"/>
                              <w:spacing w:before="190"/>
                              <w:ind w:right="109"/>
                              <w:jc w:val="right"/>
                              <w:rPr>
                                <w:sz w:val="20"/>
                              </w:rPr>
                            </w:pPr>
                            <w:r>
                              <w:rPr>
                                <w:spacing w:val="-2"/>
                                <w:sz w:val="20"/>
                              </w:rPr>
                              <w:t>12/20/10</w:t>
                            </w:r>
                          </w:p>
                        </w:tc>
                        <w:tc>
                          <w:tcPr>
                            <w:tcW w:w="786" w:type="dxa"/>
                          </w:tcPr>
                          <w:p>
                            <w:pPr>
                              <w:pStyle w:val="TableParagraph"/>
                              <w:spacing w:before="190"/>
                              <w:ind w:right="104"/>
                              <w:jc w:val="right"/>
                              <w:rPr>
                                <w:sz w:val="20"/>
                              </w:rPr>
                            </w:pPr>
                            <w:r>
                              <w:rPr>
                                <w:spacing w:val="-4"/>
                                <w:sz w:val="20"/>
                              </w:rPr>
                              <w:t>99.7</w:t>
                            </w:r>
                          </w:p>
                        </w:tc>
                        <w:tc>
                          <w:tcPr>
                            <w:tcW w:w="1184" w:type="dxa"/>
                          </w:tcPr>
                          <w:p>
                            <w:pPr>
                              <w:pStyle w:val="TableParagraph"/>
                              <w:spacing w:before="19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740" w:hRule="atLeast"/>
                        </w:trPr>
                        <w:tc>
                          <w:tcPr>
                            <w:tcW w:w="868" w:type="dxa"/>
                          </w:tcPr>
                          <w:p>
                            <w:pPr>
                              <w:pStyle w:val="TableParagraph"/>
                              <w:spacing w:before="160"/>
                              <w:ind w:right="103"/>
                              <w:jc w:val="right"/>
                              <w:rPr>
                                <w:sz w:val="20"/>
                              </w:rPr>
                            </w:pPr>
                            <w:r>
                              <w:rPr>
                                <w:spacing w:val="-2"/>
                                <w:sz w:val="20"/>
                              </w:rPr>
                              <w:t>10.3O</w:t>
                            </w:r>
                          </w:p>
                        </w:tc>
                        <w:tc>
                          <w:tcPr>
                            <w:tcW w:w="4785" w:type="dxa"/>
                          </w:tcPr>
                          <w:p>
                            <w:pPr>
                              <w:pStyle w:val="TableParagraph"/>
                              <w:spacing w:line="208" w:lineRule="auto" w:before="185"/>
                              <w:ind w:left="95" w:right="147"/>
                              <w:rPr>
                                <w:sz w:val="20"/>
                              </w:rPr>
                            </w:pPr>
                            <w:r>
                              <w:rPr>
                                <w:sz w:val="20"/>
                              </w:rPr>
                              <w:t>Form</w:t>
                            </w:r>
                            <w:r>
                              <w:rPr>
                                <w:spacing w:val="-13"/>
                                <w:sz w:val="20"/>
                              </w:rPr>
                              <w:t> </w:t>
                            </w:r>
                            <w:r>
                              <w:rPr>
                                <w:sz w:val="20"/>
                              </w:rPr>
                              <w:t>of</w:t>
                            </w:r>
                            <w:r>
                              <w:rPr>
                                <w:spacing w:val="-6"/>
                                <w:sz w:val="20"/>
                              </w:rPr>
                              <w:t> </w:t>
                            </w:r>
                            <w:r>
                              <w:rPr>
                                <w:sz w:val="20"/>
                              </w:rPr>
                              <w:t>Director</w:t>
                            </w:r>
                            <w:r>
                              <w:rPr>
                                <w:spacing w:val="-13"/>
                                <w:sz w:val="20"/>
                              </w:rPr>
                              <w:t> </w:t>
                            </w:r>
                            <w:r>
                              <w:rPr>
                                <w:sz w:val="20"/>
                              </w:rPr>
                              <w:t>Annual</w:t>
                            </w:r>
                            <w:r>
                              <w:rPr>
                                <w:spacing w:val="-5"/>
                                <w:sz w:val="20"/>
                              </w:rPr>
                              <w:t> </w:t>
                            </w:r>
                            <w:r>
                              <w:rPr>
                                <w:sz w:val="20"/>
                              </w:rPr>
                              <w:t>Grant</w:t>
                            </w:r>
                            <w:r>
                              <w:rPr>
                                <w:spacing w:val="-6"/>
                                <w:sz w:val="20"/>
                              </w:rPr>
                              <w:t> </w:t>
                            </w:r>
                            <w:r>
                              <w:rPr>
                                <w:sz w:val="20"/>
                              </w:rPr>
                              <w:t>Stock</w:t>
                            </w:r>
                            <w:r>
                              <w:rPr>
                                <w:spacing w:val="-6"/>
                                <w:sz w:val="20"/>
                              </w:rPr>
                              <w:t> </w:t>
                            </w:r>
                            <w:r>
                              <w:rPr>
                                <w:sz w:val="20"/>
                              </w:rPr>
                              <w:t>Option</w:t>
                            </w:r>
                            <w:r>
                              <w:rPr>
                                <w:spacing w:val="-13"/>
                                <w:sz w:val="20"/>
                              </w:rPr>
                              <w:t> </w:t>
                            </w:r>
                            <w:r>
                              <w:rPr>
                                <w:sz w:val="20"/>
                              </w:rPr>
                              <w:t>Agreement used in connection with the 2003 Equity Incentive </w:t>
                            </w:r>
                            <w:r>
                              <w:rPr>
                                <w:spacing w:val="-2"/>
                                <w:sz w:val="20"/>
                              </w:rPr>
                              <w:t>Plan*</w:t>
                            </w:r>
                          </w:p>
                        </w:tc>
                        <w:tc>
                          <w:tcPr>
                            <w:tcW w:w="683" w:type="dxa"/>
                          </w:tcPr>
                          <w:p>
                            <w:pPr>
                              <w:pStyle w:val="TableParagraph"/>
                              <w:spacing w:before="160"/>
                              <w:ind w:right="22"/>
                              <w:jc w:val="center"/>
                              <w:rPr>
                                <w:sz w:val="20"/>
                              </w:rPr>
                            </w:pPr>
                            <w:r>
                              <w:rPr>
                                <w:spacing w:val="-2"/>
                                <w:sz w:val="20"/>
                              </w:rPr>
                              <w:t>8-</w:t>
                            </w:r>
                            <w:r>
                              <w:rPr>
                                <w:spacing w:val="-10"/>
                                <w:sz w:val="20"/>
                              </w:rPr>
                              <w:t>K</w:t>
                            </w:r>
                          </w:p>
                        </w:tc>
                        <w:tc>
                          <w:tcPr>
                            <w:tcW w:w="1078" w:type="dxa"/>
                          </w:tcPr>
                          <w:p>
                            <w:pPr>
                              <w:pStyle w:val="TableParagraph"/>
                              <w:spacing w:before="160"/>
                              <w:ind w:right="109"/>
                              <w:jc w:val="right"/>
                              <w:rPr>
                                <w:sz w:val="20"/>
                              </w:rPr>
                            </w:pPr>
                            <w:r>
                              <w:rPr>
                                <w:spacing w:val="-2"/>
                                <w:sz w:val="20"/>
                              </w:rPr>
                              <w:t>12/20/10</w:t>
                            </w:r>
                          </w:p>
                        </w:tc>
                        <w:tc>
                          <w:tcPr>
                            <w:tcW w:w="786" w:type="dxa"/>
                          </w:tcPr>
                          <w:p>
                            <w:pPr>
                              <w:pStyle w:val="TableParagraph"/>
                              <w:spacing w:before="160"/>
                              <w:ind w:right="104"/>
                              <w:jc w:val="right"/>
                              <w:rPr>
                                <w:sz w:val="20"/>
                              </w:rPr>
                            </w:pPr>
                            <w:r>
                              <w:rPr>
                                <w:spacing w:val="-4"/>
                                <w:sz w:val="20"/>
                              </w:rPr>
                              <w:t>99.8</w:t>
                            </w:r>
                          </w:p>
                        </w:tc>
                        <w:tc>
                          <w:tcPr>
                            <w:tcW w:w="1184" w:type="dxa"/>
                          </w:tcPr>
                          <w:p>
                            <w:pPr>
                              <w:pStyle w:val="TableParagraph"/>
                              <w:spacing w:before="16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720" w:hRule="atLeast"/>
                        </w:trPr>
                        <w:tc>
                          <w:tcPr>
                            <w:tcW w:w="868" w:type="dxa"/>
                          </w:tcPr>
                          <w:p>
                            <w:pPr>
                              <w:pStyle w:val="TableParagraph"/>
                              <w:spacing w:before="140"/>
                              <w:ind w:right="95"/>
                              <w:jc w:val="right"/>
                              <w:rPr>
                                <w:sz w:val="20"/>
                              </w:rPr>
                            </w:pPr>
                            <w:r>
                              <w:rPr>
                                <w:spacing w:val="-2"/>
                                <w:sz w:val="20"/>
                              </w:rPr>
                              <w:t>10.3P</w:t>
                            </w:r>
                          </w:p>
                        </w:tc>
                        <w:tc>
                          <w:tcPr>
                            <w:tcW w:w="4785" w:type="dxa"/>
                          </w:tcPr>
                          <w:p>
                            <w:pPr>
                              <w:pStyle w:val="TableParagraph"/>
                              <w:spacing w:line="208" w:lineRule="auto" w:before="165"/>
                              <w:ind w:left="95" w:right="147"/>
                              <w:rPr>
                                <w:sz w:val="20"/>
                              </w:rPr>
                            </w:pPr>
                            <w:r>
                              <w:rPr>
                                <w:sz w:val="20"/>
                              </w:rPr>
                              <w:t>2017</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2003 Equity Incentive Plan*</w:t>
                            </w:r>
                          </w:p>
                        </w:tc>
                        <w:tc>
                          <w:tcPr>
                            <w:tcW w:w="683" w:type="dxa"/>
                          </w:tcPr>
                          <w:p>
                            <w:pPr>
                              <w:pStyle w:val="TableParagraph"/>
                              <w:spacing w:before="140"/>
                              <w:ind w:right="22"/>
                              <w:jc w:val="center"/>
                              <w:rPr>
                                <w:sz w:val="20"/>
                              </w:rPr>
                            </w:pPr>
                            <w:r>
                              <w:rPr>
                                <w:spacing w:val="-2"/>
                                <w:sz w:val="20"/>
                              </w:rPr>
                              <w:t>8-</w:t>
                            </w:r>
                            <w:r>
                              <w:rPr>
                                <w:spacing w:val="-10"/>
                                <w:sz w:val="20"/>
                              </w:rPr>
                              <w:t>K</w:t>
                            </w:r>
                          </w:p>
                        </w:tc>
                        <w:tc>
                          <w:tcPr>
                            <w:tcW w:w="1078" w:type="dxa"/>
                          </w:tcPr>
                          <w:p>
                            <w:pPr>
                              <w:pStyle w:val="TableParagraph"/>
                              <w:spacing w:before="140"/>
                              <w:ind w:right="109"/>
                              <w:jc w:val="right"/>
                              <w:rPr>
                                <w:sz w:val="20"/>
                              </w:rPr>
                            </w:pPr>
                            <w:r>
                              <w:rPr>
                                <w:spacing w:val="-2"/>
                                <w:sz w:val="20"/>
                              </w:rPr>
                              <w:t>1/27/17</w:t>
                            </w:r>
                          </w:p>
                        </w:tc>
                        <w:tc>
                          <w:tcPr>
                            <w:tcW w:w="786" w:type="dxa"/>
                          </w:tcPr>
                          <w:p>
                            <w:pPr>
                              <w:pStyle w:val="TableParagraph"/>
                              <w:spacing w:before="140"/>
                              <w:ind w:right="104"/>
                              <w:jc w:val="right"/>
                              <w:rPr>
                                <w:sz w:val="20"/>
                              </w:rPr>
                            </w:pPr>
                            <w:r>
                              <w:rPr>
                                <w:spacing w:val="-4"/>
                                <w:sz w:val="20"/>
                              </w:rPr>
                              <w:t>10.2</w:t>
                            </w:r>
                          </w:p>
                        </w:tc>
                        <w:tc>
                          <w:tcPr>
                            <w:tcW w:w="1184" w:type="dxa"/>
                          </w:tcPr>
                          <w:p>
                            <w:pPr>
                              <w:pStyle w:val="TableParagraph"/>
                              <w:spacing w:before="14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919" w:hRule="atLeast"/>
                        </w:trPr>
                        <w:tc>
                          <w:tcPr>
                            <w:tcW w:w="868" w:type="dxa"/>
                          </w:tcPr>
                          <w:p>
                            <w:pPr>
                              <w:pStyle w:val="TableParagraph"/>
                              <w:spacing w:before="140"/>
                              <w:ind w:right="103"/>
                              <w:jc w:val="right"/>
                              <w:rPr>
                                <w:sz w:val="20"/>
                              </w:rPr>
                            </w:pPr>
                            <w:r>
                              <w:rPr>
                                <w:spacing w:val="-2"/>
                                <w:sz w:val="20"/>
                              </w:rPr>
                              <w:t>10.3Q</w:t>
                            </w:r>
                          </w:p>
                        </w:tc>
                        <w:tc>
                          <w:tcPr>
                            <w:tcW w:w="4785" w:type="dxa"/>
                          </w:tcPr>
                          <w:p>
                            <w:pPr>
                              <w:pStyle w:val="TableParagraph"/>
                              <w:spacing w:line="208" w:lineRule="auto" w:before="165"/>
                              <w:ind w:left="95" w:right="147"/>
                              <w:rPr>
                                <w:sz w:val="20"/>
                              </w:rPr>
                            </w:pPr>
                            <w:r>
                              <w:rPr>
                                <w:sz w:val="20"/>
                              </w:rPr>
                              <w:t>Form</w:t>
                            </w:r>
                            <w:r>
                              <w:rPr>
                                <w:spacing w:val="-13"/>
                                <w:sz w:val="20"/>
                              </w:rPr>
                              <w:t> </w:t>
                            </w:r>
                            <w:r>
                              <w:rPr>
                                <w:sz w:val="20"/>
                              </w:rPr>
                              <w:t>of</w:t>
                            </w:r>
                            <w:r>
                              <w:rPr>
                                <w:spacing w:val="-9"/>
                                <w:sz w:val="20"/>
                              </w:rPr>
                              <w:t> </w:t>
                            </w:r>
                            <w:r>
                              <w:rPr>
                                <w:sz w:val="20"/>
                              </w:rPr>
                              <w:t>2017</w:t>
                            </w:r>
                            <w:r>
                              <w:rPr>
                                <w:spacing w:val="-9"/>
                                <w:sz w:val="20"/>
                              </w:rPr>
                              <w:t> </w:t>
                            </w:r>
                            <w:r>
                              <w:rPr>
                                <w:sz w:val="20"/>
                              </w:rPr>
                              <w:t>Performance</w:t>
                            </w:r>
                            <w:r>
                              <w:rPr>
                                <w:spacing w:val="-9"/>
                                <w:sz w:val="20"/>
                              </w:rPr>
                              <w:t> </w:t>
                            </w:r>
                            <w:r>
                              <w:rPr>
                                <w:sz w:val="20"/>
                              </w:rPr>
                              <w:t>Share</w:t>
                            </w:r>
                            <w:r>
                              <w:rPr>
                                <w:spacing w:val="-13"/>
                                <w:sz w:val="20"/>
                              </w:rPr>
                              <w:t> </w:t>
                            </w:r>
                            <w:r>
                              <w:rPr>
                                <w:sz w:val="20"/>
                              </w:rPr>
                              <w:t>Award</w:t>
                            </w:r>
                            <w:r>
                              <w:rPr>
                                <w:spacing w:val="-8"/>
                                <w:sz w:val="20"/>
                              </w:rPr>
                              <w:t> </w:t>
                            </w:r>
                            <w:r>
                              <w:rPr>
                                <w:sz w:val="20"/>
                              </w:rPr>
                              <w:t>Grant</w:t>
                            </w:r>
                            <w:r>
                              <w:rPr>
                                <w:spacing w:val="-9"/>
                                <w:sz w:val="20"/>
                              </w:rPr>
                              <w:t> </w:t>
                            </w:r>
                            <w:r>
                              <w:rPr>
                                <w:sz w:val="20"/>
                              </w:rPr>
                              <w:t>Notice and</w:t>
                            </w:r>
                            <w:r>
                              <w:rPr>
                                <w:spacing w:val="-8"/>
                                <w:sz w:val="20"/>
                              </w:rPr>
                              <w:t> </w:t>
                            </w:r>
                            <w:r>
                              <w:rPr>
                                <w:sz w:val="20"/>
                              </w:rPr>
                              <w:t>Award</w:t>
                            </w:r>
                            <w:r>
                              <w:rPr>
                                <w:spacing w:val="-8"/>
                                <w:sz w:val="20"/>
                              </w:rPr>
                              <w:t> </w:t>
                            </w:r>
                            <w:r>
                              <w:rPr>
                                <w:sz w:val="20"/>
                              </w:rPr>
                              <w:t>Agreement pursuant to 2017 Performance Share Program and 2003 Equity Incentive Plan*</w:t>
                            </w:r>
                          </w:p>
                        </w:tc>
                        <w:tc>
                          <w:tcPr>
                            <w:tcW w:w="683" w:type="dxa"/>
                          </w:tcPr>
                          <w:p>
                            <w:pPr>
                              <w:pStyle w:val="TableParagraph"/>
                              <w:spacing w:before="140"/>
                              <w:ind w:right="22"/>
                              <w:jc w:val="center"/>
                              <w:rPr>
                                <w:sz w:val="20"/>
                              </w:rPr>
                            </w:pPr>
                            <w:r>
                              <w:rPr>
                                <w:spacing w:val="-2"/>
                                <w:sz w:val="20"/>
                              </w:rPr>
                              <w:t>8-</w:t>
                            </w:r>
                            <w:r>
                              <w:rPr>
                                <w:spacing w:val="-10"/>
                                <w:sz w:val="20"/>
                              </w:rPr>
                              <w:t>K</w:t>
                            </w:r>
                          </w:p>
                        </w:tc>
                        <w:tc>
                          <w:tcPr>
                            <w:tcW w:w="1078" w:type="dxa"/>
                          </w:tcPr>
                          <w:p>
                            <w:pPr>
                              <w:pStyle w:val="TableParagraph"/>
                              <w:spacing w:before="140"/>
                              <w:ind w:right="109"/>
                              <w:jc w:val="right"/>
                              <w:rPr>
                                <w:sz w:val="20"/>
                              </w:rPr>
                            </w:pPr>
                            <w:r>
                              <w:rPr>
                                <w:spacing w:val="-2"/>
                                <w:sz w:val="20"/>
                              </w:rPr>
                              <w:t>1/27/17</w:t>
                            </w:r>
                          </w:p>
                        </w:tc>
                        <w:tc>
                          <w:tcPr>
                            <w:tcW w:w="786" w:type="dxa"/>
                          </w:tcPr>
                          <w:p>
                            <w:pPr>
                              <w:pStyle w:val="TableParagraph"/>
                              <w:spacing w:before="140"/>
                              <w:ind w:right="104"/>
                              <w:jc w:val="right"/>
                              <w:rPr>
                                <w:sz w:val="20"/>
                              </w:rPr>
                            </w:pPr>
                            <w:r>
                              <w:rPr>
                                <w:spacing w:val="-4"/>
                                <w:sz w:val="20"/>
                              </w:rPr>
                              <w:t>10.3</w:t>
                            </w:r>
                          </w:p>
                        </w:tc>
                        <w:tc>
                          <w:tcPr>
                            <w:tcW w:w="1184" w:type="dxa"/>
                          </w:tcPr>
                          <w:p>
                            <w:pPr>
                              <w:pStyle w:val="TableParagraph"/>
                              <w:spacing w:before="14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730" w:hRule="atLeast"/>
                        </w:trPr>
                        <w:tc>
                          <w:tcPr>
                            <w:tcW w:w="868" w:type="dxa"/>
                          </w:tcPr>
                          <w:p>
                            <w:pPr>
                              <w:pStyle w:val="TableParagraph"/>
                              <w:spacing w:before="141"/>
                              <w:ind w:right="92"/>
                              <w:jc w:val="right"/>
                              <w:rPr>
                                <w:sz w:val="20"/>
                              </w:rPr>
                            </w:pPr>
                            <w:r>
                              <w:rPr>
                                <w:spacing w:val="-2"/>
                                <w:sz w:val="20"/>
                              </w:rPr>
                              <w:t>10.4A</w:t>
                            </w:r>
                          </w:p>
                        </w:tc>
                        <w:tc>
                          <w:tcPr>
                            <w:tcW w:w="4785" w:type="dxa"/>
                          </w:tcPr>
                          <w:p>
                            <w:pPr>
                              <w:pStyle w:val="TableParagraph"/>
                              <w:spacing w:line="208" w:lineRule="auto" w:before="165"/>
                              <w:ind w:left="95" w:right="51"/>
                              <w:rPr>
                                <w:sz w:val="20"/>
                              </w:rPr>
                            </w:pPr>
                            <w:r>
                              <w:rPr>
                                <w:sz w:val="20"/>
                              </w:rPr>
                              <w:t>2005</w:t>
                            </w:r>
                            <w:r>
                              <w:rPr>
                                <w:spacing w:val="-9"/>
                                <w:sz w:val="20"/>
                              </w:rPr>
                              <w:t> </w:t>
                            </w:r>
                            <w:r>
                              <w:rPr>
                                <w:sz w:val="20"/>
                              </w:rPr>
                              <w:t>Equity</w:t>
                            </w:r>
                            <w:r>
                              <w:rPr>
                                <w:spacing w:val="-6"/>
                                <w:sz w:val="20"/>
                              </w:rPr>
                              <w:t> </w:t>
                            </w:r>
                            <w:r>
                              <w:rPr>
                                <w:sz w:val="20"/>
                              </w:rPr>
                              <w:t>Incentive</w:t>
                            </w:r>
                            <w:r>
                              <w:rPr>
                                <w:spacing w:val="-13"/>
                                <w:sz w:val="20"/>
                              </w:rPr>
                              <w:t> </w:t>
                            </w:r>
                            <w:r>
                              <w:rPr>
                                <w:sz w:val="20"/>
                              </w:rPr>
                              <w:t>Assumption</w:t>
                            </w:r>
                            <w:r>
                              <w:rPr>
                                <w:spacing w:val="-5"/>
                                <w:sz w:val="20"/>
                              </w:rPr>
                              <w:t> </w:t>
                            </w:r>
                            <w:r>
                              <w:rPr>
                                <w:sz w:val="20"/>
                              </w:rPr>
                              <w:t>Plan,</w:t>
                            </w:r>
                            <w:r>
                              <w:rPr>
                                <w:spacing w:val="-6"/>
                                <w:sz w:val="20"/>
                              </w:rPr>
                              <w:t> </w:t>
                            </w:r>
                            <w:r>
                              <w:rPr>
                                <w:sz w:val="20"/>
                              </w:rPr>
                              <w:t>as</w:t>
                            </w:r>
                            <w:r>
                              <w:rPr>
                                <w:spacing w:val="-7"/>
                                <w:sz w:val="20"/>
                              </w:rPr>
                              <w:t> </w:t>
                            </w:r>
                            <w:r>
                              <w:rPr>
                                <w:sz w:val="20"/>
                              </w:rPr>
                              <w:t>amended</w:t>
                            </w:r>
                            <w:r>
                              <w:rPr>
                                <w:spacing w:val="-6"/>
                                <w:sz w:val="20"/>
                              </w:rPr>
                              <w:t> </w:t>
                            </w:r>
                            <w:r>
                              <w:rPr>
                                <w:sz w:val="20"/>
                              </w:rPr>
                              <w:t>and </w:t>
                            </w:r>
                            <w:r>
                              <w:rPr>
                                <w:spacing w:val="-2"/>
                                <w:sz w:val="20"/>
                              </w:rPr>
                              <w:t>restated*</w:t>
                            </w:r>
                          </w:p>
                        </w:tc>
                        <w:tc>
                          <w:tcPr>
                            <w:tcW w:w="683" w:type="dxa"/>
                          </w:tcPr>
                          <w:p>
                            <w:pPr>
                              <w:pStyle w:val="TableParagraph"/>
                              <w:spacing w:before="141"/>
                              <w:ind w:right="22"/>
                              <w:jc w:val="center"/>
                              <w:rPr>
                                <w:sz w:val="20"/>
                              </w:rPr>
                            </w:pPr>
                            <w:r>
                              <w:rPr>
                                <w:spacing w:val="-2"/>
                                <w:sz w:val="20"/>
                              </w:rPr>
                              <w:t>10-</w:t>
                            </w:r>
                            <w:r>
                              <w:rPr>
                                <w:spacing w:val="-10"/>
                                <w:sz w:val="20"/>
                              </w:rPr>
                              <w:t>Q</w:t>
                            </w:r>
                          </w:p>
                        </w:tc>
                        <w:tc>
                          <w:tcPr>
                            <w:tcW w:w="1078" w:type="dxa"/>
                          </w:tcPr>
                          <w:p>
                            <w:pPr>
                              <w:pStyle w:val="TableParagraph"/>
                              <w:spacing w:before="141"/>
                              <w:ind w:right="109"/>
                              <w:jc w:val="right"/>
                              <w:rPr>
                                <w:sz w:val="20"/>
                              </w:rPr>
                            </w:pPr>
                            <w:r>
                              <w:rPr>
                                <w:spacing w:val="-2"/>
                                <w:sz w:val="20"/>
                              </w:rPr>
                              <w:t>6/28/13</w:t>
                            </w:r>
                          </w:p>
                        </w:tc>
                        <w:tc>
                          <w:tcPr>
                            <w:tcW w:w="786" w:type="dxa"/>
                          </w:tcPr>
                          <w:p>
                            <w:pPr>
                              <w:pStyle w:val="TableParagraph"/>
                              <w:spacing w:before="141"/>
                              <w:ind w:right="104"/>
                              <w:jc w:val="right"/>
                              <w:rPr>
                                <w:sz w:val="20"/>
                              </w:rPr>
                            </w:pPr>
                            <w:r>
                              <w:rPr>
                                <w:spacing w:val="-2"/>
                                <w:sz w:val="20"/>
                              </w:rPr>
                              <w:t>10.17</w:t>
                            </w:r>
                          </w:p>
                        </w:tc>
                        <w:tc>
                          <w:tcPr>
                            <w:tcW w:w="1184" w:type="dxa"/>
                          </w:tcPr>
                          <w:p>
                            <w:pPr>
                              <w:pStyle w:val="TableParagraph"/>
                              <w:spacing w:before="141"/>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10.4B</w:t>
                            </w:r>
                          </w:p>
                        </w:tc>
                        <w:tc>
                          <w:tcPr>
                            <w:tcW w:w="4785" w:type="dxa"/>
                          </w:tcPr>
                          <w:p>
                            <w:pPr>
                              <w:pStyle w:val="TableParagraph"/>
                              <w:spacing w:line="208" w:lineRule="auto" w:before="175"/>
                              <w:ind w:left="95" w:right="156"/>
                              <w:rPr>
                                <w:sz w:val="20"/>
                              </w:rPr>
                            </w:pPr>
                            <w:r>
                              <w:rPr>
                                <w:sz w:val="20"/>
                              </w:rPr>
                              <w:t>Form</w:t>
                            </w:r>
                            <w:r>
                              <w:rPr>
                                <w:spacing w:val="-9"/>
                                <w:sz w:val="20"/>
                              </w:rPr>
                              <w:t> </w:t>
                            </w:r>
                            <w:r>
                              <w:rPr>
                                <w:sz w:val="20"/>
                              </w:rPr>
                              <w:t>of</w:t>
                            </w:r>
                            <w:r>
                              <w:rPr>
                                <w:spacing w:val="-6"/>
                                <w:sz w:val="20"/>
                              </w:rPr>
                              <w:t> </w:t>
                            </w:r>
                            <w:r>
                              <w:rPr>
                                <w:sz w:val="20"/>
                              </w:rPr>
                              <w:t>Stock</w:t>
                            </w:r>
                            <w:r>
                              <w:rPr>
                                <w:spacing w:val="-6"/>
                                <w:sz w:val="20"/>
                              </w:rPr>
                              <w:t> </w:t>
                            </w:r>
                            <w:r>
                              <w:rPr>
                                <w:sz w:val="20"/>
                              </w:rPr>
                              <w:t>Option</w:t>
                            </w:r>
                            <w:r>
                              <w:rPr>
                                <w:spacing w:val="-13"/>
                                <w:sz w:val="20"/>
                              </w:rPr>
                              <w:t> </w:t>
                            </w:r>
                            <w:r>
                              <w:rPr>
                                <w:sz w:val="20"/>
                              </w:rPr>
                              <w:t>Agreement</w:t>
                            </w:r>
                            <w:r>
                              <w:rPr>
                                <w:spacing w:val="-5"/>
                                <w:sz w:val="20"/>
                              </w:rPr>
                              <w:t> </w:t>
                            </w:r>
                            <w:r>
                              <w:rPr>
                                <w:sz w:val="20"/>
                              </w:rPr>
                              <w:t>used</w:t>
                            </w:r>
                            <w:r>
                              <w:rPr>
                                <w:spacing w:val="-6"/>
                                <w:sz w:val="20"/>
                              </w:rPr>
                              <w:t> </w:t>
                            </w:r>
                            <w:r>
                              <w:rPr>
                                <w:sz w:val="20"/>
                              </w:rPr>
                              <w:t>in</w:t>
                            </w:r>
                            <w:r>
                              <w:rPr>
                                <w:spacing w:val="-6"/>
                                <w:sz w:val="20"/>
                              </w:rPr>
                              <w:t> </w:t>
                            </w:r>
                            <w:r>
                              <w:rPr>
                                <w:sz w:val="20"/>
                              </w:rPr>
                              <w:t>connection with the 2005 Equity Incentive Assumption Plan*</w:t>
                            </w:r>
                          </w:p>
                        </w:tc>
                        <w:tc>
                          <w:tcPr>
                            <w:tcW w:w="683" w:type="dxa"/>
                          </w:tcPr>
                          <w:p>
                            <w:pPr>
                              <w:pStyle w:val="TableParagraph"/>
                              <w:spacing w:before="150"/>
                              <w:ind w:right="22"/>
                              <w:jc w:val="center"/>
                              <w:rPr>
                                <w:sz w:val="20"/>
                              </w:rPr>
                            </w:pPr>
                            <w:r>
                              <w:rPr>
                                <w:spacing w:val="-2"/>
                                <w:sz w:val="20"/>
                              </w:rPr>
                              <w:t>8-</w:t>
                            </w:r>
                            <w:r>
                              <w:rPr>
                                <w:spacing w:val="-10"/>
                                <w:sz w:val="20"/>
                              </w:rPr>
                              <w:t>K</w:t>
                            </w:r>
                          </w:p>
                        </w:tc>
                        <w:tc>
                          <w:tcPr>
                            <w:tcW w:w="1078" w:type="dxa"/>
                          </w:tcPr>
                          <w:p>
                            <w:pPr>
                              <w:pStyle w:val="TableParagraph"/>
                              <w:spacing w:before="150"/>
                              <w:ind w:right="109"/>
                              <w:jc w:val="right"/>
                              <w:rPr>
                                <w:sz w:val="20"/>
                              </w:rPr>
                            </w:pPr>
                            <w:r>
                              <w:rPr>
                                <w:spacing w:val="-2"/>
                                <w:sz w:val="20"/>
                              </w:rPr>
                              <w:t>12/20/10</w:t>
                            </w:r>
                          </w:p>
                        </w:tc>
                        <w:tc>
                          <w:tcPr>
                            <w:tcW w:w="786" w:type="dxa"/>
                          </w:tcPr>
                          <w:p>
                            <w:pPr>
                              <w:pStyle w:val="TableParagraph"/>
                              <w:spacing w:before="150"/>
                              <w:ind w:right="104"/>
                              <w:jc w:val="right"/>
                              <w:rPr>
                                <w:sz w:val="20"/>
                              </w:rPr>
                            </w:pPr>
                            <w:r>
                              <w:rPr>
                                <w:spacing w:val="-2"/>
                                <w:sz w:val="20"/>
                              </w:rPr>
                              <w:t>99.10</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740" w:hRule="atLeast"/>
                        </w:trPr>
                        <w:tc>
                          <w:tcPr>
                            <w:tcW w:w="868" w:type="dxa"/>
                          </w:tcPr>
                          <w:p>
                            <w:pPr>
                              <w:pStyle w:val="TableParagraph"/>
                              <w:spacing w:before="150"/>
                              <w:ind w:right="103"/>
                              <w:jc w:val="right"/>
                              <w:rPr>
                                <w:sz w:val="20"/>
                              </w:rPr>
                            </w:pPr>
                            <w:r>
                              <w:rPr>
                                <w:spacing w:val="-2"/>
                                <w:sz w:val="20"/>
                              </w:rPr>
                              <w:t>10.4C</w:t>
                            </w:r>
                          </w:p>
                        </w:tc>
                        <w:tc>
                          <w:tcPr>
                            <w:tcW w:w="4785" w:type="dxa"/>
                          </w:tcPr>
                          <w:p>
                            <w:pPr>
                              <w:pStyle w:val="TableParagraph"/>
                              <w:spacing w:line="208" w:lineRule="auto" w:before="175"/>
                              <w:ind w:left="95" w:right="147"/>
                              <w:rPr>
                                <w:sz w:val="20"/>
                              </w:rPr>
                            </w:pPr>
                            <w:r>
                              <w:rPr>
                                <w:sz w:val="20"/>
                              </w:rPr>
                              <w:t>Form of RSU Grant Notice and Award Agreement pursuant</w:t>
                            </w:r>
                            <w:r>
                              <w:rPr>
                                <w:spacing w:val="-10"/>
                                <w:sz w:val="20"/>
                              </w:rPr>
                              <w:t> </w:t>
                            </w:r>
                            <w:r>
                              <w:rPr>
                                <w:sz w:val="20"/>
                              </w:rPr>
                              <w:t>to</w:t>
                            </w:r>
                            <w:r>
                              <w:rPr>
                                <w:spacing w:val="-6"/>
                                <w:sz w:val="20"/>
                              </w:rPr>
                              <w:t> </w:t>
                            </w:r>
                            <w:r>
                              <w:rPr>
                                <w:sz w:val="20"/>
                              </w:rPr>
                              <w:t>the</w:t>
                            </w:r>
                            <w:r>
                              <w:rPr>
                                <w:spacing w:val="-6"/>
                                <w:sz w:val="20"/>
                              </w:rPr>
                              <w:t> </w:t>
                            </w:r>
                            <w:r>
                              <w:rPr>
                                <w:sz w:val="20"/>
                              </w:rPr>
                              <w:t>2005</w:t>
                            </w:r>
                            <w:r>
                              <w:rPr>
                                <w:spacing w:val="-6"/>
                                <w:sz w:val="20"/>
                              </w:rPr>
                              <w:t> </w:t>
                            </w:r>
                            <w:r>
                              <w:rPr>
                                <w:sz w:val="20"/>
                              </w:rPr>
                              <w:t>Equity</w:t>
                            </w:r>
                            <w:r>
                              <w:rPr>
                                <w:spacing w:val="-6"/>
                                <w:sz w:val="20"/>
                              </w:rPr>
                              <w:t> </w:t>
                            </w:r>
                            <w:r>
                              <w:rPr>
                                <w:sz w:val="20"/>
                              </w:rPr>
                              <w:t>Incentive</w:t>
                            </w:r>
                            <w:r>
                              <w:rPr>
                                <w:spacing w:val="-13"/>
                                <w:sz w:val="20"/>
                              </w:rPr>
                              <w:t> </w:t>
                            </w:r>
                            <w:r>
                              <w:rPr>
                                <w:sz w:val="20"/>
                              </w:rPr>
                              <w:t>Assumption</w:t>
                            </w:r>
                            <w:r>
                              <w:rPr>
                                <w:spacing w:val="-5"/>
                                <w:sz w:val="20"/>
                              </w:rPr>
                              <w:t> </w:t>
                            </w:r>
                            <w:r>
                              <w:rPr>
                                <w:sz w:val="20"/>
                              </w:rPr>
                              <w:t>Plan*</w:t>
                            </w:r>
                          </w:p>
                        </w:tc>
                        <w:tc>
                          <w:tcPr>
                            <w:tcW w:w="683" w:type="dxa"/>
                          </w:tcPr>
                          <w:p>
                            <w:pPr>
                              <w:pStyle w:val="TableParagraph"/>
                              <w:spacing w:before="150"/>
                              <w:ind w:right="22"/>
                              <w:jc w:val="center"/>
                              <w:rPr>
                                <w:sz w:val="20"/>
                              </w:rPr>
                            </w:pPr>
                            <w:r>
                              <w:rPr>
                                <w:spacing w:val="-2"/>
                                <w:sz w:val="20"/>
                              </w:rPr>
                              <w:t>8-</w:t>
                            </w:r>
                            <w:r>
                              <w:rPr>
                                <w:spacing w:val="-10"/>
                                <w:sz w:val="20"/>
                              </w:rPr>
                              <w:t>K</w:t>
                            </w:r>
                          </w:p>
                        </w:tc>
                        <w:tc>
                          <w:tcPr>
                            <w:tcW w:w="1078" w:type="dxa"/>
                          </w:tcPr>
                          <w:p>
                            <w:pPr>
                              <w:pStyle w:val="TableParagraph"/>
                              <w:spacing w:before="150"/>
                              <w:ind w:right="109"/>
                              <w:jc w:val="right"/>
                              <w:rPr>
                                <w:sz w:val="20"/>
                              </w:rPr>
                            </w:pPr>
                            <w:r>
                              <w:rPr>
                                <w:spacing w:val="-2"/>
                                <w:sz w:val="20"/>
                              </w:rPr>
                              <w:t>1/28/13</w:t>
                            </w:r>
                          </w:p>
                        </w:tc>
                        <w:tc>
                          <w:tcPr>
                            <w:tcW w:w="786" w:type="dxa"/>
                          </w:tcPr>
                          <w:p>
                            <w:pPr>
                              <w:pStyle w:val="TableParagraph"/>
                              <w:spacing w:before="150"/>
                              <w:ind w:right="104"/>
                              <w:jc w:val="right"/>
                              <w:rPr>
                                <w:sz w:val="20"/>
                              </w:rPr>
                            </w:pPr>
                            <w:r>
                              <w:rPr>
                                <w:spacing w:val="-4"/>
                                <w:sz w:val="20"/>
                              </w:rPr>
                              <w:t>10.7</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940" w:hRule="atLeast"/>
                        </w:trPr>
                        <w:tc>
                          <w:tcPr>
                            <w:tcW w:w="868" w:type="dxa"/>
                          </w:tcPr>
                          <w:p>
                            <w:pPr>
                              <w:pStyle w:val="TableParagraph"/>
                              <w:spacing w:before="150"/>
                              <w:ind w:right="104"/>
                              <w:jc w:val="right"/>
                              <w:rPr>
                                <w:sz w:val="20"/>
                              </w:rPr>
                            </w:pPr>
                            <w:r>
                              <w:rPr>
                                <w:spacing w:val="-4"/>
                                <w:sz w:val="20"/>
                              </w:rPr>
                              <w:t>10.5</w:t>
                            </w:r>
                          </w:p>
                        </w:tc>
                        <w:tc>
                          <w:tcPr>
                            <w:tcW w:w="4785" w:type="dxa"/>
                          </w:tcPr>
                          <w:p>
                            <w:pPr>
                              <w:pStyle w:val="TableParagraph"/>
                              <w:spacing w:line="208" w:lineRule="auto" w:before="175"/>
                              <w:ind w:left="95" w:right="51"/>
                              <w:rPr>
                                <w:sz w:val="20"/>
                              </w:rPr>
                            </w:pPr>
                            <w:r>
                              <w:rPr>
                                <w:sz w:val="20"/>
                              </w:rPr>
                              <w:t>Retention Agreement between Adobe Systems Incorporated</w:t>
                            </w:r>
                            <w:r>
                              <w:rPr>
                                <w:spacing w:val="-9"/>
                                <w:sz w:val="20"/>
                              </w:rPr>
                              <w:t> </w:t>
                            </w:r>
                            <w:r>
                              <w:rPr>
                                <w:sz w:val="20"/>
                              </w:rPr>
                              <w:t>and</w:t>
                            </w:r>
                            <w:r>
                              <w:rPr>
                                <w:spacing w:val="-9"/>
                                <w:sz w:val="20"/>
                              </w:rPr>
                              <w:t> </w:t>
                            </w:r>
                            <w:r>
                              <w:rPr>
                                <w:sz w:val="20"/>
                              </w:rPr>
                              <w:t>Shantanu</w:t>
                            </w:r>
                            <w:r>
                              <w:rPr>
                                <w:spacing w:val="-9"/>
                                <w:sz w:val="20"/>
                              </w:rPr>
                              <w:t> </w:t>
                            </w:r>
                            <w:r>
                              <w:rPr>
                                <w:sz w:val="20"/>
                              </w:rPr>
                              <w:t>Narayen,</w:t>
                            </w:r>
                            <w:r>
                              <w:rPr>
                                <w:spacing w:val="-9"/>
                                <w:sz w:val="20"/>
                              </w:rPr>
                              <w:t> </w:t>
                            </w:r>
                            <w:r>
                              <w:rPr>
                                <w:sz w:val="20"/>
                              </w:rPr>
                              <w:t>effective</w:t>
                            </w:r>
                            <w:r>
                              <w:rPr>
                                <w:spacing w:val="-9"/>
                                <w:sz w:val="20"/>
                              </w:rPr>
                              <w:t> </w:t>
                            </w:r>
                            <w:r>
                              <w:rPr>
                                <w:sz w:val="20"/>
                              </w:rPr>
                              <w:t>December 5, 2014</w:t>
                            </w:r>
                          </w:p>
                        </w:tc>
                        <w:tc>
                          <w:tcPr>
                            <w:tcW w:w="683" w:type="dxa"/>
                          </w:tcPr>
                          <w:p>
                            <w:pPr>
                              <w:pStyle w:val="TableParagraph"/>
                              <w:spacing w:before="150"/>
                              <w:ind w:right="22"/>
                              <w:jc w:val="center"/>
                              <w:rPr>
                                <w:sz w:val="20"/>
                              </w:rPr>
                            </w:pPr>
                            <w:r>
                              <w:rPr>
                                <w:spacing w:val="-2"/>
                                <w:sz w:val="20"/>
                              </w:rPr>
                              <w:t>8-</w:t>
                            </w:r>
                            <w:r>
                              <w:rPr>
                                <w:spacing w:val="-10"/>
                                <w:sz w:val="20"/>
                              </w:rPr>
                              <w:t>K</w:t>
                            </w:r>
                          </w:p>
                        </w:tc>
                        <w:tc>
                          <w:tcPr>
                            <w:tcW w:w="1078" w:type="dxa"/>
                          </w:tcPr>
                          <w:p>
                            <w:pPr>
                              <w:pStyle w:val="TableParagraph"/>
                              <w:spacing w:before="150"/>
                              <w:ind w:right="105"/>
                              <w:jc w:val="right"/>
                              <w:rPr>
                                <w:sz w:val="20"/>
                              </w:rPr>
                            </w:pPr>
                            <w:r>
                              <w:rPr>
                                <w:spacing w:val="-2"/>
                                <w:sz w:val="20"/>
                              </w:rPr>
                              <w:t>12/11/14</w:t>
                            </w:r>
                          </w:p>
                        </w:tc>
                        <w:tc>
                          <w:tcPr>
                            <w:tcW w:w="786" w:type="dxa"/>
                          </w:tcPr>
                          <w:p>
                            <w:pPr>
                              <w:pStyle w:val="TableParagraph"/>
                              <w:spacing w:before="150"/>
                              <w:ind w:right="104"/>
                              <w:jc w:val="right"/>
                              <w:rPr>
                                <w:sz w:val="20"/>
                              </w:rPr>
                            </w:pPr>
                            <w:r>
                              <w:rPr>
                                <w:spacing w:val="-4"/>
                                <w:sz w:val="20"/>
                              </w:rPr>
                              <w:t>10.2</w:t>
                            </w:r>
                          </w:p>
                        </w:tc>
                        <w:tc>
                          <w:tcPr>
                            <w:tcW w:w="1184" w:type="dxa"/>
                          </w:tcPr>
                          <w:p>
                            <w:pPr>
                              <w:pStyle w:val="TableParagraph"/>
                              <w:spacing w:before="150"/>
                              <w:ind w:left="103"/>
                              <w:rPr>
                                <w:sz w:val="20"/>
                              </w:rPr>
                            </w:pPr>
                            <w:r>
                              <w:rPr>
                                <w:sz w:val="20"/>
                              </w:rPr>
                              <w:t>000-</w:t>
                            </w:r>
                            <w:r>
                              <w:rPr>
                                <w:spacing w:val="-2"/>
                                <w:sz w:val="20"/>
                              </w:rPr>
                              <w:t>15175</w:t>
                            </w:r>
                          </w:p>
                        </w:tc>
                        <w:tc>
                          <w:tcPr>
                            <w:tcW w:w="809"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4"/>
                                <w:sz w:val="20"/>
                              </w:rPr>
                              <w:t>10.6</w:t>
                            </w:r>
                          </w:p>
                        </w:tc>
                        <w:tc>
                          <w:tcPr>
                            <w:tcW w:w="4785" w:type="dxa"/>
                          </w:tcPr>
                          <w:p>
                            <w:pPr>
                              <w:pStyle w:val="TableParagraph"/>
                              <w:spacing w:before="150"/>
                              <w:ind w:left="95"/>
                              <w:rPr>
                                <w:sz w:val="20"/>
                              </w:rPr>
                            </w:pPr>
                            <w:r>
                              <w:rPr>
                                <w:sz w:val="20"/>
                              </w:rPr>
                              <w:t>Form of Indemnity</w:t>
                            </w:r>
                            <w:r>
                              <w:rPr>
                                <w:spacing w:val="-12"/>
                                <w:sz w:val="20"/>
                              </w:rPr>
                              <w:t> </w:t>
                            </w:r>
                            <w:r>
                              <w:rPr>
                                <w:spacing w:val="-2"/>
                                <w:sz w:val="20"/>
                              </w:rPr>
                              <w:t>Agreement*</w:t>
                            </w:r>
                          </w:p>
                        </w:tc>
                        <w:tc>
                          <w:tcPr>
                            <w:tcW w:w="683" w:type="dxa"/>
                          </w:tcPr>
                          <w:p>
                            <w:pPr>
                              <w:pStyle w:val="TableParagraph"/>
                              <w:spacing w:before="150"/>
                              <w:ind w:right="22"/>
                              <w:jc w:val="center"/>
                              <w:rPr>
                                <w:sz w:val="20"/>
                              </w:rPr>
                            </w:pPr>
                            <w:r>
                              <w:rPr>
                                <w:spacing w:val="-2"/>
                                <w:sz w:val="20"/>
                              </w:rPr>
                              <w:t>10-</w:t>
                            </w:r>
                            <w:r>
                              <w:rPr>
                                <w:spacing w:val="-10"/>
                                <w:sz w:val="20"/>
                              </w:rPr>
                              <w:t>Q</w:t>
                            </w:r>
                          </w:p>
                        </w:tc>
                        <w:tc>
                          <w:tcPr>
                            <w:tcW w:w="1078" w:type="dxa"/>
                          </w:tcPr>
                          <w:p>
                            <w:pPr>
                              <w:pStyle w:val="TableParagraph"/>
                              <w:spacing w:before="150"/>
                              <w:ind w:right="109"/>
                              <w:jc w:val="right"/>
                              <w:rPr>
                                <w:sz w:val="20"/>
                              </w:rPr>
                            </w:pPr>
                            <w:r>
                              <w:rPr>
                                <w:spacing w:val="-2"/>
                                <w:sz w:val="20"/>
                              </w:rPr>
                              <w:t>6/26/09</w:t>
                            </w:r>
                          </w:p>
                        </w:tc>
                        <w:tc>
                          <w:tcPr>
                            <w:tcW w:w="786" w:type="dxa"/>
                          </w:tcPr>
                          <w:p>
                            <w:pPr>
                              <w:pStyle w:val="TableParagraph"/>
                              <w:spacing w:before="150"/>
                              <w:ind w:right="104"/>
                              <w:jc w:val="right"/>
                              <w:rPr>
                                <w:sz w:val="20"/>
                              </w:rPr>
                            </w:pPr>
                            <w:r>
                              <w:rPr>
                                <w:spacing w:val="-2"/>
                                <w:sz w:val="20"/>
                              </w:rPr>
                              <w:t>10.12</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619" w:hRule="atLeast"/>
                        </w:trPr>
                        <w:tc>
                          <w:tcPr>
                            <w:tcW w:w="868" w:type="dxa"/>
                          </w:tcPr>
                          <w:p>
                            <w:pPr>
                              <w:pStyle w:val="TableParagraph"/>
                              <w:spacing w:before="150"/>
                              <w:ind w:right="104"/>
                              <w:jc w:val="right"/>
                              <w:rPr>
                                <w:sz w:val="20"/>
                              </w:rPr>
                            </w:pPr>
                            <w:r>
                              <w:rPr>
                                <w:spacing w:val="-4"/>
                                <w:sz w:val="20"/>
                              </w:rPr>
                              <w:t>10.7</w:t>
                            </w:r>
                          </w:p>
                        </w:tc>
                        <w:tc>
                          <w:tcPr>
                            <w:tcW w:w="4785" w:type="dxa"/>
                          </w:tcPr>
                          <w:p>
                            <w:pPr>
                              <w:pStyle w:val="TableParagraph"/>
                              <w:spacing w:line="208" w:lineRule="auto" w:before="175"/>
                              <w:ind w:left="95" w:right="147"/>
                              <w:rPr>
                                <w:sz w:val="20"/>
                              </w:rPr>
                            </w:pPr>
                            <w:r>
                              <w:rPr>
                                <w:sz w:val="20"/>
                              </w:rPr>
                              <w:t>Adobe</w:t>
                            </w:r>
                            <w:r>
                              <w:rPr>
                                <w:spacing w:val="-10"/>
                                <w:sz w:val="20"/>
                              </w:rPr>
                              <w:t> </w:t>
                            </w:r>
                            <w:r>
                              <w:rPr>
                                <w:sz w:val="20"/>
                              </w:rPr>
                              <w:t>Systems</w:t>
                            </w:r>
                            <w:r>
                              <w:rPr>
                                <w:spacing w:val="-11"/>
                                <w:sz w:val="20"/>
                              </w:rPr>
                              <w:t> </w:t>
                            </w:r>
                            <w:r>
                              <w:rPr>
                                <w:sz w:val="20"/>
                              </w:rPr>
                              <w:t>Incorporated</w:t>
                            </w:r>
                            <w:r>
                              <w:rPr>
                                <w:spacing w:val="-10"/>
                                <w:sz w:val="20"/>
                              </w:rPr>
                              <w:t> </w:t>
                            </w:r>
                            <w:r>
                              <w:rPr>
                                <w:sz w:val="20"/>
                              </w:rPr>
                              <w:t>Deferred</w:t>
                            </w:r>
                            <w:r>
                              <w:rPr>
                                <w:spacing w:val="-10"/>
                                <w:sz w:val="20"/>
                              </w:rPr>
                              <w:t> </w:t>
                            </w:r>
                            <w:r>
                              <w:rPr>
                                <w:sz w:val="20"/>
                              </w:rPr>
                              <w:t>Compensation Plan, as Amended and Restated*</w:t>
                            </w:r>
                          </w:p>
                        </w:tc>
                        <w:tc>
                          <w:tcPr>
                            <w:tcW w:w="683" w:type="dxa"/>
                          </w:tcPr>
                          <w:p>
                            <w:pPr>
                              <w:pStyle w:val="TableParagraph"/>
                              <w:spacing w:before="150"/>
                              <w:ind w:right="22"/>
                              <w:jc w:val="center"/>
                              <w:rPr>
                                <w:sz w:val="20"/>
                              </w:rPr>
                            </w:pPr>
                            <w:r>
                              <w:rPr>
                                <w:spacing w:val="-2"/>
                                <w:sz w:val="20"/>
                              </w:rPr>
                              <w:t>10-</w:t>
                            </w:r>
                            <w:r>
                              <w:rPr>
                                <w:spacing w:val="-10"/>
                                <w:sz w:val="20"/>
                              </w:rPr>
                              <w:t>K</w:t>
                            </w:r>
                          </w:p>
                        </w:tc>
                        <w:tc>
                          <w:tcPr>
                            <w:tcW w:w="1078" w:type="dxa"/>
                          </w:tcPr>
                          <w:p>
                            <w:pPr>
                              <w:pStyle w:val="TableParagraph"/>
                              <w:spacing w:before="150"/>
                              <w:ind w:right="109"/>
                              <w:jc w:val="right"/>
                              <w:rPr>
                                <w:sz w:val="20"/>
                              </w:rPr>
                            </w:pPr>
                            <w:r>
                              <w:rPr>
                                <w:spacing w:val="-2"/>
                                <w:sz w:val="20"/>
                              </w:rPr>
                              <w:t>1/20/15</w:t>
                            </w:r>
                          </w:p>
                        </w:tc>
                        <w:tc>
                          <w:tcPr>
                            <w:tcW w:w="786" w:type="dxa"/>
                          </w:tcPr>
                          <w:p>
                            <w:pPr>
                              <w:pStyle w:val="TableParagraph"/>
                              <w:spacing w:before="150"/>
                              <w:ind w:right="104"/>
                              <w:jc w:val="right"/>
                              <w:rPr>
                                <w:sz w:val="20"/>
                              </w:rPr>
                            </w:pPr>
                            <w:r>
                              <w:rPr>
                                <w:spacing w:val="-2"/>
                                <w:sz w:val="20"/>
                              </w:rPr>
                              <w:t>10.19</w:t>
                            </w:r>
                          </w:p>
                        </w:tc>
                        <w:tc>
                          <w:tcPr>
                            <w:tcW w:w="1184" w:type="dxa"/>
                          </w:tcPr>
                          <w:p>
                            <w:pPr>
                              <w:pStyle w:val="TableParagraph"/>
                              <w:spacing w:before="150"/>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1830" w:hRule="atLeast"/>
                        </w:trPr>
                        <w:tc>
                          <w:tcPr>
                            <w:tcW w:w="868" w:type="dxa"/>
                          </w:tcPr>
                          <w:p>
                            <w:pPr>
                              <w:pStyle w:val="TableParagraph"/>
                              <w:spacing w:before="31"/>
                              <w:ind w:right="92"/>
                              <w:jc w:val="right"/>
                              <w:rPr>
                                <w:sz w:val="20"/>
                              </w:rPr>
                            </w:pPr>
                            <w:r>
                              <w:rPr>
                                <w:spacing w:val="-2"/>
                                <w:sz w:val="20"/>
                              </w:rPr>
                              <w:t>10.8A</w:t>
                            </w:r>
                          </w:p>
                        </w:tc>
                        <w:tc>
                          <w:tcPr>
                            <w:tcW w:w="4785" w:type="dxa"/>
                          </w:tcPr>
                          <w:p>
                            <w:pPr>
                              <w:pStyle w:val="TableParagraph"/>
                              <w:spacing w:line="208" w:lineRule="auto" w:before="55"/>
                              <w:ind w:left="95" w:right="147"/>
                              <w:rPr>
                                <w:sz w:val="20"/>
                              </w:rPr>
                            </w:pPr>
                            <w:r>
                              <w:rPr>
                                <w:sz w:val="20"/>
                              </w:rPr>
                              <w:t>Credit Agreement, dated as of March 2, 2012, among Adobe</w:t>
                            </w:r>
                            <w:r>
                              <w:rPr>
                                <w:spacing w:val="-7"/>
                                <w:sz w:val="20"/>
                              </w:rPr>
                              <w:t> </w:t>
                            </w:r>
                            <w:r>
                              <w:rPr>
                                <w:sz w:val="20"/>
                              </w:rPr>
                              <w:t>Systems</w:t>
                            </w:r>
                            <w:r>
                              <w:rPr>
                                <w:spacing w:val="-8"/>
                                <w:sz w:val="20"/>
                              </w:rPr>
                              <w:t> </w:t>
                            </w:r>
                            <w:r>
                              <w:rPr>
                                <w:sz w:val="20"/>
                              </w:rPr>
                              <w:t>Incorporated</w:t>
                            </w:r>
                            <w:r>
                              <w:rPr>
                                <w:spacing w:val="-7"/>
                                <w:sz w:val="20"/>
                              </w:rPr>
                              <w:t> </w:t>
                            </w:r>
                            <w:r>
                              <w:rPr>
                                <w:sz w:val="20"/>
                              </w:rPr>
                              <w:t>and</w:t>
                            </w:r>
                            <w:r>
                              <w:rPr>
                                <w:spacing w:val="-7"/>
                                <w:sz w:val="20"/>
                              </w:rPr>
                              <w:t> </w:t>
                            </w:r>
                            <w:r>
                              <w:rPr>
                                <w:sz w:val="20"/>
                              </w:rPr>
                              <w:t>certain</w:t>
                            </w:r>
                            <w:r>
                              <w:rPr>
                                <w:spacing w:val="-7"/>
                                <w:sz w:val="20"/>
                              </w:rPr>
                              <w:t> </w:t>
                            </w:r>
                            <w:r>
                              <w:rPr>
                                <w:sz w:val="20"/>
                              </w:rPr>
                              <w:t>subsidiaries</w:t>
                            </w:r>
                            <w:r>
                              <w:rPr>
                                <w:spacing w:val="-8"/>
                                <w:sz w:val="20"/>
                              </w:rPr>
                              <w:t> </w:t>
                            </w:r>
                            <w:r>
                              <w:rPr>
                                <w:sz w:val="20"/>
                              </w:rPr>
                              <w:t>as Borrowers, The Royal Bank of Scotland PLC and U.S. Bank National Association as Co-Documentation Agents, JPMorgan Chase Bank, N.A., as Syndication Agent, Bank of</w:t>
                            </w:r>
                            <w:r>
                              <w:rPr>
                                <w:spacing w:val="-11"/>
                                <w:sz w:val="20"/>
                              </w:rPr>
                              <w:t> </w:t>
                            </w:r>
                            <w:r>
                              <w:rPr>
                                <w:sz w:val="20"/>
                              </w:rPr>
                              <w:t>America, N.A. as</w:t>
                            </w:r>
                            <w:r>
                              <w:rPr>
                                <w:spacing w:val="-12"/>
                                <w:sz w:val="20"/>
                              </w:rPr>
                              <w:t> </w:t>
                            </w:r>
                            <w:r>
                              <w:rPr>
                                <w:sz w:val="20"/>
                              </w:rPr>
                              <w:t>Administrative</w:t>
                            </w:r>
                            <w:r>
                              <w:rPr>
                                <w:spacing w:val="-12"/>
                                <w:sz w:val="20"/>
                              </w:rPr>
                              <w:t> </w:t>
                            </w:r>
                            <w:r>
                              <w:rPr>
                                <w:sz w:val="20"/>
                              </w:rPr>
                              <w:t>Agent and Swing Line Lender, and the Other Lenders Party </w:t>
                            </w:r>
                            <w:r>
                              <w:rPr>
                                <w:spacing w:val="-2"/>
                                <w:sz w:val="20"/>
                              </w:rPr>
                              <w:t>Thereto</w:t>
                            </w:r>
                          </w:p>
                        </w:tc>
                        <w:tc>
                          <w:tcPr>
                            <w:tcW w:w="683" w:type="dxa"/>
                          </w:tcPr>
                          <w:p>
                            <w:pPr>
                              <w:pStyle w:val="TableParagraph"/>
                              <w:spacing w:before="31"/>
                              <w:ind w:right="22"/>
                              <w:jc w:val="center"/>
                              <w:rPr>
                                <w:sz w:val="20"/>
                              </w:rPr>
                            </w:pPr>
                            <w:r>
                              <w:rPr>
                                <w:spacing w:val="-2"/>
                                <w:sz w:val="20"/>
                              </w:rPr>
                              <w:t>8-</w:t>
                            </w:r>
                            <w:r>
                              <w:rPr>
                                <w:spacing w:val="-10"/>
                                <w:sz w:val="20"/>
                              </w:rPr>
                              <w:t>K</w:t>
                            </w:r>
                          </w:p>
                        </w:tc>
                        <w:tc>
                          <w:tcPr>
                            <w:tcW w:w="1078" w:type="dxa"/>
                          </w:tcPr>
                          <w:p>
                            <w:pPr>
                              <w:pStyle w:val="TableParagraph"/>
                              <w:spacing w:before="31"/>
                              <w:ind w:right="109"/>
                              <w:jc w:val="right"/>
                              <w:rPr>
                                <w:sz w:val="20"/>
                              </w:rPr>
                            </w:pPr>
                            <w:r>
                              <w:rPr>
                                <w:spacing w:val="-2"/>
                                <w:sz w:val="20"/>
                              </w:rPr>
                              <w:t>3/7/12</w:t>
                            </w:r>
                          </w:p>
                        </w:tc>
                        <w:tc>
                          <w:tcPr>
                            <w:tcW w:w="786" w:type="dxa"/>
                          </w:tcPr>
                          <w:p>
                            <w:pPr>
                              <w:pStyle w:val="TableParagraph"/>
                              <w:spacing w:before="31"/>
                              <w:ind w:right="104"/>
                              <w:jc w:val="right"/>
                              <w:rPr>
                                <w:sz w:val="20"/>
                              </w:rPr>
                            </w:pPr>
                            <w:r>
                              <w:rPr>
                                <w:spacing w:val="-4"/>
                                <w:sz w:val="20"/>
                              </w:rPr>
                              <w:t>10.1</w:t>
                            </w:r>
                          </w:p>
                        </w:tc>
                        <w:tc>
                          <w:tcPr>
                            <w:tcW w:w="1184" w:type="dxa"/>
                          </w:tcPr>
                          <w:p>
                            <w:pPr>
                              <w:pStyle w:val="TableParagraph"/>
                              <w:spacing w:before="31"/>
                              <w:ind w:right="99"/>
                              <w:jc w:val="right"/>
                              <w:rPr>
                                <w:sz w:val="20"/>
                              </w:rPr>
                            </w:pPr>
                            <w:r>
                              <w:rPr>
                                <w:sz w:val="20"/>
                              </w:rPr>
                              <w:t>000-</w:t>
                            </w:r>
                            <w:r>
                              <w:rPr>
                                <w:spacing w:val="-2"/>
                                <w:sz w:val="20"/>
                              </w:rPr>
                              <w:t>15175</w:t>
                            </w:r>
                          </w:p>
                        </w:tc>
                        <w:tc>
                          <w:tcPr>
                            <w:tcW w:w="809" w:type="dxa"/>
                          </w:tcPr>
                          <w:p>
                            <w:pPr>
                              <w:pStyle w:val="TableParagraph"/>
                              <w:rPr>
                                <w:sz w:val="18"/>
                              </w:rPr>
                            </w:pPr>
                          </w:p>
                        </w:tc>
                      </w:tr>
                      <w:tr>
                        <w:trPr>
                          <w:trHeight w:val="989" w:hRule="atLeast"/>
                        </w:trPr>
                        <w:tc>
                          <w:tcPr>
                            <w:tcW w:w="868" w:type="dxa"/>
                          </w:tcPr>
                          <w:p>
                            <w:pPr>
                              <w:pStyle w:val="TableParagraph"/>
                              <w:spacing w:before="160"/>
                              <w:ind w:right="103"/>
                              <w:jc w:val="right"/>
                              <w:rPr>
                                <w:sz w:val="20"/>
                              </w:rPr>
                            </w:pPr>
                            <w:r>
                              <w:rPr>
                                <w:spacing w:val="-2"/>
                                <w:sz w:val="20"/>
                              </w:rPr>
                              <w:t>10.8B</w:t>
                            </w:r>
                          </w:p>
                        </w:tc>
                        <w:tc>
                          <w:tcPr>
                            <w:tcW w:w="4785" w:type="dxa"/>
                          </w:tcPr>
                          <w:p>
                            <w:pPr>
                              <w:pStyle w:val="TableParagraph"/>
                              <w:spacing w:line="208" w:lineRule="auto" w:before="185"/>
                              <w:ind w:left="95" w:right="147"/>
                              <w:rPr>
                                <w:sz w:val="20"/>
                              </w:rPr>
                            </w:pPr>
                            <w:r>
                              <w:rPr>
                                <w:sz w:val="20"/>
                              </w:rPr>
                              <w:t>Amendment to Credit</w:t>
                            </w:r>
                            <w:r>
                              <w:rPr>
                                <w:spacing w:val="-1"/>
                                <w:sz w:val="20"/>
                              </w:rPr>
                              <w:t> </w:t>
                            </w:r>
                            <w:r>
                              <w:rPr>
                                <w:sz w:val="20"/>
                              </w:rPr>
                              <w:t>Agreement, dated as of July 27, 2015,</w:t>
                            </w:r>
                            <w:r>
                              <w:rPr>
                                <w:spacing w:val="-1"/>
                                <w:sz w:val="20"/>
                              </w:rPr>
                              <w:t> </w:t>
                            </w:r>
                            <w:r>
                              <w:rPr>
                                <w:sz w:val="20"/>
                              </w:rPr>
                              <w:t>among</w:t>
                            </w:r>
                            <w:r>
                              <w:rPr>
                                <w:spacing w:val="-12"/>
                                <w:sz w:val="20"/>
                              </w:rPr>
                              <w:t> </w:t>
                            </w:r>
                            <w:r>
                              <w:rPr>
                                <w:sz w:val="20"/>
                              </w:rPr>
                              <w:t>Adobe</w:t>
                            </w:r>
                            <w:r>
                              <w:rPr>
                                <w:spacing w:val="-1"/>
                                <w:sz w:val="20"/>
                              </w:rPr>
                              <w:t> </w:t>
                            </w:r>
                            <w:r>
                              <w:rPr>
                                <w:sz w:val="20"/>
                              </w:rPr>
                              <w:t>Systems</w:t>
                            </w:r>
                            <w:r>
                              <w:rPr>
                                <w:spacing w:val="-2"/>
                                <w:sz w:val="20"/>
                              </w:rPr>
                              <w:t> </w:t>
                            </w:r>
                            <w:r>
                              <w:rPr>
                                <w:sz w:val="20"/>
                              </w:rPr>
                              <w:t>Incorporated</w:t>
                            </w:r>
                            <w:r>
                              <w:rPr>
                                <w:spacing w:val="-1"/>
                                <w:sz w:val="20"/>
                              </w:rPr>
                              <w:t> </w:t>
                            </w:r>
                            <w:r>
                              <w:rPr>
                                <w:sz w:val="20"/>
                              </w:rPr>
                              <w:t>and</w:t>
                            </w:r>
                            <w:r>
                              <w:rPr>
                                <w:spacing w:val="-1"/>
                                <w:sz w:val="20"/>
                              </w:rPr>
                              <w:t> </w:t>
                            </w:r>
                            <w:r>
                              <w:rPr>
                                <w:sz w:val="20"/>
                              </w:rPr>
                              <w:t>Bank </w:t>
                            </w:r>
                            <w:r>
                              <w:rPr>
                                <w:spacing w:val="-5"/>
                                <w:sz w:val="20"/>
                              </w:rPr>
                              <w:t>of</w:t>
                            </w:r>
                          </w:p>
                          <w:p>
                            <w:pPr>
                              <w:pStyle w:val="TableParagraph"/>
                              <w:spacing w:line="198" w:lineRule="exact"/>
                              <w:ind w:left="95" w:right="147"/>
                              <w:rPr>
                                <w:sz w:val="20"/>
                              </w:rPr>
                            </w:pPr>
                            <w:r>
                              <w:rPr>
                                <w:sz w:val="20"/>
                              </w:rPr>
                              <w:t>America,</w:t>
                            </w:r>
                            <w:r>
                              <w:rPr>
                                <w:spacing w:val="-13"/>
                                <w:sz w:val="20"/>
                              </w:rPr>
                              <w:t> </w:t>
                            </w:r>
                            <w:r>
                              <w:rPr>
                                <w:sz w:val="20"/>
                              </w:rPr>
                              <w:t>N.A.</w:t>
                            </w:r>
                            <w:r>
                              <w:rPr>
                                <w:spacing w:val="-5"/>
                                <w:sz w:val="20"/>
                              </w:rPr>
                              <w:t> </w:t>
                            </w:r>
                            <w:r>
                              <w:rPr>
                                <w:sz w:val="20"/>
                              </w:rPr>
                              <w:t>as</w:t>
                            </w:r>
                            <w:r>
                              <w:rPr>
                                <w:spacing w:val="-13"/>
                                <w:sz w:val="20"/>
                              </w:rPr>
                              <w:t> </w:t>
                            </w:r>
                            <w:r>
                              <w:rPr>
                                <w:sz w:val="20"/>
                              </w:rPr>
                              <w:t>Administrative</w:t>
                            </w:r>
                            <w:r>
                              <w:rPr>
                                <w:spacing w:val="-12"/>
                                <w:sz w:val="20"/>
                              </w:rPr>
                              <w:t> </w:t>
                            </w:r>
                            <w:r>
                              <w:rPr>
                                <w:sz w:val="20"/>
                              </w:rPr>
                              <w:t>Agent</w:t>
                            </w:r>
                            <w:r>
                              <w:rPr>
                                <w:spacing w:val="-6"/>
                                <w:sz w:val="20"/>
                              </w:rPr>
                              <w:t> </w:t>
                            </w:r>
                            <w:r>
                              <w:rPr>
                                <w:sz w:val="20"/>
                              </w:rPr>
                              <w:t>and</w:t>
                            </w:r>
                            <w:r>
                              <w:rPr>
                                <w:spacing w:val="-6"/>
                                <w:sz w:val="20"/>
                              </w:rPr>
                              <w:t> </w:t>
                            </w:r>
                            <w:r>
                              <w:rPr>
                                <w:sz w:val="20"/>
                              </w:rPr>
                              <w:t>Swing</w:t>
                            </w:r>
                            <w:r>
                              <w:rPr>
                                <w:spacing w:val="-6"/>
                                <w:sz w:val="20"/>
                              </w:rPr>
                              <w:t> </w:t>
                            </w:r>
                            <w:r>
                              <w:rPr>
                                <w:sz w:val="20"/>
                              </w:rPr>
                              <w:t>Line Lender and the Other Lenders Party Thereto</w:t>
                            </w:r>
                          </w:p>
                        </w:tc>
                        <w:tc>
                          <w:tcPr>
                            <w:tcW w:w="683" w:type="dxa"/>
                          </w:tcPr>
                          <w:p>
                            <w:pPr>
                              <w:pStyle w:val="TableParagraph"/>
                              <w:spacing w:before="160"/>
                              <w:ind w:right="22"/>
                              <w:jc w:val="center"/>
                              <w:rPr>
                                <w:sz w:val="20"/>
                              </w:rPr>
                            </w:pPr>
                            <w:r>
                              <w:rPr>
                                <w:spacing w:val="-2"/>
                                <w:sz w:val="20"/>
                              </w:rPr>
                              <w:t>8-</w:t>
                            </w:r>
                            <w:r>
                              <w:rPr>
                                <w:spacing w:val="-10"/>
                                <w:sz w:val="20"/>
                              </w:rPr>
                              <w:t>K</w:t>
                            </w:r>
                          </w:p>
                        </w:tc>
                        <w:tc>
                          <w:tcPr>
                            <w:tcW w:w="1078" w:type="dxa"/>
                          </w:tcPr>
                          <w:p>
                            <w:pPr>
                              <w:pStyle w:val="TableParagraph"/>
                              <w:spacing w:before="160"/>
                              <w:ind w:right="109"/>
                              <w:jc w:val="right"/>
                              <w:rPr>
                                <w:sz w:val="20"/>
                              </w:rPr>
                            </w:pPr>
                            <w:r>
                              <w:rPr>
                                <w:spacing w:val="-2"/>
                                <w:sz w:val="20"/>
                              </w:rPr>
                              <w:t>7/30/15</w:t>
                            </w:r>
                          </w:p>
                        </w:tc>
                        <w:tc>
                          <w:tcPr>
                            <w:tcW w:w="786" w:type="dxa"/>
                          </w:tcPr>
                          <w:p>
                            <w:pPr>
                              <w:pStyle w:val="TableParagraph"/>
                              <w:spacing w:before="160"/>
                              <w:ind w:right="104"/>
                              <w:jc w:val="right"/>
                              <w:rPr>
                                <w:sz w:val="20"/>
                              </w:rPr>
                            </w:pPr>
                            <w:r>
                              <w:rPr>
                                <w:spacing w:val="-4"/>
                                <w:sz w:val="20"/>
                              </w:rPr>
                              <w:t>10.1</w:t>
                            </w:r>
                          </w:p>
                        </w:tc>
                        <w:tc>
                          <w:tcPr>
                            <w:tcW w:w="1184" w:type="dxa"/>
                          </w:tcPr>
                          <w:p>
                            <w:pPr>
                              <w:pStyle w:val="TableParagraph"/>
                              <w:spacing w:before="160"/>
                              <w:ind w:left="103"/>
                              <w:rPr>
                                <w:sz w:val="20"/>
                              </w:rPr>
                            </w:pPr>
                            <w:r>
                              <w:rPr>
                                <w:sz w:val="20"/>
                              </w:rPr>
                              <w:t>000-</w:t>
                            </w:r>
                            <w:r>
                              <w:rPr>
                                <w:spacing w:val="-2"/>
                                <w:sz w:val="20"/>
                              </w:rPr>
                              <w:t>15175</w:t>
                            </w:r>
                          </w:p>
                        </w:tc>
                        <w:tc>
                          <w:tcPr>
                            <w:tcW w:w="809" w:type="dxa"/>
                          </w:tcPr>
                          <w:p>
                            <w:pPr>
                              <w:pStyle w:val="TableParagraph"/>
                              <w:rPr>
                                <w:sz w:val="18"/>
                              </w:rPr>
                            </w:pPr>
                          </w:p>
                        </w:tc>
                      </w:tr>
                    </w:tbl>
                    <w:p>
                      <w:pPr>
                        <w:pStyle w:val="BodyText"/>
                      </w:pPr>
                    </w:p>
                  </w:txbxContent>
                </v:textbox>
                <w10:wrap type="none"/>
              </v:shape>
            </w:pict>
          </mc:Fallback>
        </mc:AlternateContent>
      </w:r>
      <w:r>
        <w:rPr>
          <w:b/>
          <w:spacing w:val="-2"/>
          <w:sz w:val="16"/>
        </w:rPr>
        <w:t>Exhibit</w:t>
      </w:r>
    </w:p>
    <w:p>
      <w:pPr>
        <w:spacing w:line="183" w:lineRule="exact" w:before="0"/>
        <w:ind w:left="406" w:right="0" w:firstLine="0"/>
        <w:jc w:val="left"/>
        <w:rPr>
          <w:b/>
          <w:sz w:val="16"/>
        </w:rPr>
      </w:pPr>
      <w:r>
        <w:rPr/>
        <w:br w:type="column"/>
      </w:r>
      <w:r>
        <w:rPr>
          <w:b/>
          <w:spacing w:val="-2"/>
          <w:sz w:val="16"/>
        </w:rPr>
        <w:t>Exhibit</w:t>
      </w:r>
    </w:p>
    <w:p>
      <w:pPr>
        <w:spacing w:line="183" w:lineRule="exact" w:before="0"/>
        <w:ind w:left="405" w:right="0" w:firstLine="0"/>
        <w:jc w:val="left"/>
        <w:rPr>
          <w:b/>
          <w:sz w:val="16"/>
        </w:rPr>
      </w:pPr>
      <w:r>
        <w:rPr/>
        <w:br w:type="column"/>
      </w:r>
      <w:r>
        <w:rPr>
          <w:b/>
          <w:spacing w:val="-2"/>
          <w:sz w:val="16"/>
        </w:rPr>
        <w:t>Filed</w:t>
      </w:r>
    </w:p>
    <w:p>
      <w:pPr>
        <w:spacing w:after="0" w:line="183" w:lineRule="exact"/>
        <w:jc w:val="left"/>
        <w:rPr>
          <w:sz w:val="16"/>
        </w:rPr>
        <w:sectPr>
          <w:pgSz w:w="12240" w:h="15840"/>
          <w:pgMar w:header="210" w:footer="610" w:top="1160" w:bottom="800" w:left="780" w:right="740"/>
          <w:cols w:num="3" w:equalWidth="0">
            <w:col w:w="953" w:space="6467"/>
            <w:col w:w="953" w:space="1127"/>
            <w:col w:w="1220"/>
          </w:cols>
        </w:sectPr>
      </w:pPr>
    </w:p>
    <w:p>
      <w:pPr>
        <w:spacing w:line="183" w:lineRule="exact" w:before="0"/>
        <w:ind w:left="405" w:right="0" w:firstLine="0"/>
        <w:jc w:val="left"/>
        <w:rPr>
          <w:b/>
          <w:sz w:val="16"/>
        </w:rPr>
      </w:pPr>
      <w:r>
        <w:rPr/>
        <mc:AlternateContent>
          <mc:Choice Requires="wps">
            <w:drawing>
              <wp:anchor distT="0" distB="0" distL="0" distR="0" allowOverlap="1" layoutInCell="1" locked="0" behindDoc="0" simplePos="0" relativeHeight="15841792">
                <wp:simplePos x="0" y="0"/>
                <wp:positionH relativeFrom="page">
                  <wp:posOffset>633094</wp:posOffset>
                </wp:positionH>
                <wp:positionV relativeFrom="page">
                  <wp:posOffset>839991</wp:posOffset>
                </wp:positionV>
                <wp:extent cx="6548755" cy="8251825"/>
                <wp:effectExtent l="0" t="0" r="0" b="0"/>
                <wp:wrapNone/>
                <wp:docPr id="571" name="Textbox 571"/>
                <wp:cNvGraphicFramePr>
                  <a:graphicFrameLocks/>
                </wp:cNvGraphicFramePr>
                <a:graphic>
                  <a:graphicData uri="http://schemas.microsoft.com/office/word/2010/wordprocessingShape">
                    <wps:wsp>
                      <wps:cNvPr id="571" name="Textbox 571"/>
                      <wps:cNvSpPr txBox="1"/>
                      <wps:spPr>
                        <a:xfrm>
                          <a:off x="0" y="0"/>
                          <a:ext cx="6548755" cy="82518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762"/>
                              <w:gridCol w:w="704"/>
                              <w:gridCol w:w="1077"/>
                              <w:gridCol w:w="792"/>
                              <w:gridCol w:w="1178"/>
                              <w:gridCol w:w="810"/>
                            </w:tblGrid>
                            <w:tr>
                              <w:trPr>
                                <w:trHeight w:val="217" w:hRule="atLeast"/>
                              </w:trPr>
                              <w:tc>
                                <w:tcPr>
                                  <w:tcW w:w="868" w:type="dxa"/>
                                  <w:tcBorders>
                                    <w:bottom w:val="single" w:sz="8" w:space="0" w:color="000000"/>
                                  </w:tcBorders>
                                </w:tcPr>
                                <w:p>
                                  <w:pPr>
                                    <w:pStyle w:val="TableParagraph"/>
                                    <w:spacing w:line="180" w:lineRule="exact"/>
                                    <w:ind w:left="100"/>
                                    <w:rPr>
                                      <w:b/>
                                      <w:sz w:val="16"/>
                                    </w:rPr>
                                  </w:pPr>
                                  <w:r>
                                    <w:rPr>
                                      <w:b/>
                                      <w:spacing w:val="-2"/>
                                      <w:sz w:val="16"/>
                                    </w:rPr>
                                    <w:t>Number</w:t>
                                  </w:r>
                                </w:p>
                              </w:tc>
                              <w:tc>
                                <w:tcPr>
                                  <w:tcW w:w="4762" w:type="dxa"/>
                                  <w:tcBorders>
                                    <w:bottom w:val="single" w:sz="8" w:space="0" w:color="000000"/>
                                  </w:tcBorders>
                                </w:tcPr>
                                <w:p>
                                  <w:pPr>
                                    <w:pStyle w:val="TableParagraph"/>
                                    <w:spacing w:line="177" w:lineRule="exact"/>
                                    <w:ind w:left="7"/>
                                    <w:jc w:val="center"/>
                                    <w:rPr>
                                      <w:b/>
                                      <w:sz w:val="16"/>
                                    </w:rPr>
                                  </w:pPr>
                                  <w:r>
                                    <w:rPr>
                                      <w:b/>
                                      <w:sz w:val="16"/>
                                    </w:rPr>
                                    <w:t>Exhibit </w:t>
                                  </w:r>
                                  <w:r>
                                    <w:rPr>
                                      <w:b/>
                                      <w:spacing w:val="-2"/>
                                      <w:sz w:val="16"/>
                                    </w:rPr>
                                    <w:t>Description</w:t>
                                  </w:r>
                                </w:p>
                              </w:tc>
                              <w:tc>
                                <w:tcPr>
                                  <w:tcW w:w="704" w:type="dxa"/>
                                  <w:tcBorders>
                                    <w:bottom w:val="single" w:sz="8" w:space="0" w:color="000000"/>
                                  </w:tcBorders>
                                </w:tcPr>
                                <w:p>
                                  <w:pPr>
                                    <w:pStyle w:val="TableParagraph"/>
                                    <w:spacing w:line="177" w:lineRule="exact"/>
                                    <w:ind w:left="1" w:right="1"/>
                                    <w:jc w:val="center"/>
                                    <w:rPr>
                                      <w:b/>
                                      <w:sz w:val="16"/>
                                    </w:rPr>
                                  </w:pPr>
                                  <w:r>
                                    <w:rPr>
                                      <w:b/>
                                      <w:spacing w:val="-4"/>
                                      <w:sz w:val="16"/>
                                    </w:rPr>
                                    <w:t>Form</w:t>
                                  </w:r>
                                </w:p>
                              </w:tc>
                              <w:tc>
                                <w:tcPr>
                                  <w:tcW w:w="1077" w:type="dxa"/>
                                  <w:tcBorders>
                                    <w:bottom w:val="single" w:sz="8" w:space="0" w:color="000000"/>
                                  </w:tcBorders>
                                </w:tcPr>
                                <w:p>
                                  <w:pPr>
                                    <w:pStyle w:val="TableParagraph"/>
                                    <w:spacing w:line="177" w:lineRule="exact"/>
                                    <w:ind w:right="165"/>
                                    <w:jc w:val="right"/>
                                    <w:rPr>
                                      <w:b/>
                                      <w:sz w:val="16"/>
                                    </w:rPr>
                                  </w:pPr>
                                  <w:r>
                                    <w:rPr>
                                      <w:b/>
                                      <w:sz w:val="16"/>
                                    </w:rPr>
                                    <w:t>Filing </w:t>
                                  </w:r>
                                  <w:r>
                                    <w:rPr>
                                      <w:b/>
                                      <w:spacing w:val="-4"/>
                                      <w:sz w:val="16"/>
                                    </w:rPr>
                                    <w:t>Date</w:t>
                                  </w:r>
                                </w:p>
                              </w:tc>
                              <w:tc>
                                <w:tcPr>
                                  <w:tcW w:w="792" w:type="dxa"/>
                                  <w:tcBorders>
                                    <w:bottom w:val="single" w:sz="8" w:space="0" w:color="000000"/>
                                  </w:tcBorders>
                                </w:tcPr>
                                <w:p>
                                  <w:pPr>
                                    <w:pStyle w:val="TableParagraph"/>
                                    <w:spacing w:line="180" w:lineRule="exact"/>
                                    <w:ind w:right="112"/>
                                    <w:jc w:val="right"/>
                                    <w:rPr>
                                      <w:b/>
                                      <w:sz w:val="16"/>
                                    </w:rPr>
                                  </w:pPr>
                                  <w:r>
                                    <w:rPr>
                                      <w:b/>
                                      <w:spacing w:val="-2"/>
                                      <w:sz w:val="16"/>
                                    </w:rPr>
                                    <w:t>Number</w:t>
                                  </w:r>
                                </w:p>
                              </w:tc>
                              <w:tc>
                                <w:tcPr>
                                  <w:tcW w:w="1178" w:type="dxa"/>
                                  <w:tcBorders>
                                    <w:bottom w:val="single" w:sz="8" w:space="0" w:color="000000"/>
                                  </w:tcBorders>
                                </w:tcPr>
                                <w:p>
                                  <w:pPr>
                                    <w:pStyle w:val="TableParagraph"/>
                                    <w:spacing w:line="177" w:lineRule="exact"/>
                                    <w:jc w:val="center"/>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10" w:type="dxa"/>
                                  <w:tcBorders>
                                    <w:bottom w:val="single" w:sz="8" w:space="0" w:color="000000"/>
                                  </w:tcBorders>
                                </w:tcPr>
                                <w:p>
                                  <w:pPr>
                                    <w:pStyle w:val="TableParagraph"/>
                                    <w:spacing w:line="180" w:lineRule="exact"/>
                                    <w:ind w:left="32"/>
                                    <w:jc w:val="center"/>
                                    <w:rPr>
                                      <w:b/>
                                      <w:sz w:val="16"/>
                                    </w:rPr>
                                  </w:pPr>
                                  <w:r>
                                    <w:rPr>
                                      <w:b/>
                                      <w:spacing w:val="-2"/>
                                      <w:sz w:val="16"/>
                                    </w:rPr>
                                    <w:t>Herewith</w:t>
                                  </w:r>
                                </w:p>
                              </w:tc>
                            </w:tr>
                            <w:tr>
                              <w:trPr>
                                <w:trHeight w:val="810" w:hRule="atLeast"/>
                              </w:trPr>
                              <w:tc>
                                <w:tcPr>
                                  <w:tcW w:w="868" w:type="dxa"/>
                                  <w:tcBorders>
                                    <w:top w:val="single" w:sz="8" w:space="0" w:color="000000"/>
                                  </w:tcBorders>
                                </w:tcPr>
                                <w:p>
                                  <w:pPr>
                                    <w:pStyle w:val="TableParagraph"/>
                                    <w:spacing w:before="21"/>
                                    <w:rPr>
                                      <w:b/>
                                      <w:sz w:val="20"/>
                                    </w:rPr>
                                  </w:pPr>
                                </w:p>
                                <w:p>
                                  <w:pPr>
                                    <w:pStyle w:val="TableParagraph"/>
                                    <w:spacing w:before="1"/>
                                    <w:ind w:right="104"/>
                                    <w:jc w:val="right"/>
                                    <w:rPr>
                                      <w:sz w:val="20"/>
                                    </w:rPr>
                                  </w:pPr>
                                  <w:r>
                                    <w:rPr>
                                      <w:spacing w:val="-4"/>
                                      <w:sz w:val="20"/>
                                    </w:rPr>
                                    <w:t>10.9</w:t>
                                  </w:r>
                                </w:p>
                              </w:tc>
                              <w:tc>
                                <w:tcPr>
                                  <w:tcW w:w="4762" w:type="dxa"/>
                                  <w:tcBorders>
                                    <w:top w:val="single" w:sz="8" w:space="0" w:color="000000"/>
                                  </w:tcBorders>
                                </w:tcPr>
                                <w:p>
                                  <w:pPr>
                                    <w:pStyle w:val="TableParagraph"/>
                                    <w:spacing w:before="46"/>
                                    <w:rPr>
                                      <w:b/>
                                      <w:sz w:val="20"/>
                                    </w:rPr>
                                  </w:pPr>
                                </w:p>
                                <w:p>
                                  <w:pPr>
                                    <w:pStyle w:val="TableParagraph"/>
                                    <w:spacing w:line="208" w:lineRule="auto"/>
                                    <w:ind w:left="95"/>
                                    <w:rPr>
                                      <w:sz w:val="20"/>
                                    </w:rPr>
                                  </w:pPr>
                                  <w:r>
                                    <w:rPr>
                                      <w:sz w:val="20"/>
                                    </w:rPr>
                                    <w:t>Omniture,</w:t>
                                  </w:r>
                                  <w:r>
                                    <w:rPr>
                                      <w:spacing w:val="-6"/>
                                      <w:sz w:val="20"/>
                                    </w:rPr>
                                    <w:t> </w:t>
                                  </w:r>
                                  <w:r>
                                    <w:rPr>
                                      <w:sz w:val="20"/>
                                    </w:rPr>
                                    <w:t>Inc.</w:t>
                                  </w:r>
                                  <w:r>
                                    <w:rPr>
                                      <w:spacing w:val="-6"/>
                                      <w:sz w:val="20"/>
                                    </w:rPr>
                                    <w:t> </w:t>
                                  </w:r>
                                  <w:r>
                                    <w:rPr>
                                      <w:sz w:val="20"/>
                                    </w:rPr>
                                    <w:t>2006</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related </w:t>
                                  </w:r>
                                  <w:r>
                                    <w:rPr>
                                      <w:spacing w:val="-2"/>
                                      <w:sz w:val="20"/>
                                    </w:rPr>
                                    <w:t>forms*</w:t>
                                  </w:r>
                                </w:p>
                              </w:tc>
                              <w:tc>
                                <w:tcPr>
                                  <w:tcW w:w="704" w:type="dxa"/>
                                  <w:tcBorders>
                                    <w:top w:val="single" w:sz="8" w:space="0" w:color="000000"/>
                                  </w:tcBorders>
                                </w:tcPr>
                                <w:p>
                                  <w:pPr>
                                    <w:pStyle w:val="TableParagraph"/>
                                    <w:spacing w:before="21"/>
                                    <w:rPr>
                                      <w:b/>
                                      <w:sz w:val="20"/>
                                    </w:rPr>
                                  </w:pPr>
                                </w:p>
                                <w:p>
                                  <w:pPr>
                                    <w:pStyle w:val="TableParagraph"/>
                                    <w:spacing w:before="1"/>
                                    <w:ind w:left="1" w:right="1"/>
                                    <w:jc w:val="center"/>
                                    <w:rPr>
                                      <w:sz w:val="20"/>
                                    </w:rPr>
                                  </w:pPr>
                                  <w:r>
                                    <w:rPr>
                                      <w:spacing w:val="-2"/>
                                      <w:sz w:val="20"/>
                                    </w:rPr>
                                    <w:t>10-</w:t>
                                  </w:r>
                                  <w:r>
                                    <w:rPr>
                                      <w:spacing w:val="-10"/>
                                      <w:sz w:val="20"/>
                                    </w:rPr>
                                    <w:t>Q</w:t>
                                  </w:r>
                                </w:p>
                              </w:tc>
                              <w:tc>
                                <w:tcPr>
                                  <w:tcW w:w="1077" w:type="dxa"/>
                                  <w:tcBorders>
                                    <w:top w:val="single" w:sz="8" w:space="0" w:color="000000"/>
                                  </w:tcBorders>
                                </w:tcPr>
                                <w:p>
                                  <w:pPr>
                                    <w:pStyle w:val="TableParagraph"/>
                                    <w:spacing w:before="21"/>
                                    <w:rPr>
                                      <w:b/>
                                      <w:sz w:val="20"/>
                                    </w:rPr>
                                  </w:pPr>
                                </w:p>
                                <w:p>
                                  <w:pPr>
                                    <w:pStyle w:val="TableParagraph"/>
                                    <w:spacing w:before="1"/>
                                    <w:ind w:right="106"/>
                                    <w:jc w:val="right"/>
                                    <w:rPr>
                                      <w:sz w:val="20"/>
                                    </w:rPr>
                                  </w:pPr>
                                  <w:r>
                                    <w:rPr>
                                      <w:spacing w:val="-2"/>
                                      <w:sz w:val="20"/>
                                    </w:rPr>
                                    <w:t>8/6/09</w:t>
                                  </w:r>
                                </w:p>
                              </w:tc>
                              <w:tc>
                                <w:tcPr>
                                  <w:tcW w:w="792" w:type="dxa"/>
                                  <w:tcBorders>
                                    <w:top w:val="single" w:sz="8" w:space="0" w:color="000000"/>
                                  </w:tcBorders>
                                </w:tcPr>
                                <w:p>
                                  <w:pPr>
                                    <w:pStyle w:val="TableParagraph"/>
                                    <w:spacing w:before="21"/>
                                    <w:rPr>
                                      <w:b/>
                                      <w:sz w:val="20"/>
                                    </w:rPr>
                                  </w:pPr>
                                </w:p>
                                <w:p>
                                  <w:pPr>
                                    <w:pStyle w:val="TableParagraph"/>
                                    <w:spacing w:before="1"/>
                                    <w:ind w:right="107"/>
                                    <w:jc w:val="right"/>
                                    <w:rPr>
                                      <w:sz w:val="20"/>
                                    </w:rPr>
                                  </w:pPr>
                                  <w:r>
                                    <w:rPr>
                                      <w:spacing w:val="-4"/>
                                      <w:sz w:val="20"/>
                                    </w:rPr>
                                    <w:t>10.3</w:t>
                                  </w:r>
                                </w:p>
                              </w:tc>
                              <w:tc>
                                <w:tcPr>
                                  <w:tcW w:w="1178" w:type="dxa"/>
                                  <w:tcBorders>
                                    <w:top w:val="single" w:sz="8" w:space="0" w:color="000000"/>
                                  </w:tcBorders>
                                </w:tcPr>
                                <w:p>
                                  <w:pPr>
                                    <w:pStyle w:val="TableParagraph"/>
                                    <w:spacing w:before="21"/>
                                    <w:rPr>
                                      <w:b/>
                                      <w:sz w:val="20"/>
                                    </w:rPr>
                                  </w:pPr>
                                </w:p>
                                <w:p>
                                  <w:pPr>
                                    <w:pStyle w:val="TableParagraph"/>
                                    <w:spacing w:before="1"/>
                                    <w:ind w:left="121" w:right="7"/>
                                    <w:jc w:val="center"/>
                                    <w:rPr>
                                      <w:sz w:val="20"/>
                                    </w:rPr>
                                  </w:pPr>
                                  <w:r>
                                    <w:rPr>
                                      <w:sz w:val="20"/>
                                    </w:rPr>
                                    <w:t>000-</w:t>
                                  </w:r>
                                  <w:r>
                                    <w:rPr>
                                      <w:spacing w:val="-2"/>
                                      <w:sz w:val="20"/>
                                    </w:rPr>
                                    <w:t>52076</w:t>
                                  </w:r>
                                </w:p>
                              </w:tc>
                              <w:tc>
                                <w:tcPr>
                                  <w:tcW w:w="810" w:type="dxa"/>
                                  <w:tcBorders>
                                    <w:top w:val="single" w:sz="8" w:space="0" w:color="000000"/>
                                  </w:tcBorders>
                                </w:tcPr>
                                <w:p>
                                  <w:pPr>
                                    <w:pStyle w:val="TableParagraph"/>
                                    <w:rPr>
                                      <w:sz w:val="18"/>
                                    </w:rPr>
                                  </w:pPr>
                                </w:p>
                              </w:tc>
                            </w:tr>
                            <w:tr>
                              <w:trPr>
                                <w:trHeight w:val="700" w:hRule="atLeast"/>
                              </w:trPr>
                              <w:tc>
                                <w:tcPr>
                                  <w:tcW w:w="868" w:type="dxa"/>
                                </w:tcPr>
                                <w:p>
                                  <w:pPr>
                                    <w:pStyle w:val="TableParagraph"/>
                                    <w:spacing w:before="121"/>
                                    <w:ind w:right="104"/>
                                    <w:jc w:val="right"/>
                                    <w:rPr>
                                      <w:sz w:val="20"/>
                                    </w:rPr>
                                  </w:pPr>
                                  <w:r>
                                    <w:rPr>
                                      <w:spacing w:val="-2"/>
                                      <w:sz w:val="20"/>
                                    </w:rPr>
                                    <w:t>10.10</w:t>
                                  </w:r>
                                </w:p>
                              </w:tc>
                              <w:tc>
                                <w:tcPr>
                                  <w:tcW w:w="4762" w:type="dxa"/>
                                </w:tcPr>
                                <w:p>
                                  <w:pPr>
                                    <w:pStyle w:val="TableParagraph"/>
                                    <w:spacing w:line="208" w:lineRule="auto" w:before="145"/>
                                    <w:ind w:left="95"/>
                                    <w:rPr>
                                      <w:sz w:val="20"/>
                                    </w:rPr>
                                  </w:pPr>
                                  <w:r>
                                    <w:rPr>
                                      <w:sz w:val="20"/>
                                    </w:rPr>
                                    <w:t>Omniture,</w:t>
                                  </w:r>
                                  <w:r>
                                    <w:rPr>
                                      <w:spacing w:val="-6"/>
                                      <w:sz w:val="20"/>
                                    </w:rPr>
                                    <w:t> </w:t>
                                  </w:r>
                                  <w:r>
                                    <w:rPr>
                                      <w:sz w:val="20"/>
                                    </w:rPr>
                                    <w:t>Inc.</w:t>
                                  </w:r>
                                  <w:r>
                                    <w:rPr>
                                      <w:spacing w:val="-6"/>
                                      <w:sz w:val="20"/>
                                    </w:rPr>
                                    <w:t> </w:t>
                                  </w:r>
                                  <w:r>
                                    <w:rPr>
                                      <w:sz w:val="20"/>
                                    </w:rPr>
                                    <w:t>2007</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related </w:t>
                                  </w:r>
                                  <w:r>
                                    <w:rPr>
                                      <w:spacing w:val="-2"/>
                                      <w:sz w:val="20"/>
                                    </w:rPr>
                                    <w:t>forms*</w:t>
                                  </w:r>
                                </w:p>
                              </w:tc>
                              <w:tc>
                                <w:tcPr>
                                  <w:tcW w:w="704" w:type="dxa"/>
                                </w:tcPr>
                                <w:p>
                                  <w:pPr>
                                    <w:pStyle w:val="TableParagraph"/>
                                    <w:spacing w:before="121"/>
                                    <w:ind w:left="1" w:right="1"/>
                                    <w:jc w:val="center"/>
                                    <w:rPr>
                                      <w:sz w:val="20"/>
                                    </w:rPr>
                                  </w:pPr>
                                  <w:r>
                                    <w:rPr>
                                      <w:spacing w:val="-2"/>
                                      <w:sz w:val="20"/>
                                    </w:rPr>
                                    <w:t>10-</w:t>
                                  </w:r>
                                  <w:r>
                                    <w:rPr>
                                      <w:spacing w:val="-10"/>
                                      <w:sz w:val="20"/>
                                    </w:rPr>
                                    <w:t>K</w:t>
                                  </w:r>
                                </w:p>
                              </w:tc>
                              <w:tc>
                                <w:tcPr>
                                  <w:tcW w:w="1077" w:type="dxa"/>
                                </w:tcPr>
                                <w:p>
                                  <w:pPr>
                                    <w:pStyle w:val="TableParagraph"/>
                                    <w:spacing w:before="121"/>
                                    <w:ind w:right="106"/>
                                    <w:jc w:val="right"/>
                                    <w:rPr>
                                      <w:sz w:val="20"/>
                                    </w:rPr>
                                  </w:pPr>
                                  <w:r>
                                    <w:rPr>
                                      <w:spacing w:val="-2"/>
                                      <w:sz w:val="20"/>
                                    </w:rPr>
                                    <w:t>2/27/09</w:t>
                                  </w:r>
                                </w:p>
                              </w:tc>
                              <w:tc>
                                <w:tcPr>
                                  <w:tcW w:w="792" w:type="dxa"/>
                                </w:tcPr>
                                <w:p>
                                  <w:pPr>
                                    <w:pStyle w:val="TableParagraph"/>
                                    <w:spacing w:before="121"/>
                                    <w:ind w:right="107"/>
                                    <w:jc w:val="right"/>
                                    <w:rPr>
                                      <w:sz w:val="20"/>
                                    </w:rPr>
                                  </w:pPr>
                                  <w:r>
                                    <w:rPr>
                                      <w:spacing w:val="-4"/>
                                      <w:sz w:val="20"/>
                                    </w:rPr>
                                    <w:t>10.9</w:t>
                                  </w:r>
                                </w:p>
                              </w:tc>
                              <w:tc>
                                <w:tcPr>
                                  <w:tcW w:w="1178" w:type="dxa"/>
                                </w:tcPr>
                                <w:p>
                                  <w:pPr>
                                    <w:pStyle w:val="TableParagraph"/>
                                    <w:spacing w:before="121"/>
                                    <w:ind w:left="121" w:right="7"/>
                                    <w:jc w:val="center"/>
                                    <w:rPr>
                                      <w:sz w:val="20"/>
                                    </w:rPr>
                                  </w:pPr>
                                  <w:r>
                                    <w:rPr>
                                      <w:sz w:val="20"/>
                                    </w:rPr>
                                    <w:t>000-</w:t>
                                  </w:r>
                                  <w:r>
                                    <w:rPr>
                                      <w:spacing w:val="-2"/>
                                      <w:sz w:val="20"/>
                                    </w:rPr>
                                    <w:t>52076</w:t>
                                  </w:r>
                                </w:p>
                              </w:tc>
                              <w:tc>
                                <w:tcPr>
                                  <w:tcW w:w="810" w:type="dxa"/>
                                </w:tcPr>
                                <w:p>
                                  <w:pPr>
                                    <w:pStyle w:val="TableParagraph"/>
                                    <w:rPr>
                                      <w:sz w:val="18"/>
                                    </w:rPr>
                                  </w:pPr>
                                </w:p>
                              </w:tc>
                            </w:tr>
                            <w:tr>
                              <w:trPr>
                                <w:trHeight w:val="720" w:hRule="atLeast"/>
                              </w:trPr>
                              <w:tc>
                                <w:tcPr>
                                  <w:tcW w:w="868" w:type="dxa"/>
                                </w:tcPr>
                                <w:p>
                                  <w:pPr>
                                    <w:pStyle w:val="TableParagraph"/>
                                    <w:spacing w:before="140"/>
                                    <w:ind w:right="99"/>
                                    <w:jc w:val="right"/>
                                    <w:rPr>
                                      <w:sz w:val="20"/>
                                    </w:rPr>
                                  </w:pPr>
                                  <w:r>
                                    <w:rPr>
                                      <w:spacing w:val="-2"/>
                                      <w:sz w:val="20"/>
                                    </w:rPr>
                                    <w:t>10.11</w:t>
                                  </w:r>
                                </w:p>
                              </w:tc>
                              <w:tc>
                                <w:tcPr>
                                  <w:tcW w:w="4762" w:type="dxa"/>
                                </w:tcPr>
                                <w:p>
                                  <w:pPr>
                                    <w:pStyle w:val="TableParagraph"/>
                                    <w:spacing w:line="208" w:lineRule="auto" w:before="165"/>
                                    <w:ind w:left="95"/>
                                    <w:rPr>
                                      <w:sz w:val="20"/>
                                    </w:rPr>
                                  </w:pPr>
                                  <w:r>
                                    <w:rPr>
                                      <w:sz w:val="20"/>
                                    </w:rPr>
                                    <w:t>Omniture,</w:t>
                                  </w:r>
                                  <w:r>
                                    <w:rPr>
                                      <w:spacing w:val="-6"/>
                                      <w:sz w:val="20"/>
                                    </w:rPr>
                                    <w:t> </w:t>
                                  </w:r>
                                  <w:r>
                                    <w:rPr>
                                      <w:sz w:val="20"/>
                                    </w:rPr>
                                    <w:t>Inc.</w:t>
                                  </w:r>
                                  <w:r>
                                    <w:rPr>
                                      <w:spacing w:val="-6"/>
                                      <w:sz w:val="20"/>
                                    </w:rPr>
                                    <w:t> </w:t>
                                  </w:r>
                                  <w:r>
                                    <w:rPr>
                                      <w:sz w:val="20"/>
                                    </w:rPr>
                                    <w:t>2008</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related </w:t>
                                  </w:r>
                                  <w:r>
                                    <w:rPr>
                                      <w:spacing w:val="-2"/>
                                      <w:sz w:val="20"/>
                                    </w:rPr>
                                    <w:t>forms*</w:t>
                                  </w:r>
                                </w:p>
                              </w:tc>
                              <w:tc>
                                <w:tcPr>
                                  <w:tcW w:w="704" w:type="dxa"/>
                                </w:tcPr>
                                <w:p>
                                  <w:pPr>
                                    <w:pStyle w:val="TableParagraph"/>
                                    <w:spacing w:before="140"/>
                                    <w:ind w:left="1" w:right="1"/>
                                    <w:jc w:val="center"/>
                                    <w:rPr>
                                      <w:sz w:val="20"/>
                                    </w:rPr>
                                  </w:pPr>
                                  <w:r>
                                    <w:rPr>
                                      <w:spacing w:val="-2"/>
                                      <w:sz w:val="20"/>
                                    </w:rPr>
                                    <w:t>10-</w:t>
                                  </w:r>
                                  <w:r>
                                    <w:rPr>
                                      <w:spacing w:val="-10"/>
                                      <w:sz w:val="20"/>
                                    </w:rPr>
                                    <w:t>K</w:t>
                                  </w:r>
                                </w:p>
                              </w:tc>
                              <w:tc>
                                <w:tcPr>
                                  <w:tcW w:w="1077" w:type="dxa"/>
                                </w:tcPr>
                                <w:p>
                                  <w:pPr>
                                    <w:pStyle w:val="TableParagraph"/>
                                    <w:spacing w:before="140"/>
                                    <w:ind w:right="106"/>
                                    <w:jc w:val="right"/>
                                    <w:rPr>
                                      <w:sz w:val="20"/>
                                    </w:rPr>
                                  </w:pPr>
                                  <w:r>
                                    <w:rPr>
                                      <w:spacing w:val="-2"/>
                                      <w:sz w:val="20"/>
                                    </w:rPr>
                                    <w:t>2/27/09</w:t>
                                  </w:r>
                                </w:p>
                              </w:tc>
                              <w:tc>
                                <w:tcPr>
                                  <w:tcW w:w="792" w:type="dxa"/>
                                </w:tcPr>
                                <w:p>
                                  <w:pPr>
                                    <w:pStyle w:val="TableParagraph"/>
                                    <w:spacing w:before="140"/>
                                    <w:ind w:right="107"/>
                                    <w:jc w:val="right"/>
                                    <w:rPr>
                                      <w:sz w:val="20"/>
                                    </w:rPr>
                                  </w:pPr>
                                  <w:r>
                                    <w:rPr>
                                      <w:spacing w:val="-2"/>
                                      <w:sz w:val="20"/>
                                    </w:rPr>
                                    <w:t>10.10</w:t>
                                  </w:r>
                                </w:p>
                              </w:tc>
                              <w:tc>
                                <w:tcPr>
                                  <w:tcW w:w="1178" w:type="dxa"/>
                                </w:tcPr>
                                <w:p>
                                  <w:pPr>
                                    <w:pStyle w:val="TableParagraph"/>
                                    <w:spacing w:before="140"/>
                                    <w:ind w:left="121" w:right="7"/>
                                    <w:jc w:val="center"/>
                                    <w:rPr>
                                      <w:sz w:val="20"/>
                                    </w:rPr>
                                  </w:pPr>
                                  <w:r>
                                    <w:rPr>
                                      <w:sz w:val="20"/>
                                    </w:rPr>
                                    <w:t>000-</w:t>
                                  </w:r>
                                  <w:r>
                                    <w:rPr>
                                      <w:spacing w:val="-2"/>
                                      <w:sz w:val="20"/>
                                    </w:rPr>
                                    <w:t>52076</w:t>
                                  </w:r>
                                </w:p>
                              </w:tc>
                              <w:tc>
                                <w:tcPr>
                                  <w:tcW w:w="810" w:type="dxa"/>
                                </w:tcPr>
                                <w:p>
                                  <w:pPr>
                                    <w:pStyle w:val="TableParagraph"/>
                                    <w:rPr>
                                      <w:sz w:val="18"/>
                                    </w:rPr>
                                  </w:pPr>
                                </w:p>
                              </w:tc>
                            </w:tr>
                            <w:tr>
                              <w:trPr>
                                <w:trHeight w:val="560" w:hRule="atLeast"/>
                              </w:trPr>
                              <w:tc>
                                <w:tcPr>
                                  <w:tcW w:w="868" w:type="dxa"/>
                                </w:tcPr>
                                <w:p>
                                  <w:pPr>
                                    <w:pStyle w:val="TableParagraph"/>
                                    <w:spacing w:before="140"/>
                                    <w:ind w:right="111"/>
                                    <w:jc w:val="right"/>
                                    <w:rPr>
                                      <w:sz w:val="20"/>
                                    </w:rPr>
                                  </w:pPr>
                                  <w:r>
                                    <w:rPr>
                                      <w:spacing w:val="-2"/>
                                      <w:sz w:val="20"/>
                                    </w:rPr>
                                    <w:t>10.12</w:t>
                                  </w:r>
                                </w:p>
                              </w:tc>
                              <w:tc>
                                <w:tcPr>
                                  <w:tcW w:w="4762" w:type="dxa"/>
                                </w:tcPr>
                                <w:p>
                                  <w:pPr>
                                    <w:pStyle w:val="TableParagraph"/>
                                    <w:spacing w:before="140"/>
                                    <w:ind w:left="95"/>
                                    <w:rPr>
                                      <w:sz w:val="20"/>
                                    </w:rPr>
                                  </w:pPr>
                                  <w:r>
                                    <w:rPr>
                                      <w:sz w:val="20"/>
                                    </w:rPr>
                                    <w:t>Demdex,</w:t>
                                  </w:r>
                                  <w:r>
                                    <w:rPr>
                                      <w:spacing w:val="-1"/>
                                      <w:sz w:val="20"/>
                                    </w:rPr>
                                    <w:t> </w:t>
                                  </w:r>
                                  <w:r>
                                    <w:rPr>
                                      <w:sz w:val="20"/>
                                    </w:rPr>
                                    <w:t>Inc. 2008 Stock Plan, as</w:t>
                                  </w:r>
                                  <w:r>
                                    <w:rPr>
                                      <w:spacing w:val="-1"/>
                                      <w:sz w:val="20"/>
                                    </w:rPr>
                                    <w:t> </w:t>
                                  </w:r>
                                  <w:r>
                                    <w:rPr>
                                      <w:spacing w:val="-2"/>
                                      <w:sz w:val="20"/>
                                    </w:rPr>
                                    <w:t>amended*</w:t>
                                  </w:r>
                                </w:p>
                              </w:tc>
                              <w:tc>
                                <w:tcPr>
                                  <w:tcW w:w="704" w:type="dxa"/>
                                </w:tcPr>
                                <w:p>
                                  <w:pPr>
                                    <w:pStyle w:val="TableParagraph"/>
                                    <w:spacing w:before="140"/>
                                    <w:ind w:left="1"/>
                                    <w:jc w:val="center"/>
                                    <w:rPr>
                                      <w:sz w:val="20"/>
                                    </w:rPr>
                                  </w:pPr>
                                  <w:r>
                                    <w:rPr>
                                      <w:sz w:val="20"/>
                                    </w:rPr>
                                    <w:t>S-</w:t>
                                  </w:r>
                                  <w:r>
                                    <w:rPr>
                                      <w:spacing w:val="-10"/>
                                      <w:sz w:val="20"/>
                                    </w:rPr>
                                    <w:t>8</w:t>
                                  </w:r>
                                </w:p>
                              </w:tc>
                              <w:tc>
                                <w:tcPr>
                                  <w:tcW w:w="1077" w:type="dxa"/>
                                </w:tcPr>
                                <w:p>
                                  <w:pPr>
                                    <w:pStyle w:val="TableParagraph"/>
                                    <w:spacing w:before="140"/>
                                    <w:ind w:right="102"/>
                                    <w:jc w:val="right"/>
                                    <w:rPr>
                                      <w:sz w:val="20"/>
                                    </w:rPr>
                                  </w:pPr>
                                  <w:r>
                                    <w:rPr>
                                      <w:spacing w:val="-2"/>
                                      <w:sz w:val="20"/>
                                    </w:rPr>
                                    <w:t>1/27/11</w:t>
                                  </w:r>
                                </w:p>
                              </w:tc>
                              <w:tc>
                                <w:tcPr>
                                  <w:tcW w:w="792" w:type="dxa"/>
                                </w:tcPr>
                                <w:p>
                                  <w:pPr>
                                    <w:pStyle w:val="TableParagraph"/>
                                    <w:spacing w:before="140"/>
                                    <w:ind w:right="107"/>
                                    <w:jc w:val="right"/>
                                    <w:rPr>
                                      <w:sz w:val="20"/>
                                    </w:rPr>
                                  </w:pPr>
                                  <w:r>
                                    <w:rPr>
                                      <w:spacing w:val="-4"/>
                                      <w:sz w:val="20"/>
                                    </w:rPr>
                                    <w:t>99.1</w:t>
                                  </w:r>
                                </w:p>
                              </w:tc>
                              <w:tc>
                                <w:tcPr>
                                  <w:tcW w:w="1178" w:type="dxa"/>
                                </w:tcPr>
                                <w:p>
                                  <w:pPr>
                                    <w:pStyle w:val="TableParagraph"/>
                                    <w:spacing w:before="140"/>
                                    <w:ind w:left="21" w:right="7"/>
                                    <w:jc w:val="center"/>
                                    <w:rPr>
                                      <w:sz w:val="20"/>
                                    </w:rPr>
                                  </w:pPr>
                                  <w:r>
                                    <w:rPr>
                                      <w:sz w:val="20"/>
                                    </w:rPr>
                                    <w:t>333-</w:t>
                                  </w:r>
                                  <w:r>
                                    <w:rPr>
                                      <w:spacing w:val="-2"/>
                                      <w:sz w:val="20"/>
                                    </w:rPr>
                                    <w:t>171902</w:t>
                                  </w:r>
                                </w:p>
                              </w:tc>
                              <w:tc>
                                <w:tcPr>
                                  <w:tcW w:w="810" w:type="dxa"/>
                                </w:tcPr>
                                <w:p>
                                  <w:pPr>
                                    <w:pStyle w:val="TableParagraph"/>
                                    <w:rPr>
                                      <w:sz w:val="18"/>
                                    </w:rPr>
                                  </w:pPr>
                                </w:p>
                              </w:tc>
                            </w:tr>
                            <w:tr>
                              <w:trPr>
                                <w:trHeight w:val="590" w:hRule="atLeast"/>
                              </w:trPr>
                              <w:tc>
                                <w:tcPr>
                                  <w:tcW w:w="868" w:type="dxa"/>
                                </w:tcPr>
                                <w:p>
                                  <w:pPr>
                                    <w:pStyle w:val="TableParagraph"/>
                                    <w:spacing w:before="180"/>
                                    <w:ind w:right="104"/>
                                    <w:jc w:val="right"/>
                                    <w:rPr>
                                      <w:sz w:val="20"/>
                                    </w:rPr>
                                  </w:pPr>
                                  <w:r>
                                    <w:rPr>
                                      <w:spacing w:val="-2"/>
                                      <w:sz w:val="20"/>
                                    </w:rPr>
                                    <w:t>10.13</w:t>
                                  </w:r>
                                </w:p>
                              </w:tc>
                              <w:tc>
                                <w:tcPr>
                                  <w:tcW w:w="4762" w:type="dxa"/>
                                </w:tcPr>
                                <w:p>
                                  <w:pPr>
                                    <w:pStyle w:val="TableParagraph"/>
                                    <w:spacing w:before="180"/>
                                    <w:ind w:left="95"/>
                                    <w:rPr>
                                      <w:sz w:val="20"/>
                                    </w:rPr>
                                  </w:pPr>
                                  <w:r>
                                    <w:rPr>
                                      <w:sz w:val="20"/>
                                    </w:rPr>
                                    <w:t>2014 Executive</w:t>
                                  </w:r>
                                  <w:r>
                                    <w:rPr>
                                      <w:spacing w:val="-12"/>
                                      <w:sz w:val="20"/>
                                    </w:rPr>
                                    <w:t> </w:t>
                                  </w:r>
                                  <w:r>
                                    <w:rPr>
                                      <w:sz w:val="20"/>
                                    </w:rPr>
                                    <w:t>Annual Incentive </w:t>
                                  </w:r>
                                  <w:r>
                                    <w:rPr>
                                      <w:spacing w:val="-2"/>
                                      <w:sz w:val="20"/>
                                    </w:rPr>
                                    <w:t>Plan*</w:t>
                                  </w:r>
                                </w:p>
                              </w:tc>
                              <w:tc>
                                <w:tcPr>
                                  <w:tcW w:w="704" w:type="dxa"/>
                                </w:tcPr>
                                <w:p>
                                  <w:pPr>
                                    <w:pStyle w:val="TableParagraph"/>
                                    <w:spacing w:before="180"/>
                                    <w:ind w:left="1" w:right="1"/>
                                    <w:jc w:val="center"/>
                                    <w:rPr>
                                      <w:sz w:val="20"/>
                                    </w:rPr>
                                  </w:pPr>
                                  <w:r>
                                    <w:rPr>
                                      <w:spacing w:val="-2"/>
                                      <w:sz w:val="20"/>
                                    </w:rPr>
                                    <w:t>8-</w:t>
                                  </w:r>
                                  <w:r>
                                    <w:rPr>
                                      <w:spacing w:val="-10"/>
                                      <w:sz w:val="20"/>
                                    </w:rPr>
                                    <w:t>K</w:t>
                                  </w:r>
                                </w:p>
                              </w:tc>
                              <w:tc>
                                <w:tcPr>
                                  <w:tcW w:w="1077" w:type="dxa"/>
                                </w:tcPr>
                                <w:p>
                                  <w:pPr>
                                    <w:pStyle w:val="TableParagraph"/>
                                    <w:spacing w:before="180"/>
                                    <w:ind w:right="106"/>
                                    <w:jc w:val="right"/>
                                    <w:rPr>
                                      <w:sz w:val="20"/>
                                    </w:rPr>
                                  </w:pPr>
                                  <w:r>
                                    <w:rPr>
                                      <w:spacing w:val="-2"/>
                                      <w:sz w:val="20"/>
                                    </w:rPr>
                                    <w:t>1/29/14</w:t>
                                  </w:r>
                                </w:p>
                              </w:tc>
                              <w:tc>
                                <w:tcPr>
                                  <w:tcW w:w="792" w:type="dxa"/>
                                </w:tcPr>
                                <w:p>
                                  <w:pPr>
                                    <w:pStyle w:val="TableParagraph"/>
                                    <w:spacing w:before="180"/>
                                    <w:ind w:right="107"/>
                                    <w:jc w:val="right"/>
                                    <w:rPr>
                                      <w:sz w:val="20"/>
                                    </w:rPr>
                                  </w:pPr>
                                  <w:r>
                                    <w:rPr>
                                      <w:spacing w:val="-4"/>
                                      <w:sz w:val="20"/>
                                    </w:rPr>
                                    <w:t>10.5</w:t>
                                  </w:r>
                                </w:p>
                              </w:tc>
                              <w:tc>
                                <w:tcPr>
                                  <w:tcW w:w="1178" w:type="dxa"/>
                                </w:tcPr>
                                <w:p>
                                  <w:pPr>
                                    <w:pStyle w:val="TableParagraph"/>
                                    <w:spacing w:before="18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60" w:hRule="atLeast"/>
                              </w:trPr>
                              <w:tc>
                                <w:tcPr>
                                  <w:tcW w:w="868" w:type="dxa"/>
                                </w:tcPr>
                                <w:p>
                                  <w:pPr>
                                    <w:pStyle w:val="TableParagraph"/>
                                    <w:spacing w:before="170"/>
                                    <w:ind w:right="104"/>
                                    <w:jc w:val="right"/>
                                    <w:rPr>
                                      <w:sz w:val="20"/>
                                    </w:rPr>
                                  </w:pPr>
                                  <w:r>
                                    <w:rPr>
                                      <w:spacing w:val="-2"/>
                                      <w:sz w:val="20"/>
                                    </w:rPr>
                                    <w:t>10.14</w:t>
                                  </w:r>
                                </w:p>
                              </w:tc>
                              <w:tc>
                                <w:tcPr>
                                  <w:tcW w:w="4762" w:type="dxa"/>
                                </w:tcPr>
                                <w:p>
                                  <w:pPr>
                                    <w:pStyle w:val="TableParagraph"/>
                                    <w:spacing w:before="170"/>
                                    <w:ind w:left="95"/>
                                    <w:rPr>
                                      <w:sz w:val="20"/>
                                    </w:rPr>
                                  </w:pPr>
                                  <w:r>
                                    <w:rPr>
                                      <w:sz w:val="20"/>
                                    </w:rPr>
                                    <w:t>2015 Executive</w:t>
                                  </w:r>
                                  <w:r>
                                    <w:rPr>
                                      <w:spacing w:val="-12"/>
                                      <w:sz w:val="20"/>
                                    </w:rPr>
                                    <w:t> </w:t>
                                  </w:r>
                                  <w:r>
                                    <w:rPr>
                                      <w:sz w:val="20"/>
                                    </w:rPr>
                                    <w:t>Annual Incentive </w:t>
                                  </w:r>
                                  <w:r>
                                    <w:rPr>
                                      <w:spacing w:val="-2"/>
                                      <w:sz w:val="20"/>
                                    </w:rPr>
                                    <w:t>Plan*</w:t>
                                  </w:r>
                                </w:p>
                              </w:tc>
                              <w:tc>
                                <w:tcPr>
                                  <w:tcW w:w="704" w:type="dxa"/>
                                </w:tcPr>
                                <w:p>
                                  <w:pPr>
                                    <w:pStyle w:val="TableParagraph"/>
                                    <w:spacing w:before="170"/>
                                    <w:ind w:left="1" w:right="1"/>
                                    <w:jc w:val="center"/>
                                    <w:rPr>
                                      <w:sz w:val="20"/>
                                    </w:rPr>
                                  </w:pPr>
                                  <w:r>
                                    <w:rPr>
                                      <w:spacing w:val="-2"/>
                                      <w:sz w:val="20"/>
                                    </w:rPr>
                                    <w:t>8-</w:t>
                                  </w:r>
                                  <w:r>
                                    <w:rPr>
                                      <w:spacing w:val="-10"/>
                                      <w:sz w:val="20"/>
                                    </w:rPr>
                                    <w:t>K</w:t>
                                  </w:r>
                                </w:p>
                              </w:tc>
                              <w:tc>
                                <w:tcPr>
                                  <w:tcW w:w="1077" w:type="dxa"/>
                                </w:tcPr>
                                <w:p>
                                  <w:pPr>
                                    <w:pStyle w:val="TableParagraph"/>
                                    <w:spacing w:before="170"/>
                                    <w:ind w:right="106"/>
                                    <w:jc w:val="right"/>
                                    <w:rPr>
                                      <w:sz w:val="20"/>
                                    </w:rPr>
                                  </w:pPr>
                                  <w:r>
                                    <w:rPr>
                                      <w:spacing w:val="-2"/>
                                      <w:sz w:val="20"/>
                                    </w:rPr>
                                    <w:t>1/28/15</w:t>
                                  </w:r>
                                </w:p>
                              </w:tc>
                              <w:tc>
                                <w:tcPr>
                                  <w:tcW w:w="792" w:type="dxa"/>
                                </w:tcPr>
                                <w:p>
                                  <w:pPr>
                                    <w:pStyle w:val="TableParagraph"/>
                                    <w:spacing w:before="170"/>
                                    <w:ind w:right="107"/>
                                    <w:jc w:val="right"/>
                                    <w:rPr>
                                      <w:sz w:val="20"/>
                                    </w:rPr>
                                  </w:pPr>
                                  <w:r>
                                    <w:rPr>
                                      <w:spacing w:val="-4"/>
                                      <w:sz w:val="20"/>
                                    </w:rPr>
                                    <w:t>10.5</w:t>
                                  </w:r>
                                </w:p>
                              </w:tc>
                              <w:tc>
                                <w:tcPr>
                                  <w:tcW w:w="1178" w:type="dxa"/>
                                </w:tcPr>
                                <w:p>
                                  <w:pPr>
                                    <w:pStyle w:val="TableParagraph"/>
                                    <w:spacing w:before="17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10.15</w:t>
                                  </w:r>
                                </w:p>
                              </w:tc>
                              <w:tc>
                                <w:tcPr>
                                  <w:tcW w:w="4762" w:type="dxa"/>
                                </w:tcPr>
                                <w:p>
                                  <w:pPr>
                                    <w:pStyle w:val="TableParagraph"/>
                                    <w:spacing w:before="150"/>
                                    <w:ind w:left="95"/>
                                    <w:rPr>
                                      <w:sz w:val="20"/>
                                    </w:rPr>
                                  </w:pPr>
                                  <w:r>
                                    <w:rPr>
                                      <w:sz w:val="20"/>
                                    </w:rPr>
                                    <w:t>2016 Executive</w:t>
                                  </w:r>
                                  <w:r>
                                    <w:rPr>
                                      <w:spacing w:val="-12"/>
                                      <w:sz w:val="20"/>
                                    </w:rPr>
                                    <w:t> </w:t>
                                  </w:r>
                                  <w:r>
                                    <w:rPr>
                                      <w:sz w:val="20"/>
                                    </w:rPr>
                                    <w:t>Annual Incentive </w:t>
                                  </w:r>
                                  <w:r>
                                    <w:rPr>
                                      <w:spacing w:val="-2"/>
                                      <w:sz w:val="20"/>
                                    </w:rPr>
                                    <w:t>Plan*</w:t>
                                  </w:r>
                                </w:p>
                              </w:tc>
                              <w:tc>
                                <w:tcPr>
                                  <w:tcW w:w="704" w:type="dxa"/>
                                </w:tcPr>
                                <w:p>
                                  <w:pPr>
                                    <w:pStyle w:val="TableParagraph"/>
                                    <w:spacing w:before="150"/>
                                    <w:ind w:left="1" w:right="1"/>
                                    <w:jc w:val="center"/>
                                    <w:rPr>
                                      <w:sz w:val="20"/>
                                    </w:rPr>
                                  </w:pPr>
                                  <w:r>
                                    <w:rPr>
                                      <w:spacing w:val="-2"/>
                                      <w:sz w:val="20"/>
                                    </w:rPr>
                                    <w:t>8-</w:t>
                                  </w:r>
                                  <w:r>
                                    <w:rPr>
                                      <w:spacing w:val="-10"/>
                                      <w:sz w:val="20"/>
                                    </w:rPr>
                                    <w:t>K</w:t>
                                  </w:r>
                                </w:p>
                              </w:tc>
                              <w:tc>
                                <w:tcPr>
                                  <w:tcW w:w="1077" w:type="dxa"/>
                                </w:tcPr>
                                <w:p>
                                  <w:pPr>
                                    <w:pStyle w:val="TableParagraph"/>
                                    <w:spacing w:before="150"/>
                                    <w:ind w:right="106"/>
                                    <w:jc w:val="right"/>
                                    <w:rPr>
                                      <w:sz w:val="20"/>
                                    </w:rPr>
                                  </w:pPr>
                                  <w:r>
                                    <w:rPr>
                                      <w:spacing w:val="-2"/>
                                      <w:sz w:val="20"/>
                                    </w:rPr>
                                    <w:t>1/29/16</w:t>
                                  </w:r>
                                </w:p>
                              </w:tc>
                              <w:tc>
                                <w:tcPr>
                                  <w:tcW w:w="792" w:type="dxa"/>
                                </w:tcPr>
                                <w:p>
                                  <w:pPr>
                                    <w:pStyle w:val="TableParagraph"/>
                                    <w:spacing w:before="150"/>
                                    <w:ind w:right="107"/>
                                    <w:jc w:val="right"/>
                                    <w:rPr>
                                      <w:sz w:val="20"/>
                                    </w:rPr>
                                  </w:pPr>
                                  <w:r>
                                    <w:rPr>
                                      <w:spacing w:val="-4"/>
                                      <w:sz w:val="20"/>
                                    </w:rPr>
                                    <w:t>10.5</w:t>
                                  </w:r>
                                </w:p>
                              </w:tc>
                              <w:tc>
                                <w:tcPr>
                                  <w:tcW w:w="1178" w:type="dxa"/>
                                </w:tcPr>
                                <w:p>
                                  <w:pPr>
                                    <w:pStyle w:val="TableParagraph"/>
                                    <w:spacing w:before="15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10.16</w:t>
                                  </w:r>
                                </w:p>
                              </w:tc>
                              <w:tc>
                                <w:tcPr>
                                  <w:tcW w:w="4762" w:type="dxa"/>
                                </w:tcPr>
                                <w:p>
                                  <w:pPr>
                                    <w:pStyle w:val="TableParagraph"/>
                                    <w:spacing w:before="150"/>
                                    <w:ind w:left="95"/>
                                    <w:rPr>
                                      <w:sz w:val="20"/>
                                    </w:rPr>
                                  </w:pPr>
                                  <w:r>
                                    <w:rPr>
                                      <w:sz w:val="20"/>
                                    </w:rPr>
                                    <w:t>2016</w:t>
                                  </w:r>
                                  <w:r>
                                    <w:rPr>
                                      <w:spacing w:val="-1"/>
                                      <w:sz w:val="20"/>
                                    </w:rPr>
                                    <w:t> </w:t>
                                  </w:r>
                                  <w:r>
                                    <w:rPr>
                                      <w:sz w:val="20"/>
                                    </w:rPr>
                                    <w:t>Executive</w:t>
                                  </w:r>
                                  <w:r>
                                    <w:rPr>
                                      <w:spacing w:val="-1"/>
                                      <w:sz w:val="20"/>
                                    </w:rPr>
                                    <w:t> </w:t>
                                  </w:r>
                                  <w:r>
                                    <w:rPr>
                                      <w:sz w:val="20"/>
                                    </w:rPr>
                                    <w:t>Cash</w:t>
                                  </w:r>
                                  <w:r>
                                    <w:rPr>
                                      <w:spacing w:val="-1"/>
                                      <w:sz w:val="20"/>
                                    </w:rPr>
                                    <w:t> </w:t>
                                  </w:r>
                                  <w:r>
                                    <w:rPr>
                                      <w:sz w:val="20"/>
                                    </w:rPr>
                                    <w:t>Performance</w:t>
                                  </w:r>
                                  <w:r>
                                    <w:rPr>
                                      <w:spacing w:val="-1"/>
                                      <w:sz w:val="20"/>
                                    </w:rPr>
                                    <w:t> </w:t>
                                  </w:r>
                                  <w:r>
                                    <w:rPr>
                                      <w:sz w:val="20"/>
                                    </w:rPr>
                                    <w:t>Bonus</w:t>
                                  </w:r>
                                  <w:r>
                                    <w:rPr>
                                      <w:spacing w:val="-1"/>
                                      <w:sz w:val="20"/>
                                    </w:rPr>
                                    <w:t> </w:t>
                                  </w:r>
                                  <w:r>
                                    <w:rPr>
                                      <w:spacing w:val="-2"/>
                                      <w:sz w:val="20"/>
                                    </w:rPr>
                                    <w:t>Plan*</w:t>
                                  </w:r>
                                </w:p>
                              </w:tc>
                              <w:tc>
                                <w:tcPr>
                                  <w:tcW w:w="704" w:type="dxa"/>
                                </w:tcPr>
                                <w:p>
                                  <w:pPr>
                                    <w:pStyle w:val="TableParagraph"/>
                                    <w:spacing w:before="150"/>
                                    <w:ind w:left="1" w:right="1"/>
                                    <w:jc w:val="center"/>
                                    <w:rPr>
                                      <w:sz w:val="20"/>
                                    </w:rPr>
                                  </w:pPr>
                                  <w:r>
                                    <w:rPr>
                                      <w:spacing w:val="-2"/>
                                      <w:sz w:val="20"/>
                                    </w:rPr>
                                    <w:t>8-</w:t>
                                  </w:r>
                                  <w:r>
                                    <w:rPr>
                                      <w:spacing w:val="-10"/>
                                      <w:sz w:val="20"/>
                                    </w:rPr>
                                    <w:t>K</w:t>
                                  </w:r>
                                </w:p>
                              </w:tc>
                              <w:tc>
                                <w:tcPr>
                                  <w:tcW w:w="1077" w:type="dxa"/>
                                </w:tcPr>
                                <w:p>
                                  <w:pPr>
                                    <w:pStyle w:val="TableParagraph"/>
                                    <w:spacing w:before="150"/>
                                    <w:ind w:right="106"/>
                                    <w:jc w:val="right"/>
                                    <w:rPr>
                                      <w:sz w:val="20"/>
                                    </w:rPr>
                                  </w:pPr>
                                  <w:r>
                                    <w:rPr>
                                      <w:spacing w:val="-2"/>
                                      <w:sz w:val="20"/>
                                    </w:rPr>
                                    <w:t>1/29/16</w:t>
                                  </w:r>
                                </w:p>
                              </w:tc>
                              <w:tc>
                                <w:tcPr>
                                  <w:tcW w:w="792" w:type="dxa"/>
                                </w:tcPr>
                                <w:p>
                                  <w:pPr>
                                    <w:pStyle w:val="TableParagraph"/>
                                    <w:spacing w:before="150"/>
                                    <w:ind w:right="107"/>
                                    <w:jc w:val="right"/>
                                    <w:rPr>
                                      <w:sz w:val="20"/>
                                    </w:rPr>
                                  </w:pPr>
                                  <w:r>
                                    <w:rPr>
                                      <w:spacing w:val="-4"/>
                                      <w:sz w:val="20"/>
                                    </w:rPr>
                                    <w:t>10.4</w:t>
                                  </w:r>
                                </w:p>
                              </w:tc>
                              <w:tc>
                                <w:tcPr>
                                  <w:tcW w:w="1178" w:type="dxa"/>
                                </w:tcPr>
                                <w:p>
                                  <w:pPr>
                                    <w:pStyle w:val="TableParagraph"/>
                                    <w:spacing w:before="15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10.17</w:t>
                                  </w:r>
                                </w:p>
                              </w:tc>
                              <w:tc>
                                <w:tcPr>
                                  <w:tcW w:w="4762" w:type="dxa"/>
                                </w:tcPr>
                                <w:p>
                                  <w:pPr>
                                    <w:pStyle w:val="TableParagraph"/>
                                    <w:spacing w:before="150"/>
                                    <w:ind w:left="95"/>
                                    <w:rPr>
                                      <w:sz w:val="20"/>
                                    </w:rPr>
                                  </w:pPr>
                                  <w:r>
                                    <w:rPr>
                                      <w:sz w:val="20"/>
                                    </w:rPr>
                                    <w:t>2017 Executive</w:t>
                                  </w:r>
                                  <w:r>
                                    <w:rPr>
                                      <w:spacing w:val="-12"/>
                                      <w:sz w:val="20"/>
                                    </w:rPr>
                                    <w:t> </w:t>
                                  </w:r>
                                  <w:r>
                                    <w:rPr>
                                      <w:sz w:val="20"/>
                                    </w:rPr>
                                    <w:t>Annual Incentive </w:t>
                                  </w:r>
                                  <w:r>
                                    <w:rPr>
                                      <w:spacing w:val="-2"/>
                                      <w:sz w:val="20"/>
                                    </w:rPr>
                                    <w:t>Plan*</w:t>
                                  </w:r>
                                </w:p>
                              </w:tc>
                              <w:tc>
                                <w:tcPr>
                                  <w:tcW w:w="704" w:type="dxa"/>
                                </w:tcPr>
                                <w:p>
                                  <w:pPr>
                                    <w:pStyle w:val="TableParagraph"/>
                                    <w:spacing w:before="150"/>
                                    <w:ind w:left="1" w:right="1"/>
                                    <w:jc w:val="center"/>
                                    <w:rPr>
                                      <w:sz w:val="20"/>
                                    </w:rPr>
                                  </w:pPr>
                                  <w:r>
                                    <w:rPr>
                                      <w:spacing w:val="-2"/>
                                      <w:sz w:val="20"/>
                                    </w:rPr>
                                    <w:t>8-</w:t>
                                  </w:r>
                                  <w:r>
                                    <w:rPr>
                                      <w:spacing w:val="-10"/>
                                      <w:sz w:val="20"/>
                                    </w:rPr>
                                    <w:t>K</w:t>
                                  </w:r>
                                </w:p>
                              </w:tc>
                              <w:tc>
                                <w:tcPr>
                                  <w:tcW w:w="1077" w:type="dxa"/>
                                </w:tcPr>
                                <w:p>
                                  <w:pPr>
                                    <w:pStyle w:val="TableParagraph"/>
                                    <w:spacing w:before="150"/>
                                    <w:ind w:right="106"/>
                                    <w:jc w:val="right"/>
                                    <w:rPr>
                                      <w:sz w:val="20"/>
                                    </w:rPr>
                                  </w:pPr>
                                  <w:r>
                                    <w:rPr>
                                      <w:spacing w:val="-2"/>
                                      <w:sz w:val="20"/>
                                    </w:rPr>
                                    <w:t>1/27/17</w:t>
                                  </w:r>
                                </w:p>
                              </w:tc>
                              <w:tc>
                                <w:tcPr>
                                  <w:tcW w:w="792" w:type="dxa"/>
                                </w:tcPr>
                                <w:p>
                                  <w:pPr>
                                    <w:pStyle w:val="TableParagraph"/>
                                    <w:spacing w:before="150"/>
                                    <w:ind w:right="107"/>
                                    <w:jc w:val="right"/>
                                    <w:rPr>
                                      <w:sz w:val="20"/>
                                    </w:rPr>
                                  </w:pPr>
                                  <w:r>
                                    <w:rPr>
                                      <w:spacing w:val="-4"/>
                                      <w:sz w:val="20"/>
                                    </w:rPr>
                                    <w:t>10.5</w:t>
                                  </w:r>
                                </w:p>
                              </w:tc>
                              <w:tc>
                                <w:tcPr>
                                  <w:tcW w:w="1178" w:type="dxa"/>
                                </w:tcPr>
                                <w:p>
                                  <w:pPr>
                                    <w:pStyle w:val="TableParagraph"/>
                                    <w:spacing w:before="15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10.18</w:t>
                                  </w:r>
                                </w:p>
                              </w:tc>
                              <w:tc>
                                <w:tcPr>
                                  <w:tcW w:w="4762" w:type="dxa"/>
                                </w:tcPr>
                                <w:p>
                                  <w:pPr>
                                    <w:pStyle w:val="TableParagraph"/>
                                    <w:spacing w:before="150"/>
                                    <w:ind w:left="95"/>
                                    <w:rPr>
                                      <w:sz w:val="20"/>
                                    </w:rPr>
                                  </w:pPr>
                                  <w:r>
                                    <w:rPr>
                                      <w:sz w:val="20"/>
                                    </w:rPr>
                                    <w:t>EchoSign,</w:t>
                                  </w:r>
                                  <w:r>
                                    <w:rPr>
                                      <w:spacing w:val="-1"/>
                                      <w:sz w:val="20"/>
                                    </w:rPr>
                                    <w:t> </w:t>
                                  </w:r>
                                  <w:r>
                                    <w:rPr>
                                      <w:sz w:val="20"/>
                                    </w:rPr>
                                    <w:t>Inc. 2005 Stock Plan, as</w:t>
                                  </w:r>
                                  <w:r>
                                    <w:rPr>
                                      <w:spacing w:val="-1"/>
                                      <w:sz w:val="20"/>
                                    </w:rPr>
                                    <w:t> </w:t>
                                  </w:r>
                                  <w:r>
                                    <w:rPr>
                                      <w:spacing w:val="-2"/>
                                      <w:sz w:val="20"/>
                                    </w:rPr>
                                    <w:t>amended*</w:t>
                                  </w:r>
                                </w:p>
                              </w:tc>
                              <w:tc>
                                <w:tcPr>
                                  <w:tcW w:w="704" w:type="dxa"/>
                                </w:tcPr>
                                <w:p>
                                  <w:pPr>
                                    <w:pStyle w:val="TableParagraph"/>
                                    <w:spacing w:before="150"/>
                                    <w:ind w:left="1"/>
                                    <w:jc w:val="center"/>
                                    <w:rPr>
                                      <w:sz w:val="20"/>
                                    </w:rPr>
                                  </w:pPr>
                                  <w:r>
                                    <w:rPr>
                                      <w:sz w:val="20"/>
                                    </w:rPr>
                                    <w:t>S-</w:t>
                                  </w:r>
                                  <w:r>
                                    <w:rPr>
                                      <w:spacing w:val="-10"/>
                                      <w:sz w:val="20"/>
                                    </w:rPr>
                                    <w:t>8</w:t>
                                  </w:r>
                                </w:p>
                              </w:tc>
                              <w:tc>
                                <w:tcPr>
                                  <w:tcW w:w="1077" w:type="dxa"/>
                                </w:tcPr>
                                <w:p>
                                  <w:pPr>
                                    <w:pStyle w:val="TableParagraph"/>
                                    <w:spacing w:before="150"/>
                                    <w:ind w:right="102"/>
                                    <w:jc w:val="right"/>
                                    <w:rPr>
                                      <w:sz w:val="20"/>
                                    </w:rPr>
                                  </w:pPr>
                                  <w:r>
                                    <w:rPr>
                                      <w:spacing w:val="-2"/>
                                      <w:sz w:val="20"/>
                                    </w:rPr>
                                    <w:t>7/29/11</w:t>
                                  </w:r>
                                </w:p>
                              </w:tc>
                              <w:tc>
                                <w:tcPr>
                                  <w:tcW w:w="792" w:type="dxa"/>
                                </w:tcPr>
                                <w:p>
                                  <w:pPr>
                                    <w:pStyle w:val="TableParagraph"/>
                                    <w:spacing w:before="150"/>
                                    <w:ind w:right="107"/>
                                    <w:jc w:val="right"/>
                                    <w:rPr>
                                      <w:sz w:val="20"/>
                                    </w:rPr>
                                  </w:pPr>
                                  <w:r>
                                    <w:rPr>
                                      <w:spacing w:val="-4"/>
                                      <w:sz w:val="20"/>
                                    </w:rPr>
                                    <w:t>99.1</w:t>
                                  </w:r>
                                </w:p>
                              </w:tc>
                              <w:tc>
                                <w:tcPr>
                                  <w:tcW w:w="1178" w:type="dxa"/>
                                </w:tcPr>
                                <w:p>
                                  <w:pPr>
                                    <w:pStyle w:val="TableParagraph"/>
                                    <w:spacing w:before="150"/>
                                    <w:ind w:left="21" w:right="7"/>
                                    <w:jc w:val="center"/>
                                    <w:rPr>
                                      <w:sz w:val="20"/>
                                    </w:rPr>
                                  </w:pPr>
                                  <w:r>
                                    <w:rPr>
                                      <w:sz w:val="20"/>
                                    </w:rPr>
                                    <w:t>333-</w:t>
                                  </w:r>
                                  <w:r>
                                    <w:rPr>
                                      <w:spacing w:val="-2"/>
                                      <w:sz w:val="20"/>
                                    </w:rPr>
                                    <w:t>175910</w:t>
                                  </w:r>
                                </w:p>
                              </w:tc>
                              <w:tc>
                                <w:tcPr>
                                  <w:tcW w:w="810" w:type="dxa"/>
                                </w:tcPr>
                                <w:p>
                                  <w:pPr>
                                    <w:pStyle w:val="TableParagraph"/>
                                    <w:rPr>
                                      <w:sz w:val="18"/>
                                    </w:rPr>
                                  </w:pPr>
                                </w:p>
                              </w:tc>
                            </w:tr>
                            <w:tr>
                              <w:trPr>
                                <w:trHeight w:val="560" w:hRule="atLeast"/>
                              </w:trPr>
                              <w:tc>
                                <w:tcPr>
                                  <w:tcW w:w="868" w:type="dxa"/>
                                </w:tcPr>
                                <w:p>
                                  <w:pPr>
                                    <w:pStyle w:val="TableParagraph"/>
                                    <w:spacing w:before="150"/>
                                    <w:ind w:right="104"/>
                                    <w:jc w:val="right"/>
                                    <w:rPr>
                                      <w:sz w:val="20"/>
                                    </w:rPr>
                                  </w:pPr>
                                  <w:r>
                                    <w:rPr>
                                      <w:spacing w:val="-2"/>
                                      <w:sz w:val="20"/>
                                    </w:rPr>
                                    <w:t>10.19</w:t>
                                  </w:r>
                                </w:p>
                              </w:tc>
                              <w:tc>
                                <w:tcPr>
                                  <w:tcW w:w="4762" w:type="dxa"/>
                                </w:tcPr>
                                <w:p>
                                  <w:pPr>
                                    <w:pStyle w:val="TableParagraph"/>
                                    <w:spacing w:before="150"/>
                                    <w:ind w:left="95"/>
                                    <w:rPr>
                                      <w:sz w:val="20"/>
                                    </w:rPr>
                                  </w:pPr>
                                  <w:r>
                                    <w:rPr>
                                      <w:sz w:val="20"/>
                                    </w:rPr>
                                    <w:t>TypeKit,</w:t>
                                  </w:r>
                                  <w:r>
                                    <w:rPr>
                                      <w:spacing w:val="-5"/>
                                      <w:sz w:val="20"/>
                                    </w:rPr>
                                    <w:t> </w:t>
                                  </w:r>
                                  <w:r>
                                    <w:rPr>
                                      <w:sz w:val="20"/>
                                    </w:rPr>
                                    <w:t>Inc.</w:t>
                                  </w:r>
                                  <w:r>
                                    <w:rPr>
                                      <w:spacing w:val="-2"/>
                                      <w:sz w:val="20"/>
                                    </w:rPr>
                                    <w:t> </w:t>
                                  </w:r>
                                  <w:r>
                                    <w:rPr>
                                      <w:sz w:val="20"/>
                                    </w:rPr>
                                    <w:t>2009</w:t>
                                  </w:r>
                                  <w:r>
                                    <w:rPr>
                                      <w:spacing w:val="-2"/>
                                      <w:sz w:val="20"/>
                                    </w:rPr>
                                    <w:t> </w:t>
                                  </w:r>
                                  <w:r>
                                    <w:rPr>
                                      <w:sz w:val="20"/>
                                    </w:rPr>
                                    <w:t>Equity</w:t>
                                  </w:r>
                                  <w:r>
                                    <w:rPr>
                                      <w:spacing w:val="-2"/>
                                      <w:sz w:val="20"/>
                                    </w:rPr>
                                    <w:t> </w:t>
                                  </w:r>
                                  <w:r>
                                    <w:rPr>
                                      <w:sz w:val="20"/>
                                    </w:rPr>
                                    <w:t>Incentive</w:t>
                                  </w:r>
                                  <w:r>
                                    <w:rPr>
                                      <w:spacing w:val="-2"/>
                                      <w:sz w:val="20"/>
                                    </w:rPr>
                                    <w:t> </w:t>
                                  </w:r>
                                  <w:r>
                                    <w:rPr>
                                      <w:sz w:val="20"/>
                                    </w:rPr>
                                    <w:t>Plan,</w:t>
                                  </w:r>
                                  <w:r>
                                    <w:rPr>
                                      <w:spacing w:val="-2"/>
                                      <w:sz w:val="20"/>
                                    </w:rPr>
                                    <w:t> </w:t>
                                  </w:r>
                                  <w:r>
                                    <w:rPr>
                                      <w:sz w:val="20"/>
                                    </w:rPr>
                                    <w:t>as</w:t>
                                  </w:r>
                                  <w:r>
                                    <w:rPr>
                                      <w:spacing w:val="-3"/>
                                      <w:sz w:val="20"/>
                                    </w:rPr>
                                    <w:t> </w:t>
                                  </w:r>
                                  <w:r>
                                    <w:rPr>
                                      <w:spacing w:val="-2"/>
                                      <w:sz w:val="20"/>
                                    </w:rPr>
                                    <w:t>amended*</w:t>
                                  </w:r>
                                </w:p>
                              </w:tc>
                              <w:tc>
                                <w:tcPr>
                                  <w:tcW w:w="704" w:type="dxa"/>
                                </w:tcPr>
                                <w:p>
                                  <w:pPr>
                                    <w:pStyle w:val="TableParagraph"/>
                                    <w:spacing w:before="150"/>
                                    <w:ind w:left="1"/>
                                    <w:jc w:val="center"/>
                                    <w:rPr>
                                      <w:sz w:val="20"/>
                                    </w:rPr>
                                  </w:pPr>
                                  <w:r>
                                    <w:rPr>
                                      <w:sz w:val="20"/>
                                    </w:rPr>
                                    <w:t>S-</w:t>
                                  </w:r>
                                  <w:r>
                                    <w:rPr>
                                      <w:spacing w:val="-10"/>
                                      <w:sz w:val="20"/>
                                    </w:rPr>
                                    <w:t>8</w:t>
                                  </w:r>
                                </w:p>
                              </w:tc>
                              <w:tc>
                                <w:tcPr>
                                  <w:tcW w:w="1077" w:type="dxa"/>
                                </w:tcPr>
                                <w:p>
                                  <w:pPr>
                                    <w:pStyle w:val="TableParagraph"/>
                                    <w:spacing w:before="150"/>
                                    <w:ind w:right="106"/>
                                    <w:jc w:val="right"/>
                                    <w:rPr>
                                      <w:sz w:val="20"/>
                                    </w:rPr>
                                  </w:pPr>
                                  <w:r>
                                    <w:rPr>
                                      <w:spacing w:val="-2"/>
                                      <w:sz w:val="20"/>
                                    </w:rPr>
                                    <w:t>10/7/11</w:t>
                                  </w:r>
                                </w:p>
                              </w:tc>
                              <w:tc>
                                <w:tcPr>
                                  <w:tcW w:w="792" w:type="dxa"/>
                                </w:tcPr>
                                <w:p>
                                  <w:pPr>
                                    <w:pStyle w:val="TableParagraph"/>
                                    <w:spacing w:before="150"/>
                                    <w:ind w:right="107"/>
                                    <w:jc w:val="right"/>
                                    <w:rPr>
                                      <w:sz w:val="20"/>
                                    </w:rPr>
                                  </w:pPr>
                                  <w:r>
                                    <w:rPr>
                                      <w:spacing w:val="-4"/>
                                      <w:sz w:val="20"/>
                                    </w:rPr>
                                    <w:t>99.1</w:t>
                                  </w:r>
                                </w:p>
                              </w:tc>
                              <w:tc>
                                <w:tcPr>
                                  <w:tcW w:w="1178" w:type="dxa"/>
                                </w:tcPr>
                                <w:p>
                                  <w:pPr>
                                    <w:pStyle w:val="TableParagraph"/>
                                    <w:spacing w:before="150"/>
                                    <w:ind w:left="21" w:right="7"/>
                                    <w:jc w:val="center"/>
                                    <w:rPr>
                                      <w:sz w:val="20"/>
                                    </w:rPr>
                                  </w:pPr>
                                  <w:r>
                                    <w:rPr>
                                      <w:sz w:val="20"/>
                                    </w:rPr>
                                    <w:t>333-</w:t>
                                  </w:r>
                                  <w:r>
                                    <w:rPr>
                                      <w:spacing w:val="-2"/>
                                      <w:sz w:val="20"/>
                                    </w:rPr>
                                    <w:t>177229</w:t>
                                  </w:r>
                                </w:p>
                              </w:tc>
                              <w:tc>
                                <w:tcPr>
                                  <w:tcW w:w="810" w:type="dxa"/>
                                </w:tcPr>
                                <w:p>
                                  <w:pPr>
                                    <w:pStyle w:val="TableParagraph"/>
                                    <w:rPr>
                                      <w:sz w:val="18"/>
                                    </w:rPr>
                                  </w:pPr>
                                </w:p>
                              </w:tc>
                            </w:tr>
                            <w:tr>
                              <w:trPr>
                                <w:trHeight w:val="550" w:hRule="atLeast"/>
                              </w:trPr>
                              <w:tc>
                                <w:tcPr>
                                  <w:tcW w:w="868" w:type="dxa"/>
                                </w:tcPr>
                                <w:p>
                                  <w:pPr>
                                    <w:pStyle w:val="TableParagraph"/>
                                    <w:spacing w:before="170"/>
                                    <w:ind w:right="104"/>
                                    <w:jc w:val="right"/>
                                    <w:rPr>
                                      <w:sz w:val="20"/>
                                    </w:rPr>
                                  </w:pPr>
                                  <w:r>
                                    <w:rPr>
                                      <w:spacing w:val="-2"/>
                                      <w:sz w:val="20"/>
                                    </w:rPr>
                                    <w:t>10.20</w:t>
                                  </w:r>
                                </w:p>
                              </w:tc>
                              <w:tc>
                                <w:tcPr>
                                  <w:tcW w:w="4762" w:type="dxa"/>
                                </w:tcPr>
                                <w:p>
                                  <w:pPr>
                                    <w:pStyle w:val="TableParagraph"/>
                                    <w:spacing w:before="170"/>
                                    <w:ind w:left="95"/>
                                    <w:rPr>
                                      <w:sz w:val="20"/>
                                    </w:rPr>
                                  </w:pPr>
                                  <w:r>
                                    <w:rPr>
                                      <w:sz w:val="20"/>
                                    </w:rPr>
                                    <w:t>Auditude,</w:t>
                                  </w:r>
                                  <w:r>
                                    <w:rPr>
                                      <w:spacing w:val="-1"/>
                                      <w:sz w:val="20"/>
                                    </w:rPr>
                                    <w:t> </w:t>
                                  </w:r>
                                  <w:r>
                                    <w:rPr>
                                      <w:sz w:val="20"/>
                                    </w:rPr>
                                    <w:t>Inc. 2009 Equity Incentive Plan, as</w:t>
                                  </w:r>
                                  <w:r>
                                    <w:rPr>
                                      <w:spacing w:val="-1"/>
                                      <w:sz w:val="20"/>
                                    </w:rPr>
                                    <w:t> </w:t>
                                  </w:r>
                                  <w:r>
                                    <w:rPr>
                                      <w:spacing w:val="-2"/>
                                      <w:sz w:val="20"/>
                                    </w:rPr>
                                    <w:t>amended*</w:t>
                                  </w:r>
                                </w:p>
                              </w:tc>
                              <w:tc>
                                <w:tcPr>
                                  <w:tcW w:w="704" w:type="dxa"/>
                                </w:tcPr>
                                <w:p>
                                  <w:pPr>
                                    <w:pStyle w:val="TableParagraph"/>
                                    <w:spacing w:before="170"/>
                                    <w:ind w:left="1"/>
                                    <w:jc w:val="center"/>
                                    <w:rPr>
                                      <w:sz w:val="20"/>
                                    </w:rPr>
                                  </w:pPr>
                                  <w:r>
                                    <w:rPr>
                                      <w:sz w:val="20"/>
                                    </w:rPr>
                                    <w:t>S-</w:t>
                                  </w:r>
                                  <w:r>
                                    <w:rPr>
                                      <w:spacing w:val="-10"/>
                                      <w:sz w:val="20"/>
                                    </w:rPr>
                                    <w:t>8</w:t>
                                  </w:r>
                                </w:p>
                              </w:tc>
                              <w:tc>
                                <w:tcPr>
                                  <w:tcW w:w="1077" w:type="dxa"/>
                                </w:tcPr>
                                <w:p>
                                  <w:pPr>
                                    <w:pStyle w:val="TableParagraph"/>
                                    <w:spacing w:before="170"/>
                                    <w:ind w:right="106"/>
                                    <w:jc w:val="right"/>
                                    <w:rPr>
                                      <w:sz w:val="20"/>
                                    </w:rPr>
                                  </w:pPr>
                                  <w:r>
                                    <w:rPr>
                                      <w:spacing w:val="-2"/>
                                      <w:sz w:val="20"/>
                                    </w:rPr>
                                    <w:t>11/18/11</w:t>
                                  </w:r>
                                </w:p>
                              </w:tc>
                              <w:tc>
                                <w:tcPr>
                                  <w:tcW w:w="792" w:type="dxa"/>
                                </w:tcPr>
                                <w:p>
                                  <w:pPr>
                                    <w:pStyle w:val="TableParagraph"/>
                                    <w:spacing w:before="170"/>
                                    <w:ind w:right="107"/>
                                    <w:jc w:val="right"/>
                                    <w:rPr>
                                      <w:sz w:val="20"/>
                                    </w:rPr>
                                  </w:pPr>
                                  <w:r>
                                    <w:rPr>
                                      <w:spacing w:val="-4"/>
                                      <w:sz w:val="20"/>
                                    </w:rPr>
                                    <w:t>99.1</w:t>
                                  </w:r>
                                </w:p>
                              </w:tc>
                              <w:tc>
                                <w:tcPr>
                                  <w:tcW w:w="1178" w:type="dxa"/>
                                </w:tcPr>
                                <w:p>
                                  <w:pPr>
                                    <w:pStyle w:val="TableParagraph"/>
                                    <w:spacing w:before="170"/>
                                    <w:ind w:left="21" w:right="7"/>
                                    <w:jc w:val="center"/>
                                    <w:rPr>
                                      <w:sz w:val="20"/>
                                    </w:rPr>
                                  </w:pPr>
                                  <w:r>
                                    <w:rPr>
                                      <w:sz w:val="20"/>
                                    </w:rPr>
                                    <w:t>333-</w:t>
                                  </w:r>
                                  <w:r>
                                    <w:rPr>
                                      <w:spacing w:val="-2"/>
                                      <w:sz w:val="20"/>
                                    </w:rPr>
                                    <w:t>178065</w:t>
                                  </w:r>
                                </w:p>
                              </w:tc>
                              <w:tc>
                                <w:tcPr>
                                  <w:tcW w:w="810" w:type="dxa"/>
                                </w:tcPr>
                                <w:p>
                                  <w:pPr>
                                    <w:pStyle w:val="TableParagraph"/>
                                    <w:rPr>
                                      <w:sz w:val="18"/>
                                    </w:rPr>
                                  </w:pPr>
                                </w:p>
                              </w:tc>
                            </w:tr>
                            <w:tr>
                              <w:trPr>
                                <w:trHeight w:val="609" w:hRule="atLeast"/>
                              </w:trPr>
                              <w:tc>
                                <w:tcPr>
                                  <w:tcW w:w="868" w:type="dxa"/>
                                </w:tcPr>
                                <w:p>
                                  <w:pPr>
                                    <w:pStyle w:val="TableParagraph"/>
                                    <w:spacing w:before="140"/>
                                    <w:ind w:right="104"/>
                                    <w:jc w:val="right"/>
                                    <w:rPr>
                                      <w:sz w:val="20"/>
                                    </w:rPr>
                                  </w:pPr>
                                  <w:r>
                                    <w:rPr>
                                      <w:spacing w:val="-2"/>
                                      <w:sz w:val="20"/>
                                    </w:rPr>
                                    <w:t>10.21</w:t>
                                  </w:r>
                                </w:p>
                              </w:tc>
                              <w:tc>
                                <w:tcPr>
                                  <w:tcW w:w="4762" w:type="dxa"/>
                                </w:tcPr>
                                <w:p>
                                  <w:pPr>
                                    <w:pStyle w:val="TableParagraph"/>
                                    <w:spacing w:line="208" w:lineRule="auto" w:before="165"/>
                                    <w:ind w:left="95" w:right="129"/>
                                    <w:rPr>
                                      <w:sz w:val="20"/>
                                    </w:rPr>
                                  </w:pPr>
                                  <w:r>
                                    <w:rPr>
                                      <w:sz w:val="20"/>
                                    </w:rPr>
                                    <w:t>Auditude,</w:t>
                                  </w:r>
                                  <w:r>
                                    <w:rPr>
                                      <w:spacing w:val="-7"/>
                                      <w:sz w:val="20"/>
                                    </w:rPr>
                                    <w:t> </w:t>
                                  </w:r>
                                  <w:r>
                                    <w:rPr>
                                      <w:sz w:val="20"/>
                                    </w:rPr>
                                    <w:t>Inc.</w:t>
                                  </w:r>
                                  <w:r>
                                    <w:rPr>
                                      <w:spacing w:val="-7"/>
                                      <w:sz w:val="20"/>
                                    </w:rPr>
                                    <w:t> </w:t>
                                  </w:r>
                                  <w:r>
                                    <w:rPr>
                                      <w:sz w:val="20"/>
                                    </w:rPr>
                                    <w:t>Employee</w:t>
                                  </w:r>
                                  <w:r>
                                    <w:rPr>
                                      <w:spacing w:val="-7"/>
                                      <w:sz w:val="20"/>
                                    </w:rPr>
                                    <w:t> </w:t>
                                  </w:r>
                                  <w:r>
                                    <w:rPr>
                                      <w:sz w:val="20"/>
                                    </w:rPr>
                                    <w:t>Stock</w:t>
                                  </w:r>
                                  <w:r>
                                    <w:rPr>
                                      <w:spacing w:val="-7"/>
                                      <w:sz w:val="20"/>
                                    </w:rPr>
                                    <w:t> </w:t>
                                  </w:r>
                                  <w:r>
                                    <w:rPr>
                                      <w:sz w:val="20"/>
                                    </w:rPr>
                                    <w:t>Option</w:t>
                                  </w:r>
                                  <w:r>
                                    <w:rPr>
                                      <w:spacing w:val="-7"/>
                                      <w:sz w:val="20"/>
                                    </w:rPr>
                                    <w:t> </w:t>
                                  </w:r>
                                  <w:r>
                                    <w:rPr>
                                      <w:sz w:val="20"/>
                                    </w:rPr>
                                    <w:t>Plan,</w:t>
                                  </w:r>
                                  <w:r>
                                    <w:rPr>
                                      <w:spacing w:val="-7"/>
                                      <w:sz w:val="20"/>
                                    </w:rPr>
                                    <w:t> </w:t>
                                  </w:r>
                                  <w:r>
                                    <w:rPr>
                                      <w:sz w:val="20"/>
                                    </w:rPr>
                                    <w:t>as </w:t>
                                  </w:r>
                                  <w:r>
                                    <w:rPr>
                                      <w:spacing w:val="-2"/>
                                      <w:sz w:val="20"/>
                                    </w:rPr>
                                    <w:t>amended*</w:t>
                                  </w:r>
                                </w:p>
                              </w:tc>
                              <w:tc>
                                <w:tcPr>
                                  <w:tcW w:w="704" w:type="dxa"/>
                                </w:tcPr>
                                <w:p>
                                  <w:pPr>
                                    <w:pStyle w:val="TableParagraph"/>
                                    <w:spacing w:before="140"/>
                                    <w:ind w:left="1"/>
                                    <w:jc w:val="center"/>
                                    <w:rPr>
                                      <w:sz w:val="20"/>
                                    </w:rPr>
                                  </w:pPr>
                                  <w:r>
                                    <w:rPr>
                                      <w:sz w:val="20"/>
                                    </w:rPr>
                                    <w:t>S-</w:t>
                                  </w:r>
                                  <w:r>
                                    <w:rPr>
                                      <w:spacing w:val="-10"/>
                                      <w:sz w:val="20"/>
                                    </w:rPr>
                                    <w:t>8</w:t>
                                  </w:r>
                                </w:p>
                              </w:tc>
                              <w:tc>
                                <w:tcPr>
                                  <w:tcW w:w="1077" w:type="dxa"/>
                                </w:tcPr>
                                <w:p>
                                  <w:pPr>
                                    <w:pStyle w:val="TableParagraph"/>
                                    <w:spacing w:before="140"/>
                                    <w:ind w:right="106"/>
                                    <w:jc w:val="right"/>
                                    <w:rPr>
                                      <w:sz w:val="20"/>
                                    </w:rPr>
                                  </w:pPr>
                                  <w:r>
                                    <w:rPr>
                                      <w:spacing w:val="-2"/>
                                      <w:sz w:val="20"/>
                                    </w:rPr>
                                    <w:t>11/18/11</w:t>
                                  </w:r>
                                </w:p>
                              </w:tc>
                              <w:tc>
                                <w:tcPr>
                                  <w:tcW w:w="792" w:type="dxa"/>
                                </w:tcPr>
                                <w:p>
                                  <w:pPr>
                                    <w:pStyle w:val="TableParagraph"/>
                                    <w:spacing w:before="140"/>
                                    <w:ind w:right="107"/>
                                    <w:jc w:val="right"/>
                                    <w:rPr>
                                      <w:sz w:val="20"/>
                                    </w:rPr>
                                  </w:pPr>
                                  <w:r>
                                    <w:rPr>
                                      <w:spacing w:val="-4"/>
                                      <w:sz w:val="20"/>
                                    </w:rPr>
                                    <w:t>99.2</w:t>
                                  </w:r>
                                </w:p>
                              </w:tc>
                              <w:tc>
                                <w:tcPr>
                                  <w:tcW w:w="1178" w:type="dxa"/>
                                </w:tcPr>
                                <w:p>
                                  <w:pPr>
                                    <w:pStyle w:val="TableParagraph"/>
                                    <w:spacing w:before="140"/>
                                    <w:ind w:left="21" w:right="7"/>
                                    <w:jc w:val="center"/>
                                    <w:rPr>
                                      <w:sz w:val="20"/>
                                    </w:rPr>
                                  </w:pPr>
                                  <w:r>
                                    <w:rPr>
                                      <w:sz w:val="20"/>
                                    </w:rPr>
                                    <w:t>333-</w:t>
                                  </w:r>
                                  <w:r>
                                    <w:rPr>
                                      <w:spacing w:val="-2"/>
                                      <w:sz w:val="20"/>
                                    </w:rPr>
                                    <w:t>178065</w:t>
                                  </w:r>
                                </w:p>
                              </w:tc>
                              <w:tc>
                                <w:tcPr>
                                  <w:tcW w:w="810" w:type="dxa"/>
                                </w:tcPr>
                                <w:p>
                                  <w:pPr>
                                    <w:pStyle w:val="TableParagraph"/>
                                    <w:rPr>
                                      <w:sz w:val="18"/>
                                    </w:rPr>
                                  </w:pPr>
                                </w:p>
                              </w:tc>
                            </w:tr>
                            <w:tr>
                              <w:trPr>
                                <w:trHeight w:val="500" w:hRule="atLeast"/>
                              </w:trPr>
                              <w:tc>
                                <w:tcPr>
                                  <w:tcW w:w="868" w:type="dxa"/>
                                </w:tcPr>
                                <w:p>
                                  <w:pPr>
                                    <w:pStyle w:val="TableParagraph"/>
                                    <w:spacing w:before="31"/>
                                    <w:ind w:right="104"/>
                                    <w:jc w:val="right"/>
                                    <w:rPr>
                                      <w:sz w:val="20"/>
                                    </w:rPr>
                                  </w:pPr>
                                  <w:r>
                                    <w:rPr>
                                      <w:spacing w:val="-2"/>
                                      <w:sz w:val="20"/>
                                    </w:rPr>
                                    <w:t>10.22</w:t>
                                  </w:r>
                                </w:p>
                              </w:tc>
                              <w:tc>
                                <w:tcPr>
                                  <w:tcW w:w="4762" w:type="dxa"/>
                                </w:tcPr>
                                <w:p>
                                  <w:pPr>
                                    <w:pStyle w:val="TableParagraph"/>
                                    <w:spacing w:line="208" w:lineRule="auto" w:before="55"/>
                                    <w:ind w:left="95" w:right="804"/>
                                    <w:rPr>
                                      <w:sz w:val="20"/>
                                    </w:rPr>
                                  </w:pPr>
                                  <w:r>
                                    <w:rPr>
                                      <w:sz w:val="20"/>
                                    </w:rPr>
                                    <w:t>Efficient</w:t>
                                  </w:r>
                                  <w:r>
                                    <w:rPr>
                                      <w:spacing w:val="-10"/>
                                      <w:sz w:val="20"/>
                                    </w:rPr>
                                    <w:t> </w:t>
                                  </w:r>
                                  <w:r>
                                    <w:rPr>
                                      <w:sz w:val="20"/>
                                    </w:rPr>
                                    <w:t>Frontier,</w:t>
                                  </w:r>
                                  <w:r>
                                    <w:rPr>
                                      <w:spacing w:val="-10"/>
                                      <w:sz w:val="20"/>
                                    </w:rPr>
                                    <w:t> </w:t>
                                  </w:r>
                                  <w:r>
                                    <w:rPr>
                                      <w:sz w:val="20"/>
                                    </w:rPr>
                                    <w:t>Inc.</w:t>
                                  </w:r>
                                  <w:r>
                                    <w:rPr>
                                      <w:spacing w:val="-10"/>
                                      <w:sz w:val="20"/>
                                    </w:rPr>
                                    <w:t> </w:t>
                                  </w:r>
                                  <w:r>
                                    <w:rPr>
                                      <w:sz w:val="20"/>
                                    </w:rPr>
                                    <w:t>2003</w:t>
                                  </w:r>
                                  <w:r>
                                    <w:rPr>
                                      <w:spacing w:val="-10"/>
                                      <w:sz w:val="20"/>
                                    </w:rPr>
                                    <w:t> </w:t>
                                  </w:r>
                                  <w:r>
                                    <w:rPr>
                                      <w:sz w:val="20"/>
                                    </w:rPr>
                                    <w:t>Stock</w:t>
                                  </w:r>
                                  <w:r>
                                    <w:rPr>
                                      <w:spacing w:val="-10"/>
                                      <w:sz w:val="20"/>
                                    </w:rPr>
                                    <w:t> </w:t>
                                  </w:r>
                                  <w:r>
                                    <w:rPr>
                                      <w:sz w:val="20"/>
                                    </w:rPr>
                                    <w:t>Option/Stock Issuance Plan, as Amended and Restated*</w:t>
                                  </w:r>
                                </w:p>
                              </w:tc>
                              <w:tc>
                                <w:tcPr>
                                  <w:tcW w:w="704" w:type="dxa"/>
                                </w:tcPr>
                                <w:p>
                                  <w:pPr>
                                    <w:pStyle w:val="TableParagraph"/>
                                    <w:spacing w:before="31"/>
                                    <w:ind w:left="1"/>
                                    <w:jc w:val="center"/>
                                    <w:rPr>
                                      <w:sz w:val="20"/>
                                    </w:rPr>
                                  </w:pPr>
                                  <w:r>
                                    <w:rPr>
                                      <w:sz w:val="20"/>
                                    </w:rPr>
                                    <w:t>S-</w:t>
                                  </w:r>
                                  <w:r>
                                    <w:rPr>
                                      <w:spacing w:val="-10"/>
                                      <w:sz w:val="20"/>
                                    </w:rPr>
                                    <w:t>8</w:t>
                                  </w:r>
                                </w:p>
                              </w:tc>
                              <w:tc>
                                <w:tcPr>
                                  <w:tcW w:w="1077" w:type="dxa"/>
                                </w:tcPr>
                                <w:p>
                                  <w:pPr>
                                    <w:pStyle w:val="TableParagraph"/>
                                    <w:spacing w:before="31"/>
                                    <w:ind w:right="106"/>
                                    <w:jc w:val="right"/>
                                    <w:rPr>
                                      <w:sz w:val="20"/>
                                    </w:rPr>
                                  </w:pPr>
                                  <w:r>
                                    <w:rPr>
                                      <w:spacing w:val="-2"/>
                                      <w:sz w:val="20"/>
                                    </w:rPr>
                                    <w:t>1/27/12</w:t>
                                  </w:r>
                                </w:p>
                              </w:tc>
                              <w:tc>
                                <w:tcPr>
                                  <w:tcW w:w="792" w:type="dxa"/>
                                </w:tcPr>
                                <w:p>
                                  <w:pPr>
                                    <w:pStyle w:val="TableParagraph"/>
                                    <w:spacing w:before="31"/>
                                    <w:ind w:right="107"/>
                                    <w:jc w:val="right"/>
                                    <w:rPr>
                                      <w:sz w:val="20"/>
                                    </w:rPr>
                                  </w:pPr>
                                  <w:r>
                                    <w:rPr>
                                      <w:spacing w:val="-4"/>
                                      <w:sz w:val="20"/>
                                    </w:rPr>
                                    <w:t>99.1</w:t>
                                  </w:r>
                                </w:p>
                              </w:tc>
                              <w:tc>
                                <w:tcPr>
                                  <w:tcW w:w="1178" w:type="dxa"/>
                                </w:tcPr>
                                <w:p>
                                  <w:pPr>
                                    <w:pStyle w:val="TableParagraph"/>
                                    <w:spacing w:before="31"/>
                                    <w:ind w:left="21" w:right="7"/>
                                    <w:jc w:val="center"/>
                                    <w:rPr>
                                      <w:sz w:val="20"/>
                                    </w:rPr>
                                  </w:pPr>
                                  <w:r>
                                    <w:rPr>
                                      <w:sz w:val="20"/>
                                    </w:rPr>
                                    <w:t>333-</w:t>
                                  </w:r>
                                  <w:r>
                                    <w:rPr>
                                      <w:spacing w:val="-2"/>
                                      <w:sz w:val="20"/>
                                    </w:rPr>
                                    <w:t>179221</w:t>
                                  </w:r>
                                </w:p>
                              </w:tc>
                              <w:tc>
                                <w:tcPr>
                                  <w:tcW w:w="810" w:type="dxa"/>
                                </w:tcPr>
                                <w:p>
                                  <w:pPr>
                                    <w:pStyle w:val="TableParagraph"/>
                                    <w:rPr>
                                      <w:sz w:val="18"/>
                                    </w:rPr>
                                  </w:pPr>
                                </w:p>
                              </w:tc>
                            </w:tr>
                            <w:tr>
                              <w:trPr>
                                <w:trHeight w:val="400" w:hRule="atLeast"/>
                              </w:trPr>
                              <w:tc>
                                <w:tcPr>
                                  <w:tcW w:w="868" w:type="dxa"/>
                                </w:tcPr>
                                <w:p>
                                  <w:pPr>
                                    <w:pStyle w:val="TableParagraph"/>
                                    <w:spacing w:before="31"/>
                                    <w:ind w:right="92"/>
                                    <w:jc w:val="right"/>
                                    <w:rPr>
                                      <w:sz w:val="20"/>
                                    </w:rPr>
                                  </w:pPr>
                                  <w:r>
                                    <w:rPr>
                                      <w:spacing w:val="-2"/>
                                      <w:sz w:val="20"/>
                                    </w:rPr>
                                    <w:t>10.23A</w:t>
                                  </w:r>
                                </w:p>
                              </w:tc>
                              <w:tc>
                                <w:tcPr>
                                  <w:tcW w:w="4762" w:type="dxa"/>
                                </w:tcPr>
                                <w:p>
                                  <w:pPr>
                                    <w:pStyle w:val="TableParagraph"/>
                                    <w:spacing w:before="31"/>
                                    <w:ind w:left="95"/>
                                    <w:rPr>
                                      <w:sz w:val="20"/>
                                    </w:rPr>
                                  </w:pPr>
                                  <w:r>
                                    <w:rPr>
                                      <w:sz w:val="20"/>
                                    </w:rPr>
                                    <w:t>Behance, Inc. 2012 Equity Incentive </w:t>
                                  </w:r>
                                  <w:r>
                                    <w:rPr>
                                      <w:spacing w:val="-2"/>
                                      <w:sz w:val="20"/>
                                    </w:rPr>
                                    <w:t>Plan*</w:t>
                                  </w:r>
                                </w:p>
                              </w:tc>
                              <w:tc>
                                <w:tcPr>
                                  <w:tcW w:w="704" w:type="dxa"/>
                                </w:tcPr>
                                <w:p>
                                  <w:pPr>
                                    <w:pStyle w:val="TableParagraph"/>
                                    <w:spacing w:before="31"/>
                                    <w:ind w:left="1"/>
                                    <w:jc w:val="center"/>
                                    <w:rPr>
                                      <w:sz w:val="20"/>
                                    </w:rPr>
                                  </w:pPr>
                                  <w:r>
                                    <w:rPr>
                                      <w:sz w:val="20"/>
                                    </w:rPr>
                                    <w:t>S-</w:t>
                                  </w:r>
                                  <w:r>
                                    <w:rPr>
                                      <w:spacing w:val="-10"/>
                                      <w:sz w:val="20"/>
                                    </w:rPr>
                                    <w:t>8</w:t>
                                  </w:r>
                                </w:p>
                              </w:tc>
                              <w:tc>
                                <w:tcPr>
                                  <w:tcW w:w="1077" w:type="dxa"/>
                                </w:tcPr>
                                <w:p>
                                  <w:pPr>
                                    <w:pStyle w:val="TableParagraph"/>
                                    <w:spacing w:before="31"/>
                                    <w:ind w:right="106"/>
                                    <w:jc w:val="right"/>
                                    <w:rPr>
                                      <w:sz w:val="20"/>
                                    </w:rPr>
                                  </w:pPr>
                                  <w:r>
                                    <w:rPr>
                                      <w:spacing w:val="-2"/>
                                      <w:sz w:val="20"/>
                                    </w:rPr>
                                    <w:t>1/23/13</w:t>
                                  </w:r>
                                </w:p>
                              </w:tc>
                              <w:tc>
                                <w:tcPr>
                                  <w:tcW w:w="792" w:type="dxa"/>
                                </w:tcPr>
                                <w:p>
                                  <w:pPr>
                                    <w:pStyle w:val="TableParagraph"/>
                                    <w:spacing w:before="31"/>
                                    <w:ind w:right="107"/>
                                    <w:jc w:val="right"/>
                                    <w:rPr>
                                      <w:sz w:val="20"/>
                                    </w:rPr>
                                  </w:pPr>
                                  <w:r>
                                    <w:rPr>
                                      <w:spacing w:val="-4"/>
                                      <w:sz w:val="20"/>
                                    </w:rPr>
                                    <w:t>99.1</w:t>
                                  </w:r>
                                </w:p>
                              </w:tc>
                              <w:tc>
                                <w:tcPr>
                                  <w:tcW w:w="1178" w:type="dxa"/>
                                </w:tcPr>
                                <w:p>
                                  <w:pPr>
                                    <w:pStyle w:val="TableParagraph"/>
                                    <w:spacing w:before="31"/>
                                    <w:ind w:left="21" w:right="7"/>
                                    <w:jc w:val="center"/>
                                    <w:rPr>
                                      <w:sz w:val="20"/>
                                    </w:rPr>
                                  </w:pPr>
                                  <w:r>
                                    <w:rPr>
                                      <w:sz w:val="20"/>
                                    </w:rPr>
                                    <w:t>333-</w:t>
                                  </w:r>
                                  <w:r>
                                    <w:rPr>
                                      <w:spacing w:val="-2"/>
                                      <w:sz w:val="20"/>
                                    </w:rPr>
                                    <w:t>186143</w:t>
                                  </w:r>
                                </w:p>
                              </w:tc>
                              <w:tc>
                                <w:tcPr>
                                  <w:tcW w:w="810" w:type="dxa"/>
                                </w:tcPr>
                                <w:p>
                                  <w:pPr>
                                    <w:pStyle w:val="TableParagraph"/>
                                    <w:rPr>
                                      <w:sz w:val="18"/>
                                    </w:rPr>
                                  </w:pPr>
                                </w:p>
                              </w:tc>
                            </w:tr>
                            <w:tr>
                              <w:trPr>
                                <w:trHeight w:val="609" w:hRule="atLeast"/>
                              </w:trPr>
                              <w:tc>
                                <w:tcPr>
                                  <w:tcW w:w="868" w:type="dxa"/>
                                </w:tcPr>
                                <w:p>
                                  <w:pPr>
                                    <w:pStyle w:val="TableParagraph"/>
                                    <w:spacing w:before="130"/>
                                    <w:ind w:right="103"/>
                                    <w:jc w:val="right"/>
                                    <w:rPr>
                                      <w:sz w:val="20"/>
                                    </w:rPr>
                                  </w:pPr>
                                  <w:r>
                                    <w:rPr>
                                      <w:spacing w:val="-2"/>
                                      <w:sz w:val="20"/>
                                    </w:rPr>
                                    <w:t>10.23B</w:t>
                                  </w:r>
                                </w:p>
                              </w:tc>
                              <w:tc>
                                <w:tcPr>
                                  <w:tcW w:w="4762" w:type="dxa"/>
                                </w:tcPr>
                                <w:p>
                                  <w:pPr>
                                    <w:pStyle w:val="TableParagraph"/>
                                    <w:spacing w:line="208" w:lineRule="auto" w:before="155"/>
                                    <w:ind w:left="95"/>
                                    <w:rPr>
                                      <w:sz w:val="20"/>
                                    </w:rPr>
                                  </w:pPr>
                                  <w:r>
                                    <w:rPr>
                                      <w:sz w:val="20"/>
                                    </w:rPr>
                                    <w:t>Amendment</w:t>
                                  </w:r>
                                  <w:r>
                                    <w:rPr>
                                      <w:spacing w:val="-5"/>
                                      <w:sz w:val="20"/>
                                    </w:rPr>
                                    <w:t> </w:t>
                                  </w:r>
                                  <w:r>
                                    <w:rPr>
                                      <w:sz w:val="20"/>
                                    </w:rPr>
                                    <w:t>No.</w:t>
                                  </w:r>
                                  <w:r>
                                    <w:rPr>
                                      <w:spacing w:val="-5"/>
                                      <w:sz w:val="20"/>
                                    </w:rPr>
                                    <w:t> </w:t>
                                  </w:r>
                                  <w:r>
                                    <w:rPr>
                                      <w:sz w:val="20"/>
                                    </w:rPr>
                                    <w:t>1</w:t>
                                  </w:r>
                                  <w:r>
                                    <w:rPr>
                                      <w:spacing w:val="-5"/>
                                      <w:sz w:val="20"/>
                                    </w:rPr>
                                    <w:t> </w:t>
                                  </w:r>
                                  <w:r>
                                    <w:rPr>
                                      <w:sz w:val="20"/>
                                    </w:rPr>
                                    <w:t>to</w:t>
                                  </w:r>
                                  <w:r>
                                    <w:rPr>
                                      <w:spacing w:val="-5"/>
                                      <w:sz w:val="20"/>
                                    </w:rPr>
                                    <w:t> </w:t>
                                  </w:r>
                                  <w:r>
                                    <w:rPr>
                                      <w:sz w:val="20"/>
                                    </w:rPr>
                                    <w:t>the</w:t>
                                  </w:r>
                                  <w:r>
                                    <w:rPr>
                                      <w:spacing w:val="-5"/>
                                      <w:sz w:val="20"/>
                                    </w:rPr>
                                    <w:t> </w:t>
                                  </w:r>
                                  <w:r>
                                    <w:rPr>
                                      <w:sz w:val="20"/>
                                    </w:rPr>
                                    <w:t>Behance,</w:t>
                                  </w:r>
                                  <w:r>
                                    <w:rPr>
                                      <w:spacing w:val="-5"/>
                                      <w:sz w:val="20"/>
                                    </w:rPr>
                                    <w:t> </w:t>
                                  </w:r>
                                  <w:r>
                                    <w:rPr>
                                      <w:sz w:val="20"/>
                                    </w:rPr>
                                    <w:t>Inc.</w:t>
                                  </w:r>
                                  <w:r>
                                    <w:rPr>
                                      <w:spacing w:val="-5"/>
                                      <w:sz w:val="20"/>
                                    </w:rPr>
                                    <w:t> </w:t>
                                  </w:r>
                                  <w:r>
                                    <w:rPr>
                                      <w:sz w:val="20"/>
                                    </w:rPr>
                                    <w:t>2012</w:t>
                                  </w:r>
                                  <w:r>
                                    <w:rPr>
                                      <w:spacing w:val="-5"/>
                                      <w:sz w:val="20"/>
                                    </w:rPr>
                                    <w:t> </w:t>
                                  </w:r>
                                  <w:r>
                                    <w:rPr>
                                      <w:sz w:val="20"/>
                                    </w:rPr>
                                    <w:t>Equity Incentive Plan*</w:t>
                                  </w:r>
                                </w:p>
                              </w:tc>
                              <w:tc>
                                <w:tcPr>
                                  <w:tcW w:w="704" w:type="dxa"/>
                                </w:tcPr>
                                <w:p>
                                  <w:pPr>
                                    <w:pStyle w:val="TableParagraph"/>
                                    <w:spacing w:before="130"/>
                                    <w:ind w:left="1"/>
                                    <w:jc w:val="center"/>
                                    <w:rPr>
                                      <w:sz w:val="20"/>
                                    </w:rPr>
                                  </w:pPr>
                                  <w:r>
                                    <w:rPr>
                                      <w:sz w:val="20"/>
                                    </w:rPr>
                                    <w:t>S-</w:t>
                                  </w:r>
                                  <w:r>
                                    <w:rPr>
                                      <w:spacing w:val="-10"/>
                                      <w:sz w:val="20"/>
                                    </w:rPr>
                                    <w:t>8</w:t>
                                  </w:r>
                                </w:p>
                              </w:tc>
                              <w:tc>
                                <w:tcPr>
                                  <w:tcW w:w="1077" w:type="dxa"/>
                                </w:tcPr>
                                <w:p>
                                  <w:pPr>
                                    <w:pStyle w:val="TableParagraph"/>
                                    <w:spacing w:before="130"/>
                                    <w:ind w:right="106"/>
                                    <w:jc w:val="right"/>
                                    <w:rPr>
                                      <w:sz w:val="20"/>
                                    </w:rPr>
                                  </w:pPr>
                                  <w:r>
                                    <w:rPr>
                                      <w:spacing w:val="-2"/>
                                      <w:sz w:val="20"/>
                                    </w:rPr>
                                    <w:t>1/23/13</w:t>
                                  </w:r>
                                </w:p>
                              </w:tc>
                              <w:tc>
                                <w:tcPr>
                                  <w:tcW w:w="792" w:type="dxa"/>
                                </w:tcPr>
                                <w:p>
                                  <w:pPr>
                                    <w:pStyle w:val="TableParagraph"/>
                                    <w:spacing w:before="130"/>
                                    <w:ind w:right="107"/>
                                    <w:jc w:val="right"/>
                                    <w:rPr>
                                      <w:sz w:val="20"/>
                                    </w:rPr>
                                  </w:pPr>
                                  <w:r>
                                    <w:rPr>
                                      <w:spacing w:val="-4"/>
                                      <w:sz w:val="20"/>
                                    </w:rPr>
                                    <w:t>99.2</w:t>
                                  </w:r>
                                </w:p>
                              </w:tc>
                              <w:tc>
                                <w:tcPr>
                                  <w:tcW w:w="1178" w:type="dxa"/>
                                </w:tcPr>
                                <w:p>
                                  <w:pPr>
                                    <w:pStyle w:val="TableParagraph"/>
                                    <w:spacing w:before="130"/>
                                    <w:ind w:left="21" w:right="7"/>
                                    <w:jc w:val="center"/>
                                    <w:rPr>
                                      <w:sz w:val="20"/>
                                    </w:rPr>
                                  </w:pPr>
                                  <w:r>
                                    <w:rPr>
                                      <w:sz w:val="20"/>
                                    </w:rPr>
                                    <w:t>333-</w:t>
                                  </w:r>
                                  <w:r>
                                    <w:rPr>
                                      <w:spacing w:val="-2"/>
                                      <w:sz w:val="20"/>
                                    </w:rPr>
                                    <w:t>186143</w:t>
                                  </w:r>
                                </w:p>
                              </w:tc>
                              <w:tc>
                                <w:tcPr>
                                  <w:tcW w:w="810" w:type="dxa"/>
                                </w:tcPr>
                                <w:p>
                                  <w:pPr>
                                    <w:pStyle w:val="TableParagraph"/>
                                    <w:rPr>
                                      <w:sz w:val="18"/>
                                    </w:rPr>
                                  </w:pPr>
                                </w:p>
                              </w:tc>
                            </w:tr>
                            <w:tr>
                              <w:trPr>
                                <w:trHeight w:val="420" w:hRule="atLeast"/>
                              </w:trPr>
                              <w:tc>
                                <w:tcPr>
                                  <w:tcW w:w="868" w:type="dxa"/>
                                </w:tcPr>
                                <w:p>
                                  <w:pPr>
                                    <w:pStyle w:val="TableParagraph"/>
                                    <w:spacing w:before="41"/>
                                    <w:ind w:right="104"/>
                                    <w:jc w:val="right"/>
                                    <w:rPr>
                                      <w:sz w:val="20"/>
                                    </w:rPr>
                                  </w:pPr>
                                  <w:r>
                                    <w:rPr>
                                      <w:spacing w:val="-2"/>
                                      <w:sz w:val="20"/>
                                    </w:rPr>
                                    <w:t>10.24</w:t>
                                  </w:r>
                                </w:p>
                              </w:tc>
                              <w:tc>
                                <w:tcPr>
                                  <w:tcW w:w="4762" w:type="dxa"/>
                                </w:tcPr>
                                <w:p>
                                  <w:pPr>
                                    <w:pStyle w:val="TableParagraph"/>
                                    <w:spacing w:before="41"/>
                                    <w:ind w:left="95"/>
                                    <w:rPr>
                                      <w:sz w:val="20"/>
                                    </w:rPr>
                                  </w:pPr>
                                  <w:r>
                                    <w:rPr>
                                      <w:sz w:val="20"/>
                                    </w:rPr>
                                    <w:t>Neolane 2008 Stock Option </w:t>
                                  </w:r>
                                  <w:r>
                                    <w:rPr>
                                      <w:spacing w:val="-2"/>
                                      <w:sz w:val="20"/>
                                    </w:rPr>
                                    <w:t>Plan*</w:t>
                                  </w:r>
                                </w:p>
                              </w:tc>
                              <w:tc>
                                <w:tcPr>
                                  <w:tcW w:w="704" w:type="dxa"/>
                                </w:tcPr>
                                <w:p>
                                  <w:pPr>
                                    <w:pStyle w:val="TableParagraph"/>
                                    <w:spacing w:before="41"/>
                                    <w:ind w:left="1"/>
                                    <w:jc w:val="center"/>
                                    <w:rPr>
                                      <w:sz w:val="20"/>
                                    </w:rPr>
                                  </w:pPr>
                                  <w:r>
                                    <w:rPr>
                                      <w:sz w:val="20"/>
                                    </w:rPr>
                                    <w:t>S-</w:t>
                                  </w:r>
                                  <w:r>
                                    <w:rPr>
                                      <w:spacing w:val="-10"/>
                                      <w:sz w:val="20"/>
                                    </w:rPr>
                                    <w:t>8</w:t>
                                  </w:r>
                                </w:p>
                              </w:tc>
                              <w:tc>
                                <w:tcPr>
                                  <w:tcW w:w="1077" w:type="dxa"/>
                                </w:tcPr>
                                <w:p>
                                  <w:pPr>
                                    <w:pStyle w:val="TableParagraph"/>
                                    <w:spacing w:before="41"/>
                                    <w:ind w:right="106"/>
                                    <w:jc w:val="right"/>
                                    <w:rPr>
                                      <w:sz w:val="20"/>
                                    </w:rPr>
                                  </w:pPr>
                                  <w:r>
                                    <w:rPr>
                                      <w:spacing w:val="-2"/>
                                      <w:sz w:val="20"/>
                                    </w:rPr>
                                    <w:t>8/27/13</w:t>
                                  </w:r>
                                </w:p>
                              </w:tc>
                              <w:tc>
                                <w:tcPr>
                                  <w:tcW w:w="792" w:type="dxa"/>
                                </w:tcPr>
                                <w:p>
                                  <w:pPr>
                                    <w:pStyle w:val="TableParagraph"/>
                                    <w:spacing w:before="41"/>
                                    <w:ind w:right="107"/>
                                    <w:jc w:val="right"/>
                                    <w:rPr>
                                      <w:sz w:val="20"/>
                                    </w:rPr>
                                  </w:pPr>
                                  <w:r>
                                    <w:rPr>
                                      <w:spacing w:val="-4"/>
                                      <w:sz w:val="20"/>
                                    </w:rPr>
                                    <w:t>99.1</w:t>
                                  </w:r>
                                </w:p>
                              </w:tc>
                              <w:tc>
                                <w:tcPr>
                                  <w:tcW w:w="1178" w:type="dxa"/>
                                </w:tcPr>
                                <w:p>
                                  <w:pPr>
                                    <w:pStyle w:val="TableParagraph"/>
                                    <w:spacing w:before="41"/>
                                    <w:ind w:left="21" w:right="7"/>
                                    <w:jc w:val="center"/>
                                    <w:rPr>
                                      <w:sz w:val="20"/>
                                    </w:rPr>
                                  </w:pPr>
                                  <w:r>
                                    <w:rPr>
                                      <w:sz w:val="20"/>
                                    </w:rPr>
                                    <w:t>333-</w:t>
                                  </w:r>
                                  <w:r>
                                    <w:rPr>
                                      <w:spacing w:val="-2"/>
                                      <w:sz w:val="20"/>
                                    </w:rPr>
                                    <w:t>190846</w:t>
                                  </w:r>
                                </w:p>
                              </w:tc>
                              <w:tc>
                                <w:tcPr>
                                  <w:tcW w:w="810" w:type="dxa"/>
                                </w:tcPr>
                                <w:p>
                                  <w:pPr>
                                    <w:pStyle w:val="TableParagraph"/>
                                    <w:rPr>
                                      <w:sz w:val="18"/>
                                    </w:rPr>
                                  </w:pPr>
                                </w:p>
                              </w:tc>
                            </w:tr>
                            <w:tr>
                              <w:trPr>
                                <w:trHeight w:val="510" w:hRule="atLeast"/>
                              </w:trPr>
                              <w:tc>
                                <w:tcPr>
                                  <w:tcW w:w="868" w:type="dxa"/>
                                </w:tcPr>
                                <w:p>
                                  <w:pPr>
                                    <w:pStyle w:val="TableParagraph"/>
                                    <w:spacing w:before="140"/>
                                    <w:ind w:right="104"/>
                                    <w:jc w:val="right"/>
                                    <w:rPr>
                                      <w:sz w:val="20"/>
                                    </w:rPr>
                                  </w:pPr>
                                  <w:r>
                                    <w:rPr>
                                      <w:spacing w:val="-2"/>
                                      <w:sz w:val="20"/>
                                    </w:rPr>
                                    <w:t>10.25</w:t>
                                  </w:r>
                                </w:p>
                              </w:tc>
                              <w:tc>
                                <w:tcPr>
                                  <w:tcW w:w="4762" w:type="dxa"/>
                                </w:tcPr>
                                <w:p>
                                  <w:pPr>
                                    <w:pStyle w:val="TableParagraph"/>
                                    <w:spacing w:before="140"/>
                                    <w:ind w:left="95"/>
                                    <w:rPr>
                                      <w:sz w:val="20"/>
                                    </w:rPr>
                                  </w:pPr>
                                  <w:r>
                                    <w:rPr>
                                      <w:sz w:val="20"/>
                                    </w:rPr>
                                    <w:t>2012 Neolane Stock Option Plan for</w:t>
                                  </w:r>
                                  <w:r>
                                    <w:rPr>
                                      <w:spacing w:val="-4"/>
                                      <w:sz w:val="20"/>
                                    </w:rPr>
                                    <w:t> </w:t>
                                  </w:r>
                                  <w:r>
                                    <w:rPr>
                                      <w:sz w:val="20"/>
                                    </w:rPr>
                                    <w:t>The United </w:t>
                                  </w:r>
                                  <w:r>
                                    <w:rPr>
                                      <w:spacing w:val="-2"/>
                                      <w:sz w:val="20"/>
                                    </w:rPr>
                                    <w:t>States*</w:t>
                                  </w:r>
                                </w:p>
                              </w:tc>
                              <w:tc>
                                <w:tcPr>
                                  <w:tcW w:w="704" w:type="dxa"/>
                                </w:tcPr>
                                <w:p>
                                  <w:pPr>
                                    <w:pStyle w:val="TableParagraph"/>
                                    <w:spacing w:before="140"/>
                                    <w:ind w:left="1"/>
                                    <w:jc w:val="center"/>
                                    <w:rPr>
                                      <w:sz w:val="20"/>
                                    </w:rPr>
                                  </w:pPr>
                                  <w:r>
                                    <w:rPr>
                                      <w:sz w:val="20"/>
                                    </w:rPr>
                                    <w:t>S-</w:t>
                                  </w:r>
                                  <w:r>
                                    <w:rPr>
                                      <w:spacing w:val="-10"/>
                                      <w:sz w:val="20"/>
                                    </w:rPr>
                                    <w:t>8</w:t>
                                  </w:r>
                                </w:p>
                              </w:tc>
                              <w:tc>
                                <w:tcPr>
                                  <w:tcW w:w="1077" w:type="dxa"/>
                                </w:tcPr>
                                <w:p>
                                  <w:pPr>
                                    <w:pStyle w:val="TableParagraph"/>
                                    <w:spacing w:before="140"/>
                                    <w:ind w:right="106"/>
                                    <w:jc w:val="right"/>
                                    <w:rPr>
                                      <w:sz w:val="20"/>
                                    </w:rPr>
                                  </w:pPr>
                                  <w:r>
                                    <w:rPr>
                                      <w:spacing w:val="-2"/>
                                      <w:sz w:val="20"/>
                                    </w:rPr>
                                    <w:t>8/27/13</w:t>
                                  </w:r>
                                </w:p>
                              </w:tc>
                              <w:tc>
                                <w:tcPr>
                                  <w:tcW w:w="792" w:type="dxa"/>
                                </w:tcPr>
                                <w:p>
                                  <w:pPr>
                                    <w:pStyle w:val="TableParagraph"/>
                                    <w:spacing w:before="140"/>
                                    <w:ind w:right="107"/>
                                    <w:jc w:val="right"/>
                                    <w:rPr>
                                      <w:sz w:val="20"/>
                                    </w:rPr>
                                  </w:pPr>
                                  <w:r>
                                    <w:rPr>
                                      <w:spacing w:val="-4"/>
                                      <w:sz w:val="20"/>
                                    </w:rPr>
                                    <w:t>99.2</w:t>
                                  </w:r>
                                </w:p>
                              </w:tc>
                              <w:tc>
                                <w:tcPr>
                                  <w:tcW w:w="1178" w:type="dxa"/>
                                </w:tcPr>
                                <w:p>
                                  <w:pPr>
                                    <w:pStyle w:val="TableParagraph"/>
                                    <w:spacing w:before="140"/>
                                    <w:ind w:left="21" w:right="7"/>
                                    <w:jc w:val="center"/>
                                    <w:rPr>
                                      <w:sz w:val="20"/>
                                    </w:rPr>
                                  </w:pPr>
                                  <w:r>
                                    <w:rPr>
                                      <w:sz w:val="20"/>
                                    </w:rPr>
                                    <w:t>333-</w:t>
                                  </w:r>
                                  <w:r>
                                    <w:rPr>
                                      <w:spacing w:val="-2"/>
                                      <w:sz w:val="20"/>
                                    </w:rPr>
                                    <w:t>190846</w:t>
                                  </w:r>
                                </w:p>
                              </w:tc>
                              <w:tc>
                                <w:tcPr>
                                  <w:tcW w:w="810" w:type="dxa"/>
                                </w:tcPr>
                                <w:p>
                                  <w:pPr>
                                    <w:pStyle w:val="TableParagraph"/>
                                    <w:rPr>
                                      <w:sz w:val="18"/>
                                    </w:rPr>
                                  </w:pPr>
                                </w:p>
                              </w:tc>
                            </w:tr>
                            <w:tr>
                              <w:trPr>
                                <w:trHeight w:val="520" w:hRule="atLeast"/>
                              </w:trPr>
                              <w:tc>
                                <w:tcPr>
                                  <w:tcW w:w="868" w:type="dxa"/>
                                </w:tcPr>
                                <w:p>
                                  <w:pPr>
                                    <w:pStyle w:val="TableParagraph"/>
                                    <w:spacing w:before="130"/>
                                    <w:ind w:right="104"/>
                                    <w:jc w:val="right"/>
                                    <w:rPr>
                                      <w:sz w:val="20"/>
                                    </w:rPr>
                                  </w:pPr>
                                  <w:r>
                                    <w:rPr>
                                      <w:spacing w:val="-2"/>
                                      <w:sz w:val="20"/>
                                    </w:rPr>
                                    <w:t>10.26</w:t>
                                  </w:r>
                                </w:p>
                              </w:tc>
                              <w:tc>
                                <w:tcPr>
                                  <w:tcW w:w="4762" w:type="dxa"/>
                                </w:tcPr>
                                <w:p>
                                  <w:pPr>
                                    <w:pStyle w:val="TableParagraph"/>
                                    <w:spacing w:before="130"/>
                                    <w:ind w:left="95"/>
                                    <w:rPr>
                                      <w:sz w:val="20"/>
                                    </w:rPr>
                                  </w:pPr>
                                  <w:r>
                                    <w:rPr>
                                      <w:sz w:val="20"/>
                                    </w:rPr>
                                    <w:t>Description of 2015 Director </w:t>
                                  </w:r>
                                  <w:r>
                                    <w:rPr>
                                      <w:spacing w:val="-2"/>
                                      <w:sz w:val="20"/>
                                    </w:rPr>
                                    <w:t>Compensation*</w:t>
                                  </w:r>
                                </w:p>
                              </w:tc>
                              <w:tc>
                                <w:tcPr>
                                  <w:tcW w:w="704" w:type="dxa"/>
                                </w:tcPr>
                                <w:p>
                                  <w:pPr>
                                    <w:pStyle w:val="TableParagraph"/>
                                    <w:spacing w:before="130"/>
                                    <w:ind w:left="1" w:right="1"/>
                                    <w:jc w:val="center"/>
                                    <w:rPr>
                                      <w:sz w:val="20"/>
                                    </w:rPr>
                                  </w:pPr>
                                  <w:r>
                                    <w:rPr>
                                      <w:spacing w:val="-2"/>
                                      <w:sz w:val="20"/>
                                    </w:rPr>
                                    <w:t>10-</w:t>
                                  </w:r>
                                  <w:r>
                                    <w:rPr>
                                      <w:spacing w:val="-10"/>
                                      <w:sz w:val="20"/>
                                    </w:rPr>
                                    <w:t>K</w:t>
                                  </w:r>
                                </w:p>
                              </w:tc>
                              <w:tc>
                                <w:tcPr>
                                  <w:tcW w:w="1077" w:type="dxa"/>
                                </w:tcPr>
                                <w:p>
                                  <w:pPr>
                                    <w:pStyle w:val="TableParagraph"/>
                                    <w:spacing w:before="130"/>
                                    <w:ind w:right="106"/>
                                    <w:jc w:val="right"/>
                                    <w:rPr>
                                      <w:sz w:val="20"/>
                                    </w:rPr>
                                  </w:pPr>
                                  <w:r>
                                    <w:rPr>
                                      <w:spacing w:val="-2"/>
                                      <w:sz w:val="20"/>
                                    </w:rPr>
                                    <w:t>1/20/15</w:t>
                                  </w:r>
                                </w:p>
                              </w:tc>
                              <w:tc>
                                <w:tcPr>
                                  <w:tcW w:w="792" w:type="dxa"/>
                                </w:tcPr>
                                <w:p>
                                  <w:pPr>
                                    <w:pStyle w:val="TableParagraph"/>
                                    <w:spacing w:before="130"/>
                                    <w:ind w:right="107"/>
                                    <w:jc w:val="right"/>
                                    <w:rPr>
                                      <w:sz w:val="20"/>
                                    </w:rPr>
                                  </w:pPr>
                                  <w:r>
                                    <w:rPr>
                                      <w:spacing w:val="-2"/>
                                      <w:sz w:val="20"/>
                                    </w:rPr>
                                    <w:t>10.52</w:t>
                                  </w:r>
                                </w:p>
                              </w:tc>
                              <w:tc>
                                <w:tcPr>
                                  <w:tcW w:w="1178" w:type="dxa"/>
                                </w:tcPr>
                                <w:p>
                                  <w:pPr>
                                    <w:pStyle w:val="TableParagraph"/>
                                    <w:spacing w:before="13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10.27</w:t>
                                  </w:r>
                                </w:p>
                              </w:tc>
                              <w:tc>
                                <w:tcPr>
                                  <w:tcW w:w="4762" w:type="dxa"/>
                                </w:tcPr>
                                <w:p>
                                  <w:pPr>
                                    <w:pStyle w:val="TableParagraph"/>
                                    <w:spacing w:before="150"/>
                                    <w:ind w:left="95"/>
                                    <w:rPr>
                                      <w:sz w:val="20"/>
                                    </w:rPr>
                                  </w:pPr>
                                  <w:r>
                                    <w:rPr>
                                      <w:sz w:val="20"/>
                                    </w:rPr>
                                    <w:t>Description of 2016 Director </w:t>
                                  </w:r>
                                  <w:r>
                                    <w:rPr>
                                      <w:spacing w:val="-2"/>
                                      <w:sz w:val="20"/>
                                    </w:rPr>
                                    <w:t>Compensation*</w:t>
                                  </w:r>
                                </w:p>
                              </w:tc>
                              <w:tc>
                                <w:tcPr>
                                  <w:tcW w:w="704" w:type="dxa"/>
                                </w:tcPr>
                                <w:p>
                                  <w:pPr>
                                    <w:pStyle w:val="TableParagraph"/>
                                    <w:spacing w:before="150"/>
                                    <w:ind w:left="1" w:right="1"/>
                                    <w:jc w:val="center"/>
                                    <w:rPr>
                                      <w:sz w:val="20"/>
                                    </w:rPr>
                                  </w:pPr>
                                  <w:r>
                                    <w:rPr>
                                      <w:spacing w:val="-2"/>
                                      <w:sz w:val="20"/>
                                    </w:rPr>
                                    <w:t>10-</w:t>
                                  </w:r>
                                  <w:r>
                                    <w:rPr>
                                      <w:spacing w:val="-10"/>
                                      <w:sz w:val="20"/>
                                    </w:rPr>
                                    <w:t>K</w:t>
                                  </w:r>
                                </w:p>
                              </w:tc>
                              <w:tc>
                                <w:tcPr>
                                  <w:tcW w:w="1077" w:type="dxa"/>
                                </w:tcPr>
                                <w:p>
                                  <w:pPr>
                                    <w:pStyle w:val="TableParagraph"/>
                                    <w:spacing w:before="150"/>
                                    <w:ind w:right="106"/>
                                    <w:jc w:val="right"/>
                                    <w:rPr>
                                      <w:sz w:val="20"/>
                                    </w:rPr>
                                  </w:pPr>
                                  <w:r>
                                    <w:rPr>
                                      <w:spacing w:val="-2"/>
                                      <w:sz w:val="20"/>
                                    </w:rPr>
                                    <w:t>1/19/16</w:t>
                                  </w:r>
                                </w:p>
                              </w:tc>
                              <w:tc>
                                <w:tcPr>
                                  <w:tcW w:w="792" w:type="dxa"/>
                                </w:tcPr>
                                <w:p>
                                  <w:pPr>
                                    <w:pStyle w:val="TableParagraph"/>
                                    <w:spacing w:before="150"/>
                                    <w:ind w:right="107"/>
                                    <w:jc w:val="right"/>
                                    <w:rPr>
                                      <w:sz w:val="20"/>
                                    </w:rPr>
                                  </w:pPr>
                                  <w:r>
                                    <w:rPr>
                                      <w:spacing w:val="-2"/>
                                      <w:sz w:val="20"/>
                                    </w:rPr>
                                    <w:t>10.32</w:t>
                                  </w:r>
                                </w:p>
                              </w:tc>
                              <w:tc>
                                <w:tcPr>
                                  <w:tcW w:w="1178" w:type="dxa"/>
                                </w:tcPr>
                                <w:p>
                                  <w:pPr>
                                    <w:pStyle w:val="TableParagraph"/>
                                    <w:spacing w:before="15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20" w:hRule="atLeast"/>
                              </w:trPr>
                              <w:tc>
                                <w:tcPr>
                                  <w:tcW w:w="868" w:type="dxa"/>
                                </w:tcPr>
                                <w:p>
                                  <w:pPr>
                                    <w:pStyle w:val="TableParagraph"/>
                                    <w:spacing w:before="150"/>
                                    <w:ind w:right="104"/>
                                    <w:jc w:val="right"/>
                                    <w:rPr>
                                      <w:sz w:val="20"/>
                                    </w:rPr>
                                  </w:pPr>
                                  <w:r>
                                    <w:rPr>
                                      <w:spacing w:val="-2"/>
                                      <w:sz w:val="20"/>
                                    </w:rPr>
                                    <w:t>10.28</w:t>
                                  </w:r>
                                </w:p>
                              </w:tc>
                              <w:tc>
                                <w:tcPr>
                                  <w:tcW w:w="4762" w:type="dxa"/>
                                </w:tcPr>
                                <w:p>
                                  <w:pPr>
                                    <w:pStyle w:val="TableParagraph"/>
                                    <w:spacing w:before="150"/>
                                    <w:ind w:left="95"/>
                                    <w:rPr>
                                      <w:sz w:val="20"/>
                                    </w:rPr>
                                  </w:pPr>
                                  <w:r>
                                    <w:rPr>
                                      <w:sz w:val="20"/>
                                    </w:rPr>
                                    <w:t>Description of 2017 Director </w:t>
                                  </w:r>
                                  <w:r>
                                    <w:rPr>
                                      <w:spacing w:val="-2"/>
                                      <w:sz w:val="20"/>
                                    </w:rPr>
                                    <w:t>Compensation*</w:t>
                                  </w:r>
                                </w:p>
                              </w:tc>
                              <w:tc>
                                <w:tcPr>
                                  <w:tcW w:w="704" w:type="dxa"/>
                                </w:tcPr>
                                <w:p>
                                  <w:pPr>
                                    <w:pStyle w:val="TableParagraph"/>
                                    <w:spacing w:before="150"/>
                                    <w:ind w:left="1" w:right="1"/>
                                    <w:jc w:val="center"/>
                                    <w:rPr>
                                      <w:sz w:val="20"/>
                                    </w:rPr>
                                  </w:pPr>
                                  <w:r>
                                    <w:rPr>
                                      <w:spacing w:val="-2"/>
                                      <w:sz w:val="20"/>
                                    </w:rPr>
                                    <w:t>10-</w:t>
                                  </w:r>
                                  <w:r>
                                    <w:rPr>
                                      <w:spacing w:val="-10"/>
                                      <w:sz w:val="20"/>
                                    </w:rPr>
                                    <w:t>K</w:t>
                                  </w:r>
                                </w:p>
                              </w:tc>
                              <w:tc>
                                <w:tcPr>
                                  <w:tcW w:w="1077" w:type="dxa"/>
                                </w:tcPr>
                                <w:p>
                                  <w:pPr>
                                    <w:pStyle w:val="TableParagraph"/>
                                    <w:spacing w:before="150"/>
                                    <w:ind w:right="106"/>
                                    <w:jc w:val="right"/>
                                    <w:rPr>
                                      <w:sz w:val="20"/>
                                    </w:rPr>
                                  </w:pPr>
                                  <w:r>
                                    <w:rPr>
                                      <w:spacing w:val="-2"/>
                                      <w:sz w:val="20"/>
                                    </w:rPr>
                                    <w:t>1/20/17</w:t>
                                  </w:r>
                                </w:p>
                              </w:tc>
                              <w:tc>
                                <w:tcPr>
                                  <w:tcW w:w="792" w:type="dxa"/>
                                </w:tcPr>
                                <w:p>
                                  <w:pPr>
                                    <w:pStyle w:val="TableParagraph"/>
                                    <w:spacing w:before="150"/>
                                    <w:ind w:right="107"/>
                                    <w:jc w:val="right"/>
                                    <w:rPr>
                                      <w:sz w:val="20"/>
                                    </w:rPr>
                                  </w:pPr>
                                  <w:r>
                                    <w:rPr>
                                      <w:spacing w:val="-2"/>
                                      <w:sz w:val="20"/>
                                    </w:rPr>
                                    <w:t>10.32</w:t>
                                  </w:r>
                                </w:p>
                              </w:tc>
                              <w:tc>
                                <w:tcPr>
                                  <w:tcW w:w="1178" w:type="dxa"/>
                                </w:tcPr>
                                <w:p>
                                  <w:pPr>
                                    <w:pStyle w:val="TableParagraph"/>
                                    <w:spacing w:before="15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30" w:hRule="atLeast"/>
                              </w:trPr>
                              <w:tc>
                                <w:tcPr>
                                  <w:tcW w:w="868" w:type="dxa"/>
                                </w:tcPr>
                                <w:p>
                                  <w:pPr>
                                    <w:pStyle w:val="TableParagraph"/>
                                    <w:spacing w:before="130"/>
                                    <w:ind w:right="104"/>
                                    <w:jc w:val="right"/>
                                    <w:rPr>
                                      <w:sz w:val="20"/>
                                    </w:rPr>
                                  </w:pPr>
                                  <w:r>
                                    <w:rPr>
                                      <w:spacing w:val="-2"/>
                                      <w:sz w:val="20"/>
                                    </w:rPr>
                                    <w:t>10.29</w:t>
                                  </w:r>
                                </w:p>
                              </w:tc>
                              <w:tc>
                                <w:tcPr>
                                  <w:tcW w:w="4762" w:type="dxa"/>
                                </w:tcPr>
                                <w:p>
                                  <w:pPr>
                                    <w:pStyle w:val="TableParagraph"/>
                                    <w:spacing w:before="130"/>
                                    <w:ind w:left="95"/>
                                    <w:rPr>
                                      <w:sz w:val="20"/>
                                    </w:rPr>
                                  </w:pPr>
                                  <w:r>
                                    <w:rPr>
                                      <w:sz w:val="20"/>
                                    </w:rPr>
                                    <w:t>Description of 2018 Director </w:t>
                                  </w:r>
                                  <w:r>
                                    <w:rPr>
                                      <w:spacing w:val="-2"/>
                                      <w:sz w:val="20"/>
                                    </w:rPr>
                                    <w:t>Compensation*</w:t>
                                  </w:r>
                                </w:p>
                              </w:tc>
                              <w:tc>
                                <w:tcPr>
                                  <w:tcW w:w="704" w:type="dxa"/>
                                </w:tcPr>
                                <w:p>
                                  <w:pPr>
                                    <w:pStyle w:val="TableParagraph"/>
                                    <w:rPr>
                                      <w:sz w:val="18"/>
                                    </w:rPr>
                                  </w:pPr>
                                </w:p>
                              </w:tc>
                              <w:tc>
                                <w:tcPr>
                                  <w:tcW w:w="1077" w:type="dxa"/>
                                </w:tcPr>
                                <w:p>
                                  <w:pPr>
                                    <w:pStyle w:val="TableParagraph"/>
                                    <w:rPr>
                                      <w:sz w:val="18"/>
                                    </w:rPr>
                                  </w:pPr>
                                </w:p>
                              </w:tc>
                              <w:tc>
                                <w:tcPr>
                                  <w:tcW w:w="792" w:type="dxa"/>
                                </w:tcPr>
                                <w:p>
                                  <w:pPr>
                                    <w:pStyle w:val="TableParagraph"/>
                                    <w:rPr>
                                      <w:sz w:val="18"/>
                                    </w:rPr>
                                  </w:pPr>
                                </w:p>
                              </w:tc>
                              <w:tc>
                                <w:tcPr>
                                  <w:tcW w:w="1178" w:type="dxa"/>
                                </w:tcPr>
                                <w:p>
                                  <w:pPr>
                                    <w:pStyle w:val="TableParagraph"/>
                                    <w:rPr>
                                      <w:sz w:val="18"/>
                                    </w:rPr>
                                  </w:pPr>
                                </w:p>
                              </w:tc>
                              <w:tc>
                                <w:tcPr>
                                  <w:tcW w:w="810" w:type="dxa"/>
                                </w:tcPr>
                                <w:p>
                                  <w:pPr>
                                    <w:pStyle w:val="TableParagraph"/>
                                    <w:spacing w:before="130"/>
                                    <w:ind w:left="32"/>
                                    <w:jc w:val="center"/>
                                    <w:rPr>
                                      <w:sz w:val="20"/>
                                    </w:rPr>
                                  </w:pPr>
                                  <w:r>
                                    <w:rPr>
                                      <w:spacing w:val="-10"/>
                                      <w:sz w:val="20"/>
                                    </w:rPr>
                                    <w:t>X</w:t>
                                  </w:r>
                                </w:p>
                              </w:tc>
                            </w:tr>
                            <w:tr>
                              <w:trPr>
                                <w:trHeight w:val="390" w:hRule="atLeast"/>
                              </w:trPr>
                              <w:tc>
                                <w:tcPr>
                                  <w:tcW w:w="868" w:type="dxa"/>
                                </w:tcPr>
                                <w:p>
                                  <w:pPr>
                                    <w:pStyle w:val="TableParagraph"/>
                                    <w:spacing w:line="210" w:lineRule="exact" w:before="160"/>
                                    <w:ind w:right="92"/>
                                    <w:jc w:val="right"/>
                                    <w:rPr>
                                      <w:sz w:val="20"/>
                                    </w:rPr>
                                  </w:pPr>
                                  <w:r>
                                    <w:rPr>
                                      <w:spacing w:val="-2"/>
                                      <w:sz w:val="20"/>
                                    </w:rPr>
                                    <w:t>10.30A</w:t>
                                  </w:r>
                                </w:p>
                              </w:tc>
                              <w:tc>
                                <w:tcPr>
                                  <w:tcW w:w="4762" w:type="dxa"/>
                                </w:tcPr>
                                <w:p>
                                  <w:pPr>
                                    <w:pStyle w:val="TableParagraph"/>
                                    <w:spacing w:line="210" w:lineRule="exact" w:before="160"/>
                                    <w:ind w:left="95"/>
                                    <w:rPr>
                                      <w:sz w:val="20"/>
                                    </w:rPr>
                                  </w:pPr>
                                  <w:r>
                                    <w:rPr>
                                      <w:sz w:val="20"/>
                                    </w:rPr>
                                    <w:t>Aviary,</w:t>
                                  </w:r>
                                  <w:r>
                                    <w:rPr>
                                      <w:spacing w:val="-5"/>
                                      <w:sz w:val="20"/>
                                    </w:rPr>
                                    <w:t> </w:t>
                                  </w:r>
                                  <w:r>
                                    <w:rPr>
                                      <w:sz w:val="20"/>
                                    </w:rPr>
                                    <w:t>Inc.</w:t>
                                  </w:r>
                                  <w:r>
                                    <w:rPr>
                                      <w:spacing w:val="-5"/>
                                      <w:sz w:val="20"/>
                                    </w:rPr>
                                    <w:t> </w:t>
                                  </w:r>
                                  <w:r>
                                    <w:rPr>
                                      <w:sz w:val="20"/>
                                    </w:rPr>
                                    <w:t>2008</w:t>
                                  </w:r>
                                  <w:r>
                                    <w:rPr>
                                      <w:spacing w:val="-5"/>
                                      <w:sz w:val="20"/>
                                    </w:rPr>
                                    <w:t> </w:t>
                                  </w:r>
                                  <w:r>
                                    <w:rPr>
                                      <w:sz w:val="20"/>
                                    </w:rPr>
                                    <w:t>Stock</w:t>
                                  </w:r>
                                  <w:r>
                                    <w:rPr>
                                      <w:spacing w:val="-5"/>
                                      <w:sz w:val="20"/>
                                    </w:rPr>
                                    <w:t> </w:t>
                                  </w:r>
                                  <w:r>
                                    <w:rPr>
                                      <w:sz w:val="20"/>
                                    </w:rPr>
                                    <w:t>Plan,</w:t>
                                  </w:r>
                                  <w:r>
                                    <w:rPr>
                                      <w:spacing w:val="-5"/>
                                      <w:sz w:val="20"/>
                                    </w:rPr>
                                    <w:t> </w:t>
                                  </w:r>
                                  <w:r>
                                    <w:rPr>
                                      <w:sz w:val="20"/>
                                    </w:rPr>
                                    <w:t>as</w:t>
                                  </w:r>
                                  <w:r>
                                    <w:rPr>
                                      <w:spacing w:val="-5"/>
                                      <w:sz w:val="20"/>
                                    </w:rPr>
                                    <w:t> </w:t>
                                  </w:r>
                                  <w:r>
                                    <w:rPr>
                                      <w:spacing w:val="-2"/>
                                      <w:sz w:val="20"/>
                                    </w:rPr>
                                    <w:t>amended*</w:t>
                                  </w:r>
                                </w:p>
                              </w:tc>
                              <w:tc>
                                <w:tcPr>
                                  <w:tcW w:w="704" w:type="dxa"/>
                                </w:tcPr>
                                <w:p>
                                  <w:pPr>
                                    <w:pStyle w:val="TableParagraph"/>
                                    <w:spacing w:line="210" w:lineRule="exact" w:before="160"/>
                                    <w:ind w:left="1"/>
                                    <w:jc w:val="center"/>
                                    <w:rPr>
                                      <w:sz w:val="20"/>
                                    </w:rPr>
                                  </w:pPr>
                                  <w:r>
                                    <w:rPr>
                                      <w:sz w:val="20"/>
                                    </w:rPr>
                                    <w:t>S-</w:t>
                                  </w:r>
                                  <w:r>
                                    <w:rPr>
                                      <w:spacing w:val="-10"/>
                                      <w:sz w:val="20"/>
                                    </w:rPr>
                                    <w:t>8</w:t>
                                  </w:r>
                                </w:p>
                              </w:tc>
                              <w:tc>
                                <w:tcPr>
                                  <w:tcW w:w="1077" w:type="dxa"/>
                                </w:tcPr>
                                <w:p>
                                  <w:pPr>
                                    <w:pStyle w:val="TableParagraph"/>
                                    <w:spacing w:line="210" w:lineRule="exact" w:before="160"/>
                                    <w:ind w:right="106"/>
                                    <w:jc w:val="right"/>
                                    <w:rPr>
                                      <w:sz w:val="20"/>
                                    </w:rPr>
                                  </w:pPr>
                                  <w:r>
                                    <w:rPr>
                                      <w:spacing w:val="-2"/>
                                      <w:sz w:val="20"/>
                                    </w:rPr>
                                    <w:t>9/26/14</w:t>
                                  </w:r>
                                </w:p>
                              </w:tc>
                              <w:tc>
                                <w:tcPr>
                                  <w:tcW w:w="792" w:type="dxa"/>
                                </w:tcPr>
                                <w:p>
                                  <w:pPr>
                                    <w:pStyle w:val="TableParagraph"/>
                                    <w:spacing w:line="210" w:lineRule="exact" w:before="160"/>
                                    <w:ind w:right="107"/>
                                    <w:jc w:val="right"/>
                                    <w:rPr>
                                      <w:sz w:val="20"/>
                                    </w:rPr>
                                  </w:pPr>
                                  <w:r>
                                    <w:rPr>
                                      <w:spacing w:val="-4"/>
                                      <w:sz w:val="20"/>
                                    </w:rPr>
                                    <w:t>99.1</w:t>
                                  </w:r>
                                </w:p>
                              </w:tc>
                              <w:tc>
                                <w:tcPr>
                                  <w:tcW w:w="1178" w:type="dxa"/>
                                </w:tcPr>
                                <w:p>
                                  <w:pPr>
                                    <w:pStyle w:val="TableParagraph"/>
                                    <w:spacing w:line="210" w:lineRule="exact" w:before="160"/>
                                    <w:ind w:left="21" w:right="7"/>
                                    <w:jc w:val="center"/>
                                    <w:rPr>
                                      <w:sz w:val="20"/>
                                    </w:rPr>
                                  </w:pPr>
                                  <w:r>
                                    <w:rPr>
                                      <w:sz w:val="20"/>
                                    </w:rPr>
                                    <w:t>333-</w:t>
                                  </w:r>
                                  <w:r>
                                    <w:rPr>
                                      <w:spacing w:val="-2"/>
                                      <w:sz w:val="20"/>
                                    </w:rPr>
                                    <w:t>198973</w:t>
                                  </w:r>
                                </w:p>
                              </w:tc>
                              <w:tc>
                                <w:tcPr>
                                  <w:tcW w:w="810" w:type="dxa"/>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49.849998pt;margin-top:66.141090pt;width:515.65pt;height:649.75pt;mso-position-horizontal-relative:page;mso-position-vertical-relative:page;z-index:15841792" type="#_x0000_t202" id="docshape45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4762"/>
                        <w:gridCol w:w="704"/>
                        <w:gridCol w:w="1077"/>
                        <w:gridCol w:w="792"/>
                        <w:gridCol w:w="1178"/>
                        <w:gridCol w:w="810"/>
                      </w:tblGrid>
                      <w:tr>
                        <w:trPr>
                          <w:trHeight w:val="217" w:hRule="atLeast"/>
                        </w:trPr>
                        <w:tc>
                          <w:tcPr>
                            <w:tcW w:w="868" w:type="dxa"/>
                            <w:tcBorders>
                              <w:bottom w:val="single" w:sz="8" w:space="0" w:color="000000"/>
                            </w:tcBorders>
                          </w:tcPr>
                          <w:p>
                            <w:pPr>
                              <w:pStyle w:val="TableParagraph"/>
                              <w:spacing w:line="180" w:lineRule="exact"/>
                              <w:ind w:left="100"/>
                              <w:rPr>
                                <w:b/>
                                <w:sz w:val="16"/>
                              </w:rPr>
                            </w:pPr>
                            <w:r>
                              <w:rPr>
                                <w:b/>
                                <w:spacing w:val="-2"/>
                                <w:sz w:val="16"/>
                              </w:rPr>
                              <w:t>Number</w:t>
                            </w:r>
                          </w:p>
                        </w:tc>
                        <w:tc>
                          <w:tcPr>
                            <w:tcW w:w="4762" w:type="dxa"/>
                            <w:tcBorders>
                              <w:bottom w:val="single" w:sz="8" w:space="0" w:color="000000"/>
                            </w:tcBorders>
                          </w:tcPr>
                          <w:p>
                            <w:pPr>
                              <w:pStyle w:val="TableParagraph"/>
                              <w:spacing w:line="177" w:lineRule="exact"/>
                              <w:ind w:left="7"/>
                              <w:jc w:val="center"/>
                              <w:rPr>
                                <w:b/>
                                <w:sz w:val="16"/>
                              </w:rPr>
                            </w:pPr>
                            <w:r>
                              <w:rPr>
                                <w:b/>
                                <w:sz w:val="16"/>
                              </w:rPr>
                              <w:t>Exhibit </w:t>
                            </w:r>
                            <w:r>
                              <w:rPr>
                                <w:b/>
                                <w:spacing w:val="-2"/>
                                <w:sz w:val="16"/>
                              </w:rPr>
                              <w:t>Description</w:t>
                            </w:r>
                          </w:p>
                        </w:tc>
                        <w:tc>
                          <w:tcPr>
                            <w:tcW w:w="704" w:type="dxa"/>
                            <w:tcBorders>
                              <w:bottom w:val="single" w:sz="8" w:space="0" w:color="000000"/>
                            </w:tcBorders>
                          </w:tcPr>
                          <w:p>
                            <w:pPr>
                              <w:pStyle w:val="TableParagraph"/>
                              <w:spacing w:line="177" w:lineRule="exact"/>
                              <w:ind w:left="1" w:right="1"/>
                              <w:jc w:val="center"/>
                              <w:rPr>
                                <w:b/>
                                <w:sz w:val="16"/>
                              </w:rPr>
                            </w:pPr>
                            <w:r>
                              <w:rPr>
                                <w:b/>
                                <w:spacing w:val="-4"/>
                                <w:sz w:val="16"/>
                              </w:rPr>
                              <w:t>Form</w:t>
                            </w:r>
                          </w:p>
                        </w:tc>
                        <w:tc>
                          <w:tcPr>
                            <w:tcW w:w="1077" w:type="dxa"/>
                            <w:tcBorders>
                              <w:bottom w:val="single" w:sz="8" w:space="0" w:color="000000"/>
                            </w:tcBorders>
                          </w:tcPr>
                          <w:p>
                            <w:pPr>
                              <w:pStyle w:val="TableParagraph"/>
                              <w:spacing w:line="177" w:lineRule="exact"/>
                              <w:ind w:right="165"/>
                              <w:jc w:val="right"/>
                              <w:rPr>
                                <w:b/>
                                <w:sz w:val="16"/>
                              </w:rPr>
                            </w:pPr>
                            <w:r>
                              <w:rPr>
                                <w:b/>
                                <w:sz w:val="16"/>
                              </w:rPr>
                              <w:t>Filing </w:t>
                            </w:r>
                            <w:r>
                              <w:rPr>
                                <w:b/>
                                <w:spacing w:val="-4"/>
                                <w:sz w:val="16"/>
                              </w:rPr>
                              <w:t>Date</w:t>
                            </w:r>
                          </w:p>
                        </w:tc>
                        <w:tc>
                          <w:tcPr>
                            <w:tcW w:w="792" w:type="dxa"/>
                            <w:tcBorders>
                              <w:bottom w:val="single" w:sz="8" w:space="0" w:color="000000"/>
                            </w:tcBorders>
                          </w:tcPr>
                          <w:p>
                            <w:pPr>
                              <w:pStyle w:val="TableParagraph"/>
                              <w:spacing w:line="180" w:lineRule="exact"/>
                              <w:ind w:right="112"/>
                              <w:jc w:val="right"/>
                              <w:rPr>
                                <w:b/>
                                <w:sz w:val="16"/>
                              </w:rPr>
                            </w:pPr>
                            <w:r>
                              <w:rPr>
                                <w:b/>
                                <w:spacing w:val="-2"/>
                                <w:sz w:val="16"/>
                              </w:rPr>
                              <w:t>Number</w:t>
                            </w:r>
                          </w:p>
                        </w:tc>
                        <w:tc>
                          <w:tcPr>
                            <w:tcW w:w="1178" w:type="dxa"/>
                            <w:tcBorders>
                              <w:bottom w:val="single" w:sz="8" w:space="0" w:color="000000"/>
                            </w:tcBorders>
                          </w:tcPr>
                          <w:p>
                            <w:pPr>
                              <w:pStyle w:val="TableParagraph"/>
                              <w:spacing w:line="177" w:lineRule="exact"/>
                              <w:jc w:val="center"/>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10" w:type="dxa"/>
                            <w:tcBorders>
                              <w:bottom w:val="single" w:sz="8" w:space="0" w:color="000000"/>
                            </w:tcBorders>
                          </w:tcPr>
                          <w:p>
                            <w:pPr>
                              <w:pStyle w:val="TableParagraph"/>
                              <w:spacing w:line="180" w:lineRule="exact"/>
                              <w:ind w:left="32"/>
                              <w:jc w:val="center"/>
                              <w:rPr>
                                <w:b/>
                                <w:sz w:val="16"/>
                              </w:rPr>
                            </w:pPr>
                            <w:r>
                              <w:rPr>
                                <w:b/>
                                <w:spacing w:val="-2"/>
                                <w:sz w:val="16"/>
                              </w:rPr>
                              <w:t>Herewith</w:t>
                            </w:r>
                          </w:p>
                        </w:tc>
                      </w:tr>
                      <w:tr>
                        <w:trPr>
                          <w:trHeight w:val="810" w:hRule="atLeast"/>
                        </w:trPr>
                        <w:tc>
                          <w:tcPr>
                            <w:tcW w:w="868" w:type="dxa"/>
                            <w:tcBorders>
                              <w:top w:val="single" w:sz="8" w:space="0" w:color="000000"/>
                            </w:tcBorders>
                          </w:tcPr>
                          <w:p>
                            <w:pPr>
                              <w:pStyle w:val="TableParagraph"/>
                              <w:spacing w:before="21"/>
                              <w:rPr>
                                <w:b/>
                                <w:sz w:val="20"/>
                              </w:rPr>
                            </w:pPr>
                          </w:p>
                          <w:p>
                            <w:pPr>
                              <w:pStyle w:val="TableParagraph"/>
                              <w:spacing w:before="1"/>
                              <w:ind w:right="104"/>
                              <w:jc w:val="right"/>
                              <w:rPr>
                                <w:sz w:val="20"/>
                              </w:rPr>
                            </w:pPr>
                            <w:r>
                              <w:rPr>
                                <w:spacing w:val="-4"/>
                                <w:sz w:val="20"/>
                              </w:rPr>
                              <w:t>10.9</w:t>
                            </w:r>
                          </w:p>
                        </w:tc>
                        <w:tc>
                          <w:tcPr>
                            <w:tcW w:w="4762" w:type="dxa"/>
                            <w:tcBorders>
                              <w:top w:val="single" w:sz="8" w:space="0" w:color="000000"/>
                            </w:tcBorders>
                          </w:tcPr>
                          <w:p>
                            <w:pPr>
                              <w:pStyle w:val="TableParagraph"/>
                              <w:spacing w:before="46"/>
                              <w:rPr>
                                <w:b/>
                                <w:sz w:val="20"/>
                              </w:rPr>
                            </w:pPr>
                          </w:p>
                          <w:p>
                            <w:pPr>
                              <w:pStyle w:val="TableParagraph"/>
                              <w:spacing w:line="208" w:lineRule="auto"/>
                              <w:ind w:left="95"/>
                              <w:rPr>
                                <w:sz w:val="20"/>
                              </w:rPr>
                            </w:pPr>
                            <w:r>
                              <w:rPr>
                                <w:sz w:val="20"/>
                              </w:rPr>
                              <w:t>Omniture,</w:t>
                            </w:r>
                            <w:r>
                              <w:rPr>
                                <w:spacing w:val="-6"/>
                                <w:sz w:val="20"/>
                              </w:rPr>
                              <w:t> </w:t>
                            </w:r>
                            <w:r>
                              <w:rPr>
                                <w:sz w:val="20"/>
                              </w:rPr>
                              <w:t>Inc.</w:t>
                            </w:r>
                            <w:r>
                              <w:rPr>
                                <w:spacing w:val="-6"/>
                                <w:sz w:val="20"/>
                              </w:rPr>
                              <w:t> </w:t>
                            </w:r>
                            <w:r>
                              <w:rPr>
                                <w:sz w:val="20"/>
                              </w:rPr>
                              <w:t>2006</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related </w:t>
                            </w:r>
                            <w:r>
                              <w:rPr>
                                <w:spacing w:val="-2"/>
                                <w:sz w:val="20"/>
                              </w:rPr>
                              <w:t>forms*</w:t>
                            </w:r>
                          </w:p>
                        </w:tc>
                        <w:tc>
                          <w:tcPr>
                            <w:tcW w:w="704" w:type="dxa"/>
                            <w:tcBorders>
                              <w:top w:val="single" w:sz="8" w:space="0" w:color="000000"/>
                            </w:tcBorders>
                          </w:tcPr>
                          <w:p>
                            <w:pPr>
                              <w:pStyle w:val="TableParagraph"/>
                              <w:spacing w:before="21"/>
                              <w:rPr>
                                <w:b/>
                                <w:sz w:val="20"/>
                              </w:rPr>
                            </w:pPr>
                          </w:p>
                          <w:p>
                            <w:pPr>
                              <w:pStyle w:val="TableParagraph"/>
                              <w:spacing w:before="1"/>
                              <w:ind w:left="1" w:right="1"/>
                              <w:jc w:val="center"/>
                              <w:rPr>
                                <w:sz w:val="20"/>
                              </w:rPr>
                            </w:pPr>
                            <w:r>
                              <w:rPr>
                                <w:spacing w:val="-2"/>
                                <w:sz w:val="20"/>
                              </w:rPr>
                              <w:t>10-</w:t>
                            </w:r>
                            <w:r>
                              <w:rPr>
                                <w:spacing w:val="-10"/>
                                <w:sz w:val="20"/>
                              </w:rPr>
                              <w:t>Q</w:t>
                            </w:r>
                          </w:p>
                        </w:tc>
                        <w:tc>
                          <w:tcPr>
                            <w:tcW w:w="1077" w:type="dxa"/>
                            <w:tcBorders>
                              <w:top w:val="single" w:sz="8" w:space="0" w:color="000000"/>
                            </w:tcBorders>
                          </w:tcPr>
                          <w:p>
                            <w:pPr>
                              <w:pStyle w:val="TableParagraph"/>
                              <w:spacing w:before="21"/>
                              <w:rPr>
                                <w:b/>
                                <w:sz w:val="20"/>
                              </w:rPr>
                            </w:pPr>
                          </w:p>
                          <w:p>
                            <w:pPr>
                              <w:pStyle w:val="TableParagraph"/>
                              <w:spacing w:before="1"/>
                              <w:ind w:right="106"/>
                              <w:jc w:val="right"/>
                              <w:rPr>
                                <w:sz w:val="20"/>
                              </w:rPr>
                            </w:pPr>
                            <w:r>
                              <w:rPr>
                                <w:spacing w:val="-2"/>
                                <w:sz w:val="20"/>
                              </w:rPr>
                              <w:t>8/6/09</w:t>
                            </w:r>
                          </w:p>
                        </w:tc>
                        <w:tc>
                          <w:tcPr>
                            <w:tcW w:w="792" w:type="dxa"/>
                            <w:tcBorders>
                              <w:top w:val="single" w:sz="8" w:space="0" w:color="000000"/>
                            </w:tcBorders>
                          </w:tcPr>
                          <w:p>
                            <w:pPr>
                              <w:pStyle w:val="TableParagraph"/>
                              <w:spacing w:before="21"/>
                              <w:rPr>
                                <w:b/>
                                <w:sz w:val="20"/>
                              </w:rPr>
                            </w:pPr>
                          </w:p>
                          <w:p>
                            <w:pPr>
                              <w:pStyle w:val="TableParagraph"/>
                              <w:spacing w:before="1"/>
                              <w:ind w:right="107"/>
                              <w:jc w:val="right"/>
                              <w:rPr>
                                <w:sz w:val="20"/>
                              </w:rPr>
                            </w:pPr>
                            <w:r>
                              <w:rPr>
                                <w:spacing w:val="-4"/>
                                <w:sz w:val="20"/>
                              </w:rPr>
                              <w:t>10.3</w:t>
                            </w:r>
                          </w:p>
                        </w:tc>
                        <w:tc>
                          <w:tcPr>
                            <w:tcW w:w="1178" w:type="dxa"/>
                            <w:tcBorders>
                              <w:top w:val="single" w:sz="8" w:space="0" w:color="000000"/>
                            </w:tcBorders>
                          </w:tcPr>
                          <w:p>
                            <w:pPr>
                              <w:pStyle w:val="TableParagraph"/>
                              <w:spacing w:before="21"/>
                              <w:rPr>
                                <w:b/>
                                <w:sz w:val="20"/>
                              </w:rPr>
                            </w:pPr>
                          </w:p>
                          <w:p>
                            <w:pPr>
                              <w:pStyle w:val="TableParagraph"/>
                              <w:spacing w:before="1"/>
                              <w:ind w:left="121" w:right="7"/>
                              <w:jc w:val="center"/>
                              <w:rPr>
                                <w:sz w:val="20"/>
                              </w:rPr>
                            </w:pPr>
                            <w:r>
                              <w:rPr>
                                <w:sz w:val="20"/>
                              </w:rPr>
                              <w:t>000-</w:t>
                            </w:r>
                            <w:r>
                              <w:rPr>
                                <w:spacing w:val="-2"/>
                                <w:sz w:val="20"/>
                              </w:rPr>
                              <w:t>52076</w:t>
                            </w:r>
                          </w:p>
                        </w:tc>
                        <w:tc>
                          <w:tcPr>
                            <w:tcW w:w="810" w:type="dxa"/>
                            <w:tcBorders>
                              <w:top w:val="single" w:sz="8" w:space="0" w:color="000000"/>
                            </w:tcBorders>
                          </w:tcPr>
                          <w:p>
                            <w:pPr>
                              <w:pStyle w:val="TableParagraph"/>
                              <w:rPr>
                                <w:sz w:val="18"/>
                              </w:rPr>
                            </w:pPr>
                          </w:p>
                        </w:tc>
                      </w:tr>
                      <w:tr>
                        <w:trPr>
                          <w:trHeight w:val="700" w:hRule="atLeast"/>
                        </w:trPr>
                        <w:tc>
                          <w:tcPr>
                            <w:tcW w:w="868" w:type="dxa"/>
                          </w:tcPr>
                          <w:p>
                            <w:pPr>
                              <w:pStyle w:val="TableParagraph"/>
                              <w:spacing w:before="121"/>
                              <w:ind w:right="104"/>
                              <w:jc w:val="right"/>
                              <w:rPr>
                                <w:sz w:val="20"/>
                              </w:rPr>
                            </w:pPr>
                            <w:r>
                              <w:rPr>
                                <w:spacing w:val="-2"/>
                                <w:sz w:val="20"/>
                              </w:rPr>
                              <w:t>10.10</w:t>
                            </w:r>
                          </w:p>
                        </w:tc>
                        <w:tc>
                          <w:tcPr>
                            <w:tcW w:w="4762" w:type="dxa"/>
                          </w:tcPr>
                          <w:p>
                            <w:pPr>
                              <w:pStyle w:val="TableParagraph"/>
                              <w:spacing w:line="208" w:lineRule="auto" w:before="145"/>
                              <w:ind w:left="95"/>
                              <w:rPr>
                                <w:sz w:val="20"/>
                              </w:rPr>
                            </w:pPr>
                            <w:r>
                              <w:rPr>
                                <w:sz w:val="20"/>
                              </w:rPr>
                              <w:t>Omniture,</w:t>
                            </w:r>
                            <w:r>
                              <w:rPr>
                                <w:spacing w:val="-6"/>
                                <w:sz w:val="20"/>
                              </w:rPr>
                              <w:t> </w:t>
                            </w:r>
                            <w:r>
                              <w:rPr>
                                <w:sz w:val="20"/>
                              </w:rPr>
                              <w:t>Inc.</w:t>
                            </w:r>
                            <w:r>
                              <w:rPr>
                                <w:spacing w:val="-6"/>
                                <w:sz w:val="20"/>
                              </w:rPr>
                              <w:t> </w:t>
                            </w:r>
                            <w:r>
                              <w:rPr>
                                <w:sz w:val="20"/>
                              </w:rPr>
                              <w:t>2007</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related </w:t>
                            </w:r>
                            <w:r>
                              <w:rPr>
                                <w:spacing w:val="-2"/>
                                <w:sz w:val="20"/>
                              </w:rPr>
                              <w:t>forms*</w:t>
                            </w:r>
                          </w:p>
                        </w:tc>
                        <w:tc>
                          <w:tcPr>
                            <w:tcW w:w="704" w:type="dxa"/>
                          </w:tcPr>
                          <w:p>
                            <w:pPr>
                              <w:pStyle w:val="TableParagraph"/>
                              <w:spacing w:before="121"/>
                              <w:ind w:left="1" w:right="1"/>
                              <w:jc w:val="center"/>
                              <w:rPr>
                                <w:sz w:val="20"/>
                              </w:rPr>
                            </w:pPr>
                            <w:r>
                              <w:rPr>
                                <w:spacing w:val="-2"/>
                                <w:sz w:val="20"/>
                              </w:rPr>
                              <w:t>10-</w:t>
                            </w:r>
                            <w:r>
                              <w:rPr>
                                <w:spacing w:val="-10"/>
                                <w:sz w:val="20"/>
                              </w:rPr>
                              <w:t>K</w:t>
                            </w:r>
                          </w:p>
                        </w:tc>
                        <w:tc>
                          <w:tcPr>
                            <w:tcW w:w="1077" w:type="dxa"/>
                          </w:tcPr>
                          <w:p>
                            <w:pPr>
                              <w:pStyle w:val="TableParagraph"/>
                              <w:spacing w:before="121"/>
                              <w:ind w:right="106"/>
                              <w:jc w:val="right"/>
                              <w:rPr>
                                <w:sz w:val="20"/>
                              </w:rPr>
                            </w:pPr>
                            <w:r>
                              <w:rPr>
                                <w:spacing w:val="-2"/>
                                <w:sz w:val="20"/>
                              </w:rPr>
                              <w:t>2/27/09</w:t>
                            </w:r>
                          </w:p>
                        </w:tc>
                        <w:tc>
                          <w:tcPr>
                            <w:tcW w:w="792" w:type="dxa"/>
                          </w:tcPr>
                          <w:p>
                            <w:pPr>
                              <w:pStyle w:val="TableParagraph"/>
                              <w:spacing w:before="121"/>
                              <w:ind w:right="107"/>
                              <w:jc w:val="right"/>
                              <w:rPr>
                                <w:sz w:val="20"/>
                              </w:rPr>
                            </w:pPr>
                            <w:r>
                              <w:rPr>
                                <w:spacing w:val="-4"/>
                                <w:sz w:val="20"/>
                              </w:rPr>
                              <w:t>10.9</w:t>
                            </w:r>
                          </w:p>
                        </w:tc>
                        <w:tc>
                          <w:tcPr>
                            <w:tcW w:w="1178" w:type="dxa"/>
                          </w:tcPr>
                          <w:p>
                            <w:pPr>
                              <w:pStyle w:val="TableParagraph"/>
                              <w:spacing w:before="121"/>
                              <w:ind w:left="121" w:right="7"/>
                              <w:jc w:val="center"/>
                              <w:rPr>
                                <w:sz w:val="20"/>
                              </w:rPr>
                            </w:pPr>
                            <w:r>
                              <w:rPr>
                                <w:sz w:val="20"/>
                              </w:rPr>
                              <w:t>000-</w:t>
                            </w:r>
                            <w:r>
                              <w:rPr>
                                <w:spacing w:val="-2"/>
                                <w:sz w:val="20"/>
                              </w:rPr>
                              <w:t>52076</w:t>
                            </w:r>
                          </w:p>
                        </w:tc>
                        <w:tc>
                          <w:tcPr>
                            <w:tcW w:w="810" w:type="dxa"/>
                          </w:tcPr>
                          <w:p>
                            <w:pPr>
                              <w:pStyle w:val="TableParagraph"/>
                              <w:rPr>
                                <w:sz w:val="18"/>
                              </w:rPr>
                            </w:pPr>
                          </w:p>
                        </w:tc>
                      </w:tr>
                      <w:tr>
                        <w:trPr>
                          <w:trHeight w:val="720" w:hRule="atLeast"/>
                        </w:trPr>
                        <w:tc>
                          <w:tcPr>
                            <w:tcW w:w="868" w:type="dxa"/>
                          </w:tcPr>
                          <w:p>
                            <w:pPr>
                              <w:pStyle w:val="TableParagraph"/>
                              <w:spacing w:before="140"/>
                              <w:ind w:right="99"/>
                              <w:jc w:val="right"/>
                              <w:rPr>
                                <w:sz w:val="20"/>
                              </w:rPr>
                            </w:pPr>
                            <w:r>
                              <w:rPr>
                                <w:spacing w:val="-2"/>
                                <w:sz w:val="20"/>
                              </w:rPr>
                              <w:t>10.11</w:t>
                            </w:r>
                          </w:p>
                        </w:tc>
                        <w:tc>
                          <w:tcPr>
                            <w:tcW w:w="4762" w:type="dxa"/>
                          </w:tcPr>
                          <w:p>
                            <w:pPr>
                              <w:pStyle w:val="TableParagraph"/>
                              <w:spacing w:line="208" w:lineRule="auto" w:before="165"/>
                              <w:ind w:left="95"/>
                              <w:rPr>
                                <w:sz w:val="20"/>
                              </w:rPr>
                            </w:pPr>
                            <w:r>
                              <w:rPr>
                                <w:sz w:val="20"/>
                              </w:rPr>
                              <w:t>Omniture,</w:t>
                            </w:r>
                            <w:r>
                              <w:rPr>
                                <w:spacing w:val="-6"/>
                                <w:sz w:val="20"/>
                              </w:rPr>
                              <w:t> </w:t>
                            </w:r>
                            <w:r>
                              <w:rPr>
                                <w:sz w:val="20"/>
                              </w:rPr>
                              <w:t>Inc.</w:t>
                            </w:r>
                            <w:r>
                              <w:rPr>
                                <w:spacing w:val="-6"/>
                                <w:sz w:val="20"/>
                              </w:rPr>
                              <w:t> </w:t>
                            </w:r>
                            <w:r>
                              <w:rPr>
                                <w:sz w:val="20"/>
                              </w:rPr>
                              <w:t>2008</w:t>
                            </w:r>
                            <w:r>
                              <w:rPr>
                                <w:spacing w:val="-6"/>
                                <w:sz w:val="20"/>
                              </w:rPr>
                              <w:t> </w:t>
                            </w:r>
                            <w:r>
                              <w:rPr>
                                <w:sz w:val="20"/>
                              </w:rPr>
                              <w:t>Equity</w:t>
                            </w:r>
                            <w:r>
                              <w:rPr>
                                <w:spacing w:val="-6"/>
                                <w:sz w:val="20"/>
                              </w:rPr>
                              <w:t> </w:t>
                            </w:r>
                            <w:r>
                              <w:rPr>
                                <w:sz w:val="20"/>
                              </w:rPr>
                              <w:t>Incentive</w:t>
                            </w:r>
                            <w:r>
                              <w:rPr>
                                <w:spacing w:val="-6"/>
                                <w:sz w:val="20"/>
                              </w:rPr>
                              <w:t> </w:t>
                            </w:r>
                            <w:r>
                              <w:rPr>
                                <w:sz w:val="20"/>
                              </w:rPr>
                              <w:t>Plan</w:t>
                            </w:r>
                            <w:r>
                              <w:rPr>
                                <w:spacing w:val="-6"/>
                                <w:sz w:val="20"/>
                              </w:rPr>
                              <w:t> </w:t>
                            </w:r>
                            <w:r>
                              <w:rPr>
                                <w:sz w:val="20"/>
                              </w:rPr>
                              <w:t>and</w:t>
                            </w:r>
                            <w:r>
                              <w:rPr>
                                <w:spacing w:val="-6"/>
                                <w:sz w:val="20"/>
                              </w:rPr>
                              <w:t> </w:t>
                            </w:r>
                            <w:r>
                              <w:rPr>
                                <w:sz w:val="20"/>
                              </w:rPr>
                              <w:t>related </w:t>
                            </w:r>
                            <w:r>
                              <w:rPr>
                                <w:spacing w:val="-2"/>
                                <w:sz w:val="20"/>
                              </w:rPr>
                              <w:t>forms*</w:t>
                            </w:r>
                          </w:p>
                        </w:tc>
                        <w:tc>
                          <w:tcPr>
                            <w:tcW w:w="704" w:type="dxa"/>
                          </w:tcPr>
                          <w:p>
                            <w:pPr>
                              <w:pStyle w:val="TableParagraph"/>
                              <w:spacing w:before="140"/>
                              <w:ind w:left="1" w:right="1"/>
                              <w:jc w:val="center"/>
                              <w:rPr>
                                <w:sz w:val="20"/>
                              </w:rPr>
                            </w:pPr>
                            <w:r>
                              <w:rPr>
                                <w:spacing w:val="-2"/>
                                <w:sz w:val="20"/>
                              </w:rPr>
                              <w:t>10-</w:t>
                            </w:r>
                            <w:r>
                              <w:rPr>
                                <w:spacing w:val="-10"/>
                                <w:sz w:val="20"/>
                              </w:rPr>
                              <w:t>K</w:t>
                            </w:r>
                          </w:p>
                        </w:tc>
                        <w:tc>
                          <w:tcPr>
                            <w:tcW w:w="1077" w:type="dxa"/>
                          </w:tcPr>
                          <w:p>
                            <w:pPr>
                              <w:pStyle w:val="TableParagraph"/>
                              <w:spacing w:before="140"/>
                              <w:ind w:right="106"/>
                              <w:jc w:val="right"/>
                              <w:rPr>
                                <w:sz w:val="20"/>
                              </w:rPr>
                            </w:pPr>
                            <w:r>
                              <w:rPr>
                                <w:spacing w:val="-2"/>
                                <w:sz w:val="20"/>
                              </w:rPr>
                              <w:t>2/27/09</w:t>
                            </w:r>
                          </w:p>
                        </w:tc>
                        <w:tc>
                          <w:tcPr>
                            <w:tcW w:w="792" w:type="dxa"/>
                          </w:tcPr>
                          <w:p>
                            <w:pPr>
                              <w:pStyle w:val="TableParagraph"/>
                              <w:spacing w:before="140"/>
                              <w:ind w:right="107"/>
                              <w:jc w:val="right"/>
                              <w:rPr>
                                <w:sz w:val="20"/>
                              </w:rPr>
                            </w:pPr>
                            <w:r>
                              <w:rPr>
                                <w:spacing w:val="-2"/>
                                <w:sz w:val="20"/>
                              </w:rPr>
                              <w:t>10.10</w:t>
                            </w:r>
                          </w:p>
                        </w:tc>
                        <w:tc>
                          <w:tcPr>
                            <w:tcW w:w="1178" w:type="dxa"/>
                          </w:tcPr>
                          <w:p>
                            <w:pPr>
                              <w:pStyle w:val="TableParagraph"/>
                              <w:spacing w:before="140"/>
                              <w:ind w:left="121" w:right="7"/>
                              <w:jc w:val="center"/>
                              <w:rPr>
                                <w:sz w:val="20"/>
                              </w:rPr>
                            </w:pPr>
                            <w:r>
                              <w:rPr>
                                <w:sz w:val="20"/>
                              </w:rPr>
                              <w:t>000-</w:t>
                            </w:r>
                            <w:r>
                              <w:rPr>
                                <w:spacing w:val="-2"/>
                                <w:sz w:val="20"/>
                              </w:rPr>
                              <w:t>52076</w:t>
                            </w:r>
                          </w:p>
                        </w:tc>
                        <w:tc>
                          <w:tcPr>
                            <w:tcW w:w="810" w:type="dxa"/>
                          </w:tcPr>
                          <w:p>
                            <w:pPr>
                              <w:pStyle w:val="TableParagraph"/>
                              <w:rPr>
                                <w:sz w:val="18"/>
                              </w:rPr>
                            </w:pPr>
                          </w:p>
                        </w:tc>
                      </w:tr>
                      <w:tr>
                        <w:trPr>
                          <w:trHeight w:val="560" w:hRule="atLeast"/>
                        </w:trPr>
                        <w:tc>
                          <w:tcPr>
                            <w:tcW w:w="868" w:type="dxa"/>
                          </w:tcPr>
                          <w:p>
                            <w:pPr>
                              <w:pStyle w:val="TableParagraph"/>
                              <w:spacing w:before="140"/>
                              <w:ind w:right="111"/>
                              <w:jc w:val="right"/>
                              <w:rPr>
                                <w:sz w:val="20"/>
                              </w:rPr>
                            </w:pPr>
                            <w:r>
                              <w:rPr>
                                <w:spacing w:val="-2"/>
                                <w:sz w:val="20"/>
                              </w:rPr>
                              <w:t>10.12</w:t>
                            </w:r>
                          </w:p>
                        </w:tc>
                        <w:tc>
                          <w:tcPr>
                            <w:tcW w:w="4762" w:type="dxa"/>
                          </w:tcPr>
                          <w:p>
                            <w:pPr>
                              <w:pStyle w:val="TableParagraph"/>
                              <w:spacing w:before="140"/>
                              <w:ind w:left="95"/>
                              <w:rPr>
                                <w:sz w:val="20"/>
                              </w:rPr>
                            </w:pPr>
                            <w:r>
                              <w:rPr>
                                <w:sz w:val="20"/>
                              </w:rPr>
                              <w:t>Demdex,</w:t>
                            </w:r>
                            <w:r>
                              <w:rPr>
                                <w:spacing w:val="-1"/>
                                <w:sz w:val="20"/>
                              </w:rPr>
                              <w:t> </w:t>
                            </w:r>
                            <w:r>
                              <w:rPr>
                                <w:sz w:val="20"/>
                              </w:rPr>
                              <w:t>Inc. 2008 Stock Plan, as</w:t>
                            </w:r>
                            <w:r>
                              <w:rPr>
                                <w:spacing w:val="-1"/>
                                <w:sz w:val="20"/>
                              </w:rPr>
                              <w:t> </w:t>
                            </w:r>
                            <w:r>
                              <w:rPr>
                                <w:spacing w:val="-2"/>
                                <w:sz w:val="20"/>
                              </w:rPr>
                              <w:t>amended*</w:t>
                            </w:r>
                          </w:p>
                        </w:tc>
                        <w:tc>
                          <w:tcPr>
                            <w:tcW w:w="704" w:type="dxa"/>
                          </w:tcPr>
                          <w:p>
                            <w:pPr>
                              <w:pStyle w:val="TableParagraph"/>
                              <w:spacing w:before="140"/>
                              <w:ind w:left="1"/>
                              <w:jc w:val="center"/>
                              <w:rPr>
                                <w:sz w:val="20"/>
                              </w:rPr>
                            </w:pPr>
                            <w:r>
                              <w:rPr>
                                <w:sz w:val="20"/>
                              </w:rPr>
                              <w:t>S-</w:t>
                            </w:r>
                            <w:r>
                              <w:rPr>
                                <w:spacing w:val="-10"/>
                                <w:sz w:val="20"/>
                              </w:rPr>
                              <w:t>8</w:t>
                            </w:r>
                          </w:p>
                        </w:tc>
                        <w:tc>
                          <w:tcPr>
                            <w:tcW w:w="1077" w:type="dxa"/>
                          </w:tcPr>
                          <w:p>
                            <w:pPr>
                              <w:pStyle w:val="TableParagraph"/>
                              <w:spacing w:before="140"/>
                              <w:ind w:right="102"/>
                              <w:jc w:val="right"/>
                              <w:rPr>
                                <w:sz w:val="20"/>
                              </w:rPr>
                            </w:pPr>
                            <w:r>
                              <w:rPr>
                                <w:spacing w:val="-2"/>
                                <w:sz w:val="20"/>
                              </w:rPr>
                              <w:t>1/27/11</w:t>
                            </w:r>
                          </w:p>
                        </w:tc>
                        <w:tc>
                          <w:tcPr>
                            <w:tcW w:w="792" w:type="dxa"/>
                          </w:tcPr>
                          <w:p>
                            <w:pPr>
                              <w:pStyle w:val="TableParagraph"/>
                              <w:spacing w:before="140"/>
                              <w:ind w:right="107"/>
                              <w:jc w:val="right"/>
                              <w:rPr>
                                <w:sz w:val="20"/>
                              </w:rPr>
                            </w:pPr>
                            <w:r>
                              <w:rPr>
                                <w:spacing w:val="-4"/>
                                <w:sz w:val="20"/>
                              </w:rPr>
                              <w:t>99.1</w:t>
                            </w:r>
                          </w:p>
                        </w:tc>
                        <w:tc>
                          <w:tcPr>
                            <w:tcW w:w="1178" w:type="dxa"/>
                          </w:tcPr>
                          <w:p>
                            <w:pPr>
                              <w:pStyle w:val="TableParagraph"/>
                              <w:spacing w:before="140"/>
                              <w:ind w:left="21" w:right="7"/>
                              <w:jc w:val="center"/>
                              <w:rPr>
                                <w:sz w:val="20"/>
                              </w:rPr>
                            </w:pPr>
                            <w:r>
                              <w:rPr>
                                <w:sz w:val="20"/>
                              </w:rPr>
                              <w:t>333-</w:t>
                            </w:r>
                            <w:r>
                              <w:rPr>
                                <w:spacing w:val="-2"/>
                                <w:sz w:val="20"/>
                              </w:rPr>
                              <w:t>171902</w:t>
                            </w:r>
                          </w:p>
                        </w:tc>
                        <w:tc>
                          <w:tcPr>
                            <w:tcW w:w="810" w:type="dxa"/>
                          </w:tcPr>
                          <w:p>
                            <w:pPr>
                              <w:pStyle w:val="TableParagraph"/>
                              <w:rPr>
                                <w:sz w:val="18"/>
                              </w:rPr>
                            </w:pPr>
                          </w:p>
                        </w:tc>
                      </w:tr>
                      <w:tr>
                        <w:trPr>
                          <w:trHeight w:val="590" w:hRule="atLeast"/>
                        </w:trPr>
                        <w:tc>
                          <w:tcPr>
                            <w:tcW w:w="868" w:type="dxa"/>
                          </w:tcPr>
                          <w:p>
                            <w:pPr>
                              <w:pStyle w:val="TableParagraph"/>
                              <w:spacing w:before="180"/>
                              <w:ind w:right="104"/>
                              <w:jc w:val="right"/>
                              <w:rPr>
                                <w:sz w:val="20"/>
                              </w:rPr>
                            </w:pPr>
                            <w:r>
                              <w:rPr>
                                <w:spacing w:val="-2"/>
                                <w:sz w:val="20"/>
                              </w:rPr>
                              <w:t>10.13</w:t>
                            </w:r>
                          </w:p>
                        </w:tc>
                        <w:tc>
                          <w:tcPr>
                            <w:tcW w:w="4762" w:type="dxa"/>
                          </w:tcPr>
                          <w:p>
                            <w:pPr>
                              <w:pStyle w:val="TableParagraph"/>
                              <w:spacing w:before="180"/>
                              <w:ind w:left="95"/>
                              <w:rPr>
                                <w:sz w:val="20"/>
                              </w:rPr>
                            </w:pPr>
                            <w:r>
                              <w:rPr>
                                <w:sz w:val="20"/>
                              </w:rPr>
                              <w:t>2014 Executive</w:t>
                            </w:r>
                            <w:r>
                              <w:rPr>
                                <w:spacing w:val="-12"/>
                                <w:sz w:val="20"/>
                              </w:rPr>
                              <w:t> </w:t>
                            </w:r>
                            <w:r>
                              <w:rPr>
                                <w:sz w:val="20"/>
                              </w:rPr>
                              <w:t>Annual Incentive </w:t>
                            </w:r>
                            <w:r>
                              <w:rPr>
                                <w:spacing w:val="-2"/>
                                <w:sz w:val="20"/>
                              </w:rPr>
                              <w:t>Plan*</w:t>
                            </w:r>
                          </w:p>
                        </w:tc>
                        <w:tc>
                          <w:tcPr>
                            <w:tcW w:w="704" w:type="dxa"/>
                          </w:tcPr>
                          <w:p>
                            <w:pPr>
                              <w:pStyle w:val="TableParagraph"/>
                              <w:spacing w:before="180"/>
                              <w:ind w:left="1" w:right="1"/>
                              <w:jc w:val="center"/>
                              <w:rPr>
                                <w:sz w:val="20"/>
                              </w:rPr>
                            </w:pPr>
                            <w:r>
                              <w:rPr>
                                <w:spacing w:val="-2"/>
                                <w:sz w:val="20"/>
                              </w:rPr>
                              <w:t>8-</w:t>
                            </w:r>
                            <w:r>
                              <w:rPr>
                                <w:spacing w:val="-10"/>
                                <w:sz w:val="20"/>
                              </w:rPr>
                              <w:t>K</w:t>
                            </w:r>
                          </w:p>
                        </w:tc>
                        <w:tc>
                          <w:tcPr>
                            <w:tcW w:w="1077" w:type="dxa"/>
                          </w:tcPr>
                          <w:p>
                            <w:pPr>
                              <w:pStyle w:val="TableParagraph"/>
                              <w:spacing w:before="180"/>
                              <w:ind w:right="106"/>
                              <w:jc w:val="right"/>
                              <w:rPr>
                                <w:sz w:val="20"/>
                              </w:rPr>
                            </w:pPr>
                            <w:r>
                              <w:rPr>
                                <w:spacing w:val="-2"/>
                                <w:sz w:val="20"/>
                              </w:rPr>
                              <w:t>1/29/14</w:t>
                            </w:r>
                          </w:p>
                        </w:tc>
                        <w:tc>
                          <w:tcPr>
                            <w:tcW w:w="792" w:type="dxa"/>
                          </w:tcPr>
                          <w:p>
                            <w:pPr>
                              <w:pStyle w:val="TableParagraph"/>
                              <w:spacing w:before="180"/>
                              <w:ind w:right="107"/>
                              <w:jc w:val="right"/>
                              <w:rPr>
                                <w:sz w:val="20"/>
                              </w:rPr>
                            </w:pPr>
                            <w:r>
                              <w:rPr>
                                <w:spacing w:val="-4"/>
                                <w:sz w:val="20"/>
                              </w:rPr>
                              <w:t>10.5</w:t>
                            </w:r>
                          </w:p>
                        </w:tc>
                        <w:tc>
                          <w:tcPr>
                            <w:tcW w:w="1178" w:type="dxa"/>
                          </w:tcPr>
                          <w:p>
                            <w:pPr>
                              <w:pStyle w:val="TableParagraph"/>
                              <w:spacing w:before="18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60" w:hRule="atLeast"/>
                        </w:trPr>
                        <w:tc>
                          <w:tcPr>
                            <w:tcW w:w="868" w:type="dxa"/>
                          </w:tcPr>
                          <w:p>
                            <w:pPr>
                              <w:pStyle w:val="TableParagraph"/>
                              <w:spacing w:before="170"/>
                              <w:ind w:right="104"/>
                              <w:jc w:val="right"/>
                              <w:rPr>
                                <w:sz w:val="20"/>
                              </w:rPr>
                            </w:pPr>
                            <w:r>
                              <w:rPr>
                                <w:spacing w:val="-2"/>
                                <w:sz w:val="20"/>
                              </w:rPr>
                              <w:t>10.14</w:t>
                            </w:r>
                          </w:p>
                        </w:tc>
                        <w:tc>
                          <w:tcPr>
                            <w:tcW w:w="4762" w:type="dxa"/>
                          </w:tcPr>
                          <w:p>
                            <w:pPr>
                              <w:pStyle w:val="TableParagraph"/>
                              <w:spacing w:before="170"/>
                              <w:ind w:left="95"/>
                              <w:rPr>
                                <w:sz w:val="20"/>
                              </w:rPr>
                            </w:pPr>
                            <w:r>
                              <w:rPr>
                                <w:sz w:val="20"/>
                              </w:rPr>
                              <w:t>2015 Executive</w:t>
                            </w:r>
                            <w:r>
                              <w:rPr>
                                <w:spacing w:val="-12"/>
                                <w:sz w:val="20"/>
                              </w:rPr>
                              <w:t> </w:t>
                            </w:r>
                            <w:r>
                              <w:rPr>
                                <w:sz w:val="20"/>
                              </w:rPr>
                              <w:t>Annual Incentive </w:t>
                            </w:r>
                            <w:r>
                              <w:rPr>
                                <w:spacing w:val="-2"/>
                                <w:sz w:val="20"/>
                              </w:rPr>
                              <w:t>Plan*</w:t>
                            </w:r>
                          </w:p>
                        </w:tc>
                        <w:tc>
                          <w:tcPr>
                            <w:tcW w:w="704" w:type="dxa"/>
                          </w:tcPr>
                          <w:p>
                            <w:pPr>
                              <w:pStyle w:val="TableParagraph"/>
                              <w:spacing w:before="170"/>
                              <w:ind w:left="1" w:right="1"/>
                              <w:jc w:val="center"/>
                              <w:rPr>
                                <w:sz w:val="20"/>
                              </w:rPr>
                            </w:pPr>
                            <w:r>
                              <w:rPr>
                                <w:spacing w:val="-2"/>
                                <w:sz w:val="20"/>
                              </w:rPr>
                              <w:t>8-</w:t>
                            </w:r>
                            <w:r>
                              <w:rPr>
                                <w:spacing w:val="-10"/>
                                <w:sz w:val="20"/>
                              </w:rPr>
                              <w:t>K</w:t>
                            </w:r>
                          </w:p>
                        </w:tc>
                        <w:tc>
                          <w:tcPr>
                            <w:tcW w:w="1077" w:type="dxa"/>
                          </w:tcPr>
                          <w:p>
                            <w:pPr>
                              <w:pStyle w:val="TableParagraph"/>
                              <w:spacing w:before="170"/>
                              <w:ind w:right="106"/>
                              <w:jc w:val="right"/>
                              <w:rPr>
                                <w:sz w:val="20"/>
                              </w:rPr>
                            </w:pPr>
                            <w:r>
                              <w:rPr>
                                <w:spacing w:val="-2"/>
                                <w:sz w:val="20"/>
                              </w:rPr>
                              <w:t>1/28/15</w:t>
                            </w:r>
                          </w:p>
                        </w:tc>
                        <w:tc>
                          <w:tcPr>
                            <w:tcW w:w="792" w:type="dxa"/>
                          </w:tcPr>
                          <w:p>
                            <w:pPr>
                              <w:pStyle w:val="TableParagraph"/>
                              <w:spacing w:before="170"/>
                              <w:ind w:right="107"/>
                              <w:jc w:val="right"/>
                              <w:rPr>
                                <w:sz w:val="20"/>
                              </w:rPr>
                            </w:pPr>
                            <w:r>
                              <w:rPr>
                                <w:spacing w:val="-4"/>
                                <w:sz w:val="20"/>
                              </w:rPr>
                              <w:t>10.5</w:t>
                            </w:r>
                          </w:p>
                        </w:tc>
                        <w:tc>
                          <w:tcPr>
                            <w:tcW w:w="1178" w:type="dxa"/>
                          </w:tcPr>
                          <w:p>
                            <w:pPr>
                              <w:pStyle w:val="TableParagraph"/>
                              <w:spacing w:before="17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10.15</w:t>
                            </w:r>
                          </w:p>
                        </w:tc>
                        <w:tc>
                          <w:tcPr>
                            <w:tcW w:w="4762" w:type="dxa"/>
                          </w:tcPr>
                          <w:p>
                            <w:pPr>
                              <w:pStyle w:val="TableParagraph"/>
                              <w:spacing w:before="150"/>
                              <w:ind w:left="95"/>
                              <w:rPr>
                                <w:sz w:val="20"/>
                              </w:rPr>
                            </w:pPr>
                            <w:r>
                              <w:rPr>
                                <w:sz w:val="20"/>
                              </w:rPr>
                              <w:t>2016 Executive</w:t>
                            </w:r>
                            <w:r>
                              <w:rPr>
                                <w:spacing w:val="-12"/>
                                <w:sz w:val="20"/>
                              </w:rPr>
                              <w:t> </w:t>
                            </w:r>
                            <w:r>
                              <w:rPr>
                                <w:sz w:val="20"/>
                              </w:rPr>
                              <w:t>Annual Incentive </w:t>
                            </w:r>
                            <w:r>
                              <w:rPr>
                                <w:spacing w:val="-2"/>
                                <w:sz w:val="20"/>
                              </w:rPr>
                              <w:t>Plan*</w:t>
                            </w:r>
                          </w:p>
                        </w:tc>
                        <w:tc>
                          <w:tcPr>
                            <w:tcW w:w="704" w:type="dxa"/>
                          </w:tcPr>
                          <w:p>
                            <w:pPr>
                              <w:pStyle w:val="TableParagraph"/>
                              <w:spacing w:before="150"/>
                              <w:ind w:left="1" w:right="1"/>
                              <w:jc w:val="center"/>
                              <w:rPr>
                                <w:sz w:val="20"/>
                              </w:rPr>
                            </w:pPr>
                            <w:r>
                              <w:rPr>
                                <w:spacing w:val="-2"/>
                                <w:sz w:val="20"/>
                              </w:rPr>
                              <w:t>8-</w:t>
                            </w:r>
                            <w:r>
                              <w:rPr>
                                <w:spacing w:val="-10"/>
                                <w:sz w:val="20"/>
                              </w:rPr>
                              <w:t>K</w:t>
                            </w:r>
                          </w:p>
                        </w:tc>
                        <w:tc>
                          <w:tcPr>
                            <w:tcW w:w="1077" w:type="dxa"/>
                          </w:tcPr>
                          <w:p>
                            <w:pPr>
                              <w:pStyle w:val="TableParagraph"/>
                              <w:spacing w:before="150"/>
                              <w:ind w:right="106"/>
                              <w:jc w:val="right"/>
                              <w:rPr>
                                <w:sz w:val="20"/>
                              </w:rPr>
                            </w:pPr>
                            <w:r>
                              <w:rPr>
                                <w:spacing w:val="-2"/>
                                <w:sz w:val="20"/>
                              </w:rPr>
                              <w:t>1/29/16</w:t>
                            </w:r>
                          </w:p>
                        </w:tc>
                        <w:tc>
                          <w:tcPr>
                            <w:tcW w:w="792" w:type="dxa"/>
                          </w:tcPr>
                          <w:p>
                            <w:pPr>
                              <w:pStyle w:val="TableParagraph"/>
                              <w:spacing w:before="150"/>
                              <w:ind w:right="107"/>
                              <w:jc w:val="right"/>
                              <w:rPr>
                                <w:sz w:val="20"/>
                              </w:rPr>
                            </w:pPr>
                            <w:r>
                              <w:rPr>
                                <w:spacing w:val="-4"/>
                                <w:sz w:val="20"/>
                              </w:rPr>
                              <w:t>10.5</w:t>
                            </w:r>
                          </w:p>
                        </w:tc>
                        <w:tc>
                          <w:tcPr>
                            <w:tcW w:w="1178" w:type="dxa"/>
                          </w:tcPr>
                          <w:p>
                            <w:pPr>
                              <w:pStyle w:val="TableParagraph"/>
                              <w:spacing w:before="15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10.16</w:t>
                            </w:r>
                          </w:p>
                        </w:tc>
                        <w:tc>
                          <w:tcPr>
                            <w:tcW w:w="4762" w:type="dxa"/>
                          </w:tcPr>
                          <w:p>
                            <w:pPr>
                              <w:pStyle w:val="TableParagraph"/>
                              <w:spacing w:before="150"/>
                              <w:ind w:left="95"/>
                              <w:rPr>
                                <w:sz w:val="20"/>
                              </w:rPr>
                            </w:pPr>
                            <w:r>
                              <w:rPr>
                                <w:sz w:val="20"/>
                              </w:rPr>
                              <w:t>2016</w:t>
                            </w:r>
                            <w:r>
                              <w:rPr>
                                <w:spacing w:val="-1"/>
                                <w:sz w:val="20"/>
                              </w:rPr>
                              <w:t> </w:t>
                            </w:r>
                            <w:r>
                              <w:rPr>
                                <w:sz w:val="20"/>
                              </w:rPr>
                              <w:t>Executive</w:t>
                            </w:r>
                            <w:r>
                              <w:rPr>
                                <w:spacing w:val="-1"/>
                                <w:sz w:val="20"/>
                              </w:rPr>
                              <w:t> </w:t>
                            </w:r>
                            <w:r>
                              <w:rPr>
                                <w:sz w:val="20"/>
                              </w:rPr>
                              <w:t>Cash</w:t>
                            </w:r>
                            <w:r>
                              <w:rPr>
                                <w:spacing w:val="-1"/>
                                <w:sz w:val="20"/>
                              </w:rPr>
                              <w:t> </w:t>
                            </w:r>
                            <w:r>
                              <w:rPr>
                                <w:sz w:val="20"/>
                              </w:rPr>
                              <w:t>Performance</w:t>
                            </w:r>
                            <w:r>
                              <w:rPr>
                                <w:spacing w:val="-1"/>
                                <w:sz w:val="20"/>
                              </w:rPr>
                              <w:t> </w:t>
                            </w:r>
                            <w:r>
                              <w:rPr>
                                <w:sz w:val="20"/>
                              </w:rPr>
                              <w:t>Bonus</w:t>
                            </w:r>
                            <w:r>
                              <w:rPr>
                                <w:spacing w:val="-1"/>
                                <w:sz w:val="20"/>
                              </w:rPr>
                              <w:t> </w:t>
                            </w:r>
                            <w:r>
                              <w:rPr>
                                <w:spacing w:val="-2"/>
                                <w:sz w:val="20"/>
                              </w:rPr>
                              <w:t>Plan*</w:t>
                            </w:r>
                          </w:p>
                        </w:tc>
                        <w:tc>
                          <w:tcPr>
                            <w:tcW w:w="704" w:type="dxa"/>
                          </w:tcPr>
                          <w:p>
                            <w:pPr>
                              <w:pStyle w:val="TableParagraph"/>
                              <w:spacing w:before="150"/>
                              <w:ind w:left="1" w:right="1"/>
                              <w:jc w:val="center"/>
                              <w:rPr>
                                <w:sz w:val="20"/>
                              </w:rPr>
                            </w:pPr>
                            <w:r>
                              <w:rPr>
                                <w:spacing w:val="-2"/>
                                <w:sz w:val="20"/>
                              </w:rPr>
                              <w:t>8-</w:t>
                            </w:r>
                            <w:r>
                              <w:rPr>
                                <w:spacing w:val="-10"/>
                                <w:sz w:val="20"/>
                              </w:rPr>
                              <w:t>K</w:t>
                            </w:r>
                          </w:p>
                        </w:tc>
                        <w:tc>
                          <w:tcPr>
                            <w:tcW w:w="1077" w:type="dxa"/>
                          </w:tcPr>
                          <w:p>
                            <w:pPr>
                              <w:pStyle w:val="TableParagraph"/>
                              <w:spacing w:before="150"/>
                              <w:ind w:right="106"/>
                              <w:jc w:val="right"/>
                              <w:rPr>
                                <w:sz w:val="20"/>
                              </w:rPr>
                            </w:pPr>
                            <w:r>
                              <w:rPr>
                                <w:spacing w:val="-2"/>
                                <w:sz w:val="20"/>
                              </w:rPr>
                              <w:t>1/29/16</w:t>
                            </w:r>
                          </w:p>
                        </w:tc>
                        <w:tc>
                          <w:tcPr>
                            <w:tcW w:w="792" w:type="dxa"/>
                          </w:tcPr>
                          <w:p>
                            <w:pPr>
                              <w:pStyle w:val="TableParagraph"/>
                              <w:spacing w:before="150"/>
                              <w:ind w:right="107"/>
                              <w:jc w:val="right"/>
                              <w:rPr>
                                <w:sz w:val="20"/>
                              </w:rPr>
                            </w:pPr>
                            <w:r>
                              <w:rPr>
                                <w:spacing w:val="-4"/>
                                <w:sz w:val="20"/>
                              </w:rPr>
                              <w:t>10.4</w:t>
                            </w:r>
                          </w:p>
                        </w:tc>
                        <w:tc>
                          <w:tcPr>
                            <w:tcW w:w="1178" w:type="dxa"/>
                          </w:tcPr>
                          <w:p>
                            <w:pPr>
                              <w:pStyle w:val="TableParagraph"/>
                              <w:spacing w:before="15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10.17</w:t>
                            </w:r>
                          </w:p>
                        </w:tc>
                        <w:tc>
                          <w:tcPr>
                            <w:tcW w:w="4762" w:type="dxa"/>
                          </w:tcPr>
                          <w:p>
                            <w:pPr>
                              <w:pStyle w:val="TableParagraph"/>
                              <w:spacing w:before="150"/>
                              <w:ind w:left="95"/>
                              <w:rPr>
                                <w:sz w:val="20"/>
                              </w:rPr>
                            </w:pPr>
                            <w:r>
                              <w:rPr>
                                <w:sz w:val="20"/>
                              </w:rPr>
                              <w:t>2017 Executive</w:t>
                            </w:r>
                            <w:r>
                              <w:rPr>
                                <w:spacing w:val="-12"/>
                                <w:sz w:val="20"/>
                              </w:rPr>
                              <w:t> </w:t>
                            </w:r>
                            <w:r>
                              <w:rPr>
                                <w:sz w:val="20"/>
                              </w:rPr>
                              <w:t>Annual Incentive </w:t>
                            </w:r>
                            <w:r>
                              <w:rPr>
                                <w:spacing w:val="-2"/>
                                <w:sz w:val="20"/>
                              </w:rPr>
                              <w:t>Plan*</w:t>
                            </w:r>
                          </w:p>
                        </w:tc>
                        <w:tc>
                          <w:tcPr>
                            <w:tcW w:w="704" w:type="dxa"/>
                          </w:tcPr>
                          <w:p>
                            <w:pPr>
                              <w:pStyle w:val="TableParagraph"/>
                              <w:spacing w:before="150"/>
                              <w:ind w:left="1" w:right="1"/>
                              <w:jc w:val="center"/>
                              <w:rPr>
                                <w:sz w:val="20"/>
                              </w:rPr>
                            </w:pPr>
                            <w:r>
                              <w:rPr>
                                <w:spacing w:val="-2"/>
                                <w:sz w:val="20"/>
                              </w:rPr>
                              <w:t>8-</w:t>
                            </w:r>
                            <w:r>
                              <w:rPr>
                                <w:spacing w:val="-10"/>
                                <w:sz w:val="20"/>
                              </w:rPr>
                              <w:t>K</w:t>
                            </w:r>
                          </w:p>
                        </w:tc>
                        <w:tc>
                          <w:tcPr>
                            <w:tcW w:w="1077" w:type="dxa"/>
                          </w:tcPr>
                          <w:p>
                            <w:pPr>
                              <w:pStyle w:val="TableParagraph"/>
                              <w:spacing w:before="150"/>
                              <w:ind w:right="106"/>
                              <w:jc w:val="right"/>
                              <w:rPr>
                                <w:sz w:val="20"/>
                              </w:rPr>
                            </w:pPr>
                            <w:r>
                              <w:rPr>
                                <w:spacing w:val="-2"/>
                                <w:sz w:val="20"/>
                              </w:rPr>
                              <w:t>1/27/17</w:t>
                            </w:r>
                          </w:p>
                        </w:tc>
                        <w:tc>
                          <w:tcPr>
                            <w:tcW w:w="792" w:type="dxa"/>
                          </w:tcPr>
                          <w:p>
                            <w:pPr>
                              <w:pStyle w:val="TableParagraph"/>
                              <w:spacing w:before="150"/>
                              <w:ind w:right="107"/>
                              <w:jc w:val="right"/>
                              <w:rPr>
                                <w:sz w:val="20"/>
                              </w:rPr>
                            </w:pPr>
                            <w:r>
                              <w:rPr>
                                <w:spacing w:val="-4"/>
                                <w:sz w:val="20"/>
                              </w:rPr>
                              <w:t>10.5</w:t>
                            </w:r>
                          </w:p>
                        </w:tc>
                        <w:tc>
                          <w:tcPr>
                            <w:tcW w:w="1178" w:type="dxa"/>
                          </w:tcPr>
                          <w:p>
                            <w:pPr>
                              <w:pStyle w:val="TableParagraph"/>
                              <w:spacing w:before="15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10.18</w:t>
                            </w:r>
                          </w:p>
                        </w:tc>
                        <w:tc>
                          <w:tcPr>
                            <w:tcW w:w="4762" w:type="dxa"/>
                          </w:tcPr>
                          <w:p>
                            <w:pPr>
                              <w:pStyle w:val="TableParagraph"/>
                              <w:spacing w:before="150"/>
                              <w:ind w:left="95"/>
                              <w:rPr>
                                <w:sz w:val="20"/>
                              </w:rPr>
                            </w:pPr>
                            <w:r>
                              <w:rPr>
                                <w:sz w:val="20"/>
                              </w:rPr>
                              <w:t>EchoSign,</w:t>
                            </w:r>
                            <w:r>
                              <w:rPr>
                                <w:spacing w:val="-1"/>
                                <w:sz w:val="20"/>
                              </w:rPr>
                              <w:t> </w:t>
                            </w:r>
                            <w:r>
                              <w:rPr>
                                <w:sz w:val="20"/>
                              </w:rPr>
                              <w:t>Inc. 2005 Stock Plan, as</w:t>
                            </w:r>
                            <w:r>
                              <w:rPr>
                                <w:spacing w:val="-1"/>
                                <w:sz w:val="20"/>
                              </w:rPr>
                              <w:t> </w:t>
                            </w:r>
                            <w:r>
                              <w:rPr>
                                <w:spacing w:val="-2"/>
                                <w:sz w:val="20"/>
                              </w:rPr>
                              <w:t>amended*</w:t>
                            </w:r>
                          </w:p>
                        </w:tc>
                        <w:tc>
                          <w:tcPr>
                            <w:tcW w:w="704" w:type="dxa"/>
                          </w:tcPr>
                          <w:p>
                            <w:pPr>
                              <w:pStyle w:val="TableParagraph"/>
                              <w:spacing w:before="150"/>
                              <w:ind w:left="1"/>
                              <w:jc w:val="center"/>
                              <w:rPr>
                                <w:sz w:val="20"/>
                              </w:rPr>
                            </w:pPr>
                            <w:r>
                              <w:rPr>
                                <w:sz w:val="20"/>
                              </w:rPr>
                              <w:t>S-</w:t>
                            </w:r>
                            <w:r>
                              <w:rPr>
                                <w:spacing w:val="-10"/>
                                <w:sz w:val="20"/>
                              </w:rPr>
                              <w:t>8</w:t>
                            </w:r>
                          </w:p>
                        </w:tc>
                        <w:tc>
                          <w:tcPr>
                            <w:tcW w:w="1077" w:type="dxa"/>
                          </w:tcPr>
                          <w:p>
                            <w:pPr>
                              <w:pStyle w:val="TableParagraph"/>
                              <w:spacing w:before="150"/>
                              <w:ind w:right="102"/>
                              <w:jc w:val="right"/>
                              <w:rPr>
                                <w:sz w:val="20"/>
                              </w:rPr>
                            </w:pPr>
                            <w:r>
                              <w:rPr>
                                <w:spacing w:val="-2"/>
                                <w:sz w:val="20"/>
                              </w:rPr>
                              <w:t>7/29/11</w:t>
                            </w:r>
                          </w:p>
                        </w:tc>
                        <w:tc>
                          <w:tcPr>
                            <w:tcW w:w="792" w:type="dxa"/>
                          </w:tcPr>
                          <w:p>
                            <w:pPr>
                              <w:pStyle w:val="TableParagraph"/>
                              <w:spacing w:before="150"/>
                              <w:ind w:right="107"/>
                              <w:jc w:val="right"/>
                              <w:rPr>
                                <w:sz w:val="20"/>
                              </w:rPr>
                            </w:pPr>
                            <w:r>
                              <w:rPr>
                                <w:spacing w:val="-4"/>
                                <w:sz w:val="20"/>
                              </w:rPr>
                              <w:t>99.1</w:t>
                            </w:r>
                          </w:p>
                        </w:tc>
                        <w:tc>
                          <w:tcPr>
                            <w:tcW w:w="1178" w:type="dxa"/>
                          </w:tcPr>
                          <w:p>
                            <w:pPr>
                              <w:pStyle w:val="TableParagraph"/>
                              <w:spacing w:before="150"/>
                              <w:ind w:left="21" w:right="7"/>
                              <w:jc w:val="center"/>
                              <w:rPr>
                                <w:sz w:val="20"/>
                              </w:rPr>
                            </w:pPr>
                            <w:r>
                              <w:rPr>
                                <w:sz w:val="20"/>
                              </w:rPr>
                              <w:t>333-</w:t>
                            </w:r>
                            <w:r>
                              <w:rPr>
                                <w:spacing w:val="-2"/>
                                <w:sz w:val="20"/>
                              </w:rPr>
                              <w:t>175910</w:t>
                            </w:r>
                          </w:p>
                        </w:tc>
                        <w:tc>
                          <w:tcPr>
                            <w:tcW w:w="810" w:type="dxa"/>
                          </w:tcPr>
                          <w:p>
                            <w:pPr>
                              <w:pStyle w:val="TableParagraph"/>
                              <w:rPr>
                                <w:sz w:val="18"/>
                              </w:rPr>
                            </w:pPr>
                          </w:p>
                        </w:tc>
                      </w:tr>
                      <w:tr>
                        <w:trPr>
                          <w:trHeight w:val="560" w:hRule="atLeast"/>
                        </w:trPr>
                        <w:tc>
                          <w:tcPr>
                            <w:tcW w:w="868" w:type="dxa"/>
                          </w:tcPr>
                          <w:p>
                            <w:pPr>
                              <w:pStyle w:val="TableParagraph"/>
                              <w:spacing w:before="150"/>
                              <w:ind w:right="104"/>
                              <w:jc w:val="right"/>
                              <w:rPr>
                                <w:sz w:val="20"/>
                              </w:rPr>
                            </w:pPr>
                            <w:r>
                              <w:rPr>
                                <w:spacing w:val="-2"/>
                                <w:sz w:val="20"/>
                              </w:rPr>
                              <w:t>10.19</w:t>
                            </w:r>
                          </w:p>
                        </w:tc>
                        <w:tc>
                          <w:tcPr>
                            <w:tcW w:w="4762" w:type="dxa"/>
                          </w:tcPr>
                          <w:p>
                            <w:pPr>
                              <w:pStyle w:val="TableParagraph"/>
                              <w:spacing w:before="150"/>
                              <w:ind w:left="95"/>
                              <w:rPr>
                                <w:sz w:val="20"/>
                              </w:rPr>
                            </w:pPr>
                            <w:r>
                              <w:rPr>
                                <w:sz w:val="20"/>
                              </w:rPr>
                              <w:t>TypeKit,</w:t>
                            </w:r>
                            <w:r>
                              <w:rPr>
                                <w:spacing w:val="-5"/>
                                <w:sz w:val="20"/>
                              </w:rPr>
                              <w:t> </w:t>
                            </w:r>
                            <w:r>
                              <w:rPr>
                                <w:sz w:val="20"/>
                              </w:rPr>
                              <w:t>Inc.</w:t>
                            </w:r>
                            <w:r>
                              <w:rPr>
                                <w:spacing w:val="-2"/>
                                <w:sz w:val="20"/>
                              </w:rPr>
                              <w:t> </w:t>
                            </w:r>
                            <w:r>
                              <w:rPr>
                                <w:sz w:val="20"/>
                              </w:rPr>
                              <w:t>2009</w:t>
                            </w:r>
                            <w:r>
                              <w:rPr>
                                <w:spacing w:val="-2"/>
                                <w:sz w:val="20"/>
                              </w:rPr>
                              <w:t> </w:t>
                            </w:r>
                            <w:r>
                              <w:rPr>
                                <w:sz w:val="20"/>
                              </w:rPr>
                              <w:t>Equity</w:t>
                            </w:r>
                            <w:r>
                              <w:rPr>
                                <w:spacing w:val="-2"/>
                                <w:sz w:val="20"/>
                              </w:rPr>
                              <w:t> </w:t>
                            </w:r>
                            <w:r>
                              <w:rPr>
                                <w:sz w:val="20"/>
                              </w:rPr>
                              <w:t>Incentive</w:t>
                            </w:r>
                            <w:r>
                              <w:rPr>
                                <w:spacing w:val="-2"/>
                                <w:sz w:val="20"/>
                              </w:rPr>
                              <w:t> </w:t>
                            </w:r>
                            <w:r>
                              <w:rPr>
                                <w:sz w:val="20"/>
                              </w:rPr>
                              <w:t>Plan,</w:t>
                            </w:r>
                            <w:r>
                              <w:rPr>
                                <w:spacing w:val="-2"/>
                                <w:sz w:val="20"/>
                              </w:rPr>
                              <w:t> </w:t>
                            </w:r>
                            <w:r>
                              <w:rPr>
                                <w:sz w:val="20"/>
                              </w:rPr>
                              <w:t>as</w:t>
                            </w:r>
                            <w:r>
                              <w:rPr>
                                <w:spacing w:val="-3"/>
                                <w:sz w:val="20"/>
                              </w:rPr>
                              <w:t> </w:t>
                            </w:r>
                            <w:r>
                              <w:rPr>
                                <w:spacing w:val="-2"/>
                                <w:sz w:val="20"/>
                              </w:rPr>
                              <w:t>amended*</w:t>
                            </w:r>
                          </w:p>
                        </w:tc>
                        <w:tc>
                          <w:tcPr>
                            <w:tcW w:w="704" w:type="dxa"/>
                          </w:tcPr>
                          <w:p>
                            <w:pPr>
                              <w:pStyle w:val="TableParagraph"/>
                              <w:spacing w:before="150"/>
                              <w:ind w:left="1"/>
                              <w:jc w:val="center"/>
                              <w:rPr>
                                <w:sz w:val="20"/>
                              </w:rPr>
                            </w:pPr>
                            <w:r>
                              <w:rPr>
                                <w:sz w:val="20"/>
                              </w:rPr>
                              <w:t>S-</w:t>
                            </w:r>
                            <w:r>
                              <w:rPr>
                                <w:spacing w:val="-10"/>
                                <w:sz w:val="20"/>
                              </w:rPr>
                              <w:t>8</w:t>
                            </w:r>
                          </w:p>
                        </w:tc>
                        <w:tc>
                          <w:tcPr>
                            <w:tcW w:w="1077" w:type="dxa"/>
                          </w:tcPr>
                          <w:p>
                            <w:pPr>
                              <w:pStyle w:val="TableParagraph"/>
                              <w:spacing w:before="150"/>
                              <w:ind w:right="106"/>
                              <w:jc w:val="right"/>
                              <w:rPr>
                                <w:sz w:val="20"/>
                              </w:rPr>
                            </w:pPr>
                            <w:r>
                              <w:rPr>
                                <w:spacing w:val="-2"/>
                                <w:sz w:val="20"/>
                              </w:rPr>
                              <w:t>10/7/11</w:t>
                            </w:r>
                          </w:p>
                        </w:tc>
                        <w:tc>
                          <w:tcPr>
                            <w:tcW w:w="792" w:type="dxa"/>
                          </w:tcPr>
                          <w:p>
                            <w:pPr>
                              <w:pStyle w:val="TableParagraph"/>
                              <w:spacing w:before="150"/>
                              <w:ind w:right="107"/>
                              <w:jc w:val="right"/>
                              <w:rPr>
                                <w:sz w:val="20"/>
                              </w:rPr>
                            </w:pPr>
                            <w:r>
                              <w:rPr>
                                <w:spacing w:val="-4"/>
                                <w:sz w:val="20"/>
                              </w:rPr>
                              <w:t>99.1</w:t>
                            </w:r>
                          </w:p>
                        </w:tc>
                        <w:tc>
                          <w:tcPr>
                            <w:tcW w:w="1178" w:type="dxa"/>
                          </w:tcPr>
                          <w:p>
                            <w:pPr>
                              <w:pStyle w:val="TableParagraph"/>
                              <w:spacing w:before="150"/>
                              <w:ind w:left="21" w:right="7"/>
                              <w:jc w:val="center"/>
                              <w:rPr>
                                <w:sz w:val="20"/>
                              </w:rPr>
                            </w:pPr>
                            <w:r>
                              <w:rPr>
                                <w:sz w:val="20"/>
                              </w:rPr>
                              <w:t>333-</w:t>
                            </w:r>
                            <w:r>
                              <w:rPr>
                                <w:spacing w:val="-2"/>
                                <w:sz w:val="20"/>
                              </w:rPr>
                              <w:t>177229</w:t>
                            </w:r>
                          </w:p>
                        </w:tc>
                        <w:tc>
                          <w:tcPr>
                            <w:tcW w:w="810" w:type="dxa"/>
                          </w:tcPr>
                          <w:p>
                            <w:pPr>
                              <w:pStyle w:val="TableParagraph"/>
                              <w:rPr>
                                <w:sz w:val="18"/>
                              </w:rPr>
                            </w:pPr>
                          </w:p>
                        </w:tc>
                      </w:tr>
                      <w:tr>
                        <w:trPr>
                          <w:trHeight w:val="550" w:hRule="atLeast"/>
                        </w:trPr>
                        <w:tc>
                          <w:tcPr>
                            <w:tcW w:w="868" w:type="dxa"/>
                          </w:tcPr>
                          <w:p>
                            <w:pPr>
                              <w:pStyle w:val="TableParagraph"/>
                              <w:spacing w:before="170"/>
                              <w:ind w:right="104"/>
                              <w:jc w:val="right"/>
                              <w:rPr>
                                <w:sz w:val="20"/>
                              </w:rPr>
                            </w:pPr>
                            <w:r>
                              <w:rPr>
                                <w:spacing w:val="-2"/>
                                <w:sz w:val="20"/>
                              </w:rPr>
                              <w:t>10.20</w:t>
                            </w:r>
                          </w:p>
                        </w:tc>
                        <w:tc>
                          <w:tcPr>
                            <w:tcW w:w="4762" w:type="dxa"/>
                          </w:tcPr>
                          <w:p>
                            <w:pPr>
                              <w:pStyle w:val="TableParagraph"/>
                              <w:spacing w:before="170"/>
                              <w:ind w:left="95"/>
                              <w:rPr>
                                <w:sz w:val="20"/>
                              </w:rPr>
                            </w:pPr>
                            <w:r>
                              <w:rPr>
                                <w:sz w:val="20"/>
                              </w:rPr>
                              <w:t>Auditude,</w:t>
                            </w:r>
                            <w:r>
                              <w:rPr>
                                <w:spacing w:val="-1"/>
                                <w:sz w:val="20"/>
                              </w:rPr>
                              <w:t> </w:t>
                            </w:r>
                            <w:r>
                              <w:rPr>
                                <w:sz w:val="20"/>
                              </w:rPr>
                              <w:t>Inc. 2009 Equity Incentive Plan, as</w:t>
                            </w:r>
                            <w:r>
                              <w:rPr>
                                <w:spacing w:val="-1"/>
                                <w:sz w:val="20"/>
                              </w:rPr>
                              <w:t> </w:t>
                            </w:r>
                            <w:r>
                              <w:rPr>
                                <w:spacing w:val="-2"/>
                                <w:sz w:val="20"/>
                              </w:rPr>
                              <w:t>amended*</w:t>
                            </w:r>
                          </w:p>
                        </w:tc>
                        <w:tc>
                          <w:tcPr>
                            <w:tcW w:w="704" w:type="dxa"/>
                          </w:tcPr>
                          <w:p>
                            <w:pPr>
                              <w:pStyle w:val="TableParagraph"/>
                              <w:spacing w:before="170"/>
                              <w:ind w:left="1"/>
                              <w:jc w:val="center"/>
                              <w:rPr>
                                <w:sz w:val="20"/>
                              </w:rPr>
                            </w:pPr>
                            <w:r>
                              <w:rPr>
                                <w:sz w:val="20"/>
                              </w:rPr>
                              <w:t>S-</w:t>
                            </w:r>
                            <w:r>
                              <w:rPr>
                                <w:spacing w:val="-10"/>
                                <w:sz w:val="20"/>
                              </w:rPr>
                              <w:t>8</w:t>
                            </w:r>
                          </w:p>
                        </w:tc>
                        <w:tc>
                          <w:tcPr>
                            <w:tcW w:w="1077" w:type="dxa"/>
                          </w:tcPr>
                          <w:p>
                            <w:pPr>
                              <w:pStyle w:val="TableParagraph"/>
                              <w:spacing w:before="170"/>
                              <w:ind w:right="106"/>
                              <w:jc w:val="right"/>
                              <w:rPr>
                                <w:sz w:val="20"/>
                              </w:rPr>
                            </w:pPr>
                            <w:r>
                              <w:rPr>
                                <w:spacing w:val="-2"/>
                                <w:sz w:val="20"/>
                              </w:rPr>
                              <w:t>11/18/11</w:t>
                            </w:r>
                          </w:p>
                        </w:tc>
                        <w:tc>
                          <w:tcPr>
                            <w:tcW w:w="792" w:type="dxa"/>
                          </w:tcPr>
                          <w:p>
                            <w:pPr>
                              <w:pStyle w:val="TableParagraph"/>
                              <w:spacing w:before="170"/>
                              <w:ind w:right="107"/>
                              <w:jc w:val="right"/>
                              <w:rPr>
                                <w:sz w:val="20"/>
                              </w:rPr>
                            </w:pPr>
                            <w:r>
                              <w:rPr>
                                <w:spacing w:val="-4"/>
                                <w:sz w:val="20"/>
                              </w:rPr>
                              <w:t>99.1</w:t>
                            </w:r>
                          </w:p>
                        </w:tc>
                        <w:tc>
                          <w:tcPr>
                            <w:tcW w:w="1178" w:type="dxa"/>
                          </w:tcPr>
                          <w:p>
                            <w:pPr>
                              <w:pStyle w:val="TableParagraph"/>
                              <w:spacing w:before="170"/>
                              <w:ind w:left="21" w:right="7"/>
                              <w:jc w:val="center"/>
                              <w:rPr>
                                <w:sz w:val="20"/>
                              </w:rPr>
                            </w:pPr>
                            <w:r>
                              <w:rPr>
                                <w:sz w:val="20"/>
                              </w:rPr>
                              <w:t>333-</w:t>
                            </w:r>
                            <w:r>
                              <w:rPr>
                                <w:spacing w:val="-2"/>
                                <w:sz w:val="20"/>
                              </w:rPr>
                              <w:t>178065</w:t>
                            </w:r>
                          </w:p>
                        </w:tc>
                        <w:tc>
                          <w:tcPr>
                            <w:tcW w:w="810" w:type="dxa"/>
                          </w:tcPr>
                          <w:p>
                            <w:pPr>
                              <w:pStyle w:val="TableParagraph"/>
                              <w:rPr>
                                <w:sz w:val="18"/>
                              </w:rPr>
                            </w:pPr>
                          </w:p>
                        </w:tc>
                      </w:tr>
                      <w:tr>
                        <w:trPr>
                          <w:trHeight w:val="609" w:hRule="atLeast"/>
                        </w:trPr>
                        <w:tc>
                          <w:tcPr>
                            <w:tcW w:w="868" w:type="dxa"/>
                          </w:tcPr>
                          <w:p>
                            <w:pPr>
                              <w:pStyle w:val="TableParagraph"/>
                              <w:spacing w:before="140"/>
                              <w:ind w:right="104"/>
                              <w:jc w:val="right"/>
                              <w:rPr>
                                <w:sz w:val="20"/>
                              </w:rPr>
                            </w:pPr>
                            <w:r>
                              <w:rPr>
                                <w:spacing w:val="-2"/>
                                <w:sz w:val="20"/>
                              </w:rPr>
                              <w:t>10.21</w:t>
                            </w:r>
                          </w:p>
                        </w:tc>
                        <w:tc>
                          <w:tcPr>
                            <w:tcW w:w="4762" w:type="dxa"/>
                          </w:tcPr>
                          <w:p>
                            <w:pPr>
                              <w:pStyle w:val="TableParagraph"/>
                              <w:spacing w:line="208" w:lineRule="auto" w:before="165"/>
                              <w:ind w:left="95" w:right="129"/>
                              <w:rPr>
                                <w:sz w:val="20"/>
                              </w:rPr>
                            </w:pPr>
                            <w:r>
                              <w:rPr>
                                <w:sz w:val="20"/>
                              </w:rPr>
                              <w:t>Auditude,</w:t>
                            </w:r>
                            <w:r>
                              <w:rPr>
                                <w:spacing w:val="-7"/>
                                <w:sz w:val="20"/>
                              </w:rPr>
                              <w:t> </w:t>
                            </w:r>
                            <w:r>
                              <w:rPr>
                                <w:sz w:val="20"/>
                              </w:rPr>
                              <w:t>Inc.</w:t>
                            </w:r>
                            <w:r>
                              <w:rPr>
                                <w:spacing w:val="-7"/>
                                <w:sz w:val="20"/>
                              </w:rPr>
                              <w:t> </w:t>
                            </w:r>
                            <w:r>
                              <w:rPr>
                                <w:sz w:val="20"/>
                              </w:rPr>
                              <w:t>Employee</w:t>
                            </w:r>
                            <w:r>
                              <w:rPr>
                                <w:spacing w:val="-7"/>
                                <w:sz w:val="20"/>
                              </w:rPr>
                              <w:t> </w:t>
                            </w:r>
                            <w:r>
                              <w:rPr>
                                <w:sz w:val="20"/>
                              </w:rPr>
                              <w:t>Stock</w:t>
                            </w:r>
                            <w:r>
                              <w:rPr>
                                <w:spacing w:val="-7"/>
                                <w:sz w:val="20"/>
                              </w:rPr>
                              <w:t> </w:t>
                            </w:r>
                            <w:r>
                              <w:rPr>
                                <w:sz w:val="20"/>
                              </w:rPr>
                              <w:t>Option</w:t>
                            </w:r>
                            <w:r>
                              <w:rPr>
                                <w:spacing w:val="-7"/>
                                <w:sz w:val="20"/>
                              </w:rPr>
                              <w:t> </w:t>
                            </w:r>
                            <w:r>
                              <w:rPr>
                                <w:sz w:val="20"/>
                              </w:rPr>
                              <w:t>Plan,</w:t>
                            </w:r>
                            <w:r>
                              <w:rPr>
                                <w:spacing w:val="-7"/>
                                <w:sz w:val="20"/>
                              </w:rPr>
                              <w:t> </w:t>
                            </w:r>
                            <w:r>
                              <w:rPr>
                                <w:sz w:val="20"/>
                              </w:rPr>
                              <w:t>as </w:t>
                            </w:r>
                            <w:r>
                              <w:rPr>
                                <w:spacing w:val="-2"/>
                                <w:sz w:val="20"/>
                              </w:rPr>
                              <w:t>amended*</w:t>
                            </w:r>
                          </w:p>
                        </w:tc>
                        <w:tc>
                          <w:tcPr>
                            <w:tcW w:w="704" w:type="dxa"/>
                          </w:tcPr>
                          <w:p>
                            <w:pPr>
                              <w:pStyle w:val="TableParagraph"/>
                              <w:spacing w:before="140"/>
                              <w:ind w:left="1"/>
                              <w:jc w:val="center"/>
                              <w:rPr>
                                <w:sz w:val="20"/>
                              </w:rPr>
                            </w:pPr>
                            <w:r>
                              <w:rPr>
                                <w:sz w:val="20"/>
                              </w:rPr>
                              <w:t>S-</w:t>
                            </w:r>
                            <w:r>
                              <w:rPr>
                                <w:spacing w:val="-10"/>
                                <w:sz w:val="20"/>
                              </w:rPr>
                              <w:t>8</w:t>
                            </w:r>
                          </w:p>
                        </w:tc>
                        <w:tc>
                          <w:tcPr>
                            <w:tcW w:w="1077" w:type="dxa"/>
                          </w:tcPr>
                          <w:p>
                            <w:pPr>
                              <w:pStyle w:val="TableParagraph"/>
                              <w:spacing w:before="140"/>
                              <w:ind w:right="106"/>
                              <w:jc w:val="right"/>
                              <w:rPr>
                                <w:sz w:val="20"/>
                              </w:rPr>
                            </w:pPr>
                            <w:r>
                              <w:rPr>
                                <w:spacing w:val="-2"/>
                                <w:sz w:val="20"/>
                              </w:rPr>
                              <w:t>11/18/11</w:t>
                            </w:r>
                          </w:p>
                        </w:tc>
                        <w:tc>
                          <w:tcPr>
                            <w:tcW w:w="792" w:type="dxa"/>
                          </w:tcPr>
                          <w:p>
                            <w:pPr>
                              <w:pStyle w:val="TableParagraph"/>
                              <w:spacing w:before="140"/>
                              <w:ind w:right="107"/>
                              <w:jc w:val="right"/>
                              <w:rPr>
                                <w:sz w:val="20"/>
                              </w:rPr>
                            </w:pPr>
                            <w:r>
                              <w:rPr>
                                <w:spacing w:val="-4"/>
                                <w:sz w:val="20"/>
                              </w:rPr>
                              <w:t>99.2</w:t>
                            </w:r>
                          </w:p>
                        </w:tc>
                        <w:tc>
                          <w:tcPr>
                            <w:tcW w:w="1178" w:type="dxa"/>
                          </w:tcPr>
                          <w:p>
                            <w:pPr>
                              <w:pStyle w:val="TableParagraph"/>
                              <w:spacing w:before="140"/>
                              <w:ind w:left="21" w:right="7"/>
                              <w:jc w:val="center"/>
                              <w:rPr>
                                <w:sz w:val="20"/>
                              </w:rPr>
                            </w:pPr>
                            <w:r>
                              <w:rPr>
                                <w:sz w:val="20"/>
                              </w:rPr>
                              <w:t>333-</w:t>
                            </w:r>
                            <w:r>
                              <w:rPr>
                                <w:spacing w:val="-2"/>
                                <w:sz w:val="20"/>
                              </w:rPr>
                              <w:t>178065</w:t>
                            </w:r>
                          </w:p>
                        </w:tc>
                        <w:tc>
                          <w:tcPr>
                            <w:tcW w:w="810" w:type="dxa"/>
                          </w:tcPr>
                          <w:p>
                            <w:pPr>
                              <w:pStyle w:val="TableParagraph"/>
                              <w:rPr>
                                <w:sz w:val="18"/>
                              </w:rPr>
                            </w:pPr>
                          </w:p>
                        </w:tc>
                      </w:tr>
                      <w:tr>
                        <w:trPr>
                          <w:trHeight w:val="500" w:hRule="atLeast"/>
                        </w:trPr>
                        <w:tc>
                          <w:tcPr>
                            <w:tcW w:w="868" w:type="dxa"/>
                          </w:tcPr>
                          <w:p>
                            <w:pPr>
                              <w:pStyle w:val="TableParagraph"/>
                              <w:spacing w:before="31"/>
                              <w:ind w:right="104"/>
                              <w:jc w:val="right"/>
                              <w:rPr>
                                <w:sz w:val="20"/>
                              </w:rPr>
                            </w:pPr>
                            <w:r>
                              <w:rPr>
                                <w:spacing w:val="-2"/>
                                <w:sz w:val="20"/>
                              </w:rPr>
                              <w:t>10.22</w:t>
                            </w:r>
                          </w:p>
                        </w:tc>
                        <w:tc>
                          <w:tcPr>
                            <w:tcW w:w="4762" w:type="dxa"/>
                          </w:tcPr>
                          <w:p>
                            <w:pPr>
                              <w:pStyle w:val="TableParagraph"/>
                              <w:spacing w:line="208" w:lineRule="auto" w:before="55"/>
                              <w:ind w:left="95" w:right="804"/>
                              <w:rPr>
                                <w:sz w:val="20"/>
                              </w:rPr>
                            </w:pPr>
                            <w:r>
                              <w:rPr>
                                <w:sz w:val="20"/>
                              </w:rPr>
                              <w:t>Efficient</w:t>
                            </w:r>
                            <w:r>
                              <w:rPr>
                                <w:spacing w:val="-10"/>
                                <w:sz w:val="20"/>
                              </w:rPr>
                              <w:t> </w:t>
                            </w:r>
                            <w:r>
                              <w:rPr>
                                <w:sz w:val="20"/>
                              </w:rPr>
                              <w:t>Frontier,</w:t>
                            </w:r>
                            <w:r>
                              <w:rPr>
                                <w:spacing w:val="-10"/>
                                <w:sz w:val="20"/>
                              </w:rPr>
                              <w:t> </w:t>
                            </w:r>
                            <w:r>
                              <w:rPr>
                                <w:sz w:val="20"/>
                              </w:rPr>
                              <w:t>Inc.</w:t>
                            </w:r>
                            <w:r>
                              <w:rPr>
                                <w:spacing w:val="-10"/>
                                <w:sz w:val="20"/>
                              </w:rPr>
                              <w:t> </w:t>
                            </w:r>
                            <w:r>
                              <w:rPr>
                                <w:sz w:val="20"/>
                              </w:rPr>
                              <w:t>2003</w:t>
                            </w:r>
                            <w:r>
                              <w:rPr>
                                <w:spacing w:val="-10"/>
                                <w:sz w:val="20"/>
                              </w:rPr>
                              <w:t> </w:t>
                            </w:r>
                            <w:r>
                              <w:rPr>
                                <w:sz w:val="20"/>
                              </w:rPr>
                              <w:t>Stock</w:t>
                            </w:r>
                            <w:r>
                              <w:rPr>
                                <w:spacing w:val="-10"/>
                                <w:sz w:val="20"/>
                              </w:rPr>
                              <w:t> </w:t>
                            </w:r>
                            <w:r>
                              <w:rPr>
                                <w:sz w:val="20"/>
                              </w:rPr>
                              <w:t>Option/Stock Issuance Plan, as Amended and Restated*</w:t>
                            </w:r>
                          </w:p>
                        </w:tc>
                        <w:tc>
                          <w:tcPr>
                            <w:tcW w:w="704" w:type="dxa"/>
                          </w:tcPr>
                          <w:p>
                            <w:pPr>
                              <w:pStyle w:val="TableParagraph"/>
                              <w:spacing w:before="31"/>
                              <w:ind w:left="1"/>
                              <w:jc w:val="center"/>
                              <w:rPr>
                                <w:sz w:val="20"/>
                              </w:rPr>
                            </w:pPr>
                            <w:r>
                              <w:rPr>
                                <w:sz w:val="20"/>
                              </w:rPr>
                              <w:t>S-</w:t>
                            </w:r>
                            <w:r>
                              <w:rPr>
                                <w:spacing w:val="-10"/>
                                <w:sz w:val="20"/>
                              </w:rPr>
                              <w:t>8</w:t>
                            </w:r>
                          </w:p>
                        </w:tc>
                        <w:tc>
                          <w:tcPr>
                            <w:tcW w:w="1077" w:type="dxa"/>
                          </w:tcPr>
                          <w:p>
                            <w:pPr>
                              <w:pStyle w:val="TableParagraph"/>
                              <w:spacing w:before="31"/>
                              <w:ind w:right="106"/>
                              <w:jc w:val="right"/>
                              <w:rPr>
                                <w:sz w:val="20"/>
                              </w:rPr>
                            </w:pPr>
                            <w:r>
                              <w:rPr>
                                <w:spacing w:val="-2"/>
                                <w:sz w:val="20"/>
                              </w:rPr>
                              <w:t>1/27/12</w:t>
                            </w:r>
                          </w:p>
                        </w:tc>
                        <w:tc>
                          <w:tcPr>
                            <w:tcW w:w="792" w:type="dxa"/>
                          </w:tcPr>
                          <w:p>
                            <w:pPr>
                              <w:pStyle w:val="TableParagraph"/>
                              <w:spacing w:before="31"/>
                              <w:ind w:right="107"/>
                              <w:jc w:val="right"/>
                              <w:rPr>
                                <w:sz w:val="20"/>
                              </w:rPr>
                            </w:pPr>
                            <w:r>
                              <w:rPr>
                                <w:spacing w:val="-4"/>
                                <w:sz w:val="20"/>
                              </w:rPr>
                              <w:t>99.1</w:t>
                            </w:r>
                          </w:p>
                        </w:tc>
                        <w:tc>
                          <w:tcPr>
                            <w:tcW w:w="1178" w:type="dxa"/>
                          </w:tcPr>
                          <w:p>
                            <w:pPr>
                              <w:pStyle w:val="TableParagraph"/>
                              <w:spacing w:before="31"/>
                              <w:ind w:left="21" w:right="7"/>
                              <w:jc w:val="center"/>
                              <w:rPr>
                                <w:sz w:val="20"/>
                              </w:rPr>
                            </w:pPr>
                            <w:r>
                              <w:rPr>
                                <w:sz w:val="20"/>
                              </w:rPr>
                              <w:t>333-</w:t>
                            </w:r>
                            <w:r>
                              <w:rPr>
                                <w:spacing w:val="-2"/>
                                <w:sz w:val="20"/>
                              </w:rPr>
                              <w:t>179221</w:t>
                            </w:r>
                          </w:p>
                        </w:tc>
                        <w:tc>
                          <w:tcPr>
                            <w:tcW w:w="810" w:type="dxa"/>
                          </w:tcPr>
                          <w:p>
                            <w:pPr>
                              <w:pStyle w:val="TableParagraph"/>
                              <w:rPr>
                                <w:sz w:val="18"/>
                              </w:rPr>
                            </w:pPr>
                          </w:p>
                        </w:tc>
                      </w:tr>
                      <w:tr>
                        <w:trPr>
                          <w:trHeight w:val="400" w:hRule="atLeast"/>
                        </w:trPr>
                        <w:tc>
                          <w:tcPr>
                            <w:tcW w:w="868" w:type="dxa"/>
                          </w:tcPr>
                          <w:p>
                            <w:pPr>
                              <w:pStyle w:val="TableParagraph"/>
                              <w:spacing w:before="31"/>
                              <w:ind w:right="92"/>
                              <w:jc w:val="right"/>
                              <w:rPr>
                                <w:sz w:val="20"/>
                              </w:rPr>
                            </w:pPr>
                            <w:r>
                              <w:rPr>
                                <w:spacing w:val="-2"/>
                                <w:sz w:val="20"/>
                              </w:rPr>
                              <w:t>10.23A</w:t>
                            </w:r>
                          </w:p>
                        </w:tc>
                        <w:tc>
                          <w:tcPr>
                            <w:tcW w:w="4762" w:type="dxa"/>
                          </w:tcPr>
                          <w:p>
                            <w:pPr>
                              <w:pStyle w:val="TableParagraph"/>
                              <w:spacing w:before="31"/>
                              <w:ind w:left="95"/>
                              <w:rPr>
                                <w:sz w:val="20"/>
                              </w:rPr>
                            </w:pPr>
                            <w:r>
                              <w:rPr>
                                <w:sz w:val="20"/>
                              </w:rPr>
                              <w:t>Behance, Inc. 2012 Equity Incentive </w:t>
                            </w:r>
                            <w:r>
                              <w:rPr>
                                <w:spacing w:val="-2"/>
                                <w:sz w:val="20"/>
                              </w:rPr>
                              <w:t>Plan*</w:t>
                            </w:r>
                          </w:p>
                        </w:tc>
                        <w:tc>
                          <w:tcPr>
                            <w:tcW w:w="704" w:type="dxa"/>
                          </w:tcPr>
                          <w:p>
                            <w:pPr>
                              <w:pStyle w:val="TableParagraph"/>
                              <w:spacing w:before="31"/>
                              <w:ind w:left="1"/>
                              <w:jc w:val="center"/>
                              <w:rPr>
                                <w:sz w:val="20"/>
                              </w:rPr>
                            </w:pPr>
                            <w:r>
                              <w:rPr>
                                <w:sz w:val="20"/>
                              </w:rPr>
                              <w:t>S-</w:t>
                            </w:r>
                            <w:r>
                              <w:rPr>
                                <w:spacing w:val="-10"/>
                                <w:sz w:val="20"/>
                              </w:rPr>
                              <w:t>8</w:t>
                            </w:r>
                          </w:p>
                        </w:tc>
                        <w:tc>
                          <w:tcPr>
                            <w:tcW w:w="1077" w:type="dxa"/>
                          </w:tcPr>
                          <w:p>
                            <w:pPr>
                              <w:pStyle w:val="TableParagraph"/>
                              <w:spacing w:before="31"/>
                              <w:ind w:right="106"/>
                              <w:jc w:val="right"/>
                              <w:rPr>
                                <w:sz w:val="20"/>
                              </w:rPr>
                            </w:pPr>
                            <w:r>
                              <w:rPr>
                                <w:spacing w:val="-2"/>
                                <w:sz w:val="20"/>
                              </w:rPr>
                              <w:t>1/23/13</w:t>
                            </w:r>
                          </w:p>
                        </w:tc>
                        <w:tc>
                          <w:tcPr>
                            <w:tcW w:w="792" w:type="dxa"/>
                          </w:tcPr>
                          <w:p>
                            <w:pPr>
                              <w:pStyle w:val="TableParagraph"/>
                              <w:spacing w:before="31"/>
                              <w:ind w:right="107"/>
                              <w:jc w:val="right"/>
                              <w:rPr>
                                <w:sz w:val="20"/>
                              </w:rPr>
                            </w:pPr>
                            <w:r>
                              <w:rPr>
                                <w:spacing w:val="-4"/>
                                <w:sz w:val="20"/>
                              </w:rPr>
                              <w:t>99.1</w:t>
                            </w:r>
                          </w:p>
                        </w:tc>
                        <w:tc>
                          <w:tcPr>
                            <w:tcW w:w="1178" w:type="dxa"/>
                          </w:tcPr>
                          <w:p>
                            <w:pPr>
                              <w:pStyle w:val="TableParagraph"/>
                              <w:spacing w:before="31"/>
                              <w:ind w:left="21" w:right="7"/>
                              <w:jc w:val="center"/>
                              <w:rPr>
                                <w:sz w:val="20"/>
                              </w:rPr>
                            </w:pPr>
                            <w:r>
                              <w:rPr>
                                <w:sz w:val="20"/>
                              </w:rPr>
                              <w:t>333-</w:t>
                            </w:r>
                            <w:r>
                              <w:rPr>
                                <w:spacing w:val="-2"/>
                                <w:sz w:val="20"/>
                              </w:rPr>
                              <w:t>186143</w:t>
                            </w:r>
                          </w:p>
                        </w:tc>
                        <w:tc>
                          <w:tcPr>
                            <w:tcW w:w="810" w:type="dxa"/>
                          </w:tcPr>
                          <w:p>
                            <w:pPr>
                              <w:pStyle w:val="TableParagraph"/>
                              <w:rPr>
                                <w:sz w:val="18"/>
                              </w:rPr>
                            </w:pPr>
                          </w:p>
                        </w:tc>
                      </w:tr>
                      <w:tr>
                        <w:trPr>
                          <w:trHeight w:val="609" w:hRule="atLeast"/>
                        </w:trPr>
                        <w:tc>
                          <w:tcPr>
                            <w:tcW w:w="868" w:type="dxa"/>
                          </w:tcPr>
                          <w:p>
                            <w:pPr>
                              <w:pStyle w:val="TableParagraph"/>
                              <w:spacing w:before="130"/>
                              <w:ind w:right="103"/>
                              <w:jc w:val="right"/>
                              <w:rPr>
                                <w:sz w:val="20"/>
                              </w:rPr>
                            </w:pPr>
                            <w:r>
                              <w:rPr>
                                <w:spacing w:val="-2"/>
                                <w:sz w:val="20"/>
                              </w:rPr>
                              <w:t>10.23B</w:t>
                            </w:r>
                          </w:p>
                        </w:tc>
                        <w:tc>
                          <w:tcPr>
                            <w:tcW w:w="4762" w:type="dxa"/>
                          </w:tcPr>
                          <w:p>
                            <w:pPr>
                              <w:pStyle w:val="TableParagraph"/>
                              <w:spacing w:line="208" w:lineRule="auto" w:before="155"/>
                              <w:ind w:left="95"/>
                              <w:rPr>
                                <w:sz w:val="20"/>
                              </w:rPr>
                            </w:pPr>
                            <w:r>
                              <w:rPr>
                                <w:sz w:val="20"/>
                              </w:rPr>
                              <w:t>Amendment</w:t>
                            </w:r>
                            <w:r>
                              <w:rPr>
                                <w:spacing w:val="-5"/>
                                <w:sz w:val="20"/>
                              </w:rPr>
                              <w:t> </w:t>
                            </w:r>
                            <w:r>
                              <w:rPr>
                                <w:sz w:val="20"/>
                              </w:rPr>
                              <w:t>No.</w:t>
                            </w:r>
                            <w:r>
                              <w:rPr>
                                <w:spacing w:val="-5"/>
                                <w:sz w:val="20"/>
                              </w:rPr>
                              <w:t> </w:t>
                            </w:r>
                            <w:r>
                              <w:rPr>
                                <w:sz w:val="20"/>
                              </w:rPr>
                              <w:t>1</w:t>
                            </w:r>
                            <w:r>
                              <w:rPr>
                                <w:spacing w:val="-5"/>
                                <w:sz w:val="20"/>
                              </w:rPr>
                              <w:t> </w:t>
                            </w:r>
                            <w:r>
                              <w:rPr>
                                <w:sz w:val="20"/>
                              </w:rPr>
                              <w:t>to</w:t>
                            </w:r>
                            <w:r>
                              <w:rPr>
                                <w:spacing w:val="-5"/>
                                <w:sz w:val="20"/>
                              </w:rPr>
                              <w:t> </w:t>
                            </w:r>
                            <w:r>
                              <w:rPr>
                                <w:sz w:val="20"/>
                              </w:rPr>
                              <w:t>the</w:t>
                            </w:r>
                            <w:r>
                              <w:rPr>
                                <w:spacing w:val="-5"/>
                                <w:sz w:val="20"/>
                              </w:rPr>
                              <w:t> </w:t>
                            </w:r>
                            <w:r>
                              <w:rPr>
                                <w:sz w:val="20"/>
                              </w:rPr>
                              <w:t>Behance,</w:t>
                            </w:r>
                            <w:r>
                              <w:rPr>
                                <w:spacing w:val="-5"/>
                                <w:sz w:val="20"/>
                              </w:rPr>
                              <w:t> </w:t>
                            </w:r>
                            <w:r>
                              <w:rPr>
                                <w:sz w:val="20"/>
                              </w:rPr>
                              <w:t>Inc.</w:t>
                            </w:r>
                            <w:r>
                              <w:rPr>
                                <w:spacing w:val="-5"/>
                                <w:sz w:val="20"/>
                              </w:rPr>
                              <w:t> </w:t>
                            </w:r>
                            <w:r>
                              <w:rPr>
                                <w:sz w:val="20"/>
                              </w:rPr>
                              <w:t>2012</w:t>
                            </w:r>
                            <w:r>
                              <w:rPr>
                                <w:spacing w:val="-5"/>
                                <w:sz w:val="20"/>
                              </w:rPr>
                              <w:t> </w:t>
                            </w:r>
                            <w:r>
                              <w:rPr>
                                <w:sz w:val="20"/>
                              </w:rPr>
                              <w:t>Equity Incentive Plan*</w:t>
                            </w:r>
                          </w:p>
                        </w:tc>
                        <w:tc>
                          <w:tcPr>
                            <w:tcW w:w="704" w:type="dxa"/>
                          </w:tcPr>
                          <w:p>
                            <w:pPr>
                              <w:pStyle w:val="TableParagraph"/>
                              <w:spacing w:before="130"/>
                              <w:ind w:left="1"/>
                              <w:jc w:val="center"/>
                              <w:rPr>
                                <w:sz w:val="20"/>
                              </w:rPr>
                            </w:pPr>
                            <w:r>
                              <w:rPr>
                                <w:sz w:val="20"/>
                              </w:rPr>
                              <w:t>S-</w:t>
                            </w:r>
                            <w:r>
                              <w:rPr>
                                <w:spacing w:val="-10"/>
                                <w:sz w:val="20"/>
                              </w:rPr>
                              <w:t>8</w:t>
                            </w:r>
                          </w:p>
                        </w:tc>
                        <w:tc>
                          <w:tcPr>
                            <w:tcW w:w="1077" w:type="dxa"/>
                          </w:tcPr>
                          <w:p>
                            <w:pPr>
                              <w:pStyle w:val="TableParagraph"/>
                              <w:spacing w:before="130"/>
                              <w:ind w:right="106"/>
                              <w:jc w:val="right"/>
                              <w:rPr>
                                <w:sz w:val="20"/>
                              </w:rPr>
                            </w:pPr>
                            <w:r>
                              <w:rPr>
                                <w:spacing w:val="-2"/>
                                <w:sz w:val="20"/>
                              </w:rPr>
                              <w:t>1/23/13</w:t>
                            </w:r>
                          </w:p>
                        </w:tc>
                        <w:tc>
                          <w:tcPr>
                            <w:tcW w:w="792" w:type="dxa"/>
                          </w:tcPr>
                          <w:p>
                            <w:pPr>
                              <w:pStyle w:val="TableParagraph"/>
                              <w:spacing w:before="130"/>
                              <w:ind w:right="107"/>
                              <w:jc w:val="right"/>
                              <w:rPr>
                                <w:sz w:val="20"/>
                              </w:rPr>
                            </w:pPr>
                            <w:r>
                              <w:rPr>
                                <w:spacing w:val="-4"/>
                                <w:sz w:val="20"/>
                              </w:rPr>
                              <w:t>99.2</w:t>
                            </w:r>
                          </w:p>
                        </w:tc>
                        <w:tc>
                          <w:tcPr>
                            <w:tcW w:w="1178" w:type="dxa"/>
                          </w:tcPr>
                          <w:p>
                            <w:pPr>
                              <w:pStyle w:val="TableParagraph"/>
                              <w:spacing w:before="130"/>
                              <w:ind w:left="21" w:right="7"/>
                              <w:jc w:val="center"/>
                              <w:rPr>
                                <w:sz w:val="20"/>
                              </w:rPr>
                            </w:pPr>
                            <w:r>
                              <w:rPr>
                                <w:sz w:val="20"/>
                              </w:rPr>
                              <w:t>333-</w:t>
                            </w:r>
                            <w:r>
                              <w:rPr>
                                <w:spacing w:val="-2"/>
                                <w:sz w:val="20"/>
                              </w:rPr>
                              <w:t>186143</w:t>
                            </w:r>
                          </w:p>
                        </w:tc>
                        <w:tc>
                          <w:tcPr>
                            <w:tcW w:w="810" w:type="dxa"/>
                          </w:tcPr>
                          <w:p>
                            <w:pPr>
                              <w:pStyle w:val="TableParagraph"/>
                              <w:rPr>
                                <w:sz w:val="18"/>
                              </w:rPr>
                            </w:pPr>
                          </w:p>
                        </w:tc>
                      </w:tr>
                      <w:tr>
                        <w:trPr>
                          <w:trHeight w:val="420" w:hRule="atLeast"/>
                        </w:trPr>
                        <w:tc>
                          <w:tcPr>
                            <w:tcW w:w="868" w:type="dxa"/>
                          </w:tcPr>
                          <w:p>
                            <w:pPr>
                              <w:pStyle w:val="TableParagraph"/>
                              <w:spacing w:before="41"/>
                              <w:ind w:right="104"/>
                              <w:jc w:val="right"/>
                              <w:rPr>
                                <w:sz w:val="20"/>
                              </w:rPr>
                            </w:pPr>
                            <w:r>
                              <w:rPr>
                                <w:spacing w:val="-2"/>
                                <w:sz w:val="20"/>
                              </w:rPr>
                              <w:t>10.24</w:t>
                            </w:r>
                          </w:p>
                        </w:tc>
                        <w:tc>
                          <w:tcPr>
                            <w:tcW w:w="4762" w:type="dxa"/>
                          </w:tcPr>
                          <w:p>
                            <w:pPr>
                              <w:pStyle w:val="TableParagraph"/>
                              <w:spacing w:before="41"/>
                              <w:ind w:left="95"/>
                              <w:rPr>
                                <w:sz w:val="20"/>
                              </w:rPr>
                            </w:pPr>
                            <w:r>
                              <w:rPr>
                                <w:sz w:val="20"/>
                              </w:rPr>
                              <w:t>Neolane 2008 Stock Option </w:t>
                            </w:r>
                            <w:r>
                              <w:rPr>
                                <w:spacing w:val="-2"/>
                                <w:sz w:val="20"/>
                              </w:rPr>
                              <w:t>Plan*</w:t>
                            </w:r>
                          </w:p>
                        </w:tc>
                        <w:tc>
                          <w:tcPr>
                            <w:tcW w:w="704" w:type="dxa"/>
                          </w:tcPr>
                          <w:p>
                            <w:pPr>
                              <w:pStyle w:val="TableParagraph"/>
                              <w:spacing w:before="41"/>
                              <w:ind w:left="1"/>
                              <w:jc w:val="center"/>
                              <w:rPr>
                                <w:sz w:val="20"/>
                              </w:rPr>
                            </w:pPr>
                            <w:r>
                              <w:rPr>
                                <w:sz w:val="20"/>
                              </w:rPr>
                              <w:t>S-</w:t>
                            </w:r>
                            <w:r>
                              <w:rPr>
                                <w:spacing w:val="-10"/>
                                <w:sz w:val="20"/>
                              </w:rPr>
                              <w:t>8</w:t>
                            </w:r>
                          </w:p>
                        </w:tc>
                        <w:tc>
                          <w:tcPr>
                            <w:tcW w:w="1077" w:type="dxa"/>
                          </w:tcPr>
                          <w:p>
                            <w:pPr>
                              <w:pStyle w:val="TableParagraph"/>
                              <w:spacing w:before="41"/>
                              <w:ind w:right="106"/>
                              <w:jc w:val="right"/>
                              <w:rPr>
                                <w:sz w:val="20"/>
                              </w:rPr>
                            </w:pPr>
                            <w:r>
                              <w:rPr>
                                <w:spacing w:val="-2"/>
                                <w:sz w:val="20"/>
                              </w:rPr>
                              <w:t>8/27/13</w:t>
                            </w:r>
                          </w:p>
                        </w:tc>
                        <w:tc>
                          <w:tcPr>
                            <w:tcW w:w="792" w:type="dxa"/>
                          </w:tcPr>
                          <w:p>
                            <w:pPr>
                              <w:pStyle w:val="TableParagraph"/>
                              <w:spacing w:before="41"/>
                              <w:ind w:right="107"/>
                              <w:jc w:val="right"/>
                              <w:rPr>
                                <w:sz w:val="20"/>
                              </w:rPr>
                            </w:pPr>
                            <w:r>
                              <w:rPr>
                                <w:spacing w:val="-4"/>
                                <w:sz w:val="20"/>
                              </w:rPr>
                              <w:t>99.1</w:t>
                            </w:r>
                          </w:p>
                        </w:tc>
                        <w:tc>
                          <w:tcPr>
                            <w:tcW w:w="1178" w:type="dxa"/>
                          </w:tcPr>
                          <w:p>
                            <w:pPr>
                              <w:pStyle w:val="TableParagraph"/>
                              <w:spacing w:before="41"/>
                              <w:ind w:left="21" w:right="7"/>
                              <w:jc w:val="center"/>
                              <w:rPr>
                                <w:sz w:val="20"/>
                              </w:rPr>
                            </w:pPr>
                            <w:r>
                              <w:rPr>
                                <w:sz w:val="20"/>
                              </w:rPr>
                              <w:t>333-</w:t>
                            </w:r>
                            <w:r>
                              <w:rPr>
                                <w:spacing w:val="-2"/>
                                <w:sz w:val="20"/>
                              </w:rPr>
                              <w:t>190846</w:t>
                            </w:r>
                          </w:p>
                        </w:tc>
                        <w:tc>
                          <w:tcPr>
                            <w:tcW w:w="810" w:type="dxa"/>
                          </w:tcPr>
                          <w:p>
                            <w:pPr>
                              <w:pStyle w:val="TableParagraph"/>
                              <w:rPr>
                                <w:sz w:val="18"/>
                              </w:rPr>
                            </w:pPr>
                          </w:p>
                        </w:tc>
                      </w:tr>
                      <w:tr>
                        <w:trPr>
                          <w:trHeight w:val="510" w:hRule="atLeast"/>
                        </w:trPr>
                        <w:tc>
                          <w:tcPr>
                            <w:tcW w:w="868" w:type="dxa"/>
                          </w:tcPr>
                          <w:p>
                            <w:pPr>
                              <w:pStyle w:val="TableParagraph"/>
                              <w:spacing w:before="140"/>
                              <w:ind w:right="104"/>
                              <w:jc w:val="right"/>
                              <w:rPr>
                                <w:sz w:val="20"/>
                              </w:rPr>
                            </w:pPr>
                            <w:r>
                              <w:rPr>
                                <w:spacing w:val="-2"/>
                                <w:sz w:val="20"/>
                              </w:rPr>
                              <w:t>10.25</w:t>
                            </w:r>
                          </w:p>
                        </w:tc>
                        <w:tc>
                          <w:tcPr>
                            <w:tcW w:w="4762" w:type="dxa"/>
                          </w:tcPr>
                          <w:p>
                            <w:pPr>
                              <w:pStyle w:val="TableParagraph"/>
                              <w:spacing w:before="140"/>
                              <w:ind w:left="95"/>
                              <w:rPr>
                                <w:sz w:val="20"/>
                              </w:rPr>
                            </w:pPr>
                            <w:r>
                              <w:rPr>
                                <w:sz w:val="20"/>
                              </w:rPr>
                              <w:t>2012 Neolane Stock Option Plan for</w:t>
                            </w:r>
                            <w:r>
                              <w:rPr>
                                <w:spacing w:val="-4"/>
                                <w:sz w:val="20"/>
                              </w:rPr>
                              <w:t> </w:t>
                            </w:r>
                            <w:r>
                              <w:rPr>
                                <w:sz w:val="20"/>
                              </w:rPr>
                              <w:t>The United </w:t>
                            </w:r>
                            <w:r>
                              <w:rPr>
                                <w:spacing w:val="-2"/>
                                <w:sz w:val="20"/>
                              </w:rPr>
                              <w:t>States*</w:t>
                            </w:r>
                          </w:p>
                        </w:tc>
                        <w:tc>
                          <w:tcPr>
                            <w:tcW w:w="704" w:type="dxa"/>
                          </w:tcPr>
                          <w:p>
                            <w:pPr>
                              <w:pStyle w:val="TableParagraph"/>
                              <w:spacing w:before="140"/>
                              <w:ind w:left="1"/>
                              <w:jc w:val="center"/>
                              <w:rPr>
                                <w:sz w:val="20"/>
                              </w:rPr>
                            </w:pPr>
                            <w:r>
                              <w:rPr>
                                <w:sz w:val="20"/>
                              </w:rPr>
                              <w:t>S-</w:t>
                            </w:r>
                            <w:r>
                              <w:rPr>
                                <w:spacing w:val="-10"/>
                                <w:sz w:val="20"/>
                              </w:rPr>
                              <w:t>8</w:t>
                            </w:r>
                          </w:p>
                        </w:tc>
                        <w:tc>
                          <w:tcPr>
                            <w:tcW w:w="1077" w:type="dxa"/>
                          </w:tcPr>
                          <w:p>
                            <w:pPr>
                              <w:pStyle w:val="TableParagraph"/>
                              <w:spacing w:before="140"/>
                              <w:ind w:right="106"/>
                              <w:jc w:val="right"/>
                              <w:rPr>
                                <w:sz w:val="20"/>
                              </w:rPr>
                            </w:pPr>
                            <w:r>
                              <w:rPr>
                                <w:spacing w:val="-2"/>
                                <w:sz w:val="20"/>
                              </w:rPr>
                              <w:t>8/27/13</w:t>
                            </w:r>
                          </w:p>
                        </w:tc>
                        <w:tc>
                          <w:tcPr>
                            <w:tcW w:w="792" w:type="dxa"/>
                          </w:tcPr>
                          <w:p>
                            <w:pPr>
                              <w:pStyle w:val="TableParagraph"/>
                              <w:spacing w:before="140"/>
                              <w:ind w:right="107"/>
                              <w:jc w:val="right"/>
                              <w:rPr>
                                <w:sz w:val="20"/>
                              </w:rPr>
                            </w:pPr>
                            <w:r>
                              <w:rPr>
                                <w:spacing w:val="-4"/>
                                <w:sz w:val="20"/>
                              </w:rPr>
                              <w:t>99.2</w:t>
                            </w:r>
                          </w:p>
                        </w:tc>
                        <w:tc>
                          <w:tcPr>
                            <w:tcW w:w="1178" w:type="dxa"/>
                          </w:tcPr>
                          <w:p>
                            <w:pPr>
                              <w:pStyle w:val="TableParagraph"/>
                              <w:spacing w:before="140"/>
                              <w:ind w:left="21" w:right="7"/>
                              <w:jc w:val="center"/>
                              <w:rPr>
                                <w:sz w:val="20"/>
                              </w:rPr>
                            </w:pPr>
                            <w:r>
                              <w:rPr>
                                <w:sz w:val="20"/>
                              </w:rPr>
                              <w:t>333-</w:t>
                            </w:r>
                            <w:r>
                              <w:rPr>
                                <w:spacing w:val="-2"/>
                                <w:sz w:val="20"/>
                              </w:rPr>
                              <w:t>190846</w:t>
                            </w:r>
                          </w:p>
                        </w:tc>
                        <w:tc>
                          <w:tcPr>
                            <w:tcW w:w="810" w:type="dxa"/>
                          </w:tcPr>
                          <w:p>
                            <w:pPr>
                              <w:pStyle w:val="TableParagraph"/>
                              <w:rPr>
                                <w:sz w:val="18"/>
                              </w:rPr>
                            </w:pPr>
                          </w:p>
                        </w:tc>
                      </w:tr>
                      <w:tr>
                        <w:trPr>
                          <w:trHeight w:val="520" w:hRule="atLeast"/>
                        </w:trPr>
                        <w:tc>
                          <w:tcPr>
                            <w:tcW w:w="868" w:type="dxa"/>
                          </w:tcPr>
                          <w:p>
                            <w:pPr>
                              <w:pStyle w:val="TableParagraph"/>
                              <w:spacing w:before="130"/>
                              <w:ind w:right="104"/>
                              <w:jc w:val="right"/>
                              <w:rPr>
                                <w:sz w:val="20"/>
                              </w:rPr>
                            </w:pPr>
                            <w:r>
                              <w:rPr>
                                <w:spacing w:val="-2"/>
                                <w:sz w:val="20"/>
                              </w:rPr>
                              <w:t>10.26</w:t>
                            </w:r>
                          </w:p>
                        </w:tc>
                        <w:tc>
                          <w:tcPr>
                            <w:tcW w:w="4762" w:type="dxa"/>
                          </w:tcPr>
                          <w:p>
                            <w:pPr>
                              <w:pStyle w:val="TableParagraph"/>
                              <w:spacing w:before="130"/>
                              <w:ind w:left="95"/>
                              <w:rPr>
                                <w:sz w:val="20"/>
                              </w:rPr>
                            </w:pPr>
                            <w:r>
                              <w:rPr>
                                <w:sz w:val="20"/>
                              </w:rPr>
                              <w:t>Description of 2015 Director </w:t>
                            </w:r>
                            <w:r>
                              <w:rPr>
                                <w:spacing w:val="-2"/>
                                <w:sz w:val="20"/>
                              </w:rPr>
                              <w:t>Compensation*</w:t>
                            </w:r>
                          </w:p>
                        </w:tc>
                        <w:tc>
                          <w:tcPr>
                            <w:tcW w:w="704" w:type="dxa"/>
                          </w:tcPr>
                          <w:p>
                            <w:pPr>
                              <w:pStyle w:val="TableParagraph"/>
                              <w:spacing w:before="130"/>
                              <w:ind w:left="1" w:right="1"/>
                              <w:jc w:val="center"/>
                              <w:rPr>
                                <w:sz w:val="20"/>
                              </w:rPr>
                            </w:pPr>
                            <w:r>
                              <w:rPr>
                                <w:spacing w:val="-2"/>
                                <w:sz w:val="20"/>
                              </w:rPr>
                              <w:t>10-</w:t>
                            </w:r>
                            <w:r>
                              <w:rPr>
                                <w:spacing w:val="-10"/>
                                <w:sz w:val="20"/>
                              </w:rPr>
                              <w:t>K</w:t>
                            </w:r>
                          </w:p>
                        </w:tc>
                        <w:tc>
                          <w:tcPr>
                            <w:tcW w:w="1077" w:type="dxa"/>
                          </w:tcPr>
                          <w:p>
                            <w:pPr>
                              <w:pStyle w:val="TableParagraph"/>
                              <w:spacing w:before="130"/>
                              <w:ind w:right="106"/>
                              <w:jc w:val="right"/>
                              <w:rPr>
                                <w:sz w:val="20"/>
                              </w:rPr>
                            </w:pPr>
                            <w:r>
                              <w:rPr>
                                <w:spacing w:val="-2"/>
                                <w:sz w:val="20"/>
                              </w:rPr>
                              <w:t>1/20/15</w:t>
                            </w:r>
                          </w:p>
                        </w:tc>
                        <w:tc>
                          <w:tcPr>
                            <w:tcW w:w="792" w:type="dxa"/>
                          </w:tcPr>
                          <w:p>
                            <w:pPr>
                              <w:pStyle w:val="TableParagraph"/>
                              <w:spacing w:before="130"/>
                              <w:ind w:right="107"/>
                              <w:jc w:val="right"/>
                              <w:rPr>
                                <w:sz w:val="20"/>
                              </w:rPr>
                            </w:pPr>
                            <w:r>
                              <w:rPr>
                                <w:spacing w:val="-2"/>
                                <w:sz w:val="20"/>
                              </w:rPr>
                              <w:t>10.52</w:t>
                            </w:r>
                          </w:p>
                        </w:tc>
                        <w:tc>
                          <w:tcPr>
                            <w:tcW w:w="1178" w:type="dxa"/>
                          </w:tcPr>
                          <w:p>
                            <w:pPr>
                              <w:pStyle w:val="TableParagraph"/>
                              <w:spacing w:before="13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40" w:hRule="atLeast"/>
                        </w:trPr>
                        <w:tc>
                          <w:tcPr>
                            <w:tcW w:w="868" w:type="dxa"/>
                          </w:tcPr>
                          <w:p>
                            <w:pPr>
                              <w:pStyle w:val="TableParagraph"/>
                              <w:spacing w:before="150"/>
                              <w:ind w:right="104"/>
                              <w:jc w:val="right"/>
                              <w:rPr>
                                <w:sz w:val="20"/>
                              </w:rPr>
                            </w:pPr>
                            <w:r>
                              <w:rPr>
                                <w:spacing w:val="-2"/>
                                <w:sz w:val="20"/>
                              </w:rPr>
                              <w:t>10.27</w:t>
                            </w:r>
                          </w:p>
                        </w:tc>
                        <w:tc>
                          <w:tcPr>
                            <w:tcW w:w="4762" w:type="dxa"/>
                          </w:tcPr>
                          <w:p>
                            <w:pPr>
                              <w:pStyle w:val="TableParagraph"/>
                              <w:spacing w:before="150"/>
                              <w:ind w:left="95"/>
                              <w:rPr>
                                <w:sz w:val="20"/>
                              </w:rPr>
                            </w:pPr>
                            <w:r>
                              <w:rPr>
                                <w:sz w:val="20"/>
                              </w:rPr>
                              <w:t>Description of 2016 Director </w:t>
                            </w:r>
                            <w:r>
                              <w:rPr>
                                <w:spacing w:val="-2"/>
                                <w:sz w:val="20"/>
                              </w:rPr>
                              <w:t>Compensation*</w:t>
                            </w:r>
                          </w:p>
                        </w:tc>
                        <w:tc>
                          <w:tcPr>
                            <w:tcW w:w="704" w:type="dxa"/>
                          </w:tcPr>
                          <w:p>
                            <w:pPr>
                              <w:pStyle w:val="TableParagraph"/>
                              <w:spacing w:before="150"/>
                              <w:ind w:left="1" w:right="1"/>
                              <w:jc w:val="center"/>
                              <w:rPr>
                                <w:sz w:val="20"/>
                              </w:rPr>
                            </w:pPr>
                            <w:r>
                              <w:rPr>
                                <w:spacing w:val="-2"/>
                                <w:sz w:val="20"/>
                              </w:rPr>
                              <w:t>10-</w:t>
                            </w:r>
                            <w:r>
                              <w:rPr>
                                <w:spacing w:val="-10"/>
                                <w:sz w:val="20"/>
                              </w:rPr>
                              <w:t>K</w:t>
                            </w:r>
                          </w:p>
                        </w:tc>
                        <w:tc>
                          <w:tcPr>
                            <w:tcW w:w="1077" w:type="dxa"/>
                          </w:tcPr>
                          <w:p>
                            <w:pPr>
                              <w:pStyle w:val="TableParagraph"/>
                              <w:spacing w:before="150"/>
                              <w:ind w:right="106"/>
                              <w:jc w:val="right"/>
                              <w:rPr>
                                <w:sz w:val="20"/>
                              </w:rPr>
                            </w:pPr>
                            <w:r>
                              <w:rPr>
                                <w:spacing w:val="-2"/>
                                <w:sz w:val="20"/>
                              </w:rPr>
                              <w:t>1/19/16</w:t>
                            </w:r>
                          </w:p>
                        </w:tc>
                        <w:tc>
                          <w:tcPr>
                            <w:tcW w:w="792" w:type="dxa"/>
                          </w:tcPr>
                          <w:p>
                            <w:pPr>
                              <w:pStyle w:val="TableParagraph"/>
                              <w:spacing w:before="150"/>
                              <w:ind w:right="107"/>
                              <w:jc w:val="right"/>
                              <w:rPr>
                                <w:sz w:val="20"/>
                              </w:rPr>
                            </w:pPr>
                            <w:r>
                              <w:rPr>
                                <w:spacing w:val="-2"/>
                                <w:sz w:val="20"/>
                              </w:rPr>
                              <w:t>10.32</w:t>
                            </w:r>
                          </w:p>
                        </w:tc>
                        <w:tc>
                          <w:tcPr>
                            <w:tcW w:w="1178" w:type="dxa"/>
                          </w:tcPr>
                          <w:p>
                            <w:pPr>
                              <w:pStyle w:val="TableParagraph"/>
                              <w:spacing w:before="15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20" w:hRule="atLeast"/>
                        </w:trPr>
                        <w:tc>
                          <w:tcPr>
                            <w:tcW w:w="868" w:type="dxa"/>
                          </w:tcPr>
                          <w:p>
                            <w:pPr>
                              <w:pStyle w:val="TableParagraph"/>
                              <w:spacing w:before="150"/>
                              <w:ind w:right="104"/>
                              <w:jc w:val="right"/>
                              <w:rPr>
                                <w:sz w:val="20"/>
                              </w:rPr>
                            </w:pPr>
                            <w:r>
                              <w:rPr>
                                <w:spacing w:val="-2"/>
                                <w:sz w:val="20"/>
                              </w:rPr>
                              <w:t>10.28</w:t>
                            </w:r>
                          </w:p>
                        </w:tc>
                        <w:tc>
                          <w:tcPr>
                            <w:tcW w:w="4762" w:type="dxa"/>
                          </w:tcPr>
                          <w:p>
                            <w:pPr>
                              <w:pStyle w:val="TableParagraph"/>
                              <w:spacing w:before="150"/>
                              <w:ind w:left="95"/>
                              <w:rPr>
                                <w:sz w:val="20"/>
                              </w:rPr>
                            </w:pPr>
                            <w:r>
                              <w:rPr>
                                <w:sz w:val="20"/>
                              </w:rPr>
                              <w:t>Description of 2017 Director </w:t>
                            </w:r>
                            <w:r>
                              <w:rPr>
                                <w:spacing w:val="-2"/>
                                <w:sz w:val="20"/>
                              </w:rPr>
                              <w:t>Compensation*</w:t>
                            </w:r>
                          </w:p>
                        </w:tc>
                        <w:tc>
                          <w:tcPr>
                            <w:tcW w:w="704" w:type="dxa"/>
                          </w:tcPr>
                          <w:p>
                            <w:pPr>
                              <w:pStyle w:val="TableParagraph"/>
                              <w:spacing w:before="150"/>
                              <w:ind w:left="1" w:right="1"/>
                              <w:jc w:val="center"/>
                              <w:rPr>
                                <w:sz w:val="20"/>
                              </w:rPr>
                            </w:pPr>
                            <w:r>
                              <w:rPr>
                                <w:spacing w:val="-2"/>
                                <w:sz w:val="20"/>
                              </w:rPr>
                              <w:t>10-</w:t>
                            </w:r>
                            <w:r>
                              <w:rPr>
                                <w:spacing w:val="-10"/>
                                <w:sz w:val="20"/>
                              </w:rPr>
                              <w:t>K</w:t>
                            </w:r>
                          </w:p>
                        </w:tc>
                        <w:tc>
                          <w:tcPr>
                            <w:tcW w:w="1077" w:type="dxa"/>
                          </w:tcPr>
                          <w:p>
                            <w:pPr>
                              <w:pStyle w:val="TableParagraph"/>
                              <w:spacing w:before="150"/>
                              <w:ind w:right="106"/>
                              <w:jc w:val="right"/>
                              <w:rPr>
                                <w:sz w:val="20"/>
                              </w:rPr>
                            </w:pPr>
                            <w:r>
                              <w:rPr>
                                <w:spacing w:val="-2"/>
                                <w:sz w:val="20"/>
                              </w:rPr>
                              <w:t>1/20/17</w:t>
                            </w:r>
                          </w:p>
                        </w:tc>
                        <w:tc>
                          <w:tcPr>
                            <w:tcW w:w="792" w:type="dxa"/>
                          </w:tcPr>
                          <w:p>
                            <w:pPr>
                              <w:pStyle w:val="TableParagraph"/>
                              <w:spacing w:before="150"/>
                              <w:ind w:right="107"/>
                              <w:jc w:val="right"/>
                              <w:rPr>
                                <w:sz w:val="20"/>
                              </w:rPr>
                            </w:pPr>
                            <w:r>
                              <w:rPr>
                                <w:spacing w:val="-2"/>
                                <w:sz w:val="20"/>
                              </w:rPr>
                              <w:t>10.32</w:t>
                            </w:r>
                          </w:p>
                        </w:tc>
                        <w:tc>
                          <w:tcPr>
                            <w:tcW w:w="1178" w:type="dxa"/>
                          </w:tcPr>
                          <w:p>
                            <w:pPr>
                              <w:pStyle w:val="TableParagraph"/>
                              <w:spacing w:before="150"/>
                              <w:ind w:left="121" w:right="7"/>
                              <w:jc w:val="center"/>
                              <w:rPr>
                                <w:sz w:val="20"/>
                              </w:rPr>
                            </w:pPr>
                            <w:r>
                              <w:rPr>
                                <w:sz w:val="20"/>
                              </w:rPr>
                              <w:t>000-</w:t>
                            </w:r>
                            <w:r>
                              <w:rPr>
                                <w:spacing w:val="-2"/>
                                <w:sz w:val="20"/>
                              </w:rPr>
                              <w:t>15175</w:t>
                            </w:r>
                          </w:p>
                        </w:tc>
                        <w:tc>
                          <w:tcPr>
                            <w:tcW w:w="810" w:type="dxa"/>
                          </w:tcPr>
                          <w:p>
                            <w:pPr>
                              <w:pStyle w:val="TableParagraph"/>
                              <w:rPr>
                                <w:sz w:val="18"/>
                              </w:rPr>
                            </w:pPr>
                          </w:p>
                        </w:tc>
                      </w:tr>
                      <w:tr>
                        <w:trPr>
                          <w:trHeight w:val="530" w:hRule="atLeast"/>
                        </w:trPr>
                        <w:tc>
                          <w:tcPr>
                            <w:tcW w:w="868" w:type="dxa"/>
                          </w:tcPr>
                          <w:p>
                            <w:pPr>
                              <w:pStyle w:val="TableParagraph"/>
                              <w:spacing w:before="130"/>
                              <w:ind w:right="104"/>
                              <w:jc w:val="right"/>
                              <w:rPr>
                                <w:sz w:val="20"/>
                              </w:rPr>
                            </w:pPr>
                            <w:r>
                              <w:rPr>
                                <w:spacing w:val="-2"/>
                                <w:sz w:val="20"/>
                              </w:rPr>
                              <w:t>10.29</w:t>
                            </w:r>
                          </w:p>
                        </w:tc>
                        <w:tc>
                          <w:tcPr>
                            <w:tcW w:w="4762" w:type="dxa"/>
                          </w:tcPr>
                          <w:p>
                            <w:pPr>
                              <w:pStyle w:val="TableParagraph"/>
                              <w:spacing w:before="130"/>
                              <w:ind w:left="95"/>
                              <w:rPr>
                                <w:sz w:val="20"/>
                              </w:rPr>
                            </w:pPr>
                            <w:r>
                              <w:rPr>
                                <w:sz w:val="20"/>
                              </w:rPr>
                              <w:t>Description of 2018 Director </w:t>
                            </w:r>
                            <w:r>
                              <w:rPr>
                                <w:spacing w:val="-2"/>
                                <w:sz w:val="20"/>
                              </w:rPr>
                              <w:t>Compensation*</w:t>
                            </w:r>
                          </w:p>
                        </w:tc>
                        <w:tc>
                          <w:tcPr>
                            <w:tcW w:w="704" w:type="dxa"/>
                          </w:tcPr>
                          <w:p>
                            <w:pPr>
                              <w:pStyle w:val="TableParagraph"/>
                              <w:rPr>
                                <w:sz w:val="18"/>
                              </w:rPr>
                            </w:pPr>
                          </w:p>
                        </w:tc>
                        <w:tc>
                          <w:tcPr>
                            <w:tcW w:w="1077" w:type="dxa"/>
                          </w:tcPr>
                          <w:p>
                            <w:pPr>
                              <w:pStyle w:val="TableParagraph"/>
                              <w:rPr>
                                <w:sz w:val="18"/>
                              </w:rPr>
                            </w:pPr>
                          </w:p>
                        </w:tc>
                        <w:tc>
                          <w:tcPr>
                            <w:tcW w:w="792" w:type="dxa"/>
                          </w:tcPr>
                          <w:p>
                            <w:pPr>
                              <w:pStyle w:val="TableParagraph"/>
                              <w:rPr>
                                <w:sz w:val="18"/>
                              </w:rPr>
                            </w:pPr>
                          </w:p>
                        </w:tc>
                        <w:tc>
                          <w:tcPr>
                            <w:tcW w:w="1178" w:type="dxa"/>
                          </w:tcPr>
                          <w:p>
                            <w:pPr>
                              <w:pStyle w:val="TableParagraph"/>
                              <w:rPr>
                                <w:sz w:val="18"/>
                              </w:rPr>
                            </w:pPr>
                          </w:p>
                        </w:tc>
                        <w:tc>
                          <w:tcPr>
                            <w:tcW w:w="810" w:type="dxa"/>
                          </w:tcPr>
                          <w:p>
                            <w:pPr>
                              <w:pStyle w:val="TableParagraph"/>
                              <w:spacing w:before="130"/>
                              <w:ind w:left="32"/>
                              <w:jc w:val="center"/>
                              <w:rPr>
                                <w:sz w:val="20"/>
                              </w:rPr>
                            </w:pPr>
                            <w:r>
                              <w:rPr>
                                <w:spacing w:val="-10"/>
                                <w:sz w:val="20"/>
                              </w:rPr>
                              <w:t>X</w:t>
                            </w:r>
                          </w:p>
                        </w:tc>
                      </w:tr>
                      <w:tr>
                        <w:trPr>
                          <w:trHeight w:val="390" w:hRule="atLeast"/>
                        </w:trPr>
                        <w:tc>
                          <w:tcPr>
                            <w:tcW w:w="868" w:type="dxa"/>
                          </w:tcPr>
                          <w:p>
                            <w:pPr>
                              <w:pStyle w:val="TableParagraph"/>
                              <w:spacing w:line="210" w:lineRule="exact" w:before="160"/>
                              <w:ind w:right="92"/>
                              <w:jc w:val="right"/>
                              <w:rPr>
                                <w:sz w:val="20"/>
                              </w:rPr>
                            </w:pPr>
                            <w:r>
                              <w:rPr>
                                <w:spacing w:val="-2"/>
                                <w:sz w:val="20"/>
                              </w:rPr>
                              <w:t>10.30A</w:t>
                            </w:r>
                          </w:p>
                        </w:tc>
                        <w:tc>
                          <w:tcPr>
                            <w:tcW w:w="4762" w:type="dxa"/>
                          </w:tcPr>
                          <w:p>
                            <w:pPr>
                              <w:pStyle w:val="TableParagraph"/>
                              <w:spacing w:line="210" w:lineRule="exact" w:before="160"/>
                              <w:ind w:left="95"/>
                              <w:rPr>
                                <w:sz w:val="20"/>
                              </w:rPr>
                            </w:pPr>
                            <w:r>
                              <w:rPr>
                                <w:sz w:val="20"/>
                              </w:rPr>
                              <w:t>Aviary,</w:t>
                            </w:r>
                            <w:r>
                              <w:rPr>
                                <w:spacing w:val="-5"/>
                                <w:sz w:val="20"/>
                              </w:rPr>
                              <w:t> </w:t>
                            </w:r>
                            <w:r>
                              <w:rPr>
                                <w:sz w:val="20"/>
                              </w:rPr>
                              <w:t>Inc.</w:t>
                            </w:r>
                            <w:r>
                              <w:rPr>
                                <w:spacing w:val="-5"/>
                                <w:sz w:val="20"/>
                              </w:rPr>
                              <w:t> </w:t>
                            </w:r>
                            <w:r>
                              <w:rPr>
                                <w:sz w:val="20"/>
                              </w:rPr>
                              <w:t>2008</w:t>
                            </w:r>
                            <w:r>
                              <w:rPr>
                                <w:spacing w:val="-5"/>
                                <w:sz w:val="20"/>
                              </w:rPr>
                              <w:t> </w:t>
                            </w:r>
                            <w:r>
                              <w:rPr>
                                <w:sz w:val="20"/>
                              </w:rPr>
                              <w:t>Stock</w:t>
                            </w:r>
                            <w:r>
                              <w:rPr>
                                <w:spacing w:val="-5"/>
                                <w:sz w:val="20"/>
                              </w:rPr>
                              <w:t> </w:t>
                            </w:r>
                            <w:r>
                              <w:rPr>
                                <w:sz w:val="20"/>
                              </w:rPr>
                              <w:t>Plan,</w:t>
                            </w:r>
                            <w:r>
                              <w:rPr>
                                <w:spacing w:val="-5"/>
                                <w:sz w:val="20"/>
                              </w:rPr>
                              <w:t> </w:t>
                            </w:r>
                            <w:r>
                              <w:rPr>
                                <w:sz w:val="20"/>
                              </w:rPr>
                              <w:t>as</w:t>
                            </w:r>
                            <w:r>
                              <w:rPr>
                                <w:spacing w:val="-5"/>
                                <w:sz w:val="20"/>
                              </w:rPr>
                              <w:t> </w:t>
                            </w:r>
                            <w:r>
                              <w:rPr>
                                <w:spacing w:val="-2"/>
                                <w:sz w:val="20"/>
                              </w:rPr>
                              <w:t>amended*</w:t>
                            </w:r>
                          </w:p>
                        </w:tc>
                        <w:tc>
                          <w:tcPr>
                            <w:tcW w:w="704" w:type="dxa"/>
                          </w:tcPr>
                          <w:p>
                            <w:pPr>
                              <w:pStyle w:val="TableParagraph"/>
                              <w:spacing w:line="210" w:lineRule="exact" w:before="160"/>
                              <w:ind w:left="1"/>
                              <w:jc w:val="center"/>
                              <w:rPr>
                                <w:sz w:val="20"/>
                              </w:rPr>
                            </w:pPr>
                            <w:r>
                              <w:rPr>
                                <w:sz w:val="20"/>
                              </w:rPr>
                              <w:t>S-</w:t>
                            </w:r>
                            <w:r>
                              <w:rPr>
                                <w:spacing w:val="-10"/>
                                <w:sz w:val="20"/>
                              </w:rPr>
                              <w:t>8</w:t>
                            </w:r>
                          </w:p>
                        </w:tc>
                        <w:tc>
                          <w:tcPr>
                            <w:tcW w:w="1077" w:type="dxa"/>
                          </w:tcPr>
                          <w:p>
                            <w:pPr>
                              <w:pStyle w:val="TableParagraph"/>
                              <w:spacing w:line="210" w:lineRule="exact" w:before="160"/>
                              <w:ind w:right="106"/>
                              <w:jc w:val="right"/>
                              <w:rPr>
                                <w:sz w:val="20"/>
                              </w:rPr>
                            </w:pPr>
                            <w:r>
                              <w:rPr>
                                <w:spacing w:val="-2"/>
                                <w:sz w:val="20"/>
                              </w:rPr>
                              <w:t>9/26/14</w:t>
                            </w:r>
                          </w:p>
                        </w:tc>
                        <w:tc>
                          <w:tcPr>
                            <w:tcW w:w="792" w:type="dxa"/>
                          </w:tcPr>
                          <w:p>
                            <w:pPr>
                              <w:pStyle w:val="TableParagraph"/>
                              <w:spacing w:line="210" w:lineRule="exact" w:before="160"/>
                              <w:ind w:right="107"/>
                              <w:jc w:val="right"/>
                              <w:rPr>
                                <w:sz w:val="20"/>
                              </w:rPr>
                            </w:pPr>
                            <w:r>
                              <w:rPr>
                                <w:spacing w:val="-4"/>
                                <w:sz w:val="20"/>
                              </w:rPr>
                              <w:t>99.1</w:t>
                            </w:r>
                          </w:p>
                        </w:tc>
                        <w:tc>
                          <w:tcPr>
                            <w:tcW w:w="1178" w:type="dxa"/>
                          </w:tcPr>
                          <w:p>
                            <w:pPr>
                              <w:pStyle w:val="TableParagraph"/>
                              <w:spacing w:line="210" w:lineRule="exact" w:before="160"/>
                              <w:ind w:left="21" w:right="7"/>
                              <w:jc w:val="center"/>
                              <w:rPr>
                                <w:sz w:val="20"/>
                              </w:rPr>
                            </w:pPr>
                            <w:r>
                              <w:rPr>
                                <w:sz w:val="20"/>
                              </w:rPr>
                              <w:t>333-</w:t>
                            </w:r>
                            <w:r>
                              <w:rPr>
                                <w:spacing w:val="-2"/>
                                <w:sz w:val="20"/>
                              </w:rPr>
                              <w:t>198973</w:t>
                            </w:r>
                          </w:p>
                        </w:tc>
                        <w:tc>
                          <w:tcPr>
                            <w:tcW w:w="810" w:type="dxa"/>
                          </w:tcPr>
                          <w:p>
                            <w:pPr>
                              <w:pStyle w:val="TableParagraph"/>
                              <w:rPr>
                                <w:sz w:val="18"/>
                              </w:rPr>
                            </w:pPr>
                          </w:p>
                        </w:tc>
                      </w:tr>
                    </w:tbl>
                    <w:p>
                      <w:pPr>
                        <w:pStyle w:val="BodyText"/>
                      </w:pPr>
                    </w:p>
                  </w:txbxContent>
                </v:textbox>
                <w10:wrap type="none"/>
              </v:shape>
            </w:pict>
          </mc:Fallback>
        </mc:AlternateContent>
      </w:r>
      <w:r>
        <w:rPr>
          <w:b/>
          <w:spacing w:val="-2"/>
          <w:sz w:val="16"/>
        </w:rPr>
        <w:t>Exhibit</w:t>
      </w:r>
    </w:p>
    <w:p>
      <w:pPr>
        <w:spacing w:line="183" w:lineRule="exact" w:before="0"/>
        <w:ind w:left="406" w:right="0" w:firstLine="0"/>
        <w:jc w:val="left"/>
        <w:rPr>
          <w:b/>
          <w:sz w:val="16"/>
        </w:rPr>
      </w:pPr>
      <w:r>
        <w:rPr/>
        <w:br w:type="column"/>
      </w:r>
      <w:r>
        <w:rPr>
          <w:b/>
          <w:spacing w:val="-2"/>
          <w:sz w:val="16"/>
        </w:rPr>
        <w:t>Exhibit</w:t>
      </w:r>
    </w:p>
    <w:p>
      <w:pPr>
        <w:spacing w:line="183" w:lineRule="exact" w:before="0"/>
        <w:ind w:left="405" w:right="0" w:firstLine="0"/>
        <w:jc w:val="left"/>
        <w:rPr>
          <w:b/>
          <w:sz w:val="16"/>
        </w:rPr>
      </w:pPr>
      <w:r>
        <w:rPr/>
        <w:br w:type="column"/>
      </w:r>
      <w:r>
        <w:rPr>
          <w:b/>
          <w:spacing w:val="-2"/>
          <w:sz w:val="16"/>
        </w:rPr>
        <w:t>Filed</w:t>
      </w:r>
    </w:p>
    <w:p>
      <w:pPr>
        <w:spacing w:after="0" w:line="183" w:lineRule="exact"/>
        <w:jc w:val="left"/>
        <w:rPr>
          <w:sz w:val="16"/>
        </w:rPr>
        <w:sectPr>
          <w:pgSz w:w="12240" w:h="15840"/>
          <w:pgMar w:header="210" w:footer="610" w:top="1160" w:bottom="800" w:left="780" w:right="740"/>
          <w:cols w:num="3" w:equalWidth="0">
            <w:col w:w="953" w:space="6467"/>
            <w:col w:w="953" w:space="1127"/>
            <w:col w:w="1220"/>
          </w:cols>
        </w:sectPr>
      </w:pPr>
    </w:p>
    <w:p>
      <w:pPr>
        <w:spacing w:line="183" w:lineRule="exact" w:before="0"/>
        <w:ind w:left="405" w:right="0" w:firstLine="0"/>
        <w:jc w:val="left"/>
        <w:rPr>
          <w:b/>
          <w:sz w:val="16"/>
        </w:rPr>
      </w:pPr>
      <w:r>
        <w:rPr/>
        <mc:AlternateContent>
          <mc:Choice Requires="wps">
            <w:drawing>
              <wp:anchor distT="0" distB="0" distL="0" distR="0" allowOverlap="1" layoutInCell="1" locked="0" behindDoc="0" simplePos="0" relativeHeight="15842304">
                <wp:simplePos x="0" y="0"/>
                <wp:positionH relativeFrom="page">
                  <wp:posOffset>603250</wp:posOffset>
                </wp:positionH>
                <wp:positionV relativeFrom="page">
                  <wp:posOffset>839991</wp:posOffset>
                </wp:positionV>
                <wp:extent cx="6578600" cy="8278495"/>
                <wp:effectExtent l="0" t="0" r="0" b="0"/>
                <wp:wrapNone/>
                <wp:docPr id="572" name="Textbox 572"/>
                <wp:cNvGraphicFramePr>
                  <a:graphicFrameLocks/>
                </wp:cNvGraphicFramePr>
                <a:graphic>
                  <a:graphicData uri="http://schemas.microsoft.com/office/word/2010/wordprocessingShape">
                    <wps:wsp>
                      <wps:cNvPr id="572" name="Textbox 572"/>
                      <wps:cNvSpPr txBox="1"/>
                      <wps:spPr>
                        <a:xfrm>
                          <a:off x="0" y="0"/>
                          <a:ext cx="6578600" cy="82784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4793"/>
                              <w:gridCol w:w="686"/>
                              <w:gridCol w:w="1073"/>
                              <w:gridCol w:w="793"/>
                              <w:gridCol w:w="1178"/>
                              <w:gridCol w:w="810"/>
                            </w:tblGrid>
                            <w:tr>
                              <w:trPr>
                                <w:trHeight w:val="217" w:hRule="atLeast"/>
                              </w:trPr>
                              <w:tc>
                                <w:tcPr>
                                  <w:tcW w:w="910" w:type="dxa"/>
                                  <w:tcBorders>
                                    <w:bottom w:val="single" w:sz="8" w:space="0" w:color="000000"/>
                                  </w:tcBorders>
                                </w:tcPr>
                                <w:p>
                                  <w:pPr>
                                    <w:pStyle w:val="TableParagraph"/>
                                    <w:spacing w:line="180" w:lineRule="exact"/>
                                    <w:ind w:right="192"/>
                                    <w:jc w:val="right"/>
                                    <w:rPr>
                                      <w:b/>
                                      <w:sz w:val="16"/>
                                    </w:rPr>
                                  </w:pPr>
                                  <w:r>
                                    <w:rPr>
                                      <w:b/>
                                      <w:spacing w:val="-2"/>
                                      <w:sz w:val="16"/>
                                    </w:rPr>
                                    <w:t>Number</w:t>
                                  </w:r>
                                </w:p>
                              </w:tc>
                              <w:tc>
                                <w:tcPr>
                                  <w:tcW w:w="4793" w:type="dxa"/>
                                  <w:tcBorders>
                                    <w:bottom w:val="single" w:sz="8" w:space="0" w:color="000000"/>
                                  </w:tcBorders>
                                </w:tcPr>
                                <w:p>
                                  <w:pPr>
                                    <w:pStyle w:val="TableParagraph"/>
                                    <w:spacing w:line="177" w:lineRule="exact"/>
                                    <w:ind w:right="11"/>
                                    <w:jc w:val="center"/>
                                    <w:rPr>
                                      <w:b/>
                                      <w:sz w:val="16"/>
                                    </w:rPr>
                                  </w:pPr>
                                  <w:r>
                                    <w:rPr>
                                      <w:b/>
                                      <w:sz w:val="16"/>
                                    </w:rPr>
                                    <w:t>Exhibit </w:t>
                                  </w:r>
                                  <w:r>
                                    <w:rPr>
                                      <w:b/>
                                      <w:spacing w:val="-2"/>
                                      <w:sz w:val="16"/>
                                    </w:rPr>
                                    <w:t>Description</w:t>
                                  </w:r>
                                </w:p>
                              </w:tc>
                              <w:tc>
                                <w:tcPr>
                                  <w:tcW w:w="686" w:type="dxa"/>
                                  <w:tcBorders>
                                    <w:bottom w:val="single" w:sz="8" w:space="0" w:color="000000"/>
                                  </w:tcBorders>
                                </w:tcPr>
                                <w:p>
                                  <w:pPr>
                                    <w:pStyle w:val="TableParagraph"/>
                                    <w:spacing w:line="177" w:lineRule="exact"/>
                                    <w:ind w:right="31"/>
                                    <w:jc w:val="center"/>
                                    <w:rPr>
                                      <w:b/>
                                      <w:sz w:val="16"/>
                                    </w:rPr>
                                  </w:pPr>
                                  <w:r>
                                    <w:rPr>
                                      <w:b/>
                                      <w:spacing w:val="-4"/>
                                      <w:sz w:val="16"/>
                                    </w:rPr>
                                    <w:t>Form</w:t>
                                  </w:r>
                                </w:p>
                              </w:tc>
                              <w:tc>
                                <w:tcPr>
                                  <w:tcW w:w="1073" w:type="dxa"/>
                                  <w:tcBorders>
                                    <w:bottom w:val="single" w:sz="8" w:space="0" w:color="000000"/>
                                  </w:tcBorders>
                                </w:tcPr>
                                <w:p>
                                  <w:pPr>
                                    <w:pStyle w:val="TableParagraph"/>
                                    <w:spacing w:line="177" w:lineRule="exact"/>
                                    <w:ind w:right="169"/>
                                    <w:jc w:val="right"/>
                                    <w:rPr>
                                      <w:b/>
                                      <w:sz w:val="16"/>
                                    </w:rPr>
                                  </w:pPr>
                                  <w:r>
                                    <w:rPr>
                                      <w:b/>
                                      <w:sz w:val="16"/>
                                    </w:rPr>
                                    <w:t>Filing </w:t>
                                  </w:r>
                                  <w:r>
                                    <w:rPr>
                                      <w:b/>
                                      <w:spacing w:val="-4"/>
                                      <w:sz w:val="16"/>
                                    </w:rPr>
                                    <w:t>Date</w:t>
                                  </w:r>
                                </w:p>
                              </w:tc>
                              <w:tc>
                                <w:tcPr>
                                  <w:tcW w:w="793" w:type="dxa"/>
                                  <w:tcBorders>
                                    <w:bottom w:val="single" w:sz="8" w:space="0" w:color="000000"/>
                                  </w:tcBorders>
                                </w:tcPr>
                                <w:p>
                                  <w:pPr>
                                    <w:pStyle w:val="TableParagraph"/>
                                    <w:spacing w:line="180" w:lineRule="exact"/>
                                    <w:ind w:right="117"/>
                                    <w:jc w:val="right"/>
                                    <w:rPr>
                                      <w:b/>
                                      <w:sz w:val="16"/>
                                    </w:rPr>
                                  </w:pPr>
                                  <w:r>
                                    <w:rPr>
                                      <w:b/>
                                      <w:spacing w:val="-2"/>
                                      <w:sz w:val="16"/>
                                    </w:rPr>
                                    <w:t>Number</w:t>
                                  </w:r>
                                </w:p>
                              </w:tc>
                              <w:tc>
                                <w:tcPr>
                                  <w:tcW w:w="1178" w:type="dxa"/>
                                  <w:tcBorders>
                                    <w:bottom w:val="single" w:sz="8" w:space="0" w:color="000000"/>
                                  </w:tcBorders>
                                </w:tcPr>
                                <w:p>
                                  <w:pPr>
                                    <w:pStyle w:val="TableParagraph"/>
                                    <w:spacing w:line="177" w:lineRule="exact"/>
                                    <w:ind w:right="7"/>
                                    <w:jc w:val="center"/>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10" w:type="dxa"/>
                                  <w:tcBorders>
                                    <w:bottom w:val="single" w:sz="8" w:space="0" w:color="000000"/>
                                  </w:tcBorders>
                                </w:tcPr>
                                <w:p>
                                  <w:pPr>
                                    <w:pStyle w:val="TableParagraph"/>
                                    <w:spacing w:line="180" w:lineRule="exact"/>
                                    <w:ind w:left="32" w:right="10"/>
                                    <w:jc w:val="center"/>
                                    <w:rPr>
                                      <w:b/>
                                      <w:sz w:val="16"/>
                                    </w:rPr>
                                  </w:pPr>
                                  <w:r>
                                    <w:rPr>
                                      <w:b/>
                                      <w:spacing w:val="-2"/>
                                      <w:sz w:val="16"/>
                                    </w:rPr>
                                    <w:t>Herewith</w:t>
                                  </w:r>
                                </w:p>
                              </w:tc>
                            </w:tr>
                            <w:tr>
                              <w:trPr>
                                <w:trHeight w:val="1051" w:hRule="atLeast"/>
                              </w:trPr>
                              <w:tc>
                                <w:tcPr>
                                  <w:tcW w:w="910" w:type="dxa"/>
                                  <w:tcBorders>
                                    <w:top w:val="single" w:sz="8" w:space="0" w:color="000000"/>
                                  </w:tcBorders>
                                </w:tcPr>
                                <w:p>
                                  <w:pPr>
                                    <w:pStyle w:val="TableParagraph"/>
                                    <w:spacing w:before="21"/>
                                    <w:rPr>
                                      <w:b/>
                                      <w:sz w:val="20"/>
                                    </w:rPr>
                                  </w:pPr>
                                </w:p>
                                <w:p>
                                  <w:pPr>
                                    <w:pStyle w:val="TableParagraph"/>
                                    <w:spacing w:before="1"/>
                                    <w:ind w:right="98"/>
                                    <w:jc w:val="right"/>
                                    <w:rPr>
                                      <w:sz w:val="20"/>
                                    </w:rPr>
                                  </w:pPr>
                                  <w:r>
                                    <w:rPr>
                                      <w:spacing w:val="-2"/>
                                      <w:sz w:val="20"/>
                                    </w:rPr>
                                    <w:t>10.30B</w:t>
                                  </w:r>
                                </w:p>
                              </w:tc>
                              <w:tc>
                                <w:tcPr>
                                  <w:tcW w:w="4793" w:type="dxa"/>
                                  <w:tcBorders>
                                    <w:top w:val="single" w:sz="8" w:space="0" w:color="000000"/>
                                  </w:tcBorders>
                                </w:tcPr>
                                <w:p>
                                  <w:pPr>
                                    <w:pStyle w:val="TableParagraph"/>
                                    <w:spacing w:before="46"/>
                                    <w:rPr>
                                      <w:b/>
                                      <w:sz w:val="20"/>
                                    </w:rPr>
                                  </w:pPr>
                                </w:p>
                                <w:p>
                                  <w:pPr>
                                    <w:pStyle w:val="TableParagraph"/>
                                    <w:spacing w:line="208" w:lineRule="auto"/>
                                    <w:ind w:left="100" w:right="107"/>
                                    <w:rPr>
                                      <w:sz w:val="20"/>
                                    </w:rPr>
                                  </w:pPr>
                                  <w:r>
                                    <w:rPr>
                                      <w:sz w:val="20"/>
                                    </w:rPr>
                                    <w:t>Form of Stock Option Grant Notice and Award Agreement</w:t>
                                  </w:r>
                                  <w:r>
                                    <w:rPr>
                                      <w:spacing w:val="-13"/>
                                      <w:sz w:val="20"/>
                                    </w:rPr>
                                    <w:t> </w:t>
                                  </w:r>
                                  <w:r>
                                    <w:rPr>
                                      <w:sz w:val="20"/>
                                    </w:rPr>
                                    <w:t>pursuant</w:t>
                                  </w:r>
                                  <w:r>
                                    <w:rPr>
                                      <w:spacing w:val="-10"/>
                                      <w:sz w:val="20"/>
                                    </w:rPr>
                                    <w:t> </w:t>
                                  </w:r>
                                  <w:r>
                                    <w:rPr>
                                      <w:sz w:val="20"/>
                                    </w:rPr>
                                    <w:t>to</w:t>
                                  </w:r>
                                  <w:r>
                                    <w:rPr>
                                      <w:spacing w:val="-9"/>
                                      <w:sz w:val="20"/>
                                    </w:rPr>
                                    <w:t> </w:t>
                                  </w:r>
                                  <w:r>
                                    <w:rPr>
                                      <w:sz w:val="20"/>
                                    </w:rPr>
                                    <w:t>the</w:t>
                                  </w:r>
                                  <w:r>
                                    <w:rPr>
                                      <w:spacing w:val="-13"/>
                                      <w:sz w:val="20"/>
                                    </w:rPr>
                                    <w:t> </w:t>
                                  </w:r>
                                  <w:r>
                                    <w:rPr>
                                      <w:sz w:val="20"/>
                                    </w:rPr>
                                    <w:t>Aviary,</w:t>
                                  </w:r>
                                  <w:r>
                                    <w:rPr>
                                      <w:spacing w:val="-8"/>
                                      <w:sz w:val="20"/>
                                    </w:rPr>
                                    <w:t> </w:t>
                                  </w:r>
                                  <w:r>
                                    <w:rPr>
                                      <w:sz w:val="20"/>
                                    </w:rPr>
                                    <w:t>Inc.</w:t>
                                  </w:r>
                                  <w:r>
                                    <w:rPr>
                                      <w:spacing w:val="-9"/>
                                      <w:sz w:val="20"/>
                                    </w:rPr>
                                    <w:t> </w:t>
                                  </w:r>
                                  <w:r>
                                    <w:rPr>
                                      <w:sz w:val="20"/>
                                    </w:rPr>
                                    <w:t>2008</w:t>
                                  </w:r>
                                  <w:r>
                                    <w:rPr>
                                      <w:spacing w:val="-9"/>
                                      <w:sz w:val="20"/>
                                    </w:rPr>
                                    <w:t> </w:t>
                                  </w:r>
                                  <w:r>
                                    <w:rPr>
                                      <w:sz w:val="20"/>
                                    </w:rPr>
                                    <w:t>Stock</w:t>
                                  </w:r>
                                  <w:r>
                                    <w:rPr>
                                      <w:spacing w:val="-9"/>
                                      <w:sz w:val="20"/>
                                    </w:rPr>
                                    <w:t> </w:t>
                                  </w:r>
                                  <w:r>
                                    <w:rPr>
                                      <w:sz w:val="20"/>
                                    </w:rPr>
                                    <w:t>Plan (Installment Vesting)*</w:t>
                                  </w:r>
                                </w:p>
                              </w:tc>
                              <w:tc>
                                <w:tcPr>
                                  <w:tcW w:w="686" w:type="dxa"/>
                                  <w:tcBorders>
                                    <w:top w:val="single" w:sz="8" w:space="0" w:color="000000"/>
                                  </w:tcBorders>
                                </w:tcPr>
                                <w:p>
                                  <w:pPr>
                                    <w:pStyle w:val="TableParagraph"/>
                                    <w:spacing w:before="21"/>
                                    <w:rPr>
                                      <w:b/>
                                      <w:sz w:val="20"/>
                                    </w:rPr>
                                  </w:pPr>
                                </w:p>
                                <w:p>
                                  <w:pPr>
                                    <w:pStyle w:val="TableParagraph"/>
                                    <w:spacing w:before="1"/>
                                    <w:ind w:left="1" w:right="31"/>
                                    <w:jc w:val="center"/>
                                    <w:rPr>
                                      <w:sz w:val="20"/>
                                    </w:rPr>
                                  </w:pPr>
                                  <w:r>
                                    <w:rPr>
                                      <w:sz w:val="20"/>
                                    </w:rPr>
                                    <w:t>S-</w:t>
                                  </w:r>
                                  <w:r>
                                    <w:rPr>
                                      <w:spacing w:val="-10"/>
                                      <w:sz w:val="20"/>
                                    </w:rPr>
                                    <w:t>8</w:t>
                                  </w:r>
                                </w:p>
                              </w:tc>
                              <w:tc>
                                <w:tcPr>
                                  <w:tcW w:w="1073" w:type="dxa"/>
                                  <w:tcBorders>
                                    <w:top w:val="single" w:sz="8" w:space="0" w:color="000000"/>
                                  </w:tcBorders>
                                </w:tcPr>
                                <w:p>
                                  <w:pPr>
                                    <w:pStyle w:val="TableParagraph"/>
                                    <w:spacing w:before="21"/>
                                    <w:rPr>
                                      <w:b/>
                                      <w:sz w:val="20"/>
                                    </w:rPr>
                                  </w:pPr>
                                </w:p>
                                <w:p>
                                  <w:pPr>
                                    <w:pStyle w:val="TableParagraph"/>
                                    <w:spacing w:before="1"/>
                                    <w:ind w:right="110"/>
                                    <w:jc w:val="right"/>
                                    <w:rPr>
                                      <w:sz w:val="20"/>
                                    </w:rPr>
                                  </w:pPr>
                                  <w:r>
                                    <w:rPr>
                                      <w:spacing w:val="-2"/>
                                      <w:sz w:val="20"/>
                                    </w:rPr>
                                    <w:t>9/26/14</w:t>
                                  </w:r>
                                </w:p>
                              </w:tc>
                              <w:tc>
                                <w:tcPr>
                                  <w:tcW w:w="793" w:type="dxa"/>
                                  <w:tcBorders>
                                    <w:top w:val="single" w:sz="8" w:space="0" w:color="000000"/>
                                  </w:tcBorders>
                                </w:tcPr>
                                <w:p>
                                  <w:pPr>
                                    <w:pStyle w:val="TableParagraph"/>
                                    <w:spacing w:before="21"/>
                                    <w:rPr>
                                      <w:b/>
                                      <w:sz w:val="20"/>
                                    </w:rPr>
                                  </w:pPr>
                                </w:p>
                                <w:p>
                                  <w:pPr>
                                    <w:pStyle w:val="TableParagraph"/>
                                    <w:spacing w:before="1"/>
                                    <w:ind w:right="112"/>
                                    <w:jc w:val="right"/>
                                    <w:rPr>
                                      <w:sz w:val="20"/>
                                    </w:rPr>
                                  </w:pPr>
                                  <w:r>
                                    <w:rPr>
                                      <w:spacing w:val="-4"/>
                                      <w:sz w:val="20"/>
                                    </w:rPr>
                                    <w:t>99.2</w:t>
                                  </w:r>
                                </w:p>
                              </w:tc>
                              <w:tc>
                                <w:tcPr>
                                  <w:tcW w:w="1178" w:type="dxa"/>
                                  <w:tcBorders>
                                    <w:top w:val="single" w:sz="8" w:space="0" w:color="000000"/>
                                  </w:tcBorders>
                                </w:tcPr>
                                <w:p>
                                  <w:pPr>
                                    <w:pStyle w:val="TableParagraph"/>
                                    <w:spacing w:before="21"/>
                                    <w:rPr>
                                      <w:b/>
                                      <w:sz w:val="20"/>
                                    </w:rPr>
                                  </w:pPr>
                                </w:p>
                                <w:p>
                                  <w:pPr>
                                    <w:pStyle w:val="TableParagraph"/>
                                    <w:spacing w:before="1"/>
                                    <w:ind w:left="14" w:right="10"/>
                                    <w:jc w:val="center"/>
                                    <w:rPr>
                                      <w:sz w:val="20"/>
                                    </w:rPr>
                                  </w:pPr>
                                  <w:r>
                                    <w:rPr>
                                      <w:sz w:val="20"/>
                                    </w:rPr>
                                    <w:t>333-</w:t>
                                  </w:r>
                                  <w:r>
                                    <w:rPr>
                                      <w:spacing w:val="-2"/>
                                      <w:sz w:val="20"/>
                                    </w:rPr>
                                    <w:t>198973</w:t>
                                  </w:r>
                                </w:p>
                              </w:tc>
                              <w:tc>
                                <w:tcPr>
                                  <w:tcW w:w="810" w:type="dxa"/>
                                  <w:tcBorders>
                                    <w:top w:val="single" w:sz="8" w:space="0" w:color="000000"/>
                                  </w:tcBorders>
                                </w:tcPr>
                                <w:p>
                                  <w:pPr>
                                    <w:pStyle w:val="TableParagraph"/>
                                    <w:rPr>
                                      <w:sz w:val="18"/>
                                    </w:rPr>
                                  </w:pPr>
                                </w:p>
                              </w:tc>
                            </w:tr>
                            <w:tr>
                              <w:trPr>
                                <w:trHeight w:val="960" w:hRule="atLeast"/>
                              </w:trPr>
                              <w:tc>
                                <w:tcPr>
                                  <w:tcW w:w="910" w:type="dxa"/>
                                </w:tcPr>
                                <w:p>
                                  <w:pPr>
                                    <w:pStyle w:val="TableParagraph"/>
                                    <w:spacing w:before="160"/>
                                    <w:ind w:right="98"/>
                                    <w:jc w:val="right"/>
                                    <w:rPr>
                                      <w:sz w:val="20"/>
                                    </w:rPr>
                                  </w:pPr>
                                  <w:r>
                                    <w:rPr>
                                      <w:spacing w:val="-2"/>
                                      <w:sz w:val="20"/>
                                    </w:rPr>
                                    <w:t>10.30C</w:t>
                                  </w:r>
                                </w:p>
                              </w:tc>
                              <w:tc>
                                <w:tcPr>
                                  <w:tcW w:w="4793" w:type="dxa"/>
                                </w:tcPr>
                                <w:p>
                                  <w:pPr>
                                    <w:pStyle w:val="TableParagraph"/>
                                    <w:spacing w:line="208" w:lineRule="auto" w:before="185"/>
                                    <w:ind w:left="100" w:right="107"/>
                                    <w:rPr>
                                      <w:sz w:val="20"/>
                                    </w:rPr>
                                  </w:pPr>
                                  <w:r>
                                    <w:rPr>
                                      <w:sz w:val="20"/>
                                    </w:rPr>
                                    <w:t>Form of Stock Option Grant Notice and Award Agreement</w:t>
                                  </w:r>
                                  <w:r>
                                    <w:rPr>
                                      <w:spacing w:val="-13"/>
                                      <w:sz w:val="20"/>
                                    </w:rPr>
                                    <w:t> </w:t>
                                  </w:r>
                                  <w:r>
                                    <w:rPr>
                                      <w:sz w:val="20"/>
                                    </w:rPr>
                                    <w:t>pursuant</w:t>
                                  </w:r>
                                  <w:r>
                                    <w:rPr>
                                      <w:spacing w:val="-10"/>
                                      <w:sz w:val="20"/>
                                    </w:rPr>
                                    <w:t> </w:t>
                                  </w:r>
                                  <w:r>
                                    <w:rPr>
                                      <w:sz w:val="20"/>
                                    </w:rPr>
                                    <w:t>to</w:t>
                                  </w:r>
                                  <w:r>
                                    <w:rPr>
                                      <w:spacing w:val="-9"/>
                                      <w:sz w:val="20"/>
                                    </w:rPr>
                                    <w:t> </w:t>
                                  </w:r>
                                  <w:r>
                                    <w:rPr>
                                      <w:sz w:val="20"/>
                                    </w:rPr>
                                    <w:t>the</w:t>
                                  </w:r>
                                  <w:r>
                                    <w:rPr>
                                      <w:spacing w:val="-13"/>
                                      <w:sz w:val="20"/>
                                    </w:rPr>
                                    <w:t> </w:t>
                                  </w:r>
                                  <w:r>
                                    <w:rPr>
                                      <w:sz w:val="20"/>
                                    </w:rPr>
                                    <w:t>Aviary,</w:t>
                                  </w:r>
                                  <w:r>
                                    <w:rPr>
                                      <w:spacing w:val="-8"/>
                                      <w:sz w:val="20"/>
                                    </w:rPr>
                                    <w:t> </w:t>
                                  </w:r>
                                  <w:r>
                                    <w:rPr>
                                      <w:sz w:val="20"/>
                                    </w:rPr>
                                    <w:t>Inc.</w:t>
                                  </w:r>
                                  <w:r>
                                    <w:rPr>
                                      <w:spacing w:val="-9"/>
                                      <w:sz w:val="20"/>
                                    </w:rPr>
                                    <w:t> </w:t>
                                  </w:r>
                                  <w:r>
                                    <w:rPr>
                                      <w:sz w:val="20"/>
                                    </w:rPr>
                                    <w:t>2008</w:t>
                                  </w:r>
                                  <w:r>
                                    <w:rPr>
                                      <w:spacing w:val="-9"/>
                                      <w:sz w:val="20"/>
                                    </w:rPr>
                                    <w:t> </w:t>
                                  </w:r>
                                  <w:r>
                                    <w:rPr>
                                      <w:sz w:val="20"/>
                                    </w:rPr>
                                    <w:t>Stock</w:t>
                                  </w:r>
                                  <w:r>
                                    <w:rPr>
                                      <w:spacing w:val="-9"/>
                                      <w:sz w:val="20"/>
                                    </w:rPr>
                                    <w:t> </w:t>
                                  </w:r>
                                  <w:r>
                                    <w:rPr>
                                      <w:sz w:val="20"/>
                                    </w:rPr>
                                    <w:t>Plan (Installment Vesting, Non- U.S.)*</w:t>
                                  </w:r>
                                </w:p>
                              </w:tc>
                              <w:tc>
                                <w:tcPr>
                                  <w:tcW w:w="686" w:type="dxa"/>
                                </w:tcPr>
                                <w:p>
                                  <w:pPr>
                                    <w:pStyle w:val="TableParagraph"/>
                                    <w:spacing w:before="160"/>
                                    <w:ind w:left="1" w:right="31"/>
                                    <w:jc w:val="center"/>
                                    <w:rPr>
                                      <w:sz w:val="20"/>
                                    </w:rPr>
                                  </w:pPr>
                                  <w:r>
                                    <w:rPr>
                                      <w:sz w:val="20"/>
                                    </w:rPr>
                                    <w:t>S-</w:t>
                                  </w:r>
                                  <w:r>
                                    <w:rPr>
                                      <w:spacing w:val="-10"/>
                                      <w:sz w:val="20"/>
                                    </w:rPr>
                                    <w:t>8</w:t>
                                  </w:r>
                                </w:p>
                              </w:tc>
                              <w:tc>
                                <w:tcPr>
                                  <w:tcW w:w="1073" w:type="dxa"/>
                                </w:tcPr>
                                <w:p>
                                  <w:pPr>
                                    <w:pStyle w:val="TableParagraph"/>
                                    <w:spacing w:before="160"/>
                                    <w:ind w:right="110"/>
                                    <w:jc w:val="right"/>
                                    <w:rPr>
                                      <w:sz w:val="20"/>
                                    </w:rPr>
                                  </w:pPr>
                                  <w:r>
                                    <w:rPr>
                                      <w:spacing w:val="-2"/>
                                      <w:sz w:val="20"/>
                                    </w:rPr>
                                    <w:t>9/26/14</w:t>
                                  </w:r>
                                </w:p>
                              </w:tc>
                              <w:tc>
                                <w:tcPr>
                                  <w:tcW w:w="793" w:type="dxa"/>
                                </w:tcPr>
                                <w:p>
                                  <w:pPr>
                                    <w:pStyle w:val="TableParagraph"/>
                                    <w:spacing w:before="160"/>
                                    <w:ind w:right="112"/>
                                    <w:jc w:val="right"/>
                                    <w:rPr>
                                      <w:sz w:val="20"/>
                                    </w:rPr>
                                  </w:pPr>
                                  <w:r>
                                    <w:rPr>
                                      <w:spacing w:val="-4"/>
                                      <w:sz w:val="20"/>
                                    </w:rPr>
                                    <w:t>99.3</w:t>
                                  </w:r>
                                </w:p>
                              </w:tc>
                              <w:tc>
                                <w:tcPr>
                                  <w:tcW w:w="1178" w:type="dxa"/>
                                </w:tcPr>
                                <w:p>
                                  <w:pPr>
                                    <w:pStyle w:val="TableParagraph"/>
                                    <w:spacing w:before="160"/>
                                    <w:ind w:left="14" w:right="10"/>
                                    <w:jc w:val="center"/>
                                    <w:rPr>
                                      <w:sz w:val="20"/>
                                    </w:rPr>
                                  </w:pPr>
                                  <w:r>
                                    <w:rPr>
                                      <w:sz w:val="20"/>
                                    </w:rPr>
                                    <w:t>333-</w:t>
                                  </w:r>
                                  <w:r>
                                    <w:rPr>
                                      <w:spacing w:val="-2"/>
                                      <w:sz w:val="20"/>
                                    </w:rPr>
                                    <w:t>198973</w:t>
                                  </w:r>
                                </w:p>
                              </w:tc>
                              <w:tc>
                                <w:tcPr>
                                  <w:tcW w:w="810" w:type="dxa"/>
                                </w:tcPr>
                                <w:p>
                                  <w:pPr>
                                    <w:pStyle w:val="TableParagraph"/>
                                    <w:rPr>
                                      <w:sz w:val="18"/>
                                    </w:rPr>
                                  </w:pPr>
                                </w:p>
                              </w:tc>
                            </w:tr>
                            <w:tr>
                              <w:trPr>
                                <w:trHeight w:val="649" w:hRule="atLeast"/>
                              </w:trPr>
                              <w:tc>
                                <w:tcPr>
                                  <w:tcW w:w="910" w:type="dxa"/>
                                </w:tcPr>
                                <w:p>
                                  <w:pPr>
                                    <w:pStyle w:val="TableParagraph"/>
                                    <w:spacing w:before="160"/>
                                    <w:ind w:right="99"/>
                                    <w:jc w:val="right"/>
                                    <w:rPr>
                                      <w:sz w:val="20"/>
                                    </w:rPr>
                                  </w:pPr>
                                  <w:r>
                                    <w:rPr>
                                      <w:spacing w:val="-2"/>
                                      <w:sz w:val="20"/>
                                    </w:rPr>
                                    <w:t>10.31</w:t>
                                  </w:r>
                                </w:p>
                              </w:tc>
                              <w:tc>
                                <w:tcPr>
                                  <w:tcW w:w="4793" w:type="dxa"/>
                                </w:tcPr>
                                <w:p>
                                  <w:pPr>
                                    <w:pStyle w:val="TableParagraph"/>
                                    <w:spacing w:line="208" w:lineRule="auto" w:before="185"/>
                                    <w:ind w:left="100" w:right="107"/>
                                    <w:rPr>
                                      <w:sz w:val="20"/>
                                    </w:rPr>
                                  </w:pPr>
                                  <w:r>
                                    <w:rPr>
                                      <w:sz w:val="20"/>
                                    </w:rPr>
                                    <w:t>Adobe</w:t>
                                  </w:r>
                                  <w:r>
                                    <w:rPr>
                                      <w:spacing w:val="-8"/>
                                      <w:sz w:val="20"/>
                                    </w:rPr>
                                    <w:t> </w:t>
                                  </w:r>
                                  <w:r>
                                    <w:rPr>
                                      <w:sz w:val="20"/>
                                    </w:rPr>
                                    <w:t>Systems</w:t>
                                  </w:r>
                                  <w:r>
                                    <w:rPr>
                                      <w:spacing w:val="-9"/>
                                      <w:sz w:val="20"/>
                                    </w:rPr>
                                    <w:t> </w:t>
                                  </w:r>
                                  <w:r>
                                    <w:rPr>
                                      <w:sz w:val="20"/>
                                    </w:rPr>
                                    <w:t>Incorporated</w:t>
                                  </w:r>
                                  <w:r>
                                    <w:rPr>
                                      <w:spacing w:val="-8"/>
                                      <w:sz w:val="20"/>
                                    </w:rPr>
                                    <w:t> </w:t>
                                  </w:r>
                                  <w:r>
                                    <w:rPr>
                                      <w:sz w:val="20"/>
                                    </w:rPr>
                                    <w:t>2014</w:t>
                                  </w:r>
                                  <w:r>
                                    <w:rPr>
                                      <w:spacing w:val="-8"/>
                                      <w:sz w:val="20"/>
                                    </w:rPr>
                                    <w:t> </w:t>
                                  </w:r>
                                  <w:r>
                                    <w:rPr>
                                      <w:sz w:val="20"/>
                                    </w:rPr>
                                    <w:t>Executive</w:t>
                                  </w:r>
                                  <w:r>
                                    <w:rPr>
                                      <w:spacing w:val="-8"/>
                                      <w:sz w:val="20"/>
                                    </w:rPr>
                                    <w:t> </w:t>
                                  </w:r>
                                  <w:r>
                                    <w:rPr>
                                      <w:sz w:val="20"/>
                                    </w:rPr>
                                    <w:t>Severance Plan in the Event of a Change of Control*</w:t>
                                  </w:r>
                                </w:p>
                              </w:tc>
                              <w:tc>
                                <w:tcPr>
                                  <w:tcW w:w="686" w:type="dxa"/>
                                </w:tcPr>
                                <w:p>
                                  <w:pPr>
                                    <w:pStyle w:val="TableParagraph"/>
                                    <w:spacing w:before="160"/>
                                    <w:ind w:right="31"/>
                                    <w:jc w:val="center"/>
                                    <w:rPr>
                                      <w:sz w:val="20"/>
                                    </w:rPr>
                                  </w:pPr>
                                  <w:r>
                                    <w:rPr>
                                      <w:spacing w:val="-2"/>
                                      <w:sz w:val="20"/>
                                    </w:rPr>
                                    <w:t>8-</w:t>
                                  </w:r>
                                  <w:r>
                                    <w:rPr>
                                      <w:spacing w:val="-10"/>
                                      <w:sz w:val="20"/>
                                    </w:rPr>
                                    <w:t>K</w:t>
                                  </w:r>
                                </w:p>
                              </w:tc>
                              <w:tc>
                                <w:tcPr>
                                  <w:tcW w:w="1073" w:type="dxa"/>
                                </w:tcPr>
                                <w:p>
                                  <w:pPr>
                                    <w:pStyle w:val="TableParagraph"/>
                                    <w:spacing w:before="160"/>
                                    <w:ind w:right="106"/>
                                    <w:jc w:val="right"/>
                                    <w:rPr>
                                      <w:sz w:val="20"/>
                                    </w:rPr>
                                  </w:pPr>
                                  <w:r>
                                    <w:rPr>
                                      <w:spacing w:val="-2"/>
                                      <w:sz w:val="20"/>
                                    </w:rPr>
                                    <w:t>12/11/14</w:t>
                                  </w:r>
                                </w:p>
                              </w:tc>
                              <w:tc>
                                <w:tcPr>
                                  <w:tcW w:w="793" w:type="dxa"/>
                                </w:tcPr>
                                <w:p>
                                  <w:pPr>
                                    <w:pStyle w:val="TableParagraph"/>
                                    <w:spacing w:before="160"/>
                                    <w:ind w:right="112"/>
                                    <w:jc w:val="right"/>
                                    <w:rPr>
                                      <w:sz w:val="20"/>
                                    </w:rPr>
                                  </w:pPr>
                                  <w:r>
                                    <w:rPr>
                                      <w:spacing w:val="-4"/>
                                      <w:sz w:val="20"/>
                                    </w:rPr>
                                    <w:t>10.1</w:t>
                                  </w:r>
                                </w:p>
                              </w:tc>
                              <w:tc>
                                <w:tcPr>
                                  <w:tcW w:w="1178" w:type="dxa"/>
                                </w:tcPr>
                                <w:p>
                                  <w:pPr>
                                    <w:pStyle w:val="TableParagraph"/>
                                    <w:spacing w:before="160"/>
                                    <w:ind w:left="114" w:right="10"/>
                                    <w:jc w:val="center"/>
                                    <w:rPr>
                                      <w:sz w:val="20"/>
                                    </w:rPr>
                                  </w:pPr>
                                  <w:r>
                                    <w:rPr>
                                      <w:sz w:val="20"/>
                                    </w:rPr>
                                    <w:t>000-</w:t>
                                  </w:r>
                                  <w:r>
                                    <w:rPr>
                                      <w:spacing w:val="-2"/>
                                      <w:sz w:val="20"/>
                                    </w:rPr>
                                    <w:t>15175</w:t>
                                  </w:r>
                                </w:p>
                              </w:tc>
                              <w:tc>
                                <w:tcPr>
                                  <w:tcW w:w="810" w:type="dxa"/>
                                </w:tcPr>
                                <w:p>
                                  <w:pPr>
                                    <w:pStyle w:val="TableParagraph"/>
                                    <w:rPr>
                                      <w:sz w:val="18"/>
                                    </w:rPr>
                                  </w:pPr>
                                </w:p>
                              </w:tc>
                            </w:tr>
                            <w:tr>
                              <w:trPr>
                                <w:trHeight w:val="659" w:hRule="atLeast"/>
                              </w:trPr>
                              <w:tc>
                                <w:tcPr>
                                  <w:tcW w:w="910" w:type="dxa"/>
                                </w:tcPr>
                                <w:p>
                                  <w:pPr>
                                    <w:pStyle w:val="TableParagraph"/>
                                    <w:spacing w:before="51"/>
                                    <w:ind w:right="99"/>
                                    <w:jc w:val="right"/>
                                    <w:rPr>
                                      <w:sz w:val="20"/>
                                    </w:rPr>
                                  </w:pPr>
                                  <w:r>
                                    <w:rPr>
                                      <w:spacing w:val="-2"/>
                                      <w:sz w:val="20"/>
                                    </w:rPr>
                                    <w:t>10.32</w:t>
                                  </w:r>
                                </w:p>
                              </w:tc>
                              <w:tc>
                                <w:tcPr>
                                  <w:tcW w:w="4793" w:type="dxa"/>
                                </w:tcPr>
                                <w:p>
                                  <w:pPr>
                                    <w:pStyle w:val="TableParagraph"/>
                                    <w:spacing w:line="208" w:lineRule="auto" w:before="93"/>
                                    <w:ind w:left="100" w:right="107"/>
                                    <w:rPr>
                                      <w:sz w:val="20"/>
                                    </w:rPr>
                                  </w:pPr>
                                  <w:r>
                                    <w:rPr>
                                      <w:sz w:val="20"/>
                                    </w:rPr>
                                    <w:t>Picasso</w:t>
                                  </w:r>
                                  <w:r>
                                    <w:rPr>
                                      <w:spacing w:val="-13"/>
                                      <w:sz w:val="20"/>
                                    </w:rPr>
                                    <w:t> </w:t>
                                  </w:r>
                                  <w:r>
                                    <w:rPr>
                                      <w:sz w:val="20"/>
                                    </w:rPr>
                                    <w:t>Acquisition</w:t>
                                  </w:r>
                                  <w:r>
                                    <w:rPr>
                                      <w:spacing w:val="-8"/>
                                      <w:sz w:val="20"/>
                                    </w:rPr>
                                    <w:t> </w:t>
                                  </w:r>
                                  <w:r>
                                    <w:rPr>
                                      <w:sz w:val="20"/>
                                    </w:rPr>
                                    <w:t>Holding</w:t>
                                  </w:r>
                                  <w:r>
                                    <w:rPr>
                                      <w:spacing w:val="-6"/>
                                      <w:sz w:val="20"/>
                                    </w:rPr>
                                    <w:t> </w:t>
                                  </w:r>
                                  <w:r>
                                    <w:rPr>
                                      <w:sz w:val="20"/>
                                    </w:rPr>
                                    <w:t>1,</w:t>
                                  </w:r>
                                  <w:r>
                                    <w:rPr>
                                      <w:spacing w:val="-6"/>
                                      <w:sz w:val="20"/>
                                    </w:rPr>
                                    <w:t> </w:t>
                                  </w:r>
                                  <w:r>
                                    <w:rPr>
                                      <w:sz w:val="20"/>
                                    </w:rPr>
                                    <w:t>Inc.</w:t>
                                  </w:r>
                                  <w:r>
                                    <w:rPr>
                                      <w:spacing w:val="-6"/>
                                      <w:sz w:val="20"/>
                                    </w:rPr>
                                    <w:t> </w:t>
                                  </w:r>
                                  <w:r>
                                    <w:rPr>
                                      <w:sz w:val="20"/>
                                    </w:rPr>
                                    <w:t>2012</w:t>
                                  </w:r>
                                  <w:r>
                                    <w:rPr>
                                      <w:spacing w:val="-6"/>
                                      <w:sz w:val="20"/>
                                    </w:rPr>
                                    <w:t> </w:t>
                                  </w:r>
                                  <w:r>
                                    <w:rPr>
                                      <w:sz w:val="20"/>
                                    </w:rPr>
                                    <w:t>Stock</w:t>
                                  </w:r>
                                  <w:r>
                                    <w:rPr>
                                      <w:spacing w:val="-6"/>
                                      <w:sz w:val="20"/>
                                    </w:rPr>
                                    <w:t> </w:t>
                                  </w:r>
                                  <w:r>
                                    <w:rPr>
                                      <w:sz w:val="20"/>
                                    </w:rPr>
                                    <w:t>Option and Grant Plan*</w:t>
                                  </w:r>
                                </w:p>
                              </w:tc>
                              <w:tc>
                                <w:tcPr>
                                  <w:tcW w:w="686" w:type="dxa"/>
                                </w:tcPr>
                                <w:p>
                                  <w:pPr>
                                    <w:pStyle w:val="TableParagraph"/>
                                    <w:spacing w:before="51"/>
                                    <w:ind w:left="1" w:right="31"/>
                                    <w:jc w:val="center"/>
                                    <w:rPr>
                                      <w:sz w:val="20"/>
                                    </w:rPr>
                                  </w:pPr>
                                  <w:r>
                                    <w:rPr>
                                      <w:sz w:val="20"/>
                                    </w:rPr>
                                    <w:t>S-</w:t>
                                  </w:r>
                                  <w:r>
                                    <w:rPr>
                                      <w:spacing w:val="-10"/>
                                      <w:sz w:val="20"/>
                                    </w:rPr>
                                    <w:t>8</w:t>
                                  </w:r>
                                </w:p>
                              </w:tc>
                              <w:tc>
                                <w:tcPr>
                                  <w:tcW w:w="1073" w:type="dxa"/>
                                </w:tcPr>
                                <w:p>
                                  <w:pPr>
                                    <w:pStyle w:val="TableParagraph"/>
                                    <w:spacing w:before="51"/>
                                    <w:ind w:right="110"/>
                                    <w:jc w:val="right"/>
                                    <w:rPr>
                                      <w:sz w:val="20"/>
                                    </w:rPr>
                                  </w:pPr>
                                  <w:r>
                                    <w:rPr>
                                      <w:spacing w:val="-2"/>
                                      <w:sz w:val="20"/>
                                    </w:rPr>
                                    <w:t>3/13/15</w:t>
                                  </w:r>
                                </w:p>
                              </w:tc>
                              <w:tc>
                                <w:tcPr>
                                  <w:tcW w:w="793" w:type="dxa"/>
                                </w:tcPr>
                                <w:p>
                                  <w:pPr>
                                    <w:pStyle w:val="TableParagraph"/>
                                    <w:spacing w:before="51"/>
                                    <w:ind w:right="112"/>
                                    <w:jc w:val="right"/>
                                    <w:rPr>
                                      <w:sz w:val="20"/>
                                    </w:rPr>
                                  </w:pPr>
                                  <w:r>
                                    <w:rPr>
                                      <w:spacing w:val="-4"/>
                                      <w:sz w:val="20"/>
                                    </w:rPr>
                                    <w:t>99.1</w:t>
                                  </w:r>
                                </w:p>
                              </w:tc>
                              <w:tc>
                                <w:tcPr>
                                  <w:tcW w:w="1178" w:type="dxa"/>
                                </w:tcPr>
                                <w:p>
                                  <w:pPr>
                                    <w:pStyle w:val="TableParagraph"/>
                                    <w:spacing w:before="51"/>
                                    <w:ind w:left="14" w:right="10"/>
                                    <w:jc w:val="center"/>
                                    <w:rPr>
                                      <w:sz w:val="20"/>
                                    </w:rPr>
                                  </w:pPr>
                                  <w:r>
                                    <w:rPr>
                                      <w:sz w:val="20"/>
                                    </w:rPr>
                                    <w:t>333-</w:t>
                                  </w:r>
                                  <w:r>
                                    <w:rPr>
                                      <w:spacing w:val="-2"/>
                                      <w:sz w:val="20"/>
                                    </w:rPr>
                                    <w:t>202732</w:t>
                                  </w:r>
                                </w:p>
                              </w:tc>
                              <w:tc>
                                <w:tcPr>
                                  <w:tcW w:w="810" w:type="dxa"/>
                                </w:tcPr>
                                <w:p>
                                  <w:pPr>
                                    <w:pStyle w:val="TableParagraph"/>
                                    <w:rPr>
                                      <w:sz w:val="18"/>
                                    </w:rPr>
                                  </w:pPr>
                                </w:p>
                              </w:tc>
                            </w:tr>
                            <w:tr>
                              <w:trPr>
                                <w:trHeight w:val="770" w:hRule="atLeast"/>
                              </w:trPr>
                              <w:tc>
                                <w:tcPr>
                                  <w:tcW w:w="910" w:type="dxa"/>
                                </w:tcPr>
                                <w:p>
                                  <w:pPr>
                                    <w:pStyle w:val="TableParagraph"/>
                                    <w:spacing w:before="151"/>
                                    <w:ind w:right="99"/>
                                    <w:jc w:val="right"/>
                                    <w:rPr>
                                      <w:sz w:val="20"/>
                                    </w:rPr>
                                  </w:pPr>
                                  <w:r>
                                    <w:rPr>
                                      <w:spacing w:val="-2"/>
                                      <w:sz w:val="20"/>
                                    </w:rPr>
                                    <w:t>10.33</w:t>
                                  </w:r>
                                </w:p>
                              </w:tc>
                              <w:tc>
                                <w:tcPr>
                                  <w:tcW w:w="4793" w:type="dxa"/>
                                </w:tcPr>
                                <w:p>
                                  <w:pPr>
                                    <w:pStyle w:val="TableParagraph"/>
                                    <w:spacing w:line="208" w:lineRule="auto" w:before="194"/>
                                    <w:ind w:left="100" w:right="107"/>
                                    <w:rPr>
                                      <w:sz w:val="20"/>
                                    </w:rPr>
                                  </w:pPr>
                                  <w:r>
                                    <w:rPr>
                                      <w:sz w:val="20"/>
                                    </w:rPr>
                                    <w:t>TubeMogul,</w:t>
                                  </w:r>
                                  <w:r>
                                    <w:rPr>
                                      <w:spacing w:val="-8"/>
                                      <w:sz w:val="20"/>
                                    </w:rPr>
                                    <w:t> </w:t>
                                  </w:r>
                                  <w:r>
                                    <w:rPr>
                                      <w:sz w:val="20"/>
                                    </w:rPr>
                                    <w:t>Inc.</w:t>
                                  </w:r>
                                  <w:r>
                                    <w:rPr>
                                      <w:spacing w:val="-8"/>
                                      <w:sz w:val="20"/>
                                    </w:rPr>
                                    <w:t> </w:t>
                                  </w:r>
                                  <w:r>
                                    <w:rPr>
                                      <w:sz w:val="20"/>
                                    </w:rPr>
                                    <w:t>2007</w:t>
                                  </w:r>
                                  <w:r>
                                    <w:rPr>
                                      <w:spacing w:val="-8"/>
                                      <w:sz w:val="20"/>
                                    </w:rPr>
                                    <w:t> </w:t>
                                  </w:r>
                                  <w:r>
                                    <w:rPr>
                                      <w:sz w:val="20"/>
                                    </w:rPr>
                                    <w:t>Equity</w:t>
                                  </w:r>
                                  <w:r>
                                    <w:rPr>
                                      <w:spacing w:val="-8"/>
                                      <w:sz w:val="20"/>
                                    </w:rPr>
                                    <w:t> </w:t>
                                  </w:r>
                                  <w:r>
                                    <w:rPr>
                                      <w:sz w:val="20"/>
                                    </w:rPr>
                                    <w:t>Compensation</w:t>
                                  </w:r>
                                  <w:r>
                                    <w:rPr>
                                      <w:spacing w:val="-8"/>
                                      <w:sz w:val="20"/>
                                    </w:rPr>
                                    <w:t> </w:t>
                                  </w:r>
                                  <w:r>
                                    <w:rPr>
                                      <w:sz w:val="20"/>
                                    </w:rPr>
                                    <w:t>Plan,</w:t>
                                  </w:r>
                                  <w:r>
                                    <w:rPr>
                                      <w:spacing w:val="-8"/>
                                      <w:sz w:val="20"/>
                                    </w:rPr>
                                    <w:t> </w:t>
                                  </w:r>
                                  <w:r>
                                    <w:rPr>
                                      <w:sz w:val="20"/>
                                    </w:rPr>
                                    <w:t>as amended, and forms of agreement thereunder††*</w:t>
                                  </w:r>
                                </w:p>
                              </w:tc>
                              <w:tc>
                                <w:tcPr>
                                  <w:tcW w:w="686" w:type="dxa"/>
                                </w:tcPr>
                                <w:p>
                                  <w:pPr>
                                    <w:pStyle w:val="TableParagraph"/>
                                    <w:spacing w:before="151"/>
                                    <w:ind w:left="1" w:right="31"/>
                                    <w:jc w:val="center"/>
                                    <w:rPr>
                                      <w:sz w:val="20"/>
                                    </w:rPr>
                                  </w:pPr>
                                  <w:r>
                                    <w:rPr>
                                      <w:sz w:val="20"/>
                                    </w:rPr>
                                    <w:t>S-</w:t>
                                  </w:r>
                                  <w:r>
                                    <w:rPr>
                                      <w:spacing w:val="-10"/>
                                      <w:sz w:val="20"/>
                                    </w:rPr>
                                    <w:t>1</w:t>
                                  </w:r>
                                </w:p>
                              </w:tc>
                              <w:tc>
                                <w:tcPr>
                                  <w:tcW w:w="1073" w:type="dxa"/>
                                </w:tcPr>
                                <w:p>
                                  <w:pPr>
                                    <w:pStyle w:val="TableParagraph"/>
                                    <w:spacing w:before="151"/>
                                    <w:ind w:right="110"/>
                                    <w:jc w:val="right"/>
                                    <w:rPr>
                                      <w:sz w:val="20"/>
                                    </w:rPr>
                                  </w:pPr>
                                  <w:r>
                                    <w:rPr>
                                      <w:spacing w:val="-2"/>
                                      <w:sz w:val="20"/>
                                    </w:rPr>
                                    <w:t>3/26/14</w:t>
                                  </w:r>
                                </w:p>
                              </w:tc>
                              <w:tc>
                                <w:tcPr>
                                  <w:tcW w:w="793" w:type="dxa"/>
                                </w:tcPr>
                                <w:p>
                                  <w:pPr>
                                    <w:pStyle w:val="TableParagraph"/>
                                    <w:spacing w:before="151"/>
                                    <w:ind w:right="112"/>
                                    <w:jc w:val="right"/>
                                    <w:rPr>
                                      <w:sz w:val="20"/>
                                    </w:rPr>
                                  </w:pPr>
                                  <w:r>
                                    <w:rPr>
                                      <w:spacing w:val="-4"/>
                                      <w:sz w:val="20"/>
                                    </w:rPr>
                                    <w:t>10.2</w:t>
                                  </w:r>
                                </w:p>
                              </w:tc>
                              <w:tc>
                                <w:tcPr>
                                  <w:tcW w:w="1178" w:type="dxa"/>
                                </w:tcPr>
                                <w:p>
                                  <w:pPr>
                                    <w:pStyle w:val="TableParagraph"/>
                                    <w:spacing w:before="151"/>
                                    <w:ind w:left="14" w:right="10"/>
                                    <w:jc w:val="center"/>
                                    <w:rPr>
                                      <w:sz w:val="20"/>
                                    </w:rPr>
                                  </w:pPr>
                                  <w:r>
                                    <w:rPr>
                                      <w:sz w:val="20"/>
                                    </w:rPr>
                                    <w:t>333-</w:t>
                                  </w:r>
                                  <w:r>
                                    <w:rPr>
                                      <w:spacing w:val="-2"/>
                                      <w:sz w:val="20"/>
                                    </w:rPr>
                                    <w:t>194817</w:t>
                                  </w:r>
                                </w:p>
                              </w:tc>
                              <w:tc>
                                <w:tcPr>
                                  <w:tcW w:w="810" w:type="dxa"/>
                                </w:tcPr>
                                <w:p>
                                  <w:pPr>
                                    <w:pStyle w:val="TableParagraph"/>
                                    <w:rPr>
                                      <w:sz w:val="18"/>
                                    </w:rPr>
                                  </w:pPr>
                                </w:p>
                              </w:tc>
                            </w:tr>
                            <w:tr>
                              <w:trPr>
                                <w:trHeight w:val="741" w:hRule="atLeast"/>
                              </w:trPr>
                              <w:tc>
                                <w:tcPr>
                                  <w:tcW w:w="910" w:type="dxa"/>
                                </w:tcPr>
                                <w:p>
                                  <w:pPr>
                                    <w:pStyle w:val="TableParagraph"/>
                                    <w:spacing w:before="161"/>
                                    <w:ind w:right="99"/>
                                    <w:jc w:val="right"/>
                                    <w:rPr>
                                      <w:sz w:val="20"/>
                                    </w:rPr>
                                  </w:pPr>
                                  <w:r>
                                    <w:rPr>
                                      <w:spacing w:val="-2"/>
                                      <w:sz w:val="20"/>
                                    </w:rPr>
                                    <w:t>10.34</w:t>
                                  </w:r>
                                </w:p>
                              </w:tc>
                              <w:tc>
                                <w:tcPr>
                                  <w:tcW w:w="4793" w:type="dxa"/>
                                </w:tcPr>
                                <w:p>
                                  <w:pPr>
                                    <w:pStyle w:val="TableParagraph"/>
                                    <w:spacing w:line="208" w:lineRule="auto" w:before="186"/>
                                    <w:ind w:left="100" w:right="107"/>
                                    <w:rPr>
                                      <w:sz w:val="20"/>
                                    </w:rPr>
                                  </w:pPr>
                                  <w:r>
                                    <w:rPr>
                                      <w:sz w:val="20"/>
                                    </w:rPr>
                                    <w:t>TubeMogul,</w:t>
                                  </w:r>
                                  <w:r>
                                    <w:rPr>
                                      <w:spacing w:val="-7"/>
                                      <w:sz w:val="20"/>
                                    </w:rPr>
                                    <w:t> </w:t>
                                  </w:r>
                                  <w:r>
                                    <w:rPr>
                                      <w:sz w:val="20"/>
                                    </w:rPr>
                                    <w:t>Inc.</w:t>
                                  </w:r>
                                  <w:r>
                                    <w:rPr>
                                      <w:spacing w:val="-7"/>
                                      <w:sz w:val="20"/>
                                    </w:rPr>
                                    <w:t> </w:t>
                                  </w:r>
                                  <w:r>
                                    <w:rPr>
                                      <w:sz w:val="20"/>
                                    </w:rPr>
                                    <w:t>2014</w:t>
                                  </w:r>
                                  <w:r>
                                    <w:rPr>
                                      <w:spacing w:val="-7"/>
                                      <w:sz w:val="20"/>
                                    </w:rPr>
                                    <w:t> </w:t>
                                  </w:r>
                                  <w:r>
                                    <w:rPr>
                                      <w:sz w:val="20"/>
                                    </w:rPr>
                                    <w:t>Equity</w:t>
                                  </w:r>
                                  <w:r>
                                    <w:rPr>
                                      <w:spacing w:val="-7"/>
                                      <w:sz w:val="20"/>
                                    </w:rPr>
                                    <w:t> </w:t>
                                  </w:r>
                                  <w:r>
                                    <w:rPr>
                                      <w:sz w:val="20"/>
                                    </w:rPr>
                                    <w:t>Incentive</w:t>
                                  </w:r>
                                  <w:r>
                                    <w:rPr>
                                      <w:spacing w:val="-7"/>
                                      <w:sz w:val="20"/>
                                    </w:rPr>
                                    <w:t> </w:t>
                                  </w:r>
                                  <w:r>
                                    <w:rPr>
                                      <w:sz w:val="20"/>
                                    </w:rPr>
                                    <w:t>Plan,</w:t>
                                  </w:r>
                                  <w:r>
                                    <w:rPr>
                                      <w:spacing w:val="-7"/>
                                      <w:sz w:val="20"/>
                                    </w:rPr>
                                    <w:t> </w:t>
                                  </w:r>
                                  <w:r>
                                    <w:rPr>
                                      <w:sz w:val="20"/>
                                    </w:rPr>
                                    <w:t>and</w:t>
                                  </w:r>
                                  <w:r>
                                    <w:rPr>
                                      <w:spacing w:val="-7"/>
                                      <w:sz w:val="20"/>
                                    </w:rPr>
                                    <w:t> </w:t>
                                  </w:r>
                                  <w:r>
                                    <w:rPr>
                                      <w:sz w:val="20"/>
                                    </w:rPr>
                                    <w:t>forms of agreement thereunder††*</w:t>
                                  </w:r>
                                </w:p>
                              </w:tc>
                              <w:tc>
                                <w:tcPr>
                                  <w:tcW w:w="686" w:type="dxa"/>
                                </w:tcPr>
                                <w:p>
                                  <w:pPr>
                                    <w:pStyle w:val="TableParagraph"/>
                                    <w:spacing w:before="161"/>
                                    <w:ind w:left="12" w:right="31"/>
                                    <w:jc w:val="center"/>
                                    <w:rPr>
                                      <w:sz w:val="20"/>
                                    </w:rPr>
                                  </w:pPr>
                                  <w:r>
                                    <w:rPr>
                                      <w:spacing w:val="-2"/>
                                      <w:sz w:val="20"/>
                                    </w:rPr>
                                    <w:t>S-</w:t>
                                  </w:r>
                                  <w:r>
                                    <w:rPr>
                                      <w:spacing w:val="-5"/>
                                      <w:sz w:val="20"/>
                                    </w:rPr>
                                    <w:t>1A</w:t>
                                  </w:r>
                                </w:p>
                              </w:tc>
                              <w:tc>
                                <w:tcPr>
                                  <w:tcW w:w="1073" w:type="dxa"/>
                                </w:tcPr>
                                <w:p>
                                  <w:pPr>
                                    <w:pStyle w:val="TableParagraph"/>
                                    <w:spacing w:before="161"/>
                                    <w:ind w:right="110"/>
                                    <w:jc w:val="right"/>
                                    <w:rPr>
                                      <w:sz w:val="20"/>
                                    </w:rPr>
                                  </w:pPr>
                                  <w:r>
                                    <w:rPr>
                                      <w:spacing w:val="-2"/>
                                      <w:sz w:val="20"/>
                                    </w:rPr>
                                    <w:t>7/7/14</w:t>
                                  </w:r>
                                </w:p>
                              </w:tc>
                              <w:tc>
                                <w:tcPr>
                                  <w:tcW w:w="793" w:type="dxa"/>
                                </w:tcPr>
                                <w:p>
                                  <w:pPr>
                                    <w:pStyle w:val="TableParagraph"/>
                                    <w:spacing w:before="161"/>
                                    <w:ind w:right="112"/>
                                    <w:jc w:val="right"/>
                                    <w:rPr>
                                      <w:sz w:val="20"/>
                                    </w:rPr>
                                  </w:pPr>
                                  <w:r>
                                    <w:rPr>
                                      <w:spacing w:val="-4"/>
                                      <w:sz w:val="20"/>
                                    </w:rPr>
                                    <w:t>10.3</w:t>
                                  </w:r>
                                </w:p>
                              </w:tc>
                              <w:tc>
                                <w:tcPr>
                                  <w:tcW w:w="1178" w:type="dxa"/>
                                </w:tcPr>
                                <w:p>
                                  <w:pPr>
                                    <w:pStyle w:val="TableParagraph"/>
                                    <w:spacing w:before="161"/>
                                    <w:ind w:left="14" w:right="10"/>
                                    <w:jc w:val="center"/>
                                    <w:rPr>
                                      <w:sz w:val="20"/>
                                    </w:rPr>
                                  </w:pPr>
                                  <w:r>
                                    <w:rPr>
                                      <w:sz w:val="20"/>
                                    </w:rPr>
                                    <w:t>333-</w:t>
                                  </w:r>
                                  <w:r>
                                    <w:rPr>
                                      <w:spacing w:val="-2"/>
                                      <w:sz w:val="20"/>
                                    </w:rPr>
                                    <w:t>194817</w:t>
                                  </w:r>
                                </w:p>
                              </w:tc>
                              <w:tc>
                                <w:tcPr>
                                  <w:tcW w:w="810" w:type="dxa"/>
                                </w:tcPr>
                                <w:p>
                                  <w:pPr>
                                    <w:pStyle w:val="TableParagraph"/>
                                    <w:rPr>
                                      <w:sz w:val="18"/>
                                    </w:rPr>
                                  </w:pPr>
                                </w:p>
                              </w:tc>
                            </w:tr>
                            <w:tr>
                              <w:trPr>
                                <w:trHeight w:val="530" w:hRule="atLeast"/>
                              </w:trPr>
                              <w:tc>
                                <w:tcPr>
                                  <w:tcW w:w="910" w:type="dxa"/>
                                </w:tcPr>
                                <w:p>
                                  <w:pPr>
                                    <w:pStyle w:val="TableParagraph"/>
                                    <w:spacing w:before="140"/>
                                    <w:ind w:right="99"/>
                                    <w:jc w:val="right"/>
                                    <w:rPr>
                                      <w:sz w:val="20"/>
                                    </w:rPr>
                                  </w:pPr>
                                  <w:r>
                                    <w:rPr>
                                      <w:spacing w:val="-4"/>
                                      <w:sz w:val="20"/>
                                    </w:rPr>
                                    <w:t>12.1</w:t>
                                  </w:r>
                                </w:p>
                              </w:tc>
                              <w:tc>
                                <w:tcPr>
                                  <w:tcW w:w="4793" w:type="dxa"/>
                                </w:tcPr>
                                <w:p>
                                  <w:pPr>
                                    <w:pStyle w:val="TableParagraph"/>
                                    <w:spacing w:before="140"/>
                                    <w:ind w:left="100"/>
                                    <w:rPr>
                                      <w:sz w:val="20"/>
                                    </w:rPr>
                                  </w:pPr>
                                  <w:r>
                                    <w:rPr>
                                      <w:sz w:val="20"/>
                                    </w:rPr>
                                    <w:t>Ratio</w:t>
                                  </w:r>
                                  <w:r>
                                    <w:rPr>
                                      <w:spacing w:val="-2"/>
                                      <w:sz w:val="20"/>
                                    </w:rPr>
                                    <w:t> </w:t>
                                  </w:r>
                                  <w:r>
                                    <w:rPr>
                                      <w:sz w:val="20"/>
                                    </w:rPr>
                                    <w:t>of</w:t>
                                  </w:r>
                                  <w:r>
                                    <w:rPr>
                                      <w:spacing w:val="-1"/>
                                      <w:sz w:val="20"/>
                                    </w:rPr>
                                    <w:t> </w:t>
                                  </w:r>
                                  <w:r>
                                    <w:rPr>
                                      <w:sz w:val="20"/>
                                    </w:rPr>
                                    <w:t>Earnings</w:t>
                                  </w:r>
                                  <w:r>
                                    <w:rPr>
                                      <w:spacing w:val="-3"/>
                                      <w:sz w:val="20"/>
                                    </w:rPr>
                                    <w:t> </w:t>
                                  </w:r>
                                  <w:r>
                                    <w:rPr>
                                      <w:sz w:val="20"/>
                                    </w:rPr>
                                    <w:t>to</w:t>
                                  </w:r>
                                  <w:r>
                                    <w:rPr>
                                      <w:spacing w:val="-1"/>
                                      <w:sz w:val="20"/>
                                    </w:rPr>
                                    <w:t> </w:t>
                                  </w:r>
                                  <w:r>
                                    <w:rPr>
                                      <w:sz w:val="20"/>
                                    </w:rPr>
                                    <w:t>Fixed</w:t>
                                  </w:r>
                                  <w:r>
                                    <w:rPr>
                                      <w:spacing w:val="-1"/>
                                      <w:sz w:val="20"/>
                                    </w:rPr>
                                    <w:t> </w:t>
                                  </w:r>
                                  <w:r>
                                    <w:rPr>
                                      <w:spacing w:val="-2"/>
                                      <w:sz w:val="20"/>
                                    </w:rPr>
                                    <w:t>Charges</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40"/>
                                    <w:ind w:left="32" w:right="10"/>
                                    <w:jc w:val="center"/>
                                    <w:rPr>
                                      <w:sz w:val="20"/>
                                    </w:rPr>
                                  </w:pPr>
                                  <w:r>
                                    <w:rPr>
                                      <w:spacing w:val="-10"/>
                                      <w:sz w:val="20"/>
                                    </w:rPr>
                                    <w:t>X</w:t>
                                  </w:r>
                                </w:p>
                              </w:tc>
                            </w:tr>
                            <w:tr>
                              <w:trPr>
                                <w:trHeight w:val="540" w:hRule="atLeast"/>
                              </w:trPr>
                              <w:tc>
                                <w:tcPr>
                                  <w:tcW w:w="910" w:type="dxa"/>
                                </w:tcPr>
                                <w:p>
                                  <w:pPr>
                                    <w:pStyle w:val="TableParagraph"/>
                                    <w:spacing w:before="150"/>
                                    <w:ind w:right="99"/>
                                    <w:jc w:val="right"/>
                                    <w:rPr>
                                      <w:sz w:val="20"/>
                                    </w:rPr>
                                  </w:pPr>
                                  <w:r>
                                    <w:rPr>
                                      <w:spacing w:val="-5"/>
                                      <w:sz w:val="20"/>
                                    </w:rPr>
                                    <w:t>21</w:t>
                                  </w:r>
                                </w:p>
                              </w:tc>
                              <w:tc>
                                <w:tcPr>
                                  <w:tcW w:w="4793" w:type="dxa"/>
                                </w:tcPr>
                                <w:p>
                                  <w:pPr>
                                    <w:pStyle w:val="TableParagraph"/>
                                    <w:spacing w:before="150"/>
                                    <w:ind w:left="100"/>
                                    <w:rPr>
                                      <w:sz w:val="20"/>
                                    </w:rPr>
                                  </w:pPr>
                                  <w:r>
                                    <w:rPr>
                                      <w:sz w:val="20"/>
                                    </w:rPr>
                                    <w:t>Subsidiaries</w:t>
                                  </w:r>
                                  <w:r>
                                    <w:rPr>
                                      <w:spacing w:val="-5"/>
                                      <w:sz w:val="20"/>
                                    </w:rPr>
                                    <w:t> </w:t>
                                  </w:r>
                                  <w:r>
                                    <w:rPr>
                                      <w:sz w:val="20"/>
                                    </w:rPr>
                                    <w:t>of</w:t>
                                  </w:r>
                                  <w:r>
                                    <w:rPr>
                                      <w:spacing w:val="-4"/>
                                      <w:sz w:val="20"/>
                                    </w:rPr>
                                    <w:t> </w:t>
                                  </w:r>
                                  <w:r>
                                    <w:rPr>
                                      <w:sz w:val="20"/>
                                    </w:rPr>
                                    <w:t>the</w:t>
                                  </w:r>
                                  <w:r>
                                    <w:rPr>
                                      <w:spacing w:val="-3"/>
                                      <w:sz w:val="20"/>
                                    </w:rPr>
                                    <w:t> </w:t>
                                  </w:r>
                                  <w:r>
                                    <w:rPr>
                                      <w:spacing w:val="-2"/>
                                      <w:sz w:val="20"/>
                                    </w:rPr>
                                    <w:t>Registrant</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740" w:hRule="atLeast"/>
                              </w:trPr>
                              <w:tc>
                                <w:tcPr>
                                  <w:tcW w:w="910" w:type="dxa"/>
                                </w:tcPr>
                                <w:p>
                                  <w:pPr>
                                    <w:pStyle w:val="TableParagraph"/>
                                    <w:spacing w:before="150"/>
                                    <w:ind w:right="99"/>
                                    <w:jc w:val="right"/>
                                    <w:rPr>
                                      <w:sz w:val="20"/>
                                    </w:rPr>
                                  </w:pPr>
                                  <w:r>
                                    <w:rPr>
                                      <w:spacing w:val="-4"/>
                                      <w:sz w:val="20"/>
                                    </w:rPr>
                                    <w:t>23.1</w:t>
                                  </w:r>
                                </w:p>
                              </w:tc>
                              <w:tc>
                                <w:tcPr>
                                  <w:tcW w:w="4793" w:type="dxa"/>
                                </w:tcPr>
                                <w:p>
                                  <w:pPr>
                                    <w:pStyle w:val="TableParagraph"/>
                                    <w:spacing w:line="208" w:lineRule="auto" w:before="175"/>
                                    <w:ind w:left="100" w:right="107"/>
                                    <w:rPr>
                                      <w:sz w:val="20"/>
                                    </w:rPr>
                                  </w:pPr>
                                  <w:r>
                                    <w:rPr>
                                      <w:sz w:val="20"/>
                                    </w:rPr>
                                    <w:t>Consent</w:t>
                                  </w:r>
                                  <w:r>
                                    <w:rPr>
                                      <w:spacing w:val="-13"/>
                                      <w:sz w:val="20"/>
                                    </w:rPr>
                                    <w:t> </w:t>
                                  </w:r>
                                  <w:r>
                                    <w:rPr>
                                      <w:sz w:val="20"/>
                                    </w:rPr>
                                    <w:t>of</w:t>
                                  </w:r>
                                  <w:r>
                                    <w:rPr>
                                      <w:spacing w:val="-8"/>
                                      <w:sz w:val="20"/>
                                    </w:rPr>
                                    <w:t> </w:t>
                                  </w:r>
                                  <w:r>
                                    <w:rPr>
                                      <w:sz w:val="20"/>
                                    </w:rPr>
                                    <w:t>Independent</w:t>
                                  </w:r>
                                  <w:r>
                                    <w:rPr>
                                      <w:spacing w:val="-8"/>
                                      <w:sz w:val="20"/>
                                    </w:rPr>
                                    <w:t> </w:t>
                                  </w:r>
                                  <w:r>
                                    <w:rPr>
                                      <w:sz w:val="20"/>
                                    </w:rPr>
                                    <w:t>Registered</w:t>
                                  </w:r>
                                  <w:r>
                                    <w:rPr>
                                      <w:spacing w:val="-8"/>
                                      <w:sz w:val="20"/>
                                    </w:rPr>
                                    <w:t> </w:t>
                                  </w:r>
                                  <w:r>
                                    <w:rPr>
                                      <w:sz w:val="20"/>
                                    </w:rPr>
                                    <w:t>Public</w:t>
                                  </w:r>
                                  <w:r>
                                    <w:rPr>
                                      <w:spacing w:val="-13"/>
                                      <w:sz w:val="20"/>
                                    </w:rPr>
                                    <w:t> </w:t>
                                  </w:r>
                                  <w:r>
                                    <w:rPr>
                                      <w:sz w:val="20"/>
                                    </w:rPr>
                                    <w:t>Accounting Firm, KPMG LLP</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740" w:hRule="atLeast"/>
                              </w:trPr>
                              <w:tc>
                                <w:tcPr>
                                  <w:tcW w:w="910" w:type="dxa"/>
                                </w:tcPr>
                                <w:p>
                                  <w:pPr>
                                    <w:pStyle w:val="TableParagraph"/>
                                    <w:spacing w:before="150"/>
                                    <w:ind w:right="99"/>
                                    <w:jc w:val="right"/>
                                    <w:rPr>
                                      <w:sz w:val="20"/>
                                    </w:rPr>
                                  </w:pPr>
                                  <w:r>
                                    <w:rPr>
                                      <w:spacing w:val="-4"/>
                                      <w:sz w:val="20"/>
                                    </w:rPr>
                                    <w:t>24.1</w:t>
                                  </w:r>
                                </w:p>
                              </w:tc>
                              <w:tc>
                                <w:tcPr>
                                  <w:tcW w:w="4793" w:type="dxa"/>
                                </w:tcPr>
                                <w:p>
                                  <w:pPr>
                                    <w:pStyle w:val="TableParagraph"/>
                                    <w:spacing w:line="208" w:lineRule="auto" w:before="175"/>
                                    <w:ind w:left="100" w:right="107"/>
                                    <w:rPr>
                                      <w:sz w:val="20"/>
                                    </w:rPr>
                                  </w:pPr>
                                  <w:hyperlink w:history="true" w:anchor="_bookmark43">
                                    <w:r>
                                      <w:rPr>
                                        <w:sz w:val="20"/>
                                      </w:rPr>
                                      <w:t>Power</w:t>
                                    </w:r>
                                    <w:r>
                                      <w:rPr>
                                        <w:spacing w:val="-6"/>
                                        <w:sz w:val="20"/>
                                      </w:rPr>
                                      <w:t> </w:t>
                                    </w:r>
                                    <w:r>
                                      <w:rPr>
                                        <w:sz w:val="20"/>
                                      </w:rPr>
                                      <w:t>of</w:t>
                                    </w:r>
                                    <w:r>
                                      <w:rPr>
                                        <w:spacing w:val="-13"/>
                                        <w:sz w:val="20"/>
                                      </w:rPr>
                                      <w:t> </w:t>
                                    </w:r>
                                    <w:r>
                                      <w:rPr>
                                        <w:sz w:val="20"/>
                                      </w:rPr>
                                      <w:t>Attorney</w:t>
                                    </w:r>
                                    <w:r>
                                      <w:rPr>
                                        <w:spacing w:val="-4"/>
                                        <w:sz w:val="20"/>
                                      </w:rPr>
                                      <w:t> </w:t>
                                    </w:r>
                                    <w:r>
                                      <w:rPr>
                                        <w:sz w:val="20"/>
                                      </w:rPr>
                                      <w:t>(set</w:t>
                                    </w:r>
                                    <w:r>
                                      <w:rPr>
                                        <w:spacing w:val="-4"/>
                                        <w:sz w:val="20"/>
                                      </w:rPr>
                                      <w:t> </w:t>
                                    </w:r>
                                    <w:r>
                                      <w:rPr>
                                        <w:sz w:val="20"/>
                                      </w:rPr>
                                      <w:t>forth</w:t>
                                    </w:r>
                                    <w:r>
                                      <w:rPr>
                                        <w:spacing w:val="-4"/>
                                        <w:sz w:val="20"/>
                                      </w:rPr>
                                      <w:t> </w:t>
                                    </w:r>
                                    <w:r>
                                      <w:rPr>
                                        <w:sz w:val="20"/>
                                      </w:rPr>
                                      <w:t>on</w:t>
                                    </w:r>
                                    <w:r>
                                      <w:rPr>
                                        <w:spacing w:val="-4"/>
                                        <w:sz w:val="20"/>
                                      </w:rPr>
                                      <w:t> </w:t>
                                    </w:r>
                                    <w:r>
                                      <w:rPr>
                                        <w:sz w:val="20"/>
                                      </w:rPr>
                                      <w:t>the</w:t>
                                    </w:r>
                                    <w:r>
                                      <w:rPr>
                                        <w:spacing w:val="-4"/>
                                        <w:sz w:val="20"/>
                                      </w:rPr>
                                      <w:t> </w:t>
                                    </w:r>
                                    <w:r>
                                      <w:rPr>
                                        <w:sz w:val="20"/>
                                      </w:rPr>
                                      <w:t>signature</w:t>
                                    </w:r>
                                    <w:r>
                                      <w:rPr>
                                        <w:spacing w:val="-4"/>
                                        <w:sz w:val="20"/>
                                      </w:rPr>
                                      <w:t> </w:t>
                                    </w:r>
                                    <w:r>
                                      <w:rPr>
                                        <w:sz w:val="20"/>
                                      </w:rPr>
                                      <w:t>page</w:t>
                                    </w:r>
                                    <w:r>
                                      <w:rPr>
                                        <w:spacing w:val="-4"/>
                                        <w:sz w:val="20"/>
                                      </w:rPr>
                                      <w:t> </w:t>
                                    </w:r>
                                    <w:r>
                                      <w:rPr>
                                        <w:sz w:val="20"/>
                                      </w:rPr>
                                      <w:t>to</w:t>
                                    </w:r>
                                    <w:r>
                                      <w:rPr>
                                        <w:spacing w:val="-4"/>
                                        <w:sz w:val="20"/>
                                      </w:rPr>
                                      <w:t> </w:t>
                                    </w:r>
                                    <w:r>
                                      <w:rPr>
                                        <w:sz w:val="20"/>
                                      </w:rPr>
                                      <w:t>this</w:t>
                                    </w:r>
                                  </w:hyperlink>
                                  <w:r>
                                    <w:rPr>
                                      <w:sz w:val="20"/>
                                    </w:rPr>
                                    <w:t> </w:t>
                                  </w:r>
                                  <w:hyperlink w:history="true" w:anchor="_bookmark43">
                                    <w:r>
                                      <w:rPr>
                                        <w:sz w:val="20"/>
                                      </w:rPr>
                                      <w:t>Annual Report on Form 10-K)</w:t>
                                    </w:r>
                                  </w:hyperlink>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740" w:hRule="atLeast"/>
                              </w:trPr>
                              <w:tc>
                                <w:tcPr>
                                  <w:tcW w:w="910" w:type="dxa"/>
                                </w:tcPr>
                                <w:p>
                                  <w:pPr>
                                    <w:pStyle w:val="TableParagraph"/>
                                    <w:spacing w:before="150"/>
                                    <w:ind w:right="99"/>
                                    <w:jc w:val="right"/>
                                    <w:rPr>
                                      <w:sz w:val="20"/>
                                    </w:rPr>
                                  </w:pPr>
                                  <w:r>
                                    <w:rPr>
                                      <w:spacing w:val="-4"/>
                                      <w:sz w:val="20"/>
                                    </w:rPr>
                                    <w:t>31.1</w:t>
                                  </w:r>
                                </w:p>
                              </w:tc>
                              <w:tc>
                                <w:tcPr>
                                  <w:tcW w:w="4793" w:type="dxa"/>
                                </w:tcPr>
                                <w:p>
                                  <w:pPr>
                                    <w:pStyle w:val="TableParagraph"/>
                                    <w:spacing w:line="208" w:lineRule="auto" w:before="175"/>
                                    <w:ind w:left="100" w:right="107"/>
                                    <w:rPr>
                                      <w:sz w:val="20"/>
                                    </w:rPr>
                                  </w:pPr>
                                  <w:r>
                                    <w:rPr>
                                      <w:sz w:val="20"/>
                                    </w:rPr>
                                    <w:t>Certification</w:t>
                                  </w:r>
                                  <w:r>
                                    <w:rPr>
                                      <w:spacing w:val="-7"/>
                                      <w:sz w:val="20"/>
                                    </w:rPr>
                                    <w:t> </w:t>
                                  </w:r>
                                  <w:r>
                                    <w:rPr>
                                      <w:sz w:val="20"/>
                                    </w:rPr>
                                    <w:t>of</w:t>
                                  </w:r>
                                  <w:r>
                                    <w:rPr>
                                      <w:spacing w:val="-7"/>
                                      <w:sz w:val="20"/>
                                    </w:rPr>
                                    <w:t> </w:t>
                                  </w:r>
                                  <w:r>
                                    <w:rPr>
                                      <w:sz w:val="20"/>
                                    </w:rPr>
                                    <w:t>Chief</w:t>
                                  </w:r>
                                  <w:r>
                                    <w:rPr>
                                      <w:spacing w:val="-7"/>
                                      <w:sz w:val="20"/>
                                    </w:rPr>
                                    <w:t> </w:t>
                                  </w:r>
                                  <w:r>
                                    <w:rPr>
                                      <w:sz w:val="20"/>
                                    </w:rPr>
                                    <w:t>Executive</w:t>
                                  </w:r>
                                  <w:r>
                                    <w:rPr>
                                      <w:spacing w:val="-7"/>
                                      <w:sz w:val="20"/>
                                    </w:rPr>
                                    <w:t> </w:t>
                                  </w:r>
                                  <w:r>
                                    <w:rPr>
                                      <w:sz w:val="20"/>
                                    </w:rPr>
                                    <w:t>Officer,</w:t>
                                  </w:r>
                                  <w:r>
                                    <w:rPr>
                                      <w:spacing w:val="-7"/>
                                      <w:sz w:val="20"/>
                                    </w:rPr>
                                    <w:t> </w:t>
                                  </w:r>
                                  <w:r>
                                    <w:rPr>
                                      <w:sz w:val="20"/>
                                    </w:rPr>
                                    <w:t>as</w:t>
                                  </w:r>
                                  <w:r>
                                    <w:rPr>
                                      <w:spacing w:val="-8"/>
                                      <w:sz w:val="20"/>
                                    </w:rPr>
                                    <w:t> </w:t>
                                  </w:r>
                                  <w:r>
                                    <w:rPr>
                                      <w:sz w:val="20"/>
                                    </w:rPr>
                                    <w:t>required</w:t>
                                  </w:r>
                                  <w:r>
                                    <w:rPr>
                                      <w:spacing w:val="-7"/>
                                      <w:sz w:val="20"/>
                                    </w:rPr>
                                    <w:t> </w:t>
                                  </w:r>
                                  <w:r>
                                    <w:rPr>
                                      <w:sz w:val="20"/>
                                    </w:rPr>
                                    <w:t>by Rule</w:t>
                                  </w:r>
                                  <w:r>
                                    <w:rPr>
                                      <w:spacing w:val="-2"/>
                                      <w:sz w:val="20"/>
                                    </w:rPr>
                                    <w:t> </w:t>
                                  </w:r>
                                  <w:r>
                                    <w:rPr>
                                      <w:sz w:val="20"/>
                                    </w:rPr>
                                    <w:t>13a-14(a)</w:t>
                                  </w:r>
                                  <w:r>
                                    <w:rPr>
                                      <w:spacing w:val="-1"/>
                                      <w:sz w:val="20"/>
                                    </w:rPr>
                                    <w:t> </w:t>
                                  </w:r>
                                  <w:r>
                                    <w:rPr>
                                      <w:sz w:val="20"/>
                                    </w:rPr>
                                    <w:t>of</w:t>
                                  </w:r>
                                  <w:r>
                                    <w:rPr>
                                      <w:spacing w:val="-1"/>
                                      <w:sz w:val="20"/>
                                    </w:rPr>
                                    <w:t> </w:t>
                                  </w:r>
                                  <w:r>
                                    <w:rPr>
                                      <w:sz w:val="20"/>
                                    </w:rPr>
                                    <w:t>the</w:t>
                                  </w:r>
                                  <w:r>
                                    <w:rPr>
                                      <w:spacing w:val="-2"/>
                                      <w:sz w:val="20"/>
                                    </w:rPr>
                                    <w:t> </w:t>
                                  </w:r>
                                  <w:r>
                                    <w:rPr>
                                      <w:sz w:val="20"/>
                                    </w:rPr>
                                    <w:t>Securities</w:t>
                                  </w:r>
                                  <w:r>
                                    <w:rPr>
                                      <w:spacing w:val="-2"/>
                                      <w:sz w:val="20"/>
                                    </w:rPr>
                                    <w:t> </w:t>
                                  </w:r>
                                  <w:r>
                                    <w:rPr>
                                      <w:sz w:val="20"/>
                                    </w:rPr>
                                    <w:t>Exchange</w:t>
                                  </w:r>
                                  <w:r>
                                    <w:rPr>
                                      <w:spacing w:val="-12"/>
                                      <w:sz w:val="20"/>
                                    </w:rPr>
                                    <w:t> </w:t>
                                  </w:r>
                                  <w:r>
                                    <w:rPr>
                                      <w:sz w:val="20"/>
                                    </w:rPr>
                                    <w:t>Act</w:t>
                                  </w:r>
                                  <w:r>
                                    <w:rPr>
                                      <w:spacing w:val="-1"/>
                                      <w:sz w:val="20"/>
                                    </w:rPr>
                                    <w:t> </w:t>
                                  </w:r>
                                  <w:r>
                                    <w:rPr>
                                      <w:sz w:val="20"/>
                                    </w:rPr>
                                    <w:t>of</w:t>
                                  </w:r>
                                  <w:r>
                                    <w:rPr>
                                      <w:spacing w:val="-1"/>
                                      <w:sz w:val="20"/>
                                    </w:rPr>
                                    <w:t> </w:t>
                                  </w:r>
                                  <w:r>
                                    <w:rPr>
                                      <w:spacing w:val="-4"/>
                                      <w:sz w:val="20"/>
                                    </w:rPr>
                                    <w:t>1934</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740" w:hRule="atLeast"/>
                              </w:trPr>
                              <w:tc>
                                <w:tcPr>
                                  <w:tcW w:w="910" w:type="dxa"/>
                                </w:tcPr>
                                <w:p>
                                  <w:pPr>
                                    <w:pStyle w:val="TableParagraph"/>
                                    <w:spacing w:before="150"/>
                                    <w:ind w:right="99"/>
                                    <w:jc w:val="right"/>
                                    <w:rPr>
                                      <w:sz w:val="20"/>
                                    </w:rPr>
                                  </w:pPr>
                                  <w:r>
                                    <w:rPr>
                                      <w:spacing w:val="-4"/>
                                      <w:sz w:val="20"/>
                                    </w:rPr>
                                    <w:t>31.2</w:t>
                                  </w:r>
                                </w:p>
                              </w:tc>
                              <w:tc>
                                <w:tcPr>
                                  <w:tcW w:w="4793" w:type="dxa"/>
                                </w:tcPr>
                                <w:p>
                                  <w:pPr>
                                    <w:pStyle w:val="TableParagraph"/>
                                    <w:spacing w:line="208" w:lineRule="auto" w:before="175"/>
                                    <w:ind w:left="100" w:right="107"/>
                                    <w:rPr>
                                      <w:sz w:val="20"/>
                                    </w:rPr>
                                  </w:pPr>
                                  <w:r>
                                    <w:rPr>
                                      <w:sz w:val="20"/>
                                    </w:rPr>
                                    <w:t>Certification</w:t>
                                  </w:r>
                                  <w:r>
                                    <w:rPr>
                                      <w:spacing w:val="-4"/>
                                      <w:sz w:val="20"/>
                                    </w:rPr>
                                    <w:t> </w:t>
                                  </w:r>
                                  <w:r>
                                    <w:rPr>
                                      <w:sz w:val="20"/>
                                    </w:rPr>
                                    <w:t>of</w:t>
                                  </w:r>
                                  <w:r>
                                    <w:rPr>
                                      <w:spacing w:val="-4"/>
                                      <w:sz w:val="20"/>
                                    </w:rPr>
                                    <w:t> </w:t>
                                  </w:r>
                                  <w:r>
                                    <w:rPr>
                                      <w:sz w:val="20"/>
                                    </w:rPr>
                                    <w:t>Chief</w:t>
                                  </w:r>
                                  <w:r>
                                    <w:rPr>
                                      <w:spacing w:val="-4"/>
                                      <w:sz w:val="20"/>
                                    </w:rPr>
                                    <w:t> </w:t>
                                  </w:r>
                                  <w:r>
                                    <w:rPr>
                                      <w:sz w:val="20"/>
                                    </w:rPr>
                                    <w:t>Financial</w:t>
                                  </w:r>
                                  <w:r>
                                    <w:rPr>
                                      <w:spacing w:val="-4"/>
                                      <w:sz w:val="20"/>
                                    </w:rPr>
                                    <w:t> </w:t>
                                  </w:r>
                                  <w:r>
                                    <w:rPr>
                                      <w:sz w:val="20"/>
                                    </w:rPr>
                                    <w:t>Officer,</w:t>
                                  </w:r>
                                  <w:r>
                                    <w:rPr>
                                      <w:spacing w:val="-4"/>
                                      <w:sz w:val="20"/>
                                    </w:rPr>
                                    <w:t> </w:t>
                                  </w:r>
                                  <w:r>
                                    <w:rPr>
                                      <w:sz w:val="20"/>
                                    </w:rPr>
                                    <w:t>as</w:t>
                                  </w:r>
                                  <w:r>
                                    <w:rPr>
                                      <w:spacing w:val="-5"/>
                                      <w:sz w:val="20"/>
                                    </w:rPr>
                                    <w:t> </w:t>
                                  </w:r>
                                  <w:r>
                                    <w:rPr>
                                      <w:sz w:val="20"/>
                                    </w:rPr>
                                    <w:t>required</w:t>
                                  </w:r>
                                  <w:r>
                                    <w:rPr>
                                      <w:spacing w:val="-4"/>
                                      <w:sz w:val="20"/>
                                    </w:rPr>
                                    <w:t> </w:t>
                                  </w:r>
                                  <w:r>
                                    <w:rPr>
                                      <w:sz w:val="20"/>
                                    </w:rPr>
                                    <w:t>by Rule</w:t>
                                  </w:r>
                                  <w:r>
                                    <w:rPr>
                                      <w:spacing w:val="-2"/>
                                      <w:sz w:val="20"/>
                                    </w:rPr>
                                    <w:t> </w:t>
                                  </w:r>
                                  <w:r>
                                    <w:rPr>
                                      <w:sz w:val="20"/>
                                    </w:rPr>
                                    <w:t>13a-14(a)</w:t>
                                  </w:r>
                                  <w:r>
                                    <w:rPr>
                                      <w:spacing w:val="-1"/>
                                      <w:sz w:val="20"/>
                                    </w:rPr>
                                    <w:t> </w:t>
                                  </w:r>
                                  <w:r>
                                    <w:rPr>
                                      <w:sz w:val="20"/>
                                    </w:rPr>
                                    <w:t>of</w:t>
                                  </w:r>
                                  <w:r>
                                    <w:rPr>
                                      <w:spacing w:val="-1"/>
                                      <w:sz w:val="20"/>
                                    </w:rPr>
                                    <w:t> </w:t>
                                  </w:r>
                                  <w:r>
                                    <w:rPr>
                                      <w:sz w:val="20"/>
                                    </w:rPr>
                                    <w:t>the</w:t>
                                  </w:r>
                                  <w:r>
                                    <w:rPr>
                                      <w:spacing w:val="-2"/>
                                      <w:sz w:val="20"/>
                                    </w:rPr>
                                    <w:t> </w:t>
                                  </w:r>
                                  <w:r>
                                    <w:rPr>
                                      <w:sz w:val="20"/>
                                    </w:rPr>
                                    <w:t>Securities</w:t>
                                  </w:r>
                                  <w:r>
                                    <w:rPr>
                                      <w:spacing w:val="-2"/>
                                      <w:sz w:val="20"/>
                                    </w:rPr>
                                    <w:t> </w:t>
                                  </w:r>
                                  <w:r>
                                    <w:rPr>
                                      <w:sz w:val="20"/>
                                    </w:rPr>
                                    <w:t>Exchange</w:t>
                                  </w:r>
                                  <w:r>
                                    <w:rPr>
                                      <w:spacing w:val="-12"/>
                                      <w:sz w:val="20"/>
                                    </w:rPr>
                                    <w:t> </w:t>
                                  </w:r>
                                  <w:r>
                                    <w:rPr>
                                      <w:sz w:val="20"/>
                                    </w:rPr>
                                    <w:t>Act</w:t>
                                  </w:r>
                                  <w:r>
                                    <w:rPr>
                                      <w:spacing w:val="-1"/>
                                      <w:sz w:val="20"/>
                                    </w:rPr>
                                    <w:t> </w:t>
                                  </w:r>
                                  <w:r>
                                    <w:rPr>
                                      <w:sz w:val="20"/>
                                    </w:rPr>
                                    <w:t>of</w:t>
                                  </w:r>
                                  <w:r>
                                    <w:rPr>
                                      <w:spacing w:val="-1"/>
                                      <w:sz w:val="20"/>
                                    </w:rPr>
                                    <w:t> </w:t>
                                  </w:r>
                                  <w:r>
                                    <w:rPr>
                                      <w:spacing w:val="-4"/>
                                      <w:sz w:val="20"/>
                                    </w:rPr>
                                    <w:t>1934</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740" w:hRule="atLeast"/>
                              </w:trPr>
                              <w:tc>
                                <w:tcPr>
                                  <w:tcW w:w="910" w:type="dxa"/>
                                </w:tcPr>
                                <w:p>
                                  <w:pPr>
                                    <w:pStyle w:val="TableParagraph"/>
                                    <w:spacing w:before="150"/>
                                    <w:ind w:right="99"/>
                                    <w:jc w:val="right"/>
                                    <w:rPr>
                                      <w:sz w:val="20"/>
                                    </w:rPr>
                                  </w:pPr>
                                  <w:r>
                                    <w:rPr>
                                      <w:spacing w:val="-4"/>
                                      <w:sz w:val="20"/>
                                    </w:rPr>
                                    <w:t>32.1</w:t>
                                  </w:r>
                                </w:p>
                              </w:tc>
                              <w:tc>
                                <w:tcPr>
                                  <w:tcW w:w="4793" w:type="dxa"/>
                                </w:tcPr>
                                <w:p>
                                  <w:pPr>
                                    <w:pStyle w:val="TableParagraph"/>
                                    <w:spacing w:line="208" w:lineRule="auto" w:before="175"/>
                                    <w:ind w:left="100" w:right="107"/>
                                    <w:rPr>
                                      <w:sz w:val="20"/>
                                    </w:rPr>
                                  </w:pPr>
                                  <w:r>
                                    <w:rPr>
                                      <w:sz w:val="20"/>
                                    </w:rPr>
                                    <w:t>Certification of Chief Executive Officer, as required by Rule</w:t>
                                  </w:r>
                                  <w:r>
                                    <w:rPr>
                                      <w:spacing w:val="-8"/>
                                      <w:sz w:val="20"/>
                                    </w:rPr>
                                    <w:t> </w:t>
                                  </w:r>
                                  <w:r>
                                    <w:rPr>
                                      <w:sz w:val="20"/>
                                    </w:rPr>
                                    <w:t>13a-14(b)</w:t>
                                  </w:r>
                                  <w:r>
                                    <w:rPr>
                                      <w:spacing w:val="-5"/>
                                      <w:sz w:val="20"/>
                                    </w:rPr>
                                    <w:t> </w:t>
                                  </w:r>
                                  <w:r>
                                    <w:rPr>
                                      <w:sz w:val="20"/>
                                    </w:rPr>
                                    <w:t>of</w:t>
                                  </w:r>
                                  <w:r>
                                    <w:rPr>
                                      <w:spacing w:val="-5"/>
                                      <w:sz w:val="20"/>
                                    </w:rPr>
                                    <w:t> </w:t>
                                  </w:r>
                                  <w:r>
                                    <w:rPr>
                                      <w:sz w:val="20"/>
                                    </w:rPr>
                                    <w:t>the</w:t>
                                  </w:r>
                                  <w:r>
                                    <w:rPr>
                                      <w:spacing w:val="-5"/>
                                      <w:sz w:val="20"/>
                                    </w:rPr>
                                    <w:t> </w:t>
                                  </w:r>
                                  <w:r>
                                    <w:rPr>
                                      <w:sz w:val="20"/>
                                    </w:rPr>
                                    <w:t>Securities</w:t>
                                  </w:r>
                                  <w:r>
                                    <w:rPr>
                                      <w:spacing w:val="-6"/>
                                      <w:sz w:val="20"/>
                                    </w:rPr>
                                    <w:t> </w:t>
                                  </w:r>
                                  <w:r>
                                    <w:rPr>
                                      <w:sz w:val="20"/>
                                    </w:rPr>
                                    <w:t>Exchange</w:t>
                                  </w:r>
                                  <w:r>
                                    <w:rPr>
                                      <w:spacing w:val="-13"/>
                                      <w:sz w:val="20"/>
                                    </w:rPr>
                                    <w:t> </w:t>
                                  </w:r>
                                  <w:r>
                                    <w:rPr>
                                      <w:sz w:val="20"/>
                                    </w:rPr>
                                    <w:t>Act</w:t>
                                  </w:r>
                                  <w:r>
                                    <w:rPr>
                                      <w:spacing w:val="-5"/>
                                      <w:sz w:val="20"/>
                                    </w:rPr>
                                    <w:t> </w:t>
                                  </w:r>
                                  <w:r>
                                    <w:rPr>
                                      <w:sz w:val="20"/>
                                    </w:rPr>
                                    <w:t>of</w:t>
                                  </w:r>
                                  <w:r>
                                    <w:rPr>
                                      <w:spacing w:val="-5"/>
                                      <w:sz w:val="20"/>
                                    </w:rPr>
                                    <w:t> </w:t>
                                  </w:r>
                                  <w:r>
                                    <w:rPr>
                                      <w:sz w:val="20"/>
                                    </w:rPr>
                                    <w:t>1934†</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750" w:hRule="atLeast"/>
                              </w:trPr>
                              <w:tc>
                                <w:tcPr>
                                  <w:tcW w:w="910" w:type="dxa"/>
                                </w:tcPr>
                                <w:p>
                                  <w:pPr>
                                    <w:pStyle w:val="TableParagraph"/>
                                    <w:spacing w:before="150"/>
                                    <w:ind w:right="99"/>
                                    <w:jc w:val="right"/>
                                    <w:rPr>
                                      <w:sz w:val="20"/>
                                    </w:rPr>
                                  </w:pPr>
                                  <w:r>
                                    <w:rPr>
                                      <w:spacing w:val="-4"/>
                                      <w:sz w:val="20"/>
                                    </w:rPr>
                                    <w:t>32.2</w:t>
                                  </w:r>
                                </w:p>
                              </w:tc>
                              <w:tc>
                                <w:tcPr>
                                  <w:tcW w:w="4793" w:type="dxa"/>
                                </w:tcPr>
                                <w:p>
                                  <w:pPr>
                                    <w:pStyle w:val="TableParagraph"/>
                                    <w:spacing w:line="208" w:lineRule="auto" w:before="175"/>
                                    <w:ind w:left="100" w:right="107"/>
                                    <w:rPr>
                                      <w:sz w:val="20"/>
                                    </w:rPr>
                                  </w:pPr>
                                  <w:r>
                                    <w:rPr>
                                      <w:sz w:val="20"/>
                                    </w:rPr>
                                    <w:t>Certification of Chief Financial Officer, as required by Rule</w:t>
                                  </w:r>
                                  <w:r>
                                    <w:rPr>
                                      <w:spacing w:val="-8"/>
                                      <w:sz w:val="20"/>
                                    </w:rPr>
                                    <w:t> </w:t>
                                  </w:r>
                                  <w:r>
                                    <w:rPr>
                                      <w:sz w:val="20"/>
                                    </w:rPr>
                                    <w:t>13a-14(b)</w:t>
                                  </w:r>
                                  <w:r>
                                    <w:rPr>
                                      <w:spacing w:val="-5"/>
                                      <w:sz w:val="20"/>
                                    </w:rPr>
                                    <w:t> </w:t>
                                  </w:r>
                                  <w:r>
                                    <w:rPr>
                                      <w:sz w:val="20"/>
                                    </w:rPr>
                                    <w:t>of</w:t>
                                  </w:r>
                                  <w:r>
                                    <w:rPr>
                                      <w:spacing w:val="-5"/>
                                      <w:sz w:val="20"/>
                                    </w:rPr>
                                    <w:t> </w:t>
                                  </w:r>
                                  <w:r>
                                    <w:rPr>
                                      <w:sz w:val="20"/>
                                    </w:rPr>
                                    <w:t>the</w:t>
                                  </w:r>
                                  <w:r>
                                    <w:rPr>
                                      <w:spacing w:val="-5"/>
                                      <w:sz w:val="20"/>
                                    </w:rPr>
                                    <w:t> </w:t>
                                  </w:r>
                                  <w:r>
                                    <w:rPr>
                                      <w:sz w:val="20"/>
                                    </w:rPr>
                                    <w:t>Securities</w:t>
                                  </w:r>
                                  <w:r>
                                    <w:rPr>
                                      <w:spacing w:val="-6"/>
                                      <w:sz w:val="20"/>
                                    </w:rPr>
                                    <w:t> </w:t>
                                  </w:r>
                                  <w:r>
                                    <w:rPr>
                                      <w:sz w:val="20"/>
                                    </w:rPr>
                                    <w:t>Exchange</w:t>
                                  </w:r>
                                  <w:r>
                                    <w:rPr>
                                      <w:spacing w:val="-13"/>
                                      <w:sz w:val="20"/>
                                    </w:rPr>
                                    <w:t> </w:t>
                                  </w:r>
                                  <w:r>
                                    <w:rPr>
                                      <w:sz w:val="20"/>
                                    </w:rPr>
                                    <w:t>Act</w:t>
                                  </w:r>
                                  <w:r>
                                    <w:rPr>
                                      <w:spacing w:val="-5"/>
                                      <w:sz w:val="20"/>
                                    </w:rPr>
                                    <w:t> </w:t>
                                  </w:r>
                                  <w:r>
                                    <w:rPr>
                                      <w:sz w:val="20"/>
                                    </w:rPr>
                                    <w:t>of</w:t>
                                  </w:r>
                                  <w:r>
                                    <w:rPr>
                                      <w:spacing w:val="-5"/>
                                      <w:sz w:val="20"/>
                                    </w:rPr>
                                    <w:t> </w:t>
                                  </w:r>
                                  <w:r>
                                    <w:rPr>
                                      <w:sz w:val="20"/>
                                    </w:rPr>
                                    <w:t>1934†</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970" w:hRule="atLeast"/>
                              </w:trPr>
                              <w:tc>
                                <w:tcPr>
                                  <w:tcW w:w="910" w:type="dxa"/>
                                </w:tcPr>
                                <w:p>
                                  <w:pPr>
                                    <w:pStyle w:val="TableParagraph"/>
                                    <w:spacing w:before="160"/>
                                    <w:ind w:right="99"/>
                                    <w:jc w:val="right"/>
                                    <w:rPr>
                                      <w:sz w:val="20"/>
                                    </w:rPr>
                                  </w:pPr>
                                  <w:r>
                                    <w:rPr>
                                      <w:spacing w:val="-4"/>
                                      <w:sz w:val="20"/>
                                    </w:rPr>
                                    <w:t>99.1</w:t>
                                  </w:r>
                                </w:p>
                              </w:tc>
                              <w:tc>
                                <w:tcPr>
                                  <w:tcW w:w="4793" w:type="dxa"/>
                                </w:tcPr>
                                <w:p>
                                  <w:pPr>
                                    <w:pStyle w:val="TableParagraph"/>
                                    <w:spacing w:line="208" w:lineRule="auto" w:before="185"/>
                                    <w:ind w:left="100" w:right="107"/>
                                    <w:rPr>
                                      <w:sz w:val="20"/>
                                    </w:rPr>
                                  </w:pPr>
                                  <w:r>
                                    <w:rPr>
                                      <w:sz w:val="20"/>
                                    </w:rPr>
                                    <w:t>Press</w:t>
                                  </w:r>
                                  <w:r>
                                    <w:rPr>
                                      <w:spacing w:val="-6"/>
                                      <w:sz w:val="20"/>
                                    </w:rPr>
                                    <w:t> </w:t>
                                  </w:r>
                                  <w:r>
                                    <w:rPr>
                                      <w:sz w:val="20"/>
                                    </w:rPr>
                                    <w:t>release</w:t>
                                  </w:r>
                                  <w:r>
                                    <w:rPr>
                                      <w:spacing w:val="-5"/>
                                      <w:sz w:val="20"/>
                                    </w:rPr>
                                    <w:t> </w:t>
                                  </w:r>
                                  <w:r>
                                    <w:rPr>
                                      <w:sz w:val="20"/>
                                    </w:rPr>
                                    <w:t>issued</w:t>
                                  </w:r>
                                  <w:r>
                                    <w:rPr>
                                      <w:spacing w:val="-5"/>
                                      <w:sz w:val="20"/>
                                    </w:rPr>
                                    <w:t> </w:t>
                                  </w:r>
                                  <w:r>
                                    <w:rPr>
                                      <w:sz w:val="20"/>
                                    </w:rPr>
                                    <w:t>on</w:t>
                                  </w:r>
                                  <w:r>
                                    <w:rPr>
                                      <w:spacing w:val="-5"/>
                                      <w:sz w:val="20"/>
                                    </w:rPr>
                                    <w:t> </w:t>
                                  </w:r>
                                  <w:r>
                                    <w:rPr>
                                      <w:sz w:val="20"/>
                                    </w:rPr>
                                    <w:t>January</w:t>
                                  </w:r>
                                  <w:r>
                                    <w:rPr>
                                      <w:spacing w:val="-5"/>
                                      <w:sz w:val="20"/>
                                    </w:rPr>
                                    <w:t> </w:t>
                                  </w:r>
                                  <w:r>
                                    <w:rPr>
                                      <w:sz w:val="20"/>
                                    </w:rPr>
                                    <w:t>22,</w:t>
                                  </w:r>
                                  <w:r>
                                    <w:rPr>
                                      <w:spacing w:val="-5"/>
                                      <w:sz w:val="20"/>
                                    </w:rPr>
                                    <w:t> </w:t>
                                  </w:r>
                                  <w:r>
                                    <w:rPr>
                                      <w:sz w:val="20"/>
                                    </w:rPr>
                                    <w:t>2018</w:t>
                                  </w:r>
                                  <w:r>
                                    <w:rPr>
                                      <w:spacing w:val="-5"/>
                                      <w:sz w:val="20"/>
                                    </w:rPr>
                                    <w:t> </w:t>
                                  </w:r>
                                  <w:r>
                                    <w:rPr>
                                      <w:sz w:val="20"/>
                                    </w:rPr>
                                    <w:t>entitled</w:t>
                                  </w:r>
                                  <w:r>
                                    <w:rPr>
                                      <w:spacing w:val="-5"/>
                                      <w:sz w:val="20"/>
                                    </w:rPr>
                                    <w:t> </w:t>
                                  </w:r>
                                  <w:r>
                                    <w:rPr>
                                      <w:sz w:val="20"/>
                                    </w:rPr>
                                    <w:t>“Adobe Updates Q1 and Fiscal Year 2018 Financial</w:t>
                                  </w:r>
                                </w:p>
                                <w:p>
                                  <w:pPr>
                                    <w:pStyle w:val="TableParagraph"/>
                                    <w:spacing w:line="206" w:lineRule="exact"/>
                                    <w:ind w:left="100"/>
                                    <w:rPr>
                                      <w:sz w:val="20"/>
                                    </w:rPr>
                                  </w:pPr>
                                  <w:r>
                                    <w:rPr>
                                      <w:spacing w:val="-2"/>
                                      <w:sz w:val="20"/>
                                    </w:rPr>
                                    <w:t>Targets”</w:t>
                                  </w:r>
                                  <w:r>
                                    <w:rPr>
                                      <w:spacing w:val="-4"/>
                                      <w:sz w:val="20"/>
                                    </w:rPr>
                                    <w:t> </w:t>
                                  </w:r>
                                  <w:r>
                                    <w:rPr>
                                      <w:spacing w:val="-2"/>
                                      <w:sz w:val="20"/>
                                    </w:rPr>
                                    <w:t>(furnished)</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60"/>
                                    <w:ind w:left="32" w:right="10"/>
                                    <w:jc w:val="center"/>
                                    <w:rPr>
                                      <w:sz w:val="20"/>
                                    </w:rPr>
                                  </w:pPr>
                                  <w:r>
                                    <w:rPr>
                                      <w:spacing w:val="-10"/>
                                      <w:sz w:val="20"/>
                                    </w:rPr>
                                    <w:t>X</w:t>
                                  </w:r>
                                </w:p>
                              </w:tc>
                            </w:tr>
                            <w:tr>
                              <w:trPr>
                                <w:trHeight w:val="560" w:hRule="atLeast"/>
                              </w:trPr>
                              <w:tc>
                                <w:tcPr>
                                  <w:tcW w:w="910" w:type="dxa"/>
                                </w:tcPr>
                                <w:p>
                                  <w:pPr>
                                    <w:pStyle w:val="TableParagraph"/>
                                    <w:spacing w:before="170"/>
                                    <w:ind w:right="142"/>
                                    <w:jc w:val="right"/>
                                    <w:rPr>
                                      <w:sz w:val="20"/>
                                    </w:rPr>
                                  </w:pPr>
                                  <w:r>
                                    <w:rPr>
                                      <w:spacing w:val="-2"/>
                                      <w:sz w:val="20"/>
                                    </w:rPr>
                                    <w:t>101.INS</w:t>
                                  </w:r>
                                </w:p>
                              </w:tc>
                              <w:tc>
                                <w:tcPr>
                                  <w:tcW w:w="4793" w:type="dxa"/>
                                </w:tcPr>
                                <w:p>
                                  <w:pPr>
                                    <w:pStyle w:val="TableParagraph"/>
                                    <w:spacing w:before="170"/>
                                    <w:ind w:left="100"/>
                                    <w:rPr>
                                      <w:sz w:val="20"/>
                                    </w:rPr>
                                  </w:pPr>
                                  <w:r>
                                    <w:rPr>
                                      <w:sz w:val="20"/>
                                    </w:rPr>
                                    <w:t>XBRL</w:t>
                                  </w:r>
                                  <w:r>
                                    <w:rPr>
                                      <w:spacing w:val="-4"/>
                                      <w:sz w:val="20"/>
                                    </w:rPr>
                                    <w:t> </w:t>
                                  </w:r>
                                  <w:r>
                                    <w:rPr>
                                      <w:spacing w:val="-2"/>
                                      <w:sz w:val="20"/>
                                    </w:rPr>
                                    <w:t>Instance</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70"/>
                                    <w:ind w:left="32" w:right="10"/>
                                    <w:jc w:val="center"/>
                                    <w:rPr>
                                      <w:sz w:val="20"/>
                                    </w:rPr>
                                  </w:pPr>
                                  <w:r>
                                    <w:rPr>
                                      <w:spacing w:val="-10"/>
                                      <w:sz w:val="20"/>
                                    </w:rPr>
                                    <w:t>X</w:t>
                                  </w:r>
                                </w:p>
                              </w:tc>
                            </w:tr>
                            <w:tr>
                              <w:trPr>
                                <w:trHeight w:val="540" w:hRule="atLeast"/>
                              </w:trPr>
                              <w:tc>
                                <w:tcPr>
                                  <w:tcW w:w="910" w:type="dxa"/>
                                </w:tcPr>
                                <w:p>
                                  <w:pPr>
                                    <w:pStyle w:val="TableParagraph"/>
                                    <w:spacing w:before="150"/>
                                    <w:ind w:right="109"/>
                                    <w:jc w:val="right"/>
                                    <w:rPr>
                                      <w:sz w:val="20"/>
                                    </w:rPr>
                                  </w:pPr>
                                  <w:r>
                                    <w:rPr>
                                      <w:spacing w:val="-2"/>
                                      <w:sz w:val="20"/>
                                    </w:rPr>
                                    <w:t>101.SCH</w:t>
                                  </w:r>
                                </w:p>
                              </w:tc>
                              <w:tc>
                                <w:tcPr>
                                  <w:tcW w:w="4793" w:type="dxa"/>
                                </w:tcPr>
                                <w:p>
                                  <w:pPr>
                                    <w:pStyle w:val="TableParagraph"/>
                                    <w:spacing w:before="150"/>
                                    <w:ind w:left="100"/>
                                    <w:rPr>
                                      <w:sz w:val="20"/>
                                    </w:rPr>
                                  </w:pPr>
                                  <w:r>
                                    <w:rPr>
                                      <w:sz w:val="20"/>
                                    </w:rPr>
                                    <w:t>XBRL</w:t>
                                  </w:r>
                                  <w:r>
                                    <w:rPr>
                                      <w:spacing w:val="-13"/>
                                      <w:sz w:val="20"/>
                                    </w:rPr>
                                    <w:t> </w:t>
                                  </w:r>
                                  <w:r>
                                    <w:rPr>
                                      <w:sz w:val="20"/>
                                    </w:rPr>
                                    <w:t>Taxonomy</w:t>
                                  </w:r>
                                  <w:r>
                                    <w:rPr>
                                      <w:spacing w:val="-3"/>
                                      <w:sz w:val="20"/>
                                    </w:rPr>
                                    <w:t> </w:t>
                                  </w:r>
                                  <w:r>
                                    <w:rPr>
                                      <w:sz w:val="20"/>
                                    </w:rPr>
                                    <w:t>Extension</w:t>
                                  </w:r>
                                  <w:r>
                                    <w:rPr>
                                      <w:spacing w:val="-3"/>
                                      <w:sz w:val="20"/>
                                    </w:rPr>
                                    <w:t> </w:t>
                                  </w:r>
                                  <w:r>
                                    <w:rPr>
                                      <w:spacing w:val="-2"/>
                                      <w:sz w:val="20"/>
                                    </w:rPr>
                                    <w:t>Schema</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380" w:hRule="atLeast"/>
                              </w:trPr>
                              <w:tc>
                                <w:tcPr>
                                  <w:tcW w:w="910" w:type="dxa"/>
                                </w:tcPr>
                                <w:p>
                                  <w:pPr>
                                    <w:pStyle w:val="TableParagraph"/>
                                    <w:spacing w:line="210" w:lineRule="exact" w:before="150"/>
                                    <w:ind w:right="99"/>
                                    <w:jc w:val="right"/>
                                    <w:rPr>
                                      <w:sz w:val="20"/>
                                    </w:rPr>
                                  </w:pPr>
                                  <w:r>
                                    <w:rPr>
                                      <w:spacing w:val="-2"/>
                                      <w:sz w:val="20"/>
                                    </w:rPr>
                                    <w:t>101.CAL</w:t>
                                  </w:r>
                                </w:p>
                              </w:tc>
                              <w:tc>
                                <w:tcPr>
                                  <w:tcW w:w="4793" w:type="dxa"/>
                                </w:tcPr>
                                <w:p>
                                  <w:pPr>
                                    <w:pStyle w:val="TableParagraph"/>
                                    <w:spacing w:line="210" w:lineRule="exact" w:before="150"/>
                                    <w:ind w:left="100"/>
                                    <w:rPr>
                                      <w:sz w:val="20"/>
                                    </w:rPr>
                                  </w:pPr>
                                  <w:r>
                                    <w:rPr>
                                      <w:sz w:val="20"/>
                                    </w:rPr>
                                    <w:t>XBRL</w:t>
                                  </w:r>
                                  <w:r>
                                    <w:rPr>
                                      <w:spacing w:val="-13"/>
                                      <w:sz w:val="20"/>
                                    </w:rPr>
                                    <w:t> </w:t>
                                  </w:r>
                                  <w:r>
                                    <w:rPr>
                                      <w:sz w:val="20"/>
                                    </w:rPr>
                                    <w:t>Taxonomy</w:t>
                                  </w:r>
                                  <w:r>
                                    <w:rPr>
                                      <w:spacing w:val="-8"/>
                                      <w:sz w:val="20"/>
                                    </w:rPr>
                                    <w:t> </w:t>
                                  </w:r>
                                  <w:r>
                                    <w:rPr>
                                      <w:sz w:val="20"/>
                                    </w:rPr>
                                    <w:t>Extension</w:t>
                                  </w:r>
                                  <w:r>
                                    <w:rPr>
                                      <w:spacing w:val="-5"/>
                                      <w:sz w:val="20"/>
                                    </w:rPr>
                                    <w:t> </w:t>
                                  </w:r>
                                  <w:r>
                                    <w:rPr>
                                      <w:spacing w:val="-2"/>
                                      <w:sz w:val="20"/>
                                    </w:rPr>
                                    <w:t>Calculation</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line="210" w:lineRule="exact" w:before="150"/>
                                    <w:ind w:left="32" w:right="10"/>
                                    <w:jc w:val="center"/>
                                    <w:rPr>
                                      <w:sz w:val="20"/>
                                    </w:rPr>
                                  </w:pPr>
                                  <w:r>
                                    <w:rPr>
                                      <w:spacing w:val="-10"/>
                                      <w:sz w:val="20"/>
                                    </w:rPr>
                                    <w:t>X</w:t>
                                  </w:r>
                                </w:p>
                              </w:tc>
                            </w:tr>
                          </w:tbl>
                          <w:p>
                            <w:pPr>
                              <w:pStyle w:val="BodyText"/>
                            </w:pPr>
                          </w:p>
                        </w:txbxContent>
                      </wps:txbx>
                      <wps:bodyPr wrap="square" lIns="0" tIns="0" rIns="0" bIns="0" rtlCol="0">
                        <a:noAutofit/>
                      </wps:bodyPr>
                    </wps:wsp>
                  </a:graphicData>
                </a:graphic>
              </wp:anchor>
            </w:drawing>
          </mc:Choice>
          <mc:Fallback>
            <w:pict>
              <v:shape style="position:absolute;margin-left:47.5pt;margin-top:66.141090pt;width:518pt;height:651.85pt;mso-position-horizontal-relative:page;mso-position-vertical-relative:page;z-index:15842304" type="#_x0000_t202" id="docshape45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4793"/>
                        <w:gridCol w:w="686"/>
                        <w:gridCol w:w="1073"/>
                        <w:gridCol w:w="793"/>
                        <w:gridCol w:w="1178"/>
                        <w:gridCol w:w="810"/>
                      </w:tblGrid>
                      <w:tr>
                        <w:trPr>
                          <w:trHeight w:val="217" w:hRule="atLeast"/>
                        </w:trPr>
                        <w:tc>
                          <w:tcPr>
                            <w:tcW w:w="910" w:type="dxa"/>
                            <w:tcBorders>
                              <w:bottom w:val="single" w:sz="8" w:space="0" w:color="000000"/>
                            </w:tcBorders>
                          </w:tcPr>
                          <w:p>
                            <w:pPr>
                              <w:pStyle w:val="TableParagraph"/>
                              <w:spacing w:line="180" w:lineRule="exact"/>
                              <w:ind w:right="192"/>
                              <w:jc w:val="right"/>
                              <w:rPr>
                                <w:b/>
                                <w:sz w:val="16"/>
                              </w:rPr>
                            </w:pPr>
                            <w:r>
                              <w:rPr>
                                <w:b/>
                                <w:spacing w:val="-2"/>
                                <w:sz w:val="16"/>
                              </w:rPr>
                              <w:t>Number</w:t>
                            </w:r>
                          </w:p>
                        </w:tc>
                        <w:tc>
                          <w:tcPr>
                            <w:tcW w:w="4793" w:type="dxa"/>
                            <w:tcBorders>
                              <w:bottom w:val="single" w:sz="8" w:space="0" w:color="000000"/>
                            </w:tcBorders>
                          </w:tcPr>
                          <w:p>
                            <w:pPr>
                              <w:pStyle w:val="TableParagraph"/>
                              <w:spacing w:line="177" w:lineRule="exact"/>
                              <w:ind w:right="11"/>
                              <w:jc w:val="center"/>
                              <w:rPr>
                                <w:b/>
                                <w:sz w:val="16"/>
                              </w:rPr>
                            </w:pPr>
                            <w:r>
                              <w:rPr>
                                <w:b/>
                                <w:sz w:val="16"/>
                              </w:rPr>
                              <w:t>Exhibit </w:t>
                            </w:r>
                            <w:r>
                              <w:rPr>
                                <w:b/>
                                <w:spacing w:val="-2"/>
                                <w:sz w:val="16"/>
                              </w:rPr>
                              <w:t>Description</w:t>
                            </w:r>
                          </w:p>
                        </w:tc>
                        <w:tc>
                          <w:tcPr>
                            <w:tcW w:w="686" w:type="dxa"/>
                            <w:tcBorders>
                              <w:bottom w:val="single" w:sz="8" w:space="0" w:color="000000"/>
                            </w:tcBorders>
                          </w:tcPr>
                          <w:p>
                            <w:pPr>
                              <w:pStyle w:val="TableParagraph"/>
                              <w:spacing w:line="177" w:lineRule="exact"/>
                              <w:ind w:right="31"/>
                              <w:jc w:val="center"/>
                              <w:rPr>
                                <w:b/>
                                <w:sz w:val="16"/>
                              </w:rPr>
                            </w:pPr>
                            <w:r>
                              <w:rPr>
                                <w:b/>
                                <w:spacing w:val="-4"/>
                                <w:sz w:val="16"/>
                              </w:rPr>
                              <w:t>Form</w:t>
                            </w:r>
                          </w:p>
                        </w:tc>
                        <w:tc>
                          <w:tcPr>
                            <w:tcW w:w="1073" w:type="dxa"/>
                            <w:tcBorders>
                              <w:bottom w:val="single" w:sz="8" w:space="0" w:color="000000"/>
                            </w:tcBorders>
                          </w:tcPr>
                          <w:p>
                            <w:pPr>
                              <w:pStyle w:val="TableParagraph"/>
                              <w:spacing w:line="177" w:lineRule="exact"/>
                              <w:ind w:right="169"/>
                              <w:jc w:val="right"/>
                              <w:rPr>
                                <w:b/>
                                <w:sz w:val="16"/>
                              </w:rPr>
                            </w:pPr>
                            <w:r>
                              <w:rPr>
                                <w:b/>
                                <w:sz w:val="16"/>
                              </w:rPr>
                              <w:t>Filing </w:t>
                            </w:r>
                            <w:r>
                              <w:rPr>
                                <w:b/>
                                <w:spacing w:val="-4"/>
                                <w:sz w:val="16"/>
                              </w:rPr>
                              <w:t>Date</w:t>
                            </w:r>
                          </w:p>
                        </w:tc>
                        <w:tc>
                          <w:tcPr>
                            <w:tcW w:w="793" w:type="dxa"/>
                            <w:tcBorders>
                              <w:bottom w:val="single" w:sz="8" w:space="0" w:color="000000"/>
                            </w:tcBorders>
                          </w:tcPr>
                          <w:p>
                            <w:pPr>
                              <w:pStyle w:val="TableParagraph"/>
                              <w:spacing w:line="180" w:lineRule="exact"/>
                              <w:ind w:right="117"/>
                              <w:jc w:val="right"/>
                              <w:rPr>
                                <w:b/>
                                <w:sz w:val="16"/>
                              </w:rPr>
                            </w:pPr>
                            <w:r>
                              <w:rPr>
                                <w:b/>
                                <w:spacing w:val="-2"/>
                                <w:sz w:val="16"/>
                              </w:rPr>
                              <w:t>Number</w:t>
                            </w:r>
                          </w:p>
                        </w:tc>
                        <w:tc>
                          <w:tcPr>
                            <w:tcW w:w="1178" w:type="dxa"/>
                            <w:tcBorders>
                              <w:bottom w:val="single" w:sz="8" w:space="0" w:color="000000"/>
                            </w:tcBorders>
                          </w:tcPr>
                          <w:p>
                            <w:pPr>
                              <w:pStyle w:val="TableParagraph"/>
                              <w:spacing w:line="177" w:lineRule="exact"/>
                              <w:ind w:right="7"/>
                              <w:jc w:val="center"/>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10" w:type="dxa"/>
                            <w:tcBorders>
                              <w:bottom w:val="single" w:sz="8" w:space="0" w:color="000000"/>
                            </w:tcBorders>
                          </w:tcPr>
                          <w:p>
                            <w:pPr>
                              <w:pStyle w:val="TableParagraph"/>
                              <w:spacing w:line="180" w:lineRule="exact"/>
                              <w:ind w:left="32" w:right="10"/>
                              <w:jc w:val="center"/>
                              <w:rPr>
                                <w:b/>
                                <w:sz w:val="16"/>
                              </w:rPr>
                            </w:pPr>
                            <w:r>
                              <w:rPr>
                                <w:b/>
                                <w:spacing w:val="-2"/>
                                <w:sz w:val="16"/>
                              </w:rPr>
                              <w:t>Herewith</w:t>
                            </w:r>
                          </w:p>
                        </w:tc>
                      </w:tr>
                      <w:tr>
                        <w:trPr>
                          <w:trHeight w:val="1051" w:hRule="atLeast"/>
                        </w:trPr>
                        <w:tc>
                          <w:tcPr>
                            <w:tcW w:w="910" w:type="dxa"/>
                            <w:tcBorders>
                              <w:top w:val="single" w:sz="8" w:space="0" w:color="000000"/>
                            </w:tcBorders>
                          </w:tcPr>
                          <w:p>
                            <w:pPr>
                              <w:pStyle w:val="TableParagraph"/>
                              <w:spacing w:before="21"/>
                              <w:rPr>
                                <w:b/>
                                <w:sz w:val="20"/>
                              </w:rPr>
                            </w:pPr>
                          </w:p>
                          <w:p>
                            <w:pPr>
                              <w:pStyle w:val="TableParagraph"/>
                              <w:spacing w:before="1"/>
                              <w:ind w:right="98"/>
                              <w:jc w:val="right"/>
                              <w:rPr>
                                <w:sz w:val="20"/>
                              </w:rPr>
                            </w:pPr>
                            <w:r>
                              <w:rPr>
                                <w:spacing w:val="-2"/>
                                <w:sz w:val="20"/>
                              </w:rPr>
                              <w:t>10.30B</w:t>
                            </w:r>
                          </w:p>
                        </w:tc>
                        <w:tc>
                          <w:tcPr>
                            <w:tcW w:w="4793" w:type="dxa"/>
                            <w:tcBorders>
                              <w:top w:val="single" w:sz="8" w:space="0" w:color="000000"/>
                            </w:tcBorders>
                          </w:tcPr>
                          <w:p>
                            <w:pPr>
                              <w:pStyle w:val="TableParagraph"/>
                              <w:spacing w:before="46"/>
                              <w:rPr>
                                <w:b/>
                                <w:sz w:val="20"/>
                              </w:rPr>
                            </w:pPr>
                          </w:p>
                          <w:p>
                            <w:pPr>
                              <w:pStyle w:val="TableParagraph"/>
                              <w:spacing w:line="208" w:lineRule="auto"/>
                              <w:ind w:left="100" w:right="107"/>
                              <w:rPr>
                                <w:sz w:val="20"/>
                              </w:rPr>
                            </w:pPr>
                            <w:r>
                              <w:rPr>
                                <w:sz w:val="20"/>
                              </w:rPr>
                              <w:t>Form of Stock Option Grant Notice and Award Agreement</w:t>
                            </w:r>
                            <w:r>
                              <w:rPr>
                                <w:spacing w:val="-13"/>
                                <w:sz w:val="20"/>
                              </w:rPr>
                              <w:t> </w:t>
                            </w:r>
                            <w:r>
                              <w:rPr>
                                <w:sz w:val="20"/>
                              </w:rPr>
                              <w:t>pursuant</w:t>
                            </w:r>
                            <w:r>
                              <w:rPr>
                                <w:spacing w:val="-10"/>
                                <w:sz w:val="20"/>
                              </w:rPr>
                              <w:t> </w:t>
                            </w:r>
                            <w:r>
                              <w:rPr>
                                <w:sz w:val="20"/>
                              </w:rPr>
                              <w:t>to</w:t>
                            </w:r>
                            <w:r>
                              <w:rPr>
                                <w:spacing w:val="-9"/>
                                <w:sz w:val="20"/>
                              </w:rPr>
                              <w:t> </w:t>
                            </w:r>
                            <w:r>
                              <w:rPr>
                                <w:sz w:val="20"/>
                              </w:rPr>
                              <w:t>the</w:t>
                            </w:r>
                            <w:r>
                              <w:rPr>
                                <w:spacing w:val="-13"/>
                                <w:sz w:val="20"/>
                              </w:rPr>
                              <w:t> </w:t>
                            </w:r>
                            <w:r>
                              <w:rPr>
                                <w:sz w:val="20"/>
                              </w:rPr>
                              <w:t>Aviary,</w:t>
                            </w:r>
                            <w:r>
                              <w:rPr>
                                <w:spacing w:val="-8"/>
                                <w:sz w:val="20"/>
                              </w:rPr>
                              <w:t> </w:t>
                            </w:r>
                            <w:r>
                              <w:rPr>
                                <w:sz w:val="20"/>
                              </w:rPr>
                              <w:t>Inc.</w:t>
                            </w:r>
                            <w:r>
                              <w:rPr>
                                <w:spacing w:val="-9"/>
                                <w:sz w:val="20"/>
                              </w:rPr>
                              <w:t> </w:t>
                            </w:r>
                            <w:r>
                              <w:rPr>
                                <w:sz w:val="20"/>
                              </w:rPr>
                              <w:t>2008</w:t>
                            </w:r>
                            <w:r>
                              <w:rPr>
                                <w:spacing w:val="-9"/>
                                <w:sz w:val="20"/>
                              </w:rPr>
                              <w:t> </w:t>
                            </w:r>
                            <w:r>
                              <w:rPr>
                                <w:sz w:val="20"/>
                              </w:rPr>
                              <w:t>Stock</w:t>
                            </w:r>
                            <w:r>
                              <w:rPr>
                                <w:spacing w:val="-9"/>
                                <w:sz w:val="20"/>
                              </w:rPr>
                              <w:t> </w:t>
                            </w:r>
                            <w:r>
                              <w:rPr>
                                <w:sz w:val="20"/>
                              </w:rPr>
                              <w:t>Plan (Installment Vesting)*</w:t>
                            </w:r>
                          </w:p>
                        </w:tc>
                        <w:tc>
                          <w:tcPr>
                            <w:tcW w:w="686" w:type="dxa"/>
                            <w:tcBorders>
                              <w:top w:val="single" w:sz="8" w:space="0" w:color="000000"/>
                            </w:tcBorders>
                          </w:tcPr>
                          <w:p>
                            <w:pPr>
                              <w:pStyle w:val="TableParagraph"/>
                              <w:spacing w:before="21"/>
                              <w:rPr>
                                <w:b/>
                                <w:sz w:val="20"/>
                              </w:rPr>
                            </w:pPr>
                          </w:p>
                          <w:p>
                            <w:pPr>
                              <w:pStyle w:val="TableParagraph"/>
                              <w:spacing w:before="1"/>
                              <w:ind w:left="1" w:right="31"/>
                              <w:jc w:val="center"/>
                              <w:rPr>
                                <w:sz w:val="20"/>
                              </w:rPr>
                            </w:pPr>
                            <w:r>
                              <w:rPr>
                                <w:sz w:val="20"/>
                              </w:rPr>
                              <w:t>S-</w:t>
                            </w:r>
                            <w:r>
                              <w:rPr>
                                <w:spacing w:val="-10"/>
                                <w:sz w:val="20"/>
                              </w:rPr>
                              <w:t>8</w:t>
                            </w:r>
                          </w:p>
                        </w:tc>
                        <w:tc>
                          <w:tcPr>
                            <w:tcW w:w="1073" w:type="dxa"/>
                            <w:tcBorders>
                              <w:top w:val="single" w:sz="8" w:space="0" w:color="000000"/>
                            </w:tcBorders>
                          </w:tcPr>
                          <w:p>
                            <w:pPr>
                              <w:pStyle w:val="TableParagraph"/>
                              <w:spacing w:before="21"/>
                              <w:rPr>
                                <w:b/>
                                <w:sz w:val="20"/>
                              </w:rPr>
                            </w:pPr>
                          </w:p>
                          <w:p>
                            <w:pPr>
                              <w:pStyle w:val="TableParagraph"/>
                              <w:spacing w:before="1"/>
                              <w:ind w:right="110"/>
                              <w:jc w:val="right"/>
                              <w:rPr>
                                <w:sz w:val="20"/>
                              </w:rPr>
                            </w:pPr>
                            <w:r>
                              <w:rPr>
                                <w:spacing w:val="-2"/>
                                <w:sz w:val="20"/>
                              </w:rPr>
                              <w:t>9/26/14</w:t>
                            </w:r>
                          </w:p>
                        </w:tc>
                        <w:tc>
                          <w:tcPr>
                            <w:tcW w:w="793" w:type="dxa"/>
                            <w:tcBorders>
                              <w:top w:val="single" w:sz="8" w:space="0" w:color="000000"/>
                            </w:tcBorders>
                          </w:tcPr>
                          <w:p>
                            <w:pPr>
                              <w:pStyle w:val="TableParagraph"/>
                              <w:spacing w:before="21"/>
                              <w:rPr>
                                <w:b/>
                                <w:sz w:val="20"/>
                              </w:rPr>
                            </w:pPr>
                          </w:p>
                          <w:p>
                            <w:pPr>
                              <w:pStyle w:val="TableParagraph"/>
                              <w:spacing w:before="1"/>
                              <w:ind w:right="112"/>
                              <w:jc w:val="right"/>
                              <w:rPr>
                                <w:sz w:val="20"/>
                              </w:rPr>
                            </w:pPr>
                            <w:r>
                              <w:rPr>
                                <w:spacing w:val="-4"/>
                                <w:sz w:val="20"/>
                              </w:rPr>
                              <w:t>99.2</w:t>
                            </w:r>
                          </w:p>
                        </w:tc>
                        <w:tc>
                          <w:tcPr>
                            <w:tcW w:w="1178" w:type="dxa"/>
                            <w:tcBorders>
                              <w:top w:val="single" w:sz="8" w:space="0" w:color="000000"/>
                            </w:tcBorders>
                          </w:tcPr>
                          <w:p>
                            <w:pPr>
                              <w:pStyle w:val="TableParagraph"/>
                              <w:spacing w:before="21"/>
                              <w:rPr>
                                <w:b/>
                                <w:sz w:val="20"/>
                              </w:rPr>
                            </w:pPr>
                          </w:p>
                          <w:p>
                            <w:pPr>
                              <w:pStyle w:val="TableParagraph"/>
                              <w:spacing w:before="1"/>
                              <w:ind w:left="14" w:right="10"/>
                              <w:jc w:val="center"/>
                              <w:rPr>
                                <w:sz w:val="20"/>
                              </w:rPr>
                            </w:pPr>
                            <w:r>
                              <w:rPr>
                                <w:sz w:val="20"/>
                              </w:rPr>
                              <w:t>333-</w:t>
                            </w:r>
                            <w:r>
                              <w:rPr>
                                <w:spacing w:val="-2"/>
                                <w:sz w:val="20"/>
                              </w:rPr>
                              <w:t>198973</w:t>
                            </w:r>
                          </w:p>
                        </w:tc>
                        <w:tc>
                          <w:tcPr>
                            <w:tcW w:w="810" w:type="dxa"/>
                            <w:tcBorders>
                              <w:top w:val="single" w:sz="8" w:space="0" w:color="000000"/>
                            </w:tcBorders>
                          </w:tcPr>
                          <w:p>
                            <w:pPr>
                              <w:pStyle w:val="TableParagraph"/>
                              <w:rPr>
                                <w:sz w:val="18"/>
                              </w:rPr>
                            </w:pPr>
                          </w:p>
                        </w:tc>
                      </w:tr>
                      <w:tr>
                        <w:trPr>
                          <w:trHeight w:val="960" w:hRule="atLeast"/>
                        </w:trPr>
                        <w:tc>
                          <w:tcPr>
                            <w:tcW w:w="910" w:type="dxa"/>
                          </w:tcPr>
                          <w:p>
                            <w:pPr>
                              <w:pStyle w:val="TableParagraph"/>
                              <w:spacing w:before="160"/>
                              <w:ind w:right="98"/>
                              <w:jc w:val="right"/>
                              <w:rPr>
                                <w:sz w:val="20"/>
                              </w:rPr>
                            </w:pPr>
                            <w:r>
                              <w:rPr>
                                <w:spacing w:val="-2"/>
                                <w:sz w:val="20"/>
                              </w:rPr>
                              <w:t>10.30C</w:t>
                            </w:r>
                          </w:p>
                        </w:tc>
                        <w:tc>
                          <w:tcPr>
                            <w:tcW w:w="4793" w:type="dxa"/>
                          </w:tcPr>
                          <w:p>
                            <w:pPr>
                              <w:pStyle w:val="TableParagraph"/>
                              <w:spacing w:line="208" w:lineRule="auto" w:before="185"/>
                              <w:ind w:left="100" w:right="107"/>
                              <w:rPr>
                                <w:sz w:val="20"/>
                              </w:rPr>
                            </w:pPr>
                            <w:r>
                              <w:rPr>
                                <w:sz w:val="20"/>
                              </w:rPr>
                              <w:t>Form of Stock Option Grant Notice and Award Agreement</w:t>
                            </w:r>
                            <w:r>
                              <w:rPr>
                                <w:spacing w:val="-13"/>
                                <w:sz w:val="20"/>
                              </w:rPr>
                              <w:t> </w:t>
                            </w:r>
                            <w:r>
                              <w:rPr>
                                <w:sz w:val="20"/>
                              </w:rPr>
                              <w:t>pursuant</w:t>
                            </w:r>
                            <w:r>
                              <w:rPr>
                                <w:spacing w:val="-10"/>
                                <w:sz w:val="20"/>
                              </w:rPr>
                              <w:t> </w:t>
                            </w:r>
                            <w:r>
                              <w:rPr>
                                <w:sz w:val="20"/>
                              </w:rPr>
                              <w:t>to</w:t>
                            </w:r>
                            <w:r>
                              <w:rPr>
                                <w:spacing w:val="-9"/>
                                <w:sz w:val="20"/>
                              </w:rPr>
                              <w:t> </w:t>
                            </w:r>
                            <w:r>
                              <w:rPr>
                                <w:sz w:val="20"/>
                              </w:rPr>
                              <w:t>the</w:t>
                            </w:r>
                            <w:r>
                              <w:rPr>
                                <w:spacing w:val="-13"/>
                                <w:sz w:val="20"/>
                              </w:rPr>
                              <w:t> </w:t>
                            </w:r>
                            <w:r>
                              <w:rPr>
                                <w:sz w:val="20"/>
                              </w:rPr>
                              <w:t>Aviary,</w:t>
                            </w:r>
                            <w:r>
                              <w:rPr>
                                <w:spacing w:val="-8"/>
                                <w:sz w:val="20"/>
                              </w:rPr>
                              <w:t> </w:t>
                            </w:r>
                            <w:r>
                              <w:rPr>
                                <w:sz w:val="20"/>
                              </w:rPr>
                              <w:t>Inc.</w:t>
                            </w:r>
                            <w:r>
                              <w:rPr>
                                <w:spacing w:val="-9"/>
                                <w:sz w:val="20"/>
                              </w:rPr>
                              <w:t> </w:t>
                            </w:r>
                            <w:r>
                              <w:rPr>
                                <w:sz w:val="20"/>
                              </w:rPr>
                              <w:t>2008</w:t>
                            </w:r>
                            <w:r>
                              <w:rPr>
                                <w:spacing w:val="-9"/>
                                <w:sz w:val="20"/>
                              </w:rPr>
                              <w:t> </w:t>
                            </w:r>
                            <w:r>
                              <w:rPr>
                                <w:sz w:val="20"/>
                              </w:rPr>
                              <w:t>Stock</w:t>
                            </w:r>
                            <w:r>
                              <w:rPr>
                                <w:spacing w:val="-9"/>
                                <w:sz w:val="20"/>
                              </w:rPr>
                              <w:t> </w:t>
                            </w:r>
                            <w:r>
                              <w:rPr>
                                <w:sz w:val="20"/>
                              </w:rPr>
                              <w:t>Plan (Installment Vesting, Non- U.S.)*</w:t>
                            </w:r>
                          </w:p>
                        </w:tc>
                        <w:tc>
                          <w:tcPr>
                            <w:tcW w:w="686" w:type="dxa"/>
                          </w:tcPr>
                          <w:p>
                            <w:pPr>
                              <w:pStyle w:val="TableParagraph"/>
                              <w:spacing w:before="160"/>
                              <w:ind w:left="1" w:right="31"/>
                              <w:jc w:val="center"/>
                              <w:rPr>
                                <w:sz w:val="20"/>
                              </w:rPr>
                            </w:pPr>
                            <w:r>
                              <w:rPr>
                                <w:sz w:val="20"/>
                              </w:rPr>
                              <w:t>S-</w:t>
                            </w:r>
                            <w:r>
                              <w:rPr>
                                <w:spacing w:val="-10"/>
                                <w:sz w:val="20"/>
                              </w:rPr>
                              <w:t>8</w:t>
                            </w:r>
                          </w:p>
                        </w:tc>
                        <w:tc>
                          <w:tcPr>
                            <w:tcW w:w="1073" w:type="dxa"/>
                          </w:tcPr>
                          <w:p>
                            <w:pPr>
                              <w:pStyle w:val="TableParagraph"/>
                              <w:spacing w:before="160"/>
                              <w:ind w:right="110"/>
                              <w:jc w:val="right"/>
                              <w:rPr>
                                <w:sz w:val="20"/>
                              </w:rPr>
                            </w:pPr>
                            <w:r>
                              <w:rPr>
                                <w:spacing w:val="-2"/>
                                <w:sz w:val="20"/>
                              </w:rPr>
                              <w:t>9/26/14</w:t>
                            </w:r>
                          </w:p>
                        </w:tc>
                        <w:tc>
                          <w:tcPr>
                            <w:tcW w:w="793" w:type="dxa"/>
                          </w:tcPr>
                          <w:p>
                            <w:pPr>
                              <w:pStyle w:val="TableParagraph"/>
                              <w:spacing w:before="160"/>
                              <w:ind w:right="112"/>
                              <w:jc w:val="right"/>
                              <w:rPr>
                                <w:sz w:val="20"/>
                              </w:rPr>
                            </w:pPr>
                            <w:r>
                              <w:rPr>
                                <w:spacing w:val="-4"/>
                                <w:sz w:val="20"/>
                              </w:rPr>
                              <w:t>99.3</w:t>
                            </w:r>
                          </w:p>
                        </w:tc>
                        <w:tc>
                          <w:tcPr>
                            <w:tcW w:w="1178" w:type="dxa"/>
                          </w:tcPr>
                          <w:p>
                            <w:pPr>
                              <w:pStyle w:val="TableParagraph"/>
                              <w:spacing w:before="160"/>
                              <w:ind w:left="14" w:right="10"/>
                              <w:jc w:val="center"/>
                              <w:rPr>
                                <w:sz w:val="20"/>
                              </w:rPr>
                            </w:pPr>
                            <w:r>
                              <w:rPr>
                                <w:sz w:val="20"/>
                              </w:rPr>
                              <w:t>333-</w:t>
                            </w:r>
                            <w:r>
                              <w:rPr>
                                <w:spacing w:val="-2"/>
                                <w:sz w:val="20"/>
                              </w:rPr>
                              <w:t>198973</w:t>
                            </w:r>
                          </w:p>
                        </w:tc>
                        <w:tc>
                          <w:tcPr>
                            <w:tcW w:w="810" w:type="dxa"/>
                          </w:tcPr>
                          <w:p>
                            <w:pPr>
                              <w:pStyle w:val="TableParagraph"/>
                              <w:rPr>
                                <w:sz w:val="18"/>
                              </w:rPr>
                            </w:pPr>
                          </w:p>
                        </w:tc>
                      </w:tr>
                      <w:tr>
                        <w:trPr>
                          <w:trHeight w:val="649" w:hRule="atLeast"/>
                        </w:trPr>
                        <w:tc>
                          <w:tcPr>
                            <w:tcW w:w="910" w:type="dxa"/>
                          </w:tcPr>
                          <w:p>
                            <w:pPr>
                              <w:pStyle w:val="TableParagraph"/>
                              <w:spacing w:before="160"/>
                              <w:ind w:right="99"/>
                              <w:jc w:val="right"/>
                              <w:rPr>
                                <w:sz w:val="20"/>
                              </w:rPr>
                            </w:pPr>
                            <w:r>
                              <w:rPr>
                                <w:spacing w:val="-2"/>
                                <w:sz w:val="20"/>
                              </w:rPr>
                              <w:t>10.31</w:t>
                            </w:r>
                          </w:p>
                        </w:tc>
                        <w:tc>
                          <w:tcPr>
                            <w:tcW w:w="4793" w:type="dxa"/>
                          </w:tcPr>
                          <w:p>
                            <w:pPr>
                              <w:pStyle w:val="TableParagraph"/>
                              <w:spacing w:line="208" w:lineRule="auto" w:before="185"/>
                              <w:ind w:left="100" w:right="107"/>
                              <w:rPr>
                                <w:sz w:val="20"/>
                              </w:rPr>
                            </w:pPr>
                            <w:r>
                              <w:rPr>
                                <w:sz w:val="20"/>
                              </w:rPr>
                              <w:t>Adobe</w:t>
                            </w:r>
                            <w:r>
                              <w:rPr>
                                <w:spacing w:val="-8"/>
                                <w:sz w:val="20"/>
                              </w:rPr>
                              <w:t> </w:t>
                            </w:r>
                            <w:r>
                              <w:rPr>
                                <w:sz w:val="20"/>
                              </w:rPr>
                              <w:t>Systems</w:t>
                            </w:r>
                            <w:r>
                              <w:rPr>
                                <w:spacing w:val="-9"/>
                                <w:sz w:val="20"/>
                              </w:rPr>
                              <w:t> </w:t>
                            </w:r>
                            <w:r>
                              <w:rPr>
                                <w:sz w:val="20"/>
                              </w:rPr>
                              <w:t>Incorporated</w:t>
                            </w:r>
                            <w:r>
                              <w:rPr>
                                <w:spacing w:val="-8"/>
                                <w:sz w:val="20"/>
                              </w:rPr>
                              <w:t> </w:t>
                            </w:r>
                            <w:r>
                              <w:rPr>
                                <w:sz w:val="20"/>
                              </w:rPr>
                              <w:t>2014</w:t>
                            </w:r>
                            <w:r>
                              <w:rPr>
                                <w:spacing w:val="-8"/>
                                <w:sz w:val="20"/>
                              </w:rPr>
                              <w:t> </w:t>
                            </w:r>
                            <w:r>
                              <w:rPr>
                                <w:sz w:val="20"/>
                              </w:rPr>
                              <w:t>Executive</w:t>
                            </w:r>
                            <w:r>
                              <w:rPr>
                                <w:spacing w:val="-8"/>
                                <w:sz w:val="20"/>
                              </w:rPr>
                              <w:t> </w:t>
                            </w:r>
                            <w:r>
                              <w:rPr>
                                <w:sz w:val="20"/>
                              </w:rPr>
                              <w:t>Severance Plan in the Event of a Change of Control*</w:t>
                            </w:r>
                          </w:p>
                        </w:tc>
                        <w:tc>
                          <w:tcPr>
                            <w:tcW w:w="686" w:type="dxa"/>
                          </w:tcPr>
                          <w:p>
                            <w:pPr>
                              <w:pStyle w:val="TableParagraph"/>
                              <w:spacing w:before="160"/>
                              <w:ind w:right="31"/>
                              <w:jc w:val="center"/>
                              <w:rPr>
                                <w:sz w:val="20"/>
                              </w:rPr>
                            </w:pPr>
                            <w:r>
                              <w:rPr>
                                <w:spacing w:val="-2"/>
                                <w:sz w:val="20"/>
                              </w:rPr>
                              <w:t>8-</w:t>
                            </w:r>
                            <w:r>
                              <w:rPr>
                                <w:spacing w:val="-10"/>
                                <w:sz w:val="20"/>
                              </w:rPr>
                              <w:t>K</w:t>
                            </w:r>
                          </w:p>
                        </w:tc>
                        <w:tc>
                          <w:tcPr>
                            <w:tcW w:w="1073" w:type="dxa"/>
                          </w:tcPr>
                          <w:p>
                            <w:pPr>
                              <w:pStyle w:val="TableParagraph"/>
                              <w:spacing w:before="160"/>
                              <w:ind w:right="106"/>
                              <w:jc w:val="right"/>
                              <w:rPr>
                                <w:sz w:val="20"/>
                              </w:rPr>
                            </w:pPr>
                            <w:r>
                              <w:rPr>
                                <w:spacing w:val="-2"/>
                                <w:sz w:val="20"/>
                              </w:rPr>
                              <w:t>12/11/14</w:t>
                            </w:r>
                          </w:p>
                        </w:tc>
                        <w:tc>
                          <w:tcPr>
                            <w:tcW w:w="793" w:type="dxa"/>
                          </w:tcPr>
                          <w:p>
                            <w:pPr>
                              <w:pStyle w:val="TableParagraph"/>
                              <w:spacing w:before="160"/>
                              <w:ind w:right="112"/>
                              <w:jc w:val="right"/>
                              <w:rPr>
                                <w:sz w:val="20"/>
                              </w:rPr>
                            </w:pPr>
                            <w:r>
                              <w:rPr>
                                <w:spacing w:val="-4"/>
                                <w:sz w:val="20"/>
                              </w:rPr>
                              <w:t>10.1</w:t>
                            </w:r>
                          </w:p>
                        </w:tc>
                        <w:tc>
                          <w:tcPr>
                            <w:tcW w:w="1178" w:type="dxa"/>
                          </w:tcPr>
                          <w:p>
                            <w:pPr>
                              <w:pStyle w:val="TableParagraph"/>
                              <w:spacing w:before="160"/>
                              <w:ind w:left="114" w:right="10"/>
                              <w:jc w:val="center"/>
                              <w:rPr>
                                <w:sz w:val="20"/>
                              </w:rPr>
                            </w:pPr>
                            <w:r>
                              <w:rPr>
                                <w:sz w:val="20"/>
                              </w:rPr>
                              <w:t>000-</w:t>
                            </w:r>
                            <w:r>
                              <w:rPr>
                                <w:spacing w:val="-2"/>
                                <w:sz w:val="20"/>
                              </w:rPr>
                              <w:t>15175</w:t>
                            </w:r>
                          </w:p>
                        </w:tc>
                        <w:tc>
                          <w:tcPr>
                            <w:tcW w:w="810" w:type="dxa"/>
                          </w:tcPr>
                          <w:p>
                            <w:pPr>
                              <w:pStyle w:val="TableParagraph"/>
                              <w:rPr>
                                <w:sz w:val="18"/>
                              </w:rPr>
                            </w:pPr>
                          </w:p>
                        </w:tc>
                      </w:tr>
                      <w:tr>
                        <w:trPr>
                          <w:trHeight w:val="659" w:hRule="atLeast"/>
                        </w:trPr>
                        <w:tc>
                          <w:tcPr>
                            <w:tcW w:w="910" w:type="dxa"/>
                          </w:tcPr>
                          <w:p>
                            <w:pPr>
                              <w:pStyle w:val="TableParagraph"/>
                              <w:spacing w:before="51"/>
                              <w:ind w:right="99"/>
                              <w:jc w:val="right"/>
                              <w:rPr>
                                <w:sz w:val="20"/>
                              </w:rPr>
                            </w:pPr>
                            <w:r>
                              <w:rPr>
                                <w:spacing w:val="-2"/>
                                <w:sz w:val="20"/>
                              </w:rPr>
                              <w:t>10.32</w:t>
                            </w:r>
                          </w:p>
                        </w:tc>
                        <w:tc>
                          <w:tcPr>
                            <w:tcW w:w="4793" w:type="dxa"/>
                          </w:tcPr>
                          <w:p>
                            <w:pPr>
                              <w:pStyle w:val="TableParagraph"/>
                              <w:spacing w:line="208" w:lineRule="auto" w:before="93"/>
                              <w:ind w:left="100" w:right="107"/>
                              <w:rPr>
                                <w:sz w:val="20"/>
                              </w:rPr>
                            </w:pPr>
                            <w:r>
                              <w:rPr>
                                <w:sz w:val="20"/>
                              </w:rPr>
                              <w:t>Picasso</w:t>
                            </w:r>
                            <w:r>
                              <w:rPr>
                                <w:spacing w:val="-13"/>
                                <w:sz w:val="20"/>
                              </w:rPr>
                              <w:t> </w:t>
                            </w:r>
                            <w:r>
                              <w:rPr>
                                <w:sz w:val="20"/>
                              </w:rPr>
                              <w:t>Acquisition</w:t>
                            </w:r>
                            <w:r>
                              <w:rPr>
                                <w:spacing w:val="-8"/>
                                <w:sz w:val="20"/>
                              </w:rPr>
                              <w:t> </w:t>
                            </w:r>
                            <w:r>
                              <w:rPr>
                                <w:sz w:val="20"/>
                              </w:rPr>
                              <w:t>Holding</w:t>
                            </w:r>
                            <w:r>
                              <w:rPr>
                                <w:spacing w:val="-6"/>
                                <w:sz w:val="20"/>
                              </w:rPr>
                              <w:t> </w:t>
                            </w:r>
                            <w:r>
                              <w:rPr>
                                <w:sz w:val="20"/>
                              </w:rPr>
                              <w:t>1,</w:t>
                            </w:r>
                            <w:r>
                              <w:rPr>
                                <w:spacing w:val="-6"/>
                                <w:sz w:val="20"/>
                              </w:rPr>
                              <w:t> </w:t>
                            </w:r>
                            <w:r>
                              <w:rPr>
                                <w:sz w:val="20"/>
                              </w:rPr>
                              <w:t>Inc.</w:t>
                            </w:r>
                            <w:r>
                              <w:rPr>
                                <w:spacing w:val="-6"/>
                                <w:sz w:val="20"/>
                              </w:rPr>
                              <w:t> </w:t>
                            </w:r>
                            <w:r>
                              <w:rPr>
                                <w:sz w:val="20"/>
                              </w:rPr>
                              <w:t>2012</w:t>
                            </w:r>
                            <w:r>
                              <w:rPr>
                                <w:spacing w:val="-6"/>
                                <w:sz w:val="20"/>
                              </w:rPr>
                              <w:t> </w:t>
                            </w:r>
                            <w:r>
                              <w:rPr>
                                <w:sz w:val="20"/>
                              </w:rPr>
                              <w:t>Stock</w:t>
                            </w:r>
                            <w:r>
                              <w:rPr>
                                <w:spacing w:val="-6"/>
                                <w:sz w:val="20"/>
                              </w:rPr>
                              <w:t> </w:t>
                            </w:r>
                            <w:r>
                              <w:rPr>
                                <w:sz w:val="20"/>
                              </w:rPr>
                              <w:t>Option and Grant Plan*</w:t>
                            </w:r>
                          </w:p>
                        </w:tc>
                        <w:tc>
                          <w:tcPr>
                            <w:tcW w:w="686" w:type="dxa"/>
                          </w:tcPr>
                          <w:p>
                            <w:pPr>
                              <w:pStyle w:val="TableParagraph"/>
                              <w:spacing w:before="51"/>
                              <w:ind w:left="1" w:right="31"/>
                              <w:jc w:val="center"/>
                              <w:rPr>
                                <w:sz w:val="20"/>
                              </w:rPr>
                            </w:pPr>
                            <w:r>
                              <w:rPr>
                                <w:sz w:val="20"/>
                              </w:rPr>
                              <w:t>S-</w:t>
                            </w:r>
                            <w:r>
                              <w:rPr>
                                <w:spacing w:val="-10"/>
                                <w:sz w:val="20"/>
                              </w:rPr>
                              <w:t>8</w:t>
                            </w:r>
                          </w:p>
                        </w:tc>
                        <w:tc>
                          <w:tcPr>
                            <w:tcW w:w="1073" w:type="dxa"/>
                          </w:tcPr>
                          <w:p>
                            <w:pPr>
                              <w:pStyle w:val="TableParagraph"/>
                              <w:spacing w:before="51"/>
                              <w:ind w:right="110"/>
                              <w:jc w:val="right"/>
                              <w:rPr>
                                <w:sz w:val="20"/>
                              </w:rPr>
                            </w:pPr>
                            <w:r>
                              <w:rPr>
                                <w:spacing w:val="-2"/>
                                <w:sz w:val="20"/>
                              </w:rPr>
                              <w:t>3/13/15</w:t>
                            </w:r>
                          </w:p>
                        </w:tc>
                        <w:tc>
                          <w:tcPr>
                            <w:tcW w:w="793" w:type="dxa"/>
                          </w:tcPr>
                          <w:p>
                            <w:pPr>
                              <w:pStyle w:val="TableParagraph"/>
                              <w:spacing w:before="51"/>
                              <w:ind w:right="112"/>
                              <w:jc w:val="right"/>
                              <w:rPr>
                                <w:sz w:val="20"/>
                              </w:rPr>
                            </w:pPr>
                            <w:r>
                              <w:rPr>
                                <w:spacing w:val="-4"/>
                                <w:sz w:val="20"/>
                              </w:rPr>
                              <w:t>99.1</w:t>
                            </w:r>
                          </w:p>
                        </w:tc>
                        <w:tc>
                          <w:tcPr>
                            <w:tcW w:w="1178" w:type="dxa"/>
                          </w:tcPr>
                          <w:p>
                            <w:pPr>
                              <w:pStyle w:val="TableParagraph"/>
                              <w:spacing w:before="51"/>
                              <w:ind w:left="14" w:right="10"/>
                              <w:jc w:val="center"/>
                              <w:rPr>
                                <w:sz w:val="20"/>
                              </w:rPr>
                            </w:pPr>
                            <w:r>
                              <w:rPr>
                                <w:sz w:val="20"/>
                              </w:rPr>
                              <w:t>333-</w:t>
                            </w:r>
                            <w:r>
                              <w:rPr>
                                <w:spacing w:val="-2"/>
                                <w:sz w:val="20"/>
                              </w:rPr>
                              <w:t>202732</w:t>
                            </w:r>
                          </w:p>
                        </w:tc>
                        <w:tc>
                          <w:tcPr>
                            <w:tcW w:w="810" w:type="dxa"/>
                          </w:tcPr>
                          <w:p>
                            <w:pPr>
                              <w:pStyle w:val="TableParagraph"/>
                              <w:rPr>
                                <w:sz w:val="18"/>
                              </w:rPr>
                            </w:pPr>
                          </w:p>
                        </w:tc>
                      </w:tr>
                      <w:tr>
                        <w:trPr>
                          <w:trHeight w:val="770" w:hRule="atLeast"/>
                        </w:trPr>
                        <w:tc>
                          <w:tcPr>
                            <w:tcW w:w="910" w:type="dxa"/>
                          </w:tcPr>
                          <w:p>
                            <w:pPr>
                              <w:pStyle w:val="TableParagraph"/>
                              <w:spacing w:before="151"/>
                              <w:ind w:right="99"/>
                              <w:jc w:val="right"/>
                              <w:rPr>
                                <w:sz w:val="20"/>
                              </w:rPr>
                            </w:pPr>
                            <w:r>
                              <w:rPr>
                                <w:spacing w:val="-2"/>
                                <w:sz w:val="20"/>
                              </w:rPr>
                              <w:t>10.33</w:t>
                            </w:r>
                          </w:p>
                        </w:tc>
                        <w:tc>
                          <w:tcPr>
                            <w:tcW w:w="4793" w:type="dxa"/>
                          </w:tcPr>
                          <w:p>
                            <w:pPr>
                              <w:pStyle w:val="TableParagraph"/>
                              <w:spacing w:line="208" w:lineRule="auto" w:before="194"/>
                              <w:ind w:left="100" w:right="107"/>
                              <w:rPr>
                                <w:sz w:val="20"/>
                              </w:rPr>
                            </w:pPr>
                            <w:r>
                              <w:rPr>
                                <w:sz w:val="20"/>
                              </w:rPr>
                              <w:t>TubeMogul,</w:t>
                            </w:r>
                            <w:r>
                              <w:rPr>
                                <w:spacing w:val="-8"/>
                                <w:sz w:val="20"/>
                              </w:rPr>
                              <w:t> </w:t>
                            </w:r>
                            <w:r>
                              <w:rPr>
                                <w:sz w:val="20"/>
                              </w:rPr>
                              <w:t>Inc.</w:t>
                            </w:r>
                            <w:r>
                              <w:rPr>
                                <w:spacing w:val="-8"/>
                                <w:sz w:val="20"/>
                              </w:rPr>
                              <w:t> </w:t>
                            </w:r>
                            <w:r>
                              <w:rPr>
                                <w:sz w:val="20"/>
                              </w:rPr>
                              <w:t>2007</w:t>
                            </w:r>
                            <w:r>
                              <w:rPr>
                                <w:spacing w:val="-8"/>
                                <w:sz w:val="20"/>
                              </w:rPr>
                              <w:t> </w:t>
                            </w:r>
                            <w:r>
                              <w:rPr>
                                <w:sz w:val="20"/>
                              </w:rPr>
                              <w:t>Equity</w:t>
                            </w:r>
                            <w:r>
                              <w:rPr>
                                <w:spacing w:val="-8"/>
                                <w:sz w:val="20"/>
                              </w:rPr>
                              <w:t> </w:t>
                            </w:r>
                            <w:r>
                              <w:rPr>
                                <w:sz w:val="20"/>
                              </w:rPr>
                              <w:t>Compensation</w:t>
                            </w:r>
                            <w:r>
                              <w:rPr>
                                <w:spacing w:val="-8"/>
                                <w:sz w:val="20"/>
                              </w:rPr>
                              <w:t> </w:t>
                            </w:r>
                            <w:r>
                              <w:rPr>
                                <w:sz w:val="20"/>
                              </w:rPr>
                              <w:t>Plan,</w:t>
                            </w:r>
                            <w:r>
                              <w:rPr>
                                <w:spacing w:val="-8"/>
                                <w:sz w:val="20"/>
                              </w:rPr>
                              <w:t> </w:t>
                            </w:r>
                            <w:r>
                              <w:rPr>
                                <w:sz w:val="20"/>
                              </w:rPr>
                              <w:t>as amended, and forms of agreement thereunder††*</w:t>
                            </w:r>
                          </w:p>
                        </w:tc>
                        <w:tc>
                          <w:tcPr>
                            <w:tcW w:w="686" w:type="dxa"/>
                          </w:tcPr>
                          <w:p>
                            <w:pPr>
                              <w:pStyle w:val="TableParagraph"/>
                              <w:spacing w:before="151"/>
                              <w:ind w:left="1" w:right="31"/>
                              <w:jc w:val="center"/>
                              <w:rPr>
                                <w:sz w:val="20"/>
                              </w:rPr>
                            </w:pPr>
                            <w:r>
                              <w:rPr>
                                <w:sz w:val="20"/>
                              </w:rPr>
                              <w:t>S-</w:t>
                            </w:r>
                            <w:r>
                              <w:rPr>
                                <w:spacing w:val="-10"/>
                                <w:sz w:val="20"/>
                              </w:rPr>
                              <w:t>1</w:t>
                            </w:r>
                          </w:p>
                        </w:tc>
                        <w:tc>
                          <w:tcPr>
                            <w:tcW w:w="1073" w:type="dxa"/>
                          </w:tcPr>
                          <w:p>
                            <w:pPr>
                              <w:pStyle w:val="TableParagraph"/>
                              <w:spacing w:before="151"/>
                              <w:ind w:right="110"/>
                              <w:jc w:val="right"/>
                              <w:rPr>
                                <w:sz w:val="20"/>
                              </w:rPr>
                            </w:pPr>
                            <w:r>
                              <w:rPr>
                                <w:spacing w:val="-2"/>
                                <w:sz w:val="20"/>
                              </w:rPr>
                              <w:t>3/26/14</w:t>
                            </w:r>
                          </w:p>
                        </w:tc>
                        <w:tc>
                          <w:tcPr>
                            <w:tcW w:w="793" w:type="dxa"/>
                          </w:tcPr>
                          <w:p>
                            <w:pPr>
                              <w:pStyle w:val="TableParagraph"/>
                              <w:spacing w:before="151"/>
                              <w:ind w:right="112"/>
                              <w:jc w:val="right"/>
                              <w:rPr>
                                <w:sz w:val="20"/>
                              </w:rPr>
                            </w:pPr>
                            <w:r>
                              <w:rPr>
                                <w:spacing w:val="-4"/>
                                <w:sz w:val="20"/>
                              </w:rPr>
                              <w:t>10.2</w:t>
                            </w:r>
                          </w:p>
                        </w:tc>
                        <w:tc>
                          <w:tcPr>
                            <w:tcW w:w="1178" w:type="dxa"/>
                          </w:tcPr>
                          <w:p>
                            <w:pPr>
                              <w:pStyle w:val="TableParagraph"/>
                              <w:spacing w:before="151"/>
                              <w:ind w:left="14" w:right="10"/>
                              <w:jc w:val="center"/>
                              <w:rPr>
                                <w:sz w:val="20"/>
                              </w:rPr>
                            </w:pPr>
                            <w:r>
                              <w:rPr>
                                <w:sz w:val="20"/>
                              </w:rPr>
                              <w:t>333-</w:t>
                            </w:r>
                            <w:r>
                              <w:rPr>
                                <w:spacing w:val="-2"/>
                                <w:sz w:val="20"/>
                              </w:rPr>
                              <w:t>194817</w:t>
                            </w:r>
                          </w:p>
                        </w:tc>
                        <w:tc>
                          <w:tcPr>
                            <w:tcW w:w="810" w:type="dxa"/>
                          </w:tcPr>
                          <w:p>
                            <w:pPr>
                              <w:pStyle w:val="TableParagraph"/>
                              <w:rPr>
                                <w:sz w:val="18"/>
                              </w:rPr>
                            </w:pPr>
                          </w:p>
                        </w:tc>
                      </w:tr>
                      <w:tr>
                        <w:trPr>
                          <w:trHeight w:val="741" w:hRule="atLeast"/>
                        </w:trPr>
                        <w:tc>
                          <w:tcPr>
                            <w:tcW w:w="910" w:type="dxa"/>
                          </w:tcPr>
                          <w:p>
                            <w:pPr>
                              <w:pStyle w:val="TableParagraph"/>
                              <w:spacing w:before="161"/>
                              <w:ind w:right="99"/>
                              <w:jc w:val="right"/>
                              <w:rPr>
                                <w:sz w:val="20"/>
                              </w:rPr>
                            </w:pPr>
                            <w:r>
                              <w:rPr>
                                <w:spacing w:val="-2"/>
                                <w:sz w:val="20"/>
                              </w:rPr>
                              <w:t>10.34</w:t>
                            </w:r>
                          </w:p>
                        </w:tc>
                        <w:tc>
                          <w:tcPr>
                            <w:tcW w:w="4793" w:type="dxa"/>
                          </w:tcPr>
                          <w:p>
                            <w:pPr>
                              <w:pStyle w:val="TableParagraph"/>
                              <w:spacing w:line="208" w:lineRule="auto" w:before="186"/>
                              <w:ind w:left="100" w:right="107"/>
                              <w:rPr>
                                <w:sz w:val="20"/>
                              </w:rPr>
                            </w:pPr>
                            <w:r>
                              <w:rPr>
                                <w:sz w:val="20"/>
                              </w:rPr>
                              <w:t>TubeMogul,</w:t>
                            </w:r>
                            <w:r>
                              <w:rPr>
                                <w:spacing w:val="-7"/>
                                <w:sz w:val="20"/>
                              </w:rPr>
                              <w:t> </w:t>
                            </w:r>
                            <w:r>
                              <w:rPr>
                                <w:sz w:val="20"/>
                              </w:rPr>
                              <w:t>Inc.</w:t>
                            </w:r>
                            <w:r>
                              <w:rPr>
                                <w:spacing w:val="-7"/>
                                <w:sz w:val="20"/>
                              </w:rPr>
                              <w:t> </w:t>
                            </w:r>
                            <w:r>
                              <w:rPr>
                                <w:sz w:val="20"/>
                              </w:rPr>
                              <w:t>2014</w:t>
                            </w:r>
                            <w:r>
                              <w:rPr>
                                <w:spacing w:val="-7"/>
                                <w:sz w:val="20"/>
                              </w:rPr>
                              <w:t> </w:t>
                            </w:r>
                            <w:r>
                              <w:rPr>
                                <w:sz w:val="20"/>
                              </w:rPr>
                              <w:t>Equity</w:t>
                            </w:r>
                            <w:r>
                              <w:rPr>
                                <w:spacing w:val="-7"/>
                                <w:sz w:val="20"/>
                              </w:rPr>
                              <w:t> </w:t>
                            </w:r>
                            <w:r>
                              <w:rPr>
                                <w:sz w:val="20"/>
                              </w:rPr>
                              <w:t>Incentive</w:t>
                            </w:r>
                            <w:r>
                              <w:rPr>
                                <w:spacing w:val="-7"/>
                                <w:sz w:val="20"/>
                              </w:rPr>
                              <w:t> </w:t>
                            </w:r>
                            <w:r>
                              <w:rPr>
                                <w:sz w:val="20"/>
                              </w:rPr>
                              <w:t>Plan,</w:t>
                            </w:r>
                            <w:r>
                              <w:rPr>
                                <w:spacing w:val="-7"/>
                                <w:sz w:val="20"/>
                              </w:rPr>
                              <w:t> </w:t>
                            </w:r>
                            <w:r>
                              <w:rPr>
                                <w:sz w:val="20"/>
                              </w:rPr>
                              <w:t>and</w:t>
                            </w:r>
                            <w:r>
                              <w:rPr>
                                <w:spacing w:val="-7"/>
                                <w:sz w:val="20"/>
                              </w:rPr>
                              <w:t> </w:t>
                            </w:r>
                            <w:r>
                              <w:rPr>
                                <w:sz w:val="20"/>
                              </w:rPr>
                              <w:t>forms of agreement thereunder††*</w:t>
                            </w:r>
                          </w:p>
                        </w:tc>
                        <w:tc>
                          <w:tcPr>
                            <w:tcW w:w="686" w:type="dxa"/>
                          </w:tcPr>
                          <w:p>
                            <w:pPr>
                              <w:pStyle w:val="TableParagraph"/>
                              <w:spacing w:before="161"/>
                              <w:ind w:left="12" w:right="31"/>
                              <w:jc w:val="center"/>
                              <w:rPr>
                                <w:sz w:val="20"/>
                              </w:rPr>
                            </w:pPr>
                            <w:r>
                              <w:rPr>
                                <w:spacing w:val="-2"/>
                                <w:sz w:val="20"/>
                              </w:rPr>
                              <w:t>S-</w:t>
                            </w:r>
                            <w:r>
                              <w:rPr>
                                <w:spacing w:val="-5"/>
                                <w:sz w:val="20"/>
                              </w:rPr>
                              <w:t>1A</w:t>
                            </w:r>
                          </w:p>
                        </w:tc>
                        <w:tc>
                          <w:tcPr>
                            <w:tcW w:w="1073" w:type="dxa"/>
                          </w:tcPr>
                          <w:p>
                            <w:pPr>
                              <w:pStyle w:val="TableParagraph"/>
                              <w:spacing w:before="161"/>
                              <w:ind w:right="110"/>
                              <w:jc w:val="right"/>
                              <w:rPr>
                                <w:sz w:val="20"/>
                              </w:rPr>
                            </w:pPr>
                            <w:r>
                              <w:rPr>
                                <w:spacing w:val="-2"/>
                                <w:sz w:val="20"/>
                              </w:rPr>
                              <w:t>7/7/14</w:t>
                            </w:r>
                          </w:p>
                        </w:tc>
                        <w:tc>
                          <w:tcPr>
                            <w:tcW w:w="793" w:type="dxa"/>
                          </w:tcPr>
                          <w:p>
                            <w:pPr>
                              <w:pStyle w:val="TableParagraph"/>
                              <w:spacing w:before="161"/>
                              <w:ind w:right="112"/>
                              <w:jc w:val="right"/>
                              <w:rPr>
                                <w:sz w:val="20"/>
                              </w:rPr>
                            </w:pPr>
                            <w:r>
                              <w:rPr>
                                <w:spacing w:val="-4"/>
                                <w:sz w:val="20"/>
                              </w:rPr>
                              <w:t>10.3</w:t>
                            </w:r>
                          </w:p>
                        </w:tc>
                        <w:tc>
                          <w:tcPr>
                            <w:tcW w:w="1178" w:type="dxa"/>
                          </w:tcPr>
                          <w:p>
                            <w:pPr>
                              <w:pStyle w:val="TableParagraph"/>
                              <w:spacing w:before="161"/>
                              <w:ind w:left="14" w:right="10"/>
                              <w:jc w:val="center"/>
                              <w:rPr>
                                <w:sz w:val="20"/>
                              </w:rPr>
                            </w:pPr>
                            <w:r>
                              <w:rPr>
                                <w:sz w:val="20"/>
                              </w:rPr>
                              <w:t>333-</w:t>
                            </w:r>
                            <w:r>
                              <w:rPr>
                                <w:spacing w:val="-2"/>
                                <w:sz w:val="20"/>
                              </w:rPr>
                              <w:t>194817</w:t>
                            </w:r>
                          </w:p>
                        </w:tc>
                        <w:tc>
                          <w:tcPr>
                            <w:tcW w:w="810" w:type="dxa"/>
                          </w:tcPr>
                          <w:p>
                            <w:pPr>
                              <w:pStyle w:val="TableParagraph"/>
                              <w:rPr>
                                <w:sz w:val="18"/>
                              </w:rPr>
                            </w:pPr>
                          </w:p>
                        </w:tc>
                      </w:tr>
                      <w:tr>
                        <w:trPr>
                          <w:trHeight w:val="530" w:hRule="atLeast"/>
                        </w:trPr>
                        <w:tc>
                          <w:tcPr>
                            <w:tcW w:w="910" w:type="dxa"/>
                          </w:tcPr>
                          <w:p>
                            <w:pPr>
                              <w:pStyle w:val="TableParagraph"/>
                              <w:spacing w:before="140"/>
                              <w:ind w:right="99"/>
                              <w:jc w:val="right"/>
                              <w:rPr>
                                <w:sz w:val="20"/>
                              </w:rPr>
                            </w:pPr>
                            <w:r>
                              <w:rPr>
                                <w:spacing w:val="-4"/>
                                <w:sz w:val="20"/>
                              </w:rPr>
                              <w:t>12.1</w:t>
                            </w:r>
                          </w:p>
                        </w:tc>
                        <w:tc>
                          <w:tcPr>
                            <w:tcW w:w="4793" w:type="dxa"/>
                          </w:tcPr>
                          <w:p>
                            <w:pPr>
                              <w:pStyle w:val="TableParagraph"/>
                              <w:spacing w:before="140"/>
                              <w:ind w:left="100"/>
                              <w:rPr>
                                <w:sz w:val="20"/>
                              </w:rPr>
                            </w:pPr>
                            <w:r>
                              <w:rPr>
                                <w:sz w:val="20"/>
                              </w:rPr>
                              <w:t>Ratio</w:t>
                            </w:r>
                            <w:r>
                              <w:rPr>
                                <w:spacing w:val="-2"/>
                                <w:sz w:val="20"/>
                              </w:rPr>
                              <w:t> </w:t>
                            </w:r>
                            <w:r>
                              <w:rPr>
                                <w:sz w:val="20"/>
                              </w:rPr>
                              <w:t>of</w:t>
                            </w:r>
                            <w:r>
                              <w:rPr>
                                <w:spacing w:val="-1"/>
                                <w:sz w:val="20"/>
                              </w:rPr>
                              <w:t> </w:t>
                            </w:r>
                            <w:r>
                              <w:rPr>
                                <w:sz w:val="20"/>
                              </w:rPr>
                              <w:t>Earnings</w:t>
                            </w:r>
                            <w:r>
                              <w:rPr>
                                <w:spacing w:val="-3"/>
                                <w:sz w:val="20"/>
                              </w:rPr>
                              <w:t> </w:t>
                            </w:r>
                            <w:r>
                              <w:rPr>
                                <w:sz w:val="20"/>
                              </w:rPr>
                              <w:t>to</w:t>
                            </w:r>
                            <w:r>
                              <w:rPr>
                                <w:spacing w:val="-1"/>
                                <w:sz w:val="20"/>
                              </w:rPr>
                              <w:t> </w:t>
                            </w:r>
                            <w:r>
                              <w:rPr>
                                <w:sz w:val="20"/>
                              </w:rPr>
                              <w:t>Fixed</w:t>
                            </w:r>
                            <w:r>
                              <w:rPr>
                                <w:spacing w:val="-1"/>
                                <w:sz w:val="20"/>
                              </w:rPr>
                              <w:t> </w:t>
                            </w:r>
                            <w:r>
                              <w:rPr>
                                <w:spacing w:val="-2"/>
                                <w:sz w:val="20"/>
                              </w:rPr>
                              <w:t>Charges</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40"/>
                              <w:ind w:left="32" w:right="10"/>
                              <w:jc w:val="center"/>
                              <w:rPr>
                                <w:sz w:val="20"/>
                              </w:rPr>
                            </w:pPr>
                            <w:r>
                              <w:rPr>
                                <w:spacing w:val="-10"/>
                                <w:sz w:val="20"/>
                              </w:rPr>
                              <w:t>X</w:t>
                            </w:r>
                          </w:p>
                        </w:tc>
                      </w:tr>
                      <w:tr>
                        <w:trPr>
                          <w:trHeight w:val="540" w:hRule="atLeast"/>
                        </w:trPr>
                        <w:tc>
                          <w:tcPr>
                            <w:tcW w:w="910" w:type="dxa"/>
                          </w:tcPr>
                          <w:p>
                            <w:pPr>
                              <w:pStyle w:val="TableParagraph"/>
                              <w:spacing w:before="150"/>
                              <w:ind w:right="99"/>
                              <w:jc w:val="right"/>
                              <w:rPr>
                                <w:sz w:val="20"/>
                              </w:rPr>
                            </w:pPr>
                            <w:r>
                              <w:rPr>
                                <w:spacing w:val="-5"/>
                                <w:sz w:val="20"/>
                              </w:rPr>
                              <w:t>21</w:t>
                            </w:r>
                          </w:p>
                        </w:tc>
                        <w:tc>
                          <w:tcPr>
                            <w:tcW w:w="4793" w:type="dxa"/>
                          </w:tcPr>
                          <w:p>
                            <w:pPr>
                              <w:pStyle w:val="TableParagraph"/>
                              <w:spacing w:before="150"/>
                              <w:ind w:left="100"/>
                              <w:rPr>
                                <w:sz w:val="20"/>
                              </w:rPr>
                            </w:pPr>
                            <w:r>
                              <w:rPr>
                                <w:sz w:val="20"/>
                              </w:rPr>
                              <w:t>Subsidiaries</w:t>
                            </w:r>
                            <w:r>
                              <w:rPr>
                                <w:spacing w:val="-5"/>
                                <w:sz w:val="20"/>
                              </w:rPr>
                              <w:t> </w:t>
                            </w:r>
                            <w:r>
                              <w:rPr>
                                <w:sz w:val="20"/>
                              </w:rPr>
                              <w:t>of</w:t>
                            </w:r>
                            <w:r>
                              <w:rPr>
                                <w:spacing w:val="-4"/>
                                <w:sz w:val="20"/>
                              </w:rPr>
                              <w:t> </w:t>
                            </w:r>
                            <w:r>
                              <w:rPr>
                                <w:sz w:val="20"/>
                              </w:rPr>
                              <w:t>the</w:t>
                            </w:r>
                            <w:r>
                              <w:rPr>
                                <w:spacing w:val="-3"/>
                                <w:sz w:val="20"/>
                              </w:rPr>
                              <w:t> </w:t>
                            </w:r>
                            <w:r>
                              <w:rPr>
                                <w:spacing w:val="-2"/>
                                <w:sz w:val="20"/>
                              </w:rPr>
                              <w:t>Registrant</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740" w:hRule="atLeast"/>
                        </w:trPr>
                        <w:tc>
                          <w:tcPr>
                            <w:tcW w:w="910" w:type="dxa"/>
                          </w:tcPr>
                          <w:p>
                            <w:pPr>
                              <w:pStyle w:val="TableParagraph"/>
                              <w:spacing w:before="150"/>
                              <w:ind w:right="99"/>
                              <w:jc w:val="right"/>
                              <w:rPr>
                                <w:sz w:val="20"/>
                              </w:rPr>
                            </w:pPr>
                            <w:r>
                              <w:rPr>
                                <w:spacing w:val="-4"/>
                                <w:sz w:val="20"/>
                              </w:rPr>
                              <w:t>23.1</w:t>
                            </w:r>
                          </w:p>
                        </w:tc>
                        <w:tc>
                          <w:tcPr>
                            <w:tcW w:w="4793" w:type="dxa"/>
                          </w:tcPr>
                          <w:p>
                            <w:pPr>
                              <w:pStyle w:val="TableParagraph"/>
                              <w:spacing w:line="208" w:lineRule="auto" w:before="175"/>
                              <w:ind w:left="100" w:right="107"/>
                              <w:rPr>
                                <w:sz w:val="20"/>
                              </w:rPr>
                            </w:pPr>
                            <w:r>
                              <w:rPr>
                                <w:sz w:val="20"/>
                              </w:rPr>
                              <w:t>Consent</w:t>
                            </w:r>
                            <w:r>
                              <w:rPr>
                                <w:spacing w:val="-13"/>
                                <w:sz w:val="20"/>
                              </w:rPr>
                              <w:t> </w:t>
                            </w:r>
                            <w:r>
                              <w:rPr>
                                <w:sz w:val="20"/>
                              </w:rPr>
                              <w:t>of</w:t>
                            </w:r>
                            <w:r>
                              <w:rPr>
                                <w:spacing w:val="-8"/>
                                <w:sz w:val="20"/>
                              </w:rPr>
                              <w:t> </w:t>
                            </w:r>
                            <w:r>
                              <w:rPr>
                                <w:sz w:val="20"/>
                              </w:rPr>
                              <w:t>Independent</w:t>
                            </w:r>
                            <w:r>
                              <w:rPr>
                                <w:spacing w:val="-8"/>
                                <w:sz w:val="20"/>
                              </w:rPr>
                              <w:t> </w:t>
                            </w:r>
                            <w:r>
                              <w:rPr>
                                <w:sz w:val="20"/>
                              </w:rPr>
                              <w:t>Registered</w:t>
                            </w:r>
                            <w:r>
                              <w:rPr>
                                <w:spacing w:val="-8"/>
                                <w:sz w:val="20"/>
                              </w:rPr>
                              <w:t> </w:t>
                            </w:r>
                            <w:r>
                              <w:rPr>
                                <w:sz w:val="20"/>
                              </w:rPr>
                              <w:t>Public</w:t>
                            </w:r>
                            <w:r>
                              <w:rPr>
                                <w:spacing w:val="-13"/>
                                <w:sz w:val="20"/>
                              </w:rPr>
                              <w:t> </w:t>
                            </w:r>
                            <w:r>
                              <w:rPr>
                                <w:sz w:val="20"/>
                              </w:rPr>
                              <w:t>Accounting Firm, KPMG LLP</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740" w:hRule="atLeast"/>
                        </w:trPr>
                        <w:tc>
                          <w:tcPr>
                            <w:tcW w:w="910" w:type="dxa"/>
                          </w:tcPr>
                          <w:p>
                            <w:pPr>
                              <w:pStyle w:val="TableParagraph"/>
                              <w:spacing w:before="150"/>
                              <w:ind w:right="99"/>
                              <w:jc w:val="right"/>
                              <w:rPr>
                                <w:sz w:val="20"/>
                              </w:rPr>
                            </w:pPr>
                            <w:r>
                              <w:rPr>
                                <w:spacing w:val="-4"/>
                                <w:sz w:val="20"/>
                              </w:rPr>
                              <w:t>24.1</w:t>
                            </w:r>
                          </w:p>
                        </w:tc>
                        <w:tc>
                          <w:tcPr>
                            <w:tcW w:w="4793" w:type="dxa"/>
                          </w:tcPr>
                          <w:p>
                            <w:pPr>
                              <w:pStyle w:val="TableParagraph"/>
                              <w:spacing w:line="208" w:lineRule="auto" w:before="175"/>
                              <w:ind w:left="100" w:right="107"/>
                              <w:rPr>
                                <w:sz w:val="20"/>
                              </w:rPr>
                            </w:pPr>
                            <w:hyperlink w:history="true" w:anchor="_bookmark43">
                              <w:r>
                                <w:rPr>
                                  <w:sz w:val="20"/>
                                </w:rPr>
                                <w:t>Power</w:t>
                              </w:r>
                              <w:r>
                                <w:rPr>
                                  <w:spacing w:val="-6"/>
                                  <w:sz w:val="20"/>
                                </w:rPr>
                                <w:t> </w:t>
                              </w:r>
                              <w:r>
                                <w:rPr>
                                  <w:sz w:val="20"/>
                                </w:rPr>
                                <w:t>of</w:t>
                              </w:r>
                              <w:r>
                                <w:rPr>
                                  <w:spacing w:val="-13"/>
                                  <w:sz w:val="20"/>
                                </w:rPr>
                                <w:t> </w:t>
                              </w:r>
                              <w:r>
                                <w:rPr>
                                  <w:sz w:val="20"/>
                                </w:rPr>
                                <w:t>Attorney</w:t>
                              </w:r>
                              <w:r>
                                <w:rPr>
                                  <w:spacing w:val="-4"/>
                                  <w:sz w:val="20"/>
                                </w:rPr>
                                <w:t> </w:t>
                              </w:r>
                              <w:r>
                                <w:rPr>
                                  <w:sz w:val="20"/>
                                </w:rPr>
                                <w:t>(set</w:t>
                              </w:r>
                              <w:r>
                                <w:rPr>
                                  <w:spacing w:val="-4"/>
                                  <w:sz w:val="20"/>
                                </w:rPr>
                                <w:t> </w:t>
                              </w:r>
                              <w:r>
                                <w:rPr>
                                  <w:sz w:val="20"/>
                                </w:rPr>
                                <w:t>forth</w:t>
                              </w:r>
                              <w:r>
                                <w:rPr>
                                  <w:spacing w:val="-4"/>
                                  <w:sz w:val="20"/>
                                </w:rPr>
                                <w:t> </w:t>
                              </w:r>
                              <w:r>
                                <w:rPr>
                                  <w:sz w:val="20"/>
                                </w:rPr>
                                <w:t>on</w:t>
                              </w:r>
                              <w:r>
                                <w:rPr>
                                  <w:spacing w:val="-4"/>
                                  <w:sz w:val="20"/>
                                </w:rPr>
                                <w:t> </w:t>
                              </w:r>
                              <w:r>
                                <w:rPr>
                                  <w:sz w:val="20"/>
                                </w:rPr>
                                <w:t>the</w:t>
                              </w:r>
                              <w:r>
                                <w:rPr>
                                  <w:spacing w:val="-4"/>
                                  <w:sz w:val="20"/>
                                </w:rPr>
                                <w:t> </w:t>
                              </w:r>
                              <w:r>
                                <w:rPr>
                                  <w:sz w:val="20"/>
                                </w:rPr>
                                <w:t>signature</w:t>
                              </w:r>
                              <w:r>
                                <w:rPr>
                                  <w:spacing w:val="-4"/>
                                  <w:sz w:val="20"/>
                                </w:rPr>
                                <w:t> </w:t>
                              </w:r>
                              <w:r>
                                <w:rPr>
                                  <w:sz w:val="20"/>
                                </w:rPr>
                                <w:t>page</w:t>
                              </w:r>
                              <w:r>
                                <w:rPr>
                                  <w:spacing w:val="-4"/>
                                  <w:sz w:val="20"/>
                                </w:rPr>
                                <w:t> </w:t>
                              </w:r>
                              <w:r>
                                <w:rPr>
                                  <w:sz w:val="20"/>
                                </w:rPr>
                                <w:t>to</w:t>
                              </w:r>
                              <w:r>
                                <w:rPr>
                                  <w:spacing w:val="-4"/>
                                  <w:sz w:val="20"/>
                                </w:rPr>
                                <w:t> </w:t>
                              </w:r>
                              <w:r>
                                <w:rPr>
                                  <w:sz w:val="20"/>
                                </w:rPr>
                                <w:t>this</w:t>
                              </w:r>
                            </w:hyperlink>
                            <w:r>
                              <w:rPr>
                                <w:sz w:val="20"/>
                              </w:rPr>
                              <w:t> </w:t>
                            </w:r>
                            <w:hyperlink w:history="true" w:anchor="_bookmark43">
                              <w:r>
                                <w:rPr>
                                  <w:sz w:val="20"/>
                                </w:rPr>
                                <w:t>Annual Report on Form 10-K)</w:t>
                              </w:r>
                            </w:hyperlink>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740" w:hRule="atLeast"/>
                        </w:trPr>
                        <w:tc>
                          <w:tcPr>
                            <w:tcW w:w="910" w:type="dxa"/>
                          </w:tcPr>
                          <w:p>
                            <w:pPr>
                              <w:pStyle w:val="TableParagraph"/>
                              <w:spacing w:before="150"/>
                              <w:ind w:right="99"/>
                              <w:jc w:val="right"/>
                              <w:rPr>
                                <w:sz w:val="20"/>
                              </w:rPr>
                            </w:pPr>
                            <w:r>
                              <w:rPr>
                                <w:spacing w:val="-4"/>
                                <w:sz w:val="20"/>
                              </w:rPr>
                              <w:t>31.1</w:t>
                            </w:r>
                          </w:p>
                        </w:tc>
                        <w:tc>
                          <w:tcPr>
                            <w:tcW w:w="4793" w:type="dxa"/>
                          </w:tcPr>
                          <w:p>
                            <w:pPr>
                              <w:pStyle w:val="TableParagraph"/>
                              <w:spacing w:line="208" w:lineRule="auto" w:before="175"/>
                              <w:ind w:left="100" w:right="107"/>
                              <w:rPr>
                                <w:sz w:val="20"/>
                              </w:rPr>
                            </w:pPr>
                            <w:r>
                              <w:rPr>
                                <w:sz w:val="20"/>
                              </w:rPr>
                              <w:t>Certification</w:t>
                            </w:r>
                            <w:r>
                              <w:rPr>
                                <w:spacing w:val="-7"/>
                                <w:sz w:val="20"/>
                              </w:rPr>
                              <w:t> </w:t>
                            </w:r>
                            <w:r>
                              <w:rPr>
                                <w:sz w:val="20"/>
                              </w:rPr>
                              <w:t>of</w:t>
                            </w:r>
                            <w:r>
                              <w:rPr>
                                <w:spacing w:val="-7"/>
                                <w:sz w:val="20"/>
                              </w:rPr>
                              <w:t> </w:t>
                            </w:r>
                            <w:r>
                              <w:rPr>
                                <w:sz w:val="20"/>
                              </w:rPr>
                              <w:t>Chief</w:t>
                            </w:r>
                            <w:r>
                              <w:rPr>
                                <w:spacing w:val="-7"/>
                                <w:sz w:val="20"/>
                              </w:rPr>
                              <w:t> </w:t>
                            </w:r>
                            <w:r>
                              <w:rPr>
                                <w:sz w:val="20"/>
                              </w:rPr>
                              <w:t>Executive</w:t>
                            </w:r>
                            <w:r>
                              <w:rPr>
                                <w:spacing w:val="-7"/>
                                <w:sz w:val="20"/>
                              </w:rPr>
                              <w:t> </w:t>
                            </w:r>
                            <w:r>
                              <w:rPr>
                                <w:sz w:val="20"/>
                              </w:rPr>
                              <w:t>Officer,</w:t>
                            </w:r>
                            <w:r>
                              <w:rPr>
                                <w:spacing w:val="-7"/>
                                <w:sz w:val="20"/>
                              </w:rPr>
                              <w:t> </w:t>
                            </w:r>
                            <w:r>
                              <w:rPr>
                                <w:sz w:val="20"/>
                              </w:rPr>
                              <w:t>as</w:t>
                            </w:r>
                            <w:r>
                              <w:rPr>
                                <w:spacing w:val="-8"/>
                                <w:sz w:val="20"/>
                              </w:rPr>
                              <w:t> </w:t>
                            </w:r>
                            <w:r>
                              <w:rPr>
                                <w:sz w:val="20"/>
                              </w:rPr>
                              <w:t>required</w:t>
                            </w:r>
                            <w:r>
                              <w:rPr>
                                <w:spacing w:val="-7"/>
                                <w:sz w:val="20"/>
                              </w:rPr>
                              <w:t> </w:t>
                            </w:r>
                            <w:r>
                              <w:rPr>
                                <w:sz w:val="20"/>
                              </w:rPr>
                              <w:t>by Rule</w:t>
                            </w:r>
                            <w:r>
                              <w:rPr>
                                <w:spacing w:val="-2"/>
                                <w:sz w:val="20"/>
                              </w:rPr>
                              <w:t> </w:t>
                            </w:r>
                            <w:r>
                              <w:rPr>
                                <w:sz w:val="20"/>
                              </w:rPr>
                              <w:t>13a-14(a)</w:t>
                            </w:r>
                            <w:r>
                              <w:rPr>
                                <w:spacing w:val="-1"/>
                                <w:sz w:val="20"/>
                              </w:rPr>
                              <w:t> </w:t>
                            </w:r>
                            <w:r>
                              <w:rPr>
                                <w:sz w:val="20"/>
                              </w:rPr>
                              <w:t>of</w:t>
                            </w:r>
                            <w:r>
                              <w:rPr>
                                <w:spacing w:val="-1"/>
                                <w:sz w:val="20"/>
                              </w:rPr>
                              <w:t> </w:t>
                            </w:r>
                            <w:r>
                              <w:rPr>
                                <w:sz w:val="20"/>
                              </w:rPr>
                              <w:t>the</w:t>
                            </w:r>
                            <w:r>
                              <w:rPr>
                                <w:spacing w:val="-2"/>
                                <w:sz w:val="20"/>
                              </w:rPr>
                              <w:t> </w:t>
                            </w:r>
                            <w:r>
                              <w:rPr>
                                <w:sz w:val="20"/>
                              </w:rPr>
                              <w:t>Securities</w:t>
                            </w:r>
                            <w:r>
                              <w:rPr>
                                <w:spacing w:val="-2"/>
                                <w:sz w:val="20"/>
                              </w:rPr>
                              <w:t> </w:t>
                            </w:r>
                            <w:r>
                              <w:rPr>
                                <w:sz w:val="20"/>
                              </w:rPr>
                              <w:t>Exchange</w:t>
                            </w:r>
                            <w:r>
                              <w:rPr>
                                <w:spacing w:val="-12"/>
                                <w:sz w:val="20"/>
                              </w:rPr>
                              <w:t> </w:t>
                            </w:r>
                            <w:r>
                              <w:rPr>
                                <w:sz w:val="20"/>
                              </w:rPr>
                              <w:t>Act</w:t>
                            </w:r>
                            <w:r>
                              <w:rPr>
                                <w:spacing w:val="-1"/>
                                <w:sz w:val="20"/>
                              </w:rPr>
                              <w:t> </w:t>
                            </w:r>
                            <w:r>
                              <w:rPr>
                                <w:sz w:val="20"/>
                              </w:rPr>
                              <w:t>of</w:t>
                            </w:r>
                            <w:r>
                              <w:rPr>
                                <w:spacing w:val="-1"/>
                                <w:sz w:val="20"/>
                              </w:rPr>
                              <w:t> </w:t>
                            </w:r>
                            <w:r>
                              <w:rPr>
                                <w:spacing w:val="-4"/>
                                <w:sz w:val="20"/>
                              </w:rPr>
                              <w:t>1934</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740" w:hRule="atLeast"/>
                        </w:trPr>
                        <w:tc>
                          <w:tcPr>
                            <w:tcW w:w="910" w:type="dxa"/>
                          </w:tcPr>
                          <w:p>
                            <w:pPr>
                              <w:pStyle w:val="TableParagraph"/>
                              <w:spacing w:before="150"/>
                              <w:ind w:right="99"/>
                              <w:jc w:val="right"/>
                              <w:rPr>
                                <w:sz w:val="20"/>
                              </w:rPr>
                            </w:pPr>
                            <w:r>
                              <w:rPr>
                                <w:spacing w:val="-4"/>
                                <w:sz w:val="20"/>
                              </w:rPr>
                              <w:t>31.2</w:t>
                            </w:r>
                          </w:p>
                        </w:tc>
                        <w:tc>
                          <w:tcPr>
                            <w:tcW w:w="4793" w:type="dxa"/>
                          </w:tcPr>
                          <w:p>
                            <w:pPr>
                              <w:pStyle w:val="TableParagraph"/>
                              <w:spacing w:line="208" w:lineRule="auto" w:before="175"/>
                              <w:ind w:left="100" w:right="107"/>
                              <w:rPr>
                                <w:sz w:val="20"/>
                              </w:rPr>
                            </w:pPr>
                            <w:r>
                              <w:rPr>
                                <w:sz w:val="20"/>
                              </w:rPr>
                              <w:t>Certification</w:t>
                            </w:r>
                            <w:r>
                              <w:rPr>
                                <w:spacing w:val="-4"/>
                                <w:sz w:val="20"/>
                              </w:rPr>
                              <w:t> </w:t>
                            </w:r>
                            <w:r>
                              <w:rPr>
                                <w:sz w:val="20"/>
                              </w:rPr>
                              <w:t>of</w:t>
                            </w:r>
                            <w:r>
                              <w:rPr>
                                <w:spacing w:val="-4"/>
                                <w:sz w:val="20"/>
                              </w:rPr>
                              <w:t> </w:t>
                            </w:r>
                            <w:r>
                              <w:rPr>
                                <w:sz w:val="20"/>
                              </w:rPr>
                              <w:t>Chief</w:t>
                            </w:r>
                            <w:r>
                              <w:rPr>
                                <w:spacing w:val="-4"/>
                                <w:sz w:val="20"/>
                              </w:rPr>
                              <w:t> </w:t>
                            </w:r>
                            <w:r>
                              <w:rPr>
                                <w:sz w:val="20"/>
                              </w:rPr>
                              <w:t>Financial</w:t>
                            </w:r>
                            <w:r>
                              <w:rPr>
                                <w:spacing w:val="-4"/>
                                <w:sz w:val="20"/>
                              </w:rPr>
                              <w:t> </w:t>
                            </w:r>
                            <w:r>
                              <w:rPr>
                                <w:sz w:val="20"/>
                              </w:rPr>
                              <w:t>Officer,</w:t>
                            </w:r>
                            <w:r>
                              <w:rPr>
                                <w:spacing w:val="-4"/>
                                <w:sz w:val="20"/>
                              </w:rPr>
                              <w:t> </w:t>
                            </w:r>
                            <w:r>
                              <w:rPr>
                                <w:sz w:val="20"/>
                              </w:rPr>
                              <w:t>as</w:t>
                            </w:r>
                            <w:r>
                              <w:rPr>
                                <w:spacing w:val="-5"/>
                                <w:sz w:val="20"/>
                              </w:rPr>
                              <w:t> </w:t>
                            </w:r>
                            <w:r>
                              <w:rPr>
                                <w:sz w:val="20"/>
                              </w:rPr>
                              <w:t>required</w:t>
                            </w:r>
                            <w:r>
                              <w:rPr>
                                <w:spacing w:val="-4"/>
                                <w:sz w:val="20"/>
                              </w:rPr>
                              <w:t> </w:t>
                            </w:r>
                            <w:r>
                              <w:rPr>
                                <w:sz w:val="20"/>
                              </w:rPr>
                              <w:t>by Rule</w:t>
                            </w:r>
                            <w:r>
                              <w:rPr>
                                <w:spacing w:val="-2"/>
                                <w:sz w:val="20"/>
                              </w:rPr>
                              <w:t> </w:t>
                            </w:r>
                            <w:r>
                              <w:rPr>
                                <w:sz w:val="20"/>
                              </w:rPr>
                              <w:t>13a-14(a)</w:t>
                            </w:r>
                            <w:r>
                              <w:rPr>
                                <w:spacing w:val="-1"/>
                                <w:sz w:val="20"/>
                              </w:rPr>
                              <w:t> </w:t>
                            </w:r>
                            <w:r>
                              <w:rPr>
                                <w:sz w:val="20"/>
                              </w:rPr>
                              <w:t>of</w:t>
                            </w:r>
                            <w:r>
                              <w:rPr>
                                <w:spacing w:val="-1"/>
                                <w:sz w:val="20"/>
                              </w:rPr>
                              <w:t> </w:t>
                            </w:r>
                            <w:r>
                              <w:rPr>
                                <w:sz w:val="20"/>
                              </w:rPr>
                              <w:t>the</w:t>
                            </w:r>
                            <w:r>
                              <w:rPr>
                                <w:spacing w:val="-2"/>
                                <w:sz w:val="20"/>
                              </w:rPr>
                              <w:t> </w:t>
                            </w:r>
                            <w:r>
                              <w:rPr>
                                <w:sz w:val="20"/>
                              </w:rPr>
                              <w:t>Securities</w:t>
                            </w:r>
                            <w:r>
                              <w:rPr>
                                <w:spacing w:val="-2"/>
                                <w:sz w:val="20"/>
                              </w:rPr>
                              <w:t> </w:t>
                            </w:r>
                            <w:r>
                              <w:rPr>
                                <w:sz w:val="20"/>
                              </w:rPr>
                              <w:t>Exchange</w:t>
                            </w:r>
                            <w:r>
                              <w:rPr>
                                <w:spacing w:val="-12"/>
                                <w:sz w:val="20"/>
                              </w:rPr>
                              <w:t> </w:t>
                            </w:r>
                            <w:r>
                              <w:rPr>
                                <w:sz w:val="20"/>
                              </w:rPr>
                              <w:t>Act</w:t>
                            </w:r>
                            <w:r>
                              <w:rPr>
                                <w:spacing w:val="-1"/>
                                <w:sz w:val="20"/>
                              </w:rPr>
                              <w:t> </w:t>
                            </w:r>
                            <w:r>
                              <w:rPr>
                                <w:sz w:val="20"/>
                              </w:rPr>
                              <w:t>of</w:t>
                            </w:r>
                            <w:r>
                              <w:rPr>
                                <w:spacing w:val="-1"/>
                                <w:sz w:val="20"/>
                              </w:rPr>
                              <w:t> </w:t>
                            </w:r>
                            <w:r>
                              <w:rPr>
                                <w:spacing w:val="-4"/>
                                <w:sz w:val="20"/>
                              </w:rPr>
                              <w:t>1934</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740" w:hRule="atLeast"/>
                        </w:trPr>
                        <w:tc>
                          <w:tcPr>
                            <w:tcW w:w="910" w:type="dxa"/>
                          </w:tcPr>
                          <w:p>
                            <w:pPr>
                              <w:pStyle w:val="TableParagraph"/>
                              <w:spacing w:before="150"/>
                              <w:ind w:right="99"/>
                              <w:jc w:val="right"/>
                              <w:rPr>
                                <w:sz w:val="20"/>
                              </w:rPr>
                            </w:pPr>
                            <w:r>
                              <w:rPr>
                                <w:spacing w:val="-4"/>
                                <w:sz w:val="20"/>
                              </w:rPr>
                              <w:t>32.1</w:t>
                            </w:r>
                          </w:p>
                        </w:tc>
                        <w:tc>
                          <w:tcPr>
                            <w:tcW w:w="4793" w:type="dxa"/>
                          </w:tcPr>
                          <w:p>
                            <w:pPr>
                              <w:pStyle w:val="TableParagraph"/>
                              <w:spacing w:line="208" w:lineRule="auto" w:before="175"/>
                              <w:ind w:left="100" w:right="107"/>
                              <w:rPr>
                                <w:sz w:val="20"/>
                              </w:rPr>
                            </w:pPr>
                            <w:r>
                              <w:rPr>
                                <w:sz w:val="20"/>
                              </w:rPr>
                              <w:t>Certification of Chief Executive Officer, as required by Rule</w:t>
                            </w:r>
                            <w:r>
                              <w:rPr>
                                <w:spacing w:val="-8"/>
                                <w:sz w:val="20"/>
                              </w:rPr>
                              <w:t> </w:t>
                            </w:r>
                            <w:r>
                              <w:rPr>
                                <w:sz w:val="20"/>
                              </w:rPr>
                              <w:t>13a-14(b)</w:t>
                            </w:r>
                            <w:r>
                              <w:rPr>
                                <w:spacing w:val="-5"/>
                                <w:sz w:val="20"/>
                              </w:rPr>
                              <w:t> </w:t>
                            </w:r>
                            <w:r>
                              <w:rPr>
                                <w:sz w:val="20"/>
                              </w:rPr>
                              <w:t>of</w:t>
                            </w:r>
                            <w:r>
                              <w:rPr>
                                <w:spacing w:val="-5"/>
                                <w:sz w:val="20"/>
                              </w:rPr>
                              <w:t> </w:t>
                            </w:r>
                            <w:r>
                              <w:rPr>
                                <w:sz w:val="20"/>
                              </w:rPr>
                              <w:t>the</w:t>
                            </w:r>
                            <w:r>
                              <w:rPr>
                                <w:spacing w:val="-5"/>
                                <w:sz w:val="20"/>
                              </w:rPr>
                              <w:t> </w:t>
                            </w:r>
                            <w:r>
                              <w:rPr>
                                <w:sz w:val="20"/>
                              </w:rPr>
                              <w:t>Securities</w:t>
                            </w:r>
                            <w:r>
                              <w:rPr>
                                <w:spacing w:val="-6"/>
                                <w:sz w:val="20"/>
                              </w:rPr>
                              <w:t> </w:t>
                            </w:r>
                            <w:r>
                              <w:rPr>
                                <w:sz w:val="20"/>
                              </w:rPr>
                              <w:t>Exchange</w:t>
                            </w:r>
                            <w:r>
                              <w:rPr>
                                <w:spacing w:val="-13"/>
                                <w:sz w:val="20"/>
                              </w:rPr>
                              <w:t> </w:t>
                            </w:r>
                            <w:r>
                              <w:rPr>
                                <w:sz w:val="20"/>
                              </w:rPr>
                              <w:t>Act</w:t>
                            </w:r>
                            <w:r>
                              <w:rPr>
                                <w:spacing w:val="-5"/>
                                <w:sz w:val="20"/>
                              </w:rPr>
                              <w:t> </w:t>
                            </w:r>
                            <w:r>
                              <w:rPr>
                                <w:sz w:val="20"/>
                              </w:rPr>
                              <w:t>of</w:t>
                            </w:r>
                            <w:r>
                              <w:rPr>
                                <w:spacing w:val="-5"/>
                                <w:sz w:val="20"/>
                              </w:rPr>
                              <w:t> </w:t>
                            </w:r>
                            <w:r>
                              <w:rPr>
                                <w:sz w:val="20"/>
                              </w:rPr>
                              <w:t>1934†</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750" w:hRule="atLeast"/>
                        </w:trPr>
                        <w:tc>
                          <w:tcPr>
                            <w:tcW w:w="910" w:type="dxa"/>
                          </w:tcPr>
                          <w:p>
                            <w:pPr>
                              <w:pStyle w:val="TableParagraph"/>
                              <w:spacing w:before="150"/>
                              <w:ind w:right="99"/>
                              <w:jc w:val="right"/>
                              <w:rPr>
                                <w:sz w:val="20"/>
                              </w:rPr>
                            </w:pPr>
                            <w:r>
                              <w:rPr>
                                <w:spacing w:val="-4"/>
                                <w:sz w:val="20"/>
                              </w:rPr>
                              <w:t>32.2</w:t>
                            </w:r>
                          </w:p>
                        </w:tc>
                        <w:tc>
                          <w:tcPr>
                            <w:tcW w:w="4793" w:type="dxa"/>
                          </w:tcPr>
                          <w:p>
                            <w:pPr>
                              <w:pStyle w:val="TableParagraph"/>
                              <w:spacing w:line="208" w:lineRule="auto" w:before="175"/>
                              <w:ind w:left="100" w:right="107"/>
                              <w:rPr>
                                <w:sz w:val="20"/>
                              </w:rPr>
                            </w:pPr>
                            <w:r>
                              <w:rPr>
                                <w:sz w:val="20"/>
                              </w:rPr>
                              <w:t>Certification of Chief Financial Officer, as required by Rule</w:t>
                            </w:r>
                            <w:r>
                              <w:rPr>
                                <w:spacing w:val="-8"/>
                                <w:sz w:val="20"/>
                              </w:rPr>
                              <w:t> </w:t>
                            </w:r>
                            <w:r>
                              <w:rPr>
                                <w:sz w:val="20"/>
                              </w:rPr>
                              <w:t>13a-14(b)</w:t>
                            </w:r>
                            <w:r>
                              <w:rPr>
                                <w:spacing w:val="-5"/>
                                <w:sz w:val="20"/>
                              </w:rPr>
                              <w:t> </w:t>
                            </w:r>
                            <w:r>
                              <w:rPr>
                                <w:sz w:val="20"/>
                              </w:rPr>
                              <w:t>of</w:t>
                            </w:r>
                            <w:r>
                              <w:rPr>
                                <w:spacing w:val="-5"/>
                                <w:sz w:val="20"/>
                              </w:rPr>
                              <w:t> </w:t>
                            </w:r>
                            <w:r>
                              <w:rPr>
                                <w:sz w:val="20"/>
                              </w:rPr>
                              <w:t>the</w:t>
                            </w:r>
                            <w:r>
                              <w:rPr>
                                <w:spacing w:val="-5"/>
                                <w:sz w:val="20"/>
                              </w:rPr>
                              <w:t> </w:t>
                            </w:r>
                            <w:r>
                              <w:rPr>
                                <w:sz w:val="20"/>
                              </w:rPr>
                              <w:t>Securities</w:t>
                            </w:r>
                            <w:r>
                              <w:rPr>
                                <w:spacing w:val="-6"/>
                                <w:sz w:val="20"/>
                              </w:rPr>
                              <w:t> </w:t>
                            </w:r>
                            <w:r>
                              <w:rPr>
                                <w:sz w:val="20"/>
                              </w:rPr>
                              <w:t>Exchange</w:t>
                            </w:r>
                            <w:r>
                              <w:rPr>
                                <w:spacing w:val="-13"/>
                                <w:sz w:val="20"/>
                              </w:rPr>
                              <w:t> </w:t>
                            </w:r>
                            <w:r>
                              <w:rPr>
                                <w:sz w:val="20"/>
                              </w:rPr>
                              <w:t>Act</w:t>
                            </w:r>
                            <w:r>
                              <w:rPr>
                                <w:spacing w:val="-5"/>
                                <w:sz w:val="20"/>
                              </w:rPr>
                              <w:t> </w:t>
                            </w:r>
                            <w:r>
                              <w:rPr>
                                <w:sz w:val="20"/>
                              </w:rPr>
                              <w:t>of</w:t>
                            </w:r>
                            <w:r>
                              <w:rPr>
                                <w:spacing w:val="-5"/>
                                <w:sz w:val="20"/>
                              </w:rPr>
                              <w:t> </w:t>
                            </w:r>
                            <w:r>
                              <w:rPr>
                                <w:sz w:val="20"/>
                              </w:rPr>
                              <w:t>1934†</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970" w:hRule="atLeast"/>
                        </w:trPr>
                        <w:tc>
                          <w:tcPr>
                            <w:tcW w:w="910" w:type="dxa"/>
                          </w:tcPr>
                          <w:p>
                            <w:pPr>
                              <w:pStyle w:val="TableParagraph"/>
                              <w:spacing w:before="160"/>
                              <w:ind w:right="99"/>
                              <w:jc w:val="right"/>
                              <w:rPr>
                                <w:sz w:val="20"/>
                              </w:rPr>
                            </w:pPr>
                            <w:r>
                              <w:rPr>
                                <w:spacing w:val="-4"/>
                                <w:sz w:val="20"/>
                              </w:rPr>
                              <w:t>99.1</w:t>
                            </w:r>
                          </w:p>
                        </w:tc>
                        <w:tc>
                          <w:tcPr>
                            <w:tcW w:w="4793" w:type="dxa"/>
                          </w:tcPr>
                          <w:p>
                            <w:pPr>
                              <w:pStyle w:val="TableParagraph"/>
                              <w:spacing w:line="208" w:lineRule="auto" w:before="185"/>
                              <w:ind w:left="100" w:right="107"/>
                              <w:rPr>
                                <w:sz w:val="20"/>
                              </w:rPr>
                            </w:pPr>
                            <w:r>
                              <w:rPr>
                                <w:sz w:val="20"/>
                              </w:rPr>
                              <w:t>Press</w:t>
                            </w:r>
                            <w:r>
                              <w:rPr>
                                <w:spacing w:val="-6"/>
                                <w:sz w:val="20"/>
                              </w:rPr>
                              <w:t> </w:t>
                            </w:r>
                            <w:r>
                              <w:rPr>
                                <w:sz w:val="20"/>
                              </w:rPr>
                              <w:t>release</w:t>
                            </w:r>
                            <w:r>
                              <w:rPr>
                                <w:spacing w:val="-5"/>
                                <w:sz w:val="20"/>
                              </w:rPr>
                              <w:t> </w:t>
                            </w:r>
                            <w:r>
                              <w:rPr>
                                <w:sz w:val="20"/>
                              </w:rPr>
                              <w:t>issued</w:t>
                            </w:r>
                            <w:r>
                              <w:rPr>
                                <w:spacing w:val="-5"/>
                                <w:sz w:val="20"/>
                              </w:rPr>
                              <w:t> </w:t>
                            </w:r>
                            <w:r>
                              <w:rPr>
                                <w:sz w:val="20"/>
                              </w:rPr>
                              <w:t>on</w:t>
                            </w:r>
                            <w:r>
                              <w:rPr>
                                <w:spacing w:val="-5"/>
                                <w:sz w:val="20"/>
                              </w:rPr>
                              <w:t> </w:t>
                            </w:r>
                            <w:r>
                              <w:rPr>
                                <w:sz w:val="20"/>
                              </w:rPr>
                              <w:t>January</w:t>
                            </w:r>
                            <w:r>
                              <w:rPr>
                                <w:spacing w:val="-5"/>
                                <w:sz w:val="20"/>
                              </w:rPr>
                              <w:t> </w:t>
                            </w:r>
                            <w:r>
                              <w:rPr>
                                <w:sz w:val="20"/>
                              </w:rPr>
                              <w:t>22,</w:t>
                            </w:r>
                            <w:r>
                              <w:rPr>
                                <w:spacing w:val="-5"/>
                                <w:sz w:val="20"/>
                              </w:rPr>
                              <w:t> </w:t>
                            </w:r>
                            <w:r>
                              <w:rPr>
                                <w:sz w:val="20"/>
                              </w:rPr>
                              <w:t>2018</w:t>
                            </w:r>
                            <w:r>
                              <w:rPr>
                                <w:spacing w:val="-5"/>
                                <w:sz w:val="20"/>
                              </w:rPr>
                              <w:t> </w:t>
                            </w:r>
                            <w:r>
                              <w:rPr>
                                <w:sz w:val="20"/>
                              </w:rPr>
                              <w:t>entitled</w:t>
                            </w:r>
                            <w:r>
                              <w:rPr>
                                <w:spacing w:val="-5"/>
                                <w:sz w:val="20"/>
                              </w:rPr>
                              <w:t> </w:t>
                            </w:r>
                            <w:r>
                              <w:rPr>
                                <w:sz w:val="20"/>
                              </w:rPr>
                              <w:t>“Adobe Updates Q1 and Fiscal Year 2018 Financial</w:t>
                            </w:r>
                          </w:p>
                          <w:p>
                            <w:pPr>
                              <w:pStyle w:val="TableParagraph"/>
                              <w:spacing w:line="206" w:lineRule="exact"/>
                              <w:ind w:left="100"/>
                              <w:rPr>
                                <w:sz w:val="20"/>
                              </w:rPr>
                            </w:pPr>
                            <w:r>
                              <w:rPr>
                                <w:spacing w:val="-2"/>
                                <w:sz w:val="20"/>
                              </w:rPr>
                              <w:t>Targets”</w:t>
                            </w:r>
                            <w:r>
                              <w:rPr>
                                <w:spacing w:val="-4"/>
                                <w:sz w:val="20"/>
                              </w:rPr>
                              <w:t> </w:t>
                            </w:r>
                            <w:r>
                              <w:rPr>
                                <w:spacing w:val="-2"/>
                                <w:sz w:val="20"/>
                              </w:rPr>
                              <w:t>(furnished)</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60"/>
                              <w:ind w:left="32" w:right="10"/>
                              <w:jc w:val="center"/>
                              <w:rPr>
                                <w:sz w:val="20"/>
                              </w:rPr>
                            </w:pPr>
                            <w:r>
                              <w:rPr>
                                <w:spacing w:val="-10"/>
                                <w:sz w:val="20"/>
                              </w:rPr>
                              <w:t>X</w:t>
                            </w:r>
                          </w:p>
                        </w:tc>
                      </w:tr>
                      <w:tr>
                        <w:trPr>
                          <w:trHeight w:val="560" w:hRule="atLeast"/>
                        </w:trPr>
                        <w:tc>
                          <w:tcPr>
                            <w:tcW w:w="910" w:type="dxa"/>
                          </w:tcPr>
                          <w:p>
                            <w:pPr>
                              <w:pStyle w:val="TableParagraph"/>
                              <w:spacing w:before="170"/>
                              <w:ind w:right="142"/>
                              <w:jc w:val="right"/>
                              <w:rPr>
                                <w:sz w:val="20"/>
                              </w:rPr>
                            </w:pPr>
                            <w:r>
                              <w:rPr>
                                <w:spacing w:val="-2"/>
                                <w:sz w:val="20"/>
                              </w:rPr>
                              <w:t>101.INS</w:t>
                            </w:r>
                          </w:p>
                        </w:tc>
                        <w:tc>
                          <w:tcPr>
                            <w:tcW w:w="4793" w:type="dxa"/>
                          </w:tcPr>
                          <w:p>
                            <w:pPr>
                              <w:pStyle w:val="TableParagraph"/>
                              <w:spacing w:before="170"/>
                              <w:ind w:left="100"/>
                              <w:rPr>
                                <w:sz w:val="20"/>
                              </w:rPr>
                            </w:pPr>
                            <w:r>
                              <w:rPr>
                                <w:sz w:val="20"/>
                              </w:rPr>
                              <w:t>XBRL</w:t>
                            </w:r>
                            <w:r>
                              <w:rPr>
                                <w:spacing w:val="-4"/>
                                <w:sz w:val="20"/>
                              </w:rPr>
                              <w:t> </w:t>
                            </w:r>
                            <w:r>
                              <w:rPr>
                                <w:spacing w:val="-2"/>
                                <w:sz w:val="20"/>
                              </w:rPr>
                              <w:t>Instance</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70"/>
                              <w:ind w:left="32" w:right="10"/>
                              <w:jc w:val="center"/>
                              <w:rPr>
                                <w:sz w:val="20"/>
                              </w:rPr>
                            </w:pPr>
                            <w:r>
                              <w:rPr>
                                <w:spacing w:val="-10"/>
                                <w:sz w:val="20"/>
                              </w:rPr>
                              <w:t>X</w:t>
                            </w:r>
                          </w:p>
                        </w:tc>
                      </w:tr>
                      <w:tr>
                        <w:trPr>
                          <w:trHeight w:val="540" w:hRule="atLeast"/>
                        </w:trPr>
                        <w:tc>
                          <w:tcPr>
                            <w:tcW w:w="910" w:type="dxa"/>
                          </w:tcPr>
                          <w:p>
                            <w:pPr>
                              <w:pStyle w:val="TableParagraph"/>
                              <w:spacing w:before="150"/>
                              <w:ind w:right="109"/>
                              <w:jc w:val="right"/>
                              <w:rPr>
                                <w:sz w:val="20"/>
                              </w:rPr>
                            </w:pPr>
                            <w:r>
                              <w:rPr>
                                <w:spacing w:val="-2"/>
                                <w:sz w:val="20"/>
                              </w:rPr>
                              <w:t>101.SCH</w:t>
                            </w:r>
                          </w:p>
                        </w:tc>
                        <w:tc>
                          <w:tcPr>
                            <w:tcW w:w="4793" w:type="dxa"/>
                          </w:tcPr>
                          <w:p>
                            <w:pPr>
                              <w:pStyle w:val="TableParagraph"/>
                              <w:spacing w:before="150"/>
                              <w:ind w:left="100"/>
                              <w:rPr>
                                <w:sz w:val="20"/>
                              </w:rPr>
                            </w:pPr>
                            <w:r>
                              <w:rPr>
                                <w:sz w:val="20"/>
                              </w:rPr>
                              <w:t>XBRL</w:t>
                            </w:r>
                            <w:r>
                              <w:rPr>
                                <w:spacing w:val="-13"/>
                                <w:sz w:val="20"/>
                              </w:rPr>
                              <w:t> </w:t>
                            </w:r>
                            <w:r>
                              <w:rPr>
                                <w:sz w:val="20"/>
                              </w:rPr>
                              <w:t>Taxonomy</w:t>
                            </w:r>
                            <w:r>
                              <w:rPr>
                                <w:spacing w:val="-3"/>
                                <w:sz w:val="20"/>
                              </w:rPr>
                              <w:t> </w:t>
                            </w:r>
                            <w:r>
                              <w:rPr>
                                <w:sz w:val="20"/>
                              </w:rPr>
                              <w:t>Extension</w:t>
                            </w:r>
                            <w:r>
                              <w:rPr>
                                <w:spacing w:val="-3"/>
                                <w:sz w:val="20"/>
                              </w:rPr>
                              <w:t> </w:t>
                            </w:r>
                            <w:r>
                              <w:rPr>
                                <w:spacing w:val="-2"/>
                                <w:sz w:val="20"/>
                              </w:rPr>
                              <w:t>Schema</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before="150"/>
                              <w:ind w:left="32" w:right="10"/>
                              <w:jc w:val="center"/>
                              <w:rPr>
                                <w:sz w:val="20"/>
                              </w:rPr>
                            </w:pPr>
                            <w:r>
                              <w:rPr>
                                <w:spacing w:val="-10"/>
                                <w:sz w:val="20"/>
                              </w:rPr>
                              <w:t>X</w:t>
                            </w:r>
                          </w:p>
                        </w:tc>
                      </w:tr>
                      <w:tr>
                        <w:trPr>
                          <w:trHeight w:val="380" w:hRule="atLeast"/>
                        </w:trPr>
                        <w:tc>
                          <w:tcPr>
                            <w:tcW w:w="910" w:type="dxa"/>
                          </w:tcPr>
                          <w:p>
                            <w:pPr>
                              <w:pStyle w:val="TableParagraph"/>
                              <w:spacing w:line="210" w:lineRule="exact" w:before="150"/>
                              <w:ind w:right="99"/>
                              <w:jc w:val="right"/>
                              <w:rPr>
                                <w:sz w:val="20"/>
                              </w:rPr>
                            </w:pPr>
                            <w:r>
                              <w:rPr>
                                <w:spacing w:val="-2"/>
                                <w:sz w:val="20"/>
                              </w:rPr>
                              <w:t>101.CAL</w:t>
                            </w:r>
                          </w:p>
                        </w:tc>
                        <w:tc>
                          <w:tcPr>
                            <w:tcW w:w="4793" w:type="dxa"/>
                          </w:tcPr>
                          <w:p>
                            <w:pPr>
                              <w:pStyle w:val="TableParagraph"/>
                              <w:spacing w:line="210" w:lineRule="exact" w:before="150"/>
                              <w:ind w:left="100"/>
                              <w:rPr>
                                <w:sz w:val="20"/>
                              </w:rPr>
                            </w:pPr>
                            <w:r>
                              <w:rPr>
                                <w:sz w:val="20"/>
                              </w:rPr>
                              <w:t>XBRL</w:t>
                            </w:r>
                            <w:r>
                              <w:rPr>
                                <w:spacing w:val="-13"/>
                                <w:sz w:val="20"/>
                              </w:rPr>
                              <w:t> </w:t>
                            </w:r>
                            <w:r>
                              <w:rPr>
                                <w:sz w:val="20"/>
                              </w:rPr>
                              <w:t>Taxonomy</w:t>
                            </w:r>
                            <w:r>
                              <w:rPr>
                                <w:spacing w:val="-8"/>
                                <w:sz w:val="20"/>
                              </w:rPr>
                              <w:t> </w:t>
                            </w:r>
                            <w:r>
                              <w:rPr>
                                <w:sz w:val="20"/>
                              </w:rPr>
                              <w:t>Extension</w:t>
                            </w:r>
                            <w:r>
                              <w:rPr>
                                <w:spacing w:val="-5"/>
                                <w:sz w:val="20"/>
                              </w:rPr>
                              <w:t> </w:t>
                            </w:r>
                            <w:r>
                              <w:rPr>
                                <w:spacing w:val="-2"/>
                                <w:sz w:val="20"/>
                              </w:rPr>
                              <w:t>Calculation</w:t>
                            </w:r>
                          </w:p>
                        </w:tc>
                        <w:tc>
                          <w:tcPr>
                            <w:tcW w:w="686" w:type="dxa"/>
                          </w:tcPr>
                          <w:p>
                            <w:pPr>
                              <w:pStyle w:val="TableParagraph"/>
                              <w:rPr>
                                <w:sz w:val="18"/>
                              </w:rPr>
                            </w:pPr>
                          </w:p>
                        </w:tc>
                        <w:tc>
                          <w:tcPr>
                            <w:tcW w:w="1073" w:type="dxa"/>
                          </w:tcPr>
                          <w:p>
                            <w:pPr>
                              <w:pStyle w:val="TableParagraph"/>
                              <w:rPr>
                                <w:sz w:val="18"/>
                              </w:rPr>
                            </w:pPr>
                          </w:p>
                        </w:tc>
                        <w:tc>
                          <w:tcPr>
                            <w:tcW w:w="793" w:type="dxa"/>
                          </w:tcPr>
                          <w:p>
                            <w:pPr>
                              <w:pStyle w:val="TableParagraph"/>
                              <w:rPr>
                                <w:sz w:val="18"/>
                              </w:rPr>
                            </w:pPr>
                          </w:p>
                        </w:tc>
                        <w:tc>
                          <w:tcPr>
                            <w:tcW w:w="1178" w:type="dxa"/>
                          </w:tcPr>
                          <w:p>
                            <w:pPr>
                              <w:pStyle w:val="TableParagraph"/>
                              <w:rPr>
                                <w:sz w:val="18"/>
                              </w:rPr>
                            </w:pPr>
                          </w:p>
                        </w:tc>
                        <w:tc>
                          <w:tcPr>
                            <w:tcW w:w="810" w:type="dxa"/>
                          </w:tcPr>
                          <w:p>
                            <w:pPr>
                              <w:pStyle w:val="TableParagraph"/>
                              <w:spacing w:line="210" w:lineRule="exact" w:before="150"/>
                              <w:ind w:left="32" w:right="10"/>
                              <w:jc w:val="center"/>
                              <w:rPr>
                                <w:sz w:val="20"/>
                              </w:rPr>
                            </w:pPr>
                            <w:r>
                              <w:rPr>
                                <w:spacing w:val="-10"/>
                                <w:sz w:val="20"/>
                              </w:rPr>
                              <w:t>X</w:t>
                            </w:r>
                          </w:p>
                        </w:tc>
                      </w:tr>
                    </w:tbl>
                    <w:p>
                      <w:pPr>
                        <w:pStyle w:val="BodyText"/>
                      </w:pPr>
                    </w:p>
                  </w:txbxContent>
                </v:textbox>
                <w10:wrap type="none"/>
              </v:shape>
            </w:pict>
          </mc:Fallback>
        </mc:AlternateContent>
      </w:r>
      <w:r>
        <w:rPr>
          <w:b/>
          <w:spacing w:val="-2"/>
          <w:sz w:val="16"/>
        </w:rPr>
        <w:t>Exhibit</w:t>
      </w:r>
    </w:p>
    <w:p>
      <w:pPr>
        <w:spacing w:line="183" w:lineRule="exact" w:before="0"/>
        <w:ind w:left="406" w:right="0" w:firstLine="0"/>
        <w:jc w:val="left"/>
        <w:rPr>
          <w:b/>
          <w:sz w:val="16"/>
        </w:rPr>
      </w:pPr>
      <w:r>
        <w:rPr/>
        <w:br w:type="column"/>
      </w:r>
      <w:r>
        <w:rPr>
          <w:b/>
          <w:spacing w:val="-2"/>
          <w:sz w:val="16"/>
        </w:rPr>
        <w:t>Exhibit</w:t>
      </w:r>
    </w:p>
    <w:p>
      <w:pPr>
        <w:spacing w:line="183" w:lineRule="exact" w:before="0"/>
        <w:ind w:left="405" w:right="0" w:firstLine="0"/>
        <w:jc w:val="left"/>
        <w:rPr>
          <w:b/>
          <w:sz w:val="16"/>
        </w:rPr>
      </w:pPr>
      <w:r>
        <w:rPr/>
        <w:br w:type="column"/>
      </w:r>
      <w:r>
        <w:rPr>
          <w:b/>
          <w:spacing w:val="-2"/>
          <w:sz w:val="16"/>
        </w:rPr>
        <w:t>Filed</w:t>
      </w:r>
    </w:p>
    <w:p>
      <w:pPr>
        <w:spacing w:after="0" w:line="183" w:lineRule="exact"/>
        <w:jc w:val="left"/>
        <w:rPr>
          <w:sz w:val="16"/>
        </w:rPr>
        <w:sectPr>
          <w:pgSz w:w="12240" w:h="15840"/>
          <w:pgMar w:header="210" w:footer="610" w:top="1160" w:bottom="800" w:left="780" w:right="740"/>
          <w:cols w:num="3" w:equalWidth="0">
            <w:col w:w="953" w:space="6467"/>
            <w:col w:w="953" w:space="1127"/>
            <w:col w:w="1220"/>
          </w:cols>
        </w:sectPr>
      </w:pPr>
    </w:p>
    <w:p>
      <w:pPr>
        <w:spacing w:line="183" w:lineRule="exact" w:before="0"/>
        <w:ind w:left="405" w:right="0" w:firstLine="0"/>
        <w:jc w:val="left"/>
        <w:rPr>
          <w:b/>
          <w:sz w:val="16"/>
        </w:rPr>
      </w:pPr>
      <w:r>
        <w:rPr>
          <w:b/>
          <w:spacing w:val="-2"/>
          <w:sz w:val="16"/>
        </w:rPr>
        <w:t>Exhibit</w:t>
      </w:r>
    </w:p>
    <w:p>
      <w:pPr>
        <w:spacing w:line="183" w:lineRule="exact" w:before="0"/>
        <w:ind w:left="406" w:right="0" w:firstLine="0"/>
        <w:jc w:val="left"/>
        <w:rPr>
          <w:b/>
          <w:sz w:val="16"/>
        </w:rPr>
      </w:pPr>
      <w:r>
        <w:rPr/>
        <w:br w:type="column"/>
      </w:r>
      <w:r>
        <w:rPr>
          <w:b/>
          <w:spacing w:val="-2"/>
          <w:sz w:val="16"/>
        </w:rPr>
        <w:t>Exhibit</w:t>
      </w:r>
    </w:p>
    <w:p>
      <w:pPr>
        <w:spacing w:line="183" w:lineRule="exact" w:before="0"/>
        <w:ind w:left="405" w:right="0" w:firstLine="0"/>
        <w:jc w:val="left"/>
        <w:rPr>
          <w:b/>
          <w:sz w:val="16"/>
        </w:rPr>
      </w:pPr>
      <w:r>
        <w:rPr/>
        <w:br w:type="column"/>
      </w:r>
      <w:r>
        <w:rPr>
          <w:b/>
          <w:spacing w:val="-2"/>
          <w:sz w:val="16"/>
        </w:rPr>
        <w:t>Filed</w:t>
      </w:r>
    </w:p>
    <w:p>
      <w:pPr>
        <w:spacing w:after="0" w:line="183" w:lineRule="exact"/>
        <w:jc w:val="left"/>
        <w:rPr>
          <w:sz w:val="16"/>
        </w:rPr>
        <w:sectPr>
          <w:pgSz w:w="12240" w:h="15840"/>
          <w:pgMar w:header="210" w:footer="610" w:top="1180" w:bottom="800" w:left="780" w:right="740"/>
          <w:cols w:num="3" w:equalWidth="0">
            <w:col w:w="953" w:space="6467"/>
            <w:col w:w="953" w:space="1127"/>
            <w:col w:w="1220"/>
          </w:cols>
        </w:sect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8"/>
        <w:gridCol w:w="4177"/>
        <w:gridCol w:w="1291"/>
        <w:gridCol w:w="1054"/>
        <w:gridCol w:w="838"/>
        <w:gridCol w:w="1140"/>
        <w:gridCol w:w="834"/>
      </w:tblGrid>
      <w:tr>
        <w:trPr>
          <w:trHeight w:val="217" w:hRule="atLeast"/>
        </w:trPr>
        <w:tc>
          <w:tcPr>
            <w:tcW w:w="908" w:type="dxa"/>
            <w:tcBorders>
              <w:bottom w:val="single" w:sz="8" w:space="0" w:color="000000"/>
            </w:tcBorders>
          </w:tcPr>
          <w:p>
            <w:pPr>
              <w:pStyle w:val="TableParagraph"/>
              <w:spacing w:line="160" w:lineRule="exact"/>
              <w:ind w:right="190"/>
              <w:jc w:val="right"/>
              <w:rPr>
                <w:b/>
                <w:sz w:val="16"/>
              </w:rPr>
            </w:pPr>
            <w:r>
              <w:rPr>
                <w:b/>
                <w:spacing w:val="-2"/>
                <w:sz w:val="16"/>
              </w:rPr>
              <w:t>Number</w:t>
            </w:r>
          </w:p>
        </w:tc>
        <w:tc>
          <w:tcPr>
            <w:tcW w:w="4177" w:type="dxa"/>
            <w:tcBorders>
              <w:bottom w:val="single" w:sz="8" w:space="0" w:color="000000"/>
            </w:tcBorders>
          </w:tcPr>
          <w:p>
            <w:pPr>
              <w:pStyle w:val="TableParagraph"/>
              <w:spacing w:line="157" w:lineRule="exact"/>
              <w:ind w:left="1723"/>
              <w:rPr>
                <w:b/>
                <w:sz w:val="16"/>
              </w:rPr>
            </w:pPr>
            <w:r>
              <w:rPr>
                <w:b/>
                <w:sz w:val="16"/>
              </w:rPr>
              <w:t>Exhibit </w:t>
            </w:r>
            <w:r>
              <w:rPr>
                <w:b/>
                <w:spacing w:val="-2"/>
                <w:sz w:val="16"/>
              </w:rPr>
              <w:t>Description</w:t>
            </w:r>
          </w:p>
        </w:tc>
        <w:tc>
          <w:tcPr>
            <w:tcW w:w="1291" w:type="dxa"/>
            <w:tcBorders>
              <w:bottom w:val="single" w:sz="8" w:space="0" w:color="000000"/>
            </w:tcBorders>
          </w:tcPr>
          <w:p>
            <w:pPr>
              <w:pStyle w:val="TableParagraph"/>
              <w:spacing w:line="157" w:lineRule="exact"/>
              <w:ind w:left="752"/>
              <w:rPr>
                <w:b/>
                <w:sz w:val="16"/>
              </w:rPr>
            </w:pPr>
            <w:r>
              <w:rPr>
                <w:b/>
                <w:spacing w:val="-4"/>
                <w:sz w:val="16"/>
              </w:rPr>
              <w:t>Form</w:t>
            </w:r>
          </w:p>
        </w:tc>
        <w:tc>
          <w:tcPr>
            <w:tcW w:w="1054" w:type="dxa"/>
            <w:tcBorders>
              <w:bottom w:val="single" w:sz="8" w:space="0" w:color="000000"/>
            </w:tcBorders>
          </w:tcPr>
          <w:p>
            <w:pPr>
              <w:pStyle w:val="TableParagraph"/>
              <w:spacing w:line="157" w:lineRule="exact"/>
              <w:ind w:left="153"/>
              <w:rPr>
                <w:b/>
                <w:sz w:val="16"/>
              </w:rPr>
            </w:pPr>
            <w:r>
              <w:rPr>
                <w:b/>
                <w:sz w:val="16"/>
              </w:rPr>
              <w:t>Filing </w:t>
            </w:r>
            <w:r>
              <w:rPr>
                <w:b/>
                <w:spacing w:val="-4"/>
                <w:sz w:val="16"/>
              </w:rPr>
              <w:t>Date</w:t>
            </w:r>
          </w:p>
        </w:tc>
        <w:tc>
          <w:tcPr>
            <w:tcW w:w="838" w:type="dxa"/>
            <w:tcBorders>
              <w:bottom w:val="single" w:sz="8" w:space="0" w:color="000000"/>
            </w:tcBorders>
          </w:tcPr>
          <w:p>
            <w:pPr>
              <w:pStyle w:val="TableParagraph"/>
              <w:spacing w:line="160" w:lineRule="exact"/>
              <w:ind w:left="137"/>
              <w:rPr>
                <w:b/>
                <w:sz w:val="16"/>
              </w:rPr>
            </w:pPr>
            <w:r>
              <w:rPr>
                <w:b/>
                <w:spacing w:val="-2"/>
                <w:sz w:val="16"/>
              </w:rPr>
              <w:t>Number</w:t>
            </w:r>
          </w:p>
        </w:tc>
        <w:tc>
          <w:tcPr>
            <w:tcW w:w="1140" w:type="dxa"/>
            <w:tcBorders>
              <w:bottom w:val="single" w:sz="8" w:space="0" w:color="000000"/>
            </w:tcBorders>
          </w:tcPr>
          <w:p>
            <w:pPr>
              <w:pStyle w:val="TableParagraph"/>
              <w:spacing w:line="157" w:lineRule="exact"/>
              <w:ind w:left="129"/>
              <w:rPr>
                <w:b/>
                <w:sz w:val="16"/>
              </w:rPr>
            </w:pPr>
            <w:r>
              <w:rPr>
                <w:b/>
                <w:sz w:val="16"/>
              </w:rPr>
              <w:t>SEC</w:t>
            </w:r>
            <w:r>
              <w:rPr>
                <w:b/>
                <w:spacing w:val="-2"/>
                <w:sz w:val="16"/>
              </w:rPr>
              <w:t> </w:t>
            </w:r>
            <w:r>
              <w:rPr>
                <w:b/>
                <w:sz w:val="16"/>
              </w:rPr>
              <w:t>File</w:t>
            </w:r>
            <w:r>
              <w:rPr>
                <w:b/>
                <w:spacing w:val="-1"/>
                <w:sz w:val="16"/>
              </w:rPr>
              <w:t> </w:t>
            </w:r>
            <w:r>
              <w:rPr>
                <w:b/>
                <w:spacing w:val="-5"/>
                <w:sz w:val="16"/>
              </w:rPr>
              <w:t>No.</w:t>
            </w:r>
          </w:p>
        </w:tc>
        <w:tc>
          <w:tcPr>
            <w:tcW w:w="834" w:type="dxa"/>
            <w:tcBorders>
              <w:bottom w:val="single" w:sz="8" w:space="0" w:color="000000"/>
            </w:tcBorders>
          </w:tcPr>
          <w:p>
            <w:pPr>
              <w:pStyle w:val="TableParagraph"/>
              <w:spacing w:line="160" w:lineRule="exact"/>
              <w:ind w:left="48"/>
              <w:jc w:val="center"/>
              <w:rPr>
                <w:b/>
                <w:sz w:val="16"/>
              </w:rPr>
            </w:pPr>
            <w:r>
              <w:rPr>
                <w:b/>
                <w:spacing w:val="-2"/>
                <w:sz w:val="16"/>
              </w:rPr>
              <w:t>Herewith</w:t>
            </w:r>
          </w:p>
        </w:tc>
      </w:tr>
      <w:tr>
        <w:trPr>
          <w:trHeight w:val="641" w:hRule="atLeast"/>
        </w:trPr>
        <w:tc>
          <w:tcPr>
            <w:tcW w:w="908" w:type="dxa"/>
            <w:tcBorders>
              <w:top w:val="single" w:sz="8" w:space="0" w:color="000000"/>
            </w:tcBorders>
          </w:tcPr>
          <w:p>
            <w:pPr>
              <w:pStyle w:val="TableParagraph"/>
              <w:spacing w:before="1"/>
              <w:rPr>
                <w:b/>
                <w:sz w:val="20"/>
              </w:rPr>
            </w:pPr>
          </w:p>
          <w:p>
            <w:pPr>
              <w:pStyle w:val="TableParagraph"/>
              <w:ind w:right="100"/>
              <w:jc w:val="right"/>
              <w:rPr>
                <w:sz w:val="20"/>
              </w:rPr>
            </w:pPr>
            <w:r>
              <w:rPr>
                <w:spacing w:val="-2"/>
                <w:sz w:val="20"/>
              </w:rPr>
              <w:t>101.LAB</w:t>
            </w:r>
          </w:p>
        </w:tc>
        <w:tc>
          <w:tcPr>
            <w:tcW w:w="4177" w:type="dxa"/>
            <w:tcBorders>
              <w:top w:val="single" w:sz="8" w:space="0" w:color="000000"/>
            </w:tcBorders>
          </w:tcPr>
          <w:p>
            <w:pPr>
              <w:pStyle w:val="TableParagraph"/>
              <w:spacing w:before="1"/>
              <w:rPr>
                <w:b/>
                <w:sz w:val="20"/>
              </w:rPr>
            </w:pPr>
          </w:p>
          <w:p>
            <w:pPr>
              <w:pStyle w:val="TableParagraph"/>
              <w:ind w:left="101"/>
              <w:rPr>
                <w:sz w:val="20"/>
              </w:rPr>
            </w:pPr>
            <w:r>
              <w:rPr>
                <w:sz w:val="20"/>
              </w:rPr>
              <w:t>XBRL</w:t>
            </w:r>
            <w:r>
              <w:rPr>
                <w:spacing w:val="-13"/>
                <w:sz w:val="20"/>
              </w:rPr>
              <w:t> </w:t>
            </w:r>
            <w:r>
              <w:rPr>
                <w:sz w:val="20"/>
              </w:rPr>
              <w:t>Taxonomy</w:t>
            </w:r>
            <w:r>
              <w:rPr>
                <w:spacing w:val="-3"/>
                <w:sz w:val="20"/>
              </w:rPr>
              <w:t> </w:t>
            </w:r>
            <w:r>
              <w:rPr>
                <w:sz w:val="20"/>
              </w:rPr>
              <w:t>Extension</w:t>
            </w:r>
            <w:r>
              <w:rPr>
                <w:spacing w:val="-3"/>
                <w:sz w:val="20"/>
              </w:rPr>
              <w:t> </w:t>
            </w:r>
            <w:r>
              <w:rPr>
                <w:spacing w:val="-2"/>
                <w:sz w:val="20"/>
              </w:rPr>
              <w:t>Labels</w:t>
            </w:r>
          </w:p>
        </w:tc>
        <w:tc>
          <w:tcPr>
            <w:tcW w:w="1291" w:type="dxa"/>
            <w:tcBorders>
              <w:top w:val="single" w:sz="8" w:space="0" w:color="000000"/>
            </w:tcBorders>
          </w:tcPr>
          <w:p>
            <w:pPr>
              <w:pStyle w:val="TableParagraph"/>
              <w:rPr>
                <w:sz w:val="18"/>
              </w:rPr>
            </w:pPr>
          </w:p>
        </w:tc>
        <w:tc>
          <w:tcPr>
            <w:tcW w:w="1054" w:type="dxa"/>
            <w:tcBorders>
              <w:top w:val="single" w:sz="8" w:space="0" w:color="000000"/>
            </w:tcBorders>
          </w:tcPr>
          <w:p>
            <w:pPr>
              <w:pStyle w:val="TableParagraph"/>
              <w:rPr>
                <w:sz w:val="18"/>
              </w:rPr>
            </w:pPr>
          </w:p>
        </w:tc>
        <w:tc>
          <w:tcPr>
            <w:tcW w:w="838" w:type="dxa"/>
            <w:tcBorders>
              <w:top w:val="single" w:sz="8" w:space="0" w:color="000000"/>
            </w:tcBorders>
          </w:tcPr>
          <w:p>
            <w:pPr>
              <w:pStyle w:val="TableParagraph"/>
              <w:rPr>
                <w:sz w:val="18"/>
              </w:rPr>
            </w:pPr>
          </w:p>
        </w:tc>
        <w:tc>
          <w:tcPr>
            <w:tcW w:w="1140" w:type="dxa"/>
            <w:tcBorders>
              <w:top w:val="single" w:sz="8" w:space="0" w:color="000000"/>
            </w:tcBorders>
          </w:tcPr>
          <w:p>
            <w:pPr>
              <w:pStyle w:val="TableParagraph"/>
              <w:rPr>
                <w:sz w:val="18"/>
              </w:rPr>
            </w:pPr>
          </w:p>
        </w:tc>
        <w:tc>
          <w:tcPr>
            <w:tcW w:w="834" w:type="dxa"/>
            <w:tcBorders>
              <w:top w:val="single" w:sz="8" w:space="0" w:color="000000"/>
            </w:tcBorders>
          </w:tcPr>
          <w:p>
            <w:pPr>
              <w:pStyle w:val="TableParagraph"/>
              <w:spacing w:before="1"/>
              <w:rPr>
                <w:b/>
                <w:sz w:val="20"/>
              </w:rPr>
            </w:pPr>
          </w:p>
          <w:p>
            <w:pPr>
              <w:pStyle w:val="TableParagraph"/>
              <w:ind w:left="48"/>
              <w:jc w:val="center"/>
              <w:rPr>
                <w:sz w:val="20"/>
              </w:rPr>
            </w:pPr>
            <w:r>
              <w:rPr>
                <w:spacing w:val="-10"/>
                <w:sz w:val="20"/>
              </w:rPr>
              <w:t>X</w:t>
            </w:r>
          </w:p>
        </w:tc>
      </w:tr>
      <w:tr>
        <w:trPr>
          <w:trHeight w:val="540" w:hRule="atLeast"/>
        </w:trPr>
        <w:tc>
          <w:tcPr>
            <w:tcW w:w="908" w:type="dxa"/>
          </w:tcPr>
          <w:p>
            <w:pPr>
              <w:pStyle w:val="TableParagraph"/>
              <w:spacing w:before="130"/>
              <w:ind w:right="117"/>
              <w:jc w:val="right"/>
              <w:rPr>
                <w:sz w:val="20"/>
              </w:rPr>
            </w:pPr>
            <w:r>
              <w:rPr>
                <w:spacing w:val="-2"/>
                <w:sz w:val="20"/>
              </w:rPr>
              <w:t>101.PRE</w:t>
            </w:r>
          </w:p>
        </w:tc>
        <w:tc>
          <w:tcPr>
            <w:tcW w:w="4177" w:type="dxa"/>
          </w:tcPr>
          <w:p>
            <w:pPr>
              <w:pStyle w:val="TableParagraph"/>
              <w:spacing w:before="130"/>
              <w:ind w:left="101"/>
              <w:rPr>
                <w:sz w:val="20"/>
              </w:rPr>
            </w:pPr>
            <w:r>
              <w:rPr>
                <w:sz w:val="20"/>
              </w:rPr>
              <w:t>XBRL</w:t>
            </w:r>
            <w:r>
              <w:rPr>
                <w:spacing w:val="-13"/>
                <w:sz w:val="20"/>
              </w:rPr>
              <w:t> </w:t>
            </w:r>
            <w:r>
              <w:rPr>
                <w:sz w:val="20"/>
              </w:rPr>
              <w:t>Taxonomy</w:t>
            </w:r>
            <w:r>
              <w:rPr>
                <w:spacing w:val="-3"/>
                <w:sz w:val="20"/>
              </w:rPr>
              <w:t> </w:t>
            </w:r>
            <w:r>
              <w:rPr>
                <w:sz w:val="20"/>
              </w:rPr>
              <w:t>Extension</w:t>
            </w:r>
            <w:r>
              <w:rPr>
                <w:spacing w:val="-3"/>
                <w:sz w:val="20"/>
              </w:rPr>
              <w:t> </w:t>
            </w:r>
            <w:r>
              <w:rPr>
                <w:spacing w:val="-2"/>
                <w:sz w:val="20"/>
              </w:rPr>
              <w:t>Presentation</w:t>
            </w:r>
          </w:p>
        </w:tc>
        <w:tc>
          <w:tcPr>
            <w:tcW w:w="1291"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48"/>
              <w:jc w:val="center"/>
              <w:rPr>
                <w:sz w:val="20"/>
              </w:rPr>
            </w:pPr>
            <w:r>
              <w:rPr>
                <w:spacing w:val="-10"/>
                <w:sz w:val="20"/>
              </w:rPr>
              <w:t>X</w:t>
            </w:r>
          </w:p>
        </w:tc>
      </w:tr>
      <w:tr>
        <w:trPr>
          <w:trHeight w:val="380" w:hRule="atLeast"/>
        </w:trPr>
        <w:tc>
          <w:tcPr>
            <w:tcW w:w="908" w:type="dxa"/>
          </w:tcPr>
          <w:p>
            <w:pPr>
              <w:pStyle w:val="TableParagraph"/>
              <w:spacing w:before="130"/>
              <w:ind w:right="112"/>
              <w:jc w:val="right"/>
              <w:rPr>
                <w:sz w:val="20"/>
              </w:rPr>
            </w:pPr>
            <w:r>
              <w:rPr>
                <w:spacing w:val="-2"/>
                <w:sz w:val="20"/>
              </w:rPr>
              <w:t>101.DEF</w:t>
            </w:r>
          </w:p>
        </w:tc>
        <w:tc>
          <w:tcPr>
            <w:tcW w:w="4177" w:type="dxa"/>
          </w:tcPr>
          <w:p>
            <w:pPr>
              <w:pStyle w:val="TableParagraph"/>
              <w:spacing w:before="130"/>
              <w:ind w:left="101"/>
              <w:rPr>
                <w:sz w:val="20"/>
              </w:rPr>
            </w:pPr>
            <w:r>
              <w:rPr>
                <w:sz w:val="20"/>
              </w:rPr>
              <w:t>XBRL</w:t>
            </w:r>
            <w:r>
              <w:rPr>
                <w:spacing w:val="-13"/>
                <w:sz w:val="20"/>
              </w:rPr>
              <w:t> </w:t>
            </w:r>
            <w:r>
              <w:rPr>
                <w:sz w:val="20"/>
              </w:rPr>
              <w:t>Taxonomy</w:t>
            </w:r>
            <w:r>
              <w:rPr>
                <w:spacing w:val="-8"/>
                <w:sz w:val="20"/>
              </w:rPr>
              <w:t> </w:t>
            </w:r>
            <w:r>
              <w:rPr>
                <w:sz w:val="20"/>
              </w:rPr>
              <w:t>Extension</w:t>
            </w:r>
            <w:r>
              <w:rPr>
                <w:spacing w:val="-5"/>
                <w:sz w:val="20"/>
              </w:rPr>
              <w:t> </w:t>
            </w:r>
            <w:r>
              <w:rPr>
                <w:spacing w:val="-2"/>
                <w:sz w:val="20"/>
              </w:rPr>
              <w:t>Definition</w:t>
            </w:r>
          </w:p>
        </w:tc>
        <w:tc>
          <w:tcPr>
            <w:tcW w:w="1291" w:type="dxa"/>
          </w:tcPr>
          <w:p>
            <w:pPr>
              <w:pStyle w:val="TableParagraph"/>
              <w:rPr>
                <w:sz w:val="18"/>
              </w:rPr>
            </w:pPr>
          </w:p>
        </w:tc>
        <w:tc>
          <w:tcPr>
            <w:tcW w:w="1054" w:type="dxa"/>
          </w:tcPr>
          <w:p>
            <w:pPr>
              <w:pStyle w:val="TableParagraph"/>
              <w:rPr>
                <w:sz w:val="18"/>
              </w:rPr>
            </w:pPr>
          </w:p>
        </w:tc>
        <w:tc>
          <w:tcPr>
            <w:tcW w:w="838" w:type="dxa"/>
          </w:tcPr>
          <w:p>
            <w:pPr>
              <w:pStyle w:val="TableParagraph"/>
              <w:rPr>
                <w:sz w:val="18"/>
              </w:rPr>
            </w:pPr>
          </w:p>
        </w:tc>
        <w:tc>
          <w:tcPr>
            <w:tcW w:w="1140" w:type="dxa"/>
          </w:tcPr>
          <w:p>
            <w:pPr>
              <w:pStyle w:val="TableParagraph"/>
              <w:rPr>
                <w:sz w:val="18"/>
              </w:rPr>
            </w:pPr>
          </w:p>
        </w:tc>
        <w:tc>
          <w:tcPr>
            <w:tcW w:w="834" w:type="dxa"/>
          </w:tcPr>
          <w:p>
            <w:pPr>
              <w:pStyle w:val="TableParagraph"/>
              <w:spacing w:before="130"/>
              <w:ind w:left="48"/>
              <w:jc w:val="center"/>
              <w:rPr>
                <w:sz w:val="20"/>
              </w:rPr>
            </w:pPr>
            <w:r>
              <w:rPr>
                <w:spacing w:val="-10"/>
                <w:sz w:val="20"/>
              </w:rPr>
              <w:t>X</w:t>
            </w:r>
          </w:p>
        </w:tc>
      </w:tr>
    </w:tbl>
    <w:p>
      <w:pPr>
        <w:pStyle w:val="BodyText"/>
        <w:spacing w:before="100"/>
        <w:rPr>
          <w:b/>
        </w:rPr>
      </w:pPr>
      <w:r>
        <w:rPr/>
        <mc:AlternateContent>
          <mc:Choice Requires="wps">
            <w:drawing>
              <wp:anchor distT="0" distB="0" distL="0" distR="0" allowOverlap="1" layoutInCell="1" locked="0" behindDoc="1" simplePos="0" relativeHeight="487702016">
                <wp:simplePos x="0" y="0"/>
                <wp:positionH relativeFrom="page">
                  <wp:posOffset>635000</wp:posOffset>
                </wp:positionH>
                <wp:positionV relativeFrom="paragraph">
                  <wp:posOffset>224809</wp:posOffset>
                </wp:positionV>
                <wp:extent cx="2057400" cy="1270"/>
                <wp:effectExtent l="0" t="0" r="0" b="0"/>
                <wp:wrapTopAndBottom/>
                <wp:docPr id="573" name="Graphic 573"/>
                <wp:cNvGraphicFramePr>
                  <a:graphicFrameLocks/>
                </wp:cNvGraphicFramePr>
                <a:graphic>
                  <a:graphicData uri="http://schemas.microsoft.com/office/word/2010/wordprocessingShape">
                    <wps:wsp>
                      <wps:cNvPr id="573" name="Graphic 573"/>
                      <wps:cNvSpPr/>
                      <wps:spPr>
                        <a:xfrm>
                          <a:off x="0" y="0"/>
                          <a:ext cx="2057400" cy="1270"/>
                        </a:xfrm>
                        <a:custGeom>
                          <a:avLst/>
                          <a:gdLst/>
                          <a:ahLst/>
                          <a:cxnLst/>
                          <a:rect l="l" t="t" r="r" b="b"/>
                          <a:pathLst>
                            <a:path w="2057400" h="0">
                              <a:moveTo>
                                <a:pt x="0" y="0"/>
                              </a:moveTo>
                              <a:lnTo>
                                <a:pt x="20574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7.701572pt;width:162pt;height:.1pt;mso-position-horizontal-relative:page;mso-position-vertical-relative:paragraph;z-index:-15614464;mso-wrap-distance-left:0;mso-wrap-distance-right:0" id="docshape456" coordorigin="1000,354" coordsize="3240,0" path="m1000,354l4240,354e" filled="false" stroked="true" strokeweight=".48pt" strokecolor="#000000">
                <v:path arrowok="t"/>
                <v:stroke dashstyle="solid"/>
                <w10:wrap type="topAndBottom"/>
              </v:shape>
            </w:pict>
          </mc:Fallback>
        </mc:AlternateContent>
      </w:r>
    </w:p>
    <w:p>
      <w:pPr>
        <w:pStyle w:val="BodyText"/>
        <w:tabs>
          <w:tab w:pos="1039" w:val="left" w:leader="none"/>
        </w:tabs>
        <w:spacing w:before="158"/>
        <w:ind w:left="280"/>
      </w:pPr>
      <w:r>
        <w:rPr>
          <w:spacing w:val="-10"/>
          <w:position w:val="2"/>
        </w:rPr>
        <w:t>*</w:t>
      </w:r>
      <w:r>
        <w:rPr>
          <w:position w:val="2"/>
        </w:rPr>
        <w:tab/>
      </w:r>
      <w:r>
        <w:rPr/>
        <w:t>Compensatory plan or </w:t>
      </w:r>
      <w:r>
        <w:rPr>
          <w:spacing w:val="-2"/>
        </w:rPr>
        <w:t>arrangement.</w:t>
      </w:r>
    </w:p>
    <w:p>
      <w:pPr>
        <w:pStyle w:val="BodyText"/>
        <w:spacing w:before="22"/>
      </w:pPr>
    </w:p>
    <w:p>
      <w:pPr>
        <w:spacing w:line="224" w:lineRule="exact" w:before="0"/>
        <w:ind w:left="280" w:right="0" w:firstLine="0"/>
        <w:jc w:val="left"/>
        <w:rPr>
          <w:sz w:val="20"/>
        </w:rPr>
      </w:pPr>
      <w:r>
        <w:rPr>
          <w:spacing w:val="-5"/>
          <w:sz w:val="20"/>
        </w:rPr>
        <w:t>**</w:t>
      </w:r>
    </w:p>
    <w:p>
      <w:pPr>
        <w:pStyle w:val="BodyText"/>
        <w:spacing w:line="224" w:lineRule="exact"/>
        <w:ind w:left="1040"/>
      </w:pPr>
      <w:r>
        <w:rPr/>
        <w:t>References</w:t>
      </w:r>
      <w:r>
        <w:rPr>
          <w:spacing w:val="-3"/>
        </w:rPr>
        <w:t> </w:t>
      </w:r>
      <w:r>
        <w:rPr/>
        <w:t>to</w:t>
      </w:r>
      <w:r>
        <w:rPr>
          <w:spacing w:val="-2"/>
        </w:rPr>
        <w:t> </w:t>
      </w:r>
      <w:r>
        <w:rPr/>
        <w:t>Exhibits</w:t>
      </w:r>
      <w:r>
        <w:rPr>
          <w:spacing w:val="-2"/>
        </w:rPr>
        <w:t> </w:t>
      </w:r>
      <w:r>
        <w:rPr/>
        <w:t>10.9</w:t>
      </w:r>
      <w:r>
        <w:rPr>
          <w:spacing w:val="-2"/>
        </w:rPr>
        <w:t> </w:t>
      </w:r>
      <w:r>
        <w:rPr/>
        <w:t>through</w:t>
      </w:r>
      <w:r>
        <w:rPr>
          <w:spacing w:val="-2"/>
        </w:rPr>
        <w:t> </w:t>
      </w:r>
      <w:r>
        <w:rPr/>
        <w:t>10.11</w:t>
      </w:r>
      <w:r>
        <w:rPr>
          <w:spacing w:val="-6"/>
        </w:rPr>
        <w:t> </w:t>
      </w:r>
      <w:r>
        <w:rPr/>
        <w:t>are</w:t>
      </w:r>
      <w:r>
        <w:rPr>
          <w:spacing w:val="-3"/>
        </w:rPr>
        <w:t> </w:t>
      </w:r>
      <w:r>
        <w:rPr/>
        <w:t>to</w:t>
      </w:r>
      <w:r>
        <w:rPr>
          <w:spacing w:val="-2"/>
        </w:rPr>
        <w:t> </w:t>
      </w:r>
      <w:r>
        <w:rPr/>
        <w:t>filings</w:t>
      </w:r>
      <w:r>
        <w:rPr>
          <w:spacing w:val="-2"/>
        </w:rPr>
        <w:t> </w:t>
      </w:r>
      <w:r>
        <w:rPr/>
        <w:t>made</w:t>
      </w:r>
      <w:r>
        <w:rPr>
          <w:spacing w:val="-3"/>
        </w:rPr>
        <w:t> </w:t>
      </w:r>
      <w:r>
        <w:rPr/>
        <w:t>by</w:t>
      </w:r>
      <w:r>
        <w:rPr>
          <w:spacing w:val="-2"/>
        </w:rPr>
        <w:t> </w:t>
      </w:r>
      <w:r>
        <w:rPr/>
        <w:t>Omniture,</w:t>
      </w:r>
      <w:r>
        <w:rPr>
          <w:spacing w:val="-2"/>
        </w:rPr>
        <w:t> </w:t>
      </w:r>
      <w:r>
        <w:rPr>
          <w:spacing w:val="-4"/>
        </w:rPr>
        <w:t>Inc.</w:t>
      </w:r>
    </w:p>
    <w:p>
      <w:pPr>
        <w:pStyle w:val="BodyText"/>
        <w:spacing w:before="44"/>
      </w:pPr>
    </w:p>
    <w:p>
      <w:pPr>
        <w:pStyle w:val="BodyText"/>
        <w:tabs>
          <w:tab w:pos="1039" w:val="left" w:leader="none"/>
        </w:tabs>
        <w:spacing w:line="208" w:lineRule="auto"/>
        <w:ind w:left="1040" w:right="317" w:hanging="760"/>
        <w:jc w:val="both"/>
      </w:pPr>
      <w:r>
        <w:rPr>
          <w:spacing w:val="-10"/>
          <w:position w:val="2"/>
        </w:rPr>
        <w:t>†</w:t>
      </w:r>
      <w:r>
        <w:rPr>
          <w:position w:val="2"/>
        </w:rPr>
        <w:tab/>
      </w:r>
      <w:r>
        <w:rPr>
          <w:spacing w:val="-2"/>
        </w:rPr>
        <w:t>The</w:t>
      </w:r>
      <w:r>
        <w:rPr>
          <w:spacing w:val="-10"/>
        </w:rPr>
        <w:t> </w:t>
      </w:r>
      <w:r>
        <w:rPr>
          <w:spacing w:val="-2"/>
        </w:rPr>
        <w:t>certifications</w:t>
      </w:r>
      <w:r>
        <w:rPr>
          <w:spacing w:val="-5"/>
        </w:rPr>
        <w:t> </w:t>
      </w:r>
      <w:r>
        <w:rPr>
          <w:spacing w:val="-2"/>
        </w:rPr>
        <w:t>attached</w:t>
      </w:r>
      <w:r>
        <w:rPr>
          <w:spacing w:val="-7"/>
        </w:rPr>
        <w:t> </w:t>
      </w:r>
      <w:r>
        <w:rPr>
          <w:spacing w:val="-2"/>
        </w:rPr>
        <w:t>as</w:t>
      </w:r>
      <w:r>
        <w:rPr>
          <w:spacing w:val="-5"/>
        </w:rPr>
        <w:t> </w:t>
      </w:r>
      <w:r>
        <w:rPr>
          <w:spacing w:val="-2"/>
        </w:rPr>
        <w:t>Exhibits</w:t>
      </w:r>
      <w:r>
        <w:rPr>
          <w:spacing w:val="11"/>
        </w:rPr>
        <w:t> </w:t>
      </w:r>
      <w:r>
        <w:rPr>
          <w:spacing w:val="-2"/>
        </w:rPr>
        <w:t>32.1</w:t>
      </w:r>
      <w:r>
        <w:rPr>
          <w:spacing w:val="-5"/>
        </w:rPr>
        <w:t> </w:t>
      </w:r>
      <w:r>
        <w:rPr>
          <w:spacing w:val="-2"/>
        </w:rPr>
        <w:t>and</w:t>
      </w:r>
      <w:r>
        <w:rPr>
          <w:spacing w:val="-5"/>
        </w:rPr>
        <w:t> </w:t>
      </w:r>
      <w:r>
        <w:rPr>
          <w:spacing w:val="-2"/>
        </w:rPr>
        <w:t>32.2</w:t>
      </w:r>
      <w:r>
        <w:rPr>
          <w:spacing w:val="-5"/>
        </w:rPr>
        <w:t> </w:t>
      </w:r>
      <w:r>
        <w:rPr>
          <w:spacing w:val="-2"/>
        </w:rPr>
        <w:t>that</w:t>
      </w:r>
      <w:r>
        <w:rPr>
          <w:spacing w:val="-5"/>
        </w:rPr>
        <w:t> </w:t>
      </w:r>
      <w:r>
        <w:rPr>
          <w:spacing w:val="-2"/>
        </w:rPr>
        <w:t>accompany</w:t>
      </w:r>
      <w:r>
        <w:rPr>
          <w:spacing w:val="-7"/>
        </w:rPr>
        <w:t> </w:t>
      </w:r>
      <w:r>
        <w:rPr>
          <w:spacing w:val="-2"/>
        </w:rPr>
        <w:t>this</w:t>
      </w:r>
      <w:r>
        <w:rPr>
          <w:spacing w:val="-11"/>
        </w:rPr>
        <w:t> </w:t>
      </w:r>
      <w:r>
        <w:rPr>
          <w:spacing w:val="-2"/>
        </w:rPr>
        <w:t>Annual</w:t>
      </w:r>
      <w:r>
        <w:rPr>
          <w:spacing w:val="-6"/>
        </w:rPr>
        <w:t> </w:t>
      </w:r>
      <w:r>
        <w:rPr>
          <w:spacing w:val="-2"/>
        </w:rPr>
        <w:t>Report</w:t>
      </w:r>
      <w:r>
        <w:rPr>
          <w:spacing w:val="-7"/>
        </w:rPr>
        <w:t> </w:t>
      </w:r>
      <w:r>
        <w:rPr>
          <w:spacing w:val="-2"/>
        </w:rPr>
        <w:t>on</w:t>
      </w:r>
      <w:r>
        <w:rPr>
          <w:spacing w:val="-5"/>
        </w:rPr>
        <w:t> </w:t>
      </w:r>
      <w:r>
        <w:rPr>
          <w:spacing w:val="-2"/>
        </w:rPr>
        <w:t>Form</w:t>
      </w:r>
      <w:r>
        <w:rPr>
          <w:spacing w:val="12"/>
        </w:rPr>
        <w:t> </w:t>
      </w:r>
      <w:r>
        <w:rPr>
          <w:spacing w:val="-2"/>
        </w:rPr>
        <w:t>10-K,</w:t>
      </w:r>
      <w:r>
        <w:rPr>
          <w:spacing w:val="-7"/>
        </w:rPr>
        <w:t> </w:t>
      </w:r>
      <w:r>
        <w:rPr>
          <w:spacing w:val="-2"/>
        </w:rPr>
        <w:t>are</w:t>
      </w:r>
      <w:r>
        <w:rPr>
          <w:spacing w:val="-5"/>
        </w:rPr>
        <w:t> </w:t>
      </w:r>
      <w:r>
        <w:rPr>
          <w:spacing w:val="-2"/>
        </w:rPr>
        <w:t>not</w:t>
      </w:r>
      <w:r>
        <w:rPr>
          <w:spacing w:val="-7"/>
        </w:rPr>
        <w:t> </w:t>
      </w:r>
      <w:r>
        <w:rPr>
          <w:spacing w:val="-2"/>
        </w:rPr>
        <w:t>deemed filed</w:t>
      </w:r>
      <w:r>
        <w:rPr>
          <w:spacing w:val="-9"/>
        </w:rPr>
        <w:t> </w:t>
      </w:r>
      <w:r>
        <w:rPr>
          <w:spacing w:val="-2"/>
        </w:rPr>
        <w:t>with</w:t>
      </w:r>
      <w:r>
        <w:rPr>
          <w:spacing w:val="-5"/>
        </w:rPr>
        <w:t> </w:t>
      </w:r>
      <w:r>
        <w:rPr>
          <w:spacing w:val="-2"/>
        </w:rPr>
        <w:t>the</w:t>
      </w:r>
      <w:r>
        <w:rPr>
          <w:spacing w:val="-5"/>
        </w:rPr>
        <w:t> </w:t>
      </w:r>
      <w:r>
        <w:rPr>
          <w:spacing w:val="-2"/>
        </w:rPr>
        <w:t>Securities</w:t>
      </w:r>
      <w:r>
        <w:rPr>
          <w:spacing w:val="-5"/>
        </w:rPr>
        <w:t> </w:t>
      </w:r>
      <w:r>
        <w:rPr>
          <w:spacing w:val="-2"/>
        </w:rPr>
        <w:t>and</w:t>
      </w:r>
      <w:r>
        <w:rPr>
          <w:spacing w:val="-5"/>
        </w:rPr>
        <w:t> </w:t>
      </w:r>
      <w:r>
        <w:rPr>
          <w:spacing w:val="-2"/>
        </w:rPr>
        <w:t>Exchange</w:t>
      </w:r>
      <w:r>
        <w:rPr>
          <w:spacing w:val="-6"/>
        </w:rPr>
        <w:t> </w:t>
      </w:r>
      <w:r>
        <w:rPr>
          <w:spacing w:val="-2"/>
        </w:rPr>
        <w:t>Commission</w:t>
      </w:r>
      <w:r>
        <w:rPr>
          <w:spacing w:val="-5"/>
        </w:rPr>
        <w:t> </w:t>
      </w:r>
      <w:r>
        <w:rPr>
          <w:spacing w:val="-2"/>
        </w:rPr>
        <w:t>and</w:t>
      </w:r>
      <w:r>
        <w:rPr>
          <w:spacing w:val="-5"/>
        </w:rPr>
        <w:t> </w:t>
      </w:r>
      <w:r>
        <w:rPr>
          <w:spacing w:val="-2"/>
        </w:rPr>
        <w:t>are</w:t>
      </w:r>
      <w:r>
        <w:rPr>
          <w:spacing w:val="-5"/>
        </w:rPr>
        <w:t> </w:t>
      </w:r>
      <w:r>
        <w:rPr>
          <w:spacing w:val="-2"/>
        </w:rPr>
        <w:t>not</w:t>
      </w:r>
      <w:r>
        <w:rPr>
          <w:spacing w:val="-6"/>
        </w:rPr>
        <w:t> </w:t>
      </w:r>
      <w:r>
        <w:rPr>
          <w:spacing w:val="-2"/>
        </w:rPr>
        <w:t>to</w:t>
      </w:r>
      <w:r>
        <w:rPr>
          <w:spacing w:val="-5"/>
        </w:rPr>
        <w:t> </w:t>
      </w:r>
      <w:r>
        <w:rPr>
          <w:spacing w:val="-2"/>
        </w:rPr>
        <w:t>be</w:t>
      </w:r>
      <w:r>
        <w:rPr>
          <w:spacing w:val="-5"/>
        </w:rPr>
        <w:t> </w:t>
      </w:r>
      <w:r>
        <w:rPr>
          <w:spacing w:val="-2"/>
        </w:rPr>
        <w:t>incorporated</w:t>
      </w:r>
      <w:r>
        <w:rPr>
          <w:spacing w:val="-6"/>
        </w:rPr>
        <w:t> </w:t>
      </w:r>
      <w:r>
        <w:rPr>
          <w:spacing w:val="-2"/>
        </w:rPr>
        <w:t>by</w:t>
      </w:r>
      <w:r>
        <w:rPr>
          <w:spacing w:val="-5"/>
        </w:rPr>
        <w:t> </w:t>
      </w:r>
      <w:r>
        <w:rPr>
          <w:spacing w:val="-2"/>
        </w:rPr>
        <w:t>reference</w:t>
      </w:r>
      <w:r>
        <w:rPr>
          <w:spacing w:val="-6"/>
        </w:rPr>
        <w:t> </w:t>
      </w:r>
      <w:r>
        <w:rPr>
          <w:spacing w:val="-2"/>
        </w:rPr>
        <w:t>into</w:t>
      </w:r>
      <w:r>
        <w:rPr>
          <w:spacing w:val="-5"/>
        </w:rPr>
        <w:t> </w:t>
      </w:r>
      <w:r>
        <w:rPr>
          <w:spacing w:val="-2"/>
        </w:rPr>
        <w:t>any</w:t>
      </w:r>
      <w:r>
        <w:rPr>
          <w:spacing w:val="-5"/>
        </w:rPr>
        <w:t> </w:t>
      </w:r>
      <w:r>
        <w:rPr>
          <w:spacing w:val="-2"/>
        </w:rPr>
        <w:t>filing</w:t>
      </w:r>
      <w:r>
        <w:rPr>
          <w:spacing w:val="-5"/>
        </w:rPr>
        <w:t> </w:t>
      </w:r>
      <w:r>
        <w:rPr>
          <w:spacing w:val="-2"/>
        </w:rPr>
        <w:t>of</w:t>
      </w:r>
      <w:r>
        <w:rPr>
          <w:spacing w:val="-11"/>
        </w:rPr>
        <w:t> </w:t>
      </w:r>
      <w:r>
        <w:rPr>
          <w:spacing w:val="-2"/>
        </w:rPr>
        <w:t>Adobe </w:t>
      </w:r>
      <w:r>
        <w:rPr>
          <w:spacing w:val="-4"/>
        </w:rPr>
        <w:t>Systems</w:t>
      </w:r>
      <w:r>
        <w:rPr>
          <w:spacing w:val="-6"/>
        </w:rPr>
        <w:t> </w:t>
      </w:r>
      <w:r>
        <w:rPr>
          <w:spacing w:val="-4"/>
        </w:rPr>
        <w:t>Incorporated under the Securities</w:t>
      </w:r>
      <w:r>
        <w:rPr>
          <w:spacing w:val="-9"/>
        </w:rPr>
        <w:t> </w:t>
      </w:r>
      <w:r>
        <w:rPr>
          <w:spacing w:val="-4"/>
        </w:rPr>
        <w:t>Act of 1933, as amended, or the Securities Exchange</w:t>
      </w:r>
      <w:r>
        <w:rPr>
          <w:spacing w:val="-9"/>
        </w:rPr>
        <w:t> </w:t>
      </w:r>
      <w:r>
        <w:rPr>
          <w:spacing w:val="-4"/>
        </w:rPr>
        <w:t>Act of 1934, as amended, </w:t>
      </w:r>
      <w:r>
        <w:rPr/>
        <w:t>whether</w:t>
      </w:r>
      <w:r>
        <w:rPr>
          <w:spacing w:val="-8"/>
        </w:rPr>
        <w:t> </w:t>
      </w:r>
      <w:r>
        <w:rPr/>
        <w:t>made</w:t>
      </w:r>
      <w:r>
        <w:rPr>
          <w:spacing w:val="-8"/>
        </w:rPr>
        <w:t> </w:t>
      </w:r>
      <w:r>
        <w:rPr/>
        <w:t>before</w:t>
      </w:r>
      <w:r>
        <w:rPr>
          <w:spacing w:val="-8"/>
        </w:rPr>
        <w:t> </w:t>
      </w:r>
      <w:r>
        <w:rPr/>
        <w:t>or</w:t>
      </w:r>
      <w:r>
        <w:rPr>
          <w:spacing w:val="-8"/>
        </w:rPr>
        <w:t> </w:t>
      </w:r>
      <w:r>
        <w:rPr/>
        <w:t>after</w:t>
      </w:r>
      <w:r>
        <w:rPr>
          <w:spacing w:val="-8"/>
        </w:rPr>
        <w:t> </w:t>
      </w:r>
      <w:r>
        <w:rPr/>
        <w:t>the</w:t>
      </w:r>
      <w:r>
        <w:rPr>
          <w:spacing w:val="-8"/>
        </w:rPr>
        <w:t> </w:t>
      </w:r>
      <w:r>
        <w:rPr/>
        <w:t>date</w:t>
      </w:r>
      <w:r>
        <w:rPr>
          <w:spacing w:val="-8"/>
        </w:rPr>
        <w:t> </w:t>
      </w:r>
      <w:r>
        <w:rPr/>
        <w:t>of</w:t>
      </w:r>
      <w:r>
        <w:rPr>
          <w:spacing w:val="-8"/>
        </w:rPr>
        <w:t> </w:t>
      </w:r>
      <w:r>
        <w:rPr/>
        <w:t>this</w:t>
      </w:r>
      <w:r>
        <w:rPr>
          <w:spacing w:val="-8"/>
        </w:rPr>
        <w:t> </w:t>
      </w:r>
      <w:r>
        <w:rPr/>
        <w:t>Form</w:t>
      </w:r>
      <w:r>
        <w:rPr>
          <w:spacing w:val="-3"/>
        </w:rPr>
        <w:t> </w:t>
      </w:r>
      <w:r>
        <w:rPr/>
        <w:t>10-K,</w:t>
      </w:r>
      <w:r>
        <w:rPr>
          <w:spacing w:val="-8"/>
        </w:rPr>
        <w:t> </w:t>
      </w:r>
      <w:r>
        <w:rPr/>
        <w:t>irrespective</w:t>
      </w:r>
      <w:r>
        <w:rPr>
          <w:spacing w:val="-9"/>
        </w:rPr>
        <w:t> </w:t>
      </w:r>
      <w:r>
        <w:rPr/>
        <w:t>of</w:t>
      </w:r>
      <w:r>
        <w:rPr>
          <w:spacing w:val="-8"/>
        </w:rPr>
        <w:t> </w:t>
      </w:r>
      <w:r>
        <w:rPr/>
        <w:t>any</w:t>
      </w:r>
      <w:r>
        <w:rPr>
          <w:spacing w:val="-8"/>
        </w:rPr>
        <w:t> </w:t>
      </w:r>
      <w:r>
        <w:rPr/>
        <w:t>general</w:t>
      </w:r>
      <w:r>
        <w:rPr>
          <w:spacing w:val="-8"/>
        </w:rPr>
        <w:t> </w:t>
      </w:r>
      <w:r>
        <w:rPr/>
        <w:t>incorporation</w:t>
      </w:r>
      <w:r>
        <w:rPr>
          <w:spacing w:val="-8"/>
        </w:rPr>
        <w:t> </w:t>
      </w:r>
      <w:r>
        <w:rPr/>
        <w:t>language</w:t>
      </w:r>
      <w:r>
        <w:rPr>
          <w:spacing w:val="-8"/>
        </w:rPr>
        <w:t> </w:t>
      </w:r>
      <w:r>
        <w:rPr/>
        <w:t>contained in such filing.</w:t>
      </w:r>
    </w:p>
    <w:p>
      <w:pPr>
        <w:pStyle w:val="BodyText"/>
        <w:spacing w:before="67"/>
      </w:pPr>
    </w:p>
    <w:p>
      <w:pPr>
        <w:pStyle w:val="BodyText"/>
        <w:tabs>
          <w:tab w:pos="1039" w:val="left" w:leader="none"/>
        </w:tabs>
        <w:ind w:left="280"/>
      </w:pPr>
      <w:r>
        <w:rPr>
          <w:spacing w:val="-5"/>
        </w:rPr>
        <w:t>††</w:t>
      </w:r>
      <w:r>
        <w:rPr/>
        <w:tab/>
        <w:t>References</w:t>
      </w:r>
      <w:r>
        <w:rPr>
          <w:spacing w:val="-3"/>
        </w:rPr>
        <w:t> </w:t>
      </w:r>
      <w:r>
        <w:rPr/>
        <w:t>to</w:t>
      </w:r>
      <w:r>
        <w:rPr>
          <w:spacing w:val="-2"/>
        </w:rPr>
        <w:t> </w:t>
      </w:r>
      <w:r>
        <w:rPr/>
        <w:t>Exhibits</w:t>
      </w:r>
      <w:r>
        <w:rPr>
          <w:spacing w:val="-3"/>
        </w:rPr>
        <w:t> </w:t>
      </w:r>
      <w:r>
        <w:rPr/>
        <w:t>10.33</w:t>
      </w:r>
      <w:r>
        <w:rPr>
          <w:spacing w:val="-2"/>
        </w:rPr>
        <w:t> </w:t>
      </w:r>
      <w:r>
        <w:rPr/>
        <w:t>through</w:t>
      </w:r>
      <w:r>
        <w:rPr>
          <w:spacing w:val="-3"/>
        </w:rPr>
        <w:t> </w:t>
      </w:r>
      <w:r>
        <w:rPr/>
        <w:t>10.34</w:t>
      </w:r>
      <w:r>
        <w:rPr>
          <w:spacing w:val="-2"/>
        </w:rPr>
        <w:t> </w:t>
      </w:r>
      <w:r>
        <w:rPr/>
        <w:t>are</w:t>
      </w:r>
      <w:r>
        <w:rPr>
          <w:spacing w:val="-4"/>
        </w:rPr>
        <w:t> </w:t>
      </w:r>
      <w:r>
        <w:rPr/>
        <w:t>to</w:t>
      </w:r>
      <w:r>
        <w:rPr>
          <w:spacing w:val="-2"/>
        </w:rPr>
        <w:t> </w:t>
      </w:r>
      <w:r>
        <w:rPr/>
        <w:t>filings</w:t>
      </w:r>
      <w:r>
        <w:rPr>
          <w:spacing w:val="-2"/>
        </w:rPr>
        <w:t> </w:t>
      </w:r>
      <w:r>
        <w:rPr/>
        <w:t>made</w:t>
      </w:r>
      <w:r>
        <w:rPr>
          <w:spacing w:val="-4"/>
        </w:rPr>
        <w:t> </w:t>
      </w:r>
      <w:r>
        <w:rPr/>
        <w:t>by</w:t>
      </w:r>
      <w:r>
        <w:rPr>
          <w:spacing w:val="-6"/>
        </w:rPr>
        <w:t> </w:t>
      </w:r>
      <w:r>
        <w:rPr/>
        <w:t>TubeMogul,</w:t>
      </w:r>
      <w:r>
        <w:rPr>
          <w:spacing w:val="-2"/>
        </w:rPr>
        <w:t> </w:t>
      </w:r>
      <w:r>
        <w:rPr>
          <w:spacing w:val="-4"/>
        </w:rPr>
        <w:t>Inc.</w:t>
      </w:r>
    </w:p>
    <w:p>
      <w:pPr>
        <w:pStyle w:val="BodyText"/>
        <w:spacing w:before="182"/>
      </w:pPr>
    </w:p>
    <w:p>
      <w:pPr>
        <w:pStyle w:val="Heading1"/>
      </w:pPr>
      <w:bookmarkStart w:name="Item 16. Form 10-K Summary" w:id="117"/>
      <w:bookmarkEnd w:id="117"/>
      <w:r>
        <w:rPr>
          <w:b w:val="0"/>
        </w:rPr>
      </w:r>
      <w:r>
        <w:rPr/>
        <w:t>ITEM 16. FORM 10-K </w:t>
      </w:r>
      <w:r>
        <w:rPr>
          <w:spacing w:val="-2"/>
        </w:rPr>
        <w:t>SUMMARY</w:t>
      </w:r>
    </w:p>
    <w:p>
      <w:pPr>
        <w:pStyle w:val="BodyText"/>
        <w:spacing w:before="190"/>
        <w:ind w:left="220"/>
      </w:pPr>
      <w:r>
        <w:rPr>
          <w:spacing w:val="-2"/>
        </w:rPr>
        <w:t>None.</w:t>
      </w:r>
    </w:p>
    <w:p>
      <w:pPr>
        <w:spacing w:after="0"/>
        <w:sectPr>
          <w:type w:val="continuous"/>
          <w:pgSz w:w="12240" w:h="15840"/>
          <w:pgMar w:header="210" w:footer="610" w:top="680" w:bottom="280" w:left="780" w:right="740"/>
        </w:sectPr>
      </w:pPr>
    </w:p>
    <w:p>
      <w:pPr>
        <w:pStyle w:val="BodyText"/>
        <w:spacing w:before="147"/>
      </w:pPr>
    </w:p>
    <w:p>
      <w:pPr>
        <w:pStyle w:val="Heading1"/>
        <w:ind w:left="3846" w:right="3884"/>
        <w:jc w:val="center"/>
      </w:pPr>
      <w:bookmarkStart w:name="Signatures" w:id="118"/>
      <w:bookmarkEnd w:id="118"/>
      <w:r>
        <w:rPr>
          <w:b w:val="0"/>
        </w:rPr>
      </w:r>
      <w:bookmarkStart w:name="_bookmark43" w:id="119"/>
      <w:bookmarkEnd w:id="119"/>
      <w:r>
        <w:rPr>
          <w:b w:val="0"/>
        </w:rPr>
      </w:r>
      <w:r>
        <w:rPr>
          <w:spacing w:val="-2"/>
        </w:rPr>
        <w:t>SIGNATURES</w:t>
      </w:r>
    </w:p>
    <w:p>
      <w:pPr>
        <w:pStyle w:val="BodyText"/>
        <w:spacing w:line="249" w:lineRule="auto" w:before="190"/>
        <w:ind w:left="220" w:right="240" w:firstLine="540"/>
      </w:pPr>
      <w:r>
        <w:rPr/>
        <w:t>Pursuant</w:t>
      </w:r>
      <w:r>
        <w:rPr>
          <w:spacing w:val="-7"/>
        </w:rPr>
        <w:t> </w:t>
      </w:r>
      <w:r>
        <w:rPr/>
        <w:t>to</w:t>
      </w:r>
      <w:r>
        <w:rPr>
          <w:spacing w:val="-5"/>
        </w:rPr>
        <w:t> </w:t>
      </w:r>
      <w:r>
        <w:rPr/>
        <w:t>the</w:t>
      </w:r>
      <w:r>
        <w:rPr>
          <w:spacing w:val="-6"/>
        </w:rPr>
        <w:t> </w:t>
      </w:r>
      <w:r>
        <w:rPr/>
        <w:t>requirements</w:t>
      </w:r>
      <w:r>
        <w:rPr>
          <w:spacing w:val="-5"/>
        </w:rPr>
        <w:t> </w:t>
      </w:r>
      <w:r>
        <w:rPr/>
        <w:t>of</w:t>
      </w:r>
      <w:r>
        <w:rPr>
          <w:spacing w:val="-5"/>
        </w:rPr>
        <w:t> </w:t>
      </w:r>
      <w:r>
        <w:rPr/>
        <w:t>Section</w:t>
      </w:r>
      <w:r>
        <w:rPr>
          <w:spacing w:val="-2"/>
        </w:rPr>
        <w:t> </w:t>
      </w:r>
      <w:r>
        <w:rPr/>
        <w:t>13</w:t>
      </w:r>
      <w:r>
        <w:rPr>
          <w:spacing w:val="-6"/>
        </w:rPr>
        <w:t> </w:t>
      </w:r>
      <w:r>
        <w:rPr/>
        <w:t>or</w:t>
      </w:r>
      <w:r>
        <w:rPr>
          <w:spacing w:val="-5"/>
        </w:rPr>
        <w:t> </w:t>
      </w:r>
      <w:r>
        <w:rPr/>
        <w:t>15(d)</w:t>
      </w:r>
      <w:r>
        <w:rPr>
          <w:spacing w:val="-6"/>
        </w:rPr>
        <w:t> </w:t>
      </w:r>
      <w:r>
        <w:rPr/>
        <w:t>of</w:t>
      </w:r>
      <w:r>
        <w:rPr>
          <w:spacing w:val="-5"/>
        </w:rPr>
        <w:t> </w:t>
      </w:r>
      <w:r>
        <w:rPr/>
        <w:t>the</w:t>
      </w:r>
      <w:r>
        <w:rPr>
          <w:spacing w:val="-6"/>
        </w:rPr>
        <w:t> </w:t>
      </w:r>
      <w:r>
        <w:rPr/>
        <w:t>Securities</w:t>
      </w:r>
      <w:r>
        <w:rPr>
          <w:spacing w:val="-5"/>
        </w:rPr>
        <w:t> </w:t>
      </w:r>
      <w:r>
        <w:rPr/>
        <w:t>Exchange</w:t>
      </w:r>
      <w:r>
        <w:rPr>
          <w:spacing w:val="-14"/>
        </w:rPr>
        <w:t> </w:t>
      </w:r>
      <w:r>
        <w:rPr/>
        <w:t>Act</w:t>
      </w:r>
      <w:r>
        <w:rPr>
          <w:spacing w:val="-6"/>
        </w:rPr>
        <w:t> </w:t>
      </w:r>
      <w:r>
        <w:rPr/>
        <w:t>of</w:t>
      </w:r>
      <w:r>
        <w:rPr>
          <w:spacing w:val="-6"/>
        </w:rPr>
        <w:t> </w:t>
      </w:r>
      <w:r>
        <w:rPr/>
        <w:t>1934,</w:t>
      </w:r>
      <w:r>
        <w:rPr>
          <w:spacing w:val="-6"/>
        </w:rPr>
        <w:t> </w:t>
      </w:r>
      <w:r>
        <w:rPr/>
        <w:t>the</w:t>
      </w:r>
      <w:r>
        <w:rPr>
          <w:spacing w:val="-5"/>
        </w:rPr>
        <w:t> </w:t>
      </w:r>
      <w:r>
        <w:rPr/>
        <w:t>registrant</w:t>
      </w:r>
      <w:r>
        <w:rPr>
          <w:spacing w:val="-6"/>
        </w:rPr>
        <w:t> </w:t>
      </w:r>
      <w:r>
        <w:rPr/>
        <w:t>has</w:t>
      </w:r>
      <w:r>
        <w:rPr>
          <w:spacing w:val="-5"/>
        </w:rPr>
        <w:t> </w:t>
      </w:r>
      <w:r>
        <w:rPr/>
        <w:t>duly</w:t>
      </w:r>
      <w:r>
        <w:rPr>
          <w:spacing w:val="-6"/>
        </w:rPr>
        <w:t> </w:t>
      </w:r>
      <w:r>
        <w:rPr/>
        <w:t>caused this report to be signed on its behalf by the undersigned, thereunto duly authorized.</w:t>
      </w:r>
    </w:p>
    <w:p>
      <w:pPr>
        <w:pStyle w:val="BodyText"/>
        <w:spacing w:before="110"/>
      </w:pPr>
    </w:p>
    <w:p>
      <w:pPr>
        <w:pStyle w:val="BodyText"/>
        <w:ind w:left="5720"/>
      </w:pPr>
      <w:r>
        <w:rPr/>
        <w:t>ADOBE</w:t>
      </w:r>
      <w:r>
        <w:rPr>
          <w:spacing w:val="-4"/>
        </w:rPr>
        <w:t> </w:t>
      </w:r>
      <w:r>
        <w:rPr/>
        <w:t>SYSTEMS</w:t>
      </w:r>
      <w:r>
        <w:rPr>
          <w:spacing w:val="-3"/>
        </w:rPr>
        <w:t> </w:t>
      </w:r>
      <w:r>
        <w:rPr>
          <w:spacing w:val="-2"/>
        </w:rPr>
        <w:t>INCORPORATED</w:t>
      </w:r>
    </w:p>
    <w:p>
      <w:pPr>
        <w:pStyle w:val="BodyText"/>
        <w:spacing w:before="8"/>
      </w:pPr>
    </w:p>
    <w:p>
      <w:pPr>
        <w:spacing w:after="0"/>
        <w:sectPr>
          <w:headerReference w:type="default" r:id="rId38"/>
          <w:footerReference w:type="default" r:id="rId39"/>
          <w:pgSz w:w="12240" w:h="15840"/>
          <w:pgMar w:header="210" w:footer="610" w:top="420" w:bottom="800" w:left="780" w:right="740"/>
        </w:sectPr>
      </w:pPr>
    </w:p>
    <w:p>
      <w:pPr>
        <w:pStyle w:val="BodyText"/>
      </w:pPr>
    </w:p>
    <w:p>
      <w:pPr>
        <w:pStyle w:val="BodyText"/>
      </w:pPr>
    </w:p>
    <w:p>
      <w:pPr>
        <w:pStyle w:val="BodyText"/>
      </w:pPr>
    </w:p>
    <w:p>
      <w:pPr>
        <w:pStyle w:val="BodyText"/>
      </w:pPr>
    </w:p>
    <w:p>
      <w:pPr>
        <w:pStyle w:val="BodyText"/>
      </w:pPr>
    </w:p>
    <w:p>
      <w:pPr>
        <w:pStyle w:val="BodyText"/>
        <w:spacing w:before="153"/>
      </w:pPr>
    </w:p>
    <w:p>
      <w:pPr>
        <w:pStyle w:val="BodyText"/>
        <w:spacing w:before="1"/>
        <w:ind w:left="220"/>
      </w:pPr>
      <w:r>
        <w:rPr/>
        <w:t>Date:</w:t>
      </w:r>
      <w:r>
        <w:rPr>
          <w:spacing w:val="-1"/>
        </w:rPr>
        <w:t> </w:t>
      </w:r>
      <w:r>
        <w:rPr/>
        <w:t>January 22, </w:t>
      </w:r>
      <w:r>
        <w:rPr>
          <w:spacing w:val="-4"/>
        </w:rPr>
        <w:t>2018</w:t>
      </w:r>
    </w:p>
    <w:p>
      <w:pPr>
        <w:pStyle w:val="BodyText"/>
        <w:tabs>
          <w:tab w:pos="919" w:val="left" w:leader="none"/>
        </w:tabs>
        <w:spacing w:before="92"/>
        <w:ind w:left="220"/>
      </w:pPr>
      <w:r>
        <w:rPr/>
        <w:br w:type="column"/>
      </w:r>
      <w:r>
        <w:rPr>
          <w:spacing w:val="-5"/>
        </w:rPr>
        <w:t>By:</w:t>
      </w:r>
      <w:r>
        <w:rPr/>
        <w:tab/>
        <w:t>/s/</w:t>
      </w:r>
      <w:r>
        <w:rPr>
          <w:spacing w:val="-2"/>
        </w:rPr>
        <w:t> </w:t>
      </w:r>
      <w:r>
        <w:rPr/>
        <w:t>MARK</w:t>
      </w:r>
      <w:r>
        <w:rPr>
          <w:spacing w:val="-2"/>
        </w:rPr>
        <w:t> GARRETT</w:t>
      </w:r>
    </w:p>
    <w:p>
      <w:pPr>
        <w:pStyle w:val="BodyText"/>
        <w:spacing w:before="2"/>
        <w:rPr>
          <w:sz w:val="4"/>
        </w:rPr>
      </w:pPr>
    </w:p>
    <w:p>
      <w:pPr>
        <w:pStyle w:val="BodyText"/>
        <w:spacing w:line="20" w:lineRule="exact"/>
        <w:ind w:left="870"/>
        <w:rPr>
          <w:sz w:val="2"/>
        </w:rPr>
      </w:pPr>
      <w:r>
        <w:rPr>
          <w:sz w:val="2"/>
        </w:rPr>
        <mc:AlternateContent>
          <mc:Choice Requires="wps">
            <w:drawing>
              <wp:inline distT="0" distB="0" distL="0" distR="0">
                <wp:extent cx="2590800" cy="12700"/>
                <wp:effectExtent l="9525" t="0" r="0" b="6350"/>
                <wp:docPr id="576" name="Group 576"/>
                <wp:cNvGraphicFramePr>
                  <a:graphicFrameLocks/>
                </wp:cNvGraphicFramePr>
                <a:graphic>
                  <a:graphicData uri="http://schemas.microsoft.com/office/word/2010/wordprocessingGroup">
                    <wpg:wgp>
                      <wpg:cNvPr id="576" name="Group 576"/>
                      <wpg:cNvGrpSpPr/>
                      <wpg:grpSpPr>
                        <a:xfrm>
                          <a:off x="0" y="0"/>
                          <a:ext cx="2590800" cy="12700"/>
                          <a:chExt cx="2590800" cy="12700"/>
                        </a:xfrm>
                      </wpg:grpSpPr>
                      <wps:wsp>
                        <wps:cNvPr id="577" name="Graphic 577"/>
                        <wps:cNvSpPr/>
                        <wps:spPr>
                          <a:xfrm>
                            <a:off x="0" y="6350"/>
                            <a:ext cx="2590800" cy="1270"/>
                          </a:xfrm>
                          <a:custGeom>
                            <a:avLst/>
                            <a:gdLst/>
                            <a:ahLst/>
                            <a:cxnLst/>
                            <a:rect l="l" t="t" r="r" b="b"/>
                            <a:pathLst>
                              <a:path w="2590800" h="0">
                                <a:moveTo>
                                  <a:pt x="0" y="0"/>
                                </a:moveTo>
                                <a:lnTo>
                                  <a:pt x="2590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4pt;height:1pt;mso-position-horizontal-relative:char;mso-position-vertical-relative:line" id="docshapegroup459" coordorigin="0,0" coordsize="4080,20">
                <v:line style="position:absolute" from="0,10" to="4080,10" stroked="true" strokeweight="1pt" strokecolor="#000000">
                  <v:stroke dashstyle="solid"/>
                </v:line>
              </v:group>
            </w:pict>
          </mc:Fallback>
        </mc:AlternateContent>
      </w:r>
      <w:r>
        <w:rPr>
          <w:sz w:val="2"/>
        </w:rPr>
      </w:r>
    </w:p>
    <w:p>
      <w:pPr>
        <w:pStyle w:val="BodyText"/>
        <w:ind w:left="920"/>
      </w:pPr>
      <w:r>
        <w:rPr/>
        <w:t>Mark </w:t>
      </w:r>
      <w:r>
        <w:rPr>
          <w:spacing w:val="-2"/>
        </w:rPr>
        <w:t>Garrett</w:t>
      </w:r>
    </w:p>
    <w:p>
      <w:pPr>
        <w:pStyle w:val="BodyText"/>
        <w:spacing w:line="292" w:lineRule="auto" w:before="32"/>
        <w:ind w:left="920" w:right="1665"/>
      </w:pPr>
      <w:r>
        <w:rPr/>
        <w:t>Executive</w:t>
      </w:r>
      <w:r>
        <w:rPr>
          <w:spacing w:val="-13"/>
        </w:rPr>
        <w:t> </w:t>
      </w:r>
      <w:r>
        <w:rPr/>
        <w:t>Vice</w:t>
      </w:r>
      <w:r>
        <w:rPr>
          <w:spacing w:val="-12"/>
        </w:rPr>
        <w:t> </w:t>
      </w:r>
      <w:r>
        <w:rPr/>
        <w:t>President</w:t>
      </w:r>
      <w:r>
        <w:rPr>
          <w:spacing w:val="-13"/>
        </w:rPr>
        <w:t> </w:t>
      </w:r>
      <w:r>
        <w:rPr/>
        <w:t>and Chief Financial Officer (Principal Financial Officer)</w:t>
      </w:r>
    </w:p>
    <w:p>
      <w:pPr>
        <w:spacing w:after="0" w:line="292" w:lineRule="auto"/>
        <w:sectPr>
          <w:type w:val="continuous"/>
          <w:pgSz w:w="12240" w:h="15840"/>
          <w:pgMar w:header="210" w:footer="610" w:top="680" w:bottom="280" w:left="780" w:right="740"/>
          <w:cols w:num="2" w:equalWidth="0">
            <w:col w:w="2116" w:space="3384"/>
            <w:col w:w="5220"/>
          </w:cols>
        </w:sectPr>
      </w:pPr>
    </w:p>
    <w:p>
      <w:pPr>
        <w:pStyle w:val="BodyText"/>
      </w:pPr>
    </w:p>
    <w:p>
      <w:pPr>
        <w:pStyle w:val="BodyText"/>
      </w:pPr>
    </w:p>
    <w:p>
      <w:pPr>
        <w:pStyle w:val="BodyText"/>
      </w:pPr>
    </w:p>
    <w:p>
      <w:pPr>
        <w:pStyle w:val="BodyText"/>
        <w:spacing w:before="109"/>
      </w:pPr>
    </w:p>
    <w:p>
      <w:pPr>
        <w:pStyle w:val="Heading1"/>
        <w:spacing w:before="1"/>
        <w:ind w:left="3846" w:right="3884"/>
        <w:jc w:val="center"/>
      </w:pPr>
      <w:r>
        <w:rPr/>
        <w:t>POWER</w:t>
      </w:r>
      <w:r>
        <w:rPr>
          <w:spacing w:val="-5"/>
        </w:rPr>
        <w:t> </w:t>
      </w:r>
      <w:r>
        <w:rPr/>
        <w:t>OF</w:t>
      </w:r>
      <w:r>
        <w:rPr>
          <w:spacing w:val="-19"/>
        </w:rPr>
        <w:t> </w:t>
      </w:r>
      <w:r>
        <w:rPr>
          <w:spacing w:val="-2"/>
        </w:rPr>
        <w:t>ATTORNEY</w:t>
      </w:r>
    </w:p>
    <w:p>
      <w:pPr>
        <w:pStyle w:val="BodyText"/>
        <w:spacing w:line="249" w:lineRule="auto" w:before="190"/>
        <w:ind w:left="220" w:right="257" w:firstLine="540"/>
        <w:jc w:val="both"/>
      </w:pPr>
      <w:r>
        <w:rPr>
          <w:spacing w:val="-2"/>
        </w:rPr>
        <w:t>KNOW</w:t>
      </w:r>
      <w:r>
        <w:rPr>
          <w:spacing w:val="-11"/>
        </w:rPr>
        <w:t> </w:t>
      </w:r>
      <w:r>
        <w:rPr>
          <w:spacing w:val="-2"/>
        </w:rPr>
        <w:t>ALL</w:t>
      </w:r>
      <w:r>
        <w:rPr>
          <w:spacing w:val="-10"/>
        </w:rPr>
        <w:t> </w:t>
      </w:r>
      <w:r>
        <w:rPr>
          <w:spacing w:val="-2"/>
        </w:rPr>
        <w:t>PERSONS</w:t>
      </w:r>
      <w:r>
        <w:rPr>
          <w:spacing w:val="-11"/>
        </w:rPr>
        <w:t> </w:t>
      </w:r>
      <w:r>
        <w:rPr>
          <w:spacing w:val="-2"/>
        </w:rPr>
        <w:t>BY</w:t>
      </w:r>
      <w:r>
        <w:rPr>
          <w:spacing w:val="-10"/>
        </w:rPr>
        <w:t> </w:t>
      </w:r>
      <w:r>
        <w:rPr>
          <w:spacing w:val="-2"/>
        </w:rPr>
        <w:t>THESE</w:t>
      </w:r>
      <w:r>
        <w:rPr>
          <w:spacing w:val="-11"/>
        </w:rPr>
        <w:t> </w:t>
      </w:r>
      <w:r>
        <w:rPr>
          <w:spacing w:val="-2"/>
        </w:rPr>
        <w:t>PRESENTS,</w:t>
      </w:r>
      <w:r>
        <w:rPr>
          <w:spacing w:val="-4"/>
        </w:rPr>
        <w:t> </w:t>
      </w:r>
      <w:r>
        <w:rPr>
          <w:spacing w:val="-2"/>
        </w:rPr>
        <w:t>that</w:t>
      </w:r>
      <w:r>
        <w:rPr>
          <w:spacing w:val="-4"/>
        </w:rPr>
        <w:t> </w:t>
      </w:r>
      <w:r>
        <w:rPr>
          <w:spacing w:val="-2"/>
        </w:rPr>
        <w:t>each</w:t>
      </w:r>
      <w:r>
        <w:rPr>
          <w:spacing w:val="-4"/>
        </w:rPr>
        <w:t> </w:t>
      </w:r>
      <w:r>
        <w:rPr>
          <w:spacing w:val="-2"/>
        </w:rPr>
        <w:t>person</w:t>
      </w:r>
      <w:r>
        <w:rPr>
          <w:spacing w:val="-4"/>
        </w:rPr>
        <w:t> </w:t>
      </w:r>
      <w:r>
        <w:rPr>
          <w:spacing w:val="-2"/>
        </w:rPr>
        <w:t>whose</w:t>
      </w:r>
      <w:r>
        <w:rPr>
          <w:spacing w:val="-4"/>
        </w:rPr>
        <w:t> </w:t>
      </w:r>
      <w:r>
        <w:rPr>
          <w:spacing w:val="-2"/>
        </w:rPr>
        <w:t>signature</w:t>
      </w:r>
      <w:r>
        <w:rPr>
          <w:spacing w:val="-4"/>
        </w:rPr>
        <w:t> </w:t>
      </w:r>
      <w:r>
        <w:rPr>
          <w:spacing w:val="-2"/>
        </w:rPr>
        <w:t>appears</w:t>
      </w:r>
      <w:r>
        <w:rPr>
          <w:spacing w:val="-4"/>
        </w:rPr>
        <w:t> </w:t>
      </w:r>
      <w:r>
        <w:rPr>
          <w:spacing w:val="-2"/>
        </w:rPr>
        <w:t>below</w:t>
      </w:r>
      <w:r>
        <w:rPr>
          <w:spacing w:val="-4"/>
        </w:rPr>
        <w:t> </w:t>
      </w:r>
      <w:r>
        <w:rPr>
          <w:spacing w:val="-2"/>
        </w:rPr>
        <w:t>constitutes</w:t>
      </w:r>
      <w:r>
        <w:rPr>
          <w:spacing w:val="-4"/>
        </w:rPr>
        <w:t> </w:t>
      </w:r>
      <w:r>
        <w:rPr>
          <w:spacing w:val="-2"/>
        </w:rPr>
        <w:t>and</w:t>
      </w:r>
      <w:r>
        <w:rPr>
          <w:spacing w:val="-4"/>
        </w:rPr>
        <w:t> </w:t>
      </w:r>
      <w:r>
        <w:rPr>
          <w:spacing w:val="-2"/>
        </w:rPr>
        <w:t>appoints </w:t>
      </w:r>
      <w:r>
        <w:rPr/>
        <w:t>Shantanu</w:t>
      </w:r>
      <w:r>
        <w:rPr>
          <w:spacing w:val="-5"/>
        </w:rPr>
        <w:t> </w:t>
      </w:r>
      <w:r>
        <w:rPr/>
        <w:t>Narayen</w:t>
      </w:r>
      <w:r>
        <w:rPr>
          <w:spacing w:val="-5"/>
        </w:rPr>
        <w:t> </w:t>
      </w:r>
      <w:r>
        <w:rPr/>
        <w:t>and</w:t>
      </w:r>
      <w:r>
        <w:rPr>
          <w:spacing w:val="-5"/>
        </w:rPr>
        <w:t> </w:t>
      </w:r>
      <w:r>
        <w:rPr/>
        <w:t>Mark</w:t>
      </w:r>
      <w:r>
        <w:rPr>
          <w:spacing w:val="-5"/>
        </w:rPr>
        <w:t> </w:t>
      </w:r>
      <w:r>
        <w:rPr/>
        <w:t>Garrett,</w:t>
      </w:r>
      <w:r>
        <w:rPr>
          <w:spacing w:val="-5"/>
        </w:rPr>
        <w:t> </w:t>
      </w:r>
      <w:r>
        <w:rPr/>
        <w:t>and</w:t>
      </w:r>
      <w:r>
        <w:rPr>
          <w:spacing w:val="-5"/>
        </w:rPr>
        <w:t> </w:t>
      </w:r>
      <w:r>
        <w:rPr/>
        <w:t>each</w:t>
      </w:r>
      <w:r>
        <w:rPr>
          <w:spacing w:val="-5"/>
        </w:rPr>
        <w:t> </w:t>
      </w:r>
      <w:r>
        <w:rPr/>
        <w:t>or</w:t>
      </w:r>
      <w:r>
        <w:rPr>
          <w:spacing w:val="-5"/>
        </w:rPr>
        <w:t> </w:t>
      </w:r>
      <w:r>
        <w:rPr/>
        <w:t>any</w:t>
      </w:r>
      <w:r>
        <w:rPr>
          <w:spacing w:val="-5"/>
        </w:rPr>
        <w:t> </w:t>
      </w:r>
      <w:r>
        <w:rPr/>
        <w:t>one</w:t>
      </w:r>
      <w:r>
        <w:rPr>
          <w:spacing w:val="-5"/>
        </w:rPr>
        <w:t> </w:t>
      </w:r>
      <w:r>
        <w:rPr/>
        <w:t>of</w:t>
      </w:r>
      <w:r>
        <w:rPr>
          <w:spacing w:val="-5"/>
        </w:rPr>
        <w:t> </w:t>
      </w:r>
      <w:r>
        <w:rPr/>
        <w:t>them,</w:t>
      </w:r>
      <w:r>
        <w:rPr>
          <w:spacing w:val="-5"/>
        </w:rPr>
        <w:t> </w:t>
      </w:r>
      <w:r>
        <w:rPr/>
        <w:t>his</w:t>
      </w:r>
      <w:r>
        <w:rPr>
          <w:spacing w:val="-5"/>
        </w:rPr>
        <w:t> </w:t>
      </w:r>
      <w:r>
        <w:rPr/>
        <w:t>or</w:t>
      </w:r>
      <w:r>
        <w:rPr>
          <w:spacing w:val="-5"/>
        </w:rPr>
        <w:t> </w:t>
      </w:r>
      <w:r>
        <w:rPr/>
        <w:t>her</w:t>
      </w:r>
      <w:r>
        <w:rPr>
          <w:spacing w:val="-5"/>
        </w:rPr>
        <w:t> </w:t>
      </w:r>
      <w:r>
        <w:rPr/>
        <w:t>lawful</w:t>
      </w:r>
      <w:r>
        <w:rPr>
          <w:spacing w:val="-5"/>
        </w:rPr>
        <w:t> </w:t>
      </w:r>
      <w:r>
        <w:rPr/>
        <w:t>attorneys-in-fact</w:t>
      </w:r>
      <w:r>
        <w:rPr>
          <w:spacing w:val="-6"/>
        </w:rPr>
        <w:t> </w:t>
      </w:r>
      <w:r>
        <w:rPr/>
        <w:t>and</w:t>
      </w:r>
      <w:r>
        <w:rPr>
          <w:spacing w:val="-5"/>
        </w:rPr>
        <w:t> </w:t>
      </w:r>
      <w:r>
        <w:rPr/>
        <w:t>agents,</w:t>
      </w:r>
      <w:r>
        <w:rPr>
          <w:spacing w:val="-5"/>
        </w:rPr>
        <w:t> </w:t>
      </w:r>
      <w:r>
        <w:rPr/>
        <w:t>for</w:t>
      </w:r>
      <w:r>
        <w:rPr>
          <w:spacing w:val="-5"/>
        </w:rPr>
        <w:t> </w:t>
      </w:r>
      <w:r>
        <w:rPr/>
        <w:t>such</w:t>
      </w:r>
      <w:r>
        <w:rPr>
          <w:spacing w:val="-5"/>
        </w:rPr>
        <w:t> </w:t>
      </w:r>
      <w:r>
        <w:rPr/>
        <w:t>person in any and all capacities, to sign any and all amendments to this report and to file the same, with all exhibits thereto and other documents</w:t>
      </w:r>
      <w:r>
        <w:rPr>
          <w:spacing w:val="-13"/>
        </w:rPr>
        <w:t> </w:t>
      </w:r>
      <w:r>
        <w:rPr/>
        <w:t>in</w:t>
      </w:r>
      <w:r>
        <w:rPr>
          <w:spacing w:val="-12"/>
        </w:rPr>
        <w:t> </w:t>
      </w:r>
      <w:r>
        <w:rPr/>
        <w:t>connection</w:t>
      </w:r>
      <w:r>
        <w:rPr>
          <w:spacing w:val="-13"/>
        </w:rPr>
        <w:t> </w:t>
      </w:r>
      <w:r>
        <w:rPr/>
        <w:t>therewith,</w:t>
      </w:r>
      <w:r>
        <w:rPr>
          <w:spacing w:val="-12"/>
        </w:rPr>
        <w:t> </w:t>
      </w:r>
      <w:r>
        <w:rPr/>
        <w:t>with</w:t>
      </w:r>
      <w:r>
        <w:rPr>
          <w:spacing w:val="-12"/>
        </w:rPr>
        <w:t> </w:t>
      </w:r>
      <w:r>
        <w:rPr/>
        <w:t>the</w:t>
      </w:r>
      <w:r>
        <w:rPr>
          <w:spacing w:val="-13"/>
        </w:rPr>
        <w:t> </w:t>
      </w:r>
      <w:r>
        <w:rPr/>
        <w:t>Securities</w:t>
      </w:r>
      <w:r>
        <w:rPr>
          <w:spacing w:val="-12"/>
        </w:rPr>
        <w:t> </w:t>
      </w:r>
      <w:r>
        <w:rPr/>
        <w:t>and</w:t>
      </w:r>
      <w:r>
        <w:rPr>
          <w:spacing w:val="-12"/>
        </w:rPr>
        <w:t> </w:t>
      </w:r>
      <w:r>
        <w:rPr/>
        <w:t>Exchange</w:t>
      </w:r>
      <w:r>
        <w:rPr>
          <w:spacing w:val="-13"/>
        </w:rPr>
        <w:t> </w:t>
      </w:r>
      <w:r>
        <w:rPr/>
        <w:t>Commission,</w:t>
      </w:r>
      <w:r>
        <w:rPr>
          <w:spacing w:val="-12"/>
        </w:rPr>
        <w:t> </w:t>
      </w:r>
      <w:r>
        <w:rPr/>
        <w:t>hereby</w:t>
      </w:r>
      <w:r>
        <w:rPr>
          <w:spacing w:val="-13"/>
        </w:rPr>
        <w:t> </w:t>
      </w:r>
      <w:r>
        <w:rPr/>
        <w:t>ratifying</w:t>
      </w:r>
      <w:r>
        <w:rPr>
          <w:spacing w:val="-12"/>
        </w:rPr>
        <w:t> </w:t>
      </w:r>
      <w:r>
        <w:rPr/>
        <w:t>and</w:t>
      </w:r>
      <w:r>
        <w:rPr>
          <w:spacing w:val="-12"/>
        </w:rPr>
        <w:t> </w:t>
      </w:r>
      <w:r>
        <w:rPr/>
        <w:t>confirming</w:t>
      </w:r>
      <w:r>
        <w:rPr>
          <w:spacing w:val="-13"/>
        </w:rPr>
        <w:t> </w:t>
      </w:r>
      <w:r>
        <w:rPr/>
        <w:t>all</w:t>
      </w:r>
      <w:r>
        <w:rPr>
          <w:spacing w:val="-12"/>
        </w:rPr>
        <w:t> </w:t>
      </w:r>
      <w:r>
        <w:rPr/>
        <w:t>that</w:t>
      </w:r>
      <w:r>
        <w:rPr>
          <w:spacing w:val="-12"/>
        </w:rPr>
        <w:t> </w:t>
      </w:r>
      <w:r>
        <w:rPr/>
        <w:t>either of said attorneys-in-fact and agent, or substitute or substitutes, may do or cause to be done by virtue hereof.</w:t>
      </w:r>
    </w:p>
    <w:p>
      <w:pPr>
        <w:pStyle w:val="BodyText"/>
        <w:spacing w:line="249" w:lineRule="auto" w:before="184"/>
        <w:ind w:left="220" w:right="337" w:firstLine="540"/>
        <w:jc w:val="both"/>
      </w:pPr>
      <w:r>
        <w:rPr/>
        <w:t>Pursuant</w:t>
      </w:r>
      <w:r>
        <w:rPr>
          <w:spacing w:val="-2"/>
        </w:rPr>
        <w:t> </w:t>
      </w:r>
      <w:r>
        <w:rPr/>
        <w:t>to</w:t>
      </w:r>
      <w:r>
        <w:rPr>
          <w:spacing w:val="-2"/>
        </w:rPr>
        <w:t> </w:t>
      </w:r>
      <w:r>
        <w:rPr/>
        <w:t>the</w:t>
      </w:r>
      <w:r>
        <w:rPr>
          <w:spacing w:val="-2"/>
        </w:rPr>
        <w:t> </w:t>
      </w:r>
      <w:r>
        <w:rPr/>
        <w:t>requirements</w:t>
      </w:r>
      <w:r>
        <w:rPr>
          <w:spacing w:val="-3"/>
        </w:rPr>
        <w:t> </w:t>
      </w:r>
      <w:r>
        <w:rPr/>
        <w:t>of</w:t>
      </w:r>
      <w:r>
        <w:rPr>
          <w:spacing w:val="-2"/>
        </w:rPr>
        <w:t> </w:t>
      </w:r>
      <w:r>
        <w:rPr/>
        <w:t>the</w:t>
      </w:r>
      <w:r>
        <w:rPr>
          <w:spacing w:val="-2"/>
        </w:rPr>
        <w:t> </w:t>
      </w:r>
      <w:r>
        <w:rPr/>
        <w:t>Securities</w:t>
      </w:r>
      <w:r>
        <w:rPr>
          <w:spacing w:val="-3"/>
        </w:rPr>
        <w:t> </w:t>
      </w:r>
      <w:r>
        <w:rPr/>
        <w:t>Exchange</w:t>
      </w:r>
      <w:r>
        <w:rPr>
          <w:spacing w:val="-13"/>
        </w:rPr>
        <w:t> </w:t>
      </w:r>
      <w:r>
        <w:rPr/>
        <w:t>Act</w:t>
      </w:r>
      <w:r>
        <w:rPr>
          <w:spacing w:val="-2"/>
        </w:rPr>
        <w:t> </w:t>
      </w:r>
      <w:r>
        <w:rPr/>
        <w:t>of</w:t>
      </w:r>
      <w:r>
        <w:rPr>
          <w:spacing w:val="-2"/>
        </w:rPr>
        <w:t> </w:t>
      </w:r>
      <w:r>
        <w:rPr/>
        <w:t>1934,</w:t>
      </w:r>
      <w:r>
        <w:rPr>
          <w:spacing w:val="-2"/>
        </w:rPr>
        <w:t> </w:t>
      </w:r>
      <w:r>
        <w:rPr/>
        <w:t>this</w:t>
      </w:r>
      <w:r>
        <w:rPr>
          <w:spacing w:val="-3"/>
        </w:rPr>
        <w:t> </w:t>
      </w:r>
      <w:r>
        <w:rPr/>
        <w:t>report</w:t>
      </w:r>
      <w:r>
        <w:rPr>
          <w:spacing w:val="-2"/>
        </w:rPr>
        <w:t> </w:t>
      </w:r>
      <w:r>
        <w:rPr/>
        <w:t>has</w:t>
      </w:r>
      <w:r>
        <w:rPr>
          <w:spacing w:val="-3"/>
        </w:rPr>
        <w:t> </w:t>
      </w:r>
      <w:r>
        <w:rPr/>
        <w:t>been</w:t>
      </w:r>
      <w:r>
        <w:rPr>
          <w:spacing w:val="-2"/>
        </w:rPr>
        <w:t> </w:t>
      </w:r>
      <w:r>
        <w:rPr/>
        <w:t>signed</w:t>
      </w:r>
      <w:r>
        <w:rPr>
          <w:spacing w:val="-2"/>
        </w:rPr>
        <w:t> </w:t>
      </w:r>
      <w:r>
        <w:rPr/>
        <w:t>below</w:t>
      </w:r>
      <w:r>
        <w:rPr>
          <w:spacing w:val="-3"/>
        </w:rPr>
        <w:t> </w:t>
      </w:r>
      <w:r>
        <w:rPr/>
        <w:t>by</w:t>
      </w:r>
      <w:r>
        <w:rPr>
          <w:spacing w:val="-2"/>
        </w:rPr>
        <w:t> </w:t>
      </w:r>
      <w:r>
        <w:rPr/>
        <w:t>the</w:t>
      </w:r>
      <w:r>
        <w:rPr>
          <w:spacing w:val="-2"/>
        </w:rPr>
        <w:t> </w:t>
      </w:r>
      <w:r>
        <w:rPr/>
        <w:t>following persons on behalf of the registrant and in the capacities and on the dates indicated.</w:t>
      </w:r>
    </w:p>
    <w:p>
      <w:pPr>
        <w:pStyle w:val="BodyText"/>
        <w:spacing w:before="1"/>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0"/>
        <w:gridCol w:w="500"/>
        <w:gridCol w:w="4000"/>
        <w:gridCol w:w="500"/>
        <w:gridCol w:w="1600"/>
      </w:tblGrid>
      <w:tr>
        <w:trPr>
          <w:trHeight w:val="217" w:hRule="atLeast"/>
        </w:trPr>
        <w:tc>
          <w:tcPr>
            <w:tcW w:w="3640" w:type="dxa"/>
            <w:tcBorders>
              <w:bottom w:val="single" w:sz="8" w:space="0" w:color="000000"/>
            </w:tcBorders>
          </w:tcPr>
          <w:p>
            <w:pPr>
              <w:pStyle w:val="TableParagraph"/>
              <w:spacing w:line="177" w:lineRule="exact"/>
              <w:ind w:left="3" w:right="19"/>
              <w:jc w:val="center"/>
              <w:rPr>
                <w:b/>
                <w:sz w:val="16"/>
              </w:rPr>
            </w:pPr>
            <w:r>
              <w:rPr>
                <w:b/>
                <w:spacing w:val="-2"/>
                <w:sz w:val="16"/>
              </w:rPr>
              <w:t>Signature</w:t>
            </w:r>
          </w:p>
        </w:tc>
        <w:tc>
          <w:tcPr>
            <w:tcW w:w="500" w:type="dxa"/>
          </w:tcPr>
          <w:p>
            <w:pPr>
              <w:pStyle w:val="TableParagraph"/>
              <w:rPr>
                <w:sz w:val="14"/>
              </w:rPr>
            </w:pPr>
          </w:p>
        </w:tc>
        <w:tc>
          <w:tcPr>
            <w:tcW w:w="4000" w:type="dxa"/>
            <w:tcBorders>
              <w:bottom w:val="single" w:sz="8" w:space="0" w:color="000000"/>
            </w:tcBorders>
          </w:tcPr>
          <w:p>
            <w:pPr>
              <w:pStyle w:val="TableParagraph"/>
              <w:spacing w:line="177" w:lineRule="exact"/>
              <w:ind w:right="17"/>
              <w:jc w:val="center"/>
              <w:rPr>
                <w:b/>
                <w:sz w:val="16"/>
              </w:rPr>
            </w:pPr>
            <w:r>
              <w:rPr>
                <w:b/>
                <w:spacing w:val="-2"/>
                <w:sz w:val="16"/>
              </w:rPr>
              <w:t>Title</w:t>
            </w:r>
          </w:p>
        </w:tc>
        <w:tc>
          <w:tcPr>
            <w:tcW w:w="500" w:type="dxa"/>
          </w:tcPr>
          <w:p>
            <w:pPr>
              <w:pStyle w:val="TableParagraph"/>
              <w:rPr>
                <w:sz w:val="14"/>
              </w:rPr>
            </w:pPr>
          </w:p>
        </w:tc>
        <w:tc>
          <w:tcPr>
            <w:tcW w:w="1600" w:type="dxa"/>
            <w:tcBorders>
              <w:bottom w:val="single" w:sz="8" w:space="0" w:color="000000"/>
            </w:tcBorders>
          </w:tcPr>
          <w:p>
            <w:pPr>
              <w:pStyle w:val="TableParagraph"/>
              <w:spacing w:line="177" w:lineRule="exact"/>
              <w:ind w:right="18"/>
              <w:jc w:val="center"/>
              <w:rPr>
                <w:b/>
                <w:sz w:val="16"/>
              </w:rPr>
            </w:pPr>
            <w:r>
              <w:rPr>
                <w:b/>
                <w:spacing w:val="-4"/>
                <w:sz w:val="16"/>
              </w:rPr>
              <w:t>Date</w:t>
            </w:r>
          </w:p>
        </w:tc>
      </w:tr>
      <w:tr>
        <w:trPr>
          <w:trHeight w:val="880" w:hRule="atLeast"/>
        </w:trPr>
        <w:tc>
          <w:tcPr>
            <w:tcW w:w="3640" w:type="dxa"/>
            <w:tcBorders>
              <w:top w:val="single" w:sz="8" w:space="0" w:color="000000"/>
              <w:bottom w:val="single" w:sz="8" w:space="0" w:color="000000"/>
            </w:tcBorders>
          </w:tcPr>
          <w:p>
            <w:pPr>
              <w:pStyle w:val="TableParagraph"/>
              <w:rPr>
                <w:sz w:val="20"/>
              </w:rPr>
            </w:pPr>
          </w:p>
          <w:p>
            <w:pPr>
              <w:pStyle w:val="TableParagraph"/>
              <w:spacing w:before="149"/>
              <w:rPr>
                <w:sz w:val="20"/>
              </w:rPr>
            </w:pPr>
          </w:p>
          <w:p>
            <w:pPr>
              <w:pStyle w:val="TableParagraph"/>
              <w:spacing w:before="1"/>
              <w:ind w:left="9" w:right="19"/>
              <w:jc w:val="center"/>
              <w:rPr>
                <w:sz w:val="20"/>
              </w:rPr>
            </w:pPr>
            <w:r>
              <w:rPr>
                <w:sz w:val="20"/>
              </w:rPr>
              <w:t>/s/</w:t>
            </w:r>
            <w:r>
              <w:rPr>
                <w:spacing w:val="-8"/>
                <w:sz w:val="20"/>
              </w:rPr>
              <w:t> </w:t>
            </w:r>
            <w:r>
              <w:rPr>
                <w:sz w:val="20"/>
              </w:rPr>
              <w:t>SHANTANU</w:t>
            </w:r>
            <w:r>
              <w:rPr>
                <w:spacing w:val="-6"/>
                <w:sz w:val="20"/>
              </w:rPr>
              <w:t> </w:t>
            </w:r>
            <w:r>
              <w:rPr>
                <w:spacing w:val="-2"/>
                <w:sz w:val="20"/>
              </w:rPr>
              <w:t>NARAYEN</w:t>
            </w:r>
          </w:p>
        </w:tc>
        <w:tc>
          <w:tcPr>
            <w:tcW w:w="500" w:type="dxa"/>
          </w:tcPr>
          <w:p>
            <w:pPr>
              <w:pStyle w:val="TableParagraph"/>
              <w:rPr>
                <w:sz w:val="18"/>
              </w:rPr>
            </w:pPr>
          </w:p>
        </w:tc>
        <w:tc>
          <w:tcPr>
            <w:tcW w:w="4000" w:type="dxa"/>
            <w:tcBorders>
              <w:top w:val="single" w:sz="8" w:space="0" w:color="000000"/>
            </w:tcBorders>
          </w:tcPr>
          <w:p>
            <w:pPr>
              <w:pStyle w:val="TableParagraph"/>
              <w:rPr>
                <w:sz w:val="18"/>
              </w:rPr>
            </w:pPr>
          </w:p>
        </w:tc>
        <w:tc>
          <w:tcPr>
            <w:tcW w:w="500" w:type="dxa"/>
          </w:tcPr>
          <w:p>
            <w:pPr>
              <w:pStyle w:val="TableParagraph"/>
              <w:rPr>
                <w:sz w:val="18"/>
              </w:rPr>
            </w:pPr>
          </w:p>
        </w:tc>
        <w:tc>
          <w:tcPr>
            <w:tcW w:w="1600" w:type="dxa"/>
            <w:tcBorders>
              <w:top w:val="single" w:sz="8" w:space="0" w:color="000000"/>
            </w:tcBorders>
          </w:tcPr>
          <w:p>
            <w:pPr>
              <w:pStyle w:val="TableParagraph"/>
              <w:rPr>
                <w:sz w:val="20"/>
              </w:rPr>
            </w:pPr>
          </w:p>
          <w:p>
            <w:pPr>
              <w:pStyle w:val="TableParagraph"/>
              <w:spacing w:before="149"/>
              <w:rPr>
                <w:sz w:val="20"/>
              </w:rPr>
            </w:pPr>
          </w:p>
          <w:p>
            <w:pPr>
              <w:pStyle w:val="TableParagraph"/>
              <w:spacing w:before="1"/>
              <w:ind w:right="18"/>
              <w:jc w:val="center"/>
              <w:rPr>
                <w:sz w:val="20"/>
              </w:rPr>
            </w:pPr>
            <w:r>
              <w:rPr>
                <w:sz w:val="20"/>
              </w:rPr>
              <w:t>January 22, </w:t>
            </w:r>
            <w:r>
              <w:rPr>
                <w:spacing w:val="-4"/>
                <w:sz w:val="20"/>
              </w:rPr>
              <w:t>2018</w:t>
            </w:r>
          </w:p>
        </w:tc>
      </w:tr>
      <w:tr>
        <w:trPr>
          <w:trHeight w:val="829" w:hRule="atLeast"/>
        </w:trPr>
        <w:tc>
          <w:tcPr>
            <w:tcW w:w="3640" w:type="dxa"/>
            <w:tcBorders>
              <w:top w:val="single" w:sz="8" w:space="0" w:color="000000"/>
            </w:tcBorders>
          </w:tcPr>
          <w:p>
            <w:pPr>
              <w:pStyle w:val="TableParagraph"/>
              <w:spacing w:line="222" w:lineRule="exact"/>
              <w:ind w:left="1" w:right="19"/>
              <w:jc w:val="center"/>
              <w:rPr>
                <w:sz w:val="20"/>
              </w:rPr>
            </w:pPr>
            <w:r>
              <w:rPr>
                <w:sz w:val="20"/>
              </w:rPr>
              <w:t>Shantanu </w:t>
            </w:r>
            <w:r>
              <w:rPr>
                <w:spacing w:val="-2"/>
                <w:sz w:val="20"/>
              </w:rPr>
              <w:t>Narayen</w:t>
            </w:r>
          </w:p>
        </w:tc>
        <w:tc>
          <w:tcPr>
            <w:tcW w:w="500" w:type="dxa"/>
          </w:tcPr>
          <w:p>
            <w:pPr>
              <w:pStyle w:val="TableParagraph"/>
              <w:rPr>
                <w:sz w:val="18"/>
              </w:rPr>
            </w:pPr>
          </w:p>
        </w:tc>
        <w:tc>
          <w:tcPr>
            <w:tcW w:w="4000" w:type="dxa"/>
          </w:tcPr>
          <w:p>
            <w:pPr>
              <w:pStyle w:val="TableParagraph"/>
              <w:spacing w:line="208" w:lineRule="auto" w:before="34"/>
              <w:ind w:left="50" w:right="29"/>
              <w:rPr>
                <w:sz w:val="20"/>
              </w:rPr>
            </w:pPr>
            <w:r>
              <w:rPr>
                <w:sz w:val="20"/>
              </w:rPr>
              <w:t>Chairman</w:t>
            </w:r>
            <w:r>
              <w:rPr>
                <w:spacing w:val="-7"/>
                <w:sz w:val="20"/>
              </w:rPr>
              <w:t> </w:t>
            </w:r>
            <w:r>
              <w:rPr>
                <w:sz w:val="20"/>
              </w:rPr>
              <w:t>of</w:t>
            </w:r>
            <w:r>
              <w:rPr>
                <w:spacing w:val="-7"/>
                <w:sz w:val="20"/>
              </w:rPr>
              <w:t> </w:t>
            </w:r>
            <w:r>
              <w:rPr>
                <w:sz w:val="20"/>
              </w:rPr>
              <w:t>the</w:t>
            </w:r>
            <w:r>
              <w:rPr>
                <w:spacing w:val="-7"/>
                <w:sz w:val="20"/>
              </w:rPr>
              <w:t> </w:t>
            </w:r>
            <w:r>
              <w:rPr>
                <w:sz w:val="20"/>
              </w:rPr>
              <w:t>Board</w:t>
            </w:r>
            <w:r>
              <w:rPr>
                <w:spacing w:val="-7"/>
                <w:sz w:val="20"/>
              </w:rPr>
              <w:t> </w:t>
            </w:r>
            <w:r>
              <w:rPr>
                <w:sz w:val="20"/>
              </w:rPr>
              <w:t>of</w:t>
            </w:r>
            <w:r>
              <w:rPr>
                <w:spacing w:val="-7"/>
                <w:sz w:val="20"/>
              </w:rPr>
              <w:t> </w:t>
            </w:r>
            <w:r>
              <w:rPr>
                <w:sz w:val="20"/>
              </w:rPr>
              <w:t>Directors,</w:t>
            </w:r>
            <w:r>
              <w:rPr>
                <w:spacing w:val="-7"/>
                <w:sz w:val="20"/>
              </w:rPr>
              <w:t> </w:t>
            </w:r>
            <w:r>
              <w:rPr>
                <w:sz w:val="20"/>
              </w:rPr>
              <w:t>President and Chief Executive Officer</w:t>
            </w:r>
          </w:p>
          <w:p>
            <w:pPr>
              <w:pStyle w:val="TableParagraph"/>
              <w:spacing w:line="206" w:lineRule="exact"/>
              <w:ind w:left="50"/>
              <w:rPr>
                <w:sz w:val="20"/>
              </w:rPr>
            </w:pPr>
            <w:r>
              <w:rPr>
                <w:sz w:val="20"/>
              </w:rPr>
              <w:t>(Principal Executive </w:t>
            </w:r>
            <w:r>
              <w:rPr>
                <w:spacing w:val="-2"/>
                <w:sz w:val="20"/>
              </w:rPr>
              <w:t>Officer)</w:t>
            </w:r>
          </w:p>
        </w:tc>
        <w:tc>
          <w:tcPr>
            <w:tcW w:w="500" w:type="dxa"/>
          </w:tcPr>
          <w:p>
            <w:pPr>
              <w:pStyle w:val="TableParagraph"/>
              <w:rPr>
                <w:sz w:val="18"/>
              </w:rPr>
            </w:pPr>
          </w:p>
        </w:tc>
        <w:tc>
          <w:tcPr>
            <w:tcW w:w="1600" w:type="dxa"/>
          </w:tcPr>
          <w:p>
            <w:pPr>
              <w:pStyle w:val="TableParagraph"/>
              <w:rPr>
                <w:sz w:val="18"/>
              </w:rPr>
            </w:pPr>
          </w:p>
        </w:tc>
      </w:tr>
      <w:tr>
        <w:trPr>
          <w:trHeight w:val="450" w:hRule="atLeast"/>
        </w:trPr>
        <w:tc>
          <w:tcPr>
            <w:tcW w:w="3640" w:type="dxa"/>
            <w:tcBorders>
              <w:bottom w:val="single" w:sz="8" w:space="0" w:color="000000"/>
            </w:tcBorders>
          </w:tcPr>
          <w:p>
            <w:pPr>
              <w:pStyle w:val="TableParagraph"/>
              <w:spacing w:before="180"/>
              <w:ind w:left="5" w:right="19"/>
              <w:jc w:val="center"/>
              <w:rPr>
                <w:sz w:val="20"/>
              </w:rPr>
            </w:pPr>
            <w:r>
              <w:rPr>
                <w:sz w:val="20"/>
              </w:rPr>
              <w:t>/s/</w:t>
            </w:r>
            <w:r>
              <w:rPr>
                <w:spacing w:val="-2"/>
                <w:sz w:val="20"/>
              </w:rPr>
              <w:t> </w:t>
            </w:r>
            <w:r>
              <w:rPr>
                <w:sz w:val="20"/>
              </w:rPr>
              <w:t>MARK</w:t>
            </w:r>
            <w:r>
              <w:rPr>
                <w:spacing w:val="-2"/>
                <w:sz w:val="20"/>
              </w:rPr>
              <w:t> GARRETT</w:t>
            </w:r>
          </w:p>
        </w:tc>
        <w:tc>
          <w:tcPr>
            <w:tcW w:w="500" w:type="dxa"/>
          </w:tcPr>
          <w:p>
            <w:pPr>
              <w:pStyle w:val="TableParagraph"/>
              <w:rPr>
                <w:sz w:val="18"/>
              </w:rPr>
            </w:pPr>
          </w:p>
        </w:tc>
        <w:tc>
          <w:tcPr>
            <w:tcW w:w="4000" w:type="dxa"/>
          </w:tcPr>
          <w:p>
            <w:pPr>
              <w:pStyle w:val="TableParagraph"/>
              <w:rPr>
                <w:sz w:val="18"/>
              </w:rPr>
            </w:pPr>
          </w:p>
        </w:tc>
        <w:tc>
          <w:tcPr>
            <w:tcW w:w="500" w:type="dxa"/>
          </w:tcPr>
          <w:p>
            <w:pPr>
              <w:pStyle w:val="TableParagraph"/>
              <w:rPr>
                <w:sz w:val="18"/>
              </w:rPr>
            </w:pPr>
          </w:p>
        </w:tc>
        <w:tc>
          <w:tcPr>
            <w:tcW w:w="1600" w:type="dxa"/>
          </w:tcPr>
          <w:p>
            <w:pPr>
              <w:pStyle w:val="TableParagraph"/>
              <w:spacing w:before="180"/>
              <w:ind w:right="18"/>
              <w:jc w:val="center"/>
              <w:rPr>
                <w:sz w:val="20"/>
              </w:rPr>
            </w:pPr>
            <w:r>
              <w:rPr>
                <w:sz w:val="20"/>
              </w:rPr>
              <w:t>January 22, </w:t>
            </w:r>
            <w:r>
              <w:rPr>
                <w:spacing w:val="-4"/>
                <w:sz w:val="20"/>
              </w:rPr>
              <w:t>2018</w:t>
            </w:r>
          </w:p>
        </w:tc>
      </w:tr>
      <w:tr>
        <w:trPr>
          <w:trHeight w:val="589" w:hRule="atLeast"/>
        </w:trPr>
        <w:tc>
          <w:tcPr>
            <w:tcW w:w="3640" w:type="dxa"/>
            <w:tcBorders>
              <w:top w:val="single" w:sz="8" w:space="0" w:color="000000"/>
            </w:tcBorders>
          </w:tcPr>
          <w:p>
            <w:pPr>
              <w:pStyle w:val="TableParagraph"/>
              <w:spacing w:line="222" w:lineRule="exact"/>
              <w:ind w:left="1" w:right="19"/>
              <w:jc w:val="center"/>
              <w:rPr>
                <w:sz w:val="20"/>
              </w:rPr>
            </w:pPr>
            <w:r>
              <w:rPr>
                <w:sz w:val="20"/>
              </w:rPr>
              <w:t>Mark </w:t>
            </w:r>
            <w:r>
              <w:rPr>
                <w:spacing w:val="-2"/>
                <w:sz w:val="20"/>
              </w:rPr>
              <w:t>Garrett</w:t>
            </w:r>
          </w:p>
        </w:tc>
        <w:tc>
          <w:tcPr>
            <w:tcW w:w="500" w:type="dxa"/>
          </w:tcPr>
          <w:p>
            <w:pPr>
              <w:pStyle w:val="TableParagraph"/>
              <w:rPr>
                <w:sz w:val="18"/>
              </w:rPr>
            </w:pPr>
          </w:p>
        </w:tc>
        <w:tc>
          <w:tcPr>
            <w:tcW w:w="4000" w:type="dxa"/>
          </w:tcPr>
          <w:p>
            <w:pPr>
              <w:pStyle w:val="TableParagraph"/>
              <w:spacing w:line="208" w:lineRule="auto" w:before="16"/>
              <w:ind w:left="50" w:right="29"/>
              <w:rPr>
                <w:sz w:val="20"/>
              </w:rPr>
            </w:pPr>
            <w:r>
              <w:rPr>
                <w:sz w:val="20"/>
              </w:rPr>
              <w:t>Executive</w:t>
            </w:r>
            <w:r>
              <w:rPr>
                <w:spacing w:val="-12"/>
                <w:sz w:val="20"/>
              </w:rPr>
              <w:t> </w:t>
            </w:r>
            <w:r>
              <w:rPr>
                <w:sz w:val="20"/>
              </w:rPr>
              <w:t>Vice</w:t>
            </w:r>
            <w:r>
              <w:rPr>
                <w:spacing w:val="-9"/>
                <w:sz w:val="20"/>
              </w:rPr>
              <w:t> </w:t>
            </w:r>
            <w:r>
              <w:rPr>
                <w:sz w:val="20"/>
              </w:rPr>
              <w:t>President</w:t>
            </w:r>
            <w:r>
              <w:rPr>
                <w:spacing w:val="-9"/>
                <w:sz w:val="20"/>
              </w:rPr>
              <w:t> </w:t>
            </w:r>
            <w:r>
              <w:rPr>
                <w:sz w:val="20"/>
              </w:rPr>
              <w:t>and</w:t>
            </w:r>
            <w:r>
              <w:rPr>
                <w:spacing w:val="-9"/>
                <w:sz w:val="20"/>
              </w:rPr>
              <w:t> </w:t>
            </w:r>
            <w:r>
              <w:rPr>
                <w:sz w:val="20"/>
              </w:rPr>
              <w:t>Chief</w:t>
            </w:r>
            <w:r>
              <w:rPr>
                <w:spacing w:val="-9"/>
                <w:sz w:val="20"/>
              </w:rPr>
              <w:t> </w:t>
            </w:r>
            <w:r>
              <w:rPr>
                <w:sz w:val="20"/>
              </w:rPr>
              <w:t>Financial Officer (Principal Financial Officer)</w:t>
            </w:r>
          </w:p>
        </w:tc>
        <w:tc>
          <w:tcPr>
            <w:tcW w:w="500" w:type="dxa"/>
          </w:tcPr>
          <w:p>
            <w:pPr>
              <w:pStyle w:val="TableParagraph"/>
              <w:rPr>
                <w:sz w:val="18"/>
              </w:rPr>
            </w:pPr>
          </w:p>
        </w:tc>
        <w:tc>
          <w:tcPr>
            <w:tcW w:w="1600" w:type="dxa"/>
          </w:tcPr>
          <w:p>
            <w:pPr>
              <w:pStyle w:val="TableParagraph"/>
              <w:rPr>
                <w:sz w:val="18"/>
              </w:rPr>
            </w:pPr>
          </w:p>
        </w:tc>
      </w:tr>
      <w:tr>
        <w:trPr>
          <w:trHeight w:val="430" w:hRule="atLeast"/>
        </w:trPr>
        <w:tc>
          <w:tcPr>
            <w:tcW w:w="3640" w:type="dxa"/>
            <w:tcBorders>
              <w:bottom w:val="single" w:sz="8" w:space="0" w:color="000000"/>
            </w:tcBorders>
          </w:tcPr>
          <w:p>
            <w:pPr>
              <w:pStyle w:val="TableParagraph"/>
              <w:spacing w:before="160"/>
              <w:ind w:left="7" w:right="19"/>
              <w:jc w:val="center"/>
              <w:rPr>
                <w:sz w:val="20"/>
              </w:rPr>
            </w:pPr>
            <w:r>
              <w:rPr>
                <w:sz w:val="20"/>
              </w:rPr>
              <w:t>/s/</w:t>
            </w:r>
            <w:r>
              <w:rPr>
                <w:spacing w:val="-2"/>
                <w:sz w:val="20"/>
              </w:rPr>
              <w:t> </w:t>
            </w:r>
            <w:r>
              <w:rPr>
                <w:sz w:val="20"/>
              </w:rPr>
              <w:t>JOHN</w:t>
            </w:r>
            <w:r>
              <w:rPr>
                <w:spacing w:val="-2"/>
                <w:sz w:val="20"/>
              </w:rPr>
              <w:t> MURPHY</w:t>
            </w:r>
          </w:p>
        </w:tc>
        <w:tc>
          <w:tcPr>
            <w:tcW w:w="500" w:type="dxa"/>
          </w:tcPr>
          <w:p>
            <w:pPr>
              <w:pStyle w:val="TableParagraph"/>
              <w:rPr>
                <w:sz w:val="18"/>
              </w:rPr>
            </w:pPr>
          </w:p>
        </w:tc>
        <w:tc>
          <w:tcPr>
            <w:tcW w:w="4000" w:type="dxa"/>
          </w:tcPr>
          <w:p>
            <w:pPr>
              <w:pStyle w:val="TableParagraph"/>
              <w:rPr>
                <w:sz w:val="18"/>
              </w:rPr>
            </w:pPr>
          </w:p>
        </w:tc>
        <w:tc>
          <w:tcPr>
            <w:tcW w:w="500" w:type="dxa"/>
          </w:tcPr>
          <w:p>
            <w:pPr>
              <w:pStyle w:val="TableParagraph"/>
              <w:rPr>
                <w:sz w:val="18"/>
              </w:rPr>
            </w:pPr>
          </w:p>
        </w:tc>
        <w:tc>
          <w:tcPr>
            <w:tcW w:w="1600" w:type="dxa"/>
          </w:tcPr>
          <w:p>
            <w:pPr>
              <w:pStyle w:val="TableParagraph"/>
              <w:spacing w:before="160"/>
              <w:ind w:right="18"/>
              <w:jc w:val="center"/>
              <w:rPr>
                <w:sz w:val="20"/>
              </w:rPr>
            </w:pPr>
            <w:r>
              <w:rPr>
                <w:sz w:val="20"/>
              </w:rPr>
              <w:t>January 22, </w:t>
            </w:r>
            <w:r>
              <w:rPr>
                <w:spacing w:val="-4"/>
                <w:sz w:val="20"/>
              </w:rPr>
              <w:t>2018</w:t>
            </w:r>
          </w:p>
        </w:tc>
      </w:tr>
      <w:tr>
        <w:trPr>
          <w:trHeight w:val="820" w:hRule="atLeast"/>
        </w:trPr>
        <w:tc>
          <w:tcPr>
            <w:tcW w:w="3640" w:type="dxa"/>
            <w:tcBorders>
              <w:top w:val="single" w:sz="8" w:space="0" w:color="000000"/>
            </w:tcBorders>
          </w:tcPr>
          <w:p>
            <w:pPr>
              <w:pStyle w:val="TableParagraph"/>
              <w:spacing w:line="222" w:lineRule="exact"/>
              <w:ind w:right="19"/>
              <w:jc w:val="center"/>
              <w:rPr>
                <w:sz w:val="20"/>
              </w:rPr>
            </w:pPr>
            <w:r>
              <w:rPr>
                <w:sz w:val="20"/>
              </w:rPr>
              <w:t>John </w:t>
            </w:r>
            <w:r>
              <w:rPr>
                <w:spacing w:val="-2"/>
                <w:sz w:val="20"/>
              </w:rPr>
              <w:t>Murphy</w:t>
            </w:r>
          </w:p>
        </w:tc>
        <w:tc>
          <w:tcPr>
            <w:tcW w:w="500" w:type="dxa"/>
          </w:tcPr>
          <w:p>
            <w:pPr>
              <w:pStyle w:val="TableParagraph"/>
              <w:rPr>
                <w:sz w:val="18"/>
              </w:rPr>
            </w:pPr>
          </w:p>
        </w:tc>
        <w:tc>
          <w:tcPr>
            <w:tcW w:w="4000" w:type="dxa"/>
          </w:tcPr>
          <w:p>
            <w:pPr>
              <w:pStyle w:val="TableParagraph"/>
              <w:spacing w:line="208" w:lineRule="auto" w:before="16"/>
              <w:ind w:left="50" w:right="91"/>
              <w:jc w:val="both"/>
              <w:rPr>
                <w:sz w:val="20"/>
              </w:rPr>
            </w:pPr>
            <w:r>
              <w:rPr>
                <w:sz w:val="20"/>
              </w:rPr>
              <w:t>Senior</w:t>
            </w:r>
            <w:r>
              <w:rPr>
                <w:spacing w:val="-9"/>
                <w:sz w:val="20"/>
              </w:rPr>
              <w:t> </w:t>
            </w:r>
            <w:r>
              <w:rPr>
                <w:sz w:val="20"/>
              </w:rPr>
              <w:t>Vice</w:t>
            </w:r>
            <w:r>
              <w:rPr>
                <w:spacing w:val="-7"/>
                <w:sz w:val="20"/>
              </w:rPr>
              <w:t> </w:t>
            </w:r>
            <w:r>
              <w:rPr>
                <w:sz w:val="20"/>
              </w:rPr>
              <w:t>President,</w:t>
            </w:r>
            <w:r>
              <w:rPr>
                <w:spacing w:val="-7"/>
                <w:sz w:val="20"/>
              </w:rPr>
              <w:t> </w:t>
            </w:r>
            <w:r>
              <w:rPr>
                <w:sz w:val="20"/>
              </w:rPr>
              <w:t>Corporate</w:t>
            </w:r>
            <w:r>
              <w:rPr>
                <w:spacing w:val="-7"/>
                <w:sz w:val="20"/>
              </w:rPr>
              <w:t> </w:t>
            </w:r>
            <w:r>
              <w:rPr>
                <w:sz w:val="20"/>
              </w:rPr>
              <w:t>Controller</w:t>
            </w:r>
            <w:r>
              <w:rPr>
                <w:spacing w:val="-7"/>
                <w:sz w:val="20"/>
              </w:rPr>
              <w:t> </w:t>
            </w:r>
            <w:r>
              <w:rPr>
                <w:sz w:val="20"/>
              </w:rPr>
              <w:t>and Chief</w:t>
            </w:r>
            <w:r>
              <w:rPr>
                <w:spacing w:val="-13"/>
                <w:sz w:val="20"/>
              </w:rPr>
              <w:t> </w:t>
            </w:r>
            <w:r>
              <w:rPr>
                <w:sz w:val="20"/>
              </w:rPr>
              <w:t>Accounting</w:t>
            </w:r>
            <w:r>
              <w:rPr>
                <w:spacing w:val="-12"/>
                <w:sz w:val="20"/>
              </w:rPr>
              <w:t> </w:t>
            </w:r>
            <w:r>
              <w:rPr>
                <w:sz w:val="20"/>
              </w:rPr>
              <w:t>Officer</w:t>
            </w:r>
            <w:r>
              <w:rPr>
                <w:spacing w:val="-13"/>
                <w:sz w:val="20"/>
              </w:rPr>
              <w:t> </w:t>
            </w:r>
            <w:r>
              <w:rPr>
                <w:sz w:val="20"/>
              </w:rPr>
              <w:t>(Principal</w:t>
            </w:r>
            <w:r>
              <w:rPr>
                <w:spacing w:val="-12"/>
                <w:sz w:val="20"/>
              </w:rPr>
              <w:t> </w:t>
            </w:r>
            <w:r>
              <w:rPr>
                <w:sz w:val="20"/>
              </w:rPr>
              <w:t>Accounting </w:t>
            </w:r>
            <w:r>
              <w:rPr>
                <w:spacing w:val="-2"/>
                <w:sz w:val="20"/>
              </w:rPr>
              <w:t>Officer)</w:t>
            </w:r>
          </w:p>
        </w:tc>
        <w:tc>
          <w:tcPr>
            <w:tcW w:w="500" w:type="dxa"/>
          </w:tcPr>
          <w:p>
            <w:pPr>
              <w:pStyle w:val="TableParagraph"/>
              <w:rPr>
                <w:sz w:val="18"/>
              </w:rPr>
            </w:pPr>
          </w:p>
        </w:tc>
        <w:tc>
          <w:tcPr>
            <w:tcW w:w="1600" w:type="dxa"/>
          </w:tcPr>
          <w:p>
            <w:pPr>
              <w:pStyle w:val="TableParagraph"/>
              <w:rPr>
                <w:sz w:val="18"/>
              </w:rPr>
            </w:pPr>
          </w:p>
        </w:tc>
      </w:tr>
      <w:tr>
        <w:trPr>
          <w:trHeight w:val="459" w:hRule="atLeast"/>
        </w:trPr>
        <w:tc>
          <w:tcPr>
            <w:tcW w:w="3640" w:type="dxa"/>
            <w:tcBorders>
              <w:bottom w:val="single" w:sz="8" w:space="0" w:color="000000"/>
            </w:tcBorders>
          </w:tcPr>
          <w:p>
            <w:pPr>
              <w:pStyle w:val="TableParagraph"/>
              <w:spacing w:before="189"/>
              <w:ind w:left="7" w:right="19"/>
              <w:jc w:val="center"/>
              <w:rPr>
                <w:sz w:val="20"/>
              </w:rPr>
            </w:pPr>
            <w:r>
              <w:rPr>
                <w:sz w:val="20"/>
              </w:rPr>
              <w:t>/s/</w:t>
            </w:r>
            <w:r>
              <w:rPr>
                <w:spacing w:val="-3"/>
                <w:sz w:val="20"/>
              </w:rPr>
              <w:t> </w:t>
            </w:r>
            <w:r>
              <w:rPr>
                <w:sz w:val="20"/>
              </w:rPr>
              <w:t>JAMES</w:t>
            </w:r>
            <w:r>
              <w:rPr>
                <w:spacing w:val="-2"/>
                <w:sz w:val="20"/>
              </w:rPr>
              <w:t> DALEY</w:t>
            </w:r>
          </w:p>
        </w:tc>
        <w:tc>
          <w:tcPr>
            <w:tcW w:w="500" w:type="dxa"/>
          </w:tcPr>
          <w:p>
            <w:pPr>
              <w:pStyle w:val="TableParagraph"/>
              <w:rPr>
                <w:sz w:val="18"/>
              </w:rPr>
            </w:pPr>
          </w:p>
        </w:tc>
        <w:tc>
          <w:tcPr>
            <w:tcW w:w="4000" w:type="dxa"/>
          </w:tcPr>
          <w:p>
            <w:pPr>
              <w:pStyle w:val="TableParagraph"/>
              <w:rPr>
                <w:sz w:val="18"/>
              </w:rPr>
            </w:pPr>
          </w:p>
        </w:tc>
        <w:tc>
          <w:tcPr>
            <w:tcW w:w="500" w:type="dxa"/>
          </w:tcPr>
          <w:p>
            <w:pPr>
              <w:pStyle w:val="TableParagraph"/>
              <w:rPr>
                <w:sz w:val="18"/>
              </w:rPr>
            </w:pPr>
          </w:p>
        </w:tc>
        <w:tc>
          <w:tcPr>
            <w:tcW w:w="1600" w:type="dxa"/>
          </w:tcPr>
          <w:p>
            <w:pPr>
              <w:pStyle w:val="TableParagraph"/>
              <w:spacing w:before="189"/>
              <w:ind w:right="18"/>
              <w:jc w:val="center"/>
              <w:rPr>
                <w:sz w:val="20"/>
              </w:rPr>
            </w:pPr>
            <w:r>
              <w:rPr>
                <w:sz w:val="20"/>
              </w:rPr>
              <w:t>January 22, </w:t>
            </w:r>
            <w:r>
              <w:rPr>
                <w:spacing w:val="-4"/>
                <w:sz w:val="20"/>
              </w:rPr>
              <w:t>2018</w:t>
            </w:r>
          </w:p>
        </w:tc>
      </w:tr>
      <w:tr>
        <w:trPr>
          <w:trHeight w:val="429" w:hRule="atLeast"/>
        </w:trPr>
        <w:tc>
          <w:tcPr>
            <w:tcW w:w="3640" w:type="dxa"/>
            <w:tcBorders>
              <w:top w:val="single" w:sz="8" w:space="0" w:color="000000"/>
            </w:tcBorders>
          </w:tcPr>
          <w:p>
            <w:pPr>
              <w:pStyle w:val="TableParagraph"/>
              <w:spacing w:before="10"/>
              <w:ind w:right="19"/>
              <w:jc w:val="center"/>
              <w:rPr>
                <w:sz w:val="20"/>
              </w:rPr>
            </w:pPr>
            <w:r>
              <w:rPr>
                <w:sz w:val="20"/>
              </w:rPr>
              <w:t>James</w:t>
            </w:r>
            <w:r>
              <w:rPr>
                <w:spacing w:val="-5"/>
                <w:sz w:val="20"/>
              </w:rPr>
              <w:t> </w:t>
            </w:r>
            <w:r>
              <w:rPr>
                <w:spacing w:val="-2"/>
                <w:sz w:val="20"/>
              </w:rPr>
              <w:t>Daley</w:t>
            </w:r>
          </w:p>
        </w:tc>
        <w:tc>
          <w:tcPr>
            <w:tcW w:w="500" w:type="dxa"/>
          </w:tcPr>
          <w:p>
            <w:pPr>
              <w:pStyle w:val="TableParagraph"/>
              <w:rPr>
                <w:sz w:val="18"/>
              </w:rPr>
            </w:pPr>
          </w:p>
        </w:tc>
        <w:tc>
          <w:tcPr>
            <w:tcW w:w="4000" w:type="dxa"/>
          </w:tcPr>
          <w:p>
            <w:pPr>
              <w:pStyle w:val="TableParagraph"/>
              <w:spacing w:before="10"/>
              <w:ind w:left="50"/>
              <w:rPr>
                <w:sz w:val="20"/>
              </w:rPr>
            </w:pPr>
            <w:r>
              <w:rPr>
                <w:spacing w:val="-2"/>
                <w:sz w:val="20"/>
              </w:rPr>
              <w:t>Director</w:t>
            </w:r>
          </w:p>
        </w:tc>
        <w:tc>
          <w:tcPr>
            <w:tcW w:w="500" w:type="dxa"/>
          </w:tcPr>
          <w:p>
            <w:pPr>
              <w:pStyle w:val="TableParagraph"/>
              <w:rPr>
                <w:sz w:val="18"/>
              </w:rPr>
            </w:pPr>
          </w:p>
        </w:tc>
        <w:tc>
          <w:tcPr>
            <w:tcW w:w="1600" w:type="dxa"/>
          </w:tcPr>
          <w:p>
            <w:pPr>
              <w:pStyle w:val="TableParagraph"/>
              <w:rPr>
                <w:sz w:val="18"/>
              </w:rPr>
            </w:pPr>
          </w:p>
        </w:tc>
      </w:tr>
      <w:tr>
        <w:trPr>
          <w:trHeight w:val="450" w:hRule="atLeast"/>
        </w:trPr>
        <w:tc>
          <w:tcPr>
            <w:tcW w:w="3640" w:type="dxa"/>
            <w:tcBorders>
              <w:bottom w:val="single" w:sz="8" w:space="0" w:color="000000"/>
            </w:tcBorders>
          </w:tcPr>
          <w:p>
            <w:pPr>
              <w:pStyle w:val="TableParagraph"/>
              <w:spacing w:before="180"/>
              <w:ind w:left="4" w:right="19"/>
              <w:jc w:val="center"/>
              <w:rPr>
                <w:sz w:val="20"/>
              </w:rPr>
            </w:pPr>
            <w:r>
              <w:rPr>
                <w:sz w:val="20"/>
              </w:rPr>
              <w:t>/s/</w:t>
            </w:r>
            <w:r>
              <w:rPr>
                <w:spacing w:val="-8"/>
                <w:sz w:val="20"/>
              </w:rPr>
              <w:t> </w:t>
            </w:r>
            <w:r>
              <w:rPr>
                <w:sz w:val="20"/>
              </w:rPr>
              <w:t>AMY</w:t>
            </w:r>
            <w:r>
              <w:rPr>
                <w:spacing w:val="-10"/>
                <w:sz w:val="20"/>
              </w:rPr>
              <w:t> </w:t>
            </w:r>
            <w:r>
              <w:rPr>
                <w:spacing w:val="-2"/>
                <w:sz w:val="20"/>
              </w:rPr>
              <w:t>BANSE</w:t>
            </w:r>
          </w:p>
        </w:tc>
        <w:tc>
          <w:tcPr>
            <w:tcW w:w="500" w:type="dxa"/>
          </w:tcPr>
          <w:p>
            <w:pPr>
              <w:pStyle w:val="TableParagraph"/>
              <w:rPr>
                <w:sz w:val="18"/>
              </w:rPr>
            </w:pPr>
          </w:p>
        </w:tc>
        <w:tc>
          <w:tcPr>
            <w:tcW w:w="4000" w:type="dxa"/>
          </w:tcPr>
          <w:p>
            <w:pPr>
              <w:pStyle w:val="TableParagraph"/>
              <w:rPr>
                <w:sz w:val="18"/>
              </w:rPr>
            </w:pPr>
          </w:p>
        </w:tc>
        <w:tc>
          <w:tcPr>
            <w:tcW w:w="500" w:type="dxa"/>
          </w:tcPr>
          <w:p>
            <w:pPr>
              <w:pStyle w:val="TableParagraph"/>
              <w:rPr>
                <w:sz w:val="18"/>
              </w:rPr>
            </w:pPr>
          </w:p>
        </w:tc>
        <w:tc>
          <w:tcPr>
            <w:tcW w:w="1600" w:type="dxa"/>
          </w:tcPr>
          <w:p>
            <w:pPr>
              <w:pStyle w:val="TableParagraph"/>
              <w:spacing w:before="180"/>
              <w:ind w:right="18"/>
              <w:jc w:val="center"/>
              <w:rPr>
                <w:sz w:val="20"/>
              </w:rPr>
            </w:pPr>
            <w:r>
              <w:rPr>
                <w:sz w:val="20"/>
              </w:rPr>
              <w:t>January 22, </w:t>
            </w:r>
            <w:r>
              <w:rPr>
                <w:spacing w:val="-4"/>
                <w:sz w:val="20"/>
              </w:rPr>
              <w:t>2018</w:t>
            </w:r>
          </w:p>
        </w:tc>
      </w:tr>
      <w:tr>
        <w:trPr>
          <w:trHeight w:val="420" w:hRule="atLeast"/>
        </w:trPr>
        <w:tc>
          <w:tcPr>
            <w:tcW w:w="3640" w:type="dxa"/>
            <w:tcBorders>
              <w:top w:val="single" w:sz="8" w:space="0" w:color="000000"/>
            </w:tcBorders>
          </w:tcPr>
          <w:p>
            <w:pPr>
              <w:pStyle w:val="TableParagraph"/>
              <w:spacing w:line="222" w:lineRule="exact"/>
              <w:ind w:right="19"/>
              <w:jc w:val="center"/>
              <w:rPr>
                <w:sz w:val="20"/>
              </w:rPr>
            </w:pPr>
            <w:r>
              <w:rPr>
                <w:sz w:val="20"/>
              </w:rPr>
              <w:t>Amy </w:t>
            </w:r>
            <w:r>
              <w:rPr>
                <w:spacing w:val="-2"/>
                <w:sz w:val="20"/>
              </w:rPr>
              <w:t>Banse</w:t>
            </w:r>
          </w:p>
        </w:tc>
        <w:tc>
          <w:tcPr>
            <w:tcW w:w="500" w:type="dxa"/>
          </w:tcPr>
          <w:p>
            <w:pPr>
              <w:pStyle w:val="TableParagraph"/>
              <w:rPr>
                <w:sz w:val="18"/>
              </w:rPr>
            </w:pPr>
          </w:p>
        </w:tc>
        <w:tc>
          <w:tcPr>
            <w:tcW w:w="4000" w:type="dxa"/>
          </w:tcPr>
          <w:p>
            <w:pPr>
              <w:pStyle w:val="TableParagraph"/>
              <w:spacing w:line="222" w:lineRule="exact"/>
              <w:ind w:left="50"/>
              <w:rPr>
                <w:sz w:val="20"/>
              </w:rPr>
            </w:pPr>
            <w:r>
              <w:rPr>
                <w:spacing w:val="-2"/>
                <w:sz w:val="20"/>
              </w:rPr>
              <w:t>Director</w:t>
            </w:r>
          </w:p>
        </w:tc>
        <w:tc>
          <w:tcPr>
            <w:tcW w:w="500" w:type="dxa"/>
          </w:tcPr>
          <w:p>
            <w:pPr>
              <w:pStyle w:val="TableParagraph"/>
              <w:rPr>
                <w:sz w:val="18"/>
              </w:rPr>
            </w:pPr>
          </w:p>
        </w:tc>
        <w:tc>
          <w:tcPr>
            <w:tcW w:w="1600" w:type="dxa"/>
          </w:tcPr>
          <w:p>
            <w:pPr>
              <w:pStyle w:val="TableParagraph"/>
              <w:rPr>
                <w:sz w:val="18"/>
              </w:rPr>
            </w:pPr>
          </w:p>
        </w:tc>
      </w:tr>
      <w:tr>
        <w:trPr>
          <w:trHeight w:val="459" w:hRule="atLeast"/>
        </w:trPr>
        <w:tc>
          <w:tcPr>
            <w:tcW w:w="3640" w:type="dxa"/>
            <w:tcBorders>
              <w:bottom w:val="single" w:sz="8" w:space="0" w:color="000000"/>
            </w:tcBorders>
          </w:tcPr>
          <w:p>
            <w:pPr>
              <w:pStyle w:val="TableParagraph"/>
              <w:spacing w:before="189"/>
              <w:ind w:left="14" w:right="19"/>
              <w:jc w:val="center"/>
              <w:rPr>
                <w:sz w:val="20"/>
              </w:rPr>
            </w:pPr>
            <w:r>
              <w:rPr>
                <w:sz w:val="20"/>
              </w:rPr>
              <w:t>/s/</w:t>
            </w:r>
            <w:r>
              <w:rPr>
                <w:spacing w:val="-8"/>
                <w:sz w:val="20"/>
              </w:rPr>
              <w:t> </w:t>
            </w:r>
            <w:r>
              <w:rPr>
                <w:sz w:val="20"/>
              </w:rPr>
              <w:t>EDWARD</w:t>
            </w:r>
            <w:r>
              <w:rPr>
                <w:spacing w:val="-7"/>
                <w:sz w:val="20"/>
              </w:rPr>
              <w:t> </w:t>
            </w:r>
            <w:r>
              <w:rPr>
                <w:spacing w:val="-2"/>
                <w:sz w:val="20"/>
              </w:rPr>
              <w:t>BARNHOLT</w:t>
            </w:r>
          </w:p>
        </w:tc>
        <w:tc>
          <w:tcPr>
            <w:tcW w:w="500" w:type="dxa"/>
          </w:tcPr>
          <w:p>
            <w:pPr>
              <w:pStyle w:val="TableParagraph"/>
              <w:rPr>
                <w:sz w:val="18"/>
              </w:rPr>
            </w:pPr>
          </w:p>
        </w:tc>
        <w:tc>
          <w:tcPr>
            <w:tcW w:w="4000" w:type="dxa"/>
          </w:tcPr>
          <w:p>
            <w:pPr>
              <w:pStyle w:val="TableParagraph"/>
              <w:rPr>
                <w:sz w:val="18"/>
              </w:rPr>
            </w:pPr>
          </w:p>
        </w:tc>
        <w:tc>
          <w:tcPr>
            <w:tcW w:w="500" w:type="dxa"/>
          </w:tcPr>
          <w:p>
            <w:pPr>
              <w:pStyle w:val="TableParagraph"/>
              <w:rPr>
                <w:sz w:val="18"/>
              </w:rPr>
            </w:pPr>
          </w:p>
        </w:tc>
        <w:tc>
          <w:tcPr>
            <w:tcW w:w="1600" w:type="dxa"/>
          </w:tcPr>
          <w:p>
            <w:pPr>
              <w:pStyle w:val="TableParagraph"/>
              <w:spacing w:before="189"/>
              <w:ind w:right="18"/>
              <w:jc w:val="center"/>
              <w:rPr>
                <w:sz w:val="20"/>
              </w:rPr>
            </w:pPr>
            <w:r>
              <w:rPr>
                <w:sz w:val="20"/>
              </w:rPr>
              <w:t>January 22, </w:t>
            </w:r>
            <w:r>
              <w:rPr>
                <w:spacing w:val="-4"/>
                <w:sz w:val="20"/>
              </w:rPr>
              <w:t>2018</w:t>
            </w:r>
          </w:p>
        </w:tc>
      </w:tr>
      <w:tr>
        <w:trPr>
          <w:trHeight w:val="221" w:hRule="atLeast"/>
        </w:trPr>
        <w:tc>
          <w:tcPr>
            <w:tcW w:w="3640" w:type="dxa"/>
            <w:tcBorders>
              <w:top w:val="single" w:sz="8" w:space="0" w:color="000000"/>
            </w:tcBorders>
          </w:tcPr>
          <w:p>
            <w:pPr>
              <w:pStyle w:val="TableParagraph"/>
              <w:spacing w:line="202" w:lineRule="exact"/>
              <w:ind w:left="2" w:right="19"/>
              <w:jc w:val="center"/>
              <w:rPr>
                <w:sz w:val="20"/>
              </w:rPr>
            </w:pPr>
            <w:r>
              <w:rPr>
                <w:sz w:val="20"/>
              </w:rPr>
              <w:t>Edward </w:t>
            </w:r>
            <w:r>
              <w:rPr>
                <w:spacing w:val="-2"/>
                <w:sz w:val="20"/>
              </w:rPr>
              <w:t>Barnholt</w:t>
            </w:r>
          </w:p>
        </w:tc>
        <w:tc>
          <w:tcPr>
            <w:tcW w:w="500" w:type="dxa"/>
          </w:tcPr>
          <w:p>
            <w:pPr>
              <w:pStyle w:val="TableParagraph"/>
              <w:rPr>
                <w:sz w:val="14"/>
              </w:rPr>
            </w:pPr>
          </w:p>
        </w:tc>
        <w:tc>
          <w:tcPr>
            <w:tcW w:w="4000" w:type="dxa"/>
          </w:tcPr>
          <w:p>
            <w:pPr>
              <w:pStyle w:val="TableParagraph"/>
              <w:spacing w:line="202" w:lineRule="exact"/>
              <w:ind w:left="50"/>
              <w:rPr>
                <w:sz w:val="20"/>
              </w:rPr>
            </w:pPr>
            <w:r>
              <w:rPr>
                <w:spacing w:val="-2"/>
                <w:sz w:val="20"/>
              </w:rPr>
              <w:t>Director</w:t>
            </w:r>
          </w:p>
        </w:tc>
        <w:tc>
          <w:tcPr>
            <w:tcW w:w="500" w:type="dxa"/>
          </w:tcPr>
          <w:p>
            <w:pPr>
              <w:pStyle w:val="TableParagraph"/>
              <w:rPr>
                <w:sz w:val="14"/>
              </w:rPr>
            </w:pPr>
          </w:p>
        </w:tc>
        <w:tc>
          <w:tcPr>
            <w:tcW w:w="1600" w:type="dxa"/>
          </w:tcPr>
          <w:p>
            <w:pPr>
              <w:pStyle w:val="TableParagraph"/>
              <w:rPr>
                <w:sz w:val="14"/>
              </w:rPr>
            </w:pPr>
          </w:p>
        </w:tc>
      </w:tr>
    </w:tbl>
    <w:p>
      <w:pPr>
        <w:spacing w:after="0"/>
        <w:rPr>
          <w:sz w:val="14"/>
        </w:rPr>
        <w:sectPr>
          <w:type w:val="continuous"/>
          <w:pgSz w:w="12240" w:h="15840"/>
          <w:pgMar w:header="210" w:footer="610" w:top="680" w:bottom="280" w:left="780" w:right="740"/>
        </w:sectPr>
      </w:pPr>
    </w:p>
    <w:p>
      <w:pPr>
        <w:pStyle w:val="BodyText"/>
      </w:pPr>
    </w:p>
    <w:p>
      <w:pPr>
        <w:pStyle w:val="BodyText"/>
        <w:spacing w:before="71"/>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0"/>
        <w:gridCol w:w="500"/>
        <w:gridCol w:w="1274"/>
        <w:gridCol w:w="2727"/>
        <w:gridCol w:w="501"/>
        <w:gridCol w:w="1601"/>
      </w:tblGrid>
      <w:tr>
        <w:trPr>
          <w:trHeight w:val="217" w:hRule="atLeast"/>
        </w:trPr>
        <w:tc>
          <w:tcPr>
            <w:tcW w:w="3640" w:type="dxa"/>
            <w:tcBorders>
              <w:bottom w:val="single" w:sz="8" w:space="0" w:color="000000"/>
            </w:tcBorders>
          </w:tcPr>
          <w:p>
            <w:pPr>
              <w:pStyle w:val="TableParagraph"/>
              <w:spacing w:line="177" w:lineRule="exact"/>
              <w:ind w:left="3" w:right="19"/>
              <w:jc w:val="center"/>
              <w:rPr>
                <w:b/>
                <w:sz w:val="16"/>
              </w:rPr>
            </w:pPr>
            <w:r>
              <w:rPr>
                <w:b/>
                <w:spacing w:val="-2"/>
                <w:sz w:val="16"/>
              </w:rPr>
              <w:t>Signature</w:t>
            </w:r>
          </w:p>
        </w:tc>
        <w:tc>
          <w:tcPr>
            <w:tcW w:w="500" w:type="dxa"/>
          </w:tcPr>
          <w:p>
            <w:pPr>
              <w:pStyle w:val="TableParagraph"/>
              <w:rPr>
                <w:sz w:val="14"/>
              </w:rPr>
            </w:pPr>
          </w:p>
        </w:tc>
        <w:tc>
          <w:tcPr>
            <w:tcW w:w="1274" w:type="dxa"/>
            <w:tcBorders>
              <w:bottom w:val="single" w:sz="8" w:space="0" w:color="000000"/>
            </w:tcBorders>
          </w:tcPr>
          <w:p>
            <w:pPr>
              <w:pStyle w:val="TableParagraph"/>
              <w:rPr>
                <w:sz w:val="14"/>
              </w:rPr>
            </w:pPr>
          </w:p>
        </w:tc>
        <w:tc>
          <w:tcPr>
            <w:tcW w:w="2727" w:type="dxa"/>
            <w:tcBorders>
              <w:bottom w:val="single" w:sz="8" w:space="0" w:color="000000"/>
            </w:tcBorders>
          </w:tcPr>
          <w:p>
            <w:pPr>
              <w:pStyle w:val="TableParagraph"/>
              <w:spacing w:line="177" w:lineRule="exact"/>
              <w:ind w:left="557"/>
              <w:rPr>
                <w:b/>
                <w:sz w:val="16"/>
              </w:rPr>
            </w:pPr>
            <w:r>
              <w:rPr>
                <w:b/>
                <w:spacing w:val="-2"/>
                <w:sz w:val="16"/>
              </w:rPr>
              <w:t>Title</w:t>
            </w:r>
          </w:p>
        </w:tc>
        <w:tc>
          <w:tcPr>
            <w:tcW w:w="501" w:type="dxa"/>
          </w:tcPr>
          <w:p>
            <w:pPr>
              <w:pStyle w:val="TableParagraph"/>
              <w:rPr>
                <w:sz w:val="14"/>
              </w:rPr>
            </w:pPr>
          </w:p>
        </w:tc>
        <w:tc>
          <w:tcPr>
            <w:tcW w:w="1601" w:type="dxa"/>
            <w:tcBorders>
              <w:bottom w:val="single" w:sz="8" w:space="0" w:color="000000"/>
            </w:tcBorders>
          </w:tcPr>
          <w:p>
            <w:pPr>
              <w:pStyle w:val="TableParagraph"/>
              <w:spacing w:line="177" w:lineRule="exact"/>
              <w:ind w:right="23"/>
              <w:jc w:val="center"/>
              <w:rPr>
                <w:b/>
                <w:sz w:val="16"/>
              </w:rPr>
            </w:pPr>
            <w:r>
              <w:rPr>
                <w:b/>
                <w:spacing w:val="-4"/>
                <w:sz w:val="16"/>
              </w:rPr>
              <w:t>Date</w:t>
            </w:r>
          </w:p>
        </w:tc>
      </w:tr>
      <w:tr>
        <w:trPr>
          <w:trHeight w:val="580" w:hRule="atLeast"/>
        </w:trPr>
        <w:tc>
          <w:tcPr>
            <w:tcW w:w="3640" w:type="dxa"/>
            <w:tcBorders>
              <w:top w:val="single" w:sz="8" w:space="0" w:color="000000"/>
              <w:bottom w:val="single" w:sz="8" w:space="0" w:color="000000"/>
            </w:tcBorders>
          </w:tcPr>
          <w:p>
            <w:pPr>
              <w:pStyle w:val="TableParagraph"/>
              <w:spacing w:before="79"/>
              <w:rPr>
                <w:sz w:val="20"/>
              </w:rPr>
            </w:pPr>
          </w:p>
          <w:p>
            <w:pPr>
              <w:pStyle w:val="TableParagraph"/>
              <w:spacing w:before="1"/>
              <w:ind w:left="2" w:right="19"/>
              <w:jc w:val="center"/>
              <w:rPr>
                <w:sz w:val="20"/>
              </w:rPr>
            </w:pPr>
            <w:r>
              <w:rPr>
                <w:sz w:val="20"/>
              </w:rPr>
              <w:t>/s/</w:t>
            </w:r>
            <w:r>
              <w:rPr>
                <w:spacing w:val="-4"/>
                <w:sz w:val="20"/>
              </w:rPr>
              <w:t> </w:t>
            </w:r>
            <w:r>
              <w:rPr>
                <w:sz w:val="20"/>
              </w:rPr>
              <w:t>ROBERT</w:t>
            </w:r>
            <w:r>
              <w:rPr>
                <w:spacing w:val="-11"/>
                <w:sz w:val="20"/>
              </w:rPr>
              <w:t> </w:t>
            </w:r>
            <w:r>
              <w:rPr>
                <w:spacing w:val="-2"/>
                <w:sz w:val="20"/>
              </w:rPr>
              <w:t>BURGESS</w:t>
            </w:r>
          </w:p>
        </w:tc>
        <w:tc>
          <w:tcPr>
            <w:tcW w:w="500" w:type="dxa"/>
          </w:tcPr>
          <w:p>
            <w:pPr>
              <w:pStyle w:val="TableParagraph"/>
              <w:rPr>
                <w:sz w:val="18"/>
              </w:rPr>
            </w:pPr>
          </w:p>
        </w:tc>
        <w:tc>
          <w:tcPr>
            <w:tcW w:w="1274" w:type="dxa"/>
            <w:tcBorders>
              <w:top w:val="single" w:sz="8" w:space="0" w:color="000000"/>
            </w:tcBorders>
          </w:tcPr>
          <w:p>
            <w:pPr>
              <w:pStyle w:val="TableParagraph"/>
              <w:rPr>
                <w:sz w:val="18"/>
              </w:rPr>
            </w:pPr>
          </w:p>
        </w:tc>
        <w:tc>
          <w:tcPr>
            <w:tcW w:w="2727" w:type="dxa"/>
            <w:tcBorders>
              <w:top w:val="single" w:sz="8" w:space="0" w:color="000000"/>
            </w:tcBorders>
          </w:tcPr>
          <w:p>
            <w:pPr>
              <w:pStyle w:val="TableParagraph"/>
              <w:rPr>
                <w:sz w:val="18"/>
              </w:rPr>
            </w:pPr>
          </w:p>
        </w:tc>
        <w:tc>
          <w:tcPr>
            <w:tcW w:w="501" w:type="dxa"/>
          </w:tcPr>
          <w:p>
            <w:pPr>
              <w:pStyle w:val="TableParagraph"/>
              <w:rPr>
                <w:sz w:val="18"/>
              </w:rPr>
            </w:pPr>
          </w:p>
        </w:tc>
        <w:tc>
          <w:tcPr>
            <w:tcW w:w="1601" w:type="dxa"/>
            <w:tcBorders>
              <w:top w:val="single" w:sz="8" w:space="0" w:color="000000"/>
            </w:tcBorders>
          </w:tcPr>
          <w:p>
            <w:pPr>
              <w:pStyle w:val="TableParagraph"/>
              <w:spacing w:before="79"/>
              <w:rPr>
                <w:sz w:val="20"/>
              </w:rPr>
            </w:pPr>
          </w:p>
          <w:p>
            <w:pPr>
              <w:pStyle w:val="TableParagraph"/>
              <w:spacing w:before="1"/>
              <w:ind w:right="23"/>
              <w:jc w:val="center"/>
              <w:rPr>
                <w:sz w:val="20"/>
              </w:rPr>
            </w:pPr>
            <w:r>
              <w:rPr>
                <w:sz w:val="20"/>
              </w:rPr>
              <w:t>January 22, </w:t>
            </w:r>
            <w:r>
              <w:rPr>
                <w:spacing w:val="-4"/>
                <w:sz w:val="20"/>
              </w:rPr>
              <w:t>2018</w:t>
            </w:r>
          </w:p>
        </w:tc>
      </w:tr>
      <w:tr>
        <w:trPr>
          <w:trHeight w:val="420" w:hRule="atLeast"/>
        </w:trPr>
        <w:tc>
          <w:tcPr>
            <w:tcW w:w="3640" w:type="dxa"/>
            <w:tcBorders>
              <w:top w:val="single" w:sz="8" w:space="0" w:color="000000"/>
            </w:tcBorders>
          </w:tcPr>
          <w:p>
            <w:pPr>
              <w:pStyle w:val="TableParagraph"/>
              <w:spacing w:line="222" w:lineRule="exact"/>
              <w:ind w:left="2" w:right="19"/>
              <w:jc w:val="center"/>
              <w:rPr>
                <w:sz w:val="20"/>
              </w:rPr>
            </w:pPr>
            <w:r>
              <w:rPr>
                <w:sz w:val="20"/>
              </w:rPr>
              <w:t>Robert</w:t>
            </w:r>
            <w:r>
              <w:rPr>
                <w:spacing w:val="-2"/>
                <w:sz w:val="20"/>
              </w:rPr>
              <w:t> Burgess</w:t>
            </w:r>
          </w:p>
        </w:tc>
        <w:tc>
          <w:tcPr>
            <w:tcW w:w="500" w:type="dxa"/>
          </w:tcPr>
          <w:p>
            <w:pPr>
              <w:pStyle w:val="TableParagraph"/>
              <w:rPr>
                <w:sz w:val="18"/>
              </w:rPr>
            </w:pPr>
          </w:p>
        </w:tc>
        <w:tc>
          <w:tcPr>
            <w:tcW w:w="1274" w:type="dxa"/>
          </w:tcPr>
          <w:p>
            <w:pPr>
              <w:pStyle w:val="TableParagraph"/>
              <w:spacing w:line="222" w:lineRule="exact"/>
              <w:ind w:left="50"/>
              <w:rPr>
                <w:sz w:val="20"/>
              </w:rPr>
            </w:pPr>
            <w:r>
              <w:rPr>
                <w:spacing w:val="-2"/>
                <w:sz w:val="20"/>
              </w:rPr>
              <w:t>Director</w:t>
            </w:r>
          </w:p>
        </w:tc>
        <w:tc>
          <w:tcPr>
            <w:tcW w:w="2727" w:type="dxa"/>
          </w:tcPr>
          <w:p>
            <w:pPr>
              <w:pStyle w:val="TableParagraph"/>
              <w:rPr>
                <w:sz w:val="18"/>
              </w:rPr>
            </w:pPr>
          </w:p>
        </w:tc>
        <w:tc>
          <w:tcPr>
            <w:tcW w:w="501" w:type="dxa"/>
          </w:tcPr>
          <w:p>
            <w:pPr>
              <w:pStyle w:val="TableParagraph"/>
              <w:rPr>
                <w:sz w:val="18"/>
              </w:rPr>
            </w:pPr>
          </w:p>
        </w:tc>
        <w:tc>
          <w:tcPr>
            <w:tcW w:w="1601" w:type="dxa"/>
          </w:tcPr>
          <w:p>
            <w:pPr>
              <w:pStyle w:val="TableParagraph"/>
              <w:rPr>
                <w:sz w:val="18"/>
              </w:rPr>
            </w:pPr>
          </w:p>
        </w:tc>
      </w:tr>
      <w:tr>
        <w:trPr>
          <w:trHeight w:val="459" w:hRule="atLeast"/>
        </w:trPr>
        <w:tc>
          <w:tcPr>
            <w:tcW w:w="3640" w:type="dxa"/>
            <w:tcBorders>
              <w:bottom w:val="single" w:sz="8" w:space="0" w:color="000000"/>
            </w:tcBorders>
          </w:tcPr>
          <w:p>
            <w:pPr>
              <w:pStyle w:val="TableParagraph"/>
              <w:spacing w:before="189"/>
              <w:ind w:right="19"/>
              <w:jc w:val="center"/>
              <w:rPr>
                <w:sz w:val="20"/>
              </w:rPr>
            </w:pPr>
            <w:r>
              <w:rPr>
                <w:sz w:val="20"/>
              </w:rPr>
              <w:t>/s/</w:t>
            </w:r>
            <w:r>
              <w:rPr>
                <w:spacing w:val="-3"/>
                <w:sz w:val="20"/>
              </w:rPr>
              <w:t> </w:t>
            </w:r>
            <w:r>
              <w:rPr>
                <w:sz w:val="20"/>
              </w:rPr>
              <w:t>FRANK</w:t>
            </w:r>
            <w:r>
              <w:rPr>
                <w:spacing w:val="-2"/>
                <w:sz w:val="20"/>
              </w:rPr>
              <w:t> CALDERONI</w:t>
            </w:r>
          </w:p>
        </w:tc>
        <w:tc>
          <w:tcPr>
            <w:tcW w:w="500" w:type="dxa"/>
          </w:tcPr>
          <w:p>
            <w:pPr>
              <w:pStyle w:val="TableParagraph"/>
              <w:rPr>
                <w:sz w:val="18"/>
              </w:rPr>
            </w:pPr>
          </w:p>
        </w:tc>
        <w:tc>
          <w:tcPr>
            <w:tcW w:w="1274" w:type="dxa"/>
          </w:tcPr>
          <w:p>
            <w:pPr>
              <w:pStyle w:val="TableParagraph"/>
              <w:rPr>
                <w:sz w:val="18"/>
              </w:rPr>
            </w:pPr>
          </w:p>
        </w:tc>
        <w:tc>
          <w:tcPr>
            <w:tcW w:w="2727" w:type="dxa"/>
          </w:tcPr>
          <w:p>
            <w:pPr>
              <w:pStyle w:val="TableParagraph"/>
              <w:rPr>
                <w:sz w:val="18"/>
              </w:rPr>
            </w:pPr>
          </w:p>
        </w:tc>
        <w:tc>
          <w:tcPr>
            <w:tcW w:w="501" w:type="dxa"/>
          </w:tcPr>
          <w:p>
            <w:pPr>
              <w:pStyle w:val="TableParagraph"/>
              <w:rPr>
                <w:sz w:val="18"/>
              </w:rPr>
            </w:pPr>
          </w:p>
        </w:tc>
        <w:tc>
          <w:tcPr>
            <w:tcW w:w="1601" w:type="dxa"/>
          </w:tcPr>
          <w:p>
            <w:pPr>
              <w:pStyle w:val="TableParagraph"/>
              <w:spacing w:before="189"/>
              <w:ind w:right="23"/>
              <w:jc w:val="center"/>
              <w:rPr>
                <w:sz w:val="20"/>
              </w:rPr>
            </w:pPr>
            <w:r>
              <w:rPr>
                <w:sz w:val="20"/>
              </w:rPr>
              <w:t>January 22, </w:t>
            </w:r>
            <w:r>
              <w:rPr>
                <w:spacing w:val="-4"/>
                <w:sz w:val="20"/>
              </w:rPr>
              <w:t>2018</w:t>
            </w:r>
          </w:p>
        </w:tc>
      </w:tr>
      <w:tr>
        <w:trPr>
          <w:trHeight w:val="880" w:hRule="atLeast"/>
        </w:trPr>
        <w:tc>
          <w:tcPr>
            <w:tcW w:w="3640" w:type="dxa"/>
            <w:tcBorders>
              <w:top w:val="single" w:sz="8" w:space="0" w:color="000000"/>
              <w:bottom w:val="single" w:sz="8" w:space="0" w:color="000000"/>
            </w:tcBorders>
          </w:tcPr>
          <w:p>
            <w:pPr>
              <w:pStyle w:val="TableParagraph"/>
              <w:spacing w:line="222" w:lineRule="exact"/>
              <w:ind w:left="1" w:right="19"/>
              <w:jc w:val="center"/>
              <w:rPr>
                <w:sz w:val="20"/>
              </w:rPr>
            </w:pPr>
            <w:r>
              <w:rPr>
                <w:sz w:val="20"/>
              </w:rPr>
              <w:t>Frank </w:t>
            </w:r>
            <w:r>
              <w:rPr>
                <w:spacing w:val="-2"/>
                <w:sz w:val="20"/>
              </w:rPr>
              <w:t>Calderoni</w:t>
            </w:r>
          </w:p>
          <w:p>
            <w:pPr>
              <w:pStyle w:val="TableParagraph"/>
              <w:spacing w:before="158"/>
              <w:rPr>
                <w:sz w:val="20"/>
              </w:rPr>
            </w:pPr>
          </w:p>
          <w:p>
            <w:pPr>
              <w:pStyle w:val="TableParagraph"/>
              <w:ind w:left="7" w:right="19"/>
              <w:jc w:val="center"/>
              <w:rPr>
                <w:sz w:val="20"/>
              </w:rPr>
            </w:pPr>
            <w:r>
              <w:rPr>
                <w:sz w:val="20"/>
              </w:rPr>
              <w:t>/s/</w:t>
            </w:r>
            <w:r>
              <w:rPr>
                <w:spacing w:val="-3"/>
                <w:sz w:val="20"/>
              </w:rPr>
              <w:t> </w:t>
            </w:r>
            <w:r>
              <w:rPr>
                <w:sz w:val="20"/>
              </w:rPr>
              <w:t>LAURA</w:t>
            </w:r>
            <w:r>
              <w:rPr>
                <w:spacing w:val="-7"/>
                <w:sz w:val="20"/>
              </w:rPr>
              <w:t> </w:t>
            </w:r>
            <w:r>
              <w:rPr>
                <w:spacing w:val="-2"/>
                <w:sz w:val="20"/>
              </w:rPr>
              <w:t>DESMOND</w:t>
            </w:r>
          </w:p>
        </w:tc>
        <w:tc>
          <w:tcPr>
            <w:tcW w:w="500" w:type="dxa"/>
          </w:tcPr>
          <w:p>
            <w:pPr>
              <w:pStyle w:val="TableParagraph"/>
              <w:rPr>
                <w:sz w:val="18"/>
              </w:rPr>
            </w:pPr>
          </w:p>
        </w:tc>
        <w:tc>
          <w:tcPr>
            <w:tcW w:w="1274" w:type="dxa"/>
          </w:tcPr>
          <w:p>
            <w:pPr>
              <w:pStyle w:val="TableParagraph"/>
              <w:spacing w:before="10"/>
              <w:ind w:left="50"/>
              <w:rPr>
                <w:sz w:val="20"/>
              </w:rPr>
            </w:pPr>
            <w:r>
              <w:rPr>
                <w:spacing w:val="-2"/>
                <w:sz w:val="20"/>
              </w:rPr>
              <w:t>Director</w:t>
            </w:r>
          </w:p>
        </w:tc>
        <w:tc>
          <w:tcPr>
            <w:tcW w:w="2727" w:type="dxa"/>
          </w:tcPr>
          <w:p>
            <w:pPr>
              <w:pStyle w:val="TableParagraph"/>
              <w:rPr>
                <w:sz w:val="18"/>
              </w:rPr>
            </w:pPr>
          </w:p>
        </w:tc>
        <w:tc>
          <w:tcPr>
            <w:tcW w:w="501" w:type="dxa"/>
          </w:tcPr>
          <w:p>
            <w:pPr>
              <w:pStyle w:val="TableParagraph"/>
              <w:rPr>
                <w:sz w:val="18"/>
              </w:rPr>
            </w:pPr>
          </w:p>
        </w:tc>
        <w:tc>
          <w:tcPr>
            <w:tcW w:w="1601" w:type="dxa"/>
          </w:tcPr>
          <w:p>
            <w:pPr>
              <w:pStyle w:val="TableParagraph"/>
              <w:rPr>
                <w:sz w:val="20"/>
              </w:rPr>
            </w:pPr>
          </w:p>
          <w:p>
            <w:pPr>
              <w:pStyle w:val="TableParagraph"/>
              <w:spacing w:before="149"/>
              <w:rPr>
                <w:sz w:val="20"/>
              </w:rPr>
            </w:pPr>
          </w:p>
          <w:p>
            <w:pPr>
              <w:pStyle w:val="TableParagraph"/>
              <w:spacing w:before="1"/>
              <w:ind w:right="23"/>
              <w:jc w:val="center"/>
              <w:rPr>
                <w:sz w:val="20"/>
              </w:rPr>
            </w:pPr>
            <w:r>
              <w:rPr>
                <w:sz w:val="20"/>
              </w:rPr>
              <w:t>January 22, </w:t>
            </w:r>
            <w:r>
              <w:rPr>
                <w:spacing w:val="-4"/>
                <w:sz w:val="20"/>
              </w:rPr>
              <w:t>2018</w:t>
            </w:r>
          </w:p>
        </w:tc>
      </w:tr>
      <w:tr>
        <w:trPr>
          <w:trHeight w:val="880" w:hRule="atLeast"/>
        </w:trPr>
        <w:tc>
          <w:tcPr>
            <w:tcW w:w="3640" w:type="dxa"/>
            <w:tcBorders>
              <w:top w:val="single" w:sz="8" w:space="0" w:color="000000"/>
              <w:bottom w:val="single" w:sz="8" w:space="0" w:color="000000"/>
            </w:tcBorders>
          </w:tcPr>
          <w:p>
            <w:pPr>
              <w:pStyle w:val="TableParagraph"/>
              <w:spacing w:before="10"/>
              <w:ind w:left="1" w:right="19"/>
              <w:jc w:val="center"/>
              <w:rPr>
                <w:sz w:val="20"/>
              </w:rPr>
            </w:pPr>
            <w:r>
              <w:rPr>
                <w:sz w:val="20"/>
              </w:rPr>
              <w:t>Laura </w:t>
            </w:r>
            <w:r>
              <w:rPr>
                <w:spacing w:val="-2"/>
                <w:sz w:val="20"/>
              </w:rPr>
              <w:t>Desmond</w:t>
            </w:r>
          </w:p>
          <w:p>
            <w:pPr>
              <w:pStyle w:val="TableParagraph"/>
              <w:spacing w:before="139"/>
              <w:rPr>
                <w:sz w:val="20"/>
              </w:rPr>
            </w:pPr>
          </w:p>
          <w:p>
            <w:pPr>
              <w:pStyle w:val="TableParagraph"/>
              <w:spacing w:before="1"/>
              <w:ind w:right="19"/>
              <w:jc w:val="center"/>
              <w:rPr>
                <w:sz w:val="20"/>
              </w:rPr>
            </w:pPr>
            <w:r>
              <w:rPr>
                <w:sz w:val="20"/>
              </w:rPr>
              <w:t>/s/</w:t>
            </w:r>
            <w:r>
              <w:rPr>
                <w:spacing w:val="-4"/>
                <w:sz w:val="20"/>
              </w:rPr>
              <w:t> </w:t>
            </w:r>
            <w:r>
              <w:rPr>
                <w:sz w:val="20"/>
              </w:rPr>
              <w:t>CHARLES</w:t>
            </w:r>
            <w:r>
              <w:rPr>
                <w:spacing w:val="-3"/>
                <w:sz w:val="20"/>
              </w:rPr>
              <w:t> </w:t>
            </w:r>
            <w:r>
              <w:rPr>
                <w:spacing w:val="-2"/>
                <w:sz w:val="20"/>
              </w:rPr>
              <w:t>GESCHKE</w:t>
            </w:r>
          </w:p>
        </w:tc>
        <w:tc>
          <w:tcPr>
            <w:tcW w:w="500" w:type="dxa"/>
          </w:tcPr>
          <w:p>
            <w:pPr>
              <w:pStyle w:val="TableParagraph"/>
              <w:rPr>
                <w:sz w:val="18"/>
              </w:rPr>
            </w:pPr>
          </w:p>
        </w:tc>
        <w:tc>
          <w:tcPr>
            <w:tcW w:w="1274" w:type="dxa"/>
          </w:tcPr>
          <w:p>
            <w:pPr>
              <w:pStyle w:val="TableParagraph"/>
              <w:spacing w:before="10"/>
              <w:ind w:left="50"/>
              <w:rPr>
                <w:sz w:val="20"/>
              </w:rPr>
            </w:pPr>
            <w:r>
              <w:rPr>
                <w:spacing w:val="-2"/>
                <w:sz w:val="20"/>
              </w:rPr>
              <w:t>Director</w:t>
            </w:r>
          </w:p>
        </w:tc>
        <w:tc>
          <w:tcPr>
            <w:tcW w:w="2727" w:type="dxa"/>
          </w:tcPr>
          <w:p>
            <w:pPr>
              <w:pStyle w:val="TableParagraph"/>
              <w:rPr>
                <w:sz w:val="18"/>
              </w:rPr>
            </w:pPr>
          </w:p>
        </w:tc>
        <w:tc>
          <w:tcPr>
            <w:tcW w:w="501" w:type="dxa"/>
          </w:tcPr>
          <w:p>
            <w:pPr>
              <w:pStyle w:val="TableParagraph"/>
              <w:rPr>
                <w:sz w:val="18"/>
              </w:rPr>
            </w:pPr>
          </w:p>
        </w:tc>
        <w:tc>
          <w:tcPr>
            <w:tcW w:w="1601" w:type="dxa"/>
          </w:tcPr>
          <w:p>
            <w:pPr>
              <w:pStyle w:val="TableParagraph"/>
              <w:rPr>
                <w:sz w:val="20"/>
              </w:rPr>
            </w:pPr>
          </w:p>
          <w:p>
            <w:pPr>
              <w:pStyle w:val="TableParagraph"/>
              <w:spacing w:before="149"/>
              <w:rPr>
                <w:sz w:val="20"/>
              </w:rPr>
            </w:pPr>
          </w:p>
          <w:p>
            <w:pPr>
              <w:pStyle w:val="TableParagraph"/>
              <w:spacing w:before="1"/>
              <w:ind w:right="23"/>
              <w:jc w:val="center"/>
              <w:rPr>
                <w:sz w:val="20"/>
              </w:rPr>
            </w:pPr>
            <w:r>
              <w:rPr>
                <w:sz w:val="20"/>
              </w:rPr>
              <w:t>January 22, </w:t>
            </w:r>
            <w:r>
              <w:rPr>
                <w:spacing w:val="-4"/>
                <w:sz w:val="20"/>
              </w:rPr>
              <w:t>2018</w:t>
            </w:r>
          </w:p>
        </w:tc>
      </w:tr>
      <w:tr>
        <w:trPr>
          <w:trHeight w:val="880" w:hRule="atLeast"/>
        </w:trPr>
        <w:tc>
          <w:tcPr>
            <w:tcW w:w="3640" w:type="dxa"/>
            <w:tcBorders>
              <w:top w:val="single" w:sz="8" w:space="0" w:color="000000"/>
              <w:bottom w:val="single" w:sz="8" w:space="0" w:color="000000"/>
            </w:tcBorders>
          </w:tcPr>
          <w:p>
            <w:pPr>
              <w:pStyle w:val="TableParagraph"/>
              <w:spacing w:before="10"/>
              <w:ind w:left="1" w:right="19"/>
              <w:jc w:val="center"/>
              <w:rPr>
                <w:sz w:val="20"/>
              </w:rPr>
            </w:pPr>
            <w:r>
              <w:rPr>
                <w:sz w:val="20"/>
              </w:rPr>
              <w:t>Charles</w:t>
            </w:r>
            <w:r>
              <w:rPr>
                <w:spacing w:val="-7"/>
                <w:sz w:val="20"/>
              </w:rPr>
              <w:t> </w:t>
            </w:r>
            <w:r>
              <w:rPr>
                <w:spacing w:val="-2"/>
                <w:sz w:val="20"/>
              </w:rPr>
              <w:t>Geschke</w:t>
            </w:r>
          </w:p>
          <w:p>
            <w:pPr>
              <w:pStyle w:val="TableParagraph"/>
              <w:spacing w:before="139"/>
              <w:rPr>
                <w:sz w:val="20"/>
              </w:rPr>
            </w:pPr>
          </w:p>
          <w:p>
            <w:pPr>
              <w:pStyle w:val="TableParagraph"/>
              <w:spacing w:before="1"/>
              <w:ind w:left="3" w:right="19"/>
              <w:jc w:val="center"/>
              <w:rPr>
                <w:sz w:val="20"/>
              </w:rPr>
            </w:pPr>
            <w:r>
              <w:rPr>
                <w:sz w:val="20"/>
              </w:rPr>
              <w:t>/s/ DANIEL</w:t>
            </w:r>
            <w:r>
              <w:rPr>
                <w:spacing w:val="-5"/>
                <w:sz w:val="20"/>
              </w:rPr>
              <w:t> </w:t>
            </w:r>
            <w:r>
              <w:rPr>
                <w:spacing w:val="-2"/>
                <w:sz w:val="20"/>
              </w:rPr>
              <w:t>ROSENSWEIG</w:t>
            </w:r>
          </w:p>
        </w:tc>
        <w:tc>
          <w:tcPr>
            <w:tcW w:w="500" w:type="dxa"/>
          </w:tcPr>
          <w:p>
            <w:pPr>
              <w:pStyle w:val="TableParagraph"/>
              <w:rPr>
                <w:sz w:val="18"/>
              </w:rPr>
            </w:pPr>
          </w:p>
        </w:tc>
        <w:tc>
          <w:tcPr>
            <w:tcW w:w="1274" w:type="dxa"/>
          </w:tcPr>
          <w:p>
            <w:pPr>
              <w:pStyle w:val="TableParagraph"/>
              <w:spacing w:before="10"/>
              <w:ind w:left="50"/>
              <w:rPr>
                <w:sz w:val="20"/>
              </w:rPr>
            </w:pPr>
            <w:r>
              <w:rPr>
                <w:spacing w:val="-2"/>
                <w:sz w:val="20"/>
              </w:rPr>
              <w:t>Director</w:t>
            </w:r>
          </w:p>
        </w:tc>
        <w:tc>
          <w:tcPr>
            <w:tcW w:w="2727" w:type="dxa"/>
          </w:tcPr>
          <w:p>
            <w:pPr>
              <w:pStyle w:val="TableParagraph"/>
              <w:rPr>
                <w:sz w:val="18"/>
              </w:rPr>
            </w:pPr>
          </w:p>
        </w:tc>
        <w:tc>
          <w:tcPr>
            <w:tcW w:w="501" w:type="dxa"/>
          </w:tcPr>
          <w:p>
            <w:pPr>
              <w:pStyle w:val="TableParagraph"/>
              <w:rPr>
                <w:sz w:val="18"/>
              </w:rPr>
            </w:pPr>
          </w:p>
        </w:tc>
        <w:tc>
          <w:tcPr>
            <w:tcW w:w="1601" w:type="dxa"/>
          </w:tcPr>
          <w:p>
            <w:pPr>
              <w:pStyle w:val="TableParagraph"/>
              <w:rPr>
                <w:sz w:val="20"/>
              </w:rPr>
            </w:pPr>
          </w:p>
          <w:p>
            <w:pPr>
              <w:pStyle w:val="TableParagraph"/>
              <w:spacing w:before="149"/>
              <w:rPr>
                <w:sz w:val="20"/>
              </w:rPr>
            </w:pPr>
          </w:p>
          <w:p>
            <w:pPr>
              <w:pStyle w:val="TableParagraph"/>
              <w:spacing w:before="1"/>
              <w:ind w:right="23"/>
              <w:jc w:val="center"/>
              <w:rPr>
                <w:sz w:val="20"/>
              </w:rPr>
            </w:pPr>
            <w:r>
              <w:rPr>
                <w:sz w:val="20"/>
              </w:rPr>
              <w:t>January 22, </w:t>
            </w:r>
            <w:r>
              <w:rPr>
                <w:spacing w:val="-4"/>
                <w:sz w:val="20"/>
              </w:rPr>
              <w:t>2018</w:t>
            </w:r>
          </w:p>
        </w:tc>
      </w:tr>
      <w:tr>
        <w:trPr>
          <w:trHeight w:val="880" w:hRule="atLeast"/>
        </w:trPr>
        <w:tc>
          <w:tcPr>
            <w:tcW w:w="3640" w:type="dxa"/>
            <w:tcBorders>
              <w:top w:val="single" w:sz="8" w:space="0" w:color="000000"/>
              <w:bottom w:val="single" w:sz="8" w:space="0" w:color="000000"/>
            </w:tcBorders>
          </w:tcPr>
          <w:p>
            <w:pPr>
              <w:pStyle w:val="TableParagraph"/>
              <w:spacing w:before="10"/>
              <w:ind w:left="1" w:right="19"/>
              <w:jc w:val="center"/>
              <w:rPr>
                <w:sz w:val="20"/>
              </w:rPr>
            </w:pPr>
            <w:r>
              <w:rPr>
                <w:sz w:val="20"/>
              </w:rPr>
              <w:t>Daniel </w:t>
            </w:r>
            <w:r>
              <w:rPr>
                <w:spacing w:val="-2"/>
                <w:sz w:val="20"/>
              </w:rPr>
              <w:t>Rosensweig</w:t>
            </w:r>
          </w:p>
          <w:p>
            <w:pPr>
              <w:pStyle w:val="TableParagraph"/>
              <w:spacing w:before="139"/>
              <w:rPr>
                <w:sz w:val="20"/>
              </w:rPr>
            </w:pPr>
          </w:p>
          <w:p>
            <w:pPr>
              <w:pStyle w:val="TableParagraph"/>
              <w:spacing w:before="1"/>
              <w:ind w:left="12" w:right="19"/>
              <w:jc w:val="center"/>
              <w:rPr>
                <w:sz w:val="20"/>
              </w:rPr>
            </w:pPr>
            <w:r>
              <w:rPr>
                <w:sz w:val="20"/>
              </w:rPr>
              <w:t>/s/</w:t>
            </w:r>
            <w:r>
              <w:rPr>
                <w:spacing w:val="-2"/>
                <w:sz w:val="20"/>
              </w:rPr>
              <w:t> </w:t>
            </w:r>
            <w:r>
              <w:rPr>
                <w:sz w:val="20"/>
              </w:rPr>
              <w:t>JOHN</w:t>
            </w:r>
            <w:r>
              <w:rPr>
                <w:spacing w:val="-3"/>
                <w:sz w:val="20"/>
              </w:rPr>
              <w:t> </w:t>
            </w:r>
            <w:r>
              <w:rPr>
                <w:spacing w:val="-2"/>
                <w:sz w:val="20"/>
              </w:rPr>
              <w:t>WARNOCK</w:t>
            </w:r>
          </w:p>
        </w:tc>
        <w:tc>
          <w:tcPr>
            <w:tcW w:w="500" w:type="dxa"/>
          </w:tcPr>
          <w:p>
            <w:pPr>
              <w:pStyle w:val="TableParagraph"/>
              <w:rPr>
                <w:sz w:val="18"/>
              </w:rPr>
            </w:pPr>
          </w:p>
        </w:tc>
        <w:tc>
          <w:tcPr>
            <w:tcW w:w="1274" w:type="dxa"/>
          </w:tcPr>
          <w:p>
            <w:pPr>
              <w:pStyle w:val="TableParagraph"/>
              <w:spacing w:before="10"/>
              <w:ind w:left="50"/>
              <w:rPr>
                <w:sz w:val="20"/>
              </w:rPr>
            </w:pPr>
            <w:r>
              <w:rPr>
                <w:spacing w:val="-2"/>
                <w:sz w:val="20"/>
              </w:rPr>
              <w:t>Director</w:t>
            </w:r>
          </w:p>
        </w:tc>
        <w:tc>
          <w:tcPr>
            <w:tcW w:w="2727" w:type="dxa"/>
          </w:tcPr>
          <w:p>
            <w:pPr>
              <w:pStyle w:val="TableParagraph"/>
              <w:rPr>
                <w:sz w:val="18"/>
              </w:rPr>
            </w:pPr>
          </w:p>
        </w:tc>
        <w:tc>
          <w:tcPr>
            <w:tcW w:w="501" w:type="dxa"/>
          </w:tcPr>
          <w:p>
            <w:pPr>
              <w:pStyle w:val="TableParagraph"/>
              <w:rPr>
                <w:sz w:val="18"/>
              </w:rPr>
            </w:pPr>
          </w:p>
        </w:tc>
        <w:tc>
          <w:tcPr>
            <w:tcW w:w="1601" w:type="dxa"/>
          </w:tcPr>
          <w:p>
            <w:pPr>
              <w:pStyle w:val="TableParagraph"/>
              <w:rPr>
                <w:sz w:val="20"/>
              </w:rPr>
            </w:pPr>
          </w:p>
          <w:p>
            <w:pPr>
              <w:pStyle w:val="TableParagraph"/>
              <w:spacing w:before="149"/>
              <w:rPr>
                <w:sz w:val="20"/>
              </w:rPr>
            </w:pPr>
          </w:p>
          <w:p>
            <w:pPr>
              <w:pStyle w:val="TableParagraph"/>
              <w:spacing w:before="1"/>
              <w:ind w:right="23"/>
              <w:jc w:val="center"/>
              <w:rPr>
                <w:sz w:val="20"/>
              </w:rPr>
            </w:pPr>
            <w:r>
              <w:rPr>
                <w:sz w:val="20"/>
              </w:rPr>
              <w:t>January 22, </w:t>
            </w:r>
            <w:r>
              <w:rPr>
                <w:spacing w:val="-4"/>
                <w:sz w:val="20"/>
              </w:rPr>
              <w:t>2018</w:t>
            </w:r>
          </w:p>
        </w:tc>
      </w:tr>
      <w:tr>
        <w:trPr>
          <w:trHeight w:val="239" w:hRule="atLeast"/>
        </w:trPr>
        <w:tc>
          <w:tcPr>
            <w:tcW w:w="3640" w:type="dxa"/>
            <w:tcBorders>
              <w:top w:val="single" w:sz="8" w:space="0" w:color="000000"/>
            </w:tcBorders>
          </w:tcPr>
          <w:p>
            <w:pPr>
              <w:pStyle w:val="TableParagraph"/>
              <w:spacing w:line="220" w:lineRule="exact"/>
              <w:ind w:left="1" w:right="19"/>
              <w:jc w:val="center"/>
              <w:rPr>
                <w:sz w:val="20"/>
              </w:rPr>
            </w:pPr>
            <w:r>
              <w:rPr>
                <w:sz w:val="20"/>
              </w:rPr>
              <w:t>John</w:t>
            </w:r>
            <w:r>
              <w:rPr>
                <w:spacing w:val="-4"/>
                <w:sz w:val="20"/>
              </w:rPr>
              <w:t> </w:t>
            </w:r>
            <w:r>
              <w:rPr>
                <w:spacing w:val="-2"/>
                <w:sz w:val="20"/>
              </w:rPr>
              <w:t>Warnock</w:t>
            </w:r>
          </w:p>
        </w:tc>
        <w:tc>
          <w:tcPr>
            <w:tcW w:w="500" w:type="dxa"/>
          </w:tcPr>
          <w:p>
            <w:pPr>
              <w:pStyle w:val="TableParagraph"/>
              <w:rPr>
                <w:sz w:val="16"/>
              </w:rPr>
            </w:pPr>
          </w:p>
        </w:tc>
        <w:tc>
          <w:tcPr>
            <w:tcW w:w="1274" w:type="dxa"/>
          </w:tcPr>
          <w:p>
            <w:pPr>
              <w:pStyle w:val="TableParagraph"/>
              <w:spacing w:line="210" w:lineRule="exact" w:before="10"/>
              <w:ind w:left="50"/>
              <w:rPr>
                <w:sz w:val="20"/>
              </w:rPr>
            </w:pPr>
            <w:r>
              <w:rPr>
                <w:spacing w:val="-2"/>
                <w:sz w:val="20"/>
              </w:rPr>
              <w:t>Director</w:t>
            </w:r>
          </w:p>
        </w:tc>
        <w:tc>
          <w:tcPr>
            <w:tcW w:w="2727" w:type="dxa"/>
          </w:tcPr>
          <w:p>
            <w:pPr>
              <w:pStyle w:val="TableParagraph"/>
              <w:rPr>
                <w:sz w:val="16"/>
              </w:rPr>
            </w:pPr>
          </w:p>
        </w:tc>
        <w:tc>
          <w:tcPr>
            <w:tcW w:w="501" w:type="dxa"/>
          </w:tcPr>
          <w:p>
            <w:pPr>
              <w:pStyle w:val="TableParagraph"/>
              <w:rPr>
                <w:sz w:val="16"/>
              </w:rPr>
            </w:pPr>
          </w:p>
        </w:tc>
        <w:tc>
          <w:tcPr>
            <w:tcW w:w="1601" w:type="dxa"/>
          </w:tcPr>
          <w:p>
            <w:pPr>
              <w:pStyle w:val="TableParagraph"/>
              <w:rPr>
                <w:sz w:val="16"/>
              </w:rPr>
            </w:pPr>
          </w:p>
        </w:tc>
      </w:tr>
    </w:tbl>
    <w:p>
      <w:pPr>
        <w:spacing w:after="0"/>
        <w:rPr>
          <w:sz w:val="16"/>
        </w:rPr>
        <w:sectPr>
          <w:pgSz w:w="12240" w:h="15840"/>
          <w:pgMar w:header="210" w:footer="610" w:top="420" w:bottom="800" w:left="780" w:right="740"/>
        </w:sectPr>
      </w:pPr>
    </w:p>
    <w:p>
      <w:pPr>
        <w:pStyle w:val="BodyText"/>
        <w:spacing w:before="147"/>
      </w:pPr>
    </w:p>
    <w:p>
      <w:pPr>
        <w:pStyle w:val="Heading1"/>
        <w:ind w:left="3846" w:right="3884"/>
        <w:jc w:val="center"/>
      </w:pPr>
      <w:bookmarkStart w:name="Summary of Trademarks" w:id="120"/>
      <w:bookmarkEnd w:id="120"/>
      <w:r>
        <w:rPr>
          <w:b w:val="0"/>
        </w:rPr>
      </w:r>
      <w:bookmarkStart w:name="_bookmark44" w:id="121"/>
      <w:bookmarkEnd w:id="121"/>
      <w:r>
        <w:rPr>
          <w:b w:val="0"/>
        </w:rPr>
      </w:r>
      <w:r>
        <w:rPr>
          <w:spacing w:val="-2"/>
        </w:rPr>
        <w:t>SUMMARY</w:t>
      </w:r>
      <w:r>
        <w:rPr>
          <w:spacing w:val="-5"/>
        </w:rPr>
        <w:t> </w:t>
      </w:r>
      <w:r>
        <w:rPr>
          <w:spacing w:val="-2"/>
        </w:rPr>
        <w:t>OF</w:t>
      </w:r>
      <w:r>
        <w:rPr>
          <w:spacing w:val="-8"/>
        </w:rPr>
        <w:t> </w:t>
      </w:r>
      <w:r>
        <w:rPr>
          <w:spacing w:val="-2"/>
        </w:rPr>
        <w:t>TRADEMARKS</w:t>
      </w:r>
    </w:p>
    <w:p>
      <w:pPr>
        <w:pStyle w:val="BodyText"/>
        <w:spacing w:line="249" w:lineRule="auto" w:before="190"/>
        <w:ind w:left="220" w:firstLine="586"/>
      </w:pPr>
      <w:r>
        <w:rPr/>
        <w:t>The</w:t>
      </w:r>
      <w:r>
        <w:rPr>
          <w:spacing w:val="-12"/>
        </w:rPr>
        <w:t> </w:t>
      </w:r>
      <w:r>
        <w:rPr/>
        <w:t>following</w:t>
      </w:r>
      <w:r>
        <w:rPr>
          <w:spacing w:val="-11"/>
        </w:rPr>
        <w:t> </w:t>
      </w:r>
      <w:r>
        <w:rPr/>
        <w:t>trademarks</w:t>
      </w:r>
      <w:r>
        <w:rPr>
          <w:spacing w:val="-11"/>
        </w:rPr>
        <w:t> </w:t>
      </w:r>
      <w:r>
        <w:rPr/>
        <w:t>of</w:t>
      </w:r>
      <w:r>
        <w:rPr>
          <w:spacing w:val="-18"/>
        </w:rPr>
        <w:t> </w:t>
      </w:r>
      <w:r>
        <w:rPr/>
        <w:t>Adobe</w:t>
      </w:r>
      <w:r>
        <w:rPr>
          <w:spacing w:val="-11"/>
        </w:rPr>
        <w:t> </w:t>
      </w:r>
      <w:r>
        <w:rPr/>
        <w:t>Systems</w:t>
      </w:r>
      <w:r>
        <w:rPr>
          <w:spacing w:val="-11"/>
        </w:rPr>
        <w:t> </w:t>
      </w:r>
      <w:r>
        <w:rPr/>
        <w:t>Incorporated</w:t>
      </w:r>
      <w:r>
        <w:rPr>
          <w:spacing w:val="-11"/>
        </w:rPr>
        <w:t> </w:t>
      </w:r>
      <w:r>
        <w:rPr/>
        <w:t>or</w:t>
      </w:r>
      <w:r>
        <w:rPr>
          <w:spacing w:val="-11"/>
        </w:rPr>
        <w:t> </w:t>
      </w:r>
      <w:r>
        <w:rPr/>
        <w:t>its</w:t>
      </w:r>
      <w:r>
        <w:rPr>
          <w:spacing w:val="-11"/>
        </w:rPr>
        <w:t> </w:t>
      </w:r>
      <w:r>
        <w:rPr/>
        <w:t>subsidiaries,</w:t>
      </w:r>
      <w:r>
        <w:rPr>
          <w:spacing w:val="-11"/>
        </w:rPr>
        <w:t> </w:t>
      </w:r>
      <w:r>
        <w:rPr/>
        <w:t>which</w:t>
      </w:r>
      <w:r>
        <w:rPr>
          <w:spacing w:val="-11"/>
        </w:rPr>
        <w:t> </w:t>
      </w:r>
      <w:r>
        <w:rPr/>
        <w:t>may</w:t>
      </w:r>
      <w:r>
        <w:rPr>
          <w:spacing w:val="-11"/>
        </w:rPr>
        <w:t> </w:t>
      </w:r>
      <w:r>
        <w:rPr/>
        <w:t>be</w:t>
      </w:r>
      <w:r>
        <w:rPr>
          <w:spacing w:val="-11"/>
        </w:rPr>
        <w:t> </w:t>
      </w:r>
      <w:r>
        <w:rPr/>
        <w:t>registered</w:t>
      </w:r>
      <w:r>
        <w:rPr>
          <w:spacing w:val="-11"/>
        </w:rPr>
        <w:t> </w:t>
      </w:r>
      <w:r>
        <w:rPr/>
        <w:t>in</w:t>
      </w:r>
      <w:r>
        <w:rPr>
          <w:spacing w:val="-11"/>
        </w:rPr>
        <w:t> </w:t>
      </w:r>
      <w:r>
        <w:rPr/>
        <w:t>the</w:t>
      </w:r>
      <w:r>
        <w:rPr>
          <w:spacing w:val="-11"/>
        </w:rPr>
        <w:t> </w:t>
      </w:r>
      <w:r>
        <w:rPr/>
        <w:t>United</w:t>
      </w:r>
      <w:r>
        <w:rPr>
          <w:spacing w:val="-11"/>
        </w:rPr>
        <w:t> </w:t>
      </w:r>
      <w:r>
        <w:rPr/>
        <w:t>States and/or other countries, are referenced in this Form 10-K:</w:t>
      </w:r>
    </w:p>
    <w:p>
      <w:pPr>
        <w:pStyle w:val="BodyText"/>
        <w:spacing w:line="249" w:lineRule="auto" w:before="181"/>
        <w:ind w:left="760" w:right="8692"/>
      </w:pPr>
      <w:r>
        <w:rPr>
          <w:spacing w:val="-2"/>
        </w:rPr>
        <w:t>Acrobat </w:t>
      </w:r>
      <w:r>
        <w:rPr/>
        <w:t>Acrobat</w:t>
      </w:r>
      <w:r>
        <w:rPr>
          <w:spacing w:val="-13"/>
        </w:rPr>
        <w:t> </w:t>
      </w:r>
      <w:r>
        <w:rPr/>
        <w:t>Reader </w:t>
      </w:r>
      <w:r>
        <w:rPr>
          <w:spacing w:val="-2"/>
        </w:rPr>
        <w:t>Adobe</w:t>
      </w:r>
    </w:p>
    <w:p>
      <w:pPr>
        <w:pStyle w:val="BodyText"/>
        <w:spacing w:line="249" w:lineRule="auto" w:before="3"/>
        <w:ind w:left="760" w:right="8292"/>
      </w:pPr>
      <w:r>
        <w:rPr/>
        <w:t>Adobe Connect Adobe</w:t>
      </w:r>
      <w:r>
        <w:rPr>
          <w:spacing w:val="-13"/>
        </w:rPr>
        <w:t> </w:t>
      </w:r>
      <w:r>
        <w:rPr/>
        <w:t>CreativeSync Adobe Dimension Adobe Premiere Adobe Sensei</w:t>
      </w:r>
    </w:p>
    <w:p>
      <w:pPr>
        <w:pStyle w:val="BodyText"/>
        <w:spacing w:line="249" w:lineRule="auto" w:before="4"/>
        <w:ind w:left="760" w:right="8736"/>
      </w:pPr>
      <w:r>
        <w:rPr/>
        <w:t>After Effects </w:t>
      </w:r>
      <w:r>
        <w:rPr>
          <w:spacing w:val="-2"/>
        </w:rPr>
        <w:t>Behance </w:t>
      </w:r>
      <w:r>
        <w:rPr/>
        <w:t>Creative</w:t>
      </w:r>
      <w:r>
        <w:rPr>
          <w:spacing w:val="-13"/>
        </w:rPr>
        <w:t> </w:t>
      </w:r>
      <w:r>
        <w:rPr/>
        <w:t>Cloud </w:t>
      </w:r>
      <w:r>
        <w:rPr>
          <w:spacing w:val="-2"/>
        </w:rPr>
        <w:t>Fotolia Illustrator InDesign Lightroom LiveCycle Photoshop PostScript Reader Tubemogul Typekit</w:t>
      </w:r>
    </w:p>
    <w:p>
      <w:pPr>
        <w:pStyle w:val="BodyText"/>
        <w:spacing w:before="200"/>
      </w:pPr>
    </w:p>
    <w:p>
      <w:pPr>
        <w:pStyle w:val="BodyText"/>
        <w:spacing w:before="1"/>
        <w:ind w:left="760"/>
      </w:pPr>
      <w:r>
        <w:rPr/>
        <w:t>All</w:t>
      </w:r>
      <w:r>
        <w:rPr>
          <w:spacing w:val="-2"/>
        </w:rPr>
        <w:t> </w:t>
      </w:r>
      <w:r>
        <w:rPr/>
        <w:t>other</w:t>
      </w:r>
      <w:r>
        <w:rPr>
          <w:spacing w:val="-1"/>
        </w:rPr>
        <w:t> </w:t>
      </w:r>
      <w:r>
        <w:rPr/>
        <w:t>trademarks</w:t>
      </w:r>
      <w:r>
        <w:rPr>
          <w:spacing w:val="-1"/>
        </w:rPr>
        <w:t> </w:t>
      </w:r>
      <w:r>
        <w:rPr/>
        <w:t>are</w:t>
      </w:r>
      <w:r>
        <w:rPr>
          <w:spacing w:val="-1"/>
        </w:rPr>
        <w:t> </w:t>
      </w:r>
      <w:r>
        <w:rPr/>
        <w:t>the</w:t>
      </w:r>
      <w:r>
        <w:rPr>
          <w:spacing w:val="-2"/>
        </w:rPr>
        <w:t> </w:t>
      </w:r>
      <w:r>
        <w:rPr/>
        <w:t>property</w:t>
      </w:r>
      <w:r>
        <w:rPr>
          <w:spacing w:val="-1"/>
        </w:rPr>
        <w:t> </w:t>
      </w:r>
      <w:r>
        <w:rPr/>
        <w:t>of</w:t>
      </w:r>
      <w:r>
        <w:rPr>
          <w:spacing w:val="-1"/>
        </w:rPr>
        <w:t> </w:t>
      </w:r>
      <w:r>
        <w:rPr/>
        <w:t>their</w:t>
      </w:r>
      <w:r>
        <w:rPr>
          <w:spacing w:val="-2"/>
        </w:rPr>
        <w:t> </w:t>
      </w:r>
      <w:r>
        <w:rPr/>
        <w:t>respective</w:t>
      </w:r>
      <w:r>
        <w:rPr>
          <w:spacing w:val="-1"/>
        </w:rPr>
        <w:t> </w:t>
      </w:r>
      <w:r>
        <w:rPr>
          <w:spacing w:val="-2"/>
        </w:rPr>
        <w:t>owners.</w:t>
      </w:r>
    </w:p>
    <w:sectPr>
      <w:pgSz w:w="12240" w:h="15840"/>
      <w:pgMar w:header="210" w:footer="610" w:top="420" w:bottom="800" w:left="7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85984">
              <wp:simplePos x="0" y="0"/>
              <wp:positionH relativeFrom="page">
                <wp:posOffset>3816350</wp:posOffset>
              </wp:positionH>
              <wp:positionV relativeFrom="page">
                <wp:posOffset>9531208</wp:posOffset>
              </wp:positionV>
              <wp:extent cx="152400" cy="16637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52400" cy="166370"/>
                      </a:xfrm>
                      <a:prstGeom prst="rect">
                        <a:avLst/>
                      </a:prstGeom>
                    </wps:spPr>
                    <wps:txbx>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5pt;margin-top:750.488892pt;width:12pt;height:13.1pt;mso-position-horizontal-relative:page;mso-position-vertical-relative:page;z-index:-23530496" type="#_x0000_t202" id="docshape7" filled="false" stroked="false">
              <v:textbox inset="0,0,0,0">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02368">
              <wp:simplePos x="0" y="0"/>
              <wp:positionH relativeFrom="page">
                <wp:posOffset>3752850</wp:posOffset>
              </wp:positionH>
              <wp:positionV relativeFrom="page">
                <wp:posOffset>9531208</wp:posOffset>
              </wp:positionV>
              <wp:extent cx="279400" cy="166370"/>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2794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style="position:absolute;margin-left:295.5pt;margin-top:750.488892pt;width:22pt;height:13.1pt;mso-position-horizontal-relative:page;mso-position-vertical-relative:page;z-index:-23514112" type="#_x0000_t202" id="docshape451"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03392">
              <wp:simplePos x="0" y="0"/>
              <wp:positionH relativeFrom="page">
                <wp:posOffset>3752850</wp:posOffset>
              </wp:positionH>
              <wp:positionV relativeFrom="page">
                <wp:posOffset>9531208</wp:posOffset>
              </wp:positionV>
              <wp:extent cx="279400" cy="166370"/>
              <wp:effectExtent l="0" t="0" r="0" b="0"/>
              <wp:wrapNone/>
              <wp:docPr id="575" name="Textbox 575"/>
              <wp:cNvGraphicFramePr>
                <a:graphicFrameLocks/>
              </wp:cNvGraphicFramePr>
              <a:graphic>
                <a:graphicData uri="http://schemas.microsoft.com/office/word/2010/wordprocessingShape">
                  <wps:wsp>
                    <wps:cNvPr id="575" name="Textbox 575"/>
                    <wps:cNvSpPr txBox="1"/>
                    <wps:spPr>
                      <a:xfrm>
                        <a:off x="0" y="0"/>
                        <a:ext cx="2794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105</w:t>
                          </w:r>
                          <w:r>
                            <w:rPr>
                              <w:spacing w:val="-5"/>
                            </w:rPr>
                            <w:fldChar w:fldCharType="end"/>
                          </w:r>
                        </w:p>
                      </w:txbxContent>
                    </wps:txbx>
                    <wps:bodyPr wrap="square" lIns="0" tIns="0" rIns="0" bIns="0" rtlCol="0">
                      <a:noAutofit/>
                    </wps:bodyPr>
                  </wps:wsp>
                </a:graphicData>
              </a:graphic>
            </wp:anchor>
          </w:drawing>
        </mc:Choice>
        <mc:Fallback>
          <w:pict>
            <v:shape style="position:absolute;margin-left:295.5pt;margin-top:750.488892pt;width:22pt;height:13.1pt;mso-position-horizontal-relative:page;mso-position-vertical-relative:page;z-index:-23513088" type="#_x0000_t202" id="docshape458"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105</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87008">
              <wp:simplePos x="0" y="0"/>
              <wp:positionH relativeFrom="page">
                <wp:posOffset>3784600</wp:posOffset>
              </wp:positionH>
              <wp:positionV relativeFrom="page">
                <wp:posOffset>9531208</wp:posOffset>
              </wp:positionV>
              <wp:extent cx="215900" cy="1663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3529472" type="#_x0000_t202" id="docshape9"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91104">
              <wp:simplePos x="0" y="0"/>
              <wp:positionH relativeFrom="page">
                <wp:posOffset>3784600</wp:posOffset>
              </wp:positionH>
              <wp:positionV relativeFrom="page">
                <wp:posOffset>9531208</wp:posOffset>
              </wp:positionV>
              <wp:extent cx="215900" cy="16637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3525376" type="#_x0000_t202" id="docshape14"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9792128">
              <wp:simplePos x="0" y="0"/>
              <wp:positionH relativeFrom="page">
                <wp:posOffset>3784600</wp:posOffset>
              </wp:positionH>
              <wp:positionV relativeFrom="page">
                <wp:posOffset>9531208</wp:posOffset>
              </wp:positionV>
              <wp:extent cx="215900" cy="16637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3524352" type="#_x0000_t202" id="docshape18"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93664">
              <wp:simplePos x="0" y="0"/>
              <wp:positionH relativeFrom="page">
                <wp:posOffset>3784600</wp:posOffset>
              </wp:positionH>
              <wp:positionV relativeFrom="page">
                <wp:posOffset>9531208</wp:posOffset>
              </wp:positionV>
              <wp:extent cx="215900" cy="16637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57</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0.488892pt;width:17pt;height:13.1pt;mso-position-horizontal-relative:page;mso-position-vertical-relative:page;z-index:-23522816" type="#_x0000_t202" id="docshape169"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57</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95200">
              <wp:simplePos x="0" y="0"/>
              <wp:positionH relativeFrom="page">
                <wp:posOffset>3810000</wp:posOffset>
              </wp:positionH>
              <wp:positionV relativeFrom="page">
                <wp:posOffset>9620108</wp:posOffset>
              </wp:positionV>
              <wp:extent cx="152400" cy="16637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152400" cy="166370"/>
                      </a:xfrm>
                      <a:prstGeom prst="rect">
                        <a:avLst/>
                      </a:prstGeom>
                    </wps:spPr>
                    <wps:txbx>
                      <w:txbxContent>
                        <w:p>
                          <w:pPr>
                            <w:pStyle w:val="BodyText"/>
                            <w:spacing w:before="11"/>
                            <w:ind w:left="20"/>
                          </w:pPr>
                          <w:r>
                            <w:rPr>
                              <w:spacing w:val="-5"/>
                            </w:rPr>
                            <w:t>61</w:t>
                          </w:r>
                        </w:p>
                      </w:txbxContent>
                    </wps:txbx>
                    <wps:bodyPr wrap="square" lIns="0" tIns="0" rIns="0" bIns="0" rtlCol="0">
                      <a:noAutofit/>
                    </wps:bodyPr>
                  </wps:wsp>
                </a:graphicData>
              </a:graphic>
            </wp:anchor>
          </w:drawing>
        </mc:Choice>
        <mc:Fallback>
          <w:pict>
            <v:shape style="position:absolute;margin-left:300pt;margin-top:757.488892pt;width:12pt;height:13.1pt;mso-position-horizontal-relative:page;mso-position-vertical-relative:page;z-index:-23521280" type="#_x0000_t202" id="docshape284" filled="false" stroked="false">
              <v:textbox inset="0,0,0,0">
                <w:txbxContent>
                  <w:p>
                    <w:pPr>
                      <w:pStyle w:val="BodyText"/>
                      <w:spacing w:before="11"/>
                      <w:ind w:left="20"/>
                    </w:pPr>
                    <w:r>
                      <w:rPr>
                        <w:spacing w:val="-5"/>
                      </w:rPr>
                      <w:t>61</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97248">
              <wp:simplePos x="0" y="0"/>
              <wp:positionH relativeFrom="page">
                <wp:posOffset>3784600</wp:posOffset>
              </wp:positionH>
              <wp:positionV relativeFrom="page">
                <wp:posOffset>9505808</wp:posOffset>
              </wp:positionV>
              <wp:extent cx="215900" cy="166370"/>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62</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48.488892pt;width:17pt;height:13.1pt;mso-position-horizontal-relative:page;mso-position-vertical-relative:page;z-index:-23519232" type="#_x0000_t202" id="docshape298"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62</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79799296">
              <wp:simplePos x="0" y="0"/>
              <wp:positionH relativeFrom="page">
                <wp:posOffset>3784600</wp:posOffset>
              </wp:positionH>
              <wp:positionV relativeFrom="page">
                <wp:posOffset>9505808</wp:posOffset>
              </wp:positionV>
              <wp:extent cx="215900" cy="191770"/>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215900" cy="191770"/>
                      </a:xfrm>
                      <a:prstGeom prst="rect">
                        <a:avLst/>
                      </a:prstGeom>
                    </wps:spPr>
                    <wps:txbx>
                      <w:txbxContent>
                        <w:p>
                          <w:pPr>
                            <w:pStyle w:val="BodyText"/>
                            <w:spacing w:before="51"/>
                            <w:ind w:left="60"/>
                          </w:pPr>
                          <w:r>
                            <w:rPr>
                              <w:spacing w:val="-5"/>
                            </w:rPr>
                            <w:fldChar w:fldCharType="begin"/>
                          </w:r>
                          <w:r>
                            <w:rPr>
                              <w:spacing w:val="-5"/>
                            </w:rPr>
                            <w:instrText> PAGE </w:instrText>
                          </w:r>
                          <w:r>
                            <w:rPr>
                              <w:spacing w:val="-5"/>
                            </w:rPr>
                            <w:fldChar w:fldCharType="separate"/>
                          </w:r>
                          <w:r>
                            <w:rPr>
                              <w:spacing w:val="-5"/>
                            </w:rPr>
                            <w:t>70</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48.488892pt;width:17pt;height:15.1pt;mso-position-horizontal-relative:page;mso-position-vertical-relative:page;z-index:-23517184" type="#_x0000_t202" id="docshape302" filled="false" stroked="false">
              <v:textbox inset="0,0,0,0">
                <w:txbxContent>
                  <w:p>
                    <w:pPr>
                      <w:pStyle w:val="BodyText"/>
                      <w:spacing w:before="51"/>
                      <w:ind w:left="60"/>
                    </w:pPr>
                    <w:r>
                      <w:rPr>
                        <w:spacing w:val="-5"/>
                      </w:rPr>
                      <w:fldChar w:fldCharType="begin"/>
                    </w:r>
                    <w:r>
                      <w:rPr>
                        <w:spacing w:val="-5"/>
                      </w:rPr>
                      <w:instrText> PAGE </w:instrText>
                    </w:r>
                    <w:r>
                      <w:rPr>
                        <w:spacing w:val="-5"/>
                      </w:rPr>
                      <w:fldChar w:fldCharType="separate"/>
                    </w:r>
                    <w:r>
                      <w:rPr>
                        <w:spacing w:val="-5"/>
                      </w:rPr>
                      <w:t>70</w:t>
                    </w:r>
                    <w:r>
                      <w:rPr>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00320">
              <wp:simplePos x="0" y="0"/>
              <wp:positionH relativeFrom="page">
                <wp:posOffset>3784600</wp:posOffset>
              </wp:positionH>
              <wp:positionV relativeFrom="page">
                <wp:posOffset>9562958</wp:posOffset>
              </wp:positionV>
              <wp:extent cx="215900" cy="166370"/>
              <wp:effectExtent l="0" t="0" r="0" b="0"/>
              <wp:wrapNone/>
              <wp:docPr id="564" name="Textbox 564"/>
              <wp:cNvGraphicFramePr>
                <a:graphicFrameLocks/>
              </wp:cNvGraphicFramePr>
              <a:graphic>
                <a:graphicData uri="http://schemas.microsoft.com/office/word/2010/wordprocessingShape">
                  <wps:wsp>
                    <wps:cNvPr id="564" name="Textbox 564"/>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97</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52.988892pt;width:17pt;height:13.1pt;mso-position-horizontal-relative:page;mso-position-vertical-relative:page;z-index:-23516160" type="#_x0000_t202" id="docshape447"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97</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86496">
              <wp:simplePos x="0" y="0"/>
              <wp:positionH relativeFrom="page">
                <wp:posOffset>3422650</wp:posOffset>
              </wp:positionH>
              <wp:positionV relativeFrom="page">
                <wp:posOffset>120508</wp:posOffset>
              </wp:positionV>
              <wp:extent cx="926465" cy="1663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529984" type="#_x0000_t202" id="docshape8"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02880">
              <wp:simplePos x="0" y="0"/>
              <wp:positionH relativeFrom="page">
                <wp:posOffset>3422650</wp:posOffset>
              </wp:positionH>
              <wp:positionV relativeFrom="page">
                <wp:posOffset>120508</wp:posOffset>
              </wp:positionV>
              <wp:extent cx="926465" cy="166370"/>
              <wp:effectExtent l="0" t="0" r="0" b="0"/>
              <wp:wrapNone/>
              <wp:docPr id="574" name="Textbox 574"/>
              <wp:cNvGraphicFramePr>
                <a:graphicFrameLocks/>
              </wp:cNvGraphicFramePr>
              <a:graphic>
                <a:graphicData uri="http://schemas.microsoft.com/office/word/2010/wordprocessingShape">
                  <wps:wsp>
                    <wps:cNvPr id="574" name="Textbox 574"/>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513600" type="#_x0000_t202" id="docshape457"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87520">
              <wp:simplePos x="0" y="0"/>
              <wp:positionH relativeFrom="page">
                <wp:posOffset>641350</wp:posOffset>
              </wp:positionH>
              <wp:positionV relativeFrom="page">
                <wp:posOffset>704850</wp:posOffset>
              </wp:positionV>
              <wp:extent cx="111760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117600" cy="1270"/>
                      </a:xfrm>
                      <a:custGeom>
                        <a:avLst/>
                        <a:gdLst/>
                        <a:ahLst/>
                        <a:cxnLst/>
                        <a:rect l="l" t="t" r="r" b="b"/>
                        <a:pathLst>
                          <a:path w="1117600" h="0">
                            <a:moveTo>
                              <a:pt x="0" y="0"/>
                            </a:moveTo>
                            <a:lnTo>
                              <a:pt x="1117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528960" from="50.5pt,55.5pt" to="138.5pt,55.5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9788032">
              <wp:simplePos x="0" y="0"/>
              <wp:positionH relativeFrom="page">
                <wp:posOffset>1809750</wp:posOffset>
              </wp:positionH>
              <wp:positionV relativeFrom="page">
                <wp:posOffset>704850</wp:posOffset>
              </wp:positionV>
              <wp:extent cx="36830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68300" cy="1270"/>
                      </a:xfrm>
                      <a:custGeom>
                        <a:avLst/>
                        <a:gdLst/>
                        <a:ahLst/>
                        <a:cxnLst/>
                        <a:rect l="l" t="t" r="r" b="b"/>
                        <a:pathLst>
                          <a:path w="368300" h="0">
                            <a:moveTo>
                              <a:pt x="0" y="0"/>
                            </a:moveTo>
                            <a:lnTo>
                              <a:pt x="3683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528448" from="142.5pt,55.5pt" to="171.5pt,55.5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9788544">
              <wp:simplePos x="0" y="0"/>
              <wp:positionH relativeFrom="page">
                <wp:posOffset>2228850</wp:posOffset>
              </wp:positionH>
              <wp:positionV relativeFrom="page">
                <wp:posOffset>704850</wp:posOffset>
              </wp:positionV>
              <wp:extent cx="491490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914900" cy="1270"/>
                      </a:xfrm>
                      <a:custGeom>
                        <a:avLst/>
                        <a:gdLst/>
                        <a:ahLst/>
                        <a:cxnLst/>
                        <a:rect l="l" t="t" r="r" b="b"/>
                        <a:pathLst>
                          <a:path w="4914900" h="0">
                            <a:moveTo>
                              <a:pt x="0" y="0"/>
                            </a:moveTo>
                            <a:lnTo>
                              <a:pt x="49149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527936" from="175.5pt,55.5pt" to="562.5pt,55.5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9789056">
              <wp:simplePos x="0" y="0"/>
              <wp:positionH relativeFrom="page">
                <wp:posOffset>3422650</wp:posOffset>
              </wp:positionH>
              <wp:positionV relativeFrom="page">
                <wp:posOffset>120508</wp:posOffset>
              </wp:positionV>
              <wp:extent cx="926465" cy="1663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527424" type="#_x0000_t202" id="docshape10"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79789568">
              <wp:simplePos x="0" y="0"/>
              <wp:positionH relativeFrom="page">
                <wp:posOffset>660400</wp:posOffset>
              </wp:positionH>
              <wp:positionV relativeFrom="page">
                <wp:posOffset>549796</wp:posOffset>
              </wp:positionV>
              <wp:extent cx="279400" cy="13843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79400" cy="138430"/>
                      </a:xfrm>
                      <a:prstGeom prst="rect">
                        <a:avLst/>
                      </a:prstGeom>
                    </wps:spPr>
                    <wps:txbx>
                      <w:txbxContent>
                        <w:p>
                          <w:pPr>
                            <w:spacing w:before="13"/>
                            <w:ind w:left="20" w:right="0" w:firstLine="0"/>
                            <w:jc w:val="left"/>
                            <w:rPr>
                              <w:b/>
                              <w:sz w:val="16"/>
                            </w:rPr>
                          </w:pPr>
                          <w:r>
                            <w:rPr>
                              <w:b/>
                              <w:spacing w:val="-4"/>
                              <w:sz w:val="16"/>
                            </w:rPr>
                            <w:t>Name</w:t>
                          </w:r>
                        </w:p>
                      </w:txbxContent>
                    </wps:txbx>
                    <wps:bodyPr wrap="square" lIns="0" tIns="0" rIns="0" bIns="0" rtlCol="0">
                      <a:noAutofit/>
                    </wps:bodyPr>
                  </wps:wsp>
                </a:graphicData>
              </a:graphic>
            </wp:anchor>
          </w:drawing>
        </mc:Choice>
        <mc:Fallback>
          <w:pict>
            <v:shape style="position:absolute;margin-left:52pt;margin-top:43.291092pt;width:22pt;height:10.9pt;mso-position-horizontal-relative:page;mso-position-vertical-relative:page;z-index:-23526912" type="#_x0000_t202" id="docshape11" filled="false" stroked="false">
              <v:textbox inset="0,0,0,0">
                <w:txbxContent>
                  <w:p>
                    <w:pPr>
                      <w:spacing w:before="13"/>
                      <w:ind w:left="20" w:right="0" w:firstLine="0"/>
                      <w:jc w:val="left"/>
                      <w:rPr>
                        <w:b/>
                        <w:sz w:val="16"/>
                      </w:rPr>
                    </w:pPr>
                    <w:r>
                      <w:rPr>
                        <w:b/>
                        <w:spacing w:val="-4"/>
                        <w:sz w:val="16"/>
                      </w:rPr>
                      <w:t>Name</w:t>
                    </w:r>
                  </w:p>
                </w:txbxContent>
              </v:textbox>
              <w10:wrap type="none"/>
            </v:shape>
          </w:pict>
        </mc:Fallback>
      </mc:AlternateContent>
    </w:r>
    <w:r>
      <w:rPr/>
      <mc:AlternateContent>
        <mc:Choice Requires="wps">
          <w:drawing>
            <wp:anchor distT="0" distB="0" distL="0" distR="0" allowOverlap="1" layoutInCell="1" locked="0" behindDoc="1" simplePos="0" relativeHeight="479790080">
              <wp:simplePos x="0" y="0"/>
              <wp:positionH relativeFrom="page">
                <wp:posOffset>1889760</wp:posOffset>
              </wp:positionH>
              <wp:positionV relativeFrom="page">
                <wp:posOffset>549796</wp:posOffset>
              </wp:positionV>
              <wp:extent cx="194945" cy="13843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4945" cy="138430"/>
                      </a:xfrm>
                      <a:prstGeom prst="rect">
                        <a:avLst/>
                      </a:prstGeom>
                    </wps:spPr>
                    <wps:txbx>
                      <w:txbxContent>
                        <w:p>
                          <w:pPr>
                            <w:spacing w:before="13"/>
                            <w:ind w:left="20" w:right="0" w:firstLine="0"/>
                            <w:jc w:val="left"/>
                            <w:rPr>
                              <w:b/>
                              <w:sz w:val="16"/>
                            </w:rPr>
                          </w:pPr>
                          <w:r>
                            <w:rPr>
                              <w:b/>
                              <w:spacing w:val="-5"/>
                              <w:sz w:val="16"/>
                            </w:rPr>
                            <w:t>Age</w:t>
                          </w:r>
                        </w:p>
                      </w:txbxContent>
                    </wps:txbx>
                    <wps:bodyPr wrap="square" lIns="0" tIns="0" rIns="0" bIns="0" rtlCol="0">
                      <a:noAutofit/>
                    </wps:bodyPr>
                  </wps:wsp>
                </a:graphicData>
              </a:graphic>
            </wp:anchor>
          </w:drawing>
        </mc:Choice>
        <mc:Fallback>
          <w:pict>
            <v:shape style="position:absolute;margin-left:148.800003pt;margin-top:43.291092pt;width:15.35pt;height:10.9pt;mso-position-horizontal-relative:page;mso-position-vertical-relative:page;z-index:-23526400" type="#_x0000_t202" id="docshape12" filled="false" stroked="false">
              <v:textbox inset="0,0,0,0">
                <w:txbxContent>
                  <w:p>
                    <w:pPr>
                      <w:spacing w:before="13"/>
                      <w:ind w:left="20" w:right="0" w:firstLine="0"/>
                      <w:jc w:val="left"/>
                      <w:rPr>
                        <w:b/>
                        <w:sz w:val="16"/>
                      </w:rPr>
                    </w:pPr>
                    <w:r>
                      <w:rPr>
                        <w:b/>
                        <w:spacing w:val="-5"/>
                        <w:sz w:val="16"/>
                      </w:rPr>
                      <w:t>Age</w:t>
                    </w:r>
                  </w:p>
                </w:txbxContent>
              </v:textbox>
              <w10:wrap type="none"/>
            </v:shape>
          </w:pict>
        </mc:Fallback>
      </mc:AlternateContent>
    </w:r>
    <w:r>
      <w:rPr/>
      <mc:AlternateContent>
        <mc:Choice Requires="wps">
          <w:drawing>
            <wp:anchor distT="0" distB="0" distL="0" distR="0" allowOverlap="1" layoutInCell="1" locked="0" behindDoc="1" simplePos="0" relativeHeight="479790592">
              <wp:simplePos x="0" y="0"/>
              <wp:positionH relativeFrom="page">
                <wp:posOffset>4472304</wp:posOffset>
              </wp:positionH>
              <wp:positionV relativeFrom="page">
                <wp:posOffset>549796</wp:posOffset>
              </wp:positionV>
              <wp:extent cx="415290" cy="1384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15290" cy="138430"/>
                      </a:xfrm>
                      <a:prstGeom prst="rect">
                        <a:avLst/>
                      </a:prstGeom>
                    </wps:spPr>
                    <wps:txbx>
                      <w:txbxContent>
                        <w:p>
                          <w:pPr>
                            <w:spacing w:before="13"/>
                            <w:ind w:left="20" w:right="0" w:firstLine="0"/>
                            <w:jc w:val="left"/>
                            <w:rPr>
                              <w:b/>
                              <w:sz w:val="16"/>
                            </w:rPr>
                          </w:pPr>
                          <w:r>
                            <w:rPr>
                              <w:b/>
                              <w:spacing w:val="-2"/>
                              <w:sz w:val="16"/>
                            </w:rPr>
                            <w:t>Positions</w:t>
                          </w:r>
                        </w:p>
                      </w:txbxContent>
                    </wps:txbx>
                    <wps:bodyPr wrap="square" lIns="0" tIns="0" rIns="0" bIns="0" rtlCol="0">
                      <a:noAutofit/>
                    </wps:bodyPr>
                  </wps:wsp>
                </a:graphicData>
              </a:graphic>
            </wp:anchor>
          </w:drawing>
        </mc:Choice>
        <mc:Fallback>
          <w:pict>
            <v:shape style="position:absolute;margin-left:352.149994pt;margin-top:43.291092pt;width:32.7pt;height:10.9pt;mso-position-horizontal-relative:page;mso-position-vertical-relative:page;z-index:-23525888" type="#_x0000_t202" id="docshape13" filled="false" stroked="false">
              <v:textbox inset="0,0,0,0">
                <w:txbxContent>
                  <w:p>
                    <w:pPr>
                      <w:spacing w:before="13"/>
                      <w:ind w:left="20" w:right="0" w:firstLine="0"/>
                      <w:jc w:val="left"/>
                      <w:rPr>
                        <w:b/>
                        <w:sz w:val="16"/>
                      </w:rPr>
                    </w:pPr>
                    <w:r>
                      <w:rPr>
                        <w:b/>
                        <w:spacing w:val="-2"/>
                        <w:sz w:val="16"/>
                      </w:rPr>
                      <w:t>Positions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91616">
              <wp:simplePos x="0" y="0"/>
              <wp:positionH relativeFrom="page">
                <wp:posOffset>3422650</wp:posOffset>
              </wp:positionH>
              <wp:positionV relativeFrom="page">
                <wp:posOffset>120508</wp:posOffset>
              </wp:positionV>
              <wp:extent cx="926465" cy="1663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524864" type="#_x0000_t202" id="docshape17"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92640">
              <wp:simplePos x="0" y="0"/>
              <wp:positionH relativeFrom="page">
                <wp:posOffset>3422650</wp:posOffset>
              </wp:positionH>
              <wp:positionV relativeFrom="page">
                <wp:posOffset>120508</wp:posOffset>
              </wp:positionV>
              <wp:extent cx="926465" cy="16637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523840" type="#_x0000_t202" id="docshape167"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79793152">
              <wp:simplePos x="0" y="0"/>
              <wp:positionH relativeFrom="page">
                <wp:posOffset>2814320</wp:posOffset>
              </wp:positionH>
              <wp:positionV relativeFrom="page">
                <wp:posOffset>505953</wp:posOffset>
              </wp:positionV>
              <wp:extent cx="2168525" cy="16637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2168525" cy="166370"/>
                      </a:xfrm>
                      <a:prstGeom prst="rect">
                        <a:avLst/>
                      </a:prstGeom>
                    </wps:spPr>
                    <wps:txbx>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wps:txbx>
                    <wps:bodyPr wrap="square" lIns="0" tIns="0" rIns="0" bIns="0" rtlCol="0">
                      <a:noAutofit/>
                    </wps:bodyPr>
                  </wps:wsp>
                </a:graphicData>
              </a:graphic>
            </wp:anchor>
          </w:drawing>
        </mc:Choice>
        <mc:Fallback>
          <w:pict>
            <v:shape style="position:absolute;margin-left:221.600006pt;margin-top:39.838867pt;width:170.75pt;height:13.1pt;mso-position-horizontal-relative:page;mso-position-vertical-relative:page;z-index:-23523328" type="#_x0000_t202" id="docshape168" filled="false" stroked="false">
              <v:textbox inset="0,0,0,0">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94176">
              <wp:simplePos x="0" y="0"/>
              <wp:positionH relativeFrom="page">
                <wp:posOffset>3422650</wp:posOffset>
              </wp:positionH>
              <wp:positionV relativeFrom="page">
                <wp:posOffset>120508</wp:posOffset>
              </wp:positionV>
              <wp:extent cx="926465" cy="16637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522304" type="#_x0000_t202" id="docshape282"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79794688">
              <wp:simplePos x="0" y="0"/>
              <wp:positionH relativeFrom="page">
                <wp:posOffset>2801620</wp:posOffset>
              </wp:positionH>
              <wp:positionV relativeFrom="page">
                <wp:posOffset>417053</wp:posOffset>
              </wp:positionV>
              <wp:extent cx="2168525" cy="16637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2168525" cy="166370"/>
                      </a:xfrm>
                      <a:prstGeom prst="rect">
                        <a:avLst/>
                      </a:prstGeom>
                    </wps:spPr>
                    <wps:txbx>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wps:txbx>
                    <wps:bodyPr wrap="square" lIns="0" tIns="0" rIns="0" bIns="0" rtlCol="0">
                      <a:noAutofit/>
                    </wps:bodyPr>
                  </wps:wsp>
                </a:graphicData>
              </a:graphic>
            </wp:anchor>
          </w:drawing>
        </mc:Choice>
        <mc:Fallback>
          <w:pict>
            <v:shape style="position:absolute;margin-left:220.600006pt;margin-top:32.838867pt;width:170.75pt;height:13.1pt;mso-position-horizontal-relative:page;mso-position-vertical-relative:page;z-index:-23521792" type="#_x0000_t202" id="docshape283" filled="false" stroked="false">
              <v:textbox inset="0,0,0,0">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95712">
              <wp:simplePos x="0" y="0"/>
              <wp:positionH relativeFrom="page">
                <wp:posOffset>3422650</wp:posOffset>
              </wp:positionH>
              <wp:positionV relativeFrom="page">
                <wp:posOffset>120508</wp:posOffset>
              </wp:positionV>
              <wp:extent cx="926465" cy="16637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520768" type="#_x0000_t202" id="docshape295"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79796224">
              <wp:simplePos x="0" y="0"/>
              <wp:positionH relativeFrom="page">
                <wp:posOffset>2801620</wp:posOffset>
              </wp:positionH>
              <wp:positionV relativeFrom="page">
                <wp:posOffset>425308</wp:posOffset>
              </wp:positionV>
              <wp:extent cx="2168525" cy="166370"/>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2168525" cy="166370"/>
                      </a:xfrm>
                      <a:prstGeom prst="rect">
                        <a:avLst/>
                      </a:prstGeom>
                    </wps:spPr>
                    <wps:txbx>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wps:txbx>
                    <wps:bodyPr wrap="square" lIns="0" tIns="0" rIns="0" bIns="0" rtlCol="0">
                      <a:noAutofit/>
                    </wps:bodyPr>
                  </wps:wsp>
                </a:graphicData>
              </a:graphic>
            </wp:anchor>
          </w:drawing>
        </mc:Choice>
        <mc:Fallback>
          <w:pict>
            <v:shape style="position:absolute;margin-left:220.600006pt;margin-top:33.488869pt;width:170.75pt;height:13.1pt;mso-position-horizontal-relative:page;mso-position-vertical-relative:page;z-index:-23520256" type="#_x0000_t202" id="docshape296" filled="false" stroked="false">
              <v:textbox inset="0,0,0,0">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v:textbox>
              <w10:wrap type="none"/>
            </v:shape>
          </w:pict>
        </mc:Fallback>
      </mc:AlternateContent>
    </w:r>
    <w:r>
      <w:rPr/>
      <mc:AlternateContent>
        <mc:Choice Requires="wps">
          <w:drawing>
            <wp:anchor distT="0" distB="0" distL="0" distR="0" allowOverlap="1" layoutInCell="1" locked="0" behindDoc="1" simplePos="0" relativeHeight="479796736">
              <wp:simplePos x="0" y="0"/>
              <wp:positionH relativeFrom="page">
                <wp:posOffset>2213610</wp:posOffset>
              </wp:positionH>
              <wp:positionV relativeFrom="page">
                <wp:posOffset>730108</wp:posOffset>
              </wp:positionV>
              <wp:extent cx="3345179" cy="166370"/>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3345179" cy="166370"/>
                      </a:xfrm>
                      <a:prstGeom prst="rect">
                        <a:avLst/>
                      </a:prstGeom>
                    </wps:spPr>
                    <wps:txbx>
                      <w:txbxContent>
                        <w:p>
                          <w:pPr>
                            <w:spacing w:before="11"/>
                            <w:ind w:left="20" w:right="0" w:firstLine="0"/>
                            <w:jc w:val="left"/>
                            <w:rPr>
                              <w:b/>
                              <w:sz w:val="20"/>
                            </w:rPr>
                          </w:pPr>
                          <w:r>
                            <w:rPr>
                              <w:b/>
                              <w:sz w:val="20"/>
                            </w:rPr>
                            <w:t>NOTES</w:t>
                          </w:r>
                          <w:r>
                            <w:rPr>
                              <w:b/>
                              <w:spacing w:val="-15"/>
                              <w:sz w:val="20"/>
                            </w:rPr>
                            <w:t> </w:t>
                          </w:r>
                          <w:r>
                            <w:rPr>
                              <w:b/>
                              <w:sz w:val="20"/>
                            </w:rPr>
                            <w:t>TO</w:t>
                          </w:r>
                          <w:r>
                            <w:rPr>
                              <w:b/>
                              <w:spacing w:val="-12"/>
                              <w:sz w:val="20"/>
                            </w:rPr>
                            <w:t> </w:t>
                          </w:r>
                          <w:r>
                            <w:rPr>
                              <w:b/>
                              <w:sz w:val="20"/>
                            </w:rPr>
                            <w:t>CONSOLIDATED</w:t>
                          </w:r>
                          <w:r>
                            <w:rPr>
                              <w:b/>
                              <w:spacing w:val="-12"/>
                              <w:sz w:val="20"/>
                            </w:rPr>
                            <w:t> </w:t>
                          </w:r>
                          <w:r>
                            <w:rPr>
                              <w:b/>
                              <w:sz w:val="20"/>
                            </w:rPr>
                            <w:t>FINANCIAL</w:t>
                          </w:r>
                          <w:r>
                            <w:rPr>
                              <w:b/>
                              <w:spacing w:val="-12"/>
                              <w:sz w:val="20"/>
                            </w:rPr>
                            <w:t> </w:t>
                          </w:r>
                          <w:r>
                            <w:rPr>
                              <w:b/>
                              <w:spacing w:val="-2"/>
                              <w:sz w:val="20"/>
                            </w:rPr>
                            <w:t>STATEMENTS</w:t>
                          </w:r>
                        </w:p>
                      </w:txbxContent>
                    </wps:txbx>
                    <wps:bodyPr wrap="square" lIns="0" tIns="0" rIns="0" bIns="0" rtlCol="0">
                      <a:noAutofit/>
                    </wps:bodyPr>
                  </wps:wsp>
                </a:graphicData>
              </a:graphic>
            </wp:anchor>
          </w:drawing>
        </mc:Choice>
        <mc:Fallback>
          <w:pict>
            <v:shape style="position:absolute;margin-left:174.300003pt;margin-top:57.488869pt;width:263.4pt;height:13.1pt;mso-position-horizontal-relative:page;mso-position-vertical-relative:page;z-index:-23519744" type="#_x0000_t202" id="docshape297" filled="false" stroked="false">
              <v:textbox inset="0,0,0,0">
                <w:txbxContent>
                  <w:p>
                    <w:pPr>
                      <w:spacing w:before="11"/>
                      <w:ind w:left="20" w:right="0" w:firstLine="0"/>
                      <w:jc w:val="left"/>
                      <w:rPr>
                        <w:b/>
                        <w:sz w:val="20"/>
                      </w:rPr>
                    </w:pPr>
                    <w:r>
                      <w:rPr>
                        <w:b/>
                        <w:sz w:val="20"/>
                      </w:rPr>
                      <w:t>NOTES</w:t>
                    </w:r>
                    <w:r>
                      <w:rPr>
                        <w:b/>
                        <w:spacing w:val="-15"/>
                        <w:sz w:val="20"/>
                      </w:rPr>
                      <w:t> </w:t>
                    </w:r>
                    <w:r>
                      <w:rPr>
                        <w:b/>
                        <w:sz w:val="20"/>
                      </w:rPr>
                      <w:t>TO</w:t>
                    </w:r>
                    <w:r>
                      <w:rPr>
                        <w:b/>
                        <w:spacing w:val="-12"/>
                        <w:sz w:val="20"/>
                      </w:rPr>
                      <w:t> </w:t>
                    </w:r>
                    <w:r>
                      <w:rPr>
                        <w:b/>
                        <w:sz w:val="20"/>
                      </w:rPr>
                      <w:t>CONSOLIDATED</w:t>
                    </w:r>
                    <w:r>
                      <w:rPr>
                        <w:b/>
                        <w:spacing w:val="-12"/>
                        <w:sz w:val="20"/>
                      </w:rPr>
                      <w:t> </w:t>
                    </w:r>
                    <w:r>
                      <w:rPr>
                        <w:b/>
                        <w:sz w:val="20"/>
                      </w:rPr>
                      <w:t>FINANCIAL</w:t>
                    </w:r>
                    <w:r>
                      <w:rPr>
                        <w:b/>
                        <w:spacing w:val="-12"/>
                        <w:sz w:val="20"/>
                      </w:rPr>
                      <w:t> </w:t>
                    </w:r>
                    <w:r>
                      <w:rPr>
                        <w:b/>
                        <w:spacing w:val="-2"/>
                        <w:sz w:val="20"/>
                      </w:rPr>
                      <w:t>STATEMENTS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97760">
              <wp:simplePos x="0" y="0"/>
              <wp:positionH relativeFrom="page">
                <wp:posOffset>3422650</wp:posOffset>
              </wp:positionH>
              <wp:positionV relativeFrom="page">
                <wp:posOffset>120508</wp:posOffset>
              </wp:positionV>
              <wp:extent cx="926465" cy="166370"/>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518720" type="#_x0000_t202" id="docshape299"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79798272">
              <wp:simplePos x="0" y="0"/>
              <wp:positionH relativeFrom="page">
                <wp:posOffset>2801620</wp:posOffset>
              </wp:positionH>
              <wp:positionV relativeFrom="page">
                <wp:posOffset>425308</wp:posOffset>
              </wp:positionV>
              <wp:extent cx="2168525" cy="16637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2168525" cy="166370"/>
                      </a:xfrm>
                      <a:prstGeom prst="rect">
                        <a:avLst/>
                      </a:prstGeom>
                    </wps:spPr>
                    <wps:txbx>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wps:txbx>
                    <wps:bodyPr wrap="square" lIns="0" tIns="0" rIns="0" bIns="0" rtlCol="0">
                      <a:noAutofit/>
                    </wps:bodyPr>
                  </wps:wsp>
                </a:graphicData>
              </a:graphic>
            </wp:anchor>
          </w:drawing>
        </mc:Choice>
        <mc:Fallback>
          <w:pict>
            <v:shape style="position:absolute;margin-left:220.600006pt;margin-top:33.488869pt;width:170.75pt;height:13.1pt;mso-position-horizontal-relative:page;mso-position-vertical-relative:page;z-index:-23518208" type="#_x0000_t202" id="docshape300" filled="false" stroked="false">
              <v:textbox inset="0,0,0,0">
                <w:txbxContent>
                  <w:p>
                    <w:pPr>
                      <w:spacing w:before="11"/>
                      <w:ind w:left="20" w:right="0" w:firstLine="0"/>
                      <w:jc w:val="left"/>
                      <w:rPr>
                        <w:b/>
                        <w:sz w:val="20"/>
                      </w:rPr>
                    </w:pPr>
                    <w:r>
                      <w:rPr>
                        <w:b/>
                        <w:sz w:val="20"/>
                      </w:rPr>
                      <w:t>ADOBE</w:t>
                    </w:r>
                    <w:r>
                      <w:rPr>
                        <w:b/>
                        <w:spacing w:val="-4"/>
                        <w:sz w:val="20"/>
                      </w:rPr>
                      <w:t> </w:t>
                    </w:r>
                    <w:r>
                      <w:rPr>
                        <w:b/>
                        <w:sz w:val="20"/>
                      </w:rPr>
                      <w:t>SYSTEMS</w:t>
                    </w:r>
                    <w:r>
                      <w:rPr>
                        <w:b/>
                        <w:spacing w:val="-3"/>
                        <w:sz w:val="20"/>
                      </w:rPr>
                      <w:t> </w:t>
                    </w:r>
                    <w:r>
                      <w:rPr>
                        <w:b/>
                        <w:spacing w:val="-2"/>
                        <w:sz w:val="20"/>
                      </w:rPr>
                      <w:t>INCORPORATED</w:t>
                    </w:r>
                  </w:p>
                </w:txbxContent>
              </v:textbox>
              <w10:wrap type="none"/>
            </v:shape>
          </w:pict>
        </mc:Fallback>
      </mc:AlternateContent>
    </w:r>
    <w:r>
      <w:rPr/>
      <mc:AlternateContent>
        <mc:Choice Requires="wps">
          <w:drawing>
            <wp:anchor distT="0" distB="0" distL="0" distR="0" allowOverlap="1" layoutInCell="1" locked="0" behindDoc="1" simplePos="0" relativeHeight="479798784">
              <wp:simplePos x="0" y="0"/>
              <wp:positionH relativeFrom="page">
                <wp:posOffset>1885314</wp:posOffset>
              </wp:positionH>
              <wp:positionV relativeFrom="page">
                <wp:posOffset>730108</wp:posOffset>
              </wp:positionV>
              <wp:extent cx="4032885" cy="16637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4032885" cy="166370"/>
                      </a:xfrm>
                      <a:prstGeom prst="rect">
                        <a:avLst/>
                      </a:prstGeom>
                    </wps:spPr>
                    <wps:txbx>
                      <w:txbxContent>
                        <w:p>
                          <w:pPr>
                            <w:spacing w:before="11"/>
                            <w:ind w:left="20" w:right="0" w:firstLine="0"/>
                            <w:jc w:val="left"/>
                            <w:rPr>
                              <w:b/>
                              <w:sz w:val="20"/>
                            </w:rPr>
                          </w:pPr>
                          <w:r>
                            <w:rPr>
                              <w:b/>
                              <w:spacing w:val="-2"/>
                              <w:sz w:val="20"/>
                            </w:rPr>
                            <w:t>NOTES</w:t>
                          </w:r>
                          <w:r>
                            <w:rPr>
                              <w:b/>
                              <w:spacing w:val="-3"/>
                              <w:sz w:val="20"/>
                            </w:rPr>
                            <w:t> </w:t>
                          </w:r>
                          <w:r>
                            <w:rPr>
                              <w:b/>
                              <w:spacing w:val="-2"/>
                              <w:sz w:val="20"/>
                            </w:rPr>
                            <w:t>TO</w:t>
                          </w:r>
                          <w:r>
                            <w:rPr>
                              <w:b/>
                              <w:spacing w:val="1"/>
                              <w:sz w:val="20"/>
                            </w:rPr>
                            <w:t> </w:t>
                          </w:r>
                          <w:r>
                            <w:rPr>
                              <w:b/>
                              <w:spacing w:val="-2"/>
                              <w:sz w:val="20"/>
                            </w:rPr>
                            <w:t>CONSOLIDATED</w:t>
                          </w:r>
                          <w:r>
                            <w:rPr>
                              <w:b/>
                              <w:spacing w:val="1"/>
                              <w:sz w:val="20"/>
                            </w:rPr>
                            <w:t> </w:t>
                          </w:r>
                          <w:r>
                            <w:rPr>
                              <w:b/>
                              <w:spacing w:val="-2"/>
                              <w:sz w:val="20"/>
                            </w:rPr>
                            <w:t>FINANCIAL</w:t>
                          </w:r>
                          <w:r>
                            <w:rPr>
                              <w:b/>
                              <w:spacing w:val="-10"/>
                              <w:sz w:val="20"/>
                            </w:rPr>
                            <w:t> </w:t>
                          </w:r>
                          <w:r>
                            <w:rPr>
                              <w:b/>
                              <w:spacing w:val="-2"/>
                              <w:sz w:val="20"/>
                            </w:rPr>
                            <w:t>STATEMENTS</w:t>
                          </w:r>
                          <w:r>
                            <w:rPr>
                              <w:b/>
                              <w:spacing w:val="1"/>
                              <w:sz w:val="20"/>
                            </w:rPr>
                            <w:t> </w:t>
                          </w:r>
                          <w:r>
                            <w:rPr>
                              <w:b/>
                              <w:spacing w:val="-2"/>
                              <w:sz w:val="20"/>
                            </w:rPr>
                            <w:t>(Continued)</w:t>
                          </w:r>
                        </w:p>
                      </w:txbxContent>
                    </wps:txbx>
                    <wps:bodyPr wrap="square" lIns="0" tIns="0" rIns="0" bIns="0" rtlCol="0">
                      <a:noAutofit/>
                    </wps:bodyPr>
                  </wps:wsp>
                </a:graphicData>
              </a:graphic>
            </wp:anchor>
          </w:drawing>
        </mc:Choice>
        <mc:Fallback>
          <w:pict>
            <v:shape style="position:absolute;margin-left:148.449997pt;margin-top:57.488869pt;width:317.55pt;height:13.1pt;mso-position-horizontal-relative:page;mso-position-vertical-relative:page;z-index:-23517696" type="#_x0000_t202" id="docshape301" filled="false" stroked="false">
              <v:textbox inset="0,0,0,0">
                <w:txbxContent>
                  <w:p>
                    <w:pPr>
                      <w:spacing w:before="11"/>
                      <w:ind w:left="20" w:right="0" w:firstLine="0"/>
                      <w:jc w:val="left"/>
                      <w:rPr>
                        <w:b/>
                        <w:sz w:val="20"/>
                      </w:rPr>
                    </w:pPr>
                    <w:r>
                      <w:rPr>
                        <w:b/>
                        <w:spacing w:val="-2"/>
                        <w:sz w:val="20"/>
                      </w:rPr>
                      <w:t>NOTES</w:t>
                    </w:r>
                    <w:r>
                      <w:rPr>
                        <w:b/>
                        <w:spacing w:val="-3"/>
                        <w:sz w:val="20"/>
                      </w:rPr>
                      <w:t> </w:t>
                    </w:r>
                    <w:r>
                      <w:rPr>
                        <w:b/>
                        <w:spacing w:val="-2"/>
                        <w:sz w:val="20"/>
                      </w:rPr>
                      <w:t>TO</w:t>
                    </w:r>
                    <w:r>
                      <w:rPr>
                        <w:b/>
                        <w:spacing w:val="1"/>
                        <w:sz w:val="20"/>
                      </w:rPr>
                      <w:t> </w:t>
                    </w:r>
                    <w:r>
                      <w:rPr>
                        <w:b/>
                        <w:spacing w:val="-2"/>
                        <w:sz w:val="20"/>
                      </w:rPr>
                      <w:t>CONSOLIDATED</w:t>
                    </w:r>
                    <w:r>
                      <w:rPr>
                        <w:b/>
                        <w:spacing w:val="1"/>
                        <w:sz w:val="20"/>
                      </w:rPr>
                      <w:t> </w:t>
                    </w:r>
                    <w:r>
                      <w:rPr>
                        <w:b/>
                        <w:spacing w:val="-2"/>
                        <w:sz w:val="20"/>
                      </w:rPr>
                      <w:t>FINANCIAL</w:t>
                    </w:r>
                    <w:r>
                      <w:rPr>
                        <w:b/>
                        <w:spacing w:val="-10"/>
                        <w:sz w:val="20"/>
                      </w:rPr>
                      <w:t> </w:t>
                    </w:r>
                    <w:r>
                      <w:rPr>
                        <w:b/>
                        <w:spacing w:val="-2"/>
                        <w:sz w:val="20"/>
                      </w:rPr>
                      <w:t>STATEMENTS</w:t>
                    </w:r>
                    <w:r>
                      <w:rPr>
                        <w:b/>
                        <w:spacing w:val="1"/>
                        <w:sz w:val="20"/>
                      </w:rPr>
                      <w:t> </w:t>
                    </w:r>
                    <w:r>
                      <w:rPr>
                        <w:b/>
                        <w:spacing w:val="-2"/>
                        <w:sz w:val="20"/>
                      </w:rPr>
                      <w:t>(Continued)</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799808">
              <wp:simplePos x="0" y="0"/>
              <wp:positionH relativeFrom="page">
                <wp:posOffset>3422650</wp:posOffset>
              </wp:positionH>
              <wp:positionV relativeFrom="page">
                <wp:posOffset>120508</wp:posOffset>
              </wp:positionV>
              <wp:extent cx="926465" cy="166370"/>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516672" type="#_x0000_t202" id="docshape446"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800832">
              <wp:simplePos x="0" y="0"/>
              <wp:positionH relativeFrom="page">
                <wp:posOffset>4286250</wp:posOffset>
              </wp:positionH>
              <wp:positionV relativeFrom="page">
                <wp:posOffset>730250</wp:posOffset>
              </wp:positionV>
              <wp:extent cx="1574800" cy="1270"/>
              <wp:effectExtent l="0" t="0" r="0" b="0"/>
              <wp:wrapNone/>
              <wp:docPr id="565" name="Graphic 565"/>
              <wp:cNvGraphicFramePr>
                <a:graphicFrameLocks/>
              </wp:cNvGraphicFramePr>
              <a:graphic>
                <a:graphicData uri="http://schemas.microsoft.com/office/word/2010/wordprocessingShape">
                  <wps:wsp>
                    <wps:cNvPr id="565" name="Graphic 565"/>
                    <wps:cNvSpPr/>
                    <wps:spPr>
                      <a:xfrm>
                        <a:off x="0" y="0"/>
                        <a:ext cx="1574800" cy="1270"/>
                      </a:xfrm>
                      <a:custGeom>
                        <a:avLst/>
                        <a:gdLst/>
                        <a:ahLst/>
                        <a:cxnLst/>
                        <a:rect l="l" t="t" r="r" b="b"/>
                        <a:pathLst>
                          <a:path w="1574800" h="0">
                            <a:moveTo>
                              <a:pt x="0" y="0"/>
                            </a:moveTo>
                            <a:lnTo>
                              <a:pt x="381000" y="0"/>
                            </a:lnTo>
                          </a:path>
                          <a:path w="1574800" h="0">
                            <a:moveTo>
                              <a:pt x="381000" y="0"/>
                            </a:moveTo>
                            <a:lnTo>
                              <a:pt x="431800" y="0"/>
                            </a:lnTo>
                          </a:path>
                          <a:path w="1574800" h="0">
                            <a:moveTo>
                              <a:pt x="431800" y="0"/>
                            </a:moveTo>
                            <a:lnTo>
                              <a:pt x="1066800" y="0"/>
                            </a:lnTo>
                          </a:path>
                          <a:path w="1574800" h="0">
                            <a:moveTo>
                              <a:pt x="1066800" y="0"/>
                            </a:moveTo>
                            <a:lnTo>
                              <a:pt x="1117600" y="0"/>
                            </a:lnTo>
                          </a:path>
                          <a:path w="1574800" h="0">
                            <a:moveTo>
                              <a:pt x="1117600" y="0"/>
                            </a:moveTo>
                            <a:lnTo>
                              <a:pt x="1574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7.5pt;margin-top:57.5pt;width:124pt;height:.1pt;mso-position-horizontal-relative:page;mso-position-vertical-relative:page;z-index:-23515648" id="docshape448" coordorigin="6750,1150" coordsize="2480,0" path="m6750,1150l7350,1150m7350,1150l7430,1150m7430,1150l8430,1150m8430,1150l8510,1150m8510,1150l9230,1150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79801344">
              <wp:simplePos x="0" y="0"/>
              <wp:positionH relativeFrom="page">
                <wp:posOffset>3422650</wp:posOffset>
              </wp:positionH>
              <wp:positionV relativeFrom="page">
                <wp:posOffset>120508</wp:posOffset>
              </wp:positionV>
              <wp:extent cx="926465" cy="166370"/>
              <wp:effectExtent l="0" t="0" r="0" b="0"/>
              <wp:wrapNone/>
              <wp:docPr id="566" name="Textbox 566"/>
              <wp:cNvGraphicFramePr>
                <a:graphicFrameLocks/>
              </wp:cNvGraphicFramePr>
              <a:graphic>
                <a:graphicData uri="http://schemas.microsoft.com/office/word/2010/wordprocessingShape">
                  <wps:wsp>
                    <wps:cNvPr id="566" name="Textbox 566"/>
                    <wps:cNvSpPr txBox="1"/>
                    <wps:spPr>
                      <a:xfrm>
                        <a:off x="0" y="0"/>
                        <a:ext cx="926465"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5pt;margin-top:9.488867pt;width:72.95pt;height:13.1pt;mso-position-horizontal-relative:page;mso-position-vertical-relative:page;z-index:-23515136" type="#_x0000_t202" id="docshape449" filled="false" stroked="false">
              <v:textbox inset="0,0,0,0">
                <w:txbxContent>
                  <w:p>
                    <w:pPr>
                      <w:pStyle w:val="BodyText"/>
                      <w:spacing w:before="11"/>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79801856">
              <wp:simplePos x="0" y="0"/>
              <wp:positionH relativeFrom="page">
                <wp:posOffset>4420234</wp:posOffset>
              </wp:positionH>
              <wp:positionV relativeFrom="page">
                <wp:posOffset>573291</wp:posOffset>
              </wp:positionV>
              <wp:extent cx="1294765" cy="138430"/>
              <wp:effectExtent l="0" t="0" r="0" b="0"/>
              <wp:wrapNone/>
              <wp:docPr id="567" name="Textbox 567"/>
              <wp:cNvGraphicFramePr>
                <a:graphicFrameLocks/>
              </wp:cNvGraphicFramePr>
              <a:graphic>
                <a:graphicData uri="http://schemas.microsoft.com/office/word/2010/wordprocessingShape">
                  <wps:wsp>
                    <wps:cNvPr id="567" name="Textbox 567"/>
                    <wps:cNvSpPr txBox="1"/>
                    <wps:spPr>
                      <a:xfrm>
                        <a:off x="0" y="0"/>
                        <a:ext cx="1294765" cy="138430"/>
                      </a:xfrm>
                      <a:prstGeom prst="rect">
                        <a:avLst/>
                      </a:prstGeom>
                    </wps:spPr>
                    <wps:txbx>
                      <w:txbxContent>
                        <w:p>
                          <w:pPr>
                            <w:spacing w:before="13"/>
                            <w:ind w:left="20" w:right="0" w:firstLine="0"/>
                            <w:jc w:val="left"/>
                            <w:rPr>
                              <w:b/>
                              <w:sz w:val="16"/>
                            </w:rPr>
                          </w:pPr>
                          <w:r>
                            <w:rPr>
                              <w:b/>
                              <w:sz w:val="16"/>
                            </w:rPr>
                            <w:t>Incorporated</w:t>
                          </w:r>
                          <w:r>
                            <w:rPr>
                              <w:b/>
                              <w:spacing w:val="-7"/>
                              <w:sz w:val="16"/>
                            </w:rPr>
                            <w:t> </w:t>
                          </w:r>
                          <w:r>
                            <w:rPr>
                              <w:b/>
                              <w:sz w:val="16"/>
                            </w:rPr>
                            <w:t>by</w:t>
                          </w:r>
                          <w:r>
                            <w:rPr>
                              <w:b/>
                              <w:spacing w:val="-5"/>
                              <w:sz w:val="16"/>
                            </w:rPr>
                            <w:t> </w:t>
                          </w:r>
                          <w:r>
                            <w:rPr>
                              <w:b/>
                              <w:spacing w:val="-2"/>
                              <w:sz w:val="16"/>
                            </w:rPr>
                            <w:t>Reference**</w:t>
                          </w:r>
                        </w:p>
                      </w:txbxContent>
                    </wps:txbx>
                    <wps:bodyPr wrap="square" lIns="0" tIns="0" rIns="0" bIns="0" rtlCol="0">
                      <a:noAutofit/>
                    </wps:bodyPr>
                  </wps:wsp>
                </a:graphicData>
              </a:graphic>
            </wp:anchor>
          </w:drawing>
        </mc:Choice>
        <mc:Fallback>
          <w:pict>
            <v:shape style="position:absolute;margin-left:348.049988pt;margin-top:45.141094pt;width:101.95pt;height:10.9pt;mso-position-horizontal-relative:page;mso-position-vertical-relative:page;z-index:-23514624" type="#_x0000_t202" id="docshape450" filled="false" stroked="false">
              <v:textbox inset="0,0,0,0">
                <w:txbxContent>
                  <w:p>
                    <w:pPr>
                      <w:spacing w:before="13"/>
                      <w:ind w:left="20" w:right="0" w:firstLine="0"/>
                      <w:jc w:val="left"/>
                      <w:rPr>
                        <w:b/>
                        <w:sz w:val="16"/>
                      </w:rPr>
                    </w:pPr>
                    <w:r>
                      <w:rPr>
                        <w:b/>
                        <w:sz w:val="16"/>
                      </w:rPr>
                      <w:t>Incorporated</w:t>
                    </w:r>
                    <w:r>
                      <w:rPr>
                        <w:b/>
                        <w:spacing w:val="-7"/>
                        <w:sz w:val="16"/>
                      </w:rPr>
                      <w:t> </w:t>
                    </w:r>
                    <w:r>
                      <w:rPr>
                        <w:b/>
                        <w:sz w:val="16"/>
                      </w:rPr>
                      <w:t>by</w:t>
                    </w:r>
                    <w:r>
                      <w:rPr>
                        <w:b/>
                        <w:spacing w:val="-5"/>
                        <w:sz w:val="16"/>
                      </w:rPr>
                      <w:t> </w:t>
                    </w:r>
                    <w:r>
                      <w:rPr>
                        <w:b/>
                        <w:spacing w:val="-2"/>
                        <w:sz w:val="16"/>
                      </w:rPr>
                      <w:t>Reference**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48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404" w:hanging="360"/>
      </w:pPr>
      <w:rPr>
        <w:rFonts w:hint="default"/>
        <w:lang w:val="en-US" w:eastAsia="en-US" w:bidi="ar-SA"/>
      </w:rPr>
    </w:lvl>
    <w:lvl w:ilvl="2">
      <w:start w:val="0"/>
      <w:numFmt w:val="bullet"/>
      <w:lvlText w:val="•"/>
      <w:lvlJc w:val="left"/>
      <w:pPr>
        <w:ind w:left="3328" w:hanging="360"/>
      </w:pPr>
      <w:rPr>
        <w:rFonts w:hint="default"/>
        <w:lang w:val="en-US" w:eastAsia="en-US" w:bidi="ar-SA"/>
      </w:rPr>
    </w:lvl>
    <w:lvl w:ilvl="3">
      <w:start w:val="0"/>
      <w:numFmt w:val="bullet"/>
      <w:lvlText w:val="•"/>
      <w:lvlJc w:val="left"/>
      <w:pPr>
        <w:ind w:left="4252" w:hanging="360"/>
      </w:pPr>
      <w:rPr>
        <w:rFonts w:hint="default"/>
        <w:lang w:val="en-US" w:eastAsia="en-US" w:bidi="ar-SA"/>
      </w:rPr>
    </w:lvl>
    <w:lvl w:ilvl="4">
      <w:start w:val="0"/>
      <w:numFmt w:val="bullet"/>
      <w:lvlText w:val="•"/>
      <w:lvlJc w:val="left"/>
      <w:pPr>
        <w:ind w:left="5176" w:hanging="360"/>
      </w:pPr>
      <w:rPr>
        <w:rFonts w:hint="default"/>
        <w:lang w:val="en-US" w:eastAsia="en-US" w:bidi="ar-SA"/>
      </w:rPr>
    </w:lvl>
    <w:lvl w:ilvl="5">
      <w:start w:val="0"/>
      <w:numFmt w:val="bullet"/>
      <w:lvlText w:val="•"/>
      <w:lvlJc w:val="left"/>
      <w:pPr>
        <w:ind w:left="6100" w:hanging="360"/>
      </w:pPr>
      <w:rPr>
        <w:rFonts w:hint="default"/>
        <w:lang w:val="en-US" w:eastAsia="en-US" w:bidi="ar-SA"/>
      </w:rPr>
    </w:lvl>
    <w:lvl w:ilvl="6">
      <w:start w:val="0"/>
      <w:numFmt w:val="bullet"/>
      <w:lvlText w:val="•"/>
      <w:lvlJc w:val="left"/>
      <w:pPr>
        <w:ind w:left="7024" w:hanging="360"/>
      </w:pPr>
      <w:rPr>
        <w:rFonts w:hint="default"/>
        <w:lang w:val="en-US" w:eastAsia="en-US" w:bidi="ar-SA"/>
      </w:rPr>
    </w:lvl>
    <w:lvl w:ilvl="7">
      <w:start w:val="0"/>
      <w:numFmt w:val="bullet"/>
      <w:lvlText w:val="•"/>
      <w:lvlJc w:val="left"/>
      <w:pPr>
        <w:ind w:left="7948" w:hanging="360"/>
      </w:pPr>
      <w:rPr>
        <w:rFonts w:hint="default"/>
        <w:lang w:val="en-US" w:eastAsia="en-US" w:bidi="ar-SA"/>
      </w:rPr>
    </w:lvl>
    <w:lvl w:ilvl="8">
      <w:start w:val="0"/>
      <w:numFmt w:val="bullet"/>
      <w:lvlText w:val="•"/>
      <w:lvlJc w:val="left"/>
      <w:pPr>
        <w:ind w:left="8872" w:hanging="360"/>
      </w:pPr>
      <w:rPr>
        <w:rFonts w:hint="default"/>
        <w:lang w:val="en-US" w:eastAsia="en-US" w:bidi="ar-SA"/>
      </w:rPr>
    </w:lvl>
  </w:abstractNum>
  <w:abstractNum w:abstractNumId="6">
    <w:multiLevelType w:val="hybridMultilevel"/>
    <w:lvl w:ilvl="0">
      <w:start w:val="0"/>
      <w:numFmt w:val="bullet"/>
      <w:lvlText w:val="•"/>
      <w:lvlJc w:val="left"/>
      <w:pPr>
        <w:ind w:left="94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18" w:hanging="360"/>
      </w:pPr>
      <w:rPr>
        <w:rFonts w:hint="default"/>
        <w:lang w:val="en-US" w:eastAsia="en-US" w:bidi="ar-SA"/>
      </w:rPr>
    </w:lvl>
    <w:lvl w:ilvl="2">
      <w:start w:val="0"/>
      <w:numFmt w:val="bullet"/>
      <w:lvlText w:val="•"/>
      <w:lvlJc w:val="left"/>
      <w:pPr>
        <w:ind w:left="2896" w:hanging="360"/>
      </w:pPr>
      <w:rPr>
        <w:rFonts w:hint="default"/>
        <w:lang w:val="en-US" w:eastAsia="en-US" w:bidi="ar-SA"/>
      </w:rPr>
    </w:lvl>
    <w:lvl w:ilvl="3">
      <w:start w:val="0"/>
      <w:numFmt w:val="bullet"/>
      <w:lvlText w:val="•"/>
      <w:lvlJc w:val="left"/>
      <w:pPr>
        <w:ind w:left="3874" w:hanging="360"/>
      </w:pPr>
      <w:rPr>
        <w:rFonts w:hint="default"/>
        <w:lang w:val="en-US" w:eastAsia="en-US" w:bidi="ar-SA"/>
      </w:rPr>
    </w:lvl>
    <w:lvl w:ilvl="4">
      <w:start w:val="0"/>
      <w:numFmt w:val="bullet"/>
      <w:lvlText w:val="•"/>
      <w:lvlJc w:val="left"/>
      <w:pPr>
        <w:ind w:left="4852" w:hanging="360"/>
      </w:pPr>
      <w:rPr>
        <w:rFonts w:hint="default"/>
        <w:lang w:val="en-US" w:eastAsia="en-US" w:bidi="ar-SA"/>
      </w:rPr>
    </w:lvl>
    <w:lvl w:ilvl="5">
      <w:start w:val="0"/>
      <w:numFmt w:val="bullet"/>
      <w:lvlText w:val="•"/>
      <w:lvlJc w:val="left"/>
      <w:pPr>
        <w:ind w:left="5830" w:hanging="360"/>
      </w:pPr>
      <w:rPr>
        <w:rFonts w:hint="default"/>
        <w:lang w:val="en-US" w:eastAsia="en-US" w:bidi="ar-SA"/>
      </w:rPr>
    </w:lvl>
    <w:lvl w:ilvl="6">
      <w:start w:val="0"/>
      <w:numFmt w:val="bullet"/>
      <w:lvlText w:val="•"/>
      <w:lvlJc w:val="left"/>
      <w:pPr>
        <w:ind w:left="6808" w:hanging="360"/>
      </w:pPr>
      <w:rPr>
        <w:rFonts w:hint="default"/>
        <w:lang w:val="en-US" w:eastAsia="en-US" w:bidi="ar-SA"/>
      </w:rPr>
    </w:lvl>
    <w:lvl w:ilvl="7">
      <w:start w:val="0"/>
      <w:numFmt w:val="bullet"/>
      <w:lvlText w:val="•"/>
      <w:lvlJc w:val="left"/>
      <w:pPr>
        <w:ind w:left="7786" w:hanging="360"/>
      </w:pPr>
      <w:rPr>
        <w:rFonts w:hint="default"/>
        <w:lang w:val="en-US" w:eastAsia="en-US" w:bidi="ar-SA"/>
      </w:rPr>
    </w:lvl>
    <w:lvl w:ilvl="8">
      <w:start w:val="0"/>
      <w:numFmt w:val="bullet"/>
      <w:lvlText w:val="•"/>
      <w:lvlJc w:val="left"/>
      <w:pPr>
        <w:ind w:left="8764" w:hanging="360"/>
      </w:pPr>
      <w:rPr>
        <w:rFonts w:hint="default"/>
        <w:lang w:val="en-US" w:eastAsia="en-US" w:bidi="ar-SA"/>
      </w:rPr>
    </w:lvl>
  </w:abstractNum>
  <w:abstractNum w:abstractNumId="5">
    <w:multiLevelType w:val="hybridMultilevel"/>
    <w:lvl w:ilvl="0">
      <w:start w:val="0"/>
      <w:numFmt w:val="bullet"/>
      <w:lvlText w:val="•"/>
      <w:lvlJc w:val="left"/>
      <w:pPr>
        <w:ind w:left="94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12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186" w:hanging="360"/>
      </w:pPr>
      <w:rPr>
        <w:rFonts w:hint="default"/>
        <w:lang w:val="en-US" w:eastAsia="en-US" w:bidi="ar-SA"/>
      </w:rPr>
    </w:lvl>
    <w:lvl w:ilvl="3">
      <w:start w:val="0"/>
      <w:numFmt w:val="bullet"/>
      <w:lvlText w:val="•"/>
      <w:lvlJc w:val="left"/>
      <w:pPr>
        <w:ind w:left="3253"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386" w:hanging="360"/>
      </w:pPr>
      <w:rPr>
        <w:rFonts w:hint="default"/>
        <w:lang w:val="en-US" w:eastAsia="en-US" w:bidi="ar-SA"/>
      </w:rPr>
    </w:lvl>
    <w:lvl w:ilvl="6">
      <w:start w:val="0"/>
      <w:numFmt w:val="bullet"/>
      <w:lvlText w:val="•"/>
      <w:lvlJc w:val="left"/>
      <w:pPr>
        <w:ind w:left="6453" w:hanging="360"/>
      </w:pPr>
      <w:rPr>
        <w:rFonts w:hint="default"/>
        <w:lang w:val="en-US" w:eastAsia="en-US" w:bidi="ar-SA"/>
      </w:rPr>
    </w:lvl>
    <w:lvl w:ilvl="7">
      <w:start w:val="0"/>
      <w:numFmt w:val="bullet"/>
      <w:lvlText w:val="•"/>
      <w:lvlJc w:val="left"/>
      <w:pPr>
        <w:ind w:left="7520" w:hanging="360"/>
      </w:pPr>
      <w:rPr>
        <w:rFonts w:hint="default"/>
        <w:lang w:val="en-US" w:eastAsia="en-US" w:bidi="ar-SA"/>
      </w:rPr>
    </w:lvl>
    <w:lvl w:ilvl="8">
      <w:start w:val="0"/>
      <w:numFmt w:val="bullet"/>
      <w:lvlText w:val="•"/>
      <w:lvlJc w:val="left"/>
      <w:pPr>
        <w:ind w:left="8586" w:hanging="360"/>
      </w:pPr>
      <w:rPr>
        <w:rFonts w:hint="default"/>
        <w:lang w:val="en-US" w:eastAsia="en-US" w:bidi="ar-SA"/>
      </w:rPr>
    </w:lvl>
  </w:abstractNum>
  <w:abstractNum w:abstractNumId="4">
    <w:multiLevelType w:val="hybridMultilevel"/>
    <w:lvl w:ilvl="0">
      <w:start w:val="0"/>
      <w:numFmt w:val="bullet"/>
      <w:lvlText w:val="•"/>
      <w:lvlJc w:val="left"/>
      <w:pPr>
        <w:ind w:left="111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80" w:hanging="360"/>
      </w:pPr>
      <w:rPr>
        <w:rFonts w:hint="default"/>
        <w:lang w:val="en-US" w:eastAsia="en-US" w:bidi="ar-SA"/>
      </w:rPr>
    </w:lvl>
    <w:lvl w:ilvl="2">
      <w:start w:val="0"/>
      <w:numFmt w:val="bullet"/>
      <w:lvlText w:val="•"/>
      <w:lvlJc w:val="left"/>
      <w:pPr>
        <w:ind w:left="3040" w:hanging="360"/>
      </w:pPr>
      <w:rPr>
        <w:rFonts w:hint="default"/>
        <w:lang w:val="en-US" w:eastAsia="en-US" w:bidi="ar-SA"/>
      </w:rPr>
    </w:lvl>
    <w:lvl w:ilvl="3">
      <w:start w:val="0"/>
      <w:numFmt w:val="bullet"/>
      <w:lvlText w:val="•"/>
      <w:lvlJc w:val="left"/>
      <w:pPr>
        <w:ind w:left="4000" w:hanging="360"/>
      </w:pPr>
      <w:rPr>
        <w:rFonts w:hint="default"/>
        <w:lang w:val="en-US" w:eastAsia="en-US" w:bidi="ar-SA"/>
      </w:rPr>
    </w:lvl>
    <w:lvl w:ilvl="4">
      <w:start w:val="0"/>
      <w:numFmt w:val="bullet"/>
      <w:lvlText w:val="•"/>
      <w:lvlJc w:val="left"/>
      <w:pPr>
        <w:ind w:left="4960" w:hanging="360"/>
      </w:pPr>
      <w:rPr>
        <w:rFonts w:hint="default"/>
        <w:lang w:val="en-US" w:eastAsia="en-US" w:bidi="ar-SA"/>
      </w:rPr>
    </w:lvl>
    <w:lvl w:ilvl="5">
      <w:start w:val="0"/>
      <w:numFmt w:val="bullet"/>
      <w:lvlText w:val="•"/>
      <w:lvlJc w:val="left"/>
      <w:pPr>
        <w:ind w:left="592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40" w:hanging="360"/>
      </w:pPr>
      <w:rPr>
        <w:rFonts w:hint="default"/>
        <w:lang w:val="en-US" w:eastAsia="en-US" w:bidi="ar-SA"/>
      </w:rPr>
    </w:lvl>
    <w:lvl w:ilvl="8">
      <w:start w:val="0"/>
      <w:numFmt w:val="bullet"/>
      <w:lvlText w:val="•"/>
      <w:lvlJc w:val="left"/>
      <w:pPr>
        <w:ind w:left="8800" w:hanging="360"/>
      </w:pPr>
      <w:rPr>
        <w:rFonts w:hint="default"/>
        <w:lang w:val="en-US" w:eastAsia="en-US" w:bidi="ar-SA"/>
      </w:rPr>
    </w:lvl>
  </w:abstractNum>
  <w:abstractNum w:abstractNumId="3">
    <w:multiLevelType w:val="hybridMultilevel"/>
    <w:lvl w:ilvl="0">
      <w:start w:val="0"/>
      <w:numFmt w:val="bullet"/>
      <w:lvlText w:val="•"/>
      <w:lvlJc w:val="left"/>
      <w:pPr>
        <w:ind w:left="111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80" w:hanging="360"/>
      </w:pPr>
      <w:rPr>
        <w:rFonts w:hint="default"/>
        <w:lang w:val="en-US" w:eastAsia="en-US" w:bidi="ar-SA"/>
      </w:rPr>
    </w:lvl>
    <w:lvl w:ilvl="2">
      <w:start w:val="0"/>
      <w:numFmt w:val="bullet"/>
      <w:lvlText w:val="•"/>
      <w:lvlJc w:val="left"/>
      <w:pPr>
        <w:ind w:left="3040" w:hanging="360"/>
      </w:pPr>
      <w:rPr>
        <w:rFonts w:hint="default"/>
        <w:lang w:val="en-US" w:eastAsia="en-US" w:bidi="ar-SA"/>
      </w:rPr>
    </w:lvl>
    <w:lvl w:ilvl="3">
      <w:start w:val="0"/>
      <w:numFmt w:val="bullet"/>
      <w:lvlText w:val="•"/>
      <w:lvlJc w:val="left"/>
      <w:pPr>
        <w:ind w:left="4000" w:hanging="360"/>
      </w:pPr>
      <w:rPr>
        <w:rFonts w:hint="default"/>
        <w:lang w:val="en-US" w:eastAsia="en-US" w:bidi="ar-SA"/>
      </w:rPr>
    </w:lvl>
    <w:lvl w:ilvl="4">
      <w:start w:val="0"/>
      <w:numFmt w:val="bullet"/>
      <w:lvlText w:val="•"/>
      <w:lvlJc w:val="left"/>
      <w:pPr>
        <w:ind w:left="4960" w:hanging="360"/>
      </w:pPr>
      <w:rPr>
        <w:rFonts w:hint="default"/>
        <w:lang w:val="en-US" w:eastAsia="en-US" w:bidi="ar-SA"/>
      </w:rPr>
    </w:lvl>
    <w:lvl w:ilvl="5">
      <w:start w:val="0"/>
      <w:numFmt w:val="bullet"/>
      <w:lvlText w:val="•"/>
      <w:lvlJc w:val="left"/>
      <w:pPr>
        <w:ind w:left="592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40" w:hanging="360"/>
      </w:pPr>
      <w:rPr>
        <w:rFonts w:hint="default"/>
        <w:lang w:val="en-US" w:eastAsia="en-US" w:bidi="ar-SA"/>
      </w:rPr>
    </w:lvl>
    <w:lvl w:ilvl="8">
      <w:start w:val="0"/>
      <w:numFmt w:val="bullet"/>
      <w:lvlText w:val="•"/>
      <w:lvlJc w:val="left"/>
      <w:pPr>
        <w:ind w:left="8800" w:hanging="360"/>
      </w:pPr>
      <w:rPr>
        <w:rFonts w:hint="default"/>
        <w:lang w:val="en-US" w:eastAsia="en-US" w:bidi="ar-SA"/>
      </w:rPr>
    </w:lvl>
  </w:abstractNum>
  <w:abstractNum w:abstractNumId="2">
    <w:multiLevelType w:val="hybridMultilevel"/>
    <w:lvl w:ilvl="0">
      <w:start w:val="0"/>
      <w:numFmt w:val="bullet"/>
      <w:lvlText w:val="•"/>
      <w:lvlJc w:val="left"/>
      <w:pPr>
        <w:ind w:left="111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80" w:hanging="360"/>
      </w:pPr>
      <w:rPr>
        <w:rFonts w:hint="default"/>
        <w:lang w:val="en-US" w:eastAsia="en-US" w:bidi="ar-SA"/>
      </w:rPr>
    </w:lvl>
    <w:lvl w:ilvl="2">
      <w:start w:val="0"/>
      <w:numFmt w:val="bullet"/>
      <w:lvlText w:val="•"/>
      <w:lvlJc w:val="left"/>
      <w:pPr>
        <w:ind w:left="3040" w:hanging="360"/>
      </w:pPr>
      <w:rPr>
        <w:rFonts w:hint="default"/>
        <w:lang w:val="en-US" w:eastAsia="en-US" w:bidi="ar-SA"/>
      </w:rPr>
    </w:lvl>
    <w:lvl w:ilvl="3">
      <w:start w:val="0"/>
      <w:numFmt w:val="bullet"/>
      <w:lvlText w:val="•"/>
      <w:lvlJc w:val="left"/>
      <w:pPr>
        <w:ind w:left="4000" w:hanging="360"/>
      </w:pPr>
      <w:rPr>
        <w:rFonts w:hint="default"/>
        <w:lang w:val="en-US" w:eastAsia="en-US" w:bidi="ar-SA"/>
      </w:rPr>
    </w:lvl>
    <w:lvl w:ilvl="4">
      <w:start w:val="0"/>
      <w:numFmt w:val="bullet"/>
      <w:lvlText w:val="•"/>
      <w:lvlJc w:val="left"/>
      <w:pPr>
        <w:ind w:left="4960" w:hanging="360"/>
      </w:pPr>
      <w:rPr>
        <w:rFonts w:hint="default"/>
        <w:lang w:val="en-US" w:eastAsia="en-US" w:bidi="ar-SA"/>
      </w:rPr>
    </w:lvl>
    <w:lvl w:ilvl="5">
      <w:start w:val="0"/>
      <w:numFmt w:val="bullet"/>
      <w:lvlText w:val="•"/>
      <w:lvlJc w:val="left"/>
      <w:pPr>
        <w:ind w:left="592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40" w:hanging="360"/>
      </w:pPr>
      <w:rPr>
        <w:rFonts w:hint="default"/>
        <w:lang w:val="en-US" w:eastAsia="en-US" w:bidi="ar-SA"/>
      </w:rPr>
    </w:lvl>
    <w:lvl w:ilvl="8">
      <w:start w:val="0"/>
      <w:numFmt w:val="bullet"/>
      <w:lvlText w:val="•"/>
      <w:lvlJc w:val="left"/>
      <w:pPr>
        <w:ind w:left="8800" w:hanging="360"/>
      </w:pPr>
      <w:rPr>
        <w:rFonts w:hint="default"/>
        <w:lang w:val="en-US" w:eastAsia="en-US" w:bidi="ar-SA"/>
      </w:rPr>
    </w:lvl>
  </w:abstractNum>
  <w:abstractNum w:abstractNumId="1">
    <w:multiLevelType w:val="hybridMultilevel"/>
    <w:lvl w:ilvl="0">
      <w:start w:val="0"/>
      <w:numFmt w:val="bullet"/>
      <w:lvlText w:val="•"/>
      <w:lvlJc w:val="left"/>
      <w:pPr>
        <w:ind w:left="94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18" w:hanging="360"/>
      </w:pPr>
      <w:rPr>
        <w:rFonts w:hint="default"/>
        <w:lang w:val="en-US" w:eastAsia="en-US" w:bidi="ar-SA"/>
      </w:rPr>
    </w:lvl>
    <w:lvl w:ilvl="2">
      <w:start w:val="0"/>
      <w:numFmt w:val="bullet"/>
      <w:lvlText w:val="•"/>
      <w:lvlJc w:val="left"/>
      <w:pPr>
        <w:ind w:left="2896" w:hanging="360"/>
      </w:pPr>
      <w:rPr>
        <w:rFonts w:hint="default"/>
        <w:lang w:val="en-US" w:eastAsia="en-US" w:bidi="ar-SA"/>
      </w:rPr>
    </w:lvl>
    <w:lvl w:ilvl="3">
      <w:start w:val="0"/>
      <w:numFmt w:val="bullet"/>
      <w:lvlText w:val="•"/>
      <w:lvlJc w:val="left"/>
      <w:pPr>
        <w:ind w:left="3874" w:hanging="360"/>
      </w:pPr>
      <w:rPr>
        <w:rFonts w:hint="default"/>
        <w:lang w:val="en-US" w:eastAsia="en-US" w:bidi="ar-SA"/>
      </w:rPr>
    </w:lvl>
    <w:lvl w:ilvl="4">
      <w:start w:val="0"/>
      <w:numFmt w:val="bullet"/>
      <w:lvlText w:val="•"/>
      <w:lvlJc w:val="left"/>
      <w:pPr>
        <w:ind w:left="4852" w:hanging="360"/>
      </w:pPr>
      <w:rPr>
        <w:rFonts w:hint="default"/>
        <w:lang w:val="en-US" w:eastAsia="en-US" w:bidi="ar-SA"/>
      </w:rPr>
    </w:lvl>
    <w:lvl w:ilvl="5">
      <w:start w:val="0"/>
      <w:numFmt w:val="bullet"/>
      <w:lvlText w:val="•"/>
      <w:lvlJc w:val="left"/>
      <w:pPr>
        <w:ind w:left="5830" w:hanging="360"/>
      </w:pPr>
      <w:rPr>
        <w:rFonts w:hint="default"/>
        <w:lang w:val="en-US" w:eastAsia="en-US" w:bidi="ar-SA"/>
      </w:rPr>
    </w:lvl>
    <w:lvl w:ilvl="6">
      <w:start w:val="0"/>
      <w:numFmt w:val="bullet"/>
      <w:lvlText w:val="•"/>
      <w:lvlJc w:val="left"/>
      <w:pPr>
        <w:ind w:left="6808" w:hanging="360"/>
      </w:pPr>
      <w:rPr>
        <w:rFonts w:hint="default"/>
        <w:lang w:val="en-US" w:eastAsia="en-US" w:bidi="ar-SA"/>
      </w:rPr>
    </w:lvl>
    <w:lvl w:ilvl="7">
      <w:start w:val="0"/>
      <w:numFmt w:val="bullet"/>
      <w:lvlText w:val="•"/>
      <w:lvlJc w:val="left"/>
      <w:pPr>
        <w:ind w:left="7786" w:hanging="360"/>
      </w:pPr>
      <w:rPr>
        <w:rFonts w:hint="default"/>
        <w:lang w:val="en-US" w:eastAsia="en-US" w:bidi="ar-SA"/>
      </w:rPr>
    </w:lvl>
    <w:lvl w:ilvl="8">
      <w:start w:val="0"/>
      <w:numFmt w:val="bullet"/>
      <w:lvlText w:val="•"/>
      <w:lvlJc w:val="left"/>
      <w:pPr>
        <w:ind w:left="8764" w:hanging="360"/>
      </w:pPr>
      <w:rPr>
        <w:rFonts w:hint="default"/>
        <w:lang w:val="en-US" w:eastAsia="en-US" w:bidi="ar-SA"/>
      </w:rPr>
    </w:lvl>
  </w:abstractNum>
  <w:abstractNum w:abstractNumId="0">
    <w:multiLevelType w:val="hybridMultilevel"/>
    <w:lvl w:ilvl="0">
      <w:start w:val="0"/>
      <w:numFmt w:val="bullet"/>
      <w:lvlText w:val="•"/>
      <w:lvlJc w:val="left"/>
      <w:pPr>
        <w:ind w:left="12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242" w:hanging="360"/>
      </w:pPr>
      <w:rPr>
        <w:rFonts w:hint="default"/>
        <w:lang w:val="en-US" w:eastAsia="en-US" w:bidi="ar-SA"/>
      </w:rPr>
    </w:lvl>
    <w:lvl w:ilvl="2">
      <w:start w:val="0"/>
      <w:numFmt w:val="bullet"/>
      <w:lvlText w:val="•"/>
      <w:lvlJc w:val="left"/>
      <w:pPr>
        <w:ind w:left="3184" w:hanging="360"/>
      </w:pPr>
      <w:rPr>
        <w:rFonts w:hint="default"/>
        <w:lang w:val="en-US" w:eastAsia="en-US" w:bidi="ar-SA"/>
      </w:rPr>
    </w:lvl>
    <w:lvl w:ilvl="3">
      <w:start w:val="0"/>
      <w:numFmt w:val="bullet"/>
      <w:lvlText w:val="•"/>
      <w:lvlJc w:val="left"/>
      <w:pPr>
        <w:ind w:left="4126" w:hanging="360"/>
      </w:pPr>
      <w:rPr>
        <w:rFonts w:hint="default"/>
        <w:lang w:val="en-US" w:eastAsia="en-US" w:bidi="ar-SA"/>
      </w:rPr>
    </w:lvl>
    <w:lvl w:ilvl="4">
      <w:start w:val="0"/>
      <w:numFmt w:val="bullet"/>
      <w:lvlText w:val="•"/>
      <w:lvlJc w:val="left"/>
      <w:pPr>
        <w:ind w:left="5068" w:hanging="360"/>
      </w:pPr>
      <w:rPr>
        <w:rFonts w:hint="default"/>
        <w:lang w:val="en-US" w:eastAsia="en-US" w:bidi="ar-SA"/>
      </w:rPr>
    </w:lvl>
    <w:lvl w:ilvl="5">
      <w:start w:val="0"/>
      <w:numFmt w:val="bullet"/>
      <w:lvlText w:val="•"/>
      <w:lvlJc w:val="left"/>
      <w:pPr>
        <w:ind w:left="601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94"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30"/>
      <w:ind w:left="260"/>
    </w:pPr>
    <w:rPr>
      <w:rFonts w:ascii="Times New Roman" w:hAnsi="Times New Roman" w:eastAsia="Times New Roman" w:cs="Times New Roman"/>
      <w:sz w:val="20"/>
      <w:szCs w:val="20"/>
      <w:u w:val="single" w:color="00000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20"/>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220"/>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ind w:left="210"/>
      <w:outlineLvl w:val="3"/>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50"/>
      <w:ind w:left="50" w:right="2251"/>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110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hyperlink" Target="http://www.adobe.com/" TargetMode="External"/><Relationship Id="rId18" Type="http://schemas.openxmlformats.org/officeDocument/2006/relationships/hyperlink" Target="http://www.sec.gov/" TargetMode="External"/><Relationship Id="rId19" Type="http://schemas.openxmlformats.org/officeDocument/2006/relationships/hyperlink" Target="http://www.training.adobe.com/" TargetMode="External"/><Relationship Id="rId20" Type="http://schemas.openxmlformats.org/officeDocument/2006/relationships/hyperlink" Target="http://www.adobe.com/adbe" TargetMode="External"/><Relationship Id="rId21" Type="http://schemas.openxmlformats.org/officeDocument/2006/relationships/header" Target="header2.xml"/><Relationship Id="rId22" Type="http://schemas.openxmlformats.org/officeDocument/2006/relationships/footer" Target="footer3.xml"/><Relationship Id="rId23" Type="http://schemas.openxmlformats.org/officeDocument/2006/relationships/image" Target="media/image10.png"/><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header" Target="header4.xml"/><Relationship Id="rId27" Type="http://schemas.openxmlformats.org/officeDocument/2006/relationships/footer" Target="footer5.xml"/><Relationship Id="rId28" Type="http://schemas.openxmlformats.org/officeDocument/2006/relationships/header" Target="header5.xml"/><Relationship Id="rId29" Type="http://schemas.openxmlformats.org/officeDocument/2006/relationships/footer" Target="footer6.xml"/><Relationship Id="rId30" Type="http://schemas.openxmlformats.org/officeDocument/2006/relationships/header" Target="header6.xml"/><Relationship Id="rId31" Type="http://schemas.openxmlformats.org/officeDocument/2006/relationships/footer" Target="footer7.xml"/><Relationship Id="rId32" Type="http://schemas.openxmlformats.org/officeDocument/2006/relationships/header" Target="header7.xml"/><Relationship Id="rId33" Type="http://schemas.openxmlformats.org/officeDocument/2006/relationships/footer" Target="footer8.xml"/><Relationship Id="rId34" Type="http://schemas.openxmlformats.org/officeDocument/2006/relationships/header" Target="header8.xml"/><Relationship Id="rId35" Type="http://schemas.openxmlformats.org/officeDocument/2006/relationships/footer" Target="footer9.xml"/><Relationship Id="rId36" Type="http://schemas.openxmlformats.org/officeDocument/2006/relationships/header" Target="header9.xml"/><Relationship Id="rId37" Type="http://schemas.openxmlformats.org/officeDocument/2006/relationships/footer" Target="footer10.xml"/><Relationship Id="rId38" Type="http://schemas.openxmlformats.org/officeDocument/2006/relationships/header" Target="header10.xml"/><Relationship Id="rId39" Type="http://schemas.openxmlformats.org/officeDocument/2006/relationships/footer" Target="footer11.xm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ADBE 10K FY17</dc:title>
  <dcterms:created xsi:type="dcterms:W3CDTF">2024-04-02T14:37:42Z</dcterms:created>
  <dcterms:modified xsi:type="dcterms:W3CDTF">2024-04-02T14:37:42Z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Producer">
    <vt:lpwstr>WebFilings</vt:lpwstr>
  </property>
  <property fmtid="{D5CDD505-2E9C-101B-9397-08002B2CF9AE}" pid="4" name="LastSaved">
    <vt:filetime>2018-01-22T00:00:00Z</vt:filetime>
  </property>
</Properties>
</file>